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10.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1.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34.xml" ContentType="application/vnd.openxmlformats-officedocument.wordprocessingml.header+xml"/>
  <Override PartName="/word/footer1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15.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16.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17.xml" ContentType="application/vnd.openxmlformats-officedocument.wordprocessingml.footer+xml"/>
  <Override PartName="/word/header4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42.xml" ContentType="application/vnd.openxmlformats-officedocument.wordprocessingml.header+xml"/>
  <Override PartName="/word/footer28.xml" ContentType="application/vnd.openxmlformats-officedocument.wordprocessingml.footer+xml"/>
  <Override PartName="/word/header43.xml" ContentType="application/vnd.openxmlformats-officedocument.wordprocessingml.header+xml"/>
  <Override PartName="/word/footer29.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30.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30585C" w14:textId="3DBBF8DD" w:rsidR="00496244" w:rsidRPr="00F04A2B" w:rsidRDefault="00FA7261" w:rsidP="00F04A2B">
      <w:pPr>
        <w:pStyle w:val="ARpublicationtitle"/>
        <w:rPr>
          <w:rStyle w:val="Strong"/>
          <w:b w:val="0"/>
          <w:bCs w:val="0"/>
        </w:rPr>
      </w:pPr>
      <w:r>
        <w:rPr>
          <w:rFonts w:eastAsia="Times New Roman"/>
          <w:noProof/>
          <w:lang w:eastAsia="en-AU" w:bidi="as-IN"/>
        </w:rPr>
        <w:drawing>
          <wp:anchor distT="0" distB="0" distL="114300" distR="114300" simplePos="0" relativeHeight="251658240" behindDoc="0" locked="1" layoutInCell="1" allowOverlap="1" wp14:anchorId="6F4714C4" wp14:editId="3FC981B3">
            <wp:simplePos x="0" y="0"/>
            <wp:positionH relativeFrom="page">
              <wp:posOffset>0</wp:posOffset>
            </wp:positionH>
            <wp:positionV relativeFrom="page">
              <wp:posOffset>0</wp:posOffset>
            </wp:positionV>
            <wp:extent cx="7561080" cy="10695240"/>
            <wp:effectExtent l="0" t="0" r="1905" b="0"/>
            <wp:wrapNone/>
            <wp:docPr id="16" name="Picture 16" descr="Department of Health annual report 2020-21, Victoria State Government. Cover image is a magnification of the coronaviru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Department of Health annual report 2020-21, Victoria State Government. Cover image is a magnification of the coronavirus."/>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61080" cy="10695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4A2B" w:rsidRPr="00F04A2B">
        <w:t>Department of Health annual report</w:t>
      </w:r>
      <w:r w:rsidR="00F04A2B" w:rsidRPr="00F04A2B">
        <w:br/>
        <w:t>2020–21</w:t>
      </w:r>
    </w:p>
    <w:p w14:paraId="12BA7C65" w14:textId="77777777" w:rsidR="00496244" w:rsidRPr="008E5377" w:rsidRDefault="00496244" w:rsidP="00317057">
      <w:pPr>
        <w:pStyle w:val="ARbody"/>
        <w:rPr>
          <w:rStyle w:val="Strong"/>
          <w:b w:val="0"/>
          <w:bCs w:val="0"/>
        </w:rPr>
      </w:pPr>
      <w:r w:rsidRPr="008E5377">
        <w:rPr>
          <w:rStyle w:val="Strong"/>
          <w:b w:val="0"/>
          <w:bCs w:val="0"/>
        </w:rPr>
        <w:br w:type="page"/>
      </w:r>
    </w:p>
    <w:p w14:paraId="1742E04C" w14:textId="42B5EB84" w:rsidR="00496244" w:rsidRPr="00291C81" w:rsidRDefault="00496244" w:rsidP="00B27393">
      <w:pPr>
        <w:pStyle w:val="ARbody"/>
        <w:rPr>
          <w:rStyle w:val="Strong"/>
        </w:rPr>
      </w:pPr>
      <w:r w:rsidRPr="00291C81">
        <w:rPr>
          <w:rStyle w:val="Strong"/>
        </w:rPr>
        <w:lastRenderedPageBreak/>
        <w:t>The department proudly acknowledges Victoria</w:t>
      </w:r>
      <w:r w:rsidR="007D145B">
        <w:rPr>
          <w:rStyle w:val="Strong"/>
        </w:rPr>
        <w:t>’</w:t>
      </w:r>
      <w:r w:rsidRPr="00291C81">
        <w:rPr>
          <w:rStyle w:val="Strong"/>
        </w:rPr>
        <w:t>s Aboriginal communities and their rich culture and pays respect to their Elders past and present.</w:t>
      </w:r>
    </w:p>
    <w:p w14:paraId="7BA38086" w14:textId="50B94F01" w:rsidR="00496244" w:rsidRPr="00291C81" w:rsidRDefault="00496244" w:rsidP="00B27393">
      <w:pPr>
        <w:pStyle w:val="ARbody"/>
        <w:rPr>
          <w:rStyle w:val="Strong"/>
        </w:rPr>
      </w:pPr>
      <w:r w:rsidRPr="00291C81">
        <w:rPr>
          <w:rStyle w:val="Strong"/>
        </w:rPr>
        <w:t>We acknowledge Aboriginal people as Australia</w:t>
      </w:r>
      <w:r w:rsidR="007D145B">
        <w:rPr>
          <w:rStyle w:val="Strong"/>
        </w:rPr>
        <w:t>’</w:t>
      </w:r>
      <w:r w:rsidRPr="00291C81">
        <w:rPr>
          <w:rStyle w:val="Strong"/>
        </w:rPr>
        <w:t>s first peoples and as the Traditional Owners and custodians of the land and water on which we rely.</w:t>
      </w:r>
    </w:p>
    <w:p w14:paraId="4A86885E" w14:textId="77777777" w:rsidR="00496244" w:rsidRPr="00291C81" w:rsidRDefault="00496244" w:rsidP="00B27393">
      <w:pPr>
        <w:pStyle w:val="ARbody"/>
        <w:rPr>
          <w:rStyle w:val="Strong"/>
        </w:rPr>
      </w:pPr>
      <w:r w:rsidRPr="00291C81">
        <w:rPr>
          <w:rStyle w:val="Strong"/>
        </w:rPr>
        <w:t>We recognise and value the ongoing contribution of Aboriginal people and communities to Victorian life and how this enriches us.</w:t>
      </w:r>
    </w:p>
    <w:p w14:paraId="262A695F" w14:textId="77777777" w:rsidR="00496244" w:rsidRPr="00291C81" w:rsidRDefault="00496244" w:rsidP="00317057">
      <w:pPr>
        <w:pStyle w:val="ARbody"/>
        <w:spacing w:after="4680"/>
        <w:rPr>
          <w:rStyle w:val="Strong"/>
        </w:rPr>
      </w:pPr>
      <w:r w:rsidRPr="00291C81">
        <w:rPr>
          <w:rStyle w:val="Strong"/>
        </w:rPr>
        <w:t>We embrace the spirit of reconciliation, working towards the equality of outcomes and ensuring an equal voice.</w:t>
      </w:r>
    </w:p>
    <w:p w14:paraId="44193894" w14:textId="59BDA1FB" w:rsidR="00496244" w:rsidRPr="002029AF" w:rsidRDefault="00496244" w:rsidP="00DD4043">
      <w:pPr>
        <w:pStyle w:val="ARbody"/>
      </w:pPr>
      <w:r w:rsidRPr="002029AF">
        <w:t xml:space="preserve">To receive this publication in an accessible format, </w:t>
      </w:r>
      <w:hyperlink r:id="rId12" w:history="1">
        <w:r w:rsidRPr="002029AF">
          <w:rPr>
            <w:rStyle w:val="Hyperlink"/>
          </w:rPr>
          <w:t>email corporate reporting</w:t>
        </w:r>
      </w:hyperlink>
      <w:r w:rsidRPr="002029AF">
        <w:t xml:space="preserve"> &lt;corporate.reporting@</w:t>
      </w:r>
      <w:r>
        <w:t>health</w:t>
      </w:r>
      <w:r w:rsidRPr="002029AF">
        <w:t>.vic.gov.au&gt;.</w:t>
      </w:r>
    </w:p>
    <w:p w14:paraId="169C6228" w14:textId="77777777" w:rsidR="00496244" w:rsidRPr="002029AF" w:rsidRDefault="00496244" w:rsidP="00897193">
      <w:pPr>
        <w:pStyle w:val="ARbody"/>
      </w:pPr>
      <w:r w:rsidRPr="002029AF">
        <w:t>Authorised and published by the Victorian Government, 1 Treasury Place, Melbourne.</w:t>
      </w:r>
    </w:p>
    <w:p w14:paraId="086E4A96" w14:textId="77777777" w:rsidR="00496244" w:rsidRPr="002029AF" w:rsidRDefault="00496244" w:rsidP="00897193">
      <w:pPr>
        <w:pStyle w:val="ARbody"/>
      </w:pPr>
      <w:r w:rsidRPr="002029AF">
        <w:t>© State of Victoria, Australia (Department of Health), October 202</w:t>
      </w:r>
      <w:r>
        <w:t>1</w:t>
      </w:r>
      <w:r w:rsidRPr="002029AF">
        <w:t>.</w:t>
      </w:r>
    </w:p>
    <w:p w14:paraId="0A301CDC" w14:textId="77777777" w:rsidR="00496244" w:rsidRPr="002029AF" w:rsidRDefault="00496244" w:rsidP="00B27393">
      <w:pPr>
        <w:pStyle w:val="ARbody"/>
      </w:pPr>
      <w:r>
        <w:rPr>
          <w:noProof/>
          <w:lang w:eastAsia="en-AU" w:bidi="as-IN"/>
        </w:rPr>
        <w:drawing>
          <wp:inline distT="0" distB="0" distL="0" distR="0" wp14:anchorId="3A43D4B9" wp14:editId="57449FE3">
            <wp:extent cx="1233170" cy="425450"/>
            <wp:effectExtent l="0" t="0" r="5080" b="0"/>
            <wp:docPr id="6" name="Picture 6"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a:extLst>
                        <a:ext uri="{28A0092B-C50C-407E-A947-70E740481C1C}">
                          <a14:useLocalDpi xmlns:a14="http://schemas.microsoft.com/office/drawing/2010/main" val="0"/>
                        </a:ext>
                      </a:extLst>
                    </a:blip>
                    <a:stretch>
                      <a:fillRect/>
                    </a:stretch>
                  </pic:blipFill>
                  <pic:spPr>
                    <a:xfrm>
                      <a:off x="0" y="0"/>
                      <a:ext cx="1233170" cy="425450"/>
                    </a:xfrm>
                    <a:prstGeom prst="rect">
                      <a:avLst/>
                    </a:prstGeom>
                  </pic:spPr>
                </pic:pic>
              </a:graphicData>
            </a:graphic>
          </wp:inline>
        </w:drawing>
      </w:r>
    </w:p>
    <w:p w14:paraId="72CFD885" w14:textId="77777777" w:rsidR="00496244" w:rsidRPr="002029AF" w:rsidRDefault="00496244" w:rsidP="00B27393">
      <w:pPr>
        <w:pStyle w:val="ARbody"/>
      </w:pPr>
      <w:r w:rsidRPr="002029AF">
        <w:t>With the exception of any images, photographs or branding (including, but not limited to the Victorian Coat of</w:t>
      </w:r>
      <w:r>
        <w:t> </w:t>
      </w:r>
      <w:r w:rsidRPr="002029AF">
        <w:t>Arms, the Victorian Government logo or the Department of Health logo), this work,</w:t>
      </w:r>
      <w:r w:rsidRPr="002029AF">
        <w:rPr>
          <w:i/>
        </w:rPr>
        <w:t xml:space="preserve"> Department of Health annual report 20</w:t>
      </w:r>
      <w:r>
        <w:rPr>
          <w:i/>
        </w:rPr>
        <w:t>20</w:t>
      </w:r>
      <w:r w:rsidRPr="002029AF">
        <w:rPr>
          <w:i/>
        </w:rPr>
        <w:t>–2</w:t>
      </w:r>
      <w:r>
        <w:rPr>
          <w:i/>
        </w:rPr>
        <w:t>1</w:t>
      </w:r>
      <w:r w:rsidRPr="002029AF">
        <w:t>, is licensed under a Creative Commons Attribution 4.0 licence.</w:t>
      </w:r>
    </w:p>
    <w:p w14:paraId="2AB253CA" w14:textId="5AFC10F2" w:rsidR="00496244" w:rsidRPr="002029AF" w:rsidRDefault="00496244" w:rsidP="00897193">
      <w:pPr>
        <w:pStyle w:val="ARbody"/>
      </w:pPr>
      <w:r w:rsidRPr="002029AF">
        <w:t xml:space="preserve">The terms and conditions of this licence, including disclaimer of warranties and limitation of liability are available at </w:t>
      </w:r>
      <w:hyperlink r:id="rId14" w:history="1">
        <w:r w:rsidRPr="002029AF">
          <w:rPr>
            <w:rStyle w:val="Hyperlink"/>
          </w:rPr>
          <w:t>Creative Commons Attribution 4.0 International</w:t>
        </w:r>
      </w:hyperlink>
      <w:r w:rsidRPr="002029AF">
        <w:t xml:space="preserve"> &lt;https://creativecommons.org/licenses/by/4.0/legalcode&gt;.</w:t>
      </w:r>
    </w:p>
    <w:p w14:paraId="16452E66" w14:textId="77777777" w:rsidR="00496244" w:rsidRPr="002029AF" w:rsidRDefault="00496244" w:rsidP="00897193">
      <w:pPr>
        <w:pStyle w:val="ARbody"/>
      </w:pPr>
      <w:r w:rsidRPr="002029AF">
        <w:t>You are free to reuse the work under that licence, on the condition that you credit the State of Victoria, Australia (Department of Health) as the author and/or owner of the work, indicate if</w:t>
      </w:r>
      <w:r>
        <w:t> </w:t>
      </w:r>
      <w:r w:rsidRPr="002029AF">
        <w:t>any</w:t>
      </w:r>
      <w:r>
        <w:t> </w:t>
      </w:r>
      <w:r w:rsidRPr="002029AF">
        <w:t>changes have been made to the work and comply with the other licence terms.</w:t>
      </w:r>
    </w:p>
    <w:p w14:paraId="7711B380" w14:textId="53F5484A" w:rsidR="00496244" w:rsidRPr="002029AF" w:rsidRDefault="00496244" w:rsidP="00897193">
      <w:pPr>
        <w:pStyle w:val="ARbody"/>
      </w:pPr>
      <w:r w:rsidRPr="002029AF">
        <w:t xml:space="preserve">In this document, </w:t>
      </w:r>
      <w:r w:rsidR="007D145B">
        <w:t>‘</w:t>
      </w:r>
      <w:r w:rsidRPr="002029AF">
        <w:t>Aboriginal</w:t>
      </w:r>
      <w:r w:rsidR="007D145B">
        <w:t>’</w:t>
      </w:r>
      <w:r w:rsidRPr="002029AF">
        <w:t xml:space="preserve"> refers to both Aboriginal and Torres Strait Islander people. </w:t>
      </w:r>
      <w:r w:rsidR="007D145B">
        <w:t>‘</w:t>
      </w:r>
      <w:r w:rsidRPr="002029AF">
        <w:t>Indigenous</w:t>
      </w:r>
      <w:r w:rsidR="007D145B">
        <w:t>’</w:t>
      </w:r>
      <w:r w:rsidRPr="002029AF">
        <w:t xml:space="preserve"> or</w:t>
      </w:r>
      <w:r>
        <w:t> </w:t>
      </w:r>
      <w:r w:rsidR="007D145B">
        <w:t>’</w:t>
      </w:r>
      <w:r w:rsidRPr="002029AF">
        <w:t>Koori/Koorie</w:t>
      </w:r>
      <w:r w:rsidR="007D145B">
        <w:t>’</w:t>
      </w:r>
      <w:r w:rsidRPr="002029AF">
        <w:t xml:space="preserve"> is retained when part of the title of a report, program or quotation.</w:t>
      </w:r>
    </w:p>
    <w:p w14:paraId="7D203B65" w14:textId="77777777" w:rsidR="00496244" w:rsidRDefault="00496244" w:rsidP="00897193">
      <w:pPr>
        <w:pStyle w:val="ARbody"/>
      </w:pPr>
      <w:r w:rsidRPr="00DE1D8E">
        <w:t>ISSN 2653-1852 (online)</w:t>
      </w:r>
    </w:p>
    <w:p w14:paraId="5893824F" w14:textId="77777777" w:rsidR="00496244" w:rsidRDefault="00496244">
      <w:pPr>
        <w:sectPr w:rsidR="00496244" w:rsidSect="00317057">
          <w:headerReference w:type="default" r:id="rId15"/>
          <w:footnotePr>
            <w:numFmt w:val="lowerLetter"/>
            <w:numRestart w:val="eachPage"/>
          </w:footnotePr>
          <w:endnotePr>
            <w:numFmt w:val="decimal"/>
          </w:endnotePr>
          <w:type w:val="continuous"/>
          <w:pgSz w:w="11900" w:h="16840" w:code="9"/>
          <w:pgMar w:top="1985" w:right="1134" w:bottom="851" w:left="1134" w:header="510" w:footer="340" w:gutter="0"/>
          <w:cols w:space="454"/>
        </w:sectPr>
      </w:pPr>
    </w:p>
    <w:p w14:paraId="170E3CCA" w14:textId="77777777" w:rsidR="00496244" w:rsidRDefault="00496244" w:rsidP="00897193">
      <w:pPr>
        <w:pStyle w:val="ARTOCheading"/>
        <w:rPr>
          <w:lang w:val="en-AU"/>
        </w:rPr>
      </w:pPr>
      <w:r w:rsidRPr="002029AF">
        <w:rPr>
          <w:lang w:val="en-AU"/>
        </w:rPr>
        <w:lastRenderedPageBreak/>
        <w:t>Contents</w:t>
      </w:r>
    </w:p>
    <w:p w14:paraId="183EE11C" w14:textId="77777777" w:rsidR="00496244" w:rsidRPr="00F74DF0" w:rsidRDefault="00496244" w:rsidP="00F74DF0">
      <w:pPr>
        <w:pStyle w:val="Heading2withinTOC"/>
      </w:pPr>
      <w:r w:rsidRPr="00F74DF0">
        <w:t>Report of operations</w:t>
      </w:r>
    </w:p>
    <w:p w14:paraId="06BF047C" w14:textId="5979AE07" w:rsidR="007F5AD6" w:rsidRDefault="00D30D22">
      <w:pPr>
        <w:pStyle w:val="TOC1"/>
        <w:rPr>
          <w:rFonts w:asciiTheme="minorHAnsi" w:hAnsiTheme="minorHAnsi"/>
          <w:sz w:val="22"/>
          <w:szCs w:val="22"/>
          <w:lang w:eastAsia="en-AU"/>
        </w:rPr>
      </w:pPr>
      <w:r>
        <w:rPr>
          <w:lang w:val="en-US"/>
        </w:rPr>
        <w:fldChar w:fldCharType="begin"/>
      </w:r>
      <w:r>
        <w:rPr>
          <w:lang w:val="en-US"/>
        </w:rPr>
        <w:instrText xml:space="preserve"> TOC</w:instrText>
      </w:r>
      <w:r w:rsidR="00F74DF0">
        <w:rPr>
          <w:lang w:val="en-US"/>
        </w:rPr>
        <w:instrText xml:space="preserve"> \b ReportOfOperations</w:instrText>
      </w:r>
      <w:r>
        <w:rPr>
          <w:lang w:val="en-US"/>
        </w:rPr>
        <w:instrText xml:space="preserve"> \h \z \t "Heading 1,1,Heading 2,2,Heading 3 for TOC,3" </w:instrText>
      </w:r>
      <w:r>
        <w:rPr>
          <w:lang w:val="en-US"/>
        </w:rPr>
        <w:fldChar w:fldCharType="separate"/>
      </w:r>
      <w:hyperlink w:anchor="_Toc86075575" w:history="1">
        <w:r w:rsidR="007F5AD6" w:rsidRPr="001C0EF9">
          <w:rPr>
            <w:rStyle w:val="Hyperlink"/>
          </w:rPr>
          <w:t>Section 1: Year in review</w:t>
        </w:r>
        <w:r w:rsidR="007F5AD6">
          <w:rPr>
            <w:webHidden/>
          </w:rPr>
          <w:tab/>
        </w:r>
        <w:r w:rsidR="007F5AD6">
          <w:rPr>
            <w:webHidden/>
          </w:rPr>
          <w:fldChar w:fldCharType="begin"/>
        </w:r>
        <w:r w:rsidR="007F5AD6">
          <w:rPr>
            <w:webHidden/>
          </w:rPr>
          <w:instrText xml:space="preserve"> PAGEREF _Toc86075575 \h </w:instrText>
        </w:r>
        <w:r w:rsidR="007F5AD6">
          <w:rPr>
            <w:webHidden/>
          </w:rPr>
        </w:r>
        <w:r w:rsidR="007F5AD6">
          <w:rPr>
            <w:webHidden/>
          </w:rPr>
          <w:fldChar w:fldCharType="separate"/>
        </w:r>
        <w:r w:rsidR="00E71361">
          <w:rPr>
            <w:webHidden/>
          </w:rPr>
          <w:t>5</w:t>
        </w:r>
        <w:r w:rsidR="007F5AD6">
          <w:rPr>
            <w:webHidden/>
          </w:rPr>
          <w:fldChar w:fldCharType="end"/>
        </w:r>
      </w:hyperlink>
    </w:p>
    <w:p w14:paraId="691BC836" w14:textId="378BC837" w:rsidR="007F5AD6" w:rsidRDefault="00E71361">
      <w:pPr>
        <w:pStyle w:val="TOC2"/>
        <w:rPr>
          <w:rFonts w:asciiTheme="minorHAnsi" w:hAnsiTheme="minorHAnsi"/>
          <w:sz w:val="22"/>
          <w:szCs w:val="22"/>
          <w:lang w:eastAsia="en-AU"/>
        </w:rPr>
      </w:pPr>
      <w:hyperlink w:anchor="_Toc86075576" w:history="1">
        <w:r w:rsidR="007F5AD6" w:rsidRPr="001C0EF9">
          <w:rPr>
            <w:rStyle w:val="Hyperlink"/>
          </w:rPr>
          <w:t>Secretary’s foreword</w:t>
        </w:r>
        <w:r w:rsidR="007F5AD6">
          <w:rPr>
            <w:webHidden/>
          </w:rPr>
          <w:tab/>
        </w:r>
        <w:r w:rsidR="007F5AD6">
          <w:rPr>
            <w:webHidden/>
          </w:rPr>
          <w:fldChar w:fldCharType="begin"/>
        </w:r>
        <w:r w:rsidR="007F5AD6">
          <w:rPr>
            <w:webHidden/>
          </w:rPr>
          <w:instrText xml:space="preserve"> PAGEREF _Toc86075576 \h </w:instrText>
        </w:r>
        <w:r w:rsidR="007F5AD6">
          <w:rPr>
            <w:webHidden/>
          </w:rPr>
        </w:r>
        <w:r w:rsidR="007F5AD6">
          <w:rPr>
            <w:webHidden/>
          </w:rPr>
          <w:fldChar w:fldCharType="separate"/>
        </w:r>
        <w:r>
          <w:rPr>
            <w:webHidden/>
          </w:rPr>
          <w:t>5</w:t>
        </w:r>
        <w:r w:rsidR="007F5AD6">
          <w:rPr>
            <w:webHidden/>
          </w:rPr>
          <w:fldChar w:fldCharType="end"/>
        </w:r>
      </w:hyperlink>
    </w:p>
    <w:p w14:paraId="69DC9E2D" w14:textId="1F9847AC" w:rsidR="007F5AD6" w:rsidRDefault="00E71361">
      <w:pPr>
        <w:pStyle w:val="TOC2"/>
        <w:rPr>
          <w:rFonts w:asciiTheme="minorHAnsi" w:hAnsiTheme="minorHAnsi"/>
          <w:sz w:val="22"/>
          <w:szCs w:val="22"/>
          <w:lang w:eastAsia="en-AU"/>
        </w:rPr>
      </w:pPr>
      <w:hyperlink w:anchor="_Toc86075577" w:history="1">
        <w:r w:rsidR="007F5AD6" w:rsidRPr="001C0EF9">
          <w:rPr>
            <w:rStyle w:val="Hyperlink"/>
          </w:rPr>
          <w:t>Vision, mission and values</w:t>
        </w:r>
        <w:r w:rsidR="007F5AD6">
          <w:rPr>
            <w:webHidden/>
          </w:rPr>
          <w:tab/>
        </w:r>
        <w:r w:rsidR="007F5AD6">
          <w:rPr>
            <w:webHidden/>
          </w:rPr>
          <w:fldChar w:fldCharType="begin"/>
        </w:r>
        <w:r w:rsidR="007F5AD6">
          <w:rPr>
            <w:webHidden/>
          </w:rPr>
          <w:instrText xml:space="preserve"> PAGEREF _Toc86075577 \h </w:instrText>
        </w:r>
        <w:r w:rsidR="007F5AD6">
          <w:rPr>
            <w:webHidden/>
          </w:rPr>
        </w:r>
        <w:r w:rsidR="007F5AD6">
          <w:rPr>
            <w:webHidden/>
          </w:rPr>
          <w:fldChar w:fldCharType="separate"/>
        </w:r>
        <w:r>
          <w:rPr>
            <w:webHidden/>
          </w:rPr>
          <w:t>7</w:t>
        </w:r>
        <w:r w:rsidR="007F5AD6">
          <w:rPr>
            <w:webHidden/>
          </w:rPr>
          <w:fldChar w:fldCharType="end"/>
        </w:r>
      </w:hyperlink>
    </w:p>
    <w:p w14:paraId="4FAD0707" w14:textId="5E63D382" w:rsidR="007F5AD6" w:rsidRDefault="00E71361">
      <w:pPr>
        <w:pStyle w:val="TOC2"/>
        <w:rPr>
          <w:rFonts w:asciiTheme="minorHAnsi" w:hAnsiTheme="minorHAnsi"/>
          <w:sz w:val="22"/>
          <w:szCs w:val="22"/>
          <w:lang w:eastAsia="en-AU"/>
        </w:rPr>
      </w:pPr>
      <w:hyperlink w:anchor="_Toc86075578" w:history="1">
        <w:r w:rsidR="007F5AD6" w:rsidRPr="001C0EF9">
          <w:rPr>
            <w:rStyle w:val="Hyperlink"/>
          </w:rPr>
          <w:t>Purpose and functions</w:t>
        </w:r>
        <w:r w:rsidR="007F5AD6">
          <w:rPr>
            <w:webHidden/>
          </w:rPr>
          <w:tab/>
        </w:r>
        <w:r w:rsidR="007F5AD6">
          <w:rPr>
            <w:webHidden/>
          </w:rPr>
          <w:fldChar w:fldCharType="begin"/>
        </w:r>
        <w:r w:rsidR="007F5AD6">
          <w:rPr>
            <w:webHidden/>
          </w:rPr>
          <w:instrText xml:space="preserve"> PAGEREF _Toc86075578 \h </w:instrText>
        </w:r>
        <w:r w:rsidR="007F5AD6">
          <w:rPr>
            <w:webHidden/>
          </w:rPr>
        </w:r>
        <w:r w:rsidR="007F5AD6">
          <w:rPr>
            <w:webHidden/>
          </w:rPr>
          <w:fldChar w:fldCharType="separate"/>
        </w:r>
        <w:r>
          <w:rPr>
            <w:webHidden/>
          </w:rPr>
          <w:t>8</w:t>
        </w:r>
        <w:r w:rsidR="007F5AD6">
          <w:rPr>
            <w:webHidden/>
          </w:rPr>
          <w:fldChar w:fldCharType="end"/>
        </w:r>
      </w:hyperlink>
    </w:p>
    <w:p w14:paraId="3BF379D9" w14:textId="507E7798" w:rsidR="007F5AD6" w:rsidRDefault="00E71361">
      <w:pPr>
        <w:pStyle w:val="TOC2"/>
        <w:rPr>
          <w:rFonts w:asciiTheme="minorHAnsi" w:hAnsiTheme="minorHAnsi"/>
          <w:sz w:val="22"/>
          <w:szCs w:val="22"/>
          <w:lang w:eastAsia="en-AU"/>
        </w:rPr>
      </w:pPr>
      <w:hyperlink w:anchor="_Toc86075579" w:history="1">
        <w:r w:rsidR="007F5AD6" w:rsidRPr="001C0EF9">
          <w:rPr>
            <w:rStyle w:val="Hyperlink"/>
          </w:rPr>
          <w:t>Subsequent events</w:t>
        </w:r>
        <w:r w:rsidR="007F5AD6">
          <w:rPr>
            <w:webHidden/>
          </w:rPr>
          <w:tab/>
        </w:r>
        <w:r w:rsidR="007F5AD6">
          <w:rPr>
            <w:webHidden/>
          </w:rPr>
          <w:fldChar w:fldCharType="begin"/>
        </w:r>
        <w:r w:rsidR="007F5AD6">
          <w:rPr>
            <w:webHidden/>
          </w:rPr>
          <w:instrText xml:space="preserve"> PAGEREF _Toc86075579 \h </w:instrText>
        </w:r>
        <w:r w:rsidR="007F5AD6">
          <w:rPr>
            <w:webHidden/>
          </w:rPr>
        </w:r>
        <w:r w:rsidR="007F5AD6">
          <w:rPr>
            <w:webHidden/>
          </w:rPr>
          <w:fldChar w:fldCharType="separate"/>
        </w:r>
        <w:r>
          <w:rPr>
            <w:webHidden/>
          </w:rPr>
          <w:t>10</w:t>
        </w:r>
        <w:r w:rsidR="007F5AD6">
          <w:rPr>
            <w:webHidden/>
          </w:rPr>
          <w:fldChar w:fldCharType="end"/>
        </w:r>
      </w:hyperlink>
    </w:p>
    <w:p w14:paraId="06965FAA" w14:textId="6BCCC260" w:rsidR="007F5AD6" w:rsidRDefault="00E71361">
      <w:pPr>
        <w:pStyle w:val="TOC2"/>
        <w:rPr>
          <w:rFonts w:asciiTheme="minorHAnsi" w:hAnsiTheme="minorHAnsi"/>
          <w:sz w:val="22"/>
          <w:szCs w:val="22"/>
          <w:lang w:eastAsia="en-AU"/>
        </w:rPr>
      </w:pPr>
      <w:hyperlink w:anchor="_Toc86075580" w:history="1">
        <w:r w:rsidR="007F5AD6" w:rsidRPr="001C0EF9">
          <w:rPr>
            <w:rStyle w:val="Hyperlink"/>
          </w:rPr>
          <w:t>Portfolio performance reporting – non-financial</w:t>
        </w:r>
        <w:r w:rsidR="007F5AD6">
          <w:rPr>
            <w:webHidden/>
          </w:rPr>
          <w:tab/>
        </w:r>
        <w:r w:rsidR="007F5AD6">
          <w:rPr>
            <w:webHidden/>
          </w:rPr>
          <w:fldChar w:fldCharType="begin"/>
        </w:r>
        <w:r w:rsidR="007F5AD6">
          <w:rPr>
            <w:webHidden/>
          </w:rPr>
          <w:instrText xml:space="preserve"> PAGEREF _Toc86075580 \h </w:instrText>
        </w:r>
        <w:r w:rsidR="007F5AD6">
          <w:rPr>
            <w:webHidden/>
          </w:rPr>
        </w:r>
        <w:r w:rsidR="007F5AD6">
          <w:rPr>
            <w:webHidden/>
          </w:rPr>
          <w:fldChar w:fldCharType="separate"/>
        </w:r>
        <w:r>
          <w:rPr>
            <w:webHidden/>
          </w:rPr>
          <w:t>11</w:t>
        </w:r>
        <w:r w:rsidR="007F5AD6">
          <w:rPr>
            <w:webHidden/>
          </w:rPr>
          <w:fldChar w:fldCharType="end"/>
        </w:r>
      </w:hyperlink>
    </w:p>
    <w:p w14:paraId="51E0AA77" w14:textId="0DFDBDDB" w:rsidR="007F5AD6" w:rsidRDefault="00E71361">
      <w:pPr>
        <w:pStyle w:val="TOC3"/>
        <w:rPr>
          <w:rFonts w:asciiTheme="minorHAnsi" w:hAnsiTheme="minorHAnsi"/>
          <w:sz w:val="22"/>
          <w:szCs w:val="22"/>
          <w:lang w:eastAsia="en-AU"/>
        </w:rPr>
      </w:pPr>
      <w:hyperlink w:anchor="_Toc86075581" w:history="1">
        <w:r w:rsidR="007F5AD6" w:rsidRPr="001C0EF9">
          <w:rPr>
            <w:rStyle w:val="Hyperlink"/>
          </w:rPr>
          <w:t>Overview</w:t>
        </w:r>
        <w:r w:rsidR="007F5AD6">
          <w:rPr>
            <w:webHidden/>
          </w:rPr>
          <w:tab/>
        </w:r>
        <w:r w:rsidR="007F5AD6">
          <w:rPr>
            <w:webHidden/>
          </w:rPr>
          <w:fldChar w:fldCharType="begin"/>
        </w:r>
        <w:r w:rsidR="007F5AD6">
          <w:rPr>
            <w:webHidden/>
          </w:rPr>
          <w:instrText xml:space="preserve"> PAGEREF _Toc86075581 \h </w:instrText>
        </w:r>
        <w:r w:rsidR="007F5AD6">
          <w:rPr>
            <w:webHidden/>
          </w:rPr>
        </w:r>
        <w:r w:rsidR="007F5AD6">
          <w:rPr>
            <w:webHidden/>
          </w:rPr>
          <w:fldChar w:fldCharType="separate"/>
        </w:r>
        <w:r>
          <w:rPr>
            <w:webHidden/>
          </w:rPr>
          <w:t>11</w:t>
        </w:r>
        <w:r w:rsidR="007F5AD6">
          <w:rPr>
            <w:webHidden/>
          </w:rPr>
          <w:fldChar w:fldCharType="end"/>
        </w:r>
      </w:hyperlink>
    </w:p>
    <w:p w14:paraId="32F8696E" w14:textId="368E54A7" w:rsidR="007F5AD6" w:rsidRDefault="00E71361">
      <w:pPr>
        <w:pStyle w:val="TOC3"/>
        <w:rPr>
          <w:rFonts w:asciiTheme="minorHAnsi" w:hAnsiTheme="minorHAnsi"/>
          <w:sz w:val="22"/>
          <w:szCs w:val="22"/>
          <w:lang w:eastAsia="en-AU"/>
        </w:rPr>
      </w:pPr>
      <w:hyperlink w:anchor="_Toc86075582" w:history="1">
        <w:r w:rsidR="007F5AD6" w:rsidRPr="001C0EF9">
          <w:rPr>
            <w:rStyle w:val="Hyperlink"/>
          </w:rPr>
          <w:t>Departmental objectives</w:t>
        </w:r>
        <w:r w:rsidR="007F5AD6">
          <w:rPr>
            <w:webHidden/>
          </w:rPr>
          <w:tab/>
        </w:r>
        <w:r w:rsidR="007F5AD6">
          <w:rPr>
            <w:webHidden/>
          </w:rPr>
          <w:fldChar w:fldCharType="begin"/>
        </w:r>
        <w:r w:rsidR="007F5AD6">
          <w:rPr>
            <w:webHidden/>
          </w:rPr>
          <w:instrText xml:space="preserve"> PAGEREF _Toc86075582 \h </w:instrText>
        </w:r>
        <w:r w:rsidR="007F5AD6">
          <w:rPr>
            <w:webHidden/>
          </w:rPr>
        </w:r>
        <w:r w:rsidR="007F5AD6">
          <w:rPr>
            <w:webHidden/>
          </w:rPr>
          <w:fldChar w:fldCharType="separate"/>
        </w:r>
        <w:r>
          <w:rPr>
            <w:webHidden/>
          </w:rPr>
          <w:t>12</w:t>
        </w:r>
        <w:r w:rsidR="007F5AD6">
          <w:rPr>
            <w:webHidden/>
          </w:rPr>
          <w:fldChar w:fldCharType="end"/>
        </w:r>
      </w:hyperlink>
    </w:p>
    <w:p w14:paraId="7EF15E66" w14:textId="10F1D87F" w:rsidR="007F5AD6" w:rsidRDefault="00E71361">
      <w:pPr>
        <w:pStyle w:val="TOC3"/>
        <w:rPr>
          <w:rFonts w:asciiTheme="minorHAnsi" w:hAnsiTheme="minorHAnsi"/>
          <w:sz w:val="22"/>
          <w:szCs w:val="22"/>
          <w:lang w:eastAsia="en-AU"/>
        </w:rPr>
      </w:pPr>
      <w:hyperlink w:anchor="_Toc86075583" w:history="1">
        <w:r w:rsidR="007F5AD6" w:rsidRPr="001C0EF9">
          <w:rPr>
            <w:rStyle w:val="Hyperlink"/>
          </w:rPr>
          <w:t>Responding to the COVID-19 pandemic in Victoria</w:t>
        </w:r>
        <w:r w:rsidR="007F5AD6">
          <w:rPr>
            <w:webHidden/>
          </w:rPr>
          <w:tab/>
        </w:r>
        <w:r w:rsidR="007F5AD6">
          <w:rPr>
            <w:webHidden/>
          </w:rPr>
          <w:fldChar w:fldCharType="begin"/>
        </w:r>
        <w:r w:rsidR="007F5AD6">
          <w:rPr>
            <w:webHidden/>
          </w:rPr>
          <w:instrText xml:space="preserve"> PAGEREF _Toc86075583 \h </w:instrText>
        </w:r>
        <w:r w:rsidR="007F5AD6">
          <w:rPr>
            <w:webHidden/>
          </w:rPr>
        </w:r>
        <w:r w:rsidR="007F5AD6">
          <w:rPr>
            <w:webHidden/>
          </w:rPr>
          <w:fldChar w:fldCharType="separate"/>
        </w:r>
        <w:r>
          <w:rPr>
            <w:webHidden/>
          </w:rPr>
          <w:t>37</w:t>
        </w:r>
        <w:r w:rsidR="007F5AD6">
          <w:rPr>
            <w:webHidden/>
          </w:rPr>
          <w:fldChar w:fldCharType="end"/>
        </w:r>
      </w:hyperlink>
    </w:p>
    <w:p w14:paraId="0CBF6D2A" w14:textId="365FE4D6" w:rsidR="007F5AD6" w:rsidRDefault="00E71361">
      <w:pPr>
        <w:pStyle w:val="TOC3"/>
        <w:rPr>
          <w:rFonts w:asciiTheme="minorHAnsi" w:hAnsiTheme="minorHAnsi"/>
          <w:sz w:val="22"/>
          <w:szCs w:val="22"/>
          <w:lang w:eastAsia="en-AU"/>
        </w:rPr>
      </w:pPr>
      <w:hyperlink w:anchor="_Toc86075584" w:history="1">
        <w:r w:rsidR="007F5AD6" w:rsidRPr="001C0EF9">
          <w:rPr>
            <w:rStyle w:val="Hyperlink"/>
          </w:rPr>
          <w:t>Performance reporting</w:t>
        </w:r>
        <w:r w:rsidR="007F5AD6">
          <w:rPr>
            <w:webHidden/>
          </w:rPr>
          <w:tab/>
        </w:r>
        <w:r w:rsidR="007F5AD6">
          <w:rPr>
            <w:webHidden/>
          </w:rPr>
          <w:fldChar w:fldCharType="begin"/>
        </w:r>
        <w:r w:rsidR="007F5AD6">
          <w:rPr>
            <w:webHidden/>
          </w:rPr>
          <w:instrText xml:space="preserve"> PAGEREF _Toc86075584 \h </w:instrText>
        </w:r>
        <w:r w:rsidR="007F5AD6">
          <w:rPr>
            <w:webHidden/>
          </w:rPr>
        </w:r>
        <w:r w:rsidR="007F5AD6">
          <w:rPr>
            <w:webHidden/>
          </w:rPr>
          <w:fldChar w:fldCharType="separate"/>
        </w:r>
        <w:r>
          <w:rPr>
            <w:webHidden/>
          </w:rPr>
          <w:t>51</w:t>
        </w:r>
        <w:r w:rsidR="007F5AD6">
          <w:rPr>
            <w:webHidden/>
          </w:rPr>
          <w:fldChar w:fldCharType="end"/>
        </w:r>
      </w:hyperlink>
    </w:p>
    <w:p w14:paraId="26CB8C59" w14:textId="2044A042" w:rsidR="007F5AD6" w:rsidRDefault="00E71361">
      <w:pPr>
        <w:pStyle w:val="TOC2"/>
        <w:rPr>
          <w:rFonts w:asciiTheme="minorHAnsi" w:hAnsiTheme="minorHAnsi"/>
          <w:sz w:val="22"/>
          <w:szCs w:val="22"/>
          <w:lang w:eastAsia="en-AU"/>
        </w:rPr>
      </w:pPr>
      <w:hyperlink w:anchor="_Toc86075585" w:history="1">
        <w:r w:rsidR="007F5AD6" w:rsidRPr="001C0EF9">
          <w:rPr>
            <w:rStyle w:val="Hyperlink"/>
          </w:rPr>
          <w:t>Portfolio performance reporting – financial</w:t>
        </w:r>
        <w:r w:rsidR="007F5AD6">
          <w:rPr>
            <w:webHidden/>
          </w:rPr>
          <w:tab/>
        </w:r>
        <w:r w:rsidR="007F5AD6">
          <w:rPr>
            <w:webHidden/>
          </w:rPr>
          <w:fldChar w:fldCharType="begin"/>
        </w:r>
        <w:r w:rsidR="007F5AD6">
          <w:rPr>
            <w:webHidden/>
          </w:rPr>
          <w:instrText xml:space="preserve"> PAGEREF _Toc86075585 \h </w:instrText>
        </w:r>
        <w:r w:rsidR="007F5AD6">
          <w:rPr>
            <w:webHidden/>
          </w:rPr>
        </w:r>
        <w:r w:rsidR="007F5AD6">
          <w:rPr>
            <w:webHidden/>
          </w:rPr>
          <w:fldChar w:fldCharType="separate"/>
        </w:r>
        <w:r>
          <w:rPr>
            <w:webHidden/>
          </w:rPr>
          <w:t>68</w:t>
        </w:r>
        <w:r w:rsidR="007F5AD6">
          <w:rPr>
            <w:webHidden/>
          </w:rPr>
          <w:fldChar w:fldCharType="end"/>
        </w:r>
      </w:hyperlink>
    </w:p>
    <w:p w14:paraId="69D3ECA0" w14:textId="79055DDB" w:rsidR="007F5AD6" w:rsidRDefault="00E71361">
      <w:pPr>
        <w:pStyle w:val="TOC1"/>
        <w:rPr>
          <w:rFonts w:asciiTheme="minorHAnsi" w:hAnsiTheme="minorHAnsi"/>
          <w:sz w:val="22"/>
          <w:szCs w:val="22"/>
          <w:lang w:eastAsia="en-AU"/>
        </w:rPr>
      </w:pPr>
      <w:hyperlink w:anchor="_Toc86075586" w:history="1">
        <w:r w:rsidR="007F5AD6" w:rsidRPr="001C0EF9">
          <w:rPr>
            <w:rStyle w:val="Hyperlink"/>
          </w:rPr>
          <w:t>Section 2: Governance and organisational structure</w:t>
        </w:r>
        <w:r w:rsidR="007F5AD6">
          <w:rPr>
            <w:webHidden/>
          </w:rPr>
          <w:tab/>
        </w:r>
        <w:r w:rsidR="007F5AD6">
          <w:rPr>
            <w:webHidden/>
          </w:rPr>
          <w:fldChar w:fldCharType="begin"/>
        </w:r>
        <w:r w:rsidR="007F5AD6">
          <w:rPr>
            <w:webHidden/>
          </w:rPr>
          <w:instrText xml:space="preserve"> PAGEREF _Toc86075586 \h </w:instrText>
        </w:r>
        <w:r w:rsidR="007F5AD6">
          <w:rPr>
            <w:webHidden/>
          </w:rPr>
        </w:r>
        <w:r w:rsidR="007F5AD6">
          <w:rPr>
            <w:webHidden/>
          </w:rPr>
          <w:fldChar w:fldCharType="separate"/>
        </w:r>
        <w:r>
          <w:rPr>
            <w:webHidden/>
          </w:rPr>
          <w:t>72</w:t>
        </w:r>
        <w:r w:rsidR="007F5AD6">
          <w:rPr>
            <w:webHidden/>
          </w:rPr>
          <w:fldChar w:fldCharType="end"/>
        </w:r>
      </w:hyperlink>
    </w:p>
    <w:p w14:paraId="02299C1B" w14:textId="4A0F5833" w:rsidR="007F5AD6" w:rsidRDefault="00E71361">
      <w:pPr>
        <w:pStyle w:val="TOC2"/>
        <w:rPr>
          <w:rFonts w:asciiTheme="minorHAnsi" w:hAnsiTheme="minorHAnsi"/>
          <w:sz w:val="22"/>
          <w:szCs w:val="22"/>
          <w:lang w:eastAsia="en-AU"/>
        </w:rPr>
      </w:pPr>
      <w:hyperlink w:anchor="_Toc86075587" w:history="1">
        <w:r w:rsidR="007F5AD6" w:rsidRPr="001C0EF9">
          <w:rPr>
            <w:rStyle w:val="Hyperlink"/>
          </w:rPr>
          <w:t>The department’s ministers</w:t>
        </w:r>
        <w:r w:rsidR="007F5AD6">
          <w:rPr>
            <w:webHidden/>
          </w:rPr>
          <w:tab/>
        </w:r>
        <w:r w:rsidR="007F5AD6">
          <w:rPr>
            <w:webHidden/>
          </w:rPr>
          <w:fldChar w:fldCharType="begin"/>
        </w:r>
        <w:r w:rsidR="007F5AD6">
          <w:rPr>
            <w:webHidden/>
          </w:rPr>
          <w:instrText xml:space="preserve"> PAGEREF _Toc86075587 \h </w:instrText>
        </w:r>
        <w:r w:rsidR="007F5AD6">
          <w:rPr>
            <w:webHidden/>
          </w:rPr>
        </w:r>
        <w:r w:rsidR="007F5AD6">
          <w:rPr>
            <w:webHidden/>
          </w:rPr>
          <w:fldChar w:fldCharType="separate"/>
        </w:r>
        <w:r>
          <w:rPr>
            <w:webHidden/>
          </w:rPr>
          <w:t>72</w:t>
        </w:r>
        <w:r w:rsidR="007F5AD6">
          <w:rPr>
            <w:webHidden/>
          </w:rPr>
          <w:fldChar w:fldCharType="end"/>
        </w:r>
      </w:hyperlink>
    </w:p>
    <w:p w14:paraId="11567374" w14:textId="1BC2AD19" w:rsidR="007F5AD6" w:rsidRDefault="00E71361">
      <w:pPr>
        <w:pStyle w:val="TOC2"/>
        <w:rPr>
          <w:rFonts w:asciiTheme="minorHAnsi" w:hAnsiTheme="minorHAnsi"/>
          <w:sz w:val="22"/>
          <w:szCs w:val="22"/>
          <w:lang w:eastAsia="en-AU"/>
        </w:rPr>
      </w:pPr>
      <w:hyperlink w:anchor="_Toc86075588" w:history="1">
        <w:r w:rsidR="007F5AD6" w:rsidRPr="001C0EF9">
          <w:rPr>
            <w:rStyle w:val="Hyperlink"/>
          </w:rPr>
          <w:t>The department’s senior executives</w:t>
        </w:r>
        <w:r w:rsidR="007F5AD6">
          <w:rPr>
            <w:webHidden/>
          </w:rPr>
          <w:tab/>
        </w:r>
        <w:r w:rsidR="007F5AD6">
          <w:rPr>
            <w:webHidden/>
          </w:rPr>
          <w:fldChar w:fldCharType="begin"/>
        </w:r>
        <w:r w:rsidR="007F5AD6">
          <w:rPr>
            <w:webHidden/>
          </w:rPr>
          <w:instrText xml:space="preserve"> PAGEREF _Toc86075588 \h </w:instrText>
        </w:r>
        <w:r w:rsidR="007F5AD6">
          <w:rPr>
            <w:webHidden/>
          </w:rPr>
        </w:r>
        <w:r w:rsidR="007F5AD6">
          <w:rPr>
            <w:webHidden/>
          </w:rPr>
          <w:fldChar w:fldCharType="separate"/>
        </w:r>
        <w:r>
          <w:rPr>
            <w:webHidden/>
          </w:rPr>
          <w:t>73</w:t>
        </w:r>
        <w:r w:rsidR="007F5AD6">
          <w:rPr>
            <w:webHidden/>
          </w:rPr>
          <w:fldChar w:fldCharType="end"/>
        </w:r>
      </w:hyperlink>
    </w:p>
    <w:p w14:paraId="3C97F319" w14:textId="567EBA22" w:rsidR="007F5AD6" w:rsidRDefault="00E71361">
      <w:pPr>
        <w:pStyle w:val="TOC2"/>
        <w:rPr>
          <w:rFonts w:asciiTheme="minorHAnsi" w:hAnsiTheme="minorHAnsi"/>
          <w:sz w:val="22"/>
          <w:szCs w:val="22"/>
          <w:lang w:eastAsia="en-AU"/>
        </w:rPr>
      </w:pPr>
      <w:hyperlink w:anchor="_Toc86075589" w:history="1">
        <w:r w:rsidR="007F5AD6" w:rsidRPr="001C0EF9">
          <w:rPr>
            <w:rStyle w:val="Hyperlink"/>
          </w:rPr>
          <w:t>Organisational chart</w:t>
        </w:r>
        <w:r w:rsidR="007F5AD6">
          <w:rPr>
            <w:webHidden/>
          </w:rPr>
          <w:tab/>
        </w:r>
        <w:r w:rsidR="007F5AD6">
          <w:rPr>
            <w:webHidden/>
          </w:rPr>
          <w:fldChar w:fldCharType="begin"/>
        </w:r>
        <w:r w:rsidR="007F5AD6">
          <w:rPr>
            <w:webHidden/>
          </w:rPr>
          <w:instrText xml:space="preserve"> PAGEREF _Toc86075589 \h </w:instrText>
        </w:r>
        <w:r w:rsidR="007F5AD6">
          <w:rPr>
            <w:webHidden/>
          </w:rPr>
        </w:r>
        <w:r w:rsidR="007F5AD6">
          <w:rPr>
            <w:webHidden/>
          </w:rPr>
          <w:fldChar w:fldCharType="separate"/>
        </w:r>
        <w:r>
          <w:rPr>
            <w:webHidden/>
          </w:rPr>
          <w:t>75</w:t>
        </w:r>
        <w:r w:rsidR="007F5AD6">
          <w:rPr>
            <w:webHidden/>
          </w:rPr>
          <w:fldChar w:fldCharType="end"/>
        </w:r>
      </w:hyperlink>
    </w:p>
    <w:p w14:paraId="2C55DB47" w14:textId="63E3923B" w:rsidR="007F5AD6" w:rsidRDefault="00E71361">
      <w:pPr>
        <w:pStyle w:val="TOC2"/>
        <w:rPr>
          <w:rFonts w:asciiTheme="minorHAnsi" w:hAnsiTheme="minorHAnsi"/>
          <w:sz w:val="22"/>
          <w:szCs w:val="22"/>
          <w:lang w:eastAsia="en-AU"/>
        </w:rPr>
      </w:pPr>
      <w:hyperlink w:anchor="_Toc86075590" w:history="1">
        <w:r w:rsidR="007F5AD6" w:rsidRPr="001C0EF9">
          <w:rPr>
            <w:rStyle w:val="Hyperlink"/>
          </w:rPr>
          <w:t>Committee structure</w:t>
        </w:r>
        <w:r w:rsidR="007F5AD6">
          <w:rPr>
            <w:webHidden/>
          </w:rPr>
          <w:tab/>
        </w:r>
        <w:r w:rsidR="007F5AD6">
          <w:rPr>
            <w:webHidden/>
          </w:rPr>
          <w:fldChar w:fldCharType="begin"/>
        </w:r>
        <w:r w:rsidR="007F5AD6">
          <w:rPr>
            <w:webHidden/>
          </w:rPr>
          <w:instrText xml:space="preserve"> PAGEREF _Toc86075590 \h </w:instrText>
        </w:r>
        <w:r w:rsidR="007F5AD6">
          <w:rPr>
            <w:webHidden/>
          </w:rPr>
        </w:r>
        <w:r w:rsidR="007F5AD6">
          <w:rPr>
            <w:webHidden/>
          </w:rPr>
          <w:fldChar w:fldCharType="separate"/>
        </w:r>
        <w:r>
          <w:rPr>
            <w:webHidden/>
          </w:rPr>
          <w:t>76</w:t>
        </w:r>
        <w:r w:rsidR="007F5AD6">
          <w:rPr>
            <w:webHidden/>
          </w:rPr>
          <w:fldChar w:fldCharType="end"/>
        </w:r>
      </w:hyperlink>
    </w:p>
    <w:p w14:paraId="74C9FA6C" w14:textId="7144DD2D" w:rsidR="007F5AD6" w:rsidRDefault="00E71361">
      <w:pPr>
        <w:pStyle w:val="TOC1"/>
        <w:rPr>
          <w:rFonts w:asciiTheme="minorHAnsi" w:hAnsiTheme="minorHAnsi"/>
          <w:sz w:val="22"/>
          <w:szCs w:val="22"/>
          <w:lang w:eastAsia="en-AU"/>
        </w:rPr>
      </w:pPr>
      <w:hyperlink w:anchor="_Toc86075591" w:history="1">
        <w:r w:rsidR="007F5AD6" w:rsidRPr="001C0EF9">
          <w:rPr>
            <w:rStyle w:val="Hyperlink"/>
          </w:rPr>
          <w:t>Section 3: Workforce data</w:t>
        </w:r>
        <w:r w:rsidR="007F5AD6">
          <w:rPr>
            <w:webHidden/>
          </w:rPr>
          <w:tab/>
        </w:r>
        <w:r w:rsidR="007F5AD6">
          <w:rPr>
            <w:webHidden/>
          </w:rPr>
          <w:fldChar w:fldCharType="begin"/>
        </w:r>
        <w:r w:rsidR="007F5AD6">
          <w:rPr>
            <w:webHidden/>
          </w:rPr>
          <w:instrText xml:space="preserve"> PAGEREF _Toc86075591 \h </w:instrText>
        </w:r>
        <w:r w:rsidR="007F5AD6">
          <w:rPr>
            <w:webHidden/>
          </w:rPr>
        </w:r>
        <w:r w:rsidR="007F5AD6">
          <w:rPr>
            <w:webHidden/>
          </w:rPr>
          <w:fldChar w:fldCharType="separate"/>
        </w:r>
        <w:r>
          <w:rPr>
            <w:webHidden/>
          </w:rPr>
          <w:t>78</w:t>
        </w:r>
        <w:r w:rsidR="007F5AD6">
          <w:rPr>
            <w:webHidden/>
          </w:rPr>
          <w:fldChar w:fldCharType="end"/>
        </w:r>
      </w:hyperlink>
    </w:p>
    <w:p w14:paraId="0398F3F4" w14:textId="6442301B" w:rsidR="007F5AD6" w:rsidRDefault="00E71361">
      <w:pPr>
        <w:pStyle w:val="TOC2"/>
        <w:rPr>
          <w:rFonts w:asciiTheme="minorHAnsi" w:hAnsiTheme="minorHAnsi"/>
          <w:sz w:val="22"/>
          <w:szCs w:val="22"/>
          <w:lang w:eastAsia="en-AU"/>
        </w:rPr>
      </w:pPr>
      <w:hyperlink w:anchor="_Toc86075592" w:history="1">
        <w:r w:rsidR="007F5AD6" w:rsidRPr="001C0EF9">
          <w:rPr>
            <w:rStyle w:val="Hyperlink"/>
            <w:rFonts w:cs="Arial"/>
          </w:rPr>
          <w:t>Public sector values and employment principles</w:t>
        </w:r>
        <w:r w:rsidR="007F5AD6">
          <w:rPr>
            <w:webHidden/>
          </w:rPr>
          <w:tab/>
        </w:r>
        <w:r w:rsidR="007F5AD6">
          <w:rPr>
            <w:webHidden/>
          </w:rPr>
          <w:fldChar w:fldCharType="begin"/>
        </w:r>
        <w:r w:rsidR="007F5AD6">
          <w:rPr>
            <w:webHidden/>
          </w:rPr>
          <w:instrText xml:space="preserve"> PAGEREF _Toc86075592 \h </w:instrText>
        </w:r>
        <w:r w:rsidR="007F5AD6">
          <w:rPr>
            <w:webHidden/>
          </w:rPr>
        </w:r>
        <w:r w:rsidR="007F5AD6">
          <w:rPr>
            <w:webHidden/>
          </w:rPr>
          <w:fldChar w:fldCharType="separate"/>
        </w:r>
        <w:r>
          <w:rPr>
            <w:webHidden/>
          </w:rPr>
          <w:t>78</w:t>
        </w:r>
        <w:r w:rsidR="007F5AD6">
          <w:rPr>
            <w:webHidden/>
          </w:rPr>
          <w:fldChar w:fldCharType="end"/>
        </w:r>
      </w:hyperlink>
    </w:p>
    <w:p w14:paraId="1DD38EB7" w14:textId="5695C3FE" w:rsidR="007F5AD6" w:rsidRDefault="00E71361">
      <w:pPr>
        <w:pStyle w:val="TOC2"/>
        <w:rPr>
          <w:rFonts w:asciiTheme="minorHAnsi" w:hAnsiTheme="minorHAnsi"/>
          <w:sz w:val="22"/>
          <w:szCs w:val="22"/>
          <w:lang w:eastAsia="en-AU"/>
        </w:rPr>
      </w:pPr>
      <w:hyperlink w:anchor="_Toc86075593" w:history="1">
        <w:r w:rsidR="007F5AD6" w:rsidRPr="001C0EF9">
          <w:rPr>
            <w:rStyle w:val="Hyperlink"/>
            <w:rFonts w:cs="Arial"/>
          </w:rPr>
          <w:t>Comparative workforce data</w:t>
        </w:r>
        <w:r w:rsidR="007F5AD6">
          <w:rPr>
            <w:webHidden/>
          </w:rPr>
          <w:tab/>
        </w:r>
        <w:r w:rsidR="007F5AD6">
          <w:rPr>
            <w:webHidden/>
          </w:rPr>
          <w:fldChar w:fldCharType="begin"/>
        </w:r>
        <w:r w:rsidR="007F5AD6">
          <w:rPr>
            <w:webHidden/>
          </w:rPr>
          <w:instrText xml:space="preserve"> PAGEREF _Toc86075593 \h </w:instrText>
        </w:r>
        <w:r w:rsidR="007F5AD6">
          <w:rPr>
            <w:webHidden/>
          </w:rPr>
        </w:r>
        <w:r w:rsidR="007F5AD6">
          <w:rPr>
            <w:webHidden/>
          </w:rPr>
          <w:fldChar w:fldCharType="separate"/>
        </w:r>
        <w:r>
          <w:rPr>
            <w:webHidden/>
          </w:rPr>
          <w:t>80</w:t>
        </w:r>
        <w:r w:rsidR="007F5AD6">
          <w:rPr>
            <w:webHidden/>
          </w:rPr>
          <w:fldChar w:fldCharType="end"/>
        </w:r>
      </w:hyperlink>
    </w:p>
    <w:p w14:paraId="5816C95D" w14:textId="4B1A696D" w:rsidR="007F5AD6" w:rsidRDefault="00E71361">
      <w:pPr>
        <w:pStyle w:val="TOC2"/>
        <w:rPr>
          <w:rFonts w:asciiTheme="minorHAnsi" w:hAnsiTheme="minorHAnsi"/>
          <w:sz w:val="22"/>
          <w:szCs w:val="22"/>
          <w:lang w:eastAsia="en-AU"/>
        </w:rPr>
      </w:pPr>
      <w:hyperlink w:anchor="_Toc86075594" w:history="1">
        <w:r w:rsidR="007F5AD6" w:rsidRPr="001C0EF9">
          <w:rPr>
            <w:rStyle w:val="Hyperlink"/>
            <w:rFonts w:cs="Arial"/>
          </w:rPr>
          <w:t>Executive officer data</w:t>
        </w:r>
        <w:r w:rsidR="007F5AD6">
          <w:rPr>
            <w:webHidden/>
          </w:rPr>
          <w:tab/>
        </w:r>
        <w:r w:rsidR="007F5AD6">
          <w:rPr>
            <w:webHidden/>
          </w:rPr>
          <w:fldChar w:fldCharType="begin"/>
        </w:r>
        <w:r w:rsidR="007F5AD6">
          <w:rPr>
            <w:webHidden/>
          </w:rPr>
          <w:instrText xml:space="preserve"> PAGEREF _Toc86075594 \h </w:instrText>
        </w:r>
        <w:r w:rsidR="007F5AD6">
          <w:rPr>
            <w:webHidden/>
          </w:rPr>
        </w:r>
        <w:r w:rsidR="007F5AD6">
          <w:rPr>
            <w:webHidden/>
          </w:rPr>
          <w:fldChar w:fldCharType="separate"/>
        </w:r>
        <w:r>
          <w:rPr>
            <w:webHidden/>
          </w:rPr>
          <w:t>88</w:t>
        </w:r>
        <w:r w:rsidR="007F5AD6">
          <w:rPr>
            <w:webHidden/>
          </w:rPr>
          <w:fldChar w:fldCharType="end"/>
        </w:r>
      </w:hyperlink>
    </w:p>
    <w:p w14:paraId="7D37C82D" w14:textId="6EFE8EAA" w:rsidR="007F5AD6" w:rsidRDefault="00E71361">
      <w:pPr>
        <w:pStyle w:val="TOC2"/>
        <w:rPr>
          <w:rFonts w:asciiTheme="minorHAnsi" w:hAnsiTheme="minorHAnsi"/>
          <w:sz w:val="22"/>
          <w:szCs w:val="22"/>
          <w:lang w:eastAsia="en-AU"/>
        </w:rPr>
      </w:pPr>
      <w:hyperlink w:anchor="_Toc86075595" w:history="1">
        <w:r w:rsidR="007F5AD6" w:rsidRPr="001C0EF9">
          <w:rPr>
            <w:rStyle w:val="Hyperlink"/>
            <w:rFonts w:cs="Arial"/>
          </w:rPr>
          <w:t>Workforce inclusion policy</w:t>
        </w:r>
        <w:r w:rsidR="007F5AD6">
          <w:rPr>
            <w:webHidden/>
          </w:rPr>
          <w:tab/>
        </w:r>
        <w:r w:rsidR="007F5AD6">
          <w:rPr>
            <w:webHidden/>
          </w:rPr>
          <w:fldChar w:fldCharType="begin"/>
        </w:r>
        <w:r w:rsidR="007F5AD6">
          <w:rPr>
            <w:webHidden/>
          </w:rPr>
          <w:instrText xml:space="preserve"> PAGEREF _Toc86075595 \h </w:instrText>
        </w:r>
        <w:r w:rsidR="007F5AD6">
          <w:rPr>
            <w:webHidden/>
          </w:rPr>
        </w:r>
        <w:r w:rsidR="007F5AD6">
          <w:rPr>
            <w:webHidden/>
          </w:rPr>
          <w:fldChar w:fldCharType="separate"/>
        </w:r>
        <w:r>
          <w:rPr>
            <w:webHidden/>
          </w:rPr>
          <w:t>95</w:t>
        </w:r>
        <w:r w:rsidR="007F5AD6">
          <w:rPr>
            <w:webHidden/>
          </w:rPr>
          <w:fldChar w:fldCharType="end"/>
        </w:r>
      </w:hyperlink>
    </w:p>
    <w:p w14:paraId="60076CEB" w14:textId="6A525B20" w:rsidR="007F5AD6" w:rsidRDefault="00E71361">
      <w:pPr>
        <w:pStyle w:val="TOC2"/>
        <w:rPr>
          <w:rFonts w:asciiTheme="minorHAnsi" w:hAnsiTheme="minorHAnsi"/>
          <w:sz w:val="22"/>
          <w:szCs w:val="22"/>
          <w:lang w:eastAsia="en-AU"/>
        </w:rPr>
      </w:pPr>
      <w:hyperlink w:anchor="_Toc86075596" w:history="1">
        <w:r w:rsidR="007F5AD6" w:rsidRPr="001C0EF9">
          <w:rPr>
            <w:rStyle w:val="Hyperlink"/>
            <w:rFonts w:cs="Arial"/>
          </w:rPr>
          <w:t>Occupational health and safety</w:t>
        </w:r>
        <w:r w:rsidR="007F5AD6">
          <w:rPr>
            <w:webHidden/>
          </w:rPr>
          <w:tab/>
        </w:r>
        <w:r w:rsidR="007F5AD6">
          <w:rPr>
            <w:webHidden/>
          </w:rPr>
          <w:fldChar w:fldCharType="begin"/>
        </w:r>
        <w:r w:rsidR="007F5AD6">
          <w:rPr>
            <w:webHidden/>
          </w:rPr>
          <w:instrText xml:space="preserve"> PAGEREF _Toc86075596 \h </w:instrText>
        </w:r>
        <w:r w:rsidR="007F5AD6">
          <w:rPr>
            <w:webHidden/>
          </w:rPr>
        </w:r>
        <w:r w:rsidR="007F5AD6">
          <w:rPr>
            <w:webHidden/>
          </w:rPr>
          <w:fldChar w:fldCharType="separate"/>
        </w:r>
        <w:r>
          <w:rPr>
            <w:webHidden/>
          </w:rPr>
          <w:t>98</w:t>
        </w:r>
        <w:r w:rsidR="007F5AD6">
          <w:rPr>
            <w:webHidden/>
          </w:rPr>
          <w:fldChar w:fldCharType="end"/>
        </w:r>
      </w:hyperlink>
    </w:p>
    <w:p w14:paraId="17EA55E8" w14:textId="009C0D8D" w:rsidR="007F5AD6" w:rsidRDefault="00E71361">
      <w:pPr>
        <w:pStyle w:val="TOC1"/>
        <w:rPr>
          <w:rFonts w:asciiTheme="minorHAnsi" w:hAnsiTheme="minorHAnsi"/>
          <w:sz w:val="22"/>
          <w:szCs w:val="22"/>
          <w:lang w:eastAsia="en-AU"/>
        </w:rPr>
      </w:pPr>
      <w:hyperlink w:anchor="_Toc86075597" w:history="1">
        <w:r w:rsidR="007F5AD6" w:rsidRPr="001C0EF9">
          <w:rPr>
            <w:rStyle w:val="Hyperlink"/>
          </w:rPr>
          <w:t>Section 4: Other disclosures</w:t>
        </w:r>
        <w:r w:rsidR="007F5AD6">
          <w:rPr>
            <w:webHidden/>
          </w:rPr>
          <w:tab/>
        </w:r>
        <w:r w:rsidR="007F5AD6">
          <w:rPr>
            <w:webHidden/>
          </w:rPr>
          <w:fldChar w:fldCharType="begin"/>
        </w:r>
        <w:r w:rsidR="007F5AD6">
          <w:rPr>
            <w:webHidden/>
          </w:rPr>
          <w:instrText xml:space="preserve"> PAGEREF _Toc86075597 \h </w:instrText>
        </w:r>
        <w:r w:rsidR="007F5AD6">
          <w:rPr>
            <w:webHidden/>
          </w:rPr>
        </w:r>
        <w:r w:rsidR="007F5AD6">
          <w:rPr>
            <w:webHidden/>
          </w:rPr>
          <w:fldChar w:fldCharType="separate"/>
        </w:r>
        <w:r>
          <w:rPr>
            <w:webHidden/>
          </w:rPr>
          <w:t>101</w:t>
        </w:r>
        <w:r w:rsidR="007F5AD6">
          <w:rPr>
            <w:webHidden/>
          </w:rPr>
          <w:fldChar w:fldCharType="end"/>
        </w:r>
      </w:hyperlink>
    </w:p>
    <w:p w14:paraId="13EE534A" w14:textId="5ECBC112" w:rsidR="007F5AD6" w:rsidRDefault="00E71361">
      <w:pPr>
        <w:pStyle w:val="TOC2"/>
        <w:rPr>
          <w:rFonts w:asciiTheme="minorHAnsi" w:hAnsiTheme="minorHAnsi"/>
          <w:sz w:val="22"/>
          <w:szCs w:val="22"/>
          <w:lang w:eastAsia="en-AU"/>
        </w:rPr>
      </w:pPr>
      <w:hyperlink w:anchor="_Toc86075598" w:history="1">
        <w:r w:rsidR="007F5AD6" w:rsidRPr="001C0EF9">
          <w:rPr>
            <w:rStyle w:val="Hyperlink"/>
            <w:rFonts w:cs="Arial"/>
          </w:rPr>
          <w:t>Local Jobs First</w:t>
        </w:r>
        <w:r w:rsidR="007F5AD6">
          <w:rPr>
            <w:webHidden/>
          </w:rPr>
          <w:tab/>
        </w:r>
        <w:r w:rsidR="007F5AD6">
          <w:rPr>
            <w:webHidden/>
          </w:rPr>
          <w:fldChar w:fldCharType="begin"/>
        </w:r>
        <w:r w:rsidR="007F5AD6">
          <w:rPr>
            <w:webHidden/>
          </w:rPr>
          <w:instrText xml:space="preserve"> PAGEREF _Toc86075598 \h </w:instrText>
        </w:r>
        <w:r w:rsidR="007F5AD6">
          <w:rPr>
            <w:webHidden/>
          </w:rPr>
        </w:r>
        <w:r w:rsidR="007F5AD6">
          <w:rPr>
            <w:webHidden/>
          </w:rPr>
          <w:fldChar w:fldCharType="separate"/>
        </w:r>
        <w:r>
          <w:rPr>
            <w:webHidden/>
          </w:rPr>
          <w:t>101</w:t>
        </w:r>
        <w:r w:rsidR="007F5AD6">
          <w:rPr>
            <w:webHidden/>
          </w:rPr>
          <w:fldChar w:fldCharType="end"/>
        </w:r>
      </w:hyperlink>
    </w:p>
    <w:p w14:paraId="38FE0597" w14:textId="48A40796" w:rsidR="007F5AD6" w:rsidRDefault="00E71361">
      <w:pPr>
        <w:pStyle w:val="TOC2"/>
        <w:rPr>
          <w:rFonts w:asciiTheme="minorHAnsi" w:hAnsiTheme="minorHAnsi"/>
          <w:sz w:val="22"/>
          <w:szCs w:val="22"/>
          <w:lang w:eastAsia="en-AU"/>
        </w:rPr>
      </w:pPr>
      <w:hyperlink w:anchor="_Toc86075599" w:history="1">
        <w:r w:rsidR="007F5AD6" w:rsidRPr="001C0EF9">
          <w:rPr>
            <w:rStyle w:val="Hyperlink"/>
            <w:rFonts w:cs="Arial"/>
          </w:rPr>
          <w:t>Disclosure of major contracts</w:t>
        </w:r>
        <w:r w:rsidR="007F5AD6">
          <w:rPr>
            <w:webHidden/>
          </w:rPr>
          <w:tab/>
        </w:r>
        <w:r w:rsidR="007F5AD6">
          <w:rPr>
            <w:webHidden/>
          </w:rPr>
          <w:fldChar w:fldCharType="begin"/>
        </w:r>
        <w:r w:rsidR="007F5AD6">
          <w:rPr>
            <w:webHidden/>
          </w:rPr>
          <w:instrText xml:space="preserve"> PAGEREF _Toc86075599 \h </w:instrText>
        </w:r>
        <w:r w:rsidR="007F5AD6">
          <w:rPr>
            <w:webHidden/>
          </w:rPr>
        </w:r>
        <w:r w:rsidR="007F5AD6">
          <w:rPr>
            <w:webHidden/>
          </w:rPr>
          <w:fldChar w:fldCharType="separate"/>
        </w:r>
        <w:r>
          <w:rPr>
            <w:webHidden/>
          </w:rPr>
          <w:t>102</w:t>
        </w:r>
        <w:r w:rsidR="007F5AD6">
          <w:rPr>
            <w:webHidden/>
          </w:rPr>
          <w:fldChar w:fldCharType="end"/>
        </w:r>
      </w:hyperlink>
    </w:p>
    <w:p w14:paraId="0429452E" w14:textId="3D9E254C" w:rsidR="007F5AD6" w:rsidRDefault="00E71361">
      <w:pPr>
        <w:pStyle w:val="TOC2"/>
        <w:rPr>
          <w:rFonts w:asciiTheme="minorHAnsi" w:hAnsiTheme="minorHAnsi"/>
          <w:sz w:val="22"/>
          <w:szCs w:val="22"/>
          <w:lang w:eastAsia="en-AU"/>
        </w:rPr>
      </w:pPr>
      <w:hyperlink w:anchor="_Toc86075600" w:history="1">
        <w:r w:rsidR="007F5AD6" w:rsidRPr="001C0EF9">
          <w:rPr>
            <w:rStyle w:val="Hyperlink"/>
            <w:rFonts w:cs="Arial"/>
          </w:rPr>
          <w:t>Government advertising expenditure</w:t>
        </w:r>
        <w:r w:rsidR="007F5AD6">
          <w:rPr>
            <w:webHidden/>
          </w:rPr>
          <w:tab/>
        </w:r>
        <w:r w:rsidR="007F5AD6">
          <w:rPr>
            <w:webHidden/>
          </w:rPr>
          <w:fldChar w:fldCharType="begin"/>
        </w:r>
        <w:r w:rsidR="007F5AD6">
          <w:rPr>
            <w:webHidden/>
          </w:rPr>
          <w:instrText xml:space="preserve"> PAGEREF _Toc86075600 \h </w:instrText>
        </w:r>
        <w:r w:rsidR="007F5AD6">
          <w:rPr>
            <w:webHidden/>
          </w:rPr>
        </w:r>
        <w:r w:rsidR="007F5AD6">
          <w:rPr>
            <w:webHidden/>
          </w:rPr>
          <w:fldChar w:fldCharType="separate"/>
        </w:r>
        <w:r>
          <w:rPr>
            <w:webHidden/>
          </w:rPr>
          <w:t>103</w:t>
        </w:r>
        <w:r w:rsidR="007F5AD6">
          <w:rPr>
            <w:webHidden/>
          </w:rPr>
          <w:fldChar w:fldCharType="end"/>
        </w:r>
      </w:hyperlink>
    </w:p>
    <w:p w14:paraId="3E4FA896" w14:textId="21B48BA3" w:rsidR="007F5AD6" w:rsidRDefault="00E71361">
      <w:pPr>
        <w:pStyle w:val="TOC2"/>
        <w:rPr>
          <w:rFonts w:asciiTheme="minorHAnsi" w:hAnsiTheme="minorHAnsi"/>
          <w:sz w:val="22"/>
          <w:szCs w:val="22"/>
          <w:lang w:eastAsia="en-AU"/>
        </w:rPr>
      </w:pPr>
      <w:hyperlink w:anchor="_Toc86075601" w:history="1">
        <w:r w:rsidR="007F5AD6" w:rsidRPr="001C0EF9">
          <w:rPr>
            <w:rStyle w:val="Hyperlink"/>
            <w:rFonts w:cs="Arial"/>
          </w:rPr>
          <w:t>Consultancy expenditure</w:t>
        </w:r>
        <w:r w:rsidR="007F5AD6">
          <w:rPr>
            <w:webHidden/>
          </w:rPr>
          <w:tab/>
        </w:r>
        <w:r w:rsidR="007F5AD6">
          <w:rPr>
            <w:webHidden/>
          </w:rPr>
          <w:fldChar w:fldCharType="begin"/>
        </w:r>
        <w:r w:rsidR="007F5AD6">
          <w:rPr>
            <w:webHidden/>
          </w:rPr>
          <w:instrText xml:space="preserve"> PAGEREF _Toc86075601 \h </w:instrText>
        </w:r>
        <w:r w:rsidR="007F5AD6">
          <w:rPr>
            <w:webHidden/>
          </w:rPr>
        </w:r>
        <w:r w:rsidR="007F5AD6">
          <w:rPr>
            <w:webHidden/>
          </w:rPr>
          <w:fldChar w:fldCharType="separate"/>
        </w:r>
        <w:r>
          <w:rPr>
            <w:webHidden/>
          </w:rPr>
          <w:t>105</w:t>
        </w:r>
        <w:r w:rsidR="007F5AD6">
          <w:rPr>
            <w:webHidden/>
          </w:rPr>
          <w:fldChar w:fldCharType="end"/>
        </w:r>
      </w:hyperlink>
    </w:p>
    <w:p w14:paraId="11036926" w14:textId="64A49398" w:rsidR="007F5AD6" w:rsidRDefault="00E71361">
      <w:pPr>
        <w:pStyle w:val="TOC2"/>
        <w:rPr>
          <w:rFonts w:asciiTheme="minorHAnsi" w:hAnsiTheme="minorHAnsi"/>
          <w:sz w:val="22"/>
          <w:szCs w:val="22"/>
          <w:lang w:eastAsia="en-AU"/>
        </w:rPr>
      </w:pPr>
      <w:hyperlink w:anchor="_Toc86075602" w:history="1">
        <w:r w:rsidR="007F5AD6" w:rsidRPr="001C0EF9">
          <w:rPr>
            <w:rStyle w:val="Hyperlink"/>
          </w:rPr>
          <w:t>Information and communication technology expenditure</w:t>
        </w:r>
        <w:r w:rsidR="007F5AD6">
          <w:rPr>
            <w:webHidden/>
          </w:rPr>
          <w:tab/>
        </w:r>
        <w:r w:rsidR="007F5AD6">
          <w:rPr>
            <w:webHidden/>
          </w:rPr>
          <w:fldChar w:fldCharType="begin"/>
        </w:r>
        <w:r w:rsidR="007F5AD6">
          <w:rPr>
            <w:webHidden/>
          </w:rPr>
          <w:instrText xml:space="preserve"> PAGEREF _Toc86075602 \h </w:instrText>
        </w:r>
        <w:r w:rsidR="007F5AD6">
          <w:rPr>
            <w:webHidden/>
          </w:rPr>
        </w:r>
        <w:r w:rsidR="007F5AD6">
          <w:rPr>
            <w:webHidden/>
          </w:rPr>
          <w:fldChar w:fldCharType="separate"/>
        </w:r>
        <w:r>
          <w:rPr>
            <w:webHidden/>
          </w:rPr>
          <w:t>111</w:t>
        </w:r>
        <w:r w:rsidR="007F5AD6">
          <w:rPr>
            <w:webHidden/>
          </w:rPr>
          <w:fldChar w:fldCharType="end"/>
        </w:r>
      </w:hyperlink>
    </w:p>
    <w:p w14:paraId="4AE58470" w14:textId="3F95554B" w:rsidR="007F5AD6" w:rsidRDefault="00E71361">
      <w:pPr>
        <w:pStyle w:val="TOC2"/>
        <w:rPr>
          <w:rFonts w:asciiTheme="minorHAnsi" w:hAnsiTheme="minorHAnsi"/>
          <w:sz w:val="22"/>
          <w:szCs w:val="22"/>
          <w:lang w:eastAsia="en-AU"/>
        </w:rPr>
      </w:pPr>
      <w:hyperlink w:anchor="_Toc86075603" w:history="1">
        <w:r w:rsidR="007F5AD6" w:rsidRPr="001C0EF9">
          <w:rPr>
            <w:rStyle w:val="Hyperlink"/>
            <w:rFonts w:cs="Arial"/>
          </w:rPr>
          <w:t>Compliance with the Building Act 1993</w:t>
        </w:r>
        <w:r w:rsidR="007F5AD6">
          <w:rPr>
            <w:webHidden/>
          </w:rPr>
          <w:tab/>
        </w:r>
        <w:r w:rsidR="007F5AD6">
          <w:rPr>
            <w:webHidden/>
          </w:rPr>
          <w:fldChar w:fldCharType="begin"/>
        </w:r>
        <w:r w:rsidR="007F5AD6">
          <w:rPr>
            <w:webHidden/>
          </w:rPr>
          <w:instrText xml:space="preserve"> PAGEREF _Toc86075603 \h </w:instrText>
        </w:r>
        <w:r w:rsidR="007F5AD6">
          <w:rPr>
            <w:webHidden/>
          </w:rPr>
        </w:r>
        <w:r w:rsidR="007F5AD6">
          <w:rPr>
            <w:webHidden/>
          </w:rPr>
          <w:fldChar w:fldCharType="separate"/>
        </w:r>
        <w:r>
          <w:rPr>
            <w:webHidden/>
          </w:rPr>
          <w:t>111</w:t>
        </w:r>
        <w:r w:rsidR="007F5AD6">
          <w:rPr>
            <w:webHidden/>
          </w:rPr>
          <w:fldChar w:fldCharType="end"/>
        </w:r>
      </w:hyperlink>
    </w:p>
    <w:p w14:paraId="621687EA" w14:textId="30F8A91D" w:rsidR="007F5AD6" w:rsidRDefault="00E71361">
      <w:pPr>
        <w:pStyle w:val="TOC2"/>
        <w:rPr>
          <w:rFonts w:asciiTheme="minorHAnsi" w:hAnsiTheme="minorHAnsi"/>
          <w:sz w:val="22"/>
          <w:szCs w:val="22"/>
          <w:lang w:eastAsia="en-AU"/>
        </w:rPr>
      </w:pPr>
      <w:hyperlink w:anchor="_Toc86075604" w:history="1">
        <w:r w:rsidR="007F5AD6" w:rsidRPr="001C0EF9">
          <w:rPr>
            <w:rStyle w:val="Hyperlink"/>
            <w:rFonts w:cs="Arial"/>
          </w:rPr>
          <w:t>Competitive neutrality policy</w:t>
        </w:r>
        <w:r w:rsidR="007F5AD6">
          <w:rPr>
            <w:webHidden/>
          </w:rPr>
          <w:tab/>
        </w:r>
        <w:r w:rsidR="007F5AD6">
          <w:rPr>
            <w:webHidden/>
          </w:rPr>
          <w:fldChar w:fldCharType="begin"/>
        </w:r>
        <w:r w:rsidR="007F5AD6">
          <w:rPr>
            <w:webHidden/>
          </w:rPr>
          <w:instrText xml:space="preserve"> PAGEREF _Toc86075604 \h </w:instrText>
        </w:r>
        <w:r w:rsidR="007F5AD6">
          <w:rPr>
            <w:webHidden/>
          </w:rPr>
        </w:r>
        <w:r w:rsidR="007F5AD6">
          <w:rPr>
            <w:webHidden/>
          </w:rPr>
          <w:fldChar w:fldCharType="separate"/>
        </w:r>
        <w:r>
          <w:rPr>
            <w:webHidden/>
          </w:rPr>
          <w:t>111</w:t>
        </w:r>
        <w:r w:rsidR="007F5AD6">
          <w:rPr>
            <w:webHidden/>
          </w:rPr>
          <w:fldChar w:fldCharType="end"/>
        </w:r>
      </w:hyperlink>
    </w:p>
    <w:p w14:paraId="156903F0" w14:textId="6D755B0B" w:rsidR="007F5AD6" w:rsidRDefault="00E71361">
      <w:pPr>
        <w:pStyle w:val="TOC2"/>
        <w:rPr>
          <w:rFonts w:asciiTheme="minorHAnsi" w:hAnsiTheme="minorHAnsi"/>
          <w:sz w:val="22"/>
          <w:szCs w:val="22"/>
          <w:lang w:eastAsia="en-AU"/>
        </w:rPr>
      </w:pPr>
      <w:hyperlink w:anchor="_Toc86075605" w:history="1">
        <w:r w:rsidR="007F5AD6" w:rsidRPr="001C0EF9">
          <w:rPr>
            <w:rStyle w:val="Hyperlink"/>
          </w:rPr>
          <w:t>Freedom of information</w:t>
        </w:r>
        <w:r w:rsidR="007F5AD6">
          <w:rPr>
            <w:webHidden/>
          </w:rPr>
          <w:tab/>
        </w:r>
        <w:r w:rsidR="007F5AD6">
          <w:rPr>
            <w:webHidden/>
          </w:rPr>
          <w:fldChar w:fldCharType="begin"/>
        </w:r>
        <w:r w:rsidR="007F5AD6">
          <w:rPr>
            <w:webHidden/>
          </w:rPr>
          <w:instrText xml:space="preserve"> PAGEREF _Toc86075605 \h </w:instrText>
        </w:r>
        <w:r w:rsidR="007F5AD6">
          <w:rPr>
            <w:webHidden/>
          </w:rPr>
        </w:r>
        <w:r w:rsidR="007F5AD6">
          <w:rPr>
            <w:webHidden/>
          </w:rPr>
          <w:fldChar w:fldCharType="separate"/>
        </w:r>
        <w:r>
          <w:rPr>
            <w:webHidden/>
          </w:rPr>
          <w:t>112</w:t>
        </w:r>
        <w:r w:rsidR="007F5AD6">
          <w:rPr>
            <w:webHidden/>
          </w:rPr>
          <w:fldChar w:fldCharType="end"/>
        </w:r>
      </w:hyperlink>
    </w:p>
    <w:p w14:paraId="78C8BF30" w14:textId="4BF59EB5" w:rsidR="007F5AD6" w:rsidRDefault="00E71361">
      <w:pPr>
        <w:pStyle w:val="TOC2"/>
        <w:rPr>
          <w:rFonts w:asciiTheme="minorHAnsi" w:hAnsiTheme="minorHAnsi"/>
          <w:sz w:val="22"/>
          <w:szCs w:val="22"/>
          <w:lang w:eastAsia="en-AU"/>
        </w:rPr>
      </w:pPr>
      <w:hyperlink w:anchor="_Toc86075606" w:history="1">
        <w:r w:rsidR="007F5AD6" w:rsidRPr="001C0EF9">
          <w:rPr>
            <w:rStyle w:val="Hyperlink"/>
            <w:rFonts w:cs="Arial"/>
          </w:rPr>
          <w:t>Compliance with the Public Interest Disclosures Act 2012</w:t>
        </w:r>
        <w:r w:rsidR="007F5AD6">
          <w:rPr>
            <w:webHidden/>
          </w:rPr>
          <w:tab/>
        </w:r>
        <w:r w:rsidR="007F5AD6">
          <w:rPr>
            <w:webHidden/>
          </w:rPr>
          <w:fldChar w:fldCharType="begin"/>
        </w:r>
        <w:r w:rsidR="007F5AD6">
          <w:rPr>
            <w:webHidden/>
          </w:rPr>
          <w:instrText xml:space="preserve"> PAGEREF _Toc86075606 \h </w:instrText>
        </w:r>
        <w:r w:rsidR="007F5AD6">
          <w:rPr>
            <w:webHidden/>
          </w:rPr>
        </w:r>
        <w:r w:rsidR="007F5AD6">
          <w:rPr>
            <w:webHidden/>
          </w:rPr>
          <w:fldChar w:fldCharType="separate"/>
        </w:r>
        <w:r>
          <w:rPr>
            <w:webHidden/>
          </w:rPr>
          <w:t>113</w:t>
        </w:r>
        <w:r w:rsidR="007F5AD6">
          <w:rPr>
            <w:webHidden/>
          </w:rPr>
          <w:fldChar w:fldCharType="end"/>
        </w:r>
      </w:hyperlink>
    </w:p>
    <w:p w14:paraId="485B8CB2" w14:textId="25E43BE3" w:rsidR="007F5AD6" w:rsidRDefault="00E71361">
      <w:pPr>
        <w:pStyle w:val="TOC2"/>
        <w:rPr>
          <w:rFonts w:asciiTheme="minorHAnsi" w:hAnsiTheme="minorHAnsi"/>
          <w:sz w:val="22"/>
          <w:szCs w:val="22"/>
          <w:lang w:eastAsia="en-AU"/>
        </w:rPr>
      </w:pPr>
      <w:hyperlink w:anchor="_Toc86075607" w:history="1">
        <w:r w:rsidR="007F5AD6" w:rsidRPr="001C0EF9">
          <w:rPr>
            <w:rStyle w:val="Hyperlink"/>
            <w:rFonts w:cs="Arial"/>
          </w:rPr>
          <w:t>Compliance with the Carers Recognition Act 2012</w:t>
        </w:r>
        <w:r w:rsidR="007F5AD6">
          <w:rPr>
            <w:webHidden/>
          </w:rPr>
          <w:tab/>
        </w:r>
        <w:r w:rsidR="007F5AD6">
          <w:rPr>
            <w:webHidden/>
          </w:rPr>
          <w:fldChar w:fldCharType="begin"/>
        </w:r>
        <w:r w:rsidR="007F5AD6">
          <w:rPr>
            <w:webHidden/>
          </w:rPr>
          <w:instrText xml:space="preserve"> PAGEREF _Toc86075607 \h </w:instrText>
        </w:r>
        <w:r w:rsidR="007F5AD6">
          <w:rPr>
            <w:webHidden/>
          </w:rPr>
        </w:r>
        <w:r w:rsidR="007F5AD6">
          <w:rPr>
            <w:webHidden/>
          </w:rPr>
          <w:fldChar w:fldCharType="separate"/>
        </w:r>
        <w:r>
          <w:rPr>
            <w:webHidden/>
          </w:rPr>
          <w:t>114</w:t>
        </w:r>
        <w:r w:rsidR="007F5AD6">
          <w:rPr>
            <w:webHidden/>
          </w:rPr>
          <w:fldChar w:fldCharType="end"/>
        </w:r>
      </w:hyperlink>
    </w:p>
    <w:p w14:paraId="7B317708" w14:textId="5F336B55" w:rsidR="007F5AD6" w:rsidRDefault="00E71361">
      <w:pPr>
        <w:pStyle w:val="TOC2"/>
        <w:rPr>
          <w:rFonts w:asciiTheme="minorHAnsi" w:hAnsiTheme="minorHAnsi"/>
          <w:sz w:val="22"/>
          <w:szCs w:val="22"/>
          <w:lang w:eastAsia="en-AU"/>
        </w:rPr>
      </w:pPr>
      <w:hyperlink w:anchor="_Toc86075608" w:history="1">
        <w:r w:rsidR="007F5AD6" w:rsidRPr="001C0EF9">
          <w:rPr>
            <w:rStyle w:val="Hyperlink"/>
            <w:rFonts w:cs="Arial"/>
          </w:rPr>
          <w:t>Compliance with the Disability Act 2006</w:t>
        </w:r>
        <w:r w:rsidR="007F5AD6">
          <w:rPr>
            <w:webHidden/>
          </w:rPr>
          <w:tab/>
        </w:r>
        <w:r w:rsidR="007F5AD6">
          <w:rPr>
            <w:webHidden/>
          </w:rPr>
          <w:fldChar w:fldCharType="begin"/>
        </w:r>
        <w:r w:rsidR="007F5AD6">
          <w:rPr>
            <w:webHidden/>
          </w:rPr>
          <w:instrText xml:space="preserve"> PAGEREF _Toc86075608 \h </w:instrText>
        </w:r>
        <w:r w:rsidR="007F5AD6">
          <w:rPr>
            <w:webHidden/>
          </w:rPr>
        </w:r>
        <w:r w:rsidR="007F5AD6">
          <w:rPr>
            <w:webHidden/>
          </w:rPr>
          <w:fldChar w:fldCharType="separate"/>
        </w:r>
        <w:r>
          <w:rPr>
            <w:webHidden/>
          </w:rPr>
          <w:t>114</w:t>
        </w:r>
        <w:r w:rsidR="007F5AD6">
          <w:rPr>
            <w:webHidden/>
          </w:rPr>
          <w:fldChar w:fldCharType="end"/>
        </w:r>
      </w:hyperlink>
    </w:p>
    <w:p w14:paraId="33B05D1A" w14:textId="6C158C79" w:rsidR="007F5AD6" w:rsidRDefault="00E71361">
      <w:pPr>
        <w:pStyle w:val="TOC2"/>
        <w:rPr>
          <w:rFonts w:asciiTheme="minorHAnsi" w:hAnsiTheme="minorHAnsi"/>
          <w:sz w:val="22"/>
          <w:szCs w:val="22"/>
          <w:lang w:eastAsia="en-AU"/>
        </w:rPr>
      </w:pPr>
      <w:hyperlink w:anchor="_Toc86075609" w:history="1">
        <w:r w:rsidR="007F5AD6" w:rsidRPr="001C0EF9">
          <w:rPr>
            <w:rStyle w:val="Hyperlink"/>
            <w:rFonts w:cs="Arial"/>
          </w:rPr>
          <w:t>Cemeteries and Crematoria Act 2003</w:t>
        </w:r>
        <w:r w:rsidR="007F5AD6">
          <w:rPr>
            <w:webHidden/>
          </w:rPr>
          <w:tab/>
        </w:r>
        <w:r w:rsidR="007F5AD6">
          <w:rPr>
            <w:webHidden/>
          </w:rPr>
          <w:fldChar w:fldCharType="begin"/>
        </w:r>
        <w:r w:rsidR="007F5AD6">
          <w:rPr>
            <w:webHidden/>
          </w:rPr>
          <w:instrText xml:space="preserve"> PAGEREF _Toc86075609 \h </w:instrText>
        </w:r>
        <w:r w:rsidR="007F5AD6">
          <w:rPr>
            <w:webHidden/>
          </w:rPr>
        </w:r>
        <w:r w:rsidR="007F5AD6">
          <w:rPr>
            <w:webHidden/>
          </w:rPr>
          <w:fldChar w:fldCharType="separate"/>
        </w:r>
        <w:r>
          <w:rPr>
            <w:webHidden/>
          </w:rPr>
          <w:t>114</w:t>
        </w:r>
        <w:r w:rsidR="007F5AD6">
          <w:rPr>
            <w:webHidden/>
          </w:rPr>
          <w:fldChar w:fldCharType="end"/>
        </w:r>
      </w:hyperlink>
    </w:p>
    <w:p w14:paraId="0FF07734" w14:textId="21A555A4" w:rsidR="007F5AD6" w:rsidRDefault="00E71361">
      <w:pPr>
        <w:pStyle w:val="TOC2"/>
        <w:rPr>
          <w:rFonts w:asciiTheme="minorHAnsi" w:hAnsiTheme="minorHAnsi"/>
          <w:sz w:val="22"/>
          <w:szCs w:val="22"/>
          <w:lang w:eastAsia="en-AU"/>
        </w:rPr>
      </w:pPr>
      <w:hyperlink w:anchor="_Toc86075610" w:history="1">
        <w:r w:rsidR="007F5AD6" w:rsidRPr="001C0EF9">
          <w:rPr>
            <w:rStyle w:val="Hyperlink"/>
            <w:rFonts w:cs="Arial"/>
          </w:rPr>
          <w:t>Public Health and Wellbeing Act 2008</w:t>
        </w:r>
        <w:r w:rsidR="007F5AD6">
          <w:rPr>
            <w:webHidden/>
          </w:rPr>
          <w:tab/>
        </w:r>
        <w:r w:rsidR="007F5AD6">
          <w:rPr>
            <w:webHidden/>
          </w:rPr>
          <w:fldChar w:fldCharType="begin"/>
        </w:r>
        <w:r w:rsidR="007F5AD6">
          <w:rPr>
            <w:webHidden/>
          </w:rPr>
          <w:instrText xml:space="preserve"> PAGEREF _Toc86075610 \h </w:instrText>
        </w:r>
        <w:r w:rsidR="007F5AD6">
          <w:rPr>
            <w:webHidden/>
          </w:rPr>
        </w:r>
        <w:r w:rsidR="007F5AD6">
          <w:rPr>
            <w:webHidden/>
          </w:rPr>
          <w:fldChar w:fldCharType="separate"/>
        </w:r>
        <w:r>
          <w:rPr>
            <w:webHidden/>
          </w:rPr>
          <w:t>115</w:t>
        </w:r>
        <w:r w:rsidR="007F5AD6">
          <w:rPr>
            <w:webHidden/>
          </w:rPr>
          <w:fldChar w:fldCharType="end"/>
        </w:r>
      </w:hyperlink>
    </w:p>
    <w:p w14:paraId="1719C7AE" w14:textId="237C94B6" w:rsidR="007F5AD6" w:rsidRDefault="00E71361">
      <w:pPr>
        <w:pStyle w:val="TOC2"/>
        <w:rPr>
          <w:rFonts w:asciiTheme="minorHAnsi" w:hAnsiTheme="minorHAnsi"/>
          <w:sz w:val="22"/>
          <w:szCs w:val="22"/>
          <w:lang w:eastAsia="en-AU"/>
        </w:rPr>
      </w:pPr>
      <w:hyperlink w:anchor="_Toc86075611" w:history="1">
        <w:r w:rsidR="007F5AD6" w:rsidRPr="001C0EF9">
          <w:rPr>
            <w:rStyle w:val="Hyperlink"/>
            <w:rFonts w:cs="Arial"/>
          </w:rPr>
          <w:t>Additional departmental information available on request</w:t>
        </w:r>
        <w:r w:rsidR="007F5AD6">
          <w:rPr>
            <w:webHidden/>
          </w:rPr>
          <w:tab/>
        </w:r>
        <w:r w:rsidR="007F5AD6">
          <w:rPr>
            <w:webHidden/>
          </w:rPr>
          <w:fldChar w:fldCharType="begin"/>
        </w:r>
        <w:r w:rsidR="007F5AD6">
          <w:rPr>
            <w:webHidden/>
          </w:rPr>
          <w:instrText xml:space="preserve"> PAGEREF _Toc86075611 \h </w:instrText>
        </w:r>
        <w:r w:rsidR="007F5AD6">
          <w:rPr>
            <w:webHidden/>
          </w:rPr>
        </w:r>
        <w:r w:rsidR="007F5AD6">
          <w:rPr>
            <w:webHidden/>
          </w:rPr>
          <w:fldChar w:fldCharType="separate"/>
        </w:r>
        <w:r>
          <w:rPr>
            <w:webHidden/>
          </w:rPr>
          <w:t>115</w:t>
        </w:r>
        <w:r w:rsidR="007F5AD6">
          <w:rPr>
            <w:webHidden/>
          </w:rPr>
          <w:fldChar w:fldCharType="end"/>
        </w:r>
      </w:hyperlink>
    </w:p>
    <w:p w14:paraId="530E241E" w14:textId="2563867A" w:rsidR="007F5AD6" w:rsidRDefault="00E71361">
      <w:pPr>
        <w:pStyle w:val="TOC2"/>
        <w:rPr>
          <w:rFonts w:asciiTheme="minorHAnsi" w:hAnsiTheme="minorHAnsi"/>
          <w:sz w:val="22"/>
          <w:szCs w:val="22"/>
          <w:lang w:eastAsia="en-AU"/>
        </w:rPr>
      </w:pPr>
      <w:hyperlink w:anchor="_Toc86075612" w:history="1">
        <w:r w:rsidR="007F5AD6" w:rsidRPr="001C0EF9">
          <w:rPr>
            <w:rStyle w:val="Hyperlink"/>
          </w:rPr>
          <w:t>Social procurement framework</w:t>
        </w:r>
        <w:r w:rsidR="007F5AD6">
          <w:rPr>
            <w:webHidden/>
          </w:rPr>
          <w:tab/>
        </w:r>
        <w:r w:rsidR="007F5AD6">
          <w:rPr>
            <w:webHidden/>
          </w:rPr>
          <w:fldChar w:fldCharType="begin"/>
        </w:r>
        <w:r w:rsidR="007F5AD6">
          <w:rPr>
            <w:webHidden/>
          </w:rPr>
          <w:instrText xml:space="preserve"> PAGEREF _Toc86075612 \h </w:instrText>
        </w:r>
        <w:r w:rsidR="007F5AD6">
          <w:rPr>
            <w:webHidden/>
          </w:rPr>
        </w:r>
        <w:r w:rsidR="007F5AD6">
          <w:rPr>
            <w:webHidden/>
          </w:rPr>
          <w:fldChar w:fldCharType="separate"/>
        </w:r>
        <w:r>
          <w:rPr>
            <w:webHidden/>
          </w:rPr>
          <w:t>116</w:t>
        </w:r>
        <w:r w:rsidR="007F5AD6">
          <w:rPr>
            <w:webHidden/>
          </w:rPr>
          <w:fldChar w:fldCharType="end"/>
        </w:r>
      </w:hyperlink>
    </w:p>
    <w:p w14:paraId="608C7ECB" w14:textId="635DBEC3" w:rsidR="007F5AD6" w:rsidRDefault="00E71361">
      <w:pPr>
        <w:pStyle w:val="TOC2"/>
        <w:rPr>
          <w:rFonts w:asciiTheme="minorHAnsi" w:hAnsiTheme="minorHAnsi"/>
          <w:sz w:val="22"/>
          <w:szCs w:val="22"/>
          <w:lang w:eastAsia="en-AU"/>
        </w:rPr>
      </w:pPr>
      <w:hyperlink w:anchor="_Toc86075613" w:history="1">
        <w:r w:rsidR="007F5AD6" w:rsidRPr="001C0EF9">
          <w:rPr>
            <w:rStyle w:val="Hyperlink"/>
            <w:rFonts w:cs="Arial"/>
          </w:rPr>
          <w:t>Environmental reporting</w:t>
        </w:r>
        <w:r w:rsidR="007F5AD6">
          <w:rPr>
            <w:webHidden/>
          </w:rPr>
          <w:tab/>
        </w:r>
        <w:r w:rsidR="007F5AD6">
          <w:rPr>
            <w:webHidden/>
          </w:rPr>
          <w:fldChar w:fldCharType="begin"/>
        </w:r>
        <w:r w:rsidR="007F5AD6">
          <w:rPr>
            <w:webHidden/>
          </w:rPr>
          <w:instrText xml:space="preserve"> PAGEREF _Toc86075613 \h </w:instrText>
        </w:r>
        <w:r w:rsidR="007F5AD6">
          <w:rPr>
            <w:webHidden/>
          </w:rPr>
        </w:r>
        <w:r w:rsidR="007F5AD6">
          <w:rPr>
            <w:webHidden/>
          </w:rPr>
          <w:fldChar w:fldCharType="separate"/>
        </w:r>
        <w:r>
          <w:rPr>
            <w:webHidden/>
          </w:rPr>
          <w:t>118</w:t>
        </w:r>
        <w:r w:rsidR="007F5AD6">
          <w:rPr>
            <w:webHidden/>
          </w:rPr>
          <w:fldChar w:fldCharType="end"/>
        </w:r>
      </w:hyperlink>
    </w:p>
    <w:p w14:paraId="08E9212B" w14:textId="2B14157C" w:rsidR="007F5AD6" w:rsidRDefault="00E71361">
      <w:pPr>
        <w:pStyle w:val="TOC2"/>
        <w:rPr>
          <w:rFonts w:asciiTheme="minorHAnsi" w:hAnsiTheme="minorHAnsi"/>
          <w:sz w:val="22"/>
          <w:szCs w:val="22"/>
          <w:lang w:eastAsia="en-AU"/>
        </w:rPr>
      </w:pPr>
      <w:hyperlink w:anchor="_Toc86075614" w:history="1">
        <w:r w:rsidR="007F5AD6" w:rsidRPr="001C0EF9">
          <w:rPr>
            <w:rStyle w:val="Hyperlink"/>
            <w:rFonts w:cs="Arial"/>
          </w:rPr>
          <w:t>Compliance with DataVic Access Policy</w:t>
        </w:r>
        <w:r w:rsidR="007F5AD6">
          <w:rPr>
            <w:webHidden/>
          </w:rPr>
          <w:tab/>
        </w:r>
        <w:r w:rsidR="007F5AD6">
          <w:rPr>
            <w:webHidden/>
          </w:rPr>
          <w:fldChar w:fldCharType="begin"/>
        </w:r>
        <w:r w:rsidR="007F5AD6">
          <w:rPr>
            <w:webHidden/>
          </w:rPr>
          <w:instrText xml:space="preserve"> PAGEREF _Toc86075614 \h </w:instrText>
        </w:r>
        <w:r w:rsidR="007F5AD6">
          <w:rPr>
            <w:webHidden/>
          </w:rPr>
        </w:r>
        <w:r w:rsidR="007F5AD6">
          <w:rPr>
            <w:webHidden/>
          </w:rPr>
          <w:fldChar w:fldCharType="separate"/>
        </w:r>
        <w:r>
          <w:rPr>
            <w:webHidden/>
          </w:rPr>
          <w:t>134</w:t>
        </w:r>
        <w:r w:rsidR="007F5AD6">
          <w:rPr>
            <w:webHidden/>
          </w:rPr>
          <w:fldChar w:fldCharType="end"/>
        </w:r>
      </w:hyperlink>
    </w:p>
    <w:p w14:paraId="72AA25EA" w14:textId="1EEC69F9" w:rsidR="007F5AD6" w:rsidRDefault="00E71361">
      <w:pPr>
        <w:pStyle w:val="TOC2"/>
        <w:rPr>
          <w:rFonts w:asciiTheme="minorHAnsi" w:hAnsiTheme="minorHAnsi"/>
          <w:sz w:val="22"/>
          <w:szCs w:val="22"/>
          <w:lang w:eastAsia="en-AU"/>
        </w:rPr>
      </w:pPr>
      <w:hyperlink w:anchor="_Toc86075615" w:history="1">
        <w:r w:rsidR="007F5AD6" w:rsidRPr="001C0EF9">
          <w:rPr>
            <w:rStyle w:val="Hyperlink"/>
            <w:rFonts w:cs="Arial"/>
          </w:rPr>
          <w:t>Financial Management Compliance Attestation Statement</w:t>
        </w:r>
        <w:r w:rsidR="007F5AD6">
          <w:rPr>
            <w:webHidden/>
          </w:rPr>
          <w:tab/>
        </w:r>
        <w:r w:rsidR="007F5AD6">
          <w:rPr>
            <w:webHidden/>
          </w:rPr>
          <w:fldChar w:fldCharType="begin"/>
        </w:r>
        <w:r w:rsidR="007F5AD6">
          <w:rPr>
            <w:webHidden/>
          </w:rPr>
          <w:instrText xml:space="preserve"> PAGEREF _Toc86075615 \h </w:instrText>
        </w:r>
        <w:r w:rsidR="007F5AD6">
          <w:rPr>
            <w:webHidden/>
          </w:rPr>
        </w:r>
        <w:r w:rsidR="007F5AD6">
          <w:rPr>
            <w:webHidden/>
          </w:rPr>
          <w:fldChar w:fldCharType="separate"/>
        </w:r>
        <w:r>
          <w:rPr>
            <w:webHidden/>
          </w:rPr>
          <w:t>135</w:t>
        </w:r>
        <w:r w:rsidR="007F5AD6">
          <w:rPr>
            <w:webHidden/>
          </w:rPr>
          <w:fldChar w:fldCharType="end"/>
        </w:r>
      </w:hyperlink>
    </w:p>
    <w:p w14:paraId="047D842A" w14:textId="4405C8BF" w:rsidR="007F5AD6" w:rsidRDefault="00E71361">
      <w:pPr>
        <w:pStyle w:val="TOC2"/>
        <w:rPr>
          <w:rFonts w:asciiTheme="minorHAnsi" w:hAnsiTheme="minorHAnsi"/>
          <w:sz w:val="22"/>
          <w:szCs w:val="22"/>
          <w:lang w:eastAsia="en-AU"/>
        </w:rPr>
      </w:pPr>
      <w:hyperlink w:anchor="_Toc86075616" w:history="1">
        <w:r w:rsidR="007F5AD6" w:rsidRPr="001C0EF9">
          <w:rPr>
            <w:rStyle w:val="Hyperlink"/>
            <w:rFonts w:cs="Arial"/>
          </w:rPr>
          <w:t>Asset management accountability framework maturity assessment</w:t>
        </w:r>
        <w:r w:rsidR="007F5AD6">
          <w:rPr>
            <w:webHidden/>
          </w:rPr>
          <w:tab/>
        </w:r>
        <w:r w:rsidR="007F5AD6">
          <w:rPr>
            <w:webHidden/>
          </w:rPr>
          <w:fldChar w:fldCharType="begin"/>
        </w:r>
        <w:r w:rsidR="007F5AD6">
          <w:rPr>
            <w:webHidden/>
          </w:rPr>
          <w:instrText xml:space="preserve"> PAGEREF _Toc86075616 \h </w:instrText>
        </w:r>
        <w:r w:rsidR="007F5AD6">
          <w:rPr>
            <w:webHidden/>
          </w:rPr>
        </w:r>
        <w:r w:rsidR="007F5AD6">
          <w:rPr>
            <w:webHidden/>
          </w:rPr>
          <w:fldChar w:fldCharType="separate"/>
        </w:r>
        <w:r>
          <w:rPr>
            <w:webHidden/>
          </w:rPr>
          <w:t>135</w:t>
        </w:r>
        <w:r w:rsidR="007F5AD6">
          <w:rPr>
            <w:webHidden/>
          </w:rPr>
          <w:fldChar w:fldCharType="end"/>
        </w:r>
      </w:hyperlink>
    </w:p>
    <w:p w14:paraId="32138402" w14:textId="5E43E000" w:rsidR="00F74DF0" w:rsidRPr="00F74DF0" w:rsidRDefault="00D30D22" w:rsidP="00F74DF0">
      <w:pPr>
        <w:pStyle w:val="Heading2withinTOC"/>
      </w:pPr>
      <w:r>
        <w:rPr>
          <w:lang w:val="en-US"/>
        </w:rPr>
        <w:fldChar w:fldCharType="end"/>
      </w:r>
      <w:r w:rsidR="00F74DF0" w:rsidRPr="00F74DF0">
        <w:t>Financial statements</w:t>
      </w:r>
    </w:p>
    <w:p w14:paraId="2BE71FAC" w14:textId="51299277" w:rsidR="007F5AD6" w:rsidRDefault="00F74DF0">
      <w:pPr>
        <w:pStyle w:val="TOC1"/>
        <w:rPr>
          <w:rFonts w:asciiTheme="minorHAnsi" w:hAnsiTheme="minorHAnsi"/>
          <w:sz w:val="22"/>
          <w:szCs w:val="22"/>
          <w:lang w:eastAsia="en-AU"/>
        </w:rPr>
      </w:pPr>
      <w:r>
        <w:rPr>
          <w:lang w:val="en-US"/>
        </w:rPr>
        <w:fldChar w:fldCharType="begin"/>
      </w:r>
      <w:r>
        <w:rPr>
          <w:lang w:val="en-US"/>
        </w:rPr>
        <w:instrText xml:space="preserve"> TOC \b FinancialStatements \h \z \t "Heading 1,1" </w:instrText>
      </w:r>
      <w:r>
        <w:rPr>
          <w:lang w:val="en-US"/>
        </w:rPr>
        <w:fldChar w:fldCharType="separate"/>
      </w:r>
      <w:hyperlink w:anchor="_Toc86075617" w:history="1">
        <w:r w:rsidR="007F5AD6" w:rsidRPr="00F73745">
          <w:rPr>
            <w:rStyle w:val="Hyperlink"/>
          </w:rPr>
          <w:t>Department of Health: Financial statements for the financial year ended 30 June 2021</w:t>
        </w:r>
        <w:r w:rsidR="007F5AD6">
          <w:rPr>
            <w:webHidden/>
          </w:rPr>
          <w:tab/>
        </w:r>
        <w:r w:rsidR="007F5AD6">
          <w:rPr>
            <w:webHidden/>
          </w:rPr>
          <w:fldChar w:fldCharType="begin"/>
        </w:r>
        <w:r w:rsidR="007F5AD6">
          <w:rPr>
            <w:webHidden/>
          </w:rPr>
          <w:instrText xml:space="preserve"> PAGEREF _Toc86075617 \h </w:instrText>
        </w:r>
        <w:r w:rsidR="007F5AD6">
          <w:rPr>
            <w:webHidden/>
          </w:rPr>
        </w:r>
        <w:r w:rsidR="007F5AD6">
          <w:rPr>
            <w:webHidden/>
          </w:rPr>
          <w:fldChar w:fldCharType="separate"/>
        </w:r>
        <w:r w:rsidR="00E71361">
          <w:rPr>
            <w:webHidden/>
          </w:rPr>
          <w:t>137</w:t>
        </w:r>
        <w:r w:rsidR="007F5AD6">
          <w:rPr>
            <w:webHidden/>
          </w:rPr>
          <w:fldChar w:fldCharType="end"/>
        </w:r>
      </w:hyperlink>
    </w:p>
    <w:p w14:paraId="4CAB2756" w14:textId="5CB6C799" w:rsidR="00F74DF0" w:rsidRPr="00F74DF0" w:rsidRDefault="00F74DF0" w:rsidP="00F74DF0">
      <w:pPr>
        <w:pStyle w:val="Heading2withinTOC"/>
      </w:pPr>
      <w:r>
        <w:rPr>
          <w:lang w:val="en-US"/>
        </w:rPr>
        <w:fldChar w:fldCharType="end"/>
      </w:r>
      <w:r w:rsidRPr="00F74DF0">
        <w:t>Appendices</w:t>
      </w:r>
    </w:p>
    <w:p w14:paraId="15F13E17" w14:textId="24432316" w:rsidR="007F5AD6" w:rsidRDefault="00F74DF0">
      <w:pPr>
        <w:pStyle w:val="TOC1"/>
        <w:rPr>
          <w:rFonts w:asciiTheme="minorHAnsi" w:hAnsiTheme="minorHAnsi"/>
          <w:sz w:val="22"/>
          <w:szCs w:val="22"/>
          <w:lang w:eastAsia="en-AU"/>
        </w:rPr>
      </w:pPr>
      <w:r>
        <w:rPr>
          <w:lang w:val="en-US"/>
        </w:rPr>
        <w:fldChar w:fldCharType="begin"/>
      </w:r>
      <w:r>
        <w:rPr>
          <w:lang w:val="en-US"/>
        </w:rPr>
        <w:instrText xml:space="preserve"> TOC \b Appendices \h \z \t "Heading 1,1,Heading 2,2" </w:instrText>
      </w:r>
      <w:r>
        <w:rPr>
          <w:lang w:val="en-US"/>
        </w:rPr>
        <w:fldChar w:fldCharType="separate"/>
      </w:r>
      <w:hyperlink w:anchor="_Toc86075618" w:history="1">
        <w:r w:rsidR="007F5AD6" w:rsidRPr="005066FD">
          <w:rPr>
            <w:rStyle w:val="Hyperlink"/>
          </w:rPr>
          <w:t>Appendices</w:t>
        </w:r>
        <w:r w:rsidR="007F5AD6">
          <w:rPr>
            <w:webHidden/>
          </w:rPr>
          <w:tab/>
        </w:r>
        <w:r w:rsidR="007F5AD6">
          <w:rPr>
            <w:webHidden/>
          </w:rPr>
          <w:fldChar w:fldCharType="begin"/>
        </w:r>
        <w:r w:rsidR="007F5AD6">
          <w:rPr>
            <w:webHidden/>
          </w:rPr>
          <w:instrText xml:space="preserve"> PAGEREF _Toc86075618 \h </w:instrText>
        </w:r>
        <w:r w:rsidR="007F5AD6">
          <w:rPr>
            <w:webHidden/>
          </w:rPr>
        </w:r>
        <w:r w:rsidR="007F5AD6">
          <w:rPr>
            <w:webHidden/>
          </w:rPr>
          <w:fldChar w:fldCharType="separate"/>
        </w:r>
        <w:r w:rsidR="00E71361">
          <w:rPr>
            <w:webHidden/>
          </w:rPr>
          <w:t>232</w:t>
        </w:r>
        <w:r w:rsidR="007F5AD6">
          <w:rPr>
            <w:webHidden/>
          </w:rPr>
          <w:fldChar w:fldCharType="end"/>
        </w:r>
      </w:hyperlink>
    </w:p>
    <w:p w14:paraId="62E7C036" w14:textId="0DA17CC8" w:rsidR="007F5AD6" w:rsidRDefault="00E71361">
      <w:pPr>
        <w:pStyle w:val="TOC2"/>
        <w:rPr>
          <w:rFonts w:asciiTheme="minorHAnsi" w:hAnsiTheme="minorHAnsi"/>
          <w:sz w:val="22"/>
          <w:szCs w:val="22"/>
          <w:lang w:eastAsia="en-AU"/>
        </w:rPr>
      </w:pPr>
      <w:hyperlink w:anchor="_Toc86075619" w:history="1">
        <w:r w:rsidR="007F5AD6" w:rsidRPr="005066FD">
          <w:rPr>
            <w:rStyle w:val="Hyperlink"/>
            <w:rFonts w:cs="Arial"/>
          </w:rPr>
          <w:t>Portfolio budget outcomes</w:t>
        </w:r>
        <w:r w:rsidR="007F5AD6">
          <w:rPr>
            <w:webHidden/>
          </w:rPr>
          <w:tab/>
        </w:r>
        <w:r w:rsidR="007F5AD6">
          <w:rPr>
            <w:webHidden/>
          </w:rPr>
          <w:fldChar w:fldCharType="begin"/>
        </w:r>
        <w:r w:rsidR="007F5AD6">
          <w:rPr>
            <w:webHidden/>
          </w:rPr>
          <w:instrText xml:space="preserve"> PAGEREF _Toc86075619 \h </w:instrText>
        </w:r>
        <w:r w:rsidR="007F5AD6">
          <w:rPr>
            <w:webHidden/>
          </w:rPr>
        </w:r>
        <w:r w:rsidR="007F5AD6">
          <w:rPr>
            <w:webHidden/>
          </w:rPr>
          <w:fldChar w:fldCharType="separate"/>
        </w:r>
        <w:r>
          <w:rPr>
            <w:webHidden/>
          </w:rPr>
          <w:t>232</w:t>
        </w:r>
        <w:r w:rsidR="007F5AD6">
          <w:rPr>
            <w:webHidden/>
          </w:rPr>
          <w:fldChar w:fldCharType="end"/>
        </w:r>
      </w:hyperlink>
    </w:p>
    <w:p w14:paraId="6FC5B8DF" w14:textId="7EED26E3" w:rsidR="007F5AD6" w:rsidRDefault="00E71361">
      <w:pPr>
        <w:pStyle w:val="TOC2"/>
        <w:rPr>
          <w:rFonts w:asciiTheme="minorHAnsi" w:hAnsiTheme="minorHAnsi"/>
          <w:sz w:val="22"/>
          <w:szCs w:val="22"/>
          <w:lang w:eastAsia="en-AU"/>
        </w:rPr>
      </w:pPr>
      <w:hyperlink w:anchor="_Toc86075620" w:history="1">
        <w:r w:rsidR="007F5AD6" w:rsidRPr="005066FD">
          <w:rPr>
            <w:rStyle w:val="Hyperlink"/>
          </w:rPr>
          <w:t>Disclosure index</w:t>
        </w:r>
        <w:r w:rsidR="007F5AD6">
          <w:rPr>
            <w:webHidden/>
          </w:rPr>
          <w:tab/>
        </w:r>
        <w:r w:rsidR="007F5AD6">
          <w:rPr>
            <w:webHidden/>
          </w:rPr>
          <w:fldChar w:fldCharType="begin"/>
        </w:r>
        <w:r w:rsidR="007F5AD6">
          <w:rPr>
            <w:webHidden/>
          </w:rPr>
          <w:instrText xml:space="preserve"> PAGEREF _Toc86075620 \h </w:instrText>
        </w:r>
        <w:r w:rsidR="007F5AD6">
          <w:rPr>
            <w:webHidden/>
          </w:rPr>
        </w:r>
        <w:r w:rsidR="007F5AD6">
          <w:rPr>
            <w:webHidden/>
          </w:rPr>
          <w:fldChar w:fldCharType="separate"/>
        </w:r>
        <w:r>
          <w:rPr>
            <w:webHidden/>
          </w:rPr>
          <w:t>239</w:t>
        </w:r>
        <w:r w:rsidR="007F5AD6">
          <w:rPr>
            <w:webHidden/>
          </w:rPr>
          <w:fldChar w:fldCharType="end"/>
        </w:r>
      </w:hyperlink>
    </w:p>
    <w:p w14:paraId="4C3CECFD" w14:textId="0F523A60" w:rsidR="00F27328" w:rsidRPr="00F27328" w:rsidRDefault="00F74DF0" w:rsidP="00F74DF0">
      <w:r>
        <w:rPr>
          <w:lang w:val="en-US"/>
        </w:rPr>
        <w:fldChar w:fldCharType="end"/>
      </w:r>
      <w:bookmarkStart w:id="0" w:name="_Toc85120942"/>
      <w:bookmarkStart w:id="1" w:name="_Toc85121592"/>
      <w:bookmarkStart w:id="2" w:name="_Toc21682715"/>
      <w:bookmarkStart w:id="3" w:name="_Toc54690762"/>
      <w:r w:rsidR="00F27328" w:rsidRPr="00F27328">
        <w:br w:type="page"/>
      </w:r>
    </w:p>
    <w:p w14:paraId="230FEEFE" w14:textId="6B057A97" w:rsidR="00496244" w:rsidRDefault="00496244" w:rsidP="00897193">
      <w:pPr>
        <w:pStyle w:val="Heading1"/>
      </w:pPr>
      <w:bookmarkStart w:id="4" w:name="_Toc86075575"/>
      <w:bookmarkStart w:id="5" w:name="ReportOfOperations"/>
      <w:r w:rsidRPr="002029AF">
        <w:lastRenderedPageBreak/>
        <w:t>Sec</w:t>
      </w:r>
      <w:r>
        <w:t>tion 1: Year in review</w:t>
      </w:r>
      <w:bookmarkEnd w:id="0"/>
      <w:bookmarkEnd w:id="1"/>
      <w:bookmarkEnd w:id="4"/>
    </w:p>
    <w:bookmarkEnd w:id="2"/>
    <w:bookmarkEnd w:id="3"/>
    <w:p w14:paraId="35505A92" w14:textId="77777777" w:rsidR="00496244" w:rsidRDefault="00496244" w:rsidP="00317057">
      <w:pPr>
        <w:pStyle w:val="Heading2"/>
        <w:spacing w:before="0" w:after="240"/>
        <w:sectPr w:rsidR="00496244" w:rsidSect="00317057">
          <w:footnotePr>
            <w:numFmt w:val="lowerLetter"/>
            <w:numRestart w:val="eachPage"/>
          </w:footnotePr>
          <w:type w:val="continuous"/>
          <w:pgSz w:w="11906" w:h="16838" w:code="9"/>
          <w:pgMar w:top="1985" w:right="1134" w:bottom="851" w:left="1134" w:header="510" w:footer="340" w:gutter="0"/>
          <w:cols w:space="708"/>
          <w:docGrid w:linePitch="360"/>
        </w:sectPr>
      </w:pPr>
    </w:p>
    <w:p w14:paraId="66AF53C6" w14:textId="3B7BEA03" w:rsidR="00496244" w:rsidRPr="002029AF" w:rsidRDefault="00496244" w:rsidP="00317057">
      <w:pPr>
        <w:pStyle w:val="Heading2"/>
        <w:spacing w:before="0" w:after="240"/>
      </w:pPr>
      <w:bookmarkStart w:id="6" w:name="_Toc85120943"/>
      <w:bookmarkStart w:id="7" w:name="_Toc85121593"/>
      <w:bookmarkStart w:id="8" w:name="_Toc86075576"/>
      <w:r>
        <w:t>Sec</w:t>
      </w:r>
      <w:r w:rsidRPr="002029AF">
        <w:t>retary</w:t>
      </w:r>
      <w:r w:rsidR="007D145B">
        <w:t>’</w:t>
      </w:r>
      <w:r w:rsidRPr="002029AF">
        <w:t>s foreword</w:t>
      </w:r>
      <w:bookmarkEnd w:id="6"/>
      <w:bookmarkEnd w:id="7"/>
      <w:bookmarkEnd w:id="8"/>
    </w:p>
    <w:p w14:paraId="6F2DD0BB" w14:textId="77777777" w:rsidR="00496244" w:rsidRDefault="00496244" w:rsidP="00317057">
      <w:pPr>
        <w:pStyle w:val="ARbody"/>
      </w:pPr>
      <w:r>
        <w:rPr>
          <w:noProof/>
          <w:lang w:eastAsia="en-AU" w:bidi="as-IN"/>
        </w:rPr>
        <w:drawing>
          <wp:inline distT="0" distB="0" distL="0" distR="0" wp14:anchorId="7EB6A9C4" wp14:editId="409BD065">
            <wp:extent cx="1400175" cy="1400175"/>
            <wp:effectExtent l="0" t="0" r="9525" b="9525"/>
            <wp:docPr id="11" name="Picture 11" descr="Professor Euan Wallace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rofessor Euan Wallace AM"/>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400175" cy="1400175"/>
                    </a:xfrm>
                    <a:prstGeom prst="rect">
                      <a:avLst/>
                    </a:prstGeom>
                    <a:noFill/>
                    <a:ln>
                      <a:noFill/>
                    </a:ln>
                  </pic:spPr>
                </pic:pic>
              </a:graphicData>
            </a:graphic>
          </wp:inline>
        </w:drawing>
      </w:r>
    </w:p>
    <w:p w14:paraId="4BAD9529" w14:textId="231223EA" w:rsidR="00496244" w:rsidRDefault="00496244" w:rsidP="00317057">
      <w:pPr>
        <w:pStyle w:val="ARbody"/>
      </w:pPr>
      <w:r>
        <w:t>This year has been extremely challenging for everyone. But it is a year that we can look back on</w:t>
      </w:r>
      <w:r w:rsidR="00CD4CB2">
        <w:t> </w:t>
      </w:r>
      <w:r>
        <w:t xml:space="preserve">with much pride. </w:t>
      </w:r>
      <w:r w:rsidRPr="004B71FF">
        <w:t xml:space="preserve">In the face of the COVID-19 pandemic </w:t>
      </w:r>
      <w:r w:rsidRPr="00500696">
        <w:t xml:space="preserve">Victorians </w:t>
      </w:r>
      <w:r>
        <w:t xml:space="preserve">have </w:t>
      </w:r>
      <w:r w:rsidRPr="00500696">
        <w:t>come together in ways we have never seen before to keep each other safe</w:t>
      </w:r>
      <w:r>
        <w:t xml:space="preserve">. Above all, our healthcare workers – in primary and community care, ambulance services, public and </w:t>
      </w:r>
      <w:r w:rsidRPr="002C4612">
        <w:t>private hospitals and aged care – have shown us their expertise, skills and capacity for providing quality care, as they strive relentlessly to keep us well.</w:t>
      </w:r>
    </w:p>
    <w:p w14:paraId="5D403037" w14:textId="77777777" w:rsidR="00496244" w:rsidRDefault="00496244" w:rsidP="00317057">
      <w:pPr>
        <w:pStyle w:val="ARbody"/>
      </w:pPr>
      <w:r>
        <w:t>Throughout</w:t>
      </w:r>
      <w:r w:rsidRPr="00305718">
        <w:t xml:space="preserve"> this</w:t>
      </w:r>
      <w:r>
        <w:t xml:space="preserve"> crisis we have worked together to continually innovate, learn and improve, and use our shared experience to adjust and sharpen our focus on delivering a world-class healthcare system that keeps Victorians as healthy as possible.</w:t>
      </w:r>
    </w:p>
    <w:p w14:paraId="0286A485" w14:textId="28A367B3" w:rsidR="00496244" w:rsidRDefault="00496244" w:rsidP="00317057">
      <w:pPr>
        <w:pStyle w:val="ARbody"/>
      </w:pPr>
      <w:r w:rsidRPr="00AB7171">
        <w:t xml:space="preserve">It is a privilege </w:t>
      </w:r>
      <w:r w:rsidRPr="00EF2EBA">
        <w:t xml:space="preserve">to </w:t>
      </w:r>
      <w:r w:rsidRPr="00AB7171">
        <w:t>lead the newly established Department of</w:t>
      </w:r>
      <w:r w:rsidR="00904088">
        <w:t xml:space="preserve"> Health</w:t>
      </w:r>
      <w:r w:rsidRPr="00AB7171">
        <w:t xml:space="preserve">. I hope you will </w:t>
      </w:r>
      <w:r w:rsidRPr="004B71FF">
        <w:t>share</w:t>
      </w:r>
      <w:r w:rsidRPr="00AB7171">
        <w:t xml:space="preserve"> my pride in </w:t>
      </w:r>
      <w:r>
        <w:t xml:space="preserve">what we have </w:t>
      </w:r>
      <w:r w:rsidRPr="00AB7171">
        <w:t>achieve</w:t>
      </w:r>
      <w:r>
        <w:t>d over the past year</w:t>
      </w:r>
      <w:r w:rsidRPr="00AB7171">
        <w:t>.</w:t>
      </w:r>
    </w:p>
    <w:p w14:paraId="0262436F" w14:textId="77777777" w:rsidR="00496244" w:rsidRPr="005A75A2" w:rsidRDefault="00496244" w:rsidP="000B6E53">
      <w:pPr>
        <w:pStyle w:val="Heading3smaller"/>
      </w:pPr>
      <w:r w:rsidRPr="005A75A2">
        <w:t>Responding to the COVID-19 pandemic</w:t>
      </w:r>
    </w:p>
    <w:p w14:paraId="0EC1A6E3" w14:textId="1E274464" w:rsidR="00496244" w:rsidRDefault="00496244" w:rsidP="00317057">
      <w:pPr>
        <w:pStyle w:val="ARbody"/>
      </w:pPr>
      <w:r w:rsidRPr="004732E2">
        <w:t xml:space="preserve">Victoria has </w:t>
      </w:r>
      <w:r w:rsidRPr="0039418C">
        <w:t xml:space="preserve">faced the full </w:t>
      </w:r>
      <w:r w:rsidRPr="004732E2">
        <w:t>force of the COVID-19 pandemic over the past 12 months. We have had to deal with many challenges, both professional and personal during this time.</w:t>
      </w:r>
      <w:r>
        <w:t xml:space="preserve"> Thanks to the efforts of all</w:t>
      </w:r>
      <w:r w:rsidR="00CD4CB2">
        <w:t> </w:t>
      </w:r>
      <w:r>
        <w:t>Victorians, however, and especially our frontline healthcare workers and public health teams, we have been able to respond effectively to the virus.</w:t>
      </w:r>
    </w:p>
    <w:p w14:paraId="362C075C" w14:textId="77777777" w:rsidR="00496244" w:rsidRDefault="00496244" w:rsidP="00317057">
      <w:pPr>
        <w:pStyle w:val="ARbody"/>
      </w:pPr>
      <w:r>
        <w:t>Identifying positive cases and their close contacts has been essential to help slow the spread in our communities. Through our end-to-end contact tracing system and the nine new local public health units we have established this year, we have been able to respond to new cases and outbreaks in a swift and agile way.</w:t>
      </w:r>
    </w:p>
    <w:p w14:paraId="52232FC7" w14:textId="2EDB2C51" w:rsidR="00496244" w:rsidRDefault="00496244" w:rsidP="00317057">
      <w:pPr>
        <w:pStyle w:val="ARbody"/>
      </w:pPr>
      <w:r>
        <w:t>As we turn our attention to the next stage in our</w:t>
      </w:r>
      <w:r w:rsidR="00CD4CB2">
        <w:t xml:space="preserve"> </w:t>
      </w:r>
      <w:r>
        <w:t>fight against this virus, we have made it easier for all Victorians to protect themselves, their families, their friends and the community through the rollout</w:t>
      </w:r>
      <w:r w:rsidR="00CD4CB2">
        <w:t> </w:t>
      </w:r>
      <w:r>
        <w:t>of the biggest vaccination program in our state</w:t>
      </w:r>
      <w:r w:rsidR="007D145B">
        <w:t>’</w:t>
      </w:r>
      <w:r>
        <w:t xml:space="preserve">s history. State vaccination </w:t>
      </w:r>
      <w:r w:rsidRPr="00AB615A">
        <w:t>hubs have been established in locations throughout Victoria so that</w:t>
      </w:r>
      <w:r w:rsidR="00CD4CB2">
        <w:t> </w:t>
      </w:r>
      <w:r w:rsidRPr="00AB615A">
        <w:t>as many people as possible can get vaccinated as quickly as possible, and we can all return to doing the things we love with those we love.</w:t>
      </w:r>
    </w:p>
    <w:p w14:paraId="2AECC760" w14:textId="77777777" w:rsidR="00496244" w:rsidRDefault="00496244" w:rsidP="00317057">
      <w:pPr>
        <w:pStyle w:val="ARbody"/>
      </w:pPr>
      <w:r>
        <w:t>We know this pandemic is far from over. Even after high levels of the population are vaccinated, we must continue to work together to protect our health system and keep the community safe.</w:t>
      </w:r>
    </w:p>
    <w:p w14:paraId="4858E68D" w14:textId="77777777" w:rsidR="00864121" w:rsidRDefault="00496244" w:rsidP="000B6E53">
      <w:pPr>
        <w:pStyle w:val="Heading3smaller"/>
      </w:pPr>
      <w:r w:rsidRPr="005A75A2">
        <w:t>Rebuilding our mental health system</w:t>
      </w:r>
    </w:p>
    <w:p w14:paraId="0CB9C2AE" w14:textId="77777777" w:rsidR="00864121" w:rsidRDefault="00496244" w:rsidP="00317057">
      <w:pPr>
        <w:pStyle w:val="ARbody"/>
      </w:pPr>
      <w:r>
        <w:t>The mental health of our community is paramount. We have been given a once-in-a-generation opportunity to build a modern mental healthcare system that meets the needs of all Victorians, where and when they need it.</w:t>
      </w:r>
    </w:p>
    <w:p w14:paraId="2DEFFD92" w14:textId="159192CF" w:rsidR="00496244" w:rsidRDefault="00496244" w:rsidP="00317057">
      <w:pPr>
        <w:pStyle w:val="ARbody"/>
      </w:pPr>
      <w:r>
        <w:t>A big part of this reform work is making sure people in crisis can receive care and support in their own community. Through the statewide rollout of the Hospital Outreach Post-suicidal Engagement (HOPE) services those in our community who have attempted suicide or experienced a mental health crisis can now get the holistic clinical and social supports they need to help get them back on their</w:t>
      </w:r>
      <w:r w:rsidR="00CD4CB2">
        <w:t> </w:t>
      </w:r>
      <w:r>
        <w:t>feet.</w:t>
      </w:r>
    </w:p>
    <w:p w14:paraId="6ADF9231" w14:textId="77777777" w:rsidR="00496244" w:rsidRDefault="00496244" w:rsidP="00317057">
      <w:pPr>
        <w:pStyle w:val="ARbody"/>
      </w:pPr>
      <w:r>
        <w:t>And if someone is struggling with their mental health</w:t>
      </w:r>
      <w:r w:rsidRPr="00F30FC9">
        <w:t>, it</w:t>
      </w:r>
      <w:r w:rsidRPr="00966898">
        <w:t xml:space="preserve"> i</w:t>
      </w:r>
      <w:r w:rsidRPr="00F30FC9">
        <w:t>s important</w:t>
      </w:r>
      <w:r>
        <w:t xml:space="preserve"> they can access help when they need it. That is why we have forged ahead with delivering 179 acute youth and adult mental health beds in four priority locations across Melbourne and Geelong. These beds will provide some of our most challenged communities with much-needed access to expert care.</w:t>
      </w:r>
    </w:p>
    <w:p w14:paraId="1DF85EEF" w14:textId="77777777" w:rsidR="00496244" w:rsidRDefault="00496244" w:rsidP="00317057">
      <w:pPr>
        <w:pStyle w:val="ARbody"/>
      </w:pPr>
      <w:r>
        <w:t xml:space="preserve">A modern mental health system is one that has people at its core. </w:t>
      </w:r>
      <w:r w:rsidRPr="00F30FC9">
        <w:t>That</w:t>
      </w:r>
      <w:r w:rsidRPr="00966898">
        <w:t xml:space="preserve"> i</w:t>
      </w:r>
      <w:r w:rsidRPr="00F30FC9">
        <w:t>s why</w:t>
      </w:r>
      <w:r>
        <w:t xml:space="preserve"> we believe that those with lived experience are uniquely placed to shape it. So, we are bringing together people with lived experience with researchers and clinicians to develop the new Victorian Collaborative Centre for Mental Health and Wellbeing. The Centre will be an </w:t>
      </w:r>
      <w:r>
        <w:lastRenderedPageBreak/>
        <w:t>Australian first, defining, evolving and delivering best practice in adult mental health care.</w:t>
      </w:r>
    </w:p>
    <w:p w14:paraId="5C5EB77C" w14:textId="77777777" w:rsidR="00496244" w:rsidRDefault="00496244" w:rsidP="00317057">
      <w:pPr>
        <w:pStyle w:val="ARbody"/>
      </w:pPr>
      <w:r>
        <w:t>We also know that putting Aboriginal ways of knowing, being and doing at the centre of care is essential to their mental health and wellbeing. Our deeper partnerships with the Victorian Aboriginal Community Controlled Health Organisation will ensure that Aboriginal Victorians have a central role in developing new Aboriginal social and emotional wellbeing services.</w:t>
      </w:r>
    </w:p>
    <w:p w14:paraId="38B206E2" w14:textId="77777777" w:rsidR="00496244" w:rsidRPr="00C93424" w:rsidRDefault="00496244" w:rsidP="000B6E53">
      <w:pPr>
        <w:pStyle w:val="Heading3smaller"/>
      </w:pPr>
      <w:r w:rsidRPr="00C93424">
        <w:t>Better health outcomes for Victorians</w:t>
      </w:r>
    </w:p>
    <w:p w14:paraId="20BEE917" w14:textId="67037A47" w:rsidR="00496244" w:rsidRDefault="00496244" w:rsidP="00317057">
      <w:pPr>
        <w:pStyle w:val="ARbody"/>
      </w:pPr>
      <w:r w:rsidRPr="00F30FC9">
        <w:t xml:space="preserve">Victorians need to know they can access healthcare that helps them stay healthy and </w:t>
      </w:r>
      <w:r w:rsidRPr="00500696">
        <w:t>can</w:t>
      </w:r>
      <w:r w:rsidR="00CD4CB2">
        <w:t> </w:t>
      </w:r>
      <w:r w:rsidRPr="004B71FF">
        <w:t>adapt to our changing needs.</w:t>
      </w:r>
    </w:p>
    <w:p w14:paraId="5700DACA" w14:textId="77777777" w:rsidR="00496244" w:rsidRDefault="00496244" w:rsidP="00317057">
      <w:pPr>
        <w:pStyle w:val="ARbody"/>
      </w:pPr>
      <w:r>
        <w:t>There is no better example of this than in Mildura and Northern Mallee. After 20 years, we have returned Mildura Base Hospital back into public hands. This will enable better integration with other health services and community providers in Mildura and across the region.</w:t>
      </w:r>
    </w:p>
    <w:p w14:paraId="56D66381" w14:textId="468A4143" w:rsidR="00496244" w:rsidRDefault="00496244" w:rsidP="00317057">
      <w:pPr>
        <w:pStyle w:val="ARbody"/>
      </w:pPr>
      <w:r>
        <w:t xml:space="preserve">Making sure that Victorians have access to the very </w:t>
      </w:r>
      <w:r w:rsidRPr="004732E2">
        <w:t xml:space="preserve">best cancer </w:t>
      </w:r>
      <w:r w:rsidRPr="0039418C">
        <w:t>treatments and care is at the heart of</w:t>
      </w:r>
      <w:r>
        <w:t xml:space="preserve"> the </w:t>
      </w:r>
      <w:r w:rsidRPr="00F63FDC">
        <w:rPr>
          <w:i/>
          <w:iCs/>
        </w:rPr>
        <w:t xml:space="preserve">Victorian </w:t>
      </w:r>
      <w:r>
        <w:rPr>
          <w:i/>
          <w:iCs/>
        </w:rPr>
        <w:t>c</w:t>
      </w:r>
      <w:r w:rsidRPr="00F63FDC">
        <w:rPr>
          <w:i/>
          <w:iCs/>
        </w:rPr>
        <w:t xml:space="preserve">ancer </w:t>
      </w:r>
      <w:r>
        <w:rPr>
          <w:i/>
          <w:iCs/>
        </w:rPr>
        <w:t>p</w:t>
      </w:r>
      <w:r w:rsidRPr="00F63FDC">
        <w:rPr>
          <w:i/>
          <w:iCs/>
        </w:rPr>
        <w:t>lan 202</w:t>
      </w:r>
      <w:r w:rsidR="00FA7261">
        <w:rPr>
          <w:i/>
          <w:iCs/>
        </w:rPr>
        <w:t>0–</w:t>
      </w:r>
      <w:r w:rsidRPr="00F63FDC">
        <w:rPr>
          <w:i/>
          <w:iCs/>
        </w:rPr>
        <w:t>2024</w:t>
      </w:r>
      <w:r>
        <w:t xml:space="preserve">, which was launched this year. The plan sets out key priorities to prevent cancer, increase survival, and improve </w:t>
      </w:r>
      <w:r w:rsidRPr="004732E2">
        <w:t xml:space="preserve">the patient </w:t>
      </w:r>
      <w:r w:rsidRPr="0039418C">
        <w:t>experience</w:t>
      </w:r>
      <w:r w:rsidRPr="004732E2">
        <w:t>.</w:t>
      </w:r>
    </w:p>
    <w:p w14:paraId="79B429D2" w14:textId="77777777" w:rsidR="00496244" w:rsidRDefault="00496244" w:rsidP="00317057">
      <w:pPr>
        <w:pStyle w:val="ARbody"/>
      </w:pPr>
      <w:r w:rsidRPr="00500696">
        <w:t xml:space="preserve">Safe and quality care for our aged care residents and workforce is of upmost importance and an area </w:t>
      </w:r>
      <w:r w:rsidRPr="00D96029">
        <w:t>where</w:t>
      </w:r>
      <w:r w:rsidRPr="00500696">
        <w:t xml:space="preserve"> we are leading the way. This year we</w:t>
      </w:r>
      <w:r>
        <w:t xml:space="preserve"> took another step forward as Victoria became the first state in Australia to legislate nurse-to-resident ratios in its public sector residential aged care facilities, providing an important safeguard for both residents and staff. The benefits of the expert care that the extra nurses bring to our public sector aged care residents have been very clear during the pandemic.</w:t>
      </w:r>
    </w:p>
    <w:p w14:paraId="0FB554F4" w14:textId="2D598712" w:rsidR="00496244" w:rsidRPr="00C93424" w:rsidRDefault="00496244" w:rsidP="000B6E53">
      <w:pPr>
        <w:pStyle w:val="Heading3smaller"/>
      </w:pPr>
      <w:r w:rsidRPr="00C93424">
        <w:t>Building a state of the art and modern health</w:t>
      </w:r>
      <w:r w:rsidR="000B6E53">
        <w:rPr>
          <w:lang w:val="en-US"/>
        </w:rPr>
        <w:t> </w:t>
      </w:r>
      <w:r w:rsidRPr="00C93424">
        <w:t>system</w:t>
      </w:r>
    </w:p>
    <w:p w14:paraId="3A88CB44" w14:textId="2E229222" w:rsidR="00496244" w:rsidRDefault="00496244" w:rsidP="00317057">
      <w:pPr>
        <w:pStyle w:val="ARbody"/>
      </w:pPr>
      <w:r>
        <w:t>We continue to build health infrastructure that meets the needs of all Victorians. The opening of one of the state</w:t>
      </w:r>
      <w:r w:rsidR="007D145B">
        <w:t>’</w:t>
      </w:r>
      <w:r>
        <w:t xml:space="preserve">s busiest emergency departments at Sunshine Hospital means </w:t>
      </w:r>
      <w:r w:rsidRPr="00500696">
        <w:t>families</w:t>
      </w:r>
      <w:r>
        <w:t xml:space="preserve"> in Melbourne</w:t>
      </w:r>
      <w:r w:rsidR="007D145B">
        <w:t>’</w:t>
      </w:r>
      <w:r>
        <w:t>s western suburbs now have faster access to world-class healthcare and nearly 20,000 children every year can be treated in a new purpose-built space.</w:t>
      </w:r>
    </w:p>
    <w:p w14:paraId="2CEAB324" w14:textId="43E47E78" w:rsidR="00496244" w:rsidRDefault="002A0D7A" w:rsidP="00317057">
      <w:pPr>
        <w:pStyle w:val="ARbody"/>
      </w:pPr>
      <w:r>
        <w:br w:type="column"/>
      </w:r>
      <w:r w:rsidR="00496244">
        <w:t>It is important our older Victorians too can spend their later years in a comfortable and modern facility</w:t>
      </w:r>
      <w:r w:rsidR="00CD4CB2">
        <w:t> </w:t>
      </w:r>
      <w:r w:rsidR="00496244">
        <w:t>where they receive the very best care. A</w:t>
      </w:r>
      <w:r w:rsidR="00CD4CB2">
        <w:t> </w:t>
      </w:r>
      <w:r w:rsidR="00496244">
        <w:t>new stand-alone dementia-friendly unit in Creswick has opened, providing an environment that is safe and home-like and adaptable to individual residents</w:t>
      </w:r>
      <w:r w:rsidR="007D145B">
        <w:t>’</w:t>
      </w:r>
      <w:r w:rsidR="00496244">
        <w:t xml:space="preserve"> needs.</w:t>
      </w:r>
    </w:p>
    <w:p w14:paraId="42E731D6" w14:textId="77777777" w:rsidR="00496244" w:rsidRPr="00C93424" w:rsidRDefault="00496244" w:rsidP="000B6E53">
      <w:pPr>
        <w:pStyle w:val="Heading3smaller"/>
      </w:pPr>
      <w:r w:rsidRPr="00C93424">
        <w:t>And finally, a thank you</w:t>
      </w:r>
    </w:p>
    <w:p w14:paraId="3A6FBCB4" w14:textId="4472843C" w:rsidR="00496244" w:rsidRDefault="00496244" w:rsidP="00317057">
      <w:pPr>
        <w:pStyle w:val="ARbody"/>
      </w:pPr>
      <w:r>
        <w:t>There is no doubt the pandemic created opportunities for significant improvements in our</w:t>
      </w:r>
      <w:r w:rsidR="00CD4CB2">
        <w:t> </w:t>
      </w:r>
      <w:r>
        <w:t>health system. It has also shown us that a</w:t>
      </w:r>
      <w:r w:rsidR="00CD4CB2">
        <w:t> </w:t>
      </w:r>
      <w:r>
        <w:t>more</w:t>
      </w:r>
      <w:r w:rsidR="00CD4CB2">
        <w:t> </w:t>
      </w:r>
      <w:r>
        <w:t>connected health system, with closer relationships between clinicians and consumers, between health services, and between providers and the department, delivers better health care for Victorians. We look forward to taking advantage of these opportunities to help lead the way for bold and innovative reform now and into the future.</w:t>
      </w:r>
    </w:p>
    <w:p w14:paraId="6BA716AF" w14:textId="04D2C971" w:rsidR="00496244" w:rsidRDefault="00496244" w:rsidP="00317057">
      <w:pPr>
        <w:pStyle w:val="ARbody"/>
      </w:pPr>
      <w:r>
        <w:t xml:space="preserve">My heartfelt thanks go out to the community for </w:t>
      </w:r>
      <w:r w:rsidRPr="00500696">
        <w:t xml:space="preserve">supporting our efforts this year to deliver </w:t>
      </w:r>
      <w:r>
        <w:t>safe and</w:t>
      </w:r>
      <w:r w:rsidR="00CD4CB2">
        <w:t> </w:t>
      </w:r>
      <w:r>
        <w:t>quality</w:t>
      </w:r>
      <w:r w:rsidRPr="00500696">
        <w:t xml:space="preserve"> care for you.</w:t>
      </w:r>
      <w:r>
        <w:t xml:space="preserve"> To our dedicated and hard-working healthcare workers, our health services, our partner agencies, and department staff – it is through your hard work and dedication that we have made such great strides over the past</w:t>
      </w:r>
      <w:r w:rsidR="00CD4CB2">
        <w:t> </w:t>
      </w:r>
      <w:r>
        <w:t>year.</w:t>
      </w:r>
    </w:p>
    <w:p w14:paraId="041E3ADA" w14:textId="77777777" w:rsidR="00496244" w:rsidRDefault="00496244" w:rsidP="00317057">
      <w:pPr>
        <w:pStyle w:val="ARbody"/>
      </w:pPr>
      <w:r>
        <w:t>I look forward to continuing to work together in our collective pursuit to achieve the best health and wellbeing for our community</w:t>
      </w:r>
    </w:p>
    <w:p w14:paraId="16C479AA" w14:textId="0A9B0028" w:rsidR="00496244" w:rsidRPr="00770F62" w:rsidRDefault="00496244" w:rsidP="007A4153">
      <w:pPr>
        <w:pStyle w:val="Heading2declaration"/>
      </w:pPr>
      <w:bookmarkStart w:id="9" w:name="Responsible_bodys_declaration"/>
      <w:bookmarkStart w:id="10" w:name="_Toc85120944"/>
      <w:bookmarkEnd w:id="9"/>
      <w:r>
        <w:t>Responsible body</w:t>
      </w:r>
      <w:r w:rsidR="007D145B">
        <w:t>’</w:t>
      </w:r>
      <w:r>
        <w:t>s declaration</w:t>
      </w:r>
      <w:bookmarkEnd w:id="10"/>
    </w:p>
    <w:p w14:paraId="0A7C38A4" w14:textId="77777777" w:rsidR="00496244" w:rsidRDefault="00496244" w:rsidP="00317057">
      <w:pPr>
        <w:pStyle w:val="ARbody"/>
      </w:pPr>
      <w:r>
        <w:t xml:space="preserve">In accordance with the </w:t>
      </w:r>
      <w:r w:rsidRPr="3AAB85EE">
        <w:rPr>
          <w:i/>
          <w:iCs/>
        </w:rPr>
        <w:t>Financial Management Act 1994</w:t>
      </w:r>
      <w:r>
        <w:t>, I am pleased to present the Department of Health annual report for the year ending 30 June 2021.</w:t>
      </w:r>
    </w:p>
    <w:p w14:paraId="5A95A2CD" w14:textId="77777777" w:rsidR="00496244" w:rsidRDefault="00496244" w:rsidP="00317057">
      <w:pPr>
        <w:pStyle w:val="ARbody"/>
      </w:pPr>
      <w:r>
        <w:rPr>
          <w:noProof/>
          <w:lang w:eastAsia="en-AU" w:bidi="as-IN"/>
        </w:rPr>
        <w:drawing>
          <wp:inline distT="0" distB="0" distL="0" distR="0" wp14:anchorId="349686D6" wp14:editId="06457A06">
            <wp:extent cx="2125980" cy="821317"/>
            <wp:effectExtent l="0" t="0" r="7620" b="0"/>
            <wp:docPr id="8" name="Picture 8" descr="Professor Euan M Wallace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rofessor Euan M Wallace AM"/>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34134" cy="824467"/>
                    </a:xfrm>
                    <a:prstGeom prst="rect">
                      <a:avLst/>
                    </a:prstGeom>
                  </pic:spPr>
                </pic:pic>
              </a:graphicData>
            </a:graphic>
          </wp:inline>
        </w:drawing>
      </w:r>
    </w:p>
    <w:p w14:paraId="3993674B" w14:textId="77777777" w:rsidR="00496244" w:rsidRDefault="00496244" w:rsidP="00317057">
      <w:pPr>
        <w:pStyle w:val="ARbody"/>
      </w:pPr>
      <w:r w:rsidRPr="00F13A4C">
        <w:t xml:space="preserve">Professor Euan </w:t>
      </w:r>
      <w:r>
        <w:t xml:space="preserve">M </w:t>
      </w:r>
      <w:r w:rsidRPr="00F13A4C">
        <w:t>Wallace AM</w:t>
      </w:r>
      <w:r>
        <w:br/>
      </w:r>
      <w:r w:rsidRPr="00F13A4C">
        <w:t>Secretary</w:t>
      </w:r>
      <w:r>
        <w:br/>
      </w:r>
      <w:r w:rsidRPr="00F13A4C">
        <w:t>Department of Health</w:t>
      </w:r>
    </w:p>
    <w:p w14:paraId="66EE7366" w14:textId="77777777" w:rsidR="00496244" w:rsidRDefault="00496244">
      <w:pPr>
        <w:rPr>
          <w:rFonts w:ascii="Arial" w:eastAsia="Times" w:hAnsi="Arial" w:cs="Arial"/>
          <w:sz w:val="20"/>
          <w:szCs w:val="24"/>
          <w:highlight w:val="yellow"/>
        </w:rPr>
      </w:pPr>
    </w:p>
    <w:p w14:paraId="64CDF103" w14:textId="77777777" w:rsidR="00496244" w:rsidRDefault="00496244" w:rsidP="00317057">
      <w:pPr>
        <w:pStyle w:val="Heading2"/>
        <w:spacing w:before="0" w:after="120"/>
        <w:sectPr w:rsidR="00496244" w:rsidSect="00317057">
          <w:headerReference w:type="even" r:id="rId18"/>
          <w:footerReference w:type="even" r:id="rId19"/>
          <w:footerReference w:type="default" r:id="rId20"/>
          <w:headerReference w:type="first" r:id="rId21"/>
          <w:footerReference w:type="first" r:id="rId22"/>
          <w:footnotePr>
            <w:numFmt w:val="lowerLetter"/>
            <w:numRestart w:val="eachPage"/>
          </w:footnotePr>
          <w:type w:val="continuous"/>
          <w:pgSz w:w="11906" w:h="16838" w:code="9"/>
          <w:pgMar w:top="1985" w:right="1134" w:bottom="851" w:left="1134" w:header="510" w:footer="340" w:gutter="0"/>
          <w:cols w:num="2" w:space="454"/>
          <w:docGrid w:linePitch="360"/>
        </w:sectPr>
      </w:pPr>
    </w:p>
    <w:p w14:paraId="4BA3DB94" w14:textId="77777777" w:rsidR="00496244" w:rsidRDefault="00496244" w:rsidP="00317057">
      <w:pPr>
        <w:pStyle w:val="Heading2"/>
        <w:spacing w:before="0" w:after="120"/>
      </w:pPr>
      <w:bookmarkStart w:id="11" w:name="_Toc85120945"/>
      <w:bookmarkStart w:id="12" w:name="_Toc85121594"/>
      <w:bookmarkStart w:id="13" w:name="_Toc86075577"/>
      <w:r>
        <w:lastRenderedPageBreak/>
        <w:t>V</w:t>
      </w:r>
      <w:r w:rsidRPr="002029AF">
        <w:t>ision</w:t>
      </w:r>
      <w:r>
        <w:t>, mission and values</w:t>
      </w:r>
      <w:bookmarkEnd w:id="11"/>
      <w:bookmarkEnd w:id="12"/>
      <w:bookmarkEnd w:id="13"/>
    </w:p>
    <w:p w14:paraId="682B8E49" w14:textId="77777777" w:rsidR="00496244" w:rsidRDefault="00496244" w:rsidP="00317057">
      <w:pPr>
        <w:pStyle w:val="Heading3"/>
        <w:sectPr w:rsidR="00496244" w:rsidSect="00317057">
          <w:footnotePr>
            <w:numFmt w:val="lowerLetter"/>
            <w:numRestart w:val="eachPage"/>
          </w:footnotePr>
          <w:endnotePr>
            <w:numFmt w:val="decimal"/>
          </w:endnotePr>
          <w:pgSz w:w="11900" w:h="16840" w:code="9"/>
          <w:pgMar w:top="1985" w:right="1134" w:bottom="851" w:left="1134" w:header="510" w:footer="340" w:gutter="0"/>
          <w:cols w:space="454"/>
        </w:sectPr>
      </w:pPr>
    </w:p>
    <w:p w14:paraId="69FE7855" w14:textId="77777777" w:rsidR="00496244" w:rsidRDefault="00496244" w:rsidP="00317057">
      <w:pPr>
        <w:pStyle w:val="Heading3"/>
      </w:pPr>
      <w:bookmarkStart w:id="14" w:name="_Toc85120946"/>
      <w:r>
        <w:t>Vision</w:t>
      </w:r>
      <w:bookmarkEnd w:id="14"/>
    </w:p>
    <w:p w14:paraId="625B51B5" w14:textId="77777777" w:rsidR="00496244" w:rsidRDefault="00496244" w:rsidP="00FE1BE0">
      <w:pPr>
        <w:pStyle w:val="ARbody"/>
        <w:rPr>
          <w:lang w:eastAsia="en-AU"/>
        </w:rPr>
      </w:pPr>
      <w:r w:rsidRPr="002029AF">
        <w:rPr>
          <w:lang w:eastAsia="en-AU"/>
        </w:rPr>
        <w:t>To achieve the best health, wellbeing, and safety of all Victorians so that they can live a life they value.</w:t>
      </w:r>
    </w:p>
    <w:p w14:paraId="645A7E1E" w14:textId="77777777" w:rsidR="00496244" w:rsidRDefault="00496244" w:rsidP="00317057">
      <w:pPr>
        <w:pStyle w:val="Heading3"/>
      </w:pPr>
      <w:bookmarkStart w:id="15" w:name="_Toc85120947"/>
      <w:r>
        <w:t>Mission</w:t>
      </w:r>
      <w:bookmarkEnd w:id="15"/>
    </w:p>
    <w:p w14:paraId="7EA53E47" w14:textId="77CEE13A" w:rsidR="00496244" w:rsidRPr="002029AF" w:rsidRDefault="00496244" w:rsidP="00317057">
      <w:pPr>
        <w:pStyle w:val="ARbody"/>
      </w:pPr>
      <w:r>
        <w:t>The department contributes to the government</w:t>
      </w:r>
      <w:r w:rsidR="007D145B">
        <w:t>’</w:t>
      </w:r>
      <w:r>
        <w:t>s commitment to a stronger, fairer, better Victoria by developing and delivering policies, programs and services that support, protect, and enhance the health, wellbeing, and safety of all Victorians.</w:t>
      </w:r>
    </w:p>
    <w:p w14:paraId="245333E3" w14:textId="77777777" w:rsidR="00496244" w:rsidRPr="002029AF" w:rsidRDefault="00496244" w:rsidP="00317057">
      <w:pPr>
        <w:pStyle w:val="Heading3"/>
      </w:pPr>
      <w:bookmarkStart w:id="16" w:name="_Toc85120948"/>
      <w:bookmarkStart w:id="17" w:name="_Ref85203507"/>
      <w:r>
        <w:t>V</w:t>
      </w:r>
      <w:r w:rsidRPr="002029AF">
        <w:t>alues</w:t>
      </w:r>
      <w:bookmarkEnd w:id="16"/>
      <w:bookmarkEnd w:id="17"/>
    </w:p>
    <w:p w14:paraId="26FA5C50" w14:textId="5496DE86" w:rsidR="00496244" w:rsidRDefault="00496244" w:rsidP="00FE1BE0">
      <w:pPr>
        <w:pStyle w:val="ARbody"/>
      </w:pPr>
      <w:r>
        <w:t xml:space="preserve">The department adopts the seven core public sector values established under the </w:t>
      </w:r>
      <w:r w:rsidRPr="005552F5">
        <w:rPr>
          <w:i/>
          <w:iCs/>
        </w:rPr>
        <w:t>Public Administration Act 2004</w:t>
      </w:r>
      <w:r>
        <w:t xml:space="preserve">. These values define </w:t>
      </w:r>
      <w:r w:rsidRPr="0001050D">
        <w:t>what</w:t>
      </w:r>
      <w:r w:rsidR="00CD4CB2">
        <w:t> </w:t>
      </w:r>
      <w:r w:rsidRPr="0001050D">
        <w:t xml:space="preserve">is important to </w:t>
      </w:r>
      <w:r>
        <w:t>the department and</w:t>
      </w:r>
      <w:r w:rsidRPr="0001050D">
        <w:t xml:space="preserve"> </w:t>
      </w:r>
      <w:r>
        <w:t>how the department operates, as well as guide employees</w:t>
      </w:r>
      <w:r w:rsidR="007D145B">
        <w:t>’</w:t>
      </w:r>
      <w:r>
        <w:t xml:space="preserve"> interactions with </w:t>
      </w:r>
      <w:r w:rsidRPr="0001050D">
        <w:t>government, community, suppliers, and other employees.</w:t>
      </w:r>
    </w:p>
    <w:p w14:paraId="6DB44286" w14:textId="77777777" w:rsidR="00496244" w:rsidRPr="0072418A" w:rsidRDefault="00496244" w:rsidP="00317057">
      <w:pPr>
        <w:pStyle w:val="Heading4"/>
      </w:pPr>
      <w:bookmarkStart w:id="18" w:name="_Toc85120949"/>
      <w:r w:rsidRPr="0072418A">
        <w:t>Responsiveness</w:t>
      </w:r>
      <w:bookmarkEnd w:id="18"/>
    </w:p>
    <w:p w14:paraId="37690A3D" w14:textId="7C1C7E1A" w:rsidR="00496244" w:rsidRDefault="00496244" w:rsidP="00317057">
      <w:pPr>
        <w:pStyle w:val="ARbullet1"/>
      </w:pPr>
      <w:r>
        <w:t>providing frank, impartial, and timely advice to</w:t>
      </w:r>
      <w:r w:rsidR="00CD4CB2">
        <w:t> </w:t>
      </w:r>
      <w:r>
        <w:t>the government</w:t>
      </w:r>
    </w:p>
    <w:p w14:paraId="53BA8DDE" w14:textId="77777777" w:rsidR="00496244" w:rsidRDefault="00496244" w:rsidP="00317057">
      <w:pPr>
        <w:pStyle w:val="ARbullet1"/>
      </w:pPr>
      <w:r>
        <w:t>providing high-quality services to the Victorian community</w:t>
      </w:r>
    </w:p>
    <w:p w14:paraId="36E150F8" w14:textId="77777777" w:rsidR="00496244" w:rsidRDefault="00496244" w:rsidP="00317057">
      <w:pPr>
        <w:pStyle w:val="ARbullet1"/>
      </w:pPr>
      <w:r>
        <w:t>identifying and promoting best practice</w:t>
      </w:r>
    </w:p>
    <w:p w14:paraId="7CEC1354" w14:textId="77777777" w:rsidR="00496244" w:rsidRPr="0072418A" w:rsidRDefault="00496244" w:rsidP="00317057">
      <w:pPr>
        <w:pStyle w:val="Heading4"/>
      </w:pPr>
      <w:bookmarkStart w:id="19" w:name="_Toc85120950"/>
      <w:r w:rsidRPr="0072418A">
        <w:t>Integrity</w:t>
      </w:r>
      <w:bookmarkEnd w:id="19"/>
    </w:p>
    <w:p w14:paraId="07AE8A89" w14:textId="77777777" w:rsidR="00496244" w:rsidRDefault="00496244" w:rsidP="00317057">
      <w:pPr>
        <w:pStyle w:val="ARbullet1"/>
      </w:pPr>
      <w:r>
        <w:t>being honest, open, and transparent in dealings</w:t>
      </w:r>
    </w:p>
    <w:p w14:paraId="4E05578D" w14:textId="77777777" w:rsidR="00496244" w:rsidRDefault="00496244" w:rsidP="00317057">
      <w:pPr>
        <w:pStyle w:val="ARbullet1"/>
      </w:pPr>
      <w:r>
        <w:t>using powers responsibly</w:t>
      </w:r>
    </w:p>
    <w:p w14:paraId="3DFC9563" w14:textId="77777777" w:rsidR="00496244" w:rsidRDefault="00496244" w:rsidP="00317057">
      <w:pPr>
        <w:pStyle w:val="ARbullet1"/>
      </w:pPr>
      <w:r>
        <w:t>reporting improper conduct</w:t>
      </w:r>
    </w:p>
    <w:p w14:paraId="1DFBD6A7" w14:textId="77777777" w:rsidR="00496244" w:rsidRDefault="00496244" w:rsidP="00317057">
      <w:pPr>
        <w:pStyle w:val="ARbullet1"/>
      </w:pPr>
      <w:r>
        <w:t>avoiding any real or apparent conflicts of interest</w:t>
      </w:r>
    </w:p>
    <w:p w14:paraId="6166766B" w14:textId="387121E3" w:rsidR="00496244" w:rsidRDefault="00496244" w:rsidP="00317057">
      <w:pPr>
        <w:pStyle w:val="ARbullet1"/>
      </w:pPr>
      <w:r>
        <w:t>striving to earn and sustain public trust of a high</w:t>
      </w:r>
      <w:r w:rsidR="00CD4CB2">
        <w:t> </w:t>
      </w:r>
      <w:r>
        <w:t>level</w:t>
      </w:r>
    </w:p>
    <w:p w14:paraId="32D9D817" w14:textId="77777777" w:rsidR="00496244" w:rsidRDefault="00496244" w:rsidP="00317057">
      <w:pPr>
        <w:pStyle w:val="Heading4"/>
      </w:pPr>
      <w:bookmarkStart w:id="20" w:name="_Toc85120951"/>
      <w:r>
        <w:t>Impartiality</w:t>
      </w:r>
      <w:bookmarkEnd w:id="20"/>
    </w:p>
    <w:p w14:paraId="6A43AF70" w14:textId="55F01478" w:rsidR="00496244" w:rsidRDefault="00496244" w:rsidP="00317057">
      <w:pPr>
        <w:pStyle w:val="ARbullet1"/>
      </w:pPr>
      <w:r>
        <w:t>making decisions and providing advice on merit</w:t>
      </w:r>
      <w:r w:rsidR="00CD4CB2">
        <w:t> </w:t>
      </w:r>
      <w:r>
        <w:t>and without bias, caprice, favouritism, or</w:t>
      </w:r>
      <w:r w:rsidR="00CD4CB2">
        <w:t> </w:t>
      </w:r>
      <w:r>
        <w:t>self interest</w:t>
      </w:r>
    </w:p>
    <w:p w14:paraId="41AE47A9" w14:textId="30320678" w:rsidR="00496244" w:rsidRDefault="00496244" w:rsidP="00317057">
      <w:pPr>
        <w:pStyle w:val="ARbullet1"/>
      </w:pPr>
      <w:r>
        <w:t>acting fairly by objectively considering all</w:t>
      </w:r>
      <w:r w:rsidR="00CD4CB2">
        <w:t> </w:t>
      </w:r>
      <w:r>
        <w:t>relevant facts and fair criteria</w:t>
      </w:r>
    </w:p>
    <w:p w14:paraId="55FFEE6B" w14:textId="77777777" w:rsidR="00496244" w:rsidRDefault="00496244" w:rsidP="00317057">
      <w:pPr>
        <w:pStyle w:val="ARbullet1"/>
      </w:pPr>
      <w:r>
        <w:t>implementing government policies and programs equitably</w:t>
      </w:r>
    </w:p>
    <w:p w14:paraId="566A5869" w14:textId="77777777" w:rsidR="00496244" w:rsidRDefault="00496244" w:rsidP="00317057">
      <w:pPr>
        <w:pStyle w:val="Heading4"/>
      </w:pPr>
      <w:bookmarkStart w:id="21" w:name="_Toc85120952"/>
      <w:r>
        <w:t>Accountability</w:t>
      </w:r>
      <w:bookmarkEnd w:id="21"/>
    </w:p>
    <w:p w14:paraId="48CE904E" w14:textId="77777777" w:rsidR="00496244" w:rsidRDefault="00496244" w:rsidP="00317057">
      <w:pPr>
        <w:pStyle w:val="ARbullet1"/>
      </w:pPr>
      <w:r>
        <w:t>working to clear objectives in a transparent manner</w:t>
      </w:r>
    </w:p>
    <w:p w14:paraId="3782EA36" w14:textId="77777777" w:rsidR="00496244" w:rsidRDefault="00496244" w:rsidP="00317057">
      <w:pPr>
        <w:pStyle w:val="ARbullet1"/>
      </w:pPr>
      <w:r>
        <w:t>accepting responsibility for decisions and actions</w:t>
      </w:r>
    </w:p>
    <w:p w14:paraId="345FE658" w14:textId="77777777" w:rsidR="00496244" w:rsidRDefault="00496244" w:rsidP="00317057">
      <w:pPr>
        <w:pStyle w:val="ARbullet1"/>
      </w:pPr>
      <w:r>
        <w:t>seeking to achieve best use of resources</w:t>
      </w:r>
    </w:p>
    <w:p w14:paraId="5E1497CE" w14:textId="77777777" w:rsidR="00496244" w:rsidRDefault="00496244" w:rsidP="00317057">
      <w:pPr>
        <w:pStyle w:val="ARbullet1"/>
      </w:pPr>
      <w:r>
        <w:t>submitting to appropriate scrutiny</w:t>
      </w:r>
    </w:p>
    <w:p w14:paraId="5710B1DF" w14:textId="77777777" w:rsidR="00496244" w:rsidRDefault="00496244" w:rsidP="00317057">
      <w:pPr>
        <w:pStyle w:val="Heading4"/>
      </w:pPr>
      <w:bookmarkStart w:id="22" w:name="_Toc85120953"/>
      <w:r>
        <w:t>Respect</w:t>
      </w:r>
      <w:bookmarkEnd w:id="22"/>
    </w:p>
    <w:p w14:paraId="36849167" w14:textId="77777777" w:rsidR="00496244" w:rsidRDefault="00496244" w:rsidP="00317057">
      <w:pPr>
        <w:pStyle w:val="ARbullet1"/>
      </w:pPr>
      <w:r>
        <w:t>treating people fairly and objectively</w:t>
      </w:r>
    </w:p>
    <w:p w14:paraId="16CAEAA5" w14:textId="77777777" w:rsidR="00496244" w:rsidRDefault="00496244" w:rsidP="00317057">
      <w:pPr>
        <w:pStyle w:val="ARbullet1"/>
      </w:pPr>
      <w:r>
        <w:t>ensuring freedom from discrimination harassment and bullying</w:t>
      </w:r>
    </w:p>
    <w:p w14:paraId="019887B3" w14:textId="4910151E" w:rsidR="00496244" w:rsidRDefault="00496244" w:rsidP="00317057">
      <w:pPr>
        <w:pStyle w:val="ARbullet1"/>
      </w:pPr>
      <w:r>
        <w:t>using people</w:t>
      </w:r>
      <w:r w:rsidR="007D145B">
        <w:t>’</w:t>
      </w:r>
      <w:r>
        <w:t>s views to improve outcomes on</w:t>
      </w:r>
      <w:r w:rsidR="00CD4CB2">
        <w:t> </w:t>
      </w:r>
      <w:r>
        <w:t>an</w:t>
      </w:r>
      <w:r w:rsidR="00CD4CB2">
        <w:t> </w:t>
      </w:r>
      <w:r>
        <w:t>ongoing basis</w:t>
      </w:r>
    </w:p>
    <w:p w14:paraId="539A83A4" w14:textId="77777777" w:rsidR="00496244" w:rsidRDefault="00496244" w:rsidP="00317057">
      <w:pPr>
        <w:pStyle w:val="Heading4"/>
      </w:pPr>
      <w:bookmarkStart w:id="23" w:name="_Toc85120954"/>
      <w:r>
        <w:t>Leadership</w:t>
      </w:r>
      <w:bookmarkEnd w:id="23"/>
    </w:p>
    <w:p w14:paraId="69B90B76" w14:textId="698E1184" w:rsidR="00496244" w:rsidRDefault="00496244" w:rsidP="00317057">
      <w:pPr>
        <w:pStyle w:val="ARbullet1"/>
      </w:pPr>
      <w:r>
        <w:t>actively implementing, promoting, and supporting the department</w:t>
      </w:r>
      <w:r w:rsidR="007D145B">
        <w:t>’</w:t>
      </w:r>
      <w:r>
        <w:t>s values</w:t>
      </w:r>
    </w:p>
    <w:p w14:paraId="7AF98DD9" w14:textId="77777777" w:rsidR="00496244" w:rsidRDefault="00496244" w:rsidP="00317057">
      <w:pPr>
        <w:pStyle w:val="Heading4"/>
      </w:pPr>
      <w:bookmarkStart w:id="24" w:name="_Toc85120955"/>
      <w:r>
        <w:t>Human rights</w:t>
      </w:r>
      <w:bookmarkEnd w:id="24"/>
    </w:p>
    <w:p w14:paraId="52C3B1D2" w14:textId="77777777" w:rsidR="00496244" w:rsidRDefault="00496244" w:rsidP="00317057">
      <w:pPr>
        <w:pStyle w:val="ARbullet1"/>
      </w:pPr>
      <w:r>
        <w:t>making decisions and providing advice consistent with human rights</w:t>
      </w:r>
    </w:p>
    <w:p w14:paraId="3889A606" w14:textId="77777777" w:rsidR="00496244" w:rsidRDefault="00496244" w:rsidP="00317057">
      <w:pPr>
        <w:pStyle w:val="ARbullet1"/>
      </w:pPr>
      <w:r>
        <w:t>actively implementing, promoting, and supporting human rights</w:t>
      </w:r>
    </w:p>
    <w:p w14:paraId="13B2FAC4" w14:textId="77777777" w:rsidR="00496244" w:rsidRDefault="00496244" w:rsidP="00317057">
      <w:pPr>
        <w:pStyle w:val="ARbullet1"/>
        <w:numPr>
          <w:ilvl w:val="0"/>
          <w:numId w:val="0"/>
        </w:numPr>
        <w:ind w:left="284" w:hanging="284"/>
      </w:pPr>
    </w:p>
    <w:p w14:paraId="544AE8B9" w14:textId="77777777" w:rsidR="00496244" w:rsidRDefault="00496244">
      <w:pPr>
        <w:rPr>
          <w:rFonts w:ascii="Arial" w:eastAsia="Times" w:hAnsi="Arial" w:cs="Arial"/>
          <w:sz w:val="20"/>
          <w:szCs w:val="24"/>
          <w:highlight w:val="yellow"/>
        </w:rPr>
        <w:sectPr w:rsidR="00496244" w:rsidSect="00317057">
          <w:footnotePr>
            <w:numFmt w:val="lowerLetter"/>
            <w:numRestart w:val="eachPage"/>
          </w:footnotePr>
          <w:endnotePr>
            <w:numFmt w:val="decimal"/>
          </w:endnotePr>
          <w:type w:val="continuous"/>
          <w:pgSz w:w="11900" w:h="16840" w:code="9"/>
          <w:pgMar w:top="1985" w:right="1134" w:bottom="851" w:left="1134" w:header="510" w:footer="340" w:gutter="0"/>
          <w:cols w:num="2" w:space="454"/>
        </w:sectPr>
      </w:pPr>
    </w:p>
    <w:p w14:paraId="58CEF1E6" w14:textId="77777777" w:rsidR="00496244" w:rsidRPr="00C07CBF" w:rsidRDefault="00496244" w:rsidP="00317057">
      <w:pPr>
        <w:pStyle w:val="ARbody"/>
      </w:pPr>
      <w:r w:rsidRPr="00C07CBF">
        <w:br w:type="page"/>
      </w:r>
    </w:p>
    <w:p w14:paraId="1622E597" w14:textId="77777777" w:rsidR="00496244" w:rsidRPr="004816A8" w:rsidRDefault="00496244" w:rsidP="00317057">
      <w:pPr>
        <w:pStyle w:val="Heading2"/>
        <w:spacing w:before="0" w:after="120"/>
        <w:rPr>
          <w:bCs w:val="0"/>
          <w:iCs w:val="0"/>
        </w:rPr>
      </w:pPr>
      <w:bookmarkStart w:id="25" w:name="_Toc85120956"/>
      <w:bookmarkStart w:id="26" w:name="_Toc85121595"/>
      <w:bookmarkStart w:id="27" w:name="_Ref85202129"/>
      <w:bookmarkStart w:id="28" w:name="_Toc86075578"/>
      <w:r w:rsidRPr="004816A8">
        <w:rPr>
          <w:bCs w:val="0"/>
          <w:iCs w:val="0"/>
        </w:rPr>
        <w:lastRenderedPageBreak/>
        <w:t>Purpose and functions</w:t>
      </w:r>
      <w:bookmarkEnd w:id="25"/>
      <w:bookmarkEnd w:id="26"/>
      <w:bookmarkEnd w:id="27"/>
      <w:bookmarkEnd w:id="28"/>
    </w:p>
    <w:p w14:paraId="53CE8DF2" w14:textId="30FB1579" w:rsidR="00496244" w:rsidRPr="00F1412B" w:rsidRDefault="00496244" w:rsidP="00317057">
      <w:pPr>
        <w:pStyle w:val="ARbody"/>
      </w:pPr>
      <w:r w:rsidRPr="002029AF">
        <w:t xml:space="preserve">The </w:t>
      </w:r>
      <w:r>
        <w:t xml:space="preserve">Department of Health (the </w:t>
      </w:r>
      <w:r w:rsidRPr="002029AF">
        <w:t>department</w:t>
      </w:r>
      <w:r>
        <w:t>)</w:t>
      </w:r>
      <w:r w:rsidRPr="002029AF">
        <w:t xml:space="preserve"> </w:t>
      </w:r>
      <w:r>
        <w:t>was formally established on 1 February 2021, following the government</w:t>
      </w:r>
      <w:r w:rsidR="007D145B">
        <w:t>’</w:t>
      </w:r>
      <w:r>
        <w:t>s announcement on 30 November 2020 th</w:t>
      </w:r>
      <w:r w:rsidRPr="00F1412B">
        <w:t>at the former Department of Health and Human Services would be separated into two new departments to allow for a dedicated focus on the health system and Victoria</w:t>
      </w:r>
      <w:r w:rsidR="007D145B">
        <w:t>’</w:t>
      </w:r>
      <w:r w:rsidRPr="00F1412B">
        <w:t>s social recovery from COVID-19.</w:t>
      </w:r>
    </w:p>
    <w:p w14:paraId="362870AE" w14:textId="77777777" w:rsidR="00496244" w:rsidRPr="004326BA" w:rsidRDefault="00496244" w:rsidP="00317057">
      <w:pPr>
        <w:pStyle w:val="ARbody"/>
      </w:pPr>
      <w:r w:rsidRPr="00143E48">
        <w:t xml:space="preserve">Our job is to </w:t>
      </w:r>
      <w:r>
        <w:t xml:space="preserve">deliver a world-class health system that focuses on </w:t>
      </w:r>
      <w:r w:rsidRPr="004326BA">
        <w:t>improving patient outcomes and experience for all Victorians.</w:t>
      </w:r>
    </w:p>
    <w:p w14:paraId="48778F0A" w14:textId="77777777" w:rsidR="00496244" w:rsidRPr="002029AF" w:rsidRDefault="00496244" w:rsidP="00C22356">
      <w:pPr>
        <w:pStyle w:val="Heading3"/>
      </w:pPr>
      <w:bookmarkStart w:id="29" w:name="_Toc85120957"/>
      <w:bookmarkStart w:id="30" w:name="_Ref85202213"/>
      <w:r w:rsidRPr="002029AF">
        <w:t>Our services</w:t>
      </w:r>
      <w:bookmarkEnd w:id="29"/>
      <w:bookmarkEnd w:id="30"/>
    </w:p>
    <w:p w14:paraId="2DB74594" w14:textId="77777777" w:rsidR="00496244" w:rsidRPr="00F1412B" w:rsidRDefault="00496244" w:rsidP="00317057">
      <w:pPr>
        <w:pStyle w:val="Heading4"/>
      </w:pPr>
      <w:bookmarkStart w:id="31" w:name="_Toc85120958"/>
      <w:r w:rsidRPr="00F1412B">
        <w:t xml:space="preserve">Acute </w:t>
      </w:r>
      <w:r>
        <w:t>h</w:t>
      </w:r>
      <w:r w:rsidRPr="00F1412B">
        <w:t xml:space="preserve">ealth </w:t>
      </w:r>
      <w:r>
        <w:t>s</w:t>
      </w:r>
      <w:r w:rsidRPr="00F1412B">
        <w:t>ervices</w:t>
      </w:r>
      <w:bookmarkEnd w:id="31"/>
    </w:p>
    <w:p w14:paraId="6AF51B86" w14:textId="381BAD28" w:rsidR="00496244" w:rsidRPr="008C2C6F" w:rsidRDefault="00496244" w:rsidP="00317057">
      <w:pPr>
        <w:pStyle w:val="ARbody"/>
      </w:pPr>
      <w:r w:rsidRPr="008C2C6F">
        <w:t xml:space="preserve">The </w:t>
      </w:r>
      <w:r>
        <w:t xml:space="preserve">public </w:t>
      </w:r>
      <w:r w:rsidRPr="008C2C6F">
        <w:t xml:space="preserve">health system provides all Victorians </w:t>
      </w:r>
      <w:r>
        <w:t>with access to high-quality</w:t>
      </w:r>
      <w:r w:rsidRPr="008C2C6F">
        <w:t xml:space="preserve"> public hospitals and services to address their acute health needs. The</w:t>
      </w:r>
      <w:r w:rsidR="00CD4CB2">
        <w:t> </w:t>
      </w:r>
      <w:r w:rsidRPr="00815071">
        <w:t xml:space="preserve">department contributes to </w:t>
      </w:r>
      <w:r w:rsidRPr="00507EC0">
        <w:t>the management of</w:t>
      </w:r>
      <w:r w:rsidR="00CD4CB2">
        <w:t> </w:t>
      </w:r>
      <w:r w:rsidRPr="00507EC0">
        <w:t xml:space="preserve">the public health </w:t>
      </w:r>
      <w:r w:rsidRPr="00815071">
        <w:t xml:space="preserve">system </w:t>
      </w:r>
      <w:r>
        <w:t>through</w:t>
      </w:r>
      <w:r w:rsidRPr="00507EC0">
        <w:t xml:space="preserve"> </w:t>
      </w:r>
      <w:r w:rsidRPr="00815071">
        <w:t>leadership</w:t>
      </w:r>
      <w:r>
        <w:t>,</w:t>
      </w:r>
      <w:r w:rsidRPr="00507EC0">
        <w:t xml:space="preserve"> </w:t>
      </w:r>
      <w:r w:rsidRPr="00815071">
        <w:t>governance responsibility,</w:t>
      </w:r>
      <w:r>
        <w:t xml:space="preserve"> </w:t>
      </w:r>
      <w:r w:rsidRPr="00815071">
        <w:t>policy</w:t>
      </w:r>
      <w:r w:rsidRPr="00507EC0">
        <w:t xml:space="preserve"> </w:t>
      </w:r>
      <w:r>
        <w:t>development</w:t>
      </w:r>
      <w:r w:rsidRPr="00507EC0">
        <w:t xml:space="preserve"> and</w:t>
      </w:r>
      <w:r w:rsidR="00CD4CB2">
        <w:t> </w:t>
      </w:r>
      <w:r>
        <w:t xml:space="preserve">the </w:t>
      </w:r>
      <w:r w:rsidRPr="00815071">
        <w:t>advanc</w:t>
      </w:r>
      <w:r>
        <w:t>ement of</w:t>
      </w:r>
      <w:r w:rsidRPr="00815071">
        <w:t xml:space="preserve"> quality and safety.</w:t>
      </w:r>
    </w:p>
    <w:p w14:paraId="582DDEF0" w14:textId="77777777" w:rsidR="00496244" w:rsidRPr="008C2C6F" w:rsidRDefault="00496244" w:rsidP="00317057">
      <w:pPr>
        <w:pStyle w:val="ARbody"/>
      </w:pPr>
      <w:r w:rsidRPr="008C2C6F">
        <w:t>These contributions include responsibility for funding, performance monitoring and accountability, strategic asset management and system planning.</w:t>
      </w:r>
    </w:p>
    <w:p w14:paraId="72CE6F62" w14:textId="77777777" w:rsidR="00496244" w:rsidRPr="00F1412B" w:rsidRDefault="00496244" w:rsidP="00317057">
      <w:pPr>
        <w:pStyle w:val="Heading4"/>
      </w:pPr>
      <w:bookmarkStart w:id="32" w:name="_Toc85120959"/>
      <w:r w:rsidRPr="00F1412B">
        <w:t xml:space="preserve">Ageing, </w:t>
      </w:r>
      <w:r>
        <w:t>a</w:t>
      </w:r>
      <w:r w:rsidRPr="00F1412B">
        <w:t xml:space="preserve">ged and </w:t>
      </w:r>
      <w:r>
        <w:t>h</w:t>
      </w:r>
      <w:r w:rsidRPr="00F1412B">
        <w:t xml:space="preserve">ome </w:t>
      </w:r>
      <w:r>
        <w:t>c</w:t>
      </w:r>
      <w:r w:rsidRPr="00F1412B">
        <w:t>are</w:t>
      </w:r>
      <w:bookmarkEnd w:id="32"/>
    </w:p>
    <w:p w14:paraId="7493E667" w14:textId="77777777" w:rsidR="00496244" w:rsidRPr="008C2C6F" w:rsidRDefault="00496244" w:rsidP="00317057">
      <w:pPr>
        <w:pStyle w:val="ARbody"/>
      </w:pPr>
      <w:r w:rsidRPr="00546F72">
        <w:t xml:space="preserve">Older Victorians deserve safe and modern aged </w:t>
      </w:r>
      <w:r>
        <w:t>c</w:t>
      </w:r>
      <w:r w:rsidRPr="00546F72">
        <w:t>are services.</w:t>
      </w:r>
      <w:r w:rsidRPr="007516D5">
        <w:t xml:space="preserve"> </w:t>
      </w:r>
      <w:r>
        <w:t xml:space="preserve">Through its </w:t>
      </w:r>
      <w:r w:rsidRPr="008C2C6F">
        <w:t>acute health, community and aged care services</w:t>
      </w:r>
      <w:r>
        <w:t>, t</w:t>
      </w:r>
      <w:r w:rsidRPr="008C2C6F">
        <w:t xml:space="preserve">he department supports timely access to services that enable older people to remain independent for as long as possible. The department is also the system manager for the </w:t>
      </w:r>
      <w:r>
        <w:t>Victorian</w:t>
      </w:r>
      <w:r w:rsidRPr="008C2C6F">
        <w:t xml:space="preserve"> public sector residential aged care sector</w:t>
      </w:r>
      <w:r>
        <w:t>, the largest</w:t>
      </w:r>
      <w:r w:rsidRPr="008C2C6F">
        <w:t xml:space="preserve"> in Australia.</w:t>
      </w:r>
      <w:r>
        <w:t xml:space="preserve"> </w:t>
      </w:r>
      <w:r w:rsidRPr="008C2C6F">
        <w:t>Responsibility for these services is shared with the Department of Families, Fairness and Housing.</w:t>
      </w:r>
    </w:p>
    <w:p w14:paraId="68FAFB85" w14:textId="77777777" w:rsidR="00496244" w:rsidRPr="00F1412B" w:rsidRDefault="00496244" w:rsidP="00317057">
      <w:pPr>
        <w:pStyle w:val="Heading4"/>
      </w:pPr>
      <w:bookmarkStart w:id="33" w:name="_Toc85120960"/>
      <w:r w:rsidRPr="00F1412B">
        <w:t xml:space="preserve">Ambulance </w:t>
      </w:r>
      <w:r>
        <w:t>s</w:t>
      </w:r>
      <w:r w:rsidRPr="00F1412B">
        <w:t>ervices</w:t>
      </w:r>
      <w:bookmarkEnd w:id="33"/>
    </w:p>
    <w:p w14:paraId="7F901220" w14:textId="77777777" w:rsidR="00496244" w:rsidRPr="008C2C6F" w:rsidRDefault="00496244" w:rsidP="00317057">
      <w:pPr>
        <w:pStyle w:val="ARbody"/>
      </w:pPr>
      <w:r w:rsidRPr="008C2C6F">
        <w:t xml:space="preserve">Victorians expect timely responses to emergencies. </w:t>
      </w:r>
      <w:r>
        <w:t>E</w:t>
      </w:r>
      <w:r w:rsidRPr="008C2C6F">
        <w:t>mergency and non-emergency ambulance services contribute to integrated and accessible health and community services for all Victorians.</w:t>
      </w:r>
    </w:p>
    <w:p w14:paraId="55145CA5" w14:textId="77777777" w:rsidR="00496244" w:rsidRPr="00F1412B" w:rsidRDefault="00496244" w:rsidP="00317057">
      <w:pPr>
        <w:pStyle w:val="Heading4"/>
      </w:pPr>
      <w:bookmarkStart w:id="34" w:name="_Toc85120961"/>
      <w:r w:rsidRPr="00F1412B">
        <w:t xml:space="preserve">Drug </w:t>
      </w:r>
      <w:r>
        <w:t>s</w:t>
      </w:r>
      <w:r w:rsidRPr="00F1412B">
        <w:t>ervices</w:t>
      </w:r>
      <w:bookmarkEnd w:id="34"/>
    </w:p>
    <w:p w14:paraId="09330C13" w14:textId="0DA0AC4B" w:rsidR="00496244" w:rsidRPr="008C2C6F" w:rsidRDefault="00496244" w:rsidP="00317057">
      <w:pPr>
        <w:pStyle w:val="ARbody"/>
      </w:pPr>
      <w:r w:rsidRPr="008C2C6F">
        <w:t>Drug and alcohol problems affect not just individuals, but their families, their friends and their communities. The department works with Victoria</w:t>
      </w:r>
      <w:r w:rsidR="007D145B">
        <w:t>’</w:t>
      </w:r>
      <w:r w:rsidRPr="008C2C6F">
        <w:t xml:space="preserve">s alcohol and drug treatment and support services to </w:t>
      </w:r>
      <w:r w:rsidRPr="008C2C6F">
        <w:t>develop policies and provide funding for the right drug treatment, support, and harm-reduction services across Victoria.</w:t>
      </w:r>
    </w:p>
    <w:p w14:paraId="0662D81F" w14:textId="77777777" w:rsidR="00496244" w:rsidRPr="00F1412B" w:rsidRDefault="00496244" w:rsidP="00317057">
      <w:pPr>
        <w:pStyle w:val="Heading4"/>
      </w:pPr>
      <w:bookmarkStart w:id="35" w:name="_Toc85120962"/>
      <w:r w:rsidRPr="00F1412B">
        <w:t xml:space="preserve">Mental </w:t>
      </w:r>
      <w:r>
        <w:t>h</w:t>
      </w:r>
      <w:r w:rsidRPr="00F1412B">
        <w:t>ealth</w:t>
      </w:r>
      <w:bookmarkEnd w:id="35"/>
    </w:p>
    <w:p w14:paraId="1909DEFA" w14:textId="271F2110" w:rsidR="00496244" w:rsidRPr="008C2C6F" w:rsidRDefault="00496244" w:rsidP="00317057">
      <w:pPr>
        <w:pStyle w:val="ARbody"/>
      </w:pPr>
      <w:r w:rsidRPr="008C2C6F">
        <w:t>Mental health services support Victorians experiencing or affected by poor mental health, as well as their families and carers. The department is responsible for mental health policy, planning, strategy, and programs that deliver prevention, early intervention, treatment, and support. The department is leading implementation of the recommendations made by the Royal Commission into Victoria</w:t>
      </w:r>
      <w:r w:rsidR="007D145B">
        <w:t>’</w:t>
      </w:r>
      <w:r w:rsidRPr="008C2C6F">
        <w:t>s Mental Health System.</w:t>
      </w:r>
    </w:p>
    <w:p w14:paraId="2ABBDBC3" w14:textId="77777777" w:rsidR="00496244" w:rsidRPr="00F1412B" w:rsidRDefault="00496244" w:rsidP="00317057">
      <w:pPr>
        <w:pStyle w:val="Heading4"/>
      </w:pPr>
      <w:bookmarkStart w:id="36" w:name="_Toc85120963"/>
      <w:r w:rsidRPr="00F1412B">
        <w:t xml:space="preserve">Primary, </w:t>
      </w:r>
      <w:r>
        <w:t>c</w:t>
      </w:r>
      <w:r w:rsidRPr="00F1412B">
        <w:t xml:space="preserve">ommunity and </w:t>
      </w:r>
      <w:r>
        <w:t>d</w:t>
      </w:r>
      <w:r w:rsidRPr="00F1412B">
        <w:t xml:space="preserve">ental </w:t>
      </w:r>
      <w:r>
        <w:t>h</w:t>
      </w:r>
      <w:r w:rsidRPr="00F1412B">
        <w:t>ealth</w:t>
      </w:r>
      <w:bookmarkEnd w:id="36"/>
    </w:p>
    <w:p w14:paraId="03EA9180" w14:textId="14791B03" w:rsidR="00496244" w:rsidRPr="008C2C6F" w:rsidRDefault="00496244" w:rsidP="00317057">
      <w:pPr>
        <w:pStyle w:val="ARbody"/>
      </w:pPr>
      <w:r w:rsidRPr="007D3F35">
        <w:t xml:space="preserve">Primary care is often </w:t>
      </w:r>
      <w:r>
        <w:t>someone</w:t>
      </w:r>
      <w:r w:rsidR="007D145B">
        <w:t>’</w:t>
      </w:r>
      <w:r>
        <w:t>s</w:t>
      </w:r>
      <w:r w:rsidRPr="007D3F35">
        <w:t xml:space="preserve"> first point of contact with the health system and Victoria</w:t>
      </w:r>
      <w:r w:rsidR="007D145B">
        <w:t>’</w:t>
      </w:r>
      <w:r w:rsidRPr="007D3F35">
        <w:t>s community health services play an important role in</w:t>
      </w:r>
      <w:r w:rsidR="00CD4CB2">
        <w:t> </w:t>
      </w:r>
      <w:r w:rsidRPr="007D3F35">
        <w:t>the delivery of state-funded, population-focused, and community-based health services. The department is responsible for funding, monitoring, and planning the provision of primary and community health care services (including counselling, allied health and nursing), dental services, and maternal and child health and early parenting services.</w:t>
      </w:r>
    </w:p>
    <w:p w14:paraId="58DC7DD1" w14:textId="77777777" w:rsidR="00496244" w:rsidRPr="00F1412B" w:rsidRDefault="00496244" w:rsidP="00317057">
      <w:pPr>
        <w:pStyle w:val="Heading4"/>
      </w:pPr>
      <w:bookmarkStart w:id="37" w:name="_Toc85120964"/>
      <w:r w:rsidRPr="00F1412B">
        <w:t xml:space="preserve">Public </w:t>
      </w:r>
      <w:r>
        <w:t>h</w:t>
      </w:r>
      <w:r w:rsidRPr="00F1412B">
        <w:t>ealth</w:t>
      </w:r>
      <w:bookmarkEnd w:id="37"/>
    </w:p>
    <w:p w14:paraId="1DD39C1C" w14:textId="77777777" w:rsidR="00496244" w:rsidRPr="007C0C25" w:rsidRDefault="00496244" w:rsidP="00317057">
      <w:pPr>
        <w:pStyle w:val="ARbody"/>
      </w:pPr>
      <w:r w:rsidRPr="008C2C6F">
        <w:t xml:space="preserve">The department seeks to reduce the incidence of preventable </w:t>
      </w:r>
      <w:r w:rsidRPr="007C0C25">
        <w:t>disease by protecting the community against hazards resulting from or associated with communicable disease, contaminated food or water, or contamination in the environment. The department works in strong partnership with local government and service providers to reduce and respond to preventable disease and public health hazards. It also provides health education and promotion for the community and leads or supports health and non-health emergency responses.</w:t>
      </w:r>
    </w:p>
    <w:p w14:paraId="5A18A833" w14:textId="0A444EAE" w:rsidR="00496244" w:rsidRPr="008C2C6F" w:rsidRDefault="00496244" w:rsidP="00317057">
      <w:pPr>
        <w:pStyle w:val="ARbody"/>
      </w:pPr>
      <w:r w:rsidRPr="007C0C25">
        <w:t>The department</w:t>
      </w:r>
      <w:r w:rsidR="007D145B">
        <w:t>’</w:t>
      </w:r>
      <w:r w:rsidRPr="007C0C25">
        <w:t>s dedicated COVID-19 Response Division supports the government</w:t>
      </w:r>
      <w:r w:rsidR="007D145B">
        <w:t>’</w:t>
      </w:r>
      <w:r w:rsidRPr="007C0C25">
        <w:t>s response to the</w:t>
      </w:r>
      <w:r w:rsidR="00CD4CB2">
        <w:t> </w:t>
      </w:r>
      <w:r w:rsidRPr="007C0C25">
        <w:t>pandemic. The division delivers a range of services, including policy and strategy advice, COVID-19 testing, wastewater surveillance and pathology, case contact and outbreak management, epidemiology data and intelligence, public engagement and COVID</w:t>
      </w:r>
      <w:r>
        <w:t>-19</w:t>
      </w:r>
      <w:r w:rsidRPr="007C0C25">
        <w:t xml:space="preserve"> vaccinations</w:t>
      </w:r>
      <w:r w:rsidRPr="008C2C6F">
        <w:t>.</w:t>
      </w:r>
    </w:p>
    <w:p w14:paraId="7EF9980C" w14:textId="77777777" w:rsidR="00496244" w:rsidRPr="00F1412B" w:rsidRDefault="00496244" w:rsidP="00317057">
      <w:pPr>
        <w:pStyle w:val="Heading4"/>
      </w:pPr>
      <w:bookmarkStart w:id="38" w:name="_Toc85120965"/>
      <w:r w:rsidRPr="00F1412B">
        <w:t xml:space="preserve">Small </w:t>
      </w:r>
      <w:r>
        <w:t>r</w:t>
      </w:r>
      <w:r w:rsidRPr="00F1412B">
        <w:t xml:space="preserve">ural </w:t>
      </w:r>
      <w:r>
        <w:t>s</w:t>
      </w:r>
      <w:r w:rsidRPr="00F1412B">
        <w:t>ervices</w:t>
      </w:r>
      <w:bookmarkEnd w:id="38"/>
    </w:p>
    <w:p w14:paraId="484AF74D" w14:textId="20FCAB48" w:rsidR="00496244" w:rsidRDefault="00496244" w:rsidP="00317057">
      <w:pPr>
        <w:pStyle w:val="ARbody"/>
        <w:rPr>
          <w:lang w:eastAsia="en-AU"/>
        </w:rPr>
      </w:pPr>
      <w:r>
        <w:t>Where someone lives should not affect their a</w:t>
      </w:r>
      <w:r w:rsidRPr="00AA0188">
        <w:t>ccess to high-quality healthcare.</w:t>
      </w:r>
      <w:r>
        <w:t xml:space="preserve"> </w:t>
      </w:r>
      <w:r w:rsidRPr="008C2C6F">
        <w:t xml:space="preserve">The department is </w:t>
      </w:r>
      <w:r w:rsidRPr="008C2C6F">
        <w:lastRenderedPageBreak/>
        <w:t>responsible</w:t>
      </w:r>
      <w:r w:rsidRPr="00907AD4">
        <w:rPr>
          <w:lang w:eastAsia="en-AU"/>
        </w:rPr>
        <w:t xml:space="preserve"> for planning</w:t>
      </w:r>
      <w:r>
        <w:rPr>
          <w:lang w:eastAsia="en-AU"/>
        </w:rPr>
        <w:t>,</w:t>
      </w:r>
      <w:r w:rsidRPr="00907AD4">
        <w:rPr>
          <w:lang w:eastAsia="en-AU"/>
        </w:rPr>
        <w:t xml:space="preserve"> funding and monitoring </w:t>
      </w:r>
      <w:r>
        <w:rPr>
          <w:lang w:eastAsia="en-AU"/>
        </w:rPr>
        <w:t>a suite of services (acute health, aged care, home and community care, and primary health) which are</w:t>
      </w:r>
      <w:r w:rsidR="00CD4CB2">
        <w:rPr>
          <w:lang w:eastAsia="en-AU"/>
        </w:rPr>
        <w:t> </w:t>
      </w:r>
      <w:r>
        <w:rPr>
          <w:lang w:eastAsia="en-AU"/>
        </w:rPr>
        <w:t xml:space="preserve">delivered by </w:t>
      </w:r>
      <w:r w:rsidRPr="007815E8">
        <w:rPr>
          <w:lang w:eastAsia="en-AU"/>
        </w:rPr>
        <w:t>small rural service</w:t>
      </w:r>
      <w:r>
        <w:rPr>
          <w:lang w:eastAsia="en-AU"/>
        </w:rPr>
        <w:t xml:space="preserve"> providers. </w:t>
      </w:r>
      <w:r w:rsidRPr="000042A6">
        <w:rPr>
          <w:lang w:eastAsia="en-AU"/>
        </w:rPr>
        <w:t>The funding and service delivery approach focuses on achieving a sustainable, flexible service mix that is responsive to local needs.</w:t>
      </w:r>
    </w:p>
    <w:p w14:paraId="7EFE1105" w14:textId="77777777" w:rsidR="00496244" w:rsidRPr="002029AF" w:rsidRDefault="00496244" w:rsidP="00317057">
      <w:pPr>
        <w:pStyle w:val="Heading3"/>
      </w:pPr>
      <w:bookmarkStart w:id="39" w:name="_Toc85120966"/>
      <w:r w:rsidRPr="002029AF">
        <w:t>Leadership charter</w:t>
      </w:r>
      <w:bookmarkEnd w:id="39"/>
    </w:p>
    <w:p w14:paraId="73DFFB07" w14:textId="79B0CCE9" w:rsidR="00496244" w:rsidRPr="002029AF" w:rsidRDefault="00496244" w:rsidP="00CB0173">
      <w:pPr>
        <w:pStyle w:val="ARbody"/>
      </w:pPr>
      <w:r w:rsidRPr="002029AF">
        <w:t xml:space="preserve">Our leadership charter </w:t>
      </w:r>
      <w:r>
        <w:t>plays</w:t>
      </w:r>
      <w:r w:rsidRPr="002029AF">
        <w:t xml:space="preserve"> an important part </w:t>
      </w:r>
      <w:r>
        <w:t>in</w:t>
      </w:r>
      <w:r w:rsidR="00CD4CB2">
        <w:t> </w:t>
      </w:r>
      <w:r w:rsidRPr="002029AF">
        <w:t>shaping our culture.</w:t>
      </w:r>
    </w:p>
    <w:p w14:paraId="72AE3274" w14:textId="6A3FAD71" w:rsidR="00496244" w:rsidRPr="002029AF" w:rsidRDefault="00496244" w:rsidP="00CB0173">
      <w:pPr>
        <w:pStyle w:val="ARbody"/>
      </w:pPr>
      <w:r w:rsidRPr="002029AF">
        <w:t>It outlines the leadership behaviours our staff and stakeholders can expect of the executive leadership group and positions the department as a great place to work. It represents how the department</w:t>
      </w:r>
      <w:r w:rsidR="007D145B">
        <w:t>’</w:t>
      </w:r>
      <w:r w:rsidRPr="002029AF">
        <w:t xml:space="preserve">s executive leadership group wish to be known and </w:t>
      </w:r>
      <w:r>
        <w:t xml:space="preserve">how they </w:t>
      </w:r>
      <w:r w:rsidRPr="002029AF">
        <w:t>relate to each other and our stakeholders.</w:t>
      </w:r>
    </w:p>
    <w:p w14:paraId="1FD2702C" w14:textId="65A45441" w:rsidR="00496244" w:rsidRPr="002029AF" w:rsidRDefault="00496244" w:rsidP="00CB0173">
      <w:pPr>
        <w:pStyle w:val="ARbody"/>
      </w:pPr>
      <w:r w:rsidRPr="002029AF">
        <w:t xml:space="preserve">The charter commits the executive leadership group to lead by example and ensure their behaviours and </w:t>
      </w:r>
      <w:r>
        <w:t>their</w:t>
      </w:r>
      <w:r w:rsidRPr="002029AF">
        <w:t xml:space="preserve"> approach </w:t>
      </w:r>
      <w:r>
        <w:t xml:space="preserve">to </w:t>
      </w:r>
      <w:r w:rsidRPr="002029AF">
        <w:t>their work embody the department</w:t>
      </w:r>
      <w:r w:rsidR="007D145B">
        <w:t>’</w:t>
      </w:r>
      <w:r w:rsidRPr="002029AF">
        <w:t xml:space="preserve">s values. </w:t>
      </w:r>
      <w:r>
        <w:t>E</w:t>
      </w:r>
      <w:r w:rsidRPr="002029AF">
        <w:t>xecutives are committed to being accountable for their actions and outcomes, sharing information with staff when it should be shared, and seeking out and valuing other perspectives.</w:t>
      </w:r>
    </w:p>
    <w:p w14:paraId="67260E57" w14:textId="6AF9D5BD" w:rsidR="00496244" w:rsidRPr="002029AF" w:rsidRDefault="00496244" w:rsidP="00B442E2">
      <w:pPr>
        <w:pStyle w:val="ARbody"/>
      </w:pPr>
      <w:r w:rsidRPr="002029AF">
        <w:t>The</w:t>
      </w:r>
      <w:r w:rsidR="00267BEA">
        <w:t xml:space="preserve"> charter is available at the</w:t>
      </w:r>
      <w:r w:rsidRPr="002029AF">
        <w:t xml:space="preserve"> </w:t>
      </w:r>
      <w:hyperlink r:id="rId23" w:history="1">
        <w:r w:rsidRPr="00665977">
          <w:rPr>
            <w:rStyle w:val="Hyperlink"/>
          </w:rPr>
          <w:t>leadership charte</w:t>
        </w:r>
        <w:r w:rsidR="00267BEA">
          <w:rPr>
            <w:rStyle w:val="Hyperlink"/>
          </w:rPr>
          <w:t>r webpage</w:t>
        </w:r>
      </w:hyperlink>
      <w:r w:rsidRPr="002029AF">
        <w:t xml:space="preserve"> &lt;</w:t>
      </w:r>
      <w:r w:rsidRPr="00665977">
        <w:t>https://www</w:t>
      </w:r>
      <w:r w:rsidRPr="002029AF">
        <w:t>.vic.gov.au/</w:t>
      </w:r>
      <w:r w:rsidRPr="00665977">
        <w:t>health/</w:t>
      </w:r>
      <w:r w:rsidR="00267BEA">
        <w:br/>
      </w:r>
      <w:r w:rsidRPr="002029AF">
        <w:t>leadership-charter&gt;.</w:t>
      </w:r>
    </w:p>
    <w:p w14:paraId="3A010EF3" w14:textId="77777777" w:rsidR="00496244" w:rsidRPr="002029AF" w:rsidRDefault="00496244" w:rsidP="00317057">
      <w:pPr>
        <w:pStyle w:val="Heading3"/>
      </w:pPr>
      <w:bookmarkStart w:id="40" w:name="_Ref21861667"/>
      <w:bookmarkStart w:id="41" w:name="_Toc85120967"/>
      <w:bookmarkStart w:id="42" w:name="_Hlk17715542"/>
      <w:r w:rsidRPr="002029AF">
        <w:t>Changes to the department</w:t>
      </w:r>
      <w:bookmarkEnd w:id="40"/>
      <w:bookmarkEnd w:id="41"/>
    </w:p>
    <w:p w14:paraId="55A756F8" w14:textId="77777777" w:rsidR="00496244" w:rsidRDefault="00496244" w:rsidP="00317057">
      <w:pPr>
        <w:pStyle w:val="ARbody"/>
      </w:pPr>
      <w:r>
        <w:t>Substantial changes were made to the department in 2020–21.</w:t>
      </w:r>
    </w:p>
    <w:p w14:paraId="0FC04801" w14:textId="1911BF74" w:rsidR="00496244" w:rsidRDefault="00496244" w:rsidP="00317057">
      <w:pPr>
        <w:pStyle w:val="ARbody"/>
      </w:pPr>
      <w:r w:rsidRPr="00BD5172">
        <w:rPr>
          <w:b/>
          <w:bCs/>
        </w:rPr>
        <w:t>1 July 2020</w:t>
      </w:r>
      <w:r>
        <w:t xml:space="preserve"> – </w:t>
      </w:r>
      <w:r w:rsidRPr="00BD5172">
        <w:t xml:space="preserve">The </w:t>
      </w:r>
      <w:r>
        <w:t>department</w:t>
      </w:r>
      <w:r w:rsidR="007D145B">
        <w:t>’</w:t>
      </w:r>
      <w:r>
        <w:t>s</w:t>
      </w:r>
      <w:r w:rsidRPr="00BD5172">
        <w:t xml:space="preserve"> Medical Research function </w:t>
      </w:r>
      <w:r>
        <w:t>was transferred to</w:t>
      </w:r>
      <w:r w:rsidRPr="00BD5172">
        <w:t xml:space="preserve"> the Department of Jobs, Precincts and Regions.</w:t>
      </w:r>
    </w:p>
    <w:p w14:paraId="5E971505" w14:textId="77777777" w:rsidR="00496244" w:rsidRDefault="00496244" w:rsidP="00317057">
      <w:pPr>
        <w:pStyle w:val="ARbody"/>
      </w:pPr>
      <w:r w:rsidRPr="00116E13">
        <w:rPr>
          <w:b/>
          <w:bCs/>
        </w:rPr>
        <w:t>12 November 2020</w:t>
      </w:r>
      <w:r>
        <w:t xml:space="preserve"> – Kim Peake resigned as Secretary of the </w:t>
      </w:r>
      <w:r w:rsidRPr="00614356">
        <w:t>Department of Health and Human Services</w:t>
      </w:r>
      <w:r>
        <w:t>.</w:t>
      </w:r>
    </w:p>
    <w:p w14:paraId="650E45AB" w14:textId="77777777" w:rsidR="00496244" w:rsidRDefault="00496244" w:rsidP="00317057">
      <w:pPr>
        <w:pStyle w:val="ARbody"/>
      </w:pPr>
      <w:r w:rsidRPr="00116E13">
        <w:rPr>
          <w:b/>
          <w:bCs/>
        </w:rPr>
        <w:t>17 November 2020</w:t>
      </w:r>
      <w:r>
        <w:t xml:space="preserve"> – </w:t>
      </w:r>
      <w:r w:rsidRPr="0094414B">
        <w:t>Professor Euan Wallace</w:t>
      </w:r>
      <w:r>
        <w:t xml:space="preserve"> AM was appointed Secretary of the </w:t>
      </w:r>
      <w:r w:rsidRPr="00614356">
        <w:t>Department of Health and Human Services</w:t>
      </w:r>
      <w:r>
        <w:t>.</w:t>
      </w:r>
    </w:p>
    <w:p w14:paraId="6F939DB1" w14:textId="77777777" w:rsidR="00496244" w:rsidRDefault="00496244" w:rsidP="00317057">
      <w:pPr>
        <w:pStyle w:val="ARbody"/>
      </w:pPr>
      <w:r w:rsidRPr="00116E13">
        <w:rPr>
          <w:b/>
          <w:bCs/>
        </w:rPr>
        <w:t>30 November 2020</w:t>
      </w:r>
      <w:r w:rsidRPr="00614356">
        <w:t xml:space="preserve"> </w:t>
      </w:r>
      <w:r>
        <w:t>– the Victorian Government announced that</w:t>
      </w:r>
      <w:r w:rsidRPr="00614356">
        <w:t xml:space="preserve"> the </w:t>
      </w:r>
      <w:r>
        <w:t xml:space="preserve">former </w:t>
      </w:r>
      <w:r w:rsidRPr="00614356">
        <w:t>Department of Health and Human Services would be separated into two new departments</w:t>
      </w:r>
      <w:r>
        <w:t xml:space="preserve"> – the Department of Health and the Department of </w:t>
      </w:r>
      <w:r w:rsidRPr="00614356">
        <w:t>Families, Fairness and Housing</w:t>
      </w:r>
      <w:r>
        <w:t xml:space="preserve"> – to be led by </w:t>
      </w:r>
      <w:r w:rsidRPr="0094414B">
        <w:t>Professor Euan Wallace</w:t>
      </w:r>
      <w:r>
        <w:t xml:space="preserve"> AM and </w:t>
      </w:r>
      <w:r w:rsidRPr="001D50E6">
        <w:t>Sandy Pitcher</w:t>
      </w:r>
      <w:r>
        <w:t xml:space="preserve"> respectively.</w:t>
      </w:r>
    </w:p>
    <w:p w14:paraId="0D1570B6" w14:textId="37418A23" w:rsidR="00496244" w:rsidRDefault="00496244" w:rsidP="00317057">
      <w:pPr>
        <w:pStyle w:val="ARbody"/>
      </w:pPr>
      <w:r w:rsidRPr="00632DB8">
        <w:t xml:space="preserve">The </w:t>
      </w:r>
      <w:r>
        <w:t xml:space="preserve">announcement stated that the </w:t>
      </w:r>
      <w:r w:rsidRPr="00632DB8">
        <w:t>Department of</w:t>
      </w:r>
      <w:r w:rsidR="00CD4CB2">
        <w:t> </w:t>
      </w:r>
      <w:r w:rsidRPr="00632DB8">
        <w:t>Health will be responsible for the Health, Ambulance Services, Mental Health</w:t>
      </w:r>
      <w:r>
        <w:t>,</w:t>
      </w:r>
      <w:r w:rsidRPr="00632DB8">
        <w:t xml:space="preserve"> and </w:t>
      </w:r>
      <w:r w:rsidRPr="007C0C25">
        <w:t>Ageing</w:t>
      </w:r>
      <w:r w:rsidR="00CD4CB2">
        <w:t> </w:t>
      </w:r>
      <w:r w:rsidRPr="00632DB8">
        <w:t>portfolios and</w:t>
      </w:r>
      <w:r>
        <w:t xml:space="preserve"> will </w:t>
      </w:r>
      <w:r w:rsidRPr="00632DB8">
        <w:t xml:space="preserve">continue </w:t>
      </w:r>
      <w:r>
        <w:t xml:space="preserve">to </w:t>
      </w:r>
      <w:r w:rsidRPr="00632DB8">
        <w:t xml:space="preserve">lead the </w:t>
      </w:r>
      <w:r>
        <w:t>g</w:t>
      </w:r>
      <w:r w:rsidRPr="00632DB8">
        <w:t>overnment</w:t>
      </w:r>
      <w:r w:rsidR="007D145B">
        <w:t>’</w:t>
      </w:r>
      <w:r w:rsidRPr="00632DB8">
        <w:t xml:space="preserve">s public health response to the </w:t>
      </w:r>
      <w:r>
        <w:t>COVID</w:t>
      </w:r>
      <w:r>
        <w:noBreakHyphen/>
        <w:t xml:space="preserve">19 </w:t>
      </w:r>
      <w:r w:rsidRPr="00632DB8">
        <w:t>pandemic.</w:t>
      </w:r>
    </w:p>
    <w:p w14:paraId="187B1FB5" w14:textId="77777777" w:rsidR="00864121" w:rsidRDefault="00496244" w:rsidP="00317057">
      <w:pPr>
        <w:pStyle w:val="ARbody"/>
      </w:pPr>
      <w:r w:rsidRPr="00116E13">
        <w:rPr>
          <w:b/>
          <w:bCs/>
        </w:rPr>
        <w:t>1 February 2021</w:t>
      </w:r>
      <w:r>
        <w:t xml:space="preserve"> – the formal </w:t>
      </w:r>
      <w:r w:rsidRPr="00314375">
        <w:t>machinery of</w:t>
      </w:r>
      <w:r w:rsidR="00CD4CB2">
        <w:t> </w:t>
      </w:r>
      <w:r w:rsidRPr="00314375">
        <w:t xml:space="preserve">government </w:t>
      </w:r>
      <w:r>
        <w:t xml:space="preserve">changes took effect and the Department of Health and the Department of </w:t>
      </w:r>
      <w:r w:rsidRPr="00614356">
        <w:t>Families, Fairness and Housing</w:t>
      </w:r>
      <w:r w:rsidRPr="0035552B">
        <w:t xml:space="preserve"> </w:t>
      </w:r>
      <w:r>
        <w:t>were established.</w:t>
      </w:r>
    </w:p>
    <w:p w14:paraId="11E77519" w14:textId="4057C9EC" w:rsidR="00496244" w:rsidRPr="004D797C" w:rsidRDefault="00496244" w:rsidP="00317057">
      <w:pPr>
        <w:pStyle w:val="ARbody"/>
      </w:pPr>
      <w:r w:rsidRPr="004D797C">
        <w:t xml:space="preserve">A new Aboriginal Health </w:t>
      </w:r>
      <w:r w:rsidRPr="00E73172">
        <w:t>Division</w:t>
      </w:r>
      <w:r w:rsidRPr="004D797C">
        <w:t xml:space="preserve"> was established to strengthen engagement with Victoria</w:t>
      </w:r>
      <w:r w:rsidR="007D145B">
        <w:t>’</w:t>
      </w:r>
      <w:r w:rsidRPr="004D797C">
        <w:t xml:space="preserve">s Aboriginal community-controlled sector and support the department </w:t>
      </w:r>
      <w:r>
        <w:t>in the delivery of</w:t>
      </w:r>
      <w:r w:rsidRPr="004D797C">
        <w:t xml:space="preserve"> key strategic policy and health reform</w:t>
      </w:r>
      <w:r>
        <w:t>s</w:t>
      </w:r>
      <w:r w:rsidRPr="004D797C">
        <w:t xml:space="preserve"> </w:t>
      </w:r>
      <w:r>
        <w:t>aimed at</w:t>
      </w:r>
      <w:r w:rsidRPr="004D797C">
        <w:t xml:space="preserve"> improv</w:t>
      </w:r>
      <w:r>
        <w:t>ing</w:t>
      </w:r>
      <w:r w:rsidRPr="004D797C">
        <w:t xml:space="preserve"> the health and wellbeing outcomes for Victoria</w:t>
      </w:r>
      <w:r w:rsidR="007D145B">
        <w:t>’</w:t>
      </w:r>
      <w:r w:rsidRPr="004D797C">
        <w:t>s Aboriginal community. The division will also build capacity across the department to ensure services and programs are culturally safe</w:t>
      </w:r>
      <w:r>
        <w:t xml:space="preserve"> and</w:t>
      </w:r>
      <w:r w:rsidRPr="004D797C">
        <w:t xml:space="preserve"> accessible and </w:t>
      </w:r>
      <w:r>
        <w:t xml:space="preserve">that they </w:t>
      </w:r>
      <w:r w:rsidRPr="004D797C">
        <w:t>respond to priorities identified by the Aboriginal community.</w:t>
      </w:r>
    </w:p>
    <w:p w14:paraId="77840DC8" w14:textId="6FA1DC58" w:rsidR="00496244" w:rsidRDefault="00496244" w:rsidP="00317057">
      <w:pPr>
        <w:pStyle w:val="ARbody"/>
      </w:pPr>
      <w:r>
        <w:t>A new Mental Health Division was established to lead and deliver</w:t>
      </w:r>
      <w:r w:rsidRPr="00166B73">
        <w:t xml:space="preserve"> Victoria</w:t>
      </w:r>
      <w:r w:rsidR="007D145B">
        <w:t>’</w:t>
      </w:r>
      <w:r w:rsidRPr="00166B73">
        <w:t>s 10-year mental health plan</w:t>
      </w:r>
      <w:r>
        <w:t>, support</w:t>
      </w:r>
      <w:r w:rsidRPr="00166B73">
        <w:t xml:space="preserve"> the </w:t>
      </w:r>
      <w:r>
        <w:t>g</w:t>
      </w:r>
      <w:r w:rsidRPr="00166B73">
        <w:t>overnment</w:t>
      </w:r>
      <w:r w:rsidR="007D145B">
        <w:t>’</w:t>
      </w:r>
      <w:r w:rsidRPr="00166B73">
        <w:t xml:space="preserve">s response to the </w:t>
      </w:r>
      <w:r w:rsidRPr="002029AF">
        <w:t>Royal Commission into Victoria</w:t>
      </w:r>
      <w:r w:rsidR="007D145B">
        <w:t>’</w:t>
      </w:r>
      <w:r w:rsidRPr="002029AF">
        <w:t>s Mental Health System</w:t>
      </w:r>
      <w:r w:rsidRPr="00166B73">
        <w:t xml:space="preserve">, </w:t>
      </w:r>
      <w:r>
        <w:t>and work closely with</w:t>
      </w:r>
      <w:r w:rsidRPr="00166B73">
        <w:t xml:space="preserve"> Mental Health Reform Victoria, care providers and clients.</w:t>
      </w:r>
    </w:p>
    <w:p w14:paraId="2011995C" w14:textId="77777777" w:rsidR="00496244" w:rsidRDefault="00496244" w:rsidP="00317057">
      <w:pPr>
        <w:pStyle w:val="ARbody"/>
      </w:pPr>
      <w:r>
        <w:t>The COVID-19 Response Division was established, formally bringing together multiple streams of work under a single structure led by a Deputy Secretary (Commander) and supported by the Chief Health Officer.</w:t>
      </w:r>
    </w:p>
    <w:p w14:paraId="5E3520E2" w14:textId="77777777" w:rsidR="00496244" w:rsidRDefault="00496244" w:rsidP="00317057">
      <w:pPr>
        <w:pStyle w:val="ARbody"/>
      </w:pPr>
      <w:r>
        <w:t xml:space="preserve">The </w:t>
      </w:r>
      <w:r w:rsidRPr="00E5447D">
        <w:t>Victorian Agency for Health Information</w:t>
      </w:r>
      <w:r>
        <w:t xml:space="preserve">, formerly an administrative office of the </w:t>
      </w:r>
      <w:r w:rsidRPr="00FD1763">
        <w:t>Department of Health and Human Services</w:t>
      </w:r>
      <w:r>
        <w:t xml:space="preserve">, was integrated into the new department as part of the Reform and Planning Division and joined by the </w:t>
      </w:r>
      <w:r w:rsidRPr="00E5447D">
        <w:t>Centre for Victorian Data Linkage and the Health Services Data team</w:t>
      </w:r>
      <w:r>
        <w:t xml:space="preserve">. This created a single </w:t>
      </w:r>
      <w:r w:rsidRPr="00E5447D">
        <w:t xml:space="preserve">division that </w:t>
      </w:r>
      <w:r w:rsidRPr="007C0C25">
        <w:t>integrates health data, analytics and reporting and streamlines the flow of information from collection to insight.</w:t>
      </w:r>
    </w:p>
    <w:p w14:paraId="373B5C5D" w14:textId="1F4FC049" w:rsidR="00496244" w:rsidRDefault="00496244" w:rsidP="00317057">
      <w:pPr>
        <w:pStyle w:val="ARbody"/>
      </w:pPr>
      <w:r w:rsidRPr="003575A4">
        <w:t>Finally, a number of functions in the department</w:t>
      </w:r>
      <w:r w:rsidR="007D145B">
        <w:t>’</w:t>
      </w:r>
      <w:r w:rsidRPr="003575A4">
        <w:t>s Corporate Services and Regulatory, Risk, Integrity and Legal divisions were restructured between 1</w:t>
      </w:r>
      <w:r>
        <w:t> </w:t>
      </w:r>
      <w:r w:rsidRPr="003575A4">
        <w:t>February and 30 June</w:t>
      </w:r>
      <w:r>
        <w:t xml:space="preserve"> 2021</w:t>
      </w:r>
      <w:r w:rsidRPr="003575A4">
        <w:t xml:space="preserve">. This enabled the provision of shared services to both </w:t>
      </w:r>
      <w:r>
        <w:t xml:space="preserve">the Department of Health and the Department of Families, Fairness </w:t>
      </w:r>
      <w:r w:rsidRPr="0039418C">
        <w:t xml:space="preserve">and Housing, and </w:t>
      </w:r>
      <w:r>
        <w:t>the settling of</w:t>
      </w:r>
      <w:r w:rsidRPr="0039418C">
        <w:t xml:space="preserve"> permanent arrangements for subsequent years.</w:t>
      </w:r>
    </w:p>
    <w:p w14:paraId="7B532297" w14:textId="0D89967E" w:rsidR="00496244" w:rsidRDefault="00E71361" w:rsidP="00317057">
      <w:pPr>
        <w:pStyle w:val="ARbody"/>
      </w:pPr>
      <w:hyperlink w:anchor="_Section_2:_Governance" w:history="1">
        <w:r w:rsidR="00FC792B" w:rsidRPr="00FC792B">
          <w:rPr>
            <w:rStyle w:val="Hyperlink"/>
          </w:rPr>
          <w:t>Section 2: Governance and organisational structure</w:t>
        </w:r>
      </w:hyperlink>
      <w:r w:rsidR="00FC792B">
        <w:t xml:space="preserve"> c</w:t>
      </w:r>
      <w:r w:rsidR="00496244">
        <w:t>ontains information on the department</w:t>
      </w:r>
      <w:r w:rsidR="007D145B">
        <w:t>’</w:t>
      </w:r>
      <w:r w:rsidR="00496244">
        <w:t>s senior executives and organisational structure as at 30 June 2021.</w:t>
      </w:r>
    </w:p>
    <w:p w14:paraId="3F62EDA5" w14:textId="77777777" w:rsidR="00496244" w:rsidRDefault="00496244" w:rsidP="00317057">
      <w:pPr>
        <w:pStyle w:val="Heading3"/>
      </w:pPr>
      <w:bookmarkStart w:id="43" w:name="_Toc85120968"/>
      <w:r w:rsidRPr="00DE205B">
        <w:t>Direct costs attributable to machinery of government changes</w:t>
      </w:r>
      <w:bookmarkEnd w:id="43"/>
    </w:p>
    <w:p w14:paraId="5143B745" w14:textId="28DE345C" w:rsidR="00496244" w:rsidRDefault="00496244">
      <w:pPr>
        <w:rPr>
          <w:rFonts w:ascii="Arial" w:eastAsia="Times" w:hAnsi="Arial" w:cs="Arial"/>
          <w:sz w:val="20"/>
          <w:szCs w:val="24"/>
        </w:rPr>
      </w:pPr>
      <w:r w:rsidRPr="00664B71">
        <w:rPr>
          <w:rFonts w:ascii="Arial" w:eastAsia="Times" w:hAnsi="Arial" w:cs="Arial"/>
          <w:sz w:val="20"/>
          <w:szCs w:val="24"/>
        </w:rPr>
        <w:t>The department incurred additional costs relating to</w:t>
      </w:r>
      <w:r w:rsidR="00CD4CB2">
        <w:rPr>
          <w:rFonts w:ascii="Arial" w:eastAsia="Times" w:hAnsi="Arial" w:cs="Arial"/>
          <w:sz w:val="20"/>
          <w:szCs w:val="24"/>
        </w:rPr>
        <w:t> </w:t>
      </w:r>
      <w:r w:rsidRPr="00664B71">
        <w:rPr>
          <w:rFonts w:ascii="Arial" w:eastAsia="Times" w:hAnsi="Arial" w:cs="Arial"/>
          <w:sz w:val="20"/>
          <w:szCs w:val="24"/>
        </w:rPr>
        <w:t>specific tasks that needed to be undertaken to remediate systems and processes to enable use by two departments. The departments have continued to share services and systems wherever possible to achieve efficiencies.</w:t>
      </w:r>
    </w:p>
    <w:p w14:paraId="2DDAB439" w14:textId="5B5F8B98" w:rsidR="00496244" w:rsidRPr="00664B71" w:rsidRDefault="00496244">
      <w:pPr>
        <w:rPr>
          <w:rFonts w:ascii="Arial" w:eastAsia="Times" w:hAnsi="Arial" w:cs="Arial"/>
          <w:sz w:val="20"/>
          <w:szCs w:val="24"/>
        </w:rPr>
      </w:pPr>
      <w:r w:rsidRPr="0039418C">
        <w:rPr>
          <w:rFonts w:ascii="Arial" w:eastAsia="Times" w:hAnsi="Arial" w:cs="Arial"/>
          <w:sz w:val="20"/>
          <w:szCs w:val="24"/>
        </w:rPr>
        <w:t>The precise costs associated with machinery of</w:t>
      </w:r>
      <w:r w:rsidR="00CD4CB2">
        <w:rPr>
          <w:rFonts w:ascii="Arial" w:eastAsia="Times" w:hAnsi="Arial" w:cs="Arial"/>
          <w:sz w:val="20"/>
          <w:szCs w:val="24"/>
        </w:rPr>
        <w:t> </w:t>
      </w:r>
      <w:r w:rsidRPr="0039418C">
        <w:rPr>
          <w:rFonts w:ascii="Arial" w:eastAsia="Times" w:hAnsi="Arial" w:cs="Arial"/>
          <w:sz w:val="20"/>
          <w:szCs w:val="24"/>
        </w:rPr>
        <w:t>government changes cannot be captured accurately as costs may have been incurred for work that was needed for the changes</w:t>
      </w:r>
      <w:r w:rsidRPr="00247F05">
        <w:rPr>
          <w:rFonts w:ascii="Arial" w:eastAsia="Times" w:hAnsi="Arial" w:cs="Arial"/>
          <w:sz w:val="20"/>
          <w:szCs w:val="24"/>
        </w:rPr>
        <w:t xml:space="preserve"> to take effect,</w:t>
      </w:r>
      <w:r w:rsidRPr="0039418C">
        <w:rPr>
          <w:rFonts w:ascii="Arial" w:eastAsia="Times" w:hAnsi="Arial" w:cs="Arial"/>
          <w:sz w:val="20"/>
          <w:szCs w:val="24"/>
        </w:rPr>
        <w:t xml:space="preserve"> but </w:t>
      </w:r>
      <w:r w:rsidRPr="00247F05">
        <w:rPr>
          <w:rFonts w:ascii="Arial" w:eastAsia="Times" w:hAnsi="Arial" w:cs="Arial"/>
          <w:sz w:val="20"/>
          <w:szCs w:val="24"/>
        </w:rPr>
        <w:t xml:space="preserve">that work might </w:t>
      </w:r>
      <w:r w:rsidRPr="0039418C">
        <w:rPr>
          <w:rFonts w:ascii="Arial" w:eastAsia="Times" w:hAnsi="Arial" w:cs="Arial"/>
          <w:sz w:val="20"/>
          <w:szCs w:val="24"/>
        </w:rPr>
        <w:t xml:space="preserve">also </w:t>
      </w:r>
      <w:r w:rsidRPr="00247F05">
        <w:rPr>
          <w:rFonts w:ascii="Arial" w:eastAsia="Times" w:hAnsi="Arial" w:cs="Arial"/>
          <w:sz w:val="20"/>
          <w:szCs w:val="24"/>
        </w:rPr>
        <w:t xml:space="preserve">have </w:t>
      </w:r>
      <w:r w:rsidRPr="0039418C">
        <w:rPr>
          <w:rFonts w:ascii="Arial" w:eastAsia="Times" w:hAnsi="Arial" w:cs="Arial"/>
          <w:sz w:val="20"/>
          <w:szCs w:val="24"/>
        </w:rPr>
        <w:t>provided other</w:t>
      </w:r>
      <w:r w:rsidR="00CD4CB2">
        <w:rPr>
          <w:rFonts w:ascii="Arial" w:eastAsia="Times" w:hAnsi="Arial" w:cs="Arial"/>
          <w:sz w:val="20"/>
          <w:szCs w:val="24"/>
        </w:rPr>
        <w:t> </w:t>
      </w:r>
      <w:r w:rsidRPr="0039418C">
        <w:rPr>
          <w:rFonts w:ascii="Arial" w:eastAsia="Times" w:hAnsi="Arial" w:cs="Arial"/>
          <w:sz w:val="20"/>
          <w:szCs w:val="24"/>
        </w:rPr>
        <w:t>operational benefits. For example, system remediation costs for the separation of data</w:t>
      </w:r>
      <w:r w:rsidRPr="00664B71">
        <w:rPr>
          <w:rFonts w:ascii="Arial" w:eastAsia="Times" w:hAnsi="Arial" w:cs="Arial"/>
          <w:sz w:val="20"/>
          <w:szCs w:val="24"/>
        </w:rPr>
        <w:t xml:space="preserve"> between the two departments would also include general system enhancements not directly attributable to machinery of government changes.</w:t>
      </w:r>
    </w:p>
    <w:p w14:paraId="3A40C699" w14:textId="77777777" w:rsidR="00496244" w:rsidRPr="002029AF" w:rsidRDefault="00496244" w:rsidP="00317057">
      <w:pPr>
        <w:pStyle w:val="Heading2"/>
        <w:spacing w:before="0"/>
      </w:pPr>
      <w:r>
        <w:br w:type="column"/>
      </w:r>
      <w:bookmarkStart w:id="44" w:name="_Toc85120969"/>
      <w:bookmarkStart w:id="45" w:name="_Toc85121596"/>
      <w:bookmarkStart w:id="46" w:name="_Ref85202646"/>
      <w:bookmarkStart w:id="47" w:name="_Ref85203753"/>
      <w:bookmarkStart w:id="48" w:name="_Toc86075579"/>
      <w:r w:rsidRPr="002029AF">
        <w:t>S</w:t>
      </w:r>
      <w:r>
        <w:t>ubsequent events</w:t>
      </w:r>
      <w:bookmarkEnd w:id="44"/>
      <w:bookmarkEnd w:id="45"/>
      <w:bookmarkEnd w:id="46"/>
      <w:bookmarkEnd w:id="47"/>
      <w:bookmarkEnd w:id="48"/>
    </w:p>
    <w:p w14:paraId="620FB7E4" w14:textId="3F2D5E3D" w:rsidR="00496244" w:rsidRPr="002029AF" w:rsidRDefault="00496244" w:rsidP="00317057">
      <w:pPr>
        <w:pStyle w:val="ARbody"/>
      </w:pPr>
      <w:r>
        <w:t>The following departmental events occurred after</w:t>
      </w:r>
      <w:r w:rsidR="00CD4CB2">
        <w:t> </w:t>
      </w:r>
      <w:r w:rsidRPr="002029AF">
        <w:t xml:space="preserve">the </w:t>
      </w:r>
      <w:r>
        <w:t xml:space="preserve">end of the </w:t>
      </w:r>
      <w:r w:rsidRPr="002029AF">
        <w:t>reporting period:</w:t>
      </w:r>
    </w:p>
    <w:p w14:paraId="100E9DA4" w14:textId="7457DD0D" w:rsidR="00496244" w:rsidRDefault="00496244" w:rsidP="00317057">
      <w:pPr>
        <w:pStyle w:val="ARbullet1"/>
      </w:pPr>
      <w:r>
        <w:t>On 26 July 2021, the staff and functions of Mental Health Reform Victoria were integrated into the new Mental Health and Wellbeing Division, fulfilling a recommendation of the final report of the Royal Commission into Victoria</w:t>
      </w:r>
      <w:r w:rsidR="007D145B">
        <w:t>’</w:t>
      </w:r>
      <w:r>
        <w:t>s Mental Health System.</w:t>
      </w:r>
    </w:p>
    <w:p w14:paraId="1BC26111" w14:textId="77777777" w:rsidR="00496244" w:rsidRDefault="00496244" w:rsidP="00317057">
      <w:pPr>
        <w:pStyle w:val="ARbullet1"/>
      </w:pPr>
      <w:r>
        <w:t>On 1 August 2021, teams working in regional areas on population health, health protection and area population health, and community wellbeing transferred into the Public Health Division from the Department of Families, Fairness and Housing.</w:t>
      </w:r>
    </w:p>
    <w:p w14:paraId="0B127D68" w14:textId="77777777" w:rsidR="00496244" w:rsidRDefault="00496244" w:rsidP="00317057">
      <w:pPr>
        <w:pStyle w:val="ARbullet1"/>
      </w:pPr>
      <w:r>
        <w:t>On 30 August 2021, Professor Michael Roberts commenced his appointment as Chief Executive Officer of Safer Care Victoria.</w:t>
      </w:r>
    </w:p>
    <w:p w14:paraId="5F61A30C" w14:textId="4292DAB4" w:rsidR="00496244" w:rsidRDefault="00496244" w:rsidP="00317057">
      <w:pPr>
        <w:pStyle w:val="ARbullet1"/>
      </w:pPr>
      <w:r>
        <w:t xml:space="preserve">On 31 August 2021, the department published its </w:t>
      </w:r>
      <w:r w:rsidRPr="00247F05">
        <w:rPr>
          <w:i/>
          <w:iCs/>
        </w:rPr>
        <w:t xml:space="preserve">Operational </w:t>
      </w:r>
      <w:r>
        <w:rPr>
          <w:i/>
          <w:iCs/>
        </w:rPr>
        <w:t>p</w:t>
      </w:r>
      <w:r w:rsidRPr="00247F05">
        <w:rPr>
          <w:i/>
          <w:iCs/>
        </w:rPr>
        <w:t>lan 2021–22</w:t>
      </w:r>
      <w:r>
        <w:t>. This provides an updated framework for future reporting of the department</w:t>
      </w:r>
      <w:r w:rsidR="007D145B">
        <w:t>’</w:t>
      </w:r>
      <w:r>
        <w:t>s operations.</w:t>
      </w:r>
    </w:p>
    <w:p w14:paraId="3FB8D9E7" w14:textId="37582308" w:rsidR="00496244" w:rsidRDefault="00496244" w:rsidP="00317057">
      <w:pPr>
        <w:pStyle w:val="ARbullet1"/>
      </w:pPr>
      <w:r>
        <w:t xml:space="preserve">On 29 September 2021, the </w:t>
      </w:r>
      <w:r w:rsidRPr="00D618B8">
        <w:t xml:space="preserve">Victorian WorkCover Authority </w:t>
      </w:r>
      <w:r>
        <w:t>(</w:t>
      </w:r>
      <w:r w:rsidRPr="00591C60">
        <w:t xml:space="preserve">WorkSafe </w:t>
      </w:r>
      <w:r>
        <w:t>Victoria)</w:t>
      </w:r>
      <w:r w:rsidRPr="00591C60">
        <w:t xml:space="preserve"> </w:t>
      </w:r>
      <w:r>
        <w:t>announced that it had</w:t>
      </w:r>
      <w:r w:rsidRPr="00591C60">
        <w:t xml:space="preserve"> charged the </w:t>
      </w:r>
      <w:r>
        <w:t>department</w:t>
      </w:r>
      <w:r w:rsidRPr="00591C60">
        <w:t xml:space="preserve"> with 58 breaches of the </w:t>
      </w:r>
      <w:r w:rsidRPr="00062E86">
        <w:rPr>
          <w:i/>
          <w:iCs/>
        </w:rPr>
        <w:t>Occupational Health and Safety Act</w:t>
      </w:r>
      <w:r>
        <w:rPr>
          <w:i/>
        </w:rPr>
        <w:t xml:space="preserve"> </w:t>
      </w:r>
      <w:r>
        <w:rPr>
          <w:i/>
          <w:iCs/>
        </w:rPr>
        <w:t>2004</w:t>
      </w:r>
      <w:r w:rsidRPr="00591C60">
        <w:t xml:space="preserve"> in relation to Victoria</w:t>
      </w:r>
      <w:r w:rsidR="007D145B">
        <w:t>’</w:t>
      </w:r>
      <w:r w:rsidRPr="00591C60">
        <w:t>s initial hotel quarantine program.</w:t>
      </w:r>
    </w:p>
    <w:p w14:paraId="318C44E4" w14:textId="77777777" w:rsidR="00496244" w:rsidRDefault="00496244" w:rsidP="00317057">
      <w:pPr>
        <w:pStyle w:val="ARbullet1"/>
      </w:pPr>
      <w:r>
        <w:t xml:space="preserve">On 11 October 2021, </w:t>
      </w:r>
      <w:r w:rsidRPr="0073767C">
        <w:t xml:space="preserve">Luke Donnellan MP </w:t>
      </w:r>
      <w:r>
        <w:t>resigned</w:t>
      </w:r>
      <w:r w:rsidRPr="0073767C">
        <w:t xml:space="preserve"> </w:t>
      </w:r>
      <w:r>
        <w:t>from the Ministry and portfolio responsibility</w:t>
      </w:r>
      <w:r w:rsidRPr="0073767C">
        <w:t xml:space="preserve"> for Disability, Ageing and Carers</w:t>
      </w:r>
      <w:r>
        <w:t xml:space="preserve"> was transferred to James Merlino MP.</w:t>
      </w:r>
    </w:p>
    <w:p w14:paraId="6D3BADBA" w14:textId="77777777" w:rsidR="00496244" w:rsidRDefault="00496244" w:rsidP="00317057">
      <w:pPr>
        <w:pStyle w:val="ARbodyafterbullets"/>
      </w:pPr>
    </w:p>
    <w:p w14:paraId="25849CAD" w14:textId="77777777" w:rsidR="00496244" w:rsidRDefault="00496244" w:rsidP="00317057">
      <w:pPr>
        <w:sectPr w:rsidR="00496244" w:rsidSect="00317057">
          <w:footnotePr>
            <w:numFmt w:val="lowerLetter"/>
            <w:numRestart w:val="eachPage"/>
          </w:footnotePr>
          <w:endnotePr>
            <w:numFmt w:val="decimal"/>
          </w:endnotePr>
          <w:type w:val="continuous"/>
          <w:pgSz w:w="11900" w:h="16840" w:code="9"/>
          <w:pgMar w:top="1985" w:right="1134" w:bottom="851" w:left="1134" w:header="510" w:footer="340" w:gutter="0"/>
          <w:cols w:num="2" w:space="454"/>
        </w:sectPr>
      </w:pPr>
      <w:bookmarkStart w:id="49" w:name="_Hlk17715698"/>
      <w:bookmarkStart w:id="50" w:name="_Hlk52519565"/>
    </w:p>
    <w:p w14:paraId="6B7B6619" w14:textId="77777777" w:rsidR="00496244" w:rsidRPr="00F1412B" w:rsidRDefault="00496244" w:rsidP="00317057">
      <w:pPr>
        <w:pStyle w:val="ARbody"/>
      </w:pPr>
      <w:r w:rsidRPr="00F1412B">
        <w:br w:type="page"/>
      </w:r>
    </w:p>
    <w:p w14:paraId="7808B155" w14:textId="77777777" w:rsidR="00496244" w:rsidRDefault="00496244" w:rsidP="00317057">
      <w:pPr>
        <w:pStyle w:val="Heading2"/>
        <w:spacing w:after="320"/>
      </w:pPr>
      <w:bookmarkStart w:id="51" w:name="_Toc85120970"/>
      <w:bookmarkStart w:id="52" w:name="_Toc85121597"/>
      <w:bookmarkStart w:id="53" w:name="_Ref85202790"/>
      <w:bookmarkStart w:id="54" w:name="_Toc86075580"/>
      <w:r w:rsidRPr="00516803">
        <w:lastRenderedPageBreak/>
        <w:t>Portfolio performance reporting – non</w:t>
      </w:r>
      <w:r>
        <w:t>-</w:t>
      </w:r>
      <w:r w:rsidRPr="00516803">
        <w:t>financial</w:t>
      </w:r>
      <w:bookmarkEnd w:id="51"/>
      <w:bookmarkEnd w:id="52"/>
      <w:bookmarkEnd w:id="53"/>
      <w:bookmarkEnd w:id="54"/>
    </w:p>
    <w:p w14:paraId="00880B95" w14:textId="77777777" w:rsidR="00496244" w:rsidRDefault="00496244" w:rsidP="00317057">
      <w:pPr>
        <w:pStyle w:val="ARbody"/>
        <w:sectPr w:rsidR="00496244" w:rsidSect="00317057">
          <w:footnotePr>
            <w:numFmt w:val="lowerLetter"/>
            <w:numRestart w:val="eachPage"/>
          </w:footnotePr>
          <w:endnotePr>
            <w:numFmt w:val="decimal"/>
          </w:endnotePr>
          <w:type w:val="continuous"/>
          <w:pgSz w:w="11900" w:h="16840" w:code="9"/>
          <w:pgMar w:top="1985" w:right="1134" w:bottom="851" w:left="1134" w:header="510" w:footer="340" w:gutter="0"/>
          <w:cols w:space="454"/>
        </w:sectPr>
      </w:pPr>
    </w:p>
    <w:p w14:paraId="7E3116C9" w14:textId="77777777" w:rsidR="00496244" w:rsidRDefault="00496244" w:rsidP="00395D6A">
      <w:pPr>
        <w:pStyle w:val="Heading3forTOC"/>
      </w:pPr>
      <w:bookmarkStart w:id="55" w:name="_Toc85120971"/>
      <w:bookmarkStart w:id="56" w:name="_Toc85121598"/>
      <w:bookmarkStart w:id="57" w:name="_Toc86075581"/>
      <w:r>
        <w:t>Overview</w:t>
      </w:r>
      <w:bookmarkEnd w:id="55"/>
      <w:bookmarkEnd w:id="56"/>
      <w:bookmarkEnd w:id="57"/>
    </w:p>
    <w:p w14:paraId="3C441E0C" w14:textId="24A3CFC3" w:rsidR="00496244" w:rsidRDefault="00496244" w:rsidP="00603E4B">
      <w:pPr>
        <w:pStyle w:val="ARintro"/>
        <w:rPr>
          <w:color w:val="auto"/>
          <w:sz w:val="20"/>
        </w:rPr>
      </w:pPr>
      <w:r w:rsidRPr="00C12FF9">
        <w:rPr>
          <w:color w:val="auto"/>
          <w:sz w:val="20"/>
        </w:rPr>
        <w:t>The department is required to report on its performance against the objectives articulated in its</w:t>
      </w:r>
      <w:r w:rsidR="00CD4CB2">
        <w:rPr>
          <w:color w:val="auto"/>
          <w:sz w:val="20"/>
        </w:rPr>
        <w:t> </w:t>
      </w:r>
      <w:r w:rsidRPr="00C12FF9">
        <w:rPr>
          <w:color w:val="auto"/>
          <w:sz w:val="20"/>
        </w:rPr>
        <w:t xml:space="preserve">most recent corporate plan, on key initiatives or projects for the year, and on the output measures detailed in the </w:t>
      </w:r>
      <w:r w:rsidRPr="00B57934">
        <w:rPr>
          <w:i/>
          <w:iCs/>
          <w:color w:val="auto"/>
          <w:sz w:val="20"/>
        </w:rPr>
        <w:t>202</w:t>
      </w:r>
      <w:r>
        <w:rPr>
          <w:i/>
          <w:iCs/>
          <w:color w:val="auto"/>
          <w:sz w:val="20"/>
        </w:rPr>
        <w:t>0–</w:t>
      </w:r>
      <w:r w:rsidRPr="00B57934">
        <w:rPr>
          <w:i/>
          <w:iCs/>
          <w:color w:val="auto"/>
          <w:sz w:val="20"/>
        </w:rPr>
        <w:t>21 Budget Paper No. 3 – Service Delivery</w:t>
      </w:r>
      <w:r w:rsidRPr="00C12FF9">
        <w:rPr>
          <w:color w:val="auto"/>
          <w:sz w:val="20"/>
        </w:rPr>
        <w:t>. This reporting has been complicated by machinery</w:t>
      </w:r>
      <w:r>
        <w:rPr>
          <w:color w:val="auto"/>
          <w:sz w:val="20"/>
        </w:rPr>
        <w:t xml:space="preserve"> </w:t>
      </w:r>
      <w:r w:rsidRPr="00C12FF9">
        <w:rPr>
          <w:color w:val="auto"/>
          <w:sz w:val="20"/>
        </w:rPr>
        <w:t>of</w:t>
      </w:r>
      <w:r>
        <w:rPr>
          <w:color w:val="auto"/>
          <w:sz w:val="20"/>
        </w:rPr>
        <w:t xml:space="preserve"> </w:t>
      </w:r>
      <w:r w:rsidRPr="00C12FF9">
        <w:rPr>
          <w:color w:val="auto"/>
          <w:sz w:val="20"/>
        </w:rPr>
        <w:t xml:space="preserve">government changes and the COVID-19 pandemic, so the following three components </w:t>
      </w:r>
      <w:r>
        <w:rPr>
          <w:color w:val="auto"/>
          <w:sz w:val="20"/>
        </w:rPr>
        <w:t>are</w:t>
      </w:r>
      <w:r w:rsidRPr="00C12FF9">
        <w:rPr>
          <w:color w:val="auto"/>
          <w:sz w:val="20"/>
        </w:rPr>
        <w:t xml:space="preserve"> included to fulfil the department</w:t>
      </w:r>
      <w:r w:rsidR="007D145B">
        <w:rPr>
          <w:color w:val="auto"/>
          <w:sz w:val="20"/>
        </w:rPr>
        <w:t>’</w:t>
      </w:r>
      <w:r w:rsidRPr="00C12FF9">
        <w:rPr>
          <w:color w:val="auto"/>
          <w:sz w:val="20"/>
        </w:rPr>
        <w:t xml:space="preserve">s non-financial </w:t>
      </w:r>
      <w:r>
        <w:rPr>
          <w:color w:val="auto"/>
          <w:sz w:val="20"/>
        </w:rPr>
        <w:t xml:space="preserve">portfolio </w:t>
      </w:r>
      <w:r w:rsidRPr="00C12FF9">
        <w:rPr>
          <w:color w:val="auto"/>
          <w:sz w:val="20"/>
        </w:rPr>
        <w:t>performance reporting obligations.</w:t>
      </w:r>
    </w:p>
    <w:p w14:paraId="1C418F7F" w14:textId="77777777" w:rsidR="00496244" w:rsidRPr="00D868DD" w:rsidRDefault="00496244" w:rsidP="00317057">
      <w:pPr>
        <w:pStyle w:val="Heading4"/>
      </w:pPr>
      <w:bookmarkStart w:id="58" w:name="_Toc85120972"/>
      <w:r w:rsidRPr="00D868DD">
        <w:t>Departmental objectives</w:t>
      </w:r>
      <w:bookmarkEnd w:id="58"/>
    </w:p>
    <w:p w14:paraId="1A2ACC83" w14:textId="4E057984" w:rsidR="00496244" w:rsidRPr="00FD26B3" w:rsidRDefault="00496244" w:rsidP="00317057">
      <w:pPr>
        <w:pStyle w:val="ARintro"/>
        <w:rPr>
          <w:color w:val="auto"/>
          <w:sz w:val="20"/>
        </w:rPr>
      </w:pPr>
      <w:r w:rsidRPr="00FD26B3">
        <w:rPr>
          <w:color w:val="auto"/>
          <w:sz w:val="20"/>
        </w:rPr>
        <w:t>The former Department of Health and Human Services did not publish a 202</w:t>
      </w:r>
      <w:r w:rsidR="00FA7261">
        <w:rPr>
          <w:color w:val="auto"/>
          <w:sz w:val="20"/>
        </w:rPr>
        <w:t>0–</w:t>
      </w:r>
      <w:r w:rsidRPr="00FD26B3">
        <w:rPr>
          <w:color w:val="auto"/>
          <w:sz w:val="20"/>
        </w:rPr>
        <w:t>21 strategic plan.</w:t>
      </w:r>
    </w:p>
    <w:p w14:paraId="76F47B1A" w14:textId="77777777" w:rsidR="00496244" w:rsidRDefault="00496244" w:rsidP="00317057">
      <w:pPr>
        <w:pStyle w:val="ARintro"/>
        <w:rPr>
          <w:color w:val="auto"/>
          <w:sz w:val="20"/>
        </w:rPr>
      </w:pPr>
      <w:r w:rsidRPr="00FD26B3">
        <w:rPr>
          <w:color w:val="auto"/>
          <w:sz w:val="20"/>
        </w:rPr>
        <w:t xml:space="preserve">The objectives </w:t>
      </w:r>
      <w:r>
        <w:rPr>
          <w:color w:val="auto"/>
          <w:sz w:val="20"/>
        </w:rPr>
        <w:t xml:space="preserve">specific to the </w:t>
      </w:r>
      <w:r w:rsidRPr="00FD26B3">
        <w:rPr>
          <w:color w:val="auto"/>
          <w:sz w:val="20"/>
        </w:rPr>
        <w:t>Department of Health</w:t>
      </w:r>
      <w:r>
        <w:rPr>
          <w:color w:val="auto"/>
          <w:sz w:val="20"/>
        </w:rPr>
        <w:t xml:space="preserve"> </w:t>
      </w:r>
      <w:r w:rsidRPr="00FD26B3">
        <w:rPr>
          <w:color w:val="auto"/>
          <w:sz w:val="20"/>
        </w:rPr>
        <w:t xml:space="preserve">outlined in this </w:t>
      </w:r>
      <w:r>
        <w:rPr>
          <w:color w:val="auto"/>
          <w:sz w:val="20"/>
        </w:rPr>
        <w:t>section</w:t>
      </w:r>
      <w:r w:rsidRPr="00FD26B3">
        <w:rPr>
          <w:color w:val="auto"/>
          <w:sz w:val="20"/>
        </w:rPr>
        <w:t xml:space="preserve"> are drawn from the 2019 Department of Health and Human Services strategic plan. The objectives set out in that document are:</w:t>
      </w:r>
    </w:p>
    <w:p w14:paraId="1C239985" w14:textId="77777777" w:rsidR="00496244" w:rsidRPr="00381E99" w:rsidRDefault="00496244" w:rsidP="00317057">
      <w:pPr>
        <w:pStyle w:val="ARnumberdigit"/>
      </w:pPr>
      <w:r w:rsidRPr="00381E99">
        <w:t>Victorians are healthy and well</w:t>
      </w:r>
    </w:p>
    <w:p w14:paraId="1CC54D93" w14:textId="77777777" w:rsidR="00496244" w:rsidRPr="00381E99" w:rsidRDefault="00496244" w:rsidP="00317057">
      <w:pPr>
        <w:pStyle w:val="ARnumberdigit"/>
      </w:pPr>
      <w:r w:rsidRPr="00381E99">
        <w:t>Victorians are safe and secure</w:t>
      </w:r>
    </w:p>
    <w:p w14:paraId="583DB41A" w14:textId="77777777" w:rsidR="00496244" w:rsidRPr="00381E99" w:rsidRDefault="00496244" w:rsidP="00317057">
      <w:pPr>
        <w:pStyle w:val="ARnumberdigit"/>
      </w:pPr>
      <w:r w:rsidRPr="00381E99">
        <w:t>Victorians have the capabilities to participat</w:t>
      </w:r>
      <w:r>
        <w:t>e</w:t>
      </w:r>
    </w:p>
    <w:p w14:paraId="52333005" w14:textId="77777777" w:rsidR="00496244" w:rsidRPr="00381E99" w:rsidRDefault="00496244" w:rsidP="00317057">
      <w:pPr>
        <w:pStyle w:val="ARnumberdigit"/>
      </w:pPr>
      <w:r w:rsidRPr="00381E99">
        <w:t>Victorians are connected to culture and communit</w:t>
      </w:r>
      <w:r>
        <w:t>y</w:t>
      </w:r>
    </w:p>
    <w:p w14:paraId="10C62336" w14:textId="77777777" w:rsidR="00496244" w:rsidRDefault="00496244" w:rsidP="00317057">
      <w:pPr>
        <w:pStyle w:val="ARnumberdigit"/>
        <w:spacing w:after="120"/>
      </w:pPr>
      <w:r w:rsidRPr="00381E99">
        <w:t>Victorian health and human services are person centred and sustainable</w:t>
      </w:r>
    </w:p>
    <w:p w14:paraId="1C41779B" w14:textId="32DA57D2" w:rsidR="00496244" w:rsidRPr="00BB0C9E" w:rsidRDefault="00496244" w:rsidP="00317057">
      <w:pPr>
        <w:pStyle w:val="ARintro"/>
        <w:rPr>
          <w:color w:val="auto"/>
          <w:sz w:val="20"/>
        </w:rPr>
      </w:pPr>
      <w:r w:rsidRPr="00BB0C9E">
        <w:rPr>
          <w:color w:val="auto"/>
          <w:sz w:val="20"/>
        </w:rPr>
        <w:t>This report includes information on departmental efforts to meet objectives 1 and 5.</w:t>
      </w:r>
    </w:p>
    <w:p w14:paraId="16963680" w14:textId="64725A0D" w:rsidR="00496244" w:rsidRPr="00BB0C9E" w:rsidRDefault="00496244" w:rsidP="00317057">
      <w:pPr>
        <w:pStyle w:val="ARintro"/>
        <w:rPr>
          <w:color w:val="auto"/>
          <w:sz w:val="20"/>
        </w:rPr>
      </w:pPr>
      <w:r w:rsidRPr="00BB0C9E">
        <w:rPr>
          <w:color w:val="auto"/>
          <w:sz w:val="20"/>
        </w:rPr>
        <w:t xml:space="preserve">Reporting on objectives 2, 3 and 4 </w:t>
      </w:r>
      <w:r>
        <w:rPr>
          <w:color w:val="auto"/>
          <w:sz w:val="20"/>
        </w:rPr>
        <w:t xml:space="preserve">is </w:t>
      </w:r>
      <w:r w:rsidRPr="00BB0C9E">
        <w:rPr>
          <w:color w:val="auto"/>
          <w:sz w:val="20"/>
        </w:rPr>
        <w:t xml:space="preserve">included on an exceptions basis only. Comprehensive reporting on objectives 2, 3 and 4 can be found in the </w:t>
      </w:r>
      <w:r w:rsidRPr="00FA7261">
        <w:rPr>
          <w:i/>
          <w:iCs/>
          <w:color w:val="auto"/>
          <w:sz w:val="20"/>
        </w:rPr>
        <w:t>Department of Families, Fairness and Housing annual report 2020</w:t>
      </w:r>
      <w:r w:rsidR="00FA7261" w:rsidRPr="00FA7261">
        <w:rPr>
          <w:i/>
          <w:iCs/>
          <w:color w:val="auto"/>
          <w:sz w:val="20"/>
        </w:rPr>
        <w:t>–</w:t>
      </w:r>
      <w:r w:rsidRPr="00FA7261">
        <w:rPr>
          <w:i/>
          <w:iCs/>
          <w:color w:val="auto"/>
          <w:sz w:val="20"/>
        </w:rPr>
        <w:t>21</w:t>
      </w:r>
      <w:r w:rsidRPr="00BB0C9E">
        <w:rPr>
          <w:color w:val="auto"/>
          <w:sz w:val="20"/>
        </w:rPr>
        <w:t>.</w:t>
      </w:r>
    </w:p>
    <w:p w14:paraId="1BB58107" w14:textId="4728B3CB" w:rsidR="00496244" w:rsidRPr="00D868DD" w:rsidRDefault="00496244" w:rsidP="00317057">
      <w:pPr>
        <w:pStyle w:val="Heading4"/>
      </w:pPr>
      <w:bookmarkStart w:id="59" w:name="_Responding_to_the"/>
      <w:bookmarkEnd w:id="59"/>
      <w:r>
        <w:br w:type="column"/>
      </w:r>
      <w:bookmarkStart w:id="60" w:name="_Toc85120973"/>
      <w:r w:rsidRPr="00072532">
        <w:t>Responding to the COVID-19 pandemic</w:t>
      </w:r>
      <w:r w:rsidR="00CD4CB2">
        <w:t> </w:t>
      </w:r>
      <w:r w:rsidRPr="00072532">
        <w:t>in Victoria</w:t>
      </w:r>
      <w:bookmarkEnd w:id="60"/>
    </w:p>
    <w:p w14:paraId="1D23A9AF" w14:textId="5D5B1814" w:rsidR="00496244" w:rsidRDefault="00496244" w:rsidP="00317057">
      <w:pPr>
        <w:pStyle w:val="ARbody"/>
      </w:pPr>
      <w:r>
        <w:t>The department is leading the Victorian Government</w:t>
      </w:r>
      <w:r w:rsidR="007D145B">
        <w:t>’</w:t>
      </w:r>
      <w:r>
        <w:t>s response to the COVID-19 pandemic.</w:t>
      </w:r>
    </w:p>
    <w:p w14:paraId="7C3164A1" w14:textId="43F5348D" w:rsidR="00496244" w:rsidRDefault="00496244" w:rsidP="00317057">
      <w:pPr>
        <w:pStyle w:val="ARbody"/>
      </w:pPr>
      <w:r>
        <w:t>In 202</w:t>
      </w:r>
      <w:r w:rsidR="00FA7261">
        <w:t>0–</w:t>
      </w:r>
      <w:r>
        <w:t>21, this work greatly increased in volume, scope and complexity. The department</w:t>
      </w:r>
      <w:r w:rsidR="007D145B">
        <w:t>’</w:t>
      </w:r>
      <w:r>
        <w:t>s operations evolved to meet the needs of Victorians in four main areas:</w:t>
      </w:r>
    </w:p>
    <w:p w14:paraId="0DEE6E53" w14:textId="77777777" w:rsidR="00496244" w:rsidRPr="00381E99" w:rsidRDefault="00496244" w:rsidP="00944633">
      <w:pPr>
        <w:pStyle w:val="ARnumberdigit"/>
        <w:numPr>
          <w:ilvl w:val="0"/>
          <w:numId w:val="42"/>
        </w:numPr>
      </w:pPr>
      <w:r w:rsidRPr="00A770F3">
        <w:t>Managing COVID-19 in Victoria</w:t>
      </w:r>
    </w:p>
    <w:p w14:paraId="0F0B271E" w14:textId="77777777" w:rsidR="00496244" w:rsidRPr="00381E99" w:rsidRDefault="00496244" w:rsidP="00317057">
      <w:pPr>
        <w:pStyle w:val="ARnumberdigit"/>
      </w:pPr>
      <w:r>
        <w:t>Preventing</w:t>
      </w:r>
      <w:r w:rsidRPr="00A770F3">
        <w:t xml:space="preserve"> COVID-19 in Victoria</w:t>
      </w:r>
    </w:p>
    <w:p w14:paraId="39E86FE2" w14:textId="77777777" w:rsidR="00496244" w:rsidRPr="00381E99" w:rsidRDefault="00496244" w:rsidP="00317057">
      <w:pPr>
        <w:pStyle w:val="ARnumberdigit"/>
      </w:pPr>
      <w:r>
        <w:t>Containing</w:t>
      </w:r>
      <w:r w:rsidRPr="00A770F3">
        <w:t xml:space="preserve"> COVID-19 in Victoria</w:t>
      </w:r>
    </w:p>
    <w:p w14:paraId="2518FD9B" w14:textId="77777777" w:rsidR="00496244" w:rsidRPr="00381E99" w:rsidRDefault="00496244" w:rsidP="00317057">
      <w:pPr>
        <w:pStyle w:val="ARnumberdigit"/>
      </w:pPr>
      <w:r>
        <w:t xml:space="preserve">Vaccinating </w:t>
      </w:r>
      <w:r w:rsidRPr="00381E99">
        <w:t>Victorians</w:t>
      </w:r>
    </w:p>
    <w:p w14:paraId="4AC5E83E" w14:textId="77777777" w:rsidR="00496244" w:rsidRPr="00D868DD" w:rsidRDefault="00496244" w:rsidP="00317057">
      <w:pPr>
        <w:pStyle w:val="Heading4"/>
      </w:pPr>
      <w:bookmarkStart w:id="61" w:name="_Toc85120974"/>
      <w:r w:rsidRPr="00D868DD">
        <w:t>Performance reporting</w:t>
      </w:r>
      <w:bookmarkEnd w:id="61"/>
    </w:p>
    <w:p w14:paraId="256B708F" w14:textId="5B1AC6A5" w:rsidR="00496244" w:rsidRDefault="00496244" w:rsidP="00317057">
      <w:pPr>
        <w:pStyle w:val="ARbody"/>
      </w:pPr>
      <w:r w:rsidRPr="00723C24">
        <w:t xml:space="preserve">The department reports against those output measures from the </w:t>
      </w:r>
      <w:r w:rsidRPr="00BF5EC5">
        <w:rPr>
          <w:i/>
          <w:iCs/>
        </w:rPr>
        <w:t>202</w:t>
      </w:r>
      <w:r>
        <w:rPr>
          <w:i/>
          <w:iCs/>
        </w:rPr>
        <w:t>0–</w:t>
      </w:r>
      <w:r w:rsidRPr="00BF5EC5">
        <w:rPr>
          <w:i/>
          <w:iCs/>
        </w:rPr>
        <w:t>21 State Budget Paper No. 3 – Service Delivery</w:t>
      </w:r>
      <w:r w:rsidRPr="00723C24">
        <w:t xml:space="preserve"> that remain within the </w:t>
      </w:r>
      <w:r>
        <w:t>department</w:t>
      </w:r>
      <w:r w:rsidR="007D145B">
        <w:t>’</w:t>
      </w:r>
      <w:r>
        <w:t>s portfolios</w:t>
      </w:r>
      <w:r w:rsidRPr="00723C24">
        <w:t xml:space="preserve"> following the machinery</w:t>
      </w:r>
      <w:r>
        <w:t xml:space="preserve"> </w:t>
      </w:r>
      <w:r w:rsidRPr="00723C24">
        <w:t xml:space="preserve">of government changes. </w:t>
      </w:r>
      <w:r w:rsidRPr="00325509">
        <w:t xml:space="preserve">These output measures </w:t>
      </w:r>
      <w:r w:rsidRPr="00723C24">
        <w:t xml:space="preserve">all relate to </w:t>
      </w:r>
      <w:bookmarkEnd w:id="49"/>
      <w:bookmarkEnd w:id="50"/>
      <w:r>
        <w:t>departmental objective 1.</w:t>
      </w:r>
    </w:p>
    <w:p w14:paraId="25C9F637" w14:textId="77777777" w:rsidR="00496244" w:rsidRDefault="00496244">
      <w:pPr>
        <w:rPr>
          <w:rFonts w:ascii="Arial" w:eastAsia="Times" w:hAnsi="Arial" w:cs="Arial"/>
          <w:sz w:val="20"/>
          <w:szCs w:val="24"/>
        </w:rPr>
      </w:pPr>
    </w:p>
    <w:p w14:paraId="4FF774C5" w14:textId="77777777" w:rsidR="00496244" w:rsidRDefault="00496244" w:rsidP="00317057">
      <w:pPr>
        <w:pStyle w:val="Heading3"/>
        <w:sectPr w:rsidR="00496244" w:rsidSect="00317057">
          <w:footnotePr>
            <w:numFmt w:val="lowerLetter"/>
            <w:numRestart w:val="eachPage"/>
          </w:footnotePr>
          <w:endnotePr>
            <w:numFmt w:val="decimal"/>
          </w:endnotePr>
          <w:type w:val="continuous"/>
          <w:pgSz w:w="11900" w:h="16840" w:code="9"/>
          <w:pgMar w:top="1985" w:right="1134" w:bottom="851" w:left="1134" w:header="510" w:footer="340" w:gutter="0"/>
          <w:cols w:num="2" w:space="454"/>
        </w:sectPr>
      </w:pPr>
    </w:p>
    <w:p w14:paraId="63478CC5" w14:textId="77777777" w:rsidR="00496244" w:rsidRDefault="00496244" w:rsidP="00395D6A">
      <w:pPr>
        <w:pStyle w:val="Heading3forTOC"/>
      </w:pPr>
      <w:bookmarkStart w:id="62" w:name="_Toc85120975"/>
      <w:bookmarkStart w:id="63" w:name="_Toc85121599"/>
      <w:bookmarkStart w:id="64" w:name="_Toc86075582"/>
      <w:r w:rsidRPr="005D1DAF">
        <w:lastRenderedPageBreak/>
        <w:t xml:space="preserve">Departmental </w:t>
      </w:r>
      <w:r>
        <w:t>o</w:t>
      </w:r>
      <w:r w:rsidRPr="005D1DAF">
        <w:t>bjectives</w:t>
      </w:r>
      <w:bookmarkEnd w:id="62"/>
      <w:bookmarkEnd w:id="63"/>
      <w:bookmarkEnd w:id="64"/>
    </w:p>
    <w:p w14:paraId="4AF04E49" w14:textId="77777777" w:rsidR="00496244" w:rsidRDefault="00496244" w:rsidP="00317057">
      <w:pPr>
        <w:pStyle w:val="Heading4"/>
      </w:pPr>
      <w:bookmarkStart w:id="65" w:name="_Toc50383607"/>
      <w:bookmarkStart w:id="66" w:name="_Toc85120976"/>
      <w:r>
        <w:t xml:space="preserve">Objective 1: </w:t>
      </w:r>
      <w:r w:rsidRPr="007814F3">
        <w:t>Victorians are healthy and well</w:t>
      </w:r>
      <w:bookmarkEnd w:id="65"/>
      <w:bookmarkEnd w:id="66"/>
    </w:p>
    <w:p w14:paraId="7FF835DC" w14:textId="77777777" w:rsidR="00496244" w:rsidRDefault="00496244" w:rsidP="00317057">
      <w:pPr>
        <w:pStyle w:val="ARintro"/>
      </w:pPr>
      <w:r>
        <w:t>This objective seeks to achieve the following outcomes:</w:t>
      </w:r>
    </w:p>
    <w:p w14:paraId="703735F9" w14:textId="77777777" w:rsidR="00496244" w:rsidRPr="00F1412B" w:rsidRDefault="00496244" w:rsidP="00317057">
      <w:pPr>
        <w:pStyle w:val="ARintrobullet"/>
      </w:pPr>
      <w:r>
        <w:t>Victorians have good physical health</w:t>
      </w:r>
    </w:p>
    <w:p w14:paraId="111E97CF" w14:textId="77777777" w:rsidR="00496244" w:rsidRPr="00F1412B" w:rsidRDefault="00496244" w:rsidP="00317057">
      <w:pPr>
        <w:pStyle w:val="ARintrobullet"/>
      </w:pPr>
      <w:r>
        <w:t>Victorians have good mental health</w:t>
      </w:r>
    </w:p>
    <w:p w14:paraId="5DB28789" w14:textId="1816B0FF" w:rsidR="00496244" w:rsidRPr="000408C7" w:rsidRDefault="00496244" w:rsidP="00317057">
      <w:pPr>
        <w:pStyle w:val="ARintrobullet"/>
      </w:pPr>
      <w:r>
        <w:t>Victorians act to protect and promote health</w:t>
      </w:r>
      <w:r w:rsidR="00AE2CE4">
        <w:t>.</w:t>
      </w:r>
    </w:p>
    <w:p w14:paraId="25067A79" w14:textId="01CA1AFE" w:rsidR="00496244" w:rsidRDefault="00496244" w:rsidP="00317057">
      <w:pPr>
        <w:pStyle w:val="ARintro"/>
      </w:pPr>
      <w:r>
        <w:t>For Victoria to remain a great place to live, work and play, Victorians need to know they can access healthcare that allows them to keep doing the things they love – whether it</w:t>
      </w:r>
      <w:r w:rsidR="007D145B">
        <w:t>’</w:t>
      </w:r>
      <w:r>
        <w:t>s spending time</w:t>
      </w:r>
      <w:r w:rsidR="00864121">
        <w:t> </w:t>
      </w:r>
      <w:r>
        <w:t>with family and friends, getting out and about or doing things that bring them joy.</w:t>
      </w:r>
    </w:p>
    <w:p w14:paraId="0495366C" w14:textId="58049B24" w:rsidR="00496244" w:rsidRDefault="00496244" w:rsidP="00317057">
      <w:pPr>
        <w:pStyle w:val="ARintro"/>
        <w:rPr>
          <w:highlight w:val="yellow"/>
        </w:rPr>
      </w:pPr>
      <w:r>
        <w:t>The department delivers a world-class healthcare system that meets the changing health needs of</w:t>
      </w:r>
      <w:r w:rsidR="00864121">
        <w:t> </w:t>
      </w:r>
      <w:r>
        <w:t>all Victorians by focusing on people first. Prevention is our starting point, creating the right conditions and supports to promote and protect good health and intervene early at every point.</w:t>
      </w:r>
    </w:p>
    <w:p w14:paraId="6B558521" w14:textId="77777777" w:rsidR="00496244" w:rsidRPr="002029AF" w:rsidRDefault="00496244" w:rsidP="00603E4B">
      <w:pPr>
        <w:pStyle w:val="ARbody"/>
      </w:pPr>
    </w:p>
    <w:p w14:paraId="4AE13029" w14:textId="77777777" w:rsidR="00496244" w:rsidRPr="002029AF" w:rsidRDefault="00496244" w:rsidP="00603E4B">
      <w:pPr>
        <w:pStyle w:val="ARbody"/>
        <w:sectPr w:rsidR="00496244" w:rsidRPr="002029AF" w:rsidSect="00317057">
          <w:headerReference w:type="default" r:id="rId24"/>
          <w:headerReference w:type="first" r:id="rId25"/>
          <w:footnotePr>
            <w:numFmt w:val="lowerLetter"/>
            <w:numRestart w:val="eachPage"/>
          </w:footnotePr>
          <w:endnotePr>
            <w:numFmt w:val="decimal"/>
          </w:endnotePr>
          <w:pgSz w:w="11900" w:h="16840" w:code="9"/>
          <w:pgMar w:top="1985" w:right="1134" w:bottom="851" w:left="1134" w:header="510" w:footer="340" w:gutter="0"/>
          <w:cols w:space="454"/>
        </w:sectPr>
      </w:pPr>
    </w:p>
    <w:p w14:paraId="3C016166" w14:textId="77777777" w:rsidR="00496244" w:rsidRPr="002029AF" w:rsidRDefault="00496244" w:rsidP="00317057">
      <w:pPr>
        <w:pStyle w:val="Heading4"/>
      </w:pPr>
      <w:bookmarkStart w:id="67" w:name="_Toc85120977"/>
      <w:r w:rsidRPr="002029AF">
        <w:t>Outcome 1.1: Victorians have good physical health</w:t>
      </w:r>
      <w:bookmarkEnd w:id="67"/>
    </w:p>
    <w:p w14:paraId="1C024AFE" w14:textId="05CF1690" w:rsidR="00496244" w:rsidRPr="002029AF" w:rsidRDefault="00496244" w:rsidP="00603E4B">
      <w:pPr>
        <w:pStyle w:val="ARbody"/>
      </w:pPr>
      <w:r w:rsidRPr="002029AF">
        <w:t>Victoria</w:t>
      </w:r>
      <w:r w:rsidR="007D145B">
        <w:t>’</w:t>
      </w:r>
      <w:r w:rsidRPr="002029AF">
        <w:t xml:space="preserve">s population is expected to increase by about two-thirds in the next 40 years. At the same time, the population is ageing and becoming more diverse. This presents unique </w:t>
      </w:r>
      <w:r>
        <w:t xml:space="preserve">opportunities and </w:t>
      </w:r>
      <w:r w:rsidRPr="002029AF">
        <w:t>challenges to the Victorian health system.</w:t>
      </w:r>
    </w:p>
    <w:p w14:paraId="1F03A9F3" w14:textId="77777777" w:rsidR="00496244" w:rsidRPr="002029AF" w:rsidRDefault="00496244" w:rsidP="00603E4B">
      <w:pPr>
        <w:pStyle w:val="ARbody"/>
      </w:pPr>
      <w:r w:rsidRPr="002029AF">
        <w:t>In addition, the rapid emergence and spread of</w:t>
      </w:r>
      <w:r>
        <w:t> COVID-19</w:t>
      </w:r>
      <w:r w:rsidRPr="002029AF">
        <w:t xml:space="preserve"> has presented an unprecedented challenge to the health of Victorians.</w:t>
      </w:r>
    </w:p>
    <w:p w14:paraId="6A9B812D" w14:textId="67CBC167" w:rsidR="00496244" w:rsidRPr="002029AF" w:rsidRDefault="00496244" w:rsidP="00603E4B">
      <w:pPr>
        <w:pStyle w:val="ARbody"/>
      </w:pPr>
      <w:r w:rsidRPr="002029AF">
        <w:t xml:space="preserve">The long-term effects of </w:t>
      </w:r>
      <w:r>
        <w:t>COVID-19</w:t>
      </w:r>
      <w:r w:rsidRPr="002029AF">
        <w:t xml:space="preserve"> on people</w:t>
      </w:r>
      <w:r w:rsidR="007D145B">
        <w:t>’</w:t>
      </w:r>
      <w:r w:rsidRPr="002029AF">
        <w:t xml:space="preserve">s health (including heart, lungs and even brain function) are </w:t>
      </w:r>
      <w:r>
        <w:t>not fully understood yet</w:t>
      </w:r>
      <w:r w:rsidRPr="002029AF">
        <w:t xml:space="preserve">. </w:t>
      </w:r>
      <w:r>
        <w:t>COVID-19</w:t>
      </w:r>
      <w:r w:rsidRPr="002029AF">
        <w:t xml:space="preserve"> could represent a new chronic disease, where treatments are still to be found.</w:t>
      </w:r>
    </w:p>
    <w:p w14:paraId="6AB79A80" w14:textId="77777777" w:rsidR="00496244" w:rsidRPr="002029AF" w:rsidRDefault="00496244" w:rsidP="004026AD">
      <w:pPr>
        <w:pStyle w:val="Heading5"/>
      </w:pPr>
      <w:bookmarkStart w:id="68" w:name="_Toc85120978"/>
      <w:r w:rsidRPr="002029AF">
        <w:t>Progress against outcomes</w:t>
      </w:r>
      <w:bookmarkEnd w:id="68"/>
    </w:p>
    <w:p w14:paraId="20AF03B5" w14:textId="12EFC08C" w:rsidR="00496244" w:rsidRDefault="00496244" w:rsidP="00603E4B">
      <w:pPr>
        <w:pStyle w:val="ARbody"/>
      </w:pPr>
      <w:r w:rsidRPr="002029AF">
        <w:t>Some of the department</w:t>
      </w:r>
      <w:r w:rsidR="007D145B">
        <w:t>’</w:t>
      </w:r>
      <w:r w:rsidRPr="002029AF">
        <w:t>s key achievements in</w:t>
      </w:r>
      <w:r w:rsidR="00864121">
        <w:t> </w:t>
      </w:r>
      <w:r w:rsidRPr="002029AF">
        <w:t>20</w:t>
      </w:r>
      <w:r>
        <w:t>20</w:t>
      </w:r>
      <w:r w:rsidRPr="002029AF">
        <w:t>–2</w:t>
      </w:r>
      <w:r>
        <w:t>1</w:t>
      </w:r>
      <w:r w:rsidRPr="002029AF">
        <w:t xml:space="preserve"> are outlined below.</w:t>
      </w:r>
    </w:p>
    <w:p w14:paraId="752DFD1C" w14:textId="2AF50179" w:rsidR="00496244" w:rsidRPr="002029AF" w:rsidRDefault="00496244" w:rsidP="00603E4B">
      <w:pPr>
        <w:pStyle w:val="ARbody"/>
      </w:pPr>
      <w:r w:rsidRPr="00B458CA">
        <w:t>Please see</w:t>
      </w:r>
      <w:r w:rsidR="00041416">
        <w:t xml:space="preserve"> </w:t>
      </w:r>
      <w:hyperlink w:anchor="COVID_section" w:history="1">
        <w:r w:rsidR="00CA7F87">
          <w:rPr>
            <w:rStyle w:val="Hyperlink"/>
          </w:rPr>
          <w:t>R</w:t>
        </w:r>
        <w:r w:rsidR="00FC792B">
          <w:rPr>
            <w:rStyle w:val="Hyperlink"/>
          </w:rPr>
          <w:t>esponding to the COVID-19 pandemic in Victoria</w:t>
        </w:r>
      </w:hyperlink>
      <w:r w:rsidRPr="00B458CA">
        <w:t xml:space="preserve"> </w:t>
      </w:r>
      <w:r w:rsidR="00041416">
        <w:t xml:space="preserve">on </w:t>
      </w:r>
      <w:r w:rsidRPr="00B458CA">
        <w:t xml:space="preserve">page </w:t>
      </w:r>
      <w:r w:rsidR="00CD79F8">
        <w:fldChar w:fldCharType="begin"/>
      </w:r>
      <w:r w:rsidR="00CD79F8">
        <w:instrText xml:space="preserve"> PAGEREF COVID_section \h </w:instrText>
      </w:r>
      <w:r w:rsidR="00CD79F8">
        <w:fldChar w:fldCharType="separate"/>
      </w:r>
      <w:r w:rsidR="00E71361">
        <w:rPr>
          <w:noProof/>
        </w:rPr>
        <w:t>37</w:t>
      </w:r>
      <w:r w:rsidR="00CD79F8">
        <w:fldChar w:fldCharType="end"/>
      </w:r>
      <w:r w:rsidR="00A45F1D">
        <w:t xml:space="preserve"> </w:t>
      </w:r>
      <w:r w:rsidRPr="00B458CA">
        <w:t>for key achievements relating specifically to COVID-19</w:t>
      </w:r>
      <w:r>
        <w:t>.</w:t>
      </w:r>
    </w:p>
    <w:p w14:paraId="00540A85" w14:textId="77777777" w:rsidR="00496244" w:rsidRPr="002029AF" w:rsidRDefault="00496244" w:rsidP="00603E4B">
      <w:pPr>
        <w:pStyle w:val="Heading5"/>
        <w:rPr>
          <w:rFonts w:eastAsia="Calibri"/>
        </w:rPr>
      </w:pPr>
      <w:bookmarkStart w:id="69" w:name="_Toc85120979"/>
      <w:r w:rsidRPr="002029AF">
        <w:rPr>
          <w:rFonts w:eastAsia="Calibri"/>
        </w:rPr>
        <w:t>Key result: Reduce the incidence of avoidable harm in Victorian hospitals</w:t>
      </w:r>
      <w:bookmarkEnd w:id="69"/>
    </w:p>
    <w:p w14:paraId="332440CC" w14:textId="77777777" w:rsidR="00496244" w:rsidRPr="0060683C" w:rsidRDefault="00496244" w:rsidP="00603E4B">
      <w:pPr>
        <w:pStyle w:val="Heading6"/>
        <w:rPr>
          <w:szCs w:val="20"/>
        </w:rPr>
      </w:pPr>
      <w:bookmarkStart w:id="70" w:name="_Toc85120980"/>
      <w:r w:rsidRPr="005B5F01">
        <w:rPr>
          <w:szCs w:val="20"/>
        </w:rPr>
        <w:t>Increased nurse to patient ratios in hospitals</w:t>
      </w:r>
      <w:bookmarkEnd w:id="70"/>
    </w:p>
    <w:p w14:paraId="10D69998" w14:textId="2A565ACC" w:rsidR="00496244" w:rsidRPr="0060683C" w:rsidRDefault="00496244" w:rsidP="00317057">
      <w:pPr>
        <w:pStyle w:val="ARbody"/>
      </w:pPr>
      <w:r w:rsidRPr="0060683C">
        <w:t>A strong nursing and midwifery workforce is crucial to delivering the best care for Victorians. Nurse and midwife to patient ratios have assisted in</w:t>
      </w:r>
      <w:r w:rsidR="00864121">
        <w:t> </w:t>
      </w:r>
      <w:r w:rsidRPr="0060683C">
        <w:t xml:space="preserve">maintaining the </w:t>
      </w:r>
      <w:r w:rsidRPr="00ED5476">
        <w:t>safety of Victorian patients since they were introduced in 20</w:t>
      </w:r>
      <w:r>
        <w:t>2</w:t>
      </w:r>
      <w:r w:rsidRPr="00ED5476">
        <w:t>0.</w:t>
      </w:r>
    </w:p>
    <w:p w14:paraId="13CF2906" w14:textId="77777777" w:rsidR="00496244" w:rsidRPr="0060683C" w:rsidRDefault="00496244" w:rsidP="00317057">
      <w:pPr>
        <w:pStyle w:val="ARbody"/>
      </w:pPr>
      <w:r>
        <w:rPr>
          <w:color w:val="000000" w:themeColor="text1"/>
        </w:rPr>
        <w:t>T</w:t>
      </w:r>
      <w:r w:rsidRPr="0060683C">
        <w:rPr>
          <w:color w:val="000000" w:themeColor="text1"/>
        </w:rPr>
        <w:t xml:space="preserve">he </w:t>
      </w:r>
      <w:bookmarkStart w:id="71" w:name="_Hlk85204384"/>
      <w:r w:rsidRPr="0060683C">
        <w:rPr>
          <w:i/>
          <w:color w:val="000000" w:themeColor="text1"/>
          <w:shd w:val="clear" w:color="auto" w:fill="FFFFFF"/>
        </w:rPr>
        <w:t>Safe Patient Care (Nurse to Patient and Midwife to Patient Ratios) Amendment Act 2020</w:t>
      </w:r>
      <w:r w:rsidRPr="0060683C">
        <w:rPr>
          <w:color w:val="000000" w:themeColor="text1"/>
          <w:shd w:val="clear" w:color="auto" w:fill="FFFFFF"/>
        </w:rPr>
        <w:t xml:space="preserve"> </w:t>
      </w:r>
      <w:bookmarkEnd w:id="71"/>
      <w:r w:rsidRPr="0060683C">
        <w:rPr>
          <w:color w:val="000000" w:themeColor="text1"/>
        </w:rPr>
        <w:t>was</w:t>
      </w:r>
      <w:r w:rsidRPr="0060683C">
        <w:t xml:space="preserve"> passed by the Victorian Parliament on 10</w:t>
      </w:r>
      <w:r>
        <w:t> </w:t>
      </w:r>
      <w:r w:rsidRPr="0060683C">
        <w:t xml:space="preserve">November 2020. The Act </w:t>
      </w:r>
      <w:r>
        <w:t xml:space="preserve">forms part of a second phase of improvements to ratios and </w:t>
      </w:r>
      <w:r w:rsidRPr="0060683C">
        <w:t>complement</w:t>
      </w:r>
      <w:r>
        <w:t>s</w:t>
      </w:r>
      <w:r w:rsidRPr="0060683C">
        <w:t xml:space="preserve"> the changes introduced in 2019.</w:t>
      </w:r>
      <w:r>
        <w:t xml:space="preserve"> Specifically, it </w:t>
      </w:r>
      <w:r w:rsidRPr="0060683C">
        <w:t>amend</w:t>
      </w:r>
      <w:r>
        <w:t>s</w:t>
      </w:r>
      <w:r w:rsidRPr="0060683C">
        <w:t xml:space="preserve"> nurse to patient and midwife to patient ratios on specified shifts in certain wards.</w:t>
      </w:r>
    </w:p>
    <w:p w14:paraId="0D6585A1" w14:textId="77777777" w:rsidR="00496244" w:rsidRPr="0060683C" w:rsidRDefault="00496244" w:rsidP="00603E4B">
      <w:pPr>
        <w:pStyle w:val="ARbody"/>
      </w:pPr>
      <w:r w:rsidRPr="0060683C">
        <w:t xml:space="preserve">The Act also amended the </w:t>
      </w:r>
      <w:bookmarkStart w:id="72" w:name="_Hlk85204396"/>
      <w:r w:rsidRPr="0060683C">
        <w:rPr>
          <w:i/>
          <w:iCs/>
        </w:rPr>
        <w:t>Child Wellbeing and Safety Act 2005</w:t>
      </w:r>
      <w:bookmarkEnd w:id="72"/>
      <w:r w:rsidRPr="0060683C">
        <w:t xml:space="preserve"> to require providers of maternal and child health services to employ or engage nurses for those services only if the nurses have prescribed qualifications.</w:t>
      </w:r>
    </w:p>
    <w:p w14:paraId="0AC418AE" w14:textId="77777777" w:rsidR="00496244" w:rsidRPr="0060683C" w:rsidRDefault="00496244" w:rsidP="00317057">
      <w:pPr>
        <w:pStyle w:val="ARbody"/>
        <w:rPr>
          <w:rFonts w:eastAsia="Times New Roman" w:cs="Times New Roman"/>
          <w:b/>
          <w:bCs/>
          <w:szCs w:val="20"/>
        </w:rPr>
      </w:pPr>
      <w:r w:rsidRPr="0060683C">
        <w:rPr>
          <w:rFonts w:eastAsia="Times New Roman" w:cs="Times New Roman"/>
          <w:b/>
          <w:bCs/>
          <w:szCs w:val="20"/>
        </w:rPr>
        <w:t>Infrastructure grants</w:t>
      </w:r>
    </w:p>
    <w:p w14:paraId="1FF37E9D" w14:textId="77777777" w:rsidR="00496244" w:rsidRPr="0060683C" w:rsidRDefault="00496244" w:rsidP="00317057">
      <w:pPr>
        <w:pStyle w:val="ARbody"/>
      </w:pPr>
      <w:r w:rsidRPr="0060683C">
        <w:t>The Victorian Health Building Authority administered $461 million in grants to health services and agencies across the state to improve the safety and quality of services, enhance service capacity and efficiency, support contemporary models of care, and improve patient and staff amenity</w:t>
      </w:r>
      <w:r>
        <w:t>. These were made</w:t>
      </w:r>
      <w:r w:rsidRPr="0060683C">
        <w:t xml:space="preserve"> through the:</w:t>
      </w:r>
    </w:p>
    <w:p w14:paraId="5B4D17BD" w14:textId="77777777" w:rsidR="00496244" w:rsidRPr="00EB1665" w:rsidRDefault="00496244" w:rsidP="00317057">
      <w:pPr>
        <w:pStyle w:val="ARbullet1"/>
      </w:pPr>
      <w:r>
        <w:t>$200 million Metropolitan Health Infrastructure Fund</w:t>
      </w:r>
    </w:p>
    <w:p w14:paraId="37948B2C" w14:textId="1446586D" w:rsidR="00496244" w:rsidRPr="00EB1665" w:rsidRDefault="00496244" w:rsidP="00317057">
      <w:pPr>
        <w:pStyle w:val="ARbullet1"/>
      </w:pPr>
      <w:r>
        <w:t xml:space="preserve">$120 million </w:t>
      </w:r>
      <w:hyperlink r:id="rId26">
        <w:r>
          <w:t>Regional Health Infrastructure Fund</w:t>
        </w:r>
      </w:hyperlink>
    </w:p>
    <w:p w14:paraId="58ABE4D5" w14:textId="69BAFC6D" w:rsidR="00496244" w:rsidRPr="00EB1665" w:rsidRDefault="00496244" w:rsidP="00317057">
      <w:pPr>
        <w:pStyle w:val="ARbullet1"/>
      </w:pPr>
      <w:r>
        <w:t xml:space="preserve">$50 million </w:t>
      </w:r>
      <w:hyperlink r:id="rId27">
        <w:r>
          <w:t>Engineering Infrastructure Replacement Program</w:t>
        </w:r>
      </w:hyperlink>
    </w:p>
    <w:p w14:paraId="5576B504" w14:textId="77777777" w:rsidR="00496244" w:rsidRPr="00EB1665" w:rsidRDefault="00496244" w:rsidP="00317057">
      <w:pPr>
        <w:pStyle w:val="ARbullet1"/>
      </w:pPr>
      <w:r>
        <w:t>$35 million Medical Equipment Replacement Program</w:t>
      </w:r>
    </w:p>
    <w:p w14:paraId="460B3B09" w14:textId="77777777" w:rsidR="00496244" w:rsidRPr="00EB1665" w:rsidRDefault="00496244" w:rsidP="00317057">
      <w:pPr>
        <w:pStyle w:val="ARbullet1"/>
      </w:pPr>
      <w:r>
        <w:t>$10 million Rural Residential Aged Care Facilities Renewal Program</w:t>
      </w:r>
    </w:p>
    <w:p w14:paraId="37E4A748" w14:textId="77777777" w:rsidR="00496244" w:rsidRDefault="00496244" w:rsidP="00317057">
      <w:pPr>
        <w:pStyle w:val="ARbullet1"/>
      </w:pPr>
      <w:r>
        <w:t>$16 million Generator Replacement Program.</w:t>
      </w:r>
    </w:p>
    <w:p w14:paraId="1945893B" w14:textId="77777777" w:rsidR="00864121" w:rsidRPr="00864121" w:rsidRDefault="00864121" w:rsidP="00864121">
      <w:pPr>
        <w:pStyle w:val="ARbody"/>
      </w:pPr>
      <w:r w:rsidRPr="00864121">
        <w:br w:type="page"/>
      </w:r>
    </w:p>
    <w:p w14:paraId="59F234EB" w14:textId="0B355D36" w:rsidR="00496244" w:rsidRDefault="00496244" w:rsidP="00016B97">
      <w:pPr>
        <w:pStyle w:val="ARbodyafterbullets"/>
      </w:pPr>
      <w:r>
        <w:lastRenderedPageBreak/>
        <w:t xml:space="preserve">In addition, VHBA also provided $10 </w:t>
      </w:r>
      <w:r w:rsidRPr="00EB1665">
        <w:t>million to address sexual safety risks in adult acute mental health inpatient units</w:t>
      </w:r>
      <w:r>
        <w:t xml:space="preserve"> and $20 </w:t>
      </w:r>
      <w:r w:rsidRPr="00EB1665">
        <w:t xml:space="preserve">million </w:t>
      </w:r>
      <w:r>
        <w:t>for the m</w:t>
      </w:r>
      <w:r w:rsidRPr="00EB1665">
        <w:t>aintenance and refurbishment of age</w:t>
      </w:r>
      <w:r>
        <w:t>d</w:t>
      </w:r>
      <w:r w:rsidRPr="00EB1665">
        <w:t xml:space="preserve"> care facilities</w:t>
      </w:r>
      <w:r>
        <w:t>.</w:t>
      </w:r>
    </w:p>
    <w:p w14:paraId="3BE50B51" w14:textId="77777777" w:rsidR="00496244" w:rsidRPr="002029AF" w:rsidRDefault="00496244" w:rsidP="00603E4B">
      <w:pPr>
        <w:pStyle w:val="Heading5"/>
        <w:rPr>
          <w:rFonts w:eastAsia="Calibri"/>
        </w:rPr>
      </w:pPr>
      <w:bookmarkStart w:id="73" w:name="_Toc85120981"/>
      <w:r w:rsidRPr="002029AF">
        <w:rPr>
          <w:rFonts w:eastAsia="Calibri"/>
        </w:rPr>
        <w:t>Key result: Reduce obesity and increase physical activity across Victoria</w:t>
      </w:r>
      <w:bookmarkEnd w:id="73"/>
    </w:p>
    <w:p w14:paraId="5CEFE423" w14:textId="77777777" w:rsidR="00496244" w:rsidRPr="002029AF" w:rsidRDefault="00496244" w:rsidP="00603E4B">
      <w:pPr>
        <w:pStyle w:val="ARbody"/>
      </w:pPr>
      <w:r w:rsidRPr="002029AF">
        <w:t>Every year, we invest in initiatives that contribute to</w:t>
      </w:r>
      <w:r>
        <w:t> </w:t>
      </w:r>
      <w:r w:rsidRPr="002029AF">
        <w:t>obesity prevention and help support an increase in healthy eating and physical activity.</w:t>
      </w:r>
    </w:p>
    <w:p w14:paraId="7A0FF804" w14:textId="77777777" w:rsidR="00496244" w:rsidRPr="002029AF" w:rsidRDefault="00496244" w:rsidP="00317057">
      <w:pPr>
        <w:pStyle w:val="Heading6"/>
      </w:pPr>
      <w:bookmarkStart w:id="74" w:name="_Toc85120982"/>
      <w:r w:rsidRPr="002029AF">
        <w:t>Supporting health and wellbeing in</w:t>
      </w:r>
      <w:r>
        <w:t> </w:t>
      </w:r>
      <w:r w:rsidRPr="002029AF">
        <w:t>the</w:t>
      </w:r>
      <w:r>
        <w:t> </w:t>
      </w:r>
      <w:r w:rsidRPr="002029AF">
        <w:t>community</w:t>
      </w:r>
      <w:bookmarkEnd w:id="74"/>
    </w:p>
    <w:p w14:paraId="51AAA178" w14:textId="77777777" w:rsidR="00496244" w:rsidRDefault="00496244" w:rsidP="00603E4B">
      <w:pPr>
        <w:pStyle w:val="ARbody"/>
      </w:pPr>
      <w:r w:rsidRPr="002029AF">
        <w:t>The department is continuing to deliver key initiatives to support Victorians to be as healthy as</w:t>
      </w:r>
      <w:r>
        <w:t> </w:t>
      </w:r>
      <w:r w:rsidRPr="002029AF">
        <w:t xml:space="preserve">they can be. </w:t>
      </w:r>
      <w:r>
        <w:t>One of these,</w:t>
      </w:r>
      <w:r w:rsidRPr="002029AF">
        <w:t xml:space="preserve"> </w:t>
      </w:r>
      <w:r w:rsidRPr="0039418C">
        <w:t>the</w:t>
      </w:r>
      <w:r w:rsidRPr="005F49FB">
        <w:rPr>
          <w:i/>
          <w:iCs/>
        </w:rPr>
        <w:t xml:space="preserve"> </w:t>
      </w:r>
      <w:r w:rsidRPr="009A6132">
        <w:t>Healthy Schools, Healthy Workers and Healthy Early Years Achievement Program,</w:t>
      </w:r>
      <w:r>
        <w:t xml:space="preserve"> </w:t>
      </w:r>
      <w:r w:rsidRPr="002029AF">
        <w:t>support</w:t>
      </w:r>
      <w:r>
        <w:t>s</w:t>
      </w:r>
      <w:r w:rsidRPr="002029AF">
        <w:t xml:space="preserve"> over 3,</w:t>
      </w:r>
      <w:r>
        <w:t>4</w:t>
      </w:r>
      <w:r w:rsidRPr="002029AF">
        <w:t>00 organisations</w:t>
      </w:r>
      <w:r>
        <w:t>,</w:t>
      </w:r>
      <w:r w:rsidRPr="002029AF">
        <w:t xml:space="preserve"> </w:t>
      </w:r>
      <w:r>
        <w:t>including schools, early learning centres and workplaces,</w:t>
      </w:r>
      <w:r w:rsidRPr="0083429F">
        <w:t xml:space="preserve"> </w:t>
      </w:r>
      <w:r>
        <w:t>and reaches over 484,000 children and 378,000 workers</w:t>
      </w:r>
      <w:r w:rsidRPr="002029AF">
        <w:t xml:space="preserve"> to create healthier places for </w:t>
      </w:r>
      <w:r>
        <w:t xml:space="preserve">them. Another initiative, the </w:t>
      </w:r>
      <w:r w:rsidRPr="009A6132">
        <w:t>Healthy Eating Advisory Service</w:t>
      </w:r>
      <w:r>
        <w:rPr>
          <w:i/>
          <w:iCs/>
        </w:rPr>
        <w:t>,</w:t>
      </w:r>
      <w:r>
        <w:t xml:space="preserve"> </w:t>
      </w:r>
      <w:r w:rsidRPr="002029AF">
        <w:t>support</w:t>
      </w:r>
      <w:r>
        <w:t>s</w:t>
      </w:r>
      <w:r w:rsidRPr="002029AF">
        <w:t xml:space="preserve"> hundreds of</w:t>
      </w:r>
      <w:r>
        <w:t> </w:t>
      </w:r>
      <w:r w:rsidRPr="002029AF">
        <w:t>early childhood services, schools, hospitals and</w:t>
      </w:r>
      <w:r>
        <w:t> </w:t>
      </w:r>
      <w:r w:rsidRPr="002029AF">
        <w:t>sport and recreation centres every quarter to</w:t>
      </w:r>
      <w:r>
        <w:t> </w:t>
      </w:r>
      <w:r w:rsidRPr="002029AF">
        <w:t xml:space="preserve">provide and promote healthy food and drinks. The department is also delivering the </w:t>
      </w:r>
      <w:r w:rsidRPr="009A6132">
        <w:t xml:space="preserve">Life! Helping </w:t>
      </w:r>
      <w:r>
        <w:t>Y</w:t>
      </w:r>
      <w:r w:rsidRPr="009A6132">
        <w:t xml:space="preserve">ou </w:t>
      </w:r>
      <w:r>
        <w:t>P</w:t>
      </w:r>
      <w:r w:rsidRPr="009A6132">
        <w:t xml:space="preserve">revent </w:t>
      </w:r>
      <w:r>
        <w:t>D</w:t>
      </w:r>
      <w:r w:rsidRPr="009A6132">
        <w:t xml:space="preserve">iabetes, </w:t>
      </w:r>
      <w:r>
        <w:t>H</w:t>
      </w:r>
      <w:r w:rsidRPr="009A6132">
        <w:t xml:space="preserve">eart </w:t>
      </w:r>
      <w:r>
        <w:t>D</w:t>
      </w:r>
      <w:r w:rsidRPr="009A6132">
        <w:t xml:space="preserve">isease and </w:t>
      </w:r>
      <w:r>
        <w:t>S</w:t>
      </w:r>
      <w:r w:rsidRPr="009A6132">
        <w:t>troke</w:t>
      </w:r>
      <w:r w:rsidRPr="002029AF">
        <w:t xml:space="preserve"> </w:t>
      </w:r>
      <w:r>
        <w:t>P</w:t>
      </w:r>
      <w:r w:rsidRPr="002029AF">
        <w:t>rogram</w:t>
      </w:r>
      <w:r>
        <w:t>,</w:t>
      </w:r>
      <w:r w:rsidRPr="002029AF">
        <w:t xml:space="preserve"> which support</w:t>
      </w:r>
      <w:r>
        <w:t>s</w:t>
      </w:r>
      <w:r w:rsidRPr="002029AF">
        <w:t xml:space="preserve"> over 5,000 Victorians every year to reach their health and wellbeing goals and reduce their risk of chronic disease.</w:t>
      </w:r>
    </w:p>
    <w:p w14:paraId="1A0167B7" w14:textId="77777777" w:rsidR="00496244" w:rsidRPr="002029AF" w:rsidRDefault="00496244" w:rsidP="00603E4B">
      <w:pPr>
        <w:pStyle w:val="Heading6"/>
      </w:pPr>
      <w:bookmarkStart w:id="75" w:name="_Toc85120983"/>
      <w:r w:rsidRPr="002029AF">
        <w:t>Supporting health and wellbeing online</w:t>
      </w:r>
      <w:bookmarkEnd w:id="75"/>
    </w:p>
    <w:p w14:paraId="42F49945" w14:textId="77777777" w:rsidR="00496244" w:rsidRDefault="00496244" w:rsidP="00603E4B">
      <w:pPr>
        <w:pStyle w:val="ARbody"/>
      </w:pPr>
      <w:r w:rsidRPr="002029AF">
        <w:t xml:space="preserve">In response to the </w:t>
      </w:r>
      <w:r>
        <w:t>COVID-19</w:t>
      </w:r>
      <w:r w:rsidRPr="002029AF">
        <w:t xml:space="preserve"> pandemic, the department has partnered with the YMCA to introduce the Virtual Y. This initiative offers free online health, wellbeing and mentoring support for young people, including access to physical activity videos, healthy eating recipes, family activities and a Youth Hub.</w:t>
      </w:r>
    </w:p>
    <w:p w14:paraId="3CA8B1FA" w14:textId="5DEBFB44" w:rsidR="00496244" w:rsidRPr="002029AF" w:rsidRDefault="00496244" w:rsidP="00603E4B">
      <w:pPr>
        <w:pStyle w:val="ARbody"/>
      </w:pPr>
      <w:r>
        <w:t>The Life! Program also transitioned its face-to-face</w:t>
      </w:r>
      <w:r w:rsidR="00864121">
        <w:t xml:space="preserve"> </w:t>
      </w:r>
      <w:r>
        <w:t xml:space="preserve">group course to an online delivery format utilising web conferencing systems. This program adaptation allows participants to continue to participate in the program and </w:t>
      </w:r>
      <w:r w:rsidRPr="00521F3F">
        <w:t>benefit</w:t>
      </w:r>
      <w:r>
        <w:t xml:space="preserve"> from</w:t>
      </w:r>
      <w:r w:rsidRPr="00521F3F">
        <w:t xml:space="preserve"> a group-based setting </w:t>
      </w:r>
      <w:r>
        <w:t>and the</w:t>
      </w:r>
      <w:r w:rsidRPr="00521F3F">
        <w:t xml:space="preserve"> peer support and motivation</w:t>
      </w:r>
      <w:r>
        <w:t xml:space="preserve"> it provides</w:t>
      </w:r>
      <w:r w:rsidRPr="00521F3F">
        <w:t>.</w:t>
      </w:r>
    </w:p>
    <w:p w14:paraId="2EC0895B" w14:textId="77777777" w:rsidR="00496244" w:rsidRPr="002029AF" w:rsidRDefault="00496244" w:rsidP="00603E4B">
      <w:pPr>
        <w:pStyle w:val="Heading5"/>
        <w:rPr>
          <w:rFonts w:eastAsiaTheme="majorEastAsia"/>
        </w:rPr>
      </w:pPr>
      <w:bookmarkStart w:id="76" w:name="_Toc85120984"/>
      <w:r w:rsidRPr="002029AF">
        <w:rPr>
          <w:rFonts w:eastAsia="Calibri"/>
        </w:rPr>
        <w:t>Key result: Reduce infant mortality</w:t>
      </w:r>
      <w:bookmarkEnd w:id="76"/>
    </w:p>
    <w:p w14:paraId="2B62311E" w14:textId="77777777" w:rsidR="00496244" w:rsidRPr="002029AF" w:rsidRDefault="00496244" w:rsidP="007C5BE8">
      <w:pPr>
        <w:pStyle w:val="Heading6"/>
        <w:spacing w:before="0"/>
      </w:pPr>
      <w:bookmarkStart w:id="77" w:name="_Toc85120985"/>
      <w:r w:rsidRPr="002029AF">
        <w:t>Safer Baby Collaborative</w:t>
      </w:r>
      <w:bookmarkEnd w:id="77"/>
    </w:p>
    <w:p w14:paraId="71030331" w14:textId="77777777" w:rsidR="00496244" w:rsidRDefault="00496244" w:rsidP="00317057">
      <w:pPr>
        <w:pStyle w:val="ARbody"/>
      </w:pPr>
      <w:r>
        <w:t>More than 20 lives have been saved since collaborative work began in June 2019, through a major partnership to reduce preventable stillbirths at participating maternity hospitals.</w:t>
      </w:r>
    </w:p>
    <w:p w14:paraId="1B9E70F4" w14:textId="17834FC2" w:rsidR="00496244" w:rsidRDefault="00496244" w:rsidP="00317057">
      <w:pPr>
        <w:pStyle w:val="ARbody"/>
      </w:pPr>
      <w:r>
        <w:t>In the past three years, Safer Care Victoria has run multiple projects to target specific risk factors for stillbirth, resulting in the first real change to the state</w:t>
      </w:r>
      <w:r w:rsidR="007D145B">
        <w:t>’</w:t>
      </w:r>
      <w:r>
        <w:t>s stillbirth rates in almost two decades. Taking a broader approach, the Safer Baby Collaborative worked with participating services across five target areas.</w:t>
      </w:r>
    </w:p>
    <w:p w14:paraId="286007C0" w14:textId="0A826360" w:rsidR="00496244" w:rsidRDefault="00496244" w:rsidP="00317057">
      <w:pPr>
        <w:pStyle w:val="ARbody"/>
      </w:pPr>
      <w:r>
        <w:t xml:space="preserve">While it was initially put on hold during the </w:t>
      </w:r>
      <w:r w:rsidR="007C5BE8">
        <w:br/>
      </w:r>
      <w:r>
        <w:t>COVID</w:t>
      </w:r>
      <w:r w:rsidR="007C5BE8">
        <w:t>-</w:t>
      </w:r>
      <w:r>
        <w:t>19 pandemic, the collaborative returned for a second phase in November 2020 and wrapped up in June 2021. Results showed a 21 per cent drop in stillbirths in participating services and an increase in the days between stillbirths, from an average of 3.5 days to 8.1 days, including periods of 47 days and 32 days without a stillbirth occurring at any of the reporting sites.</w:t>
      </w:r>
    </w:p>
    <w:p w14:paraId="071612B1" w14:textId="77777777" w:rsidR="00496244" w:rsidRDefault="00496244" w:rsidP="00317057">
      <w:pPr>
        <w:pStyle w:val="ARbody"/>
      </w:pPr>
      <w:r>
        <w:t>This reduction was driven by:</w:t>
      </w:r>
    </w:p>
    <w:p w14:paraId="74D7BDC8" w14:textId="07805DDD" w:rsidR="00496244" w:rsidRDefault="00496244" w:rsidP="00317057">
      <w:pPr>
        <w:pStyle w:val="ARbullet1"/>
      </w:pPr>
      <w:r>
        <w:t>an increase in the number of women who quit smoking during pregnancy. When work began, an average of eleven per cent of women in participating services quit smoking between conception and birth. By the end of the collaborative this had increased to 33 per cent, through increased use of Quit</w:t>
      </w:r>
      <w:r w:rsidR="007D145B">
        <w:t>’</w:t>
      </w:r>
      <w:r>
        <w:t>s Ask, Advise, Help intervention and referral to smoking cessation programs.</w:t>
      </w:r>
    </w:p>
    <w:p w14:paraId="13988550" w14:textId="092F54ED" w:rsidR="00496244" w:rsidRDefault="00496244" w:rsidP="00317057">
      <w:pPr>
        <w:pStyle w:val="ARbullet1"/>
      </w:pPr>
      <w:r>
        <w:t>improvement in consistent approaches to screening for poorly growing babies. During the</w:t>
      </w:r>
      <w:r w:rsidR="007C5BE8">
        <w:t> </w:t>
      </w:r>
      <w:r>
        <w:t>collaborative, the average rate of pregnant women assessed for a risk of foetal growth restriction increased from 13 per cent to 42</w:t>
      </w:r>
      <w:r w:rsidR="007C5BE8">
        <w:t> </w:t>
      </w:r>
      <w:r>
        <w:t>per</w:t>
      </w:r>
      <w:r w:rsidR="007C5BE8">
        <w:t> </w:t>
      </w:r>
      <w:r>
        <w:t>cent.</w:t>
      </w:r>
    </w:p>
    <w:p w14:paraId="5D3F1804" w14:textId="77777777" w:rsidR="00496244" w:rsidRDefault="00496244" w:rsidP="00317057">
      <w:pPr>
        <w:pStyle w:val="ARbullet1"/>
      </w:pPr>
      <w:r>
        <w:t>more expectant mothers being informed about how to recognise and respond to changed baby movements. By the completion of collaborative work, the percentage of pregnant women receiving advice and education on foetal movements from their maternity care provider increased from 18 to 63 per cent.</w:t>
      </w:r>
    </w:p>
    <w:p w14:paraId="4DB4D7D6" w14:textId="76822DA2" w:rsidR="00864121" w:rsidRDefault="00496244" w:rsidP="00317057">
      <w:pPr>
        <w:pStyle w:val="ARbullet1"/>
      </w:pPr>
      <w:r>
        <w:t>better education around safer sleeping positions for women in their third trimester of pregnancy. When work began, an average of 17 per cent of pregnant women received education on safe sleeping positions, increasing to 48 per cent by</w:t>
      </w:r>
      <w:r w:rsidR="007C5BE8">
        <w:t> </w:t>
      </w:r>
      <w:r>
        <w:t>the completion of the collaborative.</w:t>
      </w:r>
    </w:p>
    <w:p w14:paraId="22E9BB6D" w14:textId="55D4545A" w:rsidR="00496244" w:rsidRDefault="00496244" w:rsidP="00317057">
      <w:pPr>
        <w:pStyle w:val="ARbullet1"/>
      </w:pPr>
      <w:r>
        <w:lastRenderedPageBreak/>
        <w:t>a focus on partnering with pregnant women to support shared decision-making around timing of birth, with the number of women reporting they were as involved as they wanted to be in decision-making increasing from 19 to 29 per cent throughout collaborative work.</w:t>
      </w:r>
    </w:p>
    <w:p w14:paraId="7BC8101F" w14:textId="7E6324B0" w:rsidR="00496244" w:rsidRPr="00C41229" w:rsidRDefault="00496244" w:rsidP="007C5BE8">
      <w:pPr>
        <w:pStyle w:val="ARbodyafterbullets"/>
      </w:pPr>
      <w:r>
        <w:t>The full results from this collaborative will be shared</w:t>
      </w:r>
      <w:r w:rsidR="00D97BFD">
        <w:t> </w:t>
      </w:r>
      <w:r>
        <w:t>later in 2021.</w:t>
      </w:r>
    </w:p>
    <w:p w14:paraId="451F7910" w14:textId="155D3370" w:rsidR="00496244" w:rsidRDefault="00496244" w:rsidP="00317057">
      <w:pPr>
        <w:pStyle w:val="Heading6"/>
      </w:pPr>
      <w:bookmarkStart w:id="78" w:name="_Toc85120986"/>
      <w:r w:rsidRPr="00402A40">
        <w:t xml:space="preserve">Early </w:t>
      </w:r>
      <w:r w:rsidR="00AE2CE4">
        <w:rPr>
          <w:lang w:val="en-US"/>
        </w:rPr>
        <w:t>pa</w:t>
      </w:r>
      <w:r w:rsidRPr="00402A40">
        <w:t xml:space="preserve">renting </w:t>
      </w:r>
      <w:r w:rsidR="00AE2CE4">
        <w:rPr>
          <w:lang w:val="en-US"/>
        </w:rPr>
        <w:t>ce</w:t>
      </w:r>
      <w:r w:rsidRPr="00402A40">
        <w:t>ntres</w:t>
      </w:r>
      <w:bookmarkEnd w:id="78"/>
    </w:p>
    <w:p w14:paraId="637421C5" w14:textId="1BCBC6A7" w:rsidR="00496244" w:rsidRPr="007E1732" w:rsidRDefault="00496244" w:rsidP="00317057">
      <w:pPr>
        <w:pStyle w:val="ARbody"/>
      </w:pPr>
      <w:r w:rsidRPr="007E1732">
        <w:t>Work on the $123 million early parenting centres</w:t>
      </w:r>
      <w:r>
        <w:t xml:space="preserve"> (EPCs)</w:t>
      </w:r>
      <w:r w:rsidRPr="007E1732">
        <w:t xml:space="preserve"> expansion and upgrade project continues to</w:t>
      </w:r>
      <w:r w:rsidR="00D97BFD">
        <w:t> </w:t>
      </w:r>
      <w:r w:rsidRPr="007E1732">
        <w:t>progress. Once complete, the project will more than triple the number of EPCs in Victoria.</w:t>
      </w:r>
    </w:p>
    <w:p w14:paraId="79405CED" w14:textId="25C566FB" w:rsidR="00496244" w:rsidRPr="007E1732" w:rsidRDefault="00496244" w:rsidP="00317057">
      <w:pPr>
        <w:pStyle w:val="ARbody"/>
      </w:pPr>
      <w:r w:rsidRPr="007E1732">
        <w:t>Delivered by the Victorian Health Building Authority, the project will upgrade and expand facilities at existing centres in Footscray and Noble Park</w:t>
      </w:r>
      <w:r>
        <w:t>, and</w:t>
      </w:r>
      <w:r w:rsidR="00D97BFD">
        <w:t> </w:t>
      </w:r>
      <w:r w:rsidRPr="007E1732">
        <w:t>build four new centres in the growing areas of</w:t>
      </w:r>
      <w:r w:rsidR="00D97BFD">
        <w:t> </w:t>
      </w:r>
      <w:r w:rsidRPr="007E1732">
        <w:t xml:space="preserve">Frankston, Casey, Wyndham and Whittlesea. Three new centres will </w:t>
      </w:r>
      <w:r>
        <w:t xml:space="preserve">also </w:t>
      </w:r>
      <w:r w:rsidRPr="007E1732">
        <w:t>be built in the regional areas of Ballarat, Bendigo and Geelong.</w:t>
      </w:r>
      <w:r>
        <w:t xml:space="preserve"> Once completed, the expanded, upgraded services</w:t>
      </w:r>
      <w:r w:rsidRPr="007E1732">
        <w:t xml:space="preserve"> will provide support to over 5,000 extra families each year. This means that more families with babies and young children can get the early parenting support they need – sooner and closer to home.</w:t>
      </w:r>
    </w:p>
    <w:p w14:paraId="3539F28C" w14:textId="77777777" w:rsidR="00496244" w:rsidRPr="002029AF" w:rsidRDefault="00496244" w:rsidP="00603E4B">
      <w:pPr>
        <w:pStyle w:val="Heading5"/>
        <w:rPr>
          <w:rFonts w:eastAsia="Calibri"/>
        </w:rPr>
      </w:pPr>
      <w:bookmarkStart w:id="79" w:name="_Toc85120987"/>
      <w:r w:rsidRPr="002029AF">
        <w:rPr>
          <w:rFonts w:eastAsia="Calibri"/>
        </w:rPr>
        <w:t>Key result: Improve the oral health of</w:t>
      </w:r>
      <w:r>
        <w:rPr>
          <w:rFonts w:eastAsia="Calibri"/>
        </w:rPr>
        <w:t> </w:t>
      </w:r>
      <w:r w:rsidRPr="002029AF">
        <w:rPr>
          <w:rFonts w:eastAsia="Calibri"/>
        </w:rPr>
        <w:t>school-aged children</w:t>
      </w:r>
      <w:bookmarkEnd w:id="79"/>
    </w:p>
    <w:p w14:paraId="0B1AC7D8" w14:textId="77777777" w:rsidR="00496244" w:rsidRPr="002029AF" w:rsidRDefault="00496244" w:rsidP="0027759D">
      <w:pPr>
        <w:pStyle w:val="Heading6"/>
        <w:spacing w:before="140"/>
        <w:rPr>
          <w:szCs w:val="20"/>
        </w:rPr>
      </w:pPr>
      <w:bookmarkStart w:id="80" w:name="_Toc85120988"/>
      <w:r w:rsidRPr="002029AF">
        <w:rPr>
          <w:szCs w:val="20"/>
        </w:rPr>
        <w:t>School dental program</w:t>
      </w:r>
      <w:bookmarkEnd w:id="80"/>
    </w:p>
    <w:p w14:paraId="1D715AED" w14:textId="77777777" w:rsidR="00496244" w:rsidRPr="002029AF" w:rsidRDefault="00496244" w:rsidP="001F0498">
      <w:pPr>
        <w:pStyle w:val="ARbody"/>
        <w:rPr>
          <w:iCs/>
        </w:rPr>
      </w:pPr>
      <w:r>
        <w:rPr>
          <w:iCs/>
        </w:rPr>
        <w:t xml:space="preserve">The department has </w:t>
      </w:r>
      <w:r w:rsidRPr="002029AF">
        <w:rPr>
          <w:iCs/>
        </w:rPr>
        <w:t xml:space="preserve">been working with Dental Health Services Victoria </w:t>
      </w:r>
      <w:r>
        <w:rPr>
          <w:iCs/>
        </w:rPr>
        <w:t>(DHSV)</w:t>
      </w:r>
      <w:r w:rsidRPr="002029AF">
        <w:rPr>
          <w:iCs/>
        </w:rPr>
        <w:t xml:space="preserve"> and the Department of Education and Training to implement free dental </w:t>
      </w:r>
      <w:r>
        <w:rPr>
          <w:iCs/>
        </w:rPr>
        <w:t xml:space="preserve">examinations </w:t>
      </w:r>
      <w:r w:rsidRPr="002029AF">
        <w:rPr>
          <w:iCs/>
        </w:rPr>
        <w:t>and treatment for government school students.</w:t>
      </w:r>
    </w:p>
    <w:p w14:paraId="20B9E514" w14:textId="6F239E4F" w:rsidR="00496244" w:rsidRPr="002029AF" w:rsidRDefault="00496244" w:rsidP="001F0498">
      <w:pPr>
        <w:pStyle w:val="ARbody"/>
      </w:pPr>
      <w:r w:rsidRPr="002029AF">
        <w:t>The School Dental Program</w:t>
      </w:r>
      <w:r>
        <w:t xml:space="preserve">, </w:t>
      </w:r>
      <w:r w:rsidR="007D145B">
        <w:t>‘</w:t>
      </w:r>
      <w:r>
        <w:t>Smile Squad</w:t>
      </w:r>
      <w:r w:rsidR="007D145B">
        <w:t>’</w:t>
      </w:r>
      <w:r>
        <w:t>,</w:t>
      </w:r>
      <w:r w:rsidRPr="002029AF">
        <w:t xml:space="preserve"> is a Victorian Government election commitment that provides free annual oral health check-ups and follow-up care for all children attending government primary and secondary schools. The $321.9 million initiative includ</w:t>
      </w:r>
      <w:r>
        <w:t>es</w:t>
      </w:r>
      <w:r w:rsidRPr="002029AF">
        <w:t xml:space="preserve"> teeth cleaning, fluoride applications, fillings and any other non-cosmetic treatments to make sure our kids have healthy teeth.</w:t>
      </w:r>
    </w:p>
    <w:p w14:paraId="169605D6" w14:textId="77777777" w:rsidR="00496244" w:rsidRPr="00010821" w:rsidRDefault="00496244" w:rsidP="00317057">
      <w:pPr>
        <w:pStyle w:val="ARbody"/>
      </w:pPr>
      <w:r w:rsidRPr="00010821">
        <w:t xml:space="preserve">Smile Squad dental vans visited 24 schools in terms three and four of 2019 as part of a trial. In 2021, an additional 422 schools have been invited to participate, and now over 50 per cent of </w:t>
      </w:r>
      <w:r>
        <w:t xml:space="preserve">all </w:t>
      </w:r>
      <w:r w:rsidRPr="00010821">
        <w:t>Victorian government schools have been invited.</w:t>
      </w:r>
    </w:p>
    <w:p w14:paraId="146AA6DB" w14:textId="737E40B8" w:rsidR="00496244" w:rsidRPr="00010821" w:rsidRDefault="00496244" w:rsidP="00317057">
      <w:pPr>
        <w:pStyle w:val="ARbody"/>
      </w:pPr>
      <w:r w:rsidRPr="00010821">
        <w:t>A schedule for rollout to new areas and schools in</w:t>
      </w:r>
      <w:r w:rsidR="00D97BFD">
        <w:t> </w:t>
      </w:r>
      <w:r w:rsidRPr="00010821">
        <w:t>2022 is now being prepared.</w:t>
      </w:r>
    </w:p>
    <w:p w14:paraId="5A8FD74E" w14:textId="77777777" w:rsidR="00496244" w:rsidRPr="002029AF" w:rsidRDefault="00496244" w:rsidP="00317057">
      <w:pPr>
        <w:pStyle w:val="ARbody"/>
      </w:pPr>
      <w:r w:rsidRPr="00010821">
        <w:t>Once they are fully operational, the Smile Squad vans will offer free check-ups and dental treatment for about 630,000 school kids every year. Around 500 dentists, oral health therapists and dental assistants will be employed to staff the vans</w:t>
      </w:r>
      <w:r>
        <w:t>.</w:t>
      </w:r>
    </w:p>
    <w:p w14:paraId="5B43AA92" w14:textId="77777777" w:rsidR="00496244" w:rsidRPr="002029AF" w:rsidRDefault="00496244" w:rsidP="00603E4B">
      <w:pPr>
        <w:pStyle w:val="Heading4"/>
      </w:pPr>
      <w:bookmarkStart w:id="81" w:name="_Toc85120989"/>
      <w:r w:rsidRPr="002029AF">
        <w:t>Outcome 1.2: Victorians have good mental health</w:t>
      </w:r>
      <w:bookmarkEnd w:id="81"/>
    </w:p>
    <w:p w14:paraId="4DF377B5" w14:textId="13290095" w:rsidR="00496244" w:rsidRPr="002029AF" w:rsidRDefault="00496244" w:rsidP="00603E4B">
      <w:pPr>
        <w:pStyle w:val="ARbody"/>
      </w:pPr>
      <w:r w:rsidRPr="002029AF">
        <w:t>Almost half the Victorian population will directly experience a mental illness or disorder in their lifetime, and those who don</w:t>
      </w:r>
      <w:r w:rsidR="007D145B">
        <w:t>’</w:t>
      </w:r>
      <w:r w:rsidRPr="002029AF">
        <w:t>t will have friends, family and work colleagues who have been affected.</w:t>
      </w:r>
    </w:p>
    <w:p w14:paraId="10443E56" w14:textId="77777777" w:rsidR="00496244" w:rsidRPr="002029AF" w:rsidRDefault="00496244" w:rsidP="00603E4B">
      <w:pPr>
        <w:pStyle w:val="ARbody"/>
      </w:pPr>
      <w:r w:rsidRPr="002029AF">
        <w:t>The department is leading action to reduce suicide rates, provide better access to services, promote positive mental health and wellbeing, and prevent mental illness.</w:t>
      </w:r>
    </w:p>
    <w:p w14:paraId="25182C15" w14:textId="77777777" w:rsidR="00496244" w:rsidRPr="002029AF" w:rsidRDefault="00496244" w:rsidP="00603E4B">
      <w:pPr>
        <w:pStyle w:val="Heading5"/>
        <w:rPr>
          <w:sz w:val="24"/>
        </w:rPr>
      </w:pPr>
      <w:bookmarkStart w:id="82" w:name="_Toc85120990"/>
      <w:r w:rsidRPr="002029AF">
        <w:rPr>
          <w:sz w:val="24"/>
        </w:rPr>
        <w:t>Progress against outcomes</w:t>
      </w:r>
      <w:bookmarkEnd w:id="82"/>
    </w:p>
    <w:p w14:paraId="2B5FD601" w14:textId="117BE3F0" w:rsidR="00496244" w:rsidRPr="002029AF" w:rsidRDefault="00496244" w:rsidP="001F0498">
      <w:pPr>
        <w:pStyle w:val="ARbody"/>
      </w:pPr>
      <w:r w:rsidRPr="002029AF">
        <w:t>A key priority for the department is to address Victoria</w:t>
      </w:r>
      <w:r w:rsidR="007D145B">
        <w:t>’</w:t>
      </w:r>
      <w:r w:rsidRPr="002029AF">
        <w:t>s mental health system by supporting and responding to the recommendations of the Royal Commission into Victoria</w:t>
      </w:r>
      <w:r w:rsidR="007D145B">
        <w:t>’</w:t>
      </w:r>
      <w:r w:rsidRPr="002029AF">
        <w:t>s Mental Health System.</w:t>
      </w:r>
    </w:p>
    <w:p w14:paraId="16A1BCEE" w14:textId="77777777" w:rsidR="00496244" w:rsidRPr="002029AF" w:rsidRDefault="00496244" w:rsidP="001F0498">
      <w:pPr>
        <w:pStyle w:val="ARbody"/>
      </w:pPr>
      <w:r>
        <w:t>The department</w:t>
      </w:r>
      <w:r w:rsidRPr="002029AF">
        <w:t xml:space="preserve"> ha</w:t>
      </w:r>
      <w:r>
        <w:t>s</w:t>
      </w:r>
      <w:r w:rsidRPr="002029AF">
        <w:t xml:space="preserve"> been leading and coordinating whole</w:t>
      </w:r>
      <w:r>
        <w:t xml:space="preserve"> </w:t>
      </w:r>
      <w:r w:rsidRPr="002029AF">
        <w:t>of</w:t>
      </w:r>
      <w:r>
        <w:t xml:space="preserve"> </w:t>
      </w:r>
      <w:r w:rsidRPr="002029AF">
        <w:t>Victorian Government engagement with the Royal Commission</w:t>
      </w:r>
      <w:r>
        <w:t xml:space="preserve"> through</w:t>
      </w:r>
      <w:r w:rsidRPr="002029AF">
        <w:t xml:space="preserve"> </w:t>
      </w:r>
      <w:r>
        <w:t>t</w:t>
      </w:r>
      <w:r w:rsidRPr="002029AF">
        <w:t>he Royal Commission Engagement Branch</w:t>
      </w:r>
      <w:r>
        <w:t>, which also</w:t>
      </w:r>
      <w:r w:rsidRPr="002029AF">
        <w:t xml:space="preserve"> act</w:t>
      </w:r>
      <w:r>
        <w:t>s</w:t>
      </w:r>
      <w:r w:rsidRPr="002029AF">
        <w:t xml:space="preserve"> as the key interface between the Victorian Government and the Royal Commission.</w:t>
      </w:r>
    </w:p>
    <w:p w14:paraId="55D9C4C3" w14:textId="43CF5E37" w:rsidR="00496244" w:rsidRPr="002029AF" w:rsidRDefault="00496244" w:rsidP="001F0498">
      <w:pPr>
        <w:pStyle w:val="ARbody"/>
      </w:pPr>
      <w:r w:rsidRPr="002029AF">
        <w:t>Some of the department</w:t>
      </w:r>
      <w:r w:rsidR="007D145B">
        <w:t>’</w:t>
      </w:r>
      <w:r w:rsidRPr="002029AF">
        <w:t>s key achievements in</w:t>
      </w:r>
      <w:r w:rsidR="00D97BFD">
        <w:t> </w:t>
      </w:r>
      <w:r>
        <w:t>2020–21</w:t>
      </w:r>
      <w:r w:rsidRPr="002029AF">
        <w:t xml:space="preserve"> are outlined below.</w:t>
      </w:r>
    </w:p>
    <w:p w14:paraId="1E5E3F90" w14:textId="77777777" w:rsidR="00496244" w:rsidRPr="007D3332" w:rsidRDefault="00496244" w:rsidP="00317057">
      <w:pPr>
        <w:pStyle w:val="Heading6"/>
      </w:pPr>
      <w:bookmarkStart w:id="83" w:name="_Toc85120991"/>
      <w:r w:rsidRPr="007D3332">
        <w:t>Mental health reform</w:t>
      </w:r>
      <w:bookmarkEnd w:id="83"/>
    </w:p>
    <w:p w14:paraId="20B93F2C" w14:textId="089973F1" w:rsidR="00496244" w:rsidRPr="007E1732" w:rsidRDefault="00496244" w:rsidP="00317057">
      <w:pPr>
        <w:pStyle w:val="ARbody"/>
      </w:pPr>
      <w:r w:rsidRPr="007E1732">
        <w:t xml:space="preserve">A key priority </w:t>
      </w:r>
      <w:r>
        <w:t>in 202</w:t>
      </w:r>
      <w:r w:rsidR="00FA7261">
        <w:t>0–</w:t>
      </w:r>
      <w:r>
        <w:t xml:space="preserve">21 </w:t>
      </w:r>
      <w:r w:rsidRPr="007E1732">
        <w:t>was the implementation of</w:t>
      </w:r>
      <w:r w:rsidR="00D97BFD">
        <w:t> </w:t>
      </w:r>
      <w:r w:rsidRPr="007E1732">
        <w:t xml:space="preserve">the </w:t>
      </w:r>
      <w:r>
        <w:t>i</w:t>
      </w:r>
      <w:r w:rsidRPr="003A4EC9">
        <w:t xml:space="preserve">nterim </w:t>
      </w:r>
      <w:r>
        <w:t>r</w:t>
      </w:r>
      <w:r w:rsidRPr="003A4EC9">
        <w:t xml:space="preserve">eport </w:t>
      </w:r>
      <w:r>
        <w:t>of</w:t>
      </w:r>
      <w:r w:rsidRPr="003A4EC9">
        <w:t xml:space="preserve"> the Royal Commission into Victoria</w:t>
      </w:r>
      <w:r w:rsidR="007D145B">
        <w:t>’</w:t>
      </w:r>
      <w:r w:rsidRPr="003A4EC9">
        <w:t>s Mental Health System, published in November 2019, before the release of the final report in February 2021.</w:t>
      </w:r>
    </w:p>
    <w:p w14:paraId="7DB935E0" w14:textId="0A248B63" w:rsidR="00496244" w:rsidRPr="007E1732" w:rsidRDefault="00496244" w:rsidP="00317057">
      <w:pPr>
        <w:pStyle w:val="ARbody"/>
      </w:pPr>
      <w:r w:rsidRPr="007E1732">
        <w:t xml:space="preserve">The </w:t>
      </w:r>
      <w:r>
        <w:t>i</w:t>
      </w:r>
      <w:r w:rsidRPr="007E1732">
        <w:t xml:space="preserve">nterim </w:t>
      </w:r>
      <w:r>
        <w:t>r</w:t>
      </w:r>
      <w:r w:rsidRPr="007E1732">
        <w:t>eport made nine recommendations to</w:t>
      </w:r>
      <w:r w:rsidR="00D97BFD">
        <w:t> </w:t>
      </w:r>
      <w:r w:rsidRPr="007E1732">
        <w:t>address urgent issues and lay the foundation for</w:t>
      </w:r>
      <w:r w:rsidR="00D97BFD">
        <w:t> </w:t>
      </w:r>
      <w:r w:rsidRPr="007E1732">
        <w:t>future mental health system reform.</w:t>
      </w:r>
      <w:r>
        <w:t xml:space="preserve"> </w:t>
      </w:r>
      <w:r w:rsidRPr="007E1732">
        <w:t xml:space="preserve">The </w:t>
      </w:r>
      <w:r>
        <w:t>d</w:t>
      </w:r>
      <w:r w:rsidRPr="007E1732">
        <w:t xml:space="preserve">epartment </w:t>
      </w:r>
      <w:r>
        <w:t xml:space="preserve">is </w:t>
      </w:r>
      <w:r w:rsidRPr="007E1732">
        <w:t>responsible for eight of the nine recommendations.</w:t>
      </w:r>
    </w:p>
    <w:p w14:paraId="4554C9BC" w14:textId="307FABD4" w:rsidR="00496244" w:rsidRDefault="00496244" w:rsidP="00317057">
      <w:pPr>
        <w:pStyle w:val="ARbody"/>
      </w:pPr>
      <w:r w:rsidRPr="007E1732">
        <w:t>Mental Health Reform Victoria (MHRV) was established in February 2020 as a time</w:t>
      </w:r>
      <w:r>
        <w:t>-</w:t>
      </w:r>
      <w:r w:rsidRPr="007E1732">
        <w:t>limited administrati</w:t>
      </w:r>
      <w:r>
        <w:t>ve</w:t>
      </w:r>
      <w:r w:rsidRPr="007E1732">
        <w:t xml:space="preserve"> office to lead implementation of the</w:t>
      </w:r>
      <w:r w:rsidR="00D97BFD">
        <w:t> </w:t>
      </w:r>
      <w:r w:rsidRPr="007E1732">
        <w:t>interim report recommendations of the Royal Commission.</w:t>
      </w:r>
    </w:p>
    <w:p w14:paraId="60CC18C5" w14:textId="77777777" w:rsidR="00496244" w:rsidRPr="007E1732" w:rsidRDefault="00496244" w:rsidP="00317057">
      <w:pPr>
        <w:pStyle w:val="ARbody"/>
      </w:pPr>
      <w:r w:rsidRPr="007E1732">
        <w:lastRenderedPageBreak/>
        <w:t xml:space="preserve">MHRV has worked in partnership with people with lived experience as consumers, family members, carers and supporters, and service providers and other experts in the design and delivery of </w:t>
      </w:r>
      <w:r>
        <w:t xml:space="preserve">the responses to </w:t>
      </w:r>
      <w:r w:rsidRPr="007E1732">
        <w:t>the recommendations.</w:t>
      </w:r>
    </w:p>
    <w:p w14:paraId="10DF37DA" w14:textId="77777777" w:rsidR="00496244" w:rsidRDefault="00496244" w:rsidP="00317057">
      <w:pPr>
        <w:pStyle w:val="ARbody"/>
      </w:pPr>
      <w:r>
        <w:t>S</w:t>
      </w:r>
      <w:r w:rsidRPr="007E1732">
        <w:t xml:space="preserve">ignificant </w:t>
      </w:r>
      <w:r w:rsidRPr="0039418C">
        <w:t>progress</w:t>
      </w:r>
      <w:r w:rsidRPr="007E1732">
        <w:t xml:space="preserve"> has been made</w:t>
      </w:r>
      <w:r>
        <w:t xml:space="preserve"> in implementing the reforms,</w:t>
      </w:r>
      <w:r w:rsidRPr="007E1732">
        <w:t xml:space="preserve"> </w:t>
      </w:r>
      <w:r>
        <w:t>i</w:t>
      </w:r>
      <w:r w:rsidRPr="007E1732">
        <w:t>ncluding</w:t>
      </w:r>
      <w:r>
        <w:t>:</w:t>
      </w:r>
    </w:p>
    <w:p w14:paraId="5E6E6A74" w14:textId="6759FFD1" w:rsidR="00496244" w:rsidRDefault="00496244" w:rsidP="00D97BFD">
      <w:pPr>
        <w:pStyle w:val="ARbullet1"/>
      </w:pPr>
      <w:r>
        <w:t>advancing the delivery of 179 acute mental</w:t>
      </w:r>
      <w:r w:rsidR="00D97BFD">
        <w:t> </w:t>
      </w:r>
      <w:r>
        <w:t>health beds</w:t>
      </w:r>
    </w:p>
    <w:p w14:paraId="4CF6D030" w14:textId="77777777" w:rsidR="00496244" w:rsidRDefault="00496244" w:rsidP="00D97BFD">
      <w:pPr>
        <w:pStyle w:val="ARbullet1"/>
      </w:pPr>
      <w:r>
        <w:t>statewide rollout of the implementation of the Hospital Outreach Post Suicidal Engagement (HOPE) program</w:t>
      </w:r>
    </w:p>
    <w:p w14:paraId="339D986E" w14:textId="77777777" w:rsidR="00496244" w:rsidRDefault="00496244" w:rsidP="00D97BFD">
      <w:pPr>
        <w:pStyle w:val="ARbullet1"/>
      </w:pPr>
      <w:r>
        <w:t>new Hospital in the Home programs</w:t>
      </w:r>
    </w:p>
    <w:p w14:paraId="3FED8961" w14:textId="77777777" w:rsidR="00496244" w:rsidRPr="007E1732" w:rsidRDefault="00496244" w:rsidP="00D97BFD">
      <w:pPr>
        <w:pStyle w:val="ARbullet1"/>
      </w:pPr>
      <w:r>
        <w:t xml:space="preserve">partnership with the </w:t>
      </w:r>
      <w:r w:rsidRPr="004B2054">
        <w:t>Victorian Aboriginal Community Controlled Health Organisation (VACCHO)</w:t>
      </w:r>
      <w:r>
        <w:t xml:space="preserve"> to guide the development of new Aboriginal social and emotional wellbeing services.</w:t>
      </w:r>
    </w:p>
    <w:p w14:paraId="16BC2AC7" w14:textId="14629D00" w:rsidR="00496244" w:rsidRDefault="00496244" w:rsidP="00D97BFD">
      <w:pPr>
        <w:pStyle w:val="ARbodyafterbullets"/>
      </w:pPr>
      <w:r w:rsidRPr="007D3332">
        <w:t>Another key focus of the department</w:t>
      </w:r>
      <w:r w:rsidR="007D145B">
        <w:t>’</w:t>
      </w:r>
      <w:r w:rsidRPr="007D3332">
        <w:t>s work on reform was the implementation of key workforce recommendations, including the introduction of junior medical officer rotations in psychiatry, and increasing the number of mental health graduate and postgraduate nurses. This occurred alongside a lived experience workforce leadership package</w:t>
      </w:r>
      <w:r>
        <w:t xml:space="preserve"> </w:t>
      </w:r>
      <w:r w:rsidRPr="007D3332">
        <w:t>and establishing a peer cadet program.</w:t>
      </w:r>
    </w:p>
    <w:p w14:paraId="4BC1D448" w14:textId="77777777" w:rsidR="00496244" w:rsidRDefault="00496244" w:rsidP="00317057">
      <w:pPr>
        <w:pStyle w:val="ARbody"/>
      </w:pPr>
      <w:r w:rsidRPr="007E1732">
        <w:t>Finally, the co</w:t>
      </w:r>
      <w:r>
        <w:t>-</w:t>
      </w:r>
      <w:r w:rsidRPr="007E1732">
        <w:t xml:space="preserve">design of a new residential service designed and delivered </w:t>
      </w:r>
      <w:r w:rsidRPr="00054A72">
        <w:t>by people with lived experience</w:t>
      </w:r>
      <w:r w:rsidRPr="007E1732">
        <w:t xml:space="preserve"> commenced</w:t>
      </w:r>
      <w:r>
        <w:t>, as did</w:t>
      </w:r>
      <w:r w:rsidRPr="007E1732">
        <w:t xml:space="preserve"> early planning for the establishment of the Victorian Collaborative Centre for Mental Health and Wellbeing</w:t>
      </w:r>
      <w:r>
        <w:t>.</w:t>
      </w:r>
    </w:p>
    <w:p w14:paraId="65F9ACA4" w14:textId="77777777" w:rsidR="00496244" w:rsidRDefault="00496244" w:rsidP="00317057">
      <w:pPr>
        <w:pStyle w:val="Heading6"/>
      </w:pPr>
      <w:bookmarkStart w:id="84" w:name="_Toc85120992"/>
      <w:r w:rsidRPr="00322BDE">
        <w:t>Mental health beds expansion program</w:t>
      </w:r>
      <w:bookmarkEnd w:id="84"/>
    </w:p>
    <w:p w14:paraId="3660EB4B" w14:textId="629D8EB0" w:rsidR="00496244" w:rsidRPr="007E1732" w:rsidRDefault="00496244" w:rsidP="00317057">
      <w:pPr>
        <w:pStyle w:val="ARbody"/>
      </w:pPr>
      <w:r w:rsidRPr="007E1732">
        <w:t>In November 2020, the Victorian Government announced a $492 million investment to deliver 144</w:t>
      </w:r>
      <w:r w:rsidR="00D97BFD">
        <w:t> </w:t>
      </w:r>
      <w:r w:rsidRPr="007E1732">
        <w:t>new acute public mental health beds.</w:t>
      </w:r>
    </w:p>
    <w:p w14:paraId="3F2F5C4F" w14:textId="43E0DA48" w:rsidR="00496244" w:rsidRDefault="00496244" w:rsidP="00317057">
      <w:pPr>
        <w:pStyle w:val="ARbody"/>
      </w:pPr>
      <w:r w:rsidRPr="003A4EC9">
        <w:t>As an u</w:t>
      </w:r>
      <w:r w:rsidRPr="00ED4D03">
        <w:t>rgen</w:t>
      </w:r>
      <w:r>
        <w:t>t</w:t>
      </w:r>
      <w:r w:rsidRPr="00ED4D03">
        <w:t xml:space="preserve"> respon</w:t>
      </w:r>
      <w:r w:rsidRPr="003A4EC9">
        <w:t>se</w:t>
      </w:r>
      <w:r w:rsidRPr="00ED4D03">
        <w:t xml:space="preserve"> to recommendations from the Royal Commission into Victoria</w:t>
      </w:r>
      <w:r w:rsidR="007D145B">
        <w:t>’</w:t>
      </w:r>
      <w:r w:rsidRPr="00ED4D03">
        <w:t>s Mental Health System, the</w:t>
      </w:r>
      <w:r w:rsidRPr="00A251F8">
        <w:t xml:space="preserve"> new</w:t>
      </w:r>
      <w:r w:rsidRPr="007E1732">
        <w:t xml:space="preserve"> beds, including 120 hospital-based beds and 24 home-based beds, will be delivered across four Victorian health services to address increased demand on </w:t>
      </w:r>
      <w:r>
        <w:t>the health</w:t>
      </w:r>
      <w:r w:rsidRPr="007E1732">
        <w:t xml:space="preserve"> system.</w:t>
      </w:r>
    </w:p>
    <w:p w14:paraId="16F52828" w14:textId="77777777" w:rsidR="00496244" w:rsidRPr="007E1732" w:rsidRDefault="00496244" w:rsidP="00317057">
      <w:pPr>
        <w:pStyle w:val="ARbody"/>
      </w:pPr>
      <w:r w:rsidRPr="007E1732">
        <w:t>The new hospital-based beds and services will be located at:</w:t>
      </w:r>
    </w:p>
    <w:p w14:paraId="561237C2" w14:textId="4572CF98" w:rsidR="00496244" w:rsidRPr="007E1732" w:rsidRDefault="00E71361" w:rsidP="00317057">
      <w:pPr>
        <w:pStyle w:val="ARbullet1"/>
      </w:pPr>
      <w:hyperlink r:id="rId28">
        <w:r w:rsidR="00496244">
          <w:t>Northern Hospital, Epping</w:t>
        </w:r>
      </w:hyperlink>
    </w:p>
    <w:p w14:paraId="13F1F448" w14:textId="6092C692" w:rsidR="00496244" w:rsidRPr="007E1732" w:rsidRDefault="00E71361" w:rsidP="00317057">
      <w:pPr>
        <w:pStyle w:val="ARbullet1"/>
      </w:pPr>
      <w:hyperlink r:id="rId29">
        <w:r w:rsidR="00496244">
          <w:t>Sunshine Hospital, St Albans</w:t>
        </w:r>
      </w:hyperlink>
    </w:p>
    <w:p w14:paraId="443529B9" w14:textId="79D8AC66" w:rsidR="00496244" w:rsidRPr="007E1732" w:rsidRDefault="00E71361" w:rsidP="00317057">
      <w:pPr>
        <w:pStyle w:val="ARbullet1"/>
      </w:pPr>
      <w:hyperlink r:id="rId30">
        <w:r w:rsidR="00496244">
          <w:t>The Royal Melbourne Hospital, Parkville</w:t>
        </w:r>
      </w:hyperlink>
    </w:p>
    <w:p w14:paraId="468E878E" w14:textId="085AAB56" w:rsidR="00496244" w:rsidRPr="007E1732" w:rsidRDefault="00E71361" w:rsidP="00317057">
      <w:pPr>
        <w:pStyle w:val="ARbullet1"/>
      </w:pPr>
      <w:hyperlink r:id="rId31">
        <w:r w:rsidR="00496244">
          <w:t>McKellar Centre, North Geelong</w:t>
        </w:r>
      </w:hyperlink>
      <w:r w:rsidR="00496244">
        <w:t>.</w:t>
      </w:r>
    </w:p>
    <w:p w14:paraId="64F33B42" w14:textId="4BBA2C66" w:rsidR="00496244" w:rsidRPr="007E1732" w:rsidRDefault="00496244" w:rsidP="00D97BFD">
      <w:pPr>
        <w:pStyle w:val="ARbodyafterbullets"/>
        <w:spacing w:after="100"/>
      </w:pPr>
      <w:r w:rsidRPr="007E1732">
        <w:t xml:space="preserve">People with a variety of views and perspectives were engaged to inform the facility and service designs for the expansion project. </w:t>
      </w:r>
      <w:r>
        <w:t>These</w:t>
      </w:r>
      <w:r w:rsidRPr="007E1732">
        <w:t xml:space="preserve"> include people with lived experience of mental illness, such</w:t>
      </w:r>
      <w:r w:rsidR="00D97BFD">
        <w:t> </w:t>
      </w:r>
      <w:r w:rsidRPr="007E1732">
        <w:t>as consumers, families and carers, as well as</w:t>
      </w:r>
      <w:r w:rsidR="00D97BFD">
        <w:t> </w:t>
      </w:r>
      <w:r w:rsidRPr="007E1732">
        <w:t>medical, nursing and allied health professionals and other staff.</w:t>
      </w:r>
    </w:p>
    <w:p w14:paraId="623549A9" w14:textId="77777777" w:rsidR="00496244" w:rsidRPr="007E1732" w:rsidRDefault="00496244" w:rsidP="00D97BFD">
      <w:pPr>
        <w:pStyle w:val="ARbody"/>
        <w:spacing w:after="100"/>
      </w:pPr>
      <w:r w:rsidRPr="007E1732">
        <w:t>Delivered by the Victorian Health Building Authority, the project will increase capacity, reduce pressure on emergency departments and provide additional support for people experiencing mental illness who require immediate treatment in a contemporary, safe and high-quality setting.</w:t>
      </w:r>
    </w:p>
    <w:p w14:paraId="3157CDCF" w14:textId="77777777" w:rsidR="00496244" w:rsidRPr="007E1732" w:rsidRDefault="00496244" w:rsidP="00D97BFD">
      <w:pPr>
        <w:pStyle w:val="ARbody"/>
        <w:spacing w:after="100"/>
      </w:pPr>
      <w:r w:rsidRPr="007E1732">
        <w:t>Once complete, the new hospital-based beds will provide more than 43,000 days of care, enabling 2,500 more Victorians to access vital mental health services every year.</w:t>
      </w:r>
    </w:p>
    <w:p w14:paraId="107F49E1" w14:textId="77777777" w:rsidR="00496244" w:rsidRDefault="00496244" w:rsidP="00317057">
      <w:pPr>
        <w:pStyle w:val="ARbody"/>
      </w:pPr>
      <w:r w:rsidRPr="007E1732">
        <w:t>The program will create and sustain 1,450 jobs during construction and all four facilities are expected to be progressively completed by 2023.</w:t>
      </w:r>
    </w:p>
    <w:p w14:paraId="7E4201BE" w14:textId="77777777" w:rsidR="00496244" w:rsidRPr="002029AF" w:rsidRDefault="00496244" w:rsidP="00D97BFD">
      <w:pPr>
        <w:pStyle w:val="Heading5"/>
        <w:spacing w:before="160" w:after="60"/>
        <w:rPr>
          <w:rFonts w:eastAsia="Calibri"/>
        </w:rPr>
      </w:pPr>
      <w:bookmarkStart w:id="85" w:name="_Toc85120993"/>
      <w:r w:rsidRPr="002029AF">
        <w:rPr>
          <w:rFonts w:eastAsia="Calibri"/>
        </w:rPr>
        <w:t>Key result: Reduce the suicide rate</w:t>
      </w:r>
      <w:bookmarkEnd w:id="85"/>
    </w:p>
    <w:p w14:paraId="4549E164" w14:textId="77777777" w:rsidR="00496244" w:rsidRPr="002029AF" w:rsidRDefault="00496244" w:rsidP="00D97BFD">
      <w:pPr>
        <w:pStyle w:val="ARbody"/>
        <w:spacing w:after="100"/>
        <w:rPr>
          <w:color w:val="000000"/>
        </w:rPr>
      </w:pPr>
      <w:r w:rsidRPr="002029AF">
        <w:rPr>
          <w:color w:val="000000"/>
        </w:rPr>
        <w:t xml:space="preserve">The department continues to deliver the </w:t>
      </w:r>
      <w:r w:rsidRPr="002029AF">
        <w:rPr>
          <w:i/>
          <w:iCs/>
          <w:color w:val="000000"/>
        </w:rPr>
        <w:t>Victorian suicide prevention framework 2016–2025</w:t>
      </w:r>
      <w:r w:rsidRPr="002029AF">
        <w:rPr>
          <w:color w:val="000000"/>
        </w:rPr>
        <w:t>, which commits to halving the suicide rate over the next ten years.</w:t>
      </w:r>
    </w:p>
    <w:p w14:paraId="3E588D79" w14:textId="77777777" w:rsidR="00496244" w:rsidRPr="002029AF" w:rsidRDefault="00496244" w:rsidP="00603E4B">
      <w:pPr>
        <w:pStyle w:val="ARbody"/>
        <w:rPr>
          <w:color w:val="000000"/>
        </w:rPr>
      </w:pPr>
      <w:r w:rsidRPr="002029AF">
        <w:rPr>
          <w:color w:val="000000"/>
        </w:rPr>
        <w:t>Under the framework, the Victorian Government is trialling two flagship suicide prevention initiatives.</w:t>
      </w:r>
    </w:p>
    <w:p w14:paraId="6638341F" w14:textId="77777777" w:rsidR="00496244" w:rsidRPr="000B06A7" w:rsidRDefault="00496244" w:rsidP="00D97BFD">
      <w:pPr>
        <w:pStyle w:val="Heading6"/>
        <w:spacing w:before="200" w:after="60"/>
      </w:pPr>
      <w:bookmarkStart w:id="86" w:name="_Toc85120994"/>
      <w:r w:rsidRPr="000B06A7">
        <w:t>Suicide prevention place-based trials</w:t>
      </w:r>
      <w:bookmarkEnd w:id="86"/>
    </w:p>
    <w:p w14:paraId="153468F3" w14:textId="77777777" w:rsidR="00496244" w:rsidRPr="003A4EC9" w:rsidRDefault="00496244" w:rsidP="00D97BFD">
      <w:pPr>
        <w:pStyle w:val="ARbody"/>
        <w:spacing w:after="100"/>
      </w:pPr>
      <w:r w:rsidRPr="000B06A7">
        <w:t xml:space="preserve">The Victorian Government continues to partner with </w:t>
      </w:r>
      <w:r>
        <w:t>p</w:t>
      </w:r>
      <w:r w:rsidRPr="000B06A7">
        <w:t xml:space="preserve">rimary </w:t>
      </w:r>
      <w:r>
        <w:t>h</w:t>
      </w:r>
      <w:r w:rsidRPr="000B06A7">
        <w:t xml:space="preserve">ealth </w:t>
      </w:r>
      <w:r>
        <w:t>n</w:t>
      </w:r>
      <w:r w:rsidRPr="000B06A7">
        <w:t>etworks</w:t>
      </w:r>
      <w:r>
        <w:t xml:space="preserve"> </w:t>
      </w:r>
      <w:r w:rsidRPr="000B06A7">
        <w:t>to help local communities develop and implement coordinated place-</w:t>
      </w:r>
      <w:r w:rsidRPr="003A4EC9">
        <w:t>based approaches to suicide prevention.</w:t>
      </w:r>
    </w:p>
    <w:p w14:paraId="16AAE408" w14:textId="77777777" w:rsidR="00496244" w:rsidRPr="002029AF" w:rsidRDefault="00496244" w:rsidP="00317057">
      <w:pPr>
        <w:pStyle w:val="ARbodyafterbullets"/>
      </w:pPr>
      <w:r w:rsidRPr="003A4EC9">
        <w:t xml:space="preserve">As at </w:t>
      </w:r>
      <w:r>
        <w:t xml:space="preserve">the </w:t>
      </w:r>
      <w:r w:rsidRPr="003A4EC9">
        <w:t>end of June 2021, the trial ha</w:t>
      </w:r>
      <w:r>
        <w:t>d</w:t>
      </w:r>
      <w:r w:rsidRPr="003A4EC9">
        <w:t xml:space="preserve"> established more than 300</w:t>
      </w:r>
      <w:r w:rsidRPr="000B06A7">
        <w:t xml:space="preserve"> local partnerships across the 12 trial sites</w:t>
      </w:r>
      <w:r>
        <w:t>,</w:t>
      </w:r>
      <w:r w:rsidRPr="000B06A7">
        <w:t xml:space="preserve"> building an improved system to prevent suicide.</w:t>
      </w:r>
    </w:p>
    <w:p w14:paraId="34FAD1C3" w14:textId="77777777" w:rsidR="00496244" w:rsidRPr="00FE7D86" w:rsidRDefault="00496244" w:rsidP="00D97BFD">
      <w:pPr>
        <w:pStyle w:val="Heading6"/>
        <w:spacing w:before="200" w:after="60"/>
      </w:pPr>
      <w:bookmarkStart w:id="87" w:name="_Toc85120995"/>
      <w:r w:rsidRPr="00FE7D86">
        <w:t>HOPE</w:t>
      </w:r>
      <w:bookmarkEnd w:id="87"/>
    </w:p>
    <w:p w14:paraId="154DEAED" w14:textId="220BA7F6" w:rsidR="00496244" w:rsidRDefault="00496244" w:rsidP="00317057">
      <w:pPr>
        <w:pStyle w:val="ARbody"/>
        <w:spacing w:after="100"/>
      </w:pPr>
      <w:r w:rsidRPr="00FE7D86">
        <w:t xml:space="preserve">The </w:t>
      </w:r>
      <w:r>
        <w:t xml:space="preserve">interim report of the </w:t>
      </w:r>
      <w:r w:rsidRPr="00FE7D86">
        <w:t>Royal Commission</w:t>
      </w:r>
      <w:r>
        <w:t xml:space="preserve"> into Victoria</w:t>
      </w:r>
      <w:r w:rsidR="007D145B">
        <w:t>’</w:t>
      </w:r>
      <w:r>
        <w:t>s Mental Health System</w:t>
      </w:r>
      <w:r w:rsidRPr="00FE7D86">
        <w:t xml:space="preserve"> also recommended the creation of a new </w:t>
      </w:r>
      <w:r>
        <w:t>Hospital Outreach Post-Suicidal Engagement (</w:t>
      </w:r>
      <w:r w:rsidRPr="00FE7D86">
        <w:t>HOPE</w:t>
      </w:r>
      <w:r>
        <w:t xml:space="preserve">) </w:t>
      </w:r>
      <w:r w:rsidRPr="00FE7D86">
        <w:t>service for children and young people, in partnership with four health providers (Royal Children</w:t>
      </w:r>
      <w:r w:rsidR="007D145B">
        <w:t>’</w:t>
      </w:r>
      <w:r w:rsidRPr="00FE7D86">
        <w:t>s Hospital, Monash Children</w:t>
      </w:r>
      <w:r w:rsidR="007D145B">
        <w:t>’</w:t>
      </w:r>
      <w:r w:rsidRPr="00FE7D86">
        <w:t>s Hospital, Alfred Health and Orygen).</w:t>
      </w:r>
      <w:r>
        <w:t xml:space="preserve"> </w:t>
      </w:r>
      <w:r w:rsidRPr="00FE7D86">
        <w:t xml:space="preserve">Design of the new child and youth HOPE service will be informed by the experiences of children and young people, as well as </w:t>
      </w:r>
      <w:r>
        <w:t xml:space="preserve">those of their </w:t>
      </w:r>
      <w:r w:rsidRPr="00FE7D86">
        <w:t>carers and families. It is expected that this service will be up and running by the end of 2021.</w:t>
      </w:r>
    </w:p>
    <w:p w14:paraId="693A4BB4" w14:textId="77777777" w:rsidR="00496244" w:rsidRPr="002029AF" w:rsidRDefault="00496244" w:rsidP="00603E4B">
      <w:pPr>
        <w:pStyle w:val="Heading5"/>
        <w:rPr>
          <w:rFonts w:eastAsia="Calibri"/>
        </w:rPr>
      </w:pPr>
      <w:bookmarkStart w:id="88" w:name="_Toc85120996"/>
      <w:r w:rsidRPr="002029AF">
        <w:rPr>
          <w:rFonts w:eastAsia="Calibri"/>
        </w:rPr>
        <w:lastRenderedPageBreak/>
        <w:t>Key result: Improve rates of self-reported health and wellbeing</w:t>
      </w:r>
      <w:bookmarkEnd w:id="88"/>
    </w:p>
    <w:p w14:paraId="7C772EC6" w14:textId="77777777" w:rsidR="00496244" w:rsidRPr="002029AF" w:rsidRDefault="00496244" w:rsidP="0027759D">
      <w:pPr>
        <w:pStyle w:val="ARbody"/>
        <w:spacing w:after="100"/>
      </w:pPr>
      <w:r w:rsidRPr="002029AF">
        <w:t>Self-reported health is an internationally recognised</w:t>
      </w:r>
      <w:r>
        <w:t> </w:t>
      </w:r>
      <w:r w:rsidRPr="002029AF">
        <w:t>indicator of objective health status.</w:t>
      </w:r>
    </w:p>
    <w:p w14:paraId="034A61D6" w14:textId="021C4448" w:rsidR="00496244" w:rsidRPr="002029AF" w:rsidRDefault="00496244" w:rsidP="0027759D">
      <w:pPr>
        <w:pStyle w:val="ARbody"/>
        <w:spacing w:after="100"/>
      </w:pPr>
      <w:r w:rsidRPr="002029AF">
        <w:t xml:space="preserve">Improving self-reported health requires a concerted effort across the whole population and a targeted effort regarding key population groups and </w:t>
      </w:r>
      <w:r w:rsidR="00D97BFD">
        <w:br/>
      </w:r>
      <w:r w:rsidRPr="002029AF">
        <w:t>sub-groups.</w:t>
      </w:r>
    </w:p>
    <w:p w14:paraId="5798049D" w14:textId="4821C692" w:rsidR="00496244" w:rsidRPr="002029AF" w:rsidRDefault="00496244" w:rsidP="0027759D">
      <w:pPr>
        <w:pStyle w:val="ARbody"/>
        <w:spacing w:after="100"/>
      </w:pPr>
      <w:r w:rsidRPr="002029AF">
        <w:t>All the department</w:t>
      </w:r>
      <w:r w:rsidR="007D145B">
        <w:t>’</w:t>
      </w:r>
      <w:r w:rsidRPr="002029AF">
        <w:t>s efforts in health and wellbeing support improvements in objective and subjective health and wellbeing.</w:t>
      </w:r>
    </w:p>
    <w:p w14:paraId="7DF5EBE0" w14:textId="77777777" w:rsidR="00496244" w:rsidRPr="002029AF" w:rsidRDefault="00496244" w:rsidP="00603E4B">
      <w:pPr>
        <w:pStyle w:val="ARbody"/>
      </w:pPr>
      <w:r w:rsidRPr="002029AF">
        <w:t xml:space="preserve">One of the tools the department uses to support the effective local development and delivery of health and wellbeing improvements is the </w:t>
      </w:r>
      <w:r w:rsidRPr="002029AF">
        <w:rPr>
          <w:i/>
          <w:iCs/>
        </w:rPr>
        <w:t>Victorian public health and wellbeing plan</w:t>
      </w:r>
      <w:r w:rsidRPr="002029AF">
        <w:t>.</w:t>
      </w:r>
    </w:p>
    <w:p w14:paraId="5E66F658" w14:textId="7B443117" w:rsidR="00496244" w:rsidRPr="002029AF" w:rsidRDefault="00496244" w:rsidP="00603E4B">
      <w:pPr>
        <w:pStyle w:val="Heading5"/>
        <w:rPr>
          <w:rFonts w:eastAsia="Calibri"/>
        </w:rPr>
      </w:pPr>
      <w:bookmarkStart w:id="89" w:name="_Toc85120997"/>
      <w:bookmarkStart w:id="90" w:name="_Hlk51344743"/>
      <w:r w:rsidRPr="002029AF">
        <w:rPr>
          <w:rFonts w:eastAsia="Calibri"/>
        </w:rPr>
        <w:t>Key result: Reduce the rates of people with</w:t>
      </w:r>
      <w:r w:rsidR="00D97BFD">
        <w:rPr>
          <w:rFonts w:eastAsia="Calibri"/>
        </w:rPr>
        <w:t> </w:t>
      </w:r>
      <w:r w:rsidRPr="002029AF">
        <w:rPr>
          <w:rFonts w:eastAsia="Calibri"/>
        </w:rPr>
        <w:t>mental illness in contact with the justice system</w:t>
      </w:r>
      <w:bookmarkEnd w:id="89"/>
    </w:p>
    <w:p w14:paraId="2F05857B" w14:textId="77777777" w:rsidR="00496244" w:rsidRPr="006E6996" w:rsidRDefault="00496244" w:rsidP="00DB7988">
      <w:pPr>
        <w:pStyle w:val="ARbody"/>
        <w:rPr>
          <w:bCs/>
          <w:szCs w:val="20"/>
        </w:rPr>
      </w:pPr>
      <w:r w:rsidRPr="006E6996">
        <w:rPr>
          <w:bCs/>
          <w:szCs w:val="20"/>
        </w:rPr>
        <w:t>People with mental illness are over-represented among those who are arrested, who come before the courts, and who are imprisoned. There is an association between the presence of mental illness and risk of offending, however, other factors, including socio-demographic disadvantage and substance use, play a part in the association. The extent to which mental illness is a causal factor is the subject of ongoing debate. Most people with a mental illness, including those with major illnesses, do not commit crimes.</w:t>
      </w:r>
    </w:p>
    <w:p w14:paraId="01DE8EAA" w14:textId="77777777" w:rsidR="00496244" w:rsidRPr="006E6996" w:rsidRDefault="00496244" w:rsidP="00603E4B">
      <w:pPr>
        <w:pStyle w:val="Heading6"/>
      </w:pPr>
      <w:bookmarkStart w:id="91" w:name="_Toc85120998"/>
      <w:r w:rsidRPr="006E6996">
        <w:t>Mental Health Advice and Response</w:t>
      </w:r>
      <w:r>
        <w:t xml:space="preserve"> Service</w:t>
      </w:r>
      <w:bookmarkEnd w:id="91"/>
    </w:p>
    <w:p w14:paraId="157B6361" w14:textId="77777777" w:rsidR="00864121" w:rsidRDefault="00496244" w:rsidP="00603E4B">
      <w:pPr>
        <w:pStyle w:val="ARbody"/>
        <w:rPr>
          <w:bCs/>
          <w:szCs w:val="20"/>
        </w:rPr>
      </w:pPr>
      <w:r w:rsidRPr="006E6996">
        <w:rPr>
          <w:bCs/>
          <w:szCs w:val="20"/>
        </w:rPr>
        <w:t xml:space="preserve">The Mental Health Advice and Response </w:t>
      </w:r>
      <w:r>
        <w:rPr>
          <w:bCs/>
          <w:szCs w:val="20"/>
        </w:rPr>
        <w:t xml:space="preserve">Service </w:t>
      </w:r>
      <w:r w:rsidRPr="006E6996">
        <w:rPr>
          <w:bCs/>
          <w:szCs w:val="20"/>
        </w:rPr>
        <w:t>(MHARS) initiative incorporates and expands the Mental Health Court Liaison Service and the Community Correctional Service Mental Health Court Advice Service to provide clinical advice to magistrates on the mental health of people appearing before the court.</w:t>
      </w:r>
    </w:p>
    <w:p w14:paraId="580B0AF1" w14:textId="67ADAD58" w:rsidR="00496244" w:rsidRDefault="00496244" w:rsidP="00DB7988">
      <w:pPr>
        <w:pStyle w:val="ARbody"/>
        <w:rPr>
          <w:bCs/>
          <w:szCs w:val="20"/>
        </w:rPr>
      </w:pPr>
      <w:r w:rsidRPr="006E6996">
        <w:rPr>
          <w:bCs/>
          <w:szCs w:val="20"/>
        </w:rPr>
        <w:t xml:space="preserve">Following the success of the MHARS program in </w:t>
      </w:r>
      <w:r>
        <w:rPr>
          <w:bCs/>
          <w:szCs w:val="20"/>
        </w:rPr>
        <w:t>the Magistrates</w:t>
      </w:r>
      <w:r w:rsidR="007D145B">
        <w:rPr>
          <w:bCs/>
          <w:szCs w:val="20"/>
        </w:rPr>
        <w:t>’</w:t>
      </w:r>
      <w:r w:rsidRPr="006E6996">
        <w:rPr>
          <w:bCs/>
          <w:szCs w:val="20"/>
        </w:rPr>
        <w:t xml:space="preserve"> </w:t>
      </w:r>
      <w:r>
        <w:rPr>
          <w:bCs/>
          <w:szCs w:val="20"/>
        </w:rPr>
        <w:t>C</w:t>
      </w:r>
      <w:r w:rsidRPr="006E6996">
        <w:rPr>
          <w:bCs/>
          <w:szCs w:val="20"/>
        </w:rPr>
        <w:t>ourt, the County Court pilot program was launched in the Melbourne County Court</w:t>
      </w:r>
      <w:r w:rsidRPr="00B7348E">
        <w:rPr>
          <w:bCs/>
          <w:szCs w:val="20"/>
        </w:rPr>
        <w:t xml:space="preserve"> </w:t>
      </w:r>
      <w:r w:rsidRPr="006E6996">
        <w:rPr>
          <w:bCs/>
          <w:szCs w:val="20"/>
        </w:rPr>
        <w:t>from 30 November 2020.</w:t>
      </w:r>
    </w:p>
    <w:p w14:paraId="3AAF94D2" w14:textId="67921583" w:rsidR="00496244" w:rsidRPr="00840BA6" w:rsidRDefault="00496244" w:rsidP="00DB7988">
      <w:pPr>
        <w:pStyle w:val="ARbody"/>
        <w:rPr>
          <w:bCs/>
          <w:szCs w:val="20"/>
          <w:highlight w:val="darkCyan"/>
        </w:rPr>
      </w:pPr>
      <w:r w:rsidRPr="006E6996">
        <w:rPr>
          <w:bCs/>
          <w:szCs w:val="20"/>
        </w:rPr>
        <w:t>The Children</w:t>
      </w:r>
      <w:r w:rsidR="007D145B">
        <w:rPr>
          <w:bCs/>
          <w:szCs w:val="20"/>
        </w:rPr>
        <w:t>’</w:t>
      </w:r>
      <w:r w:rsidRPr="006E6996">
        <w:rPr>
          <w:bCs/>
          <w:szCs w:val="20"/>
        </w:rPr>
        <w:t xml:space="preserve">s Court MHARS </w:t>
      </w:r>
      <w:r>
        <w:rPr>
          <w:bCs/>
          <w:szCs w:val="20"/>
        </w:rPr>
        <w:t xml:space="preserve">continues to </w:t>
      </w:r>
      <w:r w:rsidRPr="006E6996">
        <w:rPr>
          <w:bCs/>
          <w:szCs w:val="20"/>
        </w:rPr>
        <w:t>provide clinical mental health assessment, advice and referrals in relation to accused young persons at the Melbourne Children</w:t>
      </w:r>
      <w:r w:rsidR="007D145B">
        <w:rPr>
          <w:bCs/>
          <w:szCs w:val="20"/>
        </w:rPr>
        <w:t>’</w:t>
      </w:r>
      <w:r w:rsidRPr="006E6996">
        <w:rPr>
          <w:bCs/>
          <w:szCs w:val="20"/>
        </w:rPr>
        <w:t>s Court.</w:t>
      </w:r>
    </w:p>
    <w:p w14:paraId="7CED0AE3" w14:textId="77777777" w:rsidR="00496244" w:rsidRDefault="00496244" w:rsidP="00317057">
      <w:pPr>
        <w:pStyle w:val="Heading6"/>
      </w:pPr>
      <w:bookmarkStart w:id="92" w:name="_Toc85120999"/>
      <w:r w:rsidRPr="00172149">
        <w:t>Upgrading Thomas Embling Hospital</w:t>
      </w:r>
      <w:bookmarkEnd w:id="92"/>
    </w:p>
    <w:p w14:paraId="53E98E43" w14:textId="22088F7A" w:rsidR="00864121" w:rsidRDefault="00496244" w:rsidP="00317057">
      <w:pPr>
        <w:pStyle w:val="NormalWeb"/>
        <w:shd w:val="clear" w:color="auto" w:fill="FFFFFF"/>
        <w:spacing w:before="0" w:beforeAutospacing="0" w:after="120" w:afterAutospacing="0" w:line="260" w:lineRule="atLeast"/>
        <w:rPr>
          <w:rFonts w:ascii="Arial" w:eastAsia="Times" w:hAnsi="Arial" w:cs="Arial"/>
          <w:szCs w:val="24"/>
          <w:lang w:eastAsia="en-US"/>
        </w:rPr>
      </w:pPr>
      <w:r>
        <w:rPr>
          <w:rFonts w:ascii="Arial" w:eastAsia="Times" w:hAnsi="Arial" w:cs="Arial"/>
          <w:szCs w:val="24"/>
          <w:lang w:eastAsia="en-US"/>
        </w:rPr>
        <w:t xml:space="preserve">Another </w:t>
      </w:r>
      <w:r w:rsidRPr="007E1732">
        <w:rPr>
          <w:rFonts w:ascii="Arial" w:eastAsia="Times" w:hAnsi="Arial" w:cs="Arial"/>
          <w:szCs w:val="24"/>
          <w:lang w:eastAsia="en-US"/>
        </w:rPr>
        <w:t>key recommendation of the Royal Commission into Victoria</w:t>
      </w:r>
      <w:r w:rsidR="007D145B">
        <w:rPr>
          <w:rFonts w:ascii="Arial" w:eastAsia="Times" w:hAnsi="Arial" w:cs="Arial"/>
          <w:szCs w:val="24"/>
          <w:lang w:eastAsia="en-US"/>
        </w:rPr>
        <w:t>’</w:t>
      </w:r>
      <w:r w:rsidRPr="007E1732">
        <w:rPr>
          <w:rFonts w:ascii="Arial" w:eastAsia="Times" w:hAnsi="Arial" w:cs="Arial"/>
          <w:szCs w:val="24"/>
          <w:lang w:eastAsia="en-US"/>
        </w:rPr>
        <w:t>s Mental Health System</w:t>
      </w:r>
      <w:r>
        <w:rPr>
          <w:rFonts w:ascii="Arial" w:eastAsia="Times" w:hAnsi="Arial" w:cs="Arial"/>
          <w:szCs w:val="24"/>
          <w:lang w:eastAsia="en-US"/>
        </w:rPr>
        <w:t xml:space="preserve"> </w:t>
      </w:r>
      <w:r>
        <w:rPr>
          <w:rFonts w:ascii="Arial" w:eastAsia="Times" w:hAnsi="Arial" w:cs="Arial"/>
          <w:szCs w:val="24"/>
          <w:lang w:eastAsia="en-US"/>
        </w:rPr>
        <w:t>was for an upgrade of the Thomas Embling Hospital.</w:t>
      </w:r>
    </w:p>
    <w:p w14:paraId="7FAE3E2E" w14:textId="49CBDBDA" w:rsidR="00496244" w:rsidRPr="007E1732" w:rsidRDefault="00496244" w:rsidP="00317057">
      <w:pPr>
        <w:pStyle w:val="NormalWeb"/>
        <w:shd w:val="clear" w:color="auto" w:fill="FFFFFF"/>
        <w:spacing w:before="0" w:beforeAutospacing="0" w:after="120" w:afterAutospacing="0" w:line="260" w:lineRule="atLeast"/>
        <w:rPr>
          <w:rFonts w:ascii="Arial" w:eastAsia="Times" w:hAnsi="Arial" w:cs="Arial"/>
          <w:szCs w:val="24"/>
          <w:lang w:eastAsia="en-US"/>
        </w:rPr>
      </w:pPr>
      <w:r w:rsidRPr="007E1732">
        <w:rPr>
          <w:rFonts w:ascii="Arial" w:eastAsia="Times" w:hAnsi="Arial" w:cs="Arial"/>
          <w:szCs w:val="24"/>
          <w:lang w:eastAsia="en-US"/>
        </w:rPr>
        <w:t xml:space="preserve">Planning </w:t>
      </w:r>
      <w:r>
        <w:rPr>
          <w:rFonts w:ascii="Arial" w:eastAsia="Times" w:hAnsi="Arial" w:cs="Arial"/>
          <w:szCs w:val="24"/>
          <w:lang w:eastAsia="en-US"/>
        </w:rPr>
        <w:t xml:space="preserve">is underway </w:t>
      </w:r>
      <w:r w:rsidRPr="007E1732">
        <w:rPr>
          <w:rFonts w:ascii="Arial" w:eastAsia="Times" w:hAnsi="Arial" w:cs="Arial"/>
          <w:szCs w:val="24"/>
          <w:lang w:eastAsia="en-US"/>
        </w:rPr>
        <w:t xml:space="preserve">for </w:t>
      </w:r>
      <w:r>
        <w:rPr>
          <w:rFonts w:ascii="Arial" w:eastAsia="Times" w:hAnsi="Arial" w:cs="Arial"/>
          <w:szCs w:val="24"/>
          <w:lang w:eastAsia="en-US"/>
        </w:rPr>
        <w:t>the</w:t>
      </w:r>
      <w:r w:rsidRPr="007E1732">
        <w:rPr>
          <w:rFonts w:ascii="Arial" w:eastAsia="Times" w:hAnsi="Arial" w:cs="Arial"/>
          <w:szCs w:val="24"/>
          <w:lang w:eastAsia="en-US"/>
        </w:rPr>
        <w:t xml:space="preserve"> $349.6 million upgrade</w:t>
      </w:r>
      <w:r>
        <w:rPr>
          <w:rFonts w:ascii="Arial" w:eastAsia="Times" w:hAnsi="Arial" w:cs="Arial"/>
          <w:szCs w:val="24"/>
          <w:lang w:eastAsia="en-US"/>
        </w:rPr>
        <w:t>,</w:t>
      </w:r>
      <w:r w:rsidRPr="007E1732">
        <w:rPr>
          <w:rFonts w:ascii="Arial" w:eastAsia="Times" w:hAnsi="Arial" w:cs="Arial"/>
          <w:szCs w:val="24"/>
          <w:lang w:eastAsia="en-US"/>
        </w:rPr>
        <w:t xml:space="preserve"> </w:t>
      </w:r>
      <w:r>
        <w:rPr>
          <w:rFonts w:ascii="Arial" w:eastAsia="Times" w:hAnsi="Arial" w:cs="Arial"/>
          <w:szCs w:val="24"/>
          <w:lang w:eastAsia="en-US"/>
        </w:rPr>
        <w:t xml:space="preserve">which </w:t>
      </w:r>
      <w:r w:rsidRPr="007E1732">
        <w:rPr>
          <w:rFonts w:ascii="Arial" w:eastAsia="Times" w:hAnsi="Arial" w:cs="Arial"/>
          <w:szCs w:val="24"/>
          <w:lang w:eastAsia="en-US"/>
        </w:rPr>
        <w:t>will deliver an additional 82 secure mental health beds and help transform Victoria</w:t>
      </w:r>
      <w:r w:rsidR="007D145B">
        <w:rPr>
          <w:rFonts w:ascii="Arial" w:eastAsia="Times" w:hAnsi="Arial" w:cs="Arial"/>
          <w:szCs w:val="24"/>
          <w:lang w:eastAsia="en-US"/>
        </w:rPr>
        <w:t>’</w:t>
      </w:r>
      <w:r w:rsidRPr="007E1732">
        <w:rPr>
          <w:rFonts w:ascii="Arial" w:eastAsia="Times" w:hAnsi="Arial" w:cs="Arial"/>
          <w:szCs w:val="24"/>
          <w:lang w:eastAsia="en-US"/>
        </w:rPr>
        <w:t>s forensic mental health system.</w:t>
      </w:r>
    </w:p>
    <w:p w14:paraId="5A9473D4" w14:textId="77777777" w:rsidR="00496244" w:rsidRPr="007E1732" w:rsidRDefault="00496244" w:rsidP="00317057">
      <w:pPr>
        <w:pStyle w:val="NormalWeb"/>
        <w:shd w:val="clear" w:color="auto" w:fill="FFFFFF"/>
        <w:spacing w:before="0" w:beforeAutospacing="0" w:after="120" w:afterAutospacing="0" w:line="260" w:lineRule="atLeast"/>
        <w:rPr>
          <w:rFonts w:ascii="Arial" w:eastAsia="Times" w:hAnsi="Arial" w:cs="Arial"/>
          <w:szCs w:val="24"/>
          <w:lang w:eastAsia="en-US"/>
        </w:rPr>
      </w:pPr>
      <w:r w:rsidRPr="007E1732">
        <w:rPr>
          <w:rFonts w:ascii="Arial" w:eastAsia="Times" w:hAnsi="Arial" w:cs="Arial"/>
          <w:szCs w:val="24"/>
          <w:lang w:eastAsia="en-US"/>
        </w:rPr>
        <w:t>With significant growth in</w:t>
      </w:r>
      <w:r>
        <w:rPr>
          <w:rFonts w:ascii="Arial" w:eastAsia="Times" w:hAnsi="Arial" w:cs="Arial"/>
          <w:szCs w:val="24"/>
          <w:lang w:eastAsia="en-US"/>
        </w:rPr>
        <w:t xml:space="preserve"> the number of</w:t>
      </w:r>
      <w:r w:rsidRPr="007E1732">
        <w:rPr>
          <w:rFonts w:ascii="Arial" w:eastAsia="Times" w:hAnsi="Arial" w:cs="Arial"/>
          <w:szCs w:val="24"/>
          <w:lang w:eastAsia="en-US"/>
        </w:rPr>
        <w:t xml:space="preserve"> forensic patients and increasing demand for mental health beds in the justice system, the project will ensure that Victorians most at risk can access mental health services in a secure, contemporary and recovery-focused environment.</w:t>
      </w:r>
    </w:p>
    <w:p w14:paraId="0C2C7571" w14:textId="363EA95D" w:rsidR="00496244" w:rsidRPr="007E1732" w:rsidRDefault="00496244" w:rsidP="00317057">
      <w:pPr>
        <w:pStyle w:val="NormalWeb"/>
        <w:shd w:val="clear" w:color="auto" w:fill="FFFFFF"/>
        <w:spacing w:before="0" w:beforeAutospacing="0" w:after="120" w:afterAutospacing="0" w:line="260" w:lineRule="atLeast"/>
        <w:rPr>
          <w:rFonts w:ascii="Arial" w:eastAsia="Times" w:hAnsi="Arial" w:cs="Arial"/>
          <w:szCs w:val="24"/>
          <w:lang w:eastAsia="en-US"/>
        </w:rPr>
      </w:pPr>
      <w:r w:rsidRPr="007E1732">
        <w:rPr>
          <w:rFonts w:ascii="Arial" w:eastAsia="Times" w:hAnsi="Arial" w:cs="Arial"/>
          <w:szCs w:val="24"/>
          <w:lang w:eastAsia="en-US"/>
        </w:rPr>
        <w:t>The expansion will include a new dedicated 34-bed women</w:t>
      </w:r>
      <w:r w:rsidR="007D145B">
        <w:rPr>
          <w:rFonts w:ascii="Arial" w:eastAsia="Times" w:hAnsi="Arial" w:cs="Arial"/>
          <w:szCs w:val="24"/>
          <w:lang w:eastAsia="en-US"/>
        </w:rPr>
        <w:t>’</w:t>
      </w:r>
      <w:r w:rsidRPr="007E1732">
        <w:rPr>
          <w:rFonts w:ascii="Arial" w:eastAsia="Times" w:hAnsi="Arial" w:cs="Arial"/>
          <w:szCs w:val="24"/>
          <w:lang w:eastAsia="en-US"/>
        </w:rPr>
        <w:t>s precinct</w:t>
      </w:r>
      <w:r>
        <w:rPr>
          <w:rFonts w:ascii="Arial" w:eastAsia="Times" w:hAnsi="Arial" w:cs="Arial"/>
          <w:szCs w:val="24"/>
          <w:lang w:eastAsia="en-US"/>
        </w:rPr>
        <w:t xml:space="preserve"> and</w:t>
      </w:r>
      <w:r w:rsidRPr="007E1732">
        <w:rPr>
          <w:rFonts w:ascii="Arial" w:eastAsia="Times" w:hAnsi="Arial" w:cs="Arial"/>
          <w:szCs w:val="24"/>
          <w:lang w:eastAsia="en-US"/>
        </w:rPr>
        <w:t xml:space="preserve"> a 48-bed medium security men</w:t>
      </w:r>
      <w:r w:rsidR="007D145B">
        <w:rPr>
          <w:rFonts w:ascii="Arial" w:eastAsia="Times" w:hAnsi="Arial" w:cs="Arial"/>
          <w:szCs w:val="24"/>
          <w:lang w:eastAsia="en-US"/>
        </w:rPr>
        <w:t>’</w:t>
      </w:r>
      <w:r w:rsidRPr="007E1732">
        <w:rPr>
          <w:rFonts w:ascii="Arial" w:eastAsia="Times" w:hAnsi="Arial" w:cs="Arial"/>
          <w:szCs w:val="24"/>
          <w:lang w:eastAsia="en-US"/>
        </w:rPr>
        <w:t>s facility, as well as clinical administration facilities.</w:t>
      </w:r>
    </w:p>
    <w:p w14:paraId="20A23955" w14:textId="77777777" w:rsidR="00496244" w:rsidRPr="007E1732" w:rsidRDefault="00496244" w:rsidP="00317057">
      <w:pPr>
        <w:pStyle w:val="NormalWeb"/>
        <w:shd w:val="clear" w:color="auto" w:fill="FFFFFF"/>
        <w:spacing w:before="0" w:beforeAutospacing="0" w:after="120" w:afterAutospacing="0" w:line="260" w:lineRule="atLeast"/>
        <w:rPr>
          <w:rFonts w:ascii="Arial" w:eastAsia="Times" w:hAnsi="Arial" w:cs="Arial"/>
          <w:szCs w:val="24"/>
        </w:rPr>
      </w:pPr>
      <w:r w:rsidRPr="007E1732">
        <w:rPr>
          <w:rFonts w:ascii="Arial" w:eastAsia="Times" w:hAnsi="Arial" w:cs="Arial"/>
          <w:szCs w:val="24"/>
          <w:lang w:eastAsia="en-US"/>
        </w:rPr>
        <w:t xml:space="preserve">Construction is expected to commence in mid-2022 </w:t>
      </w:r>
      <w:r>
        <w:rPr>
          <w:rFonts w:ascii="Arial" w:eastAsia="Times" w:hAnsi="Arial" w:cs="Arial"/>
          <w:szCs w:val="24"/>
          <w:lang w:eastAsia="en-US"/>
        </w:rPr>
        <w:t xml:space="preserve">as </w:t>
      </w:r>
      <w:r w:rsidRPr="007E1732">
        <w:rPr>
          <w:rFonts w:ascii="Arial" w:eastAsia="Times" w:hAnsi="Arial" w:cs="Arial"/>
          <w:szCs w:val="24"/>
          <w:lang w:eastAsia="en-US"/>
        </w:rPr>
        <w:t>the first stage of a major rebuild.</w:t>
      </w:r>
    </w:p>
    <w:p w14:paraId="0A7E3E16" w14:textId="77777777" w:rsidR="00496244" w:rsidRPr="002029AF" w:rsidRDefault="00496244" w:rsidP="00D97BFD">
      <w:pPr>
        <w:pStyle w:val="Heading4"/>
        <w:spacing w:before="160" w:after="60"/>
      </w:pPr>
      <w:bookmarkStart w:id="93" w:name="_Toc85121000"/>
      <w:bookmarkEnd w:id="90"/>
      <w:r w:rsidRPr="002029AF">
        <w:t>Outcome 1.3: Victorians act to protect and promote health</w:t>
      </w:r>
      <w:bookmarkEnd w:id="93"/>
    </w:p>
    <w:p w14:paraId="28207B0E" w14:textId="77777777" w:rsidR="00496244" w:rsidRPr="002029AF" w:rsidRDefault="00496244" w:rsidP="00603E4B">
      <w:pPr>
        <w:pStyle w:val="ARbody"/>
      </w:pPr>
      <w:r w:rsidRPr="002029AF">
        <w:t>The department wants all Victorians to enjoy the highest attainable standards of health, wellbeing, development and participation at every age. Recognising the influential role of social, cultural and economic forces, as well as biological and environmental factors, on health and wellbeing, we consider the whole population and support community-led action wherever possible.</w:t>
      </w:r>
    </w:p>
    <w:p w14:paraId="011D903F" w14:textId="77777777" w:rsidR="00496244" w:rsidRPr="002029AF" w:rsidRDefault="00496244" w:rsidP="00D97BFD">
      <w:pPr>
        <w:pStyle w:val="Heading5"/>
        <w:spacing w:before="200" w:after="60"/>
        <w:rPr>
          <w:sz w:val="24"/>
        </w:rPr>
      </w:pPr>
      <w:bookmarkStart w:id="94" w:name="_Toc85121001"/>
      <w:r w:rsidRPr="002029AF">
        <w:rPr>
          <w:sz w:val="24"/>
        </w:rPr>
        <w:t>Progress against outcomes</w:t>
      </w:r>
      <w:bookmarkEnd w:id="94"/>
    </w:p>
    <w:p w14:paraId="6633714A" w14:textId="5B3DE95F" w:rsidR="00496244" w:rsidRDefault="00496244" w:rsidP="00603E4B">
      <w:pPr>
        <w:pStyle w:val="ARbody"/>
      </w:pPr>
      <w:r w:rsidRPr="002029AF" w:rsidDel="00E74411">
        <w:t>Some of the department</w:t>
      </w:r>
      <w:r w:rsidR="007D145B">
        <w:t>’</w:t>
      </w:r>
      <w:r w:rsidRPr="002029AF" w:rsidDel="00E74411">
        <w:t>s key achievements in</w:t>
      </w:r>
      <w:r>
        <w:t> 2020</w:t>
      </w:r>
      <w:r w:rsidRPr="002029AF" w:rsidDel="00E74411">
        <w:t>–</w:t>
      </w:r>
      <w:r>
        <w:t>21</w:t>
      </w:r>
      <w:r w:rsidRPr="002029AF" w:rsidDel="00E74411">
        <w:t xml:space="preserve"> are outlined below.</w:t>
      </w:r>
    </w:p>
    <w:p w14:paraId="547D52AF" w14:textId="1096A9A0" w:rsidR="00041416" w:rsidRPr="002029AF" w:rsidRDefault="00041416" w:rsidP="00041416">
      <w:pPr>
        <w:pStyle w:val="ARbody"/>
      </w:pPr>
      <w:bookmarkStart w:id="95" w:name="_Toc85121002"/>
      <w:r w:rsidRPr="00B458CA">
        <w:t>Please see</w:t>
      </w:r>
      <w:r>
        <w:t xml:space="preserve"> </w:t>
      </w:r>
      <w:hyperlink w:anchor="COVID_section" w:history="1">
        <w:r w:rsidR="00CA7F87">
          <w:rPr>
            <w:rStyle w:val="Hyperlink"/>
          </w:rPr>
          <w:t>R</w:t>
        </w:r>
        <w:r w:rsidR="00FC792B">
          <w:rPr>
            <w:rStyle w:val="Hyperlink"/>
          </w:rPr>
          <w:t>esponding to the COVID-19 pandemic in Victoria</w:t>
        </w:r>
      </w:hyperlink>
      <w:r w:rsidRPr="00B458CA">
        <w:t xml:space="preserve"> </w:t>
      </w:r>
      <w:r>
        <w:t xml:space="preserve">on </w:t>
      </w:r>
      <w:r w:rsidRPr="00B458CA">
        <w:t xml:space="preserve">page </w:t>
      </w:r>
      <w:r w:rsidR="00CD79F8">
        <w:fldChar w:fldCharType="begin"/>
      </w:r>
      <w:r w:rsidR="00CD79F8">
        <w:instrText xml:space="preserve"> PAGEREF COVID_section \h </w:instrText>
      </w:r>
      <w:r w:rsidR="00CD79F8">
        <w:fldChar w:fldCharType="separate"/>
      </w:r>
      <w:r w:rsidR="00E71361">
        <w:rPr>
          <w:noProof/>
        </w:rPr>
        <w:t>37</w:t>
      </w:r>
      <w:r w:rsidR="00CD79F8">
        <w:fldChar w:fldCharType="end"/>
      </w:r>
      <w:r w:rsidRPr="00B458CA">
        <w:t xml:space="preserve"> for key achievements relating specifically to COVID-19</w:t>
      </w:r>
      <w:r>
        <w:t>.</w:t>
      </w:r>
    </w:p>
    <w:p w14:paraId="0A3FA8D8" w14:textId="77777777" w:rsidR="00496244" w:rsidRPr="00FB3BC6" w:rsidRDefault="00496244" w:rsidP="00317057">
      <w:pPr>
        <w:pStyle w:val="Heading6"/>
      </w:pPr>
      <w:r w:rsidRPr="00076E9E">
        <w:t>Public Health and Wellbeing (Prescribed Accommodation) Regulations 2020</w:t>
      </w:r>
      <w:bookmarkEnd w:id="95"/>
    </w:p>
    <w:p w14:paraId="473D1D51" w14:textId="719CF937" w:rsidR="00496244" w:rsidRDefault="00496244" w:rsidP="00603E4B">
      <w:pPr>
        <w:pStyle w:val="ARbody"/>
        <w:rPr>
          <w:szCs w:val="20"/>
        </w:rPr>
      </w:pPr>
      <w:r w:rsidRPr="00076E9E">
        <w:rPr>
          <w:szCs w:val="20"/>
        </w:rPr>
        <w:t>The Public Health and Wellbeing (Prescribed Accommodation) Regulations 2020 came into effect</w:t>
      </w:r>
      <w:r w:rsidR="00D97BFD">
        <w:rPr>
          <w:szCs w:val="20"/>
        </w:rPr>
        <w:t> </w:t>
      </w:r>
      <w:r w:rsidRPr="00076E9E">
        <w:rPr>
          <w:szCs w:val="20"/>
        </w:rPr>
        <w:t xml:space="preserve">on 13 December 2020, replacing </w:t>
      </w:r>
      <w:r>
        <w:rPr>
          <w:szCs w:val="20"/>
        </w:rPr>
        <w:t>the 2009 regulations of the same name</w:t>
      </w:r>
      <w:r w:rsidRPr="00076E9E">
        <w:rPr>
          <w:szCs w:val="20"/>
        </w:rPr>
        <w:t>.</w:t>
      </w:r>
    </w:p>
    <w:p w14:paraId="0E9A84C5" w14:textId="77777777" w:rsidR="00496244" w:rsidRPr="00076E9E" w:rsidRDefault="00496244" w:rsidP="00317057">
      <w:pPr>
        <w:pStyle w:val="ARbody"/>
        <w:rPr>
          <w:szCs w:val="20"/>
        </w:rPr>
      </w:pPr>
      <w:r w:rsidRPr="00076E9E">
        <w:rPr>
          <w:szCs w:val="20"/>
        </w:rPr>
        <w:t>These regulations cover certain types of accommodation (hotels and motels, student dormitories, holiday camps, rooming houses and certain forms of residential accommodation) as prescribed accommodation. Proprietors must meet standards to minimise public health risks that may arise from shared facilities, high turnover of occupants and overcrowding.</w:t>
      </w:r>
    </w:p>
    <w:p w14:paraId="58E432F6" w14:textId="77777777" w:rsidR="00496244" w:rsidRPr="00076E9E" w:rsidRDefault="00496244" w:rsidP="00603E4B">
      <w:pPr>
        <w:pStyle w:val="ARbody"/>
        <w:rPr>
          <w:szCs w:val="20"/>
        </w:rPr>
      </w:pPr>
      <w:r>
        <w:rPr>
          <w:bCs/>
          <w:szCs w:val="20"/>
        </w:rPr>
        <w:lastRenderedPageBreak/>
        <w:t>These regulations</w:t>
      </w:r>
      <w:r w:rsidRPr="00A32EA5">
        <w:rPr>
          <w:bCs/>
          <w:szCs w:val="20"/>
        </w:rPr>
        <w:t xml:space="preserve"> </w:t>
      </w:r>
      <w:r w:rsidRPr="00A251F8">
        <w:rPr>
          <w:bCs/>
          <w:szCs w:val="20"/>
        </w:rPr>
        <w:t>are an important tool in maintaining public health</w:t>
      </w:r>
      <w:r>
        <w:rPr>
          <w:bCs/>
          <w:szCs w:val="20"/>
        </w:rPr>
        <w:t xml:space="preserve"> and</w:t>
      </w:r>
      <w:r w:rsidRPr="00A251F8">
        <w:rPr>
          <w:bCs/>
          <w:szCs w:val="20"/>
        </w:rPr>
        <w:t xml:space="preserve"> preventing disease, especially during a pandemic, and avoiding over-crowding and unsanitary conditions</w:t>
      </w:r>
      <w:r>
        <w:rPr>
          <w:bCs/>
          <w:szCs w:val="20"/>
        </w:rPr>
        <w:t>.</w:t>
      </w:r>
    </w:p>
    <w:p w14:paraId="4583E674" w14:textId="77777777" w:rsidR="00496244" w:rsidRPr="00076E9E" w:rsidRDefault="00496244" w:rsidP="00603E4B">
      <w:pPr>
        <w:pStyle w:val="ARbody"/>
        <w:rPr>
          <w:szCs w:val="20"/>
        </w:rPr>
      </w:pPr>
      <w:r w:rsidRPr="00076E9E">
        <w:rPr>
          <w:szCs w:val="20"/>
        </w:rPr>
        <w:t xml:space="preserve">On 12 June 2021, a small amendment to the definition of rooming house in these regulations clarified the scope and application to rooming houses declared by the Minister for Housing under the </w:t>
      </w:r>
      <w:r w:rsidRPr="00076E9E">
        <w:rPr>
          <w:i/>
          <w:szCs w:val="20"/>
        </w:rPr>
        <w:t>Residential Tenancies Act 1997.</w:t>
      </w:r>
    </w:p>
    <w:p w14:paraId="702CB6DF" w14:textId="77777777" w:rsidR="00496244" w:rsidRPr="002029AF" w:rsidRDefault="00496244" w:rsidP="00D97BFD">
      <w:pPr>
        <w:pStyle w:val="Heading6"/>
        <w:spacing w:before="200" w:after="60"/>
      </w:pPr>
      <w:bookmarkStart w:id="96" w:name="_Toc85121003"/>
      <w:r w:rsidRPr="00ED7862">
        <w:rPr>
          <w:szCs w:val="20"/>
        </w:rPr>
        <w:t>Food</w:t>
      </w:r>
      <w:r>
        <w:t>-</w:t>
      </w:r>
      <w:r w:rsidRPr="002029AF">
        <w:t>related anaphylaxis notifications</w:t>
      </w:r>
      <w:bookmarkEnd w:id="96"/>
    </w:p>
    <w:p w14:paraId="7E7074D4" w14:textId="77777777" w:rsidR="00496244" w:rsidRDefault="00496244" w:rsidP="00317057">
      <w:pPr>
        <w:pStyle w:val="ARbody"/>
      </w:pPr>
      <w:r w:rsidRPr="000C4DCA">
        <w:t>The department operates the Victorian Anaphylaxis Notifications System, which requires all Victorian public and private hospitals to notify anaphylaxis cases presenting to hospital</w:t>
      </w:r>
      <w:r>
        <w:t>. This</w:t>
      </w:r>
      <w:r w:rsidRPr="000C4DCA">
        <w:t xml:space="preserve"> ensur</w:t>
      </w:r>
      <w:r>
        <w:t>es</w:t>
      </w:r>
      <w:r w:rsidRPr="000C4DCA">
        <w:t xml:space="preserve"> that possible </w:t>
      </w:r>
      <w:r>
        <w:t xml:space="preserve">hidden anaphylaxis </w:t>
      </w:r>
      <w:r w:rsidRPr="000C4DCA">
        <w:t>sources can be confirmed and public health maintained.</w:t>
      </w:r>
    </w:p>
    <w:p w14:paraId="3B3EF7E8" w14:textId="39CAE5AC" w:rsidR="00496244" w:rsidRPr="00100BF5" w:rsidRDefault="00496244" w:rsidP="00317057">
      <w:pPr>
        <w:pStyle w:val="ARbody"/>
      </w:pPr>
      <w:r w:rsidRPr="000C4DCA">
        <w:t xml:space="preserve">From July 2020 to June 2021 there were 1,330 anaphylaxis </w:t>
      </w:r>
      <w:r w:rsidRPr="00B01571">
        <w:t>notifications received. Of these, 891 (67 per cent) were suspected to be caused by food. While notifications were lower than for the previous year (1,838 in 201</w:t>
      </w:r>
      <w:r w:rsidR="005C203A">
        <w:t>9–</w:t>
      </w:r>
      <w:r w:rsidRPr="00B01571">
        <w:t>20), food remains the cause of a significant proportion of</w:t>
      </w:r>
      <w:r w:rsidRPr="000C4DCA">
        <w:t xml:space="preserve"> Victorian anaphylaxis notifications. This emphasises</w:t>
      </w:r>
      <w:r>
        <w:t xml:space="preserve"> the need for</w:t>
      </w:r>
      <w:r w:rsidRPr="000C4DCA">
        <w:t xml:space="preserve"> better understanding in the food industry of the risks allergens pose. To address this gap, the department engaged an external consultant to remotely deliver 16 workshops to Victorian staff responsible for managing allergens in </w:t>
      </w:r>
      <w:r w:rsidRPr="00B533F2">
        <w:t>hospitals</w:t>
      </w:r>
      <w:r>
        <w:t>,</w:t>
      </w:r>
      <w:r w:rsidRPr="00100BF5">
        <w:t xml:space="preserve"> including cooks, chefs, food handlers, dieti</w:t>
      </w:r>
      <w:r>
        <w:t>c</w:t>
      </w:r>
      <w:r w:rsidRPr="00100BF5">
        <w:t>ians and nutritionists. The department</w:t>
      </w:r>
      <w:r w:rsidR="007D145B">
        <w:t>’</w:t>
      </w:r>
      <w:r w:rsidRPr="00100BF5">
        <w:t>s Food Safety Unit also designed and delivered remote training to</w:t>
      </w:r>
      <w:r w:rsidR="00D97BFD">
        <w:t> </w:t>
      </w:r>
      <w:r w:rsidRPr="00100BF5">
        <w:t xml:space="preserve">120 environmental health officers, providing </w:t>
      </w:r>
      <w:r>
        <w:t xml:space="preserve">the </w:t>
      </w:r>
      <w:r w:rsidRPr="00100BF5">
        <w:t xml:space="preserve">necessary knowledge and tools to enable officers to train the </w:t>
      </w:r>
      <w:r>
        <w:t xml:space="preserve">staff of </w:t>
      </w:r>
      <w:r w:rsidRPr="00100BF5">
        <w:t>food businesses they register and inspect in best-practice allergen control. This training is expected to be ongoing.</w:t>
      </w:r>
    </w:p>
    <w:p w14:paraId="79B941BD" w14:textId="77777777" w:rsidR="00496244" w:rsidRPr="00ED7862" w:rsidRDefault="00496244" w:rsidP="00317057">
      <w:pPr>
        <w:pStyle w:val="Heading6"/>
      </w:pPr>
      <w:bookmarkStart w:id="97" w:name="_Toc85121004"/>
      <w:r w:rsidRPr="00ED7862">
        <w:t>Maintaining high rates of vaccination coverage</w:t>
      </w:r>
      <w:bookmarkEnd w:id="97"/>
    </w:p>
    <w:p w14:paraId="531BF448" w14:textId="77777777" w:rsidR="00496244" w:rsidRDefault="00496244" w:rsidP="00317057">
      <w:pPr>
        <w:pStyle w:val="ARbody"/>
      </w:pPr>
      <w:r w:rsidRPr="008C45CE">
        <w:t>Immunisation</w:t>
      </w:r>
      <w:r>
        <w:t xml:space="preserve"> </w:t>
      </w:r>
      <w:r w:rsidRPr="008C45CE">
        <w:t>saves</w:t>
      </w:r>
      <w:r>
        <w:t xml:space="preserve"> </w:t>
      </w:r>
      <w:r w:rsidRPr="008C45CE">
        <w:t>lives</w:t>
      </w:r>
      <w:r>
        <w:t xml:space="preserve"> </w:t>
      </w:r>
      <w:r w:rsidRPr="008C45CE">
        <w:t>and</w:t>
      </w:r>
      <w:r>
        <w:t xml:space="preserve"> </w:t>
      </w:r>
      <w:r w:rsidRPr="008C45CE">
        <w:t>protects</w:t>
      </w:r>
      <w:r>
        <w:t xml:space="preserve"> </w:t>
      </w:r>
      <w:r w:rsidRPr="008C45CE">
        <w:t>the community from vaccine-preventable diseases. While the COVID</w:t>
      </w:r>
      <w:r w:rsidRPr="008C45CE">
        <w:rPr>
          <w:rFonts w:ascii="Cambria Math" w:hAnsi="Cambria Math" w:cs="Cambria Math"/>
        </w:rPr>
        <w:t>‐</w:t>
      </w:r>
      <w:r w:rsidRPr="008C45CE">
        <w:t>19 pandemic reduced routine vaccination activity in many countries</w:t>
      </w:r>
      <w:r>
        <w:t xml:space="preserve"> and jurisdictions</w:t>
      </w:r>
      <w:r w:rsidRPr="008C45CE">
        <w:t>, Victoria</w:t>
      </w:r>
      <w:r>
        <w:t xml:space="preserve"> has</w:t>
      </w:r>
      <w:r w:rsidRPr="008C45CE">
        <w:t xml:space="preserve"> continued to maintain very high rates of immunisation</w:t>
      </w:r>
      <w:r>
        <w:t>.</w:t>
      </w:r>
    </w:p>
    <w:p w14:paraId="72775B79" w14:textId="77777777" w:rsidR="00496244" w:rsidRPr="00AA2D3C" w:rsidRDefault="00496244" w:rsidP="00317057">
      <w:pPr>
        <w:pStyle w:val="Heading7"/>
      </w:pPr>
      <w:bookmarkStart w:id="98" w:name="_Toc85121005"/>
      <w:r w:rsidRPr="00AA2D3C">
        <w:t>Childhood immunisation</w:t>
      </w:r>
      <w:bookmarkEnd w:id="98"/>
    </w:p>
    <w:p w14:paraId="67FD31AF" w14:textId="77777777" w:rsidR="00496244" w:rsidRDefault="00496244" w:rsidP="00317057">
      <w:pPr>
        <w:pStyle w:val="ARbody"/>
      </w:pPr>
      <w:r w:rsidRPr="008C45CE">
        <w:t xml:space="preserve">Australian Immunisation Register </w:t>
      </w:r>
      <w:r>
        <w:t>data shows</w:t>
      </w:r>
      <w:r w:rsidRPr="008C45CE">
        <w:t xml:space="preserve"> </w:t>
      </w:r>
      <w:r>
        <w:t xml:space="preserve">that, </w:t>
      </w:r>
      <w:r w:rsidRPr="008C45CE">
        <w:t>as at 30 June 2021</w:t>
      </w:r>
      <w:r>
        <w:t xml:space="preserve">, </w:t>
      </w:r>
      <w:r w:rsidRPr="008C45CE">
        <w:t>9</w:t>
      </w:r>
      <w:r>
        <w:t>6</w:t>
      </w:r>
      <w:r w:rsidRPr="008C45CE">
        <w:t>.</w:t>
      </w:r>
      <w:r>
        <w:t>18 per cent</w:t>
      </w:r>
      <w:r w:rsidRPr="008C45CE">
        <w:t xml:space="preserve"> of Victorian five</w:t>
      </w:r>
      <w:r>
        <w:noBreakHyphen/>
      </w:r>
      <w:r w:rsidRPr="008C45CE">
        <w:t>year</w:t>
      </w:r>
      <w:r>
        <w:noBreakHyphen/>
      </w:r>
      <w:r w:rsidRPr="008C45CE">
        <w:t>olds were fully vaccinated</w:t>
      </w:r>
      <w:r>
        <w:t>, with this figure at 97.8 per cent for Aboriginal and Torres Strait Islander children</w:t>
      </w:r>
      <w:r w:rsidRPr="008C45CE">
        <w:t>,</w:t>
      </w:r>
      <w:r>
        <w:t xml:space="preserve"> Both figures are above the national average of 95.22 per cent.</w:t>
      </w:r>
    </w:p>
    <w:p w14:paraId="7767E2CF" w14:textId="77777777" w:rsidR="00496244" w:rsidRPr="00313BE6" w:rsidRDefault="00496244" w:rsidP="00317057">
      <w:pPr>
        <w:pStyle w:val="Heading7"/>
      </w:pPr>
      <w:bookmarkStart w:id="99" w:name="_Toc85121006"/>
      <w:r w:rsidRPr="00313BE6">
        <w:t>Adolescent immunisation</w:t>
      </w:r>
      <w:bookmarkEnd w:id="99"/>
    </w:p>
    <w:p w14:paraId="6775100A" w14:textId="52374E77" w:rsidR="00496244" w:rsidRPr="00A32EA5" w:rsidRDefault="00496244" w:rsidP="00317057">
      <w:pPr>
        <w:pStyle w:val="ARbody"/>
        <w:rPr>
          <w:color w:val="000000"/>
          <w:shd w:val="clear" w:color="auto" w:fill="FFFFFF"/>
        </w:rPr>
      </w:pPr>
      <w:r w:rsidRPr="008C45CE">
        <w:rPr>
          <w:color w:val="000000"/>
          <w:shd w:val="clear" w:color="auto" w:fill="FFFFFF"/>
        </w:rPr>
        <w:t>School closures across 202</w:t>
      </w:r>
      <w:r w:rsidR="00FA7261">
        <w:rPr>
          <w:color w:val="000000"/>
          <w:shd w:val="clear" w:color="auto" w:fill="FFFFFF"/>
        </w:rPr>
        <w:t>0–</w:t>
      </w:r>
      <w:r>
        <w:rPr>
          <w:color w:val="000000"/>
          <w:shd w:val="clear" w:color="auto" w:fill="FFFFFF"/>
        </w:rPr>
        <w:t>21</w:t>
      </w:r>
      <w:r w:rsidRPr="008C45CE">
        <w:rPr>
          <w:color w:val="000000"/>
          <w:shd w:val="clear" w:color="auto" w:fill="FFFFFF"/>
        </w:rPr>
        <w:t xml:space="preserve"> resulting from the</w:t>
      </w:r>
      <w:r w:rsidR="00D97BFD">
        <w:rPr>
          <w:color w:val="000000"/>
          <w:shd w:val="clear" w:color="auto" w:fill="FFFFFF"/>
        </w:rPr>
        <w:t> </w:t>
      </w:r>
      <w:r w:rsidRPr="008C45CE">
        <w:rPr>
          <w:color w:val="000000"/>
          <w:shd w:val="clear" w:color="auto" w:fill="FFFFFF"/>
        </w:rPr>
        <w:t>COVID-19 pandemic impacted on the </w:t>
      </w:r>
      <w:r>
        <w:rPr>
          <w:color w:val="000000"/>
          <w:shd w:val="clear" w:color="auto" w:fill="FFFFFF"/>
        </w:rPr>
        <w:t xml:space="preserve">timing of </w:t>
      </w:r>
      <w:r w:rsidRPr="008C45CE">
        <w:rPr>
          <w:color w:val="000000"/>
          <w:shd w:val="clear" w:color="auto" w:fill="FFFFFF"/>
        </w:rPr>
        <w:t>delivery of adolescent vaccines, usually delivered on school grounds to Year 7 and Year 10 students by local council immunisation services.</w:t>
      </w:r>
      <w:r w:rsidR="00D97BFD">
        <w:rPr>
          <w:color w:val="000000"/>
          <w:shd w:val="clear" w:color="auto" w:fill="FFFFFF"/>
        </w:rPr>
        <w:t xml:space="preserve"> </w:t>
      </w:r>
      <w:r>
        <w:rPr>
          <w:color w:val="000000"/>
          <w:shd w:val="clear" w:color="auto" w:fill="FFFFFF"/>
        </w:rPr>
        <w:t>The department worked across local and state government to communicate the importance of</w:t>
      </w:r>
      <w:r w:rsidR="00D97BFD">
        <w:rPr>
          <w:color w:val="000000"/>
          <w:shd w:val="clear" w:color="auto" w:fill="FFFFFF"/>
        </w:rPr>
        <w:t> </w:t>
      </w:r>
      <w:r>
        <w:rPr>
          <w:color w:val="000000"/>
          <w:shd w:val="clear" w:color="auto" w:fill="FFFFFF"/>
        </w:rPr>
        <w:t>prioritising adolescent immunisation. Local councils</w:t>
      </w:r>
      <w:r w:rsidR="00D97BFD">
        <w:rPr>
          <w:color w:val="000000"/>
          <w:shd w:val="clear" w:color="auto" w:fill="FFFFFF"/>
        </w:rPr>
        <w:t> </w:t>
      </w:r>
      <w:r>
        <w:rPr>
          <w:color w:val="000000"/>
          <w:shd w:val="clear" w:color="auto" w:fill="FFFFFF"/>
        </w:rPr>
        <w:t>rapidly adapted service delivery, including</w:t>
      </w:r>
      <w:r w:rsidR="00D97BFD">
        <w:rPr>
          <w:color w:val="000000"/>
          <w:shd w:val="clear" w:color="auto" w:fill="FFFFFF"/>
        </w:rPr>
        <w:t> </w:t>
      </w:r>
      <w:r>
        <w:rPr>
          <w:color w:val="000000"/>
          <w:shd w:val="clear" w:color="auto" w:fill="FFFFFF"/>
        </w:rPr>
        <w:t xml:space="preserve">establishing alternative vaccination venues, to continue to deliver the secondary school immunisation program in a COVID-safe manner. Significant </w:t>
      </w:r>
      <w:r w:rsidR="007D145B">
        <w:rPr>
          <w:color w:val="000000"/>
          <w:shd w:val="clear" w:color="auto" w:fill="FFFFFF"/>
        </w:rPr>
        <w:t>‘</w:t>
      </w:r>
      <w:r w:rsidRPr="00A32EA5">
        <w:rPr>
          <w:color w:val="000000"/>
          <w:shd w:val="clear" w:color="auto" w:fill="FFFFFF"/>
        </w:rPr>
        <w:t>catch-up</w:t>
      </w:r>
      <w:r w:rsidR="007D145B">
        <w:rPr>
          <w:color w:val="000000"/>
          <w:shd w:val="clear" w:color="auto" w:fill="FFFFFF"/>
        </w:rPr>
        <w:t>’</w:t>
      </w:r>
      <w:r w:rsidRPr="00A32EA5">
        <w:rPr>
          <w:color w:val="000000"/>
          <w:shd w:val="clear" w:color="auto" w:fill="FFFFFF"/>
        </w:rPr>
        <w:t xml:space="preserve"> activity has seen coverage rates recover, with adolescent vaccination coverage now generally on a par with previous years.</w:t>
      </w:r>
    </w:p>
    <w:p w14:paraId="10F53EC1" w14:textId="77777777" w:rsidR="00496244" w:rsidRDefault="00496244" w:rsidP="00317057">
      <w:pPr>
        <w:pStyle w:val="Heading7"/>
      </w:pPr>
      <w:bookmarkStart w:id="100" w:name="_Toc85121007"/>
      <w:r w:rsidRPr="00313BE6">
        <w:t>Adult immunisation</w:t>
      </w:r>
      <w:bookmarkEnd w:id="100"/>
    </w:p>
    <w:p w14:paraId="2B7533E7" w14:textId="3E8305AA" w:rsidR="00496244" w:rsidRDefault="00496244" w:rsidP="00317057">
      <w:pPr>
        <w:pStyle w:val="ARbody"/>
      </w:pPr>
      <w:r>
        <w:t>Influenza vaccination in Victorians aged 65 and over has remained steady through the COVID-19 pandemic, with 1,062,370 influenza vaccines distributed to this cohort between March and June</w:t>
      </w:r>
      <w:r w:rsidR="00D97BFD">
        <w:t> </w:t>
      </w:r>
      <w:r>
        <w:t>2020 and 1,026,970 vaccines distributed for the same period in 2021. The bulk of influenza vaccines are distributed in the first half of the calendar year, from the time the annual vaccine becomes available in March, in preparation for the</w:t>
      </w:r>
      <w:r w:rsidR="00D97BFD">
        <w:t> </w:t>
      </w:r>
      <w:r>
        <w:t>influenza season (typically April to October.)</w:t>
      </w:r>
    </w:p>
    <w:p w14:paraId="4A54EAD3" w14:textId="3165251A" w:rsidR="00496244" w:rsidRDefault="00496244" w:rsidP="00317057">
      <w:pPr>
        <w:pStyle w:val="ARbody"/>
      </w:pPr>
      <w:r>
        <w:t>Influenza-associated mortality rates are highest among adults aged over 65 years. Vaccinating this</w:t>
      </w:r>
      <w:r w:rsidR="00D97BFD">
        <w:t> </w:t>
      </w:r>
      <w:r>
        <w:t>cohort reduces deaths and hospitalisations.</w:t>
      </w:r>
    </w:p>
    <w:p w14:paraId="36C18C8D" w14:textId="77777777" w:rsidR="00496244" w:rsidRPr="00B01571" w:rsidRDefault="00496244" w:rsidP="00317057">
      <w:pPr>
        <w:pStyle w:val="Heading6"/>
        <w:rPr>
          <w:szCs w:val="20"/>
        </w:rPr>
      </w:pPr>
      <w:bookmarkStart w:id="101" w:name="_Toc85121008"/>
      <w:r w:rsidRPr="00B01571">
        <w:rPr>
          <w:szCs w:val="20"/>
        </w:rPr>
        <w:t>A patient-centred approach to eliminate congenital syphilis in Victoria.</w:t>
      </w:r>
      <w:bookmarkEnd w:id="101"/>
    </w:p>
    <w:p w14:paraId="3A39C647" w14:textId="2D11D96D" w:rsidR="00496244" w:rsidRPr="009163AA" w:rsidRDefault="00496244" w:rsidP="00317057">
      <w:pPr>
        <w:pStyle w:val="ARbody"/>
        <w:rPr>
          <w:color w:val="000000" w:themeColor="text1"/>
        </w:rPr>
      </w:pPr>
      <w:r w:rsidRPr="009163AA">
        <w:t>The number of people with syphilis infections in Victoria has been increasing over the past five years in both men and women. In this context congenital syphilis has re-emerged in Victoria with</w:t>
      </w:r>
      <w:r w:rsidR="00D97BFD">
        <w:t> </w:t>
      </w:r>
      <w:r w:rsidRPr="009163AA">
        <w:t>10 cases notified since 2017.</w:t>
      </w:r>
      <w:r>
        <w:t xml:space="preserve"> </w:t>
      </w:r>
      <w:r w:rsidRPr="009163AA">
        <w:rPr>
          <w:color w:val="000000" w:themeColor="text1"/>
        </w:rPr>
        <w:t>There were no</w:t>
      </w:r>
      <w:r w:rsidR="00D97BFD">
        <w:rPr>
          <w:color w:val="000000" w:themeColor="text1"/>
        </w:rPr>
        <w:t> </w:t>
      </w:r>
      <w:r w:rsidRPr="009163AA">
        <w:rPr>
          <w:color w:val="000000" w:themeColor="text1"/>
        </w:rPr>
        <w:t>congenital syphilis cases in Victoria between 2013 and 2017.</w:t>
      </w:r>
    </w:p>
    <w:p w14:paraId="55786F74" w14:textId="0B47EDD9" w:rsidR="00496244" w:rsidRPr="00313BE6" w:rsidRDefault="00496244" w:rsidP="00317057">
      <w:pPr>
        <w:pStyle w:val="ARbody"/>
      </w:pPr>
      <w:r w:rsidRPr="00313BE6">
        <w:t>Congenital syphilis occurs when a mother with</w:t>
      </w:r>
      <w:r w:rsidR="00D97BFD">
        <w:t> </w:t>
      </w:r>
      <w:r w:rsidRPr="00313BE6">
        <w:t>syphilis passes the infection on to her baby during pregnancy or at birth. Left untreated, syphilis during pregnancy can cause miscarriage, stillbirth, prematurity, and low birth weight.</w:t>
      </w:r>
      <w:r>
        <w:t xml:space="preserve"> </w:t>
      </w:r>
      <w:r w:rsidRPr="00313BE6">
        <w:t>Babies born with</w:t>
      </w:r>
      <w:r w:rsidR="00D97BFD">
        <w:t> </w:t>
      </w:r>
      <w:r w:rsidRPr="00313BE6">
        <w:t>congenital syphilis may suffer severe health problems such as bone deformities, issues with their vital organs (liver and kidneys), jaundice</w:t>
      </w:r>
      <w:r>
        <w:t xml:space="preserve">, </w:t>
      </w:r>
      <w:r w:rsidRPr="00313BE6">
        <w:t>brain</w:t>
      </w:r>
      <w:r w:rsidR="00D97BFD">
        <w:t> </w:t>
      </w:r>
      <w:r w:rsidRPr="00313BE6">
        <w:t xml:space="preserve">and nerve problems, </w:t>
      </w:r>
      <w:r>
        <w:t xml:space="preserve">such as </w:t>
      </w:r>
      <w:r w:rsidRPr="00313BE6">
        <w:t>blindness or deafness, and skin rashes.</w:t>
      </w:r>
    </w:p>
    <w:p w14:paraId="085890EE" w14:textId="77777777" w:rsidR="00496244" w:rsidRDefault="00496244" w:rsidP="00317057">
      <w:pPr>
        <w:pStyle w:val="ARbody"/>
      </w:pPr>
      <w:r w:rsidRPr="009163AA">
        <w:lastRenderedPageBreak/>
        <w:t xml:space="preserve">Congenital syphilis is totally preventable. Screening </w:t>
      </w:r>
      <w:r>
        <w:t xml:space="preserve">of </w:t>
      </w:r>
      <w:r w:rsidRPr="009163AA">
        <w:t>pregnant women during pregnancy and timely treatment are key in preventing congenital syphilis.</w:t>
      </w:r>
    </w:p>
    <w:p w14:paraId="48BCC17E" w14:textId="77777777" w:rsidR="00496244" w:rsidRDefault="00496244" w:rsidP="00317057">
      <w:pPr>
        <w:pStyle w:val="ARbody"/>
      </w:pPr>
      <w:r>
        <w:t>Combating the r</w:t>
      </w:r>
      <w:r w:rsidRPr="009163AA">
        <w:t xml:space="preserve">e-emergence of congenital syphilis is a public health priority and the department </w:t>
      </w:r>
      <w:r>
        <w:t xml:space="preserve">has </w:t>
      </w:r>
      <w:r w:rsidRPr="009163AA">
        <w:t xml:space="preserve">set up an Incident Management Team to oversee a sustained and coordinated response. The response is underpinned by a </w:t>
      </w:r>
      <w:r w:rsidRPr="009163AA">
        <w:rPr>
          <w:lang w:eastAsia="en-AU"/>
        </w:rPr>
        <w:t>comprehensive stakeholder engagement and communication strategy to raise awareness about congenital syphilis among clinicians a</w:t>
      </w:r>
      <w:r>
        <w:rPr>
          <w:lang w:eastAsia="en-AU"/>
        </w:rPr>
        <w:t xml:space="preserve">s well as </w:t>
      </w:r>
      <w:r w:rsidRPr="009163AA">
        <w:rPr>
          <w:lang w:eastAsia="en-AU"/>
        </w:rPr>
        <w:t>women</w:t>
      </w:r>
      <w:r>
        <w:rPr>
          <w:lang w:eastAsia="en-AU"/>
        </w:rPr>
        <w:t xml:space="preserve"> and their partners</w:t>
      </w:r>
      <w:r w:rsidRPr="009163AA">
        <w:rPr>
          <w:lang w:eastAsia="en-AU"/>
        </w:rPr>
        <w:t>.</w:t>
      </w:r>
    </w:p>
    <w:p w14:paraId="0C57E01C" w14:textId="19FA3524" w:rsidR="00496244" w:rsidRPr="009163AA" w:rsidRDefault="00496244" w:rsidP="00317057">
      <w:pPr>
        <w:pStyle w:val="ARbody"/>
        <w:rPr>
          <w:b/>
        </w:rPr>
      </w:pPr>
      <w:r w:rsidRPr="009163AA">
        <w:t xml:space="preserve">Officers of the department are following up each case of syphilis diagnosed in pregnant women to ensure </w:t>
      </w:r>
      <w:r>
        <w:t xml:space="preserve">those women </w:t>
      </w:r>
      <w:r w:rsidRPr="009163AA">
        <w:t>receive timely treatment and support. Each wom</w:t>
      </w:r>
      <w:r>
        <w:t>a</w:t>
      </w:r>
      <w:r w:rsidRPr="009163AA">
        <w:t>n</w:t>
      </w:r>
      <w:r w:rsidR="007D145B">
        <w:t>’</w:t>
      </w:r>
      <w:r w:rsidRPr="009163AA">
        <w:t>s journey through pregnancy is different. Women not attending antenatal care, those experiencing mental health issues, substance abuse</w:t>
      </w:r>
      <w:r>
        <w:t xml:space="preserve">, family violence </w:t>
      </w:r>
      <w:r w:rsidRPr="009163AA">
        <w:t xml:space="preserve">and socio-economic disadvantage are at higher risk of having syphilis complications </w:t>
      </w:r>
      <w:r>
        <w:t xml:space="preserve">during pregnancy </w:t>
      </w:r>
      <w:r w:rsidRPr="009163AA">
        <w:t xml:space="preserve">and giving birth </w:t>
      </w:r>
      <w:r>
        <w:t xml:space="preserve">to </w:t>
      </w:r>
      <w:r w:rsidRPr="009163AA">
        <w:t>a baby with congenital syphilis</w:t>
      </w:r>
      <w:r>
        <w:t>.</w:t>
      </w:r>
    </w:p>
    <w:p w14:paraId="223D43C7" w14:textId="4BD9173D" w:rsidR="00496244" w:rsidRPr="001627A9" w:rsidRDefault="00496244" w:rsidP="00317057">
      <w:pPr>
        <w:pStyle w:val="ARbody"/>
      </w:pPr>
      <w:r w:rsidRPr="001627A9">
        <w:t>The Syphilis in Pregnancy project is an outreach project to support pregnant women with complex needs to facilitate timely treatment and follow-up throughout pregnancy. The women</w:t>
      </w:r>
      <w:r w:rsidR="007D145B">
        <w:t>’</w:t>
      </w:r>
      <w:r w:rsidRPr="001627A9">
        <w:t>s partners are also notified to ensure that they are also treated to prevent re-infection of women throughout pregnancy. Officers of the department are assisting women with booking and attending appointments, providing food and transport vouchers and linking in with support organisations. A total of 37 women were assisted between July 2020 and June 2021. There were no congenital syphilis cases among babies born to women assisted through this project.</w:t>
      </w:r>
    </w:p>
    <w:p w14:paraId="235DE636" w14:textId="77777777" w:rsidR="00496244" w:rsidRPr="001627A9" w:rsidRDefault="00496244" w:rsidP="00317057">
      <w:pPr>
        <w:pStyle w:val="Heading6"/>
        <w:rPr>
          <w:rFonts w:cs="Arial"/>
          <w:szCs w:val="20"/>
        </w:rPr>
      </w:pPr>
      <w:bookmarkStart w:id="102" w:name="_Toc85121009"/>
      <w:r w:rsidRPr="001627A9">
        <w:rPr>
          <w:rFonts w:cs="Arial"/>
          <w:szCs w:val="20"/>
        </w:rPr>
        <w:t>Reducing the impact of skin cancer in Victoria</w:t>
      </w:r>
      <w:bookmarkEnd w:id="102"/>
    </w:p>
    <w:p w14:paraId="645572F1" w14:textId="77777777" w:rsidR="00496244" w:rsidRPr="001627A9" w:rsidRDefault="00496244" w:rsidP="00603E4B">
      <w:pPr>
        <w:pStyle w:val="ARbody"/>
        <w:rPr>
          <w:szCs w:val="20"/>
        </w:rPr>
      </w:pPr>
      <w:r w:rsidRPr="001627A9">
        <w:rPr>
          <w:szCs w:val="20"/>
        </w:rPr>
        <w:t>Melanoma is the fifth most common cancer in Victoria, with 2,841 new cases diagnosed and 270 deaths in 2019 (the most recent data).</w:t>
      </w:r>
    </w:p>
    <w:p w14:paraId="3D2772C6" w14:textId="77777777" w:rsidR="00496244" w:rsidRPr="001627A9" w:rsidRDefault="00496244" w:rsidP="00603E4B">
      <w:pPr>
        <w:pStyle w:val="ARbody"/>
        <w:rPr>
          <w:szCs w:val="20"/>
        </w:rPr>
      </w:pPr>
      <w:r w:rsidRPr="001627A9">
        <w:rPr>
          <w:szCs w:val="20"/>
        </w:rPr>
        <w:t>Skin cancer is also one of the most preventable forms of cancer and the risk can be reduced by wearing sun smart clothing, sunscreen, sunglasses and providing shade.</w:t>
      </w:r>
    </w:p>
    <w:p w14:paraId="2D6AECFF" w14:textId="3168AF78" w:rsidR="00496244" w:rsidRPr="001627A9" w:rsidRDefault="00496244" w:rsidP="00603E4B">
      <w:pPr>
        <w:pStyle w:val="ARbody"/>
        <w:rPr>
          <w:szCs w:val="20"/>
        </w:rPr>
      </w:pPr>
      <w:r w:rsidRPr="001627A9">
        <w:rPr>
          <w:szCs w:val="20"/>
        </w:rPr>
        <w:t>As part of the Victorian Government</w:t>
      </w:r>
      <w:r w:rsidR="007D145B">
        <w:rPr>
          <w:szCs w:val="20"/>
        </w:rPr>
        <w:t>’</w:t>
      </w:r>
      <w:r w:rsidRPr="001627A9">
        <w:rPr>
          <w:szCs w:val="20"/>
        </w:rPr>
        <w:t xml:space="preserve">s $15.1 million Skin Cancer Prevention Initiative, the department </w:t>
      </w:r>
      <w:r>
        <w:rPr>
          <w:szCs w:val="20"/>
        </w:rPr>
        <w:t>is investing</w:t>
      </w:r>
      <w:r w:rsidRPr="001627A9">
        <w:rPr>
          <w:szCs w:val="20"/>
        </w:rPr>
        <w:t xml:space="preserve"> $10 million from 201</w:t>
      </w:r>
      <w:r w:rsidR="005C203A">
        <w:rPr>
          <w:szCs w:val="20"/>
        </w:rPr>
        <w:t>9–</w:t>
      </w:r>
      <w:r w:rsidRPr="001627A9">
        <w:rPr>
          <w:szCs w:val="20"/>
        </w:rPr>
        <w:t>2023 to increase shade protection, of which up to $2 million is allocated to the provision of sun protection items (including sun-protective hats and sunscreen).</w:t>
      </w:r>
    </w:p>
    <w:p w14:paraId="7A12CF05" w14:textId="2A42AAD0" w:rsidR="00496244" w:rsidRPr="001627A9" w:rsidRDefault="00496244" w:rsidP="00603E4B">
      <w:pPr>
        <w:pStyle w:val="ARbody"/>
        <w:rPr>
          <w:szCs w:val="20"/>
        </w:rPr>
      </w:pPr>
      <w:r w:rsidRPr="001627A9">
        <w:rPr>
          <w:szCs w:val="20"/>
        </w:rPr>
        <w:t>Currently in its sixth round, the Shade Grants Program aims to reduce Victorians</w:t>
      </w:r>
      <w:r w:rsidR="007D145B">
        <w:rPr>
          <w:szCs w:val="20"/>
        </w:rPr>
        <w:t>’</w:t>
      </w:r>
      <w:r w:rsidRPr="001627A9">
        <w:rPr>
          <w:szCs w:val="20"/>
        </w:rPr>
        <w:t xml:space="preserve"> exposure to UV radiation by increasing shade in public places across the state and by promoting uptake of </w:t>
      </w:r>
      <w:r w:rsidR="00D97BFD">
        <w:rPr>
          <w:szCs w:val="20"/>
        </w:rPr>
        <w:br/>
      </w:r>
      <w:r w:rsidRPr="001627A9">
        <w:rPr>
          <w:szCs w:val="20"/>
        </w:rPr>
        <w:t>sun</w:t>
      </w:r>
      <w:r>
        <w:rPr>
          <w:szCs w:val="20"/>
        </w:rPr>
        <w:t>-</w:t>
      </w:r>
      <w:r w:rsidRPr="001627A9">
        <w:rPr>
          <w:szCs w:val="20"/>
        </w:rPr>
        <w:t>protective practices.</w:t>
      </w:r>
    </w:p>
    <w:p w14:paraId="3E9CF198" w14:textId="6B3567C6" w:rsidR="00496244" w:rsidRPr="001627A9" w:rsidRDefault="00496244" w:rsidP="00603E4B">
      <w:pPr>
        <w:pStyle w:val="ARbody"/>
        <w:rPr>
          <w:szCs w:val="20"/>
        </w:rPr>
      </w:pPr>
      <w:r w:rsidRPr="001627A9">
        <w:rPr>
          <w:szCs w:val="20"/>
        </w:rPr>
        <w:t>The program is offered once a year, across two</w:t>
      </w:r>
      <w:r w:rsidR="00D97BFD">
        <w:rPr>
          <w:szCs w:val="20"/>
        </w:rPr>
        <w:t> </w:t>
      </w:r>
      <w:r w:rsidRPr="001627A9">
        <w:rPr>
          <w:szCs w:val="20"/>
        </w:rPr>
        <w:t>grant categories:</w:t>
      </w:r>
    </w:p>
    <w:p w14:paraId="25ED3AF3" w14:textId="77777777" w:rsidR="00496244" w:rsidRPr="001627A9" w:rsidRDefault="00496244" w:rsidP="00317057">
      <w:pPr>
        <w:pStyle w:val="ARbullet1"/>
      </w:pPr>
      <w:r w:rsidRPr="001627A9">
        <w:t>School Shade Grants Program</w:t>
      </w:r>
    </w:p>
    <w:p w14:paraId="18FB30E1" w14:textId="77777777" w:rsidR="00496244" w:rsidRPr="001627A9" w:rsidRDefault="00496244" w:rsidP="00317057">
      <w:pPr>
        <w:pStyle w:val="ARbullet1"/>
      </w:pPr>
      <w:r w:rsidRPr="001627A9">
        <w:t>Community Shade Grants Program.</w:t>
      </w:r>
    </w:p>
    <w:p w14:paraId="778EEED8" w14:textId="77777777" w:rsidR="00496244" w:rsidRPr="001627A9" w:rsidRDefault="00496244" w:rsidP="00603E4B">
      <w:pPr>
        <w:pStyle w:val="ARbodyafterbullets"/>
        <w:rPr>
          <w:szCs w:val="20"/>
        </w:rPr>
      </w:pPr>
      <w:r w:rsidRPr="001627A9">
        <w:rPr>
          <w:szCs w:val="20"/>
        </w:rPr>
        <w:t>As a result of this program, schools and other community spaces can continue to have sun smart spaces for children, reducing their risk of skin cancer later in life.</w:t>
      </w:r>
    </w:p>
    <w:p w14:paraId="416DBCC5" w14:textId="68474623" w:rsidR="00496244" w:rsidRPr="00ED7862" w:rsidRDefault="00496244" w:rsidP="00603E4B">
      <w:pPr>
        <w:pStyle w:val="ARbody"/>
        <w:rPr>
          <w:szCs w:val="20"/>
        </w:rPr>
      </w:pPr>
      <w:r w:rsidRPr="001627A9">
        <w:rPr>
          <w:szCs w:val="20"/>
        </w:rPr>
        <w:t>Since the program commenced in 2015 to 30</w:t>
      </w:r>
      <w:r w:rsidR="00D97BFD">
        <w:rPr>
          <w:szCs w:val="20"/>
        </w:rPr>
        <w:t> </w:t>
      </w:r>
      <w:r w:rsidRPr="001627A9">
        <w:rPr>
          <w:szCs w:val="20"/>
        </w:rPr>
        <w:t>June</w:t>
      </w:r>
      <w:r w:rsidR="00D97BFD">
        <w:rPr>
          <w:szCs w:val="20"/>
        </w:rPr>
        <w:t> </w:t>
      </w:r>
      <w:r w:rsidRPr="001627A9">
        <w:rPr>
          <w:szCs w:val="20"/>
        </w:rPr>
        <w:t>2021, 1,634 grants totalling over $14</w:t>
      </w:r>
      <w:r w:rsidR="00D97BFD">
        <w:rPr>
          <w:szCs w:val="20"/>
        </w:rPr>
        <w:t> </w:t>
      </w:r>
      <w:r w:rsidRPr="001627A9">
        <w:rPr>
          <w:szCs w:val="20"/>
        </w:rPr>
        <w:t>million have been awarded.</w:t>
      </w:r>
    </w:p>
    <w:p w14:paraId="29EFA56A" w14:textId="77777777" w:rsidR="00496244" w:rsidRPr="00792C2B" w:rsidRDefault="00496244" w:rsidP="000B6E53">
      <w:pPr>
        <w:pStyle w:val="Heading6"/>
      </w:pPr>
      <w:r w:rsidRPr="00792C2B">
        <w:t>Medically supervised injecting room</w:t>
      </w:r>
    </w:p>
    <w:p w14:paraId="69A990CC" w14:textId="3DF9945E" w:rsidR="00496244" w:rsidRDefault="00496244" w:rsidP="00317057">
      <w:pPr>
        <w:pStyle w:val="ARbody"/>
        <w:rPr>
          <w:lang w:eastAsia="en-AU"/>
        </w:rPr>
      </w:pPr>
      <w:r>
        <w:rPr>
          <w:lang w:eastAsia="en-AU"/>
        </w:rPr>
        <w:t>Victoria</w:t>
      </w:r>
      <w:r w:rsidR="007D145B">
        <w:rPr>
          <w:lang w:eastAsia="en-AU"/>
        </w:rPr>
        <w:t>’</w:t>
      </w:r>
      <w:r>
        <w:rPr>
          <w:lang w:eastAsia="en-AU"/>
        </w:rPr>
        <w:t>s first medically supervised injecting room trial is saving lives and in June 2020 was extended for a further three years until June 2023, after an independent review.</w:t>
      </w:r>
    </w:p>
    <w:p w14:paraId="2924D247" w14:textId="77777777" w:rsidR="00496244" w:rsidRDefault="00496244" w:rsidP="00317057">
      <w:pPr>
        <w:pStyle w:val="ARbody"/>
        <w:rPr>
          <w:lang w:eastAsia="en-AU"/>
        </w:rPr>
      </w:pPr>
      <w:r>
        <w:rPr>
          <w:lang w:eastAsia="en-AU"/>
        </w:rPr>
        <w:t>Since the North Richmond service opened in June 2018 until June 2021, staff have safely responded to more than 4,400 overdoses, some of which may have otherwise been fatal or resulted in serious injury. The review found that ambulance attendances reduced in the vicinity of the service, as did the spread of blood-borne viruses.</w:t>
      </w:r>
    </w:p>
    <w:p w14:paraId="04A3C46A" w14:textId="49E58BA2" w:rsidR="00496244" w:rsidRDefault="00496244" w:rsidP="00317057">
      <w:pPr>
        <w:pStyle w:val="ARbody"/>
        <w:rPr>
          <w:lang w:eastAsia="en-AU"/>
        </w:rPr>
      </w:pPr>
      <w:r>
        <w:rPr>
          <w:lang w:eastAsia="en-AU"/>
        </w:rPr>
        <w:t>In its first three years of operation, more than 5,600</w:t>
      </w:r>
      <w:r w:rsidR="00D97BFD">
        <w:rPr>
          <w:lang w:eastAsia="en-AU"/>
        </w:rPr>
        <w:t> </w:t>
      </w:r>
      <w:r>
        <w:rPr>
          <w:lang w:eastAsia="en-AU"/>
        </w:rPr>
        <w:t>people have used the service and are able to</w:t>
      </w:r>
      <w:r w:rsidR="00D97BFD">
        <w:rPr>
          <w:lang w:eastAsia="en-AU"/>
        </w:rPr>
        <w:t> </w:t>
      </w:r>
      <w:r>
        <w:rPr>
          <w:lang w:eastAsia="en-AU"/>
        </w:rPr>
        <w:t>access co-located health and social support services. Staff are providing health and social support interventions, including for mental health, housing and drug treatment – helping to make a lasting positive impact on people</w:t>
      </w:r>
      <w:r w:rsidR="007D145B">
        <w:rPr>
          <w:lang w:eastAsia="en-AU"/>
        </w:rPr>
        <w:t>’</w:t>
      </w:r>
      <w:r>
        <w:rPr>
          <w:lang w:eastAsia="en-AU"/>
        </w:rPr>
        <w:t>s lives.</w:t>
      </w:r>
    </w:p>
    <w:p w14:paraId="19B2C916" w14:textId="77777777" w:rsidR="00496244" w:rsidRDefault="00496244" w:rsidP="00317057">
      <w:pPr>
        <w:pStyle w:val="ARbody"/>
        <w:rPr>
          <w:lang w:eastAsia="en-AU"/>
        </w:rPr>
      </w:pPr>
      <w:r>
        <w:rPr>
          <w:lang w:eastAsia="en-AU"/>
        </w:rPr>
        <w:t>The independent review also recommended the trial be expanded to include another service in an appropriate location within the City of Melbourne. Former Victoria Police Chief Commissioner Ken Lay AO APM has led community consultation and examined data and evidence to inform decision-making about the second service. The location and opening date have yet to be decided.</w:t>
      </w:r>
    </w:p>
    <w:p w14:paraId="7AD91BC4" w14:textId="77777777" w:rsidR="00496244" w:rsidRDefault="00496244" w:rsidP="00317057">
      <w:pPr>
        <w:pStyle w:val="ARbody"/>
        <w:rPr>
          <w:lang w:eastAsia="en-AU"/>
        </w:rPr>
      </w:pPr>
      <w:r>
        <w:rPr>
          <w:lang w:eastAsia="en-AU"/>
        </w:rPr>
        <w:t>A new independent panel has been formed to review the trial and is due to deliver its final report by December 2022.</w:t>
      </w:r>
    </w:p>
    <w:p w14:paraId="760B390B" w14:textId="77777777" w:rsidR="00496244" w:rsidRDefault="00496244" w:rsidP="00317057">
      <w:pPr>
        <w:pStyle w:val="Heading6"/>
        <w:rPr>
          <w:lang w:eastAsia="en-AU"/>
        </w:rPr>
      </w:pPr>
      <w:bookmarkStart w:id="103" w:name="_Toc85121010"/>
      <w:bookmarkStart w:id="104" w:name="_Ref85204892"/>
      <w:r w:rsidRPr="00C859F6">
        <w:rPr>
          <w:lang w:eastAsia="en-AU"/>
        </w:rPr>
        <w:lastRenderedPageBreak/>
        <w:t>Safeguarding drinking water supplies</w:t>
      </w:r>
      <w:bookmarkEnd w:id="103"/>
      <w:bookmarkEnd w:id="104"/>
    </w:p>
    <w:p w14:paraId="27984B2A" w14:textId="2F287959" w:rsidR="00496244" w:rsidRDefault="00496244" w:rsidP="00317057">
      <w:pPr>
        <w:pStyle w:val="ARbody"/>
        <w:rPr>
          <w:szCs w:val="20"/>
        </w:rPr>
      </w:pPr>
      <w:r w:rsidRPr="00FB3BC6">
        <w:rPr>
          <w:szCs w:val="20"/>
        </w:rPr>
        <w:t>Safe drinking water is fundamental to the department</w:t>
      </w:r>
      <w:r w:rsidR="007D145B">
        <w:rPr>
          <w:szCs w:val="20"/>
        </w:rPr>
        <w:t>’</w:t>
      </w:r>
      <w:r w:rsidRPr="00FB3BC6">
        <w:rPr>
          <w:szCs w:val="20"/>
        </w:rPr>
        <w:t>s aspiration for all Victorians to be healthy, safe and able to lead a l</w:t>
      </w:r>
      <w:r w:rsidRPr="00E5302C">
        <w:rPr>
          <w:szCs w:val="20"/>
        </w:rPr>
        <w:t xml:space="preserve">ife they value. </w:t>
      </w:r>
      <w:r w:rsidRPr="00FB3BC6">
        <w:rPr>
          <w:szCs w:val="20"/>
        </w:rPr>
        <w:t>Drinking water quality management continues to</w:t>
      </w:r>
      <w:r w:rsidR="00D97BFD">
        <w:rPr>
          <w:szCs w:val="20"/>
        </w:rPr>
        <w:t> </w:t>
      </w:r>
      <w:r w:rsidRPr="00FB3BC6">
        <w:rPr>
          <w:szCs w:val="20"/>
        </w:rPr>
        <w:t>be</w:t>
      </w:r>
      <w:r w:rsidR="00D97BFD">
        <w:rPr>
          <w:szCs w:val="20"/>
        </w:rPr>
        <w:t> </w:t>
      </w:r>
      <w:r w:rsidRPr="00FB3BC6">
        <w:rPr>
          <w:szCs w:val="20"/>
        </w:rPr>
        <w:t>a foundation for preventing and controlling waterborne diseases.</w:t>
      </w:r>
    </w:p>
    <w:p w14:paraId="188860F4" w14:textId="34A3D3D4" w:rsidR="00496244" w:rsidRDefault="00496244" w:rsidP="00317057">
      <w:pPr>
        <w:pStyle w:val="ARbody"/>
        <w:rPr>
          <w:szCs w:val="20"/>
        </w:rPr>
      </w:pPr>
      <w:r w:rsidRPr="00116019">
        <w:rPr>
          <w:szCs w:val="20"/>
        </w:rPr>
        <w:t xml:space="preserve">The department administers the </w:t>
      </w:r>
      <w:bookmarkStart w:id="105" w:name="_Hlk85204445"/>
      <w:r w:rsidRPr="00100BF5">
        <w:rPr>
          <w:i/>
          <w:szCs w:val="20"/>
        </w:rPr>
        <w:t>Safe Drinking Water Act 2003</w:t>
      </w:r>
      <w:r w:rsidRPr="00FB3BC6">
        <w:rPr>
          <w:szCs w:val="20"/>
        </w:rPr>
        <w:t xml:space="preserve"> </w:t>
      </w:r>
      <w:bookmarkEnd w:id="105"/>
      <w:r w:rsidRPr="00FB3BC6">
        <w:rPr>
          <w:szCs w:val="20"/>
        </w:rPr>
        <w:t>and the Safe Drinking Water Regulations 2015 and play</w:t>
      </w:r>
      <w:r>
        <w:rPr>
          <w:szCs w:val="20"/>
        </w:rPr>
        <w:t>s</w:t>
      </w:r>
      <w:r w:rsidRPr="00FB3BC6">
        <w:rPr>
          <w:szCs w:val="20"/>
        </w:rPr>
        <w:t xml:space="preserve"> a key regulatory role to</w:t>
      </w:r>
      <w:r w:rsidR="00D97BFD">
        <w:rPr>
          <w:szCs w:val="20"/>
        </w:rPr>
        <w:t> </w:t>
      </w:r>
      <w:r w:rsidRPr="00FB3BC6">
        <w:rPr>
          <w:szCs w:val="20"/>
        </w:rPr>
        <w:t xml:space="preserve">ensure water agencies undertake their </w:t>
      </w:r>
      <w:r>
        <w:rPr>
          <w:szCs w:val="20"/>
        </w:rPr>
        <w:t xml:space="preserve">statutory </w:t>
      </w:r>
      <w:r w:rsidRPr="00FB3BC6">
        <w:rPr>
          <w:szCs w:val="20"/>
        </w:rPr>
        <w:t>obligations.</w:t>
      </w:r>
    </w:p>
    <w:p w14:paraId="42FC2A30" w14:textId="4EB76ECC" w:rsidR="00496244" w:rsidRDefault="00496244" w:rsidP="00317057">
      <w:pPr>
        <w:pStyle w:val="ARbody"/>
        <w:rPr>
          <w:szCs w:val="20"/>
        </w:rPr>
      </w:pPr>
      <w:r w:rsidRPr="1C9646AE">
        <w:rPr>
          <w:szCs w:val="20"/>
        </w:rPr>
        <w:t>In this reporting period the department worked with</w:t>
      </w:r>
      <w:r w:rsidR="00D97BFD">
        <w:rPr>
          <w:szCs w:val="20"/>
        </w:rPr>
        <w:t> </w:t>
      </w:r>
      <w:r w:rsidRPr="1C9646AE">
        <w:rPr>
          <w:szCs w:val="20"/>
        </w:rPr>
        <w:t>water agencies to respond to the impacts of storms, floods and power outages impacting on many drinking water supplies</w:t>
      </w:r>
      <w:r>
        <w:rPr>
          <w:szCs w:val="20"/>
        </w:rPr>
        <w:t>,</w:t>
      </w:r>
      <w:r w:rsidRPr="1C9646AE">
        <w:rPr>
          <w:szCs w:val="20"/>
        </w:rPr>
        <w:t xml:space="preserve"> most notably the Silvan drinking water </w:t>
      </w:r>
      <w:r w:rsidRPr="002F1A3B">
        <w:rPr>
          <w:szCs w:val="20"/>
        </w:rPr>
        <w:t>quality incident in August 2020,</w:t>
      </w:r>
      <w:r w:rsidRPr="1C9646AE">
        <w:rPr>
          <w:szCs w:val="20"/>
        </w:rPr>
        <w:t xml:space="preserve"> which resulted in over a quarter of a million Melburnians needing to boil water for drinking. Since December 2019 there has been a</w:t>
      </w:r>
      <w:r>
        <w:rPr>
          <w:szCs w:val="20"/>
        </w:rPr>
        <w:t>n increase</w:t>
      </w:r>
      <w:r w:rsidRPr="1C9646AE">
        <w:rPr>
          <w:szCs w:val="20"/>
        </w:rPr>
        <w:t xml:space="preserve"> in the number of drinking water advisories issued by water agencies. Whil</w:t>
      </w:r>
      <w:r>
        <w:rPr>
          <w:szCs w:val="20"/>
        </w:rPr>
        <w:t>e</w:t>
      </w:r>
      <w:r w:rsidRPr="1C9646AE">
        <w:rPr>
          <w:szCs w:val="20"/>
        </w:rPr>
        <w:t xml:space="preserve"> some were due to extreme weather events, others were due to preventable circumstances.</w:t>
      </w:r>
    </w:p>
    <w:p w14:paraId="146073CF" w14:textId="77777777" w:rsidR="00864121" w:rsidRDefault="00496244" w:rsidP="00317057">
      <w:pPr>
        <w:pStyle w:val="ARbody"/>
        <w:rPr>
          <w:szCs w:val="20"/>
        </w:rPr>
      </w:pPr>
      <w:r w:rsidRPr="00FB3BC6">
        <w:rPr>
          <w:szCs w:val="20"/>
        </w:rPr>
        <w:t>The compounding risks of climate change with more freque</w:t>
      </w:r>
      <w:r w:rsidRPr="002F1AE0">
        <w:rPr>
          <w:szCs w:val="20"/>
        </w:rPr>
        <w:t xml:space="preserve">nt bushfires, floods, power outages and algal blooms will continue to challenge the quality and supply of our drinking water. </w:t>
      </w:r>
      <w:r w:rsidRPr="00456B9B">
        <w:rPr>
          <w:szCs w:val="20"/>
        </w:rPr>
        <w:t xml:space="preserve">We therefore must remain focused and committed to safeguarding </w:t>
      </w:r>
      <w:r>
        <w:rPr>
          <w:szCs w:val="20"/>
        </w:rPr>
        <w:t>this</w:t>
      </w:r>
      <w:r w:rsidRPr="00456B9B">
        <w:rPr>
          <w:szCs w:val="20"/>
        </w:rPr>
        <w:t xml:space="preserve"> precious </w:t>
      </w:r>
      <w:r>
        <w:rPr>
          <w:szCs w:val="20"/>
        </w:rPr>
        <w:t>resource</w:t>
      </w:r>
      <w:r w:rsidRPr="00456B9B">
        <w:rPr>
          <w:szCs w:val="20"/>
        </w:rPr>
        <w:t>.</w:t>
      </w:r>
    </w:p>
    <w:p w14:paraId="01208F94" w14:textId="062916C8" w:rsidR="00496244" w:rsidRDefault="00496244" w:rsidP="00317057">
      <w:pPr>
        <w:pStyle w:val="Heading6"/>
      </w:pPr>
      <w:bookmarkStart w:id="106" w:name="_Toc85121011"/>
      <w:r w:rsidRPr="007E1732">
        <w:t>Improving access to dental services for</w:t>
      </w:r>
      <w:r w:rsidR="00D97BFD">
        <w:rPr>
          <w:lang w:val="en-US"/>
        </w:rPr>
        <w:t> </w:t>
      </w:r>
      <w:r w:rsidRPr="007E1732">
        <w:t>Victoria</w:t>
      </w:r>
      <w:r w:rsidR="007D145B">
        <w:t>’</w:t>
      </w:r>
      <w:r w:rsidRPr="007E1732">
        <w:t>s Aboriginal community</w:t>
      </w:r>
      <w:bookmarkEnd w:id="106"/>
    </w:p>
    <w:p w14:paraId="5930C09C" w14:textId="61597C8B" w:rsidR="00496244" w:rsidRDefault="00496244" w:rsidP="00317057">
      <w:pPr>
        <w:pStyle w:val="ARbody"/>
        <w:rPr>
          <w:szCs w:val="20"/>
        </w:rPr>
      </w:pPr>
      <w:r w:rsidRPr="007E1732">
        <w:rPr>
          <w:szCs w:val="20"/>
        </w:rPr>
        <w:t>In 2021 changes to the current eligibility criteria for</w:t>
      </w:r>
      <w:r w:rsidR="00D97BFD">
        <w:rPr>
          <w:szCs w:val="20"/>
        </w:rPr>
        <w:t> </w:t>
      </w:r>
      <w:r w:rsidRPr="007E1732">
        <w:rPr>
          <w:szCs w:val="20"/>
        </w:rPr>
        <w:t>public dental services saw all Aboriginal people have priority access to public dental treatment regardless of concession card status. In addition, a</w:t>
      </w:r>
      <w:r w:rsidR="00D97BFD">
        <w:rPr>
          <w:szCs w:val="20"/>
        </w:rPr>
        <w:t> </w:t>
      </w:r>
      <w:r w:rsidRPr="007E1732">
        <w:rPr>
          <w:szCs w:val="20"/>
        </w:rPr>
        <w:t xml:space="preserve">range of prevention, early intervention and treatment dental services for Aboriginal families were delivered through Dental Health Services Victoria and partnerships established between community dental services and Aboriginal community-controlled health </w:t>
      </w:r>
      <w:r>
        <w:rPr>
          <w:szCs w:val="20"/>
        </w:rPr>
        <w:t>organisations</w:t>
      </w:r>
      <w:r w:rsidRPr="007E1732">
        <w:rPr>
          <w:szCs w:val="20"/>
        </w:rPr>
        <w:t>.</w:t>
      </w:r>
    </w:p>
    <w:p w14:paraId="3E5A0215" w14:textId="77777777" w:rsidR="00496244" w:rsidRPr="00C859F6" w:rsidRDefault="00496244" w:rsidP="00317057">
      <w:pPr>
        <w:pStyle w:val="Heading6"/>
        <w:rPr>
          <w:lang w:eastAsia="en-AU"/>
        </w:rPr>
      </w:pPr>
      <w:bookmarkStart w:id="107" w:name="_Toc85121012"/>
      <w:r w:rsidRPr="1FEFF877">
        <w:rPr>
          <w:lang w:eastAsia="en-AU"/>
        </w:rPr>
        <w:t>Mo</w:t>
      </w:r>
      <w:r w:rsidRPr="00C859F6">
        <w:rPr>
          <w:lang w:eastAsia="en-AU"/>
        </w:rPr>
        <w:t>re healthy smiles for rural and regional</w:t>
      </w:r>
      <w:r>
        <w:rPr>
          <w:lang w:val="en-US" w:eastAsia="en-AU"/>
        </w:rPr>
        <w:t> </w:t>
      </w:r>
      <w:r w:rsidRPr="00C859F6">
        <w:rPr>
          <w:lang w:eastAsia="en-AU"/>
        </w:rPr>
        <w:t>Victorians</w:t>
      </w:r>
      <w:bookmarkEnd w:id="107"/>
    </w:p>
    <w:p w14:paraId="1E0EA3AB" w14:textId="77777777" w:rsidR="00496244" w:rsidRPr="00C859F6" w:rsidRDefault="00496244" w:rsidP="00317057">
      <w:pPr>
        <w:pStyle w:val="ARbody"/>
        <w:rPr>
          <w:rFonts w:eastAsia="Arial"/>
          <w:color w:val="000000" w:themeColor="text1"/>
          <w:szCs w:val="20"/>
          <w:lang w:val="en-GB"/>
        </w:rPr>
      </w:pPr>
      <w:r w:rsidRPr="00C859F6">
        <w:rPr>
          <w:rFonts w:eastAsia="Arial"/>
          <w:color w:val="000000" w:themeColor="text1"/>
          <w:szCs w:val="20"/>
          <w:lang w:val="en-GB"/>
        </w:rPr>
        <w:t xml:space="preserve">In 2020, the government released the </w:t>
      </w:r>
      <w:r w:rsidRPr="00B01571">
        <w:rPr>
          <w:rFonts w:eastAsia="Arial"/>
          <w:i/>
          <w:iCs/>
          <w:color w:val="000000" w:themeColor="text1"/>
          <w:szCs w:val="20"/>
          <w:lang w:val="en-GB"/>
        </w:rPr>
        <w:t>Victorian action plan to prevent oral disease 2020–30</w:t>
      </w:r>
      <w:r w:rsidRPr="00C859F6">
        <w:rPr>
          <w:rFonts w:eastAsia="Arial"/>
          <w:color w:val="000000" w:themeColor="text1"/>
          <w:szCs w:val="20"/>
          <w:lang w:val="en-GB"/>
        </w:rPr>
        <w:t>. The plan sets out a vision to achieve good oral health for all Victorians by 2030, with a focus on reducing the gap in oral health for people that are at higher risk of oral disease.</w:t>
      </w:r>
    </w:p>
    <w:p w14:paraId="32A987E7" w14:textId="77777777" w:rsidR="00496244" w:rsidRDefault="00496244" w:rsidP="00317057">
      <w:pPr>
        <w:pStyle w:val="ARbody"/>
        <w:rPr>
          <w:rFonts w:eastAsia="Arial"/>
          <w:color w:val="000000" w:themeColor="text1"/>
          <w:szCs w:val="20"/>
          <w:lang w:val="en-GB"/>
        </w:rPr>
      </w:pPr>
      <w:r w:rsidRPr="00C859F6">
        <w:t xml:space="preserve">Within this </w:t>
      </w:r>
      <w:r>
        <w:t>a</w:t>
      </w:r>
      <w:r w:rsidRPr="00C859F6">
        <w:t xml:space="preserve">ction </w:t>
      </w:r>
      <w:r>
        <w:t>p</w:t>
      </w:r>
      <w:r w:rsidRPr="00C859F6">
        <w:t xml:space="preserve">lan, the government has identified increasing access to water fluoridation as a way to improve oral health in rural and regional communities. </w:t>
      </w:r>
      <w:r w:rsidRPr="00C859F6">
        <w:rPr>
          <w:rFonts w:eastAsia="Arial"/>
          <w:color w:val="000000" w:themeColor="text1"/>
          <w:szCs w:val="20"/>
          <w:lang w:val="en-GB"/>
        </w:rPr>
        <w:t>Water fluoridation helps to reduce tooth decay because fluoride acts like a constant repair kit for teeth.</w:t>
      </w:r>
    </w:p>
    <w:p w14:paraId="2CCF65E9" w14:textId="77777777" w:rsidR="00496244" w:rsidRPr="00C859F6" w:rsidRDefault="00496244" w:rsidP="00317057">
      <w:pPr>
        <w:pStyle w:val="ARbody"/>
      </w:pPr>
      <w:r>
        <w:t xml:space="preserve">As </w:t>
      </w:r>
      <w:r w:rsidRPr="00C859F6">
        <w:t>a step towards this goal</w:t>
      </w:r>
      <w:r>
        <w:t xml:space="preserve">, </w:t>
      </w:r>
      <w:r w:rsidRPr="00C859F6">
        <w:rPr>
          <w:rFonts w:eastAsia="Arial"/>
          <w:color w:val="000000" w:themeColor="text1"/>
          <w:szCs w:val="20"/>
          <w:lang w:val="en-GB"/>
        </w:rPr>
        <w:t>water fluoridation was introduced to Cohuna</w:t>
      </w:r>
      <w:r>
        <w:rPr>
          <w:rFonts w:eastAsia="Arial"/>
          <w:color w:val="000000" w:themeColor="text1"/>
          <w:szCs w:val="20"/>
          <w:lang w:val="en-GB"/>
        </w:rPr>
        <w:t xml:space="preserve"> in April 2021.</w:t>
      </w:r>
      <w:r w:rsidRPr="00C859F6">
        <w:rPr>
          <w:rFonts w:eastAsia="Arial"/>
          <w:color w:val="000000" w:themeColor="text1"/>
          <w:szCs w:val="20"/>
          <w:lang w:val="en-GB"/>
        </w:rPr>
        <w:t xml:space="preserve"> </w:t>
      </w:r>
      <w:r w:rsidRPr="00B01571">
        <w:rPr>
          <w:rFonts w:eastAsia="Arial"/>
          <w:color w:val="000000" w:themeColor="text1"/>
          <w:szCs w:val="20"/>
          <w:lang w:val="en-US"/>
        </w:rPr>
        <w:t>This</w:t>
      </w:r>
      <w:r w:rsidRPr="000E4F3E">
        <w:rPr>
          <w:rFonts w:eastAsia="Arial"/>
          <w:color w:val="000000" w:themeColor="text1"/>
          <w:szCs w:val="20"/>
          <w:lang w:val="en-US"/>
        </w:rPr>
        <w:t xml:space="preserve"> will lead to improvements in the oral health of the people who </w:t>
      </w:r>
      <w:r w:rsidRPr="009E786B">
        <w:rPr>
          <w:rFonts w:eastAsia="Arial"/>
          <w:color w:val="000000" w:themeColor="text1"/>
          <w:szCs w:val="20"/>
          <w:lang w:val="en-US"/>
        </w:rPr>
        <w:t>live there.</w:t>
      </w:r>
    </w:p>
    <w:p w14:paraId="2B856FF1" w14:textId="77777777" w:rsidR="00496244" w:rsidRDefault="00496244" w:rsidP="00D97BFD">
      <w:pPr>
        <w:pStyle w:val="Heading6"/>
        <w:spacing w:before="180" w:after="60"/>
      </w:pPr>
      <w:bookmarkStart w:id="108" w:name="_Toc85121013"/>
      <w:r w:rsidRPr="007E1732">
        <w:t>Climate change and health guidance</w:t>
      </w:r>
      <w:bookmarkEnd w:id="108"/>
    </w:p>
    <w:p w14:paraId="3924314A" w14:textId="6341BB8A" w:rsidR="00496244" w:rsidRPr="00100BF5" w:rsidRDefault="00496244" w:rsidP="00317057">
      <w:pPr>
        <w:pStyle w:val="ARbody"/>
        <w:rPr>
          <w:rFonts w:eastAsia="Times New Roman"/>
        </w:rPr>
      </w:pPr>
      <w:r>
        <w:rPr>
          <w:rFonts w:eastAsia="Times New Roman"/>
        </w:rPr>
        <w:t xml:space="preserve">Under </w:t>
      </w:r>
      <w:r w:rsidRPr="00100BF5">
        <w:rPr>
          <w:rFonts w:eastAsia="Times New Roman"/>
        </w:rPr>
        <w:t>Victoria</w:t>
      </w:r>
      <w:r w:rsidR="007D145B">
        <w:rPr>
          <w:rFonts w:eastAsia="Times New Roman"/>
        </w:rPr>
        <w:t>’</w:t>
      </w:r>
      <w:r w:rsidRPr="00100BF5">
        <w:rPr>
          <w:rFonts w:eastAsia="Times New Roman"/>
        </w:rPr>
        <w:t xml:space="preserve">s </w:t>
      </w:r>
      <w:r w:rsidRPr="00100BF5">
        <w:rPr>
          <w:rFonts w:eastAsia="Times New Roman"/>
          <w:i/>
        </w:rPr>
        <w:t>Climate Change Act 2017</w:t>
      </w:r>
      <w:r w:rsidRPr="00100BF5">
        <w:rPr>
          <w:rFonts w:eastAsia="Times New Roman"/>
        </w:rPr>
        <w:t xml:space="preserve"> </w:t>
      </w:r>
      <w:r>
        <w:rPr>
          <w:rFonts w:eastAsia="Times New Roman"/>
        </w:rPr>
        <w:t xml:space="preserve">local government, </w:t>
      </w:r>
      <w:r w:rsidRPr="00100BF5">
        <w:rPr>
          <w:rFonts w:eastAsia="Times New Roman"/>
        </w:rPr>
        <w:t>as a decision-maker</w:t>
      </w:r>
      <w:r>
        <w:rPr>
          <w:rFonts w:eastAsia="Times New Roman"/>
        </w:rPr>
        <w:t>,</w:t>
      </w:r>
      <w:r w:rsidRPr="00100BF5">
        <w:rPr>
          <w:rFonts w:eastAsia="Times New Roman"/>
        </w:rPr>
        <w:t xml:space="preserve"> must consider climate change when preparing a municipal public health and wellbeing plan. Tackling climate change and its impacts on health is also a focus of the </w:t>
      </w:r>
      <w:r w:rsidRPr="00100BF5">
        <w:rPr>
          <w:rFonts w:eastAsia="Times New Roman"/>
          <w:i/>
        </w:rPr>
        <w:t xml:space="preserve">Victorian public health and wellbeing plan </w:t>
      </w:r>
      <w:r w:rsidR="00D97BFD">
        <w:rPr>
          <w:rFonts w:eastAsia="Times New Roman"/>
          <w:i/>
        </w:rPr>
        <w:br/>
      </w:r>
      <w:r w:rsidRPr="00100BF5">
        <w:rPr>
          <w:rFonts w:eastAsia="Times New Roman"/>
          <w:i/>
        </w:rPr>
        <w:t>2019–2023</w:t>
      </w:r>
      <w:r w:rsidRPr="00100BF5">
        <w:rPr>
          <w:rFonts w:eastAsia="Times New Roman"/>
        </w:rPr>
        <w:t xml:space="preserve"> and, under the </w:t>
      </w:r>
      <w:r w:rsidRPr="00100BF5">
        <w:rPr>
          <w:rFonts w:eastAsia="Times New Roman"/>
          <w:i/>
        </w:rPr>
        <w:t>Public Health and Wellbeing Act 2008</w:t>
      </w:r>
      <w:r w:rsidRPr="00100BF5">
        <w:rPr>
          <w:rFonts w:eastAsia="Times New Roman"/>
        </w:rPr>
        <w:t>, councils are required to have</w:t>
      </w:r>
      <w:r w:rsidR="00D97BFD">
        <w:rPr>
          <w:rFonts w:eastAsia="Times New Roman"/>
        </w:rPr>
        <w:t> </w:t>
      </w:r>
      <w:r w:rsidRPr="00100BF5">
        <w:rPr>
          <w:rFonts w:eastAsia="Times New Roman"/>
        </w:rPr>
        <w:t xml:space="preserve">regard to the state plan when preparing </w:t>
      </w:r>
      <w:r>
        <w:rPr>
          <w:rFonts w:eastAsia="Times New Roman"/>
        </w:rPr>
        <w:t>their</w:t>
      </w:r>
      <w:r w:rsidR="00D97BFD">
        <w:rPr>
          <w:rFonts w:eastAsia="Times New Roman"/>
        </w:rPr>
        <w:t> </w:t>
      </w:r>
      <w:r>
        <w:rPr>
          <w:rFonts w:eastAsia="Times New Roman"/>
        </w:rPr>
        <w:t>own</w:t>
      </w:r>
      <w:r w:rsidRPr="00100BF5">
        <w:rPr>
          <w:rFonts w:eastAsia="Times New Roman"/>
        </w:rPr>
        <w:t xml:space="preserve"> plans.</w:t>
      </w:r>
    </w:p>
    <w:p w14:paraId="3C83BB53" w14:textId="77777777" w:rsidR="00496244" w:rsidRPr="00100BF5" w:rsidRDefault="00496244" w:rsidP="00317057">
      <w:pPr>
        <w:pStyle w:val="ARbody"/>
        <w:rPr>
          <w:rFonts w:eastAsia="Times New Roman"/>
        </w:rPr>
      </w:pPr>
      <w:r w:rsidRPr="00100BF5">
        <w:rPr>
          <w:rFonts w:eastAsia="Times New Roman"/>
        </w:rPr>
        <w:t xml:space="preserve">In August 2020 the </w:t>
      </w:r>
      <w:r>
        <w:rPr>
          <w:rFonts w:eastAsia="Times New Roman"/>
        </w:rPr>
        <w:t>department</w:t>
      </w:r>
      <w:r w:rsidRPr="00100BF5">
        <w:rPr>
          <w:rFonts w:eastAsia="Times New Roman"/>
        </w:rPr>
        <w:t xml:space="preserve"> published </w:t>
      </w:r>
      <w:r w:rsidRPr="00100BF5">
        <w:rPr>
          <w:rFonts w:eastAsia="Times New Roman"/>
          <w:i/>
        </w:rPr>
        <w:t xml:space="preserve">Tackling climate change and its impacts on health through municipal public health and wellbeing planning: </w:t>
      </w:r>
      <w:r>
        <w:rPr>
          <w:rFonts w:eastAsia="Times New Roman"/>
          <w:i/>
        </w:rPr>
        <w:t>g</w:t>
      </w:r>
      <w:r w:rsidRPr="00100BF5">
        <w:rPr>
          <w:rFonts w:eastAsia="Times New Roman"/>
          <w:i/>
        </w:rPr>
        <w:t>uidance for local government</w:t>
      </w:r>
      <w:r w:rsidRPr="00100BF5">
        <w:rPr>
          <w:rFonts w:eastAsia="Times New Roman"/>
        </w:rPr>
        <w:t xml:space="preserve">. </w:t>
      </w:r>
      <w:r>
        <w:rPr>
          <w:rFonts w:eastAsia="Times New Roman"/>
        </w:rPr>
        <w:t>T</w:t>
      </w:r>
      <w:r w:rsidRPr="00100BF5">
        <w:rPr>
          <w:rFonts w:eastAsia="Times New Roman"/>
        </w:rPr>
        <w:t>his guidance assist</w:t>
      </w:r>
      <w:r>
        <w:rPr>
          <w:rFonts w:eastAsia="Times New Roman"/>
        </w:rPr>
        <w:t>s</w:t>
      </w:r>
      <w:r w:rsidRPr="00100BF5">
        <w:rPr>
          <w:rFonts w:eastAsia="Times New Roman"/>
        </w:rPr>
        <w:t xml:space="preserve"> councils </w:t>
      </w:r>
      <w:r>
        <w:rPr>
          <w:rFonts w:eastAsia="Times New Roman"/>
        </w:rPr>
        <w:t>in</w:t>
      </w:r>
      <w:r w:rsidRPr="00100BF5">
        <w:rPr>
          <w:rFonts w:eastAsia="Times New Roman"/>
        </w:rPr>
        <w:t xml:space="preserve"> meeting the</w:t>
      </w:r>
      <w:r>
        <w:rPr>
          <w:rFonts w:eastAsia="Times New Roman"/>
        </w:rPr>
        <w:t>ir</w:t>
      </w:r>
      <w:r w:rsidRPr="00100BF5">
        <w:rPr>
          <w:rFonts w:eastAsia="Times New Roman"/>
        </w:rPr>
        <w:t xml:space="preserve"> legislative </w:t>
      </w:r>
      <w:r w:rsidRPr="00944F8D">
        <w:rPr>
          <w:rFonts w:eastAsia="Times New Roman"/>
        </w:rPr>
        <w:t>obligations and</w:t>
      </w:r>
      <w:r w:rsidRPr="00100BF5">
        <w:rPr>
          <w:rFonts w:eastAsia="Times New Roman"/>
        </w:rPr>
        <w:t xml:space="preserve"> seeks to encourage and embed action to tackle climate change and its impacts on health in municipal public health and wellbeing planning. It recognises the important role that councils can play in reducing the risks that climate change poses to the health and wellbeing of all Victorians and improving public health outcomes.</w:t>
      </w:r>
    </w:p>
    <w:p w14:paraId="24B63805" w14:textId="77777777" w:rsidR="00496244" w:rsidRPr="002029AF" w:rsidRDefault="00496244" w:rsidP="00603E4B">
      <w:pPr>
        <w:pStyle w:val="Heading5"/>
        <w:rPr>
          <w:rFonts w:eastAsia="Calibri"/>
        </w:rPr>
      </w:pPr>
      <w:bookmarkStart w:id="109" w:name="_Toc85121014"/>
      <w:r w:rsidRPr="002029AF">
        <w:rPr>
          <w:rFonts w:eastAsia="Calibri"/>
        </w:rPr>
        <w:t>Key result: Reduce deaths resulting from misuse of prescription medicines</w:t>
      </w:r>
      <w:bookmarkEnd w:id="109"/>
    </w:p>
    <w:p w14:paraId="7D8FDBA0" w14:textId="77777777" w:rsidR="00496244" w:rsidRPr="002029AF" w:rsidRDefault="00496244" w:rsidP="00D97BFD">
      <w:pPr>
        <w:pStyle w:val="Heading6"/>
        <w:spacing w:before="120"/>
      </w:pPr>
      <w:bookmarkStart w:id="110" w:name="_Toc85121015"/>
      <w:bookmarkStart w:id="111" w:name="_Ref492894463"/>
      <w:bookmarkStart w:id="112" w:name="_Ref492905644"/>
      <w:r w:rsidRPr="002029AF">
        <w:t>SafeScript</w:t>
      </w:r>
      <w:bookmarkEnd w:id="110"/>
    </w:p>
    <w:p w14:paraId="12E971BA" w14:textId="702845AC" w:rsidR="00496244" w:rsidRPr="002029AF" w:rsidRDefault="00496244" w:rsidP="001D75D0">
      <w:pPr>
        <w:pStyle w:val="ARbody"/>
      </w:pPr>
      <w:r w:rsidRPr="002029AF">
        <w:t>SafeScript</w:t>
      </w:r>
      <w:r>
        <w:t>, the Victorian Government</w:t>
      </w:r>
      <w:r w:rsidR="007D145B">
        <w:t>’</w:t>
      </w:r>
      <w:r>
        <w:t xml:space="preserve">s </w:t>
      </w:r>
      <w:r w:rsidRPr="002029AF">
        <w:t>comprehensive real-time prescription monitoring system</w:t>
      </w:r>
      <w:r>
        <w:t xml:space="preserve"> has now been in operation for nearly three years</w:t>
      </w:r>
      <w:r w:rsidRPr="002029AF">
        <w:t>. SafeScript gives doctors, nurse practitioners and pharmacists access to up-to-the-minute information on the prescription histories of their patients. It monitors all Schedule 8 medicines</w:t>
      </w:r>
      <w:r>
        <w:t>,</w:t>
      </w:r>
      <w:r w:rsidRPr="002029AF">
        <w:t xml:space="preserve"> such as morphine and oxycodone</w:t>
      </w:r>
      <w:r>
        <w:t>,</w:t>
      </w:r>
      <w:r w:rsidRPr="002029AF">
        <w:t xml:space="preserve"> as well as Schedule 4 drugs of dependence, Z-group medicines and quetiapine.</w:t>
      </w:r>
    </w:p>
    <w:p w14:paraId="20BCB5ED" w14:textId="77777777" w:rsidR="00496244" w:rsidRPr="002029AF" w:rsidRDefault="00496244" w:rsidP="001D75D0">
      <w:pPr>
        <w:pStyle w:val="ARbody"/>
      </w:pPr>
      <w:r w:rsidRPr="002029AF">
        <w:t>Up</w:t>
      </w:r>
      <w:r>
        <w:t>-</w:t>
      </w:r>
      <w:r w:rsidRPr="002029AF">
        <w:t>to</w:t>
      </w:r>
      <w:r>
        <w:t>-</w:t>
      </w:r>
      <w:r w:rsidRPr="002029AF">
        <w:t>date, reliable patient data sources such as SafeScript support prescribers and pharmacists to make safer clinical decisions regarding the use of high-risk medicines for their patients.</w:t>
      </w:r>
    </w:p>
    <w:p w14:paraId="029C1846" w14:textId="7BF471ED" w:rsidR="00496244" w:rsidRPr="002029AF" w:rsidRDefault="00496244" w:rsidP="001D75D0">
      <w:pPr>
        <w:pStyle w:val="ARbody"/>
      </w:pPr>
      <w:r w:rsidRPr="002029AF">
        <w:lastRenderedPageBreak/>
        <w:t>The Victorian coroners</w:t>
      </w:r>
      <w:r w:rsidR="007D145B">
        <w:t>’</w:t>
      </w:r>
      <w:r w:rsidRPr="002029AF">
        <w:t xml:space="preserve"> data report from </w:t>
      </w:r>
      <w:r>
        <w:t xml:space="preserve">2020 </w:t>
      </w:r>
      <w:r w:rsidRPr="002029AF">
        <w:t xml:space="preserve">shows that prescription medicine overdose deaths </w:t>
      </w:r>
      <w:r>
        <w:t xml:space="preserve">continued to </w:t>
      </w:r>
      <w:r w:rsidRPr="002029AF">
        <w:t xml:space="preserve">decrease for the </w:t>
      </w:r>
      <w:r>
        <w:t>second year in a row</w:t>
      </w:r>
      <w:r w:rsidRPr="002029AF">
        <w:t>,</w:t>
      </w:r>
      <w:r w:rsidR="00D97BFD">
        <w:t> </w:t>
      </w:r>
      <w:r w:rsidRPr="002029AF">
        <w:t>after ten years of year-on-year increases (</w:t>
      </w:r>
      <w:r>
        <w:t>398</w:t>
      </w:r>
      <w:r w:rsidR="00D97BFD">
        <w:t> </w:t>
      </w:r>
      <w:r>
        <w:t xml:space="preserve">deaths in 2020 compared with </w:t>
      </w:r>
      <w:r w:rsidRPr="002029AF">
        <w:t>40</w:t>
      </w:r>
      <w:r>
        <w:t>7</w:t>
      </w:r>
      <w:r w:rsidRPr="002029AF">
        <w:t xml:space="preserve"> deaths in</w:t>
      </w:r>
      <w:r w:rsidR="00D97BFD">
        <w:t> </w:t>
      </w:r>
      <w:r w:rsidRPr="002029AF">
        <w:t xml:space="preserve">2019 </w:t>
      </w:r>
      <w:r>
        <w:t>and</w:t>
      </w:r>
      <w:r w:rsidRPr="002029AF" w:rsidDel="00B45318">
        <w:t xml:space="preserve"> </w:t>
      </w:r>
      <w:r w:rsidRPr="002029AF">
        <w:t>42</w:t>
      </w:r>
      <w:r>
        <w:t>7deaths</w:t>
      </w:r>
      <w:r w:rsidRPr="002029AF">
        <w:t xml:space="preserve"> in 2018). The report noted </w:t>
      </w:r>
      <w:r>
        <w:t>the interruption to the historical increasing trend in overdose deaths involving pharmaceutical drugs coincides with the implementation of SafeScript in</w:t>
      </w:r>
      <w:r w:rsidR="00D97BFD">
        <w:t> </w:t>
      </w:r>
      <w:r>
        <w:t>October 2018.</w:t>
      </w:r>
    </w:p>
    <w:p w14:paraId="395BDA5F" w14:textId="7CD5B069" w:rsidR="00496244" w:rsidRPr="002029AF" w:rsidRDefault="00496244" w:rsidP="00603E4B">
      <w:pPr>
        <w:pStyle w:val="Heading5"/>
        <w:rPr>
          <w:rFonts w:eastAsia="Calibri"/>
        </w:rPr>
      </w:pPr>
      <w:bookmarkStart w:id="113" w:name="_Toc85121016"/>
      <w:r w:rsidRPr="002029AF">
        <w:rPr>
          <w:rFonts w:eastAsia="Calibri"/>
        </w:rPr>
        <w:t>Key result: Increase immunisation coverage rates at two years of age and</w:t>
      </w:r>
      <w:r w:rsidR="00D97BFD">
        <w:rPr>
          <w:rFonts w:eastAsia="Calibri"/>
        </w:rPr>
        <w:t> </w:t>
      </w:r>
      <w:r w:rsidRPr="002029AF">
        <w:rPr>
          <w:rFonts w:eastAsia="Calibri"/>
        </w:rPr>
        <w:t>at</w:t>
      </w:r>
      <w:r>
        <w:rPr>
          <w:rFonts w:eastAsia="Calibri"/>
        </w:rPr>
        <w:t> </w:t>
      </w:r>
      <w:r w:rsidRPr="002029AF">
        <w:rPr>
          <w:rFonts w:eastAsia="Calibri"/>
        </w:rPr>
        <w:t>school entry</w:t>
      </w:r>
      <w:bookmarkEnd w:id="113"/>
    </w:p>
    <w:p w14:paraId="13D5370C" w14:textId="77777777" w:rsidR="00496244" w:rsidRDefault="00496244" w:rsidP="00317057">
      <w:pPr>
        <w:pStyle w:val="ARbody"/>
        <w:rPr>
          <w:b/>
          <w:bCs/>
        </w:rPr>
      </w:pPr>
      <w:r w:rsidRPr="0005379C">
        <w:t xml:space="preserve">The following data has been sourced from </w:t>
      </w:r>
      <w:r>
        <w:t xml:space="preserve">reports provided to the department from </w:t>
      </w:r>
      <w:r w:rsidRPr="0005379C">
        <w:t>the Australian Immunisation Register.</w:t>
      </w:r>
    </w:p>
    <w:p w14:paraId="75AD8B3E" w14:textId="77777777" w:rsidR="00496244" w:rsidRDefault="00496244" w:rsidP="00603E4B">
      <w:pPr>
        <w:pStyle w:val="Heading6"/>
      </w:pPr>
      <w:bookmarkStart w:id="114" w:name="_Toc85121017"/>
      <w:r>
        <w:t>Immunisation coverage at two years of age</w:t>
      </w:r>
      <w:bookmarkEnd w:id="114"/>
    </w:p>
    <w:p w14:paraId="1DC3B918" w14:textId="00BFCD69" w:rsidR="00496244" w:rsidRDefault="00496244" w:rsidP="00317057">
      <w:pPr>
        <w:pStyle w:val="ARbody"/>
      </w:pPr>
      <w:r w:rsidRPr="0005379C">
        <w:t>In 202</w:t>
      </w:r>
      <w:r w:rsidR="00FA7261">
        <w:t>0–</w:t>
      </w:r>
      <w:r w:rsidRPr="0005379C">
        <w:t>21</w:t>
      </w:r>
      <w:r>
        <w:t>,</w:t>
      </w:r>
      <w:r w:rsidRPr="0005379C">
        <w:t xml:space="preserve"> 93.22 per cent of Victorian two-year</w:t>
      </w:r>
      <w:r>
        <w:t>-</w:t>
      </w:r>
      <w:r w:rsidRPr="0005379C">
        <w:t>olds were fully vaccinated compared to 9</w:t>
      </w:r>
      <w:r>
        <w:t>2</w:t>
      </w:r>
      <w:r w:rsidRPr="0005379C">
        <w:t>.</w:t>
      </w:r>
      <w:r>
        <w:t>28</w:t>
      </w:r>
      <w:r w:rsidRPr="0005379C">
        <w:t xml:space="preserve"> per cent for 201</w:t>
      </w:r>
      <w:r w:rsidR="005C203A">
        <w:t>9–</w:t>
      </w:r>
      <w:r w:rsidRPr="0005379C">
        <w:t>20, meaning a slight increase in rates has been achieved. This is above the current Australian average of 92.53 per cent.</w:t>
      </w:r>
    </w:p>
    <w:p w14:paraId="78A09306" w14:textId="77777777" w:rsidR="00496244" w:rsidRDefault="00496244" w:rsidP="00317057">
      <w:pPr>
        <w:pStyle w:val="Heading6"/>
      </w:pPr>
      <w:bookmarkStart w:id="115" w:name="_Toc85121018"/>
      <w:r>
        <w:t>Immunisation coverage at school entry</w:t>
      </w:r>
      <w:bookmarkEnd w:id="115"/>
    </w:p>
    <w:p w14:paraId="43354E0E" w14:textId="5142C92B" w:rsidR="00496244" w:rsidRDefault="00496244" w:rsidP="00317057">
      <w:pPr>
        <w:pStyle w:val="ARbody"/>
      </w:pPr>
      <w:r w:rsidRPr="0005379C">
        <w:t>In 202</w:t>
      </w:r>
      <w:r w:rsidR="00FA7261">
        <w:t>0–</w:t>
      </w:r>
      <w:r w:rsidRPr="0005379C">
        <w:t>21</w:t>
      </w:r>
      <w:r>
        <w:t>,</w:t>
      </w:r>
      <w:r w:rsidRPr="0005379C">
        <w:t xml:space="preserve"> </w:t>
      </w:r>
      <w:r>
        <w:t>96.07 per cent of Victorian five-year-old children were fully vaccinated compared to 95.75 per cent for 201</w:t>
      </w:r>
      <w:r w:rsidR="005C203A">
        <w:t>9–</w:t>
      </w:r>
      <w:r>
        <w:t>20, meaning a slight increase in rates has been achieved. This is above the current Australian average of 95.22 per cent.</w:t>
      </w:r>
    </w:p>
    <w:p w14:paraId="6F00591B" w14:textId="77777777" w:rsidR="00496244" w:rsidRPr="00782BA6" w:rsidRDefault="00496244" w:rsidP="00782BA6">
      <w:pPr>
        <w:pStyle w:val="ARbody"/>
      </w:pPr>
    </w:p>
    <w:p w14:paraId="7B6761D5" w14:textId="77777777" w:rsidR="00496244" w:rsidRPr="00782BA6" w:rsidRDefault="00496244" w:rsidP="00782BA6">
      <w:pPr>
        <w:pStyle w:val="ARbody"/>
        <w:sectPr w:rsidR="00496244" w:rsidRPr="00782BA6" w:rsidSect="0002026A">
          <w:headerReference w:type="first" r:id="rId32"/>
          <w:footerReference w:type="first" r:id="rId33"/>
          <w:footnotePr>
            <w:numFmt w:val="lowerLetter"/>
            <w:numRestart w:val="eachPage"/>
          </w:footnotePr>
          <w:endnotePr>
            <w:numFmt w:val="decimal"/>
          </w:endnotePr>
          <w:type w:val="continuous"/>
          <w:pgSz w:w="11900" w:h="16840" w:code="9"/>
          <w:pgMar w:top="1985" w:right="1134" w:bottom="851" w:left="1134" w:header="510" w:footer="340" w:gutter="0"/>
          <w:cols w:num="2" w:space="454"/>
        </w:sectPr>
      </w:pPr>
    </w:p>
    <w:p w14:paraId="39E83BD8" w14:textId="77777777" w:rsidR="00496244" w:rsidRPr="002029AF" w:rsidRDefault="00496244" w:rsidP="003B2EE7">
      <w:pPr>
        <w:pStyle w:val="Heading4"/>
        <w:spacing w:before="400"/>
        <w:rPr>
          <w:sz w:val="20"/>
          <w:szCs w:val="20"/>
        </w:rPr>
      </w:pPr>
      <w:bookmarkStart w:id="116" w:name="_Toc85121019"/>
      <w:bookmarkStart w:id="117" w:name="_Toc50383608"/>
      <w:r>
        <w:t>Objective 1: Indicator results</w:t>
      </w:r>
      <w:bookmarkEnd w:id="116"/>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5555"/>
        <w:gridCol w:w="1021"/>
        <w:gridCol w:w="1021"/>
        <w:gridCol w:w="1021"/>
        <w:gridCol w:w="1021"/>
      </w:tblGrid>
      <w:tr w:rsidR="00496244" w:rsidRPr="002029AF" w14:paraId="78264916" w14:textId="77777777" w:rsidTr="00317057">
        <w:trPr>
          <w:cantSplit/>
          <w:tblHeader/>
        </w:trPr>
        <w:tc>
          <w:tcPr>
            <w:tcW w:w="5557" w:type="dxa"/>
            <w:tcBorders>
              <w:top w:val="nil"/>
              <w:left w:val="single" w:sz="4" w:space="0" w:color="FFFFFF" w:themeColor="background1"/>
              <w:bottom w:val="single" w:sz="4" w:space="0" w:color="auto"/>
              <w:right w:val="single" w:sz="4" w:space="0" w:color="FFFFFF" w:themeColor="background1"/>
            </w:tcBorders>
            <w:vAlign w:val="bottom"/>
          </w:tcPr>
          <w:p w14:paraId="1D4C9E8B" w14:textId="77777777" w:rsidR="00496244" w:rsidRPr="002029AF" w:rsidRDefault="00496244" w:rsidP="00317057">
            <w:pPr>
              <w:pStyle w:val="ARtablecolhead"/>
            </w:pPr>
          </w:p>
        </w:tc>
        <w:tc>
          <w:tcPr>
            <w:tcW w:w="1021" w:type="dxa"/>
            <w:tcBorders>
              <w:top w:val="nil"/>
              <w:left w:val="single" w:sz="4" w:space="0" w:color="FFFFFF" w:themeColor="background1"/>
              <w:bottom w:val="single" w:sz="4" w:space="0" w:color="auto"/>
              <w:right w:val="single" w:sz="4" w:space="0" w:color="FFFFFF" w:themeColor="background1"/>
            </w:tcBorders>
            <w:vAlign w:val="bottom"/>
          </w:tcPr>
          <w:p w14:paraId="1F6B0281" w14:textId="77777777" w:rsidR="00496244" w:rsidRPr="002029AF" w:rsidRDefault="00496244" w:rsidP="00317057">
            <w:pPr>
              <w:pStyle w:val="ARtablecolhead"/>
            </w:pPr>
            <w:r w:rsidRPr="002029AF">
              <w:t>2017–18</w:t>
            </w:r>
          </w:p>
        </w:tc>
        <w:tc>
          <w:tcPr>
            <w:tcW w:w="1021" w:type="dxa"/>
            <w:tcBorders>
              <w:top w:val="nil"/>
              <w:left w:val="single" w:sz="4" w:space="0" w:color="FFFFFF" w:themeColor="background1"/>
              <w:bottom w:val="single" w:sz="4" w:space="0" w:color="auto"/>
              <w:right w:val="single" w:sz="4" w:space="0" w:color="FFFFFF" w:themeColor="background1"/>
            </w:tcBorders>
            <w:vAlign w:val="bottom"/>
          </w:tcPr>
          <w:p w14:paraId="674BD7B1" w14:textId="77777777" w:rsidR="00496244" w:rsidRPr="002029AF" w:rsidRDefault="00496244" w:rsidP="00317057">
            <w:pPr>
              <w:pStyle w:val="ARtablecolhead"/>
            </w:pPr>
            <w:r w:rsidRPr="002029AF">
              <w:t>2018–19</w:t>
            </w:r>
          </w:p>
        </w:tc>
        <w:tc>
          <w:tcPr>
            <w:tcW w:w="1021" w:type="dxa"/>
            <w:tcBorders>
              <w:top w:val="nil"/>
              <w:left w:val="single" w:sz="4" w:space="0" w:color="FFFFFF" w:themeColor="background1"/>
              <w:bottom w:val="single" w:sz="4" w:space="0" w:color="auto"/>
              <w:right w:val="single" w:sz="4" w:space="0" w:color="FFFFFF" w:themeColor="background1"/>
            </w:tcBorders>
            <w:vAlign w:val="bottom"/>
          </w:tcPr>
          <w:p w14:paraId="639E906B" w14:textId="77777777" w:rsidR="00496244" w:rsidRPr="002029AF" w:rsidRDefault="00496244" w:rsidP="00317057">
            <w:pPr>
              <w:pStyle w:val="ARtablecolhead"/>
            </w:pPr>
            <w:r w:rsidRPr="002029AF">
              <w:t>2019–20</w:t>
            </w:r>
          </w:p>
        </w:tc>
        <w:tc>
          <w:tcPr>
            <w:tcW w:w="1021" w:type="dxa"/>
            <w:tcBorders>
              <w:top w:val="nil"/>
              <w:left w:val="single" w:sz="4" w:space="0" w:color="FFFFFF" w:themeColor="background1"/>
              <w:bottom w:val="single" w:sz="4" w:space="0" w:color="auto"/>
              <w:right w:val="single" w:sz="4" w:space="0" w:color="FFFFFF" w:themeColor="background1"/>
            </w:tcBorders>
            <w:vAlign w:val="bottom"/>
          </w:tcPr>
          <w:p w14:paraId="55174105" w14:textId="77777777" w:rsidR="00496244" w:rsidRPr="002029AF" w:rsidRDefault="00496244" w:rsidP="00317057">
            <w:pPr>
              <w:pStyle w:val="ARtablecolhead"/>
            </w:pPr>
            <w:r>
              <w:t>2020–21</w:t>
            </w:r>
          </w:p>
        </w:tc>
      </w:tr>
      <w:tr w:rsidR="00496244" w:rsidRPr="002029AF" w14:paraId="69313FE2" w14:textId="77777777" w:rsidTr="00317057">
        <w:trPr>
          <w:cantSplit/>
        </w:trPr>
        <w:tc>
          <w:tcPr>
            <w:tcW w:w="5557"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6FCEBCE3" w14:textId="77777777" w:rsidR="00496244" w:rsidRPr="002029AF" w:rsidRDefault="00496244" w:rsidP="00317057">
            <w:pPr>
              <w:pStyle w:val="ARtablesubhead"/>
            </w:pPr>
            <w:r w:rsidRPr="002029AF">
              <w:t>Victorians have good physical health</w:t>
            </w:r>
          </w:p>
        </w:tc>
      </w:tr>
      <w:tr w:rsidR="00496244" w:rsidRPr="002029AF" w14:paraId="4643F941" w14:textId="77777777" w:rsidTr="00317057">
        <w:trPr>
          <w:cantSplit/>
        </w:trPr>
        <w:tc>
          <w:tcPr>
            <w:tcW w:w="5557"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216C9ED7" w14:textId="77777777" w:rsidR="00496244" w:rsidRPr="002029AF" w:rsidRDefault="00496244" w:rsidP="00317057">
            <w:pPr>
              <w:pStyle w:val="ARtabletext"/>
            </w:pPr>
            <w:r w:rsidRPr="002029AF">
              <w:t>Persons completing the Life! – Diabetes and Cardiovascular Disease Prevention program</w:t>
            </w:r>
          </w:p>
        </w:tc>
        <w:tc>
          <w:tcPr>
            <w:tcW w:w="1021"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5F165A7F" w14:textId="77777777" w:rsidR="00496244" w:rsidRPr="002029AF" w:rsidRDefault="00496244" w:rsidP="00317057">
            <w:pPr>
              <w:pStyle w:val="ARtabletext"/>
            </w:pPr>
            <w:r w:rsidRPr="002029AF">
              <w:t>5,513</w:t>
            </w:r>
          </w:p>
        </w:tc>
        <w:tc>
          <w:tcPr>
            <w:tcW w:w="1021"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779AA368" w14:textId="77777777" w:rsidR="00496244" w:rsidRPr="002029AF" w:rsidRDefault="00496244" w:rsidP="00317057">
            <w:pPr>
              <w:pStyle w:val="ARtabletext"/>
            </w:pPr>
            <w:r w:rsidRPr="002029AF">
              <w:t>5,782</w:t>
            </w:r>
          </w:p>
        </w:tc>
        <w:tc>
          <w:tcPr>
            <w:tcW w:w="1021"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027BD4DB" w14:textId="77777777" w:rsidR="00496244" w:rsidRPr="002029AF" w:rsidRDefault="00496244" w:rsidP="00317057">
            <w:pPr>
              <w:pStyle w:val="ARtabletext"/>
            </w:pPr>
            <w:r w:rsidRPr="002029AF">
              <w:t>4,612</w:t>
            </w:r>
          </w:p>
        </w:tc>
        <w:tc>
          <w:tcPr>
            <w:tcW w:w="1021"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63A183A3" w14:textId="77777777" w:rsidR="00496244" w:rsidRPr="009E1CF8" w:rsidRDefault="00496244" w:rsidP="00317057">
            <w:pPr>
              <w:pStyle w:val="ARtabletext"/>
            </w:pPr>
            <w:r w:rsidRPr="009E1CF8">
              <w:t>3,456</w:t>
            </w:r>
            <w:r w:rsidRPr="009E1CF8">
              <w:rPr>
                <w:rStyle w:val="Superscript"/>
              </w:rPr>
              <w:t xml:space="preserve"> </w:t>
            </w:r>
          </w:p>
        </w:tc>
      </w:tr>
      <w:tr w:rsidR="00496244" w:rsidRPr="002029AF" w14:paraId="67C09FBD" w14:textId="77777777" w:rsidTr="00317057">
        <w:trPr>
          <w:cantSplit/>
        </w:trPr>
        <w:tc>
          <w:tcPr>
            <w:tcW w:w="555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38BE18D1" w14:textId="77777777" w:rsidR="00496244" w:rsidRPr="002029AF" w:rsidRDefault="00496244" w:rsidP="00317057">
            <w:pPr>
              <w:pStyle w:val="ARtabletext"/>
            </w:pPr>
            <w:r w:rsidRPr="002029AF">
              <w:t>Unplanned/unexpected readmission for acute myocardial infarction</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6FCADA79" w14:textId="77777777" w:rsidR="00496244" w:rsidRPr="002029AF" w:rsidRDefault="00496244" w:rsidP="00317057">
            <w:pPr>
              <w:pStyle w:val="ARtabletext"/>
            </w:pPr>
            <w:r w:rsidRPr="002029AF">
              <w:t>1.6</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542C37E9" w14:textId="77777777" w:rsidR="00496244" w:rsidRPr="002029AF" w:rsidRDefault="00496244" w:rsidP="00317057">
            <w:pPr>
              <w:pStyle w:val="ARtabletext"/>
            </w:pPr>
            <w:r w:rsidRPr="002029AF">
              <w:t>1.5</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3F69CB79" w14:textId="77777777" w:rsidR="00496244" w:rsidRPr="002029AF" w:rsidRDefault="00496244" w:rsidP="00317057">
            <w:pPr>
              <w:pStyle w:val="ARtabletext"/>
              <w:rPr>
                <w:rStyle w:val="Superscript"/>
              </w:rPr>
            </w:pPr>
            <w:r w:rsidRPr="002029AF">
              <w:t>2.</w:t>
            </w:r>
            <w:r>
              <w:t>2</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58AFB507" w14:textId="1F804393" w:rsidR="00496244" w:rsidRPr="009E1CF8" w:rsidRDefault="00496244" w:rsidP="00317057">
            <w:pPr>
              <w:pStyle w:val="ARtabletext"/>
            </w:pPr>
            <w:r w:rsidRPr="009E1CF8">
              <w:t>1.8</w:t>
            </w:r>
            <w:r w:rsidR="00B93627">
              <w:t xml:space="preserve"> </w:t>
            </w:r>
            <w:r w:rsidRPr="009E1CF8">
              <w:rPr>
                <w:rStyle w:val="Superscript"/>
              </w:rPr>
              <w:t>E</w:t>
            </w:r>
            <w:r w:rsidR="00B93627">
              <w:rPr>
                <w:rStyle w:val="Superscript"/>
              </w:rPr>
              <w:t xml:space="preserve"> </w:t>
            </w:r>
            <w:r w:rsidR="00B93627" w:rsidRPr="00016B97">
              <w:rPr>
                <w:rStyle w:val="FootnoteReference"/>
              </w:rPr>
              <w:t>(</w:t>
            </w:r>
            <w:r w:rsidR="00B93627" w:rsidRPr="00016B97">
              <w:rPr>
                <w:rStyle w:val="FootnoteReference"/>
              </w:rPr>
              <w:footnoteReference w:id="2"/>
            </w:r>
            <w:r w:rsidR="00B93627" w:rsidRPr="00016B97">
              <w:rPr>
                <w:rStyle w:val="FootnoteReference"/>
              </w:rPr>
              <w:t>)</w:t>
            </w:r>
          </w:p>
        </w:tc>
      </w:tr>
      <w:tr w:rsidR="00496244" w:rsidRPr="002029AF" w14:paraId="59487110" w14:textId="77777777" w:rsidTr="00317057">
        <w:trPr>
          <w:cantSplit/>
        </w:trPr>
        <w:tc>
          <w:tcPr>
            <w:tcW w:w="555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63BCF976" w14:textId="77777777" w:rsidR="00496244" w:rsidRPr="002029AF" w:rsidRDefault="00496244" w:rsidP="00317057">
            <w:pPr>
              <w:pStyle w:val="ARtabletext"/>
            </w:pPr>
            <w:r w:rsidRPr="002029AF">
              <w:t>Unplanned/unexpected readmission for heart failure</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63BB21F8" w14:textId="77777777" w:rsidR="00496244" w:rsidRPr="002029AF" w:rsidRDefault="00496244" w:rsidP="00317057">
            <w:pPr>
              <w:pStyle w:val="ARtabletext"/>
            </w:pPr>
            <w:r w:rsidRPr="002029AF">
              <w:t>9.0</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1D131BD6" w14:textId="77777777" w:rsidR="00496244" w:rsidRPr="002029AF" w:rsidRDefault="00496244" w:rsidP="00317057">
            <w:pPr>
              <w:pStyle w:val="ARtabletext"/>
            </w:pPr>
            <w:r w:rsidRPr="002029AF">
              <w:t>8.9</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011F9412" w14:textId="77777777" w:rsidR="00496244" w:rsidRPr="002029AF" w:rsidRDefault="00496244" w:rsidP="00317057">
            <w:pPr>
              <w:pStyle w:val="ARtabletext"/>
              <w:rPr>
                <w:rStyle w:val="Superscript"/>
              </w:rPr>
            </w:pPr>
            <w:r w:rsidRPr="002029AF">
              <w:t>8.</w:t>
            </w:r>
            <w:r>
              <w:t>7</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33803A46" w14:textId="77777777" w:rsidR="00496244" w:rsidRPr="009E1CF8" w:rsidRDefault="00496244" w:rsidP="00317057">
            <w:pPr>
              <w:pStyle w:val="ARtabletext"/>
            </w:pPr>
            <w:r w:rsidRPr="009E1CF8">
              <w:t>7.5</w:t>
            </w:r>
            <w:r w:rsidRPr="009E1CF8">
              <w:rPr>
                <w:rStyle w:val="Superscript"/>
              </w:rPr>
              <w:t xml:space="preserve"> E</w:t>
            </w:r>
          </w:p>
        </w:tc>
      </w:tr>
      <w:tr w:rsidR="00496244" w:rsidRPr="002029AF" w14:paraId="4CB52280" w14:textId="77777777" w:rsidTr="00317057">
        <w:trPr>
          <w:cantSplit/>
        </w:trPr>
        <w:tc>
          <w:tcPr>
            <w:tcW w:w="555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4B264BCA" w14:textId="77777777" w:rsidR="00496244" w:rsidRPr="002029AF" w:rsidRDefault="00496244" w:rsidP="00317057">
            <w:pPr>
              <w:pStyle w:val="ARtabletext"/>
            </w:pPr>
            <w:r w:rsidRPr="002029AF">
              <w:t>Unplanned/unexpected readmission for hip replacement</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173665CB" w14:textId="77777777" w:rsidR="00496244" w:rsidRPr="002029AF" w:rsidRDefault="00496244" w:rsidP="00317057">
            <w:pPr>
              <w:pStyle w:val="ARtabletext"/>
            </w:pPr>
            <w:r w:rsidRPr="002029AF">
              <w:t>3.4</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1CEBD552" w14:textId="77777777" w:rsidR="00496244" w:rsidRPr="002029AF" w:rsidRDefault="00496244" w:rsidP="00317057">
            <w:pPr>
              <w:pStyle w:val="ARtabletext"/>
            </w:pPr>
            <w:r w:rsidRPr="002029AF">
              <w:t>3.4</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1E636396" w14:textId="77777777" w:rsidR="00496244" w:rsidRPr="002029AF" w:rsidRDefault="00496244" w:rsidP="00317057">
            <w:pPr>
              <w:pStyle w:val="ARtabletext"/>
              <w:rPr>
                <w:rStyle w:val="Superscript"/>
              </w:rPr>
            </w:pPr>
            <w:r w:rsidRPr="002029AF">
              <w:t>3.</w:t>
            </w:r>
            <w:r>
              <w:t>7</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65F03F31" w14:textId="77777777" w:rsidR="00496244" w:rsidRPr="009E1CF8" w:rsidRDefault="00496244" w:rsidP="00317057">
            <w:pPr>
              <w:pStyle w:val="ARtabletext"/>
            </w:pPr>
            <w:r w:rsidRPr="009E1CF8">
              <w:t>3.4</w:t>
            </w:r>
            <w:r w:rsidRPr="009E1CF8">
              <w:rPr>
                <w:rStyle w:val="Superscript"/>
              </w:rPr>
              <w:t xml:space="preserve"> E</w:t>
            </w:r>
          </w:p>
        </w:tc>
      </w:tr>
      <w:tr w:rsidR="00496244" w:rsidRPr="002029AF" w14:paraId="257A28D6" w14:textId="77777777" w:rsidTr="00317057">
        <w:trPr>
          <w:cantSplit/>
        </w:trPr>
        <w:tc>
          <w:tcPr>
            <w:tcW w:w="555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5BF97153" w14:textId="77777777" w:rsidR="00496244" w:rsidRPr="002029AF" w:rsidRDefault="00496244" w:rsidP="00317057">
            <w:pPr>
              <w:pStyle w:val="ARtabletext"/>
            </w:pPr>
            <w:r w:rsidRPr="002029AF">
              <w:t>Unplanned/unexpected readmission for knee replacement</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0B7D5B6A" w14:textId="77777777" w:rsidR="00496244" w:rsidRPr="002029AF" w:rsidRDefault="00496244" w:rsidP="00317057">
            <w:pPr>
              <w:pStyle w:val="ARtabletext"/>
            </w:pPr>
            <w:r w:rsidRPr="002029AF">
              <w:t>6.3</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6328B850" w14:textId="77777777" w:rsidR="00496244" w:rsidRPr="002029AF" w:rsidRDefault="00496244" w:rsidP="00317057">
            <w:pPr>
              <w:pStyle w:val="ARtabletext"/>
            </w:pPr>
            <w:r w:rsidRPr="002029AF">
              <w:t>5.2</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2C33C7DB" w14:textId="77777777" w:rsidR="00496244" w:rsidRPr="002029AF" w:rsidRDefault="00496244" w:rsidP="00317057">
            <w:pPr>
              <w:pStyle w:val="ARtabletext"/>
            </w:pPr>
            <w:r>
              <w:t>5.3</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5986DA86" w14:textId="77777777" w:rsidR="00496244" w:rsidRPr="009E1CF8" w:rsidRDefault="00496244" w:rsidP="00317057">
            <w:pPr>
              <w:pStyle w:val="ARtabletext"/>
            </w:pPr>
            <w:r w:rsidRPr="009E1CF8">
              <w:t>4.5</w:t>
            </w:r>
            <w:r w:rsidRPr="009E1CF8">
              <w:rPr>
                <w:rStyle w:val="Superscript"/>
              </w:rPr>
              <w:t xml:space="preserve"> E</w:t>
            </w:r>
          </w:p>
        </w:tc>
      </w:tr>
      <w:tr w:rsidR="00496244" w:rsidRPr="002029AF" w14:paraId="4E4A561F" w14:textId="77777777" w:rsidTr="00317057">
        <w:trPr>
          <w:cantSplit/>
        </w:trPr>
        <w:tc>
          <w:tcPr>
            <w:tcW w:w="555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5A7D71A2" w14:textId="4EB0E983" w:rsidR="00496244" w:rsidRPr="002029AF" w:rsidRDefault="00496244" w:rsidP="00317057">
            <w:pPr>
              <w:pStyle w:val="ARtabletext"/>
            </w:pPr>
            <w:r w:rsidRPr="002029AF">
              <w:t>Unplanned/unexpected readmission for paediatric tonsillectomy and</w:t>
            </w:r>
            <w:r w:rsidR="00D97BFD">
              <w:t> </w:t>
            </w:r>
            <w:r w:rsidRPr="002029AF">
              <w:t>adenoidectomy</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197D302A" w14:textId="77777777" w:rsidR="00496244" w:rsidRPr="002029AF" w:rsidRDefault="00496244" w:rsidP="00317057">
            <w:pPr>
              <w:pStyle w:val="ARtabletext"/>
            </w:pPr>
            <w:r w:rsidRPr="002029AF">
              <w:t>2.5</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72AD8CB4" w14:textId="77777777" w:rsidR="00496244" w:rsidRPr="002029AF" w:rsidRDefault="00496244" w:rsidP="00317057">
            <w:pPr>
              <w:pStyle w:val="ARtabletext"/>
            </w:pPr>
            <w:r w:rsidRPr="002029AF">
              <w:t>2.5</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06FBC03E" w14:textId="77777777" w:rsidR="00496244" w:rsidRPr="002029AF" w:rsidRDefault="00496244" w:rsidP="00317057">
            <w:pPr>
              <w:pStyle w:val="ARtabletext"/>
              <w:rPr>
                <w:rStyle w:val="Superscript"/>
              </w:rPr>
            </w:pPr>
            <w:r w:rsidRPr="002029AF">
              <w:t>2.</w:t>
            </w:r>
            <w:r>
              <w:t>5</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030ABEE7" w14:textId="77777777" w:rsidR="00496244" w:rsidRPr="009E1CF8" w:rsidRDefault="00496244" w:rsidP="00317057">
            <w:pPr>
              <w:pStyle w:val="ARtabletext"/>
            </w:pPr>
            <w:r w:rsidRPr="009E1CF8">
              <w:t>2.5</w:t>
            </w:r>
            <w:r w:rsidRPr="009E1CF8">
              <w:rPr>
                <w:rStyle w:val="Superscript"/>
              </w:rPr>
              <w:t xml:space="preserve"> E</w:t>
            </w:r>
          </w:p>
        </w:tc>
      </w:tr>
      <w:tr w:rsidR="00496244" w:rsidRPr="002029AF" w14:paraId="0B66CB0A" w14:textId="77777777" w:rsidTr="00317057">
        <w:trPr>
          <w:cantSplit/>
        </w:trPr>
        <w:tc>
          <w:tcPr>
            <w:tcW w:w="5557" w:type="dxa"/>
            <w:gridSpan w:val="5"/>
            <w:tcBorders>
              <w:top w:val="single" w:sz="4" w:space="0" w:color="BFBFBF" w:themeColor="background1" w:themeShade="BF"/>
              <w:left w:val="single" w:sz="4" w:space="0" w:color="FFFFFF" w:themeColor="background1"/>
              <w:bottom w:val="single" w:sz="4" w:space="0" w:color="auto"/>
              <w:right w:val="single" w:sz="4" w:space="0" w:color="FFFFFF" w:themeColor="background1"/>
            </w:tcBorders>
          </w:tcPr>
          <w:p w14:paraId="14D6B191" w14:textId="77777777" w:rsidR="00496244" w:rsidRPr="002029AF" w:rsidRDefault="00496244" w:rsidP="00317057">
            <w:pPr>
              <w:pStyle w:val="ARtablefootnote"/>
            </w:pPr>
            <w:r w:rsidRPr="002029AF">
              <w:rPr>
                <w:rFonts w:eastAsia="Times"/>
                <w:lang w:eastAsia="en-AU"/>
              </w:rPr>
              <w:t>Source: Internal departmental data</w:t>
            </w:r>
          </w:p>
        </w:tc>
      </w:tr>
      <w:tr w:rsidR="00496244" w:rsidRPr="002029AF" w14:paraId="65726912" w14:textId="77777777" w:rsidTr="00317057">
        <w:trPr>
          <w:cantSplit/>
        </w:trPr>
        <w:tc>
          <w:tcPr>
            <w:tcW w:w="5557"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0187FD6D" w14:textId="77777777" w:rsidR="00496244" w:rsidRPr="00355478" w:rsidRDefault="00496244" w:rsidP="00317057">
            <w:pPr>
              <w:pStyle w:val="ARtabletext"/>
            </w:pPr>
            <w:r w:rsidRPr="00355478">
              <w:t>Proportion of adults who are overweight (self-reported)</w:t>
            </w:r>
          </w:p>
        </w:tc>
        <w:tc>
          <w:tcPr>
            <w:tcW w:w="1021"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911FA50" w14:textId="77777777" w:rsidR="00496244" w:rsidRPr="00355478" w:rsidRDefault="00496244" w:rsidP="00317057">
            <w:pPr>
              <w:pStyle w:val="ARtabletext"/>
            </w:pPr>
            <w:r w:rsidRPr="00355478">
              <w:t>31.5%</w:t>
            </w:r>
          </w:p>
        </w:tc>
        <w:tc>
          <w:tcPr>
            <w:tcW w:w="1021"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21BCC65A" w14:textId="77777777" w:rsidR="00496244" w:rsidRPr="00355478" w:rsidRDefault="00496244" w:rsidP="00317057">
            <w:pPr>
              <w:pStyle w:val="ARtabletext"/>
            </w:pPr>
            <w:r w:rsidRPr="00355478">
              <w:t>29.9%</w:t>
            </w:r>
          </w:p>
        </w:tc>
        <w:tc>
          <w:tcPr>
            <w:tcW w:w="1021"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212303A" w14:textId="77777777" w:rsidR="00496244" w:rsidRPr="00355478" w:rsidRDefault="00496244" w:rsidP="00317057">
            <w:pPr>
              <w:pStyle w:val="ARtabletext"/>
            </w:pPr>
            <w:r w:rsidRPr="00355478">
              <w:t>31.3%</w:t>
            </w:r>
          </w:p>
        </w:tc>
        <w:tc>
          <w:tcPr>
            <w:tcW w:w="1021"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auto"/>
          </w:tcPr>
          <w:p w14:paraId="6ED1107C" w14:textId="77777777" w:rsidR="00496244" w:rsidRPr="00355478" w:rsidRDefault="00496244" w:rsidP="00317057">
            <w:pPr>
              <w:pStyle w:val="ARtabletext"/>
            </w:pPr>
            <w:r>
              <w:t>30.2%</w:t>
            </w:r>
          </w:p>
        </w:tc>
      </w:tr>
      <w:tr w:rsidR="00496244" w:rsidRPr="002029AF" w14:paraId="3D0A5997" w14:textId="77777777" w:rsidTr="00317057">
        <w:trPr>
          <w:cantSplit/>
        </w:trPr>
        <w:tc>
          <w:tcPr>
            <w:tcW w:w="555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7135B379" w14:textId="77777777" w:rsidR="00496244" w:rsidRPr="00355478" w:rsidRDefault="00496244" w:rsidP="00317057">
            <w:pPr>
              <w:pStyle w:val="ARtabletext"/>
            </w:pPr>
            <w:r w:rsidRPr="00355478">
              <w:t>Proportion of adults who are obese (self-reported)</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3433244A" w14:textId="77777777" w:rsidR="00496244" w:rsidRPr="00355478" w:rsidRDefault="00496244" w:rsidP="00317057">
            <w:pPr>
              <w:pStyle w:val="ARtabletext"/>
            </w:pPr>
            <w:r w:rsidRPr="00355478">
              <w:t>19.3%</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29040420" w14:textId="77777777" w:rsidR="00496244" w:rsidRPr="00355478" w:rsidRDefault="00496244" w:rsidP="00317057">
            <w:pPr>
              <w:pStyle w:val="ARtabletext"/>
            </w:pPr>
            <w:r w:rsidRPr="00355478">
              <w:t>21.3%</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1A1EFFEB" w14:textId="77777777" w:rsidR="00496244" w:rsidRPr="00355478" w:rsidRDefault="00496244" w:rsidP="00317057">
            <w:pPr>
              <w:pStyle w:val="ARtabletext"/>
            </w:pPr>
            <w:r w:rsidRPr="00355478">
              <w:t>20.3%</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324C8801" w14:textId="77777777" w:rsidR="00496244" w:rsidRPr="00355478" w:rsidRDefault="00496244" w:rsidP="00317057">
            <w:pPr>
              <w:pStyle w:val="ARtabletext"/>
            </w:pPr>
            <w:r>
              <w:t>21.1%</w:t>
            </w:r>
          </w:p>
        </w:tc>
      </w:tr>
      <w:tr w:rsidR="00496244" w:rsidRPr="002029AF" w14:paraId="68B71734" w14:textId="77777777" w:rsidTr="00317057">
        <w:trPr>
          <w:cantSplit/>
        </w:trPr>
        <w:tc>
          <w:tcPr>
            <w:tcW w:w="555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511BDDC8" w14:textId="77777777" w:rsidR="00496244" w:rsidRPr="00355478" w:rsidRDefault="00496244" w:rsidP="00317057">
            <w:pPr>
              <w:pStyle w:val="ARtabletext"/>
            </w:pPr>
            <w:r w:rsidRPr="00355478">
              <w:t>Proportion of adults who were current smokers</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35181906" w14:textId="77777777" w:rsidR="00496244" w:rsidRPr="00355478" w:rsidRDefault="00496244" w:rsidP="00317057">
            <w:pPr>
              <w:pStyle w:val="ARtabletext"/>
            </w:pPr>
            <w:r w:rsidRPr="00355478">
              <w:t>16.7%</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7884CD13" w14:textId="77777777" w:rsidR="00496244" w:rsidRPr="00355478" w:rsidRDefault="00496244" w:rsidP="00317057">
            <w:pPr>
              <w:pStyle w:val="ARtabletext"/>
            </w:pPr>
            <w:r w:rsidRPr="00355478">
              <w:t>17.6%</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19BC4033" w14:textId="77777777" w:rsidR="00496244" w:rsidRPr="00355478" w:rsidRDefault="00496244" w:rsidP="00317057">
            <w:pPr>
              <w:pStyle w:val="ARtabletext"/>
            </w:pPr>
            <w:r w:rsidRPr="00355478">
              <w:t>16.9%</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65F7A663" w14:textId="77777777" w:rsidR="00496244" w:rsidRPr="00355478" w:rsidRDefault="00496244" w:rsidP="00317057">
            <w:pPr>
              <w:pStyle w:val="ARtabletext"/>
            </w:pPr>
            <w:r>
              <w:t>16.5%</w:t>
            </w:r>
          </w:p>
        </w:tc>
      </w:tr>
      <w:tr w:rsidR="00496244" w:rsidRPr="002029AF" w14:paraId="1469A5CD" w14:textId="77777777" w:rsidTr="00317057">
        <w:trPr>
          <w:cantSplit/>
        </w:trPr>
        <w:tc>
          <w:tcPr>
            <w:tcW w:w="555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53020DAA" w14:textId="77777777" w:rsidR="00496244" w:rsidRPr="00355478" w:rsidRDefault="00496244" w:rsidP="00317057">
            <w:pPr>
              <w:pStyle w:val="ARtabletext"/>
            </w:pPr>
            <w:r w:rsidRPr="00355478">
              <w:t>Proportion of adults who smoked daily</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10D3228E" w14:textId="77777777" w:rsidR="00496244" w:rsidRPr="00355478" w:rsidRDefault="00496244" w:rsidP="00317057">
            <w:pPr>
              <w:pStyle w:val="ARtabletext"/>
            </w:pPr>
            <w:r w:rsidRPr="00355478">
              <w:t>12.4%</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0EE1555D" w14:textId="77777777" w:rsidR="00496244" w:rsidRPr="00355478" w:rsidRDefault="00496244" w:rsidP="00317057">
            <w:pPr>
              <w:pStyle w:val="ARtabletext"/>
            </w:pPr>
            <w:r w:rsidRPr="00355478">
              <w:t>12.6%</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759497F7" w14:textId="77777777" w:rsidR="00496244" w:rsidRPr="00355478" w:rsidRDefault="00496244" w:rsidP="00317057">
            <w:pPr>
              <w:pStyle w:val="ARtabletext"/>
            </w:pPr>
            <w:r w:rsidRPr="00355478">
              <w:t>12.4%</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6096CDFF" w14:textId="77777777" w:rsidR="00496244" w:rsidRPr="00355478" w:rsidRDefault="00496244" w:rsidP="00317057">
            <w:pPr>
              <w:pStyle w:val="ARtabletext"/>
            </w:pPr>
            <w:r>
              <w:t>12.1%</w:t>
            </w:r>
          </w:p>
        </w:tc>
      </w:tr>
      <w:tr w:rsidR="00496244" w:rsidRPr="002029AF" w14:paraId="4ADA4F8B" w14:textId="77777777" w:rsidTr="00317057">
        <w:trPr>
          <w:cantSplit/>
        </w:trPr>
        <w:tc>
          <w:tcPr>
            <w:tcW w:w="555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340A6E1C" w14:textId="77777777" w:rsidR="00496244" w:rsidRPr="00355478" w:rsidRDefault="00496244" w:rsidP="00317057">
            <w:pPr>
              <w:pStyle w:val="ARtabletext"/>
            </w:pPr>
            <w:r w:rsidRPr="00355478">
              <w:t>Proportion of adults with doctor-diagnosed high blood pressure</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0F2EEA56" w14:textId="77777777" w:rsidR="00496244" w:rsidRPr="00355478" w:rsidRDefault="00496244" w:rsidP="00317057">
            <w:pPr>
              <w:pStyle w:val="ARtabletext"/>
            </w:pPr>
            <w:r w:rsidRPr="00355478">
              <w:t>25.4%</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15E0A7A2" w14:textId="77777777" w:rsidR="00496244" w:rsidRPr="00355478" w:rsidRDefault="00496244" w:rsidP="00317057">
            <w:pPr>
              <w:pStyle w:val="ARtabletext"/>
            </w:pPr>
            <w:r w:rsidRPr="00355478">
              <w:t>26.3%</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668BA2C7" w14:textId="77777777" w:rsidR="00496244" w:rsidRPr="00355478" w:rsidRDefault="00496244" w:rsidP="00317057">
            <w:pPr>
              <w:pStyle w:val="ARtabletext"/>
            </w:pPr>
            <w:r w:rsidRPr="00355478">
              <w:t>26.0%</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15F09D96" w14:textId="77777777" w:rsidR="00496244" w:rsidRPr="00355478" w:rsidRDefault="00496244" w:rsidP="00317057">
            <w:pPr>
              <w:pStyle w:val="ARtabletext"/>
            </w:pPr>
            <w:r>
              <w:t>22.9%</w:t>
            </w:r>
          </w:p>
        </w:tc>
      </w:tr>
      <w:tr w:rsidR="00496244" w:rsidRPr="002029AF" w14:paraId="293CF900" w14:textId="77777777" w:rsidTr="00317057">
        <w:trPr>
          <w:cantSplit/>
        </w:trPr>
        <w:tc>
          <w:tcPr>
            <w:tcW w:w="555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342A6F59" w14:textId="77777777" w:rsidR="00496244" w:rsidRPr="00355478" w:rsidRDefault="00496244" w:rsidP="00317057">
            <w:pPr>
              <w:pStyle w:val="ARtabletext"/>
            </w:pPr>
            <w:r w:rsidRPr="00355478">
              <w:t>Proportion of adults</w:t>
            </w:r>
            <w:r>
              <w:t xml:space="preserve"> with</w:t>
            </w:r>
            <w:r w:rsidRPr="00355478">
              <w:t xml:space="preserve"> </w:t>
            </w:r>
            <w:r>
              <w:t>doctor-</w:t>
            </w:r>
            <w:r w:rsidRPr="00355478">
              <w:t>diagnosed type 2 diabetes</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5AFE79BB" w14:textId="77777777" w:rsidR="00496244" w:rsidRPr="00355478" w:rsidRDefault="00496244" w:rsidP="00317057">
            <w:pPr>
              <w:pStyle w:val="ARtabletext"/>
            </w:pPr>
            <w:r w:rsidRPr="00355478">
              <w:t>5.5%</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6F90D0F3" w14:textId="77777777" w:rsidR="00496244" w:rsidRPr="00355478" w:rsidRDefault="00496244" w:rsidP="00317057">
            <w:pPr>
              <w:pStyle w:val="ARtabletext"/>
            </w:pPr>
            <w:r w:rsidRPr="00355478">
              <w:t>5.4%</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21ACE833" w14:textId="77777777" w:rsidR="00496244" w:rsidRPr="00355478" w:rsidRDefault="00496244" w:rsidP="00317057">
            <w:pPr>
              <w:pStyle w:val="ARtabletext"/>
            </w:pPr>
            <w:r w:rsidRPr="00355478">
              <w:t>5.7%</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0154B1FD" w14:textId="77777777" w:rsidR="00496244" w:rsidRPr="00355478" w:rsidRDefault="00496244" w:rsidP="00317057">
            <w:pPr>
              <w:pStyle w:val="ARtabletext"/>
            </w:pPr>
            <w:r>
              <w:t>5.8%</w:t>
            </w:r>
          </w:p>
        </w:tc>
      </w:tr>
      <w:tr w:rsidR="00496244" w:rsidRPr="002029AF" w14:paraId="3A4E7C03" w14:textId="77777777" w:rsidTr="00317057">
        <w:trPr>
          <w:cantSplit/>
        </w:trPr>
        <w:tc>
          <w:tcPr>
            <w:tcW w:w="555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2329306C" w14:textId="77777777" w:rsidR="00496244" w:rsidRPr="00355478" w:rsidRDefault="00496244" w:rsidP="00317057">
            <w:pPr>
              <w:pStyle w:val="ARtabletext"/>
            </w:pPr>
            <w:r w:rsidRPr="00355478">
              <w:t xml:space="preserve">Proportion of adults who </w:t>
            </w:r>
            <w:r>
              <w:t>we</w:t>
            </w:r>
            <w:r w:rsidRPr="00355478">
              <w:t>re sufficiently physically active</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7E335FC8" w14:textId="77777777" w:rsidR="00496244" w:rsidRPr="00355478" w:rsidRDefault="00496244" w:rsidP="00317057">
            <w:pPr>
              <w:pStyle w:val="ARtabletext"/>
            </w:pPr>
            <w:r w:rsidRPr="00355478">
              <w:t>50.9%</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13EE7B3A" w14:textId="77777777" w:rsidR="00496244" w:rsidRPr="00355478" w:rsidRDefault="00496244" w:rsidP="00317057">
            <w:pPr>
              <w:pStyle w:val="ARtabletext"/>
            </w:pPr>
            <w:r w:rsidRPr="00355478">
              <w:t>52.9%</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3EFA09CE" w14:textId="77777777" w:rsidR="00496244" w:rsidRPr="00355478" w:rsidRDefault="00496244" w:rsidP="00317057">
            <w:pPr>
              <w:pStyle w:val="ARtabletext"/>
            </w:pPr>
            <w:r w:rsidRPr="00355478">
              <w:t>51.1%</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19570459" w14:textId="527D4DBE" w:rsidR="00496244" w:rsidRPr="00355478" w:rsidRDefault="00496244" w:rsidP="00317057">
            <w:pPr>
              <w:pStyle w:val="ARtabletext"/>
            </w:pPr>
            <w:r>
              <w:t>N/A</w:t>
            </w:r>
            <w:r w:rsidR="00BD5FC4" w:rsidRPr="00BD5FC4">
              <w:rPr>
                <w:rStyle w:val="FootnoteReference"/>
              </w:rPr>
              <w:t>(</w:t>
            </w:r>
            <w:r w:rsidRPr="00BD5FC4">
              <w:rPr>
                <w:rStyle w:val="FootnoteReference"/>
              </w:rPr>
              <w:footnoteReference w:id="3"/>
            </w:r>
            <w:r w:rsidR="00BD5FC4" w:rsidRPr="00BD5FC4">
              <w:rPr>
                <w:rStyle w:val="FootnoteReference"/>
              </w:rPr>
              <w:t>)</w:t>
            </w:r>
          </w:p>
        </w:tc>
      </w:tr>
      <w:tr w:rsidR="00496244" w:rsidRPr="002029AF" w14:paraId="222E3A07" w14:textId="77777777" w:rsidTr="00317057">
        <w:trPr>
          <w:cantSplit/>
        </w:trPr>
        <w:tc>
          <w:tcPr>
            <w:tcW w:w="5557" w:type="dxa"/>
            <w:gridSpan w:val="5"/>
            <w:tcBorders>
              <w:top w:val="single" w:sz="4" w:space="0" w:color="BFBFBF" w:themeColor="background1" w:themeShade="BF"/>
              <w:left w:val="single" w:sz="4" w:space="0" w:color="FFFFFF" w:themeColor="background1"/>
              <w:bottom w:val="single" w:sz="4" w:space="0" w:color="auto"/>
              <w:right w:val="single" w:sz="4" w:space="0" w:color="FFFFFF" w:themeColor="background1"/>
            </w:tcBorders>
          </w:tcPr>
          <w:p w14:paraId="6FF842F9" w14:textId="77777777" w:rsidR="00496244" w:rsidRPr="00355478" w:rsidRDefault="00496244" w:rsidP="00317057">
            <w:pPr>
              <w:pStyle w:val="ARtablefootnote"/>
            </w:pPr>
            <w:r w:rsidRPr="00355478">
              <w:t>Source: Victorian Population Health Survey (VPHS, 201</w:t>
            </w:r>
            <w:r>
              <w:t>7</w:t>
            </w:r>
            <w:r w:rsidRPr="00355478">
              <w:t>–</w:t>
            </w:r>
            <w:r>
              <w:t>20</w:t>
            </w:r>
            <w:r w:rsidRPr="00355478">
              <w:t>)</w:t>
            </w:r>
          </w:p>
        </w:tc>
      </w:tr>
      <w:tr w:rsidR="00496244" w:rsidRPr="002029AF" w14:paraId="3955FCB6" w14:textId="77777777" w:rsidTr="00317057">
        <w:trPr>
          <w:cantSplit/>
        </w:trPr>
        <w:tc>
          <w:tcPr>
            <w:tcW w:w="5557"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6274E3DA" w14:textId="77777777" w:rsidR="00496244" w:rsidRPr="00355478" w:rsidRDefault="00496244" w:rsidP="00D97BFD">
            <w:pPr>
              <w:pStyle w:val="ARtablesubhead"/>
              <w:keepNext/>
              <w:pageBreakBefore/>
            </w:pPr>
            <w:r w:rsidRPr="00355478">
              <w:lastRenderedPageBreak/>
              <w:t>Victorians have good mental health</w:t>
            </w:r>
          </w:p>
        </w:tc>
      </w:tr>
      <w:tr w:rsidR="00496244" w:rsidRPr="002029AF" w14:paraId="00AE2069" w14:textId="77777777" w:rsidTr="00317057">
        <w:trPr>
          <w:cantSplit/>
        </w:trPr>
        <w:tc>
          <w:tcPr>
            <w:tcW w:w="5557"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32CC95C7" w14:textId="77777777" w:rsidR="00496244" w:rsidRPr="00355478" w:rsidRDefault="00496244" w:rsidP="00317057">
            <w:pPr>
              <w:pStyle w:val="ARtabletext"/>
            </w:pPr>
            <w:r w:rsidRPr="00355478">
              <w:t xml:space="preserve">Proportion of adults </w:t>
            </w:r>
            <w:r>
              <w:t>with doctor-</w:t>
            </w:r>
            <w:r w:rsidRPr="00355478">
              <w:t>diagnosed anxiety or depression</w:t>
            </w:r>
          </w:p>
        </w:tc>
        <w:tc>
          <w:tcPr>
            <w:tcW w:w="1021"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6D9ACDF4" w14:textId="77777777" w:rsidR="00496244" w:rsidRPr="00355478" w:rsidRDefault="00496244" w:rsidP="00317057">
            <w:pPr>
              <w:pStyle w:val="ARtabletext"/>
            </w:pPr>
            <w:r w:rsidRPr="00355478">
              <w:t>27.4%</w:t>
            </w:r>
          </w:p>
        </w:tc>
        <w:tc>
          <w:tcPr>
            <w:tcW w:w="1021"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66DC0199" w14:textId="77777777" w:rsidR="00496244" w:rsidRPr="00355478" w:rsidRDefault="00496244" w:rsidP="00317057">
            <w:pPr>
              <w:pStyle w:val="ARtabletext"/>
            </w:pPr>
            <w:r w:rsidRPr="00355478">
              <w:t>29.1%</w:t>
            </w:r>
          </w:p>
        </w:tc>
        <w:tc>
          <w:tcPr>
            <w:tcW w:w="1021"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21364372" w14:textId="77777777" w:rsidR="00496244" w:rsidRPr="00355478" w:rsidRDefault="00496244" w:rsidP="00317057">
            <w:pPr>
              <w:pStyle w:val="ARtabletext"/>
            </w:pPr>
            <w:r w:rsidRPr="00355478">
              <w:t>29.8%</w:t>
            </w:r>
          </w:p>
        </w:tc>
        <w:tc>
          <w:tcPr>
            <w:tcW w:w="1021"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39C61F5E" w14:textId="77777777" w:rsidR="00496244" w:rsidRPr="00355478" w:rsidRDefault="00496244" w:rsidP="00317057">
            <w:pPr>
              <w:pStyle w:val="ARtabletext"/>
            </w:pPr>
            <w:r>
              <w:t>31.8%</w:t>
            </w:r>
          </w:p>
        </w:tc>
      </w:tr>
      <w:tr w:rsidR="00496244" w:rsidRPr="002029AF" w14:paraId="5DDC83CF" w14:textId="77777777" w:rsidTr="00317057">
        <w:trPr>
          <w:cantSplit/>
        </w:trPr>
        <w:tc>
          <w:tcPr>
            <w:tcW w:w="555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331E05A8" w14:textId="77777777" w:rsidR="00496244" w:rsidRPr="00355478" w:rsidRDefault="00496244" w:rsidP="00317057">
            <w:pPr>
              <w:pStyle w:val="ARtabletext"/>
            </w:pPr>
            <w:r w:rsidRPr="00355478">
              <w:t>Proportion of adults with high/very high psychological distress</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21CBC9A3" w14:textId="77777777" w:rsidR="00496244" w:rsidRPr="00355478" w:rsidRDefault="00496244" w:rsidP="00317057">
            <w:pPr>
              <w:pStyle w:val="ARtabletext"/>
            </w:pPr>
            <w:r w:rsidRPr="00355478">
              <w:t>15.4%</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22033BC2" w14:textId="77777777" w:rsidR="00496244" w:rsidRPr="00355478" w:rsidRDefault="00496244" w:rsidP="00317057">
            <w:pPr>
              <w:pStyle w:val="ARtabletext"/>
            </w:pPr>
            <w:r w:rsidRPr="00355478">
              <w:t>15.0%</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711852E2" w14:textId="77777777" w:rsidR="00496244" w:rsidRPr="00355478" w:rsidRDefault="00496244" w:rsidP="00317057">
            <w:pPr>
              <w:pStyle w:val="ARtabletext"/>
            </w:pPr>
            <w:r w:rsidRPr="00355478">
              <w:t>18.1%</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4D30A2A5" w14:textId="77777777" w:rsidR="00496244" w:rsidRPr="00355478" w:rsidRDefault="00496244" w:rsidP="00317057">
            <w:pPr>
              <w:pStyle w:val="ARtabletext"/>
            </w:pPr>
            <w:r>
              <w:t>23.4%</w:t>
            </w:r>
          </w:p>
        </w:tc>
      </w:tr>
      <w:tr w:rsidR="00496244" w:rsidRPr="002029AF" w14:paraId="35953E77" w14:textId="77777777" w:rsidTr="00317057">
        <w:trPr>
          <w:cantSplit/>
        </w:trPr>
        <w:tc>
          <w:tcPr>
            <w:tcW w:w="555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6FB97D4E" w14:textId="77777777" w:rsidR="00496244" w:rsidRPr="00355478" w:rsidRDefault="00496244" w:rsidP="00317057">
            <w:pPr>
              <w:pStyle w:val="ARtabletext"/>
            </w:pPr>
            <w:r w:rsidRPr="00355478">
              <w:t>Standardised rate of death from suicide (per 100,000 people)</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3A0902C3" w14:textId="77777777" w:rsidR="00496244" w:rsidRPr="00355478" w:rsidRDefault="00496244" w:rsidP="00317057">
            <w:pPr>
              <w:pStyle w:val="ARtabletext"/>
            </w:pPr>
            <w:r>
              <w:t>11.0</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06BBBC33" w14:textId="77777777" w:rsidR="00496244" w:rsidRPr="00355478" w:rsidRDefault="00496244" w:rsidP="00317057">
            <w:pPr>
              <w:pStyle w:val="ARtabletext"/>
            </w:pPr>
            <w:r>
              <w:t>10.4</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6B2F9D55" w14:textId="77777777" w:rsidR="00496244" w:rsidRPr="00355478" w:rsidRDefault="00496244" w:rsidP="00317057">
            <w:pPr>
              <w:pStyle w:val="ARtabletext"/>
            </w:pPr>
            <w:r>
              <w:t>10.7</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1CB3B78C" w14:textId="24ECF64A" w:rsidR="00496244" w:rsidRPr="00355478" w:rsidRDefault="00496244" w:rsidP="00317057">
            <w:pPr>
              <w:pStyle w:val="ARtabletext"/>
            </w:pPr>
            <w:r>
              <w:t>N/A</w:t>
            </w:r>
            <w:r w:rsidR="00BD5FC4" w:rsidRPr="00BD5FC4">
              <w:rPr>
                <w:rStyle w:val="FootnoteReference"/>
              </w:rPr>
              <w:t>(</w:t>
            </w:r>
            <w:r w:rsidRPr="00BD5FC4">
              <w:rPr>
                <w:rStyle w:val="FootnoteReference"/>
              </w:rPr>
              <w:footnoteReference w:id="4"/>
            </w:r>
            <w:r w:rsidR="00BD5FC4" w:rsidRPr="00BD5FC4">
              <w:rPr>
                <w:rStyle w:val="FootnoteReference"/>
              </w:rPr>
              <w:t>)</w:t>
            </w:r>
          </w:p>
        </w:tc>
      </w:tr>
      <w:tr w:rsidR="00496244" w:rsidRPr="002029AF" w14:paraId="06312491" w14:textId="77777777" w:rsidTr="00317057">
        <w:trPr>
          <w:cantSplit/>
        </w:trPr>
        <w:tc>
          <w:tcPr>
            <w:tcW w:w="5557" w:type="dxa"/>
            <w:gridSpan w:val="5"/>
            <w:tcBorders>
              <w:top w:val="single" w:sz="4" w:space="0" w:color="BFBFBF" w:themeColor="background1" w:themeShade="BF"/>
              <w:left w:val="single" w:sz="4" w:space="0" w:color="FFFFFF" w:themeColor="background1"/>
              <w:bottom w:val="single" w:sz="4" w:space="0" w:color="auto"/>
              <w:right w:val="single" w:sz="4" w:space="0" w:color="FFFFFF" w:themeColor="background1"/>
            </w:tcBorders>
          </w:tcPr>
          <w:p w14:paraId="398A3572" w14:textId="77777777" w:rsidR="00496244" w:rsidRPr="002029AF" w:rsidRDefault="00496244" w:rsidP="00317057">
            <w:pPr>
              <w:pStyle w:val="ARtablefootnote"/>
            </w:pPr>
            <w:r w:rsidRPr="002029AF">
              <w:t>Sources: VPHS; Australian Bureau of Statistics (ABS)</w:t>
            </w:r>
          </w:p>
        </w:tc>
      </w:tr>
      <w:tr w:rsidR="00496244" w:rsidRPr="002029AF" w14:paraId="15A9E5F8" w14:textId="77777777" w:rsidTr="00317057">
        <w:trPr>
          <w:cantSplit/>
        </w:trPr>
        <w:tc>
          <w:tcPr>
            <w:tcW w:w="5557" w:type="dxa"/>
            <w:gridSpan w:val="5"/>
            <w:tcBorders>
              <w:top w:val="single" w:sz="4" w:space="0" w:color="auto"/>
              <w:left w:val="single" w:sz="4" w:space="0" w:color="FFFFFF" w:themeColor="background1"/>
              <w:bottom w:val="single" w:sz="4" w:space="0" w:color="auto"/>
              <w:right w:val="single" w:sz="4" w:space="0" w:color="FFFFFF" w:themeColor="background1"/>
            </w:tcBorders>
          </w:tcPr>
          <w:p w14:paraId="26549376" w14:textId="77777777" w:rsidR="00496244" w:rsidRPr="002029AF" w:rsidRDefault="00496244" w:rsidP="00317057">
            <w:pPr>
              <w:pStyle w:val="ARtablesubhead"/>
            </w:pPr>
            <w:r w:rsidRPr="002029AF">
              <w:t>Victorians act to protect and promote health</w:t>
            </w:r>
          </w:p>
        </w:tc>
      </w:tr>
      <w:tr w:rsidR="00496244" w:rsidRPr="002029AF" w14:paraId="20ADECD8" w14:textId="77777777" w:rsidTr="00317057">
        <w:trPr>
          <w:cantSplit/>
        </w:trPr>
        <w:tc>
          <w:tcPr>
            <w:tcW w:w="5557"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hideMark/>
          </w:tcPr>
          <w:p w14:paraId="31E8153D" w14:textId="77777777" w:rsidR="00496244" w:rsidRPr="002029AF" w:rsidRDefault="00496244" w:rsidP="00317057">
            <w:pPr>
              <w:pStyle w:val="ARtabletext"/>
              <w:rPr>
                <w:i/>
              </w:rPr>
            </w:pPr>
            <w:r w:rsidRPr="002029AF">
              <w:t>Immunisation coverage: At school entry</w:t>
            </w:r>
          </w:p>
        </w:tc>
        <w:tc>
          <w:tcPr>
            <w:tcW w:w="1021"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2F839D34" w14:textId="77777777" w:rsidR="00496244" w:rsidRPr="002029AF" w:rsidRDefault="00496244" w:rsidP="00317057">
            <w:pPr>
              <w:pStyle w:val="ARtabletext"/>
            </w:pPr>
            <w:r w:rsidRPr="002029AF">
              <w:t>95.3%</w:t>
            </w:r>
          </w:p>
        </w:tc>
        <w:tc>
          <w:tcPr>
            <w:tcW w:w="1021"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673297C6" w14:textId="77777777" w:rsidR="00496244" w:rsidRPr="002029AF" w:rsidRDefault="00496244" w:rsidP="00317057">
            <w:pPr>
              <w:pStyle w:val="ARtabletext"/>
            </w:pPr>
            <w:r w:rsidRPr="002029AF">
              <w:t>95.7%</w:t>
            </w:r>
          </w:p>
        </w:tc>
        <w:tc>
          <w:tcPr>
            <w:tcW w:w="1021"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1AF57680" w14:textId="77777777" w:rsidR="00496244" w:rsidRPr="002029AF" w:rsidRDefault="00496244" w:rsidP="00317057">
            <w:pPr>
              <w:pStyle w:val="ARtabletext"/>
            </w:pPr>
            <w:r w:rsidRPr="002029AF">
              <w:t>95.8%</w:t>
            </w:r>
          </w:p>
        </w:tc>
        <w:tc>
          <w:tcPr>
            <w:tcW w:w="1021"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55CFD1BC" w14:textId="77777777" w:rsidR="00496244" w:rsidRPr="002029AF" w:rsidRDefault="00496244" w:rsidP="00317057">
            <w:pPr>
              <w:pStyle w:val="ARtabletext"/>
            </w:pPr>
            <w:r>
              <w:t>96.1%</w:t>
            </w:r>
          </w:p>
        </w:tc>
      </w:tr>
      <w:tr w:rsidR="00496244" w:rsidRPr="002029AF" w14:paraId="04BC29B1" w14:textId="77777777" w:rsidTr="00317057">
        <w:trPr>
          <w:cantSplit/>
        </w:trPr>
        <w:tc>
          <w:tcPr>
            <w:tcW w:w="555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hideMark/>
          </w:tcPr>
          <w:p w14:paraId="4B63E240" w14:textId="77777777" w:rsidR="00496244" w:rsidRPr="002029AF" w:rsidRDefault="00496244" w:rsidP="00317057">
            <w:pPr>
              <w:pStyle w:val="ARtabletext"/>
              <w:rPr>
                <w:i/>
              </w:rPr>
            </w:pPr>
            <w:r w:rsidRPr="002029AF">
              <w:t>Immunisation coverage: At two years of age</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51EB8B8A" w14:textId="77777777" w:rsidR="00496244" w:rsidRPr="002029AF" w:rsidRDefault="00496244" w:rsidP="00317057">
            <w:pPr>
              <w:pStyle w:val="ARtabletext"/>
            </w:pPr>
            <w:r w:rsidRPr="002029AF">
              <w:t>91.0%</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54550240" w14:textId="77777777" w:rsidR="00496244" w:rsidRPr="002029AF" w:rsidRDefault="00496244" w:rsidP="00317057">
            <w:pPr>
              <w:pStyle w:val="ARtabletext"/>
            </w:pPr>
            <w:r w:rsidRPr="002029AF">
              <w:t>92.0%</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5C443846" w14:textId="77777777" w:rsidR="00496244" w:rsidRPr="002029AF" w:rsidRDefault="00496244" w:rsidP="00317057">
            <w:pPr>
              <w:pStyle w:val="ARtabletext"/>
            </w:pPr>
            <w:r w:rsidRPr="002029AF">
              <w:t>92.3%</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402FCC44" w14:textId="77777777" w:rsidR="00496244" w:rsidRPr="002029AF" w:rsidRDefault="00496244" w:rsidP="00317057">
            <w:pPr>
              <w:pStyle w:val="ARtabletext"/>
            </w:pPr>
            <w:r>
              <w:t>92.2%</w:t>
            </w:r>
          </w:p>
        </w:tc>
      </w:tr>
      <w:tr w:rsidR="00496244" w:rsidRPr="002029AF" w14:paraId="7D22424E" w14:textId="77777777" w:rsidTr="00317057">
        <w:trPr>
          <w:cantSplit/>
        </w:trPr>
        <w:tc>
          <w:tcPr>
            <w:tcW w:w="555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hideMark/>
          </w:tcPr>
          <w:p w14:paraId="41982EBD" w14:textId="77777777" w:rsidR="00496244" w:rsidRPr="002029AF" w:rsidRDefault="00496244" w:rsidP="00317057">
            <w:pPr>
              <w:pStyle w:val="ARtabletext"/>
              <w:rPr>
                <w:i/>
              </w:rPr>
            </w:pPr>
            <w:r w:rsidRPr="002029AF">
              <w:t>Percentage of Aboriginal children fully immunised at 60 months</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0645CE6C" w14:textId="77777777" w:rsidR="00496244" w:rsidRPr="002029AF" w:rsidRDefault="00496244" w:rsidP="00317057">
            <w:pPr>
              <w:pStyle w:val="ARtabletext"/>
            </w:pPr>
            <w:r w:rsidRPr="002029AF">
              <w:t>91.0%</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3F0CBCD5" w14:textId="77777777" w:rsidR="00496244" w:rsidRPr="002029AF" w:rsidRDefault="00496244" w:rsidP="00317057">
            <w:pPr>
              <w:pStyle w:val="ARtabletext"/>
            </w:pPr>
            <w:r w:rsidRPr="002029AF">
              <w:t>96.5%</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66B508AD" w14:textId="77777777" w:rsidR="00496244" w:rsidRPr="002029AF" w:rsidRDefault="00496244" w:rsidP="00317057">
            <w:pPr>
              <w:pStyle w:val="ARtabletext"/>
            </w:pPr>
            <w:r w:rsidRPr="002029AF">
              <w:t>97.7%</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4A1AB1C2" w14:textId="77777777" w:rsidR="00496244" w:rsidRPr="002029AF" w:rsidRDefault="00496244" w:rsidP="00317057">
            <w:pPr>
              <w:pStyle w:val="ARtabletext"/>
            </w:pPr>
            <w:r>
              <w:t>97.2%</w:t>
            </w:r>
          </w:p>
        </w:tc>
      </w:tr>
      <w:tr w:rsidR="00496244" w:rsidRPr="002029AF" w14:paraId="44CD326E" w14:textId="77777777" w:rsidTr="00317057">
        <w:trPr>
          <w:cantSplit/>
        </w:trPr>
        <w:tc>
          <w:tcPr>
            <w:tcW w:w="555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hideMark/>
          </w:tcPr>
          <w:p w14:paraId="26569A95" w14:textId="77777777" w:rsidR="00496244" w:rsidRPr="002029AF" w:rsidRDefault="00496244" w:rsidP="00317057">
            <w:pPr>
              <w:pStyle w:val="ARtabletext"/>
            </w:pPr>
            <w:r w:rsidRPr="002029AF">
              <w:t>Eligible newborns screened for hearing deficit before one month of age</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6374FD80" w14:textId="77777777" w:rsidR="00496244" w:rsidRPr="002029AF" w:rsidRDefault="00496244" w:rsidP="00317057">
            <w:pPr>
              <w:pStyle w:val="ARtabletext"/>
            </w:pPr>
            <w:r w:rsidRPr="002029AF">
              <w:t>98.6%</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1A2DFA42" w14:textId="77777777" w:rsidR="00496244" w:rsidRPr="002029AF" w:rsidRDefault="00496244" w:rsidP="00317057">
            <w:pPr>
              <w:pStyle w:val="ARtabletext"/>
            </w:pPr>
            <w:r w:rsidRPr="002029AF">
              <w:t>98.7%</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70E678E3" w14:textId="77777777" w:rsidR="00496244" w:rsidRPr="002029AF" w:rsidRDefault="00496244" w:rsidP="00317057">
            <w:pPr>
              <w:pStyle w:val="ARtabletext"/>
            </w:pPr>
            <w:r w:rsidRPr="002029AF">
              <w:t>98.4%</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54B87E2C" w14:textId="77777777" w:rsidR="00496244" w:rsidRPr="002029AF" w:rsidRDefault="00496244" w:rsidP="00317057">
            <w:pPr>
              <w:pStyle w:val="ARtabletext"/>
            </w:pPr>
            <w:r>
              <w:t>98.3%</w:t>
            </w:r>
            <w:r w:rsidRPr="18BBDAB4">
              <w:rPr>
                <w:rStyle w:val="Superscript"/>
              </w:rPr>
              <w:t xml:space="preserve"> </w:t>
            </w:r>
          </w:p>
        </w:tc>
      </w:tr>
      <w:tr w:rsidR="00496244" w:rsidRPr="002029AF" w14:paraId="2804C09A" w14:textId="77777777" w:rsidTr="00317057">
        <w:trPr>
          <w:cantSplit/>
        </w:trPr>
        <w:tc>
          <w:tcPr>
            <w:tcW w:w="555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hideMark/>
          </w:tcPr>
          <w:p w14:paraId="0F1474A4" w14:textId="77777777" w:rsidR="00496244" w:rsidRPr="002029AF" w:rsidRDefault="00496244" w:rsidP="00317057">
            <w:pPr>
              <w:pStyle w:val="ARtabletext"/>
              <w:rPr>
                <w:i/>
              </w:rPr>
            </w:pPr>
            <w:r w:rsidRPr="002029AF">
              <w:t xml:space="preserve">Rate of </w:t>
            </w:r>
            <w:r w:rsidRPr="002029AF">
              <w:rPr>
                <w:i/>
                <w:iCs/>
              </w:rPr>
              <w:t>Staphylococcus aureus</w:t>
            </w:r>
            <w:r w:rsidRPr="002029AF">
              <w:t xml:space="preserve"> bacteraemias (SAB) infections per 10,000 patient days</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1ECB606B" w14:textId="77777777" w:rsidR="00496244" w:rsidRPr="002029AF" w:rsidRDefault="00496244" w:rsidP="00317057">
            <w:pPr>
              <w:pStyle w:val="ARtabletext"/>
            </w:pPr>
            <w:r w:rsidRPr="002029AF">
              <w:t>0.8</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7B3E9C1E" w14:textId="77777777" w:rsidR="00496244" w:rsidRPr="002029AF" w:rsidRDefault="00496244" w:rsidP="00317057">
            <w:pPr>
              <w:pStyle w:val="ARtabletext"/>
            </w:pPr>
            <w:r w:rsidRPr="002029AF">
              <w:t>0.9</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2BF83465" w14:textId="77777777" w:rsidR="00496244" w:rsidRPr="002029AF" w:rsidRDefault="00496244" w:rsidP="00317057">
            <w:pPr>
              <w:pStyle w:val="ARtabletext"/>
              <w:rPr>
                <w:rStyle w:val="Superscript"/>
              </w:rPr>
            </w:pPr>
            <w:r w:rsidRPr="002029AF">
              <w:t>0.</w:t>
            </w:r>
            <w:r>
              <w:t>5</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6BFEC627" w14:textId="77777777" w:rsidR="00496244" w:rsidRPr="002029AF" w:rsidRDefault="00496244" w:rsidP="00317057">
            <w:pPr>
              <w:pStyle w:val="ARtabletext"/>
            </w:pPr>
            <w:r>
              <w:t>0.7</w:t>
            </w:r>
            <w:r w:rsidRPr="002029AF">
              <w:rPr>
                <w:rStyle w:val="Superscript"/>
              </w:rPr>
              <w:t xml:space="preserve"> E</w:t>
            </w:r>
          </w:p>
        </w:tc>
      </w:tr>
      <w:tr w:rsidR="00496244" w:rsidRPr="002029AF" w14:paraId="32A7BB56" w14:textId="77777777" w:rsidTr="00317057">
        <w:trPr>
          <w:cantSplit/>
        </w:trPr>
        <w:tc>
          <w:tcPr>
            <w:tcW w:w="555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hideMark/>
          </w:tcPr>
          <w:p w14:paraId="595DA64A" w14:textId="77777777" w:rsidR="00496244" w:rsidRPr="002029AF" w:rsidRDefault="00496244" w:rsidP="00317057">
            <w:pPr>
              <w:pStyle w:val="ARtabletext"/>
              <w:rPr>
                <w:i/>
              </w:rPr>
            </w:pPr>
            <w:r w:rsidRPr="002029AF">
              <w:t>Healthcare worker immunisation – influenza</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78C1569F" w14:textId="77777777" w:rsidR="00496244" w:rsidRPr="002029AF" w:rsidRDefault="00496244" w:rsidP="00317057">
            <w:pPr>
              <w:pStyle w:val="ARtabletext"/>
            </w:pPr>
            <w:r w:rsidRPr="002029AF">
              <w:t>80.0%</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2C2507A0" w14:textId="77777777" w:rsidR="00496244" w:rsidRPr="002029AF" w:rsidRDefault="00496244" w:rsidP="00317057">
            <w:pPr>
              <w:pStyle w:val="ARtabletext"/>
            </w:pPr>
            <w:r w:rsidRPr="002029AF">
              <w:t>83.0%</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23A25454" w14:textId="77777777" w:rsidR="00496244" w:rsidRPr="002029AF" w:rsidRDefault="00496244" w:rsidP="00317057">
            <w:pPr>
              <w:pStyle w:val="ARtabletext"/>
            </w:pPr>
            <w:r w:rsidRPr="002029AF">
              <w:t>87.7%</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2589CDC5" w14:textId="77777777" w:rsidR="00496244" w:rsidRPr="002029AF" w:rsidRDefault="00496244" w:rsidP="00317057">
            <w:pPr>
              <w:pStyle w:val="ARtabletext"/>
            </w:pPr>
            <w:r>
              <w:t>93.0%</w:t>
            </w:r>
            <w:r w:rsidRPr="002029AF">
              <w:rPr>
                <w:rStyle w:val="Superscript"/>
              </w:rPr>
              <w:t xml:space="preserve"> </w:t>
            </w:r>
          </w:p>
        </w:tc>
      </w:tr>
      <w:tr w:rsidR="00496244" w:rsidRPr="002029AF" w14:paraId="40A06E9F" w14:textId="77777777" w:rsidTr="00317057">
        <w:trPr>
          <w:cantSplit/>
        </w:trPr>
        <w:tc>
          <w:tcPr>
            <w:tcW w:w="5557" w:type="dxa"/>
            <w:tcBorders>
              <w:top w:val="single" w:sz="4" w:space="0" w:color="BFBFBF" w:themeColor="background1" w:themeShade="BF"/>
              <w:left w:val="single" w:sz="4" w:space="0" w:color="FFFFFF" w:themeColor="background1"/>
              <w:bottom w:val="nil"/>
              <w:right w:val="single" w:sz="4" w:space="0" w:color="FFFFFF" w:themeColor="background1"/>
            </w:tcBorders>
            <w:hideMark/>
          </w:tcPr>
          <w:p w14:paraId="67CA91A1" w14:textId="77777777" w:rsidR="00496244" w:rsidRPr="002029AF" w:rsidRDefault="00496244" w:rsidP="00317057">
            <w:pPr>
              <w:pStyle w:val="ARtabletext"/>
              <w:rPr>
                <w:i/>
              </w:rPr>
            </w:pPr>
            <w:r w:rsidRPr="002029AF">
              <w:t>Rate of intensive care unit central line associated blood stream infections (CLABSI) per 1,000 device days</w:t>
            </w:r>
          </w:p>
        </w:tc>
        <w:tc>
          <w:tcPr>
            <w:tcW w:w="1021" w:type="dxa"/>
            <w:tcBorders>
              <w:top w:val="single" w:sz="4" w:space="0" w:color="BFBFBF" w:themeColor="background1" w:themeShade="BF"/>
              <w:left w:val="single" w:sz="4" w:space="0" w:color="FFFFFF" w:themeColor="background1"/>
              <w:bottom w:val="nil"/>
              <w:right w:val="single" w:sz="4" w:space="0" w:color="FFFFFF" w:themeColor="background1"/>
            </w:tcBorders>
          </w:tcPr>
          <w:p w14:paraId="6141C0F3" w14:textId="77777777" w:rsidR="00496244" w:rsidRPr="002029AF" w:rsidRDefault="00496244" w:rsidP="00317057">
            <w:pPr>
              <w:pStyle w:val="ARtabletext"/>
            </w:pPr>
            <w:r w:rsidRPr="002029AF">
              <w:t>0.8</w:t>
            </w:r>
          </w:p>
        </w:tc>
        <w:tc>
          <w:tcPr>
            <w:tcW w:w="1021" w:type="dxa"/>
            <w:tcBorders>
              <w:top w:val="single" w:sz="4" w:space="0" w:color="BFBFBF" w:themeColor="background1" w:themeShade="BF"/>
              <w:left w:val="single" w:sz="4" w:space="0" w:color="FFFFFF" w:themeColor="background1"/>
              <w:bottom w:val="nil"/>
              <w:right w:val="single" w:sz="4" w:space="0" w:color="FFFFFF" w:themeColor="background1"/>
            </w:tcBorders>
          </w:tcPr>
          <w:p w14:paraId="329426F6" w14:textId="77777777" w:rsidR="00496244" w:rsidRPr="002029AF" w:rsidRDefault="00496244" w:rsidP="00317057">
            <w:pPr>
              <w:pStyle w:val="ARtabletext"/>
            </w:pPr>
            <w:r w:rsidRPr="002029AF">
              <w:t>0.9</w:t>
            </w:r>
          </w:p>
        </w:tc>
        <w:tc>
          <w:tcPr>
            <w:tcW w:w="1021" w:type="dxa"/>
            <w:tcBorders>
              <w:top w:val="single" w:sz="4" w:space="0" w:color="BFBFBF" w:themeColor="background1" w:themeShade="BF"/>
              <w:left w:val="single" w:sz="4" w:space="0" w:color="FFFFFF" w:themeColor="background1"/>
              <w:bottom w:val="nil"/>
              <w:right w:val="single" w:sz="4" w:space="0" w:color="FFFFFF" w:themeColor="background1"/>
            </w:tcBorders>
          </w:tcPr>
          <w:p w14:paraId="78A7686E" w14:textId="77777777" w:rsidR="00496244" w:rsidRPr="002029AF" w:rsidRDefault="00496244" w:rsidP="00317057">
            <w:pPr>
              <w:pStyle w:val="ARtabletext"/>
              <w:rPr>
                <w:rStyle w:val="Superscript"/>
              </w:rPr>
            </w:pPr>
            <w:r w:rsidRPr="002029AF">
              <w:t>0.</w:t>
            </w:r>
            <w:r>
              <w:t>6</w:t>
            </w:r>
          </w:p>
        </w:tc>
        <w:tc>
          <w:tcPr>
            <w:tcW w:w="1021" w:type="dxa"/>
            <w:tcBorders>
              <w:top w:val="single" w:sz="4" w:space="0" w:color="BFBFBF" w:themeColor="background1" w:themeShade="BF"/>
              <w:left w:val="single" w:sz="4" w:space="0" w:color="FFFFFF" w:themeColor="background1"/>
              <w:bottom w:val="nil"/>
              <w:right w:val="single" w:sz="4" w:space="0" w:color="FFFFFF" w:themeColor="background1"/>
            </w:tcBorders>
            <w:shd w:val="clear" w:color="auto" w:fill="auto"/>
          </w:tcPr>
          <w:p w14:paraId="495E4596" w14:textId="77777777" w:rsidR="00496244" w:rsidRPr="002029AF" w:rsidRDefault="00496244" w:rsidP="00317057">
            <w:pPr>
              <w:pStyle w:val="ARtabletext"/>
            </w:pPr>
            <w:r>
              <w:t>0.6</w:t>
            </w:r>
            <w:r w:rsidRPr="002029AF">
              <w:rPr>
                <w:rStyle w:val="Superscript"/>
              </w:rPr>
              <w:t xml:space="preserve"> E</w:t>
            </w:r>
          </w:p>
        </w:tc>
      </w:tr>
      <w:tr w:rsidR="00496244" w:rsidRPr="002029AF" w14:paraId="4D0827C7" w14:textId="77777777" w:rsidTr="00317057">
        <w:trPr>
          <w:cantSplit/>
        </w:trPr>
        <w:tc>
          <w:tcPr>
            <w:tcW w:w="5557" w:type="dxa"/>
            <w:tcBorders>
              <w:top w:val="single" w:sz="4" w:space="0" w:color="BFBFBF" w:themeColor="background1" w:themeShade="BF"/>
              <w:left w:val="single" w:sz="4" w:space="0" w:color="FFFFFF" w:themeColor="background1"/>
              <w:bottom w:val="nil"/>
              <w:right w:val="single" w:sz="4" w:space="0" w:color="FFFFFF" w:themeColor="background1"/>
            </w:tcBorders>
            <w:hideMark/>
          </w:tcPr>
          <w:p w14:paraId="65C0AF83" w14:textId="77777777" w:rsidR="00496244" w:rsidRPr="002029AF" w:rsidRDefault="00496244" w:rsidP="00317057">
            <w:pPr>
              <w:pStyle w:val="ARtabletext"/>
            </w:pPr>
            <w:r w:rsidRPr="002029AF">
              <w:t>Hand hygiene compliance</w:t>
            </w:r>
          </w:p>
        </w:tc>
        <w:tc>
          <w:tcPr>
            <w:tcW w:w="1021" w:type="dxa"/>
            <w:tcBorders>
              <w:top w:val="single" w:sz="4" w:space="0" w:color="BFBFBF" w:themeColor="background1" w:themeShade="BF"/>
              <w:left w:val="single" w:sz="4" w:space="0" w:color="FFFFFF" w:themeColor="background1"/>
              <w:bottom w:val="nil"/>
              <w:right w:val="single" w:sz="4" w:space="0" w:color="FFFFFF" w:themeColor="background1"/>
            </w:tcBorders>
          </w:tcPr>
          <w:p w14:paraId="2C1A280E" w14:textId="77777777" w:rsidR="00496244" w:rsidRPr="002029AF" w:rsidRDefault="00496244" w:rsidP="00317057">
            <w:pPr>
              <w:pStyle w:val="ARtabletext"/>
            </w:pPr>
            <w:r w:rsidRPr="002029AF">
              <w:t>85.0%</w:t>
            </w:r>
          </w:p>
        </w:tc>
        <w:tc>
          <w:tcPr>
            <w:tcW w:w="1021" w:type="dxa"/>
            <w:tcBorders>
              <w:top w:val="single" w:sz="4" w:space="0" w:color="BFBFBF" w:themeColor="background1" w:themeShade="BF"/>
              <w:left w:val="single" w:sz="4" w:space="0" w:color="FFFFFF" w:themeColor="background1"/>
              <w:bottom w:val="nil"/>
              <w:right w:val="single" w:sz="4" w:space="0" w:color="FFFFFF" w:themeColor="background1"/>
            </w:tcBorders>
          </w:tcPr>
          <w:p w14:paraId="027F7768" w14:textId="77777777" w:rsidR="00496244" w:rsidRPr="002029AF" w:rsidRDefault="00496244" w:rsidP="00317057">
            <w:pPr>
              <w:pStyle w:val="ARtabletext"/>
            </w:pPr>
            <w:r w:rsidRPr="002029AF">
              <w:t>85.0%</w:t>
            </w:r>
          </w:p>
        </w:tc>
        <w:tc>
          <w:tcPr>
            <w:tcW w:w="1021" w:type="dxa"/>
            <w:tcBorders>
              <w:top w:val="single" w:sz="4" w:space="0" w:color="BFBFBF" w:themeColor="background1" w:themeShade="BF"/>
              <w:left w:val="single" w:sz="4" w:space="0" w:color="FFFFFF" w:themeColor="background1"/>
              <w:bottom w:val="nil"/>
              <w:right w:val="single" w:sz="4" w:space="0" w:color="FFFFFF" w:themeColor="background1"/>
            </w:tcBorders>
          </w:tcPr>
          <w:p w14:paraId="6F148DD8" w14:textId="77777777" w:rsidR="00496244" w:rsidRPr="002029AF" w:rsidRDefault="00496244" w:rsidP="00317057">
            <w:pPr>
              <w:pStyle w:val="ARtabletext"/>
              <w:rPr>
                <w:rStyle w:val="Superscript"/>
              </w:rPr>
            </w:pPr>
            <w:r w:rsidRPr="002029AF">
              <w:t>87.5%</w:t>
            </w:r>
          </w:p>
        </w:tc>
        <w:tc>
          <w:tcPr>
            <w:tcW w:w="1021" w:type="dxa"/>
            <w:tcBorders>
              <w:top w:val="single" w:sz="4" w:space="0" w:color="BFBFBF" w:themeColor="background1" w:themeShade="BF"/>
              <w:left w:val="single" w:sz="4" w:space="0" w:color="FFFFFF" w:themeColor="background1"/>
              <w:bottom w:val="nil"/>
              <w:right w:val="single" w:sz="4" w:space="0" w:color="FFFFFF" w:themeColor="background1"/>
            </w:tcBorders>
            <w:shd w:val="clear" w:color="auto" w:fill="auto"/>
          </w:tcPr>
          <w:p w14:paraId="0292991A" w14:textId="77777777" w:rsidR="00496244" w:rsidRPr="002029AF" w:rsidRDefault="00496244" w:rsidP="00317057">
            <w:pPr>
              <w:pStyle w:val="ARtabletext"/>
            </w:pPr>
            <w:r>
              <w:t>86.4%</w:t>
            </w:r>
          </w:p>
        </w:tc>
      </w:tr>
      <w:tr w:rsidR="00496244" w:rsidRPr="002029AF" w14:paraId="48C7FDE9" w14:textId="77777777" w:rsidTr="00317057">
        <w:trPr>
          <w:cantSplit/>
        </w:trPr>
        <w:tc>
          <w:tcPr>
            <w:tcW w:w="5557" w:type="dxa"/>
            <w:tcBorders>
              <w:top w:val="single" w:sz="4" w:space="0" w:color="BFBFBF" w:themeColor="background1" w:themeShade="BF"/>
              <w:left w:val="single" w:sz="4" w:space="0" w:color="FFFFFF" w:themeColor="background1"/>
              <w:bottom w:val="nil"/>
              <w:right w:val="single" w:sz="4" w:space="0" w:color="FFFFFF" w:themeColor="background1"/>
            </w:tcBorders>
            <w:hideMark/>
          </w:tcPr>
          <w:p w14:paraId="4CEAD303" w14:textId="77777777" w:rsidR="00496244" w:rsidRPr="002029AF" w:rsidRDefault="00496244" w:rsidP="00317057">
            <w:pPr>
              <w:pStyle w:val="ARtabletext"/>
              <w:rPr>
                <w:i/>
              </w:rPr>
            </w:pPr>
            <w:r w:rsidRPr="002029AF">
              <w:t>Patient reported hospital cleanliness</w:t>
            </w:r>
          </w:p>
        </w:tc>
        <w:tc>
          <w:tcPr>
            <w:tcW w:w="1021" w:type="dxa"/>
            <w:tcBorders>
              <w:top w:val="single" w:sz="4" w:space="0" w:color="BFBFBF" w:themeColor="background1" w:themeShade="BF"/>
              <w:left w:val="single" w:sz="4" w:space="0" w:color="FFFFFF" w:themeColor="background1"/>
              <w:bottom w:val="nil"/>
              <w:right w:val="single" w:sz="4" w:space="0" w:color="FFFFFF" w:themeColor="background1"/>
            </w:tcBorders>
          </w:tcPr>
          <w:p w14:paraId="67AE0323" w14:textId="77777777" w:rsidR="00496244" w:rsidRPr="002029AF" w:rsidRDefault="00496244" w:rsidP="00317057">
            <w:pPr>
              <w:pStyle w:val="ARtabletext"/>
            </w:pPr>
            <w:r w:rsidRPr="002029AF">
              <w:t>70.0%</w:t>
            </w:r>
          </w:p>
        </w:tc>
        <w:tc>
          <w:tcPr>
            <w:tcW w:w="1021" w:type="dxa"/>
            <w:tcBorders>
              <w:top w:val="single" w:sz="4" w:space="0" w:color="BFBFBF" w:themeColor="background1" w:themeShade="BF"/>
              <w:left w:val="single" w:sz="4" w:space="0" w:color="FFFFFF" w:themeColor="background1"/>
              <w:bottom w:val="nil"/>
              <w:right w:val="single" w:sz="4" w:space="0" w:color="FFFFFF" w:themeColor="background1"/>
            </w:tcBorders>
          </w:tcPr>
          <w:p w14:paraId="19BB48E2" w14:textId="77777777" w:rsidR="00496244" w:rsidRPr="002029AF" w:rsidRDefault="00496244" w:rsidP="00317057">
            <w:pPr>
              <w:pStyle w:val="ARtabletext"/>
            </w:pPr>
            <w:r w:rsidRPr="002029AF">
              <w:t>69.4%</w:t>
            </w:r>
          </w:p>
        </w:tc>
        <w:tc>
          <w:tcPr>
            <w:tcW w:w="1021" w:type="dxa"/>
            <w:tcBorders>
              <w:top w:val="single" w:sz="4" w:space="0" w:color="BFBFBF" w:themeColor="background1" w:themeShade="BF"/>
              <w:left w:val="single" w:sz="4" w:space="0" w:color="FFFFFF" w:themeColor="background1"/>
              <w:bottom w:val="nil"/>
              <w:right w:val="single" w:sz="4" w:space="0" w:color="FFFFFF" w:themeColor="background1"/>
            </w:tcBorders>
          </w:tcPr>
          <w:p w14:paraId="40E7C08C" w14:textId="77777777" w:rsidR="00496244" w:rsidRPr="002029AF" w:rsidRDefault="00496244" w:rsidP="00317057">
            <w:pPr>
              <w:pStyle w:val="ARtabletext"/>
              <w:rPr>
                <w:rStyle w:val="Superscript"/>
              </w:rPr>
            </w:pPr>
            <w:r>
              <w:t>73.3%</w:t>
            </w:r>
          </w:p>
        </w:tc>
        <w:tc>
          <w:tcPr>
            <w:tcW w:w="1021" w:type="dxa"/>
            <w:tcBorders>
              <w:top w:val="single" w:sz="4" w:space="0" w:color="BFBFBF" w:themeColor="background1" w:themeShade="BF"/>
              <w:left w:val="single" w:sz="4" w:space="0" w:color="FFFFFF" w:themeColor="background1"/>
              <w:bottom w:val="nil"/>
              <w:right w:val="single" w:sz="4" w:space="0" w:color="FFFFFF" w:themeColor="background1"/>
            </w:tcBorders>
            <w:shd w:val="clear" w:color="auto" w:fill="auto"/>
          </w:tcPr>
          <w:p w14:paraId="15D2886A" w14:textId="799BE715" w:rsidR="00496244" w:rsidRPr="002029AF" w:rsidRDefault="00496244" w:rsidP="00317057">
            <w:pPr>
              <w:pStyle w:val="ARtabletext"/>
            </w:pPr>
            <w:r>
              <w:t>N/A</w:t>
            </w:r>
            <w:r w:rsidR="00BD5FC4" w:rsidRPr="00BD5FC4">
              <w:rPr>
                <w:rStyle w:val="FootnoteReference"/>
              </w:rPr>
              <w:t>(</w:t>
            </w:r>
            <w:r w:rsidRPr="00BD5FC4">
              <w:rPr>
                <w:rStyle w:val="FootnoteReference"/>
              </w:rPr>
              <w:footnoteReference w:id="5"/>
            </w:r>
            <w:r w:rsidR="00BD5FC4" w:rsidRPr="00BD5FC4">
              <w:rPr>
                <w:rStyle w:val="FootnoteReference"/>
              </w:rPr>
              <w:t>)</w:t>
            </w:r>
          </w:p>
        </w:tc>
      </w:tr>
      <w:tr w:rsidR="00496244" w:rsidRPr="002029AF" w14:paraId="0E8ED5B4" w14:textId="77777777" w:rsidTr="00317057">
        <w:trPr>
          <w:cantSplit/>
        </w:trPr>
        <w:tc>
          <w:tcPr>
            <w:tcW w:w="555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hideMark/>
          </w:tcPr>
          <w:p w14:paraId="3B649E59" w14:textId="77777777" w:rsidR="00496244" w:rsidRPr="002029AF" w:rsidRDefault="00496244" w:rsidP="00317057">
            <w:pPr>
              <w:pStyle w:val="ARtabletext"/>
              <w:rPr>
                <w:i/>
              </w:rPr>
            </w:pPr>
            <w:r w:rsidRPr="002029AF">
              <w:t>Perinatal and child mortality reports received, reviewed and classified</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1E1B99D8" w14:textId="77777777" w:rsidR="00496244" w:rsidRPr="002029AF" w:rsidRDefault="00496244" w:rsidP="00317057">
            <w:pPr>
              <w:pStyle w:val="ARtabletext"/>
              <w:rPr>
                <w:i/>
              </w:rPr>
            </w:pPr>
            <w:r w:rsidRPr="002029AF">
              <w:t>100%</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23E9C152" w14:textId="77777777" w:rsidR="00496244" w:rsidRPr="002029AF" w:rsidRDefault="00496244" w:rsidP="00317057">
            <w:pPr>
              <w:pStyle w:val="ARtabletext"/>
              <w:rPr>
                <w:i/>
              </w:rPr>
            </w:pPr>
            <w:r w:rsidRPr="002029AF">
              <w:t>100%</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59AA3610" w14:textId="77777777" w:rsidR="00496244" w:rsidRPr="002029AF" w:rsidRDefault="00496244" w:rsidP="00317057">
            <w:pPr>
              <w:pStyle w:val="ARtabletext"/>
            </w:pPr>
            <w:r w:rsidRPr="002029AF">
              <w:t>99.3%</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71E8E464" w14:textId="77777777" w:rsidR="00496244" w:rsidRPr="002029AF" w:rsidRDefault="00496244" w:rsidP="00317057">
            <w:pPr>
              <w:pStyle w:val="ARtabletext"/>
            </w:pPr>
            <w:r>
              <w:t>95.5%</w:t>
            </w:r>
          </w:p>
        </w:tc>
      </w:tr>
      <w:tr w:rsidR="00496244" w:rsidRPr="002029AF" w14:paraId="0473B030" w14:textId="77777777" w:rsidTr="00317057">
        <w:trPr>
          <w:cantSplit/>
        </w:trPr>
        <w:tc>
          <w:tcPr>
            <w:tcW w:w="555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hideMark/>
          </w:tcPr>
          <w:p w14:paraId="18A91A28" w14:textId="77777777" w:rsidR="00496244" w:rsidRPr="002029AF" w:rsidRDefault="00496244" w:rsidP="00317057">
            <w:pPr>
              <w:pStyle w:val="ARtabletext"/>
              <w:rPr>
                <w:i/>
              </w:rPr>
            </w:pPr>
            <w:r w:rsidRPr="002029AF">
              <w:t>Perinatal mortality rate per 1,000 of babies of Aboriginal mothers using rolling three-year average</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2A5D3A1D" w14:textId="77777777" w:rsidR="00496244" w:rsidRPr="002029AF" w:rsidRDefault="00496244" w:rsidP="00317057">
            <w:pPr>
              <w:pStyle w:val="ARtabletext"/>
              <w:rPr>
                <w:i/>
              </w:rPr>
            </w:pPr>
            <w:r w:rsidRPr="002029AF">
              <w:t>9.0</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558B2C3F" w14:textId="77777777" w:rsidR="00496244" w:rsidRPr="002029AF" w:rsidRDefault="00496244" w:rsidP="00317057">
            <w:pPr>
              <w:pStyle w:val="ARtabletext"/>
              <w:rPr>
                <w:i/>
              </w:rPr>
            </w:pPr>
            <w:r w:rsidRPr="002029AF">
              <w:t>10.0</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572D5230" w14:textId="77777777" w:rsidR="00496244" w:rsidRPr="002029AF" w:rsidRDefault="00496244" w:rsidP="00317057">
            <w:pPr>
              <w:pStyle w:val="ARtabletext"/>
            </w:pPr>
            <w:r w:rsidRPr="002029AF">
              <w:t>11.5</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00B6EB76" w14:textId="77777777" w:rsidR="00496244" w:rsidRPr="002029AF" w:rsidRDefault="00496244" w:rsidP="00317057">
            <w:pPr>
              <w:pStyle w:val="ARtabletext"/>
            </w:pPr>
            <w:r>
              <w:t>12.6</w:t>
            </w:r>
          </w:p>
        </w:tc>
      </w:tr>
      <w:tr w:rsidR="00496244" w:rsidRPr="002029AF" w14:paraId="736F7536" w14:textId="77777777" w:rsidTr="00317057">
        <w:trPr>
          <w:cantSplit/>
        </w:trPr>
        <w:tc>
          <w:tcPr>
            <w:tcW w:w="555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hideMark/>
          </w:tcPr>
          <w:p w14:paraId="653ADC41" w14:textId="77777777" w:rsidR="00496244" w:rsidRPr="002029AF" w:rsidRDefault="00496244" w:rsidP="00317057">
            <w:pPr>
              <w:pStyle w:val="ARtabletext"/>
              <w:rPr>
                <w:i/>
              </w:rPr>
            </w:pPr>
            <w:r w:rsidRPr="002029AF">
              <w:t>Smoking cessation of Aboriginal mothers</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1E20A581" w14:textId="77777777" w:rsidR="00496244" w:rsidRPr="002029AF" w:rsidRDefault="00496244" w:rsidP="00317057">
            <w:pPr>
              <w:pStyle w:val="ARtabletext"/>
              <w:rPr>
                <w:i/>
              </w:rPr>
            </w:pPr>
            <w:r w:rsidRPr="002029AF">
              <w:t>23.7%</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657A1210" w14:textId="77777777" w:rsidR="00496244" w:rsidRPr="002029AF" w:rsidRDefault="00496244" w:rsidP="00317057">
            <w:pPr>
              <w:pStyle w:val="ARtabletext"/>
              <w:rPr>
                <w:i/>
              </w:rPr>
            </w:pPr>
            <w:r w:rsidRPr="002029AF">
              <w:t>23.5%</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1713E59A" w14:textId="77777777" w:rsidR="00496244" w:rsidRPr="002029AF" w:rsidRDefault="00496244" w:rsidP="00317057">
            <w:pPr>
              <w:pStyle w:val="ARtabletext"/>
            </w:pPr>
            <w:r w:rsidRPr="002029AF">
              <w:t>24.1%</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715C0D19" w14:textId="77777777" w:rsidR="00496244" w:rsidRPr="002029AF" w:rsidRDefault="00496244" w:rsidP="00317057">
            <w:pPr>
              <w:pStyle w:val="ARtabletext"/>
              <w:rPr>
                <w:rStyle w:val="Superscript"/>
              </w:rPr>
            </w:pPr>
            <w:r>
              <w:t>24.1%</w:t>
            </w:r>
          </w:p>
        </w:tc>
      </w:tr>
      <w:tr w:rsidR="00496244" w:rsidRPr="002029AF" w14:paraId="465DAD7D" w14:textId="77777777" w:rsidTr="00317057">
        <w:trPr>
          <w:cantSplit/>
        </w:trPr>
        <w:tc>
          <w:tcPr>
            <w:tcW w:w="5557" w:type="dxa"/>
            <w:gridSpan w:val="5"/>
            <w:tcBorders>
              <w:top w:val="single" w:sz="4" w:space="0" w:color="BFBFBF" w:themeColor="background1" w:themeShade="BF"/>
              <w:left w:val="single" w:sz="4" w:space="0" w:color="FFFFFF" w:themeColor="background1"/>
              <w:bottom w:val="single" w:sz="4" w:space="0" w:color="auto"/>
              <w:right w:val="single" w:sz="4" w:space="0" w:color="FFFFFF" w:themeColor="background1"/>
            </w:tcBorders>
          </w:tcPr>
          <w:p w14:paraId="15F07FA6" w14:textId="77777777" w:rsidR="00496244" w:rsidRPr="002029AF" w:rsidRDefault="00496244" w:rsidP="00317057">
            <w:pPr>
              <w:pStyle w:val="ARtablefootnote"/>
            </w:pPr>
            <w:r w:rsidRPr="002029AF">
              <w:rPr>
                <w:rFonts w:eastAsia="Times"/>
                <w:lang w:eastAsia="en-AU"/>
              </w:rPr>
              <w:t>Source: Internal departmental data</w:t>
            </w:r>
          </w:p>
        </w:tc>
      </w:tr>
    </w:tbl>
    <w:p w14:paraId="12D5785E" w14:textId="77777777" w:rsidR="00496244" w:rsidRPr="002029AF" w:rsidRDefault="00496244" w:rsidP="00603E4B">
      <w:pPr>
        <w:pStyle w:val="ARtablefootnote"/>
      </w:pPr>
      <w:r w:rsidRPr="002029AF">
        <w:t>The department is committed to measuring outcomes for all indicators set out in the Victorian budget papers. Further work is needed to test and validate measures to ensure departmental initiatives and policies are reflected by the performance indicators. As the outcomes approaches in the department mature, reporting will be provided against outcome measures and will inform the reporting of performance indicators.</w:t>
      </w:r>
    </w:p>
    <w:p w14:paraId="22776D77" w14:textId="77777777" w:rsidR="00496244" w:rsidRPr="002029AF" w:rsidRDefault="00496244" w:rsidP="00603E4B">
      <w:pPr>
        <w:spacing w:line="264" w:lineRule="auto"/>
        <w:rPr>
          <w:rFonts w:ascii="Arial" w:eastAsiaTheme="minorEastAsia" w:hAnsi="Arial"/>
          <w:sz w:val="16"/>
          <w:szCs w:val="16"/>
        </w:rPr>
        <w:sectPr w:rsidR="00496244" w:rsidRPr="002029AF" w:rsidSect="0002026A">
          <w:footnotePr>
            <w:numFmt w:val="lowerLetter"/>
            <w:numRestart w:val="eachPage"/>
          </w:footnotePr>
          <w:endnotePr>
            <w:numFmt w:val="decimal"/>
          </w:endnotePr>
          <w:type w:val="continuous"/>
          <w:pgSz w:w="11900" w:h="16840" w:code="9"/>
          <w:pgMar w:top="1985" w:right="1134" w:bottom="851" w:left="1134" w:header="510" w:footer="340" w:gutter="0"/>
          <w:cols w:space="720"/>
        </w:sectPr>
      </w:pPr>
    </w:p>
    <w:p w14:paraId="5AAF345D" w14:textId="77777777" w:rsidR="00496244" w:rsidRPr="002029AF" w:rsidRDefault="00496244" w:rsidP="00317057">
      <w:pPr>
        <w:pStyle w:val="Heading4"/>
      </w:pPr>
      <w:bookmarkStart w:id="118" w:name="_Toc85121020"/>
      <w:r w:rsidRPr="002029AF">
        <w:lastRenderedPageBreak/>
        <w:t>Objective 2: Victorians are safe and secure</w:t>
      </w:r>
      <w:bookmarkEnd w:id="117"/>
      <w:bookmarkEnd w:id="118"/>
    </w:p>
    <w:p w14:paraId="0E78AE3A" w14:textId="77777777" w:rsidR="00496244" w:rsidRDefault="00496244" w:rsidP="00317057">
      <w:pPr>
        <w:pStyle w:val="ARintro"/>
      </w:pPr>
      <w:r>
        <w:t>This objective seeks to achieve the following outcomes:</w:t>
      </w:r>
    </w:p>
    <w:p w14:paraId="46C0A3C3" w14:textId="77777777" w:rsidR="00496244" w:rsidRDefault="00496244" w:rsidP="00317057">
      <w:pPr>
        <w:pStyle w:val="ARintrobullet"/>
      </w:pPr>
      <w:r>
        <w:t>Victorians live free from abuse and violence</w:t>
      </w:r>
    </w:p>
    <w:p w14:paraId="67574E9F" w14:textId="3990F1F1" w:rsidR="00496244" w:rsidRPr="000408C7" w:rsidRDefault="00496244" w:rsidP="00317057">
      <w:pPr>
        <w:pStyle w:val="ARintrobullet"/>
      </w:pPr>
      <w:r>
        <w:t>Victorians have suitable and stable housing</w:t>
      </w:r>
      <w:r w:rsidR="00AE2CE4">
        <w:t>.</w:t>
      </w:r>
    </w:p>
    <w:p w14:paraId="1B70215A" w14:textId="77777777" w:rsidR="00496244" w:rsidRDefault="00496244" w:rsidP="00603E4B">
      <w:pPr>
        <w:pStyle w:val="ARintro"/>
      </w:pPr>
      <w:r w:rsidRPr="0074739D">
        <w:t xml:space="preserve">Following the </w:t>
      </w:r>
      <w:r>
        <w:t>m</w:t>
      </w:r>
      <w:r w:rsidRPr="0074739D">
        <w:t xml:space="preserve">achinery of </w:t>
      </w:r>
      <w:r>
        <w:t>g</w:t>
      </w:r>
      <w:r w:rsidRPr="0074739D">
        <w:t xml:space="preserve">overnment changes the Department of Families, Fairness and Housing is accountable for </w:t>
      </w:r>
      <w:r>
        <w:t>this objective and further information may be found in its annual report.</w:t>
      </w:r>
    </w:p>
    <w:p w14:paraId="37BC2947" w14:textId="77777777" w:rsidR="00496244" w:rsidRDefault="00496244" w:rsidP="00603E4B">
      <w:pPr>
        <w:pStyle w:val="ARintro"/>
      </w:pPr>
      <w:r>
        <w:t>The department retains accountability in one aspect, as detailed below.</w:t>
      </w:r>
    </w:p>
    <w:p w14:paraId="48884962" w14:textId="77777777" w:rsidR="00496244" w:rsidRPr="002029AF" w:rsidRDefault="00496244" w:rsidP="00603E4B">
      <w:pPr>
        <w:pStyle w:val="ARbody"/>
      </w:pPr>
    </w:p>
    <w:p w14:paraId="2F73FE1C" w14:textId="77777777" w:rsidR="00496244" w:rsidRPr="002029AF" w:rsidRDefault="00496244" w:rsidP="00603E4B">
      <w:pPr>
        <w:pStyle w:val="ARbody"/>
        <w:sectPr w:rsidR="00496244" w:rsidRPr="002029AF" w:rsidSect="0002026A">
          <w:headerReference w:type="first" r:id="rId34"/>
          <w:footnotePr>
            <w:numFmt w:val="lowerLetter"/>
            <w:numRestart w:val="eachPage"/>
          </w:footnotePr>
          <w:endnotePr>
            <w:numFmt w:val="decimal"/>
          </w:endnotePr>
          <w:pgSz w:w="11900" w:h="16840" w:code="9"/>
          <w:pgMar w:top="1985" w:right="1134" w:bottom="851" w:left="1134" w:header="510" w:footer="340" w:gutter="0"/>
          <w:cols w:space="454"/>
        </w:sectPr>
      </w:pPr>
    </w:p>
    <w:p w14:paraId="0FE832EB" w14:textId="0F12D177" w:rsidR="00496244" w:rsidRPr="002029AF" w:rsidRDefault="00496244" w:rsidP="00121533">
      <w:pPr>
        <w:pStyle w:val="Heading4"/>
        <w:spacing w:before="0"/>
      </w:pPr>
      <w:bookmarkStart w:id="119" w:name="_Toc85121021"/>
      <w:r w:rsidRPr="002029AF">
        <w:t>Outcome 2.1</w:t>
      </w:r>
      <w:r w:rsidR="007A4153">
        <w:t>:</w:t>
      </w:r>
      <w:r w:rsidRPr="002029AF">
        <w:t xml:space="preserve"> Victorians live free from</w:t>
      </w:r>
      <w:r w:rsidR="00D97BFD">
        <w:t> </w:t>
      </w:r>
      <w:r w:rsidRPr="002029AF">
        <w:t>abuse and violence</w:t>
      </w:r>
      <w:bookmarkEnd w:id="119"/>
    </w:p>
    <w:p w14:paraId="59F6246E" w14:textId="26C76F53" w:rsidR="00496244" w:rsidRPr="002029AF" w:rsidRDefault="00496244" w:rsidP="00603E4B">
      <w:pPr>
        <w:pStyle w:val="ARbody"/>
      </w:pPr>
      <w:r w:rsidRPr="002029AF">
        <w:t>Victorians are safe from harm, fear and neglect in</w:t>
      </w:r>
      <w:r>
        <w:t> </w:t>
      </w:r>
      <w:r w:rsidRPr="002029AF">
        <w:t xml:space="preserve">their </w:t>
      </w:r>
      <w:r>
        <w:t>workplaces</w:t>
      </w:r>
      <w:r w:rsidRPr="002029AF">
        <w:t>. Achieving this requires addressing the compounding effects of abuse and</w:t>
      </w:r>
      <w:r w:rsidR="00D97BFD">
        <w:t> </w:t>
      </w:r>
      <w:r w:rsidRPr="002029AF">
        <w:t>violence and improving support and recovery for both victim survivors and perpetrators.</w:t>
      </w:r>
    </w:p>
    <w:p w14:paraId="52E07F9A" w14:textId="66481F53" w:rsidR="00496244" w:rsidRPr="002029AF" w:rsidRDefault="00496244" w:rsidP="009D6AEA">
      <w:pPr>
        <w:pStyle w:val="Heading5"/>
        <w:rPr>
          <w:rFonts w:eastAsia="Calibri"/>
        </w:rPr>
      </w:pPr>
      <w:bookmarkStart w:id="120" w:name="_Toc85121022"/>
      <w:r w:rsidRPr="002029AF">
        <w:rPr>
          <w:rFonts w:eastAsia="Calibri"/>
        </w:rPr>
        <w:t>Key result: Reduce the occurrence of</w:t>
      </w:r>
      <w:r>
        <w:rPr>
          <w:rFonts w:eastAsia="Calibri"/>
        </w:rPr>
        <w:t> </w:t>
      </w:r>
      <w:r w:rsidRPr="002029AF">
        <w:rPr>
          <w:rFonts w:eastAsia="Calibri"/>
        </w:rPr>
        <w:t>occupational violence, bullying, assault</w:t>
      </w:r>
      <w:r>
        <w:rPr>
          <w:rFonts w:eastAsia="Calibri"/>
        </w:rPr>
        <w:t> </w:t>
      </w:r>
      <w:r w:rsidRPr="002029AF">
        <w:rPr>
          <w:rFonts w:eastAsia="Calibri"/>
        </w:rPr>
        <w:t>and inappropriate behaviour in</w:t>
      </w:r>
      <w:r w:rsidR="00D97BFD">
        <w:rPr>
          <w:rFonts w:eastAsia="Calibri"/>
        </w:rPr>
        <w:t> </w:t>
      </w:r>
      <w:r>
        <w:rPr>
          <w:rFonts w:eastAsia="Calibri"/>
        </w:rPr>
        <w:t>the</w:t>
      </w:r>
      <w:r w:rsidR="00D97BFD">
        <w:rPr>
          <w:rFonts w:eastAsia="Calibri"/>
        </w:rPr>
        <w:t> </w:t>
      </w:r>
      <w:r w:rsidRPr="002029AF">
        <w:rPr>
          <w:rFonts w:eastAsia="Calibri"/>
        </w:rPr>
        <w:t>department</w:t>
      </w:r>
      <w:bookmarkEnd w:id="120"/>
    </w:p>
    <w:p w14:paraId="098C2984" w14:textId="77777777" w:rsidR="00496244" w:rsidRPr="002029AF" w:rsidRDefault="00496244" w:rsidP="004E6007">
      <w:pPr>
        <w:pStyle w:val="Heading6"/>
      </w:pPr>
      <w:bookmarkStart w:id="121" w:name="_Toc85121023"/>
      <w:r w:rsidRPr="002029AF">
        <w:t>Building a positive and constructive workplace</w:t>
      </w:r>
      <w:bookmarkEnd w:id="121"/>
    </w:p>
    <w:p w14:paraId="61215603" w14:textId="2E0023D4" w:rsidR="00496244" w:rsidRPr="002029AF" w:rsidRDefault="00496244" w:rsidP="004E6007">
      <w:pPr>
        <w:pStyle w:val="ARbody"/>
      </w:pPr>
      <w:r w:rsidRPr="002029AF">
        <w:t>The department strives to build a high</w:t>
      </w:r>
      <w:r>
        <w:t>-</w:t>
      </w:r>
      <w:r w:rsidRPr="002029AF">
        <w:t>performing and positive workplace culture. To support improved workplace culture, the department</w:t>
      </w:r>
      <w:r w:rsidR="007D145B">
        <w:t>’</w:t>
      </w:r>
      <w:r w:rsidRPr="002029AF">
        <w:t xml:space="preserve">s </w:t>
      </w:r>
      <w:r w:rsidRPr="00B032FB">
        <w:rPr>
          <w:i/>
          <w:iCs/>
        </w:rPr>
        <w:t xml:space="preserve">People </w:t>
      </w:r>
      <w:r>
        <w:rPr>
          <w:i/>
          <w:iCs/>
        </w:rPr>
        <w:t>s</w:t>
      </w:r>
      <w:r w:rsidRPr="00B032FB">
        <w:rPr>
          <w:i/>
          <w:iCs/>
        </w:rPr>
        <w:t>trategy 2020+</w:t>
      </w:r>
      <w:r w:rsidRPr="002029AF">
        <w:t xml:space="preserve"> has a </w:t>
      </w:r>
      <w:r w:rsidR="007D145B">
        <w:t>‘</w:t>
      </w:r>
      <w:r w:rsidRPr="002029AF">
        <w:t>towards zero</w:t>
      </w:r>
      <w:r w:rsidR="007D145B">
        <w:t>’</w:t>
      </w:r>
      <w:r w:rsidRPr="002029AF">
        <w:t xml:space="preserve"> target</w:t>
      </w:r>
      <w:r>
        <w:t xml:space="preserve"> </w:t>
      </w:r>
      <w:r w:rsidRPr="002029AF">
        <w:t>for bullying behaviour.</w:t>
      </w:r>
      <w:r>
        <w:t xml:space="preserve"> </w:t>
      </w:r>
      <w:r w:rsidRPr="002029AF">
        <w:t xml:space="preserve">In delivering on </w:t>
      </w:r>
      <w:r>
        <w:t>its</w:t>
      </w:r>
      <w:r w:rsidRPr="002029AF">
        <w:t xml:space="preserve"> </w:t>
      </w:r>
      <w:r w:rsidRPr="00B032FB">
        <w:rPr>
          <w:i/>
          <w:iCs/>
        </w:rPr>
        <w:t xml:space="preserve">People </w:t>
      </w:r>
      <w:r>
        <w:rPr>
          <w:i/>
          <w:iCs/>
        </w:rPr>
        <w:t>s</w:t>
      </w:r>
      <w:r w:rsidRPr="00B032FB">
        <w:rPr>
          <w:i/>
          <w:iCs/>
        </w:rPr>
        <w:t>trategy</w:t>
      </w:r>
      <w:r>
        <w:rPr>
          <w:i/>
          <w:iCs/>
        </w:rPr>
        <w:t xml:space="preserve"> </w:t>
      </w:r>
      <w:r w:rsidRPr="00B032FB">
        <w:rPr>
          <w:i/>
          <w:iCs/>
        </w:rPr>
        <w:t>2020+</w:t>
      </w:r>
      <w:r w:rsidRPr="002029AF">
        <w:t>, the department will continue</w:t>
      </w:r>
      <w:r>
        <w:t xml:space="preserve"> its</w:t>
      </w:r>
      <w:r w:rsidRPr="002029AF">
        <w:t xml:space="preserve"> ongoing implementation of activities that focus on</w:t>
      </w:r>
      <w:r w:rsidR="00D97BFD">
        <w:t> </w:t>
      </w:r>
      <w:r w:rsidRPr="002029AF">
        <w:t>ethical leadership</w:t>
      </w:r>
      <w:r>
        <w:t>,</w:t>
      </w:r>
      <w:r w:rsidRPr="002029AF">
        <w:t xml:space="preserve"> including the Leading with Respect program. Th</w:t>
      </w:r>
      <w:r>
        <w:t>is</w:t>
      </w:r>
      <w:r w:rsidRPr="002029AF">
        <w:t xml:space="preserve"> program is aimed at growing the skills of people managers to lead </w:t>
      </w:r>
      <w:r w:rsidRPr="002029AF">
        <w:t>with</w:t>
      </w:r>
      <w:r w:rsidR="00D97BFD">
        <w:t> </w:t>
      </w:r>
      <w:r w:rsidRPr="002029AF">
        <w:t>respect and to reduce psychological harm from inappropriate behaviours through five modules, including:</w:t>
      </w:r>
    </w:p>
    <w:p w14:paraId="56ED9F9C" w14:textId="77777777" w:rsidR="00496244" w:rsidRPr="007310E9" w:rsidRDefault="00496244" w:rsidP="00317057">
      <w:pPr>
        <w:pStyle w:val="ARbullet1"/>
      </w:pPr>
      <w:r>
        <w:t>building high-performing teams</w:t>
      </w:r>
    </w:p>
    <w:p w14:paraId="7510FA70" w14:textId="77777777" w:rsidR="00496244" w:rsidRPr="007310E9" w:rsidRDefault="00496244" w:rsidP="00317057">
      <w:pPr>
        <w:pStyle w:val="ARbullet1"/>
      </w:pPr>
      <w:r>
        <w:t>ethical leadership</w:t>
      </w:r>
    </w:p>
    <w:p w14:paraId="27648191" w14:textId="77777777" w:rsidR="00496244" w:rsidRPr="007310E9" w:rsidRDefault="00496244" w:rsidP="00317057">
      <w:pPr>
        <w:pStyle w:val="ARbullet1"/>
      </w:pPr>
      <w:r>
        <w:t>giving and receiving feedback</w:t>
      </w:r>
    </w:p>
    <w:p w14:paraId="55CB5A49" w14:textId="77777777" w:rsidR="00496244" w:rsidRPr="007310E9" w:rsidRDefault="00496244" w:rsidP="00317057">
      <w:pPr>
        <w:pStyle w:val="ARbullet1"/>
      </w:pPr>
      <w:r>
        <w:t>managing for team wellbeing</w:t>
      </w:r>
    </w:p>
    <w:p w14:paraId="75538EB7" w14:textId="08BFEBD5" w:rsidR="00496244" w:rsidRPr="002029AF" w:rsidRDefault="00496244" w:rsidP="00317057">
      <w:pPr>
        <w:pStyle w:val="ARbullet1"/>
      </w:pPr>
      <w:r>
        <w:t xml:space="preserve">saying </w:t>
      </w:r>
      <w:r w:rsidR="007D145B">
        <w:t>‘</w:t>
      </w:r>
      <w:r>
        <w:t>Yes</w:t>
      </w:r>
      <w:r w:rsidR="007D145B">
        <w:t>’</w:t>
      </w:r>
      <w:r>
        <w:t xml:space="preserve"> to the flexibility conversation.</w:t>
      </w:r>
    </w:p>
    <w:p w14:paraId="2196E769" w14:textId="4552AAE3" w:rsidR="00496244" w:rsidRDefault="00496244" w:rsidP="009D6AEA">
      <w:pPr>
        <w:pStyle w:val="ARbodyafterbullets"/>
      </w:pPr>
      <w:r w:rsidRPr="002029AF">
        <w:t xml:space="preserve">The department also has a </w:t>
      </w:r>
      <w:r>
        <w:t>J</w:t>
      </w:r>
      <w:r w:rsidRPr="002029AF">
        <w:t xml:space="preserve">oint </w:t>
      </w:r>
      <w:r>
        <w:t>W</w:t>
      </w:r>
      <w:r w:rsidRPr="002029AF">
        <w:t xml:space="preserve">orking </w:t>
      </w:r>
      <w:r>
        <w:t>P</w:t>
      </w:r>
      <w:r w:rsidRPr="002029AF">
        <w:t>arty on</w:t>
      </w:r>
      <w:r>
        <w:t> </w:t>
      </w:r>
      <w:r w:rsidRPr="002029AF">
        <w:t xml:space="preserve">the Prevention of Bullying and Inappropriate </w:t>
      </w:r>
      <w:r>
        <w:t>B</w:t>
      </w:r>
      <w:r w:rsidRPr="002029AF">
        <w:t xml:space="preserve">ehaviour, consisting of the department, the Community and Public Sector Union and the Health and Community Services Union. As an action from </w:t>
      </w:r>
      <w:r w:rsidRPr="008E2EE9">
        <w:t>this working party, a Positive Workplace Culture</w:t>
      </w:r>
      <w:r>
        <w:t xml:space="preserve"> </w:t>
      </w:r>
      <w:r w:rsidRPr="008E2EE9">
        <w:t>action plan has</w:t>
      </w:r>
      <w:r w:rsidRPr="002029AF">
        <w:t xml:space="preserve"> been developed with actions that serve to prevent bullying and inappropriate behaviour in the workplace</w:t>
      </w:r>
      <w:r>
        <w:t>,</w:t>
      </w:r>
      <w:r w:rsidRPr="002029AF">
        <w:t xml:space="preserve"> including the </w:t>
      </w:r>
      <w:r w:rsidR="007D145B">
        <w:t>‘</w:t>
      </w:r>
      <w:r w:rsidRPr="002029AF">
        <w:t>home safely every</w:t>
      </w:r>
      <w:r>
        <w:t xml:space="preserve"> </w:t>
      </w:r>
      <w:r w:rsidRPr="002029AF">
        <w:t>day</w:t>
      </w:r>
      <w:r w:rsidR="007D145B">
        <w:t>’</w:t>
      </w:r>
      <w:r w:rsidRPr="002029AF">
        <w:t xml:space="preserve"> campaign</w:t>
      </w:r>
      <w:r>
        <w:t>,</w:t>
      </w:r>
      <w:r w:rsidRPr="002029AF">
        <w:t xml:space="preserve"> aimed at reminding staff</w:t>
      </w:r>
      <w:r>
        <w:t> </w:t>
      </w:r>
      <w:r w:rsidRPr="002029AF">
        <w:t>of the potential health and wellbeing impacts of certain behaviours at work and the actions that all staff can take to create and maintain a positive working environment.</w:t>
      </w:r>
    </w:p>
    <w:p w14:paraId="35387466" w14:textId="77777777" w:rsidR="00496244" w:rsidRPr="00CD6723" w:rsidRDefault="00496244" w:rsidP="00317057">
      <w:pPr>
        <w:pStyle w:val="ARbody"/>
      </w:pPr>
    </w:p>
    <w:p w14:paraId="51D62AF2" w14:textId="77777777" w:rsidR="00496244" w:rsidRPr="002029AF" w:rsidRDefault="00496244" w:rsidP="00603E4B">
      <w:pPr>
        <w:pStyle w:val="ARbody"/>
        <w:sectPr w:rsidR="00496244" w:rsidRPr="002029AF" w:rsidSect="0002026A">
          <w:headerReference w:type="first" r:id="rId35"/>
          <w:footerReference w:type="first" r:id="rId36"/>
          <w:footnotePr>
            <w:numFmt w:val="lowerLetter"/>
            <w:numRestart w:val="eachPage"/>
          </w:footnotePr>
          <w:endnotePr>
            <w:numFmt w:val="decimal"/>
          </w:endnotePr>
          <w:type w:val="continuous"/>
          <w:pgSz w:w="11900" w:h="16840" w:code="9"/>
          <w:pgMar w:top="1985" w:right="1134" w:bottom="851" w:left="1134" w:header="510" w:footer="340" w:gutter="0"/>
          <w:cols w:num="2" w:space="454"/>
        </w:sectPr>
      </w:pPr>
    </w:p>
    <w:p w14:paraId="7AABFE74" w14:textId="77777777" w:rsidR="00496244" w:rsidRPr="002029AF" w:rsidRDefault="00496244" w:rsidP="003B2EE7">
      <w:pPr>
        <w:pStyle w:val="Heading4"/>
        <w:spacing w:before="400"/>
      </w:pPr>
      <w:bookmarkStart w:id="122" w:name="_Toc85121024"/>
      <w:bookmarkStart w:id="123" w:name="_Toc50383609"/>
      <w:r w:rsidRPr="002029AF">
        <w:t>Objective 2: Indicator results</w:t>
      </w:r>
      <w:bookmarkEnd w:id="122"/>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5555"/>
        <w:gridCol w:w="1021"/>
        <w:gridCol w:w="1021"/>
        <w:gridCol w:w="1021"/>
        <w:gridCol w:w="1021"/>
      </w:tblGrid>
      <w:tr w:rsidR="00496244" w:rsidRPr="002029AF" w14:paraId="1981973A" w14:textId="77777777" w:rsidTr="00317057">
        <w:trPr>
          <w:cantSplit/>
          <w:tblHeader/>
        </w:trPr>
        <w:tc>
          <w:tcPr>
            <w:tcW w:w="5557" w:type="dxa"/>
            <w:tcBorders>
              <w:top w:val="nil"/>
              <w:left w:val="nil"/>
              <w:bottom w:val="single" w:sz="4" w:space="0" w:color="auto"/>
              <w:right w:val="nil"/>
            </w:tcBorders>
            <w:vAlign w:val="bottom"/>
          </w:tcPr>
          <w:p w14:paraId="334DAA71" w14:textId="77777777" w:rsidR="00496244" w:rsidRPr="002029AF" w:rsidRDefault="00496244" w:rsidP="00317057">
            <w:pPr>
              <w:pStyle w:val="ARtablecolhead"/>
            </w:pPr>
          </w:p>
        </w:tc>
        <w:tc>
          <w:tcPr>
            <w:tcW w:w="1021" w:type="dxa"/>
            <w:tcBorders>
              <w:top w:val="nil"/>
              <w:left w:val="nil"/>
              <w:bottom w:val="single" w:sz="4" w:space="0" w:color="auto"/>
              <w:right w:val="nil"/>
            </w:tcBorders>
            <w:vAlign w:val="bottom"/>
            <w:hideMark/>
          </w:tcPr>
          <w:p w14:paraId="45908618" w14:textId="77777777" w:rsidR="00496244" w:rsidRPr="002029AF" w:rsidRDefault="00496244" w:rsidP="00317057">
            <w:pPr>
              <w:pStyle w:val="ARtablecolhead"/>
            </w:pPr>
            <w:r w:rsidRPr="002029AF">
              <w:t>2017–18</w:t>
            </w:r>
          </w:p>
        </w:tc>
        <w:tc>
          <w:tcPr>
            <w:tcW w:w="1021" w:type="dxa"/>
            <w:tcBorders>
              <w:top w:val="nil"/>
              <w:left w:val="nil"/>
              <w:bottom w:val="single" w:sz="4" w:space="0" w:color="auto"/>
              <w:right w:val="nil"/>
            </w:tcBorders>
            <w:vAlign w:val="bottom"/>
          </w:tcPr>
          <w:p w14:paraId="547526C7" w14:textId="77777777" w:rsidR="00496244" w:rsidRPr="002029AF" w:rsidRDefault="00496244" w:rsidP="00317057">
            <w:pPr>
              <w:pStyle w:val="ARtablecolhead"/>
            </w:pPr>
            <w:r w:rsidRPr="002029AF">
              <w:t>2018–19</w:t>
            </w:r>
          </w:p>
        </w:tc>
        <w:tc>
          <w:tcPr>
            <w:tcW w:w="1021" w:type="dxa"/>
            <w:tcBorders>
              <w:top w:val="nil"/>
              <w:left w:val="nil"/>
              <w:bottom w:val="single" w:sz="4" w:space="0" w:color="auto"/>
              <w:right w:val="nil"/>
            </w:tcBorders>
            <w:vAlign w:val="bottom"/>
          </w:tcPr>
          <w:p w14:paraId="2D5D74E3" w14:textId="77777777" w:rsidR="00496244" w:rsidRPr="002029AF" w:rsidRDefault="00496244" w:rsidP="00317057">
            <w:pPr>
              <w:pStyle w:val="ARtablecolhead"/>
            </w:pPr>
            <w:r w:rsidRPr="002029AF">
              <w:t>2019–20</w:t>
            </w:r>
          </w:p>
        </w:tc>
        <w:tc>
          <w:tcPr>
            <w:tcW w:w="1021" w:type="dxa"/>
            <w:tcBorders>
              <w:top w:val="nil"/>
              <w:left w:val="nil"/>
              <w:bottom w:val="single" w:sz="4" w:space="0" w:color="auto"/>
              <w:right w:val="nil"/>
            </w:tcBorders>
            <w:vAlign w:val="bottom"/>
          </w:tcPr>
          <w:p w14:paraId="755A0513" w14:textId="77777777" w:rsidR="00496244" w:rsidRPr="002029AF" w:rsidRDefault="00496244" w:rsidP="00317057">
            <w:pPr>
              <w:pStyle w:val="ARtablecolhead"/>
            </w:pPr>
            <w:r>
              <w:t>2020–21</w:t>
            </w:r>
          </w:p>
        </w:tc>
      </w:tr>
      <w:tr w:rsidR="00496244" w:rsidRPr="002029AF" w14:paraId="7B10AE7E" w14:textId="77777777" w:rsidTr="00317057">
        <w:trPr>
          <w:cantSplit/>
        </w:trPr>
        <w:tc>
          <w:tcPr>
            <w:tcW w:w="5557" w:type="dxa"/>
            <w:gridSpan w:val="5"/>
            <w:tcBorders>
              <w:top w:val="single" w:sz="4" w:space="0" w:color="auto"/>
              <w:left w:val="nil"/>
              <w:bottom w:val="single" w:sz="4" w:space="0" w:color="auto"/>
              <w:right w:val="nil"/>
            </w:tcBorders>
            <w:hideMark/>
          </w:tcPr>
          <w:p w14:paraId="1B934026" w14:textId="77777777" w:rsidR="00496244" w:rsidRPr="002029AF" w:rsidRDefault="00496244" w:rsidP="00317057">
            <w:pPr>
              <w:pStyle w:val="ARtablesubhead"/>
              <w:spacing w:before="60"/>
            </w:pPr>
            <w:r w:rsidRPr="002029AF">
              <w:t>Victorians live free from violence and abuse</w:t>
            </w:r>
          </w:p>
        </w:tc>
      </w:tr>
      <w:tr w:rsidR="00496244" w:rsidRPr="002029AF" w14:paraId="1EC1B698" w14:textId="77777777" w:rsidTr="00317057">
        <w:trPr>
          <w:cantSplit/>
        </w:trPr>
        <w:tc>
          <w:tcPr>
            <w:tcW w:w="5557" w:type="dxa"/>
            <w:tcBorders>
              <w:top w:val="single" w:sz="4" w:space="0" w:color="auto"/>
              <w:left w:val="nil"/>
              <w:bottom w:val="single" w:sz="4" w:space="0" w:color="E7E6E6" w:themeColor="background2"/>
              <w:right w:val="nil"/>
            </w:tcBorders>
          </w:tcPr>
          <w:p w14:paraId="4A031CEC" w14:textId="77777777" w:rsidR="00496244" w:rsidRPr="002029AF" w:rsidRDefault="00496244" w:rsidP="00317057">
            <w:pPr>
              <w:pStyle w:val="ARtabletext"/>
              <w:spacing w:before="60"/>
            </w:pPr>
            <w:r w:rsidRPr="002029AF">
              <w:t>Percentage of departmental workforce who have experienced bullying in the past 12 months</w:t>
            </w:r>
          </w:p>
        </w:tc>
        <w:tc>
          <w:tcPr>
            <w:tcW w:w="1021" w:type="dxa"/>
            <w:tcBorders>
              <w:top w:val="single" w:sz="4" w:space="0" w:color="auto"/>
              <w:left w:val="nil"/>
              <w:bottom w:val="single" w:sz="4" w:space="0" w:color="E7E6E6" w:themeColor="background2"/>
              <w:right w:val="nil"/>
            </w:tcBorders>
          </w:tcPr>
          <w:p w14:paraId="74795B07" w14:textId="77777777" w:rsidR="00496244" w:rsidRPr="002029AF" w:rsidRDefault="00496244" w:rsidP="00317057">
            <w:pPr>
              <w:pStyle w:val="ARtabletext"/>
              <w:spacing w:before="60"/>
            </w:pPr>
            <w:r w:rsidRPr="002029AF">
              <w:t>22%</w:t>
            </w:r>
          </w:p>
        </w:tc>
        <w:tc>
          <w:tcPr>
            <w:tcW w:w="1021" w:type="dxa"/>
            <w:tcBorders>
              <w:top w:val="single" w:sz="4" w:space="0" w:color="auto"/>
              <w:left w:val="nil"/>
              <w:bottom w:val="single" w:sz="4" w:space="0" w:color="E7E6E6" w:themeColor="background2"/>
              <w:right w:val="nil"/>
            </w:tcBorders>
          </w:tcPr>
          <w:p w14:paraId="6EA61ED1" w14:textId="77777777" w:rsidR="00496244" w:rsidRPr="002029AF" w:rsidRDefault="00496244" w:rsidP="00317057">
            <w:pPr>
              <w:pStyle w:val="ARtabletext"/>
              <w:spacing w:before="60"/>
            </w:pPr>
            <w:r w:rsidRPr="002029AF">
              <w:t>20%</w:t>
            </w:r>
          </w:p>
        </w:tc>
        <w:tc>
          <w:tcPr>
            <w:tcW w:w="1021" w:type="dxa"/>
            <w:tcBorders>
              <w:top w:val="single" w:sz="4" w:space="0" w:color="auto"/>
              <w:left w:val="nil"/>
              <w:bottom w:val="single" w:sz="4" w:space="0" w:color="E7E6E6" w:themeColor="background2"/>
              <w:right w:val="nil"/>
            </w:tcBorders>
          </w:tcPr>
          <w:p w14:paraId="75F91AC1" w14:textId="77777777" w:rsidR="00496244" w:rsidRPr="002029AF" w:rsidRDefault="00496244" w:rsidP="00317057">
            <w:pPr>
              <w:pStyle w:val="ARtabletext"/>
              <w:spacing w:before="60"/>
            </w:pPr>
            <w:r w:rsidRPr="002029AF">
              <w:t>18%</w:t>
            </w:r>
          </w:p>
        </w:tc>
        <w:tc>
          <w:tcPr>
            <w:tcW w:w="1021" w:type="dxa"/>
            <w:tcBorders>
              <w:top w:val="single" w:sz="4" w:space="0" w:color="auto"/>
              <w:left w:val="nil"/>
              <w:bottom w:val="single" w:sz="4" w:space="0" w:color="E7E6E6" w:themeColor="background2"/>
              <w:right w:val="nil"/>
            </w:tcBorders>
            <w:shd w:val="clear" w:color="auto" w:fill="auto"/>
          </w:tcPr>
          <w:p w14:paraId="70844E6E" w14:textId="77777777" w:rsidR="00496244" w:rsidRPr="002029AF" w:rsidRDefault="00496244" w:rsidP="00317057">
            <w:pPr>
              <w:pStyle w:val="ARtabletext"/>
              <w:spacing w:before="60"/>
            </w:pPr>
            <w:r>
              <w:t>15%</w:t>
            </w:r>
          </w:p>
        </w:tc>
      </w:tr>
      <w:tr w:rsidR="00496244" w:rsidRPr="002029AF" w14:paraId="29E6B87D" w14:textId="77777777" w:rsidTr="00317057">
        <w:trPr>
          <w:cantSplit/>
        </w:trPr>
        <w:tc>
          <w:tcPr>
            <w:tcW w:w="5557" w:type="dxa"/>
            <w:tcBorders>
              <w:top w:val="single" w:sz="4" w:space="0" w:color="AEAAAA" w:themeColor="background2" w:themeShade="BF"/>
              <w:left w:val="nil"/>
              <w:bottom w:val="single" w:sz="4" w:space="0" w:color="AEAAAA" w:themeColor="background2" w:themeShade="BF"/>
              <w:right w:val="nil"/>
            </w:tcBorders>
          </w:tcPr>
          <w:p w14:paraId="0886969A" w14:textId="77777777" w:rsidR="00496244" w:rsidRPr="002029AF" w:rsidRDefault="00496244" w:rsidP="00317057">
            <w:pPr>
              <w:pStyle w:val="ARtabletext"/>
              <w:spacing w:before="60"/>
            </w:pPr>
            <w:r>
              <w:t>Percentage of departmental workforce who have experienced sexual harassment in the past 12 months</w:t>
            </w:r>
          </w:p>
        </w:tc>
        <w:tc>
          <w:tcPr>
            <w:tcW w:w="1021" w:type="dxa"/>
            <w:tcBorders>
              <w:top w:val="single" w:sz="4" w:space="0" w:color="AEAAAA" w:themeColor="background2" w:themeShade="BF"/>
              <w:left w:val="nil"/>
              <w:bottom w:val="single" w:sz="4" w:space="0" w:color="AEAAAA" w:themeColor="background2" w:themeShade="BF"/>
              <w:right w:val="nil"/>
            </w:tcBorders>
          </w:tcPr>
          <w:p w14:paraId="2E4C39F5" w14:textId="77777777" w:rsidR="00496244" w:rsidRPr="002029AF" w:rsidRDefault="00496244" w:rsidP="00317057">
            <w:pPr>
              <w:pStyle w:val="ARtabletext"/>
              <w:spacing w:before="60"/>
            </w:pPr>
            <w:r w:rsidRPr="002029AF">
              <w:t>9%</w:t>
            </w:r>
          </w:p>
        </w:tc>
        <w:tc>
          <w:tcPr>
            <w:tcW w:w="1021" w:type="dxa"/>
            <w:tcBorders>
              <w:top w:val="single" w:sz="4" w:space="0" w:color="AEAAAA" w:themeColor="background2" w:themeShade="BF"/>
              <w:left w:val="nil"/>
              <w:bottom w:val="single" w:sz="4" w:space="0" w:color="AEAAAA" w:themeColor="background2" w:themeShade="BF"/>
              <w:right w:val="nil"/>
            </w:tcBorders>
          </w:tcPr>
          <w:p w14:paraId="3D5845B2" w14:textId="77777777" w:rsidR="00496244" w:rsidRPr="002029AF" w:rsidRDefault="00496244" w:rsidP="00317057">
            <w:pPr>
              <w:pStyle w:val="ARtabletext"/>
              <w:spacing w:before="60"/>
            </w:pPr>
            <w:r w:rsidRPr="002029AF">
              <w:t>9%</w:t>
            </w:r>
          </w:p>
        </w:tc>
        <w:tc>
          <w:tcPr>
            <w:tcW w:w="1021" w:type="dxa"/>
            <w:tcBorders>
              <w:top w:val="single" w:sz="4" w:space="0" w:color="AEAAAA" w:themeColor="background2" w:themeShade="BF"/>
              <w:left w:val="nil"/>
              <w:bottom w:val="single" w:sz="4" w:space="0" w:color="AEAAAA" w:themeColor="background2" w:themeShade="BF"/>
              <w:right w:val="nil"/>
            </w:tcBorders>
          </w:tcPr>
          <w:p w14:paraId="7E768165" w14:textId="77777777" w:rsidR="00496244" w:rsidRPr="002029AF" w:rsidRDefault="00496244" w:rsidP="00317057">
            <w:pPr>
              <w:pStyle w:val="ARtabletext"/>
              <w:spacing w:before="60"/>
            </w:pPr>
            <w:r w:rsidRPr="002029AF">
              <w:t>7%</w:t>
            </w:r>
          </w:p>
        </w:tc>
        <w:tc>
          <w:tcPr>
            <w:tcW w:w="1021" w:type="dxa"/>
            <w:tcBorders>
              <w:top w:val="single" w:sz="4" w:space="0" w:color="AEAAAA" w:themeColor="background2" w:themeShade="BF"/>
              <w:left w:val="nil"/>
              <w:bottom w:val="single" w:sz="4" w:space="0" w:color="AEAAAA" w:themeColor="background2" w:themeShade="BF"/>
              <w:right w:val="nil"/>
            </w:tcBorders>
            <w:shd w:val="clear" w:color="auto" w:fill="auto"/>
          </w:tcPr>
          <w:p w14:paraId="234F07B0" w14:textId="77777777" w:rsidR="00496244" w:rsidRPr="002029AF" w:rsidRDefault="00496244" w:rsidP="00317057">
            <w:pPr>
              <w:pStyle w:val="ARtabletext"/>
              <w:spacing w:before="60"/>
            </w:pPr>
            <w:r>
              <w:t>4%</w:t>
            </w:r>
          </w:p>
        </w:tc>
      </w:tr>
      <w:tr w:rsidR="00496244" w:rsidRPr="002029AF" w14:paraId="29A9220E" w14:textId="77777777" w:rsidTr="00317057">
        <w:trPr>
          <w:cantSplit/>
        </w:trPr>
        <w:tc>
          <w:tcPr>
            <w:tcW w:w="5557" w:type="dxa"/>
            <w:gridSpan w:val="5"/>
            <w:tcBorders>
              <w:top w:val="single" w:sz="4" w:space="0" w:color="AEAAAA" w:themeColor="background2" w:themeShade="BF"/>
              <w:left w:val="nil"/>
              <w:bottom w:val="single" w:sz="4" w:space="0" w:color="auto"/>
              <w:right w:val="nil"/>
            </w:tcBorders>
          </w:tcPr>
          <w:p w14:paraId="13406D2D" w14:textId="77777777" w:rsidR="00496244" w:rsidRPr="002029AF" w:rsidRDefault="00496244" w:rsidP="00317057">
            <w:pPr>
              <w:pStyle w:val="ARtabletext"/>
              <w:spacing w:before="60"/>
            </w:pPr>
            <w:r w:rsidRPr="002029AF">
              <w:rPr>
                <w:sz w:val="16"/>
                <w:szCs w:val="16"/>
              </w:rPr>
              <w:t>Source: Internal People Matters Survey. Results are based on calendar year reporting.</w:t>
            </w:r>
          </w:p>
        </w:tc>
      </w:tr>
    </w:tbl>
    <w:p w14:paraId="588C2A3B" w14:textId="77777777" w:rsidR="00496244" w:rsidRDefault="00496244" w:rsidP="00603E4B">
      <w:pPr>
        <w:pStyle w:val="ARtablefootnote"/>
      </w:pPr>
      <w:r w:rsidRPr="002029AF">
        <w:t>The department is committed to measuring outcomes for all indicators set out in the Victorian budget papers. Further work is needed to test and validate measures to ensure departmental initiatives and policies are reflected by the performance indicators. As the outcomes approaches in the department mature, reporting will be provided against outcome measures and will inform the reporting of performance indicators.</w:t>
      </w:r>
    </w:p>
    <w:p w14:paraId="02CF493A" w14:textId="77777777" w:rsidR="003B2EE7" w:rsidRPr="003B2EE7" w:rsidRDefault="003B2EE7" w:rsidP="003B2EE7">
      <w:pPr>
        <w:pStyle w:val="ARbody"/>
      </w:pPr>
      <w:bookmarkStart w:id="124" w:name="_Toc85121025"/>
      <w:r w:rsidRPr="003B2EE7">
        <w:br w:type="page"/>
      </w:r>
    </w:p>
    <w:p w14:paraId="05416895" w14:textId="142C4E94" w:rsidR="00496244" w:rsidRPr="002029AF" w:rsidRDefault="00496244" w:rsidP="00317057">
      <w:pPr>
        <w:pStyle w:val="Heading4"/>
      </w:pPr>
      <w:r w:rsidRPr="002029AF">
        <w:lastRenderedPageBreak/>
        <w:t>Objective 3: Victorians have the capabilities to participate</w:t>
      </w:r>
      <w:bookmarkEnd w:id="123"/>
      <w:bookmarkEnd w:id="124"/>
    </w:p>
    <w:p w14:paraId="3955D659" w14:textId="77777777" w:rsidR="00496244" w:rsidRDefault="00496244" w:rsidP="00317057">
      <w:pPr>
        <w:pStyle w:val="ARintro"/>
      </w:pPr>
      <w:r>
        <w:t>This objective seeks to achieve the following outcomes:</w:t>
      </w:r>
    </w:p>
    <w:p w14:paraId="2D0CF358" w14:textId="77777777" w:rsidR="00496244" w:rsidRPr="002029AF" w:rsidRDefault="00496244" w:rsidP="00317057">
      <w:pPr>
        <w:pStyle w:val="ARintrobullet"/>
      </w:pPr>
      <w:r>
        <w:t>Victorians participate in learning, education and employment</w:t>
      </w:r>
    </w:p>
    <w:p w14:paraId="64E036BB" w14:textId="77777777" w:rsidR="00496244" w:rsidRPr="002029AF" w:rsidRDefault="00496244" w:rsidP="00317057">
      <w:pPr>
        <w:pStyle w:val="ARintrobullet"/>
      </w:pPr>
      <w:r>
        <w:t>Victorians benefit economically from strong health and human services sectors</w:t>
      </w:r>
    </w:p>
    <w:p w14:paraId="08A093E1" w14:textId="77777777" w:rsidR="00496244" w:rsidRPr="002029AF" w:rsidRDefault="00496244" w:rsidP="00317057">
      <w:pPr>
        <w:pStyle w:val="ARintrobullet"/>
      </w:pPr>
      <w:r>
        <w:t>Victorians participate in the economy and have financial security.</w:t>
      </w:r>
    </w:p>
    <w:p w14:paraId="1355E074" w14:textId="77777777" w:rsidR="00496244" w:rsidRDefault="00496244" w:rsidP="00317057">
      <w:pPr>
        <w:pStyle w:val="ARintro"/>
      </w:pPr>
      <w:r w:rsidRPr="0074739D">
        <w:t xml:space="preserve">Following the </w:t>
      </w:r>
      <w:r>
        <w:t>m</w:t>
      </w:r>
      <w:r w:rsidRPr="0074739D">
        <w:t xml:space="preserve">achinery of </w:t>
      </w:r>
      <w:r>
        <w:t>g</w:t>
      </w:r>
      <w:r w:rsidRPr="0074739D">
        <w:t xml:space="preserve">overnment changes the Department of Families, Fairness and Housing is accountable for this </w:t>
      </w:r>
      <w:r>
        <w:t>objective and further information may be found in its annual report.</w:t>
      </w:r>
    </w:p>
    <w:p w14:paraId="60908114" w14:textId="77777777" w:rsidR="00496244" w:rsidRDefault="00496244" w:rsidP="00317057">
      <w:pPr>
        <w:pStyle w:val="ARintro"/>
      </w:pPr>
      <w:r>
        <w:t>The department retains accountability in several aspects, as detailed below.</w:t>
      </w:r>
    </w:p>
    <w:p w14:paraId="22B4CC49" w14:textId="77777777" w:rsidR="00496244" w:rsidRPr="00040579" w:rsidRDefault="00496244" w:rsidP="00603E4B">
      <w:pPr>
        <w:pStyle w:val="ARintro"/>
        <w:rPr>
          <w:color w:val="auto"/>
          <w:sz w:val="20"/>
        </w:rPr>
      </w:pPr>
    </w:p>
    <w:p w14:paraId="0D0DD534" w14:textId="77777777" w:rsidR="00496244" w:rsidRPr="002029AF" w:rsidRDefault="00496244" w:rsidP="00603E4B">
      <w:pPr>
        <w:pStyle w:val="ARbody"/>
        <w:sectPr w:rsidR="00496244" w:rsidRPr="002029AF" w:rsidSect="000B6E53">
          <w:footnotePr>
            <w:numFmt w:val="lowerLetter"/>
            <w:numRestart w:val="eachPage"/>
          </w:footnotePr>
          <w:endnotePr>
            <w:numFmt w:val="decimal"/>
          </w:endnotePr>
          <w:type w:val="continuous"/>
          <w:pgSz w:w="11900" w:h="16840" w:code="9"/>
          <w:pgMar w:top="1985" w:right="1134" w:bottom="851" w:left="1134" w:header="510" w:footer="340" w:gutter="0"/>
          <w:cols w:space="454"/>
        </w:sectPr>
      </w:pPr>
    </w:p>
    <w:p w14:paraId="66B8E6B5" w14:textId="77777777" w:rsidR="00496244" w:rsidRPr="002029AF" w:rsidRDefault="00496244" w:rsidP="00317057">
      <w:pPr>
        <w:pStyle w:val="Heading4"/>
      </w:pPr>
      <w:bookmarkStart w:id="125" w:name="_Toc85121026"/>
      <w:r w:rsidRPr="002029AF">
        <w:t>Outcome 3.2: Victorians benefit economically from strong health and</w:t>
      </w:r>
      <w:r>
        <w:t> </w:t>
      </w:r>
      <w:r w:rsidRPr="002029AF">
        <w:t>human services sectors</w:t>
      </w:r>
      <w:bookmarkEnd w:id="125"/>
    </w:p>
    <w:p w14:paraId="5E779E25" w14:textId="77777777" w:rsidR="00496244" w:rsidRPr="002029AF" w:rsidRDefault="00496244" w:rsidP="00317057">
      <w:pPr>
        <w:pStyle w:val="ARbody"/>
      </w:pPr>
      <w:r w:rsidRPr="002029AF">
        <w:t>Victorians have increased social and economic participation, especially those experiencing obstacles to participation, such as people with mental illness.</w:t>
      </w:r>
    </w:p>
    <w:p w14:paraId="2DFADCF7" w14:textId="77777777" w:rsidR="00496244" w:rsidRPr="002029AF" w:rsidRDefault="00496244" w:rsidP="00317057">
      <w:pPr>
        <w:pStyle w:val="Heading5"/>
        <w:rPr>
          <w:szCs w:val="22"/>
        </w:rPr>
      </w:pPr>
      <w:bookmarkStart w:id="126" w:name="_Toc85121027"/>
      <w:r w:rsidRPr="002029AF">
        <w:rPr>
          <w:szCs w:val="22"/>
        </w:rPr>
        <w:t>Progress against outcomes</w:t>
      </w:r>
      <w:bookmarkEnd w:id="126"/>
    </w:p>
    <w:p w14:paraId="0BFBBC50" w14:textId="697CAF69" w:rsidR="00496244" w:rsidRPr="002029AF" w:rsidRDefault="00496244" w:rsidP="00317057">
      <w:pPr>
        <w:pStyle w:val="ARbody"/>
      </w:pPr>
      <w:r w:rsidRPr="002029AF">
        <w:t xml:space="preserve">In </w:t>
      </w:r>
      <w:r>
        <w:t>2020–21</w:t>
      </w:r>
      <w:r w:rsidRPr="002029AF">
        <w:t xml:space="preserve"> the department contributed to a stronger Victorian economy by creating jobs in</w:t>
      </w:r>
      <w:r>
        <w:t> </w:t>
      </w:r>
      <w:r w:rsidRPr="002029AF">
        <w:t>the</w:t>
      </w:r>
      <w:r>
        <w:t> </w:t>
      </w:r>
      <w:r w:rsidRPr="002029AF">
        <w:t>construction sector through major capital investments, including</w:t>
      </w:r>
      <w:r>
        <w:t xml:space="preserve"> those </w:t>
      </w:r>
      <w:hyperlink w:anchor="_Toc40770921" w:history="1">
        <w:r w:rsidRPr="00CA7F87">
          <w:rPr>
            <w:rStyle w:val="Hyperlink"/>
          </w:rPr>
          <w:t xml:space="preserve">projects that reached practical </w:t>
        </w:r>
        <w:r w:rsidR="00CA7F87" w:rsidRPr="00CA7F87">
          <w:rPr>
            <w:rStyle w:val="Hyperlink"/>
          </w:rPr>
          <w:t>completion</w:t>
        </w:r>
      </w:hyperlink>
      <w:r w:rsidR="00CA7F87">
        <w:t xml:space="preserve"> listed on page </w:t>
      </w:r>
      <w:r w:rsidR="00CA7F87" w:rsidRPr="001979A9">
        <w:fldChar w:fldCharType="begin"/>
      </w:r>
      <w:r w:rsidR="00CA7F87" w:rsidRPr="001979A9">
        <w:instrText xml:space="preserve"> PAGEREF _Ref83202277 \h </w:instrText>
      </w:r>
      <w:r w:rsidR="00CA7F87" w:rsidRPr="001979A9">
        <w:fldChar w:fldCharType="separate"/>
      </w:r>
      <w:r w:rsidR="00E71361">
        <w:rPr>
          <w:noProof/>
        </w:rPr>
        <w:t>70</w:t>
      </w:r>
      <w:r w:rsidR="00CA7F87" w:rsidRPr="001979A9">
        <w:fldChar w:fldCharType="end"/>
      </w:r>
      <w:r w:rsidR="00CA7F87">
        <w:t xml:space="preserve"> </w:t>
      </w:r>
      <w:r>
        <w:t xml:space="preserve">and </w:t>
      </w:r>
      <w:hyperlink w:anchor="_Capital_projects_reaching_1" w:history="1">
        <w:r w:rsidR="00CA7F87" w:rsidRPr="00CA7F87">
          <w:rPr>
            <w:rStyle w:val="Hyperlink"/>
          </w:rPr>
          <w:t xml:space="preserve">projects that reached </w:t>
        </w:r>
        <w:r w:rsidRPr="00CA7F87">
          <w:rPr>
            <w:rStyle w:val="Hyperlink"/>
          </w:rPr>
          <w:t>financial completion</w:t>
        </w:r>
      </w:hyperlink>
      <w:r>
        <w:t xml:space="preserve"> listed on </w:t>
      </w:r>
      <w:r w:rsidRPr="001979A9">
        <w:t xml:space="preserve">page </w:t>
      </w:r>
      <w:r w:rsidRPr="001979A9">
        <w:fldChar w:fldCharType="begin"/>
      </w:r>
      <w:r w:rsidRPr="001979A9">
        <w:instrText xml:space="preserve"> PAGEREF _Ref83202295 \h </w:instrText>
      </w:r>
      <w:r w:rsidRPr="001979A9">
        <w:fldChar w:fldCharType="separate"/>
      </w:r>
      <w:r w:rsidR="00E71361">
        <w:rPr>
          <w:noProof/>
        </w:rPr>
        <w:t>71</w:t>
      </w:r>
      <w:r w:rsidRPr="001979A9">
        <w:fldChar w:fldCharType="end"/>
      </w:r>
      <w:r w:rsidRPr="001979A9">
        <w:t>.</w:t>
      </w:r>
    </w:p>
    <w:p w14:paraId="5373EE9A" w14:textId="3B4EA414" w:rsidR="00496244" w:rsidRDefault="00496244" w:rsidP="00317057">
      <w:pPr>
        <w:pStyle w:val="ARbodyafterbullets"/>
      </w:pPr>
      <w:r w:rsidRPr="002029AF">
        <w:t xml:space="preserve">We also continued to expand our frontline services by recruiting more </w:t>
      </w:r>
      <w:r>
        <w:t xml:space="preserve">than 250 </w:t>
      </w:r>
      <w:r w:rsidRPr="002029AF">
        <w:t>paramedics</w:t>
      </w:r>
      <w:r>
        <w:t xml:space="preserve"> since November 2020</w:t>
      </w:r>
      <w:r w:rsidRPr="002029AF">
        <w:t>, purchasing new ambulances and upgrading and building new ambulance stations. This work ensures the community</w:t>
      </w:r>
      <w:r w:rsidR="007D145B">
        <w:t>’</w:t>
      </w:r>
      <w:r w:rsidRPr="002029AF">
        <w:t xml:space="preserve">s access to ambulance services and </w:t>
      </w:r>
      <w:r>
        <w:t xml:space="preserve">contributes to continuous </w:t>
      </w:r>
      <w:r w:rsidRPr="002029AF">
        <w:t>improve</w:t>
      </w:r>
      <w:r>
        <w:t>ment in</w:t>
      </w:r>
      <w:r w:rsidRPr="002029AF">
        <w:t xml:space="preserve"> patient outcomes, thereby improving the health status of Victorians.</w:t>
      </w:r>
    </w:p>
    <w:p w14:paraId="620486E0" w14:textId="187D0B50" w:rsidR="00496244" w:rsidRPr="002029AF" w:rsidRDefault="000B6E53" w:rsidP="00603E4B">
      <w:pPr>
        <w:pStyle w:val="Heading4"/>
      </w:pPr>
      <w:bookmarkStart w:id="127" w:name="_Toc85121028"/>
      <w:r>
        <w:br w:type="column"/>
      </w:r>
      <w:r w:rsidR="00496244" w:rsidRPr="002029AF">
        <w:t>Outcome 3.3: Victorians participate in</w:t>
      </w:r>
      <w:r w:rsidR="00496244">
        <w:t> </w:t>
      </w:r>
      <w:r w:rsidR="00496244" w:rsidRPr="002029AF">
        <w:t>the economy and have financial security</w:t>
      </w:r>
      <w:bookmarkEnd w:id="127"/>
    </w:p>
    <w:p w14:paraId="62B73BE7" w14:textId="77777777" w:rsidR="00496244" w:rsidRPr="002029AF" w:rsidRDefault="00496244" w:rsidP="00603E4B">
      <w:pPr>
        <w:pStyle w:val="ARbody"/>
      </w:pPr>
      <w:r w:rsidRPr="002029AF">
        <w:t>Victorians experience a state of economic wellbeing characterised by predictable and adequate income, ability to access a comfortable standard of living, and capabilities to access and manage finances effectively. There are equitable opportunities for economic participation and wellbeing for all, and barriers to participation are</w:t>
      </w:r>
      <w:r>
        <w:t> </w:t>
      </w:r>
      <w:r w:rsidRPr="002029AF">
        <w:t>actively addressed.</w:t>
      </w:r>
    </w:p>
    <w:p w14:paraId="2A8208C7" w14:textId="77777777" w:rsidR="00496244" w:rsidRPr="002029AF" w:rsidRDefault="00496244" w:rsidP="00603E4B">
      <w:pPr>
        <w:pStyle w:val="Heading5"/>
        <w:rPr>
          <w:szCs w:val="22"/>
        </w:rPr>
      </w:pPr>
      <w:bookmarkStart w:id="128" w:name="_Toc85121029"/>
      <w:r w:rsidRPr="002029AF">
        <w:rPr>
          <w:szCs w:val="22"/>
        </w:rPr>
        <w:t>Progress against outcomes</w:t>
      </w:r>
      <w:bookmarkEnd w:id="128"/>
    </w:p>
    <w:p w14:paraId="5997776F" w14:textId="77777777" w:rsidR="00496244" w:rsidRPr="002029AF" w:rsidRDefault="00496244" w:rsidP="00317057">
      <w:pPr>
        <w:pStyle w:val="ARbody"/>
      </w:pPr>
      <w:r w:rsidRPr="002029AF">
        <w:rPr>
          <w:bCs/>
        </w:rPr>
        <w:t xml:space="preserve">Through the </w:t>
      </w:r>
      <w:r>
        <w:rPr>
          <w:bCs/>
        </w:rPr>
        <w:t>COVID-19</w:t>
      </w:r>
      <w:r w:rsidRPr="002029AF">
        <w:rPr>
          <w:bCs/>
        </w:rPr>
        <w:t xml:space="preserve"> pandemic </w:t>
      </w:r>
      <w:r>
        <w:rPr>
          <w:bCs/>
        </w:rPr>
        <w:t>the department has continued to</w:t>
      </w:r>
      <w:r w:rsidRPr="002029AF">
        <w:rPr>
          <w:bCs/>
        </w:rPr>
        <w:t xml:space="preserve"> support Victorians in mandatory self-isolation to ensure their financial security and access to food and essential supplies</w:t>
      </w:r>
      <w:r>
        <w:rPr>
          <w:bCs/>
        </w:rPr>
        <w:t>,</w:t>
      </w:r>
      <w:r w:rsidRPr="002029AF">
        <w:rPr>
          <w:bCs/>
        </w:rPr>
        <w:t xml:space="preserve"> and </w:t>
      </w:r>
      <w:r>
        <w:rPr>
          <w:bCs/>
        </w:rPr>
        <w:t xml:space="preserve">to </w:t>
      </w:r>
      <w:r w:rsidRPr="002029AF">
        <w:rPr>
          <w:bCs/>
        </w:rPr>
        <w:t>provide alternative accommodation for those unable to isolate.</w:t>
      </w:r>
    </w:p>
    <w:p w14:paraId="22CDBF8F" w14:textId="442C49E1" w:rsidR="00496244" w:rsidRPr="000F11D2" w:rsidRDefault="00496244" w:rsidP="00317057">
      <w:pPr>
        <w:pStyle w:val="ARbodyafterbullets"/>
      </w:pPr>
      <w:r w:rsidRPr="002029AF">
        <w:t>In addition to meeting significant challenges during</w:t>
      </w:r>
      <w:r>
        <w:t> </w:t>
      </w:r>
      <w:r w:rsidRPr="002029AF">
        <w:t xml:space="preserve">the </w:t>
      </w:r>
      <w:r>
        <w:t>COVID-19</w:t>
      </w:r>
      <w:r w:rsidRPr="002029AF">
        <w:t xml:space="preserve"> pandemic, the</w:t>
      </w:r>
      <w:r>
        <w:t xml:space="preserve"> </w:t>
      </w:r>
      <w:r w:rsidRPr="002029AF">
        <w:t>department will continue to support Victoria</w:t>
      </w:r>
      <w:r w:rsidR="007D145B">
        <w:t>’</w:t>
      </w:r>
      <w:r w:rsidRPr="002029AF">
        <w:t>s recovery. Our current and future program of infrastructure-based projects across both regional and metropolitan Victoria will improve health and</w:t>
      </w:r>
      <w:r>
        <w:t> </w:t>
      </w:r>
      <w:r w:rsidRPr="002029AF">
        <w:t>wellbeing facilities and services in these communities, as well as create new</w:t>
      </w:r>
      <w:r>
        <w:t> </w:t>
      </w:r>
      <w:r w:rsidRPr="00FA57CF">
        <w:t xml:space="preserve">jobs through the Working for Victoria Fund, </w:t>
      </w:r>
      <w:r>
        <w:t>the </w:t>
      </w:r>
      <w:r w:rsidRPr="00FA57CF">
        <w:t xml:space="preserve">Local Jobs First </w:t>
      </w:r>
      <w:r w:rsidRPr="00B032FB">
        <w:t>p</w:t>
      </w:r>
      <w:r w:rsidRPr="00FA57CF">
        <w:t>olicy and</w:t>
      </w:r>
      <w:r>
        <w:t xml:space="preserve"> the</w:t>
      </w:r>
      <w:r w:rsidRPr="00FA57CF">
        <w:t xml:space="preserve"> </w:t>
      </w:r>
      <w:r w:rsidRPr="00B032FB">
        <w:rPr>
          <w:i/>
          <w:iCs/>
        </w:rPr>
        <w:t>Social procurement framework</w:t>
      </w:r>
      <w:r w:rsidRPr="00FA57CF">
        <w:t>.</w:t>
      </w:r>
    </w:p>
    <w:p w14:paraId="4A3A8972" w14:textId="77777777" w:rsidR="00496244" w:rsidRDefault="00496244" w:rsidP="00317057">
      <w:pPr>
        <w:pStyle w:val="ARbody"/>
        <w:sectPr w:rsidR="00496244" w:rsidSect="00317057">
          <w:footnotePr>
            <w:numFmt w:val="lowerLetter"/>
            <w:numRestart w:val="eachPage"/>
          </w:footnotePr>
          <w:endnotePr>
            <w:numFmt w:val="decimal"/>
          </w:endnotePr>
          <w:type w:val="continuous"/>
          <w:pgSz w:w="11900" w:h="16840" w:code="9"/>
          <w:pgMar w:top="1985" w:right="1134" w:bottom="851" w:left="1134" w:header="510" w:footer="340" w:gutter="0"/>
          <w:cols w:num="2" w:space="454"/>
        </w:sectPr>
      </w:pPr>
    </w:p>
    <w:p w14:paraId="42B7B29B" w14:textId="77777777" w:rsidR="00496244" w:rsidRPr="0027759D" w:rsidRDefault="00496244" w:rsidP="00317057">
      <w:pPr>
        <w:pStyle w:val="ARbody"/>
      </w:pPr>
      <w:r w:rsidRPr="0027759D">
        <w:rPr>
          <w:b/>
        </w:rPr>
        <w:br w:type="page"/>
      </w:r>
    </w:p>
    <w:p w14:paraId="1C4BB622" w14:textId="77777777" w:rsidR="00496244" w:rsidRPr="002029AF" w:rsidRDefault="00496244" w:rsidP="003B2EE7">
      <w:pPr>
        <w:pStyle w:val="Heading4"/>
        <w:spacing w:before="0"/>
      </w:pPr>
      <w:bookmarkStart w:id="129" w:name="_Toc85121030"/>
      <w:bookmarkStart w:id="130" w:name="_Toc50383610"/>
      <w:bookmarkStart w:id="131" w:name="_Hlk49878268"/>
      <w:r w:rsidRPr="002029AF">
        <w:lastRenderedPageBreak/>
        <w:t xml:space="preserve">Objective 3: </w:t>
      </w:r>
      <w:r>
        <w:t>I</w:t>
      </w:r>
      <w:r w:rsidRPr="002029AF">
        <w:t>ndicator results</w:t>
      </w:r>
      <w:bookmarkEnd w:id="129"/>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5512"/>
        <w:gridCol w:w="1018"/>
        <w:gridCol w:w="1018"/>
        <w:gridCol w:w="1018"/>
        <w:gridCol w:w="1018"/>
        <w:gridCol w:w="55"/>
      </w:tblGrid>
      <w:tr w:rsidR="00496244" w:rsidRPr="002029AF" w14:paraId="080F9353" w14:textId="77777777" w:rsidTr="00317057">
        <w:trPr>
          <w:gridAfter w:val="1"/>
          <w:wAfter w:w="56" w:type="dxa"/>
          <w:cantSplit/>
          <w:tblHeader/>
        </w:trPr>
        <w:tc>
          <w:tcPr>
            <w:tcW w:w="5557" w:type="dxa"/>
            <w:tcBorders>
              <w:top w:val="nil"/>
              <w:left w:val="single" w:sz="4" w:space="0" w:color="FFFFFF" w:themeColor="background1"/>
              <w:bottom w:val="single" w:sz="4" w:space="0" w:color="auto"/>
              <w:right w:val="single" w:sz="4" w:space="0" w:color="FFFFFF" w:themeColor="background1"/>
            </w:tcBorders>
            <w:vAlign w:val="bottom"/>
          </w:tcPr>
          <w:p w14:paraId="1F96F751" w14:textId="77777777" w:rsidR="00496244" w:rsidRPr="002029AF" w:rsidRDefault="00496244" w:rsidP="00317057">
            <w:pPr>
              <w:pStyle w:val="ARtablecolhead"/>
            </w:pPr>
          </w:p>
        </w:tc>
        <w:tc>
          <w:tcPr>
            <w:tcW w:w="1021" w:type="dxa"/>
            <w:tcBorders>
              <w:top w:val="nil"/>
              <w:left w:val="single" w:sz="4" w:space="0" w:color="FFFFFF" w:themeColor="background1"/>
              <w:bottom w:val="single" w:sz="4" w:space="0" w:color="auto"/>
              <w:right w:val="single" w:sz="4" w:space="0" w:color="FFFFFF" w:themeColor="background1"/>
            </w:tcBorders>
            <w:vAlign w:val="bottom"/>
            <w:hideMark/>
          </w:tcPr>
          <w:p w14:paraId="7D9AA468" w14:textId="77777777" w:rsidR="00496244" w:rsidRPr="002029AF" w:rsidRDefault="00496244" w:rsidP="00317057">
            <w:pPr>
              <w:pStyle w:val="ARtablecolhead"/>
            </w:pPr>
            <w:r w:rsidRPr="002029AF">
              <w:t>2017–18</w:t>
            </w:r>
          </w:p>
        </w:tc>
        <w:tc>
          <w:tcPr>
            <w:tcW w:w="1021" w:type="dxa"/>
            <w:tcBorders>
              <w:top w:val="nil"/>
              <w:left w:val="single" w:sz="4" w:space="0" w:color="FFFFFF" w:themeColor="background1"/>
              <w:bottom w:val="single" w:sz="4" w:space="0" w:color="auto"/>
              <w:right w:val="single" w:sz="4" w:space="0" w:color="FFFFFF" w:themeColor="background1"/>
            </w:tcBorders>
            <w:vAlign w:val="bottom"/>
          </w:tcPr>
          <w:p w14:paraId="30A21CA6" w14:textId="77777777" w:rsidR="00496244" w:rsidRPr="002029AF" w:rsidRDefault="00496244" w:rsidP="00317057">
            <w:pPr>
              <w:pStyle w:val="ARtablecolhead"/>
            </w:pPr>
            <w:r w:rsidRPr="002029AF">
              <w:t>2018–19</w:t>
            </w:r>
          </w:p>
        </w:tc>
        <w:tc>
          <w:tcPr>
            <w:tcW w:w="1021" w:type="dxa"/>
            <w:tcBorders>
              <w:top w:val="nil"/>
              <w:left w:val="single" w:sz="4" w:space="0" w:color="FFFFFF" w:themeColor="background1"/>
              <w:bottom w:val="single" w:sz="4" w:space="0" w:color="auto"/>
              <w:right w:val="single" w:sz="4" w:space="0" w:color="FFFFFF" w:themeColor="background1"/>
            </w:tcBorders>
            <w:vAlign w:val="bottom"/>
          </w:tcPr>
          <w:p w14:paraId="5631D150" w14:textId="77777777" w:rsidR="00496244" w:rsidRPr="002029AF" w:rsidRDefault="00496244" w:rsidP="00317057">
            <w:pPr>
              <w:pStyle w:val="ARtablecolhead"/>
            </w:pPr>
            <w:r w:rsidRPr="002029AF">
              <w:t>2019–20</w:t>
            </w:r>
          </w:p>
        </w:tc>
        <w:tc>
          <w:tcPr>
            <w:tcW w:w="1021" w:type="dxa"/>
            <w:tcBorders>
              <w:top w:val="nil"/>
              <w:left w:val="single" w:sz="4" w:space="0" w:color="FFFFFF" w:themeColor="background1"/>
              <w:bottom w:val="single" w:sz="4" w:space="0" w:color="auto"/>
              <w:right w:val="single" w:sz="4" w:space="0" w:color="FFFFFF" w:themeColor="background1"/>
            </w:tcBorders>
            <w:vAlign w:val="bottom"/>
          </w:tcPr>
          <w:p w14:paraId="5037CF11" w14:textId="77777777" w:rsidR="00496244" w:rsidRPr="002029AF" w:rsidRDefault="00496244" w:rsidP="00317057">
            <w:pPr>
              <w:pStyle w:val="ARtablecolhead"/>
            </w:pPr>
            <w:r>
              <w:t>2020–21</w:t>
            </w:r>
          </w:p>
        </w:tc>
      </w:tr>
      <w:tr w:rsidR="00496244" w:rsidRPr="002029AF" w14:paraId="2F203553" w14:textId="77777777" w:rsidTr="00317057">
        <w:trPr>
          <w:cantSplit/>
        </w:trPr>
        <w:tc>
          <w:tcPr>
            <w:tcW w:w="5557" w:type="dxa"/>
            <w:gridSpan w:val="6"/>
            <w:tcBorders>
              <w:top w:val="single" w:sz="4" w:space="0" w:color="auto"/>
              <w:left w:val="single" w:sz="4" w:space="0" w:color="FFFFFF" w:themeColor="background1"/>
              <w:bottom w:val="single" w:sz="4" w:space="0" w:color="BFBFBF" w:themeColor="background1" w:themeShade="BF"/>
              <w:right w:val="single" w:sz="4" w:space="0" w:color="FFFFFF" w:themeColor="background1"/>
            </w:tcBorders>
            <w:hideMark/>
          </w:tcPr>
          <w:p w14:paraId="589389F4" w14:textId="77777777" w:rsidR="00496244" w:rsidRPr="002029AF" w:rsidRDefault="00496244" w:rsidP="00317057">
            <w:pPr>
              <w:pStyle w:val="ARtablesubhead"/>
            </w:pPr>
            <w:r w:rsidRPr="002029AF">
              <w:t>Victorians participate in learning and education</w:t>
            </w:r>
          </w:p>
        </w:tc>
      </w:tr>
      <w:tr w:rsidR="00496244" w:rsidRPr="002029AF" w14:paraId="4C6C428D" w14:textId="77777777" w:rsidTr="00317057">
        <w:trPr>
          <w:gridAfter w:val="1"/>
          <w:wAfter w:w="56" w:type="dxa"/>
          <w:cantSplit/>
        </w:trPr>
        <w:tc>
          <w:tcPr>
            <w:tcW w:w="5557"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hideMark/>
          </w:tcPr>
          <w:p w14:paraId="01AA8946" w14:textId="77777777" w:rsidR="00496244" w:rsidRPr="002029AF" w:rsidRDefault="00496244" w:rsidP="00317057">
            <w:pPr>
              <w:pStyle w:val="ARtabletext"/>
              <w:rPr>
                <w:i/>
              </w:rPr>
            </w:pPr>
            <w:r w:rsidRPr="002029AF">
              <w:t>Clinical placement student days (medicine)</w:t>
            </w:r>
          </w:p>
        </w:tc>
        <w:tc>
          <w:tcPr>
            <w:tcW w:w="1021"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0660E6EC" w14:textId="77777777" w:rsidR="00496244" w:rsidRPr="002029AF" w:rsidRDefault="00496244" w:rsidP="00317057">
            <w:pPr>
              <w:pStyle w:val="ARtabletext"/>
            </w:pPr>
            <w:r w:rsidRPr="002029AF">
              <w:t>393,807</w:t>
            </w:r>
          </w:p>
        </w:tc>
        <w:tc>
          <w:tcPr>
            <w:tcW w:w="1021"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4E87B0D2" w14:textId="77777777" w:rsidR="00496244" w:rsidRPr="002029AF" w:rsidRDefault="00496244" w:rsidP="00317057">
            <w:pPr>
              <w:pStyle w:val="ARtabletext"/>
            </w:pPr>
            <w:r w:rsidRPr="002029AF">
              <w:t>395,349</w:t>
            </w:r>
          </w:p>
        </w:tc>
        <w:tc>
          <w:tcPr>
            <w:tcW w:w="1021"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469744E4" w14:textId="77777777" w:rsidR="00496244" w:rsidRPr="002029AF" w:rsidRDefault="00496244" w:rsidP="00317057">
            <w:pPr>
              <w:pStyle w:val="ARtabletext"/>
            </w:pPr>
            <w:r w:rsidRPr="002029AF">
              <w:t>402,008</w:t>
            </w:r>
          </w:p>
        </w:tc>
        <w:tc>
          <w:tcPr>
            <w:tcW w:w="1021"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343ABCDD" w14:textId="77777777" w:rsidR="00496244" w:rsidRPr="002029AF" w:rsidRDefault="00496244" w:rsidP="00317057">
            <w:pPr>
              <w:pStyle w:val="ARtabletext"/>
            </w:pPr>
            <w:r>
              <w:t>332,282</w:t>
            </w:r>
          </w:p>
        </w:tc>
      </w:tr>
      <w:tr w:rsidR="00496244" w:rsidRPr="002029AF" w14:paraId="65ABEC20" w14:textId="77777777" w:rsidTr="00317057">
        <w:trPr>
          <w:gridAfter w:val="1"/>
          <w:wAfter w:w="56" w:type="dxa"/>
          <w:cantSplit/>
        </w:trPr>
        <w:tc>
          <w:tcPr>
            <w:tcW w:w="555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hideMark/>
          </w:tcPr>
          <w:p w14:paraId="7041F403" w14:textId="77777777" w:rsidR="00496244" w:rsidRPr="002029AF" w:rsidRDefault="00496244" w:rsidP="00317057">
            <w:pPr>
              <w:pStyle w:val="ARtabletext"/>
              <w:rPr>
                <w:i/>
              </w:rPr>
            </w:pPr>
            <w:r w:rsidRPr="002029AF">
              <w:t>Clinical placements student days (nursing and midwifery)</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2D3AFA4C" w14:textId="77777777" w:rsidR="00496244" w:rsidRPr="002029AF" w:rsidRDefault="00496244" w:rsidP="00317057">
            <w:pPr>
              <w:pStyle w:val="ARtabletext"/>
            </w:pPr>
            <w:r w:rsidRPr="002029AF">
              <w:t>406,330</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4AA0FBF7" w14:textId="77777777" w:rsidR="00496244" w:rsidRPr="002029AF" w:rsidRDefault="00496244" w:rsidP="00317057">
            <w:pPr>
              <w:pStyle w:val="ARtabletext"/>
            </w:pPr>
            <w:r w:rsidRPr="002029AF">
              <w:t>428,864</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1CEF2214" w14:textId="77777777" w:rsidR="00496244" w:rsidRPr="002029AF" w:rsidRDefault="00496244" w:rsidP="00317057">
            <w:pPr>
              <w:pStyle w:val="ARtabletext"/>
            </w:pPr>
            <w:r w:rsidRPr="002029AF">
              <w:t>435,731</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1CFB0999" w14:textId="77777777" w:rsidR="00496244" w:rsidRPr="002029AF" w:rsidRDefault="00496244" w:rsidP="00317057">
            <w:pPr>
              <w:pStyle w:val="ARtabletext"/>
            </w:pPr>
            <w:r>
              <w:t>445,987</w:t>
            </w:r>
          </w:p>
        </w:tc>
      </w:tr>
      <w:tr w:rsidR="00496244" w:rsidRPr="002029AF" w14:paraId="2FE47C39" w14:textId="77777777" w:rsidTr="00317057">
        <w:trPr>
          <w:gridAfter w:val="1"/>
          <w:wAfter w:w="56" w:type="dxa"/>
          <w:cantSplit/>
        </w:trPr>
        <w:tc>
          <w:tcPr>
            <w:tcW w:w="555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hideMark/>
          </w:tcPr>
          <w:p w14:paraId="0F8E74A6" w14:textId="77777777" w:rsidR="00496244" w:rsidRPr="002029AF" w:rsidRDefault="00496244" w:rsidP="00317057">
            <w:pPr>
              <w:pStyle w:val="ARtabletext"/>
              <w:rPr>
                <w:i/>
              </w:rPr>
            </w:pPr>
            <w:r w:rsidRPr="002029AF">
              <w:t>Clinical placement student days (allied health)</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671DC2CB" w14:textId="77777777" w:rsidR="00496244" w:rsidRPr="002029AF" w:rsidRDefault="00496244" w:rsidP="00317057">
            <w:pPr>
              <w:pStyle w:val="ARtabletext"/>
            </w:pPr>
            <w:r w:rsidRPr="002029AF">
              <w:t>158,461</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7BC6D250" w14:textId="77777777" w:rsidR="00496244" w:rsidRPr="002029AF" w:rsidRDefault="00496244" w:rsidP="00317057">
            <w:pPr>
              <w:pStyle w:val="ARtabletext"/>
            </w:pPr>
            <w:r w:rsidRPr="002029AF">
              <w:t>159,709</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157F4ED6" w14:textId="77777777" w:rsidR="00496244" w:rsidRPr="002029AF" w:rsidRDefault="00496244" w:rsidP="00317057">
            <w:pPr>
              <w:pStyle w:val="ARtabletext"/>
            </w:pPr>
            <w:r w:rsidRPr="002029AF">
              <w:t>159,172</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50002050" w14:textId="77777777" w:rsidR="00496244" w:rsidRPr="002029AF" w:rsidRDefault="00496244" w:rsidP="00317057">
            <w:pPr>
              <w:pStyle w:val="ARtabletext"/>
            </w:pPr>
            <w:r>
              <w:t>142,126</w:t>
            </w:r>
          </w:p>
        </w:tc>
      </w:tr>
      <w:tr w:rsidR="00496244" w:rsidRPr="002029AF" w14:paraId="64C91533" w14:textId="77777777" w:rsidTr="00317057">
        <w:trPr>
          <w:gridAfter w:val="1"/>
          <w:wAfter w:w="56" w:type="dxa"/>
          <w:cantSplit/>
        </w:trPr>
        <w:tc>
          <w:tcPr>
            <w:tcW w:w="555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hideMark/>
          </w:tcPr>
          <w:p w14:paraId="6B7E6468" w14:textId="77777777" w:rsidR="00496244" w:rsidRPr="002029AF" w:rsidRDefault="00496244" w:rsidP="00317057">
            <w:pPr>
              <w:pStyle w:val="ARtabletext"/>
            </w:pPr>
            <w:r w:rsidRPr="002029AF">
              <w:t>Number of people trained in emergency management</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6ADED17B" w14:textId="77777777" w:rsidR="00496244" w:rsidRPr="002029AF" w:rsidRDefault="00496244" w:rsidP="00317057">
            <w:pPr>
              <w:pStyle w:val="ARtabletext"/>
            </w:pPr>
            <w:r w:rsidRPr="002029AF">
              <w:t>2,783</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01174483" w14:textId="77777777" w:rsidR="00496244" w:rsidRPr="002029AF" w:rsidRDefault="00496244" w:rsidP="00317057">
            <w:pPr>
              <w:pStyle w:val="ARtabletext"/>
            </w:pPr>
            <w:r w:rsidRPr="002029AF">
              <w:t>2,982</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74AC0D8F" w14:textId="77777777" w:rsidR="00496244" w:rsidRPr="002029AF" w:rsidRDefault="00496244" w:rsidP="00317057">
            <w:pPr>
              <w:pStyle w:val="ARtabletext"/>
            </w:pPr>
            <w:r w:rsidRPr="002029AF">
              <w:t>2,923</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07911B18" w14:textId="77777777" w:rsidR="00496244" w:rsidRPr="002029AF" w:rsidRDefault="00496244" w:rsidP="00317057">
            <w:pPr>
              <w:pStyle w:val="ARtabletext"/>
            </w:pPr>
            <w:r w:rsidRPr="002029AF">
              <w:t>2,</w:t>
            </w:r>
            <w:r>
              <w:t>590</w:t>
            </w:r>
          </w:p>
        </w:tc>
      </w:tr>
      <w:tr w:rsidR="00496244" w:rsidRPr="002029AF" w14:paraId="3F1BB9E1" w14:textId="77777777" w:rsidTr="00317057">
        <w:trPr>
          <w:cantSplit/>
        </w:trPr>
        <w:tc>
          <w:tcPr>
            <w:tcW w:w="5557" w:type="dxa"/>
            <w:gridSpan w:val="6"/>
            <w:tcBorders>
              <w:top w:val="single" w:sz="4" w:space="0" w:color="BFBFBF" w:themeColor="background1" w:themeShade="BF"/>
              <w:left w:val="single" w:sz="4" w:space="0" w:color="FFFFFF" w:themeColor="background1"/>
              <w:bottom w:val="single" w:sz="4" w:space="0" w:color="auto"/>
              <w:right w:val="single" w:sz="4" w:space="0" w:color="FFFFFF" w:themeColor="background1"/>
            </w:tcBorders>
          </w:tcPr>
          <w:p w14:paraId="113F292F" w14:textId="77777777" w:rsidR="00496244" w:rsidRPr="002029AF" w:rsidRDefault="00496244" w:rsidP="00317057">
            <w:pPr>
              <w:pStyle w:val="ARtablefootnote"/>
            </w:pPr>
            <w:r w:rsidRPr="002029AF">
              <w:t>Source: Internal departmental data</w:t>
            </w:r>
          </w:p>
        </w:tc>
      </w:tr>
      <w:tr w:rsidR="00496244" w:rsidRPr="002029AF" w14:paraId="6F7152FF" w14:textId="77777777" w:rsidTr="00317057">
        <w:trPr>
          <w:cantSplit/>
        </w:trPr>
        <w:tc>
          <w:tcPr>
            <w:tcW w:w="5557" w:type="dxa"/>
            <w:gridSpan w:val="6"/>
            <w:tcBorders>
              <w:top w:val="single" w:sz="4" w:space="0" w:color="auto"/>
              <w:left w:val="nil"/>
              <w:bottom w:val="single" w:sz="4" w:space="0" w:color="BFBFBF" w:themeColor="background1" w:themeShade="BF"/>
              <w:right w:val="single" w:sz="4" w:space="0" w:color="FFFFFF" w:themeColor="background1"/>
            </w:tcBorders>
            <w:hideMark/>
          </w:tcPr>
          <w:p w14:paraId="25B6C35B" w14:textId="77777777" w:rsidR="00496244" w:rsidRPr="002029AF" w:rsidRDefault="00496244" w:rsidP="00317057">
            <w:pPr>
              <w:pStyle w:val="ARtablesubhead"/>
            </w:pPr>
            <w:r w:rsidRPr="002029AF">
              <w:t>Victorians participate in and contribute to the economy and have financial security</w:t>
            </w:r>
          </w:p>
        </w:tc>
      </w:tr>
      <w:tr w:rsidR="00496244" w:rsidRPr="002029AF" w14:paraId="25629A60" w14:textId="77777777" w:rsidTr="00317057">
        <w:trPr>
          <w:gridAfter w:val="1"/>
          <w:wAfter w:w="56" w:type="dxa"/>
          <w:cantSplit/>
          <w:trHeight w:val="404"/>
        </w:trPr>
        <w:tc>
          <w:tcPr>
            <w:tcW w:w="5557"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hideMark/>
          </w:tcPr>
          <w:p w14:paraId="6989F1C7" w14:textId="77777777" w:rsidR="00496244" w:rsidRPr="002029AF" w:rsidRDefault="00496244" w:rsidP="00317057">
            <w:pPr>
              <w:pStyle w:val="ARtabletext"/>
              <w:rPr>
                <w:i/>
              </w:rPr>
            </w:pPr>
            <w:r w:rsidRPr="002029AF">
              <w:t>Funded postgraduate nursing and midwifery places at diploma and certificate level</w:t>
            </w:r>
          </w:p>
        </w:tc>
        <w:tc>
          <w:tcPr>
            <w:tcW w:w="1021"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6C0D43EB" w14:textId="77777777" w:rsidR="00496244" w:rsidRPr="002029AF" w:rsidRDefault="00496244" w:rsidP="00317057">
            <w:pPr>
              <w:pStyle w:val="ARtabletext"/>
            </w:pPr>
            <w:r w:rsidRPr="002029AF">
              <w:t>832</w:t>
            </w:r>
          </w:p>
        </w:tc>
        <w:tc>
          <w:tcPr>
            <w:tcW w:w="1021"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53F38C66" w14:textId="77777777" w:rsidR="00496244" w:rsidRPr="002029AF" w:rsidRDefault="00496244" w:rsidP="00317057">
            <w:pPr>
              <w:pStyle w:val="ARtabletext"/>
            </w:pPr>
            <w:r w:rsidRPr="002029AF">
              <w:t>865</w:t>
            </w:r>
          </w:p>
        </w:tc>
        <w:tc>
          <w:tcPr>
            <w:tcW w:w="1021"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415E12FA" w14:textId="77777777" w:rsidR="00496244" w:rsidRPr="002029AF" w:rsidRDefault="00496244" w:rsidP="00317057">
            <w:pPr>
              <w:pStyle w:val="ARtabletext"/>
              <w:rPr>
                <w:rStyle w:val="Superscript"/>
              </w:rPr>
            </w:pPr>
            <w:r w:rsidRPr="002029AF">
              <w:t>1077</w:t>
            </w:r>
          </w:p>
        </w:tc>
        <w:tc>
          <w:tcPr>
            <w:tcW w:w="1021"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510AC634" w14:textId="77777777" w:rsidR="00496244" w:rsidRPr="002029AF" w:rsidRDefault="00496244" w:rsidP="00317057">
            <w:pPr>
              <w:pStyle w:val="ARtabletext"/>
            </w:pPr>
            <w:r>
              <w:t>877</w:t>
            </w:r>
          </w:p>
        </w:tc>
      </w:tr>
      <w:tr w:rsidR="00496244" w:rsidRPr="002029AF" w14:paraId="3316DC43" w14:textId="77777777" w:rsidTr="00317057">
        <w:trPr>
          <w:gridAfter w:val="1"/>
          <w:wAfter w:w="56" w:type="dxa"/>
          <w:cantSplit/>
        </w:trPr>
        <w:tc>
          <w:tcPr>
            <w:tcW w:w="555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hideMark/>
          </w:tcPr>
          <w:p w14:paraId="52C9146A" w14:textId="77777777" w:rsidR="00496244" w:rsidRPr="002029AF" w:rsidRDefault="00496244" w:rsidP="00317057">
            <w:pPr>
              <w:pStyle w:val="ARtabletext"/>
              <w:rPr>
                <w:i/>
              </w:rPr>
            </w:pPr>
            <w:r w:rsidRPr="002029AF">
              <w:t xml:space="preserve">Total funded FTE (early graduate) allied health positions in </w:t>
            </w:r>
            <w:r w:rsidRPr="002029AF">
              <w:br/>
              <w:t>public system</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0721018D" w14:textId="77777777" w:rsidR="00496244" w:rsidRPr="002029AF" w:rsidRDefault="00496244" w:rsidP="00317057">
            <w:pPr>
              <w:pStyle w:val="ARtabletext"/>
            </w:pPr>
            <w:r w:rsidRPr="002029AF">
              <w:t>700</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184525F0" w14:textId="77777777" w:rsidR="00496244" w:rsidRPr="002029AF" w:rsidRDefault="00496244" w:rsidP="00317057">
            <w:pPr>
              <w:pStyle w:val="ARtabletext"/>
            </w:pPr>
            <w:r w:rsidRPr="002029AF">
              <w:t>745</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2FCD2601" w14:textId="77777777" w:rsidR="00496244" w:rsidRPr="002029AF" w:rsidRDefault="00496244" w:rsidP="00317057">
            <w:pPr>
              <w:pStyle w:val="ARtabletext"/>
              <w:rPr>
                <w:rStyle w:val="Superscript"/>
              </w:rPr>
            </w:pPr>
            <w:r>
              <w:t>691</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6C37C895" w14:textId="77777777" w:rsidR="00496244" w:rsidRPr="002029AF" w:rsidRDefault="00496244" w:rsidP="00317057">
            <w:pPr>
              <w:pStyle w:val="ARtabletext"/>
            </w:pPr>
            <w:r>
              <w:t>697</w:t>
            </w:r>
          </w:p>
        </w:tc>
      </w:tr>
      <w:tr w:rsidR="00496244" w:rsidRPr="002029AF" w14:paraId="1A3B273D" w14:textId="77777777" w:rsidTr="00317057">
        <w:trPr>
          <w:gridAfter w:val="1"/>
          <w:wAfter w:w="56" w:type="dxa"/>
          <w:cantSplit/>
        </w:trPr>
        <w:tc>
          <w:tcPr>
            <w:tcW w:w="555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hideMark/>
          </w:tcPr>
          <w:p w14:paraId="0F0CD1FB" w14:textId="77777777" w:rsidR="00496244" w:rsidRPr="002029AF" w:rsidRDefault="00496244" w:rsidP="00317057">
            <w:pPr>
              <w:pStyle w:val="ARtabletext"/>
              <w:rPr>
                <w:i/>
              </w:rPr>
            </w:pPr>
            <w:r w:rsidRPr="002029AF">
              <w:t xml:space="preserve">Total funded FTE (early graduate) medical positions in </w:t>
            </w:r>
            <w:r w:rsidRPr="002029AF">
              <w:br/>
              <w:t>public system</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79E04347" w14:textId="77777777" w:rsidR="00496244" w:rsidRPr="002029AF" w:rsidRDefault="00496244" w:rsidP="00317057">
            <w:pPr>
              <w:pStyle w:val="ARtabletext"/>
            </w:pPr>
            <w:r w:rsidRPr="002029AF">
              <w:t>1,525</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2B81E45E" w14:textId="77777777" w:rsidR="00496244" w:rsidRPr="002029AF" w:rsidRDefault="00496244" w:rsidP="00317057">
            <w:pPr>
              <w:pStyle w:val="ARtabletext"/>
            </w:pPr>
            <w:r w:rsidRPr="002029AF">
              <w:t>1,525</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3122C171" w14:textId="77777777" w:rsidR="00496244" w:rsidRPr="002029AF" w:rsidRDefault="00496244" w:rsidP="00317057">
            <w:pPr>
              <w:pStyle w:val="ARtabletext"/>
              <w:rPr>
                <w:rStyle w:val="Superscript"/>
              </w:rPr>
            </w:pPr>
            <w:r w:rsidRPr="002029AF">
              <w:t>1,</w:t>
            </w:r>
            <w:r>
              <w:t>525</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1D63D6FB" w14:textId="77777777" w:rsidR="00496244" w:rsidRPr="002029AF" w:rsidRDefault="00496244" w:rsidP="00317057">
            <w:pPr>
              <w:pStyle w:val="ARtabletext"/>
            </w:pPr>
            <w:r w:rsidRPr="002029AF">
              <w:t>1,</w:t>
            </w:r>
            <w:r>
              <w:t>584</w:t>
            </w:r>
          </w:p>
        </w:tc>
      </w:tr>
      <w:tr w:rsidR="00496244" w:rsidRPr="002029AF" w14:paraId="33E3F96A" w14:textId="77777777" w:rsidTr="00317057">
        <w:trPr>
          <w:gridAfter w:val="1"/>
          <w:wAfter w:w="56" w:type="dxa"/>
          <w:cantSplit/>
        </w:trPr>
        <w:tc>
          <w:tcPr>
            <w:tcW w:w="555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hideMark/>
          </w:tcPr>
          <w:p w14:paraId="6A5D10A5" w14:textId="77777777" w:rsidR="00496244" w:rsidRPr="002029AF" w:rsidRDefault="00496244" w:rsidP="00317057">
            <w:pPr>
              <w:pStyle w:val="ARtabletext"/>
              <w:rPr>
                <w:i/>
              </w:rPr>
            </w:pPr>
            <w:r w:rsidRPr="002029AF">
              <w:t xml:space="preserve">Total funded FTE (early graduate) nursing and midwifery positions </w:t>
            </w:r>
            <w:r w:rsidRPr="002029AF">
              <w:br/>
              <w:t>in public system</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0F5480B5" w14:textId="77777777" w:rsidR="00496244" w:rsidRPr="002029AF" w:rsidRDefault="00496244" w:rsidP="00317057">
            <w:pPr>
              <w:pStyle w:val="ARtabletext"/>
            </w:pPr>
            <w:r w:rsidRPr="002029AF">
              <w:t>1,591</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37DA4F69" w14:textId="77777777" w:rsidR="00496244" w:rsidRPr="002029AF" w:rsidRDefault="00496244" w:rsidP="00317057">
            <w:pPr>
              <w:pStyle w:val="ARtabletext"/>
            </w:pPr>
            <w:r w:rsidRPr="002029AF">
              <w:t>1,618</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4D2536B3" w14:textId="77777777" w:rsidR="00496244" w:rsidRPr="002029AF" w:rsidRDefault="00496244" w:rsidP="00317057">
            <w:pPr>
              <w:pStyle w:val="ARtabletext"/>
              <w:rPr>
                <w:rStyle w:val="Superscript"/>
              </w:rPr>
            </w:pPr>
            <w:r w:rsidRPr="002029AF">
              <w:t>1,</w:t>
            </w:r>
            <w:r>
              <w:t>956</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27B05CC7" w14:textId="77777777" w:rsidR="00496244" w:rsidRPr="002029AF" w:rsidRDefault="00496244" w:rsidP="00317057">
            <w:pPr>
              <w:pStyle w:val="ARtabletext"/>
            </w:pPr>
            <w:r w:rsidRPr="002029AF">
              <w:t>1,</w:t>
            </w:r>
            <w:r>
              <w:t>889</w:t>
            </w:r>
          </w:p>
        </w:tc>
      </w:tr>
      <w:tr w:rsidR="00496244" w:rsidRPr="002029AF" w14:paraId="08550267" w14:textId="77777777" w:rsidTr="00317057">
        <w:trPr>
          <w:cantSplit/>
        </w:trPr>
        <w:tc>
          <w:tcPr>
            <w:tcW w:w="5557" w:type="dxa"/>
            <w:gridSpan w:val="6"/>
            <w:tcBorders>
              <w:top w:val="single" w:sz="4" w:space="0" w:color="BFBFBF" w:themeColor="background1" w:themeShade="BF"/>
              <w:left w:val="single" w:sz="4" w:space="0" w:color="FFFFFF" w:themeColor="background1"/>
              <w:bottom w:val="single" w:sz="4" w:space="0" w:color="auto"/>
              <w:right w:val="single" w:sz="4" w:space="0" w:color="FFFFFF" w:themeColor="background1"/>
            </w:tcBorders>
            <w:hideMark/>
          </w:tcPr>
          <w:p w14:paraId="4BE4170C" w14:textId="77777777" w:rsidR="00496244" w:rsidRPr="002029AF" w:rsidRDefault="00496244" w:rsidP="00317057">
            <w:pPr>
              <w:pStyle w:val="ARtablefootnote"/>
            </w:pPr>
            <w:r w:rsidRPr="002029AF">
              <w:rPr>
                <w:rFonts w:eastAsia="Times"/>
                <w:lang w:eastAsia="en-AU"/>
              </w:rPr>
              <w:t>Source: Internal departmental data</w:t>
            </w:r>
          </w:p>
        </w:tc>
      </w:tr>
    </w:tbl>
    <w:p w14:paraId="4049D121" w14:textId="77777777" w:rsidR="00496244" w:rsidRPr="002029AF" w:rsidRDefault="00496244" w:rsidP="00603E4B">
      <w:pPr>
        <w:pStyle w:val="ARtablefootnote"/>
      </w:pPr>
      <w:r w:rsidRPr="002029AF">
        <w:t>The department is committed to measuring outcomes for all indicators set out in the Victorian budget papers. Further work is needed to test and validate measures to ensure departmental initiatives and policies are reflected by the performance indicators. As the outcomes approaches in the department mature, reporting will be provided against outcome measures and will inform the reporting of performance indicators.</w:t>
      </w:r>
    </w:p>
    <w:p w14:paraId="6AE8C32A" w14:textId="77777777" w:rsidR="00496244" w:rsidRPr="002029AF" w:rsidRDefault="00496244" w:rsidP="00603E4B">
      <w:pPr>
        <w:pStyle w:val="ARbody"/>
      </w:pPr>
      <w:r w:rsidRPr="002029AF">
        <w:br w:type="page"/>
      </w:r>
    </w:p>
    <w:p w14:paraId="7E941CD6" w14:textId="77777777" w:rsidR="00496244" w:rsidRPr="002029AF" w:rsidRDefault="00496244" w:rsidP="00317057">
      <w:pPr>
        <w:pStyle w:val="Heading4"/>
      </w:pPr>
      <w:bookmarkStart w:id="132" w:name="_Toc85121031"/>
      <w:r w:rsidRPr="002029AF">
        <w:lastRenderedPageBreak/>
        <w:t>Objective 4: Victorians are connected to culture and community</w:t>
      </w:r>
      <w:bookmarkEnd w:id="130"/>
      <w:bookmarkEnd w:id="132"/>
    </w:p>
    <w:bookmarkEnd w:id="131"/>
    <w:p w14:paraId="1323443E" w14:textId="77777777" w:rsidR="00496244" w:rsidRDefault="00496244" w:rsidP="00317057">
      <w:pPr>
        <w:pStyle w:val="ARintro"/>
      </w:pPr>
      <w:r>
        <w:t>This objective seeks to achieve the following outcomes:</w:t>
      </w:r>
    </w:p>
    <w:p w14:paraId="4AFDB3CC" w14:textId="4296D247" w:rsidR="00496244" w:rsidRPr="002029AF" w:rsidRDefault="00496244" w:rsidP="00317057">
      <w:pPr>
        <w:pStyle w:val="ARintrobullet"/>
      </w:pPr>
      <w:r>
        <w:t>Victorians are socially engaged and live</w:t>
      </w:r>
      <w:r w:rsidR="005B655A">
        <w:t xml:space="preserve"> in </w:t>
      </w:r>
      <w:r>
        <w:t>inclusive communities</w:t>
      </w:r>
    </w:p>
    <w:p w14:paraId="01E77892" w14:textId="77777777" w:rsidR="00496244" w:rsidRPr="002029AF" w:rsidRDefault="00496244" w:rsidP="00317057">
      <w:pPr>
        <w:pStyle w:val="ARintrobullet"/>
      </w:pPr>
      <w:r>
        <w:t>Victorians can safely identify and connect with their culture and identity, with their health and wellbeing advanced through self-determination.</w:t>
      </w:r>
    </w:p>
    <w:p w14:paraId="28093C40" w14:textId="77777777" w:rsidR="00496244" w:rsidRDefault="00496244" w:rsidP="00317057">
      <w:pPr>
        <w:pStyle w:val="ARintro"/>
      </w:pPr>
      <w:r w:rsidRPr="0074739D">
        <w:t xml:space="preserve">Following the </w:t>
      </w:r>
      <w:r>
        <w:t>m</w:t>
      </w:r>
      <w:r w:rsidRPr="0074739D">
        <w:t xml:space="preserve">achinery of </w:t>
      </w:r>
      <w:r>
        <w:t>g</w:t>
      </w:r>
      <w:r w:rsidRPr="0074739D">
        <w:t xml:space="preserve">overnment changes the Department of Families, Fairness and Housing is accountable for this </w:t>
      </w:r>
      <w:r>
        <w:t>objective and further information may be found in its annual report.</w:t>
      </w:r>
    </w:p>
    <w:p w14:paraId="05593A79" w14:textId="77777777" w:rsidR="00496244" w:rsidRDefault="00496244" w:rsidP="00317057">
      <w:pPr>
        <w:pStyle w:val="ARintro"/>
      </w:pPr>
      <w:r>
        <w:t>The department retains accountability in several aspects, as detailed below.</w:t>
      </w:r>
    </w:p>
    <w:p w14:paraId="4B24E88E" w14:textId="77777777" w:rsidR="00496244" w:rsidRPr="002029AF" w:rsidRDefault="00496244" w:rsidP="00603E4B">
      <w:pPr>
        <w:pStyle w:val="ARbody"/>
      </w:pPr>
    </w:p>
    <w:p w14:paraId="61FA7D0E" w14:textId="77777777" w:rsidR="00496244" w:rsidRPr="002029AF" w:rsidRDefault="00496244" w:rsidP="00603E4B">
      <w:pPr>
        <w:pStyle w:val="ARbody"/>
        <w:sectPr w:rsidR="00496244" w:rsidRPr="002029AF" w:rsidSect="0002026A">
          <w:footnotePr>
            <w:numFmt w:val="lowerLetter"/>
            <w:numRestart w:val="eachPage"/>
          </w:footnotePr>
          <w:endnotePr>
            <w:numFmt w:val="decimal"/>
          </w:endnotePr>
          <w:type w:val="continuous"/>
          <w:pgSz w:w="11900" w:h="16840" w:code="9"/>
          <w:pgMar w:top="1985" w:right="1134" w:bottom="851" w:left="1134" w:header="510" w:footer="340" w:gutter="0"/>
          <w:cols w:space="454"/>
        </w:sectPr>
      </w:pPr>
    </w:p>
    <w:p w14:paraId="619C6A62" w14:textId="77777777" w:rsidR="00496244" w:rsidRPr="002029AF" w:rsidRDefault="00496244" w:rsidP="00603E4B">
      <w:pPr>
        <w:pStyle w:val="Heading4"/>
      </w:pPr>
      <w:bookmarkStart w:id="133" w:name="_Toc85121032"/>
      <w:r w:rsidRPr="002029AF">
        <w:t>Outcome 4.2: Victorians can safely</w:t>
      </w:r>
      <w:r>
        <w:t> </w:t>
      </w:r>
      <w:r w:rsidRPr="002029AF">
        <w:t>identify and connect with their</w:t>
      </w:r>
      <w:r>
        <w:t> </w:t>
      </w:r>
      <w:r w:rsidRPr="002029AF">
        <w:t>culture and identity, with their health and wellbeing advanced through</w:t>
      </w:r>
      <w:r>
        <w:t> </w:t>
      </w:r>
      <w:r w:rsidRPr="002029AF">
        <w:t>self-determination</w:t>
      </w:r>
      <w:bookmarkEnd w:id="133"/>
    </w:p>
    <w:p w14:paraId="48AA2BCF" w14:textId="5AA7D49F" w:rsidR="00496244" w:rsidRPr="002029AF" w:rsidRDefault="00496244" w:rsidP="00603E4B">
      <w:pPr>
        <w:pStyle w:val="ARbody"/>
      </w:pPr>
      <w:r w:rsidRPr="002029AF">
        <w:t>Victorians can safely identify with their culture, express their identity and build support networks with people they trust. Cultural connection is valued and is a protective factor that enables them to thrive</w:t>
      </w:r>
      <w:r>
        <w:t xml:space="preserve"> and directly impacts health outcomes</w:t>
      </w:r>
      <w:r w:rsidRPr="002029AF">
        <w:t>. The</w:t>
      </w:r>
      <w:r w:rsidR="005B655A">
        <w:t> </w:t>
      </w:r>
      <w:r w:rsidRPr="002029AF">
        <w:t>health and wellbeing of Aboriginal Victorians is</w:t>
      </w:r>
      <w:r w:rsidR="005B655A">
        <w:t> </w:t>
      </w:r>
      <w:r w:rsidRPr="002029AF">
        <w:t>enabled by self-determination across all aspects of their lives.</w:t>
      </w:r>
    </w:p>
    <w:p w14:paraId="435F87DB" w14:textId="77777777" w:rsidR="00496244" w:rsidRPr="002029AF" w:rsidRDefault="00496244" w:rsidP="00603E4B">
      <w:pPr>
        <w:pStyle w:val="Heading5"/>
        <w:rPr>
          <w:rFonts w:eastAsia="Times" w:cs="Arial"/>
          <w:b w:val="0"/>
          <w:color w:val="auto"/>
          <w:szCs w:val="22"/>
        </w:rPr>
      </w:pPr>
      <w:bookmarkStart w:id="134" w:name="_Toc85121033"/>
      <w:r w:rsidRPr="002029AF">
        <w:rPr>
          <w:szCs w:val="22"/>
        </w:rPr>
        <w:t>Progress against outcomes</w:t>
      </w:r>
      <w:bookmarkEnd w:id="134"/>
    </w:p>
    <w:p w14:paraId="42EBA65D" w14:textId="71DA56C6" w:rsidR="00496244" w:rsidRPr="002029AF" w:rsidRDefault="00496244" w:rsidP="00603E4B">
      <w:pPr>
        <w:pStyle w:val="ARbody"/>
      </w:pPr>
      <w:r w:rsidRPr="002029AF">
        <w:t>The government</w:t>
      </w:r>
      <w:r w:rsidR="007D145B">
        <w:t>’</w:t>
      </w:r>
      <w:r w:rsidRPr="002029AF">
        <w:t>s approach to Aboriginal affairs</w:t>
      </w:r>
      <w:r w:rsidR="005B655A">
        <w:t> </w:t>
      </w:r>
      <w:r w:rsidRPr="002029AF">
        <w:t>is</w:t>
      </w:r>
      <w:r>
        <w:t> </w:t>
      </w:r>
      <w:r w:rsidRPr="002029AF">
        <w:t xml:space="preserve">guided by the </w:t>
      </w:r>
      <w:r w:rsidRPr="002029AF">
        <w:rPr>
          <w:i/>
        </w:rPr>
        <w:t>Victorian Aboriginal Affairs</w:t>
      </w:r>
      <w:r w:rsidR="005B655A">
        <w:rPr>
          <w:i/>
        </w:rPr>
        <w:t> </w:t>
      </w:r>
      <w:r w:rsidRPr="002029AF">
        <w:rPr>
          <w:i/>
        </w:rPr>
        <w:t>Framework 2018–2023</w:t>
      </w:r>
      <w:r w:rsidRPr="002029AF">
        <w:t>. The framework is grounded in the voices, perspectives and priorities of the Victorian Aboriginal community and renews the Victorian Government</w:t>
      </w:r>
      <w:r w:rsidR="007D145B">
        <w:t>’</w:t>
      </w:r>
      <w:r w:rsidRPr="002029AF">
        <w:t xml:space="preserve">s commitment to </w:t>
      </w:r>
      <w:r>
        <w:br/>
      </w:r>
      <w:r w:rsidRPr="002029AF">
        <w:t xml:space="preserve">self-determination. In </w:t>
      </w:r>
      <w:r>
        <w:t>2020–21</w:t>
      </w:r>
      <w:r w:rsidRPr="002029AF">
        <w:t xml:space="preserve"> the department continued to operationalise the principles of </w:t>
      </w:r>
      <w:r w:rsidR="005B655A">
        <w:br/>
      </w:r>
      <w:r w:rsidRPr="002029AF">
        <w:t>self-determination outlined in the framework across</w:t>
      </w:r>
      <w:r w:rsidR="005B655A">
        <w:t> </w:t>
      </w:r>
      <w:r w:rsidRPr="002029AF">
        <w:t>the services it funds and delivers.</w:t>
      </w:r>
    </w:p>
    <w:p w14:paraId="655A1466" w14:textId="4925FA79" w:rsidR="00496244" w:rsidRPr="002029AF" w:rsidRDefault="00496244" w:rsidP="00603E4B">
      <w:pPr>
        <w:pStyle w:val="ARbody"/>
      </w:pPr>
      <w:r w:rsidRPr="002029AF">
        <w:t xml:space="preserve">The government is working alongside Aboriginal community-controlled organisations and community service organisations to support Aboriginal </w:t>
      </w:r>
      <w:r w:rsidR="005B655A">
        <w:br/>
      </w:r>
      <w:r w:rsidRPr="002029AF">
        <w:t>self-determination and acknowledges the work of community partners to improve health outcomes and meet the health needs of Aboriginal Victorians.</w:t>
      </w:r>
    </w:p>
    <w:p w14:paraId="4BCD8C5C" w14:textId="0F00468A" w:rsidR="00496244" w:rsidRPr="009472AF" w:rsidRDefault="00496244" w:rsidP="00317057">
      <w:pPr>
        <w:pStyle w:val="Heading6"/>
      </w:pPr>
      <w:bookmarkStart w:id="135" w:name="_Toc85121034"/>
      <w:r w:rsidRPr="009472AF">
        <w:t>Establishment of Aboriginal Health and</w:t>
      </w:r>
      <w:r w:rsidR="005B655A">
        <w:rPr>
          <w:lang w:val="en-US"/>
        </w:rPr>
        <w:t> </w:t>
      </w:r>
      <w:r w:rsidRPr="009472AF">
        <w:t>Wellbeing Partnership Forum</w:t>
      </w:r>
      <w:bookmarkEnd w:id="135"/>
    </w:p>
    <w:p w14:paraId="278E7034" w14:textId="0CFAC3A4" w:rsidR="00496244" w:rsidRDefault="00496244" w:rsidP="00603E4B">
      <w:pPr>
        <w:pStyle w:val="ARbody"/>
      </w:pPr>
      <w:r w:rsidRPr="009472AF">
        <w:t>In line with the department</w:t>
      </w:r>
      <w:r w:rsidR="007D145B">
        <w:t>’</w:t>
      </w:r>
      <w:r w:rsidRPr="009472AF">
        <w:t xml:space="preserve">s commitment to self-determination and Aboriginal-led decision making, the Minister for Health committed to the </w:t>
      </w:r>
      <w:r w:rsidRPr="009472AF">
        <w:t>establishment of a new governance mechanism to provide leadership on Aboriginal health priorities.</w:t>
      </w:r>
    </w:p>
    <w:p w14:paraId="1E733902" w14:textId="31273EC6" w:rsidR="00496244" w:rsidRPr="009472AF" w:rsidRDefault="00496244" w:rsidP="00603E4B">
      <w:pPr>
        <w:pStyle w:val="ARbody"/>
      </w:pPr>
      <w:r w:rsidRPr="009472AF">
        <w:t>The inaugural Aboriginal Health and Wellbeing Partnership Forum was convened in April 2021 by</w:t>
      </w:r>
      <w:r w:rsidR="005B655A">
        <w:t> </w:t>
      </w:r>
      <w:r w:rsidRPr="009472AF">
        <w:t xml:space="preserve">the Victorian Aboriginal Community Controlled Health Organisation </w:t>
      </w:r>
      <w:r>
        <w:t xml:space="preserve">(VACCHO) </w:t>
      </w:r>
      <w:r w:rsidRPr="009472AF">
        <w:t>and the Minister for</w:t>
      </w:r>
      <w:r w:rsidR="005B655A">
        <w:t> </w:t>
      </w:r>
      <w:r w:rsidRPr="009472AF">
        <w:t xml:space="preserve">Health to bring together government, the Aboriginal </w:t>
      </w:r>
      <w:r>
        <w:t>c</w:t>
      </w:r>
      <w:r w:rsidRPr="009472AF">
        <w:t>ommunity</w:t>
      </w:r>
      <w:r>
        <w:t>-c</w:t>
      </w:r>
      <w:r w:rsidRPr="009472AF">
        <w:t xml:space="preserve">ontrolled </w:t>
      </w:r>
      <w:r>
        <w:t>h</w:t>
      </w:r>
      <w:r w:rsidRPr="009472AF">
        <w:t>ealth sector and mainstream health organisations to address crucial health and wellbeing priorities facing Aboriginal people and communities</w:t>
      </w:r>
      <w:r>
        <w:t>.</w:t>
      </w:r>
    </w:p>
    <w:p w14:paraId="455ECB75" w14:textId="77777777" w:rsidR="00496244" w:rsidRPr="009472AF" w:rsidRDefault="00496244" w:rsidP="00317057">
      <w:pPr>
        <w:pStyle w:val="Heading6"/>
      </w:pPr>
      <w:bookmarkStart w:id="136" w:name="_Toc85121035"/>
      <w:r w:rsidRPr="009472AF">
        <w:t xml:space="preserve">Enabling </w:t>
      </w:r>
      <w:r>
        <w:t xml:space="preserve">Aboriginal </w:t>
      </w:r>
      <w:r w:rsidRPr="009472AF">
        <w:t>community</w:t>
      </w:r>
      <w:r>
        <w:t>-</w:t>
      </w:r>
      <w:r w:rsidRPr="009472AF">
        <w:t>controlled sector to lead culturally safe response to the COVID-19 pandemic</w:t>
      </w:r>
      <w:bookmarkEnd w:id="136"/>
    </w:p>
    <w:p w14:paraId="60B01727" w14:textId="4E62C340" w:rsidR="00496244" w:rsidRPr="009472AF" w:rsidRDefault="00496244" w:rsidP="00603E4B">
      <w:pPr>
        <w:pStyle w:val="ARbody"/>
      </w:pPr>
      <w:r w:rsidRPr="009472AF">
        <w:t xml:space="preserve">The department has worked collaboratively to support the Aboriginal </w:t>
      </w:r>
      <w:r>
        <w:t>c</w:t>
      </w:r>
      <w:r w:rsidRPr="009472AF">
        <w:t>ommunity</w:t>
      </w:r>
      <w:r>
        <w:t>-c</w:t>
      </w:r>
      <w:r w:rsidRPr="009472AF">
        <w:t xml:space="preserve">ontrolled </w:t>
      </w:r>
      <w:r>
        <w:t>s</w:t>
      </w:r>
      <w:r w:rsidRPr="009472AF">
        <w:t>ector to lead the COVID-19 response for Victoria</w:t>
      </w:r>
      <w:r w:rsidR="007D145B">
        <w:t>’</w:t>
      </w:r>
      <w:r w:rsidRPr="009472AF">
        <w:t>s Aboriginal community through 2020 and 2021. Aboriginal health organisations have played a pivotal role in supporting Aboriginal community to</w:t>
      </w:r>
      <w:r w:rsidR="005B655A">
        <w:t> </w:t>
      </w:r>
      <w:r w:rsidRPr="009472AF">
        <w:t>protect themselves, their families and broader community</w:t>
      </w:r>
      <w:r>
        <w:t>,</w:t>
      </w:r>
      <w:r w:rsidRPr="009472AF">
        <w:t xml:space="preserve"> especially Aboriginal older people and</w:t>
      </w:r>
      <w:r w:rsidR="005B655A">
        <w:t> </w:t>
      </w:r>
      <w:r w:rsidRPr="009472AF">
        <w:t xml:space="preserve">Elders. Aboriginal health services established testing clinics and worked to support </w:t>
      </w:r>
      <w:r>
        <w:t xml:space="preserve">the </w:t>
      </w:r>
      <w:r w:rsidRPr="009472AF">
        <w:t>local community to continue to manage their health conditions during lockdowns through the provision of culturally safe health services online or via telehealth. The embracing of new ways of working and</w:t>
      </w:r>
      <w:r>
        <w:t xml:space="preserve"> the</w:t>
      </w:r>
      <w:r w:rsidRPr="009472AF">
        <w:t xml:space="preserve"> embedding of new technologies has ensured continuous service provision.</w:t>
      </w:r>
    </w:p>
    <w:p w14:paraId="5E75103A" w14:textId="665ECBE9" w:rsidR="00496244" w:rsidRPr="002029AF" w:rsidRDefault="00496244" w:rsidP="00603E4B">
      <w:pPr>
        <w:pStyle w:val="ARbody"/>
      </w:pPr>
      <w:r w:rsidRPr="009472AF">
        <w:rPr>
          <w:szCs w:val="20"/>
        </w:rPr>
        <w:t>The lessons learnt from the early stages of the pandemic have in turn shaped and informed the delivery of a successful vaccination program across</w:t>
      </w:r>
      <w:r w:rsidR="005B655A">
        <w:rPr>
          <w:szCs w:val="20"/>
        </w:rPr>
        <w:t> </w:t>
      </w:r>
      <w:r w:rsidRPr="009472AF">
        <w:rPr>
          <w:szCs w:val="20"/>
        </w:rPr>
        <w:t xml:space="preserve">the Aboriginal sector. </w:t>
      </w:r>
      <w:r>
        <w:rPr>
          <w:szCs w:val="20"/>
        </w:rPr>
        <w:t>The e</w:t>
      </w:r>
      <w:r w:rsidRPr="009472AF">
        <w:rPr>
          <w:szCs w:val="20"/>
        </w:rPr>
        <w:t>stablishment of vaccination clinics within Aboriginal health services has seen a very strong up</w:t>
      </w:r>
      <w:r>
        <w:rPr>
          <w:szCs w:val="20"/>
        </w:rPr>
        <w:t>t</w:t>
      </w:r>
      <w:r w:rsidRPr="009472AF">
        <w:rPr>
          <w:szCs w:val="20"/>
        </w:rPr>
        <w:t>a</w:t>
      </w:r>
      <w:r>
        <w:rPr>
          <w:szCs w:val="20"/>
        </w:rPr>
        <w:t>k</w:t>
      </w:r>
      <w:r w:rsidRPr="009472AF">
        <w:rPr>
          <w:szCs w:val="20"/>
        </w:rPr>
        <w:t>e of the vaccination by</w:t>
      </w:r>
      <w:r w:rsidR="005B655A">
        <w:rPr>
          <w:szCs w:val="20"/>
        </w:rPr>
        <w:t> </w:t>
      </w:r>
      <w:r>
        <w:rPr>
          <w:szCs w:val="20"/>
        </w:rPr>
        <w:t xml:space="preserve">the Victorian </w:t>
      </w:r>
      <w:r w:rsidRPr="009472AF">
        <w:rPr>
          <w:szCs w:val="20"/>
        </w:rPr>
        <w:t>Aboriginal community, one of the highest in the country.</w:t>
      </w:r>
    </w:p>
    <w:p w14:paraId="106718CC" w14:textId="77777777" w:rsidR="000B6E53" w:rsidRDefault="000B6E53" w:rsidP="00317057">
      <w:pPr>
        <w:pStyle w:val="Heading5"/>
        <w:sectPr w:rsidR="000B6E53" w:rsidSect="0002026A">
          <w:footnotePr>
            <w:numFmt w:val="lowerLetter"/>
            <w:numRestart w:val="eachPage"/>
          </w:footnotePr>
          <w:endnotePr>
            <w:numFmt w:val="decimal"/>
          </w:endnotePr>
          <w:type w:val="continuous"/>
          <w:pgSz w:w="11900" w:h="16840" w:code="9"/>
          <w:pgMar w:top="1985" w:right="1134" w:bottom="851" w:left="1134" w:header="510" w:footer="340" w:gutter="0"/>
          <w:cols w:num="2" w:space="454"/>
        </w:sectPr>
      </w:pPr>
      <w:bookmarkStart w:id="137" w:name="_Toc85121036"/>
    </w:p>
    <w:p w14:paraId="4BFC71D6" w14:textId="3B81F4E1" w:rsidR="00496244" w:rsidRPr="00A57979" w:rsidRDefault="00496244" w:rsidP="000B6E53">
      <w:pPr>
        <w:pStyle w:val="Heading5"/>
        <w:spacing w:before="0"/>
      </w:pPr>
      <w:r w:rsidRPr="00A57979">
        <w:lastRenderedPageBreak/>
        <w:t>Key result: Increase the cultural safety of</w:t>
      </w:r>
      <w:r w:rsidR="000B6E53">
        <w:t> </w:t>
      </w:r>
      <w:r w:rsidRPr="00A57979">
        <w:t>the department</w:t>
      </w:r>
      <w:r w:rsidR="007D145B">
        <w:t>’</w:t>
      </w:r>
      <w:r w:rsidRPr="00A57979">
        <w:t>s direct-delivered and funded services</w:t>
      </w:r>
      <w:bookmarkEnd w:id="137"/>
    </w:p>
    <w:p w14:paraId="2EA806BE" w14:textId="77777777" w:rsidR="00496244" w:rsidRPr="00A57979" w:rsidRDefault="00496244" w:rsidP="00317057">
      <w:pPr>
        <w:pStyle w:val="Heading6"/>
        <w:rPr>
          <w:rFonts w:eastAsia="Times"/>
        </w:rPr>
      </w:pPr>
      <w:bookmarkStart w:id="138" w:name="_Toc85121037"/>
      <w:r w:rsidRPr="00A57979">
        <w:rPr>
          <w:rFonts w:eastAsia="Times"/>
        </w:rPr>
        <w:t>Implementation of the Aboriginal and Torres Strait Islander cultural safety framework</w:t>
      </w:r>
      <w:bookmarkEnd w:id="138"/>
    </w:p>
    <w:p w14:paraId="7F17855B" w14:textId="77777777" w:rsidR="00496244" w:rsidRPr="009472AF" w:rsidRDefault="00496244" w:rsidP="00317057">
      <w:pPr>
        <w:pStyle w:val="ARbody"/>
      </w:pPr>
      <w:r w:rsidRPr="009472AF">
        <w:t xml:space="preserve">To ensure that Aboriginal people, families and community have access to culturally safe and accessible healthcare, the department is leading the implementation of the </w:t>
      </w:r>
      <w:r w:rsidRPr="00995A23">
        <w:rPr>
          <w:i/>
          <w:iCs/>
        </w:rPr>
        <w:t>Aboriginal and Torres Strait Islander cultural safety framework</w:t>
      </w:r>
      <w:r w:rsidRPr="009472AF">
        <w:t xml:space="preserve"> across the health service</w:t>
      </w:r>
      <w:r>
        <w:t>s</w:t>
      </w:r>
      <w:r w:rsidRPr="009472AF">
        <w:t xml:space="preserve"> sector.</w:t>
      </w:r>
    </w:p>
    <w:p w14:paraId="4463E833" w14:textId="77777777" w:rsidR="00496244" w:rsidRPr="009472AF" w:rsidRDefault="00496244" w:rsidP="00317057">
      <w:pPr>
        <w:pStyle w:val="ARbody"/>
      </w:pPr>
      <w:r w:rsidRPr="009472AF">
        <w:t>The framework aims to help the department and mainstream health services to strengthen their cultural safety by participating in a process of continuous learning and practice improvement.</w:t>
      </w:r>
    </w:p>
    <w:p w14:paraId="47CFB4FC" w14:textId="75675E8C" w:rsidR="00496244" w:rsidRPr="009472AF" w:rsidRDefault="00496244" w:rsidP="00317057">
      <w:pPr>
        <w:pStyle w:val="ARbody"/>
      </w:pPr>
      <w:r w:rsidRPr="009472AF">
        <w:t>To provide health organisations with the tools and</w:t>
      </w:r>
      <w:r w:rsidR="005B655A">
        <w:t> </w:t>
      </w:r>
      <w:r w:rsidRPr="009472AF">
        <w:t xml:space="preserve">accountability for culturally safe services, the department is partnering with </w:t>
      </w:r>
      <w:r>
        <w:t xml:space="preserve">the VACCHO </w:t>
      </w:r>
      <w:r w:rsidRPr="009472AF">
        <w:t xml:space="preserve">to undertake a feasibility study on the establishment of a cultural safety </w:t>
      </w:r>
      <w:r w:rsidR="007D145B">
        <w:t>‘</w:t>
      </w:r>
      <w:r w:rsidRPr="009472AF">
        <w:t>tick</w:t>
      </w:r>
      <w:r w:rsidR="007D145B">
        <w:t>’</w:t>
      </w:r>
      <w:r w:rsidRPr="009472AF">
        <w:t xml:space="preserve"> program and the development of a suite of resources for mainstream health services to improve the cultural safety of their services and workplaces.</w:t>
      </w:r>
    </w:p>
    <w:p w14:paraId="065EF3D4" w14:textId="0A971C16" w:rsidR="00496244" w:rsidRPr="009472AF" w:rsidRDefault="00496244" w:rsidP="00317057">
      <w:pPr>
        <w:pStyle w:val="ARbody"/>
      </w:pPr>
      <w:r w:rsidRPr="009472AF">
        <w:t>In addition</w:t>
      </w:r>
      <w:r>
        <w:t>,</w:t>
      </w:r>
      <w:r w:rsidRPr="009472AF">
        <w:t xml:space="preserve"> the department has worked in partnership with the Centre for Cultural Competence Australia to develop and deliver an</w:t>
      </w:r>
      <w:r w:rsidR="005B655A">
        <w:t> </w:t>
      </w:r>
      <w:r w:rsidRPr="009472AF">
        <w:t>online training resources package for maternal and child health providers aligned to the cultural safety framework.</w:t>
      </w:r>
    </w:p>
    <w:p w14:paraId="03BCBC0C" w14:textId="77777777" w:rsidR="00496244" w:rsidRPr="009472AF" w:rsidRDefault="00496244" w:rsidP="00317057">
      <w:pPr>
        <w:pStyle w:val="Heading6"/>
        <w:rPr>
          <w:rFonts w:eastAsia="Times"/>
        </w:rPr>
      </w:pPr>
      <w:bookmarkStart w:id="139" w:name="_Toc85121038"/>
      <w:r w:rsidRPr="009472AF">
        <w:rPr>
          <w:rFonts w:eastAsia="Times"/>
        </w:rPr>
        <w:t xml:space="preserve">Funding to support health services </w:t>
      </w:r>
      <w:r>
        <w:rPr>
          <w:rFonts w:eastAsia="Times"/>
        </w:rPr>
        <w:t xml:space="preserve">to </w:t>
      </w:r>
      <w:r w:rsidRPr="009472AF">
        <w:rPr>
          <w:rFonts w:eastAsia="Times"/>
        </w:rPr>
        <w:t>strengthen</w:t>
      </w:r>
      <w:r>
        <w:rPr>
          <w:rFonts w:eastAsia="Times"/>
          <w:lang w:val="en-US"/>
        </w:rPr>
        <w:t> </w:t>
      </w:r>
      <w:r w:rsidRPr="009472AF">
        <w:rPr>
          <w:rFonts w:eastAsia="Times"/>
        </w:rPr>
        <w:t>cultural safety</w:t>
      </w:r>
      <w:bookmarkEnd w:id="139"/>
    </w:p>
    <w:p w14:paraId="7A86DC64" w14:textId="4B069013" w:rsidR="00496244" w:rsidRDefault="00496244" w:rsidP="00317057">
      <w:pPr>
        <w:pStyle w:val="ARbody"/>
      </w:pPr>
      <w:r w:rsidRPr="009472AF">
        <w:t>From 1 July 2020, a new Aboriginal health funding</w:t>
      </w:r>
      <w:r w:rsidR="005B655A">
        <w:t> </w:t>
      </w:r>
      <w:r w:rsidRPr="009472AF">
        <w:t>approach to Victorian acute health services</w:t>
      </w:r>
      <w:r w:rsidR="005B655A">
        <w:t> </w:t>
      </w:r>
      <w:r w:rsidRPr="009472AF">
        <w:t>(hospitals) commenced. This new model is</w:t>
      </w:r>
      <w:r w:rsidR="005B655A">
        <w:t> </w:t>
      </w:r>
      <w:r w:rsidRPr="009472AF">
        <w:t>designed to strengthen Aboriginal cultural safety and improve health outcomes for Aboriginal people attending Victorian public hospitals by targeting investment towards the cost of clinical care and cultural safety separately.</w:t>
      </w:r>
    </w:p>
    <w:p w14:paraId="22C1E5D6" w14:textId="7663B1D0" w:rsidR="00496244" w:rsidRDefault="00496244" w:rsidP="00317057">
      <w:pPr>
        <w:pStyle w:val="ARbody"/>
      </w:pPr>
      <w:r w:rsidRPr="009472AF">
        <w:t>The new approach to Aboriginal health funding enables greater transparency and accountability of</w:t>
      </w:r>
      <w:r w:rsidR="005B655A">
        <w:t> </w:t>
      </w:r>
      <w:r w:rsidRPr="009472AF">
        <w:t>Aboriginal health funding by hospitals.</w:t>
      </w:r>
      <w:r>
        <w:t xml:space="preserve"> </w:t>
      </w:r>
      <w:r w:rsidRPr="009472AF">
        <w:t>Health services will be required to submit cultural safety plans in</w:t>
      </w:r>
      <w:r>
        <w:t xml:space="preserve"> the</w:t>
      </w:r>
      <w:r w:rsidRPr="009472AF">
        <w:t xml:space="preserve"> first quarter of each financial year to demonstrate planned activity linked to the cultural safety fixed grant and report on their progress annually.</w:t>
      </w:r>
    </w:p>
    <w:p w14:paraId="039AFFD0" w14:textId="77777777" w:rsidR="00496244" w:rsidRPr="002029AF" w:rsidRDefault="00496244" w:rsidP="00317057">
      <w:pPr>
        <w:pStyle w:val="ARbody"/>
      </w:pPr>
    </w:p>
    <w:p w14:paraId="6C548376" w14:textId="77777777" w:rsidR="00496244" w:rsidRPr="002029AF" w:rsidRDefault="00496244" w:rsidP="00317057">
      <w:pPr>
        <w:pStyle w:val="ARbody"/>
        <w:rPr>
          <w:rFonts w:eastAsia="MS Gothic"/>
          <w:color w:val="87189D" w:themeColor="accent1"/>
          <w:sz w:val="28"/>
        </w:rPr>
        <w:sectPr w:rsidR="00496244" w:rsidRPr="002029AF" w:rsidSect="0002026A">
          <w:footnotePr>
            <w:numFmt w:val="lowerLetter"/>
            <w:numRestart w:val="eachPage"/>
          </w:footnotePr>
          <w:endnotePr>
            <w:numFmt w:val="decimal"/>
          </w:endnotePr>
          <w:type w:val="continuous"/>
          <w:pgSz w:w="11900" w:h="16840" w:code="9"/>
          <w:pgMar w:top="1985" w:right="1134" w:bottom="851" w:left="1134" w:header="510" w:footer="340" w:gutter="0"/>
          <w:cols w:num="2" w:space="454"/>
        </w:sectPr>
      </w:pPr>
    </w:p>
    <w:p w14:paraId="014428DA" w14:textId="77777777" w:rsidR="00496244" w:rsidRPr="007C4ED3" w:rsidRDefault="00496244" w:rsidP="00603E4B">
      <w:pPr>
        <w:pStyle w:val="ARbody"/>
      </w:pPr>
      <w:bookmarkStart w:id="140" w:name="_Toc50383611"/>
      <w:r w:rsidRPr="007C4ED3">
        <w:br w:type="page"/>
      </w:r>
    </w:p>
    <w:p w14:paraId="2EDFE4B9" w14:textId="77777777" w:rsidR="00496244" w:rsidRPr="002029AF" w:rsidRDefault="00496244" w:rsidP="00317057">
      <w:pPr>
        <w:pStyle w:val="Heading4"/>
      </w:pPr>
      <w:bookmarkStart w:id="141" w:name="_Toc85121039"/>
      <w:r w:rsidRPr="002029AF">
        <w:lastRenderedPageBreak/>
        <w:t>Objective 5: Victorian health and human services are person centred and</w:t>
      </w:r>
      <w:r>
        <w:t> </w:t>
      </w:r>
      <w:r w:rsidRPr="002029AF">
        <w:t>sustainable</w:t>
      </w:r>
      <w:bookmarkEnd w:id="140"/>
      <w:bookmarkEnd w:id="141"/>
    </w:p>
    <w:p w14:paraId="5E566985" w14:textId="77777777" w:rsidR="00496244" w:rsidRDefault="00496244" w:rsidP="00317057">
      <w:pPr>
        <w:pStyle w:val="ARintro"/>
      </w:pPr>
      <w:r>
        <w:t>This objective seeks to achieve the following outcomes:</w:t>
      </w:r>
    </w:p>
    <w:p w14:paraId="341AF044" w14:textId="55975F01" w:rsidR="00496244" w:rsidRPr="002029AF" w:rsidRDefault="00496244" w:rsidP="00317057">
      <w:pPr>
        <w:pStyle w:val="ARintrobullet"/>
      </w:pPr>
      <w:r>
        <w:t>services are appropriate and accessible in</w:t>
      </w:r>
      <w:r w:rsidR="005B655A">
        <w:t xml:space="preserve"> the </w:t>
      </w:r>
      <w:r>
        <w:t>right place, at the right time</w:t>
      </w:r>
    </w:p>
    <w:p w14:paraId="088033E1" w14:textId="77777777" w:rsidR="00496244" w:rsidRPr="002029AF" w:rsidRDefault="00496244" w:rsidP="00317057">
      <w:pPr>
        <w:pStyle w:val="ARintrobullet"/>
      </w:pPr>
      <w:r>
        <w:t>services are inclusive and respond to choice, culture, identity, circumstances and goals</w:t>
      </w:r>
    </w:p>
    <w:p w14:paraId="3952E3AE" w14:textId="77777777" w:rsidR="00496244" w:rsidRPr="002029AF" w:rsidRDefault="00496244" w:rsidP="00317057">
      <w:pPr>
        <w:pStyle w:val="ARintrobullet"/>
      </w:pPr>
      <w:r>
        <w:t>services are efficient and sustainable</w:t>
      </w:r>
    </w:p>
    <w:p w14:paraId="3BF552BE" w14:textId="77777777" w:rsidR="00496244" w:rsidRPr="002029AF" w:rsidRDefault="00496244" w:rsidP="00317057">
      <w:pPr>
        <w:pStyle w:val="ARintrobullet"/>
      </w:pPr>
      <w:r>
        <w:t>services are safe, high quality and provide a positive experience.</w:t>
      </w:r>
    </w:p>
    <w:p w14:paraId="4D741645" w14:textId="77777777" w:rsidR="00496244" w:rsidRPr="002029AF" w:rsidRDefault="00496244" w:rsidP="00317057">
      <w:pPr>
        <w:pStyle w:val="ARintro"/>
      </w:pPr>
      <w:r w:rsidRPr="002029AF">
        <w:t>This objective aims to improve the safety, quality, efficiency and sustainability of our services as</w:t>
      </w:r>
      <w:r>
        <w:t> </w:t>
      </w:r>
      <w:r w:rsidRPr="002029AF">
        <w:t>a</w:t>
      </w:r>
      <w:r>
        <w:t> </w:t>
      </w:r>
      <w:r w:rsidRPr="002029AF">
        <w:t>key part of achieving outcomes for our patients and clients.</w:t>
      </w:r>
    </w:p>
    <w:p w14:paraId="79872756" w14:textId="77777777" w:rsidR="00496244" w:rsidRDefault="00496244" w:rsidP="00317057">
      <w:pPr>
        <w:pStyle w:val="ARintro"/>
      </w:pPr>
      <w:r w:rsidRPr="002029AF">
        <w:t>The way services are delivered is also important to improving outcomes. This includes strengthening system design and planning to respond to changes in population patterns and</w:t>
      </w:r>
      <w:r>
        <w:t> </w:t>
      </w:r>
      <w:r w:rsidRPr="002029AF">
        <w:t>to</w:t>
      </w:r>
      <w:r>
        <w:t> </w:t>
      </w:r>
      <w:r w:rsidRPr="002029AF">
        <w:t>be</w:t>
      </w:r>
      <w:r>
        <w:t> </w:t>
      </w:r>
      <w:r w:rsidRPr="002029AF">
        <w:t>more responsive to need.</w:t>
      </w:r>
    </w:p>
    <w:p w14:paraId="50FCF904" w14:textId="77777777" w:rsidR="00496244" w:rsidRDefault="00496244" w:rsidP="00317057">
      <w:pPr>
        <w:pStyle w:val="ARintro"/>
      </w:pPr>
      <w:r w:rsidRPr="0074739D">
        <w:t xml:space="preserve">Following the </w:t>
      </w:r>
      <w:r>
        <w:t>m</w:t>
      </w:r>
      <w:r w:rsidRPr="0074739D">
        <w:t xml:space="preserve">achinery of </w:t>
      </w:r>
      <w:r>
        <w:t>g</w:t>
      </w:r>
      <w:r w:rsidRPr="0074739D">
        <w:t>overnment changes</w:t>
      </w:r>
      <w:r>
        <w:t>,</w:t>
      </w:r>
      <w:r w:rsidRPr="0074739D">
        <w:t xml:space="preserve"> the Department of Families, Fairness and Housing is </w:t>
      </w:r>
      <w:r>
        <w:t xml:space="preserve">also </w:t>
      </w:r>
      <w:r w:rsidRPr="0074739D">
        <w:t xml:space="preserve">accountable for this </w:t>
      </w:r>
      <w:r>
        <w:t>objective and further information may be found in its annual report.</w:t>
      </w:r>
    </w:p>
    <w:p w14:paraId="13E9E227" w14:textId="77777777" w:rsidR="00496244" w:rsidRPr="002029AF" w:rsidRDefault="00496244" w:rsidP="00603E4B">
      <w:pPr>
        <w:pStyle w:val="ARbody"/>
      </w:pPr>
    </w:p>
    <w:p w14:paraId="0E95A187" w14:textId="77777777" w:rsidR="00496244" w:rsidRPr="002029AF" w:rsidRDefault="00496244" w:rsidP="00603E4B">
      <w:pPr>
        <w:pStyle w:val="ARbody"/>
        <w:sectPr w:rsidR="00496244" w:rsidRPr="002029AF" w:rsidSect="0002026A">
          <w:footnotePr>
            <w:numFmt w:val="lowerLetter"/>
            <w:numRestart w:val="eachPage"/>
          </w:footnotePr>
          <w:endnotePr>
            <w:numFmt w:val="decimal"/>
          </w:endnotePr>
          <w:type w:val="continuous"/>
          <w:pgSz w:w="11900" w:h="16840" w:code="9"/>
          <w:pgMar w:top="1985" w:right="1134" w:bottom="851" w:left="1134" w:header="510" w:footer="340" w:gutter="0"/>
          <w:cols w:space="454"/>
        </w:sectPr>
      </w:pPr>
    </w:p>
    <w:p w14:paraId="1D6263BB" w14:textId="77777777" w:rsidR="00496244" w:rsidRPr="002029AF" w:rsidRDefault="00496244" w:rsidP="007C4ED3">
      <w:pPr>
        <w:pStyle w:val="Heading4"/>
        <w:spacing w:before="0"/>
      </w:pPr>
      <w:bookmarkStart w:id="142" w:name="_Toc85121040"/>
      <w:r w:rsidRPr="002029AF">
        <w:t>Outcome 5.1: Services are appropriate and accessible in the right place, at the right time</w:t>
      </w:r>
      <w:bookmarkEnd w:id="142"/>
    </w:p>
    <w:p w14:paraId="6298AC70" w14:textId="50197BD6" w:rsidR="00496244" w:rsidRPr="002029AF" w:rsidRDefault="00496244" w:rsidP="00603E4B">
      <w:pPr>
        <w:pStyle w:val="ARbody"/>
      </w:pPr>
      <w:r w:rsidRPr="002029AF">
        <w:t>Services can be accessed by Victorians where and</w:t>
      </w:r>
      <w:r w:rsidR="005B655A">
        <w:t> </w:t>
      </w:r>
      <w:r w:rsidRPr="002029AF">
        <w:t>when they are needed. Access is enabled by a</w:t>
      </w:r>
      <w:r w:rsidR="005B655A">
        <w:t> </w:t>
      </w:r>
      <w:r w:rsidRPr="002029AF">
        <w:t>health and human services system that is easy to</w:t>
      </w:r>
      <w:r>
        <w:t> </w:t>
      </w:r>
      <w:r w:rsidRPr="002029AF">
        <w:t>navigate.</w:t>
      </w:r>
    </w:p>
    <w:p w14:paraId="161C24AC" w14:textId="77777777" w:rsidR="00496244" w:rsidRPr="002029AF" w:rsidRDefault="00496244" w:rsidP="00603E4B">
      <w:pPr>
        <w:pStyle w:val="Heading5"/>
        <w:rPr>
          <w:szCs w:val="22"/>
        </w:rPr>
      </w:pPr>
      <w:bookmarkStart w:id="143" w:name="_Toc85121041"/>
      <w:r w:rsidRPr="002029AF">
        <w:rPr>
          <w:szCs w:val="22"/>
        </w:rPr>
        <w:t>Progress against outcomes</w:t>
      </w:r>
      <w:bookmarkEnd w:id="143"/>
    </w:p>
    <w:p w14:paraId="50B7A81C" w14:textId="77777777" w:rsidR="00496244" w:rsidRPr="002029AF" w:rsidRDefault="00496244" w:rsidP="00603E4B">
      <w:pPr>
        <w:pStyle w:val="ARbody"/>
      </w:pPr>
      <w:r w:rsidRPr="002029AF">
        <w:t xml:space="preserve">Some of our key achievements in </w:t>
      </w:r>
      <w:r>
        <w:t>2020–21</w:t>
      </w:r>
      <w:r w:rsidRPr="002029AF">
        <w:t xml:space="preserve"> are</w:t>
      </w:r>
      <w:r>
        <w:t xml:space="preserve"> </w:t>
      </w:r>
      <w:r w:rsidRPr="002029AF">
        <w:t>outlined below.</w:t>
      </w:r>
    </w:p>
    <w:p w14:paraId="30B91AE8" w14:textId="0B57C644" w:rsidR="00496244" w:rsidRPr="002029AF" w:rsidRDefault="00496244" w:rsidP="00603E4B">
      <w:pPr>
        <w:pStyle w:val="Heading5"/>
      </w:pPr>
      <w:bookmarkStart w:id="144" w:name="_Toc85121042"/>
      <w:r w:rsidRPr="002029AF">
        <w:rPr>
          <w:rFonts w:eastAsia="Calibri"/>
        </w:rPr>
        <w:t>Key result: Increase participation in universal and earlier intervention services –</w:t>
      </w:r>
      <w:r w:rsidR="005B655A">
        <w:rPr>
          <w:rFonts w:eastAsia="Calibri"/>
        </w:rPr>
        <w:t> </w:t>
      </w:r>
      <w:r w:rsidRPr="002029AF">
        <w:rPr>
          <w:rFonts w:eastAsia="Calibri"/>
        </w:rPr>
        <w:t>especially by Aboriginal Victorians</w:t>
      </w:r>
      <w:bookmarkEnd w:id="144"/>
    </w:p>
    <w:p w14:paraId="4849FCDD" w14:textId="77777777" w:rsidR="00496244" w:rsidRDefault="00496244" w:rsidP="00317057">
      <w:pPr>
        <w:pStyle w:val="Heading6"/>
      </w:pPr>
      <w:bookmarkStart w:id="145" w:name="_Toc85121043"/>
      <w:r w:rsidRPr="00BA7D92">
        <w:t>IVF access for all Victorians</w:t>
      </w:r>
      <w:bookmarkEnd w:id="145"/>
    </w:p>
    <w:p w14:paraId="5E2F3CBD" w14:textId="77777777" w:rsidR="00864121" w:rsidRDefault="00496244" w:rsidP="00317057">
      <w:pPr>
        <w:pStyle w:val="ARbody"/>
        <w:rPr>
          <w:szCs w:val="20"/>
        </w:rPr>
      </w:pPr>
      <w:r>
        <w:rPr>
          <w:szCs w:val="20"/>
        </w:rPr>
        <w:t>Victoria continues to expand access to assisted reproductive treatments.</w:t>
      </w:r>
    </w:p>
    <w:p w14:paraId="3352CA50" w14:textId="21C81988" w:rsidR="00496244" w:rsidRPr="00863E16" w:rsidRDefault="00496244" w:rsidP="00317057">
      <w:pPr>
        <w:pStyle w:val="ARbody"/>
        <w:rPr>
          <w:szCs w:val="20"/>
        </w:rPr>
      </w:pPr>
      <w:r>
        <w:rPr>
          <w:szCs w:val="20"/>
        </w:rPr>
        <w:t>With $70.7 million over three years provided in the</w:t>
      </w:r>
      <w:r w:rsidR="005B655A">
        <w:rPr>
          <w:szCs w:val="20"/>
        </w:rPr>
        <w:t> </w:t>
      </w:r>
      <w:r>
        <w:rPr>
          <w:szCs w:val="20"/>
        </w:rPr>
        <w:t>2021–22 State Budget, work is underway to establish public fertility care services in Victoria. This initiative will see up to 4,000 eligible Victorians provided access to fertility care services each year and includes the establishment of Victoria</w:t>
      </w:r>
      <w:r w:rsidR="007D145B">
        <w:rPr>
          <w:szCs w:val="20"/>
        </w:rPr>
        <w:t>’</w:t>
      </w:r>
      <w:r>
        <w:rPr>
          <w:szCs w:val="20"/>
        </w:rPr>
        <w:t>s first public egg and sperm bank.</w:t>
      </w:r>
    </w:p>
    <w:p w14:paraId="0A284019" w14:textId="77777777" w:rsidR="00496244" w:rsidRPr="002029AF" w:rsidRDefault="00496244" w:rsidP="000B6E53">
      <w:pPr>
        <w:pStyle w:val="Heading5"/>
        <w:spacing w:before="0"/>
        <w:rPr>
          <w:rFonts w:eastAsia="Calibri"/>
        </w:rPr>
      </w:pPr>
      <w:bookmarkStart w:id="146" w:name="_Toc85121044"/>
      <w:r w:rsidRPr="002029AF">
        <w:rPr>
          <w:rFonts w:eastAsia="Calibri"/>
        </w:rPr>
        <w:t>Key result: Improve the timeliness of access to elective surgery, emergency department treatment, outpatient services, ambulance services and palliative care</w:t>
      </w:r>
      <w:bookmarkEnd w:id="146"/>
    </w:p>
    <w:p w14:paraId="452FBB2D" w14:textId="77777777" w:rsidR="00496244" w:rsidRPr="002029AF" w:rsidRDefault="00496244" w:rsidP="00603E4B">
      <w:pPr>
        <w:pStyle w:val="Heading6"/>
        <w:rPr>
          <w:szCs w:val="20"/>
        </w:rPr>
      </w:pPr>
      <w:bookmarkStart w:id="147" w:name="_Toc85121045"/>
      <w:r w:rsidRPr="002029AF">
        <w:rPr>
          <w:szCs w:val="20"/>
        </w:rPr>
        <w:t xml:space="preserve">Impacts of </w:t>
      </w:r>
      <w:r>
        <w:rPr>
          <w:szCs w:val="20"/>
        </w:rPr>
        <w:t>COVID-19</w:t>
      </w:r>
      <w:r w:rsidRPr="002029AF">
        <w:rPr>
          <w:szCs w:val="20"/>
        </w:rPr>
        <w:t xml:space="preserve"> on elective</w:t>
      </w:r>
      <w:r>
        <w:rPr>
          <w:szCs w:val="20"/>
        </w:rPr>
        <w:t xml:space="preserve"> </w:t>
      </w:r>
      <w:r w:rsidRPr="002029AF">
        <w:rPr>
          <w:szCs w:val="20"/>
        </w:rPr>
        <w:t>surgery</w:t>
      </w:r>
      <w:bookmarkEnd w:id="147"/>
    </w:p>
    <w:p w14:paraId="532C7ABF" w14:textId="7E7AD7A2" w:rsidR="00496244" w:rsidRDefault="00496244" w:rsidP="00317057">
      <w:pPr>
        <w:pStyle w:val="ARbody"/>
      </w:pPr>
      <w:r w:rsidRPr="00B80AD5">
        <w:t xml:space="preserve">Elective surgery levels have been adjusted throughout the </w:t>
      </w:r>
      <w:r>
        <w:t>COVID-19</w:t>
      </w:r>
      <w:r w:rsidRPr="00B80AD5">
        <w:t xml:space="preserve"> pandemic</w:t>
      </w:r>
      <w:r>
        <w:t xml:space="preserve"> </w:t>
      </w:r>
      <w:r w:rsidRPr="00B80AD5">
        <w:t>as part of</w:t>
      </w:r>
      <w:r w:rsidR="005B655A">
        <w:t> </w:t>
      </w:r>
      <w:r w:rsidRPr="00B80AD5">
        <w:t>the</w:t>
      </w:r>
      <w:r w:rsidR="005B655A">
        <w:t> </w:t>
      </w:r>
      <w:r w:rsidRPr="00B80AD5">
        <w:t>public health response</w:t>
      </w:r>
      <w:r>
        <w:t>.</w:t>
      </w:r>
    </w:p>
    <w:p w14:paraId="6C6DE393" w14:textId="18A2FE25" w:rsidR="00496244" w:rsidRDefault="00496244" w:rsidP="00317057">
      <w:pPr>
        <w:pStyle w:val="ARbody"/>
      </w:pPr>
      <w:r w:rsidRPr="00B80AD5">
        <w:t>The 2020–21 Victorian</w:t>
      </w:r>
      <w:r>
        <w:t xml:space="preserve"> </w:t>
      </w:r>
      <w:r w:rsidRPr="00B80AD5">
        <w:t>State Budget made $300</w:t>
      </w:r>
      <w:r w:rsidR="005B655A">
        <w:t> </w:t>
      </w:r>
      <w:r w:rsidRPr="00B80AD5">
        <w:t>million</w:t>
      </w:r>
      <w:r>
        <w:t xml:space="preserve"> </w:t>
      </w:r>
      <w:r w:rsidRPr="00B80AD5">
        <w:t>available</w:t>
      </w:r>
      <w:r>
        <w:t xml:space="preserve"> </w:t>
      </w:r>
      <w:r w:rsidRPr="00B80AD5">
        <w:t>to address</w:t>
      </w:r>
      <w:r>
        <w:t xml:space="preserve"> </w:t>
      </w:r>
      <w:r w:rsidRPr="00B80AD5">
        <w:t>non-urgent elective surgery that was delayed due to the pandemic.</w:t>
      </w:r>
      <w:r>
        <w:t xml:space="preserve"> </w:t>
      </w:r>
      <w:r w:rsidRPr="00B80AD5">
        <w:t>The</w:t>
      </w:r>
      <w:r w:rsidR="005B655A">
        <w:t> </w:t>
      </w:r>
      <w:r w:rsidRPr="00B80AD5">
        <w:t>additional funding supports both public and private health services undertaking additional public elective surgery activity.</w:t>
      </w:r>
    </w:p>
    <w:p w14:paraId="4EC077B6" w14:textId="77777777" w:rsidR="00496244" w:rsidRPr="002029AF" w:rsidRDefault="00496244" w:rsidP="00603E4B">
      <w:pPr>
        <w:pStyle w:val="Heading6"/>
        <w:rPr>
          <w:szCs w:val="20"/>
        </w:rPr>
      </w:pPr>
      <w:bookmarkStart w:id="148" w:name="_Toc85121046"/>
      <w:r w:rsidRPr="002029AF">
        <w:rPr>
          <w:szCs w:val="20"/>
        </w:rPr>
        <w:t>Review of private practice arrangements in</w:t>
      </w:r>
      <w:r>
        <w:rPr>
          <w:szCs w:val="20"/>
        </w:rPr>
        <w:t> </w:t>
      </w:r>
      <w:r w:rsidRPr="002029AF">
        <w:rPr>
          <w:szCs w:val="20"/>
        </w:rPr>
        <w:t>public health services</w:t>
      </w:r>
      <w:bookmarkEnd w:id="148"/>
    </w:p>
    <w:p w14:paraId="48BD5DF4" w14:textId="66F51F77" w:rsidR="00496244" w:rsidRPr="001413D5" w:rsidRDefault="00496244" w:rsidP="00317057">
      <w:pPr>
        <w:pStyle w:val="ARbody"/>
        <w:rPr>
          <w:color w:val="000000"/>
        </w:rPr>
      </w:pPr>
      <w:r w:rsidRPr="001413D5">
        <w:rPr>
          <w:color w:val="000000"/>
        </w:rPr>
        <w:t>The 2019 Victorian Auditor-General</w:t>
      </w:r>
      <w:r w:rsidR="007D145B">
        <w:rPr>
          <w:color w:val="000000"/>
        </w:rPr>
        <w:t>’</w:t>
      </w:r>
      <w:r w:rsidRPr="001413D5">
        <w:rPr>
          <w:color w:val="000000"/>
        </w:rPr>
        <w:t>s Office audit into Managing Private Medical Practice in Public Hospitals raised concerns that health services and</w:t>
      </w:r>
      <w:r w:rsidR="005B655A">
        <w:rPr>
          <w:color w:val="000000"/>
        </w:rPr>
        <w:t> </w:t>
      </w:r>
      <w:r w:rsidRPr="001413D5">
        <w:rPr>
          <w:color w:val="000000"/>
        </w:rPr>
        <w:t>the department may not have been effectively monitoring private practice arrangements to ensure</w:t>
      </w:r>
      <w:r w:rsidR="005B655A">
        <w:rPr>
          <w:color w:val="000000"/>
        </w:rPr>
        <w:t> </w:t>
      </w:r>
      <w:r w:rsidRPr="001413D5">
        <w:rPr>
          <w:color w:val="000000"/>
        </w:rPr>
        <w:t xml:space="preserve">compliance with </w:t>
      </w:r>
      <w:r>
        <w:rPr>
          <w:color w:val="000000"/>
        </w:rPr>
        <w:t>the National Health Reform</w:t>
      </w:r>
      <w:r w:rsidR="005B655A">
        <w:rPr>
          <w:color w:val="000000"/>
        </w:rPr>
        <w:t> </w:t>
      </w:r>
      <w:r>
        <w:rPr>
          <w:color w:val="000000"/>
        </w:rPr>
        <w:t>Agreement</w:t>
      </w:r>
      <w:r w:rsidRPr="001413D5">
        <w:rPr>
          <w:color w:val="000000"/>
        </w:rPr>
        <w:t xml:space="preserve"> and legislative requirements. In</w:t>
      </w:r>
      <w:r w:rsidR="005B655A">
        <w:rPr>
          <w:color w:val="000000"/>
        </w:rPr>
        <w:t> </w:t>
      </w:r>
      <w:r w:rsidRPr="001413D5">
        <w:rPr>
          <w:color w:val="000000"/>
        </w:rPr>
        <w:t>response</w:t>
      </w:r>
      <w:r>
        <w:rPr>
          <w:color w:val="000000"/>
        </w:rPr>
        <w:t>,</w:t>
      </w:r>
      <w:r w:rsidRPr="001413D5">
        <w:rPr>
          <w:color w:val="000000"/>
        </w:rPr>
        <w:t xml:space="preserve"> the Minister for Health commissioned </w:t>
      </w:r>
      <w:r>
        <w:rPr>
          <w:color w:val="000000"/>
        </w:rPr>
        <w:t xml:space="preserve">the </w:t>
      </w:r>
      <w:r w:rsidRPr="001413D5">
        <w:rPr>
          <w:color w:val="000000"/>
        </w:rPr>
        <w:t>previous President of the Royal Australasian College of Surgeons, Professor David Watters</w:t>
      </w:r>
      <w:r>
        <w:rPr>
          <w:color w:val="000000"/>
        </w:rPr>
        <w:t>,</w:t>
      </w:r>
      <w:r w:rsidRPr="001413D5">
        <w:rPr>
          <w:color w:val="000000"/>
        </w:rPr>
        <w:t xml:space="preserve"> to lead a review o</w:t>
      </w:r>
      <w:r>
        <w:rPr>
          <w:color w:val="000000"/>
        </w:rPr>
        <w:t>f</w:t>
      </w:r>
      <w:r w:rsidRPr="001413D5">
        <w:rPr>
          <w:color w:val="000000"/>
        </w:rPr>
        <w:t xml:space="preserve"> private practice arrangements in </w:t>
      </w:r>
      <w:r>
        <w:rPr>
          <w:color w:val="000000"/>
        </w:rPr>
        <w:t>Victoria</w:t>
      </w:r>
      <w:r w:rsidR="007D145B">
        <w:rPr>
          <w:color w:val="000000"/>
        </w:rPr>
        <w:t>’</w:t>
      </w:r>
      <w:r>
        <w:rPr>
          <w:color w:val="000000"/>
        </w:rPr>
        <w:t>s</w:t>
      </w:r>
      <w:r w:rsidRPr="001413D5">
        <w:rPr>
          <w:color w:val="000000"/>
        </w:rPr>
        <w:t xml:space="preserve"> public health services.</w:t>
      </w:r>
    </w:p>
    <w:p w14:paraId="439EFA69" w14:textId="77777777" w:rsidR="005B655A" w:rsidRPr="005B655A" w:rsidRDefault="005B655A" w:rsidP="00317057">
      <w:pPr>
        <w:pStyle w:val="ARbody"/>
      </w:pPr>
      <w:r w:rsidRPr="005B655A">
        <w:br w:type="page"/>
      </w:r>
    </w:p>
    <w:p w14:paraId="23CA3581" w14:textId="54D0A74A" w:rsidR="00496244" w:rsidRDefault="00496244" w:rsidP="00317057">
      <w:pPr>
        <w:pStyle w:val="ARbody"/>
        <w:rPr>
          <w:color w:val="000000"/>
        </w:rPr>
      </w:pPr>
      <w:r w:rsidRPr="001413D5">
        <w:rPr>
          <w:color w:val="000000"/>
        </w:rPr>
        <w:lastRenderedPageBreak/>
        <w:t>Professor Watters</w:t>
      </w:r>
      <w:r w:rsidR="007D145B">
        <w:rPr>
          <w:color w:val="000000"/>
        </w:rPr>
        <w:t>’</w:t>
      </w:r>
      <w:r w:rsidRPr="001413D5">
        <w:rPr>
          <w:color w:val="000000"/>
        </w:rPr>
        <w:t xml:space="preserve"> review found no evidence of private patients being consistently prioritised over public patients in Victorian public health services. However, </w:t>
      </w:r>
      <w:r>
        <w:rPr>
          <w:color w:val="000000"/>
        </w:rPr>
        <w:t>his</w:t>
      </w:r>
      <w:r w:rsidRPr="001413D5">
        <w:rPr>
          <w:color w:val="000000"/>
        </w:rPr>
        <w:t xml:space="preserve"> review made clear recommendations to improve both the </w:t>
      </w:r>
      <w:r>
        <w:rPr>
          <w:color w:val="000000"/>
        </w:rPr>
        <w:t>department</w:t>
      </w:r>
      <w:r w:rsidR="007D145B">
        <w:rPr>
          <w:color w:val="000000"/>
        </w:rPr>
        <w:t>’</w:t>
      </w:r>
      <w:r>
        <w:rPr>
          <w:color w:val="000000"/>
        </w:rPr>
        <w:t xml:space="preserve">s </w:t>
      </w:r>
      <w:r w:rsidRPr="001413D5">
        <w:rPr>
          <w:color w:val="000000"/>
        </w:rPr>
        <w:t>communication of</w:t>
      </w:r>
      <w:r w:rsidR="005B655A">
        <w:rPr>
          <w:color w:val="000000"/>
        </w:rPr>
        <w:t> </w:t>
      </w:r>
      <w:r w:rsidRPr="001413D5">
        <w:rPr>
          <w:color w:val="000000"/>
        </w:rPr>
        <w:t>its requirements to health services and the monitoring of access for all patients. All of Professor Watters</w:t>
      </w:r>
      <w:r w:rsidR="007D145B">
        <w:rPr>
          <w:color w:val="000000"/>
        </w:rPr>
        <w:t>’</w:t>
      </w:r>
      <w:r w:rsidRPr="001413D5">
        <w:rPr>
          <w:color w:val="000000"/>
        </w:rPr>
        <w:t xml:space="preserve"> recommendations were accepted by the Minister for Health in 2020.</w:t>
      </w:r>
    </w:p>
    <w:p w14:paraId="1F7363DE" w14:textId="77777777" w:rsidR="00496244" w:rsidRPr="001413D5" w:rsidRDefault="00496244" w:rsidP="00317057">
      <w:pPr>
        <w:pStyle w:val="ARbody"/>
        <w:rPr>
          <w:color w:val="000000"/>
        </w:rPr>
      </w:pPr>
      <w:r w:rsidRPr="001413D5">
        <w:rPr>
          <w:color w:val="000000"/>
        </w:rPr>
        <w:t>Following a delay as health services responded to the COVID</w:t>
      </w:r>
      <w:r>
        <w:rPr>
          <w:color w:val="000000"/>
        </w:rPr>
        <w:t>-</w:t>
      </w:r>
      <w:r w:rsidRPr="001413D5">
        <w:rPr>
          <w:color w:val="000000"/>
        </w:rPr>
        <w:t>19 pandemic, the full review</w:t>
      </w:r>
      <w:r>
        <w:rPr>
          <w:color w:val="000000"/>
        </w:rPr>
        <w:t>,</w:t>
      </w:r>
      <w:r w:rsidRPr="001413D5">
        <w:rPr>
          <w:color w:val="000000"/>
        </w:rPr>
        <w:t xml:space="preserve"> together with actions to meet each of its recommendations</w:t>
      </w:r>
      <w:r>
        <w:rPr>
          <w:color w:val="000000"/>
        </w:rPr>
        <w:t>,</w:t>
      </w:r>
      <w:r w:rsidRPr="001413D5">
        <w:rPr>
          <w:color w:val="000000"/>
        </w:rPr>
        <w:t xml:space="preserve"> was provided to health services in July 2021.</w:t>
      </w:r>
    </w:p>
    <w:p w14:paraId="28CAF27F" w14:textId="77777777" w:rsidR="00496244" w:rsidRPr="002029AF" w:rsidRDefault="00496244" w:rsidP="005B655A">
      <w:pPr>
        <w:pStyle w:val="Heading6"/>
        <w:spacing w:before="180" w:after="60"/>
        <w:rPr>
          <w:szCs w:val="20"/>
        </w:rPr>
      </w:pPr>
      <w:bookmarkStart w:id="149" w:name="_Toc85121047"/>
      <w:r w:rsidRPr="002029AF">
        <w:rPr>
          <w:szCs w:val="20"/>
        </w:rPr>
        <w:t>Expanding access to hospitals</w:t>
      </w:r>
      <w:bookmarkEnd w:id="149"/>
    </w:p>
    <w:p w14:paraId="0CC5CA7B" w14:textId="77777777" w:rsidR="00496244" w:rsidRPr="008D4C0B" w:rsidRDefault="00496244" w:rsidP="00317057">
      <w:pPr>
        <w:pStyle w:val="ARbody"/>
      </w:pPr>
      <w:r w:rsidRPr="008D4C0B">
        <w:t xml:space="preserve">The $115 million redevelopment of Wonthaggi Hospital will boost </w:t>
      </w:r>
      <w:r>
        <w:t>its</w:t>
      </w:r>
      <w:r w:rsidRPr="008D4C0B">
        <w:t xml:space="preserve"> capacity to treat an extra 26,000 emergency patients each year, meeting future demand </w:t>
      </w:r>
      <w:r>
        <w:t xml:space="preserve">in </w:t>
      </w:r>
      <w:r w:rsidRPr="008D4C0B">
        <w:t>the growing Bass Coast Shire.</w:t>
      </w:r>
    </w:p>
    <w:p w14:paraId="1AF58A15" w14:textId="77777777" w:rsidR="00496244" w:rsidRPr="008D4C0B" w:rsidRDefault="00496244" w:rsidP="00317057">
      <w:pPr>
        <w:pStyle w:val="ARbody"/>
      </w:pPr>
      <w:r w:rsidRPr="008D4C0B">
        <w:t>Construction continues on the $162.7 million upgrade and expansion of the Northern Hospital, which is expected to be completed in 2021.</w:t>
      </w:r>
    </w:p>
    <w:p w14:paraId="58BF0059" w14:textId="618CB50D" w:rsidR="00496244" w:rsidRPr="008D4C0B" w:rsidRDefault="00496244" w:rsidP="00317057">
      <w:pPr>
        <w:pStyle w:val="ARbody"/>
      </w:pPr>
      <w:r w:rsidRPr="008D4C0B">
        <w:t>The $217 million Latrobe Regional Hospital Expansion – Stage 3A will expand the maternity unit and deliver three new operating theatres, 44</w:t>
      </w:r>
      <w:r w:rsidR="005B655A">
        <w:t> </w:t>
      </w:r>
      <w:r w:rsidRPr="008D4C0B">
        <w:t>new beds and 14 new medical and surgical beds. There will also be six new intensive care unit beds and an extra emergency department bay.</w:t>
      </w:r>
    </w:p>
    <w:p w14:paraId="327D436E" w14:textId="659499C0" w:rsidR="00496244" w:rsidRPr="008D4C0B" w:rsidRDefault="00496244" w:rsidP="00317057">
      <w:pPr>
        <w:pStyle w:val="ARbody"/>
      </w:pPr>
      <w:r w:rsidRPr="008D4C0B">
        <w:t>The new $1.5 billion Footscray Hospital will treat approximately 15,000 additional patients and enable around 20,000 additional people to be seen</w:t>
      </w:r>
      <w:r w:rsidR="005B655A">
        <w:t> </w:t>
      </w:r>
      <w:r w:rsidRPr="008D4C0B">
        <w:t>by the emergency department each year.</w:t>
      </w:r>
    </w:p>
    <w:p w14:paraId="0A90986C" w14:textId="479C7293" w:rsidR="00496244" w:rsidRPr="008D4C0B" w:rsidRDefault="00496244" w:rsidP="00317057">
      <w:pPr>
        <w:pStyle w:val="ARbody"/>
      </w:pPr>
      <w:r w:rsidRPr="008D4C0B">
        <w:t>Construction got underway in early 2021 and the</w:t>
      </w:r>
      <w:r w:rsidR="005B655A">
        <w:t> </w:t>
      </w:r>
      <w:r w:rsidRPr="008D4C0B">
        <w:t>hospital is expected to open in 2025.</w:t>
      </w:r>
    </w:p>
    <w:p w14:paraId="68342952" w14:textId="77777777" w:rsidR="00496244" w:rsidRDefault="00496244" w:rsidP="005B655A">
      <w:pPr>
        <w:pStyle w:val="Heading6"/>
        <w:spacing w:before="180" w:after="60"/>
      </w:pPr>
      <w:bookmarkStart w:id="150" w:name="_Toc85121048"/>
      <w:r w:rsidRPr="008D4C0B">
        <w:t>Community hospitals program</w:t>
      </w:r>
      <w:bookmarkEnd w:id="150"/>
    </w:p>
    <w:p w14:paraId="34221092" w14:textId="5A6E8DF0" w:rsidR="00496244" w:rsidRDefault="00496244" w:rsidP="00317057">
      <w:pPr>
        <w:pStyle w:val="ARbody"/>
        <w:rPr>
          <w:color w:val="000000"/>
        </w:rPr>
      </w:pPr>
      <w:r w:rsidRPr="008D4C0B">
        <w:rPr>
          <w:rFonts w:eastAsia="Times New Roman"/>
        </w:rPr>
        <w:t xml:space="preserve">A </w:t>
      </w:r>
      <w:r w:rsidRPr="007368B1">
        <w:rPr>
          <w:color w:val="000000"/>
        </w:rPr>
        <w:t>$675 million investment to build ten community</w:t>
      </w:r>
      <w:r w:rsidR="005B655A">
        <w:rPr>
          <w:color w:val="000000"/>
        </w:rPr>
        <w:t> </w:t>
      </w:r>
      <w:r w:rsidRPr="007368B1">
        <w:rPr>
          <w:color w:val="000000"/>
        </w:rPr>
        <w:t>hospitals close to major growth areas</w:t>
      </w:r>
      <w:r w:rsidR="005B655A">
        <w:rPr>
          <w:color w:val="000000"/>
        </w:rPr>
        <w:t> </w:t>
      </w:r>
      <w:r w:rsidRPr="007368B1">
        <w:rPr>
          <w:color w:val="000000"/>
        </w:rPr>
        <w:t>is</w:t>
      </w:r>
      <w:r w:rsidR="005B655A">
        <w:rPr>
          <w:color w:val="000000"/>
        </w:rPr>
        <w:t> </w:t>
      </w:r>
      <w:r w:rsidRPr="007368B1">
        <w:rPr>
          <w:color w:val="000000"/>
        </w:rPr>
        <w:t>progressing with design development and</w:t>
      </w:r>
      <w:r w:rsidR="005B655A">
        <w:rPr>
          <w:color w:val="000000"/>
        </w:rPr>
        <w:t> </w:t>
      </w:r>
      <w:r w:rsidRPr="007368B1">
        <w:rPr>
          <w:color w:val="000000"/>
        </w:rPr>
        <w:t>land acquisition underway.</w:t>
      </w:r>
    </w:p>
    <w:p w14:paraId="19E28C74" w14:textId="50106F73" w:rsidR="00496244" w:rsidRDefault="00496244" w:rsidP="00317057">
      <w:pPr>
        <w:pStyle w:val="NormalWeb"/>
        <w:shd w:val="clear" w:color="auto" w:fill="FFFFFF"/>
        <w:spacing w:before="0" w:beforeAutospacing="0" w:after="120" w:afterAutospacing="0" w:line="260" w:lineRule="atLeast"/>
        <w:rPr>
          <w:rFonts w:ascii="Arial" w:eastAsia="Times" w:hAnsi="Arial" w:cs="Arial"/>
          <w:color w:val="000000"/>
          <w:szCs w:val="24"/>
          <w:lang w:eastAsia="en-US"/>
        </w:rPr>
      </w:pPr>
      <w:r w:rsidRPr="007368B1">
        <w:rPr>
          <w:rFonts w:ascii="Arial" w:eastAsia="Times" w:hAnsi="Arial" w:cs="Arial"/>
          <w:color w:val="000000"/>
          <w:szCs w:val="24"/>
          <w:lang w:eastAsia="en-US"/>
        </w:rPr>
        <w:t>Community hospitals are small public hospitals</w:t>
      </w:r>
      <w:r>
        <w:rPr>
          <w:rFonts w:ascii="Arial" w:eastAsia="Times" w:hAnsi="Arial" w:cs="Arial"/>
          <w:color w:val="000000"/>
          <w:szCs w:val="24"/>
          <w:lang w:eastAsia="en-US"/>
        </w:rPr>
        <w:t xml:space="preserve"> which</w:t>
      </w:r>
      <w:r w:rsidRPr="007368B1">
        <w:rPr>
          <w:rFonts w:ascii="Arial" w:eastAsia="Times" w:hAnsi="Arial" w:cs="Arial"/>
          <w:color w:val="000000"/>
          <w:szCs w:val="24"/>
          <w:lang w:eastAsia="en-US"/>
        </w:rPr>
        <w:t xml:space="preserve"> provide a range of </w:t>
      </w:r>
      <w:r w:rsidR="007D145B">
        <w:rPr>
          <w:rFonts w:ascii="Arial" w:eastAsia="Times" w:hAnsi="Arial" w:cs="Arial"/>
          <w:color w:val="000000"/>
          <w:szCs w:val="24"/>
          <w:lang w:eastAsia="en-US"/>
        </w:rPr>
        <w:t>‘</w:t>
      </w:r>
      <w:r w:rsidRPr="007368B1">
        <w:rPr>
          <w:rFonts w:ascii="Arial" w:eastAsia="Times" w:hAnsi="Arial" w:cs="Arial"/>
          <w:color w:val="000000"/>
          <w:szCs w:val="24"/>
          <w:lang w:eastAsia="en-US"/>
        </w:rPr>
        <w:t>everyday</w:t>
      </w:r>
      <w:r w:rsidR="007D145B">
        <w:rPr>
          <w:rFonts w:ascii="Arial" w:eastAsia="Times" w:hAnsi="Arial" w:cs="Arial"/>
          <w:color w:val="000000"/>
          <w:szCs w:val="24"/>
          <w:lang w:eastAsia="en-US"/>
        </w:rPr>
        <w:t>’</w:t>
      </w:r>
      <w:r w:rsidRPr="007368B1">
        <w:rPr>
          <w:rFonts w:ascii="Arial" w:eastAsia="Times" w:hAnsi="Arial" w:cs="Arial"/>
          <w:color w:val="000000"/>
          <w:szCs w:val="24"/>
          <w:lang w:eastAsia="en-US"/>
        </w:rPr>
        <w:t xml:space="preserve"> health services for people who are not critically unwell.</w:t>
      </w:r>
    </w:p>
    <w:p w14:paraId="233308B2" w14:textId="3ECF2FF5" w:rsidR="00496244" w:rsidRPr="00995A23" w:rsidRDefault="00496244" w:rsidP="00317057">
      <w:pPr>
        <w:pStyle w:val="NormalWeb"/>
        <w:shd w:val="clear" w:color="auto" w:fill="FFFFFF"/>
        <w:spacing w:before="0" w:beforeAutospacing="0" w:after="120" w:afterAutospacing="0" w:line="260" w:lineRule="atLeast"/>
        <w:rPr>
          <w:rFonts w:ascii="Arial" w:eastAsia="Times" w:hAnsi="Arial" w:cs="Arial"/>
          <w:color w:val="000000"/>
          <w:szCs w:val="24"/>
          <w:lang w:eastAsia="en-US"/>
        </w:rPr>
      </w:pPr>
      <w:r w:rsidRPr="007368B1">
        <w:rPr>
          <w:rFonts w:ascii="Arial" w:eastAsia="Times" w:hAnsi="Arial" w:cs="Arial"/>
          <w:color w:val="000000"/>
          <w:szCs w:val="24"/>
          <w:lang w:eastAsia="en-US"/>
        </w:rPr>
        <w:t>The program will support new developments in the </w:t>
      </w:r>
      <w:hyperlink r:id="rId37" w:history="1">
        <w:r w:rsidRPr="007368B1">
          <w:rPr>
            <w:rFonts w:ascii="Arial" w:eastAsia="Times" w:hAnsi="Arial" w:cs="Arial"/>
            <w:color w:val="000000"/>
            <w:szCs w:val="24"/>
            <w:lang w:eastAsia="en-US"/>
          </w:rPr>
          <w:t>City of Whittlesea</w:t>
        </w:r>
      </w:hyperlink>
      <w:r w:rsidRPr="007368B1">
        <w:rPr>
          <w:rFonts w:ascii="Arial" w:eastAsia="Times" w:hAnsi="Arial" w:cs="Arial"/>
          <w:color w:val="000000"/>
          <w:szCs w:val="24"/>
          <w:lang w:eastAsia="en-US"/>
        </w:rPr>
        <w:t>, </w:t>
      </w:r>
      <w:r>
        <w:rPr>
          <w:rFonts w:ascii="Arial" w:eastAsia="Times" w:hAnsi="Arial" w:cs="Arial"/>
          <w:color w:val="000000"/>
          <w:szCs w:val="24"/>
          <w:lang w:eastAsia="en-US"/>
        </w:rPr>
        <w:t xml:space="preserve">the </w:t>
      </w:r>
      <w:hyperlink r:id="rId38" w:history="1">
        <w:r w:rsidRPr="007368B1">
          <w:rPr>
            <w:rFonts w:ascii="Arial" w:eastAsia="Times" w:hAnsi="Arial" w:cs="Arial"/>
            <w:color w:val="000000"/>
            <w:szCs w:val="24"/>
            <w:lang w:eastAsia="en-US"/>
          </w:rPr>
          <w:t>Eltham area</w:t>
        </w:r>
      </w:hyperlink>
      <w:r w:rsidRPr="007368B1">
        <w:rPr>
          <w:rFonts w:ascii="Arial" w:eastAsia="Times" w:hAnsi="Arial" w:cs="Arial"/>
          <w:color w:val="000000"/>
          <w:szCs w:val="24"/>
          <w:lang w:eastAsia="en-US"/>
        </w:rPr>
        <w:t>,</w:t>
      </w:r>
      <w:r w:rsidR="005B655A">
        <w:rPr>
          <w:rFonts w:ascii="Arial" w:eastAsia="Times" w:hAnsi="Arial" w:cs="Arial"/>
          <w:color w:val="000000"/>
          <w:szCs w:val="24"/>
          <w:lang w:eastAsia="en-US"/>
        </w:rPr>
        <w:t xml:space="preserve"> </w:t>
      </w:r>
      <w:hyperlink r:id="rId39" w:history="1">
        <w:r w:rsidRPr="007368B1">
          <w:rPr>
            <w:rFonts w:ascii="Arial" w:eastAsia="Times" w:hAnsi="Arial" w:cs="Arial"/>
            <w:color w:val="000000"/>
            <w:szCs w:val="24"/>
            <w:lang w:eastAsia="en-US"/>
          </w:rPr>
          <w:t>Point Cook</w:t>
        </w:r>
      </w:hyperlink>
      <w:r w:rsidRPr="007368B1">
        <w:rPr>
          <w:rFonts w:ascii="Arial" w:eastAsia="Times" w:hAnsi="Arial" w:cs="Arial"/>
          <w:color w:val="000000"/>
          <w:szCs w:val="24"/>
          <w:lang w:eastAsia="en-US"/>
        </w:rPr>
        <w:t> and </w:t>
      </w:r>
      <w:hyperlink r:id="rId40" w:history="1">
        <w:r w:rsidRPr="007368B1">
          <w:rPr>
            <w:rFonts w:ascii="Arial" w:eastAsia="Times" w:hAnsi="Arial" w:cs="Arial"/>
            <w:color w:val="000000"/>
            <w:szCs w:val="24"/>
            <w:lang w:eastAsia="en-US"/>
          </w:rPr>
          <w:t>the</w:t>
        </w:r>
      </w:hyperlink>
      <w:r w:rsidRPr="007368B1">
        <w:rPr>
          <w:rFonts w:ascii="Arial" w:eastAsia="Times" w:hAnsi="Arial" w:cs="Arial"/>
          <w:color w:val="000000"/>
          <w:szCs w:val="24"/>
          <w:lang w:eastAsia="en-US"/>
        </w:rPr>
        <w:t xml:space="preserve"> </w:t>
      </w:r>
      <w:r>
        <w:rPr>
          <w:rFonts w:ascii="Arial" w:eastAsia="Times" w:hAnsi="Arial" w:cs="Arial"/>
          <w:color w:val="000000"/>
          <w:szCs w:val="24"/>
          <w:lang w:eastAsia="en-US"/>
        </w:rPr>
        <w:t xml:space="preserve">southern </w:t>
      </w:r>
      <w:r w:rsidRPr="007368B1">
        <w:rPr>
          <w:rFonts w:ascii="Arial" w:eastAsia="Times" w:hAnsi="Arial" w:cs="Arial"/>
          <w:color w:val="000000"/>
          <w:szCs w:val="24"/>
          <w:lang w:eastAsia="en-US"/>
        </w:rPr>
        <w:t>Melbourne region. It will</w:t>
      </w:r>
      <w:r w:rsidR="005B655A">
        <w:rPr>
          <w:rFonts w:ascii="Arial" w:eastAsia="Times" w:hAnsi="Arial" w:cs="Arial"/>
          <w:color w:val="000000"/>
          <w:szCs w:val="24"/>
          <w:lang w:eastAsia="en-US"/>
        </w:rPr>
        <w:t> </w:t>
      </w:r>
      <w:r w:rsidRPr="007368B1">
        <w:rPr>
          <w:rFonts w:ascii="Arial" w:eastAsia="Times" w:hAnsi="Arial" w:cs="Arial"/>
          <w:color w:val="000000"/>
          <w:szCs w:val="24"/>
          <w:lang w:eastAsia="en-US"/>
        </w:rPr>
        <w:t>relocate and expand existing health services on</w:t>
      </w:r>
      <w:r w:rsidR="005B655A">
        <w:rPr>
          <w:rFonts w:ascii="Arial" w:eastAsia="Times" w:hAnsi="Arial" w:cs="Arial"/>
          <w:color w:val="000000"/>
          <w:szCs w:val="24"/>
          <w:lang w:eastAsia="en-US"/>
        </w:rPr>
        <w:t> </w:t>
      </w:r>
      <w:r w:rsidRPr="007368B1">
        <w:rPr>
          <w:rFonts w:ascii="Arial" w:eastAsia="Times" w:hAnsi="Arial" w:cs="Arial"/>
          <w:color w:val="000000"/>
          <w:szCs w:val="24"/>
          <w:lang w:eastAsia="en-US"/>
        </w:rPr>
        <w:t>new site</w:t>
      </w:r>
      <w:r>
        <w:rPr>
          <w:rFonts w:ascii="Arial" w:eastAsia="Times" w:hAnsi="Arial" w:cs="Arial"/>
          <w:color w:val="000000"/>
          <w:szCs w:val="24"/>
          <w:lang w:eastAsia="en-US"/>
        </w:rPr>
        <w:t xml:space="preserve">s in </w:t>
      </w:r>
      <w:hyperlink r:id="rId41" w:history="1">
        <w:r w:rsidRPr="007368B1">
          <w:rPr>
            <w:rFonts w:ascii="Arial" w:eastAsia="Times" w:hAnsi="Arial" w:cs="Arial"/>
            <w:color w:val="000000"/>
            <w:szCs w:val="24"/>
            <w:lang w:eastAsia="en-US"/>
          </w:rPr>
          <w:t>Cranbourne</w:t>
        </w:r>
      </w:hyperlink>
      <w:r w:rsidRPr="007368B1">
        <w:rPr>
          <w:rFonts w:ascii="Arial" w:eastAsia="Times" w:hAnsi="Arial" w:cs="Arial"/>
          <w:color w:val="000000"/>
          <w:szCs w:val="24"/>
          <w:lang w:eastAsia="en-US"/>
        </w:rPr>
        <w:t>,</w:t>
      </w:r>
      <w:r>
        <w:rPr>
          <w:rFonts w:ascii="Arial" w:eastAsia="Times" w:hAnsi="Arial" w:cs="Arial"/>
          <w:color w:val="000000"/>
          <w:szCs w:val="24"/>
          <w:lang w:eastAsia="en-US"/>
        </w:rPr>
        <w:t xml:space="preserve"> </w:t>
      </w:r>
      <w:hyperlink r:id="rId42" w:history="1">
        <w:r w:rsidRPr="007368B1">
          <w:rPr>
            <w:rFonts w:ascii="Arial" w:eastAsia="Times" w:hAnsi="Arial" w:cs="Arial"/>
            <w:color w:val="000000"/>
            <w:szCs w:val="24"/>
            <w:lang w:eastAsia="en-US"/>
          </w:rPr>
          <w:t>Pakenham</w:t>
        </w:r>
      </w:hyperlink>
      <w:r>
        <w:rPr>
          <w:rFonts w:ascii="Arial" w:eastAsia="Times" w:hAnsi="Arial" w:cs="Arial"/>
          <w:color w:val="000000"/>
          <w:szCs w:val="24"/>
          <w:lang w:eastAsia="en-US"/>
        </w:rPr>
        <w:t xml:space="preserve"> </w:t>
      </w:r>
      <w:r w:rsidRPr="007368B1">
        <w:rPr>
          <w:rFonts w:ascii="Arial" w:eastAsia="Times" w:hAnsi="Arial" w:cs="Arial"/>
          <w:color w:val="000000"/>
          <w:szCs w:val="24"/>
          <w:lang w:eastAsia="en-US"/>
        </w:rPr>
        <w:t>and</w:t>
      </w:r>
      <w:r>
        <w:rPr>
          <w:rFonts w:ascii="Arial" w:eastAsia="Times" w:hAnsi="Arial" w:cs="Arial"/>
          <w:color w:val="000000"/>
          <w:szCs w:val="24"/>
          <w:lang w:eastAsia="en-US"/>
        </w:rPr>
        <w:t xml:space="preserve"> </w:t>
      </w:r>
      <w:hyperlink r:id="rId43" w:history="1">
        <w:r w:rsidRPr="007368B1">
          <w:rPr>
            <w:rFonts w:ascii="Arial" w:eastAsia="Times" w:hAnsi="Arial" w:cs="Arial"/>
            <w:color w:val="000000"/>
            <w:szCs w:val="24"/>
            <w:lang w:eastAsia="en-US"/>
          </w:rPr>
          <w:t>Torquay</w:t>
        </w:r>
      </w:hyperlink>
      <w:r>
        <w:rPr>
          <w:rFonts w:ascii="Arial" w:eastAsia="Times" w:hAnsi="Arial" w:cs="Arial"/>
          <w:color w:val="000000"/>
          <w:szCs w:val="24"/>
          <w:lang w:eastAsia="en-US"/>
        </w:rPr>
        <w:t>,</w:t>
      </w:r>
      <w:r w:rsidR="005B655A">
        <w:rPr>
          <w:rFonts w:ascii="Arial" w:eastAsia="Times" w:hAnsi="Arial" w:cs="Arial"/>
          <w:color w:val="000000"/>
          <w:szCs w:val="24"/>
          <w:lang w:eastAsia="en-US"/>
        </w:rPr>
        <w:t> </w:t>
      </w:r>
      <w:r w:rsidRPr="007368B1">
        <w:rPr>
          <w:rFonts w:ascii="Arial" w:eastAsia="Times" w:hAnsi="Arial" w:cs="Arial"/>
          <w:color w:val="000000"/>
          <w:szCs w:val="24"/>
          <w:lang w:eastAsia="en-US"/>
        </w:rPr>
        <w:t>and upgrade or expand existing health services at</w:t>
      </w:r>
      <w:r>
        <w:rPr>
          <w:rFonts w:ascii="Arial" w:eastAsia="Times" w:hAnsi="Arial" w:cs="Arial"/>
          <w:color w:val="000000"/>
          <w:szCs w:val="24"/>
          <w:lang w:eastAsia="en-US"/>
        </w:rPr>
        <w:t xml:space="preserve"> </w:t>
      </w:r>
      <w:hyperlink r:id="rId44" w:history="1">
        <w:r w:rsidRPr="007368B1">
          <w:rPr>
            <w:rFonts w:ascii="Arial" w:eastAsia="Times" w:hAnsi="Arial" w:cs="Arial"/>
            <w:color w:val="000000"/>
            <w:szCs w:val="24"/>
            <w:lang w:eastAsia="en-US"/>
          </w:rPr>
          <w:t>Craigieburn</w:t>
        </w:r>
      </w:hyperlink>
      <w:r w:rsidRPr="007368B1">
        <w:rPr>
          <w:rFonts w:ascii="Arial" w:eastAsia="Times" w:hAnsi="Arial" w:cs="Arial"/>
          <w:color w:val="000000"/>
          <w:szCs w:val="24"/>
          <w:lang w:eastAsia="en-US"/>
        </w:rPr>
        <w:t>,</w:t>
      </w:r>
      <w:r>
        <w:rPr>
          <w:rFonts w:ascii="Arial" w:eastAsia="Times" w:hAnsi="Arial" w:cs="Arial"/>
          <w:color w:val="000000"/>
          <w:szCs w:val="24"/>
          <w:lang w:eastAsia="en-US"/>
        </w:rPr>
        <w:t xml:space="preserve"> </w:t>
      </w:r>
      <w:hyperlink r:id="rId45" w:history="1">
        <w:r w:rsidRPr="007368B1">
          <w:rPr>
            <w:rFonts w:ascii="Arial" w:eastAsia="Times" w:hAnsi="Arial" w:cs="Arial"/>
            <w:color w:val="000000"/>
            <w:szCs w:val="24"/>
            <w:lang w:eastAsia="en-US"/>
          </w:rPr>
          <w:t>Phillip Island</w:t>
        </w:r>
      </w:hyperlink>
      <w:r w:rsidRPr="007368B1">
        <w:rPr>
          <w:rFonts w:ascii="Arial" w:eastAsia="Times" w:hAnsi="Arial" w:cs="Arial"/>
          <w:color w:val="000000"/>
          <w:szCs w:val="24"/>
          <w:lang w:eastAsia="en-US"/>
        </w:rPr>
        <w:t xml:space="preserve"> and</w:t>
      </w:r>
      <w:r>
        <w:rPr>
          <w:rFonts w:ascii="Arial" w:eastAsia="Times" w:hAnsi="Arial" w:cs="Arial"/>
          <w:color w:val="000000"/>
          <w:szCs w:val="24"/>
          <w:lang w:eastAsia="en-US"/>
        </w:rPr>
        <w:t xml:space="preserve"> </w:t>
      </w:r>
      <w:hyperlink r:id="rId46" w:history="1">
        <w:r w:rsidRPr="007368B1">
          <w:rPr>
            <w:rFonts w:ascii="Arial" w:eastAsia="Times" w:hAnsi="Arial" w:cs="Arial"/>
            <w:color w:val="000000"/>
            <w:szCs w:val="24"/>
            <w:lang w:eastAsia="en-US"/>
          </w:rPr>
          <w:t>Sunbury</w:t>
        </w:r>
      </w:hyperlink>
      <w:r>
        <w:rPr>
          <w:rFonts w:ascii="Arial" w:eastAsia="Times" w:hAnsi="Arial" w:cs="Arial"/>
          <w:color w:val="000000"/>
          <w:szCs w:val="24"/>
          <w:lang w:eastAsia="en-US"/>
        </w:rPr>
        <w:t xml:space="preserve">. </w:t>
      </w:r>
      <w:r w:rsidRPr="00995A23">
        <w:rPr>
          <w:rFonts w:ascii="Arial" w:eastAsia="Times" w:hAnsi="Arial" w:cs="Arial"/>
          <w:color w:val="000000"/>
          <w:szCs w:val="24"/>
          <w:lang w:eastAsia="en-US"/>
        </w:rPr>
        <w:t>Construction is expected to begin in 2022.</w:t>
      </w:r>
    </w:p>
    <w:p w14:paraId="77E1643C" w14:textId="77777777" w:rsidR="00496244" w:rsidRPr="002029AF" w:rsidRDefault="00496244" w:rsidP="00317057">
      <w:pPr>
        <w:pStyle w:val="Heading6"/>
      </w:pPr>
      <w:bookmarkStart w:id="151" w:name="_Toc85121049"/>
      <w:r w:rsidRPr="002029AF">
        <w:t>Increased ambulance services</w:t>
      </w:r>
      <w:bookmarkEnd w:id="151"/>
    </w:p>
    <w:p w14:paraId="1CCF4E41" w14:textId="27139E46" w:rsidR="00496244" w:rsidRDefault="00496244" w:rsidP="00603E4B">
      <w:pPr>
        <w:pStyle w:val="ARbody"/>
      </w:pPr>
      <w:r w:rsidRPr="007368B1">
        <w:t>Watsonia ambulance station was officially opened</w:t>
      </w:r>
      <w:r w:rsidR="005B655A">
        <w:t> </w:t>
      </w:r>
      <w:r w:rsidRPr="007368B1">
        <w:t>in March 2021</w:t>
      </w:r>
      <w:r>
        <w:t>,</w:t>
      </w:r>
      <w:r w:rsidRPr="007368B1">
        <w:t xml:space="preserve"> and paramedics in Kew now have the safe and modern facilities they need to respond to emergencies faster and save lives, with a new station now operating on Normanby </w:t>
      </w:r>
      <w:r>
        <w:t>R</w:t>
      </w:r>
      <w:r w:rsidRPr="007368B1">
        <w:t>oad.</w:t>
      </w:r>
      <w:r>
        <w:t xml:space="preserve"> </w:t>
      </w:r>
      <w:r w:rsidRPr="007368B1">
        <w:t>Construction on new ambulance stations in</w:t>
      </w:r>
      <w:r w:rsidR="005B655A">
        <w:t> </w:t>
      </w:r>
      <w:r w:rsidRPr="007368B1">
        <w:t>Lilydale, Moe, Mornington and Warragul is expected to get underway later this year.</w:t>
      </w:r>
    </w:p>
    <w:p w14:paraId="57F9E236" w14:textId="1D2320A6" w:rsidR="00496244" w:rsidRDefault="00496244" w:rsidP="00317057">
      <w:pPr>
        <w:pStyle w:val="ARbody"/>
      </w:pPr>
      <w:r w:rsidRPr="00B80AD5">
        <w:t>To support the COVID-19 response</w:t>
      </w:r>
      <w:r>
        <w:t xml:space="preserve"> and </w:t>
      </w:r>
      <w:r w:rsidRPr="00B80AD5">
        <w:t xml:space="preserve">meet growing demand for ambulance services, an additional $14.8 million was provided in the </w:t>
      </w:r>
      <w:r w:rsidR="00FA7261">
        <w:br/>
      </w:r>
      <w:r w:rsidRPr="00B80AD5">
        <w:t>202</w:t>
      </w:r>
      <w:r>
        <w:t>0</w:t>
      </w:r>
      <w:r w:rsidR="00FA7261">
        <w:t>–</w:t>
      </w:r>
      <w:r w:rsidRPr="00B80AD5">
        <w:t xml:space="preserve">21 </w:t>
      </w:r>
      <w:r>
        <w:t>State B</w:t>
      </w:r>
      <w:r w:rsidRPr="00B80AD5">
        <w:t>udget.</w:t>
      </w:r>
    </w:p>
    <w:p w14:paraId="28682037" w14:textId="77777777" w:rsidR="00496244" w:rsidRDefault="00496244" w:rsidP="00317057">
      <w:pPr>
        <w:pStyle w:val="ARbody"/>
      </w:pPr>
      <w:r w:rsidRPr="00B80AD5">
        <w:t>This additional funding has helped manage demand from Triple Zero calls</w:t>
      </w:r>
      <w:r>
        <w:t>.</w:t>
      </w:r>
      <w:r w:rsidRPr="00B80AD5">
        <w:t xml:space="preserve"> </w:t>
      </w:r>
      <w:r>
        <w:t>M</w:t>
      </w:r>
      <w:r w:rsidRPr="00B80AD5">
        <w:t xml:space="preserve">ore paramedics, more ambulances and more triage services help </w:t>
      </w:r>
      <w:r>
        <w:t xml:space="preserve">ensure that </w:t>
      </w:r>
      <w:r w:rsidRPr="00B80AD5">
        <w:t xml:space="preserve">the right treatment </w:t>
      </w:r>
      <w:r>
        <w:t xml:space="preserve">is provided </w:t>
      </w:r>
      <w:r w:rsidRPr="00B80AD5">
        <w:t xml:space="preserve">and ambulances </w:t>
      </w:r>
      <w:r>
        <w:t xml:space="preserve">are </w:t>
      </w:r>
      <w:r w:rsidRPr="00B80AD5">
        <w:t>available to quickly respond to emergency situations</w:t>
      </w:r>
      <w:r>
        <w:t xml:space="preserve">, </w:t>
      </w:r>
      <w:r w:rsidRPr="00B80AD5">
        <w:t>particularly across outer metropolitan and rural regions.</w:t>
      </w:r>
    </w:p>
    <w:p w14:paraId="3DA8955A" w14:textId="70D1880D" w:rsidR="00496244" w:rsidRPr="00B80AD5" w:rsidRDefault="00496244" w:rsidP="00317057">
      <w:pPr>
        <w:pStyle w:val="ARbody"/>
      </w:pPr>
      <w:r w:rsidRPr="00B80AD5">
        <w:t xml:space="preserve">Investment in </w:t>
      </w:r>
      <w:r>
        <w:t>s</w:t>
      </w:r>
      <w:r w:rsidRPr="00B80AD5">
        <w:t xml:space="preserve">econdary </w:t>
      </w:r>
      <w:r>
        <w:t>t</w:t>
      </w:r>
      <w:r w:rsidRPr="00B80AD5">
        <w:t>riage is helping to reduce</w:t>
      </w:r>
      <w:r w:rsidR="005B655A">
        <w:t> </w:t>
      </w:r>
      <w:r w:rsidRPr="00B80AD5">
        <w:t>demand for ambulances and emergency departments by providing the right care pathway to patients who do not need an emergency response.</w:t>
      </w:r>
    </w:p>
    <w:p w14:paraId="07768074" w14:textId="77777777" w:rsidR="00496244" w:rsidRPr="002029AF" w:rsidRDefault="00496244" w:rsidP="00603E4B">
      <w:pPr>
        <w:pStyle w:val="Heading6"/>
      </w:pPr>
      <w:bookmarkStart w:id="152" w:name="_Toc85121050"/>
      <w:r w:rsidRPr="002029AF">
        <w:t>Telehealth</w:t>
      </w:r>
      <w:bookmarkEnd w:id="152"/>
    </w:p>
    <w:p w14:paraId="682AA50D" w14:textId="77777777" w:rsidR="00496244" w:rsidRPr="002029AF" w:rsidRDefault="00496244" w:rsidP="00603E4B">
      <w:pPr>
        <w:pStyle w:val="ARbody"/>
      </w:pPr>
      <w:r w:rsidRPr="002029AF">
        <w:t xml:space="preserve">In response to the </w:t>
      </w:r>
      <w:r>
        <w:t>COVID-19</w:t>
      </w:r>
      <w:r w:rsidRPr="002029AF">
        <w:t xml:space="preserve"> pandemic Victorian public health services have rapidly expanded their telehealth capacity to reduce transmission risks and support ongoing access to clinical services usually provided face-to-face.</w:t>
      </w:r>
    </w:p>
    <w:p w14:paraId="470AC56E" w14:textId="77777777" w:rsidR="00496244" w:rsidRPr="002029AF" w:rsidRDefault="00496244" w:rsidP="00603E4B">
      <w:pPr>
        <w:pStyle w:val="ARbody"/>
      </w:pPr>
      <w:r w:rsidRPr="002029AF">
        <w:t xml:space="preserve">New guidance released by Safer Care Victoria will </w:t>
      </w:r>
      <w:r>
        <w:t xml:space="preserve">also </w:t>
      </w:r>
      <w:r w:rsidRPr="002029AF">
        <w:t>help allied health professionals</w:t>
      </w:r>
      <w:r>
        <w:t xml:space="preserve"> </w:t>
      </w:r>
      <w:r w:rsidRPr="002029AF">
        <w:t>use telehealth, now and into the future. In particular, it will help them understand how best to leverage this technology.</w:t>
      </w:r>
    </w:p>
    <w:p w14:paraId="0344E169" w14:textId="69BF7F11" w:rsidR="00496244" w:rsidRPr="002029AF" w:rsidRDefault="00496244" w:rsidP="00603E4B">
      <w:pPr>
        <w:pStyle w:val="ARbody"/>
      </w:pPr>
      <w:r w:rsidRPr="002029AF">
        <w:t>In addition, a Public Health Emergency Order was</w:t>
      </w:r>
      <w:r w:rsidR="005B655A">
        <w:t> </w:t>
      </w:r>
      <w:r>
        <w:t>re-</w:t>
      </w:r>
      <w:r w:rsidRPr="002029AF">
        <w:t>issued to enable transmission of a digital image of a paper prescription</w:t>
      </w:r>
      <w:r>
        <w:t>,</w:t>
      </w:r>
      <w:r w:rsidRPr="002029AF">
        <w:t xml:space="preserve"> ensuring patients in</w:t>
      </w:r>
      <w:r w:rsidR="005B655A">
        <w:t> </w:t>
      </w:r>
      <w:r w:rsidRPr="002029AF">
        <w:t>isolation could continue to obtain essential medicines</w:t>
      </w:r>
      <w:r>
        <w:t>.</w:t>
      </w:r>
    </w:p>
    <w:p w14:paraId="04882176" w14:textId="77777777" w:rsidR="00496244" w:rsidRDefault="00496244" w:rsidP="00603E4B">
      <w:pPr>
        <w:pStyle w:val="ARbody"/>
      </w:pPr>
      <w:r w:rsidRPr="002029AF">
        <w:t>Implementation of electronic prescribing was fast tracked</w:t>
      </w:r>
      <w:r>
        <w:t xml:space="preserve"> for use by prescribers and pharmacists in primary care</w:t>
      </w:r>
      <w:r w:rsidRPr="002029AF">
        <w:t>.</w:t>
      </w:r>
    </w:p>
    <w:p w14:paraId="757854B4" w14:textId="5651C53F" w:rsidR="00496244" w:rsidRPr="002029AF" w:rsidRDefault="00496244" w:rsidP="00603E4B">
      <w:pPr>
        <w:pStyle w:val="ARbody"/>
      </w:pPr>
      <w:r w:rsidRPr="002029AF">
        <w:t xml:space="preserve">In planning for the recovery phase post </w:t>
      </w:r>
      <w:r>
        <w:t>COVID-19</w:t>
      </w:r>
      <w:r w:rsidRPr="002029AF">
        <w:t xml:space="preserve">, there is an opportunity to embed telehealth as </w:t>
      </w:r>
      <w:r w:rsidR="007D145B">
        <w:t>‘</w:t>
      </w:r>
      <w:r w:rsidRPr="002029AF">
        <w:t>business as usual</w:t>
      </w:r>
      <w:r w:rsidR="007D145B">
        <w:t>’</w:t>
      </w:r>
      <w:r w:rsidRPr="002029AF">
        <w:t xml:space="preserve"> in public health services, particularly in the delivery of allied health</w:t>
      </w:r>
      <w:r>
        <w:t> </w:t>
      </w:r>
      <w:r w:rsidRPr="002029AF">
        <w:t>care.</w:t>
      </w:r>
    </w:p>
    <w:p w14:paraId="24566E00" w14:textId="77777777" w:rsidR="00496244" w:rsidRPr="002029AF" w:rsidRDefault="00496244" w:rsidP="00603E4B">
      <w:pPr>
        <w:pStyle w:val="Heading6"/>
        <w:rPr>
          <w:szCs w:val="20"/>
        </w:rPr>
      </w:pPr>
      <w:bookmarkStart w:id="153" w:name="_Toc85121051"/>
      <w:r w:rsidRPr="002029AF">
        <w:rPr>
          <w:szCs w:val="20"/>
        </w:rPr>
        <w:lastRenderedPageBreak/>
        <w:t>More choice for end-of-life care</w:t>
      </w:r>
      <w:bookmarkEnd w:id="153"/>
    </w:p>
    <w:p w14:paraId="22C6C0DB" w14:textId="63EA5D53" w:rsidR="00496244" w:rsidRDefault="00496244" w:rsidP="00317057">
      <w:pPr>
        <w:pStyle w:val="ARbody"/>
        <w:rPr>
          <w:szCs w:val="20"/>
        </w:rPr>
      </w:pPr>
      <w:r w:rsidRPr="00B80AD5">
        <w:rPr>
          <w:szCs w:val="20"/>
        </w:rPr>
        <w:t>Victoria</w:t>
      </w:r>
      <w:r w:rsidR="007D145B">
        <w:rPr>
          <w:szCs w:val="20"/>
        </w:rPr>
        <w:t>’</w:t>
      </w:r>
      <w:r w:rsidRPr="00B80AD5">
        <w:rPr>
          <w:szCs w:val="20"/>
        </w:rPr>
        <w:t xml:space="preserve">s </w:t>
      </w:r>
      <w:bookmarkStart w:id="154" w:name="_Hlk85204487"/>
      <w:r w:rsidRPr="00647122">
        <w:rPr>
          <w:i/>
          <w:iCs/>
          <w:szCs w:val="20"/>
        </w:rPr>
        <w:t>Voluntary Assisted Dying Act 2017</w:t>
      </w:r>
      <w:r w:rsidRPr="00B80AD5">
        <w:rPr>
          <w:szCs w:val="20"/>
        </w:rPr>
        <w:t xml:space="preserve"> </w:t>
      </w:r>
      <w:bookmarkEnd w:id="154"/>
      <w:r w:rsidRPr="00B80AD5">
        <w:rPr>
          <w:szCs w:val="20"/>
        </w:rPr>
        <w:t>is continuing to operate safely, providing a genuine, compassionate end of life choice for a small number of people with a terminal illness that meet</w:t>
      </w:r>
      <w:r w:rsidR="005B655A">
        <w:rPr>
          <w:szCs w:val="20"/>
        </w:rPr>
        <w:t> </w:t>
      </w:r>
      <w:r w:rsidRPr="00B80AD5">
        <w:rPr>
          <w:szCs w:val="20"/>
        </w:rPr>
        <w:t>the strict eligibility criteria.</w:t>
      </w:r>
    </w:p>
    <w:p w14:paraId="3DE156A5" w14:textId="55734B69" w:rsidR="00496244" w:rsidRPr="00B80AD5" w:rsidRDefault="00496244" w:rsidP="00317057">
      <w:pPr>
        <w:pStyle w:val="ARbody"/>
        <w:rPr>
          <w:szCs w:val="20"/>
        </w:rPr>
      </w:pPr>
      <w:r w:rsidRPr="00B80AD5">
        <w:t xml:space="preserve">From the commencement of </w:t>
      </w:r>
      <w:r>
        <w:t xml:space="preserve">the </w:t>
      </w:r>
      <w:r w:rsidRPr="00B80AD5">
        <w:t xml:space="preserve">legislation in Victoria on 19 June 2019, and up to 30 June 2021, 488 Victorians </w:t>
      </w:r>
      <w:r>
        <w:t xml:space="preserve">had </w:t>
      </w:r>
      <w:r w:rsidRPr="00B80AD5">
        <w:t>accessed voluntary assisted dying to end their life. As at July 2021, more than</w:t>
      </w:r>
      <w:r w:rsidR="005B655A">
        <w:t> </w:t>
      </w:r>
      <w:r w:rsidRPr="00B80AD5">
        <w:t>520 doctors had either completed or were undertaking the mandatory training, and those</w:t>
      </w:r>
      <w:r w:rsidR="005B655A">
        <w:t> </w:t>
      </w:r>
      <w:r w:rsidRPr="00B80AD5">
        <w:t>numbers continue to rise</w:t>
      </w:r>
      <w:r>
        <w:t xml:space="preserve">. </w:t>
      </w:r>
      <w:r w:rsidRPr="00B80AD5">
        <w:rPr>
          <w:szCs w:val="20"/>
        </w:rPr>
        <w:t>In 202</w:t>
      </w:r>
      <w:r>
        <w:rPr>
          <w:szCs w:val="20"/>
        </w:rPr>
        <w:t>0–</w:t>
      </w:r>
      <w:r w:rsidRPr="00B80AD5">
        <w:rPr>
          <w:szCs w:val="20"/>
        </w:rPr>
        <w:t>21, statewide voluntary assisted dying services</w:t>
      </w:r>
      <w:r>
        <w:rPr>
          <w:szCs w:val="20"/>
        </w:rPr>
        <w:t xml:space="preserve"> were</w:t>
      </w:r>
      <w:r w:rsidR="005B655A">
        <w:rPr>
          <w:szCs w:val="20"/>
        </w:rPr>
        <w:t> </w:t>
      </w:r>
      <w:r>
        <w:rPr>
          <w:szCs w:val="20"/>
        </w:rPr>
        <w:t xml:space="preserve">strengthened by </w:t>
      </w:r>
      <w:r w:rsidRPr="00B80AD5">
        <w:rPr>
          <w:szCs w:val="20"/>
        </w:rPr>
        <w:t>an additional $1.75 million</w:t>
      </w:r>
      <w:r>
        <w:rPr>
          <w:szCs w:val="20"/>
        </w:rPr>
        <w:t>, which will be used, among other things, for</w:t>
      </w:r>
      <w:r w:rsidRPr="004E098B">
        <w:rPr>
          <w:szCs w:val="20"/>
        </w:rPr>
        <w:t>:</w:t>
      </w:r>
    </w:p>
    <w:p w14:paraId="08C5BD8E" w14:textId="77777777" w:rsidR="00496244" w:rsidRPr="00B80AD5" w:rsidRDefault="00496244" w:rsidP="00317057">
      <w:pPr>
        <w:pStyle w:val="ARbullet1"/>
        <w:rPr>
          <w:rFonts w:asciiTheme="minorHAnsi" w:eastAsiaTheme="minorEastAsia" w:hAnsiTheme="minorHAnsi" w:cstheme="minorBidi"/>
        </w:rPr>
      </w:pPr>
      <w:r>
        <w:t>additional resourcing to the Voluntary Assisted Dying Pharmacy Service to enable the service to respond to increasing demand.</w:t>
      </w:r>
    </w:p>
    <w:p w14:paraId="25059A3F" w14:textId="77777777" w:rsidR="00496244" w:rsidRPr="00B80AD5" w:rsidRDefault="00496244" w:rsidP="00317057">
      <w:pPr>
        <w:pStyle w:val="ARbullet1"/>
      </w:pPr>
      <w:r>
        <w:t>expansion of the voluntary assisted dying care navigator service in regional areas to support access to information resources and clinician assessments.</w:t>
      </w:r>
    </w:p>
    <w:p w14:paraId="62FB3C6D" w14:textId="77777777" w:rsidR="00496244" w:rsidRPr="00B80AD5" w:rsidRDefault="00496244" w:rsidP="00317057">
      <w:pPr>
        <w:pStyle w:val="ARbullet1"/>
        <w:rPr>
          <w:rFonts w:eastAsiaTheme="minorEastAsia"/>
        </w:rPr>
      </w:pPr>
      <w:r>
        <w:t>an increase in funding for support packages to those seeking access and their carers, reducing any financial barriers and improving access for regional and rural Victorians.</w:t>
      </w:r>
    </w:p>
    <w:p w14:paraId="5B49FDC2" w14:textId="5ED3CAFE" w:rsidR="00496244" w:rsidRPr="00B50F70" w:rsidRDefault="00496244" w:rsidP="00317057">
      <w:pPr>
        <w:pStyle w:val="ARbodyafterbullets"/>
      </w:pPr>
      <w:r w:rsidRPr="00D50147">
        <w:t>Palliative</w:t>
      </w:r>
      <w:r w:rsidRPr="00B80AD5">
        <w:t xml:space="preserve"> care services continue to support people to maintain good quality of life for as long as possible while they continue to access curative care. As </w:t>
      </w:r>
      <w:r>
        <w:t xml:space="preserve">the health of </w:t>
      </w:r>
      <w:r w:rsidRPr="00B80AD5">
        <w:t xml:space="preserve">people with a terminal illness or nearing the end of their </w:t>
      </w:r>
      <w:r>
        <w:t>life</w:t>
      </w:r>
      <w:r w:rsidRPr="00B80AD5">
        <w:t xml:space="preserve"> deteriorates</w:t>
      </w:r>
      <w:r>
        <w:t xml:space="preserve">, </w:t>
      </w:r>
      <w:r w:rsidRPr="00B80AD5">
        <w:t>hospital, specialist consultancy and home-based palliative care services provide a broad range of interventions, including specialist symptom management to support people to be productive and enjoy their interactions with family, friends and</w:t>
      </w:r>
      <w:r w:rsidR="005B655A">
        <w:t> </w:t>
      </w:r>
      <w:r w:rsidRPr="00B80AD5">
        <w:t>loved ones for as long as possible</w:t>
      </w:r>
      <w:r>
        <w:t>.</w:t>
      </w:r>
    </w:p>
    <w:p w14:paraId="4098E55A" w14:textId="12B4BAD4" w:rsidR="00496244" w:rsidRPr="002029AF" w:rsidRDefault="00496244" w:rsidP="00603E4B">
      <w:pPr>
        <w:pStyle w:val="Heading5"/>
        <w:rPr>
          <w:rFonts w:eastAsia="Calibri"/>
        </w:rPr>
      </w:pPr>
      <w:bookmarkStart w:id="155" w:name="_Toc85121052"/>
      <w:r w:rsidRPr="002029AF">
        <w:rPr>
          <w:rFonts w:eastAsia="Calibri"/>
        </w:rPr>
        <w:t>Key result: Reduce unexplained variation in</w:t>
      </w:r>
      <w:r w:rsidR="005B655A">
        <w:rPr>
          <w:rFonts w:eastAsia="Calibri"/>
        </w:rPr>
        <w:t> </w:t>
      </w:r>
      <w:r w:rsidRPr="002029AF">
        <w:rPr>
          <w:rFonts w:eastAsia="Calibri"/>
        </w:rPr>
        <w:t>the care people receive – especially for disadvantaged groups</w:t>
      </w:r>
      <w:bookmarkEnd w:id="155"/>
    </w:p>
    <w:p w14:paraId="44A37A6C" w14:textId="77777777" w:rsidR="00496244" w:rsidRDefault="00496244" w:rsidP="00317057">
      <w:pPr>
        <w:pStyle w:val="Heading6"/>
      </w:pPr>
      <w:bookmarkStart w:id="156" w:name="_Toc85121053"/>
      <w:r>
        <w:t>The Victorian Cancer Plan 2020–2024</w:t>
      </w:r>
      <w:bookmarkEnd w:id="156"/>
    </w:p>
    <w:p w14:paraId="4E9C5B13" w14:textId="77777777" w:rsidR="00496244" w:rsidRDefault="00496244" w:rsidP="00317057">
      <w:pPr>
        <w:pStyle w:val="ARbody"/>
      </w:pPr>
      <w:r w:rsidRPr="00096C7F">
        <w:t xml:space="preserve">The </w:t>
      </w:r>
      <w:r w:rsidRPr="00096C7F">
        <w:rPr>
          <w:i/>
          <w:iCs/>
        </w:rPr>
        <w:t>Victorian Cancer Plan 2020</w:t>
      </w:r>
      <w:r>
        <w:rPr>
          <w:i/>
          <w:iCs/>
        </w:rPr>
        <w:t>–</w:t>
      </w:r>
      <w:r w:rsidRPr="00096C7F">
        <w:rPr>
          <w:i/>
          <w:iCs/>
        </w:rPr>
        <w:t>2024</w:t>
      </w:r>
      <w:r w:rsidRPr="00096C7F">
        <w:t xml:space="preserve"> is the second plan released under the </w:t>
      </w:r>
      <w:bookmarkStart w:id="157" w:name="_Hlk85204500"/>
      <w:r w:rsidRPr="00096C7F">
        <w:rPr>
          <w:i/>
          <w:iCs/>
        </w:rPr>
        <w:t>Improving Cancer Outcomes Act 2014</w:t>
      </w:r>
      <w:bookmarkEnd w:id="157"/>
      <w:r w:rsidRPr="00096C7F">
        <w:t>. It builds on the work delivered under previous plans to reduce risk and to improve early detection and cancer care for Victorians.</w:t>
      </w:r>
    </w:p>
    <w:p w14:paraId="5F5EB993" w14:textId="1D77F9A1" w:rsidR="00496244" w:rsidRPr="00076A40" w:rsidRDefault="005B655A" w:rsidP="00317057">
      <w:pPr>
        <w:pStyle w:val="ARbody"/>
      </w:pPr>
      <w:r>
        <w:br w:type="column"/>
      </w:r>
      <w:r w:rsidR="00496244" w:rsidRPr="00076A40">
        <w:t xml:space="preserve">The </w:t>
      </w:r>
      <w:r w:rsidR="00496244">
        <w:t>p</w:t>
      </w:r>
      <w:r w:rsidR="00496244" w:rsidRPr="00076A40">
        <w:t>lan is focused on achieving health equity across the cancer system so people are not disadvantaged by who they are, where they live, or</w:t>
      </w:r>
      <w:r>
        <w:t> </w:t>
      </w:r>
      <w:r w:rsidR="00496244" w:rsidRPr="00076A40">
        <w:t>what resources they have.</w:t>
      </w:r>
    </w:p>
    <w:p w14:paraId="500215CB" w14:textId="77777777" w:rsidR="00496244" w:rsidRPr="00647122" w:rsidRDefault="00496244" w:rsidP="00317057">
      <w:pPr>
        <w:pStyle w:val="Heading6"/>
        <w:rPr>
          <w:b w:val="0"/>
          <w:bCs w:val="0"/>
        </w:rPr>
      </w:pPr>
      <w:bookmarkStart w:id="158" w:name="_Toc85121054"/>
      <w:r w:rsidRPr="00647122">
        <w:t>Health Service Partnerships</w:t>
      </w:r>
      <w:bookmarkEnd w:id="158"/>
    </w:p>
    <w:p w14:paraId="7B0ADAF8" w14:textId="0A00FAE8" w:rsidR="00496244" w:rsidRDefault="00496244" w:rsidP="00603E4B">
      <w:pPr>
        <w:pStyle w:val="ARbody"/>
      </w:pPr>
      <w:r w:rsidRPr="00130AED">
        <w:t>The COVID-19 pandemic has impacted Victoria</w:t>
      </w:r>
      <w:r w:rsidR="007D145B">
        <w:t>’</w:t>
      </w:r>
      <w:r w:rsidRPr="00130AED">
        <w:t xml:space="preserve">s health system in challenging new ways, highlighting how much more resilient our system is when we work together. For example, during the pandemic health services have worked together in eight </w:t>
      </w:r>
      <w:r w:rsidR="007D145B">
        <w:t>‘</w:t>
      </w:r>
      <w:r w:rsidRPr="00130AED">
        <w:t>clusters</w:t>
      </w:r>
      <w:r w:rsidR="007D145B">
        <w:t>’</w:t>
      </w:r>
      <w:r w:rsidRPr="00130AED">
        <w:t xml:space="preserve"> to support each other on intensive care unit planning and load-balancing, aged care outbreak responses and staff furloughs</w:t>
      </w:r>
      <w:r w:rsidRPr="00647122">
        <w:t>.</w:t>
      </w:r>
    </w:p>
    <w:p w14:paraId="6A7F4E35" w14:textId="77777777" w:rsidR="00496244" w:rsidRDefault="00496244" w:rsidP="00603E4B">
      <w:pPr>
        <w:pStyle w:val="ARbody"/>
      </w:pPr>
      <w:r>
        <w:t>The cluster model for</w:t>
      </w:r>
      <w:r w:rsidRPr="00647122">
        <w:t xml:space="preserve"> collaboration </w:t>
      </w:r>
      <w:r>
        <w:t xml:space="preserve">has built </w:t>
      </w:r>
      <w:r w:rsidRPr="00647122">
        <w:t xml:space="preserve">the foundations of a new and better way of working in </w:t>
      </w:r>
      <w:r>
        <w:t xml:space="preserve">the </w:t>
      </w:r>
      <w:r w:rsidRPr="00647122">
        <w:t>future. The deep connections health services have with their local communities ha</w:t>
      </w:r>
      <w:r>
        <w:t>ve</w:t>
      </w:r>
      <w:r w:rsidRPr="00647122">
        <w:t xml:space="preserve"> already given Victoria one of the strongest health systems in Australia; collaborative connections between health services on pressing strategic priorities showed how our system could become stronger</w:t>
      </w:r>
      <w:r>
        <w:t xml:space="preserve"> </w:t>
      </w:r>
      <w:r w:rsidRPr="00647122">
        <w:t>still.</w:t>
      </w:r>
    </w:p>
    <w:p w14:paraId="30E839AC" w14:textId="325906E6" w:rsidR="00496244" w:rsidRDefault="00496244" w:rsidP="00603E4B">
      <w:pPr>
        <w:pStyle w:val="ARbody"/>
      </w:pPr>
      <w:r>
        <w:t>T</w:t>
      </w:r>
      <w:r w:rsidRPr="00727108">
        <w:t xml:space="preserve">o this end, health service collaboration </w:t>
      </w:r>
      <w:r>
        <w:t>has become</w:t>
      </w:r>
      <w:r w:rsidRPr="00727108">
        <w:t xml:space="preserve"> an enduring feature of the Victorian health</w:t>
      </w:r>
      <w:r w:rsidR="005B655A">
        <w:t> </w:t>
      </w:r>
      <w:r w:rsidRPr="00727108">
        <w:t xml:space="preserve">system. </w:t>
      </w:r>
      <w:r w:rsidRPr="00130AED">
        <w:t>Since</w:t>
      </w:r>
      <w:r w:rsidRPr="00C61F9D">
        <w:t xml:space="preserve"> the term </w:t>
      </w:r>
      <w:r w:rsidR="007D145B">
        <w:t>‘</w:t>
      </w:r>
      <w:r w:rsidRPr="00C61F9D">
        <w:t>cluster</w:t>
      </w:r>
      <w:r w:rsidR="007D145B">
        <w:t>’</w:t>
      </w:r>
      <w:r w:rsidRPr="00C61F9D">
        <w:t xml:space="preserve"> has many competing uses it was replaced</w:t>
      </w:r>
      <w:r>
        <w:t xml:space="preserve"> in 2021</w:t>
      </w:r>
      <w:r w:rsidRPr="00C61F9D">
        <w:t xml:space="preserve"> by</w:t>
      </w:r>
      <w:r w:rsidRPr="00727108">
        <w:t xml:space="preserve"> Health Service Partnerships. All health services </w:t>
      </w:r>
      <w:r>
        <w:t>are</w:t>
      </w:r>
      <w:r w:rsidRPr="00727108">
        <w:t xml:space="preserve"> </w:t>
      </w:r>
      <w:r>
        <w:t xml:space="preserve">members of their </w:t>
      </w:r>
      <w:r w:rsidRPr="00727108">
        <w:t>Health Service Partnership</w:t>
      </w:r>
      <w:r>
        <w:t xml:space="preserve"> and</w:t>
      </w:r>
      <w:r w:rsidR="005B655A">
        <w:t> </w:t>
      </w:r>
      <w:r w:rsidRPr="00727108">
        <w:t xml:space="preserve">expected to fully participate in </w:t>
      </w:r>
      <w:r>
        <w:t xml:space="preserve">it </w:t>
      </w:r>
      <w:r w:rsidRPr="00727108">
        <w:t>in the years to</w:t>
      </w:r>
      <w:r w:rsidR="005B655A">
        <w:t> </w:t>
      </w:r>
      <w:r w:rsidRPr="00727108">
        <w:t>come.</w:t>
      </w:r>
    </w:p>
    <w:p w14:paraId="57F93CF8" w14:textId="77777777" w:rsidR="00496244" w:rsidRDefault="00496244" w:rsidP="00603E4B">
      <w:pPr>
        <w:pStyle w:val="ARbody"/>
      </w:pPr>
      <w:r>
        <w:t>The Health Service Partnerships model preserves the local autonomy and responsibility of health services, while requiring them to work together through the partnership on the system priorities that are too large or complex to be solved as quickly or as well by health services working in isolation. These include:</w:t>
      </w:r>
    </w:p>
    <w:p w14:paraId="0FA4ECDC" w14:textId="77777777" w:rsidR="00496244" w:rsidRDefault="00496244" w:rsidP="00317057">
      <w:pPr>
        <w:pStyle w:val="ARbullet1"/>
      </w:pPr>
      <w:r>
        <w:t>ongoing coordination and leadership of our COVID-19 pandemic response</w:t>
      </w:r>
    </w:p>
    <w:p w14:paraId="451F6394" w14:textId="77777777" w:rsidR="00496244" w:rsidRDefault="00496244" w:rsidP="00317057">
      <w:pPr>
        <w:pStyle w:val="ARbullet1"/>
      </w:pPr>
      <w:r>
        <w:t>improving elective surgery and emergency care access as we recover from the pandemic</w:t>
      </w:r>
    </w:p>
    <w:p w14:paraId="603BEC52" w14:textId="77777777" w:rsidR="00496244" w:rsidRDefault="00496244" w:rsidP="00317057">
      <w:pPr>
        <w:pStyle w:val="ARbullet1"/>
      </w:pPr>
      <w:r>
        <w:t>implementing the Better at Home initiative, and</w:t>
      </w:r>
    </w:p>
    <w:p w14:paraId="75E5F188" w14:textId="38FD0186" w:rsidR="00496244" w:rsidRDefault="00496244" w:rsidP="00317057">
      <w:pPr>
        <w:pStyle w:val="ARbullet1"/>
      </w:pPr>
      <w:r>
        <w:t>supporting the implementation of relevant recommendations from the Royal Commission into Victoria</w:t>
      </w:r>
      <w:r w:rsidR="007D145B">
        <w:t>’</w:t>
      </w:r>
      <w:r>
        <w:t>s Mental Health System.</w:t>
      </w:r>
    </w:p>
    <w:p w14:paraId="116FF641" w14:textId="77777777" w:rsidR="00496244" w:rsidRDefault="00496244" w:rsidP="00317057">
      <w:pPr>
        <w:pStyle w:val="ARbodyafterbullets"/>
      </w:pPr>
      <w:r>
        <w:t>Partnerships may also choose to collaboratively progress other local priorities.</w:t>
      </w:r>
    </w:p>
    <w:p w14:paraId="0F46DB3B" w14:textId="6CF68048" w:rsidR="00496244" w:rsidRPr="002029AF" w:rsidRDefault="00496244" w:rsidP="00317057">
      <w:pPr>
        <w:pStyle w:val="Heading4"/>
      </w:pPr>
      <w:bookmarkStart w:id="159" w:name="_Toc85121055"/>
      <w:r w:rsidRPr="002029AF">
        <w:lastRenderedPageBreak/>
        <w:t>Outcome 5.2: Services are inclusive and</w:t>
      </w:r>
      <w:r w:rsidR="005B655A">
        <w:t> </w:t>
      </w:r>
      <w:r w:rsidRPr="002029AF">
        <w:t>respond to choice, culture, identity, circumstances and goals</w:t>
      </w:r>
      <w:bookmarkEnd w:id="159"/>
    </w:p>
    <w:p w14:paraId="2C552214" w14:textId="20D97E79" w:rsidR="00496244" w:rsidRPr="002029AF" w:rsidRDefault="00496244" w:rsidP="00603E4B">
      <w:pPr>
        <w:pStyle w:val="ARbody"/>
      </w:pPr>
      <w:r w:rsidRPr="002029AF">
        <w:t>Services are person centred and respond to service users</w:t>
      </w:r>
      <w:r w:rsidR="007D145B">
        <w:t>’</w:t>
      </w:r>
      <w:r w:rsidRPr="002029AF">
        <w:t xml:space="preserve"> needs and preferences, whether they are geographical, physical, social or cultural. Services are culturally safe and focus on prioritising user choice, self-determination, ownership and empowerment.</w:t>
      </w:r>
    </w:p>
    <w:p w14:paraId="59092338" w14:textId="77777777" w:rsidR="00496244" w:rsidRPr="002029AF" w:rsidRDefault="00496244" w:rsidP="00603E4B">
      <w:pPr>
        <w:pStyle w:val="Heading5"/>
        <w:rPr>
          <w:szCs w:val="22"/>
        </w:rPr>
      </w:pPr>
      <w:bookmarkStart w:id="160" w:name="_Toc85121056"/>
      <w:r w:rsidRPr="002029AF">
        <w:rPr>
          <w:szCs w:val="22"/>
        </w:rPr>
        <w:t>Progress against outcomes</w:t>
      </w:r>
      <w:bookmarkEnd w:id="160"/>
    </w:p>
    <w:p w14:paraId="4E98FFE6" w14:textId="77777777" w:rsidR="00496244" w:rsidRPr="002029AF" w:rsidRDefault="00496244" w:rsidP="00603E4B">
      <w:pPr>
        <w:pStyle w:val="ARbody"/>
      </w:pPr>
      <w:r w:rsidRPr="002029AF">
        <w:t>Some of our key achievements in 20</w:t>
      </w:r>
      <w:r>
        <w:t>20</w:t>
      </w:r>
      <w:r w:rsidRPr="002029AF">
        <w:t>–2</w:t>
      </w:r>
      <w:r>
        <w:t>1</w:t>
      </w:r>
      <w:r w:rsidRPr="002029AF">
        <w:t xml:space="preserve"> are</w:t>
      </w:r>
      <w:r>
        <w:t> </w:t>
      </w:r>
      <w:r w:rsidRPr="002029AF">
        <w:t>outlined below.</w:t>
      </w:r>
    </w:p>
    <w:p w14:paraId="5E9DEB40" w14:textId="77777777" w:rsidR="00496244" w:rsidRPr="002029AF" w:rsidRDefault="00496244" w:rsidP="00603E4B">
      <w:pPr>
        <w:pStyle w:val="Heading5"/>
        <w:rPr>
          <w:rFonts w:eastAsia="Calibri"/>
        </w:rPr>
      </w:pPr>
      <w:bookmarkStart w:id="161" w:name="_Toc85121057"/>
      <w:r w:rsidRPr="002029AF">
        <w:rPr>
          <w:rFonts w:eastAsia="Calibri"/>
        </w:rPr>
        <w:t>Key result: Increase client and patient choice concerning the services and treatment they receive</w:t>
      </w:r>
      <w:bookmarkEnd w:id="161"/>
    </w:p>
    <w:p w14:paraId="6B56E824" w14:textId="77777777" w:rsidR="00496244" w:rsidRPr="002029AF" w:rsidRDefault="00496244" w:rsidP="00603E4B">
      <w:pPr>
        <w:pStyle w:val="Heading6"/>
        <w:rPr>
          <w:szCs w:val="20"/>
        </w:rPr>
      </w:pPr>
      <w:bookmarkStart w:id="162" w:name="_Toc85121058"/>
      <w:r w:rsidRPr="002029AF">
        <w:rPr>
          <w:szCs w:val="20"/>
        </w:rPr>
        <w:t>Royal Commission into Aged Care Quality and</w:t>
      </w:r>
      <w:r>
        <w:rPr>
          <w:szCs w:val="20"/>
        </w:rPr>
        <w:t> </w:t>
      </w:r>
      <w:r w:rsidRPr="002029AF">
        <w:rPr>
          <w:szCs w:val="20"/>
        </w:rPr>
        <w:t>Safety</w:t>
      </w:r>
      <w:bookmarkEnd w:id="162"/>
    </w:p>
    <w:p w14:paraId="00148A85" w14:textId="04276436" w:rsidR="00496244" w:rsidRDefault="00496244" w:rsidP="00317057">
      <w:pPr>
        <w:pStyle w:val="ARbody"/>
      </w:pPr>
      <w:r w:rsidRPr="002029AF">
        <w:t xml:space="preserve">The Commonwealth Government is the primary funder and regulator of aged care services in Australia. </w:t>
      </w:r>
      <w:r w:rsidRPr="00B80AD5">
        <w:t>The Victorian Government welcomed the</w:t>
      </w:r>
      <w:r w:rsidR="005B655A">
        <w:t> </w:t>
      </w:r>
      <w:r w:rsidRPr="00B80AD5">
        <w:t>final report and recommendations of the Royal Commission into Aged Care Quality and Safety</w:t>
      </w:r>
      <w:r>
        <w:t>,</w:t>
      </w:r>
      <w:r w:rsidRPr="00B80AD5">
        <w:t xml:space="preserve"> which was released on 1 March 2021.</w:t>
      </w:r>
    </w:p>
    <w:p w14:paraId="2F12B0E9" w14:textId="2FA2DC45" w:rsidR="00496244" w:rsidRPr="00B80AD5" w:rsidRDefault="00496244" w:rsidP="00317057">
      <w:pPr>
        <w:pStyle w:val="ARbody"/>
      </w:pPr>
      <w:r w:rsidRPr="00B80AD5">
        <w:t>The Commonwealth</w:t>
      </w:r>
      <w:r>
        <w:t>,</w:t>
      </w:r>
      <w:r w:rsidRPr="00B80AD5">
        <w:t xml:space="preserve"> in its response on 11 May 2021</w:t>
      </w:r>
      <w:r>
        <w:t>,</w:t>
      </w:r>
      <w:r w:rsidRPr="00B80AD5">
        <w:t xml:space="preserve"> indic</w:t>
      </w:r>
      <w:r>
        <w:t>a</w:t>
      </w:r>
      <w:r w:rsidRPr="00B80AD5">
        <w:t>ted that significant reform will occur over the next five years. The importance of the recommendations has been highlighted even more</w:t>
      </w:r>
      <w:r w:rsidR="005B655A">
        <w:t> </w:t>
      </w:r>
      <w:r w:rsidRPr="00B80AD5">
        <w:t xml:space="preserve">by the </w:t>
      </w:r>
      <w:r>
        <w:t>COVID-19</w:t>
      </w:r>
      <w:r w:rsidRPr="00B80AD5">
        <w:t xml:space="preserve"> pandemic and its effects on</w:t>
      </w:r>
      <w:r w:rsidR="005B655A">
        <w:t> </w:t>
      </w:r>
      <w:r w:rsidRPr="00B80AD5">
        <w:t>people living in aged care facilities</w:t>
      </w:r>
    </w:p>
    <w:p w14:paraId="7B19B502" w14:textId="77777777" w:rsidR="00496244" w:rsidRDefault="00496244" w:rsidP="00317057">
      <w:pPr>
        <w:pStyle w:val="ARbody"/>
      </w:pPr>
      <w:r w:rsidRPr="00B80AD5">
        <w:t>The Victorian Government has advocated for strong engagement with states and territories to implement</w:t>
      </w:r>
      <w:r>
        <w:t xml:space="preserve"> the</w:t>
      </w:r>
      <w:r w:rsidRPr="00B80AD5">
        <w:t xml:space="preserve"> recommendations. The department will work closely with </w:t>
      </w:r>
      <w:r>
        <w:t>p</w:t>
      </w:r>
      <w:r w:rsidRPr="00B80AD5">
        <w:t xml:space="preserve">ublic </w:t>
      </w:r>
      <w:r>
        <w:t>s</w:t>
      </w:r>
      <w:r w:rsidRPr="00B80AD5">
        <w:t xml:space="preserve">ector </w:t>
      </w:r>
      <w:r>
        <w:t>r</w:t>
      </w:r>
      <w:r w:rsidRPr="00B80AD5">
        <w:t xml:space="preserve">esidential </w:t>
      </w:r>
      <w:r>
        <w:t>a</w:t>
      </w:r>
      <w:r w:rsidRPr="00B80AD5">
        <w:t xml:space="preserve">ged </w:t>
      </w:r>
      <w:r>
        <w:t>c</w:t>
      </w:r>
      <w:r w:rsidRPr="00B80AD5">
        <w:t xml:space="preserve">are </w:t>
      </w:r>
      <w:r>
        <w:t>s</w:t>
      </w:r>
      <w:r w:rsidRPr="00B80AD5">
        <w:t>ervices and other stakeholders to support implementation of activities being progressed by the Commonwealth Government.</w:t>
      </w:r>
    </w:p>
    <w:p w14:paraId="2441F774" w14:textId="77777777" w:rsidR="00496244" w:rsidRDefault="00496244" w:rsidP="00317057">
      <w:pPr>
        <w:pStyle w:val="ARbody"/>
        <w:rPr>
          <w:rFonts w:eastAsia="Times New Roman"/>
        </w:rPr>
      </w:pPr>
      <w:r w:rsidRPr="00B80AD5">
        <w:rPr>
          <w:rFonts w:eastAsia="Times New Roman"/>
        </w:rPr>
        <w:t>The Commonwealth Government is the regulator and the primary funder of residential aged care services</w:t>
      </w:r>
      <w:r>
        <w:rPr>
          <w:rFonts w:eastAsia="Times New Roman"/>
        </w:rPr>
        <w:t>,</w:t>
      </w:r>
      <w:r w:rsidRPr="00B80AD5">
        <w:rPr>
          <w:rFonts w:eastAsia="Times New Roman"/>
        </w:rPr>
        <w:t xml:space="preserve"> including the 179 public sector services that are predominantly operated by Victorian public health services.</w:t>
      </w:r>
    </w:p>
    <w:p w14:paraId="11BEDC02" w14:textId="28913E47" w:rsidR="00496244" w:rsidRPr="002029AF" w:rsidRDefault="00496244" w:rsidP="00603E4B">
      <w:pPr>
        <w:pStyle w:val="Heading5"/>
        <w:rPr>
          <w:rFonts w:eastAsia="Calibri"/>
        </w:rPr>
      </w:pPr>
      <w:bookmarkStart w:id="163" w:name="_Toc85121059"/>
      <w:r w:rsidRPr="002029AF">
        <w:rPr>
          <w:rFonts w:eastAsia="Calibri"/>
        </w:rPr>
        <w:t>Key result: Increase citizen engagement in</w:t>
      </w:r>
      <w:r w:rsidR="005B655A">
        <w:rPr>
          <w:rFonts w:eastAsia="Calibri"/>
        </w:rPr>
        <w:t> </w:t>
      </w:r>
      <w:r w:rsidRPr="002029AF">
        <w:rPr>
          <w:rFonts w:eastAsia="Calibri"/>
        </w:rPr>
        <w:t>the design and delivery of services</w:t>
      </w:r>
      <w:bookmarkEnd w:id="163"/>
    </w:p>
    <w:p w14:paraId="620AFB69" w14:textId="77777777" w:rsidR="00496244" w:rsidRPr="0096395D" w:rsidRDefault="00496244" w:rsidP="00317057">
      <w:pPr>
        <w:pStyle w:val="Heading6"/>
      </w:pPr>
      <w:bookmarkStart w:id="164" w:name="_Toc85121060"/>
      <w:r w:rsidRPr="003F34F5">
        <w:t>Helping health services engage consumer</w:t>
      </w:r>
      <w:r w:rsidRPr="0096395D">
        <w:t>s</w:t>
      </w:r>
      <w:bookmarkEnd w:id="164"/>
    </w:p>
    <w:p w14:paraId="5A5BDE4F" w14:textId="6AEEDE02" w:rsidR="00496244" w:rsidRPr="00B330FF" w:rsidRDefault="00496244" w:rsidP="00317057">
      <w:pPr>
        <w:pStyle w:val="ARbody"/>
      </w:pPr>
      <w:r>
        <w:t xml:space="preserve">As </w:t>
      </w:r>
      <w:r w:rsidRPr="00B330FF">
        <w:t xml:space="preserve">a way of helping healthcare workers build their skills to work with consumers, Safer Care Victoria </w:t>
      </w:r>
      <w:r w:rsidRPr="00B330FF">
        <w:t>partnered with Victoria</w:t>
      </w:r>
      <w:r w:rsidR="007D145B">
        <w:t>’</w:t>
      </w:r>
      <w:r w:rsidRPr="00B330FF">
        <w:t xml:space="preserve">s peak healthcare consumer body, the Health Issues Centre, to deliver eight consumer engagement training sessions in </w:t>
      </w:r>
      <w:r w:rsidR="00FA7261">
        <w:br/>
      </w:r>
      <w:r w:rsidRPr="00B330FF">
        <w:t>202</w:t>
      </w:r>
      <w:r w:rsidR="00FA7261">
        <w:t>0–</w:t>
      </w:r>
      <w:r w:rsidRPr="00B330FF">
        <w:t>21.</w:t>
      </w:r>
    </w:p>
    <w:p w14:paraId="116C5D82" w14:textId="77777777" w:rsidR="00496244" w:rsidRPr="00B330FF" w:rsidRDefault="00496244" w:rsidP="00317057">
      <w:pPr>
        <w:pStyle w:val="ARbody"/>
      </w:pPr>
      <w:r w:rsidRPr="003F34F5">
        <w:t xml:space="preserve">More </w:t>
      </w:r>
      <w:r w:rsidRPr="00B330FF">
        <w:t>than 100 staff attended the sessions across metropolitan and regional/rural health services to strengthen their capability and responsiveness in partnering with consumers and improving person-centred care.</w:t>
      </w:r>
    </w:p>
    <w:p w14:paraId="054C11C8" w14:textId="229E0016" w:rsidR="00496244" w:rsidRPr="002029AF" w:rsidRDefault="00496244" w:rsidP="00317057">
      <w:pPr>
        <w:pStyle w:val="Heading5"/>
        <w:rPr>
          <w:rFonts w:eastAsia="Calibri"/>
        </w:rPr>
      </w:pPr>
      <w:bookmarkStart w:id="165" w:name="_Toc85121061"/>
      <w:r w:rsidRPr="002029AF">
        <w:rPr>
          <w:rFonts w:eastAsia="Calibri"/>
        </w:rPr>
        <w:t>Key result: Increase participation of</w:t>
      </w:r>
      <w:r w:rsidR="005B655A">
        <w:rPr>
          <w:rFonts w:eastAsia="Calibri"/>
        </w:rPr>
        <w:t xml:space="preserve"> </w:t>
      </w:r>
      <w:r w:rsidRPr="002029AF">
        <w:rPr>
          <w:rFonts w:eastAsia="Calibri"/>
        </w:rPr>
        <w:t>service</w:t>
      </w:r>
      <w:r w:rsidR="005B655A">
        <w:rPr>
          <w:rFonts w:eastAsia="Calibri"/>
        </w:rPr>
        <w:t> </w:t>
      </w:r>
      <w:r w:rsidRPr="002029AF">
        <w:rPr>
          <w:rFonts w:eastAsia="Calibri"/>
        </w:rPr>
        <w:t>providers and staff in the design</w:t>
      </w:r>
      <w:r w:rsidR="005B655A">
        <w:rPr>
          <w:rFonts w:eastAsia="Calibri"/>
        </w:rPr>
        <w:t xml:space="preserve"> </w:t>
      </w:r>
      <w:r w:rsidRPr="002029AF">
        <w:rPr>
          <w:rFonts w:eastAsia="Calibri"/>
        </w:rPr>
        <w:t>of</w:t>
      </w:r>
      <w:r w:rsidR="005B655A">
        <w:rPr>
          <w:rFonts w:eastAsia="Calibri"/>
        </w:rPr>
        <w:t> </w:t>
      </w:r>
      <w:r w:rsidRPr="002029AF">
        <w:rPr>
          <w:rFonts w:eastAsia="Calibri"/>
        </w:rPr>
        <w:t>services</w:t>
      </w:r>
      <w:bookmarkEnd w:id="165"/>
    </w:p>
    <w:p w14:paraId="5252D90E" w14:textId="77777777" w:rsidR="00496244" w:rsidRPr="002029AF" w:rsidRDefault="00496244" w:rsidP="00603E4B">
      <w:pPr>
        <w:pStyle w:val="Heading6"/>
        <w:rPr>
          <w:szCs w:val="20"/>
        </w:rPr>
      </w:pPr>
      <w:bookmarkStart w:id="166" w:name="_Toc85121062"/>
      <w:r w:rsidRPr="002029AF">
        <w:rPr>
          <w:szCs w:val="20"/>
        </w:rPr>
        <w:t>Public participation and engagement</w:t>
      </w:r>
      <w:bookmarkEnd w:id="166"/>
    </w:p>
    <w:p w14:paraId="4F5DDF27" w14:textId="77777777" w:rsidR="00496244" w:rsidRPr="002029AF" w:rsidRDefault="00496244" w:rsidP="002C13AE">
      <w:pPr>
        <w:pStyle w:val="ARbody"/>
      </w:pPr>
      <w:r w:rsidRPr="002029AF">
        <w:t>The department has developed a framework and toolkit to provide for a consistent and genuine engagement process with people to inform service design and delivery.</w:t>
      </w:r>
    </w:p>
    <w:p w14:paraId="5F46B8AD" w14:textId="558696D5" w:rsidR="00496244" w:rsidRPr="002029AF" w:rsidRDefault="00496244" w:rsidP="002C13AE">
      <w:pPr>
        <w:pStyle w:val="ARbody"/>
      </w:pPr>
      <w:r w:rsidRPr="002029AF">
        <w:t>Public participation and stakeholder engagement are integral to the department</w:t>
      </w:r>
      <w:r w:rsidR="007D145B">
        <w:t>’</w:t>
      </w:r>
      <w:r w:rsidRPr="002029AF">
        <w:t>s work in designing, implementing and evaluating services and policies.</w:t>
      </w:r>
    </w:p>
    <w:p w14:paraId="3727B910" w14:textId="7ACCA9DC" w:rsidR="00496244" w:rsidRPr="002029AF" w:rsidRDefault="00496244" w:rsidP="002C13AE">
      <w:pPr>
        <w:pStyle w:val="ARbody"/>
      </w:pPr>
      <w:r w:rsidRPr="002029AF">
        <w:t>To drive improvements across our programs and</w:t>
      </w:r>
      <w:r>
        <w:t> </w:t>
      </w:r>
      <w:r w:rsidRPr="002029AF">
        <w:t>services, we must engage effectively with our</w:t>
      </w:r>
      <w:r>
        <w:t> </w:t>
      </w:r>
      <w:r w:rsidRPr="002029AF">
        <w:t>patients and clients, workforce, sector and the</w:t>
      </w:r>
      <w:r>
        <w:t> </w:t>
      </w:r>
      <w:r w:rsidRPr="002029AF">
        <w:t xml:space="preserve">broader community. To do this well, our stakeholder engagement activities need to shift from traditional methods of </w:t>
      </w:r>
      <w:r w:rsidR="007D145B">
        <w:t>‘</w:t>
      </w:r>
      <w:r w:rsidRPr="002029AF">
        <w:t>inform and consult</w:t>
      </w:r>
      <w:r w:rsidR="007D145B">
        <w:t>’</w:t>
      </w:r>
      <w:r w:rsidRPr="002029AF">
        <w:t xml:space="preserve"> to</w:t>
      </w:r>
      <w:r w:rsidR="005B655A">
        <w:t> </w:t>
      </w:r>
      <w:r w:rsidR="007D145B">
        <w:t>’</w:t>
      </w:r>
      <w:r w:rsidRPr="002029AF">
        <w:t>involve and collaborate</w:t>
      </w:r>
      <w:r w:rsidR="007D145B">
        <w:t>’</w:t>
      </w:r>
      <w:r w:rsidRPr="002029AF">
        <w:t>.</w:t>
      </w:r>
    </w:p>
    <w:p w14:paraId="09F36A17" w14:textId="77777777" w:rsidR="00496244" w:rsidRPr="002029AF" w:rsidRDefault="00496244" w:rsidP="002C13AE">
      <w:pPr>
        <w:pStyle w:val="ARbody"/>
      </w:pPr>
      <w:r w:rsidRPr="002029AF">
        <w:t>The framework and tools help design for diversity, including how to respectfully and safely consult with Aboriginal people.</w:t>
      </w:r>
    </w:p>
    <w:p w14:paraId="5A39AE93" w14:textId="654A2621" w:rsidR="00496244" w:rsidRPr="002029AF" w:rsidRDefault="00496244" w:rsidP="002C13AE">
      <w:pPr>
        <w:pStyle w:val="ARbody"/>
      </w:pPr>
      <w:r w:rsidRPr="002029AF">
        <w:t>One of the ways the department seeks the views of the public is via the Victorian Government</w:t>
      </w:r>
      <w:r w:rsidR="007D145B">
        <w:t>’</w:t>
      </w:r>
      <w:r w:rsidRPr="002029AF">
        <w:t>s Engage Victoria website. The website seeks the views of people from across the state on a variety of different issues.</w:t>
      </w:r>
    </w:p>
    <w:p w14:paraId="71EB1C69" w14:textId="77777777" w:rsidR="00496244" w:rsidRPr="002029AF" w:rsidRDefault="00496244" w:rsidP="002C13AE">
      <w:pPr>
        <w:pStyle w:val="ARbody"/>
      </w:pPr>
      <w:r w:rsidRPr="002029AF">
        <w:t xml:space="preserve">The website has become particularly useful </w:t>
      </w:r>
      <w:r>
        <w:t>since</w:t>
      </w:r>
      <w:r w:rsidRPr="002029AF">
        <w:t xml:space="preserve"> physical distancing measures have been in place as part of the </w:t>
      </w:r>
      <w:r>
        <w:t>COVID-19</w:t>
      </w:r>
      <w:r w:rsidRPr="002029AF">
        <w:t xml:space="preserve"> public health response.</w:t>
      </w:r>
    </w:p>
    <w:p w14:paraId="63ADCE45" w14:textId="725475C7" w:rsidR="00496244" w:rsidRPr="002029AF" w:rsidRDefault="00496244" w:rsidP="002C13AE">
      <w:pPr>
        <w:pStyle w:val="ARbody"/>
      </w:pPr>
      <w:r>
        <w:t>In 202</w:t>
      </w:r>
      <w:r w:rsidR="00FA7261">
        <w:t>0–</w:t>
      </w:r>
      <w:r>
        <w:t xml:space="preserve">21, </w:t>
      </w:r>
      <w:r w:rsidRPr="002029AF">
        <w:t>Engage Victoria has been used for</w:t>
      </w:r>
      <w:r w:rsidR="005B655A">
        <w:t> </w:t>
      </w:r>
      <w:r w:rsidRPr="002029AF">
        <w:t>a</w:t>
      </w:r>
      <w:r w:rsidR="005B655A">
        <w:t> </w:t>
      </w:r>
      <w:r>
        <w:t>large</w:t>
      </w:r>
      <w:r w:rsidRPr="002029AF">
        <w:t xml:space="preserve"> number of department and related consultations, including:</w:t>
      </w:r>
    </w:p>
    <w:p w14:paraId="1DCF1D16" w14:textId="77777777" w:rsidR="00496244" w:rsidRPr="0096395D" w:rsidRDefault="00496244" w:rsidP="00317057">
      <w:pPr>
        <w:pStyle w:val="ARbullet1"/>
      </w:pPr>
      <w:r>
        <w:t>Ballarat Base Hospital redevelopment</w:t>
      </w:r>
    </w:p>
    <w:p w14:paraId="2D9B9DAD" w14:textId="77777777" w:rsidR="00496244" w:rsidRPr="0096395D" w:rsidRDefault="00496244" w:rsidP="00317057">
      <w:pPr>
        <w:pStyle w:val="ARbullet1"/>
      </w:pPr>
      <w:r>
        <w:t>Regulatory Impact Statement for Worker Screening Regulations 2021</w:t>
      </w:r>
    </w:p>
    <w:p w14:paraId="45FCB0AB" w14:textId="3B0D0908" w:rsidR="00496244" w:rsidRPr="0096395D" w:rsidRDefault="00496244" w:rsidP="00317057">
      <w:pPr>
        <w:pStyle w:val="ARbullet1"/>
      </w:pPr>
      <w:r>
        <w:t>rural and isolated practice registered nurses in</w:t>
      </w:r>
      <w:r w:rsidR="005B655A">
        <w:t> </w:t>
      </w:r>
      <w:r>
        <w:t>Victoria</w:t>
      </w:r>
    </w:p>
    <w:p w14:paraId="0A125A27" w14:textId="77777777" w:rsidR="00496244" w:rsidRPr="0096395D" w:rsidRDefault="00496244" w:rsidP="00317057">
      <w:pPr>
        <w:pStyle w:val="ARbullet1"/>
      </w:pPr>
      <w:r>
        <w:t>future health care in Melton</w:t>
      </w:r>
    </w:p>
    <w:p w14:paraId="7D194F53" w14:textId="77777777" w:rsidR="00496244" w:rsidRPr="0096395D" w:rsidRDefault="00496244" w:rsidP="00317057">
      <w:pPr>
        <w:pStyle w:val="ARbullet1"/>
      </w:pPr>
      <w:r>
        <w:lastRenderedPageBreak/>
        <w:t>healthy and high-quality foods in public hospitals and aged care</w:t>
      </w:r>
    </w:p>
    <w:p w14:paraId="4F051617" w14:textId="3574A605" w:rsidR="00496244" w:rsidRPr="0096395D" w:rsidRDefault="00496244" w:rsidP="00317057">
      <w:pPr>
        <w:pStyle w:val="ARbullet1"/>
      </w:pPr>
      <w:r>
        <w:t>reforms to foster an honest and open culture in</w:t>
      </w:r>
      <w:r w:rsidR="005B655A">
        <w:t> </w:t>
      </w:r>
      <w:r>
        <w:t>health services</w:t>
      </w:r>
    </w:p>
    <w:p w14:paraId="112D62C6" w14:textId="77777777" w:rsidR="00496244" w:rsidRPr="0096395D" w:rsidRDefault="00496244" w:rsidP="00317057">
      <w:pPr>
        <w:pStyle w:val="ARbullet1"/>
      </w:pPr>
      <w:r>
        <w:t>Frankston Hospital redevelopment</w:t>
      </w:r>
    </w:p>
    <w:p w14:paraId="1533076C" w14:textId="77777777" w:rsidR="00496244" w:rsidRPr="00B3426A" w:rsidRDefault="00496244" w:rsidP="00317057">
      <w:pPr>
        <w:pStyle w:val="ARbullet1"/>
        <w:rPr>
          <w:i/>
          <w:iCs/>
        </w:rPr>
      </w:pPr>
      <w:r w:rsidRPr="00B3426A">
        <w:rPr>
          <w:i/>
          <w:iCs/>
        </w:rPr>
        <w:t>Victorian cancer plan 2020–2024</w:t>
      </w:r>
    </w:p>
    <w:p w14:paraId="61B06444" w14:textId="77777777" w:rsidR="00496244" w:rsidRPr="002029AF" w:rsidRDefault="00496244" w:rsidP="00317057">
      <w:pPr>
        <w:pStyle w:val="ARbullet1"/>
      </w:pPr>
      <w:r>
        <w:t>the funding of health care needs for the Mallee.</w:t>
      </w:r>
    </w:p>
    <w:p w14:paraId="47038115" w14:textId="0B3C71FE" w:rsidR="00496244" w:rsidRPr="002029AF" w:rsidRDefault="00496244" w:rsidP="00317057">
      <w:pPr>
        <w:pStyle w:val="Heading4"/>
      </w:pPr>
      <w:bookmarkStart w:id="167" w:name="_Toc85121063"/>
      <w:r>
        <w:t xml:space="preserve">Outcome </w:t>
      </w:r>
      <w:r w:rsidRPr="002029AF">
        <w:t>5.3</w:t>
      </w:r>
      <w:r w:rsidR="007A4153">
        <w:t>:</w:t>
      </w:r>
      <w:r w:rsidRPr="002029AF">
        <w:t xml:space="preserve"> Services are efficient and</w:t>
      </w:r>
      <w:r>
        <w:t> </w:t>
      </w:r>
      <w:r w:rsidRPr="002029AF">
        <w:t>sustainable</w:t>
      </w:r>
      <w:bookmarkEnd w:id="167"/>
    </w:p>
    <w:p w14:paraId="6C7BF08C" w14:textId="77777777" w:rsidR="00496244" w:rsidRPr="002029AF" w:rsidRDefault="00496244" w:rsidP="00603E4B">
      <w:pPr>
        <w:pStyle w:val="ARbody"/>
      </w:pPr>
      <w:r w:rsidRPr="002029AF">
        <w:t>Services are designed and delivered for maximum impact, enabling efficiencies in resource allocation and the management of complex and/or chronic conditions and needs. Efficiency is enabled by integrated and coordinated service delivery modalities and the sustainability of the system is enhanced by a well-trained and well-supported workforce.</w:t>
      </w:r>
    </w:p>
    <w:p w14:paraId="69C8169B" w14:textId="77777777" w:rsidR="00496244" w:rsidRDefault="00496244" w:rsidP="00603E4B">
      <w:pPr>
        <w:pStyle w:val="Heading5"/>
        <w:rPr>
          <w:szCs w:val="22"/>
        </w:rPr>
      </w:pPr>
      <w:bookmarkStart w:id="168" w:name="_Toc85121064"/>
      <w:r w:rsidRPr="002029AF">
        <w:rPr>
          <w:szCs w:val="22"/>
        </w:rPr>
        <w:t>Progress against outcomes</w:t>
      </w:r>
      <w:bookmarkEnd w:id="168"/>
    </w:p>
    <w:p w14:paraId="3C1819F1" w14:textId="77777777" w:rsidR="00496244" w:rsidRPr="00AA42E0" w:rsidRDefault="00496244" w:rsidP="00317057">
      <w:pPr>
        <w:pStyle w:val="ARbody"/>
      </w:pPr>
      <w:r w:rsidRPr="002029AF">
        <w:t>Some of our key achievements in 20</w:t>
      </w:r>
      <w:r>
        <w:t>20</w:t>
      </w:r>
      <w:r w:rsidRPr="002029AF">
        <w:t>–2</w:t>
      </w:r>
      <w:r>
        <w:t>1</w:t>
      </w:r>
      <w:r w:rsidRPr="002029AF">
        <w:t xml:space="preserve"> are</w:t>
      </w:r>
      <w:r>
        <w:t> </w:t>
      </w:r>
      <w:r w:rsidRPr="002029AF">
        <w:t>outlined below.</w:t>
      </w:r>
    </w:p>
    <w:p w14:paraId="03A80008" w14:textId="77777777" w:rsidR="00496244" w:rsidRPr="002029AF" w:rsidRDefault="00496244" w:rsidP="00603E4B">
      <w:pPr>
        <w:pStyle w:val="Heading5"/>
        <w:rPr>
          <w:rFonts w:eastAsia="Calibri"/>
        </w:rPr>
      </w:pPr>
      <w:bookmarkStart w:id="169" w:name="_Toc85121065"/>
      <w:r w:rsidRPr="002029AF">
        <w:rPr>
          <w:rFonts w:eastAsia="Calibri"/>
        </w:rPr>
        <w:t>Key result: Reduce demand for acute</w:t>
      </w:r>
      <w:r>
        <w:rPr>
          <w:rFonts w:eastAsia="Calibri"/>
        </w:rPr>
        <w:t> </w:t>
      </w:r>
      <w:r w:rsidRPr="002029AF">
        <w:rPr>
          <w:rFonts w:eastAsia="Calibri"/>
        </w:rPr>
        <w:t>services to manage complex and</w:t>
      </w:r>
      <w:r>
        <w:rPr>
          <w:rFonts w:eastAsia="Calibri"/>
        </w:rPr>
        <w:t> </w:t>
      </w:r>
      <w:r w:rsidRPr="002029AF">
        <w:rPr>
          <w:rFonts w:eastAsia="Calibri"/>
        </w:rPr>
        <w:t>chronic conditions</w:t>
      </w:r>
      <w:bookmarkEnd w:id="169"/>
    </w:p>
    <w:p w14:paraId="5F15DF56" w14:textId="77777777" w:rsidR="00496244" w:rsidRPr="00B3426A" w:rsidRDefault="00496244" w:rsidP="00317057">
      <w:pPr>
        <w:pStyle w:val="Heading6"/>
        <w:rPr>
          <w:i/>
          <w:iCs/>
        </w:rPr>
      </w:pPr>
      <w:bookmarkStart w:id="170" w:name="_Toc85121066"/>
      <w:r w:rsidRPr="00B80AD5">
        <w:t xml:space="preserve">Release of the </w:t>
      </w:r>
      <w:r w:rsidRPr="00B3426A">
        <w:rPr>
          <w:i/>
          <w:iCs/>
        </w:rPr>
        <w:t>Community health reform plan</w:t>
      </w:r>
      <w:bookmarkEnd w:id="170"/>
    </w:p>
    <w:p w14:paraId="6525DB6E" w14:textId="77777777" w:rsidR="00496244" w:rsidRDefault="00496244" w:rsidP="00317057">
      <w:pPr>
        <w:pStyle w:val="ARbody"/>
      </w:pPr>
      <w:r w:rsidRPr="00B80AD5">
        <w:t xml:space="preserve">Victorian </w:t>
      </w:r>
      <w:r>
        <w:t>c</w:t>
      </w:r>
      <w:r w:rsidRPr="00B80AD5">
        <w:t xml:space="preserve">ommunity </w:t>
      </w:r>
      <w:r>
        <w:t>h</w:t>
      </w:r>
      <w:r w:rsidRPr="00B80AD5">
        <w:t xml:space="preserve">ealth </w:t>
      </w:r>
      <w:r>
        <w:t>s</w:t>
      </w:r>
      <w:r w:rsidRPr="00B80AD5">
        <w:t>ervices have an important role in meeting the needs of vulnerable Victorians, including people with chronic and complex conditions.</w:t>
      </w:r>
    </w:p>
    <w:p w14:paraId="785FE818" w14:textId="77777777" w:rsidR="00496244" w:rsidRPr="00B80AD5" w:rsidRDefault="00496244" w:rsidP="00317057">
      <w:pPr>
        <w:pStyle w:val="ARbody"/>
      </w:pPr>
      <w:r w:rsidRPr="00B80AD5">
        <w:t xml:space="preserve">In March 2020, the Victorian Government released the </w:t>
      </w:r>
      <w:r w:rsidRPr="001869C6">
        <w:rPr>
          <w:i/>
          <w:iCs/>
        </w:rPr>
        <w:t xml:space="preserve">Community </w:t>
      </w:r>
      <w:r>
        <w:rPr>
          <w:i/>
          <w:iCs/>
        </w:rPr>
        <w:t>h</w:t>
      </w:r>
      <w:r w:rsidRPr="001869C6">
        <w:rPr>
          <w:i/>
          <w:iCs/>
        </w:rPr>
        <w:t xml:space="preserve">ealth </w:t>
      </w:r>
      <w:r>
        <w:rPr>
          <w:i/>
          <w:iCs/>
        </w:rPr>
        <w:t>r</w:t>
      </w:r>
      <w:r w:rsidRPr="001869C6">
        <w:rPr>
          <w:i/>
          <w:iCs/>
        </w:rPr>
        <w:t xml:space="preserve">eform </w:t>
      </w:r>
      <w:r>
        <w:rPr>
          <w:i/>
          <w:iCs/>
        </w:rPr>
        <w:t>p</w:t>
      </w:r>
      <w:r w:rsidRPr="001869C6">
        <w:rPr>
          <w:i/>
          <w:iCs/>
        </w:rPr>
        <w:t>lan</w:t>
      </w:r>
      <w:r>
        <w:rPr>
          <w:i/>
          <w:iCs/>
        </w:rPr>
        <w:t>,</w:t>
      </w:r>
      <w:r w:rsidRPr="00B80AD5">
        <w:t xml:space="preserve"> which outlines actions to support </w:t>
      </w:r>
      <w:r>
        <w:t>c</w:t>
      </w:r>
      <w:r w:rsidRPr="00B80AD5">
        <w:t xml:space="preserve">ommunity </w:t>
      </w:r>
      <w:r>
        <w:t>h</w:t>
      </w:r>
      <w:r w:rsidRPr="00B80AD5">
        <w:t xml:space="preserve">ealth </w:t>
      </w:r>
      <w:r>
        <w:t>s</w:t>
      </w:r>
      <w:r w:rsidRPr="00B80AD5">
        <w:t>ervices to deliver high</w:t>
      </w:r>
      <w:r>
        <w:t>-</w:t>
      </w:r>
      <w:r w:rsidRPr="00B80AD5">
        <w:t>quality services to people who need them most.</w:t>
      </w:r>
    </w:p>
    <w:p w14:paraId="1257D875" w14:textId="37E51F54" w:rsidR="00496244" w:rsidRDefault="00496244" w:rsidP="00317057">
      <w:pPr>
        <w:pStyle w:val="ARbody"/>
      </w:pPr>
      <w:r w:rsidRPr="00B80AD5">
        <w:t xml:space="preserve">The </w:t>
      </w:r>
      <w:r>
        <w:rPr>
          <w:i/>
          <w:iCs/>
        </w:rPr>
        <w:t>C</w:t>
      </w:r>
      <w:r w:rsidRPr="001869C6">
        <w:rPr>
          <w:i/>
          <w:iCs/>
        </w:rPr>
        <w:t xml:space="preserve">ommunity </w:t>
      </w:r>
      <w:r>
        <w:rPr>
          <w:i/>
          <w:iCs/>
        </w:rPr>
        <w:t>h</w:t>
      </w:r>
      <w:r w:rsidRPr="001869C6">
        <w:rPr>
          <w:i/>
          <w:iCs/>
        </w:rPr>
        <w:t xml:space="preserve">ealth </w:t>
      </w:r>
      <w:r>
        <w:rPr>
          <w:i/>
          <w:iCs/>
        </w:rPr>
        <w:t>r</w:t>
      </w:r>
      <w:r w:rsidRPr="001869C6">
        <w:rPr>
          <w:i/>
          <w:iCs/>
        </w:rPr>
        <w:t xml:space="preserve">eform </w:t>
      </w:r>
      <w:r>
        <w:rPr>
          <w:i/>
          <w:iCs/>
        </w:rPr>
        <w:t>p</w:t>
      </w:r>
      <w:r w:rsidRPr="001869C6">
        <w:rPr>
          <w:i/>
          <w:iCs/>
        </w:rPr>
        <w:t>lan</w:t>
      </w:r>
      <w:r w:rsidRPr="00B80AD5">
        <w:t xml:space="preserve"> responds to the</w:t>
      </w:r>
      <w:r w:rsidR="005B655A">
        <w:t> </w:t>
      </w:r>
      <w:r w:rsidRPr="00B80AD5">
        <w:t>recommendations of the 2018 V</w:t>
      </w:r>
      <w:r>
        <w:t xml:space="preserve">ictorian </w:t>
      </w:r>
      <w:r w:rsidRPr="00B80AD5">
        <w:t>A</w:t>
      </w:r>
      <w:r>
        <w:t>uditor-</w:t>
      </w:r>
      <w:r w:rsidRPr="00B80AD5">
        <w:t>G</w:t>
      </w:r>
      <w:r>
        <w:t>eneral</w:t>
      </w:r>
      <w:r w:rsidR="007D145B">
        <w:t>’</w:t>
      </w:r>
      <w:r>
        <w:t xml:space="preserve">s </w:t>
      </w:r>
      <w:r w:rsidRPr="00B80AD5">
        <w:t>O</w:t>
      </w:r>
      <w:r>
        <w:t>ffice</w:t>
      </w:r>
      <w:r w:rsidRPr="00B80AD5">
        <w:t xml:space="preserve"> audit of the Community Health Program and the report of the Community Health Taskforce established to identify opportunities to strengthen the sector.</w:t>
      </w:r>
    </w:p>
    <w:p w14:paraId="4F17BE2B" w14:textId="77777777" w:rsidR="00496244" w:rsidRDefault="00496244" w:rsidP="00317057">
      <w:pPr>
        <w:pStyle w:val="ARbody"/>
      </w:pPr>
      <w:r w:rsidRPr="00B80AD5">
        <w:t xml:space="preserve">Key actions being delivered under the </w:t>
      </w:r>
      <w:r w:rsidRPr="001869C6">
        <w:rPr>
          <w:i/>
          <w:iCs/>
        </w:rPr>
        <w:t xml:space="preserve">Community </w:t>
      </w:r>
      <w:r>
        <w:rPr>
          <w:i/>
          <w:iCs/>
        </w:rPr>
        <w:t>h</w:t>
      </w:r>
      <w:r w:rsidRPr="001869C6">
        <w:rPr>
          <w:i/>
          <w:iCs/>
        </w:rPr>
        <w:t xml:space="preserve">ealth </w:t>
      </w:r>
      <w:r>
        <w:rPr>
          <w:i/>
          <w:iCs/>
        </w:rPr>
        <w:t>r</w:t>
      </w:r>
      <w:r w:rsidRPr="001869C6">
        <w:rPr>
          <w:i/>
          <w:iCs/>
        </w:rPr>
        <w:t xml:space="preserve">eform </w:t>
      </w:r>
      <w:r>
        <w:rPr>
          <w:i/>
          <w:iCs/>
        </w:rPr>
        <w:t>p</w:t>
      </w:r>
      <w:r w:rsidRPr="001869C6">
        <w:rPr>
          <w:i/>
          <w:iCs/>
        </w:rPr>
        <w:t>lan</w:t>
      </w:r>
      <w:r w:rsidRPr="00B80AD5">
        <w:t xml:space="preserve"> include the development of outcome measures for the Community Health Program, and the development of a more sophisticated funding model.</w:t>
      </w:r>
    </w:p>
    <w:p w14:paraId="5CE76444" w14:textId="77777777" w:rsidR="00496244" w:rsidRPr="00130BE6" w:rsidRDefault="00496244" w:rsidP="00317057">
      <w:pPr>
        <w:pStyle w:val="ARbody"/>
      </w:pPr>
      <w:r w:rsidRPr="00B80AD5">
        <w:t xml:space="preserve">Community </w:t>
      </w:r>
      <w:r>
        <w:t>h</w:t>
      </w:r>
      <w:r w:rsidRPr="00B80AD5">
        <w:t xml:space="preserve">ealth </w:t>
      </w:r>
      <w:r>
        <w:t>s</w:t>
      </w:r>
      <w:r w:rsidRPr="00B80AD5">
        <w:t xml:space="preserve">ervices have made a significant contribution to the public health response to the </w:t>
      </w:r>
      <w:r w:rsidRPr="00B80AD5">
        <w:t>COVID-19 pandemic in Victoria, including leading and supporting efforts to reduce risk, manage outbreaks and provide essential services to vulnerable communities</w:t>
      </w:r>
      <w:r>
        <w:t>.</w:t>
      </w:r>
    </w:p>
    <w:p w14:paraId="33FE6D14" w14:textId="77777777" w:rsidR="00496244" w:rsidRPr="002029AF" w:rsidRDefault="00496244" w:rsidP="00603E4B">
      <w:pPr>
        <w:pStyle w:val="Heading5"/>
        <w:rPr>
          <w:rFonts w:eastAsia="Calibri"/>
        </w:rPr>
      </w:pPr>
      <w:bookmarkStart w:id="171" w:name="_Toc85121067"/>
      <w:r w:rsidRPr="002029AF">
        <w:rPr>
          <w:rFonts w:eastAsia="Calibri"/>
        </w:rPr>
        <w:t>Key result: Increase the proportion of</w:t>
      </w:r>
      <w:r>
        <w:rPr>
          <w:rFonts w:eastAsia="Calibri"/>
        </w:rPr>
        <w:t> </w:t>
      </w:r>
      <w:r w:rsidRPr="002029AF">
        <w:rPr>
          <w:rFonts w:eastAsia="Calibri"/>
        </w:rPr>
        <w:t>service assets that are appropriately maintained</w:t>
      </w:r>
      <w:bookmarkEnd w:id="171"/>
    </w:p>
    <w:p w14:paraId="42AB7314" w14:textId="77777777" w:rsidR="00496244" w:rsidRPr="001F5032" w:rsidRDefault="00496244" w:rsidP="002C13AE">
      <w:pPr>
        <w:pStyle w:val="Heading6"/>
      </w:pPr>
      <w:bookmarkStart w:id="172" w:name="_Toc85121068"/>
      <w:r w:rsidRPr="001F5032">
        <w:t>Victorian health asset management communities of practice</w:t>
      </w:r>
      <w:bookmarkEnd w:id="172"/>
    </w:p>
    <w:p w14:paraId="466AA5CD" w14:textId="77777777" w:rsidR="00496244" w:rsidRPr="001F5032" w:rsidRDefault="00496244" w:rsidP="00317057">
      <w:pPr>
        <w:pStyle w:val="ARbody"/>
      </w:pPr>
      <w:r w:rsidRPr="001F5032">
        <w:t xml:space="preserve">The Victorian </w:t>
      </w:r>
      <w:r>
        <w:t>h</w:t>
      </w:r>
      <w:r w:rsidRPr="001F5032">
        <w:t>ealth asset management communities of practice continued local chapter events through virtual platforms</w:t>
      </w:r>
      <w:r>
        <w:t>,</w:t>
      </w:r>
      <w:r w:rsidRPr="001F5032">
        <w:t xml:space="preserve"> bringing together the functions of corporate, service delivery, finance, capital and facilities management</w:t>
      </w:r>
      <w:r>
        <w:t>. This helps</w:t>
      </w:r>
      <w:r w:rsidRPr="001F5032">
        <w:t xml:space="preserve"> </w:t>
      </w:r>
      <w:r w:rsidRPr="00FB1771">
        <w:t>to support health asset management practitioners</w:t>
      </w:r>
      <w:r w:rsidRPr="009E786B">
        <w:t xml:space="preserve"> to</w:t>
      </w:r>
      <w:r w:rsidRPr="001F5032">
        <w:t xml:space="preserve"> collaborate and share </w:t>
      </w:r>
      <w:r w:rsidRPr="00FB1771">
        <w:t>knowledge so that</w:t>
      </w:r>
      <w:r w:rsidRPr="001F5032">
        <w:t xml:space="preserve"> </w:t>
      </w:r>
      <w:r>
        <w:t xml:space="preserve">they </w:t>
      </w:r>
      <w:r w:rsidRPr="001F5032">
        <w:t xml:space="preserve">improve </w:t>
      </w:r>
      <w:r>
        <w:t xml:space="preserve">their </w:t>
      </w:r>
      <w:r w:rsidRPr="001F5032">
        <w:t>asset management capability.</w:t>
      </w:r>
    </w:p>
    <w:p w14:paraId="046773A8" w14:textId="11240458" w:rsidR="00496244" w:rsidRPr="001F5032" w:rsidRDefault="00496244" w:rsidP="00317057">
      <w:pPr>
        <w:pStyle w:val="ARbody"/>
      </w:pPr>
      <w:r w:rsidRPr="001F5032">
        <w:t>Ten regional and nine metropolitan local chapter events were held</w:t>
      </w:r>
      <w:r>
        <w:t xml:space="preserve"> in 202</w:t>
      </w:r>
      <w:r w:rsidR="00FA7261">
        <w:t>0–</w:t>
      </w:r>
      <w:r>
        <w:t>21</w:t>
      </w:r>
      <w:r w:rsidRPr="001F5032">
        <w:t>, with the development of technical advice for critical assets and asset key performance indicators.</w:t>
      </w:r>
    </w:p>
    <w:p w14:paraId="0FCCA0C4" w14:textId="77777777" w:rsidR="00496244" w:rsidRPr="001F5032" w:rsidRDefault="00496244" w:rsidP="00603E4B">
      <w:pPr>
        <w:pStyle w:val="Heading6"/>
      </w:pPr>
      <w:bookmarkStart w:id="173" w:name="_Toc85121069"/>
      <w:bookmarkStart w:id="174" w:name="_Hlk52198890"/>
      <w:r w:rsidRPr="001F5032">
        <w:t>Technical guidance</w:t>
      </w:r>
      <w:bookmarkEnd w:id="173"/>
    </w:p>
    <w:bookmarkEnd w:id="174"/>
    <w:p w14:paraId="3840438A" w14:textId="77777777" w:rsidR="00496244" w:rsidRDefault="00496244" w:rsidP="00317057">
      <w:pPr>
        <w:pStyle w:val="ARbody"/>
      </w:pPr>
      <w:r w:rsidRPr="001F5032">
        <w:t>The department publishes Health Technical Advice</w:t>
      </w:r>
      <w:r>
        <w:t xml:space="preserve"> (HTA</w:t>
      </w:r>
      <w:r w:rsidRPr="001F5032">
        <w:t>) to assist health services, consultants and contractors to effectively manage risk and performance of public health facilities.</w:t>
      </w:r>
    </w:p>
    <w:p w14:paraId="146BD1CA" w14:textId="77777777" w:rsidR="00496244" w:rsidRPr="001F5032" w:rsidRDefault="00496244" w:rsidP="00317057">
      <w:pPr>
        <w:pStyle w:val="ARbody"/>
      </w:pPr>
      <w:r>
        <w:t xml:space="preserve">Published </w:t>
      </w:r>
      <w:r w:rsidRPr="001F5032">
        <w:t>HTAs include</w:t>
      </w:r>
      <w:r>
        <w:t>:</w:t>
      </w:r>
    </w:p>
    <w:p w14:paraId="075BDEE5" w14:textId="77777777" w:rsidR="00496244" w:rsidRPr="0096395D" w:rsidRDefault="00496244" w:rsidP="00317057">
      <w:pPr>
        <w:pStyle w:val="ARbullet1"/>
      </w:pPr>
      <w:r>
        <w:t>aerosol study within healthcare environments</w:t>
      </w:r>
    </w:p>
    <w:p w14:paraId="6A82A69E" w14:textId="77777777" w:rsidR="00496244" w:rsidRPr="0096395D" w:rsidRDefault="00496244" w:rsidP="00317057">
      <w:pPr>
        <w:pStyle w:val="ARbullet1"/>
      </w:pPr>
      <w:r>
        <w:t>heating, ventilation and air conditioning system strategies for airborne infectious outbreaks</w:t>
      </w:r>
    </w:p>
    <w:p w14:paraId="313EFAC7" w14:textId="77777777" w:rsidR="00496244" w:rsidRPr="0096395D" w:rsidRDefault="00496244" w:rsidP="00317057">
      <w:pPr>
        <w:pStyle w:val="ARbullet1"/>
      </w:pPr>
      <w:r>
        <w:t>isolation rooms</w:t>
      </w:r>
    </w:p>
    <w:p w14:paraId="5827760A" w14:textId="77777777" w:rsidR="00496244" w:rsidRDefault="00496244" w:rsidP="00317057">
      <w:pPr>
        <w:pStyle w:val="ARbullet1"/>
      </w:pPr>
      <w:r>
        <w:t>selection of revolving doors for healthcare facilities</w:t>
      </w:r>
    </w:p>
    <w:p w14:paraId="7CE83DFD" w14:textId="5618E390" w:rsidR="00496244" w:rsidRPr="002029AF" w:rsidRDefault="00496244" w:rsidP="00317057">
      <w:pPr>
        <w:pStyle w:val="ARbodyafterbullets"/>
      </w:pPr>
      <w:r>
        <w:t>In 202</w:t>
      </w:r>
      <w:r w:rsidR="00FA7261">
        <w:t>0–</w:t>
      </w:r>
      <w:r>
        <w:t>21, t</w:t>
      </w:r>
      <w:r w:rsidRPr="001F5032">
        <w:t>he department conducted asset condition assessments for 90 sites and reviewed 47 maintenance plans and over 80 asset management plans.</w:t>
      </w:r>
    </w:p>
    <w:p w14:paraId="749F0360" w14:textId="6692524A" w:rsidR="00496244" w:rsidRPr="002029AF" w:rsidRDefault="00496244" w:rsidP="00603E4B">
      <w:pPr>
        <w:pStyle w:val="Heading5"/>
        <w:rPr>
          <w:rFonts w:eastAsia="Calibri"/>
        </w:rPr>
      </w:pPr>
      <w:bookmarkStart w:id="175" w:name="_Toc85121070"/>
      <w:r w:rsidRPr="002029AF">
        <w:rPr>
          <w:rFonts w:eastAsia="Calibri"/>
        </w:rPr>
        <w:t>Key result</w:t>
      </w:r>
      <w:r w:rsidRPr="002029AF">
        <w:t>: Improve alignment of our health</w:t>
      </w:r>
      <w:r>
        <w:t>,</w:t>
      </w:r>
      <w:r w:rsidRPr="002029AF">
        <w:t xml:space="preserve"> human services and community recreation assets </w:t>
      </w:r>
      <w:r w:rsidRPr="002029AF">
        <w:rPr>
          <w:rFonts w:eastAsia="Calibri"/>
        </w:rPr>
        <w:t>with the needs of clients, patients and Victoria</w:t>
      </w:r>
      <w:r w:rsidR="007D145B">
        <w:rPr>
          <w:rFonts w:eastAsia="Calibri"/>
        </w:rPr>
        <w:t>’</w:t>
      </w:r>
      <w:r w:rsidRPr="002029AF">
        <w:rPr>
          <w:rFonts w:eastAsia="Calibri"/>
        </w:rPr>
        <w:t>s growing population</w:t>
      </w:r>
      <w:bookmarkEnd w:id="175"/>
    </w:p>
    <w:p w14:paraId="13516C72" w14:textId="77777777" w:rsidR="00496244" w:rsidRPr="001E3190" w:rsidRDefault="00496244" w:rsidP="00317057">
      <w:pPr>
        <w:pStyle w:val="Heading6"/>
      </w:pPr>
      <w:bookmarkStart w:id="176" w:name="_Toc85121071"/>
      <w:r w:rsidRPr="001E3190">
        <w:t>Victorian Heart Hospital</w:t>
      </w:r>
      <w:bookmarkEnd w:id="176"/>
    </w:p>
    <w:p w14:paraId="35B9FA8D" w14:textId="77777777" w:rsidR="00496244" w:rsidRPr="001E3190" w:rsidRDefault="00496244" w:rsidP="00317057">
      <w:pPr>
        <w:pStyle w:val="ARbody"/>
      </w:pPr>
      <w:r w:rsidRPr="001E3190">
        <w:t>Work on the $564 million Victorian Heart Hospital has progressed well throughout the year</w:t>
      </w:r>
      <w:r>
        <w:t>,</w:t>
      </w:r>
      <w:r w:rsidRPr="001E3190">
        <w:t xml:space="preserve"> with the main structural works now complete and works on the façade and internal fit-out well underway.</w:t>
      </w:r>
    </w:p>
    <w:p w14:paraId="3ACDC259" w14:textId="3EC1930D" w:rsidR="00496244" w:rsidRPr="001E3190" w:rsidRDefault="00496244" w:rsidP="00317057">
      <w:pPr>
        <w:pStyle w:val="ARbody"/>
      </w:pPr>
      <w:r w:rsidRPr="001E3190">
        <w:lastRenderedPageBreak/>
        <w:t>Located on the Monash University Clayton campus, Australia</w:t>
      </w:r>
      <w:r w:rsidR="007D145B">
        <w:t>’</w:t>
      </w:r>
      <w:r w:rsidRPr="001E3190">
        <w:t>s first stand</w:t>
      </w:r>
      <w:r>
        <w:t>-</w:t>
      </w:r>
      <w:r w:rsidRPr="001E3190">
        <w:t>alone specialist cardiac hospital will integrate clinical cardiology services, research and education to create a centre of excellence. Patients with heart disease will have access to world-class cardiac care and research all</w:t>
      </w:r>
      <w:r w:rsidR="005B655A">
        <w:t> </w:t>
      </w:r>
      <w:r w:rsidRPr="001E3190">
        <w:t>under one roof.</w:t>
      </w:r>
    </w:p>
    <w:p w14:paraId="02A5A2FB" w14:textId="18554666" w:rsidR="00496244" w:rsidRPr="001E3190" w:rsidRDefault="00496244" w:rsidP="00317057">
      <w:pPr>
        <w:pStyle w:val="ARbody"/>
      </w:pPr>
      <w:r w:rsidRPr="001E3190">
        <w:t>Once complete, the hospital will deliver up to 2,150</w:t>
      </w:r>
      <w:r w:rsidR="005B655A">
        <w:t> </w:t>
      </w:r>
      <w:r w:rsidRPr="001E3190">
        <w:t>cardiac surgery operations, 13,500 cardiac laboratory procedures, and 108,000 consultations every year.</w:t>
      </w:r>
    </w:p>
    <w:p w14:paraId="276A3813" w14:textId="77777777" w:rsidR="00496244" w:rsidRPr="002029AF" w:rsidRDefault="00496244" w:rsidP="00317057">
      <w:pPr>
        <w:pStyle w:val="ARbody"/>
      </w:pPr>
      <w:r w:rsidRPr="001E3190">
        <w:t>The project is being delivered in partnership with Monash Health and Monash University, with construction on track for completion in late 2022.</w:t>
      </w:r>
    </w:p>
    <w:p w14:paraId="30F5EFEC" w14:textId="77777777" w:rsidR="00496244" w:rsidRPr="00CE181F" w:rsidRDefault="00496244" w:rsidP="00317057">
      <w:pPr>
        <w:pStyle w:val="Heading6"/>
      </w:pPr>
      <w:bookmarkStart w:id="177" w:name="_Toc85121072"/>
      <w:r w:rsidRPr="002029AF">
        <w:t>Sunshine Hospital expansion</w:t>
      </w:r>
      <w:bookmarkEnd w:id="177"/>
    </w:p>
    <w:p w14:paraId="2EAE1944" w14:textId="70E21770" w:rsidR="00864121" w:rsidRDefault="00496244" w:rsidP="00317057">
      <w:pPr>
        <w:pStyle w:val="ARbody"/>
      </w:pPr>
      <w:r w:rsidRPr="001E3190">
        <w:t>The Victorian Government</w:t>
      </w:r>
      <w:r>
        <w:t xml:space="preserve"> has</w:t>
      </w:r>
      <w:r w:rsidRPr="001E3190">
        <w:t xml:space="preserve"> invested $34.9</w:t>
      </w:r>
      <w:r w:rsidR="005B655A">
        <w:t> </w:t>
      </w:r>
      <w:r w:rsidRPr="001E3190">
        <w:t>million in the Sunshine Hospital emergency department redevelopment</w:t>
      </w:r>
      <w:r>
        <w:t>, which has been further</w:t>
      </w:r>
      <w:r w:rsidR="005B655A">
        <w:t> </w:t>
      </w:r>
      <w:r>
        <w:t xml:space="preserve">expanded to </w:t>
      </w:r>
      <w:r w:rsidRPr="001E3190">
        <w:t>add 65 new spaces</w:t>
      </w:r>
      <w:r>
        <w:t xml:space="preserve"> – more</w:t>
      </w:r>
      <w:r w:rsidR="005B655A">
        <w:t> </w:t>
      </w:r>
      <w:r>
        <w:t>than double its</w:t>
      </w:r>
      <w:r w:rsidRPr="001E3190">
        <w:t xml:space="preserve"> current capacity.</w:t>
      </w:r>
    </w:p>
    <w:p w14:paraId="73ADA57E" w14:textId="7D4B389F" w:rsidR="00496244" w:rsidRPr="001E3190" w:rsidRDefault="00496244" w:rsidP="00317057">
      <w:pPr>
        <w:pStyle w:val="ARbody"/>
      </w:pPr>
      <w:r>
        <w:t>The redevelopment</w:t>
      </w:r>
      <w:r w:rsidRPr="001E3190">
        <w:t xml:space="preserve"> also features an expanded children</w:t>
      </w:r>
      <w:r w:rsidR="007D145B">
        <w:t>’</w:t>
      </w:r>
      <w:r w:rsidRPr="001E3190">
        <w:t>s section. This kids-only area is specially designed to give around 19,700 kids a year a calmer, more compassionate environment to receive emergency care</w:t>
      </w:r>
      <w:r>
        <w:t xml:space="preserve"> in</w:t>
      </w:r>
      <w:r w:rsidRPr="001E3190">
        <w:t>.</w:t>
      </w:r>
    </w:p>
    <w:p w14:paraId="67B2B527" w14:textId="77777777" w:rsidR="00496244" w:rsidRPr="001E3190" w:rsidRDefault="00496244" w:rsidP="00317057">
      <w:pPr>
        <w:pStyle w:val="ARbody"/>
      </w:pPr>
      <w:r w:rsidRPr="001E3190">
        <w:t>The bigger and better Sunshine Hospital will also include a $5.3 million emergency department mental health, alcohol and other drugs hub.</w:t>
      </w:r>
    </w:p>
    <w:p w14:paraId="4DDC860A" w14:textId="1D518B3E" w:rsidR="00496244" w:rsidRPr="001E3190" w:rsidRDefault="00496244" w:rsidP="00317057">
      <w:pPr>
        <w:pStyle w:val="ARbody"/>
      </w:pPr>
      <w:r w:rsidRPr="001E3190">
        <w:t>The new hub, one of six being delivered across the</w:t>
      </w:r>
      <w:r w:rsidR="005B655A">
        <w:t> </w:t>
      </w:r>
      <w:r w:rsidRPr="001E3190">
        <w:t>state, will mean people presenting at Sunshine Hospital</w:t>
      </w:r>
      <w:r w:rsidR="007D145B">
        <w:t>’</w:t>
      </w:r>
      <w:r w:rsidRPr="001E3190">
        <w:t>s emergency department with mental health, alcohol or other drug</w:t>
      </w:r>
      <w:r>
        <w:t>-</w:t>
      </w:r>
      <w:r w:rsidRPr="001E3190">
        <w:t>related issues can be</w:t>
      </w:r>
      <w:r w:rsidR="005B655A">
        <w:t> </w:t>
      </w:r>
      <w:r w:rsidRPr="001E3190">
        <w:t>fast tracked to specialist, dedicated care – providing them with the right support, sooner.</w:t>
      </w:r>
    </w:p>
    <w:p w14:paraId="200F048D" w14:textId="50CB5CBE" w:rsidR="00496244" w:rsidRDefault="00496244" w:rsidP="00317057">
      <w:pPr>
        <w:pStyle w:val="Heading6"/>
      </w:pPr>
      <w:bookmarkStart w:id="178" w:name="_Toc85121073"/>
      <w:r w:rsidRPr="001E3190">
        <w:t>Monash Medical Centre emergency department</w:t>
      </w:r>
      <w:r w:rsidR="005B655A">
        <w:rPr>
          <w:lang w:val="en-US"/>
        </w:rPr>
        <w:t xml:space="preserve"> </w:t>
      </w:r>
      <w:r w:rsidRPr="001E3190">
        <w:t>expansion</w:t>
      </w:r>
      <w:bookmarkEnd w:id="178"/>
    </w:p>
    <w:p w14:paraId="7B2E63AB" w14:textId="77777777" w:rsidR="00496244" w:rsidRDefault="00496244" w:rsidP="00317057">
      <w:pPr>
        <w:pStyle w:val="ARbody"/>
      </w:pPr>
      <w:r w:rsidRPr="001E3190">
        <w:t>The first stage of the $76.3 million Monash Medical Centre emergency department expansion is now complete.</w:t>
      </w:r>
    </w:p>
    <w:p w14:paraId="3DB29E24" w14:textId="23D355A1" w:rsidR="00496244" w:rsidRPr="001E3190" w:rsidRDefault="00496244" w:rsidP="00317057">
      <w:pPr>
        <w:pStyle w:val="ARbody"/>
        <w:rPr>
          <w:szCs w:val="20"/>
        </w:rPr>
      </w:pPr>
      <w:r w:rsidRPr="001E3190">
        <w:t>The first stage has delivered a new emergency department and triage entrance, a dedicated</w:t>
      </w:r>
      <w:r w:rsidRPr="001E3190">
        <w:rPr>
          <w:rFonts w:ascii="VIC-Regular" w:hAnsi="VIC-Regular"/>
          <w:color w:val="1A1A1A"/>
          <w:shd w:val="clear" w:color="auto" w:fill="F2F2F2"/>
        </w:rPr>
        <w:t xml:space="preserve"> </w:t>
      </w:r>
      <w:r w:rsidRPr="001E3190">
        <w:rPr>
          <w:szCs w:val="20"/>
        </w:rPr>
        <w:t>children</w:t>
      </w:r>
      <w:r w:rsidR="007D145B">
        <w:rPr>
          <w:szCs w:val="20"/>
        </w:rPr>
        <w:t>’</w:t>
      </w:r>
      <w:r w:rsidRPr="001E3190">
        <w:rPr>
          <w:szCs w:val="20"/>
        </w:rPr>
        <w:t>s emergency area, resus bay and new technology.</w:t>
      </w:r>
    </w:p>
    <w:p w14:paraId="0869B136" w14:textId="052AE483" w:rsidR="00496244" w:rsidRPr="001E3190" w:rsidRDefault="00496244" w:rsidP="00317057">
      <w:pPr>
        <w:pStyle w:val="ARbody"/>
      </w:pPr>
      <w:r w:rsidRPr="001E3190">
        <w:t>Expected to be completed in mid-2022, the project</w:t>
      </w:r>
      <w:r w:rsidR="005B655A">
        <w:t> </w:t>
      </w:r>
      <w:r w:rsidRPr="001E3190">
        <w:t>will now refurbish Monash Medical Centre</w:t>
      </w:r>
      <w:r w:rsidR="007D145B">
        <w:t>’</w:t>
      </w:r>
      <w:r w:rsidRPr="001E3190">
        <w:t>s existing emergency department</w:t>
      </w:r>
      <w:r>
        <w:t>,</w:t>
      </w:r>
      <w:r w:rsidRPr="001E3190">
        <w:t xml:space="preserve"> which includes a $5.3</w:t>
      </w:r>
      <w:r>
        <w:t> </w:t>
      </w:r>
      <w:r w:rsidRPr="001E3190">
        <w:t>million emergency department mental health, alcohol and other drugs hub.</w:t>
      </w:r>
    </w:p>
    <w:p w14:paraId="59C007D5" w14:textId="77777777" w:rsidR="00496244" w:rsidRPr="001E3190" w:rsidRDefault="00496244" w:rsidP="00317057">
      <w:pPr>
        <w:pStyle w:val="ARbody"/>
      </w:pPr>
      <w:r w:rsidRPr="001E3190">
        <w:t>The redevelopment will also improve access for ambulances arriving at emergency. This will ensure patients access the vital care they need faster and improve traffic flow.</w:t>
      </w:r>
    </w:p>
    <w:p w14:paraId="36F95E75" w14:textId="77777777" w:rsidR="00496244" w:rsidRPr="002029AF" w:rsidRDefault="00496244" w:rsidP="00603E4B">
      <w:pPr>
        <w:pStyle w:val="Heading6"/>
      </w:pPr>
      <w:bookmarkStart w:id="179" w:name="_Toc85121074"/>
      <w:r w:rsidRPr="002029AF">
        <w:rPr>
          <w:szCs w:val="20"/>
        </w:rPr>
        <w:t>Meeting the needs of regional Victoria</w:t>
      </w:r>
      <w:bookmarkEnd w:id="179"/>
    </w:p>
    <w:p w14:paraId="17A96D72" w14:textId="5AB119AC" w:rsidR="00496244" w:rsidRPr="002857E7" w:rsidRDefault="00496244" w:rsidP="000A264C">
      <w:pPr>
        <w:pStyle w:val="ARbody"/>
      </w:pPr>
      <w:r w:rsidRPr="002857E7">
        <w:t>The Victorian Government is investing $541.6</w:t>
      </w:r>
      <w:r w:rsidR="005B655A">
        <w:t> </w:t>
      </w:r>
      <w:r w:rsidRPr="002857E7">
        <w:t>million to redevelop and expand the Ballarat</w:t>
      </w:r>
      <w:r w:rsidR="005B655A">
        <w:t> </w:t>
      </w:r>
      <w:r w:rsidRPr="002857E7">
        <w:t>Base Hospital, $384.2 million for a major redevelopment of the Warrnambool Base Hospital, $59.5 million for a new day rehabilitation centre in Bendigo and $52.1 million in the regional alcohol and drug residential rehabilitation services</w:t>
      </w:r>
      <w:r>
        <w:t xml:space="preserve"> – </w:t>
      </w:r>
      <w:r w:rsidRPr="002857E7">
        <w:t>Stage</w:t>
      </w:r>
      <w:r w:rsidR="005B655A">
        <w:t> </w:t>
      </w:r>
      <w:r w:rsidRPr="002857E7">
        <w:t>2 and 3 projects (Corio, Traralgon and Wangaratta).</w:t>
      </w:r>
    </w:p>
    <w:p w14:paraId="59D87811" w14:textId="77777777" w:rsidR="00496244" w:rsidRPr="00A75E40" w:rsidRDefault="00496244" w:rsidP="00317057">
      <w:pPr>
        <w:pStyle w:val="Heading6"/>
      </w:pPr>
      <w:bookmarkStart w:id="180" w:name="_Toc85121075"/>
      <w:r w:rsidRPr="00A75E40">
        <w:t>Berengarra Residential Aged Care</w:t>
      </w:r>
      <w:bookmarkEnd w:id="180"/>
    </w:p>
    <w:p w14:paraId="60831338" w14:textId="533FD656" w:rsidR="00496244" w:rsidRDefault="00496244" w:rsidP="00317057">
      <w:pPr>
        <w:pStyle w:val="ARbody"/>
      </w:pPr>
      <w:r w:rsidRPr="00A75E40">
        <w:t>A new $55.57 million aged care facility is now open</w:t>
      </w:r>
      <w:r w:rsidR="005B655A">
        <w:t> </w:t>
      </w:r>
      <w:r w:rsidRPr="00A75E40">
        <w:t>in Kew.</w:t>
      </w:r>
    </w:p>
    <w:p w14:paraId="1F852C87" w14:textId="17BDBF3B" w:rsidR="00496244" w:rsidRDefault="00496244" w:rsidP="00317057">
      <w:pPr>
        <w:pStyle w:val="ARbody"/>
      </w:pPr>
      <w:r w:rsidRPr="00A75E40">
        <w:t>Named Berengarra, the 90-bed facility is on the St</w:t>
      </w:r>
      <w:r>
        <w:t> </w:t>
      </w:r>
      <w:r w:rsidRPr="00A75E40">
        <w:t>George</w:t>
      </w:r>
      <w:r w:rsidR="007D145B">
        <w:t>’</w:t>
      </w:r>
      <w:r w:rsidRPr="00A75E40">
        <w:t xml:space="preserve">s Hospital site </w:t>
      </w:r>
      <w:r w:rsidRPr="00445351">
        <w:t>and consists of two separate three-storey houses with pr</w:t>
      </w:r>
      <w:r w:rsidRPr="00A75E40">
        <w:t>ivate rooms and garden outlooks.</w:t>
      </w:r>
    </w:p>
    <w:p w14:paraId="530A0112" w14:textId="77777777" w:rsidR="00496244" w:rsidRDefault="00496244" w:rsidP="00317057">
      <w:pPr>
        <w:pStyle w:val="ARbody"/>
      </w:pPr>
      <w:r w:rsidRPr="00A75E40">
        <w:t>Opened in February 2021, the new facility can accommodate 30 residents on each floor in household pods with private rooms and ensuites.</w:t>
      </w:r>
    </w:p>
    <w:p w14:paraId="41D7FB10" w14:textId="5F60169C" w:rsidR="00496244" w:rsidRPr="00A75E40" w:rsidRDefault="00496244" w:rsidP="00317057">
      <w:pPr>
        <w:pStyle w:val="ARbody"/>
      </w:pPr>
      <w:r w:rsidRPr="00A75E40">
        <w:t>Delivered by the Victorian Health Building Authority, the project is part of the largest</w:t>
      </w:r>
      <w:r>
        <w:t>-</w:t>
      </w:r>
      <w:r w:rsidRPr="00A75E40">
        <w:t>ever revamp of Victoria</w:t>
      </w:r>
      <w:r w:rsidR="007D145B">
        <w:t>’</w:t>
      </w:r>
      <w:r w:rsidRPr="00A75E40">
        <w:t xml:space="preserve">s public sector residential aged care facilities, delivering best-practice care and integrated health and wellbeing services in </w:t>
      </w:r>
      <w:r w:rsidR="005B655A">
        <w:br/>
      </w:r>
      <w:r w:rsidRPr="00A75E40">
        <w:t>a home-like environment.</w:t>
      </w:r>
    </w:p>
    <w:p w14:paraId="15C76164" w14:textId="77777777" w:rsidR="00496244" w:rsidRPr="000324A8" w:rsidRDefault="00496244" w:rsidP="00317057">
      <w:pPr>
        <w:pStyle w:val="Heading6"/>
      </w:pPr>
      <w:bookmarkStart w:id="181" w:name="_Toc85121076"/>
      <w:r w:rsidRPr="000324A8">
        <w:t>Creswick Nursing Home dementia-friendly unit</w:t>
      </w:r>
      <w:bookmarkEnd w:id="181"/>
    </w:p>
    <w:p w14:paraId="1CF0053C" w14:textId="77777777" w:rsidR="00496244" w:rsidRDefault="00496244" w:rsidP="00317057">
      <w:pPr>
        <w:pStyle w:val="ARbody"/>
      </w:pPr>
      <w:r w:rsidRPr="00A75E40">
        <w:t>A new $3.2 million dementia</w:t>
      </w:r>
      <w:r>
        <w:t>-</w:t>
      </w:r>
      <w:r w:rsidRPr="00A75E40">
        <w:t>friendly unit at Creswick Nursing Home was completed and commenced operation</w:t>
      </w:r>
      <w:r>
        <w:t xml:space="preserve"> in December 2020</w:t>
      </w:r>
      <w:r w:rsidRPr="00A75E40">
        <w:t>. Funded via the Regional Health Infrastructure Fund, the upgrade included a new 12-bed unit purpose</w:t>
      </w:r>
      <w:r>
        <w:t xml:space="preserve"> </w:t>
      </w:r>
      <w:r w:rsidRPr="00A75E40">
        <w:t>built to provide best</w:t>
      </w:r>
      <w:r>
        <w:t>-</w:t>
      </w:r>
      <w:r w:rsidRPr="00A75E40">
        <w:t>practice dementia care.</w:t>
      </w:r>
    </w:p>
    <w:p w14:paraId="3F058259" w14:textId="77777777" w:rsidR="00496244" w:rsidRPr="00A75E40" w:rsidRDefault="00496244" w:rsidP="00317057">
      <w:pPr>
        <w:pStyle w:val="ARbody"/>
      </w:pPr>
      <w:r w:rsidRPr="00A75E40">
        <w:t>The new unit features private bedrooms with ensuites, shared social spaces</w:t>
      </w:r>
      <w:r>
        <w:t>,</w:t>
      </w:r>
      <w:r w:rsidRPr="00A75E40">
        <w:t xml:space="preserve"> a large central courtyard and access to gardens and landscaped areas.</w:t>
      </w:r>
    </w:p>
    <w:p w14:paraId="516668F9" w14:textId="77777777" w:rsidR="00496244" w:rsidRDefault="00496244" w:rsidP="00317057">
      <w:pPr>
        <w:pStyle w:val="ARbody"/>
      </w:pPr>
      <w:r w:rsidRPr="00A75E40">
        <w:t>The project also delivered improvements to the existing residential aged care facility, including a consolidation of common areas and upgrades to heating and cooling systems</w:t>
      </w:r>
      <w:r>
        <w:t>,</w:t>
      </w:r>
      <w:r w:rsidRPr="00A75E40">
        <w:t xml:space="preserve"> as well as upgraded mechanical, hydraulic, electrical and fire services in the complex.</w:t>
      </w:r>
    </w:p>
    <w:p w14:paraId="60D5EDB9" w14:textId="77777777" w:rsidR="00496244" w:rsidRPr="00A75E40" w:rsidRDefault="00496244" w:rsidP="00317057">
      <w:pPr>
        <w:pStyle w:val="Heading6"/>
      </w:pPr>
      <w:bookmarkStart w:id="182" w:name="_Toc85121077"/>
      <w:r w:rsidRPr="00A75E40">
        <w:lastRenderedPageBreak/>
        <w:t>Rural and Regional PSRACS Revitalisation</w:t>
      </w:r>
      <w:r>
        <w:rPr>
          <w:lang w:val="en-US"/>
        </w:rPr>
        <w:t> </w:t>
      </w:r>
      <w:r w:rsidRPr="00A75E40">
        <w:t>Strategy</w:t>
      </w:r>
      <w:bookmarkEnd w:id="182"/>
    </w:p>
    <w:p w14:paraId="0A0DC72C" w14:textId="14F0C720" w:rsidR="00496244" w:rsidRDefault="00496244" w:rsidP="00317057">
      <w:pPr>
        <w:pStyle w:val="ARbody"/>
        <w:rPr>
          <w:szCs w:val="20"/>
        </w:rPr>
      </w:pPr>
      <w:r>
        <w:t xml:space="preserve">Funding of </w:t>
      </w:r>
      <w:r w:rsidRPr="00A75E40">
        <w:t xml:space="preserve">$65 million is being invested to construct a new 50-bed aged care facility in Rutherglen ($57.118 million) and </w:t>
      </w:r>
      <w:r>
        <w:t xml:space="preserve">to </w:t>
      </w:r>
      <w:r w:rsidRPr="00A75E40">
        <w:t>design and</w:t>
      </w:r>
      <w:r w:rsidR="005B655A">
        <w:t> </w:t>
      </w:r>
      <w:r w:rsidRPr="00A75E40">
        <w:t>plan a 36-bed facility in Camperdown ($4.95</w:t>
      </w:r>
      <w:r w:rsidR="005B655A">
        <w:t> </w:t>
      </w:r>
      <w:r w:rsidRPr="00A75E40">
        <w:t>million) and a 24-bed fac</w:t>
      </w:r>
      <w:r w:rsidRPr="00A75E40">
        <w:rPr>
          <w:szCs w:val="20"/>
        </w:rPr>
        <w:t>ility in Cohuna ($2.93 million). These projects represent the first</w:t>
      </w:r>
      <w:r w:rsidR="005B655A">
        <w:rPr>
          <w:szCs w:val="20"/>
        </w:rPr>
        <w:t> </w:t>
      </w:r>
      <w:r w:rsidRPr="00A75E40">
        <w:rPr>
          <w:szCs w:val="20"/>
        </w:rPr>
        <w:t>stage of</w:t>
      </w:r>
      <w:r w:rsidR="005B655A">
        <w:rPr>
          <w:szCs w:val="20"/>
        </w:rPr>
        <w:t> </w:t>
      </w:r>
      <w:r w:rsidRPr="00A75E40">
        <w:rPr>
          <w:szCs w:val="20"/>
        </w:rPr>
        <w:t>the Victorian Government</w:t>
      </w:r>
      <w:r w:rsidR="007D145B">
        <w:rPr>
          <w:szCs w:val="20"/>
        </w:rPr>
        <w:t>’</w:t>
      </w:r>
      <w:r w:rsidRPr="00A75E40">
        <w:rPr>
          <w:szCs w:val="20"/>
        </w:rPr>
        <w:t xml:space="preserve">s </w:t>
      </w:r>
      <w:r w:rsidRPr="00151012">
        <w:rPr>
          <w:szCs w:val="20"/>
        </w:rPr>
        <w:t>Rural and</w:t>
      </w:r>
      <w:r w:rsidR="005B655A">
        <w:rPr>
          <w:szCs w:val="20"/>
        </w:rPr>
        <w:t> </w:t>
      </w:r>
      <w:r w:rsidRPr="00151012">
        <w:rPr>
          <w:szCs w:val="20"/>
        </w:rPr>
        <w:t>Regional PSRACS Revitalisation Strategy</w:t>
      </w:r>
      <w:r w:rsidRPr="00A75E40">
        <w:rPr>
          <w:szCs w:val="20"/>
        </w:rPr>
        <w:t>, progressively delivering purpose-built facilities that better meet community expectations and enable contemporary aged care practice in a dementia-friendly environment.</w:t>
      </w:r>
    </w:p>
    <w:p w14:paraId="4D9EAB37" w14:textId="77777777" w:rsidR="00496244" w:rsidRPr="00A84B73" w:rsidRDefault="00496244" w:rsidP="00317057">
      <w:pPr>
        <w:pStyle w:val="Heading6"/>
      </w:pPr>
      <w:bookmarkStart w:id="183" w:name="_Toc85121078"/>
      <w:r w:rsidRPr="00A84B73">
        <w:rPr>
          <w:rFonts w:eastAsia="Arial" w:cs="Arial"/>
          <w:szCs w:val="20"/>
        </w:rPr>
        <w:t>Public sector residential aged care facilities</w:t>
      </w:r>
      <w:r>
        <w:rPr>
          <w:rFonts w:eastAsia="Arial" w:cs="Arial"/>
          <w:szCs w:val="20"/>
          <w:lang w:val="en-US"/>
        </w:rPr>
        <w:t xml:space="preserve"> d</w:t>
      </w:r>
      <w:r w:rsidRPr="00A84B73">
        <w:rPr>
          <w:rFonts w:eastAsia="Arial" w:cs="Arial"/>
          <w:szCs w:val="20"/>
        </w:rPr>
        <w:t>esign guidelines (</w:t>
      </w:r>
      <w:r>
        <w:rPr>
          <w:rFonts w:eastAsia="Arial" w:cs="Arial"/>
          <w:szCs w:val="20"/>
        </w:rPr>
        <w:t>i</w:t>
      </w:r>
      <w:r w:rsidRPr="00A84B73">
        <w:rPr>
          <w:rFonts w:eastAsia="Arial" w:cs="Arial"/>
          <w:szCs w:val="20"/>
        </w:rPr>
        <w:t>nterim)</w:t>
      </w:r>
      <w:bookmarkEnd w:id="183"/>
    </w:p>
    <w:p w14:paraId="5B1B3AB7" w14:textId="0A44A2A8" w:rsidR="00496244" w:rsidRPr="00391918" w:rsidRDefault="00496244" w:rsidP="00317057">
      <w:pPr>
        <w:pStyle w:val="ARbody"/>
        <w:rPr>
          <w:szCs w:val="20"/>
          <w:lang w:eastAsia="en-AU"/>
        </w:rPr>
      </w:pPr>
      <w:r w:rsidRPr="00B80AD5">
        <w:t>Developed in partnership with the Victorian Health</w:t>
      </w:r>
      <w:r w:rsidR="005B655A">
        <w:t> </w:t>
      </w:r>
      <w:r w:rsidRPr="00B80AD5">
        <w:t>Building Authority, these guidelines set out requirements for facilities to enable person-centred evidence-based practice. These guidelines were</w:t>
      </w:r>
      <w:r w:rsidR="005B655A">
        <w:t> </w:t>
      </w:r>
      <w:r w:rsidRPr="00B80AD5">
        <w:t xml:space="preserve">developed to inform implementation of the </w:t>
      </w:r>
      <w:r w:rsidRPr="00B80AD5">
        <w:rPr>
          <w:i/>
          <w:iCs/>
        </w:rPr>
        <w:t>Modernisation of metropolitan Melbourne public sector residential aged care strategy</w:t>
      </w:r>
      <w:r w:rsidRPr="00B80AD5">
        <w:t xml:space="preserve"> to improve the quality and safety of our public sector residential aged care facilities</w:t>
      </w:r>
      <w:r>
        <w:t>.</w:t>
      </w:r>
    </w:p>
    <w:p w14:paraId="3EA8613D" w14:textId="77777777" w:rsidR="00496244" w:rsidRPr="002029AF" w:rsidRDefault="00496244" w:rsidP="00603E4B">
      <w:pPr>
        <w:pStyle w:val="Heading6"/>
        <w:rPr>
          <w:szCs w:val="20"/>
        </w:rPr>
      </w:pPr>
      <w:bookmarkStart w:id="184" w:name="_Toc85121079"/>
      <w:r w:rsidRPr="002029AF">
        <w:rPr>
          <w:szCs w:val="20"/>
        </w:rPr>
        <w:t>Cobaw Community Health Services</w:t>
      </w:r>
      <w:r>
        <w:rPr>
          <w:szCs w:val="20"/>
        </w:rPr>
        <w:t xml:space="preserve"> – </w:t>
      </w:r>
      <w:r w:rsidRPr="002029AF">
        <w:rPr>
          <w:szCs w:val="20"/>
        </w:rPr>
        <w:t>Healthy</w:t>
      </w:r>
      <w:r>
        <w:rPr>
          <w:szCs w:val="20"/>
        </w:rPr>
        <w:t> </w:t>
      </w:r>
      <w:r w:rsidRPr="002029AF">
        <w:rPr>
          <w:szCs w:val="20"/>
        </w:rPr>
        <w:t>Community Access Hub</w:t>
      </w:r>
      <w:bookmarkEnd w:id="184"/>
    </w:p>
    <w:p w14:paraId="5CA72412" w14:textId="77777777" w:rsidR="00496244" w:rsidRPr="001E16AF" w:rsidRDefault="00496244" w:rsidP="000A264C">
      <w:pPr>
        <w:pStyle w:val="ARbody"/>
      </w:pPr>
      <w:r w:rsidRPr="001E16AF">
        <w:t>The Victorian Government invested $9.7 million to develop a Healthy Community Access Hub within Cobaw Community Health Services in Kyneton.</w:t>
      </w:r>
    </w:p>
    <w:p w14:paraId="131FA840" w14:textId="3967B4A6" w:rsidR="00496244" w:rsidRDefault="00496244" w:rsidP="00317057">
      <w:pPr>
        <w:pStyle w:val="ARbody"/>
      </w:pPr>
      <w:r w:rsidRPr="001E16AF">
        <w:t xml:space="preserve">Now operational, the purpose-built hub has delivered 13 consult rooms for allied health, counselling, paediatric and family services. </w:t>
      </w:r>
      <w:r w:rsidR="005B655A">
        <w:br/>
      </w:r>
      <w:r w:rsidRPr="001E16AF">
        <w:t>E-health technology will help link patients in remote</w:t>
      </w:r>
      <w:r w:rsidR="005B655A">
        <w:t> </w:t>
      </w:r>
      <w:r w:rsidRPr="001E16AF">
        <w:t>areas with the healthcare they need. The hub also provides community meeting spaces and dedicated areas for youth and children</w:t>
      </w:r>
      <w:r w:rsidR="007D145B">
        <w:t>’</w:t>
      </w:r>
      <w:r w:rsidRPr="001E16AF">
        <w:t>s services.</w:t>
      </w:r>
    </w:p>
    <w:p w14:paraId="40864D55" w14:textId="77777777" w:rsidR="00496244" w:rsidRPr="00A106EC" w:rsidRDefault="00496244" w:rsidP="00317057">
      <w:pPr>
        <w:pStyle w:val="Heading6"/>
      </w:pPr>
      <w:bookmarkStart w:id="185" w:name="_Toc85121080"/>
      <w:r w:rsidRPr="00A106EC">
        <w:t>Melton hospital</w:t>
      </w:r>
      <w:bookmarkEnd w:id="185"/>
    </w:p>
    <w:p w14:paraId="7B51848D" w14:textId="54301E0D" w:rsidR="00496244" w:rsidRDefault="00496244" w:rsidP="000A264C">
      <w:pPr>
        <w:pStyle w:val="ARbody"/>
      </w:pPr>
      <w:r w:rsidRPr="001E16AF">
        <w:t>Plans are progressing for the development of Melton Hospital, with a site at 24</w:t>
      </w:r>
      <w:r>
        <w:t>5–</w:t>
      </w:r>
      <w:r w:rsidRPr="001E16AF">
        <w:t>267 Ferris Road, Cobblebank named as the preferred location</w:t>
      </w:r>
      <w:r w:rsidR="005B655A">
        <w:t> </w:t>
      </w:r>
      <w:r w:rsidRPr="001E16AF">
        <w:t>for the new 24-hour hospital.</w:t>
      </w:r>
    </w:p>
    <w:p w14:paraId="01570ACA" w14:textId="2A771EA7" w:rsidR="00496244" w:rsidRDefault="00496244" w:rsidP="000A264C">
      <w:pPr>
        <w:pStyle w:val="ARbody"/>
        <w:rPr>
          <w:rFonts w:ascii="VIC-Regular" w:hAnsi="VIC-Regular"/>
          <w:color w:val="000000"/>
        </w:rPr>
      </w:pPr>
      <w:r w:rsidRPr="001E16AF">
        <w:t>The parcel of land was identified following extensive planning with Melton City Council</w:t>
      </w:r>
      <w:r w:rsidR="005B655A">
        <w:t xml:space="preserve"> </w:t>
      </w:r>
      <w:r w:rsidRPr="001E16AF">
        <w:t>and</w:t>
      </w:r>
      <w:r w:rsidR="005B655A">
        <w:t> </w:t>
      </w:r>
      <w:r w:rsidRPr="001E16AF">
        <w:t>the</w:t>
      </w:r>
      <w:r w:rsidR="005B655A">
        <w:t> </w:t>
      </w:r>
      <w:r w:rsidRPr="001E16AF">
        <w:t>Victorian Planning Authority</w:t>
      </w:r>
      <w:r w:rsidRPr="001E16AF">
        <w:rPr>
          <w:rFonts w:ascii="VIC-Regular" w:hAnsi="VIC-Regular"/>
          <w:color w:val="000000"/>
        </w:rPr>
        <w:t>.</w:t>
      </w:r>
    </w:p>
    <w:p w14:paraId="03459AB6" w14:textId="77777777" w:rsidR="00496244" w:rsidRDefault="00496244" w:rsidP="00317057">
      <w:pPr>
        <w:pStyle w:val="Heading6"/>
      </w:pPr>
      <w:bookmarkStart w:id="186" w:name="_Toc85121081"/>
      <w:r w:rsidRPr="004623D4">
        <w:t>Frankston Hospital redevelopment</w:t>
      </w:r>
      <w:bookmarkEnd w:id="186"/>
    </w:p>
    <w:p w14:paraId="204CFBDB" w14:textId="77777777" w:rsidR="00496244" w:rsidRPr="001E16AF" w:rsidRDefault="00496244" w:rsidP="00317057">
      <w:pPr>
        <w:pStyle w:val="ARbody"/>
      </w:pPr>
      <w:r w:rsidRPr="001E16AF">
        <w:t>Planning for the $605 million Frankston Hospital redevelopment is continuing, with three consortia shortlisted.</w:t>
      </w:r>
    </w:p>
    <w:p w14:paraId="4466C753" w14:textId="7DF2D749" w:rsidR="00496244" w:rsidRPr="001E16AF" w:rsidRDefault="00496244" w:rsidP="00317057">
      <w:pPr>
        <w:pStyle w:val="ARbody"/>
      </w:pPr>
      <w:r w:rsidRPr="001E16AF">
        <w:t>The redevelopment will transform services at the hospital, providing world-class healthcare for local families and creating up to 1700 jobs during the peak of construction and in new opportunities for the healthcare sector in Melbourne</w:t>
      </w:r>
      <w:r w:rsidR="007D145B">
        <w:t>’</w:t>
      </w:r>
      <w:r w:rsidRPr="001E16AF">
        <w:t>s south-east.</w:t>
      </w:r>
    </w:p>
    <w:p w14:paraId="35F9A6A3" w14:textId="77777777" w:rsidR="00496244" w:rsidRPr="002029AF" w:rsidRDefault="00496244" w:rsidP="00603E4B">
      <w:pPr>
        <w:pStyle w:val="Heading5"/>
        <w:rPr>
          <w:rFonts w:eastAsia="Calibri"/>
        </w:rPr>
      </w:pPr>
      <w:bookmarkStart w:id="187" w:name="_Toc85121082"/>
      <w:r w:rsidRPr="002029AF">
        <w:rPr>
          <w:rFonts w:eastAsia="Calibri"/>
        </w:rPr>
        <w:t>Key result 38: Reduce waste arising from</w:t>
      </w:r>
      <w:r>
        <w:rPr>
          <w:rFonts w:eastAsia="Calibri"/>
        </w:rPr>
        <w:t> </w:t>
      </w:r>
      <w:r w:rsidRPr="002029AF">
        <w:rPr>
          <w:rFonts w:eastAsia="Calibri"/>
        </w:rPr>
        <w:t>the use of inappropriate care</w:t>
      </w:r>
      <w:bookmarkEnd w:id="187"/>
    </w:p>
    <w:p w14:paraId="457A9787" w14:textId="77777777" w:rsidR="00496244" w:rsidRDefault="00496244" w:rsidP="00317057">
      <w:pPr>
        <w:pStyle w:val="Heading6"/>
      </w:pPr>
      <w:bookmarkStart w:id="188" w:name="_Toc85121083"/>
      <w:r w:rsidRPr="005B72D6">
        <w:t>Delivering best care guidance</w:t>
      </w:r>
      <w:bookmarkEnd w:id="188"/>
    </w:p>
    <w:p w14:paraId="0B13E77E" w14:textId="3E5CC29A" w:rsidR="00496244" w:rsidRPr="00745F43" w:rsidRDefault="00496244" w:rsidP="00317057">
      <w:pPr>
        <w:pStyle w:val="ARbody"/>
      </w:pPr>
      <w:r>
        <w:t>The resumption of non-urgent elective surgery in late September 2020 was an opportunity to bring Victorian healthcare in line with national and international consensus on the care that provides the best outcomes for patients. Safer Care Victoria worked with experts to identify 26 elective procedures which have limited evidence of clinical</w:t>
      </w:r>
      <w:r w:rsidR="005B655A">
        <w:t> </w:t>
      </w:r>
      <w:r>
        <w:t>benefit for patients, except when specific clinical indications exist. These procedures are now only performed if a patient has a specific medical need. Guidance was published on topics from cosmetic surgery without medical indications to adenoidectomy as an isolated procedure in children, to help clinicians and patients make shared decisions about the best option for care. Consumer information on the risks associated with specific procedures and other treatments was also published to the Better Health Channel</w:t>
      </w:r>
    </w:p>
    <w:p w14:paraId="15A49143" w14:textId="77777777" w:rsidR="00496244" w:rsidRPr="00632AFC" w:rsidRDefault="00496244" w:rsidP="00317057">
      <w:pPr>
        <w:pStyle w:val="Heading6"/>
      </w:pPr>
      <w:bookmarkStart w:id="189" w:name="_Toc85121084"/>
      <w:r w:rsidRPr="00632AFC">
        <w:t>Waste management</w:t>
      </w:r>
      <w:bookmarkEnd w:id="189"/>
    </w:p>
    <w:p w14:paraId="65656B90" w14:textId="649FE5D1" w:rsidR="00496244" w:rsidRPr="00632AFC" w:rsidRDefault="00496244" w:rsidP="00317057">
      <w:pPr>
        <w:pStyle w:val="ARbody"/>
      </w:pPr>
      <w:r w:rsidRPr="00632AFC">
        <w:t xml:space="preserve">The department, in collaboration with Sustainability Victoria, HealthShare Victoria and several health services completed </w:t>
      </w:r>
      <w:r w:rsidRPr="004D7FBA">
        <w:t>the</w:t>
      </w:r>
      <w:r w:rsidRPr="00445351">
        <w:rPr>
          <w:i/>
          <w:iCs/>
        </w:rPr>
        <w:t xml:space="preserve"> </w:t>
      </w:r>
      <w:r w:rsidRPr="004D7FBA">
        <w:t>Waste Education in Healthcare</w:t>
      </w:r>
      <w:r w:rsidRPr="00445351">
        <w:rPr>
          <w:i/>
          <w:iCs/>
        </w:rPr>
        <w:t xml:space="preserve"> </w:t>
      </w:r>
      <w:r w:rsidRPr="00632AFC">
        <w:t>project. An independent evaluation found the project delivered against its objectives through using a diverse set of tools</w:t>
      </w:r>
      <w:r>
        <w:t>,</w:t>
      </w:r>
      <w:r w:rsidRPr="00632AFC">
        <w:t xml:space="preserve"> including online content, email updates, workshops, guidance booklets, in</w:t>
      </w:r>
      <w:r>
        <w:t>-</w:t>
      </w:r>
      <w:r w:rsidRPr="00632AFC">
        <w:t>service training, delivery of</w:t>
      </w:r>
      <w:r w:rsidR="005B655A">
        <w:t> </w:t>
      </w:r>
      <w:r w:rsidRPr="00632AFC">
        <w:t>pilot projects and webinars.</w:t>
      </w:r>
    </w:p>
    <w:p w14:paraId="7EDC644D" w14:textId="77777777" w:rsidR="00496244" w:rsidRPr="00632AFC" w:rsidRDefault="00496244" w:rsidP="00317057">
      <w:pPr>
        <w:pStyle w:val="ARbody"/>
      </w:pPr>
      <w:r w:rsidRPr="00632AFC">
        <w:t>The evaluation found that 65 per cent of survey respondents agreed that the project led to reduced waste generation for their health service</w:t>
      </w:r>
      <w:r>
        <w:t>.</w:t>
      </w:r>
      <w:r w:rsidRPr="00632AFC">
        <w:t xml:space="preserve"> </w:t>
      </w:r>
      <w:r>
        <w:t xml:space="preserve">Another </w:t>
      </w:r>
      <w:r w:rsidRPr="00632AFC">
        <w:t>72 per cent agreed that the project would lead to reduced waste generation for their health service in the future, and 75 per cent agreed that the project led to increased resource recovery.</w:t>
      </w:r>
    </w:p>
    <w:p w14:paraId="459CE819" w14:textId="77777777" w:rsidR="005B655A" w:rsidRDefault="005B655A" w:rsidP="00317057">
      <w:pPr>
        <w:pStyle w:val="ARbody"/>
      </w:pPr>
      <w:r>
        <w:br w:type="page"/>
      </w:r>
    </w:p>
    <w:p w14:paraId="6800DAE0" w14:textId="670E92A3" w:rsidR="00496244" w:rsidRPr="00230287" w:rsidRDefault="00496244" w:rsidP="00317057">
      <w:pPr>
        <w:pStyle w:val="ARbody"/>
      </w:pPr>
      <w:r w:rsidRPr="00230287">
        <w:lastRenderedPageBreak/>
        <w:t>The COVID-19 pandemic led to an increase in clinical waste generation of 33.8 per cent, or 1,613</w:t>
      </w:r>
      <w:r w:rsidR="005B655A">
        <w:t> </w:t>
      </w:r>
      <w:r w:rsidRPr="00230287">
        <w:t>tonnes. General waste also increased by 5</w:t>
      </w:r>
      <w:r w:rsidR="005B655A">
        <w:t> </w:t>
      </w:r>
      <w:r w:rsidRPr="00230287">
        <w:t>per cent, or 1,098 tonnes. The average waste generated per patient treated increased by 3.4</w:t>
      </w:r>
      <w:r w:rsidR="005B655A">
        <w:t> </w:t>
      </w:r>
      <w:r w:rsidRPr="00230287">
        <w:t>per</w:t>
      </w:r>
      <w:r w:rsidR="005B655A">
        <w:t> </w:t>
      </w:r>
      <w:r w:rsidRPr="00230287">
        <w:t>cent to 3.41 kilograms, while the average</w:t>
      </w:r>
      <w:r w:rsidR="005B655A">
        <w:t xml:space="preserve"> </w:t>
      </w:r>
      <w:r w:rsidRPr="00230287">
        <w:t>recycling rate decreased by 6.4 per cent to</w:t>
      </w:r>
      <w:r w:rsidR="005B655A">
        <w:t xml:space="preserve"> </w:t>
      </w:r>
      <w:r w:rsidRPr="00230287">
        <w:t>26</w:t>
      </w:r>
      <w:r w:rsidR="005B655A">
        <w:t> </w:t>
      </w:r>
      <w:r w:rsidRPr="00230287">
        <w:t>per</w:t>
      </w:r>
      <w:r w:rsidR="005B655A">
        <w:t> </w:t>
      </w:r>
      <w:r w:rsidRPr="00230287">
        <w:t>cent.</w:t>
      </w:r>
    </w:p>
    <w:p w14:paraId="03D9BBCA" w14:textId="2D6175DE" w:rsidR="00496244" w:rsidRPr="002029AF" w:rsidRDefault="00496244" w:rsidP="00603E4B">
      <w:pPr>
        <w:pStyle w:val="Heading4"/>
      </w:pPr>
      <w:bookmarkStart w:id="190" w:name="_Toc85121085"/>
      <w:r w:rsidRPr="002029AF">
        <w:t>Outcome 5.4: Services are safe, high</w:t>
      </w:r>
      <w:r>
        <w:t> </w:t>
      </w:r>
      <w:r w:rsidRPr="002029AF">
        <w:t>quality and provide a positive</w:t>
      </w:r>
      <w:r w:rsidR="005B655A">
        <w:t> </w:t>
      </w:r>
      <w:r w:rsidRPr="002029AF">
        <w:t>experience</w:t>
      </w:r>
      <w:bookmarkEnd w:id="190"/>
    </w:p>
    <w:p w14:paraId="5305E3E3" w14:textId="77777777" w:rsidR="00496244" w:rsidRPr="002029AF" w:rsidRDefault="00496244" w:rsidP="00603E4B">
      <w:pPr>
        <w:pStyle w:val="ARbody"/>
      </w:pPr>
      <w:r w:rsidRPr="002029AF">
        <w:t>Services provide positive experiences for Victorians and allow users to participate in the system in an empowered and engaged way. Services of this kind</w:t>
      </w:r>
      <w:r>
        <w:t> </w:t>
      </w:r>
      <w:r w:rsidRPr="002029AF">
        <w:t>are characterised by the safe delivery of care, strong leadership and workplace cultures, a skilled workforce, broad-based risk management, and a culture of continuous improvement and evidence-informed practice.</w:t>
      </w:r>
    </w:p>
    <w:p w14:paraId="24045B73" w14:textId="77777777" w:rsidR="00496244" w:rsidRPr="002029AF" w:rsidRDefault="00496244" w:rsidP="00603E4B">
      <w:pPr>
        <w:pStyle w:val="Heading5"/>
        <w:rPr>
          <w:szCs w:val="22"/>
        </w:rPr>
      </w:pPr>
      <w:bookmarkStart w:id="191" w:name="_Toc85121086"/>
      <w:r w:rsidRPr="002029AF">
        <w:rPr>
          <w:szCs w:val="22"/>
        </w:rPr>
        <w:t>Progress against outcomes</w:t>
      </w:r>
      <w:bookmarkEnd w:id="191"/>
    </w:p>
    <w:p w14:paraId="56351867" w14:textId="77777777" w:rsidR="00496244" w:rsidRPr="002029AF" w:rsidRDefault="00496244" w:rsidP="00603E4B">
      <w:pPr>
        <w:pStyle w:val="ARbody"/>
      </w:pPr>
      <w:r w:rsidRPr="002029AF">
        <w:t>Some of our key achievements in 20</w:t>
      </w:r>
      <w:r>
        <w:t>20</w:t>
      </w:r>
      <w:r w:rsidRPr="002029AF">
        <w:t>–2</w:t>
      </w:r>
      <w:r>
        <w:t>1</w:t>
      </w:r>
      <w:r w:rsidRPr="002029AF">
        <w:t xml:space="preserve"> are</w:t>
      </w:r>
      <w:r>
        <w:t> </w:t>
      </w:r>
      <w:r w:rsidRPr="002029AF">
        <w:t>outlined below.</w:t>
      </w:r>
    </w:p>
    <w:p w14:paraId="4DF60826" w14:textId="339F10BA" w:rsidR="00496244" w:rsidRPr="002029AF" w:rsidRDefault="00496244" w:rsidP="00603E4B">
      <w:pPr>
        <w:pStyle w:val="Heading5"/>
        <w:rPr>
          <w:rFonts w:eastAsia="Calibri"/>
        </w:rPr>
      </w:pPr>
      <w:bookmarkStart w:id="192" w:name="_Toc85121087"/>
      <w:r w:rsidRPr="002029AF">
        <w:rPr>
          <w:rFonts w:eastAsia="Calibri"/>
        </w:rPr>
        <w:t xml:space="preserve">Key result 39: Improve patient- and </w:t>
      </w:r>
      <w:r w:rsidR="00E27549">
        <w:rPr>
          <w:rFonts w:eastAsia="Calibri"/>
        </w:rPr>
        <w:br/>
      </w:r>
      <w:r w:rsidRPr="002029AF">
        <w:rPr>
          <w:rFonts w:eastAsia="Calibri"/>
        </w:rPr>
        <w:t>client-reported experiences of care and</w:t>
      </w:r>
      <w:r w:rsidR="00E27549">
        <w:rPr>
          <w:rFonts w:eastAsia="Calibri"/>
        </w:rPr>
        <w:t> </w:t>
      </w:r>
      <w:r w:rsidRPr="002029AF">
        <w:rPr>
          <w:rFonts w:eastAsia="Calibri"/>
        </w:rPr>
        <w:t>treatment</w:t>
      </w:r>
      <w:bookmarkEnd w:id="192"/>
    </w:p>
    <w:p w14:paraId="72A386BF" w14:textId="77777777" w:rsidR="00496244" w:rsidRPr="00A106EC" w:rsidRDefault="00496244" w:rsidP="00317057">
      <w:pPr>
        <w:pStyle w:val="Heading6"/>
      </w:pPr>
      <w:bookmarkStart w:id="193" w:name="_Toc85121088"/>
      <w:r w:rsidRPr="00A106EC">
        <w:t>Patient experience in specialist clinics</w:t>
      </w:r>
      <w:bookmarkEnd w:id="193"/>
    </w:p>
    <w:p w14:paraId="067551A4" w14:textId="77777777" w:rsidR="00496244" w:rsidRDefault="00496244" w:rsidP="00317057">
      <w:pPr>
        <w:pStyle w:val="ARbodynospace"/>
        <w:spacing w:after="120"/>
      </w:pPr>
      <w:r>
        <w:t>Collecting, analysing and sharing feedback from patients is fundamental to providing patient-centred care. The Victorian Healthcare Experience Survey (VHES), managed by the Victorian Agency for Health Information as part of its patient experience program, asks patients about their experiences during their stay at a Victorian public health service.</w:t>
      </w:r>
    </w:p>
    <w:p w14:paraId="5DC9A49E" w14:textId="77777777" w:rsidR="00496244" w:rsidRDefault="00496244" w:rsidP="00317057">
      <w:pPr>
        <w:pStyle w:val="ARbodynospace"/>
        <w:spacing w:after="120"/>
      </w:pPr>
      <w:r>
        <w:t xml:space="preserve">In January 2021, VAHI released the VHES </w:t>
      </w:r>
      <w:r w:rsidRPr="00445351">
        <w:rPr>
          <w:i/>
          <w:iCs/>
        </w:rPr>
        <w:t xml:space="preserve">Specialist </w:t>
      </w:r>
      <w:r>
        <w:rPr>
          <w:i/>
          <w:iCs/>
        </w:rPr>
        <w:t>c</w:t>
      </w:r>
      <w:r w:rsidRPr="00445351">
        <w:rPr>
          <w:i/>
          <w:iCs/>
        </w:rPr>
        <w:t xml:space="preserve">linics </w:t>
      </w:r>
      <w:r>
        <w:rPr>
          <w:i/>
          <w:iCs/>
        </w:rPr>
        <w:t>i</w:t>
      </w:r>
      <w:r w:rsidRPr="00445351">
        <w:rPr>
          <w:i/>
          <w:iCs/>
        </w:rPr>
        <w:t>nsight report</w:t>
      </w:r>
      <w:r>
        <w:t>. The report captured the experiences of over 42,000 adult and paediatric specialist clinics patients between 2016 and 2019.</w:t>
      </w:r>
    </w:p>
    <w:p w14:paraId="1BBD2967" w14:textId="2AF02ABC" w:rsidR="00496244" w:rsidRDefault="00496244" w:rsidP="00317057">
      <w:pPr>
        <w:pStyle w:val="ARbodynospace"/>
        <w:spacing w:after="120"/>
      </w:pPr>
      <w:r>
        <w:t xml:space="preserve">A key finding was that 92% of adult patients and 90% of paediatric patients rated their care as </w:t>
      </w:r>
      <w:r w:rsidR="007D145B">
        <w:t>‘</w:t>
      </w:r>
      <w:r>
        <w:t>good</w:t>
      </w:r>
      <w:r w:rsidR="007D145B">
        <w:t>’</w:t>
      </w:r>
      <w:r>
        <w:t xml:space="preserve"> or </w:t>
      </w:r>
      <w:r w:rsidR="007D145B">
        <w:t>‘</w:t>
      </w:r>
      <w:r>
        <w:t>very good,</w:t>
      </w:r>
      <w:r w:rsidR="007D145B">
        <w:t>’</w:t>
      </w:r>
      <w:r>
        <w:t xml:space="preserve"> highlighting several areas that influenced their overall experience. The report did highlight areas for improvement, including the high variation across Victoria in the provision of medicines information.</w:t>
      </w:r>
    </w:p>
    <w:p w14:paraId="42EA0C64" w14:textId="77777777" w:rsidR="00496244" w:rsidRDefault="00496244" w:rsidP="00317057">
      <w:pPr>
        <w:pStyle w:val="ARbodynospace"/>
        <w:spacing w:after="120"/>
      </w:pPr>
      <w:r>
        <w:t xml:space="preserve">Through this learning, health services were encouraged to review their results, and identify areas for improvement. Improvement opportunities </w:t>
      </w:r>
      <w:r>
        <w:t>identified included the provision of written or printed medicines information and explaining any changes to medicines in a way the patient can understand.</w:t>
      </w:r>
    </w:p>
    <w:p w14:paraId="27EA261B" w14:textId="19533DDA" w:rsidR="00496244" w:rsidRPr="002029AF" w:rsidRDefault="00496244" w:rsidP="00317057">
      <w:pPr>
        <w:pStyle w:val="ARbodynospace"/>
        <w:spacing w:after="120"/>
      </w:pPr>
      <w:r>
        <w:t xml:space="preserve">Safer Care Victoria is working with health services on the </w:t>
      </w:r>
      <w:r w:rsidR="007D145B">
        <w:t>‘</w:t>
      </w:r>
      <w:r>
        <w:t>Teachback</w:t>
      </w:r>
      <w:r w:rsidR="007D145B">
        <w:t>’</w:t>
      </w:r>
      <w:r>
        <w:t xml:space="preserve"> initiative, which is a tool that assists clinicians to communicate effectively with</w:t>
      </w:r>
      <w:r w:rsidR="00E27549">
        <w:t> </w:t>
      </w:r>
      <w:r>
        <w:t>patients and is shown to make a positive contribution to patient outcomes. In addition, the department is leading reforms to specialist clinic referral criteria, which are aimed at improving patient access to specialist clinics.</w:t>
      </w:r>
    </w:p>
    <w:p w14:paraId="5CC4A21D" w14:textId="77777777" w:rsidR="00496244" w:rsidRPr="002029AF" w:rsidRDefault="00496244" w:rsidP="00317057">
      <w:pPr>
        <w:pStyle w:val="Heading6"/>
        <w:rPr>
          <w:szCs w:val="20"/>
        </w:rPr>
      </w:pPr>
      <w:bookmarkStart w:id="194" w:name="_Toc85121089"/>
      <w:r>
        <w:rPr>
          <w:szCs w:val="20"/>
        </w:rPr>
        <w:t>Better at Home</w:t>
      </w:r>
      <w:bookmarkEnd w:id="194"/>
    </w:p>
    <w:p w14:paraId="7E8C173C" w14:textId="0B9EC536" w:rsidR="00496244" w:rsidRDefault="00496244">
      <w:pPr>
        <w:pStyle w:val="ARbodynospace"/>
        <w:spacing w:after="120"/>
      </w:pPr>
      <w:r>
        <w:t>In 2020–21 the Victorian Budget allocated $120.9</w:t>
      </w:r>
      <w:r w:rsidR="00E27549">
        <w:t> </w:t>
      </w:r>
      <w:r>
        <w:t xml:space="preserve">million over three years to the new </w:t>
      </w:r>
      <w:r w:rsidRPr="00445351">
        <w:t>Better at</w:t>
      </w:r>
      <w:r w:rsidR="00E27549">
        <w:t> </w:t>
      </w:r>
      <w:r w:rsidRPr="00445351">
        <w:t>Home</w:t>
      </w:r>
      <w:r>
        <w:t xml:space="preserve"> Initiative, to give more patients the opportunity to recover from illness or surgery at home in the comfort and familiarity of family and friends.</w:t>
      </w:r>
    </w:p>
    <w:p w14:paraId="5F645DCB" w14:textId="13BC97D6" w:rsidR="00496244" w:rsidRDefault="00496244">
      <w:pPr>
        <w:pStyle w:val="ARbodynospace"/>
        <w:spacing w:after="120"/>
      </w:pPr>
      <w:r>
        <w:t>This investment includes $102.6 million to provide a range of different types of care at home, including virtual clinic appointments and home-delivered chemotherapy, post-surgical care and rehabilitation – making a real difference to people</w:t>
      </w:r>
      <w:r w:rsidR="007D145B">
        <w:t>’</w:t>
      </w:r>
      <w:r>
        <w:t>s lives.</w:t>
      </w:r>
    </w:p>
    <w:p w14:paraId="286F1E79" w14:textId="77777777" w:rsidR="00496244" w:rsidRDefault="00496244" w:rsidP="00317057">
      <w:pPr>
        <w:pStyle w:val="ARbodynospace"/>
        <w:spacing w:after="120"/>
      </w:pPr>
      <w:r>
        <w:t>Virtual care technology is being boosted through a $12.5 million investment to sustain the high rates of telehealth we have achieved during the pandemic and support the development of innovative new models of 21</w:t>
      </w:r>
      <w:r w:rsidRPr="00445351">
        <w:rPr>
          <w:vertAlign w:val="superscript"/>
        </w:rPr>
        <w:t>st</w:t>
      </w:r>
      <w:r>
        <w:rPr>
          <w:vertAlign w:val="superscript"/>
        </w:rPr>
        <w:t>-</w:t>
      </w:r>
      <w:r>
        <w:t>century care.</w:t>
      </w:r>
    </w:p>
    <w:p w14:paraId="49F0C6BF" w14:textId="58D1624A" w:rsidR="00496244" w:rsidRDefault="00496244" w:rsidP="00317057">
      <w:pPr>
        <w:pStyle w:val="ARbodynospace"/>
        <w:spacing w:after="120"/>
      </w:pPr>
      <w:r>
        <w:t>A further $5.8 million is helping health services to engage the clinical workforce in this transformation of care in Victoria, through training, support and clinical redesign, which will provide more options to</w:t>
      </w:r>
      <w:r w:rsidR="00E27549">
        <w:t> </w:t>
      </w:r>
      <w:r>
        <w:t>receive care at home.</w:t>
      </w:r>
    </w:p>
    <w:p w14:paraId="3031F690" w14:textId="77777777" w:rsidR="00864121" w:rsidRDefault="00496244" w:rsidP="00317057">
      <w:pPr>
        <w:pStyle w:val="ARbodynospace"/>
        <w:spacing w:after="120"/>
      </w:pPr>
      <w:r>
        <w:t>Clinical evidence shows patients achieve better outcomes at home, where they avoid the physical deterioration, sleep disruption and social isolation associated with hospital stays.</w:t>
      </w:r>
      <w:r w:rsidRPr="008532F6">
        <w:t xml:space="preserve"> </w:t>
      </w:r>
      <w:r>
        <w:t>The initiative will also improve experience of care, enabling patients to choose to recover in a familiar environment, rather than in hospital if they prefer.</w:t>
      </w:r>
    </w:p>
    <w:p w14:paraId="2C921F85" w14:textId="680C053D" w:rsidR="00496244" w:rsidRPr="002029AF" w:rsidRDefault="00496244" w:rsidP="00603E4B">
      <w:pPr>
        <w:pStyle w:val="Heading5"/>
        <w:rPr>
          <w:rFonts w:eastAsia="Calibri"/>
          <w:bCs/>
        </w:rPr>
      </w:pPr>
      <w:bookmarkStart w:id="195" w:name="_Toc85121090"/>
      <w:r w:rsidRPr="002029AF">
        <w:rPr>
          <w:rFonts w:eastAsia="Calibri"/>
        </w:rPr>
        <w:t>Key result</w:t>
      </w:r>
      <w:r w:rsidRPr="002029AF">
        <w:rPr>
          <w:rFonts w:eastAsia="Calibri"/>
          <w:bCs/>
        </w:rPr>
        <w:t>: Increase the transparency of</w:t>
      </w:r>
      <w:r>
        <w:rPr>
          <w:rFonts w:eastAsia="Calibri"/>
          <w:bCs/>
        </w:rPr>
        <w:t> </w:t>
      </w:r>
      <w:r w:rsidRPr="002029AF">
        <w:rPr>
          <w:rFonts w:eastAsia="Calibri"/>
          <w:bCs/>
        </w:rPr>
        <w:t>service safety and quality</w:t>
      </w:r>
      <w:bookmarkEnd w:id="195"/>
    </w:p>
    <w:p w14:paraId="7CCFEB62" w14:textId="77777777" w:rsidR="00496244" w:rsidRPr="002029AF" w:rsidRDefault="00496244" w:rsidP="00603E4B">
      <w:pPr>
        <w:pStyle w:val="Heading6"/>
        <w:rPr>
          <w:szCs w:val="20"/>
        </w:rPr>
      </w:pPr>
      <w:bookmarkStart w:id="196" w:name="_Toc85121091"/>
      <w:r w:rsidRPr="002029AF">
        <w:rPr>
          <w:szCs w:val="20"/>
        </w:rPr>
        <w:t xml:space="preserve">Medication management in </w:t>
      </w:r>
      <w:r>
        <w:rPr>
          <w:szCs w:val="20"/>
        </w:rPr>
        <w:t>public sector residential aged care services</w:t>
      </w:r>
      <w:bookmarkEnd w:id="196"/>
    </w:p>
    <w:p w14:paraId="4F860609" w14:textId="032735E4" w:rsidR="00496244" w:rsidRPr="002029AF" w:rsidRDefault="00496244" w:rsidP="00603E4B">
      <w:pPr>
        <w:pStyle w:val="ARbody"/>
      </w:pPr>
      <w:r w:rsidRPr="002029AF">
        <w:t>In its submission to the Commonwealth Government</w:t>
      </w:r>
      <w:r w:rsidR="007D145B">
        <w:t>’</w:t>
      </w:r>
      <w:r w:rsidRPr="002029AF">
        <w:t xml:space="preserve">s Royal Commission into Aged Care Quality and Safety, the Victorian Government noted that medication management for older people could </w:t>
      </w:r>
      <w:r w:rsidRPr="002029AF">
        <w:lastRenderedPageBreak/>
        <w:t xml:space="preserve">be improved through </w:t>
      </w:r>
      <w:r w:rsidRPr="00B80AD5" w:rsidDel="005004D4">
        <w:t>approaches</w:t>
      </w:r>
      <w:r w:rsidRPr="00B80AD5">
        <w:t xml:space="preserve"> that</w:t>
      </w:r>
      <w:r w:rsidRPr="00B80AD5" w:rsidDel="005004D4">
        <w:t xml:space="preserve"> would </w:t>
      </w:r>
      <w:r w:rsidRPr="00B80AD5">
        <w:t xml:space="preserve">improve </w:t>
      </w:r>
      <w:r w:rsidRPr="00B80AD5" w:rsidDel="005004D4">
        <w:t>consumer health literacy</w:t>
      </w:r>
      <w:r w:rsidRPr="00B80AD5">
        <w:t xml:space="preserve">, </w:t>
      </w:r>
      <w:r w:rsidRPr="00B80AD5" w:rsidDel="005004D4">
        <w:t>oversight of quality use of medicines</w:t>
      </w:r>
      <w:r w:rsidRPr="00B80AD5">
        <w:t xml:space="preserve"> and </w:t>
      </w:r>
      <w:r w:rsidRPr="00B80AD5" w:rsidDel="005004D4">
        <w:t>invest</w:t>
      </w:r>
      <w:r>
        <w:t>ment</w:t>
      </w:r>
      <w:r w:rsidRPr="00B80AD5" w:rsidDel="005004D4">
        <w:t xml:space="preserve"> in datasets</w:t>
      </w:r>
      <w:r>
        <w:t>.</w:t>
      </w:r>
    </w:p>
    <w:p w14:paraId="63A275C9" w14:textId="77777777" w:rsidR="00496244" w:rsidRPr="002029AF" w:rsidRDefault="00496244" w:rsidP="00603E4B">
      <w:pPr>
        <w:pStyle w:val="ARbodyafterbullets"/>
      </w:pPr>
      <w:r>
        <w:t>As part of preparing for the implementation of the Royal Commission into Aged Care Quality and Safety recommendations, the department will continue to support PSRACS to participate in medication reforms, including through use of the electronic National Residential Medication Charts and My Health Record.</w:t>
      </w:r>
    </w:p>
    <w:p w14:paraId="6A8D9D26" w14:textId="664D6CE6" w:rsidR="00496244" w:rsidRPr="004903FF" w:rsidRDefault="00496244" w:rsidP="00E27549">
      <w:pPr>
        <w:pStyle w:val="Heading6"/>
      </w:pPr>
      <w:r w:rsidRPr="004903FF">
        <w:t>Victoria</w:t>
      </w:r>
      <w:r w:rsidR="007D145B">
        <w:t>’</w:t>
      </w:r>
      <w:r w:rsidRPr="004903FF">
        <w:t>s first hospital</w:t>
      </w:r>
      <w:r>
        <w:t>-</w:t>
      </w:r>
      <w:r w:rsidRPr="004903FF">
        <w:t>acquired complications</w:t>
      </w:r>
      <w:r>
        <w:t> </w:t>
      </w:r>
      <w:r w:rsidRPr="004903FF">
        <w:t>report</w:t>
      </w:r>
    </w:p>
    <w:p w14:paraId="55D2A1AE" w14:textId="77777777" w:rsidR="00496244" w:rsidRDefault="00496244" w:rsidP="00317057">
      <w:pPr>
        <w:pStyle w:val="ARbody"/>
      </w:pPr>
      <w:r>
        <w:t xml:space="preserve">The Victorian Agency for Health Information released the first </w:t>
      </w:r>
      <w:r w:rsidRPr="003C2807">
        <w:t>stand-alone</w:t>
      </w:r>
      <w:r>
        <w:t xml:space="preserve"> </w:t>
      </w:r>
      <w:r w:rsidRPr="0081340D">
        <w:rPr>
          <w:i/>
          <w:iCs/>
        </w:rPr>
        <w:t xml:space="preserve">Hospital-acquired complications in Victorian public health services report </w:t>
      </w:r>
      <w:r>
        <w:t>to all Victorian public health services in December 2020. The</w:t>
      </w:r>
      <w:r>
        <w:rPr>
          <w:i/>
          <w:iCs/>
        </w:rPr>
        <w:t xml:space="preserve"> </w:t>
      </w:r>
      <w:r w:rsidRPr="00D90C5E">
        <w:t>report</w:t>
      </w:r>
      <w:r>
        <w:rPr>
          <w:i/>
          <w:iCs/>
        </w:rPr>
        <w:t xml:space="preserve"> </w:t>
      </w:r>
      <w:r>
        <w:t xml:space="preserve">focused on 15 </w:t>
      </w:r>
      <w:r w:rsidRPr="00445351">
        <w:t>reportable hospital-acquired complications (HACs) defined by the Australian Commission on Safety and Quality in Healthcare. A HAC is a serious complication that a patient has suffered after admission to hospital</w:t>
      </w:r>
      <w:r>
        <w:t>,</w:t>
      </w:r>
      <w:r w:rsidRPr="00445351">
        <w:t xml:space="preserve"> and which is thought to be potentially preventable. HACs come at a cost to patients and</w:t>
      </w:r>
      <w:r>
        <w:t xml:space="preserve"> the health system and can lengthen recovery time and pain and suffering.</w:t>
      </w:r>
    </w:p>
    <w:p w14:paraId="0C91791D" w14:textId="77777777" w:rsidR="00496244" w:rsidRPr="002029AF" w:rsidRDefault="00496244" w:rsidP="00317057">
      <w:pPr>
        <w:pStyle w:val="ARbody"/>
      </w:pPr>
      <w:r>
        <w:t xml:space="preserve">In developing this new report, VAHI aims to support meaningful improvement in patient outcomes by empowering clinicians with data which can also inform system learnings and the design of future interventions. The HACs report delivers on recommendations from </w:t>
      </w:r>
      <w:r w:rsidRPr="00445351">
        <w:rPr>
          <w:i/>
          <w:iCs/>
        </w:rPr>
        <w:t>Targeting zero</w:t>
      </w:r>
      <w:r>
        <w:t>, which identified the need to reduce HACs. VAHI now provides a quarterly individualised HACs report to each health service and is working to expand HACs reporting in other VAHI reports, including for private hospitals.</w:t>
      </w:r>
    </w:p>
    <w:p w14:paraId="43E00C66" w14:textId="77777777" w:rsidR="00496244" w:rsidRPr="002029AF" w:rsidRDefault="00496244" w:rsidP="00603E4B">
      <w:pPr>
        <w:pStyle w:val="ARbody"/>
        <w:sectPr w:rsidR="00496244" w:rsidRPr="002029AF" w:rsidSect="0002026A">
          <w:footnotePr>
            <w:numFmt w:val="lowerLetter"/>
            <w:numRestart w:val="eachPage"/>
          </w:footnotePr>
          <w:endnotePr>
            <w:numFmt w:val="decimal"/>
          </w:endnotePr>
          <w:type w:val="continuous"/>
          <w:pgSz w:w="11900" w:h="16840" w:code="9"/>
          <w:pgMar w:top="1985" w:right="1134" w:bottom="851" w:left="1134" w:header="510" w:footer="340" w:gutter="0"/>
          <w:cols w:num="2" w:space="454"/>
        </w:sectPr>
      </w:pPr>
    </w:p>
    <w:p w14:paraId="05488E1C" w14:textId="77777777" w:rsidR="00496244" w:rsidRPr="000B199E" w:rsidRDefault="00496244" w:rsidP="00317057">
      <w:pPr>
        <w:pStyle w:val="ARbody"/>
      </w:pPr>
      <w:bookmarkStart w:id="197" w:name="_Ref52806676"/>
      <w:bookmarkEnd w:id="111"/>
      <w:bookmarkEnd w:id="112"/>
      <w:r w:rsidRPr="000B199E">
        <w:br w:type="page"/>
      </w:r>
    </w:p>
    <w:p w14:paraId="4B806E9C" w14:textId="77777777" w:rsidR="00496244" w:rsidRPr="002029AF" w:rsidRDefault="00496244" w:rsidP="003B2EE7">
      <w:pPr>
        <w:pStyle w:val="Heading4"/>
        <w:spacing w:before="0"/>
      </w:pPr>
      <w:bookmarkStart w:id="198" w:name="_Toc85121092"/>
      <w:r w:rsidRPr="002029AF">
        <w:lastRenderedPageBreak/>
        <w:t xml:space="preserve">Objective 5: </w:t>
      </w:r>
      <w:r>
        <w:t>I</w:t>
      </w:r>
      <w:r w:rsidRPr="002029AF">
        <w:t>ndicator results</w:t>
      </w:r>
      <w:bookmarkEnd w:id="197"/>
      <w:bookmarkEnd w:id="198"/>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5516"/>
        <w:gridCol w:w="1017"/>
        <w:gridCol w:w="1017"/>
        <w:gridCol w:w="1017"/>
        <w:gridCol w:w="1017"/>
        <w:gridCol w:w="55"/>
      </w:tblGrid>
      <w:tr w:rsidR="00496244" w:rsidRPr="002029AF" w14:paraId="4CF96095" w14:textId="77777777" w:rsidTr="00317057">
        <w:trPr>
          <w:gridAfter w:val="1"/>
          <w:wAfter w:w="55" w:type="dxa"/>
          <w:cantSplit/>
          <w:tblHeader/>
        </w:trPr>
        <w:tc>
          <w:tcPr>
            <w:tcW w:w="5557" w:type="dxa"/>
            <w:tcBorders>
              <w:top w:val="nil"/>
              <w:left w:val="single" w:sz="4" w:space="0" w:color="FFFFFF" w:themeColor="background1"/>
              <w:bottom w:val="single" w:sz="4" w:space="0" w:color="auto"/>
              <w:right w:val="single" w:sz="4" w:space="0" w:color="FFFFFF" w:themeColor="background1"/>
            </w:tcBorders>
            <w:vAlign w:val="bottom"/>
          </w:tcPr>
          <w:p w14:paraId="1920377B" w14:textId="77777777" w:rsidR="00496244" w:rsidRPr="002029AF" w:rsidRDefault="00496244" w:rsidP="00317057">
            <w:pPr>
              <w:pStyle w:val="ARtablecolhead"/>
            </w:pPr>
          </w:p>
        </w:tc>
        <w:tc>
          <w:tcPr>
            <w:tcW w:w="1021" w:type="dxa"/>
            <w:tcBorders>
              <w:top w:val="nil"/>
              <w:left w:val="single" w:sz="4" w:space="0" w:color="FFFFFF" w:themeColor="background1"/>
              <w:bottom w:val="single" w:sz="4" w:space="0" w:color="auto"/>
              <w:right w:val="single" w:sz="4" w:space="0" w:color="FFFFFF" w:themeColor="background1"/>
            </w:tcBorders>
            <w:hideMark/>
          </w:tcPr>
          <w:p w14:paraId="03FD373D" w14:textId="77777777" w:rsidR="00496244" w:rsidRPr="002029AF" w:rsidRDefault="00496244" w:rsidP="00317057">
            <w:pPr>
              <w:pStyle w:val="ARtablecolhead"/>
            </w:pPr>
            <w:r w:rsidRPr="002029AF">
              <w:t>2017–18</w:t>
            </w:r>
          </w:p>
        </w:tc>
        <w:tc>
          <w:tcPr>
            <w:tcW w:w="1021" w:type="dxa"/>
            <w:tcBorders>
              <w:top w:val="nil"/>
              <w:left w:val="single" w:sz="4" w:space="0" w:color="FFFFFF" w:themeColor="background1"/>
              <w:bottom w:val="single" w:sz="4" w:space="0" w:color="auto"/>
              <w:right w:val="single" w:sz="4" w:space="0" w:color="FFFFFF" w:themeColor="background1"/>
            </w:tcBorders>
          </w:tcPr>
          <w:p w14:paraId="243CD290" w14:textId="77777777" w:rsidR="00496244" w:rsidRPr="002029AF" w:rsidRDefault="00496244" w:rsidP="00317057">
            <w:pPr>
              <w:pStyle w:val="ARtablecolhead"/>
            </w:pPr>
            <w:r w:rsidRPr="002029AF">
              <w:t>2018–19</w:t>
            </w:r>
          </w:p>
        </w:tc>
        <w:tc>
          <w:tcPr>
            <w:tcW w:w="1021" w:type="dxa"/>
            <w:tcBorders>
              <w:top w:val="nil"/>
              <w:left w:val="single" w:sz="4" w:space="0" w:color="FFFFFF" w:themeColor="background1"/>
              <w:bottom w:val="single" w:sz="4" w:space="0" w:color="auto"/>
              <w:right w:val="single" w:sz="4" w:space="0" w:color="FFFFFF" w:themeColor="background1"/>
            </w:tcBorders>
          </w:tcPr>
          <w:p w14:paraId="4C66A904" w14:textId="77777777" w:rsidR="00496244" w:rsidRPr="002029AF" w:rsidRDefault="00496244" w:rsidP="00317057">
            <w:pPr>
              <w:pStyle w:val="ARtablecolhead"/>
            </w:pPr>
            <w:r w:rsidRPr="002029AF">
              <w:t>2019–20</w:t>
            </w:r>
          </w:p>
        </w:tc>
        <w:tc>
          <w:tcPr>
            <w:tcW w:w="1021" w:type="dxa"/>
            <w:tcBorders>
              <w:top w:val="nil"/>
              <w:left w:val="single" w:sz="4" w:space="0" w:color="FFFFFF" w:themeColor="background1"/>
              <w:bottom w:val="single" w:sz="4" w:space="0" w:color="auto"/>
              <w:right w:val="single" w:sz="4" w:space="0" w:color="FFFFFF" w:themeColor="background1"/>
            </w:tcBorders>
          </w:tcPr>
          <w:p w14:paraId="196EDBF7" w14:textId="77777777" w:rsidR="00496244" w:rsidRPr="002029AF" w:rsidRDefault="00496244" w:rsidP="00317057">
            <w:pPr>
              <w:pStyle w:val="ARtablecolhead"/>
            </w:pPr>
            <w:r>
              <w:t>2020–21</w:t>
            </w:r>
          </w:p>
        </w:tc>
      </w:tr>
      <w:tr w:rsidR="00496244" w:rsidRPr="002029AF" w14:paraId="59BE6700" w14:textId="77777777" w:rsidTr="00317057">
        <w:trPr>
          <w:cantSplit/>
        </w:trPr>
        <w:tc>
          <w:tcPr>
            <w:tcW w:w="5557" w:type="dxa"/>
            <w:gridSpan w:val="6"/>
            <w:tcBorders>
              <w:top w:val="single" w:sz="4" w:space="0" w:color="auto"/>
              <w:left w:val="single" w:sz="4" w:space="0" w:color="FFFFFF" w:themeColor="background1"/>
              <w:bottom w:val="single" w:sz="4" w:space="0" w:color="BFBFBF" w:themeColor="background1" w:themeShade="BF"/>
              <w:right w:val="single" w:sz="4" w:space="0" w:color="FFFFFF" w:themeColor="background1"/>
            </w:tcBorders>
            <w:hideMark/>
          </w:tcPr>
          <w:p w14:paraId="15FB0368" w14:textId="77777777" w:rsidR="00496244" w:rsidRPr="002029AF" w:rsidRDefault="00496244" w:rsidP="00317057">
            <w:pPr>
              <w:pStyle w:val="ARtablesubhead"/>
            </w:pPr>
            <w:r w:rsidRPr="002029AF">
              <w:t>Services are appropriate and accessible in the right place, at the right time</w:t>
            </w:r>
          </w:p>
        </w:tc>
      </w:tr>
      <w:tr w:rsidR="00496244" w:rsidRPr="002029AF" w14:paraId="0081ECCD" w14:textId="77777777" w:rsidTr="00317057">
        <w:trPr>
          <w:gridAfter w:val="1"/>
          <w:wAfter w:w="55" w:type="dxa"/>
          <w:cantSplit/>
        </w:trPr>
        <w:tc>
          <w:tcPr>
            <w:tcW w:w="5557"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hideMark/>
          </w:tcPr>
          <w:p w14:paraId="78824A02" w14:textId="77777777" w:rsidR="00496244" w:rsidRPr="002029AF" w:rsidRDefault="00496244" w:rsidP="00317057">
            <w:pPr>
              <w:pStyle w:val="ARtabletext"/>
              <w:rPr>
                <w:i/>
              </w:rPr>
            </w:pPr>
            <w:r w:rsidRPr="002029AF">
              <w:t>Non-urgent (Category 3) elective surgery patients admitted within 365 days</w:t>
            </w:r>
          </w:p>
        </w:tc>
        <w:tc>
          <w:tcPr>
            <w:tcW w:w="1021"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395E14DB" w14:textId="77777777" w:rsidR="00496244" w:rsidRPr="002029AF" w:rsidRDefault="00496244" w:rsidP="00317057">
            <w:pPr>
              <w:pStyle w:val="ARtabletext"/>
            </w:pPr>
            <w:r w:rsidRPr="002029AF">
              <w:t>95.7%</w:t>
            </w:r>
          </w:p>
        </w:tc>
        <w:tc>
          <w:tcPr>
            <w:tcW w:w="1021"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6952DF36" w14:textId="77777777" w:rsidR="00496244" w:rsidRPr="002029AF" w:rsidRDefault="00496244" w:rsidP="00317057">
            <w:pPr>
              <w:pStyle w:val="ARtabletext"/>
            </w:pPr>
            <w:r w:rsidRPr="002029AF">
              <w:t>96.2%</w:t>
            </w:r>
          </w:p>
        </w:tc>
        <w:tc>
          <w:tcPr>
            <w:tcW w:w="1021"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2B4A09AA" w14:textId="77777777" w:rsidR="00496244" w:rsidRPr="002029AF" w:rsidRDefault="00496244" w:rsidP="00317057">
            <w:pPr>
              <w:pStyle w:val="ARtabletext"/>
            </w:pPr>
            <w:r w:rsidRPr="002029AF">
              <w:t>95.3%</w:t>
            </w:r>
          </w:p>
        </w:tc>
        <w:tc>
          <w:tcPr>
            <w:tcW w:w="1021"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52617993" w14:textId="77777777" w:rsidR="00496244" w:rsidRPr="002029AF" w:rsidRDefault="00496244" w:rsidP="00317057">
            <w:pPr>
              <w:pStyle w:val="ARtabletext"/>
            </w:pPr>
            <w:r>
              <w:t>80.5%</w:t>
            </w:r>
          </w:p>
        </w:tc>
      </w:tr>
      <w:tr w:rsidR="00496244" w:rsidRPr="002029AF" w14:paraId="15948EDD" w14:textId="77777777" w:rsidTr="00317057">
        <w:trPr>
          <w:gridAfter w:val="1"/>
          <w:wAfter w:w="55" w:type="dxa"/>
          <w:cantSplit/>
        </w:trPr>
        <w:tc>
          <w:tcPr>
            <w:tcW w:w="555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hideMark/>
          </w:tcPr>
          <w:p w14:paraId="13661345" w14:textId="77777777" w:rsidR="00496244" w:rsidRPr="002029AF" w:rsidRDefault="00496244" w:rsidP="00317057">
            <w:pPr>
              <w:pStyle w:val="ARtabletext"/>
              <w:rPr>
                <w:i/>
              </w:rPr>
            </w:pPr>
            <w:r w:rsidRPr="002029AF">
              <w:t>Semi-urgent (Category 2) elective surgery patients admitted within 90 days</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4DFE0AA5" w14:textId="77777777" w:rsidR="00496244" w:rsidRPr="002029AF" w:rsidRDefault="00496244" w:rsidP="00317057">
            <w:pPr>
              <w:pStyle w:val="ARtabletext"/>
            </w:pPr>
            <w:r w:rsidRPr="002029AF">
              <w:t>80.6%</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25EB3359" w14:textId="77777777" w:rsidR="00496244" w:rsidRPr="002029AF" w:rsidRDefault="00496244" w:rsidP="00317057">
            <w:pPr>
              <w:pStyle w:val="ARtabletext"/>
            </w:pPr>
            <w:r w:rsidRPr="002029AF">
              <w:t>82.0%</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4B1D9F91" w14:textId="77777777" w:rsidR="00496244" w:rsidRPr="002029AF" w:rsidRDefault="00496244" w:rsidP="00317057">
            <w:pPr>
              <w:pStyle w:val="ARtabletext"/>
            </w:pPr>
            <w:r w:rsidRPr="002029AF">
              <w:t>76.1%</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4A7F6D65" w14:textId="77777777" w:rsidR="00496244" w:rsidRPr="002029AF" w:rsidRDefault="00496244" w:rsidP="00317057">
            <w:pPr>
              <w:pStyle w:val="ARtabletext"/>
            </w:pPr>
            <w:r>
              <w:t>61.8%</w:t>
            </w:r>
          </w:p>
        </w:tc>
      </w:tr>
      <w:tr w:rsidR="00496244" w:rsidRPr="002029AF" w14:paraId="464554DB" w14:textId="77777777" w:rsidTr="00317057">
        <w:trPr>
          <w:gridAfter w:val="1"/>
          <w:wAfter w:w="55" w:type="dxa"/>
          <w:cantSplit/>
        </w:trPr>
        <w:tc>
          <w:tcPr>
            <w:tcW w:w="555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hideMark/>
          </w:tcPr>
          <w:p w14:paraId="7F397F96" w14:textId="77777777" w:rsidR="00496244" w:rsidRPr="002029AF" w:rsidRDefault="00496244" w:rsidP="00317057">
            <w:pPr>
              <w:pStyle w:val="ARtabletext"/>
              <w:rPr>
                <w:i/>
              </w:rPr>
            </w:pPr>
            <w:r w:rsidRPr="002029AF">
              <w:t>Urgent (Category 1) elective surgery patients admitted within 30</w:t>
            </w:r>
            <w:r>
              <w:t> </w:t>
            </w:r>
            <w:r w:rsidRPr="002029AF">
              <w:t>days</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5BE08C62" w14:textId="77777777" w:rsidR="00496244" w:rsidRPr="002029AF" w:rsidRDefault="00496244" w:rsidP="00317057">
            <w:pPr>
              <w:pStyle w:val="ARtabletext"/>
            </w:pPr>
            <w:r w:rsidRPr="002029AF">
              <w:t>100%</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50768536" w14:textId="77777777" w:rsidR="00496244" w:rsidRPr="002029AF" w:rsidRDefault="00496244" w:rsidP="00317057">
            <w:pPr>
              <w:pStyle w:val="ARtabletext"/>
            </w:pPr>
            <w:r w:rsidRPr="002029AF">
              <w:t>100%</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6DE13AE3" w14:textId="77777777" w:rsidR="00496244" w:rsidRPr="002029AF" w:rsidRDefault="00496244" w:rsidP="00317057">
            <w:pPr>
              <w:pStyle w:val="ARtabletext"/>
            </w:pPr>
            <w:r w:rsidRPr="002029AF">
              <w:t>100%</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749D013C" w14:textId="77777777" w:rsidR="00496244" w:rsidRPr="002029AF" w:rsidRDefault="00496244" w:rsidP="00317057">
            <w:pPr>
              <w:pStyle w:val="ARtabletext"/>
            </w:pPr>
            <w:r w:rsidRPr="002029AF">
              <w:t>100%</w:t>
            </w:r>
          </w:p>
        </w:tc>
      </w:tr>
      <w:tr w:rsidR="00496244" w:rsidRPr="002029AF" w14:paraId="0549A17E" w14:textId="77777777" w:rsidTr="00317057">
        <w:trPr>
          <w:gridAfter w:val="1"/>
          <w:wAfter w:w="55" w:type="dxa"/>
          <w:cantSplit/>
        </w:trPr>
        <w:tc>
          <w:tcPr>
            <w:tcW w:w="555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hideMark/>
          </w:tcPr>
          <w:p w14:paraId="6CD52B59" w14:textId="77777777" w:rsidR="00496244" w:rsidRPr="002029AF" w:rsidRDefault="00496244" w:rsidP="00317057">
            <w:pPr>
              <w:pStyle w:val="ARtabletext"/>
              <w:rPr>
                <w:i/>
              </w:rPr>
            </w:pPr>
            <w:r w:rsidRPr="002029AF">
              <w:t>Emergency Category 1 treated immediately</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48ECF4B6" w14:textId="77777777" w:rsidR="00496244" w:rsidRPr="002029AF" w:rsidRDefault="00496244" w:rsidP="00317057">
            <w:pPr>
              <w:pStyle w:val="ARtabletext"/>
            </w:pPr>
            <w:r w:rsidRPr="002029AF">
              <w:t>100%</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4574BBDD" w14:textId="77777777" w:rsidR="00496244" w:rsidRPr="002029AF" w:rsidRDefault="00496244" w:rsidP="00317057">
            <w:pPr>
              <w:pStyle w:val="ARtabletext"/>
            </w:pPr>
            <w:r w:rsidRPr="002029AF">
              <w:t>100%</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2A57EDA5" w14:textId="77777777" w:rsidR="00496244" w:rsidRPr="002029AF" w:rsidRDefault="00496244" w:rsidP="00317057">
            <w:pPr>
              <w:pStyle w:val="ARtabletext"/>
            </w:pPr>
            <w:r w:rsidRPr="002029AF">
              <w:t>100%</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0A449D0D" w14:textId="77777777" w:rsidR="00496244" w:rsidRPr="002029AF" w:rsidRDefault="00496244" w:rsidP="00317057">
            <w:pPr>
              <w:pStyle w:val="ARtabletext"/>
            </w:pPr>
            <w:r w:rsidRPr="002029AF">
              <w:t>100%</w:t>
            </w:r>
          </w:p>
        </w:tc>
      </w:tr>
      <w:tr w:rsidR="00496244" w:rsidRPr="002029AF" w14:paraId="42A6981C" w14:textId="77777777" w:rsidTr="00317057">
        <w:trPr>
          <w:gridAfter w:val="1"/>
          <w:wAfter w:w="55" w:type="dxa"/>
          <w:cantSplit/>
        </w:trPr>
        <w:tc>
          <w:tcPr>
            <w:tcW w:w="555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hideMark/>
          </w:tcPr>
          <w:p w14:paraId="74C500DD" w14:textId="77777777" w:rsidR="00496244" w:rsidRPr="002029AF" w:rsidRDefault="00496244" w:rsidP="00317057">
            <w:pPr>
              <w:pStyle w:val="ARtabletext"/>
            </w:pPr>
            <w:r w:rsidRPr="002029AF">
              <w:t>Emergency patients treated within clinically recommended time to treatment</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44BF10ED" w14:textId="77777777" w:rsidR="00496244" w:rsidRPr="002029AF" w:rsidRDefault="00496244" w:rsidP="00317057">
            <w:pPr>
              <w:pStyle w:val="ARtabletext"/>
            </w:pPr>
            <w:r w:rsidRPr="002029AF">
              <w:t>72.3%</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70F92AA3" w14:textId="77777777" w:rsidR="00496244" w:rsidRPr="002029AF" w:rsidRDefault="00496244" w:rsidP="00317057">
            <w:pPr>
              <w:pStyle w:val="ARtabletext"/>
            </w:pPr>
            <w:r w:rsidRPr="002029AF">
              <w:t>71.5%</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21E5A78D" w14:textId="77777777" w:rsidR="00496244" w:rsidRPr="002029AF" w:rsidRDefault="00496244" w:rsidP="00317057">
            <w:pPr>
              <w:pStyle w:val="ARtabletext"/>
            </w:pPr>
            <w:r w:rsidRPr="002029AF">
              <w:t>73.4%</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02599B47" w14:textId="77777777" w:rsidR="00496244" w:rsidRPr="002029AF" w:rsidRDefault="00496244" w:rsidP="00317057">
            <w:pPr>
              <w:pStyle w:val="ARtabletext"/>
            </w:pPr>
            <w:r>
              <w:t>68%</w:t>
            </w:r>
          </w:p>
        </w:tc>
      </w:tr>
      <w:tr w:rsidR="00496244" w:rsidRPr="002029AF" w14:paraId="2FECF3B8" w14:textId="77777777" w:rsidTr="00317057">
        <w:trPr>
          <w:cantSplit/>
        </w:trPr>
        <w:tc>
          <w:tcPr>
            <w:tcW w:w="5557" w:type="dxa"/>
            <w:gridSpan w:val="6"/>
            <w:tcBorders>
              <w:top w:val="single" w:sz="4" w:space="0" w:color="BFBFBF" w:themeColor="background1" w:themeShade="BF"/>
              <w:left w:val="single" w:sz="4" w:space="0" w:color="FFFFFF" w:themeColor="background1"/>
              <w:bottom w:val="single" w:sz="4" w:space="0" w:color="auto"/>
              <w:right w:val="single" w:sz="4" w:space="0" w:color="FFFFFF" w:themeColor="background1"/>
            </w:tcBorders>
          </w:tcPr>
          <w:p w14:paraId="0C262F30" w14:textId="77777777" w:rsidR="00496244" w:rsidRPr="002029AF" w:rsidRDefault="00496244" w:rsidP="00317057">
            <w:pPr>
              <w:pStyle w:val="ARtablefootnote"/>
            </w:pPr>
            <w:r w:rsidRPr="002029AF">
              <w:t>Source: Internal departmental data</w:t>
            </w:r>
          </w:p>
        </w:tc>
      </w:tr>
      <w:tr w:rsidR="00496244" w:rsidRPr="002029AF" w14:paraId="5419CBB9" w14:textId="77777777" w:rsidTr="00317057">
        <w:trPr>
          <w:cantSplit/>
        </w:trPr>
        <w:tc>
          <w:tcPr>
            <w:tcW w:w="5557" w:type="dxa"/>
            <w:gridSpan w:val="6"/>
            <w:tcBorders>
              <w:top w:val="single" w:sz="4" w:space="0" w:color="auto"/>
              <w:left w:val="nil"/>
              <w:bottom w:val="single" w:sz="4" w:space="0" w:color="BFBFBF" w:themeColor="background1" w:themeShade="BF"/>
              <w:right w:val="single" w:sz="4" w:space="0" w:color="FFFFFF" w:themeColor="background1"/>
            </w:tcBorders>
            <w:hideMark/>
          </w:tcPr>
          <w:p w14:paraId="304EA4EC" w14:textId="77777777" w:rsidR="00496244" w:rsidRPr="002029AF" w:rsidRDefault="00496244" w:rsidP="00317057">
            <w:pPr>
              <w:pStyle w:val="ARtablesubhead"/>
            </w:pPr>
            <w:r w:rsidRPr="002029AF">
              <w:t>Services are inclusive and respond to choice, culture, identity, circumstances and goals</w:t>
            </w:r>
          </w:p>
        </w:tc>
      </w:tr>
      <w:tr w:rsidR="00496244" w:rsidRPr="002029AF" w14:paraId="38942A1D" w14:textId="77777777" w:rsidTr="00317057">
        <w:trPr>
          <w:gridAfter w:val="1"/>
          <w:wAfter w:w="55" w:type="dxa"/>
          <w:cantSplit/>
        </w:trPr>
        <w:tc>
          <w:tcPr>
            <w:tcW w:w="5557"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hideMark/>
          </w:tcPr>
          <w:p w14:paraId="7CA957D0" w14:textId="77777777" w:rsidR="00496244" w:rsidRPr="002029AF" w:rsidRDefault="00496244" w:rsidP="00317057">
            <w:pPr>
              <w:pStyle w:val="ARtabletext"/>
              <w:rPr>
                <w:i/>
              </w:rPr>
            </w:pPr>
            <w:r w:rsidRPr="002029AF">
              <w:t>Health Independence Program direct contacts</w:t>
            </w:r>
          </w:p>
        </w:tc>
        <w:tc>
          <w:tcPr>
            <w:tcW w:w="1021"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079ABE14" w14:textId="77777777" w:rsidR="00496244" w:rsidRPr="002029AF" w:rsidRDefault="00496244" w:rsidP="00317057">
            <w:pPr>
              <w:pStyle w:val="ARtabletext"/>
            </w:pPr>
            <w:r w:rsidRPr="002029AF">
              <w:t>1,474</w:t>
            </w:r>
          </w:p>
        </w:tc>
        <w:tc>
          <w:tcPr>
            <w:tcW w:w="1021"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567AADF3" w14:textId="77777777" w:rsidR="00496244" w:rsidRPr="002029AF" w:rsidRDefault="00496244" w:rsidP="00317057">
            <w:pPr>
              <w:pStyle w:val="ARtabletext"/>
            </w:pPr>
            <w:r w:rsidRPr="002029AF">
              <w:t>1,591</w:t>
            </w:r>
          </w:p>
        </w:tc>
        <w:tc>
          <w:tcPr>
            <w:tcW w:w="1021"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3B703552" w14:textId="77777777" w:rsidR="00496244" w:rsidRPr="002029AF" w:rsidRDefault="00496244" w:rsidP="00317057">
            <w:pPr>
              <w:pStyle w:val="ARtabletext"/>
            </w:pPr>
            <w:r w:rsidRPr="002029AF">
              <w:t>1,502</w:t>
            </w:r>
          </w:p>
        </w:tc>
        <w:tc>
          <w:tcPr>
            <w:tcW w:w="1021"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5ABA4FCC" w14:textId="77777777" w:rsidR="00496244" w:rsidRPr="002029AF" w:rsidRDefault="00496244" w:rsidP="00317057">
            <w:pPr>
              <w:pStyle w:val="ARtabletext"/>
            </w:pPr>
            <w:r w:rsidRPr="002029AF">
              <w:t>1,</w:t>
            </w:r>
            <w:r>
              <w:t>393</w:t>
            </w:r>
          </w:p>
        </w:tc>
      </w:tr>
      <w:tr w:rsidR="00496244" w:rsidRPr="002029AF" w14:paraId="66C254FD" w14:textId="77777777" w:rsidTr="00317057">
        <w:trPr>
          <w:gridAfter w:val="1"/>
          <w:wAfter w:w="55" w:type="dxa"/>
          <w:cantSplit/>
        </w:trPr>
        <w:tc>
          <w:tcPr>
            <w:tcW w:w="555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hideMark/>
          </w:tcPr>
          <w:p w14:paraId="27206EAE" w14:textId="77777777" w:rsidR="00496244" w:rsidRPr="002029AF" w:rsidRDefault="00496244" w:rsidP="00317057">
            <w:pPr>
              <w:pStyle w:val="ARtabletext"/>
              <w:rPr>
                <w:i/>
              </w:rPr>
            </w:pPr>
            <w:r w:rsidRPr="002029AF">
              <w:t>Patients treated in specialist outpatient clinics – unweighted</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2242E261" w14:textId="77777777" w:rsidR="00496244" w:rsidRPr="002029AF" w:rsidRDefault="00496244" w:rsidP="00317057">
            <w:pPr>
              <w:pStyle w:val="ARtabletext"/>
            </w:pPr>
            <w:r w:rsidRPr="002029AF">
              <w:t>1,786</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7AF35C8E" w14:textId="77777777" w:rsidR="00496244" w:rsidRPr="002029AF" w:rsidRDefault="00496244" w:rsidP="00317057">
            <w:pPr>
              <w:pStyle w:val="ARtabletext"/>
            </w:pPr>
            <w:r w:rsidRPr="002029AF">
              <w:t>1,812</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6532B210" w14:textId="77777777" w:rsidR="00496244" w:rsidRPr="002029AF" w:rsidRDefault="00496244" w:rsidP="00317057">
            <w:pPr>
              <w:pStyle w:val="ARtabletext"/>
            </w:pPr>
            <w:r w:rsidRPr="002029AF">
              <w:t>1,717</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64E60107" w14:textId="77777777" w:rsidR="00496244" w:rsidRPr="002029AF" w:rsidRDefault="00496244" w:rsidP="00317057">
            <w:pPr>
              <w:pStyle w:val="ARtabletext"/>
            </w:pPr>
            <w:r w:rsidRPr="002029AF">
              <w:t>1,</w:t>
            </w:r>
            <w:r>
              <w:t>766</w:t>
            </w:r>
          </w:p>
        </w:tc>
      </w:tr>
      <w:tr w:rsidR="00496244" w:rsidRPr="002029AF" w14:paraId="2181A11E" w14:textId="77777777" w:rsidTr="00317057">
        <w:trPr>
          <w:gridAfter w:val="1"/>
          <w:wAfter w:w="55" w:type="dxa"/>
          <w:cantSplit/>
        </w:trPr>
        <w:tc>
          <w:tcPr>
            <w:tcW w:w="555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hideMark/>
          </w:tcPr>
          <w:p w14:paraId="484359E2" w14:textId="77777777" w:rsidR="00496244" w:rsidRPr="002029AF" w:rsidRDefault="00496244" w:rsidP="00317057">
            <w:pPr>
              <w:pStyle w:val="ARtabletext"/>
              <w:rPr>
                <w:i/>
              </w:rPr>
            </w:pPr>
            <w:r w:rsidRPr="002029AF">
              <w:t>Post-acute clients not readmitted to acute hospital</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5ADC0320" w14:textId="77777777" w:rsidR="00496244" w:rsidRPr="002029AF" w:rsidRDefault="00496244" w:rsidP="00317057">
            <w:pPr>
              <w:pStyle w:val="ARtabletext"/>
            </w:pPr>
            <w:r w:rsidRPr="002029AF">
              <w:t>93.6%</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4570BC2A" w14:textId="77777777" w:rsidR="00496244" w:rsidRPr="002029AF" w:rsidRDefault="00496244" w:rsidP="00317057">
            <w:pPr>
              <w:pStyle w:val="ARtabletext"/>
            </w:pPr>
            <w:r w:rsidRPr="002029AF">
              <w:t>93.9%</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10EF736C" w14:textId="77777777" w:rsidR="00496244" w:rsidRPr="002029AF" w:rsidRDefault="00496244" w:rsidP="00317057">
            <w:pPr>
              <w:pStyle w:val="ARtabletext"/>
            </w:pPr>
            <w:r w:rsidRPr="002029AF">
              <w:t>93.7%</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4D2BB9BF" w14:textId="77777777" w:rsidR="00496244" w:rsidRPr="002029AF" w:rsidRDefault="00496244" w:rsidP="00317057">
            <w:pPr>
              <w:pStyle w:val="ARtabletext"/>
            </w:pPr>
            <w:r w:rsidRPr="002029AF">
              <w:t>93.</w:t>
            </w:r>
            <w:r>
              <w:t>5</w:t>
            </w:r>
            <w:r w:rsidRPr="002029AF">
              <w:t>%</w:t>
            </w:r>
          </w:p>
        </w:tc>
      </w:tr>
      <w:tr w:rsidR="00496244" w:rsidRPr="002029AF" w14:paraId="67FED0F4" w14:textId="77777777" w:rsidTr="00317057">
        <w:trPr>
          <w:gridAfter w:val="1"/>
          <w:wAfter w:w="55" w:type="dxa"/>
          <w:cantSplit/>
        </w:trPr>
        <w:tc>
          <w:tcPr>
            <w:tcW w:w="555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hideMark/>
          </w:tcPr>
          <w:p w14:paraId="050EAF61" w14:textId="77777777" w:rsidR="00496244" w:rsidRPr="002029AF" w:rsidRDefault="00496244" w:rsidP="00317057">
            <w:pPr>
              <w:pStyle w:val="ARtabletext"/>
              <w:rPr>
                <w:i/>
              </w:rPr>
            </w:pPr>
            <w:r w:rsidRPr="002029AF">
              <w:t>Health Independence Program clients contacted within three days of referral</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1F6AC78D" w14:textId="77777777" w:rsidR="00496244" w:rsidRPr="002029AF" w:rsidRDefault="00496244" w:rsidP="00317057">
            <w:pPr>
              <w:pStyle w:val="ARtabletext"/>
            </w:pPr>
            <w:r w:rsidRPr="002029AF">
              <w:t>89.8%</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5E761F3F" w14:textId="77777777" w:rsidR="00496244" w:rsidRPr="002029AF" w:rsidRDefault="00496244" w:rsidP="00317057">
            <w:pPr>
              <w:pStyle w:val="ARtabletext"/>
            </w:pPr>
            <w:r w:rsidRPr="002029AF">
              <w:t>88.7%</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7499A879" w14:textId="77777777" w:rsidR="00496244" w:rsidRPr="002029AF" w:rsidRDefault="00496244" w:rsidP="00317057">
            <w:pPr>
              <w:pStyle w:val="ARtabletext"/>
            </w:pPr>
            <w:r w:rsidRPr="002029AF">
              <w:t>90.8%</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45E11C13" w14:textId="77777777" w:rsidR="00496244" w:rsidRPr="002029AF" w:rsidRDefault="00496244" w:rsidP="00317057">
            <w:pPr>
              <w:pStyle w:val="ARtabletext"/>
            </w:pPr>
            <w:r>
              <w:t>91.3%</w:t>
            </w:r>
          </w:p>
        </w:tc>
      </w:tr>
      <w:tr w:rsidR="00496244" w:rsidRPr="002029AF" w14:paraId="4A899A2C" w14:textId="77777777" w:rsidTr="00317057">
        <w:trPr>
          <w:gridAfter w:val="1"/>
          <w:wAfter w:w="6" w:type="dxa"/>
          <w:cantSplit/>
        </w:trPr>
        <w:tc>
          <w:tcPr>
            <w:tcW w:w="5557" w:type="dxa"/>
            <w:gridSpan w:val="5"/>
            <w:tcBorders>
              <w:top w:val="single" w:sz="4" w:space="0" w:color="BFBFBF" w:themeColor="background1" w:themeShade="BF"/>
              <w:left w:val="single" w:sz="4" w:space="0" w:color="FFFFFF" w:themeColor="background1"/>
              <w:bottom w:val="single" w:sz="4" w:space="0" w:color="auto"/>
              <w:right w:val="single" w:sz="4" w:space="0" w:color="FFFFFF" w:themeColor="background1"/>
            </w:tcBorders>
            <w:hideMark/>
          </w:tcPr>
          <w:p w14:paraId="35A3087E" w14:textId="77777777" w:rsidR="00496244" w:rsidRPr="002029AF" w:rsidRDefault="00496244" w:rsidP="00317057">
            <w:pPr>
              <w:pStyle w:val="ARtablefootnote"/>
            </w:pPr>
            <w:r w:rsidRPr="002029AF">
              <w:rPr>
                <w:rFonts w:eastAsia="Times"/>
                <w:lang w:eastAsia="en-AU"/>
              </w:rPr>
              <w:t>Source: Internal departmental data</w:t>
            </w:r>
          </w:p>
        </w:tc>
      </w:tr>
      <w:tr w:rsidR="00496244" w:rsidRPr="002029AF" w14:paraId="562BCDEB" w14:textId="77777777" w:rsidTr="00317057">
        <w:trPr>
          <w:cantSplit/>
        </w:trPr>
        <w:tc>
          <w:tcPr>
            <w:tcW w:w="5557" w:type="dxa"/>
            <w:gridSpan w:val="6"/>
            <w:tcBorders>
              <w:top w:val="single" w:sz="4" w:space="0" w:color="auto"/>
              <w:left w:val="nil"/>
              <w:bottom w:val="single" w:sz="4" w:space="0" w:color="BFBFBF" w:themeColor="background1" w:themeShade="BF"/>
              <w:right w:val="single" w:sz="4" w:space="0" w:color="FFFFFF" w:themeColor="background1"/>
            </w:tcBorders>
            <w:hideMark/>
          </w:tcPr>
          <w:p w14:paraId="1BEC6001" w14:textId="77777777" w:rsidR="00496244" w:rsidRPr="002029AF" w:rsidRDefault="00496244" w:rsidP="00317057">
            <w:pPr>
              <w:pStyle w:val="ARtablesubhead"/>
            </w:pPr>
            <w:r w:rsidRPr="002029AF">
              <w:t>Services are efficient and sustainable</w:t>
            </w:r>
          </w:p>
        </w:tc>
      </w:tr>
      <w:tr w:rsidR="00496244" w:rsidRPr="002029AF" w14:paraId="578307A3" w14:textId="77777777" w:rsidTr="00317057">
        <w:trPr>
          <w:gridAfter w:val="1"/>
          <w:wAfter w:w="55" w:type="dxa"/>
          <w:cantSplit/>
        </w:trPr>
        <w:tc>
          <w:tcPr>
            <w:tcW w:w="5557" w:type="dxa"/>
            <w:tcBorders>
              <w:top w:val="single" w:sz="4" w:space="0" w:color="auto"/>
              <w:left w:val="single" w:sz="4" w:space="0" w:color="FFFFFF" w:themeColor="background1"/>
              <w:bottom w:val="single" w:sz="4" w:space="0" w:color="FFFFFF" w:themeColor="background1"/>
              <w:right w:val="single" w:sz="4" w:space="0" w:color="FFFFFF" w:themeColor="background1"/>
            </w:tcBorders>
            <w:hideMark/>
          </w:tcPr>
          <w:p w14:paraId="69879C1E" w14:textId="77777777" w:rsidR="00496244" w:rsidRPr="002029AF" w:rsidRDefault="00496244" w:rsidP="00317057">
            <w:pPr>
              <w:pStyle w:val="ARtabletext"/>
              <w:rPr>
                <w:i/>
              </w:rPr>
            </w:pPr>
            <w:r w:rsidRPr="002029AF">
              <w:t>Major trauma patients transferred to a major trauma service</w:t>
            </w:r>
          </w:p>
        </w:tc>
        <w:tc>
          <w:tcPr>
            <w:tcW w:w="1021" w:type="dxa"/>
            <w:tcBorders>
              <w:top w:val="single" w:sz="4" w:space="0" w:color="auto"/>
              <w:left w:val="single" w:sz="4" w:space="0" w:color="FFFFFF" w:themeColor="background1"/>
              <w:bottom w:val="single" w:sz="4" w:space="0" w:color="FFFFFF" w:themeColor="background1"/>
              <w:right w:val="single" w:sz="4" w:space="0" w:color="FFFFFF" w:themeColor="background1"/>
            </w:tcBorders>
            <w:hideMark/>
          </w:tcPr>
          <w:p w14:paraId="127D0C62" w14:textId="77777777" w:rsidR="00496244" w:rsidRPr="002029AF" w:rsidRDefault="00496244" w:rsidP="00317057">
            <w:pPr>
              <w:pStyle w:val="ARtabletext"/>
            </w:pPr>
            <w:r w:rsidRPr="002029AF">
              <w:t>90.0%</w:t>
            </w:r>
          </w:p>
        </w:tc>
        <w:tc>
          <w:tcPr>
            <w:tcW w:w="1021"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250CB24" w14:textId="77777777" w:rsidR="00496244" w:rsidRPr="002029AF" w:rsidRDefault="00496244" w:rsidP="00317057">
            <w:pPr>
              <w:pStyle w:val="ARtabletext"/>
            </w:pPr>
            <w:r w:rsidRPr="002029AF">
              <w:t>91.9%</w:t>
            </w:r>
          </w:p>
        </w:tc>
        <w:tc>
          <w:tcPr>
            <w:tcW w:w="1021"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508DFF1E" w14:textId="77777777" w:rsidR="00496244" w:rsidRPr="002029AF" w:rsidRDefault="00496244" w:rsidP="00317057">
            <w:pPr>
              <w:pStyle w:val="ARtabletext"/>
              <w:rPr>
                <w:rStyle w:val="Superscript"/>
              </w:rPr>
            </w:pPr>
            <w:r w:rsidRPr="002029AF">
              <w:t>91.2%</w:t>
            </w:r>
          </w:p>
        </w:tc>
        <w:tc>
          <w:tcPr>
            <w:tcW w:w="1021" w:type="dxa"/>
            <w:tcBorders>
              <w:top w:val="single" w:sz="4" w:space="0" w:color="auto"/>
              <w:left w:val="single" w:sz="4" w:space="0" w:color="FFFFFF" w:themeColor="background1"/>
              <w:bottom w:val="single" w:sz="4" w:space="0" w:color="FFFFFF" w:themeColor="background1"/>
              <w:right w:val="single" w:sz="4" w:space="0" w:color="FFFFFF" w:themeColor="background1"/>
            </w:tcBorders>
            <w:shd w:val="clear" w:color="auto" w:fill="auto"/>
          </w:tcPr>
          <w:p w14:paraId="7280EFF9" w14:textId="4AE063B7" w:rsidR="00496244" w:rsidRPr="002029AF" w:rsidRDefault="00496244" w:rsidP="00317057">
            <w:pPr>
              <w:pStyle w:val="ARtabletext"/>
            </w:pPr>
            <w:r>
              <w:t>90.5%</w:t>
            </w:r>
            <w:r w:rsidRPr="002029AF">
              <w:rPr>
                <w:rStyle w:val="Superscript"/>
              </w:rPr>
              <w:t xml:space="preserve"> E</w:t>
            </w:r>
            <w:r w:rsidR="00B93627">
              <w:rPr>
                <w:rStyle w:val="Superscript"/>
              </w:rPr>
              <w:t xml:space="preserve"> (</w:t>
            </w:r>
            <w:r w:rsidR="00B93627">
              <w:rPr>
                <w:rStyle w:val="FootnoteReference"/>
              </w:rPr>
              <w:footnoteReference w:id="6"/>
            </w:r>
            <w:r w:rsidR="00B93627">
              <w:rPr>
                <w:rStyle w:val="Superscript"/>
              </w:rPr>
              <w:t>)</w:t>
            </w:r>
          </w:p>
        </w:tc>
      </w:tr>
      <w:tr w:rsidR="00496244" w:rsidRPr="002029AF" w14:paraId="2A5A7E54" w14:textId="77777777" w:rsidTr="00317057">
        <w:trPr>
          <w:gridAfter w:val="1"/>
          <w:wAfter w:w="6" w:type="dxa"/>
          <w:cantSplit/>
        </w:trPr>
        <w:tc>
          <w:tcPr>
            <w:tcW w:w="5557" w:type="dxa"/>
            <w:gridSpan w:val="5"/>
            <w:tcBorders>
              <w:top w:val="single" w:sz="4" w:space="0" w:color="BFBFBF" w:themeColor="background1" w:themeShade="BF"/>
              <w:left w:val="single" w:sz="4" w:space="0" w:color="FFFFFF" w:themeColor="background1"/>
              <w:bottom w:val="single" w:sz="4" w:space="0" w:color="auto"/>
              <w:right w:val="single" w:sz="4" w:space="0" w:color="FFFFFF" w:themeColor="background1"/>
            </w:tcBorders>
            <w:hideMark/>
          </w:tcPr>
          <w:p w14:paraId="58C8CC82" w14:textId="77777777" w:rsidR="00496244" w:rsidRPr="002029AF" w:rsidRDefault="00496244" w:rsidP="00317057">
            <w:pPr>
              <w:pStyle w:val="ARtablefootnote"/>
            </w:pPr>
            <w:r w:rsidRPr="002029AF">
              <w:rPr>
                <w:rFonts w:eastAsia="Times"/>
                <w:lang w:eastAsia="en-AU"/>
              </w:rPr>
              <w:t>Source: Internal departmental data</w:t>
            </w:r>
          </w:p>
        </w:tc>
      </w:tr>
      <w:tr w:rsidR="00496244" w:rsidRPr="002029AF" w14:paraId="4BAF16DE" w14:textId="77777777" w:rsidTr="00317057">
        <w:trPr>
          <w:cantSplit/>
        </w:trPr>
        <w:tc>
          <w:tcPr>
            <w:tcW w:w="5557" w:type="dxa"/>
            <w:gridSpan w:val="6"/>
            <w:tcBorders>
              <w:top w:val="single" w:sz="4" w:space="0" w:color="auto"/>
              <w:left w:val="nil"/>
              <w:bottom w:val="single" w:sz="4" w:space="0" w:color="BFBFBF" w:themeColor="background1" w:themeShade="BF"/>
              <w:right w:val="single" w:sz="4" w:space="0" w:color="FFFFFF" w:themeColor="background1"/>
            </w:tcBorders>
            <w:hideMark/>
          </w:tcPr>
          <w:p w14:paraId="6CAD33F4" w14:textId="77777777" w:rsidR="00496244" w:rsidRPr="002029AF" w:rsidRDefault="00496244" w:rsidP="00317057">
            <w:pPr>
              <w:pStyle w:val="ARtablesubhead"/>
            </w:pPr>
            <w:r w:rsidRPr="005D78E1">
              <w:t>Services are safe, high</w:t>
            </w:r>
            <w:r w:rsidRPr="00620395">
              <w:t xml:space="preserve"> quality and provide a positive experience</w:t>
            </w:r>
          </w:p>
        </w:tc>
      </w:tr>
      <w:tr w:rsidR="00496244" w:rsidRPr="002029AF" w14:paraId="15890A0A" w14:textId="77777777" w:rsidTr="00317057">
        <w:trPr>
          <w:gridAfter w:val="1"/>
          <w:wAfter w:w="55" w:type="dxa"/>
          <w:cantSplit/>
        </w:trPr>
        <w:tc>
          <w:tcPr>
            <w:tcW w:w="5557"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hideMark/>
          </w:tcPr>
          <w:p w14:paraId="170D2CF9" w14:textId="77777777" w:rsidR="00496244" w:rsidRPr="002029AF" w:rsidRDefault="00496244" w:rsidP="00317057">
            <w:pPr>
              <w:pStyle w:val="ARtabletext"/>
              <w:rPr>
                <w:i/>
              </w:rPr>
            </w:pPr>
            <w:r w:rsidRPr="002029AF">
              <w:t>Public hospitals accredited</w:t>
            </w:r>
          </w:p>
        </w:tc>
        <w:tc>
          <w:tcPr>
            <w:tcW w:w="1021"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6F831CA1" w14:textId="77777777" w:rsidR="00496244" w:rsidRPr="002029AF" w:rsidRDefault="00496244" w:rsidP="00317057">
            <w:pPr>
              <w:pStyle w:val="ARtabletext"/>
            </w:pPr>
            <w:r w:rsidRPr="002029AF">
              <w:t>100%</w:t>
            </w:r>
          </w:p>
        </w:tc>
        <w:tc>
          <w:tcPr>
            <w:tcW w:w="1021"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13EE33F8" w14:textId="77777777" w:rsidR="00496244" w:rsidRPr="002029AF" w:rsidRDefault="00496244" w:rsidP="00317057">
            <w:pPr>
              <w:pStyle w:val="ARtabletext"/>
            </w:pPr>
            <w:r w:rsidRPr="002029AF">
              <w:t>100%</w:t>
            </w:r>
          </w:p>
        </w:tc>
        <w:tc>
          <w:tcPr>
            <w:tcW w:w="1021"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tcPr>
          <w:p w14:paraId="344C5EBA" w14:textId="77777777" w:rsidR="00496244" w:rsidRPr="002029AF" w:rsidRDefault="00496244" w:rsidP="00317057">
            <w:pPr>
              <w:pStyle w:val="ARtabletext"/>
            </w:pPr>
            <w:r w:rsidRPr="002029AF">
              <w:t>100%</w:t>
            </w:r>
          </w:p>
        </w:tc>
        <w:tc>
          <w:tcPr>
            <w:tcW w:w="1021" w:type="dxa"/>
            <w:tcBorders>
              <w:top w:val="single" w:sz="4" w:space="0" w:color="auto"/>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70DAD0CC" w14:textId="77777777" w:rsidR="00496244" w:rsidRPr="002029AF" w:rsidRDefault="00496244" w:rsidP="00317057">
            <w:pPr>
              <w:pStyle w:val="ARtabletext"/>
            </w:pPr>
            <w:r w:rsidRPr="002029AF">
              <w:t>100%</w:t>
            </w:r>
          </w:p>
        </w:tc>
      </w:tr>
      <w:tr w:rsidR="00496244" w:rsidRPr="002029AF" w14:paraId="47CB72FF" w14:textId="77777777" w:rsidTr="00317057">
        <w:trPr>
          <w:gridAfter w:val="1"/>
          <w:wAfter w:w="55" w:type="dxa"/>
          <w:cantSplit/>
        </w:trPr>
        <w:tc>
          <w:tcPr>
            <w:tcW w:w="555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hideMark/>
          </w:tcPr>
          <w:p w14:paraId="4552D2B6" w14:textId="77777777" w:rsidR="00496244" w:rsidRPr="002029AF" w:rsidRDefault="00496244" w:rsidP="00317057">
            <w:pPr>
              <w:pStyle w:val="ARtabletext"/>
              <w:rPr>
                <w:i/>
              </w:rPr>
            </w:pPr>
            <w:r w:rsidRPr="005D78E1">
              <w:t>Patient reported</w:t>
            </w:r>
            <w:r w:rsidRPr="002029AF">
              <w:t xml:space="preserve"> hospital cleanliness</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156A68FC" w14:textId="77777777" w:rsidR="00496244" w:rsidRPr="002029AF" w:rsidRDefault="00496244" w:rsidP="00317057">
            <w:pPr>
              <w:pStyle w:val="ARtabletext"/>
            </w:pPr>
            <w:r w:rsidRPr="002029AF">
              <w:t>70.0%</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2E4A4F5C" w14:textId="77777777" w:rsidR="00496244" w:rsidRPr="002029AF" w:rsidRDefault="00496244" w:rsidP="00317057">
            <w:pPr>
              <w:pStyle w:val="ARtabletext"/>
            </w:pPr>
            <w:r w:rsidRPr="002029AF">
              <w:t>69.4%</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73D33EA8" w14:textId="77777777" w:rsidR="00496244" w:rsidRPr="002029AF" w:rsidRDefault="00496244" w:rsidP="00317057">
            <w:pPr>
              <w:pStyle w:val="ARtabletext"/>
              <w:rPr>
                <w:rStyle w:val="Superscript"/>
              </w:rPr>
            </w:pPr>
            <w:r w:rsidRPr="002029AF">
              <w:t>71.0%</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0A17A2C1" w14:textId="77777777" w:rsidR="00496244" w:rsidRPr="002029AF" w:rsidRDefault="00496244" w:rsidP="00317057">
            <w:pPr>
              <w:pStyle w:val="ARtabletext"/>
            </w:pPr>
            <w:r>
              <w:t>N/A</w:t>
            </w:r>
          </w:p>
        </w:tc>
      </w:tr>
      <w:tr w:rsidR="00496244" w:rsidRPr="002029AF" w14:paraId="2FD0190E" w14:textId="77777777" w:rsidTr="00317057">
        <w:trPr>
          <w:cantSplit/>
        </w:trPr>
        <w:tc>
          <w:tcPr>
            <w:tcW w:w="5557" w:type="dxa"/>
            <w:gridSpan w:val="6"/>
            <w:tcBorders>
              <w:top w:val="single" w:sz="4" w:space="0" w:color="BFBFBF" w:themeColor="background1" w:themeShade="BF"/>
              <w:left w:val="single" w:sz="4" w:space="0" w:color="FFFFFF" w:themeColor="background1"/>
              <w:bottom w:val="single" w:sz="4" w:space="0" w:color="auto"/>
              <w:right w:val="single" w:sz="4" w:space="0" w:color="FFFFFF" w:themeColor="background1"/>
            </w:tcBorders>
            <w:hideMark/>
          </w:tcPr>
          <w:p w14:paraId="630772E8" w14:textId="77777777" w:rsidR="00496244" w:rsidRPr="002029AF" w:rsidRDefault="00496244" w:rsidP="00317057">
            <w:pPr>
              <w:pStyle w:val="ARtablefootnote"/>
            </w:pPr>
            <w:r w:rsidRPr="002029AF">
              <w:rPr>
                <w:rFonts w:eastAsia="Times"/>
                <w:lang w:eastAsia="en-AU"/>
              </w:rPr>
              <w:t>Source: Internal departmental data</w:t>
            </w:r>
          </w:p>
        </w:tc>
      </w:tr>
      <w:tr w:rsidR="00496244" w:rsidRPr="002029AF" w14:paraId="4EB679F6" w14:textId="77777777" w:rsidTr="00317057">
        <w:trPr>
          <w:gridAfter w:val="1"/>
          <w:wAfter w:w="55" w:type="dxa"/>
          <w:cantSplit/>
        </w:trPr>
        <w:tc>
          <w:tcPr>
            <w:tcW w:w="555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hideMark/>
          </w:tcPr>
          <w:p w14:paraId="5D5E01B4" w14:textId="77777777" w:rsidR="00496244" w:rsidRPr="002029AF" w:rsidRDefault="00496244" w:rsidP="00317057">
            <w:pPr>
              <w:pStyle w:val="ARtabletext"/>
              <w:rPr>
                <w:i/>
              </w:rPr>
            </w:pPr>
            <w:r w:rsidRPr="002029AF">
              <w:t>Positive patient experience</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tcPr>
          <w:p w14:paraId="7A744B80" w14:textId="77777777" w:rsidR="00496244" w:rsidRPr="002029AF" w:rsidRDefault="00496244" w:rsidP="00317057">
            <w:pPr>
              <w:pStyle w:val="ARtabletext"/>
            </w:pPr>
            <w:r w:rsidRPr="002029AF">
              <w:t>91.5%</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5A816A08" w14:textId="77777777" w:rsidR="00496244" w:rsidRPr="002029AF" w:rsidRDefault="00496244" w:rsidP="00317057">
            <w:pPr>
              <w:pStyle w:val="ARtabletext"/>
            </w:pPr>
            <w:r w:rsidRPr="002029AF">
              <w:t>92.4%</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31CD8A8D" w14:textId="77777777" w:rsidR="00496244" w:rsidRPr="002029AF" w:rsidRDefault="00496244" w:rsidP="00317057">
            <w:pPr>
              <w:pStyle w:val="ARtabletext"/>
            </w:pPr>
            <w:r>
              <w:t>N/A</w:t>
            </w:r>
          </w:p>
        </w:tc>
        <w:tc>
          <w:tcPr>
            <w:tcW w:w="102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tcPr>
          <w:p w14:paraId="35490E4D" w14:textId="7571EC7F" w:rsidR="00496244" w:rsidRPr="002029AF" w:rsidRDefault="00496244" w:rsidP="00317057">
            <w:pPr>
              <w:pStyle w:val="ARtabletext"/>
            </w:pPr>
            <w:r>
              <w:t>N/A</w:t>
            </w:r>
            <w:r w:rsidR="00BD5FC4" w:rsidRPr="00BD5FC4">
              <w:rPr>
                <w:rStyle w:val="FootnoteReference"/>
              </w:rPr>
              <w:t>(</w:t>
            </w:r>
            <w:r w:rsidRPr="00BD5FC4">
              <w:rPr>
                <w:rStyle w:val="FootnoteReference"/>
              </w:rPr>
              <w:footnoteReference w:id="7"/>
            </w:r>
            <w:r w:rsidR="00BD5FC4" w:rsidRPr="00BD5FC4">
              <w:rPr>
                <w:rStyle w:val="FootnoteReference"/>
              </w:rPr>
              <w:t>)</w:t>
            </w:r>
          </w:p>
        </w:tc>
      </w:tr>
      <w:tr w:rsidR="00496244" w:rsidRPr="002029AF" w14:paraId="1DD76DDF" w14:textId="77777777" w:rsidTr="00317057">
        <w:trPr>
          <w:gridAfter w:val="1"/>
          <w:wAfter w:w="55" w:type="dxa"/>
          <w:cantSplit/>
        </w:trPr>
        <w:tc>
          <w:tcPr>
            <w:tcW w:w="555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hideMark/>
          </w:tcPr>
          <w:p w14:paraId="4971B1FA" w14:textId="27E89891" w:rsidR="00496244" w:rsidRPr="002029AF" w:rsidRDefault="00496244" w:rsidP="00317057">
            <w:pPr>
              <w:pStyle w:val="ARtabletext"/>
              <w:rPr>
                <w:i/>
              </w:rPr>
            </w:pPr>
            <w:r w:rsidRPr="002029AF">
              <w:t>Discharge Experience Index</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tcPr>
          <w:p w14:paraId="29C594F8" w14:textId="77777777" w:rsidR="00496244" w:rsidRPr="002029AF" w:rsidRDefault="00496244" w:rsidP="00317057">
            <w:pPr>
              <w:pStyle w:val="ARtabletext"/>
            </w:pPr>
            <w:r w:rsidRPr="002029AF">
              <w:t>75.3%</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1BF0BD12" w14:textId="77777777" w:rsidR="00496244" w:rsidRPr="002029AF" w:rsidRDefault="00496244" w:rsidP="00317057">
            <w:pPr>
              <w:pStyle w:val="ARtabletext"/>
            </w:pPr>
            <w:r w:rsidRPr="002029AF">
              <w:t>75.7%</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7D92203F" w14:textId="77777777" w:rsidR="00496244" w:rsidRPr="002029AF" w:rsidRDefault="00496244" w:rsidP="00317057">
            <w:pPr>
              <w:pStyle w:val="ARtabletext"/>
            </w:pPr>
            <w:r>
              <w:t>N/A</w:t>
            </w:r>
          </w:p>
        </w:tc>
        <w:tc>
          <w:tcPr>
            <w:tcW w:w="102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tcPr>
          <w:p w14:paraId="69EC0061" w14:textId="6067493F" w:rsidR="00496244" w:rsidRPr="002029AF" w:rsidRDefault="00496244" w:rsidP="00317057">
            <w:pPr>
              <w:pStyle w:val="ARtabletext"/>
            </w:pPr>
            <w:r>
              <w:t>N/A</w:t>
            </w:r>
            <w:r w:rsidR="00BD5FC4" w:rsidRPr="00BD5FC4">
              <w:rPr>
                <w:rStyle w:val="FootnoteReference"/>
              </w:rPr>
              <w:t>(</w:t>
            </w:r>
            <w:r w:rsidRPr="00BD5FC4">
              <w:rPr>
                <w:rStyle w:val="FootnoteReference"/>
              </w:rPr>
              <w:footnoteReference w:id="8"/>
            </w:r>
            <w:r w:rsidR="00BD5FC4" w:rsidRPr="00BD5FC4">
              <w:rPr>
                <w:rStyle w:val="FootnoteReference"/>
              </w:rPr>
              <w:t>)</w:t>
            </w:r>
          </w:p>
        </w:tc>
      </w:tr>
      <w:tr w:rsidR="00496244" w:rsidRPr="002029AF" w14:paraId="1F9EABD6" w14:textId="77777777" w:rsidTr="00317057">
        <w:trPr>
          <w:cantSplit/>
        </w:trPr>
        <w:tc>
          <w:tcPr>
            <w:tcW w:w="5557" w:type="dxa"/>
            <w:gridSpan w:val="6"/>
            <w:tcBorders>
              <w:top w:val="single" w:sz="4" w:space="0" w:color="BFBFBF" w:themeColor="background1" w:themeShade="BF"/>
              <w:left w:val="single" w:sz="4" w:space="0" w:color="FFFFFF" w:themeColor="background1"/>
              <w:bottom w:val="single" w:sz="4" w:space="0" w:color="auto"/>
              <w:right w:val="single" w:sz="4" w:space="0" w:color="FFFFFF" w:themeColor="background1"/>
            </w:tcBorders>
            <w:hideMark/>
          </w:tcPr>
          <w:p w14:paraId="6C9EB550" w14:textId="77777777" w:rsidR="00496244" w:rsidRPr="002029AF" w:rsidRDefault="00496244" w:rsidP="00317057">
            <w:pPr>
              <w:pStyle w:val="ARtablefootnote"/>
            </w:pPr>
            <w:r w:rsidRPr="002029AF">
              <w:rPr>
                <w:rFonts w:eastAsia="Times"/>
                <w:lang w:eastAsia="en-AU"/>
              </w:rPr>
              <w:t>Source: Victorian Health</w:t>
            </w:r>
            <w:r>
              <w:rPr>
                <w:rFonts w:eastAsia="Times"/>
                <w:lang w:eastAsia="en-AU"/>
              </w:rPr>
              <w:t>care</w:t>
            </w:r>
            <w:r w:rsidRPr="002029AF">
              <w:rPr>
                <w:rFonts w:eastAsia="Times"/>
                <w:lang w:eastAsia="en-AU"/>
              </w:rPr>
              <w:t xml:space="preserve"> Experience Survey</w:t>
            </w:r>
          </w:p>
        </w:tc>
      </w:tr>
    </w:tbl>
    <w:p w14:paraId="2532E844" w14:textId="77777777" w:rsidR="00496244" w:rsidRDefault="00496244" w:rsidP="00603E4B">
      <w:pPr>
        <w:pStyle w:val="ARtablefootnote"/>
        <w:rPr>
          <w:rFonts w:eastAsia="Times"/>
          <w:lang w:eastAsia="en-AU"/>
        </w:rPr>
      </w:pPr>
      <w:r w:rsidRPr="002029AF">
        <w:rPr>
          <w:rFonts w:eastAsia="Times"/>
          <w:lang w:eastAsia="en-AU"/>
        </w:rPr>
        <w:t>The department is committed to measuring outcomes for all indicators set out in the Victorian budget papers. Further work is needed to test and validate measures to ensure departmental initiatives and policies are reflected by the performance indicators. As the outcomes approaches in the department mature, reporting will be provided against outcome measures and will inform the reporting of performance indicators.</w:t>
      </w:r>
    </w:p>
    <w:p w14:paraId="2B06DDA8" w14:textId="77777777" w:rsidR="000B6E53" w:rsidRPr="000B6E53" w:rsidRDefault="000B6E53" w:rsidP="000B6E53">
      <w:pPr>
        <w:pStyle w:val="ARbody"/>
      </w:pPr>
      <w:bookmarkStart w:id="199" w:name="_Ref83804411"/>
      <w:bookmarkStart w:id="200" w:name="_Toc85121093"/>
      <w:bookmarkStart w:id="201" w:name="_Toc85121600"/>
      <w:bookmarkStart w:id="202" w:name="_Hlk81393191"/>
      <w:r w:rsidRPr="000B6E53">
        <w:br w:type="page"/>
      </w:r>
    </w:p>
    <w:p w14:paraId="3DE96AF0" w14:textId="07FF39E8" w:rsidR="00496244" w:rsidRDefault="00CA7F87" w:rsidP="00395D6A">
      <w:pPr>
        <w:pStyle w:val="Heading3forTOC"/>
      </w:pPr>
      <w:bookmarkStart w:id="203" w:name="COVID_section"/>
      <w:bookmarkStart w:id="204" w:name="_Toc86075583"/>
      <w:bookmarkEnd w:id="203"/>
      <w:r>
        <w:lastRenderedPageBreak/>
        <w:t xml:space="preserve">Responding to the </w:t>
      </w:r>
      <w:r w:rsidR="00496244" w:rsidRPr="00072532">
        <w:t>COVID-19 pandemic in Victoria</w:t>
      </w:r>
      <w:bookmarkEnd w:id="199"/>
      <w:bookmarkEnd w:id="200"/>
      <w:bookmarkEnd w:id="201"/>
      <w:bookmarkEnd w:id="204"/>
    </w:p>
    <w:p w14:paraId="3EB85BA5" w14:textId="77777777" w:rsidR="00496244" w:rsidRDefault="00496244" w:rsidP="00317057">
      <w:pPr>
        <w:pStyle w:val="ARintro"/>
      </w:pPr>
      <w:r w:rsidRPr="00072532">
        <w:t>Over the past year, the department has worked hard alongside the community, the Victorian health system and other government departments to bring multiple outbreaks of COVID-19 under control. We have focused on the aggressive suppression of COVID-19, in line with the national strategy. This means having zero tolerance for community transmission of COVID-19 in Victoria, with all efforts focused on maintaining this approach until an effective COVID-19 vaccine is rolled out.</w:t>
      </w:r>
    </w:p>
    <w:p w14:paraId="41A09658" w14:textId="77777777" w:rsidR="00496244" w:rsidRPr="002029AF" w:rsidRDefault="00496244" w:rsidP="00317057">
      <w:pPr>
        <w:pStyle w:val="ARintro"/>
        <w:spacing w:after="240"/>
        <w:rPr>
          <w:szCs w:val="22"/>
        </w:rPr>
      </w:pPr>
    </w:p>
    <w:p w14:paraId="48B479CC" w14:textId="77777777" w:rsidR="00496244" w:rsidRPr="002029AF" w:rsidRDefault="00496244" w:rsidP="00317057">
      <w:pPr>
        <w:pStyle w:val="ARintro"/>
        <w:keepNext/>
        <w:widowControl w:val="0"/>
        <w:spacing w:after="240"/>
        <w:sectPr w:rsidR="00496244" w:rsidRPr="002029AF" w:rsidSect="000B6E53">
          <w:headerReference w:type="even" r:id="rId47"/>
          <w:headerReference w:type="first" r:id="rId48"/>
          <w:footnotePr>
            <w:numFmt w:val="lowerLetter"/>
            <w:numRestart w:val="eachPage"/>
          </w:footnotePr>
          <w:endnotePr>
            <w:numFmt w:val="decimal"/>
          </w:endnotePr>
          <w:type w:val="continuous"/>
          <w:pgSz w:w="11900" w:h="16840" w:code="9"/>
          <w:pgMar w:top="1985" w:right="1134" w:bottom="851" w:left="1134" w:header="510" w:footer="340" w:gutter="0"/>
          <w:cols w:space="454"/>
        </w:sectPr>
      </w:pPr>
    </w:p>
    <w:p w14:paraId="4EB15A0E" w14:textId="1DA8D8C6" w:rsidR="00496244" w:rsidRDefault="00496244" w:rsidP="00317057">
      <w:pPr>
        <w:pStyle w:val="ARbody"/>
      </w:pPr>
      <w:r>
        <w:t>Over the 12 months to June 2021, Victoria faced several COVID-19 outbreaks which required a number of different responses. The most serious of these was the state</w:t>
      </w:r>
      <w:r w:rsidR="007D145B">
        <w:t>’</w:t>
      </w:r>
      <w:r>
        <w:t xml:space="preserve">s </w:t>
      </w:r>
      <w:r w:rsidR="007D145B">
        <w:t>‘</w:t>
      </w:r>
      <w:r>
        <w:t>second wave</w:t>
      </w:r>
      <w:r w:rsidR="007D145B">
        <w:t>’</w:t>
      </w:r>
      <w:r>
        <w:t>, when Victoria experienced exponential growth in COVID-19 cases from mid-June 2020 to early August 2020. On 16</w:t>
      </w:r>
      <w:r w:rsidR="002C2596">
        <w:t> </w:t>
      </w:r>
      <w:r>
        <w:t>July 2020, there were 5,000 confirmed cases of COVID-19 in Victoria, which doubled to 10,000 by 30 July 2020. This second wave of infections led to</w:t>
      </w:r>
      <w:r w:rsidR="002C2596">
        <w:t> </w:t>
      </w:r>
      <w:r>
        <w:t>increased restrictions across the state and the declaration of a state of disaster on 2 August 2020. As a result of these restrictions, which included mandatory mask-wearing, a curfew and limits on how far Victorians could travel from their homes, case numbers steadily decreased.</w:t>
      </w:r>
    </w:p>
    <w:p w14:paraId="04D8A7DA" w14:textId="771062ED" w:rsidR="00496244" w:rsidRDefault="00496244" w:rsidP="00317057">
      <w:pPr>
        <w:pStyle w:val="ARbody"/>
      </w:pPr>
      <w:r>
        <w:t>In September 2020, the government released its</w:t>
      </w:r>
      <w:r w:rsidR="002C2596">
        <w:t> </w:t>
      </w:r>
      <w:r>
        <w:t>roadmap for reopening and moving towards COVID-normal. This set out projected dates for different stages in the reopening process according to various epidemiological thresholds. Restrictions were wound back from late October 2020 and, in November 2020, COVID-19 was epidemiologically eliminated from Victoria – that is, no new cases of</w:t>
      </w:r>
      <w:r w:rsidR="002C2596">
        <w:t> </w:t>
      </w:r>
      <w:r>
        <w:t>community transmission were reported – an achievement unmatched anywhere else in the world.</w:t>
      </w:r>
    </w:p>
    <w:p w14:paraId="06AC04BB" w14:textId="5F091E6E" w:rsidR="00496244" w:rsidRDefault="00496244" w:rsidP="00317057">
      <w:pPr>
        <w:pStyle w:val="ARbody"/>
      </w:pPr>
      <w:r>
        <w:t>Despite this success, transmission of COVID-19 via international arrivals and from interstate outbreaks remained an ongoing threat throughout late 2020 and into 2021. Incursions in 2021 have been especially challenging due to the emergence of more contagious and deadly COVID-19 variants. Multiple outbreaks in Victoria involving the Alpha and Kappa variants occurred in early and mid-2021, and the first Delta variant case was detected in Victoria in early June 2021. All these outbreaks were</w:t>
      </w:r>
      <w:r w:rsidR="002C2596">
        <w:t> </w:t>
      </w:r>
      <w:r>
        <w:t xml:space="preserve">quickly brought under control, however, through improved contact tracing and hard, fast </w:t>
      </w:r>
      <w:r>
        <w:t>snap lockdowns in February, May and June 2021. The following page contains an infographic of major events surrounding COVID-19 in Victoria in the 12</w:t>
      </w:r>
      <w:r>
        <w:noBreakHyphen/>
        <w:t>month reporting period.</w:t>
      </w:r>
    </w:p>
    <w:p w14:paraId="103E25B2" w14:textId="0AD9D7FC" w:rsidR="00496244" w:rsidRDefault="00496244" w:rsidP="00317057">
      <w:pPr>
        <w:pStyle w:val="ARbody"/>
      </w:pPr>
      <w:r>
        <w:t>On 30 June 2021, Victoria recorded zero cases of</w:t>
      </w:r>
      <w:r w:rsidR="002C2596">
        <w:t> </w:t>
      </w:r>
      <w:r>
        <w:t>community transmission of COVID-19.</w:t>
      </w:r>
    </w:p>
    <w:p w14:paraId="3B38D423" w14:textId="77777777" w:rsidR="00496244" w:rsidRDefault="00496244" w:rsidP="00317057">
      <w:pPr>
        <w:pStyle w:val="ARbody"/>
      </w:pPr>
      <w:r>
        <w:t>Despite subsequent outbreaks of the Delta variant and the reintroduction of widespread restrictions in Victoria, this was an extraordinary achievement – on the part of the department, the health services and the community at large. The government has taken a proactive approach throughout; it has acted swiftly and decisively whenever an outbreak has occurred; and its decisions have always been based on</w:t>
      </w:r>
    </w:p>
    <w:p w14:paraId="0E2F1E95" w14:textId="77777777" w:rsidR="00496244" w:rsidRDefault="00496244" w:rsidP="00317057">
      <w:pPr>
        <w:pStyle w:val="ARbullet1"/>
      </w:pPr>
      <w:r>
        <w:t>public health advice</w:t>
      </w:r>
    </w:p>
    <w:p w14:paraId="40B4E1C4" w14:textId="77777777" w:rsidR="00496244" w:rsidRDefault="00496244" w:rsidP="00317057">
      <w:pPr>
        <w:pStyle w:val="ARbullet1"/>
      </w:pPr>
      <w:r>
        <w:t>local evidence and modelling, and</w:t>
      </w:r>
    </w:p>
    <w:p w14:paraId="7645F969" w14:textId="77777777" w:rsidR="00496244" w:rsidRDefault="00496244" w:rsidP="00317057">
      <w:pPr>
        <w:pStyle w:val="ARbullet1"/>
        <w:spacing w:after="120"/>
      </w:pPr>
      <w:r>
        <w:t>international evidence and modelling.</w:t>
      </w:r>
    </w:p>
    <w:p w14:paraId="757E2FD8" w14:textId="3BF4404D" w:rsidR="00496244" w:rsidRDefault="00496244" w:rsidP="00317057">
      <w:pPr>
        <w:pStyle w:val="ARbody"/>
      </w:pPr>
      <w:r>
        <w:t>The department has continuously improved its response according to emerging evidence, best practice and all we have learned throughout the pandemic. This has enabled the health system to</w:t>
      </w:r>
      <w:r w:rsidR="002C2596">
        <w:t> </w:t>
      </w:r>
      <w:r>
        <w:t>continue to provide care to Victorians without becoming overwhelmed and has given Victorians the opportunity to enjoy consecutive months relatively free of community transmission.</w:t>
      </w:r>
    </w:p>
    <w:p w14:paraId="04FE77AB" w14:textId="3DBAD939" w:rsidR="00496244" w:rsidRDefault="00496244" w:rsidP="00317057">
      <w:pPr>
        <w:pStyle w:val="ARbody"/>
      </w:pPr>
      <w:r>
        <w:t>Safeguarding the health of all Victorians continues to</w:t>
      </w:r>
      <w:r w:rsidR="004330D7">
        <w:t> </w:t>
      </w:r>
      <w:r>
        <w:t>be the department</w:t>
      </w:r>
      <w:r w:rsidR="007D145B">
        <w:t>’</w:t>
      </w:r>
      <w:r>
        <w:t>s priority in responding the COVID-19 pandemic in Victoria. We do this by managing outbreaks, preventing infection, containing the spread and vaccinating Victorians.</w:t>
      </w:r>
      <w:r w:rsidR="00864121">
        <w:t xml:space="preserve"> </w:t>
      </w:r>
      <w:r>
        <w:t>The following sections provide greater detail on the</w:t>
      </w:r>
      <w:r w:rsidR="002C2596">
        <w:t> </w:t>
      </w:r>
      <w:r>
        <w:t>department</w:t>
      </w:r>
      <w:r w:rsidR="007D145B">
        <w:t>’</w:t>
      </w:r>
      <w:r>
        <w:t xml:space="preserve">s activities in these areas during </w:t>
      </w:r>
      <w:r w:rsidR="004330D7">
        <w:br/>
      </w:r>
      <w:r>
        <w:t>202</w:t>
      </w:r>
      <w:r w:rsidR="00FA7261">
        <w:t>0–</w:t>
      </w:r>
      <w:r>
        <w:t>21.</w:t>
      </w:r>
    </w:p>
    <w:p w14:paraId="31419AE3" w14:textId="77777777" w:rsidR="00496244" w:rsidRDefault="00496244" w:rsidP="00317057">
      <w:pPr>
        <w:pStyle w:val="ARbody"/>
      </w:pPr>
    </w:p>
    <w:p w14:paraId="3CDFC00C" w14:textId="77777777" w:rsidR="00496244" w:rsidRDefault="00496244" w:rsidP="00317057">
      <w:pPr>
        <w:pStyle w:val="ARbody"/>
        <w:sectPr w:rsidR="00496244" w:rsidSect="00317057">
          <w:footnotePr>
            <w:numFmt w:val="lowerLetter"/>
            <w:numRestart w:val="eachPage"/>
          </w:footnotePr>
          <w:endnotePr>
            <w:numFmt w:val="decimal"/>
          </w:endnotePr>
          <w:type w:val="continuous"/>
          <w:pgSz w:w="11900" w:h="16840" w:code="9"/>
          <w:pgMar w:top="1985" w:right="1134" w:bottom="851" w:left="1134" w:header="510" w:footer="340" w:gutter="0"/>
          <w:cols w:num="2" w:space="292"/>
        </w:sectPr>
      </w:pPr>
    </w:p>
    <w:bookmarkEnd w:id="202"/>
    <w:p w14:paraId="6ED74E12" w14:textId="77777777" w:rsidR="00496244" w:rsidRPr="002029AF" w:rsidRDefault="00496244" w:rsidP="00317057">
      <w:pPr>
        <w:pStyle w:val="ARbody"/>
      </w:pPr>
    </w:p>
    <w:p w14:paraId="54DAEDD7" w14:textId="77777777" w:rsidR="00496244" w:rsidRDefault="00496244">
      <w:pPr>
        <w:sectPr w:rsidR="00496244" w:rsidSect="00317057">
          <w:footnotePr>
            <w:numFmt w:val="lowerLetter"/>
            <w:numRestart w:val="eachPage"/>
          </w:footnotePr>
          <w:endnotePr>
            <w:numFmt w:val="decimal"/>
          </w:endnotePr>
          <w:type w:val="continuous"/>
          <w:pgSz w:w="11900" w:h="16840" w:code="9"/>
          <w:pgMar w:top="1985" w:right="1134" w:bottom="851" w:left="1134" w:header="510" w:footer="340" w:gutter="0"/>
          <w:cols w:num="2" w:space="454"/>
        </w:sectPr>
      </w:pPr>
    </w:p>
    <w:p w14:paraId="4246314E" w14:textId="77777777" w:rsidR="00496244" w:rsidRDefault="00496244" w:rsidP="00317057">
      <w:pPr>
        <w:pStyle w:val="Heading4"/>
      </w:pPr>
      <w:bookmarkStart w:id="205" w:name="_Toc85121094"/>
      <w:r>
        <w:lastRenderedPageBreak/>
        <w:t>Timeline</w:t>
      </w:r>
      <w:bookmarkEnd w:id="205"/>
    </w:p>
    <w:p w14:paraId="02E29E17" w14:textId="3400267F" w:rsidR="00496244" w:rsidRDefault="00E72F01" w:rsidP="00317057">
      <w:pPr>
        <w:pStyle w:val="ARbody"/>
      </w:pPr>
      <w:r>
        <w:rPr>
          <w:noProof/>
          <w:lang w:val="en-US"/>
        </w:rPr>
        <w:drawing>
          <wp:inline distT="0" distB="0" distL="0" distR="0" wp14:anchorId="04D197B4" wp14:editId="0298286A">
            <wp:extent cx="8863330" cy="4904105"/>
            <wp:effectExtent l="0" t="0" r="1270" b="0"/>
            <wp:docPr id="102" name="Picture 102" descr="This timeline shows a summarised key events of COVID-19 responses. Details are outlined in thi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This timeline shows a summarised key events of COVID-19 responses. Details are outlined in this report."/>
                    <pic:cNvPicPr/>
                  </pic:nvPicPr>
                  <pic:blipFill>
                    <a:blip r:embed="rId49">
                      <a:extLst>
                        <a:ext uri="{28A0092B-C50C-407E-A947-70E740481C1C}">
                          <a14:useLocalDpi xmlns:a14="http://schemas.microsoft.com/office/drawing/2010/main" val="0"/>
                        </a:ext>
                      </a:extLst>
                    </a:blip>
                    <a:stretch>
                      <a:fillRect/>
                    </a:stretch>
                  </pic:blipFill>
                  <pic:spPr>
                    <a:xfrm>
                      <a:off x="0" y="0"/>
                      <a:ext cx="8863330" cy="4904105"/>
                    </a:xfrm>
                    <a:prstGeom prst="rect">
                      <a:avLst/>
                    </a:prstGeom>
                  </pic:spPr>
                </pic:pic>
              </a:graphicData>
            </a:graphic>
          </wp:inline>
        </w:drawing>
      </w:r>
    </w:p>
    <w:p w14:paraId="4AD79546" w14:textId="77777777" w:rsidR="00496244" w:rsidRDefault="00496244" w:rsidP="00317057">
      <w:pPr>
        <w:pStyle w:val="ARbody"/>
        <w:sectPr w:rsidR="00496244" w:rsidSect="00317057">
          <w:footnotePr>
            <w:numFmt w:val="lowerLetter"/>
            <w:numRestart w:val="eachPage"/>
          </w:footnotePr>
          <w:endnotePr>
            <w:numFmt w:val="decimal"/>
          </w:endnotePr>
          <w:pgSz w:w="16840" w:h="11900" w:orient="landscape" w:code="9"/>
          <w:pgMar w:top="1134" w:right="1985" w:bottom="1134" w:left="851" w:header="510" w:footer="340" w:gutter="0"/>
          <w:cols w:space="454"/>
          <w:docGrid w:linePitch="299"/>
        </w:sectPr>
      </w:pPr>
    </w:p>
    <w:p w14:paraId="4B866BC2" w14:textId="77777777" w:rsidR="00496244" w:rsidRDefault="00496244" w:rsidP="00317057">
      <w:pPr>
        <w:pStyle w:val="Heading4"/>
      </w:pPr>
      <w:bookmarkStart w:id="206" w:name="_Toc85121095"/>
      <w:r w:rsidRPr="00A770F3">
        <w:lastRenderedPageBreak/>
        <w:t>Managing COVID-19 in Victoria</w:t>
      </w:r>
      <w:bookmarkEnd w:id="206"/>
    </w:p>
    <w:p w14:paraId="7EE0CD56" w14:textId="77777777" w:rsidR="00496244" w:rsidRDefault="00496244" w:rsidP="00317057">
      <w:pPr>
        <w:pStyle w:val="Heading5"/>
      </w:pPr>
      <w:bookmarkStart w:id="207" w:name="_Toc85121096"/>
      <w:bookmarkStart w:id="208" w:name="_Ref85203677"/>
      <w:r>
        <w:t>State of emergency</w:t>
      </w:r>
      <w:bookmarkEnd w:id="207"/>
      <w:bookmarkEnd w:id="208"/>
    </w:p>
    <w:p w14:paraId="1132509C" w14:textId="6E5550CA" w:rsidR="00496244" w:rsidRDefault="00496244" w:rsidP="00317057">
      <w:pPr>
        <w:pStyle w:val="ARbody"/>
      </w:pPr>
      <w:r>
        <w:t>The Chief Health Officer</w:t>
      </w:r>
      <w:r w:rsidR="007D145B">
        <w:t>’</w:t>
      </w:r>
      <w:r>
        <w:t xml:space="preserve">s powers, including the emergency powers under the </w:t>
      </w:r>
      <w:r w:rsidRPr="006F6168">
        <w:rPr>
          <w:i/>
          <w:iCs/>
        </w:rPr>
        <w:t>Public Health and Wellbeing Act 2008</w:t>
      </w:r>
      <w:r>
        <w:t>, have been used since the beginning of the COVID-19 pandemic and are key to allowing for a statewide, whole-of-population response to the pandemic and the public health risk. On the advice of the Chief Health Officer, a state of emergency has been in place in Victoria since 16 March 2020, with various amendments to</w:t>
      </w:r>
      <w:r w:rsidR="002C2596">
        <w:t> </w:t>
      </w:r>
      <w:r>
        <w:t>the Act in 2020 providing for its extension. The</w:t>
      </w:r>
      <w:r w:rsidR="002C2596">
        <w:t> </w:t>
      </w:r>
      <w:r>
        <w:t>current state of emergency is set to expire in</w:t>
      </w:r>
      <w:r w:rsidR="002C2596">
        <w:t> </w:t>
      </w:r>
      <w:r>
        <w:t>December 2021.</w:t>
      </w:r>
    </w:p>
    <w:p w14:paraId="524B2798" w14:textId="77777777" w:rsidR="00496244" w:rsidRDefault="00496244" w:rsidP="00317057">
      <w:pPr>
        <w:pStyle w:val="Heading5"/>
      </w:pPr>
      <w:bookmarkStart w:id="209" w:name="_Toc85121097"/>
      <w:r>
        <w:t>COVID-19 public health directions</w:t>
      </w:r>
      <w:bookmarkEnd w:id="209"/>
    </w:p>
    <w:p w14:paraId="283AD188" w14:textId="3136C37C" w:rsidR="00496244" w:rsidRPr="00C3108C" w:rsidRDefault="00496244" w:rsidP="00317057">
      <w:pPr>
        <w:pStyle w:val="ARbody"/>
      </w:pPr>
      <w:r>
        <w:t>One of the primary mechanisms for Victoria</w:t>
      </w:r>
      <w:r w:rsidR="007D145B">
        <w:t>’</w:t>
      </w:r>
      <w:r>
        <w:t xml:space="preserve">s pandemic response has been the directions issued by the Chief Health Officer under the emergency powers of the </w:t>
      </w:r>
      <w:r w:rsidRPr="00F96705">
        <w:rPr>
          <w:i/>
          <w:iCs/>
        </w:rPr>
        <w:t>Public Health and Wellbeing Act 2008</w:t>
      </w:r>
      <w:r>
        <w:t xml:space="preserve">. The directions impose strict measures to combat the spread of COVID-19 and must be made with proper consideration of relevant human rights under the </w:t>
      </w:r>
      <w:r w:rsidRPr="00F96705">
        <w:rPr>
          <w:i/>
          <w:iCs/>
        </w:rPr>
        <w:t>Charter of Human Rights and Responsibilities Act 2006</w:t>
      </w:r>
      <w:r>
        <w:t>.</w:t>
      </w:r>
    </w:p>
    <w:p w14:paraId="738503AD" w14:textId="77777777" w:rsidR="00496244" w:rsidRPr="0057715E" w:rsidRDefault="00496244" w:rsidP="00317057">
      <w:pPr>
        <w:pStyle w:val="Heading5"/>
      </w:pPr>
      <w:bookmarkStart w:id="210" w:name="_Toc85121098"/>
      <w:r>
        <w:t>National and interstate cooperation</w:t>
      </w:r>
      <w:bookmarkEnd w:id="210"/>
    </w:p>
    <w:p w14:paraId="50EB09AB" w14:textId="77777777" w:rsidR="00496244" w:rsidRPr="00AF5AA4" w:rsidRDefault="00496244" w:rsidP="00317057">
      <w:pPr>
        <w:pStyle w:val="ARbody"/>
      </w:pPr>
      <w:r w:rsidRPr="00AF5AA4">
        <w:t>Victoria has played a central role in working with Commonwealth and interstate counterparts to develop consistent policy to suppress coronavirus.</w:t>
      </w:r>
    </w:p>
    <w:p w14:paraId="03FFD395" w14:textId="710FA6FF" w:rsidR="00864121" w:rsidRDefault="00496244" w:rsidP="00317057">
      <w:pPr>
        <w:pStyle w:val="ARbody"/>
      </w:pPr>
      <w:r w:rsidRPr="00AF5AA4">
        <w:t>The establishment of National Cabinet on 13</w:t>
      </w:r>
      <w:r w:rsidR="002C2596">
        <w:t> </w:t>
      </w:r>
      <w:r w:rsidRPr="00AF5AA4">
        <w:t>March</w:t>
      </w:r>
      <w:r w:rsidR="002C2596">
        <w:t> </w:t>
      </w:r>
      <w:r w:rsidRPr="00AF5AA4">
        <w:t xml:space="preserve">2020, facilitated agile decision-making at a national level. National Cabinet is advised by </w:t>
      </w:r>
      <w:r>
        <w:t xml:space="preserve">the </w:t>
      </w:r>
      <w:r w:rsidRPr="00AF5AA4">
        <w:t>Commonwealth Chief Medical Officer through the Australian Health Protection Principal Committee (AHPPC), comprising the Chief Health Officers of each jurisdiction.</w:t>
      </w:r>
    </w:p>
    <w:p w14:paraId="1A5478EE" w14:textId="33732DB1" w:rsidR="00864121" w:rsidRDefault="00496244" w:rsidP="00317057">
      <w:pPr>
        <w:pStyle w:val="ARbody"/>
      </w:pPr>
      <w:r w:rsidRPr="00AF5AA4">
        <w:t>AHPPC works with states and territories to develop</w:t>
      </w:r>
      <w:r w:rsidR="002C2596">
        <w:t> </w:t>
      </w:r>
      <w:r w:rsidRPr="00AF5AA4">
        <w:t>and adopt national health protection policies, guidelines, standards and alignment of</w:t>
      </w:r>
      <w:r w:rsidR="002C2596">
        <w:t> </w:t>
      </w:r>
      <w:r w:rsidRPr="00AF5AA4">
        <w:t>plans.</w:t>
      </w:r>
      <w:r w:rsidR="00864121">
        <w:t xml:space="preserve"> </w:t>
      </w:r>
      <w:r w:rsidRPr="00AF5AA4">
        <w:t xml:space="preserve">Since the beginning of the pandemic to </w:t>
      </w:r>
      <w:r>
        <w:t xml:space="preserve">the </w:t>
      </w:r>
      <w:r w:rsidRPr="00AF5AA4">
        <w:t>end of August 2021, AHPPC met more than 450 times.</w:t>
      </w:r>
    </w:p>
    <w:p w14:paraId="4C8DCAD8" w14:textId="2CDB9E8C" w:rsidR="00496244" w:rsidRPr="008803FE" w:rsidRDefault="00496244" w:rsidP="00317057">
      <w:pPr>
        <w:pStyle w:val="ARbody"/>
      </w:pPr>
      <w:r w:rsidRPr="00AF5AA4">
        <w:t>Victoria</w:t>
      </w:r>
      <w:r w:rsidR="007D145B">
        <w:t>’</w:t>
      </w:r>
      <w:r w:rsidRPr="00AF5AA4">
        <w:t>s response has also been informed by the</w:t>
      </w:r>
      <w:r w:rsidR="002C2596">
        <w:t> </w:t>
      </w:r>
      <w:r w:rsidRPr="00AF5AA4">
        <w:t>Communicable Diseases Network Australia (CDNA), reporting to the AHPPC</w:t>
      </w:r>
      <w:r>
        <w:t xml:space="preserve"> which</w:t>
      </w:r>
      <w:r w:rsidRPr="00AF5AA4">
        <w:t xml:space="preserve"> provid</w:t>
      </w:r>
      <w:r>
        <w:t>es</w:t>
      </w:r>
      <w:r w:rsidRPr="00AF5AA4">
        <w:t xml:space="preserve"> public health guidance and coordinates specialist assessment and management of cases, contacts and surveillance.</w:t>
      </w:r>
    </w:p>
    <w:p w14:paraId="76AB9177" w14:textId="77777777" w:rsidR="00496244" w:rsidRDefault="00496244" w:rsidP="00317057">
      <w:pPr>
        <w:pStyle w:val="Heading5"/>
      </w:pPr>
      <w:bookmarkStart w:id="211" w:name="_Toc85121099"/>
      <w:r w:rsidRPr="00F96705">
        <w:t>Funding to support the COVID-19 public health response</w:t>
      </w:r>
      <w:bookmarkEnd w:id="211"/>
    </w:p>
    <w:p w14:paraId="3D2CAAD2" w14:textId="0DCC0B0A" w:rsidR="00864121" w:rsidRDefault="00496244" w:rsidP="00317057">
      <w:pPr>
        <w:pStyle w:val="ARbody"/>
      </w:pPr>
      <w:r>
        <w:t>The Victorian Government provided $2.906 billion in funding in 202</w:t>
      </w:r>
      <w:r w:rsidR="00FA7261">
        <w:t>0–</w:t>
      </w:r>
      <w:r>
        <w:t>2021 to deliver a range of priority initiatives to support its public health response to the COVID-19 pandemic, including additional investment in public health capabilities to</w:t>
      </w:r>
      <w:r w:rsidR="002C2596">
        <w:t> </w:t>
      </w:r>
      <w:r>
        <w:t>rapidly and effectively respond to the spread of COVID-19.</w:t>
      </w:r>
    </w:p>
    <w:p w14:paraId="0AF938CE" w14:textId="18335D73" w:rsidR="00496244" w:rsidRDefault="00496244" w:rsidP="00317057">
      <w:pPr>
        <w:pStyle w:val="ARbody"/>
      </w:pPr>
      <w:r>
        <w:t>This included $1.9 billion funding for the design of</w:t>
      </w:r>
      <w:r w:rsidR="002C2596">
        <w:t> </w:t>
      </w:r>
      <w:r>
        <w:t>a</w:t>
      </w:r>
      <w:r w:rsidR="002C2596">
        <w:t> </w:t>
      </w:r>
      <w:r>
        <w:t>specific health system roadmap and staged response to expand critical care beds across Victoria to meet COVID-19 demand, to buy ventilators, equipment and personal protective equipment (PPE), and to protect our healthcare workforce. The department worked closely with public and private hospitals in the early phases of the COVID-19 pandemic to prepare and reinforce the capacity of the health system to provide health care to Victorians.</w:t>
      </w:r>
    </w:p>
    <w:p w14:paraId="1604FF38" w14:textId="77777777" w:rsidR="00496244" w:rsidRDefault="00496244" w:rsidP="00317057">
      <w:pPr>
        <w:pStyle w:val="Heading5"/>
      </w:pPr>
      <w:bookmarkStart w:id="212" w:name="_Toc85121100"/>
      <w:r>
        <w:t>Victorian health services guidance and response to COVID-19</w:t>
      </w:r>
      <w:bookmarkEnd w:id="212"/>
    </w:p>
    <w:p w14:paraId="671BB9F3" w14:textId="77777777" w:rsidR="00864121" w:rsidRDefault="00496244" w:rsidP="00317057">
      <w:pPr>
        <w:pStyle w:val="ARbody"/>
      </w:pPr>
      <w:r>
        <w:t>Following extensive consultation with clinicians, public health and infection control experts, the department developed a four-tier COVID-19 risk rating system: COVID Ready, COVID Alert, COVID Active and COVID Peak. Each risk-level rating reflects the risk of COVID-19 transmission in the community and determines health service actions and interventions to respond to that risk and maintain safe operations.</w:t>
      </w:r>
    </w:p>
    <w:p w14:paraId="511AFD2E" w14:textId="7FC8D4E4" w:rsidR="00496244" w:rsidRDefault="00496244" w:rsidP="00317057">
      <w:pPr>
        <w:pStyle w:val="ARbody"/>
      </w:pPr>
      <w:r>
        <w:t>The risk levels are supported by guidance and advice that can be activated to support the ability of</w:t>
      </w:r>
      <w:r w:rsidR="002C2596">
        <w:t> </w:t>
      </w:r>
      <w:r>
        <w:t>health services to mitigate the risks of COVID-19 transmission while providing for the care and safety of patients, staff and visitors. Guidance is more granular than that provided by directions issued by</w:t>
      </w:r>
      <w:r w:rsidR="002C2596">
        <w:t> </w:t>
      </w:r>
      <w:r>
        <w:t>the Chief Health Officer and is designed to specifically address the operational needs of health</w:t>
      </w:r>
      <w:r w:rsidR="002C2596">
        <w:t> </w:t>
      </w:r>
      <w:r>
        <w:t>services and care facilities. Advice includes adaptive protocols around use of personal protective equipment, patient/resident testing, healthcare worker testing, elective surgeries, visitor</w:t>
      </w:r>
      <w:r w:rsidR="002C2596">
        <w:t> </w:t>
      </w:r>
      <w:r>
        <w:t>screening and restrictions, specialist outpatient consulting, vulnerable workers (high-risk employees), workforce mobility and student clinical placements.</w:t>
      </w:r>
    </w:p>
    <w:p w14:paraId="136FB7BD" w14:textId="77777777" w:rsidR="00496244" w:rsidRDefault="00496244" w:rsidP="00317057">
      <w:pPr>
        <w:pStyle w:val="Heading5"/>
      </w:pPr>
      <w:bookmarkStart w:id="213" w:name="_Toc85121101"/>
      <w:r>
        <w:lastRenderedPageBreak/>
        <w:t>Healthcare workforce</w:t>
      </w:r>
      <w:bookmarkEnd w:id="213"/>
    </w:p>
    <w:p w14:paraId="3FE881F6" w14:textId="77777777" w:rsidR="00496244" w:rsidRDefault="00496244" w:rsidP="002C2596">
      <w:pPr>
        <w:pStyle w:val="Heading6"/>
        <w:spacing w:before="120"/>
      </w:pPr>
      <w:bookmarkStart w:id="214" w:name="_Toc85121102"/>
      <w:r>
        <w:t>Protecting healthcare workers</w:t>
      </w:r>
      <w:bookmarkEnd w:id="214"/>
    </w:p>
    <w:p w14:paraId="55CE8BF7" w14:textId="77777777" w:rsidR="00496244" w:rsidRDefault="00496244" w:rsidP="002C2596">
      <w:pPr>
        <w:pStyle w:val="ARbody"/>
        <w:spacing w:after="100"/>
      </w:pPr>
      <w:r>
        <w:t xml:space="preserve">The Healthcare Worker Infection Prevention and Wellbeing Taskforce was established in early August 2020 to provide expert advice on strategies and processes to reduce work fatigue amongst healthcare workers, limit occupation-acquired healthcare worker infections, and improve healthcare worker morale and wellbeing. This was closely followed by the release of the </w:t>
      </w:r>
      <w:r w:rsidRPr="006F6168">
        <w:rPr>
          <w:i/>
          <w:iCs/>
        </w:rPr>
        <w:t xml:space="preserve">Protecting our </w:t>
      </w:r>
      <w:r>
        <w:rPr>
          <w:i/>
          <w:iCs/>
        </w:rPr>
        <w:t>h</w:t>
      </w:r>
      <w:r w:rsidRPr="006F6168">
        <w:rPr>
          <w:i/>
          <w:iCs/>
        </w:rPr>
        <w:t xml:space="preserve">ealthcare </w:t>
      </w:r>
      <w:r>
        <w:rPr>
          <w:i/>
          <w:iCs/>
        </w:rPr>
        <w:t>w</w:t>
      </w:r>
      <w:r w:rsidRPr="006F6168">
        <w:rPr>
          <w:i/>
          <w:iCs/>
        </w:rPr>
        <w:t>orkers action plan</w:t>
      </w:r>
      <w:r>
        <w:t>. Since the launch of the plan, a number of other actions to prevent infections have already commenced, including:</w:t>
      </w:r>
    </w:p>
    <w:p w14:paraId="6FDC5526" w14:textId="77777777" w:rsidR="00496244" w:rsidRDefault="00496244" w:rsidP="002C2596">
      <w:pPr>
        <w:pStyle w:val="ARbullet1"/>
        <w:spacing w:after="30"/>
      </w:pPr>
      <w:r>
        <w:t>audits of the implementation of COVIDSafe plans within health services</w:t>
      </w:r>
    </w:p>
    <w:p w14:paraId="72BB8B83" w14:textId="77777777" w:rsidR="00496244" w:rsidRDefault="00496244" w:rsidP="002C2596">
      <w:pPr>
        <w:pStyle w:val="ARbullet1"/>
        <w:spacing w:after="30"/>
      </w:pPr>
      <w:r>
        <w:t>assessments of staff amenities to ensure they comply with physical distancing requirements</w:t>
      </w:r>
    </w:p>
    <w:p w14:paraId="1FE41269" w14:textId="77777777" w:rsidR="00496244" w:rsidRDefault="00496244" w:rsidP="002C2596">
      <w:pPr>
        <w:pStyle w:val="ARbullet1"/>
        <w:spacing w:after="30"/>
      </w:pPr>
      <w:r>
        <w:t>asymptomatic testing of healthcare workers in COVID-19 wards.</w:t>
      </w:r>
    </w:p>
    <w:p w14:paraId="0BA2F654" w14:textId="77777777" w:rsidR="00496244" w:rsidRDefault="00496244" w:rsidP="002C2596">
      <w:pPr>
        <w:pStyle w:val="ARbullet1"/>
        <w:spacing w:after="30"/>
      </w:pPr>
      <w:r>
        <w:t>a fit-testing trial of PPE and PPE guidance so that all healthcare workers treating high-risk suspected and confirmed COVID-19 patients have access to and wear P2/N95 respirators and know how wear their PPE correctly</w:t>
      </w:r>
    </w:p>
    <w:p w14:paraId="05D0A021" w14:textId="77777777" w:rsidR="00496244" w:rsidRDefault="00496244" w:rsidP="002C2596">
      <w:pPr>
        <w:pStyle w:val="ARbullet1"/>
        <w:spacing w:after="30"/>
      </w:pPr>
      <w:r>
        <w:t>designated roles, such as PPE spotters, who provide support and guidance for staff when donning and doffing PPE, and COVID marshals on site to ensure these best practices are enacted at each health service</w:t>
      </w:r>
    </w:p>
    <w:p w14:paraId="42DD9DBD" w14:textId="6C1F49BB" w:rsidR="00864121" w:rsidRDefault="00496244" w:rsidP="002C2596">
      <w:pPr>
        <w:pStyle w:val="ARbullet1"/>
        <w:spacing w:after="30"/>
      </w:pPr>
      <w:r>
        <w:t xml:space="preserve">improvements to heating, ventilation and </w:t>
      </w:r>
      <w:r w:rsidR="002C2596">
        <w:br/>
      </w:r>
      <w:r>
        <w:t>air-conditioning systems and use of zones to</w:t>
      </w:r>
      <w:r w:rsidR="002C2596">
        <w:t> </w:t>
      </w:r>
      <w:r>
        <w:t>control patient density</w:t>
      </w:r>
    </w:p>
    <w:p w14:paraId="54F687A3" w14:textId="77777777" w:rsidR="00864121" w:rsidRDefault="00496244" w:rsidP="002C2596">
      <w:pPr>
        <w:pStyle w:val="ARbullet1"/>
        <w:spacing w:after="30"/>
      </w:pPr>
      <w:r>
        <w:t>weekly data reporting on healthcare worker infection, introduced from mid-late 2020</w:t>
      </w:r>
    </w:p>
    <w:p w14:paraId="7A8C0E44" w14:textId="4AF931C1" w:rsidR="00496244" w:rsidRDefault="00496244" w:rsidP="002C2596">
      <w:pPr>
        <w:pStyle w:val="ARbullet1"/>
      </w:pPr>
      <w:r>
        <w:t>respiratory protection programs, mandatory since 31 from October 2020.</w:t>
      </w:r>
    </w:p>
    <w:p w14:paraId="726F9CF6" w14:textId="7FB8047B" w:rsidR="00864121" w:rsidRDefault="00496244" w:rsidP="002C2596">
      <w:pPr>
        <w:pStyle w:val="ARbodyafterbullets"/>
        <w:spacing w:before="100" w:after="100"/>
      </w:pPr>
      <w:r>
        <w:t>Over 23,700 health and aged care workers have been trained in the correct use of PPE, infection control and hand hygiene</w:t>
      </w:r>
      <w:r w:rsidRPr="00665462">
        <w:t>.</w:t>
      </w:r>
      <w:r>
        <w:t xml:space="preserve"> The $9.8 million Healthcare Worker Wellbeing Package helped fund</w:t>
      </w:r>
      <w:r w:rsidR="002C2596">
        <w:t> </w:t>
      </w:r>
      <w:r>
        <w:t>the establishment of the Healthcare Worker Wellbeing Centre under Safer Care Victoria, as well as a Healthcare Worker Wellbeing Grants Program to provide psychological supports for healthcare workers affected by the COVID-19 pandemic.</w:t>
      </w:r>
    </w:p>
    <w:p w14:paraId="75989220" w14:textId="10BE5FD8" w:rsidR="00496244" w:rsidRDefault="00496244" w:rsidP="00317057">
      <w:pPr>
        <w:pStyle w:val="ARbody"/>
      </w:pPr>
      <w:r>
        <w:t>The BeWell.BeSafe healthcare worker website established in March 2021 was designed to provide trusted, current information about infection control, PPE, mental health and general wellbeing to support every Victorian working in the healthcare system.</w:t>
      </w:r>
    </w:p>
    <w:p w14:paraId="792ABF92" w14:textId="77777777" w:rsidR="00496244" w:rsidRDefault="00496244" w:rsidP="00317057">
      <w:pPr>
        <w:pStyle w:val="Heading6"/>
      </w:pPr>
      <w:bookmarkStart w:id="215" w:name="_Toc85121103"/>
      <w:r>
        <w:t>Additional workforce capacity</w:t>
      </w:r>
      <w:bookmarkEnd w:id="215"/>
    </w:p>
    <w:p w14:paraId="02636B43" w14:textId="36BA3C55" w:rsidR="00864121" w:rsidRDefault="00496244" w:rsidP="00317057">
      <w:pPr>
        <w:pStyle w:val="ARbody"/>
      </w:pPr>
      <w:r>
        <w:t xml:space="preserve">A Private Hospital Funding Agreement provided additional workforce capacity, allowing public and private hospitals to work as one healthcare system during the pandemic. In addition, a clinical workforce pool was established to facilitate access to surge staffing to rapidly respond to increased demands on health services, residential care services and testing sites associated with </w:t>
      </w:r>
      <w:r w:rsidR="002C2596">
        <w:br/>
      </w:r>
      <w:r>
        <w:t>COVID-19. Since March 2021, this workforce pool</w:t>
      </w:r>
      <w:r w:rsidR="002C2596">
        <w:t> </w:t>
      </w:r>
      <w:r>
        <w:t>has also supported Victoria</w:t>
      </w:r>
      <w:r w:rsidR="007D145B">
        <w:t>’</w:t>
      </w:r>
      <w:r>
        <w:t>s COVID-19 vaccination program.</w:t>
      </w:r>
    </w:p>
    <w:p w14:paraId="55D4DA9E" w14:textId="3EE56BC0" w:rsidR="00496244" w:rsidRDefault="00496244" w:rsidP="00317057">
      <w:pPr>
        <w:pStyle w:val="Heading5"/>
      </w:pPr>
      <w:bookmarkStart w:id="216" w:name="_Toc85121104"/>
      <w:r>
        <w:t>Departmental staff</w:t>
      </w:r>
      <w:bookmarkEnd w:id="216"/>
    </w:p>
    <w:p w14:paraId="2729BA29" w14:textId="7BAA1C79" w:rsidR="00864121" w:rsidRDefault="00496244" w:rsidP="00317057">
      <w:pPr>
        <w:pStyle w:val="ARbody"/>
      </w:pPr>
      <w:r>
        <w:t>Departmental staff have been at the forefront of</w:t>
      </w:r>
      <w:r w:rsidR="002C2596">
        <w:t> </w:t>
      </w:r>
      <w:r>
        <w:t>the</w:t>
      </w:r>
      <w:r w:rsidR="002C2596">
        <w:t> </w:t>
      </w:r>
      <w:r>
        <w:t>government</w:t>
      </w:r>
      <w:r w:rsidR="007D145B">
        <w:t>’</w:t>
      </w:r>
      <w:r>
        <w:t>s response to the COVID-19 pandemic, working across the whole range of public health functions, such as case management, contact tracing and outbreak management, testing, directions, engagement, data and intelligence, policy, and vaccinating the Victorian community. Many staff members have been working extended hours and have often done parts of their usual employment while also deployed to other duties, or</w:t>
      </w:r>
      <w:r w:rsidR="002C2596">
        <w:t> </w:t>
      </w:r>
      <w:r>
        <w:t>have maintained business as usual work with dramatically reduced capacity.</w:t>
      </w:r>
    </w:p>
    <w:p w14:paraId="111D3A5B" w14:textId="776CE212" w:rsidR="00496244" w:rsidRDefault="00496244" w:rsidP="00317057">
      <w:pPr>
        <w:pStyle w:val="Heading5"/>
      </w:pPr>
      <w:bookmarkStart w:id="217" w:name="_Toc85121105"/>
      <w:r>
        <w:t>Health system equipment</w:t>
      </w:r>
      <w:bookmarkEnd w:id="217"/>
    </w:p>
    <w:p w14:paraId="295463E4" w14:textId="77777777" w:rsidR="00496244" w:rsidRPr="00186D2C" w:rsidRDefault="00496244" w:rsidP="00317057">
      <w:pPr>
        <w:pStyle w:val="Heading6"/>
      </w:pPr>
      <w:bookmarkStart w:id="218" w:name="_Toc85121106"/>
      <w:r>
        <w:t>Personal protective equipment</w:t>
      </w:r>
      <w:bookmarkEnd w:id="218"/>
    </w:p>
    <w:p w14:paraId="4826326E" w14:textId="6DD559BB" w:rsidR="00864121" w:rsidRDefault="00496244" w:rsidP="00317057">
      <w:pPr>
        <w:pStyle w:val="ARbody"/>
      </w:pPr>
      <w:r>
        <w:t>Victoria successfully secured appropriate personal protective equipment (PPE) for our healthcare workforce during peak demands. The PPE Taskforce was established in early April 2020, building reinforced supply chains to ensure ongoing</w:t>
      </w:r>
      <w:r w:rsidR="002C2596">
        <w:t> </w:t>
      </w:r>
      <w:r>
        <w:t>access to these supplies. The department partnered with Health Purchasing Victoria (now HealthShare Victoria) and Monash Health to establish the State Supply Chain (SSC). The SSC is a centralised statewide procurement and supply chain for critical PPE and other equipment.</w:t>
      </w:r>
    </w:p>
    <w:p w14:paraId="10712039" w14:textId="12F47B2D" w:rsidR="00496244" w:rsidRPr="001D2E3F" w:rsidRDefault="00496244" w:rsidP="00317057">
      <w:pPr>
        <w:pStyle w:val="Heading6"/>
      </w:pPr>
      <w:bookmarkStart w:id="219" w:name="_Toc85121107"/>
      <w:r w:rsidRPr="001D2E3F">
        <w:t>ICU beds</w:t>
      </w:r>
      <w:bookmarkEnd w:id="219"/>
    </w:p>
    <w:p w14:paraId="1B4FFBDA" w14:textId="28EF1DF4" w:rsidR="00864121" w:rsidRDefault="00496244" w:rsidP="00317057">
      <w:pPr>
        <w:pStyle w:val="ARbody"/>
      </w:pPr>
      <w:r>
        <w:t xml:space="preserve">At the beginning of the pandemic, preparing for a worst-case scenario, Safer Care Victoria worked with intensive care specialists to optimise patient distribution across the state – including admission, bed allocation and patient transfer – to ensure intensive care resources were not overwhelmed, which, thankfully, did not occur. However, 11 recommendations were made </w:t>
      </w:r>
      <w:r w:rsidRPr="004D4925">
        <w:t>by the ICU Statewide Governance Group</w:t>
      </w:r>
      <w:r>
        <w:t xml:space="preserve"> in November 2020 to help the system better manage any future surges and </w:t>
      </w:r>
      <w:r>
        <w:lastRenderedPageBreak/>
        <w:t>ensure equitable access for all patients, regardless of COVID-19 status. R</w:t>
      </w:r>
      <w:r w:rsidRPr="004D4925">
        <w:t xml:space="preserve">ecommendations </w:t>
      </w:r>
      <w:r>
        <w:t>were made in relation to</w:t>
      </w:r>
      <w:r w:rsidRPr="004D4925">
        <w:t xml:space="preserve"> infrastructure, system coordination and consultation, testing and PPE.</w:t>
      </w:r>
      <w:r>
        <w:t xml:space="preserve"> Work will continue with the sector to </w:t>
      </w:r>
      <w:r w:rsidRPr="004D4925">
        <w:t>ensure the intensive care system is as prepared as it can be for any future demands</w:t>
      </w:r>
      <w:r>
        <w:t>. The plan to increase intensive care unit (ICU) and critical care capacity continues to be guided by epidemiological modelling. Victoria</w:t>
      </w:r>
      <w:r w:rsidR="007D145B">
        <w:t>’</w:t>
      </w:r>
      <w:r>
        <w:t>s health system has capacity for up to</w:t>
      </w:r>
      <w:r w:rsidR="002C2596">
        <w:t> </w:t>
      </w:r>
      <w:r>
        <w:t>4,000 ICU beds if required.</w:t>
      </w:r>
    </w:p>
    <w:p w14:paraId="66F89CAA" w14:textId="2BEC178B" w:rsidR="00496244" w:rsidRDefault="00496244" w:rsidP="00317057">
      <w:pPr>
        <w:pStyle w:val="Heading6"/>
      </w:pPr>
      <w:bookmarkStart w:id="220" w:name="_Toc85121108"/>
      <w:r>
        <w:t>Ventilation</w:t>
      </w:r>
      <w:bookmarkEnd w:id="220"/>
    </w:p>
    <w:p w14:paraId="6A9F23A3" w14:textId="77777777" w:rsidR="00496244" w:rsidRDefault="00496244" w:rsidP="00317057">
      <w:pPr>
        <w:pStyle w:val="ARbody"/>
      </w:pPr>
      <w:r>
        <w:t>Ventilation via heating, ventilation and air conditioning systems is recognised as an important control for reducing the risk of COVID-19 transmission. To provide guidance to health services on ventilation-related infection prevention and control measures and to assist health services to enhance their ventilation systems and infection control processes, the department has developed an Infection Control Measures to Optimise Ventilation and Reduce Transmission of COVID-19 in Acute Healthcare Settings policy.</w:t>
      </w:r>
    </w:p>
    <w:p w14:paraId="7627040C" w14:textId="77777777" w:rsidR="00496244" w:rsidRDefault="00496244" w:rsidP="00317057">
      <w:pPr>
        <w:pStyle w:val="Heading6"/>
      </w:pPr>
      <w:bookmarkStart w:id="221" w:name="_Toc85121109"/>
      <w:r>
        <w:t>Ventilators</w:t>
      </w:r>
      <w:bookmarkEnd w:id="221"/>
    </w:p>
    <w:p w14:paraId="51D32669" w14:textId="20183151" w:rsidR="00496244" w:rsidRDefault="00496244" w:rsidP="00317057">
      <w:pPr>
        <w:pStyle w:val="ARbody"/>
      </w:pPr>
      <w:r>
        <w:t>Prior to the pandemic, Victoria</w:t>
      </w:r>
      <w:r w:rsidR="007D145B">
        <w:t>’</w:t>
      </w:r>
      <w:r>
        <w:t xml:space="preserve">s health system was well equipped with ventilators and other emergency equipment, with approximately 1,100 ventilators in total. There are now almost 2,000 ventilators in Victoria available for immediate use. </w:t>
      </w:r>
      <w:r w:rsidRPr="00362B63">
        <w:t xml:space="preserve">Ventilators </w:t>
      </w:r>
      <w:r>
        <w:t>have</w:t>
      </w:r>
      <w:r w:rsidRPr="00362B63">
        <w:t xml:space="preserve"> also </w:t>
      </w:r>
      <w:r>
        <w:t xml:space="preserve">been </w:t>
      </w:r>
      <w:r w:rsidRPr="00362B63">
        <w:t>provided to Ambulance Victoria during the pandemic</w:t>
      </w:r>
      <w:r>
        <w:t xml:space="preserve"> to ensure that they can rapidly and safely transfer </w:t>
      </w:r>
      <w:r w:rsidRPr="00362B63">
        <w:t>COVID</w:t>
      </w:r>
      <w:r>
        <w:t>-</w:t>
      </w:r>
      <w:r w:rsidRPr="00362B63">
        <w:t>19 positive</w:t>
      </w:r>
      <w:r>
        <w:t xml:space="preserve"> patients between health services</w:t>
      </w:r>
      <w:r w:rsidRPr="00362B63">
        <w:t>.</w:t>
      </w:r>
    </w:p>
    <w:p w14:paraId="2C757345" w14:textId="77777777" w:rsidR="00496244" w:rsidRDefault="00496244" w:rsidP="00317057">
      <w:pPr>
        <w:pStyle w:val="Heading5"/>
      </w:pPr>
      <w:bookmarkStart w:id="222" w:name="_Toc85121110"/>
      <w:r>
        <w:t>Additional capacity</w:t>
      </w:r>
      <w:bookmarkEnd w:id="222"/>
    </w:p>
    <w:p w14:paraId="4498786D" w14:textId="77777777" w:rsidR="00864121" w:rsidRDefault="00496244" w:rsidP="00317057">
      <w:pPr>
        <w:pStyle w:val="ARbody"/>
        <w:rPr>
          <w:i/>
          <w:iCs/>
          <w:color w:val="000000"/>
          <w:szCs w:val="20"/>
          <w:bdr w:val="none" w:sz="0" w:space="0" w:color="auto" w:frame="1"/>
          <w:shd w:val="clear" w:color="auto" w:fill="FFFFFF"/>
        </w:rPr>
      </w:pPr>
      <w:r w:rsidRPr="00EA5B18">
        <w:t>In</w:t>
      </w:r>
      <w:r>
        <w:t xml:space="preserve"> response to the first wave of the COVID-19 pandemic</w:t>
      </w:r>
      <w:r w:rsidRPr="00EA5B18">
        <w:t>, the Victorian Government increased the </w:t>
      </w:r>
      <w:r>
        <w:t xml:space="preserve">capacity </w:t>
      </w:r>
      <w:r w:rsidRPr="00EA5B18">
        <w:t>of</w:t>
      </w:r>
      <w:r>
        <w:t xml:space="preserve"> the health system.</w:t>
      </w:r>
    </w:p>
    <w:p w14:paraId="4DF17B6E" w14:textId="556952C0" w:rsidR="00496244" w:rsidRDefault="00496244" w:rsidP="00317057">
      <w:pPr>
        <w:pStyle w:val="ARbody"/>
      </w:pPr>
      <w:r>
        <w:t>The department worked in partnership with hospitals to activate uncommissioned capacity, purchase private capacity, reconfigure and optimise public hospitals, recommission former closed sites and accelerate new projects in the capital program to increase capacity for care.</w:t>
      </w:r>
    </w:p>
    <w:p w14:paraId="4418F8E3" w14:textId="77777777" w:rsidR="00496244" w:rsidRDefault="00496244" w:rsidP="00317057">
      <w:pPr>
        <w:pStyle w:val="ARbody"/>
      </w:pPr>
      <w:r>
        <w:t>Specific projects included:</w:t>
      </w:r>
    </w:p>
    <w:p w14:paraId="0D10F2B6" w14:textId="77777777" w:rsidR="00496244" w:rsidRDefault="00496244" w:rsidP="00317057">
      <w:pPr>
        <w:pStyle w:val="ARbullet1"/>
      </w:pPr>
      <w:r>
        <w:t>commissioning 45 beds in shell wards at Bendigo Hospital</w:t>
      </w:r>
    </w:p>
    <w:p w14:paraId="5E3BE637" w14:textId="77777777" w:rsidR="00496244" w:rsidRDefault="00496244" w:rsidP="00317057">
      <w:pPr>
        <w:pStyle w:val="ARbullet1"/>
      </w:pPr>
      <w:r>
        <w:t>commissioning 56 beds at Goulburn Valley Health</w:t>
      </w:r>
    </w:p>
    <w:p w14:paraId="3AFBAB5D" w14:textId="77777777" w:rsidR="00496244" w:rsidRDefault="00496244" w:rsidP="00317057">
      <w:pPr>
        <w:pStyle w:val="ARbullet1"/>
      </w:pPr>
      <w:r>
        <w:t>commissioning 140 beds at Casey Hospital</w:t>
      </w:r>
    </w:p>
    <w:p w14:paraId="63E9F164" w14:textId="77777777" w:rsidR="00496244" w:rsidRDefault="00496244" w:rsidP="00317057">
      <w:pPr>
        <w:pStyle w:val="ARbullet1"/>
      </w:pPr>
      <w:r>
        <w:t>recommissioning 84 beds at the former Peter MacCallum Cancer Centre site at East Melbourne</w:t>
      </w:r>
    </w:p>
    <w:p w14:paraId="20DE64AB" w14:textId="2A6873C7" w:rsidR="00496244" w:rsidRDefault="00496244" w:rsidP="00317057">
      <w:pPr>
        <w:pStyle w:val="ARbullet1"/>
      </w:pPr>
      <w:r>
        <w:t>recommissioning 50 inpatient beds, theatres and</w:t>
      </w:r>
      <w:r w:rsidR="002C2596">
        <w:t> </w:t>
      </w:r>
      <w:r>
        <w:t>recovery wards</w:t>
      </w:r>
    </w:p>
    <w:p w14:paraId="0EC8B7B6" w14:textId="0320C6C1" w:rsidR="00496244" w:rsidRDefault="00496244" w:rsidP="00317057">
      <w:pPr>
        <w:pStyle w:val="ARbullet1"/>
      </w:pPr>
      <w:r>
        <w:t>creating a respiratory clinic at Baxter House in</w:t>
      </w:r>
      <w:r w:rsidR="002C2596">
        <w:t> </w:t>
      </w:r>
      <w:r>
        <w:t>Geelong.</w:t>
      </w:r>
    </w:p>
    <w:p w14:paraId="453C6E73" w14:textId="77777777" w:rsidR="00496244" w:rsidRDefault="00496244" w:rsidP="002C2596">
      <w:pPr>
        <w:pStyle w:val="ARbodyafterbullets"/>
      </w:pPr>
      <w:r>
        <w:t>Increased inpatient capacity to treat potential COVID-19 patients was critical for the immediate pandemic response. Although not required currently for COVID-19 patients, the increased capacity is already supporting other Victorians and will help our health system meet increased demand in the future.</w:t>
      </w:r>
    </w:p>
    <w:p w14:paraId="3A66077F" w14:textId="0DE81B11" w:rsidR="00496244" w:rsidRDefault="00496244" w:rsidP="00317057">
      <w:pPr>
        <w:pStyle w:val="ARbody"/>
      </w:pPr>
      <w:r>
        <w:t>All 84 beds recommissioned at the former Peter MacCallum Cancer Centre site are open and being operated by St Vincent</w:t>
      </w:r>
      <w:r w:rsidR="007D145B">
        <w:t>’</w:t>
      </w:r>
      <w:r>
        <w:t xml:space="preserve">s Health Service at full capacity for low-acuity patients. These beds can also support Victoria with an elective surgery </w:t>
      </w:r>
      <w:r w:rsidR="007D145B">
        <w:t>‘</w:t>
      </w:r>
      <w:r>
        <w:t>catch up</w:t>
      </w:r>
      <w:r w:rsidR="007D145B">
        <w:t>’</w:t>
      </w:r>
      <w:r>
        <w:t xml:space="preserve"> on deferred care.</w:t>
      </w:r>
    </w:p>
    <w:p w14:paraId="773A652E" w14:textId="77777777" w:rsidR="00496244" w:rsidRDefault="00496244" w:rsidP="00317057">
      <w:pPr>
        <w:pStyle w:val="ARbody"/>
      </w:pPr>
      <w:r>
        <w:t>Baxter House in Geelong will continue to receive patients at the recommissioned acute respiratory assessment clinic. The additional 50 inpatient beds and 30 respiratory clinical rooms commissioned for COVID-19 surge capacity preparedness will add much-needed treatment spaces.</w:t>
      </w:r>
    </w:p>
    <w:p w14:paraId="164891F2" w14:textId="77777777" w:rsidR="00496244" w:rsidRDefault="00496244" w:rsidP="00317057">
      <w:pPr>
        <w:pStyle w:val="ARbody"/>
      </w:pPr>
      <w:r>
        <w:t>The 45 recommissioned beds at Bendigo hospital will be used for planned service demand from future regional growth.</w:t>
      </w:r>
    </w:p>
    <w:p w14:paraId="7913AAAE" w14:textId="77777777" w:rsidR="00496244" w:rsidRDefault="00496244" w:rsidP="00317057">
      <w:pPr>
        <w:pStyle w:val="Heading5"/>
      </w:pPr>
      <w:bookmarkStart w:id="223" w:name="_Toc85121111"/>
      <w:r w:rsidRPr="001D2E3F">
        <w:t>Managing COVID-19 positive patients</w:t>
      </w:r>
      <w:bookmarkEnd w:id="223"/>
    </w:p>
    <w:p w14:paraId="0287D724" w14:textId="07F96935" w:rsidR="00496244" w:rsidRDefault="00496244" w:rsidP="00317057">
      <w:pPr>
        <w:pStyle w:val="ARbody"/>
      </w:pPr>
      <w:r>
        <w:t>The department, Safer Care Victoria, public health</w:t>
      </w:r>
      <w:r w:rsidR="002C2596">
        <w:t> </w:t>
      </w:r>
      <w:r>
        <w:t>services, community health services, primary health networks and general practitioners worked together in 202</w:t>
      </w:r>
      <w:r w:rsidR="00FA7261">
        <w:t>0–</w:t>
      </w:r>
      <w:r>
        <w:t>21 to implement the COVID-19 Positive Care Pathways program, which provides comprehensive care for all Victorians with a COVID-19 positive diagnosis.</w:t>
      </w:r>
    </w:p>
    <w:p w14:paraId="3055325B" w14:textId="7582C8AF" w:rsidR="00496244" w:rsidRDefault="00496244" w:rsidP="00317057">
      <w:pPr>
        <w:pStyle w:val="ARbody"/>
      </w:pPr>
      <w:r>
        <w:t>Using a clinical risk and severity assessment and tailored monitoring, enrolled patients receive a combination of home-based care (via TeleHealth and remote monitoring) with access to specialist inpatient care if needed. This enables those with less severe symptoms to remain in their home. At</w:t>
      </w:r>
      <w:r w:rsidR="002C2596">
        <w:t> </w:t>
      </w:r>
      <w:r>
        <w:t>the same time, those at risk of deteriorating are</w:t>
      </w:r>
      <w:r w:rsidR="002C2596">
        <w:t> </w:t>
      </w:r>
      <w:r>
        <w:t>identified early and supported with higher levels</w:t>
      </w:r>
      <w:r w:rsidR="002C2596">
        <w:t> </w:t>
      </w:r>
      <w:r>
        <w:t>of care.</w:t>
      </w:r>
    </w:p>
    <w:p w14:paraId="30EC88D1" w14:textId="77777777" w:rsidR="002C2596" w:rsidRDefault="002C2596" w:rsidP="00317057">
      <w:pPr>
        <w:pStyle w:val="ARbody"/>
      </w:pPr>
      <w:r>
        <w:br w:type="page"/>
      </w:r>
    </w:p>
    <w:p w14:paraId="3C92D5C9" w14:textId="0746FF74" w:rsidR="00864121" w:rsidRDefault="00496244" w:rsidP="00317057">
      <w:pPr>
        <w:pStyle w:val="ARbody"/>
      </w:pPr>
      <w:r>
        <w:lastRenderedPageBreak/>
        <w:t>In addition, the department worked with health services to develop a process for managing the streaming and treatment of COVID-19 positive patients in Victoria. This built upon and extended existing healthcare arrangements for COVID-19 positive patients, the aim being to reduce the risk of</w:t>
      </w:r>
      <w:r w:rsidR="002C2596">
        <w:t> </w:t>
      </w:r>
      <w:r>
        <w:t>exposure to COVID-19 among people in the community, patients and healthcare workers. Streaming patients also aimed to minimise the disruption of non-COVID care within the health system, such as elective surgery and outpatient service delivery.</w:t>
      </w:r>
    </w:p>
    <w:p w14:paraId="0855561F" w14:textId="2850BDEC" w:rsidR="00496244" w:rsidRDefault="00496244" w:rsidP="00317057">
      <w:pPr>
        <w:pStyle w:val="ARbody"/>
      </w:pPr>
      <w:r>
        <w:t>The streaming model is designed to work in conjunction with the COVID-19 Positive Care Pathways program.</w:t>
      </w:r>
    </w:p>
    <w:p w14:paraId="4CD5A26D" w14:textId="222CCC33" w:rsidR="00496244" w:rsidRDefault="00496244" w:rsidP="00317057">
      <w:pPr>
        <w:pStyle w:val="Heading5"/>
      </w:pPr>
      <w:bookmarkStart w:id="224" w:name="_Toc85121112"/>
      <w:r w:rsidRPr="001D2E3F">
        <w:t>Ambulance Victoria</w:t>
      </w:r>
      <w:r w:rsidR="007D145B">
        <w:t>’</w:t>
      </w:r>
      <w:r w:rsidRPr="001D2E3F">
        <w:t>s response to</w:t>
      </w:r>
      <w:r w:rsidR="002C2596">
        <w:t> </w:t>
      </w:r>
      <w:r w:rsidRPr="001D2E3F">
        <w:t>COVID</w:t>
      </w:r>
      <w:r>
        <w:noBreakHyphen/>
      </w:r>
      <w:r w:rsidRPr="001D2E3F">
        <w:t>19</w:t>
      </w:r>
      <w:bookmarkEnd w:id="224"/>
    </w:p>
    <w:p w14:paraId="3A04D709" w14:textId="77777777" w:rsidR="00864121" w:rsidRDefault="00496244" w:rsidP="00317057">
      <w:pPr>
        <w:pStyle w:val="ARbody"/>
      </w:pPr>
      <w:r>
        <w:t>All ambulances have the capacity to respond to confirmed and suspected COVID-19 patients. Ambulance Victoria has contracted additional licensed non-emergency patient transport providers to supplement capacity, particularly in transporting aged care residents, both COVID-positive and COVID-negative, to hospitals.</w:t>
      </w:r>
    </w:p>
    <w:p w14:paraId="34BCF736" w14:textId="68204BB2" w:rsidR="00496244" w:rsidRDefault="00496244" w:rsidP="00317057">
      <w:pPr>
        <w:pStyle w:val="ARbody"/>
      </w:pPr>
      <w:r>
        <w:t>Strict safety measures were implemented by Ambulance Victoria in 202</w:t>
      </w:r>
      <w:r w:rsidR="00FA7261">
        <w:t>0–</w:t>
      </w:r>
      <w:r>
        <w:t>21 to protect its staff and the public from exposure to COVID-19 and to ensure workforce availability during periods of COVID-related peaks in demand for ambulance services.</w:t>
      </w:r>
    </w:p>
    <w:p w14:paraId="5064B4EC" w14:textId="15E6B265" w:rsidR="00496244" w:rsidRDefault="00496244" w:rsidP="00317057">
      <w:pPr>
        <w:pStyle w:val="ARbody"/>
      </w:pPr>
      <w:r>
        <w:t>Paramedic-at-scene times were longer during Victoria</w:t>
      </w:r>
      <w:r w:rsidR="007D145B">
        <w:t>’</w:t>
      </w:r>
      <w:r>
        <w:t>s second wave due to the heightened personal protective equipment requirements for ambulance workers when managing patients. Hospital times were also lengthened due to the need to decontaminate vehicles and equipment after potential COVID-19 cases – leading to longer overall case times and impacting overall ambulance availability.</w:t>
      </w:r>
    </w:p>
    <w:p w14:paraId="427DA790" w14:textId="77777777" w:rsidR="00496244" w:rsidRDefault="00496244" w:rsidP="00317057">
      <w:pPr>
        <w:pStyle w:val="Heading5"/>
      </w:pPr>
      <w:bookmarkStart w:id="225" w:name="_Toc85121113"/>
      <w:r w:rsidRPr="001D2E3F">
        <w:t>Local public health units</w:t>
      </w:r>
      <w:bookmarkEnd w:id="225"/>
    </w:p>
    <w:p w14:paraId="69921361" w14:textId="77777777" w:rsidR="00496244" w:rsidRDefault="00496244" w:rsidP="00317057">
      <w:pPr>
        <w:pStyle w:val="ARbody"/>
      </w:pPr>
      <w:r>
        <w:t>Established in September 2020, local public health units (LPHU) have played a pivotal role in outbreak management, including management of end-to-end COVID-19 contact tracing, case and contact follow-up and support. The LPHUs are based on a model that suits the needs of local communities and they work collaboratively with departmental teams.</w:t>
      </w:r>
    </w:p>
    <w:p w14:paraId="23FE68CD" w14:textId="06180720" w:rsidR="00496244" w:rsidRDefault="002C2596" w:rsidP="00317057">
      <w:pPr>
        <w:pStyle w:val="ARbody"/>
      </w:pPr>
      <w:r>
        <w:br w:type="column"/>
      </w:r>
      <w:r w:rsidR="00496244">
        <w:t>LPHUs were established in both regional and suburban communities. This approach helps contain localised outbreaks and ensures tailored and localised responses can be quickly developed. LPHUs are equipped to deal with everything from contact tracing to outbreak management, and they draw on their local knowledge to gauge how and where the virus is likely to spread in their communities. The locations of each unit were determined in consultation with health services and</w:t>
      </w:r>
      <w:r>
        <w:t> </w:t>
      </w:r>
      <w:r w:rsidR="00496244">
        <w:t>local government.</w:t>
      </w:r>
    </w:p>
    <w:p w14:paraId="72073DE9" w14:textId="77777777" w:rsidR="00496244" w:rsidRDefault="00496244" w:rsidP="00317057">
      <w:pPr>
        <w:pStyle w:val="Heading5"/>
      </w:pPr>
      <w:bookmarkStart w:id="226" w:name="_Toc85121114"/>
      <w:r w:rsidRPr="00A6078F">
        <w:t>COVID-19 information and communication</w:t>
      </w:r>
      <w:bookmarkEnd w:id="226"/>
    </w:p>
    <w:p w14:paraId="1ADF11C0" w14:textId="69CA28E9" w:rsidR="00496244" w:rsidRDefault="00496244" w:rsidP="00317057">
      <w:pPr>
        <w:pStyle w:val="ARbody"/>
      </w:pPr>
      <w:r>
        <w:t>Clear and accurate information about Victoria</w:t>
      </w:r>
      <w:r w:rsidR="007D145B">
        <w:t>’</w:t>
      </w:r>
      <w:r>
        <w:t>s COVID-19 directions from the Chief Health Officer has been critical to ensuring the community understands how to comply with the restrictions and safely undertake activities during the state of emergency.</w:t>
      </w:r>
    </w:p>
    <w:p w14:paraId="15FFA694" w14:textId="3A403DCE" w:rsidR="00864121" w:rsidRDefault="00496244" w:rsidP="00317057">
      <w:pPr>
        <w:pStyle w:val="ARbody"/>
      </w:pPr>
      <w:r>
        <w:t>The Physical Distancing Call Centre and COVID-19 Directions Inbox, which form part of the Directions Implementation and Operations Unit, provide the community with clear, consistent and accurate information about how to comply safely with Victoria</w:t>
      </w:r>
      <w:r w:rsidR="007D145B">
        <w:t>’</w:t>
      </w:r>
      <w:r>
        <w:t>s COVID-19 directions.</w:t>
      </w:r>
    </w:p>
    <w:p w14:paraId="1CD8A230" w14:textId="4A17648E" w:rsidR="00496244" w:rsidRDefault="00496244" w:rsidP="00317057">
      <w:pPr>
        <w:pStyle w:val="ARbody"/>
      </w:pPr>
      <w:r>
        <w:t>The department has also undertaken major advertising campaigns to inform Victorians of the</w:t>
      </w:r>
      <w:r w:rsidR="002C2596">
        <w:t> </w:t>
      </w:r>
      <w:r>
        <w:t>public health rules applicable across Victoria through various stages of the pandemic.</w:t>
      </w:r>
    </w:p>
    <w:p w14:paraId="3DD2CB34" w14:textId="77777777" w:rsidR="00496244" w:rsidRDefault="00496244" w:rsidP="00317057">
      <w:pPr>
        <w:pStyle w:val="ARbody"/>
      </w:pPr>
      <w:r>
        <w:t>Campaigns included: extensive television, digital, radio, print advertising, targeted advertising and translated materials for culturally and linguistically diverse communities, regional audiences and Victorian Aboriginal communities.</w:t>
      </w:r>
    </w:p>
    <w:p w14:paraId="5ACA5378" w14:textId="77777777" w:rsidR="00496244" w:rsidRDefault="00496244" w:rsidP="00317057">
      <w:pPr>
        <w:pStyle w:val="Heading5"/>
      </w:pPr>
      <w:bookmarkStart w:id="227" w:name="_Toc85121115"/>
      <w:r w:rsidRPr="00A6078F">
        <w:t>Measures to reduce the spread of COVID-19</w:t>
      </w:r>
      <w:bookmarkEnd w:id="227"/>
    </w:p>
    <w:p w14:paraId="0155505D" w14:textId="4193C23F" w:rsidR="00864121" w:rsidRDefault="00496244" w:rsidP="00317057">
      <w:pPr>
        <w:pStyle w:val="ARbody"/>
      </w:pPr>
      <w:r>
        <w:t>The most important measures to reduce the spread of COVID-19 have been the Chief Health Officer</w:t>
      </w:r>
      <w:r w:rsidR="007D145B">
        <w:t>’</w:t>
      </w:r>
      <w:r>
        <w:t>s directions. These have been used to impose restrictions on Victorians and on people seeking to</w:t>
      </w:r>
      <w:r w:rsidR="002C2596">
        <w:t> </w:t>
      </w:r>
      <w:r>
        <w:t>enter Victoria from interstate and overseas and are mainly concerned with restricting people</w:t>
      </w:r>
      <w:r w:rsidR="007D145B">
        <w:t>’</w:t>
      </w:r>
      <w:r>
        <w:t xml:space="preserve">s movements outside the home, mask wearing, </w:t>
      </w:r>
      <w:r w:rsidR="002C2596">
        <w:br/>
      </w:r>
      <w:r>
        <w:t>self-isolation and quarantine. These have varied in severity at different periods over the last 12 months but some level of restrictions has remained in place. Even during periods when there was no community transmission in Victoria, broad-ranging restrictions and obligations were still in force, particularly regarding the safe operation of venues and businesses.</w:t>
      </w:r>
    </w:p>
    <w:p w14:paraId="1FBFC5FD" w14:textId="129AE73D" w:rsidR="00864121" w:rsidRDefault="00496244" w:rsidP="00317057">
      <w:pPr>
        <w:pStyle w:val="ARbody"/>
      </w:pPr>
      <w:r>
        <w:lastRenderedPageBreak/>
        <w:t>These restrictions are necessary to ensure community safety, minimise the possible spread of</w:t>
      </w:r>
      <w:r w:rsidR="002C2596">
        <w:t> </w:t>
      </w:r>
      <w:r>
        <w:t>the virus, and manage any potential cases of COVID-19 and their close contacts, among many other things. Easing of them is always based on such things as community transmission dynamics, vaccination rates, outbreak data and case numbers.</w:t>
      </w:r>
    </w:p>
    <w:p w14:paraId="657C4A40" w14:textId="40F8B18A" w:rsidR="00496244" w:rsidRDefault="00496244" w:rsidP="002C2596">
      <w:pPr>
        <w:pStyle w:val="Heading5"/>
        <w:spacing w:before="180" w:after="60"/>
      </w:pPr>
      <w:bookmarkStart w:id="228" w:name="_Toc85121116"/>
      <w:r w:rsidRPr="00A6078F">
        <w:t>Major Events</w:t>
      </w:r>
      <w:bookmarkEnd w:id="228"/>
    </w:p>
    <w:p w14:paraId="6C39684B" w14:textId="71F3BABB" w:rsidR="00496244" w:rsidRDefault="00496244" w:rsidP="00317057">
      <w:pPr>
        <w:pStyle w:val="ARbody"/>
      </w:pPr>
      <w:r w:rsidRPr="00671CDA">
        <w:t xml:space="preserve">The </w:t>
      </w:r>
      <w:r w:rsidRPr="00671CDA">
        <w:rPr>
          <w:i/>
          <w:iCs/>
        </w:rPr>
        <w:t>Public events framework,</w:t>
      </w:r>
      <w:r w:rsidRPr="00671CDA">
        <w:t xml:space="preserve"> developed in late 2020, and updated in May 2021, has enabled many</w:t>
      </w:r>
      <w:r w:rsidR="002C2596">
        <w:t> </w:t>
      </w:r>
      <w:r w:rsidRPr="00671CDA">
        <w:t>major events to be held safely in Victoria. On</w:t>
      </w:r>
      <w:r w:rsidR="002C2596">
        <w:t> </w:t>
      </w:r>
      <w:r w:rsidRPr="00671CDA">
        <w:t>ANZAC Day, the MCG hosted the biggest crowd worldwide since the COVID-19 pandemic began, with major stadia operating at 85 per cent capacity in the first half of 2021. Many theatres operated at capacity, including the Princess Theatre, which staged numerous performances of</w:t>
      </w:r>
      <w:r w:rsidR="002C2596">
        <w:t> </w:t>
      </w:r>
      <w:r w:rsidRPr="00671CDA">
        <w:rPr>
          <w:i/>
          <w:iCs/>
        </w:rPr>
        <w:t>Harry Potter and The Cursed Child.</w:t>
      </w:r>
    </w:p>
    <w:p w14:paraId="7162E66D" w14:textId="3DE2B004" w:rsidR="00496244" w:rsidRDefault="00496244" w:rsidP="00317057">
      <w:pPr>
        <w:pStyle w:val="ARbody"/>
      </w:pPr>
      <w:r>
        <w:t>Public events, including sports and entertainment events, play a crucial role in the wellbeing and mental health of the Victorian population. Approval to conduct these events is subject to public health scrutiny, with thorough reviews of associated public</w:t>
      </w:r>
      <w:r w:rsidR="002C2596">
        <w:t> </w:t>
      </w:r>
      <w:r>
        <w:t>health risks and mitigation strategies. The department conducted multiple exercises with major stadia and other venues to prepare their response to a positive case at an event, refining and enhancing their COVIDSafe event plans to ensure a swift response to contact tracing requirements.</w:t>
      </w:r>
    </w:p>
    <w:p w14:paraId="7A2ED410" w14:textId="5E131CFE" w:rsidR="00496244" w:rsidRDefault="00496244" w:rsidP="002C2596">
      <w:pPr>
        <w:pStyle w:val="Heading5"/>
        <w:spacing w:before="180" w:after="60"/>
      </w:pPr>
      <w:bookmarkStart w:id="229" w:name="_Toc85121117"/>
      <w:r w:rsidRPr="00A6078F">
        <w:t>Enforcement and compliance measures to</w:t>
      </w:r>
      <w:r w:rsidR="002C2596">
        <w:t> </w:t>
      </w:r>
      <w:r w:rsidRPr="00A6078F">
        <w:t>reduce community transmission</w:t>
      </w:r>
      <w:bookmarkEnd w:id="229"/>
    </w:p>
    <w:p w14:paraId="718A5C60" w14:textId="12B462A9" w:rsidR="00496244" w:rsidRDefault="00496244" w:rsidP="00317057">
      <w:pPr>
        <w:pStyle w:val="ARbody"/>
      </w:pPr>
      <w:r>
        <w:t>New legislation passed in October 2020 allowed the department to extend its authorised officer workforce and thus meet the growing need for enforcement activities required by the Chief Health Officer</w:t>
      </w:r>
      <w:r w:rsidR="007D145B">
        <w:t>’</w:t>
      </w:r>
      <w:r>
        <w:t>s directions and the restrictions they impose.</w:t>
      </w:r>
    </w:p>
    <w:p w14:paraId="6406C4BC" w14:textId="69075C0C" w:rsidR="00496244" w:rsidRDefault="00496244" w:rsidP="00317057">
      <w:pPr>
        <w:pStyle w:val="ARbody"/>
      </w:pPr>
      <w:r>
        <w:t>Since 1 December 2020, over 5,000 remote business inspections and field inspections had been completed or were in progress in response to</w:t>
      </w:r>
      <w:r w:rsidR="002C2596">
        <w:t> </w:t>
      </w:r>
      <w:r>
        <w:t>notifications of possible breaches of directions.</w:t>
      </w:r>
    </w:p>
    <w:p w14:paraId="72B655DB" w14:textId="77777777" w:rsidR="00496244" w:rsidRDefault="00496244" w:rsidP="00317057">
      <w:pPr>
        <w:pStyle w:val="Heading4"/>
      </w:pPr>
      <w:bookmarkStart w:id="230" w:name="_Toc85121118"/>
      <w:r>
        <w:t>Preventing COVID-19 in Victoria</w:t>
      </w:r>
      <w:bookmarkEnd w:id="230"/>
    </w:p>
    <w:p w14:paraId="5808B289" w14:textId="77777777" w:rsidR="00496244" w:rsidRDefault="00496244" w:rsidP="002C2596">
      <w:pPr>
        <w:pStyle w:val="Heading5"/>
        <w:spacing w:before="160"/>
      </w:pPr>
      <w:bookmarkStart w:id="231" w:name="_Toc85121119"/>
      <w:r w:rsidRPr="00A6078F">
        <w:t>COVID-19 Accommodation Program</w:t>
      </w:r>
      <w:bookmarkEnd w:id="231"/>
    </w:p>
    <w:p w14:paraId="15776559" w14:textId="008D7FE0" w:rsidR="00864121" w:rsidRDefault="00496244" w:rsidP="00317057">
      <w:pPr>
        <w:pStyle w:val="ARbody"/>
      </w:pPr>
      <w:r>
        <w:t>On 27 July 2020, the Department of Justice and Community Safety (DJCS) assumed operational responsibility for the COVID-19 Accommodation Program from the then Department of Health and</w:t>
      </w:r>
      <w:r w:rsidR="002C2596">
        <w:t> </w:t>
      </w:r>
      <w:r>
        <w:t>Human Services.</w:t>
      </w:r>
    </w:p>
    <w:p w14:paraId="444CA14F" w14:textId="144E2894" w:rsidR="00496244" w:rsidRDefault="00496244" w:rsidP="00317057">
      <w:pPr>
        <w:pStyle w:val="ARbody"/>
      </w:pPr>
      <w:r>
        <w:t>The COVID-19 Accommodation Program manages quarantine arrangements in Victoria. Victoria requires mandatory 14-day quarantine for international arrivals.</w:t>
      </w:r>
    </w:p>
    <w:p w14:paraId="4AD520CD" w14:textId="77777777" w:rsidR="00496244" w:rsidRDefault="00496244" w:rsidP="00317057">
      <w:pPr>
        <w:pStyle w:val="ARbody"/>
      </w:pPr>
      <w:r>
        <w:t>On 1 December 2020, a new administrative office attached to DJCS and called COVID-19 Quarantine Victoria (CQV) was established, with overall responsibility for the COVID-19 Accommodation Program. CQV is accountable to the Minister for Police and Emergency Services and subject to the terms of a general order.</w:t>
      </w:r>
    </w:p>
    <w:p w14:paraId="2E3D723E" w14:textId="77777777" w:rsidR="00864121" w:rsidRDefault="00496244" w:rsidP="00317057">
      <w:pPr>
        <w:pStyle w:val="ARbody"/>
      </w:pPr>
      <w:r>
        <w:t>The department works closely with CQV to support quarantine arrangements and provides public health advice as required.</w:t>
      </w:r>
    </w:p>
    <w:p w14:paraId="6B07DECF" w14:textId="2077C7EC" w:rsidR="00496244" w:rsidRDefault="00496244" w:rsidP="00317057">
      <w:pPr>
        <w:pStyle w:val="ARbody"/>
      </w:pPr>
      <w:r>
        <w:t>Responsibility for the operation of the Hotels for Heroes program, which provides accommodation for frontline workers who need to self-isolate, transferred to the DJCS on 11 August 2020.</w:t>
      </w:r>
    </w:p>
    <w:p w14:paraId="27FBACE7" w14:textId="4C41B85D" w:rsidR="00496244" w:rsidRDefault="00496244" w:rsidP="00317057">
      <w:pPr>
        <w:pStyle w:val="Heading5"/>
      </w:pPr>
      <w:bookmarkStart w:id="232" w:name="_Toc85121120"/>
      <w:bookmarkStart w:id="233" w:name="_Ref85203698"/>
      <w:r w:rsidRPr="00A6078F">
        <w:t>Detention powers and Detention Review</w:t>
      </w:r>
      <w:r w:rsidR="002C2596">
        <w:t> </w:t>
      </w:r>
      <w:r w:rsidRPr="00A6078F">
        <w:t>Panel</w:t>
      </w:r>
      <w:bookmarkEnd w:id="232"/>
      <w:bookmarkEnd w:id="233"/>
    </w:p>
    <w:p w14:paraId="703D6D20" w14:textId="77777777" w:rsidR="00864121" w:rsidRDefault="00496244" w:rsidP="00317057">
      <w:pPr>
        <w:pStyle w:val="ARbody"/>
      </w:pPr>
      <w:r>
        <w:t xml:space="preserve">The emergency detention power under the </w:t>
      </w:r>
      <w:r w:rsidRPr="002F5585">
        <w:rPr>
          <w:i/>
          <w:iCs/>
        </w:rPr>
        <w:t>Public Health and Wellbeing Act 2008</w:t>
      </w:r>
      <w:r>
        <w:t xml:space="preserve"> has been exercised many times during the COVID-19 pandemic, particularly in the form of detention notices issued to people required to enter hotel quarantine or other mandatory periods of quarantine or isolation.</w:t>
      </w:r>
    </w:p>
    <w:p w14:paraId="5EFDA76B" w14:textId="77777777" w:rsidR="00864121" w:rsidRDefault="00496244" w:rsidP="00317057">
      <w:pPr>
        <w:pStyle w:val="ARbody"/>
      </w:pPr>
      <w:r>
        <w:t>The Detention Review Panel was established on 20 April 2021 to provide an independent review mechanism of these notices.</w:t>
      </w:r>
    </w:p>
    <w:p w14:paraId="0621BAB6" w14:textId="7F905444" w:rsidR="00496244" w:rsidRDefault="00496244" w:rsidP="00317057">
      <w:pPr>
        <w:pStyle w:val="ARbody"/>
      </w:pPr>
      <w:r>
        <w:t xml:space="preserve">In the period to 30 June 2021, </w:t>
      </w:r>
      <w:r w:rsidRPr="00684F9A">
        <w:t>61</w:t>
      </w:r>
      <w:r>
        <w:t xml:space="preserve"> applications for review were </w:t>
      </w:r>
      <w:r w:rsidRPr="00684F9A">
        <w:t>considered by</w:t>
      </w:r>
      <w:r>
        <w:t xml:space="preserve"> the Panel,</w:t>
      </w:r>
      <w:r w:rsidRPr="00684F9A">
        <w:t xml:space="preserve"> 51</w:t>
      </w:r>
      <w:r>
        <w:t xml:space="preserve"> </w:t>
      </w:r>
      <w:r w:rsidRPr="00684F9A">
        <w:t>of which were affirmed by a Detention Review Officer</w:t>
      </w:r>
      <w:r>
        <w:t>. A further</w:t>
      </w:r>
      <w:r w:rsidRPr="00684F9A">
        <w:t xml:space="preserve"> 10 were referred to the C</w:t>
      </w:r>
      <w:r>
        <w:t xml:space="preserve">hief </w:t>
      </w:r>
      <w:r w:rsidRPr="00684F9A">
        <w:t>H</w:t>
      </w:r>
      <w:r>
        <w:t xml:space="preserve">ealth </w:t>
      </w:r>
      <w:r w:rsidRPr="00684F9A">
        <w:t>O</w:t>
      </w:r>
      <w:r>
        <w:t>fficer</w:t>
      </w:r>
      <w:r w:rsidRPr="00684F9A">
        <w:t xml:space="preserve">, </w:t>
      </w:r>
      <w:r>
        <w:t xml:space="preserve">of which eight </w:t>
      </w:r>
      <w:r w:rsidRPr="00684F9A">
        <w:t xml:space="preserve">were varied and </w:t>
      </w:r>
      <w:r>
        <w:t>two</w:t>
      </w:r>
      <w:r w:rsidRPr="00684F9A">
        <w:t xml:space="preserve"> were affirmed.</w:t>
      </w:r>
    </w:p>
    <w:p w14:paraId="5704921C" w14:textId="77777777" w:rsidR="00496244" w:rsidRDefault="00496244" w:rsidP="00317057">
      <w:pPr>
        <w:pStyle w:val="Heading5"/>
      </w:pPr>
      <w:bookmarkStart w:id="234" w:name="_Toc85121121"/>
      <w:r w:rsidRPr="00A6078F">
        <w:t>Infection prevention and control</w:t>
      </w:r>
      <w:bookmarkEnd w:id="234"/>
    </w:p>
    <w:p w14:paraId="65662CA3" w14:textId="1D23E666" w:rsidR="00496244" w:rsidRDefault="00496244" w:rsidP="00317057">
      <w:pPr>
        <w:pStyle w:val="Heading6"/>
      </w:pPr>
      <w:bookmarkStart w:id="235" w:name="_Toc85121122"/>
      <w:r>
        <w:t>Infection prevention control guidelines and</w:t>
      </w:r>
      <w:r w:rsidR="002C2596">
        <w:rPr>
          <w:lang w:val="en-US"/>
        </w:rPr>
        <w:t> </w:t>
      </w:r>
      <w:r>
        <w:t>advice</w:t>
      </w:r>
      <w:bookmarkEnd w:id="235"/>
    </w:p>
    <w:p w14:paraId="1BCB5BB5" w14:textId="15F1A74B" w:rsidR="00496244" w:rsidRDefault="00496244" w:rsidP="00317057">
      <w:pPr>
        <w:pStyle w:val="ARbody"/>
      </w:pPr>
      <w:r>
        <w:t xml:space="preserve">The department developed the </w:t>
      </w:r>
      <w:r w:rsidRPr="00B34A45">
        <w:rPr>
          <w:i/>
          <w:iCs/>
        </w:rPr>
        <w:t xml:space="preserve">Coronavirus (COVID-19) </w:t>
      </w:r>
      <w:r>
        <w:rPr>
          <w:i/>
          <w:iCs/>
        </w:rPr>
        <w:t>i</w:t>
      </w:r>
      <w:r w:rsidRPr="00B34A45">
        <w:rPr>
          <w:i/>
          <w:iCs/>
        </w:rPr>
        <w:t xml:space="preserve">nfection </w:t>
      </w:r>
      <w:r>
        <w:rPr>
          <w:i/>
          <w:iCs/>
        </w:rPr>
        <w:t>p</w:t>
      </w:r>
      <w:r w:rsidRPr="00B34A45">
        <w:rPr>
          <w:i/>
          <w:iCs/>
        </w:rPr>
        <w:t xml:space="preserve">revention and </w:t>
      </w:r>
      <w:r>
        <w:rPr>
          <w:i/>
          <w:iCs/>
        </w:rPr>
        <w:t>c</w:t>
      </w:r>
      <w:r w:rsidRPr="00B34A45">
        <w:rPr>
          <w:i/>
          <w:iCs/>
        </w:rPr>
        <w:t xml:space="preserve">ontrol (IPC) </w:t>
      </w:r>
      <w:r>
        <w:rPr>
          <w:i/>
          <w:iCs/>
        </w:rPr>
        <w:t>g</w:t>
      </w:r>
      <w:r w:rsidRPr="00B34A45">
        <w:rPr>
          <w:i/>
          <w:iCs/>
        </w:rPr>
        <w:t>uidelines</w:t>
      </w:r>
      <w:r>
        <w:t xml:space="preserve"> in 2020 to support industry and communities to implement effective IPC in all settings. These guidelines were further refined in</w:t>
      </w:r>
      <w:r w:rsidR="002C2596">
        <w:t> </w:t>
      </w:r>
      <w:r>
        <w:t>2021. The department has provided advice on more than 4000 infection control enquiries received through a dedicated COVID-19 Infection Control inbox and produced a variety of resources that are published on the department</w:t>
      </w:r>
      <w:r w:rsidR="007D145B">
        <w:t>’</w:t>
      </w:r>
      <w:r>
        <w:t>s Infection Control website page.</w:t>
      </w:r>
    </w:p>
    <w:p w14:paraId="6389F735" w14:textId="77777777" w:rsidR="00496244" w:rsidRPr="00B34A45" w:rsidRDefault="00496244" w:rsidP="00317057">
      <w:pPr>
        <w:pStyle w:val="Heading6"/>
      </w:pPr>
      <w:bookmarkStart w:id="236" w:name="_Toc85121123"/>
      <w:r>
        <w:lastRenderedPageBreak/>
        <w:t>Personal protective equipment</w:t>
      </w:r>
      <w:bookmarkEnd w:id="236"/>
    </w:p>
    <w:p w14:paraId="3EDD9EE5" w14:textId="77777777" w:rsidR="00496244" w:rsidRDefault="00496244" w:rsidP="002C2596">
      <w:pPr>
        <w:pStyle w:val="ARbody"/>
        <w:spacing w:after="100"/>
      </w:pPr>
      <w:r>
        <w:t>Throughout the pandemic response, personal protective equipment has been made available for frontline staff and community service organisations. Priority is given to services with confirmed or suspected cases of COVID-19.</w:t>
      </w:r>
    </w:p>
    <w:p w14:paraId="57258D95" w14:textId="77777777" w:rsidR="00496244" w:rsidRDefault="00496244" w:rsidP="002C2596">
      <w:pPr>
        <w:pStyle w:val="ARbody"/>
        <w:spacing w:after="100"/>
      </w:pPr>
      <w:r>
        <w:t>PPE has also been distributed to the department across the state for staff to utilise when in the workplace or having client contact.</w:t>
      </w:r>
    </w:p>
    <w:p w14:paraId="56B57787" w14:textId="77777777" w:rsidR="00496244" w:rsidRDefault="00496244" w:rsidP="00317057">
      <w:pPr>
        <w:pStyle w:val="ARbody"/>
      </w:pPr>
      <w:r>
        <w:t>The guidelines for PPE have been updated at regular intervals during the COVID-19 pandemic. The department has consistently ensured that the recommendations reflect the most recent evidence and lean towards greater levels of protection when there are any uncertainties.</w:t>
      </w:r>
    </w:p>
    <w:p w14:paraId="0AB74D30" w14:textId="77777777" w:rsidR="00496244" w:rsidRDefault="00496244" w:rsidP="002C2596">
      <w:pPr>
        <w:pStyle w:val="Heading6"/>
        <w:spacing w:before="180" w:after="60"/>
      </w:pPr>
      <w:bookmarkStart w:id="237" w:name="_Toc85121124"/>
      <w:r>
        <w:t>Clinical guidelines</w:t>
      </w:r>
      <w:bookmarkEnd w:id="237"/>
    </w:p>
    <w:p w14:paraId="3518E76E" w14:textId="6D0F2026" w:rsidR="00496244" w:rsidRDefault="00496244" w:rsidP="00317057">
      <w:pPr>
        <w:pStyle w:val="ARbody"/>
      </w:pPr>
      <w:r>
        <w:t>Since establishing the Clinical Leadership Expert</w:t>
      </w:r>
      <w:r w:rsidR="002C2596">
        <w:t> </w:t>
      </w:r>
      <w:r>
        <w:t>Group in March 2020, Safer Care Victoria has co-developed and published 75 COVID-19 clinical guidelines and resources, including 51 in</w:t>
      </w:r>
      <w:r w:rsidR="002C2596">
        <w:t> </w:t>
      </w:r>
      <w:r>
        <w:t>202</w:t>
      </w:r>
      <w:r w:rsidR="00FA7261">
        <w:t>0–</w:t>
      </w:r>
      <w:r>
        <w:t>21. Topics have ranged from surgery, maternity care and residential aged care. The group – comprising 32 members from 18 clinical and consumer specialty areas – also contributed to</w:t>
      </w:r>
      <w:r w:rsidR="002C2596">
        <w:t> </w:t>
      </w:r>
      <w:r>
        <w:t>many policy and guidance topics developed by the department.</w:t>
      </w:r>
    </w:p>
    <w:p w14:paraId="17733B42" w14:textId="77777777" w:rsidR="00496244" w:rsidRDefault="00496244" w:rsidP="002C2596">
      <w:pPr>
        <w:pStyle w:val="Heading4"/>
        <w:spacing w:before="160" w:after="60"/>
      </w:pPr>
      <w:bookmarkStart w:id="238" w:name="_Toc85121125"/>
      <w:r>
        <w:t>Containing COVID-19 in Victoria</w:t>
      </w:r>
      <w:bookmarkEnd w:id="238"/>
    </w:p>
    <w:p w14:paraId="3AB513B7" w14:textId="77777777" w:rsidR="00496244" w:rsidRDefault="00496244" w:rsidP="002C2596">
      <w:pPr>
        <w:pStyle w:val="Heading5"/>
        <w:spacing w:before="120"/>
      </w:pPr>
      <w:bookmarkStart w:id="239" w:name="_Toc85121126"/>
      <w:r w:rsidRPr="00B13524">
        <w:t>Outbreak management</w:t>
      </w:r>
      <w:bookmarkEnd w:id="239"/>
    </w:p>
    <w:p w14:paraId="4FC22AEC" w14:textId="6042E53D" w:rsidR="00496244" w:rsidRDefault="00496244" w:rsidP="00317057">
      <w:pPr>
        <w:pStyle w:val="ARbody"/>
      </w:pPr>
      <w:r>
        <w:t>Outbreaks are detected and responded to rapidly.</w:t>
      </w:r>
      <w:r w:rsidR="002C2596">
        <w:t> </w:t>
      </w:r>
      <w:r>
        <w:t>Drawing on local public health units, the department ensures adequate availability of personal protective equipment, and provides clear advice on contact tracing, testing recommendations and deep-cleaning requirements. Our customer relationship management (CRM) program provides a purpose-built platform for contact tracing and includes key functions relating to tracing, isolating and managing, and informing. The department ensures appropriate contact tracing capability across the state and the capacity to escalate the response when outbreaks occur.</w:t>
      </w:r>
    </w:p>
    <w:p w14:paraId="66F57899" w14:textId="77777777" w:rsidR="00496244" w:rsidRDefault="00496244" w:rsidP="002C2596">
      <w:pPr>
        <w:pStyle w:val="Heading6"/>
        <w:spacing w:before="180" w:after="60"/>
      </w:pPr>
      <w:bookmarkStart w:id="240" w:name="_Toc85121127"/>
      <w:r>
        <w:t>COVID-19 testing</w:t>
      </w:r>
      <w:bookmarkEnd w:id="240"/>
    </w:p>
    <w:p w14:paraId="72206FC1" w14:textId="3B56E754" w:rsidR="00496244" w:rsidRDefault="00496244" w:rsidP="00317057">
      <w:pPr>
        <w:pStyle w:val="ARbody"/>
      </w:pPr>
      <w:r>
        <w:t>The department</w:t>
      </w:r>
      <w:r w:rsidR="007D145B">
        <w:t>’</w:t>
      </w:r>
      <w:r>
        <w:t>s testing strategy has three priorities:</w:t>
      </w:r>
    </w:p>
    <w:p w14:paraId="616C27B6" w14:textId="77777777" w:rsidR="00496244" w:rsidRDefault="00496244" w:rsidP="00317057">
      <w:pPr>
        <w:pStyle w:val="ARbullet1"/>
      </w:pPr>
      <w:r>
        <w:t>maximising symptomatic testing</w:t>
      </w:r>
    </w:p>
    <w:p w14:paraId="0D3C60D7" w14:textId="0804684C" w:rsidR="00496244" w:rsidRDefault="00496244" w:rsidP="00317057">
      <w:pPr>
        <w:pStyle w:val="ARbullet1"/>
      </w:pPr>
      <w:r>
        <w:t>reducing transmission risk from interstate or</w:t>
      </w:r>
      <w:r w:rsidR="002C2596">
        <w:t> </w:t>
      </w:r>
      <w:r>
        <w:t>overseas</w:t>
      </w:r>
    </w:p>
    <w:p w14:paraId="312F4A95" w14:textId="77777777" w:rsidR="00864121" w:rsidRDefault="00496244" w:rsidP="00317057">
      <w:pPr>
        <w:pStyle w:val="ARbullet1"/>
      </w:pPr>
      <w:r>
        <w:t>detecting asymptomatic infection in amplification settings.</w:t>
      </w:r>
    </w:p>
    <w:p w14:paraId="3B9E1050" w14:textId="440C914F" w:rsidR="00496244" w:rsidRDefault="00496244" w:rsidP="002C2596">
      <w:pPr>
        <w:pStyle w:val="ARbodyafterbullets"/>
      </w:pPr>
      <w:r>
        <w:t>Active surveillance through wastewater testing also provides early detection at a population/location level, complementing and informing clinical testing.</w:t>
      </w:r>
    </w:p>
    <w:p w14:paraId="39E49598" w14:textId="77777777" w:rsidR="00496244" w:rsidRDefault="00496244" w:rsidP="00317057">
      <w:pPr>
        <w:pStyle w:val="Heading6"/>
      </w:pPr>
      <w:bookmarkStart w:id="241" w:name="_Toc85121128"/>
      <w:r>
        <w:t>Facilities and settings</w:t>
      </w:r>
      <w:bookmarkEnd w:id="241"/>
    </w:p>
    <w:p w14:paraId="114BBB78" w14:textId="50AF55DF" w:rsidR="00496244" w:rsidRDefault="00496244" w:rsidP="00317057">
      <w:pPr>
        <w:pStyle w:val="ARbody"/>
      </w:pPr>
      <w:r>
        <w:t>Testing sites across Victoria continue to facilitate testing, when and as required, by bringing together local departmental representatives, the State Control Centre, councils, local health providers, and</w:t>
      </w:r>
      <w:r w:rsidR="002C2596">
        <w:t> </w:t>
      </w:r>
      <w:r>
        <w:t>other support agencies. General practice respiratory clinics have also been included to help manage capacity. There is a network of 180+ fixed COVID-19 testing facilities across Victoria, led by health services, community health services, and GP respiratory clinics, and sometimes provided at metropolitan drive-through retail centres. Testing is delivered in a variety of settings, including walk in, drive through, dual/hybrid models, Call-to-Test and mobile screening clinics. This enables broad and accessible testing when outbreaks occur.</w:t>
      </w:r>
    </w:p>
    <w:p w14:paraId="21639681" w14:textId="77777777" w:rsidR="00496244" w:rsidRDefault="00496244" w:rsidP="00317057">
      <w:pPr>
        <w:pStyle w:val="Heading6"/>
      </w:pPr>
      <w:bookmarkStart w:id="242" w:name="_Toc85121129"/>
      <w:r>
        <w:t>Improvements in capacity</w:t>
      </w:r>
      <w:bookmarkEnd w:id="242"/>
    </w:p>
    <w:p w14:paraId="04919747" w14:textId="77777777" w:rsidR="00496244" w:rsidRDefault="00496244" w:rsidP="00317057">
      <w:pPr>
        <w:pStyle w:val="ARbody"/>
      </w:pPr>
      <w:r w:rsidRPr="0095687F">
        <w:t>Victoria has the capacity to undertake around 50,000 tests per day and, since the beginning of January 2020, more than 7 million tests have been undertaken.</w:t>
      </w:r>
    </w:p>
    <w:p w14:paraId="60652C0C" w14:textId="53AFF8DE" w:rsidR="00496244" w:rsidRDefault="00496244" w:rsidP="00317057">
      <w:pPr>
        <w:pStyle w:val="ARbody"/>
      </w:pPr>
      <w:r>
        <w:t>A critical element of Victoria</w:t>
      </w:r>
      <w:r w:rsidR="007D145B">
        <w:t>’</w:t>
      </w:r>
      <w:r>
        <w:t>s COVID-19 testing regime has been ensuring fast turnaround times for test results. This enables people to be identified and isolated quickly, or cleared to return to work, study and daily activities.</w:t>
      </w:r>
    </w:p>
    <w:p w14:paraId="2457BD79" w14:textId="77777777" w:rsidR="00496244" w:rsidRDefault="00496244" w:rsidP="00317057">
      <w:pPr>
        <w:pStyle w:val="ARbody"/>
      </w:pPr>
      <w:r>
        <w:t>The government is investing $36 million to expand pathology system capacity and maintain fast turnaround times, as well as improve coordination across the system. It is also investing in additional staff, equipment and logistics and coordination to ensure at least 80 per cent of results are released in under 24 hours.</w:t>
      </w:r>
    </w:p>
    <w:p w14:paraId="550CA120" w14:textId="77777777" w:rsidR="00496244" w:rsidRDefault="00496244" w:rsidP="00317057">
      <w:pPr>
        <w:pStyle w:val="Heading6"/>
      </w:pPr>
      <w:bookmarkStart w:id="243" w:name="_Toc85121130"/>
      <w:r>
        <w:t>Rapid Response Testing teams</w:t>
      </w:r>
      <w:bookmarkEnd w:id="243"/>
    </w:p>
    <w:p w14:paraId="608E1E1E" w14:textId="77777777" w:rsidR="00496244" w:rsidRDefault="00496244" w:rsidP="00317057">
      <w:pPr>
        <w:pStyle w:val="ARbody"/>
      </w:pPr>
      <w:r>
        <w:t>In August 2020, the department established Rapid Response Testing teams to support management, respond to COVID-19 risks, and undertake surveillance testing of high-risk industries.</w:t>
      </w:r>
    </w:p>
    <w:p w14:paraId="47264867" w14:textId="77777777" w:rsidR="00496244" w:rsidRDefault="00496244" w:rsidP="002C2596">
      <w:pPr>
        <w:pStyle w:val="ARbody"/>
        <w:spacing w:after="100"/>
      </w:pPr>
      <w:r>
        <w:t xml:space="preserve">These tailored teams consist of testers, administration support and community engagement staff who are deployed to a location with everything they need to set up and run a temporary testing facility. They provide a highly flexible and responsive testing solution which can be mobilised quickly to different locations and settings. They also build confidence and trust in priority communities </w:t>
      </w:r>
      <w:r>
        <w:lastRenderedPageBreak/>
        <w:t>through engagement and education with local government area communities, and work in tandem with them to support contact tracing and facilitate effective isolation in the event of an outbreak.</w:t>
      </w:r>
    </w:p>
    <w:p w14:paraId="6C7339E3" w14:textId="7A626D68" w:rsidR="00864121" w:rsidRDefault="00496244" w:rsidP="002C2596">
      <w:pPr>
        <w:pStyle w:val="ARbody"/>
        <w:spacing w:after="100"/>
      </w:pPr>
      <w:r>
        <w:t>The establishment of the Rapid Response Testing teams has significantly enhanced the department</w:t>
      </w:r>
      <w:r w:rsidR="007D145B">
        <w:t>’</w:t>
      </w:r>
      <w:r>
        <w:t>s ability to deploy mobile and flexible testing capacity across the state, often within 24 hours. Such teams are being deployed in response to a range of both</w:t>
      </w:r>
      <w:r w:rsidR="002C2596">
        <w:t> </w:t>
      </w:r>
      <w:r>
        <w:t>time-critical and proactive testing needs. For</w:t>
      </w:r>
      <w:r w:rsidR="002C2596">
        <w:t> </w:t>
      </w:r>
      <w:r>
        <w:t>example, Rapid Response Testing teams established three of the four pop-ups in Casey and</w:t>
      </w:r>
      <w:r w:rsidR="002C2596">
        <w:t> </w:t>
      </w:r>
      <w:r>
        <w:t>Dandenong.</w:t>
      </w:r>
    </w:p>
    <w:p w14:paraId="00ABB42B" w14:textId="7E4D0985" w:rsidR="00496244" w:rsidRDefault="00496244" w:rsidP="00317057">
      <w:pPr>
        <w:pStyle w:val="ARbody"/>
      </w:pPr>
      <w:r>
        <w:t>Review and refinement of the Rapid Response Testing teams will continue as the public health response to the COVID-19 pandemic evolves.</w:t>
      </w:r>
    </w:p>
    <w:p w14:paraId="562B8773" w14:textId="77777777" w:rsidR="00496244" w:rsidRDefault="00496244" w:rsidP="002C2596">
      <w:pPr>
        <w:pStyle w:val="Heading6"/>
        <w:spacing w:before="160" w:after="60"/>
      </w:pPr>
      <w:bookmarkStart w:id="244" w:name="_Toc85121131"/>
      <w:r>
        <w:t>Better engagement and customer service</w:t>
      </w:r>
      <w:bookmarkEnd w:id="244"/>
    </w:p>
    <w:p w14:paraId="5EF81899" w14:textId="77777777" w:rsidR="00496244" w:rsidRDefault="00496244" w:rsidP="00317057">
      <w:pPr>
        <w:pStyle w:val="ARbody"/>
      </w:pPr>
      <w:r>
        <w:t>Increased access to testing and associated communications encourages testing participation, particularly among communities that may not be frequent users of public health systems.</w:t>
      </w:r>
    </w:p>
    <w:p w14:paraId="6ED4985F" w14:textId="77777777" w:rsidR="00496244" w:rsidRDefault="00496244" w:rsidP="00317057">
      <w:pPr>
        <w:pStyle w:val="ARbody"/>
      </w:pPr>
      <w:r>
        <w:t>To encourage greater community participation in testing, the department has worked to improve customer experience, for example by providing interpreter services, a best-practice customer complaint handling process and regular wait-time updates on the website. These efforts to improve engagement and attendance are ongoing in 2021.</w:t>
      </w:r>
    </w:p>
    <w:p w14:paraId="6CE658D7" w14:textId="77777777" w:rsidR="00496244" w:rsidRDefault="00496244" w:rsidP="00317057">
      <w:pPr>
        <w:pStyle w:val="Heading5"/>
      </w:pPr>
      <w:bookmarkStart w:id="245" w:name="_Toc85121132"/>
      <w:r>
        <w:t>Pathology</w:t>
      </w:r>
      <w:bookmarkEnd w:id="245"/>
    </w:p>
    <w:p w14:paraId="5BEB1256" w14:textId="77777777" w:rsidR="00496244" w:rsidRDefault="00496244" w:rsidP="002C2596">
      <w:pPr>
        <w:pStyle w:val="Heading6"/>
        <w:spacing w:before="120"/>
      </w:pPr>
      <w:bookmarkStart w:id="246" w:name="_Toc85121133"/>
      <w:r>
        <w:t>Testing criteria</w:t>
      </w:r>
      <w:bookmarkEnd w:id="246"/>
    </w:p>
    <w:p w14:paraId="642B4C2D" w14:textId="77777777" w:rsidR="00496244" w:rsidRDefault="00496244" w:rsidP="00317057">
      <w:pPr>
        <w:pStyle w:val="ARbody"/>
      </w:pPr>
      <w:r>
        <w:t>Testing criteria, on advice from the Chief Health Officer, are regularly adjusted. Since the first case of COVID-19 was diagnosed in Victoria, there have been multiple changes to the testing criteria to ensure greater efficacy of results.</w:t>
      </w:r>
    </w:p>
    <w:p w14:paraId="6C163981" w14:textId="705243FB" w:rsidR="00496244" w:rsidRDefault="00496244" w:rsidP="00317057">
      <w:pPr>
        <w:pStyle w:val="ARbody"/>
      </w:pPr>
      <w:r>
        <w:t xml:space="preserve">The primary diagnostic test used to detect </w:t>
      </w:r>
      <w:r w:rsidR="002C2596">
        <w:br/>
      </w:r>
      <w:r>
        <w:t>COVID-19 in Australia is the Reverse Transcriptase Polymerase Chain Reaction (RT-PCR). Victorian laboratories continue to build new COVID-19 testing capacity while the use of interstate laboratories supports surge testing demand.</w:t>
      </w:r>
    </w:p>
    <w:p w14:paraId="2BA8FDEE" w14:textId="77777777" w:rsidR="00496244" w:rsidRDefault="00496244" w:rsidP="002C2596">
      <w:pPr>
        <w:pStyle w:val="Heading6"/>
        <w:spacing w:before="160" w:after="60"/>
      </w:pPr>
      <w:bookmarkStart w:id="247" w:name="_Toc85121134"/>
      <w:r>
        <w:t>Pathology system reform</w:t>
      </w:r>
      <w:bookmarkEnd w:id="247"/>
    </w:p>
    <w:p w14:paraId="2FED5A15" w14:textId="77777777" w:rsidR="00864121" w:rsidRDefault="00496244" w:rsidP="00317057">
      <w:pPr>
        <w:pStyle w:val="ARbody"/>
      </w:pPr>
      <w:r>
        <w:t>Currently there are16 laboratories providing COVID-19 testing in Victoria – two public health reference laboratories, ten public hospital affiliated laboratories, and four private pathology provider laboratories: Dorevitch Pathology, Australian Clinical Laboratories, 4Cyte Pathology and Melbourne Pathology.</w:t>
      </w:r>
    </w:p>
    <w:p w14:paraId="791EDECD" w14:textId="302CE84E" w:rsidR="00496244" w:rsidRDefault="00496244" w:rsidP="00317057">
      <w:pPr>
        <w:pStyle w:val="ARbody"/>
      </w:pPr>
      <w:r>
        <w:t>Pathology laboratory testing underpins Victoria</w:t>
      </w:r>
      <w:r w:rsidR="007D145B">
        <w:t>’</w:t>
      </w:r>
      <w:r>
        <w:t>s ability to identify COVID-19 cases swiftly and accurately and prevent transmission. Investments in public pathology equipment and staff have been made to increase capacity and capability and reduce the state</w:t>
      </w:r>
      <w:r w:rsidR="007D145B">
        <w:t>’</w:t>
      </w:r>
      <w:r>
        <w:t>s reliance on private pathology laboratories. Ongoing strategic work in public pathology reform continues in 2021.</w:t>
      </w:r>
    </w:p>
    <w:p w14:paraId="30565EFA" w14:textId="77777777" w:rsidR="00496244" w:rsidRDefault="00496244" w:rsidP="00317057">
      <w:pPr>
        <w:pStyle w:val="ARbody"/>
      </w:pPr>
      <w:r>
        <w:t>Private laboratories will continue to play a significant role in testing, however. Agreements with private pathology providers are planned to maintain ongoing surge capacity.</w:t>
      </w:r>
    </w:p>
    <w:p w14:paraId="7C866413" w14:textId="77777777" w:rsidR="00496244" w:rsidRDefault="00496244" w:rsidP="00317057">
      <w:pPr>
        <w:pStyle w:val="Heading6"/>
      </w:pPr>
      <w:bookmarkStart w:id="248" w:name="_Toc85121135"/>
      <w:r>
        <w:t>Pilot with Doherty Institute</w:t>
      </w:r>
      <w:bookmarkEnd w:id="248"/>
    </w:p>
    <w:p w14:paraId="4ABA2324" w14:textId="2615C749" w:rsidR="00496244" w:rsidRDefault="00496244" w:rsidP="00317057">
      <w:pPr>
        <w:pStyle w:val="ARbody"/>
      </w:pPr>
      <w:r>
        <w:t>The department has engaged with the Peter Doherty Institute to explore and deploy new COVID-19 testing technologies. Through this relationship, the department is exploring the feasibility and utility of diversifying into emerging testing methods as part of the state</w:t>
      </w:r>
      <w:r w:rsidR="007D145B">
        <w:t>’</w:t>
      </w:r>
      <w:r>
        <w:t>s COVID-19 response strategy, as well as to support the easing of restrictions and expand testing capacity. Three hospital antigen pilots have been completed at the Austin, Royal Melbourne and Monash hospitals. Since 19 October 2020, over 2,000 tests have been</w:t>
      </w:r>
      <w:r w:rsidR="002C2596">
        <w:t> </w:t>
      </w:r>
      <w:r>
        <w:t>conducted on symptomatic patients and asymptomatic staff members.</w:t>
      </w:r>
    </w:p>
    <w:p w14:paraId="61E2E7D4" w14:textId="77777777" w:rsidR="00496244" w:rsidRDefault="00496244" w:rsidP="00317057">
      <w:pPr>
        <w:pStyle w:val="Heading6"/>
      </w:pPr>
      <w:bookmarkStart w:id="249" w:name="_Toc85121136"/>
      <w:r>
        <w:t>Wastewater surveillance</w:t>
      </w:r>
      <w:bookmarkEnd w:id="249"/>
    </w:p>
    <w:p w14:paraId="58E4A25B" w14:textId="0D361B7D" w:rsidR="00496244" w:rsidRDefault="00496244" w:rsidP="00317057">
      <w:pPr>
        <w:pStyle w:val="ARbody"/>
      </w:pPr>
      <w:r>
        <w:t>Wastewater surveillance provides a population-level snapshot of COVID-19 viral fragments shed</w:t>
      </w:r>
      <w:r w:rsidR="002C2596">
        <w:t> </w:t>
      </w:r>
      <w:r>
        <w:t xml:space="preserve">into the sewerage system from stool and respiratory secretions. A key aim of the wastewater surveillance program is to serve as an early warning for community transmission of COVID-19. While wastewater surveillance cannot be relied upon to provide assurance that there are no </w:t>
      </w:r>
      <w:r w:rsidR="007D145B">
        <w:t>‘</w:t>
      </w:r>
      <w:r>
        <w:t>active</w:t>
      </w:r>
      <w:r w:rsidR="007D145B">
        <w:t>’</w:t>
      </w:r>
      <w:r>
        <w:t xml:space="preserve"> cases within the community, it is an important complementary tool to clinical testing.</w:t>
      </w:r>
    </w:p>
    <w:p w14:paraId="56355DF1" w14:textId="77777777" w:rsidR="00496244" w:rsidRDefault="00496244" w:rsidP="00317057">
      <w:pPr>
        <w:pStyle w:val="ARbody"/>
      </w:pPr>
      <w:r>
        <w:t>Wastewater surveillance testing is carried out by Rapid Response Testing teams. Other priority industries for surveillance testing of staff are those industries involved in food manufacturing and supply, meat processing, supermarket distribution and refrigerated logistics.</w:t>
      </w:r>
    </w:p>
    <w:p w14:paraId="5861BB12" w14:textId="77777777" w:rsidR="00496244" w:rsidRDefault="00496244" w:rsidP="00317057">
      <w:pPr>
        <w:pStyle w:val="Heading5"/>
      </w:pPr>
      <w:bookmarkStart w:id="250" w:name="_Toc85121137"/>
      <w:r>
        <w:t>Outbreak management teams</w:t>
      </w:r>
      <w:bookmarkEnd w:id="250"/>
    </w:p>
    <w:p w14:paraId="3852772F" w14:textId="6A362901" w:rsidR="00496244" w:rsidRDefault="00496244" w:rsidP="00317057">
      <w:pPr>
        <w:pStyle w:val="ARbody"/>
      </w:pPr>
      <w:r>
        <w:t>Responding rapidly to COVID-19 outbreaks, particularly in high-risk settings, such as schools, workplaces, aged care homes or high-density housing, is essential to reducing transmission of</w:t>
      </w:r>
      <w:r w:rsidR="002C2596">
        <w:t> </w:t>
      </w:r>
      <w:r>
        <w:t>the</w:t>
      </w:r>
      <w:r w:rsidR="002C2596">
        <w:t> </w:t>
      </w:r>
      <w:r>
        <w:t>virus.</w:t>
      </w:r>
    </w:p>
    <w:p w14:paraId="50E9CD89" w14:textId="1818BDBF" w:rsidR="00864121" w:rsidRDefault="00496244" w:rsidP="00317057">
      <w:pPr>
        <w:pStyle w:val="ARbody"/>
      </w:pPr>
      <w:r>
        <w:lastRenderedPageBreak/>
        <w:t>The primary vehicle for managing an outbreak is</w:t>
      </w:r>
      <w:r w:rsidR="002C2596">
        <w:t> </w:t>
      </w:r>
      <w:r>
        <w:t>through the establishment of an outbreak management team (OMT).</w:t>
      </w:r>
    </w:p>
    <w:p w14:paraId="46A5DF28" w14:textId="3FA5A64E" w:rsidR="00496244" w:rsidRDefault="00496244" w:rsidP="00317057">
      <w:pPr>
        <w:pStyle w:val="ARbody"/>
      </w:pPr>
      <w:r>
        <w:t>OMTs are made up of public health and infection control specialist clinicians. Their role is to provide on-site assessment, support and advice in relation to infection prevention and control measures, including the adequacy of personal protective equipment, COVID-safe practices, sector preparedness, contact tracing, testing recommendations, and deep-cleaning requirements. The information they gather contributes to public health intelligence which in turn is used to guide the public health response.</w:t>
      </w:r>
    </w:p>
    <w:p w14:paraId="646EE123" w14:textId="44015099" w:rsidR="00496244" w:rsidRDefault="00496244" w:rsidP="00317057">
      <w:pPr>
        <w:pStyle w:val="ARbody"/>
      </w:pPr>
      <w:r>
        <w:t>OMTs are supported in their work by multi-agency emergency management teams (EMT), who ensure all stakeholders are engaged and operating effectively together to manage and contain any outbreaks.</w:t>
      </w:r>
      <w:r w:rsidR="00864121">
        <w:t xml:space="preserve"> </w:t>
      </w:r>
      <w:r>
        <w:t>Their support functions include regular community engagement forums and working groups to ensure culturally and demographically appropriate response strategies are identified and implemented.</w:t>
      </w:r>
    </w:p>
    <w:p w14:paraId="0CBFF33B" w14:textId="77777777" w:rsidR="00496244" w:rsidRDefault="00496244" w:rsidP="00317057">
      <w:pPr>
        <w:pStyle w:val="Heading5"/>
      </w:pPr>
      <w:bookmarkStart w:id="251" w:name="_Toc85121138"/>
      <w:r w:rsidRPr="00B13524">
        <w:t>Contact tracing</w:t>
      </w:r>
      <w:bookmarkEnd w:id="251"/>
    </w:p>
    <w:p w14:paraId="018CC4BC" w14:textId="77777777" w:rsidR="00864121" w:rsidRDefault="00496244" w:rsidP="00317057">
      <w:pPr>
        <w:pStyle w:val="ARbody"/>
      </w:pPr>
      <w:r>
        <w:t>The department seeks to minimise community transmission of COVID-19 through testing, tracing and isolating cases and their close contacts as quickly as possible.</w:t>
      </w:r>
    </w:p>
    <w:p w14:paraId="28FADC12" w14:textId="17ED4CE8" w:rsidR="00496244" w:rsidRDefault="00496244" w:rsidP="00317057">
      <w:pPr>
        <w:pStyle w:val="ARbody"/>
      </w:pPr>
      <w:r>
        <w:t>The department contacts each new case within 24</w:t>
      </w:r>
      <w:r w:rsidR="000A12B9">
        <w:t> </w:t>
      </w:r>
      <w:r>
        <w:t>hours of result notification to ensure that the individual is aware of the need to isolate, and to conduct a detailed interview to identify close contacts and any exposure sites, to determine if</w:t>
      </w:r>
      <w:r w:rsidR="000A12B9">
        <w:t> </w:t>
      </w:r>
      <w:r>
        <w:t>the</w:t>
      </w:r>
      <w:r w:rsidR="000A12B9">
        <w:t> </w:t>
      </w:r>
      <w:r>
        <w:t>case is linked to an existing outbreak or has</w:t>
      </w:r>
      <w:r w:rsidR="000A12B9">
        <w:t> </w:t>
      </w:r>
      <w:r>
        <w:t>created a new outbreak, and to assess the individual</w:t>
      </w:r>
      <w:r w:rsidR="007D145B">
        <w:t>’</w:t>
      </w:r>
      <w:r>
        <w:t>s health and welfare, including whether any social or financial support is required.</w:t>
      </w:r>
    </w:p>
    <w:p w14:paraId="3AD967AB" w14:textId="77777777" w:rsidR="00496244" w:rsidRDefault="00496244" w:rsidP="00317057">
      <w:pPr>
        <w:pStyle w:val="Heading6"/>
      </w:pPr>
      <w:bookmarkStart w:id="252" w:name="_Toc85121139"/>
      <w:r>
        <w:t>QR codes</w:t>
      </w:r>
      <w:bookmarkEnd w:id="252"/>
    </w:p>
    <w:p w14:paraId="416AEFC0" w14:textId="3498D57F" w:rsidR="00496244" w:rsidRDefault="00496244" w:rsidP="00317057">
      <w:pPr>
        <w:pStyle w:val="ARbody"/>
      </w:pPr>
      <w:r>
        <w:t>QR code data is a key source of intelligence for</w:t>
      </w:r>
      <w:r w:rsidR="000A12B9">
        <w:t> </w:t>
      </w:r>
      <w:r>
        <w:t>Victoria</w:t>
      </w:r>
      <w:r w:rsidR="007D145B">
        <w:t>’</w:t>
      </w:r>
      <w:r>
        <w:t>s contact tracers. Since June 2021, all</w:t>
      </w:r>
      <w:r w:rsidR="000A12B9">
        <w:t> </w:t>
      </w:r>
      <w:r>
        <w:t>businesses are required to use the Service Victoria</w:t>
      </w:r>
      <w:r w:rsidR="000A12B9">
        <w:t> </w:t>
      </w:r>
      <w:r>
        <w:t>QR code check-in application, and most employees are also expected to check in this way when working on site. QR codes have also been progressively rolled out across the public transport network, starting with stations and then moving onto rolling stock.</w:t>
      </w:r>
    </w:p>
    <w:p w14:paraId="3E7C706B" w14:textId="3DD2806F" w:rsidR="00496244" w:rsidRDefault="00496244" w:rsidP="00317057">
      <w:pPr>
        <w:pStyle w:val="ARbody"/>
      </w:pPr>
      <w:r>
        <w:t>People from culturally and linguistically diverse and</w:t>
      </w:r>
      <w:r w:rsidR="000A12B9">
        <w:t> </w:t>
      </w:r>
      <w:r>
        <w:t xml:space="preserve">other at-risk communities were involved in the </w:t>
      </w:r>
      <w:r>
        <w:t>design and implementation of this service. Business uptake was supported by a street team</w:t>
      </w:r>
      <w:r w:rsidR="000A12B9">
        <w:t> </w:t>
      </w:r>
      <w:r>
        <w:t>delivering on-the-ground engagement with businesses, as well as a campaign calling on all Victorians to check-in everywhere, every time, published across TV, radio, print, social, digital and out-of-home media, and translated and tailored to culturally and linguistically diverse communities.</w:t>
      </w:r>
    </w:p>
    <w:p w14:paraId="46F18047" w14:textId="77777777" w:rsidR="00496244" w:rsidRDefault="00496244" w:rsidP="00317057">
      <w:pPr>
        <w:pStyle w:val="ARbody"/>
      </w:pPr>
      <w:r>
        <w:t>Some of the targeted areas included: Chapel Street, Springvale Road, Victoria Street, Sydney Road and regional centres such as Geelong, Ballarat, Bendigo and Shepparton.</w:t>
      </w:r>
    </w:p>
    <w:p w14:paraId="39D3019B" w14:textId="77777777" w:rsidR="00496244" w:rsidRDefault="00496244" w:rsidP="00317057">
      <w:pPr>
        <w:pStyle w:val="Heading5"/>
      </w:pPr>
      <w:bookmarkStart w:id="253" w:name="_Toc85121140"/>
      <w:r w:rsidRPr="00D93D84">
        <w:t>Engagement with culturally diverse communities</w:t>
      </w:r>
      <w:bookmarkEnd w:id="253"/>
    </w:p>
    <w:p w14:paraId="6EF15AAB" w14:textId="77777777" w:rsidR="00496244" w:rsidRDefault="00496244" w:rsidP="00317057">
      <w:pPr>
        <w:pStyle w:val="ARbody"/>
      </w:pPr>
      <w:r>
        <w:t>Over the course of the pandemic, he Victorian Government has improved its interaction with culturally and linguistically diverse (CALD) communities through a range of materials in different media in 57 languages and through the cooperation of local community leaders in whom the community has trust.</w:t>
      </w:r>
    </w:p>
    <w:p w14:paraId="3C303746" w14:textId="77777777" w:rsidR="00496244" w:rsidRDefault="00496244" w:rsidP="00317057">
      <w:pPr>
        <w:pStyle w:val="ARbody"/>
      </w:pPr>
      <w:r>
        <w:t>The department has delivered targeted messaging to communities during Orthodox Easter, Ramadan, Eid, Rosh Hashanah and other celebrations.</w:t>
      </w:r>
    </w:p>
    <w:p w14:paraId="20C55AAA" w14:textId="0C13CF18" w:rsidR="00496244" w:rsidRDefault="00496244" w:rsidP="00317057">
      <w:pPr>
        <w:pStyle w:val="ARbody"/>
      </w:pPr>
      <w:r>
        <w:t xml:space="preserve">To help bring testing to vulnerable and marginalised groups, </w:t>
      </w:r>
      <w:r w:rsidR="007D145B">
        <w:t>‘</w:t>
      </w:r>
      <w:r>
        <w:t>roving</w:t>
      </w:r>
      <w:r w:rsidR="007D145B">
        <w:t>’</w:t>
      </w:r>
      <w:r>
        <w:t xml:space="preserve"> testing squads have</w:t>
      </w:r>
      <w:r w:rsidR="000A12B9">
        <w:t> </w:t>
      </w:r>
      <w:r>
        <w:t>been established.</w:t>
      </w:r>
    </w:p>
    <w:p w14:paraId="4E33E441" w14:textId="77777777" w:rsidR="00496244" w:rsidRDefault="00496244" w:rsidP="00317057">
      <w:pPr>
        <w:pStyle w:val="ARbody"/>
      </w:pPr>
      <w:r>
        <w:t>The roving testing squads use best-practice community engagement approaches to identify communities and individuals who are not able to access COVID-19 testing, and to negotiate testing sessions in locations which are accessible, welcoming and clinically safe.</w:t>
      </w:r>
    </w:p>
    <w:p w14:paraId="37C869CE" w14:textId="77777777" w:rsidR="00496244" w:rsidRDefault="00496244" w:rsidP="00317057">
      <w:pPr>
        <w:pStyle w:val="ARbody"/>
      </w:pPr>
      <w:r>
        <w:t>The messaging has been delivered in phases. The first focused on physical distancing and personal hygiene messaging. The second promoted key messages about staying home, physical distancing, and the restrictions in place. Subsequent phases focused on encouraging Victorians to get tested.</w:t>
      </w:r>
    </w:p>
    <w:p w14:paraId="6C20700A" w14:textId="63D291CF" w:rsidR="00864121" w:rsidRDefault="00496244" w:rsidP="00317057">
      <w:pPr>
        <w:pStyle w:val="ARbody"/>
      </w:pPr>
      <w:r>
        <w:t>A community engagement strategy was also established to inform the community about how to</w:t>
      </w:r>
      <w:r w:rsidR="000A12B9">
        <w:t> </w:t>
      </w:r>
      <w:r>
        <w:t>stay safe, and the importance of getting tested if</w:t>
      </w:r>
      <w:r w:rsidR="000A12B9">
        <w:t> </w:t>
      </w:r>
      <w:r>
        <w:t>symptoms appear.</w:t>
      </w:r>
    </w:p>
    <w:p w14:paraId="0F04755C" w14:textId="10641FB0" w:rsidR="00496244" w:rsidRDefault="00496244" w:rsidP="00317057">
      <w:pPr>
        <w:pStyle w:val="ARbody"/>
      </w:pPr>
      <w:r>
        <w:t>Other key initiatives included establishing the CALD Communities Taskforce (in place until April 2021), partnering with local government areas with significant CALD communities, employing bi</w:t>
      </w:r>
      <w:r>
        <w:noBreakHyphen/>
        <w:t>cultural workers across key locations, and supporting families impacted by COVID-19.</w:t>
      </w:r>
    </w:p>
    <w:p w14:paraId="39171068" w14:textId="39A9BB09" w:rsidR="00496244" w:rsidRDefault="00496244" w:rsidP="00317057">
      <w:pPr>
        <w:pStyle w:val="ARbody"/>
      </w:pPr>
      <w:r>
        <w:lastRenderedPageBreak/>
        <w:t>This engagement has been expanded to ensure the</w:t>
      </w:r>
      <w:r w:rsidR="000A12B9">
        <w:t> </w:t>
      </w:r>
      <w:r>
        <w:t>vaccine program is trusted and accessible for CALD communities.</w:t>
      </w:r>
    </w:p>
    <w:p w14:paraId="44DD3248" w14:textId="2307B5E7" w:rsidR="00496244" w:rsidRDefault="00496244" w:rsidP="00317057">
      <w:pPr>
        <w:pStyle w:val="Heading5"/>
      </w:pPr>
      <w:bookmarkStart w:id="254" w:name="_Toc85121141"/>
      <w:r w:rsidRPr="00D93D84">
        <w:t xml:space="preserve">Engagement with </w:t>
      </w:r>
      <w:r>
        <w:t>Aboriginal</w:t>
      </w:r>
      <w:r w:rsidRPr="00D93D84">
        <w:t xml:space="preserve"> and </w:t>
      </w:r>
      <w:r>
        <w:t>Torres</w:t>
      </w:r>
      <w:r w:rsidR="000A12B9">
        <w:t> </w:t>
      </w:r>
      <w:r>
        <w:t>Strait Islanders</w:t>
      </w:r>
      <w:bookmarkEnd w:id="254"/>
    </w:p>
    <w:p w14:paraId="74DEDF73" w14:textId="69466036" w:rsidR="00496244" w:rsidRDefault="00496244" w:rsidP="00317057">
      <w:pPr>
        <w:pStyle w:val="ARbody"/>
      </w:pPr>
      <w:r>
        <w:t>Prioritising Aboriginal community leadership and</w:t>
      </w:r>
      <w:r w:rsidR="000A12B9">
        <w:t> </w:t>
      </w:r>
      <w:r>
        <w:t>Aboriginal culture and community in our COVID-19 response builds on our commitment to</w:t>
      </w:r>
      <w:r w:rsidR="000A12B9">
        <w:t> </w:t>
      </w:r>
      <w:r>
        <w:t>self-determination. Aboriginal and Torres Strait</w:t>
      </w:r>
      <w:r w:rsidR="000A12B9">
        <w:t> </w:t>
      </w:r>
      <w:r>
        <w:t>Islander community sector partners have worked closely with the department to coordinate COVID-19 response plans and ensure communities have the necessary information, resources and support they need. We continue to work with the department</w:t>
      </w:r>
      <w:r w:rsidR="007D145B">
        <w:t>’</w:t>
      </w:r>
      <w:r>
        <w:t>s Aboriginal Health Unit to build the capacity and capability of the Aboriginal-controlled health sector across our response.</w:t>
      </w:r>
    </w:p>
    <w:p w14:paraId="252F432D" w14:textId="77777777" w:rsidR="00496244" w:rsidRDefault="00496244" w:rsidP="00317057">
      <w:pPr>
        <w:pStyle w:val="Heading6"/>
      </w:pPr>
      <w:bookmarkStart w:id="255" w:name="_Toc85121142"/>
      <w:r w:rsidRPr="00D93D84">
        <w:t xml:space="preserve">COVID-19 in sensitive </w:t>
      </w:r>
      <w:r>
        <w:t xml:space="preserve">and high risk </w:t>
      </w:r>
      <w:r w:rsidRPr="00D93D84">
        <w:t>settings</w:t>
      </w:r>
      <w:bookmarkEnd w:id="255"/>
    </w:p>
    <w:p w14:paraId="2130EDB1" w14:textId="77777777" w:rsidR="00496244" w:rsidRDefault="00496244" w:rsidP="00317057">
      <w:pPr>
        <w:pStyle w:val="ARbody"/>
      </w:pPr>
      <w:r w:rsidRPr="00D93D84">
        <w:t>Responding rapidly to outbreaks of COVID-19 in high-risk settings, such as schools, workplaces, aged care homes and high-density housing, is essential to reducing transmission of the virus.</w:t>
      </w:r>
    </w:p>
    <w:p w14:paraId="6D1B58B2" w14:textId="4DA3A484" w:rsidR="00496244" w:rsidRDefault="00496244" w:rsidP="00317057">
      <w:pPr>
        <w:pStyle w:val="ARbody"/>
      </w:pPr>
      <w:r w:rsidRPr="00D93D84">
        <w:t>In July 2020, the government established Operation</w:t>
      </w:r>
      <w:r w:rsidR="000A12B9">
        <w:t> </w:t>
      </w:r>
      <w:r w:rsidRPr="00D93D84">
        <w:t>Benessere to coordinate the lockdowns</w:t>
      </w:r>
      <w:r w:rsidR="000A12B9">
        <w:t> </w:t>
      </w:r>
      <w:r w:rsidRPr="00D93D84">
        <w:t xml:space="preserve">at Flemington and North Melbourne public housing estates. </w:t>
      </w:r>
      <w:r>
        <w:t>Th</w:t>
      </w:r>
      <w:r w:rsidRPr="00D93D84">
        <w:t>e department</w:t>
      </w:r>
      <w:r w:rsidR="007D145B">
        <w:t>’</w:t>
      </w:r>
      <w:r>
        <w:t>s</w:t>
      </w:r>
      <w:r w:rsidRPr="00D93D84">
        <w:t xml:space="preserve"> high-risk accommodation response </w:t>
      </w:r>
      <w:r>
        <w:t>helped</w:t>
      </w:r>
      <w:r w:rsidRPr="00D93D84">
        <w:t xml:space="preserve"> prevent and respond to COVID-19 infections and minimise transmission within these settings. This response led to the elimination of active cases in high-risk shared accommodation settings, including in non-government supported residential accommodation, community houses and rooming houses.</w:t>
      </w:r>
    </w:p>
    <w:p w14:paraId="4D2683BF" w14:textId="77777777" w:rsidR="00496244" w:rsidRDefault="00496244" w:rsidP="00317057">
      <w:pPr>
        <w:pStyle w:val="Heading5"/>
      </w:pPr>
      <w:bookmarkStart w:id="256" w:name="_Toc85121143"/>
      <w:r w:rsidRPr="00D93D84">
        <w:t>Outbreaks in specific settings</w:t>
      </w:r>
      <w:bookmarkEnd w:id="256"/>
    </w:p>
    <w:p w14:paraId="5999238E" w14:textId="77777777" w:rsidR="00496244" w:rsidRPr="00D87103" w:rsidRDefault="00496244" w:rsidP="00317057">
      <w:pPr>
        <w:pStyle w:val="Heading6"/>
      </w:pPr>
      <w:bookmarkStart w:id="257" w:name="_Toc85121144"/>
      <w:r>
        <w:t>Aged care facilities</w:t>
      </w:r>
      <w:bookmarkEnd w:id="257"/>
    </w:p>
    <w:p w14:paraId="62F5F160" w14:textId="70A0B139" w:rsidR="00496244" w:rsidRDefault="00496244" w:rsidP="00317057">
      <w:pPr>
        <w:pStyle w:val="ARbody"/>
      </w:pPr>
      <w:r>
        <w:t>The Victorian Government recognised early in the</w:t>
      </w:r>
      <w:r w:rsidR="000A12B9">
        <w:t> </w:t>
      </w:r>
      <w:r>
        <w:t>pandemic the need to prioritise the safety of</w:t>
      </w:r>
      <w:r w:rsidR="000A12B9">
        <w:t> </w:t>
      </w:r>
      <w:r>
        <w:t>Victoria</w:t>
      </w:r>
      <w:r w:rsidR="007D145B">
        <w:t>’</w:t>
      </w:r>
      <w:r>
        <w:t>s older citizens and people living in residential aged care.</w:t>
      </w:r>
    </w:p>
    <w:p w14:paraId="1039D435" w14:textId="77777777" w:rsidR="00496244" w:rsidRDefault="00496244" w:rsidP="00317057">
      <w:pPr>
        <w:pStyle w:val="ARbody"/>
      </w:pPr>
      <w:r>
        <w:t xml:space="preserve">During the second wave of the pandemic there were outbreaks </w:t>
      </w:r>
      <w:r w:rsidRPr="00937D4C">
        <w:t xml:space="preserve">across multiple </w:t>
      </w:r>
      <w:r>
        <w:t xml:space="preserve">residential </w:t>
      </w:r>
      <w:r w:rsidRPr="00937D4C">
        <w:t>aged care facilities</w:t>
      </w:r>
      <w:r>
        <w:t xml:space="preserve"> (RACFs)</w:t>
      </w:r>
      <w:r w:rsidRPr="00937D4C">
        <w:t>.</w:t>
      </w:r>
      <w:r>
        <w:t xml:space="preserve"> On 27 July 2020, in response to the second wave outbreaks, the Victorian Aged Care Response Centre (VACRC) commenced operations to provide emergency coordination and support to local response mechanisms that had been overwhelmed by the volume and extent of COVID-19 outbreaks in </w:t>
      </w:r>
      <w:r>
        <w:t>RACFs. The VACRC is a collaboration between Australian and Victorian Government agencies. Current priorities for the VACRC include RACFs outbreak preparedness and sourcing surge workforce in the event of an outbreak, ensuring personal protective equipment stock, and supporting the testing regime and in-reach vaccination.</w:t>
      </w:r>
    </w:p>
    <w:p w14:paraId="158EB10D" w14:textId="77777777" w:rsidR="00496244" w:rsidRDefault="00496244" w:rsidP="00317057">
      <w:pPr>
        <w:pStyle w:val="ARbody"/>
      </w:pPr>
      <w:r>
        <w:t>Infection control practices have been identified as an area of particular concern in RACFs, requiring significant improvement to protect residents, workers, their families and the broader community. Specialised infection control training in aged care is a priority, and infection control training continues to be provided to RACFs.</w:t>
      </w:r>
    </w:p>
    <w:p w14:paraId="1E2AF141" w14:textId="7287542C" w:rsidR="00496244" w:rsidRDefault="00496244" w:rsidP="00317057">
      <w:pPr>
        <w:pStyle w:val="ARbody"/>
      </w:pPr>
      <w:r>
        <w:t>In July 2021 the department established an Aged Care COVID-19 Preparedness and Policy team in</w:t>
      </w:r>
      <w:r w:rsidR="000A12B9">
        <w:t> </w:t>
      </w:r>
      <w:r>
        <w:t>the Intelligence, Case Contact and Outbreak Management division to ensure that Victoria remains ready to respond to future outbreaks in RACFs.</w:t>
      </w:r>
    </w:p>
    <w:p w14:paraId="7076008F" w14:textId="77777777" w:rsidR="00496244" w:rsidRDefault="00496244" w:rsidP="00317057">
      <w:pPr>
        <w:pStyle w:val="Heading6"/>
      </w:pPr>
      <w:bookmarkStart w:id="258" w:name="_Toc85121145"/>
      <w:r>
        <w:t>Food processing facilities, distribution centres and abattoirs</w:t>
      </w:r>
      <w:bookmarkEnd w:id="258"/>
    </w:p>
    <w:p w14:paraId="79E55AE4" w14:textId="17BCB352" w:rsidR="00864121" w:rsidRDefault="00496244" w:rsidP="00317057">
      <w:pPr>
        <w:pStyle w:val="ARbody"/>
      </w:pPr>
      <w:r>
        <w:t>Food processing facilities have presented particular challenges during the COVID-19 pandemic. While they are an essential part of the national food supply chain, they are also high-risk settings for the</w:t>
      </w:r>
      <w:r w:rsidR="000A12B9">
        <w:t> </w:t>
      </w:r>
      <w:r>
        <w:t>transmission of COVID-19.</w:t>
      </w:r>
    </w:p>
    <w:p w14:paraId="7C4CAE65" w14:textId="58720CEE" w:rsidR="00496244" w:rsidRDefault="00496244" w:rsidP="00317057">
      <w:pPr>
        <w:pStyle w:val="ARbody"/>
      </w:pPr>
      <w:r w:rsidRPr="004770C6">
        <w:t>From 1 July 2020 to 30 June 2021, there were 30</w:t>
      </w:r>
      <w:r w:rsidR="000A12B9">
        <w:t> </w:t>
      </w:r>
      <w:r w:rsidRPr="004770C6">
        <w:t>outbreaks at food processing sites (including food processing, food production</w:t>
      </w:r>
      <w:r>
        <w:t>, meat/poultry processing and abattoirs).</w:t>
      </w:r>
    </w:p>
    <w:p w14:paraId="24CB60B0" w14:textId="77777777" w:rsidR="00496244" w:rsidRDefault="00496244" w:rsidP="00317057">
      <w:pPr>
        <w:pStyle w:val="ARbody"/>
      </w:pPr>
      <w:r>
        <w:t>Abattoirs, meat processing facilities and related businesses are especially complex settings. International and local cases have shown that meat processing facilities and abattoirs have a high risk of virus transmission due to the use of recirculated chilled air.</w:t>
      </w:r>
    </w:p>
    <w:p w14:paraId="29490D7D" w14:textId="77777777" w:rsidR="00496244" w:rsidRDefault="00496244" w:rsidP="00317057">
      <w:pPr>
        <w:pStyle w:val="ARbody"/>
      </w:pPr>
      <w:r>
        <w:t>From 1 July 2020 to 30 June 2021, there were three outbreaks in abattoirs.</w:t>
      </w:r>
    </w:p>
    <w:p w14:paraId="72974E2C" w14:textId="77777777" w:rsidR="00496244" w:rsidRDefault="00496244" w:rsidP="00317057">
      <w:pPr>
        <w:pStyle w:val="ARbody"/>
      </w:pPr>
      <w:r>
        <w:t>The department developed specialised infection prevention and control processes in response to these outbreaks.</w:t>
      </w:r>
    </w:p>
    <w:p w14:paraId="319EDF0D" w14:textId="77777777" w:rsidR="00496244" w:rsidRDefault="00496244" w:rsidP="00317057">
      <w:pPr>
        <w:pStyle w:val="ARbody"/>
      </w:pPr>
      <w:r>
        <w:t>It also established and deployed teams to these sites, who could use their local knowledge to engage with these culturally diverse workforces to provide tailored messaging and support services.</w:t>
      </w:r>
    </w:p>
    <w:p w14:paraId="735064A6" w14:textId="77777777" w:rsidR="000A12B9" w:rsidRDefault="000A12B9" w:rsidP="00317057">
      <w:pPr>
        <w:pStyle w:val="ARbody"/>
      </w:pPr>
      <w:r>
        <w:br w:type="page"/>
      </w:r>
    </w:p>
    <w:p w14:paraId="36DFD34F" w14:textId="2CE549E3" w:rsidR="00496244" w:rsidRDefault="00496244" w:rsidP="00317057">
      <w:pPr>
        <w:pStyle w:val="ARbody"/>
      </w:pPr>
      <w:r>
        <w:lastRenderedPageBreak/>
        <w:t>Due to their sheer size, distribution warehouse settings are at risk of becoming incubators of multiple COVID-19 cases. From 1 July 2020 to 30 June 2021, there were 11 outbreaks in food distribution sites.</w:t>
      </w:r>
    </w:p>
    <w:p w14:paraId="43BA5285" w14:textId="74FBC7E3" w:rsidR="00496244" w:rsidRDefault="00496244" w:rsidP="00317057">
      <w:pPr>
        <w:pStyle w:val="ARbody"/>
      </w:pPr>
      <w:r>
        <w:t>A number of factors have contributed to the decline</w:t>
      </w:r>
      <w:r w:rsidR="000A12B9">
        <w:t> </w:t>
      </w:r>
      <w:r>
        <w:t>in spread of COVID-19 cases at such sites,</w:t>
      </w:r>
      <w:r w:rsidR="000A12B9">
        <w:t> </w:t>
      </w:r>
      <w:r>
        <w:t>including:</w:t>
      </w:r>
    </w:p>
    <w:p w14:paraId="5DFC8378" w14:textId="29A3EDEC" w:rsidR="00496244" w:rsidRDefault="00496244" w:rsidP="00317057">
      <w:pPr>
        <w:pStyle w:val="ARbullet1"/>
      </w:pPr>
      <w:r>
        <w:t>the introduction of occupational health physicians to work in case contact and outbreak</w:t>
      </w:r>
      <w:r w:rsidR="000A12B9">
        <w:t> </w:t>
      </w:r>
      <w:r>
        <w:t>management</w:t>
      </w:r>
    </w:p>
    <w:p w14:paraId="3B4C738D" w14:textId="2CB8BD82" w:rsidR="00496244" w:rsidRDefault="00496244" w:rsidP="00317057">
      <w:pPr>
        <w:pStyle w:val="ARbullet1"/>
      </w:pPr>
      <w:r>
        <w:t>visits by roving outbreak squads to review infection control and prevention procedures and</w:t>
      </w:r>
      <w:r w:rsidR="000A12B9">
        <w:t> </w:t>
      </w:r>
      <w:r>
        <w:t>to provide advice on identified gaps</w:t>
      </w:r>
    </w:p>
    <w:p w14:paraId="7EF9C3B5" w14:textId="3E2E35E1" w:rsidR="00496244" w:rsidRDefault="00496244" w:rsidP="00317057">
      <w:pPr>
        <w:pStyle w:val="ARbullet1"/>
        <w:spacing w:after="120"/>
      </w:pPr>
      <w:r>
        <w:t>onsite testing at workplaces where large numbers of the workforce require swabbing on</w:t>
      </w:r>
      <w:r w:rsidR="000A12B9">
        <w:t> </w:t>
      </w:r>
      <w:r>
        <w:t>a</w:t>
      </w:r>
      <w:r w:rsidR="000A12B9">
        <w:t> </w:t>
      </w:r>
      <w:r>
        <w:t>regular basis</w:t>
      </w:r>
    </w:p>
    <w:p w14:paraId="4ED5EEA3" w14:textId="5BEE6C9D" w:rsidR="00496244" w:rsidRDefault="00496244" w:rsidP="00317057">
      <w:pPr>
        <w:pStyle w:val="Heading5"/>
      </w:pPr>
      <w:bookmarkStart w:id="259" w:name="_Toc85121146"/>
      <w:r w:rsidRPr="004770C6">
        <w:t>Sourcing and managing the surge clinical</w:t>
      </w:r>
      <w:r w:rsidR="000A12B9">
        <w:t> </w:t>
      </w:r>
      <w:r w:rsidRPr="004770C6">
        <w:t>workforce</w:t>
      </w:r>
      <w:bookmarkEnd w:id="259"/>
    </w:p>
    <w:p w14:paraId="0030D509" w14:textId="77777777" w:rsidR="00496244" w:rsidRDefault="00496244" w:rsidP="00317057">
      <w:pPr>
        <w:pStyle w:val="Heading6"/>
      </w:pPr>
      <w:bookmarkStart w:id="260" w:name="_Toc85121147"/>
      <w:r>
        <w:t>Surge workforce</w:t>
      </w:r>
      <w:bookmarkEnd w:id="260"/>
    </w:p>
    <w:p w14:paraId="6C696A5F" w14:textId="7AE58177" w:rsidR="00496244" w:rsidRDefault="00496244" w:rsidP="00317057">
      <w:pPr>
        <w:pStyle w:val="ARbody"/>
      </w:pPr>
      <w:r>
        <w:t>Modelling of the COVID-19 workforce undertaken at the beginning of the outbreak of COVID-19 indicated a need for additional frontline clinical staff</w:t>
      </w:r>
      <w:r w:rsidR="000A12B9">
        <w:t> </w:t>
      </w:r>
      <w:r>
        <w:t>to meet the needs of the pandemic.</w:t>
      </w:r>
    </w:p>
    <w:p w14:paraId="2322AFE2" w14:textId="77777777" w:rsidR="00496244" w:rsidRDefault="00496244" w:rsidP="00317057">
      <w:pPr>
        <w:pStyle w:val="ARbody"/>
      </w:pPr>
      <w:r w:rsidRPr="00495CBE">
        <w:t>The</w:t>
      </w:r>
      <w:r>
        <w:t xml:space="preserve"> department established a dedicated surge workforce group to determine areas where additional staffing was needed and to meet requests for additional staffing support.</w:t>
      </w:r>
    </w:p>
    <w:p w14:paraId="04C22C39" w14:textId="35CE648A" w:rsidR="00496244" w:rsidRDefault="00496244" w:rsidP="00317057">
      <w:pPr>
        <w:pStyle w:val="ARbody"/>
      </w:pPr>
      <w:r>
        <w:t>The department worked with the Australian Health Practitioner Regulation Agency to reach out to recently retired clinicians who could be utilised as</w:t>
      </w:r>
      <w:r w:rsidR="000A12B9">
        <w:t> </w:t>
      </w:r>
      <w:r>
        <w:t>part of the surge workforce response.</w:t>
      </w:r>
    </w:p>
    <w:p w14:paraId="2827463F" w14:textId="77777777" w:rsidR="00496244" w:rsidRDefault="00496244" w:rsidP="00317057">
      <w:pPr>
        <w:pStyle w:val="ARbody"/>
      </w:pPr>
      <w:r>
        <w:t>Students who could work in delegated service delivery models were identified, onboarded and employed.</w:t>
      </w:r>
    </w:p>
    <w:p w14:paraId="05BEB9EE" w14:textId="77777777" w:rsidR="00496244" w:rsidRDefault="00496244" w:rsidP="00317057">
      <w:pPr>
        <w:pStyle w:val="ARbody"/>
      </w:pPr>
      <w:r>
        <w:t>Public and private hospitals trained and retrained doctors, nurses and physiotherapists in critical care skills, using substitution strategies and delegation models to enable staff to work at the top of their scope of practice and maximise the available workforce.</w:t>
      </w:r>
    </w:p>
    <w:p w14:paraId="00EF872D" w14:textId="28A72F86" w:rsidR="00496244" w:rsidRDefault="00496244" w:rsidP="00317057">
      <w:pPr>
        <w:pStyle w:val="ARbody"/>
      </w:pPr>
      <w:r>
        <w:t>Non-urgent elective surgery was also wound back</w:t>
      </w:r>
      <w:r w:rsidR="000A12B9">
        <w:t> </w:t>
      </w:r>
      <w:r>
        <w:t>to free up existing staff.</w:t>
      </w:r>
    </w:p>
    <w:p w14:paraId="0021872B" w14:textId="77777777" w:rsidR="00496244" w:rsidRDefault="00496244" w:rsidP="00317057">
      <w:pPr>
        <w:pStyle w:val="ARbody"/>
      </w:pPr>
      <w:r>
        <w:t>In addition to these measures, the department sought skilled assistance from interstate, allocated the deployment of Registered Nurses, and worked with universities to ensure that students in medical-</w:t>
      </w:r>
      <w:r>
        <w:t>related courses who wished to contribute to surge efforts were provided with appropriate supervision to work in delegated roles.</w:t>
      </w:r>
    </w:p>
    <w:p w14:paraId="214B2A7B" w14:textId="77777777" w:rsidR="00496244" w:rsidRDefault="00496244" w:rsidP="00317057">
      <w:pPr>
        <w:pStyle w:val="ARbody"/>
      </w:pPr>
      <w:r>
        <w:t>All these measures were developed in consultation with an expert working group that includes members from universities, healthcare services, Safer Care Victoria and the department.</w:t>
      </w:r>
    </w:p>
    <w:p w14:paraId="5BA975F4" w14:textId="77777777" w:rsidR="00496244" w:rsidRDefault="00496244" w:rsidP="00317057">
      <w:pPr>
        <w:pStyle w:val="Heading6"/>
      </w:pPr>
      <w:bookmarkStart w:id="261" w:name="_Toc85121148"/>
      <w:r>
        <w:t>Second wave staffing</w:t>
      </w:r>
      <w:bookmarkEnd w:id="261"/>
    </w:p>
    <w:p w14:paraId="0F1EE7BD" w14:textId="4484D552" w:rsidR="00496244" w:rsidRDefault="00496244" w:rsidP="00317057">
      <w:pPr>
        <w:pStyle w:val="ARbody"/>
      </w:pPr>
      <w:r>
        <w:t>During July and August 2020, as Melbourne</w:t>
      </w:r>
      <w:r w:rsidR="007D145B">
        <w:t>’</w:t>
      </w:r>
      <w:r>
        <w:t>s second wave took hold, over 1,000 staff across the</w:t>
      </w:r>
      <w:r w:rsidR="000A12B9">
        <w:t> </w:t>
      </w:r>
      <w:r>
        <w:t>health system were furloughed daily. To combat</w:t>
      </w:r>
      <w:r w:rsidR="000A12B9">
        <w:t> </w:t>
      </w:r>
      <w:r>
        <w:t>this loss of staff, the department received assistance from Ambulance Victoria and the Australian Defence Force, and engaged staff from</w:t>
      </w:r>
      <w:r w:rsidR="000A12B9">
        <w:t> </w:t>
      </w:r>
      <w:r>
        <w:t>HealthDirect Australia.</w:t>
      </w:r>
    </w:p>
    <w:p w14:paraId="2FACE5D3" w14:textId="77777777" w:rsidR="00496244" w:rsidRDefault="00496244" w:rsidP="00317057">
      <w:pPr>
        <w:pStyle w:val="Heading4"/>
      </w:pPr>
      <w:bookmarkStart w:id="262" w:name="_Toc85121149"/>
      <w:r>
        <w:t>Vaccinating Victorians</w:t>
      </w:r>
      <w:bookmarkEnd w:id="262"/>
    </w:p>
    <w:p w14:paraId="16F990EB" w14:textId="799CE848" w:rsidR="00496244" w:rsidRDefault="00496244" w:rsidP="00317057">
      <w:pPr>
        <w:pStyle w:val="Heading5"/>
      </w:pPr>
      <w:bookmarkStart w:id="263" w:name="_Toc85121150"/>
      <w:r w:rsidRPr="004770C6">
        <w:t>Supporting the Commonwealth</w:t>
      </w:r>
      <w:r w:rsidR="007D145B">
        <w:t>’</w:t>
      </w:r>
      <w:r w:rsidRPr="004770C6">
        <w:t>s vaccine</w:t>
      </w:r>
      <w:r w:rsidR="000A12B9">
        <w:t> </w:t>
      </w:r>
      <w:r w:rsidRPr="004770C6">
        <w:t>program</w:t>
      </w:r>
      <w:bookmarkEnd w:id="263"/>
    </w:p>
    <w:p w14:paraId="7F3942DC" w14:textId="6734F995" w:rsidR="00496244" w:rsidRDefault="00496244" w:rsidP="00317057">
      <w:pPr>
        <w:pStyle w:val="ARbody"/>
      </w:pPr>
      <w:r>
        <w:t>At the beginning of 2021, the rollout of the Commonwealth</w:t>
      </w:r>
      <w:r w:rsidR="007D145B">
        <w:t>’</w:t>
      </w:r>
      <w:r>
        <w:t>s COVID-19 vaccine program began, with the aim of offering a first dose vaccine to all adult Australians by the end of October 2021. By 30 June 2021, Victoria had delivered more than one million doses of COVID-19 vaccines across state-commissioned services.</w:t>
      </w:r>
    </w:p>
    <w:p w14:paraId="52C6FAAA" w14:textId="097AE18A" w:rsidR="00496244" w:rsidRDefault="00496244" w:rsidP="00317057">
      <w:pPr>
        <w:pStyle w:val="ARbody"/>
      </w:pPr>
      <w:r>
        <w:t>Currently, the COVID-19 vaccine is the best tool Victoria has to control the virus, and the department is working closely with the Commonwealth to ensure the vaccination program rollout is safe and</w:t>
      </w:r>
      <w:r w:rsidR="000A12B9">
        <w:t> </w:t>
      </w:r>
      <w:r>
        <w:t>effective.</w:t>
      </w:r>
    </w:p>
    <w:p w14:paraId="368B38A1" w14:textId="1D895972" w:rsidR="00496244" w:rsidRDefault="00496244" w:rsidP="00317057">
      <w:pPr>
        <w:pStyle w:val="Heading5"/>
      </w:pPr>
      <w:bookmarkStart w:id="264" w:name="_Toc85121151"/>
      <w:r w:rsidRPr="00E85F75">
        <w:t>Victoria</w:t>
      </w:r>
      <w:r w:rsidR="007D145B">
        <w:t>’</w:t>
      </w:r>
      <w:r w:rsidRPr="00E85F75">
        <w:t>s vaccine program</w:t>
      </w:r>
      <w:bookmarkEnd w:id="264"/>
    </w:p>
    <w:p w14:paraId="16084F68" w14:textId="77777777" w:rsidR="00496244" w:rsidRDefault="00496244" w:rsidP="00317057">
      <w:pPr>
        <w:pStyle w:val="ARbody"/>
      </w:pPr>
      <w:r>
        <w:t>While the overall vaccination program is a Commonwealth responsibility, the states and territories have a key role to play in the rollout, including in relation to logistics, vaccination delivery, safety and reporting.</w:t>
      </w:r>
    </w:p>
    <w:p w14:paraId="57DB173B" w14:textId="61E8A6B8" w:rsidR="00496244" w:rsidRDefault="00496244" w:rsidP="00317057">
      <w:pPr>
        <w:pStyle w:val="ARbody"/>
      </w:pPr>
      <w:r>
        <w:t>Victoria is rolling out the COVID-19 vaccine rapidly,</w:t>
      </w:r>
      <w:r w:rsidR="000A12B9">
        <w:t> </w:t>
      </w:r>
      <w:r>
        <w:t>in line with vaccine product supply and in accordance with the Commonwealth</w:t>
      </w:r>
      <w:r w:rsidR="007D145B">
        <w:t>’</w:t>
      </w:r>
      <w:r>
        <w:t>s prioritisation framework. The government has commissioned a range of providers to establish vaccine access points across Victoria with a range of models to meet the access needs of different cohorts and communities.</w:t>
      </w:r>
    </w:p>
    <w:p w14:paraId="0B171318" w14:textId="785B9F23" w:rsidR="00496244" w:rsidRDefault="00496244" w:rsidP="00317057">
      <w:pPr>
        <w:pStyle w:val="ARbody"/>
      </w:pPr>
      <w:r w:rsidRPr="005C4E56">
        <w:t>As at 30 June 2021, 78 vaccine sites had been</w:t>
      </w:r>
      <w:r w:rsidR="000A12B9">
        <w:t> </w:t>
      </w:r>
      <w:r w:rsidRPr="005C4E56">
        <w:t xml:space="preserve">established across Victoria – at hospital immunisation hubs, community settings and </w:t>
      </w:r>
      <w:r w:rsidRPr="005C4E56">
        <w:lastRenderedPageBreak/>
        <w:t>outreach programs. Vaccinations are also available</w:t>
      </w:r>
      <w:r w:rsidR="000A12B9">
        <w:t> </w:t>
      </w:r>
      <w:r w:rsidRPr="005C4E56">
        <w:t>from general practitioners and, for certain</w:t>
      </w:r>
      <w:r w:rsidR="000A12B9">
        <w:t> </w:t>
      </w:r>
      <w:r w:rsidRPr="005C4E56">
        <w:t>vulnerable, high-risk groups, through specific in-reach or on-site services.</w:t>
      </w:r>
    </w:p>
    <w:p w14:paraId="0F443F56" w14:textId="4D3A44E4" w:rsidR="00496244" w:rsidRDefault="00496244" w:rsidP="00317057">
      <w:pPr>
        <w:pStyle w:val="ARbody"/>
      </w:pPr>
      <w:r>
        <w:t>In addition, the department</w:t>
      </w:r>
      <w:r w:rsidR="007D145B">
        <w:t>’</w:t>
      </w:r>
      <w:r>
        <w:t>s digital health team led</w:t>
      </w:r>
      <w:r w:rsidR="000A12B9">
        <w:t> </w:t>
      </w:r>
      <w:r>
        <w:t>the development of Victoria</w:t>
      </w:r>
      <w:r w:rsidR="007D145B">
        <w:t>’</w:t>
      </w:r>
      <w:r>
        <w:t>s COVID-19 Vaccination Management System (CVMS), the first</w:t>
      </w:r>
      <w:r w:rsidR="000A12B9">
        <w:t> </w:t>
      </w:r>
      <w:r>
        <w:t>purpose-built digital system in Australia. The</w:t>
      </w:r>
      <w:r w:rsidR="000A12B9">
        <w:t> </w:t>
      </w:r>
      <w:r>
        <w:t>CVMS has been deployed to over 80 sites and</w:t>
      </w:r>
      <w:r w:rsidR="000A12B9">
        <w:t> </w:t>
      </w:r>
      <w:r>
        <w:t>had administered over one million vaccine doses across all settings by 30 June 2021.</w:t>
      </w:r>
    </w:p>
    <w:p w14:paraId="483E81E3" w14:textId="77777777" w:rsidR="00496244" w:rsidRDefault="00496244" w:rsidP="00317057">
      <w:pPr>
        <w:pStyle w:val="Heading5"/>
      </w:pPr>
      <w:bookmarkStart w:id="265" w:name="_Toc85121152"/>
      <w:r w:rsidRPr="00E85F75">
        <w:t>Vaccine blitz for identified industries/workers</w:t>
      </w:r>
      <w:bookmarkEnd w:id="265"/>
    </w:p>
    <w:p w14:paraId="2109AB6C" w14:textId="77777777" w:rsidR="00496244" w:rsidRDefault="00496244" w:rsidP="00317057">
      <w:pPr>
        <w:pStyle w:val="ARbody"/>
      </w:pPr>
      <w:r>
        <w:t>Phase 1a of the vaccine rollout commenced on 22 February 2021 and included aged care and disability care workers and residents. The Victorian Government is responsible for vaccinating residents and staff in public sector residential aged care (PSRACs) facilities as part of Phase 1a while the Commonwealth is responsible for vaccinations at private aged care and disability care facilities.</w:t>
      </w:r>
    </w:p>
    <w:p w14:paraId="0B020C6E" w14:textId="58B22AB2" w:rsidR="00496244" w:rsidRDefault="00496244" w:rsidP="00317057">
      <w:pPr>
        <w:pStyle w:val="ARbody"/>
      </w:pPr>
      <w:r>
        <w:t>All Victorian PSRAC facilities were visited by Victoria</w:t>
      </w:r>
      <w:r w:rsidR="007D145B">
        <w:t>’</w:t>
      </w:r>
      <w:r>
        <w:t>s hospital vaccination hub outreach teams by the end of April 2021. Staff at Victorian public sector aged care facilities also had the opportunity to be vaccinated during outreach visits, or they could be vaccinated at hospital vaccination hubs, high-volume centres, or through a general practitioner.</w:t>
      </w:r>
    </w:p>
    <w:p w14:paraId="280485A8" w14:textId="62D9CD75" w:rsidR="00864121" w:rsidRDefault="00496244" w:rsidP="00317057">
      <w:pPr>
        <w:pStyle w:val="ARbody"/>
      </w:pPr>
      <w:r>
        <w:t>Private facilities had slower vaccine uptake rates so a vaccine blitz was conducted in early June 2021. Workers in private aged care facilities and the residential disability sector, which are managed by</w:t>
      </w:r>
      <w:r w:rsidR="000A12B9">
        <w:t> </w:t>
      </w:r>
      <w:r>
        <w:t xml:space="preserve">the Commonwealth, were given priority access at walk-in vaccination hubs around Victoria from </w:t>
      </w:r>
      <w:r w:rsidR="000A12B9">
        <w:br/>
      </w:r>
      <w:r w:rsidR="005C203A">
        <w:t>2–</w:t>
      </w:r>
      <w:r>
        <w:t>9 June 2021. Phase 1b of the program commenced on 22 March 2021, with eligibility for the vaccine extended to critical and high-risk workers. This group included Ambulance Victoria staff, who were given priority access to vaccination at state-run sites in a blitz run by the department from 9</w:t>
      </w:r>
      <w:r w:rsidR="000A12B9">
        <w:t>–</w:t>
      </w:r>
      <w:r>
        <w:t>13 June 2021.</w:t>
      </w:r>
    </w:p>
    <w:p w14:paraId="63CA6923" w14:textId="6EDCCF2B" w:rsidR="00496244" w:rsidRDefault="00496244" w:rsidP="00317057">
      <w:pPr>
        <w:pStyle w:val="ARbody"/>
      </w:pPr>
      <w:r>
        <w:t>While the Commonwealth continues to be responsible for in-reach in disability residential settings, Victoria is also working with providers to support access to state-run vaccination sites by people with disabilities and disability care workers.</w:t>
      </w:r>
    </w:p>
    <w:p w14:paraId="67304126" w14:textId="414EA218" w:rsidR="00496244" w:rsidRDefault="000A12B9" w:rsidP="00317057">
      <w:pPr>
        <w:pStyle w:val="ARbody"/>
      </w:pPr>
      <w:r>
        <w:br w:type="column"/>
      </w:r>
      <w:r w:rsidR="00496244">
        <w:t>All vaccination sites have a minimum standard of accessibility with nine sites across the state to be established as enhanced accessibility centres to increase the level of vaccination among people with</w:t>
      </w:r>
      <w:r>
        <w:t> </w:t>
      </w:r>
      <w:r w:rsidR="00496244">
        <w:t>a disability.</w:t>
      </w:r>
    </w:p>
    <w:p w14:paraId="41403C0D" w14:textId="77777777" w:rsidR="00496244" w:rsidRDefault="00496244" w:rsidP="00317057">
      <w:pPr>
        <w:pStyle w:val="ARbody"/>
      </w:pPr>
      <w:r>
        <w:t>Priority cohorts continue to have priority access at state vaccination hubs, which allows them to be vaccinated quickly during peak periods without booking in advance.</w:t>
      </w:r>
    </w:p>
    <w:p w14:paraId="584C921E" w14:textId="77777777" w:rsidR="00496244" w:rsidRDefault="00496244" w:rsidP="00317057">
      <w:pPr>
        <w:pStyle w:val="Heading5"/>
      </w:pPr>
      <w:bookmarkStart w:id="266" w:name="_Toc85121153"/>
      <w:r w:rsidRPr="00E85F75">
        <w:t xml:space="preserve">Engagement </w:t>
      </w:r>
      <w:r>
        <w:t xml:space="preserve">with </w:t>
      </w:r>
      <w:r w:rsidRPr="00E85F75">
        <w:t>primary care and community health sectors</w:t>
      </w:r>
      <w:bookmarkEnd w:id="266"/>
    </w:p>
    <w:p w14:paraId="0C8E691C" w14:textId="77777777" w:rsidR="00496244" w:rsidRDefault="00496244" w:rsidP="00317057">
      <w:pPr>
        <w:pStyle w:val="ARbody"/>
      </w:pPr>
      <w:r>
        <w:t>The department consults regularly with the primary care and community health sectors to identify risks and opportunities concerning the vaccination program. This includes a fortnightly engagement meeting with Victorian general practitioners, primary health networks and peak bodies such as the Australian Medical Association and the Royal Australian College of General Practitioners.</w:t>
      </w:r>
    </w:p>
    <w:p w14:paraId="4E631357" w14:textId="5D863D85" w:rsidR="00496244" w:rsidRDefault="00496244" w:rsidP="00317057">
      <w:pPr>
        <w:pStyle w:val="ARbody"/>
      </w:pPr>
      <w:r>
        <w:t>The community health sector plays a key role in the</w:t>
      </w:r>
      <w:r w:rsidR="000A12B9">
        <w:t> </w:t>
      </w:r>
      <w:r>
        <w:t>state-run vaccination program, chiefly through the C-19 collaborative. This a consortium of five community health services, led in 202</w:t>
      </w:r>
      <w:r w:rsidR="00FA7261">
        <w:t>0–</w:t>
      </w:r>
      <w:r>
        <w:t>21 by IPC Health and supported by EACH, DPV Health, Star Health, and Cohealth. These organisations were commissioned to mobilise teams to administer vaccinations to Victoria</w:t>
      </w:r>
      <w:r w:rsidR="007D145B">
        <w:t>’</w:t>
      </w:r>
      <w:r>
        <w:t>s high-risk accommodation community and other identified vulnerable community groups.</w:t>
      </w:r>
    </w:p>
    <w:p w14:paraId="49E9C4F9" w14:textId="61AFAAF7" w:rsidR="00496244" w:rsidRDefault="00496244" w:rsidP="00317057">
      <w:pPr>
        <w:pStyle w:val="ARbody"/>
      </w:pPr>
      <w:r>
        <w:t>The COVID-19 Vaccine Expert Advisory Group provides expert advice to support decisions on the</w:t>
      </w:r>
      <w:r w:rsidR="000A12B9">
        <w:t> </w:t>
      </w:r>
      <w:r>
        <w:t>planning and implementation of Victoria</w:t>
      </w:r>
      <w:r w:rsidR="007D145B">
        <w:t>’</w:t>
      </w:r>
      <w:r>
        <w:t>s vaccination program. Membership includes representatives from general practice and community pharmacies.</w:t>
      </w:r>
    </w:p>
    <w:p w14:paraId="28367287" w14:textId="77777777" w:rsidR="00496244" w:rsidRDefault="00496244" w:rsidP="00317057">
      <w:pPr>
        <w:pStyle w:val="Heading5"/>
      </w:pPr>
      <w:bookmarkStart w:id="267" w:name="_Toc85121154"/>
      <w:r w:rsidRPr="00E85F75">
        <w:t>Supporting Victorians to get vaccinated</w:t>
      </w:r>
      <w:bookmarkEnd w:id="267"/>
    </w:p>
    <w:p w14:paraId="4BD4785D" w14:textId="77777777" w:rsidR="00496244" w:rsidRDefault="00496244" w:rsidP="00317057">
      <w:pPr>
        <w:pStyle w:val="ARbody"/>
      </w:pPr>
      <w:r>
        <w:t>Public trust and confidence are essential to the success of the vaccine program.</w:t>
      </w:r>
    </w:p>
    <w:p w14:paraId="311A6107" w14:textId="62456810" w:rsidR="00496244" w:rsidRDefault="00496244" w:rsidP="00317057">
      <w:pPr>
        <w:pStyle w:val="ARbody"/>
      </w:pPr>
      <w:r>
        <w:t>The department has engaged with a wide range of</w:t>
      </w:r>
      <w:r w:rsidR="000A12B9">
        <w:t> </w:t>
      </w:r>
      <w:r>
        <w:t>stakeholder groups, including health services, priority populations (such as Aboriginal and Torres Strait Islander people, culturally and linguistically diverse communities, residents of high-risk accommodation) and industry and worker groups to</w:t>
      </w:r>
      <w:r w:rsidR="000A12B9">
        <w:t> </w:t>
      </w:r>
      <w:r>
        <w:t>raise awareness, inform stakeholders and the broader Victorian community about the COVID-19 vaccination, and address the potential impact of vaccine hesitancy.</w:t>
      </w:r>
    </w:p>
    <w:p w14:paraId="5C0909D4" w14:textId="44526D47" w:rsidR="00496244" w:rsidRDefault="00496244" w:rsidP="00317057">
      <w:pPr>
        <w:pStyle w:val="ARbody"/>
      </w:pPr>
      <w:r>
        <w:lastRenderedPageBreak/>
        <w:t>Victoria</w:t>
      </w:r>
      <w:r w:rsidR="007D145B">
        <w:t>’</w:t>
      </w:r>
      <w:r>
        <w:t>s engagement plan aligns with the Commonwealth Government</w:t>
      </w:r>
      <w:r w:rsidR="007D145B">
        <w:t>’</w:t>
      </w:r>
      <w:r>
        <w:t>s national communications campaign, which aims to provide information about quality and safety, vaccination sites and progress of the rollout.</w:t>
      </w:r>
    </w:p>
    <w:p w14:paraId="61CB045F" w14:textId="77777777" w:rsidR="00496244" w:rsidRDefault="00496244" w:rsidP="00317057">
      <w:pPr>
        <w:pStyle w:val="ARbody"/>
      </w:pPr>
      <w:r>
        <w:t>Overall, as part of its engagement strategy, the department has developed an immediate network of over 700 partners that support COVID-19 vaccination engagement efforts. These partners are connected with the department through initiatives such as the COVID-19 Vaccination Ambassador Program, which funds over 170 organisations through grants, and supports promotion, education and capacity-building efforts across organisations and the community.</w:t>
      </w:r>
    </w:p>
    <w:p w14:paraId="4473A21A" w14:textId="77777777" w:rsidR="00496244" w:rsidRDefault="00496244" w:rsidP="00317057">
      <w:pPr>
        <w:pStyle w:val="Heading6"/>
      </w:pPr>
      <w:bookmarkStart w:id="268" w:name="_Toc85121155"/>
      <w:r>
        <w:t>Champions program</w:t>
      </w:r>
      <w:bookmarkEnd w:id="268"/>
    </w:p>
    <w:p w14:paraId="231EA75F" w14:textId="1BABC3CD" w:rsidR="00496244" w:rsidRDefault="00496244" w:rsidP="00317057">
      <w:pPr>
        <w:pStyle w:val="ARbody"/>
      </w:pPr>
      <w:r>
        <w:t xml:space="preserve">The department has also established the </w:t>
      </w:r>
      <w:r w:rsidR="000A12B9">
        <w:br/>
      </w:r>
      <w:r>
        <w:t xml:space="preserve">COVID-19 Vaccination Champions Program, which, through a network of </w:t>
      </w:r>
      <w:r w:rsidR="007D145B">
        <w:t>‘</w:t>
      </w:r>
      <w:r>
        <w:t>champions</w:t>
      </w:r>
      <w:r w:rsidR="007D145B">
        <w:t>’</w:t>
      </w:r>
      <w:r>
        <w:t>, aims to enhance vaccine confidence, increase uptake of COVID-19 vaccinations and raise awareness of Victoria</w:t>
      </w:r>
      <w:r w:rsidR="007D145B">
        <w:t>’</w:t>
      </w:r>
      <w:r>
        <w:t>s COVID-19 vaccination program.</w:t>
      </w:r>
    </w:p>
    <w:p w14:paraId="152D8AE6" w14:textId="260CB572" w:rsidR="00864121" w:rsidRDefault="00496244" w:rsidP="00317057">
      <w:pPr>
        <w:pStyle w:val="ARbody"/>
      </w:pPr>
      <w:r>
        <w:t xml:space="preserve">Vaccine champions are selected through an expression of interest process and grouped into three cohorts – clinical, community and faith, industry and workplace. Their role is to deliver presentations and facilitate group and individual discussions on COVID-19 vaccination; participate in discussions at </w:t>
      </w:r>
      <w:r w:rsidR="007D145B">
        <w:t>‘</w:t>
      </w:r>
      <w:r>
        <w:t>on-the-ground</w:t>
      </w:r>
      <w:r w:rsidR="007D145B">
        <w:t>’</w:t>
      </w:r>
      <w:r>
        <w:t xml:space="preserve"> engagement sessions; and tell personal stories about why they</w:t>
      </w:r>
      <w:r w:rsidR="000A12B9">
        <w:t> </w:t>
      </w:r>
      <w:r>
        <w:t>chose to get vaccinated. All champions have</w:t>
      </w:r>
      <w:r w:rsidR="000A12B9">
        <w:t> </w:t>
      </w:r>
      <w:r>
        <w:t>received training conducted by the Murdoch Children</w:t>
      </w:r>
      <w:r w:rsidR="007D145B">
        <w:t>’</w:t>
      </w:r>
      <w:r>
        <w:t>s Research Institute on how to build confidence in COVID-19 vaccines. In addition, the</w:t>
      </w:r>
      <w:r w:rsidR="000A12B9">
        <w:t> </w:t>
      </w:r>
      <w:r>
        <w:t>department provides them with regular updates and ongoing support.</w:t>
      </w:r>
    </w:p>
    <w:p w14:paraId="46328FA3" w14:textId="50883A33" w:rsidR="00496244" w:rsidRDefault="00496244" w:rsidP="00317057">
      <w:pPr>
        <w:pStyle w:val="ARbody"/>
      </w:pPr>
      <w:r>
        <w:t>As at 30 June 2021, there were 76 clinical and community champions representing 27 different CALD backgrounds and 24 language groups.</w:t>
      </w:r>
    </w:p>
    <w:p w14:paraId="1CBD2826" w14:textId="77777777" w:rsidR="00496244" w:rsidRDefault="00496244" w:rsidP="00317057">
      <w:pPr>
        <w:pStyle w:val="ARbody"/>
      </w:pPr>
    </w:p>
    <w:p w14:paraId="1FB9FBAB" w14:textId="77777777" w:rsidR="00496244" w:rsidRDefault="00496244" w:rsidP="00317057">
      <w:pPr>
        <w:pStyle w:val="ARbody"/>
        <w:rPr>
          <w:highlight w:val="yellow"/>
        </w:rPr>
        <w:sectPr w:rsidR="00496244" w:rsidSect="00317057">
          <w:footnotePr>
            <w:numFmt w:val="lowerLetter"/>
            <w:numRestart w:val="eachPage"/>
          </w:footnotePr>
          <w:endnotePr>
            <w:numFmt w:val="decimal"/>
          </w:endnotePr>
          <w:pgSz w:w="11900" w:h="16840" w:code="9"/>
          <w:pgMar w:top="1985" w:right="1134" w:bottom="851" w:left="1134" w:header="510" w:footer="340" w:gutter="0"/>
          <w:cols w:num="2" w:space="454"/>
          <w:docGrid w:linePitch="299"/>
        </w:sectPr>
      </w:pPr>
    </w:p>
    <w:p w14:paraId="3CF89BFF" w14:textId="77777777" w:rsidR="00496244" w:rsidRPr="003E68AF" w:rsidRDefault="00496244" w:rsidP="00395D6A">
      <w:pPr>
        <w:pStyle w:val="Heading3forTOC"/>
      </w:pPr>
      <w:bookmarkStart w:id="269" w:name="Performance_reporting"/>
      <w:bookmarkStart w:id="270" w:name="_Toc85121156"/>
      <w:bookmarkStart w:id="271" w:name="_Toc85121601"/>
      <w:bookmarkStart w:id="272" w:name="_Toc86075584"/>
      <w:bookmarkEnd w:id="269"/>
      <w:r w:rsidRPr="0064009C">
        <w:lastRenderedPageBreak/>
        <w:t>Performance reporting</w:t>
      </w:r>
      <w:bookmarkEnd w:id="270"/>
      <w:bookmarkEnd w:id="271"/>
      <w:bookmarkEnd w:id="272"/>
    </w:p>
    <w:p w14:paraId="28856D6A" w14:textId="40FFE496" w:rsidR="00496244" w:rsidRPr="00A86414" w:rsidRDefault="00496244" w:rsidP="00317057">
      <w:pPr>
        <w:pStyle w:val="ARintro"/>
      </w:pPr>
      <w:r w:rsidRPr="00A86414">
        <w:t xml:space="preserve">The department reports performance against those output performance measures from the </w:t>
      </w:r>
      <w:r w:rsidR="00CF2633">
        <w:br/>
      </w:r>
      <w:r w:rsidRPr="00A86414">
        <w:rPr>
          <w:i/>
        </w:rPr>
        <w:t>202</w:t>
      </w:r>
      <w:r w:rsidR="00FA7261">
        <w:rPr>
          <w:i/>
        </w:rPr>
        <w:t>0–</w:t>
      </w:r>
      <w:r w:rsidRPr="00A86414">
        <w:rPr>
          <w:i/>
        </w:rPr>
        <w:t>21 State Budget Paper No. 3 – Service Delivery</w:t>
      </w:r>
      <w:r w:rsidRPr="00A86414">
        <w:t xml:space="preserve"> that remain within the health portfolio following the machinery</w:t>
      </w:r>
      <w:r>
        <w:t xml:space="preserve"> </w:t>
      </w:r>
      <w:r w:rsidRPr="00A86414">
        <w:t>of government changes. These all relate to departmental objective 1 (Victorians are healthy and well) and are organised by service output group in the tables below.</w:t>
      </w:r>
    </w:p>
    <w:p w14:paraId="21C344F1" w14:textId="77777777" w:rsidR="00496244" w:rsidRPr="00D02A2E" w:rsidRDefault="00496244" w:rsidP="00317057">
      <w:pPr>
        <w:pStyle w:val="ARintro"/>
      </w:pPr>
      <w:r w:rsidRPr="00D02A2E">
        <w:t>Results in the tables below are coded according to:</w:t>
      </w:r>
    </w:p>
    <w:p w14:paraId="5B388553" w14:textId="514B3786" w:rsidR="00496244" w:rsidRPr="00D02A2E" w:rsidRDefault="00F96CDB" w:rsidP="003B2EE7">
      <w:pPr>
        <w:pStyle w:val="ARintro"/>
        <w:ind w:left="397" w:hanging="397"/>
      </w:pPr>
      <w:r>
        <w:rPr>
          <w:noProof/>
        </w:rPr>
        <w:drawing>
          <wp:inline distT="0" distB="0" distL="0" distR="0" wp14:anchorId="4D9DFD00" wp14:editId="00D54CED">
            <wp:extent cx="94320" cy="94320"/>
            <wp:effectExtent l="0" t="0" r="1270" b="1270"/>
            <wp:docPr id="21" name="Graphic 21"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94320" cy="94320"/>
                    </a:xfrm>
                    <a:prstGeom prst="rect">
                      <a:avLst/>
                    </a:prstGeom>
                  </pic:spPr>
                </pic:pic>
              </a:graphicData>
            </a:graphic>
          </wp:inline>
        </w:drawing>
      </w:r>
      <w:r w:rsidR="00496244" w:rsidRPr="00D02A2E">
        <w:tab/>
        <w:t>Performance target achieved or exceeded</w:t>
      </w:r>
    </w:p>
    <w:p w14:paraId="225FAEB3" w14:textId="40C9F64C" w:rsidR="00496244" w:rsidRPr="00D02A2E" w:rsidRDefault="00F96CDB" w:rsidP="003B2EE7">
      <w:pPr>
        <w:pStyle w:val="ARintro"/>
        <w:ind w:left="397" w:hanging="397"/>
      </w:pPr>
      <w:r>
        <w:rPr>
          <w:noProof/>
        </w:rPr>
        <w:drawing>
          <wp:inline distT="0" distB="0" distL="0" distR="0" wp14:anchorId="759D1F53" wp14:editId="6DB3D430">
            <wp:extent cx="83520" cy="83520"/>
            <wp:effectExtent l="0" t="0" r="0" b="0"/>
            <wp:docPr id="20" name="Graphic 20" descr="Target not achieved – within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Target not achieved – within five per cent varianc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83520" cy="83520"/>
                    </a:xfrm>
                    <a:prstGeom prst="rect">
                      <a:avLst/>
                    </a:prstGeom>
                  </pic:spPr>
                </pic:pic>
              </a:graphicData>
            </a:graphic>
          </wp:inline>
        </w:drawing>
      </w:r>
      <w:r w:rsidR="00496244" w:rsidRPr="00D02A2E">
        <w:tab/>
        <w:t>Performance target not achieved – within five per cent variance</w:t>
      </w:r>
    </w:p>
    <w:p w14:paraId="4BBDD1EF" w14:textId="3812B581" w:rsidR="00496244" w:rsidRPr="00ED2FE3" w:rsidRDefault="00F96CDB" w:rsidP="003B2EE7">
      <w:pPr>
        <w:pStyle w:val="ARintro"/>
        <w:ind w:left="397" w:hanging="397"/>
        <w:rPr>
          <w:kern w:val="28"/>
        </w:rPr>
      </w:pPr>
      <w:r>
        <w:rPr>
          <w:noProof/>
        </w:rPr>
        <w:drawing>
          <wp:inline distT="0" distB="0" distL="0" distR="0" wp14:anchorId="2B55E5A9" wp14:editId="1B58EC68">
            <wp:extent cx="83880" cy="83880"/>
            <wp:effectExtent l="0" t="0" r="0" b="0"/>
            <wp:docPr id="19" name="Graphic 19"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83880" cy="83880"/>
                    </a:xfrm>
                    <a:prstGeom prst="rect">
                      <a:avLst/>
                    </a:prstGeom>
                  </pic:spPr>
                </pic:pic>
              </a:graphicData>
            </a:graphic>
          </wp:inline>
        </w:drawing>
      </w:r>
      <w:r w:rsidR="00496244" w:rsidRPr="00D02A2E">
        <w:tab/>
        <w:t>Performance target not achieved – exceeds five per cent variance</w:t>
      </w:r>
      <w:r w:rsidR="00496244">
        <w:t>.</w:t>
      </w:r>
    </w:p>
    <w:p w14:paraId="4C2B8D8C" w14:textId="77777777" w:rsidR="00496244" w:rsidRPr="00FC32EF" w:rsidRDefault="00496244" w:rsidP="00317057">
      <w:pPr>
        <w:pStyle w:val="Heading4"/>
      </w:pPr>
      <w:bookmarkStart w:id="273" w:name="_Toc85121157"/>
      <w:r w:rsidRPr="00FC32EF">
        <w:t>Acute Health Services</w:t>
      </w:r>
      <w:bookmarkEnd w:id="273"/>
    </w:p>
    <w:p w14:paraId="3DE217E4" w14:textId="77777777" w:rsidR="00496244" w:rsidRPr="00AC7318" w:rsidRDefault="00496244" w:rsidP="00317057">
      <w:pPr>
        <w:pStyle w:val="ARbodybeforetable"/>
        <w:rPr>
          <w:b/>
        </w:rPr>
      </w:pPr>
      <w:r w:rsidRPr="00AC7318">
        <w:rPr>
          <w:shd w:val="clear" w:color="auto" w:fill="FFFFFF"/>
        </w:rPr>
        <w:t>This output provides a range of timely and high-quality acute hospital inpatient, ambulatory, emergency, community-based and specialist services</w:t>
      </w:r>
      <w:r>
        <w:rPr>
          <w:shd w:val="clear" w:color="auto" w:fill="FFFFFF"/>
        </w:rPr>
        <w:t>.</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496244" w:rsidRPr="00D02A2E" w14:paraId="148F2760" w14:textId="77777777" w:rsidTr="000F1C6B">
        <w:trPr>
          <w:cantSplit/>
          <w:tblHeader/>
        </w:trPr>
        <w:tc>
          <w:tcPr>
            <w:tcW w:w="4761" w:type="dxa"/>
            <w:tcBorders>
              <w:bottom w:val="single" w:sz="4" w:space="0" w:color="auto"/>
            </w:tcBorders>
            <w:shd w:val="clear" w:color="auto" w:fill="auto"/>
            <w:vAlign w:val="bottom"/>
            <w:hideMark/>
          </w:tcPr>
          <w:p w14:paraId="25BB4C1D" w14:textId="77777777" w:rsidR="00496244" w:rsidRPr="00D02A2E" w:rsidRDefault="00496244" w:rsidP="00317057">
            <w:pPr>
              <w:pStyle w:val="ARtablecolhead"/>
            </w:pPr>
            <w:r w:rsidRPr="00D02A2E">
              <w:t>Performance measures</w:t>
            </w:r>
          </w:p>
        </w:tc>
        <w:tc>
          <w:tcPr>
            <w:tcW w:w="1021" w:type="dxa"/>
            <w:tcBorders>
              <w:bottom w:val="single" w:sz="4" w:space="0" w:color="auto"/>
            </w:tcBorders>
            <w:shd w:val="clear" w:color="auto" w:fill="auto"/>
            <w:vAlign w:val="bottom"/>
            <w:hideMark/>
          </w:tcPr>
          <w:p w14:paraId="1D63B68D" w14:textId="77777777" w:rsidR="00496244" w:rsidRPr="00F72126" w:rsidRDefault="00496244" w:rsidP="00317057">
            <w:pPr>
              <w:pStyle w:val="ARtablecolheadcentre"/>
            </w:pPr>
            <w:r w:rsidRPr="00F72126">
              <w:t>Unit of measure</w:t>
            </w:r>
          </w:p>
        </w:tc>
        <w:tc>
          <w:tcPr>
            <w:tcW w:w="1021" w:type="dxa"/>
            <w:tcBorders>
              <w:bottom w:val="single" w:sz="4" w:space="0" w:color="auto"/>
            </w:tcBorders>
            <w:shd w:val="clear" w:color="auto" w:fill="auto"/>
            <w:vAlign w:val="bottom"/>
            <w:hideMark/>
          </w:tcPr>
          <w:p w14:paraId="155EF3AD" w14:textId="77777777" w:rsidR="00496244" w:rsidRPr="00F72126" w:rsidRDefault="00496244" w:rsidP="00317057">
            <w:pPr>
              <w:pStyle w:val="ARtablecolheadright"/>
            </w:pPr>
            <w:r w:rsidRPr="00F72126">
              <w:t>20</w:t>
            </w:r>
            <w:r>
              <w:t>20</w:t>
            </w:r>
            <w:r w:rsidRPr="00F72126">
              <w:t>–</w:t>
            </w:r>
            <w:r>
              <w:t>21</w:t>
            </w:r>
            <w:r w:rsidRPr="00F72126">
              <w:t xml:space="preserve"> target</w:t>
            </w:r>
          </w:p>
        </w:tc>
        <w:tc>
          <w:tcPr>
            <w:tcW w:w="1021" w:type="dxa"/>
            <w:tcBorders>
              <w:bottom w:val="single" w:sz="4" w:space="0" w:color="auto"/>
            </w:tcBorders>
            <w:shd w:val="clear" w:color="auto" w:fill="auto"/>
            <w:vAlign w:val="bottom"/>
            <w:hideMark/>
          </w:tcPr>
          <w:p w14:paraId="76B6ED04" w14:textId="77777777" w:rsidR="00496244" w:rsidRPr="00F72126" w:rsidRDefault="00496244" w:rsidP="00317057">
            <w:pPr>
              <w:pStyle w:val="ARtablecolheadright"/>
            </w:pPr>
            <w:r w:rsidRPr="00F72126">
              <w:t>20</w:t>
            </w:r>
            <w:r>
              <w:t>20</w:t>
            </w:r>
            <w:r w:rsidRPr="00F72126">
              <w:t>–</w:t>
            </w:r>
            <w:r>
              <w:t>21</w:t>
            </w:r>
            <w:r w:rsidRPr="00F72126">
              <w:t xml:space="preserve"> actual</w:t>
            </w:r>
          </w:p>
        </w:tc>
        <w:tc>
          <w:tcPr>
            <w:tcW w:w="1021" w:type="dxa"/>
            <w:tcBorders>
              <w:bottom w:val="single" w:sz="4" w:space="0" w:color="auto"/>
            </w:tcBorders>
            <w:shd w:val="clear" w:color="auto" w:fill="auto"/>
            <w:vAlign w:val="bottom"/>
            <w:hideMark/>
          </w:tcPr>
          <w:p w14:paraId="62AFA2FE" w14:textId="77777777" w:rsidR="00496244" w:rsidRPr="00F72126" w:rsidRDefault="00496244" w:rsidP="00317057">
            <w:pPr>
              <w:pStyle w:val="ARtablecolheadright"/>
            </w:pPr>
            <w:r w:rsidRPr="00F72126">
              <w:t>Variation (%)</w:t>
            </w:r>
          </w:p>
        </w:tc>
        <w:tc>
          <w:tcPr>
            <w:tcW w:w="794" w:type="dxa"/>
            <w:tcBorders>
              <w:bottom w:val="single" w:sz="4" w:space="0" w:color="auto"/>
            </w:tcBorders>
            <w:shd w:val="clear" w:color="auto" w:fill="auto"/>
            <w:vAlign w:val="bottom"/>
            <w:hideMark/>
          </w:tcPr>
          <w:p w14:paraId="070CE3E3" w14:textId="77777777" w:rsidR="00496244" w:rsidRPr="00F72126" w:rsidRDefault="00496244" w:rsidP="00317057">
            <w:pPr>
              <w:pStyle w:val="ARtablecolheadright"/>
            </w:pPr>
            <w:r w:rsidRPr="00F72126">
              <w:t>Result</w:t>
            </w:r>
          </w:p>
        </w:tc>
      </w:tr>
      <w:tr w:rsidR="00496244" w:rsidRPr="00D02A2E" w14:paraId="68EF8E23" w14:textId="77777777" w:rsidTr="000F1C6B">
        <w:trPr>
          <w:cantSplit/>
        </w:trPr>
        <w:tc>
          <w:tcPr>
            <w:tcW w:w="9639" w:type="dxa"/>
            <w:gridSpan w:val="6"/>
            <w:tcBorders>
              <w:top w:val="single" w:sz="4" w:space="0" w:color="auto"/>
              <w:bottom w:val="single" w:sz="4" w:space="0" w:color="auto"/>
            </w:tcBorders>
            <w:shd w:val="clear" w:color="auto" w:fill="auto"/>
            <w:hideMark/>
          </w:tcPr>
          <w:p w14:paraId="52E65249" w14:textId="77777777" w:rsidR="00496244" w:rsidRPr="00D02A2E" w:rsidRDefault="00496244" w:rsidP="00317057">
            <w:pPr>
              <w:pStyle w:val="ARtablebluebold"/>
              <w:rPr>
                <w:rFonts w:ascii="Wingdings" w:hAnsi="Wingdings"/>
              </w:rPr>
            </w:pPr>
            <w:r w:rsidRPr="0064009C">
              <w:t>Admitted Services</w:t>
            </w:r>
          </w:p>
        </w:tc>
      </w:tr>
      <w:tr w:rsidR="00496244" w:rsidRPr="00D02A2E" w14:paraId="5647A02F" w14:textId="77777777" w:rsidTr="000F1C6B">
        <w:trPr>
          <w:cantSplit/>
        </w:trPr>
        <w:tc>
          <w:tcPr>
            <w:tcW w:w="9639" w:type="dxa"/>
            <w:gridSpan w:val="6"/>
            <w:tcBorders>
              <w:top w:val="single" w:sz="4" w:space="0" w:color="auto"/>
            </w:tcBorders>
            <w:shd w:val="clear" w:color="auto" w:fill="auto"/>
            <w:hideMark/>
          </w:tcPr>
          <w:p w14:paraId="492CC9D4" w14:textId="77777777" w:rsidR="00496244" w:rsidRPr="00D02A2E" w:rsidRDefault="00496244" w:rsidP="00317057">
            <w:pPr>
              <w:pStyle w:val="ARtablegreybold"/>
              <w:rPr>
                <w:rFonts w:ascii="Wingdings" w:hAnsi="Wingdings"/>
              </w:rPr>
            </w:pPr>
            <w:r w:rsidRPr="007A45E9">
              <w:t>Quantity</w:t>
            </w:r>
          </w:p>
        </w:tc>
      </w:tr>
      <w:tr w:rsidR="00496244" w:rsidRPr="00D02A2E" w14:paraId="2BE11A24" w14:textId="77777777" w:rsidTr="000F1C6B">
        <w:trPr>
          <w:cantSplit/>
        </w:trPr>
        <w:tc>
          <w:tcPr>
            <w:tcW w:w="4761" w:type="dxa"/>
            <w:tcBorders>
              <w:bottom w:val="single" w:sz="4" w:space="0" w:color="BFBFBF" w:themeColor="background1" w:themeShade="BF"/>
            </w:tcBorders>
            <w:shd w:val="clear" w:color="auto" w:fill="auto"/>
            <w:hideMark/>
          </w:tcPr>
          <w:p w14:paraId="14D90092" w14:textId="77777777" w:rsidR="00496244" w:rsidRPr="00D02A2E" w:rsidRDefault="00496244" w:rsidP="00317057">
            <w:pPr>
              <w:pStyle w:val="ARtabletext"/>
            </w:pPr>
            <w:r w:rsidRPr="00C5726C">
              <w:rPr>
                <w:noProof/>
              </w:rPr>
              <w:t>Palliative separations</w:t>
            </w:r>
          </w:p>
        </w:tc>
        <w:tc>
          <w:tcPr>
            <w:tcW w:w="1021" w:type="dxa"/>
            <w:tcBorders>
              <w:bottom w:val="single" w:sz="4" w:space="0" w:color="BFBFBF" w:themeColor="background1" w:themeShade="BF"/>
            </w:tcBorders>
            <w:shd w:val="clear" w:color="auto" w:fill="auto"/>
            <w:hideMark/>
          </w:tcPr>
          <w:p w14:paraId="63F79E2E" w14:textId="77777777" w:rsidR="00496244" w:rsidRPr="00D02A2E" w:rsidRDefault="00496244" w:rsidP="00317057">
            <w:pPr>
              <w:pStyle w:val="ARtabletextcentre"/>
            </w:pPr>
            <w:r w:rsidRPr="00C5726C">
              <w:rPr>
                <w:noProof/>
              </w:rPr>
              <w:t>number</w:t>
            </w:r>
          </w:p>
        </w:tc>
        <w:tc>
          <w:tcPr>
            <w:tcW w:w="1021" w:type="dxa"/>
            <w:tcBorders>
              <w:bottom w:val="single" w:sz="4" w:space="0" w:color="BFBFBF" w:themeColor="background1" w:themeShade="BF"/>
            </w:tcBorders>
            <w:shd w:val="clear" w:color="auto" w:fill="auto"/>
            <w:hideMark/>
          </w:tcPr>
          <w:p w14:paraId="2D7C2CF2" w14:textId="77777777" w:rsidR="00496244" w:rsidRDefault="00496244" w:rsidP="00317057">
            <w:pPr>
              <w:pStyle w:val="ARtabletextright"/>
            </w:pPr>
            <w:r w:rsidRPr="00C5726C">
              <w:rPr>
                <w:noProof/>
              </w:rPr>
              <w:t>7</w:t>
            </w:r>
            <w:r>
              <w:rPr>
                <w:noProof/>
              </w:rPr>
              <w:t>,</w:t>
            </w:r>
            <w:r w:rsidRPr="00C5726C">
              <w:rPr>
                <w:noProof/>
              </w:rPr>
              <w:t>700</w:t>
            </w:r>
          </w:p>
        </w:tc>
        <w:tc>
          <w:tcPr>
            <w:tcW w:w="1021" w:type="dxa"/>
            <w:tcBorders>
              <w:bottom w:val="single" w:sz="4" w:space="0" w:color="BFBFBF" w:themeColor="background1" w:themeShade="BF"/>
            </w:tcBorders>
            <w:shd w:val="clear" w:color="auto" w:fill="auto"/>
            <w:hideMark/>
          </w:tcPr>
          <w:p w14:paraId="0FD4F86A" w14:textId="77777777" w:rsidR="00496244" w:rsidRDefault="00496244" w:rsidP="00317057">
            <w:pPr>
              <w:pStyle w:val="ARtabletextright"/>
            </w:pPr>
            <w:r w:rsidRPr="00C5726C">
              <w:rPr>
                <w:noProof/>
              </w:rPr>
              <w:t>7</w:t>
            </w:r>
            <w:r>
              <w:rPr>
                <w:noProof/>
              </w:rPr>
              <w:t>,</w:t>
            </w:r>
            <w:r w:rsidRPr="00C5726C">
              <w:rPr>
                <w:noProof/>
              </w:rPr>
              <w:t>500</w:t>
            </w:r>
          </w:p>
        </w:tc>
        <w:tc>
          <w:tcPr>
            <w:tcW w:w="1021" w:type="dxa"/>
            <w:tcBorders>
              <w:bottom w:val="single" w:sz="4" w:space="0" w:color="BFBFBF" w:themeColor="background1" w:themeShade="BF"/>
            </w:tcBorders>
            <w:shd w:val="clear" w:color="auto" w:fill="auto"/>
          </w:tcPr>
          <w:p w14:paraId="784AAC55" w14:textId="26F69A1C" w:rsidR="00496244" w:rsidRDefault="00496244" w:rsidP="00317057">
            <w:pPr>
              <w:pStyle w:val="ARtabletextright"/>
            </w:pPr>
            <w:r>
              <w:rPr>
                <w:noProof/>
              </w:rPr>
              <w:t>−</w:t>
            </w:r>
            <w:r w:rsidRPr="00C5726C">
              <w:rPr>
                <w:noProof/>
              </w:rPr>
              <w:t>2.6</w:t>
            </w:r>
          </w:p>
        </w:tc>
        <w:tc>
          <w:tcPr>
            <w:tcW w:w="794" w:type="dxa"/>
            <w:tcBorders>
              <w:bottom w:val="single" w:sz="4" w:space="0" w:color="BFBFBF" w:themeColor="background1" w:themeShade="BF"/>
            </w:tcBorders>
            <w:shd w:val="clear" w:color="auto" w:fill="auto"/>
            <w:hideMark/>
          </w:tcPr>
          <w:p w14:paraId="63C23110" w14:textId="5D82E44F" w:rsidR="00496244" w:rsidRPr="00F96CDB" w:rsidRDefault="00F96CDB" w:rsidP="00F96CDB">
            <w:pPr>
              <w:pStyle w:val="ARtableperformancesymbol"/>
            </w:pPr>
            <w:r w:rsidRPr="00F96CDB">
              <w:rPr>
                <w:noProof/>
              </w:rPr>
              <w:drawing>
                <wp:inline distT="0" distB="0" distL="0" distR="0" wp14:anchorId="7BA19694" wp14:editId="30F76CFC">
                  <wp:extent cx="76320" cy="76320"/>
                  <wp:effectExtent l="0" t="0" r="0" b="0"/>
                  <wp:docPr id="23" name="Graphic 23" descr="Target not achieved – within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Target not achieved – within five per cent varianc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76320" cy="76320"/>
                          </a:xfrm>
                          <a:prstGeom prst="rect">
                            <a:avLst/>
                          </a:prstGeom>
                        </pic:spPr>
                      </pic:pic>
                    </a:graphicData>
                  </a:graphic>
                </wp:inline>
              </w:drawing>
            </w:r>
            <w:r>
              <w:t xml:space="preserve"> </w:t>
            </w:r>
          </w:p>
        </w:tc>
      </w:tr>
      <w:tr w:rsidR="00496244" w:rsidRPr="00D02A2E" w14:paraId="46742DA2" w14:textId="77777777" w:rsidTr="000F1C6B">
        <w:trPr>
          <w:cantSplit/>
        </w:trPr>
        <w:tc>
          <w:tcPr>
            <w:tcW w:w="4761" w:type="dxa"/>
            <w:shd w:val="clear" w:color="auto" w:fill="auto"/>
            <w:hideMark/>
          </w:tcPr>
          <w:p w14:paraId="75B49D0F" w14:textId="77777777" w:rsidR="00496244" w:rsidRPr="00D02A2E" w:rsidRDefault="00496244" w:rsidP="00317057">
            <w:pPr>
              <w:pStyle w:val="ARtabletext"/>
            </w:pPr>
            <w:r w:rsidRPr="00C5726C">
              <w:rPr>
                <w:noProof/>
              </w:rPr>
              <w:t>Sub-acute care separations</w:t>
            </w:r>
          </w:p>
        </w:tc>
        <w:tc>
          <w:tcPr>
            <w:tcW w:w="1021" w:type="dxa"/>
            <w:shd w:val="clear" w:color="auto" w:fill="auto"/>
            <w:hideMark/>
          </w:tcPr>
          <w:p w14:paraId="2CFA3B51" w14:textId="77777777" w:rsidR="00496244" w:rsidRPr="00D02A2E" w:rsidRDefault="00496244" w:rsidP="00317057">
            <w:pPr>
              <w:pStyle w:val="ARtabletextcentre"/>
            </w:pPr>
            <w:r w:rsidRPr="00C5726C">
              <w:rPr>
                <w:noProof/>
              </w:rPr>
              <w:t>number</w:t>
            </w:r>
          </w:p>
        </w:tc>
        <w:tc>
          <w:tcPr>
            <w:tcW w:w="1021" w:type="dxa"/>
            <w:shd w:val="clear" w:color="auto" w:fill="auto"/>
            <w:hideMark/>
          </w:tcPr>
          <w:p w14:paraId="16C25770" w14:textId="77777777" w:rsidR="00496244" w:rsidRDefault="00496244" w:rsidP="00317057">
            <w:pPr>
              <w:pStyle w:val="ARtabletextright"/>
            </w:pPr>
            <w:r w:rsidRPr="00C5726C">
              <w:rPr>
                <w:noProof/>
              </w:rPr>
              <w:t>39</w:t>
            </w:r>
            <w:r>
              <w:rPr>
                <w:noProof/>
              </w:rPr>
              <w:t>,</w:t>
            </w:r>
            <w:r w:rsidRPr="00C5726C">
              <w:rPr>
                <w:noProof/>
              </w:rPr>
              <w:t>600</w:t>
            </w:r>
          </w:p>
        </w:tc>
        <w:tc>
          <w:tcPr>
            <w:tcW w:w="1021" w:type="dxa"/>
            <w:shd w:val="clear" w:color="auto" w:fill="auto"/>
            <w:hideMark/>
          </w:tcPr>
          <w:p w14:paraId="38A12254" w14:textId="77777777" w:rsidR="00496244" w:rsidRDefault="00496244" w:rsidP="00317057">
            <w:pPr>
              <w:pStyle w:val="ARtabletextright"/>
            </w:pPr>
            <w:r w:rsidRPr="00C5726C">
              <w:rPr>
                <w:noProof/>
              </w:rPr>
              <w:t>31</w:t>
            </w:r>
            <w:r>
              <w:rPr>
                <w:noProof/>
              </w:rPr>
              <w:t>,</w:t>
            </w:r>
            <w:r w:rsidRPr="00C5726C">
              <w:rPr>
                <w:noProof/>
              </w:rPr>
              <w:t>180</w:t>
            </w:r>
          </w:p>
        </w:tc>
        <w:tc>
          <w:tcPr>
            <w:tcW w:w="1021" w:type="dxa"/>
            <w:shd w:val="clear" w:color="auto" w:fill="auto"/>
          </w:tcPr>
          <w:p w14:paraId="18AEC4AA" w14:textId="77777777" w:rsidR="00496244" w:rsidRDefault="00496244" w:rsidP="00317057">
            <w:pPr>
              <w:pStyle w:val="ARtabletextright"/>
            </w:pPr>
            <w:r>
              <w:rPr>
                <w:noProof/>
              </w:rPr>
              <w:t>−</w:t>
            </w:r>
            <w:r w:rsidRPr="00C5726C">
              <w:rPr>
                <w:noProof/>
              </w:rPr>
              <w:t>21.3</w:t>
            </w:r>
          </w:p>
        </w:tc>
        <w:tc>
          <w:tcPr>
            <w:tcW w:w="794" w:type="dxa"/>
            <w:shd w:val="clear" w:color="auto" w:fill="auto"/>
            <w:hideMark/>
          </w:tcPr>
          <w:p w14:paraId="03BB6090" w14:textId="4C38490C" w:rsidR="00496244" w:rsidRPr="00D02A2E" w:rsidRDefault="00F96CDB" w:rsidP="00F96CDB">
            <w:pPr>
              <w:pStyle w:val="ARtableperformancesymbol"/>
            </w:pPr>
            <w:r>
              <w:rPr>
                <w:noProof/>
              </w:rPr>
              <w:drawing>
                <wp:inline distT="0" distB="0" distL="0" distR="0" wp14:anchorId="49490D43" wp14:editId="27952683">
                  <wp:extent cx="76320" cy="76320"/>
                  <wp:effectExtent l="0" t="0" r="0" b="0"/>
                  <wp:docPr id="22" name="Graphic 22"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496244" w:rsidRPr="00D02A2E" w14:paraId="23922FF3" w14:textId="77777777" w:rsidTr="000F1C6B">
        <w:trPr>
          <w:cantSplit/>
        </w:trPr>
        <w:tc>
          <w:tcPr>
            <w:tcW w:w="9639" w:type="dxa"/>
            <w:gridSpan w:val="6"/>
            <w:tcBorders>
              <w:bottom w:val="single" w:sz="4" w:space="0" w:color="BFBFBF"/>
            </w:tcBorders>
            <w:shd w:val="clear" w:color="auto" w:fill="auto"/>
            <w:noWrap/>
            <w:hideMark/>
          </w:tcPr>
          <w:p w14:paraId="720777F7" w14:textId="77777777" w:rsidR="00496244" w:rsidRPr="00D02A2E" w:rsidRDefault="00496244" w:rsidP="00317057">
            <w:pPr>
              <w:pStyle w:val="ARtablenoteindent"/>
            </w:pPr>
            <w:r w:rsidRPr="00C5726C">
              <w:rPr>
                <w:noProof/>
              </w:rPr>
              <w:t xml:space="preserve">The result is lower than target primarily due to the impact of the </w:t>
            </w:r>
            <w:r>
              <w:rPr>
                <w:noProof/>
              </w:rPr>
              <w:t>COVID-19</w:t>
            </w:r>
            <w:r w:rsidRPr="00C5726C">
              <w:rPr>
                <w:noProof/>
              </w:rPr>
              <w:t xml:space="preserve"> pandemic on activities.</w:t>
            </w:r>
          </w:p>
        </w:tc>
      </w:tr>
      <w:tr w:rsidR="00B0569D" w:rsidRPr="00D02A2E" w14:paraId="7BB0BF8B" w14:textId="77777777" w:rsidTr="000F1C6B">
        <w:trPr>
          <w:cantSplit/>
        </w:trPr>
        <w:tc>
          <w:tcPr>
            <w:tcW w:w="4761" w:type="dxa"/>
            <w:shd w:val="clear" w:color="auto" w:fill="auto"/>
            <w:hideMark/>
          </w:tcPr>
          <w:p w14:paraId="3A464270" w14:textId="77777777" w:rsidR="00B0569D" w:rsidRPr="00D02A2E" w:rsidRDefault="00B0569D" w:rsidP="00B0569D">
            <w:pPr>
              <w:pStyle w:val="ARtabletext"/>
            </w:pPr>
            <w:r w:rsidRPr="00C5726C">
              <w:rPr>
                <w:noProof/>
              </w:rPr>
              <w:t>Total separations – all hospitals</w:t>
            </w:r>
          </w:p>
        </w:tc>
        <w:tc>
          <w:tcPr>
            <w:tcW w:w="1021" w:type="dxa"/>
            <w:shd w:val="clear" w:color="auto" w:fill="auto"/>
            <w:hideMark/>
          </w:tcPr>
          <w:p w14:paraId="346F8F44" w14:textId="77777777" w:rsidR="00B0569D" w:rsidRPr="00D02A2E" w:rsidRDefault="00B0569D" w:rsidP="00B0569D">
            <w:pPr>
              <w:pStyle w:val="ARtabletextcentre"/>
            </w:pPr>
            <w:r w:rsidRPr="00C5726C">
              <w:rPr>
                <w:noProof/>
              </w:rPr>
              <w:t>number (thousand)</w:t>
            </w:r>
          </w:p>
        </w:tc>
        <w:tc>
          <w:tcPr>
            <w:tcW w:w="1021" w:type="dxa"/>
            <w:shd w:val="clear" w:color="auto" w:fill="auto"/>
            <w:hideMark/>
          </w:tcPr>
          <w:p w14:paraId="36D7EF9B" w14:textId="77777777" w:rsidR="00B0569D" w:rsidRDefault="00B0569D" w:rsidP="00B0569D">
            <w:pPr>
              <w:pStyle w:val="ARtabletextright"/>
            </w:pPr>
            <w:r w:rsidRPr="00C5726C">
              <w:rPr>
                <w:noProof/>
              </w:rPr>
              <w:t>2</w:t>
            </w:r>
            <w:r>
              <w:rPr>
                <w:noProof/>
              </w:rPr>
              <w:t>,</w:t>
            </w:r>
            <w:r w:rsidRPr="00C5726C">
              <w:rPr>
                <w:noProof/>
              </w:rPr>
              <w:t>034</w:t>
            </w:r>
          </w:p>
        </w:tc>
        <w:tc>
          <w:tcPr>
            <w:tcW w:w="1021" w:type="dxa"/>
            <w:shd w:val="clear" w:color="auto" w:fill="auto"/>
            <w:hideMark/>
          </w:tcPr>
          <w:p w14:paraId="150FE73A" w14:textId="77777777" w:rsidR="00B0569D" w:rsidRDefault="00B0569D" w:rsidP="00B0569D">
            <w:pPr>
              <w:pStyle w:val="ARtabletextright"/>
            </w:pPr>
            <w:r w:rsidRPr="00C5726C">
              <w:rPr>
                <w:noProof/>
              </w:rPr>
              <w:t>1</w:t>
            </w:r>
            <w:r>
              <w:rPr>
                <w:noProof/>
              </w:rPr>
              <w:t>,</w:t>
            </w:r>
            <w:r w:rsidRPr="00C5726C">
              <w:rPr>
                <w:noProof/>
              </w:rPr>
              <w:t>868</w:t>
            </w:r>
          </w:p>
        </w:tc>
        <w:tc>
          <w:tcPr>
            <w:tcW w:w="1021" w:type="dxa"/>
            <w:shd w:val="clear" w:color="auto" w:fill="auto"/>
          </w:tcPr>
          <w:p w14:paraId="1E264E59" w14:textId="77777777" w:rsidR="00B0569D" w:rsidRDefault="00B0569D" w:rsidP="00B0569D">
            <w:pPr>
              <w:pStyle w:val="ARtabletextright"/>
            </w:pPr>
            <w:r>
              <w:rPr>
                <w:noProof/>
              </w:rPr>
              <w:t>−</w:t>
            </w:r>
            <w:r w:rsidRPr="00C5726C">
              <w:rPr>
                <w:noProof/>
              </w:rPr>
              <w:t>8.</w:t>
            </w:r>
            <w:r>
              <w:rPr>
                <w:noProof/>
              </w:rPr>
              <w:t>2</w:t>
            </w:r>
          </w:p>
        </w:tc>
        <w:tc>
          <w:tcPr>
            <w:tcW w:w="794" w:type="dxa"/>
            <w:shd w:val="clear" w:color="auto" w:fill="auto"/>
            <w:hideMark/>
          </w:tcPr>
          <w:p w14:paraId="3E98819A" w14:textId="6BC0840B" w:rsidR="00B0569D" w:rsidRPr="00D02A2E" w:rsidRDefault="00B0569D" w:rsidP="007C3DA7">
            <w:pPr>
              <w:pStyle w:val="ARtableperformancesymbol"/>
            </w:pPr>
            <w:r>
              <w:rPr>
                <w:noProof/>
              </w:rPr>
              <w:drawing>
                <wp:inline distT="0" distB="0" distL="0" distR="0" wp14:anchorId="539682BF" wp14:editId="5022B0D4">
                  <wp:extent cx="76320" cy="76320"/>
                  <wp:effectExtent l="0" t="0" r="0" b="0"/>
                  <wp:docPr id="17" name="Graphic 17"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496244" w:rsidRPr="00D02A2E" w14:paraId="150F1E18" w14:textId="77777777" w:rsidTr="000F1C6B">
        <w:trPr>
          <w:cantSplit/>
        </w:trPr>
        <w:tc>
          <w:tcPr>
            <w:tcW w:w="9639" w:type="dxa"/>
            <w:gridSpan w:val="6"/>
            <w:tcBorders>
              <w:bottom w:val="single" w:sz="4" w:space="0" w:color="BFBFBF"/>
            </w:tcBorders>
            <w:shd w:val="clear" w:color="auto" w:fill="auto"/>
            <w:noWrap/>
            <w:hideMark/>
          </w:tcPr>
          <w:p w14:paraId="46B12617" w14:textId="77777777" w:rsidR="00496244" w:rsidRPr="00D02A2E" w:rsidRDefault="00496244" w:rsidP="00317057">
            <w:pPr>
              <w:pStyle w:val="ARtablenoteindent"/>
            </w:pPr>
            <w:r w:rsidRPr="00C5726C">
              <w:rPr>
                <w:noProof/>
              </w:rPr>
              <w:t xml:space="preserve">The result is lower than target primarily due to the impact of the </w:t>
            </w:r>
            <w:r>
              <w:rPr>
                <w:noProof/>
              </w:rPr>
              <w:t>COVID-19</w:t>
            </w:r>
            <w:r w:rsidRPr="00C5726C">
              <w:rPr>
                <w:noProof/>
              </w:rPr>
              <w:t xml:space="preserve"> pandemic on activities.</w:t>
            </w:r>
          </w:p>
        </w:tc>
      </w:tr>
      <w:tr w:rsidR="00B0569D" w:rsidRPr="00D02A2E" w14:paraId="7CE42738" w14:textId="77777777" w:rsidTr="000F1C6B">
        <w:trPr>
          <w:cantSplit/>
        </w:trPr>
        <w:tc>
          <w:tcPr>
            <w:tcW w:w="4761" w:type="dxa"/>
            <w:shd w:val="clear" w:color="auto" w:fill="auto"/>
            <w:hideMark/>
          </w:tcPr>
          <w:p w14:paraId="00023B1D" w14:textId="77777777" w:rsidR="00B0569D" w:rsidRPr="00D02A2E" w:rsidRDefault="00B0569D" w:rsidP="00B0569D">
            <w:pPr>
              <w:pStyle w:val="ARtabletext"/>
            </w:pPr>
            <w:r w:rsidRPr="00C5726C">
              <w:rPr>
                <w:noProof/>
              </w:rPr>
              <w:t>Weighted Inlier Equivalent Separations (WIES) – all hospitals except small rural health services</w:t>
            </w:r>
          </w:p>
        </w:tc>
        <w:tc>
          <w:tcPr>
            <w:tcW w:w="1021" w:type="dxa"/>
            <w:shd w:val="clear" w:color="auto" w:fill="auto"/>
            <w:hideMark/>
          </w:tcPr>
          <w:p w14:paraId="70A28A72" w14:textId="77777777" w:rsidR="00B0569D" w:rsidRPr="00D02A2E" w:rsidRDefault="00B0569D" w:rsidP="00B0569D">
            <w:pPr>
              <w:pStyle w:val="ARtabletextcentre"/>
            </w:pPr>
            <w:r w:rsidRPr="00C5726C">
              <w:rPr>
                <w:noProof/>
              </w:rPr>
              <w:t>number (thousand)</w:t>
            </w:r>
          </w:p>
        </w:tc>
        <w:tc>
          <w:tcPr>
            <w:tcW w:w="1021" w:type="dxa"/>
            <w:shd w:val="clear" w:color="auto" w:fill="auto"/>
            <w:hideMark/>
          </w:tcPr>
          <w:p w14:paraId="26A61920" w14:textId="77777777" w:rsidR="00B0569D" w:rsidRDefault="00B0569D" w:rsidP="00B0569D">
            <w:pPr>
              <w:pStyle w:val="ARtabletextright"/>
            </w:pPr>
            <w:r w:rsidRPr="00C5726C">
              <w:rPr>
                <w:noProof/>
              </w:rPr>
              <w:t>1</w:t>
            </w:r>
            <w:r>
              <w:rPr>
                <w:noProof/>
              </w:rPr>
              <w:t>,</w:t>
            </w:r>
            <w:r w:rsidRPr="00C5726C">
              <w:rPr>
                <w:noProof/>
              </w:rPr>
              <w:t>461</w:t>
            </w:r>
          </w:p>
        </w:tc>
        <w:tc>
          <w:tcPr>
            <w:tcW w:w="1021" w:type="dxa"/>
            <w:shd w:val="clear" w:color="auto" w:fill="auto"/>
            <w:hideMark/>
          </w:tcPr>
          <w:p w14:paraId="4D1E9CA4" w14:textId="77777777" w:rsidR="00B0569D" w:rsidRDefault="00B0569D" w:rsidP="00B0569D">
            <w:pPr>
              <w:pStyle w:val="ARtabletextright"/>
            </w:pPr>
            <w:r w:rsidRPr="00C5726C">
              <w:rPr>
                <w:noProof/>
              </w:rPr>
              <w:t>1</w:t>
            </w:r>
            <w:r>
              <w:rPr>
                <w:noProof/>
              </w:rPr>
              <w:t>,</w:t>
            </w:r>
            <w:r w:rsidRPr="00C5726C">
              <w:rPr>
                <w:noProof/>
              </w:rPr>
              <w:t>357</w:t>
            </w:r>
          </w:p>
        </w:tc>
        <w:tc>
          <w:tcPr>
            <w:tcW w:w="1021" w:type="dxa"/>
            <w:shd w:val="clear" w:color="auto" w:fill="auto"/>
          </w:tcPr>
          <w:p w14:paraId="2A6C2C60" w14:textId="77777777" w:rsidR="00B0569D" w:rsidRDefault="00B0569D" w:rsidP="00B0569D">
            <w:pPr>
              <w:pStyle w:val="ARtabletextright"/>
            </w:pPr>
            <w:r>
              <w:rPr>
                <w:noProof/>
              </w:rPr>
              <w:t>−</w:t>
            </w:r>
            <w:r w:rsidRPr="00C5726C">
              <w:rPr>
                <w:noProof/>
              </w:rPr>
              <w:t>7.</w:t>
            </w:r>
            <w:r>
              <w:rPr>
                <w:noProof/>
              </w:rPr>
              <w:t>1</w:t>
            </w:r>
          </w:p>
        </w:tc>
        <w:tc>
          <w:tcPr>
            <w:tcW w:w="794" w:type="dxa"/>
            <w:shd w:val="clear" w:color="auto" w:fill="auto"/>
            <w:hideMark/>
          </w:tcPr>
          <w:p w14:paraId="12EF2ED4" w14:textId="235FA3F8" w:rsidR="00B0569D" w:rsidRPr="00D02A2E" w:rsidRDefault="00B0569D" w:rsidP="007C3DA7">
            <w:pPr>
              <w:pStyle w:val="ARtableperformancesymbol"/>
            </w:pPr>
            <w:r>
              <w:rPr>
                <w:noProof/>
              </w:rPr>
              <w:drawing>
                <wp:inline distT="0" distB="0" distL="0" distR="0" wp14:anchorId="272229A0" wp14:editId="64A3B25E">
                  <wp:extent cx="76320" cy="76320"/>
                  <wp:effectExtent l="0" t="0" r="0" b="0"/>
                  <wp:docPr id="18" name="Graphic 18"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B0569D" w:rsidRPr="00D02A2E" w14:paraId="38A3F47C" w14:textId="77777777" w:rsidTr="000F1C6B">
        <w:trPr>
          <w:cantSplit/>
        </w:trPr>
        <w:tc>
          <w:tcPr>
            <w:tcW w:w="9639" w:type="dxa"/>
            <w:gridSpan w:val="6"/>
            <w:tcBorders>
              <w:bottom w:val="single" w:sz="4" w:space="0" w:color="BFBFBF"/>
            </w:tcBorders>
            <w:shd w:val="clear" w:color="auto" w:fill="auto"/>
            <w:noWrap/>
            <w:hideMark/>
          </w:tcPr>
          <w:p w14:paraId="57C195FD" w14:textId="77777777" w:rsidR="00B0569D" w:rsidRPr="00D02A2E" w:rsidRDefault="00B0569D" w:rsidP="00B0569D">
            <w:pPr>
              <w:pStyle w:val="ARtablenoteindent"/>
            </w:pPr>
            <w:r w:rsidRPr="00C5726C">
              <w:rPr>
                <w:noProof/>
              </w:rPr>
              <w:t xml:space="preserve">The result is lower than target primarily due to the impact of the </w:t>
            </w:r>
            <w:r>
              <w:rPr>
                <w:noProof/>
              </w:rPr>
              <w:t>COVID-19</w:t>
            </w:r>
            <w:r w:rsidRPr="00C5726C">
              <w:rPr>
                <w:noProof/>
              </w:rPr>
              <w:t xml:space="preserve"> pandemic on activities.</w:t>
            </w:r>
          </w:p>
        </w:tc>
      </w:tr>
      <w:tr w:rsidR="00B0569D" w:rsidRPr="00D02A2E" w14:paraId="45D50B02" w14:textId="77777777" w:rsidTr="000F1C6B">
        <w:trPr>
          <w:cantSplit/>
        </w:trPr>
        <w:tc>
          <w:tcPr>
            <w:tcW w:w="4761" w:type="dxa"/>
            <w:shd w:val="clear" w:color="auto" w:fill="auto"/>
            <w:hideMark/>
          </w:tcPr>
          <w:p w14:paraId="04E71044" w14:textId="77777777" w:rsidR="00B0569D" w:rsidRPr="00D02A2E" w:rsidRDefault="00B0569D" w:rsidP="00B0569D">
            <w:pPr>
              <w:pStyle w:val="ARtabletext"/>
            </w:pPr>
            <w:r w:rsidRPr="00C5726C">
              <w:rPr>
                <w:noProof/>
              </w:rPr>
              <w:t>WIES funded separations – all hospitals except small rural health services</w:t>
            </w:r>
          </w:p>
        </w:tc>
        <w:tc>
          <w:tcPr>
            <w:tcW w:w="1021" w:type="dxa"/>
            <w:shd w:val="clear" w:color="auto" w:fill="auto"/>
            <w:hideMark/>
          </w:tcPr>
          <w:p w14:paraId="2F67C4AA" w14:textId="77777777" w:rsidR="00B0569D" w:rsidRPr="00D02A2E" w:rsidRDefault="00B0569D" w:rsidP="00B0569D">
            <w:pPr>
              <w:pStyle w:val="ARtabletextcentre"/>
            </w:pPr>
            <w:r w:rsidRPr="00C5726C">
              <w:rPr>
                <w:noProof/>
              </w:rPr>
              <w:t>number (thousand)</w:t>
            </w:r>
          </w:p>
        </w:tc>
        <w:tc>
          <w:tcPr>
            <w:tcW w:w="1021" w:type="dxa"/>
            <w:shd w:val="clear" w:color="auto" w:fill="auto"/>
            <w:hideMark/>
          </w:tcPr>
          <w:p w14:paraId="3AF07DEF" w14:textId="77777777" w:rsidR="00B0569D" w:rsidRDefault="00B0569D" w:rsidP="00B0569D">
            <w:pPr>
              <w:pStyle w:val="ARtabletextright"/>
            </w:pPr>
            <w:r w:rsidRPr="00C5726C">
              <w:rPr>
                <w:noProof/>
              </w:rPr>
              <w:t>1</w:t>
            </w:r>
            <w:r>
              <w:rPr>
                <w:noProof/>
              </w:rPr>
              <w:t>,</w:t>
            </w:r>
            <w:r w:rsidRPr="00C5726C">
              <w:rPr>
                <w:noProof/>
              </w:rPr>
              <w:t>840</w:t>
            </w:r>
          </w:p>
        </w:tc>
        <w:tc>
          <w:tcPr>
            <w:tcW w:w="1021" w:type="dxa"/>
            <w:shd w:val="clear" w:color="auto" w:fill="auto"/>
            <w:hideMark/>
          </w:tcPr>
          <w:p w14:paraId="371BFAF0" w14:textId="77777777" w:rsidR="00B0569D" w:rsidRDefault="00B0569D" w:rsidP="00B0569D">
            <w:pPr>
              <w:pStyle w:val="ARtabletextright"/>
            </w:pPr>
            <w:r w:rsidRPr="00C5726C">
              <w:rPr>
                <w:noProof/>
              </w:rPr>
              <w:t>1</w:t>
            </w:r>
            <w:r>
              <w:rPr>
                <w:noProof/>
              </w:rPr>
              <w:t>,</w:t>
            </w:r>
            <w:r w:rsidRPr="00C5726C">
              <w:rPr>
                <w:noProof/>
              </w:rPr>
              <w:t>693</w:t>
            </w:r>
          </w:p>
        </w:tc>
        <w:tc>
          <w:tcPr>
            <w:tcW w:w="1021" w:type="dxa"/>
            <w:shd w:val="clear" w:color="auto" w:fill="auto"/>
          </w:tcPr>
          <w:p w14:paraId="47769D1B" w14:textId="77777777" w:rsidR="00B0569D" w:rsidRDefault="00B0569D" w:rsidP="00B0569D">
            <w:pPr>
              <w:pStyle w:val="ARtabletextright"/>
            </w:pPr>
            <w:r>
              <w:rPr>
                <w:noProof/>
              </w:rPr>
              <w:t>−</w:t>
            </w:r>
            <w:r w:rsidRPr="00C5726C">
              <w:rPr>
                <w:noProof/>
              </w:rPr>
              <w:t>8</w:t>
            </w:r>
          </w:p>
        </w:tc>
        <w:tc>
          <w:tcPr>
            <w:tcW w:w="794" w:type="dxa"/>
            <w:shd w:val="clear" w:color="auto" w:fill="auto"/>
            <w:hideMark/>
          </w:tcPr>
          <w:p w14:paraId="2C75FF6F" w14:textId="26960AFB" w:rsidR="00B0569D" w:rsidRPr="00D02A2E" w:rsidRDefault="00B0569D" w:rsidP="00A52A4C">
            <w:pPr>
              <w:pStyle w:val="ARtableperformancesymbol"/>
            </w:pPr>
            <w:r>
              <w:rPr>
                <w:noProof/>
              </w:rPr>
              <w:drawing>
                <wp:inline distT="0" distB="0" distL="0" distR="0" wp14:anchorId="652FF8CD" wp14:editId="7C68C475">
                  <wp:extent cx="76320" cy="76320"/>
                  <wp:effectExtent l="0" t="0" r="0" b="0"/>
                  <wp:docPr id="25" name="Graphic 25"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B0569D" w:rsidRPr="00D02A2E" w14:paraId="3484C243" w14:textId="77777777" w:rsidTr="000F1C6B">
        <w:trPr>
          <w:cantSplit/>
        </w:trPr>
        <w:tc>
          <w:tcPr>
            <w:tcW w:w="9639" w:type="dxa"/>
            <w:gridSpan w:val="6"/>
            <w:tcBorders>
              <w:bottom w:val="single" w:sz="4" w:space="0" w:color="BFBFBF"/>
            </w:tcBorders>
            <w:shd w:val="clear" w:color="auto" w:fill="auto"/>
            <w:noWrap/>
            <w:hideMark/>
          </w:tcPr>
          <w:p w14:paraId="191422B9" w14:textId="77777777" w:rsidR="00B0569D" w:rsidRPr="00D02A2E" w:rsidRDefault="00B0569D" w:rsidP="00B0569D">
            <w:pPr>
              <w:pStyle w:val="ARtablenoteindent"/>
            </w:pPr>
            <w:r w:rsidRPr="00C5726C">
              <w:rPr>
                <w:noProof/>
              </w:rPr>
              <w:t xml:space="preserve">The result is lower than target primarily due to the impact of the </w:t>
            </w:r>
            <w:r>
              <w:rPr>
                <w:noProof/>
              </w:rPr>
              <w:t>COVID-19</w:t>
            </w:r>
            <w:r w:rsidRPr="00C5726C">
              <w:rPr>
                <w:noProof/>
              </w:rPr>
              <w:t xml:space="preserve"> pandemic on activities.</w:t>
            </w:r>
          </w:p>
        </w:tc>
      </w:tr>
      <w:tr w:rsidR="00B0569D" w:rsidRPr="00D02A2E" w14:paraId="340A802C" w14:textId="77777777" w:rsidTr="000F1C6B">
        <w:trPr>
          <w:cantSplit/>
        </w:trPr>
        <w:tc>
          <w:tcPr>
            <w:tcW w:w="4761" w:type="dxa"/>
            <w:shd w:val="clear" w:color="auto" w:fill="auto"/>
            <w:hideMark/>
          </w:tcPr>
          <w:p w14:paraId="641D60E0" w14:textId="77777777" w:rsidR="00B0569D" w:rsidRPr="00D02A2E" w:rsidRDefault="00B0569D" w:rsidP="00B0569D">
            <w:pPr>
              <w:pStyle w:val="ARtabletext"/>
            </w:pPr>
            <w:r w:rsidRPr="00C5726C">
              <w:rPr>
                <w:noProof/>
              </w:rPr>
              <w:t>Perinatal mortality rate per 1</w:t>
            </w:r>
            <w:r>
              <w:rPr>
                <w:noProof/>
              </w:rPr>
              <w:t>,</w:t>
            </w:r>
            <w:r w:rsidRPr="00C5726C">
              <w:rPr>
                <w:noProof/>
              </w:rPr>
              <w:t>000 babies of Aboriginal mothers, using rolling 3-year average</w:t>
            </w:r>
          </w:p>
        </w:tc>
        <w:tc>
          <w:tcPr>
            <w:tcW w:w="1021" w:type="dxa"/>
            <w:shd w:val="clear" w:color="auto" w:fill="auto"/>
            <w:hideMark/>
          </w:tcPr>
          <w:p w14:paraId="561A57BA" w14:textId="77777777" w:rsidR="00B0569D" w:rsidRPr="00D02A2E" w:rsidRDefault="00B0569D" w:rsidP="00B0569D">
            <w:pPr>
              <w:pStyle w:val="ARtabletextcentre"/>
            </w:pPr>
            <w:r w:rsidRPr="00C5726C">
              <w:rPr>
                <w:noProof/>
              </w:rPr>
              <w:t>rate per 1</w:t>
            </w:r>
            <w:r>
              <w:rPr>
                <w:noProof/>
              </w:rPr>
              <w:t>,</w:t>
            </w:r>
            <w:r w:rsidRPr="00C5726C">
              <w:rPr>
                <w:noProof/>
              </w:rPr>
              <w:t>000</w:t>
            </w:r>
          </w:p>
        </w:tc>
        <w:tc>
          <w:tcPr>
            <w:tcW w:w="1021" w:type="dxa"/>
            <w:shd w:val="clear" w:color="auto" w:fill="auto"/>
            <w:hideMark/>
          </w:tcPr>
          <w:p w14:paraId="4BA4590E" w14:textId="77777777" w:rsidR="00B0569D" w:rsidRDefault="00B0569D" w:rsidP="00B0569D">
            <w:pPr>
              <w:pStyle w:val="ARtabletextright"/>
            </w:pPr>
            <w:r w:rsidRPr="00C5726C">
              <w:rPr>
                <w:noProof/>
              </w:rPr>
              <w:t>11</w:t>
            </w:r>
          </w:p>
        </w:tc>
        <w:tc>
          <w:tcPr>
            <w:tcW w:w="1021" w:type="dxa"/>
            <w:shd w:val="clear" w:color="auto" w:fill="auto"/>
            <w:hideMark/>
          </w:tcPr>
          <w:p w14:paraId="7AF949CB" w14:textId="77777777" w:rsidR="00B0569D" w:rsidRDefault="00B0569D" w:rsidP="00B0569D">
            <w:pPr>
              <w:pStyle w:val="ARtabletextright"/>
            </w:pPr>
            <w:r w:rsidRPr="00C5726C">
              <w:rPr>
                <w:noProof/>
              </w:rPr>
              <w:t>12.6</w:t>
            </w:r>
          </w:p>
        </w:tc>
        <w:tc>
          <w:tcPr>
            <w:tcW w:w="1021" w:type="dxa"/>
            <w:shd w:val="clear" w:color="auto" w:fill="auto"/>
          </w:tcPr>
          <w:p w14:paraId="4890FD89" w14:textId="77777777" w:rsidR="00B0569D" w:rsidRDefault="00B0569D" w:rsidP="00B0569D">
            <w:pPr>
              <w:pStyle w:val="ARtabletextright"/>
            </w:pPr>
            <w:r w:rsidRPr="00C5726C">
              <w:rPr>
                <w:noProof/>
              </w:rPr>
              <w:t>14.5</w:t>
            </w:r>
          </w:p>
        </w:tc>
        <w:tc>
          <w:tcPr>
            <w:tcW w:w="794" w:type="dxa"/>
            <w:shd w:val="clear" w:color="auto" w:fill="auto"/>
            <w:hideMark/>
          </w:tcPr>
          <w:p w14:paraId="7D5B564B" w14:textId="69E77755" w:rsidR="00B0569D" w:rsidRPr="00D02A2E" w:rsidRDefault="00B0569D" w:rsidP="00A52A4C">
            <w:pPr>
              <w:pStyle w:val="ARtableperformancesymbol"/>
            </w:pPr>
            <w:r>
              <w:rPr>
                <w:noProof/>
              </w:rPr>
              <w:drawing>
                <wp:inline distT="0" distB="0" distL="0" distR="0" wp14:anchorId="6FD9D709" wp14:editId="131B6856">
                  <wp:extent cx="76320" cy="76320"/>
                  <wp:effectExtent l="0" t="0" r="0" b="0"/>
                  <wp:docPr id="26" name="Graphic 26"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B0569D" w:rsidRPr="00D02A2E" w14:paraId="6C5A3004" w14:textId="77777777" w:rsidTr="000F1C6B">
        <w:trPr>
          <w:cantSplit/>
        </w:trPr>
        <w:tc>
          <w:tcPr>
            <w:tcW w:w="9639" w:type="dxa"/>
            <w:gridSpan w:val="6"/>
            <w:tcBorders>
              <w:bottom w:val="single" w:sz="4" w:space="0" w:color="BFBFBF"/>
            </w:tcBorders>
            <w:shd w:val="clear" w:color="auto" w:fill="auto"/>
            <w:noWrap/>
            <w:hideMark/>
          </w:tcPr>
          <w:p w14:paraId="11E3D474" w14:textId="2EF2657E" w:rsidR="00B0569D" w:rsidRPr="00D02A2E" w:rsidRDefault="00B0569D" w:rsidP="00B0569D">
            <w:pPr>
              <w:pStyle w:val="ARtablenoteindent"/>
            </w:pPr>
            <w:r w:rsidRPr="00C5726C">
              <w:rPr>
                <w:noProof/>
              </w:rPr>
              <w:t>The most recent data available is the 3-year rolling average for 201</w:t>
            </w:r>
            <w:r>
              <w:rPr>
                <w:noProof/>
              </w:rPr>
              <w:t>7–</w:t>
            </w:r>
            <w:r w:rsidRPr="00C5726C">
              <w:rPr>
                <w:noProof/>
              </w:rPr>
              <w:t>19. Y</w:t>
            </w:r>
            <w:r>
              <w:rPr>
                <w:noProof/>
              </w:rPr>
              <w:t>ear to date</w:t>
            </w:r>
            <w:r w:rsidRPr="00C5726C">
              <w:rPr>
                <w:noProof/>
              </w:rPr>
              <w:t xml:space="preserve"> data are not available. Rates can vary widely due to small numbers. S</w:t>
            </w:r>
            <w:r>
              <w:rPr>
                <w:noProof/>
              </w:rPr>
              <w:t xml:space="preserve">afer </w:t>
            </w:r>
            <w:r w:rsidRPr="00C5726C">
              <w:rPr>
                <w:noProof/>
              </w:rPr>
              <w:t>C</w:t>
            </w:r>
            <w:r>
              <w:rPr>
                <w:noProof/>
              </w:rPr>
              <w:t xml:space="preserve">are </w:t>
            </w:r>
            <w:r w:rsidRPr="00C5726C">
              <w:rPr>
                <w:noProof/>
              </w:rPr>
              <w:t>V</w:t>
            </w:r>
            <w:r>
              <w:rPr>
                <w:noProof/>
              </w:rPr>
              <w:t>ictoria</w:t>
            </w:r>
            <w:r w:rsidR="007D145B">
              <w:rPr>
                <w:noProof/>
              </w:rPr>
              <w:t>’</w:t>
            </w:r>
            <w:r w:rsidRPr="00C5726C">
              <w:rPr>
                <w:noProof/>
              </w:rPr>
              <w:t xml:space="preserve">s Safer Baby Collaborative is working with </w:t>
            </w:r>
            <w:r>
              <w:rPr>
                <w:noProof/>
              </w:rPr>
              <w:t xml:space="preserve">the Victorian Aboriginal Community Controlled Organisation </w:t>
            </w:r>
            <w:r w:rsidRPr="00C5726C">
              <w:rPr>
                <w:noProof/>
              </w:rPr>
              <w:t>to strengthen links with Koori maternity services and reduce risk factors for stillbirth.</w:t>
            </w:r>
          </w:p>
        </w:tc>
      </w:tr>
      <w:tr w:rsidR="00B0569D" w:rsidRPr="00D02A2E" w14:paraId="1BF1445C" w14:textId="77777777" w:rsidTr="000F1C6B">
        <w:trPr>
          <w:cantSplit/>
        </w:trPr>
        <w:tc>
          <w:tcPr>
            <w:tcW w:w="4761" w:type="dxa"/>
            <w:shd w:val="clear" w:color="auto" w:fill="auto"/>
            <w:hideMark/>
          </w:tcPr>
          <w:p w14:paraId="5AF10D67" w14:textId="77777777" w:rsidR="00B0569D" w:rsidRPr="00D02A2E" w:rsidRDefault="00B0569D" w:rsidP="00B0569D">
            <w:pPr>
              <w:pStyle w:val="ARtabletext"/>
            </w:pPr>
            <w:r w:rsidRPr="00C5726C">
              <w:rPr>
                <w:noProof/>
              </w:rPr>
              <w:t>Number of patients admitted from the elective surgery waiting list</w:t>
            </w:r>
          </w:p>
        </w:tc>
        <w:tc>
          <w:tcPr>
            <w:tcW w:w="1021" w:type="dxa"/>
            <w:shd w:val="clear" w:color="auto" w:fill="auto"/>
            <w:hideMark/>
          </w:tcPr>
          <w:p w14:paraId="6C9BFD4F" w14:textId="77777777" w:rsidR="00B0569D" w:rsidRPr="00D02A2E" w:rsidRDefault="00B0569D" w:rsidP="00B0569D">
            <w:pPr>
              <w:pStyle w:val="ARtabletextcentre"/>
            </w:pPr>
            <w:r w:rsidRPr="00C5726C">
              <w:rPr>
                <w:noProof/>
              </w:rPr>
              <w:t>number</w:t>
            </w:r>
          </w:p>
        </w:tc>
        <w:tc>
          <w:tcPr>
            <w:tcW w:w="1021" w:type="dxa"/>
            <w:shd w:val="clear" w:color="auto" w:fill="auto"/>
            <w:hideMark/>
          </w:tcPr>
          <w:p w14:paraId="3751B82F" w14:textId="77777777" w:rsidR="00B0569D" w:rsidRDefault="00B0569D" w:rsidP="00B0569D">
            <w:pPr>
              <w:pStyle w:val="ARtabletextright"/>
            </w:pPr>
            <w:r w:rsidRPr="00C5726C">
              <w:rPr>
                <w:noProof/>
              </w:rPr>
              <w:t>203</w:t>
            </w:r>
            <w:r>
              <w:rPr>
                <w:noProof/>
              </w:rPr>
              <w:t>,</w:t>
            </w:r>
            <w:r w:rsidRPr="00C5726C">
              <w:rPr>
                <w:noProof/>
              </w:rPr>
              <w:t>020</w:t>
            </w:r>
          </w:p>
        </w:tc>
        <w:tc>
          <w:tcPr>
            <w:tcW w:w="1021" w:type="dxa"/>
            <w:shd w:val="clear" w:color="auto" w:fill="auto"/>
            <w:hideMark/>
          </w:tcPr>
          <w:p w14:paraId="5513BFE9" w14:textId="77777777" w:rsidR="00B0569D" w:rsidRDefault="00B0569D" w:rsidP="00B0569D">
            <w:pPr>
              <w:pStyle w:val="ARtabletextright"/>
            </w:pPr>
            <w:r w:rsidRPr="00C5726C">
              <w:rPr>
                <w:noProof/>
              </w:rPr>
              <w:t>163</w:t>
            </w:r>
            <w:r>
              <w:rPr>
                <w:noProof/>
              </w:rPr>
              <w:t>,</w:t>
            </w:r>
            <w:r w:rsidRPr="00C5726C">
              <w:rPr>
                <w:noProof/>
              </w:rPr>
              <w:t>628</w:t>
            </w:r>
          </w:p>
        </w:tc>
        <w:tc>
          <w:tcPr>
            <w:tcW w:w="1021" w:type="dxa"/>
            <w:shd w:val="clear" w:color="auto" w:fill="auto"/>
          </w:tcPr>
          <w:p w14:paraId="71B62981" w14:textId="77777777" w:rsidR="00B0569D" w:rsidRDefault="00B0569D" w:rsidP="00B0569D">
            <w:pPr>
              <w:pStyle w:val="ARtabletextright"/>
            </w:pPr>
            <w:r>
              <w:rPr>
                <w:noProof/>
              </w:rPr>
              <w:t>−</w:t>
            </w:r>
            <w:r w:rsidRPr="00C5726C">
              <w:rPr>
                <w:noProof/>
              </w:rPr>
              <w:t>19.</w:t>
            </w:r>
            <w:r>
              <w:rPr>
                <w:noProof/>
              </w:rPr>
              <w:t>4</w:t>
            </w:r>
          </w:p>
        </w:tc>
        <w:tc>
          <w:tcPr>
            <w:tcW w:w="794" w:type="dxa"/>
            <w:shd w:val="clear" w:color="auto" w:fill="auto"/>
            <w:hideMark/>
          </w:tcPr>
          <w:p w14:paraId="74632E39" w14:textId="2C4561F3" w:rsidR="00B0569D" w:rsidRPr="00D02A2E" w:rsidRDefault="00B0569D" w:rsidP="00A52A4C">
            <w:pPr>
              <w:pStyle w:val="ARtableperformancesymbol"/>
            </w:pPr>
            <w:r>
              <w:rPr>
                <w:noProof/>
              </w:rPr>
              <w:drawing>
                <wp:inline distT="0" distB="0" distL="0" distR="0" wp14:anchorId="7CCB64F1" wp14:editId="21EC5E33">
                  <wp:extent cx="76320" cy="76320"/>
                  <wp:effectExtent l="0" t="0" r="0" b="0"/>
                  <wp:docPr id="27" name="Graphic 27"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B0569D" w:rsidRPr="00D02A2E" w14:paraId="2EAD6FA8" w14:textId="77777777" w:rsidTr="000F1C6B">
        <w:trPr>
          <w:cantSplit/>
        </w:trPr>
        <w:tc>
          <w:tcPr>
            <w:tcW w:w="9639" w:type="dxa"/>
            <w:gridSpan w:val="6"/>
            <w:tcBorders>
              <w:bottom w:val="single" w:sz="4" w:space="0" w:color="BFBFBF"/>
            </w:tcBorders>
            <w:shd w:val="clear" w:color="auto" w:fill="auto"/>
            <w:noWrap/>
            <w:hideMark/>
          </w:tcPr>
          <w:p w14:paraId="11D83672" w14:textId="77777777" w:rsidR="00B0569D" w:rsidRPr="00D02A2E" w:rsidRDefault="00B0569D" w:rsidP="00B0569D">
            <w:pPr>
              <w:pStyle w:val="ARtablenoteindent"/>
            </w:pPr>
            <w:r w:rsidRPr="00C5726C">
              <w:rPr>
                <w:noProof/>
              </w:rPr>
              <w:t xml:space="preserve">The result is lower than target primarily due to the impact of the </w:t>
            </w:r>
            <w:r>
              <w:rPr>
                <w:noProof/>
              </w:rPr>
              <w:t>COVID-19</w:t>
            </w:r>
            <w:r w:rsidRPr="00C5726C">
              <w:rPr>
                <w:noProof/>
              </w:rPr>
              <w:t xml:space="preserve"> pandemic, including restrictions that limited elective surgery in 2020 and 2021.</w:t>
            </w:r>
          </w:p>
        </w:tc>
      </w:tr>
      <w:tr w:rsidR="00B0569D" w:rsidRPr="00D02A2E" w14:paraId="7514021C" w14:textId="77777777" w:rsidTr="000F1C6B">
        <w:trPr>
          <w:cantSplit/>
        </w:trPr>
        <w:tc>
          <w:tcPr>
            <w:tcW w:w="4761" w:type="dxa"/>
            <w:shd w:val="clear" w:color="auto" w:fill="auto"/>
            <w:hideMark/>
          </w:tcPr>
          <w:p w14:paraId="4EA15B5E" w14:textId="77777777" w:rsidR="00B0569D" w:rsidRPr="00D02A2E" w:rsidRDefault="00B0569D" w:rsidP="00B0569D">
            <w:pPr>
              <w:pStyle w:val="ARtabletext"/>
            </w:pPr>
            <w:r w:rsidRPr="00C5726C">
              <w:rPr>
                <w:noProof/>
              </w:rPr>
              <w:t>WIES funded emergency separations – all hospitals</w:t>
            </w:r>
          </w:p>
        </w:tc>
        <w:tc>
          <w:tcPr>
            <w:tcW w:w="1021" w:type="dxa"/>
            <w:shd w:val="clear" w:color="auto" w:fill="auto"/>
            <w:hideMark/>
          </w:tcPr>
          <w:p w14:paraId="1F3B0F19" w14:textId="77777777" w:rsidR="00B0569D" w:rsidRPr="00D02A2E" w:rsidRDefault="00B0569D" w:rsidP="00B0569D">
            <w:pPr>
              <w:pStyle w:val="ARtabletextcentre"/>
            </w:pPr>
            <w:r w:rsidRPr="00C5726C">
              <w:rPr>
                <w:noProof/>
              </w:rPr>
              <w:t>number (thousand)</w:t>
            </w:r>
          </w:p>
        </w:tc>
        <w:tc>
          <w:tcPr>
            <w:tcW w:w="1021" w:type="dxa"/>
            <w:shd w:val="clear" w:color="auto" w:fill="auto"/>
            <w:hideMark/>
          </w:tcPr>
          <w:p w14:paraId="37BF05C7" w14:textId="77777777" w:rsidR="00B0569D" w:rsidRDefault="00B0569D" w:rsidP="00B0569D">
            <w:pPr>
              <w:pStyle w:val="ARtabletextright"/>
            </w:pPr>
            <w:r w:rsidRPr="00C5726C">
              <w:rPr>
                <w:noProof/>
              </w:rPr>
              <w:t>759</w:t>
            </w:r>
          </w:p>
        </w:tc>
        <w:tc>
          <w:tcPr>
            <w:tcW w:w="1021" w:type="dxa"/>
            <w:shd w:val="clear" w:color="auto" w:fill="auto"/>
            <w:hideMark/>
          </w:tcPr>
          <w:p w14:paraId="364D7903" w14:textId="77777777" w:rsidR="00B0569D" w:rsidRDefault="00B0569D" w:rsidP="00B0569D">
            <w:pPr>
              <w:pStyle w:val="ARtabletextright"/>
            </w:pPr>
            <w:r w:rsidRPr="00C5726C">
              <w:rPr>
                <w:noProof/>
              </w:rPr>
              <w:t>643</w:t>
            </w:r>
          </w:p>
        </w:tc>
        <w:tc>
          <w:tcPr>
            <w:tcW w:w="1021" w:type="dxa"/>
            <w:shd w:val="clear" w:color="auto" w:fill="auto"/>
          </w:tcPr>
          <w:p w14:paraId="55283A23" w14:textId="77777777" w:rsidR="00B0569D" w:rsidRDefault="00B0569D" w:rsidP="00B0569D">
            <w:pPr>
              <w:pStyle w:val="ARtabletextright"/>
            </w:pPr>
            <w:r>
              <w:rPr>
                <w:noProof/>
              </w:rPr>
              <w:t>−</w:t>
            </w:r>
            <w:r w:rsidRPr="00C5726C">
              <w:rPr>
                <w:noProof/>
              </w:rPr>
              <w:t>15.3</w:t>
            </w:r>
          </w:p>
        </w:tc>
        <w:tc>
          <w:tcPr>
            <w:tcW w:w="794" w:type="dxa"/>
            <w:shd w:val="clear" w:color="auto" w:fill="auto"/>
            <w:hideMark/>
          </w:tcPr>
          <w:p w14:paraId="034B2696" w14:textId="12409199" w:rsidR="00B0569D" w:rsidRPr="00D02A2E" w:rsidRDefault="00B0569D" w:rsidP="00A52A4C">
            <w:pPr>
              <w:pStyle w:val="ARtableperformancesymbol"/>
            </w:pPr>
            <w:r>
              <w:rPr>
                <w:noProof/>
              </w:rPr>
              <w:drawing>
                <wp:inline distT="0" distB="0" distL="0" distR="0" wp14:anchorId="521E44C4" wp14:editId="6E40F728">
                  <wp:extent cx="76320" cy="76320"/>
                  <wp:effectExtent l="0" t="0" r="0" b="0"/>
                  <wp:docPr id="28" name="Graphic 28"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B0569D" w:rsidRPr="00D02A2E" w14:paraId="2C217CB5" w14:textId="77777777" w:rsidTr="000F1C6B">
        <w:trPr>
          <w:cantSplit/>
        </w:trPr>
        <w:tc>
          <w:tcPr>
            <w:tcW w:w="9639" w:type="dxa"/>
            <w:gridSpan w:val="6"/>
            <w:tcBorders>
              <w:bottom w:val="single" w:sz="4" w:space="0" w:color="auto"/>
            </w:tcBorders>
            <w:shd w:val="clear" w:color="auto" w:fill="auto"/>
            <w:noWrap/>
            <w:hideMark/>
          </w:tcPr>
          <w:p w14:paraId="1BA1E02A" w14:textId="77777777" w:rsidR="00B0569D" w:rsidRPr="00D02A2E" w:rsidRDefault="00B0569D" w:rsidP="00B0569D">
            <w:pPr>
              <w:pStyle w:val="ARtablenoteindent"/>
            </w:pPr>
            <w:r w:rsidRPr="00C5726C">
              <w:rPr>
                <w:noProof/>
              </w:rPr>
              <w:t xml:space="preserve">The result was lower than the target as overall activity has been impacted by </w:t>
            </w:r>
            <w:r>
              <w:rPr>
                <w:noProof/>
              </w:rPr>
              <w:t>COVID-19</w:t>
            </w:r>
            <w:r w:rsidRPr="00C5726C">
              <w:rPr>
                <w:noProof/>
              </w:rPr>
              <w:t>.</w:t>
            </w:r>
          </w:p>
        </w:tc>
      </w:tr>
      <w:tr w:rsidR="00B0569D" w:rsidRPr="00D02A2E" w14:paraId="47422EC0" w14:textId="77777777" w:rsidTr="000F1C6B">
        <w:trPr>
          <w:cantSplit/>
        </w:trPr>
        <w:tc>
          <w:tcPr>
            <w:tcW w:w="9639" w:type="dxa"/>
            <w:gridSpan w:val="6"/>
            <w:tcBorders>
              <w:top w:val="single" w:sz="4" w:space="0" w:color="auto"/>
            </w:tcBorders>
            <w:shd w:val="clear" w:color="auto" w:fill="auto"/>
            <w:hideMark/>
          </w:tcPr>
          <w:p w14:paraId="1BB9F03E" w14:textId="77777777" w:rsidR="00B0569D" w:rsidRPr="00D02A2E" w:rsidRDefault="00B0569D" w:rsidP="00B0569D">
            <w:pPr>
              <w:pStyle w:val="ARtablegreybold"/>
              <w:rPr>
                <w:rFonts w:ascii="Wingdings" w:hAnsi="Wingdings"/>
              </w:rPr>
            </w:pPr>
            <w:r>
              <w:t>Quality</w:t>
            </w:r>
          </w:p>
        </w:tc>
      </w:tr>
      <w:tr w:rsidR="00B0569D" w:rsidRPr="00D02A2E" w14:paraId="7B75FE65" w14:textId="77777777" w:rsidTr="000F1C6B">
        <w:trPr>
          <w:cantSplit/>
        </w:trPr>
        <w:tc>
          <w:tcPr>
            <w:tcW w:w="4761" w:type="dxa"/>
            <w:shd w:val="clear" w:color="auto" w:fill="auto"/>
            <w:hideMark/>
          </w:tcPr>
          <w:p w14:paraId="51084661" w14:textId="77777777" w:rsidR="00B0569D" w:rsidRPr="00D02A2E" w:rsidRDefault="00B0569D" w:rsidP="00B0569D">
            <w:pPr>
              <w:pStyle w:val="ARtabletext"/>
              <w:keepNext/>
            </w:pPr>
            <w:r w:rsidRPr="00C5726C">
              <w:rPr>
                <w:noProof/>
              </w:rPr>
              <w:t>Eligible newborns screened for hearing deficit before one month of age</w:t>
            </w:r>
          </w:p>
        </w:tc>
        <w:tc>
          <w:tcPr>
            <w:tcW w:w="1021" w:type="dxa"/>
            <w:shd w:val="clear" w:color="auto" w:fill="auto"/>
            <w:hideMark/>
          </w:tcPr>
          <w:p w14:paraId="4580CDC8" w14:textId="77777777" w:rsidR="00B0569D" w:rsidRPr="00D02A2E" w:rsidRDefault="00B0569D" w:rsidP="00B0569D">
            <w:pPr>
              <w:pStyle w:val="ARtabletextcentre"/>
            </w:pPr>
            <w:r w:rsidRPr="00C5726C">
              <w:rPr>
                <w:noProof/>
              </w:rPr>
              <w:t>per cent</w:t>
            </w:r>
          </w:p>
        </w:tc>
        <w:tc>
          <w:tcPr>
            <w:tcW w:w="1021" w:type="dxa"/>
            <w:shd w:val="clear" w:color="auto" w:fill="auto"/>
            <w:hideMark/>
          </w:tcPr>
          <w:p w14:paraId="796343A0" w14:textId="77777777" w:rsidR="00B0569D" w:rsidRDefault="00B0569D" w:rsidP="00B0569D">
            <w:pPr>
              <w:pStyle w:val="ARtabletextright"/>
            </w:pPr>
            <w:r w:rsidRPr="00C5726C">
              <w:rPr>
                <w:noProof/>
              </w:rPr>
              <w:t>97</w:t>
            </w:r>
          </w:p>
        </w:tc>
        <w:tc>
          <w:tcPr>
            <w:tcW w:w="1021" w:type="dxa"/>
            <w:shd w:val="clear" w:color="auto" w:fill="auto"/>
            <w:hideMark/>
          </w:tcPr>
          <w:p w14:paraId="70264663" w14:textId="77777777" w:rsidR="00B0569D" w:rsidRDefault="00B0569D" w:rsidP="00B0569D">
            <w:pPr>
              <w:pStyle w:val="ARtabletextright"/>
            </w:pPr>
            <w:r w:rsidRPr="00C5726C">
              <w:rPr>
                <w:noProof/>
              </w:rPr>
              <w:t>97.</w:t>
            </w:r>
            <w:r>
              <w:rPr>
                <w:noProof/>
              </w:rPr>
              <w:t>3</w:t>
            </w:r>
          </w:p>
        </w:tc>
        <w:tc>
          <w:tcPr>
            <w:tcW w:w="1021" w:type="dxa"/>
            <w:shd w:val="clear" w:color="auto" w:fill="auto"/>
          </w:tcPr>
          <w:p w14:paraId="07672826" w14:textId="77777777" w:rsidR="00B0569D" w:rsidRDefault="00B0569D" w:rsidP="00B0569D">
            <w:pPr>
              <w:pStyle w:val="ARtabletextright"/>
            </w:pPr>
            <w:r w:rsidRPr="00C5726C">
              <w:rPr>
                <w:noProof/>
              </w:rPr>
              <w:t>0.</w:t>
            </w:r>
            <w:r>
              <w:rPr>
                <w:noProof/>
              </w:rPr>
              <w:t>3</w:t>
            </w:r>
          </w:p>
        </w:tc>
        <w:tc>
          <w:tcPr>
            <w:tcW w:w="794" w:type="dxa"/>
            <w:shd w:val="clear" w:color="auto" w:fill="auto"/>
            <w:hideMark/>
          </w:tcPr>
          <w:p w14:paraId="1B7BE7BD" w14:textId="59F737C3" w:rsidR="00B0569D" w:rsidRPr="00D02A2E" w:rsidRDefault="00B0569D" w:rsidP="00A52A4C">
            <w:pPr>
              <w:pStyle w:val="ARtableperformancesymbol"/>
            </w:pPr>
            <w:r>
              <w:rPr>
                <w:noProof/>
              </w:rPr>
              <w:drawing>
                <wp:inline distT="0" distB="0" distL="0" distR="0" wp14:anchorId="25449947" wp14:editId="655FAFE1">
                  <wp:extent cx="85320" cy="85320"/>
                  <wp:effectExtent l="0" t="0" r="0" b="0"/>
                  <wp:docPr id="24" name="Graphic 24"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B0569D" w:rsidRPr="00D02A2E" w14:paraId="2F41EF14" w14:textId="77777777" w:rsidTr="000F1C6B">
        <w:trPr>
          <w:cantSplit/>
        </w:trPr>
        <w:tc>
          <w:tcPr>
            <w:tcW w:w="9639" w:type="dxa"/>
            <w:gridSpan w:val="6"/>
            <w:tcBorders>
              <w:bottom w:val="single" w:sz="4" w:space="0" w:color="BFBFBF"/>
            </w:tcBorders>
            <w:shd w:val="clear" w:color="auto" w:fill="auto"/>
            <w:noWrap/>
            <w:hideMark/>
          </w:tcPr>
          <w:p w14:paraId="78AD667E" w14:textId="5716174B" w:rsidR="00B0569D" w:rsidRPr="00D02A2E" w:rsidRDefault="00B0569D" w:rsidP="00B0569D">
            <w:pPr>
              <w:pStyle w:val="ARtablenoteindent"/>
            </w:pPr>
            <w:r w:rsidRPr="00C5726C">
              <w:rPr>
                <w:noProof/>
              </w:rPr>
              <w:t>This is a positive result. The target has been exceeded due to the sustained effort by the Victorian Infant Hearing Screening program administered by the Royal Children</w:t>
            </w:r>
            <w:r w:rsidR="007D145B">
              <w:rPr>
                <w:noProof/>
              </w:rPr>
              <w:t>’</w:t>
            </w:r>
            <w:r w:rsidRPr="00C5726C">
              <w:rPr>
                <w:noProof/>
              </w:rPr>
              <w:t>s Hospital.</w:t>
            </w:r>
          </w:p>
        </w:tc>
      </w:tr>
      <w:tr w:rsidR="00B0569D" w:rsidRPr="00D02A2E" w14:paraId="10BFA7FE" w14:textId="77777777" w:rsidTr="000F1C6B">
        <w:trPr>
          <w:cantSplit/>
        </w:trPr>
        <w:tc>
          <w:tcPr>
            <w:tcW w:w="4761" w:type="dxa"/>
            <w:tcBorders>
              <w:bottom w:val="single" w:sz="4" w:space="0" w:color="BFBFBF" w:themeColor="background1" w:themeShade="BF"/>
            </w:tcBorders>
            <w:shd w:val="clear" w:color="auto" w:fill="auto"/>
            <w:hideMark/>
          </w:tcPr>
          <w:p w14:paraId="0F7D9D1F" w14:textId="77777777" w:rsidR="00B0569D" w:rsidRPr="00D02A2E" w:rsidRDefault="00B0569D" w:rsidP="00B0569D">
            <w:pPr>
              <w:pStyle w:val="ARtabletext"/>
            </w:pPr>
            <w:r w:rsidRPr="00C5726C">
              <w:rPr>
                <w:noProof/>
              </w:rPr>
              <w:lastRenderedPageBreak/>
              <w:t>Hand hygiene compliance</w:t>
            </w:r>
          </w:p>
        </w:tc>
        <w:tc>
          <w:tcPr>
            <w:tcW w:w="1021" w:type="dxa"/>
            <w:tcBorders>
              <w:bottom w:val="single" w:sz="4" w:space="0" w:color="BFBFBF" w:themeColor="background1" w:themeShade="BF"/>
            </w:tcBorders>
            <w:shd w:val="clear" w:color="auto" w:fill="auto"/>
            <w:hideMark/>
          </w:tcPr>
          <w:p w14:paraId="61017358" w14:textId="77777777" w:rsidR="00B0569D" w:rsidRPr="00D02A2E" w:rsidRDefault="00B0569D" w:rsidP="00B0569D">
            <w:pPr>
              <w:pStyle w:val="ARtabletextcentre"/>
            </w:pPr>
            <w:r w:rsidRPr="00C5726C">
              <w:rPr>
                <w:noProof/>
              </w:rPr>
              <w:t>per cent</w:t>
            </w:r>
          </w:p>
        </w:tc>
        <w:tc>
          <w:tcPr>
            <w:tcW w:w="1021" w:type="dxa"/>
            <w:tcBorders>
              <w:bottom w:val="single" w:sz="4" w:space="0" w:color="BFBFBF" w:themeColor="background1" w:themeShade="BF"/>
            </w:tcBorders>
            <w:shd w:val="clear" w:color="auto" w:fill="auto"/>
            <w:hideMark/>
          </w:tcPr>
          <w:p w14:paraId="0FB2E2F2" w14:textId="77777777" w:rsidR="00B0569D" w:rsidRDefault="00B0569D" w:rsidP="00B0569D">
            <w:pPr>
              <w:pStyle w:val="ARtabletextright"/>
            </w:pPr>
            <w:r w:rsidRPr="00C5726C">
              <w:rPr>
                <w:noProof/>
              </w:rPr>
              <w:t>85</w:t>
            </w:r>
          </w:p>
        </w:tc>
        <w:tc>
          <w:tcPr>
            <w:tcW w:w="1021" w:type="dxa"/>
            <w:tcBorders>
              <w:bottom w:val="single" w:sz="4" w:space="0" w:color="BFBFBF" w:themeColor="background1" w:themeShade="BF"/>
            </w:tcBorders>
            <w:shd w:val="clear" w:color="auto" w:fill="auto"/>
            <w:hideMark/>
          </w:tcPr>
          <w:p w14:paraId="5CB90793" w14:textId="77777777" w:rsidR="00B0569D" w:rsidRDefault="00B0569D" w:rsidP="00B0569D">
            <w:pPr>
              <w:pStyle w:val="ARtabletextright"/>
            </w:pPr>
            <w:r w:rsidRPr="00C5726C">
              <w:rPr>
                <w:noProof/>
              </w:rPr>
              <w:t>86.4</w:t>
            </w:r>
          </w:p>
        </w:tc>
        <w:tc>
          <w:tcPr>
            <w:tcW w:w="1021" w:type="dxa"/>
            <w:tcBorders>
              <w:bottom w:val="single" w:sz="4" w:space="0" w:color="BFBFBF" w:themeColor="background1" w:themeShade="BF"/>
            </w:tcBorders>
            <w:shd w:val="clear" w:color="auto" w:fill="auto"/>
          </w:tcPr>
          <w:p w14:paraId="41646BF1" w14:textId="77777777" w:rsidR="00B0569D" w:rsidRDefault="00B0569D" w:rsidP="00B0569D">
            <w:pPr>
              <w:pStyle w:val="ARtabletextright"/>
            </w:pPr>
            <w:r w:rsidRPr="00C5726C">
              <w:rPr>
                <w:noProof/>
              </w:rPr>
              <w:t>1.6</w:t>
            </w:r>
          </w:p>
        </w:tc>
        <w:tc>
          <w:tcPr>
            <w:tcW w:w="794" w:type="dxa"/>
            <w:tcBorders>
              <w:bottom w:val="single" w:sz="4" w:space="0" w:color="DBDBDB" w:themeColor="accent3" w:themeTint="66"/>
            </w:tcBorders>
            <w:shd w:val="clear" w:color="auto" w:fill="auto"/>
            <w:hideMark/>
          </w:tcPr>
          <w:p w14:paraId="448DD8B6" w14:textId="22CE691B" w:rsidR="00B0569D" w:rsidRPr="00D02A2E" w:rsidRDefault="00CF2633" w:rsidP="00A52A4C">
            <w:pPr>
              <w:pStyle w:val="ARtableperformancesymbol"/>
            </w:pPr>
            <w:r>
              <w:rPr>
                <w:noProof/>
              </w:rPr>
              <w:drawing>
                <wp:inline distT="0" distB="0" distL="0" distR="0" wp14:anchorId="54C35D51" wp14:editId="65DFC597">
                  <wp:extent cx="85320" cy="85320"/>
                  <wp:effectExtent l="0" t="0" r="0" b="0"/>
                  <wp:docPr id="113" name="Graphic 113"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B0569D" w:rsidRPr="00D02A2E" w14:paraId="5026CD0C" w14:textId="77777777" w:rsidTr="000F1C6B">
        <w:trPr>
          <w:cantSplit/>
        </w:trPr>
        <w:tc>
          <w:tcPr>
            <w:tcW w:w="4761" w:type="dxa"/>
            <w:tcBorders>
              <w:bottom w:val="single" w:sz="4" w:space="0" w:color="BFBFBF" w:themeColor="background1" w:themeShade="BF"/>
            </w:tcBorders>
            <w:shd w:val="clear" w:color="auto" w:fill="auto"/>
            <w:hideMark/>
          </w:tcPr>
          <w:p w14:paraId="239C8801" w14:textId="77777777" w:rsidR="00B0569D" w:rsidRPr="00D02A2E" w:rsidRDefault="00B0569D" w:rsidP="00B0569D">
            <w:pPr>
              <w:pStyle w:val="ARtabletext"/>
            </w:pPr>
            <w:r w:rsidRPr="00C5726C">
              <w:rPr>
                <w:noProof/>
              </w:rPr>
              <w:t>Healthcare worker immunisation – influenza</w:t>
            </w:r>
          </w:p>
        </w:tc>
        <w:tc>
          <w:tcPr>
            <w:tcW w:w="1021" w:type="dxa"/>
            <w:tcBorders>
              <w:bottom w:val="single" w:sz="4" w:space="0" w:color="BFBFBF" w:themeColor="background1" w:themeShade="BF"/>
            </w:tcBorders>
            <w:shd w:val="clear" w:color="auto" w:fill="auto"/>
            <w:hideMark/>
          </w:tcPr>
          <w:p w14:paraId="471A41D7" w14:textId="77777777" w:rsidR="00B0569D" w:rsidRPr="00D02A2E" w:rsidRDefault="00B0569D" w:rsidP="00B0569D">
            <w:pPr>
              <w:pStyle w:val="ARtabletextcentre"/>
            </w:pPr>
            <w:r w:rsidRPr="00C5726C">
              <w:rPr>
                <w:noProof/>
              </w:rPr>
              <w:t>per cent</w:t>
            </w:r>
          </w:p>
        </w:tc>
        <w:tc>
          <w:tcPr>
            <w:tcW w:w="1021" w:type="dxa"/>
            <w:tcBorders>
              <w:bottom w:val="single" w:sz="4" w:space="0" w:color="BFBFBF" w:themeColor="background1" w:themeShade="BF"/>
            </w:tcBorders>
            <w:shd w:val="clear" w:color="auto" w:fill="auto"/>
            <w:hideMark/>
          </w:tcPr>
          <w:p w14:paraId="555CA6C7" w14:textId="77777777" w:rsidR="00B0569D" w:rsidRDefault="00B0569D" w:rsidP="00B0569D">
            <w:pPr>
              <w:pStyle w:val="ARtabletextright"/>
            </w:pPr>
            <w:r w:rsidRPr="00C5726C">
              <w:rPr>
                <w:noProof/>
              </w:rPr>
              <w:t>90</w:t>
            </w:r>
          </w:p>
        </w:tc>
        <w:tc>
          <w:tcPr>
            <w:tcW w:w="1021" w:type="dxa"/>
            <w:tcBorders>
              <w:bottom w:val="single" w:sz="4" w:space="0" w:color="BFBFBF" w:themeColor="background1" w:themeShade="BF"/>
            </w:tcBorders>
            <w:shd w:val="clear" w:color="auto" w:fill="auto"/>
            <w:hideMark/>
          </w:tcPr>
          <w:p w14:paraId="5E76F9AE" w14:textId="77777777" w:rsidR="00B0569D" w:rsidRDefault="00B0569D" w:rsidP="00B0569D">
            <w:pPr>
              <w:pStyle w:val="ARtabletextright"/>
            </w:pPr>
            <w:r w:rsidRPr="00C5726C">
              <w:rPr>
                <w:noProof/>
              </w:rPr>
              <w:t>93</w:t>
            </w:r>
          </w:p>
        </w:tc>
        <w:tc>
          <w:tcPr>
            <w:tcW w:w="1021" w:type="dxa"/>
            <w:tcBorders>
              <w:bottom w:val="single" w:sz="4" w:space="0" w:color="BFBFBF" w:themeColor="background1" w:themeShade="BF"/>
            </w:tcBorders>
            <w:shd w:val="clear" w:color="auto" w:fill="auto"/>
          </w:tcPr>
          <w:p w14:paraId="15557CCD" w14:textId="77777777" w:rsidR="00B0569D" w:rsidRDefault="00B0569D" w:rsidP="00B0569D">
            <w:pPr>
              <w:pStyle w:val="ARtabletextright"/>
            </w:pPr>
            <w:r w:rsidRPr="00C5726C">
              <w:rPr>
                <w:noProof/>
              </w:rPr>
              <w:t>3.</w:t>
            </w:r>
            <w:r>
              <w:rPr>
                <w:noProof/>
              </w:rPr>
              <w:t>3</w:t>
            </w:r>
          </w:p>
        </w:tc>
        <w:tc>
          <w:tcPr>
            <w:tcW w:w="794" w:type="dxa"/>
            <w:tcBorders>
              <w:top w:val="single" w:sz="4" w:space="0" w:color="DBDBDB" w:themeColor="accent3" w:themeTint="66"/>
              <w:bottom w:val="single" w:sz="4" w:space="0" w:color="DBDBDB" w:themeColor="accent3" w:themeTint="66"/>
            </w:tcBorders>
            <w:shd w:val="clear" w:color="auto" w:fill="auto"/>
            <w:hideMark/>
          </w:tcPr>
          <w:p w14:paraId="0BA1903B" w14:textId="023007AD" w:rsidR="00B0569D" w:rsidRPr="00D02A2E" w:rsidRDefault="00CF2633" w:rsidP="00A52A4C">
            <w:pPr>
              <w:pStyle w:val="ARtableperformancesymbol"/>
            </w:pPr>
            <w:r>
              <w:rPr>
                <w:noProof/>
              </w:rPr>
              <w:drawing>
                <wp:inline distT="0" distB="0" distL="0" distR="0" wp14:anchorId="4D5DE37F" wp14:editId="25ED58AE">
                  <wp:extent cx="85320" cy="85320"/>
                  <wp:effectExtent l="0" t="0" r="0" b="0"/>
                  <wp:docPr id="114" name="Graphic 114"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B0569D" w:rsidRPr="00D02A2E" w14:paraId="71DA12BE" w14:textId="77777777" w:rsidTr="000F1C6B">
        <w:trPr>
          <w:cantSplit/>
        </w:trPr>
        <w:tc>
          <w:tcPr>
            <w:tcW w:w="4761" w:type="dxa"/>
            <w:tcBorders>
              <w:bottom w:val="single" w:sz="4" w:space="0" w:color="DBDBDB" w:themeColor="accent3" w:themeTint="66"/>
            </w:tcBorders>
            <w:shd w:val="clear" w:color="auto" w:fill="auto"/>
            <w:hideMark/>
          </w:tcPr>
          <w:p w14:paraId="7B95263D" w14:textId="77777777" w:rsidR="00B0569D" w:rsidRPr="00D02A2E" w:rsidRDefault="00B0569D" w:rsidP="00B0569D">
            <w:pPr>
              <w:pStyle w:val="ARtabletext"/>
            </w:pPr>
            <w:r w:rsidRPr="00C5726C">
              <w:rPr>
                <w:noProof/>
              </w:rPr>
              <w:t>Intensive Care Unit central line associated blood stream infections (CLABSI) per 1</w:t>
            </w:r>
            <w:r>
              <w:rPr>
                <w:noProof/>
              </w:rPr>
              <w:t>,</w:t>
            </w:r>
            <w:r w:rsidRPr="00C5726C">
              <w:rPr>
                <w:noProof/>
              </w:rPr>
              <w:t>000 device days</w:t>
            </w:r>
          </w:p>
        </w:tc>
        <w:tc>
          <w:tcPr>
            <w:tcW w:w="1021" w:type="dxa"/>
            <w:tcBorders>
              <w:bottom w:val="single" w:sz="4" w:space="0" w:color="DBDBDB" w:themeColor="accent3" w:themeTint="66"/>
            </w:tcBorders>
            <w:shd w:val="clear" w:color="auto" w:fill="auto"/>
            <w:hideMark/>
          </w:tcPr>
          <w:p w14:paraId="23E8ED0B" w14:textId="77777777" w:rsidR="00B0569D" w:rsidRPr="00D02A2E" w:rsidRDefault="00B0569D" w:rsidP="00B0569D">
            <w:pPr>
              <w:pStyle w:val="ARtabletextcentre"/>
            </w:pPr>
            <w:r w:rsidRPr="00C5726C">
              <w:rPr>
                <w:noProof/>
              </w:rPr>
              <w:t>rate</w:t>
            </w:r>
          </w:p>
        </w:tc>
        <w:tc>
          <w:tcPr>
            <w:tcW w:w="1021" w:type="dxa"/>
            <w:tcBorders>
              <w:bottom w:val="single" w:sz="4" w:space="0" w:color="DBDBDB" w:themeColor="accent3" w:themeTint="66"/>
            </w:tcBorders>
            <w:shd w:val="clear" w:color="auto" w:fill="auto"/>
            <w:hideMark/>
          </w:tcPr>
          <w:p w14:paraId="39DA94A4" w14:textId="77777777" w:rsidR="00B0569D" w:rsidRDefault="00B0569D" w:rsidP="00B0569D">
            <w:pPr>
              <w:pStyle w:val="ARtabletextright"/>
            </w:pPr>
            <w:r w:rsidRPr="00C5726C">
              <w:rPr>
                <w:noProof/>
              </w:rPr>
              <w:t>0</w:t>
            </w:r>
          </w:p>
        </w:tc>
        <w:tc>
          <w:tcPr>
            <w:tcW w:w="1021" w:type="dxa"/>
            <w:tcBorders>
              <w:bottom w:val="single" w:sz="4" w:space="0" w:color="DBDBDB" w:themeColor="accent3" w:themeTint="66"/>
            </w:tcBorders>
            <w:shd w:val="clear" w:color="auto" w:fill="auto"/>
            <w:hideMark/>
          </w:tcPr>
          <w:p w14:paraId="118522A9" w14:textId="77777777" w:rsidR="00B0569D" w:rsidRDefault="00B0569D" w:rsidP="00B0569D">
            <w:pPr>
              <w:pStyle w:val="ARtabletextright"/>
            </w:pPr>
            <w:r w:rsidRPr="00C5726C">
              <w:rPr>
                <w:noProof/>
              </w:rPr>
              <w:t>0.</w:t>
            </w:r>
            <w:r>
              <w:rPr>
                <w:noProof/>
              </w:rPr>
              <w:t>6</w:t>
            </w:r>
          </w:p>
        </w:tc>
        <w:tc>
          <w:tcPr>
            <w:tcW w:w="1021" w:type="dxa"/>
            <w:tcBorders>
              <w:bottom w:val="single" w:sz="4" w:space="0" w:color="DBDBDB" w:themeColor="accent3" w:themeTint="66"/>
            </w:tcBorders>
            <w:shd w:val="clear" w:color="auto" w:fill="auto"/>
          </w:tcPr>
          <w:p w14:paraId="3B8F6105" w14:textId="77777777" w:rsidR="00B0569D" w:rsidRDefault="00B0569D" w:rsidP="00B0569D">
            <w:pPr>
              <w:pStyle w:val="ARtabletextright"/>
            </w:pPr>
            <w:r>
              <w:rPr>
                <w:noProof/>
              </w:rPr>
              <w:t>N/A</w:t>
            </w:r>
          </w:p>
        </w:tc>
        <w:tc>
          <w:tcPr>
            <w:tcW w:w="794" w:type="dxa"/>
            <w:tcBorders>
              <w:top w:val="single" w:sz="4" w:space="0" w:color="DBDBDB" w:themeColor="accent3" w:themeTint="66"/>
              <w:bottom w:val="single" w:sz="4" w:space="0" w:color="DBDBDB" w:themeColor="accent3" w:themeTint="66"/>
            </w:tcBorders>
            <w:shd w:val="clear" w:color="auto" w:fill="auto"/>
            <w:hideMark/>
          </w:tcPr>
          <w:p w14:paraId="0689DC6E" w14:textId="0A0C4A8B" w:rsidR="00B0569D" w:rsidRPr="00D02A2E" w:rsidRDefault="00B0569D" w:rsidP="00A52A4C">
            <w:pPr>
              <w:pStyle w:val="ARtableperformancesymbol"/>
            </w:pPr>
            <w:r>
              <w:rPr>
                <w:noProof/>
              </w:rPr>
              <w:drawing>
                <wp:inline distT="0" distB="0" distL="0" distR="0" wp14:anchorId="149477D6" wp14:editId="1EC60F35">
                  <wp:extent cx="76320" cy="76320"/>
                  <wp:effectExtent l="0" t="0" r="0" b="0"/>
                  <wp:docPr id="29" name="Graphic 29"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B0569D" w:rsidRPr="00D02A2E" w14:paraId="3B96C8BB" w14:textId="77777777" w:rsidTr="000F1C6B">
        <w:trPr>
          <w:cantSplit/>
        </w:trPr>
        <w:tc>
          <w:tcPr>
            <w:tcW w:w="4761" w:type="dxa"/>
            <w:tcBorders>
              <w:top w:val="single" w:sz="4" w:space="0" w:color="DBDBDB" w:themeColor="accent3" w:themeTint="66"/>
            </w:tcBorders>
            <w:shd w:val="clear" w:color="auto" w:fill="auto"/>
            <w:hideMark/>
          </w:tcPr>
          <w:p w14:paraId="560DF85C" w14:textId="77777777" w:rsidR="00B0569D" w:rsidRPr="00D02A2E" w:rsidRDefault="00B0569D" w:rsidP="00B0569D">
            <w:pPr>
              <w:pStyle w:val="ARtabletext"/>
            </w:pPr>
            <w:r w:rsidRPr="00C5726C">
              <w:rPr>
                <w:noProof/>
              </w:rPr>
              <w:t>Major trauma patients transferred to a major trauma service</w:t>
            </w:r>
          </w:p>
        </w:tc>
        <w:tc>
          <w:tcPr>
            <w:tcW w:w="1021" w:type="dxa"/>
            <w:tcBorders>
              <w:top w:val="single" w:sz="4" w:space="0" w:color="DBDBDB" w:themeColor="accent3" w:themeTint="66"/>
            </w:tcBorders>
            <w:shd w:val="clear" w:color="auto" w:fill="auto"/>
            <w:hideMark/>
          </w:tcPr>
          <w:p w14:paraId="70FDCCA4" w14:textId="77777777" w:rsidR="00B0569D" w:rsidRPr="00D02A2E" w:rsidRDefault="00B0569D" w:rsidP="00B0569D">
            <w:pPr>
              <w:pStyle w:val="ARtabletextcentre"/>
            </w:pPr>
            <w:r w:rsidRPr="00C5726C">
              <w:rPr>
                <w:noProof/>
              </w:rPr>
              <w:t>per cent</w:t>
            </w:r>
          </w:p>
        </w:tc>
        <w:tc>
          <w:tcPr>
            <w:tcW w:w="1021" w:type="dxa"/>
            <w:tcBorders>
              <w:top w:val="single" w:sz="4" w:space="0" w:color="DBDBDB" w:themeColor="accent3" w:themeTint="66"/>
            </w:tcBorders>
            <w:shd w:val="clear" w:color="auto" w:fill="auto"/>
            <w:hideMark/>
          </w:tcPr>
          <w:p w14:paraId="53A0AD02" w14:textId="77777777" w:rsidR="00B0569D" w:rsidRDefault="00B0569D" w:rsidP="00B0569D">
            <w:pPr>
              <w:pStyle w:val="ARtabletextright"/>
            </w:pPr>
            <w:r w:rsidRPr="00C5726C">
              <w:rPr>
                <w:noProof/>
              </w:rPr>
              <w:t>85</w:t>
            </w:r>
          </w:p>
        </w:tc>
        <w:tc>
          <w:tcPr>
            <w:tcW w:w="1021" w:type="dxa"/>
            <w:tcBorders>
              <w:top w:val="single" w:sz="4" w:space="0" w:color="DBDBDB" w:themeColor="accent3" w:themeTint="66"/>
            </w:tcBorders>
            <w:shd w:val="clear" w:color="auto" w:fill="auto"/>
            <w:hideMark/>
          </w:tcPr>
          <w:p w14:paraId="561A0243" w14:textId="77777777" w:rsidR="00B0569D" w:rsidRDefault="00B0569D" w:rsidP="00B0569D">
            <w:pPr>
              <w:pStyle w:val="ARtabletextright"/>
            </w:pPr>
            <w:r w:rsidRPr="00C5726C">
              <w:rPr>
                <w:noProof/>
              </w:rPr>
              <w:t>90.5</w:t>
            </w:r>
          </w:p>
        </w:tc>
        <w:tc>
          <w:tcPr>
            <w:tcW w:w="1021" w:type="dxa"/>
            <w:tcBorders>
              <w:top w:val="single" w:sz="4" w:space="0" w:color="DBDBDB" w:themeColor="accent3" w:themeTint="66"/>
            </w:tcBorders>
            <w:shd w:val="clear" w:color="auto" w:fill="auto"/>
          </w:tcPr>
          <w:p w14:paraId="3ED5AAB1" w14:textId="77777777" w:rsidR="00B0569D" w:rsidRDefault="00B0569D" w:rsidP="00B0569D">
            <w:pPr>
              <w:pStyle w:val="ARtabletextright"/>
            </w:pPr>
            <w:r w:rsidRPr="00C5726C">
              <w:rPr>
                <w:noProof/>
              </w:rPr>
              <w:t>6.5</w:t>
            </w:r>
          </w:p>
        </w:tc>
        <w:tc>
          <w:tcPr>
            <w:tcW w:w="794" w:type="dxa"/>
            <w:tcBorders>
              <w:top w:val="single" w:sz="4" w:space="0" w:color="DBDBDB" w:themeColor="accent3" w:themeTint="66"/>
            </w:tcBorders>
            <w:shd w:val="clear" w:color="auto" w:fill="auto"/>
            <w:hideMark/>
          </w:tcPr>
          <w:p w14:paraId="260226CA" w14:textId="77777777" w:rsidR="00B0569D" w:rsidRPr="00D02A2E" w:rsidRDefault="00B0569D" w:rsidP="00A52A4C">
            <w:pPr>
              <w:pStyle w:val="ARtableperformancesymbol"/>
            </w:pPr>
            <w:r w:rsidRPr="00D644A8">
              <w:rPr>
                <w:rFonts w:ascii="Wingdings" w:eastAsia="Wingdings" w:hAnsi="Wingdings" w:cs="Wingdings"/>
              </w:rPr>
              <w:t></w:t>
            </w:r>
          </w:p>
        </w:tc>
      </w:tr>
      <w:tr w:rsidR="00B0569D" w:rsidRPr="00D02A2E" w14:paraId="5F0B72E0" w14:textId="77777777" w:rsidTr="000F1C6B">
        <w:trPr>
          <w:cantSplit/>
        </w:trPr>
        <w:tc>
          <w:tcPr>
            <w:tcW w:w="9639" w:type="dxa"/>
            <w:gridSpan w:val="6"/>
            <w:tcBorders>
              <w:bottom w:val="single" w:sz="4" w:space="0" w:color="BFBFBF"/>
            </w:tcBorders>
            <w:shd w:val="clear" w:color="auto" w:fill="auto"/>
            <w:noWrap/>
            <w:hideMark/>
          </w:tcPr>
          <w:p w14:paraId="229F945D" w14:textId="77777777" w:rsidR="00B0569D" w:rsidRPr="00D02A2E" w:rsidRDefault="00B0569D" w:rsidP="00B0569D">
            <w:pPr>
              <w:pStyle w:val="ARtablenoteindent"/>
            </w:pPr>
            <w:r w:rsidRPr="00C5726C">
              <w:rPr>
                <w:noProof/>
              </w:rPr>
              <w:t>Preliminary result. Actual end-of-year result will be available in late 2021. The result is higher than target primarily due to good clinical triage.</w:t>
            </w:r>
          </w:p>
        </w:tc>
      </w:tr>
      <w:tr w:rsidR="00B0569D" w:rsidRPr="00D02A2E" w14:paraId="7D07562F" w14:textId="77777777" w:rsidTr="000F1C6B">
        <w:trPr>
          <w:cantSplit/>
        </w:trPr>
        <w:tc>
          <w:tcPr>
            <w:tcW w:w="4761" w:type="dxa"/>
            <w:shd w:val="clear" w:color="auto" w:fill="auto"/>
            <w:hideMark/>
          </w:tcPr>
          <w:p w14:paraId="5542D2F7" w14:textId="77777777" w:rsidR="00B0569D" w:rsidRPr="00D02A2E" w:rsidRDefault="00B0569D" w:rsidP="00B0569D">
            <w:pPr>
              <w:pStyle w:val="ARtabletext"/>
            </w:pPr>
            <w:r w:rsidRPr="00C5726C">
              <w:rPr>
                <w:noProof/>
              </w:rPr>
              <w:t>Percentage of patients who reported positive experiences of their hospital stay</w:t>
            </w:r>
          </w:p>
        </w:tc>
        <w:tc>
          <w:tcPr>
            <w:tcW w:w="1021" w:type="dxa"/>
            <w:shd w:val="clear" w:color="auto" w:fill="auto"/>
            <w:hideMark/>
          </w:tcPr>
          <w:p w14:paraId="7FA43487" w14:textId="77777777" w:rsidR="00B0569D" w:rsidRPr="00D02A2E" w:rsidRDefault="00B0569D" w:rsidP="00B0569D">
            <w:pPr>
              <w:pStyle w:val="ARtabletextcentre"/>
            </w:pPr>
            <w:r w:rsidRPr="00C5726C">
              <w:rPr>
                <w:noProof/>
              </w:rPr>
              <w:t>per cent</w:t>
            </w:r>
          </w:p>
        </w:tc>
        <w:tc>
          <w:tcPr>
            <w:tcW w:w="1021" w:type="dxa"/>
            <w:shd w:val="clear" w:color="auto" w:fill="auto"/>
            <w:hideMark/>
          </w:tcPr>
          <w:p w14:paraId="59802756" w14:textId="77777777" w:rsidR="00B0569D" w:rsidRDefault="00B0569D" w:rsidP="00B0569D">
            <w:pPr>
              <w:pStyle w:val="ARtabletextright"/>
            </w:pPr>
            <w:r w:rsidRPr="00C5726C">
              <w:rPr>
                <w:noProof/>
              </w:rPr>
              <w:t>95</w:t>
            </w:r>
          </w:p>
        </w:tc>
        <w:tc>
          <w:tcPr>
            <w:tcW w:w="1021" w:type="dxa"/>
            <w:shd w:val="clear" w:color="auto" w:fill="auto"/>
            <w:hideMark/>
          </w:tcPr>
          <w:p w14:paraId="2471F7AB" w14:textId="77777777" w:rsidR="00B0569D" w:rsidRDefault="00B0569D" w:rsidP="00B0569D">
            <w:pPr>
              <w:pStyle w:val="ARtabletextright"/>
            </w:pPr>
            <w:r w:rsidRPr="00C5726C">
              <w:rPr>
                <w:noProof/>
              </w:rPr>
              <w:t>0</w:t>
            </w:r>
          </w:p>
        </w:tc>
        <w:tc>
          <w:tcPr>
            <w:tcW w:w="1021" w:type="dxa"/>
            <w:shd w:val="clear" w:color="auto" w:fill="auto"/>
          </w:tcPr>
          <w:p w14:paraId="43372467" w14:textId="77777777" w:rsidR="00B0569D" w:rsidRDefault="00B0569D" w:rsidP="00B0569D">
            <w:pPr>
              <w:pStyle w:val="ARtabletextright"/>
            </w:pPr>
            <w:r w:rsidRPr="00C5726C">
              <w:rPr>
                <w:noProof/>
              </w:rPr>
              <w:t>0</w:t>
            </w:r>
          </w:p>
        </w:tc>
        <w:tc>
          <w:tcPr>
            <w:tcW w:w="794" w:type="dxa"/>
            <w:shd w:val="clear" w:color="auto" w:fill="auto"/>
            <w:hideMark/>
          </w:tcPr>
          <w:p w14:paraId="357C4F9F" w14:textId="227BABC0" w:rsidR="00B0569D" w:rsidRPr="00D02A2E" w:rsidRDefault="00B0569D" w:rsidP="00B0569D">
            <w:pPr>
              <w:pStyle w:val="ARtabletextright"/>
            </w:pPr>
            <w:r>
              <w:rPr>
                <w:noProof/>
              </w:rPr>
              <w:t>N/A</w:t>
            </w:r>
          </w:p>
        </w:tc>
      </w:tr>
      <w:tr w:rsidR="00B0569D" w:rsidRPr="00D02A2E" w14:paraId="279B9910" w14:textId="77777777" w:rsidTr="000F1C6B">
        <w:trPr>
          <w:cantSplit/>
        </w:trPr>
        <w:tc>
          <w:tcPr>
            <w:tcW w:w="9639" w:type="dxa"/>
            <w:gridSpan w:val="6"/>
            <w:tcBorders>
              <w:bottom w:val="single" w:sz="4" w:space="0" w:color="BFBFBF"/>
            </w:tcBorders>
            <w:shd w:val="clear" w:color="auto" w:fill="auto"/>
            <w:noWrap/>
            <w:hideMark/>
          </w:tcPr>
          <w:p w14:paraId="1D823799" w14:textId="77777777" w:rsidR="00B0569D" w:rsidRPr="00D02A2E" w:rsidRDefault="00B0569D" w:rsidP="00B0569D">
            <w:pPr>
              <w:pStyle w:val="ARtablenoteindent"/>
            </w:pPr>
            <w:r w:rsidRPr="00C5726C">
              <w:rPr>
                <w:noProof/>
              </w:rPr>
              <w:t xml:space="preserve">The </w:t>
            </w:r>
            <w:r w:rsidRPr="002861D5">
              <w:rPr>
                <w:noProof/>
              </w:rPr>
              <w:t>Victorian</w:t>
            </w:r>
            <w:r>
              <w:rPr>
                <w:noProof/>
              </w:rPr>
              <w:t xml:space="preserve"> Healthcare Experience Survey</w:t>
            </w:r>
            <w:r w:rsidRPr="00C5726C">
              <w:rPr>
                <w:noProof/>
              </w:rPr>
              <w:t xml:space="preserve"> program was paused in Q</w:t>
            </w:r>
            <w:r>
              <w:rPr>
                <w:noProof/>
              </w:rPr>
              <w:t xml:space="preserve">uarter </w:t>
            </w:r>
            <w:r w:rsidRPr="00C5726C">
              <w:rPr>
                <w:noProof/>
              </w:rPr>
              <w:t>4 2020 and remain</w:t>
            </w:r>
            <w:r>
              <w:rPr>
                <w:noProof/>
              </w:rPr>
              <w:t>ed</w:t>
            </w:r>
            <w:r w:rsidRPr="00C5726C">
              <w:rPr>
                <w:noProof/>
              </w:rPr>
              <w:t xml:space="preserve"> on hold until August 2021. Thus data for Q</w:t>
            </w:r>
            <w:r>
              <w:rPr>
                <w:noProof/>
              </w:rPr>
              <w:t xml:space="preserve">uarter </w:t>
            </w:r>
            <w:r w:rsidRPr="00C5726C">
              <w:rPr>
                <w:noProof/>
              </w:rPr>
              <w:t>4 202</w:t>
            </w:r>
            <w:r>
              <w:rPr>
                <w:noProof/>
              </w:rPr>
              <w:t>0–</w:t>
            </w:r>
            <w:r w:rsidRPr="00C5726C">
              <w:rPr>
                <w:noProof/>
              </w:rPr>
              <w:t>21 and the 202</w:t>
            </w:r>
            <w:r>
              <w:rPr>
                <w:noProof/>
              </w:rPr>
              <w:t>0–</w:t>
            </w:r>
            <w:r w:rsidRPr="00C5726C">
              <w:rPr>
                <w:noProof/>
              </w:rPr>
              <w:t>21 financial year was not collected and is not available.</w:t>
            </w:r>
          </w:p>
        </w:tc>
      </w:tr>
      <w:tr w:rsidR="00B0569D" w:rsidRPr="00D02A2E" w14:paraId="4132E079" w14:textId="77777777" w:rsidTr="000F1C6B">
        <w:trPr>
          <w:cantSplit/>
        </w:trPr>
        <w:tc>
          <w:tcPr>
            <w:tcW w:w="4761" w:type="dxa"/>
            <w:tcBorders>
              <w:bottom w:val="single" w:sz="4" w:space="0" w:color="DBDBDB" w:themeColor="accent3" w:themeTint="66"/>
            </w:tcBorders>
            <w:shd w:val="clear" w:color="auto" w:fill="auto"/>
            <w:hideMark/>
          </w:tcPr>
          <w:p w14:paraId="174BC24C" w14:textId="77777777" w:rsidR="00B0569D" w:rsidRPr="00D02A2E" w:rsidRDefault="00B0569D" w:rsidP="00B0569D">
            <w:pPr>
              <w:pStyle w:val="ARtabletext"/>
            </w:pPr>
            <w:r w:rsidRPr="00C5726C">
              <w:rPr>
                <w:noProof/>
              </w:rPr>
              <w:t>Perinatal and child mortality reports received, reviewed and classified</w:t>
            </w:r>
          </w:p>
        </w:tc>
        <w:tc>
          <w:tcPr>
            <w:tcW w:w="1021" w:type="dxa"/>
            <w:tcBorders>
              <w:bottom w:val="single" w:sz="4" w:space="0" w:color="DBDBDB" w:themeColor="accent3" w:themeTint="66"/>
            </w:tcBorders>
            <w:shd w:val="clear" w:color="auto" w:fill="auto"/>
            <w:hideMark/>
          </w:tcPr>
          <w:p w14:paraId="50699C06" w14:textId="77777777" w:rsidR="00B0569D" w:rsidRPr="00D02A2E" w:rsidRDefault="00B0569D" w:rsidP="00B0569D">
            <w:pPr>
              <w:pStyle w:val="ARtabletextcentre"/>
            </w:pPr>
            <w:r w:rsidRPr="00C5726C">
              <w:rPr>
                <w:noProof/>
              </w:rPr>
              <w:t>per cent</w:t>
            </w:r>
          </w:p>
        </w:tc>
        <w:tc>
          <w:tcPr>
            <w:tcW w:w="1021" w:type="dxa"/>
            <w:tcBorders>
              <w:bottom w:val="single" w:sz="4" w:space="0" w:color="DBDBDB" w:themeColor="accent3" w:themeTint="66"/>
            </w:tcBorders>
            <w:shd w:val="clear" w:color="auto" w:fill="auto"/>
            <w:hideMark/>
          </w:tcPr>
          <w:p w14:paraId="7E9377C7" w14:textId="77777777" w:rsidR="00B0569D" w:rsidRDefault="00B0569D" w:rsidP="00B0569D">
            <w:pPr>
              <w:pStyle w:val="ARtabletextright"/>
            </w:pPr>
            <w:r w:rsidRPr="00C5726C">
              <w:rPr>
                <w:noProof/>
              </w:rPr>
              <w:t>95</w:t>
            </w:r>
          </w:p>
        </w:tc>
        <w:tc>
          <w:tcPr>
            <w:tcW w:w="1021" w:type="dxa"/>
            <w:tcBorders>
              <w:bottom w:val="single" w:sz="4" w:space="0" w:color="DBDBDB" w:themeColor="accent3" w:themeTint="66"/>
            </w:tcBorders>
            <w:shd w:val="clear" w:color="auto" w:fill="auto"/>
            <w:hideMark/>
          </w:tcPr>
          <w:p w14:paraId="7A67192E" w14:textId="77777777" w:rsidR="00B0569D" w:rsidRDefault="00B0569D" w:rsidP="00B0569D">
            <w:pPr>
              <w:pStyle w:val="ARtabletextright"/>
            </w:pPr>
            <w:r w:rsidRPr="00C5726C">
              <w:rPr>
                <w:noProof/>
              </w:rPr>
              <w:t>95.5</w:t>
            </w:r>
          </w:p>
        </w:tc>
        <w:tc>
          <w:tcPr>
            <w:tcW w:w="1021" w:type="dxa"/>
            <w:tcBorders>
              <w:bottom w:val="single" w:sz="4" w:space="0" w:color="DBDBDB" w:themeColor="accent3" w:themeTint="66"/>
            </w:tcBorders>
            <w:shd w:val="clear" w:color="auto" w:fill="auto"/>
          </w:tcPr>
          <w:p w14:paraId="603DFEB5" w14:textId="77777777" w:rsidR="00B0569D" w:rsidRDefault="00B0569D" w:rsidP="00B0569D">
            <w:pPr>
              <w:pStyle w:val="ARtabletextright"/>
            </w:pPr>
            <w:r w:rsidRPr="00C5726C">
              <w:rPr>
                <w:noProof/>
              </w:rPr>
              <w:t>0.5</w:t>
            </w:r>
          </w:p>
        </w:tc>
        <w:tc>
          <w:tcPr>
            <w:tcW w:w="794" w:type="dxa"/>
            <w:tcBorders>
              <w:bottom w:val="single" w:sz="4" w:space="0" w:color="DBDBDB" w:themeColor="accent3" w:themeTint="66"/>
            </w:tcBorders>
            <w:shd w:val="clear" w:color="auto" w:fill="auto"/>
            <w:hideMark/>
          </w:tcPr>
          <w:p w14:paraId="45614F7A" w14:textId="4F6933CA" w:rsidR="00B0569D" w:rsidRPr="00D02A2E" w:rsidRDefault="00CF2633" w:rsidP="00A52A4C">
            <w:pPr>
              <w:pStyle w:val="ARtableperformancesymbol"/>
            </w:pPr>
            <w:r>
              <w:rPr>
                <w:noProof/>
              </w:rPr>
              <w:drawing>
                <wp:inline distT="0" distB="0" distL="0" distR="0" wp14:anchorId="3DDAEF09" wp14:editId="1311088C">
                  <wp:extent cx="85320" cy="85320"/>
                  <wp:effectExtent l="0" t="0" r="0" b="0"/>
                  <wp:docPr id="115" name="Graphic 115"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B0569D" w:rsidRPr="00D02A2E" w14:paraId="51EEA05C" w14:textId="77777777" w:rsidTr="000F1C6B">
        <w:trPr>
          <w:cantSplit/>
        </w:trPr>
        <w:tc>
          <w:tcPr>
            <w:tcW w:w="4761" w:type="dxa"/>
            <w:tcBorders>
              <w:top w:val="single" w:sz="4" w:space="0" w:color="DBDBDB" w:themeColor="accent3" w:themeTint="66"/>
              <w:bottom w:val="single" w:sz="4" w:space="0" w:color="DBDBDB" w:themeColor="accent3" w:themeTint="66"/>
            </w:tcBorders>
            <w:shd w:val="clear" w:color="auto" w:fill="auto"/>
            <w:hideMark/>
          </w:tcPr>
          <w:p w14:paraId="57DA6409" w14:textId="77777777" w:rsidR="00B0569D" w:rsidRPr="00D02A2E" w:rsidRDefault="00B0569D" w:rsidP="00B0569D">
            <w:pPr>
              <w:pStyle w:val="ARtabletext"/>
            </w:pPr>
            <w:r w:rsidRPr="00C5726C">
              <w:rPr>
                <w:noProof/>
              </w:rPr>
              <w:t>Public hospitals accredited</w:t>
            </w:r>
          </w:p>
        </w:tc>
        <w:tc>
          <w:tcPr>
            <w:tcW w:w="1021" w:type="dxa"/>
            <w:tcBorders>
              <w:top w:val="single" w:sz="4" w:space="0" w:color="DBDBDB" w:themeColor="accent3" w:themeTint="66"/>
              <w:bottom w:val="single" w:sz="4" w:space="0" w:color="DBDBDB" w:themeColor="accent3" w:themeTint="66"/>
            </w:tcBorders>
            <w:shd w:val="clear" w:color="auto" w:fill="auto"/>
            <w:hideMark/>
          </w:tcPr>
          <w:p w14:paraId="703CA48E" w14:textId="77777777" w:rsidR="00B0569D" w:rsidRPr="00D02A2E" w:rsidRDefault="00B0569D" w:rsidP="00B0569D">
            <w:pPr>
              <w:pStyle w:val="ARtabletextcentre"/>
            </w:pPr>
            <w:r w:rsidRPr="00C5726C">
              <w:rPr>
                <w:noProof/>
              </w:rPr>
              <w:t>per cent</w:t>
            </w:r>
          </w:p>
        </w:tc>
        <w:tc>
          <w:tcPr>
            <w:tcW w:w="1021" w:type="dxa"/>
            <w:tcBorders>
              <w:top w:val="single" w:sz="4" w:space="0" w:color="DBDBDB" w:themeColor="accent3" w:themeTint="66"/>
              <w:bottom w:val="single" w:sz="4" w:space="0" w:color="DBDBDB" w:themeColor="accent3" w:themeTint="66"/>
            </w:tcBorders>
            <w:shd w:val="clear" w:color="auto" w:fill="auto"/>
            <w:hideMark/>
          </w:tcPr>
          <w:p w14:paraId="6181BC04" w14:textId="77777777" w:rsidR="00B0569D" w:rsidRDefault="00B0569D" w:rsidP="00B0569D">
            <w:pPr>
              <w:pStyle w:val="ARtabletextright"/>
            </w:pPr>
            <w:r w:rsidRPr="00C5726C">
              <w:rPr>
                <w:noProof/>
              </w:rPr>
              <w:t>100</w:t>
            </w:r>
          </w:p>
        </w:tc>
        <w:tc>
          <w:tcPr>
            <w:tcW w:w="1021" w:type="dxa"/>
            <w:tcBorders>
              <w:top w:val="single" w:sz="4" w:space="0" w:color="DBDBDB" w:themeColor="accent3" w:themeTint="66"/>
              <w:bottom w:val="single" w:sz="4" w:space="0" w:color="DBDBDB" w:themeColor="accent3" w:themeTint="66"/>
            </w:tcBorders>
            <w:shd w:val="clear" w:color="auto" w:fill="auto"/>
            <w:hideMark/>
          </w:tcPr>
          <w:p w14:paraId="4916DCF7" w14:textId="77777777" w:rsidR="00B0569D" w:rsidRDefault="00B0569D" w:rsidP="00B0569D">
            <w:pPr>
              <w:pStyle w:val="ARtabletextright"/>
            </w:pPr>
            <w:r w:rsidRPr="00C5726C">
              <w:rPr>
                <w:noProof/>
              </w:rPr>
              <w:t>100</w:t>
            </w:r>
          </w:p>
        </w:tc>
        <w:tc>
          <w:tcPr>
            <w:tcW w:w="1021" w:type="dxa"/>
            <w:tcBorders>
              <w:top w:val="single" w:sz="4" w:space="0" w:color="DBDBDB" w:themeColor="accent3" w:themeTint="66"/>
              <w:bottom w:val="single" w:sz="4" w:space="0" w:color="DBDBDB" w:themeColor="accent3" w:themeTint="66"/>
            </w:tcBorders>
            <w:shd w:val="clear" w:color="auto" w:fill="auto"/>
          </w:tcPr>
          <w:p w14:paraId="0D27BEB5" w14:textId="77777777" w:rsidR="00B0569D" w:rsidRDefault="00B0569D" w:rsidP="00B0569D">
            <w:pPr>
              <w:pStyle w:val="ARtabletextright"/>
            </w:pPr>
            <w:r w:rsidRPr="00C5726C">
              <w:rPr>
                <w:noProof/>
              </w:rPr>
              <w:t>0</w:t>
            </w:r>
          </w:p>
        </w:tc>
        <w:tc>
          <w:tcPr>
            <w:tcW w:w="794" w:type="dxa"/>
            <w:tcBorders>
              <w:top w:val="single" w:sz="4" w:space="0" w:color="DBDBDB" w:themeColor="accent3" w:themeTint="66"/>
              <w:bottom w:val="single" w:sz="4" w:space="0" w:color="DBDBDB" w:themeColor="accent3" w:themeTint="66"/>
            </w:tcBorders>
            <w:shd w:val="clear" w:color="auto" w:fill="auto"/>
            <w:hideMark/>
          </w:tcPr>
          <w:p w14:paraId="48CBEA77" w14:textId="1D98174C" w:rsidR="00B0569D" w:rsidRPr="00D02A2E" w:rsidRDefault="00CF2633" w:rsidP="00A52A4C">
            <w:pPr>
              <w:pStyle w:val="ARtableperformancesymbol"/>
            </w:pPr>
            <w:r>
              <w:rPr>
                <w:noProof/>
              </w:rPr>
              <w:drawing>
                <wp:inline distT="0" distB="0" distL="0" distR="0" wp14:anchorId="327B7854" wp14:editId="45C4061B">
                  <wp:extent cx="85320" cy="85320"/>
                  <wp:effectExtent l="0" t="0" r="0" b="0"/>
                  <wp:docPr id="116" name="Graphic 116"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B0569D" w:rsidRPr="00D02A2E" w14:paraId="4381A008" w14:textId="77777777" w:rsidTr="000F1C6B">
        <w:trPr>
          <w:cantSplit/>
        </w:trPr>
        <w:tc>
          <w:tcPr>
            <w:tcW w:w="4761" w:type="dxa"/>
            <w:tcBorders>
              <w:top w:val="single" w:sz="4" w:space="0" w:color="DBDBDB" w:themeColor="accent3" w:themeTint="66"/>
            </w:tcBorders>
            <w:shd w:val="clear" w:color="auto" w:fill="auto"/>
            <w:hideMark/>
          </w:tcPr>
          <w:p w14:paraId="4A8ACE0D" w14:textId="77777777" w:rsidR="00B0569D" w:rsidRPr="00D02A2E" w:rsidRDefault="00B0569D" w:rsidP="00B0569D">
            <w:pPr>
              <w:pStyle w:val="ARtabletext"/>
            </w:pPr>
            <w:r w:rsidRPr="00C5726C">
              <w:rPr>
                <w:noProof/>
              </w:rPr>
              <w:t>Patient reported hospital cleanliness</w:t>
            </w:r>
          </w:p>
        </w:tc>
        <w:tc>
          <w:tcPr>
            <w:tcW w:w="1021" w:type="dxa"/>
            <w:tcBorders>
              <w:top w:val="single" w:sz="4" w:space="0" w:color="DBDBDB" w:themeColor="accent3" w:themeTint="66"/>
            </w:tcBorders>
            <w:shd w:val="clear" w:color="auto" w:fill="auto"/>
            <w:hideMark/>
          </w:tcPr>
          <w:p w14:paraId="4A0FA063" w14:textId="77777777" w:rsidR="00B0569D" w:rsidRPr="00D02A2E" w:rsidRDefault="00B0569D" w:rsidP="00B0569D">
            <w:pPr>
              <w:pStyle w:val="ARtabletextcentre"/>
            </w:pPr>
            <w:r w:rsidRPr="00C5726C">
              <w:rPr>
                <w:noProof/>
              </w:rPr>
              <w:t>per cent</w:t>
            </w:r>
          </w:p>
        </w:tc>
        <w:tc>
          <w:tcPr>
            <w:tcW w:w="1021" w:type="dxa"/>
            <w:tcBorders>
              <w:top w:val="single" w:sz="4" w:space="0" w:color="DBDBDB" w:themeColor="accent3" w:themeTint="66"/>
            </w:tcBorders>
            <w:shd w:val="clear" w:color="auto" w:fill="auto"/>
            <w:hideMark/>
          </w:tcPr>
          <w:p w14:paraId="5488E3BC" w14:textId="77777777" w:rsidR="00B0569D" w:rsidRDefault="00B0569D" w:rsidP="00B0569D">
            <w:pPr>
              <w:pStyle w:val="ARtabletextright"/>
            </w:pPr>
            <w:r w:rsidRPr="00C5726C">
              <w:rPr>
                <w:noProof/>
              </w:rPr>
              <w:t>70</w:t>
            </w:r>
          </w:p>
        </w:tc>
        <w:tc>
          <w:tcPr>
            <w:tcW w:w="1021" w:type="dxa"/>
            <w:tcBorders>
              <w:top w:val="single" w:sz="4" w:space="0" w:color="DBDBDB" w:themeColor="accent3" w:themeTint="66"/>
            </w:tcBorders>
            <w:shd w:val="clear" w:color="auto" w:fill="auto"/>
            <w:hideMark/>
          </w:tcPr>
          <w:p w14:paraId="2295811C" w14:textId="77777777" w:rsidR="00B0569D" w:rsidRDefault="00B0569D" w:rsidP="00B0569D">
            <w:pPr>
              <w:pStyle w:val="ARtabletextright"/>
            </w:pPr>
            <w:r w:rsidRPr="00C5726C">
              <w:rPr>
                <w:noProof/>
              </w:rPr>
              <w:t>0</w:t>
            </w:r>
          </w:p>
        </w:tc>
        <w:tc>
          <w:tcPr>
            <w:tcW w:w="1021" w:type="dxa"/>
            <w:tcBorders>
              <w:top w:val="single" w:sz="4" w:space="0" w:color="DBDBDB" w:themeColor="accent3" w:themeTint="66"/>
            </w:tcBorders>
            <w:shd w:val="clear" w:color="auto" w:fill="auto"/>
          </w:tcPr>
          <w:p w14:paraId="5C86D288" w14:textId="77777777" w:rsidR="00B0569D" w:rsidRDefault="00B0569D" w:rsidP="00B0569D">
            <w:pPr>
              <w:pStyle w:val="ARtabletextright"/>
            </w:pPr>
            <w:r w:rsidRPr="00C5726C">
              <w:rPr>
                <w:noProof/>
              </w:rPr>
              <w:t>0</w:t>
            </w:r>
          </w:p>
        </w:tc>
        <w:tc>
          <w:tcPr>
            <w:tcW w:w="794" w:type="dxa"/>
            <w:tcBorders>
              <w:top w:val="single" w:sz="4" w:space="0" w:color="DBDBDB" w:themeColor="accent3" w:themeTint="66"/>
            </w:tcBorders>
            <w:shd w:val="clear" w:color="auto" w:fill="auto"/>
            <w:hideMark/>
          </w:tcPr>
          <w:p w14:paraId="3B47908F" w14:textId="7D78AC4E" w:rsidR="00B0569D" w:rsidRPr="00D02A2E" w:rsidRDefault="00B0569D" w:rsidP="00B0569D">
            <w:pPr>
              <w:pStyle w:val="ARtabletextright"/>
            </w:pPr>
            <w:r>
              <w:rPr>
                <w:noProof/>
              </w:rPr>
              <w:t>N/A</w:t>
            </w:r>
          </w:p>
        </w:tc>
      </w:tr>
      <w:tr w:rsidR="00B0569D" w:rsidRPr="00D02A2E" w14:paraId="179C5C73" w14:textId="77777777" w:rsidTr="000F1C6B">
        <w:trPr>
          <w:cantSplit/>
        </w:trPr>
        <w:tc>
          <w:tcPr>
            <w:tcW w:w="9639" w:type="dxa"/>
            <w:gridSpan w:val="6"/>
            <w:tcBorders>
              <w:bottom w:val="single" w:sz="4" w:space="0" w:color="BFBFBF"/>
            </w:tcBorders>
            <w:shd w:val="clear" w:color="auto" w:fill="auto"/>
            <w:noWrap/>
            <w:hideMark/>
          </w:tcPr>
          <w:p w14:paraId="5EE523D4" w14:textId="77777777" w:rsidR="00B0569D" w:rsidRPr="00D02A2E" w:rsidRDefault="00B0569D" w:rsidP="00B0569D">
            <w:pPr>
              <w:pStyle w:val="ARtablenoteindent"/>
            </w:pPr>
            <w:r w:rsidRPr="00C5726C">
              <w:rPr>
                <w:noProof/>
              </w:rPr>
              <w:t xml:space="preserve">The </w:t>
            </w:r>
            <w:r w:rsidRPr="0081340D">
              <w:rPr>
                <w:noProof/>
              </w:rPr>
              <w:t>Victorian</w:t>
            </w:r>
            <w:r>
              <w:rPr>
                <w:noProof/>
              </w:rPr>
              <w:t xml:space="preserve"> Healthcare Experience Survey</w:t>
            </w:r>
            <w:r w:rsidRPr="00C5726C">
              <w:rPr>
                <w:noProof/>
              </w:rPr>
              <w:t xml:space="preserve"> program was paused in </w:t>
            </w:r>
            <w:r>
              <w:rPr>
                <w:noProof/>
              </w:rPr>
              <w:t>Quarter 4</w:t>
            </w:r>
            <w:r w:rsidRPr="00C5726C">
              <w:rPr>
                <w:noProof/>
              </w:rPr>
              <w:t xml:space="preserve"> 2020 and remain</w:t>
            </w:r>
            <w:r>
              <w:rPr>
                <w:noProof/>
              </w:rPr>
              <w:t>ed</w:t>
            </w:r>
            <w:r w:rsidRPr="00C5726C">
              <w:rPr>
                <w:noProof/>
              </w:rPr>
              <w:t xml:space="preserve"> on hold until August 2021. Thus data for Q</w:t>
            </w:r>
            <w:r>
              <w:rPr>
                <w:noProof/>
              </w:rPr>
              <w:t xml:space="preserve">uarter </w:t>
            </w:r>
            <w:r w:rsidRPr="00C5726C">
              <w:rPr>
                <w:noProof/>
              </w:rPr>
              <w:t>4 202</w:t>
            </w:r>
            <w:r>
              <w:rPr>
                <w:noProof/>
              </w:rPr>
              <w:t>0–</w:t>
            </w:r>
            <w:r w:rsidRPr="00C5726C">
              <w:rPr>
                <w:noProof/>
              </w:rPr>
              <w:t>21 and the 202</w:t>
            </w:r>
            <w:r>
              <w:rPr>
                <w:noProof/>
              </w:rPr>
              <w:t>0–</w:t>
            </w:r>
            <w:r w:rsidRPr="00C5726C">
              <w:rPr>
                <w:noProof/>
              </w:rPr>
              <w:t>21 financial year was not collected and is not available.</w:t>
            </w:r>
          </w:p>
        </w:tc>
      </w:tr>
      <w:tr w:rsidR="00CF2633" w:rsidRPr="00D02A2E" w14:paraId="56253E9A" w14:textId="77777777" w:rsidTr="000F1C6B">
        <w:trPr>
          <w:cantSplit/>
        </w:trPr>
        <w:tc>
          <w:tcPr>
            <w:tcW w:w="4761" w:type="dxa"/>
            <w:tcBorders>
              <w:bottom w:val="single" w:sz="4" w:space="0" w:color="DBDBDB" w:themeColor="accent3" w:themeTint="66"/>
            </w:tcBorders>
            <w:shd w:val="clear" w:color="auto" w:fill="auto"/>
            <w:hideMark/>
          </w:tcPr>
          <w:p w14:paraId="649378D9" w14:textId="77777777" w:rsidR="00CF2633" w:rsidRPr="00D02A2E" w:rsidRDefault="00CF2633" w:rsidP="00CF2633">
            <w:pPr>
              <w:pStyle w:val="ARtabletext"/>
            </w:pPr>
            <w:r w:rsidRPr="00C5726C">
              <w:rPr>
                <w:noProof/>
              </w:rPr>
              <w:t>Staphylococcus aureus bacteraemias (SAB) infections per 10 000 patient days</w:t>
            </w:r>
          </w:p>
        </w:tc>
        <w:tc>
          <w:tcPr>
            <w:tcW w:w="1021" w:type="dxa"/>
            <w:tcBorders>
              <w:bottom w:val="single" w:sz="4" w:space="0" w:color="DBDBDB" w:themeColor="accent3" w:themeTint="66"/>
            </w:tcBorders>
            <w:shd w:val="clear" w:color="auto" w:fill="auto"/>
            <w:hideMark/>
          </w:tcPr>
          <w:p w14:paraId="08900B35" w14:textId="77777777" w:rsidR="00CF2633" w:rsidRPr="00D02A2E" w:rsidRDefault="00CF2633" w:rsidP="00CF2633">
            <w:pPr>
              <w:pStyle w:val="ARtabletextcentre"/>
            </w:pPr>
            <w:r w:rsidRPr="00C5726C">
              <w:rPr>
                <w:noProof/>
              </w:rPr>
              <w:t>rate</w:t>
            </w:r>
          </w:p>
        </w:tc>
        <w:tc>
          <w:tcPr>
            <w:tcW w:w="1021" w:type="dxa"/>
            <w:tcBorders>
              <w:bottom w:val="single" w:sz="4" w:space="0" w:color="DBDBDB" w:themeColor="accent3" w:themeTint="66"/>
            </w:tcBorders>
            <w:shd w:val="clear" w:color="auto" w:fill="auto"/>
            <w:hideMark/>
          </w:tcPr>
          <w:p w14:paraId="190A92B9" w14:textId="77777777" w:rsidR="00CF2633" w:rsidRDefault="00CF2633" w:rsidP="00CF2633">
            <w:pPr>
              <w:pStyle w:val="ARtabletextright"/>
            </w:pPr>
            <w:r w:rsidRPr="00C5726C">
              <w:rPr>
                <w:noProof/>
              </w:rPr>
              <w:t>1</w:t>
            </w:r>
          </w:p>
        </w:tc>
        <w:tc>
          <w:tcPr>
            <w:tcW w:w="1021" w:type="dxa"/>
            <w:tcBorders>
              <w:bottom w:val="single" w:sz="4" w:space="0" w:color="DBDBDB" w:themeColor="accent3" w:themeTint="66"/>
            </w:tcBorders>
            <w:shd w:val="clear" w:color="auto" w:fill="auto"/>
            <w:hideMark/>
          </w:tcPr>
          <w:p w14:paraId="45AB8BF6" w14:textId="77777777" w:rsidR="00CF2633" w:rsidRDefault="00CF2633" w:rsidP="00CF2633">
            <w:pPr>
              <w:pStyle w:val="ARtabletextright"/>
            </w:pPr>
            <w:r w:rsidRPr="00C5726C">
              <w:rPr>
                <w:noProof/>
              </w:rPr>
              <w:t>0.</w:t>
            </w:r>
            <w:r>
              <w:rPr>
                <w:noProof/>
              </w:rPr>
              <w:t>7</w:t>
            </w:r>
          </w:p>
        </w:tc>
        <w:tc>
          <w:tcPr>
            <w:tcW w:w="1021" w:type="dxa"/>
            <w:tcBorders>
              <w:bottom w:val="single" w:sz="4" w:space="0" w:color="DBDBDB" w:themeColor="accent3" w:themeTint="66"/>
            </w:tcBorders>
            <w:shd w:val="clear" w:color="auto" w:fill="auto"/>
          </w:tcPr>
          <w:p w14:paraId="61254484" w14:textId="77777777" w:rsidR="00CF2633" w:rsidRDefault="00CF2633" w:rsidP="00CF2633">
            <w:pPr>
              <w:pStyle w:val="ARtabletextright"/>
            </w:pPr>
            <w:r>
              <w:rPr>
                <w:noProof/>
              </w:rPr>
              <w:t>−</w:t>
            </w:r>
            <w:r w:rsidRPr="00C5726C">
              <w:rPr>
                <w:noProof/>
              </w:rPr>
              <w:t>30</w:t>
            </w:r>
          </w:p>
        </w:tc>
        <w:tc>
          <w:tcPr>
            <w:tcW w:w="794" w:type="dxa"/>
            <w:tcBorders>
              <w:bottom w:val="single" w:sz="4" w:space="0" w:color="DBDBDB" w:themeColor="accent3" w:themeTint="66"/>
            </w:tcBorders>
            <w:shd w:val="clear" w:color="auto" w:fill="auto"/>
            <w:hideMark/>
          </w:tcPr>
          <w:p w14:paraId="6DC26839" w14:textId="123BDE02" w:rsidR="00CF2633" w:rsidRPr="00D02A2E" w:rsidRDefault="00CF2633" w:rsidP="00A52A4C">
            <w:pPr>
              <w:pStyle w:val="ARtableperformancesymbol"/>
            </w:pPr>
            <w:r w:rsidRPr="00260CE0">
              <w:rPr>
                <w:noProof/>
              </w:rPr>
              <w:drawing>
                <wp:inline distT="0" distB="0" distL="0" distR="0" wp14:anchorId="1DC0B33E" wp14:editId="04A91410">
                  <wp:extent cx="85320" cy="85320"/>
                  <wp:effectExtent l="0" t="0" r="0" b="0"/>
                  <wp:docPr id="117" name="Graphic 117"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rsidRPr="00260CE0">
              <w:t xml:space="preserve"> </w:t>
            </w:r>
          </w:p>
        </w:tc>
      </w:tr>
      <w:tr w:rsidR="00CF2633" w:rsidRPr="00D02A2E" w14:paraId="294C55E1" w14:textId="77777777" w:rsidTr="000F1C6B">
        <w:trPr>
          <w:cantSplit/>
        </w:trPr>
        <w:tc>
          <w:tcPr>
            <w:tcW w:w="4761" w:type="dxa"/>
            <w:tcBorders>
              <w:top w:val="single" w:sz="4" w:space="0" w:color="DBDBDB" w:themeColor="accent3" w:themeTint="66"/>
              <w:bottom w:val="single" w:sz="4" w:space="0" w:color="DBDBDB" w:themeColor="accent3" w:themeTint="66"/>
            </w:tcBorders>
            <w:shd w:val="clear" w:color="auto" w:fill="auto"/>
            <w:hideMark/>
          </w:tcPr>
          <w:p w14:paraId="6DDF895C" w14:textId="77777777" w:rsidR="00CF2633" w:rsidRPr="00D02A2E" w:rsidRDefault="00CF2633" w:rsidP="00CF2633">
            <w:pPr>
              <w:pStyle w:val="ARtabletext"/>
            </w:pPr>
            <w:r w:rsidRPr="00C5726C">
              <w:rPr>
                <w:noProof/>
              </w:rPr>
              <w:t>Unplanned/unexpected readmission for acute myocardial infarction</w:t>
            </w:r>
          </w:p>
        </w:tc>
        <w:tc>
          <w:tcPr>
            <w:tcW w:w="1021" w:type="dxa"/>
            <w:tcBorders>
              <w:top w:val="single" w:sz="4" w:space="0" w:color="DBDBDB" w:themeColor="accent3" w:themeTint="66"/>
              <w:bottom w:val="single" w:sz="4" w:space="0" w:color="DBDBDB" w:themeColor="accent3" w:themeTint="66"/>
            </w:tcBorders>
            <w:shd w:val="clear" w:color="auto" w:fill="auto"/>
            <w:hideMark/>
          </w:tcPr>
          <w:p w14:paraId="33A59272" w14:textId="77777777" w:rsidR="00CF2633" w:rsidRPr="00D02A2E" w:rsidRDefault="00CF2633" w:rsidP="00CF2633">
            <w:pPr>
              <w:pStyle w:val="ARtabletextcentre"/>
            </w:pPr>
            <w:r w:rsidRPr="00C5726C">
              <w:rPr>
                <w:noProof/>
              </w:rPr>
              <w:t>per cent</w:t>
            </w:r>
          </w:p>
        </w:tc>
        <w:tc>
          <w:tcPr>
            <w:tcW w:w="1021" w:type="dxa"/>
            <w:tcBorders>
              <w:top w:val="single" w:sz="4" w:space="0" w:color="DBDBDB" w:themeColor="accent3" w:themeTint="66"/>
              <w:bottom w:val="single" w:sz="4" w:space="0" w:color="DBDBDB" w:themeColor="accent3" w:themeTint="66"/>
            </w:tcBorders>
            <w:shd w:val="clear" w:color="auto" w:fill="auto"/>
            <w:hideMark/>
          </w:tcPr>
          <w:p w14:paraId="71EFFB59" w14:textId="77777777" w:rsidR="00CF2633" w:rsidRDefault="00CF2633" w:rsidP="00CF2633">
            <w:pPr>
              <w:pStyle w:val="ARtabletextright"/>
            </w:pPr>
            <w:r w:rsidRPr="00C5726C">
              <w:rPr>
                <w:noProof/>
              </w:rPr>
              <w:t>2</w:t>
            </w:r>
          </w:p>
        </w:tc>
        <w:tc>
          <w:tcPr>
            <w:tcW w:w="1021" w:type="dxa"/>
            <w:tcBorders>
              <w:top w:val="single" w:sz="4" w:space="0" w:color="DBDBDB" w:themeColor="accent3" w:themeTint="66"/>
              <w:bottom w:val="single" w:sz="4" w:space="0" w:color="DBDBDB" w:themeColor="accent3" w:themeTint="66"/>
            </w:tcBorders>
            <w:shd w:val="clear" w:color="auto" w:fill="auto"/>
            <w:hideMark/>
          </w:tcPr>
          <w:p w14:paraId="1E8A80AB" w14:textId="77777777" w:rsidR="00CF2633" w:rsidRDefault="00CF2633" w:rsidP="00CF2633">
            <w:pPr>
              <w:pStyle w:val="ARtabletextright"/>
            </w:pPr>
            <w:r w:rsidRPr="00C5726C">
              <w:rPr>
                <w:noProof/>
              </w:rPr>
              <w:t>1.8</w:t>
            </w:r>
          </w:p>
        </w:tc>
        <w:tc>
          <w:tcPr>
            <w:tcW w:w="1021" w:type="dxa"/>
            <w:tcBorders>
              <w:top w:val="single" w:sz="4" w:space="0" w:color="DBDBDB" w:themeColor="accent3" w:themeTint="66"/>
              <w:bottom w:val="single" w:sz="4" w:space="0" w:color="DBDBDB" w:themeColor="accent3" w:themeTint="66"/>
            </w:tcBorders>
            <w:shd w:val="clear" w:color="auto" w:fill="auto"/>
          </w:tcPr>
          <w:p w14:paraId="4276D2FF" w14:textId="77777777" w:rsidR="00CF2633" w:rsidRDefault="00CF2633" w:rsidP="00CF2633">
            <w:pPr>
              <w:pStyle w:val="ARtabletextright"/>
            </w:pPr>
            <w:r>
              <w:rPr>
                <w:noProof/>
              </w:rPr>
              <w:t>−</w:t>
            </w:r>
            <w:r w:rsidRPr="00C5726C">
              <w:rPr>
                <w:noProof/>
              </w:rPr>
              <w:t>10</w:t>
            </w:r>
          </w:p>
        </w:tc>
        <w:tc>
          <w:tcPr>
            <w:tcW w:w="794" w:type="dxa"/>
            <w:tcBorders>
              <w:top w:val="single" w:sz="4" w:space="0" w:color="DBDBDB" w:themeColor="accent3" w:themeTint="66"/>
              <w:bottom w:val="single" w:sz="4" w:space="0" w:color="DBDBDB" w:themeColor="accent3" w:themeTint="66"/>
            </w:tcBorders>
            <w:shd w:val="clear" w:color="auto" w:fill="auto"/>
            <w:hideMark/>
          </w:tcPr>
          <w:p w14:paraId="63896749" w14:textId="17839DE6" w:rsidR="00CF2633" w:rsidRPr="00D02A2E" w:rsidRDefault="00CF2633" w:rsidP="00A52A4C">
            <w:pPr>
              <w:pStyle w:val="ARtableperformancesymbol"/>
            </w:pPr>
            <w:r w:rsidRPr="00260CE0">
              <w:rPr>
                <w:noProof/>
              </w:rPr>
              <w:drawing>
                <wp:inline distT="0" distB="0" distL="0" distR="0" wp14:anchorId="2F4D4D5C" wp14:editId="439D7CDE">
                  <wp:extent cx="85320" cy="85320"/>
                  <wp:effectExtent l="0" t="0" r="0" b="0"/>
                  <wp:docPr id="118" name="Graphic 118"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rsidRPr="00260CE0">
              <w:t xml:space="preserve"> </w:t>
            </w:r>
          </w:p>
        </w:tc>
      </w:tr>
      <w:tr w:rsidR="00CF2633" w:rsidRPr="00D02A2E" w14:paraId="72DBF1F2" w14:textId="77777777" w:rsidTr="000F1C6B">
        <w:trPr>
          <w:cantSplit/>
        </w:trPr>
        <w:tc>
          <w:tcPr>
            <w:tcW w:w="4761" w:type="dxa"/>
            <w:tcBorders>
              <w:top w:val="single" w:sz="4" w:space="0" w:color="DBDBDB" w:themeColor="accent3" w:themeTint="66"/>
              <w:bottom w:val="single" w:sz="4" w:space="0" w:color="DBDBDB" w:themeColor="accent3" w:themeTint="66"/>
            </w:tcBorders>
            <w:shd w:val="clear" w:color="auto" w:fill="auto"/>
            <w:hideMark/>
          </w:tcPr>
          <w:p w14:paraId="708763F7" w14:textId="77777777" w:rsidR="00CF2633" w:rsidRPr="00D02A2E" w:rsidRDefault="00CF2633" w:rsidP="00CF2633">
            <w:pPr>
              <w:pStyle w:val="ARtabletext"/>
            </w:pPr>
            <w:r w:rsidRPr="00C5726C">
              <w:rPr>
                <w:noProof/>
              </w:rPr>
              <w:t>Unplanned/unexpected readmission for heart failure</w:t>
            </w:r>
          </w:p>
        </w:tc>
        <w:tc>
          <w:tcPr>
            <w:tcW w:w="1021" w:type="dxa"/>
            <w:tcBorders>
              <w:top w:val="single" w:sz="4" w:space="0" w:color="DBDBDB" w:themeColor="accent3" w:themeTint="66"/>
              <w:bottom w:val="single" w:sz="4" w:space="0" w:color="DBDBDB" w:themeColor="accent3" w:themeTint="66"/>
            </w:tcBorders>
            <w:shd w:val="clear" w:color="auto" w:fill="auto"/>
            <w:hideMark/>
          </w:tcPr>
          <w:p w14:paraId="1512E2A9" w14:textId="77777777" w:rsidR="00CF2633" w:rsidRPr="00D02A2E" w:rsidRDefault="00CF2633" w:rsidP="00CF2633">
            <w:pPr>
              <w:pStyle w:val="ARtabletextcentre"/>
            </w:pPr>
            <w:r w:rsidRPr="00C5726C">
              <w:rPr>
                <w:noProof/>
              </w:rPr>
              <w:t>per cent</w:t>
            </w:r>
          </w:p>
        </w:tc>
        <w:tc>
          <w:tcPr>
            <w:tcW w:w="1021" w:type="dxa"/>
            <w:tcBorders>
              <w:top w:val="single" w:sz="4" w:space="0" w:color="DBDBDB" w:themeColor="accent3" w:themeTint="66"/>
              <w:bottom w:val="single" w:sz="4" w:space="0" w:color="DBDBDB" w:themeColor="accent3" w:themeTint="66"/>
            </w:tcBorders>
            <w:shd w:val="clear" w:color="auto" w:fill="auto"/>
            <w:hideMark/>
          </w:tcPr>
          <w:p w14:paraId="108E1E7A" w14:textId="77777777" w:rsidR="00CF2633" w:rsidRDefault="00CF2633" w:rsidP="00CF2633">
            <w:pPr>
              <w:pStyle w:val="ARtabletextright"/>
            </w:pPr>
            <w:r w:rsidRPr="00C5726C">
              <w:rPr>
                <w:noProof/>
              </w:rPr>
              <w:t>10</w:t>
            </w:r>
          </w:p>
        </w:tc>
        <w:tc>
          <w:tcPr>
            <w:tcW w:w="1021" w:type="dxa"/>
            <w:tcBorders>
              <w:top w:val="single" w:sz="4" w:space="0" w:color="DBDBDB" w:themeColor="accent3" w:themeTint="66"/>
              <w:bottom w:val="single" w:sz="4" w:space="0" w:color="DBDBDB" w:themeColor="accent3" w:themeTint="66"/>
            </w:tcBorders>
            <w:shd w:val="clear" w:color="auto" w:fill="auto"/>
            <w:hideMark/>
          </w:tcPr>
          <w:p w14:paraId="3733E0D3" w14:textId="77777777" w:rsidR="00CF2633" w:rsidRDefault="00CF2633" w:rsidP="00CF2633">
            <w:pPr>
              <w:pStyle w:val="ARtabletextright"/>
            </w:pPr>
            <w:r w:rsidRPr="00C5726C">
              <w:rPr>
                <w:noProof/>
              </w:rPr>
              <w:t>7.5</w:t>
            </w:r>
          </w:p>
        </w:tc>
        <w:tc>
          <w:tcPr>
            <w:tcW w:w="1021" w:type="dxa"/>
            <w:tcBorders>
              <w:top w:val="single" w:sz="4" w:space="0" w:color="DBDBDB" w:themeColor="accent3" w:themeTint="66"/>
              <w:bottom w:val="single" w:sz="4" w:space="0" w:color="DBDBDB" w:themeColor="accent3" w:themeTint="66"/>
            </w:tcBorders>
            <w:shd w:val="clear" w:color="auto" w:fill="auto"/>
          </w:tcPr>
          <w:p w14:paraId="5C44C276" w14:textId="77777777" w:rsidR="00CF2633" w:rsidRDefault="00CF2633" w:rsidP="00CF2633">
            <w:pPr>
              <w:pStyle w:val="ARtabletextright"/>
            </w:pPr>
            <w:r>
              <w:rPr>
                <w:noProof/>
              </w:rPr>
              <w:t>−</w:t>
            </w:r>
            <w:r w:rsidRPr="00C5726C">
              <w:rPr>
                <w:noProof/>
              </w:rPr>
              <w:t>25</w:t>
            </w:r>
          </w:p>
        </w:tc>
        <w:tc>
          <w:tcPr>
            <w:tcW w:w="794" w:type="dxa"/>
            <w:tcBorders>
              <w:top w:val="single" w:sz="4" w:space="0" w:color="DBDBDB" w:themeColor="accent3" w:themeTint="66"/>
              <w:bottom w:val="single" w:sz="4" w:space="0" w:color="DBDBDB" w:themeColor="accent3" w:themeTint="66"/>
            </w:tcBorders>
            <w:shd w:val="clear" w:color="auto" w:fill="auto"/>
            <w:hideMark/>
          </w:tcPr>
          <w:p w14:paraId="54E51177" w14:textId="30AF644B" w:rsidR="00CF2633" w:rsidRPr="00D02A2E" w:rsidRDefault="00CF2633" w:rsidP="00A52A4C">
            <w:pPr>
              <w:pStyle w:val="ARtableperformancesymbol"/>
            </w:pPr>
            <w:r w:rsidRPr="00260CE0">
              <w:rPr>
                <w:noProof/>
              </w:rPr>
              <w:drawing>
                <wp:inline distT="0" distB="0" distL="0" distR="0" wp14:anchorId="53A75BF3" wp14:editId="567F56C9">
                  <wp:extent cx="85320" cy="85320"/>
                  <wp:effectExtent l="0" t="0" r="0" b="0"/>
                  <wp:docPr id="119" name="Graphic 119"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rsidRPr="00260CE0">
              <w:t xml:space="preserve"> </w:t>
            </w:r>
          </w:p>
        </w:tc>
      </w:tr>
      <w:tr w:rsidR="00B0569D" w:rsidRPr="00D02A2E" w14:paraId="3F317A9D" w14:textId="77777777" w:rsidTr="000F1C6B">
        <w:trPr>
          <w:cantSplit/>
        </w:trPr>
        <w:tc>
          <w:tcPr>
            <w:tcW w:w="4761" w:type="dxa"/>
            <w:tcBorders>
              <w:top w:val="single" w:sz="4" w:space="0" w:color="DBDBDB" w:themeColor="accent3" w:themeTint="66"/>
              <w:bottom w:val="single" w:sz="4" w:space="0" w:color="DBDBDB" w:themeColor="accent3" w:themeTint="66"/>
            </w:tcBorders>
            <w:shd w:val="clear" w:color="auto" w:fill="auto"/>
            <w:hideMark/>
          </w:tcPr>
          <w:p w14:paraId="7ADDCA72" w14:textId="77777777" w:rsidR="00B0569D" w:rsidRPr="00D02A2E" w:rsidRDefault="00B0569D" w:rsidP="00B0569D">
            <w:pPr>
              <w:pStyle w:val="ARtabletext"/>
            </w:pPr>
            <w:r w:rsidRPr="00C5726C">
              <w:rPr>
                <w:noProof/>
              </w:rPr>
              <w:t>Unplanned/unexpected readmission for hip replacement</w:t>
            </w:r>
          </w:p>
        </w:tc>
        <w:tc>
          <w:tcPr>
            <w:tcW w:w="1021" w:type="dxa"/>
            <w:tcBorders>
              <w:top w:val="single" w:sz="4" w:space="0" w:color="DBDBDB" w:themeColor="accent3" w:themeTint="66"/>
              <w:bottom w:val="single" w:sz="4" w:space="0" w:color="DBDBDB" w:themeColor="accent3" w:themeTint="66"/>
            </w:tcBorders>
            <w:shd w:val="clear" w:color="auto" w:fill="auto"/>
            <w:hideMark/>
          </w:tcPr>
          <w:p w14:paraId="29AC693B" w14:textId="77777777" w:rsidR="00B0569D" w:rsidRPr="00D02A2E" w:rsidRDefault="00B0569D" w:rsidP="00B0569D">
            <w:pPr>
              <w:pStyle w:val="ARtabletextcentre"/>
            </w:pPr>
            <w:r w:rsidRPr="00C5726C">
              <w:rPr>
                <w:noProof/>
              </w:rPr>
              <w:t>per cent</w:t>
            </w:r>
          </w:p>
        </w:tc>
        <w:tc>
          <w:tcPr>
            <w:tcW w:w="1021" w:type="dxa"/>
            <w:tcBorders>
              <w:top w:val="single" w:sz="4" w:space="0" w:color="DBDBDB" w:themeColor="accent3" w:themeTint="66"/>
              <w:bottom w:val="single" w:sz="4" w:space="0" w:color="DBDBDB" w:themeColor="accent3" w:themeTint="66"/>
            </w:tcBorders>
            <w:shd w:val="clear" w:color="auto" w:fill="auto"/>
            <w:hideMark/>
          </w:tcPr>
          <w:p w14:paraId="564DD2FA" w14:textId="77777777" w:rsidR="00B0569D" w:rsidRDefault="00B0569D" w:rsidP="00B0569D">
            <w:pPr>
              <w:pStyle w:val="ARtabletextright"/>
            </w:pPr>
            <w:r w:rsidRPr="00C5726C">
              <w:rPr>
                <w:noProof/>
              </w:rPr>
              <w:t>2.5</w:t>
            </w:r>
          </w:p>
        </w:tc>
        <w:tc>
          <w:tcPr>
            <w:tcW w:w="1021" w:type="dxa"/>
            <w:tcBorders>
              <w:top w:val="single" w:sz="4" w:space="0" w:color="DBDBDB" w:themeColor="accent3" w:themeTint="66"/>
              <w:bottom w:val="single" w:sz="4" w:space="0" w:color="DBDBDB" w:themeColor="accent3" w:themeTint="66"/>
            </w:tcBorders>
            <w:shd w:val="clear" w:color="auto" w:fill="auto"/>
            <w:hideMark/>
          </w:tcPr>
          <w:p w14:paraId="02A392CC" w14:textId="77777777" w:rsidR="00B0569D" w:rsidRDefault="00B0569D" w:rsidP="00B0569D">
            <w:pPr>
              <w:pStyle w:val="ARtabletextright"/>
            </w:pPr>
            <w:r w:rsidRPr="00C5726C">
              <w:rPr>
                <w:noProof/>
              </w:rPr>
              <w:t>3.</w:t>
            </w:r>
            <w:r>
              <w:rPr>
                <w:noProof/>
              </w:rPr>
              <w:t>4</w:t>
            </w:r>
          </w:p>
        </w:tc>
        <w:tc>
          <w:tcPr>
            <w:tcW w:w="1021" w:type="dxa"/>
            <w:tcBorders>
              <w:top w:val="single" w:sz="4" w:space="0" w:color="DBDBDB" w:themeColor="accent3" w:themeTint="66"/>
              <w:bottom w:val="single" w:sz="4" w:space="0" w:color="DBDBDB" w:themeColor="accent3" w:themeTint="66"/>
            </w:tcBorders>
            <w:shd w:val="clear" w:color="auto" w:fill="auto"/>
          </w:tcPr>
          <w:p w14:paraId="584344A5" w14:textId="77777777" w:rsidR="00B0569D" w:rsidRDefault="00B0569D" w:rsidP="00B0569D">
            <w:pPr>
              <w:pStyle w:val="ARtabletextright"/>
            </w:pPr>
            <w:r w:rsidRPr="00C5726C">
              <w:rPr>
                <w:noProof/>
              </w:rPr>
              <w:t>36</w:t>
            </w:r>
          </w:p>
        </w:tc>
        <w:tc>
          <w:tcPr>
            <w:tcW w:w="794" w:type="dxa"/>
            <w:tcBorders>
              <w:top w:val="single" w:sz="4" w:space="0" w:color="DBDBDB" w:themeColor="accent3" w:themeTint="66"/>
              <w:bottom w:val="single" w:sz="4" w:space="0" w:color="DBDBDB" w:themeColor="accent3" w:themeTint="66"/>
            </w:tcBorders>
            <w:shd w:val="clear" w:color="auto" w:fill="auto"/>
            <w:hideMark/>
          </w:tcPr>
          <w:p w14:paraId="27AD520D" w14:textId="72A4C3AE" w:rsidR="00B0569D" w:rsidRPr="00D02A2E" w:rsidRDefault="00B0569D" w:rsidP="00A52A4C">
            <w:pPr>
              <w:pStyle w:val="ARtableperformancesymbol"/>
            </w:pPr>
            <w:r>
              <w:rPr>
                <w:noProof/>
              </w:rPr>
              <w:drawing>
                <wp:inline distT="0" distB="0" distL="0" distR="0" wp14:anchorId="35F3EACA" wp14:editId="69831588">
                  <wp:extent cx="76320" cy="76320"/>
                  <wp:effectExtent l="0" t="0" r="0" b="0"/>
                  <wp:docPr id="30" name="Graphic 30"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B0569D" w:rsidRPr="00D02A2E" w14:paraId="50A102E6" w14:textId="77777777" w:rsidTr="000F1C6B">
        <w:trPr>
          <w:cantSplit/>
        </w:trPr>
        <w:tc>
          <w:tcPr>
            <w:tcW w:w="4761" w:type="dxa"/>
            <w:tcBorders>
              <w:top w:val="single" w:sz="4" w:space="0" w:color="DBDBDB" w:themeColor="accent3" w:themeTint="66"/>
              <w:bottom w:val="single" w:sz="4" w:space="0" w:color="DBDBDB" w:themeColor="accent3" w:themeTint="66"/>
            </w:tcBorders>
            <w:shd w:val="clear" w:color="auto" w:fill="auto"/>
            <w:hideMark/>
          </w:tcPr>
          <w:p w14:paraId="6839B439" w14:textId="77777777" w:rsidR="00B0569D" w:rsidRPr="00D02A2E" w:rsidRDefault="00B0569D" w:rsidP="00B0569D">
            <w:pPr>
              <w:pStyle w:val="ARtabletext"/>
            </w:pPr>
            <w:r w:rsidRPr="00C5726C">
              <w:rPr>
                <w:noProof/>
              </w:rPr>
              <w:t>Unplanned/unexpected readmission for paediatric tonsillectomy and adenoidectomy</w:t>
            </w:r>
          </w:p>
        </w:tc>
        <w:tc>
          <w:tcPr>
            <w:tcW w:w="1021" w:type="dxa"/>
            <w:tcBorders>
              <w:top w:val="single" w:sz="4" w:space="0" w:color="DBDBDB" w:themeColor="accent3" w:themeTint="66"/>
              <w:bottom w:val="single" w:sz="4" w:space="0" w:color="DBDBDB" w:themeColor="accent3" w:themeTint="66"/>
            </w:tcBorders>
            <w:shd w:val="clear" w:color="auto" w:fill="auto"/>
            <w:hideMark/>
          </w:tcPr>
          <w:p w14:paraId="08C3CAB9" w14:textId="77777777" w:rsidR="00B0569D" w:rsidRPr="00D02A2E" w:rsidRDefault="00B0569D" w:rsidP="00B0569D">
            <w:pPr>
              <w:pStyle w:val="ARtabletextcentre"/>
            </w:pPr>
            <w:r w:rsidRPr="00C5726C">
              <w:rPr>
                <w:noProof/>
              </w:rPr>
              <w:t>per cent</w:t>
            </w:r>
          </w:p>
        </w:tc>
        <w:tc>
          <w:tcPr>
            <w:tcW w:w="1021" w:type="dxa"/>
            <w:tcBorders>
              <w:top w:val="single" w:sz="4" w:space="0" w:color="DBDBDB" w:themeColor="accent3" w:themeTint="66"/>
              <w:bottom w:val="single" w:sz="4" w:space="0" w:color="DBDBDB" w:themeColor="accent3" w:themeTint="66"/>
            </w:tcBorders>
            <w:shd w:val="clear" w:color="auto" w:fill="auto"/>
            <w:hideMark/>
          </w:tcPr>
          <w:p w14:paraId="5A44D0C8" w14:textId="77777777" w:rsidR="00B0569D" w:rsidRDefault="00B0569D" w:rsidP="00B0569D">
            <w:pPr>
              <w:pStyle w:val="ARtabletextright"/>
            </w:pPr>
            <w:r w:rsidRPr="00C5726C">
              <w:rPr>
                <w:noProof/>
              </w:rPr>
              <w:t>2.2</w:t>
            </w:r>
          </w:p>
        </w:tc>
        <w:tc>
          <w:tcPr>
            <w:tcW w:w="1021" w:type="dxa"/>
            <w:tcBorders>
              <w:top w:val="single" w:sz="4" w:space="0" w:color="DBDBDB" w:themeColor="accent3" w:themeTint="66"/>
              <w:bottom w:val="single" w:sz="4" w:space="0" w:color="DBDBDB" w:themeColor="accent3" w:themeTint="66"/>
            </w:tcBorders>
            <w:shd w:val="clear" w:color="auto" w:fill="auto"/>
            <w:hideMark/>
          </w:tcPr>
          <w:p w14:paraId="1D0A5DA1" w14:textId="77777777" w:rsidR="00B0569D" w:rsidRDefault="00B0569D" w:rsidP="00B0569D">
            <w:pPr>
              <w:pStyle w:val="ARtabletextright"/>
            </w:pPr>
            <w:r w:rsidRPr="00C5726C">
              <w:rPr>
                <w:noProof/>
              </w:rPr>
              <w:t>2.5</w:t>
            </w:r>
          </w:p>
        </w:tc>
        <w:tc>
          <w:tcPr>
            <w:tcW w:w="1021" w:type="dxa"/>
            <w:tcBorders>
              <w:top w:val="single" w:sz="4" w:space="0" w:color="DBDBDB" w:themeColor="accent3" w:themeTint="66"/>
              <w:bottom w:val="single" w:sz="4" w:space="0" w:color="DBDBDB" w:themeColor="accent3" w:themeTint="66"/>
            </w:tcBorders>
            <w:shd w:val="clear" w:color="auto" w:fill="auto"/>
          </w:tcPr>
          <w:p w14:paraId="31B69C37" w14:textId="77777777" w:rsidR="00B0569D" w:rsidRDefault="00B0569D" w:rsidP="00B0569D">
            <w:pPr>
              <w:pStyle w:val="ARtabletextright"/>
            </w:pPr>
            <w:r w:rsidRPr="00C5726C">
              <w:rPr>
                <w:noProof/>
              </w:rPr>
              <w:t>13.6</w:t>
            </w:r>
          </w:p>
        </w:tc>
        <w:tc>
          <w:tcPr>
            <w:tcW w:w="794" w:type="dxa"/>
            <w:tcBorders>
              <w:top w:val="single" w:sz="4" w:space="0" w:color="DBDBDB" w:themeColor="accent3" w:themeTint="66"/>
              <w:bottom w:val="single" w:sz="4" w:space="0" w:color="DBDBDB" w:themeColor="accent3" w:themeTint="66"/>
            </w:tcBorders>
            <w:shd w:val="clear" w:color="auto" w:fill="auto"/>
            <w:hideMark/>
          </w:tcPr>
          <w:p w14:paraId="4593C2B2" w14:textId="32977EB8" w:rsidR="00B0569D" w:rsidRPr="00D02A2E" w:rsidRDefault="00B0569D" w:rsidP="00A52A4C">
            <w:pPr>
              <w:pStyle w:val="ARtableperformancesymbol"/>
            </w:pPr>
            <w:r>
              <w:rPr>
                <w:noProof/>
              </w:rPr>
              <w:drawing>
                <wp:inline distT="0" distB="0" distL="0" distR="0" wp14:anchorId="78E51E13" wp14:editId="08BFB8D0">
                  <wp:extent cx="76320" cy="76320"/>
                  <wp:effectExtent l="0" t="0" r="0" b="0"/>
                  <wp:docPr id="31" name="Graphic 31"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B0569D" w:rsidRPr="00D02A2E" w14:paraId="71C86444" w14:textId="77777777" w:rsidTr="000F1C6B">
        <w:trPr>
          <w:cantSplit/>
        </w:trPr>
        <w:tc>
          <w:tcPr>
            <w:tcW w:w="4761" w:type="dxa"/>
            <w:tcBorders>
              <w:top w:val="single" w:sz="4" w:space="0" w:color="DBDBDB" w:themeColor="accent3" w:themeTint="66"/>
            </w:tcBorders>
            <w:shd w:val="clear" w:color="auto" w:fill="auto"/>
            <w:hideMark/>
          </w:tcPr>
          <w:p w14:paraId="4BF92265" w14:textId="77777777" w:rsidR="00B0569D" w:rsidRPr="00D02A2E" w:rsidRDefault="00B0569D" w:rsidP="00B0569D">
            <w:pPr>
              <w:pStyle w:val="ARtabletext"/>
            </w:pPr>
            <w:r w:rsidRPr="00C5726C">
              <w:rPr>
                <w:noProof/>
              </w:rPr>
              <w:t>Unplanned/unexpected readmission for knee replacement</w:t>
            </w:r>
          </w:p>
        </w:tc>
        <w:tc>
          <w:tcPr>
            <w:tcW w:w="1021" w:type="dxa"/>
            <w:tcBorders>
              <w:top w:val="single" w:sz="4" w:space="0" w:color="DBDBDB" w:themeColor="accent3" w:themeTint="66"/>
            </w:tcBorders>
            <w:shd w:val="clear" w:color="auto" w:fill="auto"/>
            <w:hideMark/>
          </w:tcPr>
          <w:p w14:paraId="2FA96BA9" w14:textId="77777777" w:rsidR="00B0569D" w:rsidRPr="00D02A2E" w:rsidRDefault="00B0569D" w:rsidP="00B0569D">
            <w:pPr>
              <w:pStyle w:val="ARtabletextcentre"/>
            </w:pPr>
            <w:r w:rsidRPr="00C5726C">
              <w:rPr>
                <w:noProof/>
              </w:rPr>
              <w:t>per cent</w:t>
            </w:r>
          </w:p>
        </w:tc>
        <w:tc>
          <w:tcPr>
            <w:tcW w:w="1021" w:type="dxa"/>
            <w:tcBorders>
              <w:top w:val="single" w:sz="4" w:space="0" w:color="DBDBDB" w:themeColor="accent3" w:themeTint="66"/>
            </w:tcBorders>
            <w:shd w:val="clear" w:color="auto" w:fill="auto"/>
            <w:hideMark/>
          </w:tcPr>
          <w:p w14:paraId="11940C9D" w14:textId="77777777" w:rsidR="00B0569D" w:rsidRDefault="00B0569D" w:rsidP="00B0569D">
            <w:pPr>
              <w:pStyle w:val="ARtabletextright"/>
            </w:pPr>
            <w:r w:rsidRPr="00C5726C">
              <w:rPr>
                <w:noProof/>
              </w:rPr>
              <w:t>6</w:t>
            </w:r>
          </w:p>
        </w:tc>
        <w:tc>
          <w:tcPr>
            <w:tcW w:w="1021" w:type="dxa"/>
            <w:tcBorders>
              <w:top w:val="single" w:sz="4" w:space="0" w:color="DBDBDB" w:themeColor="accent3" w:themeTint="66"/>
            </w:tcBorders>
            <w:shd w:val="clear" w:color="auto" w:fill="auto"/>
            <w:hideMark/>
          </w:tcPr>
          <w:p w14:paraId="77B48AD2" w14:textId="77777777" w:rsidR="00B0569D" w:rsidRDefault="00B0569D" w:rsidP="00B0569D">
            <w:pPr>
              <w:pStyle w:val="ARtabletextright"/>
            </w:pPr>
            <w:r w:rsidRPr="00C5726C">
              <w:rPr>
                <w:noProof/>
              </w:rPr>
              <w:t>4.5</w:t>
            </w:r>
          </w:p>
        </w:tc>
        <w:tc>
          <w:tcPr>
            <w:tcW w:w="1021" w:type="dxa"/>
            <w:tcBorders>
              <w:top w:val="single" w:sz="4" w:space="0" w:color="DBDBDB" w:themeColor="accent3" w:themeTint="66"/>
            </w:tcBorders>
            <w:shd w:val="clear" w:color="auto" w:fill="auto"/>
          </w:tcPr>
          <w:p w14:paraId="643E856F" w14:textId="77777777" w:rsidR="00B0569D" w:rsidRDefault="00B0569D" w:rsidP="00B0569D">
            <w:pPr>
              <w:pStyle w:val="ARtabletextright"/>
            </w:pPr>
            <w:r>
              <w:rPr>
                <w:noProof/>
              </w:rPr>
              <w:t>−</w:t>
            </w:r>
            <w:r w:rsidRPr="00C5726C">
              <w:rPr>
                <w:noProof/>
              </w:rPr>
              <w:t>25</w:t>
            </w:r>
          </w:p>
        </w:tc>
        <w:tc>
          <w:tcPr>
            <w:tcW w:w="794" w:type="dxa"/>
            <w:tcBorders>
              <w:top w:val="single" w:sz="4" w:space="0" w:color="DBDBDB" w:themeColor="accent3" w:themeTint="66"/>
            </w:tcBorders>
            <w:shd w:val="clear" w:color="auto" w:fill="auto"/>
            <w:hideMark/>
          </w:tcPr>
          <w:p w14:paraId="4D91E9EF" w14:textId="0896676E" w:rsidR="00B0569D" w:rsidRPr="00D02A2E" w:rsidRDefault="00CF2633" w:rsidP="00A52A4C">
            <w:pPr>
              <w:pStyle w:val="ARtableperformancesymbol"/>
            </w:pPr>
            <w:r>
              <w:rPr>
                <w:noProof/>
              </w:rPr>
              <w:drawing>
                <wp:inline distT="0" distB="0" distL="0" distR="0" wp14:anchorId="0AEEA546" wp14:editId="00473517">
                  <wp:extent cx="85320" cy="85320"/>
                  <wp:effectExtent l="0" t="0" r="0" b="0"/>
                  <wp:docPr id="120" name="Graphic 120"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B0569D" w:rsidRPr="00D02A2E" w14:paraId="46655B5C" w14:textId="77777777" w:rsidTr="000F1C6B">
        <w:trPr>
          <w:cantSplit/>
        </w:trPr>
        <w:tc>
          <w:tcPr>
            <w:tcW w:w="9639" w:type="dxa"/>
            <w:gridSpan w:val="6"/>
            <w:tcBorders>
              <w:top w:val="single" w:sz="4" w:space="0" w:color="auto"/>
            </w:tcBorders>
            <w:shd w:val="clear" w:color="auto" w:fill="auto"/>
            <w:hideMark/>
          </w:tcPr>
          <w:p w14:paraId="2FBB7ADE" w14:textId="77777777" w:rsidR="00B0569D" w:rsidRPr="00D02A2E" w:rsidRDefault="00B0569D" w:rsidP="00B0569D">
            <w:pPr>
              <w:pStyle w:val="ARtablegreybold"/>
              <w:rPr>
                <w:rFonts w:ascii="Wingdings" w:hAnsi="Wingdings"/>
              </w:rPr>
            </w:pPr>
            <w:r>
              <w:t>Timeliness</w:t>
            </w:r>
          </w:p>
        </w:tc>
      </w:tr>
      <w:tr w:rsidR="00B0569D" w:rsidRPr="00D02A2E" w14:paraId="02347E6C" w14:textId="77777777" w:rsidTr="000F1C6B">
        <w:trPr>
          <w:cantSplit/>
        </w:trPr>
        <w:tc>
          <w:tcPr>
            <w:tcW w:w="4761" w:type="dxa"/>
            <w:shd w:val="clear" w:color="auto" w:fill="auto"/>
            <w:hideMark/>
          </w:tcPr>
          <w:p w14:paraId="396EA18D" w14:textId="77777777" w:rsidR="00B0569D" w:rsidRPr="00D02A2E" w:rsidRDefault="00B0569D" w:rsidP="00B0569D">
            <w:pPr>
              <w:pStyle w:val="ARtabletext"/>
            </w:pPr>
            <w:r w:rsidRPr="00C5726C">
              <w:rPr>
                <w:noProof/>
              </w:rPr>
              <w:t>Non-urgent (Category 3) elective surgery patients admitted within 365 days</w:t>
            </w:r>
          </w:p>
        </w:tc>
        <w:tc>
          <w:tcPr>
            <w:tcW w:w="1021" w:type="dxa"/>
            <w:shd w:val="clear" w:color="auto" w:fill="auto"/>
            <w:hideMark/>
          </w:tcPr>
          <w:p w14:paraId="643882D9" w14:textId="77777777" w:rsidR="00B0569D" w:rsidRPr="00D02A2E" w:rsidRDefault="00B0569D" w:rsidP="00B0569D">
            <w:pPr>
              <w:pStyle w:val="ARtabletextcentre"/>
            </w:pPr>
            <w:r w:rsidRPr="00C5726C">
              <w:rPr>
                <w:noProof/>
              </w:rPr>
              <w:t>per cent</w:t>
            </w:r>
          </w:p>
        </w:tc>
        <w:tc>
          <w:tcPr>
            <w:tcW w:w="1021" w:type="dxa"/>
            <w:shd w:val="clear" w:color="auto" w:fill="auto"/>
            <w:hideMark/>
          </w:tcPr>
          <w:p w14:paraId="6700BCDC" w14:textId="77777777" w:rsidR="00B0569D" w:rsidRDefault="00B0569D" w:rsidP="00B0569D">
            <w:pPr>
              <w:pStyle w:val="ARtabletextright"/>
            </w:pPr>
            <w:r w:rsidRPr="00C5726C">
              <w:rPr>
                <w:noProof/>
              </w:rPr>
              <w:t>95</w:t>
            </w:r>
          </w:p>
        </w:tc>
        <w:tc>
          <w:tcPr>
            <w:tcW w:w="1021" w:type="dxa"/>
            <w:shd w:val="clear" w:color="auto" w:fill="auto"/>
            <w:hideMark/>
          </w:tcPr>
          <w:p w14:paraId="225A31B2" w14:textId="77777777" w:rsidR="00B0569D" w:rsidRDefault="00B0569D" w:rsidP="00B0569D">
            <w:pPr>
              <w:pStyle w:val="ARtabletextright"/>
            </w:pPr>
            <w:r w:rsidRPr="00C5726C">
              <w:rPr>
                <w:noProof/>
              </w:rPr>
              <w:t>80.</w:t>
            </w:r>
            <w:r>
              <w:rPr>
                <w:noProof/>
              </w:rPr>
              <w:t>4</w:t>
            </w:r>
          </w:p>
        </w:tc>
        <w:tc>
          <w:tcPr>
            <w:tcW w:w="1021" w:type="dxa"/>
            <w:shd w:val="clear" w:color="auto" w:fill="auto"/>
          </w:tcPr>
          <w:p w14:paraId="7931311C" w14:textId="77777777" w:rsidR="00B0569D" w:rsidRDefault="00B0569D" w:rsidP="00B0569D">
            <w:pPr>
              <w:pStyle w:val="ARtabletextright"/>
            </w:pPr>
            <w:r>
              <w:rPr>
                <w:noProof/>
              </w:rPr>
              <w:t>−</w:t>
            </w:r>
            <w:r w:rsidRPr="00C5726C">
              <w:rPr>
                <w:noProof/>
              </w:rPr>
              <w:t>15.4</w:t>
            </w:r>
          </w:p>
        </w:tc>
        <w:tc>
          <w:tcPr>
            <w:tcW w:w="794" w:type="dxa"/>
            <w:shd w:val="clear" w:color="auto" w:fill="auto"/>
            <w:hideMark/>
          </w:tcPr>
          <w:p w14:paraId="6F35E8E5" w14:textId="0470D7D1" w:rsidR="00B0569D" w:rsidRPr="00D02A2E" w:rsidRDefault="00B0569D" w:rsidP="00A52A4C">
            <w:pPr>
              <w:pStyle w:val="ARtableperformancesymbol"/>
            </w:pPr>
            <w:r>
              <w:rPr>
                <w:noProof/>
              </w:rPr>
              <w:drawing>
                <wp:inline distT="0" distB="0" distL="0" distR="0" wp14:anchorId="7814323B" wp14:editId="39D80250">
                  <wp:extent cx="76320" cy="76320"/>
                  <wp:effectExtent l="0" t="0" r="0" b="0"/>
                  <wp:docPr id="64" name="Graphic 64"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B0569D" w:rsidRPr="00D02A2E" w14:paraId="3EB98569" w14:textId="77777777" w:rsidTr="000F1C6B">
        <w:trPr>
          <w:cantSplit/>
        </w:trPr>
        <w:tc>
          <w:tcPr>
            <w:tcW w:w="9639" w:type="dxa"/>
            <w:gridSpan w:val="6"/>
            <w:tcBorders>
              <w:bottom w:val="single" w:sz="4" w:space="0" w:color="BFBFBF"/>
            </w:tcBorders>
            <w:shd w:val="clear" w:color="auto" w:fill="auto"/>
            <w:noWrap/>
            <w:hideMark/>
          </w:tcPr>
          <w:p w14:paraId="32E2B7FF" w14:textId="77777777" w:rsidR="00B0569D" w:rsidRPr="00D02A2E" w:rsidRDefault="00B0569D" w:rsidP="00B0569D">
            <w:pPr>
              <w:pStyle w:val="ARtablenoteindent"/>
            </w:pPr>
            <w:r w:rsidRPr="00C5726C">
              <w:rPr>
                <w:noProof/>
              </w:rPr>
              <w:t xml:space="preserve">The result is lower than target primarily due to the impact of the </w:t>
            </w:r>
            <w:r>
              <w:rPr>
                <w:noProof/>
              </w:rPr>
              <w:t>COVID-19</w:t>
            </w:r>
            <w:r w:rsidRPr="00C5726C">
              <w:rPr>
                <w:noProof/>
              </w:rPr>
              <w:t xml:space="preserve"> pandemic, including restrictions that limited elective surgery in 2020 and 2021.</w:t>
            </w:r>
          </w:p>
        </w:tc>
      </w:tr>
      <w:tr w:rsidR="00B0569D" w:rsidRPr="00D02A2E" w14:paraId="68C3B45F" w14:textId="77777777" w:rsidTr="000F1C6B">
        <w:trPr>
          <w:cantSplit/>
        </w:trPr>
        <w:tc>
          <w:tcPr>
            <w:tcW w:w="4761" w:type="dxa"/>
            <w:shd w:val="clear" w:color="auto" w:fill="auto"/>
            <w:hideMark/>
          </w:tcPr>
          <w:p w14:paraId="6E3FDA78" w14:textId="77777777" w:rsidR="00B0569D" w:rsidRPr="00D02A2E" w:rsidRDefault="00B0569D" w:rsidP="00B0569D">
            <w:pPr>
              <w:pStyle w:val="ARtabletext"/>
            </w:pPr>
            <w:r w:rsidRPr="00C5726C">
              <w:rPr>
                <w:noProof/>
              </w:rPr>
              <w:t>Semi-urgent (Category 2) elective surgery patients admitted within 90 days</w:t>
            </w:r>
          </w:p>
        </w:tc>
        <w:tc>
          <w:tcPr>
            <w:tcW w:w="1021" w:type="dxa"/>
            <w:shd w:val="clear" w:color="auto" w:fill="auto"/>
            <w:hideMark/>
          </w:tcPr>
          <w:p w14:paraId="22AD18D1" w14:textId="77777777" w:rsidR="00B0569D" w:rsidRPr="00D02A2E" w:rsidRDefault="00B0569D" w:rsidP="00B0569D">
            <w:pPr>
              <w:pStyle w:val="ARtabletextcentre"/>
            </w:pPr>
            <w:r w:rsidRPr="00C5726C">
              <w:rPr>
                <w:noProof/>
              </w:rPr>
              <w:t>per cent</w:t>
            </w:r>
          </w:p>
        </w:tc>
        <w:tc>
          <w:tcPr>
            <w:tcW w:w="1021" w:type="dxa"/>
            <w:shd w:val="clear" w:color="auto" w:fill="auto"/>
            <w:hideMark/>
          </w:tcPr>
          <w:p w14:paraId="659DE111" w14:textId="77777777" w:rsidR="00B0569D" w:rsidRDefault="00B0569D" w:rsidP="00B0569D">
            <w:pPr>
              <w:pStyle w:val="ARtabletextright"/>
            </w:pPr>
            <w:r w:rsidRPr="00C5726C">
              <w:rPr>
                <w:noProof/>
              </w:rPr>
              <w:t>83</w:t>
            </w:r>
          </w:p>
        </w:tc>
        <w:tc>
          <w:tcPr>
            <w:tcW w:w="1021" w:type="dxa"/>
            <w:shd w:val="clear" w:color="auto" w:fill="auto"/>
            <w:hideMark/>
          </w:tcPr>
          <w:p w14:paraId="74D02C87" w14:textId="77777777" w:rsidR="00B0569D" w:rsidRDefault="00B0569D" w:rsidP="00B0569D">
            <w:pPr>
              <w:pStyle w:val="ARtabletextright"/>
            </w:pPr>
            <w:r w:rsidRPr="00C5726C">
              <w:rPr>
                <w:noProof/>
              </w:rPr>
              <w:t>61.6</w:t>
            </w:r>
          </w:p>
        </w:tc>
        <w:tc>
          <w:tcPr>
            <w:tcW w:w="1021" w:type="dxa"/>
            <w:shd w:val="clear" w:color="auto" w:fill="auto"/>
          </w:tcPr>
          <w:p w14:paraId="714931B3" w14:textId="77777777" w:rsidR="00B0569D" w:rsidRDefault="00B0569D" w:rsidP="00B0569D">
            <w:pPr>
              <w:pStyle w:val="ARtabletextright"/>
            </w:pPr>
            <w:r>
              <w:rPr>
                <w:noProof/>
              </w:rPr>
              <w:t>−</w:t>
            </w:r>
            <w:r w:rsidRPr="00C5726C">
              <w:rPr>
                <w:noProof/>
              </w:rPr>
              <w:t>25.8</w:t>
            </w:r>
          </w:p>
        </w:tc>
        <w:tc>
          <w:tcPr>
            <w:tcW w:w="794" w:type="dxa"/>
            <w:shd w:val="clear" w:color="auto" w:fill="auto"/>
            <w:hideMark/>
          </w:tcPr>
          <w:p w14:paraId="20048735" w14:textId="681BDAD9" w:rsidR="00B0569D" w:rsidRPr="00D02A2E" w:rsidRDefault="00B0569D" w:rsidP="00A52A4C">
            <w:pPr>
              <w:pStyle w:val="ARtableperformancesymbol"/>
            </w:pPr>
            <w:r>
              <w:rPr>
                <w:noProof/>
              </w:rPr>
              <w:drawing>
                <wp:inline distT="0" distB="0" distL="0" distR="0" wp14:anchorId="0FA7AD86" wp14:editId="2EB8965E">
                  <wp:extent cx="76320" cy="76320"/>
                  <wp:effectExtent l="0" t="0" r="0" b="0"/>
                  <wp:docPr id="65" name="Graphic 65"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B0569D" w:rsidRPr="00D02A2E" w14:paraId="08C93AEC" w14:textId="77777777" w:rsidTr="000F1C6B">
        <w:trPr>
          <w:cantSplit/>
        </w:trPr>
        <w:tc>
          <w:tcPr>
            <w:tcW w:w="9639" w:type="dxa"/>
            <w:gridSpan w:val="6"/>
            <w:tcBorders>
              <w:bottom w:val="single" w:sz="4" w:space="0" w:color="BFBFBF"/>
            </w:tcBorders>
            <w:shd w:val="clear" w:color="auto" w:fill="auto"/>
            <w:noWrap/>
            <w:hideMark/>
          </w:tcPr>
          <w:p w14:paraId="36EBA297" w14:textId="77777777" w:rsidR="00B0569D" w:rsidRPr="00D02A2E" w:rsidRDefault="00B0569D" w:rsidP="00B0569D">
            <w:pPr>
              <w:pStyle w:val="ARtablenoteindent"/>
            </w:pPr>
            <w:r w:rsidRPr="00C5726C">
              <w:rPr>
                <w:noProof/>
              </w:rPr>
              <w:t xml:space="preserve">The result is lower than target primarily due to the impact of the </w:t>
            </w:r>
            <w:r>
              <w:rPr>
                <w:noProof/>
              </w:rPr>
              <w:t>COVID-19</w:t>
            </w:r>
            <w:r w:rsidRPr="00C5726C">
              <w:rPr>
                <w:noProof/>
              </w:rPr>
              <w:t xml:space="preserve"> pandemic, including restrictions that limited elective surgery in 2020 and 2021.</w:t>
            </w:r>
          </w:p>
        </w:tc>
      </w:tr>
      <w:tr w:rsidR="00B0569D" w:rsidRPr="00D02A2E" w14:paraId="3186B076" w14:textId="77777777" w:rsidTr="000F1C6B">
        <w:trPr>
          <w:cantSplit/>
        </w:trPr>
        <w:tc>
          <w:tcPr>
            <w:tcW w:w="4761" w:type="dxa"/>
            <w:shd w:val="clear" w:color="auto" w:fill="auto"/>
            <w:hideMark/>
          </w:tcPr>
          <w:p w14:paraId="2AE62ED3" w14:textId="77777777" w:rsidR="00B0569D" w:rsidRPr="00D02A2E" w:rsidRDefault="00B0569D" w:rsidP="00B0569D">
            <w:pPr>
              <w:pStyle w:val="ARtabletext"/>
            </w:pPr>
            <w:r w:rsidRPr="00C5726C">
              <w:rPr>
                <w:noProof/>
              </w:rPr>
              <w:t>Urgent (Category 1) elective surgery patients admitted within 30 days</w:t>
            </w:r>
          </w:p>
        </w:tc>
        <w:tc>
          <w:tcPr>
            <w:tcW w:w="1021" w:type="dxa"/>
            <w:shd w:val="clear" w:color="auto" w:fill="auto"/>
            <w:hideMark/>
          </w:tcPr>
          <w:p w14:paraId="5B9F2C3E" w14:textId="77777777" w:rsidR="00B0569D" w:rsidRPr="00D02A2E" w:rsidRDefault="00B0569D" w:rsidP="00B0569D">
            <w:pPr>
              <w:pStyle w:val="ARtabletextcentre"/>
            </w:pPr>
            <w:r w:rsidRPr="00C5726C">
              <w:rPr>
                <w:noProof/>
              </w:rPr>
              <w:t>per cent</w:t>
            </w:r>
          </w:p>
        </w:tc>
        <w:tc>
          <w:tcPr>
            <w:tcW w:w="1021" w:type="dxa"/>
            <w:shd w:val="clear" w:color="auto" w:fill="auto"/>
            <w:hideMark/>
          </w:tcPr>
          <w:p w14:paraId="04712D54" w14:textId="77777777" w:rsidR="00B0569D" w:rsidRDefault="00B0569D" w:rsidP="00B0569D">
            <w:pPr>
              <w:pStyle w:val="ARtabletextright"/>
            </w:pPr>
            <w:r w:rsidRPr="00C5726C">
              <w:rPr>
                <w:noProof/>
              </w:rPr>
              <w:t>100</w:t>
            </w:r>
          </w:p>
        </w:tc>
        <w:tc>
          <w:tcPr>
            <w:tcW w:w="1021" w:type="dxa"/>
            <w:shd w:val="clear" w:color="auto" w:fill="auto"/>
            <w:hideMark/>
          </w:tcPr>
          <w:p w14:paraId="04E4AB16" w14:textId="77777777" w:rsidR="00B0569D" w:rsidRDefault="00B0569D" w:rsidP="00B0569D">
            <w:pPr>
              <w:pStyle w:val="ARtabletextright"/>
            </w:pPr>
            <w:r w:rsidRPr="00C5726C">
              <w:rPr>
                <w:noProof/>
              </w:rPr>
              <w:t>100</w:t>
            </w:r>
          </w:p>
        </w:tc>
        <w:tc>
          <w:tcPr>
            <w:tcW w:w="1021" w:type="dxa"/>
            <w:shd w:val="clear" w:color="auto" w:fill="auto"/>
          </w:tcPr>
          <w:p w14:paraId="53842DFA" w14:textId="77777777" w:rsidR="00B0569D" w:rsidRDefault="00B0569D" w:rsidP="00B0569D">
            <w:pPr>
              <w:pStyle w:val="ARtabletextright"/>
            </w:pPr>
            <w:r w:rsidRPr="00C5726C">
              <w:rPr>
                <w:noProof/>
              </w:rPr>
              <w:t>0</w:t>
            </w:r>
          </w:p>
        </w:tc>
        <w:tc>
          <w:tcPr>
            <w:tcW w:w="794" w:type="dxa"/>
            <w:shd w:val="clear" w:color="auto" w:fill="auto"/>
            <w:hideMark/>
          </w:tcPr>
          <w:p w14:paraId="10E4B880" w14:textId="7B266E00" w:rsidR="00B0569D" w:rsidRPr="00D02A2E" w:rsidRDefault="00CF2633" w:rsidP="00A52A4C">
            <w:pPr>
              <w:pStyle w:val="ARtableperformancesymbol"/>
            </w:pPr>
            <w:r>
              <w:rPr>
                <w:noProof/>
              </w:rPr>
              <w:drawing>
                <wp:inline distT="0" distB="0" distL="0" distR="0" wp14:anchorId="09D62661" wp14:editId="778B00AC">
                  <wp:extent cx="85320" cy="85320"/>
                  <wp:effectExtent l="0" t="0" r="0" b="0"/>
                  <wp:docPr id="121" name="Graphic 121"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B0569D" w:rsidRPr="00D02A2E" w14:paraId="269AE1F0" w14:textId="77777777" w:rsidTr="000F1C6B">
        <w:trPr>
          <w:cantSplit/>
        </w:trPr>
        <w:tc>
          <w:tcPr>
            <w:tcW w:w="9639" w:type="dxa"/>
            <w:gridSpan w:val="6"/>
            <w:tcBorders>
              <w:top w:val="single" w:sz="4" w:space="0" w:color="auto"/>
            </w:tcBorders>
            <w:shd w:val="clear" w:color="auto" w:fill="auto"/>
            <w:hideMark/>
          </w:tcPr>
          <w:p w14:paraId="6D4C63BB" w14:textId="77777777" w:rsidR="00B0569D" w:rsidRPr="00D02A2E" w:rsidRDefault="00B0569D" w:rsidP="00B0569D">
            <w:pPr>
              <w:pStyle w:val="ARtablegreybold"/>
              <w:rPr>
                <w:rFonts w:ascii="Wingdings" w:hAnsi="Wingdings"/>
              </w:rPr>
            </w:pPr>
            <w:r>
              <w:t>Cost</w:t>
            </w:r>
          </w:p>
        </w:tc>
      </w:tr>
      <w:tr w:rsidR="00B0569D" w:rsidRPr="00D02A2E" w14:paraId="160A8B31" w14:textId="77777777" w:rsidTr="00C575AB">
        <w:trPr>
          <w:cantSplit/>
        </w:trPr>
        <w:tc>
          <w:tcPr>
            <w:tcW w:w="4761" w:type="dxa"/>
            <w:shd w:val="clear" w:color="auto" w:fill="auto"/>
            <w:hideMark/>
          </w:tcPr>
          <w:p w14:paraId="1EDA8856" w14:textId="77777777" w:rsidR="00B0569D" w:rsidRPr="00A95DC7" w:rsidRDefault="00B0569D" w:rsidP="00B0569D">
            <w:pPr>
              <w:pStyle w:val="ARtabletext"/>
              <w:rPr>
                <w:b/>
                <w:bCs/>
              </w:rPr>
            </w:pPr>
            <w:r w:rsidRPr="00A95DC7">
              <w:rPr>
                <w:b/>
                <w:bCs/>
                <w:noProof/>
              </w:rPr>
              <w:t>Total Output Cost</w:t>
            </w:r>
          </w:p>
        </w:tc>
        <w:tc>
          <w:tcPr>
            <w:tcW w:w="1021" w:type="dxa"/>
            <w:shd w:val="clear" w:color="auto" w:fill="auto"/>
            <w:hideMark/>
          </w:tcPr>
          <w:p w14:paraId="40ACFE0B" w14:textId="77777777" w:rsidR="00B0569D" w:rsidRPr="00A95DC7" w:rsidRDefault="00B0569D" w:rsidP="00B0569D">
            <w:pPr>
              <w:pStyle w:val="ARtabletextcentre"/>
            </w:pPr>
            <w:r w:rsidRPr="00A95DC7">
              <w:rPr>
                <w:b/>
                <w:bCs/>
                <w:noProof/>
              </w:rPr>
              <w:t>$ million</w:t>
            </w:r>
          </w:p>
        </w:tc>
        <w:tc>
          <w:tcPr>
            <w:tcW w:w="1021" w:type="dxa"/>
            <w:shd w:val="clear" w:color="auto" w:fill="auto"/>
            <w:hideMark/>
          </w:tcPr>
          <w:p w14:paraId="479ACBAE" w14:textId="77777777" w:rsidR="00B0569D" w:rsidRPr="00A95DC7" w:rsidRDefault="00B0569D" w:rsidP="00B0569D">
            <w:pPr>
              <w:pStyle w:val="ARtabletextright"/>
              <w:rPr>
                <w:b/>
                <w:bCs/>
              </w:rPr>
            </w:pPr>
            <w:r w:rsidRPr="00A95DC7">
              <w:rPr>
                <w:b/>
                <w:bCs/>
                <w:noProof/>
              </w:rPr>
              <w:t>13</w:t>
            </w:r>
            <w:r>
              <w:rPr>
                <w:b/>
                <w:bCs/>
                <w:noProof/>
              </w:rPr>
              <w:t>,</w:t>
            </w:r>
            <w:r w:rsidRPr="00A95DC7">
              <w:rPr>
                <w:b/>
                <w:bCs/>
                <w:noProof/>
              </w:rPr>
              <w:t>892.4</w:t>
            </w:r>
          </w:p>
        </w:tc>
        <w:tc>
          <w:tcPr>
            <w:tcW w:w="1021" w:type="dxa"/>
            <w:shd w:val="clear" w:color="auto" w:fill="auto"/>
            <w:hideMark/>
          </w:tcPr>
          <w:p w14:paraId="1884AA54" w14:textId="77777777" w:rsidR="00B0569D" w:rsidRPr="00A95DC7" w:rsidRDefault="00B0569D" w:rsidP="00B0569D">
            <w:pPr>
              <w:pStyle w:val="ARtabletextright"/>
              <w:rPr>
                <w:b/>
                <w:bCs/>
              </w:rPr>
            </w:pPr>
            <w:r w:rsidRPr="00A95DC7">
              <w:rPr>
                <w:b/>
                <w:bCs/>
                <w:noProof/>
              </w:rPr>
              <w:t>14</w:t>
            </w:r>
            <w:r>
              <w:rPr>
                <w:b/>
                <w:bCs/>
                <w:noProof/>
              </w:rPr>
              <w:t>,</w:t>
            </w:r>
            <w:r w:rsidRPr="00A95DC7">
              <w:rPr>
                <w:b/>
                <w:bCs/>
                <w:noProof/>
              </w:rPr>
              <w:t>751.</w:t>
            </w:r>
            <w:r>
              <w:rPr>
                <w:b/>
                <w:bCs/>
                <w:noProof/>
              </w:rPr>
              <w:t>8</w:t>
            </w:r>
          </w:p>
        </w:tc>
        <w:tc>
          <w:tcPr>
            <w:tcW w:w="1021" w:type="dxa"/>
            <w:shd w:val="clear" w:color="auto" w:fill="auto"/>
          </w:tcPr>
          <w:p w14:paraId="3487235F" w14:textId="77777777" w:rsidR="00B0569D" w:rsidRPr="00A95DC7" w:rsidRDefault="00B0569D" w:rsidP="00B0569D">
            <w:pPr>
              <w:pStyle w:val="ARtabletextright"/>
              <w:rPr>
                <w:b/>
                <w:bCs/>
              </w:rPr>
            </w:pPr>
            <w:r w:rsidRPr="00A95DC7">
              <w:rPr>
                <w:b/>
                <w:bCs/>
                <w:noProof/>
              </w:rPr>
              <w:t>6.2</w:t>
            </w:r>
          </w:p>
        </w:tc>
        <w:tc>
          <w:tcPr>
            <w:tcW w:w="794" w:type="dxa"/>
            <w:shd w:val="clear" w:color="auto" w:fill="auto"/>
            <w:hideMark/>
          </w:tcPr>
          <w:p w14:paraId="3F64B899" w14:textId="77777777" w:rsidR="00B0569D" w:rsidRPr="00A95DC7" w:rsidRDefault="00B0569D" w:rsidP="00B0569D">
            <w:pPr>
              <w:pStyle w:val="ARtabletextright"/>
              <w:rPr>
                <w:b/>
                <w:bCs/>
              </w:rPr>
            </w:pPr>
          </w:p>
        </w:tc>
      </w:tr>
      <w:tr w:rsidR="00B0569D" w:rsidRPr="00D02A2E" w14:paraId="3B2EC631" w14:textId="77777777" w:rsidTr="00C575AB">
        <w:trPr>
          <w:cantSplit/>
        </w:trPr>
        <w:tc>
          <w:tcPr>
            <w:tcW w:w="9639" w:type="dxa"/>
            <w:gridSpan w:val="6"/>
            <w:tcBorders>
              <w:bottom w:val="single" w:sz="4" w:space="0" w:color="auto"/>
            </w:tcBorders>
            <w:shd w:val="clear" w:color="auto" w:fill="auto"/>
            <w:noWrap/>
            <w:hideMark/>
          </w:tcPr>
          <w:p w14:paraId="2D8AA6D3" w14:textId="77777777" w:rsidR="00B0569D" w:rsidRPr="00D02A2E" w:rsidRDefault="00B0569D" w:rsidP="00B0569D">
            <w:pPr>
              <w:pStyle w:val="ARtablenoteindent"/>
            </w:pPr>
            <w:r w:rsidRPr="00C5726C">
              <w:rPr>
                <w:noProof/>
              </w:rPr>
              <w:t>The 202</w:t>
            </w:r>
            <w:r>
              <w:rPr>
                <w:noProof/>
              </w:rPr>
              <w:t>0–</w:t>
            </w:r>
            <w:r w:rsidRPr="00C5726C">
              <w:rPr>
                <w:noProof/>
              </w:rPr>
              <w:t>21 actual outcome primarily reflects increases in government policy initiatives related to the COVID-19 response.</w:t>
            </w:r>
          </w:p>
        </w:tc>
      </w:tr>
      <w:tr w:rsidR="00B0569D" w:rsidRPr="00D02A2E" w14:paraId="2B01C43E" w14:textId="77777777" w:rsidTr="00C575AB">
        <w:trPr>
          <w:cantSplit/>
        </w:trPr>
        <w:tc>
          <w:tcPr>
            <w:tcW w:w="9639" w:type="dxa"/>
            <w:gridSpan w:val="6"/>
            <w:tcBorders>
              <w:top w:val="single" w:sz="4" w:space="0" w:color="auto"/>
              <w:bottom w:val="single" w:sz="4" w:space="0" w:color="auto"/>
            </w:tcBorders>
            <w:shd w:val="clear" w:color="auto" w:fill="auto"/>
            <w:hideMark/>
          </w:tcPr>
          <w:p w14:paraId="0C7621F7" w14:textId="77777777" w:rsidR="00B0569D" w:rsidRPr="007B527A" w:rsidRDefault="00B0569D" w:rsidP="00B0569D">
            <w:pPr>
              <w:pStyle w:val="ARtablebluebold"/>
            </w:pPr>
            <w:r w:rsidRPr="007B527A">
              <w:lastRenderedPageBreak/>
              <w:t>Non Admitted Services</w:t>
            </w:r>
          </w:p>
        </w:tc>
      </w:tr>
      <w:tr w:rsidR="00B0569D" w:rsidRPr="00D02A2E" w14:paraId="079DB018" w14:textId="77777777" w:rsidTr="000F1C6B">
        <w:trPr>
          <w:cantSplit/>
        </w:trPr>
        <w:tc>
          <w:tcPr>
            <w:tcW w:w="9639" w:type="dxa"/>
            <w:gridSpan w:val="6"/>
            <w:tcBorders>
              <w:top w:val="single" w:sz="4" w:space="0" w:color="auto"/>
            </w:tcBorders>
            <w:shd w:val="clear" w:color="auto" w:fill="auto"/>
            <w:hideMark/>
          </w:tcPr>
          <w:p w14:paraId="7DD24B3F" w14:textId="77777777" w:rsidR="00B0569D" w:rsidRPr="00D02A2E" w:rsidRDefault="00B0569D" w:rsidP="00B0569D">
            <w:pPr>
              <w:pStyle w:val="ARtablegreybold"/>
              <w:rPr>
                <w:rFonts w:ascii="Wingdings" w:hAnsi="Wingdings"/>
              </w:rPr>
            </w:pPr>
            <w:r w:rsidRPr="007A45E9">
              <w:t>Quantity</w:t>
            </w:r>
          </w:p>
        </w:tc>
      </w:tr>
      <w:tr w:rsidR="00B0569D" w:rsidRPr="00D02A2E" w14:paraId="58CB7872" w14:textId="77777777" w:rsidTr="000F1C6B">
        <w:trPr>
          <w:cantSplit/>
        </w:trPr>
        <w:tc>
          <w:tcPr>
            <w:tcW w:w="4761" w:type="dxa"/>
            <w:shd w:val="clear" w:color="auto" w:fill="auto"/>
            <w:hideMark/>
          </w:tcPr>
          <w:p w14:paraId="4779341A" w14:textId="77777777" w:rsidR="00B0569D" w:rsidRPr="00D02A2E" w:rsidRDefault="00B0569D" w:rsidP="00B0569D">
            <w:pPr>
              <w:pStyle w:val="ARtabletext"/>
            </w:pPr>
            <w:r w:rsidRPr="00C5726C">
              <w:rPr>
                <w:noProof/>
              </w:rPr>
              <w:t>Health Independence Program direct contacts</w:t>
            </w:r>
          </w:p>
        </w:tc>
        <w:tc>
          <w:tcPr>
            <w:tcW w:w="1021" w:type="dxa"/>
            <w:shd w:val="clear" w:color="auto" w:fill="auto"/>
            <w:hideMark/>
          </w:tcPr>
          <w:p w14:paraId="0FD0A9CE" w14:textId="77777777" w:rsidR="00B0569D" w:rsidRPr="00D02A2E" w:rsidRDefault="00B0569D" w:rsidP="00B0569D">
            <w:pPr>
              <w:pStyle w:val="ARtabletextcentre"/>
            </w:pPr>
            <w:r w:rsidRPr="00C5726C">
              <w:rPr>
                <w:noProof/>
              </w:rPr>
              <w:t>number (thousand)</w:t>
            </w:r>
          </w:p>
        </w:tc>
        <w:tc>
          <w:tcPr>
            <w:tcW w:w="1021" w:type="dxa"/>
            <w:shd w:val="clear" w:color="auto" w:fill="auto"/>
            <w:hideMark/>
          </w:tcPr>
          <w:p w14:paraId="530F0DF0" w14:textId="77777777" w:rsidR="00B0569D" w:rsidRDefault="00B0569D" w:rsidP="00B0569D">
            <w:pPr>
              <w:pStyle w:val="ARtabletextright"/>
            </w:pPr>
            <w:r w:rsidRPr="00C5726C">
              <w:rPr>
                <w:noProof/>
              </w:rPr>
              <w:t>1</w:t>
            </w:r>
            <w:r>
              <w:rPr>
                <w:noProof/>
              </w:rPr>
              <w:t>,</w:t>
            </w:r>
            <w:r w:rsidRPr="00C5726C">
              <w:rPr>
                <w:noProof/>
              </w:rPr>
              <w:t>599</w:t>
            </w:r>
          </w:p>
        </w:tc>
        <w:tc>
          <w:tcPr>
            <w:tcW w:w="1021" w:type="dxa"/>
            <w:shd w:val="clear" w:color="auto" w:fill="auto"/>
            <w:hideMark/>
          </w:tcPr>
          <w:p w14:paraId="0396A2AF" w14:textId="77777777" w:rsidR="00B0569D" w:rsidRDefault="00B0569D" w:rsidP="00B0569D">
            <w:pPr>
              <w:pStyle w:val="ARtabletextright"/>
            </w:pPr>
            <w:r w:rsidRPr="00C5726C">
              <w:rPr>
                <w:noProof/>
              </w:rPr>
              <w:t>1</w:t>
            </w:r>
            <w:r>
              <w:rPr>
                <w:noProof/>
              </w:rPr>
              <w:t>,</w:t>
            </w:r>
            <w:r w:rsidRPr="00C5726C">
              <w:rPr>
                <w:noProof/>
              </w:rPr>
              <w:t>396</w:t>
            </w:r>
          </w:p>
        </w:tc>
        <w:tc>
          <w:tcPr>
            <w:tcW w:w="1021" w:type="dxa"/>
            <w:shd w:val="clear" w:color="auto" w:fill="auto"/>
          </w:tcPr>
          <w:p w14:paraId="44EBB5AB" w14:textId="77777777" w:rsidR="00B0569D" w:rsidRDefault="00B0569D" w:rsidP="00B0569D">
            <w:pPr>
              <w:pStyle w:val="ARtabletextright"/>
            </w:pPr>
            <w:r>
              <w:rPr>
                <w:noProof/>
              </w:rPr>
              <w:t>−</w:t>
            </w:r>
            <w:r w:rsidRPr="00C5726C">
              <w:rPr>
                <w:noProof/>
              </w:rPr>
              <w:t>12.</w:t>
            </w:r>
            <w:r>
              <w:rPr>
                <w:noProof/>
              </w:rPr>
              <w:t>7</w:t>
            </w:r>
          </w:p>
        </w:tc>
        <w:tc>
          <w:tcPr>
            <w:tcW w:w="794" w:type="dxa"/>
            <w:shd w:val="clear" w:color="auto" w:fill="auto"/>
            <w:hideMark/>
          </w:tcPr>
          <w:p w14:paraId="21A52D66" w14:textId="20337F1D" w:rsidR="00B0569D" w:rsidRPr="00D02A2E" w:rsidRDefault="00B0569D" w:rsidP="00A52A4C">
            <w:pPr>
              <w:pStyle w:val="ARtableperformancesymbol"/>
            </w:pPr>
            <w:r>
              <w:rPr>
                <w:noProof/>
              </w:rPr>
              <w:drawing>
                <wp:inline distT="0" distB="0" distL="0" distR="0" wp14:anchorId="72A05020" wp14:editId="0B2EDE9A">
                  <wp:extent cx="76320" cy="76320"/>
                  <wp:effectExtent l="0" t="0" r="0" b="0"/>
                  <wp:docPr id="66" name="Graphic 66"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B0569D" w:rsidRPr="00D02A2E" w14:paraId="6044DDB4" w14:textId="77777777" w:rsidTr="000F1C6B">
        <w:trPr>
          <w:cantSplit/>
        </w:trPr>
        <w:tc>
          <w:tcPr>
            <w:tcW w:w="9639" w:type="dxa"/>
            <w:gridSpan w:val="6"/>
            <w:tcBorders>
              <w:bottom w:val="single" w:sz="4" w:space="0" w:color="BFBFBF"/>
            </w:tcBorders>
            <w:shd w:val="clear" w:color="auto" w:fill="auto"/>
            <w:noWrap/>
            <w:hideMark/>
          </w:tcPr>
          <w:p w14:paraId="10D897D1" w14:textId="77777777" w:rsidR="00B0569D" w:rsidRPr="00D02A2E" w:rsidRDefault="00B0569D" w:rsidP="00B0569D">
            <w:pPr>
              <w:pStyle w:val="ARtablenoteindent"/>
            </w:pPr>
            <w:r w:rsidRPr="00C5726C">
              <w:rPr>
                <w:noProof/>
              </w:rPr>
              <w:t xml:space="preserve">The result is lower than target primarily due to the impact of the </w:t>
            </w:r>
            <w:r>
              <w:rPr>
                <w:noProof/>
              </w:rPr>
              <w:t>COVID-19</w:t>
            </w:r>
            <w:r w:rsidRPr="00C5726C">
              <w:rPr>
                <w:noProof/>
              </w:rPr>
              <w:t xml:space="preserve"> pandemic on activities.</w:t>
            </w:r>
          </w:p>
        </w:tc>
      </w:tr>
      <w:tr w:rsidR="00B0569D" w:rsidRPr="00D02A2E" w14:paraId="25220DA0" w14:textId="77777777" w:rsidTr="000F1C6B">
        <w:trPr>
          <w:cantSplit/>
        </w:trPr>
        <w:tc>
          <w:tcPr>
            <w:tcW w:w="4761" w:type="dxa"/>
            <w:shd w:val="clear" w:color="auto" w:fill="auto"/>
            <w:hideMark/>
          </w:tcPr>
          <w:p w14:paraId="4CFA25BF" w14:textId="77777777" w:rsidR="00B0569D" w:rsidRPr="00D02A2E" w:rsidRDefault="00B0569D" w:rsidP="00B0569D">
            <w:pPr>
              <w:pStyle w:val="ARtabletext"/>
            </w:pPr>
            <w:r w:rsidRPr="00C5726C">
              <w:rPr>
                <w:noProof/>
              </w:rPr>
              <w:t>Patients treated in Specialist Outpatient Clinics – unweighted</w:t>
            </w:r>
          </w:p>
        </w:tc>
        <w:tc>
          <w:tcPr>
            <w:tcW w:w="1021" w:type="dxa"/>
            <w:shd w:val="clear" w:color="auto" w:fill="auto"/>
            <w:hideMark/>
          </w:tcPr>
          <w:p w14:paraId="3386E4AF" w14:textId="77777777" w:rsidR="00B0569D" w:rsidRPr="00D02A2E" w:rsidRDefault="00B0569D" w:rsidP="00B0569D">
            <w:pPr>
              <w:pStyle w:val="ARtabletextcentre"/>
            </w:pPr>
            <w:r w:rsidRPr="00C5726C">
              <w:rPr>
                <w:noProof/>
              </w:rPr>
              <w:t>number (thousand)</w:t>
            </w:r>
          </w:p>
        </w:tc>
        <w:tc>
          <w:tcPr>
            <w:tcW w:w="1021" w:type="dxa"/>
            <w:shd w:val="clear" w:color="auto" w:fill="auto"/>
            <w:hideMark/>
          </w:tcPr>
          <w:p w14:paraId="58FFCE50" w14:textId="77777777" w:rsidR="00B0569D" w:rsidRDefault="00B0569D" w:rsidP="00B0569D">
            <w:pPr>
              <w:pStyle w:val="ARtabletextright"/>
            </w:pPr>
            <w:r w:rsidRPr="00C5726C">
              <w:rPr>
                <w:noProof/>
              </w:rPr>
              <w:t>1</w:t>
            </w:r>
            <w:r>
              <w:rPr>
                <w:noProof/>
              </w:rPr>
              <w:t>,</w:t>
            </w:r>
            <w:r w:rsidRPr="00C5726C">
              <w:rPr>
                <w:noProof/>
              </w:rPr>
              <w:t>975</w:t>
            </w:r>
          </w:p>
        </w:tc>
        <w:tc>
          <w:tcPr>
            <w:tcW w:w="1021" w:type="dxa"/>
            <w:shd w:val="clear" w:color="auto" w:fill="auto"/>
            <w:hideMark/>
          </w:tcPr>
          <w:p w14:paraId="689AAA80" w14:textId="77777777" w:rsidR="00B0569D" w:rsidRDefault="00B0569D" w:rsidP="00B0569D">
            <w:pPr>
              <w:pStyle w:val="ARtabletextright"/>
            </w:pPr>
            <w:r w:rsidRPr="00C5726C">
              <w:rPr>
                <w:noProof/>
              </w:rPr>
              <w:t>1</w:t>
            </w:r>
            <w:r>
              <w:rPr>
                <w:noProof/>
              </w:rPr>
              <w:t>,</w:t>
            </w:r>
            <w:r w:rsidRPr="00C5726C">
              <w:rPr>
                <w:noProof/>
              </w:rPr>
              <w:t>791</w:t>
            </w:r>
          </w:p>
        </w:tc>
        <w:tc>
          <w:tcPr>
            <w:tcW w:w="1021" w:type="dxa"/>
            <w:shd w:val="clear" w:color="auto" w:fill="auto"/>
          </w:tcPr>
          <w:p w14:paraId="108BEFBB" w14:textId="77777777" w:rsidR="00B0569D" w:rsidRDefault="00B0569D" w:rsidP="00B0569D">
            <w:pPr>
              <w:pStyle w:val="ARtabletextright"/>
            </w:pPr>
            <w:r>
              <w:rPr>
                <w:noProof/>
              </w:rPr>
              <w:t>−</w:t>
            </w:r>
            <w:r w:rsidRPr="00C5726C">
              <w:rPr>
                <w:noProof/>
              </w:rPr>
              <w:t>9.3</w:t>
            </w:r>
          </w:p>
        </w:tc>
        <w:tc>
          <w:tcPr>
            <w:tcW w:w="794" w:type="dxa"/>
            <w:shd w:val="clear" w:color="auto" w:fill="auto"/>
            <w:hideMark/>
          </w:tcPr>
          <w:p w14:paraId="63789CBE" w14:textId="452685AA" w:rsidR="00B0569D" w:rsidRPr="00D02A2E" w:rsidRDefault="00B0569D" w:rsidP="00A52A4C">
            <w:pPr>
              <w:pStyle w:val="ARtableperformancesymbol"/>
            </w:pPr>
            <w:r>
              <w:rPr>
                <w:noProof/>
              </w:rPr>
              <w:drawing>
                <wp:inline distT="0" distB="0" distL="0" distR="0" wp14:anchorId="71E29FF3" wp14:editId="1E1F1B46">
                  <wp:extent cx="76320" cy="76320"/>
                  <wp:effectExtent l="0" t="0" r="0" b="0"/>
                  <wp:docPr id="67" name="Graphic 67"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B0569D" w:rsidRPr="00D02A2E" w14:paraId="6AC14DDA" w14:textId="77777777" w:rsidTr="000F1C6B">
        <w:trPr>
          <w:cantSplit/>
        </w:trPr>
        <w:tc>
          <w:tcPr>
            <w:tcW w:w="9639" w:type="dxa"/>
            <w:gridSpan w:val="6"/>
            <w:tcBorders>
              <w:bottom w:val="single" w:sz="4" w:space="0" w:color="BFBFBF"/>
            </w:tcBorders>
            <w:shd w:val="clear" w:color="auto" w:fill="auto"/>
            <w:noWrap/>
            <w:hideMark/>
          </w:tcPr>
          <w:p w14:paraId="26717C7B" w14:textId="77777777" w:rsidR="00B0569D" w:rsidRPr="00D02A2E" w:rsidRDefault="00B0569D" w:rsidP="00B0569D">
            <w:pPr>
              <w:pStyle w:val="ARtablenoteindent"/>
            </w:pPr>
            <w:r w:rsidRPr="00C5726C">
              <w:rPr>
                <w:noProof/>
              </w:rPr>
              <w:t xml:space="preserve">The result is lower than target primarily due to the impact of the </w:t>
            </w:r>
            <w:r>
              <w:rPr>
                <w:noProof/>
              </w:rPr>
              <w:t>COVID-19</w:t>
            </w:r>
            <w:r w:rsidRPr="00C5726C">
              <w:rPr>
                <w:noProof/>
              </w:rPr>
              <w:t xml:space="preserve"> pandemic on activities.</w:t>
            </w:r>
          </w:p>
        </w:tc>
      </w:tr>
      <w:tr w:rsidR="00B0569D" w:rsidRPr="00D02A2E" w14:paraId="3A8607D1" w14:textId="77777777" w:rsidTr="000F1C6B">
        <w:trPr>
          <w:cantSplit/>
        </w:trPr>
        <w:tc>
          <w:tcPr>
            <w:tcW w:w="9639" w:type="dxa"/>
            <w:gridSpan w:val="6"/>
            <w:tcBorders>
              <w:top w:val="single" w:sz="4" w:space="0" w:color="auto"/>
            </w:tcBorders>
            <w:shd w:val="clear" w:color="auto" w:fill="auto"/>
            <w:hideMark/>
          </w:tcPr>
          <w:p w14:paraId="14D495DD" w14:textId="77777777" w:rsidR="00B0569D" w:rsidRPr="00D02A2E" w:rsidRDefault="00B0569D" w:rsidP="00B0569D">
            <w:pPr>
              <w:pStyle w:val="ARtablegreybold"/>
              <w:rPr>
                <w:rFonts w:ascii="Wingdings" w:hAnsi="Wingdings"/>
              </w:rPr>
            </w:pPr>
            <w:r>
              <w:t>Quality</w:t>
            </w:r>
          </w:p>
        </w:tc>
      </w:tr>
      <w:tr w:rsidR="00B0569D" w:rsidRPr="00D02A2E" w14:paraId="7D8C13CA" w14:textId="77777777" w:rsidTr="000F1C6B">
        <w:trPr>
          <w:cantSplit/>
        </w:trPr>
        <w:tc>
          <w:tcPr>
            <w:tcW w:w="4761" w:type="dxa"/>
            <w:shd w:val="clear" w:color="auto" w:fill="auto"/>
            <w:hideMark/>
          </w:tcPr>
          <w:p w14:paraId="42E6B02C" w14:textId="77777777" w:rsidR="00B0569D" w:rsidRPr="00D02A2E" w:rsidRDefault="00B0569D" w:rsidP="00B0569D">
            <w:pPr>
              <w:pStyle w:val="ARtabletext"/>
            </w:pPr>
            <w:r w:rsidRPr="00C5726C">
              <w:rPr>
                <w:noProof/>
              </w:rPr>
              <w:t>Post-acute clients not readmitted to acute hospital</w:t>
            </w:r>
          </w:p>
        </w:tc>
        <w:tc>
          <w:tcPr>
            <w:tcW w:w="1021" w:type="dxa"/>
            <w:shd w:val="clear" w:color="auto" w:fill="auto"/>
            <w:hideMark/>
          </w:tcPr>
          <w:p w14:paraId="27015A42" w14:textId="77777777" w:rsidR="00B0569D" w:rsidRPr="00D02A2E" w:rsidRDefault="00B0569D" w:rsidP="00B0569D">
            <w:pPr>
              <w:pStyle w:val="ARtabletextcentre"/>
            </w:pPr>
            <w:r w:rsidRPr="00C5726C">
              <w:rPr>
                <w:noProof/>
              </w:rPr>
              <w:t>per cent</w:t>
            </w:r>
          </w:p>
        </w:tc>
        <w:tc>
          <w:tcPr>
            <w:tcW w:w="1021" w:type="dxa"/>
            <w:shd w:val="clear" w:color="auto" w:fill="auto"/>
            <w:hideMark/>
          </w:tcPr>
          <w:p w14:paraId="79F05A62" w14:textId="77777777" w:rsidR="00B0569D" w:rsidRDefault="00B0569D" w:rsidP="00B0569D">
            <w:pPr>
              <w:pStyle w:val="ARtabletextright"/>
            </w:pPr>
            <w:r w:rsidRPr="00C5726C">
              <w:rPr>
                <w:noProof/>
              </w:rPr>
              <w:t>90</w:t>
            </w:r>
          </w:p>
        </w:tc>
        <w:tc>
          <w:tcPr>
            <w:tcW w:w="1021" w:type="dxa"/>
            <w:shd w:val="clear" w:color="auto" w:fill="auto"/>
            <w:hideMark/>
          </w:tcPr>
          <w:p w14:paraId="14C85B96" w14:textId="77777777" w:rsidR="00B0569D" w:rsidRDefault="00B0569D" w:rsidP="00B0569D">
            <w:pPr>
              <w:pStyle w:val="ARtabletextright"/>
            </w:pPr>
            <w:r w:rsidRPr="00C5726C">
              <w:rPr>
                <w:noProof/>
              </w:rPr>
              <w:t>93.</w:t>
            </w:r>
            <w:r>
              <w:rPr>
                <w:noProof/>
              </w:rPr>
              <w:t>8</w:t>
            </w:r>
          </w:p>
        </w:tc>
        <w:tc>
          <w:tcPr>
            <w:tcW w:w="1021" w:type="dxa"/>
            <w:shd w:val="clear" w:color="auto" w:fill="auto"/>
          </w:tcPr>
          <w:p w14:paraId="656E583D" w14:textId="77777777" w:rsidR="00B0569D" w:rsidRDefault="00B0569D" w:rsidP="00B0569D">
            <w:pPr>
              <w:pStyle w:val="ARtabletextright"/>
            </w:pPr>
            <w:r w:rsidRPr="00C5726C">
              <w:rPr>
                <w:noProof/>
              </w:rPr>
              <w:t>4.2</w:t>
            </w:r>
          </w:p>
        </w:tc>
        <w:tc>
          <w:tcPr>
            <w:tcW w:w="794" w:type="dxa"/>
            <w:shd w:val="clear" w:color="auto" w:fill="auto"/>
            <w:hideMark/>
          </w:tcPr>
          <w:p w14:paraId="553C18B1" w14:textId="510410FA" w:rsidR="00B0569D" w:rsidRPr="00D02A2E" w:rsidRDefault="00CF2633" w:rsidP="00A52A4C">
            <w:pPr>
              <w:pStyle w:val="ARtableperformancesymbol"/>
            </w:pPr>
            <w:r>
              <w:rPr>
                <w:noProof/>
              </w:rPr>
              <w:drawing>
                <wp:inline distT="0" distB="0" distL="0" distR="0" wp14:anchorId="49550F4A" wp14:editId="5F386D9C">
                  <wp:extent cx="85320" cy="85320"/>
                  <wp:effectExtent l="0" t="0" r="0" b="0"/>
                  <wp:docPr id="122" name="Graphic 122"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B0569D" w:rsidRPr="00D02A2E" w14:paraId="7379CBB0" w14:textId="77777777" w:rsidTr="000F1C6B">
        <w:trPr>
          <w:cantSplit/>
        </w:trPr>
        <w:tc>
          <w:tcPr>
            <w:tcW w:w="9639" w:type="dxa"/>
            <w:gridSpan w:val="6"/>
            <w:tcBorders>
              <w:top w:val="single" w:sz="4" w:space="0" w:color="auto"/>
            </w:tcBorders>
            <w:shd w:val="clear" w:color="auto" w:fill="auto"/>
            <w:hideMark/>
          </w:tcPr>
          <w:p w14:paraId="1327A88C" w14:textId="77777777" w:rsidR="00B0569D" w:rsidRPr="00D02A2E" w:rsidRDefault="00B0569D" w:rsidP="00B0569D">
            <w:pPr>
              <w:pStyle w:val="ARtablegreybold"/>
              <w:rPr>
                <w:rFonts w:ascii="Wingdings" w:hAnsi="Wingdings"/>
              </w:rPr>
            </w:pPr>
            <w:r>
              <w:t>Timeliness</w:t>
            </w:r>
          </w:p>
        </w:tc>
      </w:tr>
      <w:tr w:rsidR="00B0569D" w:rsidRPr="00D02A2E" w14:paraId="2C0A7274" w14:textId="77777777" w:rsidTr="000F1C6B">
        <w:trPr>
          <w:cantSplit/>
        </w:trPr>
        <w:tc>
          <w:tcPr>
            <w:tcW w:w="4761" w:type="dxa"/>
            <w:shd w:val="clear" w:color="auto" w:fill="auto"/>
            <w:hideMark/>
          </w:tcPr>
          <w:p w14:paraId="22880E0F" w14:textId="77777777" w:rsidR="00B0569D" w:rsidRPr="00D02A2E" w:rsidRDefault="00B0569D" w:rsidP="00B0569D">
            <w:pPr>
              <w:pStyle w:val="ARtabletext"/>
            </w:pPr>
            <w:r w:rsidRPr="00C5726C">
              <w:rPr>
                <w:noProof/>
              </w:rPr>
              <w:t>Health Independence Program clients contacted within three days of referral</w:t>
            </w:r>
          </w:p>
        </w:tc>
        <w:tc>
          <w:tcPr>
            <w:tcW w:w="1021" w:type="dxa"/>
            <w:shd w:val="clear" w:color="auto" w:fill="auto"/>
            <w:hideMark/>
          </w:tcPr>
          <w:p w14:paraId="5890174F" w14:textId="77777777" w:rsidR="00B0569D" w:rsidRPr="00D02A2E" w:rsidRDefault="00B0569D" w:rsidP="00B0569D">
            <w:pPr>
              <w:pStyle w:val="ARtabletextcentre"/>
            </w:pPr>
            <w:r w:rsidRPr="00C5726C">
              <w:rPr>
                <w:noProof/>
              </w:rPr>
              <w:t>per cent</w:t>
            </w:r>
          </w:p>
        </w:tc>
        <w:tc>
          <w:tcPr>
            <w:tcW w:w="1021" w:type="dxa"/>
            <w:shd w:val="clear" w:color="auto" w:fill="auto"/>
            <w:hideMark/>
          </w:tcPr>
          <w:p w14:paraId="2ADB24F1" w14:textId="77777777" w:rsidR="00B0569D" w:rsidRDefault="00B0569D" w:rsidP="00B0569D">
            <w:pPr>
              <w:pStyle w:val="ARtabletextright"/>
            </w:pPr>
            <w:r w:rsidRPr="00C5726C">
              <w:rPr>
                <w:noProof/>
              </w:rPr>
              <w:t>85</w:t>
            </w:r>
          </w:p>
        </w:tc>
        <w:tc>
          <w:tcPr>
            <w:tcW w:w="1021" w:type="dxa"/>
            <w:shd w:val="clear" w:color="auto" w:fill="auto"/>
            <w:hideMark/>
          </w:tcPr>
          <w:p w14:paraId="3424F2F7" w14:textId="77777777" w:rsidR="00B0569D" w:rsidRDefault="00B0569D" w:rsidP="00B0569D">
            <w:pPr>
              <w:pStyle w:val="ARtabletextright"/>
            </w:pPr>
            <w:r w:rsidRPr="00C5726C">
              <w:rPr>
                <w:noProof/>
              </w:rPr>
              <w:t>91.4</w:t>
            </w:r>
          </w:p>
        </w:tc>
        <w:tc>
          <w:tcPr>
            <w:tcW w:w="1021" w:type="dxa"/>
            <w:shd w:val="clear" w:color="auto" w:fill="auto"/>
          </w:tcPr>
          <w:p w14:paraId="0889B72A" w14:textId="77777777" w:rsidR="00B0569D" w:rsidRDefault="00B0569D" w:rsidP="00B0569D">
            <w:pPr>
              <w:pStyle w:val="ARtabletextright"/>
            </w:pPr>
            <w:r w:rsidRPr="00C5726C">
              <w:rPr>
                <w:noProof/>
              </w:rPr>
              <w:t>7.5</w:t>
            </w:r>
          </w:p>
        </w:tc>
        <w:tc>
          <w:tcPr>
            <w:tcW w:w="794" w:type="dxa"/>
            <w:shd w:val="clear" w:color="auto" w:fill="auto"/>
            <w:hideMark/>
          </w:tcPr>
          <w:p w14:paraId="26447A09" w14:textId="497617DA" w:rsidR="00B0569D" w:rsidRPr="00D02A2E" w:rsidRDefault="00CF2633" w:rsidP="00A52A4C">
            <w:pPr>
              <w:pStyle w:val="ARtableperformancesymbol"/>
            </w:pPr>
            <w:r>
              <w:rPr>
                <w:noProof/>
              </w:rPr>
              <w:drawing>
                <wp:inline distT="0" distB="0" distL="0" distR="0" wp14:anchorId="7B2B29B2" wp14:editId="41EB9C6F">
                  <wp:extent cx="85320" cy="85320"/>
                  <wp:effectExtent l="0" t="0" r="0" b="0"/>
                  <wp:docPr id="123" name="Graphic 123"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B0569D" w:rsidRPr="00D02A2E" w14:paraId="47C3BD15" w14:textId="77777777" w:rsidTr="000F1C6B">
        <w:trPr>
          <w:cantSplit/>
        </w:trPr>
        <w:tc>
          <w:tcPr>
            <w:tcW w:w="9639" w:type="dxa"/>
            <w:gridSpan w:val="6"/>
            <w:tcBorders>
              <w:bottom w:val="single" w:sz="4" w:space="0" w:color="BFBFBF"/>
            </w:tcBorders>
            <w:shd w:val="clear" w:color="auto" w:fill="auto"/>
            <w:noWrap/>
            <w:hideMark/>
          </w:tcPr>
          <w:p w14:paraId="27D5950C" w14:textId="77777777" w:rsidR="00B0569D" w:rsidRPr="00D02A2E" w:rsidRDefault="00B0569D" w:rsidP="00B0569D">
            <w:pPr>
              <w:pStyle w:val="ARtablenoteindent"/>
            </w:pPr>
            <w:r w:rsidRPr="00C5726C">
              <w:rPr>
                <w:noProof/>
              </w:rPr>
              <w:t>The result is higer than target primarily due to a shift in hospital practices during COVID-19 to free up inpatient beds and minimise infection risk. The Health Independence Program focused on early follow</w:t>
            </w:r>
            <w:r>
              <w:rPr>
                <w:noProof/>
              </w:rPr>
              <w:t>-</w:t>
            </w:r>
            <w:r w:rsidRPr="00C5726C">
              <w:rPr>
                <w:noProof/>
              </w:rPr>
              <w:t>up and review of treatment options. This is a positive result.</w:t>
            </w:r>
          </w:p>
        </w:tc>
      </w:tr>
      <w:tr w:rsidR="00B0569D" w:rsidRPr="00D02A2E" w14:paraId="2F87C3AE" w14:textId="77777777" w:rsidTr="000F1C6B">
        <w:trPr>
          <w:cantSplit/>
        </w:trPr>
        <w:tc>
          <w:tcPr>
            <w:tcW w:w="9639" w:type="dxa"/>
            <w:gridSpan w:val="6"/>
            <w:tcBorders>
              <w:top w:val="single" w:sz="4" w:space="0" w:color="auto"/>
            </w:tcBorders>
            <w:shd w:val="clear" w:color="auto" w:fill="auto"/>
            <w:hideMark/>
          </w:tcPr>
          <w:p w14:paraId="3B39B2A9" w14:textId="77777777" w:rsidR="00B0569D" w:rsidRPr="00D02A2E" w:rsidRDefault="00B0569D" w:rsidP="00B0569D">
            <w:pPr>
              <w:pStyle w:val="ARtablegreybold"/>
              <w:rPr>
                <w:rFonts w:ascii="Wingdings" w:hAnsi="Wingdings"/>
              </w:rPr>
            </w:pPr>
            <w:r>
              <w:t>Cost</w:t>
            </w:r>
          </w:p>
        </w:tc>
      </w:tr>
      <w:tr w:rsidR="00B0569D" w:rsidRPr="00D02A2E" w14:paraId="5E87EC44" w14:textId="77777777" w:rsidTr="000F1C6B">
        <w:trPr>
          <w:cantSplit/>
        </w:trPr>
        <w:tc>
          <w:tcPr>
            <w:tcW w:w="4761" w:type="dxa"/>
            <w:shd w:val="clear" w:color="auto" w:fill="auto"/>
            <w:hideMark/>
          </w:tcPr>
          <w:p w14:paraId="066AAC3A" w14:textId="77777777" w:rsidR="00B0569D" w:rsidRPr="00A95DC7" w:rsidRDefault="00B0569D" w:rsidP="00B0569D">
            <w:pPr>
              <w:pStyle w:val="ARtabletext"/>
              <w:rPr>
                <w:b/>
                <w:bCs/>
              </w:rPr>
            </w:pPr>
            <w:r w:rsidRPr="00A95DC7">
              <w:rPr>
                <w:b/>
                <w:bCs/>
                <w:noProof/>
              </w:rPr>
              <w:t>Total Output Cost</w:t>
            </w:r>
          </w:p>
        </w:tc>
        <w:tc>
          <w:tcPr>
            <w:tcW w:w="1021" w:type="dxa"/>
            <w:shd w:val="clear" w:color="auto" w:fill="auto"/>
            <w:hideMark/>
          </w:tcPr>
          <w:p w14:paraId="455DE185" w14:textId="77777777" w:rsidR="00B0569D" w:rsidRPr="00A95DC7" w:rsidRDefault="00B0569D" w:rsidP="00B0569D">
            <w:pPr>
              <w:pStyle w:val="ARtabletextcentre"/>
            </w:pPr>
            <w:r w:rsidRPr="00A95DC7">
              <w:rPr>
                <w:b/>
                <w:bCs/>
                <w:noProof/>
              </w:rPr>
              <w:t>$ million</w:t>
            </w:r>
          </w:p>
        </w:tc>
        <w:tc>
          <w:tcPr>
            <w:tcW w:w="1021" w:type="dxa"/>
            <w:shd w:val="clear" w:color="auto" w:fill="auto"/>
            <w:hideMark/>
          </w:tcPr>
          <w:p w14:paraId="3DA18ADA" w14:textId="77777777" w:rsidR="00B0569D" w:rsidRPr="00A95DC7" w:rsidRDefault="00B0569D" w:rsidP="00B0569D">
            <w:pPr>
              <w:pStyle w:val="ARtabletextright"/>
              <w:rPr>
                <w:b/>
                <w:bCs/>
              </w:rPr>
            </w:pPr>
            <w:r w:rsidRPr="00A95DC7">
              <w:rPr>
                <w:b/>
                <w:bCs/>
                <w:noProof/>
              </w:rPr>
              <w:t>2</w:t>
            </w:r>
            <w:r>
              <w:rPr>
                <w:b/>
                <w:bCs/>
                <w:noProof/>
              </w:rPr>
              <w:t>,</w:t>
            </w:r>
            <w:r w:rsidRPr="00A95DC7">
              <w:rPr>
                <w:b/>
                <w:bCs/>
                <w:noProof/>
              </w:rPr>
              <w:t>062.</w:t>
            </w:r>
            <w:r>
              <w:rPr>
                <w:b/>
                <w:bCs/>
                <w:noProof/>
              </w:rPr>
              <w:t>7</w:t>
            </w:r>
          </w:p>
        </w:tc>
        <w:tc>
          <w:tcPr>
            <w:tcW w:w="1021" w:type="dxa"/>
            <w:shd w:val="clear" w:color="auto" w:fill="auto"/>
            <w:hideMark/>
          </w:tcPr>
          <w:p w14:paraId="7958975F" w14:textId="77777777" w:rsidR="00B0569D" w:rsidRPr="00A95DC7" w:rsidRDefault="00B0569D" w:rsidP="00B0569D">
            <w:pPr>
              <w:pStyle w:val="ARtabletextright"/>
              <w:rPr>
                <w:b/>
                <w:bCs/>
              </w:rPr>
            </w:pPr>
            <w:r w:rsidRPr="00A95DC7">
              <w:rPr>
                <w:b/>
                <w:bCs/>
                <w:noProof/>
              </w:rPr>
              <w:t>2</w:t>
            </w:r>
            <w:r>
              <w:rPr>
                <w:b/>
                <w:bCs/>
                <w:noProof/>
              </w:rPr>
              <w:t>,</w:t>
            </w:r>
            <w:r w:rsidRPr="00A95DC7">
              <w:rPr>
                <w:b/>
                <w:bCs/>
                <w:noProof/>
              </w:rPr>
              <w:t>074.3</w:t>
            </w:r>
          </w:p>
        </w:tc>
        <w:tc>
          <w:tcPr>
            <w:tcW w:w="1021" w:type="dxa"/>
            <w:shd w:val="clear" w:color="auto" w:fill="auto"/>
          </w:tcPr>
          <w:p w14:paraId="56B410F8" w14:textId="77777777" w:rsidR="00B0569D" w:rsidRPr="00A95DC7" w:rsidRDefault="00B0569D" w:rsidP="00B0569D">
            <w:pPr>
              <w:pStyle w:val="ARtabletextright"/>
              <w:rPr>
                <w:b/>
                <w:bCs/>
              </w:rPr>
            </w:pPr>
            <w:r w:rsidRPr="00A95DC7">
              <w:rPr>
                <w:b/>
                <w:bCs/>
                <w:noProof/>
              </w:rPr>
              <w:t>0.</w:t>
            </w:r>
            <w:r>
              <w:rPr>
                <w:b/>
                <w:bCs/>
                <w:noProof/>
              </w:rPr>
              <w:t>6</w:t>
            </w:r>
          </w:p>
        </w:tc>
        <w:tc>
          <w:tcPr>
            <w:tcW w:w="794" w:type="dxa"/>
            <w:shd w:val="clear" w:color="auto" w:fill="auto"/>
            <w:hideMark/>
          </w:tcPr>
          <w:p w14:paraId="54FBE4DE" w14:textId="77777777" w:rsidR="00B0569D" w:rsidRPr="00A95DC7" w:rsidRDefault="00B0569D" w:rsidP="00B0569D">
            <w:pPr>
              <w:pStyle w:val="ARtabletextright"/>
              <w:rPr>
                <w:b/>
                <w:bCs/>
              </w:rPr>
            </w:pPr>
          </w:p>
        </w:tc>
      </w:tr>
      <w:tr w:rsidR="00B0569D" w:rsidRPr="00D02A2E" w14:paraId="0806E519" w14:textId="77777777" w:rsidTr="000F1C6B">
        <w:trPr>
          <w:cantSplit/>
        </w:trPr>
        <w:tc>
          <w:tcPr>
            <w:tcW w:w="9639" w:type="dxa"/>
            <w:gridSpan w:val="6"/>
            <w:tcBorders>
              <w:bottom w:val="single" w:sz="4" w:space="0" w:color="BFBFBF"/>
            </w:tcBorders>
            <w:shd w:val="clear" w:color="auto" w:fill="auto"/>
            <w:noWrap/>
            <w:hideMark/>
          </w:tcPr>
          <w:p w14:paraId="1F7FE1D1" w14:textId="77777777" w:rsidR="00B0569D" w:rsidRPr="00D02A2E" w:rsidRDefault="00B0569D" w:rsidP="00B0569D">
            <w:pPr>
              <w:pStyle w:val="ARtablenoteindent"/>
            </w:pPr>
            <w:r w:rsidRPr="00C5726C">
              <w:rPr>
                <w:noProof/>
              </w:rPr>
              <w:t>The 202</w:t>
            </w:r>
            <w:r>
              <w:rPr>
                <w:noProof/>
              </w:rPr>
              <w:t>0–</w:t>
            </w:r>
            <w:r w:rsidRPr="00C5726C">
              <w:rPr>
                <w:noProof/>
              </w:rPr>
              <w:t>21 actual outcome primarily reflects increases in government policy initiatives related to the COVID-19 response.</w:t>
            </w:r>
          </w:p>
        </w:tc>
      </w:tr>
      <w:tr w:rsidR="00B0569D" w:rsidRPr="00D02A2E" w14:paraId="1FDBBE20" w14:textId="77777777" w:rsidTr="000F1C6B">
        <w:trPr>
          <w:cantSplit/>
        </w:trPr>
        <w:tc>
          <w:tcPr>
            <w:tcW w:w="9639" w:type="dxa"/>
            <w:gridSpan w:val="6"/>
            <w:tcBorders>
              <w:top w:val="single" w:sz="4" w:space="0" w:color="auto"/>
              <w:bottom w:val="single" w:sz="4" w:space="0" w:color="auto"/>
            </w:tcBorders>
            <w:shd w:val="clear" w:color="auto" w:fill="auto"/>
            <w:hideMark/>
          </w:tcPr>
          <w:p w14:paraId="0B8F9F37" w14:textId="77777777" w:rsidR="00B0569D" w:rsidRPr="00D02A2E" w:rsidRDefault="00B0569D" w:rsidP="00B0569D">
            <w:pPr>
              <w:pStyle w:val="ARtablebluebold"/>
              <w:rPr>
                <w:rFonts w:ascii="Wingdings" w:hAnsi="Wingdings"/>
              </w:rPr>
            </w:pPr>
            <w:r>
              <w:t>Emergency Services</w:t>
            </w:r>
          </w:p>
        </w:tc>
      </w:tr>
      <w:tr w:rsidR="00B0569D" w:rsidRPr="00D02A2E" w14:paraId="0B55F9A3" w14:textId="77777777" w:rsidTr="000F1C6B">
        <w:trPr>
          <w:cantSplit/>
        </w:trPr>
        <w:tc>
          <w:tcPr>
            <w:tcW w:w="9639" w:type="dxa"/>
            <w:gridSpan w:val="6"/>
            <w:tcBorders>
              <w:top w:val="single" w:sz="4" w:space="0" w:color="auto"/>
            </w:tcBorders>
            <w:shd w:val="clear" w:color="auto" w:fill="auto"/>
            <w:hideMark/>
          </w:tcPr>
          <w:p w14:paraId="4C198D7E" w14:textId="77777777" w:rsidR="00B0569D" w:rsidRPr="00D02A2E" w:rsidRDefault="00B0569D" w:rsidP="00B0569D">
            <w:pPr>
              <w:pStyle w:val="ARtablegreybold"/>
              <w:rPr>
                <w:rFonts w:ascii="Wingdings" w:hAnsi="Wingdings"/>
              </w:rPr>
            </w:pPr>
            <w:r w:rsidRPr="007A45E9">
              <w:t>Quantity</w:t>
            </w:r>
          </w:p>
        </w:tc>
      </w:tr>
      <w:tr w:rsidR="00B0569D" w:rsidRPr="00D02A2E" w14:paraId="6713F321" w14:textId="77777777" w:rsidTr="000F1C6B">
        <w:trPr>
          <w:cantSplit/>
        </w:trPr>
        <w:tc>
          <w:tcPr>
            <w:tcW w:w="4761" w:type="dxa"/>
            <w:shd w:val="clear" w:color="auto" w:fill="auto"/>
            <w:hideMark/>
          </w:tcPr>
          <w:p w14:paraId="7C56940A" w14:textId="77777777" w:rsidR="00B0569D" w:rsidRPr="00D02A2E" w:rsidRDefault="00B0569D" w:rsidP="00B0569D">
            <w:pPr>
              <w:pStyle w:val="ARtabletext"/>
            </w:pPr>
            <w:r w:rsidRPr="00C5726C">
              <w:rPr>
                <w:noProof/>
              </w:rPr>
              <w:t>Emergency presentations</w:t>
            </w:r>
          </w:p>
        </w:tc>
        <w:tc>
          <w:tcPr>
            <w:tcW w:w="1021" w:type="dxa"/>
            <w:shd w:val="clear" w:color="auto" w:fill="auto"/>
            <w:hideMark/>
          </w:tcPr>
          <w:p w14:paraId="207A3BD2" w14:textId="77777777" w:rsidR="00B0569D" w:rsidRPr="00D02A2E" w:rsidRDefault="00B0569D" w:rsidP="00B0569D">
            <w:pPr>
              <w:pStyle w:val="ARtabletextcentre"/>
            </w:pPr>
            <w:r w:rsidRPr="00C5726C">
              <w:rPr>
                <w:noProof/>
              </w:rPr>
              <w:t>number (thousand)</w:t>
            </w:r>
          </w:p>
        </w:tc>
        <w:tc>
          <w:tcPr>
            <w:tcW w:w="1021" w:type="dxa"/>
            <w:shd w:val="clear" w:color="auto" w:fill="auto"/>
            <w:hideMark/>
          </w:tcPr>
          <w:p w14:paraId="0C55A841" w14:textId="77777777" w:rsidR="00B0569D" w:rsidRDefault="00B0569D" w:rsidP="00B0569D">
            <w:pPr>
              <w:pStyle w:val="ARtabletextright"/>
            </w:pPr>
            <w:r w:rsidRPr="00C5726C">
              <w:rPr>
                <w:noProof/>
              </w:rPr>
              <w:t>1</w:t>
            </w:r>
            <w:r>
              <w:rPr>
                <w:noProof/>
              </w:rPr>
              <w:t>,</w:t>
            </w:r>
            <w:r w:rsidRPr="00C5726C">
              <w:rPr>
                <w:noProof/>
              </w:rPr>
              <w:t>944</w:t>
            </w:r>
          </w:p>
        </w:tc>
        <w:tc>
          <w:tcPr>
            <w:tcW w:w="1021" w:type="dxa"/>
            <w:shd w:val="clear" w:color="auto" w:fill="auto"/>
            <w:hideMark/>
          </w:tcPr>
          <w:p w14:paraId="4D248B99" w14:textId="77777777" w:rsidR="00B0569D" w:rsidRDefault="00B0569D" w:rsidP="00B0569D">
            <w:pPr>
              <w:pStyle w:val="ARtabletextright"/>
            </w:pPr>
            <w:r w:rsidRPr="00C5726C">
              <w:rPr>
                <w:noProof/>
              </w:rPr>
              <w:t>1</w:t>
            </w:r>
            <w:r>
              <w:rPr>
                <w:noProof/>
              </w:rPr>
              <w:t>,</w:t>
            </w:r>
            <w:r w:rsidRPr="00C5726C">
              <w:rPr>
                <w:noProof/>
              </w:rPr>
              <w:t>773</w:t>
            </w:r>
          </w:p>
        </w:tc>
        <w:tc>
          <w:tcPr>
            <w:tcW w:w="1021" w:type="dxa"/>
            <w:shd w:val="clear" w:color="auto" w:fill="auto"/>
          </w:tcPr>
          <w:p w14:paraId="0E0C3916" w14:textId="77777777" w:rsidR="00B0569D" w:rsidRDefault="00B0569D" w:rsidP="00B0569D">
            <w:pPr>
              <w:pStyle w:val="ARtabletextright"/>
            </w:pPr>
            <w:r>
              <w:rPr>
                <w:noProof/>
              </w:rPr>
              <w:t>−</w:t>
            </w:r>
            <w:r w:rsidRPr="00C5726C">
              <w:rPr>
                <w:noProof/>
              </w:rPr>
              <w:t>8.8</w:t>
            </w:r>
          </w:p>
        </w:tc>
        <w:tc>
          <w:tcPr>
            <w:tcW w:w="794" w:type="dxa"/>
            <w:shd w:val="clear" w:color="auto" w:fill="auto"/>
            <w:hideMark/>
          </w:tcPr>
          <w:p w14:paraId="05F6C5EE" w14:textId="420703CD" w:rsidR="00B0569D" w:rsidRPr="00D02A2E" w:rsidRDefault="00B0569D" w:rsidP="00A52A4C">
            <w:pPr>
              <w:pStyle w:val="ARtableperformancesymbol"/>
            </w:pPr>
            <w:r>
              <w:rPr>
                <w:noProof/>
              </w:rPr>
              <w:drawing>
                <wp:inline distT="0" distB="0" distL="0" distR="0" wp14:anchorId="2229990E" wp14:editId="30E16FCD">
                  <wp:extent cx="76320" cy="76320"/>
                  <wp:effectExtent l="0" t="0" r="0" b="0"/>
                  <wp:docPr id="68" name="Graphic 68"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B0569D" w:rsidRPr="00D02A2E" w14:paraId="10598131" w14:textId="77777777" w:rsidTr="000F1C6B">
        <w:trPr>
          <w:cantSplit/>
        </w:trPr>
        <w:tc>
          <w:tcPr>
            <w:tcW w:w="9639" w:type="dxa"/>
            <w:gridSpan w:val="6"/>
            <w:tcBorders>
              <w:bottom w:val="single" w:sz="4" w:space="0" w:color="BFBFBF"/>
            </w:tcBorders>
            <w:shd w:val="clear" w:color="auto" w:fill="auto"/>
            <w:noWrap/>
            <w:hideMark/>
          </w:tcPr>
          <w:p w14:paraId="0363379F" w14:textId="77777777" w:rsidR="00B0569D" w:rsidRPr="00D02A2E" w:rsidRDefault="00B0569D" w:rsidP="00B0569D">
            <w:pPr>
              <w:pStyle w:val="ARtablenoteindent"/>
            </w:pPr>
            <w:r w:rsidRPr="00C5726C">
              <w:rPr>
                <w:noProof/>
              </w:rPr>
              <w:t xml:space="preserve">The result was lower than the target as overall activity has been impacted by </w:t>
            </w:r>
            <w:r>
              <w:rPr>
                <w:noProof/>
              </w:rPr>
              <w:t>COVID-19</w:t>
            </w:r>
            <w:r w:rsidRPr="00C5726C">
              <w:rPr>
                <w:noProof/>
              </w:rPr>
              <w:t>.</w:t>
            </w:r>
          </w:p>
        </w:tc>
      </w:tr>
      <w:tr w:rsidR="00B0569D" w:rsidRPr="00D02A2E" w14:paraId="15EC0D4D" w14:textId="77777777" w:rsidTr="000F1C6B">
        <w:trPr>
          <w:cantSplit/>
        </w:trPr>
        <w:tc>
          <w:tcPr>
            <w:tcW w:w="9639" w:type="dxa"/>
            <w:gridSpan w:val="6"/>
            <w:tcBorders>
              <w:top w:val="single" w:sz="4" w:space="0" w:color="auto"/>
            </w:tcBorders>
            <w:shd w:val="clear" w:color="auto" w:fill="auto"/>
            <w:hideMark/>
          </w:tcPr>
          <w:p w14:paraId="54BDF1A4" w14:textId="77777777" w:rsidR="00B0569D" w:rsidRPr="00D02A2E" w:rsidRDefault="00B0569D" w:rsidP="00B0569D">
            <w:pPr>
              <w:pStyle w:val="ARtablegreybold"/>
              <w:rPr>
                <w:rFonts w:ascii="Wingdings" w:hAnsi="Wingdings"/>
              </w:rPr>
            </w:pPr>
            <w:r>
              <w:t>Quality</w:t>
            </w:r>
          </w:p>
        </w:tc>
      </w:tr>
      <w:tr w:rsidR="00B0569D" w:rsidRPr="00D02A2E" w14:paraId="3480F5CE" w14:textId="77777777" w:rsidTr="00C575AB">
        <w:trPr>
          <w:cantSplit/>
        </w:trPr>
        <w:tc>
          <w:tcPr>
            <w:tcW w:w="4761" w:type="dxa"/>
            <w:shd w:val="clear" w:color="auto" w:fill="auto"/>
            <w:hideMark/>
          </w:tcPr>
          <w:p w14:paraId="1BC70BF5" w14:textId="77777777" w:rsidR="00B0569D" w:rsidRPr="00D02A2E" w:rsidRDefault="00B0569D" w:rsidP="00B0569D">
            <w:pPr>
              <w:pStyle w:val="ARtabletext"/>
            </w:pPr>
            <w:r w:rsidRPr="00C5726C">
              <w:rPr>
                <w:noProof/>
              </w:rPr>
              <w:t>Emergency patients that did not wait for treatment</w:t>
            </w:r>
          </w:p>
        </w:tc>
        <w:tc>
          <w:tcPr>
            <w:tcW w:w="1021" w:type="dxa"/>
            <w:shd w:val="clear" w:color="auto" w:fill="auto"/>
            <w:hideMark/>
          </w:tcPr>
          <w:p w14:paraId="3E226655" w14:textId="77777777" w:rsidR="00B0569D" w:rsidRPr="00D02A2E" w:rsidRDefault="00B0569D" w:rsidP="00B0569D">
            <w:pPr>
              <w:pStyle w:val="ARtabletextcentre"/>
            </w:pPr>
            <w:r w:rsidRPr="00C5726C">
              <w:rPr>
                <w:noProof/>
              </w:rPr>
              <w:t>per cent</w:t>
            </w:r>
          </w:p>
        </w:tc>
        <w:tc>
          <w:tcPr>
            <w:tcW w:w="1021" w:type="dxa"/>
            <w:shd w:val="clear" w:color="auto" w:fill="auto"/>
            <w:hideMark/>
          </w:tcPr>
          <w:p w14:paraId="48BCAAC9" w14:textId="77777777" w:rsidR="00B0569D" w:rsidRDefault="00B0569D" w:rsidP="00B0569D">
            <w:pPr>
              <w:pStyle w:val="ARtabletextright"/>
            </w:pPr>
            <w:r w:rsidRPr="00C5726C">
              <w:rPr>
                <w:noProof/>
              </w:rPr>
              <w:t>5</w:t>
            </w:r>
          </w:p>
        </w:tc>
        <w:tc>
          <w:tcPr>
            <w:tcW w:w="1021" w:type="dxa"/>
            <w:shd w:val="clear" w:color="auto" w:fill="auto"/>
            <w:hideMark/>
          </w:tcPr>
          <w:p w14:paraId="08F0CE0B" w14:textId="77777777" w:rsidR="00B0569D" w:rsidRDefault="00B0569D" w:rsidP="00B0569D">
            <w:pPr>
              <w:pStyle w:val="ARtabletextright"/>
            </w:pPr>
            <w:r w:rsidRPr="00C5726C">
              <w:rPr>
                <w:noProof/>
              </w:rPr>
              <w:t>4.</w:t>
            </w:r>
            <w:r>
              <w:rPr>
                <w:noProof/>
              </w:rPr>
              <w:t>6</w:t>
            </w:r>
          </w:p>
        </w:tc>
        <w:tc>
          <w:tcPr>
            <w:tcW w:w="1021" w:type="dxa"/>
            <w:shd w:val="clear" w:color="auto" w:fill="auto"/>
          </w:tcPr>
          <w:p w14:paraId="191D3A7D" w14:textId="77777777" w:rsidR="00B0569D" w:rsidRDefault="00B0569D" w:rsidP="00B0569D">
            <w:pPr>
              <w:pStyle w:val="ARtabletextright"/>
            </w:pPr>
            <w:r>
              <w:rPr>
                <w:noProof/>
              </w:rPr>
              <w:t>−</w:t>
            </w:r>
            <w:r w:rsidRPr="00C5726C">
              <w:rPr>
                <w:noProof/>
              </w:rPr>
              <w:t>8</w:t>
            </w:r>
          </w:p>
        </w:tc>
        <w:tc>
          <w:tcPr>
            <w:tcW w:w="794" w:type="dxa"/>
            <w:shd w:val="clear" w:color="auto" w:fill="auto"/>
            <w:hideMark/>
          </w:tcPr>
          <w:p w14:paraId="1159939F" w14:textId="0656A158" w:rsidR="00B0569D" w:rsidRPr="00D02A2E" w:rsidRDefault="00CF2633" w:rsidP="00A52A4C">
            <w:pPr>
              <w:pStyle w:val="ARtableperformancesymbol"/>
            </w:pPr>
            <w:r>
              <w:rPr>
                <w:noProof/>
              </w:rPr>
              <w:drawing>
                <wp:inline distT="0" distB="0" distL="0" distR="0" wp14:anchorId="066B65C8" wp14:editId="612C648C">
                  <wp:extent cx="85320" cy="85320"/>
                  <wp:effectExtent l="0" t="0" r="0" b="0"/>
                  <wp:docPr id="124" name="Graphic 124"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B0569D" w:rsidRPr="00D02A2E" w14:paraId="313D6ABA" w14:textId="77777777" w:rsidTr="00C575AB">
        <w:trPr>
          <w:cantSplit/>
        </w:trPr>
        <w:tc>
          <w:tcPr>
            <w:tcW w:w="9639" w:type="dxa"/>
            <w:gridSpan w:val="6"/>
            <w:tcBorders>
              <w:bottom w:val="single" w:sz="4" w:space="0" w:color="A6A6A6"/>
            </w:tcBorders>
            <w:shd w:val="clear" w:color="auto" w:fill="auto"/>
            <w:noWrap/>
            <w:hideMark/>
          </w:tcPr>
          <w:p w14:paraId="5262BEC5" w14:textId="77777777" w:rsidR="00B0569D" w:rsidRPr="00D02A2E" w:rsidRDefault="00B0569D" w:rsidP="00B0569D">
            <w:pPr>
              <w:pStyle w:val="ARtablenoteindent"/>
            </w:pPr>
            <w:r w:rsidRPr="00C5726C">
              <w:rPr>
                <w:noProof/>
              </w:rPr>
              <w:t xml:space="preserve">The result is lower than target primarily due to the impact of the </w:t>
            </w:r>
            <w:r>
              <w:rPr>
                <w:noProof/>
              </w:rPr>
              <w:t>COVID-19</w:t>
            </w:r>
            <w:r w:rsidRPr="00C5726C">
              <w:rPr>
                <w:noProof/>
              </w:rPr>
              <w:t xml:space="preserve"> pandemic on emergency department demand. This is a positive result.</w:t>
            </w:r>
          </w:p>
        </w:tc>
      </w:tr>
      <w:tr w:rsidR="00B0569D" w:rsidRPr="00D02A2E" w14:paraId="03A06C6D" w14:textId="77777777" w:rsidTr="00C575AB">
        <w:trPr>
          <w:cantSplit/>
        </w:trPr>
        <w:tc>
          <w:tcPr>
            <w:tcW w:w="4761" w:type="dxa"/>
            <w:tcBorders>
              <w:top w:val="single" w:sz="4" w:space="0" w:color="A6A6A6"/>
              <w:bottom w:val="single" w:sz="4" w:space="0" w:color="A6A6A6"/>
            </w:tcBorders>
            <w:shd w:val="clear" w:color="auto" w:fill="auto"/>
            <w:hideMark/>
          </w:tcPr>
          <w:p w14:paraId="1C342F46" w14:textId="77777777" w:rsidR="00B0569D" w:rsidRPr="00D02A2E" w:rsidRDefault="00B0569D" w:rsidP="00B0569D">
            <w:pPr>
              <w:pStyle w:val="ARtabletext"/>
            </w:pPr>
            <w:r w:rsidRPr="00C5726C">
              <w:rPr>
                <w:noProof/>
              </w:rPr>
              <w:t>Emergency patients re-presenting to the emergency department within 48 hours of previous presentation</w:t>
            </w:r>
          </w:p>
        </w:tc>
        <w:tc>
          <w:tcPr>
            <w:tcW w:w="1021" w:type="dxa"/>
            <w:tcBorders>
              <w:top w:val="single" w:sz="4" w:space="0" w:color="A6A6A6"/>
              <w:bottom w:val="single" w:sz="4" w:space="0" w:color="A6A6A6"/>
            </w:tcBorders>
            <w:shd w:val="clear" w:color="auto" w:fill="auto"/>
            <w:hideMark/>
          </w:tcPr>
          <w:p w14:paraId="190651C5" w14:textId="77777777" w:rsidR="00B0569D" w:rsidRPr="00D02A2E" w:rsidRDefault="00B0569D" w:rsidP="00B0569D">
            <w:pPr>
              <w:pStyle w:val="ARtabletextcentre"/>
            </w:pPr>
            <w:r w:rsidRPr="00C5726C">
              <w:rPr>
                <w:noProof/>
              </w:rPr>
              <w:t>per cent</w:t>
            </w:r>
          </w:p>
        </w:tc>
        <w:tc>
          <w:tcPr>
            <w:tcW w:w="1021" w:type="dxa"/>
            <w:tcBorders>
              <w:top w:val="single" w:sz="4" w:space="0" w:color="A6A6A6"/>
              <w:bottom w:val="single" w:sz="4" w:space="0" w:color="A6A6A6"/>
            </w:tcBorders>
            <w:shd w:val="clear" w:color="auto" w:fill="auto"/>
            <w:hideMark/>
          </w:tcPr>
          <w:p w14:paraId="227BB508" w14:textId="77777777" w:rsidR="00B0569D" w:rsidRDefault="00B0569D" w:rsidP="00B0569D">
            <w:pPr>
              <w:pStyle w:val="ARtabletextright"/>
            </w:pPr>
            <w:r w:rsidRPr="00C5726C">
              <w:rPr>
                <w:noProof/>
              </w:rPr>
              <w:t>6</w:t>
            </w:r>
          </w:p>
        </w:tc>
        <w:tc>
          <w:tcPr>
            <w:tcW w:w="1021" w:type="dxa"/>
            <w:tcBorders>
              <w:top w:val="single" w:sz="4" w:space="0" w:color="A6A6A6"/>
              <w:bottom w:val="single" w:sz="4" w:space="0" w:color="A6A6A6"/>
            </w:tcBorders>
            <w:shd w:val="clear" w:color="auto" w:fill="auto"/>
            <w:hideMark/>
          </w:tcPr>
          <w:p w14:paraId="7EDCABCD" w14:textId="77777777" w:rsidR="00B0569D" w:rsidRDefault="00B0569D" w:rsidP="00B0569D">
            <w:pPr>
              <w:pStyle w:val="ARtabletextright"/>
            </w:pPr>
            <w:r w:rsidRPr="00C5726C">
              <w:rPr>
                <w:noProof/>
              </w:rPr>
              <w:t>6.</w:t>
            </w:r>
            <w:r>
              <w:rPr>
                <w:noProof/>
              </w:rPr>
              <w:t>1</w:t>
            </w:r>
          </w:p>
        </w:tc>
        <w:tc>
          <w:tcPr>
            <w:tcW w:w="1021" w:type="dxa"/>
            <w:tcBorders>
              <w:top w:val="single" w:sz="4" w:space="0" w:color="A6A6A6"/>
              <w:bottom w:val="single" w:sz="4" w:space="0" w:color="A6A6A6"/>
            </w:tcBorders>
            <w:shd w:val="clear" w:color="auto" w:fill="auto"/>
          </w:tcPr>
          <w:p w14:paraId="72B7C4A4" w14:textId="77777777" w:rsidR="00B0569D" w:rsidRDefault="00B0569D" w:rsidP="00B0569D">
            <w:pPr>
              <w:pStyle w:val="ARtabletextright"/>
            </w:pPr>
            <w:r w:rsidRPr="00C5726C">
              <w:rPr>
                <w:noProof/>
              </w:rPr>
              <w:t>1.7</w:t>
            </w:r>
          </w:p>
        </w:tc>
        <w:tc>
          <w:tcPr>
            <w:tcW w:w="794" w:type="dxa"/>
            <w:tcBorders>
              <w:top w:val="single" w:sz="4" w:space="0" w:color="A6A6A6"/>
              <w:bottom w:val="single" w:sz="4" w:space="0" w:color="A6A6A6"/>
            </w:tcBorders>
            <w:shd w:val="clear" w:color="auto" w:fill="auto"/>
            <w:hideMark/>
          </w:tcPr>
          <w:p w14:paraId="0EFFBA72" w14:textId="17482F65" w:rsidR="00B0569D" w:rsidRPr="00D02A2E" w:rsidRDefault="00CF2633" w:rsidP="00B0569D">
            <w:pPr>
              <w:pStyle w:val="ARtabletextright"/>
            </w:pPr>
            <w:r>
              <w:rPr>
                <w:noProof/>
              </w:rPr>
              <w:drawing>
                <wp:inline distT="0" distB="0" distL="0" distR="0" wp14:anchorId="48840FDB" wp14:editId="0D612E96">
                  <wp:extent cx="85320" cy="85320"/>
                  <wp:effectExtent l="0" t="0" r="0" b="0"/>
                  <wp:docPr id="125" name="Graphic 125"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B0569D" w:rsidRPr="00D02A2E" w14:paraId="4716FD40" w14:textId="77777777" w:rsidTr="00C575AB">
        <w:trPr>
          <w:cantSplit/>
        </w:trPr>
        <w:tc>
          <w:tcPr>
            <w:tcW w:w="4761" w:type="dxa"/>
            <w:tcBorders>
              <w:top w:val="single" w:sz="4" w:space="0" w:color="A6A6A6"/>
            </w:tcBorders>
            <w:shd w:val="clear" w:color="auto" w:fill="auto"/>
            <w:hideMark/>
          </w:tcPr>
          <w:p w14:paraId="4CFE7180" w14:textId="5F56BE9C" w:rsidR="00B0569D" w:rsidRPr="00D02A2E" w:rsidRDefault="00B0569D" w:rsidP="00B0569D">
            <w:pPr>
              <w:pStyle w:val="ARtabletext"/>
            </w:pPr>
            <w:r w:rsidRPr="00C5726C">
              <w:rPr>
                <w:noProof/>
              </w:rPr>
              <w:t>Patients</w:t>
            </w:r>
            <w:r w:rsidR="007D145B">
              <w:rPr>
                <w:noProof/>
              </w:rPr>
              <w:t>’</w:t>
            </w:r>
            <w:r w:rsidRPr="00C5726C">
              <w:rPr>
                <w:noProof/>
              </w:rPr>
              <w:t xml:space="preserve"> experience of emergency department care</w:t>
            </w:r>
          </w:p>
        </w:tc>
        <w:tc>
          <w:tcPr>
            <w:tcW w:w="1021" w:type="dxa"/>
            <w:tcBorders>
              <w:top w:val="single" w:sz="4" w:space="0" w:color="A6A6A6"/>
            </w:tcBorders>
            <w:shd w:val="clear" w:color="auto" w:fill="auto"/>
            <w:hideMark/>
          </w:tcPr>
          <w:p w14:paraId="58551B2F" w14:textId="77777777" w:rsidR="00B0569D" w:rsidRPr="00D02A2E" w:rsidRDefault="00B0569D" w:rsidP="00B0569D">
            <w:pPr>
              <w:pStyle w:val="ARtabletextcentre"/>
            </w:pPr>
            <w:r w:rsidRPr="00C5726C">
              <w:rPr>
                <w:noProof/>
              </w:rPr>
              <w:t>per cent</w:t>
            </w:r>
          </w:p>
        </w:tc>
        <w:tc>
          <w:tcPr>
            <w:tcW w:w="1021" w:type="dxa"/>
            <w:tcBorders>
              <w:top w:val="single" w:sz="4" w:space="0" w:color="A6A6A6"/>
            </w:tcBorders>
            <w:shd w:val="clear" w:color="auto" w:fill="auto"/>
            <w:hideMark/>
          </w:tcPr>
          <w:p w14:paraId="5400B230" w14:textId="77777777" w:rsidR="00B0569D" w:rsidRDefault="00B0569D" w:rsidP="00B0569D">
            <w:pPr>
              <w:pStyle w:val="ARtabletextright"/>
            </w:pPr>
            <w:r w:rsidRPr="00C5726C">
              <w:rPr>
                <w:noProof/>
              </w:rPr>
              <w:t>85</w:t>
            </w:r>
          </w:p>
        </w:tc>
        <w:tc>
          <w:tcPr>
            <w:tcW w:w="1021" w:type="dxa"/>
            <w:tcBorders>
              <w:top w:val="single" w:sz="4" w:space="0" w:color="A6A6A6"/>
            </w:tcBorders>
            <w:shd w:val="clear" w:color="auto" w:fill="auto"/>
            <w:hideMark/>
          </w:tcPr>
          <w:p w14:paraId="39C0CCA8" w14:textId="77777777" w:rsidR="00B0569D" w:rsidRDefault="00B0569D" w:rsidP="00B0569D">
            <w:pPr>
              <w:pStyle w:val="ARtabletextright"/>
            </w:pPr>
            <w:r w:rsidRPr="00C5726C">
              <w:rPr>
                <w:noProof/>
              </w:rPr>
              <w:t>0</w:t>
            </w:r>
          </w:p>
        </w:tc>
        <w:tc>
          <w:tcPr>
            <w:tcW w:w="1021" w:type="dxa"/>
            <w:tcBorders>
              <w:top w:val="single" w:sz="4" w:space="0" w:color="A6A6A6"/>
            </w:tcBorders>
            <w:shd w:val="clear" w:color="auto" w:fill="auto"/>
          </w:tcPr>
          <w:p w14:paraId="34780E1E" w14:textId="77777777" w:rsidR="00B0569D" w:rsidRDefault="00B0569D" w:rsidP="00B0569D">
            <w:pPr>
              <w:pStyle w:val="ARtabletextright"/>
            </w:pPr>
            <w:r w:rsidRPr="00C5726C">
              <w:rPr>
                <w:noProof/>
              </w:rPr>
              <w:t>0</w:t>
            </w:r>
          </w:p>
        </w:tc>
        <w:tc>
          <w:tcPr>
            <w:tcW w:w="794" w:type="dxa"/>
            <w:tcBorders>
              <w:top w:val="single" w:sz="4" w:space="0" w:color="A6A6A6"/>
            </w:tcBorders>
            <w:shd w:val="clear" w:color="auto" w:fill="auto"/>
            <w:hideMark/>
          </w:tcPr>
          <w:p w14:paraId="7CC25A81" w14:textId="3784E042" w:rsidR="00B0569D" w:rsidRPr="00D02A2E" w:rsidRDefault="00B0569D" w:rsidP="00B0569D">
            <w:pPr>
              <w:pStyle w:val="ARtabletextright"/>
            </w:pPr>
            <w:r>
              <w:rPr>
                <w:noProof/>
              </w:rPr>
              <w:t>N/A</w:t>
            </w:r>
          </w:p>
        </w:tc>
      </w:tr>
      <w:tr w:rsidR="00B0569D" w:rsidRPr="00D02A2E" w14:paraId="53C7768B" w14:textId="77777777" w:rsidTr="000F1C6B">
        <w:trPr>
          <w:cantSplit/>
        </w:trPr>
        <w:tc>
          <w:tcPr>
            <w:tcW w:w="9639" w:type="dxa"/>
            <w:gridSpan w:val="6"/>
            <w:tcBorders>
              <w:bottom w:val="single" w:sz="4" w:space="0" w:color="BFBFBF"/>
            </w:tcBorders>
            <w:shd w:val="clear" w:color="auto" w:fill="auto"/>
            <w:noWrap/>
            <w:hideMark/>
          </w:tcPr>
          <w:p w14:paraId="57FE59CA" w14:textId="77777777" w:rsidR="00B0569D" w:rsidRPr="00D02A2E" w:rsidRDefault="00B0569D" w:rsidP="00B0569D">
            <w:pPr>
              <w:pStyle w:val="ARtablenoteindent"/>
            </w:pPr>
            <w:r w:rsidRPr="00C5726C">
              <w:rPr>
                <w:noProof/>
              </w:rPr>
              <w:t xml:space="preserve">The </w:t>
            </w:r>
            <w:r>
              <w:rPr>
                <w:noProof/>
              </w:rPr>
              <w:t>Victorian Healthcare Experience Survey</w:t>
            </w:r>
            <w:r w:rsidRPr="00C5726C">
              <w:rPr>
                <w:noProof/>
              </w:rPr>
              <w:t xml:space="preserve"> program was paused in Q</w:t>
            </w:r>
            <w:r>
              <w:rPr>
                <w:noProof/>
              </w:rPr>
              <w:t xml:space="preserve">uarter </w:t>
            </w:r>
            <w:r w:rsidRPr="00C5726C">
              <w:rPr>
                <w:noProof/>
              </w:rPr>
              <w:t>4 2020 and remain</w:t>
            </w:r>
            <w:r>
              <w:rPr>
                <w:noProof/>
              </w:rPr>
              <w:t>ed</w:t>
            </w:r>
            <w:r w:rsidRPr="00C5726C">
              <w:rPr>
                <w:noProof/>
              </w:rPr>
              <w:t xml:space="preserve"> on hold until August 2021. Thus data for </w:t>
            </w:r>
            <w:r>
              <w:rPr>
                <w:noProof/>
              </w:rPr>
              <w:t>Quarter 4</w:t>
            </w:r>
            <w:r w:rsidRPr="00C5726C">
              <w:rPr>
                <w:noProof/>
              </w:rPr>
              <w:t xml:space="preserve"> 202</w:t>
            </w:r>
            <w:r>
              <w:rPr>
                <w:noProof/>
              </w:rPr>
              <w:t>0–</w:t>
            </w:r>
            <w:r w:rsidRPr="00C5726C">
              <w:rPr>
                <w:noProof/>
              </w:rPr>
              <w:t>21 and the 202</w:t>
            </w:r>
            <w:r>
              <w:rPr>
                <w:noProof/>
              </w:rPr>
              <w:t>0–</w:t>
            </w:r>
            <w:r w:rsidRPr="00C5726C">
              <w:rPr>
                <w:noProof/>
              </w:rPr>
              <w:t>21 financial year was not collected and is not available.</w:t>
            </w:r>
          </w:p>
        </w:tc>
      </w:tr>
      <w:tr w:rsidR="00B0569D" w:rsidRPr="00D02A2E" w14:paraId="0C4AB53E" w14:textId="77777777" w:rsidTr="00C575AB">
        <w:trPr>
          <w:cantSplit/>
        </w:trPr>
        <w:tc>
          <w:tcPr>
            <w:tcW w:w="9639" w:type="dxa"/>
            <w:gridSpan w:val="6"/>
            <w:tcBorders>
              <w:top w:val="single" w:sz="4" w:space="0" w:color="auto"/>
            </w:tcBorders>
            <w:shd w:val="clear" w:color="auto" w:fill="auto"/>
            <w:hideMark/>
          </w:tcPr>
          <w:p w14:paraId="261B9C5F" w14:textId="77777777" w:rsidR="00B0569D" w:rsidRPr="00D02A2E" w:rsidRDefault="00B0569D" w:rsidP="00B0569D">
            <w:pPr>
              <w:pStyle w:val="ARtablegreybold"/>
              <w:rPr>
                <w:rFonts w:ascii="Wingdings" w:hAnsi="Wingdings"/>
              </w:rPr>
            </w:pPr>
            <w:r>
              <w:t>Timeliness</w:t>
            </w:r>
          </w:p>
        </w:tc>
      </w:tr>
      <w:tr w:rsidR="00B0569D" w:rsidRPr="00D02A2E" w14:paraId="3554AF3F" w14:textId="77777777" w:rsidTr="00C575AB">
        <w:trPr>
          <w:cantSplit/>
        </w:trPr>
        <w:tc>
          <w:tcPr>
            <w:tcW w:w="4761" w:type="dxa"/>
            <w:tcBorders>
              <w:bottom w:val="single" w:sz="4" w:space="0" w:color="A6A6A6"/>
            </w:tcBorders>
            <w:shd w:val="clear" w:color="auto" w:fill="auto"/>
            <w:hideMark/>
          </w:tcPr>
          <w:p w14:paraId="2917BF00" w14:textId="77777777" w:rsidR="00B0569D" w:rsidRPr="00D02A2E" w:rsidRDefault="00B0569D" w:rsidP="00B0569D">
            <w:pPr>
              <w:pStyle w:val="ARtabletext"/>
            </w:pPr>
            <w:r w:rsidRPr="00C5726C">
              <w:rPr>
                <w:noProof/>
              </w:rPr>
              <w:t>Emergency Category 1 treated immediately</w:t>
            </w:r>
          </w:p>
        </w:tc>
        <w:tc>
          <w:tcPr>
            <w:tcW w:w="1021" w:type="dxa"/>
            <w:tcBorders>
              <w:bottom w:val="single" w:sz="4" w:space="0" w:color="A6A6A6"/>
            </w:tcBorders>
            <w:shd w:val="clear" w:color="auto" w:fill="auto"/>
            <w:hideMark/>
          </w:tcPr>
          <w:p w14:paraId="0F0734AD" w14:textId="77777777" w:rsidR="00B0569D" w:rsidRPr="00D02A2E" w:rsidRDefault="00B0569D" w:rsidP="00B0569D">
            <w:pPr>
              <w:pStyle w:val="ARtabletextcentre"/>
            </w:pPr>
            <w:r w:rsidRPr="00C5726C">
              <w:rPr>
                <w:noProof/>
              </w:rPr>
              <w:t>per cent</w:t>
            </w:r>
          </w:p>
        </w:tc>
        <w:tc>
          <w:tcPr>
            <w:tcW w:w="1021" w:type="dxa"/>
            <w:tcBorders>
              <w:bottom w:val="single" w:sz="4" w:space="0" w:color="A6A6A6"/>
            </w:tcBorders>
            <w:shd w:val="clear" w:color="auto" w:fill="auto"/>
            <w:hideMark/>
          </w:tcPr>
          <w:p w14:paraId="227C83E0" w14:textId="77777777" w:rsidR="00B0569D" w:rsidRDefault="00B0569D" w:rsidP="00B0569D">
            <w:pPr>
              <w:pStyle w:val="ARtabletextright"/>
            </w:pPr>
            <w:r w:rsidRPr="00C5726C">
              <w:rPr>
                <w:noProof/>
              </w:rPr>
              <w:t>100</w:t>
            </w:r>
          </w:p>
        </w:tc>
        <w:tc>
          <w:tcPr>
            <w:tcW w:w="1021" w:type="dxa"/>
            <w:tcBorders>
              <w:bottom w:val="single" w:sz="4" w:space="0" w:color="A6A6A6"/>
            </w:tcBorders>
            <w:shd w:val="clear" w:color="auto" w:fill="auto"/>
            <w:hideMark/>
          </w:tcPr>
          <w:p w14:paraId="1DDBF69A" w14:textId="77777777" w:rsidR="00B0569D" w:rsidRDefault="00B0569D" w:rsidP="00B0569D">
            <w:pPr>
              <w:pStyle w:val="ARtabletextright"/>
            </w:pPr>
            <w:r w:rsidRPr="00C5726C">
              <w:rPr>
                <w:noProof/>
              </w:rPr>
              <w:t>100</w:t>
            </w:r>
          </w:p>
        </w:tc>
        <w:tc>
          <w:tcPr>
            <w:tcW w:w="1021" w:type="dxa"/>
            <w:tcBorders>
              <w:bottom w:val="single" w:sz="4" w:space="0" w:color="A6A6A6"/>
            </w:tcBorders>
            <w:shd w:val="clear" w:color="auto" w:fill="auto"/>
          </w:tcPr>
          <w:p w14:paraId="1A903DB3" w14:textId="77777777" w:rsidR="00B0569D" w:rsidRDefault="00B0569D" w:rsidP="00B0569D">
            <w:pPr>
              <w:pStyle w:val="ARtabletextright"/>
            </w:pPr>
            <w:r w:rsidRPr="00C5726C">
              <w:rPr>
                <w:noProof/>
              </w:rPr>
              <w:t>0</w:t>
            </w:r>
          </w:p>
        </w:tc>
        <w:tc>
          <w:tcPr>
            <w:tcW w:w="794" w:type="dxa"/>
            <w:tcBorders>
              <w:bottom w:val="single" w:sz="4" w:space="0" w:color="A6A6A6"/>
            </w:tcBorders>
            <w:shd w:val="clear" w:color="auto" w:fill="auto"/>
            <w:hideMark/>
          </w:tcPr>
          <w:p w14:paraId="2A9BC802" w14:textId="1336AE01" w:rsidR="00B0569D" w:rsidRPr="00D02A2E" w:rsidRDefault="00CF2633" w:rsidP="00B0569D">
            <w:pPr>
              <w:pStyle w:val="ARtabletextright"/>
            </w:pPr>
            <w:r>
              <w:rPr>
                <w:noProof/>
              </w:rPr>
              <w:drawing>
                <wp:inline distT="0" distB="0" distL="0" distR="0" wp14:anchorId="4F820192" wp14:editId="49830D2A">
                  <wp:extent cx="85320" cy="85320"/>
                  <wp:effectExtent l="0" t="0" r="0" b="0"/>
                  <wp:docPr id="126" name="Graphic 126"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B0569D" w:rsidRPr="00D02A2E" w14:paraId="1C446AC2" w14:textId="77777777" w:rsidTr="00C575AB">
        <w:trPr>
          <w:cantSplit/>
        </w:trPr>
        <w:tc>
          <w:tcPr>
            <w:tcW w:w="4761" w:type="dxa"/>
            <w:tcBorders>
              <w:top w:val="single" w:sz="4" w:space="0" w:color="A6A6A6"/>
            </w:tcBorders>
            <w:shd w:val="clear" w:color="auto" w:fill="auto"/>
            <w:hideMark/>
          </w:tcPr>
          <w:p w14:paraId="4D1E97AD" w14:textId="1D6006D4" w:rsidR="00B0569D" w:rsidRPr="00D02A2E" w:rsidRDefault="00B0569D" w:rsidP="00B0569D">
            <w:pPr>
              <w:pStyle w:val="ARtabletext"/>
            </w:pPr>
            <w:r w:rsidRPr="00C5726C">
              <w:rPr>
                <w:noProof/>
              </w:rPr>
              <w:t xml:space="preserve">Emergency patients treated within clinically recommended </w:t>
            </w:r>
            <w:r w:rsidR="007D145B">
              <w:rPr>
                <w:noProof/>
              </w:rPr>
              <w:t>‘</w:t>
            </w:r>
            <w:r w:rsidRPr="00C5726C">
              <w:rPr>
                <w:noProof/>
              </w:rPr>
              <w:t>time to treatment</w:t>
            </w:r>
            <w:r w:rsidR="007D145B">
              <w:rPr>
                <w:noProof/>
              </w:rPr>
              <w:t>’</w:t>
            </w:r>
          </w:p>
        </w:tc>
        <w:tc>
          <w:tcPr>
            <w:tcW w:w="1021" w:type="dxa"/>
            <w:tcBorders>
              <w:top w:val="single" w:sz="4" w:space="0" w:color="A6A6A6"/>
            </w:tcBorders>
            <w:shd w:val="clear" w:color="auto" w:fill="auto"/>
            <w:hideMark/>
          </w:tcPr>
          <w:p w14:paraId="29ADA1D7" w14:textId="77777777" w:rsidR="00B0569D" w:rsidRPr="00D02A2E" w:rsidRDefault="00B0569D" w:rsidP="00B0569D">
            <w:pPr>
              <w:pStyle w:val="ARtabletextcentre"/>
            </w:pPr>
            <w:r w:rsidRPr="00C5726C">
              <w:rPr>
                <w:noProof/>
              </w:rPr>
              <w:t>per cent</w:t>
            </w:r>
          </w:p>
        </w:tc>
        <w:tc>
          <w:tcPr>
            <w:tcW w:w="1021" w:type="dxa"/>
            <w:tcBorders>
              <w:top w:val="single" w:sz="4" w:space="0" w:color="A6A6A6"/>
            </w:tcBorders>
            <w:shd w:val="clear" w:color="auto" w:fill="auto"/>
            <w:hideMark/>
          </w:tcPr>
          <w:p w14:paraId="05266E5B" w14:textId="77777777" w:rsidR="00B0569D" w:rsidRDefault="00B0569D" w:rsidP="00B0569D">
            <w:pPr>
              <w:pStyle w:val="ARtabletextright"/>
            </w:pPr>
            <w:r w:rsidRPr="00C5726C">
              <w:rPr>
                <w:noProof/>
              </w:rPr>
              <w:t>80</w:t>
            </w:r>
          </w:p>
        </w:tc>
        <w:tc>
          <w:tcPr>
            <w:tcW w:w="1021" w:type="dxa"/>
            <w:tcBorders>
              <w:top w:val="single" w:sz="4" w:space="0" w:color="A6A6A6"/>
            </w:tcBorders>
            <w:shd w:val="clear" w:color="auto" w:fill="auto"/>
            <w:hideMark/>
          </w:tcPr>
          <w:p w14:paraId="2E6443D8" w14:textId="77777777" w:rsidR="00B0569D" w:rsidRDefault="00B0569D" w:rsidP="00B0569D">
            <w:pPr>
              <w:pStyle w:val="ARtabletextright"/>
            </w:pPr>
            <w:r w:rsidRPr="00C5726C">
              <w:rPr>
                <w:noProof/>
              </w:rPr>
              <w:t>68</w:t>
            </w:r>
          </w:p>
        </w:tc>
        <w:tc>
          <w:tcPr>
            <w:tcW w:w="1021" w:type="dxa"/>
            <w:tcBorders>
              <w:top w:val="single" w:sz="4" w:space="0" w:color="A6A6A6"/>
            </w:tcBorders>
            <w:shd w:val="clear" w:color="auto" w:fill="auto"/>
          </w:tcPr>
          <w:p w14:paraId="578B8471" w14:textId="77777777" w:rsidR="00B0569D" w:rsidRDefault="00B0569D" w:rsidP="00B0569D">
            <w:pPr>
              <w:pStyle w:val="ARtabletextright"/>
            </w:pPr>
            <w:r>
              <w:rPr>
                <w:noProof/>
              </w:rPr>
              <w:t>−</w:t>
            </w:r>
            <w:r w:rsidRPr="00C5726C">
              <w:rPr>
                <w:noProof/>
              </w:rPr>
              <w:t>15</w:t>
            </w:r>
          </w:p>
        </w:tc>
        <w:tc>
          <w:tcPr>
            <w:tcW w:w="794" w:type="dxa"/>
            <w:tcBorders>
              <w:top w:val="single" w:sz="4" w:space="0" w:color="A6A6A6"/>
            </w:tcBorders>
            <w:shd w:val="clear" w:color="auto" w:fill="auto"/>
            <w:hideMark/>
          </w:tcPr>
          <w:p w14:paraId="1E64CE20" w14:textId="5A540C86" w:rsidR="00B0569D" w:rsidRPr="00D02A2E" w:rsidRDefault="00B0569D" w:rsidP="00A52A4C">
            <w:pPr>
              <w:pStyle w:val="ARtableperformancesymbol"/>
            </w:pPr>
            <w:r>
              <w:rPr>
                <w:noProof/>
              </w:rPr>
              <w:drawing>
                <wp:inline distT="0" distB="0" distL="0" distR="0" wp14:anchorId="65715F7F" wp14:editId="49697DC7">
                  <wp:extent cx="76320" cy="76320"/>
                  <wp:effectExtent l="0" t="0" r="0" b="0"/>
                  <wp:docPr id="69" name="Graphic 69"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B0569D" w:rsidRPr="00D02A2E" w14:paraId="78331AB0" w14:textId="77777777" w:rsidTr="000F1C6B">
        <w:trPr>
          <w:cantSplit/>
        </w:trPr>
        <w:tc>
          <w:tcPr>
            <w:tcW w:w="9639" w:type="dxa"/>
            <w:gridSpan w:val="6"/>
            <w:tcBorders>
              <w:bottom w:val="single" w:sz="4" w:space="0" w:color="BFBFBF"/>
            </w:tcBorders>
            <w:shd w:val="clear" w:color="auto" w:fill="auto"/>
            <w:noWrap/>
            <w:hideMark/>
          </w:tcPr>
          <w:p w14:paraId="07C052BF" w14:textId="77777777" w:rsidR="00B0569D" w:rsidRPr="00D02A2E" w:rsidRDefault="00B0569D" w:rsidP="00B0569D">
            <w:pPr>
              <w:pStyle w:val="ARtablenoteindent"/>
            </w:pPr>
            <w:r w:rsidRPr="00C5726C">
              <w:rPr>
                <w:noProof/>
              </w:rPr>
              <w:t xml:space="preserve">The result is lower than target primarily due to higher ambulance demand, a higher proportion of complex patients, and heightened infection control practices during the </w:t>
            </w:r>
            <w:r>
              <w:rPr>
                <w:noProof/>
              </w:rPr>
              <w:t>COVID-19</w:t>
            </w:r>
            <w:r w:rsidRPr="00C5726C">
              <w:rPr>
                <w:noProof/>
              </w:rPr>
              <w:t xml:space="preserve"> pandemic.</w:t>
            </w:r>
          </w:p>
        </w:tc>
      </w:tr>
      <w:tr w:rsidR="00B0569D" w:rsidRPr="00D02A2E" w14:paraId="17296AAD" w14:textId="77777777" w:rsidTr="000F1C6B">
        <w:trPr>
          <w:cantSplit/>
        </w:trPr>
        <w:tc>
          <w:tcPr>
            <w:tcW w:w="4761" w:type="dxa"/>
            <w:shd w:val="clear" w:color="auto" w:fill="auto"/>
            <w:hideMark/>
          </w:tcPr>
          <w:p w14:paraId="5B93BFB5" w14:textId="77777777" w:rsidR="00B0569D" w:rsidRPr="00D02A2E" w:rsidRDefault="00B0569D" w:rsidP="00B0569D">
            <w:pPr>
              <w:pStyle w:val="ARtabletext"/>
            </w:pPr>
            <w:r w:rsidRPr="00C5726C">
              <w:rPr>
                <w:noProof/>
              </w:rPr>
              <w:t>Emergency patients with a length of stay of less than four hours</w:t>
            </w:r>
          </w:p>
        </w:tc>
        <w:tc>
          <w:tcPr>
            <w:tcW w:w="1021" w:type="dxa"/>
            <w:shd w:val="clear" w:color="auto" w:fill="auto"/>
            <w:hideMark/>
          </w:tcPr>
          <w:p w14:paraId="4E2E60A3" w14:textId="77777777" w:rsidR="00B0569D" w:rsidRPr="00D02A2E" w:rsidRDefault="00B0569D" w:rsidP="00B0569D">
            <w:pPr>
              <w:pStyle w:val="ARtabletextcentre"/>
            </w:pPr>
            <w:r w:rsidRPr="00C5726C">
              <w:rPr>
                <w:noProof/>
              </w:rPr>
              <w:t>per cent</w:t>
            </w:r>
          </w:p>
        </w:tc>
        <w:tc>
          <w:tcPr>
            <w:tcW w:w="1021" w:type="dxa"/>
            <w:shd w:val="clear" w:color="auto" w:fill="auto"/>
            <w:hideMark/>
          </w:tcPr>
          <w:p w14:paraId="643E3DE8" w14:textId="77777777" w:rsidR="00B0569D" w:rsidRDefault="00B0569D" w:rsidP="00B0569D">
            <w:pPr>
              <w:pStyle w:val="ARtabletextright"/>
            </w:pPr>
            <w:r w:rsidRPr="00C5726C">
              <w:rPr>
                <w:noProof/>
              </w:rPr>
              <w:t>75</w:t>
            </w:r>
          </w:p>
        </w:tc>
        <w:tc>
          <w:tcPr>
            <w:tcW w:w="1021" w:type="dxa"/>
            <w:shd w:val="clear" w:color="auto" w:fill="auto"/>
            <w:hideMark/>
          </w:tcPr>
          <w:p w14:paraId="42D9CE50" w14:textId="77777777" w:rsidR="00B0569D" w:rsidRDefault="00B0569D" w:rsidP="00B0569D">
            <w:pPr>
              <w:pStyle w:val="ARtabletextright"/>
            </w:pPr>
            <w:r w:rsidRPr="00C5726C">
              <w:rPr>
                <w:noProof/>
              </w:rPr>
              <w:t>62</w:t>
            </w:r>
          </w:p>
        </w:tc>
        <w:tc>
          <w:tcPr>
            <w:tcW w:w="1021" w:type="dxa"/>
            <w:shd w:val="clear" w:color="auto" w:fill="auto"/>
          </w:tcPr>
          <w:p w14:paraId="38CCB585" w14:textId="77777777" w:rsidR="00B0569D" w:rsidRDefault="00B0569D" w:rsidP="00B0569D">
            <w:pPr>
              <w:pStyle w:val="ARtabletextright"/>
            </w:pPr>
            <w:r>
              <w:rPr>
                <w:noProof/>
              </w:rPr>
              <w:t>−</w:t>
            </w:r>
            <w:r w:rsidRPr="00C5726C">
              <w:rPr>
                <w:noProof/>
              </w:rPr>
              <w:t>17.3</w:t>
            </w:r>
          </w:p>
        </w:tc>
        <w:tc>
          <w:tcPr>
            <w:tcW w:w="794" w:type="dxa"/>
            <w:shd w:val="clear" w:color="auto" w:fill="auto"/>
            <w:hideMark/>
          </w:tcPr>
          <w:p w14:paraId="205C7CB8" w14:textId="4ADF77C9" w:rsidR="00B0569D" w:rsidRPr="00D02A2E" w:rsidRDefault="00B0569D" w:rsidP="00A52A4C">
            <w:pPr>
              <w:pStyle w:val="ARtableperformancesymbol"/>
            </w:pPr>
            <w:r>
              <w:rPr>
                <w:noProof/>
              </w:rPr>
              <w:drawing>
                <wp:inline distT="0" distB="0" distL="0" distR="0" wp14:anchorId="7A033175" wp14:editId="678D54BB">
                  <wp:extent cx="76320" cy="76320"/>
                  <wp:effectExtent l="0" t="0" r="0" b="0"/>
                  <wp:docPr id="70" name="Graphic 70"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B0569D" w:rsidRPr="00D02A2E" w14:paraId="0B9F27BA" w14:textId="77777777" w:rsidTr="000F1C6B">
        <w:trPr>
          <w:cantSplit/>
        </w:trPr>
        <w:tc>
          <w:tcPr>
            <w:tcW w:w="9639" w:type="dxa"/>
            <w:gridSpan w:val="6"/>
            <w:tcBorders>
              <w:bottom w:val="single" w:sz="4" w:space="0" w:color="BFBFBF"/>
            </w:tcBorders>
            <w:shd w:val="clear" w:color="auto" w:fill="auto"/>
            <w:noWrap/>
            <w:hideMark/>
          </w:tcPr>
          <w:p w14:paraId="2AEE1B6E" w14:textId="77777777" w:rsidR="00B0569D" w:rsidRPr="00D02A2E" w:rsidRDefault="00B0569D" w:rsidP="00B0569D">
            <w:pPr>
              <w:pStyle w:val="ARtablenoteindent"/>
            </w:pPr>
            <w:r w:rsidRPr="00C5726C">
              <w:rPr>
                <w:noProof/>
              </w:rPr>
              <w:t xml:space="preserve">The result is lower than target primarily due to higher ambulance demand, a higher proportion of complex patients, and heightened infection control practices during the </w:t>
            </w:r>
            <w:r>
              <w:rPr>
                <w:noProof/>
              </w:rPr>
              <w:t>COVID-19</w:t>
            </w:r>
            <w:r w:rsidRPr="00C5726C">
              <w:rPr>
                <w:noProof/>
              </w:rPr>
              <w:t xml:space="preserve"> pandemic.</w:t>
            </w:r>
          </w:p>
        </w:tc>
      </w:tr>
      <w:tr w:rsidR="00B0569D" w:rsidRPr="00D02A2E" w14:paraId="153CCD3A" w14:textId="77777777" w:rsidTr="000F1C6B">
        <w:trPr>
          <w:cantSplit/>
        </w:trPr>
        <w:tc>
          <w:tcPr>
            <w:tcW w:w="4761" w:type="dxa"/>
            <w:shd w:val="clear" w:color="auto" w:fill="auto"/>
            <w:hideMark/>
          </w:tcPr>
          <w:p w14:paraId="73C3B919" w14:textId="77777777" w:rsidR="00B0569D" w:rsidRPr="00D02A2E" w:rsidRDefault="00B0569D" w:rsidP="00B0569D">
            <w:pPr>
              <w:pStyle w:val="ARtabletext"/>
            </w:pPr>
            <w:r w:rsidRPr="00C5726C">
              <w:rPr>
                <w:noProof/>
              </w:rPr>
              <w:lastRenderedPageBreak/>
              <w:t>Proportion of ambulance patient transfers within 40 minutes</w:t>
            </w:r>
          </w:p>
        </w:tc>
        <w:tc>
          <w:tcPr>
            <w:tcW w:w="1021" w:type="dxa"/>
            <w:shd w:val="clear" w:color="auto" w:fill="auto"/>
            <w:hideMark/>
          </w:tcPr>
          <w:p w14:paraId="36A0EC91" w14:textId="77777777" w:rsidR="00B0569D" w:rsidRPr="00D02A2E" w:rsidRDefault="00B0569D" w:rsidP="00B0569D">
            <w:pPr>
              <w:pStyle w:val="ARtabletextcentre"/>
            </w:pPr>
            <w:r w:rsidRPr="00C5726C">
              <w:rPr>
                <w:noProof/>
              </w:rPr>
              <w:t>per cent</w:t>
            </w:r>
          </w:p>
        </w:tc>
        <w:tc>
          <w:tcPr>
            <w:tcW w:w="1021" w:type="dxa"/>
            <w:shd w:val="clear" w:color="auto" w:fill="auto"/>
            <w:hideMark/>
          </w:tcPr>
          <w:p w14:paraId="56A05383" w14:textId="77777777" w:rsidR="00B0569D" w:rsidRDefault="00B0569D" w:rsidP="00B0569D">
            <w:pPr>
              <w:pStyle w:val="ARtabletextright"/>
            </w:pPr>
            <w:r w:rsidRPr="00C5726C">
              <w:rPr>
                <w:noProof/>
              </w:rPr>
              <w:t>90</w:t>
            </w:r>
          </w:p>
        </w:tc>
        <w:tc>
          <w:tcPr>
            <w:tcW w:w="1021" w:type="dxa"/>
            <w:shd w:val="clear" w:color="auto" w:fill="auto"/>
            <w:hideMark/>
          </w:tcPr>
          <w:p w14:paraId="5FB0A473" w14:textId="77777777" w:rsidR="00B0569D" w:rsidRDefault="00B0569D" w:rsidP="00B0569D">
            <w:pPr>
              <w:pStyle w:val="ARtabletextright"/>
            </w:pPr>
            <w:r w:rsidRPr="00C5726C">
              <w:rPr>
                <w:noProof/>
              </w:rPr>
              <w:t>74</w:t>
            </w:r>
          </w:p>
        </w:tc>
        <w:tc>
          <w:tcPr>
            <w:tcW w:w="1021" w:type="dxa"/>
            <w:shd w:val="clear" w:color="auto" w:fill="auto"/>
          </w:tcPr>
          <w:p w14:paraId="16A1C425" w14:textId="77777777" w:rsidR="00B0569D" w:rsidRDefault="00B0569D" w:rsidP="00B0569D">
            <w:pPr>
              <w:pStyle w:val="ARtabletextright"/>
            </w:pPr>
            <w:r>
              <w:rPr>
                <w:noProof/>
              </w:rPr>
              <w:t>−</w:t>
            </w:r>
            <w:r w:rsidRPr="00C5726C">
              <w:rPr>
                <w:noProof/>
              </w:rPr>
              <w:t>17.8</w:t>
            </w:r>
          </w:p>
        </w:tc>
        <w:tc>
          <w:tcPr>
            <w:tcW w:w="794" w:type="dxa"/>
            <w:shd w:val="clear" w:color="auto" w:fill="auto"/>
            <w:hideMark/>
          </w:tcPr>
          <w:p w14:paraId="56EE764A" w14:textId="320B3ABA" w:rsidR="00B0569D" w:rsidRPr="00D02A2E" w:rsidRDefault="00B0569D" w:rsidP="00A52A4C">
            <w:pPr>
              <w:pStyle w:val="ARtableperformancesymbol"/>
            </w:pPr>
            <w:r>
              <w:rPr>
                <w:noProof/>
              </w:rPr>
              <w:drawing>
                <wp:inline distT="0" distB="0" distL="0" distR="0" wp14:anchorId="73D8C88F" wp14:editId="5E9311BB">
                  <wp:extent cx="76320" cy="76320"/>
                  <wp:effectExtent l="0" t="0" r="0" b="0"/>
                  <wp:docPr id="71" name="Graphic 71"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B0569D" w:rsidRPr="00D02A2E" w14:paraId="22B82B51" w14:textId="77777777" w:rsidTr="000F1C6B">
        <w:trPr>
          <w:cantSplit/>
        </w:trPr>
        <w:tc>
          <w:tcPr>
            <w:tcW w:w="9639" w:type="dxa"/>
            <w:gridSpan w:val="6"/>
            <w:tcBorders>
              <w:bottom w:val="single" w:sz="4" w:space="0" w:color="BFBFBF"/>
            </w:tcBorders>
            <w:shd w:val="clear" w:color="auto" w:fill="auto"/>
            <w:noWrap/>
            <w:hideMark/>
          </w:tcPr>
          <w:p w14:paraId="5899E377" w14:textId="77777777" w:rsidR="00B0569D" w:rsidRPr="00D02A2E" w:rsidRDefault="00B0569D" w:rsidP="00B0569D">
            <w:pPr>
              <w:pStyle w:val="ARtablenoteindent"/>
            </w:pPr>
            <w:r w:rsidRPr="00C5726C">
              <w:rPr>
                <w:noProof/>
              </w:rPr>
              <w:t xml:space="preserve">The result is lower than target primarily due to higher ambulance demand, a higher proportion of complex patients, and heightened infection control practices during the </w:t>
            </w:r>
            <w:r>
              <w:rPr>
                <w:noProof/>
              </w:rPr>
              <w:t>COVID-19</w:t>
            </w:r>
            <w:r w:rsidRPr="00C5726C">
              <w:rPr>
                <w:noProof/>
              </w:rPr>
              <w:t xml:space="preserve"> pandemic.</w:t>
            </w:r>
          </w:p>
        </w:tc>
      </w:tr>
      <w:tr w:rsidR="00B0569D" w:rsidRPr="00D02A2E" w14:paraId="7534AF5A" w14:textId="77777777" w:rsidTr="000F1C6B">
        <w:trPr>
          <w:cantSplit/>
        </w:trPr>
        <w:tc>
          <w:tcPr>
            <w:tcW w:w="9639" w:type="dxa"/>
            <w:gridSpan w:val="6"/>
            <w:tcBorders>
              <w:top w:val="single" w:sz="4" w:space="0" w:color="auto"/>
            </w:tcBorders>
            <w:shd w:val="clear" w:color="auto" w:fill="auto"/>
            <w:hideMark/>
          </w:tcPr>
          <w:p w14:paraId="0E628929" w14:textId="77777777" w:rsidR="00B0569D" w:rsidRPr="00D02A2E" w:rsidRDefault="00B0569D" w:rsidP="00B0569D">
            <w:pPr>
              <w:pStyle w:val="ARtablegreybold"/>
              <w:rPr>
                <w:rFonts w:ascii="Wingdings" w:hAnsi="Wingdings"/>
              </w:rPr>
            </w:pPr>
            <w:r>
              <w:t>Cost</w:t>
            </w:r>
          </w:p>
        </w:tc>
      </w:tr>
      <w:tr w:rsidR="00B0569D" w:rsidRPr="00D02A2E" w14:paraId="5EF8CD5C" w14:textId="77777777" w:rsidTr="000F1C6B">
        <w:trPr>
          <w:cantSplit/>
        </w:trPr>
        <w:tc>
          <w:tcPr>
            <w:tcW w:w="4761" w:type="dxa"/>
            <w:shd w:val="clear" w:color="auto" w:fill="auto"/>
            <w:hideMark/>
          </w:tcPr>
          <w:p w14:paraId="0137F826" w14:textId="77777777" w:rsidR="00B0569D" w:rsidRPr="00A95DC7" w:rsidRDefault="00B0569D" w:rsidP="00B0569D">
            <w:pPr>
              <w:pStyle w:val="ARtabletext"/>
              <w:rPr>
                <w:b/>
                <w:bCs/>
              </w:rPr>
            </w:pPr>
            <w:r w:rsidRPr="00A95DC7">
              <w:rPr>
                <w:b/>
                <w:bCs/>
                <w:noProof/>
              </w:rPr>
              <w:t>Total Output Cost</w:t>
            </w:r>
          </w:p>
        </w:tc>
        <w:tc>
          <w:tcPr>
            <w:tcW w:w="1021" w:type="dxa"/>
            <w:shd w:val="clear" w:color="auto" w:fill="auto"/>
            <w:hideMark/>
          </w:tcPr>
          <w:p w14:paraId="5B37855F" w14:textId="77777777" w:rsidR="00B0569D" w:rsidRPr="00A95DC7" w:rsidRDefault="00B0569D" w:rsidP="00B0569D">
            <w:pPr>
              <w:pStyle w:val="ARtabletextcentre"/>
            </w:pPr>
            <w:r w:rsidRPr="00A95DC7">
              <w:rPr>
                <w:b/>
                <w:bCs/>
                <w:noProof/>
              </w:rPr>
              <w:t>$ million</w:t>
            </w:r>
          </w:p>
        </w:tc>
        <w:tc>
          <w:tcPr>
            <w:tcW w:w="1021" w:type="dxa"/>
            <w:shd w:val="clear" w:color="auto" w:fill="auto"/>
            <w:hideMark/>
          </w:tcPr>
          <w:p w14:paraId="7C0476DC" w14:textId="77777777" w:rsidR="00B0569D" w:rsidRPr="00A95DC7" w:rsidRDefault="00B0569D" w:rsidP="00B0569D">
            <w:pPr>
              <w:pStyle w:val="ARtabletextright"/>
              <w:rPr>
                <w:b/>
                <w:bCs/>
              </w:rPr>
            </w:pPr>
            <w:r w:rsidRPr="00A95DC7">
              <w:rPr>
                <w:b/>
                <w:bCs/>
                <w:noProof/>
              </w:rPr>
              <w:t>786.</w:t>
            </w:r>
            <w:r>
              <w:rPr>
                <w:b/>
                <w:bCs/>
                <w:noProof/>
              </w:rPr>
              <w:t>8</w:t>
            </w:r>
          </w:p>
        </w:tc>
        <w:tc>
          <w:tcPr>
            <w:tcW w:w="1021" w:type="dxa"/>
            <w:shd w:val="clear" w:color="auto" w:fill="auto"/>
            <w:hideMark/>
          </w:tcPr>
          <w:p w14:paraId="5250CA0F" w14:textId="77777777" w:rsidR="00B0569D" w:rsidRPr="00A95DC7" w:rsidRDefault="00B0569D" w:rsidP="00B0569D">
            <w:pPr>
              <w:pStyle w:val="ARtabletextright"/>
              <w:rPr>
                <w:b/>
                <w:bCs/>
              </w:rPr>
            </w:pPr>
            <w:r w:rsidRPr="00A95DC7">
              <w:rPr>
                <w:b/>
                <w:bCs/>
                <w:noProof/>
              </w:rPr>
              <w:t>804.</w:t>
            </w:r>
          </w:p>
        </w:tc>
        <w:tc>
          <w:tcPr>
            <w:tcW w:w="1021" w:type="dxa"/>
            <w:shd w:val="clear" w:color="auto" w:fill="auto"/>
          </w:tcPr>
          <w:p w14:paraId="00649046" w14:textId="77777777" w:rsidR="00B0569D" w:rsidRPr="00A95DC7" w:rsidRDefault="00B0569D" w:rsidP="00B0569D">
            <w:pPr>
              <w:pStyle w:val="ARtabletextright"/>
              <w:rPr>
                <w:b/>
                <w:bCs/>
              </w:rPr>
            </w:pPr>
            <w:r w:rsidRPr="00A95DC7">
              <w:rPr>
                <w:b/>
                <w:bCs/>
                <w:noProof/>
              </w:rPr>
              <w:t>2.2</w:t>
            </w:r>
          </w:p>
        </w:tc>
        <w:tc>
          <w:tcPr>
            <w:tcW w:w="794" w:type="dxa"/>
            <w:shd w:val="clear" w:color="auto" w:fill="auto"/>
            <w:hideMark/>
          </w:tcPr>
          <w:p w14:paraId="2CFF7358" w14:textId="77777777" w:rsidR="00B0569D" w:rsidRPr="00A95DC7" w:rsidRDefault="00B0569D" w:rsidP="00B0569D">
            <w:pPr>
              <w:pStyle w:val="ARtabletextright"/>
              <w:rPr>
                <w:b/>
                <w:bCs/>
              </w:rPr>
            </w:pPr>
          </w:p>
        </w:tc>
      </w:tr>
      <w:tr w:rsidR="00B0569D" w:rsidRPr="00D02A2E" w14:paraId="204B329A" w14:textId="77777777" w:rsidTr="000F1C6B">
        <w:trPr>
          <w:cantSplit/>
        </w:trPr>
        <w:tc>
          <w:tcPr>
            <w:tcW w:w="9639" w:type="dxa"/>
            <w:gridSpan w:val="6"/>
            <w:tcBorders>
              <w:bottom w:val="single" w:sz="4" w:space="0" w:color="BFBFBF"/>
            </w:tcBorders>
            <w:shd w:val="clear" w:color="auto" w:fill="auto"/>
            <w:noWrap/>
            <w:hideMark/>
          </w:tcPr>
          <w:p w14:paraId="09EB3B36" w14:textId="77777777" w:rsidR="00B0569D" w:rsidRPr="00D02A2E" w:rsidRDefault="00B0569D" w:rsidP="00B0569D">
            <w:pPr>
              <w:pStyle w:val="ARtablenoteindent"/>
            </w:pPr>
            <w:r w:rsidRPr="00C5726C">
              <w:rPr>
                <w:noProof/>
              </w:rPr>
              <w:t>The 202</w:t>
            </w:r>
            <w:r>
              <w:rPr>
                <w:noProof/>
              </w:rPr>
              <w:t>0–</w:t>
            </w:r>
            <w:r w:rsidRPr="00C5726C">
              <w:rPr>
                <w:noProof/>
              </w:rPr>
              <w:t>21 actual outcome primarily reflects increases in government policy initiatives related to the COVID-19 response.</w:t>
            </w:r>
          </w:p>
        </w:tc>
      </w:tr>
      <w:tr w:rsidR="00B0569D" w:rsidRPr="00D02A2E" w14:paraId="772F84A6" w14:textId="77777777" w:rsidTr="000F1C6B">
        <w:trPr>
          <w:cantSplit/>
        </w:trPr>
        <w:tc>
          <w:tcPr>
            <w:tcW w:w="9639" w:type="dxa"/>
            <w:gridSpan w:val="6"/>
            <w:tcBorders>
              <w:top w:val="single" w:sz="4" w:space="0" w:color="auto"/>
              <w:bottom w:val="single" w:sz="4" w:space="0" w:color="auto"/>
            </w:tcBorders>
            <w:shd w:val="clear" w:color="auto" w:fill="auto"/>
            <w:hideMark/>
          </w:tcPr>
          <w:p w14:paraId="7FE10952" w14:textId="77777777" w:rsidR="00B0569D" w:rsidRPr="00D02A2E" w:rsidRDefault="00B0569D" w:rsidP="00B0569D">
            <w:pPr>
              <w:pStyle w:val="ARtablebluebold"/>
              <w:rPr>
                <w:rFonts w:ascii="Wingdings" w:hAnsi="Wingdings"/>
              </w:rPr>
            </w:pPr>
            <w:r w:rsidRPr="007A45E9">
              <w:t>Acute Training and Development</w:t>
            </w:r>
          </w:p>
        </w:tc>
      </w:tr>
      <w:tr w:rsidR="00B0569D" w:rsidRPr="00D02A2E" w14:paraId="3A4D2357" w14:textId="77777777" w:rsidTr="000F1C6B">
        <w:trPr>
          <w:cantSplit/>
        </w:trPr>
        <w:tc>
          <w:tcPr>
            <w:tcW w:w="9639" w:type="dxa"/>
            <w:gridSpan w:val="6"/>
            <w:tcBorders>
              <w:top w:val="single" w:sz="4" w:space="0" w:color="auto"/>
            </w:tcBorders>
            <w:shd w:val="clear" w:color="auto" w:fill="auto"/>
            <w:hideMark/>
          </w:tcPr>
          <w:p w14:paraId="7500C9DD" w14:textId="77777777" w:rsidR="00B0569D" w:rsidRPr="00D02A2E" w:rsidRDefault="00B0569D" w:rsidP="00B0569D">
            <w:pPr>
              <w:pStyle w:val="ARtablegreybold"/>
              <w:rPr>
                <w:rFonts w:ascii="Wingdings" w:hAnsi="Wingdings"/>
              </w:rPr>
            </w:pPr>
            <w:r w:rsidRPr="007A45E9">
              <w:t>Quantity</w:t>
            </w:r>
          </w:p>
        </w:tc>
      </w:tr>
      <w:tr w:rsidR="00B0569D" w:rsidRPr="00D02A2E" w14:paraId="18AD0FF9" w14:textId="77777777" w:rsidTr="000F1C6B">
        <w:trPr>
          <w:cantSplit/>
        </w:trPr>
        <w:tc>
          <w:tcPr>
            <w:tcW w:w="4761" w:type="dxa"/>
            <w:shd w:val="clear" w:color="auto" w:fill="auto"/>
            <w:hideMark/>
          </w:tcPr>
          <w:p w14:paraId="3C51846B" w14:textId="77777777" w:rsidR="00B0569D" w:rsidRPr="00D02A2E" w:rsidRDefault="00B0569D" w:rsidP="00B0569D">
            <w:pPr>
              <w:pStyle w:val="ARtabletext"/>
            </w:pPr>
            <w:r w:rsidRPr="00C5726C">
              <w:rPr>
                <w:noProof/>
              </w:rPr>
              <w:t>Clinical placement student days (medicine)</w:t>
            </w:r>
          </w:p>
        </w:tc>
        <w:tc>
          <w:tcPr>
            <w:tcW w:w="1021" w:type="dxa"/>
            <w:shd w:val="clear" w:color="auto" w:fill="auto"/>
            <w:hideMark/>
          </w:tcPr>
          <w:p w14:paraId="1E51BF1C" w14:textId="77777777" w:rsidR="00B0569D" w:rsidRPr="00D02A2E" w:rsidRDefault="00B0569D" w:rsidP="00B0569D">
            <w:pPr>
              <w:pStyle w:val="ARtabletextcentre"/>
            </w:pPr>
            <w:r w:rsidRPr="00C5726C">
              <w:rPr>
                <w:noProof/>
              </w:rPr>
              <w:t>days</w:t>
            </w:r>
          </w:p>
        </w:tc>
        <w:tc>
          <w:tcPr>
            <w:tcW w:w="1021" w:type="dxa"/>
            <w:shd w:val="clear" w:color="auto" w:fill="auto"/>
            <w:hideMark/>
          </w:tcPr>
          <w:p w14:paraId="411D5E87" w14:textId="77777777" w:rsidR="00B0569D" w:rsidRDefault="00B0569D" w:rsidP="00B0569D">
            <w:pPr>
              <w:pStyle w:val="ARtabletextright"/>
            </w:pPr>
            <w:r w:rsidRPr="00C5726C">
              <w:rPr>
                <w:noProof/>
              </w:rPr>
              <w:t>385</w:t>
            </w:r>
            <w:r>
              <w:rPr>
                <w:noProof/>
              </w:rPr>
              <w:t>,</w:t>
            </w:r>
            <w:r w:rsidRPr="00C5726C">
              <w:rPr>
                <w:noProof/>
              </w:rPr>
              <w:t>000</w:t>
            </w:r>
          </w:p>
        </w:tc>
        <w:tc>
          <w:tcPr>
            <w:tcW w:w="1021" w:type="dxa"/>
            <w:shd w:val="clear" w:color="auto" w:fill="auto"/>
            <w:hideMark/>
          </w:tcPr>
          <w:p w14:paraId="1EC03437" w14:textId="77777777" w:rsidR="00B0569D" w:rsidRDefault="00B0569D" w:rsidP="00B0569D">
            <w:pPr>
              <w:pStyle w:val="ARtabletextright"/>
            </w:pPr>
            <w:r w:rsidRPr="00C5726C">
              <w:rPr>
                <w:noProof/>
              </w:rPr>
              <w:t>332</w:t>
            </w:r>
            <w:r>
              <w:rPr>
                <w:noProof/>
              </w:rPr>
              <w:t>,</w:t>
            </w:r>
            <w:r w:rsidRPr="00C5726C">
              <w:rPr>
                <w:noProof/>
              </w:rPr>
              <w:t>282</w:t>
            </w:r>
          </w:p>
        </w:tc>
        <w:tc>
          <w:tcPr>
            <w:tcW w:w="1021" w:type="dxa"/>
            <w:shd w:val="clear" w:color="auto" w:fill="auto"/>
          </w:tcPr>
          <w:p w14:paraId="4E9FED48" w14:textId="77777777" w:rsidR="00B0569D" w:rsidRDefault="00B0569D" w:rsidP="00B0569D">
            <w:pPr>
              <w:pStyle w:val="ARtabletextright"/>
            </w:pPr>
            <w:r>
              <w:rPr>
                <w:noProof/>
              </w:rPr>
              <w:t>−</w:t>
            </w:r>
            <w:r w:rsidRPr="00C5726C">
              <w:rPr>
                <w:noProof/>
              </w:rPr>
              <w:t>13.</w:t>
            </w:r>
            <w:r>
              <w:rPr>
                <w:noProof/>
              </w:rPr>
              <w:t>7</w:t>
            </w:r>
          </w:p>
        </w:tc>
        <w:tc>
          <w:tcPr>
            <w:tcW w:w="794" w:type="dxa"/>
            <w:shd w:val="clear" w:color="auto" w:fill="auto"/>
            <w:hideMark/>
          </w:tcPr>
          <w:p w14:paraId="685ED20C" w14:textId="22AA9905" w:rsidR="00B0569D" w:rsidRPr="00D02A2E" w:rsidRDefault="00B0569D" w:rsidP="00A52A4C">
            <w:pPr>
              <w:pStyle w:val="ARtableperformancesymbol"/>
            </w:pPr>
            <w:r>
              <w:rPr>
                <w:noProof/>
              </w:rPr>
              <w:drawing>
                <wp:inline distT="0" distB="0" distL="0" distR="0" wp14:anchorId="05BD0D04" wp14:editId="40A90EC5">
                  <wp:extent cx="76320" cy="76320"/>
                  <wp:effectExtent l="0" t="0" r="0" b="0"/>
                  <wp:docPr id="72" name="Graphic 72"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B0569D" w:rsidRPr="00D02A2E" w14:paraId="3C9F2D8F" w14:textId="77777777" w:rsidTr="000F1C6B">
        <w:trPr>
          <w:cantSplit/>
        </w:trPr>
        <w:tc>
          <w:tcPr>
            <w:tcW w:w="9639" w:type="dxa"/>
            <w:gridSpan w:val="6"/>
            <w:tcBorders>
              <w:bottom w:val="single" w:sz="4" w:space="0" w:color="BFBFBF"/>
            </w:tcBorders>
            <w:shd w:val="clear" w:color="auto" w:fill="auto"/>
            <w:noWrap/>
            <w:hideMark/>
          </w:tcPr>
          <w:p w14:paraId="424A6F5D" w14:textId="77777777" w:rsidR="00B0569D" w:rsidRPr="00D02A2E" w:rsidRDefault="00B0569D" w:rsidP="00B0569D">
            <w:pPr>
              <w:pStyle w:val="ARtablenoteindent"/>
            </w:pPr>
            <w:r w:rsidRPr="00C5726C">
              <w:rPr>
                <w:noProof/>
              </w:rPr>
              <w:t>The COVID-19 pandemic disrupted clinical placement activity in 202</w:t>
            </w:r>
            <w:r>
              <w:rPr>
                <w:noProof/>
              </w:rPr>
              <w:t>0–</w:t>
            </w:r>
            <w:r w:rsidRPr="00C5726C">
              <w:rPr>
                <w:noProof/>
              </w:rPr>
              <w:t>21. The 202</w:t>
            </w:r>
            <w:r>
              <w:rPr>
                <w:noProof/>
              </w:rPr>
              <w:t>1–</w:t>
            </w:r>
            <w:r w:rsidRPr="00C5726C">
              <w:rPr>
                <w:noProof/>
              </w:rPr>
              <w:t>22 State Budget allocated additional funding to catch up on clinical placement activity in 202</w:t>
            </w:r>
            <w:r>
              <w:rPr>
                <w:noProof/>
              </w:rPr>
              <w:t>1–</w:t>
            </w:r>
            <w:r w:rsidRPr="00C5726C">
              <w:rPr>
                <w:noProof/>
              </w:rPr>
              <w:t>22.</w:t>
            </w:r>
          </w:p>
        </w:tc>
      </w:tr>
      <w:tr w:rsidR="00B0569D" w:rsidRPr="00D02A2E" w14:paraId="20A98F28" w14:textId="77777777" w:rsidTr="000F1C6B">
        <w:trPr>
          <w:cantSplit/>
        </w:trPr>
        <w:tc>
          <w:tcPr>
            <w:tcW w:w="4761" w:type="dxa"/>
            <w:shd w:val="clear" w:color="auto" w:fill="auto"/>
            <w:hideMark/>
          </w:tcPr>
          <w:p w14:paraId="41A39A92" w14:textId="77777777" w:rsidR="00B0569D" w:rsidRPr="00D02A2E" w:rsidRDefault="00B0569D" w:rsidP="00B0569D">
            <w:pPr>
              <w:pStyle w:val="ARtabletext"/>
            </w:pPr>
            <w:r w:rsidRPr="00C5726C">
              <w:rPr>
                <w:noProof/>
              </w:rPr>
              <w:t>Clinical placement student days (nursing and midwifery)</w:t>
            </w:r>
          </w:p>
        </w:tc>
        <w:tc>
          <w:tcPr>
            <w:tcW w:w="1021" w:type="dxa"/>
            <w:shd w:val="clear" w:color="auto" w:fill="auto"/>
            <w:hideMark/>
          </w:tcPr>
          <w:p w14:paraId="3C6DA1CA" w14:textId="77777777" w:rsidR="00B0569D" w:rsidRPr="00D02A2E" w:rsidRDefault="00B0569D" w:rsidP="00B0569D">
            <w:pPr>
              <w:pStyle w:val="ARtabletextcentre"/>
            </w:pPr>
            <w:r w:rsidRPr="00C5726C">
              <w:rPr>
                <w:noProof/>
              </w:rPr>
              <w:t>number</w:t>
            </w:r>
          </w:p>
        </w:tc>
        <w:tc>
          <w:tcPr>
            <w:tcW w:w="1021" w:type="dxa"/>
            <w:shd w:val="clear" w:color="auto" w:fill="auto"/>
            <w:hideMark/>
          </w:tcPr>
          <w:p w14:paraId="54E4988D" w14:textId="77777777" w:rsidR="00B0569D" w:rsidRDefault="00B0569D" w:rsidP="00B0569D">
            <w:pPr>
              <w:pStyle w:val="ARtabletextright"/>
            </w:pPr>
            <w:r w:rsidRPr="00C5726C">
              <w:rPr>
                <w:noProof/>
              </w:rPr>
              <w:t>385</w:t>
            </w:r>
            <w:r>
              <w:rPr>
                <w:noProof/>
              </w:rPr>
              <w:t>,</w:t>
            </w:r>
            <w:r w:rsidRPr="00C5726C">
              <w:rPr>
                <w:noProof/>
              </w:rPr>
              <w:t>000</w:t>
            </w:r>
          </w:p>
        </w:tc>
        <w:tc>
          <w:tcPr>
            <w:tcW w:w="1021" w:type="dxa"/>
            <w:shd w:val="clear" w:color="auto" w:fill="auto"/>
            <w:hideMark/>
          </w:tcPr>
          <w:p w14:paraId="60BD2EB7" w14:textId="77777777" w:rsidR="00B0569D" w:rsidRDefault="00B0569D" w:rsidP="00B0569D">
            <w:pPr>
              <w:pStyle w:val="ARtabletextright"/>
            </w:pPr>
            <w:r w:rsidRPr="00C5726C">
              <w:rPr>
                <w:noProof/>
              </w:rPr>
              <w:t>445</w:t>
            </w:r>
            <w:r>
              <w:rPr>
                <w:noProof/>
              </w:rPr>
              <w:t>,</w:t>
            </w:r>
            <w:r w:rsidRPr="00C5726C">
              <w:rPr>
                <w:noProof/>
              </w:rPr>
              <w:t>987</w:t>
            </w:r>
          </w:p>
        </w:tc>
        <w:tc>
          <w:tcPr>
            <w:tcW w:w="1021" w:type="dxa"/>
            <w:shd w:val="clear" w:color="auto" w:fill="auto"/>
          </w:tcPr>
          <w:p w14:paraId="54B605FC" w14:textId="77777777" w:rsidR="00B0569D" w:rsidRDefault="00B0569D" w:rsidP="00B0569D">
            <w:pPr>
              <w:pStyle w:val="ARtabletextright"/>
            </w:pPr>
            <w:r w:rsidRPr="00C5726C">
              <w:rPr>
                <w:noProof/>
              </w:rPr>
              <w:t>15.</w:t>
            </w:r>
            <w:r>
              <w:rPr>
                <w:noProof/>
              </w:rPr>
              <w:t>8</w:t>
            </w:r>
          </w:p>
        </w:tc>
        <w:tc>
          <w:tcPr>
            <w:tcW w:w="794" w:type="dxa"/>
            <w:shd w:val="clear" w:color="auto" w:fill="auto"/>
            <w:hideMark/>
          </w:tcPr>
          <w:p w14:paraId="661076C7" w14:textId="0D10B167" w:rsidR="00B0569D" w:rsidRPr="00D02A2E" w:rsidRDefault="00CF2633" w:rsidP="00A52A4C">
            <w:pPr>
              <w:pStyle w:val="ARtableperformancesymbol"/>
            </w:pPr>
            <w:r>
              <w:rPr>
                <w:noProof/>
              </w:rPr>
              <w:drawing>
                <wp:inline distT="0" distB="0" distL="0" distR="0" wp14:anchorId="3E9B4106" wp14:editId="651A4A0F">
                  <wp:extent cx="85320" cy="85320"/>
                  <wp:effectExtent l="0" t="0" r="0" b="0"/>
                  <wp:docPr id="127" name="Graphic 127"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B0569D" w:rsidRPr="00D02A2E" w14:paraId="3BB8D23F" w14:textId="77777777" w:rsidTr="000F1C6B">
        <w:trPr>
          <w:cantSplit/>
        </w:trPr>
        <w:tc>
          <w:tcPr>
            <w:tcW w:w="9639" w:type="dxa"/>
            <w:gridSpan w:val="6"/>
            <w:tcBorders>
              <w:bottom w:val="single" w:sz="4" w:space="0" w:color="BFBFBF"/>
            </w:tcBorders>
            <w:shd w:val="clear" w:color="auto" w:fill="auto"/>
            <w:noWrap/>
            <w:hideMark/>
          </w:tcPr>
          <w:p w14:paraId="23E5A35C" w14:textId="77777777" w:rsidR="00B0569D" w:rsidRPr="00D02A2E" w:rsidRDefault="00B0569D" w:rsidP="00B0569D">
            <w:pPr>
              <w:pStyle w:val="ARtablenoteindent"/>
            </w:pPr>
            <w:r w:rsidRPr="00C5726C">
              <w:rPr>
                <w:noProof/>
              </w:rPr>
              <w:t>Overperformance is due to additional placement activity associated with</w:t>
            </w:r>
            <w:r>
              <w:rPr>
                <w:noProof/>
              </w:rPr>
              <w:t xml:space="preserve"> the</w:t>
            </w:r>
            <w:r w:rsidRPr="00C5726C">
              <w:rPr>
                <w:noProof/>
              </w:rPr>
              <w:t xml:space="preserve"> Free TAFE initiative, as part of joint program across the Department of Health and Departmen</w:t>
            </w:r>
            <w:r>
              <w:rPr>
                <w:noProof/>
              </w:rPr>
              <w:t>t</w:t>
            </w:r>
            <w:r w:rsidRPr="00C5726C">
              <w:rPr>
                <w:noProof/>
              </w:rPr>
              <w:t xml:space="preserve"> of Education and Training. This is a </w:t>
            </w:r>
            <w:r>
              <w:rPr>
                <w:noProof/>
              </w:rPr>
              <w:t xml:space="preserve">smaller </w:t>
            </w:r>
            <w:r w:rsidRPr="00C5726C">
              <w:rPr>
                <w:noProof/>
              </w:rPr>
              <w:t>increase than expected given Free TAFE enrolments</w:t>
            </w:r>
            <w:r>
              <w:rPr>
                <w:noProof/>
              </w:rPr>
              <w:t>.</w:t>
            </w:r>
          </w:p>
        </w:tc>
      </w:tr>
      <w:tr w:rsidR="00B0569D" w:rsidRPr="00D02A2E" w14:paraId="48677B21" w14:textId="77777777" w:rsidTr="000F1C6B">
        <w:trPr>
          <w:cantSplit/>
        </w:trPr>
        <w:tc>
          <w:tcPr>
            <w:tcW w:w="4761" w:type="dxa"/>
            <w:shd w:val="clear" w:color="auto" w:fill="auto"/>
            <w:hideMark/>
          </w:tcPr>
          <w:p w14:paraId="3C667BDA" w14:textId="77777777" w:rsidR="00B0569D" w:rsidRPr="00D02A2E" w:rsidRDefault="00B0569D" w:rsidP="00B0569D">
            <w:pPr>
              <w:pStyle w:val="ARtabletext"/>
            </w:pPr>
            <w:r w:rsidRPr="00C5726C">
              <w:rPr>
                <w:noProof/>
              </w:rPr>
              <w:t>Clinical placement student days (allied health)</w:t>
            </w:r>
          </w:p>
        </w:tc>
        <w:tc>
          <w:tcPr>
            <w:tcW w:w="1021" w:type="dxa"/>
            <w:shd w:val="clear" w:color="auto" w:fill="auto"/>
            <w:hideMark/>
          </w:tcPr>
          <w:p w14:paraId="42AA202E" w14:textId="77777777" w:rsidR="00B0569D" w:rsidRPr="00D02A2E" w:rsidRDefault="00B0569D" w:rsidP="00B0569D">
            <w:pPr>
              <w:pStyle w:val="ARtabletextcentre"/>
            </w:pPr>
            <w:r w:rsidRPr="00C5726C">
              <w:rPr>
                <w:noProof/>
              </w:rPr>
              <w:t>number</w:t>
            </w:r>
          </w:p>
        </w:tc>
        <w:tc>
          <w:tcPr>
            <w:tcW w:w="1021" w:type="dxa"/>
            <w:shd w:val="clear" w:color="auto" w:fill="auto"/>
            <w:hideMark/>
          </w:tcPr>
          <w:p w14:paraId="13A15137" w14:textId="77777777" w:rsidR="00B0569D" w:rsidRDefault="00B0569D" w:rsidP="00B0569D">
            <w:pPr>
              <w:pStyle w:val="ARtabletextright"/>
            </w:pPr>
            <w:r w:rsidRPr="00C5726C">
              <w:rPr>
                <w:noProof/>
              </w:rPr>
              <w:t>160</w:t>
            </w:r>
            <w:r>
              <w:rPr>
                <w:noProof/>
              </w:rPr>
              <w:t>,</w:t>
            </w:r>
            <w:r w:rsidRPr="00C5726C">
              <w:rPr>
                <w:noProof/>
              </w:rPr>
              <w:t>000</w:t>
            </w:r>
          </w:p>
        </w:tc>
        <w:tc>
          <w:tcPr>
            <w:tcW w:w="1021" w:type="dxa"/>
            <w:shd w:val="clear" w:color="auto" w:fill="auto"/>
            <w:hideMark/>
          </w:tcPr>
          <w:p w14:paraId="2EB56FEA" w14:textId="77777777" w:rsidR="00B0569D" w:rsidRDefault="00B0569D" w:rsidP="00B0569D">
            <w:pPr>
              <w:pStyle w:val="ARtabletextright"/>
            </w:pPr>
            <w:r w:rsidRPr="00C5726C">
              <w:rPr>
                <w:noProof/>
              </w:rPr>
              <w:t>142</w:t>
            </w:r>
            <w:r>
              <w:rPr>
                <w:noProof/>
              </w:rPr>
              <w:t>,</w:t>
            </w:r>
            <w:r w:rsidRPr="00C5726C">
              <w:rPr>
                <w:noProof/>
              </w:rPr>
              <w:t>126</w:t>
            </w:r>
          </w:p>
        </w:tc>
        <w:tc>
          <w:tcPr>
            <w:tcW w:w="1021" w:type="dxa"/>
            <w:shd w:val="clear" w:color="auto" w:fill="auto"/>
          </w:tcPr>
          <w:p w14:paraId="0193420C" w14:textId="77777777" w:rsidR="00B0569D" w:rsidRDefault="00B0569D" w:rsidP="00B0569D">
            <w:pPr>
              <w:pStyle w:val="ARtabletextright"/>
            </w:pPr>
            <w:r>
              <w:rPr>
                <w:noProof/>
              </w:rPr>
              <w:t>−</w:t>
            </w:r>
            <w:r w:rsidRPr="00C5726C">
              <w:rPr>
                <w:noProof/>
              </w:rPr>
              <w:t>11.</w:t>
            </w:r>
            <w:r>
              <w:rPr>
                <w:noProof/>
              </w:rPr>
              <w:t>2</w:t>
            </w:r>
          </w:p>
        </w:tc>
        <w:tc>
          <w:tcPr>
            <w:tcW w:w="794" w:type="dxa"/>
            <w:shd w:val="clear" w:color="auto" w:fill="auto"/>
            <w:hideMark/>
          </w:tcPr>
          <w:p w14:paraId="09597844" w14:textId="495C8EB7" w:rsidR="00B0569D" w:rsidRPr="00D02A2E" w:rsidRDefault="00B0569D" w:rsidP="00A52A4C">
            <w:pPr>
              <w:pStyle w:val="ARtableperformancesymbol"/>
            </w:pPr>
            <w:r>
              <w:rPr>
                <w:noProof/>
              </w:rPr>
              <w:drawing>
                <wp:inline distT="0" distB="0" distL="0" distR="0" wp14:anchorId="7EDBD0DA" wp14:editId="51E83B3F">
                  <wp:extent cx="76320" cy="76320"/>
                  <wp:effectExtent l="0" t="0" r="0" b="0"/>
                  <wp:docPr id="73" name="Graphic 73"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B0569D" w:rsidRPr="00D02A2E" w14:paraId="1BF474A3" w14:textId="77777777" w:rsidTr="000F1C6B">
        <w:trPr>
          <w:cantSplit/>
        </w:trPr>
        <w:tc>
          <w:tcPr>
            <w:tcW w:w="9639" w:type="dxa"/>
            <w:gridSpan w:val="6"/>
            <w:tcBorders>
              <w:bottom w:val="single" w:sz="4" w:space="0" w:color="BFBFBF"/>
            </w:tcBorders>
            <w:shd w:val="clear" w:color="auto" w:fill="auto"/>
            <w:noWrap/>
            <w:hideMark/>
          </w:tcPr>
          <w:p w14:paraId="44EB8FB2" w14:textId="77777777" w:rsidR="00B0569D" w:rsidRPr="00D02A2E" w:rsidRDefault="00B0569D" w:rsidP="00B0569D">
            <w:pPr>
              <w:pStyle w:val="ARtablenoteindent"/>
            </w:pPr>
            <w:r w:rsidRPr="00C5726C">
              <w:rPr>
                <w:noProof/>
              </w:rPr>
              <w:t>The COVID-19 pandemic disrupted clinical placement activity in 202</w:t>
            </w:r>
            <w:r>
              <w:rPr>
                <w:noProof/>
              </w:rPr>
              <w:t>0–</w:t>
            </w:r>
            <w:r w:rsidRPr="00C5726C">
              <w:rPr>
                <w:noProof/>
              </w:rPr>
              <w:t>21. The 202</w:t>
            </w:r>
            <w:r>
              <w:rPr>
                <w:noProof/>
              </w:rPr>
              <w:t>1–</w:t>
            </w:r>
            <w:r w:rsidRPr="00C5726C">
              <w:rPr>
                <w:noProof/>
              </w:rPr>
              <w:t>22 State Budget allocated additional funding to catch up on clinical placement activity in 202</w:t>
            </w:r>
            <w:r>
              <w:rPr>
                <w:noProof/>
              </w:rPr>
              <w:t>1–</w:t>
            </w:r>
            <w:r w:rsidRPr="00C5726C">
              <w:rPr>
                <w:noProof/>
              </w:rPr>
              <w:t>22.</w:t>
            </w:r>
          </w:p>
        </w:tc>
      </w:tr>
      <w:tr w:rsidR="00B0569D" w:rsidRPr="00D02A2E" w14:paraId="744E5C30" w14:textId="77777777" w:rsidTr="000F1C6B">
        <w:trPr>
          <w:cantSplit/>
        </w:trPr>
        <w:tc>
          <w:tcPr>
            <w:tcW w:w="4761" w:type="dxa"/>
            <w:shd w:val="clear" w:color="auto" w:fill="auto"/>
            <w:hideMark/>
          </w:tcPr>
          <w:p w14:paraId="0C2B43F2" w14:textId="77777777" w:rsidR="00B0569D" w:rsidRPr="00D02A2E" w:rsidRDefault="00B0569D" w:rsidP="00B0569D">
            <w:pPr>
              <w:pStyle w:val="ARtabletext"/>
            </w:pPr>
            <w:r w:rsidRPr="00C5726C">
              <w:rPr>
                <w:noProof/>
              </w:rPr>
              <w:t>Number of filled rural generalist GP procedural positions</w:t>
            </w:r>
          </w:p>
        </w:tc>
        <w:tc>
          <w:tcPr>
            <w:tcW w:w="1021" w:type="dxa"/>
            <w:shd w:val="clear" w:color="auto" w:fill="auto"/>
            <w:hideMark/>
          </w:tcPr>
          <w:p w14:paraId="72DA4D43" w14:textId="77777777" w:rsidR="00B0569D" w:rsidRPr="00D02A2E" w:rsidRDefault="00B0569D" w:rsidP="00B0569D">
            <w:pPr>
              <w:pStyle w:val="ARtabletextcentre"/>
            </w:pPr>
            <w:r w:rsidRPr="00C5726C">
              <w:rPr>
                <w:noProof/>
              </w:rPr>
              <w:t>number</w:t>
            </w:r>
          </w:p>
        </w:tc>
        <w:tc>
          <w:tcPr>
            <w:tcW w:w="1021" w:type="dxa"/>
            <w:shd w:val="clear" w:color="auto" w:fill="auto"/>
            <w:hideMark/>
          </w:tcPr>
          <w:p w14:paraId="3BD305F1" w14:textId="77777777" w:rsidR="00B0569D" w:rsidRDefault="00B0569D" w:rsidP="00B0569D">
            <w:pPr>
              <w:pStyle w:val="ARtabletextright"/>
            </w:pPr>
            <w:r w:rsidRPr="00C5726C">
              <w:rPr>
                <w:noProof/>
              </w:rPr>
              <w:t>15</w:t>
            </w:r>
          </w:p>
        </w:tc>
        <w:tc>
          <w:tcPr>
            <w:tcW w:w="1021" w:type="dxa"/>
            <w:shd w:val="clear" w:color="auto" w:fill="auto"/>
            <w:hideMark/>
          </w:tcPr>
          <w:p w14:paraId="2997B91B" w14:textId="77777777" w:rsidR="00B0569D" w:rsidRDefault="00B0569D" w:rsidP="00B0569D">
            <w:pPr>
              <w:pStyle w:val="ARtabletextright"/>
            </w:pPr>
            <w:r w:rsidRPr="00C5726C">
              <w:rPr>
                <w:noProof/>
              </w:rPr>
              <w:t>39.5</w:t>
            </w:r>
          </w:p>
        </w:tc>
        <w:tc>
          <w:tcPr>
            <w:tcW w:w="1021" w:type="dxa"/>
            <w:shd w:val="clear" w:color="auto" w:fill="auto"/>
          </w:tcPr>
          <w:p w14:paraId="3CA51062" w14:textId="77777777" w:rsidR="00B0569D" w:rsidRDefault="00B0569D" w:rsidP="00B0569D">
            <w:pPr>
              <w:pStyle w:val="ARtabletextright"/>
            </w:pPr>
            <w:r w:rsidRPr="00C5726C">
              <w:rPr>
                <w:noProof/>
              </w:rPr>
              <w:t>163.3</w:t>
            </w:r>
          </w:p>
        </w:tc>
        <w:tc>
          <w:tcPr>
            <w:tcW w:w="794" w:type="dxa"/>
            <w:shd w:val="clear" w:color="auto" w:fill="auto"/>
            <w:hideMark/>
          </w:tcPr>
          <w:p w14:paraId="237255B2" w14:textId="6AF83A55" w:rsidR="00B0569D" w:rsidRPr="00D02A2E" w:rsidRDefault="00CF2633" w:rsidP="00A52A4C">
            <w:pPr>
              <w:pStyle w:val="ARtableperformancesymbol"/>
            </w:pPr>
            <w:r>
              <w:rPr>
                <w:noProof/>
              </w:rPr>
              <w:drawing>
                <wp:inline distT="0" distB="0" distL="0" distR="0" wp14:anchorId="231146A9" wp14:editId="68D07445">
                  <wp:extent cx="85320" cy="85320"/>
                  <wp:effectExtent l="0" t="0" r="0" b="0"/>
                  <wp:docPr id="128" name="Graphic 128"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B0569D" w:rsidRPr="00D02A2E" w14:paraId="3C8498BF" w14:textId="77777777" w:rsidTr="000F1C6B">
        <w:trPr>
          <w:cantSplit/>
        </w:trPr>
        <w:tc>
          <w:tcPr>
            <w:tcW w:w="9639" w:type="dxa"/>
            <w:gridSpan w:val="6"/>
            <w:tcBorders>
              <w:bottom w:val="single" w:sz="4" w:space="0" w:color="BFBFBF"/>
            </w:tcBorders>
            <w:shd w:val="clear" w:color="auto" w:fill="auto"/>
            <w:noWrap/>
            <w:hideMark/>
          </w:tcPr>
          <w:p w14:paraId="7D33850F" w14:textId="721AF620" w:rsidR="00B0569D" w:rsidRPr="00D02A2E" w:rsidRDefault="00B0569D" w:rsidP="00B0569D">
            <w:pPr>
              <w:pStyle w:val="ARtablenoteindent"/>
            </w:pPr>
            <w:r w:rsidRPr="00C5726C">
              <w:rPr>
                <w:noProof/>
              </w:rPr>
              <w:t>Overperformance is due to the new Victorian Rural Generalist Program</w:t>
            </w:r>
            <w:r w:rsidR="00864121">
              <w:rPr>
                <w:noProof/>
              </w:rPr>
              <w:t xml:space="preserve"> </w:t>
            </w:r>
            <w:r w:rsidRPr="00C5726C">
              <w:rPr>
                <w:noProof/>
              </w:rPr>
              <w:t>which has created additional procedural positions relevant to this measure.</w:t>
            </w:r>
            <w:r>
              <w:rPr>
                <w:noProof/>
              </w:rPr>
              <w:t xml:space="preserve"> </w:t>
            </w:r>
            <w:r w:rsidRPr="00C5726C">
              <w:rPr>
                <w:noProof/>
              </w:rPr>
              <w:t>Th</w:t>
            </w:r>
            <w:r>
              <w:rPr>
                <w:noProof/>
              </w:rPr>
              <w:t>e</w:t>
            </w:r>
            <w:r w:rsidRPr="00C5726C">
              <w:rPr>
                <w:noProof/>
              </w:rPr>
              <w:t xml:space="preserve"> target will be updated.</w:t>
            </w:r>
          </w:p>
        </w:tc>
      </w:tr>
      <w:tr w:rsidR="00B0569D" w:rsidRPr="00D02A2E" w14:paraId="6338020C" w14:textId="77777777" w:rsidTr="000F1C6B">
        <w:trPr>
          <w:cantSplit/>
        </w:trPr>
        <w:tc>
          <w:tcPr>
            <w:tcW w:w="4761" w:type="dxa"/>
            <w:shd w:val="clear" w:color="auto" w:fill="auto"/>
            <w:hideMark/>
          </w:tcPr>
          <w:p w14:paraId="45E49A73" w14:textId="77777777" w:rsidR="00B0569D" w:rsidRPr="00D02A2E" w:rsidRDefault="00B0569D" w:rsidP="00B0569D">
            <w:pPr>
              <w:pStyle w:val="ARtabletext"/>
            </w:pPr>
            <w:r w:rsidRPr="00C5726C">
              <w:rPr>
                <w:noProof/>
              </w:rPr>
              <w:t>Funded post graduate nursing and midwifery places at Diploma and Certificate level</w:t>
            </w:r>
          </w:p>
        </w:tc>
        <w:tc>
          <w:tcPr>
            <w:tcW w:w="1021" w:type="dxa"/>
            <w:shd w:val="clear" w:color="auto" w:fill="auto"/>
            <w:hideMark/>
          </w:tcPr>
          <w:p w14:paraId="6E05F70E" w14:textId="77777777" w:rsidR="00B0569D" w:rsidRPr="00D02A2E" w:rsidRDefault="00B0569D" w:rsidP="00B0569D">
            <w:pPr>
              <w:pStyle w:val="ARtabletextcentre"/>
            </w:pPr>
            <w:r w:rsidRPr="00C5726C">
              <w:rPr>
                <w:noProof/>
              </w:rPr>
              <w:t>number</w:t>
            </w:r>
          </w:p>
        </w:tc>
        <w:tc>
          <w:tcPr>
            <w:tcW w:w="1021" w:type="dxa"/>
            <w:shd w:val="clear" w:color="auto" w:fill="auto"/>
            <w:hideMark/>
          </w:tcPr>
          <w:p w14:paraId="75E3C6A6" w14:textId="77777777" w:rsidR="00B0569D" w:rsidRDefault="00B0569D" w:rsidP="00B0569D">
            <w:pPr>
              <w:pStyle w:val="ARtabletextright"/>
            </w:pPr>
            <w:r w:rsidRPr="00C5726C">
              <w:rPr>
                <w:noProof/>
              </w:rPr>
              <w:t>954</w:t>
            </w:r>
          </w:p>
        </w:tc>
        <w:tc>
          <w:tcPr>
            <w:tcW w:w="1021" w:type="dxa"/>
            <w:shd w:val="clear" w:color="auto" w:fill="auto"/>
            <w:hideMark/>
          </w:tcPr>
          <w:p w14:paraId="3E48C42B" w14:textId="77777777" w:rsidR="00B0569D" w:rsidRDefault="00B0569D" w:rsidP="00B0569D">
            <w:pPr>
              <w:pStyle w:val="ARtabletextright"/>
            </w:pPr>
            <w:r w:rsidRPr="00C5726C">
              <w:rPr>
                <w:noProof/>
              </w:rPr>
              <w:t>877</w:t>
            </w:r>
          </w:p>
        </w:tc>
        <w:tc>
          <w:tcPr>
            <w:tcW w:w="1021" w:type="dxa"/>
            <w:shd w:val="clear" w:color="auto" w:fill="auto"/>
          </w:tcPr>
          <w:p w14:paraId="089A74D3" w14:textId="1232FDA2" w:rsidR="00B0569D" w:rsidRDefault="00E1630D" w:rsidP="00B0569D">
            <w:pPr>
              <w:pStyle w:val="ARtabletextright"/>
            </w:pPr>
            <w:r>
              <w:rPr>
                <w:noProof/>
              </w:rPr>
              <w:t>0</w:t>
            </w:r>
          </w:p>
        </w:tc>
        <w:tc>
          <w:tcPr>
            <w:tcW w:w="794" w:type="dxa"/>
            <w:shd w:val="clear" w:color="auto" w:fill="auto"/>
            <w:hideMark/>
          </w:tcPr>
          <w:p w14:paraId="288075E8" w14:textId="26420C92" w:rsidR="00B0569D" w:rsidRPr="00F217DB" w:rsidRDefault="00F217DB" w:rsidP="00BF1921">
            <w:pPr>
              <w:pStyle w:val="ARtableperformancesymbol"/>
              <w:rPr>
                <w:lang w:val="en-AU"/>
              </w:rPr>
            </w:pPr>
            <w:r>
              <w:rPr>
                <w:noProof/>
              </w:rPr>
              <w:drawing>
                <wp:inline distT="0" distB="0" distL="0" distR="0" wp14:anchorId="75F25C48" wp14:editId="6DCB2B1E">
                  <wp:extent cx="76320" cy="76320"/>
                  <wp:effectExtent l="0" t="0" r="0" b="0"/>
                  <wp:docPr id="74" name="Graphic 74"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rPr>
                <w:lang w:val="en-AU"/>
              </w:rPr>
              <w:t xml:space="preserve"> </w:t>
            </w:r>
          </w:p>
        </w:tc>
      </w:tr>
      <w:tr w:rsidR="00B0569D" w:rsidRPr="00D02A2E" w14:paraId="5C4761A3" w14:textId="77777777" w:rsidTr="000F1C6B">
        <w:trPr>
          <w:cantSplit/>
        </w:trPr>
        <w:tc>
          <w:tcPr>
            <w:tcW w:w="9639" w:type="dxa"/>
            <w:gridSpan w:val="6"/>
            <w:tcBorders>
              <w:bottom w:val="single" w:sz="4" w:space="0" w:color="BFBFBF"/>
            </w:tcBorders>
            <w:shd w:val="clear" w:color="auto" w:fill="auto"/>
            <w:noWrap/>
            <w:hideMark/>
          </w:tcPr>
          <w:p w14:paraId="76B36C1C" w14:textId="77777777" w:rsidR="00B0569D" w:rsidRPr="00D02A2E" w:rsidRDefault="00B0569D" w:rsidP="00B0569D">
            <w:pPr>
              <w:pStyle w:val="ARtablenoteindent"/>
            </w:pPr>
            <w:r w:rsidRPr="00C5726C">
              <w:rPr>
                <w:noProof/>
              </w:rPr>
              <w:t>This original target was not accurate for 202</w:t>
            </w:r>
            <w:r>
              <w:rPr>
                <w:noProof/>
              </w:rPr>
              <w:t>0–</w:t>
            </w:r>
            <w:r w:rsidRPr="00C5726C">
              <w:rPr>
                <w:noProof/>
              </w:rPr>
              <w:t>21</w:t>
            </w:r>
            <w:r>
              <w:rPr>
                <w:noProof/>
              </w:rPr>
              <w:t>,</w:t>
            </w:r>
            <w:r w:rsidRPr="00C5726C">
              <w:rPr>
                <w:noProof/>
              </w:rPr>
              <w:t xml:space="preserve"> given available funding.</w:t>
            </w:r>
            <w:r>
              <w:rPr>
                <w:noProof/>
              </w:rPr>
              <w:t xml:space="preserve"> </w:t>
            </w:r>
            <w:r w:rsidRPr="00C5726C">
              <w:rPr>
                <w:noProof/>
              </w:rPr>
              <w:t>Funding available allowed for 887 funded places and this</w:t>
            </w:r>
            <w:r>
              <w:rPr>
                <w:noProof/>
              </w:rPr>
              <w:t xml:space="preserve"> number</w:t>
            </w:r>
            <w:r w:rsidRPr="00C5726C">
              <w:rPr>
                <w:noProof/>
              </w:rPr>
              <w:t xml:space="preserve"> was achieved.</w:t>
            </w:r>
          </w:p>
        </w:tc>
      </w:tr>
      <w:tr w:rsidR="00B0569D" w:rsidRPr="00D02A2E" w14:paraId="2987C682" w14:textId="77777777" w:rsidTr="000F1C6B">
        <w:trPr>
          <w:cantSplit/>
        </w:trPr>
        <w:tc>
          <w:tcPr>
            <w:tcW w:w="4761" w:type="dxa"/>
            <w:tcBorders>
              <w:bottom w:val="single" w:sz="4" w:space="0" w:color="BFBFBF" w:themeColor="background1" w:themeShade="BF"/>
            </w:tcBorders>
            <w:shd w:val="clear" w:color="auto" w:fill="auto"/>
            <w:hideMark/>
          </w:tcPr>
          <w:p w14:paraId="3979809C" w14:textId="77777777" w:rsidR="00B0569D" w:rsidRPr="00D02A2E" w:rsidRDefault="00B0569D" w:rsidP="00B0569D">
            <w:pPr>
              <w:pStyle w:val="ARtabletext"/>
            </w:pPr>
            <w:r w:rsidRPr="00C5726C">
              <w:rPr>
                <w:noProof/>
              </w:rPr>
              <w:t>Total funded FTE (early graduate) allied health positions in public system</w:t>
            </w:r>
          </w:p>
        </w:tc>
        <w:tc>
          <w:tcPr>
            <w:tcW w:w="1021" w:type="dxa"/>
            <w:tcBorders>
              <w:bottom w:val="single" w:sz="4" w:space="0" w:color="BFBFBF" w:themeColor="background1" w:themeShade="BF"/>
            </w:tcBorders>
            <w:shd w:val="clear" w:color="auto" w:fill="auto"/>
            <w:hideMark/>
          </w:tcPr>
          <w:p w14:paraId="0547A4B6" w14:textId="77777777" w:rsidR="00B0569D" w:rsidRPr="00D02A2E" w:rsidRDefault="00B0569D" w:rsidP="00B0569D">
            <w:pPr>
              <w:pStyle w:val="ARtabletextcentre"/>
            </w:pPr>
            <w:r w:rsidRPr="00C5726C">
              <w:rPr>
                <w:noProof/>
              </w:rPr>
              <w:t>number</w:t>
            </w:r>
          </w:p>
        </w:tc>
        <w:tc>
          <w:tcPr>
            <w:tcW w:w="1021" w:type="dxa"/>
            <w:tcBorders>
              <w:bottom w:val="single" w:sz="4" w:space="0" w:color="BFBFBF" w:themeColor="background1" w:themeShade="BF"/>
            </w:tcBorders>
            <w:shd w:val="clear" w:color="auto" w:fill="auto"/>
            <w:hideMark/>
          </w:tcPr>
          <w:p w14:paraId="28868AE6" w14:textId="77777777" w:rsidR="00B0569D" w:rsidRDefault="00B0569D" w:rsidP="00B0569D">
            <w:pPr>
              <w:pStyle w:val="ARtabletextright"/>
            </w:pPr>
            <w:r w:rsidRPr="00C5726C">
              <w:rPr>
                <w:noProof/>
              </w:rPr>
              <w:t>700</w:t>
            </w:r>
          </w:p>
        </w:tc>
        <w:tc>
          <w:tcPr>
            <w:tcW w:w="1021" w:type="dxa"/>
            <w:tcBorders>
              <w:bottom w:val="single" w:sz="4" w:space="0" w:color="BFBFBF" w:themeColor="background1" w:themeShade="BF"/>
            </w:tcBorders>
            <w:shd w:val="clear" w:color="auto" w:fill="auto"/>
            <w:hideMark/>
          </w:tcPr>
          <w:p w14:paraId="4C8B568C" w14:textId="77777777" w:rsidR="00B0569D" w:rsidRDefault="00B0569D" w:rsidP="00B0569D">
            <w:pPr>
              <w:pStyle w:val="ARtabletextright"/>
            </w:pPr>
            <w:r w:rsidRPr="00C5726C">
              <w:rPr>
                <w:noProof/>
              </w:rPr>
              <w:t>697</w:t>
            </w:r>
          </w:p>
        </w:tc>
        <w:tc>
          <w:tcPr>
            <w:tcW w:w="1021" w:type="dxa"/>
            <w:tcBorders>
              <w:bottom w:val="single" w:sz="4" w:space="0" w:color="BFBFBF" w:themeColor="background1" w:themeShade="BF"/>
            </w:tcBorders>
            <w:shd w:val="clear" w:color="auto" w:fill="auto"/>
          </w:tcPr>
          <w:p w14:paraId="18840D28" w14:textId="77777777" w:rsidR="00B0569D" w:rsidRDefault="00B0569D" w:rsidP="00B0569D">
            <w:pPr>
              <w:pStyle w:val="ARtabletextright"/>
            </w:pPr>
            <w:r>
              <w:rPr>
                <w:noProof/>
              </w:rPr>
              <w:t>−</w:t>
            </w:r>
            <w:r w:rsidRPr="00C5726C">
              <w:rPr>
                <w:noProof/>
              </w:rPr>
              <w:t>0.4</w:t>
            </w:r>
          </w:p>
        </w:tc>
        <w:tc>
          <w:tcPr>
            <w:tcW w:w="794" w:type="dxa"/>
            <w:tcBorders>
              <w:bottom w:val="single" w:sz="4" w:space="0" w:color="BFBFBF" w:themeColor="background1" w:themeShade="BF"/>
            </w:tcBorders>
            <w:shd w:val="clear" w:color="auto" w:fill="auto"/>
            <w:hideMark/>
          </w:tcPr>
          <w:p w14:paraId="1CF97846" w14:textId="6C39F43F" w:rsidR="00B0569D" w:rsidRPr="00D02A2E" w:rsidRDefault="00A52A4C" w:rsidP="00A52A4C">
            <w:pPr>
              <w:pStyle w:val="ARtableperformancesymbol"/>
            </w:pPr>
            <w:r w:rsidRPr="00F96CDB">
              <w:rPr>
                <w:noProof/>
              </w:rPr>
              <w:drawing>
                <wp:inline distT="0" distB="0" distL="0" distR="0" wp14:anchorId="5B25AE0D" wp14:editId="4F931E96">
                  <wp:extent cx="76320" cy="76320"/>
                  <wp:effectExtent l="0" t="0" r="0" b="0"/>
                  <wp:docPr id="201" name="Graphic 201" descr="Target not achieved – within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Target not achieved – within five per cent varianc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76320" cy="76320"/>
                          </a:xfrm>
                          <a:prstGeom prst="rect">
                            <a:avLst/>
                          </a:prstGeom>
                        </pic:spPr>
                      </pic:pic>
                    </a:graphicData>
                  </a:graphic>
                </wp:inline>
              </w:drawing>
            </w:r>
            <w:r>
              <w:t xml:space="preserve"> </w:t>
            </w:r>
          </w:p>
        </w:tc>
      </w:tr>
      <w:tr w:rsidR="00B0569D" w:rsidRPr="00D02A2E" w14:paraId="631DA2F9" w14:textId="77777777" w:rsidTr="000F1C6B">
        <w:trPr>
          <w:cantSplit/>
        </w:trPr>
        <w:tc>
          <w:tcPr>
            <w:tcW w:w="4761" w:type="dxa"/>
            <w:tcBorders>
              <w:top w:val="single" w:sz="4" w:space="0" w:color="BFBFBF" w:themeColor="background1" w:themeShade="BF"/>
              <w:bottom w:val="single" w:sz="4" w:space="0" w:color="BFBFBF" w:themeColor="background1" w:themeShade="BF"/>
            </w:tcBorders>
            <w:shd w:val="clear" w:color="auto" w:fill="auto"/>
            <w:hideMark/>
          </w:tcPr>
          <w:p w14:paraId="58D74217" w14:textId="77777777" w:rsidR="00B0569D" w:rsidRPr="00D02A2E" w:rsidRDefault="00B0569D" w:rsidP="00B0569D">
            <w:pPr>
              <w:pStyle w:val="ARtabletext"/>
            </w:pPr>
            <w:r w:rsidRPr="00C5726C">
              <w:rPr>
                <w:noProof/>
              </w:rPr>
              <w:t>Total funded FTE (early graduate) medical positions in public system</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550F5687" w14:textId="77777777" w:rsidR="00B0569D" w:rsidRPr="00D02A2E" w:rsidRDefault="00B0569D" w:rsidP="00B0569D">
            <w:pPr>
              <w:pStyle w:val="ARtabletextcentre"/>
            </w:pPr>
            <w:r w:rsidRPr="00C5726C">
              <w:rPr>
                <w:noProof/>
              </w:rPr>
              <w:t>number</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487761A5" w14:textId="77777777" w:rsidR="00B0569D" w:rsidRDefault="00B0569D" w:rsidP="00B0569D">
            <w:pPr>
              <w:pStyle w:val="ARtabletextright"/>
            </w:pPr>
            <w:r w:rsidRPr="00C5726C">
              <w:rPr>
                <w:noProof/>
              </w:rPr>
              <w:t>1</w:t>
            </w:r>
            <w:r>
              <w:rPr>
                <w:noProof/>
              </w:rPr>
              <w:t>,</w:t>
            </w:r>
            <w:r w:rsidRPr="00C5726C">
              <w:rPr>
                <w:noProof/>
              </w:rPr>
              <w:t>525</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26E9C04C" w14:textId="77777777" w:rsidR="00B0569D" w:rsidRDefault="00B0569D" w:rsidP="00B0569D">
            <w:pPr>
              <w:pStyle w:val="ARtabletextright"/>
            </w:pPr>
            <w:r w:rsidRPr="00C5726C">
              <w:rPr>
                <w:noProof/>
              </w:rPr>
              <w:t>1</w:t>
            </w:r>
            <w:r>
              <w:rPr>
                <w:noProof/>
              </w:rPr>
              <w:t>,</w:t>
            </w:r>
            <w:r w:rsidRPr="00C5726C">
              <w:rPr>
                <w:noProof/>
              </w:rPr>
              <w:t>584</w:t>
            </w:r>
          </w:p>
        </w:tc>
        <w:tc>
          <w:tcPr>
            <w:tcW w:w="1021" w:type="dxa"/>
            <w:tcBorders>
              <w:top w:val="single" w:sz="4" w:space="0" w:color="BFBFBF" w:themeColor="background1" w:themeShade="BF"/>
              <w:bottom w:val="single" w:sz="4" w:space="0" w:color="BFBFBF" w:themeColor="background1" w:themeShade="BF"/>
            </w:tcBorders>
            <w:shd w:val="clear" w:color="auto" w:fill="auto"/>
          </w:tcPr>
          <w:p w14:paraId="7082F6C7" w14:textId="77777777" w:rsidR="00B0569D" w:rsidRDefault="00B0569D" w:rsidP="00B0569D">
            <w:pPr>
              <w:pStyle w:val="ARtabletextright"/>
            </w:pPr>
            <w:r w:rsidRPr="00C5726C">
              <w:rPr>
                <w:noProof/>
              </w:rPr>
              <w:t>3.</w:t>
            </w:r>
            <w:r>
              <w:rPr>
                <w:noProof/>
              </w:rPr>
              <w:t>9</w:t>
            </w:r>
          </w:p>
        </w:tc>
        <w:tc>
          <w:tcPr>
            <w:tcW w:w="794" w:type="dxa"/>
            <w:tcBorders>
              <w:top w:val="single" w:sz="4" w:space="0" w:color="BFBFBF" w:themeColor="background1" w:themeShade="BF"/>
              <w:bottom w:val="single" w:sz="4" w:space="0" w:color="BFBFBF" w:themeColor="background1" w:themeShade="BF"/>
            </w:tcBorders>
            <w:shd w:val="clear" w:color="auto" w:fill="auto"/>
            <w:hideMark/>
          </w:tcPr>
          <w:p w14:paraId="6B4221F5" w14:textId="15466229" w:rsidR="00B0569D" w:rsidRPr="00D02A2E" w:rsidRDefault="00CF2633" w:rsidP="00A52A4C">
            <w:pPr>
              <w:pStyle w:val="ARtableperformancesymbol"/>
            </w:pPr>
            <w:r>
              <w:rPr>
                <w:noProof/>
              </w:rPr>
              <w:drawing>
                <wp:inline distT="0" distB="0" distL="0" distR="0" wp14:anchorId="5A5B80A8" wp14:editId="03639735">
                  <wp:extent cx="85320" cy="85320"/>
                  <wp:effectExtent l="0" t="0" r="0" b="0"/>
                  <wp:docPr id="129" name="Graphic 129"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B0569D" w:rsidRPr="00D02A2E" w14:paraId="2B464CBC" w14:textId="77777777" w:rsidTr="000F1C6B">
        <w:trPr>
          <w:cantSplit/>
        </w:trPr>
        <w:tc>
          <w:tcPr>
            <w:tcW w:w="4761" w:type="dxa"/>
            <w:tcBorders>
              <w:top w:val="single" w:sz="4" w:space="0" w:color="BFBFBF" w:themeColor="background1" w:themeShade="BF"/>
            </w:tcBorders>
            <w:shd w:val="clear" w:color="auto" w:fill="auto"/>
            <w:hideMark/>
          </w:tcPr>
          <w:p w14:paraId="030204C0" w14:textId="77777777" w:rsidR="00B0569D" w:rsidRPr="00D02A2E" w:rsidRDefault="00B0569D" w:rsidP="00B0569D">
            <w:pPr>
              <w:pStyle w:val="ARtabletext"/>
            </w:pPr>
            <w:r w:rsidRPr="00C5726C">
              <w:rPr>
                <w:noProof/>
              </w:rPr>
              <w:t>Total funded FTE (early graduate) nursing and midwifery positions in public system</w:t>
            </w:r>
          </w:p>
        </w:tc>
        <w:tc>
          <w:tcPr>
            <w:tcW w:w="1021" w:type="dxa"/>
            <w:tcBorders>
              <w:top w:val="single" w:sz="4" w:space="0" w:color="BFBFBF" w:themeColor="background1" w:themeShade="BF"/>
            </w:tcBorders>
            <w:shd w:val="clear" w:color="auto" w:fill="auto"/>
            <w:hideMark/>
          </w:tcPr>
          <w:p w14:paraId="7F7CE880" w14:textId="77777777" w:rsidR="00B0569D" w:rsidRPr="00D02A2E" w:rsidRDefault="00B0569D" w:rsidP="00B0569D">
            <w:pPr>
              <w:pStyle w:val="ARtabletextcentre"/>
            </w:pPr>
            <w:r w:rsidRPr="00C5726C">
              <w:rPr>
                <w:noProof/>
              </w:rPr>
              <w:t>number</w:t>
            </w:r>
          </w:p>
        </w:tc>
        <w:tc>
          <w:tcPr>
            <w:tcW w:w="1021" w:type="dxa"/>
            <w:tcBorders>
              <w:top w:val="single" w:sz="4" w:space="0" w:color="BFBFBF" w:themeColor="background1" w:themeShade="BF"/>
            </w:tcBorders>
            <w:shd w:val="clear" w:color="auto" w:fill="auto"/>
            <w:hideMark/>
          </w:tcPr>
          <w:p w14:paraId="75F083E4" w14:textId="77777777" w:rsidR="00B0569D" w:rsidRDefault="00B0569D" w:rsidP="00B0569D">
            <w:pPr>
              <w:pStyle w:val="ARtabletextright"/>
            </w:pPr>
            <w:r w:rsidRPr="00C5726C">
              <w:rPr>
                <w:noProof/>
              </w:rPr>
              <w:t>1</w:t>
            </w:r>
            <w:r>
              <w:rPr>
                <w:noProof/>
              </w:rPr>
              <w:t>,</w:t>
            </w:r>
            <w:r w:rsidRPr="00C5726C">
              <w:rPr>
                <w:noProof/>
              </w:rPr>
              <w:t>889</w:t>
            </w:r>
          </w:p>
        </w:tc>
        <w:tc>
          <w:tcPr>
            <w:tcW w:w="1021" w:type="dxa"/>
            <w:tcBorders>
              <w:top w:val="single" w:sz="4" w:space="0" w:color="BFBFBF" w:themeColor="background1" w:themeShade="BF"/>
            </w:tcBorders>
            <w:shd w:val="clear" w:color="auto" w:fill="auto"/>
            <w:hideMark/>
          </w:tcPr>
          <w:p w14:paraId="2700A94E" w14:textId="77777777" w:rsidR="00B0569D" w:rsidRDefault="00B0569D" w:rsidP="00B0569D">
            <w:pPr>
              <w:pStyle w:val="ARtabletextright"/>
            </w:pPr>
            <w:r w:rsidRPr="00C5726C">
              <w:rPr>
                <w:noProof/>
              </w:rPr>
              <w:t>1</w:t>
            </w:r>
            <w:r>
              <w:rPr>
                <w:noProof/>
              </w:rPr>
              <w:t>,</w:t>
            </w:r>
            <w:r w:rsidRPr="00C5726C">
              <w:rPr>
                <w:noProof/>
              </w:rPr>
              <w:t>889</w:t>
            </w:r>
          </w:p>
        </w:tc>
        <w:tc>
          <w:tcPr>
            <w:tcW w:w="1021" w:type="dxa"/>
            <w:tcBorders>
              <w:top w:val="single" w:sz="4" w:space="0" w:color="BFBFBF" w:themeColor="background1" w:themeShade="BF"/>
            </w:tcBorders>
            <w:shd w:val="clear" w:color="auto" w:fill="auto"/>
          </w:tcPr>
          <w:p w14:paraId="5F6BE954" w14:textId="77777777" w:rsidR="00B0569D" w:rsidRDefault="00B0569D" w:rsidP="00B0569D">
            <w:pPr>
              <w:pStyle w:val="ARtabletextright"/>
            </w:pPr>
            <w:r w:rsidRPr="00C5726C">
              <w:rPr>
                <w:noProof/>
              </w:rPr>
              <w:t>0</w:t>
            </w:r>
          </w:p>
        </w:tc>
        <w:tc>
          <w:tcPr>
            <w:tcW w:w="794" w:type="dxa"/>
            <w:tcBorders>
              <w:top w:val="single" w:sz="4" w:space="0" w:color="BFBFBF" w:themeColor="background1" w:themeShade="BF"/>
            </w:tcBorders>
            <w:shd w:val="clear" w:color="auto" w:fill="auto"/>
            <w:hideMark/>
          </w:tcPr>
          <w:p w14:paraId="49E32D1B" w14:textId="7529E86B" w:rsidR="00B0569D" w:rsidRPr="00D02A2E" w:rsidRDefault="00CF2633" w:rsidP="00A52A4C">
            <w:pPr>
              <w:pStyle w:val="ARtableperformancesymbol"/>
            </w:pPr>
            <w:r>
              <w:rPr>
                <w:noProof/>
              </w:rPr>
              <w:drawing>
                <wp:inline distT="0" distB="0" distL="0" distR="0" wp14:anchorId="73A705B1" wp14:editId="69924FEF">
                  <wp:extent cx="85320" cy="85320"/>
                  <wp:effectExtent l="0" t="0" r="0" b="0"/>
                  <wp:docPr id="130" name="Graphic 130"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B0569D" w:rsidRPr="00D02A2E" w14:paraId="23CC0EA8" w14:textId="77777777" w:rsidTr="000F1C6B">
        <w:trPr>
          <w:cantSplit/>
        </w:trPr>
        <w:tc>
          <w:tcPr>
            <w:tcW w:w="9639" w:type="dxa"/>
            <w:gridSpan w:val="6"/>
            <w:tcBorders>
              <w:top w:val="single" w:sz="4" w:space="0" w:color="auto"/>
            </w:tcBorders>
            <w:shd w:val="clear" w:color="auto" w:fill="auto"/>
            <w:hideMark/>
          </w:tcPr>
          <w:p w14:paraId="42FA9FAA" w14:textId="77777777" w:rsidR="00B0569D" w:rsidRPr="00D02A2E" w:rsidRDefault="00B0569D" w:rsidP="00B0569D">
            <w:pPr>
              <w:pStyle w:val="ARtablegreybold"/>
              <w:rPr>
                <w:rFonts w:ascii="Wingdings" w:hAnsi="Wingdings"/>
              </w:rPr>
            </w:pPr>
            <w:r w:rsidRPr="005C232D">
              <w:t>Quality</w:t>
            </w:r>
          </w:p>
        </w:tc>
      </w:tr>
      <w:tr w:rsidR="00B0569D" w:rsidRPr="00D02A2E" w14:paraId="7DA9A51B" w14:textId="77777777" w:rsidTr="000F1C6B">
        <w:trPr>
          <w:cantSplit/>
        </w:trPr>
        <w:tc>
          <w:tcPr>
            <w:tcW w:w="4761" w:type="dxa"/>
            <w:shd w:val="clear" w:color="auto" w:fill="auto"/>
            <w:hideMark/>
          </w:tcPr>
          <w:p w14:paraId="665B0AF6" w14:textId="77777777" w:rsidR="00B0569D" w:rsidRPr="00D02A2E" w:rsidRDefault="00B0569D" w:rsidP="00B0569D">
            <w:pPr>
              <w:pStyle w:val="ARtabletext"/>
            </w:pPr>
            <w:r w:rsidRPr="00C5726C">
              <w:rPr>
                <w:noProof/>
              </w:rPr>
              <w:t>Learner satisfaction about their feeling of safety and wellbeing while undertaking their program of study at health services</w:t>
            </w:r>
          </w:p>
        </w:tc>
        <w:tc>
          <w:tcPr>
            <w:tcW w:w="1021" w:type="dxa"/>
            <w:shd w:val="clear" w:color="auto" w:fill="auto"/>
            <w:hideMark/>
          </w:tcPr>
          <w:p w14:paraId="4DC06798" w14:textId="77777777" w:rsidR="00B0569D" w:rsidRPr="00D02A2E" w:rsidRDefault="00B0569D" w:rsidP="00B0569D">
            <w:pPr>
              <w:pStyle w:val="ARtabletextcentre"/>
            </w:pPr>
            <w:r w:rsidRPr="00C5726C">
              <w:rPr>
                <w:noProof/>
              </w:rPr>
              <w:t>per cent</w:t>
            </w:r>
          </w:p>
        </w:tc>
        <w:tc>
          <w:tcPr>
            <w:tcW w:w="1021" w:type="dxa"/>
            <w:shd w:val="clear" w:color="auto" w:fill="auto"/>
            <w:hideMark/>
          </w:tcPr>
          <w:p w14:paraId="6952FF18" w14:textId="77777777" w:rsidR="00B0569D" w:rsidRDefault="00B0569D" w:rsidP="00B0569D">
            <w:pPr>
              <w:pStyle w:val="ARtabletextright"/>
            </w:pPr>
            <w:r w:rsidRPr="00C5726C">
              <w:rPr>
                <w:noProof/>
              </w:rPr>
              <w:t>80</w:t>
            </w:r>
          </w:p>
        </w:tc>
        <w:tc>
          <w:tcPr>
            <w:tcW w:w="1021" w:type="dxa"/>
            <w:shd w:val="clear" w:color="auto" w:fill="auto"/>
            <w:hideMark/>
          </w:tcPr>
          <w:p w14:paraId="3011237F" w14:textId="77777777" w:rsidR="00B0569D" w:rsidRDefault="00B0569D" w:rsidP="00B0569D">
            <w:pPr>
              <w:pStyle w:val="ARtabletextright"/>
            </w:pPr>
            <w:r w:rsidRPr="00C5726C">
              <w:rPr>
                <w:noProof/>
              </w:rPr>
              <w:t>94</w:t>
            </w:r>
          </w:p>
        </w:tc>
        <w:tc>
          <w:tcPr>
            <w:tcW w:w="1021" w:type="dxa"/>
            <w:shd w:val="clear" w:color="auto" w:fill="auto"/>
          </w:tcPr>
          <w:p w14:paraId="1C8B8892" w14:textId="77777777" w:rsidR="00B0569D" w:rsidRDefault="00B0569D" w:rsidP="00B0569D">
            <w:pPr>
              <w:pStyle w:val="ARtabletextright"/>
            </w:pPr>
            <w:r w:rsidRPr="00C5726C">
              <w:rPr>
                <w:noProof/>
              </w:rPr>
              <w:t>17.5</w:t>
            </w:r>
          </w:p>
        </w:tc>
        <w:tc>
          <w:tcPr>
            <w:tcW w:w="794" w:type="dxa"/>
            <w:shd w:val="clear" w:color="auto" w:fill="auto"/>
            <w:hideMark/>
          </w:tcPr>
          <w:p w14:paraId="3002FCD1" w14:textId="0EC61D15" w:rsidR="00B0569D" w:rsidRPr="00D02A2E" w:rsidRDefault="00CF2633" w:rsidP="00A52A4C">
            <w:pPr>
              <w:pStyle w:val="ARtableperformancesymbol"/>
            </w:pPr>
            <w:r>
              <w:rPr>
                <w:noProof/>
              </w:rPr>
              <w:drawing>
                <wp:inline distT="0" distB="0" distL="0" distR="0" wp14:anchorId="25D81A0F" wp14:editId="6E6C7110">
                  <wp:extent cx="85320" cy="85320"/>
                  <wp:effectExtent l="0" t="0" r="0" b="0"/>
                  <wp:docPr id="131" name="Graphic 131"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B0569D" w:rsidRPr="00D02A2E" w14:paraId="79808B10" w14:textId="77777777" w:rsidTr="000F1C6B">
        <w:trPr>
          <w:cantSplit/>
        </w:trPr>
        <w:tc>
          <w:tcPr>
            <w:tcW w:w="9639" w:type="dxa"/>
            <w:gridSpan w:val="6"/>
            <w:tcBorders>
              <w:bottom w:val="single" w:sz="4" w:space="0" w:color="BFBFBF"/>
            </w:tcBorders>
            <w:shd w:val="clear" w:color="auto" w:fill="auto"/>
            <w:noWrap/>
            <w:hideMark/>
          </w:tcPr>
          <w:p w14:paraId="702FEC13" w14:textId="77777777" w:rsidR="00B0569D" w:rsidRPr="00D02A2E" w:rsidRDefault="00B0569D" w:rsidP="00B0569D">
            <w:pPr>
              <w:pStyle w:val="ARtablenoteindent"/>
            </w:pPr>
            <w:r w:rsidRPr="00C5726C">
              <w:rPr>
                <w:noProof/>
              </w:rPr>
              <w:t>This measure has been consistently higher than target. This is</w:t>
            </w:r>
            <w:r>
              <w:rPr>
                <w:noProof/>
              </w:rPr>
              <w:t xml:space="preserve"> </w:t>
            </w:r>
            <w:r w:rsidRPr="00C5726C">
              <w:rPr>
                <w:noProof/>
              </w:rPr>
              <w:t>a postive result.</w:t>
            </w:r>
          </w:p>
        </w:tc>
      </w:tr>
      <w:tr w:rsidR="00B0569D" w:rsidRPr="00D02A2E" w14:paraId="372B00AC" w14:textId="77777777" w:rsidTr="000F1C6B">
        <w:trPr>
          <w:cantSplit/>
        </w:trPr>
        <w:tc>
          <w:tcPr>
            <w:tcW w:w="9639" w:type="dxa"/>
            <w:gridSpan w:val="6"/>
            <w:tcBorders>
              <w:top w:val="single" w:sz="4" w:space="0" w:color="auto"/>
            </w:tcBorders>
            <w:shd w:val="clear" w:color="auto" w:fill="auto"/>
            <w:hideMark/>
          </w:tcPr>
          <w:p w14:paraId="5363CFE2" w14:textId="77777777" w:rsidR="00B0569D" w:rsidRPr="00D02A2E" w:rsidRDefault="00B0569D" w:rsidP="00B0569D">
            <w:pPr>
              <w:pStyle w:val="ARtablegreybold"/>
              <w:rPr>
                <w:rFonts w:ascii="Wingdings" w:hAnsi="Wingdings"/>
              </w:rPr>
            </w:pPr>
            <w:r>
              <w:t>Cost</w:t>
            </w:r>
          </w:p>
        </w:tc>
      </w:tr>
      <w:tr w:rsidR="00B0569D" w:rsidRPr="00D02A2E" w14:paraId="3837B5E0" w14:textId="77777777" w:rsidTr="000F1C6B">
        <w:trPr>
          <w:cantSplit/>
        </w:trPr>
        <w:tc>
          <w:tcPr>
            <w:tcW w:w="4761" w:type="dxa"/>
            <w:shd w:val="clear" w:color="auto" w:fill="auto"/>
            <w:hideMark/>
          </w:tcPr>
          <w:p w14:paraId="07C58BB9" w14:textId="77777777" w:rsidR="00B0569D" w:rsidRPr="00A95DC7" w:rsidRDefault="00B0569D" w:rsidP="00B0569D">
            <w:pPr>
              <w:pStyle w:val="ARtabletext"/>
              <w:rPr>
                <w:b/>
                <w:bCs/>
              </w:rPr>
            </w:pPr>
            <w:r w:rsidRPr="00A95DC7">
              <w:rPr>
                <w:b/>
                <w:bCs/>
                <w:noProof/>
              </w:rPr>
              <w:t>Total Cost Output</w:t>
            </w:r>
          </w:p>
        </w:tc>
        <w:tc>
          <w:tcPr>
            <w:tcW w:w="1021" w:type="dxa"/>
            <w:shd w:val="clear" w:color="auto" w:fill="auto"/>
            <w:hideMark/>
          </w:tcPr>
          <w:p w14:paraId="408DE564" w14:textId="77777777" w:rsidR="00B0569D" w:rsidRPr="00A95DC7" w:rsidRDefault="00B0569D" w:rsidP="00B0569D">
            <w:pPr>
              <w:pStyle w:val="ARtabletextcentre"/>
            </w:pPr>
            <w:r w:rsidRPr="00A95DC7">
              <w:rPr>
                <w:b/>
                <w:bCs/>
                <w:noProof/>
              </w:rPr>
              <w:t>$ million</w:t>
            </w:r>
          </w:p>
        </w:tc>
        <w:tc>
          <w:tcPr>
            <w:tcW w:w="1021" w:type="dxa"/>
            <w:shd w:val="clear" w:color="auto" w:fill="auto"/>
            <w:hideMark/>
          </w:tcPr>
          <w:p w14:paraId="1EA5F51D" w14:textId="77777777" w:rsidR="00B0569D" w:rsidRPr="00A95DC7" w:rsidRDefault="00B0569D" w:rsidP="00B0569D">
            <w:pPr>
              <w:pStyle w:val="ARtabletextright"/>
              <w:rPr>
                <w:b/>
                <w:bCs/>
              </w:rPr>
            </w:pPr>
            <w:r w:rsidRPr="00A95DC7">
              <w:rPr>
                <w:b/>
                <w:bCs/>
                <w:noProof/>
              </w:rPr>
              <w:t>323.3</w:t>
            </w:r>
          </w:p>
        </w:tc>
        <w:tc>
          <w:tcPr>
            <w:tcW w:w="1021" w:type="dxa"/>
            <w:shd w:val="clear" w:color="auto" w:fill="auto"/>
            <w:hideMark/>
          </w:tcPr>
          <w:p w14:paraId="5FB90D75" w14:textId="77777777" w:rsidR="00B0569D" w:rsidRPr="00A95DC7" w:rsidRDefault="00B0569D" w:rsidP="00B0569D">
            <w:pPr>
              <w:pStyle w:val="ARtabletextright"/>
              <w:rPr>
                <w:b/>
                <w:bCs/>
              </w:rPr>
            </w:pPr>
            <w:r w:rsidRPr="00A95DC7">
              <w:rPr>
                <w:b/>
                <w:bCs/>
                <w:noProof/>
              </w:rPr>
              <w:t>299.</w:t>
            </w:r>
            <w:r>
              <w:rPr>
                <w:b/>
                <w:bCs/>
                <w:noProof/>
              </w:rPr>
              <w:t>4</w:t>
            </w:r>
          </w:p>
        </w:tc>
        <w:tc>
          <w:tcPr>
            <w:tcW w:w="1021" w:type="dxa"/>
            <w:shd w:val="clear" w:color="auto" w:fill="auto"/>
          </w:tcPr>
          <w:p w14:paraId="59463CFC" w14:textId="77777777" w:rsidR="00B0569D" w:rsidRPr="00A95DC7" w:rsidRDefault="00B0569D" w:rsidP="00B0569D">
            <w:pPr>
              <w:pStyle w:val="ARtabletextright"/>
              <w:rPr>
                <w:b/>
                <w:bCs/>
              </w:rPr>
            </w:pPr>
            <w:r>
              <w:rPr>
                <w:b/>
                <w:bCs/>
                <w:noProof/>
              </w:rPr>
              <w:t>−</w:t>
            </w:r>
            <w:r w:rsidRPr="00A95DC7">
              <w:rPr>
                <w:b/>
                <w:bCs/>
                <w:noProof/>
              </w:rPr>
              <w:t>7.4</w:t>
            </w:r>
          </w:p>
        </w:tc>
        <w:tc>
          <w:tcPr>
            <w:tcW w:w="794" w:type="dxa"/>
            <w:shd w:val="clear" w:color="auto" w:fill="auto"/>
            <w:hideMark/>
          </w:tcPr>
          <w:p w14:paraId="769E7692" w14:textId="77777777" w:rsidR="00B0569D" w:rsidRPr="00A95DC7" w:rsidRDefault="00B0569D" w:rsidP="00B0569D">
            <w:pPr>
              <w:pStyle w:val="ARtabletextright"/>
              <w:rPr>
                <w:b/>
                <w:bCs/>
              </w:rPr>
            </w:pPr>
          </w:p>
        </w:tc>
      </w:tr>
      <w:tr w:rsidR="00B0569D" w:rsidRPr="00D02A2E" w14:paraId="2EB085F7" w14:textId="77777777" w:rsidTr="000F1C6B">
        <w:trPr>
          <w:cantSplit/>
        </w:trPr>
        <w:tc>
          <w:tcPr>
            <w:tcW w:w="9639" w:type="dxa"/>
            <w:gridSpan w:val="6"/>
            <w:tcBorders>
              <w:bottom w:val="single" w:sz="4" w:space="0" w:color="auto"/>
            </w:tcBorders>
            <w:shd w:val="clear" w:color="auto" w:fill="auto"/>
            <w:noWrap/>
            <w:hideMark/>
          </w:tcPr>
          <w:p w14:paraId="4C492F83" w14:textId="77777777" w:rsidR="00B0569D" w:rsidRPr="00D02A2E" w:rsidRDefault="00B0569D" w:rsidP="00B0569D">
            <w:pPr>
              <w:pStyle w:val="ARtablenoteindent"/>
            </w:pPr>
            <w:r w:rsidRPr="00C5726C">
              <w:rPr>
                <w:noProof/>
              </w:rPr>
              <w:t>The actual outcome primarily reflects funding requested to be carried over into 202</w:t>
            </w:r>
            <w:r>
              <w:rPr>
                <w:noProof/>
              </w:rPr>
              <w:t>1–</w:t>
            </w:r>
            <w:r w:rsidRPr="00C5726C">
              <w:rPr>
                <w:noProof/>
              </w:rPr>
              <w:t xml:space="preserve">22 and realignment of funding to Community Health and Small Rural Services </w:t>
            </w:r>
            <w:r>
              <w:rPr>
                <w:noProof/>
              </w:rPr>
              <w:t>–</w:t>
            </w:r>
            <w:r w:rsidRPr="00C5726C">
              <w:rPr>
                <w:noProof/>
              </w:rPr>
              <w:t xml:space="preserve"> Acute Health outputs driven by the COVID</w:t>
            </w:r>
            <w:r>
              <w:rPr>
                <w:noProof/>
              </w:rPr>
              <w:t>-</w:t>
            </w:r>
            <w:r w:rsidRPr="00C5726C">
              <w:rPr>
                <w:noProof/>
              </w:rPr>
              <w:t>19 response.</w:t>
            </w:r>
          </w:p>
        </w:tc>
      </w:tr>
    </w:tbl>
    <w:p w14:paraId="486A700C" w14:textId="77777777" w:rsidR="00C575AB" w:rsidRPr="00C575AB" w:rsidRDefault="00C575AB" w:rsidP="00C575AB">
      <w:pPr>
        <w:pStyle w:val="ARbody"/>
      </w:pPr>
      <w:bookmarkStart w:id="274" w:name="_Toc85121158"/>
      <w:r w:rsidRPr="00C575AB">
        <w:br w:type="page"/>
      </w:r>
    </w:p>
    <w:p w14:paraId="4510123F" w14:textId="7F0D9DC4" w:rsidR="00496244" w:rsidRPr="00D02A2E" w:rsidRDefault="00496244" w:rsidP="00317057">
      <w:pPr>
        <w:pStyle w:val="Heading4"/>
        <w:spacing w:before="400"/>
      </w:pPr>
      <w:r>
        <w:lastRenderedPageBreak/>
        <w:t>Ageing, Aged and Home Care</w:t>
      </w:r>
      <w:bookmarkEnd w:id="274"/>
    </w:p>
    <w:p w14:paraId="1498D999" w14:textId="77777777" w:rsidR="00496244" w:rsidRDefault="00496244" w:rsidP="00317057">
      <w:pPr>
        <w:pStyle w:val="ARbodybeforetable"/>
      </w:pPr>
      <w:r w:rsidRPr="005C7F16">
        <w:t>This output encompasses leading and coordinating the whole-of-government policy on issues affecting our ageing community. It includes a range of in-home, specialist geriatric residential care and community-based programs, such as Home and Community Care, that are targeted to older people, people with a disability, and their carers.</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496244" w:rsidRPr="00D02A2E" w14:paraId="6A1A05AB" w14:textId="77777777" w:rsidTr="000F1C6B">
        <w:trPr>
          <w:cantSplit/>
          <w:tblHeader/>
        </w:trPr>
        <w:tc>
          <w:tcPr>
            <w:tcW w:w="4761" w:type="dxa"/>
            <w:tcBorders>
              <w:bottom w:val="single" w:sz="4" w:space="0" w:color="auto"/>
            </w:tcBorders>
            <w:shd w:val="clear" w:color="auto" w:fill="auto"/>
            <w:vAlign w:val="bottom"/>
            <w:hideMark/>
          </w:tcPr>
          <w:p w14:paraId="46E08CD6" w14:textId="77777777" w:rsidR="00496244" w:rsidRPr="00D02A2E" w:rsidRDefault="00496244" w:rsidP="00317057">
            <w:pPr>
              <w:pStyle w:val="ARtablecolhead"/>
            </w:pPr>
            <w:r w:rsidRPr="00D02A2E">
              <w:t>Performance measures</w:t>
            </w:r>
          </w:p>
        </w:tc>
        <w:tc>
          <w:tcPr>
            <w:tcW w:w="1021" w:type="dxa"/>
            <w:tcBorders>
              <w:bottom w:val="single" w:sz="4" w:space="0" w:color="auto"/>
            </w:tcBorders>
            <w:shd w:val="clear" w:color="auto" w:fill="auto"/>
            <w:vAlign w:val="bottom"/>
            <w:hideMark/>
          </w:tcPr>
          <w:p w14:paraId="2F87C7CF" w14:textId="77777777" w:rsidR="00496244" w:rsidRPr="00F72126" w:rsidRDefault="00496244" w:rsidP="00317057">
            <w:pPr>
              <w:pStyle w:val="ARtablecolheadcentre"/>
            </w:pPr>
            <w:r w:rsidRPr="00F72126">
              <w:t>Unit of measure</w:t>
            </w:r>
          </w:p>
        </w:tc>
        <w:tc>
          <w:tcPr>
            <w:tcW w:w="1021" w:type="dxa"/>
            <w:tcBorders>
              <w:bottom w:val="single" w:sz="4" w:space="0" w:color="auto"/>
            </w:tcBorders>
            <w:shd w:val="clear" w:color="auto" w:fill="auto"/>
            <w:vAlign w:val="bottom"/>
            <w:hideMark/>
          </w:tcPr>
          <w:p w14:paraId="0709106B" w14:textId="77777777" w:rsidR="00496244" w:rsidRPr="00F72126" w:rsidRDefault="00496244" w:rsidP="00317057">
            <w:pPr>
              <w:pStyle w:val="ARtablecolheadright"/>
            </w:pPr>
            <w:r w:rsidRPr="00F72126">
              <w:t>20</w:t>
            </w:r>
            <w:r>
              <w:t>20</w:t>
            </w:r>
            <w:r w:rsidRPr="00F72126">
              <w:t>–</w:t>
            </w:r>
            <w:r>
              <w:t>21</w:t>
            </w:r>
            <w:r w:rsidRPr="00F72126">
              <w:t xml:space="preserve"> target</w:t>
            </w:r>
          </w:p>
        </w:tc>
        <w:tc>
          <w:tcPr>
            <w:tcW w:w="1021" w:type="dxa"/>
            <w:tcBorders>
              <w:bottom w:val="single" w:sz="4" w:space="0" w:color="auto"/>
            </w:tcBorders>
            <w:shd w:val="clear" w:color="auto" w:fill="auto"/>
            <w:vAlign w:val="bottom"/>
            <w:hideMark/>
          </w:tcPr>
          <w:p w14:paraId="01C77F8A" w14:textId="77777777" w:rsidR="00496244" w:rsidRPr="00F72126" w:rsidRDefault="00496244" w:rsidP="00317057">
            <w:pPr>
              <w:pStyle w:val="ARtablecolheadright"/>
            </w:pPr>
            <w:r w:rsidRPr="00F72126">
              <w:t>20</w:t>
            </w:r>
            <w:r>
              <w:t>20</w:t>
            </w:r>
            <w:r w:rsidRPr="00F72126">
              <w:t>–</w:t>
            </w:r>
            <w:r>
              <w:t>21</w:t>
            </w:r>
            <w:r w:rsidRPr="00F72126">
              <w:t xml:space="preserve"> actual</w:t>
            </w:r>
          </w:p>
        </w:tc>
        <w:tc>
          <w:tcPr>
            <w:tcW w:w="1021" w:type="dxa"/>
            <w:tcBorders>
              <w:bottom w:val="single" w:sz="4" w:space="0" w:color="auto"/>
            </w:tcBorders>
            <w:shd w:val="clear" w:color="auto" w:fill="auto"/>
            <w:vAlign w:val="bottom"/>
            <w:hideMark/>
          </w:tcPr>
          <w:p w14:paraId="5D747A1E" w14:textId="77777777" w:rsidR="00496244" w:rsidRPr="00F72126" w:rsidRDefault="00496244" w:rsidP="00317057">
            <w:pPr>
              <w:pStyle w:val="ARtablecolheadright"/>
            </w:pPr>
            <w:r w:rsidRPr="00F72126">
              <w:t>Variation (%)</w:t>
            </w:r>
          </w:p>
        </w:tc>
        <w:tc>
          <w:tcPr>
            <w:tcW w:w="794" w:type="dxa"/>
            <w:tcBorders>
              <w:bottom w:val="single" w:sz="4" w:space="0" w:color="auto"/>
            </w:tcBorders>
            <w:shd w:val="clear" w:color="auto" w:fill="auto"/>
            <w:vAlign w:val="bottom"/>
            <w:hideMark/>
          </w:tcPr>
          <w:p w14:paraId="587DB873" w14:textId="77777777" w:rsidR="00496244" w:rsidRPr="00F72126" w:rsidRDefault="00496244" w:rsidP="00317057">
            <w:pPr>
              <w:pStyle w:val="ARtablecolheadright"/>
            </w:pPr>
            <w:r w:rsidRPr="00F72126">
              <w:t>Result</w:t>
            </w:r>
          </w:p>
        </w:tc>
      </w:tr>
      <w:tr w:rsidR="00496244" w:rsidRPr="00D02A2E" w14:paraId="6DCA8AD4" w14:textId="77777777" w:rsidTr="000F1C6B">
        <w:trPr>
          <w:cantSplit/>
        </w:trPr>
        <w:tc>
          <w:tcPr>
            <w:tcW w:w="9639" w:type="dxa"/>
            <w:gridSpan w:val="6"/>
            <w:tcBorders>
              <w:top w:val="single" w:sz="4" w:space="0" w:color="auto"/>
              <w:bottom w:val="single" w:sz="4" w:space="0" w:color="auto"/>
            </w:tcBorders>
            <w:shd w:val="clear" w:color="auto" w:fill="auto"/>
            <w:hideMark/>
          </w:tcPr>
          <w:p w14:paraId="03584E90" w14:textId="77777777" w:rsidR="00496244" w:rsidRPr="00D02A2E" w:rsidRDefault="00496244" w:rsidP="00317057">
            <w:pPr>
              <w:pStyle w:val="ARtablebluebold"/>
              <w:rPr>
                <w:rFonts w:ascii="Wingdings" w:hAnsi="Wingdings"/>
              </w:rPr>
            </w:pPr>
            <w:r w:rsidRPr="00572290">
              <w:t>Residential Aged Care</w:t>
            </w:r>
          </w:p>
        </w:tc>
      </w:tr>
      <w:tr w:rsidR="00496244" w:rsidRPr="00D02A2E" w14:paraId="5087EC36" w14:textId="77777777" w:rsidTr="000F1C6B">
        <w:trPr>
          <w:cantSplit/>
        </w:trPr>
        <w:tc>
          <w:tcPr>
            <w:tcW w:w="9639" w:type="dxa"/>
            <w:gridSpan w:val="6"/>
            <w:tcBorders>
              <w:top w:val="single" w:sz="4" w:space="0" w:color="auto"/>
            </w:tcBorders>
            <w:shd w:val="clear" w:color="auto" w:fill="auto"/>
            <w:hideMark/>
          </w:tcPr>
          <w:p w14:paraId="0E3CE0C7" w14:textId="77777777" w:rsidR="00496244" w:rsidRPr="00D02A2E" w:rsidRDefault="00496244" w:rsidP="00317057">
            <w:pPr>
              <w:pStyle w:val="ARtablegreybold"/>
              <w:rPr>
                <w:rFonts w:ascii="Wingdings" w:hAnsi="Wingdings"/>
              </w:rPr>
            </w:pPr>
            <w:r w:rsidRPr="007A45E9">
              <w:t>Quantity</w:t>
            </w:r>
          </w:p>
        </w:tc>
      </w:tr>
      <w:tr w:rsidR="00496244" w:rsidRPr="00D02A2E" w14:paraId="0BC1E8F5" w14:textId="77777777" w:rsidTr="000F1C6B">
        <w:trPr>
          <w:cantSplit/>
        </w:trPr>
        <w:tc>
          <w:tcPr>
            <w:tcW w:w="4761" w:type="dxa"/>
            <w:tcBorders>
              <w:bottom w:val="single" w:sz="4" w:space="0" w:color="BFBFBF" w:themeColor="background1" w:themeShade="BF"/>
            </w:tcBorders>
            <w:shd w:val="clear" w:color="auto" w:fill="auto"/>
            <w:hideMark/>
          </w:tcPr>
          <w:p w14:paraId="097DBD1F" w14:textId="77777777" w:rsidR="00496244" w:rsidRPr="00D02A2E" w:rsidRDefault="00496244" w:rsidP="00317057">
            <w:pPr>
              <w:pStyle w:val="ARtabletext"/>
            </w:pPr>
            <w:r w:rsidRPr="00C5726C">
              <w:rPr>
                <w:noProof/>
              </w:rPr>
              <w:t>Available bed days</w:t>
            </w:r>
          </w:p>
        </w:tc>
        <w:tc>
          <w:tcPr>
            <w:tcW w:w="1021" w:type="dxa"/>
            <w:tcBorders>
              <w:bottom w:val="single" w:sz="4" w:space="0" w:color="BFBFBF" w:themeColor="background1" w:themeShade="BF"/>
            </w:tcBorders>
            <w:shd w:val="clear" w:color="auto" w:fill="auto"/>
            <w:hideMark/>
          </w:tcPr>
          <w:p w14:paraId="37CCF826" w14:textId="77777777" w:rsidR="00496244" w:rsidRPr="00D02A2E" w:rsidRDefault="00496244" w:rsidP="00317057">
            <w:pPr>
              <w:pStyle w:val="ARtabletextcentre"/>
            </w:pPr>
            <w:r w:rsidRPr="00C5726C">
              <w:rPr>
                <w:noProof/>
              </w:rPr>
              <w:t>days</w:t>
            </w:r>
          </w:p>
        </w:tc>
        <w:tc>
          <w:tcPr>
            <w:tcW w:w="1021" w:type="dxa"/>
            <w:tcBorders>
              <w:bottom w:val="single" w:sz="4" w:space="0" w:color="BFBFBF" w:themeColor="background1" w:themeShade="BF"/>
            </w:tcBorders>
            <w:shd w:val="clear" w:color="auto" w:fill="auto"/>
            <w:hideMark/>
          </w:tcPr>
          <w:p w14:paraId="4D5891E3" w14:textId="77777777" w:rsidR="00496244" w:rsidRPr="005C232D" w:rsidRDefault="00496244" w:rsidP="00317057">
            <w:pPr>
              <w:pStyle w:val="ARtabletextright"/>
              <w:rPr>
                <w:sz w:val="17"/>
                <w:szCs w:val="17"/>
              </w:rPr>
            </w:pPr>
            <w:r w:rsidRPr="005C232D">
              <w:rPr>
                <w:noProof/>
                <w:sz w:val="17"/>
                <w:szCs w:val="17"/>
              </w:rPr>
              <w:t>1,153,718</w:t>
            </w:r>
          </w:p>
        </w:tc>
        <w:tc>
          <w:tcPr>
            <w:tcW w:w="1021" w:type="dxa"/>
            <w:tcBorders>
              <w:bottom w:val="single" w:sz="4" w:space="0" w:color="BFBFBF" w:themeColor="background1" w:themeShade="BF"/>
            </w:tcBorders>
            <w:shd w:val="clear" w:color="auto" w:fill="auto"/>
            <w:hideMark/>
          </w:tcPr>
          <w:p w14:paraId="59E18143" w14:textId="77777777" w:rsidR="00496244" w:rsidRPr="005C232D" w:rsidRDefault="00496244" w:rsidP="00317057">
            <w:pPr>
              <w:pStyle w:val="ARtabletextright"/>
              <w:rPr>
                <w:sz w:val="17"/>
                <w:szCs w:val="17"/>
              </w:rPr>
            </w:pPr>
            <w:r w:rsidRPr="005C232D">
              <w:rPr>
                <w:noProof/>
                <w:sz w:val="17"/>
                <w:szCs w:val="17"/>
              </w:rPr>
              <w:t>1,134,481</w:t>
            </w:r>
          </w:p>
        </w:tc>
        <w:tc>
          <w:tcPr>
            <w:tcW w:w="1021" w:type="dxa"/>
            <w:tcBorders>
              <w:bottom w:val="single" w:sz="4" w:space="0" w:color="BFBFBF" w:themeColor="background1" w:themeShade="BF"/>
            </w:tcBorders>
            <w:shd w:val="clear" w:color="auto" w:fill="auto"/>
          </w:tcPr>
          <w:p w14:paraId="3B28D257" w14:textId="77777777" w:rsidR="00496244" w:rsidRDefault="00496244" w:rsidP="00317057">
            <w:pPr>
              <w:pStyle w:val="ARtabletextright"/>
            </w:pPr>
            <w:r>
              <w:rPr>
                <w:noProof/>
              </w:rPr>
              <w:t>−</w:t>
            </w:r>
            <w:r w:rsidRPr="00C5726C">
              <w:rPr>
                <w:noProof/>
              </w:rPr>
              <w:t>1.7</w:t>
            </w:r>
          </w:p>
        </w:tc>
        <w:tc>
          <w:tcPr>
            <w:tcW w:w="794" w:type="dxa"/>
            <w:shd w:val="clear" w:color="auto" w:fill="auto"/>
            <w:hideMark/>
          </w:tcPr>
          <w:p w14:paraId="281A15C5" w14:textId="7144848E" w:rsidR="00496244" w:rsidRPr="00D02A2E" w:rsidRDefault="00CF2633" w:rsidP="00A52A4C">
            <w:pPr>
              <w:pStyle w:val="ARtableperformancesymbol"/>
            </w:pPr>
            <w:r w:rsidRPr="00F96CDB">
              <w:rPr>
                <w:noProof/>
              </w:rPr>
              <w:drawing>
                <wp:inline distT="0" distB="0" distL="0" distR="0" wp14:anchorId="5854098A" wp14:editId="2AFEEA92">
                  <wp:extent cx="76320" cy="76320"/>
                  <wp:effectExtent l="0" t="0" r="0" b="0"/>
                  <wp:docPr id="103" name="Graphic 103" descr="Target not achieved – within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Target not achieved – within five per cent varianc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76320" cy="76320"/>
                          </a:xfrm>
                          <a:prstGeom prst="rect">
                            <a:avLst/>
                          </a:prstGeom>
                        </pic:spPr>
                      </pic:pic>
                    </a:graphicData>
                  </a:graphic>
                </wp:inline>
              </w:drawing>
            </w:r>
            <w:r>
              <w:t xml:space="preserve"> </w:t>
            </w:r>
          </w:p>
        </w:tc>
      </w:tr>
      <w:tr w:rsidR="00496244" w:rsidRPr="00D02A2E" w14:paraId="4CF42EC1" w14:textId="77777777" w:rsidTr="000F1C6B">
        <w:trPr>
          <w:cantSplit/>
        </w:trPr>
        <w:tc>
          <w:tcPr>
            <w:tcW w:w="9639" w:type="dxa"/>
            <w:gridSpan w:val="6"/>
            <w:tcBorders>
              <w:top w:val="single" w:sz="4" w:space="0" w:color="auto"/>
            </w:tcBorders>
            <w:shd w:val="clear" w:color="auto" w:fill="auto"/>
            <w:hideMark/>
          </w:tcPr>
          <w:p w14:paraId="2912AFEF" w14:textId="77777777" w:rsidR="00496244" w:rsidRPr="00D02A2E" w:rsidRDefault="00496244" w:rsidP="00317057">
            <w:pPr>
              <w:pStyle w:val="ARtablegreybold"/>
              <w:rPr>
                <w:rFonts w:ascii="Wingdings" w:hAnsi="Wingdings"/>
              </w:rPr>
            </w:pPr>
            <w:r>
              <w:t>Quality</w:t>
            </w:r>
          </w:p>
        </w:tc>
      </w:tr>
      <w:tr w:rsidR="00496244" w:rsidRPr="00D02A2E" w14:paraId="3ED146A7" w14:textId="77777777" w:rsidTr="000F1C6B">
        <w:trPr>
          <w:cantSplit/>
        </w:trPr>
        <w:tc>
          <w:tcPr>
            <w:tcW w:w="4761" w:type="dxa"/>
            <w:shd w:val="clear" w:color="auto" w:fill="auto"/>
            <w:hideMark/>
          </w:tcPr>
          <w:p w14:paraId="4EB26E2A" w14:textId="77777777" w:rsidR="00496244" w:rsidRPr="00D02A2E" w:rsidRDefault="00496244" w:rsidP="00317057">
            <w:pPr>
              <w:pStyle w:val="ARtabletext"/>
              <w:keepNext/>
            </w:pPr>
            <w:r w:rsidRPr="00C5726C">
              <w:rPr>
                <w:noProof/>
              </w:rPr>
              <w:t>Residential care services accredited</w:t>
            </w:r>
          </w:p>
        </w:tc>
        <w:tc>
          <w:tcPr>
            <w:tcW w:w="1021" w:type="dxa"/>
            <w:shd w:val="clear" w:color="auto" w:fill="auto"/>
            <w:hideMark/>
          </w:tcPr>
          <w:p w14:paraId="2E39291C" w14:textId="77777777" w:rsidR="00496244" w:rsidRPr="00D02A2E" w:rsidRDefault="00496244" w:rsidP="00317057">
            <w:pPr>
              <w:pStyle w:val="ARtabletextcentre"/>
            </w:pPr>
            <w:r w:rsidRPr="00C5726C">
              <w:rPr>
                <w:noProof/>
              </w:rPr>
              <w:t>per cent</w:t>
            </w:r>
          </w:p>
        </w:tc>
        <w:tc>
          <w:tcPr>
            <w:tcW w:w="1021" w:type="dxa"/>
            <w:shd w:val="clear" w:color="auto" w:fill="auto"/>
            <w:hideMark/>
          </w:tcPr>
          <w:p w14:paraId="61EAE791" w14:textId="77777777" w:rsidR="00496244" w:rsidRDefault="00496244" w:rsidP="00317057">
            <w:pPr>
              <w:pStyle w:val="ARtabletextright"/>
            </w:pPr>
            <w:r w:rsidRPr="00C5726C">
              <w:rPr>
                <w:noProof/>
              </w:rPr>
              <w:t>100</w:t>
            </w:r>
          </w:p>
        </w:tc>
        <w:tc>
          <w:tcPr>
            <w:tcW w:w="1021" w:type="dxa"/>
            <w:shd w:val="clear" w:color="auto" w:fill="auto"/>
            <w:hideMark/>
          </w:tcPr>
          <w:p w14:paraId="0BC2A20F" w14:textId="77777777" w:rsidR="00496244" w:rsidRDefault="00496244" w:rsidP="00317057">
            <w:pPr>
              <w:pStyle w:val="ARtabletextright"/>
            </w:pPr>
            <w:r w:rsidRPr="00C5726C">
              <w:rPr>
                <w:noProof/>
              </w:rPr>
              <w:t>100</w:t>
            </w:r>
          </w:p>
        </w:tc>
        <w:tc>
          <w:tcPr>
            <w:tcW w:w="1021" w:type="dxa"/>
            <w:shd w:val="clear" w:color="auto" w:fill="auto"/>
          </w:tcPr>
          <w:p w14:paraId="44CFE101" w14:textId="77777777" w:rsidR="00496244" w:rsidRDefault="00496244" w:rsidP="00317057">
            <w:pPr>
              <w:pStyle w:val="ARtabletextright"/>
            </w:pPr>
            <w:r w:rsidRPr="00C5726C">
              <w:rPr>
                <w:noProof/>
              </w:rPr>
              <w:t>0</w:t>
            </w:r>
          </w:p>
        </w:tc>
        <w:tc>
          <w:tcPr>
            <w:tcW w:w="794" w:type="dxa"/>
            <w:shd w:val="clear" w:color="auto" w:fill="auto"/>
            <w:hideMark/>
          </w:tcPr>
          <w:p w14:paraId="75F7CF1B" w14:textId="311BFA0A" w:rsidR="00496244" w:rsidRPr="00D02A2E" w:rsidRDefault="00CF2633" w:rsidP="00A52A4C">
            <w:pPr>
              <w:pStyle w:val="ARtableperformancesymbol"/>
            </w:pPr>
            <w:r>
              <w:rPr>
                <w:noProof/>
              </w:rPr>
              <w:drawing>
                <wp:inline distT="0" distB="0" distL="0" distR="0" wp14:anchorId="34AC0C6A" wp14:editId="47650564">
                  <wp:extent cx="85320" cy="85320"/>
                  <wp:effectExtent l="0" t="0" r="0" b="0"/>
                  <wp:docPr id="132" name="Graphic 132"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496244" w:rsidRPr="00D02A2E" w14:paraId="25F24DF3" w14:textId="77777777" w:rsidTr="000F1C6B">
        <w:trPr>
          <w:cantSplit/>
        </w:trPr>
        <w:tc>
          <w:tcPr>
            <w:tcW w:w="9639" w:type="dxa"/>
            <w:gridSpan w:val="6"/>
            <w:tcBorders>
              <w:top w:val="single" w:sz="4" w:space="0" w:color="auto"/>
            </w:tcBorders>
            <w:shd w:val="clear" w:color="auto" w:fill="auto"/>
            <w:hideMark/>
          </w:tcPr>
          <w:p w14:paraId="7D905AA4" w14:textId="77777777" w:rsidR="00496244" w:rsidRPr="00D02A2E" w:rsidRDefault="00496244" w:rsidP="00317057">
            <w:pPr>
              <w:pStyle w:val="ARtablegreybold"/>
              <w:rPr>
                <w:rFonts w:ascii="Wingdings" w:hAnsi="Wingdings"/>
              </w:rPr>
            </w:pPr>
            <w:r>
              <w:t>Cost</w:t>
            </w:r>
          </w:p>
        </w:tc>
      </w:tr>
      <w:tr w:rsidR="00496244" w:rsidRPr="00D02A2E" w14:paraId="1F518FB6" w14:textId="77777777" w:rsidTr="000F1C6B">
        <w:trPr>
          <w:cantSplit/>
        </w:trPr>
        <w:tc>
          <w:tcPr>
            <w:tcW w:w="4761" w:type="dxa"/>
            <w:shd w:val="clear" w:color="auto" w:fill="auto"/>
            <w:hideMark/>
          </w:tcPr>
          <w:p w14:paraId="5BA52D3B" w14:textId="77777777" w:rsidR="00496244" w:rsidRPr="00A936C1" w:rsidRDefault="00496244" w:rsidP="00317057">
            <w:pPr>
              <w:pStyle w:val="ARtabletext"/>
              <w:rPr>
                <w:b/>
              </w:rPr>
            </w:pPr>
            <w:r w:rsidRPr="00A936C1">
              <w:rPr>
                <w:b/>
              </w:rPr>
              <w:t>Total Output Cost</w:t>
            </w:r>
          </w:p>
        </w:tc>
        <w:tc>
          <w:tcPr>
            <w:tcW w:w="1021" w:type="dxa"/>
            <w:shd w:val="clear" w:color="auto" w:fill="auto"/>
            <w:hideMark/>
          </w:tcPr>
          <w:p w14:paraId="6AC514FC" w14:textId="77777777" w:rsidR="00496244" w:rsidRPr="00A936C1" w:rsidRDefault="00496244" w:rsidP="00317057">
            <w:pPr>
              <w:pStyle w:val="ARtabletextcentre"/>
              <w:rPr>
                <w:b/>
              </w:rPr>
            </w:pPr>
            <w:r w:rsidRPr="00A936C1">
              <w:rPr>
                <w:b/>
              </w:rPr>
              <w:t>$ million</w:t>
            </w:r>
          </w:p>
        </w:tc>
        <w:tc>
          <w:tcPr>
            <w:tcW w:w="1021" w:type="dxa"/>
            <w:shd w:val="clear" w:color="auto" w:fill="auto"/>
            <w:hideMark/>
          </w:tcPr>
          <w:p w14:paraId="25C2FE9C" w14:textId="77777777" w:rsidR="00496244" w:rsidRPr="00A936C1" w:rsidRDefault="00496244" w:rsidP="00317057">
            <w:pPr>
              <w:pStyle w:val="ARtabletextright"/>
              <w:rPr>
                <w:b/>
              </w:rPr>
            </w:pPr>
            <w:r w:rsidRPr="00A936C1">
              <w:rPr>
                <w:b/>
              </w:rPr>
              <w:t>449.6</w:t>
            </w:r>
          </w:p>
        </w:tc>
        <w:tc>
          <w:tcPr>
            <w:tcW w:w="1021" w:type="dxa"/>
            <w:shd w:val="clear" w:color="auto" w:fill="auto"/>
            <w:hideMark/>
          </w:tcPr>
          <w:p w14:paraId="44AE7246" w14:textId="77777777" w:rsidR="00496244" w:rsidRPr="00A936C1" w:rsidRDefault="00496244" w:rsidP="00317057">
            <w:pPr>
              <w:pStyle w:val="ARtabletextright"/>
              <w:rPr>
                <w:b/>
              </w:rPr>
            </w:pPr>
            <w:r w:rsidRPr="00A936C1">
              <w:rPr>
                <w:b/>
              </w:rPr>
              <w:t>405</w:t>
            </w:r>
          </w:p>
        </w:tc>
        <w:tc>
          <w:tcPr>
            <w:tcW w:w="1021" w:type="dxa"/>
            <w:shd w:val="clear" w:color="auto" w:fill="auto"/>
          </w:tcPr>
          <w:p w14:paraId="7362CBD5" w14:textId="77777777" w:rsidR="00496244" w:rsidRPr="00A936C1" w:rsidRDefault="00496244" w:rsidP="00317057">
            <w:pPr>
              <w:pStyle w:val="ARtabletextright"/>
              <w:rPr>
                <w:b/>
              </w:rPr>
            </w:pPr>
            <w:r w:rsidRPr="00A936C1">
              <w:rPr>
                <w:b/>
              </w:rPr>
              <w:t>−9.9</w:t>
            </w:r>
          </w:p>
        </w:tc>
        <w:tc>
          <w:tcPr>
            <w:tcW w:w="794" w:type="dxa"/>
            <w:shd w:val="clear" w:color="auto" w:fill="auto"/>
            <w:hideMark/>
          </w:tcPr>
          <w:p w14:paraId="30329381" w14:textId="77777777" w:rsidR="00496244" w:rsidRPr="00A936C1" w:rsidRDefault="00496244" w:rsidP="00317057">
            <w:pPr>
              <w:pStyle w:val="ARtabletextright"/>
              <w:rPr>
                <w:b/>
              </w:rPr>
            </w:pPr>
          </w:p>
        </w:tc>
      </w:tr>
      <w:tr w:rsidR="00496244" w:rsidRPr="00D02A2E" w14:paraId="67B3E3F2" w14:textId="77777777" w:rsidTr="000F1C6B">
        <w:trPr>
          <w:cantSplit/>
        </w:trPr>
        <w:tc>
          <w:tcPr>
            <w:tcW w:w="9639" w:type="dxa"/>
            <w:gridSpan w:val="6"/>
            <w:tcBorders>
              <w:bottom w:val="single" w:sz="4" w:space="0" w:color="BFBFBF"/>
            </w:tcBorders>
            <w:shd w:val="clear" w:color="auto" w:fill="auto"/>
            <w:noWrap/>
            <w:hideMark/>
          </w:tcPr>
          <w:p w14:paraId="1702F669" w14:textId="3506BFA6" w:rsidR="00496244" w:rsidRPr="00D02A2E" w:rsidRDefault="00496244" w:rsidP="00317057">
            <w:pPr>
              <w:pStyle w:val="ARtablenoteindent"/>
            </w:pPr>
            <w:r w:rsidRPr="00C5726C">
              <w:rPr>
                <w:noProof/>
              </w:rPr>
              <w:t>The 202</w:t>
            </w:r>
            <w:r>
              <w:rPr>
                <w:noProof/>
              </w:rPr>
              <w:t>0–</w:t>
            </w:r>
            <w:r w:rsidRPr="00C5726C">
              <w:rPr>
                <w:noProof/>
              </w:rPr>
              <w:t xml:space="preserve">21 outcome reflects a decrease in hospital own source revenue and funding requested to be carried over into </w:t>
            </w:r>
            <w:r w:rsidR="00A63F8C">
              <w:rPr>
                <w:noProof/>
              </w:rPr>
              <w:br/>
            </w:r>
            <w:r w:rsidRPr="00C5726C">
              <w:rPr>
                <w:noProof/>
              </w:rPr>
              <w:t>202</w:t>
            </w:r>
            <w:r w:rsidR="005C203A">
              <w:rPr>
                <w:noProof/>
              </w:rPr>
              <w:t>1–</w:t>
            </w:r>
            <w:r w:rsidRPr="00C5726C">
              <w:rPr>
                <w:noProof/>
              </w:rPr>
              <w:t>22.</w:t>
            </w:r>
          </w:p>
        </w:tc>
      </w:tr>
      <w:tr w:rsidR="00496244" w:rsidRPr="00D02A2E" w14:paraId="6367A521" w14:textId="77777777" w:rsidTr="000F1C6B">
        <w:trPr>
          <w:cantSplit/>
        </w:trPr>
        <w:tc>
          <w:tcPr>
            <w:tcW w:w="9639" w:type="dxa"/>
            <w:gridSpan w:val="6"/>
            <w:tcBorders>
              <w:top w:val="single" w:sz="4" w:space="0" w:color="auto"/>
              <w:bottom w:val="single" w:sz="4" w:space="0" w:color="auto"/>
            </w:tcBorders>
            <w:shd w:val="clear" w:color="auto" w:fill="auto"/>
            <w:hideMark/>
          </w:tcPr>
          <w:p w14:paraId="7B3CB7E4" w14:textId="77777777" w:rsidR="00496244" w:rsidRPr="00D02A2E" w:rsidRDefault="00496244" w:rsidP="00317057">
            <w:pPr>
              <w:pStyle w:val="ARtablebluebold"/>
              <w:rPr>
                <w:rFonts w:ascii="Wingdings" w:hAnsi="Wingdings"/>
              </w:rPr>
            </w:pPr>
            <w:r w:rsidRPr="00572290">
              <w:t>Aged Care Assessment</w:t>
            </w:r>
          </w:p>
        </w:tc>
      </w:tr>
      <w:tr w:rsidR="00496244" w:rsidRPr="00D02A2E" w14:paraId="4477BA56" w14:textId="77777777" w:rsidTr="000F1C6B">
        <w:trPr>
          <w:cantSplit/>
        </w:trPr>
        <w:tc>
          <w:tcPr>
            <w:tcW w:w="9639" w:type="dxa"/>
            <w:gridSpan w:val="6"/>
            <w:tcBorders>
              <w:top w:val="single" w:sz="4" w:space="0" w:color="auto"/>
            </w:tcBorders>
            <w:shd w:val="clear" w:color="auto" w:fill="auto"/>
            <w:hideMark/>
          </w:tcPr>
          <w:p w14:paraId="1A36D435" w14:textId="77777777" w:rsidR="00496244" w:rsidRPr="00D02A2E" w:rsidRDefault="00496244" w:rsidP="00317057">
            <w:pPr>
              <w:pStyle w:val="ARtablegreybold"/>
              <w:rPr>
                <w:rFonts w:ascii="Wingdings" w:hAnsi="Wingdings"/>
              </w:rPr>
            </w:pPr>
            <w:r w:rsidRPr="007A45E9">
              <w:t>Quantity</w:t>
            </w:r>
          </w:p>
        </w:tc>
      </w:tr>
      <w:tr w:rsidR="00B0569D" w:rsidRPr="00D02A2E" w14:paraId="1CB676AD" w14:textId="77777777" w:rsidTr="000F1C6B">
        <w:trPr>
          <w:cantSplit/>
        </w:trPr>
        <w:tc>
          <w:tcPr>
            <w:tcW w:w="4761" w:type="dxa"/>
            <w:shd w:val="clear" w:color="auto" w:fill="auto"/>
            <w:hideMark/>
          </w:tcPr>
          <w:p w14:paraId="40346137" w14:textId="77777777" w:rsidR="00B0569D" w:rsidRPr="00D02A2E" w:rsidRDefault="00B0569D" w:rsidP="00B0569D">
            <w:pPr>
              <w:pStyle w:val="ARtabletext"/>
            </w:pPr>
            <w:r w:rsidRPr="00C5726C">
              <w:rPr>
                <w:noProof/>
              </w:rPr>
              <w:t>Aged care assessments</w:t>
            </w:r>
          </w:p>
        </w:tc>
        <w:tc>
          <w:tcPr>
            <w:tcW w:w="1021" w:type="dxa"/>
            <w:shd w:val="clear" w:color="auto" w:fill="auto"/>
            <w:hideMark/>
          </w:tcPr>
          <w:p w14:paraId="34824B01" w14:textId="77777777" w:rsidR="00B0569D" w:rsidRPr="00D02A2E" w:rsidRDefault="00B0569D" w:rsidP="00B0569D">
            <w:pPr>
              <w:pStyle w:val="ARtabletextcentre"/>
            </w:pPr>
            <w:r w:rsidRPr="00C5726C">
              <w:rPr>
                <w:noProof/>
              </w:rPr>
              <w:t>number</w:t>
            </w:r>
          </w:p>
        </w:tc>
        <w:tc>
          <w:tcPr>
            <w:tcW w:w="1021" w:type="dxa"/>
            <w:shd w:val="clear" w:color="auto" w:fill="auto"/>
            <w:hideMark/>
          </w:tcPr>
          <w:p w14:paraId="05843EE8" w14:textId="77777777" w:rsidR="00B0569D" w:rsidRDefault="00B0569D" w:rsidP="00B0569D">
            <w:pPr>
              <w:pStyle w:val="ARtabletextright"/>
            </w:pPr>
            <w:r w:rsidRPr="00C5726C">
              <w:rPr>
                <w:noProof/>
              </w:rPr>
              <w:t>59</w:t>
            </w:r>
            <w:r>
              <w:rPr>
                <w:noProof/>
              </w:rPr>
              <w:t>,</w:t>
            </w:r>
            <w:r w:rsidRPr="00C5726C">
              <w:rPr>
                <w:noProof/>
              </w:rPr>
              <w:t>000</w:t>
            </w:r>
          </w:p>
        </w:tc>
        <w:tc>
          <w:tcPr>
            <w:tcW w:w="1021" w:type="dxa"/>
            <w:shd w:val="clear" w:color="auto" w:fill="auto"/>
            <w:hideMark/>
          </w:tcPr>
          <w:p w14:paraId="3D6E0015" w14:textId="77777777" w:rsidR="00B0569D" w:rsidRDefault="00B0569D" w:rsidP="00B0569D">
            <w:pPr>
              <w:pStyle w:val="ARtabletextright"/>
            </w:pPr>
            <w:r w:rsidRPr="00C5726C">
              <w:rPr>
                <w:noProof/>
              </w:rPr>
              <w:t>51</w:t>
            </w:r>
            <w:r>
              <w:rPr>
                <w:noProof/>
              </w:rPr>
              <w:t>,</w:t>
            </w:r>
            <w:r w:rsidRPr="00C5726C">
              <w:rPr>
                <w:noProof/>
              </w:rPr>
              <w:t>636</w:t>
            </w:r>
          </w:p>
        </w:tc>
        <w:tc>
          <w:tcPr>
            <w:tcW w:w="1021" w:type="dxa"/>
            <w:shd w:val="clear" w:color="auto" w:fill="auto"/>
          </w:tcPr>
          <w:p w14:paraId="4005E924" w14:textId="77777777" w:rsidR="00B0569D" w:rsidRDefault="00B0569D" w:rsidP="00B0569D">
            <w:pPr>
              <w:pStyle w:val="ARtabletextright"/>
            </w:pPr>
            <w:r>
              <w:rPr>
                <w:noProof/>
              </w:rPr>
              <w:t>−</w:t>
            </w:r>
            <w:r w:rsidRPr="00C5726C">
              <w:rPr>
                <w:noProof/>
              </w:rPr>
              <w:t>12.5</w:t>
            </w:r>
          </w:p>
        </w:tc>
        <w:tc>
          <w:tcPr>
            <w:tcW w:w="794" w:type="dxa"/>
            <w:shd w:val="clear" w:color="auto" w:fill="auto"/>
            <w:hideMark/>
          </w:tcPr>
          <w:p w14:paraId="3DCDD6CE" w14:textId="77885D38" w:rsidR="00B0569D" w:rsidRPr="00D02A2E" w:rsidRDefault="00B0569D" w:rsidP="00A52A4C">
            <w:pPr>
              <w:pStyle w:val="ARtableperformancesymbol"/>
            </w:pPr>
            <w:r>
              <w:rPr>
                <w:noProof/>
              </w:rPr>
              <w:drawing>
                <wp:inline distT="0" distB="0" distL="0" distR="0" wp14:anchorId="456D19C4" wp14:editId="058247C1">
                  <wp:extent cx="76320" cy="76320"/>
                  <wp:effectExtent l="0" t="0" r="0" b="0"/>
                  <wp:docPr id="75" name="Graphic 75"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B0569D" w:rsidRPr="00D02A2E" w14:paraId="02C873B6" w14:textId="77777777" w:rsidTr="000F1C6B">
        <w:trPr>
          <w:cantSplit/>
        </w:trPr>
        <w:tc>
          <w:tcPr>
            <w:tcW w:w="9639" w:type="dxa"/>
            <w:gridSpan w:val="6"/>
            <w:tcBorders>
              <w:bottom w:val="single" w:sz="4" w:space="0" w:color="BFBFBF"/>
            </w:tcBorders>
            <w:shd w:val="clear" w:color="auto" w:fill="auto"/>
            <w:noWrap/>
            <w:hideMark/>
          </w:tcPr>
          <w:p w14:paraId="1EF39C86" w14:textId="77777777" w:rsidR="00B0569D" w:rsidRPr="00D02A2E" w:rsidRDefault="00B0569D" w:rsidP="00B0569D">
            <w:pPr>
              <w:pStyle w:val="ARtablenoteindent"/>
            </w:pPr>
            <w:r w:rsidRPr="00C5726C">
              <w:rPr>
                <w:noProof/>
              </w:rPr>
              <w:t xml:space="preserve">The 2020–21 outcome for assessment volume was lower than the target. Contributing factors include </w:t>
            </w:r>
            <w:r>
              <w:rPr>
                <w:noProof/>
              </w:rPr>
              <w:t>COVID-19</w:t>
            </w:r>
            <w:r w:rsidRPr="00C5726C">
              <w:rPr>
                <w:noProof/>
              </w:rPr>
              <w:t xml:space="preserve"> and IT issues</w:t>
            </w:r>
            <w:r>
              <w:rPr>
                <w:noProof/>
              </w:rPr>
              <w:t>, as well as</w:t>
            </w:r>
            <w:r w:rsidRPr="00C5726C">
              <w:rPr>
                <w:noProof/>
              </w:rPr>
              <w:t xml:space="preserve"> delayed uptake by clients seeking an assessment as their preference was to wait for a return to face to face assessment.</w:t>
            </w:r>
          </w:p>
        </w:tc>
      </w:tr>
      <w:tr w:rsidR="00B0569D" w:rsidRPr="00D02A2E" w14:paraId="5F2ACCF0" w14:textId="77777777" w:rsidTr="000F1C6B">
        <w:trPr>
          <w:cantSplit/>
        </w:trPr>
        <w:tc>
          <w:tcPr>
            <w:tcW w:w="9639" w:type="dxa"/>
            <w:gridSpan w:val="6"/>
            <w:tcBorders>
              <w:top w:val="single" w:sz="4" w:space="0" w:color="auto"/>
            </w:tcBorders>
            <w:shd w:val="clear" w:color="auto" w:fill="auto"/>
            <w:hideMark/>
          </w:tcPr>
          <w:p w14:paraId="5F0BB4FA" w14:textId="77777777" w:rsidR="00B0569D" w:rsidRPr="00D02A2E" w:rsidRDefault="00B0569D" w:rsidP="00B0569D">
            <w:pPr>
              <w:pStyle w:val="ARtablegreybold"/>
              <w:rPr>
                <w:rFonts w:ascii="Wingdings" w:hAnsi="Wingdings"/>
              </w:rPr>
            </w:pPr>
            <w:r>
              <w:t>Timeliness</w:t>
            </w:r>
          </w:p>
        </w:tc>
      </w:tr>
      <w:tr w:rsidR="00B0569D" w:rsidRPr="00D02A2E" w14:paraId="556A70C6" w14:textId="77777777" w:rsidTr="000F1C6B">
        <w:trPr>
          <w:cantSplit/>
        </w:trPr>
        <w:tc>
          <w:tcPr>
            <w:tcW w:w="4761" w:type="dxa"/>
            <w:shd w:val="clear" w:color="auto" w:fill="auto"/>
            <w:hideMark/>
          </w:tcPr>
          <w:p w14:paraId="0804F62C" w14:textId="77777777" w:rsidR="00B0569D" w:rsidRPr="00D02A2E" w:rsidRDefault="00B0569D" w:rsidP="00B0569D">
            <w:pPr>
              <w:pStyle w:val="ARtabletext"/>
            </w:pPr>
            <w:r w:rsidRPr="00C5726C">
              <w:rPr>
                <w:noProof/>
              </w:rPr>
              <w:t>Average waiting time (calendar days) from referral to assessment</w:t>
            </w:r>
          </w:p>
        </w:tc>
        <w:tc>
          <w:tcPr>
            <w:tcW w:w="1021" w:type="dxa"/>
            <w:shd w:val="clear" w:color="auto" w:fill="auto"/>
            <w:hideMark/>
          </w:tcPr>
          <w:p w14:paraId="4164A770" w14:textId="77777777" w:rsidR="00B0569D" w:rsidRPr="00D02A2E" w:rsidRDefault="00B0569D" w:rsidP="00B0569D">
            <w:pPr>
              <w:pStyle w:val="ARtabletextcentre"/>
            </w:pPr>
            <w:r w:rsidRPr="00C5726C">
              <w:rPr>
                <w:noProof/>
              </w:rPr>
              <w:t>days</w:t>
            </w:r>
          </w:p>
        </w:tc>
        <w:tc>
          <w:tcPr>
            <w:tcW w:w="1021" w:type="dxa"/>
            <w:shd w:val="clear" w:color="auto" w:fill="auto"/>
            <w:hideMark/>
          </w:tcPr>
          <w:p w14:paraId="4D784908" w14:textId="77777777" w:rsidR="00B0569D" w:rsidRDefault="00B0569D" w:rsidP="00B0569D">
            <w:pPr>
              <w:pStyle w:val="ARtabletextright"/>
            </w:pPr>
            <w:r w:rsidRPr="00C5726C">
              <w:rPr>
                <w:noProof/>
              </w:rPr>
              <w:t>16</w:t>
            </w:r>
          </w:p>
        </w:tc>
        <w:tc>
          <w:tcPr>
            <w:tcW w:w="1021" w:type="dxa"/>
            <w:shd w:val="clear" w:color="auto" w:fill="auto"/>
            <w:hideMark/>
          </w:tcPr>
          <w:p w14:paraId="1A968D7A" w14:textId="77777777" w:rsidR="00B0569D" w:rsidRDefault="00B0569D" w:rsidP="00B0569D">
            <w:pPr>
              <w:pStyle w:val="ARtabletextright"/>
            </w:pPr>
            <w:r w:rsidRPr="00C5726C">
              <w:rPr>
                <w:noProof/>
              </w:rPr>
              <w:t>15</w:t>
            </w:r>
          </w:p>
        </w:tc>
        <w:tc>
          <w:tcPr>
            <w:tcW w:w="1021" w:type="dxa"/>
            <w:shd w:val="clear" w:color="auto" w:fill="auto"/>
          </w:tcPr>
          <w:p w14:paraId="1CBE456F" w14:textId="77777777" w:rsidR="00B0569D" w:rsidRDefault="00B0569D" w:rsidP="00B0569D">
            <w:pPr>
              <w:pStyle w:val="ARtabletextright"/>
            </w:pPr>
            <w:r>
              <w:rPr>
                <w:noProof/>
              </w:rPr>
              <w:t>−</w:t>
            </w:r>
            <w:r w:rsidRPr="00C5726C">
              <w:rPr>
                <w:noProof/>
              </w:rPr>
              <w:t>6.</w:t>
            </w:r>
            <w:r>
              <w:rPr>
                <w:noProof/>
              </w:rPr>
              <w:t>3</w:t>
            </w:r>
          </w:p>
        </w:tc>
        <w:tc>
          <w:tcPr>
            <w:tcW w:w="794" w:type="dxa"/>
            <w:shd w:val="clear" w:color="auto" w:fill="auto"/>
            <w:hideMark/>
          </w:tcPr>
          <w:p w14:paraId="4A7A6B12" w14:textId="6C648BF0" w:rsidR="00B0569D" w:rsidRPr="00D02A2E" w:rsidRDefault="00CF2633" w:rsidP="00A52A4C">
            <w:pPr>
              <w:pStyle w:val="ARtableperformancesymbol"/>
            </w:pPr>
            <w:r>
              <w:rPr>
                <w:noProof/>
              </w:rPr>
              <w:drawing>
                <wp:inline distT="0" distB="0" distL="0" distR="0" wp14:anchorId="257C3BC0" wp14:editId="2A0D0E5E">
                  <wp:extent cx="85320" cy="85320"/>
                  <wp:effectExtent l="0" t="0" r="0" b="0"/>
                  <wp:docPr id="133" name="Graphic 133"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B0569D" w:rsidRPr="00D02A2E" w14:paraId="7DD64129" w14:textId="77777777" w:rsidTr="000F1C6B">
        <w:trPr>
          <w:cantSplit/>
        </w:trPr>
        <w:tc>
          <w:tcPr>
            <w:tcW w:w="9639" w:type="dxa"/>
            <w:gridSpan w:val="6"/>
            <w:tcBorders>
              <w:bottom w:val="single" w:sz="4" w:space="0" w:color="BFBFBF"/>
            </w:tcBorders>
            <w:shd w:val="clear" w:color="auto" w:fill="auto"/>
            <w:noWrap/>
            <w:hideMark/>
          </w:tcPr>
          <w:p w14:paraId="6F753099" w14:textId="77777777" w:rsidR="00B0569D" w:rsidRPr="00D02A2E" w:rsidRDefault="00B0569D" w:rsidP="00B0569D">
            <w:pPr>
              <w:pStyle w:val="ARtablenoteindent"/>
            </w:pPr>
            <w:r w:rsidRPr="00C5726C">
              <w:rPr>
                <w:noProof/>
              </w:rPr>
              <w:t>The result was higher than the target and is a positive result.</w:t>
            </w:r>
          </w:p>
        </w:tc>
      </w:tr>
      <w:tr w:rsidR="00B0569D" w:rsidRPr="00D02A2E" w14:paraId="19544A39" w14:textId="77777777" w:rsidTr="000F1C6B">
        <w:trPr>
          <w:cantSplit/>
        </w:trPr>
        <w:tc>
          <w:tcPr>
            <w:tcW w:w="4761" w:type="dxa"/>
            <w:shd w:val="clear" w:color="auto" w:fill="auto"/>
            <w:hideMark/>
          </w:tcPr>
          <w:p w14:paraId="1F8EAB2C" w14:textId="77777777" w:rsidR="00B0569D" w:rsidRPr="00D02A2E" w:rsidRDefault="00B0569D" w:rsidP="00B0569D">
            <w:pPr>
              <w:pStyle w:val="ARtabletext"/>
            </w:pPr>
            <w:r w:rsidRPr="00C5726C">
              <w:rPr>
                <w:noProof/>
              </w:rPr>
              <w:t>Percentage of high priority clients assessed within the appropriate time in all settings</w:t>
            </w:r>
          </w:p>
        </w:tc>
        <w:tc>
          <w:tcPr>
            <w:tcW w:w="1021" w:type="dxa"/>
            <w:shd w:val="clear" w:color="auto" w:fill="auto"/>
            <w:hideMark/>
          </w:tcPr>
          <w:p w14:paraId="3F497267" w14:textId="77777777" w:rsidR="00B0569D" w:rsidRPr="00D02A2E" w:rsidRDefault="00B0569D" w:rsidP="00B0569D">
            <w:pPr>
              <w:pStyle w:val="ARtabletextcentre"/>
            </w:pPr>
            <w:r w:rsidRPr="00C5726C">
              <w:rPr>
                <w:noProof/>
              </w:rPr>
              <w:t>per cent</w:t>
            </w:r>
          </w:p>
        </w:tc>
        <w:tc>
          <w:tcPr>
            <w:tcW w:w="1021" w:type="dxa"/>
            <w:shd w:val="clear" w:color="auto" w:fill="auto"/>
            <w:hideMark/>
          </w:tcPr>
          <w:p w14:paraId="7FB6B4D4" w14:textId="77777777" w:rsidR="00B0569D" w:rsidRDefault="00B0569D" w:rsidP="00B0569D">
            <w:pPr>
              <w:pStyle w:val="ARtabletextright"/>
            </w:pPr>
            <w:r w:rsidRPr="00C5726C">
              <w:rPr>
                <w:noProof/>
              </w:rPr>
              <w:t>90</w:t>
            </w:r>
          </w:p>
        </w:tc>
        <w:tc>
          <w:tcPr>
            <w:tcW w:w="1021" w:type="dxa"/>
            <w:shd w:val="clear" w:color="auto" w:fill="auto"/>
            <w:hideMark/>
          </w:tcPr>
          <w:p w14:paraId="1F4419EF" w14:textId="77777777" w:rsidR="00B0569D" w:rsidRDefault="00B0569D" w:rsidP="00B0569D">
            <w:pPr>
              <w:pStyle w:val="ARtabletextright"/>
            </w:pPr>
            <w:r w:rsidRPr="00C5726C">
              <w:rPr>
                <w:noProof/>
              </w:rPr>
              <w:t>100</w:t>
            </w:r>
          </w:p>
        </w:tc>
        <w:tc>
          <w:tcPr>
            <w:tcW w:w="1021" w:type="dxa"/>
            <w:shd w:val="clear" w:color="auto" w:fill="auto"/>
          </w:tcPr>
          <w:p w14:paraId="12A3B57A" w14:textId="77777777" w:rsidR="00B0569D" w:rsidRDefault="00B0569D" w:rsidP="00B0569D">
            <w:pPr>
              <w:pStyle w:val="ARtabletextright"/>
            </w:pPr>
            <w:r w:rsidRPr="00C5726C">
              <w:rPr>
                <w:noProof/>
              </w:rPr>
              <w:t>11.1</w:t>
            </w:r>
          </w:p>
        </w:tc>
        <w:tc>
          <w:tcPr>
            <w:tcW w:w="794" w:type="dxa"/>
            <w:shd w:val="clear" w:color="auto" w:fill="auto"/>
            <w:hideMark/>
          </w:tcPr>
          <w:p w14:paraId="2D75C005" w14:textId="25E590D4" w:rsidR="00B0569D" w:rsidRPr="00D02A2E" w:rsidRDefault="00CF2633" w:rsidP="00A52A4C">
            <w:pPr>
              <w:pStyle w:val="ARtableperformancesymbol"/>
            </w:pPr>
            <w:r>
              <w:rPr>
                <w:noProof/>
              </w:rPr>
              <w:drawing>
                <wp:inline distT="0" distB="0" distL="0" distR="0" wp14:anchorId="5A28E487" wp14:editId="6DD3F205">
                  <wp:extent cx="85320" cy="85320"/>
                  <wp:effectExtent l="0" t="0" r="0" b="0"/>
                  <wp:docPr id="134" name="Graphic 134"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B0569D" w:rsidRPr="00D02A2E" w14:paraId="6EEEC44D" w14:textId="77777777" w:rsidTr="000F1C6B">
        <w:trPr>
          <w:cantSplit/>
        </w:trPr>
        <w:tc>
          <w:tcPr>
            <w:tcW w:w="9639" w:type="dxa"/>
            <w:gridSpan w:val="6"/>
            <w:tcBorders>
              <w:bottom w:val="single" w:sz="4" w:space="0" w:color="BFBFBF"/>
            </w:tcBorders>
            <w:shd w:val="clear" w:color="auto" w:fill="auto"/>
            <w:noWrap/>
            <w:hideMark/>
          </w:tcPr>
          <w:p w14:paraId="51B02E58" w14:textId="77777777" w:rsidR="00B0569D" w:rsidRPr="00D02A2E" w:rsidRDefault="00B0569D" w:rsidP="00B0569D">
            <w:pPr>
              <w:pStyle w:val="ARtablenoteindent"/>
            </w:pPr>
            <w:r w:rsidRPr="00C5726C">
              <w:rPr>
                <w:noProof/>
              </w:rPr>
              <w:t>The result was higher than the target and is a positive result.</w:t>
            </w:r>
          </w:p>
        </w:tc>
      </w:tr>
      <w:tr w:rsidR="00B0569D" w:rsidRPr="00D02A2E" w14:paraId="57AFD796" w14:textId="77777777" w:rsidTr="000F1C6B">
        <w:trPr>
          <w:cantSplit/>
        </w:trPr>
        <w:tc>
          <w:tcPr>
            <w:tcW w:w="4761" w:type="dxa"/>
            <w:shd w:val="clear" w:color="auto" w:fill="auto"/>
            <w:hideMark/>
          </w:tcPr>
          <w:p w14:paraId="58EDB21C" w14:textId="77777777" w:rsidR="00B0569D" w:rsidRPr="00D02A2E" w:rsidRDefault="00B0569D" w:rsidP="00B0569D">
            <w:pPr>
              <w:pStyle w:val="ARtabletext"/>
            </w:pPr>
            <w:r w:rsidRPr="00C5726C">
              <w:rPr>
                <w:noProof/>
              </w:rPr>
              <w:t>Percentage of low priority clients assessed within the appropriate time in all settings</w:t>
            </w:r>
          </w:p>
        </w:tc>
        <w:tc>
          <w:tcPr>
            <w:tcW w:w="1021" w:type="dxa"/>
            <w:shd w:val="clear" w:color="auto" w:fill="auto"/>
            <w:hideMark/>
          </w:tcPr>
          <w:p w14:paraId="31D6CAFE" w14:textId="77777777" w:rsidR="00B0569D" w:rsidRPr="00D02A2E" w:rsidRDefault="00B0569D" w:rsidP="00B0569D">
            <w:pPr>
              <w:pStyle w:val="ARtabletextcentre"/>
            </w:pPr>
            <w:r w:rsidRPr="00C5726C">
              <w:rPr>
                <w:noProof/>
              </w:rPr>
              <w:t>per cent</w:t>
            </w:r>
          </w:p>
        </w:tc>
        <w:tc>
          <w:tcPr>
            <w:tcW w:w="1021" w:type="dxa"/>
            <w:shd w:val="clear" w:color="auto" w:fill="auto"/>
            <w:hideMark/>
          </w:tcPr>
          <w:p w14:paraId="18363E8E" w14:textId="77777777" w:rsidR="00B0569D" w:rsidRDefault="00B0569D" w:rsidP="00B0569D">
            <w:pPr>
              <w:pStyle w:val="ARtabletextright"/>
            </w:pPr>
            <w:r w:rsidRPr="00C5726C">
              <w:rPr>
                <w:noProof/>
              </w:rPr>
              <w:t>90</w:t>
            </w:r>
          </w:p>
        </w:tc>
        <w:tc>
          <w:tcPr>
            <w:tcW w:w="1021" w:type="dxa"/>
            <w:shd w:val="clear" w:color="auto" w:fill="auto"/>
            <w:hideMark/>
          </w:tcPr>
          <w:p w14:paraId="740A7D9D" w14:textId="77777777" w:rsidR="00B0569D" w:rsidRDefault="00B0569D" w:rsidP="00B0569D">
            <w:pPr>
              <w:pStyle w:val="ARtabletextright"/>
            </w:pPr>
            <w:r w:rsidRPr="00C5726C">
              <w:rPr>
                <w:noProof/>
              </w:rPr>
              <w:t>84.7</w:t>
            </w:r>
          </w:p>
        </w:tc>
        <w:tc>
          <w:tcPr>
            <w:tcW w:w="1021" w:type="dxa"/>
            <w:shd w:val="clear" w:color="auto" w:fill="auto"/>
          </w:tcPr>
          <w:p w14:paraId="5181DA6F" w14:textId="77777777" w:rsidR="00B0569D" w:rsidRDefault="00B0569D" w:rsidP="00B0569D">
            <w:pPr>
              <w:pStyle w:val="ARtabletextright"/>
            </w:pPr>
            <w:r>
              <w:rPr>
                <w:noProof/>
              </w:rPr>
              <w:t>−</w:t>
            </w:r>
            <w:r w:rsidRPr="00C5726C">
              <w:rPr>
                <w:noProof/>
              </w:rPr>
              <w:t>5.9</w:t>
            </w:r>
          </w:p>
        </w:tc>
        <w:tc>
          <w:tcPr>
            <w:tcW w:w="794" w:type="dxa"/>
            <w:shd w:val="clear" w:color="auto" w:fill="auto"/>
            <w:hideMark/>
          </w:tcPr>
          <w:p w14:paraId="7DA5AB76" w14:textId="0529E60E" w:rsidR="00B0569D" w:rsidRPr="00D02A2E" w:rsidRDefault="00B0569D" w:rsidP="00A52A4C">
            <w:pPr>
              <w:pStyle w:val="ARtableperformancesymbol"/>
            </w:pPr>
            <w:r>
              <w:rPr>
                <w:noProof/>
              </w:rPr>
              <w:drawing>
                <wp:inline distT="0" distB="0" distL="0" distR="0" wp14:anchorId="336B4F49" wp14:editId="36CD7B73">
                  <wp:extent cx="76320" cy="76320"/>
                  <wp:effectExtent l="0" t="0" r="0" b="0"/>
                  <wp:docPr id="76" name="Graphic 76"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B0569D" w:rsidRPr="00D02A2E" w14:paraId="4862EADD" w14:textId="77777777" w:rsidTr="000F1C6B">
        <w:trPr>
          <w:cantSplit/>
        </w:trPr>
        <w:tc>
          <w:tcPr>
            <w:tcW w:w="9639" w:type="dxa"/>
            <w:gridSpan w:val="6"/>
            <w:tcBorders>
              <w:bottom w:val="single" w:sz="4" w:space="0" w:color="BFBFBF"/>
            </w:tcBorders>
            <w:shd w:val="clear" w:color="auto" w:fill="auto"/>
            <w:noWrap/>
            <w:hideMark/>
          </w:tcPr>
          <w:p w14:paraId="0FEE69F1" w14:textId="77777777" w:rsidR="00B0569D" w:rsidRPr="00D02A2E" w:rsidRDefault="00B0569D" w:rsidP="00B0569D">
            <w:pPr>
              <w:pStyle w:val="ARtablenoteindent"/>
            </w:pPr>
            <w:r w:rsidRPr="00C5726C">
              <w:rPr>
                <w:noProof/>
              </w:rPr>
              <w:t xml:space="preserve">The 2020–21 outcome for assessment of low priority clients was lower than the target. Contributing factors include </w:t>
            </w:r>
            <w:r>
              <w:rPr>
                <w:noProof/>
              </w:rPr>
              <w:t>COVID-19</w:t>
            </w:r>
            <w:r w:rsidRPr="00C5726C">
              <w:rPr>
                <w:noProof/>
              </w:rPr>
              <w:t>, workforce fatigue and IT issues.</w:t>
            </w:r>
            <w:r>
              <w:rPr>
                <w:noProof/>
              </w:rPr>
              <w:t xml:space="preserve"> </w:t>
            </w:r>
            <w:r w:rsidRPr="00C5726C">
              <w:rPr>
                <w:noProof/>
              </w:rPr>
              <w:t>There was increased demand for both assessments and support plan reviews (SPR) during periods of lifted restrictions with delayed uptake by clients seeking an assessment as their preference was to wait for a return to face to face assessment.</w:t>
            </w:r>
            <w:r>
              <w:rPr>
                <w:noProof/>
              </w:rPr>
              <w:t xml:space="preserve"> In addition,</w:t>
            </w:r>
            <w:r w:rsidRPr="00C5726C">
              <w:rPr>
                <w:noProof/>
              </w:rPr>
              <w:t xml:space="preserve"> there has been increased complexity of assessments and SPR, most likely as a response to delayed assessment and care for clients during COVID-19.</w:t>
            </w:r>
          </w:p>
        </w:tc>
      </w:tr>
      <w:tr w:rsidR="00B0569D" w:rsidRPr="00D02A2E" w14:paraId="465ADF70" w14:textId="77777777" w:rsidTr="000F1C6B">
        <w:trPr>
          <w:cantSplit/>
        </w:trPr>
        <w:tc>
          <w:tcPr>
            <w:tcW w:w="4761" w:type="dxa"/>
            <w:shd w:val="clear" w:color="auto" w:fill="auto"/>
            <w:hideMark/>
          </w:tcPr>
          <w:p w14:paraId="15D8EF7D" w14:textId="77777777" w:rsidR="00B0569D" w:rsidRPr="00D02A2E" w:rsidRDefault="00B0569D" w:rsidP="00B0569D">
            <w:pPr>
              <w:pStyle w:val="ARtabletext"/>
            </w:pPr>
            <w:r w:rsidRPr="00C5726C">
              <w:rPr>
                <w:noProof/>
              </w:rPr>
              <w:t>Percentage of medium priority clients assessed within the appropriate time in all settings</w:t>
            </w:r>
          </w:p>
        </w:tc>
        <w:tc>
          <w:tcPr>
            <w:tcW w:w="1021" w:type="dxa"/>
            <w:shd w:val="clear" w:color="auto" w:fill="auto"/>
            <w:hideMark/>
          </w:tcPr>
          <w:p w14:paraId="3E6841A9" w14:textId="77777777" w:rsidR="00B0569D" w:rsidRPr="00D02A2E" w:rsidRDefault="00B0569D" w:rsidP="00B0569D">
            <w:pPr>
              <w:pStyle w:val="ARtabletextcentre"/>
            </w:pPr>
            <w:r w:rsidRPr="00C5726C">
              <w:rPr>
                <w:noProof/>
              </w:rPr>
              <w:t>per cent</w:t>
            </w:r>
          </w:p>
        </w:tc>
        <w:tc>
          <w:tcPr>
            <w:tcW w:w="1021" w:type="dxa"/>
            <w:shd w:val="clear" w:color="auto" w:fill="auto"/>
            <w:hideMark/>
          </w:tcPr>
          <w:p w14:paraId="40ABD386" w14:textId="77777777" w:rsidR="00B0569D" w:rsidRDefault="00B0569D" w:rsidP="00B0569D">
            <w:pPr>
              <w:pStyle w:val="ARtabletextright"/>
            </w:pPr>
            <w:r w:rsidRPr="00C5726C">
              <w:rPr>
                <w:noProof/>
              </w:rPr>
              <w:t>90</w:t>
            </w:r>
          </w:p>
        </w:tc>
        <w:tc>
          <w:tcPr>
            <w:tcW w:w="1021" w:type="dxa"/>
            <w:shd w:val="clear" w:color="auto" w:fill="auto"/>
            <w:hideMark/>
          </w:tcPr>
          <w:p w14:paraId="1ADEA16F" w14:textId="77777777" w:rsidR="00B0569D" w:rsidRDefault="00B0569D" w:rsidP="00B0569D">
            <w:pPr>
              <w:pStyle w:val="ARtabletextright"/>
            </w:pPr>
            <w:r w:rsidRPr="00C5726C">
              <w:rPr>
                <w:noProof/>
              </w:rPr>
              <w:t>98.</w:t>
            </w:r>
            <w:r>
              <w:rPr>
                <w:noProof/>
              </w:rPr>
              <w:t>3</w:t>
            </w:r>
          </w:p>
        </w:tc>
        <w:tc>
          <w:tcPr>
            <w:tcW w:w="1021" w:type="dxa"/>
            <w:shd w:val="clear" w:color="auto" w:fill="auto"/>
          </w:tcPr>
          <w:p w14:paraId="69E3EC6C" w14:textId="77777777" w:rsidR="00B0569D" w:rsidRDefault="00B0569D" w:rsidP="00B0569D">
            <w:pPr>
              <w:pStyle w:val="ARtabletextright"/>
            </w:pPr>
            <w:r>
              <w:rPr>
                <w:noProof/>
              </w:rPr>
              <w:t>9.</w:t>
            </w:r>
            <w:r w:rsidRPr="00C5726C">
              <w:rPr>
                <w:noProof/>
              </w:rPr>
              <w:t>2</w:t>
            </w:r>
          </w:p>
        </w:tc>
        <w:tc>
          <w:tcPr>
            <w:tcW w:w="794" w:type="dxa"/>
            <w:shd w:val="clear" w:color="auto" w:fill="auto"/>
            <w:hideMark/>
          </w:tcPr>
          <w:p w14:paraId="67F1E7EA" w14:textId="62F544B9" w:rsidR="00B0569D" w:rsidRPr="00D02A2E" w:rsidRDefault="00CF2633" w:rsidP="00A52A4C">
            <w:pPr>
              <w:pStyle w:val="ARtableperformancesymbol"/>
            </w:pPr>
            <w:r>
              <w:rPr>
                <w:noProof/>
              </w:rPr>
              <w:drawing>
                <wp:inline distT="0" distB="0" distL="0" distR="0" wp14:anchorId="53564970" wp14:editId="304C25CE">
                  <wp:extent cx="85320" cy="85320"/>
                  <wp:effectExtent l="0" t="0" r="0" b="0"/>
                  <wp:docPr id="135" name="Graphic 135"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B0569D" w:rsidRPr="00D02A2E" w14:paraId="10239B43" w14:textId="77777777" w:rsidTr="000F1C6B">
        <w:trPr>
          <w:cantSplit/>
        </w:trPr>
        <w:tc>
          <w:tcPr>
            <w:tcW w:w="9639" w:type="dxa"/>
            <w:gridSpan w:val="6"/>
            <w:tcBorders>
              <w:bottom w:val="single" w:sz="4" w:space="0" w:color="BFBFBF"/>
            </w:tcBorders>
            <w:shd w:val="clear" w:color="auto" w:fill="auto"/>
            <w:noWrap/>
            <w:hideMark/>
          </w:tcPr>
          <w:p w14:paraId="273AA6F4" w14:textId="77777777" w:rsidR="00B0569D" w:rsidRPr="00D02A2E" w:rsidRDefault="00B0569D" w:rsidP="00B0569D">
            <w:pPr>
              <w:pStyle w:val="ARtablenoteindent"/>
            </w:pPr>
            <w:r w:rsidRPr="00C5726C">
              <w:rPr>
                <w:noProof/>
              </w:rPr>
              <w:t>The result was higher than the target and is a positive result.</w:t>
            </w:r>
          </w:p>
        </w:tc>
      </w:tr>
      <w:tr w:rsidR="00B0569D" w:rsidRPr="00D02A2E" w14:paraId="6C92E316" w14:textId="77777777" w:rsidTr="000F1C6B">
        <w:trPr>
          <w:cantSplit/>
        </w:trPr>
        <w:tc>
          <w:tcPr>
            <w:tcW w:w="9639" w:type="dxa"/>
            <w:gridSpan w:val="6"/>
            <w:tcBorders>
              <w:top w:val="single" w:sz="4" w:space="0" w:color="auto"/>
            </w:tcBorders>
            <w:shd w:val="clear" w:color="auto" w:fill="auto"/>
            <w:hideMark/>
          </w:tcPr>
          <w:p w14:paraId="41080ACB" w14:textId="77777777" w:rsidR="00B0569D" w:rsidRPr="00D02A2E" w:rsidRDefault="00B0569D" w:rsidP="00B0569D">
            <w:pPr>
              <w:pStyle w:val="ARtablegreybold"/>
              <w:rPr>
                <w:rFonts w:ascii="Wingdings" w:hAnsi="Wingdings"/>
              </w:rPr>
            </w:pPr>
            <w:r>
              <w:t>Cost</w:t>
            </w:r>
          </w:p>
        </w:tc>
      </w:tr>
      <w:tr w:rsidR="00B0569D" w:rsidRPr="00D02A2E" w14:paraId="61947523" w14:textId="77777777" w:rsidTr="00F46D9F">
        <w:trPr>
          <w:cantSplit/>
        </w:trPr>
        <w:tc>
          <w:tcPr>
            <w:tcW w:w="4761" w:type="dxa"/>
            <w:shd w:val="clear" w:color="auto" w:fill="auto"/>
            <w:hideMark/>
          </w:tcPr>
          <w:p w14:paraId="5A1EBEEC" w14:textId="77777777" w:rsidR="00B0569D" w:rsidRPr="00A95DC7" w:rsidRDefault="00B0569D" w:rsidP="00B0569D">
            <w:pPr>
              <w:pStyle w:val="ARtabletext"/>
              <w:rPr>
                <w:b/>
                <w:bCs/>
              </w:rPr>
            </w:pPr>
            <w:r w:rsidRPr="00A95DC7">
              <w:rPr>
                <w:b/>
                <w:bCs/>
                <w:noProof/>
              </w:rPr>
              <w:t>Total Output Cost</w:t>
            </w:r>
          </w:p>
        </w:tc>
        <w:tc>
          <w:tcPr>
            <w:tcW w:w="1021" w:type="dxa"/>
            <w:shd w:val="clear" w:color="auto" w:fill="auto"/>
            <w:hideMark/>
          </w:tcPr>
          <w:p w14:paraId="688F4E5B" w14:textId="77777777" w:rsidR="00B0569D" w:rsidRPr="00A95DC7" w:rsidRDefault="00B0569D" w:rsidP="00B0569D">
            <w:pPr>
              <w:pStyle w:val="ARtabletextcentre"/>
            </w:pPr>
            <w:r w:rsidRPr="00A95DC7">
              <w:rPr>
                <w:b/>
                <w:bCs/>
                <w:noProof/>
              </w:rPr>
              <w:t>$ million</w:t>
            </w:r>
          </w:p>
        </w:tc>
        <w:tc>
          <w:tcPr>
            <w:tcW w:w="1021" w:type="dxa"/>
            <w:shd w:val="clear" w:color="auto" w:fill="auto"/>
            <w:hideMark/>
          </w:tcPr>
          <w:p w14:paraId="5CBDE51B" w14:textId="77777777" w:rsidR="00B0569D" w:rsidRPr="00A95DC7" w:rsidRDefault="00B0569D" w:rsidP="00B0569D">
            <w:pPr>
              <w:pStyle w:val="ARtabletextright"/>
              <w:rPr>
                <w:b/>
                <w:bCs/>
              </w:rPr>
            </w:pPr>
            <w:r w:rsidRPr="00A95DC7">
              <w:rPr>
                <w:b/>
                <w:bCs/>
                <w:noProof/>
              </w:rPr>
              <w:t>66</w:t>
            </w:r>
          </w:p>
        </w:tc>
        <w:tc>
          <w:tcPr>
            <w:tcW w:w="1021" w:type="dxa"/>
            <w:shd w:val="clear" w:color="auto" w:fill="auto"/>
            <w:hideMark/>
          </w:tcPr>
          <w:p w14:paraId="7C0B13CC" w14:textId="77777777" w:rsidR="00B0569D" w:rsidRPr="00A95DC7" w:rsidRDefault="00B0569D" w:rsidP="00B0569D">
            <w:pPr>
              <w:pStyle w:val="ARtabletextright"/>
              <w:rPr>
                <w:b/>
                <w:bCs/>
              </w:rPr>
            </w:pPr>
            <w:r w:rsidRPr="00A95DC7">
              <w:rPr>
                <w:b/>
                <w:bCs/>
                <w:noProof/>
              </w:rPr>
              <w:t>64.</w:t>
            </w:r>
            <w:r>
              <w:rPr>
                <w:b/>
                <w:bCs/>
                <w:noProof/>
              </w:rPr>
              <w:t>3</w:t>
            </w:r>
          </w:p>
        </w:tc>
        <w:tc>
          <w:tcPr>
            <w:tcW w:w="1021" w:type="dxa"/>
            <w:shd w:val="clear" w:color="auto" w:fill="auto"/>
          </w:tcPr>
          <w:p w14:paraId="500374E4" w14:textId="77777777" w:rsidR="00B0569D" w:rsidRPr="00A95DC7" w:rsidRDefault="00B0569D" w:rsidP="00B0569D">
            <w:pPr>
              <w:pStyle w:val="ARtabletextright"/>
              <w:rPr>
                <w:b/>
                <w:bCs/>
              </w:rPr>
            </w:pPr>
            <w:r>
              <w:rPr>
                <w:b/>
                <w:bCs/>
                <w:noProof/>
              </w:rPr>
              <w:t>−</w:t>
            </w:r>
            <w:r w:rsidRPr="00A95DC7">
              <w:rPr>
                <w:b/>
                <w:bCs/>
                <w:noProof/>
              </w:rPr>
              <w:t>2.5</w:t>
            </w:r>
          </w:p>
        </w:tc>
        <w:tc>
          <w:tcPr>
            <w:tcW w:w="794" w:type="dxa"/>
            <w:shd w:val="clear" w:color="auto" w:fill="auto"/>
            <w:hideMark/>
          </w:tcPr>
          <w:p w14:paraId="2FA82B5E" w14:textId="77777777" w:rsidR="00B0569D" w:rsidRPr="00D02A2E" w:rsidRDefault="00B0569D" w:rsidP="00B0569D">
            <w:pPr>
              <w:pStyle w:val="ARtabletextright"/>
            </w:pPr>
          </w:p>
        </w:tc>
      </w:tr>
      <w:tr w:rsidR="00B0569D" w:rsidRPr="00D02A2E" w14:paraId="23E7E63E" w14:textId="77777777" w:rsidTr="00F46D9F">
        <w:trPr>
          <w:cantSplit/>
        </w:trPr>
        <w:tc>
          <w:tcPr>
            <w:tcW w:w="9639" w:type="dxa"/>
            <w:gridSpan w:val="6"/>
            <w:tcBorders>
              <w:bottom w:val="single" w:sz="4" w:space="0" w:color="auto"/>
            </w:tcBorders>
            <w:shd w:val="clear" w:color="auto" w:fill="auto"/>
            <w:noWrap/>
            <w:hideMark/>
          </w:tcPr>
          <w:p w14:paraId="175E9E34" w14:textId="77777777" w:rsidR="00B0569D" w:rsidRPr="00D02A2E" w:rsidRDefault="00B0569D" w:rsidP="00B0569D">
            <w:pPr>
              <w:pStyle w:val="ARtablenoteindent"/>
            </w:pPr>
            <w:r w:rsidRPr="00C5726C">
              <w:rPr>
                <w:noProof/>
              </w:rPr>
              <w:t>The 202</w:t>
            </w:r>
            <w:r>
              <w:rPr>
                <w:noProof/>
              </w:rPr>
              <w:t>0–</w:t>
            </w:r>
            <w:r w:rsidRPr="00C5726C">
              <w:rPr>
                <w:noProof/>
              </w:rPr>
              <w:t>21 outcome primarily reflects funding requested to be carried over into 202</w:t>
            </w:r>
            <w:r>
              <w:rPr>
                <w:noProof/>
              </w:rPr>
              <w:t>1–</w:t>
            </w:r>
            <w:r w:rsidRPr="00C5726C">
              <w:rPr>
                <w:noProof/>
              </w:rPr>
              <w:t xml:space="preserve">22 for Commonwealth </w:t>
            </w:r>
            <w:r>
              <w:rPr>
                <w:noProof/>
              </w:rPr>
              <w:t>p</w:t>
            </w:r>
            <w:r w:rsidRPr="00C5726C">
              <w:rPr>
                <w:noProof/>
              </w:rPr>
              <w:t>rograms</w:t>
            </w:r>
            <w:r>
              <w:rPr>
                <w:noProof/>
              </w:rPr>
              <w:t>.</w:t>
            </w:r>
          </w:p>
        </w:tc>
      </w:tr>
      <w:tr w:rsidR="00B0569D" w:rsidRPr="00D02A2E" w14:paraId="378297F2" w14:textId="77777777" w:rsidTr="00F46D9F">
        <w:trPr>
          <w:cantSplit/>
        </w:trPr>
        <w:tc>
          <w:tcPr>
            <w:tcW w:w="9639" w:type="dxa"/>
            <w:gridSpan w:val="6"/>
            <w:tcBorders>
              <w:top w:val="single" w:sz="4" w:space="0" w:color="auto"/>
              <w:bottom w:val="single" w:sz="4" w:space="0" w:color="auto"/>
            </w:tcBorders>
            <w:shd w:val="clear" w:color="auto" w:fill="auto"/>
            <w:hideMark/>
          </w:tcPr>
          <w:p w14:paraId="12789897" w14:textId="77777777" w:rsidR="00B0569D" w:rsidRPr="00D02A2E" w:rsidRDefault="00B0569D" w:rsidP="00F46D9F">
            <w:pPr>
              <w:pStyle w:val="ARtablebluebold"/>
              <w:pageBreakBefore/>
              <w:rPr>
                <w:rFonts w:ascii="Wingdings" w:hAnsi="Wingdings"/>
              </w:rPr>
            </w:pPr>
            <w:r w:rsidRPr="00572290">
              <w:lastRenderedPageBreak/>
              <w:t>Aged Support Services</w:t>
            </w:r>
          </w:p>
        </w:tc>
      </w:tr>
      <w:tr w:rsidR="00B0569D" w:rsidRPr="00D02A2E" w14:paraId="6DFC99AA" w14:textId="77777777" w:rsidTr="000F1C6B">
        <w:trPr>
          <w:cantSplit/>
        </w:trPr>
        <w:tc>
          <w:tcPr>
            <w:tcW w:w="9639" w:type="dxa"/>
            <w:gridSpan w:val="6"/>
            <w:tcBorders>
              <w:top w:val="single" w:sz="4" w:space="0" w:color="auto"/>
            </w:tcBorders>
            <w:shd w:val="clear" w:color="auto" w:fill="auto"/>
            <w:hideMark/>
          </w:tcPr>
          <w:p w14:paraId="280BF682" w14:textId="77777777" w:rsidR="00B0569D" w:rsidRPr="00D02A2E" w:rsidRDefault="00B0569D" w:rsidP="00B0569D">
            <w:pPr>
              <w:pStyle w:val="ARtablegreybold"/>
              <w:rPr>
                <w:rFonts w:ascii="Wingdings" w:hAnsi="Wingdings"/>
              </w:rPr>
            </w:pPr>
            <w:r w:rsidRPr="007A45E9">
              <w:t>Quantity</w:t>
            </w:r>
          </w:p>
        </w:tc>
      </w:tr>
      <w:tr w:rsidR="00B0569D" w:rsidRPr="00D02A2E" w14:paraId="6D57CCAA" w14:textId="77777777" w:rsidTr="000F1C6B">
        <w:trPr>
          <w:cantSplit/>
        </w:trPr>
        <w:tc>
          <w:tcPr>
            <w:tcW w:w="4761" w:type="dxa"/>
            <w:tcBorders>
              <w:bottom w:val="single" w:sz="4" w:space="0" w:color="BFBFBF" w:themeColor="background1" w:themeShade="BF"/>
            </w:tcBorders>
            <w:shd w:val="clear" w:color="auto" w:fill="auto"/>
            <w:hideMark/>
          </w:tcPr>
          <w:p w14:paraId="0E9FF0B1" w14:textId="77777777" w:rsidR="00B0569D" w:rsidRPr="00D02A2E" w:rsidRDefault="00B0569D" w:rsidP="00B0569D">
            <w:pPr>
              <w:pStyle w:val="ARtabletext"/>
            </w:pPr>
            <w:r w:rsidRPr="00C5726C">
              <w:rPr>
                <w:noProof/>
              </w:rPr>
              <w:t>Personal alert units allocated</w:t>
            </w:r>
          </w:p>
        </w:tc>
        <w:tc>
          <w:tcPr>
            <w:tcW w:w="1021" w:type="dxa"/>
            <w:tcBorders>
              <w:bottom w:val="single" w:sz="4" w:space="0" w:color="BFBFBF" w:themeColor="background1" w:themeShade="BF"/>
            </w:tcBorders>
            <w:shd w:val="clear" w:color="auto" w:fill="auto"/>
            <w:hideMark/>
          </w:tcPr>
          <w:p w14:paraId="28E1795D" w14:textId="77777777" w:rsidR="00B0569D" w:rsidRPr="00D02A2E" w:rsidRDefault="00B0569D" w:rsidP="00B0569D">
            <w:pPr>
              <w:pStyle w:val="ARtabletextcentre"/>
            </w:pPr>
            <w:r w:rsidRPr="00C5726C">
              <w:rPr>
                <w:noProof/>
              </w:rPr>
              <w:t>number</w:t>
            </w:r>
          </w:p>
        </w:tc>
        <w:tc>
          <w:tcPr>
            <w:tcW w:w="1021" w:type="dxa"/>
            <w:tcBorders>
              <w:bottom w:val="single" w:sz="4" w:space="0" w:color="BFBFBF" w:themeColor="background1" w:themeShade="BF"/>
            </w:tcBorders>
            <w:shd w:val="clear" w:color="auto" w:fill="auto"/>
            <w:hideMark/>
          </w:tcPr>
          <w:p w14:paraId="6CF9AE10" w14:textId="77777777" w:rsidR="00B0569D" w:rsidRDefault="00B0569D" w:rsidP="00B0569D">
            <w:pPr>
              <w:pStyle w:val="ARtabletextright"/>
            </w:pPr>
            <w:r w:rsidRPr="00C5726C">
              <w:rPr>
                <w:noProof/>
              </w:rPr>
              <w:t>29</w:t>
            </w:r>
            <w:r>
              <w:rPr>
                <w:noProof/>
              </w:rPr>
              <w:t>,</w:t>
            </w:r>
            <w:r w:rsidRPr="00C5726C">
              <w:rPr>
                <w:noProof/>
              </w:rPr>
              <w:t>121</w:t>
            </w:r>
          </w:p>
        </w:tc>
        <w:tc>
          <w:tcPr>
            <w:tcW w:w="1021" w:type="dxa"/>
            <w:tcBorders>
              <w:bottom w:val="single" w:sz="4" w:space="0" w:color="BFBFBF" w:themeColor="background1" w:themeShade="BF"/>
            </w:tcBorders>
            <w:shd w:val="clear" w:color="auto" w:fill="auto"/>
            <w:hideMark/>
          </w:tcPr>
          <w:p w14:paraId="41978E61" w14:textId="77777777" w:rsidR="00B0569D" w:rsidRDefault="00B0569D" w:rsidP="00B0569D">
            <w:pPr>
              <w:pStyle w:val="ARtabletextright"/>
            </w:pPr>
            <w:r w:rsidRPr="00C5726C">
              <w:rPr>
                <w:noProof/>
              </w:rPr>
              <w:t>29</w:t>
            </w:r>
            <w:r>
              <w:rPr>
                <w:noProof/>
              </w:rPr>
              <w:t>,</w:t>
            </w:r>
            <w:r w:rsidRPr="00C5726C">
              <w:rPr>
                <w:noProof/>
              </w:rPr>
              <w:t>121</w:t>
            </w:r>
          </w:p>
        </w:tc>
        <w:tc>
          <w:tcPr>
            <w:tcW w:w="1021" w:type="dxa"/>
            <w:tcBorders>
              <w:bottom w:val="single" w:sz="4" w:space="0" w:color="BFBFBF" w:themeColor="background1" w:themeShade="BF"/>
            </w:tcBorders>
            <w:shd w:val="clear" w:color="auto" w:fill="auto"/>
          </w:tcPr>
          <w:p w14:paraId="6E3DEEBC" w14:textId="77777777" w:rsidR="00B0569D" w:rsidRDefault="00B0569D" w:rsidP="00B0569D">
            <w:pPr>
              <w:pStyle w:val="ARtabletextright"/>
            </w:pPr>
            <w:r w:rsidRPr="00C5726C">
              <w:rPr>
                <w:noProof/>
              </w:rPr>
              <w:t>0</w:t>
            </w:r>
          </w:p>
        </w:tc>
        <w:tc>
          <w:tcPr>
            <w:tcW w:w="794" w:type="dxa"/>
            <w:tcBorders>
              <w:bottom w:val="single" w:sz="4" w:space="0" w:color="BFBFBF" w:themeColor="background1" w:themeShade="BF"/>
            </w:tcBorders>
            <w:shd w:val="clear" w:color="auto" w:fill="auto"/>
            <w:hideMark/>
          </w:tcPr>
          <w:p w14:paraId="58FC97C9" w14:textId="6DC5388E" w:rsidR="00B0569D" w:rsidRPr="00D02A2E" w:rsidRDefault="00CF2633" w:rsidP="00A52A4C">
            <w:pPr>
              <w:pStyle w:val="ARtableperformancesymbol"/>
            </w:pPr>
            <w:r>
              <w:rPr>
                <w:noProof/>
              </w:rPr>
              <w:drawing>
                <wp:inline distT="0" distB="0" distL="0" distR="0" wp14:anchorId="583EF15B" wp14:editId="01BE19DD">
                  <wp:extent cx="85320" cy="85320"/>
                  <wp:effectExtent l="0" t="0" r="0" b="0"/>
                  <wp:docPr id="136" name="Graphic 136"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B0569D" w:rsidRPr="00D02A2E" w14:paraId="01711FA7" w14:textId="77777777" w:rsidTr="000F1C6B">
        <w:trPr>
          <w:cantSplit/>
        </w:trPr>
        <w:tc>
          <w:tcPr>
            <w:tcW w:w="4761" w:type="dxa"/>
            <w:tcBorders>
              <w:top w:val="single" w:sz="4" w:space="0" w:color="BFBFBF" w:themeColor="background1" w:themeShade="BF"/>
            </w:tcBorders>
            <w:shd w:val="clear" w:color="auto" w:fill="auto"/>
            <w:hideMark/>
          </w:tcPr>
          <w:p w14:paraId="5C537D02" w14:textId="77777777" w:rsidR="00B0569D" w:rsidRPr="00D02A2E" w:rsidRDefault="00B0569D" w:rsidP="00B0569D">
            <w:pPr>
              <w:pStyle w:val="ARtabletext"/>
            </w:pPr>
            <w:r w:rsidRPr="00C5726C">
              <w:rPr>
                <w:noProof/>
              </w:rPr>
              <w:t>Victorian Eyecare Service (occasions of service)</w:t>
            </w:r>
          </w:p>
        </w:tc>
        <w:tc>
          <w:tcPr>
            <w:tcW w:w="1021" w:type="dxa"/>
            <w:tcBorders>
              <w:top w:val="single" w:sz="4" w:space="0" w:color="BFBFBF" w:themeColor="background1" w:themeShade="BF"/>
            </w:tcBorders>
            <w:shd w:val="clear" w:color="auto" w:fill="auto"/>
            <w:hideMark/>
          </w:tcPr>
          <w:p w14:paraId="09EF9B42" w14:textId="77777777" w:rsidR="00B0569D" w:rsidRPr="00D02A2E" w:rsidRDefault="00B0569D" w:rsidP="00B0569D">
            <w:pPr>
              <w:pStyle w:val="ARtabletextcentre"/>
            </w:pPr>
            <w:r w:rsidRPr="00C5726C">
              <w:rPr>
                <w:noProof/>
              </w:rPr>
              <w:t>number</w:t>
            </w:r>
          </w:p>
        </w:tc>
        <w:tc>
          <w:tcPr>
            <w:tcW w:w="1021" w:type="dxa"/>
            <w:tcBorders>
              <w:top w:val="single" w:sz="4" w:space="0" w:color="BFBFBF" w:themeColor="background1" w:themeShade="BF"/>
            </w:tcBorders>
            <w:shd w:val="clear" w:color="auto" w:fill="auto"/>
            <w:hideMark/>
          </w:tcPr>
          <w:p w14:paraId="4823EB2C" w14:textId="77777777" w:rsidR="00B0569D" w:rsidRDefault="00B0569D" w:rsidP="00B0569D">
            <w:pPr>
              <w:pStyle w:val="ARtabletextright"/>
            </w:pPr>
            <w:r w:rsidRPr="00C5726C">
              <w:rPr>
                <w:noProof/>
              </w:rPr>
              <w:t>75</w:t>
            </w:r>
            <w:r>
              <w:rPr>
                <w:noProof/>
              </w:rPr>
              <w:t>,</w:t>
            </w:r>
            <w:r w:rsidRPr="00C5726C">
              <w:rPr>
                <w:noProof/>
              </w:rPr>
              <w:t>866</w:t>
            </w:r>
          </w:p>
        </w:tc>
        <w:tc>
          <w:tcPr>
            <w:tcW w:w="1021" w:type="dxa"/>
            <w:tcBorders>
              <w:top w:val="single" w:sz="4" w:space="0" w:color="BFBFBF" w:themeColor="background1" w:themeShade="BF"/>
            </w:tcBorders>
            <w:shd w:val="clear" w:color="auto" w:fill="auto"/>
            <w:hideMark/>
          </w:tcPr>
          <w:p w14:paraId="2501D9AB" w14:textId="77777777" w:rsidR="00B0569D" w:rsidRDefault="00B0569D" w:rsidP="00B0569D">
            <w:pPr>
              <w:pStyle w:val="ARtabletextright"/>
            </w:pPr>
            <w:r w:rsidRPr="00C5726C">
              <w:rPr>
                <w:noProof/>
              </w:rPr>
              <w:t>57</w:t>
            </w:r>
            <w:r>
              <w:rPr>
                <w:noProof/>
              </w:rPr>
              <w:t>,</w:t>
            </w:r>
            <w:r w:rsidRPr="00C5726C">
              <w:rPr>
                <w:noProof/>
              </w:rPr>
              <w:t>395</w:t>
            </w:r>
          </w:p>
        </w:tc>
        <w:tc>
          <w:tcPr>
            <w:tcW w:w="1021" w:type="dxa"/>
            <w:tcBorders>
              <w:top w:val="single" w:sz="4" w:space="0" w:color="BFBFBF" w:themeColor="background1" w:themeShade="BF"/>
            </w:tcBorders>
            <w:shd w:val="clear" w:color="auto" w:fill="auto"/>
          </w:tcPr>
          <w:p w14:paraId="53083110" w14:textId="77777777" w:rsidR="00B0569D" w:rsidRDefault="00B0569D" w:rsidP="00B0569D">
            <w:pPr>
              <w:pStyle w:val="ARtabletextright"/>
            </w:pPr>
            <w:r>
              <w:rPr>
                <w:noProof/>
              </w:rPr>
              <w:t>−</w:t>
            </w:r>
            <w:r w:rsidRPr="00C5726C">
              <w:rPr>
                <w:noProof/>
              </w:rPr>
              <w:t>24.3</w:t>
            </w:r>
          </w:p>
        </w:tc>
        <w:tc>
          <w:tcPr>
            <w:tcW w:w="794" w:type="dxa"/>
            <w:tcBorders>
              <w:top w:val="single" w:sz="4" w:space="0" w:color="BFBFBF" w:themeColor="background1" w:themeShade="BF"/>
            </w:tcBorders>
            <w:shd w:val="clear" w:color="auto" w:fill="auto"/>
            <w:hideMark/>
          </w:tcPr>
          <w:p w14:paraId="7C4F18A3" w14:textId="2D4A597B" w:rsidR="00B0569D" w:rsidRPr="00D02A2E" w:rsidRDefault="00B0569D" w:rsidP="00A52A4C">
            <w:pPr>
              <w:pStyle w:val="ARtableperformancesymbol"/>
            </w:pPr>
            <w:r>
              <w:rPr>
                <w:noProof/>
              </w:rPr>
              <w:drawing>
                <wp:inline distT="0" distB="0" distL="0" distR="0" wp14:anchorId="18577E05" wp14:editId="6F8A35BB">
                  <wp:extent cx="76320" cy="76320"/>
                  <wp:effectExtent l="0" t="0" r="0" b="0"/>
                  <wp:docPr id="77" name="Graphic 77"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B0569D" w:rsidRPr="00D02A2E" w14:paraId="7C684E65" w14:textId="77777777" w:rsidTr="000F1C6B">
        <w:trPr>
          <w:cantSplit/>
        </w:trPr>
        <w:tc>
          <w:tcPr>
            <w:tcW w:w="9639" w:type="dxa"/>
            <w:gridSpan w:val="6"/>
            <w:tcBorders>
              <w:bottom w:val="single" w:sz="4" w:space="0" w:color="BFBFBF"/>
            </w:tcBorders>
            <w:shd w:val="clear" w:color="auto" w:fill="auto"/>
            <w:noWrap/>
            <w:hideMark/>
          </w:tcPr>
          <w:p w14:paraId="56F7D30C" w14:textId="1612724F" w:rsidR="00B0569D" w:rsidRPr="00D02A2E" w:rsidRDefault="00B0569D" w:rsidP="00F46D9F">
            <w:pPr>
              <w:pStyle w:val="ARtablenoteindent"/>
            </w:pPr>
            <w:r w:rsidRPr="006D1BA7">
              <w:rPr>
                <w:noProof/>
              </w:rPr>
              <w:t xml:space="preserve">Service has been impacted by COVID-19. Some practices stopped seeing </w:t>
            </w:r>
            <w:r>
              <w:rPr>
                <w:noProof/>
              </w:rPr>
              <w:t>any</w:t>
            </w:r>
            <w:r w:rsidRPr="006D1BA7">
              <w:rPr>
                <w:noProof/>
              </w:rPr>
              <w:t xml:space="preserve"> clients and the remainder have experienced reduced activity while seeing urgent and essential clients only.</w:t>
            </w:r>
          </w:p>
        </w:tc>
      </w:tr>
      <w:tr w:rsidR="00B0569D" w:rsidRPr="00D02A2E" w14:paraId="093D9119" w14:textId="77777777" w:rsidTr="000F1C6B">
        <w:trPr>
          <w:cantSplit/>
        </w:trPr>
        <w:tc>
          <w:tcPr>
            <w:tcW w:w="4761" w:type="dxa"/>
            <w:shd w:val="clear" w:color="auto" w:fill="auto"/>
            <w:hideMark/>
          </w:tcPr>
          <w:p w14:paraId="48946D21" w14:textId="77777777" w:rsidR="00B0569D" w:rsidRPr="00D02A2E" w:rsidRDefault="00B0569D" w:rsidP="00B0569D">
            <w:pPr>
              <w:pStyle w:val="ARtabletext"/>
            </w:pPr>
            <w:r w:rsidRPr="00C5726C">
              <w:rPr>
                <w:noProof/>
              </w:rPr>
              <w:t>Clients accessing aids and equipment</w:t>
            </w:r>
          </w:p>
        </w:tc>
        <w:tc>
          <w:tcPr>
            <w:tcW w:w="1021" w:type="dxa"/>
            <w:shd w:val="clear" w:color="auto" w:fill="auto"/>
            <w:hideMark/>
          </w:tcPr>
          <w:p w14:paraId="012B6F52" w14:textId="77777777" w:rsidR="00B0569D" w:rsidRPr="00D02A2E" w:rsidRDefault="00B0569D" w:rsidP="00B0569D">
            <w:pPr>
              <w:pStyle w:val="ARtabletextcentre"/>
            </w:pPr>
            <w:r w:rsidRPr="00C5726C">
              <w:rPr>
                <w:noProof/>
              </w:rPr>
              <w:t>number</w:t>
            </w:r>
          </w:p>
        </w:tc>
        <w:tc>
          <w:tcPr>
            <w:tcW w:w="1021" w:type="dxa"/>
            <w:shd w:val="clear" w:color="auto" w:fill="auto"/>
            <w:hideMark/>
          </w:tcPr>
          <w:p w14:paraId="7A5A5894" w14:textId="77777777" w:rsidR="00B0569D" w:rsidRDefault="00B0569D" w:rsidP="00B0569D">
            <w:pPr>
              <w:pStyle w:val="ARtabletextright"/>
            </w:pPr>
            <w:r w:rsidRPr="00C5726C">
              <w:rPr>
                <w:noProof/>
              </w:rPr>
              <w:t>15</w:t>
            </w:r>
            <w:r>
              <w:rPr>
                <w:noProof/>
              </w:rPr>
              <w:t>,</w:t>
            </w:r>
            <w:r w:rsidRPr="00C5726C">
              <w:rPr>
                <w:noProof/>
              </w:rPr>
              <w:t>000</w:t>
            </w:r>
          </w:p>
        </w:tc>
        <w:tc>
          <w:tcPr>
            <w:tcW w:w="1021" w:type="dxa"/>
            <w:shd w:val="clear" w:color="auto" w:fill="auto"/>
            <w:hideMark/>
          </w:tcPr>
          <w:p w14:paraId="77052405" w14:textId="77777777" w:rsidR="00B0569D" w:rsidRDefault="00B0569D" w:rsidP="00B0569D">
            <w:pPr>
              <w:pStyle w:val="ARtabletextright"/>
            </w:pPr>
            <w:r w:rsidRPr="00C5726C">
              <w:rPr>
                <w:noProof/>
              </w:rPr>
              <w:t>25</w:t>
            </w:r>
            <w:r>
              <w:rPr>
                <w:noProof/>
              </w:rPr>
              <w:t>,</w:t>
            </w:r>
            <w:r w:rsidRPr="00C5726C">
              <w:rPr>
                <w:noProof/>
              </w:rPr>
              <w:t>702</w:t>
            </w:r>
          </w:p>
        </w:tc>
        <w:tc>
          <w:tcPr>
            <w:tcW w:w="1021" w:type="dxa"/>
            <w:shd w:val="clear" w:color="auto" w:fill="auto"/>
          </w:tcPr>
          <w:p w14:paraId="1B43BBBF" w14:textId="77777777" w:rsidR="00B0569D" w:rsidRDefault="00B0569D" w:rsidP="00B0569D">
            <w:pPr>
              <w:pStyle w:val="ARtabletextright"/>
            </w:pPr>
            <w:r w:rsidRPr="00C5726C">
              <w:rPr>
                <w:noProof/>
              </w:rPr>
              <w:t>71.</w:t>
            </w:r>
            <w:r>
              <w:rPr>
                <w:noProof/>
              </w:rPr>
              <w:t>3</w:t>
            </w:r>
          </w:p>
        </w:tc>
        <w:tc>
          <w:tcPr>
            <w:tcW w:w="794" w:type="dxa"/>
            <w:shd w:val="clear" w:color="auto" w:fill="auto"/>
            <w:hideMark/>
          </w:tcPr>
          <w:p w14:paraId="10863F78" w14:textId="516D4E9C" w:rsidR="00B0569D" w:rsidRPr="00D02A2E" w:rsidRDefault="00CF2633" w:rsidP="00A52A4C">
            <w:pPr>
              <w:pStyle w:val="ARtableperformancesymbol"/>
            </w:pPr>
            <w:r>
              <w:rPr>
                <w:noProof/>
              </w:rPr>
              <w:drawing>
                <wp:inline distT="0" distB="0" distL="0" distR="0" wp14:anchorId="4DD0EB8A" wp14:editId="62E8F5CE">
                  <wp:extent cx="85320" cy="85320"/>
                  <wp:effectExtent l="0" t="0" r="0" b="0"/>
                  <wp:docPr id="137" name="Graphic 137"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B0569D" w:rsidRPr="00D02A2E" w14:paraId="30751351" w14:textId="77777777" w:rsidTr="000F1C6B">
        <w:trPr>
          <w:cantSplit/>
        </w:trPr>
        <w:tc>
          <w:tcPr>
            <w:tcW w:w="9639" w:type="dxa"/>
            <w:gridSpan w:val="6"/>
            <w:tcBorders>
              <w:bottom w:val="single" w:sz="4" w:space="0" w:color="BFBFBF"/>
            </w:tcBorders>
            <w:shd w:val="clear" w:color="auto" w:fill="auto"/>
            <w:noWrap/>
            <w:hideMark/>
          </w:tcPr>
          <w:p w14:paraId="19F42FE5" w14:textId="77777777" w:rsidR="00B0569D" w:rsidRDefault="00B0569D" w:rsidP="00B0569D">
            <w:pPr>
              <w:pStyle w:val="ARtablenoteindent"/>
              <w:rPr>
                <w:noProof/>
              </w:rPr>
            </w:pPr>
            <w:r w:rsidRPr="00C5726C">
              <w:rPr>
                <w:noProof/>
              </w:rPr>
              <w:t xml:space="preserve">This result includes over 6,000 oxygen and continence clients from the previous year, and it also reflects </w:t>
            </w:r>
            <w:r>
              <w:rPr>
                <w:noProof/>
              </w:rPr>
              <w:t xml:space="preserve">the </w:t>
            </w:r>
            <w:r w:rsidRPr="00C5726C">
              <w:rPr>
                <w:noProof/>
              </w:rPr>
              <w:t>demand for lower cost subsidies, aids/equipment and repairs. Additional funding of $1.5 million Commonwealth Lymphoedema Compression Garments Program ($0.5 m) and NDIS Out of Scope ($1 m)</w:t>
            </w:r>
            <w:r>
              <w:rPr>
                <w:noProof/>
              </w:rPr>
              <w:t xml:space="preserve"> </w:t>
            </w:r>
            <w:r w:rsidRPr="00C5726C">
              <w:rPr>
                <w:noProof/>
              </w:rPr>
              <w:t>has enabled additional clients to be assisted, contributing to result.</w:t>
            </w:r>
          </w:p>
          <w:p w14:paraId="47DE266E" w14:textId="77777777" w:rsidR="00B0569D" w:rsidRPr="00D02A2E" w:rsidRDefault="00B0569D" w:rsidP="00B0569D">
            <w:pPr>
              <w:pStyle w:val="ARtablenoteindent"/>
            </w:pPr>
            <w:r w:rsidRPr="00C5726C">
              <w:rPr>
                <w:noProof/>
              </w:rPr>
              <w:t>Note that the 202</w:t>
            </w:r>
            <w:r>
              <w:rPr>
                <w:noProof/>
              </w:rPr>
              <w:t>1–</w:t>
            </w:r>
            <w:r w:rsidRPr="00C5726C">
              <w:rPr>
                <w:noProof/>
              </w:rPr>
              <w:t>22 target has been revised upwards, reflecting historical performance.</w:t>
            </w:r>
          </w:p>
        </w:tc>
      </w:tr>
      <w:tr w:rsidR="00B0569D" w:rsidRPr="00D02A2E" w14:paraId="4FAC01E2" w14:textId="77777777" w:rsidTr="000F1C6B">
        <w:trPr>
          <w:cantSplit/>
        </w:trPr>
        <w:tc>
          <w:tcPr>
            <w:tcW w:w="9639" w:type="dxa"/>
            <w:gridSpan w:val="6"/>
            <w:tcBorders>
              <w:top w:val="single" w:sz="4" w:space="0" w:color="auto"/>
            </w:tcBorders>
            <w:shd w:val="clear" w:color="auto" w:fill="auto"/>
            <w:hideMark/>
          </w:tcPr>
          <w:p w14:paraId="1672DD99" w14:textId="77777777" w:rsidR="00B0569D" w:rsidRPr="00D02A2E" w:rsidRDefault="00B0569D" w:rsidP="00B0569D">
            <w:pPr>
              <w:pStyle w:val="ARtablegreybold"/>
              <w:rPr>
                <w:rFonts w:ascii="Wingdings" w:hAnsi="Wingdings"/>
              </w:rPr>
            </w:pPr>
            <w:r>
              <w:t>Quality</w:t>
            </w:r>
          </w:p>
        </w:tc>
      </w:tr>
      <w:tr w:rsidR="00CF2633" w:rsidRPr="00D02A2E" w14:paraId="1C3DCF30" w14:textId="77777777" w:rsidTr="000F1C6B">
        <w:trPr>
          <w:cantSplit/>
        </w:trPr>
        <w:tc>
          <w:tcPr>
            <w:tcW w:w="4761" w:type="dxa"/>
            <w:tcBorders>
              <w:bottom w:val="single" w:sz="4" w:space="0" w:color="BFBFBF" w:themeColor="background1" w:themeShade="BF"/>
            </w:tcBorders>
            <w:shd w:val="clear" w:color="auto" w:fill="auto"/>
            <w:hideMark/>
          </w:tcPr>
          <w:p w14:paraId="14D12A00" w14:textId="77777777" w:rsidR="00CF2633" w:rsidRPr="00D02A2E" w:rsidRDefault="00CF2633" w:rsidP="00CF2633">
            <w:pPr>
              <w:pStyle w:val="ARtabletext"/>
            </w:pPr>
            <w:r w:rsidRPr="00C5726C">
              <w:rPr>
                <w:noProof/>
              </w:rPr>
              <w:t>Funded research and service development projects for which satisfactory reports have been received</w:t>
            </w:r>
          </w:p>
        </w:tc>
        <w:tc>
          <w:tcPr>
            <w:tcW w:w="1021" w:type="dxa"/>
            <w:tcBorders>
              <w:bottom w:val="single" w:sz="4" w:space="0" w:color="BFBFBF" w:themeColor="background1" w:themeShade="BF"/>
            </w:tcBorders>
            <w:shd w:val="clear" w:color="auto" w:fill="auto"/>
            <w:hideMark/>
          </w:tcPr>
          <w:p w14:paraId="3744EEE2" w14:textId="77777777" w:rsidR="00CF2633" w:rsidRPr="00D02A2E" w:rsidRDefault="00CF2633" w:rsidP="00CF2633">
            <w:pPr>
              <w:pStyle w:val="ARtabletextcentre"/>
            </w:pPr>
            <w:r w:rsidRPr="00C5726C">
              <w:rPr>
                <w:noProof/>
              </w:rPr>
              <w:t>per cent</w:t>
            </w:r>
          </w:p>
        </w:tc>
        <w:tc>
          <w:tcPr>
            <w:tcW w:w="1021" w:type="dxa"/>
            <w:tcBorders>
              <w:bottom w:val="single" w:sz="4" w:space="0" w:color="BFBFBF" w:themeColor="background1" w:themeShade="BF"/>
            </w:tcBorders>
            <w:shd w:val="clear" w:color="auto" w:fill="auto"/>
            <w:hideMark/>
          </w:tcPr>
          <w:p w14:paraId="6A8D265F" w14:textId="77777777" w:rsidR="00CF2633" w:rsidRDefault="00CF2633" w:rsidP="00CF2633">
            <w:pPr>
              <w:pStyle w:val="ARtabletextright"/>
            </w:pPr>
            <w:r w:rsidRPr="00C5726C">
              <w:rPr>
                <w:noProof/>
              </w:rPr>
              <w:t>100</w:t>
            </w:r>
          </w:p>
        </w:tc>
        <w:tc>
          <w:tcPr>
            <w:tcW w:w="1021" w:type="dxa"/>
            <w:tcBorders>
              <w:bottom w:val="single" w:sz="4" w:space="0" w:color="BFBFBF" w:themeColor="background1" w:themeShade="BF"/>
            </w:tcBorders>
            <w:shd w:val="clear" w:color="auto" w:fill="auto"/>
            <w:hideMark/>
          </w:tcPr>
          <w:p w14:paraId="4405F549" w14:textId="77777777" w:rsidR="00CF2633" w:rsidRDefault="00CF2633" w:rsidP="00CF2633">
            <w:pPr>
              <w:pStyle w:val="ARtabletextright"/>
            </w:pPr>
            <w:r w:rsidRPr="00C5726C">
              <w:rPr>
                <w:noProof/>
              </w:rPr>
              <w:t>100</w:t>
            </w:r>
          </w:p>
        </w:tc>
        <w:tc>
          <w:tcPr>
            <w:tcW w:w="1021" w:type="dxa"/>
            <w:tcBorders>
              <w:bottom w:val="single" w:sz="4" w:space="0" w:color="BFBFBF" w:themeColor="background1" w:themeShade="BF"/>
            </w:tcBorders>
            <w:shd w:val="clear" w:color="auto" w:fill="auto"/>
          </w:tcPr>
          <w:p w14:paraId="339FC524" w14:textId="77777777" w:rsidR="00CF2633" w:rsidRDefault="00CF2633" w:rsidP="00CF2633">
            <w:pPr>
              <w:pStyle w:val="ARtabletextright"/>
            </w:pPr>
            <w:r w:rsidRPr="00C5726C">
              <w:rPr>
                <w:noProof/>
              </w:rPr>
              <w:t>0</w:t>
            </w:r>
          </w:p>
        </w:tc>
        <w:tc>
          <w:tcPr>
            <w:tcW w:w="794" w:type="dxa"/>
            <w:tcBorders>
              <w:bottom w:val="single" w:sz="4" w:space="0" w:color="BFBFBF" w:themeColor="background1" w:themeShade="BF"/>
            </w:tcBorders>
            <w:shd w:val="clear" w:color="auto" w:fill="auto"/>
            <w:hideMark/>
          </w:tcPr>
          <w:p w14:paraId="135AC4D5" w14:textId="738E237B" w:rsidR="00CF2633" w:rsidRPr="00D02A2E" w:rsidRDefault="00CF2633" w:rsidP="00A52A4C">
            <w:pPr>
              <w:pStyle w:val="ARtableperformancesymbol"/>
            </w:pPr>
            <w:r w:rsidRPr="00324889">
              <w:rPr>
                <w:noProof/>
              </w:rPr>
              <w:drawing>
                <wp:inline distT="0" distB="0" distL="0" distR="0" wp14:anchorId="2EF42630" wp14:editId="6769C6B1">
                  <wp:extent cx="85320" cy="85320"/>
                  <wp:effectExtent l="0" t="0" r="0" b="0"/>
                  <wp:docPr id="138" name="Graphic 138"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rsidRPr="00324889">
              <w:t xml:space="preserve"> </w:t>
            </w:r>
          </w:p>
        </w:tc>
      </w:tr>
      <w:tr w:rsidR="00CF2633" w:rsidRPr="00D02A2E" w14:paraId="6193F523" w14:textId="77777777" w:rsidTr="000F1C6B">
        <w:trPr>
          <w:cantSplit/>
        </w:trPr>
        <w:tc>
          <w:tcPr>
            <w:tcW w:w="4761" w:type="dxa"/>
            <w:tcBorders>
              <w:top w:val="single" w:sz="4" w:space="0" w:color="BFBFBF" w:themeColor="background1" w:themeShade="BF"/>
            </w:tcBorders>
            <w:shd w:val="clear" w:color="auto" w:fill="auto"/>
            <w:hideMark/>
          </w:tcPr>
          <w:p w14:paraId="0A421392" w14:textId="77777777" w:rsidR="00CF2633" w:rsidRPr="00D02A2E" w:rsidRDefault="00CF2633" w:rsidP="00CF2633">
            <w:pPr>
              <w:pStyle w:val="ARtabletext"/>
            </w:pPr>
            <w:r w:rsidRPr="00C5726C">
              <w:rPr>
                <w:noProof/>
              </w:rPr>
              <w:t>Clients satisfied with the aids and equipment services system</w:t>
            </w:r>
          </w:p>
        </w:tc>
        <w:tc>
          <w:tcPr>
            <w:tcW w:w="1021" w:type="dxa"/>
            <w:tcBorders>
              <w:top w:val="single" w:sz="4" w:space="0" w:color="BFBFBF" w:themeColor="background1" w:themeShade="BF"/>
            </w:tcBorders>
            <w:shd w:val="clear" w:color="auto" w:fill="auto"/>
            <w:hideMark/>
          </w:tcPr>
          <w:p w14:paraId="23F5852F" w14:textId="77777777" w:rsidR="00CF2633" w:rsidRPr="00D02A2E" w:rsidRDefault="00CF2633" w:rsidP="00CF2633">
            <w:pPr>
              <w:pStyle w:val="ARtabletextcentre"/>
            </w:pPr>
            <w:r w:rsidRPr="00C5726C">
              <w:rPr>
                <w:noProof/>
              </w:rPr>
              <w:t>per cent</w:t>
            </w:r>
          </w:p>
        </w:tc>
        <w:tc>
          <w:tcPr>
            <w:tcW w:w="1021" w:type="dxa"/>
            <w:tcBorders>
              <w:top w:val="single" w:sz="4" w:space="0" w:color="BFBFBF" w:themeColor="background1" w:themeShade="BF"/>
            </w:tcBorders>
            <w:shd w:val="clear" w:color="auto" w:fill="auto"/>
            <w:hideMark/>
          </w:tcPr>
          <w:p w14:paraId="1D0317F2" w14:textId="77777777" w:rsidR="00CF2633" w:rsidRDefault="00CF2633" w:rsidP="00CF2633">
            <w:pPr>
              <w:pStyle w:val="ARtabletextright"/>
            </w:pPr>
            <w:r w:rsidRPr="00C5726C">
              <w:rPr>
                <w:noProof/>
              </w:rPr>
              <w:t>85</w:t>
            </w:r>
          </w:p>
        </w:tc>
        <w:tc>
          <w:tcPr>
            <w:tcW w:w="1021" w:type="dxa"/>
            <w:tcBorders>
              <w:top w:val="single" w:sz="4" w:space="0" w:color="BFBFBF" w:themeColor="background1" w:themeShade="BF"/>
            </w:tcBorders>
            <w:shd w:val="clear" w:color="auto" w:fill="auto"/>
            <w:hideMark/>
          </w:tcPr>
          <w:p w14:paraId="1ABA576A" w14:textId="77777777" w:rsidR="00CF2633" w:rsidRDefault="00CF2633" w:rsidP="00CF2633">
            <w:pPr>
              <w:pStyle w:val="ARtabletextright"/>
            </w:pPr>
            <w:r w:rsidRPr="00C5726C">
              <w:rPr>
                <w:noProof/>
              </w:rPr>
              <w:t>96</w:t>
            </w:r>
          </w:p>
        </w:tc>
        <w:tc>
          <w:tcPr>
            <w:tcW w:w="1021" w:type="dxa"/>
            <w:tcBorders>
              <w:top w:val="single" w:sz="4" w:space="0" w:color="BFBFBF" w:themeColor="background1" w:themeShade="BF"/>
            </w:tcBorders>
            <w:shd w:val="clear" w:color="auto" w:fill="auto"/>
          </w:tcPr>
          <w:p w14:paraId="79B82F55" w14:textId="77777777" w:rsidR="00CF2633" w:rsidRDefault="00CF2633" w:rsidP="00CF2633">
            <w:pPr>
              <w:pStyle w:val="ARtabletextright"/>
            </w:pPr>
            <w:r w:rsidRPr="00C5726C">
              <w:rPr>
                <w:noProof/>
              </w:rPr>
              <w:t>12.9</w:t>
            </w:r>
          </w:p>
        </w:tc>
        <w:tc>
          <w:tcPr>
            <w:tcW w:w="794" w:type="dxa"/>
            <w:tcBorders>
              <w:top w:val="single" w:sz="4" w:space="0" w:color="BFBFBF" w:themeColor="background1" w:themeShade="BF"/>
            </w:tcBorders>
            <w:shd w:val="clear" w:color="auto" w:fill="auto"/>
            <w:hideMark/>
          </w:tcPr>
          <w:p w14:paraId="29FCC811" w14:textId="581BFBBC" w:rsidR="00CF2633" w:rsidRPr="00D02A2E" w:rsidRDefault="00CF2633" w:rsidP="00A52A4C">
            <w:pPr>
              <w:pStyle w:val="ARtableperformancesymbol"/>
            </w:pPr>
            <w:r w:rsidRPr="00324889">
              <w:rPr>
                <w:noProof/>
              </w:rPr>
              <w:drawing>
                <wp:inline distT="0" distB="0" distL="0" distR="0" wp14:anchorId="44953FB3" wp14:editId="2CB99F27">
                  <wp:extent cx="85320" cy="85320"/>
                  <wp:effectExtent l="0" t="0" r="0" b="0"/>
                  <wp:docPr id="139" name="Graphic 139"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rsidRPr="00324889">
              <w:t xml:space="preserve"> </w:t>
            </w:r>
          </w:p>
        </w:tc>
      </w:tr>
      <w:tr w:rsidR="00B0569D" w:rsidRPr="00D02A2E" w14:paraId="5F589E5C" w14:textId="77777777" w:rsidTr="000F1C6B">
        <w:trPr>
          <w:cantSplit/>
        </w:trPr>
        <w:tc>
          <w:tcPr>
            <w:tcW w:w="9639" w:type="dxa"/>
            <w:gridSpan w:val="6"/>
            <w:tcBorders>
              <w:bottom w:val="single" w:sz="4" w:space="0" w:color="BFBFBF"/>
            </w:tcBorders>
            <w:shd w:val="clear" w:color="auto" w:fill="auto"/>
            <w:noWrap/>
            <w:hideMark/>
          </w:tcPr>
          <w:p w14:paraId="04302C11" w14:textId="77777777" w:rsidR="00B0569D" w:rsidRPr="00C5726C" w:rsidRDefault="00B0569D" w:rsidP="00B0569D">
            <w:pPr>
              <w:pStyle w:val="ARtablenoteindent"/>
              <w:rPr>
                <w:noProof/>
              </w:rPr>
            </w:pPr>
            <w:r w:rsidRPr="00C5726C">
              <w:rPr>
                <w:noProof/>
              </w:rPr>
              <w:t>The higher result reflects a timely and responsive service.</w:t>
            </w:r>
          </w:p>
          <w:p w14:paraId="47172E50" w14:textId="77777777" w:rsidR="00B0569D" w:rsidRPr="00D02A2E" w:rsidRDefault="00B0569D" w:rsidP="00B0569D">
            <w:pPr>
              <w:pStyle w:val="ARtablenoteindent"/>
            </w:pPr>
            <w:r w:rsidRPr="00C5726C">
              <w:rPr>
                <w:noProof/>
              </w:rPr>
              <w:t>Note that the 202</w:t>
            </w:r>
            <w:r>
              <w:rPr>
                <w:noProof/>
              </w:rPr>
              <w:t>1–</w:t>
            </w:r>
            <w:r w:rsidRPr="00C5726C">
              <w:rPr>
                <w:noProof/>
              </w:rPr>
              <w:t>22 target has been revised upwards, reflecting historical performance.</w:t>
            </w:r>
          </w:p>
        </w:tc>
      </w:tr>
      <w:tr w:rsidR="00B0569D" w:rsidRPr="00D02A2E" w14:paraId="43736897" w14:textId="77777777" w:rsidTr="000F1C6B">
        <w:trPr>
          <w:cantSplit/>
        </w:trPr>
        <w:tc>
          <w:tcPr>
            <w:tcW w:w="4761" w:type="dxa"/>
            <w:shd w:val="clear" w:color="auto" w:fill="auto"/>
            <w:hideMark/>
          </w:tcPr>
          <w:p w14:paraId="65C00D74" w14:textId="77777777" w:rsidR="00B0569D" w:rsidRPr="00D02A2E" w:rsidRDefault="00B0569D" w:rsidP="00B0569D">
            <w:pPr>
              <w:pStyle w:val="ARtabletext"/>
            </w:pPr>
            <w:r w:rsidRPr="00C5726C">
              <w:rPr>
                <w:noProof/>
              </w:rPr>
              <w:t>Applications for aids and equipment acknowledged in writing within 10 working days</w:t>
            </w:r>
          </w:p>
        </w:tc>
        <w:tc>
          <w:tcPr>
            <w:tcW w:w="1021" w:type="dxa"/>
            <w:shd w:val="clear" w:color="auto" w:fill="auto"/>
            <w:hideMark/>
          </w:tcPr>
          <w:p w14:paraId="13D119C6" w14:textId="77777777" w:rsidR="00B0569D" w:rsidRPr="00D02A2E" w:rsidRDefault="00B0569D" w:rsidP="00B0569D">
            <w:pPr>
              <w:pStyle w:val="ARtabletextcentre"/>
            </w:pPr>
            <w:r w:rsidRPr="00C5726C">
              <w:rPr>
                <w:noProof/>
              </w:rPr>
              <w:t>per cent</w:t>
            </w:r>
          </w:p>
        </w:tc>
        <w:tc>
          <w:tcPr>
            <w:tcW w:w="1021" w:type="dxa"/>
            <w:shd w:val="clear" w:color="auto" w:fill="auto"/>
            <w:hideMark/>
          </w:tcPr>
          <w:p w14:paraId="57D6735B" w14:textId="77777777" w:rsidR="00B0569D" w:rsidRDefault="00B0569D" w:rsidP="00B0569D">
            <w:pPr>
              <w:pStyle w:val="ARtabletextright"/>
            </w:pPr>
            <w:r w:rsidRPr="00C5726C">
              <w:rPr>
                <w:noProof/>
              </w:rPr>
              <w:t>90</w:t>
            </w:r>
          </w:p>
        </w:tc>
        <w:tc>
          <w:tcPr>
            <w:tcW w:w="1021" w:type="dxa"/>
            <w:shd w:val="clear" w:color="auto" w:fill="auto"/>
            <w:hideMark/>
          </w:tcPr>
          <w:p w14:paraId="59144D43" w14:textId="77777777" w:rsidR="00B0569D" w:rsidRDefault="00B0569D" w:rsidP="00B0569D">
            <w:pPr>
              <w:pStyle w:val="ARtabletextright"/>
            </w:pPr>
            <w:r w:rsidRPr="00C5726C">
              <w:rPr>
                <w:noProof/>
              </w:rPr>
              <w:t>100</w:t>
            </w:r>
          </w:p>
        </w:tc>
        <w:tc>
          <w:tcPr>
            <w:tcW w:w="1021" w:type="dxa"/>
            <w:shd w:val="clear" w:color="auto" w:fill="auto"/>
          </w:tcPr>
          <w:p w14:paraId="7AE4F00F" w14:textId="77777777" w:rsidR="00B0569D" w:rsidRDefault="00B0569D" w:rsidP="00B0569D">
            <w:pPr>
              <w:pStyle w:val="ARtabletextright"/>
            </w:pPr>
            <w:r w:rsidRPr="00C5726C">
              <w:rPr>
                <w:noProof/>
              </w:rPr>
              <w:t>11.1</w:t>
            </w:r>
          </w:p>
        </w:tc>
        <w:tc>
          <w:tcPr>
            <w:tcW w:w="794" w:type="dxa"/>
            <w:shd w:val="clear" w:color="auto" w:fill="auto"/>
            <w:hideMark/>
          </w:tcPr>
          <w:p w14:paraId="3BDA5ECB" w14:textId="160C48EF" w:rsidR="00B0569D" w:rsidRPr="00D02A2E" w:rsidRDefault="00CF2633" w:rsidP="00A52A4C">
            <w:pPr>
              <w:pStyle w:val="ARtableperformancesymbol"/>
            </w:pPr>
            <w:r>
              <w:rPr>
                <w:noProof/>
              </w:rPr>
              <w:drawing>
                <wp:inline distT="0" distB="0" distL="0" distR="0" wp14:anchorId="4AFC644D" wp14:editId="4FA0B437">
                  <wp:extent cx="85320" cy="85320"/>
                  <wp:effectExtent l="0" t="0" r="0" b="0"/>
                  <wp:docPr id="140" name="Graphic 140"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B0569D" w:rsidRPr="00D02A2E" w14:paraId="79CB3804" w14:textId="77777777" w:rsidTr="000F1C6B">
        <w:trPr>
          <w:cantSplit/>
        </w:trPr>
        <w:tc>
          <w:tcPr>
            <w:tcW w:w="9639" w:type="dxa"/>
            <w:gridSpan w:val="6"/>
            <w:tcBorders>
              <w:bottom w:val="single" w:sz="4" w:space="0" w:color="BFBFBF"/>
            </w:tcBorders>
            <w:shd w:val="clear" w:color="auto" w:fill="auto"/>
            <w:noWrap/>
            <w:hideMark/>
          </w:tcPr>
          <w:p w14:paraId="3D803056" w14:textId="77777777" w:rsidR="00B0569D" w:rsidRPr="00D02A2E" w:rsidRDefault="00B0569D" w:rsidP="00B0569D">
            <w:pPr>
              <w:pStyle w:val="ARtablenoteindent"/>
            </w:pPr>
            <w:r w:rsidRPr="00C5726C">
              <w:rPr>
                <w:noProof/>
              </w:rPr>
              <w:t>This is a positive result demonstrating timeliness and efficiency in responding to applicants.</w:t>
            </w:r>
          </w:p>
        </w:tc>
      </w:tr>
      <w:tr w:rsidR="00B0569D" w:rsidRPr="00D02A2E" w14:paraId="6676D766" w14:textId="77777777" w:rsidTr="000F1C6B">
        <w:trPr>
          <w:cantSplit/>
        </w:trPr>
        <w:tc>
          <w:tcPr>
            <w:tcW w:w="9639" w:type="dxa"/>
            <w:gridSpan w:val="6"/>
            <w:tcBorders>
              <w:top w:val="single" w:sz="4" w:space="0" w:color="auto"/>
            </w:tcBorders>
            <w:shd w:val="clear" w:color="auto" w:fill="auto"/>
            <w:hideMark/>
          </w:tcPr>
          <w:p w14:paraId="0430FD6C" w14:textId="77777777" w:rsidR="00B0569D" w:rsidRPr="00D02A2E" w:rsidRDefault="00B0569D" w:rsidP="00B0569D">
            <w:pPr>
              <w:pStyle w:val="ARtablegreybold"/>
              <w:rPr>
                <w:rFonts w:ascii="Wingdings" w:hAnsi="Wingdings"/>
              </w:rPr>
            </w:pPr>
            <w:r>
              <w:t>Cost</w:t>
            </w:r>
          </w:p>
        </w:tc>
      </w:tr>
      <w:tr w:rsidR="00B0569D" w:rsidRPr="00D02A2E" w14:paraId="2FBD2495" w14:textId="77777777" w:rsidTr="000F1C6B">
        <w:trPr>
          <w:cantSplit/>
        </w:trPr>
        <w:tc>
          <w:tcPr>
            <w:tcW w:w="4761" w:type="dxa"/>
            <w:shd w:val="clear" w:color="auto" w:fill="auto"/>
            <w:hideMark/>
          </w:tcPr>
          <w:p w14:paraId="7832429C" w14:textId="77777777" w:rsidR="00B0569D" w:rsidRPr="00A95DC7" w:rsidRDefault="00B0569D" w:rsidP="00B0569D">
            <w:pPr>
              <w:pStyle w:val="ARtabletext"/>
              <w:rPr>
                <w:b/>
                <w:bCs/>
              </w:rPr>
            </w:pPr>
            <w:r w:rsidRPr="00A95DC7">
              <w:rPr>
                <w:b/>
                <w:bCs/>
                <w:noProof/>
              </w:rPr>
              <w:t>Total Output Cost</w:t>
            </w:r>
          </w:p>
        </w:tc>
        <w:tc>
          <w:tcPr>
            <w:tcW w:w="1021" w:type="dxa"/>
            <w:shd w:val="clear" w:color="auto" w:fill="auto"/>
            <w:hideMark/>
          </w:tcPr>
          <w:p w14:paraId="3B3263B7" w14:textId="77777777" w:rsidR="00B0569D" w:rsidRPr="00A95DC7" w:rsidRDefault="00B0569D" w:rsidP="00B0569D">
            <w:pPr>
              <w:pStyle w:val="ARtabletextcentre"/>
            </w:pPr>
            <w:r w:rsidRPr="00A95DC7">
              <w:rPr>
                <w:b/>
                <w:bCs/>
                <w:noProof/>
              </w:rPr>
              <w:t>$ million</w:t>
            </w:r>
          </w:p>
        </w:tc>
        <w:tc>
          <w:tcPr>
            <w:tcW w:w="1021" w:type="dxa"/>
            <w:shd w:val="clear" w:color="auto" w:fill="auto"/>
            <w:hideMark/>
          </w:tcPr>
          <w:p w14:paraId="172845DD" w14:textId="77777777" w:rsidR="00B0569D" w:rsidRPr="00A95DC7" w:rsidRDefault="00B0569D" w:rsidP="00B0569D">
            <w:pPr>
              <w:pStyle w:val="ARtabletextright"/>
              <w:rPr>
                <w:b/>
                <w:bCs/>
              </w:rPr>
            </w:pPr>
            <w:r w:rsidRPr="00A95DC7">
              <w:rPr>
                <w:b/>
                <w:bCs/>
                <w:noProof/>
              </w:rPr>
              <w:t>133.8</w:t>
            </w:r>
          </w:p>
        </w:tc>
        <w:tc>
          <w:tcPr>
            <w:tcW w:w="1021" w:type="dxa"/>
            <w:shd w:val="clear" w:color="auto" w:fill="auto"/>
            <w:hideMark/>
          </w:tcPr>
          <w:p w14:paraId="7F0CF5B7" w14:textId="77777777" w:rsidR="00B0569D" w:rsidRPr="00A95DC7" w:rsidRDefault="00B0569D" w:rsidP="00B0569D">
            <w:pPr>
              <w:pStyle w:val="ARtabletextright"/>
              <w:rPr>
                <w:b/>
                <w:bCs/>
              </w:rPr>
            </w:pPr>
            <w:r w:rsidRPr="00A95DC7">
              <w:rPr>
                <w:b/>
                <w:bCs/>
                <w:noProof/>
              </w:rPr>
              <w:t>140.</w:t>
            </w:r>
            <w:r>
              <w:rPr>
                <w:b/>
                <w:bCs/>
                <w:noProof/>
              </w:rPr>
              <w:t>6</w:t>
            </w:r>
          </w:p>
        </w:tc>
        <w:tc>
          <w:tcPr>
            <w:tcW w:w="1021" w:type="dxa"/>
            <w:shd w:val="clear" w:color="auto" w:fill="auto"/>
          </w:tcPr>
          <w:p w14:paraId="2F3B63CB" w14:textId="77777777" w:rsidR="00B0569D" w:rsidRPr="00A95DC7" w:rsidRDefault="00B0569D" w:rsidP="00B0569D">
            <w:pPr>
              <w:pStyle w:val="ARtabletextright"/>
              <w:rPr>
                <w:b/>
                <w:bCs/>
              </w:rPr>
            </w:pPr>
            <w:r w:rsidRPr="00A95DC7">
              <w:rPr>
                <w:b/>
                <w:bCs/>
                <w:noProof/>
              </w:rPr>
              <w:t>5.</w:t>
            </w:r>
            <w:r>
              <w:rPr>
                <w:b/>
                <w:bCs/>
                <w:noProof/>
              </w:rPr>
              <w:t>1</w:t>
            </w:r>
          </w:p>
        </w:tc>
        <w:tc>
          <w:tcPr>
            <w:tcW w:w="794" w:type="dxa"/>
            <w:shd w:val="clear" w:color="auto" w:fill="auto"/>
            <w:hideMark/>
          </w:tcPr>
          <w:p w14:paraId="14703565" w14:textId="77777777" w:rsidR="00B0569D" w:rsidRPr="00A95DC7" w:rsidRDefault="00B0569D" w:rsidP="00B0569D">
            <w:pPr>
              <w:pStyle w:val="ARtabletextright"/>
              <w:rPr>
                <w:b/>
                <w:bCs/>
              </w:rPr>
            </w:pPr>
          </w:p>
        </w:tc>
      </w:tr>
      <w:tr w:rsidR="00B0569D" w:rsidRPr="00D02A2E" w14:paraId="26B78711" w14:textId="77777777" w:rsidTr="000F1C6B">
        <w:trPr>
          <w:cantSplit/>
        </w:trPr>
        <w:tc>
          <w:tcPr>
            <w:tcW w:w="9639" w:type="dxa"/>
            <w:gridSpan w:val="6"/>
            <w:tcBorders>
              <w:bottom w:val="single" w:sz="4" w:space="0" w:color="BFBFBF"/>
            </w:tcBorders>
            <w:shd w:val="clear" w:color="auto" w:fill="auto"/>
            <w:noWrap/>
            <w:hideMark/>
          </w:tcPr>
          <w:p w14:paraId="06312726" w14:textId="77777777" w:rsidR="00B0569D" w:rsidRPr="00D02A2E" w:rsidRDefault="00B0569D" w:rsidP="00B0569D">
            <w:pPr>
              <w:pStyle w:val="ARtablenoteindent"/>
            </w:pPr>
            <w:r w:rsidRPr="00C5726C">
              <w:rPr>
                <w:noProof/>
              </w:rPr>
              <w:t>The 202</w:t>
            </w:r>
            <w:r>
              <w:rPr>
                <w:noProof/>
              </w:rPr>
              <w:t>0–</w:t>
            </w:r>
            <w:r w:rsidRPr="00C5726C">
              <w:rPr>
                <w:noProof/>
              </w:rPr>
              <w:t xml:space="preserve">21 outcome reflects the budget impact of </w:t>
            </w:r>
            <w:r>
              <w:rPr>
                <w:noProof/>
              </w:rPr>
              <w:t>m</w:t>
            </w:r>
            <w:r w:rsidRPr="00C5726C">
              <w:rPr>
                <w:noProof/>
              </w:rPr>
              <w:t xml:space="preserve">achinery of </w:t>
            </w:r>
            <w:r>
              <w:rPr>
                <w:noProof/>
              </w:rPr>
              <w:t>g</w:t>
            </w:r>
            <w:r w:rsidRPr="00C5726C">
              <w:rPr>
                <w:noProof/>
              </w:rPr>
              <w:t>overnment changes between the Department of Health and Department of Families, Fairness and Housing.</w:t>
            </w:r>
          </w:p>
        </w:tc>
      </w:tr>
      <w:tr w:rsidR="00B0569D" w:rsidRPr="00D02A2E" w14:paraId="535D1CDA" w14:textId="77777777" w:rsidTr="000F1C6B">
        <w:trPr>
          <w:cantSplit/>
        </w:trPr>
        <w:tc>
          <w:tcPr>
            <w:tcW w:w="9639" w:type="dxa"/>
            <w:gridSpan w:val="6"/>
            <w:tcBorders>
              <w:top w:val="single" w:sz="4" w:space="0" w:color="auto"/>
              <w:bottom w:val="single" w:sz="4" w:space="0" w:color="auto"/>
            </w:tcBorders>
            <w:shd w:val="clear" w:color="auto" w:fill="auto"/>
            <w:hideMark/>
          </w:tcPr>
          <w:p w14:paraId="69C55BBC" w14:textId="77777777" w:rsidR="00B0569D" w:rsidRPr="00D02A2E" w:rsidRDefault="00B0569D" w:rsidP="00B0569D">
            <w:pPr>
              <w:pStyle w:val="ARtablebluebold"/>
              <w:rPr>
                <w:rFonts w:ascii="Wingdings" w:hAnsi="Wingdings"/>
              </w:rPr>
            </w:pPr>
            <w:r w:rsidRPr="00572290">
              <w:t>Home and Community Care Program for Younger People</w:t>
            </w:r>
          </w:p>
        </w:tc>
      </w:tr>
      <w:tr w:rsidR="00B0569D" w:rsidRPr="00D02A2E" w14:paraId="54F69717" w14:textId="77777777" w:rsidTr="000F1C6B">
        <w:trPr>
          <w:cantSplit/>
        </w:trPr>
        <w:tc>
          <w:tcPr>
            <w:tcW w:w="9639" w:type="dxa"/>
            <w:gridSpan w:val="6"/>
            <w:tcBorders>
              <w:top w:val="single" w:sz="4" w:space="0" w:color="auto"/>
            </w:tcBorders>
            <w:shd w:val="clear" w:color="auto" w:fill="auto"/>
            <w:hideMark/>
          </w:tcPr>
          <w:p w14:paraId="3628C411" w14:textId="77777777" w:rsidR="00B0569D" w:rsidRPr="00D02A2E" w:rsidRDefault="00B0569D" w:rsidP="00B0569D">
            <w:pPr>
              <w:pStyle w:val="ARtablegreybold"/>
              <w:rPr>
                <w:rFonts w:ascii="Wingdings" w:hAnsi="Wingdings"/>
              </w:rPr>
            </w:pPr>
            <w:r>
              <w:t>Quantity</w:t>
            </w:r>
          </w:p>
        </w:tc>
      </w:tr>
      <w:tr w:rsidR="00B0569D" w:rsidRPr="00D02A2E" w14:paraId="224EB3BC" w14:textId="77777777" w:rsidTr="000F1C6B">
        <w:trPr>
          <w:cantSplit/>
        </w:trPr>
        <w:tc>
          <w:tcPr>
            <w:tcW w:w="4761" w:type="dxa"/>
            <w:tcBorders>
              <w:bottom w:val="single" w:sz="4" w:space="0" w:color="BFBFBF" w:themeColor="background1" w:themeShade="BF"/>
            </w:tcBorders>
            <w:shd w:val="clear" w:color="auto" w:fill="auto"/>
            <w:hideMark/>
          </w:tcPr>
          <w:p w14:paraId="130F422C" w14:textId="77777777" w:rsidR="00B0569D" w:rsidRPr="00D02A2E" w:rsidRDefault="00B0569D" w:rsidP="00B0569D">
            <w:pPr>
              <w:pStyle w:val="ARtabletext"/>
            </w:pPr>
            <w:r w:rsidRPr="00C5726C">
              <w:rPr>
                <w:noProof/>
              </w:rPr>
              <w:t>Home and Community Care for Younger People – number of clients receiving a service</w:t>
            </w:r>
          </w:p>
        </w:tc>
        <w:tc>
          <w:tcPr>
            <w:tcW w:w="1021" w:type="dxa"/>
            <w:tcBorders>
              <w:bottom w:val="single" w:sz="4" w:space="0" w:color="BFBFBF" w:themeColor="background1" w:themeShade="BF"/>
            </w:tcBorders>
            <w:shd w:val="clear" w:color="auto" w:fill="auto"/>
            <w:hideMark/>
          </w:tcPr>
          <w:p w14:paraId="4B6A4C47" w14:textId="77777777" w:rsidR="00B0569D" w:rsidRPr="00D02A2E" w:rsidRDefault="00B0569D" w:rsidP="00B0569D">
            <w:pPr>
              <w:pStyle w:val="ARtabletextcentre"/>
            </w:pPr>
            <w:r w:rsidRPr="00C5726C">
              <w:rPr>
                <w:noProof/>
              </w:rPr>
              <w:t>number</w:t>
            </w:r>
          </w:p>
        </w:tc>
        <w:tc>
          <w:tcPr>
            <w:tcW w:w="1021" w:type="dxa"/>
            <w:tcBorders>
              <w:bottom w:val="single" w:sz="4" w:space="0" w:color="BFBFBF" w:themeColor="background1" w:themeShade="BF"/>
            </w:tcBorders>
            <w:shd w:val="clear" w:color="auto" w:fill="auto"/>
            <w:hideMark/>
          </w:tcPr>
          <w:p w14:paraId="47FD25C5" w14:textId="77777777" w:rsidR="00B0569D" w:rsidRDefault="00B0569D" w:rsidP="00B0569D">
            <w:pPr>
              <w:pStyle w:val="ARtabletextright"/>
            </w:pPr>
            <w:r w:rsidRPr="00C5726C">
              <w:rPr>
                <w:noProof/>
              </w:rPr>
              <w:t>60</w:t>
            </w:r>
            <w:r>
              <w:rPr>
                <w:noProof/>
              </w:rPr>
              <w:t>,</w:t>
            </w:r>
            <w:r w:rsidRPr="00C5726C">
              <w:rPr>
                <w:noProof/>
              </w:rPr>
              <w:t>000</w:t>
            </w:r>
          </w:p>
        </w:tc>
        <w:tc>
          <w:tcPr>
            <w:tcW w:w="1021" w:type="dxa"/>
            <w:tcBorders>
              <w:bottom w:val="single" w:sz="4" w:space="0" w:color="BFBFBF" w:themeColor="background1" w:themeShade="BF"/>
            </w:tcBorders>
            <w:shd w:val="clear" w:color="auto" w:fill="auto"/>
            <w:hideMark/>
          </w:tcPr>
          <w:p w14:paraId="559ED892" w14:textId="77777777" w:rsidR="00B0569D" w:rsidRDefault="00B0569D" w:rsidP="00B0569D">
            <w:pPr>
              <w:pStyle w:val="ARtabletextright"/>
            </w:pPr>
            <w:r>
              <w:rPr>
                <w:noProof/>
              </w:rPr>
              <w:t>59,750</w:t>
            </w:r>
          </w:p>
        </w:tc>
        <w:tc>
          <w:tcPr>
            <w:tcW w:w="1021" w:type="dxa"/>
            <w:tcBorders>
              <w:bottom w:val="single" w:sz="4" w:space="0" w:color="BFBFBF" w:themeColor="background1" w:themeShade="BF"/>
            </w:tcBorders>
            <w:shd w:val="clear" w:color="auto" w:fill="auto"/>
          </w:tcPr>
          <w:p w14:paraId="49E7495B" w14:textId="77777777" w:rsidR="00B0569D" w:rsidRDefault="00B0569D" w:rsidP="00B0569D">
            <w:pPr>
              <w:pStyle w:val="ARtabletextright"/>
            </w:pPr>
            <w:r>
              <w:rPr>
                <w:noProof/>
              </w:rPr>
              <w:t>−</w:t>
            </w:r>
            <w:r>
              <w:t>0.4</w:t>
            </w:r>
          </w:p>
        </w:tc>
        <w:tc>
          <w:tcPr>
            <w:tcW w:w="794" w:type="dxa"/>
            <w:tcBorders>
              <w:bottom w:val="single" w:sz="4" w:space="0" w:color="BFBFBF" w:themeColor="background1" w:themeShade="BF"/>
            </w:tcBorders>
            <w:shd w:val="clear" w:color="auto" w:fill="auto"/>
            <w:hideMark/>
          </w:tcPr>
          <w:p w14:paraId="48F60C9D" w14:textId="59A9FE53" w:rsidR="00B0569D" w:rsidRPr="00D02A2E" w:rsidRDefault="00CF2633" w:rsidP="00A52A4C">
            <w:pPr>
              <w:pStyle w:val="ARtableperformancesymbol"/>
            </w:pPr>
            <w:r w:rsidRPr="00F96CDB">
              <w:rPr>
                <w:noProof/>
              </w:rPr>
              <w:drawing>
                <wp:inline distT="0" distB="0" distL="0" distR="0" wp14:anchorId="2F53D251" wp14:editId="3DB84C96">
                  <wp:extent cx="76320" cy="76320"/>
                  <wp:effectExtent l="0" t="0" r="0" b="0"/>
                  <wp:docPr id="104" name="Graphic 104" descr="Target not achieved – within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Target not achieved – within five per cent varianc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76320" cy="76320"/>
                          </a:xfrm>
                          <a:prstGeom prst="rect">
                            <a:avLst/>
                          </a:prstGeom>
                        </pic:spPr>
                      </pic:pic>
                    </a:graphicData>
                  </a:graphic>
                </wp:inline>
              </w:drawing>
            </w:r>
            <w:r>
              <w:t xml:space="preserve"> </w:t>
            </w:r>
          </w:p>
        </w:tc>
      </w:tr>
      <w:tr w:rsidR="00B0569D" w:rsidRPr="00D02A2E" w14:paraId="0136632B" w14:textId="77777777" w:rsidTr="000F1C6B">
        <w:trPr>
          <w:cantSplit/>
        </w:trPr>
        <w:tc>
          <w:tcPr>
            <w:tcW w:w="4761" w:type="dxa"/>
            <w:tcBorders>
              <w:top w:val="single" w:sz="4" w:space="0" w:color="BFBFBF" w:themeColor="background1" w:themeShade="BF"/>
            </w:tcBorders>
            <w:shd w:val="clear" w:color="auto" w:fill="auto"/>
            <w:hideMark/>
          </w:tcPr>
          <w:p w14:paraId="4051FED3" w14:textId="77777777" w:rsidR="00B0569D" w:rsidRPr="00D02A2E" w:rsidRDefault="00B0569D" w:rsidP="00B0569D">
            <w:pPr>
              <w:pStyle w:val="ARtabletext"/>
            </w:pPr>
            <w:r w:rsidRPr="00C5726C">
              <w:rPr>
                <w:noProof/>
              </w:rPr>
              <w:t>Home and Community Care for Younger People – hours of service delivery</w:t>
            </w:r>
          </w:p>
        </w:tc>
        <w:tc>
          <w:tcPr>
            <w:tcW w:w="1021" w:type="dxa"/>
            <w:tcBorders>
              <w:top w:val="single" w:sz="4" w:space="0" w:color="BFBFBF" w:themeColor="background1" w:themeShade="BF"/>
            </w:tcBorders>
            <w:shd w:val="clear" w:color="auto" w:fill="auto"/>
            <w:hideMark/>
          </w:tcPr>
          <w:p w14:paraId="24A9C217" w14:textId="77777777" w:rsidR="00B0569D" w:rsidRPr="00D02A2E" w:rsidRDefault="00B0569D" w:rsidP="00B0569D">
            <w:pPr>
              <w:pStyle w:val="ARtabletextright"/>
            </w:pPr>
            <w:r w:rsidRPr="00C5726C">
              <w:rPr>
                <w:noProof/>
              </w:rPr>
              <w:t>hours</w:t>
            </w:r>
          </w:p>
        </w:tc>
        <w:tc>
          <w:tcPr>
            <w:tcW w:w="1021" w:type="dxa"/>
            <w:tcBorders>
              <w:top w:val="single" w:sz="4" w:space="0" w:color="BFBFBF" w:themeColor="background1" w:themeShade="BF"/>
            </w:tcBorders>
            <w:shd w:val="clear" w:color="auto" w:fill="auto"/>
            <w:hideMark/>
          </w:tcPr>
          <w:p w14:paraId="1F87B33D" w14:textId="77777777" w:rsidR="00B0569D" w:rsidRDefault="00B0569D" w:rsidP="00B0569D">
            <w:pPr>
              <w:pStyle w:val="ARtabletextright"/>
            </w:pPr>
            <w:r w:rsidRPr="00C5726C">
              <w:rPr>
                <w:noProof/>
              </w:rPr>
              <w:t>1</w:t>
            </w:r>
            <w:r>
              <w:rPr>
                <w:noProof/>
              </w:rPr>
              <w:t>,</w:t>
            </w:r>
            <w:r w:rsidRPr="00C5726C">
              <w:rPr>
                <w:noProof/>
              </w:rPr>
              <w:t>000</w:t>
            </w:r>
            <w:r>
              <w:rPr>
                <w:noProof/>
              </w:rPr>
              <w:t>,</w:t>
            </w:r>
            <w:r w:rsidRPr="00C5726C">
              <w:rPr>
                <w:noProof/>
              </w:rPr>
              <w:t>000</w:t>
            </w:r>
          </w:p>
        </w:tc>
        <w:tc>
          <w:tcPr>
            <w:tcW w:w="1021" w:type="dxa"/>
            <w:tcBorders>
              <w:top w:val="single" w:sz="4" w:space="0" w:color="BFBFBF" w:themeColor="background1" w:themeShade="BF"/>
            </w:tcBorders>
            <w:shd w:val="clear" w:color="auto" w:fill="auto"/>
            <w:hideMark/>
          </w:tcPr>
          <w:p w14:paraId="33F3FE8E" w14:textId="77777777" w:rsidR="00B0569D" w:rsidRDefault="00B0569D" w:rsidP="00B0569D">
            <w:pPr>
              <w:pStyle w:val="ARtabletextright"/>
            </w:pPr>
            <w:r w:rsidRPr="001D2FCE">
              <w:rPr>
                <w:noProof/>
              </w:rPr>
              <w:t>877</w:t>
            </w:r>
            <w:r>
              <w:rPr>
                <w:noProof/>
              </w:rPr>
              <w:t>,</w:t>
            </w:r>
            <w:r w:rsidRPr="00C5726C">
              <w:rPr>
                <w:noProof/>
              </w:rPr>
              <w:t>000</w:t>
            </w:r>
          </w:p>
        </w:tc>
        <w:tc>
          <w:tcPr>
            <w:tcW w:w="1021" w:type="dxa"/>
            <w:tcBorders>
              <w:top w:val="single" w:sz="4" w:space="0" w:color="BFBFBF" w:themeColor="background1" w:themeShade="BF"/>
            </w:tcBorders>
            <w:shd w:val="clear" w:color="auto" w:fill="auto"/>
          </w:tcPr>
          <w:p w14:paraId="32796DCC" w14:textId="77777777" w:rsidR="00B0569D" w:rsidRDefault="00B0569D" w:rsidP="00B0569D">
            <w:pPr>
              <w:pStyle w:val="ARtabletextright"/>
            </w:pPr>
            <w:r>
              <w:rPr>
                <w:noProof/>
              </w:rPr>
              <w:t>−</w:t>
            </w:r>
            <w:r w:rsidRPr="00C5726C">
              <w:rPr>
                <w:noProof/>
              </w:rPr>
              <w:t>1</w:t>
            </w:r>
            <w:r>
              <w:rPr>
                <w:noProof/>
              </w:rPr>
              <w:t>2</w:t>
            </w:r>
            <w:r w:rsidRPr="00C5726C">
              <w:rPr>
                <w:noProof/>
              </w:rPr>
              <w:t>.3</w:t>
            </w:r>
          </w:p>
        </w:tc>
        <w:tc>
          <w:tcPr>
            <w:tcW w:w="794" w:type="dxa"/>
            <w:tcBorders>
              <w:top w:val="single" w:sz="4" w:space="0" w:color="BFBFBF" w:themeColor="background1" w:themeShade="BF"/>
            </w:tcBorders>
            <w:shd w:val="clear" w:color="auto" w:fill="auto"/>
            <w:hideMark/>
          </w:tcPr>
          <w:p w14:paraId="7775E746" w14:textId="1A6E2C4A" w:rsidR="00B0569D" w:rsidRPr="00D02A2E" w:rsidRDefault="00B0569D" w:rsidP="00A52A4C">
            <w:pPr>
              <w:pStyle w:val="ARtableperformancesymbol"/>
            </w:pPr>
            <w:r>
              <w:rPr>
                <w:noProof/>
              </w:rPr>
              <w:drawing>
                <wp:inline distT="0" distB="0" distL="0" distR="0" wp14:anchorId="0FA5D426" wp14:editId="67C8714C">
                  <wp:extent cx="76320" cy="76320"/>
                  <wp:effectExtent l="0" t="0" r="0" b="0"/>
                  <wp:docPr id="78" name="Graphic 78"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B0569D" w:rsidRPr="00D02A2E" w14:paraId="3D9BDBCB" w14:textId="77777777" w:rsidTr="000F1C6B">
        <w:trPr>
          <w:cantSplit/>
        </w:trPr>
        <w:tc>
          <w:tcPr>
            <w:tcW w:w="9639" w:type="dxa"/>
            <w:gridSpan w:val="6"/>
            <w:tcBorders>
              <w:bottom w:val="single" w:sz="4" w:space="0" w:color="BFBFBF"/>
            </w:tcBorders>
            <w:shd w:val="clear" w:color="auto" w:fill="auto"/>
            <w:noWrap/>
            <w:hideMark/>
          </w:tcPr>
          <w:p w14:paraId="1E870A1E" w14:textId="77777777" w:rsidR="00B0569D" w:rsidRPr="00D02A2E" w:rsidRDefault="00B0569D" w:rsidP="00B0569D">
            <w:pPr>
              <w:pStyle w:val="ARtablenoteindent"/>
            </w:pPr>
            <w:r w:rsidRPr="00C5726C">
              <w:rPr>
                <w:noProof/>
              </w:rPr>
              <w:t>Service has been impacted by COVID-19. The 202</w:t>
            </w:r>
            <w:r>
              <w:rPr>
                <w:noProof/>
              </w:rPr>
              <w:t>0–</w:t>
            </w:r>
            <w:r w:rsidRPr="00C5726C">
              <w:rPr>
                <w:noProof/>
              </w:rPr>
              <w:t>21 variance is due to decrease in ability to provide some services due to the impact of COVID-19 and alternative services being delivered that cannot be reported in the client database.</w:t>
            </w:r>
          </w:p>
        </w:tc>
      </w:tr>
      <w:tr w:rsidR="00B0569D" w:rsidRPr="00D02A2E" w14:paraId="3B8D5B9C" w14:textId="77777777" w:rsidTr="000F1C6B">
        <w:trPr>
          <w:cantSplit/>
        </w:trPr>
        <w:tc>
          <w:tcPr>
            <w:tcW w:w="9639" w:type="dxa"/>
            <w:gridSpan w:val="6"/>
            <w:tcBorders>
              <w:top w:val="single" w:sz="4" w:space="0" w:color="auto"/>
            </w:tcBorders>
            <w:shd w:val="clear" w:color="auto" w:fill="auto"/>
            <w:hideMark/>
          </w:tcPr>
          <w:p w14:paraId="1F4BD73F" w14:textId="77777777" w:rsidR="00B0569D" w:rsidRPr="00D02A2E" w:rsidRDefault="00B0569D" w:rsidP="00B0569D">
            <w:pPr>
              <w:pStyle w:val="ARtablegreybold"/>
              <w:rPr>
                <w:rFonts w:ascii="Wingdings" w:hAnsi="Wingdings"/>
              </w:rPr>
            </w:pPr>
            <w:r>
              <w:t>Cost</w:t>
            </w:r>
          </w:p>
        </w:tc>
      </w:tr>
      <w:tr w:rsidR="00B0569D" w:rsidRPr="00D02A2E" w14:paraId="70A9BB0B" w14:textId="77777777" w:rsidTr="000F1C6B">
        <w:trPr>
          <w:cantSplit/>
        </w:trPr>
        <w:tc>
          <w:tcPr>
            <w:tcW w:w="4761" w:type="dxa"/>
            <w:shd w:val="clear" w:color="auto" w:fill="auto"/>
            <w:hideMark/>
          </w:tcPr>
          <w:p w14:paraId="390053B4" w14:textId="77777777" w:rsidR="00B0569D" w:rsidRPr="00A936C1" w:rsidRDefault="00B0569D" w:rsidP="00B0569D">
            <w:pPr>
              <w:pStyle w:val="ARtabletext"/>
              <w:rPr>
                <w:b/>
              </w:rPr>
            </w:pPr>
            <w:r w:rsidRPr="00A936C1">
              <w:rPr>
                <w:b/>
              </w:rPr>
              <w:t>Total Output Cost</w:t>
            </w:r>
          </w:p>
        </w:tc>
        <w:tc>
          <w:tcPr>
            <w:tcW w:w="1021" w:type="dxa"/>
            <w:shd w:val="clear" w:color="auto" w:fill="auto"/>
            <w:hideMark/>
          </w:tcPr>
          <w:p w14:paraId="5C97E6AC" w14:textId="77777777" w:rsidR="00B0569D" w:rsidRPr="00A936C1" w:rsidRDefault="00B0569D" w:rsidP="00B0569D">
            <w:pPr>
              <w:pStyle w:val="ARtabletextcentre"/>
              <w:rPr>
                <w:b/>
              </w:rPr>
            </w:pPr>
            <w:r w:rsidRPr="00A936C1">
              <w:rPr>
                <w:b/>
              </w:rPr>
              <w:t>$ million</w:t>
            </w:r>
          </w:p>
        </w:tc>
        <w:tc>
          <w:tcPr>
            <w:tcW w:w="1021" w:type="dxa"/>
            <w:shd w:val="clear" w:color="auto" w:fill="auto"/>
            <w:hideMark/>
          </w:tcPr>
          <w:p w14:paraId="4A793CDC" w14:textId="77777777" w:rsidR="00B0569D" w:rsidRPr="00A936C1" w:rsidRDefault="00B0569D" w:rsidP="00B0569D">
            <w:pPr>
              <w:pStyle w:val="ARtabletextright"/>
              <w:rPr>
                <w:b/>
              </w:rPr>
            </w:pPr>
            <w:r w:rsidRPr="00A936C1">
              <w:rPr>
                <w:b/>
              </w:rPr>
              <w:t>219.3</w:t>
            </w:r>
          </w:p>
        </w:tc>
        <w:tc>
          <w:tcPr>
            <w:tcW w:w="1021" w:type="dxa"/>
            <w:shd w:val="clear" w:color="auto" w:fill="auto"/>
            <w:hideMark/>
          </w:tcPr>
          <w:p w14:paraId="28209EBD" w14:textId="77777777" w:rsidR="00B0569D" w:rsidRPr="00A936C1" w:rsidRDefault="00B0569D" w:rsidP="00B0569D">
            <w:pPr>
              <w:pStyle w:val="ARtabletextright"/>
              <w:rPr>
                <w:b/>
              </w:rPr>
            </w:pPr>
            <w:r w:rsidRPr="00A936C1">
              <w:rPr>
                <w:b/>
              </w:rPr>
              <w:t>222.1</w:t>
            </w:r>
          </w:p>
        </w:tc>
        <w:tc>
          <w:tcPr>
            <w:tcW w:w="1021" w:type="dxa"/>
            <w:shd w:val="clear" w:color="auto" w:fill="auto"/>
          </w:tcPr>
          <w:p w14:paraId="067671D6" w14:textId="77777777" w:rsidR="00B0569D" w:rsidRPr="00A936C1" w:rsidRDefault="00B0569D" w:rsidP="00B0569D">
            <w:pPr>
              <w:pStyle w:val="ARtabletextright"/>
              <w:rPr>
                <w:b/>
              </w:rPr>
            </w:pPr>
            <w:r w:rsidRPr="00A936C1">
              <w:rPr>
                <w:b/>
              </w:rPr>
              <w:t>1.3</w:t>
            </w:r>
          </w:p>
        </w:tc>
        <w:tc>
          <w:tcPr>
            <w:tcW w:w="794" w:type="dxa"/>
            <w:shd w:val="clear" w:color="auto" w:fill="auto"/>
            <w:hideMark/>
          </w:tcPr>
          <w:p w14:paraId="08F9C290" w14:textId="77777777" w:rsidR="00B0569D" w:rsidRPr="00A936C1" w:rsidRDefault="00B0569D" w:rsidP="00B0569D">
            <w:pPr>
              <w:pStyle w:val="ARtabletextright"/>
              <w:rPr>
                <w:b/>
              </w:rPr>
            </w:pPr>
          </w:p>
        </w:tc>
      </w:tr>
      <w:tr w:rsidR="00B0569D" w:rsidRPr="00D02A2E" w14:paraId="62249C50" w14:textId="77777777" w:rsidTr="000F1C6B">
        <w:trPr>
          <w:cantSplit/>
        </w:trPr>
        <w:tc>
          <w:tcPr>
            <w:tcW w:w="9639" w:type="dxa"/>
            <w:gridSpan w:val="6"/>
            <w:tcBorders>
              <w:bottom w:val="single" w:sz="4" w:space="0" w:color="auto"/>
            </w:tcBorders>
            <w:shd w:val="clear" w:color="auto" w:fill="auto"/>
            <w:noWrap/>
            <w:hideMark/>
          </w:tcPr>
          <w:p w14:paraId="3A797FB2" w14:textId="77777777" w:rsidR="00B0569D" w:rsidRPr="00D02A2E" w:rsidRDefault="00B0569D" w:rsidP="00B0569D">
            <w:pPr>
              <w:pStyle w:val="ARtablenoteindent"/>
            </w:pPr>
            <w:r w:rsidRPr="00C5726C">
              <w:rPr>
                <w:noProof/>
              </w:rPr>
              <w:t>The 202</w:t>
            </w:r>
            <w:r>
              <w:rPr>
                <w:noProof/>
              </w:rPr>
              <w:t>0–</w:t>
            </w:r>
            <w:r w:rsidRPr="00C5726C">
              <w:rPr>
                <w:noProof/>
              </w:rPr>
              <w:t>21 actual outcome primarily reflects increases in government policy initiatives</w:t>
            </w:r>
            <w:r>
              <w:rPr>
                <w:noProof/>
              </w:rPr>
              <w:t>.</w:t>
            </w:r>
          </w:p>
        </w:tc>
      </w:tr>
    </w:tbl>
    <w:p w14:paraId="74FCCC20" w14:textId="77777777" w:rsidR="00F46D9F" w:rsidRPr="00F46D9F" w:rsidRDefault="00F46D9F" w:rsidP="00F46D9F">
      <w:pPr>
        <w:pStyle w:val="ARbody"/>
      </w:pPr>
      <w:bookmarkStart w:id="275" w:name="_Toc85121159"/>
      <w:r w:rsidRPr="00F46D9F">
        <w:br w:type="page"/>
      </w:r>
    </w:p>
    <w:p w14:paraId="318DA24C" w14:textId="410EEF3D" w:rsidR="00496244" w:rsidRPr="00D02A2E" w:rsidRDefault="00496244" w:rsidP="00317057">
      <w:pPr>
        <w:pStyle w:val="Heading4"/>
        <w:spacing w:before="400"/>
      </w:pPr>
      <w:r>
        <w:lastRenderedPageBreak/>
        <w:t>Ambulance Services</w:t>
      </w:r>
      <w:bookmarkEnd w:id="275"/>
    </w:p>
    <w:p w14:paraId="21981368" w14:textId="69237E79" w:rsidR="00496244" w:rsidRDefault="00496244" w:rsidP="00317057">
      <w:pPr>
        <w:pStyle w:val="ARbodybeforetable"/>
      </w:pPr>
      <w:r w:rsidRPr="005C7F16">
        <w:t>This output describes the units of activity for emergency and non-emergency ambulance services under the</w:t>
      </w:r>
      <w:r w:rsidR="00B527D8">
        <w:t> </w:t>
      </w:r>
      <w:r w:rsidRPr="005C7F16">
        <w:t>funding model introduced 1 July 2014. It includes a range of performance deliverables that measure the quality and timeliness of ambulance services expected over the period. The quality and timeliness measures identify expected clinical output measures and ambulance response times, which are important to ensure critically ill Victorians receive the care they need.</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496244" w:rsidRPr="00D02A2E" w14:paraId="6070BD65" w14:textId="77777777" w:rsidTr="000F1C6B">
        <w:trPr>
          <w:cantSplit/>
          <w:tblHeader/>
        </w:trPr>
        <w:tc>
          <w:tcPr>
            <w:tcW w:w="4761" w:type="dxa"/>
            <w:tcBorders>
              <w:bottom w:val="single" w:sz="4" w:space="0" w:color="auto"/>
            </w:tcBorders>
            <w:shd w:val="clear" w:color="auto" w:fill="auto"/>
            <w:vAlign w:val="bottom"/>
            <w:hideMark/>
          </w:tcPr>
          <w:p w14:paraId="622D2F6E" w14:textId="77777777" w:rsidR="00496244" w:rsidRPr="00D02A2E" w:rsidRDefault="00496244" w:rsidP="00317057">
            <w:pPr>
              <w:pStyle w:val="ARtablecolhead"/>
            </w:pPr>
            <w:r w:rsidRPr="00D02A2E">
              <w:t>Performance measures</w:t>
            </w:r>
          </w:p>
        </w:tc>
        <w:tc>
          <w:tcPr>
            <w:tcW w:w="1021" w:type="dxa"/>
            <w:tcBorders>
              <w:bottom w:val="single" w:sz="4" w:space="0" w:color="auto"/>
            </w:tcBorders>
            <w:shd w:val="clear" w:color="auto" w:fill="auto"/>
            <w:vAlign w:val="bottom"/>
            <w:hideMark/>
          </w:tcPr>
          <w:p w14:paraId="7A818711" w14:textId="77777777" w:rsidR="00496244" w:rsidRPr="00F72126" w:rsidRDefault="00496244" w:rsidP="00317057">
            <w:pPr>
              <w:pStyle w:val="ARtablecolheadcentre"/>
            </w:pPr>
            <w:r w:rsidRPr="00F72126">
              <w:t>Unit of measure</w:t>
            </w:r>
          </w:p>
        </w:tc>
        <w:tc>
          <w:tcPr>
            <w:tcW w:w="1021" w:type="dxa"/>
            <w:tcBorders>
              <w:bottom w:val="single" w:sz="4" w:space="0" w:color="auto"/>
            </w:tcBorders>
            <w:shd w:val="clear" w:color="auto" w:fill="auto"/>
            <w:vAlign w:val="bottom"/>
            <w:hideMark/>
          </w:tcPr>
          <w:p w14:paraId="56279DE5" w14:textId="77777777" w:rsidR="00496244" w:rsidRPr="00F72126" w:rsidRDefault="00496244" w:rsidP="00317057">
            <w:pPr>
              <w:pStyle w:val="ARtablecolheadright"/>
            </w:pPr>
            <w:r w:rsidRPr="00F72126">
              <w:t>20</w:t>
            </w:r>
            <w:r>
              <w:t>20</w:t>
            </w:r>
            <w:r w:rsidRPr="00F72126">
              <w:t>–</w:t>
            </w:r>
            <w:r>
              <w:t>21</w:t>
            </w:r>
            <w:r w:rsidRPr="00F72126">
              <w:t xml:space="preserve"> target</w:t>
            </w:r>
          </w:p>
        </w:tc>
        <w:tc>
          <w:tcPr>
            <w:tcW w:w="1021" w:type="dxa"/>
            <w:tcBorders>
              <w:bottom w:val="single" w:sz="4" w:space="0" w:color="auto"/>
            </w:tcBorders>
            <w:shd w:val="clear" w:color="auto" w:fill="auto"/>
            <w:vAlign w:val="bottom"/>
            <w:hideMark/>
          </w:tcPr>
          <w:p w14:paraId="48E14ACF" w14:textId="77777777" w:rsidR="00496244" w:rsidRPr="00F72126" w:rsidRDefault="00496244" w:rsidP="00317057">
            <w:pPr>
              <w:pStyle w:val="ARtablecolheadright"/>
            </w:pPr>
            <w:r w:rsidRPr="00F72126">
              <w:t>20</w:t>
            </w:r>
            <w:r>
              <w:t>20</w:t>
            </w:r>
            <w:r w:rsidRPr="00F72126">
              <w:t>–</w:t>
            </w:r>
            <w:r>
              <w:t>21</w:t>
            </w:r>
            <w:r w:rsidRPr="00F72126">
              <w:t xml:space="preserve"> actual</w:t>
            </w:r>
          </w:p>
        </w:tc>
        <w:tc>
          <w:tcPr>
            <w:tcW w:w="1021" w:type="dxa"/>
            <w:tcBorders>
              <w:bottom w:val="single" w:sz="4" w:space="0" w:color="auto"/>
            </w:tcBorders>
            <w:shd w:val="clear" w:color="auto" w:fill="auto"/>
            <w:vAlign w:val="bottom"/>
            <w:hideMark/>
          </w:tcPr>
          <w:p w14:paraId="05FFC144" w14:textId="77777777" w:rsidR="00496244" w:rsidRPr="00F72126" w:rsidRDefault="00496244" w:rsidP="00317057">
            <w:pPr>
              <w:pStyle w:val="ARtablecolheadright"/>
            </w:pPr>
            <w:r w:rsidRPr="00F72126">
              <w:t>Variation (%)</w:t>
            </w:r>
          </w:p>
        </w:tc>
        <w:tc>
          <w:tcPr>
            <w:tcW w:w="794" w:type="dxa"/>
            <w:tcBorders>
              <w:bottom w:val="single" w:sz="4" w:space="0" w:color="auto"/>
            </w:tcBorders>
            <w:shd w:val="clear" w:color="auto" w:fill="auto"/>
            <w:vAlign w:val="bottom"/>
            <w:hideMark/>
          </w:tcPr>
          <w:p w14:paraId="3FA60DEB" w14:textId="77777777" w:rsidR="00496244" w:rsidRPr="00F72126" w:rsidRDefault="00496244" w:rsidP="00317057">
            <w:pPr>
              <w:pStyle w:val="ARtablecolheadright"/>
            </w:pPr>
            <w:r w:rsidRPr="00F72126">
              <w:t>Result</w:t>
            </w:r>
          </w:p>
        </w:tc>
      </w:tr>
      <w:tr w:rsidR="00496244" w:rsidRPr="00D02A2E" w14:paraId="16EE73F9" w14:textId="77777777" w:rsidTr="000F1C6B">
        <w:trPr>
          <w:cantSplit/>
        </w:trPr>
        <w:tc>
          <w:tcPr>
            <w:tcW w:w="9639" w:type="dxa"/>
            <w:gridSpan w:val="6"/>
            <w:tcBorders>
              <w:top w:val="single" w:sz="4" w:space="0" w:color="auto"/>
              <w:bottom w:val="single" w:sz="4" w:space="0" w:color="auto"/>
            </w:tcBorders>
            <w:shd w:val="clear" w:color="auto" w:fill="auto"/>
            <w:hideMark/>
          </w:tcPr>
          <w:p w14:paraId="601EC167" w14:textId="77777777" w:rsidR="00496244" w:rsidRPr="00D02A2E" w:rsidRDefault="00496244" w:rsidP="00317057">
            <w:pPr>
              <w:pStyle w:val="ARtablebluebold"/>
              <w:rPr>
                <w:rFonts w:ascii="Wingdings" w:hAnsi="Wingdings"/>
              </w:rPr>
            </w:pPr>
            <w:r w:rsidRPr="00572290">
              <w:t>Ambulance Emergency Services</w:t>
            </w:r>
          </w:p>
        </w:tc>
      </w:tr>
      <w:tr w:rsidR="00496244" w:rsidRPr="00D02A2E" w14:paraId="421542B0" w14:textId="77777777" w:rsidTr="000F1C6B">
        <w:trPr>
          <w:cantSplit/>
        </w:trPr>
        <w:tc>
          <w:tcPr>
            <w:tcW w:w="9639" w:type="dxa"/>
            <w:gridSpan w:val="6"/>
            <w:tcBorders>
              <w:top w:val="single" w:sz="4" w:space="0" w:color="auto"/>
            </w:tcBorders>
            <w:shd w:val="clear" w:color="auto" w:fill="auto"/>
            <w:hideMark/>
          </w:tcPr>
          <w:p w14:paraId="54E3CBFB" w14:textId="77777777" w:rsidR="00496244" w:rsidRPr="00D02A2E" w:rsidRDefault="00496244" w:rsidP="00317057">
            <w:pPr>
              <w:pStyle w:val="ARtablegreybold"/>
              <w:rPr>
                <w:rFonts w:ascii="Wingdings" w:hAnsi="Wingdings"/>
              </w:rPr>
            </w:pPr>
            <w:r w:rsidRPr="007A45E9">
              <w:t>Quantity</w:t>
            </w:r>
          </w:p>
        </w:tc>
      </w:tr>
      <w:tr w:rsidR="00496244" w:rsidRPr="00D02A2E" w14:paraId="57B29DE7" w14:textId="77777777" w:rsidTr="000F1C6B">
        <w:trPr>
          <w:cantSplit/>
        </w:trPr>
        <w:tc>
          <w:tcPr>
            <w:tcW w:w="4761" w:type="dxa"/>
            <w:shd w:val="clear" w:color="auto" w:fill="auto"/>
            <w:hideMark/>
          </w:tcPr>
          <w:p w14:paraId="44AC1FFF" w14:textId="77777777" w:rsidR="00496244" w:rsidRPr="00D02A2E" w:rsidRDefault="00496244" w:rsidP="00317057">
            <w:pPr>
              <w:pStyle w:val="ARtabletext"/>
            </w:pPr>
            <w:r w:rsidRPr="00C5726C">
              <w:rPr>
                <w:noProof/>
              </w:rPr>
              <w:t>Community Service Obligation emergency road and air transports</w:t>
            </w:r>
          </w:p>
        </w:tc>
        <w:tc>
          <w:tcPr>
            <w:tcW w:w="1021" w:type="dxa"/>
            <w:shd w:val="clear" w:color="auto" w:fill="auto"/>
            <w:hideMark/>
          </w:tcPr>
          <w:p w14:paraId="1A544D1C" w14:textId="77777777" w:rsidR="00496244" w:rsidRPr="00D02A2E" w:rsidRDefault="00496244" w:rsidP="00317057">
            <w:pPr>
              <w:pStyle w:val="ARtabletextcentre"/>
            </w:pPr>
            <w:r w:rsidRPr="00C5726C">
              <w:rPr>
                <w:noProof/>
              </w:rPr>
              <w:t>number</w:t>
            </w:r>
          </w:p>
        </w:tc>
        <w:tc>
          <w:tcPr>
            <w:tcW w:w="1021" w:type="dxa"/>
            <w:shd w:val="clear" w:color="auto" w:fill="auto"/>
            <w:hideMark/>
          </w:tcPr>
          <w:p w14:paraId="2F1EEBFC" w14:textId="77777777" w:rsidR="00496244" w:rsidRDefault="00496244" w:rsidP="00317057">
            <w:pPr>
              <w:pStyle w:val="ARtabletextright"/>
            </w:pPr>
            <w:r w:rsidRPr="00C5726C">
              <w:rPr>
                <w:noProof/>
              </w:rPr>
              <w:t>270</w:t>
            </w:r>
            <w:r>
              <w:rPr>
                <w:noProof/>
              </w:rPr>
              <w:t>,</w:t>
            </w:r>
            <w:r w:rsidRPr="00C5726C">
              <w:rPr>
                <w:noProof/>
              </w:rPr>
              <w:t>480</w:t>
            </w:r>
          </w:p>
        </w:tc>
        <w:tc>
          <w:tcPr>
            <w:tcW w:w="1021" w:type="dxa"/>
            <w:shd w:val="clear" w:color="auto" w:fill="auto"/>
            <w:hideMark/>
          </w:tcPr>
          <w:p w14:paraId="505000F5" w14:textId="77777777" w:rsidR="00496244" w:rsidRDefault="00496244" w:rsidP="00317057">
            <w:pPr>
              <w:pStyle w:val="ARtabletextright"/>
            </w:pPr>
            <w:r w:rsidRPr="00C5726C">
              <w:rPr>
                <w:noProof/>
              </w:rPr>
              <w:t>299</w:t>
            </w:r>
            <w:r>
              <w:rPr>
                <w:noProof/>
              </w:rPr>
              <w:t>,</w:t>
            </w:r>
            <w:r w:rsidRPr="00C5726C">
              <w:rPr>
                <w:noProof/>
              </w:rPr>
              <w:t>047</w:t>
            </w:r>
          </w:p>
        </w:tc>
        <w:tc>
          <w:tcPr>
            <w:tcW w:w="1021" w:type="dxa"/>
            <w:shd w:val="clear" w:color="auto" w:fill="auto"/>
          </w:tcPr>
          <w:p w14:paraId="28418BC0" w14:textId="77777777" w:rsidR="00496244" w:rsidRDefault="00496244" w:rsidP="00317057">
            <w:pPr>
              <w:pStyle w:val="ARtabletextright"/>
            </w:pPr>
            <w:r w:rsidRPr="00C5726C">
              <w:rPr>
                <w:noProof/>
              </w:rPr>
              <w:t>10.6</w:t>
            </w:r>
          </w:p>
        </w:tc>
        <w:tc>
          <w:tcPr>
            <w:tcW w:w="794" w:type="dxa"/>
            <w:shd w:val="clear" w:color="auto" w:fill="auto"/>
            <w:hideMark/>
          </w:tcPr>
          <w:p w14:paraId="759B08EF" w14:textId="1B2A1D98" w:rsidR="00496244" w:rsidRPr="00D02A2E" w:rsidRDefault="00CF2633" w:rsidP="00A52A4C">
            <w:pPr>
              <w:pStyle w:val="ARtableperformancesymbol"/>
            </w:pPr>
            <w:r>
              <w:rPr>
                <w:noProof/>
              </w:rPr>
              <w:drawing>
                <wp:inline distT="0" distB="0" distL="0" distR="0" wp14:anchorId="3309F44C" wp14:editId="1FEDC4E7">
                  <wp:extent cx="85320" cy="85320"/>
                  <wp:effectExtent l="0" t="0" r="0" b="0"/>
                  <wp:docPr id="141" name="Graphic 141"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496244" w:rsidRPr="00D02A2E" w14:paraId="636C21D2" w14:textId="77777777" w:rsidTr="000F1C6B">
        <w:trPr>
          <w:cantSplit/>
        </w:trPr>
        <w:tc>
          <w:tcPr>
            <w:tcW w:w="9639" w:type="dxa"/>
            <w:gridSpan w:val="6"/>
            <w:tcBorders>
              <w:bottom w:val="single" w:sz="4" w:space="0" w:color="BFBFBF"/>
            </w:tcBorders>
            <w:shd w:val="clear" w:color="auto" w:fill="auto"/>
            <w:noWrap/>
            <w:hideMark/>
          </w:tcPr>
          <w:p w14:paraId="7A60821A" w14:textId="04121421" w:rsidR="00496244" w:rsidRPr="00D02A2E" w:rsidRDefault="00496244" w:rsidP="00317057">
            <w:pPr>
              <w:pStyle w:val="ARtablenoteindent"/>
            </w:pPr>
            <w:r w:rsidRPr="00C5726C">
              <w:rPr>
                <w:noProof/>
              </w:rPr>
              <w:t xml:space="preserve">This result is higher than target due to significantly increased demand in </w:t>
            </w:r>
            <w:r>
              <w:rPr>
                <w:noProof/>
              </w:rPr>
              <w:t>Quarter 4</w:t>
            </w:r>
            <w:r w:rsidRPr="00C5726C">
              <w:rPr>
                <w:noProof/>
              </w:rPr>
              <w:t xml:space="preserve"> following reduced activity associated with the Government</w:t>
            </w:r>
            <w:r w:rsidR="007D145B">
              <w:rPr>
                <w:noProof/>
              </w:rPr>
              <w:t>’</w:t>
            </w:r>
            <w:r w:rsidRPr="00C5726C">
              <w:rPr>
                <w:noProof/>
              </w:rPr>
              <w:t xml:space="preserve">s response to the </w:t>
            </w:r>
            <w:r>
              <w:rPr>
                <w:noProof/>
              </w:rPr>
              <w:t>COVID</w:t>
            </w:r>
            <w:r w:rsidRPr="00C5726C">
              <w:rPr>
                <w:noProof/>
              </w:rPr>
              <w:t>-19 pandemic.</w:t>
            </w:r>
          </w:p>
        </w:tc>
      </w:tr>
      <w:tr w:rsidR="00B0569D" w:rsidRPr="00D02A2E" w14:paraId="495996CB" w14:textId="77777777" w:rsidTr="000F1C6B">
        <w:trPr>
          <w:cantSplit/>
        </w:trPr>
        <w:tc>
          <w:tcPr>
            <w:tcW w:w="4761" w:type="dxa"/>
            <w:shd w:val="clear" w:color="auto" w:fill="auto"/>
            <w:hideMark/>
          </w:tcPr>
          <w:p w14:paraId="465A513A" w14:textId="77777777" w:rsidR="00B0569D" w:rsidRPr="00D02A2E" w:rsidRDefault="00B0569D" w:rsidP="00B0569D">
            <w:pPr>
              <w:pStyle w:val="ARtabletext"/>
            </w:pPr>
            <w:r w:rsidRPr="00C5726C">
              <w:rPr>
                <w:noProof/>
              </w:rPr>
              <w:t>Statewide emergency air transports</w:t>
            </w:r>
          </w:p>
        </w:tc>
        <w:tc>
          <w:tcPr>
            <w:tcW w:w="1021" w:type="dxa"/>
            <w:shd w:val="clear" w:color="auto" w:fill="auto"/>
            <w:hideMark/>
          </w:tcPr>
          <w:p w14:paraId="11EAF30B" w14:textId="77777777" w:rsidR="00B0569D" w:rsidRPr="00D02A2E" w:rsidRDefault="00B0569D" w:rsidP="00B0569D">
            <w:pPr>
              <w:pStyle w:val="ARtabletextcentre"/>
            </w:pPr>
            <w:r w:rsidRPr="00C5726C">
              <w:rPr>
                <w:noProof/>
              </w:rPr>
              <w:t>number</w:t>
            </w:r>
          </w:p>
        </w:tc>
        <w:tc>
          <w:tcPr>
            <w:tcW w:w="1021" w:type="dxa"/>
            <w:shd w:val="clear" w:color="auto" w:fill="auto"/>
            <w:hideMark/>
          </w:tcPr>
          <w:p w14:paraId="7D7A9FB8" w14:textId="77777777" w:rsidR="00B0569D" w:rsidRDefault="00B0569D" w:rsidP="00B0569D">
            <w:pPr>
              <w:pStyle w:val="ARtabletextright"/>
            </w:pPr>
            <w:r w:rsidRPr="00C5726C">
              <w:rPr>
                <w:noProof/>
              </w:rPr>
              <w:t>4</w:t>
            </w:r>
            <w:r>
              <w:rPr>
                <w:noProof/>
              </w:rPr>
              <w:t>,</w:t>
            </w:r>
            <w:r w:rsidRPr="00C5726C">
              <w:rPr>
                <w:noProof/>
              </w:rPr>
              <w:t>829</w:t>
            </w:r>
          </w:p>
        </w:tc>
        <w:tc>
          <w:tcPr>
            <w:tcW w:w="1021" w:type="dxa"/>
            <w:shd w:val="clear" w:color="auto" w:fill="auto"/>
            <w:hideMark/>
          </w:tcPr>
          <w:p w14:paraId="644E54EC" w14:textId="77777777" w:rsidR="00B0569D" w:rsidRDefault="00B0569D" w:rsidP="00B0569D">
            <w:pPr>
              <w:pStyle w:val="ARtabletextright"/>
            </w:pPr>
            <w:r w:rsidRPr="00C5726C">
              <w:rPr>
                <w:noProof/>
              </w:rPr>
              <w:t>4</w:t>
            </w:r>
            <w:r>
              <w:rPr>
                <w:noProof/>
              </w:rPr>
              <w:t>,</w:t>
            </w:r>
            <w:r w:rsidRPr="00C5726C">
              <w:rPr>
                <w:noProof/>
              </w:rPr>
              <w:t>208</w:t>
            </w:r>
          </w:p>
        </w:tc>
        <w:tc>
          <w:tcPr>
            <w:tcW w:w="1021" w:type="dxa"/>
            <w:shd w:val="clear" w:color="auto" w:fill="auto"/>
          </w:tcPr>
          <w:p w14:paraId="2C1CBDF9" w14:textId="77777777" w:rsidR="00B0569D" w:rsidRDefault="00B0569D" w:rsidP="00B0569D">
            <w:pPr>
              <w:pStyle w:val="ARtabletextright"/>
            </w:pPr>
            <w:r>
              <w:rPr>
                <w:noProof/>
              </w:rPr>
              <w:t>−</w:t>
            </w:r>
            <w:r w:rsidRPr="00C5726C">
              <w:rPr>
                <w:noProof/>
              </w:rPr>
              <w:t>12.9</w:t>
            </w:r>
          </w:p>
        </w:tc>
        <w:tc>
          <w:tcPr>
            <w:tcW w:w="794" w:type="dxa"/>
            <w:shd w:val="clear" w:color="auto" w:fill="auto"/>
            <w:hideMark/>
          </w:tcPr>
          <w:p w14:paraId="65B0C3EF" w14:textId="2809E08C" w:rsidR="00B0569D" w:rsidRPr="00D02A2E" w:rsidRDefault="00B0569D" w:rsidP="00A52A4C">
            <w:pPr>
              <w:pStyle w:val="ARtableperformancesymbol"/>
            </w:pPr>
            <w:r>
              <w:rPr>
                <w:noProof/>
              </w:rPr>
              <w:drawing>
                <wp:inline distT="0" distB="0" distL="0" distR="0" wp14:anchorId="1DF822DE" wp14:editId="535E677A">
                  <wp:extent cx="76320" cy="76320"/>
                  <wp:effectExtent l="0" t="0" r="0" b="0"/>
                  <wp:docPr id="79" name="Graphic 79"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B0569D" w:rsidRPr="00D02A2E" w14:paraId="0B3C8285" w14:textId="77777777" w:rsidTr="000F1C6B">
        <w:trPr>
          <w:cantSplit/>
        </w:trPr>
        <w:tc>
          <w:tcPr>
            <w:tcW w:w="9639" w:type="dxa"/>
            <w:gridSpan w:val="6"/>
            <w:tcBorders>
              <w:bottom w:val="single" w:sz="4" w:space="0" w:color="BFBFBF"/>
            </w:tcBorders>
            <w:shd w:val="clear" w:color="auto" w:fill="auto"/>
            <w:noWrap/>
            <w:hideMark/>
          </w:tcPr>
          <w:p w14:paraId="0CFAC3F7" w14:textId="77777777" w:rsidR="00B0569D" w:rsidRPr="00D02A2E" w:rsidRDefault="00B0569D" w:rsidP="00B0569D">
            <w:pPr>
              <w:pStyle w:val="ARtablenoteindent"/>
            </w:pPr>
            <w:r w:rsidRPr="00C5726C">
              <w:rPr>
                <w:noProof/>
              </w:rPr>
              <w:t>Air activity is entirely demand driven. Activity below target represents lower demand for air services.</w:t>
            </w:r>
          </w:p>
        </w:tc>
      </w:tr>
      <w:tr w:rsidR="00B0569D" w:rsidRPr="00D02A2E" w14:paraId="4FC2927D" w14:textId="77777777" w:rsidTr="000F1C6B">
        <w:trPr>
          <w:cantSplit/>
        </w:trPr>
        <w:tc>
          <w:tcPr>
            <w:tcW w:w="4761" w:type="dxa"/>
            <w:shd w:val="clear" w:color="auto" w:fill="auto"/>
            <w:hideMark/>
          </w:tcPr>
          <w:p w14:paraId="2B67ED1A" w14:textId="77777777" w:rsidR="00B0569D" w:rsidRPr="00D02A2E" w:rsidRDefault="00B0569D" w:rsidP="00B0569D">
            <w:pPr>
              <w:pStyle w:val="ARtabletext"/>
            </w:pPr>
            <w:r w:rsidRPr="00C5726C">
              <w:rPr>
                <w:noProof/>
              </w:rPr>
              <w:t>Statewide emergency road transports</w:t>
            </w:r>
          </w:p>
        </w:tc>
        <w:tc>
          <w:tcPr>
            <w:tcW w:w="1021" w:type="dxa"/>
            <w:shd w:val="clear" w:color="auto" w:fill="auto"/>
            <w:hideMark/>
          </w:tcPr>
          <w:p w14:paraId="4CFFCE8B" w14:textId="77777777" w:rsidR="00B0569D" w:rsidRPr="00D02A2E" w:rsidRDefault="00B0569D" w:rsidP="00B0569D">
            <w:pPr>
              <w:pStyle w:val="ARtabletextcentre"/>
            </w:pPr>
            <w:r w:rsidRPr="00C5726C">
              <w:rPr>
                <w:noProof/>
              </w:rPr>
              <w:t>number</w:t>
            </w:r>
          </w:p>
        </w:tc>
        <w:tc>
          <w:tcPr>
            <w:tcW w:w="1021" w:type="dxa"/>
            <w:shd w:val="clear" w:color="auto" w:fill="auto"/>
            <w:hideMark/>
          </w:tcPr>
          <w:p w14:paraId="0CA38B02" w14:textId="77777777" w:rsidR="00B0569D" w:rsidRDefault="00B0569D" w:rsidP="00B0569D">
            <w:pPr>
              <w:pStyle w:val="ARtabletextright"/>
            </w:pPr>
            <w:r w:rsidRPr="00C5726C">
              <w:rPr>
                <w:noProof/>
              </w:rPr>
              <w:t>482</w:t>
            </w:r>
            <w:r>
              <w:rPr>
                <w:noProof/>
              </w:rPr>
              <w:t>,</w:t>
            </w:r>
            <w:r w:rsidRPr="00C5726C">
              <w:rPr>
                <w:noProof/>
              </w:rPr>
              <w:t>597</w:t>
            </w:r>
          </w:p>
        </w:tc>
        <w:tc>
          <w:tcPr>
            <w:tcW w:w="1021" w:type="dxa"/>
            <w:shd w:val="clear" w:color="auto" w:fill="auto"/>
            <w:hideMark/>
          </w:tcPr>
          <w:p w14:paraId="79187D67" w14:textId="77777777" w:rsidR="00B0569D" w:rsidRDefault="00B0569D" w:rsidP="00B0569D">
            <w:pPr>
              <w:pStyle w:val="ARtabletextright"/>
            </w:pPr>
            <w:r w:rsidRPr="00C5726C">
              <w:rPr>
                <w:noProof/>
              </w:rPr>
              <w:t>518</w:t>
            </w:r>
            <w:r>
              <w:rPr>
                <w:noProof/>
              </w:rPr>
              <w:t>,</w:t>
            </w:r>
            <w:r w:rsidRPr="00C5726C">
              <w:rPr>
                <w:noProof/>
              </w:rPr>
              <w:t>498</w:t>
            </w:r>
          </w:p>
        </w:tc>
        <w:tc>
          <w:tcPr>
            <w:tcW w:w="1021" w:type="dxa"/>
            <w:shd w:val="clear" w:color="auto" w:fill="auto"/>
          </w:tcPr>
          <w:p w14:paraId="3B8FC2AB" w14:textId="77777777" w:rsidR="00B0569D" w:rsidRDefault="00B0569D" w:rsidP="00B0569D">
            <w:pPr>
              <w:pStyle w:val="ARtabletextright"/>
            </w:pPr>
            <w:r w:rsidRPr="00C5726C">
              <w:rPr>
                <w:noProof/>
              </w:rPr>
              <w:t>7.4</w:t>
            </w:r>
          </w:p>
        </w:tc>
        <w:tc>
          <w:tcPr>
            <w:tcW w:w="794" w:type="dxa"/>
            <w:shd w:val="clear" w:color="auto" w:fill="auto"/>
            <w:hideMark/>
          </w:tcPr>
          <w:p w14:paraId="152BE37B" w14:textId="7C1174A9" w:rsidR="00B0569D" w:rsidRPr="00D02A2E" w:rsidRDefault="00CF2633" w:rsidP="00A52A4C">
            <w:pPr>
              <w:pStyle w:val="ARtableperformancesymbol"/>
            </w:pPr>
            <w:r>
              <w:rPr>
                <w:noProof/>
              </w:rPr>
              <w:drawing>
                <wp:inline distT="0" distB="0" distL="0" distR="0" wp14:anchorId="281881A1" wp14:editId="4F31CD23">
                  <wp:extent cx="85320" cy="85320"/>
                  <wp:effectExtent l="0" t="0" r="0" b="0"/>
                  <wp:docPr id="142" name="Graphic 142"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B0569D" w:rsidRPr="00D02A2E" w14:paraId="5CCE42CB" w14:textId="77777777" w:rsidTr="000F1C6B">
        <w:trPr>
          <w:cantSplit/>
        </w:trPr>
        <w:tc>
          <w:tcPr>
            <w:tcW w:w="9639" w:type="dxa"/>
            <w:gridSpan w:val="6"/>
            <w:tcBorders>
              <w:bottom w:val="single" w:sz="4" w:space="0" w:color="BFBFBF"/>
            </w:tcBorders>
            <w:shd w:val="clear" w:color="auto" w:fill="auto"/>
            <w:noWrap/>
            <w:hideMark/>
          </w:tcPr>
          <w:p w14:paraId="767AB713" w14:textId="058B30F3" w:rsidR="00B0569D" w:rsidRPr="00D02A2E" w:rsidRDefault="00B0569D" w:rsidP="00B0569D">
            <w:pPr>
              <w:pStyle w:val="ARtablenoteindent"/>
            </w:pPr>
            <w:r w:rsidRPr="00C5726C">
              <w:rPr>
                <w:noProof/>
              </w:rPr>
              <w:t xml:space="preserve">Despite activity being significantly impacted by the </w:t>
            </w:r>
            <w:r>
              <w:rPr>
                <w:noProof/>
              </w:rPr>
              <w:t>g</w:t>
            </w:r>
            <w:r w:rsidRPr="00C5726C">
              <w:rPr>
                <w:noProof/>
              </w:rPr>
              <w:t>overnment</w:t>
            </w:r>
            <w:r w:rsidR="007D145B">
              <w:rPr>
                <w:noProof/>
              </w:rPr>
              <w:t>’</w:t>
            </w:r>
            <w:r w:rsidRPr="00C5726C">
              <w:rPr>
                <w:noProof/>
              </w:rPr>
              <w:t xml:space="preserve">s response to the </w:t>
            </w:r>
            <w:r>
              <w:rPr>
                <w:noProof/>
              </w:rPr>
              <w:t>COVID</w:t>
            </w:r>
            <w:r w:rsidRPr="00C5726C">
              <w:rPr>
                <w:noProof/>
              </w:rPr>
              <w:t>-19 pandemic, demand outside of lockdown periods has been substantially above previous years.</w:t>
            </w:r>
          </w:p>
        </w:tc>
      </w:tr>
      <w:tr w:rsidR="00B0569D" w:rsidRPr="00D02A2E" w14:paraId="31FAE1E8" w14:textId="77777777" w:rsidTr="000F1C6B">
        <w:trPr>
          <w:cantSplit/>
        </w:trPr>
        <w:tc>
          <w:tcPr>
            <w:tcW w:w="4761" w:type="dxa"/>
            <w:shd w:val="clear" w:color="auto" w:fill="auto"/>
            <w:hideMark/>
          </w:tcPr>
          <w:p w14:paraId="6FE55F5A" w14:textId="77777777" w:rsidR="00B0569D" w:rsidRPr="00D02A2E" w:rsidRDefault="00B0569D" w:rsidP="00B0569D">
            <w:pPr>
              <w:pStyle w:val="ARtabletext"/>
            </w:pPr>
            <w:r w:rsidRPr="00C5726C">
              <w:rPr>
                <w:noProof/>
              </w:rPr>
              <w:t>Treatment without transport</w:t>
            </w:r>
          </w:p>
        </w:tc>
        <w:tc>
          <w:tcPr>
            <w:tcW w:w="1021" w:type="dxa"/>
            <w:shd w:val="clear" w:color="auto" w:fill="auto"/>
            <w:hideMark/>
          </w:tcPr>
          <w:p w14:paraId="4D87F854" w14:textId="77777777" w:rsidR="00B0569D" w:rsidRPr="00D02A2E" w:rsidRDefault="00B0569D" w:rsidP="00B0569D">
            <w:pPr>
              <w:pStyle w:val="ARtabletextcentre"/>
            </w:pPr>
            <w:r w:rsidRPr="00C5726C">
              <w:rPr>
                <w:noProof/>
              </w:rPr>
              <w:t>number</w:t>
            </w:r>
          </w:p>
        </w:tc>
        <w:tc>
          <w:tcPr>
            <w:tcW w:w="1021" w:type="dxa"/>
            <w:shd w:val="clear" w:color="auto" w:fill="auto"/>
            <w:hideMark/>
          </w:tcPr>
          <w:p w14:paraId="744E996F" w14:textId="77777777" w:rsidR="00B0569D" w:rsidRDefault="00B0569D" w:rsidP="00B0569D">
            <w:pPr>
              <w:pStyle w:val="ARtabletextright"/>
            </w:pPr>
            <w:r w:rsidRPr="00C5726C">
              <w:rPr>
                <w:noProof/>
              </w:rPr>
              <w:t>84</w:t>
            </w:r>
            <w:r>
              <w:rPr>
                <w:noProof/>
              </w:rPr>
              <w:t>,</w:t>
            </w:r>
            <w:r w:rsidRPr="00C5726C">
              <w:rPr>
                <w:noProof/>
              </w:rPr>
              <w:t>087</w:t>
            </w:r>
          </w:p>
        </w:tc>
        <w:tc>
          <w:tcPr>
            <w:tcW w:w="1021" w:type="dxa"/>
            <w:shd w:val="clear" w:color="auto" w:fill="auto"/>
            <w:hideMark/>
          </w:tcPr>
          <w:p w14:paraId="06613F3F" w14:textId="77777777" w:rsidR="00B0569D" w:rsidRDefault="00B0569D" w:rsidP="00B0569D">
            <w:pPr>
              <w:pStyle w:val="ARtabletextright"/>
            </w:pPr>
            <w:r w:rsidRPr="00C5726C">
              <w:rPr>
                <w:noProof/>
              </w:rPr>
              <w:t>81</w:t>
            </w:r>
            <w:r>
              <w:rPr>
                <w:noProof/>
              </w:rPr>
              <w:t>,</w:t>
            </w:r>
            <w:r w:rsidRPr="00C5726C">
              <w:rPr>
                <w:noProof/>
              </w:rPr>
              <w:t>819</w:t>
            </w:r>
          </w:p>
        </w:tc>
        <w:tc>
          <w:tcPr>
            <w:tcW w:w="1021" w:type="dxa"/>
            <w:shd w:val="clear" w:color="auto" w:fill="auto"/>
          </w:tcPr>
          <w:p w14:paraId="5BC41A8B" w14:textId="77777777" w:rsidR="00B0569D" w:rsidRDefault="00B0569D" w:rsidP="00B0569D">
            <w:pPr>
              <w:pStyle w:val="ARtabletextright"/>
            </w:pPr>
            <w:r>
              <w:rPr>
                <w:noProof/>
              </w:rPr>
              <w:t>−</w:t>
            </w:r>
            <w:r w:rsidRPr="00C5726C">
              <w:rPr>
                <w:noProof/>
              </w:rPr>
              <w:t>2.7</w:t>
            </w:r>
          </w:p>
        </w:tc>
        <w:tc>
          <w:tcPr>
            <w:tcW w:w="794" w:type="dxa"/>
            <w:shd w:val="clear" w:color="auto" w:fill="auto"/>
            <w:hideMark/>
          </w:tcPr>
          <w:p w14:paraId="0D3B2B5A" w14:textId="12FB388B" w:rsidR="00B0569D" w:rsidRPr="00D02A2E" w:rsidRDefault="00A52A4C" w:rsidP="00A52A4C">
            <w:pPr>
              <w:pStyle w:val="ARtableperformancesymbol"/>
            </w:pPr>
            <w:r w:rsidRPr="00F96CDB">
              <w:rPr>
                <w:noProof/>
              </w:rPr>
              <w:drawing>
                <wp:inline distT="0" distB="0" distL="0" distR="0" wp14:anchorId="2D70DF81" wp14:editId="5E3B2783">
                  <wp:extent cx="76320" cy="76320"/>
                  <wp:effectExtent l="0" t="0" r="0" b="0"/>
                  <wp:docPr id="202" name="Graphic 202" descr="Target not achieved – within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Target not achieved – within five per cent varianc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76320" cy="76320"/>
                          </a:xfrm>
                          <a:prstGeom prst="rect">
                            <a:avLst/>
                          </a:prstGeom>
                        </pic:spPr>
                      </pic:pic>
                    </a:graphicData>
                  </a:graphic>
                </wp:inline>
              </w:drawing>
            </w:r>
            <w:r>
              <w:t xml:space="preserve"> </w:t>
            </w:r>
          </w:p>
        </w:tc>
      </w:tr>
      <w:tr w:rsidR="00B0569D" w:rsidRPr="00D02A2E" w14:paraId="5D4C1B16" w14:textId="77777777" w:rsidTr="000F1C6B">
        <w:trPr>
          <w:cantSplit/>
        </w:trPr>
        <w:tc>
          <w:tcPr>
            <w:tcW w:w="9639" w:type="dxa"/>
            <w:gridSpan w:val="6"/>
            <w:tcBorders>
              <w:top w:val="single" w:sz="4" w:space="0" w:color="auto"/>
            </w:tcBorders>
            <w:shd w:val="clear" w:color="auto" w:fill="auto"/>
            <w:hideMark/>
          </w:tcPr>
          <w:p w14:paraId="00B93C54" w14:textId="77777777" w:rsidR="00B0569D" w:rsidRPr="00D02A2E" w:rsidRDefault="00B0569D" w:rsidP="00B0569D">
            <w:pPr>
              <w:pStyle w:val="ARtablegreybold"/>
              <w:rPr>
                <w:rFonts w:ascii="Wingdings" w:hAnsi="Wingdings"/>
              </w:rPr>
            </w:pPr>
            <w:r>
              <w:t>Quality</w:t>
            </w:r>
          </w:p>
        </w:tc>
      </w:tr>
      <w:tr w:rsidR="00B0569D" w:rsidRPr="00D02A2E" w14:paraId="618B98E6" w14:textId="77777777" w:rsidTr="000F1C6B">
        <w:trPr>
          <w:cantSplit/>
        </w:trPr>
        <w:tc>
          <w:tcPr>
            <w:tcW w:w="4761" w:type="dxa"/>
            <w:shd w:val="clear" w:color="auto" w:fill="auto"/>
            <w:hideMark/>
          </w:tcPr>
          <w:p w14:paraId="4BB7FA27" w14:textId="77777777" w:rsidR="00B0569D" w:rsidRPr="00D02A2E" w:rsidRDefault="00B0569D" w:rsidP="00B0569D">
            <w:pPr>
              <w:pStyle w:val="ARtabletext"/>
            </w:pPr>
            <w:r w:rsidRPr="00C5726C">
              <w:rPr>
                <w:noProof/>
              </w:rPr>
              <w:t>Audited cases attended by Community Emergency Response Teams (CERT) meeting clinical practice standards</w:t>
            </w:r>
          </w:p>
        </w:tc>
        <w:tc>
          <w:tcPr>
            <w:tcW w:w="1021" w:type="dxa"/>
            <w:shd w:val="clear" w:color="auto" w:fill="auto"/>
            <w:hideMark/>
          </w:tcPr>
          <w:p w14:paraId="6C048355" w14:textId="77777777" w:rsidR="00B0569D" w:rsidRPr="00D02A2E" w:rsidRDefault="00B0569D" w:rsidP="00B0569D">
            <w:pPr>
              <w:pStyle w:val="ARtabletextcentre"/>
            </w:pPr>
            <w:r w:rsidRPr="00C5726C">
              <w:rPr>
                <w:noProof/>
              </w:rPr>
              <w:t>per cent</w:t>
            </w:r>
          </w:p>
        </w:tc>
        <w:tc>
          <w:tcPr>
            <w:tcW w:w="1021" w:type="dxa"/>
            <w:shd w:val="clear" w:color="auto" w:fill="auto"/>
            <w:hideMark/>
          </w:tcPr>
          <w:p w14:paraId="042F3391" w14:textId="77777777" w:rsidR="00B0569D" w:rsidRDefault="00B0569D" w:rsidP="00B0569D">
            <w:pPr>
              <w:pStyle w:val="ARtabletextright"/>
            </w:pPr>
            <w:r w:rsidRPr="00C5726C">
              <w:rPr>
                <w:noProof/>
              </w:rPr>
              <w:t>90</w:t>
            </w:r>
          </w:p>
        </w:tc>
        <w:tc>
          <w:tcPr>
            <w:tcW w:w="1021" w:type="dxa"/>
            <w:shd w:val="clear" w:color="auto" w:fill="auto"/>
            <w:hideMark/>
          </w:tcPr>
          <w:p w14:paraId="21D9F381" w14:textId="77777777" w:rsidR="00B0569D" w:rsidRDefault="00B0569D" w:rsidP="00B0569D">
            <w:pPr>
              <w:pStyle w:val="ARtabletextright"/>
            </w:pPr>
            <w:r w:rsidRPr="00C5726C">
              <w:rPr>
                <w:noProof/>
              </w:rPr>
              <w:t>100</w:t>
            </w:r>
          </w:p>
        </w:tc>
        <w:tc>
          <w:tcPr>
            <w:tcW w:w="1021" w:type="dxa"/>
            <w:shd w:val="clear" w:color="auto" w:fill="auto"/>
          </w:tcPr>
          <w:p w14:paraId="415F6DAF" w14:textId="77777777" w:rsidR="00B0569D" w:rsidRDefault="00B0569D" w:rsidP="00B0569D">
            <w:pPr>
              <w:pStyle w:val="ARtabletextright"/>
            </w:pPr>
            <w:r w:rsidRPr="00C5726C">
              <w:rPr>
                <w:noProof/>
              </w:rPr>
              <w:t>11.1</w:t>
            </w:r>
          </w:p>
        </w:tc>
        <w:tc>
          <w:tcPr>
            <w:tcW w:w="794" w:type="dxa"/>
            <w:shd w:val="clear" w:color="auto" w:fill="auto"/>
            <w:hideMark/>
          </w:tcPr>
          <w:p w14:paraId="04FFB9E7" w14:textId="06823800" w:rsidR="00B0569D" w:rsidRPr="00D02A2E" w:rsidRDefault="00A52A4C" w:rsidP="008D36C1">
            <w:pPr>
              <w:pStyle w:val="ARtableperformancesymbol"/>
            </w:pPr>
            <w:r>
              <w:rPr>
                <w:noProof/>
              </w:rPr>
              <w:drawing>
                <wp:inline distT="0" distB="0" distL="0" distR="0" wp14:anchorId="6C7F44EA" wp14:editId="6983BA32">
                  <wp:extent cx="85320" cy="85320"/>
                  <wp:effectExtent l="0" t="0" r="0" b="0"/>
                  <wp:docPr id="203" name="Graphic 203"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B0569D" w:rsidRPr="00D02A2E" w14:paraId="12E4CE2C" w14:textId="77777777" w:rsidTr="000F1C6B">
        <w:trPr>
          <w:cantSplit/>
        </w:trPr>
        <w:tc>
          <w:tcPr>
            <w:tcW w:w="9639" w:type="dxa"/>
            <w:gridSpan w:val="6"/>
            <w:tcBorders>
              <w:bottom w:val="single" w:sz="4" w:space="0" w:color="BFBFBF"/>
            </w:tcBorders>
            <w:shd w:val="clear" w:color="auto" w:fill="auto"/>
            <w:noWrap/>
            <w:hideMark/>
          </w:tcPr>
          <w:p w14:paraId="4375A26B" w14:textId="77777777" w:rsidR="00B0569D" w:rsidRPr="00D02A2E" w:rsidRDefault="00B0569D" w:rsidP="00B0569D">
            <w:pPr>
              <w:pStyle w:val="ARtablenoteindent"/>
            </w:pPr>
            <w:r w:rsidRPr="00C5726C">
              <w:rPr>
                <w:noProof/>
              </w:rPr>
              <w:t>The result was higher than the target and is a positive result.</w:t>
            </w:r>
          </w:p>
        </w:tc>
      </w:tr>
      <w:tr w:rsidR="00B0569D" w:rsidRPr="00D02A2E" w14:paraId="3902B7F0" w14:textId="77777777" w:rsidTr="000F1C6B">
        <w:trPr>
          <w:cantSplit/>
        </w:trPr>
        <w:tc>
          <w:tcPr>
            <w:tcW w:w="4761" w:type="dxa"/>
            <w:shd w:val="clear" w:color="auto" w:fill="auto"/>
            <w:hideMark/>
          </w:tcPr>
          <w:p w14:paraId="6EC625A7" w14:textId="77777777" w:rsidR="00B0569D" w:rsidRPr="00D02A2E" w:rsidRDefault="00B0569D" w:rsidP="00B0569D">
            <w:pPr>
              <w:pStyle w:val="ARtabletext"/>
            </w:pPr>
            <w:r w:rsidRPr="00C5726C">
              <w:rPr>
                <w:noProof/>
              </w:rPr>
              <w:t>Audited cases statewide meeting clinical practice standards</w:t>
            </w:r>
          </w:p>
        </w:tc>
        <w:tc>
          <w:tcPr>
            <w:tcW w:w="1021" w:type="dxa"/>
            <w:shd w:val="clear" w:color="auto" w:fill="auto"/>
            <w:hideMark/>
          </w:tcPr>
          <w:p w14:paraId="429F764C" w14:textId="77777777" w:rsidR="00B0569D" w:rsidRPr="00D02A2E" w:rsidRDefault="00B0569D" w:rsidP="00B0569D">
            <w:pPr>
              <w:pStyle w:val="ARtabletextcentre"/>
            </w:pPr>
            <w:r w:rsidRPr="00C5726C">
              <w:rPr>
                <w:noProof/>
              </w:rPr>
              <w:t>per cent</w:t>
            </w:r>
          </w:p>
        </w:tc>
        <w:tc>
          <w:tcPr>
            <w:tcW w:w="1021" w:type="dxa"/>
            <w:shd w:val="clear" w:color="auto" w:fill="auto"/>
            <w:hideMark/>
          </w:tcPr>
          <w:p w14:paraId="7A8A1A8C" w14:textId="77777777" w:rsidR="00B0569D" w:rsidRDefault="00B0569D" w:rsidP="00B0569D">
            <w:pPr>
              <w:pStyle w:val="ARtabletextright"/>
            </w:pPr>
            <w:r w:rsidRPr="00C5726C">
              <w:rPr>
                <w:noProof/>
              </w:rPr>
              <w:t>95</w:t>
            </w:r>
          </w:p>
        </w:tc>
        <w:tc>
          <w:tcPr>
            <w:tcW w:w="1021" w:type="dxa"/>
            <w:shd w:val="clear" w:color="auto" w:fill="auto"/>
            <w:hideMark/>
          </w:tcPr>
          <w:p w14:paraId="1F295E01" w14:textId="77777777" w:rsidR="00B0569D" w:rsidRDefault="00B0569D" w:rsidP="00B0569D">
            <w:pPr>
              <w:pStyle w:val="ARtabletextright"/>
            </w:pPr>
            <w:r w:rsidRPr="00C5726C">
              <w:rPr>
                <w:noProof/>
              </w:rPr>
              <w:t>100</w:t>
            </w:r>
          </w:p>
        </w:tc>
        <w:tc>
          <w:tcPr>
            <w:tcW w:w="1021" w:type="dxa"/>
            <w:shd w:val="clear" w:color="auto" w:fill="auto"/>
          </w:tcPr>
          <w:p w14:paraId="11080AA2" w14:textId="77777777" w:rsidR="00B0569D" w:rsidRDefault="00B0569D" w:rsidP="00B0569D">
            <w:pPr>
              <w:pStyle w:val="ARtabletextright"/>
            </w:pPr>
            <w:r w:rsidRPr="00C5726C">
              <w:rPr>
                <w:noProof/>
              </w:rPr>
              <w:t>5.</w:t>
            </w:r>
            <w:r>
              <w:rPr>
                <w:noProof/>
              </w:rPr>
              <w:t>3</w:t>
            </w:r>
          </w:p>
        </w:tc>
        <w:tc>
          <w:tcPr>
            <w:tcW w:w="794" w:type="dxa"/>
            <w:shd w:val="clear" w:color="auto" w:fill="auto"/>
            <w:hideMark/>
          </w:tcPr>
          <w:p w14:paraId="7C8C9A27" w14:textId="7D94ADED" w:rsidR="00B0569D" w:rsidRPr="00D02A2E" w:rsidRDefault="00A52A4C" w:rsidP="008D36C1">
            <w:pPr>
              <w:pStyle w:val="ARtableperformancesymbol"/>
            </w:pPr>
            <w:r>
              <w:rPr>
                <w:noProof/>
              </w:rPr>
              <w:drawing>
                <wp:inline distT="0" distB="0" distL="0" distR="0" wp14:anchorId="60A97438" wp14:editId="5FDC67E0">
                  <wp:extent cx="85320" cy="85320"/>
                  <wp:effectExtent l="0" t="0" r="0" b="0"/>
                  <wp:docPr id="204" name="Graphic 204"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B0569D" w:rsidRPr="00D02A2E" w14:paraId="08A7B33C" w14:textId="77777777" w:rsidTr="000F1C6B">
        <w:trPr>
          <w:cantSplit/>
        </w:trPr>
        <w:tc>
          <w:tcPr>
            <w:tcW w:w="9639" w:type="dxa"/>
            <w:gridSpan w:val="6"/>
            <w:tcBorders>
              <w:bottom w:val="single" w:sz="4" w:space="0" w:color="BFBFBF"/>
            </w:tcBorders>
            <w:shd w:val="clear" w:color="auto" w:fill="auto"/>
            <w:noWrap/>
            <w:hideMark/>
          </w:tcPr>
          <w:p w14:paraId="38575013" w14:textId="77777777" w:rsidR="00B0569D" w:rsidRPr="00D02A2E" w:rsidRDefault="00B0569D" w:rsidP="00B0569D">
            <w:pPr>
              <w:pStyle w:val="ARtablenoteindent"/>
            </w:pPr>
            <w:r w:rsidRPr="00C5726C">
              <w:rPr>
                <w:noProof/>
              </w:rPr>
              <w:t>The result was higher than the target and is a positive result.</w:t>
            </w:r>
          </w:p>
        </w:tc>
      </w:tr>
      <w:tr w:rsidR="00B0569D" w:rsidRPr="00D02A2E" w14:paraId="701EF5E8" w14:textId="77777777" w:rsidTr="000F1C6B">
        <w:trPr>
          <w:cantSplit/>
        </w:trPr>
        <w:tc>
          <w:tcPr>
            <w:tcW w:w="4761" w:type="dxa"/>
            <w:shd w:val="clear" w:color="auto" w:fill="auto"/>
            <w:hideMark/>
          </w:tcPr>
          <w:p w14:paraId="2493BF78" w14:textId="77777777" w:rsidR="00B0569D" w:rsidRPr="00D02A2E" w:rsidRDefault="00B0569D" w:rsidP="00B0569D">
            <w:pPr>
              <w:pStyle w:val="ARtabletext"/>
            </w:pPr>
            <w:r w:rsidRPr="00C5726C">
              <w:rPr>
                <w:noProof/>
              </w:rPr>
              <w:t>Proportion of adult patients suspected of having a stroke who were transported to a stroke unit with thrombolysis facilities within 60 minutes</w:t>
            </w:r>
          </w:p>
        </w:tc>
        <w:tc>
          <w:tcPr>
            <w:tcW w:w="1021" w:type="dxa"/>
            <w:shd w:val="clear" w:color="auto" w:fill="auto"/>
            <w:hideMark/>
          </w:tcPr>
          <w:p w14:paraId="53251AAF" w14:textId="77777777" w:rsidR="00B0569D" w:rsidRPr="00D02A2E" w:rsidRDefault="00B0569D" w:rsidP="00B0569D">
            <w:pPr>
              <w:pStyle w:val="ARtabletextcentre"/>
            </w:pPr>
            <w:r w:rsidRPr="00C5726C">
              <w:rPr>
                <w:noProof/>
              </w:rPr>
              <w:t>per cent</w:t>
            </w:r>
          </w:p>
        </w:tc>
        <w:tc>
          <w:tcPr>
            <w:tcW w:w="1021" w:type="dxa"/>
            <w:shd w:val="clear" w:color="auto" w:fill="auto"/>
            <w:hideMark/>
          </w:tcPr>
          <w:p w14:paraId="517D9F56" w14:textId="77777777" w:rsidR="00B0569D" w:rsidRDefault="00B0569D" w:rsidP="00B0569D">
            <w:pPr>
              <w:pStyle w:val="ARtabletextright"/>
            </w:pPr>
            <w:r w:rsidRPr="00C5726C">
              <w:rPr>
                <w:noProof/>
              </w:rPr>
              <w:t>90</w:t>
            </w:r>
          </w:p>
        </w:tc>
        <w:tc>
          <w:tcPr>
            <w:tcW w:w="1021" w:type="dxa"/>
            <w:shd w:val="clear" w:color="auto" w:fill="auto"/>
            <w:hideMark/>
          </w:tcPr>
          <w:p w14:paraId="5B56986E" w14:textId="77777777" w:rsidR="00B0569D" w:rsidRDefault="00B0569D" w:rsidP="00B0569D">
            <w:pPr>
              <w:pStyle w:val="ARtabletextright"/>
            </w:pPr>
            <w:r w:rsidRPr="00C5726C">
              <w:rPr>
                <w:noProof/>
              </w:rPr>
              <w:t>98.5</w:t>
            </w:r>
          </w:p>
        </w:tc>
        <w:tc>
          <w:tcPr>
            <w:tcW w:w="1021" w:type="dxa"/>
            <w:shd w:val="clear" w:color="auto" w:fill="auto"/>
          </w:tcPr>
          <w:p w14:paraId="2422AD46" w14:textId="77777777" w:rsidR="00B0569D" w:rsidRDefault="00B0569D" w:rsidP="00B0569D">
            <w:pPr>
              <w:pStyle w:val="ARtabletextright"/>
            </w:pPr>
            <w:r w:rsidRPr="00C5726C">
              <w:rPr>
                <w:noProof/>
              </w:rPr>
              <w:t>9.4</w:t>
            </w:r>
          </w:p>
        </w:tc>
        <w:tc>
          <w:tcPr>
            <w:tcW w:w="794" w:type="dxa"/>
            <w:shd w:val="clear" w:color="auto" w:fill="auto"/>
            <w:hideMark/>
          </w:tcPr>
          <w:p w14:paraId="615E0CD3" w14:textId="2FC6DC7D" w:rsidR="00B0569D" w:rsidRPr="00D02A2E" w:rsidRDefault="00A52A4C" w:rsidP="008D36C1">
            <w:pPr>
              <w:pStyle w:val="ARtableperformancesymbol"/>
            </w:pPr>
            <w:r>
              <w:rPr>
                <w:noProof/>
              </w:rPr>
              <w:drawing>
                <wp:inline distT="0" distB="0" distL="0" distR="0" wp14:anchorId="18B5BA73" wp14:editId="0EBE7C50">
                  <wp:extent cx="85320" cy="85320"/>
                  <wp:effectExtent l="0" t="0" r="0" b="0"/>
                  <wp:docPr id="205" name="Graphic 205"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B0569D" w:rsidRPr="00D02A2E" w14:paraId="3F98E50A" w14:textId="77777777" w:rsidTr="000F1C6B">
        <w:trPr>
          <w:cantSplit/>
        </w:trPr>
        <w:tc>
          <w:tcPr>
            <w:tcW w:w="9639" w:type="dxa"/>
            <w:gridSpan w:val="6"/>
            <w:tcBorders>
              <w:bottom w:val="single" w:sz="4" w:space="0" w:color="BFBFBF"/>
            </w:tcBorders>
            <w:shd w:val="clear" w:color="auto" w:fill="auto"/>
            <w:noWrap/>
            <w:hideMark/>
          </w:tcPr>
          <w:p w14:paraId="6ECCBDC3" w14:textId="77777777" w:rsidR="00B0569D" w:rsidRPr="00D02A2E" w:rsidRDefault="00B0569D" w:rsidP="00B0569D">
            <w:pPr>
              <w:pStyle w:val="ARtablenoteindent"/>
            </w:pPr>
            <w:r w:rsidRPr="00C5726C">
              <w:rPr>
                <w:noProof/>
              </w:rPr>
              <w:t>The result was higher than the target and is a positive result.</w:t>
            </w:r>
          </w:p>
        </w:tc>
      </w:tr>
      <w:tr w:rsidR="00CF2633" w:rsidRPr="00D02A2E" w14:paraId="3D43E263" w14:textId="77777777" w:rsidTr="000F1C6B">
        <w:trPr>
          <w:cantSplit/>
        </w:trPr>
        <w:tc>
          <w:tcPr>
            <w:tcW w:w="4761" w:type="dxa"/>
            <w:tcBorders>
              <w:bottom w:val="single" w:sz="4" w:space="0" w:color="BFBFBF" w:themeColor="background1" w:themeShade="BF"/>
            </w:tcBorders>
            <w:shd w:val="clear" w:color="auto" w:fill="auto"/>
            <w:hideMark/>
          </w:tcPr>
          <w:p w14:paraId="67978C91" w14:textId="77777777" w:rsidR="00CF2633" w:rsidRPr="00D02A2E" w:rsidRDefault="00CF2633" w:rsidP="00CF2633">
            <w:pPr>
              <w:pStyle w:val="ARtabletext"/>
            </w:pPr>
            <w:r w:rsidRPr="00C5726C">
              <w:rPr>
                <w:noProof/>
              </w:rPr>
              <w:t>Proportion of adult VF/VT cardiac arrest patients with vital signs at hospital</w:t>
            </w:r>
          </w:p>
        </w:tc>
        <w:tc>
          <w:tcPr>
            <w:tcW w:w="1021" w:type="dxa"/>
            <w:tcBorders>
              <w:bottom w:val="single" w:sz="4" w:space="0" w:color="BFBFBF" w:themeColor="background1" w:themeShade="BF"/>
            </w:tcBorders>
            <w:shd w:val="clear" w:color="auto" w:fill="auto"/>
            <w:hideMark/>
          </w:tcPr>
          <w:p w14:paraId="3BF89202" w14:textId="77777777" w:rsidR="00CF2633" w:rsidRPr="00D02A2E" w:rsidRDefault="00CF2633" w:rsidP="00CF2633">
            <w:pPr>
              <w:pStyle w:val="ARtabletextcentre"/>
            </w:pPr>
            <w:r w:rsidRPr="00C5726C">
              <w:rPr>
                <w:noProof/>
              </w:rPr>
              <w:t>per cent</w:t>
            </w:r>
          </w:p>
        </w:tc>
        <w:tc>
          <w:tcPr>
            <w:tcW w:w="1021" w:type="dxa"/>
            <w:tcBorders>
              <w:bottom w:val="single" w:sz="4" w:space="0" w:color="BFBFBF" w:themeColor="background1" w:themeShade="BF"/>
            </w:tcBorders>
            <w:shd w:val="clear" w:color="auto" w:fill="auto"/>
            <w:hideMark/>
          </w:tcPr>
          <w:p w14:paraId="4A062FD1" w14:textId="77777777" w:rsidR="00CF2633" w:rsidRDefault="00CF2633" w:rsidP="00CF2633">
            <w:pPr>
              <w:pStyle w:val="ARtabletextright"/>
            </w:pPr>
            <w:r w:rsidRPr="00C5726C">
              <w:rPr>
                <w:noProof/>
              </w:rPr>
              <w:t>50</w:t>
            </w:r>
          </w:p>
        </w:tc>
        <w:tc>
          <w:tcPr>
            <w:tcW w:w="1021" w:type="dxa"/>
            <w:tcBorders>
              <w:bottom w:val="single" w:sz="4" w:space="0" w:color="BFBFBF" w:themeColor="background1" w:themeShade="BF"/>
            </w:tcBorders>
            <w:shd w:val="clear" w:color="auto" w:fill="auto"/>
            <w:hideMark/>
          </w:tcPr>
          <w:p w14:paraId="6A653DA3" w14:textId="77777777" w:rsidR="00CF2633" w:rsidRDefault="00CF2633" w:rsidP="00CF2633">
            <w:pPr>
              <w:pStyle w:val="ARtabletextright"/>
            </w:pPr>
            <w:r w:rsidRPr="00C5726C">
              <w:rPr>
                <w:noProof/>
              </w:rPr>
              <w:t>52.</w:t>
            </w:r>
            <w:r>
              <w:rPr>
                <w:noProof/>
              </w:rPr>
              <w:t>3</w:t>
            </w:r>
          </w:p>
        </w:tc>
        <w:tc>
          <w:tcPr>
            <w:tcW w:w="1021" w:type="dxa"/>
            <w:tcBorders>
              <w:bottom w:val="single" w:sz="4" w:space="0" w:color="BFBFBF" w:themeColor="background1" w:themeShade="BF"/>
            </w:tcBorders>
            <w:shd w:val="clear" w:color="auto" w:fill="auto"/>
          </w:tcPr>
          <w:p w14:paraId="48FA98D1" w14:textId="77777777" w:rsidR="00CF2633" w:rsidRDefault="00CF2633" w:rsidP="00CF2633">
            <w:pPr>
              <w:pStyle w:val="ARtabletextright"/>
            </w:pPr>
            <w:r w:rsidRPr="00C5726C">
              <w:rPr>
                <w:noProof/>
              </w:rPr>
              <w:t>4.</w:t>
            </w:r>
            <w:r>
              <w:rPr>
                <w:noProof/>
              </w:rPr>
              <w:t>6</w:t>
            </w:r>
          </w:p>
        </w:tc>
        <w:tc>
          <w:tcPr>
            <w:tcW w:w="794" w:type="dxa"/>
            <w:tcBorders>
              <w:bottom w:val="single" w:sz="4" w:space="0" w:color="BFBFBF" w:themeColor="background1" w:themeShade="BF"/>
            </w:tcBorders>
            <w:shd w:val="clear" w:color="auto" w:fill="auto"/>
            <w:hideMark/>
          </w:tcPr>
          <w:p w14:paraId="50C55467" w14:textId="78C8F927" w:rsidR="00CF2633" w:rsidRPr="00D02A2E" w:rsidRDefault="00CF2633" w:rsidP="008D36C1">
            <w:pPr>
              <w:pStyle w:val="ARtableperformancesymbol"/>
            </w:pPr>
            <w:r w:rsidRPr="0045666B">
              <w:rPr>
                <w:noProof/>
              </w:rPr>
              <w:drawing>
                <wp:inline distT="0" distB="0" distL="0" distR="0" wp14:anchorId="510B394A" wp14:editId="36A1A9EB">
                  <wp:extent cx="85320" cy="85320"/>
                  <wp:effectExtent l="0" t="0" r="0" b="0"/>
                  <wp:docPr id="143" name="Graphic 143"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rsidRPr="0045666B">
              <w:t xml:space="preserve"> </w:t>
            </w:r>
          </w:p>
        </w:tc>
      </w:tr>
      <w:tr w:rsidR="00CF2633" w:rsidRPr="00D02A2E" w14:paraId="35BCB581" w14:textId="77777777" w:rsidTr="000F1C6B">
        <w:trPr>
          <w:cantSplit/>
        </w:trPr>
        <w:tc>
          <w:tcPr>
            <w:tcW w:w="4761" w:type="dxa"/>
            <w:tcBorders>
              <w:top w:val="single" w:sz="4" w:space="0" w:color="BFBFBF" w:themeColor="background1" w:themeShade="BF"/>
              <w:bottom w:val="single" w:sz="4" w:space="0" w:color="BFBFBF" w:themeColor="background1" w:themeShade="BF"/>
            </w:tcBorders>
            <w:shd w:val="clear" w:color="auto" w:fill="auto"/>
            <w:hideMark/>
          </w:tcPr>
          <w:p w14:paraId="7050CA2D" w14:textId="77777777" w:rsidR="00CF2633" w:rsidRPr="00D02A2E" w:rsidRDefault="00CF2633" w:rsidP="00CF2633">
            <w:pPr>
              <w:pStyle w:val="ARtabletext"/>
            </w:pPr>
            <w:r w:rsidRPr="00C5726C">
              <w:rPr>
                <w:noProof/>
              </w:rPr>
              <w:t>Proportion of patients experiencing severe cardiac or traumatic pain whose level of pain is reduced significantly</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666914DC" w14:textId="77777777" w:rsidR="00CF2633" w:rsidRPr="00D02A2E" w:rsidRDefault="00CF2633" w:rsidP="00CF2633">
            <w:pPr>
              <w:pStyle w:val="ARtabletextcentre"/>
            </w:pPr>
            <w:r w:rsidRPr="00C5726C">
              <w:rPr>
                <w:noProof/>
              </w:rPr>
              <w:t>per cent</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68522724" w14:textId="77777777" w:rsidR="00CF2633" w:rsidRDefault="00CF2633" w:rsidP="00CF2633">
            <w:pPr>
              <w:pStyle w:val="ARtabletextright"/>
            </w:pPr>
            <w:r w:rsidRPr="00C5726C">
              <w:rPr>
                <w:noProof/>
              </w:rPr>
              <w:t>90</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32B48D82" w14:textId="77777777" w:rsidR="00CF2633" w:rsidRDefault="00CF2633" w:rsidP="00CF2633">
            <w:pPr>
              <w:pStyle w:val="ARtabletextright"/>
            </w:pPr>
            <w:r w:rsidRPr="00C5726C">
              <w:rPr>
                <w:noProof/>
              </w:rPr>
              <w:t>92.5</w:t>
            </w:r>
          </w:p>
        </w:tc>
        <w:tc>
          <w:tcPr>
            <w:tcW w:w="1021" w:type="dxa"/>
            <w:tcBorders>
              <w:top w:val="single" w:sz="4" w:space="0" w:color="BFBFBF" w:themeColor="background1" w:themeShade="BF"/>
              <w:bottom w:val="single" w:sz="4" w:space="0" w:color="BFBFBF" w:themeColor="background1" w:themeShade="BF"/>
            </w:tcBorders>
            <w:shd w:val="clear" w:color="auto" w:fill="auto"/>
          </w:tcPr>
          <w:p w14:paraId="53A5909D" w14:textId="77777777" w:rsidR="00CF2633" w:rsidRDefault="00CF2633" w:rsidP="00CF2633">
            <w:pPr>
              <w:pStyle w:val="ARtabletextright"/>
            </w:pPr>
            <w:r w:rsidRPr="00C5726C">
              <w:rPr>
                <w:noProof/>
              </w:rPr>
              <w:t>2.</w:t>
            </w:r>
            <w:r>
              <w:rPr>
                <w:noProof/>
              </w:rPr>
              <w:t>8</w:t>
            </w:r>
          </w:p>
        </w:tc>
        <w:tc>
          <w:tcPr>
            <w:tcW w:w="794" w:type="dxa"/>
            <w:tcBorders>
              <w:top w:val="single" w:sz="4" w:space="0" w:color="BFBFBF" w:themeColor="background1" w:themeShade="BF"/>
              <w:bottom w:val="single" w:sz="4" w:space="0" w:color="BFBFBF" w:themeColor="background1" w:themeShade="BF"/>
            </w:tcBorders>
            <w:shd w:val="clear" w:color="auto" w:fill="auto"/>
            <w:hideMark/>
          </w:tcPr>
          <w:p w14:paraId="11A9AF74" w14:textId="73876A01" w:rsidR="00CF2633" w:rsidRPr="00D02A2E" w:rsidRDefault="00CF2633" w:rsidP="008D36C1">
            <w:pPr>
              <w:pStyle w:val="ARtableperformancesymbol"/>
            </w:pPr>
            <w:r w:rsidRPr="0045666B">
              <w:rPr>
                <w:noProof/>
              </w:rPr>
              <w:drawing>
                <wp:inline distT="0" distB="0" distL="0" distR="0" wp14:anchorId="2CFA8BA5" wp14:editId="22CC0658">
                  <wp:extent cx="85320" cy="85320"/>
                  <wp:effectExtent l="0" t="0" r="0" b="0"/>
                  <wp:docPr id="144" name="Graphic 144"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rsidRPr="0045666B">
              <w:t xml:space="preserve"> </w:t>
            </w:r>
          </w:p>
        </w:tc>
      </w:tr>
      <w:tr w:rsidR="00CF2633" w:rsidRPr="00D02A2E" w14:paraId="05FAF325" w14:textId="77777777" w:rsidTr="000F1C6B">
        <w:trPr>
          <w:cantSplit/>
        </w:trPr>
        <w:tc>
          <w:tcPr>
            <w:tcW w:w="4761" w:type="dxa"/>
            <w:tcBorders>
              <w:top w:val="single" w:sz="4" w:space="0" w:color="BFBFBF" w:themeColor="background1" w:themeShade="BF"/>
            </w:tcBorders>
            <w:shd w:val="clear" w:color="auto" w:fill="auto"/>
            <w:hideMark/>
          </w:tcPr>
          <w:p w14:paraId="238BF0D4" w14:textId="77777777" w:rsidR="00CF2633" w:rsidRPr="00D02A2E" w:rsidRDefault="00CF2633" w:rsidP="00CF2633">
            <w:pPr>
              <w:pStyle w:val="ARtabletext"/>
            </w:pPr>
            <w:r w:rsidRPr="00C5726C">
              <w:rPr>
                <w:noProof/>
              </w:rPr>
              <w:t>Proportion of patients very satisfied or satisfied with overall services delivered by paramedics</w:t>
            </w:r>
          </w:p>
        </w:tc>
        <w:tc>
          <w:tcPr>
            <w:tcW w:w="1021" w:type="dxa"/>
            <w:tcBorders>
              <w:top w:val="single" w:sz="4" w:space="0" w:color="BFBFBF" w:themeColor="background1" w:themeShade="BF"/>
            </w:tcBorders>
            <w:shd w:val="clear" w:color="auto" w:fill="auto"/>
            <w:hideMark/>
          </w:tcPr>
          <w:p w14:paraId="4AA2BC1F" w14:textId="77777777" w:rsidR="00CF2633" w:rsidRPr="00D02A2E" w:rsidRDefault="00CF2633" w:rsidP="00CF2633">
            <w:pPr>
              <w:pStyle w:val="ARtabletextcentre"/>
            </w:pPr>
            <w:r w:rsidRPr="00C5726C">
              <w:rPr>
                <w:noProof/>
              </w:rPr>
              <w:t>per cent</w:t>
            </w:r>
          </w:p>
        </w:tc>
        <w:tc>
          <w:tcPr>
            <w:tcW w:w="1021" w:type="dxa"/>
            <w:tcBorders>
              <w:top w:val="single" w:sz="4" w:space="0" w:color="BFBFBF" w:themeColor="background1" w:themeShade="BF"/>
            </w:tcBorders>
            <w:shd w:val="clear" w:color="auto" w:fill="auto"/>
            <w:hideMark/>
          </w:tcPr>
          <w:p w14:paraId="6017D98F" w14:textId="77777777" w:rsidR="00CF2633" w:rsidRDefault="00CF2633" w:rsidP="00CF2633">
            <w:pPr>
              <w:pStyle w:val="ARtabletextright"/>
            </w:pPr>
            <w:r w:rsidRPr="00C5726C">
              <w:rPr>
                <w:noProof/>
              </w:rPr>
              <w:t>95</w:t>
            </w:r>
          </w:p>
        </w:tc>
        <w:tc>
          <w:tcPr>
            <w:tcW w:w="1021" w:type="dxa"/>
            <w:tcBorders>
              <w:top w:val="single" w:sz="4" w:space="0" w:color="BFBFBF" w:themeColor="background1" w:themeShade="BF"/>
            </w:tcBorders>
            <w:shd w:val="clear" w:color="auto" w:fill="auto"/>
            <w:hideMark/>
          </w:tcPr>
          <w:p w14:paraId="0E023D29" w14:textId="77777777" w:rsidR="00CF2633" w:rsidRDefault="00CF2633" w:rsidP="00CF2633">
            <w:pPr>
              <w:pStyle w:val="ARtabletextright"/>
            </w:pPr>
            <w:r w:rsidRPr="00C5726C">
              <w:rPr>
                <w:noProof/>
              </w:rPr>
              <w:t>97.</w:t>
            </w:r>
            <w:r>
              <w:rPr>
                <w:noProof/>
              </w:rPr>
              <w:t>1</w:t>
            </w:r>
          </w:p>
        </w:tc>
        <w:tc>
          <w:tcPr>
            <w:tcW w:w="1021" w:type="dxa"/>
            <w:tcBorders>
              <w:top w:val="single" w:sz="4" w:space="0" w:color="BFBFBF" w:themeColor="background1" w:themeShade="BF"/>
            </w:tcBorders>
            <w:shd w:val="clear" w:color="auto" w:fill="auto"/>
          </w:tcPr>
          <w:p w14:paraId="06F10B31" w14:textId="77777777" w:rsidR="00CF2633" w:rsidRDefault="00CF2633" w:rsidP="00CF2633">
            <w:pPr>
              <w:pStyle w:val="ARtabletextright"/>
            </w:pPr>
            <w:r w:rsidRPr="00C5726C">
              <w:rPr>
                <w:noProof/>
              </w:rPr>
              <w:t>2.2</w:t>
            </w:r>
          </w:p>
        </w:tc>
        <w:tc>
          <w:tcPr>
            <w:tcW w:w="794" w:type="dxa"/>
            <w:tcBorders>
              <w:top w:val="single" w:sz="4" w:space="0" w:color="BFBFBF" w:themeColor="background1" w:themeShade="BF"/>
            </w:tcBorders>
            <w:shd w:val="clear" w:color="auto" w:fill="auto"/>
            <w:hideMark/>
          </w:tcPr>
          <w:p w14:paraId="6846FA3D" w14:textId="3B7C4A0E" w:rsidR="00CF2633" w:rsidRPr="00D02A2E" w:rsidRDefault="00CF2633" w:rsidP="008D36C1">
            <w:pPr>
              <w:pStyle w:val="ARtableperformancesymbol"/>
            </w:pPr>
            <w:r w:rsidRPr="0045666B">
              <w:rPr>
                <w:noProof/>
              </w:rPr>
              <w:drawing>
                <wp:inline distT="0" distB="0" distL="0" distR="0" wp14:anchorId="2A31D7D9" wp14:editId="553274BA">
                  <wp:extent cx="85320" cy="85320"/>
                  <wp:effectExtent l="0" t="0" r="0" b="0"/>
                  <wp:docPr id="145" name="Graphic 145"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rsidRPr="0045666B">
              <w:t xml:space="preserve"> </w:t>
            </w:r>
          </w:p>
        </w:tc>
      </w:tr>
      <w:tr w:rsidR="00B0569D" w:rsidRPr="00D02A2E" w14:paraId="1072AEC3" w14:textId="77777777" w:rsidTr="000F1C6B">
        <w:trPr>
          <w:cantSplit/>
        </w:trPr>
        <w:tc>
          <w:tcPr>
            <w:tcW w:w="9639" w:type="dxa"/>
            <w:gridSpan w:val="6"/>
            <w:tcBorders>
              <w:top w:val="single" w:sz="4" w:space="0" w:color="auto"/>
            </w:tcBorders>
            <w:shd w:val="clear" w:color="auto" w:fill="auto"/>
            <w:hideMark/>
          </w:tcPr>
          <w:p w14:paraId="61623AB2" w14:textId="77777777" w:rsidR="00B0569D" w:rsidRPr="00D02A2E" w:rsidRDefault="00B0569D" w:rsidP="00B0569D">
            <w:pPr>
              <w:pStyle w:val="ARtablegreybold"/>
              <w:rPr>
                <w:rFonts w:ascii="Wingdings" w:hAnsi="Wingdings"/>
              </w:rPr>
            </w:pPr>
            <w:r>
              <w:t>Timeliness</w:t>
            </w:r>
          </w:p>
        </w:tc>
      </w:tr>
      <w:tr w:rsidR="00B0569D" w:rsidRPr="00D02A2E" w14:paraId="0F161D27" w14:textId="77777777" w:rsidTr="000F1C6B">
        <w:trPr>
          <w:cantSplit/>
        </w:trPr>
        <w:tc>
          <w:tcPr>
            <w:tcW w:w="4761" w:type="dxa"/>
            <w:shd w:val="clear" w:color="auto" w:fill="auto"/>
            <w:hideMark/>
          </w:tcPr>
          <w:p w14:paraId="1AA71821" w14:textId="77777777" w:rsidR="00B0569D" w:rsidRPr="00D02A2E" w:rsidRDefault="00B0569D" w:rsidP="00B0569D">
            <w:pPr>
              <w:pStyle w:val="ARtabletext"/>
            </w:pPr>
            <w:r w:rsidRPr="00C5726C">
              <w:rPr>
                <w:noProof/>
              </w:rPr>
              <w:t>Proportion of emergency (Code 1) incidents responded to within 15 minutes – statewide</w:t>
            </w:r>
          </w:p>
        </w:tc>
        <w:tc>
          <w:tcPr>
            <w:tcW w:w="1021" w:type="dxa"/>
            <w:shd w:val="clear" w:color="auto" w:fill="auto"/>
            <w:hideMark/>
          </w:tcPr>
          <w:p w14:paraId="175560B0" w14:textId="77777777" w:rsidR="00B0569D" w:rsidRPr="00D02A2E" w:rsidRDefault="00B0569D" w:rsidP="00B0569D">
            <w:pPr>
              <w:pStyle w:val="ARtabletextcentre"/>
            </w:pPr>
            <w:r w:rsidRPr="00C5726C">
              <w:rPr>
                <w:noProof/>
              </w:rPr>
              <w:t>per cent</w:t>
            </w:r>
          </w:p>
        </w:tc>
        <w:tc>
          <w:tcPr>
            <w:tcW w:w="1021" w:type="dxa"/>
            <w:shd w:val="clear" w:color="auto" w:fill="auto"/>
            <w:hideMark/>
          </w:tcPr>
          <w:p w14:paraId="416B0A57" w14:textId="77777777" w:rsidR="00B0569D" w:rsidRDefault="00B0569D" w:rsidP="00B0569D">
            <w:pPr>
              <w:pStyle w:val="ARtabletextright"/>
            </w:pPr>
            <w:r w:rsidRPr="00C5726C">
              <w:rPr>
                <w:noProof/>
              </w:rPr>
              <w:t>85</w:t>
            </w:r>
          </w:p>
        </w:tc>
        <w:tc>
          <w:tcPr>
            <w:tcW w:w="1021" w:type="dxa"/>
            <w:shd w:val="clear" w:color="auto" w:fill="auto"/>
            <w:hideMark/>
          </w:tcPr>
          <w:p w14:paraId="4278939B" w14:textId="77777777" w:rsidR="00B0569D" w:rsidRDefault="00B0569D" w:rsidP="00B0569D">
            <w:pPr>
              <w:pStyle w:val="ARtabletextright"/>
            </w:pPr>
            <w:r w:rsidRPr="00C5726C">
              <w:rPr>
                <w:noProof/>
              </w:rPr>
              <w:t>77.2</w:t>
            </w:r>
          </w:p>
        </w:tc>
        <w:tc>
          <w:tcPr>
            <w:tcW w:w="1021" w:type="dxa"/>
            <w:shd w:val="clear" w:color="auto" w:fill="auto"/>
          </w:tcPr>
          <w:p w14:paraId="26C37FA5" w14:textId="77777777" w:rsidR="00B0569D" w:rsidRDefault="00B0569D" w:rsidP="00B0569D">
            <w:pPr>
              <w:pStyle w:val="ARtabletextright"/>
            </w:pPr>
            <w:r>
              <w:rPr>
                <w:noProof/>
              </w:rPr>
              <w:t>−</w:t>
            </w:r>
            <w:r w:rsidRPr="00C5726C">
              <w:rPr>
                <w:noProof/>
              </w:rPr>
              <w:t>9.</w:t>
            </w:r>
            <w:r>
              <w:rPr>
                <w:noProof/>
              </w:rPr>
              <w:t>2</w:t>
            </w:r>
          </w:p>
        </w:tc>
        <w:tc>
          <w:tcPr>
            <w:tcW w:w="794" w:type="dxa"/>
            <w:shd w:val="clear" w:color="auto" w:fill="auto"/>
            <w:hideMark/>
          </w:tcPr>
          <w:p w14:paraId="3504AAB8" w14:textId="237CF965" w:rsidR="00B0569D" w:rsidRPr="00D02A2E" w:rsidRDefault="00B0569D" w:rsidP="008D36C1">
            <w:pPr>
              <w:pStyle w:val="ARtableperformancesymbol"/>
            </w:pPr>
            <w:r>
              <w:rPr>
                <w:noProof/>
              </w:rPr>
              <w:drawing>
                <wp:inline distT="0" distB="0" distL="0" distR="0" wp14:anchorId="0C784D1E" wp14:editId="7E333EED">
                  <wp:extent cx="76320" cy="76320"/>
                  <wp:effectExtent l="0" t="0" r="0" b="0"/>
                  <wp:docPr id="80" name="Graphic 80"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B0569D" w:rsidRPr="00D02A2E" w14:paraId="01EA9CDD" w14:textId="77777777" w:rsidTr="000F1C6B">
        <w:trPr>
          <w:cantSplit/>
        </w:trPr>
        <w:tc>
          <w:tcPr>
            <w:tcW w:w="9639" w:type="dxa"/>
            <w:gridSpan w:val="6"/>
            <w:tcBorders>
              <w:bottom w:val="single" w:sz="4" w:space="0" w:color="BFBFBF"/>
            </w:tcBorders>
            <w:shd w:val="clear" w:color="auto" w:fill="auto"/>
            <w:noWrap/>
            <w:hideMark/>
          </w:tcPr>
          <w:p w14:paraId="5E691F82" w14:textId="340D8B04" w:rsidR="00B0569D" w:rsidRPr="00D02A2E" w:rsidRDefault="00B0569D" w:rsidP="00B0569D">
            <w:pPr>
              <w:pStyle w:val="ARtablenoteindent"/>
            </w:pPr>
            <w:r w:rsidRPr="00C5726C">
              <w:rPr>
                <w:noProof/>
              </w:rPr>
              <w:t xml:space="preserve">Ambulance performance has been significantly impacted by </w:t>
            </w:r>
            <w:r>
              <w:rPr>
                <w:noProof/>
              </w:rPr>
              <w:t>COVID</w:t>
            </w:r>
            <w:r w:rsidRPr="00C5726C">
              <w:rPr>
                <w:noProof/>
              </w:rPr>
              <w:t xml:space="preserve">-19, with increased demands on health service emergency departments statewide placing additional pressure on offload times. Overall demand for ambulance services </w:t>
            </w:r>
            <w:r>
              <w:rPr>
                <w:noProof/>
              </w:rPr>
              <w:t xml:space="preserve">has </w:t>
            </w:r>
            <w:r w:rsidRPr="00C5726C">
              <w:rPr>
                <w:noProof/>
              </w:rPr>
              <w:t xml:space="preserve">been substantially above previous years, despite a number of periods of reduced activity throughout the year as part of the </w:t>
            </w:r>
            <w:r>
              <w:rPr>
                <w:noProof/>
              </w:rPr>
              <w:t>g</w:t>
            </w:r>
            <w:r w:rsidRPr="00C5726C">
              <w:rPr>
                <w:noProof/>
              </w:rPr>
              <w:t>overnment</w:t>
            </w:r>
            <w:r w:rsidR="007D145B">
              <w:rPr>
                <w:noProof/>
              </w:rPr>
              <w:t>’</w:t>
            </w:r>
            <w:r w:rsidRPr="00C5726C">
              <w:rPr>
                <w:noProof/>
              </w:rPr>
              <w:t xml:space="preserve">s response to the </w:t>
            </w:r>
            <w:r>
              <w:rPr>
                <w:noProof/>
              </w:rPr>
              <w:t>COVID</w:t>
            </w:r>
            <w:r w:rsidRPr="00C5726C">
              <w:rPr>
                <w:noProof/>
              </w:rPr>
              <w:t>-19 pandemic.</w:t>
            </w:r>
          </w:p>
        </w:tc>
      </w:tr>
      <w:tr w:rsidR="00B0569D" w:rsidRPr="00D02A2E" w14:paraId="5F696729" w14:textId="77777777" w:rsidTr="000F1C6B">
        <w:trPr>
          <w:cantSplit/>
        </w:trPr>
        <w:tc>
          <w:tcPr>
            <w:tcW w:w="4761" w:type="dxa"/>
            <w:shd w:val="clear" w:color="auto" w:fill="auto"/>
            <w:hideMark/>
          </w:tcPr>
          <w:p w14:paraId="20908D93" w14:textId="77777777" w:rsidR="00B0569D" w:rsidRPr="00D02A2E" w:rsidRDefault="00B0569D" w:rsidP="00B0569D">
            <w:pPr>
              <w:pStyle w:val="ARtabletext"/>
              <w:keepNext/>
            </w:pPr>
            <w:r w:rsidRPr="00C5726C">
              <w:rPr>
                <w:noProof/>
              </w:rPr>
              <w:lastRenderedPageBreak/>
              <w:t>Proportion of emergency (Code 1) incidents responded to within 15 minutes in centres with more than 7</w:t>
            </w:r>
            <w:r>
              <w:rPr>
                <w:noProof/>
              </w:rPr>
              <w:t>,</w:t>
            </w:r>
            <w:r w:rsidRPr="00C5726C">
              <w:rPr>
                <w:noProof/>
              </w:rPr>
              <w:t>500 population</w:t>
            </w:r>
          </w:p>
        </w:tc>
        <w:tc>
          <w:tcPr>
            <w:tcW w:w="1021" w:type="dxa"/>
            <w:shd w:val="clear" w:color="auto" w:fill="auto"/>
            <w:hideMark/>
          </w:tcPr>
          <w:p w14:paraId="6493F839" w14:textId="77777777" w:rsidR="00B0569D" w:rsidRPr="00D02A2E" w:rsidRDefault="00B0569D" w:rsidP="00B0569D">
            <w:pPr>
              <w:pStyle w:val="ARtabletextcentre"/>
            </w:pPr>
            <w:r w:rsidRPr="00C5726C">
              <w:rPr>
                <w:noProof/>
              </w:rPr>
              <w:t>per cent</w:t>
            </w:r>
          </w:p>
        </w:tc>
        <w:tc>
          <w:tcPr>
            <w:tcW w:w="1021" w:type="dxa"/>
            <w:shd w:val="clear" w:color="auto" w:fill="auto"/>
            <w:hideMark/>
          </w:tcPr>
          <w:p w14:paraId="1BA69FEA" w14:textId="77777777" w:rsidR="00B0569D" w:rsidRDefault="00B0569D" w:rsidP="00B0569D">
            <w:pPr>
              <w:pStyle w:val="ARtabletextright"/>
            </w:pPr>
            <w:r w:rsidRPr="00C5726C">
              <w:rPr>
                <w:noProof/>
              </w:rPr>
              <w:t>90</w:t>
            </w:r>
          </w:p>
        </w:tc>
        <w:tc>
          <w:tcPr>
            <w:tcW w:w="1021" w:type="dxa"/>
            <w:shd w:val="clear" w:color="auto" w:fill="auto"/>
            <w:hideMark/>
          </w:tcPr>
          <w:p w14:paraId="62519B7D" w14:textId="77777777" w:rsidR="00B0569D" w:rsidRDefault="00B0569D" w:rsidP="00B0569D">
            <w:pPr>
              <w:pStyle w:val="ARtabletextright"/>
            </w:pPr>
            <w:r w:rsidRPr="00C5726C">
              <w:rPr>
                <w:noProof/>
              </w:rPr>
              <w:t>82.5</w:t>
            </w:r>
          </w:p>
        </w:tc>
        <w:tc>
          <w:tcPr>
            <w:tcW w:w="1021" w:type="dxa"/>
            <w:shd w:val="clear" w:color="auto" w:fill="auto"/>
          </w:tcPr>
          <w:p w14:paraId="6FC6EF30" w14:textId="77777777" w:rsidR="00B0569D" w:rsidRDefault="00B0569D" w:rsidP="00B0569D">
            <w:pPr>
              <w:pStyle w:val="ARtabletextright"/>
            </w:pPr>
            <w:r>
              <w:rPr>
                <w:noProof/>
              </w:rPr>
              <w:t>−</w:t>
            </w:r>
            <w:r w:rsidRPr="00C5726C">
              <w:rPr>
                <w:noProof/>
              </w:rPr>
              <w:t>8.3</w:t>
            </w:r>
          </w:p>
        </w:tc>
        <w:tc>
          <w:tcPr>
            <w:tcW w:w="794" w:type="dxa"/>
            <w:shd w:val="clear" w:color="auto" w:fill="auto"/>
            <w:hideMark/>
          </w:tcPr>
          <w:p w14:paraId="3DD2EA0A" w14:textId="1DB9044E" w:rsidR="00B0569D" w:rsidRPr="00D02A2E" w:rsidRDefault="00B0569D" w:rsidP="008D36C1">
            <w:pPr>
              <w:pStyle w:val="ARtableperformancesymbol"/>
            </w:pPr>
            <w:r>
              <w:rPr>
                <w:noProof/>
              </w:rPr>
              <w:drawing>
                <wp:inline distT="0" distB="0" distL="0" distR="0" wp14:anchorId="5DE6EC31" wp14:editId="7EFFF50E">
                  <wp:extent cx="76320" cy="76320"/>
                  <wp:effectExtent l="0" t="0" r="0" b="0"/>
                  <wp:docPr id="81" name="Graphic 81"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B0569D" w:rsidRPr="00D02A2E" w14:paraId="57453AD2" w14:textId="77777777" w:rsidTr="000F1C6B">
        <w:trPr>
          <w:cantSplit/>
        </w:trPr>
        <w:tc>
          <w:tcPr>
            <w:tcW w:w="9639" w:type="dxa"/>
            <w:gridSpan w:val="6"/>
            <w:tcBorders>
              <w:bottom w:val="single" w:sz="4" w:space="0" w:color="BFBFBF"/>
            </w:tcBorders>
            <w:shd w:val="clear" w:color="auto" w:fill="auto"/>
            <w:noWrap/>
            <w:hideMark/>
          </w:tcPr>
          <w:p w14:paraId="69A76E74" w14:textId="02874AD3" w:rsidR="00B0569D" w:rsidRPr="00D02A2E" w:rsidRDefault="00B0569D" w:rsidP="00B0569D">
            <w:pPr>
              <w:pStyle w:val="ARtablenoteindent"/>
            </w:pPr>
            <w:r w:rsidRPr="00C5726C">
              <w:rPr>
                <w:noProof/>
              </w:rPr>
              <w:t xml:space="preserve">Ambulance performance has been significantly impacted by </w:t>
            </w:r>
            <w:r>
              <w:rPr>
                <w:noProof/>
              </w:rPr>
              <w:t>COVID</w:t>
            </w:r>
            <w:r w:rsidRPr="00C5726C">
              <w:rPr>
                <w:noProof/>
              </w:rPr>
              <w:t xml:space="preserve">-19, with increased demand on health service emergency departments statewide placing additional pressure on offload times. Overall demand for ambulance services has been substantially above previous years, despite a number of periods of reduced activity throughout the year as part of the </w:t>
            </w:r>
            <w:r>
              <w:rPr>
                <w:noProof/>
              </w:rPr>
              <w:t>g</w:t>
            </w:r>
            <w:r w:rsidRPr="00C5726C">
              <w:rPr>
                <w:noProof/>
              </w:rPr>
              <w:t>overnment</w:t>
            </w:r>
            <w:r w:rsidR="007D145B">
              <w:rPr>
                <w:noProof/>
              </w:rPr>
              <w:t>’</w:t>
            </w:r>
            <w:r w:rsidRPr="00C5726C">
              <w:rPr>
                <w:noProof/>
              </w:rPr>
              <w:t xml:space="preserve">s response to the </w:t>
            </w:r>
            <w:r>
              <w:rPr>
                <w:noProof/>
              </w:rPr>
              <w:t>COVID</w:t>
            </w:r>
            <w:r w:rsidRPr="00C5726C">
              <w:rPr>
                <w:noProof/>
              </w:rPr>
              <w:t>-19 pandemic.</w:t>
            </w:r>
          </w:p>
        </w:tc>
      </w:tr>
      <w:tr w:rsidR="00B0569D" w:rsidRPr="00D02A2E" w14:paraId="76C8E90B" w14:textId="77777777" w:rsidTr="000F1C6B">
        <w:trPr>
          <w:cantSplit/>
        </w:trPr>
        <w:tc>
          <w:tcPr>
            <w:tcW w:w="9639" w:type="dxa"/>
            <w:gridSpan w:val="6"/>
            <w:tcBorders>
              <w:top w:val="single" w:sz="4" w:space="0" w:color="auto"/>
            </w:tcBorders>
            <w:shd w:val="clear" w:color="auto" w:fill="auto"/>
            <w:hideMark/>
          </w:tcPr>
          <w:p w14:paraId="15EE6C99" w14:textId="77777777" w:rsidR="00B0569D" w:rsidRPr="00D02A2E" w:rsidRDefault="00B0569D" w:rsidP="00B0569D">
            <w:pPr>
              <w:pStyle w:val="ARtablegreybold"/>
              <w:rPr>
                <w:rFonts w:ascii="Wingdings" w:hAnsi="Wingdings"/>
              </w:rPr>
            </w:pPr>
            <w:r>
              <w:t>Cost</w:t>
            </w:r>
          </w:p>
        </w:tc>
      </w:tr>
      <w:tr w:rsidR="00B0569D" w:rsidRPr="00D02A2E" w14:paraId="7DBA8A24" w14:textId="77777777" w:rsidTr="000F1C6B">
        <w:trPr>
          <w:cantSplit/>
        </w:trPr>
        <w:tc>
          <w:tcPr>
            <w:tcW w:w="4761" w:type="dxa"/>
            <w:shd w:val="clear" w:color="auto" w:fill="auto"/>
            <w:hideMark/>
          </w:tcPr>
          <w:p w14:paraId="14A1456F" w14:textId="77777777" w:rsidR="00B0569D" w:rsidRPr="00A95DC7" w:rsidRDefault="00B0569D" w:rsidP="00B0569D">
            <w:pPr>
              <w:pStyle w:val="ARtabletext"/>
              <w:rPr>
                <w:b/>
                <w:bCs/>
              </w:rPr>
            </w:pPr>
            <w:r w:rsidRPr="00A95DC7">
              <w:rPr>
                <w:b/>
                <w:bCs/>
                <w:noProof/>
              </w:rPr>
              <w:t>Total Output Cost</w:t>
            </w:r>
          </w:p>
        </w:tc>
        <w:tc>
          <w:tcPr>
            <w:tcW w:w="1021" w:type="dxa"/>
            <w:shd w:val="clear" w:color="auto" w:fill="auto"/>
            <w:hideMark/>
          </w:tcPr>
          <w:p w14:paraId="09F15F50" w14:textId="77777777" w:rsidR="00B0569D" w:rsidRPr="00A95DC7" w:rsidRDefault="00B0569D" w:rsidP="00B0569D">
            <w:pPr>
              <w:pStyle w:val="ARtabletextcentre"/>
            </w:pPr>
            <w:r w:rsidRPr="00A95DC7">
              <w:rPr>
                <w:b/>
                <w:bCs/>
                <w:noProof/>
              </w:rPr>
              <w:t>$ million</w:t>
            </w:r>
          </w:p>
        </w:tc>
        <w:tc>
          <w:tcPr>
            <w:tcW w:w="1021" w:type="dxa"/>
            <w:shd w:val="clear" w:color="auto" w:fill="auto"/>
            <w:hideMark/>
          </w:tcPr>
          <w:p w14:paraId="0BE22515" w14:textId="77777777" w:rsidR="00B0569D" w:rsidRPr="00A95DC7" w:rsidRDefault="00B0569D" w:rsidP="00B0569D">
            <w:pPr>
              <w:pStyle w:val="ARtabletextright"/>
              <w:rPr>
                <w:b/>
                <w:bCs/>
              </w:rPr>
            </w:pPr>
            <w:r w:rsidRPr="00A95DC7">
              <w:rPr>
                <w:b/>
                <w:bCs/>
                <w:noProof/>
              </w:rPr>
              <w:t>1</w:t>
            </w:r>
            <w:r>
              <w:rPr>
                <w:b/>
                <w:bCs/>
                <w:noProof/>
              </w:rPr>
              <w:t>,</w:t>
            </w:r>
            <w:r w:rsidRPr="00A95DC7">
              <w:rPr>
                <w:b/>
                <w:bCs/>
                <w:noProof/>
              </w:rPr>
              <w:t>109.9</w:t>
            </w:r>
          </w:p>
        </w:tc>
        <w:tc>
          <w:tcPr>
            <w:tcW w:w="1021" w:type="dxa"/>
            <w:shd w:val="clear" w:color="auto" w:fill="auto"/>
            <w:hideMark/>
          </w:tcPr>
          <w:p w14:paraId="7DB53FC3" w14:textId="77777777" w:rsidR="00B0569D" w:rsidRPr="00A95DC7" w:rsidRDefault="00B0569D" w:rsidP="00B0569D">
            <w:pPr>
              <w:pStyle w:val="ARtabletextright"/>
              <w:rPr>
                <w:b/>
                <w:bCs/>
              </w:rPr>
            </w:pPr>
            <w:r w:rsidRPr="00A95DC7">
              <w:rPr>
                <w:b/>
                <w:bCs/>
                <w:noProof/>
              </w:rPr>
              <w:t>1</w:t>
            </w:r>
            <w:r>
              <w:rPr>
                <w:b/>
                <w:bCs/>
                <w:noProof/>
              </w:rPr>
              <w:t>,</w:t>
            </w:r>
            <w:r w:rsidRPr="00A95DC7">
              <w:rPr>
                <w:b/>
                <w:bCs/>
                <w:noProof/>
              </w:rPr>
              <w:t>012.6</w:t>
            </w:r>
          </w:p>
        </w:tc>
        <w:tc>
          <w:tcPr>
            <w:tcW w:w="1021" w:type="dxa"/>
            <w:shd w:val="clear" w:color="auto" w:fill="auto"/>
          </w:tcPr>
          <w:p w14:paraId="2D5C1154" w14:textId="77777777" w:rsidR="00B0569D" w:rsidRPr="00A95DC7" w:rsidRDefault="00B0569D" w:rsidP="00B0569D">
            <w:pPr>
              <w:pStyle w:val="ARtabletextright"/>
              <w:rPr>
                <w:b/>
                <w:bCs/>
              </w:rPr>
            </w:pPr>
            <w:r>
              <w:rPr>
                <w:b/>
                <w:bCs/>
                <w:noProof/>
              </w:rPr>
              <w:t>−</w:t>
            </w:r>
            <w:r w:rsidRPr="00A95DC7">
              <w:rPr>
                <w:b/>
                <w:bCs/>
                <w:noProof/>
              </w:rPr>
              <w:t>8.8</w:t>
            </w:r>
          </w:p>
        </w:tc>
        <w:tc>
          <w:tcPr>
            <w:tcW w:w="794" w:type="dxa"/>
            <w:shd w:val="clear" w:color="auto" w:fill="auto"/>
            <w:hideMark/>
          </w:tcPr>
          <w:p w14:paraId="40119629" w14:textId="77777777" w:rsidR="00B0569D" w:rsidRPr="00A95DC7" w:rsidRDefault="00B0569D" w:rsidP="00B0569D">
            <w:pPr>
              <w:pStyle w:val="ARtabletextright"/>
              <w:rPr>
                <w:b/>
                <w:bCs/>
              </w:rPr>
            </w:pPr>
          </w:p>
        </w:tc>
      </w:tr>
      <w:tr w:rsidR="00B0569D" w:rsidRPr="00D02A2E" w14:paraId="12D752FD" w14:textId="77777777" w:rsidTr="000F1C6B">
        <w:trPr>
          <w:cantSplit/>
        </w:trPr>
        <w:tc>
          <w:tcPr>
            <w:tcW w:w="9639" w:type="dxa"/>
            <w:gridSpan w:val="6"/>
            <w:tcBorders>
              <w:bottom w:val="single" w:sz="4" w:space="0" w:color="BFBFBF"/>
            </w:tcBorders>
            <w:shd w:val="clear" w:color="auto" w:fill="auto"/>
            <w:noWrap/>
            <w:hideMark/>
          </w:tcPr>
          <w:p w14:paraId="785292D1" w14:textId="77777777" w:rsidR="00B0569D" w:rsidRPr="00D02A2E" w:rsidRDefault="00B0569D" w:rsidP="00B0569D">
            <w:pPr>
              <w:pStyle w:val="ARtablenoteindent"/>
            </w:pPr>
            <w:r w:rsidRPr="00C5726C">
              <w:rPr>
                <w:noProof/>
              </w:rPr>
              <w:t>The 202</w:t>
            </w:r>
            <w:r>
              <w:rPr>
                <w:noProof/>
              </w:rPr>
              <w:t>0–</w:t>
            </w:r>
            <w:r w:rsidRPr="00C5726C">
              <w:rPr>
                <w:noProof/>
              </w:rPr>
              <w:t>21 actual outcome primarily reflects a decrease in expense relating to the treatment of Ambulance Victoria lease arrangements and expenditure relating to the COVID-19 response being captured under the Acute Admitted output.</w:t>
            </w:r>
          </w:p>
        </w:tc>
      </w:tr>
      <w:tr w:rsidR="00B0569D" w:rsidRPr="00D02A2E" w14:paraId="7403A8FE" w14:textId="77777777" w:rsidTr="000F1C6B">
        <w:trPr>
          <w:cantSplit/>
        </w:trPr>
        <w:tc>
          <w:tcPr>
            <w:tcW w:w="9639" w:type="dxa"/>
            <w:gridSpan w:val="6"/>
            <w:tcBorders>
              <w:top w:val="single" w:sz="4" w:space="0" w:color="auto"/>
              <w:bottom w:val="single" w:sz="4" w:space="0" w:color="auto"/>
            </w:tcBorders>
            <w:shd w:val="clear" w:color="auto" w:fill="auto"/>
            <w:hideMark/>
          </w:tcPr>
          <w:p w14:paraId="69977F83" w14:textId="77777777" w:rsidR="00B0569D" w:rsidRPr="00D02A2E" w:rsidRDefault="00B0569D" w:rsidP="00B0569D">
            <w:pPr>
              <w:pStyle w:val="ARtablebluebold"/>
              <w:rPr>
                <w:rFonts w:ascii="Wingdings" w:hAnsi="Wingdings"/>
              </w:rPr>
            </w:pPr>
            <w:r w:rsidRPr="00282021">
              <w:t>Ambulance Non</w:t>
            </w:r>
            <w:r>
              <w:t>-</w:t>
            </w:r>
            <w:r w:rsidRPr="00282021">
              <w:t>Emergency Services</w:t>
            </w:r>
          </w:p>
        </w:tc>
      </w:tr>
      <w:tr w:rsidR="00B0569D" w:rsidRPr="00D02A2E" w14:paraId="2F7D79E7" w14:textId="77777777" w:rsidTr="000F1C6B">
        <w:trPr>
          <w:cantSplit/>
        </w:trPr>
        <w:tc>
          <w:tcPr>
            <w:tcW w:w="9639" w:type="dxa"/>
            <w:gridSpan w:val="6"/>
            <w:tcBorders>
              <w:top w:val="single" w:sz="4" w:space="0" w:color="auto"/>
            </w:tcBorders>
            <w:shd w:val="clear" w:color="auto" w:fill="auto"/>
            <w:hideMark/>
          </w:tcPr>
          <w:p w14:paraId="4B770166" w14:textId="77777777" w:rsidR="00B0569D" w:rsidRPr="00D02A2E" w:rsidRDefault="00B0569D" w:rsidP="00B0569D">
            <w:pPr>
              <w:pStyle w:val="ARtablegreybold"/>
              <w:rPr>
                <w:rFonts w:ascii="Wingdings" w:hAnsi="Wingdings"/>
              </w:rPr>
            </w:pPr>
            <w:r w:rsidRPr="007A45E9">
              <w:t>Quantity</w:t>
            </w:r>
          </w:p>
        </w:tc>
      </w:tr>
      <w:tr w:rsidR="00CF2633" w:rsidRPr="00D02A2E" w14:paraId="2AEE23B7" w14:textId="77777777" w:rsidTr="000F1C6B">
        <w:trPr>
          <w:cantSplit/>
        </w:trPr>
        <w:tc>
          <w:tcPr>
            <w:tcW w:w="4761" w:type="dxa"/>
            <w:tcBorders>
              <w:bottom w:val="single" w:sz="4" w:space="0" w:color="BFBFBF" w:themeColor="background1" w:themeShade="BF"/>
            </w:tcBorders>
            <w:shd w:val="clear" w:color="auto" w:fill="auto"/>
            <w:hideMark/>
          </w:tcPr>
          <w:p w14:paraId="7BBA5035" w14:textId="77777777" w:rsidR="00CF2633" w:rsidRPr="00D02A2E" w:rsidRDefault="00CF2633" w:rsidP="00CF2633">
            <w:pPr>
              <w:pStyle w:val="ARtabletext"/>
            </w:pPr>
            <w:r w:rsidRPr="00C5726C">
              <w:rPr>
                <w:noProof/>
              </w:rPr>
              <w:t>Community Service Obligation non-emergency road and air transports</w:t>
            </w:r>
          </w:p>
        </w:tc>
        <w:tc>
          <w:tcPr>
            <w:tcW w:w="1021" w:type="dxa"/>
            <w:tcBorders>
              <w:bottom w:val="single" w:sz="4" w:space="0" w:color="BFBFBF" w:themeColor="background1" w:themeShade="BF"/>
            </w:tcBorders>
            <w:shd w:val="clear" w:color="auto" w:fill="auto"/>
            <w:hideMark/>
          </w:tcPr>
          <w:p w14:paraId="35A3F16C" w14:textId="77777777" w:rsidR="00CF2633" w:rsidRPr="00D02A2E" w:rsidRDefault="00CF2633" w:rsidP="00CF2633">
            <w:pPr>
              <w:pStyle w:val="ARtabletextcentre"/>
            </w:pPr>
            <w:r w:rsidRPr="00C5726C">
              <w:rPr>
                <w:noProof/>
              </w:rPr>
              <w:t>number</w:t>
            </w:r>
          </w:p>
        </w:tc>
        <w:tc>
          <w:tcPr>
            <w:tcW w:w="1021" w:type="dxa"/>
            <w:tcBorders>
              <w:bottom w:val="single" w:sz="4" w:space="0" w:color="BFBFBF" w:themeColor="background1" w:themeShade="BF"/>
            </w:tcBorders>
            <w:shd w:val="clear" w:color="auto" w:fill="auto"/>
            <w:hideMark/>
          </w:tcPr>
          <w:p w14:paraId="6D7192ED" w14:textId="77777777" w:rsidR="00CF2633" w:rsidRDefault="00CF2633" w:rsidP="00CF2633">
            <w:pPr>
              <w:pStyle w:val="ARtabletextright"/>
            </w:pPr>
            <w:r w:rsidRPr="00C5726C">
              <w:rPr>
                <w:noProof/>
              </w:rPr>
              <w:t>229</w:t>
            </w:r>
            <w:r>
              <w:rPr>
                <w:noProof/>
              </w:rPr>
              <w:t>,</w:t>
            </w:r>
            <w:r w:rsidRPr="00C5726C">
              <w:rPr>
                <w:noProof/>
              </w:rPr>
              <w:t>943</w:t>
            </w:r>
          </w:p>
        </w:tc>
        <w:tc>
          <w:tcPr>
            <w:tcW w:w="1021" w:type="dxa"/>
            <w:tcBorders>
              <w:bottom w:val="single" w:sz="4" w:space="0" w:color="BFBFBF" w:themeColor="background1" w:themeShade="BF"/>
            </w:tcBorders>
            <w:shd w:val="clear" w:color="auto" w:fill="auto"/>
            <w:hideMark/>
          </w:tcPr>
          <w:p w14:paraId="391E6E02" w14:textId="77777777" w:rsidR="00CF2633" w:rsidRDefault="00CF2633" w:rsidP="00CF2633">
            <w:pPr>
              <w:pStyle w:val="ARtabletextright"/>
            </w:pPr>
            <w:r w:rsidRPr="00C5726C">
              <w:rPr>
                <w:noProof/>
              </w:rPr>
              <w:t>237</w:t>
            </w:r>
            <w:r>
              <w:rPr>
                <w:noProof/>
              </w:rPr>
              <w:t>,</w:t>
            </w:r>
            <w:r w:rsidRPr="00C5726C">
              <w:rPr>
                <w:noProof/>
              </w:rPr>
              <w:t>864</w:t>
            </w:r>
          </w:p>
        </w:tc>
        <w:tc>
          <w:tcPr>
            <w:tcW w:w="1021" w:type="dxa"/>
            <w:tcBorders>
              <w:bottom w:val="single" w:sz="4" w:space="0" w:color="BFBFBF" w:themeColor="background1" w:themeShade="BF"/>
            </w:tcBorders>
            <w:shd w:val="clear" w:color="auto" w:fill="auto"/>
          </w:tcPr>
          <w:p w14:paraId="5F6F0962" w14:textId="77777777" w:rsidR="00CF2633" w:rsidRDefault="00CF2633" w:rsidP="00CF2633">
            <w:pPr>
              <w:pStyle w:val="ARtabletextright"/>
            </w:pPr>
            <w:r w:rsidRPr="00C5726C">
              <w:rPr>
                <w:noProof/>
              </w:rPr>
              <w:t>3.</w:t>
            </w:r>
            <w:r>
              <w:rPr>
                <w:noProof/>
              </w:rPr>
              <w:t>4</w:t>
            </w:r>
          </w:p>
        </w:tc>
        <w:tc>
          <w:tcPr>
            <w:tcW w:w="794" w:type="dxa"/>
            <w:tcBorders>
              <w:bottom w:val="single" w:sz="4" w:space="0" w:color="BFBFBF" w:themeColor="background1" w:themeShade="BF"/>
            </w:tcBorders>
            <w:shd w:val="clear" w:color="auto" w:fill="auto"/>
            <w:hideMark/>
          </w:tcPr>
          <w:p w14:paraId="41C7D975" w14:textId="4CB0DF19" w:rsidR="00CF2633" w:rsidRPr="00D02A2E" w:rsidRDefault="00CF2633" w:rsidP="00C575AB">
            <w:pPr>
              <w:pStyle w:val="ARtableperformancesymbol"/>
            </w:pPr>
            <w:r w:rsidRPr="004E7385">
              <w:rPr>
                <w:noProof/>
              </w:rPr>
              <w:drawing>
                <wp:inline distT="0" distB="0" distL="0" distR="0" wp14:anchorId="386BAC2E" wp14:editId="15B94258">
                  <wp:extent cx="85320" cy="85320"/>
                  <wp:effectExtent l="0" t="0" r="0" b="0"/>
                  <wp:docPr id="146" name="Graphic 146"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rsidRPr="004E7385">
              <w:t xml:space="preserve"> </w:t>
            </w:r>
          </w:p>
        </w:tc>
      </w:tr>
      <w:tr w:rsidR="00CF2633" w:rsidRPr="00D02A2E" w14:paraId="5483E5C5" w14:textId="77777777" w:rsidTr="000F1C6B">
        <w:trPr>
          <w:cantSplit/>
        </w:trPr>
        <w:tc>
          <w:tcPr>
            <w:tcW w:w="4761" w:type="dxa"/>
            <w:tcBorders>
              <w:top w:val="single" w:sz="4" w:space="0" w:color="BFBFBF" w:themeColor="background1" w:themeShade="BF"/>
            </w:tcBorders>
            <w:shd w:val="clear" w:color="auto" w:fill="auto"/>
            <w:hideMark/>
          </w:tcPr>
          <w:p w14:paraId="0CDCDE87" w14:textId="77777777" w:rsidR="00CF2633" w:rsidRPr="00D02A2E" w:rsidRDefault="00CF2633" w:rsidP="00CF2633">
            <w:pPr>
              <w:pStyle w:val="ARtabletext"/>
            </w:pPr>
            <w:r w:rsidRPr="00C5726C">
              <w:rPr>
                <w:noProof/>
              </w:rPr>
              <w:t>Statewide non-emergency air transports</w:t>
            </w:r>
          </w:p>
        </w:tc>
        <w:tc>
          <w:tcPr>
            <w:tcW w:w="1021" w:type="dxa"/>
            <w:tcBorders>
              <w:top w:val="single" w:sz="4" w:space="0" w:color="BFBFBF" w:themeColor="background1" w:themeShade="BF"/>
            </w:tcBorders>
            <w:shd w:val="clear" w:color="auto" w:fill="auto"/>
            <w:hideMark/>
          </w:tcPr>
          <w:p w14:paraId="1051999E" w14:textId="77777777" w:rsidR="00CF2633" w:rsidRPr="00D02A2E" w:rsidRDefault="00CF2633" w:rsidP="00CF2633">
            <w:pPr>
              <w:pStyle w:val="ARtabletextcentre"/>
            </w:pPr>
            <w:r w:rsidRPr="00C5726C">
              <w:rPr>
                <w:noProof/>
              </w:rPr>
              <w:t>number</w:t>
            </w:r>
          </w:p>
        </w:tc>
        <w:tc>
          <w:tcPr>
            <w:tcW w:w="1021" w:type="dxa"/>
            <w:tcBorders>
              <w:top w:val="single" w:sz="4" w:space="0" w:color="BFBFBF" w:themeColor="background1" w:themeShade="BF"/>
            </w:tcBorders>
            <w:shd w:val="clear" w:color="auto" w:fill="auto"/>
            <w:hideMark/>
          </w:tcPr>
          <w:p w14:paraId="257EFB32" w14:textId="77777777" w:rsidR="00CF2633" w:rsidRDefault="00CF2633" w:rsidP="00CF2633">
            <w:pPr>
              <w:pStyle w:val="ARtabletextright"/>
            </w:pPr>
            <w:r w:rsidRPr="00C5726C">
              <w:rPr>
                <w:noProof/>
              </w:rPr>
              <w:t>2</w:t>
            </w:r>
            <w:r>
              <w:rPr>
                <w:noProof/>
              </w:rPr>
              <w:t>,</w:t>
            </w:r>
            <w:r w:rsidRPr="00C5726C">
              <w:rPr>
                <w:noProof/>
              </w:rPr>
              <w:t>434</w:t>
            </w:r>
          </w:p>
        </w:tc>
        <w:tc>
          <w:tcPr>
            <w:tcW w:w="1021" w:type="dxa"/>
            <w:tcBorders>
              <w:top w:val="single" w:sz="4" w:space="0" w:color="BFBFBF" w:themeColor="background1" w:themeShade="BF"/>
            </w:tcBorders>
            <w:shd w:val="clear" w:color="auto" w:fill="auto"/>
            <w:hideMark/>
          </w:tcPr>
          <w:p w14:paraId="13777ADE" w14:textId="77777777" w:rsidR="00CF2633" w:rsidRDefault="00CF2633" w:rsidP="00CF2633">
            <w:pPr>
              <w:pStyle w:val="ARtabletextright"/>
            </w:pPr>
            <w:r w:rsidRPr="00C5726C">
              <w:rPr>
                <w:noProof/>
              </w:rPr>
              <w:t>2</w:t>
            </w:r>
            <w:r>
              <w:rPr>
                <w:noProof/>
              </w:rPr>
              <w:t>,</w:t>
            </w:r>
            <w:r w:rsidRPr="00C5726C">
              <w:rPr>
                <w:noProof/>
              </w:rPr>
              <w:t>650</w:t>
            </w:r>
          </w:p>
        </w:tc>
        <w:tc>
          <w:tcPr>
            <w:tcW w:w="1021" w:type="dxa"/>
            <w:tcBorders>
              <w:top w:val="single" w:sz="4" w:space="0" w:color="BFBFBF" w:themeColor="background1" w:themeShade="BF"/>
            </w:tcBorders>
            <w:shd w:val="clear" w:color="auto" w:fill="auto"/>
          </w:tcPr>
          <w:p w14:paraId="69B157FC" w14:textId="77777777" w:rsidR="00CF2633" w:rsidRDefault="00CF2633" w:rsidP="00CF2633">
            <w:pPr>
              <w:pStyle w:val="ARtabletextright"/>
            </w:pPr>
            <w:r w:rsidRPr="00C5726C">
              <w:rPr>
                <w:noProof/>
              </w:rPr>
              <w:t>8.9</w:t>
            </w:r>
          </w:p>
        </w:tc>
        <w:tc>
          <w:tcPr>
            <w:tcW w:w="794" w:type="dxa"/>
            <w:tcBorders>
              <w:top w:val="single" w:sz="4" w:space="0" w:color="BFBFBF" w:themeColor="background1" w:themeShade="BF"/>
            </w:tcBorders>
            <w:shd w:val="clear" w:color="auto" w:fill="auto"/>
            <w:hideMark/>
          </w:tcPr>
          <w:p w14:paraId="5389475F" w14:textId="614BA335" w:rsidR="00CF2633" w:rsidRPr="00D02A2E" w:rsidRDefault="00CF2633" w:rsidP="00C575AB">
            <w:pPr>
              <w:pStyle w:val="ARtableperformancesymbol"/>
            </w:pPr>
            <w:r w:rsidRPr="004E7385">
              <w:rPr>
                <w:noProof/>
              </w:rPr>
              <w:drawing>
                <wp:inline distT="0" distB="0" distL="0" distR="0" wp14:anchorId="2DC11D85" wp14:editId="6496350E">
                  <wp:extent cx="85320" cy="85320"/>
                  <wp:effectExtent l="0" t="0" r="0" b="0"/>
                  <wp:docPr id="147" name="Graphic 147"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rsidRPr="004E7385">
              <w:t xml:space="preserve"> </w:t>
            </w:r>
          </w:p>
        </w:tc>
      </w:tr>
      <w:tr w:rsidR="00B0569D" w:rsidRPr="00D02A2E" w14:paraId="5D205616" w14:textId="77777777" w:rsidTr="000F1C6B">
        <w:trPr>
          <w:cantSplit/>
        </w:trPr>
        <w:tc>
          <w:tcPr>
            <w:tcW w:w="9639" w:type="dxa"/>
            <w:gridSpan w:val="6"/>
            <w:tcBorders>
              <w:bottom w:val="single" w:sz="4" w:space="0" w:color="BFBFBF"/>
            </w:tcBorders>
            <w:shd w:val="clear" w:color="auto" w:fill="auto"/>
            <w:noWrap/>
            <w:hideMark/>
          </w:tcPr>
          <w:p w14:paraId="6312A3BC" w14:textId="77777777" w:rsidR="00B0569D" w:rsidRPr="00D02A2E" w:rsidRDefault="00B0569D" w:rsidP="00B0569D">
            <w:pPr>
              <w:pStyle w:val="ARtablenoteindent"/>
            </w:pPr>
            <w:r w:rsidRPr="00C5726C">
              <w:rPr>
                <w:noProof/>
              </w:rPr>
              <w:t>The result was lower than target due to lower demand for services. This is an entirely demand-driven activity.</w:t>
            </w:r>
          </w:p>
        </w:tc>
      </w:tr>
      <w:tr w:rsidR="00B0569D" w:rsidRPr="00D02A2E" w14:paraId="43A33DE0" w14:textId="77777777" w:rsidTr="000F1C6B">
        <w:trPr>
          <w:cantSplit/>
        </w:trPr>
        <w:tc>
          <w:tcPr>
            <w:tcW w:w="4761" w:type="dxa"/>
            <w:shd w:val="clear" w:color="auto" w:fill="auto"/>
            <w:hideMark/>
          </w:tcPr>
          <w:p w14:paraId="3C936E52" w14:textId="77777777" w:rsidR="00B0569D" w:rsidRPr="00D02A2E" w:rsidRDefault="00B0569D" w:rsidP="00B0569D">
            <w:pPr>
              <w:pStyle w:val="ARtabletext"/>
            </w:pPr>
            <w:r w:rsidRPr="00C5726C">
              <w:rPr>
                <w:noProof/>
              </w:rPr>
              <w:t>Statewide non-emergency road transports</w:t>
            </w:r>
          </w:p>
        </w:tc>
        <w:tc>
          <w:tcPr>
            <w:tcW w:w="1021" w:type="dxa"/>
            <w:shd w:val="clear" w:color="auto" w:fill="auto"/>
            <w:hideMark/>
          </w:tcPr>
          <w:p w14:paraId="7EFC21F1" w14:textId="77777777" w:rsidR="00B0569D" w:rsidRPr="00D02A2E" w:rsidRDefault="00B0569D" w:rsidP="00B0569D">
            <w:pPr>
              <w:pStyle w:val="ARtabletextcentre"/>
            </w:pPr>
            <w:r w:rsidRPr="00C5726C">
              <w:rPr>
                <w:noProof/>
              </w:rPr>
              <w:t>number</w:t>
            </w:r>
          </w:p>
        </w:tc>
        <w:tc>
          <w:tcPr>
            <w:tcW w:w="1021" w:type="dxa"/>
            <w:shd w:val="clear" w:color="auto" w:fill="auto"/>
            <w:hideMark/>
          </w:tcPr>
          <w:p w14:paraId="29AF18CF" w14:textId="77777777" w:rsidR="00B0569D" w:rsidRDefault="00B0569D" w:rsidP="00B0569D">
            <w:pPr>
              <w:pStyle w:val="ARtabletextright"/>
            </w:pPr>
            <w:r w:rsidRPr="00C5726C">
              <w:rPr>
                <w:noProof/>
              </w:rPr>
              <w:t>281</w:t>
            </w:r>
            <w:r>
              <w:rPr>
                <w:noProof/>
              </w:rPr>
              <w:t>,</w:t>
            </w:r>
            <w:r w:rsidRPr="00C5726C">
              <w:rPr>
                <w:noProof/>
              </w:rPr>
              <w:t>733</w:t>
            </w:r>
          </w:p>
        </w:tc>
        <w:tc>
          <w:tcPr>
            <w:tcW w:w="1021" w:type="dxa"/>
            <w:shd w:val="clear" w:color="auto" w:fill="auto"/>
            <w:hideMark/>
          </w:tcPr>
          <w:p w14:paraId="3D577339" w14:textId="77777777" w:rsidR="00B0569D" w:rsidRDefault="00B0569D" w:rsidP="00B0569D">
            <w:pPr>
              <w:pStyle w:val="ARtabletextright"/>
            </w:pPr>
            <w:r w:rsidRPr="00C5726C">
              <w:rPr>
                <w:noProof/>
              </w:rPr>
              <w:t>313</w:t>
            </w:r>
            <w:r>
              <w:rPr>
                <w:noProof/>
              </w:rPr>
              <w:t>,</w:t>
            </w:r>
            <w:r w:rsidRPr="00C5726C">
              <w:rPr>
                <w:noProof/>
              </w:rPr>
              <w:t>367</w:t>
            </w:r>
          </w:p>
        </w:tc>
        <w:tc>
          <w:tcPr>
            <w:tcW w:w="1021" w:type="dxa"/>
            <w:shd w:val="clear" w:color="auto" w:fill="auto"/>
          </w:tcPr>
          <w:p w14:paraId="5EEC2A1F" w14:textId="77777777" w:rsidR="00B0569D" w:rsidRDefault="00B0569D" w:rsidP="00B0569D">
            <w:pPr>
              <w:pStyle w:val="ARtabletextright"/>
            </w:pPr>
            <w:r w:rsidRPr="00C5726C">
              <w:rPr>
                <w:noProof/>
              </w:rPr>
              <w:t>11.</w:t>
            </w:r>
            <w:r>
              <w:rPr>
                <w:noProof/>
              </w:rPr>
              <w:t>2</w:t>
            </w:r>
          </w:p>
        </w:tc>
        <w:tc>
          <w:tcPr>
            <w:tcW w:w="794" w:type="dxa"/>
            <w:shd w:val="clear" w:color="auto" w:fill="auto"/>
            <w:hideMark/>
          </w:tcPr>
          <w:p w14:paraId="2518CDFE" w14:textId="129E6E23" w:rsidR="00B0569D" w:rsidRPr="00D02A2E" w:rsidRDefault="00CF2633" w:rsidP="00C575AB">
            <w:pPr>
              <w:pStyle w:val="ARtableperformancesymbol"/>
            </w:pPr>
            <w:r>
              <w:rPr>
                <w:noProof/>
              </w:rPr>
              <w:drawing>
                <wp:inline distT="0" distB="0" distL="0" distR="0" wp14:anchorId="2BB2957F" wp14:editId="7D1DECB8">
                  <wp:extent cx="85320" cy="85320"/>
                  <wp:effectExtent l="0" t="0" r="0" b="0"/>
                  <wp:docPr id="148" name="Graphic 148"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B0569D" w:rsidRPr="00D02A2E" w14:paraId="7E3933FB" w14:textId="77777777" w:rsidTr="000F1C6B">
        <w:trPr>
          <w:cantSplit/>
        </w:trPr>
        <w:tc>
          <w:tcPr>
            <w:tcW w:w="9639" w:type="dxa"/>
            <w:gridSpan w:val="6"/>
            <w:tcBorders>
              <w:bottom w:val="single" w:sz="4" w:space="0" w:color="BFBFBF"/>
            </w:tcBorders>
            <w:shd w:val="clear" w:color="auto" w:fill="auto"/>
            <w:noWrap/>
            <w:hideMark/>
          </w:tcPr>
          <w:p w14:paraId="6889817B" w14:textId="55B44D89" w:rsidR="00B0569D" w:rsidRPr="00D02A2E" w:rsidRDefault="00B0569D" w:rsidP="00B0569D">
            <w:pPr>
              <w:pStyle w:val="ARtablenoteindent"/>
            </w:pPr>
            <w:r w:rsidRPr="00C5726C">
              <w:rPr>
                <w:noProof/>
              </w:rPr>
              <w:t xml:space="preserve">Despite activity being significantly impacted by the </w:t>
            </w:r>
            <w:r>
              <w:rPr>
                <w:noProof/>
              </w:rPr>
              <w:t>g</w:t>
            </w:r>
            <w:r w:rsidRPr="00C5726C">
              <w:rPr>
                <w:noProof/>
              </w:rPr>
              <w:t>overnment</w:t>
            </w:r>
            <w:r w:rsidR="007D145B">
              <w:rPr>
                <w:noProof/>
              </w:rPr>
              <w:t>’</w:t>
            </w:r>
            <w:r w:rsidRPr="00C5726C">
              <w:rPr>
                <w:noProof/>
              </w:rPr>
              <w:t xml:space="preserve">s response to </w:t>
            </w:r>
            <w:r>
              <w:rPr>
                <w:noProof/>
              </w:rPr>
              <w:t>COVID</w:t>
            </w:r>
            <w:r w:rsidRPr="00C5726C">
              <w:rPr>
                <w:noProof/>
              </w:rPr>
              <w:t>-19, A</w:t>
            </w:r>
            <w:r>
              <w:rPr>
                <w:noProof/>
              </w:rPr>
              <w:t xml:space="preserve">mbulance </w:t>
            </w:r>
            <w:r w:rsidRPr="00C5726C">
              <w:rPr>
                <w:noProof/>
              </w:rPr>
              <w:t>V</w:t>
            </w:r>
            <w:r>
              <w:rPr>
                <w:noProof/>
              </w:rPr>
              <w:t>ictoria</w:t>
            </w:r>
            <w:r w:rsidR="007D145B">
              <w:rPr>
                <w:noProof/>
              </w:rPr>
              <w:t>’</w:t>
            </w:r>
            <w:r w:rsidRPr="00C5726C">
              <w:rPr>
                <w:noProof/>
              </w:rPr>
              <w:t xml:space="preserve">s commissioned response to </w:t>
            </w:r>
            <w:r>
              <w:rPr>
                <w:noProof/>
              </w:rPr>
              <w:t>COVID</w:t>
            </w:r>
            <w:r w:rsidRPr="00C5726C">
              <w:rPr>
                <w:noProof/>
              </w:rPr>
              <w:t>-19 in aged care settings and demand outside of lockdown periods has been substantially above previous years.</w:t>
            </w:r>
          </w:p>
        </w:tc>
      </w:tr>
      <w:tr w:rsidR="00B0569D" w:rsidRPr="00D02A2E" w14:paraId="6176C60E" w14:textId="77777777" w:rsidTr="000F1C6B">
        <w:trPr>
          <w:cantSplit/>
        </w:trPr>
        <w:tc>
          <w:tcPr>
            <w:tcW w:w="9639" w:type="dxa"/>
            <w:gridSpan w:val="6"/>
            <w:tcBorders>
              <w:top w:val="single" w:sz="4" w:space="0" w:color="auto"/>
            </w:tcBorders>
            <w:shd w:val="clear" w:color="auto" w:fill="auto"/>
            <w:hideMark/>
          </w:tcPr>
          <w:p w14:paraId="738C1E64" w14:textId="77777777" w:rsidR="00B0569D" w:rsidRPr="00D02A2E" w:rsidRDefault="00B0569D" w:rsidP="00B0569D">
            <w:pPr>
              <w:pStyle w:val="ARtablegreybold"/>
              <w:rPr>
                <w:rFonts w:ascii="Wingdings" w:hAnsi="Wingdings"/>
              </w:rPr>
            </w:pPr>
            <w:r>
              <w:t>Quality</w:t>
            </w:r>
          </w:p>
        </w:tc>
      </w:tr>
      <w:tr w:rsidR="00B0569D" w:rsidRPr="00D02A2E" w14:paraId="2468CC17" w14:textId="77777777" w:rsidTr="000F1C6B">
        <w:trPr>
          <w:cantSplit/>
        </w:trPr>
        <w:tc>
          <w:tcPr>
            <w:tcW w:w="4761" w:type="dxa"/>
            <w:shd w:val="clear" w:color="auto" w:fill="auto"/>
            <w:hideMark/>
          </w:tcPr>
          <w:p w14:paraId="2498FE4D" w14:textId="77777777" w:rsidR="00B0569D" w:rsidRPr="00D02A2E" w:rsidRDefault="00B0569D" w:rsidP="00B0569D">
            <w:pPr>
              <w:pStyle w:val="ARtabletext"/>
            </w:pPr>
            <w:r w:rsidRPr="00C5726C">
              <w:rPr>
                <w:noProof/>
              </w:rPr>
              <w:t>Audited cases statewide meeting clinical practice standards</w:t>
            </w:r>
          </w:p>
        </w:tc>
        <w:tc>
          <w:tcPr>
            <w:tcW w:w="1021" w:type="dxa"/>
            <w:shd w:val="clear" w:color="auto" w:fill="auto"/>
            <w:hideMark/>
          </w:tcPr>
          <w:p w14:paraId="1C608314" w14:textId="77777777" w:rsidR="00B0569D" w:rsidRPr="00D02A2E" w:rsidRDefault="00B0569D" w:rsidP="00B0569D">
            <w:pPr>
              <w:pStyle w:val="ARtabletextcentre"/>
            </w:pPr>
            <w:r w:rsidRPr="00C5726C">
              <w:rPr>
                <w:noProof/>
              </w:rPr>
              <w:t>per cent</w:t>
            </w:r>
          </w:p>
        </w:tc>
        <w:tc>
          <w:tcPr>
            <w:tcW w:w="1021" w:type="dxa"/>
            <w:shd w:val="clear" w:color="auto" w:fill="auto"/>
            <w:hideMark/>
          </w:tcPr>
          <w:p w14:paraId="3D914519" w14:textId="77777777" w:rsidR="00B0569D" w:rsidRDefault="00B0569D" w:rsidP="00B0569D">
            <w:pPr>
              <w:pStyle w:val="ARtabletextright"/>
            </w:pPr>
            <w:r w:rsidRPr="00C5726C">
              <w:rPr>
                <w:noProof/>
              </w:rPr>
              <w:t>95</w:t>
            </w:r>
          </w:p>
        </w:tc>
        <w:tc>
          <w:tcPr>
            <w:tcW w:w="1021" w:type="dxa"/>
            <w:shd w:val="clear" w:color="auto" w:fill="auto"/>
            <w:hideMark/>
          </w:tcPr>
          <w:p w14:paraId="091497B8" w14:textId="77777777" w:rsidR="00B0569D" w:rsidRDefault="00B0569D" w:rsidP="00B0569D">
            <w:pPr>
              <w:pStyle w:val="ARtabletextright"/>
            </w:pPr>
            <w:r w:rsidRPr="00C5726C">
              <w:rPr>
                <w:noProof/>
              </w:rPr>
              <w:t>100</w:t>
            </w:r>
          </w:p>
        </w:tc>
        <w:tc>
          <w:tcPr>
            <w:tcW w:w="1021" w:type="dxa"/>
            <w:shd w:val="clear" w:color="auto" w:fill="auto"/>
          </w:tcPr>
          <w:p w14:paraId="760D13D4" w14:textId="77777777" w:rsidR="00B0569D" w:rsidRDefault="00B0569D" w:rsidP="00B0569D">
            <w:pPr>
              <w:pStyle w:val="ARtabletextright"/>
            </w:pPr>
            <w:r w:rsidRPr="00C5726C">
              <w:rPr>
                <w:noProof/>
              </w:rPr>
              <w:t>5.</w:t>
            </w:r>
            <w:r>
              <w:rPr>
                <w:noProof/>
              </w:rPr>
              <w:t>3</w:t>
            </w:r>
          </w:p>
        </w:tc>
        <w:tc>
          <w:tcPr>
            <w:tcW w:w="794" w:type="dxa"/>
            <w:shd w:val="clear" w:color="auto" w:fill="auto"/>
            <w:hideMark/>
          </w:tcPr>
          <w:p w14:paraId="6EBEAFBD" w14:textId="43C3F055" w:rsidR="00B0569D" w:rsidRPr="00D02A2E" w:rsidRDefault="00CF2633" w:rsidP="00C575AB">
            <w:pPr>
              <w:pStyle w:val="ARtableperformancesymbol"/>
            </w:pPr>
            <w:r>
              <w:rPr>
                <w:noProof/>
              </w:rPr>
              <w:drawing>
                <wp:inline distT="0" distB="0" distL="0" distR="0" wp14:anchorId="2BABA442" wp14:editId="72C93B8F">
                  <wp:extent cx="85320" cy="85320"/>
                  <wp:effectExtent l="0" t="0" r="0" b="0"/>
                  <wp:docPr id="149" name="Graphic 149"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B0569D" w:rsidRPr="00D02A2E" w14:paraId="002CC5E1" w14:textId="77777777" w:rsidTr="000F1C6B">
        <w:trPr>
          <w:cantSplit/>
        </w:trPr>
        <w:tc>
          <w:tcPr>
            <w:tcW w:w="9639" w:type="dxa"/>
            <w:gridSpan w:val="6"/>
            <w:tcBorders>
              <w:bottom w:val="single" w:sz="4" w:space="0" w:color="BFBFBF"/>
            </w:tcBorders>
            <w:shd w:val="clear" w:color="auto" w:fill="auto"/>
            <w:noWrap/>
            <w:hideMark/>
          </w:tcPr>
          <w:p w14:paraId="636A4D85" w14:textId="77777777" w:rsidR="00B0569D" w:rsidRPr="00D02A2E" w:rsidRDefault="00B0569D" w:rsidP="00B0569D">
            <w:pPr>
              <w:pStyle w:val="ARtablenoteindent"/>
            </w:pPr>
            <w:r w:rsidRPr="00C5726C">
              <w:rPr>
                <w:noProof/>
              </w:rPr>
              <w:t>The result was higher than the target and is a positive result.</w:t>
            </w:r>
          </w:p>
        </w:tc>
      </w:tr>
      <w:tr w:rsidR="00B0569D" w:rsidRPr="00D02A2E" w14:paraId="0BBECC66" w14:textId="77777777" w:rsidTr="000F1C6B">
        <w:trPr>
          <w:cantSplit/>
        </w:trPr>
        <w:tc>
          <w:tcPr>
            <w:tcW w:w="9639" w:type="dxa"/>
            <w:gridSpan w:val="6"/>
            <w:tcBorders>
              <w:top w:val="single" w:sz="4" w:space="0" w:color="auto"/>
            </w:tcBorders>
            <w:shd w:val="clear" w:color="auto" w:fill="auto"/>
            <w:hideMark/>
          </w:tcPr>
          <w:p w14:paraId="50B0050E" w14:textId="77777777" w:rsidR="00B0569D" w:rsidRPr="00D02A2E" w:rsidRDefault="00B0569D" w:rsidP="00B0569D">
            <w:pPr>
              <w:pStyle w:val="ARtablegreybold"/>
              <w:rPr>
                <w:rFonts w:ascii="Wingdings" w:hAnsi="Wingdings"/>
              </w:rPr>
            </w:pPr>
            <w:r>
              <w:t>Cost</w:t>
            </w:r>
          </w:p>
        </w:tc>
      </w:tr>
      <w:tr w:rsidR="00B0569D" w:rsidRPr="00D02A2E" w14:paraId="0C07D4D1" w14:textId="77777777" w:rsidTr="000F1C6B">
        <w:trPr>
          <w:cantSplit/>
        </w:trPr>
        <w:tc>
          <w:tcPr>
            <w:tcW w:w="4761" w:type="dxa"/>
            <w:shd w:val="clear" w:color="auto" w:fill="auto"/>
            <w:hideMark/>
          </w:tcPr>
          <w:p w14:paraId="31B40C8B" w14:textId="77777777" w:rsidR="00B0569D" w:rsidRPr="00A95DC7" w:rsidRDefault="00B0569D" w:rsidP="00B0569D">
            <w:pPr>
              <w:pStyle w:val="ARtabletext"/>
              <w:rPr>
                <w:b/>
                <w:bCs/>
              </w:rPr>
            </w:pPr>
            <w:r w:rsidRPr="00A95DC7">
              <w:rPr>
                <w:b/>
                <w:bCs/>
                <w:noProof/>
              </w:rPr>
              <w:t>Total Output Cost</w:t>
            </w:r>
          </w:p>
        </w:tc>
        <w:tc>
          <w:tcPr>
            <w:tcW w:w="1021" w:type="dxa"/>
            <w:shd w:val="clear" w:color="auto" w:fill="auto"/>
            <w:hideMark/>
          </w:tcPr>
          <w:p w14:paraId="6351FFC5" w14:textId="77777777" w:rsidR="00B0569D" w:rsidRPr="00A95DC7" w:rsidRDefault="00B0569D" w:rsidP="00B0569D">
            <w:pPr>
              <w:pStyle w:val="ARtabletextcentre"/>
            </w:pPr>
            <w:r w:rsidRPr="00A95DC7">
              <w:rPr>
                <w:b/>
                <w:bCs/>
                <w:noProof/>
              </w:rPr>
              <w:t>$ million</w:t>
            </w:r>
          </w:p>
        </w:tc>
        <w:tc>
          <w:tcPr>
            <w:tcW w:w="1021" w:type="dxa"/>
            <w:shd w:val="clear" w:color="auto" w:fill="auto"/>
            <w:hideMark/>
          </w:tcPr>
          <w:p w14:paraId="5BCE0926" w14:textId="77777777" w:rsidR="00B0569D" w:rsidRPr="00A95DC7" w:rsidRDefault="00B0569D" w:rsidP="00B0569D">
            <w:pPr>
              <w:pStyle w:val="ARtabletextright"/>
              <w:rPr>
                <w:b/>
                <w:bCs/>
              </w:rPr>
            </w:pPr>
            <w:r w:rsidRPr="00A95DC7">
              <w:rPr>
                <w:b/>
                <w:bCs/>
                <w:noProof/>
              </w:rPr>
              <w:t>166.4</w:t>
            </w:r>
          </w:p>
        </w:tc>
        <w:tc>
          <w:tcPr>
            <w:tcW w:w="1021" w:type="dxa"/>
            <w:shd w:val="clear" w:color="auto" w:fill="auto"/>
            <w:hideMark/>
          </w:tcPr>
          <w:p w14:paraId="0A41D5D1" w14:textId="77777777" w:rsidR="00B0569D" w:rsidRPr="00A95DC7" w:rsidRDefault="00B0569D" w:rsidP="00B0569D">
            <w:pPr>
              <w:pStyle w:val="ARtabletextright"/>
              <w:rPr>
                <w:b/>
                <w:bCs/>
              </w:rPr>
            </w:pPr>
            <w:r w:rsidRPr="00A95DC7">
              <w:rPr>
                <w:b/>
                <w:bCs/>
                <w:noProof/>
              </w:rPr>
              <w:t>176.</w:t>
            </w:r>
            <w:r>
              <w:rPr>
                <w:b/>
                <w:bCs/>
                <w:noProof/>
              </w:rPr>
              <w:t>6</w:t>
            </w:r>
          </w:p>
        </w:tc>
        <w:tc>
          <w:tcPr>
            <w:tcW w:w="1021" w:type="dxa"/>
            <w:shd w:val="clear" w:color="auto" w:fill="auto"/>
          </w:tcPr>
          <w:p w14:paraId="1AB472B1" w14:textId="77777777" w:rsidR="00B0569D" w:rsidRPr="00A95DC7" w:rsidRDefault="00B0569D" w:rsidP="00B0569D">
            <w:pPr>
              <w:pStyle w:val="ARtabletextright"/>
              <w:rPr>
                <w:b/>
                <w:bCs/>
              </w:rPr>
            </w:pPr>
            <w:r w:rsidRPr="00A95DC7">
              <w:rPr>
                <w:b/>
                <w:bCs/>
                <w:noProof/>
              </w:rPr>
              <w:t>6.</w:t>
            </w:r>
            <w:r>
              <w:rPr>
                <w:b/>
                <w:bCs/>
                <w:noProof/>
              </w:rPr>
              <w:t>1</w:t>
            </w:r>
          </w:p>
        </w:tc>
        <w:tc>
          <w:tcPr>
            <w:tcW w:w="794" w:type="dxa"/>
            <w:shd w:val="clear" w:color="auto" w:fill="auto"/>
            <w:hideMark/>
          </w:tcPr>
          <w:p w14:paraId="17A0B9E2" w14:textId="77777777" w:rsidR="00B0569D" w:rsidRPr="00D02A2E" w:rsidRDefault="00B0569D" w:rsidP="00B0569D">
            <w:pPr>
              <w:pStyle w:val="ARtabletextright"/>
            </w:pPr>
          </w:p>
        </w:tc>
      </w:tr>
      <w:tr w:rsidR="00B0569D" w:rsidRPr="00D02A2E" w14:paraId="6A39524D" w14:textId="77777777" w:rsidTr="000F1C6B">
        <w:trPr>
          <w:cantSplit/>
        </w:trPr>
        <w:tc>
          <w:tcPr>
            <w:tcW w:w="9639" w:type="dxa"/>
            <w:gridSpan w:val="6"/>
            <w:tcBorders>
              <w:bottom w:val="single" w:sz="4" w:space="0" w:color="auto"/>
            </w:tcBorders>
            <w:shd w:val="clear" w:color="auto" w:fill="auto"/>
            <w:noWrap/>
            <w:hideMark/>
          </w:tcPr>
          <w:p w14:paraId="237C14DE" w14:textId="77777777" w:rsidR="00B0569D" w:rsidRPr="00D02A2E" w:rsidRDefault="00B0569D" w:rsidP="00B0569D">
            <w:pPr>
              <w:pStyle w:val="ARtablenoteindent"/>
            </w:pPr>
            <w:r w:rsidRPr="00C5726C">
              <w:rPr>
                <w:noProof/>
              </w:rPr>
              <w:t>The 202</w:t>
            </w:r>
            <w:r>
              <w:rPr>
                <w:noProof/>
              </w:rPr>
              <w:t>0–</w:t>
            </w:r>
            <w:r w:rsidRPr="00C5726C">
              <w:rPr>
                <w:noProof/>
              </w:rPr>
              <w:t>21 actual outcome primarily reflects an output realignment to Ambulance Non</w:t>
            </w:r>
            <w:r>
              <w:rPr>
                <w:noProof/>
              </w:rPr>
              <w:t>-</w:t>
            </w:r>
            <w:r w:rsidRPr="00C5726C">
              <w:rPr>
                <w:noProof/>
              </w:rPr>
              <w:t>Emergency Services related to the COVID-19 response</w:t>
            </w:r>
            <w:r>
              <w:rPr>
                <w:noProof/>
              </w:rPr>
              <w:t>.</w:t>
            </w:r>
          </w:p>
        </w:tc>
      </w:tr>
    </w:tbl>
    <w:p w14:paraId="34174304" w14:textId="77777777" w:rsidR="00496244" w:rsidRPr="00D02A2E" w:rsidRDefault="00496244" w:rsidP="00317057">
      <w:pPr>
        <w:pStyle w:val="Heading4"/>
        <w:spacing w:before="400"/>
      </w:pPr>
      <w:bookmarkStart w:id="276" w:name="_Toc85121160"/>
      <w:r>
        <w:t>Drug Services</w:t>
      </w:r>
      <w:bookmarkEnd w:id="276"/>
    </w:p>
    <w:p w14:paraId="7B72D1A2" w14:textId="77777777" w:rsidR="00496244" w:rsidRDefault="00496244" w:rsidP="00317057">
      <w:pPr>
        <w:pStyle w:val="ARbodybeforetable"/>
      </w:pPr>
      <w:r w:rsidRPr="005C7F16">
        <w:t>This output includes programs and services aimed at promoting and protecting health by reducing death, disease and social harm caused by the use and misuse of licit and illicit drugs.</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496244" w:rsidRPr="00D02A2E" w14:paraId="2E75C82D" w14:textId="77777777" w:rsidTr="000F1C6B">
        <w:trPr>
          <w:cantSplit/>
          <w:tblHeader/>
        </w:trPr>
        <w:tc>
          <w:tcPr>
            <w:tcW w:w="4761" w:type="dxa"/>
            <w:tcBorders>
              <w:bottom w:val="single" w:sz="4" w:space="0" w:color="auto"/>
            </w:tcBorders>
            <w:shd w:val="clear" w:color="auto" w:fill="auto"/>
            <w:vAlign w:val="bottom"/>
            <w:hideMark/>
          </w:tcPr>
          <w:p w14:paraId="7EE1243E" w14:textId="77777777" w:rsidR="00496244" w:rsidRPr="00D02A2E" w:rsidRDefault="00496244" w:rsidP="00317057">
            <w:pPr>
              <w:pStyle w:val="ARtablecolhead"/>
            </w:pPr>
            <w:r w:rsidRPr="00D02A2E">
              <w:t>Performance measures</w:t>
            </w:r>
          </w:p>
        </w:tc>
        <w:tc>
          <w:tcPr>
            <w:tcW w:w="1021" w:type="dxa"/>
            <w:tcBorders>
              <w:bottom w:val="single" w:sz="4" w:space="0" w:color="auto"/>
            </w:tcBorders>
            <w:shd w:val="clear" w:color="auto" w:fill="auto"/>
            <w:vAlign w:val="bottom"/>
            <w:hideMark/>
          </w:tcPr>
          <w:p w14:paraId="1E384A0C" w14:textId="77777777" w:rsidR="00496244" w:rsidRPr="00F72126" w:rsidRDefault="00496244" w:rsidP="00317057">
            <w:pPr>
              <w:pStyle w:val="ARtablecolheadcentre"/>
            </w:pPr>
            <w:r w:rsidRPr="00F72126">
              <w:t>Unit of measure</w:t>
            </w:r>
          </w:p>
        </w:tc>
        <w:tc>
          <w:tcPr>
            <w:tcW w:w="1021" w:type="dxa"/>
            <w:tcBorders>
              <w:bottom w:val="single" w:sz="4" w:space="0" w:color="auto"/>
            </w:tcBorders>
            <w:shd w:val="clear" w:color="auto" w:fill="auto"/>
            <w:vAlign w:val="bottom"/>
            <w:hideMark/>
          </w:tcPr>
          <w:p w14:paraId="707D7B02" w14:textId="77777777" w:rsidR="00496244" w:rsidRPr="00F72126" w:rsidRDefault="00496244" w:rsidP="00317057">
            <w:pPr>
              <w:pStyle w:val="ARtablecolheadright"/>
            </w:pPr>
            <w:r w:rsidRPr="00F72126">
              <w:t>20</w:t>
            </w:r>
            <w:r>
              <w:t>20</w:t>
            </w:r>
            <w:r w:rsidRPr="00F72126">
              <w:t>–</w:t>
            </w:r>
            <w:r>
              <w:t>21</w:t>
            </w:r>
            <w:r w:rsidRPr="00F72126">
              <w:t xml:space="preserve"> target</w:t>
            </w:r>
          </w:p>
        </w:tc>
        <w:tc>
          <w:tcPr>
            <w:tcW w:w="1021" w:type="dxa"/>
            <w:tcBorders>
              <w:bottom w:val="single" w:sz="4" w:space="0" w:color="auto"/>
            </w:tcBorders>
            <w:shd w:val="clear" w:color="auto" w:fill="auto"/>
            <w:vAlign w:val="bottom"/>
            <w:hideMark/>
          </w:tcPr>
          <w:p w14:paraId="18E4F4F7" w14:textId="77777777" w:rsidR="00496244" w:rsidRPr="00F72126" w:rsidRDefault="00496244" w:rsidP="00317057">
            <w:pPr>
              <w:pStyle w:val="ARtablecolheadright"/>
            </w:pPr>
            <w:r w:rsidRPr="00F72126">
              <w:t>20</w:t>
            </w:r>
            <w:r>
              <w:t>20</w:t>
            </w:r>
            <w:r w:rsidRPr="00F72126">
              <w:t>–</w:t>
            </w:r>
            <w:r>
              <w:t>21</w:t>
            </w:r>
            <w:r w:rsidRPr="00F72126">
              <w:t xml:space="preserve"> actual</w:t>
            </w:r>
          </w:p>
        </w:tc>
        <w:tc>
          <w:tcPr>
            <w:tcW w:w="1021" w:type="dxa"/>
            <w:tcBorders>
              <w:bottom w:val="single" w:sz="4" w:space="0" w:color="auto"/>
            </w:tcBorders>
            <w:shd w:val="clear" w:color="auto" w:fill="auto"/>
            <w:vAlign w:val="bottom"/>
            <w:hideMark/>
          </w:tcPr>
          <w:p w14:paraId="22965750" w14:textId="77777777" w:rsidR="00496244" w:rsidRPr="00F72126" w:rsidRDefault="00496244" w:rsidP="00317057">
            <w:pPr>
              <w:pStyle w:val="ARtablecolheadright"/>
            </w:pPr>
            <w:r w:rsidRPr="00F72126">
              <w:t>Variation (%)</w:t>
            </w:r>
          </w:p>
        </w:tc>
        <w:tc>
          <w:tcPr>
            <w:tcW w:w="794" w:type="dxa"/>
            <w:tcBorders>
              <w:bottom w:val="single" w:sz="4" w:space="0" w:color="auto"/>
            </w:tcBorders>
            <w:shd w:val="clear" w:color="auto" w:fill="auto"/>
            <w:vAlign w:val="bottom"/>
            <w:hideMark/>
          </w:tcPr>
          <w:p w14:paraId="7CA058A6" w14:textId="77777777" w:rsidR="00496244" w:rsidRPr="00F72126" w:rsidRDefault="00496244" w:rsidP="00317057">
            <w:pPr>
              <w:pStyle w:val="ARtablecolheadright"/>
            </w:pPr>
            <w:r w:rsidRPr="00F72126">
              <w:t>Result</w:t>
            </w:r>
          </w:p>
        </w:tc>
      </w:tr>
      <w:tr w:rsidR="00496244" w:rsidRPr="00D02A2E" w14:paraId="7C3E38A6" w14:textId="77777777" w:rsidTr="000F1C6B">
        <w:trPr>
          <w:cantSplit/>
        </w:trPr>
        <w:tc>
          <w:tcPr>
            <w:tcW w:w="9639" w:type="dxa"/>
            <w:gridSpan w:val="6"/>
            <w:tcBorders>
              <w:top w:val="single" w:sz="4" w:space="0" w:color="auto"/>
              <w:bottom w:val="single" w:sz="4" w:space="0" w:color="auto"/>
            </w:tcBorders>
            <w:shd w:val="clear" w:color="auto" w:fill="auto"/>
            <w:hideMark/>
          </w:tcPr>
          <w:p w14:paraId="778D212A" w14:textId="77777777" w:rsidR="00496244" w:rsidRPr="00D02A2E" w:rsidRDefault="00496244" w:rsidP="00317057">
            <w:pPr>
              <w:pStyle w:val="ARtablebluebold"/>
              <w:rPr>
                <w:rFonts w:ascii="Wingdings" w:hAnsi="Wingdings"/>
              </w:rPr>
            </w:pPr>
            <w:r w:rsidRPr="009D01EC">
              <w:t>Drug Prevention and Control</w:t>
            </w:r>
          </w:p>
        </w:tc>
      </w:tr>
      <w:tr w:rsidR="00496244" w:rsidRPr="00D02A2E" w14:paraId="583B48AB" w14:textId="77777777" w:rsidTr="000F1C6B">
        <w:trPr>
          <w:cantSplit/>
        </w:trPr>
        <w:tc>
          <w:tcPr>
            <w:tcW w:w="9639" w:type="dxa"/>
            <w:gridSpan w:val="6"/>
            <w:tcBorders>
              <w:top w:val="single" w:sz="4" w:space="0" w:color="auto"/>
            </w:tcBorders>
            <w:shd w:val="clear" w:color="auto" w:fill="auto"/>
            <w:hideMark/>
          </w:tcPr>
          <w:p w14:paraId="7A1023D3" w14:textId="77777777" w:rsidR="00496244" w:rsidRPr="00D02A2E" w:rsidRDefault="00496244" w:rsidP="00317057">
            <w:pPr>
              <w:pStyle w:val="ARtablegreybold"/>
              <w:rPr>
                <w:rFonts w:ascii="Wingdings" w:hAnsi="Wingdings"/>
              </w:rPr>
            </w:pPr>
            <w:r w:rsidRPr="007A45E9">
              <w:t>Quantity</w:t>
            </w:r>
          </w:p>
        </w:tc>
      </w:tr>
      <w:tr w:rsidR="00496244" w:rsidRPr="00D02A2E" w14:paraId="57A8AA00" w14:textId="77777777" w:rsidTr="000F1C6B">
        <w:trPr>
          <w:cantSplit/>
        </w:trPr>
        <w:tc>
          <w:tcPr>
            <w:tcW w:w="4761" w:type="dxa"/>
            <w:tcBorders>
              <w:bottom w:val="single" w:sz="4" w:space="0" w:color="BFBFBF" w:themeColor="background1" w:themeShade="BF"/>
            </w:tcBorders>
            <w:shd w:val="clear" w:color="auto" w:fill="auto"/>
            <w:hideMark/>
          </w:tcPr>
          <w:p w14:paraId="755F9B10" w14:textId="77777777" w:rsidR="00496244" w:rsidRPr="00D02A2E" w:rsidRDefault="00496244" w:rsidP="00317057">
            <w:pPr>
              <w:pStyle w:val="ARtabletext"/>
            </w:pPr>
            <w:r w:rsidRPr="00C5726C">
              <w:rPr>
                <w:noProof/>
              </w:rPr>
              <w:t>Number of phone contacts from family members seeking support</w:t>
            </w:r>
          </w:p>
        </w:tc>
        <w:tc>
          <w:tcPr>
            <w:tcW w:w="1021" w:type="dxa"/>
            <w:tcBorders>
              <w:bottom w:val="single" w:sz="4" w:space="0" w:color="BFBFBF" w:themeColor="background1" w:themeShade="BF"/>
            </w:tcBorders>
            <w:shd w:val="clear" w:color="auto" w:fill="auto"/>
            <w:hideMark/>
          </w:tcPr>
          <w:p w14:paraId="6FCCB7EF" w14:textId="77777777" w:rsidR="00496244" w:rsidRPr="00D02A2E" w:rsidRDefault="00496244" w:rsidP="00317057">
            <w:pPr>
              <w:pStyle w:val="ARtabletextcentre"/>
            </w:pPr>
            <w:r w:rsidRPr="00C5726C">
              <w:rPr>
                <w:noProof/>
              </w:rPr>
              <w:t>number (thousand)</w:t>
            </w:r>
          </w:p>
        </w:tc>
        <w:tc>
          <w:tcPr>
            <w:tcW w:w="1021" w:type="dxa"/>
            <w:tcBorders>
              <w:bottom w:val="single" w:sz="4" w:space="0" w:color="BFBFBF" w:themeColor="background1" w:themeShade="BF"/>
            </w:tcBorders>
            <w:shd w:val="clear" w:color="auto" w:fill="auto"/>
            <w:hideMark/>
          </w:tcPr>
          <w:p w14:paraId="1BB9473C" w14:textId="77777777" w:rsidR="00496244" w:rsidRDefault="00496244" w:rsidP="00317057">
            <w:pPr>
              <w:pStyle w:val="ARtabletextright"/>
            </w:pPr>
            <w:r w:rsidRPr="00C5726C">
              <w:rPr>
                <w:noProof/>
              </w:rPr>
              <w:t>10</w:t>
            </w:r>
            <w:r>
              <w:rPr>
                <w:noProof/>
              </w:rPr>
              <w:t>,</w:t>
            </w:r>
            <w:r w:rsidRPr="00C5726C">
              <w:rPr>
                <w:noProof/>
              </w:rPr>
              <w:t>682</w:t>
            </w:r>
          </w:p>
        </w:tc>
        <w:tc>
          <w:tcPr>
            <w:tcW w:w="1021" w:type="dxa"/>
            <w:tcBorders>
              <w:bottom w:val="single" w:sz="4" w:space="0" w:color="BFBFBF" w:themeColor="background1" w:themeShade="BF"/>
            </w:tcBorders>
            <w:shd w:val="clear" w:color="auto" w:fill="auto"/>
            <w:hideMark/>
          </w:tcPr>
          <w:p w14:paraId="2DEE8291" w14:textId="77777777" w:rsidR="00496244" w:rsidRDefault="00496244" w:rsidP="00317057">
            <w:pPr>
              <w:pStyle w:val="ARtabletextright"/>
            </w:pPr>
            <w:r w:rsidRPr="00C5726C">
              <w:rPr>
                <w:noProof/>
              </w:rPr>
              <w:t>10</w:t>
            </w:r>
            <w:r>
              <w:rPr>
                <w:noProof/>
              </w:rPr>
              <w:t>,</w:t>
            </w:r>
            <w:r w:rsidRPr="00C5726C">
              <w:rPr>
                <w:noProof/>
              </w:rPr>
              <w:t>498</w:t>
            </w:r>
          </w:p>
        </w:tc>
        <w:tc>
          <w:tcPr>
            <w:tcW w:w="1021" w:type="dxa"/>
            <w:tcBorders>
              <w:bottom w:val="single" w:sz="4" w:space="0" w:color="BFBFBF" w:themeColor="background1" w:themeShade="BF"/>
            </w:tcBorders>
            <w:shd w:val="clear" w:color="auto" w:fill="auto"/>
          </w:tcPr>
          <w:p w14:paraId="3213D03D" w14:textId="77777777" w:rsidR="00496244" w:rsidRDefault="00496244" w:rsidP="00317057">
            <w:pPr>
              <w:pStyle w:val="ARtabletextright"/>
            </w:pPr>
            <w:r>
              <w:rPr>
                <w:noProof/>
              </w:rPr>
              <w:t>−</w:t>
            </w:r>
            <w:r w:rsidRPr="00C5726C">
              <w:rPr>
                <w:noProof/>
              </w:rPr>
              <w:t>1.7</w:t>
            </w:r>
          </w:p>
        </w:tc>
        <w:tc>
          <w:tcPr>
            <w:tcW w:w="794" w:type="dxa"/>
            <w:tcBorders>
              <w:bottom w:val="single" w:sz="4" w:space="0" w:color="BFBFBF" w:themeColor="background1" w:themeShade="BF"/>
            </w:tcBorders>
            <w:shd w:val="clear" w:color="auto" w:fill="auto"/>
            <w:hideMark/>
          </w:tcPr>
          <w:p w14:paraId="3D288CA7" w14:textId="5F908151" w:rsidR="00496244" w:rsidRPr="00D02A2E" w:rsidRDefault="00CF2633" w:rsidP="00C575AB">
            <w:pPr>
              <w:pStyle w:val="ARtableperformancesymbol"/>
            </w:pPr>
            <w:r w:rsidRPr="00F96CDB">
              <w:rPr>
                <w:noProof/>
              </w:rPr>
              <w:drawing>
                <wp:inline distT="0" distB="0" distL="0" distR="0" wp14:anchorId="3414F2BF" wp14:editId="22B147BB">
                  <wp:extent cx="76320" cy="76320"/>
                  <wp:effectExtent l="0" t="0" r="0" b="0"/>
                  <wp:docPr id="105" name="Graphic 105" descr="Target not achieved – within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Target not achieved – within five per cent varianc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76320" cy="76320"/>
                          </a:xfrm>
                          <a:prstGeom prst="rect">
                            <a:avLst/>
                          </a:prstGeom>
                        </pic:spPr>
                      </pic:pic>
                    </a:graphicData>
                  </a:graphic>
                </wp:inline>
              </w:drawing>
            </w:r>
            <w:r>
              <w:t xml:space="preserve"> </w:t>
            </w:r>
          </w:p>
        </w:tc>
      </w:tr>
      <w:tr w:rsidR="00496244" w:rsidRPr="00D02A2E" w14:paraId="511598CD" w14:textId="77777777" w:rsidTr="000F1C6B">
        <w:trPr>
          <w:cantSplit/>
        </w:trPr>
        <w:tc>
          <w:tcPr>
            <w:tcW w:w="4761" w:type="dxa"/>
            <w:tcBorders>
              <w:top w:val="single" w:sz="4" w:space="0" w:color="BFBFBF" w:themeColor="background1" w:themeShade="BF"/>
            </w:tcBorders>
            <w:shd w:val="clear" w:color="auto" w:fill="auto"/>
            <w:hideMark/>
          </w:tcPr>
          <w:p w14:paraId="7C8E98D7" w14:textId="77777777" w:rsidR="00496244" w:rsidRPr="00D02A2E" w:rsidRDefault="00496244" w:rsidP="00317057">
            <w:pPr>
              <w:pStyle w:val="ARtabletext"/>
            </w:pPr>
            <w:r w:rsidRPr="00C5726C">
              <w:rPr>
                <w:noProof/>
              </w:rPr>
              <w:t>Needles and syringes provided through the Needle and Syringe Program</w:t>
            </w:r>
          </w:p>
        </w:tc>
        <w:tc>
          <w:tcPr>
            <w:tcW w:w="1021" w:type="dxa"/>
            <w:tcBorders>
              <w:top w:val="single" w:sz="4" w:space="0" w:color="BFBFBF" w:themeColor="background1" w:themeShade="BF"/>
            </w:tcBorders>
            <w:shd w:val="clear" w:color="auto" w:fill="auto"/>
            <w:hideMark/>
          </w:tcPr>
          <w:p w14:paraId="058A5DF4" w14:textId="77777777" w:rsidR="00496244" w:rsidRPr="00D02A2E" w:rsidRDefault="00496244" w:rsidP="00317057">
            <w:pPr>
              <w:pStyle w:val="ARtabletextcentre"/>
            </w:pPr>
            <w:r w:rsidRPr="00C5726C">
              <w:rPr>
                <w:noProof/>
              </w:rPr>
              <w:t>number (thousand)</w:t>
            </w:r>
          </w:p>
        </w:tc>
        <w:tc>
          <w:tcPr>
            <w:tcW w:w="1021" w:type="dxa"/>
            <w:tcBorders>
              <w:top w:val="single" w:sz="4" w:space="0" w:color="BFBFBF" w:themeColor="background1" w:themeShade="BF"/>
            </w:tcBorders>
            <w:shd w:val="clear" w:color="auto" w:fill="auto"/>
            <w:hideMark/>
          </w:tcPr>
          <w:p w14:paraId="28431835" w14:textId="77777777" w:rsidR="00496244" w:rsidRDefault="00496244" w:rsidP="00317057">
            <w:pPr>
              <w:pStyle w:val="ARtabletextright"/>
            </w:pPr>
            <w:r w:rsidRPr="00C5726C">
              <w:rPr>
                <w:noProof/>
              </w:rPr>
              <w:t>10</w:t>
            </w:r>
            <w:r>
              <w:rPr>
                <w:noProof/>
              </w:rPr>
              <w:t>,</w:t>
            </w:r>
            <w:r w:rsidRPr="00C5726C">
              <w:rPr>
                <w:noProof/>
              </w:rPr>
              <w:t>170</w:t>
            </w:r>
          </w:p>
        </w:tc>
        <w:tc>
          <w:tcPr>
            <w:tcW w:w="1021" w:type="dxa"/>
            <w:tcBorders>
              <w:top w:val="single" w:sz="4" w:space="0" w:color="BFBFBF" w:themeColor="background1" w:themeShade="BF"/>
            </w:tcBorders>
            <w:shd w:val="clear" w:color="auto" w:fill="auto"/>
            <w:hideMark/>
          </w:tcPr>
          <w:p w14:paraId="3104766E" w14:textId="77777777" w:rsidR="00496244" w:rsidRDefault="00496244" w:rsidP="00317057">
            <w:pPr>
              <w:pStyle w:val="ARtabletextright"/>
            </w:pPr>
            <w:r w:rsidRPr="00C5726C">
              <w:rPr>
                <w:noProof/>
              </w:rPr>
              <w:t>10</w:t>
            </w:r>
            <w:r>
              <w:rPr>
                <w:noProof/>
              </w:rPr>
              <w:t>,047</w:t>
            </w:r>
          </w:p>
        </w:tc>
        <w:tc>
          <w:tcPr>
            <w:tcW w:w="1021" w:type="dxa"/>
            <w:tcBorders>
              <w:top w:val="single" w:sz="4" w:space="0" w:color="BFBFBF" w:themeColor="background1" w:themeShade="BF"/>
            </w:tcBorders>
            <w:shd w:val="clear" w:color="auto" w:fill="auto"/>
          </w:tcPr>
          <w:p w14:paraId="13403740" w14:textId="77777777" w:rsidR="00496244" w:rsidRDefault="00496244" w:rsidP="00317057">
            <w:pPr>
              <w:pStyle w:val="ARtabletextright"/>
            </w:pPr>
            <w:r>
              <w:rPr>
                <w:noProof/>
              </w:rPr>
              <w:t>−</w:t>
            </w:r>
            <w:r w:rsidRPr="00C5726C">
              <w:rPr>
                <w:noProof/>
              </w:rPr>
              <w:t>1.</w:t>
            </w:r>
            <w:r>
              <w:rPr>
                <w:noProof/>
              </w:rPr>
              <w:t>2</w:t>
            </w:r>
          </w:p>
        </w:tc>
        <w:tc>
          <w:tcPr>
            <w:tcW w:w="794" w:type="dxa"/>
            <w:tcBorders>
              <w:top w:val="single" w:sz="4" w:space="0" w:color="BFBFBF" w:themeColor="background1" w:themeShade="BF"/>
            </w:tcBorders>
            <w:shd w:val="clear" w:color="auto" w:fill="auto"/>
            <w:hideMark/>
          </w:tcPr>
          <w:p w14:paraId="21944B33" w14:textId="29DAEAAC" w:rsidR="00496244" w:rsidRPr="00D02A2E" w:rsidRDefault="00CF2633" w:rsidP="00C575AB">
            <w:pPr>
              <w:pStyle w:val="ARtableperformancesymbol"/>
            </w:pPr>
            <w:r w:rsidRPr="00F96CDB">
              <w:rPr>
                <w:noProof/>
              </w:rPr>
              <w:drawing>
                <wp:inline distT="0" distB="0" distL="0" distR="0" wp14:anchorId="0227603A" wp14:editId="3BA35063">
                  <wp:extent cx="76320" cy="76320"/>
                  <wp:effectExtent l="0" t="0" r="0" b="0"/>
                  <wp:docPr id="106" name="Graphic 106" descr="Target not achieved – within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Target not achieved – within five per cent varianc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76320" cy="76320"/>
                          </a:xfrm>
                          <a:prstGeom prst="rect">
                            <a:avLst/>
                          </a:prstGeom>
                        </pic:spPr>
                      </pic:pic>
                    </a:graphicData>
                  </a:graphic>
                </wp:inline>
              </w:drawing>
            </w:r>
            <w:r>
              <w:t xml:space="preserve"> </w:t>
            </w:r>
          </w:p>
        </w:tc>
      </w:tr>
      <w:tr w:rsidR="00496244" w:rsidRPr="00D02A2E" w14:paraId="759CC708" w14:textId="77777777" w:rsidTr="000F1C6B">
        <w:trPr>
          <w:cantSplit/>
        </w:trPr>
        <w:tc>
          <w:tcPr>
            <w:tcW w:w="9639" w:type="dxa"/>
            <w:gridSpan w:val="6"/>
            <w:tcBorders>
              <w:bottom w:val="single" w:sz="4" w:space="0" w:color="BFBFBF"/>
            </w:tcBorders>
            <w:shd w:val="clear" w:color="auto" w:fill="auto"/>
            <w:noWrap/>
            <w:hideMark/>
          </w:tcPr>
          <w:p w14:paraId="4493CFEE" w14:textId="77777777" w:rsidR="00496244" w:rsidRPr="00D02A2E" w:rsidRDefault="00496244" w:rsidP="00317057">
            <w:pPr>
              <w:pStyle w:val="ARtablenoteindent"/>
            </w:pPr>
            <w:r w:rsidRPr="00C5726C">
              <w:rPr>
                <w:noProof/>
              </w:rPr>
              <w:t xml:space="preserve">This is a positive result despite the ongoing impact of the </w:t>
            </w:r>
            <w:r>
              <w:rPr>
                <w:noProof/>
              </w:rPr>
              <w:t xml:space="preserve">COVID-19 </w:t>
            </w:r>
            <w:r w:rsidRPr="00C5726C">
              <w:rPr>
                <w:noProof/>
              </w:rPr>
              <w:t>pandemic.</w:t>
            </w:r>
            <w:r>
              <w:rPr>
                <w:noProof/>
              </w:rPr>
              <w:t xml:space="preserve"> </w:t>
            </w:r>
            <w:r w:rsidRPr="00C5726C">
              <w:rPr>
                <w:noProof/>
              </w:rPr>
              <w:t>The department had advised agencies (and in turn clients) to ensure adequate supplies of needles and syringes when the lockdowns commenced in July</w:t>
            </w:r>
            <w:r>
              <w:rPr>
                <w:noProof/>
              </w:rPr>
              <w:t xml:space="preserve"> 2020</w:t>
            </w:r>
            <w:r w:rsidRPr="00C5726C">
              <w:rPr>
                <w:noProof/>
              </w:rPr>
              <w:t>, to mitigate against the inability to obtain syringes during periods of restricted movement.</w:t>
            </w:r>
          </w:p>
        </w:tc>
      </w:tr>
      <w:tr w:rsidR="00496244" w:rsidRPr="00D02A2E" w14:paraId="59011D56" w14:textId="77777777" w:rsidTr="000F1C6B">
        <w:trPr>
          <w:cantSplit/>
        </w:trPr>
        <w:tc>
          <w:tcPr>
            <w:tcW w:w="4761" w:type="dxa"/>
            <w:shd w:val="clear" w:color="auto" w:fill="auto"/>
            <w:hideMark/>
          </w:tcPr>
          <w:p w14:paraId="1A8C7B7D" w14:textId="77777777" w:rsidR="00496244" w:rsidRPr="00D02A2E" w:rsidRDefault="00496244" w:rsidP="00317057">
            <w:pPr>
              <w:pStyle w:val="ARtabletext"/>
            </w:pPr>
            <w:r w:rsidRPr="00C5726C">
              <w:rPr>
                <w:noProof/>
              </w:rPr>
              <w:lastRenderedPageBreak/>
              <w:t>Number of telephone, email, website contacts and requests for information on alcohol and other drugs</w:t>
            </w:r>
          </w:p>
        </w:tc>
        <w:tc>
          <w:tcPr>
            <w:tcW w:w="1021" w:type="dxa"/>
            <w:shd w:val="clear" w:color="auto" w:fill="auto"/>
            <w:hideMark/>
          </w:tcPr>
          <w:p w14:paraId="1A6A2E5F" w14:textId="77777777" w:rsidR="00496244" w:rsidRPr="00D02A2E" w:rsidRDefault="00496244" w:rsidP="00317057">
            <w:pPr>
              <w:pStyle w:val="ARtabletextcentre"/>
            </w:pPr>
            <w:r w:rsidRPr="00C5726C">
              <w:rPr>
                <w:noProof/>
              </w:rPr>
              <w:t>number (thousand)</w:t>
            </w:r>
          </w:p>
        </w:tc>
        <w:tc>
          <w:tcPr>
            <w:tcW w:w="1021" w:type="dxa"/>
            <w:shd w:val="clear" w:color="auto" w:fill="auto"/>
            <w:hideMark/>
          </w:tcPr>
          <w:p w14:paraId="7681C2AF" w14:textId="77777777" w:rsidR="00496244" w:rsidRDefault="00496244" w:rsidP="00317057">
            <w:pPr>
              <w:pStyle w:val="ARtabletextright"/>
            </w:pPr>
            <w:r w:rsidRPr="00C5726C">
              <w:rPr>
                <w:noProof/>
              </w:rPr>
              <w:t>4</w:t>
            </w:r>
            <w:r>
              <w:rPr>
                <w:noProof/>
              </w:rPr>
              <w:t>,</w:t>
            </w:r>
            <w:r w:rsidRPr="00C5726C">
              <w:rPr>
                <w:noProof/>
              </w:rPr>
              <w:t>200</w:t>
            </w:r>
          </w:p>
        </w:tc>
        <w:tc>
          <w:tcPr>
            <w:tcW w:w="1021" w:type="dxa"/>
            <w:shd w:val="clear" w:color="auto" w:fill="auto"/>
            <w:hideMark/>
          </w:tcPr>
          <w:p w14:paraId="6B169B0C" w14:textId="77777777" w:rsidR="00496244" w:rsidRDefault="00496244" w:rsidP="00317057">
            <w:pPr>
              <w:pStyle w:val="ARtabletextright"/>
            </w:pPr>
            <w:r w:rsidRPr="00C5726C">
              <w:rPr>
                <w:noProof/>
              </w:rPr>
              <w:t>5</w:t>
            </w:r>
            <w:r>
              <w:rPr>
                <w:noProof/>
              </w:rPr>
              <w:t>,</w:t>
            </w:r>
            <w:r w:rsidRPr="00C5726C">
              <w:rPr>
                <w:noProof/>
              </w:rPr>
              <w:t>291</w:t>
            </w:r>
          </w:p>
        </w:tc>
        <w:tc>
          <w:tcPr>
            <w:tcW w:w="1021" w:type="dxa"/>
            <w:shd w:val="clear" w:color="auto" w:fill="auto"/>
          </w:tcPr>
          <w:p w14:paraId="5D4715B7" w14:textId="77777777" w:rsidR="00496244" w:rsidRDefault="00496244" w:rsidP="00317057">
            <w:pPr>
              <w:pStyle w:val="ARtabletextright"/>
            </w:pPr>
            <w:r w:rsidRPr="00C5726C">
              <w:rPr>
                <w:noProof/>
              </w:rPr>
              <w:t>26</w:t>
            </w:r>
          </w:p>
        </w:tc>
        <w:tc>
          <w:tcPr>
            <w:tcW w:w="794" w:type="dxa"/>
            <w:shd w:val="clear" w:color="auto" w:fill="auto"/>
            <w:hideMark/>
          </w:tcPr>
          <w:p w14:paraId="0B18FF26" w14:textId="22C4BF7B" w:rsidR="00496244" w:rsidRPr="00D02A2E" w:rsidRDefault="00CF2633" w:rsidP="00C575AB">
            <w:pPr>
              <w:pStyle w:val="ARtableperformancesymbol"/>
            </w:pPr>
            <w:r>
              <w:rPr>
                <w:noProof/>
              </w:rPr>
              <w:drawing>
                <wp:inline distT="0" distB="0" distL="0" distR="0" wp14:anchorId="3D18BF27" wp14:editId="796A074B">
                  <wp:extent cx="85320" cy="85320"/>
                  <wp:effectExtent l="0" t="0" r="0" b="0"/>
                  <wp:docPr id="150" name="Graphic 150"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496244" w:rsidRPr="00D02A2E" w14:paraId="1BC370AF" w14:textId="77777777" w:rsidTr="000F1C6B">
        <w:trPr>
          <w:cantSplit/>
        </w:trPr>
        <w:tc>
          <w:tcPr>
            <w:tcW w:w="9639" w:type="dxa"/>
            <w:gridSpan w:val="6"/>
            <w:tcBorders>
              <w:bottom w:val="single" w:sz="4" w:space="0" w:color="BFBFBF"/>
            </w:tcBorders>
            <w:shd w:val="clear" w:color="auto" w:fill="auto"/>
            <w:noWrap/>
            <w:hideMark/>
          </w:tcPr>
          <w:p w14:paraId="1ACF3F7D" w14:textId="481C016D" w:rsidR="00496244" w:rsidRPr="00D02A2E" w:rsidRDefault="00496244" w:rsidP="00317057">
            <w:pPr>
              <w:pStyle w:val="ARtablenoteindent"/>
            </w:pPr>
            <w:r w:rsidRPr="00C5726C">
              <w:rPr>
                <w:noProof/>
              </w:rPr>
              <w:t xml:space="preserve">This is a positive result. Increased </w:t>
            </w:r>
            <w:r>
              <w:rPr>
                <w:noProof/>
              </w:rPr>
              <w:t xml:space="preserve">number of </w:t>
            </w:r>
            <w:r w:rsidRPr="00C5726C">
              <w:rPr>
                <w:noProof/>
              </w:rPr>
              <w:t>contacts is due to the shift towards web</w:t>
            </w:r>
            <w:r>
              <w:rPr>
                <w:noProof/>
              </w:rPr>
              <w:t>-</w:t>
            </w:r>
            <w:r w:rsidRPr="00C5726C">
              <w:rPr>
                <w:noProof/>
              </w:rPr>
              <w:t>based enquiries</w:t>
            </w:r>
            <w:r>
              <w:rPr>
                <w:noProof/>
              </w:rPr>
              <w:t>, as more</w:t>
            </w:r>
            <w:r w:rsidRPr="00C5726C">
              <w:rPr>
                <w:noProof/>
              </w:rPr>
              <w:t xml:space="preserve"> accessib</w:t>
            </w:r>
            <w:r>
              <w:rPr>
                <w:noProof/>
              </w:rPr>
              <w:t>le</w:t>
            </w:r>
            <w:r w:rsidRPr="00C5726C">
              <w:rPr>
                <w:noProof/>
              </w:rPr>
              <w:t xml:space="preserve">. </w:t>
            </w:r>
            <w:r>
              <w:rPr>
                <w:noProof/>
              </w:rPr>
              <w:t>T</w:t>
            </w:r>
            <w:r w:rsidRPr="00C5726C">
              <w:rPr>
                <w:noProof/>
              </w:rPr>
              <w:t>he increase is</w:t>
            </w:r>
            <w:r>
              <w:rPr>
                <w:noProof/>
              </w:rPr>
              <w:t xml:space="preserve"> also possibly</w:t>
            </w:r>
            <w:r w:rsidRPr="00C5726C">
              <w:rPr>
                <w:noProof/>
              </w:rPr>
              <w:t xml:space="preserve"> due to a number of </w:t>
            </w:r>
            <w:r>
              <w:rPr>
                <w:noProof/>
              </w:rPr>
              <w:t xml:space="preserve">other </w:t>
            </w:r>
            <w:r w:rsidRPr="00C5726C">
              <w:rPr>
                <w:noProof/>
              </w:rPr>
              <w:t>factors</w:t>
            </w:r>
            <w:r>
              <w:rPr>
                <w:noProof/>
              </w:rPr>
              <w:t>,</w:t>
            </w:r>
            <w:r w:rsidRPr="00C5726C">
              <w:rPr>
                <w:noProof/>
              </w:rPr>
              <w:t xml:space="preserve"> including: improved public awareness and information</w:t>
            </w:r>
            <w:r>
              <w:rPr>
                <w:noProof/>
              </w:rPr>
              <w:t>-</w:t>
            </w:r>
            <w:r w:rsidRPr="00C5726C">
              <w:rPr>
                <w:noProof/>
              </w:rPr>
              <w:t xml:space="preserve"> seeking as a result of successful public campaigns such as Turning Point</w:t>
            </w:r>
            <w:r w:rsidR="007D145B">
              <w:rPr>
                <w:noProof/>
              </w:rPr>
              <w:t>’</w:t>
            </w:r>
            <w:r w:rsidRPr="00C5726C">
              <w:rPr>
                <w:noProof/>
              </w:rPr>
              <w:t>s partnership in the Rethink Addiction SBS documentary</w:t>
            </w:r>
            <w:r>
              <w:rPr>
                <w:noProof/>
              </w:rPr>
              <w:t>;</w:t>
            </w:r>
            <w:r w:rsidRPr="00C5726C">
              <w:rPr>
                <w:noProof/>
              </w:rPr>
              <w:t xml:space="preserve"> </w:t>
            </w:r>
            <w:r>
              <w:rPr>
                <w:noProof/>
              </w:rPr>
              <w:t xml:space="preserve">the </w:t>
            </w:r>
            <w:r w:rsidRPr="00C5726C">
              <w:rPr>
                <w:noProof/>
              </w:rPr>
              <w:t>increase in the availability of online format resources such as webinars as a result of the COVID-19 restrictions</w:t>
            </w:r>
            <w:r>
              <w:rPr>
                <w:noProof/>
              </w:rPr>
              <w:t>;</w:t>
            </w:r>
            <w:r w:rsidRPr="00C5726C">
              <w:rPr>
                <w:noProof/>
              </w:rPr>
              <w:t xml:space="preserve"> and the impact of restricted travel/movement resulting in more time at home to look online for resources.</w:t>
            </w:r>
          </w:p>
        </w:tc>
      </w:tr>
      <w:tr w:rsidR="00496244" w:rsidRPr="00D02A2E" w14:paraId="680D702A" w14:textId="77777777" w:rsidTr="000F1C6B">
        <w:trPr>
          <w:cantSplit/>
        </w:trPr>
        <w:tc>
          <w:tcPr>
            <w:tcW w:w="9639" w:type="dxa"/>
            <w:gridSpan w:val="6"/>
            <w:tcBorders>
              <w:top w:val="single" w:sz="4" w:space="0" w:color="auto"/>
            </w:tcBorders>
            <w:shd w:val="clear" w:color="auto" w:fill="auto"/>
            <w:hideMark/>
          </w:tcPr>
          <w:p w14:paraId="33C6ADFC" w14:textId="77777777" w:rsidR="00496244" w:rsidRPr="00D02A2E" w:rsidRDefault="00496244" w:rsidP="00317057">
            <w:pPr>
              <w:pStyle w:val="ARtablegreybold"/>
              <w:rPr>
                <w:rFonts w:ascii="Wingdings" w:hAnsi="Wingdings"/>
              </w:rPr>
            </w:pPr>
            <w:r>
              <w:t>Quality</w:t>
            </w:r>
          </w:p>
        </w:tc>
      </w:tr>
      <w:tr w:rsidR="00496244" w:rsidRPr="00D02A2E" w14:paraId="444AB01D" w14:textId="77777777" w:rsidTr="000F1C6B">
        <w:trPr>
          <w:cantSplit/>
        </w:trPr>
        <w:tc>
          <w:tcPr>
            <w:tcW w:w="4761" w:type="dxa"/>
            <w:shd w:val="clear" w:color="auto" w:fill="auto"/>
            <w:hideMark/>
          </w:tcPr>
          <w:p w14:paraId="6694F05E" w14:textId="77777777" w:rsidR="00496244" w:rsidRPr="00D02A2E" w:rsidRDefault="00496244" w:rsidP="00317057">
            <w:pPr>
              <w:pStyle w:val="ARtabletext"/>
            </w:pPr>
            <w:r w:rsidRPr="00C5726C">
              <w:rPr>
                <w:noProof/>
              </w:rPr>
              <w:t>Pharmacotherapy permits processed within designated timeframe</w:t>
            </w:r>
          </w:p>
        </w:tc>
        <w:tc>
          <w:tcPr>
            <w:tcW w:w="1021" w:type="dxa"/>
            <w:shd w:val="clear" w:color="auto" w:fill="auto"/>
            <w:hideMark/>
          </w:tcPr>
          <w:p w14:paraId="7AD642AD" w14:textId="77777777" w:rsidR="00496244" w:rsidRPr="00D02A2E" w:rsidRDefault="00496244" w:rsidP="00317057">
            <w:pPr>
              <w:pStyle w:val="ARtabletextcentre"/>
            </w:pPr>
            <w:r w:rsidRPr="00C5726C">
              <w:rPr>
                <w:noProof/>
              </w:rPr>
              <w:t>per cent</w:t>
            </w:r>
          </w:p>
        </w:tc>
        <w:tc>
          <w:tcPr>
            <w:tcW w:w="1021" w:type="dxa"/>
            <w:shd w:val="clear" w:color="auto" w:fill="auto"/>
            <w:hideMark/>
          </w:tcPr>
          <w:p w14:paraId="08C8E2B5" w14:textId="77777777" w:rsidR="00496244" w:rsidRDefault="00496244" w:rsidP="00317057">
            <w:pPr>
              <w:pStyle w:val="ARtabletextright"/>
            </w:pPr>
            <w:r w:rsidRPr="00C5726C">
              <w:rPr>
                <w:noProof/>
              </w:rPr>
              <w:t>100</w:t>
            </w:r>
          </w:p>
        </w:tc>
        <w:tc>
          <w:tcPr>
            <w:tcW w:w="1021" w:type="dxa"/>
            <w:shd w:val="clear" w:color="auto" w:fill="auto"/>
            <w:hideMark/>
          </w:tcPr>
          <w:p w14:paraId="1DADF6F9" w14:textId="77777777" w:rsidR="00496244" w:rsidRDefault="00496244" w:rsidP="00317057">
            <w:pPr>
              <w:pStyle w:val="ARtabletextright"/>
            </w:pPr>
            <w:r w:rsidRPr="00C5726C">
              <w:rPr>
                <w:noProof/>
              </w:rPr>
              <w:t>100</w:t>
            </w:r>
          </w:p>
        </w:tc>
        <w:tc>
          <w:tcPr>
            <w:tcW w:w="1021" w:type="dxa"/>
            <w:shd w:val="clear" w:color="auto" w:fill="auto"/>
          </w:tcPr>
          <w:p w14:paraId="35E8714B" w14:textId="77777777" w:rsidR="00496244" w:rsidRDefault="00496244" w:rsidP="00317057">
            <w:pPr>
              <w:pStyle w:val="ARtabletextright"/>
            </w:pPr>
            <w:r w:rsidRPr="00C5726C">
              <w:rPr>
                <w:noProof/>
              </w:rPr>
              <w:t>0</w:t>
            </w:r>
          </w:p>
        </w:tc>
        <w:tc>
          <w:tcPr>
            <w:tcW w:w="794" w:type="dxa"/>
            <w:shd w:val="clear" w:color="auto" w:fill="auto"/>
            <w:hideMark/>
          </w:tcPr>
          <w:p w14:paraId="314F24FC" w14:textId="269F98A0" w:rsidR="00496244" w:rsidRPr="00D02A2E" w:rsidRDefault="00CF2633" w:rsidP="00C575AB">
            <w:pPr>
              <w:pStyle w:val="ARtableperformancesymbol"/>
            </w:pPr>
            <w:r>
              <w:rPr>
                <w:noProof/>
              </w:rPr>
              <w:drawing>
                <wp:inline distT="0" distB="0" distL="0" distR="0" wp14:anchorId="486280D2" wp14:editId="05F4E1CB">
                  <wp:extent cx="85320" cy="85320"/>
                  <wp:effectExtent l="0" t="0" r="0" b="0"/>
                  <wp:docPr id="151" name="Graphic 151"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496244" w:rsidRPr="00D02A2E" w14:paraId="0E9FE277" w14:textId="77777777" w:rsidTr="000F1C6B">
        <w:trPr>
          <w:cantSplit/>
        </w:trPr>
        <w:tc>
          <w:tcPr>
            <w:tcW w:w="9639" w:type="dxa"/>
            <w:gridSpan w:val="6"/>
            <w:tcBorders>
              <w:top w:val="single" w:sz="4" w:space="0" w:color="auto"/>
            </w:tcBorders>
            <w:shd w:val="clear" w:color="auto" w:fill="auto"/>
            <w:hideMark/>
          </w:tcPr>
          <w:p w14:paraId="005316D7" w14:textId="77777777" w:rsidR="00496244" w:rsidRPr="00D02A2E" w:rsidRDefault="00496244" w:rsidP="00317057">
            <w:pPr>
              <w:pStyle w:val="ARtablegreybold"/>
              <w:rPr>
                <w:rFonts w:ascii="Wingdings" w:hAnsi="Wingdings"/>
              </w:rPr>
            </w:pPr>
            <w:r>
              <w:t>Timeliness</w:t>
            </w:r>
          </w:p>
        </w:tc>
      </w:tr>
      <w:tr w:rsidR="00496244" w:rsidRPr="00D02A2E" w14:paraId="6F130495" w14:textId="77777777" w:rsidTr="000F1C6B">
        <w:trPr>
          <w:cantSplit/>
        </w:trPr>
        <w:tc>
          <w:tcPr>
            <w:tcW w:w="4761" w:type="dxa"/>
            <w:tcBorders>
              <w:bottom w:val="single" w:sz="4" w:space="0" w:color="BFBFBF" w:themeColor="background1" w:themeShade="BF"/>
            </w:tcBorders>
            <w:shd w:val="clear" w:color="auto" w:fill="auto"/>
            <w:hideMark/>
          </w:tcPr>
          <w:p w14:paraId="26BFB717" w14:textId="77777777" w:rsidR="00496244" w:rsidRPr="00D02A2E" w:rsidRDefault="00496244" w:rsidP="00317057">
            <w:pPr>
              <w:pStyle w:val="ARtabletext"/>
            </w:pPr>
            <w:r w:rsidRPr="00C5726C">
              <w:rPr>
                <w:noProof/>
              </w:rPr>
              <w:t>Percentage of new licences and permits issued to health services or businesses for the manufacture, use or supply of drugs and poisons within six weeks following receipt of full information</w:t>
            </w:r>
          </w:p>
        </w:tc>
        <w:tc>
          <w:tcPr>
            <w:tcW w:w="1021" w:type="dxa"/>
            <w:tcBorders>
              <w:bottom w:val="single" w:sz="4" w:space="0" w:color="BFBFBF" w:themeColor="background1" w:themeShade="BF"/>
            </w:tcBorders>
            <w:shd w:val="clear" w:color="auto" w:fill="auto"/>
            <w:hideMark/>
          </w:tcPr>
          <w:p w14:paraId="23DFB69E" w14:textId="77777777" w:rsidR="00496244" w:rsidRPr="00D02A2E" w:rsidRDefault="00496244" w:rsidP="00317057">
            <w:pPr>
              <w:pStyle w:val="ARtabletextcentre"/>
            </w:pPr>
            <w:r w:rsidRPr="00C5726C">
              <w:rPr>
                <w:noProof/>
              </w:rPr>
              <w:t>per cent</w:t>
            </w:r>
          </w:p>
        </w:tc>
        <w:tc>
          <w:tcPr>
            <w:tcW w:w="1021" w:type="dxa"/>
            <w:tcBorders>
              <w:bottom w:val="single" w:sz="4" w:space="0" w:color="BFBFBF" w:themeColor="background1" w:themeShade="BF"/>
            </w:tcBorders>
            <w:shd w:val="clear" w:color="auto" w:fill="auto"/>
            <w:hideMark/>
          </w:tcPr>
          <w:p w14:paraId="586D9F78" w14:textId="77777777" w:rsidR="00496244" w:rsidRDefault="00496244" w:rsidP="00317057">
            <w:pPr>
              <w:pStyle w:val="ARtabletextright"/>
            </w:pPr>
            <w:r w:rsidRPr="00C5726C">
              <w:rPr>
                <w:noProof/>
              </w:rPr>
              <w:t>100</w:t>
            </w:r>
          </w:p>
        </w:tc>
        <w:tc>
          <w:tcPr>
            <w:tcW w:w="1021" w:type="dxa"/>
            <w:tcBorders>
              <w:bottom w:val="single" w:sz="4" w:space="0" w:color="BFBFBF" w:themeColor="background1" w:themeShade="BF"/>
            </w:tcBorders>
            <w:shd w:val="clear" w:color="auto" w:fill="auto"/>
            <w:hideMark/>
          </w:tcPr>
          <w:p w14:paraId="008B90CB" w14:textId="77777777" w:rsidR="00496244" w:rsidRDefault="00496244" w:rsidP="00317057">
            <w:pPr>
              <w:pStyle w:val="ARtabletextright"/>
            </w:pPr>
            <w:r w:rsidRPr="00C5726C">
              <w:rPr>
                <w:noProof/>
              </w:rPr>
              <w:t>100</w:t>
            </w:r>
          </w:p>
        </w:tc>
        <w:tc>
          <w:tcPr>
            <w:tcW w:w="1021" w:type="dxa"/>
            <w:tcBorders>
              <w:bottom w:val="single" w:sz="4" w:space="0" w:color="BFBFBF" w:themeColor="background1" w:themeShade="BF"/>
            </w:tcBorders>
            <w:shd w:val="clear" w:color="auto" w:fill="auto"/>
          </w:tcPr>
          <w:p w14:paraId="053E7931" w14:textId="77777777" w:rsidR="00496244" w:rsidRDefault="00496244" w:rsidP="00317057">
            <w:pPr>
              <w:pStyle w:val="ARtabletextright"/>
            </w:pPr>
            <w:r w:rsidRPr="00C5726C">
              <w:rPr>
                <w:noProof/>
              </w:rPr>
              <w:t>0</w:t>
            </w:r>
          </w:p>
        </w:tc>
        <w:tc>
          <w:tcPr>
            <w:tcW w:w="794" w:type="dxa"/>
            <w:tcBorders>
              <w:bottom w:val="single" w:sz="4" w:space="0" w:color="BFBFBF" w:themeColor="background1" w:themeShade="BF"/>
            </w:tcBorders>
            <w:shd w:val="clear" w:color="auto" w:fill="auto"/>
            <w:hideMark/>
          </w:tcPr>
          <w:p w14:paraId="48BBFE2E" w14:textId="139F1810" w:rsidR="00496244" w:rsidRPr="00D02A2E" w:rsidRDefault="00CF2633" w:rsidP="00C575AB">
            <w:pPr>
              <w:pStyle w:val="ARtableperformancesymbol"/>
            </w:pPr>
            <w:r>
              <w:rPr>
                <w:noProof/>
              </w:rPr>
              <w:drawing>
                <wp:inline distT="0" distB="0" distL="0" distR="0" wp14:anchorId="1E8C3DC1" wp14:editId="0529C632">
                  <wp:extent cx="85320" cy="85320"/>
                  <wp:effectExtent l="0" t="0" r="0" b="0"/>
                  <wp:docPr id="152" name="Graphic 152"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496244" w:rsidRPr="00D02A2E" w14:paraId="6EB34AFC" w14:textId="77777777" w:rsidTr="000F1C6B">
        <w:trPr>
          <w:cantSplit/>
        </w:trPr>
        <w:tc>
          <w:tcPr>
            <w:tcW w:w="4761" w:type="dxa"/>
            <w:tcBorders>
              <w:top w:val="single" w:sz="4" w:space="0" w:color="BFBFBF" w:themeColor="background1" w:themeShade="BF"/>
            </w:tcBorders>
            <w:shd w:val="clear" w:color="auto" w:fill="auto"/>
            <w:hideMark/>
          </w:tcPr>
          <w:p w14:paraId="47A3A8DC" w14:textId="77777777" w:rsidR="00496244" w:rsidRPr="00D02A2E" w:rsidRDefault="00496244" w:rsidP="00317057">
            <w:pPr>
              <w:pStyle w:val="ARtabletext"/>
            </w:pPr>
            <w:r w:rsidRPr="00C5726C">
              <w:rPr>
                <w:noProof/>
              </w:rPr>
              <w:t>Percentage of treatment permits for medical practitioners or nurse practitioners to prescribe Schedule 8 drugs assessed within four weeks</w:t>
            </w:r>
          </w:p>
        </w:tc>
        <w:tc>
          <w:tcPr>
            <w:tcW w:w="1021" w:type="dxa"/>
            <w:tcBorders>
              <w:top w:val="single" w:sz="4" w:space="0" w:color="BFBFBF" w:themeColor="background1" w:themeShade="BF"/>
            </w:tcBorders>
            <w:shd w:val="clear" w:color="auto" w:fill="auto"/>
            <w:hideMark/>
          </w:tcPr>
          <w:p w14:paraId="6C91ECF1" w14:textId="77777777" w:rsidR="00496244" w:rsidRPr="00D02A2E" w:rsidRDefault="00496244" w:rsidP="00317057">
            <w:pPr>
              <w:pStyle w:val="ARtabletextcentre"/>
            </w:pPr>
            <w:r w:rsidRPr="00C5726C">
              <w:rPr>
                <w:noProof/>
              </w:rPr>
              <w:t>per cent</w:t>
            </w:r>
          </w:p>
        </w:tc>
        <w:tc>
          <w:tcPr>
            <w:tcW w:w="1021" w:type="dxa"/>
            <w:tcBorders>
              <w:top w:val="single" w:sz="4" w:space="0" w:color="BFBFBF" w:themeColor="background1" w:themeShade="BF"/>
            </w:tcBorders>
            <w:shd w:val="clear" w:color="auto" w:fill="auto"/>
            <w:hideMark/>
          </w:tcPr>
          <w:p w14:paraId="353BBE68" w14:textId="77777777" w:rsidR="00496244" w:rsidRDefault="00496244" w:rsidP="00317057">
            <w:pPr>
              <w:pStyle w:val="ARtabletextright"/>
            </w:pPr>
            <w:r w:rsidRPr="00C5726C">
              <w:rPr>
                <w:noProof/>
              </w:rPr>
              <w:t>75</w:t>
            </w:r>
          </w:p>
        </w:tc>
        <w:tc>
          <w:tcPr>
            <w:tcW w:w="1021" w:type="dxa"/>
            <w:tcBorders>
              <w:top w:val="single" w:sz="4" w:space="0" w:color="BFBFBF" w:themeColor="background1" w:themeShade="BF"/>
            </w:tcBorders>
            <w:shd w:val="clear" w:color="auto" w:fill="auto"/>
            <w:hideMark/>
          </w:tcPr>
          <w:p w14:paraId="50046223" w14:textId="77777777" w:rsidR="00496244" w:rsidRDefault="00496244" w:rsidP="00317057">
            <w:pPr>
              <w:pStyle w:val="ARtabletextright"/>
            </w:pPr>
            <w:r w:rsidRPr="00C5726C">
              <w:rPr>
                <w:noProof/>
              </w:rPr>
              <w:t>100</w:t>
            </w:r>
          </w:p>
        </w:tc>
        <w:tc>
          <w:tcPr>
            <w:tcW w:w="1021" w:type="dxa"/>
            <w:tcBorders>
              <w:top w:val="single" w:sz="4" w:space="0" w:color="BFBFBF" w:themeColor="background1" w:themeShade="BF"/>
            </w:tcBorders>
            <w:shd w:val="clear" w:color="auto" w:fill="auto"/>
          </w:tcPr>
          <w:p w14:paraId="5335C80F" w14:textId="77777777" w:rsidR="00496244" w:rsidRDefault="00496244" w:rsidP="00317057">
            <w:pPr>
              <w:pStyle w:val="ARtabletextright"/>
            </w:pPr>
            <w:r w:rsidRPr="00C5726C">
              <w:rPr>
                <w:noProof/>
              </w:rPr>
              <w:t>33.</w:t>
            </w:r>
            <w:r>
              <w:rPr>
                <w:noProof/>
              </w:rPr>
              <w:t>3</w:t>
            </w:r>
          </w:p>
        </w:tc>
        <w:tc>
          <w:tcPr>
            <w:tcW w:w="794" w:type="dxa"/>
            <w:tcBorders>
              <w:top w:val="single" w:sz="4" w:space="0" w:color="BFBFBF" w:themeColor="background1" w:themeShade="BF"/>
            </w:tcBorders>
            <w:shd w:val="clear" w:color="auto" w:fill="auto"/>
            <w:hideMark/>
          </w:tcPr>
          <w:p w14:paraId="5148BE24" w14:textId="4BB715C7" w:rsidR="00496244" w:rsidRPr="00D02A2E" w:rsidRDefault="00CF2633" w:rsidP="00C575AB">
            <w:pPr>
              <w:pStyle w:val="ARtableperformancesymbol"/>
            </w:pPr>
            <w:r>
              <w:rPr>
                <w:noProof/>
              </w:rPr>
              <w:drawing>
                <wp:inline distT="0" distB="0" distL="0" distR="0" wp14:anchorId="47BD4A0D" wp14:editId="43CE9D54">
                  <wp:extent cx="85320" cy="85320"/>
                  <wp:effectExtent l="0" t="0" r="0" b="0"/>
                  <wp:docPr id="153" name="Graphic 153"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496244" w:rsidRPr="00D02A2E" w14:paraId="0113A99C" w14:textId="77777777" w:rsidTr="000F1C6B">
        <w:trPr>
          <w:cantSplit/>
        </w:trPr>
        <w:tc>
          <w:tcPr>
            <w:tcW w:w="9639" w:type="dxa"/>
            <w:gridSpan w:val="6"/>
            <w:tcBorders>
              <w:bottom w:val="single" w:sz="4" w:space="0" w:color="BFBFBF"/>
            </w:tcBorders>
            <w:shd w:val="clear" w:color="auto" w:fill="auto"/>
            <w:noWrap/>
            <w:hideMark/>
          </w:tcPr>
          <w:p w14:paraId="6F509291" w14:textId="77777777" w:rsidR="00496244" w:rsidRPr="00D02A2E" w:rsidRDefault="00496244" w:rsidP="00317057">
            <w:pPr>
              <w:pStyle w:val="ARtablenoteindent"/>
            </w:pPr>
            <w:r w:rsidRPr="00C5726C">
              <w:rPr>
                <w:noProof/>
              </w:rPr>
              <w:t xml:space="preserve">This variance is due to a temporary reduction of permit requirements between end of March 2020 to March 2021 as a consequence of the Schedule 8 permit Public Health Emergency Order in place to reduce </w:t>
            </w:r>
            <w:r>
              <w:rPr>
                <w:noProof/>
              </w:rPr>
              <w:t xml:space="preserve">the </w:t>
            </w:r>
            <w:r w:rsidRPr="00C5726C">
              <w:rPr>
                <w:noProof/>
              </w:rPr>
              <w:t xml:space="preserve">regulatory burden on prescribers during the </w:t>
            </w:r>
            <w:r>
              <w:rPr>
                <w:noProof/>
              </w:rPr>
              <w:t>COVID</w:t>
            </w:r>
            <w:r w:rsidRPr="00C5726C">
              <w:rPr>
                <w:noProof/>
              </w:rPr>
              <w:t>-19 response. This meant</w:t>
            </w:r>
            <w:r>
              <w:rPr>
                <w:noProof/>
              </w:rPr>
              <w:t xml:space="preserve"> that, </w:t>
            </w:r>
            <w:r w:rsidRPr="00C5726C">
              <w:rPr>
                <w:noProof/>
              </w:rPr>
              <w:t>temporarily</w:t>
            </w:r>
            <w:r>
              <w:rPr>
                <w:noProof/>
              </w:rPr>
              <w:t>,</w:t>
            </w:r>
            <w:r w:rsidRPr="00C5726C">
              <w:rPr>
                <w:noProof/>
              </w:rPr>
              <w:t xml:space="preserve"> there were </w:t>
            </w:r>
            <w:r>
              <w:rPr>
                <w:noProof/>
              </w:rPr>
              <w:t>fewer</w:t>
            </w:r>
            <w:r w:rsidRPr="00C5726C">
              <w:rPr>
                <w:noProof/>
              </w:rPr>
              <w:t xml:space="preserve"> permit applications submitted and thus </w:t>
            </w:r>
            <w:r>
              <w:rPr>
                <w:noProof/>
              </w:rPr>
              <w:t>fewer</w:t>
            </w:r>
            <w:r w:rsidRPr="00C5726C">
              <w:rPr>
                <w:noProof/>
              </w:rPr>
              <w:t xml:space="preserve"> applications to assess. In addition, the team upskilled administrative staff to assist with assessing simple straightforward permit application. Two new drugs and poisons officer positions were created and recruited to as a result of successful 2020 </w:t>
            </w:r>
            <w:r>
              <w:rPr>
                <w:noProof/>
              </w:rPr>
              <w:t>B</w:t>
            </w:r>
            <w:r w:rsidRPr="00C5726C">
              <w:rPr>
                <w:noProof/>
              </w:rPr>
              <w:t xml:space="preserve">udget bids. The additional </w:t>
            </w:r>
            <w:r>
              <w:rPr>
                <w:noProof/>
              </w:rPr>
              <w:t>officers</w:t>
            </w:r>
            <w:r w:rsidRPr="00C5726C">
              <w:rPr>
                <w:noProof/>
              </w:rPr>
              <w:t xml:space="preserve"> and upskilling of </w:t>
            </w:r>
            <w:r>
              <w:rPr>
                <w:noProof/>
              </w:rPr>
              <w:t xml:space="preserve">administrative </w:t>
            </w:r>
            <w:r w:rsidRPr="00C5726C">
              <w:rPr>
                <w:noProof/>
              </w:rPr>
              <w:t>staff meant the team was able to assess and process all permit applications within four weeks of receipt.</w:t>
            </w:r>
          </w:p>
        </w:tc>
      </w:tr>
      <w:tr w:rsidR="00496244" w:rsidRPr="00D02A2E" w14:paraId="43778E34" w14:textId="77777777" w:rsidTr="000F1C6B">
        <w:trPr>
          <w:cantSplit/>
        </w:trPr>
        <w:tc>
          <w:tcPr>
            <w:tcW w:w="9639" w:type="dxa"/>
            <w:gridSpan w:val="6"/>
            <w:tcBorders>
              <w:top w:val="single" w:sz="4" w:space="0" w:color="auto"/>
            </w:tcBorders>
            <w:shd w:val="clear" w:color="auto" w:fill="auto"/>
            <w:hideMark/>
          </w:tcPr>
          <w:p w14:paraId="6A5E6C8F" w14:textId="77777777" w:rsidR="00496244" w:rsidRPr="00D02A2E" w:rsidRDefault="00496244" w:rsidP="00317057">
            <w:pPr>
              <w:pStyle w:val="ARtablegreybold"/>
              <w:rPr>
                <w:rFonts w:ascii="Wingdings" w:hAnsi="Wingdings"/>
              </w:rPr>
            </w:pPr>
            <w:r>
              <w:t>Cost</w:t>
            </w:r>
          </w:p>
        </w:tc>
      </w:tr>
      <w:tr w:rsidR="00496244" w:rsidRPr="00D02A2E" w14:paraId="54530EEB" w14:textId="77777777" w:rsidTr="000F1C6B">
        <w:trPr>
          <w:cantSplit/>
        </w:trPr>
        <w:tc>
          <w:tcPr>
            <w:tcW w:w="4761" w:type="dxa"/>
            <w:shd w:val="clear" w:color="auto" w:fill="auto"/>
            <w:hideMark/>
          </w:tcPr>
          <w:p w14:paraId="5C97478A" w14:textId="77777777" w:rsidR="00496244" w:rsidRPr="00A95DC7" w:rsidRDefault="00496244" w:rsidP="00317057">
            <w:pPr>
              <w:pStyle w:val="ARtabletext"/>
              <w:rPr>
                <w:b/>
                <w:bCs/>
              </w:rPr>
            </w:pPr>
            <w:r w:rsidRPr="00A95DC7">
              <w:rPr>
                <w:b/>
                <w:bCs/>
                <w:noProof/>
              </w:rPr>
              <w:t>Total Output Cost</w:t>
            </w:r>
          </w:p>
        </w:tc>
        <w:tc>
          <w:tcPr>
            <w:tcW w:w="1021" w:type="dxa"/>
            <w:shd w:val="clear" w:color="auto" w:fill="auto"/>
            <w:hideMark/>
          </w:tcPr>
          <w:p w14:paraId="32A0737E" w14:textId="77777777" w:rsidR="00496244" w:rsidRPr="00A95DC7" w:rsidRDefault="00496244" w:rsidP="00317057">
            <w:pPr>
              <w:pStyle w:val="ARtabletextcentre"/>
            </w:pPr>
            <w:r w:rsidRPr="00A95DC7">
              <w:rPr>
                <w:b/>
                <w:bCs/>
                <w:noProof/>
              </w:rPr>
              <w:t>$ million</w:t>
            </w:r>
          </w:p>
        </w:tc>
        <w:tc>
          <w:tcPr>
            <w:tcW w:w="1021" w:type="dxa"/>
            <w:shd w:val="clear" w:color="auto" w:fill="auto"/>
            <w:hideMark/>
          </w:tcPr>
          <w:p w14:paraId="507B7400" w14:textId="77777777" w:rsidR="00496244" w:rsidRPr="00A95DC7" w:rsidRDefault="00496244" w:rsidP="00317057">
            <w:pPr>
              <w:pStyle w:val="ARtabletextright"/>
              <w:rPr>
                <w:b/>
                <w:bCs/>
              </w:rPr>
            </w:pPr>
            <w:r w:rsidRPr="00A95DC7">
              <w:rPr>
                <w:b/>
                <w:bCs/>
                <w:noProof/>
              </w:rPr>
              <w:t>43.2</w:t>
            </w:r>
          </w:p>
        </w:tc>
        <w:tc>
          <w:tcPr>
            <w:tcW w:w="1021" w:type="dxa"/>
            <w:shd w:val="clear" w:color="auto" w:fill="auto"/>
            <w:hideMark/>
          </w:tcPr>
          <w:p w14:paraId="2B1E0BED" w14:textId="77777777" w:rsidR="00496244" w:rsidRPr="00A95DC7" w:rsidRDefault="00496244" w:rsidP="00317057">
            <w:pPr>
              <w:pStyle w:val="ARtabletextright"/>
              <w:rPr>
                <w:b/>
                <w:bCs/>
              </w:rPr>
            </w:pPr>
            <w:r w:rsidRPr="00A95DC7">
              <w:rPr>
                <w:b/>
                <w:bCs/>
                <w:noProof/>
              </w:rPr>
              <w:t>37.1</w:t>
            </w:r>
          </w:p>
        </w:tc>
        <w:tc>
          <w:tcPr>
            <w:tcW w:w="1021" w:type="dxa"/>
            <w:shd w:val="clear" w:color="auto" w:fill="auto"/>
          </w:tcPr>
          <w:p w14:paraId="3ABC5A77" w14:textId="77777777" w:rsidR="00496244" w:rsidRPr="00A95DC7" w:rsidRDefault="00496244" w:rsidP="00317057">
            <w:pPr>
              <w:pStyle w:val="ARtabletextright"/>
              <w:rPr>
                <w:b/>
                <w:bCs/>
              </w:rPr>
            </w:pPr>
            <w:r>
              <w:rPr>
                <w:b/>
                <w:bCs/>
                <w:noProof/>
              </w:rPr>
              <w:t>−</w:t>
            </w:r>
            <w:r w:rsidRPr="00A95DC7">
              <w:rPr>
                <w:b/>
                <w:bCs/>
                <w:noProof/>
              </w:rPr>
              <w:t>14.1</w:t>
            </w:r>
          </w:p>
        </w:tc>
        <w:tc>
          <w:tcPr>
            <w:tcW w:w="794" w:type="dxa"/>
            <w:shd w:val="clear" w:color="auto" w:fill="auto"/>
            <w:hideMark/>
          </w:tcPr>
          <w:p w14:paraId="66E75920" w14:textId="77777777" w:rsidR="00496244" w:rsidRPr="00D02A2E" w:rsidRDefault="00496244" w:rsidP="00317057">
            <w:pPr>
              <w:pStyle w:val="ARtabletextright"/>
            </w:pPr>
          </w:p>
        </w:tc>
      </w:tr>
      <w:tr w:rsidR="00496244" w:rsidRPr="00D02A2E" w14:paraId="18C4FB76" w14:textId="77777777" w:rsidTr="000F1C6B">
        <w:trPr>
          <w:cantSplit/>
        </w:trPr>
        <w:tc>
          <w:tcPr>
            <w:tcW w:w="9639" w:type="dxa"/>
            <w:gridSpan w:val="6"/>
            <w:tcBorders>
              <w:bottom w:val="single" w:sz="4" w:space="0" w:color="BFBFBF"/>
            </w:tcBorders>
            <w:shd w:val="clear" w:color="auto" w:fill="auto"/>
            <w:noWrap/>
            <w:hideMark/>
          </w:tcPr>
          <w:p w14:paraId="11703599" w14:textId="77777777" w:rsidR="00496244" w:rsidRPr="00D02A2E" w:rsidRDefault="00496244" w:rsidP="00317057">
            <w:pPr>
              <w:pStyle w:val="ARtablenoteindent"/>
            </w:pPr>
            <w:r w:rsidRPr="00C5726C">
              <w:rPr>
                <w:noProof/>
              </w:rPr>
              <w:t>The 202</w:t>
            </w:r>
            <w:r>
              <w:rPr>
                <w:noProof/>
              </w:rPr>
              <w:t>0–</w:t>
            </w:r>
            <w:r w:rsidRPr="00C5726C">
              <w:rPr>
                <w:noProof/>
              </w:rPr>
              <w:t>21 actual outcome primarily reflects lower than budgeted expenditure on government policy initiatives due to delays caused by the COVID-19 response</w:t>
            </w:r>
            <w:r>
              <w:rPr>
                <w:noProof/>
              </w:rPr>
              <w:t>.</w:t>
            </w:r>
          </w:p>
        </w:tc>
      </w:tr>
      <w:tr w:rsidR="00496244" w:rsidRPr="00D02A2E" w14:paraId="1EBE5697" w14:textId="77777777" w:rsidTr="000F1C6B">
        <w:trPr>
          <w:cantSplit/>
        </w:trPr>
        <w:tc>
          <w:tcPr>
            <w:tcW w:w="9639" w:type="dxa"/>
            <w:gridSpan w:val="6"/>
            <w:tcBorders>
              <w:top w:val="single" w:sz="4" w:space="0" w:color="auto"/>
              <w:bottom w:val="single" w:sz="4" w:space="0" w:color="auto"/>
            </w:tcBorders>
            <w:shd w:val="clear" w:color="auto" w:fill="auto"/>
            <w:hideMark/>
          </w:tcPr>
          <w:p w14:paraId="57EF9F47" w14:textId="77777777" w:rsidR="00496244" w:rsidRPr="00D02A2E" w:rsidRDefault="00496244" w:rsidP="00317057">
            <w:pPr>
              <w:pStyle w:val="ARtablebluebold"/>
              <w:rPr>
                <w:rFonts w:ascii="Wingdings" w:hAnsi="Wingdings"/>
              </w:rPr>
            </w:pPr>
            <w:r w:rsidRPr="009D01EC">
              <w:t>Drug Treatment and Rehabilitation</w:t>
            </w:r>
          </w:p>
        </w:tc>
      </w:tr>
      <w:tr w:rsidR="00496244" w:rsidRPr="00D02A2E" w14:paraId="0862180A" w14:textId="77777777" w:rsidTr="000F1C6B">
        <w:trPr>
          <w:cantSplit/>
        </w:trPr>
        <w:tc>
          <w:tcPr>
            <w:tcW w:w="9639" w:type="dxa"/>
            <w:gridSpan w:val="6"/>
            <w:tcBorders>
              <w:top w:val="single" w:sz="4" w:space="0" w:color="auto"/>
            </w:tcBorders>
            <w:shd w:val="clear" w:color="auto" w:fill="auto"/>
            <w:hideMark/>
          </w:tcPr>
          <w:p w14:paraId="070C92A2" w14:textId="77777777" w:rsidR="00496244" w:rsidRPr="00D02A2E" w:rsidRDefault="00496244" w:rsidP="00317057">
            <w:pPr>
              <w:pStyle w:val="ARtablegreybold"/>
              <w:rPr>
                <w:rFonts w:ascii="Wingdings" w:hAnsi="Wingdings"/>
              </w:rPr>
            </w:pPr>
            <w:r w:rsidRPr="007A45E9">
              <w:t>Quantity</w:t>
            </w:r>
          </w:p>
        </w:tc>
      </w:tr>
      <w:tr w:rsidR="00496244" w:rsidRPr="00D02A2E" w14:paraId="75FDD52A" w14:textId="77777777" w:rsidTr="000F1C6B">
        <w:trPr>
          <w:cantSplit/>
        </w:trPr>
        <w:tc>
          <w:tcPr>
            <w:tcW w:w="4761" w:type="dxa"/>
            <w:shd w:val="clear" w:color="auto" w:fill="auto"/>
            <w:hideMark/>
          </w:tcPr>
          <w:p w14:paraId="3640DA2D" w14:textId="77777777" w:rsidR="00496244" w:rsidRPr="00D02A2E" w:rsidRDefault="00496244" w:rsidP="00317057">
            <w:pPr>
              <w:pStyle w:val="ARtabletext"/>
            </w:pPr>
            <w:r w:rsidRPr="00C5726C">
              <w:rPr>
                <w:noProof/>
              </w:rPr>
              <w:t xml:space="preserve">Clients on the </w:t>
            </w:r>
            <w:r>
              <w:rPr>
                <w:noProof/>
              </w:rPr>
              <w:t>p</w:t>
            </w:r>
            <w:r w:rsidRPr="00C5726C">
              <w:rPr>
                <w:noProof/>
              </w:rPr>
              <w:t>harmacotherapy program</w:t>
            </w:r>
          </w:p>
        </w:tc>
        <w:tc>
          <w:tcPr>
            <w:tcW w:w="1021" w:type="dxa"/>
            <w:shd w:val="clear" w:color="auto" w:fill="auto"/>
            <w:hideMark/>
          </w:tcPr>
          <w:p w14:paraId="70FEC012" w14:textId="77777777" w:rsidR="00496244" w:rsidRPr="00D02A2E" w:rsidRDefault="00496244" w:rsidP="00317057">
            <w:pPr>
              <w:pStyle w:val="ARtabletextcentre"/>
            </w:pPr>
            <w:r w:rsidRPr="00C5726C">
              <w:rPr>
                <w:noProof/>
              </w:rPr>
              <w:t>number</w:t>
            </w:r>
          </w:p>
        </w:tc>
        <w:tc>
          <w:tcPr>
            <w:tcW w:w="1021" w:type="dxa"/>
            <w:shd w:val="clear" w:color="auto" w:fill="auto"/>
            <w:hideMark/>
          </w:tcPr>
          <w:p w14:paraId="781B5691" w14:textId="77777777" w:rsidR="00496244" w:rsidRDefault="00496244" w:rsidP="00317057">
            <w:pPr>
              <w:pStyle w:val="ARtabletextright"/>
            </w:pPr>
            <w:r w:rsidRPr="00C5726C">
              <w:rPr>
                <w:noProof/>
              </w:rPr>
              <w:t>14</w:t>
            </w:r>
            <w:r>
              <w:rPr>
                <w:noProof/>
              </w:rPr>
              <w:t>,</w:t>
            </w:r>
            <w:r w:rsidRPr="00C5726C">
              <w:rPr>
                <w:noProof/>
              </w:rPr>
              <w:t>000</w:t>
            </w:r>
          </w:p>
        </w:tc>
        <w:tc>
          <w:tcPr>
            <w:tcW w:w="1021" w:type="dxa"/>
            <w:shd w:val="clear" w:color="auto" w:fill="auto"/>
            <w:hideMark/>
          </w:tcPr>
          <w:p w14:paraId="4BD4E565" w14:textId="77777777" w:rsidR="00496244" w:rsidRDefault="00496244" w:rsidP="00317057">
            <w:pPr>
              <w:pStyle w:val="ARtabletextright"/>
            </w:pPr>
            <w:r w:rsidRPr="00C5726C">
              <w:rPr>
                <w:noProof/>
              </w:rPr>
              <w:t>14</w:t>
            </w:r>
            <w:r>
              <w:rPr>
                <w:noProof/>
              </w:rPr>
              <w:t>,</w:t>
            </w:r>
            <w:r w:rsidRPr="00C5726C">
              <w:rPr>
                <w:noProof/>
              </w:rPr>
              <w:t>776</w:t>
            </w:r>
          </w:p>
        </w:tc>
        <w:tc>
          <w:tcPr>
            <w:tcW w:w="1021" w:type="dxa"/>
            <w:shd w:val="clear" w:color="auto" w:fill="auto"/>
          </w:tcPr>
          <w:p w14:paraId="4171431C" w14:textId="77777777" w:rsidR="00496244" w:rsidRDefault="00496244" w:rsidP="00317057">
            <w:pPr>
              <w:pStyle w:val="ARtabletextright"/>
            </w:pPr>
            <w:r w:rsidRPr="00C5726C">
              <w:rPr>
                <w:noProof/>
              </w:rPr>
              <w:t>5.5</w:t>
            </w:r>
          </w:p>
        </w:tc>
        <w:tc>
          <w:tcPr>
            <w:tcW w:w="794" w:type="dxa"/>
            <w:shd w:val="clear" w:color="auto" w:fill="auto"/>
            <w:hideMark/>
          </w:tcPr>
          <w:p w14:paraId="312866D5" w14:textId="39799C7D" w:rsidR="00496244" w:rsidRPr="00D02A2E" w:rsidRDefault="00CF2633" w:rsidP="00C575AB">
            <w:pPr>
              <w:pStyle w:val="ARtableperformancesymbol"/>
            </w:pPr>
            <w:r>
              <w:rPr>
                <w:noProof/>
              </w:rPr>
              <w:drawing>
                <wp:inline distT="0" distB="0" distL="0" distR="0" wp14:anchorId="150270C9" wp14:editId="19AD92E8">
                  <wp:extent cx="85320" cy="85320"/>
                  <wp:effectExtent l="0" t="0" r="0" b="0"/>
                  <wp:docPr id="154" name="Graphic 154"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496244" w:rsidRPr="00D02A2E" w14:paraId="40FE7D00" w14:textId="77777777" w:rsidTr="000F1C6B">
        <w:trPr>
          <w:cantSplit/>
        </w:trPr>
        <w:tc>
          <w:tcPr>
            <w:tcW w:w="9639" w:type="dxa"/>
            <w:gridSpan w:val="6"/>
            <w:tcBorders>
              <w:bottom w:val="single" w:sz="4" w:space="0" w:color="BFBFBF"/>
            </w:tcBorders>
            <w:shd w:val="clear" w:color="auto" w:fill="auto"/>
            <w:noWrap/>
            <w:hideMark/>
          </w:tcPr>
          <w:p w14:paraId="25E799A8" w14:textId="77777777" w:rsidR="00496244" w:rsidRPr="00D02A2E" w:rsidRDefault="00496244" w:rsidP="00317057">
            <w:pPr>
              <w:pStyle w:val="ARtablenoteindent"/>
            </w:pPr>
            <w:r w:rsidRPr="00C5726C">
              <w:rPr>
                <w:noProof/>
              </w:rPr>
              <w:t>Increase in demand is reflective of factors such as the increased number of illicit drug users seeking treatment support where access to illicit drugs has been impacted during COVID-19 restrictions</w:t>
            </w:r>
            <w:r>
              <w:rPr>
                <w:noProof/>
              </w:rPr>
              <w:t>,</w:t>
            </w:r>
            <w:r w:rsidRPr="00C5726C">
              <w:rPr>
                <w:noProof/>
              </w:rPr>
              <w:t xml:space="preserve"> and the increased awareness and monitoring of </w:t>
            </w:r>
            <w:r>
              <w:rPr>
                <w:noProof/>
              </w:rPr>
              <w:t xml:space="preserve">Schedule </w:t>
            </w:r>
            <w:r w:rsidRPr="00C5726C">
              <w:rPr>
                <w:noProof/>
              </w:rPr>
              <w:t>8</w:t>
            </w:r>
            <w:r>
              <w:rPr>
                <w:noProof/>
              </w:rPr>
              <w:t> </w:t>
            </w:r>
            <w:r w:rsidRPr="00C5726C">
              <w:rPr>
                <w:noProof/>
              </w:rPr>
              <w:t>p</w:t>
            </w:r>
            <w:r>
              <w:rPr>
                <w:noProof/>
              </w:rPr>
              <w:t>re</w:t>
            </w:r>
            <w:r w:rsidRPr="00C5726C">
              <w:rPr>
                <w:noProof/>
              </w:rPr>
              <w:t xml:space="preserve">scribed drugs through </w:t>
            </w:r>
            <w:r w:rsidRPr="00A44BE3">
              <w:rPr>
                <w:noProof/>
              </w:rPr>
              <w:t xml:space="preserve">Safescript </w:t>
            </w:r>
            <w:r>
              <w:rPr>
                <w:noProof/>
              </w:rPr>
              <w:t>(</w:t>
            </w:r>
            <w:r w:rsidRPr="00A44BE3">
              <w:rPr>
                <w:noProof/>
              </w:rPr>
              <w:t>where drug users are diverted</w:t>
            </w:r>
            <w:r w:rsidRPr="00C5726C">
              <w:rPr>
                <w:noProof/>
              </w:rPr>
              <w:t xml:space="preserve"> to programs by p</w:t>
            </w:r>
            <w:r>
              <w:rPr>
                <w:noProof/>
              </w:rPr>
              <w:t>re</w:t>
            </w:r>
            <w:r w:rsidRPr="00C5726C">
              <w:rPr>
                <w:noProof/>
              </w:rPr>
              <w:t>scribers).</w:t>
            </w:r>
          </w:p>
        </w:tc>
      </w:tr>
      <w:tr w:rsidR="00496244" w:rsidRPr="00D02A2E" w14:paraId="20D352E7" w14:textId="77777777" w:rsidTr="000F1C6B">
        <w:trPr>
          <w:cantSplit/>
        </w:trPr>
        <w:tc>
          <w:tcPr>
            <w:tcW w:w="4761" w:type="dxa"/>
            <w:shd w:val="clear" w:color="auto" w:fill="auto"/>
            <w:hideMark/>
          </w:tcPr>
          <w:p w14:paraId="7E0E40F6" w14:textId="77777777" w:rsidR="00496244" w:rsidRPr="00D02A2E" w:rsidRDefault="00496244" w:rsidP="00317057">
            <w:pPr>
              <w:pStyle w:val="ARtabletext"/>
            </w:pPr>
            <w:r w:rsidRPr="00C5726C">
              <w:rPr>
                <w:noProof/>
              </w:rPr>
              <w:t>Commenced courses of treatment – community-based drug treatment services</w:t>
            </w:r>
          </w:p>
        </w:tc>
        <w:tc>
          <w:tcPr>
            <w:tcW w:w="1021" w:type="dxa"/>
            <w:shd w:val="clear" w:color="auto" w:fill="auto"/>
            <w:hideMark/>
          </w:tcPr>
          <w:p w14:paraId="03DF2704" w14:textId="77777777" w:rsidR="00496244" w:rsidRPr="00D02A2E" w:rsidRDefault="00496244" w:rsidP="00317057">
            <w:pPr>
              <w:pStyle w:val="ARtabletextcentre"/>
            </w:pPr>
            <w:r w:rsidRPr="00C5726C">
              <w:rPr>
                <w:noProof/>
              </w:rPr>
              <w:t>number</w:t>
            </w:r>
          </w:p>
        </w:tc>
        <w:tc>
          <w:tcPr>
            <w:tcW w:w="1021" w:type="dxa"/>
            <w:shd w:val="clear" w:color="auto" w:fill="auto"/>
            <w:hideMark/>
          </w:tcPr>
          <w:p w14:paraId="22E86B7E" w14:textId="77777777" w:rsidR="00496244" w:rsidRDefault="00496244" w:rsidP="00317057">
            <w:pPr>
              <w:pStyle w:val="ARtabletextright"/>
            </w:pPr>
            <w:r w:rsidRPr="00C5726C">
              <w:rPr>
                <w:noProof/>
              </w:rPr>
              <w:t>8</w:t>
            </w:r>
            <w:r>
              <w:rPr>
                <w:noProof/>
              </w:rPr>
              <w:t>,</w:t>
            </w:r>
            <w:r w:rsidRPr="00C5726C">
              <w:rPr>
                <w:noProof/>
              </w:rPr>
              <w:t>489</w:t>
            </w:r>
          </w:p>
        </w:tc>
        <w:tc>
          <w:tcPr>
            <w:tcW w:w="1021" w:type="dxa"/>
            <w:shd w:val="clear" w:color="auto" w:fill="auto"/>
            <w:hideMark/>
          </w:tcPr>
          <w:p w14:paraId="49708C9A" w14:textId="77777777" w:rsidR="00496244" w:rsidRDefault="00496244" w:rsidP="00317057">
            <w:pPr>
              <w:pStyle w:val="ARtabletextright"/>
            </w:pPr>
            <w:r w:rsidRPr="00C5726C">
              <w:rPr>
                <w:noProof/>
              </w:rPr>
              <w:t>11</w:t>
            </w:r>
            <w:r>
              <w:rPr>
                <w:noProof/>
              </w:rPr>
              <w:t>,578</w:t>
            </w:r>
          </w:p>
        </w:tc>
        <w:tc>
          <w:tcPr>
            <w:tcW w:w="1021" w:type="dxa"/>
            <w:shd w:val="clear" w:color="auto" w:fill="auto"/>
          </w:tcPr>
          <w:p w14:paraId="7DCEC2E3" w14:textId="77777777" w:rsidR="00496244" w:rsidRDefault="00496244" w:rsidP="00317057">
            <w:pPr>
              <w:pStyle w:val="ARtabletextright"/>
            </w:pPr>
            <w:r w:rsidRPr="00C5726C">
              <w:rPr>
                <w:noProof/>
              </w:rPr>
              <w:t>3</w:t>
            </w:r>
            <w:r>
              <w:rPr>
                <w:noProof/>
              </w:rPr>
              <w:t>6.4</w:t>
            </w:r>
          </w:p>
        </w:tc>
        <w:tc>
          <w:tcPr>
            <w:tcW w:w="794" w:type="dxa"/>
            <w:shd w:val="clear" w:color="auto" w:fill="auto"/>
            <w:hideMark/>
          </w:tcPr>
          <w:p w14:paraId="00178198" w14:textId="5347EC29" w:rsidR="00496244" w:rsidRPr="00D02A2E" w:rsidRDefault="00CF2633" w:rsidP="00C575AB">
            <w:pPr>
              <w:pStyle w:val="ARtableperformancesymbol"/>
            </w:pPr>
            <w:r>
              <w:rPr>
                <w:noProof/>
              </w:rPr>
              <w:drawing>
                <wp:inline distT="0" distB="0" distL="0" distR="0" wp14:anchorId="72875879" wp14:editId="4D5A00FC">
                  <wp:extent cx="85320" cy="85320"/>
                  <wp:effectExtent l="0" t="0" r="0" b="0"/>
                  <wp:docPr id="155" name="Graphic 155"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496244" w:rsidRPr="00D02A2E" w14:paraId="79B66643" w14:textId="77777777" w:rsidTr="000F1C6B">
        <w:trPr>
          <w:cantSplit/>
        </w:trPr>
        <w:tc>
          <w:tcPr>
            <w:tcW w:w="9639" w:type="dxa"/>
            <w:gridSpan w:val="6"/>
            <w:tcBorders>
              <w:bottom w:val="single" w:sz="4" w:space="0" w:color="BFBFBF"/>
            </w:tcBorders>
            <w:shd w:val="clear" w:color="auto" w:fill="auto"/>
            <w:noWrap/>
            <w:hideMark/>
          </w:tcPr>
          <w:p w14:paraId="6620219D" w14:textId="77777777" w:rsidR="00496244" w:rsidRPr="00D02A2E" w:rsidRDefault="00496244" w:rsidP="00317057">
            <w:pPr>
              <w:pStyle w:val="ARtablenoteindent"/>
            </w:pPr>
            <w:r w:rsidRPr="00C5726C">
              <w:rPr>
                <w:noProof/>
              </w:rPr>
              <w:t>Historically</w:t>
            </w:r>
            <w:r>
              <w:rPr>
                <w:noProof/>
              </w:rPr>
              <w:t>,</w:t>
            </w:r>
            <w:r w:rsidRPr="00C5726C">
              <w:rPr>
                <w:noProof/>
              </w:rPr>
              <w:t xml:space="preserve"> performance has exceeded target for this measure.</w:t>
            </w:r>
            <w:r>
              <w:rPr>
                <w:noProof/>
              </w:rPr>
              <w:t xml:space="preserve"> </w:t>
            </w:r>
            <w:r w:rsidRPr="00C5726C">
              <w:rPr>
                <w:noProof/>
              </w:rPr>
              <w:t>The current result showing further overperformance may be due</w:t>
            </w:r>
            <w:r>
              <w:rPr>
                <w:noProof/>
              </w:rPr>
              <w:t> </w:t>
            </w:r>
            <w:r w:rsidRPr="00C5726C">
              <w:rPr>
                <w:noProof/>
              </w:rPr>
              <w:t>to the introduction of telephone-based client engagement as part of the public health response to COVID-19</w:t>
            </w:r>
            <w:r>
              <w:rPr>
                <w:noProof/>
              </w:rPr>
              <w:t>,</w:t>
            </w:r>
            <w:r w:rsidRPr="00C5726C">
              <w:rPr>
                <w:noProof/>
              </w:rPr>
              <w:t xml:space="preserve"> which has supported a higher volume of commenced courses of treatment during this period.</w:t>
            </w:r>
            <w:r>
              <w:rPr>
                <w:noProof/>
              </w:rPr>
              <w:t xml:space="preserve"> </w:t>
            </w:r>
            <w:r w:rsidRPr="00C5726C">
              <w:rPr>
                <w:noProof/>
              </w:rPr>
              <w:t>It also may be</w:t>
            </w:r>
            <w:r>
              <w:rPr>
                <w:noProof/>
              </w:rPr>
              <w:t xml:space="preserve"> as</w:t>
            </w:r>
            <w:r w:rsidRPr="00C5726C">
              <w:rPr>
                <w:noProof/>
              </w:rPr>
              <w:t xml:space="preserve"> a result of increased demand relating to COVID-19 and </w:t>
            </w:r>
            <w:r>
              <w:rPr>
                <w:noProof/>
              </w:rPr>
              <w:t xml:space="preserve">the deteriorating mental health of </w:t>
            </w:r>
            <w:r w:rsidRPr="00C5726C">
              <w:rPr>
                <w:noProof/>
              </w:rPr>
              <w:t xml:space="preserve">young people and Aboriginal communities and </w:t>
            </w:r>
            <w:r>
              <w:rPr>
                <w:noProof/>
              </w:rPr>
              <w:t>their use of alcohol and other drugs</w:t>
            </w:r>
            <w:r w:rsidRPr="00C5726C">
              <w:rPr>
                <w:noProof/>
              </w:rPr>
              <w:t>.</w:t>
            </w:r>
          </w:p>
        </w:tc>
      </w:tr>
      <w:tr w:rsidR="00B0569D" w:rsidRPr="00D02A2E" w14:paraId="563DFA32" w14:textId="77777777" w:rsidTr="000F1C6B">
        <w:trPr>
          <w:cantSplit/>
        </w:trPr>
        <w:tc>
          <w:tcPr>
            <w:tcW w:w="4761" w:type="dxa"/>
            <w:shd w:val="clear" w:color="auto" w:fill="auto"/>
            <w:hideMark/>
          </w:tcPr>
          <w:p w14:paraId="657E1D8F" w14:textId="77777777" w:rsidR="00B0569D" w:rsidRPr="00D02A2E" w:rsidRDefault="00B0569D" w:rsidP="00B0569D">
            <w:pPr>
              <w:pStyle w:val="ARtabletext"/>
            </w:pPr>
            <w:r w:rsidRPr="00C5726C">
              <w:rPr>
                <w:noProof/>
              </w:rPr>
              <w:t>Number of drug treatment activity units – residential services</w:t>
            </w:r>
          </w:p>
        </w:tc>
        <w:tc>
          <w:tcPr>
            <w:tcW w:w="1021" w:type="dxa"/>
            <w:shd w:val="clear" w:color="auto" w:fill="auto"/>
            <w:hideMark/>
          </w:tcPr>
          <w:p w14:paraId="3240F5A7" w14:textId="77777777" w:rsidR="00B0569D" w:rsidRPr="00D02A2E" w:rsidRDefault="00B0569D" w:rsidP="00B0569D">
            <w:pPr>
              <w:pStyle w:val="ARtabletextcentre"/>
            </w:pPr>
            <w:r w:rsidRPr="00C5726C">
              <w:rPr>
                <w:noProof/>
              </w:rPr>
              <w:t>number</w:t>
            </w:r>
          </w:p>
        </w:tc>
        <w:tc>
          <w:tcPr>
            <w:tcW w:w="1021" w:type="dxa"/>
            <w:shd w:val="clear" w:color="auto" w:fill="auto"/>
            <w:hideMark/>
          </w:tcPr>
          <w:p w14:paraId="011CE76E" w14:textId="77777777" w:rsidR="00B0569D" w:rsidRDefault="00B0569D" w:rsidP="00B0569D">
            <w:pPr>
              <w:pStyle w:val="ARtabletextright"/>
            </w:pPr>
            <w:r w:rsidRPr="00C5726C">
              <w:rPr>
                <w:noProof/>
              </w:rPr>
              <w:t>78</w:t>
            </w:r>
            <w:r>
              <w:rPr>
                <w:noProof/>
              </w:rPr>
              <w:t>,</w:t>
            </w:r>
            <w:r w:rsidRPr="00C5726C">
              <w:rPr>
                <w:noProof/>
              </w:rPr>
              <w:t>535</w:t>
            </w:r>
          </w:p>
        </w:tc>
        <w:tc>
          <w:tcPr>
            <w:tcW w:w="1021" w:type="dxa"/>
            <w:shd w:val="clear" w:color="auto" w:fill="auto"/>
            <w:hideMark/>
          </w:tcPr>
          <w:p w14:paraId="4CE71FAE" w14:textId="77777777" w:rsidR="00B0569D" w:rsidRDefault="00B0569D" w:rsidP="00B0569D">
            <w:pPr>
              <w:pStyle w:val="ARtabletextright"/>
            </w:pPr>
            <w:r>
              <w:rPr>
                <w:noProof/>
              </w:rPr>
              <w:t>51,701</w:t>
            </w:r>
          </w:p>
        </w:tc>
        <w:tc>
          <w:tcPr>
            <w:tcW w:w="1021" w:type="dxa"/>
            <w:shd w:val="clear" w:color="auto" w:fill="auto"/>
          </w:tcPr>
          <w:p w14:paraId="59B7434E" w14:textId="77777777" w:rsidR="00B0569D" w:rsidRDefault="00B0569D" w:rsidP="00B0569D">
            <w:pPr>
              <w:pStyle w:val="ARtabletextright"/>
            </w:pPr>
            <w:r>
              <w:rPr>
                <w:noProof/>
              </w:rPr>
              <w:t>−</w:t>
            </w:r>
            <w:r w:rsidRPr="00C5726C">
              <w:rPr>
                <w:noProof/>
              </w:rPr>
              <w:t>3</w:t>
            </w:r>
            <w:r>
              <w:rPr>
                <w:noProof/>
              </w:rPr>
              <w:t>4.2</w:t>
            </w:r>
          </w:p>
        </w:tc>
        <w:tc>
          <w:tcPr>
            <w:tcW w:w="794" w:type="dxa"/>
            <w:shd w:val="clear" w:color="auto" w:fill="auto"/>
            <w:hideMark/>
          </w:tcPr>
          <w:p w14:paraId="669DFE9F" w14:textId="49C1A3EC" w:rsidR="00B0569D" w:rsidRPr="00D02A2E" w:rsidRDefault="00B0569D" w:rsidP="00C575AB">
            <w:pPr>
              <w:pStyle w:val="ARtableperformancesymbol"/>
            </w:pPr>
            <w:r>
              <w:rPr>
                <w:noProof/>
              </w:rPr>
              <w:drawing>
                <wp:inline distT="0" distB="0" distL="0" distR="0" wp14:anchorId="24BA6A28" wp14:editId="1E8736B5">
                  <wp:extent cx="76320" cy="76320"/>
                  <wp:effectExtent l="0" t="0" r="0" b="0"/>
                  <wp:docPr id="82" name="Graphic 82"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B0569D" w:rsidRPr="00D02A2E" w14:paraId="736BE92A" w14:textId="77777777" w:rsidTr="000F1C6B">
        <w:trPr>
          <w:cantSplit/>
        </w:trPr>
        <w:tc>
          <w:tcPr>
            <w:tcW w:w="9639" w:type="dxa"/>
            <w:gridSpan w:val="6"/>
            <w:tcBorders>
              <w:bottom w:val="single" w:sz="4" w:space="0" w:color="BFBFBF"/>
            </w:tcBorders>
            <w:shd w:val="clear" w:color="auto" w:fill="auto"/>
            <w:noWrap/>
            <w:hideMark/>
          </w:tcPr>
          <w:p w14:paraId="22B4213D" w14:textId="77777777" w:rsidR="00B0569D" w:rsidRPr="00D02A2E" w:rsidRDefault="00B0569D" w:rsidP="00B0569D">
            <w:pPr>
              <w:pStyle w:val="ARtablenoteindent"/>
            </w:pPr>
            <w:r w:rsidRPr="00C5726C">
              <w:rPr>
                <w:noProof/>
              </w:rPr>
              <w:t xml:space="preserve">This outcome is due to the overall reduction in residential treatment service capacity as a result of the ongoing </w:t>
            </w:r>
            <w:r>
              <w:rPr>
                <w:noProof/>
              </w:rPr>
              <w:t xml:space="preserve">COVID-19 </w:t>
            </w:r>
            <w:r w:rsidRPr="00C5726C">
              <w:rPr>
                <w:noProof/>
              </w:rPr>
              <w:t>pandemic and associated social distancing requirements, particularly in Q</w:t>
            </w:r>
            <w:r>
              <w:rPr>
                <w:noProof/>
              </w:rPr>
              <w:t xml:space="preserve">uarter </w:t>
            </w:r>
            <w:r w:rsidRPr="00C5726C">
              <w:rPr>
                <w:noProof/>
              </w:rPr>
              <w:t>1 202</w:t>
            </w:r>
            <w:r>
              <w:rPr>
                <w:noProof/>
              </w:rPr>
              <w:t>0–</w:t>
            </w:r>
            <w:r w:rsidRPr="00C5726C">
              <w:rPr>
                <w:noProof/>
              </w:rPr>
              <w:t>21. Services are currently following public health advice as they relate to care facilities.</w:t>
            </w:r>
            <w:r>
              <w:rPr>
                <w:noProof/>
              </w:rPr>
              <w:t xml:space="preserve"> </w:t>
            </w:r>
            <w:r w:rsidRPr="00C5726C">
              <w:rPr>
                <w:noProof/>
              </w:rPr>
              <w:t>It may also reflect client factors, such as delays in seeking treatment due to concerns around COVID-19 transmission or assuming that services are not operating.</w:t>
            </w:r>
          </w:p>
        </w:tc>
      </w:tr>
      <w:tr w:rsidR="00B0569D" w:rsidRPr="00D02A2E" w14:paraId="6246A11C" w14:textId="77777777" w:rsidTr="000F1C6B">
        <w:trPr>
          <w:cantSplit/>
        </w:trPr>
        <w:tc>
          <w:tcPr>
            <w:tcW w:w="4761" w:type="dxa"/>
            <w:shd w:val="clear" w:color="auto" w:fill="auto"/>
            <w:hideMark/>
          </w:tcPr>
          <w:p w14:paraId="0DDCDF74" w14:textId="77777777" w:rsidR="00B0569D" w:rsidRPr="00D02A2E" w:rsidRDefault="00B0569D" w:rsidP="00F46D9F">
            <w:pPr>
              <w:pStyle w:val="ARtabletext"/>
              <w:keepNext/>
            </w:pPr>
            <w:r w:rsidRPr="00C5726C">
              <w:rPr>
                <w:noProof/>
              </w:rPr>
              <w:lastRenderedPageBreak/>
              <w:t>Number of drug treatment activity units – community-based services</w:t>
            </w:r>
          </w:p>
        </w:tc>
        <w:tc>
          <w:tcPr>
            <w:tcW w:w="1021" w:type="dxa"/>
            <w:shd w:val="clear" w:color="auto" w:fill="auto"/>
            <w:hideMark/>
          </w:tcPr>
          <w:p w14:paraId="6D752DE5" w14:textId="77777777" w:rsidR="00B0569D" w:rsidRPr="00D02A2E" w:rsidRDefault="00B0569D" w:rsidP="00B0569D">
            <w:pPr>
              <w:pStyle w:val="ARtabletextcentre"/>
            </w:pPr>
            <w:r w:rsidRPr="00C5726C">
              <w:rPr>
                <w:noProof/>
              </w:rPr>
              <w:t>number</w:t>
            </w:r>
          </w:p>
        </w:tc>
        <w:tc>
          <w:tcPr>
            <w:tcW w:w="1021" w:type="dxa"/>
            <w:shd w:val="clear" w:color="auto" w:fill="auto"/>
            <w:hideMark/>
          </w:tcPr>
          <w:p w14:paraId="436E9258" w14:textId="77777777" w:rsidR="00B0569D" w:rsidRDefault="00B0569D" w:rsidP="00B0569D">
            <w:pPr>
              <w:pStyle w:val="ARtabletextright"/>
            </w:pPr>
            <w:r w:rsidRPr="00C5726C">
              <w:rPr>
                <w:noProof/>
              </w:rPr>
              <w:t>90</w:t>
            </w:r>
            <w:r>
              <w:rPr>
                <w:noProof/>
              </w:rPr>
              <w:t>,</w:t>
            </w:r>
            <w:r w:rsidRPr="00C5726C">
              <w:rPr>
                <w:noProof/>
              </w:rPr>
              <w:t>325</w:t>
            </w:r>
          </w:p>
        </w:tc>
        <w:tc>
          <w:tcPr>
            <w:tcW w:w="1021" w:type="dxa"/>
            <w:shd w:val="clear" w:color="auto" w:fill="auto"/>
            <w:hideMark/>
          </w:tcPr>
          <w:p w14:paraId="03F10008" w14:textId="77777777" w:rsidR="00B0569D" w:rsidRDefault="00B0569D" w:rsidP="00B0569D">
            <w:pPr>
              <w:pStyle w:val="ARtabletextright"/>
            </w:pPr>
            <w:r w:rsidRPr="00C5726C">
              <w:rPr>
                <w:noProof/>
              </w:rPr>
              <w:t>96</w:t>
            </w:r>
            <w:r>
              <w:rPr>
                <w:noProof/>
              </w:rPr>
              <w:t>,937</w:t>
            </w:r>
          </w:p>
        </w:tc>
        <w:tc>
          <w:tcPr>
            <w:tcW w:w="1021" w:type="dxa"/>
            <w:shd w:val="clear" w:color="auto" w:fill="auto"/>
          </w:tcPr>
          <w:p w14:paraId="4F9AE003" w14:textId="77777777" w:rsidR="00B0569D" w:rsidRDefault="00B0569D" w:rsidP="00B0569D">
            <w:pPr>
              <w:pStyle w:val="ARtabletextright"/>
            </w:pPr>
            <w:r>
              <w:rPr>
                <w:noProof/>
              </w:rPr>
              <w:t>7.3</w:t>
            </w:r>
          </w:p>
        </w:tc>
        <w:tc>
          <w:tcPr>
            <w:tcW w:w="794" w:type="dxa"/>
            <w:shd w:val="clear" w:color="auto" w:fill="auto"/>
            <w:hideMark/>
          </w:tcPr>
          <w:p w14:paraId="0390BA45" w14:textId="138254F5" w:rsidR="00B0569D" w:rsidRPr="00D02A2E" w:rsidRDefault="00CF2633" w:rsidP="00C575AB">
            <w:pPr>
              <w:pStyle w:val="ARtableperformancesymbol"/>
            </w:pPr>
            <w:r>
              <w:rPr>
                <w:noProof/>
              </w:rPr>
              <w:drawing>
                <wp:inline distT="0" distB="0" distL="0" distR="0" wp14:anchorId="6F57F541" wp14:editId="1C68C3C3">
                  <wp:extent cx="85320" cy="85320"/>
                  <wp:effectExtent l="0" t="0" r="0" b="0"/>
                  <wp:docPr id="156" name="Graphic 156"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B0569D" w:rsidRPr="00D02A2E" w14:paraId="6A545057" w14:textId="77777777" w:rsidTr="000F1C6B">
        <w:trPr>
          <w:cantSplit/>
        </w:trPr>
        <w:tc>
          <w:tcPr>
            <w:tcW w:w="9639" w:type="dxa"/>
            <w:gridSpan w:val="6"/>
            <w:tcBorders>
              <w:bottom w:val="single" w:sz="4" w:space="0" w:color="BFBFBF"/>
            </w:tcBorders>
            <w:shd w:val="clear" w:color="auto" w:fill="auto"/>
            <w:noWrap/>
            <w:hideMark/>
          </w:tcPr>
          <w:p w14:paraId="4A9FAA47" w14:textId="77777777" w:rsidR="00B0569D" w:rsidRPr="00D02A2E" w:rsidRDefault="00B0569D" w:rsidP="00B0569D">
            <w:pPr>
              <w:pStyle w:val="ARtablenoteindent"/>
            </w:pPr>
            <w:r w:rsidRPr="00C5726C">
              <w:rPr>
                <w:noProof/>
              </w:rPr>
              <w:t>Historically</w:t>
            </w:r>
            <w:r>
              <w:rPr>
                <w:noProof/>
              </w:rPr>
              <w:t>,</w:t>
            </w:r>
            <w:r w:rsidRPr="00C5726C">
              <w:rPr>
                <w:noProof/>
              </w:rPr>
              <w:t xml:space="preserve"> performance has fallen short of target for this measure.</w:t>
            </w:r>
            <w:r>
              <w:rPr>
                <w:noProof/>
              </w:rPr>
              <w:t xml:space="preserve"> </w:t>
            </w:r>
            <w:r w:rsidRPr="00C5726C">
              <w:rPr>
                <w:noProof/>
              </w:rPr>
              <w:t>This improved outcome may reflect the impact of COVID-19 on access to services for adult community</w:t>
            </w:r>
            <w:r>
              <w:rPr>
                <w:noProof/>
              </w:rPr>
              <w:t>-</w:t>
            </w:r>
            <w:r w:rsidRPr="00C5726C">
              <w:rPr>
                <w:noProof/>
              </w:rPr>
              <w:t>based treatment.</w:t>
            </w:r>
            <w:r>
              <w:rPr>
                <w:noProof/>
              </w:rPr>
              <w:t xml:space="preserve"> </w:t>
            </w:r>
            <w:r w:rsidRPr="00C5726C">
              <w:rPr>
                <w:noProof/>
              </w:rPr>
              <w:t xml:space="preserve">While telehealth has been demonstrated to be a successful option for some people who require support, people with complex </w:t>
            </w:r>
            <w:r>
              <w:rPr>
                <w:noProof/>
              </w:rPr>
              <w:t>alcohol and other drug</w:t>
            </w:r>
            <w:r w:rsidRPr="00C5726C">
              <w:rPr>
                <w:noProof/>
              </w:rPr>
              <w:t xml:space="preserve"> needs have reported difficulty in engag</w:t>
            </w:r>
            <w:r>
              <w:rPr>
                <w:noProof/>
              </w:rPr>
              <w:t>ing</w:t>
            </w:r>
            <w:r w:rsidRPr="00C5726C">
              <w:rPr>
                <w:noProof/>
              </w:rPr>
              <w:t xml:space="preserve"> through telehealth options.</w:t>
            </w:r>
          </w:p>
        </w:tc>
      </w:tr>
      <w:tr w:rsidR="00B0569D" w:rsidRPr="00D02A2E" w14:paraId="38295AB0" w14:textId="77777777" w:rsidTr="000F1C6B">
        <w:trPr>
          <w:cantSplit/>
        </w:trPr>
        <w:tc>
          <w:tcPr>
            <w:tcW w:w="9639" w:type="dxa"/>
            <w:gridSpan w:val="6"/>
            <w:tcBorders>
              <w:top w:val="single" w:sz="4" w:space="0" w:color="auto"/>
            </w:tcBorders>
            <w:shd w:val="clear" w:color="auto" w:fill="auto"/>
            <w:hideMark/>
          </w:tcPr>
          <w:p w14:paraId="3F9AFEAF" w14:textId="77777777" w:rsidR="00B0569D" w:rsidRPr="00D02A2E" w:rsidRDefault="00B0569D" w:rsidP="00B0569D">
            <w:pPr>
              <w:pStyle w:val="ARtablegreybold"/>
              <w:rPr>
                <w:rFonts w:ascii="Wingdings" w:hAnsi="Wingdings"/>
              </w:rPr>
            </w:pPr>
            <w:r>
              <w:t>Quality</w:t>
            </w:r>
          </w:p>
        </w:tc>
      </w:tr>
      <w:tr w:rsidR="00B0569D" w:rsidRPr="00D02A2E" w14:paraId="62F6B4CB" w14:textId="77777777" w:rsidTr="000F1C6B">
        <w:trPr>
          <w:cantSplit/>
        </w:trPr>
        <w:tc>
          <w:tcPr>
            <w:tcW w:w="4761" w:type="dxa"/>
            <w:tcBorders>
              <w:bottom w:val="single" w:sz="4" w:space="0" w:color="BFBFBF" w:themeColor="background1" w:themeShade="BF"/>
            </w:tcBorders>
            <w:shd w:val="clear" w:color="auto" w:fill="auto"/>
            <w:hideMark/>
          </w:tcPr>
          <w:p w14:paraId="2588E6FC" w14:textId="77777777" w:rsidR="00B0569D" w:rsidRPr="00D02A2E" w:rsidRDefault="00B0569D" w:rsidP="00B0569D">
            <w:pPr>
              <w:pStyle w:val="ARtabletext"/>
            </w:pPr>
            <w:r w:rsidRPr="00C5726C">
              <w:rPr>
                <w:noProof/>
              </w:rPr>
              <w:t>Workers complying with Alcohol and Other Drug Minimum Qualification Strategy requirements</w:t>
            </w:r>
          </w:p>
        </w:tc>
        <w:tc>
          <w:tcPr>
            <w:tcW w:w="1021" w:type="dxa"/>
            <w:tcBorders>
              <w:bottom w:val="single" w:sz="4" w:space="0" w:color="BFBFBF" w:themeColor="background1" w:themeShade="BF"/>
            </w:tcBorders>
            <w:shd w:val="clear" w:color="auto" w:fill="auto"/>
            <w:hideMark/>
          </w:tcPr>
          <w:p w14:paraId="10120B3F" w14:textId="77777777" w:rsidR="00B0569D" w:rsidRPr="00D02A2E" w:rsidRDefault="00B0569D" w:rsidP="00B0569D">
            <w:pPr>
              <w:pStyle w:val="ARtabletextcentre"/>
            </w:pPr>
            <w:r w:rsidRPr="00C5726C">
              <w:rPr>
                <w:noProof/>
              </w:rPr>
              <w:t>per cent</w:t>
            </w:r>
          </w:p>
        </w:tc>
        <w:tc>
          <w:tcPr>
            <w:tcW w:w="1021" w:type="dxa"/>
            <w:tcBorders>
              <w:bottom w:val="single" w:sz="4" w:space="0" w:color="BFBFBF" w:themeColor="background1" w:themeShade="BF"/>
            </w:tcBorders>
            <w:shd w:val="clear" w:color="auto" w:fill="auto"/>
            <w:hideMark/>
          </w:tcPr>
          <w:p w14:paraId="1F461E1F" w14:textId="77777777" w:rsidR="00B0569D" w:rsidRDefault="00B0569D" w:rsidP="00B0569D">
            <w:pPr>
              <w:pStyle w:val="ARtabletextright"/>
            </w:pPr>
            <w:r w:rsidRPr="00C5726C">
              <w:rPr>
                <w:noProof/>
              </w:rPr>
              <w:t>85</w:t>
            </w:r>
          </w:p>
        </w:tc>
        <w:tc>
          <w:tcPr>
            <w:tcW w:w="1021" w:type="dxa"/>
            <w:tcBorders>
              <w:bottom w:val="single" w:sz="4" w:space="0" w:color="BFBFBF" w:themeColor="background1" w:themeShade="BF"/>
            </w:tcBorders>
            <w:shd w:val="clear" w:color="auto" w:fill="auto"/>
            <w:hideMark/>
          </w:tcPr>
          <w:p w14:paraId="5FFE4182" w14:textId="77777777" w:rsidR="00B0569D" w:rsidRDefault="00B0569D" w:rsidP="00B0569D">
            <w:pPr>
              <w:pStyle w:val="ARtabletextright"/>
            </w:pPr>
            <w:r>
              <w:rPr>
                <w:noProof/>
              </w:rPr>
              <w:t>93</w:t>
            </w:r>
          </w:p>
        </w:tc>
        <w:tc>
          <w:tcPr>
            <w:tcW w:w="1021" w:type="dxa"/>
            <w:tcBorders>
              <w:bottom w:val="single" w:sz="4" w:space="0" w:color="BFBFBF" w:themeColor="background1" w:themeShade="BF"/>
            </w:tcBorders>
            <w:shd w:val="clear" w:color="auto" w:fill="auto"/>
          </w:tcPr>
          <w:p w14:paraId="3824058C" w14:textId="77777777" w:rsidR="00B0569D" w:rsidRDefault="00B0569D" w:rsidP="00B0569D">
            <w:pPr>
              <w:pStyle w:val="ARtabletextright"/>
            </w:pPr>
            <w:r>
              <w:rPr>
                <w:noProof/>
              </w:rPr>
              <w:t>9.4</w:t>
            </w:r>
          </w:p>
        </w:tc>
        <w:tc>
          <w:tcPr>
            <w:tcW w:w="794" w:type="dxa"/>
            <w:tcBorders>
              <w:bottom w:val="single" w:sz="4" w:space="0" w:color="BFBFBF" w:themeColor="background1" w:themeShade="BF"/>
            </w:tcBorders>
            <w:shd w:val="clear" w:color="auto" w:fill="auto"/>
            <w:hideMark/>
          </w:tcPr>
          <w:p w14:paraId="58F5A639" w14:textId="62EAB070" w:rsidR="00B0569D" w:rsidRPr="00D02A2E" w:rsidRDefault="00CF2633" w:rsidP="00C575AB">
            <w:pPr>
              <w:pStyle w:val="ARtableperformancesymbol"/>
            </w:pPr>
            <w:r>
              <w:rPr>
                <w:noProof/>
              </w:rPr>
              <w:drawing>
                <wp:inline distT="0" distB="0" distL="0" distR="0" wp14:anchorId="3F6C47C2" wp14:editId="3809A8A1">
                  <wp:extent cx="85320" cy="85320"/>
                  <wp:effectExtent l="0" t="0" r="0" b="0"/>
                  <wp:docPr id="157" name="Graphic 157"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B0569D" w:rsidRPr="00D02A2E" w14:paraId="171C4A96" w14:textId="77777777" w:rsidTr="000F1C6B">
        <w:trPr>
          <w:cantSplit/>
        </w:trPr>
        <w:tc>
          <w:tcPr>
            <w:tcW w:w="4761" w:type="dxa"/>
            <w:tcBorders>
              <w:top w:val="single" w:sz="4" w:space="0" w:color="BFBFBF" w:themeColor="background1" w:themeShade="BF"/>
            </w:tcBorders>
            <w:shd w:val="clear" w:color="auto" w:fill="auto"/>
            <w:hideMark/>
          </w:tcPr>
          <w:p w14:paraId="2D82B2A7" w14:textId="77777777" w:rsidR="00B0569D" w:rsidRPr="00D02A2E" w:rsidRDefault="00B0569D" w:rsidP="00B0569D">
            <w:pPr>
              <w:pStyle w:val="ARtabletext"/>
            </w:pPr>
            <w:r w:rsidRPr="00C5726C">
              <w:rPr>
                <w:noProof/>
              </w:rPr>
              <w:t>Percentage of new clients to existing clients</w:t>
            </w:r>
          </w:p>
        </w:tc>
        <w:tc>
          <w:tcPr>
            <w:tcW w:w="1021" w:type="dxa"/>
            <w:tcBorders>
              <w:top w:val="single" w:sz="4" w:space="0" w:color="BFBFBF" w:themeColor="background1" w:themeShade="BF"/>
            </w:tcBorders>
            <w:shd w:val="clear" w:color="auto" w:fill="auto"/>
            <w:hideMark/>
          </w:tcPr>
          <w:p w14:paraId="0A0C8185" w14:textId="77777777" w:rsidR="00B0569D" w:rsidRPr="00D02A2E" w:rsidRDefault="00B0569D" w:rsidP="00B0569D">
            <w:pPr>
              <w:pStyle w:val="ARtabletextcentre"/>
            </w:pPr>
            <w:r w:rsidRPr="00C5726C">
              <w:rPr>
                <w:noProof/>
              </w:rPr>
              <w:t>per cent</w:t>
            </w:r>
          </w:p>
        </w:tc>
        <w:tc>
          <w:tcPr>
            <w:tcW w:w="1021" w:type="dxa"/>
            <w:tcBorders>
              <w:top w:val="single" w:sz="4" w:space="0" w:color="BFBFBF" w:themeColor="background1" w:themeShade="BF"/>
            </w:tcBorders>
            <w:shd w:val="clear" w:color="auto" w:fill="auto"/>
            <w:hideMark/>
          </w:tcPr>
          <w:p w14:paraId="1CD17E6C" w14:textId="77777777" w:rsidR="00B0569D" w:rsidRDefault="00B0569D" w:rsidP="00B0569D">
            <w:pPr>
              <w:pStyle w:val="ARtabletextright"/>
            </w:pPr>
            <w:r w:rsidRPr="00C5726C">
              <w:rPr>
                <w:noProof/>
              </w:rPr>
              <w:t>50</w:t>
            </w:r>
          </w:p>
        </w:tc>
        <w:tc>
          <w:tcPr>
            <w:tcW w:w="1021" w:type="dxa"/>
            <w:tcBorders>
              <w:top w:val="single" w:sz="4" w:space="0" w:color="BFBFBF" w:themeColor="background1" w:themeShade="BF"/>
            </w:tcBorders>
            <w:shd w:val="clear" w:color="auto" w:fill="auto"/>
            <w:hideMark/>
          </w:tcPr>
          <w:p w14:paraId="2BEBA411" w14:textId="77777777" w:rsidR="00B0569D" w:rsidRDefault="00B0569D" w:rsidP="00B0569D">
            <w:pPr>
              <w:pStyle w:val="ARtabletextright"/>
            </w:pPr>
            <w:r>
              <w:rPr>
                <w:noProof/>
              </w:rPr>
              <w:t>56.1</w:t>
            </w:r>
          </w:p>
        </w:tc>
        <w:tc>
          <w:tcPr>
            <w:tcW w:w="1021" w:type="dxa"/>
            <w:tcBorders>
              <w:top w:val="single" w:sz="4" w:space="0" w:color="BFBFBF" w:themeColor="background1" w:themeShade="BF"/>
            </w:tcBorders>
            <w:shd w:val="clear" w:color="auto" w:fill="auto"/>
          </w:tcPr>
          <w:p w14:paraId="0A01E7D0" w14:textId="77777777" w:rsidR="00B0569D" w:rsidRDefault="00B0569D" w:rsidP="00B0569D">
            <w:pPr>
              <w:pStyle w:val="ARtabletextright"/>
            </w:pPr>
            <w:r>
              <w:rPr>
                <w:noProof/>
              </w:rPr>
              <w:t>12.2</w:t>
            </w:r>
          </w:p>
        </w:tc>
        <w:tc>
          <w:tcPr>
            <w:tcW w:w="794" w:type="dxa"/>
            <w:tcBorders>
              <w:top w:val="single" w:sz="4" w:space="0" w:color="BFBFBF" w:themeColor="background1" w:themeShade="BF"/>
            </w:tcBorders>
            <w:shd w:val="clear" w:color="auto" w:fill="auto"/>
            <w:hideMark/>
          </w:tcPr>
          <w:p w14:paraId="0626BC8E" w14:textId="4D6938DB" w:rsidR="00B0569D" w:rsidRPr="00D02A2E" w:rsidRDefault="00CF2633" w:rsidP="00C575AB">
            <w:pPr>
              <w:pStyle w:val="ARtableperformancesymbol"/>
            </w:pPr>
            <w:r>
              <w:rPr>
                <w:noProof/>
              </w:rPr>
              <w:drawing>
                <wp:inline distT="0" distB="0" distL="0" distR="0" wp14:anchorId="16E9A0E3" wp14:editId="1BCDD120">
                  <wp:extent cx="85320" cy="85320"/>
                  <wp:effectExtent l="0" t="0" r="0" b="0"/>
                  <wp:docPr id="158" name="Graphic 158"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B0569D" w:rsidRPr="00D02A2E" w14:paraId="6F5C994C" w14:textId="77777777" w:rsidTr="000F1C6B">
        <w:trPr>
          <w:cantSplit/>
        </w:trPr>
        <w:tc>
          <w:tcPr>
            <w:tcW w:w="9639" w:type="dxa"/>
            <w:gridSpan w:val="6"/>
            <w:tcBorders>
              <w:bottom w:val="single" w:sz="4" w:space="0" w:color="BFBFBF"/>
            </w:tcBorders>
            <w:shd w:val="clear" w:color="auto" w:fill="auto"/>
            <w:noWrap/>
            <w:hideMark/>
          </w:tcPr>
          <w:p w14:paraId="33661C68" w14:textId="77777777" w:rsidR="00B0569D" w:rsidRPr="00D02A2E" w:rsidRDefault="00B0569D" w:rsidP="00B0569D">
            <w:pPr>
              <w:pStyle w:val="ARtablenoteindent"/>
            </w:pPr>
            <w:r w:rsidRPr="00C5726C">
              <w:rPr>
                <w:noProof/>
              </w:rPr>
              <w:t>This is a positive result with more new clients being able to acccess the system.</w:t>
            </w:r>
          </w:p>
        </w:tc>
      </w:tr>
      <w:tr w:rsidR="00B0569D" w:rsidRPr="00D02A2E" w14:paraId="27C7D2FF" w14:textId="77777777" w:rsidTr="000F1C6B">
        <w:trPr>
          <w:cantSplit/>
        </w:trPr>
        <w:tc>
          <w:tcPr>
            <w:tcW w:w="4761" w:type="dxa"/>
            <w:shd w:val="clear" w:color="auto" w:fill="auto"/>
            <w:hideMark/>
          </w:tcPr>
          <w:p w14:paraId="4E71D871" w14:textId="77777777" w:rsidR="00B0569D" w:rsidRPr="00D02A2E" w:rsidRDefault="00B0569D" w:rsidP="00B0569D">
            <w:pPr>
              <w:pStyle w:val="ARtabletext"/>
            </w:pPr>
            <w:r w:rsidRPr="00C5726C">
              <w:rPr>
                <w:noProof/>
              </w:rPr>
              <w:t>Percentage of residential rehabilitation clients remaining in treatment for ten days or more</w:t>
            </w:r>
          </w:p>
        </w:tc>
        <w:tc>
          <w:tcPr>
            <w:tcW w:w="1021" w:type="dxa"/>
            <w:shd w:val="clear" w:color="auto" w:fill="auto"/>
            <w:hideMark/>
          </w:tcPr>
          <w:p w14:paraId="00894D2F" w14:textId="77777777" w:rsidR="00B0569D" w:rsidRPr="00D02A2E" w:rsidRDefault="00B0569D" w:rsidP="00B0569D">
            <w:pPr>
              <w:pStyle w:val="ARtabletextcentre"/>
            </w:pPr>
            <w:r w:rsidRPr="00C5726C">
              <w:rPr>
                <w:noProof/>
              </w:rPr>
              <w:t>per cent</w:t>
            </w:r>
          </w:p>
        </w:tc>
        <w:tc>
          <w:tcPr>
            <w:tcW w:w="1021" w:type="dxa"/>
            <w:shd w:val="clear" w:color="auto" w:fill="auto"/>
            <w:hideMark/>
          </w:tcPr>
          <w:p w14:paraId="2E62A74B" w14:textId="77777777" w:rsidR="00B0569D" w:rsidRDefault="00B0569D" w:rsidP="00B0569D">
            <w:pPr>
              <w:pStyle w:val="ARtabletextright"/>
            </w:pPr>
            <w:r w:rsidRPr="00C5726C">
              <w:rPr>
                <w:noProof/>
              </w:rPr>
              <w:t>80</w:t>
            </w:r>
          </w:p>
        </w:tc>
        <w:tc>
          <w:tcPr>
            <w:tcW w:w="1021" w:type="dxa"/>
            <w:shd w:val="clear" w:color="auto" w:fill="auto"/>
            <w:hideMark/>
          </w:tcPr>
          <w:p w14:paraId="19B8A9F6" w14:textId="77777777" w:rsidR="00B0569D" w:rsidRDefault="00B0569D" w:rsidP="00B0569D">
            <w:pPr>
              <w:pStyle w:val="ARtabletextright"/>
            </w:pPr>
            <w:r w:rsidRPr="00C5726C">
              <w:rPr>
                <w:noProof/>
              </w:rPr>
              <w:t>81.</w:t>
            </w:r>
            <w:r>
              <w:rPr>
                <w:noProof/>
              </w:rPr>
              <w:t>7</w:t>
            </w:r>
          </w:p>
        </w:tc>
        <w:tc>
          <w:tcPr>
            <w:tcW w:w="1021" w:type="dxa"/>
            <w:shd w:val="clear" w:color="auto" w:fill="auto"/>
          </w:tcPr>
          <w:p w14:paraId="5C5D0CCF" w14:textId="77777777" w:rsidR="00B0569D" w:rsidRDefault="00B0569D" w:rsidP="00B0569D">
            <w:pPr>
              <w:pStyle w:val="ARtabletextright"/>
            </w:pPr>
            <w:r>
              <w:rPr>
                <w:noProof/>
              </w:rPr>
              <w:t>2.</w:t>
            </w:r>
            <w:r w:rsidRPr="00C5726C">
              <w:rPr>
                <w:noProof/>
              </w:rPr>
              <w:t>1</w:t>
            </w:r>
          </w:p>
        </w:tc>
        <w:tc>
          <w:tcPr>
            <w:tcW w:w="794" w:type="dxa"/>
            <w:shd w:val="clear" w:color="auto" w:fill="auto"/>
            <w:hideMark/>
          </w:tcPr>
          <w:p w14:paraId="78C13980" w14:textId="3D7A9C88" w:rsidR="00B0569D" w:rsidRPr="00D02A2E" w:rsidRDefault="00CF2633" w:rsidP="00C575AB">
            <w:pPr>
              <w:pStyle w:val="ARtableperformancesymbol"/>
            </w:pPr>
            <w:r>
              <w:rPr>
                <w:noProof/>
              </w:rPr>
              <w:drawing>
                <wp:inline distT="0" distB="0" distL="0" distR="0" wp14:anchorId="1E35A0BA" wp14:editId="0A63CB54">
                  <wp:extent cx="85320" cy="85320"/>
                  <wp:effectExtent l="0" t="0" r="0" b="0"/>
                  <wp:docPr id="159" name="Graphic 159"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B0569D" w:rsidRPr="00D02A2E" w14:paraId="7CD7FB95" w14:textId="77777777" w:rsidTr="000F1C6B">
        <w:trPr>
          <w:cantSplit/>
        </w:trPr>
        <w:tc>
          <w:tcPr>
            <w:tcW w:w="9639" w:type="dxa"/>
            <w:gridSpan w:val="6"/>
            <w:tcBorders>
              <w:bottom w:val="single" w:sz="4" w:space="0" w:color="BFBFBF"/>
            </w:tcBorders>
            <w:shd w:val="clear" w:color="auto" w:fill="auto"/>
            <w:noWrap/>
            <w:hideMark/>
          </w:tcPr>
          <w:p w14:paraId="37F63EE7" w14:textId="77777777" w:rsidR="00B0569D" w:rsidRPr="00D02A2E" w:rsidRDefault="00B0569D" w:rsidP="00B0569D">
            <w:pPr>
              <w:pStyle w:val="ARtablenoteindent"/>
            </w:pPr>
            <w:r w:rsidRPr="00C5726C">
              <w:rPr>
                <w:noProof/>
              </w:rPr>
              <w:t>This is a positive result with more clients remaining on the treatment program.</w:t>
            </w:r>
          </w:p>
        </w:tc>
      </w:tr>
      <w:tr w:rsidR="00B0569D" w:rsidRPr="00D02A2E" w14:paraId="799C4832" w14:textId="77777777" w:rsidTr="000F1C6B">
        <w:trPr>
          <w:cantSplit/>
        </w:trPr>
        <w:tc>
          <w:tcPr>
            <w:tcW w:w="4761" w:type="dxa"/>
            <w:shd w:val="clear" w:color="auto" w:fill="auto"/>
            <w:hideMark/>
          </w:tcPr>
          <w:p w14:paraId="04DB70E7" w14:textId="77777777" w:rsidR="00B0569D" w:rsidRPr="00D02A2E" w:rsidRDefault="00B0569D" w:rsidP="00B0569D">
            <w:pPr>
              <w:pStyle w:val="ARtabletext"/>
            </w:pPr>
            <w:r w:rsidRPr="00C5726C">
              <w:rPr>
                <w:noProof/>
              </w:rPr>
              <w:t>Successful courses of treatment (episodes of care) – community-based drug treatment services</w:t>
            </w:r>
          </w:p>
        </w:tc>
        <w:tc>
          <w:tcPr>
            <w:tcW w:w="1021" w:type="dxa"/>
            <w:shd w:val="clear" w:color="auto" w:fill="auto"/>
            <w:hideMark/>
          </w:tcPr>
          <w:p w14:paraId="71870570" w14:textId="77777777" w:rsidR="00B0569D" w:rsidRPr="00D02A2E" w:rsidRDefault="00B0569D" w:rsidP="00B0569D">
            <w:pPr>
              <w:pStyle w:val="ARtabletextcentre"/>
            </w:pPr>
            <w:r w:rsidRPr="00C5726C">
              <w:rPr>
                <w:noProof/>
              </w:rPr>
              <w:t>number</w:t>
            </w:r>
          </w:p>
        </w:tc>
        <w:tc>
          <w:tcPr>
            <w:tcW w:w="1021" w:type="dxa"/>
            <w:shd w:val="clear" w:color="auto" w:fill="auto"/>
            <w:hideMark/>
          </w:tcPr>
          <w:p w14:paraId="63E88A61" w14:textId="77777777" w:rsidR="00B0569D" w:rsidRDefault="00B0569D" w:rsidP="00B0569D">
            <w:pPr>
              <w:pStyle w:val="ARtabletextright"/>
            </w:pPr>
            <w:r w:rsidRPr="00C5726C">
              <w:rPr>
                <w:noProof/>
              </w:rPr>
              <w:t>7</w:t>
            </w:r>
            <w:r>
              <w:rPr>
                <w:noProof/>
              </w:rPr>
              <w:t>,</w:t>
            </w:r>
            <w:r w:rsidRPr="00C5726C">
              <w:rPr>
                <w:noProof/>
              </w:rPr>
              <w:t>385</w:t>
            </w:r>
          </w:p>
        </w:tc>
        <w:tc>
          <w:tcPr>
            <w:tcW w:w="1021" w:type="dxa"/>
            <w:shd w:val="clear" w:color="auto" w:fill="auto"/>
            <w:hideMark/>
          </w:tcPr>
          <w:p w14:paraId="6B118C45" w14:textId="77777777" w:rsidR="00B0569D" w:rsidRDefault="00B0569D" w:rsidP="00B0569D">
            <w:pPr>
              <w:pStyle w:val="ARtabletextright"/>
            </w:pPr>
            <w:r w:rsidRPr="00C5726C">
              <w:rPr>
                <w:noProof/>
              </w:rPr>
              <w:t>10</w:t>
            </w:r>
            <w:r>
              <w:rPr>
                <w:noProof/>
              </w:rPr>
              <w:t>,966</w:t>
            </w:r>
          </w:p>
        </w:tc>
        <w:tc>
          <w:tcPr>
            <w:tcW w:w="1021" w:type="dxa"/>
            <w:shd w:val="clear" w:color="auto" w:fill="auto"/>
          </w:tcPr>
          <w:p w14:paraId="1B3F1586" w14:textId="77777777" w:rsidR="00B0569D" w:rsidRDefault="00B0569D" w:rsidP="00B0569D">
            <w:pPr>
              <w:pStyle w:val="ARtabletextright"/>
            </w:pPr>
            <w:r w:rsidRPr="00C5726C">
              <w:rPr>
                <w:noProof/>
              </w:rPr>
              <w:t>4</w:t>
            </w:r>
            <w:r>
              <w:rPr>
                <w:noProof/>
              </w:rPr>
              <w:t>8.5</w:t>
            </w:r>
          </w:p>
        </w:tc>
        <w:tc>
          <w:tcPr>
            <w:tcW w:w="794" w:type="dxa"/>
            <w:shd w:val="clear" w:color="auto" w:fill="auto"/>
            <w:hideMark/>
          </w:tcPr>
          <w:p w14:paraId="5E29833B" w14:textId="4298C4C0" w:rsidR="00B0569D" w:rsidRPr="00D02A2E" w:rsidRDefault="00CF2633" w:rsidP="00C575AB">
            <w:pPr>
              <w:pStyle w:val="ARtableperformancesymbol"/>
            </w:pPr>
            <w:r>
              <w:rPr>
                <w:noProof/>
              </w:rPr>
              <w:drawing>
                <wp:inline distT="0" distB="0" distL="0" distR="0" wp14:anchorId="0C887677" wp14:editId="6A356C79">
                  <wp:extent cx="85320" cy="85320"/>
                  <wp:effectExtent l="0" t="0" r="0" b="0"/>
                  <wp:docPr id="160" name="Graphic 160"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B0569D" w:rsidRPr="00D02A2E" w14:paraId="0ED89006" w14:textId="77777777" w:rsidTr="000F1C6B">
        <w:trPr>
          <w:cantSplit/>
        </w:trPr>
        <w:tc>
          <w:tcPr>
            <w:tcW w:w="9639" w:type="dxa"/>
            <w:gridSpan w:val="6"/>
            <w:tcBorders>
              <w:bottom w:val="single" w:sz="4" w:space="0" w:color="BFBFBF"/>
            </w:tcBorders>
            <w:shd w:val="clear" w:color="auto" w:fill="auto"/>
            <w:noWrap/>
            <w:hideMark/>
          </w:tcPr>
          <w:p w14:paraId="7B8A973A" w14:textId="77777777" w:rsidR="00B0569D" w:rsidRPr="00D02A2E" w:rsidRDefault="00B0569D" w:rsidP="00B0569D">
            <w:pPr>
              <w:pStyle w:val="ARtablenoteindent"/>
            </w:pPr>
            <w:r w:rsidRPr="00C5726C">
              <w:rPr>
                <w:noProof/>
              </w:rPr>
              <w:t>Historically</w:t>
            </w:r>
            <w:r>
              <w:rPr>
                <w:noProof/>
              </w:rPr>
              <w:t>,</w:t>
            </w:r>
            <w:r w:rsidRPr="00C5726C">
              <w:rPr>
                <w:noProof/>
              </w:rPr>
              <w:t xml:space="preserve"> performance has exceeded targets for this measure.</w:t>
            </w:r>
            <w:r>
              <w:rPr>
                <w:noProof/>
              </w:rPr>
              <w:t xml:space="preserve"> </w:t>
            </w:r>
            <w:r w:rsidRPr="00C5726C">
              <w:rPr>
                <w:noProof/>
              </w:rPr>
              <w:t>The current result showing further overperformance may be due to the introduction of telephone-based client engagement as part of the public health response to COVID-19</w:t>
            </w:r>
            <w:r>
              <w:rPr>
                <w:noProof/>
              </w:rPr>
              <w:t>,</w:t>
            </w:r>
            <w:r w:rsidRPr="00C5726C">
              <w:rPr>
                <w:noProof/>
              </w:rPr>
              <w:t xml:space="preserve"> which has supported a higher volume of commenced courses of treatment during this period.</w:t>
            </w:r>
            <w:r>
              <w:rPr>
                <w:noProof/>
              </w:rPr>
              <w:t xml:space="preserve"> </w:t>
            </w:r>
            <w:r w:rsidRPr="00C5726C">
              <w:rPr>
                <w:noProof/>
              </w:rPr>
              <w:t xml:space="preserve">It also may be a result of increased demand relating to COVID-19 and </w:t>
            </w:r>
            <w:r>
              <w:rPr>
                <w:noProof/>
              </w:rPr>
              <w:t xml:space="preserve">the deteriorating mental health of </w:t>
            </w:r>
            <w:r w:rsidRPr="00C5726C">
              <w:rPr>
                <w:noProof/>
              </w:rPr>
              <w:t xml:space="preserve">young people and Aboriginal communities and </w:t>
            </w:r>
            <w:r>
              <w:rPr>
                <w:noProof/>
              </w:rPr>
              <w:t>their use of alcohol and other drugs</w:t>
            </w:r>
            <w:r w:rsidRPr="00C5726C">
              <w:rPr>
                <w:noProof/>
              </w:rPr>
              <w:t>.</w:t>
            </w:r>
          </w:p>
        </w:tc>
      </w:tr>
      <w:tr w:rsidR="00B0569D" w:rsidRPr="00D02A2E" w14:paraId="656E1FBC" w14:textId="77777777" w:rsidTr="000F1C6B">
        <w:trPr>
          <w:cantSplit/>
        </w:trPr>
        <w:tc>
          <w:tcPr>
            <w:tcW w:w="4761" w:type="dxa"/>
            <w:shd w:val="clear" w:color="auto" w:fill="auto"/>
            <w:hideMark/>
          </w:tcPr>
          <w:p w14:paraId="2519E4B6" w14:textId="77777777" w:rsidR="00B0569D" w:rsidRPr="00D02A2E" w:rsidRDefault="00B0569D" w:rsidP="00B0569D">
            <w:pPr>
              <w:pStyle w:val="ARtabletext"/>
            </w:pPr>
            <w:r w:rsidRPr="00C5726C">
              <w:rPr>
                <w:noProof/>
              </w:rPr>
              <w:t>Percentage of residential withdrawal clients remaining in treatment for two days or more</w:t>
            </w:r>
          </w:p>
        </w:tc>
        <w:tc>
          <w:tcPr>
            <w:tcW w:w="1021" w:type="dxa"/>
            <w:shd w:val="clear" w:color="auto" w:fill="auto"/>
            <w:hideMark/>
          </w:tcPr>
          <w:p w14:paraId="6D67EC3C" w14:textId="77777777" w:rsidR="00B0569D" w:rsidRPr="00D02A2E" w:rsidRDefault="00B0569D" w:rsidP="00B0569D">
            <w:pPr>
              <w:pStyle w:val="ARtabletextcentre"/>
            </w:pPr>
            <w:r w:rsidRPr="00C5726C">
              <w:rPr>
                <w:noProof/>
              </w:rPr>
              <w:t>per cent</w:t>
            </w:r>
          </w:p>
        </w:tc>
        <w:tc>
          <w:tcPr>
            <w:tcW w:w="1021" w:type="dxa"/>
            <w:shd w:val="clear" w:color="auto" w:fill="auto"/>
            <w:hideMark/>
          </w:tcPr>
          <w:p w14:paraId="46DEBCFF" w14:textId="77777777" w:rsidR="00B0569D" w:rsidRDefault="00B0569D" w:rsidP="00B0569D">
            <w:pPr>
              <w:pStyle w:val="ARtabletextright"/>
            </w:pPr>
            <w:r w:rsidRPr="00C5726C">
              <w:rPr>
                <w:noProof/>
              </w:rPr>
              <w:t>80</w:t>
            </w:r>
          </w:p>
        </w:tc>
        <w:tc>
          <w:tcPr>
            <w:tcW w:w="1021" w:type="dxa"/>
            <w:shd w:val="clear" w:color="auto" w:fill="auto"/>
            <w:hideMark/>
          </w:tcPr>
          <w:p w14:paraId="6A055E92" w14:textId="77777777" w:rsidR="00B0569D" w:rsidRDefault="00B0569D" w:rsidP="00B0569D">
            <w:pPr>
              <w:pStyle w:val="ARtabletextright"/>
            </w:pPr>
            <w:r w:rsidRPr="00C5726C">
              <w:rPr>
                <w:noProof/>
              </w:rPr>
              <w:t>95.5</w:t>
            </w:r>
          </w:p>
        </w:tc>
        <w:tc>
          <w:tcPr>
            <w:tcW w:w="1021" w:type="dxa"/>
            <w:shd w:val="clear" w:color="auto" w:fill="auto"/>
          </w:tcPr>
          <w:p w14:paraId="6B0A025E" w14:textId="77777777" w:rsidR="00B0569D" w:rsidRDefault="00B0569D" w:rsidP="00B0569D">
            <w:pPr>
              <w:pStyle w:val="ARtabletextright"/>
            </w:pPr>
            <w:r w:rsidRPr="00C5726C">
              <w:rPr>
                <w:noProof/>
              </w:rPr>
              <w:t>19.</w:t>
            </w:r>
            <w:r>
              <w:rPr>
                <w:noProof/>
              </w:rPr>
              <w:t>4</w:t>
            </w:r>
          </w:p>
        </w:tc>
        <w:tc>
          <w:tcPr>
            <w:tcW w:w="794" w:type="dxa"/>
            <w:shd w:val="clear" w:color="auto" w:fill="auto"/>
            <w:hideMark/>
          </w:tcPr>
          <w:p w14:paraId="7A09CF99" w14:textId="329C59AB" w:rsidR="00B0569D" w:rsidRPr="00D02A2E" w:rsidRDefault="00CF2633" w:rsidP="00C575AB">
            <w:pPr>
              <w:pStyle w:val="ARtableperformancesymbol"/>
            </w:pPr>
            <w:r>
              <w:rPr>
                <w:noProof/>
              </w:rPr>
              <w:drawing>
                <wp:inline distT="0" distB="0" distL="0" distR="0" wp14:anchorId="7A0A55B4" wp14:editId="7986C89B">
                  <wp:extent cx="85320" cy="85320"/>
                  <wp:effectExtent l="0" t="0" r="0" b="0"/>
                  <wp:docPr id="161" name="Graphic 161"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B0569D" w:rsidRPr="00D02A2E" w14:paraId="22A0C518" w14:textId="77777777" w:rsidTr="000F1C6B">
        <w:trPr>
          <w:cantSplit/>
        </w:trPr>
        <w:tc>
          <w:tcPr>
            <w:tcW w:w="9639" w:type="dxa"/>
            <w:gridSpan w:val="6"/>
            <w:tcBorders>
              <w:bottom w:val="single" w:sz="4" w:space="0" w:color="BFBFBF"/>
            </w:tcBorders>
            <w:shd w:val="clear" w:color="auto" w:fill="auto"/>
            <w:noWrap/>
            <w:hideMark/>
          </w:tcPr>
          <w:p w14:paraId="4CC45294" w14:textId="77777777" w:rsidR="00B0569D" w:rsidRPr="00D02A2E" w:rsidRDefault="00B0569D" w:rsidP="00B0569D">
            <w:pPr>
              <w:pStyle w:val="ARtablenoteindent"/>
            </w:pPr>
            <w:r w:rsidRPr="00C5726C">
              <w:rPr>
                <w:noProof/>
              </w:rPr>
              <w:t>An increase</w:t>
            </w:r>
            <w:r>
              <w:rPr>
                <w:noProof/>
              </w:rPr>
              <w:t xml:space="preserve"> in</w:t>
            </w:r>
            <w:r w:rsidRPr="00C5726C">
              <w:rPr>
                <w:noProof/>
              </w:rPr>
              <w:t xml:space="preserve"> the number of days clients remain in residential treatment may be attributed in part to improved client experience due to higher staff to client ratios and lower client numbers in facilities.</w:t>
            </w:r>
            <w:r>
              <w:rPr>
                <w:noProof/>
              </w:rPr>
              <w:t xml:space="preserve"> </w:t>
            </w:r>
            <w:r w:rsidRPr="00C5726C">
              <w:rPr>
                <w:noProof/>
              </w:rPr>
              <w:t>These changes have resulted from increased infection control measures whereby fewer beds are offered in order to ensure only one client per bathroom for example.</w:t>
            </w:r>
            <w:r>
              <w:rPr>
                <w:noProof/>
              </w:rPr>
              <w:t xml:space="preserve"> </w:t>
            </w:r>
            <w:r w:rsidRPr="00C5726C">
              <w:rPr>
                <w:noProof/>
              </w:rPr>
              <w:t>The impact of COVID-19 restrictions may have also impacted on length of stay</w:t>
            </w:r>
            <w:r>
              <w:rPr>
                <w:noProof/>
              </w:rPr>
              <w:t>,</w:t>
            </w:r>
            <w:r w:rsidRPr="00C5726C">
              <w:rPr>
                <w:noProof/>
              </w:rPr>
              <w:t xml:space="preserve"> given the support and security that residential treatment is able to provide. Discharge processes </w:t>
            </w:r>
            <w:r>
              <w:rPr>
                <w:noProof/>
              </w:rPr>
              <w:t xml:space="preserve">are </w:t>
            </w:r>
            <w:r w:rsidRPr="00C5726C">
              <w:rPr>
                <w:noProof/>
              </w:rPr>
              <w:t xml:space="preserve">more complex due to </w:t>
            </w:r>
            <w:r>
              <w:rPr>
                <w:noProof/>
              </w:rPr>
              <w:t xml:space="preserve">the impact of </w:t>
            </w:r>
            <w:r w:rsidRPr="00C5726C">
              <w:rPr>
                <w:noProof/>
              </w:rPr>
              <w:t>COVID-19 on community</w:t>
            </w:r>
            <w:r>
              <w:rPr>
                <w:noProof/>
              </w:rPr>
              <w:t>-</w:t>
            </w:r>
            <w:r w:rsidRPr="00C5726C">
              <w:rPr>
                <w:noProof/>
              </w:rPr>
              <w:t>based service provision</w:t>
            </w:r>
            <w:r>
              <w:rPr>
                <w:noProof/>
              </w:rPr>
              <w:t>.</w:t>
            </w:r>
          </w:p>
        </w:tc>
      </w:tr>
      <w:tr w:rsidR="00B0569D" w:rsidRPr="00D02A2E" w14:paraId="3A8E7AD5" w14:textId="77777777" w:rsidTr="000F1C6B">
        <w:trPr>
          <w:cantSplit/>
        </w:trPr>
        <w:tc>
          <w:tcPr>
            <w:tcW w:w="9639" w:type="dxa"/>
            <w:gridSpan w:val="6"/>
            <w:tcBorders>
              <w:top w:val="single" w:sz="4" w:space="0" w:color="auto"/>
            </w:tcBorders>
            <w:shd w:val="clear" w:color="auto" w:fill="auto"/>
            <w:hideMark/>
          </w:tcPr>
          <w:p w14:paraId="0CB5EE95" w14:textId="77777777" w:rsidR="00B0569D" w:rsidRPr="00D02A2E" w:rsidRDefault="00B0569D" w:rsidP="00B0569D">
            <w:pPr>
              <w:pStyle w:val="ARtablegreybold"/>
              <w:rPr>
                <w:rFonts w:ascii="Wingdings" w:hAnsi="Wingdings"/>
              </w:rPr>
            </w:pPr>
            <w:r>
              <w:t>Timeliness</w:t>
            </w:r>
          </w:p>
        </w:tc>
      </w:tr>
      <w:tr w:rsidR="00B0569D" w:rsidRPr="00D02A2E" w14:paraId="679F51F7" w14:textId="77777777" w:rsidTr="000F1C6B">
        <w:trPr>
          <w:cantSplit/>
        </w:trPr>
        <w:tc>
          <w:tcPr>
            <w:tcW w:w="4761" w:type="dxa"/>
            <w:shd w:val="clear" w:color="auto" w:fill="auto"/>
            <w:hideMark/>
          </w:tcPr>
          <w:p w14:paraId="070B19C5" w14:textId="77777777" w:rsidR="00B0569D" w:rsidRPr="00D02A2E" w:rsidRDefault="00B0569D" w:rsidP="00B0569D">
            <w:pPr>
              <w:pStyle w:val="ARtabletext"/>
            </w:pPr>
            <w:r w:rsidRPr="00C5726C">
              <w:rPr>
                <w:noProof/>
              </w:rPr>
              <w:t>Median wait time between intake and assessment</w:t>
            </w:r>
          </w:p>
        </w:tc>
        <w:tc>
          <w:tcPr>
            <w:tcW w:w="1021" w:type="dxa"/>
            <w:shd w:val="clear" w:color="auto" w:fill="auto"/>
            <w:hideMark/>
          </w:tcPr>
          <w:p w14:paraId="4FE84C9E" w14:textId="77777777" w:rsidR="00B0569D" w:rsidRPr="00D02A2E" w:rsidRDefault="00B0569D" w:rsidP="00B0569D">
            <w:pPr>
              <w:pStyle w:val="ARtabletextcentre"/>
            </w:pPr>
            <w:r w:rsidRPr="00C5726C">
              <w:rPr>
                <w:noProof/>
              </w:rPr>
              <w:t>days</w:t>
            </w:r>
          </w:p>
        </w:tc>
        <w:tc>
          <w:tcPr>
            <w:tcW w:w="1021" w:type="dxa"/>
            <w:shd w:val="clear" w:color="auto" w:fill="auto"/>
            <w:hideMark/>
          </w:tcPr>
          <w:p w14:paraId="1DD03021" w14:textId="77777777" w:rsidR="00B0569D" w:rsidRDefault="00B0569D" w:rsidP="00B0569D">
            <w:pPr>
              <w:pStyle w:val="ARtabletextright"/>
            </w:pPr>
            <w:r w:rsidRPr="00C5726C">
              <w:rPr>
                <w:noProof/>
              </w:rPr>
              <w:t>10</w:t>
            </w:r>
          </w:p>
        </w:tc>
        <w:tc>
          <w:tcPr>
            <w:tcW w:w="1021" w:type="dxa"/>
            <w:shd w:val="clear" w:color="auto" w:fill="auto"/>
            <w:hideMark/>
          </w:tcPr>
          <w:p w14:paraId="56D31696" w14:textId="77777777" w:rsidR="00B0569D" w:rsidRDefault="00B0569D" w:rsidP="00B0569D">
            <w:pPr>
              <w:pStyle w:val="ARtabletextright"/>
            </w:pPr>
            <w:r w:rsidRPr="00C5726C">
              <w:rPr>
                <w:noProof/>
              </w:rPr>
              <w:t>7.4</w:t>
            </w:r>
          </w:p>
        </w:tc>
        <w:tc>
          <w:tcPr>
            <w:tcW w:w="1021" w:type="dxa"/>
            <w:shd w:val="clear" w:color="auto" w:fill="auto"/>
          </w:tcPr>
          <w:p w14:paraId="7B1665F6" w14:textId="77777777" w:rsidR="00B0569D" w:rsidRDefault="00B0569D" w:rsidP="00B0569D">
            <w:pPr>
              <w:pStyle w:val="ARtabletextright"/>
            </w:pPr>
            <w:r>
              <w:rPr>
                <w:noProof/>
              </w:rPr>
              <w:t>−</w:t>
            </w:r>
            <w:r w:rsidRPr="00C5726C">
              <w:rPr>
                <w:noProof/>
              </w:rPr>
              <w:t>26</w:t>
            </w:r>
          </w:p>
        </w:tc>
        <w:tc>
          <w:tcPr>
            <w:tcW w:w="794" w:type="dxa"/>
            <w:shd w:val="clear" w:color="auto" w:fill="auto"/>
            <w:hideMark/>
          </w:tcPr>
          <w:p w14:paraId="255276AB" w14:textId="1AF2DC29" w:rsidR="00B0569D" w:rsidRPr="00D02A2E" w:rsidRDefault="00CF2633" w:rsidP="00B0569D">
            <w:pPr>
              <w:pStyle w:val="ARtabletextright"/>
            </w:pPr>
            <w:r>
              <w:rPr>
                <w:noProof/>
              </w:rPr>
              <w:drawing>
                <wp:inline distT="0" distB="0" distL="0" distR="0" wp14:anchorId="14B1AA14" wp14:editId="7ED689CB">
                  <wp:extent cx="85320" cy="85320"/>
                  <wp:effectExtent l="0" t="0" r="0" b="0"/>
                  <wp:docPr id="162" name="Graphic 162"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B0569D" w:rsidRPr="00D02A2E" w14:paraId="4E6A23C5" w14:textId="77777777" w:rsidTr="000F1C6B">
        <w:trPr>
          <w:cantSplit/>
        </w:trPr>
        <w:tc>
          <w:tcPr>
            <w:tcW w:w="9639" w:type="dxa"/>
            <w:gridSpan w:val="6"/>
            <w:tcBorders>
              <w:bottom w:val="single" w:sz="4" w:space="0" w:color="BFBFBF"/>
            </w:tcBorders>
            <w:shd w:val="clear" w:color="auto" w:fill="auto"/>
            <w:noWrap/>
            <w:hideMark/>
          </w:tcPr>
          <w:p w14:paraId="66185462" w14:textId="77777777" w:rsidR="00B0569D" w:rsidRPr="00D02A2E" w:rsidRDefault="00B0569D" w:rsidP="00B0569D">
            <w:pPr>
              <w:pStyle w:val="ARtablenoteindent"/>
            </w:pPr>
            <w:r w:rsidRPr="00C5726C">
              <w:rPr>
                <w:noProof/>
              </w:rPr>
              <w:t>This is a positive result. Consistent with the previous financial year, this variance suggests that clients are able to access treatment within a reasonable time following assessment.</w:t>
            </w:r>
          </w:p>
        </w:tc>
      </w:tr>
      <w:tr w:rsidR="00B0569D" w:rsidRPr="00D02A2E" w14:paraId="22CEDBA7" w14:textId="77777777" w:rsidTr="000F1C6B">
        <w:trPr>
          <w:cantSplit/>
        </w:trPr>
        <w:tc>
          <w:tcPr>
            <w:tcW w:w="4761" w:type="dxa"/>
            <w:shd w:val="clear" w:color="auto" w:fill="auto"/>
            <w:hideMark/>
          </w:tcPr>
          <w:p w14:paraId="58EB132F" w14:textId="77777777" w:rsidR="00B0569D" w:rsidRPr="00D02A2E" w:rsidRDefault="00B0569D" w:rsidP="00B0569D">
            <w:pPr>
              <w:pStyle w:val="ARtabletext"/>
            </w:pPr>
            <w:r w:rsidRPr="00C5726C">
              <w:rPr>
                <w:noProof/>
              </w:rPr>
              <w:t>Median wait time between assessment and commencement of treatment</w:t>
            </w:r>
          </w:p>
        </w:tc>
        <w:tc>
          <w:tcPr>
            <w:tcW w:w="1021" w:type="dxa"/>
            <w:shd w:val="clear" w:color="auto" w:fill="auto"/>
            <w:hideMark/>
          </w:tcPr>
          <w:p w14:paraId="4D4BCB03" w14:textId="77777777" w:rsidR="00B0569D" w:rsidRPr="00D02A2E" w:rsidRDefault="00B0569D" w:rsidP="00B0569D">
            <w:pPr>
              <w:pStyle w:val="ARtabletextcentre"/>
            </w:pPr>
            <w:r w:rsidRPr="00C5726C">
              <w:rPr>
                <w:noProof/>
              </w:rPr>
              <w:t>days</w:t>
            </w:r>
          </w:p>
        </w:tc>
        <w:tc>
          <w:tcPr>
            <w:tcW w:w="1021" w:type="dxa"/>
            <w:shd w:val="clear" w:color="auto" w:fill="auto"/>
            <w:hideMark/>
          </w:tcPr>
          <w:p w14:paraId="6FB8233B" w14:textId="77777777" w:rsidR="00B0569D" w:rsidRDefault="00B0569D" w:rsidP="00B0569D">
            <w:pPr>
              <w:pStyle w:val="ARtabletextright"/>
            </w:pPr>
            <w:r w:rsidRPr="00C5726C">
              <w:rPr>
                <w:noProof/>
              </w:rPr>
              <w:t>20</w:t>
            </w:r>
          </w:p>
        </w:tc>
        <w:tc>
          <w:tcPr>
            <w:tcW w:w="1021" w:type="dxa"/>
            <w:shd w:val="clear" w:color="auto" w:fill="auto"/>
            <w:hideMark/>
          </w:tcPr>
          <w:p w14:paraId="062C72EB" w14:textId="77777777" w:rsidR="00B0569D" w:rsidRDefault="00B0569D" w:rsidP="00B0569D">
            <w:pPr>
              <w:pStyle w:val="ARtabletextright"/>
            </w:pPr>
            <w:r>
              <w:rPr>
                <w:noProof/>
              </w:rPr>
              <w:t>13.1</w:t>
            </w:r>
          </w:p>
        </w:tc>
        <w:tc>
          <w:tcPr>
            <w:tcW w:w="1021" w:type="dxa"/>
            <w:shd w:val="clear" w:color="auto" w:fill="auto"/>
          </w:tcPr>
          <w:p w14:paraId="724144CF" w14:textId="77777777" w:rsidR="00B0569D" w:rsidRDefault="00B0569D" w:rsidP="00B0569D">
            <w:pPr>
              <w:pStyle w:val="ARtabletextright"/>
            </w:pPr>
            <w:r>
              <w:rPr>
                <w:noProof/>
              </w:rPr>
              <w:t>−</w:t>
            </w:r>
            <w:r w:rsidRPr="00C5726C">
              <w:rPr>
                <w:noProof/>
              </w:rPr>
              <w:t>3</w:t>
            </w:r>
            <w:r>
              <w:rPr>
                <w:noProof/>
              </w:rPr>
              <w:t>4</w:t>
            </w:r>
            <w:r w:rsidRPr="00C5726C">
              <w:rPr>
                <w:noProof/>
              </w:rPr>
              <w:t>.5</w:t>
            </w:r>
          </w:p>
        </w:tc>
        <w:tc>
          <w:tcPr>
            <w:tcW w:w="794" w:type="dxa"/>
            <w:shd w:val="clear" w:color="auto" w:fill="auto"/>
            <w:hideMark/>
          </w:tcPr>
          <w:p w14:paraId="4CF9B62E" w14:textId="127FF339" w:rsidR="00B0569D" w:rsidRPr="00D02A2E" w:rsidRDefault="00CF2633" w:rsidP="00C575AB">
            <w:pPr>
              <w:pStyle w:val="ARtableperformancesymbol"/>
            </w:pPr>
            <w:r>
              <w:rPr>
                <w:noProof/>
              </w:rPr>
              <w:drawing>
                <wp:inline distT="0" distB="0" distL="0" distR="0" wp14:anchorId="7CBC9191" wp14:editId="6929754A">
                  <wp:extent cx="85320" cy="85320"/>
                  <wp:effectExtent l="0" t="0" r="0" b="0"/>
                  <wp:docPr id="163" name="Graphic 163"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B0569D" w:rsidRPr="00D02A2E" w14:paraId="05F9D9E6" w14:textId="77777777" w:rsidTr="000F1C6B">
        <w:trPr>
          <w:cantSplit/>
        </w:trPr>
        <w:tc>
          <w:tcPr>
            <w:tcW w:w="9639" w:type="dxa"/>
            <w:gridSpan w:val="6"/>
            <w:tcBorders>
              <w:bottom w:val="single" w:sz="4" w:space="0" w:color="BFBFBF"/>
            </w:tcBorders>
            <w:shd w:val="clear" w:color="auto" w:fill="auto"/>
            <w:noWrap/>
            <w:hideMark/>
          </w:tcPr>
          <w:p w14:paraId="74CD6072" w14:textId="77777777" w:rsidR="00B0569D" w:rsidRPr="00D02A2E" w:rsidRDefault="00B0569D" w:rsidP="00B0569D">
            <w:pPr>
              <w:pStyle w:val="ARtablenoteindent"/>
            </w:pPr>
            <w:r w:rsidRPr="00C5726C">
              <w:rPr>
                <w:noProof/>
              </w:rPr>
              <w:t>This is a positive result. Consistent with the previous financial year, this variance suggests that clients are able to access treatment within a reasonable time following assessment.</w:t>
            </w:r>
          </w:p>
        </w:tc>
      </w:tr>
      <w:tr w:rsidR="00B0569D" w:rsidRPr="00D02A2E" w14:paraId="068BE042" w14:textId="77777777" w:rsidTr="000F1C6B">
        <w:trPr>
          <w:cantSplit/>
        </w:trPr>
        <w:tc>
          <w:tcPr>
            <w:tcW w:w="9639" w:type="dxa"/>
            <w:gridSpan w:val="6"/>
            <w:tcBorders>
              <w:top w:val="single" w:sz="4" w:space="0" w:color="auto"/>
            </w:tcBorders>
            <w:shd w:val="clear" w:color="auto" w:fill="auto"/>
            <w:hideMark/>
          </w:tcPr>
          <w:p w14:paraId="5D28EFFF" w14:textId="77777777" w:rsidR="00B0569D" w:rsidRPr="00D02A2E" w:rsidRDefault="00B0569D" w:rsidP="00B0569D">
            <w:pPr>
              <w:pStyle w:val="ARtablegreybold"/>
              <w:rPr>
                <w:rFonts w:ascii="Wingdings" w:hAnsi="Wingdings"/>
              </w:rPr>
            </w:pPr>
            <w:r>
              <w:t>Cost</w:t>
            </w:r>
          </w:p>
        </w:tc>
      </w:tr>
      <w:tr w:rsidR="00B0569D" w:rsidRPr="00D02A2E" w14:paraId="39FA70B9" w14:textId="77777777" w:rsidTr="000F1C6B">
        <w:trPr>
          <w:cantSplit/>
        </w:trPr>
        <w:tc>
          <w:tcPr>
            <w:tcW w:w="4761" w:type="dxa"/>
            <w:shd w:val="clear" w:color="auto" w:fill="auto"/>
            <w:hideMark/>
          </w:tcPr>
          <w:p w14:paraId="3F26F68E" w14:textId="77777777" w:rsidR="00B0569D" w:rsidRPr="00A95DC7" w:rsidRDefault="00B0569D" w:rsidP="00B0569D">
            <w:pPr>
              <w:pStyle w:val="ARtabletext"/>
              <w:rPr>
                <w:b/>
                <w:bCs/>
              </w:rPr>
            </w:pPr>
            <w:r w:rsidRPr="00A95DC7">
              <w:rPr>
                <w:b/>
                <w:bCs/>
                <w:noProof/>
              </w:rPr>
              <w:t>Total Output Cost</w:t>
            </w:r>
          </w:p>
        </w:tc>
        <w:tc>
          <w:tcPr>
            <w:tcW w:w="1021" w:type="dxa"/>
            <w:shd w:val="clear" w:color="auto" w:fill="auto"/>
            <w:hideMark/>
          </w:tcPr>
          <w:p w14:paraId="54CD705D" w14:textId="77777777" w:rsidR="00B0569D" w:rsidRPr="00A95DC7" w:rsidRDefault="00B0569D" w:rsidP="00B0569D">
            <w:pPr>
              <w:pStyle w:val="ARtabletextcentre"/>
            </w:pPr>
            <w:r w:rsidRPr="00A95DC7">
              <w:rPr>
                <w:b/>
                <w:bCs/>
                <w:noProof/>
              </w:rPr>
              <w:t>$ million</w:t>
            </w:r>
          </w:p>
        </w:tc>
        <w:tc>
          <w:tcPr>
            <w:tcW w:w="1021" w:type="dxa"/>
            <w:shd w:val="clear" w:color="auto" w:fill="auto"/>
            <w:hideMark/>
          </w:tcPr>
          <w:p w14:paraId="685C8443" w14:textId="77777777" w:rsidR="00B0569D" w:rsidRPr="00A95DC7" w:rsidRDefault="00B0569D" w:rsidP="00B0569D">
            <w:pPr>
              <w:pStyle w:val="ARtabletextright"/>
              <w:rPr>
                <w:b/>
                <w:bCs/>
              </w:rPr>
            </w:pPr>
            <w:r w:rsidRPr="00A95DC7">
              <w:rPr>
                <w:b/>
                <w:bCs/>
                <w:noProof/>
              </w:rPr>
              <w:t>271.6</w:t>
            </w:r>
          </w:p>
        </w:tc>
        <w:tc>
          <w:tcPr>
            <w:tcW w:w="1021" w:type="dxa"/>
            <w:shd w:val="clear" w:color="auto" w:fill="auto"/>
            <w:hideMark/>
          </w:tcPr>
          <w:p w14:paraId="404AEE6F" w14:textId="77777777" w:rsidR="00B0569D" w:rsidRPr="00A95DC7" w:rsidRDefault="00B0569D" w:rsidP="00B0569D">
            <w:pPr>
              <w:pStyle w:val="ARtabletextright"/>
              <w:rPr>
                <w:b/>
                <w:bCs/>
              </w:rPr>
            </w:pPr>
            <w:r w:rsidRPr="00A95DC7">
              <w:rPr>
                <w:b/>
                <w:bCs/>
                <w:noProof/>
              </w:rPr>
              <w:t>268.1</w:t>
            </w:r>
          </w:p>
        </w:tc>
        <w:tc>
          <w:tcPr>
            <w:tcW w:w="1021" w:type="dxa"/>
            <w:shd w:val="clear" w:color="auto" w:fill="auto"/>
          </w:tcPr>
          <w:p w14:paraId="15A9E7FA" w14:textId="77777777" w:rsidR="00B0569D" w:rsidRPr="00A95DC7" w:rsidRDefault="00B0569D" w:rsidP="00B0569D">
            <w:pPr>
              <w:pStyle w:val="ARtabletextright"/>
              <w:rPr>
                <w:b/>
                <w:bCs/>
              </w:rPr>
            </w:pPr>
            <w:r>
              <w:rPr>
                <w:b/>
                <w:bCs/>
                <w:noProof/>
              </w:rPr>
              <w:t>−</w:t>
            </w:r>
            <w:r w:rsidRPr="00A95DC7">
              <w:rPr>
                <w:b/>
                <w:bCs/>
                <w:noProof/>
              </w:rPr>
              <w:t>1.3</w:t>
            </w:r>
          </w:p>
        </w:tc>
        <w:tc>
          <w:tcPr>
            <w:tcW w:w="794" w:type="dxa"/>
            <w:shd w:val="clear" w:color="auto" w:fill="auto"/>
            <w:hideMark/>
          </w:tcPr>
          <w:p w14:paraId="32351885" w14:textId="77777777" w:rsidR="00B0569D" w:rsidRPr="00A95DC7" w:rsidRDefault="00B0569D" w:rsidP="00B0569D">
            <w:pPr>
              <w:pStyle w:val="ARtabletextright"/>
              <w:rPr>
                <w:b/>
                <w:bCs/>
              </w:rPr>
            </w:pPr>
          </w:p>
        </w:tc>
      </w:tr>
      <w:tr w:rsidR="00B0569D" w:rsidRPr="00D02A2E" w14:paraId="754F7ECD" w14:textId="77777777" w:rsidTr="000F1C6B">
        <w:trPr>
          <w:cantSplit/>
        </w:trPr>
        <w:tc>
          <w:tcPr>
            <w:tcW w:w="9639" w:type="dxa"/>
            <w:gridSpan w:val="6"/>
            <w:tcBorders>
              <w:bottom w:val="single" w:sz="4" w:space="0" w:color="auto"/>
            </w:tcBorders>
            <w:shd w:val="clear" w:color="auto" w:fill="auto"/>
            <w:noWrap/>
            <w:hideMark/>
          </w:tcPr>
          <w:p w14:paraId="57C32AD8" w14:textId="77777777" w:rsidR="00B0569D" w:rsidRPr="00D02A2E" w:rsidRDefault="00B0569D" w:rsidP="00B0569D">
            <w:pPr>
              <w:pStyle w:val="ARtablenoteindent"/>
            </w:pPr>
            <w:r w:rsidRPr="00C5726C">
              <w:rPr>
                <w:noProof/>
              </w:rPr>
              <w:t>The 202</w:t>
            </w:r>
            <w:r>
              <w:rPr>
                <w:noProof/>
              </w:rPr>
              <w:t>0–</w:t>
            </w:r>
            <w:r w:rsidRPr="00C5726C">
              <w:rPr>
                <w:noProof/>
              </w:rPr>
              <w:t>21 actual outcome primarily reflects lower than budgeted expenditure on government policy initiatives due to delays caused by the COVID-19 response.</w:t>
            </w:r>
          </w:p>
        </w:tc>
      </w:tr>
    </w:tbl>
    <w:p w14:paraId="4101296B" w14:textId="77777777" w:rsidR="00F46D9F" w:rsidRPr="00F46D9F" w:rsidRDefault="00F46D9F" w:rsidP="00F46D9F">
      <w:pPr>
        <w:pStyle w:val="ARbody"/>
      </w:pPr>
      <w:bookmarkStart w:id="277" w:name="_Toc85121161"/>
      <w:r w:rsidRPr="00F46D9F">
        <w:br w:type="page"/>
      </w:r>
    </w:p>
    <w:p w14:paraId="05C0729E" w14:textId="24112690" w:rsidR="00496244" w:rsidRDefault="00496244" w:rsidP="00317057">
      <w:pPr>
        <w:pStyle w:val="Heading4"/>
        <w:spacing w:before="400"/>
      </w:pPr>
      <w:r>
        <w:lastRenderedPageBreak/>
        <w:t>Mental Health</w:t>
      </w:r>
      <w:bookmarkEnd w:id="277"/>
    </w:p>
    <w:p w14:paraId="42F9B97E" w14:textId="77777777" w:rsidR="00496244" w:rsidRDefault="00496244" w:rsidP="00317057">
      <w:pPr>
        <w:pStyle w:val="ARbodybeforetable"/>
      </w:pPr>
      <w:r w:rsidRPr="005C7F16">
        <w:t>This output includes the provision of a range of inpatient, community-based residential and ambulatory services that target and support people with a mental illness and their families and carers, identifying mental illness early, and seek to reduce its impact through providing timely acute care services and appropriate longer-term accommodation and support for those living with a mental illness.</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496244" w:rsidRPr="00D02A2E" w14:paraId="721652DB" w14:textId="77777777" w:rsidTr="000F1C6B">
        <w:trPr>
          <w:cantSplit/>
          <w:tblHeader/>
        </w:trPr>
        <w:tc>
          <w:tcPr>
            <w:tcW w:w="4761" w:type="dxa"/>
            <w:tcBorders>
              <w:bottom w:val="single" w:sz="4" w:space="0" w:color="auto"/>
            </w:tcBorders>
            <w:shd w:val="clear" w:color="auto" w:fill="auto"/>
            <w:vAlign w:val="bottom"/>
            <w:hideMark/>
          </w:tcPr>
          <w:p w14:paraId="014DE30E" w14:textId="77777777" w:rsidR="00496244" w:rsidRPr="00D02A2E" w:rsidRDefault="00496244" w:rsidP="00317057">
            <w:pPr>
              <w:pStyle w:val="ARtablecolhead"/>
            </w:pPr>
            <w:r w:rsidRPr="00D02A2E">
              <w:t>Performance measures</w:t>
            </w:r>
          </w:p>
        </w:tc>
        <w:tc>
          <w:tcPr>
            <w:tcW w:w="1021" w:type="dxa"/>
            <w:tcBorders>
              <w:bottom w:val="single" w:sz="4" w:space="0" w:color="auto"/>
            </w:tcBorders>
            <w:shd w:val="clear" w:color="auto" w:fill="auto"/>
            <w:vAlign w:val="bottom"/>
            <w:hideMark/>
          </w:tcPr>
          <w:p w14:paraId="240C401E" w14:textId="77777777" w:rsidR="00496244" w:rsidRPr="00F72126" w:rsidRDefault="00496244" w:rsidP="00317057">
            <w:pPr>
              <w:pStyle w:val="ARtablecolheadcentre"/>
            </w:pPr>
            <w:r w:rsidRPr="00F72126">
              <w:t>Unit of measure</w:t>
            </w:r>
          </w:p>
        </w:tc>
        <w:tc>
          <w:tcPr>
            <w:tcW w:w="1021" w:type="dxa"/>
            <w:tcBorders>
              <w:bottom w:val="single" w:sz="4" w:space="0" w:color="auto"/>
            </w:tcBorders>
            <w:shd w:val="clear" w:color="auto" w:fill="auto"/>
            <w:vAlign w:val="bottom"/>
            <w:hideMark/>
          </w:tcPr>
          <w:p w14:paraId="050482F0" w14:textId="77777777" w:rsidR="00496244" w:rsidRPr="00F72126" w:rsidRDefault="00496244" w:rsidP="00317057">
            <w:pPr>
              <w:pStyle w:val="ARtablecolheadright"/>
            </w:pPr>
            <w:r w:rsidRPr="00F72126">
              <w:t>20</w:t>
            </w:r>
            <w:r>
              <w:t>20</w:t>
            </w:r>
            <w:r w:rsidRPr="00F72126">
              <w:t>–</w:t>
            </w:r>
            <w:r>
              <w:t>21</w:t>
            </w:r>
            <w:r w:rsidRPr="00F72126">
              <w:t xml:space="preserve"> target</w:t>
            </w:r>
          </w:p>
        </w:tc>
        <w:tc>
          <w:tcPr>
            <w:tcW w:w="1021" w:type="dxa"/>
            <w:tcBorders>
              <w:bottom w:val="single" w:sz="4" w:space="0" w:color="auto"/>
            </w:tcBorders>
            <w:shd w:val="clear" w:color="auto" w:fill="auto"/>
            <w:vAlign w:val="bottom"/>
            <w:hideMark/>
          </w:tcPr>
          <w:p w14:paraId="191FED78" w14:textId="77777777" w:rsidR="00496244" w:rsidRPr="00F72126" w:rsidRDefault="00496244" w:rsidP="00317057">
            <w:pPr>
              <w:pStyle w:val="ARtablecolheadright"/>
            </w:pPr>
            <w:r w:rsidRPr="00F72126">
              <w:t>20</w:t>
            </w:r>
            <w:r>
              <w:t>20</w:t>
            </w:r>
            <w:r w:rsidRPr="00F72126">
              <w:t>–</w:t>
            </w:r>
            <w:r>
              <w:t>21</w:t>
            </w:r>
            <w:r w:rsidRPr="00F72126">
              <w:t xml:space="preserve"> actual</w:t>
            </w:r>
          </w:p>
        </w:tc>
        <w:tc>
          <w:tcPr>
            <w:tcW w:w="1021" w:type="dxa"/>
            <w:tcBorders>
              <w:bottom w:val="single" w:sz="4" w:space="0" w:color="auto"/>
            </w:tcBorders>
            <w:shd w:val="clear" w:color="auto" w:fill="auto"/>
            <w:vAlign w:val="bottom"/>
            <w:hideMark/>
          </w:tcPr>
          <w:p w14:paraId="78E5E03B" w14:textId="77777777" w:rsidR="00496244" w:rsidRPr="00F72126" w:rsidRDefault="00496244" w:rsidP="00317057">
            <w:pPr>
              <w:pStyle w:val="ARtablecolheadright"/>
            </w:pPr>
            <w:r w:rsidRPr="00F72126">
              <w:t>Variation (%)</w:t>
            </w:r>
          </w:p>
        </w:tc>
        <w:tc>
          <w:tcPr>
            <w:tcW w:w="794" w:type="dxa"/>
            <w:tcBorders>
              <w:bottom w:val="single" w:sz="4" w:space="0" w:color="auto"/>
            </w:tcBorders>
            <w:shd w:val="clear" w:color="auto" w:fill="auto"/>
            <w:vAlign w:val="bottom"/>
            <w:hideMark/>
          </w:tcPr>
          <w:p w14:paraId="25D83281" w14:textId="77777777" w:rsidR="00496244" w:rsidRPr="00F72126" w:rsidRDefault="00496244" w:rsidP="00317057">
            <w:pPr>
              <w:pStyle w:val="ARtablecolheadright"/>
            </w:pPr>
            <w:r w:rsidRPr="00F72126">
              <w:t>Result</w:t>
            </w:r>
          </w:p>
        </w:tc>
      </w:tr>
      <w:tr w:rsidR="00496244" w:rsidRPr="00D02A2E" w14:paraId="01B4D2BC" w14:textId="77777777" w:rsidTr="000F1C6B">
        <w:trPr>
          <w:cantSplit/>
        </w:trPr>
        <w:tc>
          <w:tcPr>
            <w:tcW w:w="9639" w:type="dxa"/>
            <w:gridSpan w:val="6"/>
            <w:tcBorders>
              <w:top w:val="single" w:sz="4" w:space="0" w:color="auto"/>
              <w:bottom w:val="single" w:sz="4" w:space="0" w:color="auto"/>
            </w:tcBorders>
            <w:shd w:val="clear" w:color="auto" w:fill="auto"/>
            <w:hideMark/>
          </w:tcPr>
          <w:p w14:paraId="5D758D26" w14:textId="77777777" w:rsidR="00496244" w:rsidRPr="00D02A2E" w:rsidRDefault="00496244" w:rsidP="00317057">
            <w:pPr>
              <w:pStyle w:val="ARtablebluebold"/>
              <w:rPr>
                <w:rFonts w:ascii="Wingdings" w:hAnsi="Wingdings"/>
              </w:rPr>
            </w:pPr>
            <w:r w:rsidRPr="00545110">
              <w:t>Clinical Care</w:t>
            </w:r>
          </w:p>
        </w:tc>
      </w:tr>
      <w:tr w:rsidR="00496244" w:rsidRPr="00D02A2E" w14:paraId="0DC186E0" w14:textId="77777777" w:rsidTr="000F1C6B">
        <w:trPr>
          <w:cantSplit/>
        </w:trPr>
        <w:tc>
          <w:tcPr>
            <w:tcW w:w="9639" w:type="dxa"/>
            <w:gridSpan w:val="6"/>
            <w:tcBorders>
              <w:top w:val="single" w:sz="4" w:space="0" w:color="auto"/>
            </w:tcBorders>
            <w:shd w:val="clear" w:color="auto" w:fill="auto"/>
            <w:hideMark/>
          </w:tcPr>
          <w:p w14:paraId="1105274E" w14:textId="77777777" w:rsidR="00496244" w:rsidRPr="00D02A2E" w:rsidRDefault="00496244" w:rsidP="00317057">
            <w:pPr>
              <w:pStyle w:val="ARtablegreybold"/>
              <w:rPr>
                <w:rFonts w:ascii="Wingdings" w:hAnsi="Wingdings"/>
              </w:rPr>
            </w:pPr>
            <w:r w:rsidRPr="007A45E9">
              <w:t>Quantity</w:t>
            </w:r>
          </w:p>
        </w:tc>
      </w:tr>
      <w:tr w:rsidR="00496244" w:rsidRPr="00D02A2E" w14:paraId="12806842" w14:textId="77777777" w:rsidTr="000F1C6B">
        <w:trPr>
          <w:cantSplit/>
        </w:trPr>
        <w:tc>
          <w:tcPr>
            <w:tcW w:w="4761" w:type="dxa"/>
            <w:tcBorders>
              <w:bottom w:val="single" w:sz="4" w:space="0" w:color="BFBFBF" w:themeColor="background1" w:themeShade="BF"/>
            </w:tcBorders>
            <w:shd w:val="clear" w:color="auto" w:fill="auto"/>
            <w:hideMark/>
          </w:tcPr>
          <w:p w14:paraId="545FF7F2" w14:textId="77777777" w:rsidR="00496244" w:rsidRPr="00D02A2E" w:rsidRDefault="00496244" w:rsidP="00317057">
            <w:pPr>
              <w:pStyle w:val="ARtabletext"/>
            </w:pPr>
            <w:r w:rsidRPr="00C5726C">
              <w:rPr>
                <w:noProof/>
              </w:rPr>
              <w:t>Clinical inpatient separations</w:t>
            </w:r>
          </w:p>
        </w:tc>
        <w:tc>
          <w:tcPr>
            <w:tcW w:w="1021" w:type="dxa"/>
            <w:tcBorders>
              <w:bottom w:val="single" w:sz="4" w:space="0" w:color="BFBFBF" w:themeColor="background1" w:themeShade="BF"/>
            </w:tcBorders>
            <w:shd w:val="clear" w:color="auto" w:fill="auto"/>
            <w:hideMark/>
          </w:tcPr>
          <w:p w14:paraId="00B7DE14" w14:textId="77777777" w:rsidR="00496244" w:rsidRPr="00D02A2E" w:rsidRDefault="00496244" w:rsidP="00317057">
            <w:pPr>
              <w:pStyle w:val="ARtabletextcentre"/>
            </w:pPr>
            <w:r w:rsidRPr="00C5726C">
              <w:rPr>
                <w:noProof/>
              </w:rPr>
              <w:t>number</w:t>
            </w:r>
          </w:p>
        </w:tc>
        <w:tc>
          <w:tcPr>
            <w:tcW w:w="1021" w:type="dxa"/>
            <w:tcBorders>
              <w:bottom w:val="single" w:sz="4" w:space="0" w:color="BFBFBF" w:themeColor="background1" w:themeShade="BF"/>
            </w:tcBorders>
            <w:shd w:val="clear" w:color="auto" w:fill="auto"/>
            <w:hideMark/>
          </w:tcPr>
          <w:p w14:paraId="28CF4C9B" w14:textId="77777777" w:rsidR="00496244" w:rsidRDefault="00496244" w:rsidP="00317057">
            <w:pPr>
              <w:pStyle w:val="ARtabletextright"/>
            </w:pPr>
            <w:r w:rsidRPr="00C5726C">
              <w:rPr>
                <w:noProof/>
              </w:rPr>
              <w:t>27</w:t>
            </w:r>
            <w:r>
              <w:rPr>
                <w:noProof/>
              </w:rPr>
              <w:t>,</w:t>
            </w:r>
            <w:r w:rsidRPr="00C5726C">
              <w:rPr>
                <w:noProof/>
              </w:rPr>
              <w:t>488</w:t>
            </w:r>
          </w:p>
        </w:tc>
        <w:tc>
          <w:tcPr>
            <w:tcW w:w="1021" w:type="dxa"/>
            <w:tcBorders>
              <w:bottom w:val="single" w:sz="4" w:space="0" w:color="BFBFBF" w:themeColor="background1" w:themeShade="BF"/>
            </w:tcBorders>
            <w:shd w:val="clear" w:color="auto" w:fill="auto"/>
            <w:hideMark/>
          </w:tcPr>
          <w:p w14:paraId="33BA97A6" w14:textId="77777777" w:rsidR="00496244" w:rsidRDefault="00496244" w:rsidP="00317057">
            <w:pPr>
              <w:pStyle w:val="ARtabletextright"/>
            </w:pPr>
            <w:r w:rsidRPr="00C5726C">
              <w:rPr>
                <w:noProof/>
              </w:rPr>
              <w:t>27</w:t>
            </w:r>
            <w:r>
              <w:rPr>
                <w:noProof/>
              </w:rPr>
              <w:t>,361</w:t>
            </w:r>
          </w:p>
        </w:tc>
        <w:tc>
          <w:tcPr>
            <w:tcW w:w="1021" w:type="dxa"/>
            <w:tcBorders>
              <w:bottom w:val="single" w:sz="4" w:space="0" w:color="BFBFBF" w:themeColor="background1" w:themeShade="BF"/>
            </w:tcBorders>
            <w:shd w:val="clear" w:color="auto" w:fill="auto"/>
          </w:tcPr>
          <w:p w14:paraId="18588945" w14:textId="77777777" w:rsidR="00496244" w:rsidRDefault="00496244" w:rsidP="00317057">
            <w:pPr>
              <w:pStyle w:val="ARtabletextright"/>
            </w:pPr>
            <w:r>
              <w:rPr>
                <w:noProof/>
              </w:rPr>
              <w:t>−</w:t>
            </w:r>
            <w:r w:rsidRPr="00C5726C">
              <w:rPr>
                <w:noProof/>
              </w:rPr>
              <w:t>0.</w:t>
            </w:r>
            <w:r>
              <w:rPr>
                <w:noProof/>
              </w:rPr>
              <w:t>5</w:t>
            </w:r>
          </w:p>
        </w:tc>
        <w:tc>
          <w:tcPr>
            <w:tcW w:w="794" w:type="dxa"/>
            <w:tcBorders>
              <w:bottom w:val="single" w:sz="4" w:space="0" w:color="BFBFBF" w:themeColor="background1" w:themeShade="BF"/>
            </w:tcBorders>
            <w:shd w:val="clear" w:color="auto" w:fill="auto"/>
            <w:hideMark/>
          </w:tcPr>
          <w:p w14:paraId="1796E29D" w14:textId="760EEE77" w:rsidR="00496244" w:rsidRPr="00D02A2E" w:rsidRDefault="00CF2633" w:rsidP="00C575AB">
            <w:pPr>
              <w:pStyle w:val="ARtableperformancesymbol"/>
            </w:pPr>
            <w:r w:rsidRPr="00F96CDB">
              <w:rPr>
                <w:noProof/>
              </w:rPr>
              <w:drawing>
                <wp:inline distT="0" distB="0" distL="0" distR="0" wp14:anchorId="672BD7F6" wp14:editId="1808DDF9">
                  <wp:extent cx="76320" cy="76320"/>
                  <wp:effectExtent l="0" t="0" r="0" b="0"/>
                  <wp:docPr id="165" name="Graphic 165" descr="Target not achieved – within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Target not achieved – within five per cent varianc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76320" cy="76320"/>
                          </a:xfrm>
                          <a:prstGeom prst="rect">
                            <a:avLst/>
                          </a:prstGeom>
                        </pic:spPr>
                      </pic:pic>
                    </a:graphicData>
                  </a:graphic>
                </wp:inline>
              </w:drawing>
            </w:r>
            <w:r>
              <w:t xml:space="preserve"> </w:t>
            </w:r>
          </w:p>
        </w:tc>
      </w:tr>
      <w:tr w:rsidR="00496244" w:rsidRPr="00D02A2E" w14:paraId="3AFE7213" w14:textId="77777777" w:rsidTr="000F1C6B">
        <w:trPr>
          <w:cantSplit/>
        </w:trPr>
        <w:tc>
          <w:tcPr>
            <w:tcW w:w="4761" w:type="dxa"/>
            <w:tcBorders>
              <w:top w:val="single" w:sz="4" w:space="0" w:color="BFBFBF" w:themeColor="background1" w:themeShade="BF"/>
            </w:tcBorders>
            <w:shd w:val="clear" w:color="auto" w:fill="auto"/>
            <w:hideMark/>
          </w:tcPr>
          <w:p w14:paraId="632C652F" w14:textId="77777777" w:rsidR="00496244" w:rsidRPr="00D02A2E" w:rsidRDefault="00496244" w:rsidP="00317057">
            <w:pPr>
              <w:pStyle w:val="ARtabletext"/>
            </w:pPr>
            <w:r w:rsidRPr="00C5726C">
              <w:rPr>
                <w:noProof/>
              </w:rPr>
              <w:t>Total community service hours (child and adolescent)</w:t>
            </w:r>
          </w:p>
        </w:tc>
        <w:tc>
          <w:tcPr>
            <w:tcW w:w="1021" w:type="dxa"/>
            <w:tcBorders>
              <w:top w:val="single" w:sz="4" w:space="0" w:color="BFBFBF" w:themeColor="background1" w:themeShade="BF"/>
            </w:tcBorders>
            <w:shd w:val="clear" w:color="auto" w:fill="auto"/>
            <w:hideMark/>
          </w:tcPr>
          <w:p w14:paraId="39329CEB" w14:textId="77777777" w:rsidR="00496244" w:rsidRPr="00D02A2E" w:rsidRDefault="00496244" w:rsidP="00317057">
            <w:pPr>
              <w:pStyle w:val="ARtabletextcentre"/>
            </w:pPr>
            <w:r w:rsidRPr="00C5726C">
              <w:rPr>
                <w:noProof/>
              </w:rPr>
              <w:t>number (thousand)</w:t>
            </w:r>
          </w:p>
        </w:tc>
        <w:tc>
          <w:tcPr>
            <w:tcW w:w="1021" w:type="dxa"/>
            <w:tcBorders>
              <w:top w:val="single" w:sz="4" w:space="0" w:color="BFBFBF" w:themeColor="background1" w:themeShade="BF"/>
            </w:tcBorders>
            <w:shd w:val="clear" w:color="auto" w:fill="auto"/>
            <w:hideMark/>
          </w:tcPr>
          <w:p w14:paraId="65BAC7A0" w14:textId="77777777" w:rsidR="00496244" w:rsidRDefault="00496244" w:rsidP="00317057">
            <w:pPr>
              <w:pStyle w:val="ARtabletextright"/>
            </w:pPr>
            <w:r w:rsidRPr="00C5726C">
              <w:rPr>
                <w:noProof/>
              </w:rPr>
              <w:t>219</w:t>
            </w:r>
          </w:p>
        </w:tc>
        <w:tc>
          <w:tcPr>
            <w:tcW w:w="1021" w:type="dxa"/>
            <w:tcBorders>
              <w:top w:val="single" w:sz="4" w:space="0" w:color="BFBFBF" w:themeColor="background1" w:themeShade="BF"/>
            </w:tcBorders>
            <w:shd w:val="clear" w:color="auto" w:fill="auto"/>
            <w:hideMark/>
          </w:tcPr>
          <w:p w14:paraId="49892050" w14:textId="77777777" w:rsidR="00496244" w:rsidRDefault="00496244" w:rsidP="00317057">
            <w:pPr>
              <w:pStyle w:val="ARtabletextright"/>
            </w:pPr>
            <w:r w:rsidRPr="00C5726C">
              <w:rPr>
                <w:noProof/>
              </w:rPr>
              <w:t>23</w:t>
            </w:r>
            <w:r>
              <w:rPr>
                <w:noProof/>
              </w:rPr>
              <w:t>5</w:t>
            </w:r>
          </w:p>
        </w:tc>
        <w:tc>
          <w:tcPr>
            <w:tcW w:w="1021" w:type="dxa"/>
            <w:tcBorders>
              <w:top w:val="single" w:sz="4" w:space="0" w:color="BFBFBF" w:themeColor="background1" w:themeShade="BF"/>
            </w:tcBorders>
            <w:shd w:val="clear" w:color="auto" w:fill="auto"/>
          </w:tcPr>
          <w:p w14:paraId="2CA97913" w14:textId="77777777" w:rsidR="00496244" w:rsidRDefault="00496244" w:rsidP="00317057">
            <w:pPr>
              <w:pStyle w:val="ARtabletextright"/>
            </w:pPr>
            <w:r>
              <w:rPr>
                <w:noProof/>
              </w:rPr>
              <w:t>7.3</w:t>
            </w:r>
          </w:p>
        </w:tc>
        <w:tc>
          <w:tcPr>
            <w:tcW w:w="794" w:type="dxa"/>
            <w:tcBorders>
              <w:top w:val="single" w:sz="4" w:space="0" w:color="BFBFBF" w:themeColor="background1" w:themeShade="BF"/>
            </w:tcBorders>
            <w:shd w:val="clear" w:color="auto" w:fill="auto"/>
            <w:hideMark/>
          </w:tcPr>
          <w:p w14:paraId="7C96A9D6" w14:textId="12A4682D" w:rsidR="00496244" w:rsidRPr="00D02A2E" w:rsidRDefault="00CF2633" w:rsidP="00C575AB">
            <w:pPr>
              <w:pStyle w:val="ARtableperformancesymbol"/>
            </w:pPr>
            <w:r>
              <w:rPr>
                <w:noProof/>
              </w:rPr>
              <w:drawing>
                <wp:inline distT="0" distB="0" distL="0" distR="0" wp14:anchorId="6E57E8F9" wp14:editId="3D918A59">
                  <wp:extent cx="85320" cy="85320"/>
                  <wp:effectExtent l="0" t="0" r="0" b="0"/>
                  <wp:docPr id="164" name="Graphic 164"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496244" w:rsidRPr="00D02A2E" w14:paraId="7E2377BA" w14:textId="77777777" w:rsidTr="000F1C6B">
        <w:trPr>
          <w:cantSplit/>
        </w:trPr>
        <w:tc>
          <w:tcPr>
            <w:tcW w:w="9639" w:type="dxa"/>
            <w:gridSpan w:val="6"/>
            <w:tcBorders>
              <w:bottom w:val="single" w:sz="4" w:space="0" w:color="BFBFBF"/>
            </w:tcBorders>
            <w:shd w:val="clear" w:color="auto" w:fill="auto"/>
            <w:noWrap/>
            <w:hideMark/>
          </w:tcPr>
          <w:p w14:paraId="4E6B1C24" w14:textId="77777777" w:rsidR="00496244" w:rsidRPr="00D02A2E" w:rsidRDefault="00496244" w:rsidP="00317057">
            <w:pPr>
              <w:pStyle w:val="ARtablenoteindent"/>
            </w:pPr>
            <w:r w:rsidRPr="00C5726C">
              <w:rPr>
                <w:noProof/>
              </w:rPr>
              <w:t>This is</w:t>
            </w:r>
            <w:r>
              <w:rPr>
                <w:noProof/>
              </w:rPr>
              <w:t xml:space="preserve"> </w:t>
            </w:r>
            <w:r w:rsidRPr="00C5726C">
              <w:rPr>
                <w:noProof/>
              </w:rPr>
              <w:t>a positive result</w:t>
            </w:r>
            <w:r>
              <w:rPr>
                <w:noProof/>
              </w:rPr>
              <w:t>,</w:t>
            </w:r>
            <w:r w:rsidRPr="00C5726C">
              <w:rPr>
                <w:noProof/>
              </w:rPr>
              <w:t xml:space="preserve"> despite the Mental Health EBA 2020 negotiation placing protected industrial action on the collection, recording or documenting </w:t>
            </w:r>
            <w:r>
              <w:rPr>
                <w:noProof/>
              </w:rPr>
              <w:t xml:space="preserve">of </w:t>
            </w:r>
            <w:r w:rsidRPr="00C5726C">
              <w:rPr>
                <w:noProof/>
              </w:rPr>
              <w:t>clinical and administrative information</w:t>
            </w:r>
            <w:r>
              <w:rPr>
                <w:noProof/>
              </w:rPr>
              <w:t>,</w:t>
            </w:r>
            <w:r w:rsidRPr="00C5726C">
              <w:rPr>
                <w:noProof/>
              </w:rPr>
              <w:t xml:space="preserve"> which was expected to impact the delivery of this measure.</w:t>
            </w:r>
          </w:p>
        </w:tc>
      </w:tr>
      <w:tr w:rsidR="00B0569D" w:rsidRPr="00D02A2E" w14:paraId="25353C71" w14:textId="77777777" w:rsidTr="000F1C6B">
        <w:trPr>
          <w:cantSplit/>
        </w:trPr>
        <w:tc>
          <w:tcPr>
            <w:tcW w:w="4761" w:type="dxa"/>
            <w:shd w:val="clear" w:color="auto" w:fill="auto"/>
            <w:hideMark/>
          </w:tcPr>
          <w:p w14:paraId="31B514EE" w14:textId="77777777" w:rsidR="00B0569D" w:rsidRPr="00D02A2E" w:rsidRDefault="00B0569D" w:rsidP="00B0569D">
            <w:pPr>
              <w:pStyle w:val="ARtabletext"/>
            </w:pPr>
            <w:r w:rsidRPr="00C5726C">
              <w:rPr>
                <w:noProof/>
              </w:rPr>
              <w:t>Total community service hours (adult)</w:t>
            </w:r>
          </w:p>
        </w:tc>
        <w:tc>
          <w:tcPr>
            <w:tcW w:w="1021" w:type="dxa"/>
            <w:shd w:val="clear" w:color="auto" w:fill="auto"/>
            <w:hideMark/>
          </w:tcPr>
          <w:p w14:paraId="0AF0B9C4" w14:textId="77777777" w:rsidR="00B0569D" w:rsidRPr="00D02A2E" w:rsidRDefault="00B0569D" w:rsidP="00B0569D">
            <w:pPr>
              <w:pStyle w:val="ARtabletextcentre"/>
            </w:pPr>
            <w:r w:rsidRPr="00C5726C">
              <w:rPr>
                <w:noProof/>
              </w:rPr>
              <w:t>number (thousand)</w:t>
            </w:r>
          </w:p>
        </w:tc>
        <w:tc>
          <w:tcPr>
            <w:tcW w:w="1021" w:type="dxa"/>
            <w:shd w:val="clear" w:color="auto" w:fill="auto"/>
            <w:hideMark/>
          </w:tcPr>
          <w:p w14:paraId="50135CBC" w14:textId="77777777" w:rsidR="00B0569D" w:rsidRDefault="00B0569D" w:rsidP="00B0569D">
            <w:pPr>
              <w:pStyle w:val="ARtabletextright"/>
            </w:pPr>
            <w:r w:rsidRPr="00C5726C">
              <w:rPr>
                <w:noProof/>
              </w:rPr>
              <w:t>1</w:t>
            </w:r>
            <w:r>
              <w:rPr>
                <w:noProof/>
              </w:rPr>
              <w:t>,</w:t>
            </w:r>
            <w:r w:rsidRPr="00C5726C">
              <w:rPr>
                <w:noProof/>
              </w:rPr>
              <w:t>103</w:t>
            </w:r>
          </w:p>
        </w:tc>
        <w:tc>
          <w:tcPr>
            <w:tcW w:w="1021" w:type="dxa"/>
            <w:shd w:val="clear" w:color="auto" w:fill="auto"/>
            <w:hideMark/>
          </w:tcPr>
          <w:p w14:paraId="11D96B8C" w14:textId="77777777" w:rsidR="00B0569D" w:rsidRDefault="00B0569D" w:rsidP="00B0569D">
            <w:pPr>
              <w:pStyle w:val="ARtabletextright"/>
            </w:pPr>
            <w:r w:rsidRPr="00C5726C">
              <w:rPr>
                <w:noProof/>
              </w:rPr>
              <w:t>9</w:t>
            </w:r>
            <w:r>
              <w:rPr>
                <w:noProof/>
              </w:rPr>
              <w:t>58</w:t>
            </w:r>
          </w:p>
        </w:tc>
        <w:tc>
          <w:tcPr>
            <w:tcW w:w="1021" w:type="dxa"/>
            <w:shd w:val="clear" w:color="auto" w:fill="auto"/>
          </w:tcPr>
          <w:p w14:paraId="5CFF85C4" w14:textId="77777777" w:rsidR="00B0569D" w:rsidRDefault="00B0569D" w:rsidP="00B0569D">
            <w:pPr>
              <w:pStyle w:val="ARtabletextright"/>
            </w:pPr>
            <w:r>
              <w:rPr>
                <w:noProof/>
              </w:rPr>
              <w:t>−</w:t>
            </w:r>
            <w:r w:rsidRPr="00C5726C">
              <w:rPr>
                <w:noProof/>
              </w:rPr>
              <w:t>1</w:t>
            </w:r>
            <w:r>
              <w:rPr>
                <w:noProof/>
              </w:rPr>
              <w:t>3</w:t>
            </w:r>
            <w:r w:rsidRPr="00C5726C">
              <w:rPr>
                <w:noProof/>
              </w:rPr>
              <w:t>.1</w:t>
            </w:r>
          </w:p>
        </w:tc>
        <w:tc>
          <w:tcPr>
            <w:tcW w:w="794" w:type="dxa"/>
            <w:shd w:val="clear" w:color="auto" w:fill="auto"/>
            <w:hideMark/>
          </w:tcPr>
          <w:p w14:paraId="51BB9AFA" w14:textId="6D40A1DF" w:rsidR="00B0569D" w:rsidRPr="00D02A2E" w:rsidRDefault="00B0569D" w:rsidP="00C575AB">
            <w:pPr>
              <w:pStyle w:val="ARtableperformancesymbol"/>
            </w:pPr>
            <w:r>
              <w:rPr>
                <w:noProof/>
              </w:rPr>
              <w:drawing>
                <wp:inline distT="0" distB="0" distL="0" distR="0" wp14:anchorId="638ECAD7" wp14:editId="78088A6B">
                  <wp:extent cx="76320" cy="76320"/>
                  <wp:effectExtent l="0" t="0" r="0" b="0"/>
                  <wp:docPr id="83" name="Graphic 83"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B0569D" w:rsidRPr="00D02A2E" w14:paraId="271F53A4" w14:textId="77777777" w:rsidTr="000F1C6B">
        <w:trPr>
          <w:cantSplit/>
        </w:trPr>
        <w:tc>
          <w:tcPr>
            <w:tcW w:w="9639" w:type="dxa"/>
            <w:gridSpan w:val="6"/>
            <w:tcBorders>
              <w:bottom w:val="single" w:sz="4" w:space="0" w:color="BFBFBF"/>
            </w:tcBorders>
            <w:shd w:val="clear" w:color="auto" w:fill="auto"/>
            <w:noWrap/>
            <w:hideMark/>
          </w:tcPr>
          <w:p w14:paraId="065C89CE" w14:textId="77777777" w:rsidR="00B0569D" w:rsidRPr="00D02A2E" w:rsidRDefault="00B0569D" w:rsidP="00B0569D">
            <w:pPr>
              <w:pStyle w:val="ARtablenoteindent"/>
            </w:pPr>
            <w:r w:rsidRPr="00C5726C">
              <w:rPr>
                <w:noProof/>
              </w:rPr>
              <w:t>This is</w:t>
            </w:r>
            <w:r>
              <w:rPr>
                <w:noProof/>
              </w:rPr>
              <w:t xml:space="preserve"> </w:t>
            </w:r>
            <w:r w:rsidRPr="00C5726C">
              <w:rPr>
                <w:noProof/>
              </w:rPr>
              <w:t>a positive result</w:t>
            </w:r>
            <w:r>
              <w:rPr>
                <w:noProof/>
              </w:rPr>
              <w:t>,</w:t>
            </w:r>
            <w:r w:rsidRPr="00C5726C">
              <w:rPr>
                <w:noProof/>
              </w:rPr>
              <w:t xml:space="preserve"> despite the Mental Health EBA 2020 negotiation placing protected industrial action on the collection, recording or documenting </w:t>
            </w:r>
            <w:r>
              <w:rPr>
                <w:noProof/>
              </w:rPr>
              <w:t xml:space="preserve">of </w:t>
            </w:r>
            <w:r w:rsidRPr="00C5726C">
              <w:rPr>
                <w:noProof/>
              </w:rPr>
              <w:t>clinical and administrative information</w:t>
            </w:r>
            <w:r>
              <w:rPr>
                <w:noProof/>
              </w:rPr>
              <w:t>,</w:t>
            </w:r>
            <w:r w:rsidRPr="00C5726C">
              <w:rPr>
                <w:noProof/>
              </w:rPr>
              <w:t xml:space="preserve"> which was expected to impact the delivery of this measure.</w:t>
            </w:r>
          </w:p>
        </w:tc>
      </w:tr>
      <w:tr w:rsidR="00B0569D" w:rsidRPr="00D02A2E" w14:paraId="5576CD9B" w14:textId="77777777" w:rsidTr="000F1C6B">
        <w:trPr>
          <w:cantSplit/>
        </w:trPr>
        <w:tc>
          <w:tcPr>
            <w:tcW w:w="4761" w:type="dxa"/>
            <w:shd w:val="clear" w:color="auto" w:fill="auto"/>
            <w:hideMark/>
          </w:tcPr>
          <w:p w14:paraId="77D89011" w14:textId="77777777" w:rsidR="00B0569D" w:rsidRPr="00D02A2E" w:rsidRDefault="00B0569D" w:rsidP="00B0569D">
            <w:pPr>
              <w:pStyle w:val="ARtabletext"/>
            </w:pPr>
            <w:r w:rsidRPr="00C5726C">
              <w:rPr>
                <w:noProof/>
              </w:rPr>
              <w:t>Total community service hours (aged)</w:t>
            </w:r>
          </w:p>
        </w:tc>
        <w:tc>
          <w:tcPr>
            <w:tcW w:w="1021" w:type="dxa"/>
            <w:shd w:val="clear" w:color="auto" w:fill="auto"/>
            <w:hideMark/>
          </w:tcPr>
          <w:p w14:paraId="4A1BE60B" w14:textId="77777777" w:rsidR="00B0569D" w:rsidRPr="00D02A2E" w:rsidRDefault="00B0569D" w:rsidP="00B0569D">
            <w:pPr>
              <w:pStyle w:val="ARtabletextcentre"/>
            </w:pPr>
            <w:r w:rsidRPr="00C5726C">
              <w:rPr>
                <w:noProof/>
              </w:rPr>
              <w:t>number (thousand)</w:t>
            </w:r>
          </w:p>
        </w:tc>
        <w:tc>
          <w:tcPr>
            <w:tcW w:w="1021" w:type="dxa"/>
            <w:shd w:val="clear" w:color="auto" w:fill="auto"/>
            <w:hideMark/>
          </w:tcPr>
          <w:p w14:paraId="2B55163B" w14:textId="77777777" w:rsidR="00B0569D" w:rsidRDefault="00B0569D" w:rsidP="00B0569D">
            <w:pPr>
              <w:pStyle w:val="ARtabletextright"/>
            </w:pPr>
            <w:r w:rsidRPr="00C5726C">
              <w:rPr>
                <w:noProof/>
              </w:rPr>
              <w:t>126</w:t>
            </w:r>
          </w:p>
        </w:tc>
        <w:tc>
          <w:tcPr>
            <w:tcW w:w="1021" w:type="dxa"/>
            <w:shd w:val="clear" w:color="auto" w:fill="auto"/>
            <w:hideMark/>
          </w:tcPr>
          <w:p w14:paraId="7A428DED" w14:textId="77777777" w:rsidR="00B0569D" w:rsidRDefault="00B0569D" w:rsidP="00B0569D">
            <w:pPr>
              <w:pStyle w:val="ARtabletextright"/>
            </w:pPr>
            <w:r>
              <w:rPr>
                <w:noProof/>
              </w:rPr>
              <w:t>119</w:t>
            </w:r>
          </w:p>
        </w:tc>
        <w:tc>
          <w:tcPr>
            <w:tcW w:w="1021" w:type="dxa"/>
            <w:shd w:val="clear" w:color="auto" w:fill="auto"/>
          </w:tcPr>
          <w:p w14:paraId="664BBBA6" w14:textId="77777777" w:rsidR="00B0569D" w:rsidRDefault="00B0569D" w:rsidP="00B0569D">
            <w:pPr>
              <w:pStyle w:val="ARtabletextright"/>
            </w:pPr>
            <w:r>
              <w:rPr>
                <w:noProof/>
              </w:rPr>
              <w:t>−5.6</w:t>
            </w:r>
          </w:p>
        </w:tc>
        <w:tc>
          <w:tcPr>
            <w:tcW w:w="794" w:type="dxa"/>
            <w:shd w:val="clear" w:color="auto" w:fill="auto"/>
            <w:hideMark/>
          </w:tcPr>
          <w:p w14:paraId="026AC792" w14:textId="72FBA234" w:rsidR="00B0569D" w:rsidRPr="00D02A2E" w:rsidRDefault="0027481F" w:rsidP="00C575AB">
            <w:pPr>
              <w:pStyle w:val="ARtableperformancesymbol"/>
            </w:pPr>
            <w:r>
              <w:rPr>
                <w:noProof/>
              </w:rPr>
              <w:drawing>
                <wp:inline distT="0" distB="0" distL="0" distR="0" wp14:anchorId="3A8AA5B1" wp14:editId="74035A6E">
                  <wp:extent cx="76320" cy="76320"/>
                  <wp:effectExtent l="0" t="0" r="0" b="0"/>
                  <wp:docPr id="10" name="Graphic 10"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rsidR="00CF2633">
              <w:t xml:space="preserve"> </w:t>
            </w:r>
          </w:p>
        </w:tc>
      </w:tr>
      <w:tr w:rsidR="00B0569D" w:rsidRPr="00D02A2E" w14:paraId="16EDBAA7" w14:textId="77777777" w:rsidTr="000F1C6B">
        <w:trPr>
          <w:cantSplit/>
        </w:trPr>
        <w:tc>
          <w:tcPr>
            <w:tcW w:w="9639" w:type="dxa"/>
            <w:gridSpan w:val="6"/>
            <w:tcBorders>
              <w:bottom w:val="single" w:sz="4" w:space="0" w:color="BFBFBF"/>
            </w:tcBorders>
            <w:shd w:val="clear" w:color="auto" w:fill="auto"/>
            <w:noWrap/>
            <w:hideMark/>
          </w:tcPr>
          <w:p w14:paraId="49BA9B89" w14:textId="77777777" w:rsidR="00B0569D" w:rsidRPr="00D02A2E" w:rsidRDefault="00B0569D" w:rsidP="00B0569D">
            <w:pPr>
              <w:pStyle w:val="ARtablenoteindent"/>
            </w:pPr>
            <w:r w:rsidRPr="00C5726C">
              <w:rPr>
                <w:noProof/>
              </w:rPr>
              <w:t>This is</w:t>
            </w:r>
            <w:r>
              <w:rPr>
                <w:noProof/>
              </w:rPr>
              <w:t xml:space="preserve"> </w:t>
            </w:r>
            <w:r w:rsidRPr="00C5726C">
              <w:rPr>
                <w:noProof/>
              </w:rPr>
              <w:t>a positive result</w:t>
            </w:r>
            <w:r>
              <w:rPr>
                <w:noProof/>
              </w:rPr>
              <w:t>,</w:t>
            </w:r>
            <w:r w:rsidRPr="00C5726C">
              <w:rPr>
                <w:noProof/>
              </w:rPr>
              <w:t xml:space="preserve"> despite the Mental Health EBA 2020 negotiation placing protected industrial action on the collection, recording or documenting </w:t>
            </w:r>
            <w:r>
              <w:rPr>
                <w:noProof/>
              </w:rPr>
              <w:t xml:space="preserve">of </w:t>
            </w:r>
            <w:r w:rsidRPr="00C5726C">
              <w:rPr>
                <w:noProof/>
              </w:rPr>
              <w:t>clinical and administrative information</w:t>
            </w:r>
            <w:r>
              <w:rPr>
                <w:noProof/>
              </w:rPr>
              <w:t>,</w:t>
            </w:r>
            <w:r w:rsidRPr="00C5726C">
              <w:rPr>
                <w:noProof/>
              </w:rPr>
              <w:t xml:space="preserve"> which was expected to impact the delivery of this measure.</w:t>
            </w:r>
          </w:p>
        </w:tc>
      </w:tr>
      <w:tr w:rsidR="00B0569D" w:rsidRPr="00D02A2E" w14:paraId="292451E6" w14:textId="77777777" w:rsidTr="000F1C6B">
        <w:trPr>
          <w:cantSplit/>
        </w:trPr>
        <w:tc>
          <w:tcPr>
            <w:tcW w:w="4761" w:type="dxa"/>
            <w:shd w:val="clear" w:color="auto" w:fill="auto"/>
            <w:hideMark/>
          </w:tcPr>
          <w:p w14:paraId="391E5104" w14:textId="77777777" w:rsidR="00B0569D" w:rsidRPr="00D02A2E" w:rsidRDefault="00B0569D" w:rsidP="00B0569D">
            <w:pPr>
              <w:pStyle w:val="ARtabletext"/>
            </w:pPr>
            <w:r w:rsidRPr="00C5726C">
              <w:rPr>
                <w:noProof/>
              </w:rPr>
              <w:t>New case index</w:t>
            </w:r>
          </w:p>
        </w:tc>
        <w:tc>
          <w:tcPr>
            <w:tcW w:w="1021" w:type="dxa"/>
            <w:shd w:val="clear" w:color="auto" w:fill="auto"/>
            <w:hideMark/>
          </w:tcPr>
          <w:p w14:paraId="5B16D0B5" w14:textId="77777777" w:rsidR="00B0569D" w:rsidRPr="00D02A2E" w:rsidRDefault="00B0569D" w:rsidP="00B0569D">
            <w:pPr>
              <w:pStyle w:val="ARtabletextcentre"/>
            </w:pPr>
            <w:r w:rsidRPr="00C5726C">
              <w:rPr>
                <w:noProof/>
              </w:rPr>
              <w:t>per cent</w:t>
            </w:r>
          </w:p>
        </w:tc>
        <w:tc>
          <w:tcPr>
            <w:tcW w:w="1021" w:type="dxa"/>
            <w:shd w:val="clear" w:color="auto" w:fill="auto"/>
            <w:hideMark/>
          </w:tcPr>
          <w:p w14:paraId="155189D2" w14:textId="77777777" w:rsidR="00B0569D" w:rsidRDefault="00B0569D" w:rsidP="00B0569D">
            <w:pPr>
              <w:pStyle w:val="ARtabletextright"/>
            </w:pPr>
            <w:r w:rsidRPr="00C5726C">
              <w:rPr>
                <w:noProof/>
              </w:rPr>
              <w:t>50</w:t>
            </w:r>
          </w:p>
        </w:tc>
        <w:tc>
          <w:tcPr>
            <w:tcW w:w="1021" w:type="dxa"/>
            <w:shd w:val="clear" w:color="auto" w:fill="auto"/>
            <w:hideMark/>
          </w:tcPr>
          <w:p w14:paraId="7420FD80" w14:textId="77777777" w:rsidR="00B0569D" w:rsidRDefault="00B0569D" w:rsidP="00B0569D">
            <w:pPr>
              <w:pStyle w:val="ARtabletextright"/>
            </w:pPr>
            <w:r w:rsidRPr="00C5726C">
              <w:rPr>
                <w:noProof/>
              </w:rPr>
              <w:t>5</w:t>
            </w:r>
            <w:r>
              <w:rPr>
                <w:noProof/>
              </w:rPr>
              <w:t>0.8</w:t>
            </w:r>
          </w:p>
        </w:tc>
        <w:tc>
          <w:tcPr>
            <w:tcW w:w="1021" w:type="dxa"/>
            <w:shd w:val="clear" w:color="auto" w:fill="auto"/>
          </w:tcPr>
          <w:p w14:paraId="30AA0AE4" w14:textId="77777777" w:rsidR="00B0569D" w:rsidRDefault="00B0569D" w:rsidP="00B0569D">
            <w:pPr>
              <w:pStyle w:val="ARtabletextright"/>
            </w:pPr>
            <w:r>
              <w:rPr>
                <w:noProof/>
              </w:rPr>
              <w:t>1</w:t>
            </w:r>
            <w:r w:rsidRPr="00C5726C">
              <w:rPr>
                <w:noProof/>
              </w:rPr>
              <w:t>.6</w:t>
            </w:r>
          </w:p>
        </w:tc>
        <w:tc>
          <w:tcPr>
            <w:tcW w:w="794" w:type="dxa"/>
            <w:shd w:val="clear" w:color="auto" w:fill="auto"/>
            <w:hideMark/>
          </w:tcPr>
          <w:p w14:paraId="06709C2E" w14:textId="534A4EEE" w:rsidR="00B0569D" w:rsidRPr="00D02A2E" w:rsidRDefault="00CF2633" w:rsidP="00C575AB">
            <w:pPr>
              <w:pStyle w:val="ARtableperformancesymbol"/>
            </w:pPr>
            <w:r>
              <w:rPr>
                <w:noProof/>
              </w:rPr>
              <w:drawing>
                <wp:inline distT="0" distB="0" distL="0" distR="0" wp14:anchorId="6DE14323" wp14:editId="75D97FBC">
                  <wp:extent cx="85320" cy="85320"/>
                  <wp:effectExtent l="0" t="0" r="0" b="0"/>
                  <wp:docPr id="167" name="Graphic 167"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B0569D" w:rsidRPr="00D02A2E" w14:paraId="0DCB388E" w14:textId="77777777" w:rsidTr="000F1C6B">
        <w:trPr>
          <w:cantSplit/>
        </w:trPr>
        <w:tc>
          <w:tcPr>
            <w:tcW w:w="9639" w:type="dxa"/>
            <w:gridSpan w:val="6"/>
            <w:tcBorders>
              <w:bottom w:val="single" w:sz="4" w:space="0" w:color="BFBFBF"/>
            </w:tcBorders>
            <w:shd w:val="clear" w:color="auto" w:fill="auto"/>
            <w:noWrap/>
            <w:hideMark/>
          </w:tcPr>
          <w:p w14:paraId="7166BF71" w14:textId="77777777" w:rsidR="00B0569D" w:rsidRPr="00D02A2E" w:rsidRDefault="00B0569D" w:rsidP="00B0569D">
            <w:pPr>
              <w:pStyle w:val="ARtablenoteindent"/>
            </w:pPr>
            <w:r w:rsidRPr="00C5726C">
              <w:rPr>
                <w:noProof/>
              </w:rPr>
              <w:t>This is a positive result with more new clients being able to access the system.</w:t>
            </w:r>
          </w:p>
        </w:tc>
      </w:tr>
      <w:tr w:rsidR="00B0569D" w:rsidRPr="00D02A2E" w14:paraId="317F4B1D" w14:textId="77777777" w:rsidTr="000F1C6B">
        <w:trPr>
          <w:cantSplit/>
        </w:trPr>
        <w:tc>
          <w:tcPr>
            <w:tcW w:w="4761" w:type="dxa"/>
            <w:tcBorders>
              <w:bottom w:val="single" w:sz="4" w:space="0" w:color="BFBFBF" w:themeColor="background1" w:themeShade="BF"/>
            </w:tcBorders>
            <w:shd w:val="clear" w:color="auto" w:fill="auto"/>
            <w:hideMark/>
          </w:tcPr>
          <w:p w14:paraId="484565A5" w14:textId="77777777" w:rsidR="00B0569D" w:rsidRPr="00D02A2E" w:rsidRDefault="00B0569D" w:rsidP="00B0569D">
            <w:pPr>
              <w:pStyle w:val="ARtabletext"/>
            </w:pPr>
            <w:r w:rsidRPr="00C5726C">
              <w:rPr>
                <w:noProof/>
              </w:rPr>
              <w:t>Registered community clients</w:t>
            </w:r>
          </w:p>
        </w:tc>
        <w:tc>
          <w:tcPr>
            <w:tcW w:w="1021" w:type="dxa"/>
            <w:tcBorders>
              <w:bottom w:val="single" w:sz="4" w:space="0" w:color="BFBFBF" w:themeColor="background1" w:themeShade="BF"/>
            </w:tcBorders>
            <w:shd w:val="clear" w:color="auto" w:fill="auto"/>
            <w:hideMark/>
          </w:tcPr>
          <w:p w14:paraId="29593E6A" w14:textId="77777777" w:rsidR="00B0569D" w:rsidRPr="00D02A2E" w:rsidRDefault="00B0569D" w:rsidP="00B0569D">
            <w:pPr>
              <w:pStyle w:val="ARtabletextcentre"/>
            </w:pPr>
            <w:r w:rsidRPr="00C5726C">
              <w:rPr>
                <w:noProof/>
              </w:rPr>
              <w:t>number</w:t>
            </w:r>
          </w:p>
        </w:tc>
        <w:tc>
          <w:tcPr>
            <w:tcW w:w="1021" w:type="dxa"/>
            <w:tcBorders>
              <w:bottom w:val="single" w:sz="4" w:space="0" w:color="BFBFBF" w:themeColor="background1" w:themeShade="BF"/>
            </w:tcBorders>
            <w:shd w:val="clear" w:color="auto" w:fill="auto"/>
            <w:hideMark/>
          </w:tcPr>
          <w:p w14:paraId="5FBC2952" w14:textId="77777777" w:rsidR="00B0569D" w:rsidRDefault="00B0569D" w:rsidP="00B0569D">
            <w:pPr>
              <w:pStyle w:val="ARtabletextright"/>
            </w:pPr>
            <w:r w:rsidRPr="00C5726C">
              <w:rPr>
                <w:noProof/>
              </w:rPr>
              <w:t>77</w:t>
            </w:r>
            <w:r>
              <w:rPr>
                <w:noProof/>
              </w:rPr>
              <w:t>,</w:t>
            </w:r>
            <w:r w:rsidRPr="00C5726C">
              <w:rPr>
                <w:noProof/>
              </w:rPr>
              <w:t>221</w:t>
            </w:r>
          </w:p>
        </w:tc>
        <w:tc>
          <w:tcPr>
            <w:tcW w:w="1021" w:type="dxa"/>
            <w:tcBorders>
              <w:bottom w:val="single" w:sz="4" w:space="0" w:color="BFBFBF" w:themeColor="background1" w:themeShade="BF"/>
            </w:tcBorders>
            <w:shd w:val="clear" w:color="auto" w:fill="auto"/>
            <w:hideMark/>
          </w:tcPr>
          <w:p w14:paraId="508A0D33" w14:textId="77777777" w:rsidR="00B0569D" w:rsidRDefault="00B0569D" w:rsidP="00B0569D">
            <w:pPr>
              <w:pStyle w:val="ARtabletextright"/>
            </w:pPr>
            <w:r w:rsidRPr="00C5726C">
              <w:rPr>
                <w:noProof/>
              </w:rPr>
              <w:t>7</w:t>
            </w:r>
            <w:r>
              <w:rPr>
                <w:noProof/>
              </w:rPr>
              <w:t>5,397</w:t>
            </w:r>
          </w:p>
        </w:tc>
        <w:tc>
          <w:tcPr>
            <w:tcW w:w="1021" w:type="dxa"/>
            <w:tcBorders>
              <w:bottom w:val="single" w:sz="4" w:space="0" w:color="BFBFBF" w:themeColor="background1" w:themeShade="BF"/>
            </w:tcBorders>
            <w:shd w:val="clear" w:color="auto" w:fill="auto"/>
          </w:tcPr>
          <w:p w14:paraId="5B293245" w14:textId="77777777" w:rsidR="00B0569D" w:rsidRDefault="00B0569D" w:rsidP="00B0569D">
            <w:pPr>
              <w:pStyle w:val="ARtabletextright"/>
            </w:pPr>
            <w:r>
              <w:rPr>
                <w:noProof/>
              </w:rPr>
              <w:t>−2.4</w:t>
            </w:r>
          </w:p>
        </w:tc>
        <w:tc>
          <w:tcPr>
            <w:tcW w:w="794" w:type="dxa"/>
            <w:tcBorders>
              <w:bottom w:val="single" w:sz="4" w:space="0" w:color="BFBFBF" w:themeColor="background1" w:themeShade="BF"/>
            </w:tcBorders>
            <w:shd w:val="clear" w:color="auto" w:fill="auto"/>
            <w:hideMark/>
          </w:tcPr>
          <w:p w14:paraId="567A6B9D" w14:textId="3CA1764F" w:rsidR="00B0569D" w:rsidRPr="00D02A2E" w:rsidRDefault="00CF2633" w:rsidP="00C575AB">
            <w:pPr>
              <w:pStyle w:val="ARtableperformancesymbol"/>
            </w:pPr>
            <w:r w:rsidRPr="00F96CDB">
              <w:rPr>
                <w:noProof/>
              </w:rPr>
              <w:drawing>
                <wp:inline distT="0" distB="0" distL="0" distR="0" wp14:anchorId="7B9F79B7" wp14:editId="300D6A00">
                  <wp:extent cx="76320" cy="76320"/>
                  <wp:effectExtent l="0" t="0" r="0" b="0"/>
                  <wp:docPr id="108" name="Graphic 108" descr="Target not achieved – within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Target not achieved – within five per cent varianc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76320" cy="76320"/>
                          </a:xfrm>
                          <a:prstGeom prst="rect">
                            <a:avLst/>
                          </a:prstGeom>
                        </pic:spPr>
                      </pic:pic>
                    </a:graphicData>
                  </a:graphic>
                </wp:inline>
              </w:drawing>
            </w:r>
            <w:r>
              <w:t xml:space="preserve"> </w:t>
            </w:r>
          </w:p>
        </w:tc>
      </w:tr>
      <w:tr w:rsidR="00B0569D" w:rsidRPr="00D02A2E" w14:paraId="7FE6B49D" w14:textId="77777777" w:rsidTr="000F1C6B">
        <w:trPr>
          <w:cantSplit/>
        </w:trPr>
        <w:tc>
          <w:tcPr>
            <w:tcW w:w="4761" w:type="dxa"/>
            <w:tcBorders>
              <w:top w:val="single" w:sz="4" w:space="0" w:color="BFBFBF" w:themeColor="background1" w:themeShade="BF"/>
            </w:tcBorders>
            <w:shd w:val="clear" w:color="auto" w:fill="auto"/>
            <w:hideMark/>
          </w:tcPr>
          <w:p w14:paraId="7B7172A5" w14:textId="77777777" w:rsidR="00B0569D" w:rsidRPr="00D02A2E" w:rsidRDefault="00B0569D" w:rsidP="00B0569D">
            <w:pPr>
              <w:pStyle w:val="ARtabletext"/>
            </w:pPr>
            <w:r w:rsidRPr="00C5726C">
              <w:rPr>
                <w:noProof/>
              </w:rPr>
              <w:t>Occupied residential bed days</w:t>
            </w:r>
          </w:p>
        </w:tc>
        <w:tc>
          <w:tcPr>
            <w:tcW w:w="1021" w:type="dxa"/>
            <w:tcBorders>
              <w:top w:val="single" w:sz="4" w:space="0" w:color="BFBFBF" w:themeColor="background1" w:themeShade="BF"/>
            </w:tcBorders>
            <w:shd w:val="clear" w:color="auto" w:fill="auto"/>
            <w:hideMark/>
          </w:tcPr>
          <w:p w14:paraId="4A481F59" w14:textId="77777777" w:rsidR="00B0569D" w:rsidRPr="00D02A2E" w:rsidRDefault="00B0569D" w:rsidP="00B0569D">
            <w:pPr>
              <w:pStyle w:val="ARtabletextcentre"/>
            </w:pPr>
            <w:r w:rsidRPr="00C5726C">
              <w:rPr>
                <w:noProof/>
              </w:rPr>
              <w:t>number</w:t>
            </w:r>
          </w:p>
        </w:tc>
        <w:tc>
          <w:tcPr>
            <w:tcW w:w="1021" w:type="dxa"/>
            <w:tcBorders>
              <w:top w:val="single" w:sz="4" w:space="0" w:color="BFBFBF" w:themeColor="background1" w:themeShade="BF"/>
            </w:tcBorders>
            <w:shd w:val="clear" w:color="auto" w:fill="auto"/>
            <w:hideMark/>
          </w:tcPr>
          <w:p w14:paraId="4BE77977" w14:textId="77777777" w:rsidR="00B0569D" w:rsidRDefault="00B0569D" w:rsidP="00B0569D">
            <w:pPr>
              <w:pStyle w:val="ARtabletextright"/>
            </w:pPr>
            <w:r w:rsidRPr="00C5726C">
              <w:rPr>
                <w:noProof/>
              </w:rPr>
              <w:t>153</w:t>
            </w:r>
            <w:r>
              <w:rPr>
                <w:noProof/>
              </w:rPr>
              <w:t>,</w:t>
            </w:r>
            <w:r w:rsidRPr="00C5726C">
              <w:rPr>
                <w:noProof/>
              </w:rPr>
              <w:t>574</w:t>
            </w:r>
          </w:p>
        </w:tc>
        <w:tc>
          <w:tcPr>
            <w:tcW w:w="1021" w:type="dxa"/>
            <w:tcBorders>
              <w:top w:val="single" w:sz="4" w:space="0" w:color="BFBFBF" w:themeColor="background1" w:themeShade="BF"/>
            </w:tcBorders>
            <w:shd w:val="clear" w:color="auto" w:fill="auto"/>
            <w:hideMark/>
          </w:tcPr>
          <w:p w14:paraId="0A2BA5CC" w14:textId="77777777" w:rsidR="00B0569D" w:rsidRDefault="00B0569D" w:rsidP="00B0569D">
            <w:pPr>
              <w:pStyle w:val="ARtabletextright"/>
            </w:pPr>
            <w:r w:rsidRPr="00C5726C">
              <w:rPr>
                <w:noProof/>
              </w:rPr>
              <w:t>151</w:t>
            </w:r>
            <w:r>
              <w:rPr>
                <w:noProof/>
              </w:rPr>
              <w:t>,201</w:t>
            </w:r>
          </w:p>
        </w:tc>
        <w:tc>
          <w:tcPr>
            <w:tcW w:w="1021" w:type="dxa"/>
            <w:tcBorders>
              <w:top w:val="single" w:sz="4" w:space="0" w:color="BFBFBF" w:themeColor="background1" w:themeShade="BF"/>
            </w:tcBorders>
            <w:shd w:val="clear" w:color="auto" w:fill="auto"/>
          </w:tcPr>
          <w:p w14:paraId="4784353C" w14:textId="77777777" w:rsidR="00B0569D" w:rsidRDefault="00B0569D" w:rsidP="00B0569D">
            <w:pPr>
              <w:pStyle w:val="ARtabletextright"/>
            </w:pPr>
            <w:r>
              <w:rPr>
                <w:noProof/>
              </w:rPr>
              <w:t>−</w:t>
            </w:r>
            <w:r w:rsidRPr="00C5726C">
              <w:rPr>
                <w:noProof/>
              </w:rPr>
              <w:t>1.</w:t>
            </w:r>
            <w:r>
              <w:rPr>
                <w:noProof/>
              </w:rPr>
              <w:t>5</w:t>
            </w:r>
          </w:p>
        </w:tc>
        <w:tc>
          <w:tcPr>
            <w:tcW w:w="794" w:type="dxa"/>
            <w:tcBorders>
              <w:top w:val="single" w:sz="4" w:space="0" w:color="BFBFBF" w:themeColor="background1" w:themeShade="BF"/>
            </w:tcBorders>
            <w:shd w:val="clear" w:color="auto" w:fill="auto"/>
            <w:hideMark/>
          </w:tcPr>
          <w:p w14:paraId="35FB2C7E" w14:textId="2C5549A7" w:rsidR="00B0569D" w:rsidRPr="00D02A2E" w:rsidRDefault="00CF2633" w:rsidP="00C575AB">
            <w:pPr>
              <w:pStyle w:val="ARtableperformancesymbol"/>
            </w:pPr>
            <w:r w:rsidRPr="00F96CDB">
              <w:rPr>
                <w:noProof/>
              </w:rPr>
              <w:drawing>
                <wp:inline distT="0" distB="0" distL="0" distR="0" wp14:anchorId="5F36994B" wp14:editId="4CA3ACAF">
                  <wp:extent cx="76320" cy="76320"/>
                  <wp:effectExtent l="0" t="0" r="0" b="0"/>
                  <wp:docPr id="109" name="Graphic 109" descr="Target not achieved – within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Target not achieved – within five per cent varianc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76320" cy="76320"/>
                          </a:xfrm>
                          <a:prstGeom prst="rect">
                            <a:avLst/>
                          </a:prstGeom>
                        </pic:spPr>
                      </pic:pic>
                    </a:graphicData>
                  </a:graphic>
                </wp:inline>
              </w:drawing>
            </w:r>
            <w:r>
              <w:t xml:space="preserve"> </w:t>
            </w:r>
          </w:p>
        </w:tc>
      </w:tr>
      <w:tr w:rsidR="00B0569D" w:rsidRPr="00D02A2E" w14:paraId="6BAC14AA" w14:textId="77777777" w:rsidTr="000F1C6B">
        <w:trPr>
          <w:cantSplit/>
        </w:trPr>
        <w:tc>
          <w:tcPr>
            <w:tcW w:w="9639" w:type="dxa"/>
            <w:gridSpan w:val="6"/>
            <w:tcBorders>
              <w:bottom w:val="single" w:sz="4" w:space="0" w:color="BFBFBF"/>
            </w:tcBorders>
            <w:shd w:val="clear" w:color="auto" w:fill="auto"/>
            <w:noWrap/>
            <w:hideMark/>
          </w:tcPr>
          <w:p w14:paraId="50ABD8E1" w14:textId="77777777" w:rsidR="00B0569D" w:rsidRPr="00D02A2E" w:rsidRDefault="00B0569D" w:rsidP="00B0569D">
            <w:pPr>
              <w:pStyle w:val="ARtablenoteindent"/>
            </w:pPr>
            <w:r w:rsidRPr="00C5726C">
              <w:rPr>
                <w:noProof/>
              </w:rPr>
              <w:t>This lower resu</w:t>
            </w:r>
            <w:r>
              <w:rPr>
                <w:noProof/>
              </w:rPr>
              <w:t>l</w:t>
            </w:r>
            <w:r w:rsidRPr="00C5726C">
              <w:rPr>
                <w:noProof/>
              </w:rPr>
              <w:t xml:space="preserve">t is driven by the lower Quarter 1 bed occupancy result due to COVID-19. Health services have reported that vulnerable patients </w:t>
            </w:r>
            <w:r>
              <w:rPr>
                <w:noProof/>
              </w:rPr>
              <w:t>are</w:t>
            </w:r>
            <w:r w:rsidRPr="00C5726C">
              <w:rPr>
                <w:noProof/>
              </w:rPr>
              <w:t xml:space="preserve"> reluctant to be admitted to bed</w:t>
            </w:r>
            <w:r>
              <w:rPr>
                <w:noProof/>
              </w:rPr>
              <w:t>-</w:t>
            </w:r>
            <w:r w:rsidRPr="00C5726C">
              <w:rPr>
                <w:noProof/>
              </w:rPr>
              <w:t xml:space="preserve">based settings during the </w:t>
            </w:r>
            <w:r>
              <w:rPr>
                <w:noProof/>
              </w:rPr>
              <w:t>COVID-19</w:t>
            </w:r>
            <w:r w:rsidRPr="00C5726C">
              <w:rPr>
                <w:noProof/>
              </w:rPr>
              <w:t xml:space="preserve"> pandemic.</w:t>
            </w:r>
          </w:p>
        </w:tc>
      </w:tr>
      <w:tr w:rsidR="00B0569D" w:rsidRPr="00D02A2E" w14:paraId="39DE20FB" w14:textId="77777777" w:rsidTr="000F1C6B">
        <w:trPr>
          <w:cantSplit/>
        </w:trPr>
        <w:tc>
          <w:tcPr>
            <w:tcW w:w="4761" w:type="dxa"/>
            <w:shd w:val="clear" w:color="auto" w:fill="auto"/>
            <w:hideMark/>
          </w:tcPr>
          <w:p w14:paraId="43A1B14C" w14:textId="77777777" w:rsidR="00B0569D" w:rsidRPr="00D02A2E" w:rsidRDefault="00B0569D" w:rsidP="00B0569D">
            <w:pPr>
              <w:pStyle w:val="ARtabletext"/>
            </w:pPr>
            <w:r w:rsidRPr="00C5726C">
              <w:rPr>
                <w:noProof/>
              </w:rPr>
              <w:t>Occupied Sub-acute bed days</w:t>
            </w:r>
          </w:p>
        </w:tc>
        <w:tc>
          <w:tcPr>
            <w:tcW w:w="1021" w:type="dxa"/>
            <w:shd w:val="clear" w:color="auto" w:fill="auto"/>
            <w:hideMark/>
          </w:tcPr>
          <w:p w14:paraId="2D1B8E0C" w14:textId="77777777" w:rsidR="00B0569D" w:rsidRPr="00D02A2E" w:rsidRDefault="00B0569D" w:rsidP="00B0569D">
            <w:pPr>
              <w:pStyle w:val="ARtabletextcentre"/>
            </w:pPr>
            <w:r w:rsidRPr="00C5726C">
              <w:rPr>
                <w:noProof/>
              </w:rPr>
              <w:t>number</w:t>
            </w:r>
          </w:p>
        </w:tc>
        <w:tc>
          <w:tcPr>
            <w:tcW w:w="1021" w:type="dxa"/>
            <w:shd w:val="clear" w:color="auto" w:fill="auto"/>
            <w:hideMark/>
          </w:tcPr>
          <w:p w14:paraId="1525293F" w14:textId="77777777" w:rsidR="00B0569D" w:rsidRDefault="00B0569D" w:rsidP="00B0569D">
            <w:pPr>
              <w:pStyle w:val="ARtabletextright"/>
            </w:pPr>
            <w:r w:rsidRPr="00C5726C">
              <w:rPr>
                <w:noProof/>
              </w:rPr>
              <w:t>186</w:t>
            </w:r>
            <w:r>
              <w:rPr>
                <w:noProof/>
              </w:rPr>
              <w:t>,</w:t>
            </w:r>
            <w:r w:rsidRPr="00C5726C">
              <w:rPr>
                <w:noProof/>
              </w:rPr>
              <w:t>771</w:t>
            </w:r>
          </w:p>
        </w:tc>
        <w:tc>
          <w:tcPr>
            <w:tcW w:w="1021" w:type="dxa"/>
            <w:shd w:val="clear" w:color="auto" w:fill="auto"/>
            <w:hideMark/>
          </w:tcPr>
          <w:p w14:paraId="4DAC02EB" w14:textId="77777777" w:rsidR="00B0569D" w:rsidRDefault="00B0569D" w:rsidP="00B0569D">
            <w:pPr>
              <w:pStyle w:val="ARtabletextright"/>
            </w:pPr>
            <w:r w:rsidRPr="00C5726C">
              <w:rPr>
                <w:noProof/>
              </w:rPr>
              <w:t>196</w:t>
            </w:r>
            <w:r>
              <w:rPr>
                <w:noProof/>
              </w:rPr>
              <w:t>,034</w:t>
            </w:r>
          </w:p>
        </w:tc>
        <w:tc>
          <w:tcPr>
            <w:tcW w:w="1021" w:type="dxa"/>
            <w:shd w:val="clear" w:color="auto" w:fill="auto"/>
          </w:tcPr>
          <w:p w14:paraId="5AF8D194" w14:textId="77777777" w:rsidR="00B0569D" w:rsidRDefault="00B0569D" w:rsidP="00B0569D">
            <w:pPr>
              <w:pStyle w:val="ARtabletextright"/>
            </w:pPr>
            <w:r w:rsidRPr="00C5726C">
              <w:rPr>
                <w:noProof/>
              </w:rPr>
              <w:t>5.</w:t>
            </w:r>
            <w:r>
              <w:rPr>
                <w:noProof/>
              </w:rPr>
              <w:t>0</w:t>
            </w:r>
          </w:p>
        </w:tc>
        <w:tc>
          <w:tcPr>
            <w:tcW w:w="794" w:type="dxa"/>
            <w:shd w:val="clear" w:color="auto" w:fill="auto"/>
            <w:hideMark/>
          </w:tcPr>
          <w:p w14:paraId="168CFD4D" w14:textId="1BBB21FD" w:rsidR="00B0569D" w:rsidRPr="00D02A2E" w:rsidRDefault="00CF2633" w:rsidP="00C575AB">
            <w:pPr>
              <w:pStyle w:val="ARtableperformancesymbol"/>
            </w:pPr>
            <w:r>
              <w:rPr>
                <w:noProof/>
              </w:rPr>
              <w:drawing>
                <wp:inline distT="0" distB="0" distL="0" distR="0" wp14:anchorId="7A8E5C87" wp14:editId="4280B0E9">
                  <wp:extent cx="85320" cy="85320"/>
                  <wp:effectExtent l="0" t="0" r="0" b="0"/>
                  <wp:docPr id="168" name="Graphic 168"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B0569D" w:rsidRPr="00D02A2E" w14:paraId="445C7226" w14:textId="77777777" w:rsidTr="000F1C6B">
        <w:trPr>
          <w:cantSplit/>
        </w:trPr>
        <w:tc>
          <w:tcPr>
            <w:tcW w:w="9639" w:type="dxa"/>
            <w:gridSpan w:val="6"/>
            <w:tcBorders>
              <w:bottom w:val="single" w:sz="4" w:space="0" w:color="BFBFBF"/>
            </w:tcBorders>
            <w:shd w:val="clear" w:color="auto" w:fill="auto"/>
            <w:noWrap/>
            <w:hideMark/>
          </w:tcPr>
          <w:p w14:paraId="19A404E5" w14:textId="77777777" w:rsidR="00B0569D" w:rsidRPr="00D02A2E" w:rsidRDefault="00B0569D" w:rsidP="00B0569D">
            <w:pPr>
              <w:pStyle w:val="ARtablenoteindent"/>
            </w:pPr>
            <w:r w:rsidRPr="00C5726C">
              <w:rPr>
                <w:noProof/>
              </w:rPr>
              <w:t>This lower resu</w:t>
            </w:r>
            <w:r>
              <w:rPr>
                <w:noProof/>
              </w:rPr>
              <w:t>l</w:t>
            </w:r>
            <w:r w:rsidRPr="00C5726C">
              <w:rPr>
                <w:noProof/>
              </w:rPr>
              <w:t xml:space="preserve">t is driven by the lower Quarter 1 bed occupancy result due to COVID-19. Health services have reported that vulnerable patients </w:t>
            </w:r>
            <w:r>
              <w:rPr>
                <w:noProof/>
              </w:rPr>
              <w:t>are</w:t>
            </w:r>
            <w:r w:rsidRPr="00C5726C">
              <w:rPr>
                <w:noProof/>
              </w:rPr>
              <w:t xml:space="preserve"> reluctant to be admitted to bed</w:t>
            </w:r>
            <w:r>
              <w:rPr>
                <w:noProof/>
              </w:rPr>
              <w:t>-</w:t>
            </w:r>
            <w:r w:rsidRPr="00C5726C">
              <w:rPr>
                <w:noProof/>
              </w:rPr>
              <w:t xml:space="preserve">based settings during the </w:t>
            </w:r>
            <w:r>
              <w:rPr>
                <w:noProof/>
              </w:rPr>
              <w:t>COVID-19</w:t>
            </w:r>
            <w:r w:rsidRPr="00C5726C">
              <w:rPr>
                <w:noProof/>
              </w:rPr>
              <w:t xml:space="preserve"> pandemic.</w:t>
            </w:r>
          </w:p>
        </w:tc>
      </w:tr>
      <w:tr w:rsidR="00B0569D" w:rsidRPr="00D02A2E" w14:paraId="2C2C8DA6" w14:textId="77777777" w:rsidTr="000F1C6B">
        <w:trPr>
          <w:cantSplit/>
        </w:trPr>
        <w:tc>
          <w:tcPr>
            <w:tcW w:w="9639" w:type="dxa"/>
            <w:gridSpan w:val="6"/>
            <w:tcBorders>
              <w:top w:val="single" w:sz="4" w:space="0" w:color="auto"/>
            </w:tcBorders>
            <w:shd w:val="clear" w:color="auto" w:fill="auto"/>
            <w:hideMark/>
          </w:tcPr>
          <w:p w14:paraId="2993F50C" w14:textId="77777777" w:rsidR="00B0569D" w:rsidRPr="00D02A2E" w:rsidRDefault="00B0569D" w:rsidP="00B0569D">
            <w:pPr>
              <w:pStyle w:val="ARtablegreybold"/>
              <w:rPr>
                <w:rFonts w:ascii="Wingdings" w:hAnsi="Wingdings"/>
              </w:rPr>
            </w:pPr>
            <w:r>
              <w:t>Quality</w:t>
            </w:r>
          </w:p>
        </w:tc>
      </w:tr>
      <w:tr w:rsidR="00D64E2C" w:rsidRPr="00D02A2E" w14:paraId="09D14AD1" w14:textId="77777777" w:rsidTr="000F1C6B">
        <w:trPr>
          <w:cantSplit/>
        </w:trPr>
        <w:tc>
          <w:tcPr>
            <w:tcW w:w="4761" w:type="dxa"/>
            <w:shd w:val="clear" w:color="auto" w:fill="auto"/>
            <w:hideMark/>
          </w:tcPr>
          <w:p w14:paraId="4442ED4D" w14:textId="77777777" w:rsidR="00D64E2C" w:rsidRPr="00D02A2E" w:rsidRDefault="00D64E2C" w:rsidP="00D64E2C">
            <w:pPr>
              <w:pStyle w:val="ARtabletext"/>
            </w:pPr>
            <w:r w:rsidRPr="00C5726C">
              <w:rPr>
                <w:noProof/>
              </w:rPr>
              <w:t>Clients readmitted (unplanned) within 28 days</w:t>
            </w:r>
          </w:p>
        </w:tc>
        <w:tc>
          <w:tcPr>
            <w:tcW w:w="1021" w:type="dxa"/>
            <w:shd w:val="clear" w:color="auto" w:fill="auto"/>
            <w:hideMark/>
          </w:tcPr>
          <w:p w14:paraId="56966E33" w14:textId="77777777" w:rsidR="00D64E2C" w:rsidRPr="00D02A2E" w:rsidRDefault="00D64E2C" w:rsidP="00D64E2C">
            <w:pPr>
              <w:pStyle w:val="ARtabletextcentre"/>
            </w:pPr>
            <w:r w:rsidRPr="00C5726C">
              <w:rPr>
                <w:noProof/>
              </w:rPr>
              <w:t>per cent</w:t>
            </w:r>
          </w:p>
        </w:tc>
        <w:tc>
          <w:tcPr>
            <w:tcW w:w="1021" w:type="dxa"/>
            <w:shd w:val="clear" w:color="auto" w:fill="auto"/>
            <w:hideMark/>
          </w:tcPr>
          <w:p w14:paraId="640E8273" w14:textId="77777777" w:rsidR="00D64E2C" w:rsidRDefault="00D64E2C" w:rsidP="00D64E2C">
            <w:pPr>
              <w:pStyle w:val="ARtabletextright"/>
            </w:pPr>
            <w:r w:rsidRPr="00C5726C">
              <w:rPr>
                <w:noProof/>
              </w:rPr>
              <w:t>14</w:t>
            </w:r>
          </w:p>
        </w:tc>
        <w:tc>
          <w:tcPr>
            <w:tcW w:w="1021" w:type="dxa"/>
            <w:shd w:val="clear" w:color="auto" w:fill="auto"/>
            <w:hideMark/>
          </w:tcPr>
          <w:p w14:paraId="1BAF7382" w14:textId="77777777" w:rsidR="00D64E2C" w:rsidRDefault="00D64E2C" w:rsidP="00D64E2C">
            <w:pPr>
              <w:pStyle w:val="ARtabletextright"/>
            </w:pPr>
            <w:r w:rsidRPr="00C5726C">
              <w:rPr>
                <w:noProof/>
              </w:rPr>
              <w:t>15</w:t>
            </w:r>
          </w:p>
        </w:tc>
        <w:tc>
          <w:tcPr>
            <w:tcW w:w="1021" w:type="dxa"/>
            <w:shd w:val="clear" w:color="auto" w:fill="auto"/>
          </w:tcPr>
          <w:p w14:paraId="34EF1420" w14:textId="77777777" w:rsidR="00D64E2C" w:rsidRDefault="00D64E2C" w:rsidP="00D64E2C">
            <w:pPr>
              <w:pStyle w:val="ARtabletextright"/>
            </w:pPr>
            <w:r w:rsidRPr="00C5726C">
              <w:rPr>
                <w:noProof/>
              </w:rPr>
              <w:t>7.</w:t>
            </w:r>
            <w:r>
              <w:rPr>
                <w:noProof/>
              </w:rPr>
              <w:t>1</w:t>
            </w:r>
          </w:p>
        </w:tc>
        <w:tc>
          <w:tcPr>
            <w:tcW w:w="794" w:type="dxa"/>
            <w:shd w:val="clear" w:color="auto" w:fill="auto"/>
            <w:hideMark/>
          </w:tcPr>
          <w:p w14:paraId="52E3D78E" w14:textId="5FCF5587" w:rsidR="00D64E2C" w:rsidRPr="00D02A2E" w:rsidRDefault="00D64E2C" w:rsidP="00C575AB">
            <w:pPr>
              <w:pStyle w:val="ARtableperformancesymbol"/>
            </w:pPr>
            <w:r>
              <w:rPr>
                <w:noProof/>
              </w:rPr>
              <w:drawing>
                <wp:inline distT="0" distB="0" distL="0" distR="0" wp14:anchorId="30111521" wp14:editId="1A645AD9">
                  <wp:extent cx="76320" cy="76320"/>
                  <wp:effectExtent l="0" t="0" r="0" b="0"/>
                  <wp:docPr id="84" name="Graphic 84"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D64E2C" w:rsidRPr="00D02A2E" w14:paraId="6FDBE276" w14:textId="77777777" w:rsidTr="000F1C6B">
        <w:trPr>
          <w:cantSplit/>
        </w:trPr>
        <w:tc>
          <w:tcPr>
            <w:tcW w:w="9639" w:type="dxa"/>
            <w:gridSpan w:val="6"/>
            <w:tcBorders>
              <w:bottom w:val="single" w:sz="4" w:space="0" w:color="BFBFBF"/>
            </w:tcBorders>
            <w:shd w:val="clear" w:color="auto" w:fill="auto"/>
            <w:noWrap/>
            <w:hideMark/>
          </w:tcPr>
          <w:p w14:paraId="3D2FDA70" w14:textId="77777777" w:rsidR="00D64E2C" w:rsidRPr="00D02A2E" w:rsidRDefault="00D64E2C" w:rsidP="00D64E2C">
            <w:pPr>
              <w:pStyle w:val="ARtablenoteindent"/>
            </w:pPr>
            <w:r w:rsidRPr="00C5726C">
              <w:rPr>
                <w:noProof/>
              </w:rPr>
              <w:t>The outcome can be attributed to potentially shorter length of stay and consumers being discharged prematurely due to high bed demand/insufficient beds being available</w:t>
            </w:r>
            <w:r>
              <w:rPr>
                <w:noProof/>
              </w:rPr>
              <w:t>,</w:t>
            </w:r>
            <w:r w:rsidRPr="00C5726C">
              <w:rPr>
                <w:noProof/>
              </w:rPr>
              <w:t xml:space="preserve"> resulting in higher rates of readmission. At times, due to the pandemic</w:t>
            </w:r>
            <w:r>
              <w:rPr>
                <w:noProof/>
              </w:rPr>
              <w:t>,</w:t>
            </w:r>
            <w:r w:rsidRPr="00C5726C">
              <w:rPr>
                <w:noProof/>
              </w:rPr>
              <w:t xml:space="preserve"> beds were closed to ensure COVID</w:t>
            </w:r>
            <w:r>
              <w:rPr>
                <w:noProof/>
              </w:rPr>
              <w:t>-19</w:t>
            </w:r>
            <w:r w:rsidRPr="00C5726C">
              <w:rPr>
                <w:noProof/>
              </w:rPr>
              <w:t xml:space="preserve"> safety, which resulted in increased pressure for throughput, which can </w:t>
            </w:r>
            <w:r>
              <w:rPr>
                <w:noProof/>
              </w:rPr>
              <w:t>lead to</w:t>
            </w:r>
            <w:r w:rsidRPr="00C5726C">
              <w:rPr>
                <w:noProof/>
              </w:rPr>
              <w:t xml:space="preserve"> discharge earlier than preferred. This can drive readmission. Challenges in delivering face to face community care and support during the pandemic, while telehealth and video health services</w:t>
            </w:r>
            <w:r>
              <w:rPr>
                <w:noProof/>
              </w:rPr>
              <w:t xml:space="preserve"> increased</w:t>
            </w:r>
            <w:r w:rsidRPr="00C5726C">
              <w:rPr>
                <w:noProof/>
              </w:rPr>
              <w:t>, ha</w:t>
            </w:r>
            <w:r>
              <w:rPr>
                <w:noProof/>
              </w:rPr>
              <w:t>ve</w:t>
            </w:r>
            <w:r w:rsidRPr="00C5726C">
              <w:rPr>
                <w:noProof/>
              </w:rPr>
              <w:t xml:space="preserve"> been reported as sub optimal for some consumers and may have contributed to readmissions.</w:t>
            </w:r>
          </w:p>
        </w:tc>
      </w:tr>
      <w:tr w:rsidR="00D64E2C" w:rsidRPr="00D02A2E" w14:paraId="4971E92D" w14:textId="77777777" w:rsidTr="000F1C6B">
        <w:trPr>
          <w:cantSplit/>
        </w:trPr>
        <w:tc>
          <w:tcPr>
            <w:tcW w:w="4761" w:type="dxa"/>
            <w:shd w:val="clear" w:color="auto" w:fill="auto"/>
            <w:hideMark/>
          </w:tcPr>
          <w:p w14:paraId="618BB8A9" w14:textId="77777777" w:rsidR="00D64E2C" w:rsidRPr="00D02A2E" w:rsidRDefault="00D64E2C" w:rsidP="00D64E2C">
            <w:pPr>
              <w:pStyle w:val="ARtabletext"/>
            </w:pPr>
            <w:r w:rsidRPr="00C5726C">
              <w:rPr>
                <w:noProof/>
              </w:rPr>
              <w:t>New client index</w:t>
            </w:r>
          </w:p>
        </w:tc>
        <w:tc>
          <w:tcPr>
            <w:tcW w:w="1021" w:type="dxa"/>
            <w:shd w:val="clear" w:color="auto" w:fill="auto"/>
            <w:hideMark/>
          </w:tcPr>
          <w:p w14:paraId="48380588" w14:textId="77777777" w:rsidR="00D64E2C" w:rsidRPr="00D02A2E" w:rsidRDefault="00D64E2C" w:rsidP="00D64E2C">
            <w:pPr>
              <w:pStyle w:val="ARtabletextcentre"/>
            </w:pPr>
            <w:r w:rsidRPr="00C5726C">
              <w:rPr>
                <w:noProof/>
              </w:rPr>
              <w:t>per cent</w:t>
            </w:r>
          </w:p>
        </w:tc>
        <w:tc>
          <w:tcPr>
            <w:tcW w:w="1021" w:type="dxa"/>
            <w:shd w:val="clear" w:color="auto" w:fill="auto"/>
            <w:hideMark/>
          </w:tcPr>
          <w:p w14:paraId="28391FF4" w14:textId="77777777" w:rsidR="00D64E2C" w:rsidRDefault="00D64E2C" w:rsidP="00D64E2C">
            <w:pPr>
              <w:pStyle w:val="ARtabletextright"/>
            </w:pPr>
            <w:r w:rsidRPr="00C5726C">
              <w:rPr>
                <w:noProof/>
              </w:rPr>
              <w:t>45</w:t>
            </w:r>
          </w:p>
        </w:tc>
        <w:tc>
          <w:tcPr>
            <w:tcW w:w="1021" w:type="dxa"/>
            <w:shd w:val="clear" w:color="auto" w:fill="auto"/>
            <w:hideMark/>
          </w:tcPr>
          <w:p w14:paraId="328B9C8C" w14:textId="77777777" w:rsidR="00D64E2C" w:rsidRDefault="00D64E2C" w:rsidP="00D64E2C">
            <w:pPr>
              <w:pStyle w:val="ARtabletextright"/>
            </w:pPr>
            <w:r w:rsidRPr="00C5726C">
              <w:rPr>
                <w:noProof/>
              </w:rPr>
              <w:t>45.7</w:t>
            </w:r>
          </w:p>
        </w:tc>
        <w:tc>
          <w:tcPr>
            <w:tcW w:w="1021" w:type="dxa"/>
            <w:shd w:val="clear" w:color="auto" w:fill="auto"/>
          </w:tcPr>
          <w:p w14:paraId="31017696" w14:textId="77777777" w:rsidR="00D64E2C" w:rsidRDefault="00D64E2C" w:rsidP="00D64E2C">
            <w:pPr>
              <w:pStyle w:val="ARtabletextright"/>
            </w:pPr>
            <w:r>
              <w:rPr>
                <w:noProof/>
              </w:rPr>
              <w:t>−</w:t>
            </w:r>
            <w:r w:rsidRPr="00C5726C">
              <w:rPr>
                <w:noProof/>
              </w:rPr>
              <w:t>1.6</w:t>
            </w:r>
          </w:p>
        </w:tc>
        <w:tc>
          <w:tcPr>
            <w:tcW w:w="794" w:type="dxa"/>
            <w:shd w:val="clear" w:color="auto" w:fill="auto"/>
            <w:hideMark/>
          </w:tcPr>
          <w:p w14:paraId="202F1629" w14:textId="601161D6" w:rsidR="00D64E2C" w:rsidRPr="00D02A2E" w:rsidRDefault="00CF2633" w:rsidP="00C575AB">
            <w:pPr>
              <w:pStyle w:val="ARtableperformancesymbol"/>
            </w:pPr>
            <w:r>
              <w:rPr>
                <w:noProof/>
              </w:rPr>
              <w:drawing>
                <wp:inline distT="0" distB="0" distL="0" distR="0" wp14:anchorId="4F766166" wp14:editId="0B835987">
                  <wp:extent cx="85320" cy="85320"/>
                  <wp:effectExtent l="0" t="0" r="0" b="0"/>
                  <wp:docPr id="169" name="Graphic 169"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D64E2C" w:rsidRPr="00D02A2E" w14:paraId="7664D304" w14:textId="77777777" w:rsidTr="000F1C6B">
        <w:trPr>
          <w:cantSplit/>
        </w:trPr>
        <w:tc>
          <w:tcPr>
            <w:tcW w:w="9639" w:type="dxa"/>
            <w:gridSpan w:val="6"/>
            <w:tcBorders>
              <w:bottom w:val="single" w:sz="4" w:space="0" w:color="BFBFBF"/>
            </w:tcBorders>
            <w:shd w:val="clear" w:color="auto" w:fill="auto"/>
            <w:noWrap/>
            <w:hideMark/>
          </w:tcPr>
          <w:p w14:paraId="320B4BB9" w14:textId="77777777" w:rsidR="00D64E2C" w:rsidRPr="00D02A2E" w:rsidRDefault="00D64E2C" w:rsidP="00D64E2C">
            <w:pPr>
              <w:pStyle w:val="ARtablenoteindent"/>
            </w:pPr>
            <w:r w:rsidRPr="00C5726C">
              <w:rPr>
                <w:noProof/>
              </w:rPr>
              <w:t>This is a slightly higher result but suggests that services are continuing to see new consumers despite the ongoing impacts of the</w:t>
            </w:r>
            <w:r>
              <w:rPr>
                <w:noProof/>
              </w:rPr>
              <w:t xml:space="preserve"> COVID-19</w:t>
            </w:r>
            <w:r w:rsidRPr="00C5726C">
              <w:rPr>
                <w:noProof/>
              </w:rPr>
              <w:t xml:space="preserve"> pandemic.</w:t>
            </w:r>
          </w:p>
        </w:tc>
      </w:tr>
      <w:tr w:rsidR="00D64E2C" w:rsidRPr="00D02A2E" w14:paraId="3739274C" w14:textId="77777777" w:rsidTr="000F1C6B">
        <w:trPr>
          <w:cantSplit/>
        </w:trPr>
        <w:tc>
          <w:tcPr>
            <w:tcW w:w="4761" w:type="dxa"/>
            <w:tcBorders>
              <w:bottom w:val="single" w:sz="4" w:space="0" w:color="BFBFBF" w:themeColor="background1" w:themeShade="BF"/>
            </w:tcBorders>
            <w:shd w:val="clear" w:color="auto" w:fill="auto"/>
            <w:hideMark/>
          </w:tcPr>
          <w:p w14:paraId="1500465A" w14:textId="77777777" w:rsidR="00D64E2C" w:rsidRPr="00D02A2E" w:rsidRDefault="00D64E2C" w:rsidP="00D64E2C">
            <w:pPr>
              <w:pStyle w:val="ARtabletext"/>
            </w:pPr>
            <w:r w:rsidRPr="00C5726C">
              <w:rPr>
                <w:noProof/>
              </w:rPr>
              <w:t>Number of designated mental health services achieving or maintaining accreditation under the National Safety and Quality in Health Service Standards</w:t>
            </w:r>
          </w:p>
        </w:tc>
        <w:tc>
          <w:tcPr>
            <w:tcW w:w="1021" w:type="dxa"/>
            <w:tcBorders>
              <w:bottom w:val="single" w:sz="4" w:space="0" w:color="BFBFBF" w:themeColor="background1" w:themeShade="BF"/>
            </w:tcBorders>
            <w:shd w:val="clear" w:color="auto" w:fill="auto"/>
            <w:hideMark/>
          </w:tcPr>
          <w:p w14:paraId="4697B4F3" w14:textId="77777777" w:rsidR="00D64E2C" w:rsidRPr="00D02A2E" w:rsidRDefault="00D64E2C" w:rsidP="00D64E2C">
            <w:pPr>
              <w:pStyle w:val="ARtabletextcentre"/>
            </w:pPr>
            <w:r w:rsidRPr="00C5726C">
              <w:rPr>
                <w:noProof/>
              </w:rPr>
              <w:t>number</w:t>
            </w:r>
          </w:p>
        </w:tc>
        <w:tc>
          <w:tcPr>
            <w:tcW w:w="1021" w:type="dxa"/>
            <w:tcBorders>
              <w:bottom w:val="single" w:sz="4" w:space="0" w:color="BFBFBF" w:themeColor="background1" w:themeShade="BF"/>
            </w:tcBorders>
            <w:shd w:val="clear" w:color="auto" w:fill="auto"/>
            <w:hideMark/>
          </w:tcPr>
          <w:p w14:paraId="4505A857" w14:textId="77777777" w:rsidR="00D64E2C" w:rsidRDefault="00D64E2C" w:rsidP="00D64E2C">
            <w:pPr>
              <w:pStyle w:val="ARtabletextright"/>
            </w:pPr>
            <w:r w:rsidRPr="00C5726C">
              <w:rPr>
                <w:noProof/>
              </w:rPr>
              <w:t>18</w:t>
            </w:r>
          </w:p>
        </w:tc>
        <w:tc>
          <w:tcPr>
            <w:tcW w:w="1021" w:type="dxa"/>
            <w:tcBorders>
              <w:bottom w:val="single" w:sz="4" w:space="0" w:color="BFBFBF" w:themeColor="background1" w:themeShade="BF"/>
            </w:tcBorders>
            <w:shd w:val="clear" w:color="auto" w:fill="auto"/>
            <w:hideMark/>
          </w:tcPr>
          <w:p w14:paraId="0517F830" w14:textId="77777777" w:rsidR="00D64E2C" w:rsidRDefault="00D64E2C" w:rsidP="00D64E2C">
            <w:pPr>
              <w:pStyle w:val="ARtabletextright"/>
            </w:pPr>
            <w:r w:rsidRPr="00C5726C">
              <w:rPr>
                <w:noProof/>
              </w:rPr>
              <w:t>18</w:t>
            </w:r>
          </w:p>
        </w:tc>
        <w:tc>
          <w:tcPr>
            <w:tcW w:w="1021" w:type="dxa"/>
            <w:tcBorders>
              <w:bottom w:val="single" w:sz="4" w:space="0" w:color="BFBFBF" w:themeColor="background1" w:themeShade="BF"/>
            </w:tcBorders>
            <w:shd w:val="clear" w:color="auto" w:fill="auto"/>
          </w:tcPr>
          <w:p w14:paraId="0398F01B" w14:textId="77777777" w:rsidR="00D64E2C" w:rsidRDefault="00D64E2C" w:rsidP="00D64E2C">
            <w:pPr>
              <w:pStyle w:val="ARtabletextright"/>
            </w:pPr>
            <w:r w:rsidRPr="00C5726C">
              <w:rPr>
                <w:noProof/>
              </w:rPr>
              <w:t>0</w:t>
            </w:r>
          </w:p>
        </w:tc>
        <w:tc>
          <w:tcPr>
            <w:tcW w:w="794" w:type="dxa"/>
            <w:tcBorders>
              <w:bottom w:val="single" w:sz="4" w:space="0" w:color="BFBFBF" w:themeColor="background1" w:themeShade="BF"/>
            </w:tcBorders>
            <w:shd w:val="clear" w:color="auto" w:fill="auto"/>
            <w:hideMark/>
          </w:tcPr>
          <w:p w14:paraId="1D3FE4CC" w14:textId="56BDDB48" w:rsidR="00D64E2C" w:rsidRPr="00D02A2E" w:rsidRDefault="00CF2633" w:rsidP="00C575AB">
            <w:pPr>
              <w:pStyle w:val="ARtableperformancesymbol"/>
            </w:pPr>
            <w:r>
              <w:rPr>
                <w:noProof/>
              </w:rPr>
              <w:drawing>
                <wp:inline distT="0" distB="0" distL="0" distR="0" wp14:anchorId="79A6A87A" wp14:editId="099A4BBB">
                  <wp:extent cx="85320" cy="85320"/>
                  <wp:effectExtent l="0" t="0" r="0" b="0"/>
                  <wp:docPr id="170" name="Graphic 170"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D64E2C" w:rsidRPr="00D02A2E" w14:paraId="7B76B997" w14:textId="77777777" w:rsidTr="000F1C6B">
        <w:trPr>
          <w:cantSplit/>
        </w:trPr>
        <w:tc>
          <w:tcPr>
            <w:tcW w:w="4761" w:type="dxa"/>
            <w:tcBorders>
              <w:top w:val="single" w:sz="4" w:space="0" w:color="BFBFBF" w:themeColor="background1" w:themeShade="BF"/>
            </w:tcBorders>
            <w:shd w:val="clear" w:color="auto" w:fill="auto"/>
            <w:hideMark/>
          </w:tcPr>
          <w:p w14:paraId="26A56980" w14:textId="77777777" w:rsidR="00D64E2C" w:rsidRPr="00D02A2E" w:rsidRDefault="00D64E2C" w:rsidP="00D64E2C">
            <w:pPr>
              <w:pStyle w:val="ARtabletext"/>
            </w:pPr>
            <w:r w:rsidRPr="00C5726C">
              <w:rPr>
                <w:noProof/>
              </w:rPr>
              <w:t>Post-discharge community care (child and adolescent)</w:t>
            </w:r>
          </w:p>
        </w:tc>
        <w:tc>
          <w:tcPr>
            <w:tcW w:w="1021" w:type="dxa"/>
            <w:tcBorders>
              <w:top w:val="single" w:sz="4" w:space="0" w:color="BFBFBF" w:themeColor="background1" w:themeShade="BF"/>
            </w:tcBorders>
            <w:shd w:val="clear" w:color="auto" w:fill="auto"/>
            <w:hideMark/>
          </w:tcPr>
          <w:p w14:paraId="32CD13A4" w14:textId="77777777" w:rsidR="00D64E2C" w:rsidRPr="00D02A2E" w:rsidRDefault="00D64E2C" w:rsidP="00D64E2C">
            <w:pPr>
              <w:pStyle w:val="ARtabletextcentre"/>
            </w:pPr>
            <w:r w:rsidRPr="00C5726C">
              <w:rPr>
                <w:noProof/>
              </w:rPr>
              <w:t>per cent</w:t>
            </w:r>
          </w:p>
        </w:tc>
        <w:tc>
          <w:tcPr>
            <w:tcW w:w="1021" w:type="dxa"/>
            <w:tcBorders>
              <w:top w:val="single" w:sz="4" w:space="0" w:color="BFBFBF" w:themeColor="background1" w:themeShade="BF"/>
            </w:tcBorders>
            <w:shd w:val="clear" w:color="auto" w:fill="auto"/>
            <w:hideMark/>
          </w:tcPr>
          <w:p w14:paraId="007740A4" w14:textId="77777777" w:rsidR="00D64E2C" w:rsidRDefault="00D64E2C" w:rsidP="00D64E2C">
            <w:pPr>
              <w:pStyle w:val="ARtabletextright"/>
            </w:pPr>
            <w:r w:rsidRPr="00C5726C">
              <w:rPr>
                <w:noProof/>
              </w:rPr>
              <w:t>88</w:t>
            </w:r>
          </w:p>
        </w:tc>
        <w:tc>
          <w:tcPr>
            <w:tcW w:w="1021" w:type="dxa"/>
            <w:tcBorders>
              <w:top w:val="single" w:sz="4" w:space="0" w:color="BFBFBF" w:themeColor="background1" w:themeShade="BF"/>
            </w:tcBorders>
            <w:shd w:val="clear" w:color="auto" w:fill="auto"/>
            <w:hideMark/>
          </w:tcPr>
          <w:p w14:paraId="79F780AF" w14:textId="77777777" w:rsidR="00D64E2C" w:rsidRDefault="00D64E2C" w:rsidP="00D64E2C">
            <w:pPr>
              <w:pStyle w:val="ARtabletextright"/>
            </w:pPr>
            <w:r w:rsidRPr="00C5726C">
              <w:rPr>
                <w:noProof/>
              </w:rPr>
              <w:t>87</w:t>
            </w:r>
          </w:p>
        </w:tc>
        <w:tc>
          <w:tcPr>
            <w:tcW w:w="1021" w:type="dxa"/>
            <w:tcBorders>
              <w:top w:val="single" w:sz="4" w:space="0" w:color="BFBFBF" w:themeColor="background1" w:themeShade="BF"/>
            </w:tcBorders>
            <w:shd w:val="clear" w:color="auto" w:fill="auto"/>
          </w:tcPr>
          <w:p w14:paraId="2710A0C1" w14:textId="77777777" w:rsidR="00D64E2C" w:rsidRDefault="00D64E2C" w:rsidP="00D64E2C">
            <w:pPr>
              <w:pStyle w:val="ARtabletextright"/>
            </w:pPr>
            <w:r>
              <w:rPr>
                <w:noProof/>
              </w:rPr>
              <w:t>−</w:t>
            </w:r>
            <w:r w:rsidRPr="00C5726C">
              <w:rPr>
                <w:noProof/>
              </w:rPr>
              <w:t>1.</w:t>
            </w:r>
            <w:r>
              <w:rPr>
                <w:noProof/>
              </w:rPr>
              <w:t>8</w:t>
            </w:r>
          </w:p>
        </w:tc>
        <w:tc>
          <w:tcPr>
            <w:tcW w:w="794" w:type="dxa"/>
            <w:tcBorders>
              <w:top w:val="single" w:sz="4" w:space="0" w:color="BFBFBF" w:themeColor="background1" w:themeShade="BF"/>
            </w:tcBorders>
            <w:shd w:val="clear" w:color="auto" w:fill="auto"/>
            <w:hideMark/>
          </w:tcPr>
          <w:p w14:paraId="43F3CFC6" w14:textId="48C88A0F" w:rsidR="00D64E2C" w:rsidRPr="00D02A2E" w:rsidRDefault="00CF2633" w:rsidP="00C575AB">
            <w:pPr>
              <w:pStyle w:val="ARtableperformancesymbol"/>
            </w:pPr>
            <w:r w:rsidRPr="00F96CDB">
              <w:rPr>
                <w:noProof/>
              </w:rPr>
              <w:drawing>
                <wp:inline distT="0" distB="0" distL="0" distR="0" wp14:anchorId="6BB4B7A1" wp14:editId="0EF57C99">
                  <wp:extent cx="76320" cy="76320"/>
                  <wp:effectExtent l="0" t="0" r="0" b="0"/>
                  <wp:docPr id="110" name="Graphic 110" descr="Target not achieved – within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Target not achieved – within five per cent varianc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76320" cy="76320"/>
                          </a:xfrm>
                          <a:prstGeom prst="rect">
                            <a:avLst/>
                          </a:prstGeom>
                        </pic:spPr>
                      </pic:pic>
                    </a:graphicData>
                  </a:graphic>
                </wp:inline>
              </w:drawing>
            </w:r>
            <w:r>
              <w:t xml:space="preserve"> </w:t>
            </w:r>
          </w:p>
        </w:tc>
      </w:tr>
      <w:tr w:rsidR="00D64E2C" w:rsidRPr="00D02A2E" w14:paraId="5D769D6C" w14:textId="77777777" w:rsidTr="000F1C6B">
        <w:trPr>
          <w:cantSplit/>
        </w:trPr>
        <w:tc>
          <w:tcPr>
            <w:tcW w:w="9639" w:type="dxa"/>
            <w:gridSpan w:val="6"/>
            <w:tcBorders>
              <w:bottom w:val="single" w:sz="4" w:space="0" w:color="BFBFBF"/>
            </w:tcBorders>
            <w:shd w:val="clear" w:color="auto" w:fill="auto"/>
            <w:noWrap/>
            <w:hideMark/>
          </w:tcPr>
          <w:p w14:paraId="14BACDD2" w14:textId="77777777" w:rsidR="00D64E2C" w:rsidRPr="00D02A2E" w:rsidRDefault="00D64E2C" w:rsidP="00D64E2C">
            <w:pPr>
              <w:pStyle w:val="ARtablenoteindent"/>
            </w:pPr>
            <w:r w:rsidRPr="00C5726C">
              <w:rPr>
                <w:noProof/>
              </w:rPr>
              <w:t>This is</w:t>
            </w:r>
            <w:r>
              <w:rPr>
                <w:noProof/>
              </w:rPr>
              <w:t xml:space="preserve"> </w:t>
            </w:r>
            <w:r w:rsidRPr="00C5726C">
              <w:rPr>
                <w:noProof/>
              </w:rPr>
              <w:t>a positive result</w:t>
            </w:r>
            <w:r>
              <w:rPr>
                <w:noProof/>
              </w:rPr>
              <w:t>,</w:t>
            </w:r>
            <w:r w:rsidRPr="00C5726C">
              <w:rPr>
                <w:noProof/>
              </w:rPr>
              <w:t xml:space="preserve"> despite the Mental Health EBA 2020 negotiation placing protected industrial action on the collection, recording or documenting </w:t>
            </w:r>
            <w:r>
              <w:rPr>
                <w:noProof/>
              </w:rPr>
              <w:t xml:space="preserve">of </w:t>
            </w:r>
            <w:r w:rsidRPr="00C5726C">
              <w:rPr>
                <w:noProof/>
              </w:rPr>
              <w:t>clinical and administrative information</w:t>
            </w:r>
            <w:r>
              <w:rPr>
                <w:noProof/>
              </w:rPr>
              <w:t>,</w:t>
            </w:r>
            <w:r w:rsidRPr="00C5726C">
              <w:rPr>
                <w:noProof/>
              </w:rPr>
              <w:t xml:space="preserve"> which was expected to impact the delivery of this measure.</w:t>
            </w:r>
          </w:p>
        </w:tc>
      </w:tr>
      <w:tr w:rsidR="00D64E2C" w:rsidRPr="00D02A2E" w14:paraId="2B83FB05" w14:textId="77777777" w:rsidTr="000F1C6B">
        <w:trPr>
          <w:cantSplit/>
        </w:trPr>
        <w:tc>
          <w:tcPr>
            <w:tcW w:w="4761" w:type="dxa"/>
            <w:shd w:val="clear" w:color="auto" w:fill="auto"/>
            <w:hideMark/>
          </w:tcPr>
          <w:p w14:paraId="2A82118D" w14:textId="77777777" w:rsidR="00D64E2C" w:rsidRPr="00D02A2E" w:rsidRDefault="00D64E2C" w:rsidP="00D64E2C">
            <w:pPr>
              <w:pStyle w:val="ARtabletext"/>
            </w:pPr>
            <w:r w:rsidRPr="00C5726C">
              <w:rPr>
                <w:noProof/>
              </w:rPr>
              <w:lastRenderedPageBreak/>
              <w:t>Post-discharge community care (adult)</w:t>
            </w:r>
          </w:p>
        </w:tc>
        <w:tc>
          <w:tcPr>
            <w:tcW w:w="1021" w:type="dxa"/>
            <w:shd w:val="clear" w:color="auto" w:fill="auto"/>
            <w:hideMark/>
          </w:tcPr>
          <w:p w14:paraId="5AE8157A" w14:textId="77777777" w:rsidR="00D64E2C" w:rsidRPr="00D02A2E" w:rsidRDefault="00D64E2C" w:rsidP="00D64E2C">
            <w:pPr>
              <w:pStyle w:val="ARtabletextcentre"/>
            </w:pPr>
            <w:r w:rsidRPr="00C5726C">
              <w:rPr>
                <w:noProof/>
              </w:rPr>
              <w:t>per cent</w:t>
            </w:r>
          </w:p>
        </w:tc>
        <w:tc>
          <w:tcPr>
            <w:tcW w:w="1021" w:type="dxa"/>
            <w:shd w:val="clear" w:color="auto" w:fill="auto"/>
            <w:hideMark/>
          </w:tcPr>
          <w:p w14:paraId="148CDF8F" w14:textId="77777777" w:rsidR="00D64E2C" w:rsidRDefault="00D64E2C" w:rsidP="00D64E2C">
            <w:pPr>
              <w:pStyle w:val="ARtabletextright"/>
            </w:pPr>
            <w:r w:rsidRPr="00C5726C">
              <w:rPr>
                <w:noProof/>
              </w:rPr>
              <w:t>88</w:t>
            </w:r>
          </w:p>
        </w:tc>
        <w:tc>
          <w:tcPr>
            <w:tcW w:w="1021" w:type="dxa"/>
            <w:shd w:val="clear" w:color="auto" w:fill="auto"/>
            <w:hideMark/>
          </w:tcPr>
          <w:p w14:paraId="7B693C8C" w14:textId="77777777" w:rsidR="00D64E2C" w:rsidRDefault="00D64E2C" w:rsidP="00D64E2C">
            <w:pPr>
              <w:pStyle w:val="ARtabletextright"/>
            </w:pPr>
            <w:r w:rsidRPr="00C5726C">
              <w:rPr>
                <w:noProof/>
              </w:rPr>
              <w:t>8</w:t>
            </w:r>
            <w:r>
              <w:rPr>
                <w:noProof/>
              </w:rPr>
              <w:t>6.4</w:t>
            </w:r>
          </w:p>
        </w:tc>
        <w:tc>
          <w:tcPr>
            <w:tcW w:w="1021" w:type="dxa"/>
            <w:shd w:val="clear" w:color="auto" w:fill="auto"/>
          </w:tcPr>
          <w:p w14:paraId="0F44D1A1" w14:textId="77777777" w:rsidR="00D64E2C" w:rsidRDefault="00D64E2C" w:rsidP="00D64E2C">
            <w:pPr>
              <w:pStyle w:val="ARtabletextright"/>
            </w:pPr>
            <w:r>
              <w:rPr>
                <w:noProof/>
              </w:rPr>
              <w:t>−4.5</w:t>
            </w:r>
          </w:p>
        </w:tc>
        <w:tc>
          <w:tcPr>
            <w:tcW w:w="794" w:type="dxa"/>
            <w:shd w:val="clear" w:color="auto" w:fill="auto"/>
            <w:hideMark/>
          </w:tcPr>
          <w:p w14:paraId="5E2AD03F" w14:textId="2428F97A" w:rsidR="00D64E2C" w:rsidRPr="00D02A2E" w:rsidRDefault="00CF2633" w:rsidP="00C575AB">
            <w:pPr>
              <w:pStyle w:val="ARtableperformancesymbol"/>
            </w:pPr>
            <w:r w:rsidRPr="00F96CDB">
              <w:rPr>
                <w:noProof/>
              </w:rPr>
              <w:drawing>
                <wp:inline distT="0" distB="0" distL="0" distR="0" wp14:anchorId="1F392CD7" wp14:editId="6F79ED93">
                  <wp:extent cx="76320" cy="76320"/>
                  <wp:effectExtent l="0" t="0" r="0" b="0"/>
                  <wp:docPr id="111" name="Graphic 111" descr="Target not achieved – within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Target not achieved – within five per cent varianc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76320" cy="76320"/>
                          </a:xfrm>
                          <a:prstGeom prst="rect">
                            <a:avLst/>
                          </a:prstGeom>
                        </pic:spPr>
                      </pic:pic>
                    </a:graphicData>
                  </a:graphic>
                </wp:inline>
              </w:drawing>
            </w:r>
            <w:r>
              <w:t xml:space="preserve"> </w:t>
            </w:r>
          </w:p>
        </w:tc>
      </w:tr>
      <w:tr w:rsidR="00D64E2C" w:rsidRPr="00D02A2E" w14:paraId="5428E1CA" w14:textId="77777777" w:rsidTr="000F1C6B">
        <w:trPr>
          <w:cantSplit/>
        </w:trPr>
        <w:tc>
          <w:tcPr>
            <w:tcW w:w="9639" w:type="dxa"/>
            <w:gridSpan w:val="6"/>
            <w:tcBorders>
              <w:bottom w:val="single" w:sz="4" w:space="0" w:color="BFBFBF"/>
            </w:tcBorders>
            <w:shd w:val="clear" w:color="auto" w:fill="auto"/>
            <w:noWrap/>
            <w:hideMark/>
          </w:tcPr>
          <w:p w14:paraId="0141CB82" w14:textId="77777777" w:rsidR="00D64E2C" w:rsidRPr="00D02A2E" w:rsidRDefault="00D64E2C" w:rsidP="00D64E2C">
            <w:pPr>
              <w:pStyle w:val="ARtablenoteindent"/>
            </w:pPr>
            <w:r w:rsidRPr="00C5726C">
              <w:rPr>
                <w:noProof/>
              </w:rPr>
              <w:t>This is</w:t>
            </w:r>
            <w:r>
              <w:rPr>
                <w:noProof/>
              </w:rPr>
              <w:t xml:space="preserve"> </w:t>
            </w:r>
            <w:r w:rsidRPr="00C5726C">
              <w:rPr>
                <w:noProof/>
              </w:rPr>
              <w:t>a positive result</w:t>
            </w:r>
            <w:r>
              <w:rPr>
                <w:noProof/>
              </w:rPr>
              <w:t>,</w:t>
            </w:r>
            <w:r w:rsidRPr="00C5726C">
              <w:rPr>
                <w:noProof/>
              </w:rPr>
              <w:t xml:space="preserve"> despite the Mental Health EBA 2020 negotiation placing protected industrial action on the collection, recording or documenting </w:t>
            </w:r>
            <w:r>
              <w:rPr>
                <w:noProof/>
              </w:rPr>
              <w:t xml:space="preserve">of </w:t>
            </w:r>
            <w:r w:rsidRPr="00C5726C">
              <w:rPr>
                <w:noProof/>
              </w:rPr>
              <w:t>clinical and administrative information</w:t>
            </w:r>
            <w:r>
              <w:rPr>
                <w:noProof/>
              </w:rPr>
              <w:t>,</w:t>
            </w:r>
            <w:r w:rsidRPr="00C5726C">
              <w:rPr>
                <w:noProof/>
              </w:rPr>
              <w:t xml:space="preserve"> which was expected to impact the delivery of this measure.</w:t>
            </w:r>
          </w:p>
        </w:tc>
      </w:tr>
      <w:tr w:rsidR="00D64E2C" w:rsidRPr="00D02A2E" w14:paraId="1F1D185B" w14:textId="77777777" w:rsidTr="000F1C6B">
        <w:trPr>
          <w:cantSplit/>
        </w:trPr>
        <w:tc>
          <w:tcPr>
            <w:tcW w:w="4761" w:type="dxa"/>
            <w:tcBorders>
              <w:bottom w:val="single" w:sz="4" w:space="0" w:color="BFBFBF" w:themeColor="background1" w:themeShade="BF"/>
            </w:tcBorders>
            <w:shd w:val="clear" w:color="auto" w:fill="auto"/>
            <w:hideMark/>
          </w:tcPr>
          <w:p w14:paraId="3F6AD8A0" w14:textId="77777777" w:rsidR="00D64E2C" w:rsidRPr="00D02A2E" w:rsidRDefault="00D64E2C" w:rsidP="00D64E2C">
            <w:pPr>
              <w:pStyle w:val="ARtabletext"/>
            </w:pPr>
            <w:r w:rsidRPr="00C5726C">
              <w:rPr>
                <w:noProof/>
              </w:rPr>
              <w:t>Post-discharge community care (aged)</w:t>
            </w:r>
          </w:p>
        </w:tc>
        <w:tc>
          <w:tcPr>
            <w:tcW w:w="1021" w:type="dxa"/>
            <w:tcBorders>
              <w:bottom w:val="single" w:sz="4" w:space="0" w:color="BFBFBF" w:themeColor="background1" w:themeShade="BF"/>
            </w:tcBorders>
            <w:shd w:val="clear" w:color="auto" w:fill="auto"/>
            <w:hideMark/>
          </w:tcPr>
          <w:p w14:paraId="01055A0E" w14:textId="77777777" w:rsidR="00D64E2C" w:rsidRPr="00D02A2E" w:rsidRDefault="00D64E2C" w:rsidP="00D64E2C">
            <w:pPr>
              <w:pStyle w:val="ARtabletextcentre"/>
            </w:pPr>
            <w:r w:rsidRPr="00C5726C">
              <w:rPr>
                <w:noProof/>
              </w:rPr>
              <w:t>per cent</w:t>
            </w:r>
          </w:p>
        </w:tc>
        <w:tc>
          <w:tcPr>
            <w:tcW w:w="1021" w:type="dxa"/>
            <w:tcBorders>
              <w:bottom w:val="single" w:sz="4" w:space="0" w:color="BFBFBF" w:themeColor="background1" w:themeShade="BF"/>
            </w:tcBorders>
            <w:shd w:val="clear" w:color="auto" w:fill="auto"/>
            <w:hideMark/>
          </w:tcPr>
          <w:p w14:paraId="455C7C17" w14:textId="77777777" w:rsidR="00D64E2C" w:rsidRDefault="00D64E2C" w:rsidP="00D64E2C">
            <w:pPr>
              <w:pStyle w:val="ARtabletextright"/>
            </w:pPr>
            <w:r w:rsidRPr="00C5726C">
              <w:rPr>
                <w:noProof/>
              </w:rPr>
              <w:t>88</w:t>
            </w:r>
          </w:p>
        </w:tc>
        <w:tc>
          <w:tcPr>
            <w:tcW w:w="1021" w:type="dxa"/>
            <w:tcBorders>
              <w:bottom w:val="single" w:sz="4" w:space="0" w:color="BFBFBF" w:themeColor="background1" w:themeShade="BF"/>
            </w:tcBorders>
            <w:shd w:val="clear" w:color="auto" w:fill="auto"/>
            <w:hideMark/>
          </w:tcPr>
          <w:p w14:paraId="08115042" w14:textId="77777777" w:rsidR="00D64E2C" w:rsidRDefault="00D64E2C" w:rsidP="00D64E2C">
            <w:pPr>
              <w:pStyle w:val="ARtabletextright"/>
            </w:pPr>
            <w:r>
              <w:rPr>
                <w:noProof/>
              </w:rPr>
              <w:t>88</w:t>
            </w:r>
          </w:p>
        </w:tc>
        <w:tc>
          <w:tcPr>
            <w:tcW w:w="1021" w:type="dxa"/>
            <w:tcBorders>
              <w:bottom w:val="single" w:sz="4" w:space="0" w:color="BFBFBF" w:themeColor="background1" w:themeShade="BF"/>
            </w:tcBorders>
            <w:shd w:val="clear" w:color="auto" w:fill="auto"/>
          </w:tcPr>
          <w:p w14:paraId="1B40A103" w14:textId="77777777" w:rsidR="00D64E2C" w:rsidRDefault="00D64E2C" w:rsidP="00D64E2C">
            <w:pPr>
              <w:pStyle w:val="ARtabletextright"/>
            </w:pPr>
            <w:r>
              <w:rPr>
                <w:noProof/>
              </w:rPr>
              <w:t>0</w:t>
            </w:r>
          </w:p>
        </w:tc>
        <w:tc>
          <w:tcPr>
            <w:tcW w:w="794" w:type="dxa"/>
            <w:tcBorders>
              <w:bottom w:val="single" w:sz="4" w:space="0" w:color="BFBFBF" w:themeColor="background1" w:themeShade="BF"/>
            </w:tcBorders>
            <w:shd w:val="clear" w:color="auto" w:fill="auto"/>
            <w:hideMark/>
          </w:tcPr>
          <w:p w14:paraId="196DA9F0" w14:textId="492729E1" w:rsidR="00D64E2C" w:rsidRPr="00D02A2E" w:rsidRDefault="00CF2633" w:rsidP="00C575AB">
            <w:pPr>
              <w:pStyle w:val="ARtableperformancesymbol"/>
            </w:pPr>
            <w:r>
              <w:rPr>
                <w:noProof/>
              </w:rPr>
              <w:drawing>
                <wp:inline distT="0" distB="0" distL="0" distR="0" wp14:anchorId="130508A7" wp14:editId="4329A66A">
                  <wp:extent cx="85320" cy="85320"/>
                  <wp:effectExtent l="0" t="0" r="0" b="0"/>
                  <wp:docPr id="171" name="Graphic 171"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D64E2C" w:rsidRPr="00D02A2E" w14:paraId="7148072B" w14:textId="77777777" w:rsidTr="000F1C6B">
        <w:trPr>
          <w:cantSplit/>
        </w:trPr>
        <w:tc>
          <w:tcPr>
            <w:tcW w:w="4761" w:type="dxa"/>
            <w:tcBorders>
              <w:top w:val="single" w:sz="4" w:space="0" w:color="BFBFBF" w:themeColor="background1" w:themeShade="BF"/>
            </w:tcBorders>
            <w:shd w:val="clear" w:color="auto" w:fill="auto"/>
            <w:hideMark/>
          </w:tcPr>
          <w:p w14:paraId="3A3C2F6E" w14:textId="77777777" w:rsidR="00D64E2C" w:rsidRPr="00D02A2E" w:rsidRDefault="00D64E2C" w:rsidP="00D64E2C">
            <w:pPr>
              <w:pStyle w:val="ARtabletext"/>
            </w:pPr>
            <w:r w:rsidRPr="00C5726C">
              <w:rPr>
                <w:noProof/>
              </w:rPr>
              <w:t>Pre-admission community care</w:t>
            </w:r>
          </w:p>
        </w:tc>
        <w:tc>
          <w:tcPr>
            <w:tcW w:w="1021" w:type="dxa"/>
            <w:tcBorders>
              <w:top w:val="single" w:sz="4" w:space="0" w:color="BFBFBF" w:themeColor="background1" w:themeShade="BF"/>
            </w:tcBorders>
            <w:shd w:val="clear" w:color="auto" w:fill="auto"/>
            <w:hideMark/>
          </w:tcPr>
          <w:p w14:paraId="31F456AB" w14:textId="77777777" w:rsidR="00D64E2C" w:rsidRPr="00D02A2E" w:rsidRDefault="00D64E2C" w:rsidP="00D64E2C">
            <w:pPr>
              <w:pStyle w:val="ARtabletextcentre"/>
            </w:pPr>
            <w:r w:rsidRPr="00C5726C">
              <w:rPr>
                <w:noProof/>
              </w:rPr>
              <w:t>per cent</w:t>
            </w:r>
          </w:p>
        </w:tc>
        <w:tc>
          <w:tcPr>
            <w:tcW w:w="1021" w:type="dxa"/>
            <w:tcBorders>
              <w:top w:val="single" w:sz="4" w:space="0" w:color="BFBFBF" w:themeColor="background1" w:themeShade="BF"/>
            </w:tcBorders>
            <w:shd w:val="clear" w:color="auto" w:fill="auto"/>
            <w:hideMark/>
          </w:tcPr>
          <w:p w14:paraId="05ADB172" w14:textId="77777777" w:rsidR="00D64E2C" w:rsidRDefault="00D64E2C" w:rsidP="00D64E2C">
            <w:pPr>
              <w:pStyle w:val="ARtabletextright"/>
            </w:pPr>
            <w:r w:rsidRPr="00C5726C">
              <w:rPr>
                <w:noProof/>
              </w:rPr>
              <w:t>61</w:t>
            </w:r>
          </w:p>
        </w:tc>
        <w:tc>
          <w:tcPr>
            <w:tcW w:w="1021" w:type="dxa"/>
            <w:tcBorders>
              <w:top w:val="single" w:sz="4" w:space="0" w:color="BFBFBF" w:themeColor="background1" w:themeShade="BF"/>
            </w:tcBorders>
            <w:shd w:val="clear" w:color="auto" w:fill="auto"/>
            <w:hideMark/>
          </w:tcPr>
          <w:p w14:paraId="737D154A" w14:textId="77777777" w:rsidR="00D64E2C" w:rsidRDefault="00D64E2C" w:rsidP="00D64E2C">
            <w:pPr>
              <w:pStyle w:val="ARtabletextright"/>
            </w:pPr>
            <w:r w:rsidRPr="00C5726C">
              <w:rPr>
                <w:noProof/>
              </w:rPr>
              <w:t>59</w:t>
            </w:r>
          </w:p>
        </w:tc>
        <w:tc>
          <w:tcPr>
            <w:tcW w:w="1021" w:type="dxa"/>
            <w:tcBorders>
              <w:top w:val="single" w:sz="4" w:space="0" w:color="BFBFBF" w:themeColor="background1" w:themeShade="BF"/>
            </w:tcBorders>
            <w:shd w:val="clear" w:color="auto" w:fill="auto"/>
          </w:tcPr>
          <w:p w14:paraId="20A69E89" w14:textId="77777777" w:rsidR="00D64E2C" w:rsidRDefault="00D64E2C" w:rsidP="00D64E2C">
            <w:pPr>
              <w:pStyle w:val="ARtabletextright"/>
            </w:pPr>
            <w:r>
              <w:rPr>
                <w:noProof/>
              </w:rPr>
              <w:t>−</w:t>
            </w:r>
            <w:r w:rsidRPr="00C5726C">
              <w:rPr>
                <w:noProof/>
              </w:rPr>
              <w:t>3.</w:t>
            </w:r>
            <w:r>
              <w:rPr>
                <w:noProof/>
              </w:rPr>
              <w:t>3</w:t>
            </w:r>
          </w:p>
        </w:tc>
        <w:tc>
          <w:tcPr>
            <w:tcW w:w="794" w:type="dxa"/>
            <w:tcBorders>
              <w:top w:val="single" w:sz="4" w:space="0" w:color="BFBFBF" w:themeColor="background1" w:themeShade="BF"/>
            </w:tcBorders>
            <w:shd w:val="clear" w:color="auto" w:fill="auto"/>
            <w:hideMark/>
          </w:tcPr>
          <w:p w14:paraId="331CC1EA" w14:textId="7F977169" w:rsidR="00D64E2C" w:rsidRPr="00D02A2E" w:rsidRDefault="00CF2633" w:rsidP="00C575AB">
            <w:pPr>
              <w:pStyle w:val="ARtableperformancesymbol"/>
            </w:pPr>
            <w:r w:rsidRPr="00F96CDB">
              <w:rPr>
                <w:noProof/>
              </w:rPr>
              <w:drawing>
                <wp:inline distT="0" distB="0" distL="0" distR="0" wp14:anchorId="23968ADF" wp14:editId="615A4A9A">
                  <wp:extent cx="76320" cy="76320"/>
                  <wp:effectExtent l="0" t="0" r="0" b="0"/>
                  <wp:docPr id="172" name="Graphic 172" descr="Target not achieved – within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Target not achieved – within five per cent varianc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76320" cy="76320"/>
                          </a:xfrm>
                          <a:prstGeom prst="rect">
                            <a:avLst/>
                          </a:prstGeom>
                        </pic:spPr>
                      </pic:pic>
                    </a:graphicData>
                  </a:graphic>
                </wp:inline>
              </w:drawing>
            </w:r>
            <w:r>
              <w:t xml:space="preserve"> </w:t>
            </w:r>
          </w:p>
        </w:tc>
      </w:tr>
      <w:tr w:rsidR="00D64E2C" w:rsidRPr="00D02A2E" w14:paraId="2C9B3250" w14:textId="77777777" w:rsidTr="000F1C6B">
        <w:trPr>
          <w:cantSplit/>
        </w:trPr>
        <w:tc>
          <w:tcPr>
            <w:tcW w:w="9639" w:type="dxa"/>
            <w:gridSpan w:val="6"/>
            <w:tcBorders>
              <w:bottom w:val="single" w:sz="4" w:space="0" w:color="BFBFBF"/>
            </w:tcBorders>
            <w:shd w:val="clear" w:color="auto" w:fill="auto"/>
            <w:noWrap/>
            <w:hideMark/>
          </w:tcPr>
          <w:p w14:paraId="734802AA" w14:textId="77777777" w:rsidR="00D64E2C" w:rsidRPr="00D02A2E" w:rsidRDefault="00D64E2C" w:rsidP="00D64E2C">
            <w:pPr>
              <w:pStyle w:val="ARtablenoteindent"/>
            </w:pPr>
            <w:r w:rsidRPr="00C5726C">
              <w:rPr>
                <w:noProof/>
              </w:rPr>
              <w:t>This result is positive considering the high demand and acuity of patients presenting to the emergency department requiring admission.</w:t>
            </w:r>
          </w:p>
        </w:tc>
      </w:tr>
      <w:tr w:rsidR="00D64E2C" w:rsidRPr="00D02A2E" w14:paraId="2CFFF216" w14:textId="77777777" w:rsidTr="000F1C6B">
        <w:trPr>
          <w:cantSplit/>
        </w:trPr>
        <w:tc>
          <w:tcPr>
            <w:tcW w:w="4761" w:type="dxa"/>
            <w:shd w:val="clear" w:color="auto" w:fill="auto"/>
            <w:hideMark/>
          </w:tcPr>
          <w:p w14:paraId="58E5F8F5" w14:textId="77777777" w:rsidR="00D64E2C" w:rsidRPr="00D02A2E" w:rsidRDefault="00D64E2C" w:rsidP="00D64E2C">
            <w:pPr>
              <w:pStyle w:val="ARtabletext"/>
            </w:pPr>
            <w:r w:rsidRPr="00C5726C">
              <w:rPr>
                <w:noProof/>
              </w:rPr>
              <w:t>Seclusions per 1</w:t>
            </w:r>
            <w:r>
              <w:rPr>
                <w:noProof/>
              </w:rPr>
              <w:t>,</w:t>
            </w:r>
            <w:r w:rsidRPr="00C5726C">
              <w:rPr>
                <w:noProof/>
              </w:rPr>
              <w:t>000 occupied bed days</w:t>
            </w:r>
          </w:p>
        </w:tc>
        <w:tc>
          <w:tcPr>
            <w:tcW w:w="1021" w:type="dxa"/>
            <w:shd w:val="clear" w:color="auto" w:fill="auto"/>
            <w:hideMark/>
          </w:tcPr>
          <w:p w14:paraId="098CBD4D" w14:textId="77777777" w:rsidR="00D64E2C" w:rsidRPr="00D02A2E" w:rsidRDefault="00D64E2C" w:rsidP="00D64E2C">
            <w:pPr>
              <w:pStyle w:val="ARtabletextcentre"/>
            </w:pPr>
            <w:r w:rsidRPr="00C5726C">
              <w:rPr>
                <w:noProof/>
              </w:rPr>
              <w:t>rate per 1</w:t>
            </w:r>
            <w:r>
              <w:rPr>
                <w:noProof/>
              </w:rPr>
              <w:t>,</w:t>
            </w:r>
            <w:r w:rsidRPr="00C5726C">
              <w:rPr>
                <w:noProof/>
              </w:rPr>
              <w:t>000</w:t>
            </w:r>
          </w:p>
        </w:tc>
        <w:tc>
          <w:tcPr>
            <w:tcW w:w="1021" w:type="dxa"/>
            <w:shd w:val="clear" w:color="auto" w:fill="auto"/>
            <w:hideMark/>
          </w:tcPr>
          <w:p w14:paraId="7746F4D5" w14:textId="77777777" w:rsidR="00D64E2C" w:rsidRDefault="00D64E2C" w:rsidP="00D64E2C">
            <w:pPr>
              <w:pStyle w:val="ARtabletextright"/>
            </w:pPr>
            <w:r w:rsidRPr="00C5726C">
              <w:rPr>
                <w:noProof/>
              </w:rPr>
              <w:t>8</w:t>
            </w:r>
          </w:p>
        </w:tc>
        <w:tc>
          <w:tcPr>
            <w:tcW w:w="1021" w:type="dxa"/>
            <w:shd w:val="clear" w:color="auto" w:fill="auto"/>
            <w:hideMark/>
          </w:tcPr>
          <w:p w14:paraId="782B829E" w14:textId="77777777" w:rsidR="00D64E2C" w:rsidRDefault="00D64E2C" w:rsidP="00D64E2C">
            <w:pPr>
              <w:pStyle w:val="ARtabletextright"/>
            </w:pPr>
            <w:r w:rsidRPr="00C5726C">
              <w:rPr>
                <w:noProof/>
              </w:rPr>
              <w:t>9.</w:t>
            </w:r>
            <w:r>
              <w:rPr>
                <w:noProof/>
              </w:rPr>
              <w:t>2</w:t>
            </w:r>
          </w:p>
        </w:tc>
        <w:tc>
          <w:tcPr>
            <w:tcW w:w="1021" w:type="dxa"/>
            <w:shd w:val="clear" w:color="auto" w:fill="auto"/>
          </w:tcPr>
          <w:p w14:paraId="383ECF53" w14:textId="77777777" w:rsidR="00D64E2C" w:rsidRDefault="00D64E2C" w:rsidP="00D64E2C">
            <w:pPr>
              <w:pStyle w:val="ARtabletextright"/>
            </w:pPr>
            <w:r>
              <w:rPr>
                <w:noProof/>
              </w:rPr>
              <w:t>15</w:t>
            </w:r>
          </w:p>
        </w:tc>
        <w:tc>
          <w:tcPr>
            <w:tcW w:w="794" w:type="dxa"/>
            <w:shd w:val="clear" w:color="auto" w:fill="auto"/>
            <w:hideMark/>
          </w:tcPr>
          <w:p w14:paraId="5CA47A98" w14:textId="6EBDC3E0" w:rsidR="00D64E2C" w:rsidRPr="00D02A2E" w:rsidRDefault="00D64E2C" w:rsidP="00C575AB">
            <w:pPr>
              <w:pStyle w:val="ARtableperformancesymbol"/>
            </w:pPr>
            <w:r>
              <w:rPr>
                <w:noProof/>
              </w:rPr>
              <w:drawing>
                <wp:inline distT="0" distB="0" distL="0" distR="0" wp14:anchorId="01106955" wp14:editId="6DA58637">
                  <wp:extent cx="76320" cy="76320"/>
                  <wp:effectExtent l="0" t="0" r="0" b="0"/>
                  <wp:docPr id="85" name="Graphic 85"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D64E2C" w:rsidRPr="00D02A2E" w14:paraId="2ADA1613" w14:textId="77777777" w:rsidTr="000F1C6B">
        <w:trPr>
          <w:cantSplit/>
        </w:trPr>
        <w:tc>
          <w:tcPr>
            <w:tcW w:w="9639" w:type="dxa"/>
            <w:gridSpan w:val="6"/>
            <w:tcBorders>
              <w:bottom w:val="single" w:sz="4" w:space="0" w:color="BFBFBF"/>
            </w:tcBorders>
            <w:shd w:val="clear" w:color="auto" w:fill="auto"/>
            <w:noWrap/>
            <w:hideMark/>
          </w:tcPr>
          <w:p w14:paraId="71F6F9CD" w14:textId="77777777" w:rsidR="00D64E2C" w:rsidRPr="00D02A2E" w:rsidRDefault="00D64E2C" w:rsidP="00D64E2C">
            <w:pPr>
              <w:pStyle w:val="ARtablenoteindent"/>
            </w:pPr>
            <w:r w:rsidRPr="00C5726C">
              <w:rPr>
                <w:noProof/>
              </w:rPr>
              <w:t>This measure is across all age cohorts.</w:t>
            </w:r>
            <w:r>
              <w:rPr>
                <w:noProof/>
              </w:rPr>
              <w:t xml:space="preserve"> </w:t>
            </w:r>
            <w:r w:rsidRPr="00C5726C">
              <w:rPr>
                <w:noProof/>
              </w:rPr>
              <w:t>The measure is impacted by a higher number of events for</w:t>
            </w:r>
            <w:r>
              <w:rPr>
                <w:noProof/>
              </w:rPr>
              <w:t> </w:t>
            </w:r>
            <w:r w:rsidRPr="00C5726C">
              <w:rPr>
                <w:noProof/>
              </w:rPr>
              <w:t>a small number of adult patients with challenging behaviours.</w:t>
            </w:r>
            <w:r>
              <w:rPr>
                <w:noProof/>
              </w:rPr>
              <w:t xml:space="preserve"> </w:t>
            </w:r>
            <w:r w:rsidRPr="00C5726C">
              <w:rPr>
                <w:noProof/>
              </w:rPr>
              <w:t>There is also an impact from adolescent results as there are limited number</w:t>
            </w:r>
            <w:r>
              <w:rPr>
                <w:noProof/>
              </w:rPr>
              <w:t>s</w:t>
            </w:r>
            <w:r w:rsidRPr="00C5726C">
              <w:rPr>
                <w:noProof/>
              </w:rPr>
              <w:t xml:space="preserve"> of units in the metropolitan area providing treatment for the entire state.</w:t>
            </w:r>
            <w:r>
              <w:rPr>
                <w:noProof/>
              </w:rPr>
              <w:t xml:space="preserve"> A</w:t>
            </w:r>
            <w:r w:rsidRPr="00C5726C">
              <w:rPr>
                <w:noProof/>
              </w:rPr>
              <w:t>ged seclusion result is low</w:t>
            </w:r>
            <w:r>
              <w:rPr>
                <w:noProof/>
              </w:rPr>
              <w:t>.</w:t>
            </w:r>
          </w:p>
        </w:tc>
      </w:tr>
      <w:tr w:rsidR="00D64E2C" w:rsidRPr="00D02A2E" w14:paraId="5349D725" w14:textId="77777777" w:rsidTr="000F1C6B">
        <w:trPr>
          <w:cantSplit/>
        </w:trPr>
        <w:tc>
          <w:tcPr>
            <w:tcW w:w="9639" w:type="dxa"/>
            <w:gridSpan w:val="6"/>
            <w:tcBorders>
              <w:top w:val="single" w:sz="4" w:space="0" w:color="auto"/>
            </w:tcBorders>
            <w:shd w:val="clear" w:color="auto" w:fill="auto"/>
            <w:hideMark/>
          </w:tcPr>
          <w:p w14:paraId="0B8DA043" w14:textId="77777777" w:rsidR="00D64E2C" w:rsidRPr="00D02A2E" w:rsidRDefault="00D64E2C" w:rsidP="00D64E2C">
            <w:pPr>
              <w:pStyle w:val="ARtablegreybold"/>
              <w:rPr>
                <w:rFonts w:ascii="Wingdings" w:hAnsi="Wingdings"/>
              </w:rPr>
            </w:pPr>
            <w:r>
              <w:t>Timeliness</w:t>
            </w:r>
          </w:p>
        </w:tc>
      </w:tr>
      <w:tr w:rsidR="00D64E2C" w:rsidRPr="00D02A2E" w14:paraId="62B9AE8B" w14:textId="77777777" w:rsidTr="000F1C6B">
        <w:trPr>
          <w:cantSplit/>
        </w:trPr>
        <w:tc>
          <w:tcPr>
            <w:tcW w:w="4761" w:type="dxa"/>
            <w:shd w:val="clear" w:color="auto" w:fill="auto"/>
            <w:hideMark/>
          </w:tcPr>
          <w:p w14:paraId="52CF981B" w14:textId="77777777" w:rsidR="00D64E2C" w:rsidRPr="00D02A2E" w:rsidRDefault="00D64E2C" w:rsidP="00D64E2C">
            <w:pPr>
              <w:pStyle w:val="ARtabletext"/>
            </w:pPr>
            <w:r w:rsidRPr="00C5726C">
              <w:rPr>
                <w:noProof/>
              </w:rPr>
              <w:t>Emergency patients admitted to a mental health bed within eight hours</w:t>
            </w:r>
          </w:p>
        </w:tc>
        <w:tc>
          <w:tcPr>
            <w:tcW w:w="1021" w:type="dxa"/>
            <w:shd w:val="clear" w:color="auto" w:fill="auto"/>
            <w:hideMark/>
          </w:tcPr>
          <w:p w14:paraId="010B32B5" w14:textId="77777777" w:rsidR="00D64E2C" w:rsidRPr="00D02A2E" w:rsidRDefault="00D64E2C" w:rsidP="00D64E2C">
            <w:pPr>
              <w:pStyle w:val="ARtabletextcentre"/>
            </w:pPr>
            <w:r w:rsidRPr="00C5726C">
              <w:rPr>
                <w:noProof/>
              </w:rPr>
              <w:t>per cent</w:t>
            </w:r>
          </w:p>
        </w:tc>
        <w:tc>
          <w:tcPr>
            <w:tcW w:w="1021" w:type="dxa"/>
            <w:shd w:val="clear" w:color="auto" w:fill="auto"/>
            <w:hideMark/>
          </w:tcPr>
          <w:p w14:paraId="25A4F6A3" w14:textId="77777777" w:rsidR="00D64E2C" w:rsidRDefault="00D64E2C" w:rsidP="00D64E2C">
            <w:pPr>
              <w:pStyle w:val="ARtabletextright"/>
            </w:pPr>
            <w:r w:rsidRPr="00C5726C">
              <w:rPr>
                <w:noProof/>
              </w:rPr>
              <w:t>80</w:t>
            </w:r>
          </w:p>
        </w:tc>
        <w:tc>
          <w:tcPr>
            <w:tcW w:w="1021" w:type="dxa"/>
            <w:shd w:val="clear" w:color="auto" w:fill="auto"/>
            <w:hideMark/>
          </w:tcPr>
          <w:p w14:paraId="44969D7D" w14:textId="77777777" w:rsidR="00D64E2C" w:rsidRDefault="00D64E2C" w:rsidP="00D64E2C">
            <w:pPr>
              <w:pStyle w:val="ARtabletextright"/>
            </w:pPr>
            <w:r w:rsidRPr="00C5726C">
              <w:rPr>
                <w:noProof/>
              </w:rPr>
              <w:t>5</w:t>
            </w:r>
            <w:r>
              <w:rPr>
                <w:noProof/>
              </w:rPr>
              <w:t>4</w:t>
            </w:r>
            <w:r w:rsidRPr="00C5726C">
              <w:rPr>
                <w:noProof/>
              </w:rPr>
              <w:t>.</w:t>
            </w:r>
            <w:r>
              <w:rPr>
                <w:noProof/>
              </w:rPr>
              <w:t>4</w:t>
            </w:r>
          </w:p>
        </w:tc>
        <w:tc>
          <w:tcPr>
            <w:tcW w:w="1021" w:type="dxa"/>
            <w:shd w:val="clear" w:color="auto" w:fill="auto"/>
          </w:tcPr>
          <w:p w14:paraId="61249452" w14:textId="77777777" w:rsidR="00D64E2C" w:rsidRDefault="00D64E2C" w:rsidP="00D64E2C">
            <w:pPr>
              <w:pStyle w:val="ARtabletextright"/>
            </w:pPr>
            <w:r>
              <w:rPr>
                <w:noProof/>
              </w:rPr>
              <w:t>−</w:t>
            </w:r>
            <w:r w:rsidRPr="00C5726C">
              <w:rPr>
                <w:noProof/>
              </w:rPr>
              <w:t>3</w:t>
            </w:r>
            <w:r>
              <w:rPr>
                <w:noProof/>
              </w:rPr>
              <w:t>2</w:t>
            </w:r>
          </w:p>
        </w:tc>
        <w:tc>
          <w:tcPr>
            <w:tcW w:w="794" w:type="dxa"/>
            <w:shd w:val="clear" w:color="auto" w:fill="auto"/>
            <w:hideMark/>
          </w:tcPr>
          <w:p w14:paraId="535AF018" w14:textId="23727A31" w:rsidR="00D64E2C" w:rsidRPr="00D02A2E" w:rsidRDefault="00D64E2C" w:rsidP="00C575AB">
            <w:pPr>
              <w:pStyle w:val="ARtableperformancesymbol"/>
            </w:pPr>
            <w:r>
              <w:rPr>
                <w:noProof/>
              </w:rPr>
              <w:drawing>
                <wp:inline distT="0" distB="0" distL="0" distR="0" wp14:anchorId="79C67E3E" wp14:editId="4EE60590">
                  <wp:extent cx="76320" cy="76320"/>
                  <wp:effectExtent l="0" t="0" r="0" b="0"/>
                  <wp:docPr id="86" name="Graphic 86"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D64E2C" w:rsidRPr="00D02A2E" w14:paraId="664BF0A8" w14:textId="77777777" w:rsidTr="000F1C6B">
        <w:trPr>
          <w:cantSplit/>
        </w:trPr>
        <w:tc>
          <w:tcPr>
            <w:tcW w:w="9639" w:type="dxa"/>
            <w:gridSpan w:val="6"/>
            <w:tcBorders>
              <w:bottom w:val="single" w:sz="4" w:space="0" w:color="BFBFBF"/>
            </w:tcBorders>
            <w:shd w:val="clear" w:color="auto" w:fill="auto"/>
            <w:noWrap/>
            <w:hideMark/>
          </w:tcPr>
          <w:p w14:paraId="086A04EF" w14:textId="535482DB" w:rsidR="00D64E2C" w:rsidRPr="00D02A2E" w:rsidRDefault="00D64E2C" w:rsidP="00D64E2C">
            <w:pPr>
              <w:pStyle w:val="ARtablenoteindent"/>
            </w:pPr>
            <w:r w:rsidRPr="00C5726C">
              <w:rPr>
                <w:noProof/>
              </w:rPr>
              <w:t xml:space="preserve">This result is due to the increasing trend in the number of people presenting directly to </w:t>
            </w:r>
            <w:r>
              <w:rPr>
                <w:noProof/>
              </w:rPr>
              <w:t>e</w:t>
            </w:r>
            <w:r w:rsidRPr="00C5726C">
              <w:rPr>
                <w:noProof/>
              </w:rPr>
              <w:t xml:space="preserve">mergency </w:t>
            </w:r>
            <w:r>
              <w:rPr>
                <w:noProof/>
              </w:rPr>
              <w:t>d</w:t>
            </w:r>
            <w:r w:rsidRPr="00C5726C">
              <w:rPr>
                <w:noProof/>
              </w:rPr>
              <w:t>epartments and population growth in north west (Melbourne Health) and south east (Monash Health)</w:t>
            </w:r>
            <w:r>
              <w:rPr>
                <w:noProof/>
              </w:rPr>
              <w:t xml:space="preserve"> that is</w:t>
            </w:r>
            <w:r w:rsidRPr="00C5726C">
              <w:rPr>
                <w:noProof/>
              </w:rPr>
              <w:t xml:space="preserve"> beyond the inpatient capacity</w:t>
            </w:r>
            <w:r>
              <w:rPr>
                <w:noProof/>
              </w:rPr>
              <w:t xml:space="preserve"> of these health services</w:t>
            </w:r>
            <w:r w:rsidRPr="00C5726C">
              <w:rPr>
                <w:noProof/>
              </w:rPr>
              <w:t>.</w:t>
            </w:r>
            <w:r>
              <w:rPr>
                <w:noProof/>
              </w:rPr>
              <w:t xml:space="preserve"> </w:t>
            </w:r>
            <w:r w:rsidRPr="00C5726C">
              <w:rPr>
                <w:noProof/>
              </w:rPr>
              <w:t>The Royal</w:t>
            </w:r>
            <w:r>
              <w:rPr>
                <w:noProof/>
              </w:rPr>
              <w:t> </w:t>
            </w:r>
            <w:r w:rsidRPr="00C5726C">
              <w:rPr>
                <w:noProof/>
              </w:rPr>
              <w:t>Commission into Victoria</w:t>
            </w:r>
            <w:r w:rsidR="007D145B">
              <w:rPr>
                <w:noProof/>
              </w:rPr>
              <w:t>’</w:t>
            </w:r>
            <w:r w:rsidRPr="00C5726C">
              <w:rPr>
                <w:noProof/>
              </w:rPr>
              <w:t xml:space="preserve">s Mental Health System </w:t>
            </w:r>
            <w:r>
              <w:rPr>
                <w:noProof/>
              </w:rPr>
              <w:t>i</w:t>
            </w:r>
            <w:r w:rsidRPr="00C5726C">
              <w:rPr>
                <w:noProof/>
              </w:rPr>
              <w:t xml:space="preserve">nterim </w:t>
            </w:r>
            <w:r>
              <w:rPr>
                <w:noProof/>
              </w:rPr>
              <w:t>r</w:t>
            </w:r>
            <w:r w:rsidRPr="00C5726C">
              <w:rPr>
                <w:noProof/>
              </w:rPr>
              <w:t>eport stated that that the increase in mental health-related presentations outstrips both population growth and the growth in emergency departments generally.</w:t>
            </w:r>
            <w:r>
              <w:rPr>
                <w:noProof/>
              </w:rPr>
              <w:t xml:space="preserve"> </w:t>
            </w:r>
            <w:r w:rsidRPr="00C5726C">
              <w:rPr>
                <w:noProof/>
              </w:rPr>
              <w:t>This issue is being addressed by the creation of 144 new acute public beds and the expression of interest for 35 private beds for</w:t>
            </w:r>
            <w:r>
              <w:rPr>
                <w:noProof/>
              </w:rPr>
              <w:t> </w:t>
            </w:r>
            <w:r w:rsidRPr="00C5726C">
              <w:rPr>
                <w:noProof/>
              </w:rPr>
              <w:t>public patients as recommended by the Royal Commission.</w:t>
            </w:r>
          </w:p>
        </w:tc>
      </w:tr>
      <w:tr w:rsidR="00D64E2C" w:rsidRPr="00D02A2E" w14:paraId="1030297D" w14:textId="77777777" w:rsidTr="000F1C6B">
        <w:trPr>
          <w:cantSplit/>
        </w:trPr>
        <w:tc>
          <w:tcPr>
            <w:tcW w:w="9639" w:type="dxa"/>
            <w:gridSpan w:val="6"/>
            <w:tcBorders>
              <w:top w:val="single" w:sz="4" w:space="0" w:color="auto"/>
            </w:tcBorders>
            <w:shd w:val="clear" w:color="auto" w:fill="auto"/>
            <w:hideMark/>
          </w:tcPr>
          <w:p w14:paraId="0A5C40D7" w14:textId="77777777" w:rsidR="00D64E2C" w:rsidRPr="00D02A2E" w:rsidRDefault="00D64E2C" w:rsidP="00D64E2C">
            <w:pPr>
              <w:pStyle w:val="ARtablegreybold"/>
              <w:rPr>
                <w:rFonts w:ascii="Wingdings" w:hAnsi="Wingdings"/>
              </w:rPr>
            </w:pPr>
            <w:r>
              <w:t>Cost</w:t>
            </w:r>
          </w:p>
        </w:tc>
      </w:tr>
      <w:tr w:rsidR="00D64E2C" w:rsidRPr="00D02A2E" w14:paraId="7D1FD1C7" w14:textId="77777777" w:rsidTr="000F1C6B">
        <w:trPr>
          <w:cantSplit/>
        </w:trPr>
        <w:tc>
          <w:tcPr>
            <w:tcW w:w="4761" w:type="dxa"/>
            <w:shd w:val="clear" w:color="auto" w:fill="auto"/>
            <w:hideMark/>
          </w:tcPr>
          <w:p w14:paraId="22B4486D" w14:textId="77777777" w:rsidR="00D64E2C" w:rsidRPr="00A95DC7" w:rsidRDefault="00D64E2C" w:rsidP="00D64E2C">
            <w:pPr>
              <w:pStyle w:val="ARtabletext"/>
              <w:rPr>
                <w:b/>
                <w:bCs/>
              </w:rPr>
            </w:pPr>
            <w:r w:rsidRPr="00A95DC7">
              <w:rPr>
                <w:b/>
                <w:bCs/>
                <w:noProof/>
              </w:rPr>
              <w:t>Total Output Cost</w:t>
            </w:r>
          </w:p>
        </w:tc>
        <w:tc>
          <w:tcPr>
            <w:tcW w:w="1021" w:type="dxa"/>
            <w:shd w:val="clear" w:color="auto" w:fill="auto"/>
            <w:hideMark/>
          </w:tcPr>
          <w:p w14:paraId="794B30EC" w14:textId="77777777" w:rsidR="00D64E2C" w:rsidRPr="00A95DC7" w:rsidRDefault="00D64E2C" w:rsidP="00D64E2C">
            <w:pPr>
              <w:pStyle w:val="ARtabletextcentre"/>
            </w:pPr>
            <w:r w:rsidRPr="00A95DC7">
              <w:rPr>
                <w:b/>
                <w:bCs/>
                <w:noProof/>
              </w:rPr>
              <w:t>$ million</w:t>
            </w:r>
          </w:p>
        </w:tc>
        <w:tc>
          <w:tcPr>
            <w:tcW w:w="1021" w:type="dxa"/>
            <w:shd w:val="clear" w:color="auto" w:fill="auto"/>
            <w:hideMark/>
          </w:tcPr>
          <w:p w14:paraId="54A0B7D5" w14:textId="77777777" w:rsidR="00D64E2C" w:rsidRPr="00A95DC7" w:rsidRDefault="00D64E2C" w:rsidP="00D64E2C">
            <w:pPr>
              <w:pStyle w:val="ARtabletextright"/>
              <w:rPr>
                <w:b/>
                <w:bCs/>
              </w:rPr>
            </w:pPr>
            <w:r w:rsidRPr="00A95DC7">
              <w:rPr>
                <w:b/>
                <w:bCs/>
                <w:noProof/>
              </w:rPr>
              <w:t>1</w:t>
            </w:r>
            <w:r>
              <w:rPr>
                <w:b/>
                <w:bCs/>
                <w:noProof/>
              </w:rPr>
              <w:t>,</w:t>
            </w:r>
            <w:r w:rsidRPr="00A95DC7">
              <w:rPr>
                <w:b/>
                <w:bCs/>
                <w:noProof/>
              </w:rPr>
              <w:t>993.2</w:t>
            </w:r>
          </w:p>
        </w:tc>
        <w:tc>
          <w:tcPr>
            <w:tcW w:w="1021" w:type="dxa"/>
            <w:shd w:val="clear" w:color="auto" w:fill="auto"/>
            <w:hideMark/>
          </w:tcPr>
          <w:p w14:paraId="34B94803" w14:textId="77777777" w:rsidR="00D64E2C" w:rsidRPr="00A95DC7" w:rsidRDefault="00D64E2C" w:rsidP="00D64E2C">
            <w:pPr>
              <w:pStyle w:val="ARtabletextright"/>
              <w:rPr>
                <w:b/>
                <w:bCs/>
              </w:rPr>
            </w:pPr>
            <w:r w:rsidRPr="00A95DC7">
              <w:rPr>
                <w:b/>
                <w:bCs/>
                <w:noProof/>
              </w:rPr>
              <w:t>1</w:t>
            </w:r>
            <w:r>
              <w:rPr>
                <w:b/>
                <w:bCs/>
                <w:noProof/>
              </w:rPr>
              <w:t>,</w:t>
            </w:r>
            <w:r w:rsidRPr="00A95DC7">
              <w:rPr>
                <w:b/>
                <w:bCs/>
                <w:noProof/>
              </w:rPr>
              <w:t>937.</w:t>
            </w:r>
            <w:r>
              <w:rPr>
                <w:b/>
                <w:bCs/>
                <w:noProof/>
              </w:rPr>
              <w:t>6</w:t>
            </w:r>
          </w:p>
        </w:tc>
        <w:tc>
          <w:tcPr>
            <w:tcW w:w="1021" w:type="dxa"/>
            <w:shd w:val="clear" w:color="auto" w:fill="auto"/>
          </w:tcPr>
          <w:p w14:paraId="430C6891" w14:textId="77777777" w:rsidR="00D64E2C" w:rsidRPr="00A95DC7" w:rsidRDefault="00D64E2C" w:rsidP="00D64E2C">
            <w:pPr>
              <w:pStyle w:val="ARtabletextright"/>
              <w:rPr>
                <w:b/>
                <w:bCs/>
              </w:rPr>
            </w:pPr>
            <w:r>
              <w:rPr>
                <w:b/>
                <w:bCs/>
                <w:noProof/>
              </w:rPr>
              <w:t>−</w:t>
            </w:r>
            <w:r w:rsidRPr="00A95DC7">
              <w:rPr>
                <w:b/>
                <w:bCs/>
                <w:noProof/>
              </w:rPr>
              <w:t>2.</w:t>
            </w:r>
            <w:r>
              <w:rPr>
                <w:b/>
                <w:bCs/>
                <w:noProof/>
              </w:rPr>
              <w:t>8</w:t>
            </w:r>
          </w:p>
        </w:tc>
        <w:tc>
          <w:tcPr>
            <w:tcW w:w="794" w:type="dxa"/>
            <w:shd w:val="clear" w:color="auto" w:fill="auto"/>
            <w:hideMark/>
          </w:tcPr>
          <w:p w14:paraId="4E145579" w14:textId="77777777" w:rsidR="00D64E2C" w:rsidRPr="00D02A2E" w:rsidRDefault="00D64E2C" w:rsidP="00D64E2C">
            <w:pPr>
              <w:pStyle w:val="ARtabletextright"/>
            </w:pPr>
          </w:p>
        </w:tc>
      </w:tr>
      <w:tr w:rsidR="00D64E2C" w:rsidRPr="00D02A2E" w14:paraId="7FA0B731" w14:textId="77777777" w:rsidTr="000F1C6B">
        <w:trPr>
          <w:cantSplit/>
        </w:trPr>
        <w:tc>
          <w:tcPr>
            <w:tcW w:w="9639" w:type="dxa"/>
            <w:gridSpan w:val="6"/>
            <w:tcBorders>
              <w:bottom w:val="single" w:sz="4" w:space="0" w:color="BFBFBF"/>
            </w:tcBorders>
            <w:shd w:val="clear" w:color="auto" w:fill="auto"/>
            <w:noWrap/>
            <w:hideMark/>
          </w:tcPr>
          <w:p w14:paraId="48BFC2CB" w14:textId="77777777" w:rsidR="00D64E2C" w:rsidRPr="00D02A2E" w:rsidRDefault="00D64E2C" w:rsidP="00D64E2C">
            <w:pPr>
              <w:pStyle w:val="ARtablenoteindent"/>
            </w:pPr>
            <w:r w:rsidRPr="00C5726C">
              <w:rPr>
                <w:noProof/>
              </w:rPr>
              <w:t>The 202</w:t>
            </w:r>
            <w:r>
              <w:rPr>
                <w:noProof/>
              </w:rPr>
              <w:t>0–</w:t>
            </w:r>
            <w:r w:rsidRPr="00C5726C">
              <w:rPr>
                <w:noProof/>
              </w:rPr>
              <w:t>21 actual outcome primarily reflects funding requested to be carried over into 202</w:t>
            </w:r>
            <w:r>
              <w:rPr>
                <w:noProof/>
              </w:rPr>
              <w:t>1–</w:t>
            </w:r>
            <w:r w:rsidRPr="00C5726C">
              <w:rPr>
                <w:noProof/>
              </w:rPr>
              <w:t>22 and lower than expected Commonwealth Revenue</w:t>
            </w:r>
            <w:r>
              <w:rPr>
                <w:noProof/>
              </w:rPr>
              <w:t>.</w:t>
            </w:r>
          </w:p>
        </w:tc>
      </w:tr>
      <w:tr w:rsidR="00D64E2C" w:rsidRPr="00D02A2E" w14:paraId="5898640B" w14:textId="77777777" w:rsidTr="000F1C6B">
        <w:trPr>
          <w:cantSplit/>
        </w:trPr>
        <w:tc>
          <w:tcPr>
            <w:tcW w:w="9639" w:type="dxa"/>
            <w:gridSpan w:val="6"/>
            <w:tcBorders>
              <w:top w:val="single" w:sz="4" w:space="0" w:color="auto"/>
              <w:bottom w:val="single" w:sz="4" w:space="0" w:color="auto"/>
            </w:tcBorders>
            <w:shd w:val="clear" w:color="auto" w:fill="auto"/>
            <w:hideMark/>
          </w:tcPr>
          <w:p w14:paraId="53A0BDA6" w14:textId="77777777" w:rsidR="00D64E2C" w:rsidRPr="00D02A2E" w:rsidRDefault="00D64E2C" w:rsidP="00D64E2C">
            <w:pPr>
              <w:pStyle w:val="ARtablebluebold"/>
              <w:rPr>
                <w:rFonts w:ascii="Wingdings" w:hAnsi="Wingdings"/>
              </w:rPr>
            </w:pPr>
            <w:r>
              <w:t>Mental Health Community Support Services</w:t>
            </w:r>
          </w:p>
        </w:tc>
      </w:tr>
      <w:tr w:rsidR="00D64E2C" w:rsidRPr="00D02A2E" w14:paraId="4394AC9D" w14:textId="77777777" w:rsidTr="000F1C6B">
        <w:trPr>
          <w:cantSplit/>
        </w:trPr>
        <w:tc>
          <w:tcPr>
            <w:tcW w:w="9639" w:type="dxa"/>
            <w:gridSpan w:val="6"/>
            <w:tcBorders>
              <w:top w:val="single" w:sz="4" w:space="0" w:color="auto"/>
            </w:tcBorders>
            <w:shd w:val="clear" w:color="auto" w:fill="auto"/>
            <w:hideMark/>
          </w:tcPr>
          <w:p w14:paraId="6942D28F" w14:textId="77777777" w:rsidR="00D64E2C" w:rsidRPr="00D02A2E" w:rsidRDefault="00D64E2C" w:rsidP="00D64E2C">
            <w:pPr>
              <w:pStyle w:val="ARtablegreybold"/>
              <w:rPr>
                <w:rFonts w:ascii="Wingdings" w:hAnsi="Wingdings"/>
              </w:rPr>
            </w:pPr>
            <w:r w:rsidRPr="007A45E9">
              <w:t>Quantity</w:t>
            </w:r>
          </w:p>
        </w:tc>
      </w:tr>
      <w:tr w:rsidR="00D64E2C" w:rsidRPr="00D02A2E" w14:paraId="337A47E2" w14:textId="77777777" w:rsidTr="000F1C6B">
        <w:trPr>
          <w:cantSplit/>
        </w:trPr>
        <w:tc>
          <w:tcPr>
            <w:tcW w:w="4761" w:type="dxa"/>
            <w:shd w:val="clear" w:color="auto" w:fill="auto"/>
            <w:hideMark/>
          </w:tcPr>
          <w:p w14:paraId="39AED5C2" w14:textId="77777777" w:rsidR="00D64E2C" w:rsidRPr="00D02A2E" w:rsidRDefault="00D64E2C" w:rsidP="00D64E2C">
            <w:pPr>
              <w:pStyle w:val="ARtabletext"/>
            </w:pPr>
            <w:r w:rsidRPr="00C5726C">
              <w:rPr>
                <w:noProof/>
              </w:rPr>
              <w:t>Bed days</w:t>
            </w:r>
          </w:p>
        </w:tc>
        <w:tc>
          <w:tcPr>
            <w:tcW w:w="1021" w:type="dxa"/>
            <w:shd w:val="clear" w:color="auto" w:fill="auto"/>
            <w:hideMark/>
          </w:tcPr>
          <w:p w14:paraId="034B3B56" w14:textId="77777777" w:rsidR="00D64E2C" w:rsidRPr="00D02A2E" w:rsidRDefault="00D64E2C" w:rsidP="00D64E2C">
            <w:pPr>
              <w:pStyle w:val="ARtabletextcentre"/>
            </w:pPr>
            <w:r w:rsidRPr="00C5726C">
              <w:rPr>
                <w:noProof/>
              </w:rPr>
              <w:t>number</w:t>
            </w:r>
          </w:p>
        </w:tc>
        <w:tc>
          <w:tcPr>
            <w:tcW w:w="1021" w:type="dxa"/>
            <w:shd w:val="clear" w:color="auto" w:fill="auto"/>
            <w:hideMark/>
          </w:tcPr>
          <w:p w14:paraId="78300D22" w14:textId="77777777" w:rsidR="00D64E2C" w:rsidRDefault="00D64E2C" w:rsidP="00D64E2C">
            <w:pPr>
              <w:pStyle w:val="ARtabletextright"/>
            </w:pPr>
            <w:r w:rsidRPr="00C5726C">
              <w:rPr>
                <w:noProof/>
              </w:rPr>
              <w:t>60</w:t>
            </w:r>
            <w:r>
              <w:rPr>
                <w:noProof/>
              </w:rPr>
              <w:t>,</w:t>
            </w:r>
            <w:r w:rsidRPr="00C5726C">
              <w:rPr>
                <w:noProof/>
              </w:rPr>
              <w:t>115</w:t>
            </w:r>
          </w:p>
        </w:tc>
        <w:tc>
          <w:tcPr>
            <w:tcW w:w="1021" w:type="dxa"/>
            <w:shd w:val="clear" w:color="auto" w:fill="auto"/>
            <w:hideMark/>
          </w:tcPr>
          <w:p w14:paraId="6674C8B6" w14:textId="77777777" w:rsidR="00D64E2C" w:rsidRDefault="00D64E2C" w:rsidP="00D64E2C">
            <w:pPr>
              <w:pStyle w:val="ARtabletextright"/>
            </w:pPr>
            <w:r w:rsidRPr="00C5726C">
              <w:rPr>
                <w:noProof/>
              </w:rPr>
              <w:t>4</w:t>
            </w:r>
            <w:r>
              <w:rPr>
                <w:noProof/>
              </w:rPr>
              <w:t>6,542</w:t>
            </w:r>
          </w:p>
        </w:tc>
        <w:tc>
          <w:tcPr>
            <w:tcW w:w="1021" w:type="dxa"/>
            <w:shd w:val="clear" w:color="auto" w:fill="auto"/>
          </w:tcPr>
          <w:p w14:paraId="2944EC86" w14:textId="77777777" w:rsidR="00D64E2C" w:rsidRDefault="00D64E2C" w:rsidP="00D64E2C">
            <w:pPr>
              <w:pStyle w:val="ARtabletextright"/>
            </w:pPr>
            <w:r>
              <w:rPr>
                <w:noProof/>
              </w:rPr>
              <w:t>−22.6</w:t>
            </w:r>
          </w:p>
        </w:tc>
        <w:tc>
          <w:tcPr>
            <w:tcW w:w="794" w:type="dxa"/>
            <w:shd w:val="clear" w:color="auto" w:fill="auto"/>
            <w:hideMark/>
          </w:tcPr>
          <w:p w14:paraId="54329490" w14:textId="243C7936" w:rsidR="00D64E2C" w:rsidRPr="00D02A2E" w:rsidRDefault="00D64E2C" w:rsidP="00C575AB">
            <w:pPr>
              <w:pStyle w:val="ARtableperformancesymbol"/>
            </w:pPr>
            <w:r>
              <w:rPr>
                <w:noProof/>
              </w:rPr>
              <w:drawing>
                <wp:inline distT="0" distB="0" distL="0" distR="0" wp14:anchorId="3F02CD6E" wp14:editId="698FD35E">
                  <wp:extent cx="76320" cy="76320"/>
                  <wp:effectExtent l="0" t="0" r="0" b="0"/>
                  <wp:docPr id="87" name="Graphic 87"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D64E2C" w:rsidRPr="00D02A2E" w14:paraId="11A9ACCA" w14:textId="77777777" w:rsidTr="000F1C6B">
        <w:trPr>
          <w:cantSplit/>
        </w:trPr>
        <w:tc>
          <w:tcPr>
            <w:tcW w:w="9639" w:type="dxa"/>
            <w:gridSpan w:val="6"/>
            <w:tcBorders>
              <w:bottom w:val="single" w:sz="4" w:space="0" w:color="BFBFBF"/>
            </w:tcBorders>
            <w:shd w:val="clear" w:color="auto" w:fill="auto"/>
            <w:noWrap/>
            <w:hideMark/>
          </w:tcPr>
          <w:p w14:paraId="75246E55" w14:textId="77777777" w:rsidR="00D64E2C" w:rsidRPr="00D02A2E" w:rsidRDefault="00D64E2C" w:rsidP="00D64E2C">
            <w:pPr>
              <w:pStyle w:val="ARtablenoteindent"/>
            </w:pPr>
            <w:r w:rsidRPr="00C5726C">
              <w:rPr>
                <w:noProof/>
              </w:rPr>
              <w:t xml:space="preserve">This lower result is due to </w:t>
            </w:r>
            <w:r>
              <w:rPr>
                <w:noProof/>
              </w:rPr>
              <w:t>y</w:t>
            </w:r>
            <w:r w:rsidRPr="00C5726C">
              <w:rPr>
                <w:noProof/>
              </w:rPr>
              <w:t xml:space="preserve">outh </w:t>
            </w:r>
            <w:r>
              <w:rPr>
                <w:noProof/>
              </w:rPr>
              <w:t>r</w:t>
            </w:r>
            <w:r w:rsidRPr="00C5726C">
              <w:rPr>
                <w:noProof/>
              </w:rPr>
              <w:t xml:space="preserve">esidential </w:t>
            </w:r>
            <w:r>
              <w:rPr>
                <w:noProof/>
              </w:rPr>
              <w:t>r</w:t>
            </w:r>
            <w:r w:rsidRPr="00C5726C">
              <w:rPr>
                <w:noProof/>
              </w:rPr>
              <w:t xml:space="preserve">ehabilitation facilities being required to leave units vacant to enable the isolation of clients in the event of </w:t>
            </w:r>
            <w:r>
              <w:rPr>
                <w:noProof/>
              </w:rPr>
              <w:t xml:space="preserve">COVID-19 </w:t>
            </w:r>
            <w:r w:rsidRPr="00C5726C">
              <w:rPr>
                <w:noProof/>
              </w:rPr>
              <w:t>exposure or an outbreak between March and November 2020.</w:t>
            </w:r>
            <w:r>
              <w:rPr>
                <w:noProof/>
              </w:rPr>
              <w:t xml:space="preserve"> </w:t>
            </w:r>
            <w:r w:rsidRPr="00C5726C">
              <w:rPr>
                <w:noProof/>
              </w:rPr>
              <w:t>In addition, recreational visitors and weekend leave were not permitted during this time, which, coupled with mandatory mask wearing and physical distancing requirements, created a disincentive for young people to accept placements in these facilities.</w:t>
            </w:r>
          </w:p>
        </w:tc>
      </w:tr>
      <w:tr w:rsidR="00D64E2C" w:rsidRPr="00D02A2E" w14:paraId="6C8F5BBD" w14:textId="77777777" w:rsidTr="000F1C6B">
        <w:trPr>
          <w:cantSplit/>
        </w:trPr>
        <w:tc>
          <w:tcPr>
            <w:tcW w:w="4761" w:type="dxa"/>
            <w:shd w:val="clear" w:color="auto" w:fill="auto"/>
            <w:hideMark/>
          </w:tcPr>
          <w:p w14:paraId="3556893D" w14:textId="77777777" w:rsidR="00D64E2C" w:rsidRPr="00D02A2E" w:rsidRDefault="00D64E2C" w:rsidP="00D64E2C">
            <w:pPr>
              <w:pStyle w:val="ARtabletext"/>
            </w:pPr>
            <w:r w:rsidRPr="00C5726C">
              <w:rPr>
                <w:noProof/>
              </w:rPr>
              <w:t>Client Support Units</w:t>
            </w:r>
          </w:p>
        </w:tc>
        <w:tc>
          <w:tcPr>
            <w:tcW w:w="1021" w:type="dxa"/>
            <w:shd w:val="clear" w:color="auto" w:fill="auto"/>
            <w:hideMark/>
          </w:tcPr>
          <w:p w14:paraId="53DBCA6B" w14:textId="77777777" w:rsidR="00D64E2C" w:rsidRPr="00D02A2E" w:rsidRDefault="00D64E2C" w:rsidP="00D64E2C">
            <w:pPr>
              <w:pStyle w:val="ARtabletextcentre"/>
            </w:pPr>
            <w:r w:rsidRPr="00C5726C">
              <w:rPr>
                <w:noProof/>
              </w:rPr>
              <w:t>number</w:t>
            </w:r>
          </w:p>
        </w:tc>
        <w:tc>
          <w:tcPr>
            <w:tcW w:w="1021" w:type="dxa"/>
            <w:shd w:val="clear" w:color="auto" w:fill="auto"/>
            <w:hideMark/>
          </w:tcPr>
          <w:p w14:paraId="31F13BDF" w14:textId="77777777" w:rsidR="00D64E2C" w:rsidRDefault="00D64E2C" w:rsidP="00D64E2C">
            <w:pPr>
              <w:pStyle w:val="ARtabletextright"/>
            </w:pPr>
            <w:r w:rsidRPr="00C5726C">
              <w:rPr>
                <w:noProof/>
              </w:rPr>
              <w:t>37</w:t>
            </w:r>
            <w:r>
              <w:rPr>
                <w:noProof/>
              </w:rPr>
              <w:t>,</w:t>
            </w:r>
            <w:r w:rsidRPr="00C5726C">
              <w:rPr>
                <w:noProof/>
              </w:rPr>
              <w:t>279</w:t>
            </w:r>
          </w:p>
        </w:tc>
        <w:tc>
          <w:tcPr>
            <w:tcW w:w="1021" w:type="dxa"/>
            <w:shd w:val="clear" w:color="auto" w:fill="auto"/>
            <w:hideMark/>
          </w:tcPr>
          <w:p w14:paraId="0E929B0E" w14:textId="77777777" w:rsidR="00D64E2C" w:rsidRDefault="00D64E2C" w:rsidP="00D64E2C">
            <w:pPr>
              <w:pStyle w:val="ARtabletextright"/>
            </w:pPr>
            <w:r w:rsidRPr="00C5726C">
              <w:rPr>
                <w:noProof/>
              </w:rPr>
              <w:t>2</w:t>
            </w:r>
            <w:r>
              <w:rPr>
                <w:noProof/>
              </w:rPr>
              <w:t>,</w:t>
            </w:r>
            <w:r w:rsidRPr="00C5726C">
              <w:rPr>
                <w:noProof/>
              </w:rPr>
              <w:t>703</w:t>
            </w:r>
          </w:p>
        </w:tc>
        <w:tc>
          <w:tcPr>
            <w:tcW w:w="1021" w:type="dxa"/>
            <w:shd w:val="clear" w:color="auto" w:fill="auto"/>
          </w:tcPr>
          <w:p w14:paraId="29530EAD" w14:textId="77777777" w:rsidR="00D64E2C" w:rsidRDefault="00D64E2C" w:rsidP="00D64E2C">
            <w:pPr>
              <w:pStyle w:val="ARtabletextright"/>
            </w:pPr>
            <w:r>
              <w:rPr>
                <w:noProof/>
              </w:rPr>
              <w:t>−</w:t>
            </w:r>
            <w:r w:rsidRPr="00C5726C">
              <w:rPr>
                <w:noProof/>
              </w:rPr>
              <w:t>92.7</w:t>
            </w:r>
          </w:p>
        </w:tc>
        <w:tc>
          <w:tcPr>
            <w:tcW w:w="794" w:type="dxa"/>
            <w:shd w:val="clear" w:color="auto" w:fill="auto"/>
            <w:hideMark/>
          </w:tcPr>
          <w:p w14:paraId="7266CB3A" w14:textId="619DFD93" w:rsidR="00D64E2C" w:rsidRPr="00D02A2E" w:rsidRDefault="00D64E2C" w:rsidP="00C575AB">
            <w:pPr>
              <w:pStyle w:val="ARtableperformancesymbol"/>
            </w:pPr>
            <w:r>
              <w:rPr>
                <w:noProof/>
              </w:rPr>
              <w:drawing>
                <wp:inline distT="0" distB="0" distL="0" distR="0" wp14:anchorId="0515EBBD" wp14:editId="35016463">
                  <wp:extent cx="76320" cy="76320"/>
                  <wp:effectExtent l="0" t="0" r="0" b="0"/>
                  <wp:docPr id="88" name="Graphic 88"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D64E2C" w:rsidRPr="00D02A2E" w14:paraId="1336EBBE" w14:textId="77777777" w:rsidTr="000F1C6B">
        <w:trPr>
          <w:cantSplit/>
        </w:trPr>
        <w:tc>
          <w:tcPr>
            <w:tcW w:w="9639" w:type="dxa"/>
            <w:gridSpan w:val="6"/>
            <w:tcBorders>
              <w:bottom w:val="single" w:sz="4" w:space="0" w:color="BFBFBF"/>
            </w:tcBorders>
            <w:shd w:val="clear" w:color="auto" w:fill="auto"/>
            <w:noWrap/>
            <w:hideMark/>
          </w:tcPr>
          <w:p w14:paraId="52BF629C" w14:textId="77777777" w:rsidR="00D64E2C" w:rsidRPr="00D02A2E" w:rsidRDefault="00D64E2C" w:rsidP="00D64E2C">
            <w:pPr>
              <w:pStyle w:val="ARtablenoteindent"/>
            </w:pPr>
            <w:r w:rsidRPr="00C5726C">
              <w:rPr>
                <w:noProof/>
              </w:rPr>
              <w:t>The reduction in client support units is due to the transition of funding committed to individualised client support packages to the NDIS. This target is under review since the transition to NDIS is now complete.</w:t>
            </w:r>
          </w:p>
        </w:tc>
      </w:tr>
      <w:tr w:rsidR="00D64E2C" w:rsidRPr="00D02A2E" w14:paraId="7A7F7DB2" w14:textId="77777777" w:rsidTr="000F1C6B">
        <w:trPr>
          <w:cantSplit/>
        </w:trPr>
        <w:tc>
          <w:tcPr>
            <w:tcW w:w="4761" w:type="dxa"/>
            <w:shd w:val="clear" w:color="auto" w:fill="auto"/>
            <w:hideMark/>
          </w:tcPr>
          <w:p w14:paraId="3CFE8F2C" w14:textId="77777777" w:rsidR="00D64E2C" w:rsidRPr="00D02A2E" w:rsidRDefault="00D64E2C" w:rsidP="00D64E2C">
            <w:pPr>
              <w:pStyle w:val="ARtabletext"/>
            </w:pPr>
            <w:r w:rsidRPr="00C5726C">
              <w:rPr>
                <w:noProof/>
              </w:rPr>
              <w:t>Clients receiving community mental health support services</w:t>
            </w:r>
          </w:p>
        </w:tc>
        <w:tc>
          <w:tcPr>
            <w:tcW w:w="1021" w:type="dxa"/>
            <w:shd w:val="clear" w:color="auto" w:fill="auto"/>
            <w:hideMark/>
          </w:tcPr>
          <w:p w14:paraId="0CC758D7" w14:textId="77777777" w:rsidR="00D64E2C" w:rsidRPr="00D02A2E" w:rsidRDefault="00D64E2C" w:rsidP="00D64E2C">
            <w:pPr>
              <w:pStyle w:val="ARtabletextcentre"/>
            </w:pPr>
            <w:r w:rsidRPr="00C5726C">
              <w:rPr>
                <w:noProof/>
              </w:rPr>
              <w:t>number</w:t>
            </w:r>
          </w:p>
        </w:tc>
        <w:tc>
          <w:tcPr>
            <w:tcW w:w="1021" w:type="dxa"/>
            <w:shd w:val="clear" w:color="auto" w:fill="auto"/>
            <w:hideMark/>
          </w:tcPr>
          <w:p w14:paraId="56A7D904" w14:textId="77777777" w:rsidR="00D64E2C" w:rsidRDefault="00D64E2C" w:rsidP="00D64E2C">
            <w:pPr>
              <w:pStyle w:val="ARtabletextright"/>
            </w:pPr>
            <w:r w:rsidRPr="00C5726C">
              <w:rPr>
                <w:noProof/>
              </w:rPr>
              <w:t>1</w:t>
            </w:r>
            <w:r>
              <w:rPr>
                <w:noProof/>
              </w:rPr>
              <w:t>,</w:t>
            </w:r>
            <w:r w:rsidRPr="00C5726C">
              <w:rPr>
                <w:noProof/>
              </w:rPr>
              <w:t>800</w:t>
            </w:r>
          </w:p>
        </w:tc>
        <w:tc>
          <w:tcPr>
            <w:tcW w:w="1021" w:type="dxa"/>
            <w:shd w:val="clear" w:color="auto" w:fill="auto"/>
            <w:hideMark/>
          </w:tcPr>
          <w:p w14:paraId="003D4F0A" w14:textId="77777777" w:rsidR="00D64E2C" w:rsidRDefault="00D64E2C" w:rsidP="00D64E2C">
            <w:pPr>
              <w:pStyle w:val="ARtabletextright"/>
            </w:pPr>
            <w:r w:rsidRPr="00C5726C">
              <w:rPr>
                <w:noProof/>
              </w:rPr>
              <w:t>3</w:t>
            </w:r>
            <w:r>
              <w:rPr>
                <w:noProof/>
              </w:rPr>
              <w:t>,</w:t>
            </w:r>
            <w:r w:rsidRPr="00C5726C">
              <w:rPr>
                <w:noProof/>
              </w:rPr>
              <w:t>180</w:t>
            </w:r>
          </w:p>
        </w:tc>
        <w:tc>
          <w:tcPr>
            <w:tcW w:w="1021" w:type="dxa"/>
            <w:shd w:val="clear" w:color="auto" w:fill="auto"/>
          </w:tcPr>
          <w:p w14:paraId="4B0DEB47" w14:textId="77777777" w:rsidR="00D64E2C" w:rsidRDefault="00D64E2C" w:rsidP="00D64E2C">
            <w:pPr>
              <w:pStyle w:val="ARtabletextright"/>
            </w:pPr>
            <w:r w:rsidRPr="00C5726C">
              <w:rPr>
                <w:noProof/>
              </w:rPr>
              <w:t>76.</w:t>
            </w:r>
            <w:r>
              <w:rPr>
                <w:noProof/>
              </w:rPr>
              <w:t>7</w:t>
            </w:r>
          </w:p>
        </w:tc>
        <w:tc>
          <w:tcPr>
            <w:tcW w:w="794" w:type="dxa"/>
            <w:shd w:val="clear" w:color="auto" w:fill="auto"/>
            <w:hideMark/>
          </w:tcPr>
          <w:p w14:paraId="7007E8EB" w14:textId="77FCCB73" w:rsidR="00D64E2C" w:rsidRPr="00D02A2E" w:rsidRDefault="00CF2633" w:rsidP="00C575AB">
            <w:pPr>
              <w:pStyle w:val="ARtableperformancesymbol"/>
            </w:pPr>
            <w:r>
              <w:rPr>
                <w:noProof/>
              </w:rPr>
              <w:drawing>
                <wp:inline distT="0" distB="0" distL="0" distR="0" wp14:anchorId="06FB3D90" wp14:editId="6F757548">
                  <wp:extent cx="85320" cy="85320"/>
                  <wp:effectExtent l="0" t="0" r="0" b="0"/>
                  <wp:docPr id="173" name="Graphic 173"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D64E2C" w:rsidRPr="00D02A2E" w14:paraId="6DF1A6D7" w14:textId="77777777" w:rsidTr="000F1C6B">
        <w:trPr>
          <w:cantSplit/>
        </w:trPr>
        <w:tc>
          <w:tcPr>
            <w:tcW w:w="9639" w:type="dxa"/>
            <w:gridSpan w:val="6"/>
            <w:tcBorders>
              <w:bottom w:val="single" w:sz="4" w:space="0" w:color="BFBFBF"/>
            </w:tcBorders>
            <w:shd w:val="clear" w:color="auto" w:fill="auto"/>
            <w:noWrap/>
            <w:hideMark/>
          </w:tcPr>
          <w:p w14:paraId="08061F76" w14:textId="77777777" w:rsidR="00D64E2C" w:rsidRPr="00D02A2E" w:rsidRDefault="00D64E2C" w:rsidP="00D64E2C">
            <w:pPr>
              <w:pStyle w:val="ARtablenoteindent"/>
            </w:pPr>
            <w:r>
              <w:rPr>
                <w:noProof/>
              </w:rPr>
              <w:t>A h</w:t>
            </w:r>
            <w:r w:rsidRPr="00C5726C">
              <w:rPr>
                <w:noProof/>
              </w:rPr>
              <w:t xml:space="preserve">igher than expected </w:t>
            </w:r>
            <w:r>
              <w:rPr>
                <w:noProof/>
              </w:rPr>
              <w:t xml:space="preserve">number of </w:t>
            </w:r>
            <w:r w:rsidRPr="00C5726C">
              <w:rPr>
                <w:noProof/>
              </w:rPr>
              <w:t>client</w:t>
            </w:r>
            <w:r>
              <w:rPr>
                <w:noProof/>
              </w:rPr>
              <w:t>s</w:t>
            </w:r>
            <w:r w:rsidRPr="00C5726C">
              <w:rPr>
                <w:noProof/>
              </w:rPr>
              <w:t xml:space="preserve"> have engaged with mental health community support services during this period, which may be due to the impact of the </w:t>
            </w:r>
            <w:r>
              <w:rPr>
                <w:noProof/>
              </w:rPr>
              <w:t>COVID-19</w:t>
            </w:r>
            <w:r w:rsidRPr="00C5726C">
              <w:rPr>
                <w:noProof/>
              </w:rPr>
              <w:t xml:space="preserve"> pandemic</w:t>
            </w:r>
            <w:r>
              <w:rPr>
                <w:noProof/>
              </w:rPr>
              <w:t>.</w:t>
            </w:r>
          </w:p>
        </w:tc>
      </w:tr>
      <w:tr w:rsidR="00D64E2C" w:rsidRPr="00D02A2E" w14:paraId="41C99CEE" w14:textId="77777777" w:rsidTr="000F1C6B">
        <w:trPr>
          <w:cantSplit/>
        </w:trPr>
        <w:tc>
          <w:tcPr>
            <w:tcW w:w="9639" w:type="dxa"/>
            <w:gridSpan w:val="6"/>
            <w:tcBorders>
              <w:top w:val="single" w:sz="4" w:space="0" w:color="auto"/>
            </w:tcBorders>
            <w:shd w:val="clear" w:color="auto" w:fill="auto"/>
            <w:hideMark/>
          </w:tcPr>
          <w:p w14:paraId="6A9A700D" w14:textId="77777777" w:rsidR="00D64E2C" w:rsidRPr="00D02A2E" w:rsidRDefault="00D64E2C" w:rsidP="00D64E2C">
            <w:pPr>
              <w:pStyle w:val="ARtablegreybold"/>
              <w:rPr>
                <w:rFonts w:ascii="Wingdings" w:hAnsi="Wingdings"/>
              </w:rPr>
            </w:pPr>
            <w:r>
              <w:t>Quality</w:t>
            </w:r>
          </w:p>
        </w:tc>
      </w:tr>
      <w:tr w:rsidR="00D64E2C" w:rsidRPr="00D02A2E" w14:paraId="75FF5B3C" w14:textId="77777777" w:rsidTr="000F1C6B">
        <w:trPr>
          <w:cantSplit/>
        </w:trPr>
        <w:tc>
          <w:tcPr>
            <w:tcW w:w="4761" w:type="dxa"/>
            <w:shd w:val="clear" w:color="auto" w:fill="auto"/>
            <w:hideMark/>
          </w:tcPr>
          <w:p w14:paraId="6E963A1D" w14:textId="77777777" w:rsidR="00D64E2C" w:rsidRPr="00D02A2E" w:rsidRDefault="00D64E2C" w:rsidP="00D64E2C">
            <w:pPr>
              <w:pStyle w:val="ARtabletext"/>
            </w:pPr>
            <w:r w:rsidRPr="00C5726C">
              <w:rPr>
                <w:noProof/>
              </w:rPr>
              <w:t>Proportion of major agencies accredited</w:t>
            </w:r>
          </w:p>
        </w:tc>
        <w:tc>
          <w:tcPr>
            <w:tcW w:w="1021" w:type="dxa"/>
            <w:shd w:val="clear" w:color="auto" w:fill="auto"/>
            <w:hideMark/>
          </w:tcPr>
          <w:p w14:paraId="14405AB5" w14:textId="77777777" w:rsidR="00D64E2C" w:rsidRPr="00D02A2E" w:rsidRDefault="00D64E2C" w:rsidP="00D64E2C">
            <w:pPr>
              <w:pStyle w:val="ARtabletextcentre"/>
            </w:pPr>
            <w:r w:rsidRPr="00C5726C">
              <w:rPr>
                <w:noProof/>
              </w:rPr>
              <w:t>per cent</w:t>
            </w:r>
          </w:p>
        </w:tc>
        <w:tc>
          <w:tcPr>
            <w:tcW w:w="1021" w:type="dxa"/>
            <w:shd w:val="clear" w:color="auto" w:fill="auto"/>
            <w:hideMark/>
          </w:tcPr>
          <w:p w14:paraId="03E48216" w14:textId="77777777" w:rsidR="00D64E2C" w:rsidRDefault="00D64E2C" w:rsidP="00D64E2C">
            <w:pPr>
              <w:pStyle w:val="ARtabletextright"/>
            </w:pPr>
            <w:r w:rsidRPr="00C5726C">
              <w:rPr>
                <w:noProof/>
              </w:rPr>
              <w:t>100</w:t>
            </w:r>
          </w:p>
        </w:tc>
        <w:tc>
          <w:tcPr>
            <w:tcW w:w="1021" w:type="dxa"/>
            <w:shd w:val="clear" w:color="auto" w:fill="auto"/>
            <w:hideMark/>
          </w:tcPr>
          <w:p w14:paraId="705F3F89" w14:textId="77777777" w:rsidR="00D64E2C" w:rsidRDefault="00D64E2C" w:rsidP="00D64E2C">
            <w:pPr>
              <w:pStyle w:val="ARtabletextright"/>
            </w:pPr>
            <w:r w:rsidRPr="00C5726C">
              <w:rPr>
                <w:noProof/>
              </w:rPr>
              <w:t>100</w:t>
            </w:r>
          </w:p>
        </w:tc>
        <w:tc>
          <w:tcPr>
            <w:tcW w:w="1021" w:type="dxa"/>
            <w:shd w:val="clear" w:color="auto" w:fill="auto"/>
          </w:tcPr>
          <w:p w14:paraId="111557CB" w14:textId="77777777" w:rsidR="00D64E2C" w:rsidRDefault="00D64E2C" w:rsidP="00D64E2C">
            <w:pPr>
              <w:pStyle w:val="ARtabletextright"/>
            </w:pPr>
            <w:r w:rsidRPr="00C5726C">
              <w:rPr>
                <w:noProof/>
              </w:rPr>
              <w:t>0</w:t>
            </w:r>
          </w:p>
        </w:tc>
        <w:tc>
          <w:tcPr>
            <w:tcW w:w="794" w:type="dxa"/>
            <w:shd w:val="clear" w:color="auto" w:fill="auto"/>
            <w:hideMark/>
          </w:tcPr>
          <w:p w14:paraId="7AD5C54F" w14:textId="0B20B6DF" w:rsidR="00D64E2C" w:rsidRPr="00D02A2E" w:rsidRDefault="00CF2633" w:rsidP="00C575AB">
            <w:pPr>
              <w:pStyle w:val="ARtableperformancesymbol"/>
            </w:pPr>
            <w:r>
              <w:rPr>
                <w:noProof/>
              </w:rPr>
              <w:drawing>
                <wp:inline distT="0" distB="0" distL="0" distR="0" wp14:anchorId="4D8F97A1" wp14:editId="18B8DB79">
                  <wp:extent cx="85320" cy="85320"/>
                  <wp:effectExtent l="0" t="0" r="0" b="0"/>
                  <wp:docPr id="174" name="Graphic 174"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D64E2C" w:rsidRPr="00D02A2E" w14:paraId="46F5848A" w14:textId="77777777" w:rsidTr="000F1C6B">
        <w:trPr>
          <w:cantSplit/>
        </w:trPr>
        <w:tc>
          <w:tcPr>
            <w:tcW w:w="9639" w:type="dxa"/>
            <w:gridSpan w:val="6"/>
            <w:tcBorders>
              <w:bottom w:val="single" w:sz="4" w:space="0" w:color="BFBFBF"/>
            </w:tcBorders>
            <w:shd w:val="clear" w:color="auto" w:fill="auto"/>
            <w:noWrap/>
            <w:hideMark/>
          </w:tcPr>
          <w:p w14:paraId="605C1098" w14:textId="77777777" w:rsidR="00D64E2C" w:rsidRPr="00D02A2E" w:rsidRDefault="00D64E2C" w:rsidP="00D64E2C">
            <w:pPr>
              <w:pStyle w:val="ARtablenoteindent"/>
            </w:pPr>
            <w:r w:rsidRPr="00C5726C">
              <w:rPr>
                <w:noProof/>
              </w:rPr>
              <w:t>Agencies are expected to be accredited as a condition of funding.</w:t>
            </w:r>
          </w:p>
        </w:tc>
      </w:tr>
      <w:tr w:rsidR="00D64E2C" w:rsidRPr="00D02A2E" w14:paraId="65B6F039" w14:textId="77777777" w:rsidTr="000F1C6B">
        <w:trPr>
          <w:cantSplit/>
        </w:trPr>
        <w:tc>
          <w:tcPr>
            <w:tcW w:w="9639" w:type="dxa"/>
            <w:gridSpan w:val="6"/>
            <w:tcBorders>
              <w:top w:val="single" w:sz="4" w:space="0" w:color="auto"/>
            </w:tcBorders>
            <w:shd w:val="clear" w:color="auto" w:fill="auto"/>
            <w:hideMark/>
          </w:tcPr>
          <w:p w14:paraId="53EA7C7F" w14:textId="77777777" w:rsidR="00D64E2C" w:rsidRPr="00D02A2E" w:rsidRDefault="00D64E2C" w:rsidP="00D64E2C">
            <w:pPr>
              <w:pStyle w:val="ARtablegreybold"/>
              <w:rPr>
                <w:rFonts w:ascii="Wingdings" w:hAnsi="Wingdings"/>
              </w:rPr>
            </w:pPr>
            <w:r>
              <w:t>Cost</w:t>
            </w:r>
          </w:p>
        </w:tc>
      </w:tr>
      <w:tr w:rsidR="00D64E2C" w:rsidRPr="00D02A2E" w14:paraId="667E867F" w14:textId="77777777" w:rsidTr="000F1C6B">
        <w:trPr>
          <w:cantSplit/>
        </w:trPr>
        <w:tc>
          <w:tcPr>
            <w:tcW w:w="4761" w:type="dxa"/>
            <w:shd w:val="clear" w:color="auto" w:fill="auto"/>
            <w:hideMark/>
          </w:tcPr>
          <w:p w14:paraId="362A9D9D" w14:textId="77777777" w:rsidR="00D64E2C" w:rsidRPr="00A95DC7" w:rsidRDefault="00D64E2C" w:rsidP="00D64E2C">
            <w:pPr>
              <w:pStyle w:val="ARtabletext"/>
              <w:rPr>
                <w:b/>
                <w:bCs/>
              </w:rPr>
            </w:pPr>
            <w:r w:rsidRPr="00A95DC7">
              <w:rPr>
                <w:b/>
                <w:bCs/>
                <w:noProof/>
              </w:rPr>
              <w:t>Total Output Cost</w:t>
            </w:r>
          </w:p>
        </w:tc>
        <w:tc>
          <w:tcPr>
            <w:tcW w:w="1021" w:type="dxa"/>
            <w:shd w:val="clear" w:color="auto" w:fill="auto"/>
            <w:hideMark/>
          </w:tcPr>
          <w:p w14:paraId="1BED60E3" w14:textId="77777777" w:rsidR="00D64E2C" w:rsidRPr="00A95DC7" w:rsidRDefault="00D64E2C" w:rsidP="00D64E2C">
            <w:pPr>
              <w:pStyle w:val="ARtabletextcentre"/>
            </w:pPr>
            <w:r w:rsidRPr="00A95DC7">
              <w:rPr>
                <w:b/>
                <w:bCs/>
                <w:noProof/>
              </w:rPr>
              <w:t>$ million</w:t>
            </w:r>
          </w:p>
        </w:tc>
        <w:tc>
          <w:tcPr>
            <w:tcW w:w="1021" w:type="dxa"/>
            <w:shd w:val="clear" w:color="auto" w:fill="auto"/>
            <w:hideMark/>
          </w:tcPr>
          <w:p w14:paraId="7CAA9790" w14:textId="77777777" w:rsidR="00D64E2C" w:rsidRPr="00A95DC7" w:rsidRDefault="00D64E2C" w:rsidP="00D64E2C">
            <w:pPr>
              <w:pStyle w:val="ARtabletextright"/>
              <w:rPr>
                <w:b/>
                <w:bCs/>
              </w:rPr>
            </w:pPr>
            <w:r w:rsidRPr="00A95DC7">
              <w:rPr>
                <w:b/>
                <w:bCs/>
                <w:noProof/>
              </w:rPr>
              <w:t>126.9</w:t>
            </w:r>
          </w:p>
        </w:tc>
        <w:tc>
          <w:tcPr>
            <w:tcW w:w="1021" w:type="dxa"/>
            <w:shd w:val="clear" w:color="auto" w:fill="auto"/>
            <w:hideMark/>
          </w:tcPr>
          <w:p w14:paraId="37856ADF" w14:textId="77777777" w:rsidR="00D64E2C" w:rsidRPr="00A95DC7" w:rsidRDefault="00D64E2C" w:rsidP="00D64E2C">
            <w:pPr>
              <w:pStyle w:val="ARtabletextright"/>
              <w:rPr>
                <w:b/>
                <w:bCs/>
              </w:rPr>
            </w:pPr>
            <w:r w:rsidRPr="00A95DC7">
              <w:rPr>
                <w:b/>
                <w:bCs/>
                <w:noProof/>
              </w:rPr>
              <w:t>121.8</w:t>
            </w:r>
          </w:p>
        </w:tc>
        <w:tc>
          <w:tcPr>
            <w:tcW w:w="1021" w:type="dxa"/>
            <w:shd w:val="clear" w:color="auto" w:fill="auto"/>
          </w:tcPr>
          <w:p w14:paraId="1461B4B9" w14:textId="77777777" w:rsidR="00D64E2C" w:rsidRPr="00A95DC7" w:rsidRDefault="00D64E2C" w:rsidP="00D64E2C">
            <w:pPr>
              <w:pStyle w:val="ARtabletextright"/>
              <w:rPr>
                <w:b/>
                <w:bCs/>
              </w:rPr>
            </w:pPr>
            <w:r>
              <w:rPr>
                <w:b/>
                <w:bCs/>
                <w:noProof/>
              </w:rPr>
              <w:t>−</w:t>
            </w:r>
            <w:r w:rsidRPr="00A95DC7">
              <w:rPr>
                <w:b/>
                <w:bCs/>
                <w:noProof/>
              </w:rPr>
              <w:t>4</w:t>
            </w:r>
          </w:p>
        </w:tc>
        <w:tc>
          <w:tcPr>
            <w:tcW w:w="794" w:type="dxa"/>
            <w:shd w:val="clear" w:color="auto" w:fill="auto"/>
            <w:hideMark/>
          </w:tcPr>
          <w:p w14:paraId="035ECA2B" w14:textId="77777777" w:rsidR="00D64E2C" w:rsidRPr="00D02A2E" w:rsidRDefault="00D64E2C" w:rsidP="00D64E2C">
            <w:pPr>
              <w:pStyle w:val="ARtabletextright"/>
            </w:pPr>
          </w:p>
        </w:tc>
      </w:tr>
      <w:tr w:rsidR="00D64E2C" w:rsidRPr="00D02A2E" w14:paraId="0F5DC561" w14:textId="77777777" w:rsidTr="000F1C6B">
        <w:trPr>
          <w:cantSplit/>
        </w:trPr>
        <w:tc>
          <w:tcPr>
            <w:tcW w:w="9639" w:type="dxa"/>
            <w:gridSpan w:val="6"/>
            <w:tcBorders>
              <w:bottom w:val="single" w:sz="4" w:space="0" w:color="auto"/>
            </w:tcBorders>
            <w:shd w:val="clear" w:color="auto" w:fill="auto"/>
            <w:noWrap/>
            <w:hideMark/>
          </w:tcPr>
          <w:p w14:paraId="1EFA9CCA" w14:textId="77777777" w:rsidR="00D64E2C" w:rsidRPr="00D02A2E" w:rsidRDefault="00D64E2C" w:rsidP="00D64E2C">
            <w:pPr>
              <w:pStyle w:val="ARtablenoteindent"/>
            </w:pPr>
            <w:r w:rsidRPr="00C5726C">
              <w:rPr>
                <w:noProof/>
              </w:rPr>
              <w:t>The 202</w:t>
            </w:r>
            <w:r>
              <w:rPr>
                <w:noProof/>
              </w:rPr>
              <w:t>0–</w:t>
            </w:r>
            <w:r w:rsidRPr="00C5726C">
              <w:rPr>
                <w:noProof/>
              </w:rPr>
              <w:t>21 actual outcome primarily reflects funding requested to be carried over into 202</w:t>
            </w:r>
            <w:r>
              <w:rPr>
                <w:noProof/>
              </w:rPr>
              <w:t>1–</w:t>
            </w:r>
            <w:r w:rsidRPr="00C5726C">
              <w:rPr>
                <w:noProof/>
              </w:rPr>
              <w:t>22, partially offset by increases to government policy initiatives</w:t>
            </w:r>
            <w:r>
              <w:rPr>
                <w:noProof/>
              </w:rPr>
              <w:t>.</w:t>
            </w:r>
          </w:p>
        </w:tc>
      </w:tr>
    </w:tbl>
    <w:p w14:paraId="1B69E578" w14:textId="77777777" w:rsidR="00496244" w:rsidRDefault="00496244" w:rsidP="00317057">
      <w:pPr>
        <w:pStyle w:val="Heading4"/>
        <w:spacing w:before="400"/>
      </w:pPr>
      <w:bookmarkStart w:id="278" w:name="_Toc85121162"/>
      <w:r w:rsidRPr="00545110">
        <w:lastRenderedPageBreak/>
        <w:t>Primary, Community and Dental Health</w:t>
      </w:r>
      <w:bookmarkEnd w:id="278"/>
    </w:p>
    <w:p w14:paraId="4894EE28" w14:textId="77777777" w:rsidR="00496244" w:rsidRDefault="00496244" w:rsidP="00317057">
      <w:pPr>
        <w:pStyle w:val="ARtabletextright"/>
        <w:jc w:val="left"/>
      </w:pPr>
      <w:r w:rsidRPr="005C7F16">
        <w:t>This output, through the provision of a range of in-home, community-based, community, maternal and child, early parenting, primary health and dental services, promotes health and wellbeing and prevents the onset of more serious illnesses.</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496244" w:rsidRPr="00D02A2E" w14:paraId="4D4192B9" w14:textId="77777777" w:rsidTr="000F1C6B">
        <w:trPr>
          <w:cantSplit/>
          <w:tblHeader/>
        </w:trPr>
        <w:tc>
          <w:tcPr>
            <w:tcW w:w="4761" w:type="dxa"/>
            <w:tcBorders>
              <w:bottom w:val="single" w:sz="4" w:space="0" w:color="auto"/>
            </w:tcBorders>
            <w:shd w:val="clear" w:color="auto" w:fill="auto"/>
            <w:vAlign w:val="bottom"/>
            <w:hideMark/>
          </w:tcPr>
          <w:p w14:paraId="14814BE7" w14:textId="77777777" w:rsidR="00496244" w:rsidRPr="00D02A2E" w:rsidRDefault="00496244" w:rsidP="00317057">
            <w:pPr>
              <w:pStyle w:val="ARtablecolhead"/>
            </w:pPr>
            <w:r w:rsidRPr="00D02A2E">
              <w:t>Performance measures</w:t>
            </w:r>
          </w:p>
        </w:tc>
        <w:tc>
          <w:tcPr>
            <w:tcW w:w="1021" w:type="dxa"/>
            <w:tcBorders>
              <w:bottom w:val="single" w:sz="4" w:space="0" w:color="auto"/>
            </w:tcBorders>
            <w:shd w:val="clear" w:color="auto" w:fill="auto"/>
            <w:vAlign w:val="bottom"/>
            <w:hideMark/>
          </w:tcPr>
          <w:p w14:paraId="3F498874" w14:textId="77777777" w:rsidR="00496244" w:rsidRPr="00F72126" w:rsidRDefault="00496244" w:rsidP="00317057">
            <w:pPr>
              <w:pStyle w:val="ARtablecolheadcentre"/>
            </w:pPr>
            <w:r w:rsidRPr="00F72126">
              <w:t>Unit of measure</w:t>
            </w:r>
          </w:p>
        </w:tc>
        <w:tc>
          <w:tcPr>
            <w:tcW w:w="1021" w:type="dxa"/>
            <w:tcBorders>
              <w:bottom w:val="single" w:sz="4" w:space="0" w:color="auto"/>
            </w:tcBorders>
            <w:shd w:val="clear" w:color="auto" w:fill="auto"/>
            <w:vAlign w:val="bottom"/>
            <w:hideMark/>
          </w:tcPr>
          <w:p w14:paraId="03049213" w14:textId="77777777" w:rsidR="00496244" w:rsidRPr="00F72126" w:rsidRDefault="00496244" w:rsidP="00317057">
            <w:pPr>
              <w:pStyle w:val="ARtablecolheadright"/>
            </w:pPr>
            <w:r w:rsidRPr="00F72126">
              <w:t>20</w:t>
            </w:r>
            <w:r>
              <w:t>20</w:t>
            </w:r>
            <w:r w:rsidRPr="00F72126">
              <w:t>–</w:t>
            </w:r>
            <w:r>
              <w:t>21</w:t>
            </w:r>
            <w:r w:rsidRPr="00F72126">
              <w:t xml:space="preserve"> target</w:t>
            </w:r>
          </w:p>
        </w:tc>
        <w:tc>
          <w:tcPr>
            <w:tcW w:w="1021" w:type="dxa"/>
            <w:tcBorders>
              <w:bottom w:val="single" w:sz="4" w:space="0" w:color="auto"/>
            </w:tcBorders>
            <w:shd w:val="clear" w:color="auto" w:fill="auto"/>
            <w:vAlign w:val="bottom"/>
            <w:hideMark/>
          </w:tcPr>
          <w:p w14:paraId="6164A4C3" w14:textId="77777777" w:rsidR="00496244" w:rsidRPr="00F72126" w:rsidRDefault="00496244" w:rsidP="00317057">
            <w:pPr>
              <w:pStyle w:val="ARtablecolheadright"/>
            </w:pPr>
            <w:r w:rsidRPr="00F72126">
              <w:t>20</w:t>
            </w:r>
            <w:r>
              <w:t>20</w:t>
            </w:r>
            <w:r w:rsidRPr="00F72126">
              <w:t>–</w:t>
            </w:r>
            <w:r>
              <w:t>21</w:t>
            </w:r>
            <w:r w:rsidRPr="00F72126">
              <w:t xml:space="preserve"> actual</w:t>
            </w:r>
          </w:p>
        </w:tc>
        <w:tc>
          <w:tcPr>
            <w:tcW w:w="1021" w:type="dxa"/>
            <w:tcBorders>
              <w:bottom w:val="single" w:sz="4" w:space="0" w:color="auto"/>
            </w:tcBorders>
            <w:shd w:val="clear" w:color="auto" w:fill="auto"/>
            <w:vAlign w:val="bottom"/>
            <w:hideMark/>
          </w:tcPr>
          <w:p w14:paraId="6D11C014" w14:textId="77777777" w:rsidR="00496244" w:rsidRPr="00F72126" w:rsidRDefault="00496244" w:rsidP="00317057">
            <w:pPr>
              <w:pStyle w:val="ARtablecolheadright"/>
            </w:pPr>
            <w:r w:rsidRPr="00F72126">
              <w:t>Variation (%)</w:t>
            </w:r>
          </w:p>
        </w:tc>
        <w:tc>
          <w:tcPr>
            <w:tcW w:w="794" w:type="dxa"/>
            <w:tcBorders>
              <w:bottom w:val="single" w:sz="4" w:space="0" w:color="auto"/>
            </w:tcBorders>
            <w:shd w:val="clear" w:color="auto" w:fill="auto"/>
            <w:vAlign w:val="bottom"/>
            <w:hideMark/>
          </w:tcPr>
          <w:p w14:paraId="5D02BE0B" w14:textId="77777777" w:rsidR="00496244" w:rsidRPr="00F72126" w:rsidRDefault="00496244" w:rsidP="00317057">
            <w:pPr>
              <w:pStyle w:val="ARtablecolheadright"/>
            </w:pPr>
            <w:r w:rsidRPr="00F72126">
              <w:t>Result</w:t>
            </w:r>
          </w:p>
        </w:tc>
      </w:tr>
      <w:tr w:rsidR="00496244" w:rsidRPr="00D02A2E" w14:paraId="7E0EC516" w14:textId="77777777" w:rsidTr="000F1C6B">
        <w:trPr>
          <w:cantSplit/>
        </w:trPr>
        <w:tc>
          <w:tcPr>
            <w:tcW w:w="9639" w:type="dxa"/>
            <w:gridSpan w:val="6"/>
            <w:tcBorders>
              <w:top w:val="single" w:sz="4" w:space="0" w:color="auto"/>
              <w:bottom w:val="single" w:sz="4" w:space="0" w:color="auto"/>
            </w:tcBorders>
            <w:shd w:val="clear" w:color="auto" w:fill="auto"/>
            <w:hideMark/>
          </w:tcPr>
          <w:p w14:paraId="67A69E2B" w14:textId="77777777" w:rsidR="00496244" w:rsidRPr="00D02A2E" w:rsidRDefault="00496244" w:rsidP="00317057">
            <w:pPr>
              <w:pStyle w:val="ARtablebluebold"/>
              <w:rPr>
                <w:rFonts w:ascii="Wingdings" w:hAnsi="Wingdings"/>
              </w:rPr>
            </w:pPr>
            <w:r w:rsidRPr="00545110">
              <w:t>Community Health care</w:t>
            </w:r>
          </w:p>
        </w:tc>
      </w:tr>
      <w:tr w:rsidR="00496244" w:rsidRPr="00D02A2E" w14:paraId="397C5FE0" w14:textId="77777777" w:rsidTr="000F1C6B">
        <w:trPr>
          <w:cantSplit/>
        </w:trPr>
        <w:tc>
          <w:tcPr>
            <w:tcW w:w="9639" w:type="dxa"/>
            <w:gridSpan w:val="6"/>
            <w:tcBorders>
              <w:top w:val="single" w:sz="4" w:space="0" w:color="auto"/>
            </w:tcBorders>
            <w:shd w:val="clear" w:color="auto" w:fill="auto"/>
            <w:hideMark/>
          </w:tcPr>
          <w:p w14:paraId="17ABEBA9" w14:textId="77777777" w:rsidR="00496244" w:rsidRPr="00D02A2E" w:rsidRDefault="00496244" w:rsidP="00317057">
            <w:pPr>
              <w:pStyle w:val="ARtablegreybold"/>
              <w:rPr>
                <w:rFonts w:ascii="Wingdings" w:hAnsi="Wingdings"/>
              </w:rPr>
            </w:pPr>
            <w:r w:rsidRPr="007A45E9">
              <w:t>Quantity</w:t>
            </w:r>
          </w:p>
        </w:tc>
      </w:tr>
      <w:tr w:rsidR="00496244" w:rsidRPr="00D02A2E" w14:paraId="2CCF2739" w14:textId="77777777" w:rsidTr="000F1C6B">
        <w:trPr>
          <w:cantSplit/>
        </w:trPr>
        <w:tc>
          <w:tcPr>
            <w:tcW w:w="4761" w:type="dxa"/>
            <w:shd w:val="clear" w:color="auto" w:fill="auto"/>
            <w:hideMark/>
          </w:tcPr>
          <w:p w14:paraId="7376F807" w14:textId="77777777" w:rsidR="00496244" w:rsidRPr="00D02A2E" w:rsidRDefault="00496244" w:rsidP="00317057">
            <w:pPr>
              <w:pStyle w:val="ARtabletext"/>
            </w:pPr>
            <w:r w:rsidRPr="00C5726C">
              <w:rPr>
                <w:noProof/>
              </w:rPr>
              <w:t>Better Health Channel visits</w:t>
            </w:r>
          </w:p>
        </w:tc>
        <w:tc>
          <w:tcPr>
            <w:tcW w:w="1021" w:type="dxa"/>
            <w:shd w:val="clear" w:color="auto" w:fill="auto"/>
            <w:hideMark/>
          </w:tcPr>
          <w:p w14:paraId="361614B6" w14:textId="77777777" w:rsidR="00496244" w:rsidRPr="00D02A2E" w:rsidRDefault="00496244" w:rsidP="00317057">
            <w:pPr>
              <w:pStyle w:val="ARtabletextcentre"/>
            </w:pPr>
            <w:r w:rsidRPr="00C5726C">
              <w:rPr>
                <w:noProof/>
              </w:rPr>
              <w:t>number (thousand)</w:t>
            </w:r>
          </w:p>
        </w:tc>
        <w:tc>
          <w:tcPr>
            <w:tcW w:w="1021" w:type="dxa"/>
            <w:shd w:val="clear" w:color="auto" w:fill="auto"/>
            <w:hideMark/>
          </w:tcPr>
          <w:p w14:paraId="082560D0" w14:textId="77777777" w:rsidR="00496244" w:rsidRDefault="00496244" w:rsidP="00317057">
            <w:pPr>
              <w:pStyle w:val="ARtabletextright"/>
            </w:pPr>
            <w:r w:rsidRPr="00C5726C">
              <w:rPr>
                <w:noProof/>
              </w:rPr>
              <w:t>40</w:t>
            </w:r>
            <w:r>
              <w:rPr>
                <w:noProof/>
              </w:rPr>
              <w:t>,</w:t>
            </w:r>
            <w:r w:rsidRPr="00C5726C">
              <w:rPr>
                <w:noProof/>
              </w:rPr>
              <w:t>000</w:t>
            </w:r>
          </w:p>
        </w:tc>
        <w:tc>
          <w:tcPr>
            <w:tcW w:w="1021" w:type="dxa"/>
            <w:shd w:val="clear" w:color="auto" w:fill="auto"/>
            <w:hideMark/>
          </w:tcPr>
          <w:p w14:paraId="1CFFC51C" w14:textId="77777777" w:rsidR="00496244" w:rsidRDefault="00496244" w:rsidP="00317057">
            <w:pPr>
              <w:pStyle w:val="ARtabletextright"/>
            </w:pPr>
            <w:r w:rsidRPr="00C5726C">
              <w:rPr>
                <w:noProof/>
              </w:rPr>
              <w:t>52</w:t>
            </w:r>
            <w:r>
              <w:rPr>
                <w:noProof/>
              </w:rPr>
              <w:t>,</w:t>
            </w:r>
            <w:r w:rsidRPr="00C5726C">
              <w:rPr>
                <w:noProof/>
              </w:rPr>
              <w:t>959</w:t>
            </w:r>
          </w:p>
        </w:tc>
        <w:tc>
          <w:tcPr>
            <w:tcW w:w="1021" w:type="dxa"/>
            <w:shd w:val="clear" w:color="auto" w:fill="auto"/>
          </w:tcPr>
          <w:p w14:paraId="1B3989D5" w14:textId="77777777" w:rsidR="00496244" w:rsidRDefault="00496244" w:rsidP="00317057">
            <w:pPr>
              <w:pStyle w:val="ARtabletextright"/>
            </w:pPr>
            <w:r w:rsidRPr="00C5726C">
              <w:rPr>
                <w:noProof/>
              </w:rPr>
              <w:t>32.</w:t>
            </w:r>
            <w:r>
              <w:rPr>
                <w:noProof/>
              </w:rPr>
              <w:t>4</w:t>
            </w:r>
          </w:p>
        </w:tc>
        <w:tc>
          <w:tcPr>
            <w:tcW w:w="794" w:type="dxa"/>
            <w:shd w:val="clear" w:color="auto" w:fill="auto"/>
            <w:hideMark/>
          </w:tcPr>
          <w:p w14:paraId="09696EDF" w14:textId="587EC252" w:rsidR="00496244" w:rsidRPr="00D02A2E" w:rsidRDefault="00CF2633" w:rsidP="00C575AB">
            <w:pPr>
              <w:pStyle w:val="ARtableperformancesymbol"/>
            </w:pPr>
            <w:r>
              <w:rPr>
                <w:noProof/>
              </w:rPr>
              <w:drawing>
                <wp:inline distT="0" distB="0" distL="0" distR="0" wp14:anchorId="747DAA1D" wp14:editId="13F4087E">
                  <wp:extent cx="85320" cy="85320"/>
                  <wp:effectExtent l="0" t="0" r="0" b="0"/>
                  <wp:docPr id="175" name="Graphic 175"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496244" w:rsidRPr="00D02A2E" w14:paraId="519254AF" w14:textId="77777777" w:rsidTr="000F1C6B">
        <w:trPr>
          <w:cantSplit/>
        </w:trPr>
        <w:tc>
          <w:tcPr>
            <w:tcW w:w="9639" w:type="dxa"/>
            <w:gridSpan w:val="6"/>
            <w:tcBorders>
              <w:bottom w:val="single" w:sz="4" w:space="0" w:color="BFBFBF"/>
            </w:tcBorders>
            <w:shd w:val="clear" w:color="auto" w:fill="auto"/>
            <w:noWrap/>
            <w:hideMark/>
          </w:tcPr>
          <w:p w14:paraId="222070C1" w14:textId="77777777" w:rsidR="00496244" w:rsidRPr="00D02A2E" w:rsidRDefault="00496244" w:rsidP="00317057">
            <w:pPr>
              <w:pStyle w:val="ARtablenoteindent"/>
            </w:pPr>
            <w:r w:rsidRPr="00C5726C">
              <w:rPr>
                <w:noProof/>
              </w:rPr>
              <w:t xml:space="preserve">Variance </w:t>
            </w:r>
            <w:r>
              <w:rPr>
                <w:noProof/>
              </w:rPr>
              <w:t xml:space="preserve">is </w:t>
            </w:r>
            <w:r w:rsidRPr="00C5726C">
              <w:rPr>
                <w:noProof/>
              </w:rPr>
              <w:t>due to a new release of the Better Health Channel (replatformed) with improved Search Engine Optimisation, as well as search engines like Google prioritising authoritative government health websites in search results due to COVID-19 pandemic.</w:t>
            </w:r>
          </w:p>
        </w:tc>
      </w:tr>
      <w:tr w:rsidR="00CF2633" w:rsidRPr="00D02A2E" w14:paraId="22CB1416" w14:textId="77777777" w:rsidTr="000F1C6B">
        <w:trPr>
          <w:cantSplit/>
        </w:trPr>
        <w:tc>
          <w:tcPr>
            <w:tcW w:w="4761" w:type="dxa"/>
            <w:tcBorders>
              <w:bottom w:val="single" w:sz="4" w:space="0" w:color="BFBFBF" w:themeColor="background1" w:themeShade="BF"/>
            </w:tcBorders>
            <w:shd w:val="clear" w:color="auto" w:fill="auto"/>
            <w:hideMark/>
          </w:tcPr>
          <w:p w14:paraId="75C79CBB" w14:textId="77777777" w:rsidR="00CF2633" w:rsidRPr="00D02A2E" w:rsidRDefault="00CF2633" w:rsidP="00CF2633">
            <w:pPr>
              <w:pStyle w:val="ARtabletext"/>
            </w:pPr>
            <w:r w:rsidRPr="00C5726C">
              <w:rPr>
                <w:noProof/>
              </w:rPr>
              <w:t>Rate of admissions for ambulatory care sensitive chronic conditions for Aboriginal Victorians</w:t>
            </w:r>
          </w:p>
        </w:tc>
        <w:tc>
          <w:tcPr>
            <w:tcW w:w="1021" w:type="dxa"/>
            <w:tcBorders>
              <w:bottom w:val="single" w:sz="4" w:space="0" w:color="BFBFBF" w:themeColor="background1" w:themeShade="BF"/>
            </w:tcBorders>
            <w:shd w:val="clear" w:color="auto" w:fill="auto"/>
            <w:hideMark/>
          </w:tcPr>
          <w:p w14:paraId="05D4A600" w14:textId="77777777" w:rsidR="00CF2633" w:rsidRPr="00D02A2E" w:rsidRDefault="00CF2633" w:rsidP="00CF2633">
            <w:pPr>
              <w:pStyle w:val="ARtabletextcentre"/>
            </w:pPr>
            <w:r w:rsidRPr="00C5726C">
              <w:rPr>
                <w:noProof/>
              </w:rPr>
              <w:t>rate per 1</w:t>
            </w:r>
            <w:r>
              <w:rPr>
                <w:noProof/>
              </w:rPr>
              <w:t>,</w:t>
            </w:r>
            <w:r w:rsidRPr="00C5726C">
              <w:rPr>
                <w:noProof/>
              </w:rPr>
              <w:t>000</w:t>
            </w:r>
          </w:p>
        </w:tc>
        <w:tc>
          <w:tcPr>
            <w:tcW w:w="1021" w:type="dxa"/>
            <w:tcBorders>
              <w:bottom w:val="single" w:sz="4" w:space="0" w:color="BFBFBF" w:themeColor="background1" w:themeShade="BF"/>
            </w:tcBorders>
            <w:shd w:val="clear" w:color="auto" w:fill="auto"/>
            <w:hideMark/>
          </w:tcPr>
          <w:p w14:paraId="49F10F6A" w14:textId="77777777" w:rsidR="00CF2633" w:rsidRDefault="00CF2633" w:rsidP="00CF2633">
            <w:pPr>
              <w:pStyle w:val="ARtabletextright"/>
            </w:pPr>
            <w:r w:rsidRPr="00C5726C">
              <w:rPr>
                <w:noProof/>
              </w:rPr>
              <w:t>14.4</w:t>
            </w:r>
          </w:p>
        </w:tc>
        <w:tc>
          <w:tcPr>
            <w:tcW w:w="1021" w:type="dxa"/>
            <w:tcBorders>
              <w:bottom w:val="single" w:sz="4" w:space="0" w:color="BFBFBF" w:themeColor="background1" w:themeShade="BF"/>
            </w:tcBorders>
            <w:shd w:val="clear" w:color="auto" w:fill="auto"/>
            <w:hideMark/>
          </w:tcPr>
          <w:p w14:paraId="3FE91EF0" w14:textId="77777777" w:rsidR="00CF2633" w:rsidRDefault="00CF2633" w:rsidP="00CF2633">
            <w:pPr>
              <w:pStyle w:val="ARtabletextright"/>
            </w:pPr>
            <w:r w:rsidRPr="00C5726C">
              <w:rPr>
                <w:noProof/>
              </w:rPr>
              <w:t>14.4</w:t>
            </w:r>
          </w:p>
        </w:tc>
        <w:tc>
          <w:tcPr>
            <w:tcW w:w="1021" w:type="dxa"/>
            <w:tcBorders>
              <w:bottom w:val="single" w:sz="4" w:space="0" w:color="BFBFBF" w:themeColor="background1" w:themeShade="BF"/>
            </w:tcBorders>
            <w:shd w:val="clear" w:color="auto" w:fill="auto"/>
          </w:tcPr>
          <w:p w14:paraId="6D54B753" w14:textId="77777777" w:rsidR="00CF2633" w:rsidRDefault="00CF2633" w:rsidP="00CF2633">
            <w:pPr>
              <w:pStyle w:val="ARtabletextright"/>
            </w:pPr>
            <w:r w:rsidRPr="00C5726C">
              <w:rPr>
                <w:noProof/>
              </w:rPr>
              <w:t>0</w:t>
            </w:r>
          </w:p>
        </w:tc>
        <w:tc>
          <w:tcPr>
            <w:tcW w:w="794" w:type="dxa"/>
            <w:tcBorders>
              <w:bottom w:val="single" w:sz="4" w:space="0" w:color="BFBFBF" w:themeColor="background1" w:themeShade="BF"/>
            </w:tcBorders>
            <w:shd w:val="clear" w:color="auto" w:fill="auto"/>
            <w:hideMark/>
          </w:tcPr>
          <w:p w14:paraId="6609D8B2" w14:textId="72335624" w:rsidR="00CF2633" w:rsidRPr="00D02A2E" w:rsidRDefault="00CF2633" w:rsidP="00C575AB">
            <w:pPr>
              <w:pStyle w:val="ARtableperformancesymbol"/>
            </w:pPr>
            <w:r w:rsidRPr="00947155">
              <w:rPr>
                <w:noProof/>
              </w:rPr>
              <w:drawing>
                <wp:inline distT="0" distB="0" distL="0" distR="0" wp14:anchorId="367CA26B" wp14:editId="666FC45A">
                  <wp:extent cx="85320" cy="85320"/>
                  <wp:effectExtent l="0" t="0" r="0" b="0"/>
                  <wp:docPr id="176" name="Graphic 176"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rsidRPr="00947155">
              <w:t xml:space="preserve"> </w:t>
            </w:r>
          </w:p>
        </w:tc>
      </w:tr>
      <w:tr w:rsidR="00CF2633" w:rsidRPr="00D02A2E" w14:paraId="344366D8" w14:textId="77777777" w:rsidTr="000F1C6B">
        <w:trPr>
          <w:cantSplit/>
        </w:trPr>
        <w:tc>
          <w:tcPr>
            <w:tcW w:w="4761" w:type="dxa"/>
            <w:tcBorders>
              <w:top w:val="single" w:sz="4" w:space="0" w:color="BFBFBF" w:themeColor="background1" w:themeShade="BF"/>
            </w:tcBorders>
            <w:shd w:val="clear" w:color="auto" w:fill="auto"/>
            <w:hideMark/>
          </w:tcPr>
          <w:p w14:paraId="63CE474A" w14:textId="77777777" w:rsidR="00CF2633" w:rsidRPr="00D02A2E" w:rsidRDefault="00CF2633" w:rsidP="00CF2633">
            <w:pPr>
              <w:pStyle w:val="ARtabletext"/>
            </w:pPr>
            <w:r w:rsidRPr="00C5726C">
              <w:rPr>
                <w:noProof/>
              </w:rPr>
              <w:t>Number of referrals made using secure electronic referral systems</w:t>
            </w:r>
          </w:p>
        </w:tc>
        <w:tc>
          <w:tcPr>
            <w:tcW w:w="1021" w:type="dxa"/>
            <w:tcBorders>
              <w:top w:val="single" w:sz="4" w:space="0" w:color="BFBFBF" w:themeColor="background1" w:themeShade="BF"/>
            </w:tcBorders>
            <w:shd w:val="clear" w:color="auto" w:fill="auto"/>
            <w:hideMark/>
          </w:tcPr>
          <w:p w14:paraId="7B91BDAB" w14:textId="77777777" w:rsidR="00CF2633" w:rsidRPr="00D02A2E" w:rsidRDefault="00CF2633" w:rsidP="00CF2633">
            <w:pPr>
              <w:pStyle w:val="ARtabletextcentre"/>
            </w:pPr>
            <w:r w:rsidRPr="00C5726C">
              <w:rPr>
                <w:noProof/>
              </w:rPr>
              <w:t>number</w:t>
            </w:r>
          </w:p>
        </w:tc>
        <w:tc>
          <w:tcPr>
            <w:tcW w:w="1021" w:type="dxa"/>
            <w:tcBorders>
              <w:top w:val="single" w:sz="4" w:space="0" w:color="BFBFBF" w:themeColor="background1" w:themeShade="BF"/>
            </w:tcBorders>
            <w:shd w:val="clear" w:color="auto" w:fill="auto"/>
            <w:hideMark/>
          </w:tcPr>
          <w:p w14:paraId="21263685" w14:textId="77777777" w:rsidR="00CF2633" w:rsidRDefault="00CF2633" w:rsidP="00CF2633">
            <w:pPr>
              <w:pStyle w:val="ARtabletextright"/>
            </w:pPr>
            <w:r w:rsidRPr="00C5726C">
              <w:rPr>
                <w:noProof/>
              </w:rPr>
              <w:t>75</w:t>
            </w:r>
            <w:r>
              <w:rPr>
                <w:noProof/>
              </w:rPr>
              <w:t>,</w:t>
            </w:r>
            <w:r w:rsidRPr="00C5726C">
              <w:rPr>
                <w:noProof/>
              </w:rPr>
              <w:t>000</w:t>
            </w:r>
          </w:p>
        </w:tc>
        <w:tc>
          <w:tcPr>
            <w:tcW w:w="1021" w:type="dxa"/>
            <w:tcBorders>
              <w:top w:val="single" w:sz="4" w:space="0" w:color="BFBFBF" w:themeColor="background1" w:themeShade="BF"/>
            </w:tcBorders>
            <w:shd w:val="clear" w:color="auto" w:fill="auto"/>
            <w:hideMark/>
          </w:tcPr>
          <w:p w14:paraId="52064749" w14:textId="77777777" w:rsidR="00CF2633" w:rsidRDefault="00CF2633" w:rsidP="00CF2633">
            <w:pPr>
              <w:pStyle w:val="ARtabletextright"/>
            </w:pPr>
            <w:r w:rsidRPr="00C5726C">
              <w:rPr>
                <w:noProof/>
              </w:rPr>
              <w:t>75</w:t>
            </w:r>
            <w:r>
              <w:rPr>
                <w:noProof/>
              </w:rPr>
              <w:t>,</w:t>
            </w:r>
            <w:r w:rsidRPr="00C5726C">
              <w:rPr>
                <w:noProof/>
              </w:rPr>
              <w:t>000</w:t>
            </w:r>
          </w:p>
        </w:tc>
        <w:tc>
          <w:tcPr>
            <w:tcW w:w="1021" w:type="dxa"/>
            <w:tcBorders>
              <w:top w:val="single" w:sz="4" w:space="0" w:color="BFBFBF" w:themeColor="background1" w:themeShade="BF"/>
            </w:tcBorders>
            <w:shd w:val="clear" w:color="auto" w:fill="auto"/>
          </w:tcPr>
          <w:p w14:paraId="55E9937C" w14:textId="77777777" w:rsidR="00CF2633" w:rsidRDefault="00CF2633" w:rsidP="00CF2633">
            <w:pPr>
              <w:pStyle w:val="ARtabletextright"/>
            </w:pPr>
            <w:r w:rsidRPr="00C5726C">
              <w:rPr>
                <w:noProof/>
              </w:rPr>
              <w:t>0</w:t>
            </w:r>
          </w:p>
        </w:tc>
        <w:tc>
          <w:tcPr>
            <w:tcW w:w="794" w:type="dxa"/>
            <w:tcBorders>
              <w:top w:val="single" w:sz="4" w:space="0" w:color="BFBFBF" w:themeColor="background1" w:themeShade="BF"/>
            </w:tcBorders>
            <w:shd w:val="clear" w:color="auto" w:fill="auto"/>
            <w:hideMark/>
          </w:tcPr>
          <w:p w14:paraId="7CCBDF53" w14:textId="0BBA46A0" w:rsidR="00CF2633" w:rsidRPr="00D02A2E" w:rsidRDefault="00CF2633" w:rsidP="00C575AB">
            <w:pPr>
              <w:pStyle w:val="ARtableperformancesymbol"/>
            </w:pPr>
            <w:r w:rsidRPr="00947155">
              <w:rPr>
                <w:noProof/>
              </w:rPr>
              <w:drawing>
                <wp:inline distT="0" distB="0" distL="0" distR="0" wp14:anchorId="04340FD7" wp14:editId="5C5068EB">
                  <wp:extent cx="85320" cy="85320"/>
                  <wp:effectExtent l="0" t="0" r="0" b="0"/>
                  <wp:docPr id="177" name="Graphic 177"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rsidRPr="00947155">
              <w:t xml:space="preserve"> </w:t>
            </w:r>
          </w:p>
        </w:tc>
      </w:tr>
      <w:tr w:rsidR="00496244" w:rsidRPr="00D02A2E" w14:paraId="12EA3A96" w14:textId="77777777" w:rsidTr="000F1C6B">
        <w:trPr>
          <w:cantSplit/>
        </w:trPr>
        <w:tc>
          <w:tcPr>
            <w:tcW w:w="9639" w:type="dxa"/>
            <w:gridSpan w:val="6"/>
            <w:tcBorders>
              <w:bottom w:val="single" w:sz="4" w:space="0" w:color="BFBFBF"/>
            </w:tcBorders>
            <w:shd w:val="clear" w:color="auto" w:fill="auto"/>
            <w:noWrap/>
            <w:hideMark/>
          </w:tcPr>
          <w:p w14:paraId="18CD3155" w14:textId="77777777" w:rsidR="00496244" w:rsidRPr="00D02A2E" w:rsidRDefault="00496244" w:rsidP="00317057">
            <w:pPr>
              <w:pStyle w:val="ARtablenoteindent"/>
            </w:pPr>
            <w:r w:rsidRPr="00C5726C">
              <w:rPr>
                <w:noProof/>
              </w:rPr>
              <w:t>Preliminary Result. Actual end-of-year result will be available by late 2021.</w:t>
            </w:r>
          </w:p>
        </w:tc>
      </w:tr>
      <w:tr w:rsidR="00496244" w:rsidRPr="00D02A2E" w14:paraId="17524CB8" w14:textId="77777777" w:rsidTr="000F1C6B">
        <w:trPr>
          <w:cantSplit/>
        </w:trPr>
        <w:tc>
          <w:tcPr>
            <w:tcW w:w="4761" w:type="dxa"/>
            <w:shd w:val="clear" w:color="auto" w:fill="auto"/>
            <w:hideMark/>
          </w:tcPr>
          <w:p w14:paraId="3ED64284" w14:textId="77777777" w:rsidR="00496244" w:rsidRPr="00D02A2E" w:rsidRDefault="00496244" w:rsidP="00317057">
            <w:pPr>
              <w:pStyle w:val="ARtabletext"/>
            </w:pPr>
            <w:r w:rsidRPr="00C5726C">
              <w:rPr>
                <w:noProof/>
              </w:rPr>
              <w:t>Primary Care Partnerships with reviewed and updated Strategic Plans</w:t>
            </w:r>
          </w:p>
        </w:tc>
        <w:tc>
          <w:tcPr>
            <w:tcW w:w="1021" w:type="dxa"/>
            <w:shd w:val="clear" w:color="auto" w:fill="auto"/>
            <w:hideMark/>
          </w:tcPr>
          <w:p w14:paraId="3CC29A5E" w14:textId="77777777" w:rsidR="00496244" w:rsidRPr="00D02A2E" w:rsidRDefault="00496244" w:rsidP="00317057">
            <w:pPr>
              <w:pStyle w:val="ARtabletextcentre"/>
            </w:pPr>
            <w:r w:rsidRPr="00C5726C">
              <w:rPr>
                <w:noProof/>
              </w:rPr>
              <w:t>per cent</w:t>
            </w:r>
          </w:p>
        </w:tc>
        <w:tc>
          <w:tcPr>
            <w:tcW w:w="1021" w:type="dxa"/>
            <w:shd w:val="clear" w:color="auto" w:fill="auto"/>
            <w:hideMark/>
          </w:tcPr>
          <w:p w14:paraId="10A8EEE1" w14:textId="77777777" w:rsidR="00496244" w:rsidRDefault="00496244" w:rsidP="00317057">
            <w:pPr>
              <w:pStyle w:val="ARtabletextright"/>
            </w:pPr>
            <w:r w:rsidRPr="00C5726C">
              <w:rPr>
                <w:noProof/>
              </w:rPr>
              <w:t>100</w:t>
            </w:r>
          </w:p>
        </w:tc>
        <w:tc>
          <w:tcPr>
            <w:tcW w:w="1021" w:type="dxa"/>
            <w:shd w:val="clear" w:color="auto" w:fill="auto"/>
            <w:hideMark/>
          </w:tcPr>
          <w:p w14:paraId="3BE0E257" w14:textId="77777777" w:rsidR="00496244" w:rsidRDefault="00496244" w:rsidP="00317057">
            <w:pPr>
              <w:pStyle w:val="ARtabletextright"/>
            </w:pPr>
            <w:r w:rsidRPr="00C5726C">
              <w:rPr>
                <w:noProof/>
              </w:rPr>
              <w:t>100</w:t>
            </w:r>
          </w:p>
        </w:tc>
        <w:tc>
          <w:tcPr>
            <w:tcW w:w="1021" w:type="dxa"/>
            <w:shd w:val="clear" w:color="auto" w:fill="auto"/>
          </w:tcPr>
          <w:p w14:paraId="3D57EAB7" w14:textId="77777777" w:rsidR="00496244" w:rsidRDefault="00496244" w:rsidP="00317057">
            <w:pPr>
              <w:pStyle w:val="ARtabletextright"/>
            </w:pPr>
            <w:r w:rsidRPr="00C5726C">
              <w:rPr>
                <w:noProof/>
              </w:rPr>
              <w:t>0</w:t>
            </w:r>
          </w:p>
        </w:tc>
        <w:tc>
          <w:tcPr>
            <w:tcW w:w="794" w:type="dxa"/>
            <w:shd w:val="clear" w:color="auto" w:fill="auto"/>
            <w:hideMark/>
          </w:tcPr>
          <w:p w14:paraId="70D4306A" w14:textId="57AB2217" w:rsidR="00496244" w:rsidRPr="00D02A2E" w:rsidRDefault="00CF2633" w:rsidP="00C575AB">
            <w:pPr>
              <w:pStyle w:val="ARtableperformancesymbol"/>
            </w:pPr>
            <w:r>
              <w:rPr>
                <w:noProof/>
              </w:rPr>
              <w:drawing>
                <wp:inline distT="0" distB="0" distL="0" distR="0" wp14:anchorId="2595B87E" wp14:editId="7BD39243">
                  <wp:extent cx="85320" cy="85320"/>
                  <wp:effectExtent l="0" t="0" r="0" b="0"/>
                  <wp:docPr id="178" name="Graphic 178"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496244" w:rsidRPr="00D02A2E" w14:paraId="3A53A464" w14:textId="77777777" w:rsidTr="000F1C6B">
        <w:trPr>
          <w:cantSplit/>
        </w:trPr>
        <w:tc>
          <w:tcPr>
            <w:tcW w:w="9639" w:type="dxa"/>
            <w:gridSpan w:val="6"/>
            <w:tcBorders>
              <w:bottom w:val="single" w:sz="4" w:space="0" w:color="BFBFBF"/>
            </w:tcBorders>
            <w:shd w:val="clear" w:color="auto" w:fill="auto"/>
            <w:noWrap/>
            <w:hideMark/>
          </w:tcPr>
          <w:p w14:paraId="4B55EC36" w14:textId="77777777" w:rsidR="00496244" w:rsidRPr="00D02A2E" w:rsidRDefault="00496244" w:rsidP="00317057">
            <w:pPr>
              <w:pStyle w:val="ARtablenoteindent"/>
            </w:pPr>
            <w:r w:rsidRPr="00C5726C">
              <w:rPr>
                <w:noProof/>
              </w:rPr>
              <w:t>Preliminary Result. Actual end-of-year result will be available by late 2021.</w:t>
            </w:r>
          </w:p>
        </w:tc>
      </w:tr>
      <w:tr w:rsidR="00496244" w:rsidRPr="00D02A2E" w14:paraId="75B81782" w14:textId="77777777" w:rsidTr="000F1C6B">
        <w:trPr>
          <w:cantSplit/>
        </w:trPr>
        <w:tc>
          <w:tcPr>
            <w:tcW w:w="4761" w:type="dxa"/>
            <w:shd w:val="clear" w:color="auto" w:fill="auto"/>
            <w:hideMark/>
          </w:tcPr>
          <w:p w14:paraId="35D662D3" w14:textId="77777777" w:rsidR="00496244" w:rsidRPr="00D02A2E" w:rsidRDefault="00496244" w:rsidP="00317057">
            <w:pPr>
              <w:pStyle w:val="ARtabletext"/>
            </w:pPr>
            <w:r w:rsidRPr="00C5726C">
              <w:rPr>
                <w:noProof/>
              </w:rPr>
              <w:t>Service delivery hours in community health care</w:t>
            </w:r>
          </w:p>
        </w:tc>
        <w:tc>
          <w:tcPr>
            <w:tcW w:w="1021" w:type="dxa"/>
            <w:shd w:val="clear" w:color="auto" w:fill="auto"/>
            <w:hideMark/>
          </w:tcPr>
          <w:p w14:paraId="7C9A11F7" w14:textId="77777777" w:rsidR="00496244" w:rsidRPr="00D02A2E" w:rsidRDefault="00496244" w:rsidP="00317057">
            <w:pPr>
              <w:pStyle w:val="ARtabletextcentre"/>
            </w:pPr>
            <w:r w:rsidRPr="00C5726C">
              <w:rPr>
                <w:noProof/>
              </w:rPr>
              <w:t>number (thousand)</w:t>
            </w:r>
          </w:p>
        </w:tc>
        <w:tc>
          <w:tcPr>
            <w:tcW w:w="1021" w:type="dxa"/>
            <w:shd w:val="clear" w:color="auto" w:fill="auto"/>
            <w:hideMark/>
          </w:tcPr>
          <w:p w14:paraId="3DB01E5A" w14:textId="77777777" w:rsidR="00496244" w:rsidRDefault="00496244" w:rsidP="00317057">
            <w:pPr>
              <w:pStyle w:val="ARtabletextright"/>
            </w:pPr>
            <w:r w:rsidRPr="00C5726C">
              <w:rPr>
                <w:noProof/>
              </w:rPr>
              <w:t>1</w:t>
            </w:r>
            <w:r>
              <w:rPr>
                <w:noProof/>
              </w:rPr>
              <w:t>,</w:t>
            </w:r>
            <w:r w:rsidRPr="00C5726C">
              <w:rPr>
                <w:noProof/>
              </w:rPr>
              <w:t>060</w:t>
            </w:r>
          </w:p>
        </w:tc>
        <w:tc>
          <w:tcPr>
            <w:tcW w:w="1021" w:type="dxa"/>
            <w:shd w:val="clear" w:color="auto" w:fill="auto"/>
            <w:hideMark/>
          </w:tcPr>
          <w:p w14:paraId="288932A5" w14:textId="77777777" w:rsidR="00496244" w:rsidRDefault="00496244" w:rsidP="00317057">
            <w:pPr>
              <w:pStyle w:val="ARtabletextright"/>
            </w:pPr>
            <w:r w:rsidRPr="00C5726C">
              <w:rPr>
                <w:noProof/>
              </w:rPr>
              <w:t>1</w:t>
            </w:r>
            <w:r>
              <w:rPr>
                <w:noProof/>
              </w:rPr>
              <w:t>,</w:t>
            </w:r>
            <w:r w:rsidRPr="00C5726C">
              <w:rPr>
                <w:noProof/>
              </w:rPr>
              <w:t>0</w:t>
            </w:r>
            <w:r>
              <w:rPr>
                <w:noProof/>
              </w:rPr>
              <w:t>80</w:t>
            </w:r>
          </w:p>
        </w:tc>
        <w:tc>
          <w:tcPr>
            <w:tcW w:w="1021" w:type="dxa"/>
            <w:shd w:val="clear" w:color="auto" w:fill="auto"/>
          </w:tcPr>
          <w:p w14:paraId="3268B683" w14:textId="77777777" w:rsidR="00496244" w:rsidRDefault="00496244" w:rsidP="00317057">
            <w:pPr>
              <w:pStyle w:val="ARtabletextright"/>
            </w:pPr>
            <w:r w:rsidRPr="00C5726C">
              <w:rPr>
                <w:noProof/>
              </w:rPr>
              <w:t>1.</w:t>
            </w:r>
            <w:r>
              <w:rPr>
                <w:noProof/>
              </w:rPr>
              <w:t>9</w:t>
            </w:r>
          </w:p>
        </w:tc>
        <w:tc>
          <w:tcPr>
            <w:tcW w:w="794" w:type="dxa"/>
            <w:shd w:val="clear" w:color="auto" w:fill="auto"/>
            <w:hideMark/>
          </w:tcPr>
          <w:p w14:paraId="762E9FDF" w14:textId="653A07C8" w:rsidR="00496244" w:rsidRPr="00D02A2E" w:rsidRDefault="00CF2633" w:rsidP="00C575AB">
            <w:pPr>
              <w:pStyle w:val="ARtableperformancesymbol"/>
            </w:pPr>
            <w:r>
              <w:rPr>
                <w:noProof/>
              </w:rPr>
              <w:drawing>
                <wp:inline distT="0" distB="0" distL="0" distR="0" wp14:anchorId="53D3D000" wp14:editId="7FDF6B09">
                  <wp:extent cx="85320" cy="85320"/>
                  <wp:effectExtent l="0" t="0" r="0" b="0"/>
                  <wp:docPr id="179" name="Graphic 179"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496244" w:rsidRPr="00D02A2E" w14:paraId="46411C43" w14:textId="77777777" w:rsidTr="000F1C6B">
        <w:trPr>
          <w:cantSplit/>
        </w:trPr>
        <w:tc>
          <w:tcPr>
            <w:tcW w:w="9639" w:type="dxa"/>
            <w:gridSpan w:val="6"/>
            <w:tcBorders>
              <w:top w:val="single" w:sz="4" w:space="0" w:color="auto"/>
            </w:tcBorders>
            <w:shd w:val="clear" w:color="auto" w:fill="auto"/>
            <w:hideMark/>
          </w:tcPr>
          <w:p w14:paraId="326ACCD7" w14:textId="77777777" w:rsidR="00496244" w:rsidRPr="00D02A2E" w:rsidRDefault="00496244" w:rsidP="00317057">
            <w:pPr>
              <w:pStyle w:val="ARtablegreybold"/>
              <w:rPr>
                <w:rFonts w:ascii="Wingdings" w:hAnsi="Wingdings"/>
              </w:rPr>
            </w:pPr>
            <w:r>
              <w:t>Quality</w:t>
            </w:r>
          </w:p>
        </w:tc>
      </w:tr>
      <w:tr w:rsidR="00496244" w:rsidRPr="00D02A2E" w14:paraId="43034431" w14:textId="77777777" w:rsidTr="000F1C6B">
        <w:trPr>
          <w:cantSplit/>
        </w:trPr>
        <w:tc>
          <w:tcPr>
            <w:tcW w:w="4761" w:type="dxa"/>
            <w:shd w:val="clear" w:color="auto" w:fill="auto"/>
            <w:hideMark/>
          </w:tcPr>
          <w:p w14:paraId="4AE60D1B" w14:textId="77777777" w:rsidR="00496244" w:rsidRPr="00D02A2E" w:rsidRDefault="00496244" w:rsidP="00317057">
            <w:pPr>
              <w:pStyle w:val="ARtabletext"/>
            </w:pPr>
            <w:r w:rsidRPr="00C5726C">
              <w:rPr>
                <w:noProof/>
              </w:rPr>
              <w:t>Agencies with an Integrated Health Promotion plan that meets the stipulated planning requirements</w:t>
            </w:r>
          </w:p>
        </w:tc>
        <w:tc>
          <w:tcPr>
            <w:tcW w:w="1021" w:type="dxa"/>
            <w:shd w:val="clear" w:color="auto" w:fill="auto"/>
            <w:hideMark/>
          </w:tcPr>
          <w:p w14:paraId="7691ABAF" w14:textId="77777777" w:rsidR="00496244" w:rsidRPr="00D02A2E" w:rsidRDefault="00496244" w:rsidP="00317057">
            <w:pPr>
              <w:pStyle w:val="ARtabletextcentre"/>
            </w:pPr>
            <w:r w:rsidRPr="00C5726C">
              <w:rPr>
                <w:noProof/>
              </w:rPr>
              <w:t>per cent</w:t>
            </w:r>
          </w:p>
        </w:tc>
        <w:tc>
          <w:tcPr>
            <w:tcW w:w="1021" w:type="dxa"/>
            <w:shd w:val="clear" w:color="auto" w:fill="auto"/>
            <w:hideMark/>
          </w:tcPr>
          <w:p w14:paraId="4D744179" w14:textId="77777777" w:rsidR="00496244" w:rsidRDefault="00496244" w:rsidP="00317057">
            <w:pPr>
              <w:pStyle w:val="ARtabletextright"/>
            </w:pPr>
            <w:r w:rsidRPr="00C5726C">
              <w:rPr>
                <w:noProof/>
              </w:rPr>
              <w:t>95</w:t>
            </w:r>
          </w:p>
        </w:tc>
        <w:tc>
          <w:tcPr>
            <w:tcW w:w="1021" w:type="dxa"/>
            <w:shd w:val="clear" w:color="auto" w:fill="auto"/>
            <w:hideMark/>
          </w:tcPr>
          <w:p w14:paraId="0000A430" w14:textId="77777777" w:rsidR="00496244" w:rsidRDefault="00496244" w:rsidP="00317057">
            <w:pPr>
              <w:pStyle w:val="ARtabletextright"/>
            </w:pPr>
            <w:r w:rsidRPr="00C5726C">
              <w:rPr>
                <w:noProof/>
              </w:rPr>
              <w:t>95</w:t>
            </w:r>
          </w:p>
        </w:tc>
        <w:tc>
          <w:tcPr>
            <w:tcW w:w="1021" w:type="dxa"/>
            <w:shd w:val="clear" w:color="auto" w:fill="auto"/>
          </w:tcPr>
          <w:p w14:paraId="33A78820" w14:textId="77777777" w:rsidR="00496244" w:rsidRDefault="00496244" w:rsidP="00317057">
            <w:pPr>
              <w:pStyle w:val="ARtabletextright"/>
            </w:pPr>
            <w:r w:rsidRPr="00C5726C">
              <w:rPr>
                <w:noProof/>
              </w:rPr>
              <w:t>0</w:t>
            </w:r>
          </w:p>
        </w:tc>
        <w:tc>
          <w:tcPr>
            <w:tcW w:w="794" w:type="dxa"/>
            <w:shd w:val="clear" w:color="auto" w:fill="auto"/>
            <w:hideMark/>
          </w:tcPr>
          <w:p w14:paraId="3D1E006E" w14:textId="0D5424B8" w:rsidR="00496244" w:rsidRPr="00D02A2E" w:rsidRDefault="00CF2633" w:rsidP="00C575AB">
            <w:pPr>
              <w:pStyle w:val="ARtableperformancesymbol"/>
            </w:pPr>
            <w:r>
              <w:rPr>
                <w:noProof/>
              </w:rPr>
              <w:drawing>
                <wp:inline distT="0" distB="0" distL="0" distR="0" wp14:anchorId="3DE3BF74" wp14:editId="653489A0">
                  <wp:extent cx="85320" cy="85320"/>
                  <wp:effectExtent l="0" t="0" r="0" b="0"/>
                  <wp:docPr id="180" name="Graphic 180"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496244" w:rsidRPr="00D02A2E" w14:paraId="341B0F87" w14:textId="77777777" w:rsidTr="000F1C6B">
        <w:trPr>
          <w:cantSplit/>
        </w:trPr>
        <w:tc>
          <w:tcPr>
            <w:tcW w:w="9639" w:type="dxa"/>
            <w:gridSpan w:val="6"/>
            <w:tcBorders>
              <w:top w:val="single" w:sz="4" w:space="0" w:color="auto"/>
            </w:tcBorders>
            <w:shd w:val="clear" w:color="auto" w:fill="auto"/>
            <w:hideMark/>
          </w:tcPr>
          <w:p w14:paraId="6F5BE989" w14:textId="77777777" w:rsidR="00496244" w:rsidRPr="00D02A2E" w:rsidRDefault="00496244" w:rsidP="00317057">
            <w:pPr>
              <w:pStyle w:val="ARtablegreybold"/>
              <w:rPr>
                <w:rFonts w:ascii="Wingdings" w:hAnsi="Wingdings"/>
              </w:rPr>
            </w:pPr>
            <w:r>
              <w:t>Cost</w:t>
            </w:r>
          </w:p>
        </w:tc>
      </w:tr>
      <w:tr w:rsidR="00496244" w:rsidRPr="00D02A2E" w14:paraId="1EF10E91" w14:textId="77777777" w:rsidTr="000F1C6B">
        <w:trPr>
          <w:cantSplit/>
        </w:trPr>
        <w:tc>
          <w:tcPr>
            <w:tcW w:w="4761" w:type="dxa"/>
            <w:shd w:val="clear" w:color="auto" w:fill="auto"/>
            <w:hideMark/>
          </w:tcPr>
          <w:p w14:paraId="0D2F711B" w14:textId="77777777" w:rsidR="00496244" w:rsidRPr="00A95DC7" w:rsidRDefault="00496244" w:rsidP="00317057">
            <w:pPr>
              <w:pStyle w:val="ARtabletext"/>
              <w:rPr>
                <w:b/>
                <w:bCs/>
              </w:rPr>
            </w:pPr>
            <w:r w:rsidRPr="00A95DC7">
              <w:rPr>
                <w:b/>
                <w:bCs/>
                <w:noProof/>
              </w:rPr>
              <w:t>Total Output Cost</w:t>
            </w:r>
          </w:p>
        </w:tc>
        <w:tc>
          <w:tcPr>
            <w:tcW w:w="1021" w:type="dxa"/>
            <w:shd w:val="clear" w:color="auto" w:fill="auto"/>
            <w:hideMark/>
          </w:tcPr>
          <w:p w14:paraId="7012E216" w14:textId="77777777" w:rsidR="00496244" w:rsidRPr="00A95DC7" w:rsidRDefault="00496244" w:rsidP="00317057">
            <w:pPr>
              <w:pStyle w:val="ARtabletextcentre"/>
            </w:pPr>
            <w:r w:rsidRPr="00A95DC7">
              <w:rPr>
                <w:b/>
                <w:bCs/>
                <w:noProof/>
              </w:rPr>
              <w:t>$ million</w:t>
            </w:r>
          </w:p>
        </w:tc>
        <w:tc>
          <w:tcPr>
            <w:tcW w:w="1021" w:type="dxa"/>
            <w:shd w:val="clear" w:color="auto" w:fill="auto"/>
            <w:hideMark/>
          </w:tcPr>
          <w:p w14:paraId="1F78588F" w14:textId="77777777" w:rsidR="00496244" w:rsidRPr="00A95DC7" w:rsidRDefault="00496244" w:rsidP="00317057">
            <w:pPr>
              <w:pStyle w:val="ARtabletextright"/>
              <w:rPr>
                <w:b/>
                <w:bCs/>
              </w:rPr>
            </w:pPr>
            <w:r w:rsidRPr="00A95DC7">
              <w:rPr>
                <w:b/>
                <w:bCs/>
                <w:noProof/>
              </w:rPr>
              <w:t>353.8</w:t>
            </w:r>
          </w:p>
        </w:tc>
        <w:tc>
          <w:tcPr>
            <w:tcW w:w="1021" w:type="dxa"/>
            <w:shd w:val="clear" w:color="auto" w:fill="auto"/>
            <w:hideMark/>
          </w:tcPr>
          <w:p w14:paraId="66EA3572" w14:textId="77777777" w:rsidR="00496244" w:rsidRPr="00A95DC7" w:rsidRDefault="00496244" w:rsidP="00317057">
            <w:pPr>
              <w:pStyle w:val="ARtabletextright"/>
              <w:rPr>
                <w:b/>
                <w:bCs/>
              </w:rPr>
            </w:pPr>
            <w:r w:rsidRPr="00A95DC7">
              <w:rPr>
                <w:b/>
                <w:bCs/>
                <w:noProof/>
              </w:rPr>
              <w:t>329.</w:t>
            </w:r>
            <w:r>
              <w:rPr>
                <w:b/>
                <w:bCs/>
                <w:noProof/>
              </w:rPr>
              <w:t>4</w:t>
            </w:r>
          </w:p>
        </w:tc>
        <w:tc>
          <w:tcPr>
            <w:tcW w:w="1021" w:type="dxa"/>
            <w:shd w:val="clear" w:color="auto" w:fill="auto"/>
          </w:tcPr>
          <w:p w14:paraId="42114BE7" w14:textId="77777777" w:rsidR="00496244" w:rsidRPr="00A95DC7" w:rsidRDefault="00496244" w:rsidP="00317057">
            <w:pPr>
              <w:pStyle w:val="ARtabletextright"/>
              <w:rPr>
                <w:b/>
                <w:bCs/>
              </w:rPr>
            </w:pPr>
            <w:r>
              <w:rPr>
                <w:b/>
                <w:bCs/>
                <w:noProof/>
              </w:rPr>
              <w:t>−</w:t>
            </w:r>
            <w:r w:rsidRPr="00A95DC7">
              <w:rPr>
                <w:b/>
                <w:bCs/>
                <w:noProof/>
              </w:rPr>
              <w:t>6.9</w:t>
            </w:r>
          </w:p>
        </w:tc>
        <w:tc>
          <w:tcPr>
            <w:tcW w:w="794" w:type="dxa"/>
            <w:shd w:val="clear" w:color="auto" w:fill="auto"/>
            <w:hideMark/>
          </w:tcPr>
          <w:p w14:paraId="2C99AF91" w14:textId="77777777" w:rsidR="00496244" w:rsidRPr="00D02A2E" w:rsidRDefault="00496244" w:rsidP="00317057">
            <w:pPr>
              <w:pStyle w:val="ARtabletextright"/>
            </w:pPr>
          </w:p>
        </w:tc>
      </w:tr>
      <w:tr w:rsidR="00496244" w:rsidRPr="00D02A2E" w14:paraId="493D49EC" w14:textId="77777777" w:rsidTr="000F1C6B">
        <w:trPr>
          <w:cantSplit/>
        </w:trPr>
        <w:tc>
          <w:tcPr>
            <w:tcW w:w="9639" w:type="dxa"/>
            <w:gridSpan w:val="6"/>
            <w:tcBorders>
              <w:bottom w:val="single" w:sz="4" w:space="0" w:color="BFBFBF"/>
            </w:tcBorders>
            <w:shd w:val="clear" w:color="auto" w:fill="auto"/>
            <w:noWrap/>
            <w:hideMark/>
          </w:tcPr>
          <w:p w14:paraId="20C88FB1" w14:textId="77777777" w:rsidR="00496244" w:rsidRPr="00D02A2E" w:rsidRDefault="00496244" w:rsidP="00317057">
            <w:pPr>
              <w:pStyle w:val="ARtablenoteindent"/>
            </w:pPr>
            <w:r w:rsidRPr="00C5726C">
              <w:rPr>
                <w:noProof/>
              </w:rPr>
              <w:t>The 202</w:t>
            </w:r>
            <w:r>
              <w:rPr>
                <w:noProof/>
              </w:rPr>
              <w:t>0–</w:t>
            </w:r>
            <w:r w:rsidRPr="00C5726C">
              <w:rPr>
                <w:noProof/>
              </w:rPr>
              <w:t xml:space="preserve">21 actual outcome primarily relates to expenditure relating to the COVID-19 response being captured under the Health Protection output and budget impact of </w:t>
            </w:r>
            <w:r>
              <w:rPr>
                <w:noProof/>
              </w:rPr>
              <w:t>m</w:t>
            </w:r>
            <w:r w:rsidRPr="00C5726C">
              <w:rPr>
                <w:noProof/>
              </w:rPr>
              <w:t xml:space="preserve">achinery of </w:t>
            </w:r>
            <w:r>
              <w:rPr>
                <w:noProof/>
              </w:rPr>
              <w:t>g</w:t>
            </w:r>
            <w:r w:rsidRPr="00C5726C">
              <w:rPr>
                <w:noProof/>
              </w:rPr>
              <w:t>overnment changes between the Department of Health and Department of Families, Fairness and Housing.</w:t>
            </w:r>
          </w:p>
        </w:tc>
      </w:tr>
      <w:tr w:rsidR="00496244" w:rsidRPr="00D02A2E" w14:paraId="5D638796" w14:textId="77777777" w:rsidTr="000F1C6B">
        <w:trPr>
          <w:cantSplit/>
        </w:trPr>
        <w:tc>
          <w:tcPr>
            <w:tcW w:w="9639" w:type="dxa"/>
            <w:gridSpan w:val="6"/>
            <w:tcBorders>
              <w:top w:val="single" w:sz="4" w:space="0" w:color="auto"/>
              <w:bottom w:val="single" w:sz="4" w:space="0" w:color="auto"/>
            </w:tcBorders>
            <w:shd w:val="clear" w:color="auto" w:fill="auto"/>
            <w:hideMark/>
          </w:tcPr>
          <w:p w14:paraId="4F49CDA8" w14:textId="77777777" w:rsidR="00496244" w:rsidRPr="00D02A2E" w:rsidRDefault="00496244" w:rsidP="00317057">
            <w:pPr>
              <w:pStyle w:val="ARtablebluebold"/>
              <w:rPr>
                <w:rFonts w:ascii="Wingdings" w:hAnsi="Wingdings"/>
              </w:rPr>
            </w:pPr>
            <w:r w:rsidRPr="00545110">
              <w:t>Dental Services</w:t>
            </w:r>
          </w:p>
        </w:tc>
      </w:tr>
      <w:tr w:rsidR="00496244" w:rsidRPr="00D02A2E" w14:paraId="3F1130B4" w14:textId="77777777" w:rsidTr="000F1C6B">
        <w:trPr>
          <w:cantSplit/>
        </w:trPr>
        <w:tc>
          <w:tcPr>
            <w:tcW w:w="9639" w:type="dxa"/>
            <w:gridSpan w:val="6"/>
            <w:tcBorders>
              <w:top w:val="single" w:sz="4" w:space="0" w:color="auto"/>
            </w:tcBorders>
            <w:shd w:val="clear" w:color="auto" w:fill="auto"/>
            <w:hideMark/>
          </w:tcPr>
          <w:p w14:paraId="4E55725D" w14:textId="77777777" w:rsidR="00496244" w:rsidRPr="00D02A2E" w:rsidRDefault="00496244" w:rsidP="00317057">
            <w:pPr>
              <w:pStyle w:val="ARtablegreybold"/>
              <w:rPr>
                <w:rFonts w:ascii="Wingdings" w:hAnsi="Wingdings"/>
              </w:rPr>
            </w:pPr>
            <w:r w:rsidRPr="007A45E9">
              <w:t>Quantity</w:t>
            </w:r>
          </w:p>
        </w:tc>
      </w:tr>
      <w:tr w:rsidR="00D64E2C" w:rsidRPr="00D02A2E" w14:paraId="55E47187" w14:textId="77777777" w:rsidTr="000F1C6B">
        <w:trPr>
          <w:cantSplit/>
        </w:trPr>
        <w:tc>
          <w:tcPr>
            <w:tcW w:w="4761" w:type="dxa"/>
            <w:shd w:val="clear" w:color="auto" w:fill="auto"/>
            <w:hideMark/>
          </w:tcPr>
          <w:p w14:paraId="118637D8" w14:textId="77777777" w:rsidR="00D64E2C" w:rsidRPr="00D02A2E" w:rsidRDefault="00D64E2C" w:rsidP="00D64E2C">
            <w:pPr>
              <w:pStyle w:val="ARtabletext"/>
            </w:pPr>
            <w:r w:rsidRPr="00C5726C">
              <w:rPr>
                <w:noProof/>
              </w:rPr>
              <w:t>Persons treated</w:t>
            </w:r>
          </w:p>
        </w:tc>
        <w:tc>
          <w:tcPr>
            <w:tcW w:w="1021" w:type="dxa"/>
            <w:shd w:val="clear" w:color="auto" w:fill="auto"/>
            <w:hideMark/>
          </w:tcPr>
          <w:p w14:paraId="651913C3" w14:textId="77777777" w:rsidR="00D64E2C" w:rsidRPr="00D02A2E" w:rsidRDefault="00D64E2C" w:rsidP="00D64E2C">
            <w:pPr>
              <w:pStyle w:val="ARtabletextcentre"/>
            </w:pPr>
            <w:r w:rsidRPr="00C5726C">
              <w:rPr>
                <w:noProof/>
              </w:rPr>
              <w:t>number</w:t>
            </w:r>
          </w:p>
        </w:tc>
        <w:tc>
          <w:tcPr>
            <w:tcW w:w="1021" w:type="dxa"/>
            <w:shd w:val="clear" w:color="auto" w:fill="auto"/>
            <w:hideMark/>
          </w:tcPr>
          <w:p w14:paraId="0E1805D2" w14:textId="77777777" w:rsidR="00D64E2C" w:rsidRDefault="00D64E2C" w:rsidP="00D64E2C">
            <w:pPr>
              <w:pStyle w:val="ARtabletextright"/>
            </w:pPr>
            <w:r w:rsidRPr="00C5726C">
              <w:rPr>
                <w:noProof/>
              </w:rPr>
              <w:t>332</w:t>
            </w:r>
            <w:r>
              <w:rPr>
                <w:noProof/>
              </w:rPr>
              <w:t>,</w:t>
            </w:r>
            <w:r w:rsidRPr="00C5726C">
              <w:rPr>
                <w:noProof/>
              </w:rPr>
              <w:t>150</w:t>
            </w:r>
          </w:p>
        </w:tc>
        <w:tc>
          <w:tcPr>
            <w:tcW w:w="1021" w:type="dxa"/>
            <w:shd w:val="clear" w:color="auto" w:fill="auto"/>
            <w:hideMark/>
          </w:tcPr>
          <w:p w14:paraId="4AA404EF" w14:textId="77777777" w:rsidR="00D64E2C" w:rsidRDefault="00D64E2C" w:rsidP="00D64E2C">
            <w:pPr>
              <w:pStyle w:val="ARtabletextright"/>
            </w:pPr>
            <w:r w:rsidRPr="00C5726C">
              <w:rPr>
                <w:noProof/>
              </w:rPr>
              <w:t>272</w:t>
            </w:r>
            <w:r>
              <w:rPr>
                <w:noProof/>
              </w:rPr>
              <w:t>,</w:t>
            </w:r>
            <w:r w:rsidRPr="00C5726C">
              <w:rPr>
                <w:noProof/>
              </w:rPr>
              <w:t>446</w:t>
            </w:r>
          </w:p>
        </w:tc>
        <w:tc>
          <w:tcPr>
            <w:tcW w:w="1021" w:type="dxa"/>
            <w:shd w:val="clear" w:color="auto" w:fill="auto"/>
          </w:tcPr>
          <w:p w14:paraId="115E0EC8" w14:textId="77777777" w:rsidR="00D64E2C" w:rsidRDefault="00D64E2C" w:rsidP="00D64E2C">
            <w:pPr>
              <w:pStyle w:val="ARtabletextright"/>
            </w:pPr>
            <w:r>
              <w:rPr>
                <w:noProof/>
              </w:rPr>
              <w:t>−</w:t>
            </w:r>
            <w:r w:rsidRPr="00C5726C">
              <w:rPr>
                <w:noProof/>
              </w:rPr>
              <w:t>18</w:t>
            </w:r>
          </w:p>
        </w:tc>
        <w:tc>
          <w:tcPr>
            <w:tcW w:w="794" w:type="dxa"/>
            <w:shd w:val="clear" w:color="auto" w:fill="auto"/>
            <w:hideMark/>
          </w:tcPr>
          <w:p w14:paraId="6069CCD8" w14:textId="1B81D71F" w:rsidR="00D64E2C" w:rsidRPr="00D02A2E" w:rsidRDefault="00D64E2C" w:rsidP="00C575AB">
            <w:pPr>
              <w:pStyle w:val="ARtableperformancesymbol"/>
            </w:pPr>
            <w:r>
              <w:rPr>
                <w:noProof/>
              </w:rPr>
              <w:drawing>
                <wp:inline distT="0" distB="0" distL="0" distR="0" wp14:anchorId="5F26850B" wp14:editId="63CAED75">
                  <wp:extent cx="76320" cy="76320"/>
                  <wp:effectExtent l="0" t="0" r="0" b="0"/>
                  <wp:docPr id="89" name="Graphic 89"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D64E2C" w:rsidRPr="00D02A2E" w14:paraId="498F6342" w14:textId="77777777" w:rsidTr="000F1C6B">
        <w:trPr>
          <w:cantSplit/>
        </w:trPr>
        <w:tc>
          <w:tcPr>
            <w:tcW w:w="9639" w:type="dxa"/>
            <w:gridSpan w:val="6"/>
            <w:tcBorders>
              <w:bottom w:val="single" w:sz="4" w:space="0" w:color="BFBFBF"/>
            </w:tcBorders>
            <w:shd w:val="clear" w:color="auto" w:fill="auto"/>
            <w:noWrap/>
            <w:hideMark/>
          </w:tcPr>
          <w:p w14:paraId="37E439EF" w14:textId="77777777" w:rsidR="00D64E2C" w:rsidRPr="00D02A2E" w:rsidRDefault="00D64E2C" w:rsidP="00D64E2C">
            <w:pPr>
              <w:pStyle w:val="ARtablenoteindent"/>
            </w:pPr>
            <w:r w:rsidRPr="00C5726C">
              <w:rPr>
                <w:noProof/>
              </w:rPr>
              <w:t>Service has been impacted by COVID-19. Results have been impacted by the restrictions on non-urgent public dental services in response to the COVID-19 pandemic.</w:t>
            </w:r>
          </w:p>
        </w:tc>
      </w:tr>
      <w:tr w:rsidR="00D64E2C" w:rsidRPr="00D02A2E" w14:paraId="4328E8A9" w14:textId="77777777" w:rsidTr="000F1C6B">
        <w:trPr>
          <w:cantSplit/>
        </w:trPr>
        <w:tc>
          <w:tcPr>
            <w:tcW w:w="4761" w:type="dxa"/>
            <w:shd w:val="clear" w:color="auto" w:fill="auto"/>
            <w:hideMark/>
          </w:tcPr>
          <w:p w14:paraId="1CDFC839" w14:textId="77777777" w:rsidR="00D64E2C" w:rsidRPr="00D02A2E" w:rsidRDefault="00D64E2C" w:rsidP="00D64E2C">
            <w:pPr>
              <w:pStyle w:val="ARtabletext"/>
            </w:pPr>
            <w:r w:rsidRPr="00C5726C">
              <w:rPr>
                <w:noProof/>
              </w:rPr>
              <w:t>Priority and emergency clients treated</w:t>
            </w:r>
          </w:p>
        </w:tc>
        <w:tc>
          <w:tcPr>
            <w:tcW w:w="1021" w:type="dxa"/>
            <w:shd w:val="clear" w:color="auto" w:fill="auto"/>
            <w:hideMark/>
          </w:tcPr>
          <w:p w14:paraId="5011061A" w14:textId="77777777" w:rsidR="00D64E2C" w:rsidRPr="00D02A2E" w:rsidRDefault="00D64E2C" w:rsidP="00D64E2C">
            <w:pPr>
              <w:pStyle w:val="ARtabletextcentre"/>
            </w:pPr>
            <w:r w:rsidRPr="00C5726C">
              <w:rPr>
                <w:noProof/>
              </w:rPr>
              <w:t>number</w:t>
            </w:r>
          </w:p>
        </w:tc>
        <w:tc>
          <w:tcPr>
            <w:tcW w:w="1021" w:type="dxa"/>
            <w:shd w:val="clear" w:color="auto" w:fill="auto"/>
            <w:hideMark/>
          </w:tcPr>
          <w:p w14:paraId="3823F3A7" w14:textId="77777777" w:rsidR="00D64E2C" w:rsidRDefault="00D64E2C" w:rsidP="00D64E2C">
            <w:pPr>
              <w:pStyle w:val="ARtabletextright"/>
            </w:pPr>
            <w:r w:rsidRPr="00C5726C">
              <w:rPr>
                <w:noProof/>
              </w:rPr>
              <w:t>249</w:t>
            </w:r>
            <w:r>
              <w:rPr>
                <w:noProof/>
              </w:rPr>
              <w:t>,</w:t>
            </w:r>
            <w:r w:rsidRPr="00C5726C">
              <w:rPr>
                <w:noProof/>
              </w:rPr>
              <w:t>100</w:t>
            </w:r>
          </w:p>
        </w:tc>
        <w:tc>
          <w:tcPr>
            <w:tcW w:w="1021" w:type="dxa"/>
            <w:shd w:val="clear" w:color="auto" w:fill="auto"/>
            <w:hideMark/>
          </w:tcPr>
          <w:p w14:paraId="56473033" w14:textId="77777777" w:rsidR="00D64E2C" w:rsidRDefault="00D64E2C" w:rsidP="00D64E2C">
            <w:pPr>
              <w:pStyle w:val="ARtabletextright"/>
            </w:pPr>
            <w:r w:rsidRPr="00C5726C">
              <w:rPr>
                <w:noProof/>
              </w:rPr>
              <w:t>227</w:t>
            </w:r>
            <w:r>
              <w:rPr>
                <w:noProof/>
              </w:rPr>
              <w:t>,</w:t>
            </w:r>
            <w:r w:rsidRPr="00C5726C">
              <w:rPr>
                <w:noProof/>
              </w:rPr>
              <w:t>770</w:t>
            </w:r>
          </w:p>
        </w:tc>
        <w:tc>
          <w:tcPr>
            <w:tcW w:w="1021" w:type="dxa"/>
            <w:shd w:val="clear" w:color="auto" w:fill="auto"/>
          </w:tcPr>
          <w:p w14:paraId="0410E8E7" w14:textId="77777777" w:rsidR="00D64E2C" w:rsidRDefault="00D64E2C" w:rsidP="00D64E2C">
            <w:pPr>
              <w:pStyle w:val="ARtabletextright"/>
            </w:pPr>
            <w:r>
              <w:rPr>
                <w:noProof/>
              </w:rPr>
              <w:t>−</w:t>
            </w:r>
            <w:r w:rsidRPr="00C5726C">
              <w:rPr>
                <w:noProof/>
              </w:rPr>
              <w:t>8.</w:t>
            </w:r>
            <w:r>
              <w:rPr>
                <w:noProof/>
              </w:rPr>
              <w:t>6</w:t>
            </w:r>
          </w:p>
        </w:tc>
        <w:tc>
          <w:tcPr>
            <w:tcW w:w="794" w:type="dxa"/>
            <w:shd w:val="clear" w:color="auto" w:fill="auto"/>
            <w:hideMark/>
          </w:tcPr>
          <w:p w14:paraId="17C38744" w14:textId="5606C23D" w:rsidR="00D64E2C" w:rsidRPr="00D02A2E" w:rsidRDefault="00D64E2C" w:rsidP="00C575AB">
            <w:pPr>
              <w:pStyle w:val="ARtableperformancesymbol"/>
            </w:pPr>
            <w:r>
              <w:rPr>
                <w:noProof/>
              </w:rPr>
              <w:drawing>
                <wp:inline distT="0" distB="0" distL="0" distR="0" wp14:anchorId="5C56893B" wp14:editId="7EDB8BEC">
                  <wp:extent cx="76320" cy="76320"/>
                  <wp:effectExtent l="0" t="0" r="0" b="0"/>
                  <wp:docPr id="91" name="Graphic 91"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D64E2C" w:rsidRPr="00D02A2E" w14:paraId="28F15181" w14:textId="77777777" w:rsidTr="000F1C6B">
        <w:trPr>
          <w:cantSplit/>
        </w:trPr>
        <w:tc>
          <w:tcPr>
            <w:tcW w:w="9639" w:type="dxa"/>
            <w:gridSpan w:val="6"/>
            <w:tcBorders>
              <w:bottom w:val="single" w:sz="4" w:space="0" w:color="BFBFBF"/>
            </w:tcBorders>
            <w:shd w:val="clear" w:color="auto" w:fill="auto"/>
            <w:noWrap/>
            <w:hideMark/>
          </w:tcPr>
          <w:p w14:paraId="137274A3" w14:textId="77777777" w:rsidR="00D64E2C" w:rsidRPr="00D02A2E" w:rsidRDefault="00D64E2C" w:rsidP="00D64E2C">
            <w:pPr>
              <w:pStyle w:val="ARtablenoteindent"/>
            </w:pPr>
            <w:r w:rsidRPr="00C5726C">
              <w:rPr>
                <w:noProof/>
              </w:rPr>
              <w:t>Service has been impacted by COVID-19. Results have been impacted by the restrictions on non-urgent public dental services in response to the COVID-19 pandemic.</w:t>
            </w:r>
          </w:p>
        </w:tc>
      </w:tr>
      <w:tr w:rsidR="00D64E2C" w:rsidRPr="00D02A2E" w14:paraId="0232410F" w14:textId="77777777" w:rsidTr="000F1C6B">
        <w:trPr>
          <w:cantSplit/>
        </w:trPr>
        <w:tc>
          <w:tcPr>
            <w:tcW w:w="4761" w:type="dxa"/>
            <w:shd w:val="clear" w:color="auto" w:fill="auto"/>
            <w:hideMark/>
          </w:tcPr>
          <w:p w14:paraId="4CD095DC" w14:textId="77777777" w:rsidR="00D64E2C" w:rsidRPr="00D02A2E" w:rsidRDefault="00D64E2C" w:rsidP="00D64E2C">
            <w:pPr>
              <w:pStyle w:val="ARtabletext"/>
            </w:pPr>
            <w:r w:rsidRPr="00C5726C">
              <w:rPr>
                <w:noProof/>
              </w:rPr>
              <w:t>Children participating in the Smiles 4 Miles oral health promotion program</w:t>
            </w:r>
          </w:p>
        </w:tc>
        <w:tc>
          <w:tcPr>
            <w:tcW w:w="1021" w:type="dxa"/>
            <w:shd w:val="clear" w:color="auto" w:fill="auto"/>
            <w:hideMark/>
          </w:tcPr>
          <w:p w14:paraId="7911E426" w14:textId="77777777" w:rsidR="00D64E2C" w:rsidRPr="00D02A2E" w:rsidRDefault="00D64E2C" w:rsidP="00D64E2C">
            <w:pPr>
              <w:pStyle w:val="ARtabletextcentre"/>
            </w:pPr>
            <w:r w:rsidRPr="00C5726C">
              <w:rPr>
                <w:noProof/>
              </w:rPr>
              <w:t>number</w:t>
            </w:r>
          </w:p>
        </w:tc>
        <w:tc>
          <w:tcPr>
            <w:tcW w:w="1021" w:type="dxa"/>
            <w:shd w:val="clear" w:color="auto" w:fill="auto"/>
            <w:hideMark/>
          </w:tcPr>
          <w:p w14:paraId="3E6A6DBB" w14:textId="77777777" w:rsidR="00D64E2C" w:rsidRDefault="00D64E2C" w:rsidP="00D64E2C">
            <w:pPr>
              <w:pStyle w:val="ARtabletextright"/>
            </w:pPr>
            <w:r w:rsidRPr="00C5726C">
              <w:rPr>
                <w:noProof/>
              </w:rPr>
              <w:t>34</w:t>
            </w:r>
            <w:r>
              <w:rPr>
                <w:noProof/>
              </w:rPr>
              <w:t>,</w:t>
            </w:r>
            <w:r w:rsidRPr="00C5726C">
              <w:rPr>
                <w:noProof/>
              </w:rPr>
              <w:t>000</w:t>
            </w:r>
          </w:p>
        </w:tc>
        <w:tc>
          <w:tcPr>
            <w:tcW w:w="1021" w:type="dxa"/>
            <w:shd w:val="clear" w:color="auto" w:fill="auto"/>
            <w:hideMark/>
          </w:tcPr>
          <w:p w14:paraId="14007661" w14:textId="77777777" w:rsidR="00D64E2C" w:rsidRDefault="00D64E2C" w:rsidP="00D64E2C">
            <w:pPr>
              <w:pStyle w:val="ARtabletextright"/>
            </w:pPr>
            <w:r w:rsidRPr="00C5726C">
              <w:rPr>
                <w:noProof/>
              </w:rPr>
              <w:t>49</w:t>
            </w:r>
            <w:r>
              <w:rPr>
                <w:noProof/>
              </w:rPr>
              <w:t>,</w:t>
            </w:r>
            <w:r w:rsidRPr="00C5726C">
              <w:rPr>
                <w:noProof/>
              </w:rPr>
              <w:t>000</w:t>
            </w:r>
          </w:p>
        </w:tc>
        <w:tc>
          <w:tcPr>
            <w:tcW w:w="1021" w:type="dxa"/>
            <w:shd w:val="clear" w:color="auto" w:fill="auto"/>
          </w:tcPr>
          <w:p w14:paraId="70CA19BD" w14:textId="77777777" w:rsidR="00D64E2C" w:rsidRDefault="00D64E2C" w:rsidP="00D64E2C">
            <w:pPr>
              <w:pStyle w:val="ARtabletextright"/>
            </w:pPr>
            <w:r w:rsidRPr="00C5726C">
              <w:rPr>
                <w:noProof/>
              </w:rPr>
              <w:t>44.1</w:t>
            </w:r>
          </w:p>
        </w:tc>
        <w:tc>
          <w:tcPr>
            <w:tcW w:w="794" w:type="dxa"/>
            <w:shd w:val="clear" w:color="auto" w:fill="auto"/>
            <w:hideMark/>
          </w:tcPr>
          <w:p w14:paraId="144A51D6" w14:textId="069F818F" w:rsidR="00D64E2C" w:rsidRPr="00D02A2E" w:rsidRDefault="00CF2633" w:rsidP="00C575AB">
            <w:pPr>
              <w:pStyle w:val="ARtableperformancesymbol"/>
            </w:pPr>
            <w:r>
              <w:rPr>
                <w:noProof/>
              </w:rPr>
              <w:drawing>
                <wp:inline distT="0" distB="0" distL="0" distR="0" wp14:anchorId="656F92CF" wp14:editId="046009C9">
                  <wp:extent cx="85320" cy="85320"/>
                  <wp:effectExtent l="0" t="0" r="0" b="0"/>
                  <wp:docPr id="181" name="Graphic 181"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D64E2C" w:rsidRPr="00D02A2E" w14:paraId="299215D9" w14:textId="77777777" w:rsidTr="000F1C6B">
        <w:trPr>
          <w:cantSplit/>
        </w:trPr>
        <w:tc>
          <w:tcPr>
            <w:tcW w:w="9639" w:type="dxa"/>
            <w:gridSpan w:val="6"/>
            <w:tcBorders>
              <w:bottom w:val="single" w:sz="4" w:space="0" w:color="BFBFBF"/>
            </w:tcBorders>
            <w:shd w:val="clear" w:color="auto" w:fill="auto"/>
            <w:noWrap/>
            <w:hideMark/>
          </w:tcPr>
          <w:p w14:paraId="5CF68668" w14:textId="77777777" w:rsidR="00D64E2C" w:rsidRPr="00C5726C" w:rsidRDefault="00D64E2C" w:rsidP="00D64E2C">
            <w:pPr>
              <w:pStyle w:val="ARtablenoteindent"/>
              <w:rPr>
                <w:noProof/>
              </w:rPr>
            </w:pPr>
            <w:r w:rsidRPr="00C5726C">
              <w:rPr>
                <w:noProof/>
              </w:rPr>
              <w:t>Data for the current period is an estimate as actual data is not yet available. Performance is expected to exceed the target based on past performance. This is a positive outcome.</w:t>
            </w:r>
          </w:p>
          <w:p w14:paraId="788F3931" w14:textId="77777777" w:rsidR="00D64E2C" w:rsidRPr="00D02A2E" w:rsidRDefault="00D64E2C" w:rsidP="00D64E2C">
            <w:pPr>
              <w:pStyle w:val="ARtablenoteindent"/>
            </w:pPr>
            <w:r w:rsidRPr="00C5726C">
              <w:rPr>
                <w:noProof/>
              </w:rPr>
              <w:t>Note that the 202</w:t>
            </w:r>
            <w:r>
              <w:rPr>
                <w:noProof/>
              </w:rPr>
              <w:t>1–</w:t>
            </w:r>
            <w:r w:rsidRPr="00C5726C">
              <w:rPr>
                <w:noProof/>
              </w:rPr>
              <w:t>22 target has been revised upwards.</w:t>
            </w:r>
          </w:p>
        </w:tc>
      </w:tr>
      <w:tr w:rsidR="00D64E2C" w:rsidRPr="00D02A2E" w14:paraId="5A512EA0" w14:textId="77777777" w:rsidTr="000F1C6B">
        <w:trPr>
          <w:cantSplit/>
        </w:trPr>
        <w:tc>
          <w:tcPr>
            <w:tcW w:w="9639" w:type="dxa"/>
            <w:gridSpan w:val="6"/>
            <w:tcBorders>
              <w:top w:val="single" w:sz="4" w:space="0" w:color="auto"/>
            </w:tcBorders>
            <w:shd w:val="clear" w:color="auto" w:fill="auto"/>
            <w:hideMark/>
          </w:tcPr>
          <w:p w14:paraId="645CE1D9" w14:textId="77777777" w:rsidR="00D64E2C" w:rsidRPr="00D02A2E" w:rsidRDefault="00D64E2C" w:rsidP="00D64E2C">
            <w:pPr>
              <w:pStyle w:val="ARtablegreybold"/>
              <w:rPr>
                <w:rFonts w:ascii="Wingdings" w:hAnsi="Wingdings"/>
              </w:rPr>
            </w:pPr>
            <w:r>
              <w:t>Timeliness</w:t>
            </w:r>
          </w:p>
        </w:tc>
      </w:tr>
      <w:tr w:rsidR="00D64E2C" w:rsidRPr="00D02A2E" w14:paraId="67E3FABE" w14:textId="77777777" w:rsidTr="000F1C6B">
        <w:trPr>
          <w:cantSplit/>
        </w:trPr>
        <w:tc>
          <w:tcPr>
            <w:tcW w:w="4761" w:type="dxa"/>
            <w:shd w:val="clear" w:color="auto" w:fill="auto"/>
            <w:hideMark/>
          </w:tcPr>
          <w:p w14:paraId="7776A66F" w14:textId="77777777" w:rsidR="00D64E2C" w:rsidRPr="00D02A2E" w:rsidRDefault="00D64E2C" w:rsidP="00D64E2C">
            <w:pPr>
              <w:pStyle w:val="ARtabletext"/>
            </w:pPr>
            <w:r w:rsidRPr="00C5726C">
              <w:rPr>
                <w:noProof/>
              </w:rPr>
              <w:t>Waiting time for dentures</w:t>
            </w:r>
          </w:p>
        </w:tc>
        <w:tc>
          <w:tcPr>
            <w:tcW w:w="1021" w:type="dxa"/>
            <w:shd w:val="clear" w:color="auto" w:fill="auto"/>
            <w:hideMark/>
          </w:tcPr>
          <w:p w14:paraId="1DDBE943" w14:textId="77777777" w:rsidR="00D64E2C" w:rsidRPr="00D02A2E" w:rsidRDefault="00D64E2C" w:rsidP="00D64E2C">
            <w:pPr>
              <w:pStyle w:val="ARtabletextright"/>
            </w:pPr>
            <w:r w:rsidRPr="00C5726C">
              <w:rPr>
                <w:noProof/>
              </w:rPr>
              <w:t>months</w:t>
            </w:r>
          </w:p>
        </w:tc>
        <w:tc>
          <w:tcPr>
            <w:tcW w:w="1021" w:type="dxa"/>
            <w:shd w:val="clear" w:color="auto" w:fill="auto"/>
            <w:hideMark/>
          </w:tcPr>
          <w:p w14:paraId="18906969" w14:textId="77777777" w:rsidR="00D64E2C" w:rsidRPr="005C232D" w:rsidRDefault="00D64E2C" w:rsidP="00D64E2C">
            <w:pPr>
              <w:pStyle w:val="ARtabletextright"/>
            </w:pPr>
            <w:r w:rsidRPr="005C232D">
              <w:rPr>
                <w:noProof/>
              </w:rPr>
              <w:t>22</w:t>
            </w:r>
          </w:p>
        </w:tc>
        <w:tc>
          <w:tcPr>
            <w:tcW w:w="1021" w:type="dxa"/>
            <w:shd w:val="clear" w:color="auto" w:fill="auto"/>
            <w:hideMark/>
          </w:tcPr>
          <w:p w14:paraId="7728B237" w14:textId="77777777" w:rsidR="00D64E2C" w:rsidRPr="005C232D" w:rsidRDefault="00D64E2C" w:rsidP="00D64E2C">
            <w:pPr>
              <w:pStyle w:val="ARtabletextright"/>
            </w:pPr>
            <w:r w:rsidRPr="005C232D">
              <w:rPr>
                <w:noProof/>
              </w:rPr>
              <w:t>21.6</w:t>
            </w:r>
          </w:p>
        </w:tc>
        <w:tc>
          <w:tcPr>
            <w:tcW w:w="1021" w:type="dxa"/>
            <w:shd w:val="clear" w:color="auto" w:fill="auto"/>
          </w:tcPr>
          <w:p w14:paraId="6F49D659" w14:textId="77777777" w:rsidR="00D64E2C" w:rsidRPr="005C232D" w:rsidRDefault="00D64E2C" w:rsidP="00D64E2C">
            <w:pPr>
              <w:pStyle w:val="ARtabletextright"/>
            </w:pPr>
            <w:r w:rsidRPr="005C232D">
              <w:rPr>
                <w:noProof/>
              </w:rPr>
              <w:t>−1.8</w:t>
            </w:r>
          </w:p>
        </w:tc>
        <w:tc>
          <w:tcPr>
            <w:tcW w:w="794" w:type="dxa"/>
            <w:shd w:val="clear" w:color="auto" w:fill="auto"/>
            <w:hideMark/>
          </w:tcPr>
          <w:p w14:paraId="7EB10399" w14:textId="36E4A78B" w:rsidR="00D64E2C" w:rsidRPr="00D02A2E" w:rsidRDefault="00CF2633" w:rsidP="00C575AB">
            <w:pPr>
              <w:pStyle w:val="ARtableperformancesymbol"/>
            </w:pPr>
            <w:r>
              <w:rPr>
                <w:noProof/>
              </w:rPr>
              <w:drawing>
                <wp:inline distT="0" distB="0" distL="0" distR="0" wp14:anchorId="31BF8E20" wp14:editId="1CBC3F5D">
                  <wp:extent cx="85320" cy="85320"/>
                  <wp:effectExtent l="0" t="0" r="0" b="0"/>
                  <wp:docPr id="182" name="Graphic 182"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D64E2C" w:rsidRPr="00D02A2E" w14:paraId="05832637" w14:textId="77777777" w:rsidTr="000F1C6B">
        <w:trPr>
          <w:cantSplit/>
        </w:trPr>
        <w:tc>
          <w:tcPr>
            <w:tcW w:w="9639" w:type="dxa"/>
            <w:gridSpan w:val="6"/>
            <w:tcBorders>
              <w:bottom w:val="single" w:sz="4" w:space="0" w:color="BFBFBF"/>
            </w:tcBorders>
            <w:shd w:val="clear" w:color="auto" w:fill="auto"/>
            <w:noWrap/>
            <w:hideMark/>
          </w:tcPr>
          <w:p w14:paraId="30173619" w14:textId="77777777" w:rsidR="00D64E2C" w:rsidRPr="005C232D" w:rsidRDefault="00D64E2C" w:rsidP="00D64E2C">
            <w:pPr>
              <w:pStyle w:val="ARtablenoteindent"/>
            </w:pPr>
            <w:r w:rsidRPr="005C232D">
              <w:rPr>
                <w:noProof/>
              </w:rPr>
              <w:t xml:space="preserve">Performance below target is a positive result. </w:t>
            </w:r>
          </w:p>
        </w:tc>
      </w:tr>
      <w:tr w:rsidR="00D64E2C" w:rsidRPr="00D02A2E" w14:paraId="2AFEE0EA" w14:textId="77777777" w:rsidTr="000F1C6B">
        <w:trPr>
          <w:cantSplit/>
        </w:trPr>
        <w:tc>
          <w:tcPr>
            <w:tcW w:w="4761" w:type="dxa"/>
            <w:shd w:val="clear" w:color="auto" w:fill="auto"/>
            <w:hideMark/>
          </w:tcPr>
          <w:p w14:paraId="135DCA40" w14:textId="77777777" w:rsidR="00D64E2C" w:rsidRPr="00D02A2E" w:rsidRDefault="00D64E2C" w:rsidP="00D64E2C">
            <w:pPr>
              <w:pStyle w:val="ARtabletext"/>
            </w:pPr>
            <w:r w:rsidRPr="00C5726C">
              <w:rPr>
                <w:noProof/>
              </w:rPr>
              <w:lastRenderedPageBreak/>
              <w:t>Percentage of Dental Emergency Triage Category 1 clients treated within 24 hours</w:t>
            </w:r>
          </w:p>
        </w:tc>
        <w:tc>
          <w:tcPr>
            <w:tcW w:w="1021" w:type="dxa"/>
            <w:shd w:val="clear" w:color="auto" w:fill="auto"/>
            <w:hideMark/>
          </w:tcPr>
          <w:p w14:paraId="1024AA8E" w14:textId="77777777" w:rsidR="00D64E2C" w:rsidRPr="00D02A2E" w:rsidRDefault="00D64E2C" w:rsidP="00D64E2C">
            <w:pPr>
              <w:pStyle w:val="ARtabletextcentre"/>
            </w:pPr>
            <w:r w:rsidRPr="00C5726C">
              <w:rPr>
                <w:noProof/>
              </w:rPr>
              <w:t>per cent</w:t>
            </w:r>
          </w:p>
        </w:tc>
        <w:tc>
          <w:tcPr>
            <w:tcW w:w="1021" w:type="dxa"/>
            <w:shd w:val="clear" w:color="auto" w:fill="auto"/>
            <w:hideMark/>
          </w:tcPr>
          <w:p w14:paraId="69AFD0FE" w14:textId="77777777" w:rsidR="00D64E2C" w:rsidRPr="005C232D" w:rsidRDefault="00D64E2C" w:rsidP="00D64E2C">
            <w:pPr>
              <w:pStyle w:val="ARtabletextright"/>
            </w:pPr>
            <w:r w:rsidRPr="005C232D">
              <w:rPr>
                <w:noProof/>
              </w:rPr>
              <w:t>85</w:t>
            </w:r>
          </w:p>
        </w:tc>
        <w:tc>
          <w:tcPr>
            <w:tcW w:w="1021" w:type="dxa"/>
            <w:shd w:val="clear" w:color="auto" w:fill="auto"/>
            <w:hideMark/>
          </w:tcPr>
          <w:p w14:paraId="18F17E16" w14:textId="77777777" w:rsidR="00D64E2C" w:rsidRPr="005C232D" w:rsidRDefault="00D64E2C" w:rsidP="00D64E2C">
            <w:pPr>
              <w:pStyle w:val="ARtabletextright"/>
            </w:pPr>
            <w:r w:rsidRPr="005C232D">
              <w:rPr>
                <w:noProof/>
              </w:rPr>
              <w:t>92</w:t>
            </w:r>
          </w:p>
        </w:tc>
        <w:tc>
          <w:tcPr>
            <w:tcW w:w="1021" w:type="dxa"/>
            <w:shd w:val="clear" w:color="auto" w:fill="auto"/>
          </w:tcPr>
          <w:p w14:paraId="037ED55B" w14:textId="77777777" w:rsidR="00D64E2C" w:rsidRPr="005C232D" w:rsidRDefault="00D64E2C" w:rsidP="00D64E2C">
            <w:pPr>
              <w:pStyle w:val="ARtabletextright"/>
            </w:pPr>
            <w:r w:rsidRPr="005C232D">
              <w:rPr>
                <w:noProof/>
              </w:rPr>
              <w:t>8.2</w:t>
            </w:r>
          </w:p>
        </w:tc>
        <w:tc>
          <w:tcPr>
            <w:tcW w:w="794" w:type="dxa"/>
            <w:shd w:val="clear" w:color="auto" w:fill="auto"/>
            <w:hideMark/>
          </w:tcPr>
          <w:p w14:paraId="33CBC2D9" w14:textId="71D0753E" w:rsidR="00D64E2C" w:rsidRPr="00D02A2E" w:rsidRDefault="00CF2633" w:rsidP="00C575AB">
            <w:pPr>
              <w:pStyle w:val="ARtableperformancesymbol"/>
            </w:pPr>
            <w:r>
              <w:rPr>
                <w:noProof/>
              </w:rPr>
              <w:drawing>
                <wp:inline distT="0" distB="0" distL="0" distR="0" wp14:anchorId="152248FF" wp14:editId="5F570ED0">
                  <wp:extent cx="85320" cy="85320"/>
                  <wp:effectExtent l="0" t="0" r="0" b="0"/>
                  <wp:docPr id="183" name="Graphic 183"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D64E2C" w:rsidRPr="00D02A2E" w14:paraId="247927E5" w14:textId="77777777" w:rsidTr="000F1C6B">
        <w:trPr>
          <w:cantSplit/>
        </w:trPr>
        <w:tc>
          <w:tcPr>
            <w:tcW w:w="9639" w:type="dxa"/>
            <w:gridSpan w:val="6"/>
            <w:tcBorders>
              <w:bottom w:val="single" w:sz="4" w:space="0" w:color="BFBFBF"/>
            </w:tcBorders>
            <w:shd w:val="clear" w:color="auto" w:fill="auto"/>
            <w:noWrap/>
            <w:hideMark/>
          </w:tcPr>
          <w:p w14:paraId="0F0741EF" w14:textId="77777777" w:rsidR="00D64E2C" w:rsidRPr="005C232D" w:rsidRDefault="00D64E2C" w:rsidP="00D64E2C">
            <w:pPr>
              <w:pStyle w:val="ARtablenoteindent"/>
            </w:pPr>
            <w:r w:rsidRPr="005C232D">
              <w:rPr>
                <w:noProof/>
              </w:rPr>
              <w:t>Performance above target is a positive result. Note that emergency dental treatment was not significantly impacted by service restrictions in response to the COVID-19 pandemic.</w:t>
            </w:r>
          </w:p>
        </w:tc>
      </w:tr>
      <w:tr w:rsidR="00D64E2C" w:rsidRPr="00D02A2E" w14:paraId="020FDCB3" w14:textId="77777777" w:rsidTr="000F1C6B">
        <w:trPr>
          <w:cantSplit/>
        </w:trPr>
        <w:tc>
          <w:tcPr>
            <w:tcW w:w="4761" w:type="dxa"/>
            <w:shd w:val="clear" w:color="auto" w:fill="auto"/>
            <w:hideMark/>
          </w:tcPr>
          <w:p w14:paraId="56FC4D43" w14:textId="77777777" w:rsidR="00D64E2C" w:rsidRPr="00D02A2E" w:rsidRDefault="00D64E2C" w:rsidP="00D64E2C">
            <w:pPr>
              <w:pStyle w:val="ARtabletext"/>
            </w:pPr>
            <w:r w:rsidRPr="00C5726C">
              <w:rPr>
                <w:noProof/>
              </w:rPr>
              <w:t>Waiting time for general dental care</w:t>
            </w:r>
          </w:p>
        </w:tc>
        <w:tc>
          <w:tcPr>
            <w:tcW w:w="1021" w:type="dxa"/>
            <w:shd w:val="clear" w:color="auto" w:fill="auto"/>
            <w:hideMark/>
          </w:tcPr>
          <w:p w14:paraId="282CF1B6" w14:textId="77777777" w:rsidR="00D64E2C" w:rsidRPr="00D02A2E" w:rsidRDefault="00D64E2C" w:rsidP="00D64E2C">
            <w:pPr>
              <w:pStyle w:val="ARtabletextright"/>
            </w:pPr>
            <w:r w:rsidRPr="00C5726C">
              <w:rPr>
                <w:noProof/>
              </w:rPr>
              <w:t>months</w:t>
            </w:r>
          </w:p>
        </w:tc>
        <w:tc>
          <w:tcPr>
            <w:tcW w:w="1021" w:type="dxa"/>
            <w:shd w:val="clear" w:color="auto" w:fill="auto"/>
            <w:hideMark/>
          </w:tcPr>
          <w:p w14:paraId="5F419BF2" w14:textId="77777777" w:rsidR="00D64E2C" w:rsidRPr="005C232D" w:rsidRDefault="00D64E2C" w:rsidP="00D64E2C">
            <w:pPr>
              <w:pStyle w:val="ARtabletextright"/>
            </w:pPr>
            <w:r w:rsidRPr="005C232D">
              <w:rPr>
                <w:noProof/>
              </w:rPr>
              <w:t>23</w:t>
            </w:r>
          </w:p>
        </w:tc>
        <w:tc>
          <w:tcPr>
            <w:tcW w:w="1021" w:type="dxa"/>
            <w:shd w:val="clear" w:color="auto" w:fill="auto"/>
            <w:hideMark/>
          </w:tcPr>
          <w:p w14:paraId="73088208" w14:textId="77777777" w:rsidR="00D64E2C" w:rsidRPr="005C232D" w:rsidRDefault="00D64E2C" w:rsidP="00D64E2C">
            <w:pPr>
              <w:pStyle w:val="ARtabletextright"/>
            </w:pPr>
            <w:r w:rsidRPr="005C232D">
              <w:rPr>
                <w:noProof/>
              </w:rPr>
              <w:t>22.7</w:t>
            </w:r>
          </w:p>
        </w:tc>
        <w:tc>
          <w:tcPr>
            <w:tcW w:w="1021" w:type="dxa"/>
            <w:shd w:val="clear" w:color="auto" w:fill="auto"/>
          </w:tcPr>
          <w:p w14:paraId="2871550F" w14:textId="77777777" w:rsidR="00D64E2C" w:rsidRPr="005C232D" w:rsidRDefault="00D64E2C" w:rsidP="00D64E2C">
            <w:pPr>
              <w:pStyle w:val="ARtabletextright"/>
            </w:pPr>
            <w:r w:rsidRPr="005C232D">
              <w:rPr>
                <w:noProof/>
              </w:rPr>
              <w:t>−1.3</w:t>
            </w:r>
          </w:p>
        </w:tc>
        <w:tc>
          <w:tcPr>
            <w:tcW w:w="794" w:type="dxa"/>
            <w:shd w:val="clear" w:color="auto" w:fill="auto"/>
            <w:hideMark/>
          </w:tcPr>
          <w:p w14:paraId="1ED8E682" w14:textId="25563672" w:rsidR="00D64E2C" w:rsidRPr="00D02A2E" w:rsidRDefault="00CF2633" w:rsidP="00C575AB">
            <w:pPr>
              <w:pStyle w:val="ARtableperformancesymbol"/>
            </w:pPr>
            <w:r>
              <w:rPr>
                <w:noProof/>
              </w:rPr>
              <w:drawing>
                <wp:inline distT="0" distB="0" distL="0" distR="0" wp14:anchorId="178E3628" wp14:editId="45C04E0F">
                  <wp:extent cx="85320" cy="85320"/>
                  <wp:effectExtent l="0" t="0" r="0" b="0"/>
                  <wp:docPr id="184" name="Graphic 184"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D64E2C" w:rsidRPr="00D02A2E" w14:paraId="503F3984" w14:textId="77777777" w:rsidTr="000F1C6B">
        <w:trPr>
          <w:cantSplit/>
        </w:trPr>
        <w:tc>
          <w:tcPr>
            <w:tcW w:w="9639" w:type="dxa"/>
            <w:gridSpan w:val="6"/>
            <w:tcBorders>
              <w:bottom w:val="single" w:sz="4" w:space="0" w:color="BFBFBF"/>
            </w:tcBorders>
            <w:shd w:val="clear" w:color="auto" w:fill="auto"/>
            <w:noWrap/>
            <w:hideMark/>
          </w:tcPr>
          <w:p w14:paraId="35927FD7" w14:textId="77777777" w:rsidR="00D64E2C" w:rsidRPr="00D02A2E" w:rsidRDefault="00D64E2C" w:rsidP="00D64E2C">
            <w:pPr>
              <w:pStyle w:val="ARtablenoteindent"/>
            </w:pPr>
            <w:r w:rsidRPr="00C5726C">
              <w:rPr>
                <w:noProof/>
              </w:rPr>
              <w:t xml:space="preserve">Performance below target is a positive result. </w:t>
            </w:r>
          </w:p>
        </w:tc>
      </w:tr>
      <w:tr w:rsidR="00D64E2C" w:rsidRPr="00D02A2E" w14:paraId="06537C83" w14:textId="77777777" w:rsidTr="000F1C6B">
        <w:trPr>
          <w:cantSplit/>
        </w:trPr>
        <w:tc>
          <w:tcPr>
            <w:tcW w:w="9639" w:type="dxa"/>
            <w:gridSpan w:val="6"/>
            <w:tcBorders>
              <w:top w:val="single" w:sz="4" w:space="0" w:color="auto"/>
            </w:tcBorders>
            <w:shd w:val="clear" w:color="auto" w:fill="auto"/>
            <w:hideMark/>
          </w:tcPr>
          <w:p w14:paraId="248E68B4" w14:textId="77777777" w:rsidR="00D64E2C" w:rsidRPr="00D02A2E" w:rsidRDefault="00D64E2C" w:rsidP="00D64E2C">
            <w:pPr>
              <w:pStyle w:val="ARtablegreybold"/>
              <w:rPr>
                <w:rFonts w:ascii="Wingdings" w:hAnsi="Wingdings"/>
              </w:rPr>
            </w:pPr>
            <w:r>
              <w:t>Cost</w:t>
            </w:r>
          </w:p>
        </w:tc>
      </w:tr>
      <w:tr w:rsidR="00D64E2C" w:rsidRPr="00D02A2E" w14:paraId="05182BC7" w14:textId="77777777" w:rsidTr="000F1C6B">
        <w:trPr>
          <w:cantSplit/>
        </w:trPr>
        <w:tc>
          <w:tcPr>
            <w:tcW w:w="4761" w:type="dxa"/>
            <w:shd w:val="clear" w:color="auto" w:fill="auto"/>
            <w:hideMark/>
          </w:tcPr>
          <w:p w14:paraId="4BDC6D21" w14:textId="77777777" w:rsidR="00D64E2C" w:rsidRPr="00A95DC7" w:rsidRDefault="00D64E2C" w:rsidP="00D64E2C">
            <w:pPr>
              <w:pStyle w:val="ARtabletext"/>
              <w:rPr>
                <w:b/>
                <w:bCs/>
              </w:rPr>
            </w:pPr>
            <w:r w:rsidRPr="00A95DC7">
              <w:rPr>
                <w:b/>
                <w:bCs/>
                <w:noProof/>
              </w:rPr>
              <w:t>Total Output Cost</w:t>
            </w:r>
          </w:p>
        </w:tc>
        <w:tc>
          <w:tcPr>
            <w:tcW w:w="1021" w:type="dxa"/>
            <w:shd w:val="clear" w:color="auto" w:fill="auto"/>
            <w:hideMark/>
          </w:tcPr>
          <w:p w14:paraId="62536606" w14:textId="77777777" w:rsidR="00D64E2C" w:rsidRPr="00A95DC7" w:rsidRDefault="00D64E2C" w:rsidP="00D64E2C">
            <w:pPr>
              <w:pStyle w:val="ARtabletextcentre"/>
            </w:pPr>
            <w:r w:rsidRPr="00A95DC7">
              <w:rPr>
                <w:b/>
                <w:bCs/>
                <w:noProof/>
              </w:rPr>
              <w:t>$ million</w:t>
            </w:r>
          </w:p>
        </w:tc>
        <w:tc>
          <w:tcPr>
            <w:tcW w:w="1021" w:type="dxa"/>
            <w:shd w:val="clear" w:color="auto" w:fill="auto"/>
            <w:hideMark/>
          </w:tcPr>
          <w:p w14:paraId="347DE89F" w14:textId="77777777" w:rsidR="00D64E2C" w:rsidRPr="00A95DC7" w:rsidRDefault="00D64E2C" w:rsidP="00D64E2C">
            <w:pPr>
              <w:pStyle w:val="ARtabletextright"/>
              <w:rPr>
                <w:b/>
                <w:bCs/>
              </w:rPr>
            </w:pPr>
            <w:r w:rsidRPr="00A95DC7">
              <w:rPr>
                <w:b/>
                <w:bCs/>
                <w:noProof/>
              </w:rPr>
              <w:t>319</w:t>
            </w:r>
          </w:p>
        </w:tc>
        <w:tc>
          <w:tcPr>
            <w:tcW w:w="1021" w:type="dxa"/>
            <w:shd w:val="clear" w:color="auto" w:fill="auto"/>
            <w:hideMark/>
          </w:tcPr>
          <w:p w14:paraId="5D51D993" w14:textId="77777777" w:rsidR="00D64E2C" w:rsidRPr="00A95DC7" w:rsidRDefault="00D64E2C" w:rsidP="00D64E2C">
            <w:pPr>
              <w:pStyle w:val="ARtabletextright"/>
              <w:rPr>
                <w:b/>
                <w:bCs/>
              </w:rPr>
            </w:pPr>
            <w:r w:rsidRPr="00A95DC7">
              <w:rPr>
                <w:b/>
                <w:bCs/>
                <w:noProof/>
              </w:rPr>
              <w:t>296.</w:t>
            </w:r>
            <w:r>
              <w:rPr>
                <w:b/>
                <w:bCs/>
                <w:noProof/>
              </w:rPr>
              <w:t>7</w:t>
            </w:r>
          </w:p>
        </w:tc>
        <w:tc>
          <w:tcPr>
            <w:tcW w:w="1021" w:type="dxa"/>
            <w:shd w:val="clear" w:color="auto" w:fill="auto"/>
          </w:tcPr>
          <w:p w14:paraId="2814D6FD" w14:textId="77777777" w:rsidR="00D64E2C" w:rsidRPr="00A95DC7" w:rsidRDefault="00D64E2C" w:rsidP="00D64E2C">
            <w:pPr>
              <w:pStyle w:val="ARtabletextright"/>
              <w:rPr>
                <w:b/>
                <w:bCs/>
              </w:rPr>
            </w:pPr>
            <w:r>
              <w:rPr>
                <w:b/>
                <w:bCs/>
                <w:noProof/>
              </w:rPr>
              <w:t>−</w:t>
            </w:r>
            <w:r w:rsidRPr="00A95DC7">
              <w:rPr>
                <w:b/>
                <w:bCs/>
                <w:noProof/>
              </w:rPr>
              <w:t>7</w:t>
            </w:r>
          </w:p>
        </w:tc>
        <w:tc>
          <w:tcPr>
            <w:tcW w:w="794" w:type="dxa"/>
            <w:shd w:val="clear" w:color="auto" w:fill="auto"/>
            <w:hideMark/>
          </w:tcPr>
          <w:p w14:paraId="428861AE" w14:textId="77777777" w:rsidR="00D64E2C" w:rsidRPr="00A95DC7" w:rsidRDefault="00D64E2C" w:rsidP="00D64E2C">
            <w:pPr>
              <w:pStyle w:val="ARtabletextright"/>
              <w:rPr>
                <w:b/>
                <w:bCs/>
              </w:rPr>
            </w:pPr>
          </w:p>
        </w:tc>
      </w:tr>
      <w:tr w:rsidR="00D64E2C" w:rsidRPr="00D02A2E" w14:paraId="35DFAD91" w14:textId="77777777" w:rsidTr="000F1C6B">
        <w:trPr>
          <w:cantSplit/>
        </w:trPr>
        <w:tc>
          <w:tcPr>
            <w:tcW w:w="9639" w:type="dxa"/>
            <w:gridSpan w:val="6"/>
            <w:tcBorders>
              <w:bottom w:val="single" w:sz="4" w:space="0" w:color="BFBFBF"/>
            </w:tcBorders>
            <w:shd w:val="clear" w:color="auto" w:fill="auto"/>
            <w:noWrap/>
            <w:hideMark/>
          </w:tcPr>
          <w:p w14:paraId="0B54236C" w14:textId="77777777" w:rsidR="00D64E2C" w:rsidRPr="00D02A2E" w:rsidRDefault="00D64E2C" w:rsidP="00D64E2C">
            <w:pPr>
              <w:pStyle w:val="ARtablenoteindent"/>
            </w:pPr>
            <w:r w:rsidRPr="00C5726C">
              <w:rPr>
                <w:noProof/>
              </w:rPr>
              <w:t>The 202</w:t>
            </w:r>
            <w:r>
              <w:rPr>
                <w:noProof/>
              </w:rPr>
              <w:t>0–</w:t>
            </w:r>
            <w:r w:rsidRPr="00C5726C">
              <w:rPr>
                <w:noProof/>
              </w:rPr>
              <w:t>21 actual outcome primarily reflects timing of expenditure in relation to the Adult Public Dental Services National Partnership Agreement with funding requested to be carried over into 202</w:t>
            </w:r>
            <w:r>
              <w:rPr>
                <w:noProof/>
              </w:rPr>
              <w:t>1–</w:t>
            </w:r>
            <w:r w:rsidRPr="00C5726C">
              <w:rPr>
                <w:noProof/>
              </w:rPr>
              <w:t>22.</w:t>
            </w:r>
          </w:p>
        </w:tc>
      </w:tr>
      <w:tr w:rsidR="00D64E2C" w:rsidRPr="00D02A2E" w14:paraId="1A8D37CD" w14:textId="77777777" w:rsidTr="000F1C6B">
        <w:trPr>
          <w:cantSplit/>
        </w:trPr>
        <w:tc>
          <w:tcPr>
            <w:tcW w:w="9639" w:type="dxa"/>
            <w:gridSpan w:val="6"/>
            <w:tcBorders>
              <w:top w:val="single" w:sz="4" w:space="0" w:color="auto"/>
              <w:bottom w:val="single" w:sz="4" w:space="0" w:color="auto"/>
            </w:tcBorders>
            <w:shd w:val="clear" w:color="auto" w:fill="auto"/>
            <w:hideMark/>
          </w:tcPr>
          <w:p w14:paraId="61126A84" w14:textId="77777777" w:rsidR="00D64E2C" w:rsidRPr="00D02A2E" w:rsidRDefault="00D64E2C" w:rsidP="00D64E2C">
            <w:pPr>
              <w:pStyle w:val="ARtablebluebold"/>
              <w:rPr>
                <w:rFonts w:ascii="Wingdings" w:hAnsi="Wingdings"/>
              </w:rPr>
            </w:pPr>
            <w:r>
              <w:t>Maternal and Child Health and Early Parenting Services</w:t>
            </w:r>
          </w:p>
        </w:tc>
      </w:tr>
      <w:tr w:rsidR="00D64E2C" w:rsidRPr="00D02A2E" w14:paraId="10F7F712" w14:textId="77777777" w:rsidTr="000F1C6B">
        <w:trPr>
          <w:cantSplit/>
        </w:trPr>
        <w:tc>
          <w:tcPr>
            <w:tcW w:w="9639" w:type="dxa"/>
            <w:gridSpan w:val="6"/>
            <w:tcBorders>
              <w:top w:val="single" w:sz="4" w:space="0" w:color="auto"/>
            </w:tcBorders>
            <w:shd w:val="clear" w:color="auto" w:fill="auto"/>
            <w:hideMark/>
          </w:tcPr>
          <w:p w14:paraId="36A271E4" w14:textId="77777777" w:rsidR="00D64E2C" w:rsidRPr="00D02A2E" w:rsidRDefault="00D64E2C" w:rsidP="00D64E2C">
            <w:pPr>
              <w:pStyle w:val="ARtablegreybold"/>
              <w:rPr>
                <w:rFonts w:ascii="Wingdings" w:hAnsi="Wingdings"/>
              </w:rPr>
            </w:pPr>
            <w:r w:rsidRPr="007A45E9">
              <w:t>Quantity</w:t>
            </w:r>
          </w:p>
        </w:tc>
      </w:tr>
      <w:tr w:rsidR="00D64E2C" w:rsidRPr="00D02A2E" w14:paraId="6D8099BB" w14:textId="77777777" w:rsidTr="000F1C6B">
        <w:trPr>
          <w:cantSplit/>
        </w:trPr>
        <w:tc>
          <w:tcPr>
            <w:tcW w:w="4761" w:type="dxa"/>
            <w:shd w:val="clear" w:color="auto" w:fill="auto"/>
            <w:hideMark/>
          </w:tcPr>
          <w:p w14:paraId="13CE2CB5" w14:textId="77777777" w:rsidR="00D64E2C" w:rsidRPr="00D02A2E" w:rsidRDefault="00D64E2C" w:rsidP="00D64E2C">
            <w:pPr>
              <w:pStyle w:val="ARtabletext"/>
            </w:pPr>
            <w:r w:rsidRPr="00C5726C">
              <w:rPr>
                <w:noProof/>
              </w:rPr>
              <w:t>Hours of additional support delivered through the Enhanced Maternal and Child Health program</w:t>
            </w:r>
          </w:p>
        </w:tc>
        <w:tc>
          <w:tcPr>
            <w:tcW w:w="1021" w:type="dxa"/>
            <w:shd w:val="clear" w:color="auto" w:fill="auto"/>
            <w:hideMark/>
          </w:tcPr>
          <w:p w14:paraId="6795D3F3" w14:textId="77777777" w:rsidR="00D64E2C" w:rsidRPr="00D02A2E" w:rsidRDefault="00D64E2C" w:rsidP="00D64E2C">
            <w:pPr>
              <w:pStyle w:val="ARtabletextcentre"/>
            </w:pPr>
            <w:r w:rsidRPr="00C5726C">
              <w:rPr>
                <w:noProof/>
              </w:rPr>
              <w:t>number</w:t>
            </w:r>
          </w:p>
        </w:tc>
        <w:tc>
          <w:tcPr>
            <w:tcW w:w="1021" w:type="dxa"/>
            <w:shd w:val="clear" w:color="auto" w:fill="auto"/>
            <w:hideMark/>
          </w:tcPr>
          <w:p w14:paraId="79F0F3F4" w14:textId="77777777" w:rsidR="00D64E2C" w:rsidRDefault="00D64E2C" w:rsidP="00D64E2C">
            <w:pPr>
              <w:pStyle w:val="ARtabletextright"/>
            </w:pPr>
            <w:r w:rsidRPr="00C5726C">
              <w:rPr>
                <w:noProof/>
              </w:rPr>
              <w:t>248</w:t>
            </w:r>
            <w:r>
              <w:rPr>
                <w:noProof/>
              </w:rPr>
              <w:t>,</w:t>
            </w:r>
            <w:r w:rsidRPr="00C5726C">
              <w:rPr>
                <w:noProof/>
              </w:rPr>
              <w:t>000</w:t>
            </w:r>
          </w:p>
        </w:tc>
        <w:tc>
          <w:tcPr>
            <w:tcW w:w="1021" w:type="dxa"/>
            <w:shd w:val="clear" w:color="auto" w:fill="auto"/>
            <w:hideMark/>
          </w:tcPr>
          <w:p w14:paraId="2BCBE050" w14:textId="77777777" w:rsidR="00D64E2C" w:rsidRDefault="00D64E2C" w:rsidP="00D64E2C">
            <w:pPr>
              <w:pStyle w:val="ARtabletextright"/>
            </w:pPr>
            <w:r>
              <w:rPr>
                <w:noProof/>
              </w:rPr>
              <w:t>139,797</w:t>
            </w:r>
          </w:p>
        </w:tc>
        <w:tc>
          <w:tcPr>
            <w:tcW w:w="1021" w:type="dxa"/>
            <w:shd w:val="clear" w:color="auto" w:fill="auto"/>
          </w:tcPr>
          <w:p w14:paraId="47691C87" w14:textId="77777777" w:rsidR="00D64E2C" w:rsidRDefault="00D64E2C" w:rsidP="00D64E2C">
            <w:pPr>
              <w:pStyle w:val="ARtabletextright"/>
            </w:pPr>
            <w:r w:rsidRPr="005C232D">
              <w:rPr>
                <w:noProof/>
              </w:rPr>
              <w:t>−</w:t>
            </w:r>
            <w:r>
              <w:rPr>
                <w:noProof/>
              </w:rPr>
              <w:t>43.6</w:t>
            </w:r>
          </w:p>
        </w:tc>
        <w:tc>
          <w:tcPr>
            <w:tcW w:w="794" w:type="dxa"/>
            <w:shd w:val="clear" w:color="auto" w:fill="auto"/>
            <w:hideMark/>
          </w:tcPr>
          <w:p w14:paraId="26783B1D" w14:textId="12C63917" w:rsidR="00D64E2C" w:rsidRPr="00D02A2E" w:rsidRDefault="00D64E2C" w:rsidP="00C575AB">
            <w:pPr>
              <w:pStyle w:val="ARtableperformancesymbol"/>
            </w:pPr>
            <w:r>
              <w:rPr>
                <w:noProof/>
              </w:rPr>
              <w:drawing>
                <wp:inline distT="0" distB="0" distL="0" distR="0" wp14:anchorId="5988F4D5" wp14:editId="7625622C">
                  <wp:extent cx="76320" cy="76320"/>
                  <wp:effectExtent l="0" t="0" r="0" b="0"/>
                  <wp:docPr id="92" name="Graphic 92"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D64E2C" w:rsidRPr="00D02A2E" w14:paraId="1D88F067" w14:textId="77777777" w:rsidTr="000F1C6B">
        <w:trPr>
          <w:cantSplit/>
        </w:trPr>
        <w:tc>
          <w:tcPr>
            <w:tcW w:w="9639" w:type="dxa"/>
            <w:gridSpan w:val="6"/>
            <w:tcBorders>
              <w:bottom w:val="single" w:sz="4" w:space="0" w:color="BFBFBF"/>
            </w:tcBorders>
            <w:shd w:val="clear" w:color="auto" w:fill="auto"/>
            <w:noWrap/>
            <w:hideMark/>
          </w:tcPr>
          <w:p w14:paraId="79967EBC" w14:textId="7B29E940" w:rsidR="00D64E2C" w:rsidRPr="00D02A2E" w:rsidRDefault="00D64E2C" w:rsidP="00D64E2C">
            <w:pPr>
              <w:pStyle w:val="ARtablenoteindent"/>
            </w:pPr>
            <w:r w:rsidRPr="00866F8A">
              <w:t>This measure was introduced in 202</w:t>
            </w:r>
            <w:r>
              <w:t>0–</w:t>
            </w:r>
            <w:r w:rsidRPr="00866F8A">
              <w:t>21. Initial target was ambitious and based on funded hours for the expanded Enhanced Maternal Child Health program. Program rollout, data reporting challenges, data system changes and the impacts of COVID-19 have all contributed to the reported outcome being lower than the target.</w:t>
            </w:r>
          </w:p>
        </w:tc>
      </w:tr>
      <w:tr w:rsidR="00D64E2C" w:rsidRPr="00D02A2E" w14:paraId="11ABB86B" w14:textId="77777777" w:rsidTr="000F1C6B">
        <w:trPr>
          <w:cantSplit/>
        </w:trPr>
        <w:tc>
          <w:tcPr>
            <w:tcW w:w="4761" w:type="dxa"/>
            <w:shd w:val="clear" w:color="auto" w:fill="auto"/>
            <w:hideMark/>
          </w:tcPr>
          <w:p w14:paraId="297B6DDF" w14:textId="77777777" w:rsidR="00D64E2C" w:rsidRPr="00D02A2E" w:rsidRDefault="00D64E2C" w:rsidP="00D64E2C">
            <w:pPr>
              <w:pStyle w:val="ARtabletext"/>
            </w:pPr>
            <w:r w:rsidRPr="00C5726C">
              <w:rPr>
                <w:noProof/>
              </w:rPr>
              <w:t>Total number of Maternal and Child Health Service clients (aged 0 to 1 year)</w:t>
            </w:r>
          </w:p>
        </w:tc>
        <w:tc>
          <w:tcPr>
            <w:tcW w:w="1021" w:type="dxa"/>
            <w:shd w:val="clear" w:color="auto" w:fill="auto"/>
            <w:hideMark/>
          </w:tcPr>
          <w:p w14:paraId="7F32BE4D" w14:textId="77777777" w:rsidR="00D64E2C" w:rsidRPr="00D02A2E" w:rsidRDefault="00D64E2C" w:rsidP="00D64E2C">
            <w:pPr>
              <w:pStyle w:val="ARtabletextcentre"/>
            </w:pPr>
            <w:r w:rsidRPr="00C5726C">
              <w:rPr>
                <w:noProof/>
              </w:rPr>
              <w:t>number</w:t>
            </w:r>
          </w:p>
        </w:tc>
        <w:tc>
          <w:tcPr>
            <w:tcW w:w="1021" w:type="dxa"/>
            <w:shd w:val="clear" w:color="auto" w:fill="auto"/>
            <w:hideMark/>
          </w:tcPr>
          <w:p w14:paraId="58BB9C50" w14:textId="77777777" w:rsidR="00D64E2C" w:rsidRDefault="00D64E2C" w:rsidP="00D64E2C">
            <w:pPr>
              <w:pStyle w:val="ARtabletextright"/>
            </w:pPr>
            <w:r w:rsidRPr="00C5726C">
              <w:rPr>
                <w:noProof/>
              </w:rPr>
              <w:t>80</w:t>
            </w:r>
            <w:r>
              <w:rPr>
                <w:noProof/>
              </w:rPr>
              <w:t>,</w:t>
            </w:r>
            <w:r w:rsidRPr="00C5726C">
              <w:rPr>
                <w:noProof/>
              </w:rPr>
              <w:t>000</w:t>
            </w:r>
          </w:p>
        </w:tc>
        <w:tc>
          <w:tcPr>
            <w:tcW w:w="1021" w:type="dxa"/>
            <w:shd w:val="clear" w:color="auto" w:fill="auto"/>
            <w:hideMark/>
          </w:tcPr>
          <w:p w14:paraId="30688B25" w14:textId="77777777" w:rsidR="00D64E2C" w:rsidRDefault="00D64E2C" w:rsidP="00D64E2C">
            <w:pPr>
              <w:pStyle w:val="ARtabletextright"/>
            </w:pPr>
            <w:r>
              <w:rPr>
                <w:noProof/>
              </w:rPr>
              <w:t>79,156</w:t>
            </w:r>
          </w:p>
        </w:tc>
        <w:tc>
          <w:tcPr>
            <w:tcW w:w="1021" w:type="dxa"/>
            <w:shd w:val="clear" w:color="auto" w:fill="auto"/>
          </w:tcPr>
          <w:p w14:paraId="35AEDB5D" w14:textId="77777777" w:rsidR="00D64E2C" w:rsidRDefault="00D64E2C" w:rsidP="00D64E2C">
            <w:pPr>
              <w:pStyle w:val="ARtabletextright"/>
            </w:pPr>
            <w:r w:rsidRPr="005C232D">
              <w:rPr>
                <w:noProof/>
              </w:rPr>
              <w:t>−1</w:t>
            </w:r>
            <w:r>
              <w:rPr>
                <w:noProof/>
              </w:rPr>
              <w:t>.1</w:t>
            </w:r>
          </w:p>
        </w:tc>
        <w:tc>
          <w:tcPr>
            <w:tcW w:w="794" w:type="dxa"/>
            <w:shd w:val="clear" w:color="auto" w:fill="auto"/>
            <w:hideMark/>
          </w:tcPr>
          <w:p w14:paraId="10225F39" w14:textId="4A1F7BCA" w:rsidR="00D64E2C" w:rsidRPr="00D02A2E" w:rsidRDefault="00CF2633" w:rsidP="00C575AB">
            <w:pPr>
              <w:pStyle w:val="ARtableperformancesymbol"/>
            </w:pPr>
            <w:r>
              <w:rPr>
                <w:noProof/>
              </w:rPr>
              <w:drawing>
                <wp:inline distT="0" distB="0" distL="0" distR="0" wp14:anchorId="68D744B3" wp14:editId="257382D0">
                  <wp:extent cx="85320" cy="85320"/>
                  <wp:effectExtent l="0" t="0" r="0" b="0"/>
                  <wp:docPr id="185" name="Graphic 185"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D64E2C" w:rsidRPr="00D02A2E" w14:paraId="2A318892" w14:textId="77777777" w:rsidTr="000F1C6B">
        <w:trPr>
          <w:cantSplit/>
        </w:trPr>
        <w:tc>
          <w:tcPr>
            <w:tcW w:w="9639" w:type="dxa"/>
            <w:gridSpan w:val="6"/>
            <w:tcBorders>
              <w:top w:val="single" w:sz="4" w:space="0" w:color="auto"/>
            </w:tcBorders>
            <w:shd w:val="clear" w:color="auto" w:fill="auto"/>
            <w:hideMark/>
          </w:tcPr>
          <w:p w14:paraId="03CEA8E2" w14:textId="77777777" w:rsidR="00D64E2C" w:rsidRPr="00D02A2E" w:rsidRDefault="00D64E2C" w:rsidP="00D64E2C">
            <w:pPr>
              <w:pStyle w:val="ARtablegreybold"/>
              <w:rPr>
                <w:rFonts w:ascii="Wingdings" w:hAnsi="Wingdings"/>
              </w:rPr>
            </w:pPr>
            <w:r>
              <w:t>Timeliness</w:t>
            </w:r>
          </w:p>
        </w:tc>
      </w:tr>
      <w:tr w:rsidR="00D64E2C" w:rsidRPr="00D02A2E" w14:paraId="0F392B26" w14:textId="77777777" w:rsidTr="000F1C6B">
        <w:trPr>
          <w:cantSplit/>
        </w:trPr>
        <w:tc>
          <w:tcPr>
            <w:tcW w:w="4761" w:type="dxa"/>
            <w:shd w:val="clear" w:color="auto" w:fill="auto"/>
            <w:hideMark/>
          </w:tcPr>
          <w:p w14:paraId="495111CB" w14:textId="77777777" w:rsidR="00D64E2C" w:rsidRPr="00D02A2E" w:rsidRDefault="00D64E2C" w:rsidP="00D64E2C">
            <w:pPr>
              <w:pStyle w:val="ARtabletext"/>
            </w:pPr>
            <w:r w:rsidRPr="00C5726C">
              <w:rPr>
                <w:noProof/>
              </w:rPr>
              <w:t>Children aged 0 to 1 month enrolled at maternal and child health services from birth notifications</w:t>
            </w:r>
          </w:p>
        </w:tc>
        <w:tc>
          <w:tcPr>
            <w:tcW w:w="1021" w:type="dxa"/>
            <w:shd w:val="clear" w:color="auto" w:fill="auto"/>
            <w:hideMark/>
          </w:tcPr>
          <w:p w14:paraId="462480E5" w14:textId="77777777" w:rsidR="00D64E2C" w:rsidRPr="00D02A2E" w:rsidRDefault="00D64E2C" w:rsidP="00D64E2C">
            <w:pPr>
              <w:pStyle w:val="ARtabletextcentre"/>
            </w:pPr>
            <w:r w:rsidRPr="00C5726C">
              <w:rPr>
                <w:noProof/>
              </w:rPr>
              <w:t>per cent</w:t>
            </w:r>
          </w:p>
        </w:tc>
        <w:tc>
          <w:tcPr>
            <w:tcW w:w="1021" w:type="dxa"/>
            <w:shd w:val="clear" w:color="auto" w:fill="auto"/>
            <w:hideMark/>
          </w:tcPr>
          <w:p w14:paraId="0171BD78" w14:textId="77777777" w:rsidR="00D64E2C" w:rsidRDefault="00D64E2C" w:rsidP="00D64E2C">
            <w:pPr>
              <w:pStyle w:val="ARtabletextright"/>
            </w:pPr>
            <w:r w:rsidRPr="00C5726C">
              <w:rPr>
                <w:noProof/>
              </w:rPr>
              <w:t>99</w:t>
            </w:r>
          </w:p>
        </w:tc>
        <w:tc>
          <w:tcPr>
            <w:tcW w:w="1021" w:type="dxa"/>
            <w:shd w:val="clear" w:color="auto" w:fill="auto"/>
            <w:hideMark/>
          </w:tcPr>
          <w:p w14:paraId="037E43C5" w14:textId="77777777" w:rsidR="00D64E2C" w:rsidRDefault="00D64E2C" w:rsidP="00D64E2C">
            <w:pPr>
              <w:pStyle w:val="ARtabletextright"/>
            </w:pPr>
            <w:r w:rsidRPr="00C5726C">
              <w:rPr>
                <w:noProof/>
              </w:rPr>
              <w:t>99</w:t>
            </w:r>
          </w:p>
        </w:tc>
        <w:tc>
          <w:tcPr>
            <w:tcW w:w="1021" w:type="dxa"/>
            <w:shd w:val="clear" w:color="auto" w:fill="auto"/>
          </w:tcPr>
          <w:p w14:paraId="1DFA7F43" w14:textId="77777777" w:rsidR="00D64E2C" w:rsidRDefault="00D64E2C" w:rsidP="00D64E2C">
            <w:pPr>
              <w:pStyle w:val="ARtabletextright"/>
            </w:pPr>
            <w:r w:rsidRPr="00C5726C">
              <w:rPr>
                <w:noProof/>
              </w:rPr>
              <w:t>0</w:t>
            </w:r>
          </w:p>
        </w:tc>
        <w:tc>
          <w:tcPr>
            <w:tcW w:w="794" w:type="dxa"/>
            <w:shd w:val="clear" w:color="auto" w:fill="auto"/>
            <w:hideMark/>
          </w:tcPr>
          <w:p w14:paraId="2DF0F023" w14:textId="51953FAC" w:rsidR="00D64E2C" w:rsidRPr="00D02A2E" w:rsidRDefault="00CF2633" w:rsidP="00C575AB">
            <w:pPr>
              <w:pStyle w:val="ARtableperformancesymbol"/>
            </w:pPr>
            <w:r>
              <w:rPr>
                <w:noProof/>
              </w:rPr>
              <w:drawing>
                <wp:inline distT="0" distB="0" distL="0" distR="0" wp14:anchorId="19D9E3E6" wp14:editId="57089FC8">
                  <wp:extent cx="85320" cy="85320"/>
                  <wp:effectExtent l="0" t="0" r="0" b="0"/>
                  <wp:docPr id="186" name="Graphic 186"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D64E2C" w:rsidRPr="00D02A2E" w14:paraId="695C0047" w14:textId="77777777" w:rsidTr="000F1C6B">
        <w:trPr>
          <w:cantSplit/>
        </w:trPr>
        <w:tc>
          <w:tcPr>
            <w:tcW w:w="9639" w:type="dxa"/>
            <w:gridSpan w:val="6"/>
            <w:tcBorders>
              <w:top w:val="single" w:sz="4" w:space="0" w:color="auto"/>
            </w:tcBorders>
            <w:shd w:val="clear" w:color="auto" w:fill="auto"/>
            <w:hideMark/>
          </w:tcPr>
          <w:p w14:paraId="1F390405" w14:textId="77777777" w:rsidR="00D64E2C" w:rsidRPr="00D02A2E" w:rsidRDefault="00D64E2C" w:rsidP="00D64E2C">
            <w:pPr>
              <w:pStyle w:val="ARtablegreybold"/>
              <w:rPr>
                <w:rFonts w:ascii="Wingdings" w:hAnsi="Wingdings"/>
              </w:rPr>
            </w:pPr>
            <w:r>
              <w:t>Cost</w:t>
            </w:r>
          </w:p>
        </w:tc>
      </w:tr>
      <w:tr w:rsidR="00D64E2C" w:rsidRPr="00D02A2E" w14:paraId="6812EFF5" w14:textId="77777777" w:rsidTr="000F1C6B">
        <w:trPr>
          <w:cantSplit/>
        </w:trPr>
        <w:tc>
          <w:tcPr>
            <w:tcW w:w="4761" w:type="dxa"/>
            <w:shd w:val="clear" w:color="auto" w:fill="auto"/>
            <w:hideMark/>
          </w:tcPr>
          <w:p w14:paraId="09839ECB" w14:textId="77777777" w:rsidR="00D64E2C" w:rsidRPr="00A95DC7" w:rsidRDefault="00D64E2C" w:rsidP="00D64E2C">
            <w:pPr>
              <w:pStyle w:val="ARtabletext"/>
              <w:rPr>
                <w:b/>
                <w:bCs/>
              </w:rPr>
            </w:pPr>
            <w:r w:rsidRPr="00A95DC7">
              <w:rPr>
                <w:b/>
                <w:bCs/>
                <w:noProof/>
              </w:rPr>
              <w:t>Total Output Cost</w:t>
            </w:r>
          </w:p>
        </w:tc>
        <w:tc>
          <w:tcPr>
            <w:tcW w:w="1021" w:type="dxa"/>
            <w:shd w:val="clear" w:color="auto" w:fill="auto"/>
            <w:hideMark/>
          </w:tcPr>
          <w:p w14:paraId="196F7843" w14:textId="77777777" w:rsidR="00D64E2C" w:rsidRPr="00A95DC7" w:rsidRDefault="00D64E2C" w:rsidP="00D64E2C">
            <w:pPr>
              <w:pStyle w:val="ARtabletextcentre"/>
            </w:pPr>
            <w:r w:rsidRPr="00A95DC7">
              <w:rPr>
                <w:b/>
                <w:bCs/>
                <w:noProof/>
              </w:rPr>
              <w:t>$ million</w:t>
            </w:r>
          </w:p>
        </w:tc>
        <w:tc>
          <w:tcPr>
            <w:tcW w:w="1021" w:type="dxa"/>
            <w:shd w:val="clear" w:color="auto" w:fill="auto"/>
            <w:hideMark/>
          </w:tcPr>
          <w:p w14:paraId="646563C0" w14:textId="77777777" w:rsidR="00D64E2C" w:rsidRPr="00A95DC7" w:rsidRDefault="00D64E2C" w:rsidP="00D64E2C">
            <w:pPr>
              <w:pStyle w:val="ARtabletextright"/>
              <w:rPr>
                <w:b/>
                <w:bCs/>
              </w:rPr>
            </w:pPr>
            <w:r w:rsidRPr="00A95DC7">
              <w:rPr>
                <w:b/>
                <w:bCs/>
                <w:noProof/>
              </w:rPr>
              <w:t>134.4</w:t>
            </w:r>
          </w:p>
        </w:tc>
        <w:tc>
          <w:tcPr>
            <w:tcW w:w="1021" w:type="dxa"/>
            <w:shd w:val="clear" w:color="auto" w:fill="auto"/>
            <w:hideMark/>
          </w:tcPr>
          <w:p w14:paraId="20B0AC8C" w14:textId="77777777" w:rsidR="00D64E2C" w:rsidRPr="00A95DC7" w:rsidRDefault="00D64E2C" w:rsidP="00D64E2C">
            <w:pPr>
              <w:pStyle w:val="ARtabletextright"/>
              <w:rPr>
                <w:b/>
                <w:bCs/>
              </w:rPr>
            </w:pPr>
            <w:r w:rsidRPr="00A95DC7">
              <w:rPr>
                <w:b/>
                <w:bCs/>
                <w:noProof/>
              </w:rPr>
              <w:t>132.</w:t>
            </w:r>
            <w:r>
              <w:rPr>
                <w:b/>
                <w:bCs/>
                <w:noProof/>
              </w:rPr>
              <w:t>7</w:t>
            </w:r>
          </w:p>
        </w:tc>
        <w:tc>
          <w:tcPr>
            <w:tcW w:w="1021" w:type="dxa"/>
            <w:shd w:val="clear" w:color="auto" w:fill="auto"/>
          </w:tcPr>
          <w:p w14:paraId="34D82AA3" w14:textId="77777777" w:rsidR="00D64E2C" w:rsidRPr="00A95DC7" w:rsidRDefault="00D64E2C" w:rsidP="00D64E2C">
            <w:pPr>
              <w:pStyle w:val="ARtabletextright"/>
              <w:rPr>
                <w:b/>
                <w:bCs/>
              </w:rPr>
            </w:pPr>
            <w:r>
              <w:rPr>
                <w:b/>
                <w:bCs/>
                <w:noProof/>
              </w:rPr>
              <w:t>−</w:t>
            </w:r>
            <w:r w:rsidRPr="00A95DC7">
              <w:rPr>
                <w:b/>
                <w:bCs/>
                <w:noProof/>
              </w:rPr>
              <w:t>1.3</w:t>
            </w:r>
          </w:p>
        </w:tc>
        <w:tc>
          <w:tcPr>
            <w:tcW w:w="794" w:type="dxa"/>
            <w:shd w:val="clear" w:color="auto" w:fill="auto"/>
            <w:hideMark/>
          </w:tcPr>
          <w:p w14:paraId="63E87665" w14:textId="77777777" w:rsidR="00D64E2C" w:rsidRPr="00A95DC7" w:rsidRDefault="00D64E2C" w:rsidP="00D64E2C">
            <w:pPr>
              <w:pStyle w:val="ARtabletextright"/>
              <w:rPr>
                <w:b/>
                <w:bCs/>
              </w:rPr>
            </w:pPr>
          </w:p>
        </w:tc>
      </w:tr>
      <w:tr w:rsidR="00D64E2C" w:rsidRPr="00D02A2E" w14:paraId="5E1AD662" w14:textId="77777777" w:rsidTr="000F1C6B">
        <w:trPr>
          <w:cantSplit/>
        </w:trPr>
        <w:tc>
          <w:tcPr>
            <w:tcW w:w="9639" w:type="dxa"/>
            <w:gridSpan w:val="6"/>
            <w:tcBorders>
              <w:bottom w:val="single" w:sz="4" w:space="0" w:color="000000" w:themeColor="text1"/>
            </w:tcBorders>
            <w:shd w:val="clear" w:color="auto" w:fill="auto"/>
            <w:noWrap/>
            <w:hideMark/>
          </w:tcPr>
          <w:p w14:paraId="398C8017" w14:textId="77777777" w:rsidR="00D64E2C" w:rsidRPr="00D02A2E" w:rsidRDefault="00D64E2C" w:rsidP="00D64E2C">
            <w:pPr>
              <w:pStyle w:val="ARtablenoteindent"/>
            </w:pPr>
            <w:r w:rsidRPr="00C5726C">
              <w:rPr>
                <w:noProof/>
              </w:rPr>
              <w:t>The 202</w:t>
            </w:r>
            <w:r>
              <w:rPr>
                <w:noProof/>
              </w:rPr>
              <w:t>0–</w:t>
            </w:r>
            <w:r w:rsidRPr="00C5726C">
              <w:rPr>
                <w:noProof/>
              </w:rPr>
              <w:t>21 actual outcome reflects timing delays in expenditure on government policy initiatives.</w:t>
            </w:r>
          </w:p>
        </w:tc>
      </w:tr>
    </w:tbl>
    <w:p w14:paraId="469F5A3F" w14:textId="77777777" w:rsidR="00496244" w:rsidRDefault="00496244" w:rsidP="00317057">
      <w:pPr>
        <w:pStyle w:val="Heading4"/>
        <w:spacing w:before="400"/>
      </w:pPr>
      <w:bookmarkStart w:id="279" w:name="_Toc85121163"/>
      <w:r>
        <w:t>Public</w:t>
      </w:r>
      <w:r w:rsidRPr="00545110">
        <w:t xml:space="preserve"> Health</w:t>
      </w:r>
      <w:bookmarkEnd w:id="279"/>
    </w:p>
    <w:p w14:paraId="6A560B42" w14:textId="77777777" w:rsidR="00496244" w:rsidRDefault="00496244" w:rsidP="00317057">
      <w:pPr>
        <w:pStyle w:val="ARbodybeforetable"/>
      </w:pPr>
      <w:r w:rsidRPr="005C7F16">
        <w:t>This output encompasses services and support, including screening for health conditions and safety inspections, that promote and protect the health and wellbeing of all Victorians. These services are delivered in partnership with key stakeholders and communities.</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496244" w:rsidRPr="00D02A2E" w14:paraId="196367DE" w14:textId="77777777" w:rsidTr="000F1C6B">
        <w:trPr>
          <w:cantSplit/>
          <w:tblHeader/>
        </w:trPr>
        <w:tc>
          <w:tcPr>
            <w:tcW w:w="4761" w:type="dxa"/>
            <w:tcBorders>
              <w:bottom w:val="single" w:sz="4" w:space="0" w:color="auto"/>
            </w:tcBorders>
            <w:shd w:val="clear" w:color="auto" w:fill="auto"/>
            <w:vAlign w:val="bottom"/>
            <w:hideMark/>
          </w:tcPr>
          <w:p w14:paraId="01FAE428" w14:textId="77777777" w:rsidR="00496244" w:rsidRPr="00D02A2E" w:rsidRDefault="00496244" w:rsidP="00317057">
            <w:pPr>
              <w:pStyle w:val="ARtablecolhead"/>
            </w:pPr>
            <w:r w:rsidRPr="00D02A2E">
              <w:t>Performance measures</w:t>
            </w:r>
          </w:p>
        </w:tc>
        <w:tc>
          <w:tcPr>
            <w:tcW w:w="1021" w:type="dxa"/>
            <w:tcBorders>
              <w:bottom w:val="single" w:sz="4" w:space="0" w:color="auto"/>
            </w:tcBorders>
            <w:shd w:val="clear" w:color="auto" w:fill="auto"/>
            <w:vAlign w:val="bottom"/>
            <w:hideMark/>
          </w:tcPr>
          <w:p w14:paraId="110F8BB4" w14:textId="77777777" w:rsidR="00496244" w:rsidRPr="00F72126" w:rsidRDefault="00496244" w:rsidP="00317057">
            <w:pPr>
              <w:pStyle w:val="ARtablecolheadcentre"/>
            </w:pPr>
            <w:r w:rsidRPr="00F72126">
              <w:t>Unit of measure</w:t>
            </w:r>
          </w:p>
        </w:tc>
        <w:tc>
          <w:tcPr>
            <w:tcW w:w="1021" w:type="dxa"/>
            <w:tcBorders>
              <w:bottom w:val="single" w:sz="4" w:space="0" w:color="auto"/>
            </w:tcBorders>
            <w:shd w:val="clear" w:color="auto" w:fill="auto"/>
            <w:vAlign w:val="bottom"/>
            <w:hideMark/>
          </w:tcPr>
          <w:p w14:paraId="1C6F4293" w14:textId="77777777" w:rsidR="00496244" w:rsidRPr="00F72126" w:rsidRDefault="00496244" w:rsidP="00317057">
            <w:pPr>
              <w:pStyle w:val="ARtablecolheadright"/>
            </w:pPr>
            <w:r w:rsidRPr="00F72126">
              <w:t>20</w:t>
            </w:r>
            <w:r>
              <w:t>20</w:t>
            </w:r>
            <w:r w:rsidRPr="00F72126">
              <w:t>–</w:t>
            </w:r>
            <w:r>
              <w:t>21</w:t>
            </w:r>
            <w:r w:rsidRPr="00F72126">
              <w:t xml:space="preserve"> target</w:t>
            </w:r>
          </w:p>
        </w:tc>
        <w:tc>
          <w:tcPr>
            <w:tcW w:w="1021" w:type="dxa"/>
            <w:tcBorders>
              <w:bottom w:val="single" w:sz="4" w:space="0" w:color="auto"/>
            </w:tcBorders>
            <w:shd w:val="clear" w:color="auto" w:fill="auto"/>
            <w:vAlign w:val="bottom"/>
            <w:hideMark/>
          </w:tcPr>
          <w:p w14:paraId="7359C522" w14:textId="77777777" w:rsidR="00496244" w:rsidRPr="00F72126" w:rsidRDefault="00496244" w:rsidP="00317057">
            <w:pPr>
              <w:pStyle w:val="ARtablecolheadright"/>
            </w:pPr>
            <w:r w:rsidRPr="00F72126">
              <w:t>20</w:t>
            </w:r>
            <w:r>
              <w:t>20</w:t>
            </w:r>
            <w:r w:rsidRPr="00F72126">
              <w:t>–</w:t>
            </w:r>
            <w:r>
              <w:t>21</w:t>
            </w:r>
            <w:r w:rsidRPr="00F72126">
              <w:t xml:space="preserve"> actual</w:t>
            </w:r>
          </w:p>
        </w:tc>
        <w:tc>
          <w:tcPr>
            <w:tcW w:w="1021" w:type="dxa"/>
            <w:tcBorders>
              <w:bottom w:val="single" w:sz="4" w:space="0" w:color="auto"/>
            </w:tcBorders>
            <w:shd w:val="clear" w:color="auto" w:fill="auto"/>
            <w:vAlign w:val="bottom"/>
            <w:hideMark/>
          </w:tcPr>
          <w:p w14:paraId="55ECB158" w14:textId="77777777" w:rsidR="00496244" w:rsidRPr="00F72126" w:rsidRDefault="00496244" w:rsidP="00317057">
            <w:pPr>
              <w:pStyle w:val="ARtablecolheadright"/>
            </w:pPr>
            <w:r w:rsidRPr="00F72126">
              <w:t>Variation (%)</w:t>
            </w:r>
          </w:p>
        </w:tc>
        <w:tc>
          <w:tcPr>
            <w:tcW w:w="794" w:type="dxa"/>
            <w:tcBorders>
              <w:bottom w:val="single" w:sz="4" w:space="0" w:color="auto"/>
            </w:tcBorders>
            <w:shd w:val="clear" w:color="auto" w:fill="auto"/>
            <w:vAlign w:val="bottom"/>
            <w:hideMark/>
          </w:tcPr>
          <w:p w14:paraId="745C70E1" w14:textId="77777777" w:rsidR="00496244" w:rsidRPr="00F72126" w:rsidRDefault="00496244" w:rsidP="00317057">
            <w:pPr>
              <w:pStyle w:val="ARtablecolheadright"/>
            </w:pPr>
            <w:r w:rsidRPr="00F72126">
              <w:t>Result</w:t>
            </w:r>
          </w:p>
        </w:tc>
      </w:tr>
      <w:tr w:rsidR="00496244" w:rsidRPr="00D02A2E" w14:paraId="7C2C6BF2" w14:textId="77777777" w:rsidTr="000F1C6B">
        <w:trPr>
          <w:cantSplit/>
        </w:trPr>
        <w:tc>
          <w:tcPr>
            <w:tcW w:w="9639" w:type="dxa"/>
            <w:gridSpan w:val="6"/>
            <w:tcBorders>
              <w:top w:val="single" w:sz="4" w:space="0" w:color="auto"/>
              <w:bottom w:val="single" w:sz="4" w:space="0" w:color="auto"/>
            </w:tcBorders>
            <w:shd w:val="clear" w:color="auto" w:fill="auto"/>
            <w:hideMark/>
          </w:tcPr>
          <w:p w14:paraId="15947A81" w14:textId="77777777" w:rsidR="00496244" w:rsidRPr="00D02A2E" w:rsidRDefault="00496244" w:rsidP="00317057">
            <w:pPr>
              <w:pStyle w:val="ARtablebluebold"/>
              <w:rPr>
                <w:rFonts w:ascii="Wingdings" w:hAnsi="Wingdings"/>
              </w:rPr>
            </w:pPr>
            <w:r w:rsidRPr="00545110">
              <w:t>Health Protection</w:t>
            </w:r>
          </w:p>
        </w:tc>
      </w:tr>
      <w:tr w:rsidR="00496244" w:rsidRPr="00D02A2E" w14:paraId="67E5EA90" w14:textId="77777777" w:rsidTr="000F1C6B">
        <w:trPr>
          <w:cantSplit/>
        </w:trPr>
        <w:tc>
          <w:tcPr>
            <w:tcW w:w="9639" w:type="dxa"/>
            <w:gridSpan w:val="6"/>
            <w:tcBorders>
              <w:top w:val="single" w:sz="4" w:space="0" w:color="auto"/>
            </w:tcBorders>
            <w:shd w:val="clear" w:color="auto" w:fill="auto"/>
            <w:hideMark/>
          </w:tcPr>
          <w:p w14:paraId="4F360EE3" w14:textId="77777777" w:rsidR="00496244" w:rsidRPr="00D02A2E" w:rsidRDefault="00496244" w:rsidP="00317057">
            <w:pPr>
              <w:pStyle w:val="ARtablegreybold"/>
              <w:rPr>
                <w:rFonts w:ascii="Wingdings" w:hAnsi="Wingdings"/>
              </w:rPr>
            </w:pPr>
            <w:r w:rsidRPr="007A45E9">
              <w:t>Quantity</w:t>
            </w:r>
          </w:p>
        </w:tc>
      </w:tr>
      <w:tr w:rsidR="00D64E2C" w:rsidRPr="00D02A2E" w14:paraId="6728A172" w14:textId="77777777" w:rsidTr="000F1C6B">
        <w:trPr>
          <w:cantSplit/>
        </w:trPr>
        <w:tc>
          <w:tcPr>
            <w:tcW w:w="4761" w:type="dxa"/>
            <w:shd w:val="clear" w:color="auto" w:fill="auto"/>
            <w:hideMark/>
          </w:tcPr>
          <w:p w14:paraId="7A6476D1" w14:textId="77777777" w:rsidR="00D64E2C" w:rsidRPr="00D02A2E" w:rsidRDefault="00D64E2C" w:rsidP="00D64E2C">
            <w:pPr>
              <w:pStyle w:val="ARtabletext"/>
            </w:pPr>
            <w:r w:rsidRPr="00C5726C">
              <w:rPr>
                <w:noProof/>
              </w:rPr>
              <w:t>Inspections of cooling towers</w:t>
            </w:r>
          </w:p>
        </w:tc>
        <w:tc>
          <w:tcPr>
            <w:tcW w:w="1021" w:type="dxa"/>
            <w:shd w:val="clear" w:color="auto" w:fill="auto"/>
            <w:hideMark/>
          </w:tcPr>
          <w:p w14:paraId="7B2F2E54" w14:textId="77777777" w:rsidR="00D64E2C" w:rsidRPr="00D02A2E" w:rsidRDefault="00D64E2C" w:rsidP="00D64E2C">
            <w:pPr>
              <w:pStyle w:val="ARtabletextcentre"/>
            </w:pPr>
            <w:r w:rsidRPr="00C5726C">
              <w:rPr>
                <w:noProof/>
              </w:rPr>
              <w:t>number</w:t>
            </w:r>
          </w:p>
        </w:tc>
        <w:tc>
          <w:tcPr>
            <w:tcW w:w="1021" w:type="dxa"/>
            <w:shd w:val="clear" w:color="auto" w:fill="auto"/>
            <w:hideMark/>
          </w:tcPr>
          <w:p w14:paraId="5C1136D6" w14:textId="77777777" w:rsidR="00D64E2C" w:rsidRDefault="00D64E2C" w:rsidP="00D64E2C">
            <w:pPr>
              <w:pStyle w:val="ARtabletextright"/>
            </w:pPr>
            <w:r w:rsidRPr="00C5726C">
              <w:rPr>
                <w:noProof/>
              </w:rPr>
              <w:t>1</w:t>
            </w:r>
            <w:r>
              <w:rPr>
                <w:noProof/>
              </w:rPr>
              <w:t>,</w:t>
            </w:r>
            <w:r w:rsidRPr="00C5726C">
              <w:rPr>
                <w:noProof/>
              </w:rPr>
              <w:t>300</w:t>
            </w:r>
          </w:p>
        </w:tc>
        <w:tc>
          <w:tcPr>
            <w:tcW w:w="1021" w:type="dxa"/>
            <w:shd w:val="clear" w:color="auto" w:fill="auto"/>
            <w:hideMark/>
          </w:tcPr>
          <w:p w14:paraId="1B71A65B" w14:textId="77777777" w:rsidR="00D64E2C" w:rsidRDefault="00D64E2C" w:rsidP="00D64E2C">
            <w:pPr>
              <w:pStyle w:val="ARtabletextright"/>
            </w:pPr>
            <w:r w:rsidRPr="00C5726C">
              <w:rPr>
                <w:noProof/>
              </w:rPr>
              <w:t>1232</w:t>
            </w:r>
          </w:p>
        </w:tc>
        <w:tc>
          <w:tcPr>
            <w:tcW w:w="1021" w:type="dxa"/>
            <w:shd w:val="clear" w:color="auto" w:fill="auto"/>
          </w:tcPr>
          <w:p w14:paraId="7207B923" w14:textId="77777777" w:rsidR="00D64E2C" w:rsidRPr="00DA5190" w:rsidRDefault="00D64E2C" w:rsidP="00D64E2C">
            <w:pPr>
              <w:pStyle w:val="ARtabletextright"/>
            </w:pPr>
            <w:r w:rsidRPr="00DA5190">
              <w:rPr>
                <w:noProof/>
              </w:rPr>
              <w:t>−5.2</w:t>
            </w:r>
          </w:p>
        </w:tc>
        <w:tc>
          <w:tcPr>
            <w:tcW w:w="794" w:type="dxa"/>
            <w:shd w:val="clear" w:color="auto" w:fill="auto"/>
            <w:hideMark/>
          </w:tcPr>
          <w:p w14:paraId="2D5669E1" w14:textId="33715733" w:rsidR="00D64E2C" w:rsidRPr="00D02A2E" w:rsidRDefault="00D64E2C" w:rsidP="00C575AB">
            <w:pPr>
              <w:pStyle w:val="ARtableperformancesymbol"/>
            </w:pPr>
            <w:r>
              <w:rPr>
                <w:noProof/>
              </w:rPr>
              <w:drawing>
                <wp:inline distT="0" distB="0" distL="0" distR="0" wp14:anchorId="1E2B1087" wp14:editId="7525CC14">
                  <wp:extent cx="76320" cy="76320"/>
                  <wp:effectExtent l="0" t="0" r="0" b="0"/>
                  <wp:docPr id="93" name="Graphic 93"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D64E2C" w:rsidRPr="00D02A2E" w14:paraId="067285EA" w14:textId="77777777" w:rsidTr="000F1C6B">
        <w:trPr>
          <w:cantSplit/>
        </w:trPr>
        <w:tc>
          <w:tcPr>
            <w:tcW w:w="9639" w:type="dxa"/>
            <w:gridSpan w:val="6"/>
            <w:tcBorders>
              <w:bottom w:val="single" w:sz="4" w:space="0" w:color="BFBFBF"/>
            </w:tcBorders>
            <w:shd w:val="clear" w:color="auto" w:fill="auto"/>
            <w:noWrap/>
            <w:hideMark/>
          </w:tcPr>
          <w:p w14:paraId="1CC681E9" w14:textId="77777777" w:rsidR="00D64E2C" w:rsidRPr="00DA5190" w:rsidRDefault="00D64E2C" w:rsidP="00D64E2C">
            <w:pPr>
              <w:pStyle w:val="ARtablenoteindent"/>
            </w:pPr>
            <w:r w:rsidRPr="00DA5190">
              <w:rPr>
                <w:noProof/>
              </w:rPr>
              <w:t>Quarter 4 saw 669 cooling towers inspected and, in addition, 47 virtual tower audits were conducted as the inspection team returned to relatively normal operations</w:t>
            </w:r>
            <w:r>
              <w:rPr>
                <w:noProof/>
              </w:rPr>
              <w:t xml:space="preserve"> following interruptions earlier in the year</w:t>
            </w:r>
            <w:r w:rsidRPr="00DA5190">
              <w:rPr>
                <w:noProof/>
              </w:rPr>
              <w:t>. Full year result was 1,232 tower inspections and, in addition, 167 virtual tower audits were conducted.</w:t>
            </w:r>
          </w:p>
        </w:tc>
      </w:tr>
      <w:tr w:rsidR="00D64E2C" w:rsidRPr="00D02A2E" w14:paraId="7B44F43E" w14:textId="77777777" w:rsidTr="000F1C6B">
        <w:trPr>
          <w:cantSplit/>
        </w:trPr>
        <w:tc>
          <w:tcPr>
            <w:tcW w:w="4761" w:type="dxa"/>
            <w:shd w:val="clear" w:color="auto" w:fill="auto"/>
            <w:hideMark/>
          </w:tcPr>
          <w:p w14:paraId="7288134F" w14:textId="77777777" w:rsidR="00D64E2C" w:rsidRPr="00D02A2E" w:rsidRDefault="00D64E2C" w:rsidP="00D64E2C">
            <w:pPr>
              <w:pStyle w:val="ARtabletext"/>
            </w:pPr>
            <w:r w:rsidRPr="00C5726C">
              <w:rPr>
                <w:noProof/>
              </w:rPr>
              <w:t>Inspections of radiation safety management licences</w:t>
            </w:r>
          </w:p>
        </w:tc>
        <w:tc>
          <w:tcPr>
            <w:tcW w:w="1021" w:type="dxa"/>
            <w:shd w:val="clear" w:color="auto" w:fill="auto"/>
            <w:hideMark/>
          </w:tcPr>
          <w:p w14:paraId="6959AB78" w14:textId="77777777" w:rsidR="00D64E2C" w:rsidRPr="00D02A2E" w:rsidRDefault="00D64E2C" w:rsidP="00D64E2C">
            <w:pPr>
              <w:pStyle w:val="ARtabletextcentre"/>
            </w:pPr>
            <w:r w:rsidRPr="00C5726C">
              <w:rPr>
                <w:noProof/>
              </w:rPr>
              <w:t>number</w:t>
            </w:r>
          </w:p>
        </w:tc>
        <w:tc>
          <w:tcPr>
            <w:tcW w:w="1021" w:type="dxa"/>
            <w:shd w:val="clear" w:color="auto" w:fill="auto"/>
            <w:hideMark/>
          </w:tcPr>
          <w:p w14:paraId="3013F87B" w14:textId="77777777" w:rsidR="00D64E2C" w:rsidRDefault="00D64E2C" w:rsidP="00D64E2C">
            <w:pPr>
              <w:pStyle w:val="ARtabletextright"/>
            </w:pPr>
            <w:r w:rsidRPr="00C5726C">
              <w:rPr>
                <w:noProof/>
              </w:rPr>
              <w:t>480</w:t>
            </w:r>
          </w:p>
        </w:tc>
        <w:tc>
          <w:tcPr>
            <w:tcW w:w="1021" w:type="dxa"/>
            <w:shd w:val="clear" w:color="auto" w:fill="auto"/>
            <w:hideMark/>
          </w:tcPr>
          <w:p w14:paraId="09305104" w14:textId="77777777" w:rsidR="00D64E2C" w:rsidRDefault="00D64E2C" w:rsidP="00D64E2C">
            <w:pPr>
              <w:pStyle w:val="ARtabletextright"/>
            </w:pPr>
            <w:r w:rsidRPr="00C5726C">
              <w:rPr>
                <w:noProof/>
              </w:rPr>
              <w:t>136</w:t>
            </w:r>
          </w:p>
        </w:tc>
        <w:tc>
          <w:tcPr>
            <w:tcW w:w="1021" w:type="dxa"/>
            <w:shd w:val="clear" w:color="auto" w:fill="auto"/>
          </w:tcPr>
          <w:p w14:paraId="1DA0C120" w14:textId="77777777" w:rsidR="00D64E2C" w:rsidRDefault="00D64E2C" w:rsidP="00D64E2C">
            <w:pPr>
              <w:pStyle w:val="ARtabletextright"/>
            </w:pPr>
            <w:r>
              <w:rPr>
                <w:noProof/>
              </w:rPr>
              <w:t>−</w:t>
            </w:r>
            <w:r w:rsidRPr="00C5726C">
              <w:rPr>
                <w:noProof/>
              </w:rPr>
              <w:t>71.7</w:t>
            </w:r>
          </w:p>
        </w:tc>
        <w:tc>
          <w:tcPr>
            <w:tcW w:w="794" w:type="dxa"/>
            <w:shd w:val="clear" w:color="auto" w:fill="auto"/>
            <w:hideMark/>
          </w:tcPr>
          <w:p w14:paraId="3B1DA4B8" w14:textId="4AB4668F" w:rsidR="00D64E2C" w:rsidRPr="00D02A2E" w:rsidRDefault="00D64E2C" w:rsidP="00C575AB">
            <w:pPr>
              <w:pStyle w:val="ARtableperformancesymbol"/>
            </w:pPr>
            <w:r>
              <w:rPr>
                <w:noProof/>
              </w:rPr>
              <w:drawing>
                <wp:inline distT="0" distB="0" distL="0" distR="0" wp14:anchorId="05CF5F4F" wp14:editId="7F881603">
                  <wp:extent cx="76320" cy="76320"/>
                  <wp:effectExtent l="0" t="0" r="0" b="0"/>
                  <wp:docPr id="94" name="Graphic 94"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D64E2C" w:rsidRPr="00D02A2E" w14:paraId="7C6B9F6C" w14:textId="77777777" w:rsidTr="000F1C6B">
        <w:trPr>
          <w:cantSplit/>
        </w:trPr>
        <w:tc>
          <w:tcPr>
            <w:tcW w:w="9639" w:type="dxa"/>
            <w:gridSpan w:val="6"/>
            <w:tcBorders>
              <w:bottom w:val="single" w:sz="4" w:space="0" w:color="BFBFBF"/>
            </w:tcBorders>
            <w:shd w:val="clear" w:color="auto" w:fill="auto"/>
            <w:noWrap/>
            <w:hideMark/>
          </w:tcPr>
          <w:p w14:paraId="1F5AE0B7" w14:textId="1B23E8D8" w:rsidR="00D64E2C" w:rsidRPr="00D02A2E" w:rsidRDefault="00D64E2C" w:rsidP="00D64E2C">
            <w:pPr>
              <w:pStyle w:val="ARtablenoteindent"/>
            </w:pPr>
            <w:r>
              <w:rPr>
                <w:noProof/>
              </w:rPr>
              <w:t>The result</w:t>
            </w:r>
            <w:r w:rsidRPr="00C5726C">
              <w:rPr>
                <w:noProof/>
              </w:rPr>
              <w:t xml:space="preserve"> was impacted by a significant recruitment exercise to fill five radiation safety positions as part of</w:t>
            </w:r>
            <w:r>
              <w:rPr>
                <w:noProof/>
              </w:rPr>
              <w:t> </w:t>
            </w:r>
            <w:r w:rsidRPr="00C5726C">
              <w:rPr>
                <w:noProof/>
              </w:rPr>
              <w:t xml:space="preserve">the 2020 Victorian Budget </w:t>
            </w:r>
            <w:r w:rsidR="007D145B">
              <w:rPr>
                <w:noProof/>
              </w:rPr>
              <w:t>‘</w:t>
            </w:r>
            <w:r w:rsidRPr="00C5726C">
              <w:rPr>
                <w:noProof/>
              </w:rPr>
              <w:t>boots on the ground</w:t>
            </w:r>
            <w:r w:rsidR="007D145B">
              <w:rPr>
                <w:noProof/>
              </w:rPr>
              <w:t>’</w:t>
            </w:r>
            <w:r w:rsidRPr="00C5726C">
              <w:rPr>
                <w:noProof/>
              </w:rPr>
              <w:t xml:space="preserve"> initiative. We will start to see the impacts of that recruitment during the </w:t>
            </w:r>
            <w:r>
              <w:rPr>
                <w:noProof/>
              </w:rPr>
              <w:t>Q</w:t>
            </w:r>
            <w:r w:rsidRPr="00C5726C">
              <w:rPr>
                <w:noProof/>
              </w:rPr>
              <w:t>uarter</w:t>
            </w:r>
            <w:r>
              <w:rPr>
                <w:noProof/>
              </w:rPr>
              <w:t xml:space="preserve"> 3</w:t>
            </w:r>
            <w:r w:rsidRPr="00C5726C">
              <w:rPr>
                <w:noProof/>
              </w:rPr>
              <w:t xml:space="preserve"> of 2021.</w:t>
            </w:r>
          </w:p>
        </w:tc>
      </w:tr>
      <w:tr w:rsidR="00D64E2C" w:rsidRPr="00D02A2E" w14:paraId="29428119" w14:textId="77777777" w:rsidTr="000F1C6B">
        <w:trPr>
          <w:cantSplit/>
        </w:trPr>
        <w:tc>
          <w:tcPr>
            <w:tcW w:w="4761" w:type="dxa"/>
            <w:shd w:val="clear" w:color="auto" w:fill="auto"/>
            <w:hideMark/>
          </w:tcPr>
          <w:p w14:paraId="47CFF55C" w14:textId="573B3F9A" w:rsidR="00D64E2C" w:rsidRPr="00D02A2E" w:rsidRDefault="00D64E2C" w:rsidP="00F46D9F">
            <w:pPr>
              <w:pStyle w:val="ARtabletext"/>
              <w:keepNext/>
            </w:pPr>
            <w:r w:rsidRPr="00C5726C">
              <w:rPr>
                <w:noProof/>
              </w:rPr>
              <w:lastRenderedPageBreak/>
              <w:t>Percentage of Aboriginal children fully immunised at 60</w:t>
            </w:r>
            <w:r w:rsidR="00B527D8">
              <w:rPr>
                <w:noProof/>
              </w:rPr>
              <w:t> </w:t>
            </w:r>
            <w:r w:rsidRPr="00C5726C">
              <w:rPr>
                <w:noProof/>
              </w:rPr>
              <w:t>months</w:t>
            </w:r>
          </w:p>
        </w:tc>
        <w:tc>
          <w:tcPr>
            <w:tcW w:w="1021" w:type="dxa"/>
            <w:shd w:val="clear" w:color="auto" w:fill="auto"/>
            <w:hideMark/>
          </w:tcPr>
          <w:p w14:paraId="10049F78" w14:textId="77777777" w:rsidR="00D64E2C" w:rsidRPr="00D02A2E" w:rsidRDefault="00D64E2C" w:rsidP="00D64E2C">
            <w:pPr>
              <w:pStyle w:val="ARtabletextcentre"/>
            </w:pPr>
            <w:r w:rsidRPr="00C5726C">
              <w:rPr>
                <w:noProof/>
              </w:rPr>
              <w:t>per cent</w:t>
            </w:r>
          </w:p>
        </w:tc>
        <w:tc>
          <w:tcPr>
            <w:tcW w:w="1021" w:type="dxa"/>
            <w:shd w:val="clear" w:color="auto" w:fill="auto"/>
            <w:hideMark/>
          </w:tcPr>
          <w:p w14:paraId="1C66784B" w14:textId="77777777" w:rsidR="00D64E2C" w:rsidRDefault="00D64E2C" w:rsidP="00D64E2C">
            <w:pPr>
              <w:pStyle w:val="ARtabletextright"/>
            </w:pPr>
            <w:r w:rsidRPr="00C5726C">
              <w:rPr>
                <w:noProof/>
              </w:rPr>
              <w:t>95</w:t>
            </w:r>
          </w:p>
        </w:tc>
        <w:tc>
          <w:tcPr>
            <w:tcW w:w="1021" w:type="dxa"/>
            <w:shd w:val="clear" w:color="auto" w:fill="auto"/>
            <w:hideMark/>
          </w:tcPr>
          <w:p w14:paraId="2221837B" w14:textId="77777777" w:rsidR="00D64E2C" w:rsidRDefault="00D64E2C" w:rsidP="00D64E2C">
            <w:pPr>
              <w:pStyle w:val="ARtabletextright"/>
            </w:pPr>
            <w:r w:rsidRPr="00C5726C">
              <w:rPr>
                <w:noProof/>
              </w:rPr>
              <w:t>97.</w:t>
            </w:r>
            <w:r>
              <w:rPr>
                <w:noProof/>
              </w:rPr>
              <w:t>8</w:t>
            </w:r>
          </w:p>
        </w:tc>
        <w:tc>
          <w:tcPr>
            <w:tcW w:w="1021" w:type="dxa"/>
            <w:shd w:val="clear" w:color="auto" w:fill="auto"/>
          </w:tcPr>
          <w:p w14:paraId="7ABDBBEE" w14:textId="77777777" w:rsidR="00D64E2C" w:rsidRDefault="00D64E2C" w:rsidP="00D64E2C">
            <w:pPr>
              <w:pStyle w:val="ARtabletextright"/>
            </w:pPr>
            <w:r w:rsidRPr="00C5726C">
              <w:rPr>
                <w:noProof/>
              </w:rPr>
              <w:t>2.</w:t>
            </w:r>
            <w:r>
              <w:rPr>
                <w:noProof/>
              </w:rPr>
              <w:t>9</w:t>
            </w:r>
          </w:p>
        </w:tc>
        <w:tc>
          <w:tcPr>
            <w:tcW w:w="794" w:type="dxa"/>
            <w:shd w:val="clear" w:color="auto" w:fill="auto"/>
            <w:hideMark/>
          </w:tcPr>
          <w:p w14:paraId="5BDF86C8" w14:textId="786DFD30" w:rsidR="00D64E2C" w:rsidRPr="00D02A2E" w:rsidRDefault="00CF2633" w:rsidP="00C575AB">
            <w:pPr>
              <w:pStyle w:val="ARtableperformancesymbol"/>
            </w:pPr>
            <w:r>
              <w:rPr>
                <w:noProof/>
              </w:rPr>
              <w:drawing>
                <wp:inline distT="0" distB="0" distL="0" distR="0" wp14:anchorId="7044C48B" wp14:editId="1934F884">
                  <wp:extent cx="85320" cy="85320"/>
                  <wp:effectExtent l="0" t="0" r="0" b="0"/>
                  <wp:docPr id="187" name="Graphic 187"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D64E2C" w:rsidRPr="00D02A2E" w14:paraId="1FDD82B7" w14:textId="77777777" w:rsidTr="000F1C6B">
        <w:trPr>
          <w:cantSplit/>
        </w:trPr>
        <w:tc>
          <w:tcPr>
            <w:tcW w:w="9639" w:type="dxa"/>
            <w:gridSpan w:val="6"/>
            <w:tcBorders>
              <w:bottom w:val="single" w:sz="4" w:space="0" w:color="BFBFBF"/>
            </w:tcBorders>
            <w:shd w:val="clear" w:color="auto" w:fill="auto"/>
            <w:noWrap/>
            <w:hideMark/>
          </w:tcPr>
          <w:p w14:paraId="775F58C5" w14:textId="77777777" w:rsidR="00D64E2C" w:rsidRPr="00D02A2E" w:rsidRDefault="00D64E2C" w:rsidP="00D64E2C">
            <w:pPr>
              <w:pStyle w:val="ARtablenoteindent"/>
            </w:pPr>
            <w:r w:rsidRPr="00882B4E">
              <w:rPr>
                <w:noProof/>
              </w:rPr>
              <w:t>Result taken from</w:t>
            </w:r>
            <w:r>
              <w:rPr>
                <w:noProof/>
              </w:rPr>
              <w:t xml:space="preserve"> </w:t>
            </w:r>
            <w:r w:rsidRPr="00C5726C">
              <w:rPr>
                <w:noProof/>
              </w:rPr>
              <w:t>Australian Immunisation Register childhood coverage report (</w:t>
            </w:r>
            <w:r>
              <w:rPr>
                <w:noProof/>
              </w:rPr>
              <w:t>a</w:t>
            </w:r>
            <w:r w:rsidRPr="00C5726C">
              <w:rPr>
                <w:noProof/>
              </w:rPr>
              <w:t>ge calculated as at 31 March 2021). Date of processing 30</w:t>
            </w:r>
            <w:r>
              <w:rPr>
                <w:noProof/>
              </w:rPr>
              <w:t> </w:t>
            </w:r>
            <w:r w:rsidRPr="00C5726C">
              <w:rPr>
                <w:noProof/>
              </w:rPr>
              <w:t>June</w:t>
            </w:r>
            <w:r>
              <w:rPr>
                <w:noProof/>
              </w:rPr>
              <w:t> </w:t>
            </w:r>
            <w:r w:rsidRPr="00C5726C">
              <w:rPr>
                <w:noProof/>
              </w:rPr>
              <w:t>2021.</w:t>
            </w:r>
          </w:p>
        </w:tc>
      </w:tr>
      <w:tr w:rsidR="00D64E2C" w:rsidRPr="00D02A2E" w14:paraId="18D6EEDA" w14:textId="77777777" w:rsidTr="000F1C6B">
        <w:trPr>
          <w:cantSplit/>
        </w:trPr>
        <w:tc>
          <w:tcPr>
            <w:tcW w:w="4761" w:type="dxa"/>
            <w:tcBorders>
              <w:bottom w:val="single" w:sz="4" w:space="0" w:color="BFBFBF" w:themeColor="background1" w:themeShade="BF"/>
            </w:tcBorders>
            <w:shd w:val="clear" w:color="auto" w:fill="auto"/>
            <w:hideMark/>
          </w:tcPr>
          <w:p w14:paraId="0FEC77C8" w14:textId="77777777" w:rsidR="00D64E2C" w:rsidRPr="00D02A2E" w:rsidRDefault="00D64E2C" w:rsidP="00D64E2C">
            <w:pPr>
              <w:pStyle w:val="ARtabletext"/>
            </w:pPr>
            <w:r w:rsidRPr="00C5726C">
              <w:rPr>
                <w:noProof/>
              </w:rPr>
              <w:t>Number of available HIV rapid test trial appointments used</w:t>
            </w:r>
          </w:p>
        </w:tc>
        <w:tc>
          <w:tcPr>
            <w:tcW w:w="1021" w:type="dxa"/>
            <w:tcBorders>
              <w:bottom w:val="single" w:sz="4" w:space="0" w:color="BFBFBF" w:themeColor="background1" w:themeShade="BF"/>
            </w:tcBorders>
            <w:shd w:val="clear" w:color="auto" w:fill="auto"/>
            <w:hideMark/>
          </w:tcPr>
          <w:p w14:paraId="7DBBEA33" w14:textId="77777777" w:rsidR="00D64E2C" w:rsidRPr="00D02A2E" w:rsidRDefault="00D64E2C" w:rsidP="00D64E2C">
            <w:pPr>
              <w:pStyle w:val="ARtabletextcentre"/>
            </w:pPr>
            <w:r w:rsidRPr="00C5726C">
              <w:rPr>
                <w:noProof/>
              </w:rPr>
              <w:t>number</w:t>
            </w:r>
          </w:p>
        </w:tc>
        <w:tc>
          <w:tcPr>
            <w:tcW w:w="1021" w:type="dxa"/>
            <w:tcBorders>
              <w:bottom w:val="single" w:sz="4" w:space="0" w:color="BFBFBF" w:themeColor="background1" w:themeShade="BF"/>
            </w:tcBorders>
            <w:shd w:val="clear" w:color="auto" w:fill="auto"/>
            <w:hideMark/>
          </w:tcPr>
          <w:p w14:paraId="2D14AFB9" w14:textId="77777777" w:rsidR="00D64E2C" w:rsidRDefault="00D64E2C" w:rsidP="00D64E2C">
            <w:pPr>
              <w:pStyle w:val="ARtabletextright"/>
            </w:pPr>
            <w:r w:rsidRPr="00C5726C">
              <w:rPr>
                <w:noProof/>
              </w:rPr>
              <w:t>1</w:t>
            </w:r>
            <w:r>
              <w:rPr>
                <w:noProof/>
              </w:rPr>
              <w:t>,</w:t>
            </w:r>
            <w:r w:rsidRPr="00C5726C">
              <w:rPr>
                <w:noProof/>
              </w:rPr>
              <w:t>435</w:t>
            </w:r>
          </w:p>
        </w:tc>
        <w:tc>
          <w:tcPr>
            <w:tcW w:w="1021" w:type="dxa"/>
            <w:tcBorders>
              <w:bottom w:val="single" w:sz="4" w:space="0" w:color="BFBFBF" w:themeColor="background1" w:themeShade="BF"/>
            </w:tcBorders>
            <w:shd w:val="clear" w:color="auto" w:fill="auto"/>
            <w:hideMark/>
          </w:tcPr>
          <w:p w14:paraId="0DA6162A" w14:textId="77777777" w:rsidR="00D64E2C" w:rsidRDefault="00D64E2C" w:rsidP="00D64E2C">
            <w:pPr>
              <w:pStyle w:val="ARtabletextright"/>
            </w:pPr>
            <w:r w:rsidRPr="00C5726C">
              <w:rPr>
                <w:noProof/>
              </w:rPr>
              <w:t>1</w:t>
            </w:r>
            <w:r>
              <w:rPr>
                <w:noProof/>
              </w:rPr>
              <w:t>,</w:t>
            </w:r>
            <w:r w:rsidRPr="00C5726C">
              <w:rPr>
                <w:noProof/>
              </w:rPr>
              <w:t>504</w:t>
            </w:r>
          </w:p>
        </w:tc>
        <w:tc>
          <w:tcPr>
            <w:tcW w:w="1021" w:type="dxa"/>
            <w:tcBorders>
              <w:bottom w:val="single" w:sz="4" w:space="0" w:color="BFBFBF" w:themeColor="background1" w:themeShade="BF"/>
            </w:tcBorders>
            <w:shd w:val="clear" w:color="auto" w:fill="auto"/>
          </w:tcPr>
          <w:p w14:paraId="37AD0773" w14:textId="77777777" w:rsidR="00D64E2C" w:rsidRDefault="00D64E2C" w:rsidP="00D64E2C">
            <w:pPr>
              <w:pStyle w:val="ARtabletextright"/>
            </w:pPr>
            <w:r w:rsidRPr="00C5726C">
              <w:rPr>
                <w:noProof/>
              </w:rPr>
              <w:t>4.</w:t>
            </w:r>
            <w:r>
              <w:rPr>
                <w:noProof/>
              </w:rPr>
              <w:t>8</w:t>
            </w:r>
          </w:p>
        </w:tc>
        <w:tc>
          <w:tcPr>
            <w:tcW w:w="794" w:type="dxa"/>
            <w:tcBorders>
              <w:bottom w:val="single" w:sz="4" w:space="0" w:color="BFBFBF" w:themeColor="background1" w:themeShade="BF"/>
            </w:tcBorders>
            <w:shd w:val="clear" w:color="auto" w:fill="auto"/>
            <w:hideMark/>
          </w:tcPr>
          <w:p w14:paraId="0403977B" w14:textId="4114D8A0" w:rsidR="00D64E2C" w:rsidRPr="00D02A2E" w:rsidRDefault="00CF2633" w:rsidP="00C575AB">
            <w:pPr>
              <w:pStyle w:val="ARtableperformancesymbol"/>
            </w:pPr>
            <w:r>
              <w:rPr>
                <w:noProof/>
              </w:rPr>
              <w:drawing>
                <wp:inline distT="0" distB="0" distL="0" distR="0" wp14:anchorId="50F57345" wp14:editId="7353FA00">
                  <wp:extent cx="85320" cy="85320"/>
                  <wp:effectExtent l="0" t="0" r="0" b="0"/>
                  <wp:docPr id="188" name="Graphic 188"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D64E2C" w:rsidRPr="00D02A2E" w14:paraId="63CCE4A8" w14:textId="77777777" w:rsidTr="000F1C6B">
        <w:trPr>
          <w:cantSplit/>
        </w:trPr>
        <w:tc>
          <w:tcPr>
            <w:tcW w:w="4761" w:type="dxa"/>
            <w:tcBorders>
              <w:top w:val="single" w:sz="4" w:space="0" w:color="BFBFBF" w:themeColor="background1" w:themeShade="BF"/>
            </w:tcBorders>
            <w:shd w:val="clear" w:color="auto" w:fill="auto"/>
            <w:hideMark/>
          </w:tcPr>
          <w:p w14:paraId="0895D845" w14:textId="77777777" w:rsidR="00D64E2C" w:rsidRPr="00D02A2E" w:rsidRDefault="00D64E2C" w:rsidP="00D64E2C">
            <w:pPr>
              <w:pStyle w:val="ARtabletext"/>
            </w:pPr>
            <w:r w:rsidRPr="00C5726C">
              <w:rPr>
                <w:noProof/>
              </w:rPr>
              <w:t>Women screened for breast cancer by BreastScreen Victoria</w:t>
            </w:r>
          </w:p>
        </w:tc>
        <w:tc>
          <w:tcPr>
            <w:tcW w:w="1021" w:type="dxa"/>
            <w:tcBorders>
              <w:top w:val="single" w:sz="4" w:space="0" w:color="BFBFBF" w:themeColor="background1" w:themeShade="BF"/>
            </w:tcBorders>
            <w:shd w:val="clear" w:color="auto" w:fill="auto"/>
            <w:hideMark/>
          </w:tcPr>
          <w:p w14:paraId="779695F2" w14:textId="77777777" w:rsidR="00D64E2C" w:rsidRPr="00D02A2E" w:rsidRDefault="00D64E2C" w:rsidP="00D64E2C">
            <w:pPr>
              <w:pStyle w:val="ARtabletextcentre"/>
            </w:pPr>
            <w:r w:rsidRPr="00C5726C">
              <w:rPr>
                <w:noProof/>
              </w:rPr>
              <w:t>number</w:t>
            </w:r>
          </w:p>
        </w:tc>
        <w:tc>
          <w:tcPr>
            <w:tcW w:w="1021" w:type="dxa"/>
            <w:tcBorders>
              <w:top w:val="single" w:sz="4" w:space="0" w:color="BFBFBF" w:themeColor="background1" w:themeShade="BF"/>
            </w:tcBorders>
            <w:shd w:val="clear" w:color="auto" w:fill="auto"/>
            <w:hideMark/>
          </w:tcPr>
          <w:p w14:paraId="67035EAC" w14:textId="77777777" w:rsidR="00D64E2C" w:rsidRDefault="00D64E2C" w:rsidP="00D64E2C">
            <w:pPr>
              <w:pStyle w:val="ARtabletextright"/>
            </w:pPr>
            <w:r w:rsidRPr="00C5726C">
              <w:rPr>
                <w:noProof/>
              </w:rPr>
              <w:t>267</w:t>
            </w:r>
            <w:r>
              <w:rPr>
                <w:noProof/>
              </w:rPr>
              <w:t>,</w:t>
            </w:r>
            <w:r w:rsidRPr="00C5726C">
              <w:rPr>
                <w:noProof/>
              </w:rPr>
              <w:t>000</w:t>
            </w:r>
          </w:p>
        </w:tc>
        <w:tc>
          <w:tcPr>
            <w:tcW w:w="1021" w:type="dxa"/>
            <w:tcBorders>
              <w:top w:val="single" w:sz="4" w:space="0" w:color="BFBFBF" w:themeColor="background1" w:themeShade="BF"/>
            </w:tcBorders>
            <w:shd w:val="clear" w:color="auto" w:fill="auto"/>
            <w:hideMark/>
          </w:tcPr>
          <w:p w14:paraId="0753CCC5" w14:textId="77777777" w:rsidR="00D64E2C" w:rsidRDefault="00D64E2C" w:rsidP="00D64E2C">
            <w:pPr>
              <w:pStyle w:val="ARtabletextright"/>
            </w:pPr>
            <w:r w:rsidRPr="00C5726C">
              <w:rPr>
                <w:noProof/>
              </w:rPr>
              <w:t>236</w:t>
            </w:r>
            <w:r>
              <w:rPr>
                <w:noProof/>
              </w:rPr>
              <w:t>,</w:t>
            </w:r>
            <w:r w:rsidRPr="00C5726C">
              <w:rPr>
                <w:noProof/>
              </w:rPr>
              <w:t>224</w:t>
            </w:r>
          </w:p>
        </w:tc>
        <w:tc>
          <w:tcPr>
            <w:tcW w:w="1021" w:type="dxa"/>
            <w:tcBorders>
              <w:top w:val="single" w:sz="4" w:space="0" w:color="BFBFBF" w:themeColor="background1" w:themeShade="BF"/>
            </w:tcBorders>
            <w:shd w:val="clear" w:color="auto" w:fill="auto"/>
          </w:tcPr>
          <w:p w14:paraId="34E364B4" w14:textId="77777777" w:rsidR="00D64E2C" w:rsidRDefault="00D64E2C" w:rsidP="00D64E2C">
            <w:pPr>
              <w:pStyle w:val="ARtabletextright"/>
            </w:pPr>
            <w:r>
              <w:rPr>
                <w:noProof/>
              </w:rPr>
              <w:t>−</w:t>
            </w:r>
            <w:r w:rsidRPr="00C5726C">
              <w:rPr>
                <w:noProof/>
              </w:rPr>
              <w:t>11.5</w:t>
            </w:r>
          </w:p>
        </w:tc>
        <w:tc>
          <w:tcPr>
            <w:tcW w:w="794" w:type="dxa"/>
            <w:tcBorders>
              <w:top w:val="single" w:sz="4" w:space="0" w:color="BFBFBF" w:themeColor="background1" w:themeShade="BF"/>
            </w:tcBorders>
            <w:shd w:val="clear" w:color="auto" w:fill="auto"/>
            <w:hideMark/>
          </w:tcPr>
          <w:p w14:paraId="129B1DA4" w14:textId="774F47CB" w:rsidR="00D64E2C" w:rsidRPr="00D02A2E" w:rsidRDefault="00D64E2C" w:rsidP="00C575AB">
            <w:pPr>
              <w:pStyle w:val="ARtableperformancesymbol"/>
            </w:pPr>
            <w:r>
              <w:rPr>
                <w:noProof/>
              </w:rPr>
              <w:drawing>
                <wp:inline distT="0" distB="0" distL="0" distR="0" wp14:anchorId="37823A2C" wp14:editId="19FE748A">
                  <wp:extent cx="76320" cy="76320"/>
                  <wp:effectExtent l="0" t="0" r="0" b="0"/>
                  <wp:docPr id="95" name="Graphic 95"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D64E2C" w:rsidRPr="00D02A2E" w14:paraId="5D53FDCC" w14:textId="77777777" w:rsidTr="000F1C6B">
        <w:trPr>
          <w:cantSplit/>
        </w:trPr>
        <w:tc>
          <w:tcPr>
            <w:tcW w:w="9639" w:type="dxa"/>
            <w:gridSpan w:val="6"/>
            <w:tcBorders>
              <w:bottom w:val="single" w:sz="4" w:space="0" w:color="BFBFBF"/>
            </w:tcBorders>
            <w:shd w:val="clear" w:color="auto" w:fill="auto"/>
            <w:noWrap/>
            <w:hideMark/>
          </w:tcPr>
          <w:p w14:paraId="466CF731" w14:textId="77777777" w:rsidR="00D64E2C" w:rsidRPr="00D02A2E" w:rsidRDefault="00D64E2C" w:rsidP="00D64E2C">
            <w:pPr>
              <w:pStyle w:val="ARtablenoteindent"/>
            </w:pPr>
            <w:r w:rsidRPr="00C5726C">
              <w:rPr>
                <w:noProof/>
              </w:rPr>
              <w:t>This variance is due to the response to COVID-19 and the implementation of COVID-</w:t>
            </w:r>
            <w:r>
              <w:rPr>
                <w:noProof/>
              </w:rPr>
              <w:t>s</w:t>
            </w:r>
            <w:r w:rsidRPr="00C5726C">
              <w:rPr>
                <w:noProof/>
              </w:rPr>
              <w:t>afe measures</w:t>
            </w:r>
            <w:r>
              <w:rPr>
                <w:noProof/>
              </w:rPr>
              <w:t>,</w:t>
            </w:r>
            <w:r w:rsidRPr="00C5726C">
              <w:rPr>
                <w:noProof/>
              </w:rPr>
              <w:t xml:space="preserve"> which have meant reduced throughput for BreastScreen Victoria services.</w:t>
            </w:r>
          </w:p>
        </w:tc>
      </w:tr>
      <w:tr w:rsidR="00D64E2C" w:rsidRPr="00D02A2E" w14:paraId="336CE131" w14:textId="77777777" w:rsidTr="000F1C6B">
        <w:trPr>
          <w:cantSplit/>
        </w:trPr>
        <w:tc>
          <w:tcPr>
            <w:tcW w:w="4761" w:type="dxa"/>
            <w:tcBorders>
              <w:bottom w:val="single" w:sz="4" w:space="0" w:color="BFBFBF" w:themeColor="background1" w:themeShade="BF"/>
            </w:tcBorders>
            <w:shd w:val="clear" w:color="auto" w:fill="auto"/>
            <w:hideMark/>
          </w:tcPr>
          <w:p w14:paraId="7A3C63A2" w14:textId="77777777" w:rsidR="00D64E2C" w:rsidRPr="00D02A2E" w:rsidRDefault="00D64E2C" w:rsidP="00D64E2C">
            <w:pPr>
              <w:pStyle w:val="ARtabletext"/>
            </w:pPr>
            <w:r w:rsidRPr="00C5726C">
              <w:rPr>
                <w:noProof/>
              </w:rPr>
              <w:t>Number of persons participating in newborn bloodspot or maternal serum screening</w:t>
            </w:r>
          </w:p>
        </w:tc>
        <w:tc>
          <w:tcPr>
            <w:tcW w:w="1021" w:type="dxa"/>
            <w:tcBorders>
              <w:bottom w:val="single" w:sz="4" w:space="0" w:color="BFBFBF" w:themeColor="background1" w:themeShade="BF"/>
            </w:tcBorders>
            <w:shd w:val="clear" w:color="auto" w:fill="auto"/>
            <w:hideMark/>
          </w:tcPr>
          <w:p w14:paraId="79C72699" w14:textId="77777777" w:rsidR="00D64E2C" w:rsidRPr="00D02A2E" w:rsidRDefault="00D64E2C" w:rsidP="00D64E2C">
            <w:pPr>
              <w:pStyle w:val="ARtabletextcentre"/>
            </w:pPr>
            <w:r w:rsidRPr="00C5726C">
              <w:rPr>
                <w:noProof/>
              </w:rPr>
              <w:t>number</w:t>
            </w:r>
          </w:p>
        </w:tc>
        <w:tc>
          <w:tcPr>
            <w:tcW w:w="1021" w:type="dxa"/>
            <w:tcBorders>
              <w:bottom w:val="single" w:sz="4" w:space="0" w:color="BFBFBF" w:themeColor="background1" w:themeShade="BF"/>
            </w:tcBorders>
            <w:shd w:val="clear" w:color="auto" w:fill="auto"/>
            <w:hideMark/>
          </w:tcPr>
          <w:p w14:paraId="6820B962" w14:textId="77777777" w:rsidR="00D64E2C" w:rsidRDefault="00D64E2C" w:rsidP="00D64E2C">
            <w:pPr>
              <w:pStyle w:val="ARtabletextright"/>
            </w:pPr>
            <w:r w:rsidRPr="00C5726C">
              <w:rPr>
                <w:noProof/>
              </w:rPr>
              <w:t>80</w:t>
            </w:r>
            <w:r>
              <w:rPr>
                <w:noProof/>
              </w:rPr>
              <w:t>,</w:t>
            </w:r>
            <w:r w:rsidRPr="00C5726C">
              <w:rPr>
                <w:noProof/>
              </w:rPr>
              <w:t>000</w:t>
            </w:r>
          </w:p>
        </w:tc>
        <w:tc>
          <w:tcPr>
            <w:tcW w:w="1021" w:type="dxa"/>
            <w:tcBorders>
              <w:bottom w:val="single" w:sz="4" w:space="0" w:color="BFBFBF" w:themeColor="background1" w:themeShade="BF"/>
            </w:tcBorders>
            <w:shd w:val="clear" w:color="auto" w:fill="auto"/>
            <w:hideMark/>
          </w:tcPr>
          <w:p w14:paraId="4A74E3E8" w14:textId="77777777" w:rsidR="00D64E2C" w:rsidRDefault="00D64E2C" w:rsidP="00D64E2C">
            <w:pPr>
              <w:pStyle w:val="ARtabletextright"/>
            </w:pPr>
            <w:r w:rsidRPr="00C5726C">
              <w:rPr>
                <w:noProof/>
              </w:rPr>
              <w:t>79</w:t>
            </w:r>
            <w:r>
              <w:rPr>
                <w:noProof/>
              </w:rPr>
              <w:t>,</w:t>
            </w:r>
            <w:r w:rsidRPr="00C5726C">
              <w:rPr>
                <w:noProof/>
              </w:rPr>
              <w:t>367</w:t>
            </w:r>
          </w:p>
        </w:tc>
        <w:tc>
          <w:tcPr>
            <w:tcW w:w="1021" w:type="dxa"/>
            <w:tcBorders>
              <w:bottom w:val="single" w:sz="4" w:space="0" w:color="BFBFBF" w:themeColor="background1" w:themeShade="BF"/>
            </w:tcBorders>
            <w:shd w:val="clear" w:color="auto" w:fill="auto"/>
          </w:tcPr>
          <w:p w14:paraId="01580610" w14:textId="77777777" w:rsidR="00D64E2C" w:rsidRDefault="00D64E2C" w:rsidP="00D64E2C">
            <w:pPr>
              <w:pStyle w:val="ARtabletextright"/>
            </w:pPr>
            <w:r>
              <w:rPr>
                <w:noProof/>
              </w:rPr>
              <w:t>−</w:t>
            </w:r>
            <w:r w:rsidRPr="00C5726C">
              <w:rPr>
                <w:noProof/>
              </w:rPr>
              <w:t>0.8</w:t>
            </w:r>
          </w:p>
        </w:tc>
        <w:tc>
          <w:tcPr>
            <w:tcW w:w="794" w:type="dxa"/>
            <w:tcBorders>
              <w:bottom w:val="single" w:sz="4" w:space="0" w:color="BFBFBF" w:themeColor="background1" w:themeShade="BF"/>
            </w:tcBorders>
            <w:shd w:val="clear" w:color="auto" w:fill="auto"/>
            <w:hideMark/>
          </w:tcPr>
          <w:p w14:paraId="28ED51EE" w14:textId="0E93BA6D" w:rsidR="00D64E2C" w:rsidRPr="00D02A2E" w:rsidRDefault="00C575AB" w:rsidP="00C575AB">
            <w:pPr>
              <w:pStyle w:val="ARtableperformancesymbol"/>
            </w:pPr>
            <w:r w:rsidRPr="00F96CDB">
              <w:rPr>
                <w:noProof/>
              </w:rPr>
              <w:drawing>
                <wp:inline distT="0" distB="0" distL="0" distR="0" wp14:anchorId="59B45115" wp14:editId="7597844B">
                  <wp:extent cx="76320" cy="76320"/>
                  <wp:effectExtent l="0" t="0" r="0" b="0"/>
                  <wp:docPr id="206" name="Graphic 206" descr="Target not achieved – within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Target not achieved – within five per cent varianc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76320" cy="76320"/>
                          </a:xfrm>
                          <a:prstGeom prst="rect">
                            <a:avLst/>
                          </a:prstGeom>
                        </pic:spPr>
                      </pic:pic>
                    </a:graphicData>
                  </a:graphic>
                </wp:inline>
              </w:drawing>
            </w:r>
            <w:r>
              <w:t xml:space="preserve"> </w:t>
            </w:r>
          </w:p>
        </w:tc>
      </w:tr>
      <w:tr w:rsidR="00D64E2C" w:rsidRPr="00D02A2E" w14:paraId="71EE24A5" w14:textId="77777777" w:rsidTr="000F1C6B">
        <w:trPr>
          <w:cantSplit/>
        </w:trPr>
        <w:tc>
          <w:tcPr>
            <w:tcW w:w="4761" w:type="dxa"/>
            <w:tcBorders>
              <w:top w:val="single" w:sz="4" w:space="0" w:color="BFBFBF" w:themeColor="background1" w:themeShade="BF"/>
            </w:tcBorders>
            <w:shd w:val="clear" w:color="auto" w:fill="auto"/>
            <w:hideMark/>
          </w:tcPr>
          <w:p w14:paraId="7307EFF3" w14:textId="77777777" w:rsidR="00D64E2C" w:rsidRPr="00D02A2E" w:rsidRDefault="00D64E2C" w:rsidP="00D64E2C">
            <w:pPr>
              <w:pStyle w:val="ARtabletext"/>
            </w:pPr>
            <w:r w:rsidRPr="00C5726C">
              <w:rPr>
                <w:noProof/>
              </w:rPr>
              <w:t>Persons screened for prevention and early detection of health conditions – pulmonary tuberculosis screening</w:t>
            </w:r>
          </w:p>
        </w:tc>
        <w:tc>
          <w:tcPr>
            <w:tcW w:w="1021" w:type="dxa"/>
            <w:tcBorders>
              <w:top w:val="single" w:sz="4" w:space="0" w:color="BFBFBF" w:themeColor="background1" w:themeShade="BF"/>
            </w:tcBorders>
            <w:shd w:val="clear" w:color="auto" w:fill="auto"/>
            <w:hideMark/>
          </w:tcPr>
          <w:p w14:paraId="128D28FD" w14:textId="77777777" w:rsidR="00D64E2C" w:rsidRPr="00D02A2E" w:rsidRDefault="00D64E2C" w:rsidP="00D64E2C">
            <w:pPr>
              <w:pStyle w:val="ARtabletextcentre"/>
            </w:pPr>
            <w:r w:rsidRPr="00C5726C">
              <w:rPr>
                <w:noProof/>
              </w:rPr>
              <w:t>number</w:t>
            </w:r>
          </w:p>
        </w:tc>
        <w:tc>
          <w:tcPr>
            <w:tcW w:w="1021" w:type="dxa"/>
            <w:tcBorders>
              <w:top w:val="single" w:sz="4" w:space="0" w:color="BFBFBF" w:themeColor="background1" w:themeShade="BF"/>
            </w:tcBorders>
            <w:shd w:val="clear" w:color="auto" w:fill="auto"/>
            <w:hideMark/>
          </w:tcPr>
          <w:p w14:paraId="4C6A3CC3" w14:textId="77777777" w:rsidR="00D64E2C" w:rsidRDefault="00D64E2C" w:rsidP="00D64E2C">
            <w:pPr>
              <w:pStyle w:val="ARtabletextright"/>
            </w:pPr>
            <w:r w:rsidRPr="00C5726C">
              <w:rPr>
                <w:noProof/>
              </w:rPr>
              <w:t>2</w:t>
            </w:r>
            <w:r>
              <w:rPr>
                <w:noProof/>
              </w:rPr>
              <w:t>,</w:t>
            </w:r>
            <w:r w:rsidRPr="00C5726C">
              <w:rPr>
                <w:noProof/>
              </w:rPr>
              <w:t>000</w:t>
            </w:r>
          </w:p>
        </w:tc>
        <w:tc>
          <w:tcPr>
            <w:tcW w:w="1021" w:type="dxa"/>
            <w:tcBorders>
              <w:top w:val="single" w:sz="4" w:space="0" w:color="BFBFBF" w:themeColor="background1" w:themeShade="BF"/>
            </w:tcBorders>
            <w:shd w:val="clear" w:color="auto" w:fill="auto"/>
            <w:hideMark/>
          </w:tcPr>
          <w:p w14:paraId="22A9F04A" w14:textId="77777777" w:rsidR="00D64E2C" w:rsidRDefault="00D64E2C" w:rsidP="00D64E2C">
            <w:pPr>
              <w:pStyle w:val="ARtabletextright"/>
            </w:pPr>
            <w:r w:rsidRPr="00C5726C">
              <w:rPr>
                <w:noProof/>
              </w:rPr>
              <w:t>1</w:t>
            </w:r>
            <w:r>
              <w:rPr>
                <w:noProof/>
              </w:rPr>
              <w:t>,</w:t>
            </w:r>
            <w:r w:rsidRPr="00C5726C">
              <w:rPr>
                <w:noProof/>
              </w:rPr>
              <w:t>351</w:t>
            </w:r>
          </w:p>
        </w:tc>
        <w:tc>
          <w:tcPr>
            <w:tcW w:w="1021" w:type="dxa"/>
            <w:tcBorders>
              <w:top w:val="single" w:sz="4" w:space="0" w:color="BFBFBF" w:themeColor="background1" w:themeShade="BF"/>
            </w:tcBorders>
            <w:shd w:val="clear" w:color="auto" w:fill="auto"/>
          </w:tcPr>
          <w:p w14:paraId="6C740C7D" w14:textId="77777777" w:rsidR="00D64E2C" w:rsidRDefault="00D64E2C" w:rsidP="00D64E2C">
            <w:pPr>
              <w:pStyle w:val="ARtabletextright"/>
            </w:pPr>
            <w:r>
              <w:rPr>
                <w:noProof/>
              </w:rPr>
              <w:t>−</w:t>
            </w:r>
            <w:r w:rsidRPr="00C5726C">
              <w:rPr>
                <w:noProof/>
              </w:rPr>
              <w:t>32.5</w:t>
            </w:r>
          </w:p>
        </w:tc>
        <w:tc>
          <w:tcPr>
            <w:tcW w:w="794" w:type="dxa"/>
            <w:tcBorders>
              <w:top w:val="single" w:sz="4" w:space="0" w:color="BFBFBF" w:themeColor="background1" w:themeShade="BF"/>
            </w:tcBorders>
            <w:shd w:val="clear" w:color="auto" w:fill="auto"/>
            <w:hideMark/>
          </w:tcPr>
          <w:p w14:paraId="3B100DCC" w14:textId="28A125D7" w:rsidR="00D64E2C" w:rsidRPr="00D02A2E" w:rsidRDefault="00CF2633" w:rsidP="00C575AB">
            <w:pPr>
              <w:pStyle w:val="ARtableperformancesymbol"/>
            </w:pPr>
            <w:r>
              <w:rPr>
                <w:noProof/>
              </w:rPr>
              <w:drawing>
                <wp:inline distT="0" distB="0" distL="0" distR="0" wp14:anchorId="49142B0F" wp14:editId="25C4B2AC">
                  <wp:extent cx="85320" cy="85320"/>
                  <wp:effectExtent l="0" t="0" r="0" b="0"/>
                  <wp:docPr id="189" name="Graphic 189"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D64E2C" w:rsidRPr="00D02A2E" w14:paraId="324A4F41" w14:textId="77777777" w:rsidTr="000F1C6B">
        <w:trPr>
          <w:cantSplit/>
        </w:trPr>
        <w:tc>
          <w:tcPr>
            <w:tcW w:w="9639" w:type="dxa"/>
            <w:gridSpan w:val="6"/>
            <w:tcBorders>
              <w:bottom w:val="single" w:sz="4" w:space="0" w:color="BFBFBF"/>
            </w:tcBorders>
            <w:shd w:val="clear" w:color="auto" w:fill="auto"/>
            <w:noWrap/>
            <w:hideMark/>
          </w:tcPr>
          <w:p w14:paraId="5800D077" w14:textId="77777777" w:rsidR="00D64E2C" w:rsidRPr="00D02A2E" w:rsidRDefault="00D64E2C" w:rsidP="00D64E2C">
            <w:pPr>
              <w:pStyle w:val="ARtablenoteindent"/>
            </w:pPr>
            <w:r w:rsidRPr="00C5726C">
              <w:rPr>
                <w:noProof/>
              </w:rPr>
              <w:t xml:space="preserve">211 cases screened in </w:t>
            </w:r>
            <w:r>
              <w:rPr>
                <w:noProof/>
              </w:rPr>
              <w:t>Quarter 4</w:t>
            </w:r>
            <w:r w:rsidRPr="00C5726C">
              <w:rPr>
                <w:noProof/>
              </w:rPr>
              <w:t xml:space="preserve"> (1 April to 30 June 2021). Overall (</w:t>
            </w:r>
            <w:r>
              <w:rPr>
                <w:noProof/>
              </w:rPr>
              <w:t>a</w:t>
            </w:r>
            <w:r w:rsidRPr="00C5726C">
              <w:rPr>
                <w:noProof/>
              </w:rPr>
              <w:t>nnual) screening total has been impacted by COVID</w:t>
            </w:r>
            <w:r>
              <w:rPr>
                <w:noProof/>
              </w:rPr>
              <w:t>-19</w:t>
            </w:r>
            <w:r w:rsidRPr="00C5726C">
              <w:rPr>
                <w:noProof/>
              </w:rPr>
              <w:t xml:space="preserve"> lockdowns and other public health measures which have reduced the amount of social mixing and thereby transmission opportunities.</w:t>
            </w:r>
          </w:p>
        </w:tc>
      </w:tr>
      <w:tr w:rsidR="00D64E2C" w:rsidRPr="00D02A2E" w14:paraId="11FE3951" w14:textId="77777777" w:rsidTr="000F1C6B">
        <w:trPr>
          <w:cantSplit/>
        </w:trPr>
        <w:tc>
          <w:tcPr>
            <w:tcW w:w="4761" w:type="dxa"/>
            <w:shd w:val="clear" w:color="auto" w:fill="auto"/>
            <w:hideMark/>
          </w:tcPr>
          <w:p w14:paraId="67CF4B46" w14:textId="77777777" w:rsidR="00D64E2C" w:rsidRPr="00D02A2E" w:rsidRDefault="00D64E2C" w:rsidP="00D64E2C">
            <w:pPr>
              <w:pStyle w:val="ARtabletext"/>
            </w:pPr>
            <w:r w:rsidRPr="00C5726C">
              <w:rPr>
                <w:noProof/>
              </w:rPr>
              <w:t>Smoking cessation of Aboriginal mothers</w:t>
            </w:r>
          </w:p>
        </w:tc>
        <w:tc>
          <w:tcPr>
            <w:tcW w:w="1021" w:type="dxa"/>
            <w:shd w:val="clear" w:color="auto" w:fill="auto"/>
            <w:hideMark/>
          </w:tcPr>
          <w:p w14:paraId="1687B465" w14:textId="77777777" w:rsidR="00D64E2C" w:rsidRPr="00D02A2E" w:rsidRDefault="00D64E2C" w:rsidP="00D64E2C">
            <w:pPr>
              <w:pStyle w:val="ARtabletextcentre"/>
            </w:pPr>
            <w:r w:rsidRPr="00C5726C">
              <w:rPr>
                <w:noProof/>
              </w:rPr>
              <w:t>per cent</w:t>
            </w:r>
          </w:p>
        </w:tc>
        <w:tc>
          <w:tcPr>
            <w:tcW w:w="1021" w:type="dxa"/>
            <w:shd w:val="clear" w:color="auto" w:fill="auto"/>
            <w:hideMark/>
          </w:tcPr>
          <w:p w14:paraId="6F2032BF" w14:textId="77777777" w:rsidR="00D64E2C" w:rsidRDefault="00D64E2C" w:rsidP="00D64E2C">
            <w:pPr>
              <w:pStyle w:val="ARtabletextright"/>
            </w:pPr>
            <w:r w:rsidRPr="00C5726C">
              <w:rPr>
                <w:noProof/>
              </w:rPr>
              <w:t>25.</w:t>
            </w:r>
            <w:r>
              <w:rPr>
                <w:noProof/>
              </w:rPr>
              <w:t>2</w:t>
            </w:r>
          </w:p>
        </w:tc>
        <w:tc>
          <w:tcPr>
            <w:tcW w:w="1021" w:type="dxa"/>
            <w:shd w:val="clear" w:color="auto" w:fill="auto"/>
            <w:hideMark/>
          </w:tcPr>
          <w:p w14:paraId="4147C219" w14:textId="77777777" w:rsidR="00D64E2C" w:rsidRDefault="00D64E2C" w:rsidP="00D64E2C">
            <w:pPr>
              <w:pStyle w:val="ARtabletextright"/>
            </w:pPr>
            <w:r w:rsidRPr="00C5726C">
              <w:rPr>
                <w:noProof/>
              </w:rPr>
              <w:t>24.1</w:t>
            </w:r>
          </w:p>
        </w:tc>
        <w:tc>
          <w:tcPr>
            <w:tcW w:w="1021" w:type="dxa"/>
            <w:shd w:val="clear" w:color="auto" w:fill="auto"/>
          </w:tcPr>
          <w:p w14:paraId="78EE0488" w14:textId="77777777" w:rsidR="00D64E2C" w:rsidRDefault="00D64E2C" w:rsidP="00D64E2C">
            <w:pPr>
              <w:pStyle w:val="ARtabletextright"/>
            </w:pPr>
            <w:r>
              <w:rPr>
                <w:noProof/>
              </w:rPr>
              <w:t>−</w:t>
            </w:r>
            <w:r w:rsidRPr="00C5726C">
              <w:rPr>
                <w:noProof/>
              </w:rPr>
              <w:t>4.4</w:t>
            </w:r>
          </w:p>
        </w:tc>
        <w:tc>
          <w:tcPr>
            <w:tcW w:w="794" w:type="dxa"/>
            <w:shd w:val="clear" w:color="auto" w:fill="auto"/>
            <w:hideMark/>
          </w:tcPr>
          <w:p w14:paraId="5E30D23C" w14:textId="43FFA23D" w:rsidR="00D64E2C" w:rsidRPr="00D02A2E" w:rsidRDefault="00CF2633" w:rsidP="00C575AB">
            <w:pPr>
              <w:pStyle w:val="ARtableperformancesymbol"/>
            </w:pPr>
            <w:r w:rsidRPr="00F96CDB">
              <w:rPr>
                <w:noProof/>
              </w:rPr>
              <w:drawing>
                <wp:inline distT="0" distB="0" distL="0" distR="0" wp14:anchorId="2B0A70E4" wp14:editId="4A99B75D">
                  <wp:extent cx="76320" cy="76320"/>
                  <wp:effectExtent l="0" t="0" r="0" b="0"/>
                  <wp:docPr id="112" name="Graphic 112" descr="Target not achieved – within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Target not achieved – within five per cent varianc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76320" cy="76320"/>
                          </a:xfrm>
                          <a:prstGeom prst="rect">
                            <a:avLst/>
                          </a:prstGeom>
                        </pic:spPr>
                      </pic:pic>
                    </a:graphicData>
                  </a:graphic>
                </wp:inline>
              </w:drawing>
            </w:r>
            <w:r>
              <w:t xml:space="preserve"> </w:t>
            </w:r>
          </w:p>
        </w:tc>
      </w:tr>
      <w:tr w:rsidR="00D64E2C" w:rsidRPr="00D02A2E" w14:paraId="7BBA024D" w14:textId="77777777" w:rsidTr="000F1C6B">
        <w:trPr>
          <w:cantSplit/>
        </w:trPr>
        <w:tc>
          <w:tcPr>
            <w:tcW w:w="9639" w:type="dxa"/>
            <w:gridSpan w:val="6"/>
            <w:tcBorders>
              <w:top w:val="single" w:sz="4" w:space="0" w:color="auto"/>
            </w:tcBorders>
            <w:shd w:val="clear" w:color="auto" w:fill="auto"/>
            <w:hideMark/>
          </w:tcPr>
          <w:p w14:paraId="60E99305" w14:textId="77777777" w:rsidR="00D64E2C" w:rsidRPr="00D02A2E" w:rsidRDefault="00D64E2C" w:rsidP="00D64E2C">
            <w:pPr>
              <w:pStyle w:val="ARtablegreybold"/>
              <w:rPr>
                <w:rFonts w:ascii="Wingdings" w:hAnsi="Wingdings"/>
              </w:rPr>
            </w:pPr>
            <w:r>
              <w:t>Quality</w:t>
            </w:r>
          </w:p>
        </w:tc>
      </w:tr>
      <w:tr w:rsidR="00D64E2C" w:rsidRPr="00D02A2E" w14:paraId="15BEEF80" w14:textId="77777777" w:rsidTr="000F1C6B">
        <w:trPr>
          <w:cantSplit/>
        </w:trPr>
        <w:tc>
          <w:tcPr>
            <w:tcW w:w="4761" w:type="dxa"/>
            <w:tcBorders>
              <w:bottom w:val="single" w:sz="4" w:space="0" w:color="BFBFBF" w:themeColor="background1" w:themeShade="BF"/>
            </w:tcBorders>
            <w:shd w:val="clear" w:color="auto" w:fill="auto"/>
            <w:hideMark/>
          </w:tcPr>
          <w:p w14:paraId="29F73BDC" w14:textId="77777777" w:rsidR="00D64E2C" w:rsidRPr="00D02A2E" w:rsidRDefault="00D64E2C" w:rsidP="00D64E2C">
            <w:pPr>
              <w:pStyle w:val="ARtabletext"/>
            </w:pPr>
            <w:r w:rsidRPr="00C5726C">
              <w:rPr>
                <w:noProof/>
              </w:rPr>
              <w:t>Calls to food safety hotlines that are answered</w:t>
            </w:r>
          </w:p>
        </w:tc>
        <w:tc>
          <w:tcPr>
            <w:tcW w:w="1021" w:type="dxa"/>
            <w:tcBorders>
              <w:bottom w:val="single" w:sz="4" w:space="0" w:color="BFBFBF" w:themeColor="background1" w:themeShade="BF"/>
            </w:tcBorders>
            <w:shd w:val="clear" w:color="auto" w:fill="auto"/>
            <w:hideMark/>
          </w:tcPr>
          <w:p w14:paraId="0CC03261" w14:textId="77777777" w:rsidR="00D64E2C" w:rsidRPr="00D02A2E" w:rsidRDefault="00D64E2C" w:rsidP="00D64E2C">
            <w:pPr>
              <w:pStyle w:val="ARtabletextcentre"/>
            </w:pPr>
            <w:r w:rsidRPr="00C5726C">
              <w:rPr>
                <w:noProof/>
              </w:rPr>
              <w:t>per cent</w:t>
            </w:r>
          </w:p>
        </w:tc>
        <w:tc>
          <w:tcPr>
            <w:tcW w:w="1021" w:type="dxa"/>
            <w:tcBorders>
              <w:bottom w:val="single" w:sz="4" w:space="0" w:color="BFBFBF" w:themeColor="background1" w:themeShade="BF"/>
            </w:tcBorders>
            <w:shd w:val="clear" w:color="auto" w:fill="auto"/>
            <w:hideMark/>
          </w:tcPr>
          <w:p w14:paraId="44596358" w14:textId="77777777" w:rsidR="00D64E2C" w:rsidRDefault="00D64E2C" w:rsidP="00D64E2C">
            <w:pPr>
              <w:pStyle w:val="ARtabletextright"/>
            </w:pPr>
            <w:r w:rsidRPr="00C5726C">
              <w:rPr>
                <w:noProof/>
              </w:rPr>
              <w:t>97</w:t>
            </w:r>
          </w:p>
        </w:tc>
        <w:tc>
          <w:tcPr>
            <w:tcW w:w="1021" w:type="dxa"/>
            <w:tcBorders>
              <w:bottom w:val="single" w:sz="4" w:space="0" w:color="BFBFBF" w:themeColor="background1" w:themeShade="BF"/>
            </w:tcBorders>
            <w:shd w:val="clear" w:color="auto" w:fill="auto"/>
            <w:hideMark/>
          </w:tcPr>
          <w:p w14:paraId="3444F1F9" w14:textId="77777777" w:rsidR="00D64E2C" w:rsidRDefault="00D64E2C" w:rsidP="00D64E2C">
            <w:pPr>
              <w:pStyle w:val="ARtabletextright"/>
            </w:pPr>
            <w:r w:rsidRPr="00C5726C">
              <w:rPr>
                <w:noProof/>
              </w:rPr>
              <w:t>99.</w:t>
            </w:r>
            <w:r>
              <w:rPr>
                <w:noProof/>
              </w:rPr>
              <w:t>8</w:t>
            </w:r>
          </w:p>
        </w:tc>
        <w:tc>
          <w:tcPr>
            <w:tcW w:w="1021" w:type="dxa"/>
            <w:tcBorders>
              <w:bottom w:val="single" w:sz="4" w:space="0" w:color="BFBFBF" w:themeColor="background1" w:themeShade="BF"/>
            </w:tcBorders>
            <w:shd w:val="clear" w:color="auto" w:fill="auto"/>
          </w:tcPr>
          <w:p w14:paraId="5403B07A" w14:textId="77777777" w:rsidR="00D64E2C" w:rsidRDefault="00D64E2C" w:rsidP="00D64E2C">
            <w:pPr>
              <w:pStyle w:val="ARtabletextright"/>
            </w:pPr>
            <w:r w:rsidRPr="00C5726C">
              <w:rPr>
                <w:noProof/>
              </w:rPr>
              <w:t>2.</w:t>
            </w:r>
            <w:r>
              <w:rPr>
                <w:noProof/>
              </w:rPr>
              <w:t>9</w:t>
            </w:r>
          </w:p>
        </w:tc>
        <w:tc>
          <w:tcPr>
            <w:tcW w:w="794" w:type="dxa"/>
            <w:tcBorders>
              <w:bottom w:val="single" w:sz="4" w:space="0" w:color="BFBFBF" w:themeColor="background1" w:themeShade="BF"/>
            </w:tcBorders>
            <w:shd w:val="clear" w:color="auto" w:fill="auto"/>
            <w:hideMark/>
          </w:tcPr>
          <w:p w14:paraId="2C961C0D" w14:textId="6B260BBA" w:rsidR="00D64E2C" w:rsidRPr="00D02A2E" w:rsidRDefault="00CF2633" w:rsidP="00C575AB">
            <w:pPr>
              <w:pStyle w:val="ARtableperformancesymbol"/>
            </w:pPr>
            <w:r>
              <w:rPr>
                <w:noProof/>
              </w:rPr>
              <w:drawing>
                <wp:inline distT="0" distB="0" distL="0" distR="0" wp14:anchorId="5922DBE3" wp14:editId="295A783F">
                  <wp:extent cx="85320" cy="85320"/>
                  <wp:effectExtent l="0" t="0" r="0" b="0"/>
                  <wp:docPr id="190" name="Graphic 190"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D64E2C" w:rsidRPr="00D02A2E" w14:paraId="6EE92564" w14:textId="77777777" w:rsidTr="000F1C6B">
        <w:trPr>
          <w:cantSplit/>
        </w:trPr>
        <w:tc>
          <w:tcPr>
            <w:tcW w:w="4761" w:type="dxa"/>
            <w:tcBorders>
              <w:top w:val="single" w:sz="4" w:space="0" w:color="BFBFBF" w:themeColor="background1" w:themeShade="BF"/>
            </w:tcBorders>
            <w:shd w:val="clear" w:color="auto" w:fill="auto"/>
            <w:hideMark/>
          </w:tcPr>
          <w:p w14:paraId="58F6ADA2" w14:textId="77777777" w:rsidR="00D64E2C" w:rsidRPr="00D02A2E" w:rsidRDefault="00D64E2C" w:rsidP="00D64E2C">
            <w:pPr>
              <w:pStyle w:val="ARtabletext"/>
            </w:pPr>
            <w:r w:rsidRPr="00C5726C">
              <w:rPr>
                <w:noProof/>
              </w:rPr>
              <w:t>Immunisation coverage – adolescent (Year 7) students fully immunised for DTPa (diphtheria, tetanus and pertussis)</w:t>
            </w:r>
          </w:p>
        </w:tc>
        <w:tc>
          <w:tcPr>
            <w:tcW w:w="1021" w:type="dxa"/>
            <w:tcBorders>
              <w:top w:val="single" w:sz="4" w:space="0" w:color="BFBFBF" w:themeColor="background1" w:themeShade="BF"/>
            </w:tcBorders>
            <w:shd w:val="clear" w:color="auto" w:fill="auto"/>
            <w:hideMark/>
          </w:tcPr>
          <w:p w14:paraId="0A6FF92B" w14:textId="77777777" w:rsidR="00D64E2C" w:rsidRPr="00D02A2E" w:rsidRDefault="00D64E2C" w:rsidP="00D64E2C">
            <w:pPr>
              <w:pStyle w:val="ARtabletextcentre"/>
            </w:pPr>
            <w:r w:rsidRPr="00C5726C">
              <w:rPr>
                <w:noProof/>
              </w:rPr>
              <w:t>per cent</w:t>
            </w:r>
          </w:p>
        </w:tc>
        <w:tc>
          <w:tcPr>
            <w:tcW w:w="1021" w:type="dxa"/>
            <w:tcBorders>
              <w:top w:val="single" w:sz="4" w:space="0" w:color="BFBFBF" w:themeColor="background1" w:themeShade="BF"/>
            </w:tcBorders>
            <w:shd w:val="clear" w:color="auto" w:fill="auto"/>
            <w:hideMark/>
          </w:tcPr>
          <w:p w14:paraId="04B6ADE2" w14:textId="77777777" w:rsidR="00D64E2C" w:rsidRDefault="00D64E2C" w:rsidP="00D64E2C">
            <w:pPr>
              <w:pStyle w:val="ARtabletextright"/>
            </w:pPr>
            <w:r w:rsidRPr="00C5726C">
              <w:rPr>
                <w:noProof/>
              </w:rPr>
              <w:t>90</w:t>
            </w:r>
          </w:p>
        </w:tc>
        <w:tc>
          <w:tcPr>
            <w:tcW w:w="1021" w:type="dxa"/>
            <w:tcBorders>
              <w:top w:val="single" w:sz="4" w:space="0" w:color="BFBFBF" w:themeColor="background1" w:themeShade="BF"/>
            </w:tcBorders>
            <w:shd w:val="clear" w:color="auto" w:fill="auto"/>
            <w:hideMark/>
          </w:tcPr>
          <w:p w14:paraId="6F39609C" w14:textId="77777777" w:rsidR="00D64E2C" w:rsidRDefault="00D64E2C" w:rsidP="00D64E2C">
            <w:pPr>
              <w:pStyle w:val="ARtabletextright"/>
            </w:pPr>
            <w:r w:rsidRPr="00C5726C">
              <w:rPr>
                <w:noProof/>
              </w:rPr>
              <w:t>0</w:t>
            </w:r>
          </w:p>
        </w:tc>
        <w:tc>
          <w:tcPr>
            <w:tcW w:w="1021" w:type="dxa"/>
            <w:tcBorders>
              <w:top w:val="single" w:sz="4" w:space="0" w:color="BFBFBF" w:themeColor="background1" w:themeShade="BF"/>
            </w:tcBorders>
            <w:shd w:val="clear" w:color="auto" w:fill="auto"/>
          </w:tcPr>
          <w:p w14:paraId="073C32A4" w14:textId="77777777" w:rsidR="00D64E2C" w:rsidRDefault="00D64E2C" w:rsidP="00D64E2C">
            <w:pPr>
              <w:pStyle w:val="ARtabletextright"/>
            </w:pPr>
            <w:r>
              <w:rPr>
                <w:noProof/>
              </w:rPr>
              <w:t>−</w:t>
            </w:r>
            <w:r w:rsidRPr="00C5726C">
              <w:rPr>
                <w:noProof/>
              </w:rPr>
              <w:t>100</w:t>
            </w:r>
          </w:p>
        </w:tc>
        <w:tc>
          <w:tcPr>
            <w:tcW w:w="794" w:type="dxa"/>
            <w:tcBorders>
              <w:top w:val="single" w:sz="4" w:space="0" w:color="BFBFBF" w:themeColor="background1" w:themeShade="BF"/>
            </w:tcBorders>
            <w:shd w:val="clear" w:color="auto" w:fill="auto"/>
            <w:hideMark/>
          </w:tcPr>
          <w:p w14:paraId="2B6F7BB2" w14:textId="7F9C1918" w:rsidR="00D64E2C" w:rsidRPr="00D02A2E" w:rsidRDefault="00D64E2C" w:rsidP="00D64E2C">
            <w:pPr>
              <w:pStyle w:val="ARtabletextright"/>
            </w:pPr>
            <w:r>
              <w:rPr>
                <w:noProof/>
              </w:rPr>
              <w:t>N/A</w:t>
            </w:r>
          </w:p>
        </w:tc>
      </w:tr>
      <w:tr w:rsidR="00D64E2C" w:rsidRPr="00D02A2E" w14:paraId="6A8BDDBD" w14:textId="77777777" w:rsidTr="000F1C6B">
        <w:trPr>
          <w:cantSplit/>
        </w:trPr>
        <w:tc>
          <w:tcPr>
            <w:tcW w:w="9639" w:type="dxa"/>
            <w:gridSpan w:val="6"/>
            <w:tcBorders>
              <w:bottom w:val="single" w:sz="4" w:space="0" w:color="BFBFBF"/>
            </w:tcBorders>
            <w:shd w:val="clear" w:color="auto" w:fill="auto"/>
            <w:noWrap/>
            <w:hideMark/>
          </w:tcPr>
          <w:p w14:paraId="014C6358" w14:textId="16559628" w:rsidR="00D64E2C" w:rsidRPr="00D02A2E" w:rsidRDefault="00D64E2C" w:rsidP="00D64E2C">
            <w:pPr>
              <w:pStyle w:val="ARtablenoteindent"/>
            </w:pPr>
            <w:r>
              <w:rPr>
                <w:noProof/>
              </w:rPr>
              <w:t>This target can no longer be measured</w:t>
            </w:r>
            <w:r w:rsidRPr="00C5726C">
              <w:rPr>
                <w:noProof/>
              </w:rPr>
              <w:t>. Previously</w:t>
            </w:r>
            <w:r>
              <w:rPr>
                <w:noProof/>
              </w:rPr>
              <w:t>,</w:t>
            </w:r>
            <w:r w:rsidRPr="00C5726C">
              <w:rPr>
                <w:noProof/>
              </w:rPr>
              <w:t xml:space="preserve"> this target was measured by asking local council immunisation services to report numbers of returned consent cards. However, this has not occurred in the past two years</w:t>
            </w:r>
            <w:r>
              <w:rPr>
                <w:noProof/>
              </w:rPr>
              <w:t xml:space="preserve"> </w:t>
            </w:r>
            <w:r w:rsidRPr="00D746C7">
              <w:rPr>
                <w:noProof/>
              </w:rPr>
              <w:t>due to COVID-19 restrictions.</w:t>
            </w:r>
            <w:r w:rsidRPr="00C5726C">
              <w:rPr>
                <w:noProof/>
              </w:rPr>
              <w:t xml:space="preserve"> It</w:t>
            </w:r>
            <w:r w:rsidR="007D145B">
              <w:rPr>
                <w:noProof/>
              </w:rPr>
              <w:t>’</w:t>
            </w:r>
            <w:r w:rsidRPr="00C5726C">
              <w:rPr>
                <w:noProof/>
              </w:rPr>
              <w:t>s also acknowledge</w:t>
            </w:r>
            <w:r>
              <w:rPr>
                <w:noProof/>
              </w:rPr>
              <w:t>d</w:t>
            </w:r>
            <w:r w:rsidRPr="00C5726C">
              <w:rPr>
                <w:noProof/>
              </w:rPr>
              <w:t xml:space="preserve"> that school immunisation is only a subset of all adolescent vaccination. A formal request has been made to </w:t>
            </w:r>
            <w:r>
              <w:rPr>
                <w:noProof/>
              </w:rPr>
              <w:t>review</w:t>
            </w:r>
            <w:r w:rsidRPr="00C5726C">
              <w:rPr>
                <w:noProof/>
              </w:rPr>
              <w:t xml:space="preserve"> </w:t>
            </w:r>
            <w:r w:rsidRPr="0082131C">
              <w:rPr>
                <w:noProof/>
              </w:rPr>
              <w:t>BP3</w:t>
            </w:r>
            <w:r>
              <w:rPr>
                <w:noProof/>
              </w:rPr>
              <w:t xml:space="preserve"> </w:t>
            </w:r>
            <w:r w:rsidRPr="00C5726C">
              <w:rPr>
                <w:noProof/>
              </w:rPr>
              <w:t>measures involved with adolescent vaccinations.</w:t>
            </w:r>
          </w:p>
        </w:tc>
      </w:tr>
      <w:tr w:rsidR="00D64E2C" w:rsidRPr="00D02A2E" w14:paraId="66A1FC0F" w14:textId="77777777" w:rsidTr="000F1C6B">
        <w:trPr>
          <w:cantSplit/>
        </w:trPr>
        <w:tc>
          <w:tcPr>
            <w:tcW w:w="4761" w:type="dxa"/>
            <w:shd w:val="clear" w:color="auto" w:fill="auto"/>
            <w:hideMark/>
          </w:tcPr>
          <w:p w14:paraId="12C69366" w14:textId="77777777" w:rsidR="00D64E2C" w:rsidRPr="00D02A2E" w:rsidRDefault="00D64E2C" w:rsidP="00D64E2C">
            <w:pPr>
              <w:pStyle w:val="ARtabletext"/>
            </w:pPr>
            <w:r w:rsidRPr="00C5726C">
              <w:rPr>
                <w:noProof/>
              </w:rPr>
              <w:t>Immunisation coverage – At school entry</w:t>
            </w:r>
          </w:p>
        </w:tc>
        <w:tc>
          <w:tcPr>
            <w:tcW w:w="1021" w:type="dxa"/>
            <w:shd w:val="clear" w:color="auto" w:fill="auto"/>
            <w:hideMark/>
          </w:tcPr>
          <w:p w14:paraId="67117908" w14:textId="77777777" w:rsidR="00D64E2C" w:rsidRPr="00D02A2E" w:rsidRDefault="00D64E2C" w:rsidP="00D64E2C">
            <w:pPr>
              <w:pStyle w:val="ARtabletextcentre"/>
            </w:pPr>
            <w:r w:rsidRPr="00C5726C">
              <w:rPr>
                <w:noProof/>
              </w:rPr>
              <w:t>per cent</w:t>
            </w:r>
          </w:p>
        </w:tc>
        <w:tc>
          <w:tcPr>
            <w:tcW w:w="1021" w:type="dxa"/>
            <w:shd w:val="clear" w:color="auto" w:fill="auto"/>
            <w:hideMark/>
          </w:tcPr>
          <w:p w14:paraId="245D24F7" w14:textId="77777777" w:rsidR="00D64E2C" w:rsidRDefault="00D64E2C" w:rsidP="00D64E2C">
            <w:pPr>
              <w:pStyle w:val="ARtabletextright"/>
            </w:pPr>
            <w:r w:rsidRPr="00C5726C">
              <w:rPr>
                <w:noProof/>
              </w:rPr>
              <w:t>95</w:t>
            </w:r>
          </w:p>
        </w:tc>
        <w:tc>
          <w:tcPr>
            <w:tcW w:w="1021" w:type="dxa"/>
            <w:shd w:val="clear" w:color="auto" w:fill="auto"/>
            <w:hideMark/>
          </w:tcPr>
          <w:p w14:paraId="245FD147" w14:textId="77777777" w:rsidR="00D64E2C" w:rsidRDefault="00D64E2C" w:rsidP="00D64E2C">
            <w:pPr>
              <w:pStyle w:val="ARtabletextright"/>
            </w:pPr>
            <w:r w:rsidRPr="00C5726C">
              <w:rPr>
                <w:noProof/>
              </w:rPr>
              <w:t>95.</w:t>
            </w:r>
            <w:r>
              <w:rPr>
                <w:noProof/>
              </w:rPr>
              <w:t>8</w:t>
            </w:r>
          </w:p>
        </w:tc>
        <w:tc>
          <w:tcPr>
            <w:tcW w:w="1021" w:type="dxa"/>
            <w:shd w:val="clear" w:color="auto" w:fill="auto"/>
          </w:tcPr>
          <w:p w14:paraId="0AEC5774" w14:textId="77777777" w:rsidR="00D64E2C" w:rsidRDefault="00D64E2C" w:rsidP="00D64E2C">
            <w:pPr>
              <w:pStyle w:val="ARtabletextright"/>
            </w:pPr>
            <w:r w:rsidRPr="00C5726C">
              <w:rPr>
                <w:noProof/>
              </w:rPr>
              <w:t>0.</w:t>
            </w:r>
            <w:r>
              <w:rPr>
                <w:noProof/>
              </w:rPr>
              <w:t>8</w:t>
            </w:r>
          </w:p>
        </w:tc>
        <w:tc>
          <w:tcPr>
            <w:tcW w:w="794" w:type="dxa"/>
            <w:shd w:val="clear" w:color="auto" w:fill="auto"/>
            <w:hideMark/>
          </w:tcPr>
          <w:p w14:paraId="27E3BBA2" w14:textId="747A2FA1" w:rsidR="00D64E2C" w:rsidRPr="00D02A2E" w:rsidRDefault="00CF2633" w:rsidP="00C575AB">
            <w:pPr>
              <w:pStyle w:val="ARtableperformancesymbol"/>
            </w:pPr>
            <w:r>
              <w:rPr>
                <w:noProof/>
              </w:rPr>
              <w:drawing>
                <wp:inline distT="0" distB="0" distL="0" distR="0" wp14:anchorId="51D58B49" wp14:editId="084D3F79">
                  <wp:extent cx="85320" cy="85320"/>
                  <wp:effectExtent l="0" t="0" r="0" b="0"/>
                  <wp:docPr id="191" name="Graphic 191"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D64E2C" w:rsidRPr="00D02A2E" w14:paraId="5EA72C7E" w14:textId="77777777" w:rsidTr="000F1C6B">
        <w:trPr>
          <w:cantSplit/>
        </w:trPr>
        <w:tc>
          <w:tcPr>
            <w:tcW w:w="9639" w:type="dxa"/>
            <w:gridSpan w:val="6"/>
            <w:tcBorders>
              <w:bottom w:val="single" w:sz="4" w:space="0" w:color="BFBFBF"/>
            </w:tcBorders>
            <w:shd w:val="clear" w:color="auto" w:fill="auto"/>
            <w:noWrap/>
            <w:hideMark/>
          </w:tcPr>
          <w:p w14:paraId="6F4FACDA" w14:textId="77777777" w:rsidR="00D64E2C" w:rsidRPr="00D02A2E" w:rsidRDefault="00D64E2C" w:rsidP="00D64E2C">
            <w:pPr>
              <w:pStyle w:val="ARtablenoteindent"/>
            </w:pPr>
            <w:r w:rsidRPr="00882B4E">
              <w:rPr>
                <w:noProof/>
              </w:rPr>
              <w:t>Results taken from</w:t>
            </w:r>
            <w:r>
              <w:rPr>
                <w:noProof/>
              </w:rPr>
              <w:t xml:space="preserve"> </w:t>
            </w:r>
            <w:r w:rsidRPr="00C5726C">
              <w:rPr>
                <w:noProof/>
              </w:rPr>
              <w:t>Australian Immunisation Register Coverage Report (</w:t>
            </w:r>
            <w:r>
              <w:rPr>
                <w:noProof/>
              </w:rPr>
              <w:t>a</w:t>
            </w:r>
            <w:r w:rsidRPr="00C5726C">
              <w:rPr>
                <w:noProof/>
              </w:rPr>
              <w:t>ge calculated as at 31 March 2021)</w:t>
            </w:r>
            <w:r>
              <w:rPr>
                <w:noProof/>
              </w:rPr>
              <w:t>; d</w:t>
            </w:r>
            <w:r w:rsidRPr="00C5726C">
              <w:rPr>
                <w:noProof/>
              </w:rPr>
              <w:t>ate of processing 30 June 2021.</w:t>
            </w:r>
          </w:p>
        </w:tc>
      </w:tr>
      <w:tr w:rsidR="00D64E2C" w:rsidRPr="00D02A2E" w14:paraId="270D91B3" w14:textId="77777777" w:rsidTr="000F1C6B">
        <w:trPr>
          <w:cantSplit/>
        </w:trPr>
        <w:tc>
          <w:tcPr>
            <w:tcW w:w="4761" w:type="dxa"/>
            <w:tcBorders>
              <w:bottom w:val="single" w:sz="4" w:space="0" w:color="BFBFBF" w:themeColor="background1" w:themeShade="BF"/>
            </w:tcBorders>
            <w:shd w:val="clear" w:color="auto" w:fill="auto"/>
            <w:hideMark/>
          </w:tcPr>
          <w:p w14:paraId="4E62BD02" w14:textId="77777777" w:rsidR="00D64E2C" w:rsidRPr="00D02A2E" w:rsidRDefault="00D64E2C" w:rsidP="00D64E2C">
            <w:pPr>
              <w:pStyle w:val="ARtabletext"/>
            </w:pPr>
            <w:r w:rsidRPr="00C5726C">
              <w:rPr>
                <w:noProof/>
              </w:rPr>
              <w:t>Immunisation coverage – At two years of age</w:t>
            </w:r>
          </w:p>
        </w:tc>
        <w:tc>
          <w:tcPr>
            <w:tcW w:w="1021" w:type="dxa"/>
            <w:tcBorders>
              <w:bottom w:val="single" w:sz="4" w:space="0" w:color="BFBFBF" w:themeColor="background1" w:themeShade="BF"/>
            </w:tcBorders>
            <w:shd w:val="clear" w:color="auto" w:fill="auto"/>
            <w:hideMark/>
          </w:tcPr>
          <w:p w14:paraId="3CF9CA65" w14:textId="77777777" w:rsidR="00D64E2C" w:rsidRPr="00D02A2E" w:rsidRDefault="00D64E2C" w:rsidP="00D64E2C">
            <w:pPr>
              <w:pStyle w:val="ARtabletextcentre"/>
            </w:pPr>
            <w:r w:rsidRPr="00C5726C">
              <w:rPr>
                <w:noProof/>
              </w:rPr>
              <w:t>per cent</w:t>
            </w:r>
          </w:p>
        </w:tc>
        <w:tc>
          <w:tcPr>
            <w:tcW w:w="1021" w:type="dxa"/>
            <w:tcBorders>
              <w:bottom w:val="single" w:sz="4" w:space="0" w:color="BFBFBF" w:themeColor="background1" w:themeShade="BF"/>
            </w:tcBorders>
            <w:shd w:val="clear" w:color="auto" w:fill="auto"/>
            <w:hideMark/>
          </w:tcPr>
          <w:p w14:paraId="55D66845" w14:textId="77777777" w:rsidR="00D64E2C" w:rsidRDefault="00D64E2C" w:rsidP="00D64E2C">
            <w:pPr>
              <w:pStyle w:val="ARtabletextright"/>
            </w:pPr>
            <w:r w:rsidRPr="00C5726C">
              <w:rPr>
                <w:noProof/>
              </w:rPr>
              <w:t>95</w:t>
            </w:r>
          </w:p>
        </w:tc>
        <w:tc>
          <w:tcPr>
            <w:tcW w:w="1021" w:type="dxa"/>
            <w:tcBorders>
              <w:bottom w:val="single" w:sz="4" w:space="0" w:color="BFBFBF" w:themeColor="background1" w:themeShade="BF"/>
            </w:tcBorders>
            <w:shd w:val="clear" w:color="auto" w:fill="auto"/>
            <w:hideMark/>
          </w:tcPr>
          <w:p w14:paraId="1D6B0845" w14:textId="77777777" w:rsidR="00D64E2C" w:rsidRDefault="00D64E2C" w:rsidP="00D64E2C">
            <w:pPr>
              <w:pStyle w:val="ARtabletextright"/>
            </w:pPr>
            <w:r w:rsidRPr="00C5726C">
              <w:rPr>
                <w:noProof/>
              </w:rPr>
              <w:t>93</w:t>
            </w:r>
            <w:r>
              <w:rPr>
                <w:noProof/>
              </w:rPr>
              <w:t>.2</w:t>
            </w:r>
          </w:p>
        </w:tc>
        <w:tc>
          <w:tcPr>
            <w:tcW w:w="1021" w:type="dxa"/>
            <w:tcBorders>
              <w:bottom w:val="single" w:sz="4" w:space="0" w:color="BFBFBF" w:themeColor="background1" w:themeShade="BF"/>
            </w:tcBorders>
            <w:shd w:val="clear" w:color="auto" w:fill="auto"/>
          </w:tcPr>
          <w:p w14:paraId="2E28F371" w14:textId="77777777" w:rsidR="00D64E2C" w:rsidRDefault="00D64E2C" w:rsidP="00D64E2C">
            <w:pPr>
              <w:pStyle w:val="ARtabletextright"/>
            </w:pPr>
            <w:r>
              <w:rPr>
                <w:noProof/>
              </w:rPr>
              <w:t>−</w:t>
            </w:r>
            <w:r w:rsidRPr="00C5726C">
              <w:rPr>
                <w:noProof/>
              </w:rPr>
              <w:t>1.</w:t>
            </w:r>
            <w:r>
              <w:rPr>
                <w:noProof/>
              </w:rPr>
              <w:t>9</w:t>
            </w:r>
          </w:p>
        </w:tc>
        <w:tc>
          <w:tcPr>
            <w:tcW w:w="794" w:type="dxa"/>
            <w:tcBorders>
              <w:bottom w:val="single" w:sz="4" w:space="0" w:color="BFBFBF" w:themeColor="background1" w:themeShade="BF"/>
            </w:tcBorders>
            <w:shd w:val="clear" w:color="auto" w:fill="auto"/>
            <w:hideMark/>
          </w:tcPr>
          <w:p w14:paraId="74100E9D" w14:textId="748B754B" w:rsidR="00D64E2C" w:rsidRPr="00D02A2E" w:rsidRDefault="00C575AB" w:rsidP="00C575AB">
            <w:pPr>
              <w:pStyle w:val="ARtableperformancesymbol"/>
            </w:pPr>
            <w:r w:rsidRPr="00F96CDB">
              <w:rPr>
                <w:noProof/>
              </w:rPr>
              <w:drawing>
                <wp:inline distT="0" distB="0" distL="0" distR="0" wp14:anchorId="4389DC00" wp14:editId="1AC9D354">
                  <wp:extent cx="76320" cy="76320"/>
                  <wp:effectExtent l="0" t="0" r="0" b="0"/>
                  <wp:docPr id="207" name="Graphic 207" descr="Target not achieved – within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3" descr="Target not achieved – within five per cent variance"/>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76320" cy="76320"/>
                          </a:xfrm>
                          <a:prstGeom prst="rect">
                            <a:avLst/>
                          </a:prstGeom>
                        </pic:spPr>
                      </pic:pic>
                    </a:graphicData>
                  </a:graphic>
                </wp:inline>
              </w:drawing>
            </w:r>
            <w:r>
              <w:t xml:space="preserve"> </w:t>
            </w:r>
          </w:p>
        </w:tc>
      </w:tr>
      <w:tr w:rsidR="00D64E2C" w:rsidRPr="00D02A2E" w14:paraId="78BAABDE" w14:textId="77777777" w:rsidTr="000F1C6B">
        <w:trPr>
          <w:cantSplit/>
        </w:trPr>
        <w:tc>
          <w:tcPr>
            <w:tcW w:w="4761" w:type="dxa"/>
            <w:tcBorders>
              <w:top w:val="single" w:sz="4" w:space="0" w:color="BFBFBF" w:themeColor="background1" w:themeShade="BF"/>
            </w:tcBorders>
            <w:shd w:val="clear" w:color="auto" w:fill="auto"/>
            <w:hideMark/>
          </w:tcPr>
          <w:p w14:paraId="4E9B52D3" w14:textId="77777777" w:rsidR="00D64E2C" w:rsidRPr="00D02A2E" w:rsidRDefault="00D64E2C" w:rsidP="00D64E2C">
            <w:pPr>
              <w:pStyle w:val="ARtabletext"/>
            </w:pPr>
            <w:r w:rsidRPr="00C5726C">
              <w:rPr>
                <w:noProof/>
              </w:rPr>
              <w:t>Public health emergency response calls dealt with within designated plans and procedure timelines</w:t>
            </w:r>
          </w:p>
        </w:tc>
        <w:tc>
          <w:tcPr>
            <w:tcW w:w="1021" w:type="dxa"/>
            <w:tcBorders>
              <w:top w:val="single" w:sz="4" w:space="0" w:color="BFBFBF" w:themeColor="background1" w:themeShade="BF"/>
            </w:tcBorders>
            <w:shd w:val="clear" w:color="auto" w:fill="auto"/>
            <w:hideMark/>
          </w:tcPr>
          <w:p w14:paraId="37C5377A" w14:textId="77777777" w:rsidR="00D64E2C" w:rsidRPr="00D02A2E" w:rsidRDefault="00D64E2C" w:rsidP="00D64E2C">
            <w:pPr>
              <w:pStyle w:val="ARtabletextcentre"/>
            </w:pPr>
            <w:r w:rsidRPr="00C5726C">
              <w:rPr>
                <w:noProof/>
              </w:rPr>
              <w:t>per cent</w:t>
            </w:r>
          </w:p>
        </w:tc>
        <w:tc>
          <w:tcPr>
            <w:tcW w:w="1021" w:type="dxa"/>
            <w:tcBorders>
              <w:top w:val="single" w:sz="4" w:space="0" w:color="BFBFBF" w:themeColor="background1" w:themeShade="BF"/>
            </w:tcBorders>
            <w:shd w:val="clear" w:color="auto" w:fill="auto"/>
            <w:hideMark/>
          </w:tcPr>
          <w:p w14:paraId="23EE2075" w14:textId="77777777" w:rsidR="00D64E2C" w:rsidRDefault="00D64E2C" w:rsidP="00D64E2C">
            <w:pPr>
              <w:pStyle w:val="ARtabletextright"/>
            </w:pPr>
            <w:r w:rsidRPr="00C5726C">
              <w:rPr>
                <w:noProof/>
              </w:rPr>
              <w:t>100</w:t>
            </w:r>
          </w:p>
        </w:tc>
        <w:tc>
          <w:tcPr>
            <w:tcW w:w="1021" w:type="dxa"/>
            <w:tcBorders>
              <w:top w:val="single" w:sz="4" w:space="0" w:color="BFBFBF" w:themeColor="background1" w:themeShade="BF"/>
            </w:tcBorders>
            <w:shd w:val="clear" w:color="auto" w:fill="auto"/>
            <w:hideMark/>
          </w:tcPr>
          <w:p w14:paraId="015FF9E1" w14:textId="77777777" w:rsidR="00D64E2C" w:rsidRDefault="00D64E2C" w:rsidP="00D64E2C">
            <w:pPr>
              <w:pStyle w:val="ARtabletextright"/>
            </w:pPr>
            <w:r w:rsidRPr="00C5726C">
              <w:rPr>
                <w:noProof/>
              </w:rPr>
              <w:t>100</w:t>
            </w:r>
          </w:p>
        </w:tc>
        <w:tc>
          <w:tcPr>
            <w:tcW w:w="1021" w:type="dxa"/>
            <w:tcBorders>
              <w:top w:val="single" w:sz="4" w:space="0" w:color="BFBFBF" w:themeColor="background1" w:themeShade="BF"/>
            </w:tcBorders>
            <w:shd w:val="clear" w:color="auto" w:fill="auto"/>
          </w:tcPr>
          <w:p w14:paraId="5A01EA41" w14:textId="77777777" w:rsidR="00D64E2C" w:rsidRDefault="00D64E2C" w:rsidP="00D64E2C">
            <w:pPr>
              <w:pStyle w:val="ARtabletextright"/>
            </w:pPr>
            <w:r w:rsidRPr="00C5726C">
              <w:rPr>
                <w:noProof/>
              </w:rPr>
              <w:t>0</w:t>
            </w:r>
          </w:p>
        </w:tc>
        <w:tc>
          <w:tcPr>
            <w:tcW w:w="794" w:type="dxa"/>
            <w:tcBorders>
              <w:top w:val="single" w:sz="4" w:space="0" w:color="BFBFBF" w:themeColor="background1" w:themeShade="BF"/>
            </w:tcBorders>
            <w:shd w:val="clear" w:color="auto" w:fill="auto"/>
            <w:hideMark/>
          </w:tcPr>
          <w:p w14:paraId="16849E54" w14:textId="4856DEF8" w:rsidR="00D64E2C" w:rsidRPr="00D02A2E" w:rsidRDefault="00C575AB" w:rsidP="00C575AB">
            <w:pPr>
              <w:pStyle w:val="ARtableperformancesymbol"/>
            </w:pPr>
            <w:r>
              <w:rPr>
                <w:noProof/>
              </w:rPr>
              <w:drawing>
                <wp:inline distT="0" distB="0" distL="0" distR="0" wp14:anchorId="5E22B4D6" wp14:editId="74805486">
                  <wp:extent cx="85320" cy="85320"/>
                  <wp:effectExtent l="0" t="0" r="0" b="0"/>
                  <wp:docPr id="208" name="Graphic 208"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D64E2C" w:rsidRPr="00D02A2E" w14:paraId="07B88165" w14:textId="77777777" w:rsidTr="000F1C6B">
        <w:trPr>
          <w:cantSplit/>
        </w:trPr>
        <w:tc>
          <w:tcPr>
            <w:tcW w:w="9639" w:type="dxa"/>
            <w:gridSpan w:val="6"/>
            <w:tcBorders>
              <w:top w:val="single" w:sz="4" w:space="0" w:color="auto"/>
            </w:tcBorders>
            <w:shd w:val="clear" w:color="auto" w:fill="auto"/>
            <w:hideMark/>
          </w:tcPr>
          <w:p w14:paraId="2C605C0F" w14:textId="77777777" w:rsidR="00D64E2C" w:rsidRPr="00D02A2E" w:rsidRDefault="00D64E2C" w:rsidP="00D64E2C">
            <w:pPr>
              <w:pStyle w:val="ARtablegreybold"/>
              <w:rPr>
                <w:rFonts w:ascii="Wingdings" w:hAnsi="Wingdings"/>
              </w:rPr>
            </w:pPr>
            <w:r>
              <w:t>Timeliness</w:t>
            </w:r>
          </w:p>
        </w:tc>
      </w:tr>
      <w:tr w:rsidR="00D64E2C" w:rsidRPr="00D02A2E" w14:paraId="2D05D27A" w14:textId="77777777" w:rsidTr="000F1C6B">
        <w:trPr>
          <w:cantSplit/>
        </w:trPr>
        <w:tc>
          <w:tcPr>
            <w:tcW w:w="4761" w:type="dxa"/>
            <w:shd w:val="clear" w:color="auto" w:fill="auto"/>
            <w:hideMark/>
          </w:tcPr>
          <w:p w14:paraId="4C48C047" w14:textId="77777777" w:rsidR="00D64E2C" w:rsidRPr="00D02A2E" w:rsidRDefault="00D64E2C" w:rsidP="00D64E2C">
            <w:pPr>
              <w:pStyle w:val="ARtabletext"/>
            </w:pPr>
            <w:r w:rsidRPr="00C5726C">
              <w:rPr>
                <w:noProof/>
              </w:rPr>
              <w:t>Percentage of food recalls acted upon within 24 hours of notification</w:t>
            </w:r>
          </w:p>
        </w:tc>
        <w:tc>
          <w:tcPr>
            <w:tcW w:w="1021" w:type="dxa"/>
            <w:shd w:val="clear" w:color="auto" w:fill="auto"/>
            <w:hideMark/>
          </w:tcPr>
          <w:p w14:paraId="1E0553AA" w14:textId="77777777" w:rsidR="00D64E2C" w:rsidRPr="00D02A2E" w:rsidRDefault="00D64E2C" w:rsidP="00D64E2C">
            <w:pPr>
              <w:pStyle w:val="ARtabletextcentre"/>
            </w:pPr>
            <w:r w:rsidRPr="00C5726C">
              <w:rPr>
                <w:noProof/>
              </w:rPr>
              <w:t>per cent</w:t>
            </w:r>
          </w:p>
        </w:tc>
        <w:tc>
          <w:tcPr>
            <w:tcW w:w="1021" w:type="dxa"/>
            <w:shd w:val="clear" w:color="auto" w:fill="auto"/>
            <w:hideMark/>
          </w:tcPr>
          <w:p w14:paraId="4D675B80" w14:textId="77777777" w:rsidR="00D64E2C" w:rsidRDefault="00D64E2C" w:rsidP="00D64E2C">
            <w:pPr>
              <w:pStyle w:val="ARtabletextright"/>
            </w:pPr>
            <w:r w:rsidRPr="00C5726C">
              <w:rPr>
                <w:noProof/>
              </w:rPr>
              <w:t>97</w:t>
            </w:r>
          </w:p>
        </w:tc>
        <w:tc>
          <w:tcPr>
            <w:tcW w:w="1021" w:type="dxa"/>
            <w:shd w:val="clear" w:color="auto" w:fill="auto"/>
            <w:hideMark/>
          </w:tcPr>
          <w:p w14:paraId="112E26ED" w14:textId="77777777" w:rsidR="00D64E2C" w:rsidRDefault="00D64E2C" w:rsidP="00D64E2C">
            <w:pPr>
              <w:pStyle w:val="ARtabletextright"/>
            </w:pPr>
            <w:r w:rsidRPr="00C5726C">
              <w:rPr>
                <w:noProof/>
              </w:rPr>
              <w:t>91.</w:t>
            </w:r>
            <w:r>
              <w:rPr>
                <w:noProof/>
              </w:rPr>
              <w:t>3</w:t>
            </w:r>
          </w:p>
        </w:tc>
        <w:tc>
          <w:tcPr>
            <w:tcW w:w="1021" w:type="dxa"/>
            <w:shd w:val="clear" w:color="auto" w:fill="auto"/>
          </w:tcPr>
          <w:p w14:paraId="32981B61" w14:textId="77777777" w:rsidR="00D64E2C" w:rsidRDefault="00D64E2C" w:rsidP="00D64E2C">
            <w:pPr>
              <w:pStyle w:val="ARtabletextright"/>
            </w:pPr>
            <w:r>
              <w:rPr>
                <w:noProof/>
              </w:rPr>
              <w:t>−</w:t>
            </w:r>
            <w:r w:rsidRPr="00C5726C">
              <w:rPr>
                <w:noProof/>
              </w:rPr>
              <w:t>5.9</w:t>
            </w:r>
          </w:p>
        </w:tc>
        <w:tc>
          <w:tcPr>
            <w:tcW w:w="794" w:type="dxa"/>
            <w:shd w:val="clear" w:color="auto" w:fill="auto"/>
            <w:hideMark/>
          </w:tcPr>
          <w:p w14:paraId="105F2472" w14:textId="0CDF3858" w:rsidR="00D64E2C" w:rsidRPr="00D02A2E" w:rsidRDefault="00D64E2C" w:rsidP="00C575AB">
            <w:pPr>
              <w:pStyle w:val="ARtableperformancesymbol"/>
            </w:pPr>
            <w:r>
              <w:rPr>
                <w:noProof/>
              </w:rPr>
              <w:drawing>
                <wp:inline distT="0" distB="0" distL="0" distR="0" wp14:anchorId="6A814E66" wp14:editId="7DA9955D">
                  <wp:extent cx="76320" cy="76320"/>
                  <wp:effectExtent l="0" t="0" r="0" b="0"/>
                  <wp:docPr id="96" name="Graphic 96"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D64E2C" w:rsidRPr="00D02A2E" w14:paraId="6563D116" w14:textId="77777777" w:rsidTr="000F1C6B">
        <w:trPr>
          <w:cantSplit/>
        </w:trPr>
        <w:tc>
          <w:tcPr>
            <w:tcW w:w="9639" w:type="dxa"/>
            <w:gridSpan w:val="6"/>
            <w:tcBorders>
              <w:bottom w:val="single" w:sz="4" w:space="0" w:color="BFBFBF"/>
            </w:tcBorders>
            <w:shd w:val="clear" w:color="auto" w:fill="auto"/>
            <w:noWrap/>
            <w:hideMark/>
          </w:tcPr>
          <w:p w14:paraId="53685A7A" w14:textId="49C69329" w:rsidR="00D64E2C" w:rsidRPr="00D02A2E" w:rsidRDefault="00D64E2C" w:rsidP="00D64E2C">
            <w:pPr>
              <w:pStyle w:val="ARtablenoteindent"/>
            </w:pPr>
            <w:r w:rsidRPr="00203A30">
              <w:t>The requirement to act upon recall notifications within 24</w:t>
            </w:r>
            <w:r>
              <w:t xml:space="preserve"> </w:t>
            </w:r>
            <w:r w:rsidRPr="00203A30">
              <w:t xml:space="preserve">hours </w:t>
            </w:r>
            <w:r w:rsidRPr="00A44BE3">
              <w:t>is a new measure for 202</w:t>
            </w:r>
            <w:r>
              <w:t>0–</w:t>
            </w:r>
            <w:r w:rsidRPr="00A44BE3">
              <w:t>21. A small</w:t>
            </w:r>
            <w:r w:rsidRPr="00203A30">
              <w:t xml:space="preserve"> number of recalls were not actioned within a 24-hour period prior to this. Weekend on-call officers now ensure that this occurs.</w:t>
            </w:r>
          </w:p>
        </w:tc>
      </w:tr>
      <w:tr w:rsidR="00D64E2C" w:rsidRPr="00D02A2E" w14:paraId="199969CC" w14:textId="77777777" w:rsidTr="000F1C6B">
        <w:trPr>
          <w:cantSplit/>
        </w:trPr>
        <w:tc>
          <w:tcPr>
            <w:tcW w:w="4761" w:type="dxa"/>
            <w:tcBorders>
              <w:bottom w:val="single" w:sz="4" w:space="0" w:color="BFBFBF" w:themeColor="background1" w:themeShade="BF"/>
            </w:tcBorders>
            <w:shd w:val="clear" w:color="auto" w:fill="auto"/>
            <w:hideMark/>
          </w:tcPr>
          <w:p w14:paraId="41591FDE" w14:textId="77777777" w:rsidR="00D64E2C" w:rsidRPr="00D02A2E" w:rsidRDefault="00D64E2C" w:rsidP="00D64E2C">
            <w:pPr>
              <w:pStyle w:val="ARtabletext"/>
            </w:pPr>
            <w:r w:rsidRPr="00C5726C">
              <w:rPr>
                <w:noProof/>
              </w:rPr>
              <w:t>Infectious disease outbreaks responded to within 24 hours</w:t>
            </w:r>
          </w:p>
        </w:tc>
        <w:tc>
          <w:tcPr>
            <w:tcW w:w="1021" w:type="dxa"/>
            <w:tcBorders>
              <w:bottom w:val="single" w:sz="4" w:space="0" w:color="BFBFBF" w:themeColor="background1" w:themeShade="BF"/>
            </w:tcBorders>
            <w:shd w:val="clear" w:color="auto" w:fill="auto"/>
            <w:hideMark/>
          </w:tcPr>
          <w:p w14:paraId="1328708D" w14:textId="77777777" w:rsidR="00D64E2C" w:rsidRPr="00D02A2E" w:rsidRDefault="00D64E2C" w:rsidP="00D64E2C">
            <w:pPr>
              <w:pStyle w:val="ARtabletextcentre"/>
            </w:pPr>
            <w:r w:rsidRPr="00C5726C">
              <w:rPr>
                <w:noProof/>
              </w:rPr>
              <w:t>per cent</w:t>
            </w:r>
          </w:p>
        </w:tc>
        <w:tc>
          <w:tcPr>
            <w:tcW w:w="1021" w:type="dxa"/>
            <w:tcBorders>
              <w:bottom w:val="single" w:sz="4" w:space="0" w:color="BFBFBF" w:themeColor="background1" w:themeShade="BF"/>
            </w:tcBorders>
            <w:shd w:val="clear" w:color="auto" w:fill="auto"/>
            <w:hideMark/>
          </w:tcPr>
          <w:p w14:paraId="11729017" w14:textId="77777777" w:rsidR="00D64E2C" w:rsidRDefault="00D64E2C" w:rsidP="00D64E2C">
            <w:pPr>
              <w:pStyle w:val="ARtabletextright"/>
            </w:pPr>
            <w:r w:rsidRPr="00C5726C">
              <w:rPr>
                <w:noProof/>
              </w:rPr>
              <w:t>100</w:t>
            </w:r>
          </w:p>
        </w:tc>
        <w:tc>
          <w:tcPr>
            <w:tcW w:w="1021" w:type="dxa"/>
            <w:tcBorders>
              <w:bottom w:val="single" w:sz="4" w:space="0" w:color="BFBFBF" w:themeColor="background1" w:themeShade="BF"/>
            </w:tcBorders>
            <w:shd w:val="clear" w:color="auto" w:fill="auto"/>
            <w:hideMark/>
          </w:tcPr>
          <w:p w14:paraId="730E850A" w14:textId="77777777" w:rsidR="00D64E2C" w:rsidRDefault="00D64E2C" w:rsidP="00D64E2C">
            <w:pPr>
              <w:pStyle w:val="ARtabletextright"/>
            </w:pPr>
            <w:r w:rsidRPr="00C5726C">
              <w:rPr>
                <w:noProof/>
              </w:rPr>
              <w:t>100</w:t>
            </w:r>
          </w:p>
        </w:tc>
        <w:tc>
          <w:tcPr>
            <w:tcW w:w="1021" w:type="dxa"/>
            <w:tcBorders>
              <w:bottom w:val="single" w:sz="4" w:space="0" w:color="BFBFBF" w:themeColor="background1" w:themeShade="BF"/>
            </w:tcBorders>
            <w:shd w:val="clear" w:color="auto" w:fill="auto"/>
          </w:tcPr>
          <w:p w14:paraId="0F12C3CD" w14:textId="77777777" w:rsidR="00D64E2C" w:rsidRDefault="00D64E2C" w:rsidP="00D64E2C">
            <w:pPr>
              <w:pStyle w:val="ARtabletextright"/>
            </w:pPr>
            <w:r w:rsidRPr="00C5726C">
              <w:rPr>
                <w:noProof/>
              </w:rPr>
              <w:t>0</w:t>
            </w:r>
          </w:p>
        </w:tc>
        <w:tc>
          <w:tcPr>
            <w:tcW w:w="794" w:type="dxa"/>
            <w:tcBorders>
              <w:bottom w:val="single" w:sz="4" w:space="0" w:color="BFBFBF" w:themeColor="background1" w:themeShade="BF"/>
            </w:tcBorders>
            <w:shd w:val="clear" w:color="auto" w:fill="auto"/>
            <w:hideMark/>
          </w:tcPr>
          <w:p w14:paraId="5DEE49FD" w14:textId="058513BF" w:rsidR="00D64E2C" w:rsidRPr="00D02A2E" w:rsidRDefault="00CF2633" w:rsidP="00C575AB">
            <w:pPr>
              <w:pStyle w:val="ARtableperformancesymbol"/>
            </w:pPr>
            <w:r>
              <w:rPr>
                <w:noProof/>
              </w:rPr>
              <w:drawing>
                <wp:inline distT="0" distB="0" distL="0" distR="0" wp14:anchorId="3D15BDB6" wp14:editId="061BD5FF">
                  <wp:extent cx="85320" cy="85320"/>
                  <wp:effectExtent l="0" t="0" r="0" b="0"/>
                  <wp:docPr id="192" name="Graphic 192"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D64E2C" w:rsidRPr="00D02A2E" w14:paraId="2EF7483F" w14:textId="77777777" w:rsidTr="00F46D9F">
        <w:trPr>
          <w:cantSplit/>
        </w:trPr>
        <w:tc>
          <w:tcPr>
            <w:tcW w:w="4761" w:type="dxa"/>
            <w:tcBorders>
              <w:top w:val="single" w:sz="4" w:space="0" w:color="BFBFBF" w:themeColor="background1" w:themeShade="BF"/>
            </w:tcBorders>
            <w:shd w:val="clear" w:color="auto" w:fill="auto"/>
            <w:hideMark/>
          </w:tcPr>
          <w:p w14:paraId="2D7C6664" w14:textId="77777777" w:rsidR="00D64E2C" w:rsidRPr="00D02A2E" w:rsidRDefault="00D64E2C" w:rsidP="00D64E2C">
            <w:pPr>
              <w:pStyle w:val="ARtabletext"/>
            </w:pPr>
            <w:r w:rsidRPr="00C5726C">
              <w:rPr>
                <w:noProof/>
              </w:rPr>
              <w:t>Participation rate of women in target age range screened for breast cancer</w:t>
            </w:r>
          </w:p>
        </w:tc>
        <w:tc>
          <w:tcPr>
            <w:tcW w:w="1021" w:type="dxa"/>
            <w:tcBorders>
              <w:top w:val="single" w:sz="4" w:space="0" w:color="BFBFBF" w:themeColor="background1" w:themeShade="BF"/>
            </w:tcBorders>
            <w:shd w:val="clear" w:color="auto" w:fill="auto"/>
            <w:hideMark/>
          </w:tcPr>
          <w:p w14:paraId="1870D569" w14:textId="77777777" w:rsidR="00D64E2C" w:rsidRPr="00D02A2E" w:rsidRDefault="00D64E2C" w:rsidP="00D64E2C">
            <w:pPr>
              <w:pStyle w:val="ARtabletextcentre"/>
            </w:pPr>
            <w:r w:rsidRPr="00C5726C">
              <w:rPr>
                <w:noProof/>
              </w:rPr>
              <w:t>per cent</w:t>
            </w:r>
          </w:p>
        </w:tc>
        <w:tc>
          <w:tcPr>
            <w:tcW w:w="1021" w:type="dxa"/>
            <w:tcBorders>
              <w:top w:val="single" w:sz="4" w:space="0" w:color="BFBFBF" w:themeColor="background1" w:themeShade="BF"/>
            </w:tcBorders>
            <w:shd w:val="clear" w:color="auto" w:fill="auto"/>
            <w:hideMark/>
          </w:tcPr>
          <w:p w14:paraId="3BB7D0C5" w14:textId="77777777" w:rsidR="00D64E2C" w:rsidRDefault="00D64E2C" w:rsidP="00D64E2C">
            <w:pPr>
              <w:pStyle w:val="ARtabletextright"/>
            </w:pPr>
            <w:r w:rsidRPr="00C5726C">
              <w:rPr>
                <w:noProof/>
              </w:rPr>
              <w:t>54</w:t>
            </w:r>
          </w:p>
        </w:tc>
        <w:tc>
          <w:tcPr>
            <w:tcW w:w="1021" w:type="dxa"/>
            <w:tcBorders>
              <w:top w:val="single" w:sz="4" w:space="0" w:color="BFBFBF" w:themeColor="background1" w:themeShade="BF"/>
            </w:tcBorders>
            <w:shd w:val="clear" w:color="auto" w:fill="auto"/>
            <w:hideMark/>
          </w:tcPr>
          <w:p w14:paraId="15D0F52E" w14:textId="77777777" w:rsidR="00D64E2C" w:rsidRDefault="00D64E2C" w:rsidP="00D64E2C">
            <w:pPr>
              <w:pStyle w:val="ARtabletextright"/>
            </w:pPr>
            <w:r w:rsidRPr="00C5726C">
              <w:rPr>
                <w:noProof/>
              </w:rPr>
              <w:t>48.6</w:t>
            </w:r>
          </w:p>
        </w:tc>
        <w:tc>
          <w:tcPr>
            <w:tcW w:w="1021" w:type="dxa"/>
            <w:tcBorders>
              <w:top w:val="single" w:sz="4" w:space="0" w:color="BFBFBF" w:themeColor="background1" w:themeShade="BF"/>
            </w:tcBorders>
            <w:shd w:val="clear" w:color="auto" w:fill="auto"/>
          </w:tcPr>
          <w:p w14:paraId="0C5A9080" w14:textId="77777777" w:rsidR="00D64E2C" w:rsidRDefault="00D64E2C" w:rsidP="00D64E2C">
            <w:pPr>
              <w:pStyle w:val="ARtabletextright"/>
            </w:pPr>
            <w:r>
              <w:rPr>
                <w:noProof/>
              </w:rPr>
              <w:t>−</w:t>
            </w:r>
            <w:r w:rsidRPr="00C5726C">
              <w:rPr>
                <w:noProof/>
              </w:rPr>
              <w:t>10</w:t>
            </w:r>
          </w:p>
        </w:tc>
        <w:tc>
          <w:tcPr>
            <w:tcW w:w="794" w:type="dxa"/>
            <w:tcBorders>
              <w:top w:val="single" w:sz="4" w:space="0" w:color="BFBFBF" w:themeColor="background1" w:themeShade="BF"/>
            </w:tcBorders>
            <w:shd w:val="clear" w:color="auto" w:fill="auto"/>
            <w:hideMark/>
          </w:tcPr>
          <w:p w14:paraId="0966271D" w14:textId="20376A02" w:rsidR="00D64E2C" w:rsidRPr="00D02A2E" w:rsidRDefault="00D64E2C" w:rsidP="00C575AB">
            <w:pPr>
              <w:pStyle w:val="ARtableperformancesymbol"/>
            </w:pPr>
            <w:r>
              <w:rPr>
                <w:noProof/>
              </w:rPr>
              <w:drawing>
                <wp:inline distT="0" distB="0" distL="0" distR="0" wp14:anchorId="08EA8940" wp14:editId="28A00A68">
                  <wp:extent cx="76320" cy="76320"/>
                  <wp:effectExtent l="0" t="0" r="0" b="0"/>
                  <wp:docPr id="97" name="Graphic 97"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D64E2C" w:rsidRPr="00D02A2E" w14:paraId="670C1814" w14:textId="77777777" w:rsidTr="00F46D9F">
        <w:trPr>
          <w:cantSplit/>
        </w:trPr>
        <w:tc>
          <w:tcPr>
            <w:tcW w:w="9639" w:type="dxa"/>
            <w:gridSpan w:val="6"/>
            <w:tcBorders>
              <w:bottom w:val="single" w:sz="4" w:space="0" w:color="auto"/>
            </w:tcBorders>
            <w:shd w:val="clear" w:color="auto" w:fill="auto"/>
            <w:noWrap/>
            <w:hideMark/>
          </w:tcPr>
          <w:p w14:paraId="5F9B6204" w14:textId="77777777" w:rsidR="00D64E2C" w:rsidRPr="00D02A2E" w:rsidRDefault="00D64E2C" w:rsidP="00D64E2C">
            <w:pPr>
              <w:pStyle w:val="ARtablenoteindent"/>
            </w:pPr>
            <w:r w:rsidRPr="00C5726C">
              <w:rPr>
                <w:noProof/>
              </w:rPr>
              <w:t>This variance is due to the response to COVID-19 and the implementation of COVID-</w:t>
            </w:r>
            <w:r>
              <w:rPr>
                <w:noProof/>
              </w:rPr>
              <w:t>s</w:t>
            </w:r>
            <w:r w:rsidRPr="00C5726C">
              <w:rPr>
                <w:noProof/>
              </w:rPr>
              <w:t>afe measures</w:t>
            </w:r>
            <w:r>
              <w:rPr>
                <w:noProof/>
              </w:rPr>
              <w:t>,</w:t>
            </w:r>
            <w:r w:rsidRPr="00C5726C">
              <w:rPr>
                <w:noProof/>
              </w:rPr>
              <w:t xml:space="preserve"> which have meant reduced throughput for BreastScreen Victoria services. Prior to March 2020 the participation rate was on track to be maintained at a rate of 54 per cent.</w:t>
            </w:r>
          </w:p>
        </w:tc>
      </w:tr>
      <w:tr w:rsidR="00D64E2C" w:rsidRPr="00D02A2E" w14:paraId="0DABEC05" w14:textId="77777777" w:rsidTr="00F46D9F">
        <w:trPr>
          <w:cantSplit/>
        </w:trPr>
        <w:tc>
          <w:tcPr>
            <w:tcW w:w="9639" w:type="dxa"/>
            <w:gridSpan w:val="6"/>
            <w:tcBorders>
              <w:top w:val="single" w:sz="4" w:space="0" w:color="auto"/>
            </w:tcBorders>
            <w:shd w:val="clear" w:color="auto" w:fill="auto"/>
            <w:hideMark/>
          </w:tcPr>
          <w:p w14:paraId="5604B54B" w14:textId="77777777" w:rsidR="00D64E2C" w:rsidRPr="00D02A2E" w:rsidRDefault="00D64E2C" w:rsidP="00F46D9F">
            <w:pPr>
              <w:pStyle w:val="ARtablegreybold"/>
              <w:pageBreakBefore/>
              <w:rPr>
                <w:rFonts w:ascii="Wingdings" w:hAnsi="Wingdings"/>
              </w:rPr>
            </w:pPr>
            <w:r>
              <w:lastRenderedPageBreak/>
              <w:t>Cost</w:t>
            </w:r>
          </w:p>
        </w:tc>
      </w:tr>
      <w:tr w:rsidR="00D64E2C" w:rsidRPr="00D02A2E" w14:paraId="7E4AA884" w14:textId="77777777" w:rsidTr="000F1C6B">
        <w:trPr>
          <w:cantSplit/>
        </w:trPr>
        <w:tc>
          <w:tcPr>
            <w:tcW w:w="4761" w:type="dxa"/>
            <w:shd w:val="clear" w:color="auto" w:fill="auto"/>
            <w:hideMark/>
          </w:tcPr>
          <w:p w14:paraId="178A3344" w14:textId="77777777" w:rsidR="00D64E2C" w:rsidRPr="00A95DC7" w:rsidRDefault="00D64E2C" w:rsidP="00D64E2C">
            <w:pPr>
              <w:pStyle w:val="ARtabletext"/>
              <w:rPr>
                <w:b/>
                <w:bCs/>
              </w:rPr>
            </w:pPr>
            <w:r w:rsidRPr="00A95DC7">
              <w:rPr>
                <w:b/>
                <w:bCs/>
                <w:noProof/>
              </w:rPr>
              <w:t>Total Output Cost</w:t>
            </w:r>
          </w:p>
        </w:tc>
        <w:tc>
          <w:tcPr>
            <w:tcW w:w="1021" w:type="dxa"/>
            <w:shd w:val="clear" w:color="auto" w:fill="auto"/>
            <w:hideMark/>
          </w:tcPr>
          <w:p w14:paraId="2BDD7B11" w14:textId="77777777" w:rsidR="00D64E2C" w:rsidRPr="00A95DC7" w:rsidRDefault="00D64E2C" w:rsidP="00D64E2C">
            <w:pPr>
              <w:pStyle w:val="ARtabletextcentre"/>
            </w:pPr>
            <w:r w:rsidRPr="00A95DC7">
              <w:rPr>
                <w:b/>
                <w:bCs/>
                <w:noProof/>
              </w:rPr>
              <w:t>$ million</w:t>
            </w:r>
          </w:p>
        </w:tc>
        <w:tc>
          <w:tcPr>
            <w:tcW w:w="1021" w:type="dxa"/>
            <w:shd w:val="clear" w:color="auto" w:fill="auto"/>
            <w:hideMark/>
          </w:tcPr>
          <w:p w14:paraId="6AC6F9F7" w14:textId="77777777" w:rsidR="00D64E2C" w:rsidRPr="00A95DC7" w:rsidRDefault="00D64E2C" w:rsidP="00D64E2C">
            <w:pPr>
              <w:pStyle w:val="ARtabletextright"/>
              <w:rPr>
                <w:b/>
                <w:bCs/>
              </w:rPr>
            </w:pPr>
            <w:r w:rsidRPr="00A95DC7">
              <w:rPr>
                <w:b/>
                <w:bCs/>
                <w:noProof/>
              </w:rPr>
              <w:t>1</w:t>
            </w:r>
            <w:r>
              <w:rPr>
                <w:b/>
                <w:bCs/>
                <w:noProof/>
              </w:rPr>
              <w:t>,</w:t>
            </w:r>
            <w:r w:rsidRPr="00A95DC7">
              <w:rPr>
                <w:b/>
                <w:bCs/>
                <w:noProof/>
              </w:rPr>
              <w:t>085.3</w:t>
            </w:r>
          </w:p>
        </w:tc>
        <w:tc>
          <w:tcPr>
            <w:tcW w:w="1021" w:type="dxa"/>
            <w:shd w:val="clear" w:color="auto" w:fill="auto"/>
            <w:hideMark/>
          </w:tcPr>
          <w:p w14:paraId="6E705ACF" w14:textId="77777777" w:rsidR="00D64E2C" w:rsidRPr="00A95DC7" w:rsidRDefault="00D64E2C" w:rsidP="00D64E2C">
            <w:pPr>
              <w:pStyle w:val="ARtabletextright"/>
              <w:rPr>
                <w:b/>
                <w:bCs/>
              </w:rPr>
            </w:pPr>
            <w:r w:rsidRPr="00A95DC7">
              <w:rPr>
                <w:b/>
                <w:bCs/>
                <w:noProof/>
              </w:rPr>
              <w:t>1</w:t>
            </w:r>
            <w:r>
              <w:rPr>
                <w:b/>
                <w:bCs/>
                <w:noProof/>
              </w:rPr>
              <w:t>,</w:t>
            </w:r>
            <w:r w:rsidRPr="00A95DC7">
              <w:rPr>
                <w:b/>
                <w:bCs/>
                <w:noProof/>
              </w:rPr>
              <w:t>370.7</w:t>
            </w:r>
          </w:p>
        </w:tc>
        <w:tc>
          <w:tcPr>
            <w:tcW w:w="1021" w:type="dxa"/>
            <w:shd w:val="clear" w:color="auto" w:fill="auto"/>
          </w:tcPr>
          <w:p w14:paraId="6758AE8F" w14:textId="77777777" w:rsidR="00D64E2C" w:rsidRPr="00A95DC7" w:rsidRDefault="00D64E2C" w:rsidP="00D64E2C">
            <w:pPr>
              <w:pStyle w:val="ARtabletextright"/>
              <w:rPr>
                <w:b/>
                <w:bCs/>
              </w:rPr>
            </w:pPr>
            <w:r w:rsidRPr="00A95DC7">
              <w:rPr>
                <w:b/>
                <w:bCs/>
                <w:noProof/>
              </w:rPr>
              <w:t>26.3</w:t>
            </w:r>
          </w:p>
        </w:tc>
        <w:tc>
          <w:tcPr>
            <w:tcW w:w="794" w:type="dxa"/>
            <w:shd w:val="clear" w:color="auto" w:fill="auto"/>
            <w:hideMark/>
          </w:tcPr>
          <w:p w14:paraId="502D8B6D" w14:textId="77777777" w:rsidR="00D64E2C" w:rsidRPr="00A95DC7" w:rsidRDefault="00D64E2C" w:rsidP="00D64E2C">
            <w:pPr>
              <w:pStyle w:val="ARtabletextright"/>
              <w:rPr>
                <w:b/>
                <w:bCs/>
              </w:rPr>
            </w:pPr>
          </w:p>
        </w:tc>
      </w:tr>
      <w:tr w:rsidR="00D64E2C" w:rsidRPr="00D02A2E" w14:paraId="6F158585" w14:textId="77777777" w:rsidTr="000F1C6B">
        <w:trPr>
          <w:cantSplit/>
        </w:trPr>
        <w:tc>
          <w:tcPr>
            <w:tcW w:w="9639" w:type="dxa"/>
            <w:gridSpan w:val="6"/>
            <w:tcBorders>
              <w:bottom w:val="single" w:sz="4" w:space="0" w:color="BFBFBF"/>
            </w:tcBorders>
            <w:shd w:val="clear" w:color="auto" w:fill="auto"/>
            <w:noWrap/>
            <w:hideMark/>
          </w:tcPr>
          <w:p w14:paraId="112FBA94" w14:textId="77777777" w:rsidR="00D64E2C" w:rsidRPr="00D02A2E" w:rsidRDefault="00D64E2C" w:rsidP="00D64E2C">
            <w:pPr>
              <w:pStyle w:val="ARtablenoteindent"/>
            </w:pPr>
            <w:r w:rsidRPr="00C5726C">
              <w:rPr>
                <w:noProof/>
              </w:rPr>
              <w:t>The 202</w:t>
            </w:r>
            <w:r>
              <w:rPr>
                <w:noProof/>
              </w:rPr>
              <w:t>0–</w:t>
            </w:r>
            <w:r w:rsidRPr="00C5726C">
              <w:rPr>
                <w:noProof/>
              </w:rPr>
              <w:t>21 actual outcome primarily reflects increases in government policy initiatives related to the COVID-19 response and</w:t>
            </w:r>
            <w:r>
              <w:rPr>
                <w:noProof/>
              </w:rPr>
              <w:t> </w:t>
            </w:r>
            <w:r w:rsidRPr="00C5726C">
              <w:rPr>
                <w:noProof/>
              </w:rPr>
              <w:t xml:space="preserve">budget impact of </w:t>
            </w:r>
            <w:r>
              <w:rPr>
                <w:noProof/>
              </w:rPr>
              <w:t>m</w:t>
            </w:r>
            <w:r w:rsidRPr="00C5726C">
              <w:rPr>
                <w:noProof/>
              </w:rPr>
              <w:t xml:space="preserve">achinery of </w:t>
            </w:r>
            <w:r>
              <w:rPr>
                <w:noProof/>
              </w:rPr>
              <w:t>g</w:t>
            </w:r>
            <w:r w:rsidRPr="00C5726C">
              <w:rPr>
                <w:noProof/>
              </w:rPr>
              <w:t>overnment changes between the Department of Health and Department of Families, Fairness and Housing.</w:t>
            </w:r>
          </w:p>
        </w:tc>
      </w:tr>
      <w:tr w:rsidR="00D64E2C" w:rsidRPr="00D02A2E" w14:paraId="301FBC07" w14:textId="77777777" w:rsidTr="000F1C6B">
        <w:trPr>
          <w:cantSplit/>
        </w:trPr>
        <w:tc>
          <w:tcPr>
            <w:tcW w:w="9639" w:type="dxa"/>
            <w:gridSpan w:val="6"/>
            <w:tcBorders>
              <w:top w:val="single" w:sz="4" w:space="0" w:color="auto"/>
              <w:bottom w:val="single" w:sz="4" w:space="0" w:color="auto"/>
            </w:tcBorders>
            <w:shd w:val="clear" w:color="auto" w:fill="auto"/>
            <w:hideMark/>
          </w:tcPr>
          <w:p w14:paraId="27B043A4" w14:textId="77777777" w:rsidR="00D64E2C" w:rsidRPr="00D02A2E" w:rsidRDefault="00D64E2C" w:rsidP="00D64E2C">
            <w:pPr>
              <w:pStyle w:val="ARtablebluebold"/>
              <w:rPr>
                <w:rFonts w:ascii="Wingdings" w:hAnsi="Wingdings"/>
              </w:rPr>
            </w:pPr>
            <w:r w:rsidRPr="00545110">
              <w:t>Health Advancement</w:t>
            </w:r>
          </w:p>
        </w:tc>
      </w:tr>
      <w:tr w:rsidR="00D64E2C" w:rsidRPr="00D02A2E" w14:paraId="76CF7021" w14:textId="77777777" w:rsidTr="000F1C6B">
        <w:trPr>
          <w:cantSplit/>
        </w:trPr>
        <w:tc>
          <w:tcPr>
            <w:tcW w:w="9639" w:type="dxa"/>
            <w:gridSpan w:val="6"/>
            <w:tcBorders>
              <w:top w:val="single" w:sz="4" w:space="0" w:color="auto"/>
            </w:tcBorders>
            <w:shd w:val="clear" w:color="auto" w:fill="auto"/>
            <w:hideMark/>
          </w:tcPr>
          <w:p w14:paraId="4C7D1D07" w14:textId="77777777" w:rsidR="00D64E2C" w:rsidRPr="00D02A2E" w:rsidRDefault="00D64E2C" w:rsidP="00D64E2C">
            <w:pPr>
              <w:pStyle w:val="ARtablegreybold"/>
              <w:rPr>
                <w:rFonts w:ascii="Wingdings" w:hAnsi="Wingdings"/>
              </w:rPr>
            </w:pPr>
            <w:r w:rsidRPr="007A45E9">
              <w:t>Quantity</w:t>
            </w:r>
          </w:p>
        </w:tc>
      </w:tr>
      <w:tr w:rsidR="00D64E2C" w:rsidRPr="00D02A2E" w14:paraId="6DF04FAC" w14:textId="77777777" w:rsidTr="000F1C6B">
        <w:trPr>
          <w:cantSplit/>
        </w:trPr>
        <w:tc>
          <w:tcPr>
            <w:tcW w:w="4761" w:type="dxa"/>
            <w:shd w:val="clear" w:color="auto" w:fill="auto"/>
            <w:hideMark/>
          </w:tcPr>
          <w:p w14:paraId="0F0D92FC" w14:textId="77777777" w:rsidR="00D64E2C" w:rsidRPr="00D02A2E" w:rsidRDefault="00D64E2C" w:rsidP="00D64E2C">
            <w:pPr>
              <w:pStyle w:val="ARtabletext"/>
            </w:pPr>
            <w:r w:rsidRPr="00C5726C">
              <w:rPr>
                <w:noProof/>
              </w:rPr>
              <w:t>Persons completing the Life! – Diabetes and Cardiovascular Disease Prevention program</w:t>
            </w:r>
          </w:p>
        </w:tc>
        <w:tc>
          <w:tcPr>
            <w:tcW w:w="1021" w:type="dxa"/>
            <w:shd w:val="clear" w:color="auto" w:fill="auto"/>
            <w:hideMark/>
          </w:tcPr>
          <w:p w14:paraId="16CC7DBB" w14:textId="77777777" w:rsidR="00D64E2C" w:rsidRPr="00D02A2E" w:rsidRDefault="00D64E2C" w:rsidP="00D64E2C">
            <w:pPr>
              <w:pStyle w:val="ARtabletextcentre"/>
            </w:pPr>
            <w:r w:rsidRPr="00C5726C">
              <w:rPr>
                <w:noProof/>
              </w:rPr>
              <w:t>number</w:t>
            </w:r>
          </w:p>
        </w:tc>
        <w:tc>
          <w:tcPr>
            <w:tcW w:w="1021" w:type="dxa"/>
            <w:shd w:val="clear" w:color="auto" w:fill="auto"/>
            <w:hideMark/>
          </w:tcPr>
          <w:p w14:paraId="3E001A8B" w14:textId="77777777" w:rsidR="00D64E2C" w:rsidRDefault="00D64E2C" w:rsidP="00D64E2C">
            <w:pPr>
              <w:pStyle w:val="ARtabletextright"/>
            </w:pPr>
            <w:r w:rsidRPr="00C5726C">
              <w:rPr>
                <w:noProof/>
              </w:rPr>
              <w:t>5</w:t>
            </w:r>
            <w:r>
              <w:rPr>
                <w:noProof/>
              </w:rPr>
              <w:t>,</w:t>
            </w:r>
            <w:r w:rsidRPr="00C5726C">
              <w:rPr>
                <w:noProof/>
              </w:rPr>
              <w:t>616</w:t>
            </w:r>
          </w:p>
        </w:tc>
        <w:tc>
          <w:tcPr>
            <w:tcW w:w="1021" w:type="dxa"/>
            <w:shd w:val="clear" w:color="auto" w:fill="auto"/>
            <w:hideMark/>
          </w:tcPr>
          <w:p w14:paraId="25071566" w14:textId="77777777" w:rsidR="00D64E2C" w:rsidRDefault="00D64E2C" w:rsidP="00D64E2C">
            <w:pPr>
              <w:pStyle w:val="ARtabletextright"/>
            </w:pPr>
            <w:r w:rsidRPr="00C5726C">
              <w:rPr>
                <w:noProof/>
              </w:rPr>
              <w:t>3</w:t>
            </w:r>
            <w:r>
              <w:rPr>
                <w:noProof/>
              </w:rPr>
              <w:t>,</w:t>
            </w:r>
            <w:r w:rsidRPr="00C5726C">
              <w:rPr>
                <w:noProof/>
              </w:rPr>
              <w:t>456</w:t>
            </w:r>
          </w:p>
        </w:tc>
        <w:tc>
          <w:tcPr>
            <w:tcW w:w="1021" w:type="dxa"/>
            <w:shd w:val="clear" w:color="auto" w:fill="auto"/>
          </w:tcPr>
          <w:p w14:paraId="1BCCA7CC" w14:textId="77777777" w:rsidR="00D64E2C" w:rsidRDefault="00D64E2C" w:rsidP="00D64E2C">
            <w:pPr>
              <w:pStyle w:val="ARtabletextright"/>
            </w:pPr>
            <w:r>
              <w:rPr>
                <w:noProof/>
              </w:rPr>
              <w:t>−</w:t>
            </w:r>
            <w:r w:rsidRPr="00C5726C">
              <w:rPr>
                <w:noProof/>
              </w:rPr>
              <w:t>38.5</w:t>
            </w:r>
          </w:p>
        </w:tc>
        <w:tc>
          <w:tcPr>
            <w:tcW w:w="794" w:type="dxa"/>
            <w:shd w:val="clear" w:color="auto" w:fill="auto"/>
            <w:hideMark/>
          </w:tcPr>
          <w:p w14:paraId="154E0A5D" w14:textId="711C6671" w:rsidR="00D64E2C" w:rsidRPr="00D02A2E" w:rsidRDefault="00D64E2C" w:rsidP="00C575AB">
            <w:pPr>
              <w:pStyle w:val="ARtableperformancesymbol"/>
            </w:pPr>
            <w:r>
              <w:rPr>
                <w:noProof/>
              </w:rPr>
              <w:drawing>
                <wp:inline distT="0" distB="0" distL="0" distR="0" wp14:anchorId="6992E81F" wp14:editId="43DFDCD4">
                  <wp:extent cx="76320" cy="76320"/>
                  <wp:effectExtent l="0" t="0" r="0" b="0"/>
                  <wp:docPr id="98" name="Graphic 98"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D64E2C" w:rsidRPr="00D02A2E" w14:paraId="66D5E45B" w14:textId="77777777" w:rsidTr="000F1C6B">
        <w:trPr>
          <w:cantSplit/>
        </w:trPr>
        <w:tc>
          <w:tcPr>
            <w:tcW w:w="9639" w:type="dxa"/>
            <w:gridSpan w:val="6"/>
            <w:tcBorders>
              <w:bottom w:val="single" w:sz="4" w:space="0" w:color="BFBFBF"/>
            </w:tcBorders>
            <w:shd w:val="clear" w:color="auto" w:fill="auto"/>
            <w:noWrap/>
            <w:hideMark/>
          </w:tcPr>
          <w:p w14:paraId="372D7B09" w14:textId="77777777" w:rsidR="00D64E2C" w:rsidRPr="00D02A2E" w:rsidRDefault="00D64E2C" w:rsidP="00D64E2C">
            <w:pPr>
              <w:pStyle w:val="ARtablenoteindent"/>
            </w:pPr>
            <w:r w:rsidRPr="00C5726C">
              <w:rPr>
                <w:noProof/>
              </w:rPr>
              <w:t>Participation in the Life! program has been significantly impacted by COVID-19 restrictions</w:t>
            </w:r>
            <w:r>
              <w:rPr>
                <w:noProof/>
              </w:rPr>
              <w:t>.</w:t>
            </w:r>
          </w:p>
        </w:tc>
      </w:tr>
      <w:tr w:rsidR="00D64E2C" w:rsidRPr="00D02A2E" w14:paraId="21D06D9C" w14:textId="77777777" w:rsidTr="000F1C6B">
        <w:trPr>
          <w:cantSplit/>
        </w:trPr>
        <w:tc>
          <w:tcPr>
            <w:tcW w:w="4761" w:type="dxa"/>
            <w:tcBorders>
              <w:bottom w:val="single" w:sz="4" w:space="0" w:color="BFBFBF" w:themeColor="background1" w:themeShade="BF"/>
            </w:tcBorders>
            <w:shd w:val="clear" w:color="auto" w:fill="auto"/>
            <w:hideMark/>
          </w:tcPr>
          <w:p w14:paraId="36A659F7" w14:textId="77777777" w:rsidR="00D64E2C" w:rsidRPr="00D02A2E" w:rsidRDefault="00D64E2C" w:rsidP="00D64E2C">
            <w:pPr>
              <w:pStyle w:val="ARtabletext"/>
            </w:pPr>
            <w:r w:rsidRPr="00C5726C">
              <w:rPr>
                <w:noProof/>
              </w:rPr>
              <w:t>Number of training courses for health professionals on sexual and reproductive health</w:t>
            </w:r>
          </w:p>
        </w:tc>
        <w:tc>
          <w:tcPr>
            <w:tcW w:w="1021" w:type="dxa"/>
            <w:tcBorders>
              <w:bottom w:val="single" w:sz="4" w:space="0" w:color="BFBFBF" w:themeColor="background1" w:themeShade="BF"/>
            </w:tcBorders>
            <w:shd w:val="clear" w:color="auto" w:fill="auto"/>
            <w:hideMark/>
          </w:tcPr>
          <w:p w14:paraId="26D62994" w14:textId="77777777" w:rsidR="00D64E2C" w:rsidRPr="00D02A2E" w:rsidRDefault="00D64E2C" w:rsidP="00D64E2C">
            <w:pPr>
              <w:pStyle w:val="ARtabletextcentre"/>
            </w:pPr>
            <w:r w:rsidRPr="00C5726C">
              <w:rPr>
                <w:noProof/>
              </w:rPr>
              <w:t>number</w:t>
            </w:r>
          </w:p>
        </w:tc>
        <w:tc>
          <w:tcPr>
            <w:tcW w:w="1021" w:type="dxa"/>
            <w:tcBorders>
              <w:bottom w:val="single" w:sz="4" w:space="0" w:color="BFBFBF" w:themeColor="background1" w:themeShade="BF"/>
            </w:tcBorders>
            <w:shd w:val="clear" w:color="auto" w:fill="auto"/>
            <w:hideMark/>
          </w:tcPr>
          <w:p w14:paraId="0105EC3C" w14:textId="77777777" w:rsidR="00D64E2C" w:rsidRDefault="00D64E2C" w:rsidP="00D64E2C">
            <w:pPr>
              <w:pStyle w:val="ARtabletextright"/>
            </w:pPr>
            <w:r w:rsidRPr="00C5726C">
              <w:rPr>
                <w:noProof/>
              </w:rPr>
              <w:t>50</w:t>
            </w:r>
          </w:p>
        </w:tc>
        <w:tc>
          <w:tcPr>
            <w:tcW w:w="1021" w:type="dxa"/>
            <w:tcBorders>
              <w:bottom w:val="single" w:sz="4" w:space="0" w:color="BFBFBF" w:themeColor="background1" w:themeShade="BF"/>
            </w:tcBorders>
            <w:shd w:val="clear" w:color="auto" w:fill="auto"/>
            <w:hideMark/>
          </w:tcPr>
          <w:p w14:paraId="5B4468A0" w14:textId="77777777" w:rsidR="00D64E2C" w:rsidRDefault="00D64E2C" w:rsidP="00D64E2C">
            <w:pPr>
              <w:pStyle w:val="ARtabletextright"/>
            </w:pPr>
            <w:r w:rsidRPr="00C5726C">
              <w:rPr>
                <w:noProof/>
              </w:rPr>
              <w:t>51</w:t>
            </w:r>
          </w:p>
        </w:tc>
        <w:tc>
          <w:tcPr>
            <w:tcW w:w="1021" w:type="dxa"/>
            <w:tcBorders>
              <w:bottom w:val="single" w:sz="4" w:space="0" w:color="BFBFBF" w:themeColor="background1" w:themeShade="BF"/>
            </w:tcBorders>
            <w:shd w:val="clear" w:color="auto" w:fill="auto"/>
          </w:tcPr>
          <w:p w14:paraId="6A6EB01E" w14:textId="77777777" w:rsidR="00D64E2C" w:rsidRDefault="00D64E2C" w:rsidP="00D64E2C">
            <w:pPr>
              <w:pStyle w:val="ARtabletextright"/>
            </w:pPr>
            <w:r w:rsidRPr="00C5726C">
              <w:rPr>
                <w:noProof/>
              </w:rPr>
              <w:t>2</w:t>
            </w:r>
          </w:p>
        </w:tc>
        <w:tc>
          <w:tcPr>
            <w:tcW w:w="794" w:type="dxa"/>
            <w:tcBorders>
              <w:bottom w:val="single" w:sz="4" w:space="0" w:color="BFBFBF" w:themeColor="background1" w:themeShade="BF"/>
            </w:tcBorders>
            <w:shd w:val="clear" w:color="auto" w:fill="auto"/>
            <w:hideMark/>
          </w:tcPr>
          <w:p w14:paraId="33676D14" w14:textId="22377252" w:rsidR="00D64E2C" w:rsidRPr="00D02A2E" w:rsidRDefault="00CF2633" w:rsidP="00C575AB">
            <w:pPr>
              <w:pStyle w:val="ARtableperformancesymbol"/>
            </w:pPr>
            <w:r>
              <w:rPr>
                <w:noProof/>
              </w:rPr>
              <w:drawing>
                <wp:inline distT="0" distB="0" distL="0" distR="0" wp14:anchorId="2680A340" wp14:editId="3003A47E">
                  <wp:extent cx="85320" cy="85320"/>
                  <wp:effectExtent l="0" t="0" r="0" b="0"/>
                  <wp:docPr id="193" name="Graphic 193"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D64E2C" w:rsidRPr="00D02A2E" w14:paraId="3C13573C" w14:textId="77777777" w:rsidTr="000F1C6B">
        <w:trPr>
          <w:cantSplit/>
        </w:trPr>
        <w:tc>
          <w:tcPr>
            <w:tcW w:w="4761" w:type="dxa"/>
            <w:tcBorders>
              <w:top w:val="single" w:sz="4" w:space="0" w:color="BFBFBF" w:themeColor="background1" w:themeShade="BF"/>
              <w:bottom w:val="single" w:sz="4" w:space="0" w:color="BFBFBF" w:themeColor="background1" w:themeShade="BF"/>
            </w:tcBorders>
            <w:shd w:val="clear" w:color="auto" w:fill="auto"/>
            <w:hideMark/>
          </w:tcPr>
          <w:p w14:paraId="5409CF3D" w14:textId="77777777" w:rsidR="00D64E2C" w:rsidRPr="00D02A2E" w:rsidRDefault="00D64E2C" w:rsidP="00D64E2C">
            <w:pPr>
              <w:pStyle w:val="ARtabletext"/>
            </w:pPr>
            <w:r w:rsidRPr="00C5726C">
              <w:rPr>
                <w:noProof/>
              </w:rPr>
              <w:t>Workplaces and pubs and clubs complying with smoke free environment laws</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176041A3" w14:textId="77777777" w:rsidR="00D64E2C" w:rsidRPr="00D02A2E" w:rsidRDefault="00D64E2C" w:rsidP="00D64E2C">
            <w:pPr>
              <w:pStyle w:val="ARtabletextcentre"/>
            </w:pPr>
            <w:r w:rsidRPr="00C5726C">
              <w:rPr>
                <w:noProof/>
              </w:rPr>
              <w:t>per cent</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62C2C1F6" w14:textId="77777777" w:rsidR="00D64E2C" w:rsidRDefault="00D64E2C" w:rsidP="00D64E2C">
            <w:pPr>
              <w:pStyle w:val="ARtabletextright"/>
            </w:pPr>
            <w:r w:rsidRPr="00C5726C">
              <w:rPr>
                <w:noProof/>
              </w:rPr>
              <w:t>99</w:t>
            </w:r>
          </w:p>
        </w:tc>
        <w:tc>
          <w:tcPr>
            <w:tcW w:w="1021" w:type="dxa"/>
            <w:tcBorders>
              <w:top w:val="single" w:sz="4" w:space="0" w:color="BFBFBF" w:themeColor="background1" w:themeShade="BF"/>
              <w:bottom w:val="single" w:sz="4" w:space="0" w:color="BFBFBF" w:themeColor="background1" w:themeShade="BF"/>
            </w:tcBorders>
            <w:shd w:val="clear" w:color="auto" w:fill="auto"/>
            <w:hideMark/>
          </w:tcPr>
          <w:p w14:paraId="6497D999" w14:textId="77777777" w:rsidR="00D64E2C" w:rsidRDefault="00D64E2C" w:rsidP="00D64E2C">
            <w:pPr>
              <w:pStyle w:val="ARtabletextright"/>
            </w:pPr>
            <w:r w:rsidRPr="00C5726C">
              <w:rPr>
                <w:noProof/>
              </w:rPr>
              <w:t>99</w:t>
            </w:r>
          </w:p>
        </w:tc>
        <w:tc>
          <w:tcPr>
            <w:tcW w:w="1021" w:type="dxa"/>
            <w:tcBorders>
              <w:top w:val="single" w:sz="4" w:space="0" w:color="BFBFBF" w:themeColor="background1" w:themeShade="BF"/>
              <w:bottom w:val="single" w:sz="4" w:space="0" w:color="BFBFBF" w:themeColor="background1" w:themeShade="BF"/>
            </w:tcBorders>
            <w:shd w:val="clear" w:color="auto" w:fill="auto"/>
          </w:tcPr>
          <w:p w14:paraId="3083BD9E" w14:textId="77777777" w:rsidR="00D64E2C" w:rsidRDefault="00D64E2C" w:rsidP="00D64E2C">
            <w:pPr>
              <w:pStyle w:val="ARtabletextright"/>
            </w:pPr>
            <w:r w:rsidRPr="00C5726C">
              <w:rPr>
                <w:noProof/>
              </w:rPr>
              <w:t>0</w:t>
            </w:r>
          </w:p>
        </w:tc>
        <w:tc>
          <w:tcPr>
            <w:tcW w:w="794" w:type="dxa"/>
            <w:tcBorders>
              <w:top w:val="single" w:sz="4" w:space="0" w:color="BFBFBF" w:themeColor="background1" w:themeShade="BF"/>
              <w:bottom w:val="single" w:sz="4" w:space="0" w:color="BFBFBF" w:themeColor="background1" w:themeShade="BF"/>
            </w:tcBorders>
            <w:shd w:val="clear" w:color="auto" w:fill="auto"/>
            <w:hideMark/>
          </w:tcPr>
          <w:p w14:paraId="490E139D" w14:textId="6BB860F9" w:rsidR="00D64E2C" w:rsidRPr="00D02A2E" w:rsidRDefault="00CF2633" w:rsidP="00C575AB">
            <w:pPr>
              <w:pStyle w:val="ARtableperformancesymbol"/>
            </w:pPr>
            <w:r>
              <w:rPr>
                <w:noProof/>
              </w:rPr>
              <w:drawing>
                <wp:inline distT="0" distB="0" distL="0" distR="0" wp14:anchorId="68D01B13" wp14:editId="12ABA3FD">
                  <wp:extent cx="85320" cy="85320"/>
                  <wp:effectExtent l="0" t="0" r="0" b="0"/>
                  <wp:docPr id="194" name="Graphic 194"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D64E2C" w:rsidRPr="00D02A2E" w14:paraId="2640AC05" w14:textId="77777777" w:rsidTr="000F1C6B">
        <w:trPr>
          <w:cantSplit/>
        </w:trPr>
        <w:tc>
          <w:tcPr>
            <w:tcW w:w="4761" w:type="dxa"/>
            <w:tcBorders>
              <w:top w:val="single" w:sz="4" w:space="0" w:color="BFBFBF" w:themeColor="background1" w:themeShade="BF"/>
            </w:tcBorders>
            <w:shd w:val="clear" w:color="auto" w:fill="auto"/>
            <w:hideMark/>
          </w:tcPr>
          <w:p w14:paraId="4D067389" w14:textId="77777777" w:rsidR="00D64E2C" w:rsidRPr="00D02A2E" w:rsidRDefault="00D64E2C" w:rsidP="00D64E2C">
            <w:pPr>
              <w:pStyle w:val="ARtabletext"/>
            </w:pPr>
            <w:r w:rsidRPr="00C5726C">
              <w:rPr>
                <w:noProof/>
              </w:rPr>
              <w:t>Local Government Authorities with Municipal Public Health and Wellbeing Plans</w:t>
            </w:r>
          </w:p>
        </w:tc>
        <w:tc>
          <w:tcPr>
            <w:tcW w:w="1021" w:type="dxa"/>
            <w:tcBorders>
              <w:top w:val="single" w:sz="4" w:space="0" w:color="BFBFBF" w:themeColor="background1" w:themeShade="BF"/>
            </w:tcBorders>
            <w:shd w:val="clear" w:color="auto" w:fill="auto"/>
            <w:hideMark/>
          </w:tcPr>
          <w:p w14:paraId="0B8B2757" w14:textId="77777777" w:rsidR="00D64E2C" w:rsidRPr="00D02A2E" w:rsidRDefault="00D64E2C" w:rsidP="00D64E2C">
            <w:pPr>
              <w:pStyle w:val="ARtabletextcentre"/>
            </w:pPr>
            <w:r w:rsidRPr="00C5726C">
              <w:rPr>
                <w:noProof/>
              </w:rPr>
              <w:t>per cent</w:t>
            </w:r>
          </w:p>
        </w:tc>
        <w:tc>
          <w:tcPr>
            <w:tcW w:w="1021" w:type="dxa"/>
            <w:tcBorders>
              <w:top w:val="single" w:sz="4" w:space="0" w:color="BFBFBF" w:themeColor="background1" w:themeShade="BF"/>
            </w:tcBorders>
            <w:shd w:val="clear" w:color="auto" w:fill="auto"/>
            <w:hideMark/>
          </w:tcPr>
          <w:p w14:paraId="7470DC8A" w14:textId="77777777" w:rsidR="00D64E2C" w:rsidRDefault="00D64E2C" w:rsidP="00D64E2C">
            <w:pPr>
              <w:pStyle w:val="ARtabletextright"/>
            </w:pPr>
            <w:r w:rsidRPr="00C5726C">
              <w:rPr>
                <w:noProof/>
              </w:rPr>
              <w:t>100</w:t>
            </w:r>
          </w:p>
        </w:tc>
        <w:tc>
          <w:tcPr>
            <w:tcW w:w="1021" w:type="dxa"/>
            <w:tcBorders>
              <w:top w:val="single" w:sz="4" w:space="0" w:color="BFBFBF" w:themeColor="background1" w:themeShade="BF"/>
            </w:tcBorders>
            <w:shd w:val="clear" w:color="auto" w:fill="auto"/>
            <w:hideMark/>
          </w:tcPr>
          <w:p w14:paraId="28C99338" w14:textId="77777777" w:rsidR="00D64E2C" w:rsidRDefault="00D64E2C" w:rsidP="00D64E2C">
            <w:pPr>
              <w:pStyle w:val="ARtabletextright"/>
            </w:pPr>
            <w:r w:rsidRPr="00C5726C">
              <w:rPr>
                <w:noProof/>
              </w:rPr>
              <w:t>100</w:t>
            </w:r>
          </w:p>
        </w:tc>
        <w:tc>
          <w:tcPr>
            <w:tcW w:w="1021" w:type="dxa"/>
            <w:tcBorders>
              <w:top w:val="single" w:sz="4" w:space="0" w:color="BFBFBF" w:themeColor="background1" w:themeShade="BF"/>
            </w:tcBorders>
            <w:shd w:val="clear" w:color="auto" w:fill="auto"/>
          </w:tcPr>
          <w:p w14:paraId="58219333" w14:textId="77777777" w:rsidR="00D64E2C" w:rsidRDefault="00D64E2C" w:rsidP="00D64E2C">
            <w:pPr>
              <w:pStyle w:val="ARtabletextright"/>
            </w:pPr>
            <w:r w:rsidRPr="00C5726C">
              <w:rPr>
                <w:noProof/>
              </w:rPr>
              <w:t>0</w:t>
            </w:r>
          </w:p>
        </w:tc>
        <w:tc>
          <w:tcPr>
            <w:tcW w:w="794" w:type="dxa"/>
            <w:tcBorders>
              <w:top w:val="single" w:sz="4" w:space="0" w:color="BFBFBF" w:themeColor="background1" w:themeShade="BF"/>
            </w:tcBorders>
            <w:shd w:val="clear" w:color="auto" w:fill="auto"/>
            <w:hideMark/>
          </w:tcPr>
          <w:p w14:paraId="1B18ECC9" w14:textId="6A17C2A2" w:rsidR="00D64E2C" w:rsidRPr="00D02A2E" w:rsidRDefault="00CF2633" w:rsidP="00C575AB">
            <w:pPr>
              <w:pStyle w:val="ARtableperformancesymbol"/>
            </w:pPr>
            <w:r>
              <w:rPr>
                <w:noProof/>
              </w:rPr>
              <w:drawing>
                <wp:inline distT="0" distB="0" distL="0" distR="0" wp14:anchorId="4E076426" wp14:editId="0C99DFF2">
                  <wp:extent cx="85320" cy="85320"/>
                  <wp:effectExtent l="0" t="0" r="0" b="0"/>
                  <wp:docPr id="195" name="Graphic 195"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D64E2C" w:rsidRPr="00D02A2E" w14:paraId="0BD82A83" w14:textId="77777777" w:rsidTr="000F1C6B">
        <w:trPr>
          <w:cantSplit/>
        </w:trPr>
        <w:tc>
          <w:tcPr>
            <w:tcW w:w="9639" w:type="dxa"/>
            <w:gridSpan w:val="6"/>
            <w:tcBorders>
              <w:top w:val="single" w:sz="4" w:space="0" w:color="auto"/>
            </w:tcBorders>
            <w:shd w:val="clear" w:color="auto" w:fill="auto"/>
            <w:hideMark/>
          </w:tcPr>
          <w:p w14:paraId="1A13FCDB" w14:textId="77777777" w:rsidR="00D64E2C" w:rsidRPr="00D02A2E" w:rsidRDefault="00D64E2C" w:rsidP="00D64E2C">
            <w:pPr>
              <w:pStyle w:val="ARtablegreybold"/>
              <w:rPr>
                <w:rFonts w:ascii="Wingdings" w:hAnsi="Wingdings"/>
              </w:rPr>
            </w:pPr>
            <w:r>
              <w:t>Cost</w:t>
            </w:r>
          </w:p>
        </w:tc>
      </w:tr>
      <w:tr w:rsidR="00D64E2C" w:rsidRPr="00D02A2E" w14:paraId="302A2BA6" w14:textId="77777777" w:rsidTr="000F1C6B">
        <w:trPr>
          <w:cantSplit/>
        </w:trPr>
        <w:tc>
          <w:tcPr>
            <w:tcW w:w="4761" w:type="dxa"/>
            <w:shd w:val="clear" w:color="auto" w:fill="auto"/>
            <w:hideMark/>
          </w:tcPr>
          <w:p w14:paraId="7EE3ABF8" w14:textId="77777777" w:rsidR="00D64E2C" w:rsidRPr="00A95DC7" w:rsidRDefault="00D64E2C" w:rsidP="00D64E2C">
            <w:pPr>
              <w:pStyle w:val="ARtabletext"/>
              <w:rPr>
                <w:b/>
                <w:bCs/>
              </w:rPr>
            </w:pPr>
            <w:r w:rsidRPr="00A95DC7">
              <w:rPr>
                <w:b/>
                <w:bCs/>
                <w:noProof/>
              </w:rPr>
              <w:t>Total Output Cost</w:t>
            </w:r>
          </w:p>
        </w:tc>
        <w:tc>
          <w:tcPr>
            <w:tcW w:w="1021" w:type="dxa"/>
            <w:shd w:val="clear" w:color="auto" w:fill="auto"/>
            <w:hideMark/>
          </w:tcPr>
          <w:p w14:paraId="7F4934C3" w14:textId="77777777" w:rsidR="00D64E2C" w:rsidRPr="00A95DC7" w:rsidRDefault="00D64E2C" w:rsidP="00D64E2C">
            <w:pPr>
              <w:pStyle w:val="ARtabletextcentre"/>
            </w:pPr>
            <w:r w:rsidRPr="00A95DC7">
              <w:rPr>
                <w:b/>
                <w:bCs/>
                <w:noProof/>
              </w:rPr>
              <w:t>$ million</w:t>
            </w:r>
          </w:p>
        </w:tc>
        <w:tc>
          <w:tcPr>
            <w:tcW w:w="1021" w:type="dxa"/>
            <w:shd w:val="clear" w:color="auto" w:fill="auto"/>
            <w:hideMark/>
          </w:tcPr>
          <w:p w14:paraId="367A1DCB" w14:textId="77777777" w:rsidR="00D64E2C" w:rsidRPr="00A95DC7" w:rsidRDefault="00D64E2C" w:rsidP="00D64E2C">
            <w:pPr>
              <w:pStyle w:val="ARtabletextright"/>
              <w:rPr>
                <w:b/>
                <w:bCs/>
              </w:rPr>
            </w:pPr>
            <w:r w:rsidRPr="00A95DC7">
              <w:rPr>
                <w:b/>
                <w:bCs/>
                <w:noProof/>
              </w:rPr>
              <w:t>80.</w:t>
            </w:r>
            <w:r>
              <w:rPr>
                <w:b/>
                <w:bCs/>
                <w:noProof/>
              </w:rPr>
              <w:t>8</w:t>
            </w:r>
          </w:p>
        </w:tc>
        <w:tc>
          <w:tcPr>
            <w:tcW w:w="1021" w:type="dxa"/>
            <w:shd w:val="clear" w:color="auto" w:fill="auto"/>
            <w:hideMark/>
          </w:tcPr>
          <w:p w14:paraId="05D5BF74" w14:textId="77777777" w:rsidR="00D64E2C" w:rsidRPr="00A95DC7" w:rsidRDefault="00D64E2C" w:rsidP="00D64E2C">
            <w:pPr>
              <w:pStyle w:val="ARtabletextright"/>
              <w:rPr>
                <w:b/>
                <w:bCs/>
              </w:rPr>
            </w:pPr>
            <w:r w:rsidRPr="00A95DC7">
              <w:rPr>
                <w:b/>
                <w:bCs/>
                <w:noProof/>
              </w:rPr>
              <w:t>89.</w:t>
            </w:r>
            <w:r>
              <w:rPr>
                <w:b/>
                <w:bCs/>
                <w:noProof/>
              </w:rPr>
              <w:t>1</w:t>
            </w:r>
          </w:p>
        </w:tc>
        <w:tc>
          <w:tcPr>
            <w:tcW w:w="1021" w:type="dxa"/>
            <w:shd w:val="clear" w:color="auto" w:fill="auto"/>
          </w:tcPr>
          <w:p w14:paraId="741E7C49" w14:textId="77777777" w:rsidR="00D64E2C" w:rsidRPr="00A95DC7" w:rsidRDefault="00D64E2C" w:rsidP="00D64E2C">
            <w:pPr>
              <w:pStyle w:val="ARtabletextright"/>
              <w:rPr>
                <w:b/>
                <w:bCs/>
              </w:rPr>
            </w:pPr>
            <w:r w:rsidRPr="00A95DC7">
              <w:rPr>
                <w:b/>
                <w:bCs/>
                <w:noProof/>
              </w:rPr>
              <w:t>10.3</w:t>
            </w:r>
          </w:p>
        </w:tc>
        <w:tc>
          <w:tcPr>
            <w:tcW w:w="794" w:type="dxa"/>
            <w:shd w:val="clear" w:color="auto" w:fill="auto"/>
            <w:hideMark/>
          </w:tcPr>
          <w:p w14:paraId="5092F0BC" w14:textId="77777777" w:rsidR="00D64E2C" w:rsidRPr="00A95DC7" w:rsidRDefault="00D64E2C" w:rsidP="00D64E2C">
            <w:pPr>
              <w:pStyle w:val="ARtabletextright"/>
              <w:rPr>
                <w:b/>
                <w:bCs/>
              </w:rPr>
            </w:pPr>
          </w:p>
        </w:tc>
      </w:tr>
      <w:tr w:rsidR="00D64E2C" w:rsidRPr="00D02A2E" w14:paraId="158BFCAA" w14:textId="77777777" w:rsidTr="000F1C6B">
        <w:trPr>
          <w:cantSplit/>
        </w:trPr>
        <w:tc>
          <w:tcPr>
            <w:tcW w:w="9639" w:type="dxa"/>
            <w:gridSpan w:val="6"/>
            <w:tcBorders>
              <w:bottom w:val="single" w:sz="4" w:space="0" w:color="BFBFBF"/>
            </w:tcBorders>
            <w:shd w:val="clear" w:color="auto" w:fill="auto"/>
            <w:noWrap/>
            <w:hideMark/>
          </w:tcPr>
          <w:p w14:paraId="5CD9407E" w14:textId="77777777" w:rsidR="00D64E2C" w:rsidRPr="00D02A2E" w:rsidRDefault="00D64E2C" w:rsidP="00D64E2C">
            <w:pPr>
              <w:pStyle w:val="ARtablenoteindent"/>
            </w:pPr>
            <w:r w:rsidRPr="00C5726C">
              <w:rPr>
                <w:noProof/>
              </w:rPr>
              <w:t>The 202</w:t>
            </w:r>
            <w:r>
              <w:rPr>
                <w:noProof/>
              </w:rPr>
              <w:t>0–</w:t>
            </w:r>
            <w:r w:rsidRPr="00C5726C">
              <w:rPr>
                <w:noProof/>
              </w:rPr>
              <w:t>21 actual outcome primarily reflects increases in government policy initiatives related to the COVID-19 response</w:t>
            </w:r>
            <w:r>
              <w:rPr>
                <w:noProof/>
              </w:rPr>
              <w:t>.</w:t>
            </w:r>
          </w:p>
        </w:tc>
      </w:tr>
      <w:tr w:rsidR="00D64E2C" w:rsidRPr="00D02A2E" w14:paraId="6C7CCE9C" w14:textId="77777777" w:rsidTr="000F1C6B">
        <w:trPr>
          <w:cantSplit/>
        </w:trPr>
        <w:tc>
          <w:tcPr>
            <w:tcW w:w="9639" w:type="dxa"/>
            <w:gridSpan w:val="6"/>
            <w:tcBorders>
              <w:top w:val="single" w:sz="4" w:space="0" w:color="auto"/>
              <w:bottom w:val="single" w:sz="4" w:space="0" w:color="auto"/>
            </w:tcBorders>
            <w:shd w:val="clear" w:color="auto" w:fill="auto"/>
            <w:hideMark/>
          </w:tcPr>
          <w:p w14:paraId="3668C5E6" w14:textId="77777777" w:rsidR="00D64E2C" w:rsidRPr="00D02A2E" w:rsidRDefault="00D64E2C" w:rsidP="00D64E2C">
            <w:pPr>
              <w:pStyle w:val="ARtablebluebold"/>
              <w:rPr>
                <w:rFonts w:ascii="Wingdings" w:hAnsi="Wingdings"/>
              </w:rPr>
            </w:pPr>
            <w:r>
              <w:t>Emergency Management</w:t>
            </w:r>
          </w:p>
        </w:tc>
      </w:tr>
      <w:tr w:rsidR="00D64E2C" w:rsidRPr="00D02A2E" w14:paraId="60C4AC30" w14:textId="77777777" w:rsidTr="000F1C6B">
        <w:trPr>
          <w:cantSplit/>
        </w:trPr>
        <w:tc>
          <w:tcPr>
            <w:tcW w:w="9639" w:type="dxa"/>
            <w:gridSpan w:val="6"/>
            <w:tcBorders>
              <w:top w:val="single" w:sz="4" w:space="0" w:color="auto"/>
            </w:tcBorders>
            <w:shd w:val="clear" w:color="auto" w:fill="auto"/>
            <w:hideMark/>
          </w:tcPr>
          <w:p w14:paraId="0B0F3082" w14:textId="77777777" w:rsidR="00D64E2C" w:rsidRPr="00D02A2E" w:rsidRDefault="00D64E2C" w:rsidP="00D64E2C">
            <w:pPr>
              <w:pStyle w:val="ARtablegreybold"/>
              <w:rPr>
                <w:rFonts w:ascii="Wingdings" w:hAnsi="Wingdings"/>
              </w:rPr>
            </w:pPr>
            <w:r>
              <w:t>Quantity</w:t>
            </w:r>
          </w:p>
        </w:tc>
      </w:tr>
      <w:tr w:rsidR="00D64E2C" w:rsidRPr="00D02A2E" w14:paraId="75FD7BE6" w14:textId="77777777" w:rsidTr="000F1C6B">
        <w:trPr>
          <w:cantSplit/>
        </w:trPr>
        <w:tc>
          <w:tcPr>
            <w:tcW w:w="4761" w:type="dxa"/>
            <w:shd w:val="clear" w:color="auto" w:fill="auto"/>
            <w:hideMark/>
          </w:tcPr>
          <w:p w14:paraId="740E99C8" w14:textId="77777777" w:rsidR="00D64E2C" w:rsidRPr="00D02A2E" w:rsidRDefault="00D64E2C" w:rsidP="00D64E2C">
            <w:pPr>
              <w:pStyle w:val="ARtabletext"/>
            </w:pPr>
            <w:r w:rsidRPr="00C5726C">
              <w:rPr>
                <w:noProof/>
              </w:rPr>
              <w:t>Number of people trained in emergency management</w:t>
            </w:r>
          </w:p>
        </w:tc>
        <w:tc>
          <w:tcPr>
            <w:tcW w:w="1021" w:type="dxa"/>
            <w:shd w:val="clear" w:color="auto" w:fill="auto"/>
            <w:hideMark/>
          </w:tcPr>
          <w:p w14:paraId="6F2E8085" w14:textId="77777777" w:rsidR="00D64E2C" w:rsidRPr="00D02A2E" w:rsidRDefault="00D64E2C" w:rsidP="00D64E2C">
            <w:pPr>
              <w:pStyle w:val="ARtabletextcentre"/>
            </w:pPr>
            <w:r w:rsidRPr="00C5726C">
              <w:rPr>
                <w:noProof/>
              </w:rPr>
              <w:t>number</w:t>
            </w:r>
          </w:p>
        </w:tc>
        <w:tc>
          <w:tcPr>
            <w:tcW w:w="1021" w:type="dxa"/>
            <w:shd w:val="clear" w:color="auto" w:fill="auto"/>
            <w:hideMark/>
          </w:tcPr>
          <w:p w14:paraId="660559B0" w14:textId="77777777" w:rsidR="00D64E2C" w:rsidRDefault="00D64E2C" w:rsidP="00D64E2C">
            <w:pPr>
              <w:pStyle w:val="ARtabletextright"/>
            </w:pPr>
            <w:r w:rsidRPr="00C5726C">
              <w:rPr>
                <w:noProof/>
              </w:rPr>
              <w:t>2</w:t>
            </w:r>
            <w:r>
              <w:rPr>
                <w:noProof/>
              </w:rPr>
              <w:t>,</w:t>
            </w:r>
            <w:r w:rsidRPr="00C5726C">
              <w:rPr>
                <w:noProof/>
              </w:rPr>
              <w:t>000</w:t>
            </w:r>
          </w:p>
        </w:tc>
        <w:tc>
          <w:tcPr>
            <w:tcW w:w="1021" w:type="dxa"/>
            <w:shd w:val="clear" w:color="auto" w:fill="auto"/>
            <w:hideMark/>
          </w:tcPr>
          <w:p w14:paraId="764E9A03" w14:textId="77777777" w:rsidR="00D64E2C" w:rsidRDefault="00D64E2C" w:rsidP="00D64E2C">
            <w:pPr>
              <w:pStyle w:val="ARtabletextright"/>
            </w:pPr>
            <w:r w:rsidRPr="00C5726C">
              <w:rPr>
                <w:noProof/>
              </w:rPr>
              <w:t>2</w:t>
            </w:r>
            <w:r>
              <w:rPr>
                <w:noProof/>
              </w:rPr>
              <w:t>,</w:t>
            </w:r>
            <w:r w:rsidRPr="00C5726C">
              <w:rPr>
                <w:noProof/>
              </w:rPr>
              <w:t>590</w:t>
            </w:r>
          </w:p>
        </w:tc>
        <w:tc>
          <w:tcPr>
            <w:tcW w:w="1021" w:type="dxa"/>
            <w:shd w:val="clear" w:color="auto" w:fill="auto"/>
          </w:tcPr>
          <w:p w14:paraId="40776691" w14:textId="77777777" w:rsidR="00D64E2C" w:rsidRDefault="00D64E2C" w:rsidP="00D64E2C">
            <w:pPr>
              <w:pStyle w:val="ARtabletextright"/>
            </w:pPr>
            <w:r w:rsidRPr="00C5726C">
              <w:rPr>
                <w:noProof/>
              </w:rPr>
              <w:t>29.5</w:t>
            </w:r>
          </w:p>
        </w:tc>
        <w:tc>
          <w:tcPr>
            <w:tcW w:w="794" w:type="dxa"/>
            <w:shd w:val="clear" w:color="auto" w:fill="auto"/>
            <w:hideMark/>
          </w:tcPr>
          <w:p w14:paraId="3FA69DB8" w14:textId="70CF0889" w:rsidR="00D64E2C" w:rsidRPr="00D02A2E" w:rsidRDefault="00CF2633" w:rsidP="00C575AB">
            <w:pPr>
              <w:pStyle w:val="ARtableperformancesymbol"/>
            </w:pPr>
            <w:r>
              <w:rPr>
                <w:noProof/>
              </w:rPr>
              <w:drawing>
                <wp:inline distT="0" distB="0" distL="0" distR="0" wp14:anchorId="059BEFFB" wp14:editId="4A5224A2">
                  <wp:extent cx="85320" cy="85320"/>
                  <wp:effectExtent l="0" t="0" r="0" b="0"/>
                  <wp:docPr id="196" name="Graphic 196"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D64E2C" w:rsidRPr="00D02A2E" w14:paraId="131D7B47" w14:textId="77777777" w:rsidTr="000F1C6B">
        <w:trPr>
          <w:cantSplit/>
        </w:trPr>
        <w:tc>
          <w:tcPr>
            <w:tcW w:w="9639" w:type="dxa"/>
            <w:gridSpan w:val="6"/>
            <w:tcBorders>
              <w:bottom w:val="single" w:sz="4" w:space="0" w:color="BFBFBF"/>
            </w:tcBorders>
            <w:shd w:val="clear" w:color="auto" w:fill="auto"/>
            <w:noWrap/>
            <w:hideMark/>
          </w:tcPr>
          <w:p w14:paraId="18872184" w14:textId="77777777" w:rsidR="00D64E2C" w:rsidRPr="00D02A2E" w:rsidRDefault="00D64E2C" w:rsidP="00D64E2C">
            <w:pPr>
              <w:pStyle w:val="ARtablenoteindent"/>
            </w:pPr>
            <w:r w:rsidRPr="00C5726C">
              <w:rPr>
                <w:noProof/>
              </w:rPr>
              <w:t>Significant numbers of people were trained in Q</w:t>
            </w:r>
            <w:r>
              <w:rPr>
                <w:noProof/>
              </w:rPr>
              <w:t xml:space="preserve">uarter </w:t>
            </w:r>
            <w:r w:rsidRPr="00C5726C">
              <w:rPr>
                <w:noProof/>
              </w:rPr>
              <w:t>2 and Q</w:t>
            </w:r>
            <w:r>
              <w:rPr>
                <w:noProof/>
              </w:rPr>
              <w:t xml:space="preserve">uarter </w:t>
            </w:r>
            <w:r w:rsidRPr="00C5726C">
              <w:rPr>
                <w:noProof/>
              </w:rPr>
              <w:t>3 for seasonal emergency management preparedness and for COVID-19 purposes.</w:t>
            </w:r>
            <w:r>
              <w:rPr>
                <w:noProof/>
              </w:rPr>
              <w:t xml:space="preserve"> </w:t>
            </w:r>
            <w:r w:rsidRPr="00C5726C">
              <w:rPr>
                <w:noProof/>
              </w:rPr>
              <w:t>The Q</w:t>
            </w:r>
            <w:r>
              <w:rPr>
                <w:noProof/>
              </w:rPr>
              <w:t xml:space="preserve">uarter </w:t>
            </w:r>
            <w:r w:rsidRPr="00C5726C">
              <w:rPr>
                <w:noProof/>
              </w:rPr>
              <w:t xml:space="preserve">3 </w:t>
            </w:r>
            <w:r>
              <w:rPr>
                <w:noProof/>
              </w:rPr>
              <w:t>year to date</w:t>
            </w:r>
            <w:r w:rsidRPr="00C5726C">
              <w:rPr>
                <w:noProof/>
              </w:rPr>
              <w:t xml:space="preserve"> result (2,301) includes the number of people trained by </w:t>
            </w:r>
            <w:r>
              <w:rPr>
                <w:noProof/>
              </w:rPr>
              <w:t>the department</w:t>
            </w:r>
            <w:r w:rsidRPr="00C5726C">
              <w:rPr>
                <w:noProof/>
              </w:rPr>
              <w:t xml:space="preserve"> (formerly </w:t>
            </w:r>
            <w:r>
              <w:rPr>
                <w:noProof/>
              </w:rPr>
              <w:t>Department of Health and Human Services</w:t>
            </w:r>
            <w:r w:rsidRPr="00C5726C">
              <w:rPr>
                <w:noProof/>
              </w:rPr>
              <w:t xml:space="preserve">) and </w:t>
            </w:r>
            <w:r>
              <w:rPr>
                <w:noProof/>
              </w:rPr>
              <w:t>the Department of Families, Fairness and Housing</w:t>
            </w:r>
            <w:r w:rsidRPr="00C5726C">
              <w:rPr>
                <w:noProof/>
              </w:rPr>
              <w:t xml:space="preserve"> (established since 1</w:t>
            </w:r>
            <w:r>
              <w:rPr>
                <w:noProof/>
              </w:rPr>
              <w:t> </w:t>
            </w:r>
            <w:r w:rsidRPr="00C5726C">
              <w:rPr>
                <w:noProof/>
              </w:rPr>
              <w:t>February 2021)</w:t>
            </w:r>
            <w:r>
              <w:rPr>
                <w:noProof/>
              </w:rPr>
              <w:t>.</w:t>
            </w:r>
          </w:p>
        </w:tc>
      </w:tr>
      <w:tr w:rsidR="00D64E2C" w:rsidRPr="00D02A2E" w14:paraId="78670915" w14:textId="77777777" w:rsidTr="000F1C6B">
        <w:trPr>
          <w:cantSplit/>
        </w:trPr>
        <w:tc>
          <w:tcPr>
            <w:tcW w:w="9639" w:type="dxa"/>
            <w:gridSpan w:val="6"/>
            <w:tcBorders>
              <w:top w:val="single" w:sz="4" w:space="0" w:color="auto"/>
            </w:tcBorders>
            <w:shd w:val="clear" w:color="auto" w:fill="auto"/>
            <w:hideMark/>
          </w:tcPr>
          <w:p w14:paraId="6D0F20B7" w14:textId="77777777" w:rsidR="00D64E2C" w:rsidRPr="00D02A2E" w:rsidRDefault="00D64E2C" w:rsidP="00D64E2C">
            <w:pPr>
              <w:pStyle w:val="ARtablegreybold"/>
              <w:rPr>
                <w:rFonts w:ascii="Wingdings" w:hAnsi="Wingdings"/>
              </w:rPr>
            </w:pPr>
            <w:r>
              <w:t>Cost</w:t>
            </w:r>
          </w:p>
        </w:tc>
      </w:tr>
      <w:tr w:rsidR="00D64E2C" w:rsidRPr="00D02A2E" w14:paraId="1658CF84" w14:textId="77777777" w:rsidTr="000F1C6B">
        <w:trPr>
          <w:cantSplit/>
        </w:trPr>
        <w:tc>
          <w:tcPr>
            <w:tcW w:w="4761" w:type="dxa"/>
            <w:shd w:val="clear" w:color="auto" w:fill="auto"/>
            <w:hideMark/>
          </w:tcPr>
          <w:p w14:paraId="23D46D88" w14:textId="77777777" w:rsidR="00D64E2C" w:rsidRPr="00A95DC7" w:rsidRDefault="00D64E2C" w:rsidP="00D64E2C">
            <w:pPr>
              <w:pStyle w:val="ARtabletext"/>
              <w:rPr>
                <w:b/>
                <w:bCs/>
              </w:rPr>
            </w:pPr>
            <w:r w:rsidRPr="00A95DC7">
              <w:rPr>
                <w:b/>
                <w:bCs/>
                <w:noProof/>
              </w:rPr>
              <w:t>Total Output Cost</w:t>
            </w:r>
          </w:p>
        </w:tc>
        <w:tc>
          <w:tcPr>
            <w:tcW w:w="1021" w:type="dxa"/>
            <w:shd w:val="clear" w:color="auto" w:fill="auto"/>
            <w:hideMark/>
          </w:tcPr>
          <w:p w14:paraId="277ABA79" w14:textId="77777777" w:rsidR="00D64E2C" w:rsidRPr="00A95DC7" w:rsidRDefault="00D64E2C" w:rsidP="00D64E2C">
            <w:pPr>
              <w:pStyle w:val="ARtabletextcentre"/>
            </w:pPr>
            <w:r w:rsidRPr="00A95DC7">
              <w:rPr>
                <w:b/>
                <w:bCs/>
                <w:noProof/>
              </w:rPr>
              <w:t>$ million</w:t>
            </w:r>
          </w:p>
        </w:tc>
        <w:tc>
          <w:tcPr>
            <w:tcW w:w="1021" w:type="dxa"/>
            <w:shd w:val="clear" w:color="auto" w:fill="auto"/>
            <w:hideMark/>
          </w:tcPr>
          <w:p w14:paraId="2A50730C" w14:textId="77777777" w:rsidR="00D64E2C" w:rsidRPr="00A95DC7" w:rsidRDefault="00D64E2C" w:rsidP="00D64E2C">
            <w:pPr>
              <w:pStyle w:val="ARtabletextright"/>
              <w:rPr>
                <w:b/>
                <w:bCs/>
              </w:rPr>
            </w:pPr>
            <w:r w:rsidRPr="00A95DC7">
              <w:rPr>
                <w:b/>
                <w:bCs/>
                <w:noProof/>
              </w:rPr>
              <w:t>13.6</w:t>
            </w:r>
          </w:p>
        </w:tc>
        <w:tc>
          <w:tcPr>
            <w:tcW w:w="1021" w:type="dxa"/>
            <w:shd w:val="clear" w:color="auto" w:fill="auto"/>
            <w:hideMark/>
          </w:tcPr>
          <w:p w14:paraId="6B5A6AF3" w14:textId="77777777" w:rsidR="00D64E2C" w:rsidRPr="00A95DC7" w:rsidRDefault="00D64E2C" w:rsidP="00D64E2C">
            <w:pPr>
              <w:pStyle w:val="ARtabletextright"/>
              <w:rPr>
                <w:b/>
                <w:bCs/>
              </w:rPr>
            </w:pPr>
            <w:r w:rsidRPr="00A95DC7">
              <w:rPr>
                <w:b/>
                <w:bCs/>
                <w:noProof/>
              </w:rPr>
              <w:t>24.6</w:t>
            </w:r>
          </w:p>
        </w:tc>
        <w:tc>
          <w:tcPr>
            <w:tcW w:w="1021" w:type="dxa"/>
            <w:shd w:val="clear" w:color="auto" w:fill="auto"/>
          </w:tcPr>
          <w:p w14:paraId="06C5D315" w14:textId="77777777" w:rsidR="00D64E2C" w:rsidRPr="00A95DC7" w:rsidRDefault="00D64E2C" w:rsidP="00D64E2C">
            <w:pPr>
              <w:pStyle w:val="ARtabletextright"/>
              <w:rPr>
                <w:b/>
                <w:bCs/>
              </w:rPr>
            </w:pPr>
            <w:r w:rsidRPr="00A95DC7">
              <w:rPr>
                <w:b/>
                <w:bCs/>
                <w:noProof/>
              </w:rPr>
              <w:t>80.7</w:t>
            </w:r>
          </w:p>
        </w:tc>
        <w:tc>
          <w:tcPr>
            <w:tcW w:w="794" w:type="dxa"/>
            <w:shd w:val="clear" w:color="auto" w:fill="auto"/>
            <w:hideMark/>
          </w:tcPr>
          <w:p w14:paraId="6E3F8832" w14:textId="77777777" w:rsidR="00D64E2C" w:rsidRPr="00A95DC7" w:rsidRDefault="00D64E2C" w:rsidP="00D64E2C">
            <w:pPr>
              <w:pStyle w:val="ARtabletextright"/>
              <w:rPr>
                <w:b/>
                <w:bCs/>
              </w:rPr>
            </w:pPr>
          </w:p>
        </w:tc>
      </w:tr>
      <w:tr w:rsidR="00D64E2C" w:rsidRPr="00D02A2E" w14:paraId="57F869C4" w14:textId="77777777" w:rsidTr="000F1C6B">
        <w:trPr>
          <w:cantSplit/>
        </w:trPr>
        <w:tc>
          <w:tcPr>
            <w:tcW w:w="9639" w:type="dxa"/>
            <w:gridSpan w:val="6"/>
            <w:tcBorders>
              <w:bottom w:val="single" w:sz="4" w:space="0" w:color="auto"/>
            </w:tcBorders>
            <w:shd w:val="clear" w:color="auto" w:fill="auto"/>
            <w:noWrap/>
            <w:hideMark/>
          </w:tcPr>
          <w:p w14:paraId="681DBD6A" w14:textId="77777777" w:rsidR="00D64E2C" w:rsidRPr="00D02A2E" w:rsidRDefault="00D64E2C" w:rsidP="00D64E2C">
            <w:pPr>
              <w:pStyle w:val="ARtablenoteindent"/>
            </w:pPr>
            <w:r w:rsidRPr="00C5726C">
              <w:rPr>
                <w:noProof/>
              </w:rPr>
              <w:t>The 202</w:t>
            </w:r>
            <w:r>
              <w:rPr>
                <w:noProof/>
              </w:rPr>
              <w:t>0–</w:t>
            </w:r>
            <w:r w:rsidRPr="00C5726C">
              <w:rPr>
                <w:noProof/>
              </w:rPr>
              <w:t>21 actual outcome primarily reflects increases in government policy initiatives.</w:t>
            </w:r>
          </w:p>
        </w:tc>
      </w:tr>
    </w:tbl>
    <w:p w14:paraId="6FFE715F" w14:textId="77777777" w:rsidR="00496244" w:rsidRDefault="00496244" w:rsidP="00317057">
      <w:pPr>
        <w:pStyle w:val="Heading4"/>
        <w:spacing w:before="400"/>
      </w:pPr>
      <w:bookmarkStart w:id="280" w:name="_Toc85121164"/>
      <w:r w:rsidRPr="00545110">
        <w:t>Small Rural Services</w:t>
      </w:r>
      <w:bookmarkEnd w:id="280"/>
    </w:p>
    <w:p w14:paraId="0F503C4E" w14:textId="77777777" w:rsidR="00496244" w:rsidRDefault="00496244" w:rsidP="00317057">
      <w:pPr>
        <w:pStyle w:val="ARbodybeforetable"/>
      </w:pPr>
      <w:r w:rsidRPr="005C7F16">
        <w:t>This output includes a range of health and aged care services delivered in small rural towns. The funding and service delivery approach focuses on achieving a sustainable, flexible service mix that is responsive to local needs. Service providers include small rural hospitals, community health services, bush nursing centres, multipurpose services and public sector residential aged care services.</w:t>
      </w:r>
    </w:p>
    <w:tbl>
      <w:tblPr>
        <w:tblW w:w="9639" w:type="dxa"/>
        <w:tblLayout w:type="fixed"/>
        <w:tblCellMar>
          <w:left w:w="0" w:type="dxa"/>
        </w:tblCellMar>
        <w:tblLook w:val="06A0" w:firstRow="1" w:lastRow="0" w:firstColumn="1" w:lastColumn="0" w:noHBand="1" w:noVBand="1"/>
      </w:tblPr>
      <w:tblGrid>
        <w:gridCol w:w="4761"/>
        <w:gridCol w:w="1021"/>
        <w:gridCol w:w="1021"/>
        <w:gridCol w:w="1021"/>
        <w:gridCol w:w="1021"/>
        <w:gridCol w:w="794"/>
      </w:tblGrid>
      <w:tr w:rsidR="00496244" w:rsidRPr="00D02A2E" w14:paraId="10CFC956" w14:textId="77777777" w:rsidTr="000F1C6B">
        <w:trPr>
          <w:cantSplit/>
          <w:tblHeader/>
        </w:trPr>
        <w:tc>
          <w:tcPr>
            <w:tcW w:w="4761" w:type="dxa"/>
            <w:tcBorders>
              <w:bottom w:val="single" w:sz="4" w:space="0" w:color="auto"/>
            </w:tcBorders>
            <w:shd w:val="clear" w:color="auto" w:fill="auto"/>
            <w:vAlign w:val="bottom"/>
            <w:hideMark/>
          </w:tcPr>
          <w:p w14:paraId="14263A4E" w14:textId="77777777" w:rsidR="00496244" w:rsidRPr="00D02A2E" w:rsidRDefault="00496244" w:rsidP="00317057">
            <w:pPr>
              <w:pStyle w:val="ARtablecolhead"/>
            </w:pPr>
            <w:r w:rsidRPr="00D02A2E">
              <w:t>Performance measures</w:t>
            </w:r>
          </w:p>
        </w:tc>
        <w:tc>
          <w:tcPr>
            <w:tcW w:w="1021" w:type="dxa"/>
            <w:tcBorders>
              <w:bottom w:val="single" w:sz="4" w:space="0" w:color="auto"/>
            </w:tcBorders>
            <w:shd w:val="clear" w:color="auto" w:fill="auto"/>
            <w:vAlign w:val="bottom"/>
            <w:hideMark/>
          </w:tcPr>
          <w:p w14:paraId="19977E22" w14:textId="77777777" w:rsidR="00496244" w:rsidRPr="00F72126" w:rsidRDefault="00496244" w:rsidP="00317057">
            <w:pPr>
              <w:pStyle w:val="ARtablecolheadcentre"/>
            </w:pPr>
            <w:r w:rsidRPr="00F72126">
              <w:t>Unit of measure</w:t>
            </w:r>
          </w:p>
        </w:tc>
        <w:tc>
          <w:tcPr>
            <w:tcW w:w="1021" w:type="dxa"/>
            <w:tcBorders>
              <w:bottom w:val="single" w:sz="4" w:space="0" w:color="auto"/>
            </w:tcBorders>
            <w:shd w:val="clear" w:color="auto" w:fill="auto"/>
            <w:vAlign w:val="bottom"/>
            <w:hideMark/>
          </w:tcPr>
          <w:p w14:paraId="63CE8FE1" w14:textId="77777777" w:rsidR="00496244" w:rsidRPr="00F72126" w:rsidRDefault="00496244" w:rsidP="00317057">
            <w:pPr>
              <w:pStyle w:val="ARtablecolheadright"/>
            </w:pPr>
            <w:r w:rsidRPr="00F72126">
              <w:t>20</w:t>
            </w:r>
            <w:r>
              <w:t>20</w:t>
            </w:r>
            <w:r w:rsidRPr="00F72126">
              <w:t>–</w:t>
            </w:r>
            <w:r>
              <w:t>21</w:t>
            </w:r>
            <w:r w:rsidRPr="00F72126">
              <w:t xml:space="preserve"> target</w:t>
            </w:r>
          </w:p>
        </w:tc>
        <w:tc>
          <w:tcPr>
            <w:tcW w:w="1021" w:type="dxa"/>
            <w:tcBorders>
              <w:bottom w:val="single" w:sz="4" w:space="0" w:color="auto"/>
            </w:tcBorders>
            <w:shd w:val="clear" w:color="auto" w:fill="auto"/>
            <w:vAlign w:val="bottom"/>
            <w:hideMark/>
          </w:tcPr>
          <w:p w14:paraId="0672870E" w14:textId="77777777" w:rsidR="00496244" w:rsidRPr="00F72126" w:rsidRDefault="00496244" w:rsidP="00317057">
            <w:pPr>
              <w:pStyle w:val="ARtablecolheadright"/>
            </w:pPr>
            <w:r w:rsidRPr="00F72126">
              <w:t>20</w:t>
            </w:r>
            <w:r>
              <w:t>20</w:t>
            </w:r>
            <w:r w:rsidRPr="00F72126">
              <w:t>–</w:t>
            </w:r>
            <w:r>
              <w:t>21</w:t>
            </w:r>
            <w:r w:rsidRPr="00F72126">
              <w:t xml:space="preserve"> actual</w:t>
            </w:r>
          </w:p>
        </w:tc>
        <w:tc>
          <w:tcPr>
            <w:tcW w:w="1021" w:type="dxa"/>
            <w:tcBorders>
              <w:bottom w:val="single" w:sz="4" w:space="0" w:color="auto"/>
            </w:tcBorders>
            <w:shd w:val="clear" w:color="auto" w:fill="auto"/>
            <w:vAlign w:val="bottom"/>
            <w:hideMark/>
          </w:tcPr>
          <w:p w14:paraId="72B3CF2B" w14:textId="77777777" w:rsidR="00496244" w:rsidRPr="00F72126" w:rsidRDefault="00496244" w:rsidP="00317057">
            <w:pPr>
              <w:pStyle w:val="ARtablecolheadright"/>
            </w:pPr>
            <w:r w:rsidRPr="00F72126">
              <w:t>Variation (%)</w:t>
            </w:r>
          </w:p>
        </w:tc>
        <w:tc>
          <w:tcPr>
            <w:tcW w:w="794" w:type="dxa"/>
            <w:tcBorders>
              <w:bottom w:val="single" w:sz="4" w:space="0" w:color="auto"/>
            </w:tcBorders>
            <w:shd w:val="clear" w:color="auto" w:fill="auto"/>
            <w:vAlign w:val="bottom"/>
            <w:hideMark/>
          </w:tcPr>
          <w:p w14:paraId="771F8F77" w14:textId="77777777" w:rsidR="00496244" w:rsidRPr="00F72126" w:rsidRDefault="00496244" w:rsidP="00317057">
            <w:pPr>
              <w:pStyle w:val="ARtablecolheadright"/>
            </w:pPr>
            <w:r w:rsidRPr="00F72126">
              <w:t>Result</w:t>
            </w:r>
          </w:p>
        </w:tc>
      </w:tr>
      <w:tr w:rsidR="00496244" w:rsidRPr="00D02A2E" w14:paraId="5113B596" w14:textId="77777777" w:rsidTr="000F1C6B">
        <w:trPr>
          <w:cantSplit/>
        </w:trPr>
        <w:tc>
          <w:tcPr>
            <w:tcW w:w="9639" w:type="dxa"/>
            <w:gridSpan w:val="6"/>
            <w:tcBorders>
              <w:top w:val="single" w:sz="4" w:space="0" w:color="auto"/>
              <w:bottom w:val="single" w:sz="4" w:space="0" w:color="auto"/>
            </w:tcBorders>
            <w:shd w:val="clear" w:color="auto" w:fill="auto"/>
            <w:hideMark/>
          </w:tcPr>
          <w:p w14:paraId="0E6B9A86" w14:textId="77777777" w:rsidR="00496244" w:rsidRPr="00D02A2E" w:rsidRDefault="00496244" w:rsidP="00317057">
            <w:pPr>
              <w:pStyle w:val="ARtablebluebold"/>
              <w:rPr>
                <w:rFonts w:ascii="Wingdings" w:hAnsi="Wingdings"/>
              </w:rPr>
            </w:pPr>
            <w:r w:rsidRPr="00545110">
              <w:t>Small Rural Services</w:t>
            </w:r>
            <w:r>
              <w:t xml:space="preserve"> – </w:t>
            </w:r>
            <w:r w:rsidRPr="00545110">
              <w:t>Acute Health</w:t>
            </w:r>
          </w:p>
        </w:tc>
      </w:tr>
      <w:tr w:rsidR="00496244" w:rsidRPr="00D02A2E" w14:paraId="73D202F2" w14:textId="77777777" w:rsidTr="000F1C6B">
        <w:trPr>
          <w:cantSplit/>
        </w:trPr>
        <w:tc>
          <w:tcPr>
            <w:tcW w:w="9639" w:type="dxa"/>
            <w:gridSpan w:val="6"/>
            <w:tcBorders>
              <w:top w:val="single" w:sz="4" w:space="0" w:color="auto"/>
            </w:tcBorders>
            <w:shd w:val="clear" w:color="auto" w:fill="auto"/>
            <w:hideMark/>
          </w:tcPr>
          <w:p w14:paraId="7C2A0A17" w14:textId="77777777" w:rsidR="00496244" w:rsidRPr="00D02A2E" w:rsidRDefault="00496244" w:rsidP="00317057">
            <w:pPr>
              <w:pStyle w:val="ARtablegreybold"/>
              <w:rPr>
                <w:rFonts w:ascii="Wingdings" w:hAnsi="Wingdings"/>
              </w:rPr>
            </w:pPr>
            <w:r w:rsidRPr="007A45E9">
              <w:t>Quantity</w:t>
            </w:r>
          </w:p>
        </w:tc>
      </w:tr>
      <w:tr w:rsidR="00D64E2C" w:rsidRPr="00D02A2E" w14:paraId="3E06841D" w14:textId="77777777" w:rsidTr="000F1C6B">
        <w:trPr>
          <w:cantSplit/>
        </w:trPr>
        <w:tc>
          <w:tcPr>
            <w:tcW w:w="4761" w:type="dxa"/>
            <w:shd w:val="clear" w:color="auto" w:fill="auto"/>
            <w:hideMark/>
          </w:tcPr>
          <w:p w14:paraId="5AC80203" w14:textId="77777777" w:rsidR="00D64E2C" w:rsidRPr="00D02A2E" w:rsidRDefault="00D64E2C" w:rsidP="00D64E2C">
            <w:pPr>
              <w:pStyle w:val="ARtabletext"/>
            </w:pPr>
            <w:r w:rsidRPr="00C5726C">
              <w:rPr>
                <w:noProof/>
              </w:rPr>
              <w:t>Separations</w:t>
            </w:r>
          </w:p>
        </w:tc>
        <w:tc>
          <w:tcPr>
            <w:tcW w:w="1021" w:type="dxa"/>
            <w:shd w:val="clear" w:color="auto" w:fill="auto"/>
            <w:hideMark/>
          </w:tcPr>
          <w:p w14:paraId="46020FEC" w14:textId="77777777" w:rsidR="00D64E2C" w:rsidRPr="00D02A2E" w:rsidRDefault="00D64E2C" w:rsidP="00D64E2C">
            <w:pPr>
              <w:pStyle w:val="ARtabletextcentre"/>
            </w:pPr>
            <w:r w:rsidRPr="00C5726C">
              <w:rPr>
                <w:noProof/>
              </w:rPr>
              <w:t>number (thousand)</w:t>
            </w:r>
          </w:p>
        </w:tc>
        <w:tc>
          <w:tcPr>
            <w:tcW w:w="1021" w:type="dxa"/>
            <w:shd w:val="clear" w:color="auto" w:fill="auto"/>
            <w:hideMark/>
          </w:tcPr>
          <w:p w14:paraId="58299A9D" w14:textId="77777777" w:rsidR="00D64E2C" w:rsidRDefault="00D64E2C" w:rsidP="00D64E2C">
            <w:pPr>
              <w:pStyle w:val="ARtabletextright"/>
            </w:pPr>
            <w:r w:rsidRPr="00C5726C">
              <w:rPr>
                <w:noProof/>
              </w:rPr>
              <w:t>35.</w:t>
            </w:r>
            <w:r>
              <w:rPr>
                <w:noProof/>
              </w:rPr>
              <w:t>8</w:t>
            </w:r>
          </w:p>
        </w:tc>
        <w:tc>
          <w:tcPr>
            <w:tcW w:w="1021" w:type="dxa"/>
            <w:shd w:val="clear" w:color="auto" w:fill="auto"/>
            <w:hideMark/>
          </w:tcPr>
          <w:p w14:paraId="4F1D569F" w14:textId="77777777" w:rsidR="00D64E2C" w:rsidRDefault="00D64E2C" w:rsidP="00D64E2C">
            <w:pPr>
              <w:pStyle w:val="ARtabletextright"/>
            </w:pPr>
            <w:r w:rsidRPr="00C5726C">
              <w:rPr>
                <w:noProof/>
              </w:rPr>
              <w:t>31</w:t>
            </w:r>
          </w:p>
        </w:tc>
        <w:tc>
          <w:tcPr>
            <w:tcW w:w="1021" w:type="dxa"/>
            <w:shd w:val="clear" w:color="auto" w:fill="auto"/>
          </w:tcPr>
          <w:p w14:paraId="3390E695" w14:textId="77777777" w:rsidR="00D64E2C" w:rsidRDefault="00D64E2C" w:rsidP="00D64E2C">
            <w:pPr>
              <w:pStyle w:val="ARtabletextright"/>
            </w:pPr>
            <w:r>
              <w:rPr>
                <w:noProof/>
              </w:rPr>
              <w:t>−</w:t>
            </w:r>
            <w:r w:rsidRPr="00C5726C">
              <w:rPr>
                <w:noProof/>
              </w:rPr>
              <w:t>13.4</w:t>
            </w:r>
          </w:p>
        </w:tc>
        <w:tc>
          <w:tcPr>
            <w:tcW w:w="794" w:type="dxa"/>
            <w:shd w:val="clear" w:color="auto" w:fill="auto"/>
            <w:hideMark/>
          </w:tcPr>
          <w:p w14:paraId="58EAAD48" w14:textId="37C296DB" w:rsidR="00D64E2C" w:rsidRPr="00D02A2E" w:rsidRDefault="00D64E2C" w:rsidP="00C575AB">
            <w:pPr>
              <w:pStyle w:val="ARtableperformancesymbol"/>
            </w:pPr>
            <w:r>
              <w:rPr>
                <w:noProof/>
              </w:rPr>
              <w:drawing>
                <wp:inline distT="0" distB="0" distL="0" distR="0" wp14:anchorId="3F22237B" wp14:editId="1BB7E9F2">
                  <wp:extent cx="76320" cy="76320"/>
                  <wp:effectExtent l="0" t="0" r="0" b="0"/>
                  <wp:docPr id="99" name="Graphic 99"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D64E2C" w:rsidRPr="00D02A2E" w14:paraId="7C973FB3" w14:textId="77777777" w:rsidTr="000F1C6B">
        <w:trPr>
          <w:cantSplit/>
        </w:trPr>
        <w:tc>
          <w:tcPr>
            <w:tcW w:w="9639" w:type="dxa"/>
            <w:gridSpan w:val="6"/>
            <w:tcBorders>
              <w:bottom w:val="single" w:sz="4" w:space="0" w:color="BFBFBF"/>
            </w:tcBorders>
            <w:shd w:val="clear" w:color="auto" w:fill="auto"/>
            <w:noWrap/>
            <w:hideMark/>
          </w:tcPr>
          <w:p w14:paraId="1B072806" w14:textId="77777777" w:rsidR="00D64E2C" w:rsidRPr="00D02A2E" w:rsidRDefault="00D64E2C" w:rsidP="00D64E2C">
            <w:pPr>
              <w:pStyle w:val="ARtablenoteindent"/>
            </w:pPr>
            <w:r w:rsidRPr="00C5726C">
              <w:rPr>
                <w:noProof/>
              </w:rPr>
              <w:t>The reduction in admitted activity as a result of the COVID-19 pandemic continues to impact small rural health services</w:t>
            </w:r>
            <w:r>
              <w:rPr>
                <w:noProof/>
              </w:rPr>
              <w:t>.</w:t>
            </w:r>
          </w:p>
        </w:tc>
      </w:tr>
      <w:tr w:rsidR="00D64E2C" w:rsidRPr="00D02A2E" w14:paraId="4DACE942" w14:textId="77777777" w:rsidTr="000F1C6B">
        <w:trPr>
          <w:cantSplit/>
        </w:trPr>
        <w:tc>
          <w:tcPr>
            <w:tcW w:w="4761" w:type="dxa"/>
            <w:shd w:val="clear" w:color="auto" w:fill="auto"/>
            <w:hideMark/>
          </w:tcPr>
          <w:p w14:paraId="5173A7D8" w14:textId="77777777" w:rsidR="00D64E2C" w:rsidRPr="00D02A2E" w:rsidRDefault="00D64E2C" w:rsidP="00D64E2C">
            <w:pPr>
              <w:pStyle w:val="ARtabletext"/>
            </w:pPr>
            <w:r w:rsidRPr="00C5726C">
              <w:rPr>
                <w:noProof/>
              </w:rPr>
              <w:lastRenderedPageBreak/>
              <w:t>Small rural weighted activity unit</w:t>
            </w:r>
          </w:p>
        </w:tc>
        <w:tc>
          <w:tcPr>
            <w:tcW w:w="1021" w:type="dxa"/>
            <w:shd w:val="clear" w:color="auto" w:fill="auto"/>
            <w:hideMark/>
          </w:tcPr>
          <w:p w14:paraId="5CFAE002" w14:textId="77777777" w:rsidR="00D64E2C" w:rsidRPr="00D02A2E" w:rsidRDefault="00D64E2C" w:rsidP="00D64E2C">
            <w:pPr>
              <w:pStyle w:val="ARtabletextcentre"/>
            </w:pPr>
            <w:r w:rsidRPr="00C5726C">
              <w:rPr>
                <w:noProof/>
              </w:rPr>
              <w:t>number (thousand)</w:t>
            </w:r>
          </w:p>
        </w:tc>
        <w:tc>
          <w:tcPr>
            <w:tcW w:w="1021" w:type="dxa"/>
            <w:shd w:val="clear" w:color="auto" w:fill="auto"/>
            <w:hideMark/>
          </w:tcPr>
          <w:p w14:paraId="1F70A510" w14:textId="77777777" w:rsidR="00D64E2C" w:rsidRDefault="00D64E2C" w:rsidP="00D64E2C">
            <w:pPr>
              <w:pStyle w:val="ARtabletextright"/>
            </w:pPr>
            <w:r w:rsidRPr="00C5726C">
              <w:rPr>
                <w:noProof/>
              </w:rPr>
              <w:t>350</w:t>
            </w:r>
            <w:r>
              <w:rPr>
                <w:noProof/>
              </w:rPr>
              <w:t>,</w:t>
            </w:r>
            <w:r w:rsidRPr="00C5726C">
              <w:rPr>
                <w:noProof/>
              </w:rPr>
              <w:t>000</w:t>
            </w:r>
          </w:p>
        </w:tc>
        <w:tc>
          <w:tcPr>
            <w:tcW w:w="1021" w:type="dxa"/>
            <w:shd w:val="clear" w:color="auto" w:fill="auto"/>
            <w:hideMark/>
          </w:tcPr>
          <w:p w14:paraId="3F7925B6" w14:textId="77777777" w:rsidR="00D64E2C" w:rsidRDefault="00D64E2C" w:rsidP="00D64E2C">
            <w:pPr>
              <w:pStyle w:val="ARtabletextright"/>
            </w:pPr>
            <w:r w:rsidRPr="00C5726C">
              <w:rPr>
                <w:noProof/>
              </w:rPr>
              <w:t>308</w:t>
            </w:r>
            <w:r>
              <w:rPr>
                <w:noProof/>
              </w:rPr>
              <w:t>,</w:t>
            </w:r>
            <w:r w:rsidRPr="00C5726C">
              <w:rPr>
                <w:noProof/>
              </w:rPr>
              <w:t>000</w:t>
            </w:r>
          </w:p>
        </w:tc>
        <w:tc>
          <w:tcPr>
            <w:tcW w:w="1021" w:type="dxa"/>
            <w:shd w:val="clear" w:color="auto" w:fill="auto"/>
          </w:tcPr>
          <w:p w14:paraId="25A89B39" w14:textId="77777777" w:rsidR="00D64E2C" w:rsidRDefault="00D64E2C" w:rsidP="00D64E2C">
            <w:pPr>
              <w:pStyle w:val="ARtabletextright"/>
            </w:pPr>
            <w:r>
              <w:rPr>
                <w:noProof/>
              </w:rPr>
              <w:t>−</w:t>
            </w:r>
            <w:r w:rsidRPr="00C5726C">
              <w:rPr>
                <w:noProof/>
              </w:rPr>
              <w:t>12</w:t>
            </w:r>
          </w:p>
        </w:tc>
        <w:tc>
          <w:tcPr>
            <w:tcW w:w="794" w:type="dxa"/>
            <w:shd w:val="clear" w:color="auto" w:fill="auto"/>
            <w:hideMark/>
          </w:tcPr>
          <w:p w14:paraId="5057A6F5" w14:textId="74FA000C" w:rsidR="00D64E2C" w:rsidRPr="00D02A2E" w:rsidRDefault="00D64E2C" w:rsidP="00C575AB">
            <w:pPr>
              <w:pStyle w:val="ARtableperformancesymbol"/>
            </w:pPr>
            <w:r>
              <w:rPr>
                <w:noProof/>
              </w:rPr>
              <w:drawing>
                <wp:inline distT="0" distB="0" distL="0" distR="0" wp14:anchorId="35E0CAEA" wp14:editId="0BD544E8">
                  <wp:extent cx="76320" cy="76320"/>
                  <wp:effectExtent l="0" t="0" r="0" b="0"/>
                  <wp:docPr id="100" name="Graphic 100"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D64E2C" w:rsidRPr="00D02A2E" w14:paraId="4E787B45" w14:textId="77777777" w:rsidTr="000F1C6B">
        <w:trPr>
          <w:cantSplit/>
        </w:trPr>
        <w:tc>
          <w:tcPr>
            <w:tcW w:w="9639" w:type="dxa"/>
            <w:gridSpan w:val="6"/>
            <w:tcBorders>
              <w:bottom w:val="single" w:sz="4" w:space="0" w:color="BFBFBF"/>
            </w:tcBorders>
            <w:shd w:val="clear" w:color="auto" w:fill="auto"/>
            <w:noWrap/>
            <w:hideMark/>
          </w:tcPr>
          <w:p w14:paraId="7D7D6429" w14:textId="77777777" w:rsidR="00D64E2C" w:rsidRPr="00D02A2E" w:rsidRDefault="00D64E2C" w:rsidP="00D64E2C">
            <w:pPr>
              <w:pStyle w:val="ARtablenoteindent"/>
            </w:pPr>
            <w:r w:rsidRPr="00C5726C">
              <w:rPr>
                <w:noProof/>
              </w:rPr>
              <w:t>The reduction in activity as a result of the COVID-19 pandemic continues to impact small rural health services</w:t>
            </w:r>
            <w:r>
              <w:rPr>
                <w:noProof/>
              </w:rPr>
              <w:t>.</w:t>
            </w:r>
          </w:p>
        </w:tc>
      </w:tr>
      <w:tr w:rsidR="00D64E2C" w:rsidRPr="00D02A2E" w14:paraId="38741555" w14:textId="77777777" w:rsidTr="000F1C6B">
        <w:trPr>
          <w:cantSplit/>
        </w:trPr>
        <w:tc>
          <w:tcPr>
            <w:tcW w:w="9639" w:type="dxa"/>
            <w:gridSpan w:val="6"/>
            <w:tcBorders>
              <w:top w:val="single" w:sz="4" w:space="0" w:color="auto"/>
            </w:tcBorders>
            <w:shd w:val="clear" w:color="auto" w:fill="auto"/>
            <w:hideMark/>
          </w:tcPr>
          <w:p w14:paraId="7F1DE200" w14:textId="77777777" w:rsidR="00D64E2C" w:rsidRPr="00D02A2E" w:rsidRDefault="00D64E2C" w:rsidP="00D64E2C">
            <w:pPr>
              <w:pStyle w:val="ARtablegreybold"/>
              <w:rPr>
                <w:rFonts w:ascii="Wingdings" w:hAnsi="Wingdings"/>
              </w:rPr>
            </w:pPr>
            <w:r>
              <w:t>Quality</w:t>
            </w:r>
          </w:p>
        </w:tc>
      </w:tr>
      <w:tr w:rsidR="00D64E2C" w:rsidRPr="00D02A2E" w14:paraId="2807482F" w14:textId="77777777" w:rsidTr="000F1C6B">
        <w:trPr>
          <w:cantSplit/>
        </w:trPr>
        <w:tc>
          <w:tcPr>
            <w:tcW w:w="4761" w:type="dxa"/>
            <w:shd w:val="clear" w:color="auto" w:fill="auto"/>
            <w:hideMark/>
          </w:tcPr>
          <w:p w14:paraId="5863371E" w14:textId="77777777" w:rsidR="00D64E2C" w:rsidRPr="00D02A2E" w:rsidRDefault="00D64E2C" w:rsidP="00D64E2C">
            <w:pPr>
              <w:pStyle w:val="ARtabletext"/>
            </w:pPr>
            <w:r w:rsidRPr="00C5726C">
              <w:rPr>
                <w:noProof/>
              </w:rPr>
              <w:t>Percentage of health services accredited</w:t>
            </w:r>
          </w:p>
        </w:tc>
        <w:tc>
          <w:tcPr>
            <w:tcW w:w="1021" w:type="dxa"/>
            <w:shd w:val="clear" w:color="auto" w:fill="auto"/>
            <w:hideMark/>
          </w:tcPr>
          <w:p w14:paraId="7146608C" w14:textId="77777777" w:rsidR="00D64E2C" w:rsidRPr="00D02A2E" w:rsidRDefault="00D64E2C" w:rsidP="00D64E2C">
            <w:pPr>
              <w:pStyle w:val="ARtabletextcentre"/>
            </w:pPr>
            <w:r w:rsidRPr="00C5726C">
              <w:rPr>
                <w:noProof/>
              </w:rPr>
              <w:t>per cent</w:t>
            </w:r>
          </w:p>
        </w:tc>
        <w:tc>
          <w:tcPr>
            <w:tcW w:w="1021" w:type="dxa"/>
            <w:shd w:val="clear" w:color="auto" w:fill="auto"/>
            <w:hideMark/>
          </w:tcPr>
          <w:p w14:paraId="33F2D538" w14:textId="77777777" w:rsidR="00D64E2C" w:rsidRDefault="00D64E2C" w:rsidP="00D64E2C">
            <w:pPr>
              <w:pStyle w:val="ARtabletextright"/>
            </w:pPr>
            <w:r w:rsidRPr="00C5726C">
              <w:rPr>
                <w:noProof/>
              </w:rPr>
              <w:t>100</w:t>
            </w:r>
          </w:p>
        </w:tc>
        <w:tc>
          <w:tcPr>
            <w:tcW w:w="1021" w:type="dxa"/>
            <w:shd w:val="clear" w:color="auto" w:fill="auto"/>
            <w:hideMark/>
          </w:tcPr>
          <w:p w14:paraId="05EA90A7" w14:textId="77777777" w:rsidR="00D64E2C" w:rsidRDefault="00D64E2C" w:rsidP="00D64E2C">
            <w:pPr>
              <w:pStyle w:val="ARtabletextright"/>
            </w:pPr>
            <w:r w:rsidRPr="00C5726C">
              <w:rPr>
                <w:noProof/>
              </w:rPr>
              <w:t>100</w:t>
            </w:r>
          </w:p>
        </w:tc>
        <w:tc>
          <w:tcPr>
            <w:tcW w:w="1021" w:type="dxa"/>
            <w:shd w:val="clear" w:color="auto" w:fill="auto"/>
          </w:tcPr>
          <w:p w14:paraId="12BBF8D7" w14:textId="77777777" w:rsidR="00D64E2C" w:rsidRDefault="00D64E2C" w:rsidP="00D64E2C">
            <w:pPr>
              <w:pStyle w:val="ARtabletextright"/>
            </w:pPr>
            <w:r w:rsidRPr="00C5726C">
              <w:rPr>
                <w:noProof/>
              </w:rPr>
              <w:t>0</w:t>
            </w:r>
          </w:p>
        </w:tc>
        <w:tc>
          <w:tcPr>
            <w:tcW w:w="794" w:type="dxa"/>
            <w:shd w:val="clear" w:color="auto" w:fill="auto"/>
            <w:hideMark/>
          </w:tcPr>
          <w:p w14:paraId="5045FCFD" w14:textId="4920E6BC" w:rsidR="00D64E2C" w:rsidRPr="00D02A2E" w:rsidRDefault="00CF2633" w:rsidP="00C575AB">
            <w:pPr>
              <w:pStyle w:val="ARtableperformancesymbol"/>
            </w:pPr>
            <w:r>
              <w:rPr>
                <w:noProof/>
              </w:rPr>
              <w:drawing>
                <wp:inline distT="0" distB="0" distL="0" distR="0" wp14:anchorId="1DAC95C3" wp14:editId="00FA0946">
                  <wp:extent cx="85320" cy="85320"/>
                  <wp:effectExtent l="0" t="0" r="0" b="0"/>
                  <wp:docPr id="197" name="Graphic 197"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D64E2C" w:rsidRPr="00D02A2E" w14:paraId="67EB23AA" w14:textId="77777777" w:rsidTr="000F1C6B">
        <w:trPr>
          <w:cantSplit/>
        </w:trPr>
        <w:tc>
          <w:tcPr>
            <w:tcW w:w="9639" w:type="dxa"/>
            <w:gridSpan w:val="6"/>
            <w:tcBorders>
              <w:top w:val="single" w:sz="4" w:space="0" w:color="auto"/>
            </w:tcBorders>
            <w:shd w:val="clear" w:color="auto" w:fill="auto"/>
            <w:hideMark/>
          </w:tcPr>
          <w:p w14:paraId="3A68F77C" w14:textId="77777777" w:rsidR="00D64E2C" w:rsidRPr="00D02A2E" w:rsidRDefault="00D64E2C" w:rsidP="00D64E2C">
            <w:pPr>
              <w:pStyle w:val="ARtablegreybold"/>
              <w:rPr>
                <w:rFonts w:ascii="Wingdings" w:hAnsi="Wingdings"/>
              </w:rPr>
            </w:pPr>
            <w:r>
              <w:t>Cost</w:t>
            </w:r>
          </w:p>
        </w:tc>
      </w:tr>
      <w:tr w:rsidR="00D64E2C" w:rsidRPr="00D02A2E" w14:paraId="6BDEE99C" w14:textId="77777777" w:rsidTr="000F1C6B">
        <w:trPr>
          <w:cantSplit/>
        </w:trPr>
        <w:tc>
          <w:tcPr>
            <w:tcW w:w="4761" w:type="dxa"/>
            <w:shd w:val="clear" w:color="auto" w:fill="auto"/>
            <w:hideMark/>
          </w:tcPr>
          <w:p w14:paraId="42C425DF" w14:textId="77777777" w:rsidR="00D64E2C" w:rsidRPr="00366A5A" w:rsidRDefault="00D64E2C" w:rsidP="00D64E2C">
            <w:pPr>
              <w:pStyle w:val="ARtabletext"/>
              <w:rPr>
                <w:b/>
              </w:rPr>
            </w:pPr>
            <w:r w:rsidRPr="00366A5A">
              <w:rPr>
                <w:b/>
              </w:rPr>
              <w:t>Total Output Cost</w:t>
            </w:r>
          </w:p>
        </w:tc>
        <w:tc>
          <w:tcPr>
            <w:tcW w:w="1021" w:type="dxa"/>
            <w:shd w:val="clear" w:color="auto" w:fill="auto"/>
            <w:hideMark/>
          </w:tcPr>
          <w:p w14:paraId="79EDB22D" w14:textId="77777777" w:rsidR="00D64E2C" w:rsidRPr="00366A5A" w:rsidRDefault="00D64E2C" w:rsidP="00D64E2C">
            <w:pPr>
              <w:pStyle w:val="ARtabletextcentre"/>
              <w:rPr>
                <w:b/>
              </w:rPr>
            </w:pPr>
            <w:r w:rsidRPr="00366A5A">
              <w:rPr>
                <w:b/>
              </w:rPr>
              <w:t>$ million</w:t>
            </w:r>
          </w:p>
        </w:tc>
        <w:tc>
          <w:tcPr>
            <w:tcW w:w="1021" w:type="dxa"/>
            <w:shd w:val="clear" w:color="auto" w:fill="auto"/>
            <w:hideMark/>
          </w:tcPr>
          <w:p w14:paraId="2ED96435" w14:textId="77777777" w:rsidR="00D64E2C" w:rsidRPr="00366A5A" w:rsidRDefault="00D64E2C" w:rsidP="00D64E2C">
            <w:pPr>
              <w:pStyle w:val="ARtabletextright"/>
              <w:rPr>
                <w:b/>
              </w:rPr>
            </w:pPr>
            <w:r w:rsidRPr="00366A5A">
              <w:rPr>
                <w:b/>
              </w:rPr>
              <w:t>443.7</w:t>
            </w:r>
          </w:p>
        </w:tc>
        <w:tc>
          <w:tcPr>
            <w:tcW w:w="1021" w:type="dxa"/>
            <w:shd w:val="clear" w:color="auto" w:fill="auto"/>
            <w:hideMark/>
          </w:tcPr>
          <w:p w14:paraId="64E60278" w14:textId="77777777" w:rsidR="00D64E2C" w:rsidRPr="00366A5A" w:rsidRDefault="00D64E2C" w:rsidP="00D64E2C">
            <w:pPr>
              <w:pStyle w:val="ARtabletextright"/>
              <w:rPr>
                <w:b/>
              </w:rPr>
            </w:pPr>
            <w:r w:rsidRPr="00366A5A">
              <w:rPr>
                <w:b/>
              </w:rPr>
              <w:t>446.5</w:t>
            </w:r>
          </w:p>
        </w:tc>
        <w:tc>
          <w:tcPr>
            <w:tcW w:w="1021" w:type="dxa"/>
            <w:shd w:val="clear" w:color="auto" w:fill="auto"/>
          </w:tcPr>
          <w:p w14:paraId="66F99ECB" w14:textId="77777777" w:rsidR="00D64E2C" w:rsidRPr="00366A5A" w:rsidRDefault="00D64E2C" w:rsidP="00D64E2C">
            <w:pPr>
              <w:pStyle w:val="ARtabletextright"/>
              <w:rPr>
                <w:b/>
              </w:rPr>
            </w:pPr>
            <w:r w:rsidRPr="00366A5A">
              <w:rPr>
                <w:b/>
              </w:rPr>
              <w:t>0.6</w:t>
            </w:r>
          </w:p>
        </w:tc>
        <w:tc>
          <w:tcPr>
            <w:tcW w:w="794" w:type="dxa"/>
            <w:shd w:val="clear" w:color="auto" w:fill="auto"/>
            <w:hideMark/>
          </w:tcPr>
          <w:p w14:paraId="114DAC7D" w14:textId="77777777" w:rsidR="00D64E2C" w:rsidRPr="00366A5A" w:rsidRDefault="00D64E2C" w:rsidP="00D64E2C">
            <w:pPr>
              <w:pStyle w:val="ARtabletextright"/>
              <w:rPr>
                <w:b/>
              </w:rPr>
            </w:pPr>
          </w:p>
        </w:tc>
      </w:tr>
      <w:tr w:rsidR="00D64E2C" w:rsidRPr="00D02A2E" w14:paraId="76F48809" w14:textId="77777777" w:rsidTr="000F1C6B">
        <w:trPr>
          <w:cantSplit/>
        </w:trPr>
        <w:tc>
          <w:tcPr>
            <w:tcW w:w="9639" w:type="dxa"/>
            <w:gridSpan w:val="6"/>
            <w:tcBorders>
              <w:bottom w:val="single" w:sz="4" w:space="0" w:color="BFBFBF"/>
            </w:tcBorders>
            <w:shd w:val="clear" w:color="auto" w:fill="auto"/>
            <w:noWrap/>
            <w:hideMark/>
          </w:tcPr>
          <w:p w14:paraId="61B4FA55" w14:textId="77777777" w:rsidR="00D64E2C" w:rsidRPr="00D02A2E" w:rsidRDefault="00D64E2C" w:rsidP="00D64E2C">
            <w:pPr>
              <w:pStyle w:val="ARtablenoteindent"/>
            </w:pPr>
            <w:r w:rsidRPr="00C5726C">
              <w:rPr>
                <w:noProof/>
              </w:rPr>
              <w:t>The 202</w:t>
            </w:r>
            <w:r>
              <w:rPr>
                <w:noProof/>
              </w:rPr>
              <w:t>0–</w:t>
            </w:r>
            <w:r w:rsidRPr="00C5726C">
              <w:rPr>
                <w:noProof/>
              </w:rPr>
              <w:t>21 actual outcome reflects an output realignment to Acute Training &amp; Development related to the COVID-19 response</w:t>
            </w:r>
            <w:r>
              <w:rPr>
                <w:noProof/>
              </w:rPr>
              <w:t>.</w:t>
            </w:r>
          </w:p>
        </w:tc>
      </w:tr>
      <w:tr w:rsidR="00D64E2C" w:rsidRPr="00D02A2E" w14:paraId="754B83A3" w14:textId="77777777" w:rsidTr="000F1C6B">
        <w:trPr>
          <w:cantSplit/>
        </w:trPr>
        <w:tc>
          <w:tcPr>
            <w:tcW w:w="9639" w:type="dxa"/>
            <w:gridSpan w:val="6"/>
            <w:tcBorders>
              <w:top w:val="single" w:sz="4" w:space="0" w:color="auto"/>
              <w:bottom w:val="single" w:sz="4" w:space="0" w:color="auto"/>
            </w:tcBorders>
            <w:shd w:val="clear" w:color="auto" w:fill="auto"/>
            <w:hideMark/>
          </w:tcPr>
          <w:p w14:paraId="1E13B676" w14:textId="77777777" w:rsidR="00D64E2C" w:rsidRPr="00D02A2E" w:rsidRDefault="00D64E2C" w:rsidP="00D64E2C">
            <w:pPr>
              <w:pStyle w:val="ARtablebluebold"/>
              <w:rPr>
                <w:rFonts w:ascii="Wingdings" w:hAnsi="Wingdings"/>
              </w:rPr>
            </w:pPr>
            <w:r w:rsidRPr="00362A0E">
              <w:t>Small Rural Services</w:t>
            </w:r>
            <w:r>
              <w:t xml:space="preserve"> – </w:t>
            </w:r>
            <w:r w:rsidRPr="00362A0E">
              <w:t>Aged Care</w:t>
            </w:r>
          </w:p>
        </w:tc>
      </w:tr>
      <w:tr w:rsidR="00D64E2C" w:rsidRPr="00D02A2E" w14:paraId="199F7D4F" w14:textId="77777777" w:rsidTr="000F1C6B">
        <w:trPr>
          <w:cantSplit/>
        </w:trPr>
        <w:tc>
          <w:tcPr>
            <w:tcW w:w="9639" w:type="dxa"/>
            <w:gridSpan w:val="6"/>
            <w:tcBorders>
              <w:top w:val="single" w:sz="4" w:space="0" w:color="auto"/>
            </w:tcBorders>
            <w:shd w:val="clear" w:color="auto" w:fill="auto"/>
            <w:hideMark/>
          </w:tcPr>
          <w:p w14:paraId="6D05FBF3" w14:textId="77777777" w:rsidR="00D64E2C" w:rsidRPr="00D02A2E" w:rsidRDefault="00D64E2C" w:rsidP="00D64E2C">
            <w:pPr>
              <w:pStyle w:val="ARtablegreybold"/>
              <w:rPr>
                <w:rFonts w:ascii="Wingdings" w:hAnsi="Wingdings"/>
              </w:rPr>
            </w:pPr>
            <w:r>
              <w:t>Quantity</w:t>
            </w:r>
          </w:p>
        </w:tc>
      </w:tr>
      <w:tr w:rsidR="00D64E2C" w:rsidRPr="00D02A2E" w14:paraId="60F65E6F" w14:textId="77777777" w:rsidTr="000F1C6B">
        <w:trPr>
          <w:cantSplit/>
        </w:trPr>
        <w:tc>
          <w:tcPr>
            <w:tcW w:w="4761" w:type="dxa"/>
            <w:shd w:val="clear" w:color="auto" w:fill="auto"/>
            <w:hideMark/>
          </w:tcPr>
          <w:p w14:paraId="1697060F" w14:textId="77777777" w:rsidR="00D64E2C" w:rsidRPr="00D02A2E" w:rsidRDefault="00D64E2C" w:rsidP="00D64E2C">
            <w:pPr>
              <w:pStyle w:val="ARtabletext"/>
            </w:pPr>
            <w:r w:rsidRPr="00C5726C">
              <w:rPr>
                <w:noProof/>
              </w:rPr>
              <w:t>Small rural available bed days</w:t>
            </w:r>
          </w:p>
        </w:tc>
        <w:tc>
          <w:tcPr>
            <w:tcW w:w="1021" w:type="dxa"/>
            <w:shd w:val="clear" w:color="auto" w:fill="auto"/>
            <w:hideMark/>
          </w:tcPr>
          <w:p w14:paraId="3AD0366E" w14:textId="77777777" w:rsidR="00D64E2C" w:rsidRPr="00D02A2E" w:rsidRDefault="00D64E2C" w:rsidP="00D64E2C">
            <w:pPr>
              <w:pStyle w:val="ARtabletextcentre"/>
            </w:pPr>
            <w:r w:rsidRPr="00C5726C">
              <w:rPr>
                <w:noProof/>
              </w:rPr>
              <w:t>number</w:t>
            </w:r>
          </w:p>
        </w:tc>
        <w:tc>
          <w:tcPr>
            <w:tcW w:w="1021" w:type="dxa"/>
            <w:shd w:val="clear" w:color="auto" w:fill="auto"/>
            <w:hideMark/>
          </w:tcPr>
          <w:p w14:paraId="60C4F0A7" w14:textId="77777777" w:rsidR="00D64E2C" w:rsidRPr="005C232D" w:rsidRDefault="00D64E2C" w:rsidP="00D64E2C">
            <w:pPr>
              <w:pStyle w:val="ARtabletextright"/>
            </w:pPr>
            <w:r w:rsidRPr="005C232D">
              <w:rPr>
                <w:noProof/>
              </w:rPr>
              <w:t>701,143</w:t>
            </w:r>
          </w:p>
        </w:tc>
        <w:tc>
          <w:tcPr>
            <w:tcW w:w="1021" w:type="dxa"/>
            <w:shd w:val="clear" w:color="auto" w:fill="auto"/>
            <w:hideMark/>
          </w:tcPr>
          <w:p w14:paraId="7E511693" w14:textId="77777777" w:rsidR="00D64E2C" w:rsidRPr="005C232D" w:rsidRDefault="00D64E2C" w:rsidP="00D64E2C">
            <w:pPr>
              <w:pStyle w:val="ARtabletextright"/>
            </w:pPr>
            <w:r w:rsidRPr="005C232D">
              <w:rPr>
                <w:noProof/>
              </w:rPr>
              <w:t>701,143</w:t>
            </w:r>
          </w:p>
        </w:tc>
        <w:tc>
          <w:tcPr>
            <w:tcW w:w="1021" w:type="dxa"/>
            <w:shd w:val="clear" w:color="auto" w:fill="auto"/>
          </w:tcPr>
          <w:p w14:paraId="07DBF26D" w14:textId="77777777" w:rsidR="00D64E2C" w:rsidRDefault="00D64E2C" w:rsidP="00D64E2C">
            <w:pPr>
              <w:pStyle w:val="ARtabletextright"/>
            </w:pPr>
            <w:r w:rsidRPr="00C5726C">
              <w:rPr>
                <w:noProof/>
              </w:rPr>
              <w:t>0</w:t>
            </w:r>
          </w:p>
        </w:tc>
        <w:tc>
          <w:tcPr>
            <w:tcW w:w="794" w:type="dxa"/>
            <w:shd w:val="clear" w:color="auto" w:fill="auto"/>
            <w:hideMark/>
          </w:tcPr>
          <w:p w14:paraId="1BEFFE2A" w14:textId="278A6D81" w:rsidR="00D64E2C" w:rsidRPr="00D02A2E" w:rsidRDefault="00CF2633" w:rsidP="00C575AB">
            <w:pPr>
              <w:pStyle w:val="ARtableperformancesymbol"/>
            </w:pPr>
            <w:r>
              <w:rPr>
                <w:noProof/>
              </w:rPr>
              <w:drawing>
                <wp:inline distT="0" distB="0" distL="0" distR="0" wp14:anchorId="6129E8E2" wp14:editId="1FD81573">
                  <wp:extent cx="85320" cy="85320"/>
                  <wp:effectExtent l="0" t="0" r="0" b="0"/>
                  <wp:docPr id="198" name="Graphic 198"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D64E2C" w:rsidRPr="00D02A2E" w14:paraId="7C8B30FA" w14:textId="77777777" w:rsidTr="000F1C6B">
        <w:trPr>
          <w:cantSplit/>
        </w:trPr>
        <w:tc>
          <w:tcPr>
            <w:tcW w:w="9639" w:type="dxa"/>
            <w:gridSpan w:val="6"/>
            <w:tcBorders>
              <w:top w:val="single" w:sz="4" w:space="0" w:color="auto"/>
            </w:tcBorders>
            <w:shd w:val="clear" w:color="auto" w:fill="auto"/>
            <w:hideMark/>
          </w:tcPr>
          <w:p w14:paraId="6691A59C" w14:textId="77777777" w:rsidR="00D64E2C" w:rsidRPr="00D02A2E" w:rsidRDefault="00D64E2C" w:rsidP="00D64E2C">
            <w:pPr>
              <w:pStyle w:val="ARtablegreybold"/>
              <w:rPr>
                <w:rFonts w:ascii="Wingdings" w:hAnsi="Wingdings"/>
              </w:rPr>
            </w:pPr>
            <w:r>
              <w:t>Quality</w:t>
            </w:r>
          </w:p>
        </w:tc>
      </w:tr>
      <w:tr w:rsidR="00D64E2C" w:rsidRPr="00D02A2E" w14:paraId="64AAECB1" w14:textId="77777777" w:rsidTr="000F1C6B">
        <w:trPr>
          <w:cantSplit/>
        </w:trPr>
        <w:tc>
          <w:tcPr>
            <w:tcW w:w="4761" w:type="dxa"/>
            <w:shd w:val="clear" w:color="auto" w:fill="auto"/>
            <w:hideMark/>
          </w:tcPr>
          <w:p w14:paraId="02E2E8D3" w14:textId="77777777" w:rsidR="00D64E2C" w:rsidRPr="00D02A2E" w:rsidRDefault="00D64E2C" w:rsidP="00D64E2C">
            <w:pPr>
              <w:pStyle w:val="ARtabletext"/>
            </w:pPr>
            <w:r w:rsidRPr="00C5726C">
              <w:rPr>
                <w:noProof/>
              </w:rPr>
              <w:t>Residential care services accredited</w:t>
            </w:r>
          </w:p>
        </w:tc>
        <w:tc>
          <w:tcPr>
            <w:tcW w:w="1021" w:type="dxa"/>
            <w:shd w:val="clear" w:color="auto" w:fill="auto"/>
            <w:hideMark/>
          </w:tcPr>
          <w:p w14:paraId="560A9FD2" w14:textId="77777777" w:rsidR="00D64E2C" w:rsidRPr="00D02A2E" w:rsidRDefault="00D64E2C" w:rsidP="00D64E2C">
            <w:pPr>
              <w:pStyle w:val="ARtabletextcentre"/>
            </w:pPr>
            <w:r w:rsidRPr="00C5726C">
              <w:rPr>
                <w:noProof/>
              </w:rPr>
              <w:t>per cent</w:t>
            </w:r>
          </w:p>
        </w:tc>
        <w:tc>
          <w:tcPr>
            <w:tcW w:w="1021" w:type="dxa"/>
            <w:shd w:val="clear" w:color="auto" w:fill="auto"/>
            <w:hideMark/>
          </w:tcPr>
          <w:p w14:paraId="70A22BD5" w14:textId="77777777" w:rsidR="00D64E2C" w:rsidRDefault="00D64E2C" w:rsidP="00D64E2C">
            <w:pPr>
              <w:pStyle w:val="ARtabletextright"/>
            </w:pPr>
            <w:r w:rsidRPr="00C5726C">
              <w:rPr>
                <w:noProof/>
              </w:rPr>
              <w:t>100</w:t>
            </w:r>
          </w:p>
        </w:tc>
        <w:tc>
          <w:tcPr>
            <w:tcW w:w="1021" w:type="dxa"/>
            <w:shd w:val="clear" w:color="auto" w:fill="auto"/>
            <w:hideMark/>
          </w:tcPr>
          <w:p w14:paraId="1878747B" w14:textId="77777777" w:rsidR="00D64E2C" w:rsidRDefault="00D64E2C" w:rsidP="00D64E2C">
            <w:pPr>
              <w:pStyle w:val="ARtabletextright"/>
            </w:pPr>
            <w:r w:rsidRPr="00C5726C">
              <w:rPr>
                <w:noProof/>
              </w:rPr>
              <w:t>100</w:t>
            </w:r>
          </w:p>
        </w:tc>
        <w:tc>
          <w:tcPr>
            <w:tcW w:w="1021" w:type="dxa"/>
            <w:shd w:val="clear" w:color="auto" w:fill="auto"/>
          </w:tcPr>
          <w:p w14:paraId="60194DF3" w14:textId="77777777" w:rsidR="00D64E2C" w:rsidRDefault="00D64E2C" w:rsidP="00D64E2C">
            <w:pPr>
              <w:pStyle w:val="ARtabletextright"/>
            </w:pPr>
            <w:r w:rsidRPr="00C5726C">
              <w:rPr>
                <w:noProof/>
              </w:rPr>
              <w:t>0</w:t>
            </w:r>
          </w:p>
        </w:tc>
        <w:tc>
          <w:tcPr>
            <w:tcW w:w="794" w:type="dxa"/>
            <w:shd w:val="clear" w:color="auto" w:fill="auto"/>
            <w:hideMark/>
          </w:tcPr>
          <w:p w14:paraId="45D0571E" w14:textId="24D5D073" w:rsidR="00D64E2C" w:rsidRPr="00D02A2E" w:rsidRDefault="00CF2633" w:rsidP="00C575AB">
            <w:pPr>
              <w:pStyle w:val="ARtableperformancesymbol"/>
            </w:pPr>
            <w:r>
              <w:rPr>
                <w:noProof/>
              </w:rPr>
              <w:drawing>
                <wp:inline distT="0" distB="0" distL="0" distR="0" wp14:anchorId="4857431C" wp14:editId="56B6681B">
                  <wp:extent cx="85320" cy="85320"/>
                  <wp:effectExtent l="0" t="0" r="0" b="0"/>
                  <wp:docPr id="199" name="Graphic 199"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D64E2C" w:rsidRPr="00D02A2E" w14:paraId="2328938C" w14:textId="77777777" w:rsidTr="000F1C6B">
        <w:trPr>
          <w:cantSplit/>
        </w:trPr>
        <w:tc>
          <w:tcPr>
            <w:tcW w:w="9639" w:type="dxa"/>
            <w:gridSpan w:val="6"/>
            <w:tcBorders>
              <w:top w:val="single" w:sz="4" w:space="0" w:color="auto"/>
            </w:tcBorders>
            <w:shd w:val="clear" w:color="auto" w:fill="auto"/>
            <w:hideMark/>
          </w:tcPr>
          <w:p w14:paraId="0C47377E" w14:textId="77777777" w:rsidR="00D64E2C" w:rsidRPr="00D02A2E" w:rsidRDefault="00D64E2C" w:rsidP="00D64E2C">
            <w:pPr>
              <w:pStyle w:val="ARtablegreybold"/>
              <w:rPr>
                <w:rFonts w:ascii="Wingdings" w:hAnsi="Wingdings"/>
              </w:rPr>
            </w:pPr>
            <w:r>
              <w:t>Cost</w:t>
            </w:r>
          </w:p>
        </w:tc>
      </w:tr>
      <w:tr w:rsidR="00D64E2C" w:rsidRPr="00D02A2E" w14:paraId="077F3B18" w14:textId="77777777" w:rsidTr="000F1C6B">
        <w:trPr>
          <w:cantSplit/>
        </w:trPr>
        <w:tc>
          <w:tcPr>
            <w:tcW w:w="4761" w:type="dxa"/>
            <w:shd w:val="clear" w:color="auto" w:fill="auto"/>
            <w:hideMark/>
          </w:tcPr>
          <w:p w14:paraId="66B1333B" w14:textId="77777777" w:rsidR="00D64E2C" w:rsidRPr="00A95DC7" w:rsidRDefault="00D64E2C" w:rsidP="00D64E2C">
            <w:pPr>
              <w:pStyle w:val="ARtabletext"/>
              <w:rPr>
                <w:b/>
                <w:bCs/>
              </w:rPr>
            </w:pPr>
            <w:r w:rsidRPr="00A95DC7">
              <w:rPr>
                <w:b/>
                <w:bCs/>
                <w:noProof/>
              </w:rPr>
              <w:t>Total Output Cost</w:t>
            </w:r>
          </w:p>
        </w:tc>
        <w:tc>
          <w:tcPr>
            <w:tcW w:w="1021" w:type="dxa"/>
            <w:shd w:val="clear" w:color="auto" w:fill="auto"/>
            <w:hideMark/>
          </w:tcPr>
          <w:p w14:paraId="37074250" w14:textId="77777777" w:rsidR="00D64E2C" w:rsidRPr="00A95DC7" w:rsidRDefault="00D64E2C" w:rsidP="00D64E2C">
            <w:pPr>
              <w:pStyle w:val="ARtabletextcentre"/>
            </w:pPr>
            <w:r w:rsidRPr="00A95DC7">
              <w:rPr>
                <w:b/>
                <w:bCs/>
                <w:noProof/>
              </w:rPr>
              <w:t>$ million</w:t>
            </w:r>
          </w:p>
        </w:tc>
        <w:tc>
          <w:tcPr>
            <w:tcW w:w="1021" w:type="dxa"/>
            <w:shd w:val="clear" w:color="auto" w:fill="auto"/>
            <w:hideMark/>
          </w:tcPr>
          <w:p w14:paraId="2C87D5C6" w14:textId="77777777" w:rsidR="00D64E2C" w:rsidRPr="00A95DC7" w:rsidRDefault="00D64E2C" w:rsidP="00D64E2C">
            <w:pPr>
              <w:pStyle w:val="ARtabletextright"/>
              <w:rPr>
                <w:b/>
                <w:bCs/>
              </w:rPr>
            </w:pPr>
            <w:r w:rsidRPr="00A95DC7">
              <w:rPr>
                <w:b/>
                <w:bCs/>
                <w:noProof/>
              </w:rPr>
              <w:t>247.8</w:t>
            </w:r>
          </w:p>
        </w:tc>
        <w:tc>
          <w:tcPr>
            <w:tcW w:w="1021" w:type="dxa"/>
            <w:shd w:val="clear" w:color="auto" w:fill="auto"/>
            <w:hideMark/>
          </w:tcPr>
          <w:p w14:paraId="7220D72E" w14:textId="77777777" w:rsidR="00D64E2C" w:rsidRPr="00A95DC7" w:rsidRDefault="00D64E2C" w:rsidP="00D64E2C">
            <w:pPr>
              <w:pStyle w:val="ARtabletextright"/>
              <w:rPr>
                <w:b/>
                <w:bCs/>
              </w:rPr>
            </w:pPr>
            <w:r w:rsidRPr="00A95DC7">
              <w:rPr>
                <w:b/>
                <w:bCs/>
                <w:noProof/>
              </w:rPr>
              <w:t>260</w:t>
            </w:r>
          </w:p>
        </w:tc>
        <w:tc>
          <w:tcPr>
            <w:tcW w:w="1021" w:type="dxa"/>
            <w:shd w:val="clear" w:color="auto" w:fill="auto"/>
          </w:tcPr>
          <w:p w14:paraId="70EC0023" w14:textId="77777777" w:rsidR="00D64E2C" w:rsidRPr="00A95DC7" w:rsidRDefault="00D64E2C" w:rsidP="00D64E2C">
            <w:pPr>
              <w:pStyle w:val="ARtabletextright"/>
              <w:rPr>
                <w:b/>
                <w:bCs/>
              </w:rPr>
            </w:pPr>
            <w:r w:rsidRPr="00A95DC7">
              <w:rPr>
                <w:b/>
                <w:bCs/>
                <w:noProof/>
              </w:rPr>
              <w:t>4.9</w:t>
            </w:r>
          </w:p>
        </w:tc>
        <w:tc>
          <w:tcPr>
            <w:tcW w:w="794" w:type="dxa"/>
            <w:shd w:val="clear" w:color="auto" w:fill="auto"/>
            <w:hideMark/>
          </w:tcPr>
          <w:p w14:paraId="28CE2571" w14:textId="77777777" w:rsidR="00D64E2C" w:rsidRPr="00A95DC7" w:rsidRDefault="00D64E2C" w:rsidP="00D64E2C">
            <w:pPr>
              <w:pStyle w:val="ARtabletextright"/>
              <w:rPr>
                <w:b/>
                <w:bCs/>
              </w:rPr>
            </w:pPr>
          </w:p>
        </w:tc>
      </w:tr>
      <w:tr w:rsidR="00D64E2C" w:rsidRPr="00D02A2E" w14:paraId="2FF8F324" w14:textId="77777777" w:rsidTr="000F1C6B">
        <w:trPr>
          <w:cantSplit/>
        </w:trPr>
        <w:tc>
          <w:tcPr>
            <w:tcW w:w="9639" w:type="dxa"/>
            <w:gridSpan w:val="6"/>
            <w:tcBorders>
              <w:bottom w:val="single" w:sz="4" w:space="0" w:color="BFBFBF"/>
            </w:tcBorders>
            <w:shd w:val="clear" w:color="auto" w:fill="auto"/>
            <w:noWrap/>
            <w:hideMark/>
          </w:tcPr>
          <w:p w14:paraId="370AAF6E" w14:textId="77777777" w:rsidR="00D64E2C" w:rsidRPr="00D02A2E" w:rsidRDefault="00D64E2C" w:rsidP="00D64E2C">
            <w:pPr>
              <w:pStyle w:val="ARtablenoteindent"/>
            </w:pPr>
            <w:r w:rsidRPr="00C5726C">
              <w:rPr>
                <w:noProof/>
              </w:rPr>
              <w:t>The 202</w:t>
            </w:r>
            <w:r>
              <w:rPr>
                <w:noProof/>
              </w:rPr>
              <w:t>0–</w:t>
            </w:r>
            <w:r w:rsidRPr="00C5726C">
              <w:rPr>
                <w:noProof/>
              </w:rPr>
              <w:t>21 actual outcome primarily reflects higher than expected Commonwealth Residential Contribution</w:t>
            </w:r>
            <w:r>
              <w:rPr>
                <w:noProof/>
              </w:rPr>
              <w:t xml:space="preserve"> </w:t>
            </w:r>
            <w:r w:rsidRPr="00C5726C">
              <w:rPr>
                <w:noProof/>
              </w:rPr>
              <w:t>paid directly to agencies.</w:t>
            </w:r>
          </w:p>
        </w:tc>
      </w:tr>
      <w:tr w:rsidR="00D64E2C" w:rsidRPr="00D02A2E" w14:paraId="680AC3BE" w14:textId="77777777" w:rsidTr="000F1C6B">
        <w:trPr>
          <w:cantSplit/>
        </w:trPr>
        <w:tc>
          <w:tcPr>
            <w:tcW w:w="9639" w:type="dxa"/>
            <w:gridSpan w:val="6"/>
            <w:tcBorders>
              <w:top w:val="single" w:sz="4" w:space="0" w:color="auto"/>
              <w:bottom w:val="single" w:sz="4" w:space="0" w:color="auto"/>
            </w:tcBorders>
            <w:shd w:val="clear" w:color="auto" w:fill="auto"/>
            <w:hideMark/>
          </w:tcPr>
          <w:p w14:paraId="7C94804B" w14:textId="77777777" w:rsidR="00D64E2C" w:rsidRPr="00D02A2E" w:rsidRDefault="00D64E2C" w:rsidP="00D64E2C">
            <w:pPr>
              <w:pStyle w:val="ARtablebluebold"/>
              <w:rPr>
                <w:rFonts w:ascii="Wingdings" w:hAnsi="Wingdings"/>
              </w:rPr>
            </w:pPr>
            <w:r w:rsidRPr="00362A0E">
              <w:t>Small Rural Services</w:t>
            </w:r>
            <w:r>
              <w:t xml:space="preserve"> – </w:t>
            </w:r>
            <w:r w:rsidRPr="00362A0E">
              <w:t>Home and Community Care Services</w:t>
            </w:r>
          </w:p>
        </w:tc>
      </w:tr>
      <w:tr w:rsidR="00D64E2C" w:rsidRPr="00D02A2E" w14:paraId="3B0BD1DB" w14:textId="77777777" w:rsidTr="000F1C6B">
        <w:trPr>
          <w:cantSplit/>
        </w:trPr>
        <w:tc>
          <w:tcPr>
            <w:tcW w:w="9639" w:type="dxa"/>
            <w:gridSpan w:val="6"/>
            <w:tcBorders>
              <w:top w:val="single" w:sz="4" w:space="0" w:color="auto"/>
            </w:tcBorders>
            <w:shd w:val="clear" w:color="auto" w:fill="auto"/>
            <w:hideMark/>
          </w:tcPr>
          <w:p w14:paraId="00042BAA" w14:textId="77777777" w:rsidR="00D64E2C" w:rsidRPr="00D02A2E" w:rsidRDefault="00D64E2C" w:rsidP="00D64E2C">
            <w:pPr>
              <w:pStyle w:val="ARtablegreybold"/>
              <w:rPr>
                <w:rFonts w:ascii="Wingdings" w:hAnsi="Wingdings"/>
              </w:rPr>
            </w:pPr>
            <w:r w:rsidRPr="007A45E9">
              <w:t>Quantity</w:t>
            </w:r>
          </w:p>
        </w:tc>
      </w:tr>
      <w:tr w:rsidR="00D64E2C" w:rsidRPr="00D02A2E" w14:paraId="5F7234FE" w14:textId="77777777" w:rsidTr="000F1C6B">
        <w:trPr>
          <w:cantSplit/>
        </w:trPr>
        <w:tc>
          <w:tcPr>
            <w:tcW w:w="4761" w:type="dxa"/>
            <w:shd w:val="clear" w:color="auto" w:fill="auto"/>
            <w:hideMark/>
          </w:tcPr>
          <w:p w14:paraId="4F7E81C5" w14:textId="77777777" w:rsidR="00D64E2C" w:rsidRPr="00D02A2E" w:rsidRDefault="00D64E2C" w:rsidP="00D64E2C">
            <w:pPr>
              <w:pStyle w:val="ARtabletext"/>
            </w:pPr>
            <w:r w:rsidRPr="00C5726C">
              <w:rPr>
                <w:noProof/>
              </w:rPr>
              <w:t>Home and Community Care for Younger People – hours of service delivery</w:t>
            </w:r>
          </w:p>
        </w:tc>
        <w:tc>
          <w:tcPr>
            <w:tcW w:w="1021" w:type="dxa"/>
            <w:shd w:val="clear" w:color="auto" w:fill="auto"/>
            <w:hideMark/>
          </w:tcPr>
          <w:p w14:paraId="434547A5" w14:textId="77777777" w:rsidR="00D64E2C" w:rsidRPr="00D02A2E" w:rsidRDefault="00D64E2C" w:rsidP="00D64E2C">
            <w:pPr>
              <w:pStyle w:val="ARtabletextright"/>
            </w:pPr>
            <w:r w:rsidRPr="00C5726C">
              <w:rPr>
                <w:noProof/>
              </w:rPr>
              <w:t>hours</w:t>
            </w:r>
          </w:p>
        </w:tc>
        <w:tc>
          <w:tcPr>
            <w:tcW w:w="1021" w:type="dxa"/>
            <w:shd w:val="clear" w:color="auto" w:fill="auto"/>
            <w:hideMark/>
          </w:tcPr>
          <w:p w14:paraId="53DA600E" w14:textId="77777777" w:rsidR="00D64E2C" w:rsidRDefault="00D64E2C" w:rsidP="00D64E2C">
            <w:pPr>
              <w:pStyle w:val="ARtabletextright"/>
            </w:pPr>
            <w:r w:rsidRPr="00C5726C">
              <w:rPr>
                <w:noProof/>
              </w:rPr>
              <w:t>55</w:t>
            </w:r>
            <w:r>
              <w:rPr>
                <w:noProof/>
              </w:rPr>
              <w:t>,</w:t>
            </w:r>
            <w:r w:rsidRPr="00C5726C">
              <w:rPr>
                <w:noProof/>
              </w:rPr>
              <w:t>000</w:t>
            </w:r>
          </w:p>
        </w:tc>
        <w:tc>
          <w:tcPr>
            <w:tcW w:w="1021" w:type="dxa"/>
            <w:shd w:val="clear" w:color="auto" w:fill="auto"/>
            <w:hideMark/>
          </w:tcPr>
          <w:p w14:paraId="7BA3CE20" w14:textId="77777777" w:rsidR="00D64E2C" w:rsidRDefault="00D64E2C" w:rsidP="00D64E2C">
            <w:pPr>
              <w:pStyle w:val="ARtabletextright"/>
            </w:pPr>
            <w:r w:rsidRPr="00C5726C">
              <w:rPr>
                <w:noProof/>
              </w:rPr>
              <w:t>4</w:t>
            </w:r>
            <w:r>
              <w:rPr>
                <w:noProof/>
              </w:rPr>
              <w:t>5,922</w:t>
            </w:r>
          </w:p>
        </w:tc>
        <w:tc>
          <w:tcPr>
            <w:tcW w:w="1021" w:type="dxa"/>
            <w:shd w:val="clear" w:color="auto" w:fill="auto"/>
          </w:tcPr>
          <w:p w14:paraId="5627A80C" w14:textId="77777777" w:rsidR="00D64E2C" w:rsidRDefault="00D64E2C" w:rsidP="00D64E2C">
            <w:pPr>
              <w:pStyle w:val="ARtabletextright"/>
            </w:pPr>
            <w:r>
              <w:rPr>
                <w:noProof/>
              </w:rPr>
              <w:t>−16</w:t>
            </w:r>
            <w:r w:rsidRPr="00C5726C">
              <w:rPr>
                <w:noProof/>
              </w:rPr>
              <w:t>.</w:t>
            </w:r>
            <w:r>
              <w:rPr>
                <w:noProof/>
              </w:rPr>
              <w:t>5</w:t>
            </w:r>
          </w:p>
        </w:tc>
        <w:tc>
          <w:tcPr>
            <w:tcW w:w="794" w:type="dxa"/>
            <w:shd w:val="clear" w:color="auto" w:fill="auto"/>
            <w:hideMark/>
          </w:tcPr>
          <w:p w14:paraId="4A66A91A" w14:textId="043D4912" w:rsidR="00D64E2C" w:rsidRPr="00D02A2E" w:rsidRDefault="00D64E2C" w:rsidP="00C575AB">
            <w:pPr>
              <w:pStyle w:val="ARtableperformancesymbol"/>
            </w:pPr>
            <w:r>
              <w:rPr>
                <w:noProof/>
              </w:rPr>
              <w:drawing>
                <wp:inline distT="0" distB="0" distL="0" distR="0" wp14:anchorId="3E28D85C" wp14:editId="40010A54">
                  <wp:extent cx="76320" cy="76320"/>
                  <wp:effectExtent l="0" t="0" r="0" b="0"/>
                  <wp:docPr id="101" name="Graphic 101" descr="Target not achieved – exceeds five per cent vari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Target not achieved – exceeds five per cent varianc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76320" cy="76320"/>
                          </a:xfrm>
                          <a:prstGeom prst="rect">
                            <a:avLst/>
                          </a:prstGeom>
                        </pic:spPr>
                      </pic:pic>
                    </a:graphicData>
                  </a:graphic>
                </wp:inline>
              </w:drawing>
            </w:r>
            <w:r>
              <w:t xml:space="preserve"> </w:t>
            </w:r>
          </w:p>
        </w:tc>
      </w:tr>
      <w:tr w:rsidR="00D64E2C" w:rsidRPr="00D02A2E" w14:paraId="1A0A2CD0" w14:textId="77777777" w:rsidTr="000F1C6B">
        <w:trPr>
          <w:cantSplit/>
        </w:trPr>
        <w:tc>
          <w:tcPr>
            <w:tcW w:w="9639" w:type="dxa"/>
            <w:gridSpan w:val="6"/>
            <w:tcBorders>
              <w:bottom w:val="single" w:sz="4" w:space="0" w:color="BFBFBF"/>
            </w:tcBorders>
            <w:shd w:val="clear" w:color="auto" w:fill="auto"/>
            <w:noWrap/>
            <w:hideMark/>
          </w:tcPr>
          <w:p w14:paraId="3B67D95A" w14:textId="77777777" w:rsidR="00D64E2C" w:rsidRPr="00D02A2E" w:rsidRDefault="00D64E2C" w:rsidP="00D64E2C">
            <w:pPr>
              <w:pStyle w:val="ARtablenoteindent"/>
            </w:pPr>
            <w:r w:rsidRPr="00C5726C">
              <w:rPr>
                <w:noProof/>
              </w:rPr>
              <w:t xml:space="preserve">Service has been impacted by COVID-19. The variance is due to </w:t>
            </w:r>
            <w:r>
              <w:rPr>
                <w:noProof/>
              </w:rPr>
              <w:t xml:space="preserve">the </w:t>
            </w:r>
            <w:r w:rsidRPr="00C5726C">
              <w:rPr>
                <w:noProof/>
              </w:rPr>
              <w:t xml:space="preserve">decrease in ability to provide some services due to the impact of COVID-19 </w:t>
            </w:r>
            <w:r>
              <w:rPr>
                <w:noProof/>
              </w:rPr>
              <w:t>while</w:t>
            </w:r>
            <w:r w:rsidRPr="00C5726C">
              <w:rPr>
                <w:noProof/>
              </w:rPr>
              <w:t xml:space="preserve"> alternative services being delivered cannot be reported in the client database.</w:t>
            </w:r>
          </w:p>
        </w:tc>
      </w:tr>
      <w:tr w:rsidR="00D64E2C" w:rsidRPr="00D02A2E" w14:paraId="44D8E895" w14:textId="77777777" w:rsidTr="000F1C6B">
        <w:trPr>
          <w:cantSplit/>
        </w:trPr>
        <w:tc>
          <w:tcPr>
            <w:tcW w:w="9639" w:type="dxa"/>
            <w:gridSpan w:val="6"/>
            <w:tcBorders>
              <w:top w:val="single" w:sz="4" w:space="0" w:color="auto"/>
            </w:tcBorders>
            <w:shd w:val="clear" w:color="auto" w:fill="auto"/>
            <w:hideMark/>
          </w:tcPr>
          <w:p w14:paraId="1365D63F" w14:textId="77777777" w:rsidR="00D64E2C" w:rsidRPr="00D02A2E" w:rsidRDefault="00D64E2C" w:rsidP="00D64E2C">
            <w:pPr>
              <w:pStyle w:val="ARtablegreybold"/>
              <w:rPr>
                <w:rFonts w:ascii="Wingdings" w:hAnsi="Wingdings"/>
              </w:rPr>
            </w:pPr>
            <w:r>
              <w:t>Cost</w:t>
            </w:r>
          </w:p>
        </w:tc>
      </w:tr>
      <w:tr w:rsidR="00D64E2C" w:rsidRPr="00D02A2E" w14:paraId="5A7C9298" w14:textId="77777777" w:rsidTr="000F1C6B">
        <w:trPr>
          <w:cantSplit/>
        </w:trPr>
        <w:tc>
          <w:tcPr>
            <w:tcW w:w="4761" w:type="dxa"/>
            <w:shd w:val="clear" w:color="auto" w:fill="auto"/>
            <w:hideMark/>
          </w:tcPr>
          <w:p w14:paraId="505F70B9" w14:textId="77777777" w:rsidR="00D64E2C" w:rsidRPr="00A95DC7" w:rsidRDefault="00D64E2C" w:rsidP="00D64E2C">
            <w:pPr>
              <w:pStyle w:val="ARtabletext"/>
              <w:rPr>
                <w:b/>
                <w:bCs/>
              </w:rPr>
            </w:pPr>
            <w:r w:rsidRPr="00A95DC7">
              <w:rPr>
                <w:b/>
                <w:bCs/>
                <w:noProof/>
              </w:rPr>
              <w:t>Total Output Cost</w:t>
            </w:r>
          </w:p>
        </w:tc>
        <w:tc>
          <w:tcPr>
            <w:tcW w:w="1021" w:type="dxa"/>
            <w:shd w:val="clear" w:color="auto" w:fill="auto"/>
            <w:hideMark/>
          </w:tcPr>
          <w:p w14:paraId="787445D1" w14:textId="77777777" w:rsidR="00D64E2C" w:rsidRPr="00A95DC7" w:rsidRDefault="00D64E2C" w:rsidP="00D64E2C">
            <w:pPr>
              <w:pStyle w:val="ARtabletextcentre"/>
            </w:pPr>
            <w:r w:rsidRPr="00A95DC7">
              <w:rPr>
                <w:b/>
                <w:bCs/>
                <w:noProof/>
              </w:rPr>
              <w:t>$ million</w:t>
            </w:r>
          </w:p>
        </w:tc>
        <w:tc>
          <w:tcPr>
            <w:tcW w:w="1021" w:type="dxa"/>
            <w:shd w:val="clear" w:color="auto" w:fill="auto"/>
            <w:hideMark/>
          </w:tcPr>
          <w:p w14:paraId="1FA75040" w14:textId="77777777" w:rsidR="00D64E2C" w:rsidRPr="00A95DC7" w:rsidRDefault="00D64E2C" w:rsidP="00D64E2C">
            <w:pPr>
              <w:pStyle w:val="ARtabletextright"/>
              <w:rPr>
                <w:b/>
                <w:bCs/>
              </w:rPr>
            </w:pPr>
            <w:r w:rsidRPr="00A95DC7">
              <w:rPr>
                <w:b/>
                <w:bCs/>
                <w:noProof/>
              </w:rPr>
              <w:t>5.</w:t>
            </w:r>
            <w:r>
              <w:rPr>
                <w:b/>
                <w:bCs/>
                <w:noProof/>
              </w:rPr>
              <w:t>3</w:t>
            </w:r>
          </w:p>
        </w:tc>
        <w:tc>
          <w:tcPr>
            <w:tcW w:w="1021" w:type="dxa"/>
            <w:shd w:val="clear" w:color="auto" w:fill="auto"/>
            <w:hideMark/>
          </w:tcPr>
          <w:p w14:paraId="70BE5B53" w14:textId="77777777" w:rsidR="00D64E2C" w:rsidRPr="00A95DC7" w:rsidRDefault="00D64E2C" w:rsidP="00D64E2C">
            <w:pPr>
              <w:pStyle w:val="ARtabletextright"/>
              <w:rPr>
                <w:b/>
                <w:bCs/>
              </w:rPr>
            </w:pPr>
            <w:r w:rsidRPr="00A95DC7">
              <w:rPr>
                <w:b/>
                <w:bCs/>
                <w:noProof/>
              </w:rPr>
              <w:t>5</w:t>
            </w:r>
          </w:p>
        </w:tc>
        <w:tc>
          <w:tcPr>
            <w:tcW w:w="1021" w:type="dxa"/>
            <w:shd w:val="clear" w:color="auto" w:fill="auto"/>
          </w:tcPr>
          <w:p w14:paraId="51C26235" w14:textId="77777777" w:rsidR="00D64E2C" w:rsidRPr="00A95DC7" w:rsidRDefault="00D64E2C" w:rsidP="00D64E2C">
            <w:pPr>
              <w:pStyle w:val="ARtabletextright"/>
              <w:rPr>
                <w:b/>
                <w:bCs/>
              </w:rPr>
            </w:pPr>
            <w:r>
              <w:rPr>
                <w:b/>
                <w:bCs/>
                <w:noProof/>
              </w:rPr>
              <w:t>−</w:t>
            </w:r>
            <w:r w:rsidRPr="00A95DC7">
              <w:rPr>
                <w:b/>
                <w:bCs/>
                <w:noProof/>
              </w:rPr>
              <w:t>5</w:t>
            </w:r>
          </w:p>
        </w:tc>
        <w:tc>
          <w:tcPr>
            <w:tcW w:w="794" w:type="dxa"/>
            <w:shd w:val="clear" w:color="auto" w:fill="auto"/>
            <w:hideMark/>
          </w:tcPr>
          <w:p w14:paraId="293E6A31" w14:textId="77777777" w:rsidR="00D64E2C" w:rsidRPr="00A95DC7" w:rsidRDefault="00D64E2C" w:rsidP="00D64E2C">
            <w:pPr>
              <w:pStyle w:val="ARtabletextright"/>
              <w:rPr>
                <w:b/>
                <w:bCs/>
              </w:rPr>
            </w:pPr>
          </w:p>
        </w:tc>
      </w:tr>
      <w:tr w:rsidR="00D64E2C" w:rsidRPr="00D02A2E" w14:paraId="366D42DC" w14:textId="77777777" w:rsidTr="000F1C6B">
        <w:trPr>
          <w:cantSplit/>
        </w:trPr>
        <w:tc>
          <w:tcPr>
            <w:tcW w:w="9639" w:type="dxa"/>
            <w:gridSpan w:val="6"/>
            <w:tcBorders>
              <w:bottom w:val="single" w:sz="4" w:space="0" w:color="BFBFBF"/>
            </w:tcBorders>
            <w:shd w:val="clear" w:color="auto" w:fill="auto"/>
            <w:noWrap/>
            <w:hideMark/>
          </w:tcPr>
          <w:p w14:paraId="7810C548" w14:textId="77777777" w:rsidR="00D64E2C" w:rsidRPr="00D02A2E" w:rsidRDefault="00D64E2C" w:rsidP="00D64E2C">
            <w:pPr>
              <w:pStyle w:val="ARtablenoteindent"/>
            </w:pPr>
            <w:r w:rsidRPr="00C5726C">
              <w:rPr>
                <w:noProof/>
              </w:rPr>
              <w:t>The 202</w:t>
            </w:r>
            <w:r>
              <w:rPr>
                <w:noProof/>
              </w:rPr>
              <w:t>0–</w:t>
            </w:r>
            <w:r w:rsidRPr="00C5726C">
              <w:rPr>
                <w:noProof/>
              </w:rPr>
              <w:t>21 actual outcome primarily relates to an output realignment to the Home and Community Care Program for Younger People output</w:t>
            </w:r>
            <w:r>
              <w:rPr>
                <w:noProof/>
              </w:rPr>
              <w:t>.</w:t>
            </w:r>
          </w:p>
        </w:tc>
      </w:tr>
      <w:tr w:rsidR="00D64E2C" w:rsidRPr="00D02A2E" w14:paraId="67D6F1DC" w14:textId="77777777" w:rsidTr="000F1C6B">
        <w:trPr>
          <w:cantSplit/>
        </w:trPr>
        <w:tc>
          <w:tcPr>
            <w:tcW w:w="9639" w:type="dxa"/>
            <w:gridSpan w:val="6"/>
            <w:tcBorders>
              <w:top w:val="single" w:sz="4" w:space="0" w:color="auto"/>
              <w:bottom w:val="single" w:sz="4" w:space="0" w:color="auto"/>
            </w:tcBorders>
            <w:shd w:val="clear" w:color="auto" w:fill="auto"/>
            <w:hideMark/>
          </w:tcPr>
          <w:p w14:paraId="18AAB463" w14:textId="77777777" w:rsidR="00D64E2C" w:rsidRPr="00D02A2E" w:rsidRDefault="00D64E2C" w:rsidP="00D64E2C">
            <w:pPr>
              <w:pStyle w:val="ARtablebluebold"/>
              <w:rPr>
                <w:rFonts w:ascii="Wingdings" w:hAnsi="Wingdings"/>
              </w:rPr>
            </w:pPr>
            <w:r w:rsidRPr="00362A0E">
              <w:t>Small Rural Services</w:t>
            </w:r>
            <w:r>
              <w:t xml:space="preserve"> – </w:t>
            </w:r>
            <w:r w:rsidRPr="00362A0E">
              <w:t>Primary Health</w:t>
            </w:r>
          </w:p>
        </w:tc>
      </w:tr>
      <w:tr w:rsidR="00D64E2C" w:rsidRPr="00D02A2E" w14:paraId="516ACF25" w14:textId="77777777" w:rsidTr="000F1C6B">
        <w:trPr>
          <w:cantSplit/>
        </w:trPr>
        <w:tc>
          <w:tcPr>
            <w:tcW w:w="9639" w:type="dxa"/>
            <w:gridSpan w:val="6"/>
            <w:tcBorders>
              <w:top w:val="single" w:sz="4" w:space="0" w:color="auto"/>
            </w:tcBorders>
            <w:shd w:val="clear" w:color="auto" w:fill="auto"/>
            <w:hideMark/>
          </w:tcPr>
          <w:p w14:paraId="3C097218" w14:textId="77777777" w:rsidR="00D64E2C" w:rsidRPr="00D02A2E" w:rsidRDefault="00D64E2C" w:rsidP="00D64E2C">
            <w:pPr>
              <w:pStyle w:val="ARtablegreybold"/>
              <w:rPr>
                <w:rFonts w:ascii="Wingdings" w:hAnsi="Wingdings"/>
              </w:rPr>
            </w:pPr>
            <w:r w:rsidRPr="007A45E9">
              <w:t>Quantity</w:t>
            </w:r>
          </w:p>
        </w:tc>
      </w:tr>
      <w:tr w:rsidR="00D64E2C" w:rsidRPr="00D02A2E" w14:paraId="344E7CE7" w14:textId="77777777" w:rsidTr="000F1C6B">
        <w:trPr>
          <w:cantSplit/>
        </w:trPr>
        <w:tc>
          <w:tcPr>
            <w:tcW w:w="4761" w:type="dxa"/>
            <w:shd w:val="clear" w:color="auto" w:fill="auto"/>
            <w:hideMark/>
          </w:tcPr>
          <w:p w14:paraId="0999A2C6" w14:textId="77777777" w:rsidR="00D64E2C" w:rsidRPr="00D02A2E" w:rsidRDefault="00D64E2C" w:rsidP="00D64E2C">
            <w:pPr>
              <w:pStyle w:val="ARtabletext"/>
            </w:pPr>
            <w:r w:rsidRPr="00C5726C">
              <w:rPr>
                <w:noProof/>
              </w:rPr>
              <w:t>Service delivery hours in community health care</w:t>
            </w:r>
          </w:p>
        </w:tc>
        <w:tc>
          <w:tcPr>
            <w:tcW w:w="1021" w:type="dxa"/>
            <w:shd w:val="clear" w:color="auto" w:fill="auto"/>
            <w:hideMark/>
          </w:tcPr>
          <w:p w14:paraId="660641B8" w14:textId="77777777" w:rsidR="00D64E2C" w:rsidRPr="00D02A2E" w:rsidRDefault="00D64E2C" w:rsidP="00D64E2C">
            <w:pPr>
              <w:pStyle w:val="ARtabletextcentre"/>
            </w:pPr>
            <w:r w:rsidRPr="00C5726C">
              <w:rPr>
                <w:noProof/>
              </w:rPr>
              <w:t>number</w:t>
            </w:r>
          </w:p>
        </w:tc>
        <w:tc>
          <w:tcPr>
            <w:tcW w:w="1021" w:type="dxa"/>
            <w:shd w:val="clear" w:color="auto" w:fill="auto"/>
            <w:hideMark/>
          </w:tcPr>
          <w:p w14:paraId="19142E1A" w14:textId="77777777" w:rsidR="00D64E2C" w:rsidRDefault="00D64E2C" w:rsidP="00D64E2C">
            <w:pPr>
              <w:pStyle w:val="ARtabletextright"/>
            </w:pPr>
            <w:r w:rsidRPr="00C5726C">
              <w:rPr>
                <w:noProof/>
              </w:rPr>
              <w:t>91</w:t>
            </w:r>
            <w:r>
              <w:rPr>
                <w:noProof/>
              </w:rPr>
              <w:t>,</w:t>
            </w:r>
            <w:r w:rsidRPr="00C5726C">
              <w:rPr>
                <w:noProof/>
              </w:rPr>
              <w:t>500</w:t>
            </w:r>
          </w:p>
        </w:tc>
        <w:tc>
          <w:tcPr>
            <w:tcW w:w="1021" w:type="dxa"/>
            <w:shd w:val="clear" w:color="auto" w:fill="auto"/>
            <w:hideMark/>
          </w:tcPr>
          <w:p w14:paraId="36395165" w14:textId="77777777" w:rsidR="00D64E2C" w:rsidRDefault="00D64E2C" w:rsidP="00D64E2C">
            <w:pPr>
              <w:pStyle w:val="ARtabletextright"/>
            </w:pPr>
            <w:r w:rsidRPr="00C5726C">
              <w:rPr>
                <w:noProof/>
              </w:rPr>
              <w:t>10</w:t>
            </w:r>
            <w:r>
              <w:rPr>
                <w:noProof/>
              </w:rPr>
              <w:t>6,115</w:t>
            </w:r>
          </w:p>
        </w:tc>
        <w:tc>
          <w:tcPr>
            <w:tcW w:w="1021" w:type="dxa"/>
            <w:shd w:val="clear" w:color="auto" w:fill="auto"/>
          </w:tcPr>
          <w:p w14:paraId="4FF46123" w14:textId="77777777" w:rsidR="00D64E2C" w:rsidRDefault="00D64E2C" w:rsidP="00D64E2C">
            <w:pPr>
              <w:pStyle w:val="ARtabletextright"/>
            </w:pPr>
            <w:r>
              <w:rPr>
                <w:noProof/>
              </w:rPr>
              <w:t>16</w:t>
            </w:r>
          </w:p>
        </w:tc>
        <w:tc>
          <w:tcPr>
            <w:tcW w:w="794" w:type="dxa"/>
            <w:shd w:val="clear" w:color="auto" w:fill="auto"/>
            <w:hideMark/>
          </w:tcPr>
          <w:p w14:paraId="6D3F668F" w14:textId="6CDA94F0" w:rsidR="00D64E2C" w:rsidRPr="00D02A2E" w:rsidRDefault="000104B9" w:rsidP="00C575AB">
            <w:pPr>
              <w:pStyle w:val="ARtableperformancesymbol"/>
            </w:pPr>
            <w:r>
              <w:rPr>
                <w:noProof/>
              </w:rPr>
              <w:drawing>
                <wp:inline distT="0" distB="0" distL="0" distR="0" wp14:anchorId="32D02BDF" wp14:editId="772FCE7E">
                  <wp:extent cx="85320" cy="85320"/>
                  <wp:effectExtent l="0" t="0" r="0" b="0"/>
                  <wp:docPr id="200" name="Graphic 200" descr="Target achieved or exc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Target achieved or exceeded"/>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85320" cy="85320"/>
                          </a:xfrm>
                          <a:prstGeom prst="rect">
                            <a:avLst/>
                          </a:prstGeom>
                        </pic:spPr>
                      </pic:pic>
                    </a:graphicData>
                  </a:graphic>
                </wp:inline>
              </w:drawing>
            </w:r>
            <w:r>
              <w:t xml:space="preserve"> </w:t>
            </w:r>
          </w:p>
        </w:tc>
      </w:tr>
      <w:tr w:rsidR="00D64E2C" w:rsidRPr="00D02A2E" w14:paraId="0BF8D547" w14:textId="77777777" w:rsidTr="000F1C6B">
        <w:trPr>
          <w:cantSplit/>
        </w:trPr>
        <w:tc>
          <w:tcPr>
            <w:tcW w:w="9639" w:type="dxa"/>
            <w:gridSpan w:val="6"/>
            <w:tcBorders>
              <w:bottom w:val="single" w:sz="4" w:space="0" w:color="BFBFBF"/>
            </w:tcBorders>
            <w:shd w:val="clear" w:color="auto" w:fill="auto"/>
            <w:noWrap/>
            <w:hideMark/>
          </w:tcPr>
          <w:p w14:paraId="421A749F" w14:textId="77777777" w:rsidR="00D64E2C" w:rsidRPr="00D02A2E" w:rsidRDefault="00D64E2C" w:rsidP="00D64E2C">
            <w:pPr>
              <w:pStyle w:val="ARtablenoteindent"/>
            </w:pPr>
            <w:r w:rsidRPr="00040F20">
              <w:t>The result is higher than the target due to the permissible use of funds from other outputs to provide community health services according to local need</w:t>
            </w:r>
            <w:r>
              <w:t>.</w:t>
            </w:r>
          </w:p>
        </w:tc>
      </w:tr>
      <w:tr w:rsidR="00D64E2C" w:rsidRPr="00D02A2E" w14:paraId="6E50156E" w14:textId="77777777" w:rsidTr="000F1C6B">
        <w:trPr>
          <w:cantSplit/>
        </w:trPr>
        <w:tc>
          <w:tcPr>
            <w:tcW w:w="9639" w:type="dxa"/>
            <w:gridSpan w:val="6"/>
            <w:tcBorders>
              <w:top w:val="single" w:sz="4" w:space="0" w:color="auto"/>
            </w:tcBorders>
            <w:shd w:val="clear" w:color="auto" w:fill="auto"/>
            <w:hideMark/>
          </w:tcPr>
          <w:p w14:paraId="641AAC47" w14:textId="77777777" w:rsidR="00D64E2C" w:rsidRPr="00D02A2E" w:rsidRDefault="00D64E2C" w:rsidP="00D64E2C">
            <w:pPr>
              <w:pStyle w:val="ARtablegreybold"/>
              <w:rPr>
                <w:rFonts w:ascii="Wingdings" w:hAnsi="Wingdings"/>
              </w:rPr>
            </w:pPr>
            <w:r>
              <w:t>Cost</w:t>
            </w:r>
          </w:p>
        </w:tc>
      </w:tr>
      <w:tr w:rsidR="00D64E2C" w:rsidRPr="00D02A2E" w14:paraId="67A68325" w14:textId="77777777" w:rsidTr="000F1C6B">
        <w:trPr>
          <w:cantSplit/>
        </w:trPr>
        <w:tc>
          <w:tcPr>
            <w:tcW w:w="4761" w:type="dxa"/>
            <w:shd w:val="clear" w:color="auto" w:fill="auto"/>
            <w:hideMark/>
          </w:tcPr>
          <w:p w14:paraId="1152FD8C" w14:textId="77777777" w:rsidR="00D64E2C" w:rsidRPr="00A95DC7" w:rsidRDefault="00D64E2C" w:rsidP="00D64E2C">
            <w:pPr>
              <w:pStyle w:val="ARtabletext"/>
              <w:rPr>
                <w:b/>
                <w:bCs/>
              </w:rPr>
            </w:pPr>
            <w:r w:rsidRPr="00A95DC7">
              <w:rPr>
                <w:b/>
                <w:bCs/>
                <w:noProof/>
              </w:rPr>
              <w:t>Total Output Cost</w:t>
            </w:r>
          </w:p>
        </w:tc>
        <w:tc>
          <w:tcPr>
            <w:tcW w:w="1021" w:type="dxa"/>
            <w:shd w:val="clear" w:color="auto" w:fill="auto"/>
            <w:hideMark/>
          </w:tcPr>
          <w:p w14:paraId="37D59C95" w14:textId="77777777" w:rsidR="00D64E2C" w:rsidRPr="00A95DC7" w:rsidRDefault="00D64E2C" w:rsidP="00D64E2C">
            <w:pPr>
              <w:pStyle w:val="ARtabletextcentre"/>
            </w:pPr>
            <w:r w:rsidRPr="00A95DC7">
              <w:rPr>
                <w:b/>
                <w:bCs/>
                <w:noProof/>
              </w:rPr>
              <w:t>$ million</w:t>
            </w:r>
          </w:p>
        </w:tc>
        <w:tc>
          <w:tcPr>
            <w:tcW w:w="1021" w:type="dxa"/>
            <w:shd w:val="clear" w:color="auto" w:fill="auto"/>
            <w:hideMark/>
          </w:tcPr>
          <w:p w14:paraId="18E4C6DD" w14:textId="77777777" w:rsidR="00D64E2C" w:rsidRPr="00A95DC7" w:rsidRDefault="00D64E2C" w:rsidP="00D64E2C">
            <w:pPr>
              <w:pStyle w:val="ARtabletextright"/>
              <w:rPr>
                <w:b/>
                <w:bCs/>
              </w:rPr>
            </w:pPr>
            <w:r w:rsidRPr="00A95DC7">
              <w:rPr>
                <w:b/>
                <w:bCs/>
                <w:noProof/>
              </w:rPr>
              <w:t>25.</w:t>
            </w:r>
            <w:r>
              <w:rPr>
                <w:b/>
                <w:bCs/>
                <w:noProof/>
              </w:rPr>
              <w:t>2</w:t>
            </w:r>
          </w:p>
        </w:tc>
        <w:tc>
          <w:tcPr>
            <w:tcW w:w="1021" w:type="dxa"/>
            <w:shd w:val="clear" w:color="auto" w:fill="auto"/>
            <w:hideMark/>
          </w:tcPr>
          <w:p w14:paraId="1BADD1BF" w14:textId="77777777" w:rsidR="00D64E2C" w:rsidRPr="00A95DC7" w:rsidRDefault="00D64E2C" w:rsidP="00D64E2C">
            <w:pPr>
              <w:pStyle w:val="ARtabletextright"/>
              <w:rPr>
                <w:b/>
                <w:bCs/>
              </w:rPr>
            </w:pPr>
            <w:r w:rsidRPr="00A95DC7">
              <w:rPr>
                <w:b/>
                <w:bCs/>
                <w:noProof/>
              </w:rPr>
              <w:t>21.5</w:t>
            </w:r>
          </w:p>
        </w:tc>
        <w:tc>
          <w:tcPr>
            <w:tcW w:w="1021" w:type="dxa"/>
            <w:shd w:val="clear" w:color="auto" w:fill="auto"/>
          </w:tcPr>
          <w:p w14:paraId="76544E78" w14:textId="77777777" w:rsidR="00D64E2C" w:rsidRPr="00A95DC7" w:rsidRDefault="00D64E2C" w:rsidP="00D64E2C">
            <w:pPr>
              <w:pStyle w:val="ARtabletextright"/>
              <w:rPr>
                <w:b/>
                <w:bCs/>
              </w:rPr>
            </w:pPr>
            <w:r>
              <w:rPr>
                <w:b/>
                <w:bCs/>
                <w:noProof/>
              </w:rPr>
              <w:t>−</w:t>
            </w:r>
            <w:r w:rsidRPr="00A95DC7">
              <w:rPr>
                <w:b/>
                <w:bCs/>
                <w:noProof/>
              </w:rPr>
              <w:t>14.8</w:t>
            </w:r>
          </w:p>
        </w:tc>
        <w:tc>
          <w:tcPr>
            <w:tcW w:w="794" w:type="dxa"/>
            <w:shd w:val="clear" w:color="auto" w:fill="auto"/>
            <w:hideMark/>
          </w:tcPr>
          <w:p w14:paraId="1B5359BE" w14:textId="77777777" w:rsidR="00D64E2C" w:rsidRPr="00D02A2E" w:rsidRDefault="00D64E2C" w:rsidP="00D64E2C">
            <w:pPr>
              <w:pStyle w:val="ARtabletextright"/>
            </w:pPr>
          </w:p>
        </w:tc>
      </w:tr>
      <w:tr w:rsidR="00D64E2C" w:rsidRPr="00D02A2E" w14:paraId="3DB8D3F8" w14:textId="77777777" w:rsidTr="000F1C6B">
        <w:trPr>
          <w:cantSplit/>
        </w:trPr>
        <w:tc>
          <w:tcPr>
            <w:tcW w:w="9639" w:type="dxa"/>
            <w:gridSpan w:val="6"/>
            <w:tcBorders>
              <w:bottom w:val="single" w:sz="4" w:space="0" w:color="auto"/>
            </w:tcBorders>
            <w:shd w:val="clear" w:color="auto" w:fill="auto"/>
            <w:noWrap/>
            <w:hideMark/>
          </w:tcPr>
          <w:p w14:paraId="7A021A53" w14:textId="77777777" w:rsidR="00D64E2C" w:rsidRPr="00D02A2E" w:rsidRDefault="00D64E2C" w:rsidP="00D64E2C">
            <w:pPr>
              <w:pStyle w:val="ARtablenoteindent"/>
            </w:pPr>
            <w:r w:rsidRPr="00C5726C">
              <w:rPr>
                <w:noProof/>
              </w:rPr>
              <w:t>The 202</w:t>
            </w:r>
            <w:r>
              <w:rPr>
                <w:noProof/>
              </w:rPr>
              <w:t>0–</w:t>
            </w:r>
            <w:r w:rsidRPr="00C5726C">
              <w:rPr>
                <w:noProof/>
              </w:rPr>
              <w:t>21 actual outcome primarily reflects lower than estimated Hospital Own Source Revenue</w:t>
            </w:r>
            <w:r>
              <w:rPr>
                <w:noProof/>
              </w:rPr>
              <w:t>.</w:t>
            </w:r>
          </w:p>
        </w:tc>
      </w:tr>
    </w:tbl>
    <w:p w14:paraId="76A8A7A2" w14:textId="77777777" w:rsidR="00496244" w:rsidRDefault="00496244" w:rsidP="00317057">
      <w:pPr>
        <w:pStyle w:val="ARbody"/>
        <w:sectPr w:rsidR="00496244" w:rsidSect="00317057">
          <w:headerReference w:type="even" r:id="rId56"/>
          <w:headerReference w:type="first" r:id="rId57"/>
          <w:footnotePr>
            <w:numFmt w:val="lowerLetter"/>
            <w:numRestart w:val="eachPage"/>
          </w:footnotePr>
          <w:endnotePr>
            <w:numFmt w:val="decimal"/>
          </w:endnotePr>
          <w:pgSz w:w="11900" w:h="16840" w:code="9"/>
          <w:pgMar w:top="1985" w:right="1134" w:bottom="851" w:left="1134" w:header="510" w:footer="340" w:gutter="0"/>
          <w:cols w:space="454"/>
        </w:sectPr>
      </w:pPr>
    </w:p>
    <w:p w14:paraId="3F33EA30" w14:textId="77777777" w:rsidR="00496244" w:rsidRPr="002029AF" w:rsidRDefault="00496244" w:rsidP="00317057">
      <w:pPr>
        <w:pStyle w:val="Heading2"/>
        <w:spacing w:before="0"/>
      </w:pPr>
      <w:bookmarkStart w:id="281" w:name="_Toc85121165"/>
      <w:bookmarkStart w:id="282" w:name="_Toc85121602"/>
      <w:bookmarkStart w:id="283" w:name="_Ref85202675"/>
      <w:bookmarkStart w:id="284" w:name="_Toc86075585"/>
      <w:r w:rsidRPr="00490D58">
        <w:lastRenderedPageBreak/>
        <w:t>Portfolio performance reporting – financial</w:t>
      </w:r>
      <w:bookmarkEnd w:id="281"/>
      <w:bookmarkEnd w:id="282"/>
      <w:bookmarkEnd w:id="283"/>
      <w:bookmarkEnd w:id="284"/>
    </w:p>
    <w:p w14:paraId="45AC027D" w14:textId="77777777" w:rsidR="00496244" w:rsidRPr="002029AF" w:rsidRDefault="00496244" w:rsidP="00317057">
      <w:pPr>
        <w:pStyle w:val="Heading3"/>
      </w:pPr>
      <w:bookmarkStart w:id="285" w:name="_Toc85121166"/>
      <w:r w:rsidRPr="002029AF">
        <w:t>Departmental five-year financial summary</w:t>
      </w:r>
      <w:bookmarkEnd w:id="285"/>
    </w:p>
    <w:tbl>
      <w:tblPr>
        <w:tblW w:w="9639" w:type="dxa"/>
        <w:tblInd w:w="4" w:type="dxa"/>
        <w:tblLayout w:type="fixed"/>
        <w:tblCellMar>
          <w:left w:w="0" w:type="dxa"/>
          <w:right w:w="0" w:type="dxa"/>
        </w:tblCellMar>
        <w:tblLook w:val="00A0" w:firstRow="1" w:lastRow="0" w:firstColumn="1" w:lastColumn="0" w:noHBand="0" w:noVBand="0"/>
      </w:tblPr>
      <w:tblGrid>
        <w:gridCol w:w="4880"/>
        <w:gridCol w:w="951"/>
        <w:gridCol w:w="952"/>
        <w:gridCol w:w="952"/>
        <w:gridCol w:w="952"/>
        <w:gridCol w:w="952"/>
      </w:tblGrid>
      <w:tr w:rsidR="00496244" w:rsidRPr="002029AF" w14:paraId="79789F9D" w14:textId="77777777" w:rsidTr="00317057">
        <w:trPr>
          <w:trHeight w:val="1"/>
          <w:tblHeader/>
        </w:trPr>
        <w:tc>
          <w:tcPr>
            <w:tcW w:w="4880" w:type="dxa"/>
            <w:tcBorders>
              <w:top w:val="nil"/>
              <w:left w:val="single" w:sz="4" w:space="0" w:color="FFFFFF"/>
              <w:bottom w:val="single" w:sz="4" w:space="0" w:color="auto"/>
            </w:tcBorders>
            <w:vAlign w:val="bottom"/>
          </w:tcPr>
          <w:p w14:paraId="72E84116" w14:textId="77777777" w:rsidR="00496244" w:rsidRPr="002029AF" w:rsidRDefault="00496244" w:rsidP="00317057">
            <w:pPr>
              <w:pStyle w:val="ARtablecolhead"/>
              <w:rPr>
                <w:rFonts w:ascii="Calibri" w:hAnsi="Calibri" w:cs="Calibri"/>
              </w:rPr>
            </w:pPr>
            <w:r w:rsidRPr="002029AF">
              <w:t>Five-year financial summary ($ millions)</w:t>
            </w:r>
          </w:p>
        </w:tc>
        <w:tc>
          <w:tcPr>
            <w:tcW w:w="951" w:type="dxa"/>
            <w:tcBorders>
              <w:top w:val="nil"/>
              <w:bottom w:val="single" w:sz="4" w:space="0" w:color="auto"/>
            </w:tcBorders>
            <w:vAlign w:val="bottom"/>
          </w:tcPr>
          <w:p w14:paraId="5315D45D" w14:textId="77777777" w:rsidR="00496244" w:rsidRPr="002029AF" w:rsidRDefault="00496244" w:rsidP="00317057">
            <w:pPr>
              <w:pStyle w:val="ARtablecolheadright"/>
            </w:pPr>
            <w:r w:rsidRPr="002029AF">
              <w:t>202</w:t>
            </w:r>
            <w:r>
              <w:t>1</w:t>
            </w:r>
          </w:p>
        </w:tc>
        <w:tc>
          <w:tcPr>
            <w:tcW w:w="952" w:type="dxa"/>
            <w:tcBorders>
              <w:top w:val="nil"/>
              <w:bottom w:val="single" w:sz="4" w:space="0" w:color="auto"/>
            </w:tcBorders>
            <w:shd w:val="clear" w:color="000000" w:fill="FFFFFF"/>
            <w:vAlign w:val="bottom"/>
          </w:tcPr>
          <w:p w14:paraId="0780D8DE" w14:textId="77777777" w:rsidR="00496244" w:rsidRPr="00BA2B20" w:rsidRDefault="00496244" w:rsidP="00317057">
            <w:pPr>
              <w:pStyle w:val="ARtablecolheadright"/>
            </w:pPr>
            <w:r w:rsidRPr="00BA2B20">
              <w:t>2020</w:t>
            </w:r>
          </w:p>
        </w:tc>
        <w:tc>
          <w:tcPr>
            <w:tcW w:w="952" w:type="dxa"/>
            <w:tcBorders>
              <w:top w:val="nil"/>
              <w:bottom w:val="single" w:sz="4" w:space="0" w:color="auto"/>
            </w:tcBorders>
            <w:shd w:val="clear" w:color="000000" w:fill="FFFFFF"/>
            <w:vAlign w:val="bottom"/>
          </w:tcPr>
          <w:p w14:paraId="750C7165" w14:textId="77777777" w:rsidR="00496244" w:rsidRPr="002029AF" w:rsidRDefault="00496244" w:rsidP="00317057">
            <w:pPr>
              <w:pStyle w:val="ARtablecolheadright"/>
            </w:pPr>
            <w:r w:rsidRPr="002029AF">
              <w:t>2019</w:t>
            </w:r>
          </w:p>
        </w:tc>
        <w:tc>
          <w:tcPr>
            <w:tcW w:w="952" w:type="dxa"/>
            <w:tcBorders>
              <w:top w:val="nil"/>
              <w:bottom w:val="single" w:sz="4" w:space="0" w:color="auto"/>
            </w:tcBorders>
            <w:shd w:val="clear" w:color="000000" w:fill="FFFFFF"/>
            <w:vAlign w:val="bottom"/>
          </w:tcPr>
          <w:p w14:paraId="79672B18" w14:textId="77777777" w:rsidR="00496244" w:rsidRPr="002029AF" w:rsidRDefault="00496244" w:rsidP="00317057">
            <w:pPr>
              <w:pStyle w:val="ARtablecolheadright"/>
            </w:pPr>
            <w:r w:rsidRPr="002029AF">
              <w:t>2018</w:t>
            </w:r>
          </w:p>
        </w:tc>
        <w:tc>
          <w:tcPr>
            <w:tcW w:w="952" w:type="dxa"/>
            <w:tcBorders>
              <w:top w:val="nil"/>
              <w:bottom w:val="single" w:sz="4" w:space="0" w:color="auto"/>
            </w:tcBorders>
            <w:shd w:val="clear" w:color="000000" w:fill="FFFFFF"/>
            <w:vAlign w:val="bottom"/>
          </w:tcPr>
          <w:p w14:paraId="05ED3E38" w14:textId="77777777" w:rsidR="00496244" w:rsidRPr="002029AF" w:rsidRDefault="00496244" w:rsidP="00317057">
            <w:pPr>
              <w:pStyle w:val="ARtablecolheadright"/>
              <w:rPr>
                <w:rFonts w:ascii="Calibri" w:hAnsi="Calibri" w:cs="Calibri"/>
              </w:rPr>
            </w:pPr>
            <w:r w:rsidRPr="002029AF">
              <w:t>2017</w:t>
            </w:r>
          </w:p>
        </w:tc>
      </w:tr>
      <w:tr w:rsidR="00496244" w:rsidRPr="002029AF" w14:paraId="35664A02" w14:textId="77777777" w:rsidTr="00317057">
        <w:trPr>
          <w:trHeight w:val="1"/>
        </w:trPr>
        <w:tc>
          <w:tcPr>
            <w:tcW w:w="4880" w:type="dxa"/>
            <w:tcBorders>
              <w:top w:val="single" w:sz="4" w:space="0" w:color="auto"/>
              <w:left w:val="single" w:sz="4" w:space="0" w:color="FFFFFF"/>
              <w:bottom w:val="single" w:sz="4" w:space="0" w:color="auto"/>
            </w:tcBorders>
          </w:tcPr>
          <w:p w14:paraId="23904FDC" w14:textId="77777777" w:rsidR="00496244" w:rsidRPr="002029AF" w:rsidRDefault="00496244" w:rsidP="00317057">
            <w:pPr>
              <w:pStyle w:val="ARtabletext"/>
              <w:rPr>
                <w:rFonts w:ascii="Calibri" w:hAnsi="Calibri" w:cs="Calibri"/>
              </w:rPr>
            </w:pPr>
            <w:r w:rsidRPr="002029AF">
              <w:t>Income from government</w:t>
            </w:r>
          </w:p>
        </w:tc>
        <w:tc>
          <w:tcPr>
            <w:tcW w:w="951" w:type="dxa"/>
            <w:tcBorders>
              <w:top w:val="single" w:sz="4" w:space="0" w:color="auto"/>
              <w:bottom w:val="single" w:sz="4" w:space="0" w:color="auto"/>
            </w:tcBorders>
          </w:tcPr>
          <w:p w14:paraId="72546E48" w14:textId="77777777" w:rsidR="00496244" w:rsidRPr="00CC69F3" w:rsidRDefault="00496244" w:rsidP="00317057">
            <w:pPr>
              <w:pStyle w:val="ARtabletextright"/>
            </w:pPr>
            <w:r w:rsidRPr="003A4E9A">
              <w:t>22,650.3</w:t>
            </w:r>
          </w:p>
        </w:tc>
        <w:tc>
          <w:tcPr>
            <w:tcW w:w="952" w:type="dxa"/>
            <w:tcBorders>
              <w:top w:val="single" w:sz="4" w:space="0" w:color="auto"/>
              <w:bottom w:val="single" w:sz="4" w:space="0" w:color="auto"/>
            </w:tcBorders>
            <w:shd w:val="clear" w:color="000000" w:fill="FFFFFF"/>
          </w:tcPr>
          <w:p w14:paraId="2C17A550" w14:textId="77777777" w:rsidR="00496244" w:rsidRPr="00CC69F3" w:rsidRDefault="00496244" w:rsidP="00317057">
            <w:pPr>
              <w:pStyle w:val="ARtabletextright"/>
            </w:pPr>
            <w:r w:rsidRPr="00CC69F3">
              <w:t>18,971.9</w:t>
            </w:r>
          </w:p>
        </w:tc>
        <w:tc>
          <w:tcPr>
            <w:tcW w:w="952" w:type="dxa"/>
            <w:tcBorders>
              <w:top w:val="single" w:sz="4" w:space="0" w:color="auto"/>
              <w:bottom w:val="single" w:sz="4" w:space="0" w:color="auto"/>
            </w:tcBorders>
            <w:shd w:val="clear" w:color="000000" w:fill="FFFFFF"/>
          </w:tcPr>
          <w:p w14:paraId="222DA9EF" w14:textId="77777777" w:rsidR="00496244" w:rsidRPr="002029AF" w:rsidRDefault="00496244" w:rsidP="00317057">
            <w:pPr>
              <w:pStyle w:val="ARtabletextright"/>
            </w:pPr>
            <w:r w:rsidRPr="002029AF">
              <w:t>17,696.3</w:t>
            </w:r>
          </w:p>
        </w:tc>
        <w:tc>
          <w:tcPr>
            <w:tcW w:w="952" w:type="dxa"/>
            <w:tcBorders>
              <w:top w:val="single" w:sz="4" w:space="0" w:color="auto"/>
              <w:bottom w:val="single" w:sz="4" w:space="0" w:color="auto"/>
            </w:tcBorders>
            <w:shd w:val="clear" w:color="000000" w:fill="FFFFFF"/>
          </w:tcPr>
          <w:p w14:paraId="4CDCEE52" w14:textId="77777777" w:rsidR="00496244" w:rsidRPr="002029AF" w:rsidRDefault="00496244" w:rsidP="00317057">
            <w:pPr>
              <w:pStyle w:val="ARtabletextright"/>
            </w:pPr>
            <w:r w:rsidRPr="002029AF">
              <w:t>16,373.1</w:t>
            </w:r>
          </w:p>
        </w:tc>
        <w:tc>
          <w:tcPr>
            <w:tcW w:w="952" w:type="dxa"/>
            <w:tcBorders>
              <w:top w:val="single" w:sz="4" w:space="0" w:color="auto"/>
              <w:bottom w:val="single" w:sz="4" w:space="0" w:color="auto"/>
            </w:tcBorders>
            <w:shd w:val="clear" w:color="000000" w:fill="FFFFFF"/>
          </w:tcPr>
          <w:p w14:paraId="52AF97FB" w14:textId="77777777" w:rsidR="00496244" w:rsidRPr="00CC69F3" w:rsidRDefault="00496244" w:rsidP="00317057">
            <w:pPr>
              <w:pStyle w:val="ARtabletextright"/>
            </w:pPr>
            <w:r w:rsidRPr="002029AF">
              <w:t>15,089.9</w:t>
            </w:r>
          </w:p>
        </w:tc>
      </w:tr>
      <w:tr w:rsidR="00496244" w:rsidRPr="002029AF" w14:paraId="681A5B12" w14:textId="77777777" w:rsidTr="00317057">
        <w:trPr>
          <w:trHeight w:val="1"/>
        </w:trPr>
        <w:tc>
          <w:tcPr>
            <w:tcW w:w="4880" w:type="dxa"/>
            <w:tcBorders>
              <w:top w:val="single" w:sz="4" w:space="0" w:color="auto"/>
              <w:left w:val="single" w:sz="4" w:space="0" w:color="FFFFFF"/>
              <w:bottom w:val="single" w:sz="4" w:space="0" w:color="auto"/>
            </w:tcBorders>
          </w:tcPr>
          <w:p w14:paraId="3031EFB1" w14:textId="77777777" w:rsidR="00496244" w:rsidRPr="002029AF" w:rsidRDefault="00496244" w:rsidP="00317057">
            <w:pPr>
              <w:pStyle w:val="ARtabletext"/>
              <w:rPr>
                <w:rFonts w:ascii="Calibri" w:hAnsi="Calibri" w:cs="Calibri"/>
              </w:rPr>
            </w:pPr>
            <w:r w:rsidRPr="002029AF">
              <w:t>Total revenue and income from transactions</w:t>
            </w:r>
          </w:p>
        </w:tc>
        <w:tc>
          <w:tcPr>
            <w:tcW w:w="951" w:type="dxa"/>
            <w:tcBorders>
              <w:top w:val="single" w:sz="4" w:space="0" w:color="auto"/>
              <w:bottom w:val="single" w:sz="4" w:space="0" w:color="auto"/>
            </w:tcBorders>
          </w:tcPr>
          <w:p w14:paraId="06C51F4A" w14:textId="77777777" w:rsidR="00496244" w:rsidRPr="00CC69F3" w:rsidRDefault="00496244" w:rsidP="00317057">
            <w:pPr>
              <w:pStyle w:val="ARtabletextright"/>
            </w:pPr>
            <w:r w:rsidRPr="00577236">
              <w:t>25,698.4</w:t>
            </w:r>
          </w:p>
        </w:tc>
        <w:tc>
          <w:tcPr>
            <w:tcW w:w="952" w:type="dxa"/>
            <w:tcBorders>
              <w:top w:val="single" w:sz="4" w:space="0" w:color="auto"/>
              <w:bottom w:val="single" w:sz="4" w:space="0" w:color="auto"/>
            </w:tcBorders>
            <w:shd w:val="clear" w:color="000000" w:fill="FFFFFF"/>
          </w:tcPr>
          <w:p w14:paraId="534E0005" w14:textId="77777777" w:rsidR="00496244" w:rsidRPr="00CC69F3" w:rsidRDefault="00496244" w:rsidP="00317057">
            <w:pPr>
              <w:pStyle w:val="ARtabletextright"/>
            </w:pPr>
            <w:r w:rsidRPr="00CC69F3">
              <w:t>22,028.4</w:t>
            </w:r>
          </w:p>
        </w:tc>
        <w:tc>
          <w:tcPr>
            <w:tcW w:w="952" w:type="dxa"/>
            <w:tcBorders>
              <w:top w:val="single" w:sz="4" w:space="0" w:color="auto"/>
              <w:bottom w:val="single" w:sz="4" w:space="0" w:color="auto"/>
            </w:tcBorders>
            <w:shd w:val="clear" w:color="000000" w:fill="FFFFFF"/>
          </w:tcPr>
          <w:p w14:paraId="7263AB1C" w14:textId="77777777" w:rsidR="00496244" w:rsidRPr="002029AF" w:rsidRDefault="00496244" w:rsidP="00317057">
            <w:pPr>
              <w:pStyle w:val="ARtabletextright"/>
            </w:pPr>
            <w:r w:rsidRPr="002029AF">
              <w:t>19,417.0</w:t>
            </w:r>
          </w:p>
        </w:tc>
        <w:tc>
          <w:tcPr>
            <w:tcW w:w="952" w:type="dxa"/>
            <w:tcBorders>
              <w:top w:val="single" w:sz="4" w:space="0" w:color="auto"/>
              <w:bottom w:val="single" w:sz="4" w:space="0" w:color="auto"/>
            </w:tcBorders>
            <w:shd w:val="clear" w:color="000000" w:fill="FFFFFF"/>
          </w:tcPr>
          <w:p w14:paraId="74A85591" w14:textId="77777777" w:rsidR="00496244" w:rsidRPr="002029AF" w:rsidRDefault="00496244" w:rsidP="00317057">
            <w:pPr>
              <w:pStyle w:val="ARtabletextright"/>
            </w:pPr>
            <w:r w:rsidRPr="002029AF">
              <w:t>17,921.1</w:t>
            </w:r>
          </w:p>
        </w:tc>
        <w:tc>
          <w:tcPr>
            <w:tcW w:w="952" w:type="dxa"/>
            <w:tcBorders>
              <w:top w:val="single" w:sz="4" w:space="0" w:color="auto"/>
              <w:bottom w:val="single" w:sz="4" w:space="0" w:color="auto"/>
            </w:tcBorders>
            <w:shd w:val="clear" w:color="000000" w:fill="FFFFFF"/>
          </w:tcPr>
          <w:p w14:paraId="78E79A60" w14:textId="77777777" w:rsidR="00496244" w:rsidRPr="00CC69F3" w:rsidRDefault="00496244" w:rsidP="00317057">
            <w:pPr>
              <w:pStyle w:val="ARtabletextright"/>
            </w:pPr>
            <w:r w:rsidRPr="002029AF">
              <w:t>16,678.6</w:t>
            </w:r>
          </w:p>
        </w:tc>
      </w:tr>
      <w:tr w:rsidR="00496244" w:rsidRPr="002029AF" w14:paraId="32551E0D" w14:textId="77777777" w:rsidTr="00317057">
        <w:trPr>
          <w:trHeight w:val="1"/>
        </w:trPr>
        <w:tc>
          <w:tcPr>
            <w:tcW w:w="4880" w:type="dxa"/>
            <w:tcBorders>
              <w:top w:val="single" w:sz="4" w:space="0" w:color="auto"/>
              <w:left w:val="single" w:sz="4" w:space="0" w:color="FFFFFF"/>
              <w:bottom w:val="single" w:sz="4" w:space="0" w:color="auto"/>
            </w:tcBorders>
          </w:tcPr>
          <w:p w14:paraId="5624A7AA" w14:textId="77777777" w:rsidR="00496244" w:rsidRPr="002029AF" w:rsidRDefault="00496244" w:rsidP="00317057">
            <w:pPr>
              <w:pStyle w:val="ARtabletext"/>
              <w:rPr>
                <w:rFonts w:ascii="Calibri" w:hAnsi="Calibri" w:cs="Calibri"/>
              </w:rPr>
            </w:pPr>
            <w:r w:rsidRPr="002029AF">
              <w:t>Total expenses from transactions</w:t>
            </w:r>
          </w:p>
        </w:tc>
        <w:tc>
          <w:tcPr>
            <w:tcW w:w="951" w:type="dxa"/>
            <w:tcBorders>
              <w:top w:val="single" w:sz="4" w:space="0" w:color="auto"/>
              <w:bottom w:val="single" w:sz="4" w:space="0" w:color="auto"/>
            </w:tcBorders>
          </w:tcPr>
          <w:p w14:paraId="574114B3" w14:textId="77777777" w:rsidR="00496244" w:rsidRPr="00CC69F3" w:rsidRDefault="00496244" w:rsidP="00317057">
            <w:pPr>
              <w:pStyle w:val="ARtabletextright"/>
            </w:pPr>
            <w:r w:rsidRPr="00921F39">
              <w:t>(25,170.7)</w:t>
            </w:r>
          </w:p>
        </w:tc>
        <w:tc>
          <w:tcPr>
            <w:tcW w:w="952" w:type="dxa"/>
            <w:tcBorders>
              <w:top w:val="single" w:sz="4" w:space="0" w:color="auto"/>
              <w:bottom w:val="single" w:sz="4" w:space="0" w:color="auto"/>
            </w:tcBorders>
            <w:shd w:val="clear" w:color="000000" w:fill="FFFFFF"/>
          </w:tcPr>
          <w:p w14:paraId="76C3FF1A" w14:textId="77777777" w:rsidR="00496244" w:rsidRPr="00CC69F3" w:rsidRDefault="00496244" w:rsidP="00317057">
            <w:pPr>
              <w:pStyle w:val="ARtabletextright"/>
              <w:rPr>
                <w:b/>
              </w:rPr>
            </w:pPr>
            <w:r w:rsidRPr="00CC69F3">
              <w:t>(21,420.3)</w:t>
            </w:r>
          </w:p>
        </w:tc>
        <w:tc>
          <w:tcPr>
            <w:tcW w:w="952" w:type="dxa"/>
            <w:tcBorders>
              <w:top w:val="single" w:sz="4" w:space="0" w:color="auto"/>
              <w:bottom w:val="single" w:sz="4" w:space="0" w:color="auto"/>
            </w:tcBorders>
            <w:shd w:val="clear" w:color="000000" w:fill="FFFFFF"/>
          </w:tcPr>
          <w:p w14:paraId="581E6DBF" w14:textId="77777777" w:rsidR="00496244" w:rsidRPr="002029AF" w:rsidRDefault="00496244" w:rsidP="00317057">
            <w:pPr>
              <w:pStyle w:val="ARtabletextright"/>
            </w:pPr>
            <w:r w:rsidRPr="002029AF">
              <w:t>(19,391.5)</w:t>
            </w:r>
          </w:p>
        </w:tc>
        <w:tc>
          <w:tcPr>
            <w:tcW w:w="952" w:type="dxa"/>
            <w:tcBorders>
              <w:top w:val="single" w:sz="4" w:space="0" w:color="auto"/>
              <w:bottom w:val="single" w:sz="4" w:space="0" w:color="auto"/>
            </w:tcBorders>
            <w:shd w:val="clear" w:color="000000" w:fill="FFFFFF"/>
          </w:tcPr>
          <w:p w14:paraId="22652868" w14:textId="77777777" w:rsidR="00496244" w:rsidRPr="002029AF" w:rsidRDefault="00496244" w:rsidP="00317057">
            <w:pPr>
              <w:pStyle w:val="ARtabletextright"/>
            </w:pPr>
            <w:r w:rsidRPr="002029AF">
              <w:t>(17,742.8)</w:t>
            </w:r>
          </w:p>
        </w:tc>
        <w:tc>
          <w:tcPr>
            <w:tcW w:w="952" w:type="dxa"/>
            <w:tcBorders>
              <w:top w:val="single" w:sz="4" w:space="0" w:color="auto"/>
              <w:bottom w:val="single" w:sz="4" w:space="0" w:color="auto"/>
            </w:tcBorders>
            <w:shd w:val="clear" w:color="000000" w:fill="FFFFFF"/>
          </w:tcPr>
          <w:p w14:paraId="1DCBE677" w14:textId="77777777" w:rsidR="00496244" w:rsidRPr="00CC69F3" w:rsidRDefault="00496244" w:rsidP="00317057">
            <w:pPr>
              <w:pStyle w:val="ARtabletextright"/>
            </w:pPr>
            <w:r w:rsidRPr="002029AF">
              <w:t>(16,939.7)</w:t>
            </w:r>
          </w:p>
        </w:tc>
      </w:tr>
      <w:tr w:rsidR="00496244" w:rsidRPr="002029AF" w14:paraId="506D17B8" w14:textId="77777777" w:rsidTr="00317057">
        <w:trPr>
          <w:trHeight w:val="1"/>
        </w:trPr>
        <w:tc>
          <w:tcPr>
            <w:tcW w:w="4880" w:type="dxa"/>
            <w:tcBorders>
              <w:top w:val="single" w:sz="4" w:space="0" w:color="auto"/>
              <w:left w:val="single" w:sz="4" w:space="0" w:color="FFFFFF"/>
              <w:bottom w:val="single" w:sz="4" w:space="0" w:color="auto"/>
            </w:tcBorders>
            <w:shd w:val="clear" w:color="auto" w:fill="E7E6E6"/>
          </w:tcPr>
          <w:p w14:paraId="066EA2C1" w14:textId="77777777" w:rsidR="00496244" w:rsidRPr="002029AF" w:rsidRDefault="00496244" w:rsidP="00317057">
            <w:pPr>
              <w:pStyle w:val="ARtabletext"/>
              <w:rPr>
                <w:rFonts w:ascii="Calibri" w:hAnsi="Calibri" w:cs="Calibri"/>
              </w:rPr>
            </w:pPr>
            <w:r w:rsidRPr="002029AF">
              <w:t>Net result from transactions</w:t>
            </w:r>
          </w:p>
        </w:tc>
        <w:tc>
          <w:tcPr>
            <w:tcW w:w="951" w:type="dxa"/>
            <w:tcBorders>
              <w:top w:val="single" w:sz="4" w:space="0" w:color="auto"/>
              <w:bottom w:val="single" w:sz="4" w:space="0" w:color="auto"/>
            </w:tcBorders>
            <w:shd w:val="clear" w:color="auto" w:fill="E7E6E6"/>
          </w:tcPr>
          <w:p w14:paraId="5D668B45" w14:textId="77777777" w:rsidR="00496244" w:rsidRPr="00BA2B20" w:rsidRDefault="00496244" w:rsidP="00317057">
            <w:pPr>
              <w:pStyle w:val="ARtabletextright"/>
              <w:rPr>
                <w:highlight w:val="yellow"/>
              </w:rPr>
            </w:pPr>
            <w:r w:rsidRPr="00D31104">
              <w:t>527.7</w:t>
            </w:r>
          </w:p>
        </w:tc>
        <w:tc>
          <w:tcPr>
            <w:tcW w:w="952" w:type="dxa"/>
            <w:tcBorders>
              <w:top w:val="single" w:sz="4" w:space="0" w:color="auto"/>
              <w:bottom w:val="single" w:sz="4" w:space="0" w:color="auto"/>
            </w:tcBorders>
            <w:shd w:val="clear" w:color="auto" w:fill="E7E6E6"/>
          </w:tcPr>
          <w:p w14:paraId="41F9C902" w14:textId="77777777" w:rsidR="00496244" w:rsidRPr="00BA2B20" w:rsidRDefault="00496244" w:rsidP="00317057">
            <w:pPr>
              <w:pStyle w:val="ARtabletextright"/>
              <w:rPr>
                <w:b/>
                <w:bCs/>
              </w:rPr>
            </w:pPr>
            <w:r w:rsidRPr="00CC69F3">
              <w:t>608</w:t>
            </w:r>
            <w:r w:rsidRPr="00BA2B20">
              <w:rPr>
                <w:bCs/>
              </w:rPr>
              <w:t>.1</w:t>
            </w:r>
          </w:p>
        </w:tc>
        <w:tc>
          <w:tcPr>
            <w:tcW w:w="952" w:type="dxa"/>
            <w:tcBorders>
              <w:top w:val="single" w:sz="4" w:space="0" w:color="auto"/>
              <w:bottom w:val="single" w:sz="4" w:space="0" w:color="auto"/>
            </w:tcBorders>
            <w:shd w:val="clear" w:color="auto" w:fill="E7E6E6"/>
          </w:tcPr>
          <w:p w14:paraId="26A11DA1" w14:textId="77777777" w:rsidR="00496244" w:rsidRPr="002029AF" w:rsidRDefault="00496244" w:rsidP="00317057">
            <w:pPr>
              <w:pStyle w:val="ARtabletextright"/>
            </w:pPr>
            <w:r w:rsidRPr="002029AF">
              <w:t>25.5</w:t>
            </w:r>
          </w:p>
        </w:tc>
        <w:tc>
          <w:tcPr>
            <w:tcW w:w="952" w:type="dxa"/>
            <w:tcBorders>
              <w:top w:val="single" w:sz="4" w:space="0" w:color="auto"/>
              <w:bottom w:val="single" w:sz="4" w:space="0" w:color="auto"/>
            </w:tcBorders>
            <w:shd w:val="clear" w:color="auto" w:fill="E7E6E6"/>
          </w:tcPr>
          <w:p w14:paraId="0DFA8368" w14:textId="77777777" w:rsidR="00496244" w:rsidRPr="002029AF" w:rsidRDefault="00496244" w:rsidP="00317057">
            <w:pPr>
              <w:pStyle w:val="ARtabletextright"/>
            </w:pPr>
            <w:r w:rsidRPr="002029AF">
              <w:t>178.3</w:t>
            </w:r>
          </w:p>
        </w:tc>
        <w:tc>
          <w:tcPr>
            <w:tcW w:w="952" w:type="dxa"/>
            <w:tcBorders>
              <w:top w:val="single" w:sz="4" w:space="0" w:color="auto"/>
              <w:bottom w:val="single" w:sz="4" w:space="0" w:color="auto"/>
            </w:tcBorders>
            <w:shd w:val="clear" w:color="auto" w:fill="E7E6E6"/>
          </w:tcPr>
          <w:p w14:paraId="5E8FDF0E" w14:textId="77777777" w:rsidR="00496244" w:rsidRPr="002029AF" w:rsidRDefault="00496244" w:rsidP="00317057">
            <w:pPr>
              <w:pStyle w:val="ARtabletextright"/>
              <w:rPr>
                <w:rFonts w:ascii="Calibri" w:hAnsi="Calibri" w:cs="Calibri"/>
              </w:rPr>
            </w:pPr>
            <w:r w:rsidRPr="002029AF">
              <w:t>(261.2)</w:t>
            </w:r>
          </w:p>
        </w:tc>
      </w:tr>
      <w:tr w:rsidR="00496244" w:rsidRPr="002029AF" w14:paraId="3AE2212B" w14:textId="77777777" w:rsidTr="00317057">
        <w:trPr>
          <w:trHeight w:val="1"/>
        </w:trPr>
        <w:tc>
          <w:tcPr>
            <w:tcW w:w="4880" w:type="dxa"/>
            <w:tcBorders>
              <w:top w:val="single" w:sz="4" w:space="0" w:color="auto"/>
              <w:left w:val="single" w:sz="4" w:space="0" w:color="FFFFFF"/>
              <w:bottom w:val="single" w:sz="4" w:space="0" w:color="auto"/>
            </w:tcBorders>
          </w:tcPr>
          <w:p w14:paraId="0433BC73" w14:textId="77777777" w:rsidR="00496244" w:rsidRPr="002029AF" w:rsidRDefault="00496244" w:rsidP="00317057">
            <w:pPr>
              <w:pStyle w:val="ARtabletext"/>
              <w:rPr>
                <w:rFonts w:ascii="Calibri" w:hAnsi="Calibri" w:cs="Calibri"/>
              </w:rPr>
            </w:pPr>
            <w:r w:rsidRPr="002029AF">
              <w:t>Net result for the period</w:t>
            </w:r>
          </w:p>
        </w:tc>
        <w:tc>
          <w:tcPr>
            <w:tcW w:w="951" w:type="dxa"/>
            <w:tcBorders>
              <w:top w:val="single" w:sz="4" w:space="0" w:color="auto"/>
              <w:bottom w:val="single" w:sz="4" w:space="0" w:color="auto"/>
            </w:tcBorders>
          </w:tcPr>
          <w:p w14:paraId="4FD129A5" w14:textId="77777777" w:rsidR="00496244" w:rsidRPr="00BA2B20" w:rsidRDefault="00496244" w:rsidP="00317057">
            <w:pPr>
              <w:pStyle w:val="ARtabletextright"/>
              <w:rPr>
                <w:highlight w:val="yellow"/>
              </w:rPr>
            </w:pPr>
            <w:r w:rsidRPr="000F4D2A">
              <w:t>513.9</w:t>
            </w:r>
          </w:p>
        </w:tc>
        <w:tc>
          <w:tcPr>
            <w:tcW w:w="952" w:type="dxa"/>
            <w:tcBorders>
              <w:top w:val="single" w:sz="4" w:space="0" w:color="auto"/>
              <w:bottom w:val="single" w:sz="4" w:space="0" w:color="auto"/>
            </w:tcBorders>
            <w:shd w:val="clear" w:color="000000" w:fill="FFFFFF"/>
          </w:tcPr>
          <w:p w14:paraId="26377CAE" w14:textId="77777777" w:rsidR="00496244" w:rsidRPr="00CC69F3" w:rsidRDefault="00496244" w:rsidP="00317057">
            <w:pPr>
              <w:pStyle w:val="ARtabletextright"/>
            </w:pPr>
            <w:r w:rsidRPr="00CC69F3">
              <w:t>545.4</w:t>
            </w:r>
          </w:p>
        </w:tc>
        <w:tc>
          <w:tcPr>
            <w:tcW w:w="952" w:type="dxa"/>
            <w:tcBorders>
              <w:top w:val="single" w:sz="4" w:space="0" w:color="auto"/>
              <w:bottom w:val="single" w:sz="4" w:space="0" w:color="auto"/>
            </w:tcBorders>
            <w:shd w:val="clear" w:color="000000" w:fill="FFFFFF"/>
          </w:tcPr>
          <w:p w14:paraId="39B6DB9B" w14:textId="77777777" w:rsidR="00496244" w:rsidRPr="002029AF" w:rsidRDefault="00496244" w:rsidP="00317057">
            <w:pPr>
              <w:pStyle w:val="ARtabletextright"/>
            </w:pPr>
            <w:r w:rsidRPr="002029AF">
              <w:t>(9.0)</w:t>
            </w:r>
          </w:p>
        </w:tc>
        <w:tc>
          <w:tcPr>
            <w:tcW w:w="952" w:type="dxa"/>
            <w:tcBorders>
              <w:top w:val="single" w:sz="4" w:space="0" w:color="auto"/>
              <w:bottom w:val="single" w:sz="4" w:space="0" w:color="auto"/>
            </w:tcBorders>
            <w:shd w:val="clear" w:color="000000" w:fill="FFFFFF"/>
          </w:tcPr>
          <w:p w14:paraId="37138C38" w14:textId="77777777" w:rsidR="00496244" w:rsidRPr="002029AF" w:rsidRDefault="00496244" w:rsidP="00317057">
            <w:pPr>
              <w:pStyle w:val="ARtabletextright"/>
            </w:pPr>
            <w:r w:rsidRPr="002029AF">
              <w:t>181.7</w:t>
            </w:r>
          </w:p>
        </w:tc>
        <w:tc>
          <w:tcPr>
            <w:tcW w:w="952" w:type="dxa"/>
            <w:tcBorders>
              <w:top w:val="single" w:sz="4" w:space="0" w:color="auto"/>
              <w:bottom w:val="single" w:sz="4" w:space="0" w:color="auto"/>
            </w:tcBorders>
            <w:shd w:val="clear" w:color="000000" w:fill="FFFFFF"/>
          </w:tcPr>
          <w:p w14:paraId="03F7220E" w14:textId="77777777" w:rsidR="00496244" w:rsidRPr="002029AF" w:rsidRDefault="00496244" w:rsidP="00317057">
            <w:pPr>
              <w:pStyle w:val="ARtabletextright"/>
              <w:rPr>
                <w:rFonts w:ascii="Calibri" w:hAnsi="Calibri" w:cs="Calibri"/>
              </w:rPr>
            </w:pPr>
            <w:r w:rsidRPr="002029AF">
              <w:t>(266.3)</w:t>
            </w:r>
          </w:p>
        </w:tc>
      </w:tr>
      <w:tr w:rsidR="00496244" w:rsidRPr="002029AF" w14:paraId="3400E47F" w14:textId="77777777" w:rsidTr="00317057">
        <w:trPr>
          <w:trHeight w:val="1"/>
        </w:trPr>
        <w:tc>
          <w:tcPr>
            <w:tcW w:w="4880" w:type="dxa"/>
            <w:tcBorders>
              <w:top w:val="single" w:sz="4" w:space="0" w:color="auto"/>
              <w:left w:val="single" w:sz="4" w:space="0" w:color="FFFFFF"/>
              <w:bottom w:val="single" w:sz="4" w:space="0" w:color="auto"/>
            </w:tcBorders>
          </w:tcPr>
          <w:p w14:paraId="101F3D4D" w14:textId="77777777" w:rsidR="00496244" w:rsidRPr="002029AF" w:rsidRDefault="00496244" w:rsidP="00317057">
            <w:pPr>
              <w:pStyle w:val="ARtabletext"/>
              <w:rPr>
                <w:rFonts w:ascii="Calibri" w:hAnsi="Calibri" w:cs="Calibri"/>
              </w:rPr>
            </w:pPr>
            <w:r w:rsidRPr="002029AF">
              <w:t>Net cash flow from operating activities</w:t>
            </w:r>
          </w:p>
        </w:tc>
        <w:tc>
          <w:tcPr>
            <w:tcW w:w="951" w:type="dxa"/>
            <w:tcBorders>
              <w:top w:val="single" w:sz="4" w:space="0" w:color="auto"/>
              <w:bottom w:val="single" w:sz="4" w:space="0" w:color="auto"/>
            </w:tcBorders>
          </w:tcPr>
          <w:p w14:paraId="197F5BD0" w14:textId="77777777" w:rsidR="00496244" w:rsidRPr="00BA2B20" w:rsidRDefault="00496244" w:rsidP="00317057">
            <w:pPr>
              <w:pStyle w:val="ARtabletextright"/>
              <w:rPr>
                <w:highlight w:val="yellow"/>
              </w:rPr>
            </w:pPr>
            <w:r w:rsidRPr="00F74403">
              <w:t>989.6</w:t>
            </w:r>
          </w:p>
        </w:tc>
        <w:tc>
          <w:tcPr>
            <w:tcW w:w="952" w:type="dxa"/>
            <w:tcBorders>
              <w:top w:val="single" w:sz="4" w:space="0" w:color="auto"/>
              <w:bottom w:val="single" w:sz="4" w:space="0" w:color="auto"/>
            </w:tcBorders>
            <w:shd w:val="clear" w:color="000000" w:fill="FFFFFF"/>
          </w:tcPr>
          <w:p w14:paraId="45F1EDD0" w14:textId="77777777" w:rsidR="00496244" w:rsidRPr="00CC69F3" w:rsidRDefault="00496244" w:rsidP="00317057">
            <w:pPr>
              <w:pStyle w:val="ARtabletextright"/>
            </w:pPr>
            <w:r w:rsidRPr="00CC69F3">
              <w:t>(96.9)</w:t>
            </w:r>
          </w:p>
        </w:tc>
        <w:tc>
          <w:tcPr>
            <w:tcW w:w="952" w:type="dxa"/>
            <w:tcBorders>
              <w:top w:val="single" w:sz="4" w:space="0" w:color="auto"/>
              <w:bottom w:val="single" w:sz="4" w:space="0" w:color="auto"/>
            </w:tcBorders>
            <w:shd w:val="clear" w:color="000000" w:fill="FFFFFF"/>
          </w:tcPr>
          <w:p w14:paraId="6D3D27B1" w14:textId="77777777" w:rsidR="00496244" w:rsidRPr="002029AF" w:rsidRDefault="00496244" w:rsidP="00317057">
            <w:pPr>
              <w:pStyle w:val="ARtabletextright"/>
            </w:pPr>
            <w:r w:rsidRPr="002029AF">
              <w:t>325.9</w:t>
            </w:r>
          </w:p>
        </w:tc>
        <w:tc>
          <w:tcPr>
            <w:tcW w:w="952" w:type="dxa"/>
            <w:tcBorders>
              <w:top w:val="single" w:sz="4" w:space="0" w:color="auto"/>
              <w:bottom w:val="single" w:sz="4" w:space="0" w:color="auto"/>
            </w:tcBorders>
            <w:shd w:val="clear" w:color="000000" w:fill="FFFFFF"/>
          </w:tcPr>
          <w:p w14:paraId="5E28970D" w14:textId="77777777" w:rsidR="00496244" w:rsidRPr="002029AF" w:rsidRDefault="00496244" w:rsidP="00317057">
            <w:pPr>
              <w:pStyle w:val="ARtabletextright"/>
            </w:pPr>
            <w:r w:rsidRPr="002029AF">
              <w:t>361.9</w:t>
            </w:r>
          </w:p>
        </w:tc>
        <w:tc>
          <w:tcPr>
            <w:tcW w:w="952" w:type="dxa"/>
            <w:tcBorders>
              <w:top w:val="single" w:sz="4" w:space="0" w:color="auto"/>
              <w:bottom w:val="single" w:sz="4" w:space="0" w:color="auto"/>
            </w:tcBorders>
            <w:shd w:val="clear" w:color="000000" w:fill="FFFFFF"/>
          </w:tcPr>
          <w:p w14:paraId="5637C156" w14:textId="77777777" w:rsidR="00496244" w:rsidRPr="002029AF" w:rsidRDefault="00496244" w:rsidP="00317057">
            <w:pPr>
              <w:pStyle w:val="ARtabletextright"/>
              <w:rPr>
                <w:rFonts w:ascii="Calibri" w:hAnsi="Calibri" w:cs="Calibri"/>
              </w:rPr>
            </w:pPr>
            <w:r w:rsidRPr="002029AF">
              <w:t>315.1</w:t>
            </w:r>
          </w:p>
        </w:tc>
      </w:tr>
      <w:tr w:rsidR="00496244" w:rsidRPr="002029AF" w14:paraId="0A517072" w14:textId="77777777" w:rsidTr="00317057">
        <w:trPr>
          <w:trHeight w:val="1"/>
        </w:trPr>
        <w:tc>
          <w:tcPr>
            <w:tcW w:w="4880" w:type="dxa"/>
            <w:tcBorders>
              <w:top w:val="single" w:sz="4" w:space="0" w:color="auto"/>
              <w:left w:val="single" w:sz="4" w:space="0" w:color="FFFFFF"/>
              <w:bottom w:val="single" w:sz="4" w:space="0" w:color="auto"/>
            </w:tcBorders>
          </w:tcPr>
          <w:p w14:paraId="214AB754" w14:textId="77777777" w:rsidR="00496244" w:rsidRPr="002029AF" w:rsidRDefault="00496244" w:rsidP="00317057">
            <w:pPr>
              <w:pStyle w:val="ARtabletext"/>
              <w:rPr>
                <w:rFonts w:ascii="Calibri" w:hAnsi="Calibri" w:cs="Calibri"/>
              </w:rPr>
            </w:pPr>
            <w:r w:rsidRPr="002029AF">
              <w:t>Total assets</w:t>
            </w:r>
          </w:p>
        </w:tc>
        <w:tc>
          <w:tcPr>
            <w:tcW w:w="951" w:type="dxa"/>
            <w:tcBorders>
              <w:top w:val="single" w:sz="4" w:space="0" w:color="auto"/>
              <w:bottom w:val="single" w:sz="4" w:space="0" w:color="auto"/>
            </w:tcBorders>
          </w:tcPr>
          <w:p w14:paraId="4A67C72A" w14:textId="77777777" w:rsidR="00496244" w:rsidRPr="00BA2B20" w:rsidRDefault="00496244" w:rsidP="00317057">
            <w:pPr>
              <w:pStyle w:val="ARtabletextright"/>
              <w:rPr>
                <w:highlight w:val="yellow"/>
              </w:rPr>
            </w:pPr>
            <w:r w:rsidRPr="00EF3808">
              <w:t>40,433.6</w:t>
            </w:r>
          </w:p>
        </w:tc>
        <w:tc>
          <w:tcPr>
            <w:tcW w:w="952" w:type="dxa"/>
            <w:tcBorders>
              <w:top w:val="single" w:sz="4" w:space="0" w:color="auto"/>
              <w:bottom w:val="single" w:sz="4" w:space="0" w:color="auto"/>
            </w:tcBorders>
            <w:shd w:val="clear" w:color="000000" w:fill="FFFFFF"/>
          </w:tcPr>
          <w:p w14:paraId="0A507233" w14:textId="77777777" w:rsidR="00496244" w:rsidRPr="00CC69F3" w:rsidRDefault="00496244" w:rsidP="00317057">
            <w:pPr>
              <w:pStyle w:val="ARtabletextright"/>
            </w:pPr>
            <w:r w:rsidRPr="00CC69F3">
              <w:t>34,865.9</w:t>
            </w:r>
          </w:p>
        </w:tc>
        <w:tc>
          <w:tcPr>
            <w:tcW w:w="952" w:type="dxa"/>
            <w:tcBorders>
              <w:top w:val="single" w:sz="4" w:space="0" w:color="auto"/>
              <w:bottom w:val="single" w:sz="4" w:space="0" w:color="auto"/>
            </w:tcBorders>
            <w:shd w:val="clear" w:color="000000" w:fill="FFFFFF"/>
          </w:tcPr>
          <w:p w14:paraId="4B39BD22" w14:textId="77777777" w:rsidR="00496244" w:rsidRPr="002029AF" w:rsidRDefault="00496244" w:rsidP="00317057">
            <w:pPr>
              <w:pStyle w:val="ARtabletextright"/>
            </w:pPr>
            <w:r w:rsidRPr="002029AF">
              <w:t>33,372.5</w:t>
            </w:r>
          </w:p>
        </w:tc>
        <w:tc>
          <w:tcPr>
            <w:tcW w:w="952" w:type="dxa"/>
            <w:tcBorders>
              <w:top w:val="single" w:sz="4" w:space="0" w:color="auto"/>
              <w:bottom w:val="single" w:sz="4" w:space="0" w:color="auto"/>
            </w:tcBorders>
            <w:shd w:val="clear" w:color="000000" w:fill="FFFFFF"/>
          </w:tcPr>
          <w:p w14:paraId="01199A72" w14:textId="77777777" w:rsidR="00496244" w:rsidRPr="002029AF" w:rsidRDefault="00496244" w:rsidP="00317057">
            <w:pPr>
              <w:pStyle w:val="ARtabletextright"/>
            </w:pPr>
            <w:r w:rsidRPr="002029AF">
              <w:t>34,380.8</w:t>
            </w:r>
          </w:p>
        </w:tc>
        <w:tc>
          <w:tcPr>
            <w:tcW w:w="952" w:type="dxa"/>
            <w:tcBorders>
              <w:top w:val="single" w:sz="4" w:space="0" w:color="auto"/>
              <w:bottom w:val="single" w:sz="4" w:space="0" w:color="auto"/>
            </w:tcBorders>
            <w:shd w:val="clear" w:color="000000" w:fill="FFFFFF"/>
          </w:tcPr>
          <w:p w14:paraId="4E46B9C4" w14:textId="77777777" w:rsidR="00496244" w:rsidRPr="002029AF" w:rsidRDefault="00496244" w:rsidP="00317057">
            <w:pPr>
              <w:pStyle w:val="ARtabletextright"/>
              <w:rPr>
                <w:rFonts w:ascii="Calibri" w:hAnsi="Calibri" w:cs="Calibri"/>
              </w:rPr>
            </w:pPr>
            <w:r w:rsidRPr="002029AF">
              <w:t>29,831.5</w:t>
            </w:r>
          </w:p>
        </w:tc>
      </w:tr>
      <w:tr w:rsidR="00496244" w:rsidRPr="002029AF" w14:paraId="1AB49D17" w14:textId="77777777" w:rsidTr="00317057">
        <w:trPr>
          <w:trHeight w:val="1"/>
        </w:trPr>
        <w:tc>
          <w:tcPr>
            <w:tcW w:w="4880" w:type="dxa"/>
            <w:tcBorders>
              <w:top w:val="single" w:sz="4" w:space="0" w:color="auto"/>
              <w:left w:val="single" w:sz="4" w:space="0" w:color="FFFFFF"/>
              <w:bottom w:val="single" w:sz="4" w:space="0" w:color="auto"/>
            </w:tcBorders>
          </w:tcPr>
          <w:p w14:paraId="715374FE" w14:textId="77777777" w:rsidR="00496244" w:rsidRPr="002029AF" w:rsidRDefault="00496244" w:rsidP="00317057">
            <w:pPr>
              <w:pStyle w:val="ARtabletext"/>
              <w:rPr>
                <w:rFonts w:ascii="Calibri" w:hAnsi="Calibri" w:cs="Calibri"/>
              </w:rPr>
            </w:pPr>
            <w:r w:rsidRPr="002029AF">
              <w:t>Total liabilities</w:t>
            </w:r>
          </w:p>
        </w:tc>
        <w:tc>
          <w:tcPr>
            <w:tcW w:w="951" w:type="dxa"/>
            <w:tcBorders>
              <w:top w:val="single" w:sz="4" w:space="0" w:color="auto"/>
              <w:bottom w:val="single" w:sz="4" w:space="0" w:color="auto"/>
            </w:tcBorders>
          </w:tcPr>
          <w:p w14:paraId="29BC1B3A" w14:textId="77777777" w:rsidR="00496244" w:rsidRPr="00BA2B20" w:rsidRDefault="00496244" w:rsidP="00317057">
            <w:pPr>
              <w:pStyle w:val="ARtabletextright"/>
              <w:rPr>
                <w:highlight w:val="yellow"/>
              </w:rPr>
            </w:pPr>
            <w:r w:rsidRPr="00CC69F3">
              <w:t>3,157.7</w:t>
            </w:r>
          </w:p>
        </w:tc>
        <w:tc>
          <w:tcPr>
            <w:tcW w:w="952" w:type="dxa"/>
            <w:tcBorders>
              <w:top w:val="single" w:sz="4" w:space="0" w:color="auto"/>
              <w:bottom w:val="single" w:sz="4" w:space="0" w:color="auto"/>
            </w:tcBorders>
            <w:shd w:val="clear" w:color="000000" w:fill="FFFFFF"/>
          </w:tcPr>
          <w:p w14:paraId="306D49BA" w14:textId="77777777" w:rsidR="00496244" w:rsidRPr="00CC69F3" w:rsidRDefault="00496244" w:rsidP="00317057">
            <w:pPr>
              <w:pStyle w:val="ARtabletextright"/>
            </w:pPr>
            <w:r w:rsidRPr="00CC69F3">
              <w:t>2,928.7</w:t>
            </w:r>
          </w:p>
        </w:tc>
        <w:tc>
          <w:tcPr>
            <w:tcW w:w="952" w:type="dxa"/>
            <w:tcBorders>
              <w:top w:val="single" w:sz="4" w:space="0" w:color="auto"/>
              <w:bottom w:val="single" w:sz="4" w:space="0" w:color="auto"/>
            </w:tcBorders>
            <w:shd w:val="clear" w:color="000000" w:fill="FFFFFF"/>
          </w:tcPr>
          <w:p w14:paraId="6BB22D40" w14:textId="77777777" w:rsidR="00496244" w:rsidRPr="002029AF" w:rsidRDefault="00496244" w:rsidP="00317057">
            <w:pPr>
              <w:pStyle w:val="ARtabletextright"/>
            </w:pPr>
            <w:r w:rsidRPr="002029AF">
              <w:t>2,177.4</w:t>
            </w:r>
          </w:p>
        </w:tc>
        <w:tc>
          <w:tcPr>
            <w:tcW w:w="952" w:type="dxa"/>
            <w:tcBorders>
              <w:top w:val="single" w:sz="4" w:space="0" w:color="auto"/>
              <w:bottom w:val="single" w:sz="4" w:space="0" w:color="auto"/>
            </w:tcBorders>
            <w:shd w:val="clear" w:color="000000" w:fill="FFFFFF"/>
          </w:tcPr>
          <w:p w14:paraId="2D7ED16F" w14:textId="77777777" w:rsidR="00496244" w:rsidRPr="002029AF" w:rsidRDefault="00496244" w:rsidP="00317057">
            <w:pPr>
              <w:pStyle w:val="ARtabletextright"/>
            </w:pPr>
            <w:r w:rsidRPr="002029AF">
              <w:t>1,968.3</w:t>
            </w:r>
          </w:p>
        </w:tc>
        <w:tc>
          <w:tcPr>
            <w:tcW w:w="952" w:type="dxa"/>
            <w:tcBorders>
              <w:top w:val="single" w:sz="4" w:space="0" w:color="auto"/>
              <w:bottom w:val="single" w:sz="4" w:space="0" w:color="auto"/>
            </w:tcBorders>
            <w:shd w:val="clear" w:color="000000" w:fill="FFFFFF"/>
          </w:tcPr>
          <w:p w14:paraId="7535596D" w14:textId="77777777" w:rsidR="00496244" w:rsidRPr="002029AF" w:rsidRDefault="00496244" w:rsidP="00317057">
            <w:pPr>
              <w:pStyle w:val="ARtabletextright"/>
              <w:rPr>
                <w:rFonts w:ascii="Calibri" w:hAnsi="Calibri" w:cs="Calibri"/>
              </w:rPr>
            </w:pPr>
            <w:r w:rsidRPr="002029AF">
              <w:t>1,795.5</w:t>
            </w:r>
          </w:p>
        </w:tc>
      </w:tr>
    </w:tbl>
    <w:p w14:paraId="1DFB43D0" w14:textId="77777777" w:rsidR="00496244" w:rsidRDefault="00496244" w:rsidP="005E1789">
      <w:pPr>
        <w:pStyle w:val="ARbody"/>
        <w:spacing w:after="400"/>
      </w:pPr>
    </w:p>
    <w:p w14:paraId="4B654ED7" w14:textId="77777777" w:rsidR="00496244" w:rsidRDefault="00496244" w:rsidP="00317057">
      <w:pPr>
        <w:pStyle w:val="Heading3"/>
        <w:sectPr w:rsidR="00496244" w:rsidSect="00317057">
          <w:headerReference w:type="first" r:id="rId58"/>
          <w:footerReference w:type="first" r:id="rId59"/>
          <w:footnotePr>
            <w:numFmt w:val="lowerLetter"/>
            <w:numRestart w:val="eachPage"/>
          </w:footnotePr>
          <w:endnotePr>
            <w:numFmt w:val="decimal"/>
          </w:endnotePr>
          <w:pgSz w:w="11900" w:h="16840" w:code="9"/>
          <w:pgMar w:top="1985" w:right="1134" w:bottom="851" w:left="1134" w:header="510" w:footer="340" w:gutter="0"/>
          <w:cols w:space="454"/>
        </w:sectPr>
      </w:pPr>
      <w:bookmarkStart w:id="286" w:name="_Ref52274666"/>
    </w:p>
    <w:p w14:paraId="088E6480" w14:textId="77777777" w:rsidR="00496244" w:rsidRDefault="00496244" w:rsidP="00317057">
      <w:pPr>
        <w:pStyle w:val="ARbody"/>
        <w:rPr>
          <w:lang w:eastAsia="en-AU"/>
        </w:rPr>
      </w:pPr>
      <w:r>
        <w:rPr>
          <w:lang w:eastAsia="en-AU"/>
        </w:rPr>
        <w:t>The Victorian Government considers the net result from transactions to be the appropriate measure of financial management that can be directly attributed to government policy.</w:t>
      </w:r>
    </w:p>
    <w:p w14:paraId="59B24689" w14:textId="4DE3FD01" w:rsidR="00496244" w:rsidRPr="00052797" w:rsidRDefault="00496244" w:rsidP="00317057">
      <w:pPr>
        <w:pStyle w:val="ARbody"/>
        <w:rPr>
          <w:lang w:eastAsia="en-AU"/>
        </w:rPr>
      </w:pPr>
      <w:r>
        <w:rPr>
          <w:lang w:eastAsia="en-AU"/>
        </w:rPr>
        <w:t xml:space="preserve">This measure excludes the effects of revaluations (holding gains or losses) arising from changes in market prices and other changes in the volume of assets shown under </w:t>
      </w:r>
      <w:r w:rsidR="007D145B">
        <w:rPr>
          <w:lang w:eastAsia="en-AU"/>
        </w:rPr>
        <w:t>‘</w:t>
      </w:r>
      <w:r>
        <w:rPr>
          <w:lang w:eastAsia="en-AU"/>
        </w:rPr>
        <w:t>other economic flows</w:t>
      </w:r>
      <w:r w:rsidR="007D145B">
        <w:rPr>
          <w:lang w:eastAsia="en-AU"/>
        </w:rPr>
        <w:t>’</w:t>
      </w:r>
      <w:r>
        <w:rPr>
          <w:lang w:eastAsia="en-AU"/>
        </w:rPr>
        <w:t xml:space="preserve"> on the comprehensive operating statement, which are outside the control of the department.</w:t>
      </w:r>
    </w:p>
    <w:p w14:paraId="2748CCEA" w14:textId="77777777" w:rsidR="00496244" w:rsidRPr="00BA7690" w:rsidRDefault="00496244" w:rsidP="00317057">
      <w:pPr>
        <w:pStyle w:val="Heading3"/>
      </w:pPr>
      <w:bookmarkStart w:id="287" w:name="_Toc85121167"/>
      <w:bookmarkStart w:id="288" w:name="_Ref85204050"/>
      <w:r w:rsidRPr="00BA7690">
        <w:t>Departmental financial arrangements</w:t>
      </w:r>
      <w:bookmarkEnd w:id="286"/>
      <w:bookmarkEnd w:id="287"/>
      <w:bookmarkEnd w:id="288"/>
    </w:p>
    <w:p w14:paraId="2EE9EA00" w14:textId="4500B360" w:rsidR="00496244" w:rsidRDefault="00496244" w:rsidP="00317057">
      <w:pPr>
        <w:pStyle w:val="ARbody"/>
        <w:rPr>
          <w:lang w:eastAsia="en-AU"/>
        </w:rPr>
      </w:pPr>
      <w:r>
        <w:rPr>
          <w:lang w:eastAsia="en-AU"/>
        </w:rPr>
        <w:t>The department</w:t>
      </w:r>
      <w:r w:rsidR="007D145B">
        <w:rPr>
          <w:lang w:eastAsia="en-AU"/>
        </w:rPr>
        <w:t>’</w:t>
      </w:r>
      <w:r>
        <w:rPr>
          <w:lang w:eastAsia="en-AU"/>
        </w:rPr>
        <w:t>s audited financial statements and the five-year summary exclude bodies within the department</w:t>
      </w:r>
      <w:r w:rsidR="007D145B">
        <w:rPr>
          <w:lang w:eastAsia="en-AU"/>
        </w:rPr>
        <w:t>’</w:t>
      </w:r>
      <w:r>
        <w:rPr>
          <w:lang w:eastAsia="en-AU"/>
        </w:rPr>
        <w:t>s portfolio that are not controlled by the department and are therefore not consolidated in the department</w:t>
      </w:r>
      <w:r w:rsidR="007D145B">
        <w:rPr>
          <w:lang w:eastAsia="en-AU"/>
        </w:rPr>
        <w:t>’</w:t>
      </w:r>
      <w:r>
        <w:rPr>
          <w:lang w:eastAsia="en-AU"/>
        </w:rPr>
        <w:t>s accounts.</w:t>
      </w:r>
    </w:p>
    <w:p w14:paraId="5EC2D64B" w14:textId="40465705" w:rsidR="00496244" w:rsidRDefault="00496244" w:rsidP="00317057">
      <w:pPr>
        <w:pStyle w:val="ARbody"/>
        <w:rPr>
          <w:lang w:eastAsia="en-AU"/>
        </w:rPr>
      </w:pPr>
      <w:r>
        <w:rPr>
          <w:lang w:eastAsia="en-AU"/>
        </w:rPr>
        <w:t>To enable efficient production of financial information for entities related to the department, the financial information of the following entities is included in the department</w:t>
      </w:r>
      <w:r w:rsidR="007D145B">
        <w:rPr>
          <w:lang w:eastAsia="en-AU"/>
        </w:rPr>
        <w:t>’</w:t>
      </w:r>
      <w:r>
        <w:rPr>
          <w:lang w:eastAsia="en-AU"/>
        </w:rPr>
        <w:t>s financial statements in</w:t>
      </w:r>
      <w:r w:rsidR="00B527D8">
        <w:rPr>
          <w:lang w:eastAsia="en-AU"/>
        </w:rPr>
        <w:t> </w:t>
      </w:r>
      <w:r>
        <w:rPr>
          <w:lang w:eastAsia="en-AU"/>
        </w:rPr>
        <w:t xml:space="preserve">accordance with determinations made by the Assistant Treasurer under s. 53(1)(b) of the </w:t>
      </w:r>
      <w:r w:rsidRPr="000D0B1D">
        <w:rPr>
          <w:i/>
          <w:iCs/>
          <w:lang w:eastAsia="en-AU"/>
        </w:rPr>
        <w:t>Financial Management Act 1994</w:t>
      </w:r>
      <w:r>
        <w:rPr>
          <w:lang w:eastAsia="en-AU"/>
        </w:rPr>
        <w:t>:</w:t>
      </w:r>
    </w:p>
    <w:p w14:paraId="73A3E258" w14:textId="77777777" w:rsidR="00496244" w:rsidRDefault="00496244" w:rsidP="00317057">
      <w:pPr>
        <w:pStyle w:val="ARbullet1"/>
        <w:rPr>
          <w:lang w:eastAsia="en-AU"/>
        </w:rPr>
      </w:pPr>
      <w:r w:rsidRPr="3AAB85EE">
        <w:rPr>
          <w:lang w:eastAsia="en-AU"/>
        </w:rPr>
        <w:t>Director of Housing (from 1 July 2006)</w:t>
      </w:r>
    </w:p>
    <w:p w14:paraId="712F47C5" w14:textId="77777777" w:rsidR="00496244" w:rsidRDefault="00496244" w:rsidP="00317057">
      <w:pPr>
        <w:pStyle w:val="ARbullet1"/>
        <w:rPr>
          <w:lang w:eastAsia="en-AU"/>
        </w:rPr>
      </w:pPr>
      <w:r w:rsidRPr="3AAB85EE">
        <w:rPr>
          <w:lang w:eastAsia="en-AU"/>
        </w:rPr>
        <w:t>Mental Health Tribunal (from 1 July 2014)</w:t>
      </w:r>
    </w:p>
    <w:p w14:paraId="3DE14FDF" w14:textId="77777777" w:rsidR="00496244" w:rsidRDefault="00496244" w:rsidP="00317057">
      <w:pPr>
        <w:pStyle w:val="ARbullet1"/>
        <w:rPr>
          <w:lang w:eastAsia="en-AU"/>
        </w:rPr>
      </w:pPr>
      <w:r w:rsidRPr="3AAB85EE">
        <w:rPr>
          <w:lang w:eastAsia="en-AU"/>
        </w:rPr>
        <w:t>Commission for Children and Young People (from 1 July 2015)</w:t>
      </w:r>
    </w:p>
    <w:p w14:paraId="07C1E8DE" w14:textId="44C7E7B6" w:rsidR="00496244" w:rsidRDefault="00496244" w:rsidP="00317057">
      <w:pPr>
        <w:pStyle w:val="ARbullet1"/>
        <w:rPr>
          <w:lang w:eastAsia="en-AU"/>
        </w:rPr>
      </w:pPr>
      <w:r w:rsidRPr="3AAB85EE">
        <w:rPr>
          <w:lang w:eastAsia="en-AU"/>
        </w:rPr>
        <w:t>Disability Worker Registration Board (from</w:t>
      </w:r>
      <w:r w:rsidR="00B527D8">
        <w:rPr>
          <w:lang w:eastAsia="en-AU"/>
        </w:rPr>
        <w:t> </w:t>
      </w:r>
      <w:r w:rsidRPr="3AAB85EE">
        <w:rPr>
          <w:lang w:eastAsia="en-AU"/>
        </w:rPr>
        <w:t>1 June 2020)</w:t>
      </w:r>
    </w:p>
    <w:p w14:paraId="350F51BC" w14:textId="078D4AC8" w:rsidR="00496244" w:rsidRDefault="00496244" w:rsidP="00317057">
      <w:pPr>
        <w:pStyle w:val="ARbullet1"/>
        <w:rPr>
          <w:lang w:eastAsia="en-AU"/>
        </w:rPr>
      </w:pPr>
      <w:r w:rsidRPr="3AAB85EE">
        <w:rPr>
          <w:lang w:eastAsia="en-AU"/>
        </w:rPr>
        <w:t>Victorian Disability Worker Commission (from</w:t>
      </w:r>
      <w:r w:rsidR="00B527D8">
        <w:rPr>
          <w:lang w:eastAsia="en-AU"/>
        </w:rPr>
        <w:t> </w:t>
      </w:r>
      <w:r w:rsidRPr="3AAB85EE">
        <w:rPr>
          <w:lang w:eastAsia="en-AU"/>
        </w:rPr>
        <w:t>1 June 2020)</w:t>
      </w:r>
    </w:p>
    <w:p w14:paraId="27BF5EE8" w14:textId="77777777" w:rsidR="00496244" w:rsidRDefault="00496244" w:rsidP="00317057">
      <w:pPr>
        <w:pStyle w:val="ARbullet1"/>
        <w:rPr>
          <w:lang w:eastAsia="en-AU"/>
        </w:rPr>
      </w:pPr>
      <w:bookmarkStart w:id="289" w:name="_Hlk82778126"/>
      <w:r w:rsidRPr="3AAB85EE">
        <w:rPr>
          <w:lang w:eastAsia="en-AU"/>
        </w:rPr>
        <w:t xml:space="preserve">Department of Families, Fairness and Housing </w:t>
      </w:r>
      <w:bookmarkEnd w:id="289"/>
      <w:r w:rsidRPr="3AAB85EE">
        <w:rPr>
          <w:lang w:eastAsia="en-AU"/>
        </w:rPr>
        <w:t>(from 1 February 2021)</w:t>
      </w:r>
    </w:p>
    <w:p w14:paraId="73A8BA4D" w14:textId="77777777" w:rsidR="00496244" w:rsidRDefault="00496244" w:rsidP="00317057">
      <w:pPr>
        <w:pStyle w:val="ARbullet1"/>
        <w:rPr>
          <w:lang w:eastAsia="en-AU"/>
        </w:rPr>
      </w:pPr>
      <w:r w:rsidRPr="3AAB85EE">
        <w:rPr>
          <w:lang w:eastAsia="en-AU"/>
        </w:rPr>
        <w:t>Respect Victoria (from 1 February 2021)</w:t>
      </w:r>
    </w:p>
    <w:p w14:paraId="2B001BE0" w14:textId="77777777" w:rsidR="00496244" w:rsidRDefault="00496244" w:rsidP="00317057">
      <w:pPr>
        <w:pStyle w:val="ARbullet1"/>
        <w:rPr>
          <w:lang w:eastAsia="en-AU"/>
        </w:rPr>
      </w:pPr>
      <w:r w:rsidRPr="3AAB85EE">
        <w:rPr>
          <w:lang w:eastAsia="en-AU"/>
        </w:rPr>
        <w:t>Victorian Multicultural Commission (from 1 February 2021)</w:t>
      </w:r>
    </w:p>
    <w:p w14:paraId="3E3A3C9D" w14:textId="77777777" w:rsidR="00496244" w:rsidRDefault="00496244" w:rsidP="00317057">
      <w:pPr>
        <w:pStyle w:val="ARbullet1"/>
        <w:rPr>
          <w:lang w:eastAsia="en-AU"/>
        </w:rPr>
      </w:pPr>
      <w:r w:rsidRPr="3AAB85EE">
        <w:rPr>
          <w:lang w:eastAsia="en-AU"/>
        </w:rPr>
        <w:t>Victorian Veterans Council (from 1 February 2021).</w:t>
      </w:r>
    </w:p>
    <w:p w14:paraId="5B341D83" w14:textId="77777777" w:rsidR="00496244" w:rsidRDefault="00496244" w:rsidP="00317057">
      <w:pPr>
        <w:pStyle w:val="ARbodyaftertable"/>
        <w:rPr>
          <w:lang w:eastAsia="en-AU"/>
        </w:rPr>
      </w:pPr>
      <w:r>
        <w:rPr>
          <w:lang w:eastAsia="en-AU"/>
        </w:rPr>
        <w:t>As a public non-financial corporation, the majority of income for the Director of Housing entity is derived from business operations primarily in the form of public housing rental, along with revenue provided by government through annual appropriation processes.</w:t>
      </w:r>
    </w:p>
    <w:p w14:paraId="795D198E" w14:textId="77777777" w:rsidR="00496244" w:rsidRDefault="00496244" w:rsidP="00317057">
      <w:pPr>
        <w:pStyle w:val="ARbody"/>
        <w:rPr>
          <w:lang w:eastAsia="en-AU"/>
        </w:rPr>
      </w:pPr>
      <w:r>
        <w:rPr>
          <w:lang w:eastAsia="en-AU"/>
        </w:rPr>
        <w:t xml:space="preserve">Detailed financial results for the Director of Housing are included in the appendices of the </w:t>
      </w:r>
      <w:r w:rsidRPr="00AD74C4">
        <w:rPr>
          <w:lang w:eastAsia="en-AU"/>
        </w:rPr>
        <w:t>Department of Families, Fairness and Housing</w:t>
      </w:r>
      <w:r>
        <w:rPr>
          <w:lang w:eastAsia="en-AU"/>
        </w:rPr>
        <w:t xml:space="preserve"> annual report.</w:t>
      </w:r>
    </w:p>
    <w:p w14:paraId="03AA5D2B" w14:textId="77777777" w:rsidR="00496244" w:rsidRDefault="00496244" w:rsidP="00317057">
      <w:pPr>
        <w:pStyle w:val="Heading3"/>
      </w:pPr>
      <w:bookmarkStart w:id="290" w:name="_Toc85121168"/>
      <w:r>
        <w:t>Machinery of government changes</w:t>
      </w:r>
      <w:bookmarkEnd w:id="290"/>
    </w:p>
    <w:p w14:paraId="39C4E269" w14:textId="77777777" w:rsidR="00496244" w:rsidRDefault="00496244" w:rsidP="00317057">
      <w:pPr>
        <w:pStyle w:val="ARbody"/>
        <w:rPr>
          <w:lang w:eastAsia="en-AU"/>
        </w:rPr>
      </w:pPr>
      <w:r>
        <w:rPr>
          <w:lang w:eastAsia="en-AU"/>
        </w:rPr>
        <w:t>The Victorian Government issued an administrative order restructuring some of its activities via machinery of government changes. As part of the machinery of government restructure:</w:t>
      </w:r>
    </w:p>
    <w:p w14:paraId="512E9AEE" w14:textId="77777777" w:rsidR="00496244" w:rsidRDefault="00496244" w:rsidP="00317057">
      <w:pPr>
        <w:pStyle w:val="ARbullet1"/>
        <w:rPr>
          <w:lang w:eastAsia="en-AU"/>
        </w:rPr>
      </w:pPr>
      <w:r w:rsidRPr="3AAB85EE">
        <w:rPr>
          <w:lang w:eastAsia="en-AU"/>
        </w:rPr>
        <w:t>The Department of Health and Human Services was renamed the Department of Health.</w:t>
      </w:r>
    </w:p>
    <w:p w14:paraId="343E1AA9" w14:textId="2167A4E5" w:rsidR="00864121" w:rsidRDefault="00496244" w:rsidP="00317057">
      <w:pPr>
        <w:pStyle w:val="ARbullet1"/>
        <w:rPr>
          <w:lang w:eastAsia="en-AU"/>
        </w:rPr>
      </w:pPr>
      <w:r w:rsidRPr="3AAB85EE">
        <w:rPr>
          <w:lang w:eastAsia="en-AU"/>
        </w:rPr>
        <w:t>The Department of Health transferred the Medical Research function to the Department of</w:t>
      </w:r>
      <w:r w:rsidR="00B527D8">
        <w:rPr>
          <w:lang w:eastAsia="en-AU"/>
        </w:rPr>
        <w:t> </w:t>
      </w:r>
      <w:r w:rsidRPr="3AAB85EE">
        <w:rPr>
          <w:lang w:eastAsia="en-AU"/>
        </w:rPr>
        <w:t>Jobs, Precincts and Regions effective from 1 July 2020.</w:t>
      </w:r>
    </w:p>
    <w:p w14:paraId="667F9380" w14:textId="77777777" w:rsidR="00864121" w:rsidRDefault="00496244" w:rsidP="00317057">
      <w:pPr>
        <w:pStyle w:val="ARbullet1"/>
        <w:rPr>
          <w:lang w:eastAsia="en-AU"/>
        </w:rPr>
      </w:pPr>
      <w:r w:rsidRPr="3AAB85EE">
        <w:rPr>
          <w:lang w:eastAsia="en-AU"/>
        </w:rPr>
        <w:lastRenderedPageBreak/>
        <w:t>The Department of Health transferred the Child Protection, Prevention of Family Violence, Housing and Disability functions to the new Department of Families, Fairness and Housing, which was formed effective from 1 February 2021.</w:t>
      </w:r>
    </w:p>
    <w:p w14:paraId="2383828C" w14:textId="125D51BE" w:rsidR="00496244" w:rsidRDefault="00496244" w:rsidP="00317057">
      <w:pPr>
        <w:pStyle w:val="ARbullet1"/>
        <w:rPr>
          <w:lang w:eastAsia="en-AU"/>
        </w:rPr>
      </w:pPr>
      <w:r w:rsidRPr="3AAB85EE">
        <w:rPr>
          <w:lang w:eastAsia="en-AU"/>
        </w:rPr>
        <w:t>The Department of Premier and Cabinet transferred the Fairer Victoria, Respect Victoria, Victorian Multicultural Commission, and Victorian Veterans Council to the Department of</w:t>
      </w:r>
      <w:r w:rsidR="00B527D8">
        <w:rPr>
          <w:lang w:eastAsia="en-AU"/>
        </w:rPr>
        <w:t> </w:t>
      </w:r>
      <w:r w:rsidRPr="3AAB85EE">
        <w:rPr>
          <w:lang w:eastAsia="en-AU"/>
        </w:rPr>
        <w:t>Families, Fairness and Housing, effective from 1</w:t>
      </w:r>
      <w:r>
        <w:rPr>
          <w:lang w:eastAsia="en-AU"/>
        </w:rPr>
        <w:t> </w:t>
      </w:r>
      <w:r w:rsidRPr="3AAB85EE">
        <w:rPr>
          <w:lang w:eastAsia="en-AU"/>
        </w:rPr>
        <w:t>February 2021.</w:t>
      </w:r>
    </w:p>
    <w:p w14:paraId="0733F8C0" w14:textId="54BA14A7" w:rsidR="00496244" w:rsidRDefault="00496244" w:rsidP="00317057">
      <w:pPr>
        <w:pStyle w:val="Heading3"/>
      </w:pPr>
      <w:bookmarkStart w:id="291" w:name="_Toc85121169"/>
      <w:bookmarkStart w:id="292" w:name="_Ref85202724"/>
      <w:r>
        <w:t>Financial performance and business</w:t>
      </w:r>
      <w:r w:rsidR="00B527D8">
        <w:t> </w:t>
      </w:r>
      <w:r>
        <w:t>review</w:t>
      </w:r>
      <w:bookmarkEnd w:id="291"/>
      <w:bookmarkEnd w:id="292"/>
    </w:p>
    <w:p w14:paraId="6FDA8097" w14:textId="4205856B" w:rsidR="00496244" w:rsidRDefault="00496244" w:rsidP="00317057">
      <w:pPr>
        <w:pStyle w:val="ARbody"/>
        <w:rPr>
          <w:lang w:eastAsia="en-AU"/>
        </w:rPr>
      </w:pPr>
      <w:r>
        <w:rPr>
          <w:lang w:eastAsia="en-AU"/>
        </w:rPr>
        <w:t>The details below relate to the department</w:t>
      </w:r>
      <w:r w:rsidR="007D145B">
        <w:rPr>
          <w:lang w:eastAsia="en-AU"/>
        </w:rPr>
        <w:t>’</w:t>
      </w:r>
      <w:r>
        <w:rPr>
          <w:lang w:eastAsia="en-AU"/>
        </w:rPr>
        <w:t>s consolidated financial statements including the entities outlined above.</w:t>
      </w:r>
    </w:p>
    <w:p w14:paraId="2C840C74" w14:textId="7592E1B8" w:rsidR="00496244" w:rsidRDefault="00496244" w:rsidP="00317057">
      <w:pPr>
        <w:pStyle w:val="ARbody"/>
        <w:rPr>
          <w:lang w:eastAsia="en-AU"/>
        </w:rPr>
      </w:pPr>
      <w:r>
        <w:rPr>
          <w:lang w:eastAsia="en-AU"/>
        </w:rPr>
        <w:t>In 202</w:t>
      </w:r>
      <w:r w:rsidR="00FA7261">
        <w:rPr>
          <w:lang w:eastAsia="en-AU"/>
        </w:rPr>
        <w:t>0–</w:t>
      </w:r>
      <w:r>
        <w:rPr>
          <w:lang w:eastAsia="en-AU"/>
        </w:rPr>
        <w:t>21, the department recorded a net gain from transactions of $527.7 million. This gain primarily relates to $367.6 million surplus in the department, and a $147.3 million surplus in the Director of Housing entity.</w:t>
      </w:r>
    </w:p>
    <w:p w14:paraId="60DE91AF" w14:textId="5CD427CD" w:rsidR="00496244" w:rsidRDefault="00496244" w:rsidP="00317057">
      <w:pPr>
        <w:pStyle w:val="ARbody"/>
        <w:rPr>
          <w:lang w:eastAsia="en-AU"/>
        </w:rPr>
      </w:pPr>
      <w:r>
        <w:rPr>
          <w:lang w:eastAsia="en-AU"/>
        </w:rPr>
        <w:t>The $367.6 million surplus is mainly the result of the funding mechanism for the capital program in health services. The department is required to book revenue (depreciation-equivalent appropriation) to fully cover the depreciation expense related to assets that reside with health services. During the year, the department is only able to access and allocate depreciation-equivalent funding to on-pass to health services to deliver the government</w:t>
      </w:r>
      <w:r w:rsidR="007D145B">
        <w:rPr>
          <w:lang w:eastAsia="en-AU"/>
        </w:rPr>
        <w:t>’</w:t>
      </w:r>
      <w:r>
        <w:rPr>
          <w:lang w:eastAsia="en-AU"/>
        </w:rPr>
        <w:t>s approved capital program. The depreciation-equivalent revenue that is not able to be allocated is booked as a receivable from the Victorian Government for application towards future capital program expenditure. In addition, contributing to the department</w:t>
      </w:r>
      <w:r w:rsidR="007D145B">
        <w:rPr>
          <w:lang w:eastAsia="en-AU"/>
        </w:rPr>
        <w:t>’</w:t>
      </w:r>
      <w:r>
        <w:rPr>
          <w:lang w:eastAsia="en-AU"/>
        </w:rPr>
        <w:t>s surplus is the accounting effect of the State Supply Arrangement, where appropriation revenue was received to purchase inventory. Not</w:t>
      </w:r>
      <w:r w:rsidR="00EC65C3">
        <w:rPr>
          <w:lang w:eastAsia="en-AU"/>
        </w:rPr>
        <w:t> </w:t>
      </w:r>
      <w:r>
        <w:rPr>
          <w:lang w:eastAsia="en-AU"/>
        </w:rPr>
        <w:t>all the purchased inventory was consumed during the financial year. The remaining portion of</w:t>
      </w:r>
      <w:r w:rsidR="00EC65C3">
        <w:rPr>
          <w:lang w:eastAsia="en-AU"/>
        </w:rPr>
        <w:t> </w:t>
      </w:r>
      <w:r>
        <w:rPr>
          <w:lang w:eastAsia="en-AU"/>
        </w:rPr>
        <w:t>inventory purchased during the year was capitalised in the balance sheet, impacting the department</w:t>
      </w:r>
      <w:r w:rsidR="007D145B">
        <w:rPr>
          <w:lang w:eastAsia="en-AU"/>
        </w:rPr>
        <w:t>’</w:t>
      </w:r>
      <w:r>
        <w:rPr>
          <w:lang w:eastAsia="en-AU"/>
        </w:rPr>
        <w:t>s surplus.</w:t>
      </w:r>
    </w:p>
    <w:p w14:paraId="127DB627" w14:textId="0F9FE499" w:rsidR="00864121" w:rsidRDefault="00EC65C3" w:rsidP="00317057">
      <w:pPr>
        <w:pStyle w:val="ARbody"/>
        <w:rPr>
          <w:lang w:eastAsia="en-AU"/>
        </w:rPr>
      </w:pPr>
      <w:r>
        <w:rPr>
          <w:lang w:eastAsia="en-AU"/>
        </w:rPr>
        <w:br w:type="column"/>
      </w:r>
      <w:r w:rsidR="00496244">
        <w:rPr>
          <w:lang w:eastAsia="en-AU"/>
        </w:rPr>
        <w:t>The Director of Housing</w:t>
      </w:r>
      <w:r w:rsidR="007D145B">
        <w:rPr>
          <w:lang w:eastAsia="en-AU"/>
        </w:rPr>
        <w:t>’</w:t>
      </w:r>
      <w:r w:rsidR="00496244">
        <w:rPr>
          <w:lang w:eastAsia="en-AU"/>
        </w:rPr>
        <w:t>s $147.3 million surplus reflects the net impact of additional government investment in social and affordable housing, including timing-related impacts of the Building Works and Big Housing Build programs. Public housing revenue and costs have also been significantly impacted by COVID-19, with rental revenue reflecting lower household incomes, the</w:t>
      </w:r>
      <w:r>
        <w:rPr>
          <w:lang w:eastAsia="en-AU"/>
        </w:rPr>
        <w:t> </w:t>
      </w:r>
      <w:r w:rsidR="00496244">
        <w:rPr>
          <w:lang w:eastAsia="en-AU"/>
        </w:rPr>
        <w:t>impact of government decisions to provide temporary support to public housing renters, and costs reflecting higher demand for cleaning and security services.</w:t>
      </w:r>
    </w:p>
    <w:p w14:paraId="56F87122" w14:textId="474A8FDC" w:rsidR="00496244" w:rsidRDefault="00496244" w:rsidP="00317057">
      <w:pPr>
        <w:pStyle w:val="Heading3"/>
      </w:pPr>
      <w:bookmarkStart w:id="293" w:name="_Toc85121170"/>
      <w:bookmarkStart w:id="294" w:name="_Ref85202715"/>
      <w:r>
        <w:t>Financial position – balance sheet</w:t>
      </w:r>
      <w:bookmarkEnd w:id="293"/>
      <w:bookmarkEnd w:id="294"/>
    </w:p>
    <w:p w14:paraId="1418FA79" w14:textId="5B70D4FC" w:rsidR="00496244" w:rsidRDefault="00496244" w:rsidP="00317057">
      <w:pPr>
        <w:pStyle w:val="ARbody"/>
        <w:rPr>
          <w:lang w:eastAsia="en-AU"/>
        </w:rPr>
      </w:pPr>
      <w:r>
        <w:rPr>
          <w:lang w:eastAsia="en-AU"/>
        </w:rPr>
        <w:t>Total assets have increased by $5.6 billion in 202</w:t>
      </w:r>
      <w:r w:rsidR="00FA7261">
        <w:rPr>
          <w:lang w:eastAsia="en-AU"/>
        </w:rPr>
        <w:t>0–</w:t>
      </w:r>
      <w:r>
        <w:rPr>
          <w:lang w:eastAsia="en-AU"/>
        </w:rPr>
        <w:t>21 compared to last year, which is mostly attributed to increases in property, plant and equipment, and cash and deposits. The increase in</w:t>
      </w:r>
      <w:r w:rsidR="00EC65C3">
        <w:rPr>
          <w:lang w:eastAsia="en-AU"/>
        </w:rPr>
        <w:t> </w:t>
      </w:r>
      <w:r>
        <w:rPr>
          <w:lang w:eastAsia="en-AU"/>
        </w:rPr>
        <w:t>property, plant and equipment relates to a managerial revaluation of land assets, undertaken due to a 24 per cent increase in the fair value of land. The increase in cash at bank results from timing differences between the receipt of funding for the Building Works Stimulus Package, Big</w:t>
      </w:r>
      <w:r w:rsidR="00EC65C3">
        <w:rPr>
          <w:lang w:eastAsia="en-AU"/>
        </w:rPr>
        <w:t> </w:t>
      </w:r>
      <w:r>
        <w:rPr>
          <w:lang w:eastAsia="en-AU"/>
        </w:rPr>
        <w:t>Housing Build and COVID-19 response commitments and the actual cash outflows to deliver these programs.</w:t>
      </w:r>
    </w:p>
    <w:p w14:paraId="1D4DB49F" w14:textId="77777777" w:rsidR="00496244" w:rsidRDefault="00496244" w:rsidP="00317057">
      <w:pPr>
        <w:pStyle w:val="Heading3"/>
      </w:pPr>
      <w:bookmarkStart w:id="295" w:name="_Toc85121171"/>
      <w:r>
        <w:t>Cash flows</w:t>
      </w:r>
      <w:bookmarkEnd w:id="295"/>
    </w:p>
    <w:p w14:paraId="4917083C" w14:textId="734D1B97" w:rsidR="00496244" w:rsidRPr="008F4563" w:rsidRDefault="00496244" w:rsidP="00317057">
      <w:pPr>
        <w:pStyle w:val="ARbody"/>
        <w:rPr>
          <w:highlight w:val="yellow"/>
          <w:lang w:eastAsia="en-AU"/>
        </w:rPr>
      </w:pPr>
      <w:r>
        <w:rPr>
          <w:lang w:eastAsia="en-AU"/>
        </w:rPr>
        <w:t xml:space="preserve">The overall cash position at the end of the </w:t>
      </w:r>
      <w:r w:rsidR="00EC65C3">
        <w:rPr>
          <w:lang w:eastAsia="en-AU"/>
        </w:rPr>
        <w:br/>
      </w:r>
      <w:r>
        <w:rPr>
          <w:lang w:eastAsia="en-AU"/>
        </w:rPr>
        <w:t>202</w:t>
      </w:r>
      <w:r w:rsidR="00FA7261">
        <w:rPr>
          <w:lang w:eastAsia="en-AU"/>
        </w:rPr>
        <w:t>0–</w:t>
      </w:r>
      <w:r>
        <w:rPr>
          <w:lang w:eastAsia="en-AU"/>
        </w:rPr>
        <w:t>21 financial year is $913.9 million surplus, which is an increase of $316.2 million compared to</w:t>
      </w:r>
      <w:r w:rsidR="00EC65C3">
        <w:rPr>
          <w:lang w:eastAsia="en-AU"/>
        </w:rPr>
        <w:t> </w:t>
      </w:r>
      <w:r>
        <w:rPr>
          <w:lang w:eastAsia="en-AU"/>
        </w:rPr>
        <w:t>the beginning of the year. The overall increase mainly results from timing differences between the receipt of funding for the Building Works Stimulus Package, Big Housing Build and COVID-19 response commitments and the actual cash outflows to deliver these programs. The increase in net cash flows from operating activities in 202</w:t>
      </w:r>
      <w:r w:rsidR="00FA7261">
        <w:rPr>
          <w:lang w:eastAsia="en-AU"/>
        </w:rPr>
        <w:t>0–</w:t>
      </w:r>
      <w:r>
        <w:rPr>
          <w:lang w:eastAsia="en-AU"/>
        </w:rPr>
        <w:t>21 reported in the five-year summary table is reflective of this timing difference and of the way in which receipts of output appropriations are disclosed in</w:t>
      </w:r>
      <w:r w:rsidR="00EC65C3">
        <w:rPr>
          <w:lang w:eastAsia="en-AU"/>
        </w:rPr>
        <w:t> </w:t>
      </w:r>
      <w:r>
        <w:rPr>
          <w:lang w:eastAsia="en-AU"/>
        </w:rPr>
        <w:t>the cash flows from operating activities section of</w:t>
      </w:r>
      <w:r w:rsidR="00EC65C3">
        <w:rPr>
          <w:lang w:eastAsia="en-AU"/>
        </w:rPr>
        <w:t> </w:t>
      </w:r>
      <w:r>
        <w:rPr>
          <w:lang w:eastAsia="en-AU"/>
        </w:rPr>
        <w:t xml:space="preserve">the cash flow statement while payments for </w:t>
      </w:r>
      <w:r w:rsidR="00EC65C3">
        <w:rPr>
          <w:lang w:eastAsia="en-AU"/>
        </w:rPr>
        <w:br/>
      </w:r>
      <w:r>
        <w:rPr>
          <w:lang w:eastAsia="en-AU"/>
        </w:rPr>
        <w:t>non-financial assets are disclosed in the cash flows from investing activities section of the cash flow statement.</w:t>
      </w:r>
    </w:p>
    <w:p w14:paraId="13A3C2C9" w14:textId="77777777" w:rsidR="00496244" w:rsidRDefault="00496244" w:rsidP="00317057">
      <w:pPr>
        <w:pStyle w:val="ARbody"/>
        <w:rPr>
          <w:lang w:eastAsia="en-AU"/>
        </w:rPr>
      </w:pPr>
    </w:p>
    <w:p w14:paraId="0C745C75" w14:textId="77777777" w:rsidR="00496244" w:rsidRPr="002029AF" w:rsidRDefault="00496244" w:rsidP="00317057">
      <w:pPr>
        <w:pStyle w:val="ARbody"/>
        <w:rPr>
          <w:lang w:eastAsia="en-AU"/>
        </w:rPr>
        <w:sectPr w:rsidR="00496244" w:rsidRPr="002029AF" w:rsidSect="00317057">
          <w:footnotePr>
            <w:numFmt w:val="lowerLetter"/>
            <w:numRestart w:val="eachPage"/>
          </w:footnotePr>
          <w:endnotePr>
            <w:numFmt w:val="decimal"/>
          </w:endnotePr>
          <w:type w:val="continuous"/>
          <w:pgSz w:w="11900" w:h="16840" w:code="9"/>
          <w:pgMar w:top="1985" w:right="1134" w:bottom="851" w:left="1134" w:header="510" w:footer="340" w:gutter="0"/>
          <w:cols w:num="2" w:space="454"/>
        </w:sectPr>
      </w:pPr>
    </w:p>
    <w:p w14:paraId="670BBA43" w14:textId="77777777" w:rsidR="00496244" w:rsidRPr="002029AF" w:rsidRDefault="00496244" w:rsidP="00317057">
      <w:pPr>
        <w:pStyle w:val="Heading3"/>
        <w:spacing w:before="0"/>
      </w:pPr>
      <w:bookmarkStart w:id="296" w:name="_Toc40770921"/>
      <w:bookmarkStart w:id="297" w:name="_Toc40770922"/>
      <w:bookmarkStart w:id="298" w:name="_Toc40770823"/>
      <w:bookmarkStart w:id="299" w:name="_Toc40770943"/>
      <w:bookmarkStart w:id="300" w:name="_Toc40771364"/>
      <w:bookmarkStart w:id="301" w:name="_Toc40771384"/>
      <w:bookmarkStart w:id="302" w:name="_Toc40770824"/>
      <w:bookmarkStart w:id="303" w:name="_Toc40770944"/>
      <w:bookmarkStart w:id="304" w:name="_Toc40771365"/>
      <w:bookmarkStart w:id="305" w:name="_Toc40771385"/>
      <w:bookmarkStart w:id="306" w:name="_Toc40770825"/>
      <w:bookmarkStart w:id="307" w:name="_Toc40770945"/>
      <w:bookmarkStart w:id="308" w:name="_Toc40771366"/>
      <w:bookmarkStart w:id="309" w:name="_Toc40771386"/>
      <w:bookmarkStart w:id="310" w:name="_Toc40770826"/>
      <w:bookmarkStart w:id="311" w:name="_Toc40770946"/>
      <w:bookmarkStart w:id="312" w:name="_Toc40771367"/>
      <w:bookmarkStart w:id="313" w:name="_Toc40771387"/>
      <w:bookmarkStart w:id="314" w:name="_Toc40770959"/>
      <w:bookmarkStart w:id="315" w:name="_Toc40770960"/>
      <w:bookmarkStart w:id="316" w:name="_Toc40770961"/>
      <w:bookmarkStart w:id="317" w:name="_Toc40770962"/>
      <w:bookmarkStart w:id="318" w:name="_Toc40770963"/>
      <w:bookmarkStart w:id="319" w:name="_Toc40770964"/>
      <w:bookmarkStart w:id="320" w:name="_Toc40770965"/>
      <w:bookmarkStart w:id="321" w:name="_Toc40770966"/>
      <w:bookmarkStart w:id="322" w:name="_Toc40770967"/>
      <w:bookmarkStart w:id="323" w:name="_Toc40770968"/>
      <w:bookmarkStart w:id="324" w:name="_Toc40771115"/>
      <w:bookmarkStart w:id="325" w:name="_Toc40771124"/>
      <w:bookmarkStart w:id="326" w:name="_Toc40771125"/>
      <w:bookmarkStart w:id="327" w:name="_Toc40771126"/>
      <w:bookmarkStart w:id="328" w:name="_Toc40771130"/>
      <w:bookmarkStart w:id="329" w:name="_Toc40771131"/>
      <w:bookmarkStart w:id="330" w:name="_Toc40771132"/>
      <w:bookmarkStart w:id="331" w:name="_Toc40771133"/>
      <w:bookmarkStart w:id="332" w:name="_Toc40771134"/>
      <w:bookmarkStart w:id="333" w:name="_Capital_projects_reaching"/>
      <w:bookmarkStart w:id="334" w:name="_Toc50996879"/>
      <w:bookmarkStart w:id="335" w:name="_Toc50998469"/>
      <w:bookmarkStart w:id="336" w:name="_Toc54690823"/>
      <w:bookmarkStart w:id="337" w:name="_Ref83202277"/>
      <w:bookmarkStart w:id="338" w:name="_Toc85121172"/>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r w:rsidRPr="002029AF">
        <w:lastRenderedPageBreak/>
        <w:t>Capital projects reaching practical completion during the financial year ended 30 June 202</w:t>
      </w:r>
      <w:bookmarkEnd w:id="334"/>
      <w:bookmarkEnd w:id="335"/>
      <w:bookmarkEnd w:id="336"/>
      <w:r>
        <w:t>1</w:t>
      </w:r>
      <w:bookmarkEnd w:id="337"/>
      <w:bookmarkEnd w:id="338"/>
    </w:p>
    <w:tbl>
      <w:tblPr>
        <w:tblW w:w="14010" w:type="dxa"/>
        <w:tblBorders>
          <w:insideH w:val="single" w:sz="4" w:space="0" w:color="auto"/>
        </w:tblBorders>
        <w:tblLayout w:type="fixed"/>
        <w:tblLook w:val="06A0" w:firstRow="1" w:lastRow="0" w:firstColumn="1" w:lastColumn="0" w:noHBand="1" w:noVBand="1"/>
      </w:tblPr>
      <w:tblGrid>
        <w:gridCol w:w="1977"/>
        <w:gridCol w:w="1073"/>
        <w:gridCol w:w="1072"/>
        <w:gridCol w:w="1072"/>
        <w:gridCol w:w="1246"/>
        <w:gridCol w:w="1072"/>
        <w:gridCol w:w="1072"/>
        <w:gridCol w:w="1072"/>
        <w:gridCol w:w="1861"/>
        <w:gridCol w:w="2493"/>
      </w:tblGrid>
      <w:tr w:rsidR="00496244" w:rsidRPr="002029AF" w14:paraId="175EE0ED" w14:textId="77777777" w:rsidTr="0072293A">
        <w:trPr>
          <w:cantSplit/>
          <w:tblHeader/>
        </w:trPr>
        <w:tc>
          <w:tcPr>
            <w:tcW w:w="1977" w:type="dxa"/>
            <w:tcBorders>
              <w:top w:val="nil"/>
              <w:left w:val="nil"/>
              <w:bottom w:val="single" w:sz="4" w:space="0" w:color="auto"/>
              <w:right w:val="nil"/>
            </w:tcBorders>
            <w:vAlign w:val="bottom"/>
            <w:hideMark/>
          </w:tcPr>
          <w:p w14:paraId="47F57A4D" w14:textId="77777777" w:rsidR="00496244" w:rsidRPr="002029AF" w:rsidRDefault="00496244">
            <w:pPr>
              <w:pStyle w:val="ARtablecolhead"/>
            </w:pPr>
            <w:r w:rsidRPr="002029AF">
              <w:t>Project name</w:t>
            </w:r>
          </w:p>
        </w:tc>
        <w:tc>
          <w:tcPr>
            <w:tcW w:w="1073" w:type="dxa"/>
            <w:tcBorders>
              <w:top w:val="nil"/>
              <w:left w:val="nil"/>
              <w:bottom w:val="single" w:sz="4" w:space="0" w:color="auto"/>
              <w:right w:val="nil"/>
            </w:tcBorders>
            <w:vAlign w:val="bottom"/>
            <w:hideMark/>
          </w:tcPr>
          <w:p w14:paraId="2F61AD45" w14:textId="77777777" w:rsidR="00496244" w:rsidRPr="002029AF" w:rsidRDefault="00496244">
            <w:pPr>
              <w:pStyle w:val="ARtablecolhead"/>
            </w:pPr>
            <w:r w:rsidRPr="002029AF">
              <w:t>Original comple-tion date</w:t>
            </w:r>
          </w:p>
        </w:tc>
        <w:tc>
          <w:tcPr>
            <w:tcW w:w="1072" w:type="dxa"/>
            <w:tcBorders>
              <w:top w:val="nil"/>
              <w:left w:val="nil"/>
              <w:bottom w:val="single" w:sz="4" w:space="0" w:color="auto"/>
              <w:right w:val="nil"/>
            </w:tcBorders>
            <w:vAlign w:val="bottom"/>
            <w:hideMark/>
          </w:tcPr>
          <w:p w14:paraId="51410CFA" w14:textId="77777777" w:rsidR="00496244" w:rsidRPr="002029AF" w:rsidRDefault="00496244">
            <w:pPr>
              <w:pStyle w:val="ARtablecolhead"/>
            </w:pPr>
            <w:r w:rsidRPr="002029AF">
              <w:t>Latest approved comple-tion date</w:t>
            </w:r>
          </w:p>
        </w:tc>
        <w:tc>
          <w:tcPr>
            <w:tcW w:w="1072" w:type="dxa"/>
            <w:tcBorders>
              <w:top w:val="nil"/>
              <w:left w:val="nil"/>
              <w:bottom w:val="single" w:sz="4" w:space="0" w:color="auto"/>
              <w:right w:val="nil"/>
            </w:tcBorders>
            <w:vAlign w:val="bottom"/>
            <w:hideMark/>
          </w:tcPr>
          <w:p w14:paraId="479BB5A7" w14:textId="77777777" w:rsidR="00496244" w:rsidRPr="002029AF" w:rsidRDefault="00496244">
            <w:pPr>
              <w:pStyle w:val="ARtablecolhead"/>
            </w:pPr>
            <w:r w:rsidRPr="002029AF">
              <w:t>Practical comple-tion date</w:t>
            </w:r>
          </w:p>
        </w:tc>
        <w:tc>
          <w:tcPr>
            <w:tcW w:w="1246" w:type="dxa"/>
            <w:tcBorders>
              <w:top w:val="nil"/>
              <w:left w:val="nil"/>
              <w:bottom w:val="single" w:sz="4" w:space="0" w:color="auto"/>
              <w:right w:val="nil"/>
            </w:tcBorders>
            <w:vAlign w:val="bottom"/>
            <w:hideMark/>
          </w:tcPr>
          <w:p w14:paraId="3B94918C" w14:textId="77777777" w:rsidR="00496244" w:rsidRPr="002029AF" w:rsidRDefault="00496244">
            <w:pPr>
              <w:pStyle w:val="ARtablecolhead"/>
            </w:pPr>
            <w:r w:rsidRPr="002029AF">
              <w:t>Reason for variance in completion dates</w:t>
            </w:r>
          </w:p>
        </w:tc>
        <w:tc>
          <w:tcPr>
            <w:tcW w:w="1072" w:type="dxa"/>
            <w:tcBorders>
              <w:top w:val="nil"/>
              <w:left w:val="nil"/>
              <w:bottom w:val="single" w:sz="4" w:space="0" w:color="auto"/>
              <w:right w:val="nil"/>
            </w:tcBorders>
            <w:vAlign w:val="bottom"/>
            <w:hideMark/>
          </w:tcPr>
          <w:p w14:paraId="4DA08572" w14:textId="77777777" w:rsidR="00496244" w:rsidRPr="002029AF" w:rsidRDefault="00496244">
            <w:pPr>
              <w:pStyle w:val="ARtablecolheadright"/>
            </w:pPr>
            <w:r w:rsidRPr="002029AF">
              <w:t xml:space="preserve">Original approved </w:t>
            </w:r>
            <w:r w:rsidRPr="002029AF">
              <w:br/>
              <w:t>TEI budget</w:t>
            </w:r>
          </w:p>
          <w:p w14:paraId="222C3B3C" w14:textId="77777777" w:rsidR="00496244" w:rsidRPr="002029AF" w:rsidRDefault="00496244">
            <w:pPr>
              <w:pStyle w:val="ARtablecolheadright"/>
            </w:pPr>
            <w:r w:rsidRPr="002029AF">
              <w:t>($M)</w:t>
            </w:r>
          </w:p>
        </w:tc>
        <w:tc>
          <w:tcPr>
            <w:tcW w:w="1072" w:type="dxa"/>
            <w:tcBorders>
              <w:top w:val="nil"/>
              <w:left w:val="nil"/>
              <w:bottom w:val="single" w:sz="4" w:space="0" w:color="auto"/>
              <w:right w:val="nil"/>
            </w:tcBorders>
            <w:vAlign w:val="bottom"/>
            <w:hideMark/>
          </w:tcPr>
          <w:p w14:paraId="15E937F4" w14:textId="77777777" w:rsidR="00496244" w:rsidRPr="002029AF" w:rsidRDefault="00496244">
            <w:pPr>
              <w:pStyle w:val="ARtablecolheadright"/>
            </w:pPr>
            <w:r w:rsidRPr="002029AF">
              <w:t>Latest approved TEI budget</w:t>
            </w:r>
          </w:p>
          <w:p w14:paraId="2F14463C" w14:textId="77777777" w:rsidR="00496244" w:rsidRPr="002029AF" w:rsidRDefault="00496244">
            <w:pPr>
              <w:pStyle w:val="ARtablecolheadright"/>
            </w:pPr>
            <w:r w:rsidRPr="002029AF">
              <w:t>($M)</w:t>
            </w:r>
          </w:p>
        </w:tc>
        <w:tc>
          <w:tcPr>
            <w:tcW w:w="1072" w:type="dxa"/>
            <w:tcBorders>
              <w:top w:val="nil"/>
              <w:left w:val="nil"/>
              <w:bottom w:val="single" w:sz="4" w:space="0" w:color="auto"/>
              <w:right w:val="nil"/>
            </w:tcBorders>
            <w:vAlign w:val="bottom"/>
            <w:hideMark/>
          </w:tcPr>
          <w:p w14:paraId="37D74749" w14:textId="77777777" w:rsidR="00496244" w:rsidRPr="002029AF" w:rsidRDefault="00496244">
            <w:pPr>
              <w:pStyle w:val="ARtablecolheadright"/>
            </w:pPr>
            <w:r w:rsidRPr="002029AF">
              <w:t>Actual TEI cost</w:t>
            </w:r>
          </w:p>
          <w:p w14:paraId="58D68D0A" w14:textId="77777777" w:rsidR="00496244" w:rsidRPr="002029AF" w:rsidRDefault="00496244">
            <w:pPr>
              <w:pStyle w:val="ARtablecolheadright"/>
            </w:pPr>
            <w:r w:rsidRPr="002029AF">
              <w:t>($M)</w:t>
            </w:r>
          </w:p>
        </w:tc>
        <w:tc>
          <w:tcPr>
            <w:tcW w:w="1861" w:type="dxa"/>
            <w:tcBorders>
              <w:top w:val="nil"/>
              <w:left w:val="nil"/>
              <w:bottom w:val="single" w:sz="4" w:space="0" w:color="auto"/>
              <w:right w:val="nil"/>
            </w:tcBorders>
            <w:vAlign w:val="bottom"/>
            <w:hideMark/>
          </w:tcPr>
          <w:p w14:paraId="39EDAA73" w14:textId="77777777" w:rsidR="00496244" w:rsidRPr="002029AF" w:rsidRDefault="00496244">
            <w:pPr>
              <w:pStyle w:val="ARtablecolheadright"/>
            </w:pPr>
            <w:r w:rsidRPr="002029AF">
              <w:t>Variation between actual cost and latest approved TEI budget</w:t>
            </w:r>
          </w:p>
          <w:p w14:paraId="6DB0D43E" w14:textId="77777777" w:rsidR="00496244" w:rsidRPr="002029AF" w:rsidRDefault="00496244">
            <w:pPr>
              <w:pStyle w:val="ARtablecolheadright"/>
            </w:pPr>
            <w:r w:rsidRPr="002029AF">
              <w:t>($M)</w:t>
            </w:r>
          </w:p>
        </w:tc>
        <w:tc>
          <w:tcPr>
            <w:tcW w:w="2493" w:type="dxa"/>
            <w:tcBorders>
              <w:top w:val="nil"/>
              <w:left w:val="nil"/>
              <w:bottom w:val="single" w:sz="4" w:space="0" w:color="auto"/>
              <w:right w:val="nil"/>
            </w:tcBorders>
            <w:vAlign w:val="bottom"/>
            <w:hideMark/>
          </w:tcPr>
          <w:p w14:paraId="33CB3FE4" w14:textId="77777777" w:rsidR="00496244" w:rsidRPr="002029AF" w:rsidRDefault="00496244">
            <w:pPr>
              <w:pStyle w:val="ARtablecolhead"/>
            </w:pPr>
            <w:r w:rsidRPr="002029AF">
              <w:t>Reason for variance from latest approved TEI budget</w:t>
            </w:r>
          </w:p>
        </w:tc>
      </w:tr>
      <w:tr w:rsidR="00496244" w:rsidRPr="002029AF" w14:paraId="1482D9EB" w14:textId="77777777" w:rsidTr="0072293A">
        <w:trPr>
          <w:cantSplit/>
        </w:trPr>
        <w:tc>
          <w:tcPr>
            <w:tcW w:w="1977" w:type="dxa"/>
            <w:tcBorders>
              <w:top w:val="single" w:sz="4" w:space="0" w:color="auto"/>
              <w:left w:val="nil"/>
              <w:bottom w:val="single" w:sz="4" w:space="0" w:color="auto"/>
              <w:right w:val="nil"/>
            </w:tcBorders>
            <w:shd w:val="clear" w:color="auto" w:fill="auto"/>
          </w:tcPr>
          <w:p w14:paraId="2DE7A86F" w14:textId="77777777" w:rsidR="00496244" w:rsidRPr="002029AF" w:rsidRDefault="00496244" w:rsidP="00897193">
            <w:pPr>
              <w:pStyle w:val="ARtabletext"/>
            </w:pPr>
            <w:r w:rsidRPr="00D50953">
              <w:t>Modernisation of metro public sector residential aged care (Kew)</w:t>
            </w:r>
          </w:p>
        </w:tc>
        <w:tc>
          <w:tcPr>
            <w:tcW w:w="1073" w:type="dxa"/>
            <w:tcBorders>
              <w:top w:val="single" w:sz="4" w:space="0" w:color="auto"/>
              <w:left w:val="nil"/>
              <w:bottom w:val="single" w:sz="4" w:space="0" w:color="auto"/>
              <w:right w:val="nil"/>
            </w:tcBorders>
            <w:shd w:val="clear" w:color="auto" w:fill="auto"/>
          </w:tcPr>
          <w:p w14:paraId="2B3576FA" w14:textId="77777777" w:rsidR="00496244" w:rsidRPr="002029AF" w:rsidRDefault="00496244" w:rsidP="00897193">
            <w:pPr>
              <w:pStyle w:val="ARtabletext"/>
            </w:pPr>
            <w:r w:rsidRPr="00F50109">
              <w:t>Jun-19</w:t>
            </w:r>
          </w:p>
        </w:tc>
        <w:tc>
          <w:tcPr>
            <w:tcW w:w="1072" w:type="dxa"/>
            <w:tcBorders>
              <w:top w:val="single" w:sz="4" w:space="0" w:color="auto"/>
              <w:left w:val="nil"/>
              <w:bottom w:val="single" w:sz="4" w:space="0" w:color="auto"/>
              <w:right w:val="nil"/>
            </w:tcBorders>
            <w:shd w:val="clear" w:color="auto" w:fill="auto"/>
          </w:tcPr>
          <w:p w14:paraId="3D2227B1" w14:textId="77777777" w:rsidR="00496244" w:rsidRPr="002029AF" w:rsidRDefault="00496244" w:rsidP="00897193">
            <w:pPr>
              <w:pStyle w:val="ARtabletext"/>
            </w:pPr>
            <w:r w:rsidRPr="00644724">
              <w:t>Dec-21</w:t>
            </w:r>
          </w:p>
        </w:tc>
        <w:tc>
          <w:tcPr>
            <w:tcW w:w="1072" w:type="dxa"/>
            <w:tcBorders>
              <w:top w:val="single" w:sz="4" w:space="0" w:color="auto"/>
              <w:left w:val="nil"/>
              <w:bottom w:val="single" w:sz="4" w:space="0" w:color="auto"/>
              <w:right w:val="nil"/>
            </w:tcBorders>
            <w:shd w:val="clear" w:color="auto" w:fill="auto"/>
          </w:tcPr>
          <w:p w14:paraId="62598718" w14:textId="77777777" w:rsidR="00496244" w:rsidRPr="002029AF" w:rsidRDefault="00496244" w:rsidP="00897193">
            <w:pPr>
              <w:pStyle w:val="ARtabletext"/>
            </w:pPr>
            <w:r w:rsidRPr="007A22D5">
              <w:t>Aug-20</w:t>
            </w:r>
          </w:p>
        </w:tc>
        <w:tc>
          <w:tcPr>
            <w:tcW w:w="1246" w:type="dxa"/>
            <w:tcBorders>
              <w:top w:val="single" w:sz="4" w:space="0" w:color="auto"/>
              <w:left w:val="nil"/>
              <w:bottom w:val="single" w:sz="4" w:space="0" w:color="auto"/>
              <w:right w:val="nil"/>
            </w:tcBorders>
            <w:shd w:val="clear" w:color="auto" w:fill="auto"/>
          </w:tcPr>
          <w:p w14:paraId="1FA07CBC" w14:textId="77777777" w:rsidR="00496244" w:rsidRPr="002029AF" w:rsidRDefault="00496244" w:rsidP="00897193">
            <w:pPr>
              <w:pStyle w:val="ARtabletext"/>
            </w:pPr>
          </w:p>
        </w:tc>
        <w:tc>
          <w:tcPr>
            <w:tcW w:w="1072" w:type="dxa"/>
            <w:tcBorders>
              <w:top w:val="single" w:sz="4" w:space="0" w:color="auto"/>
              <w:left w:val="nil"/>
              <w:bottom w:val="single" w:sz="4" w:space="0" w:color="auto"/>
              <w:right w:val="nil"/>
            </w:tcBorders>
            <w:shd w:val="clear" w:color="auto" w:fill="auto"/>
          </w:tcPr>
          <w:p w14:paraId="6ADE0A0B" w14:textId="77777777" w:rsidR="00496244" w:rsidRPr="002029AF" w:rsidRDefault="00496244" w:rsidP="00897193">
            <w:pPr>
              <w:pStyle w:val="ARtabletextright"/>
            </w:pPr>
            <w:r>
              <w:t>57.570</w:t>
            </w:r>
          </w:p>
        </w:tc>
        <w:tc>
          <w:tcPr>
            <w:tcW w:w="1072" w:type="dxa"/>
            <w:tcBorders>
              <w:top w:val="single" w:sz="4" w:space="0" w:color="auto"/>
              <w:left w:val="nil"/>
              <w:bottom w:val="single" w:sz="4" w:space="0" w:color="auto"/>
              <w:right w:val="nil"/>
            </w:tcBorders>
            <w:shd w:val="clear" w:color="auto" w:fill="auto"/>
          </w:tcPr>
          <w:p w14:paraId="6334285A" w14:textId="77777777" w:rsidR="00496244" w:rsidRPr="002029AF" w:rsidRDefault="00496244" w:rsidP="00897193">
            <w:pPr>
              <w:pStyle w:val="ARtabletextright"/>
            </w:pPr>
            <w:r>
              <w:t>57.570</w:t>
            </w:r>
          </w:p>
        </w:tc>
        <w:tc>
          <w:tcPr>
            <w:tcW w:w="1072" w:type="dxa"/>
            <w:tcBorders>
              <w:top w:val="single" w:sz="4" w:space="0" w:color="auto"/>
              <w:left w:val="nil"/>
              <w:bottom w:val="single" w:sz="4" w:space="0" w:color="auto"/>
              <w:right w:val="nil"/>
            </w:tcBorders>
            <w:shd w:val="clear" w:color="auto" w:fill="auto"/>
          </w:tcPr>
          <w:p w14:paraId="62FCF550" w14:textId="77777777" w:rsidR="00496244" w:rsidRPr="002029AF" w:rsidRDefault="00496244" w:rsidP="00897193">
            <w:pPr>
              <w:pStyle w:val="ARtabletextright"/>
            </w:pPr>
            <w:r w:rsidRPr="00A877A5">
              <w:t>56.634</w:t>
            </w:r>
          </w:p>
        </w:tc>
        <w:tc>
          <w:tcPr>
            <w:tcW w:w="1861" w:type="dxa"/>
            <w:tcBorders>
              <w:top w:val="single" w:sz="4" w:space="0" w:color="auto"/>
              <w:left w:val="nil"/>
              <w:bottom w:val="single" w:sz="4" w:space="0" w:color="auto"/>
              <w:right w:val="nil"/>
            </w:tcBorders>
            <w:shd w:val="clear" w:color="auto" w:fill="auto"/>
          </w:tcPr>
          <w:p w14:paraId="1D5BD821" w14:textId="77777777" w:rsidR="00496244" w:rsidRPr="002029AF" w:rsidRDefault="00496244" w:rsidP="00897193">
            <w:pPr>
              <w:pStyle w:val="ARtabletextright"/>
            </w:pPr>
            <w:r w:rsidRPr="00CA17B9">
              <w:t>(0.936)</w:t>
            </w:r>
          </w:p>
        </w:tc>
        <w:tc>
          <w:tcPr>
            <w:tcW w:w="2493" w:type="dxa"/>
            <w:tcBorders>
              <w:top w:val="single" w:sz="4" w:space="0" w:color="auto"/>
              <w:left w:val="nil"/>
              <w:bottom w:val="single" w:sz="4" w:space="0" w:color="auto"/>
              <w:right w:val="nil"/>
            </w:tcBorders>
            <w:shd w:val="clear" w:color="auto" w:fill="auto"/>
          </w:tcPr>
          <w:p w14:paraId="677F2A33" w14:textId="77777777" w:rsidR="00496244" w:rsidRPr="002029AF" w:rsidRDefault="00496244" w:rsidP="00897193">
            <w:pPr>
              <w:pStyle w:val="ARtabletext"/>
            </w:pPr>
            <w:r w:rsidRPr="00F14478">
              <w:t>Balance of funding is required for financial closeout of the project, noting the project has entered Defects Liability Period.</w:t>
            </w:r>
          </w:p>
        </w:tc>
      </w:tr>
      <w:tr w:rsidR="00496244" w:rsidRPr="002029AF" w14:paraId="17DCF798" w14:textId="77777777" w:rsidTr="0072293A">
        <w:trPr>
          <w:cantSplit/>
        </w:trPr>
        <w:tc>
          <w:tcPr>
            <w:tcW w:w="1977" w:type="dxa"/>
            <w:tcBorders>
              <w:top w:val="single" w:sz="4" w:space="0" w:color="auto"/>
              <w:left w:val="nil"/>
              <w:bottom w:val="single" w:sz="4" w:space="0" w:color="auto"/>
              <w:right w:val="nil"/>
            </w:tcBorders>
            <w:shd w:val="clear" w:color="auto" w:fill="auto"/>
          </w:tcPr>
          <w:p w14:paraId="7AEEDBB8" w14:textId="77777777" w:rsidR="00496244" w:rsidRPr="002029AF" w:rsidRDefault="00496244" w:rsidP="00317057">
            <w:pPr>
              <w:pStyle w:val="ARtabletext"/>
            </w:pPr>
            <w:r w:rsidRPr="0026112C">
              <w:t>Royal Melbourne Hospital – critical infrastructure works</w:t>
            </w:r>
          </w:p>
        </w:tc>
        <w:tc>
          <w:tcPr>
            <w:tcW w:w="1073" w:type="dxa"/>
            <w:tcBorders>
              <w:top w:val="single" w:sz="4" w:space="0" w:color="auto"/>
              <w:left w:val="nil"/>
              <w:bottom w:val="single" w:sz="4" w:space="0" w:color="auto"/>
              <w:right w:val="nil"/>
            </w:tcBorders>
            <w:shd w:val="clear" w:color="auto" w:fill="auto"/>
          </w:tcPr>
          <w:p w14:paraId="38700965" w14:textId="77777777" w:rsidR="00496244" w:rsidRPr="002029AF" w:rsidRDefault="00496244" w:rsidP="00317057">
            <w:pPr>
              <w:pStyle w:val="ARtabletext"/>
            </w:pPr>
            <w:r w:rsidRPr="0012537A">
              <w:t>Dec-19</w:t>
            </w:r>
          </w:p>
        </w:tc>
        <w:tc>
          <w:tcPr>
            <w:tcW w:w="1072" w:type="dxa"/>
            <w:tcBorders>
              <w:top w:val="single" w:sz="4" w:space="0" w:color="auto"/>
              <w:left w:val="nil"/>
              <w:bottom w:val="single" w:sz="4" w:space="0" w:color="auto"/>
              <w:right w:val="nil"/>
            </w:tcBorders>
            <w:shd w:val="clear" w:color="auto" w:fill="auto"/>
          </w:tcPr>
          <w:p w14:paraId="3D2542BB" w14:textId="77777777" w:rsidR="00496244" w:rsidRPr="002029AF" w:rsidRDefault="00496244" w:rsidP="00317057">
            <w:pPr>
              <w:pStyle w:val="ARtabletext"/>
            </w:pPr>
            <w:r w:rsidRPr="0012537A">
              <w:t>Jun-22</w:t>
            </w:r>
          </w:p>
        </w:tc>
        <w:tc>
          <w:tcPr>
            <w:tcW w:w="1072" w:type="dxa"/>
            <w:tcBorders>
              <w:top w:val="single" w:sz="4" w:space="0" w:color="auto"/>
              <w:left w:val="nil"/>
              <w:bottom w:val="single" w:sz="4" w:space="0" w:color="auto"/>
              <w:right w:val="nil"/>
            </w:tcBorders>
            <w:shd w:val="clear" w:color="auto" w:fill="auto"/>
          </w:tcPr>
          <w:p w14:paraId="597DCE02" w14:textId="77777777" w:rsidR="00496244" w:rsidRPr="002029AF" w:rsidRDefault="00496244" w:rsidP="00317057">
            <w:pPr>
              <w:pStyle w:val="ARtabletext"/>
            </w:pPr>
            <w:r w:rsidRPr="0012537A">
              <w:t>Dec-20</w:t>
            </w:r>
          </w:p>
        </w:tc>
        <w:tc>
          <w:tcPr>
            <w:tcW w:w="1246" w:type="dxa"/>
            <w:tcBorders>
              <w:top w:val="single" w:sz="4" w:space="0" w:color="auto"/>
              <w:left w:val="nil"/>
              <w:bottom w:val="single" w:sz="4" w:space="0" w:color="auto"/>
              <w:right w:val="nil"/>
            </w:tcBorders>
            <w:shd w:val="clear" w:color="auto" w:fill="auto"/>
          </w:tcPr>
          <w:p w14:paraId="4A5506E8" w14:textId="77777777" w:rsidR="00496244" w:rsidRPr="002029AF" w:rsidRDefault="00496244" w:rsidP="00317057">
            <w:pPr>
              <w:pStyle w:val="ARtabletext"/>
            </w:pPr>
          </w:p>
        </w:tc>
        <w:tc>
          <w:tcPr>
            <w:tcW w:w="1072" w:type="dxa"/>
            <w:tcBorders>
              <w:top w:val="single" w:sz="4" w:space="0" w:color="auto"/>
              <w:left w:val="nil"/>
              <w:bottom w:val="single" w:sz="4" w:space="0" w:color="auto"/>
              <w:right w:val="nil"/>
            </w:tcBorders>
            <w:shd w:val="clear" w:color="auto" w:fill="auto"/>
          </w:tcPr>
          <w:p w14:paraId="3AF6C680" w14:textId="77777777" w:rsidR="00496244" w:rsidRPr="002029AF" w:rsidRDefault="00496244" w:rsidP="00317057">
            <w:pPr>
              <w:pStyle w:val="ARtabletextright"/>
            </w:pPr>
            <w:r w:rsidRPr="00A402FB">
              <w:t>40.000</w:t>
            </w:r>
          </w:p>
        </w:tc>
        <w:tc>
          <w:tcPr>
            <w:tcW w:w="1072" w:type="dxa"/>
            <w:tcBorders>
              <w:top w:val="single" w:sz="4" w:space="0" w:color="auto"/>
              <w:left w:val="nil"/>
              <w:bottom w:val="single" w:sz="4" w:space="0" w:color="auto"/>
              <w:right w:val="nil"/>
            </w:tcBorders>
            <w:shd w:val="clear" w:color="auto" w:fill="auto"/>
          </w:tcPr>
          <w:p w14:paraId="2829FCA3" w14:textId="77777777" w:rsidR="00496244" w:rsidRPr="002029AF" w:rsidRDefault="00496244" w:rsidP="00317057">
            <w:pPr>
              <w:pStyle w:val="ARtabletextright"/>
            </w:pPr>
            <w:r w:rsidRPr="00A402FB">
              <w:t>40.000</w:t>
            </w:r>
          </w:p>
        </w:tc>
        <w:tc>
          <w:tcPr>
            <w:tcW w:w="1072" w:type="dxa"/>
            <w:tcBorders>
              <w:top w:val="single" w:sz="4" w:space="0" w:color="auto"/>
              <w:left w:val="nil"/>
              <w:bottom w:val="single" w:sz="4" w:space="0" w:color="auto"/>
              <w:right w:val="nil"/>
            </w:tcBorders>
            <w:shd w:val="clear" w:color="auto" w:fill="auto"/>
          </w:tcPr>
          <w:p w14:paraId="6DCDAE69" w14:textId="77777777" w:rsidR="00496244" w:rsidRPr="002029AF" w:rsidRDefault="00496244" w:rsidP="00317057">
            <w:pPr>
              <w:pStyle w:val="ARtabletextright"/>
            </w:pPr>
            <w:r w:rsidRPr="00A402FB">
              <w:t>37.875</w:t>
            </w:r>
          </w:p>
        </w:tc>
        <w:tc>
          <w:tcPr>
            <w:tcW w:w="1861" w:type="dxa"/>
            <w:tcBorders>
              <w:top w:val="single" w:sz="4" w:space="0" w:color="auto"/>
              <w:left w:val="nil"/>
              <w:bottom w:val="single" w:sz="4" w:space="0" w:color="auto"/>
              <w:right w:val="nil"/>
            </w:tcBorders>
            <w:shd w:val="clear" w:color="auto" w:fill="auto"/>
          </w:tcPr>
          <w:p w14:paraId="06A8F101" w14:textId="77777777" w:rsidR="00496244" w:rsidRPr="002029AF" w:rsidRDefault="00496244" w:rsidP="00317057">
            <w:pPr>
              <w:pStyle w:val="ARtabletextright"/>
            </w:pPr>
            <w:r w:rsidRPr="00A402FB">
              <w:t>(2.125)</w:t>
            </w:r>
          </w:p>
        </w:tc>
        <w:tc>
          <w:tcPr>
            <w:tcW w:w="2493" w:type="dxa"/>
            <w:tcBorders>
              <w:top w:val="single" w:sz="4" w:space="0" w:color="auto"/>
              <w:left w:val="nil"/>
              <w:bottom w:val="single" w:sz="4" w:space="0" w:color="auto"/>
              <w:right w:val="nil"/>
            </w:tcBorders>
            <w:shd w:val="clear" w:color="auto" w:fill="auto"/>
          </w:tcPr>
          <w:p w14:paraId="1A325469" w14:textId="77777777" w:rsidR="00496244" w:rsidRPr="002029AF" w:rsidRDefault="00496244" w:rsidP="00317057">
            <w:pPr>
              <w:pStyle w:val="ARtabletext"/>
            </w:pPr>
            <w:r w:rsidRPr="00AB292D">
              <w:t>Balance of funding is required for financial closeout of the project. Project concluded the Defects Liability Period in December 2020 and financial closure is in progress.</w:t>
            </w:r>
          </w:p>
        </w:tc>
      </w:tr>
    </w:tbl>
    <w:p w14:paraId="13134595" w14:textId="77777777" w:rsidR="00496244" w:rsidRDefault="00496244">
      <w:pPr>
        <w:rPr>
          <w:rFonts w:ascii="Arial" w:eastAsia="Times" w:hAnsi="Arial" w:cs="Arial"/>
          <w:sz w:val="20"/>
          <w:szCs w:val="24"/>
        </w:rPr>
      </w:pPr>
      <w:r>
        <w:br w:type="page"/>
      </w:r>
    </w:p>
    <w:p w14:paraId="656123EB" w14:textId="77777777" w:rsidR="00496244" w:rsidRPr="002029AF" w:rsidRDefault="00496244" w:rsidP="00317057">
      <w:pPr>
        <w:pStyle w:val="Heading3"/>
        <w:spacing w:before="0"/>
      </w:pPr>
      <w:bookmarkStart w:id="339" w:name="_Capital_projects_reaching_1"/>
      <w:bookmarkStart w:id="340" w:name="_Toc50996880"/>
      <w:bookmarkStart w:id="341" w:name="_Toc50998470"/>
      <w:bookmarkStart w:id="342" w:name="_Toc54690824"/>
      <w:bookmarkStart w:id="343" w:name="_Ref83202295"/>
      <w:bookmarkStart w:id="344" w:name="_Toc85121173"/>
      <w:bookmarkEnd w:id="339"/>
      <w:r w:rsidRPr="002029AF">
        <w:lastRenderedPageBreak/>
        <w:t>Capital projects reaching financial completion during the financial year ended 30 June 202</w:t>
      </w:r>
      <w:bookmarkEnd w:id="340"/>
      <w:bookmarkEnd w:id="341"/>
      <w:bookmarkEnd w:id="342"/>
      <w:r>
        <w:t>1</w:t>
      </w:r>
      <w:bookmarkEnd w:id="343"/>
      <w:bookmarkEnd w:id="344"/>
    </w:p>
    <w:tbl>
      <w:tblPr>
        <w:tblStyle w:val="TableGrid"/>
        <w:tblW w:w="14010" w:type="dxa"/>
        <w:tblLayout w:type="fixed"/>
        <w:tblLook w:val="06A0" w:firstRow="1" w:lastRow="0" w:firstColumn="1" w:lastColumn="0" w:noHBand="1" w:noVBand="1"/>
      </w:tblPr>
      <w:tblGrid>
        <w:gridCol w:w="2527"/>
        <w:gridCol w:w="1321"/>
        <w:gridCol w:w="1148"/>
        <w:gridCol w:w="1320"/>
        <w:gridCol w:w="1197"/>
        <w:gridCol w:w="992"/>
        <w:gridCol w:w="1418"/>
        <w:gridCol w:w="4087"/>
      </w:tblGrid>
      <w:tr w:rsidR="00496244" w:rsidRPr="002029AF" w14:paraId="33FE2B3F"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2527" w:type="dxa"/>
            <w:hideMark/>
          </w:tcPr>
          <w:p w14:paraId="5AABD073" w14:textId="77777777" w:rsidR="00496244" w:rsidRPr="002029AF" w:rsidRDefault="00496244" w:rsidP="00897193">
            <w:pPr>
              <w:pStyle w:val="ARtablecolhead"/>
              <w:spacing w:before="70" w:after="50"/>
              <w:ind w:left="3" w:hanging="3"/>
            </w:pPr>
            <w:r w:rsidRPr="002029AF">
              <w:t>Project name</w:t>
            </w:r>
          </w:p>
        </w:tc>
        <w:tc>
          <w:tcPr>
            <w:tcW w:w="1321" w:type="dxa"/>
            <w:hideMark/>
          </w:tcPr>
          <w:p w14:paraId="0C68C311" w14:textId="77777777" w:rsidR="00496244" w:rsidRPr="002029AF" w:rsidRDefault="00496244">
            <w:pPr>
              <w:pStyle w:val="ARtablecolhead"/>
              <w:spacing w:before="70" w:after="50"/>
            </w:pPr>
            <w:r w:rsidRPr="002029AF">
              <w:t>Practical completion date</w:t>
            </w:r>
          </w:p>
        </w:tc>
        <w:tc>
          <w:tcPr>
            <w:tcW w:w="1148" w:type="dxa"/>
            <w:hideMark/>
          </w:tcPr>
          <w:p w14:paraId="2A101D3F" w14:textId="77777777" w:rsidR="00496244" w:rsidRPr="002029AF" w:rsidRDefault="00496244">
            <w:pPr>
              <w:pStyle w:val="ARtablecolhead"/>
              <w:spacing w:before="70" w:after="50"/>
            </w:pPr>
            <w:r w:rsidRPr="002029AF">
              <w:t>Financial completion date</w:t>
            </w:r>
          </w:p>
        </w:tc>
        <w:tc>
          <w:tcPr>
            <w:tcW w:w="1320" w:type="dxa"/>
            <w:hideMark/>
          </w:tcPr>
          <w:p w14:paraId="473ECAF6" w14:textId="77777777" w:rsidR="00496244" w:rsidRPr="002029AF" w:rsidRDefault="00496244">
            <w:pPr>
              <w:pStyle w:val="ARtablecolheadright"/>
              <w:spacing w:before="70" w:after="50"/>
            </w:pPr>
            <w:r w:rsidRPr="002029AF">
              <w:t xml:space="preserve">Original approved </w:t>
            </w:r>
            <w:r w:rsidRPr="002029AF">
              <w:br/>
              <w:t>TEI budget</w:t>
            </w:r>
          </w:p>
          <w:p w14:paraId="4EFD075F" w14:textId="77777777" w:rsidR="00496244" w:rsidRPr="002029AF" w:rsidRDefault="00496244">
            <w:pPr>
              <w:pStyle w:val="ARtablecolheadright"/>
              <w:spacing w:before="70" w:after="50"/>
            </w:pPr>
            <w:r w:rsidRPr="002029AF">
              <w:t>($M)</w:t>
            </w:r>
          </w:p>
        </w:tc>
        <w:tc>
          <w:tcPr>
            <w:tcW w:w="1197" w:type="dxa"/>
            <w:hideMark/>
          </w:tcPr>
          <w:p w14:paraId="5C10B6B4" w14:textId="77777777" w:rsidR="00496244" w:rsidRPr="002029AF" w:rsidRDefault="00496244">
            <w:pPr>
              <w:pStyle w:val="ARtablecolheadright"/>
              <w:spacing w:before="70" w:after="50"/>
            </w:pPr>
            <w:r w:rsidRPr="002029AF">
              <w:t>Latest approved TEI budget</w:t>
            </w:r>
          </w:p>
          <w:p w14:paraId="083E0683" w14:textId="77777777" w:rsidR="00496244" w:rsidRPr="002029AF" w:rsidRDefault="00496244">
            <w:pPr>
              <w:pStyle w:val="ARtablecolheadright"/>
              <w:spacing w:before="70" w:after="50"/>
            </w:pPr>
            <w:r w:rsidRPr="002029AF">
              <w:t>($M)</w:t>
            </w:r>
          </w:p>
        </w:tc>
        <w:tc>
          <w:tcPr>
            <w:tcW w:w="992" w:type="dxa"/>
            <w:hideMark/>
          </w:tcPr>
          <w:p w14:paraId="4E8C9160" w14:textId="77777777" w:rsidR="00496244" w:rsidRPr="002029AF" w:rsidRDefault="00496244">
            <w:pPr>
              <w:pStyle w:val="ARtablecolheadright"/>
              <w:spacing w:before="70" w:after="50"/>
            </w:pPr>
            <w:r w:rsidRPr="002029AF">
              <w:t>Actual TEI cost</w:t>
            </w:r>
          </w:p>
          <w:p w14:paraId="01B1FC27" w14:textId="77777777" w:rsidR="00496244" w:rsidRPr="002029AF" w:rsidRDefault="00496244">
            <w:pPr>
              <w:pStyle w:val="ARtablecolheadright"/>
              <w:spacing w:before="70" w:after="50"/>
            </w:pPr>
            <w:r w:rsidRPr="002029AF">
              <w:t>($M)</w:t>
            </w:r>
          </w:p>
        </w:tc>
        <w:tc>
          <w:tcPr>
            <w:tcW w:w="1418" w:type="dxa"/>
            <w:hideMark/>
          </w:tcPr>
          <w:p w14:paraId="24230357" w14:textId="77777777" w:rsidR="00496244" w:rsidRPr="002029AF" w:rsidRDefault="00496244">
            <w:pPr>
              <w:pStyle w:val="ARtablecolheadright"/>
              <w:spacing w:before="70" w:after="50"/>
              <w:ind w:right="227"/>
            </w:pPr>
            <w:r w:rsidRPr="002029AF">
              <w:t xml:space="preserve">Variation between </w:t>
            </w:r>
            <w:r w:rsidRPr="002029AF">
              <w:br/>
              <w:t>actual cost and latest approved TEI budget</w:t>
            </w:r>
          </w:p>
          <w:p w14:paraId="6E43E9A9" w14:textId="77777777" w:rsidR="00496244" w:rsidRPr="002029AF" w:rsidRDefault="00496244">
            <w:pPr>
              <w:pStyle w:val="ARtablecolheadright"/>
              <w:spacing w:before="70" w:after="50"/>
              <w:ind w:right="227"/>
            </w:pPr>
            <w:r w:rsidRPr="002029AF">
              <w:t>($M)</w:t>
            </w:r>
          </w:p>
        </w:tc>
        <w:tc>
          <w:tcPr>
            <w:tcW w:w="4087" w:type="dxa"/>
            <w:hideMark/>
          </w:tcPr>
          <w:p w14:paraId="3E67ED0F" w14:textId="77777777" w:rsidR="00496244" w:rsidRPr="002029AF" w:rsidRDefault="00496244">
            <w:pPr>
              <w:pStyle w:val="ARtablecolhead"/>
              <w:spacing w:before="70" w:after="50"/>
            </w:pPr>
            <w:r w:rsidRPr="002029AF">
              <w:t>Reason for variance from latest approved TEI budget</w:t>
            </w:r>
          </w:p>
        </w:tc>
      </w:tr>
      <w:tr w:rsidR="00496244" w:rsidRPr="002029AF" w14:paraId="2F11BE32" w14:textId="77777777" w:rsidTr="00637705">
        <w:tc>
          <w:tcPr>
            <w:tcW w:w="2527" w:type="dxa"/>
          </w:tcPr>
          <w:p w14:paraId="38CDDEB6" w14:textId="77777777" w:rsidR="00496244" w:rsidRPr="002029AF" w:rsidRDefault="00496244" w:rsidP="00317057">
            <w:pPr>
              <w:pStyle w:val="ARtabletext"/>
              <w:spacing w:before="60" w:after="40"/>
            </w:pPr>
            <w:r w:rsidRPr="00BA21A7">
              <w:t>Casey Hospital Expansion</w:t>
            </w:r>
          </w:p>
        </w:tc>
        <w:tc>
          <w:tcPr>
            <w:tcW w:w="1321" w:type="dxa"/>
          </w:tcPr>
          <w:p w14:paraId="4CE5C941" w14:textId="77777777" w:rsidR="00496244" w:rsidRPr="002029AF" w:rsidRDefault="00496244" w:rsidP="00317057">
            <w:pPr>
              <w:pStyle w:val="ARtabletext"/>
              <w:spacing w:before="60" w:after="40"/>
            </w:pPr>
            <w:r w:rsidRPr="00BA21A7">
              <w:t>Apr-20</w:t>
            </w:r>
          </w:p>
        </w:tc>
        <w:tc>
          <w:tcPr>
            <w:tcW w:w="1148" w:type="dxa"/>
          </w:tcPr>
          <w:p w14:paraId="266693FD" w14:textId="77777777" w:rsidR="00496244" w:rsidRPr="002029AF" w:rsidRDefault="00496244" w:rsidP="00317057">
            <w:pPr>
              <w:pStyle w:val="ARtabletext"/>
              <w:spacing w:before="60" w:after="40"/>
            </w:pPr>
            <w:r w:rsidRPr="00BA21A7">
              <w:t>Jun-21</w:t>
            </w:r>
          </w:p>
        </w:tc>
        <w:tc>
          <w:tcPr>
            <w:tcW w:w="1320" w:type="dxa"/>
          </w:tcPr>
          <w:p w14:paraId="48480E6D" w14:textId="77777777" w:rsidR="00496244" w:rsidRPr="002029AF" w:rsidRDefault="00496244" w:rsidP="00317057">
            <w:pPr>
              <w:pStyle w:val="ARtabletextright"/>
              <w:spacing w:before="60" w:after="40"/>
            </w:pPr>
            <w:r w:rsidRPr="00BA21A7">
              <w:t>2.400</w:t>
            </w:r>
          </w:p>
        </w:tc>
        <w:tc>
          <w:tcPr>
            <w:tcW w:w="1197" w:type="dxa"/>
          </w:tcPr>
          <w:p w14:paraId="0F5E4A4F" w14:textId="77777777" w:rsidR="00496244" w:rsidRPr="002029AF" w:rsidRDefault="00496244" w:rsidP="00317057">
            <w:pPr>
              <w:pStyle w:val="ARtabletextright"/>
              <w:spacing w:before="60" w:after="40"/>
            </w:pPr>
            <w:r w:rsidRPr="00BA21A7">
              <w:t>139.780</w:t>
            </w:r>
          </w:p>
        </w:tc>
        <w:tc>
          <w:tcPr>
            <w:tcW w:w="992" w:type="dxa"/>
          </w:tcPr>
          <w:p w14:paraId="2F5582F4" w14:textId="77777777" w:rsidR="00496244" w:rsidRPr="002029AF" w:rsidRDefault="00496244" w:rsidP="00317057">
            <w:pPr>
              <w:pStyle w:val="ARtabletextright"/>
              <w:spacing w:before="60" w:after="40"/>
            </w:pPr>
            <w:r w:rsidRPr="00BA21A7">
              <w:t>124.562</w:t>
            </w:r>
          </w:p>
        </w:tc>
        <w:tc>
          <w:tcPr>
            <w:tcW w:w="1418" w:type="dxa"/>
          </w:tcPr>
          <w:p w14:paraId="7E8DA4B3" w14:textId="77777777" w:rsidR="00496244" w:rsidRPr="002029AF" w:rsidRDefault="00496244" w:rsidP="00317057">
            <w:pPr>
              <w:pStyle w:val="ARtabletextright"/>
            </w:pPr>
            <w:r w:rsidRPr="00BA21A7">
              <w:t>(15.218)</w:t>
            </w:r>
          </w:p>
        </w:tc>
        <w:tc>
          <w:tcPr>
            <w:tcW w:w="4087" w:type="dxa"/>
          </w:tcPr>
          <w:p w14:paraId="1AF473F8" w14:textId="77777777" w:rsidR="00496244" w:rsidRPr="002029AF" w:rsidRDefault="00496244" w:rsidP="00317057">
            <w:pPr>
              <w:pStyle w:val="ARtabletext"/>
              <w:spacing w:before="60" w:after="40"/>
            </w:pPr>
            <w:r w:rsidRPr="00BA21A7">
              <w:t>Original TEI was for planning only. Latest approved TEI includes $5 million contribution from Monash University for accommodation space. Final expenditure excludes financing costs.</w:t>
            </w:r>
          </w:p>
        </w:tc>
      </w:tr>
      <w:tr w:rsidR="00496244" w:rsidRPr="002029AF" w14:paraId="137C61ED" w14:textId="77777777" w:rsidTr="00637705">
        <w:tc>
          <w:tcPr>
            <w:tcW w:w="2527" w:type="dxa"/>
          </w:tcPr>
          <w:p w14:paraId="56BA5A7B" w14:textId="77777777" w:rsidR="00496244" w:rsidRPr="002029AF" w:rsidRDefault="00496244" w:rsidP="00317057">
            <w:pPr>
              <w:pStyle w:val="ARtabletext"/>
              <w:spacing w:before="60" w:after="40"/>
            </w:pPr>
            <w:r w:rsidRPr="00BA21A7">
              <w:t>Austin Health Critical infrastructure</w:t>
            </w:r>
          </w:p>
        </w:tc>
        <w:tc>
          <w:tcPr>
            <w:tcW w:w="1321" w:type="dxa"/>
          </w:tcPr>
          <w:p w14:paraId="462E041D" w14:textId="77777777" w:rsidR="00496244" w:rsidRPr="002029AF" w:rsidRDefault="00496244" w:rsidP="00317057">
            <w:pPr>
              <w:pStyle w:val="ARtabletext"/>
              <w:spacing w:before="60" w:after="40"/>
            </w:pPr>
            <w:r w:rsidRPr="00BA21A7">
              <w:t>Jun-19</w:t>
            </w:r>
          </w:p>
        </w:tc>
        <w:tc>
          <w:tcPr>
            <w:tcW w:w="1148" w:type="dxa"/>
          </w:tcPr>
          <w:p w14:paraId="6E60A7CC" w14:textId="77777777" w:rsidR="00496244" w:rsidRPr="002029AF" w:rsidRDefault="00496244" w:rsidP="00317057">
            <w:pPr>
              <w:pStyle w:val="ARtabletext"/>
              <w:spacing w:before="60" w:after="40"/>
            </w:pPr>
            <w:r w:rsidRPr="00BA21A7">
              <w:t>Jun-21</w:t>
            </w:r>
          </w:p>
        </w:tc>
        <w:tc>
          <w:tcPr>
            <w:tcW w:w="1320" w:type="dxa"/>
          </w:tcPr>
          <w:p w14:paraId="0D122018" w14:textId="77777777" w:rsidR="00496244" w:rsidRPr="002029AF" w:rsidRDefault="00496244" w:rsidP="00317057">
            <w:pPr>
              <w:pStyle w:val="ARtabletextright"/>
              <w:spacing w:before="60" w:after="40"/>
            </w:pPr>
            <w:r w:rsidRPr="00BA21A7">
              <w:t>40.800</w:t>
            </w:r>
          </w:p>
        </w:tc>
        <w:tc>
          <w:tcPr>
            <w:tcW w:w="1197" w:type="dxa"/>
          </w:tcPr>
          <w:p w14:paraId="0B65EA40" w14:textId="77777777" w:rsidR="00496244" w:rsidRPr="002029AF" w:rsidRDefault="00496244" w:rsidP="00317057">
            <w:pPr>
              <w:pStyle w:val="ARtabletextright"/>
              <w:spacing w:before="60" w:after="40"/>
            </w:pPr>
            <w:r w:rsidRPr="00BA21A7">
              <w:t>62.816</w:t>
            </w:r>
          </w:p>
        </w:tc>
        <w:tc>
          <w:tcPr>
            <w:tcW w:w="992" w:type="dxa"/>
          </w:tcPr>
          <w:p w14:paraId="5FD84F32" w14:textId="77777777" w:rsidR="00496244" w:rsidRPr="002029AF" w:rsidRDefault="00496244" w:rsidP="00317057">
            <w:pPr>
              <w:pStyle w:val="ARtabletextright"/>
              <w:spacing w:before="60" w:after="40"/>
            </w:pPr>
            <w:r w:rsidRPr="00BA21A7">
              <w:t>66.409</w:t>
            </w:r>
          </w:p>
        </w:tc>
        <w:tc>
          <w:tcPr>
            <w:tcW w:w="1418" w:type="dxa"/>
          </w:tcPr>
          <w:p w14:paraId="086328FA" w14:textId="77777777" w:rsidR="00496244" w:rsidRPr="002029AF" w:rsidRDefault="00496244" w:rsidP="00317057">
            <w:pPr>
              <w:pStyle w:val="ARtabletextright"/>
            </w:pPr>
            <w:r w:rsidRPr="00BA21A7">
              <w:t>3.593</w:t>
            </w:r>
          </w:p>
        </w:tc>
        <w:tc>
          <w:tcPr>
            <w:tcW w:w="4087" w:type="dxa"/>
          </w:tcPr>
          <w:p w14:paraId="5F27C34E" w14:textId="44C19ACF" w:rsidR="00496244" w:rsidRPr="002029AF" w:rsidRDefault="00496244" w:rsidP="00317057">
            <w:pPr>
              <w:pStyle w:val="ARtabletext"/>
              <w:spacing w:before="60" w:after="40"/>
            </w:pPr>
            <w:r w:rsidRPr="00BA21A7">
              <w:t>Variance impacted by decrease in TEI by $7.8</w:t>
            </w:r>
            <w:r w:rsidR="00EC65C3">
              <w:t> </w:t>
            </w:r>
            <w:r w:rsidRPr="00BA21A7">
              <w:t>m</w:t>
            </w:r>
            <w:r>
              <w:t>illion</w:t>
            </w:r>
            <w:r w:rsidRPr="00BA21A7">
              <w:t xml:space="preserve"> with amount reallocated towards the new Austin Central Sterile Services Department (Heidelberg). Actual TEI cost reflects actual project expenditure.</w:t>
            </w:r>
          </w:p>
        </w:tc>
      </w:tr>
      <w:tr w:rsidR="00496244" w:rsidRPr="002029AF" w14:paraId="05D17C68" w14:textId="77777777" w:rsidTr="00637705">
        <w:tc>
          <w:tcPr>
            <w:tcW w:w="2527" w:type="dxa"/>
          </w:tcPr>
          <w:p w14:paraId="25C58BBA" w14:textId="77777777" w:rsidR="00496244" w:rsidRPr="002029AF" w:rsidRDefault="00496244" w:rsidP="00317057">
            <w:pPr>
              <w:pStyle w:val="ARtabletext"/>
              <w:spacing w:before="60" w:after="40"/>
            </w:pPr>
            <w:r w:rsidRPr="00BA21A7">
              <w:t>Barwon Health – North</w:t>
            </w:r>
          </w:p>
        </w:tc>
        <w:tc>
          <w:tcPr>
            <w:tcW w:w="1321" w:type="dxa"/>
          </w:tcPr>
          <w:p w14:paraId="268E351D" w14:textId="77777777" w:rsidR="00496244" w:rsidRPr="002029AF" w:rsidRDefault="00496244" w:rsidP="00317057">
            <w:pPr>
              <w:pStyle w:val="ARtabletext"/>
              <w:spacing w:before="60" w:after="40"/>
            </w:pPr>
            <w:r w:rsidRPr="00BA21A7">
              <w:t>Jul-19</w:t>
            </w:r>
          </w:p>
        </w:tc>
        <w:tc>
          <w:tcPr>
            <w:tcW w:w="1148" w:type="dxa"/>
          </w:tcPr>
          <w:p w14:paraId="38986B82" w14:textId="77777777" w:rsidR="00496244" w:rsidRPr="002029AF" w:rsidRDefault="00496244" w:rsidP="00317057">
            <w:pPr>
              <w:pStyle w:val="ARtabletext"/>
              <w:spacing w:before="60" w:after="40"/>
            </w:pPr>
            <w:r w:rsidRPr="00BA21A7">
              <w:t>Jun-21</w:t>
            </w:r>
          </w:p>
        </w:tc>
        <w:tc>
          <w:tcPr>
            <w:tcW w:w="1320" w:type="dxa"/>
          </w:tcPr>
          <w:p w14:paraId="4A612920" w14:textId="77777777" w:rsidR="00496244" w:rsidRPr="002029AF" w:rsidRDefault="00496244" w:rsidP="00317057">
            <w:pPr>
              <w:pStyle w:val="ARtabletextright"/>
              <w:spacing w:before="60" w:after="40"/>
            </w:pPr>
            <w:r w:rsidRPr="00BA21A7">
              <w:t>28.080</w:t>
            </w:r>
          </w:p>
        </w:tc>
        <w:tc>
          <w:tcPr>
            <w:tcW w:w="1197" w:type="dxa"/>
          </w:tcPr>
          <w:p w14:paraId="0C7394BC" w14:textId="77777777" w:rsidR="00496244" w:rsidRPr="002029AF" w:rsidRDefault="00496244" w:rsidP="00317057">
            <w:pPr>
              <w:pStyle w:val="ARtabletextright"/>
              <w:spacing w:before="60" w:after="40"/>
            </w:pPr>
            <w:r w:rsidRPr="00BA21A7">
              <w:t>33.080</w:t>
            </w:r>
          </w:p>
        </w:tc>
        <w:tc>
          <w:tcPr>
            <w:tcW w:w="992" w:type="dxa"/>
          </w:tcPr>
          <w:p w14:paraId="491D972F" w14:textId="77777777" w:rsidR="00496244" w:rsidRPr="002029AF" w:rsidRDefault="00496244" w:rsidP="00317057">
            <w:pPr>
              <w:pStyle w:val="ARtabletextright"/>
              <w:spacing w:before="60" w:after="40"/>
            </w:pPr>
            <w:r w:rsidRPr="00BA21A7">
              <w:t>30.573</w:t>
            </w:r>
          </w:p>
        </w:tc>
        <w:tc>
          <w:tcPr>
            <w:tcW w:w="1418" w:type="dxa"/>
          </w:tcPr>
          <w:p w14:paraId="0F3DCA55" w14:textId="77777777" w:rsidR="00496244" w:rsidRPr="002029AF" w:rsidRDefault="00496244" w:rsidP="00317057">
            <w:pPr>
              <w:pStyle w:val="ARtabletextright"/>
            </w:pPr>
            <w:r w:rsidRPr="00BA21A7">
              <w:t>(2.507)</w:t>
            </w:r>
          </w:p>
        </w:tc>
        <w:tc>
          <w:tcPr>
            <w:tcW w:w="4087" w:type="dxa"/>
          </w:tcPr>
          <w:p w14:paraId="5087D3B4" w14:textId="77777777" w:rsidR="00496244" w:rsidRPr="002029AF" w:rsidRDefault="00496244" w:rsidP="00317057">
            <w:pPr>
              <w:pStyle w:val="ARtabletext"/>
              <w:spacing w:before="60" w:after="40"/>
            </w:pPr>
            <w:r w:rsidRPr="00BA21A7">
              <w:t>TEI increase to reflect additional funding for site location. Defects Liability period concluded July 2020. Actual TEI cost reflects actual project expenditure.</w:t>
            </w:r>
          </w:p>
        </w:tc>
      </w:tr>
      <w:tr w:rsidR="00496244" w:rsidRPr="002029AF" w14:paraId="05A93546" w14:textId="77777777" w:rsidTr="00637705">
        <w:tc>
          <w:tcPr>
            <w:tcW w:w="2527" w:type="dxa"/>
          </w:tcPr>
          <w:p w14:paraId="509E575B" w14:textId="77777777" w:rsidR="00496244" w:rsidRPr="002029AF" w:rsidRDefault="00496244" w:rsidP="00317057">
            <w:pPr>
              <w:pStyle w:val="ARtabletext"/>
              <w:spacing w:before="60" w:after="40"/>
            </w:pPr>
            <w:r w:rsidRPr="00BA21A7">
              <w:t>Clinical Technology Refresh 2019–20 (statewide)</w:t>
            </w:r>
          </w:p>
        </w:tc>
        <w:tc>
          <w:tcPr>
            <w:tcW w:w="1321" w:type="dxa"/>
          </w:tcPr>
          <w:p w14:paraId="658A1306" w14:textId="77777777" w:rsidR="00496244" w:rsidRPr="002029AF" w:rsidRDefault="00496244" w:rsidP="00317057">
            <w:pPr>
              <w:pStyle w:val="ARtabletext"/>
              <w:spacing w:before="60" w:after="40"/>
            </w:pPr>
            <w:r w:rsidRPr="00BA21A7">
              <w:t>Jun-20</w:t>
            </w:r>
          </w:p>
        </w:tc>
        <w:tc>
          <w:tcPr>
            <w:tcW w:w="1148" w:type="dxa"/>
          </w:tcPr>
          <w:p w14:paraId="7D08CCA1" w14:textId="77777777" w:rsidR="00496244" w:rsidRPr="002029AF" w:rsidRDefault="00496244" w:rsidP="00317057">
            <w:pPr>
              <w:pStyle w:val="ARtabletext"/>
              <w:spacing w:before="60" w:after="40"/>
            </w:pPr>
            <w:r w:rsidRPr="00BA21A7">
              <w:t>Jun-21</w:t>
            </w:r>
          </w:p>
        </w:tc>
        <w:tc>
          <w:tcPr>
            <w:tcW w:w="1320" w:type="dxa"/>
          </w:tcPr>
          <w:p w14:paraId="559F3B91" w14:textId="77777777" w:rsidR="00496244" w:rsidRPr="002029AF" w:rsidRDefault="00496244" w:rsidP="00317057">
            <w:pPr>
              <w:pStyle w:val="ARtabletextright"/>
              <w:spacing w:before="60" w:after="40"/>
            </w:pPr>
            <w:r w:rsidRPr="00BA21A7">
              <w:t>13.000</w:t>
            </w:r>
          </w:p>
        </w:tc>
        <w:tc>
          <w:tcPr>
            <w:tcW w:w="1197" w:type="dxa"/>
          </w:tcPr>
          <w:p w14:paraId="58BD05E9" w14:textId="77777777" w:rsidR="00496244" w:rsidRPr="002029AF" w:rsidRDefault="00496244" w:rsidP="00317057">
            <w:pPr>
              <w:pStyle w:val="ARtabletextright"/>
              <w:spacing w:before="60" w:after="40"/>
            </w:pPr>
            <w:r w:rsidRPr="00BA21A7">
              <w:t>13.000</w:t>
            </w:r>
          </w:p>
        </w:tc>
        <w:tc>
          <w:tcPr>
            <w:tcW w:w="992" w:type="dxa"/>
          </w:tcPr>
          <w:p w14:paraId="6698AC7C" w14:textId="77777777" w:rsidR="00496244" w:rsidRPr="002029AF" w:rsidRDefault="00496244" w:rsidP="00317057">
            <w:pPr>
              <w:pStyle w:val="ARtabletextright"/>
              <w:spacing w:before="60" w:after="40"/>
            </w:pPr>
            <w:r w:rsidRPr="00BA21A7">
              <w:t>13.000</w:t>
            </w:r>
          </w:p>
        </w:tc>
        <w:tc>
          <w:tcPr>
            <w:tcW w:w="1418" w:type="dxa"/>
          </w:tcPr>
          <w:p w14:paraId="0A1E0005" w14:textId="77777777" w:rsidR="00496244" w:rsidRPr="002029AF" w:rsidRDefault="00496244" w:rsidP="00317057">
            <w:pPr>
              <w:pStyle w:val="ARtabletextright"/>
            </w:pPr>
          </w:p>
        </w:tc>
        <w:tc>
          <w:tcPr>
            <w:tcW w:w="4087" w:type="dxa"/>
          </w:tcPr>
          <w:p w14:paraId="3BF373AB" w14:textId="77777777" w:rsidR="00496244" w:rsidRPr="002029AF" w:rsidRDefault="00496244" w:rsidP="00317057">
            <w:pPr>
              <w:pStyle w:val="ARtabletext"/>
              <w:spacing w:before="60" w:after="40"/>
            </w:pPr>
          </w:p>
        </w:tc>
      </w:tr>
      <w:tr w:rsidR="00496244" w:rsidRPr="002029AF" w14:paraId="660F2308" w14:textId="77777777" w:rsidTr="00637705">
        <w:tc>
          <w:tcPr>
            <w:tcW w:w="2527" w:type="dxa"/>
          </w:tcPr>
          <w:p w14:paraId="476D8337" w14:textId="77777777" w:rsidR="00496244" w:rsidRPr="002029AF" w:rsidRDefault="00496244" w:rsidP="00317057">
            <w:pPr>
              <w:pStyle w:val="ARtabletext"/>
              <w:spacing w:before="60" w:after="40"/>
            </w:pPr>
            <w:r w:rsidRPr="00BA21A7">
              <w:t>Forensic mental health implementation plan – priority service reforms (Footscray)</w:t>
            </w:r>
          </w:p>
        </w:tc>
        <w:tc>
          <w:tcPr>
            <w:tcW w:w="1321" w:type="dxa"/>
          </w:tcPr>
          <w:p w14:paraId="4F4FA514" w14:textId="77777777" w:rsidR="00496244" w:rsidRPr="002029AF" w:rsidRDefault="00496244" w:rsidP="00317057">
            <w:pPr>
              <w:pStyle w:val="ARtabletext"/>
              <w:spacing w:before="60" w:after="40"/>
            </w:pPr>
            <w:r w:rsidRPr="00BA21A7">
              <w:t>Jun-20</w:t>
            </w:r>
          </w:p>
        </w:tc>
        <w:tc>
          <w:tcPr>
            <w:tcW w:w="1148" w:type="dxa"/>
          </w:tcPr>
          <w:p w14:paraId="3D7CD0C6" w14:textId="77777777" w:rsidR="00496244" w:rsidRPr="002029AF" w:rsidRDefault="00496244" w:rsidP="00317057">
            <w:pPr>
              <w:pStyle w:val="ARtabletext"/>
              <w:spacing w:before="60" w:after="40"/>
            </w:pPr>
            <w:r w:rsidRPr="00BA21A7">
              <w:t>Jun-21</w:t>
            </w:r>
          </w:p>
        </w:tc>
        <w:tc>
          <w:tcPr>
            <w:tcW w:w="1320" w:type="dxa"/>
          </w:tcPr>
          <w:p w14:paraId="786213F8" w14:textId="77777777" w:rsidR="00496244" w:rsidRPr="002029AF" w:rsidRDefault="00496244" w:rsidP="00317057">
            <w:pPr>
              <w:pStyle w:val="ARtabletextright"/>
              <w:spacing w:before="60" w:after="40"/>
            </w:pPr>
            <w:r w:rsidRPr="00BA21A7">
              <w:t>3.900</w:t>
            </w:r>
          </w:p>
        </w:tc>
        <w:tc>
          <w:tcPr>
            <w:tcW w:w="1197" w:type="dxa"/>
          </w:tcPr>
          <w:p w14:paraId="65A4FB57" w14:textId="77777777" w:rsidR="00496244" w:rsidRPr="002029AF" w:rsidRDefault="00496244" w:rsidP="00317057">
            <w:pPr>
              <w:pStyle w:val="ARtabletextright"/>
              <w:spacing w:before="60" w:after="40"/>
            </w:pPr>
            <w:r w:rsidRPr="00BA21A7">
              <w:t>5.942</w:t>
            </w:r>
          </w:p>
        </w:tc>
        <w:tc>
          <w:tcPr>
            <w:tcW w:w="992" w:type="dxa"/>
          </w:tcPr>
          <w:p w14:paraId="054B2854" w14:textId="77777777" w:rsidR="00496244" w:rsidRPr="002029AF" w:rsidRDefault="00496244" w:rsidP="00317057">
            <w:pPr>
              <w:pStyle w:val="ARtabletextright"/>
              <w:spacing w:before="60" w:after="40"/>
            </w:pPr>
            <w:r w:rsidRPr="00BA21A7">
              <w:t>5.877</w:t>
            </w:r>
          </w:p>
        </w:tc>
        <w:tc>
          <w:tcPr>
            <w:tcW w:w="1418" w:type="dxa"/>
          </w:tcPr>
          <w:p w14:paraId="2F56CB53" w14:textId="77777777" w:rsidR="00496244" w:rsidRPr="002029AF" w:rsidRDefault="00496244" w:rsidP="00317057">
            <w:pPr>
              <w:pStyle w:val="ARtabletextright"/>
            </w:pPr>
            <w:r w:rsidRPr="00BA21A7">
              <w:t>(0.65)</w:t>
            </w:r>
          </w:p>
        </w:tc>
        <w:tc>
          <w:tcPr>
            <w:tcW w:w="4087" w:type="dxa"/>
          </w:tcPr>
          <w:p w14:paraId="2FC2FA75" w14:textId="77777777" w:rsidR="00496244" w:rsidRPr="002029AF" w:rsidRDefault="00496244" w:rsidP="00317057">
            <w:pPr>
              <w:pStyle w:val="ARtabletext"/>
              <w:spacing w:before="60" w:after="40"/>
            </w:pPr>
            <w:r w:rsidRPr="00BA21A7">
              <w:t xml:space="preserve">TEI was increased to include revised project scope. </w:t>
            </w:r>
          </w:p>
        </w:tc>
      </w:tr>
      <w:tr w:rsidR="00496244" w:rsidRPr="002029AF" w14:paraId="41B0B74E" w14:textId="77777777" w:rsidTr="00637705">
        <w:tc>
          <w:tcPr>
            <w:tcW w:w="2527" w:type="dxa"/>
          </w:tcPr>
          <w:p w14:paraId="6DBFE383" w14:textId="77777777" w:rsidR="00496244" w:rsidRPr="002029AF" w:rsidRDefault="00496244" w:rsidP="00317057">
            <w:pPr>
              <w:pStyle w:val="ARtabletext"/>
              <w:spacing w:before="60" w:after="40"/>
            </w:pPr>
            <w:r w:rsidRPr="00BA21A7">
              <w:t>Grampians Prevention and Recover</w:t>
            </w:r>
            <w:r>
              <w:t>y</w:t>
            </w:r>
            <w:r w:rsidRPr="00BA21A7">
              <w:t xml:space="preserve"> Care (PARC) Services (Ballarat)</w:t>
            </w:r>
          </w:p>
        </w:tc>
        <w:tc>
          <w:tcPr>
            <w:tcW w:w="1321" w:type="dxa"/>
          </w:tcPr>
          <w:p w14:paraId="75881139" w14:textId="77777777" w:rsidR="00496244" w:rsidRPr="002029AF" w:rsidRDefault="00496244" w:rsidP="00317057">
            <w:pPr>
              <w:pStyle w:val="ARtabletext"/>
              <w:spacing w:before="60" w:after="40"/>
            </w:pPr>
            <w:r w:rsidRPr="00BA21A7">
              <w:t>Apr-20</w:t>
            </w:r>
          </w:p>
        </w:tc>
        <w:tc>
          <w:tcPr>
            <w:tcW w:w="1148" w:type="dxa"/>
          </w:tcPr>
          <w:p w14:paraId="0009A2A2" w14:textId="77777777" w:rsidR="00496244" w:rsidRPr="002029AF" w:rsidRDefault="00496244" w:rsidP="00317057">
            <w:pPr>
              <w:pStyle w:val="ARtabletext"/>
              <w:spacing w:before="60" w:after="40"/>
            </w:pPr>
            <w:r w:rsidRPr="00BA21A7">
              <w:t>Jun-21</w:t>
            </w:r>
          </w:p>
        </w:tc>
        <w:tc>
          <w:tcPr>
            <w:tcW w:w="1320" w:type="dxa"/>
          </w:tcPr>
          <w:p w14:paraId="0CB0DC20" w14:textId="77777777" w:rsidR="00496244" w:rsidRPr="002029AF" w:rsidRDefault="00496244" w:rsidP="00317057">
            <w:pPr>
              <w:pStyle w:val="ARtabletextright"/>
              <w:spacing w:before="60" w:after="40"/>
            </w:pPr>
            <w:r w:rsidRPr="00BA21A7">
              <w:t>6.000</w:t>
            </w:r>
          </w:p>
        </w:tc>
        <w:tc>
          <w:tcPr>
            <w:tcW w:w="1197" w:type="dxa"/>
          </w:tcPr>
          <w:p w14:paraId="77F95EBC" w14:textId="77777777" w:rsidR="00496244" w:rsidRPr="002029AF" w:rsidRDefault="00496244" w:rsidP="00317057">
            <w:pPr>
              <w:pStyle w:val="ARtabletextright"/>
              <w:spacing w:before="60" w:after="40"/>
            </w:pPr>
            <w:r w:rsidRPr="00BA21A7">
              <w:t>6.000</w:t>
            </w:r>
          </w:p>
        </w:tc>
        <w:tc>
          <w:tcPr>
            <w:tcW w:w="992" w:type="dxa"/>
          </w:tcPr>
          <w:p w14:paraId="34B4591D" w14:textId="77777777" w:rsidR="00496244" w:rsidRPr="002029AF" w:rsidRDefault="00496244" w:rsidP="00317057">
            <w:pPr>
              <w:pStyle w:val="ARtabletextright"/>
              <w:spacing w:before="60" w:after="40"/>
            </w:pPr>
            <w:r w:rsidRPr="00BA21A7">
              <w:t>5.828</w:t>
            </w:r>
          </w:p>
        </w:tc>
        <w:tc>
          <w:tcPr>
            <w:tcW w:w="1418" w:type="dxa"/>
          </w:tcPr>
          <w:p w14:paraId="05CB76E5" w14:textId="77777777" w:rsidR="00496244" w:rsidRPr="002029AF" w:rsidRDefault="00496244" w:rsidP="00317057">
            <w:pPr>
              <w:pStyle w:val="ARtabletextright"/>
            </w:pPr>
            <w:r w:rsidRPr="00BA21A7">
              <w:t>(0.172)</w:t>
            </w:r>
          </w:p>
        </w:tc>
        <w:tc>
          <w:tcPr>
            <w:tcW w:w="4087" w:type="dxa"/>
          </w:tcPr>
          <w:p w14:paraId="699CDBFF" w14:textId="77777777" w:rsidR="00496244" w:rsidRPr="002029AF" w:rsidRDefault="00496244" w:rsidP="00317057">
            <w:pPr>
              <w:pStyle w:val="ARtabletext"/>
              <w:spacing w:before="60" w:after="40"/>
            </w:pPr>
          </w:p>
        </w:tc>
      </w:tr>
      <w:tr w:rsidR="00496244" w:rsidRPr="002029AF" w14:paraId="4AD2A26D" w14:textId="77777777" w:rsidTr="00637705">
        <w:tc>
          <w:tcPr>
            <w:tcW w:w="2527" w:type="dxa"/>
          </w:tcPr>
          <w:p w14:paraId="3374F3DE" w14:textId="77777777" w:rsidR="00496244" w:rsidRPr="002029AF" w:rsidRDefault="00496244" w:rsidP="00317057">
            <w:pPr>
              <w:pStyle w:val="ARtabletext"/>
              <w:spacing w:before="60" w:after="40"/>
            </w:pPr>
            <w:r w:rsidRPr="00BA21A7">
              <w:t>Supporting Demand for Ambulance Services</w:t>
            </w:r>
          </w:p>
        </w:tc>
        <w:tc>
          <w:tcPr>
            <w:tcW w:w="1321" w:type="dxa"/>
          </w:tcPr>
          <w:p w14:paraId="28BC5EE5" w14:textId="77777777" w:rsidR="00496244" w:rsidRPr="002029AF" w:rsidRDefault="00496244" w:rsidP="00317057">
            <w:pPr>
              <w:pStyle w:val="ARtabletext"/>
              <w:spacing w:before="60" w:after="40"/>
            </w:pPr>
            <w:r w:rsidRPr="00BA21A7">
              <w:t>Jun-19</w:t>
            </w:r>
          </w:p>
        </w:tc>
        <w:tc>
          <w:tcPr>
            <w:tcW w:w="1148" w:type="dxa"/>
          </w:tcPr>
          <w:p w14:paraId="5D914976" w14:textId="77777777" w:rsidR="00496244" w:rsidRPr="002029AF" w:rsidRDefault="00496244" w:rsidP="00317057">
            <w:pPr>
              <w:pStyle w:val="ARtabletext"/>
              <w:spacing w:before="60" w:after="40"/>
            </w:pPr>
            <w:r w:rsidRPr="00BA21A7">
              <w:t>Jun-21</w:t>
            </w:r>
          </w:p>
        </w:tc>
        <w:tc>
          <w:tcPr>
            <w:tcW w:w="1320" w:type="dxa"/>
          </w:tcPr>
          <w:p w14:paraId="29BC1EA4" w14:textId="77777777" w:rsidR="00496244" w:rsidRPr="002029AF" w:rsidRDefault="00496244" w:rsidP="00317057">
            <w:pPr>
              <w:pStyle w:val="ARtabletextright"/>
              <w:spacing w:before="60" w:after="40"/>
            </w:pPr>
            <w:r w:rsidRPr="00BA21A7">
              <w:t>3.345</w:t>
            </w:r>
          </w:p>
        </w:tc>
        <w:tc>
          <w:tcPr>
            <w:tcW w:w="1197" w:type="dxa"/>
          </w:tcPr>
          <w:p w14:paraId="30F04D33" w14:textId="77777777" w:rsidR="00496244" w:rsidRPr="002029AF" w:rsidRDefault="00496244" w:rsidP="00317057">
            <w:pPr>
              <w:pStyle w:val="ARtabletextright"/>
              <w:spacing w:before="60" w:after="40"/>
            </w:pPr>
            <w:r w:rsidRPr="00BA21A7">
              <w:t>3.345</w:t>
            </w:r>
          </w:p>
        </w:tc>
        <w:tc>
          <w:tcPr>
            <w:tcW w:w="992" w:type="dxa"/>
          </w:tcPr>
          <w:p w14:paraId="0DCE6C48" w14:textId="77777777" w:rsidR="00496244" w:rsidRPr="002029AF" w:rsidRDefault="00496244" w:rsidP="00317057">
            <w:pPr>
              <w:pStyle w:val="ARtabletextright"/>
              <w:spacing w:before="60" w:after="40"/>
            </w:pPr>
            <w:r w:rsidRPr="00BA21A7">
              <w:t>3.345</w:t>
            </w:r>
          </w:p>
        </w:tc>
        <w:tc>
          <w:tcPr>
            <w:tcW w:w="1418" w:type="dxa"/>
          </w:tcPr>
          <w:p w14:paraId="431CB5F6" w14:textId="77777777" w:rsidR="00496244" w:rsidRPr="002029AF" w:rsidRDefault="00496244" w:rsidP="00317057">
            <w:pPr>
              <w:pStyle w:val="ARtabletextright"/>
            </w:pPr>
          </w:p>
        </w:tc>
        <w:tc>
          <w:tcPr>
            <w:tcW w:w="4087" w:type="dxa"/>
          </w:tcPr>
          <w:p w14:paraId="3F7D73DC" w14:textId="77777777" w:rsidR="00496244" w:rsidRPr="002029AF" w:rsidRDefault="00496244" w:rsidP="00317057">
            <w:pPr>
              <w:pStyle w:val="ARtabletext"/>
              <w:spacing w:before="60" w:after="40"/>
            </w:pPr>
          </w:p>
        </w:tc>
      </w:tr>
      <w:tr w:rsidR="00496244" w:rsidRPr="002029AF" w14:paraId="6109BD38" w14:textId="77777777" w:rsidTr="00637705">
        <w:tc>
          <w:tcPr>
            <w:tcW w:w="2527" w:type="dxa"/>
          </w:tcPr>
          <w:p w14:paraId="0DAE11D5" w14:textId="550BA638" w:rsidR="00496244" w:rsidRPr="002029AF" w:rsidRDefault="00496244" w:rsidP="00317057">
            <w:pPr>
              <w:pStyle w:val="ARtabletext"/>
              <w:spacing w:before="60" w:after="40"/>
            </w:pPr>
            <w:r w:rsidRPr="00BA21A7">
              <w:t>The Joan Kirner Women</w:t>
            </w:r>
            <w:r w:rsidR="007D145B">
              <w:t>’</w:t>
            </w:r>
            <w:r w:rsidRPr="00BA21A7">
              <w:t>s and Children</w:t>
            </w:r>
            <w:r w:rsidR="007D145B">
              <w:t>’</w:t>
            </w:r>
            <w:r w:rsidRPr="00BA21A7">
              <w:t>s Hospital</w:t>
            </w:r>
          </w:p>
        </w:tc>
        <w:tc>
          <w:tcPr>
            <w:tcW w:w="1321" w:type="dxa"/>
          </w:tcPr>
          <w:p w14:paraId="69EED0DF" w14:textId="77777777" w:rsidR="00496244" w:rsidRPr="002029AF" w:rsidRDefault="00496244" w:rsidP="00317057">
            <w:pPr>
              <w:pStyle w:val="ARtabletext"/>
              <w:spacing w:before="60" w:after="40"/>
            </w:pPr>
            <w:r w:rsidRPr="00BA21A7">
              <w:t>Jun-20</w:t>
            </w:r>
          </w:p>
        </w:tc>
        <w:tc>
          <w:tcPr>
            <w:tcW w:w="1148" w:type="dxa"/>
          </w:tcPr>
          <w:p w14:paraId="09CFF992" w14:textId="77777777" w:rsidR="00496244" w:rsidRPr="002029AF" w:rsidRDefault="00496244" w:rsidP="00317057">
            <w:pPr>
              <w:pStyle w:val="ARtabletext"/>
              <w:spacing w:before="60" w:after="40"/>
            </w:pPr>
            <w:r w:rsidRPr="00BA21A7">
              <w:t>Jun-21</w:t>
            </w:r>
          </w:p>
        </w:tc>
        <w:tc>
          <w:tcPr>
            <w:tcW w:w="1320" w:type="dxa"/>
          </w:tcPr>
          <w:p w14:paraId="0AA60180" w14:textId="77777777" w:rsidR="00496244" w:rsidRPr="002029AF" w:rsidRDefault="00496244" w:rsidP="00317057">
            <w:pPr>
              <w:pStyle w:val="ARtabletextright"/>
              <w:spacing w:before="60" w:after="40"/>
            </w:pPr>
            <w:r w:rsidRPr="00BA21A7">
              <w:t>200.000</w:t>
            </w:r>
          </w:p>
        </w:tc>
        <w:tc>
          <w:tcPr>
            <w:tcW w:w="1197" w:type="dxa"/>
          </w:tcPr>
          <w:p w14:paraId="1D944C77" w14:textId="77777777" w:rsidR="00496244" w:rsidRPr="002029AF" w:rsidRDefault="00496244" w:rsidP="00317057">
            <w:pPr>
              <w:pStyle w:val="ARtabletextright"/>
              <w:spacing w:before="60" w:after="40"/>
            </w:pPr>
            <w:r w:rsidRPr="00BA21A7">
              <w:t>200.000</w:t>
            </w:r>
          </w:p>
        </w:tc>
        <w:tc>
          <w:tcPr>
            <w:tcW w:w="992" w:type="dxa"/>
          </w:tcPr>
          <w:p w14:paraId="5D463736" w14:textId="77777777" w:rsidR="00496244" w:rsidRPr="002029AF" w:rsidRDefault="00496244" w:rsidP="00317057">
            <w:pPr>
              <w:pStyle w:val="ARtabletextright"/>
              <w:spacing w:before="60" w:after="40"/>
            </w:pPr>
            <w:r w:rsidRPr="00BA21A7">
              <w:t>200.000</w:t>
            </w:r>
          </w:p>
        </w:tc>
        <w:tc>
          <w:tcPr>
            <w:tcW w:w="1418" w:type="dxa"/>
          </w:tcPr>
          <w:p w14:paraId="69C1057B" w14:textId="77777777" w:rsidR="00496244" w:rsidRPr="002029AF" w:rsidRDefault="00496244" w:rsidP="00317057">
            <w:pPr>
              <w:pStyle w:val="ARtabletextright"/>
            </w:pPr>
          </w:p>
        </w:tc>
        <w:tc>
          <w:tcPr>
            <w:tcW w:w="4087" w:type="dxa"/>
          </w:tcPr>
          <w:p w14:paraId="2CFC2AFB" w14:textId="77777777" w:rsidR="00496244" w:rsidRPr="002029AF" w:rsidRDefault="00496244" w:rsidP="00317057">
            <w:pPr>
              <w:pStyle w:val="ARtabletext"/>
              <w:spacing w:before="60" w:after="40"/>
            </w:pPr>
          </w:p>
        </w:tc>
      </w:tr>
    </w:tbl>
    <w:p w14:paraId="4DACE59C" w14:textId="77777777" w:rsidR="00496244" w:rsidRDefault="00496244" w:rsidP="00897193">
      <w:pPr>
        <w:sectPr w:rsidR="00496244" w:rsidSect="00D16BC1">
          <w:footnotePr>
            <w:numFmt w:val="lowerLetter"/>
            <w:numRestart w:val="eachPage"/>
          </w:footnotePr>
          <w:endnotePr>
            <w:numFmt w:val="decimal"/>
          </w:endnotePr>
          <w:pgSz w:w="16840" w:h="11900" w:orient="landscape" w:code="9"/>
          <w:pgMar w:top="1134" w:right="1985" w:bottom="1134" w:left="851" w:header="510" w:footer="340" w:gutter="0"/>
          <w:cols w:space="708"/>
          <w:docGrid w:linePitch="299"/>
        </w:sectPr>
      </w:pPr>
    </w:p>
    <w:p w14:paraId="7CF16A75" w14:textId="77777777" w:rsidR="00496244" w:rsidRDefault="00496244" w:rsidP="00317057">
      <w:pPr>
        <w:pStyle w:val="Heading1"/>
        <w:spacing w:after="240"/>
      </w:pPr>
      <w:bookmarkStart w:id="345" w:name="_Section_2:_Governance"/>
      <w:bookmarkStart w:id="346" w:name="_Ref84493388"/>
      <w:bookmarkStart w:id="347" w:name="_Toc85121174"/>
      <w:bookmarkStart w:id="348" w:name="_Toc85121603"/>
      <w:bookmarkStart w:id="349" w:name="_Toc86075586"/>
      <w:bookmarkEnd w:id="42"/>
      <w:bookmarkEnd w:id="345"/>
      <w:r>
        <w:lastRenderedPageBreak/>
        <w:t xml:space="preserve">Section 2: </w:t>
      </w:r>
      <w:r w:rsidRPr="007E1B3F">
        <w:t>Governance and organisational structure</w:t>
      </w:r>
      <w:bookmarkEnd w:id="346"/>
      <w:bookmarkEnd w:id="347"/>
      <w:bookmarkEnd w:id="348"/>
      <w:bookmarkEnd w:id="349"/>
    </w:p>
    <w:p w14:paraId="548E1412" w14:textId="550E5D96" w:rsidR="00496244" w:rsidRDefault="00496244" w:rsidP="00317057">
      <w:pPr>
        <w:pStyle w:val="Heading2"/>
        <w:spacing w:before="0"/>
      </w:pPr>
      <w:bookmarkStart w:id="350" w:name="_Toc85121175"/>
      <w:bookmarkStart w:id="351" w:name="_Toc85121604"/>
      <w:bookmarkStart w:id="352" w:name="_Ref85202061"/>
      <w:bookmarkStart w:id="353" w:name="_Toc86075587"/>
      <w:r w:rsidRPr="00174116">
        <w:t xml:space="preserve">The </w:t>
      </w:r>
      <w:r>
        <w:t>d</w:t>
      </w:r>
      <w:r w:rsidRPr="00174116">
        <w:t>epartment</w:t>
      </w:r>
      <w:r w:rsidR="007D145B">
        <w:t>’</w:t>
      </w:r>
      <w:r w:rsidRPr="00174116">
        <w:t xml:space="preserve">s </w:t>
      </w:r>
      <w:r>
        <w:t>m</w:t>
      </w:r>
      <w:r w:rsidRPr="00174116">
        <w:t>inisters</w:t>
      </w:r>
      <w:bookmarkEnd w:id="350"/>
      <w:bookmarkEnd w:id="351"/>
      <w:bookmarkEnd w:id="352"/>
      <w:bookmarkEnd w:id="353"/>
    </w:p>
    <w:p w14:paraId="69A4E342" w14:textId="77777777" w:rsidR="00496244" w:rsidRPr="008368A3" w:rsidRDefault="00496244" w:rsidP="00317057">
      <w:pPr>
        <w:pStyle w:val="ARbody"/>
        <w:spacing w:after="240"/>
        <w:rPr>
          <w:b/>
          <w:bCs/>
        </w:rPr>
      </w:pPr>
      <w:r w:rsidRPr="008368A3">
        <w:rPr>
          <w:b/>
          <w:bCs/>
        </w:rPr>
        <w:t>As at 30 June 2021</w:t>
      </w:r>
    </w:p>
    <w:p w14:paraId="75AF4A51" w14:textId="77777777" w:rsidR="00496244" w:rsidRDefault="00496244" w:rsidP="00317057">
      <w:pPr>
        <w:pStyle w:val="ARbody"/>
        <w:sectPr w:rsidR="00496244" w:rsidSect="00317057">
          <w:headerReference w:type="first" r:id="rId60"/>
          <w:footerReference w:type="first" r:id="rId61"/>
          <w:footnotePr>
            <w:numFmt w:val="lowerLetter"/>
            <w:numRestart w:val="eachPage"/>
          </w:footnotePr>
          <w:endnotePr>
            <w:numFmt w:val="decimal"/>
          </w:endnotePr>
          <w:type w:val="continuous"/>
          <w:pgSz w:w="11900" w:h="16840" w:code="9"/>
          <w:pgMar w:top="1985" w:right="1134" w:bottom="851" w:left="1134" w:header="510" w:footer="340" w:gutter="0"/>
          <w:cols w:space="454"/>
        </w:sectPr>
      </w:pPr>
    </w:p>
    <w:p w14:paraId="60C3027B" w14:textId="77777777" w:rsidR="00496244" w:rsidRDefault="00496244" w:rsidP="00317057">
      <w:pPr>
        <w:pStyle w:val="ARbody"/>
      </w:pPr>
      <w:r>
        <w:rPr>
          <w:noProof/>
          <w:lang w:eastAsia="en-AU" w:bidi="as-IN"/>
        </w:rPr>
        <w:drawing>
          <wp:inline distT="0" distB="0" distL="0" distR="0" wp14:anchorId="3F07D1B0" wp14:editId="2A041206">
            <wp:extent cx="1400175" cy="1400175"/>
            <wp:effectExtent l="0" t="0" r="9525" b="9525"/>
            <wp:docPr id="12" name="Picture 12" descr="Martin Foley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rtin Foley MP"/>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400175" cy="1400175"/>
                    </a:xfrm>
                    <a:prstGeom prst="rect">
                      <a:avLst/>
                    </a:prstGeom>
                    <a:noFill/>
                    <a:ln>
                      <a:noFill/>
                    </a:ln>
                  </pic:spPr>
                </pic:pic>
              </a:graphicData>
            </a:graphic>
          </wp:inline>
        </w:drawing>
      </w:r>
    </w:p>
    <w:p w14:paraId="344308AB" w14:textId="77777777" w:rsidR="00496244" w:rsidRPr="002029AF" w:rsidRDefault="00496244" w:rsidP="00317057">
      <w:pPr>
        <w:pStyle w:val="Heading3"/>
      </w:pPr>
      <w:bookmarkStart w:id="354" w:name="_Toc85121176"/>
      <w:r w:rsidRPr="002029AF">
        <w:t>Martin Foley MP</w:t>
      </w:r>
      <w:bookmarkEnd w:id="354"/>
    </w:p>
    <w:p w14:paraId="0AB055C0" w14:textId="77777777" w:rsidR="00496244" w:rsidRPr="00774286" w:rsidRDefault="00496244" w:rsidP="00317057">
      <w:pPr>
        <w:pStyle w:val="ARbody"/>
        <w:rPr>
          <w:b/>
        </w:rPr>
      </w:pPr>
      <w:r w:rsidRPr="002029AF">
        <w:rPr>
          <w:b/>
        </w:rPr>
        <w:t>Minister for Health</w:t>
      </w:r>
      <w:r w:rsidRPr="002029AF">
        <w:rPr>
          <w:b/>
        </w:rPr>
        <w:br/>
        <w:t>Minister for Ambulance Services</w:t>
      </w:r>
    </w:p>
    <w:p w14:paraId="29D6611F" w14:textId="77777777" w:rsidR="00496244" w:rsidRPr="002029AF" w:rsidRDefault="00496244" w:rsidP="00317057">
      <w:pPr>
        <w:pStyle w:val="ARbody"/>
      </w:pPr>
      <w:r w:rsidRPr="002029AF">
        <w:t>Martin Foley MP</w:t>
      </w:r>
      <w:r>
        <w:t xml:space="preserve"> was appointed as </w:t>
      </w:r>
      <w:r w:rsidRPr="00255B63">
        <w:t>Minister for Health</w:t>
      </w:r>
      <w:r>
        <w:t xml:space="preserve"> and </w:t>
      </w:r>
      <w:r w:rsidRPr="00255B63">
        <w:t xml:space="preserve">Minister for Ambulance Services </w:t>
      </w:r>
      <w:r>
        <w:t xml:space="preserve">in </w:t>
      </w:r>
      <w:r w:rsidRPr="00255B63">
        <w:t>September 2020</w:t>
      </w:r>
      <w:r>
        <w:t xml:space="preserve">. He was also appointed as the </w:t>
      </w:r>
      <w:r w:rsidRPr="00255B63">
        <w:t xml:space="preserve">Minister for the Coordination of Health and Human Services: COVID-19 </w:t>
      </w:r>
      <w:r>
        <w:t xml:space="preserve">from </w:t>
      </w:r>
      <w:r w:rsidRPr="00255B63">
        <w:t xml:space="preserve">September 2020 </w:t>
      </w:r>
      <w:r>
        <w:t xml:space="preserve">to </w:t>
      </w:r>
      <w:r w:rsidRPr="00255B63">
        <w:t>November 2020</w:t>
      </w:r>
      <w:r>
        <w:t xml:space="preserve">. </w:t>
      </w:r>
      <w:r w:rsidRPr="002029AF">
        <w:t>He is also Minister for Equality.</w:t>
      </w:r>
    </w:p>
    <w:p w14:paraId="2058A8D9" w14:textId="77777777" w:rsidR="00496244" w:rsidRDefault="00496244" w:rsidP="00317057">
      <w:pPr>
        <w:pStyle w:val="ARbody"/>
      </w:pPr>
      <w:r w:rsidRPr="002029AF">
        <w:t>The Minister for Health and Minister for Ambulance Services is responsible for the health and wellbeing of all Victorians, ensuring a strong public health system and its continued growth and redevelopment</w:t>
      </w:r>
      <w:r>
        <w:t>.</w:t>
      </w:r>
    </w:p>
    <w:p w14:paraId="0452445C" w14:textId="77777777" w:rsidR="00496244" w:rsidRDefault="00496244" w:rsidP="00317057">
      <w:pPr>
        <w:pStyle w:val="ARbody"/>
      </w:pPr>
      <w:r>
        <w:br w:type="column"/>
      </w:r>
      <w:r>
        <w:rPr>
          <w:noProof/>
          <w:lang w:eastAsia="en-AU" w:bidi="as-IN"/>
        </w:rPr>
        <w:drawing>
          <wp:inline distT="0" distB="0" distL="0" distR="0" wp14:anchorId="793435C9" wp14:editId="63005668">
            <wp:extent cx="1400175" cy="1400175"/>
            <wp:effectExtent l="0" t="0" r="9525" b="9525"/>
            <wp:docPr id="13" name="Picture 13" descr="James Merlino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James Merlino MP"/>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400175" cy="1400175"/>
                    </a:xfrm>
                    <a:prstGeom prst="rect">
                      <a:avLst/>
                    </a:prstGeom>
                    <a:noFill/>
                    <a:ln>
                      <a:noFill/>
                    </a:ln>
                  </pic:spPr>
                </pic:pic>
              </a:graphicData>
            </a:graphic>
          </wp:inline>
        </w:drawing>
      </w:r>
    </w:p>
    <w:p w14:paraId="63152163" w14:textId="77777777" w:rsidR="00496244" w:rsidRDefault="00496244" w:rsidP="00317057">
      <w:pPr>
        <w:pStyle w:val="Heading3"/>
      </w:pPr>
      <w:bookmarkStart w:id="355" w:name="_Toc85121177"/>
      <w:r>
        <w:t>James Merlino MP</w:t>
      </w:r>
      <w:bookmarkEnd w:id="355"/>
    </w:p>
    <w:p w14:paraId="3CAEB3FF" w14:textId="77777777" w:rsidR="00496244" w:rsidRPr="002029AF" w:rsidRDefault="00496244" w:rsidP="00317057">
      <w:pPr>
        <w:pStyle w:val="ARbody"/>
        <w:rPr>
          <w:b/>
        </w:rPr>
      </w:pPr>
      <w:r w:rsidRPr="002029AF">
        <w:rPr>
          <w:b/>
        </w:rPr>
        <w:t>Minister for Mental Health</w:t>
      </w:r>
    </w:p>
    <w:p w14:paraId="153C2018" w14:textId="77777777" w:rsidR="00496244" w:rsidRDefault="00496244" w:rsidP="00317057">
      <w:pPr>
        <w:pStyle w:val="ARbody"/>
      </w:pPr>
      <w:r>
        <w:t xml:space="preserve">James Merlino MP was appointed as Minister for Mental Health in </w:t>
      </w:r>
      <w:r w:rsidRPr="002007DA">
        <w:t>September 2020</w:t>
      </w:r>
      <w:r>
        <w:t>. He is also the Deputy Premier and Minister for Education.</w:t>
      </w:r>
    </w:p>
    <w:p w14:paraId="3EA8061F" w14:textId="77777777" w:rsidR="00496244" w:rsidRPr="002029AF" w:rsidRDefault="00496244" w:rsidP="00CD5691">
      <w:pPr>
        <w:pStyle w:val="ARbody"/>
        <w:spacing w:after="240"/>
      </w:pPr>
      <w:r w:rsidRPr="002029AF">
        <w:t xml:space="preserve">The Minister for Mental Health is responsible for managing the challenges created by the increasing demand for mental health services </w:t>
      </w:r>
      <w:r>
        <w:t xml:space="preserve">in </w:t>
      </w:r>
      <w:r w:rsidRPr="002029AF">
        <w:t>Victoria and ensuring Victorians with mental illness and addiction, along with their families, receive the treatment and support they need.</w:t>
      </w:r>
    </w:p>
    <w:p w14:paraId="4EFF9F17" w14:textId="77777777" w:rsidR="00496244" w:rsidRPr="002029AF" w:rsidRDefault="00496244" w:rsidP="00317057">
      <w:pPr>
        <w:pStyle w:val="ARbody"/>
      </w:pPr>
      <w:r>
        <w:rPr>
          <w:noProof/>
          <w:lang w:eastAsia="en-AU" w:bidi="as-IN"/>
        </w:rPr>
        <w:drawing>
          <wp:inline distT="0" distB="0" distL="0" distR="0" wp14:anchorId="1EFFAD53" wp14:editId="51A8FEF3">
            <wp:extent cx="1400175" cy="1400175"/>
            <wp:effectExtent l="0" t="0" r="9525" b="9525"/>
            <wp:docPr id="14" name="Picture 14" descr="Luke Donnellan 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uke Donnellan MP"/>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400175" cy="1400175"/>
                    </a:xfrm>
                    <a:prstGeom prst="rect">
                      <a:avLst/>
                    </a:prstGeom>
                    <a:noFill/>
                    <a:ln>
                      <a:noFill/>
                    </a:ln>
                  </pic:spPr>
                </pic:pic>
              </a:graphicData>
            </a:graphic>
          </wp:inline>
        </w:drawing>
      </w:r>
    </w:p>
    <w:p w14:paraId="3F87084D" w14:textId="77777777" w:rsidR="00496244" w:rsidRPr="002029AF" w:rsidRDefault="00496244" w:rsidP="00317057">
      <w:pPr>
        <w:pStyle w:val="Heading3"/>
      </w:pPr>
      <w:bookmarkStart w:id="356" w:name="_Toc85121178"/>
      <w:r w:rsidRPr="002029AF">
        <w:t>Luke Donnellan MP</w:t>
      </w:r>
      <w:bookmarkEnd w:id="356"/>
    </w:p>
    <w:p w14:paraId="3A564EBC" w14:textId="77777777" w:rsidR="00496244" w:rsidRPr="002029AF" w:rsidRDefault="00496244" w:rsidP="00317057">
      <w:pPr>
        <w:pStyle w:val="ARbody"/>
        <w:rPr>
          <w:b/>
        </w:rPr>
      </w:pPr>
      <w:r w:rsidRPr="002029AF">
        <w:rPr>
          <w:b/>
        </w:rPr>
        <w:t>Minister for Disability</w:t>
      </w:r>
      <w:r>
        <w:rPr>
          <w:b/>
        </w:rPr>
        <w:t>,</w:t>
      </w:r>
      <w:r w:rsidRPr="002029AF">
        <w:rPr>
          <w:b/>
        </w:rPr>
        <w:t xml:space="preserve"> Ageing and Carers</w:t>
      </w:r>
    </w:p>
    <w:p w14:paraId="1C175731" w14:textId="4D828C21" w:rsidR="00496244" w:rsidRPr="002029AF" w:rsidRDefault="00496244" w:rsidP="00317057">
      <w:pPr>
        <w:pStyle w:val="ARbody"/>
      </w:pPr>
      <w:r w:rsidRPr="002029AF">
        <w:t xml:space="preserve">Luke Donnellan MP was appointed as Minister for Disability, Ageing and Carers </w:t>
      </w:r>
      <w:r w:rsidR="006246D7">
        <w:t>and</w:t>
      </w:r>
      <w:r w:rsidR="003F3242">
        <w:t xml:space="preserve"> </w:t>
      </w:r>
      <w:r w:rsidRPr="002029AF">
        <w:t>Minister for Child Protection</w:t>
      </w:r>
      <w:r w:rsidR="00C37036">
        <w:t xml:space="preserve"> in December 2018</w:t>
      </w:r>
      <w:r>
        <w:t>.</w:t>
      </w:r>
    </w:p>
    <w:p w14:paraId="4678C4EC" w14:textId="77777777" w:rsidR="00496244" w:rsidRDefault="00496244" w:rsidP="00A82DE6">
      <w:pPr>
        <w:pStyle w:val="ARbody"/>
        <w:spacing w:after="0"/>
      </w:pPr>
      <w:r w:rsidRPr="002029AF">
        <w:t>The Minister for Disability, Ageing and Carers is responsible for residential aged care, carers and child and family services – in addition to supporting Victorians with a disability as they transition to the National Disability Insurance Scheme</w:t>
      </w:r>
      <w:r>
        <w:t>.</w:t>
      </w:r>
    </w:p>
    <w:p w14:paraId="22276E93" w14:textId="77777777" w:rsidR="00496244" w:rsidRPr="005B2CDD" w:rsidRDefault="00496244" w:rsidP="00317057">
      <w:pPr>
        <w:pStyle w:val="ARbody"/>
        <w:sectPr w:rsidR="00496244" w:rsidRPr="005B2CDD" w:rsidSect="00317057">
          <w:headerReference w:type="default" r:id="rId65"/>
          <w:footnotePr>
            <w:numFmt w:val="lowerLetter"/>
            <w:numRestart w:val="eachPage"/>
          </w:footnotePr>
          <w:endnotePr>
            <w:numFmt w:val="decimal"/>
          </w:endnotePr>
          <w:type w:val="continuous"/>
          <w:pgSz w:w="11900" w:h="16840" w:code="9"/>
          <w:pgMar w:top="1985" w:right="1134" w:bottom="851" w:left="1134" w:header="510" w:footer="340" w:gutter="0"/>
          <w:cols w:num="2" w:space="454"/>
        </w:sectPr>
      </w:pPr>
    </w:p>
    <w:p w14:paraId="5DC9B2E6" w14:textId="7DCF7B18" w:rsidR="00496244" w:rsidRPr="002029AF" w:rsidRDefault="00496244" w:rsidP="00317057">
      <w:pPr>
        <w:pStyle w:val="Heading2"/>
        <w:spacing w:before="0"/>
      </w:pPr>
      <w:bookmarkStart w:id="357" w:name="_Toc85121179"/>
      <w:bookmarkStart w:id="358" w:name="_Toc85121605"/>
      <w:bookmarkStart w:id="359" w:name="_Toc86075588"/>
      <w:bookmarkStart w:id="360" w:name="_Hlk79145785"/>
      <w:r w:rsidRPr="002029AF">
        <w:lastRenderedPageBreak/>
        <w:t>The department</w:t>
      </w:r>
      <w:r w:rsidR="007D145B">
        <w:t>’</w:t>
      </w:r>
      <w:r w:rsidRPr="002029AF">
        <w:t>s senior executives</w:t>
      </w:r>
      <w:bookmarkEnd w:id="357"/>
      <w:bookmarkEnd w:id="358"/>
      <w:bookmarkEnd w:id="359"/>
    </w:p>
    <w:p w14:paraId="1DE115EC" w14:textId="77777777" w:rsidR="00496244" w:rsidRPr="008368A3" w:rsidRDefault="00496244" w:rsidP="00317057">
      <w:pPr>
        <w:pStyle w:val="ARbody"/>
        <w:spacing w:after="320"/>
        <w:rPr>
          <w:b/>
          <w:bCs/>
          <w:lang w:eastAsia="en-AU"/>
        </w:rPr>
        <w:sectPr w:rsidR="00496244" w:rsidRPr="008368A3" w:rsidSect="00317057">
          <w:footnotePr>
            <w:numFmt w:val="lowerLetter"/>
            <w:numRestart w:val="eachPage"/>
          </w:footnotePr>
          <w:pgSz w:w="11906" w:h="16838" w:code="9"/>
          <w:pgMar w:top="1985" w:right="1134" w:bottom="851" w:left="1134" w:header="510" w:footer="340" w:gutter="0"/>
          <w:cols w:space="397"/>
          <w:docGrid w:linePitch="360"/>
        </w:sectPr>
      </w:pPr>
      <w:r w:rsidRPr="008368A3">
        <w:rPr>
          <w:b/>
          <w:bCs/>
          <w:lang w:eastAsia="en-AU"/>
        </w:rPr>
        <w:t>As at 30 June 2021</w:t>
      </w:r>
    </w:p>
    <w:p w14:paraId="5F12B595" w14:textId="77777777" w:rsidR="00496244" w:rsidRDefault="00496244" w:rsidP="00317057">
      <w:pPr>
        <w:pStyle w:val="Heading3"/>
      </w:pPr>
      <w:bookmarkStart w:id="361" w:name="_Toc85121180"/>
      <w:r w:rsidRPr="0096249C" w:rsidDel="00DC30D8">
        <w:t>Professor</w:t>
      </w:r>
      <w:r w:rsidRPr="0096249C">
        <w:t xml:space="preserve"> </w:t>
      </w:r>
      <w:r w:rsidRPr="0096249C" w:rsidDel="00DC30D8">
        <w:t>Euan</w:t>
      </w:r>
      <w:r w:rsidRPr="0096249C">
        <w:t xml:space="preserve"> </w:t>
      </w:r>
      <w:r w:rsidRPr="0096249C" w:rsidDel="00DC30D8">
        <w:t>M</w:t>
      </w:r>
      <w:r w:rsidRPr="0096249C">
        <w:t xml:space="preserve"> </w:t>
      </w:r>
      <w:r w:rsidRPr="0096249C" w:rsidDel="00DC30D8">
        <w:t>Wallace</w:t>
      </w:r>
      <w:r w:rsidRPr="0096249C">
        <w:t xml:space="preserve"> </w:t>
      </w:r>
      <w:r w:rsidRPr="0096249C" w:rsidDel="00DC30D8">
        <w:t>AM</w:t>
      </w:r>
      <w:r w:rsidRPr="0096249C">
        <w:t xml:space="preserve"> </w:t>
      </w:r>
      <w:r w:rsidRPr="0096249C" w:rsidDel="00DC30D8">
        <w:t>MBChB</w:t>
      </w:r>
      <w:r w:rsidRPr="0096249C">
        <w:t xml:space="preserve"> </w:t>
      </w:r>
      <w:r w:rsidRPr="0096249C" w:rsidDel="00DC30D8">
        <w:t>MD</w:t>
      </w:r>
      <w:r w:rsidRPr="0096249C">
        <w:t xml:space="preserve"> </w:t>
      </w:r>
      <w:r w:rsidRPr="0096249C" w:rsidDel="00DC30D8">
        <w:t>FRCOG</w:t>
      </w:r>
      <w:r w:rsidRPr="0096249C">
        <w:t xml:space="preserve"> </w:t>
      </w:r>
      <w:r w:rsidRPr="0096249C" w:rsidDel="00DC30D8">
        <w:t>FRANZCOG</w:t>
      </w:r>
      <w:r w:rsidRPr="0096249C">
        <w:t xml:space="preserve"> </w:t>
      </w:r>
      <w:r w:rsidRPr="0096249C" w:rsidDel="00DC30D8">
        <w:t>FAHMS</w:t>
      </w:r>
      <w:bookmarkEnd w:id="361"/>
    </w:p>
    <w:p w14:paraId="6BCCED78" w14:textId="77777777" w:rsidR="00496244" w:rsidRPr="002029AF" w:rsidDel="00DC30D8" w:rsidRDefault="00496244" w:rsidP="00897193">
      <w:pPr>
        <w:pStyle w:val="Heading4"/>
        <w:rPr>
          <w:lang w:eastAsia="en-AU"/>
        </w:rPr>
      </w:pPr>
      <w:bookmarkStart w:id="362" w:name="_Toc85121181"/>
      <w:r w:rsidRPr="002029AF" w:rsidDel="00DC30D8">
        <w:rPr>
          <w:lang w:eastAsia="en-AU"/>
        </w:rPr>
        <w:t>Secretary</w:t>
      </w:r>
      <w:bookmarkEnd w:id="362"/>
    </w:p>
    <w:p w14:paraId="2FBEF45A" w14:textId="77777777" w:rsidR="00496244" w:rsidRDefault="00496244" w:rsidP="00897193">
      <w:pPr>
        <w:pStyle w:val="ARbody"/>
      </w:pPr>
      <w:r>
        <w:t>Euan Wallace</w:t>
      </w:r>
      <w:r w:rsidRPr="002029AF">
        <w:t xml:space="preserve"> was appointed </w:t>
      </w:r>
      <w:r w:rsidRPr="002029AF" w:rsidDel="00DC30D8">
        <w:t>as</w:t>
      </w:r>
      <w:r w:rsidRPr="002029AF">
        <w:t xml:space="preserve"> </w:t>
      </w:r>
      <w:r w:rsidRPr="002029AF" w:rsidDel="00DC30D8">
        <w:t>Secretary</w:t>
      </w:r>
      <w:r w:rsidRPr="002029AF">
        <w:t xml:space="preserve"> </w:t>
      </w:r>
      <w:r w:rsidRPr="00BF2CAF">
        <w:t>of the Department of Health</w:t>
      </w:r>
      <w:r w:rsidRPr="00781854">
        <w:t xml:space="preserve"> </w:t>
      </w:r>
      <w:r w:rsidRPr="00FA2501">
        <w:t>and Human Services</w:t>
      </w:r>
      <w:r>
        <w:t xml:space="preserve"> in November 2020, then as </w:t>
      </w:r>
      <w:r w:rsidRPr="002029AF" w:rsidDel="00DC30D8">
        <w:t>Secretary</w:t>
      </w:r>
      <w:r w:rsidRPr="002029AF">
        <w:t xml:space="preserve"> </w:t>
      </w:r>
      <w:r w:rsidRPr="00BF2CAF">
        <w:t>of the Department of Health</w:t>
      </w:r>
      <w:r>
        <w:t xml:space="preserve"> in February 2021, when the machinery of government changes took effect.</w:t>
      </w:r>
    </w:p>
    <w:p w14:paraId="4BB0FFEE" w14:textId="77777777" w:rsidR="00496244" w:rsidRPr="002029AF" w:rsidDel="00DC30D8" w:rsidRDefault="00496244" w:rsidP="00317057">
      <w:pPr>
        <w:pStyle w:val="ARbody"/>
      </w:pPr>
      <w:r w:rsidRPr="002029AF">
        <w:t xml:space="preserve">The Secretary </w:t>
      </w:r>
      <w:r>
        <w:t>leads the department in its mission to achieve the best health, wellbeing and safety of all Victorians so that they can live a life they value</w:t>
      </w:r>
      <w:r w:rsidRPr="002029AF">
        <w:t>.</w:t>
      </w:r>
    </w:p>
    <w:p w14:paraId="60572221" w14:textId="77777777" w:rsidR="00496244" w:rsidRPr="002A0D06" w:rsidRDefault="00496244" w:rsidP="00317057">
      <w:pPr>
        <w:pStyle w:val="Heading3"/>
      </w:pPr>
      <w:bookmarkStart w:id="363" w:name="_Toc85121182"/>
      <w:r w:rsidRPr="002A0D06">
        <w:t>Jodie Geissler</w:t>
      </w:r>
      <w:bookmarkEnd w:id="363"/>
    </w:p>
    <w:p w14:paraId="09C52F92" w14:textId="77777777" w:rsidR="00496244" w:rsidRDefault="00496244" w:rsidP="00317057">
      <w:pPr>
        <w:pStyle w:val="Heading4"/>
        <w:rPr>
          <w:lang w:eastAsia="en-AU"/>
        </w:rPr>
      </w:pPr>
      <w:bookmarkStart w:id="364" w:name="_Toc85121183"/>
      <w:r>
        <w:rPr>
          <w:lang w:eastAsia="en-AU"/>
        </w:rPr>
        <w:t>Deputy Secretary – Commissioning and System Improvement</w:t>
      </w:r>
      <w:bookmarkEnd w:id="364"/>
    </w:p>
    <w:p w14:paraId="6CBEB6DF" w14:textId="7B8C9E38" w:rsidR="00496244" w:rsidRDefault="00496244" w:rsidP="00317057">
      <w:pPr>
        <w:pStyle w:val="ARbody"/>
        <w:rPr>
          <w:lang w:eastAsia="en-AU"/>
        </w:rPr>
      </w:pPr>
      <w:r>
        <w:rPr>
          <w:lang w:eastAsia="en-AU"/>
        </w:rPr>
        <w:t>Jodie Geissler was appointed as Deputy Secretary</w:t>
      </w:r>
      <w:r w:rsidR="00EC65C3">
        <w:rPr>
          <w:lang w:eastAsia="en-AU"/>
        </w:rPr>
        <w:t> </w:t>
      </w:r>
      <w:r>
        <w:rPr>
          <w:lang w:eastAsia="en-AU"/>
        </w:rPr>
        <w:t>– Commissioning and System Improvement in March 2021. Jodie oversees the</w:t>
      </w:r>
      <w:r w:rsidR="00EC65C3">
        <w:rPr>
          <w:lang w:eastAsia="en-AU"/>
        </w:rPr>
        <w:t> </w:t>
      </w:r>
      <w:r w:rsidRPr="00424514">
        <w:rPr>
          <w:lang w:eastAsia="en-AU"/>
        </w:rPr>
        <w:t>strategic commissioning of health and aged care services, focusing on system service design and improvement, in partnership with clinicians, service</w:t>
      </w:r>
      <w:r w:rsidR="00EC65C3">
        <w:rPr>
          <w:lang w:eastAsia="en-AU"/>
        </w:rPr>
        <w:t> </w:t>
      </w:r>
      <w:r w:rsidRPr="00424514">
        <w:rPr>
          <w:lang w:eastAsia="en-AU"/>
        </w:rPr>
        <w:t xml:space="preserve">providers and the community. </w:t>
      </w:r>
      <w:r>
        <w:rPr>
          <w:lang w:eastAsia="en-AU"/>
        </w:rPr>
        <w:t>She is also</w:t>
      </w:r>
      <w:r w:rsidR="00EC65C3">
        <w:rPr>
          <w:lang w:eastAsia="en-AU"/>
        </w:rPr>
        <w:t> </w:t>
      </w:r>
      <w:r>
        <w:rPr>
          <w:lang w:eastAsia="en-AU"/>
        </w:rPr>
        <w:t>responsible for l</w:t>
      </w:r>
      <w:r w:rsidRPr="00424514">
        <w:rPr>
          <w:lang w:eastAsia="en-AU"/>
        </w:rPr>
        <w:t>eading operational policy development and implementation, resource allocation and funding, and driving improvement across the health system.</w:t>
      </w:r>
    </w:p>
    <w:p w14:paraId="6B7A8A1C" w14:textId="77777777" w:rsidR="00496244" w:rsidRDefault="00496244" w:rsidP="00317057">
      <w:pPr>
        <w:pStyle w:val="Heading3"/>
      </w:pPr>
      <w:bookmarkStart w:id="365" w:name="_Toc85121184"/>
      <w:r>
        <w:t>Katherine Whetton</w:t>
      </w:r>
      <w:bookmarkEnd w:id="365"/>
    </w:p>
    <w:p w14:paraId="5711532D" w14:textId="77777777" w:rsidR="00496244" w:rsidRDefault="00496244" w:rsidP="00317057">
      <w:pPr>
        <w:pStyle w:val="Heading4"/>
        <w:rPr>
          <w:lang w:eastAsia="en-AU"/>
        </w:rPr>
      </w:pPr>
      <w:bookmarkStart w:id="366" w:name="_Toc85121185"/>
      <w:r>
        <w:rPr>
          <w:lang w:eastAsia="en-AU"/>
        </w:rPr>
        <w:t>Deputy Secretary – Mental Health</w:t>
      </w:r>
      <w:bookmarkEnd w:id="366"/>
    </w:p>
    <w:p w14:paraId="4EB0BAB1" w14:textId="238922F2" w:rsidR="00496244" w:rsidRDefault="00496244" w:rsidP="00317057">
      <w:pPr>
        <w:pStyle w:val="ARbody"/>
        <w:rPr>
          <w:lang w:eastAsia="en-AU"/>
        </w:rPr>
      </w:pPr>
      <w:r>
        <w:rPr>
          <w:lang w:eastAsia="en-AU"/>
        </w:rPr>
        <w:t xml:space="preserve">Katherine Whetton was appointed as Deputy Secretary – Mental Health in </w:t>
      </w:r>
      <w:r w:rsidRPr="00B458CA">
        <w:rPr>
          <w:lang w:eastAsia="en-AU"/>
        </w:rPr>
        <w:t>January 2021</w:t>
      </w:r>
      <w:r w:rsidRPr="004F4DD2">
        <w:rPr>
          <w:lang w:eastAsia="en-AU"/>
        </w:rPr>
        <w:t>.</w:t>
      </w:r>
      <w:r>
        <w:rPr>
          <w:lang w:eastAsia="en-AU"/>
        </w:rPr>
        <w:t xml:space="preserve"> Katherine leads the division responsible for delivery</w:t>
      </w:r>
      <w:r w:rsidR="00EC65C3">
        <w:rPr>
          <w:lang w:eastAsia="en-AU"/>
        </w:rPr>
        <w:t> </w:t>
      </w:r>
      <w:r>
        <w:rPr>
          <w:lang w:eastAsia="en-AU"/>
        </w:rPr>
        <w:t xml:space="preserve">of </w:t>
      </w:r>
      <w:r w:rsidRPr="007D1080">
        <w:rPr>
          <w:lang w:eastAsia="en-AU"/>
        </w:rPr>
        <w:t>Victoria</w:t>
      </w:r>
      <w:r w:rsidR="007D145B">
        <w:rPr>
          <w:lang w:eastAsia="en-AU"/>
        </w:rPr>
        <w:t>’</w:t>
      </w:r>
      <w:r w:rsidRPr="007D1080">
        <w:rPr>
          <w:lang w:eastAsia="en-AU"/>
        </w:rPr>
        <w:t xml:space="preserve">s mental health reforms, </w:t>
      </w:r>
      <w:r w:rsidRPr="00B73B13">
        <w:rPr>
          <w:lang w:eastAsia="en-AU"/>
        </w:rPr>
        <w:t xml:space="preserve">and </w:t>
      </w:r>
      <w:r>
        <w:rPr>
          <w:lang w:eastAsia="en-AU"/>
        </w:rPr>
        <w:t>the</w:t>
      </w:r>
      <w:r w:rsidR="00EC65C3">
        <w:rPr>
          <w:lang w:eastAsia="en-AU"/>
        </w:rPr>
        <w:t> </w:t>
      </w:r>
      <w:r w:rsidRPr="00B73B13">
        <w:rPr>
          <w:lang w:eastAsia="en-AU"/>
        </w:rPr>
        <w:t>continued stewardship</w:t>
      </w:r>
      <w:r w:rsidRPr="007D1080">
        <w:rPr>
          <w:lang w:eastAsia="en-AU"/>
        </w:rPr>
        <w:t xml:space="preserve"> of the mental health and</w:t>
      </w:r>
      <w:r w:rsidR="00EC65C3">
        <w:rPr>
          <w:lang w:eastAsia="en-AU"/>
        </w:rPr>
        <w:t> </w:t>
      </w:r>
      <w:r>
        <w:rPr>
          <w:lang w:eastAsia="en-AU"/>
        </w:rPr>
        <w:t>alcohol and other drugs</w:t>
      </w:r>
      <w:r w:rsidRPr="007D1080">
        <w:rPr>
          <w:lang w:eastAsia="en-AU"/>
        </w:rPr>
        <w:t xml:space="preserve"> services sectors.</w:t>
      </w:r>
    </w:p>
    <w:p w14:paraId="6CF6EDDE" w14:textId="77777777" w:rsidR="00496244" w:rsidRDefault="00496244" w:rsidP="004330D7">
      <w:pPr>
        <w:pStyle w:val="Heading3"/>
        <w:spacing w:before="0"/>
      </w:pPr>
      <w:r>
        <w:br w:type="column"/>
      </w:r>
      <w:bookmarkStart w:id="367" w:name="_Toc85121186"/>
      <w:r>
        <w:t>Dr Zoe Wainer</w:t>
      </w:r>
      <w:bookmarkEnd w:id="367"/>
    </w:p>
    <w:p w14:paraId="5810481F" w14:textId="77777777" w:rsidR="00496244" w:rsidRDefault="00496244" w:rsidP="00317057">
      <w:pPr>
        <w:pStyle w:val="Heading4"/>
        <w:rPr>
          <w:lang w:eastAsia="en-AU"/>
        </w:rPr>
      </w:pPr>
      <w:bookmarkStart w:id="368" w:name="_Toc85121187"/>
      <w:r>
        <w:rPr>
          <w:lang w:eastAsia="en-AU"/>
        </w:rPr>
        <w:t>Deputy Secretary – Public Health</w:t>
      </w:r>
      <w:bookmarkEnd w:id="368"/>
    </w:p>
    <w:p w14:paraId="03ABAB73" w14:textId="77777777" w:rsidR="00496244" w:rsidRPr="00B27FBF" w:rsidRDefault="00496244" w:rsidP="00317057">
      <w:pPr>
        <w:pStyle w:val="ARbody"/>
        <w:rPr>
          <w:lang w:eastAsia="en-AU"/>
        </w:rPr>
      </w:pPr>
      <w:r w:rsidRPr="00E0125C">
        <w:rPr>
          <w:lang w:eastAsia="en-AU"/>
        </w:rPr>
        <w:t xml:space="preserve">Zoe Wainer commenced as Deputy Secretary – Public Health in June 2021. </w:t>
      </w:r>
      <w:r>
        <w:rPr>
          <w:lang w:eastAsia="en-AU"/>
        </w:rPr>
        <w:t>Zoe leads the division</w:t>
      </w:r>
      <w:r w:rsidRPr="00E0125C">
        <w:rPr>
          <w:lang w:eastAsia="en-AU"/>
        </w:rPr>
        <w:t xml:space="preserve"> responsible for advancing</w:t>
      </w:r>
      <w:r w:rsidRPr="003A5131">
        <w:rPr>
          <w:lang w:eastAsia="en-AU"/>
        </w:rPr>
        <w:t xml:space="preserve"> public health, improving population health and wellbeing outcomes, and leading the response to health threats and broader emergencies. </w:t>
      </w:r>
    </w:p>
    <w:p w14:paraId="6BDD1A9D" w14:textId="77777777" w:rsidR="00496244" w:rsidRDefault="00496244" w:rsidP="00317057">
      <w:pPr>
        <w:pStyle w:val="Heading3"/>
      </w:pPr>
      <w:bookmarkStart w:id="369" w:name="_Toc85121188"/>
      <w:r>
        <w:t>Jeroen Weimar</w:t>
      </w:r>
      <w:bookmarkEnd w:id="369"/>
    </w:p>
    <w:p w14:paraId="1C52EFF3" w14:textId="77777777" w:rsidR="00496244" w:rsidRDefault="00496244" w:rsidP="00317057">
      <w:pPr>
        <w:pStyle w:val="Heading4"/>
        <w:rPr>
          <w:lang w:eastAsia="en-AU"/>
        </w:rPr>
      </w:pPr>
      <w:bookmarkStart w:id="370" w:name="_Toc85121189"/>
      <w:r w:rsidRPr="00B458CA">
        <w:rPr>
          <w:lang w:eastAsia="en-AU"/>
        </w:rPr>
        <w:t>Commander</w:t>
      </w:r>
      <w:r>
        <w:rPr>
          <w:lang w:eastAsia="en-AU"/>
        </w:rPr>
        <w:t xml:space="preserve"> – COVID-19 Response</w:t>
      </w:r>
      <w:bookmarkEnd w:id="370"/>
    </w:p>
    <w:p w14:paraId="34CBFAF2" w14:textId="1D7263F8" w:rsidR="00496244" w:rsidRPr="0096249C" w:rsidRDefault="00496244" w:rsidP="00317057">
      <w:pPr>
        <w:pStyle w:val="ARbody"/>
        <w:rPr>
          <w:lang w:eastAsia="en-AU"/>
        </w:rPr>
      </w:pPr>
      <w:r>
        <w:rPr>
          <w:lang w:eastAsia="en-AU"/>
        </w:rPr>
        <w:t xml:space="preserve">Jeroen Weimer was appointed as </w:t>
      </w:r>
      <w:r w:rsidRPr="00B458CA">
        <w:rPr>
          <w:lang w:eastAsia="en-AU"/>
        </w:rPr>
        <w:t>Commander</w:t>
      </w:r>
      <w:r>
        <w:rPr>
          <w:lang w:eastAsia="en-AU"/>
        </w:rPr>
        <w:t xml:space="preserve"> – COVID-19 Response in </w:t>
      </w:r>
      <w:r w:rsidRPr="00B458CA">
        <w:rPr>
          <w:lang w:eastAsia="en-AU"/>
        </w:rPr>
        <w:t>July 2020.</w:t>
      </w:r>
      <w:r>
        <w:rPr>
          <w:lang w:eastAsia="en-AU"/>
        </w:rPr>
        <w:t xml:space="preserve"> Jeroen leads the</w:t>
      </w:r>
      <w:r w:rsidR="00EC65C3">
        <w:rPr>
          <w:lang w:eastAsia="en-AU"/>
        </w:rPr>
        <w:t> </w:t>
      </w:r>
      <w:r>
        <w:rPr>
          <w:lang w:eastAsia="en-AU"/>
        </w:rPr>
        <w:t>division responsible for meeting</w:t>
      </w:r>
      <w:r w:rsidRPr="003B4626">
        <w:rPr>
          <w:lang w:eastAsia="en-AU"/>
        </w:rPr>
        <w:t xml:space="preserve"> the continued </w:t>
      </w:r>
      <w:r>
        <w:rPr>
          <w:lang w:eastAsia="en-AU"/>
        </w:rPr>
        <w:t xml:space="preserve">health </w:t>
      </w:r>
      <w:r w:rsidRPr="003B4626">
        <w:rPr>
          <w:lang w:eastAsia="en-AU"/>
        </w:rPr>
        <w:t xml:space="preserve">challenges </w:t>
      </w:r>
      <w:r>
        <w:rPr>
          <w:lang w:eastAsia="en-AU"/>
        </w:rPr>
        <w:t>caused</w:t>
      </w:r>
      <w:r w:rsidRPr="003B4626">
        <w:rPr>
          <w:lang w:eastAsia="en-AU"/>
        </w:rPr>
        <w:t xml:space="preserve"> by </w:t>
      </w:r>
      <w:r>
        <w:rPr>
          <w:lang w:eastAsia="en-AU"/>
        </w:rPr>
        <w:t>the</w:t>
      </w:r>
      <w:r w:rsidRPr="003B4626">
        <w:rPr>
          <w:lang w:eastAsia="en-AU"/>
        </w:rPr>
        <w:t xml:space="preserve"> pandemic</w:t>
      </w:r>
      <w:r>
        <w:rPr>
          <w:lang w:eastAsia="en-AU"/>
        </w:rPr>
        <w:t>. The division brings together multiple streams of work, including policy, engagement, operations, outbreak management and system improvement dedicated to fighting COVID-19</w:t>
      </w:r>
      <w:r w:rsidRPr="003B4626">
        <w:rPr>
          <w:lang w:eastAsia="en-AU"/>
        </w:rPr>
        <w:t>.</w:t>
      </w:r>
    </w:p>
    <w:p w14:paraId="1066DC33" w14:textId="77777777" w:rsidR="00496244" w:rsidRPr="002029AF" w:rsidRDefault="00496244" w:rsidP="00317057">
      <w:pPr>
        <w:pStyle w:val="Heading3"/>
      </w:pPr>
      <w:bookmarkStart w:id="371" w:name="_Toc85121190"/>
      <w:r w:rsidRPr="002029AF">
        <w:t>Chris Hotham</w:t>
      </w:r>
      <w:bookmarkEnd w:id="371"/>
    </w:p>
    <w:p w14:paraId="551A528A" w14:textId="77777777" w:rsidR="00496244" w:rsidRPr="002029AF" w:rsidRDefault="00496244" w:rsidP="00317057">
      <w:pPr>
        <w:pStyle w:val="Heading4"/>
      </w:pPr>
      <w:bookmarkStart w:id="372" w:name="_Toc85121191"/>
      <w:r w:rsidRPr="002029AF">
        <w:t xml:space="preserve">Deputy Secretary – </w:t>
      </w:r>
      <w:r>
        <w:t xml:space="preserve">Health </w:t>
      </w:r>
      <w:r w:rsidRPr="002029AF">
        <w:t>Infrastructure</w:t>
      </w:r>
      <w:bookmarkEnd w:id="372"/>
    </w:p>
    <w:p w14:paraId="6DDD52F2" w14:textId="46E47201" w:rsidR="00496244" w:rsidRDefault="00496244" w:rsidP="00317057">
      <w:pPr>
        <w:pStyle w:val="ARbody"/>
      </w:pPr>
      <w:r w:rsidRPr="002029AF">
        <w:t xml:space="preserve">Chris Hotham was appointed as Deputy Secretary – </w:t>
      </w:r>
      <w:r>
        <w:t xml:space="preserve">Health </w:t>
      </w:r>
      <w:r w:rsidRPr="00F77943">
        <w:t>Infrastructure in December 2019. Chris</w:t>
      </w:r>
      <w:r w:rsidRPr="002029AF">
        <w:t xml:space="preserve"> leads the department</w:t>
      </w:r>
      <w:r w:rsidR="007D145B">
        <w:t>’</w:t>
      </w:r>
      <w:r w:rsidRPr="002029AF">
        <w:t xml:space="preserve">s infrastructure </w:t>
      </w:r>
      <w:r>
        <w:t>division, covering policy, partnerships and the</w:t>
      </w:r>
      <w:r w:rsidRPr="002029AF">
        <w:t xml:space="preserve"> Victorian Health Building Authority (VHBA), which </w:t>
      </w:r>
      <w:r>
        <w:t xml:space="preserve">is responsible for </w:t>
      </w:r>
      <w:r w:rsidRPr="007171AF">
        <w:t xml:space="preserve">planning and building </w:t>
      </w:r>
      <w:r>
        <w:t>health infrastructure such as hospitals</w:t>
      </w:r>
      <w:r w:rsidRPr="007171AF">
        <w:t>.</w:t>
      </w:r>
    </w:p>
    <w:p w14:paraId="5EC3ED72" w14:textId="77777777" w:rsidR="00496244" w:rsidRPr="00FF42A1" w:rsidRDefault="00496244" w:rsidP="00317057">
      <w:pPr>
        <w:pStyle w:val="ARbody"/>
      </w:pPr>
      <w:r w:rsidRPr="00FF42A1">
        <w:br w:type="page"/>
      </w:r>
    </w:p>
    <w:p w14:paraId="1D791F09" w14:textId="77777777" w:rsidR="00496244" w:rsidRDefault="00496244" w:rsidP="00317057">
      <w:pPr>
        <w:pStyle w:val="Heading3"/>
      </w:pPr>
      <w:bookmarkStart w:id="373" w:name="_Toc85121192"/>
      <w:r>
        <w:lastRenderedPageBreak/>
        <w:t>Peter Breadon</w:t>
      </w:r>
      <w:bookmarkEnd w:id="373"/>
    </w:p>
    <w:p w14:paraId="4AA84FF8" w14:textId="51B299AF" w:rsidR="00496244" w:rsidRDefault="00496244" w:rsidP="00317057">
      <w:pPr>
        <w:pStyle w:val="Heading4"/>
        <w:rPr>
          <w:lang w:eastAsia="en-AU"/>
        </w:rPr>
      </w:pPr>
      <w:bookmarkStart w:id="374" w:name="_Toc85121193"/>
      <w:r>
        <w:rPr>
          <w:lang w:eastAsia="en-AU"/>
        </w:rPr>
        <w:t>Deputy Secretary – Reform and</w:t>
      </w:r>
      <w:r w:rsidR="00EC65C3">
        <w:rPr>
          <w:lang w:eastAsia="en-AU"/>
        </w:rPr>
        <w:t> </w:t>
      </w:r>
      <w:r>
        <w:rPr>
          <w:lang w:eastAsia="en-AU"/>
        </w:rPr>
        <w:t>Planning</w:t>
      </w:r>
      <w:bookmarkEnd w:id="374"/>
    </w:p>
    <w:p w14:paraId="3610C3AC" w14:textId="77777777" w:rsidR="00496244" w:rsidRPr="00B97BAF" w:rsidRDefault="00496244" w:rsidP="00317057">
      <w:pPr>
        <w:pStyle w:val="ARbody"/>
        <w:rPr>
          <w:lang w:eastAsia="en-AU"/>
        </w:rPr>
      </w:pPr>
      <w:r>
        <w:rPr>
          <w:lang w:eastAsia="en-AU"/>
        </w:rPr>
        <w:t xml:space="preserve">Peter Breadon was appointed as Deputy Secretary – Reform and Planning in </w:t>
      </w:r>
      <w:r w:rsidRPr="00B458CA">
        <w:rPr>
          <w:lang w:eastAsia="en-AU"/>
        </w:rPr>
        <w:t>February 2021.</w:t>
      </w:r>
      <w:r>
        <w:rPr>
          <w:lang w:eastAsia="en-AU"/>
        </w:rPr>
        <w:t xml:space="preserve"> Peter is responsible for driving</w:t>
      </w:r>
      <w:r w:rsidRPr="002D5BFF">
        <w:rPr>
          <w:lang w:eastAsia="en-AU"/>
        </w:rPr>
        <w:t xml:space="preserve"> reform and improvement within the health system</w:t>
      </w:r>
      <w:r>
        <w:rPr>
          <w:lang w:eastAsia="en-AU"/>
        </w:rPr>
        <w:t>, including design changes to</w:t>
      </w:r>
      <w:r w:rsidRPr="002D5BFF">
        <w:rPr>
          <w:lang w:eastAsia="en-AU"/>
        </w:rPr>
        <w:t xml:space="preserve"> improve equity of healthcare in Victoria and </w:t>
      </w:r>
      <w:r>
        <w:rPr>
          <w:lang w:eastAsia="en-AU"/>
        </w:rPr>
        <w:t>improved</w:t>
      </w:r>
      <w:r w:rsidRPr="00595EB7">
        <w:rPr>
          <w:lang w:eastAsia="en-AU"/>
        </w:rPr>
        <w:t xml:space="preserve"> </w:t>
      </w:r>
      <w:r w:rsidRPr="00174E09">
        <w:rPr>
          <w:lang w:eastAsia="en-AU"/>
        </w:rPr>
        <w:t>responses to the needs of patients and stakeholders.</w:t>
      </w:r>
    </w:p>
    <w:p w14:paraId="3C2F6A83" w14:textId="77777777" w:rsidR="00496244" w:rsidRPr="002029AF" w:rsidDel="00DC30D8" w:rsidRDefault="00496244" w:rsidP="00317057">
      <w:pPr>
        <w:pStyle w:val="Heading3"/>
      </w:pPr>
      <w:bookmarkStart w:id="375" w:name="_Toc85121194"/>
      <w:r w:rsidRPr="002029AF" w:rsidDel="00DC30D8">
        <w:t>Greg</w:t>
      </w:r>
      <w:r w:rsidRPr="002029AF">
        <w:t xml:space="preserve"> </w:t>
      </w:r>
      <w:r w:rsidRPr="002029AF" w:rsidDel="00DC30D8">
        <w:t>Stenton</w:t>
      </w:r>
      <w:bookmarkEnd w:id="375"/>
    </w:p>
    <w:p w14:paraId="0215F2F1" w14:textId="77777777" w:rsidR="00496244" w:rsidRPr="002029AF" w:rsidDel="00DC30D8" w:rsidRDefault="00496244" w:rsidP="00116893">
      <w:pPr>
        <w:pStyle w:val="Heading4"/>
        <w:rPr>
          <w:lang w:eastAsia="en-AU"/>
        </w:rPr>
      </w:pPr>
      <w:bookmarkStart w:id="376" w:name="_Toc85121195"/>
      <w:r w:rsidRPr="002029AF" w:rsidDel="00DC30D8">
        <w:rPr>
          <w:lang w:eastAsia="en-AU"/>
        </w:rPr>
        <w:t>Deputy</w:t>
      </w:r>
      <w:r w:rsidRPr="002029AF">
        <w:rPr>
          <w:lang w:eastAsia="en-AU"/>
        </w:rPr>
        <w:t xml:space="preserve"> </w:t>
      </w:r>
      <w:r w:rsidRPr="002029AF" w:rsidDel="00DC30D8">
        <w:t>Secretary</w:t>
      </w:r>
      <w:r w:rsidRPr="002029AF">
        <w:rPr>
          <w:lang w:eastAsia="en-AU"/>
        </w:rPr>
        <w:t xml:space="preserve"> </w:t>
      </w:r>
      <w:r w:rsidRPr="002029AF" w:rsidDel="00DC30D8">
        <w:rPr>
          <w:lang w:eastAsia="en-AU"/>
        </w:rPr>
        <w:t>–</w:t>
      </w:r>
      <w:r>
        <w:rPr>
          <w:lang w:eastAsia="en-AU"/>
        </w:rPr>
        <w:t xml:space="preserve"> </w:t>
      </w:r>
      <w:r w:rsidRPr="002029AF" w:rsidDel="00DC30D8">
        <w:rPr>
          <w:lang w:eastAsia="en-AU"/>
        </w:rPr>
        <w:t>Corporate</w:t>
      </w:r>
      <w:r w:rsidRPr="002029AF">
        <w:rPr>
          <w:lang w:eastAsia="en-AU"/>
        </w:rPr>
        <w:t xml:space="preserve"> </w:t>
      </w:r>
      <w:r w:rsidRPr="002029AF" w:rsidDel="00DC30D8">
        <w:rPr>
          <w:lang w:eastAsia="en-AU"/>
        </w:rPr>
        <w:t>Services</w:t>
      </w:r>
      <w:bookmarkEnd w:id="376"/>
    </w:p>
    <w:p w14:paraId="1F15C8BE" w14:textId="6EF33DC9" w:rsidR="00496244" w:rsidRDefault="00496244" w:rsidP="00116893">
      <w:pPr>
        <w:pStyle w:val="ARbody"/>
      </w:pPr>
      <w:r w:rsidRPr="002029AF">
        <w:t xml:space="preserve">Greg Stenton was appointed as Deputy Secretary –Corporate Services in </w:t>
      </w:r>
      <w:r w:rsidRPr="00B458CA">
        <w:t>January 2019.</w:t>
      </w:r>
      <w:r w:rsidRPr="002029AF">
        <w:t xml:space="preserve"> Greg oversees the provision of </w:t>
      </w:r>
      <w:r w:rsidRPr="002029AF" w:rsidDel="00DC30D8">
        <w:t>a</w:t>
      </w:r>
      <w:r w:rsidRPr="002029AF">
        <w:t xml:space="preserve"> </w:t>
      </w:r>
      <w:r w:rsidRPr="002029AF" w:rsidDel="00DC30D8">
        <w:t>range</w:t>
      </w:r>
      <w:r w:rsidRPr="002029AF">
        <w:t xml:space="preserve"> </w:t>
      </w:r>
      <w:r w:rsidRPr="002029AF" w:rsidDel="00DC30D8">
        <w:t>of</w:t>
      </w:r>
      <w:r w:rsidRPr="002029AF">
        <w:t xml:space="preserve"> </w:t>
      </w:r>
      <w:r w:rsidRPr="002029AF" w:rsidDel="00DC30D8">
        <w:t>functions</w:t>
      </w:r>
      <w:r>
        <w:t>,</w:t>
      </w:r>
      <w:r w:rsidRPr="002029AF">
        <w:t xml:space="preserve"> </w:t>
      </w:r>
      <w:r w:rsidRPr="002029AF" w:rsidDel="00DC30D8">
        <w:t>including</w:t>
      </w:r>
      <w:r w:rsidRPr="002029AF">
        <w:t xml:space="preserve"> </w:t>
      </w:r>
      <w:r>
        <w:t xml:space="preserve">budget and </w:t>
      </w:r>
      <w:r w:rsidRPr="002029AF" w:rsidDel="00DC30D8">
        <w:t>finance,</w:t>
      </w:r>
      <w:r w:rsidRPr="002029AF">
        <w:t xml:space="preserve"> </w:t>
      </w:r>
      <w:r>
        <w:t xml:space="preserve">performance and reporting, </w:t>
      </w:r>
      <w:r w:rsidRPr="002029AF" w:rsidDel="00DC30D8">
        <w:t>people</w:t>
      </w:r>
      <w:r w:rsidRPr="002029AF">
        <w:t xml:space="preserve"> </w:t>
      </w:r>
      <w:r w:rsidRPr="002029AF" w:rsidDel="00DC30D8">
        <w:t>and</w:t>
      </w:r>
      <w:r w:rsidRPr="002029AF">
        <w:t xml:space="preserve"> </w:t>
      </w:r>
      <w:r w:rsidRPr="002029AF" w:rsidDel="00DC30D8">
        <w:t>culture,</w:t>
      </w:r>
      <w:r w:rsidRPr="002029AF">
        <w:t xml:space="preserve"> </w:t>
      </w:r>
      <w:r w:rsidRPr="002029AF" w:rsidDel="00DC30D8">
        <w:t>information</w:t>
      </w:r>
      <w:r w:rsidRPr="002029AF">
        <w:t xml:space="preserve"> </w:t>
      </w:r>
      <w:r w:rsidRPr="002029AF" w:rsidDel="00DC30D8">
        <w:t>technology,</w:t>
      </w:r>
      <w:r w:rsidRPr="002029AF">
        <w:t xml:space="preserve"> </w:t>
      </w:r>
      <w:r w:rsidRPr="002029AF" w:rsidDel="00DC30D8">
        <w:t>procurement,</w:t>
      </w:r>
      <w:r w:rsidRPr="002029AF">
        <w:t xml:space="preserve"> </w:t>
      </w:r>
      <w:r w:rsidRPr="002029AF" w:rsidDel="00DC30D8">
        <w:t>records</w:t>
      </w:r>
      <w:r w:rsidRPr="002029AF">
        <w:t xml:space="preserve"> </w:t>
      </w:r>
      <w:r w:rsidRPr="002029AF" w:rsidDel="00DC30D8">
        <w:t>management</w:t>
      </w:r>
      <w:r>
        <w:t xml:space="preserve"> and</w:t>
      </w:r>
      <w:r w:rsidR="00EC65C3">
        <w:t> </w:t>
      </w:r>
      <w:r w:rsidRPr="002029AF" w:rsidDel="00DC30D8">
        <w:t>customer</w:t>
      </w:r>
      <w:r w:rsidRPr="002029AF">
        <w:t xml:space="preserve"> </w:t>
      </w:r>
      <w:r w:rsidRPr="002029AF" w:rsidDel="00DC30D8">
        <w:t>support.</w:t>
      </w:r>
    </w:p>
    <w:p w14:paraId="21C2D58D" w14:textId="77777777" w:rsidR="00496244" w:rsidRPr="002029AF" w:rsidDel="00DC30D8" w:rsidRDefault="00496244" w:rsidP="00317057">
      <w:pPr>
        <w:pStyle w:val="Heading3"/>
      </w:pPr>
      <w:bookmarkStart w:id="377" w:name="_Toc85121196"/>
      <w:r w:rsidRPr="002029AF" w:rsidDel="00DC30D8">
        <w:t>Jacinda</w:t>
      </w:r>
      <w:r w:rsidRPr="002029AF">
        <w:t xml:space="preserve"> </w:t>
      </w:r>
      <w:r w:rsidRPr="002029AF" w:rsidDel="00DC30D8">
        <w:t>de</w:t>
      </w:r>
      <w:r w:rsidRPr="002029AF">
        <w:t xml:space="preserve"> </w:t>
      </w:r>
      <w:r w:rsidRPr="002029AF" w:rsidDel="00DC30D8">
        <w:t>Witts</w:t>
      </w:r>
      <w:bookmarkEnd w:id="377"/>
    </w:p>
    <w:p w14:paraId="4A87595D" w14:textId="77777777" w:rsidR="00496244" w:rsidRPr="002029AF" w:rsidDel="00DC30D8" w:rsidRDefault="00496244" w:rsidP="00317057">
      <w:pPr>
        <w:pStyle w:val="Heading4"/>
        <w:rPr>
          <w:lang w:eastAsia="en-AU"/>
        </w:rPr>
      </w:pPr>
      <w:bookmarkStart w:id="378" w:name="_Toc85121197"/>
      <w:r w:rsidRPr="002029AF" w:rsidDel="00DC30D8">
        <w:rPr>
          <w:lang w:eastAsia="en-AU"/>
        </w:rPr>
        <w:t>Deputy</w:t>
      </w:r>
      <w:r w:rsidRPr="002029AF">
        <w:rPr>
          <w:lang w:eastAsia="en-AU"/>
        </w:rPr>
        <w:t xml:space="preserve"> </w:t>
      </w:r>
      <w:r w:rsidRPr="002029AF" w:rsidDel="00DC30D8">
        <w:rPr>
          <w:lang w:eastAsia="en-AU"/>
        </w:rPr>
        <w:t>Secretary</w:t>
      </w:r>
      <w:r w:rsidRPr="002029AF">
        <w:rPr>
          <w:lang w:eastAsia="en-AU"/>
        </w:rPr>
        <w:t xml:space="preserve"> </w:t>
      </w:r>
      <w:r w:rsidRPr="002029AF" w:rsidDel="00DC30D8">
        <w:rPr>
          <w:lang w:eastAsia="en-AU"/>
        </w:rPr>
        <w:t>–</w:t>
      </w:r>
      <w:r w:rsidRPr="002029AF">
        <w:rPr>
          <w:lang w:eastAsia="en-AU"/>
        </w:rPr>
        <w:t xml:space="preserve"> </w:t>
      </w:r>
      <w:r>
        <w:rPr>
          <w:lang w:eastAsia="en-AU"/>
        </w:rPr>
        <w:t>Regulatory, Risk, Integrity and Legal</w:t>
      </w:r>
      <w:bookmarkEnd w:id="378"/>
    </w:p>
    <w:p w14:paraId="457C2824" w14:textId="3BF642D5" w:rsidR="00496244" w:rsidRDefault="00496244" w:rsidP="00317057">
      <w:pPr>
        <w:pStyle w:val="ARbody"/>
      </w:pPr>
      <w:r w:rsidRPr="0096249C" w:rsidDel="00DC30D8">
        <w:t>Jacinda</w:t>
      </w:r>
      <w:r w:rsidRPr="0096249C">
        <w:t xml:space="preserve"> </w:t>
      </w:r>
      <w:r w:rsidRPr="0096249C" w:rsidDel="00DC30D8">
        <w:t>de</w:t>
      </w:r>
      <w:r w:rsidRPr="0096249C">
        <w:t xml:space="preserve"> </w:t>
      </w:r>
      <w:r w:rsidRPr="0096249C" w:rsidDel="00DC30D8">
        <w:t>Witts</w:t>
      </w:r>
      <w:r w:rsidRPr="0096249C">
        <w:t xml:space="preserve"> was appointed as Deputy Secretary – Regulatory, Risk, Integrity and Legal in </w:t>
      </w:r>
      <w:r w:rsidRPr="00B458CA">
        <w:t>January 2019.</w:t>
      </w:r>
      <w:r w:rsidRPr="0096249C">
        <w:t xml:space="preserve"> </w:t>
      </w:r>
      <w:r>
        <w:t>Jacinda oversees the department</w:t>
      </w:r>
      <w:r w:rsidR="007D145B">
        <w:t>’</w:t>
      </w:r>
      <w:r>
        <w:t>s</w:t>
      </w:r>
      <w:r w:rsidRPr="0096249C">
        <w:t xml:space="preserve"> health regulatory </w:t>
      </w:r>
      <w:r>
        <w:t xml:space="preserve">reform and </w:t>
      </w:r>
      <w:r w:rsidRPr="0096249C">
        <w:t>compliance</w:t>
      </w:r>
      <w:r>
        <w:t xml:space="preserve"> work</w:t>
      </w:r>
      <w:r w:rsidRPr="0096249C">
        <w:t>, safeguard</w:t>
      </w:r>
      <w:r>
        <w:t>s</w:t>
      </w:r>
      <w:r w:rsidRPr="0096249C">
        <w:t xml:space="preserve"> organisational integrity and </w:t>
      </w:r>
      <w:r>
        <w:t>provides risk and legal advisory services to the department.</w:t>
      </w:r>
    </w:p>
    <w:p w14:paraId="471CC15F" w14:textId="3DFB97ED" w:rsidR="00496244" w:rsidRPr="008D1D5F" w:rsidRDefault="00496244" w:rsidP="00317057">
      <w:pPr>
        <w:pStyle w:val="ARbody"/>
      </w:pPr>
      <w:r w:rsidRPr="0096249C">
        <w:t>Jacinda is also the department</w:t>
      </w:r>
      <w:r w:rsidR="007D145B">
        <w:t>’</w:t>
      </w:r>
      <w:r w:rsidRPr="0096249C">
        <w:t>s General Counsel.</w:t>
      </w:r>
    </w:p>
    <w:p w14:paraId="3533409D" w14:textId="77777777" w:rsidR="00496244" w:rsidRDefault="00496244" w:rsidP="00317057">
      <w:pPr>
        <w:pStyle w:val="Heading3"/>
      </w:pPr>
      <w:bookmarkStart w:id="379" w:name="_Toc85121198"/>
      <w:r>
        <w:t>Nicole McCartney</w:t>
      </w:r>
      <w:bookmarkEnd w:id="379"/>
    </w:p>
    <w:p w14:paraId="0A429E7B" w14:textId="77777777" w:rsidR="00496244" w:rsidRDefault="00496244" w:rsidP="00317057">
      <w:pPr>
        <w:pStyle w:val="Heading4"/>
        <w:rPr>
          <w:lang w:eastAsia="en-AU"/>
        </w:rPr>
      </w:pPr>
      <w:bookmarkStart w:id="380" w:name="_Toc85121199"/>
      <w:r>
        <w:rPr>
          <w:lang w:eastAsia="en-AU"/>
        </w:rPr>
        <w:t>Chief Aboriginal Health Adviser</w:t>
      </w:r>
      <w:bookmarkEnd w:id="380"/>
    </w:p>
    <w:p w14:paraId="38C68730" w14:textId="77777777" w:rsidR="00496244" w:rsidRDefault="00496244" w:rsidP="00317057">
      <w:pPr>
        <w:pStyle w:val="ARbody"/>
      </w:pPr>
      <w:r>
        <w:t xml:space="preserve">Nicole McCartney was appointed the inaugural Chief Aboriginal Health Adviser in </w:t>
      </w:r>
      <w:r w:rsidRPr="00B458CA">
        <w:t>August 2019.</w:t>
      </w:r>
      <w:r>
        <w:t xml:space="preserve"> Nicole also leads the new Aboriginal Health Division and is</w:t>
      </w:r>
      <w:r w:rsidRPr="00535B59">
        <w:t xml:space="preserve"> </w:t>
      </w:r>
      <w:r>
        <w:t>focused on embedding self-determination and cultural safety in the Victorian health system.</w:t>
      </w:r>
    </w:p>
    <w:p w14:paraId="333D0040" w14:textId="77777777" w:rsidR="00496244" w:rsidRDefault="00496244" w:rsidP="00317057">
      <w:pPr>
        <w:pStyle w:val="Heading3"/>
      </w:pPr>
      <w:r>
        <w:br w:type="column"/>
      </w:r>
      <w:bookmarkStart w:id="381" w:name="_Toc85121200"/>
      <w:r w:rsidRPr="00E9031B">
        <w:t>Pamela Anders</w:t>
      </w:r>
      <w:bookmarkEnd w:id="381"/>
    </w:p>
    <w:p w14:paraId="463F597D" w14:textId="77777777" w:rsidR="00496244" w:rsidRDefault="00496244" w:rsidP="00317057">
      <w:pPr>
        <w:pStyle w:val="Heading4"/>
      </w:pPr>
      <w:bookmarkStart w:id="382" w:name="_Toc85121201"/>
      <w:r>
        <w:t>Chief Executive Officer – Mental Health Reform Victoria</w:t>
      </w:r>
      <w:bookmarkEnd w:id="382"/>
    </w:p>
    <w:p w14:paraId="0758D9C5" w14:textId="39A6B71B" w:rsidR="00496244" w:rsidRPr="00E9031B" w:rsidRDefault="00496244" w:rsidP="00317057">
      <w:pPr>
        <w:pStyle w:val="ARbody"/>
        <w:rPr>
          <w:lang w:eastAsia="en-AU"/>
        </w:rPr>
      </w:pPr>
      <w:r>
        <w:rPr>
          <w:lang w:eastAsia="en-AU"/>
        </w:rPr>
        <w:t>Pamela Anders was appointed as Chief Executive Officer, Mental Health Reform Victoria in February 2020. Pam leads the work to reform our mental health system by overseeing and implementing the recommendations made by the Royal Commission into Victoria</w:t>
      </w:r>
      <w:r w:rsidR="007D145B">
        <w:rPr>
          <w:lang w:eastAsia="en-AU"/>
        </w:rPr>
        <w:t>’</w:t>
      </w:r>
      <w:r>
        <w:rPr>
          <w:lang w:eastAsia="en-AU"/>
        </w:rPr>
        <w:t>s Mental Health System.</w:t>
      </w:r>
    </w:p>
    <w:p w14:paraId="76A7075F" w14:textId="77777777" w:rsidR="00496244" w:rsidRPr="002029AF" w:rsidDel="00DC30D8" w:rsidRDefault="00496244">
      <w:pPr>
        <w:pStyle w:val="Heading3"/>
      </w:pPr>
      <w:bookmarkStart w:id="383" w:name="_Toc85121202"/>
      <w:r>
        <w:t>Robyn Hudson</w:t>
      </w:r>
      <w:bookmarkEnd w:id="383"/>
    </w:p>
    <w:p w14:paraId="00D2B92F" w14:textId="77777777" w:rsidR="00496244" w:rsidRPr="002029AF" w:rsidDel="00DC30D8" w:rsidRDefault="00496244" w:rsidP="00897193">
      <w:pPr>
        <w:pStyle w:val="Heading4"/>
      </w:pPr>
      <w:bookmarkStart w:id="384" w:name="_Toc85121203"/>
      <w:r>
        <w:t xml:space="preserve">Acting </w:t>
      </w:r>
      <w:r w:rsidRPr="002029AF" w:rsidDel="00DC30D8">
        <w:t>Chief</w:t>
      </w:r>
      <w:r w:rsidRPr="002029AF">
        <w:t xml:space="preserve"> </w:t>
      </w:r>
      <w:r w:rsidRPr="002029AF" w:rsidDel="00DC30D8">
        <w:t>Executive</w:t>
      </w:r>
      <w:r w:rsidRPr="002029AF">
        <w:t xml:space="preserve"> </w:t>
      </w:r>
      <w:r w:rsidRPr="002029AF" w:rsidDel="00DC30D8">
        <w:t>Officer</w:t>
      </w:r>
      <w:r w:rsidRPr="002029AF">
        <w:t xml:space="preserve"> </w:t>
      </w:r>
      <w:r w:rsidRPr="002029AF" w:rsidDel="00DC30D8">
        <w:t>–</w:t>
      </w:r>
      <w:r w:rsidRPr="002029AF">
        <w:t xml:space="preserve"> </w:t>
      </w:r>
      <w:r w:rsidRPr="002029AF" w:rsidDel="00DC30D8">
        <w:t>Safer</w:t>
      </w:r>
      <w:r w:rsidRPr="002029AF">
        <w:t> </w:t>
      </w:r>
      <w:r w:rsidRPr="002029AF" w:rsidDel="00DC30D8">
        <w:t>Care</w:t>
      </w:r>
      <w:r w:rsidRPr="002029AF">
        <w:t> </w:t>
      </w:r>
      <w:r w:rsidRPr="002029AF" w:rsidDel="00DC30D8">
        <w:t>Victoria</w:t>
      </w:r>
      <w:bookmarkEnd w:id="384"/>
    </w:p>
    <w:p w14:paraId="2F16E251" w14:textId="5139B527" w:rsidR="00496244" w:rsidRPr="002029AF" w:rsidRDefault="00496244" w:rsidP="00897193">
      <w:pPr>
        <w:pStyle w:val="ARbody"/>
      </w:pPr>
      <w:bookmarkStart w:id="385" w:name="_Ref525048930"/>
      <w:r>
        <w:t xml:space="preserve">Robyn Hudson </w:t>
      </w:r>
      <w:r w:rsidRPr="002029AF">
        <w:t xml:space="preserve">was appointed as </w:t>
      </w:r>
      <w:r>
        <w:t xml:space="preserve">Acting </w:t>
      </w:r>
      <w:r w:rsidRPr="002029AF">
        <w:t xml:space="preserve">Chief Executive Officer – Safer Care Victoria in </w:t>
      </w:r>
      <w:r>
        <w:t>May 2021</w:t>
      </w:r>
      <w:r w:rsidRPr="002029AF">
        <w:t xml:space="preserve">. </w:t>
      </w:r>
      <w:r w:rsidRPr="008B3D87">
        <w:t xml:space="preserve">Safer Care Victoria </w:t>
      </w:r>
      <w:r w:rsidRPr="00595EB7">
        <w:t>is the state</w:t>
      </w:r>
      <w:r w:rsidR="007D145B">
        <w:t>’</w:t>
      </w:r>
      <w:r w:rsidRPr="00595EB7">
        <w:t>s healthcare quality and safety specialist.</w:t>
      </w:r>
      <w:r w:rsidRPr="008B3D87">
        <w:t xml:space="preserve"> As an administrative office of the department, it works closely with clinicians and consumers to help health services deliver better, safer healthcare. This can be through clinical guidance and resources to support best practice, targeted partnerships with health services to improve patient outcomes, and alerting health services to local and systemic safety issues.</w:t>
      </w:r>
    </w:p>
    <w:p w14:paraId="1BF517A5" w14:textId="77777777" w:rsidR="00496244" w:rsidRPr="002029AF" w:rsidDel="00DC30D8" w:rsidRDefault="00496244" w:rsidP="001E768A">
      <w:pPr>
        <w:pStyle w:val="Heading3"/>
      </w:pPr>
      <w:bookmarkStart w:id="386" w:name="_Ref21861577"/>
      <w:bookmarkStart w:id="387" w:name="_Toc85121204"/>
      <w:r w:rsidRPr="002029AF" w:rsidDel="00DC30D8">
        <w:t>Dr</w:t>
      </w:r>
      <w:r w:rsidRPr="002029AF">
        <w:t xml:space="preserve"> </w:t>
      </w:r>
      <w:r w:rsidRPr="002029AF" w:rsidDel="00DC30D8">
        <w:t>Lance</w:t>
      </w:r>
      <w:r w:rsidRPr="002029AF">
        <w:t xml:space="preserve"> </w:t>
      </w:r>
      <w:r w:rsidRPr="002029AF" w:rsidDel="00DC30D8">
        <w:t>Emerson</w:t>
      </w:r>
      <w:bookmarkEnd w:id="385"/>
      <w:bookmarkEnd w:id="386"/>
      <w:bookmarkEnd w:id="387"/>
    </w:p>
    <w:p w14:paraId="2498C83B" w14:textId="77777777" w:rsidR="00496244" w:rsidRPr="002029AF" w:rsidDel="00DC30D8" w:rsidRDefault="00496244" w:rsidP="00897193">
      <w:pPr>
        <w:pStyle w:val="Heading4"/>
      </w:pPr>
      <w:bookmarkStart w:id="388" w:name="_Toc85121205"/>
      <w:r w:rsidRPr="002029AF" w:rsidDel="00DC30D8">
        <w:t>Chief</w:t>
      </w:r>
      <w:r w:rsidRPr="002029AF">
        <w:t xml:space="preserve"> </w:t>
      </w:r>
      <w:r w:rsidRPr="002029AF" w:rsidDel="00DC30D8">
        <w:t>Executive</w:t>
      </w:r>
      <w:r w:rsidRPr="002029AF">
        <w:t xml:space="preserve"> </w:t>
      </w:r>
      <w:r w:rsidRPr="002029AF" w:rsidDel="00DC30D8">
        <w:t>Officer</w:t>
      </w:r>
      <w:r w:rsidRPr="002029AF">
        <w:t xml:space="preserve"> </w:t>
      </w:r>
      <w:r w:rsidRPr="002029AF" w:rsidDel="00DC30D8">
        <w:t>–</w:t>
      </w:r>
      <w:r w:rsidRPr="002029AF">
        <w:t xml:space="preserve"> </w:t>
      </w:r>
      <w:r w:rsidRPr="002029AF" w:rsidDel="00DC30D8">
        <w:t>Victorian</w:t>
      </w:r>
      <w:r w:rsidRPr="002029AF">
        <w:t xml:space="preserve"> </w:t>
      </w:r>
      <w:r w:rsidRPr="002029AF" w:rsidDel="00DC30D8">
        <w:t>Agency</w:t>
      </w:r>
      <w:r w:rsidRPr="002029AF">
        <w:t xml:space="preserve"> </w:t>
      </w:r>
      <w:r w:rsidRPr="002029AF" w:rsidDel="00DC30D8">
        <w:t>for</w:t>
      </w:r>
      <w:r w:rsidRPr="002029AF">
        <w:t xml:space="preserve"> </w:t>
      </w:r>
      <w:r w:rsidRPr="002029AF" w:rsidDel="00DC30D8">
        <w:t>Health</w:t>
      </w:r>
      <w:r w:rsidRPr="002029AF">
        <w:t xml:space="preserve"> </w:t>
      </w:r>
      <w:r w:rsidRPr="002029AF" w:rsidDel="00DC30D8">
        <w:t>Information</w:t>
      </w:r>
      <w:bookmarkEnd w:id="388"/>
    </w:p>
    <w:p w14:paraId="144652DF" w14:textId="77777777" w:rsidR="00496244" w:rsidRDefault="00496244" w:rsidP="00897193">
      <w:pPr>
        <w:pStyle w:val="ARbody"/>
        <w:sectPr w:rsidR="00496244" w:rsidSect="00317057">
          <w:footnotePr>
            <w:numFmt w:val="lowerLetter"/>
            <w:numRestart w:val="eachPage"/>
          </w:footnotePr>
          <w:type w:val="continuous"/>
          <w:pgSz w:w="11906" w:h="16838" w:code="9"/>
          <w:pgMar w:top="1985" w:right="1134" w:bottom="851" w:left="1134" w:header="510" w:footer="340" w:gutter="0"/>
          <w:cols w:num="2" w:space="454"/>
          <w:docGrid w:linePitch="360"/>
        </w:sectPr>
      </w:pPr>
      <w:r w:rsidRPr="002029AF" w:rsidDel="00DC30D8">
        <w:t>Dr</w:t>
      </w:r>
      <w:r w:rsidRPr="002029AF">
        <w:t xml:space="preserve"> Lance </w:t>
      </w:r>
      <w:r w:rsidRPr="002029AF" w:rsidDel="00DC30D8">
        <w:t>Emerson</w:t>
      </w:r>
      <w:r w:rsidRPr="002029AF">
        <w:t xml:space="preserve"> was appointed as Chief Executive Officer – Victorian Agency for Health Information in January 2018. Lance leads the agency</w:t>
      </w:r>
      <w:r w:rsidRPr="00DC5908">
        <w:t xml:space="preserve"> </w:t>
      </w:r>
      <w:r w:rsidRPr="00595EB7">
        <w:t>in its role of providing</w:t>
      </w:r>
      <w:r w:rsidRPr="003419B4">
        <w:t xml:space="preserve"> </w:t>
      </w:r>
      <w:r w:rsidRPr="00595EB7">
        <w:t xml:space="preserve">accurate and comprehensive performance </w:t>
      </w:r>
      <w:r w:rsidRPr="003419B4">
        <w:t>information</w:t>
      </w:r>
      <w:r w:rsidRPr="00595EB7">
        <w:t xml:space="preserve"> on Victorian health services</w:t>
      </w:r>
      <w:r w:rsidRPr="003419B4">
        <w:t>.</w:t>
      </w:r>
      <w:bookmarkEnd w:id="360"/>
    </w:p>
    <w:p w14:paraId="68E5DF28" w14:textId="77777777" w:rsidR="00496244" w:rsidRPr="002029AF" w:rsidRDefault="00496244" w:rsidP="00344FD9">
      <w:pPr>
        <w:pStyle w:val="Heading2"/>
        <w:spacing w:before="0"/>
      </w:pPr>
      <w:bookmarkStart w:id="389" w:name="_Ref52199172"/>
      <w:bookmarkStart w:id="390" w:name="_Toc85121206"/>
      <w:bookmarkStart w:id="391" w:name="_Toc85121606"/>
      <w:bookmarkStart w:id="392" w:name="_Ref85202291"/>
      <w:bookmarkStart w:id="393" w:name="_Toc86075589"/>
      <w:bookmarkStart w:id="394" w:name="_Ref21960252"/>
      <w:bookmarkStart w:id="395" w:name="_Toc463776201"/>
      <w:bookmarkStart w:id="396" w:name="_Ref492915457"/>
      <w:r w:rsidRPr="002029AF">
        <w:lastRenderedPageBreak/>
        <w:t>Organisation</w:t>
      </w:r>
      <w:r>
        <w:t>al</w:t>
      </w:r>
      <w:r w:rsidRPr="002029AF">
        <w:t xml:space="preserve"> </w:t>
      </w:r>
      <w:bookmarkEnd w:id="389"/>
      <w:r>
        <w:t>chart</w:t>
      </w:r>
      <w:bookmarkEnd w:id="390"/>
      <w:bookmarkEnd w:id="391"/>
      <w:bookmarkEnd w:id="392"/>
      <w:bookmarkEnd w:id="393"/>
    </w:p>
    <w:p w14:paraId="55AEF52F" w14:textId="77777777" w:rsidR="00496244" w:rsidRPr="008368A3" w:rsidRDefault="00496244" w:rsidP="00317057">
      <w:pPr>
        <w:pStyle w:val="ARbody"/>
        <w:spacing w:after="320"/>
        <w:rPr>
          <w:b/>
          <w:bCs/>
        </w:rPr>
      </w:pPr>
      <w:r w:rsidRPr="008368A3">
        <w:rPr>
          <w:b/>
          <w:bCs/>
        </w:rPr>
        <w:t>As at 30 June 2021</w:t>
      </w:r>
    </w:p>
    <w:p w14:paraId="3400E098" w14:textId="77777777" w:rsidR="00496244" w:rsidRDefault="00496244" w:rsidP="00317057">
      <w:pPr>
        <w:pStyle w:val="ARbody"/>
        <w:jc w:val="center"/>
      </w:pPr>
      <w:r w:rsidRPr="00AA6DF7">
        <w:rPr>
          <w:noProof/>
          <w:lang w:eastAsia="en-AU" w:bidi="as-IN"/>
        </w:rPr>
        <w:drawing>
          <wp:inline distT="0" distB="0" distL="0" distR="0" wp14:anchorId="5B499A26" wp14:editId="40912E4A">
            <wp:extent cx="8897245" cy="4211548"/>
            <wp:effectExtent l="0" t="0" r="0" b="0"/>
            <wp:docPr id="15" name="Graphic 15" descr="Organisation structure. To receive the organisation structure as at 30 June 2021 in accessible format, please email corporate reporting &lt;corporate.reporting@health.vic.gov.au&gt;. To see the  department’s current structure, visit About DH &lt;https://www.vic.gov.au/health/about-us&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Organisation structure. To receive the organisation structure as at 30 June 2021 in accessible format, please email corporate reporting &lt;corporate.reporting@health.vic.gov.au&gt;. To see the  department’s current structure, visit About DH &lt;https://www.vic.gov.au/health/about-us&gt;."/>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8897245" cy="4211548"/>
                    </a:xfrm>
                    <a:prstGeom prst="rect">
                      <a:avLst/>
                    </a:prstGeom>
                  </pic:spPr>
                </pic:pic>
              </a:graphicData>
            </a:graphic>
          </wp:inline>
        </w:drawing>
      </w:r>
    </w:p>
    <w:p w14:paraId="20B4FCDD" w14:textId="77777777" w:rsidR="00496244" w:rsidRDefault="00496244" w:rsidP="00344FD9">
      <w:pPr>
        <w:pStyle w:val="ARbody"/>
      </w:pPr>
    </w:p>
    <w:p w14:paraId="5A55755D" w14:textId="77777777" w:rsidR="00496244" w:rsidRDefault="00496244" w:rsidP="00344FD9">
      <w:pPr>
        <w:pStyle w:val="ARbody"/>
        <w:sectPr w:rsidR="00496244" w:rsidSect="00317057">
          <w:headerReference w:type="first" r:id="rId68"/>
          <w:footerReference w:type="first" r:id="rId69"/>
          <w:footnotePr>
            <w:numFmt w:val="lowerLetter"/>
            <w:numRestart w:val="eachPage"/>
          </w:footnotePr>
          <w:pgSz w:w="16838" w:h="11906" w:orient="landscape" w:code="9"/>
          <w:pgMar w:top="1134" w:right="1985" w:bottom="1134" w:left="851" w:header="510" w:footer="340" w:gutter="0"/>
          <w:cols w:space="454"/>
          <w:docGrid w:linePitch="360"/>
        </w:sectPr>
      </w:pPr>
    </w:p>
    <w:p w14:paraId="0851BEC2" w14:textId="77777777" w:rsidR="00496244" w:rsidRDefault="00496244" w:rsidP="00462DC8">
      <w:pPr>
        <w:pStyle w:val="Heading2"/>
        <w:spacing w:before="0"/>
      </w:pPr>
      <w:bookmarkStart w:id="397" w:name="_Toc85121207"/>
      <w:bookmarkStart w:id="398" w:name="_Toc85121607"/>
      <w:bookmarkStart w:id="399" w:name="_Toc86075590"/>
      <w:bookmarkEnd w:id="394"/>
      <w:bookmarkEnd w:id="395"/>
      <w:bookmarkEnd w:id="396"/>
      <w:r w:rsidRPr="002029AF">
        <w:lastRenderedPageBreak/>
        <w:t xml:space="preserve">Committee </w:t>
      </w:r>
      <w:r>
        <w:t>s</w:t>
      </w:r>
      <w:r w:rsidRPr="002029AF">
        <w:t>tructure</w:t>
      </w:r>
      <w:bookmarkEnd w:id="397"/>
      <w:bookmarkEnd w:id="398"/>
      <w:bookmarkEnd w:id="399"/>
    </w:p>
    <w:p w14:paraId="51CDAD44" w14:textId="77777777" w:rsidR="004330D7" w:rsidRDefault="004330D7" w:rsidP="00317057">
      <w:pPr>
        <w:pStyle w:val="Heading3"/>
        <w:sectPr w:rsidR="004330D7" w:rsidSect="00967B31">
          <w:headerReference w:type="default" r:id="rId70"/>
          <w:footnotePr>
            <w:numFmt w:val="lowerLetter"/>
            <w:numRestart w:val="eachPage"/>
          </w:footnotePr>
          <w:endnotePr>
            <w:numFmt w:val="decimal"/>
          </w:endnotePr>
          <w:type w:val="continuous"/>
          <w:pgSz w:w="11900" w:h="16840" w:code="9"/>
          <w:pgMar w:top="1985" w:right="1134" w:bottom="851" w:left="1134" w:header="510" w:footer="340" w:gutter="0"/>
          <w:cols w:space="454"/>
        </w:sectPr>
      </w:pPr>
      <w:bookmarkStart w:id="400" w:name="_Toc85121208"/>
    </w:p>
    <w:p w14:paraId="3D356D8A" w14:textId="430FD791" w:rsidR="00496244" w:rsidRDefault="00496244" w:rsidP="00317057">
      <w:pPr>
        <w:pStyle w:val="Heading3"/>
      </w:pPr>
      <w:r>
        <w:t>Department of Health and Human Services – Executive Board</w:t>
      </w:r>
      <w:bookmarkEnd w:id="400"/>
    </w:p>
    <w:p w14:paraId="45B81848" w14:textId="77777777" w:rsidR="00496244" w:rsidRPr="008368A3" w:rsidRDefault="00496244" w:rsidP="00317057">
      <w:pPr>
        <w:pStyle w:val="ARbody"/>
        <w:rPr>
          <w:b/>
          <w:bCs/>
        </w:rPr>
      </w:pPr>
      <w:r w:rsidRPr="008368A3">
        <w:rPr>
          <w:b/>
          <w:bCs/>
        </w:rPr>
        <w:t>To 31 January 2021</w:t>
      </w:r>
    </w:p>
    <w:p w14:paraId="42885121" w14:textId="246497B1" w:rsidR="00496244" w:rsidRPr="002029AF" w:rsidRDefault="00496244" w:rsidP="00317057">
      <w:pPr>
        <w:pStyle w:val="ARbody"/>
      </w:pPr>
      <w:r>
        <w:t xml:space="preserve">The DHHS </w:t>
      </w:r>
      <w:r w:rsidRPr="002029AF">
        <w:t>Executive Board assist</w:t>
      </w:r>
      <w:r>
        <w:t>ed</w:t>
      </w:r>
      <w:r w:rsidRPr="002029AF">
        <w:t xml:space="preserve"> the Secretary with strategic leadership to meet the department</w:t>
      </w:r>
      <w:r w:rsidR="007D145B">
        <w:t>’</w:t>
      </w:r>
      <w:r w:rsidRPr="002029AF">
        <w:t>s objectives (including vision, purpose and direction setting); improve performance and outcomes; and implement complex reform priorities.</w:t>
      </w:r>
    </w:p>
    <w:p w14:paraId="029D4A11" w14:textId="77777777" w:rsidR="00496244" w:rsidRDefault="00496244" w:rsidP="00317057">
      <w:pPr>
        <w:pStyle w:val="ARbody"/>
      </w:pPr>
      <w:r w:rsidRPr="002029AF">
        <w:t xml:space="preserve">The </w:t>
      </w:r>
      <w:r>
        <w:t xml:space="preserve">DHHS </w:t>
      </w:r>
      <w:r w:rsidRPr="002029AF">
        <w:t>Executive Board operat</w:t>
      </w:r>
      <w:r>
        <w:t>ed</w:t>
      </w:r>
      <w:r w:rsidRPr="002029AF">
        <w:t xml:space="preserve"> under </w:t>
      </w:r>
      <w:r>
        <w:t xml:space="preserve">a </w:t>
      </w:r>
      <w:r w:rsidRPr="002029AF">
        <w:t xml:space="preserve">charter and its members </w:t>
      </w:r>
      <w:r>
        <w:t>wer</w:t>
      </w:r>
      <w:r w:rsidRPr="002029AF">
        <w:t>e the Secretary (as chair) and the deputy secretaries.</w:t>
      </w:r>
    </w:p>
    <w:p w14:paraId="672F10F1" w14:textId="77777777" w:rsidR="00496244" w:rsidRDefault="00496244" w:rsidP="00317057">
      <w:pPr>
        <w:pStyle w:val="ARbody"/>
      </w:pPr>
      <w:r>
        <w:t>There were seven ongoing subcommittees that reported to the DHHS Executive Board:</w:t>
      </w:r>
    </w:p>
    <w:p w14:paraId="13A9D22F" w14:textId="77777777" w:rsidR="00496244" w:rsidRPr="002029AF" w:rsidRDefault="00496244" w:rsidP="00317057">
      <w:pPr>
        <w:pStyle w:val="ARbullet1"/>
      </w:pPr>
      <w:r>
        <w:t>Aboriginal Health Wellbeing and Safety Subcommittee</w:t>
      </w:r>
    </w:p>
    <w:p w14:paraId="74F11D61" w14:textId="77777777" w:rsidR="00496244" w:rsidRPr="002029AF" w:rsidRDefault="00496244" w:rsidP="00317057">
      <w:pPr>
        <w:pStyle w:val="ARbullet1"/>
      </w:pPr>
      <w:r>
        <w:t>Capital Subcommittee</w:t>
      </w:r>
    </w:p>
    <w:p w14:paraId="6100F6F1" w14:textId="77777777" w:rsidR="00496244" w:rsidRPr="002029AF" w:rsidRDefault="00496244" w:rsidP="00317057">
      <w:pPr>
        <w:pStyle w:val="ARbullet1"/>
      </w:pPr>
      <w:r>
        <w:t>Data Governance and Information Technology Subcommittee</w:t>
      </w:r>
    </w:p>
    <w:p w14:paraId="7D0E5A2F" w14:textId="77777777" w:rsidR="00496244" w:rsidRPr="002029AF" w:rsidRDefault="00496244" w:rsidP="00317057">
      <w:pPr>
        <w:pStyle w:val="ARbullet1"/>
      </w:pPr>
      <w:r>
        <w:t>Finance and Budget Subcommittee</w:t>
      </w:r>
    </w:p>
    <w:p w14:paraId="2AA6A6BA" w14:textId="77777777" w:rsidR="00496244" w:rsidRDefault="00496244" w:rsidP="00317057">
      <w:pPr>
        <w:pStyle w:val="ARbullet1"/>
      </w:pPr>
      <w:r>
        <w:t>Investment Subcommittee</w:t>
      </w:r>
    </w:p>
    <w:p w14:paraId="5656E58A" w14:textId="77777777" w:rsidR="00496244" w:rsidRPr="002029AF" w:rsidRDefault="00496244" w:rsidP="00317057">
      <w:pPr>
        <w:pStyle w:val="ARbullet1"/>
      </w:pPr>
      <w:r>
        <w:t>People and Culture Subcommittee</w:t>
      </w:r>
    </w:p>
    <w:p w14:paraId="5EB0D345" w14:textId="77777777" w:rsidR="00496244" w:rsidRDefault="00496244" w:rsidP="00317057">
      <w:pPr>
        <w:pStyle w:val="ARbullet1"/>
      </w:pPr>
      <w:r>
        <w:t>Performance and Reform Oversight Subcommittee</w:t>
      </w:r>
    </w:p>
    <w:p w14:paraId="40A5ECBC" w14:textId="4DCB4022" w:rsidR="00496244" w:rsidRPr="002029AF" w:rsidRDefault="00496244" w:rsidP="00317057">
      <w:pPr>
        <w:pStyle w:val="ARbodyafterbullets"/>
      </w:pPr>
      <w:r w:rsidRPr="002029AF">
        <w:t xml:space="preserve">In addition, </w:t>
      </w:r>
      <w:r>
        <w:t xml:space="preserve">there were </w:t>
      </w:r>
      <w:r w:rsidRPr="002029AF">
        <w:t>three time-limited reform subcommittees</w:t>
      </w:r>
      <w:r>
        <w:t xml:space="preserve"> that</w:t>
      </w:r>
      <w:r w:rsidRPr="002029AF">
        <w:t xml:space="preserve"> report</w:t>
      </w:r>
      <w:r>
        <w:t>ed</w:t>
      </w:r>
      <w:r w:rsidRPr="002029AF">
        <w:t xml:space="preserve"> to the</w:t>
      </w:r>
      <w:r>
        <w:t xml:space="preserve"> DHHS</w:t>
      </w:r>
      <w:r w:rsidRPr="002029AF">
        <w:t xml:space="preserve"> Executive Board. Their focus </w:t>
      </w:r>
      <w:r>
        <w:t>was</w:t>
      </w:r>
      <w:r w:rsidRPr="002029AF">
        <w:t xml:space="preserve"> on implementing the government</w:t>
      </w:r>
      <w:r w:rsidR="007D145B">
        <w:t>’</w:t>
      </w:r>
      <w:r w:rsidRPr="002029AF">
        <w:t>s reform agenda and complex departmental initiatives:</w:t>
      </w:r>
    </w:p>
    <w:p w14:paraId="3877CD00" w14:textId="77777777" w:rsidR="00496244" w:rsidRPr="002029AF" w:rsidRDefault="00496244" w:rsidP="00317057">
      <w:pPr>
        <w:pStyle w:val="ARbullet1"/>
      </w:pPr>
      <w:r>
        <w:t>NDIS Readiness Subcommittee</w:t>
      </w:r>
    </w:p>
    <w:p w14:paraId="670057A2" w14:textId="77777777" w:rsidR="00496244" w:rsidRPr="002029AF" w:rsidRDefault="00496244" w:rsidP="00317057">
      <w:pPr>
        <w:pStyle w:val="ARbullet1"/>
      </w:pPr>
      <w:r>
        <w:t>Organisational Transformation Subcommittee</w:t>
      </w:r>
    </w:p>
    <w:p w14:paraId="132ECB81" w14:textId="77777777" w:rsidR="00496244" w:rsidRDefault="00496244" w:rsidP="00317057">
      <w:pPr>
        <w:pStyle w:val="ARbullet1"/>
      </w:pPr>
      <w:r>
        <w:t>Priority Reform Subcommittee.</w:t>
      </w:r>
    </w:p>
    <w:p w14:paraId="0541CBB0" w14:textId="77777777" w:rsidR="00496244" w:rsidRDefault="00496244" w:rsidP="00317057">
      <w:pPr>
        <w:pStyle w:val="Heading3"/>
        <w:spacing w:before="240"/>
      </w:pPr>
      <w:r>
        <w:br w:type="column"/>
      </w:r>
      <w:bookmarkStart w:id="401" w:name="_Toc85121209"/>
      <w:r>
        <w:t>Department of Health – Executive Board</w:t>
      </w:r>
      <w:bookmarkEnd w:id="401"/>
    </w:p>
    <w:p w14:paraId="482FDEC7" w14:textId="77777777" w:rsidR="00496244" w:rsidRPr="008368A3" w:rsidRDefault="00496244" w:rsidP="00317057">
      <w:pPr>
        <w:pStyle w:val="ARbody"/>
        <w:rPr>
          <w:b/>
          <w:bCs/>
        </w:rPr>
      </w:pPr>
      <w:r w:rsidRPr="008368A3">
        <w:rPr>
          <w:b/>
          <w:bCs/>
        </w:rPr>
        <w:t>From 1 February 2021</w:t>
      </w:r>
    </w:p>
    <w:p w14:paraId="6F8248D7" w14:textId="71E7D47E" w:rsidR="00496244" w:rsidRPr="002029AF" w:rsidRDefault="00496244" w:rsidP="00317057">
      <w:pPr>
        <w:pStyle w:val="ARbody"/>
      </w:pPr>
      <w:r w:rsidRPr="002029AF">
        <w:t>The Executive Board</w:t>
      </w:r>
      <w:r>
        <w:t xml:space="preserve"> provides information and advice to the</w:t>
      </w:r>
      <w:r w:rsidRPr="002029AF">
        <w:t xml:space="preserve"> Secretary</w:t>
      </w:r>
      <w:r>
        <w:t xml:space="preserve"> and collective leadership of the department and the service system to ensure they operate effectively and efficiently. The Executive Board helps to set and oversee the department</w:t>
      </w:r>
      <w:r w:rsidR="007D145B">
        <w:t>’</w:t>
      </w:r>
      <w:r>
        <w:t>s</w:t>
      </w:r>
      <w:r w:rsidRPr="002029AF">
        <w:t xml:space="preserve"> strategic </w:t>
      </w:r>
      <w:r>
        <w:t>narrative, direction and priorities</w:t>
      </w:r>
      <w:r w:rsidRPr="002029AF">
        <w:t xml:space="preserve"> to meet the department</w:t>
      </w:r>
      <w:r w:rsidR="007D145B">
        <w:t>’</w:t>
      </w:r>
      <w:r w:rsidRPr="002029AF">
        <w:t>s objectives; improve performance and outcomes; and implement complex reform priorities.</w:t>
      </w:r>
    </w:p>
    <w:p w14:paraId="7431440F" w14:textId="7049C115" w:rsidR="00496244" w:rsidRDefault="00496244" w:rsidP="00317057">
      <w:pPr>
        <w:pStyle w:val="ARbody"/>
      </w:pPr>
      <w:r w:rsidRPr="002029AF">
        <w:t xml:space="preserve">The Executive Board operates </w:t>
      </w:r>
      <w:r>
        <w:t>under a</w:t>
      </w:r>
      <w:r w:rsidRPr="002029AF">
        <w:t xml:space="preserve"> charter and its members are the Secretary (as chair) and the </w:t>
      </w:r>
      <w:r>
        <w:t>department</w:t>
      </w:r>
      <w:r w:rsidR="007D145B">
        <w:t>’</w:t>
      </w:r>
      <w:r>
        <w:t xml:space="preserve">s </w:t>
      </w:r>
      <w:r w:rsidRPr="002029AF">
        <w:t>deputy secretaries.</w:t>
      </w:r>
    </w:p>
    <w:p w14:paraId="210CD947" w14:textId="77777777" w:rsidR="00496244" w:rsidRDefault="00496244" w:rsidP="00317057">
      <w:pPr>
        <w:pStyle w:val="ARbodyafterbullets"/>
      </w:pPr>
      <w:r>
        <w:t xml:space="preserve">There are three </w:t>
      </w:r>
      <w:r w:rsidRPr="002029AF">
        <w:t>ongoing subcommittees</w:t>
      </w:r>
      <w:r>
        <w:t xml:space="preserve"> that</w:t>
      </w:r>
      <w:r w:rsidRPr="002029AF">
        <w:t xml:space="preserve"> report to the Executive Board:</w:t>
      </w:r>
    </w:p>
    <w:p w14:paraId="04F84CF1" w14:textId="77777777" w:rsidR="00496244" w:rsidRPr="009D6195" w:rsidRDefault="00496244" w:rsidP="00317057">
      <w:pPr>
        <w:pStyle w:val="ARbullet1"/>
      </w:pPr>
      <w:r>
        <w:t>Infrastructure and Planning Subcommittee</w:t>
      </w:r>
    </w:p>
    <w:p w14:paraId="44AC6C5A" w14:textId="77777777" w:rsidR="00496244" w:rsidRPr="009D6195" w:rsidRDefault="00496244" w:rsidP="00317057">
      <w:pPr>
        <w:pStyle w:val="ARbullet1"/>
      </w:pPr>
      <w:r>
        <w:t>Investment and Finance Subcommittee (in development)</w:t>
      </w:r>
    </w:p>
    <w:p w14:paraId="25C59861" w14:textId="77777777" w:rsidR="00496244" w:rsidRDefault="00496244" w:rsidP="00317057">
      <w:pPr>
        <w:pStyle w:val="ARbullet1"/>
      </w:pPr>
      <w:r>
        <w:t>OurPeople and Safety Subcommittee (in development)</w:t>
      </w:r>
    </w:p>
    <w:p w14:paraId="2873995B" w14:textId="77777777" w:rsidR="00496244" w:rsidRPr="00BE2CFE" w:rsidRDefault="00496244" w:rsidP="00317057">
      <w:pPr>
        <w:pStyle w:val="ARbodyafterbullets"/>
      </w:pPr>
      <w:r>
        <w:t>T</w:t>
      </w:r>
      <w:r w:rsidRPr="00BE2CFE">
        <w:t xml:space="preserve">here is one interdepartmental committee which reports to the Executive Boards of the Department of Health and </w:t>
      </w:r>
      <w:r>
        <w:t xml:space="preserve">the </w:t>
      </w:r>
      <w:r w:rsidRPr="00BE2CFE">
        <w:t>Department of Families, Fairness and Housing:</w:t>
      </w:r>
    </w:p>
    <w:p w14:paraId="75CF02E9" w14:textId="77777777" w:rsidR="00496244" w:rsidRDefault="00496244" w:rsidP="00317057">
      <w:pPr>
        <w:pStyle w:val="ARbullet1"/>
      </w:pPr>
      <w:r>
        <w:t>Data Governance and Information Technology</w:t>
      </w:r>
    </w:p>
    <w:p w14:paraId="21AF9018" w14:textId="77777777" w:rsidR="00496244" w:rsidRDefault="00496244" w:rsidP="00317057">
      <w:pPr>
        <w:pStyle w:val="ARbodyafterbullets"/>
      </w:pPr>
      <w:r>
        <w:t>Two reform-focused subcommittees also report to the Executive Board</w:t>
      </w:r>
      <w:r w:rsidRPr="002029AF">
        <w:t>:</w:t>
      </w:r>
    </w:p>
    <w:p w14:paraId="6737AE7A" w14:textId="77777777" w:rsidR="00496244" w:rsidRPr="00BE2CFE" w:rsidRDefault="00496244" w:rsidP="00317057">
      <w:pPr>
        <w:pStyle w:val="ARbullet1"/>
      </w:pPr>
      <w:r>
        <w:t>Health System Reform Subcommittee</w:t>
      </w:r>
    </w:p>
    <w:p w14:paraId="5E2D5C47" w14:textId="77777777" w:rsidR="00496244" w:rsidRDefault="00496244" w:rsidP="00317057">
      <w:pPr>
        <w:pStyle w:val="ARbullet1"/>
      </w:pPr>
      <w:r>
        <w:t>Quality, Safety and Performance Subcommittee (in development)</w:t>
      </w:r>
    </w:p>
    <w:p w14:paraId="0D3A0775" w14:textId="77777777" w:rsidR="00496244" w:rsidRPr="002029AF" w:rsidRDefault="00496244" w:rsidP="00897193">
      <w:pPr>
        <w:pStyle w:val="Heading3"/>
      </w:pPr>
      <w:bookmarkStart w:id="402" w:name="_Ref52274716"/>
      <w:r>
        <w:br w:type="column"/>
      </w:r>
      <w:bookmarkStart w:id="403" w:name="_Toc85121210"/>
      <w:r w:rsidRPr="002029AF">
        <w:lastRenderedPageBreak/>
        <w:t>Stand-</w:t>
      </w:r>
      <w:r>
        <w:t>a</w:t>
      </w:r>
      <w:r w:rsidRPr="002029AF">
        <w:t xml:space="preserve">lone </w:t>
      </w:r>
      <w:r>
        <w:t>l</w:t>
      </w:r>
      <w:r w:rsidRPr="002029AF">
        <w:t xml:space="preserve">egislative </w:t>
      </w:r>
      <w:r>
        <w:t>c</w:t>
      </w:r>
      <w:r w:rsidRPr="002029AF">
        <w:t>ommittees</w:t>
      </w:r>
      <w:bookmarkEnd w:id="402"/>
      <w:bookmarkEnd w:id="403"/>
    </w:p>
    <w:p w14:paraId="063CCA0E" w14:textId="77777777" w:rsidR="00496244" w:rsidRDefault="00496244" w:rsidP="00897193">
      <w:pPr>
        <w:pStyle w:val="ARbody"/>
        <w:rPr>
          <w:lang w:eastAsia="en-AU"/>
        </w:rPr>
      </w:pPr>
      <w:r w:rsidRPr="002029AF">
        <w:rPr>
          <w:lang w:eastAsia="en-AU"/>
        </w:rPr>
        <w:t>Three stand-alone committees support statutory assurance responsibilities and may include independent or non-executive members who provide expertise and advice</w:t>
      </w:r>
      <w:r>
        <w:rPr>
          <w:lang w:eastAsia="en-AU"/>
        </w:rPr>
        <w:t>.</w:t>
      </w:r>
    </w:p>
    <w:p w14:paraId="6520378D" w14:textId="77777777" w:rsidR="00496244" w:rsidRPr="00492050" w:rsidRDefault="00496244" w:rsidP="00317057">
      <w:pPr>
        <w:pStyle w:val="Heading4"/>
      </w:pPr>
      <w:bookmarkStart w:id="404" w:name="_Toc85121211"/>
      <w:bookmarkStart w:id="405" w:name="_Ref85204074"/>
      <w:r w:rsidRPr="00F03CE3">
        <w:t>Audit and Risk Management Committee</w:t>
      </w:r>
      <w:bookmarkEnd w:id="404"/>
      <w:bookmarkEnd w:id="405"/>
    </w:p>
    <w:p w14:paraId="20000C78" w14:textId="77777777" w:rsidR="00496244" w:rsidRPr="00492050" w:rsidRDefault="00496244" w:rsidP="00317057">
      <w:pPr>
        <w:pStyle w:val="ARbody"/>
      </w:pPr>
      <w:r w:rsidRPr="00492050">
        <w:t>The Audit and Risk Management Committee is</w:t>
      </w:r>
      <w:r>
        <w:t xml:space="preserve"> </w:t>
      </w:r>
      <w:r w:rsidRPr="00492050">
        <w:t xml:space="preserve">an independent committee established in accordance with the </w:t>
      </w:r>
      <w:r w:rsidRPr="00492050">
        <w:rPr>
          <w:i/>
        </w:rPr>
        <w:t>Financial Management Act 1994</w:t>
      </w:r>
      <w:r w:rsidRPr="00492050">
        <w:t xml:space="preserve"> and the Standing Directions of the Minister for Finance.</w:t>
      </w:r>
    </w:p>
    <w:p w14:paraId="3CEB0ED1" w14:textId="77777777" w:rsidR="00496244" w:rsidRPr="00492050" w:rsidRDefault="00496244" w:rsidP="00317057">
      <w:pPr>
        <w:pStyle w:val="ARbody"/>
      </w:pPr>
      <w:r w:rsidRPr="00492050">
        <w:t xml:space="preserve">The committee operates under an approved charter </w:t>
      </w:r>
      <w:r>
        <w:t>that</w:t>
      </w:r>
      <w:r w:rsidRPr="00492050">
        <w:t xml:space="preserve"> requires there are independent members with no departmental responsibility:</w:t>
      </w:r>
    </w:p>
    <w:p w14:paraId="20A43CBF" w14:textId="77777777" w:rsidR="00496244" w:rsidRPr="00492050" w:rsidRDefault="00496244" w:rsidP="00317057">
      <w:pPr>
        <w:pStyle w:val="ARbullet1"/>
      </w:pPr>
      <w:r>
        <w:t>Helen Thornton, Chair (independent appointee)</w:t>
      </w:r>
    </w:p>
    <w:p w14:paraId="57BB368A" w14:textId="77777777" w:rsidR="00496244" w:rsidRPr="00492050" w:rsidRDefault="00496244" w:rsidP="00317057">
      <w:pPr>
        <w:pStyle w:val="ARbullet1"/>
      </w:pPr>
      <w:r>
        <w:t>Laurinda Gardner (independent appointee)</w:t>
      </w:r>
    </w:p>
    <w:p w14:paraId="44282D17" w14:textId="77777777" w:rsidR="00496244" w:rsidRPr="00492050" w:rsidRDefault="00496244" w:rsidP="00317057">
      <w:pPr>
        <w:pStyle w:val="ARbullet1"/>
      </w:pPr>
      <w:r>
        <w:t>Peter Matthey (independent appointee to 31 December 2020)</w:t>
      </w:r>
    </w:p>
    <w:p w14:paraId="5456A6D8" w14:textId="77777777" w:rsidR="00496244" w:rsidRPr="00492050" w:rsidRDefault="00496244" w:rsidP="00317057">
      <w:pPr>
        <w:pStyle w:val="ARbullet1"/>
      </w:pPr>
      <w:r>
        <w:t>Kate Hughes (independent appointee from 1 June 2021)</w:t>
      </w:r>
    </w:p>
    <w:p w14:paraId="1B4B7DFE" w14:textId="77777777" w:rsidR="00496244" w:rsidRPr="00492050" w:rsidRDefault="00496244" w:rsidP="00317057">
      <w:pPr>
        <w:pStyle w:val="ARbullet1"/>
        <w:rPr>
          <w:rFonts w:asciiTheme="minorHAnsi" w:eastAsiaTheme="minorEastAsia" w:hAnsiTheme="minorHAnsi" w:cstheme="minorBidi"/>
        </w:rPr>
      </w:pPr>
      <w:r>
        <w:t>Mark Toohey (independent appointee from 1 June 2021).</w:t>
      </w:r>
    </w:p>
    <w:p w14:paraId="3A2D44BA" w14:textId="72974F91" w:rsidR="00496244" w:rsidRPr="00492050" w:rsidRDefault="00496244" w:rsidP="00317057">
      <w:pPr>
        <w:pStyle w:val="ARbodyafterbullets"/>
      </w:pPr>
      <w:r w:rsidRPr="00492050">
        <w:t>The committee is integral to the department</w:t>
      </w:r>
      <w:r w:rsidR="007D145B">
        <w:t>’</w:t>
      </w:r>
      <w:r w:rsidRPr="00492050">
        <w:t>s approach to governance, ensuring that systems and processes for identifying and monitoring risks are operating as intended.</w:t>
      </w:r>
    </w:p>
    <w:p w14:paraId="75B26A09" w14:textId="3D9C41A8" w:rsidR="00496244" w:rsidRPr="00492050" w:rsidRDefault="00496244" w:rsidP="00317057">
      <w:pPr>
        <w:pStyle w:val="ARbody"/>
      </w:pPr>
      <w:r w:rsidRPr="00492050">
        <w:t>The committee</w:t>
      </w:r>
      <w:r w:rsidR="007D145B">
        <w:t>’</w:t>
      </w:r>
      <w:r w:rsidRPr="00492050">
        <w:t>s responsibilities cover the following areas:</w:t>
      </w:r>
    </w:p>
    <w:p w14:paraId="589ACCA3" w14:textId="77777777" w:rsidR="00496244" w:rsidRPr="00492050" w:rsidRDefault="00496244" w:rsidP="00317057">
      <w:pPr>
        <w:pStyle w:val="ARbullet1"/>
      </w:pPr>
      <w:r>
        <w:t>annual financial statements</w:t>
      </w:r>
    </w:p>
    <w:p w14:paraId="45A95C4F" w14:textId="77777777" w:rsidR="00496244" w:rsidRPr="00492050" w:rsidRDefault="00496244" w:rsidP="00317057">
      <w:pPr>
        <w:pStyle w:val="ARbullet1"/>
      </w:pPr>
      <w:r>
        <w:t>financial management compliance attestation</w:t>
      </w:r>
    </w:p>
    <w:p w14:paraId="0D472D67" w14:textId="77777777" w:rsidR="00496244" w:rsidRPr="00492050" w:rsidRDefault="00496244" w:rsidP="00317057">
      <w:pPr>
        <w:pStyle w:val="ARbullet1"/>
      </w:pPr>
      <w:r>
        <w:t>risk management and internal controls</w:t>
      </w:r>
    </w:p>
    <w:p w14:paraId="7EA56EB4" w14:textId="77777777" w:rsidR="00496244" w:rsidRPr="00492050" w:rsidRDefault="00496244" w:rsidP="00317057">
      <w:pPr>
        <w:pStyle w:val="ARbullet1"/>
      </w:pPr>
      <w:r>
        <w:t>fraud and corruption control</w:t>
      </w:r>
    </w:p>
    <w:p w14:paraId="2B94E8A0" w14:textId="77777777" w:rsidR="00496244" w:rsidRPr="00492050" w:rsidRDefault="00496244" w:rsidP="00317057">
      <w:pPr>
        <w:pStyle w:val="ARbullet1"/>
      </w:pPr>
      <w:r>
        <w:t>legislative and policy compliance</w:t>
      </w:r>
    </w:p>
    <w:p w14:paraId="0AAD1812" w14:textId="77777777" w:rsidR="00496244" w:rsidRPr="00492050" w:rsidRDefault="00496244" w:rsidP="00317057">
      <w:pPr>
        <w:pStyle w:val="ARbullet1"/>
      </w:pPr>
      <w:r>
        <w:t>internal audit</w:t>
      </w:r>
    </w:p>
    <w:p w14:paraId="2D812B21" w14:textId="77777777" w:rsidR="00496244" w:rsidRDefault="00496244" w:rsidP="00317057">
      <w:pPr>
        <w:pStyle w:val="ARbullet1"/>
      </w:pPr>
      <w:r>
        <w:t>external audit.</w:t>
      </w:r>
    </w:p>
    <w:p w14:paraId="4F605A7E" w14:textId="04963E69" w:rsidR="00496244" w:rsidRPr="002029AF" w:rsidRDefault="00EC65C3" w:rsidP="00317057">
      <w:pPr>
        <w:pStyle w:val="Heading4"/>
      </w:pPr>
      <w:bookmarkStart w:id="406" w:name="_Toc85121212"/>
      <w:r>
        <w:br w:type="column"/>
      </w:r>
      <w:r w:rsidR="00496244" w:rsidRPr="002029AF">
        <w:t>Executive Remuneration Committee</w:t>
      </w:r>
      <w:bookmarkEnd w:id="406"/>
    </w:p>
    <w:p w14:paraId="3E7C74E2" w14:textId="77777777" w:rsidR="00496244" w:rsidRPr="002029AF" w:rsidRDefault="00496244" w:rsidP="00317057">
      <w:pPr>
        <w:pStyle w:val="ARbody"/>
      </w:pPr>
      <w:r>
        <w:t>The Executive Remuneration Committee e</w:t>
      </w:r>
      <w:r w:rsidRPr="002029AF">
        <w:t>nsures a consistent and rigorous approach is</w:t>
      </w:r>
      <w:r>
        <w:t> </w:t>
      </w:r>
      <w:r w:rsidRPr="002029AF">
        <w:t>taken to setting and adjusting executive remuneration.</w:t>
      </w:r>
    </w:p>
    <w:p w14:paraId="479CC52A" w14:textId="77777777" w:rsidR="00496244" w:rsidRPr="002029AF" w:rsidRDefault="00496244" w:rsidP="00317057">
      <w:pPr>
        <w:pStyle w:val="Heading4"/>
      </w:pPr>
      <w:bookmarkStart w:id="407" w:name="_Toc85121213"/>
      <w:r w:rsidRPr="002029AF">
        <w:t>Health and Safety Consultation Committee</w:t>
      </w:r>
      <w:bookmarkEnd w:id="407"/>
    </w:p>
    <w:p w14:paraId="6444A589" w14:textId="77777777" w:rsidR="00496244" w:rsidRPr="00492050" w:rsidRDefault="00496244" w:rsidP="00317057">
      <w:pPr>
        <w:pStyle w:val="ARbody"/>
      </w:pPr>
      <w:r>
        <w:t>The Health and Safety Consultation Committee provides a department-wide forum for consultation with key stakeholders on priority departmental health and safety matters.</w:t>
      </w:r>
    </w:p>
    <w:p w14:paraId="388F6B56" w14:textId="77777777" w:rsidR="00496244" w:rsidRPr="002029AF" w:rsidRDefault="00496244" w:rsidP="00317057">
      <w:pPr>
        <w:pStyle w:val="Heading3"/>
      </w:pPr>
      <w:bookmarkStart w:id="408" w:name="_Toc85121214"/>
      <w:r w:rsidRPr="002029AF">
        <w:t xml:space="preserve">Other </w:t>
      </w:r>
      <w:r>
        <w:t>i</w:t>
      </w:r>
      <w:r w:rsidRPr="002029AF">
        <w:t xml:space="preserve">nternal </w:t>
      </w:r>
      <w:r>
        <w:t>c</w:t>
      </w:r>
      <w:r w:rsidRPr="002029AF">
        <w:t>ommittees</w:t>
      </w:r>
      <w:bookmarkEnd w:id="408"/>
    </w:p>
    <w:p w14:paraId="711591AA" w14:textId="77777777" w:rsidR="00496244" w:rsidRPr="002029AF" w:rsidRDefault="00496244" w:rsidP="00317057">
      <w:pPr>
        <w:pStyle w:val="ARbody"/>
      </w:pPr>
      <w:r w:rsidRPr="002029AF">
        <w:rPr>
          <w:lang w:eastAsia="en-AU"/>
        </w:rPr>
        <w:t>The department also has the following ongoing internal committees:</w:t>
      </w:r>
    </w:p>
    <w:p w14:paraId="63821546" w14:textId="77777777" w:rsidR="00496244" w:rsidRPr="002029AF" w:rsidRDefault="00496244" w:rsidP="00317057">
      <w:pPr>
        <w:pStyle w:val="ARbullet1"/>
      </w:pPr>
      <w:r w:rsidRPr="00064E3C">
        <w:t>Our Pride Network Committee</w:t>
      </w:r>
    </w:p>
    <w:p w14:paraId="10771BA3" w14:textId="77777777" w:rsidR="00496244" w:rsidRPr="000252C4" w:rsidRDefault="00496244" w:rsidP="00317057">
      <w:pPr>
        <w:pStyle w:val="ARbullet1"/>
      </w:pPr>
      <w:r w:rsidRPr="000252C4">
        <w:t>Divisional Occupational Health and Safety committees</w:t>
      </w:r>
    </w:p>
    <w:p w14:paraId="446C03B2" w14:textId="77777777" w:rsidR="00496244" w:rsidRDefault="00496244" w:rsidP="00317057">
      <w:pPr>
        <w:pStyle w:val="ARbullet1"/>
      </w:pPr>
      <w:r w:rsidRPr="000252C4">
        <w:t>Procurement Committee</w:t>
      </w:r>
      <w:r>
        <w:t>.</w:t>
      </w:r>
    </w:p>
    <w:p w14:paraId="57B0F3A4" w14:textId="77777777" w:rsidR="00496244" w:rsidRDefault="00496244" w:rsidP="00496244">
      <w:pPr>
        <w:pStyle w:val="ARbody"/>
      </w:pPr>
    </w:p>
    <w:p w14:paraId="31EE4E16" w14:textId="0FA2129E" w:rsidR="00496244" w:rsidRPr="00496244" w:rsidRDefault="00496244" w:rsidP="00496244">
      <w:pPr>
        <w:pStyle w:val="ARbody"/>
        <w:sectPr w:rsidR="00496244" w:rsidRPr="00496244" w:rsidSect="004330D7">
          <w:footnotePr>
            <w:numFmt w:val="lowerLetter"/>
            <w:numRestart w:val="eachPage"/>
          </w:footnotePr>
          <w:endnotePr>
            <w:numFmt w:val="decimal"/>
          </w:endnotePr>
          <w:type w:val="continuous"/>
          <w:pgSz w:w="11900" w:h="16840" w:code="9"/>
          <w:pgMar w:top="1985" w:right="1134" w:bottom="851" w:left="1134" w:header="510" w:footer="340" w:gutter="0"/>
          <w:cols w:num="2" w:space="454"/>
        </w:sectPr>
      </w:pPr>
    </w:p>
    <w:p w14:paraId="011EA303" w14:textId="5092FC85" w:rsidR="00524C5E" w:rsidRDefault="00524C5E" w:rsidP="00A952A7">
      <w:pPr>
        <w:pStyle w:val="Heading1"/>
      </w:pPr>
      <w:bookmarkStart w:id="409" w:name="_Toc85121215"/>
      <w:bookmarkStart w:id="410" w:name="_Toc85121608"/>
      <w:bookmarkStart w:id="411" w:name="_Toc86075591"/>
      <w:r>
        <w:lastRenderedPageBreak/>
        <w:t xml:space="preserve">Section 3: </w:t>
      </w:r>
      <w:r w:rsidRPr="00E164D6">
        <w:t>Workforce data</w:t>
      </w:r>
      <w:bookmarkEnd w:id="409"/>
      <w:bookmarkEnd w:id="410"/>
      <w:bookmarkEnd w:id="411"/>
    </w:p>
    <w:p w14:paraId="71BABBD9" w14:textId="77777777" w:rsidR="00967B31" w:rsidRDefault="00967B31" w:rsidP="00524C5E">
      <w:pPr>
        <w:pStyle w:val="Heading2"/>
        <w:spacing w:before="0" w:after="240"/>
        <w:sectPr w:rsidR="00967B31" w:rsidSect="00496244">
          <w:footnotePr>
            <w:numFmt w:val="lowerLetter"/>
            <w:numRestart w:val="eachPage"/>
          </w:footnotePr>
          <w:endnotePr>
            <w:numFmt w:val="decimal"/>
          </w:endnotePr>
          <w:pgSz w:w="11900" w:h="16840" w:code="9"/>
          <w:pgMar w:top="1985" w:right="1134" w:bottom="851" w:left="1134" w:header="510" w:footer="340" w:gutter="0"/>
          <w:cols w:space="454"/>
        </w:sectPr>
      </w:pPr>
    </w:p>
    <w:p w14:paraId="0F604F68" w14:textId="60C7F2CE" w:rsidR="00524C5E" w:rsidRPr="00B64216" w:rsidRDefault="00524C5E" w:rsidP="00DA5F2B">
      <w:pPr>
        <w:pStyle w:val="Heading2"/>
        <w:spacing w:before="0"/>
        <w:rPr>
          <w:rFonts w:cs="Arial"/>
        </w:rPr>
      </w:pPr>
      <w:bookmarkStart w:id="412" w:name="_Ref84240929"/>
      <w:bookmarkStart w:id="413" w:name="_Toc85121216"/>
      <w:bookmarkStart w:id="414" w:name="_Toc85121609"/>
      <w:bookmarkStart w:id="415" w:name="_Toc86075592"/>
      <w:r w:rsidRPr="00B64216">
        <w:rPr>
          <w:rFonts w:cs="Arial"/>
        </w:rPr>
        <w:t>Public sector values and employment principles</w:t>
      </w:r>
      <w:bookmarkEnd w:id="412"/>
      <w:bookmarkEnd w:id="413"/>
      <w:bookmarkEnd w:id="414"/>
      <w:bookmarkEnd w:id="415"/>
    </w:p>
    <w:p w14:paraId="47C4EEE3" w14:textId="55412E32" w:rsidR="00524C5E" w:rsidRDefault="00524C5E" w:rsidP="00524C5E">
      <w:pPr>
        <w:pStyle w:val="ARbody"/>
      </w:pPr>
      <w:r>
        <w:t xml:space="preserve">The </w:t>
      </w:r>
      <w:r w:rsidRPr="00920302">
        <w:rPr>
          <w:i/>
          <w:iCs/>
        </w:rPr>
        <w:t>Public Administration Act 2004</w:t>
      </w:r>
      <w:r>
        <w:t xml:space="preserve"> established the</w:t>
      </w:r>
      <w:r w:rsidR="00EC65C3">
        <w:t> </w:t>
      </w:r>
      <w:r>
        <w:t>Victorian Public Sector Commission (VPSC). The VPSC</w:t>
      </w:r>
      <w:r w:rsidR="007D145B">
        <w:t>’</w:t>
      </w:r>
      <w:r>
        <w:t>s role is to strengthen public sector efficiency, effectiveness and capability, and advocate for public sector professionalism and integrity.</w:t>
      </w:r>
    </w:p>
    <w:p w14:paraId="690D5D4B" w14:textId="7B5CDAA1" w:rsidR="00524C5E" w:rsidRDefault="00524C5E" w:rsidP="00524C5E">
      <w:pPr>
        <w:pStyle w:val="ARbody"/>
      </w:pPr>
      <w:r>
        <w:t>The department</w:t>
      </w:r>
      <w:r w:rsidR="007D145B">
        <w:t>’</w:t>
      </w:r>
      <w:r w:rsidR="00562E2A">
        <w:t>s</w:t>
      </w:r>
      <w:r>
        <w:t xml:space="preserve"> policies and practices are consistent with the VPSC</w:t>
      </w:r>
      <w:r w:rsidR="007D145B">
        <w:t>’</w:t>
      </w:r>
      <w:r>
        <w:t>s employment standards and provide for fair treatment, career opportunities and the early resolution of workplace issues. The department advise</w:t>
      </w:r>
      <w:r w:rsidR="00562E2A">
        <w:t>s</w:t>
      </w:r>
      <w:r>
        <w:t xml:space="preserve"> its employees on how to avoid conflicts of interest, how to respond to offers of gifts and how misconduct</w:t>
      </w:r>
      <w:r w:rsidR="002A082B">
        <w:t xml:space="preserve"> is dealt with</w:t>
      </w:r>
      <w:r>
        <w:t>.</w:t>
      </w:r>
    </w:p>
    <w:p w14:paraId="40C0F67D" w14:textId="77777777" w:rsidR="00524C5E" w:rsidRDefault="00524C5E" w:rsidP="00524C5E">
      <w:pPr>
        <w:pStyle w:val="Heading3"/>
      </w:pPr>
      <w:bookmarkStart w:id="416" w:name="_Toc85121217"/>
      <w:r w:rsidRPr="002029AF">
        <w:t>Employment and conduct principles</w:t>
      </w:r>
      <w:bookmarkEnd w:id="416"/>
    </w:p>
    <w:p w14:paraId="45BCF6FF" w14:textId="77777777" w:rsidR="00524C5E" w:rsidRPr="002029AF" w:rsidRDefault="00524C5E" w:rsidP="00D6546D">
      <w:pPr>
        <w:pStyle w:val="ARbody"/>
      </w:pPr>
      <w:r w:rsidRPr="002029AF">
        <w:t>The values and employment principles that apply to</w:t>
      </w:r>
      <w:r>
        <w:t> </w:t>
      </w:r>
      <w:r w:rsidRPr="002029AF">
        <w:t>the broader public sector are detailed in the</w:t>
      </w:r>
      <w:r w:rsidRPr="002029AF">
        <w:rPr>
          <w:i/>
          <w:iCs/>
        </w:rPr>
        <w:t xml:space="preserve"> Public Administration Act 2004.</w:t>
      </w:r>
    </w:p>
    <w:p w14:paraId="7D5C6974" w14:textId="77777777" w:rsidR="00524C5E" w:rsidRPr="002029AF" w:rsidRDefault="00524C5E" w:rsidP="00D6546D">
      <w:pPr>
        <w:pStyle w:val="ARbody"/>
      </w:pPr>
      <w:r w:rsidRPr="002029AF">
        <w:t>The department complies with these employment principles and continually updates its policies and procedures to advance them.</w:t>
      </w:r>
    </w:p>
    <w:p w14:paraId="5D4678A8" w14:textId="0A3FD669" w:rsidR="00524C5E" w:rsidRDefault="00524C5E" w:rsidP="00D6546D">
      <w:pPr>
        <w:pStyle w:val="ARbody"/>
      </w:pPr>
      <w:r w:rsidRPr="002029AF">
        <w:t>The department</w:t>
      </w:r>
      <w:r w:rsidR="007D145B">
        <w:t>’</w:t>
      </w:r>
      <w:r w:rsidRPr="002029AF">
        <w:t>s values are also aligned to those set out in the Act. It is committed to applying merit and equity principles to all employment policies, programs and resources and ensures its values are implemented throughout the department, including through performance planning and employee recognition processes.</w:t>
      </w:r>
    </w:p>
    <w:p w14:paraId="738FA610" w14:textId="77777777" w:rsidR="00524C5E" w:rsidRPr="002029AF" w:rsidRDefault="00524C5E" w:rsidP="00524C5E">
      <w:pPr>
        <w:pStyle w:val="Heading3"/>
      </w:pPr>
      <w:bookmarkStart w:id="417" w:name="_Toc85121218"/>
      <w:r w:rsidRPr="002029AF">
        <w:t>Our People</w:t>
      </w:r>
      <w:bookmarkEnd w:id="417"/>
    </w:p>
    <w:p w14:paraId="68E29644" w14:textId="06F2BD33" w:rsidR="00524C5E" w:rsidRPr="002029AF" w:rsidRDefault="00524C5E" w:rsidP="00570456">
      <w:pPr>
        <w:pStyle w:val="ARbody"/>
      </w:pPr>
      <w:r w:rsidRPr="002029AF">
        <w:t>The department</w:t>
      </w:r>
      <w:r w:rsidR="007D145B">
        <w:t>’</w:t>
      </w:r>
      <w:r w:rsidRPr="002029AF">
        <w:t>s people work across a range of fields including aged care, mental health</w:t>
      </w:r>
      <w:r>
        <w:t xml:space="preserve">, </w:t>
      </w:r>
      <w:r w:rsidRPr="002029AF">
        <w:t>public health and prevention</w:t>
      </w:r>
      <w:r>
        <w:t>.</w:t>
      </w:r>
      <w:r w:rsidRPr="002029AF">
        <w:t xml:space="preserve"> The corporate and executive support functions play an essential enabling role across human resources, communications, information technology, finance and business services.</w:t>
      </w:r>
    </w:p>
    <w:p w14:paraId="57ABA29E" w14:textId="25D0DBD2" w:rsidR="00524C5E" w:rsidRPr="002029AF" w:rsidRDefault="00524C5E" w:rsidP="00570456">
      <w:pPr>
        <w:pStyle w:val="ARbody"/>
      </w:pPr>
      <w:r w:rsidRPr="002029AF">
        <w:t>The department</w:t>
      </w:r>
      <w:r w:rsidR="007D145B">
        <w:t>’</w:t>
      </w:r>
      <w:r w:rsidRPr="002029AF">
        <w:t>s strategic plan sets out the directions and priorities for service delivery.</w:t>
      </w:r>
    </w:p>
    <w:p w14:paraId="6E8A6129" w14:textId="5C4387F9" w:rsidR="00524C5E" w:rsidRPr="002029AF" w:rsidRDefault="00524C5E" w:rsidP="003C51B1">
      <w:pPr>
        <w:pStyle w:val="Heading3"/>
        <w:spacing w:before="0"/>
      </w:pPr>
      <w:bookmarkStart w:id="418" w:name="_Toc85121219"/>
      <w:r w:rsidRPr="002029AF">
        <w:t>People strategy</w:t>
      </w:r>
      <w:bookmarkEnd w:id="418"/>
    </w:p>
    <w:p w14:paraId="73FD3015" w14:textId="507F2029" w:rsidR="00F8606E" w:rsidRDefault="00524C5E" w:rsidP="00570456">
      <w:pPr>
        <w:pStyle w:val="ARbody"/>
      </w:pPr>
      <w:r w:rsidRPr="002029AF">
        <w:t>The department</w:t>
      </w:r>
      <w:r w:rsidR="007D145B">
        <w:t>’</w:t>
      </w:r>
      <w:r w:rsidRPr="002029AF">
        <w:t xml:space="preserve">s </w:t>
      </w:r>
      <w:r w:rsidRPr="002B1364">
        <w:rPr>
          <w:i/>
          <w:iCs/>
        </w:rPr>
        <w:t>People Strategy</w:t>
      </w:r>
      <w:r w:rsidR="002A082B" w:rsidRPr="002B1364">
        <w:rPr>
          <w:i/>
          <w:iCs/>
        </w:rPr>
        <w:t xml:space="preserve"> 2020+</w:t>
      </w:r>
      <w:r w:rsidRPr="002029AF">
        <w:t xml:space="preserve"> continues to</w:t>
      </w:r>
      <w:r>
        <w:t xml:space="preserve"> </w:t>
      </w:r>
      <w:r w:rsidRPr="002029AF">
        <w:t>be a</w:t>
      </w:r>
      <w:r w:rsidR="006A4843">
        <w:t xml:space="preserve"> </w:t>
      </w:r>
      <w:r w:rsidRPr="002029AF">
        <w:t>driver in enabling the delivery of services we provide to the community.</w:t>
      </w:r>
    </w:p>
    <w:p w14:paraId="198184F5" w14:textId="6D65FEF8" w:rsidR="00524C5E" w:rsidRPr="002029AF" w:rsidRDefault="00524C5E" w:rsidP="00570456">
      <w:pPr>
        <w:pStyle w:val="ARbody"/>
      </w:pPr>
      <w:r w:rsidRPr="002029AF">
        <w:t xml:space="preserve">To meet the changing needs of </w:t>
      </w:r>
      <w:r>
        <w:t>the department and</w:t>
      </w:r>
      <w:r w:rsidR="00EC65C3">
        <w:t> </w:t>
      </w:r>
      <w:r w:rsidRPr="002029AF">
        <w:t xml:space="preserve">those we serve the </w:t>
      </w:r>
      <w:r w:rsidR="00050016">
        <w:t>p</w:t>
      </w:r>
      <w:r w:rsidR="005C647A" w:rsidRPr="00050016">
        <w:t>eop</w:t>
      </w:r>
      <w:r w:rsidR="005C647A" w:rsidRPr="00456E98">
        <w:t xml:space="preserve">le </w:t>
      </w:r>
      <w:r w:rsidR="002A082B" w:rsidRPr="00456E98">
        <w:t>strategy</w:t>
      </w:r>
      <w:r w:rsidR="002A082B">
        <w:t xml:space="preserve"> </w:t>
      </w:r>
      <w:r w:rsidR="00562E2A">
        <w:t xml:space="preserve">is regularly </w:t>
      </w:r>
      <w:r w:rsidRPr="002029AF">
        <w:t xml:space="preserve">refreshed to ensure we continue to provide a working environment that </w:t>
      </w:r>
      <w:r>
        <w:t>supports the needs</w:t>
      </w:r>
      <w:r w:rsidRPr="002029AF">
        <w:t xml:space="preserve"> of our </w:t>
      </w:r>
      <w:r>
        <w:t xml:space="preserve">staff, </w:t>
      </w:r>
      <w:r w:rsidRPr="002029AF">
        <w:t>clients, patients, customers and stakeholders.</w:t>
      </w:r>
    </w:p>
    <w:p w14:paraId="18D65976" w14:textId="2FA995B0" w:rsidR="00524C5E" w:rsidRPr="002029AF" w:rsidRDefault="00524C5E" w:rsidP="00570456">
      <w:pPr>
        <w:pStyle w:val="ARbody"/>
      </w:pPr>
      <w:r w:rsidRPr="002029AF">
        <w:t xml:space="preserve">The </w:t>
      </w:r>
      <w:r w:rsidR="00050016">
        <w:t>p</w:t>
      </w:r>
      <w:r w:rsidRPr="00050016">
        <w:t xml:space="preserve">eople </w:t>
      </w:r>
      <w:r w:rsidR="005C647A" w:rsidRPr="002B1364">
        <w:t>s</w:t>
      </w:r>
      <w:r w:rsidRPr="00050016">
        <w:t>trategy</w:t>
      </w:r>
      <w:r w:rsidRPr="002029AF">
        <w:t xml:space="preserve"> </w:t>
      </w:r>
      <w:r>
        <w:t>represents</w:t>
      </w:r>
      <w:r w:rsidRPr="002029AF">
        <w:t xml:space="preserve"> the </w:t>
      </w:r>
      <w:r>
        <w:t>department</w:t>
      </w:r>
      <w:r w:rsidR="007D145B">
        <w:t>’</w:t>
      </w:r>
      <w:r>
        <w:t>s</w:t>
      </w:r>
      <w:r w:rsidRPr="002029AF">
        <w:t xml:space="preserve"> ongoing commitment to</w:t>
      </w:r>
      <w:r>
        <w:t> </w:t>
      </w:r>
      <w:r w:rsidRPr="002029AF">
        <w:t>invest</w:t>
      </w:r>
      <w:r w:rsidR="005C647A">
        <w:t>ing</w:t>
      </w:r>
      <w:r w:rsidRPr="002029AF">
        <w:t xml:space="preserve"> in developing and supporting our people</w:t>
      </w:r>
      <w:r w:rsidR="005C647A">
        <w:t>,</w:t>
      </w:r>
      <w:r w:rsidR="00A8094E">
        <w:t xml:space="preserve"> </w:t>
      </w:r>
      <w:r w:rsidR="005C647A">
        <w:t>and it</w:t>
      </w:r>
      <w:r w:rsidRPr="002029AF">
        <w:t xml:space="preserve"> continues to focus on</w:t>
      </w:r>
      <w:r w:rsidR="006A4843">
        <w:t xml:space="preserve"> </w:t>
      </w:r>
      <w:r w:rsidRPr="002029AF">
        <w:t>five core themes:</w:t>
      </w:r>
    </w:p>
    <w:p w14:paraId="7232CF04" w14:textId="3E64035C" w:rsidR="00524C5E" w:rsidRPr="002029AF" w:rsidRDefault="00926B73" w:rsidP="003C51B1">
      <w:pPr>
        <w:pStyle w:val="ARbullet1"/>
      </w:pPr>
      <w:r>
        <w:t>attract</w:t>
      </w:r>
      <w:r w:rsidRPr="002029AF">
        <w:t xml:space="preserve"> </w:t>
      </w:r>
      <w:r w:rsidR="00524C5E" w:rsidRPr="002029AF">
        <w:t>a diverse and high-performing workforce</w:t>
      </w:r>
    </w:p>
    <w:p w14:paraId="223CD3C7" w14:textId="1DAF32D2" w:rsidR="00524C5E" w:rsidRPr="002029AF" w:rsidRDefault="00A54CEB" w:rsidP="00570456">
      <w:pPr>
        <w:pStyle w:val="ARbullet1"/>
      </w:pPr>
      <w:r>
        <w:t>inspire and grow</w:t>
      </w:r>
      <w:r w:rsidR="00A8094E">
        <w:t xml:space="preserve"> </w:t>
      </w:r>
      <w:r w:rsidR="00524C5E" w:rsidRPr="002029AF">
        <w:t>our people</w:t>
      </w:r>
    </w:p>
    <w:p w14:paraId="12952E92" w14:textId="040B6684" w:rsidR="00524C5E" w:rsidRPr="002029AF" w:rsidRDefault="005C647A" w:rsidP="00570456">
      <w:pPr>
        <w:pStyle w:val="ARbullet1"/>
      </w:pPr>
      <w:r>
        <w:t>e</w:t>
      </w:r>
      <w:r w:rsidR="00524C5E" w:rsidRPr="002029AF">
        <w:t>ngag</w:t>
      </w:r>
      <w:r w:rsidR="00A54CEB">
        <w:t>e</w:t>
      </w:r>
      <w:r w:rsidR="00524C5E" w:rsidRPr="002029AF">
        <w:t xml:space="preserve"> and </w:t>
      </w:r>
      <w:r w:rsidR="00A54CEB">
        <w:t>retain</w:t>
      </w:r>
      <w:r w:rsidR="00524C5E" w:rsidRPr="002029AF">
        <w:t xml:space="preserve"> our people</w:t>
      </w:r>
    </w:p>
    <w:p w14:paraId="00285023" w14:textId="4720829F" w:rsidR="00524C5E" w:rsidRPr="002B1364" w:rsidRDefault="00524C5E" w:rsidP="00570456">
      <w:pPr>
        <w:pStyle w:val="ARbullet1"/>
      </w:pPr>
      <w:r w:rsidRPr="002B1364">
        <w:t>purposeful leadership</w:t>
      </w:r>
    </w:p>
    <w:p w14:paraId="259711ED" w14:textId="453FF16B" w:rsidR="00524C5E" w:rsidRPr="002B1364" w:rsidRDefault="005C647A" w:rsidP="00570456">
      <w:pPr>
        <w:pStyle w:val="ARbullet1"/>
      </w:pPr>
      <w:r w:rsidRPr="002B1364">
        <w:t>c</w:t>
      </w:r>
      <w:r w:rsidR="00524C5E" w:rsidRPr="002B1364">
        <w:t>reat</w:t>
      </w:r>
      <w:r w:rsidR="00B17251">
        <w:t>e</w:t>
      </w:r>
      <w:r w:rsidR="00524C5E" w:rsidRPr="002B1364">
        <w:t xml:space="preserve"> a great people experience.</w:t>
      </w:r>
    </w:p>
    <w:p w14:paraId="63555DC5" w14:textId="77777777" w:rsidR="00524C5E" w:rsidRPr="002029AF" w:rsidRDefault="00524C5E" w:rsidP="00FC001B">
      <w:pPr>
        <w:pStyle w:val="ARbodyafterbullets"/>
      </w:pPr>
      <w:r w:rsidRPr="002B1364">
        <w:t>Key highlights for the year</w:t>
      </w:r>
      <w:r w:rsidRPr="002029AF">
        <w:t xml:space="preserve"> include:</w:t>
      </w:r>
    </w:p>
    <w:p w14:paraId="5CFB404E" w14:textId="58E2A459" w:rsidR="00524C5E" w:rsidRDefault="00A8094E" w:rsidP="003C51B1">
      <w:pPr>
        <w:pStyle w:val="ARbullet1"/>
        <w:rPr>
          <w:rFonts w:asciiTheme="minorHAnsi" w:eastAsiaTheme="minorEastAsia" w:hAnsiTheme="minorHAnsi" w:cstheme="minorBidi"/>
          <w:szCs w:val="20"/>
        </w:rPr>
      </w:pPr>
      <w:r>
        <w:t>c</w:t>
      </w:r>
      <w:r w:rsidR="00524C5E">
        <w:t>ontinuing to enhance the diversity of our workforce so that we are more reflective of the community we serve</w:t>
      </w:r>
      <w:r w:rsidR="009D0A47">
        <w:t>. This involves</w:t>
      </w:r>
      <w:r w:rsidR="00524C5E">
        <w:t xml:space="preserve"> </w:t>
      </w:r>
      <w:r w:rsidR="009D0A47" w:rsidRPr="002B1364">
        <w:t xml:space="preserve">the </w:t>
      </w:r>
      <w:r w:rsidR="00524C5E" w:rsidRPr="009D0A47">
        <w:t>ongoing implementation of strategies</w:t>
      </w:r>
      <w:r w:rsidR="00524C5E" w:rsidRPr="00236DCB">
        <w:t xml:space="preserve"> for</w:t>
      </w:r>
      <w:r w:rsidR="00524C5E">
        <w:t xml:space="preserve"> Aboriginal employment, disability employment, lesbian, gay, bisexual, trans, gender diverse, intersex and queer and/or questioning (LGBTIQ) inclusion, and gender equality</w:t>
      </w:r>
    </w:p>
    <w:p w14:paraId="2DDEE633" w14:textId="51FC83CA" w:rsidR="00524C5E" w:rsidRPr="003C51B1" w:rsidRDefault="00A8094E" w:rsidP="003C51B1">
      <w:pPr>
        <w:pStyle w:val="ARbullet1"/>
      </w:pPr>
      <w:r>
        <w:t>o</w:t>
      </w:r>
      <w:r w:rsidR="00524C5E" w:rsidRPr="03D3438F">
        <w:t>ngoing implementation of the RISE@DHHS progra</w:t>
      </w:r>
      <w:r w:rsidR="00524C5E" w:rsidRPr="003C51B1">
        <w:t>m to provide meaningful employment for people on the autism spectrum</w:t>
      </w:r>
    </w:p>
    <w:p w14:paraId="5B3201A6" w14:textId="3129271A" w:rsidR="00524C5E" w:rsidRPr="003C51B1" w:rsidRDefault="00A8094E" w:rsidP="003C51B1">
      <w:pPr>
        <w:pStyle w:val="ARbullet1"/>
      </w:pPr>
      <w:r>
        <w:t>i</w:t>
      </w:r>
      <w:r w:rsidR="00524C5E" w:rsidRPr="003C51B1">
        <w:t xml:space="preserve">mplementing the Workplace Equality and Respect process, supporting </w:t>
      </w:r>
      <w:r>
        <w:t>our efforts</w:t>
      </w:r>
      <w:r w:rsidRPr="003C51B1">
        <w:t xml:space="preserve"> </w:t>
      </w:r>
      <w:r w:rsidR="00524C5E" w:rsidRPr="003C51B1">
        <w:t xml:space="preserve">to identify key actions to ensure gender equality and respect are the centre </w:t>
      </w:r>
      <w:r>
        <w:t>of everything</w:t>
      </w:r>
      <w:r w:rsidR="00524C5E" w:rsidRPr="003C51B1">
        <w:t xml:space="preserve"> we do</w:t>
      </w:r>
    </w:p>
    <w:p w14:paraId="28763651" w14:textId="556C5C85" w:rsidR="00524C5E" w:rsidRPr="003C51B1" w:rsidRDefault="00A8094E" w:rsidP="003C51B1">
      <w:pPr>
        <w:pStyle w:val="ARbullet1"/>
      </w:pPr>
      <w:r>
        <w:t>b</w:t>
      </w:r>
      <w:r w:rsidR="00524C5E" w:rsidRPr="003C51B1">
        <w:t>uilding a culture of human rights</w:t>
      </w:r>
      <w:r w:rsidR="00551460">
        <w:t xml:space="preserve"> by</w:t>
      </w:r>
      <w:r w:rsidR="00524C5E" w:rsidRPr="003C51B1">
        <w:t xml:space="preserve"> working with the Human Rights </w:t>
      </w:r>
      <w:r>
        <w:t>C</w:t>
      </w:r>
      <w:r w:rsidR="00524C5E" w:rsidRPr="003C51B1">
        <w:t>ommission to increase capability in decision</w:t>
      </w:r>
      <w:r>
        <w:t>-</w:t>
      </w:r>
      <w:r w:rsidR="00524C5E" w:rsidRPr="003C51B1">
        <w:t>making</w:t>
      </w:r>
      <w:r w:rsidR="00551460">
        <w:t>,</w:t>
      </w:r>
      <w:r w:rsidR="00524C5E" w:rsidRPr="003C51B1">
        <w:t xml:space="preserve"> using the human rights framework</w:t>
      </w:r>
    </w:p>
    <w:p w14:paraId="79AA1C70" w14:textId="2F6967FF" w:rsidR="00524C5E" w:rsidRDefault="00A8094E" w:rsidP="003C51B1">
      <w:pPr>
        <w:pStyle w:val="ARbullet1"/>
        <w:rPr>
          <w:rFonts w:asciiTheme="minorHAnsi" w:eastAsiaTheme="minorEastAsia" w:hAnsiTheme="minorHAnsi" w:cstheme="minorBidi"/>
        </w:rPr>
      </w:pPr>
      <w:r>
        <w:t>e</w:t>
      </w:r>
      <w:r w:rsidR="00524C5E" w:rsidRPr="003C51B1">
        <w:t>mbracing new technology to enhance employee services and experiences through the</w:t>
      </w:r>
      <w:r w:rsidR="00EC65C3">
        <w:t> </w:t>
      </w:r>
      <w:r w:rsidR="00524C5E" w:rsidRPr="003C51B1">
        <w:t>implementation of the LinkedIn learning platform, Grace P</w:t>
      </w:r>
      <w:r w:rsidR="00524C5E">
        <w:t>apers</w:t>
      </w:r>
      <w:r w:rsidR="00551460">
        <w:t>,</w:t>
      </w:r>
      <w:r w:rsidR="00524C5E">
        <w:t xml:space="preserve"> and </w:t>
      </w:r>
      <w:r w:rsidR="00551460">
        <w:t xml:space="preserve">the </w:t>
      </w:r>
      <w:r w:rsidR="00524C5E">
        <w:t>upgrade of our</w:t>
      </w:r>
      <w:r w:rsidR="00EC65C3">
        <w:t> </w:t>
      </w:r>
      <w:r w:rsidR="00524C5E">
        <w:t>existing eLearning Portal</w:t>
      </w:r>
    </w:p>
    <w:p w14:paraId="0E11EBAD" w14:textId="1355497F" w:rsidR="00524C5E" w:rsidRPr="003C51B1" w:rsidRDefault="00551460" w:rsidP="003C51B1">
      <w:pPr>
        <w:pStyle w:val="ARbullet1"/>
      </w:pPr>
      <w:r>
        <w:lastRenderedPageBreak/>
        <w:t>t</w:t>
      </w:r>
      <w:r w:rsidR="00524C5E">
        <w:t>argeting our focus to build capabilities required for the future by pivoting our department</w:t>
      </w:r>
      <w:r>
        <w:t>-</w:t>
      </w:r>
      <w:r w:rsidR="00524C5E">
        <w:t>wide capability framework into professional capability sets</w:t>
      </w:r>
      <w:r>
        <w:t>, which</w:t>
      </w:r>
      <w:r w:rsidR="00524C5E">
        <w:t xml:space="preserve"> ensur</w:t>
      </w:r>
      <w:r w:rsidR="00524C5E" w:rsidRPr="003C51B1">
        <w:t>e</w:t>
      </w:r>
      <w:r>
        <w:t>s</w:t>
      </w:r>
      <w:r w:rsidR="00524C5E" w:rsidRPr="003C51B1">
        <w:t xml:space="preserve"> we have</w:t>
      </w:r>
      <w:r>
        <w:t xml:space="preserve"> the</w:t>
      </w:r>
      <w:r w:rsidR="00524C5E" w:rsidRPr="003C51B1">
        <w:t xml:space="preserve"> relevant skills and knowledge to contribute to the department</w:t>
      </w:r>
      <w:r w:rsidR="007D145B">
        <w:t>’</w:t>
      </w:r>
      <w:r w:rsidR="00524C5E" w:rsidRPr="003C51B1">
        <w:t>s future responsiveness</w:t>
      </w:r>
    </w:p>
    <w:p w14:paraId="608B1068" w14:textId="74CD4982" w:rsidR="00524C5E" w:rsidRPr="003C51B1" w:rsidRDefault="00551460" w:rsidP="003C51B1">
      <w:pPr>
        <w:pStyle w:val="ARbullet1"/>
      </w:pPr>
      <w:r>
        <w:t>o</w:t>
      </w:r>
      <w:r w:rsidR="00524C5E" w:rsidRPr="003C51B1">
        <w:t>ngoing delivery of key leadership programs</w:t>
      </w:r>
      <w:r>
        <w:t>,</w:t>
      </w:r>
      <w:r w:rsidR="00524C5E" w:rsidRPr="003C51B1">
        <w:t xml:space="preserve"> such as the Leading with Respect program</w:t>
      </w:r>
      <w:r>
        <w:t>,</w:t>
      </w:r>
      <w:r w:rsidR="00524C5E" w:rsidRPr="003C51B1">
        <w:t xml:space="preserve"> to</w:t>
      </w:r>
      <w:r w:rsidR="00EC65C3">
        <w:t> </w:t>
      </w:r>
      <w:r w:rsidR="00524C5E" w:rsidRPr="003C51B1">
        <w:t xml:space="preserve">enhance leadership capability </w:t>
      </w:r>
      <w:r>
        <w:t>and</w:t>
      </w:r>
      <w:r w:rsidRPr="003C51B1">
        <w:t xml:space="preserve"> </w:t>
      </w:r>
      <w:r w:rsidR="00524C5E" w:rsidRPr="003C51B1">
        <w:t>build a positive workplace culture</w:t>
      </w:r>
    </w:p>
    <w:p w14:paraId="52014756" w14:textId="40AAAC5D" w:rsidR="00524C5E" w:rsidRPr="003C51B1" w:rsidRDefault="00B16C54" w:rsidP="003C51B1">
      <w:pPr>
        <w:pStyle w:val="ARbullet1"/>
      </w:pPr>
      <w:r>
        <w:t xml:space="preserve">introducing </w:t>
      </w:r>
      <w:r w:rsidR="00551460">
        <w:t>m</w:t>
      </w:r>
      <w:r w:rsidR="00524C5E" w:rsidRPr="003C51B1">
        <w:t xml:space="preserve">icro-credentialing to enable employees to take advantage of </w:t>
      </w:r>
      <w:r w:rsidR="007D145B">
        <w:t>‘</w:t>
      </w:r>
      <w:r w:rsidR="00524C5E" w:rsidRPr="003C51B1">
        <w:t>everyday learning moments</w:t>
      </w:r>
      <w:r w:rsidR="007D145B">
        <w:t>’</w:t>
      </w:r>
    </w:p>
    <w:p w14:paraId="161A9B1E" w14:textId="7FEC73FC" w:rsidR="00524C5E" w:rsidRPr="003C51B1" w:rsidRDefault="00551460" w:rsidP="003C51B1">
      <w:pPr>
        <w:pStyle w:val="ARbullet1"/>
      </w:pPr>
      <w:r>
        <w:t>e</w:t>
      </w:r>
      <w:r w:rsidR="00524C5E" w:rsidRPr="003C51B1">
        <w:t>mbedding the Performance and Goals module</w:t>
      </w:r>
      <w:r w:rsidR="00EC65C3">
        <w:t> </w:t>
      </w:r>
      <w:r w:rsidR="00524C5E" w:rsidRPr="003C51B1">
        <w:t>of the OurPeople system</w:t>
      </w:r>
    </w:p>
    <w:p w14:paraId="15BD7E74" w14:textId="454E043A" w:rsidR="00524C5E" w:rsidRPr="002029AF" w:rsidRDefault="00B16C54" w:rsidP="003C51B1">
      <w:pPr>
        <w:pStyle w:val="ARbullet1"/>
        <w:rPr>
          <w:rFonts w:asciiTheme="minorHAnsi" w:eastAsiaTheme="minorEastAsia" w:hAnsiTheme="minorHAnsi" w:cstheme="minorBidi"/>
        </w:rPr>
      </w:pPr>
      <w:r>
        <w:t>developing</w:t>
      </w:r>
      <w:r w:rsidR="00524C5E" w:rsidRPr="003C51B1">
        <w:t xml:space="preserve"> resources and </w:t>
      </w:r>
      <w:r>
        <w:t xml:space="preserve">implementing </w:t>
      </w:r>
      <w:r w:rsidR="00524C5E" w:rsidRPr="003C51B1">
        <w:t>initiatives for en</w:t>
      </w:r>
      <w:r w:rsidR="00524C5E">
        <w:t xml:space="preserve">hanced </w:t>
      </w:r>
      <w:r w:rsidR="00551460">
        <w:t xml:space="preserve">wellbeing of </w:t>
      </w:r>
      <w:r w:rsidR="00524C5E">
        <w:t>support staff</w:t>
      </w:r>
      <w:r w:rsidR="00551460">
        <w:t>,</w:t>
      </w:r>
      <w:r w:rsidR="00524C5E">
        <w:t xml:space="preserve"> including </w:t>
      </w:r>
      <w:r w:rsidR="006C591B">
        <w:t xml:space="preserve">those for </w:t>
      </w:r>
      <w:r w:rsidR="00524C5E">
        <w:t>suicide prevention and</w:t>
      </w:r>
      <w:r w:rsidR="00EC65C3">
        <w:t> </w:t>
      </w:r>
      <w:r w:rsidR="006C591B">
        <w:t xml:space="preserve">the </w:t>
      </w:r>
      <w:r w:rsidR="00524C5E">
        <w:t>cultural safety needs of Aboriginal staff</w:t>
      </w:r>
      <w:r w:rsidR="006C591B">
        <w:t>,</w:t>
      </w:r>
      <w:r w:rsidR="00524C5E">
        <w:t xml:space="preserve"> and the Implementation of targeted wellbeing programs for executives, people managers and</w:t>
      </w:r>
      <w:r w:rsidR="00EC65C3">
        <w:t> </w:t>
      </w:r>
      <w:r w:rsidR="00524C5E">
        <w:t>employees.</w:t>
      </w:r>
    </w:p>
    <w:p w14:paraId="71738A91" w14:textId="77777777" w:rsidR="00524C5E" w:rsidRPr="002029AF" w:rsidRDefault="00524C5E" w:rsidP="003C51B1">
      <w:pPr>
        <w:pStyle w:val="Heading3"/>
        <w:rPr>
          <w:szCs w:val="20"/>
        </w:rPr>
      </w:pPr>
      <w:bookmarkStart w:id="419" w:name="_Toc85121220"/>
      <w:r w:rsidRPr="2B5AF320">
        <w:t>Recognising our employees</w:t>
      </w:r>
      <w:bookmarkEnd w:id="419"/>
    </w:p>
    <w:p w14:paraId="7897BEAE" w14:textId="079C0958" w:rsidR="00524C5E" w:rsidRPr="002029AF" w:rsidRDefault="00524C5E" w:rsidP="003C51B1">
      <w:pPr>
        <w:pStyle w:val="ARbody"/>
      </w:pPr>
      <w:r>
        <w:t>The department</w:t>
      </w:r>
      <w:r w:rsidR="007D145B">
        <w:t>’</w:t>
      </w:r>
      <w:r>
        <w:t>s Excellence Awards are an annual</w:t>
      </w:r>
      <w:r w:rsidR="00EC65C3">
        <w:t> </w:t>
      </w:r>
      <w:r>
        <w:t>staff reward and recognition program which acknowledge</w:t>
      </w:r>
      <w:r w:rsidR="00050016">
        <w:t>s</w:t>
      </w:r>
      <w:r>
        <w:t xml:space="preserve"> the achievements and contributions of our people</w:t>
      </w:r>
      <w:r w:rsidR="00B16C54">
        <w:t>.</w:t>
      </w:r>
    </w:p>
    <w:p w14:paraId="3B2964AC" w14:textId="30BB13EE" w:rsidR="00524C5E" w:rsidRPr="002029AF" w:rsidRDefault="006C591B" w:rsidP="003C51B1">
      <w:pPr>
        <w:pStyle w:val="ARbody"/>
        <w:rPr>
          <w:szCs w:val="20"/>
        </w:rPr>
      </w:pPr>
      <w:r>
        <w:rPr>
          <w:szCs w:val="20"/>
        </w:rPr>
        <w:t xml:space="preserve">Because of </w:t>
      </w:r>
      <w:r w:rsidR="00524C5E" w:rsidRPr="03D3438F">
        <w:rPr>
          <w:szCs w:val="20"/>
        </w:rPr>
        <w:t>COVID-19 and the department</w:t>
      </w:r>
      <w:r w:rsidR="007D145B">
        <w:rPr>
          <w:szCs w:val="20"/>
        </w:rPr>
        <w:t>’</w:t>
      </w:r>
      <w:r w:rsidR="00524C5E" w:rsidRPr="03D3438F">
        <w:rPr>
          <w:szCs w:val="20"/>
        </w:rPr>
        <w:t>s associated pandemic response the annual Excellence Awards</w:t>
      </w:r>
      <w:r w:rsidR="00456E98">
        <w:rPr>
          <w:szCs w:val="20"/>
        </w:rPr>
        <w:t>, hosted by the Secretary,</w:t>
      </w:r>
      <w:r w:rsidR="00524C5E" w:rsidRPr="03D3438F">
        <w:rPr>
          <w:szCs w:val="20"/>
        </w:rPr>
        <w:t xml:space="preserve"> </w:t>
      </w:r>
      <w:r w:rsidR="00456E98">
        <w:rPr>
          <w:szCs w:val="20"/>
        </w:rPr>
        <w:t>were held virtually in 2020</w:t>
      </w:r>
      <w:r w:rsidR="00050016">
        <w:rPr>
          <w:szCs w:val="20"/>
        </w:rPr>
        <w:t>.</w:t>
      </w:r>
      <w:r>
        <w:rPr>
          <w:szCs w:val="20"/>
        </w:rPr>
        <w:t xml:space="preserve"> </w:t>
      </w:r>
      <w:r w:rsidR="00456E98">
        <w:rPr>
          <w:szCs w:val="20"/>
        </w:rPr>
        <w:t>T</w:t>
      </w:r>
      <w:r w:rsidR="00524C5E" w:rsidRPr="03D3438F">
        <w:rPr>
          <w:szCs w:val="20"/>
        </w:rPr>
        <w:t xml:space="preserve">he </w:t>
      </w:r>
      <w:r>
        <w:rPr>
          <w:szCs w:val="20"/>
        </w:rPr>
        <w:t>S</w:t>
      </w:r>
      <w:r w:rsidR="00524C5E" w:rsidRPr="03D3438F">
        <w:rPr>
          <w:szCs w:val="20"/>
        </w:rPr>
        <w:t>ecretary</w:t>
      </w:r>
      <w:r w:rsidRPr="03D3438F">
        <w:rPr>
          <w:szCs w:val="20"/>
        </w:rPr>
        <w:t xml:space="preserve"> </w:t>
      </w:r>
      <w:r w:rsidR="00524C5E" w:rsidRPr="03D3438F">
        <w:rPr>
          <w:szCs w:val="20"/>
        </w:rPr>
        <w:t>thank</w:t>
      </w:r>
      <w:r>
        <w:rPr>
          <w:szCs w:val="20"/>
        </w:rPr>
        <w:t>ed</w:t>
      </w:r>
      <w:r w:rsidR="00524C5E" w:rsidRPr="03D3438F">
        <w:rPr>
          <w:szCs w:val="20"/>
        </w:rPr>
        <w:t xml:space="preserve"> staff for their hard work and dedication </w:t>
      </w:r>
      <w:r>
        <w:rPr>
          <w:szCs w:val="20"/>
        </w:rPr>
        <w:t>and for making</w:t>
      </w:r>
      <w:r w:rsidR="00524C5E" w:rsidRPr="03D3438F">
        <w:rPr>
          <w:szCs w:val="20"/>
        </w:rPr>
        <w:t xml:space="preserve"> a critical difference to </w:t>
      </w:r>
      <w:r>
        <w:rPr>
          <w:szCs w:val="20"/>
        </w:rPr>
        <w:t xml:space="preserve">the health and wellbeing of </w:t>
      </w:r>
      <w:r w:rsidR="00524C5E" w:rsidRPr="03D3438F">
        <w:rPr>
          <w:szCs w:val="20"/>
        </w:rPr>
        <w:t>Victorian communities</w:t>
      </w:r>
      <w:r>
        <w:rPr>
          <w:szCs w:val="20"/>
        </w:rPr>
        <w:t>.</w:t>
      </w:r>
    </w:p>
    <w:p w14:paraId="3E07F23A" w14:textId="01C6ACDD" w:rsidR="00524C5E" w:rsidRPr="002029AF" w:rsidRDefault="00524C5E" w:rsidP="003C51B1">
      <w:pPr>
        <w:pStyle w:val="ARbody"/>
      </w:pPr>
      <w:r w:rsidRPr="03D3438F">
        <w:rPr>
          <w:szCs w:val="20"/>
        </w:rPr>
        <w:t xml:space="preserve">The </w:t>
      </w:r>
      <w:r w:rsidR="00125A55">
        <w:rPr>
          <w:szCs w:val="20"/>
        </w:rPr>
        <w:t>Excellence Awards</w:t>
      </w:r>
      <w:r w:rsidR="00125A55" w:rsidRPr="03D3438F">
        <w:rPr>
          <w:szCs w:val="20"/>
        </w:rPr>
        <w:t xml:space="preserve"> </w:t>
      </w:r>
      <w:r w:rsidRPr="03D3438F">
        <w:rPr>
          <w:szCs w:val="20"/>
        </w:rPr>
        <w:t>acknowledged and celebrated the many achievements and collective effort of all staff across the department</w:t>
      </w:r>
      <w:r w:rsidR="00125A55">
        <w:rPr>
          <w:szCs w:val="20"/>
        </w:rPr>
        <w:t>,</w:t>
      </w:r>
      <w:r w:rsidRPr="03D3438F">
        <w:rPr>
          <w:szCs w:val="20"/>
        </w:rPr>
        <w:t xml:space="preserve"> with a focus on </w:t>
      </w:r>
      <w:r w:rsidR="00125A55">
        <w:rPr>
          <w:szCs w:val="20"/>
        </w:rPr>
        <w:t xml:space="preserve">what had occurred in </w:t>
      </w:r>
      <w:r w:rsidRPr="03D3438F">
        <w:rPr>
          <w:szCs w:val="20"/>
        </w:rPr>
        <w:t>2020 and what ha</w:t>
      </w:r>
      <w:r w:rsidR="00125A55">
        <w:rPr>
          <w:szCs w:val="20"/>
        </w:rPr>
        <w:t>d</w:t>
      </w:r>
      <w:r w:rsidRPr="03D3438F">
        <w:rPr>
          <w:szCs w:val="20"/>
        </w:rPr>
        <w:t xml:space="preserve"> been achieved.</w:t>
      </w:r>
    </w:p>
    <w:p w14:paraId="42AE141A" w14:textId="77777777" w:rsidR="00524C5E" w:rsidRPr="002029AF" w:rsidRDefault="00524C5E" w:rsidP="003C51B1">
      <w:pPr>
        <w:pStyle w:val="Heading3"/>
        <w:rPr>
          <w:szCs w:val="20"/>
        </w:rPr>
      </w:pPr>
      <w:bookmarkStart w:id="420" w:name="_Toc85121221"/>
      <w:r w:rsidRPr="2B5AF320">
        <w:t>Capability development</w:t>
      </w:r>
      <w:bookmarkEnd w:id="420"/>
    </w:p>
    <w:p w14:paraId="2B46138C" w14:textId="38F1E069" w:rsidR="00524C5E" w:rsidRPr="0042523D" w:rsidRDefault="00524C5E" w:rsidP="0042523D">
      <w:pPr>
        <w:pStyle w:val="ARbody"/>
      </w:pPr>
      <w:r>
        <w:t>COVID</w:t>
      </w:r>
      <w:r w:rsidR="00F52F37">
        <w:t>-</w:t>
      </w:r>
      <w:r>
        <w:t xml:space="preserve">19 and ongoing </w:t>
      </w:r>
      <w:r w:rsidR="00125A55">
        <w:t xml:space="preserve">advances in digital </w:t>
      </w:r>
      <w:r>
        <w:t xml:space="preserve">learning technology </w:t>
      </w:r>
      <w:r w:rsidR="00125A55">
        <w:t xml:space="preserve">shaped </w:t>
      </w:r>
      <w:r w:rsidRPr="0042523D">
        <w:t>the department</w:t>
      </w:r>
      <w:r w:rsidR="007D145B">
        <w:t>’</w:t>
      </w:r>
      <w:r w:rsidRPr="0042523D">
        <w:t>s learning and development approaches this year</w:t>
      </w:r>
      <w:r w:rsidR="00E54A4D">
        <w:t>.</w:t>
      </w:r>
      <w:r w:rsidRPr="0042523D">
        <w:t xml:space="preserve"> </w:t>
      </w:r>
      <w:r w:rsidR="00E54A4D">
        <w:t>Thirty</w:t>
      </w:r>
      <w:r w:rsidRPr="0042523D">
        <w:t xml:space="preserve"> new online courses </w:t>
      </w:r>
      <w:r w:rsidR="00E54A4D">
        <w:t xml:space="preserve">were </w:t>
      </w:r>
      <w:r w:rsidRPr="0042523D">
        <w:t>added to the eLearning portal and all classroom-</w:t>
      </w:r>
      <w:r w:rsidR="00D02B9C">
        <w:t>based</w:t>
      </w:r>
      <w:r w:rsidR="00E54A4D">
        <w:t xml:space="preserve"> training was </w:t>
      </w:r>
      <w:r w:rsidRPr="0042523D">
        <w:t xml:space="preserve">converted to a virtual model in support of staff </w:t>
      </w:r>
      <w:r w:rsidR="00125A55" w:rsidRPr="00E54A4D">
        <w:t>working remotely</w:t>
      </w:r>
      <w:r w:rsidRPr="0042523D">
        <w:t xml:space="preserve"> due to COVID-19 restrictions.</w:t>
      </w:r>
    </w:p>
    <w:p w14:paraId="24A8D3C8" w14:textId="174700E6" w:rsidR="00F8606E" w:rsidRDefault="00524C5E" w:rsidP="0042523D">
      <w:pPr>
        <w:pStyle w:val="ARbody"/>
      </w:pPr>
      <w:r w:rsidRPr="0042523D">
        <w:t xml:space="preserve">Training and </w:t>
      </w:r>
      <w:r w:rsidRPr="00E54A4D">
        <w:t xml:space="preserve">development </w:t>
      </w:r>
      <w:r w:rsidR="00E54A4D" w:rsidRPr="002B1364">
        <w:t>courses</w:t>
      </w:r>
      <w:r w:rsidR="00456E98">
        <w:t xml:space="preserve">, </w:t>
      </w:r>
      <w:r w:rsidR="00456E98" w:rsidRPr="0042523D">
        <w:t>underpinned by</w:t>
      </w:r>
      <w:r w:rsidR="00EC65C3">
        <w:t> </w:t>
      </w:r>
      <w:r w:rsidR="00456E98" w:rsidRPr="0042523D">
        <w:t>the department</w:t>
      </w:r>
      <w:r w:rsidR="007D145B">
        <w:t>’</w:t>
      </w:r>
      <w:r w:rsidR="00456E98" w:rsidRPr="0042523D">
        <w:t>s capability framework</w:t>
      </w:r>
      <w:r w:rsidR="00456E98">
        <w:t>,</w:t>
      </w:r>
      <w:r w:rsidRPr="0042523D">
        <w:t xml:space="preserve"> aim to support our client service capability, professional development and/or compliance across </w:t>
      </w:r>
      <w:r w:rsidR="00E54A4D">
        <w:t xml:space="preserve">our </w:t>
      </w:r>
      <w:r w:rsidRPr="0042523D">
        <w:t>workforce.</w:t>
      </w:r>
    </w:p>
    <w:p w14:paraId="2BBF0AE0" w14:textId="4EA6B9E8" w:rsidR="00F8606E" w:rsidRDefault="00524C5E" w:rsidP="0042523D">
      <w:pPr>
        <w:pStyle w:val="ARbody"/>
      </w:pPr>
      <w:r w:rsidRPr="0042523D">
        <w:t xml:space="preserve">The ongoing delivery of virtual training ensured that our people </w:t>
      </w:r>
      <w:r w:rsidR="00714AD9">
        <w:t>continue</w:t>
      </w:r>
      <w:r w:rsidR="00456E98">
        <w:t>d</w:t>
      </w:r>
      <w:r w:rsidR="00714AD9">
        <w:t xml:space="preserve"> </w:t>
      </w:r>
      <w:r w:rsidRPr="0042523D">
        <w:t xml:space="preserve">to build their capability during </w:t>
      </w:r>
      <w:r w:rsidR="00714AD9">
        <w:t>the COVID-19 pandemic</w:t>
      </w:r>
      <w:r w:rsidRPr="0042523D">
        <w:t>.</w:t>
      </w:r>
    </w:p>
    <w:p w14:paraId="4DF75007" w14:textId="2FD5869C" w:rsidR="00524C5E" w:rsidRPr="0042523D" w:rsidRDefault="00524C5E" w:rsidP="0042523D">
      <w:pPr>
        <w:pStyle w:val="ARbody"/>
      </w:pPr>
      <w:r w:rsidRPr="0042523D">
        <w:t>Training and development have also supported the department</w:t>
      </w:r>
      <w:r w:rsidR="007D145B">
        <w:t>’</w:t>
      </w:r>
      <w:r w:rsidRPr="0042523D">
        <w:t>s COVID-19 surge workforce this year, providing general and specialist induction training to more than 1,160 new starters.</w:t>
      </w:r>
      <w:r w:rsidR="00F8606E">
        <w:t xml:space="preserve"> </w:t>
      </w:r>
      <w:r w:rsidRPr="0042523D">
        <w:t xml:space="preserve">In addition, </w:t>
      </w:r>
      <w:r w:rsidR="00714AD9" w:rsidRPr="0042523D">
        <w:t xml:space="preserve">1,187 </w:t>
      </w:r>
      <w:r w:rsidR="00714AD9">
        <w:t>a</w:t>
      </w:r>
      <w:r w:rsidR="00714AD9" w:rsidRPr="0042523D">
        <w:t xml:space="preserve">uthorised </w:t>
      </w:r>
      <w:r w:rsidR="00714AD9">
        <w:t>o</w:t>
      </w:r>
      <w:r w:rsidR="00714AD9" w:rsidRPr="0042523D">
        <w:t xml:space="preserve">fficers attended the </w:t>
      </w:r>
      <w:r w:rsidRPr="0042523D">
        <w:t xml:space="preserve">specific COVID-19 workforce skills training provided for </w:t>
      </w:r>
      <w:r w:rsidR="00456E98">
        <w:t>them</w:t>
      </w:r>
      <w:r w:rsidRPr="0042523D">
        <w:t>.</w:t>
      </w:r>
    </w:p>
    <w:p w14:paraId="23C5EB5F" w14:textId="040C802E" w:rsidR="00524C5E" w:rsidRPr="002029AF" w:rsidRDefault="00524C5E" w:rsidP="0042523D">
      <w:pPr>
        <w:pStyle w:val="ARbody"/>
      </w:pPr>
      <w:r w:rsidRPr="0042523D">
        <w:t>The department</w:t>
      </w:r>
      <w:r w:rsidR="007D145B">
        <w:t>’</w:t>
      </w:r>
      <w:r w:rsidRPr="0042523D">
        <w:t>s efforts to de</w:t>
      </w:r>
      <w:r w:rsidRPr="002029AF">
        <w:t xml:space="preserve">velop and grow </w:t>
      </w:r>
      <w:r>
        <w:t xml:space="preserve">workforce </w:t>
      </w:r>
      <w:r w:rsidRPr="002029AF">
        <w:t>capability were focused on:</w:t>
      </w:r>
    </w:p>
    <w:p w14:paraId="7AE35248" w14:textId="76FB6F18" w:rsidR="00524C5E" w:rsidRPr="0042523D" w:rsidRDefault="00F25D3D" w:rsidP="0042523D">
      <w:pPr>
        <w:pStyle w:val="ARbullet1"/>
      </w:pPr>
      <w:r>
        <w:t>h</w:t>
      </w:r>
      <w:r w:rsidR="00524C5E" w:rsidRPr="002029AF">
        <w:t>e</w:t>
      </w:r>
      <w:r w:rsidR="00524C5E" w:rsidRPr="0042523D">
        <w:t>alth, safety and wellbeing</w:t>
      </w:r>
    </w:p>
    <w:p w14:paraId="7DD88BE3" w14:textId="445889D2" w:rsidR="00524C5E" w:rsidRPr="0042523D" w:rsidRDefault="00524C5E" w:rsidP="0042523D">
      <w:pPr>
        <w:pStyle w:val="ARbullet1"/>
      </w:pPr>
      <w:r w:rsidRPr="0042523D">
        <w:t>COVID</w:t>
      </w:r>
      <w:r w:rsidR="00AC75DE">
        <w:t>-</w:t>
      </w:r>
      <w:r w:rsidRPr="0042523D">
        <w:t>19 pandemic response</w:t>
      </w:r>
    </w:p>
    <w:p w14:paraId="777B8DDB" w14:textId="26E1E508" w:rsidR="00524C5E" w:rsidRPr="0042523D" w:rsidRDefault="00F25D3D" w:rsidP="0042523D">
      <w:pPr>
        <w:pStyle w:val="ARbullet1"/>
      </w:pPr>
      <w:r>
        <w:t>i</w:t>
      </w:r>
      <w:r w:rsidR="00524C5E" w:rsidRPr="0042523D">
        <w:t>nclusion and cultural safety</w:t>
      </w:r>
    </w:p>
    <w:p w14:paraId="59FDF747" w14:textId="431C1A61" w:rsidR="00524C5E" w:rsidRPr="0042523D" w:rsidRDefault="00F25D3D" w:rsidP="0042523D">
      <w:pPr>
        <w:pStyle w:val="ARbullet1"/>
      </w:pPr>
      <w:r>
        <w:t>p</w:t>
      </w:r>
      <w:r w:rsidR="00524C5E" w:rsidRPr="0042523D">
        <w:t>rofessional development</w:t>
      </w:r>
    </w:p>
    <w:p w14:paraId="7F044E35" w14:textId="282CD71A" w:rsidR="00524C5E" w:rsidRPr="0042523D" w:rsidRDefault="00F25D3D" w:rsidP="0042523D">
      <w:pPr>
        <w:pStyle w:val="ARbullet1"/>
      </w:pPr>
      <w:r>
        <w:t>m</w:t>
      </w:r>
      <w:r w:rsidR="00524C5E" w:rsidRPr="0042523D">
        <w:t>anagement and leadership</w:t>
      </w:r>
    </w:p>
    <w:p w14:paraId="63394B47" w14:textId="5B44CE72" w:rsidR="00524C5E" w:rsidRPr="0042523D" w:rsidRDefault="00F25D3D" w:rsidP="0042523D">
      <w:pPr>
        <w:pStyle w:val="ARbullet1"/>
      </w:pPr>
      <w:r>
        <w:t>w</w:t>
      </w:r>
      <w:r w:rsidR="00524C5E" w:rsidRPr="0042523D">
        <w:t>riting and communication</w:t>
      </w:r>
    </w:p>
    <w:p w14:paraId="2809BEBB" w14:textId="79B0C89F" w:rsidR="00524C5E" w:rsidRPr="0042523D" w:rsidRDefault="00F25D3D" w:rsidP="0042523D">
      <w:pPr>
        <w:pStyle w:val="ARbullet1"/>
      </w:pPr>
      <w:r>
        <w:t>s</w:t>
      </w:r>
      <w:r w:rsidR="00524C5E" w:rsidRPr="0042523D">
        <w:t>oftware and systems</w:t>
      </w:r>
    </w:p>
    <w:p w14:paraId="18E6E0E8" w14:textId="0E0D7A78" w:rsidR="00524C5E" w:rsidRPr="002029AF" w:rsidRDefault="00F25D3D" w:rsidP="0042523D">
      <w:pPr>
        <w:pStyle w:val="ARbullet1"/>
        <w:rPr>
          <w:rFonts w:asciiTheme="minorHAnsi" w:eastAsiaTheme="minorEastAsia" w:hAnsiTheme="minorHAnsi" w:cstheme="minorBidi"/>
        </w:rPr>
      </w:pPr>
      <w:r>
        <w:t>f</w:t>
      </w:r>
      <w:r w:rsidR="00524C5E" w:rsidRPr="0042523D">
        <w:t>inance and proc</w:t>
      </w:r>
      <w:r w:rsidR="00524C5E">
        <w:t>urement</w:t>
      </w:r>
      <w:r>
        <w:t>.</w:t>
      </w:r>
    </w:p>
    <w:p w14:paraId="279B4072" w14:textId="77777777" w:rsidR="00524C5E" w:rsidRDefault="00524C5E" w:rsidP="0042523D">
      <w:pPr>
        <w:pStyle w:val="ARbodyafterbullets"/>
      </w:pPr>
      <w:r>
        <w:t>The department continued to strengthen its leader capability at all levels by:</w:t>
      </w:r>
    </w:p>
    <w:p w14:paraId="5831E05C" w14:textId="36200711" w:rsidR="00524C5E" w:rsidRPr="0042523D" w:rsidRDefault="00F25D3D" w:rsidP="0042523D">
      <w:pPr>
        <w:pStyle w:val="ARbullet1"/>
      </w:pPr>
      <w:r>
        <w:t>s</w:t>
      </w:r>
      <w:r w:rsidR="00524C5E">
        <w:t>uppo</w:t>
      </w:r>
      <w:r w:rsidR="00524C5E" w:rsidRPr="0042523D">
        <w:t>rting 69 employees across all leadership levels to attend a broad range of intensive advanced leadership programs. These learning experiences aim to broaden and deepen leadership capabilities, as well as give participants exposure to</w:t>
      </w:r>
      <w:r w:rsidR="009D7C32">
        <w:t xml:space="preserve"> </w:t>
      </w:r>
      <w:r w:rsidR="00524C5E" w:rsidRPr="0042523D">
        <w:t>peers from other organisations to</w:t>
      </w:r>
      <w:r>
        <w:t xml:space="preserve"> enable them to</w:t>
      </w:r>
      <w:r w:rsidR="00524C5E" w:rsidRPr="0042523D">
        <w:t xml:space="preserve"> strengthen networks and career mobility opportunities</w:t>
      </w:r>
    </w:p>
    <w:p w14:paraId="0C791865" w14:textId="32B1FA14" w:rsidR="00524C5E" w:rsidRPr="0042523D" w:rsidRDefault="00F25D3D" w:rsidP="0042523D">
      <w:pPr>
        <w:pStyle w:val="ARbullet1"/>
      </w:pPr>
      <w:r>
        <w:t>c</w:t>
      </w:r>
      <w:r w:rsidR="00524C5E" w:rsidRPr="0042523D">
        <w:t>ontinuing to provide peer and experiential learning opportunities through structured mentoring and coaching opportunities across all</w:t>
      </w:r>
      <w:r w:rsidR="00EC65C3">
        <w:t> </w:t>
      </w:r>
      <w:r w:rsidR="00524C5E" w:rsidRPr="0042523D">
        <w:t>leader levels of the</w:t>
      </w:r>
      <w:r w:rsidR="009D7C32">
        <w:t xml:space="preserve"> </w:t>
      </w:r>
      <w:r w:rsidR="00524C5E" w:rsidRPr="0042523D">
        <w:t>department</w:t>
      </w:r>
    </w:p>
    <w:p w14:paraId="1CA98E8B" w14:textId="59340CCB" w:rsidR="00524C5E" w:rsidRPr="0042523D" w:rsidRDefault="00F25D3D" w:rsidP="0042523D">
      <w:pPr>
        <w:pStyle w:val="ARbullet1"/>
      </w:pPr>
      <w:r>
        <w:t>s</w:t>
      </w:r>
      <w:r w:rsidR="00524C5E" w:rsidRPr="0042523D">
        <w:t>upporting VPS5, VPS6 and executive employees to identify and manage their career aspirations and development opportunities through self-assessment tools and diagnostic feedback</w:t>
      </w:r>
    </w:p>
    <w:p w14:paraId="2FCE38A6" w14:textId="70D38CE8" w:rsidR="00524C5E" w:rsidRDefault="00F25D3D" w:rsidP="0042523D">
      <w:pPr>
        <w:pStyle w:val="ARbullet1"/>
        <w:rPr>
          <w:rFonts w:asciiTheme="minorHAnsi" w:eastAsiaTheme="minorEastAsia" w:hAnsiTheme="minorHAnsi" w:cstheme="minorBidi"/>
        </w:rPr>
      </w:pPr>
      <w:r>
        <w:t>s</w:t>
      </w:r>
      <w:r w:rsidR="00524C5E" w:rsidRPr="0042523D">
        <w:t xml:space="preserve">upporting executives </w:t>
      </w:r>
      <w:r w:rsidR="009B5B39">
        <w:t xml:space="preserve">to </w:t>
      </w:r>
      <w:r w:rsidR="00524C5E" w:rsidRPr="0042523D">
        <w:t>participat</w:t>
      </w:r>
      <w:r w:rsidR="009B5B39">
        <w:t>e</w:t>
      </w:r>
      <w:r w:rsidR="00524C5E" w:rsidRPr="0042523D">
        <w:t xml:space="preserve"> in </w:t>
      </w:r>
      <w:r w:rsidR="00EC65C3">
        <w:br/>
      </w:r>
      <w:r w:rsidR="00524C5E" w:rsidRPr="0042523D">
        <w:t>cross-department leadership and new-to-role programs provided by the Victorian Leadership Academy. These programs continue to build consistent leadership capability across th</w:t>
      </w:r>
      <w:r w:rsidR="00524C5E">
        <w:t>is cohort</w:t>
      </w:r>
    </w:p>
    <w:p w14:paraId="155FFD17" w14:textId="5EF11CCC" w:rsidR="00524C5E" w:rsidRDefault="00524D1B" w:rsidP="0042523D">
      <w:pPr>
        <w:pStyle w:val="ARbullet1"/>
        <w:rPr>
          <w:rFonts w:asciiTheme="minorHAnsi" w:eastAsiaTheme="minorEastAsia" w:hAnsiTheme="minorHAnsi" w:cstheme="minorBidi"/>
          <w:szCs w:val="20"/>
        </w:rPr>
      </w:pPr>
      <w:r>
        <w:lastRenderedPageBreak/>
        <w:t>r</w:t>
      </w:r>
      <w:r w:rsidR="00524C5E">
        <w:t>eviewing, refreshing and continuing to deliver the Leading with Respect program. During 202</w:t>
      </w:r>
      <w:r w:rsidR="00177286">
        <w:t>0–</w:t>
      </w:r>
      <w:r w:rsidR="00524C5E">
        <w:t xml:space="preserve">21, 57 sessions were conducted (including </w:t>
      </w:r>
      <w:r>
        <w:t>two</w:t>
      </w:r>
      <w:r w:rsidR="00524C5E">
        <w:t xml:space="preserve"> executive masterclasses) with 676 employees attending. This program is focused </w:t>
      </w:r>
      <w:r w:rsidR="00524C5E" w:rsidRPr="03D3438F">
        <w:rPr>
          <w:szCs w:val="20"/>
        </w:rPr>
        <w:t xml:space="preserve">on developing the capability of our </w:t>
      </w:r>
      <w:r w:rsidR="00524C5E" w:rsidRPr="03D3438F">
        <w:rPr>
          <w:szCs w:val="20"/>
        </w:rPr>
        <w:t xml:space="preserve">people leaders to create and foster a </w:t>
      </w:r>
      <w:r>
        <w:rPr>
          <w:szCs w:val="20"/>
        </w:rPr>
        <w:t>positive,</w:t>
      </w:r>
      <w:r w:rsidR="00EC65C3">
        <w:rPr>
          <w:szCs w:val="20"/>
        </w:rPr>
        <w:t> </w:t>
      </w:r>
      <w:r w:rsidR="00524C5E" w:rsidRPr="03D3438F">
        <w:rPr>
          <w:szCs w:val="20"/>
        </w:rPr>
        <w:t>healthy and engaged workforce and</w:t>
      </w:r>
      <w:r w:rsidR="00EC65C3">
        <w:rPr>
          <w:szCs w:val="20"/>
        </w:rPr>
        <w:t> </w:t>
      </w:r>
      <w:r w:rsidR="00524C5E" w:rsidRPr="03D3438F">
        <w:rPr>
          <w:szCs w:val="20"/>
        </w:rPr>
        <w:t>high</w:t>
      </w:r>
      <w:r>
        <w:rPr>
          <w:szCs w:val="20"/>
        </w:rPr>
        <w:t>-</w:t>
      </w:r>
      <w:r w:rsidR="00524C5E" w:rsidRPr="03D3438F">
        <w:rPr>
          <w:szCs w:val="20"/>
        </w:rPr>
        <w:t>performing culture</w:t>
      </w:r>
      <w:r w:rsidR="00524C5E">
        <w:rPr>
          <w:szCs w:val="20"/>
        </w:rPr>
        <w:t>.</w:t>
      </w:r>
    </w:p>
    <w:p w14:paraId="747BE9E3" w14:textId="37B1C9F7" w:rsidR="00524C5E" w:rsidRDefault="00524C5E">
      <w:pPr>
        <w:rPr>
          <w:rFonts w:ascii="Arial" w:eastAsia="Times" w:hAnsi="Arial" w:cs="Arial"/>
          <w:sz w:val="20"/>
          <w:szCs w:val="24"/>
        </w:rPr>
      </w:pPr>
    </w:p>
    <w:p w14:paraId="2E493430" w14:textId="77777777" w:rsidR="00524C5E" w:rsidRDefault="00524C5E" w:rsidP="00524C5E">
      <w:pPr>
        <w:pStyle w:val="ARtabletextbold"/>
        <w:sectPr w:rsidR="00524C5E" w:rsidSect="00524C5E">
          <w:headerReference w:type="default" r:id="rId71"/>
          <w:footnotePr>
            <w:numFmt w:val="lowerLetter"/>
            <w:numRestart w:val="eachPage"/>
          </w:footnotePr>
          <w:endnotePr>
            <w:numFmt w:val="decimal"/>
          </w:endnotePr>
          <w:type w:val="continuous"/>
          <w:pgSz w:w="11900" w:h="16840" w:code="9"/>
          <w:pgMar w:top="1985" w:right="1134" w:bottom="851" w:left="1134" w:header="510" w:footer="340" w:gutter="0"/>
          <w:cols w:num="2" w:space="454"/>
        </w:sectPr>
      </w:pPr>
      <w:bookmarkStart w:id="421" w:name="_Ref492905526"/>
      <w:bookmarkStart w:id="422" w:name="_Toc477967497"/>
    </w:p>
    <w:p w14:paraId="4ED9C7E8" w14:textId="3A9DCC51" w:rsidR="00524C5E" w:rsidRPr="00B64216" w:rsidRDefault="00524C5E" w:rsidP="00EC65C3">
      <w:pPr>
        <w:pStyle w:val="Heading2"/>
        <w:spacing w:before="480"/>
        <w:rPr>
          <w:rFonts w:cs="Arial"/>
        </w:rPr>
      </w:pPr>
      <w:bookmarkStart w:id="423" w:name="_Ref84252571"/>
      <w:bookmarkStart w:id="424" w:name="_Toc85121222"/>
      <w:bookmarkStart w:id="425" w:name="_Toc85121610"/>
      <w:bookmarkStart w:id="426" w:name="_Toc86075593"/>
      <w:r w:rsidRPr="00B64216">
        <w:rPr>
          <w:rFonts w:cs="Arial"/>
        </w:rPr>
        <w:t>Comparative workforce data</w:t>
      </w:r>
      <w:bookmarkEnd w:id="421"/>
      <w:bookmarkEnd w:id="423"/>
      <w:bookmarkEnd w:id="424"/>
      <w:bookmarkEnd w:id="425"/>
      <w:bookmarkEnd w:id="426"/>
    </w:p>
    <w:p w14:paraId="13D6EBAC" w14:textId="77777777" w:rsidR="00524C5E" w:rsidRDefault="00524C5E" w:rsidP="00897193">
      <w:pPr>
        <w:pStyle w:val="Heading3"/>
      </w:pPr>
      <w:bookmarkStart w:id="427" w:name="_Toc85121223"/>
      <w:r>
        <w:t>Department of Health</w:t>
      </w:r>
      <w:r w:rsidRPr="002029AF">
        <w:t xml:space="preserve"> employment levels</w:t>
      </w:r>
      <w:bookmarkEnd w:id="427"/>
    </w:p>
    <w:p w14:paraId="371BD78A" w14:textId="692C93CD" w:rsidR="00524C5E" w:rsidRPr="00EB6CE0" w:rsidRDefault="00524C5E" w:rsidP="00C741F1">
      <w:pPr>
        <w:pStyle w:val="ARbody"/>
        <w:rPr>
          <w:lang w:eastAsia="en-AU"/>
        </w:rPr>
      </w:pPr>
      <w:r w:rsidRPr="00EB6CE0">
        <w:rPr>
          <w:lang w:eastAsia="en-AU"/>
        </w:rPr>
        <w:t>The following table</w:t>
      </w:r>
      <w:r>
        <w:rPr>
          <w:lang w:eastAsia="en-AU"/>
        </w:rPr>
        <w:t>s</w:t>
      </w:r>
      <w:r w:rsidRPr="00EB6CE0">
        <w:rPr>
          <w:lang w:eastAsia="en-AU"/>
        </w:rPr>
        <w:t xml:space="preserve"> disclose</w:t>
      </w:r>
      <w:r w:rsidR="002B54D9">
        <w:rPr>
          <w:lang w:eastAsia="en-AU"/>
        </w:rPr>
        <w:t>,</w:t>
      </w:r>
      <w:r w:rsidRPr="00EB6CE0">
        <w:rPr>
          <w:lang w:eastAsia="en-AU"/>
        </w:rPr>
        <w:t xml:space="preserve"> </w:t>
      </w:r>
      <w:r w:rsidR="004B3ED8">
        <w:rPr>
          <w:lang w:eastAsia="en-AU"/>
        </w:rPr>
        <w:t xml:space="preserve">by </w:t>
      </w:r>
      <w:r w:rsidRPr="00EB6CE0">
        <w:rPr>
          <w:lang w:eastAsia="en-AU"/>
        </w:rPr>
        <w:t>head count and full-time staff equivalent (FTE)</w:t>
      </w:r>
      <w:r w:rsidR="00346615">
        <w:rPr>
          <w:lang w:eastAsia="en-AU"/>
        </w:rPr>
        <w:t xml:space="preserve">, </w:t>
      </w:r>
      <w:r w:rsidR="00346615" w:rsidRPr="00EB6CE0">
        <w:rPr>
          <w:lang w:eastAsia="en-AU"/>
        </w:rPr>
        <w:t>the</w:t>
      </w:r>
      <w:r w:rsidR="00346615">
        <w:rPr>
          <w:lang w:eastAsia="en-AU"/>
        </w:rPr>
        <w:t xml:space="preserve"> number</w:t>
      </w:r>
      <w:r w:rsidRPr="00EB6CE0">
        <w:rPr>
          <w:lang w:eastAsia="en-AU"/>
        </w:rPr>
        <w:t xml:space="preserve"> of all active public service employees of the </w:t>
      </w:r>
      <w:r w:rsidR="008D70C0">
        <w:rPr>
          <w:lang w:eastAsia="en-AU"/>
        </w:rPr>
        <w:t>d</w:t>
      </w:r>
      <w:r w:rsidRPr="00EB6CE0">
        <w:rPr>
          <w:lang w:eastAsia="en-AU"/>
        </w:rPr>
        <w:t>epartment, employed in the last full pay period in June of the current reporting period</w:t>
      </w:r>
      <w:r w:rsidR="002B1364">
        <w:rPr>
          <w:lang w:eastAsia="en-AU"/>
        </w:rPr>
        <w:t>.</w:t>
      </w:r>
      <w:r>
        <w:rPr>
          <w:lang w:eastAsia="en-AU"/>
        </w:rPr>
        <w:t xml:space="preserve"> As the department was established on 1 February 2021, data from</w:t>
      </w:r>
      <w:r w:rsidRPr="00EB6CE0">
        <w:rPr>
          <w:lang w:eastAsia="en-AU"/>
        </w:rPr>
        <w:t xml:space="preserve"> the previous reporting period</w:t>
      </w:r>
      <w:r>
        <w:rPr>
          <w:lang w:eastAsia="en-AU"/>
        </w:rPr>
        <w:t xml:space="preserve"> of 2020 cannot be shown</w:t>
      </w:r>
      <w:r w:rsidRPr="00EB6CE0">
        <w:rPr>
          <w:lang w:eastAsia="en-AU"/>
        </w:rPr>
        <w:t>.</w:t>
      </w:r>
    </w:p>
    <w:p w14:paraId="50DFF103" w14:textId="55E974EF" w:rsidR="00C22480" w:rsidRPr="00C22480" w:rsidRDefault="00524C5E" w:rsidP="00C741F1">
      <w:pPr>
        <w:pStyle w:val="Heading4"/>
        <w:spacing w:after="120"/>
      </w:pPr>
      <w:bookmarkStart w:id="428" w:name="_Toc85121224"/>
      <w:r w:rsidRPr="002029AF">
        <w:t xml:space="preserve">Summary of employment levels in June </w:t>
      </w:r>
      <w:r>
        <w:t>2021</w:t>
      </w:r>
      <w:bookmarkEnd w:id="428"/>
    </w:p>
    <w:tbl>
      <w:tblPr>
        <w:tblStyle w:val="TableGrid"/>
        <w:tblW w:w="9639" w:type="dxa"/>
        <w:tblLook w:val="06A0" w:firstRow="1" w:lastRow="0" w:firstColumn="1" w:lastColumn="0" w:noHBand="1" w:noVBand="1"/>
      </w:tblPr>
      <w:tblGrid>
        <w:gridCol w:w="1204"/>
        <w:gridCol w:w="1205"/>
        <w:gridCol w:w="1205"/>
        <w:gridCol w:w="1205"/>
        <w:gridCol w:w="1205"/>
        <w:gridCol w:w="1205"/>
        <w:gridCol w:w="1205"/>
        <w:gridCol w:w="1205"/>
      </w:tblGrid>
      <w:tr w:rsidR="00524C5E" w:rsidRPr="002029AF" w14:paraId="4605EDEB" w14:textId="77777777" w:rsidTr="00AF50BC">
        <w:trPr>
          <w:cnfStyle w:val="100000000000" w:firstRow="1" w:lastRow="0" w:firstColumn="0" w:lastColumn="0" w:oddVBand="0" w:evenVBand="0" w:oddHBand="0" w:evenHBand="0" w:firstRowFirstColumn="0" w:firstRowLastColumn="0" w:lastRowFirstColumn="0" w:lastRowLastColumn="0"/>
          <w:tblHeader/>
        </w:trPr>
        <w:tc>
          <w:tcPr>
            <w:tcW w:w="1208" w:type="dxa"/>
            <w:vMerge w:val="restart"/>
            <w:hideMark/>
          </w:tcPr>
          <w:p w14:paraId="4750B48D" w14:textId="77777777" w:rsidR="00524C5E" w:rsidRPr="002029AF" w:rsidRDefault="00524C5E" w:rsidP="0042523D">
            <w:pPr>
              <w:pStyle w:val="ARtablecolhead"/>
            </w:pPr>
            <w:bookmarkStart w:id="429" w:name="_Ref492905539"/>
          </w:p>
        </w:tc>
        <w:tc>
          <w:tcPr>
            <w:tcW w:w="1208" w:type="dxa"/>
            <w:gridSpan w:val="2"/>
            <w:tcBorders>
              <w:top w:val="nil"/>
              <w:right w:val="single" w:sz="4" w:space="0" w:color="auto"/>
            </w:tcBorders>
            <w:hideMark/>
          </w:tcPr>
          <w:p w14:paraId="7E2B6D85" w14:textId="77777777" w:rsidR="00524C5E" w:rsidRPr="00C741F1" w:rsidRDefault="00524C5E" w:rsidP="00C741F1">
            <w:pPr>
              <w:pStyle w:val="ARtablecolheadcentre"/>
            </w:pPr>
            <w:r w:rsidRPr="00C741F1">
              <w:t>All employees</w:t>
            </w:r>
          </w:p>
        </w:tc>
        <w:tc>
          <w:tcPr>
            <w:tcW w:w="1208" w:type="dxa"/>
            <w:gridSpan w:val="3"/>
            <w:tcBorders>
              <w:top w:val="nil"/>
              <w:left w:val="single" w:sz="4" w:space="0" w:color="auto"/>
              <w:right w:val="single" w:sz="4" w:space="0" w:color="auto"/>
            </w:tcBorders>
            <w:hideMark/>
          </w:tcPr>
          <w:p w14:paraId="63158186" w14:textId="77777777" w:rsidR="00524C5E" w:rsidRPr="00C741F1" w:rsidRDefault="00524C5E" w:rsidP="00C741F1">
            <w:pPr>
              <w:pStyle w:val="ARtablecolheadcentre"/>
            </w:pPr>
            <w:r w:rsidRPr="00C741F1">
              <w:t>Ongoing</w:t>
            </w:r>
          </w:p>
        </w:tc>
        <w:tc>
          <w:tcPr>
            <w:tcW w:w="1208" w:type="dxa"/>
            <w:gridSpan w:val="2"/>
            <w:tcBorders>
              <w:left w:val="single" w:sz="4" w:space="0" w:color="auto"/>
            </w:tcBorders>
            <w:hideMark/>
          </w:tcPr>
          <w:p w14:paraId="4B16D569" w14:textId="17130459" w:rsidR="00524C5E" w:rsidRPr="00C741F1" w:rsidRDefault="00524C5E" w:rsidP="00346615">
            <w:pPr>
              <w:pStyle w:val="ARtablecolheadcentre"/>
            </w:pPr>
            <w:r w:rsidRPr="00C741F1">
              <w:t>Fixed</w:t>
            </w:r>
            <w:r w:rsidR="00346615">
              <w:t>-</w:t>
            </w:r>
            <w:r w:rsidRPr="00C741F1">
              <w:t>term and casual</w:t>
            </w:r>
          </w:p>
        </w:tc>
      </w:tr>
      <w:tr w:rsidR="00524C5E" w:rsidRPr="002029AF" w14:paraId="6C9DE832" w14:textId="77777777" w:rsidTr="00AF50BC">
        <w:trPr>
          <w:cnfStyle w:val="100000000000" w:firstRow="1" w:lastRow="0" w:firstColumn="0" w:lastColumn="0" w:oddVBand="0" w:evenVBand="0" w:oddHBand="0" w:evenHBand="0" w:firstRowFirstColumn="0" w:firstRowLastColumn="0" w:lastRowFirstColumn="0" w:lastRowLastColumn="0"/>
          <w:tblHeader/>
        </w:trPr>
        <w:tc>
          <w:tcPr>
            <w:tcW w:w="1208" w:type="dxa"/>
            <w:vMerge/>
            <w:hideMark/>
          </w:tcPr>
          <w:p w14:paraId="6C8522DD" w14:textId="77777777" w:rsidR="00524C5E" w:rsidRPr="002029AF" w:rsidRDefault="00524C5E" w:rsidP="00524C5E">
            <w:pPr>
              <w:spacing w:before="40" w:after="20" w:line="240" w:lineRule="auto"/>
              <w:rPr>
                <w:rFonts w:ascii="Calibri" w:eastAsia="Times New Roman" w:hAnsi="Calibri" w:cs="Calibri"/>
                <w:i/>
                <w:iCs/>
                <w:color w:val="000000"/>
                <w:sz w:val="15"/>
                <w:szCs w:val="15"/>
              </w:rPr>
            </w:pPr>
          </w:p>
        </w:tc>
        <w:tc>
          <w:tcPr>
            <w:tcW w:w="1208" w:type="dxa"/>
            <w:hideMark/>
          </w:tcPr>
          <w:p w14:paraId="4A9777F6" w14:textId="77777777" w:rsidR="00524C5E" w:rsidRPr="00C741F1" w:rsidRDefault="00524C5E" w:rsidP="00C741F1">
            <w:pPr>
              <w:pStyle w:val="ARtablecolheadright"/>
            </w:pPr>
            <w:r w:rsidRPr="00C741F1">
              <w:t>Number (head count)</w:t>
            </w:r>
          </w:p>
        </w:tc>
        <w:tc>
          <w:tcPr>
            <w:tcW w:w="1208" w:type="dxa"/>
            <w:tcBorders>
              <w:top w:val="single" w:sz="4" w:space="0" w:color="auto"/>
              <w:right w:val="single" w:sz="4" w:space="0" w:color="auto"/>
            </w:tcBorders>
            <w:hideMark/>
          </w:tcPr>
          <w:p w14:paraId="2FE205FD" w14:textId="77777777" w:rsidR="00524C5E" w:rsidRPr="00C741F1" w:rsidRDefault="00524C5E" w:rsidP="00C741F1">
            <w:pPr>
              <w:pStyle w:val="ARtablecolheadright"/>
            </w:pPr>
            <w:r w:rsidRPr="00C741F1">
              <w:t>FTE</w:t>
            </w:r>
          </w:p>
        </w:tc>
        <w:tc>
          <w:tcPr>
            <w:tcW w:w="1208" w:type="dxa"/>
            <w:tcBorders>
              <w:left w:val="single" w:sz="4" w:space="0" w:color="auto"/>
            </w:tcBorders>
            <w:hideMark/>
          </w:tcPr>
          <w:p w14:paraId="0D0C8ACA" w14:textId="77777777" w:rsidR="00524C5E" w:rsidRPr="00C741F1" w:rsidRDefault="00524C5E" w:rsidP="00C741F1">
            <w:pPr>
              <w:pStyle w:val="ARtablecolheadright"/>
            </w:pPr>
            <w:r w:rsidRPr="00C741F1">
              <w:t>Full-time (head count)</w:t>
            </w:r>
          </w:p>
        </w:tc>
        <w:tc>
          <w:tcPr>
            <w:tcW w:w="1208" w:type="dxa"/>
            <w:hideMark/>
          </w:tcPr>
          <w:p w14:paraId="35350CA0" w14:textId="77777777" w:rsidR="00524C5E" w:rsidRPr="00C741F1" w:rsidRDefault="00524C5E" w:rsidP="00C741F1">
            <w:pPr>
              <w:pStyle w:val="ARtablecolheadright"/>
            </w:pPr>
            <w:r w:rsidRPr="00C741F1">
              <w:t>Part-time (head count)</w:t>
            </w:r>
          </w:p>
        </w:tc>
        <w:tc>
          <w:tcPr>
            <w:tcW w:w="1208" w:type="dxa"/>
            <w:tcBorders>
              <w:top w:val="single" w:sz="4" w:space="0" w:color="auto"/>
              <w:right w:val="single" w:sz="4" w:space="0" w:color="auto"/>
            </w:tcBorders>
            <w:hideMark/>
          </w:tcPr>
          <w:p w14:paraId="4F32142A" w14:textId="77777777" w:rsidR="00524C5E" w:rsidRPr="00C741F1" w:rsidRDefault="00524C5E" w:rsidP="00C741F1">
            <w:pPr>
              <w:pStyle w:val="ARtablecolheadright"/>
            </w:pPr>
            <w:r w:rsidRPr="00C741F1">
              <w:t>FTE</w:t>
            </w:r>
          </w:p>
        </w:tc>
        <w:tc>
          <w:tcPr>
            <w:tcW w:w="1208" w:type="dxa"/>
            <w:tcBorders>
              <w:left w:val="single" w:sz="4" w:space="0" w:color="auto"/>
            </w:tcBorders>
            <w:hideMark/>
          </w:tcPr>
          <w:p w14:paraId="4F3C7862" w14:textId="77777777" w:rsidR="00524C5E" w:rsidRPr="00C741F1" w:rsidRDefault="00524C5E" w:rsidP="00C741F1">
            <w:pPr>
              <w:pStyle w:val="ARtablecolheadright"/>
            </w:pPr>
            <w:r w:rsidRPr="00C741F1">
              <w:t>Number (head count)</w:t>
            </w:r>
          </w:p>
        </w:tc>
        <w:tc>
          <w:tcPr>
            <w:tcW w:w="1208" w:type="dxa"/>
            <w:hideMark/>
          </w:tcPr>
          <w:p w14:paraId="5DE31B5F" w14:textId="77777777" w:rsidR="00524C5E" w:rsidRPr="00C741F1" w:rsidRDefault="00524C5E" w:rsidP="00C741F1">
            <w:pPr>
              <w:pStyle w:val="ARtablecolheadright"/>
            </w:pPr>
            <w:r w:rsidRPr="00C741F1">
              <w:t>FTE</w:t>
            </w:r>
          </w:p>
        </w:tc>
      </w:tr>
      <w:tr w:rsidR="00524C5E" w:rsidRPr="002029AF" w14:paraId="3FE75B47" w14:textId="77777777" w:rsidTr="00AF50BC">
        <w:trPr>
          <w:cantSplit w:val="0"/>
        </w:trPr>
        <w:tc>
          <w:tcPr>
            <w:tcW w:w="1208" w:type="dxa"/>
            <w:hideMark/>
          </w:tcPr>
          <w:p w14:paraId="00E1BA75" w14:textId="77777777" w:rsidR="00524C5E" w:rsidRPr="002029AF" w:rsidRDefault="00524C5E" w:rsidP="00C741F1">
            <w:pPr>
              <w:pStyle w:val="ARtabletext"/>
            </w:pPr>
            <w:r>
              <w:t>June 2021</w:t>
            </w:r>
          </w:p>
        </w:tc>
        <w:tc>
          <w:tcPr>
            <w:tcW w:w="1208" w:type="dxa"/>
          </w:tcPr>
          <w:p w14:paraId="6EBACA61" w14:textId="77777777" w:rsidR="00524C5E" w:rsidRPr="00C741F1" w:rsidRDefault="00524C5E" w:rsidP="00C741F1">
            <w:pPr>
              <w:pStyle w:val="ARtabletextright"/>
            </w:pPr>
            <w:r w:rsidRPr="00C741F1">
              <w:t>4,342</w:t>
            </w:r>
          </w:p>
        </w:tc>
        <w:tc>
          <w:tcPr>
            <w:tcW w:w="1208" w:type="dxa"/>
            <w:tcBorders>
              <w:top w:val="single" w:sz="4" w:space="0" w:color="auto"/>
              <w:right w:val="single" w:sz="4" w:space="0" w:color="auto"/>
            </w:tcBorders>
          </w:tcPr>
          <w:p w14:paraId="0EF2EE11" w14:textId="77777777" w:rsidR="00524C5E" w:rsidRPr="00C741F1" w:rsidRDefault="00524C5E" w:rsidP="00C741F1">
            <w:pPr>
              <w:pStyle w:val="ARtabletextright"/>
            </w:pPr>
            <w:r w:rsidRPr="00C741F1">
              <w:t>4,093.6</w:t>
            </w:r>
          </w:p>
        </w:tc>
        <w:tc>
          <w:tcPr>
            <w:tcW w:w="1208" w:type="dxa"/>
            <w:tcBorders>
              <w:left w:val="single" w:sz="4" w:space="0" w:color="auto"/>
            </w:tcBorders>
          </w:tcPr>
          <w:p w14:paraId="18A3C6BD" w14:textId="77777777" w:rsidR="00524C5E" w:rsidRPr="00C741F1" w:rsidRDefault="00524C5E" w:rsidP="00C741F1">
            <w:pPr>
              <w:pStyle w:val="ARtabletextright"/>
            </w:pPr>
            <w:r w:rsidRPr="00C741F1">
              <w:t>1,630</w:t>
            </w:r>
          </w:p>
        </w:tc>
        <w:tc>
          <w:tcPr>
            <w:tcW w:w="1208" w:type="dxa"/>
          </w:tcPr>
          <w:p w14:paraId="5E0BFBDA" w14:textId="77777777" w:rsidR="00524C5E" w:rsidRPr="00C741F1" w:rsidRDefault="00524C5E" w:rsidP="00C741F1">
            <w:pPr>
              <w:pStyle w:val="ARtabletextright"/>
            </w:pPr>
            <w:r w:rsidRPr="00C741F1">
              <w:t>337</w:t>
            </w:r>
          </w:p>
        </w:tc>
        <w:tc>
          <w:tcPr>
            <w:tcW w:w="1208" w:type="dxa"/>
            <w:tcBorders>
              <w:top w:val="single" w:sz="4" w:space="0" w:color="auto"/>
              <w:right w:val="single" w:sz="4" w:space="0" w:color="auto"/>
            </w:tcBorders>
          </w:tcPr>
          <w:p w14:paraId="0CC9C712" w14:textId="77777777" w:rsidR="00524C5E" w:rsidRPr="00C741F1" w:rsidRDefault="00524C5E" w:rsidP="00C741F1">
            <w:pPr>
              <w:pStyle w:val="ARtabletextright"/>
            </w:pPr>
            <w:r w:rsidRPr="00C741F1">
              <w:t>1,865.6</w:t>
            </w:r>
          </w:p>
        </w:tc>
        <w:tc>
          <w:tcPr>
            <w:tcW w:w="1208" w:type="dxa"/>
            <w:tcBorders>
              <w:left w:val="single" w:sz="4" w:space="0" w:color="auto"/>
            </w:tcBorders>
          </w:tcPr>
          <w:p w14:paraId="33E6AE18" w14:textId="77777777" w:rsidR="00524C5E" w:rsidRPr="00C741F1" w:rsidRDefault="00524C5E" w:rsidP="00C741F1">
            <w:pPr>
              <w:pStyle w:val="ARtabletextright"/>
            </w:pPr>
            <w:r w:rsidRPr="00C741F1">
              <w:t>2,375</w:t>
            </w:r>
          </w:p>
        </w:tc>
        <w:tc>
          <w:tcPr>
            <w:tcW w:w="1208" w:type="dxa"/>
          </w:tcPr>
          <w:p w14:paraId="33B19D2B" w14:textId="77777777" w:rsidR="00524C5E" w:rsidRPr="00C741F1" w:rsidRDefault="00524C5E" w:rsidP="00C741F1">
            <w:pPr>
              <w:pStyle w:val="ARtabletextright"/>
            </w:pPr>
            <w:r w:rsidRPr="00C741F1">
              <w:t>2,228.0</w:t>
            </w:r>
          </w:p>
        </w:tc>
      </w:tr>
    </w:tbl>
    <w:p w14:paraId="29A598C6" w14:textId="77777777" w:rsidR="00524C5E" w:rsidRPr="00B012F4" w:rsidRDefault="00524C5E" w:rsidP="00524C5E">
      <w:pPr>
        <w:pStyle w:val="ARbody"/>
        <w:rPr>
          <w:lang w:eastAsia="en-AU"/>
        </w:rPr>
        <w:sectPr w:rsidR="00524C5E" w:rsidRPr="00B012F4" w:rsidSect="00C741F1">
          <w:footnotePr>
            <w:numFmt w:val="lowerLetter"/>
            <w:numRestart w:val="eachPage"/>
          </w:footnotePr>
          <w:endnotePr>
            <w:numFmt w:val="decimal"/>
          </w:endnotePr>
          <w:type w:val="continuous"/>
          <w:pgSz w:w="11900" w:h="16840" w:code="9"/>
          <w:pgMar w:top="1985" w:right="1134" w:bottom="851" w:left="1134" w:header="510" w:footer="340" w:gutter="0"/>
          <w:cols w:space="454"/>
        </w:sectPr>
      </w:pPr>
    </w:p>
    <w:p w14:paraId="50E29F92" w14:textId="77777777" w:rsidR="00524C5E" w:rsidRDefault="00524C5E" w:rsidP="00524C5E">
      <w:pPr>
        <w:pStyle w:val="Heading4"/>
        <w:spacing w:before="0"/>
      </w:pPr>
      <w:bookmarkStart w:id="430" w:name="_Toc85121225"/>
      <w:bookmarkStart w:id="431" w:name="_Hlk19622676"/>
      <w:r>
        <w:lastRenderedPageBreak/>
        <w:t>Department of Health</w:t>
      </w:r>
      <w:r w:rsidRPr="002029AF">
        <w:t xml:space="preserve"> employment levels in June 202</w:t>
      </w:r>
      <w:r>
        <w:t>1</w:t>
      </w:r>
      <w:bookmarkEnd w:id="430"/>
    </w:p>
    <w:tbl>
      <w:tblPr>
        <w:tblStyle w:val="TableGrid"/>
        <w:tblW w:w="14029" w:type="dxa"/>
        <w:tblLook w:val="06A0" w:firstRow="1" w:lastRow="0" w:firstColumn="1" w:lastColumn="0" w:noHBand="1" w:noVBand="1"/>
      </w:tblPr>
      <w:tblGrid>
        <w:gridCol w:w="1982"/>
        <w:gridCol w:w="1515"/>
        <w:gridCol w:w="1756"/>
        <w:gridCol w:w="1754"/>
        <w:gridCol w:w="1756"/>
        <w:gridCol w:w="1754"/>
        <w:gridCol w:w="1756"/>
        <w:gridCol w:w="1756"/>
      </w:tblGrid>
      <w:tr w:rsidR="00524C5E" w:rsidRPr="002029AF" w14:paraId="4A8CFD17" w14:textId="77777777" w:rsidTr="00221EB6">
        <w:trPr>
          <w:cnfStyle w:val="100000000000" w:firstRow="1" w:lastRow="0" w:firstColumn="0" w:lastColumn="0" w:oddVBand="0" w:evenVBand="0" w:oddHBand="0" w:evenHBand="0" w:firstRowFirstColumn="0" w:firstRowLastColumn="0" w:lastRowFirstColumn="0" w:lastRowLastColumn="0"/>
          <w:tblHeader/>
        </w:trPr>
        <w:tc>
          <w:tcPr>
            <w:tcW w:w="706" w:type="pct"/>
            <w:vMerge w:val="restart"/>
            <w:hideMark/>
          </w:tcPr>
          <w:p w14:paraId="2110945C" w14:textId="77777777" w:rsidR="00524C5E" w:rsidRPr="002029AF" w:rsidRDefault="00524C5E" w:rsidP="003E45B5">
            <w:pPr>
              <w:pStyle w:val="ARtablecolhead"/>
              <w:spacing w:before="20" w:after="10" w:line="240" w:lineRule="auto"/>
            </w:pPr>
          </w:p>
        </w:tc>
        <w:tc>
          <w:tcPr>
            <w:tcW w:w="1166" w:type="pct"/>
            <w:gridSpan w:val="2"/>
            <w:tcBorders>
              <w:top w:val="nil"/>
              <w:right w:val="single" w:sz="4" w:space="0" w:color="auto"/>
            </w:tcBorders>
            <w:hideMark/>
          </w:tcPr>
          <w:p w14:paraId="14184B9E" w14:textId="77777777" w:rsidR="00524C5E" w:rsidRPr="00C741F1" w:rsidRDefault="00524C5E" w:rsidP="003E45B5">
            <w:pPr>
              <w:pStyle w:val="ARtablecolheadcentre"/>
              <w:spacing w:before="20" w:after="10" w:line="240" w:lineRule="auto"/>
            </w:pPr>
            <w:r w:rsidRPr="00C741F1">
              <w:t>All employees</w:t>
            </w:r>
          </w:p>
        </w:tc>
        <w:tc>
          <w:tcPr>
            <w:tcW w:w="1876" w:type="pct"/>
            <w:gridSpan w:val="3"/>
            <w:tcBorders>
              <w:top w:val="nil"/>
              <w:left w:val="single" w:sz="4" w:space="0" w:color="auto"/>
              <w:right w:val="single" w:sz="4" w:space="0" w:color="auto"/>
            </w:tcBorders>
            <w:hideMark/>
          </w:tcPr>
          <w:p w14:paraId="031996BD" w14:textId="77777777" w:rsidR="00524C5E" w:rsidRPr="00C741F1" w:rsidRDefault="00524C5E" w:rsidP="003E45B5">
            <w:pPr>
              <w:pStyle w:val="ARtablecolheadcentre"/>
              <w:spacing w:before="20" w:after="10" w:line="240" w:lineRule="auto"/>
            </w:pPr>
            <w:r w:rsidRPr="00C741F1">
              <w:t>Ongoing</w:t>
            </w:r>
          </w:p>
        </w:tc>
        <w:tc>
          <w:tcPr>
            <w:tcW w:w="1252" w:type="pct"/>
            <w:gridSpan w:val="2"/>
            <w:tcBorders>
              <w:left w:val="single" w:sz="4" w:space="0" w:color="auto"/>
            </w:tcBorders>
            <w:hideMark/>
          </w:tcPr>
          <w:p w14:paraId="07B875D4" w14:textId="4F9A8753" w:rsidR="00524C5E" w:rsidRPr="00C741F1" w:rsidRDefault="00524C5E" w:rsidP="003E45B5">
            <w:pPr>
              <w:pStyle w:val="ARtablecolheadcentre"/>
              <w:spacing w:before="20" w:after="10" w:line="240" w:lineRule="auto"/>
            </w:pPr>
            <w:r w:rsidRPr="00C741F1">
              <w:t>Fixed</w:t>
            </w:r>
            <w:r w:rsidR="00346615">
              <w:t>-</w:t>
            </w:r>
            <w:r w:rsidRPr="00C741F1">
              <w:t>term and casual</w:t>
            </w:r>
          </w:p>
        </w:tc>
      </w:tr>
      <w:tr w:rsidR="00524C5E" w:rsidRPr="002029AF" w14:paraId="0F6D6462" w14:textId="77777777" w:rsidTr="00221EB6">
        <w:trPr>
          <w:cnfStyle w:val="100000000000" w:firstRow="1" w:lastRow="0" w:firstColumn="0" w:lastColumn="0" w:oddVBand="0" w:evenVBand="0" w:oddHBand="0" w:evenHBand="0" w:firstRowFirstColumn="0" w:firstRowLastColumn="0" w:lastRowFirstColumn="0" w:lastRowLastColumn="0"/>
          <w:tblHeader/>
        </w:trPr>
        <w:tc>
          <w:tcPr>
            <w:tcW w:w="706" w:type="pct"/>
            <w:vMerge/>
            <w:hideMark/>
          </w:tcPr>
          <w:p w14:paraId="1DD6393C" w14:textId="77777777" w:rsidR="00524C5E" w:rsidRPr="002029AF" w:rsidRDefault="00524C5E" w:rsidP="003E45B5">
            <w:pPr>
              <w:spacing w:before="20" w:after="10" w:line="240" w:lineRule="auto"/>
              <w:rPr>
                <w:rFonts w:ascii="Calibri" w:eastAsia="Times New Roman" w:hAnsi="Calibri" w:cs="Calibri"/>
                <w:i/>
                <w:iCs/>
                <w:color w:val="000000"/>
                <w:sz w:val="15"/>
                <w:szCs w:val="15"/>
              </w:rPr>
            </w:pPr>
          </w:p>
        </w:tc>
        <w:tc>
          <w:tcPr>
            <w:tcW w:w="540" w:type="pct"/>
            <w:hideMark/>
          </w:tcPr>
          <w:p w14:paraId="1BE38F78" w14:textId="77777777" w:rsidR="00864121" w:rsidRDefault="00524C5E" w:rsidP="003E45B5">
            <w:pPr>
              <w:pStyle w:val="ARtablecolheadright"/>
              <w:spacing w:before="20" w:after="10" w:line="240" w:lineRule="auto"/>
            </w:pPr>
            <w:r w:rsidRPr="00C741F1">
              <w:t>Number</w:t>
            </w:r>
          </w:p>
          <w:p w14:paraId="3E5E6DD7" w14:textId="1A1467EC" w:rsidR="00524C5E" w:rsidRPr="00C741F1" w:rsidRDefault="00524C5E" w:rsidP="003E45B5">
            <w:pPr>
              <w:pStyle w:val="ARtablecolheadright"/>
              <w:spacing w:before="20" w:after="10" w:line="240" w:lineRule="auto"/>
            </w:pPr>
            <w:r w:rsidRPr="00C741F1">
              <w:t>(head count)</w:t>
            </w:r>
          </w:p>
        </w:tc>
        <w:tc>
          <w:tcPr>
            <w:tcW w:w="626" w:type="pct"/>
            <w:tcBorders>
              <w:top w:val="single" w:sz="4" w:space="0" w:color="auto"/>
              <w:right w:val="single" w:sz="4" w:space="0" w:color="auto"/>
            </w:tcBorders>
            <w:hideMark/>
          </w:tcPr>
          <w:p w14:paraId="47A8B00A" w14:textId="77777777" w:rsidR="00524C5E" w:rsidRPr="00C741F1" w:rsidRDefault="00524C5E" w:rsidP="003E45B5">
            <w:pPr>
              <w:pStyle w:val="ARtablecolheadright"/>
              <w:spacing w:before="20" w:after="10" w:line="240" w:lineRule="auto"/>
            </w:pPr>
            <w:r w:rsidRPr="00C741F1">
              <w:t>FTE</w:t>
            </w:r>
          </w:p>
        </w:tc>
        <w:tc>
          <w:tcPr>
            <w:tcW w:w="625" w:type="pct"/>
            <w:tcBorders>
              <w:left w:val="single" w:sz="4" w:space="0" w:color="auto"/>
            </w:tcBorders>
            <w:hideMark/>
          </w:tcPr>
          <w:p w14:paraId="1D1F3F2D" w14:textId="77777777" w:rsidR="00864121" w:rsidRDefault="00524C5E" w:rsidP="003E45B5">
            <w:pPr>
              <w:pStyle w:val="ARtablecolheadright"/>
              <w:spacing w:before="20" w:after="10" w:line="240" w:lineRule="auto"/>
            </w:pPr>
            <w:r w:rsidRPr="00C741F1">
              <w:t>Full-time</w:t>
            </w:r>
          </w:p>
          <w:p w14:paraId="2D764ECB" w14:textId="0403B40E" w:rsidR="00524C5E" w:rsidRPr="00C741F1" w:rsidRDefault="00524C5E" w:rsidP="003E45B5">
            <w:pPr>
              <w:pStyle w:val="ARtablecolheadright"/>
              <w:spacing w:before="20" w:after="10" w:line="240" w:lineRule="auto"/>
            </w:pPr>
            <w:r w:rsidRPr="00C741F1">
              <w:t>(head count)</w:t>
            </w:r>
          </w:p>
        </w:tc>
        <w:tc>
          <w:tcPr>
            <w:tcW w:w="626" w:type="pct"/>
            <w:hideMark/>
          </w:tcPr>
          <w:p w14:paraId="453EA69E" w14:textId="77777777" w:rsidR="00864121" w:rsidRDefault="00524C5E" w:rsidP="003E45B5">
            <w:pPr>
              <w:pStyle w:val="ARtablecolheadright"/>
              <w:spacing w:before="20" w:after="10" w:line="240" w:lineRule="auto"/>
            </w:pPr>
            <w:r w:rsidRPr="00C741F1">
              <w:t>Part-time</w:t>
            </w:r>
          </w:p>
          <w:p w14:paraId="2EB98F73" w14:textId="52C75CC4" w:rsidR="00524C5E" w:rsidRPr="00C741F1" w:rsidRDefault="00524C5E" w:rsidP="003E45B5">
            <w:pPr>
              <w:pStyle w:val="ARtablecolheadright"/>
              <w:spacing w:before="20" w:after="10" w:line="240" w:lineRule="auto"/>
            </w:pPr>
            <w:r w:rsidRPr="00C741F1">
              <w:t>(head count)</w:t>
            </w:r>
          </w:p>
        </w:tc>
        <w:tc>
          <w:tcPr>
            <w:tcW w:w="625" w:type="pct"/>
            <w:tcBorders>
              <w:top w:val="single" w:sz="4" w:space="0" w:color="auto"/>
              <w:right w:val="single" w:sz="4" w:space="0" w:color="auto"/>
            </w:tcBorders>
            <w:hideMark/>
          </w:tcPr>
          <w:p w14:paraId="1FC0F01E" w14:textId="77777777" w:rsidR="00524C5E" w:rsidRPr="00C741F1" w:rsidRDefault="00524C5E" w:rsidP="003E45B5">
            <w:pPr>
              <w:pStyle w:val="ARtablecolheadright"/>
              <w:spacing w:before="20" w:after="10" w:line="240" w:lineRule="auto"/>
            </w:pPr>
            <w:r w:rsidRPr="00C741F1">
              <w:t>FTE</w:t>
            </w:r>
          </w:p>
        </w:tc>
        <w:tc>
          <w:tcPr>
            <w:tcW w:w="626" w:type="pct"/>
            <w:tcBorders>
              <w:left w:val="single" w:sz="4" w:space="0" w:color="auto"/>
            </w:tcBorders>
            <w:hideMark/>
          </w:tcPr>
          <w:p w14:paraId="59D8F137" w14:textId="77777777" w:rsidR="00864121" w:rsidRDefault="00524C5E" w:rsidP="003E45B5">
            <w:pPr>
              <w:pStyle w:val="ARtablecolheadright"/>
              <w:spacing w:before="20" w:after="10" w:line="240" w:lineRule="auto"/>
            </w:pPr>
            <w:r w:rsidRPr="00C741F1">
              <w:t>Number</w:t>
            </w:r>
          </w:p>
          <w:p w14:paraId="47C8715C" w14:textId="0F8AC5F5" w:rsidR="00524C5E" w:rsidRPr="00C741F1" w:rsidRDefault="00524C5E" w:rsidP="003E45B5">
            <w:pPr>
              <w:pStyle w:val="ARtablecolheadright"/>
              <w:spacing w:before="20" w:after="10" w:line="240" w:lineRule="auto"/>
            </w:pPr>
            <w:r w:rsidRPr="00C741F1">
              <w:t>(head count)</w:t>
            </w:r>
          </w:p>
        </w:tc>
        <w:tc>
          <w:tcPr>
            <w:tcW w:w="626" w:type="pct"/>
            <w:hideMark/>
          </w:tcPr>
          <w:p w14:paraId="6FB1B4AE" w14:textId="77777777" w:rsidR="00524C5E" w:rsidRPr="00C741F1" w:rsidRDefault="00524C5E" w:rsidP="003E45B5">
            <w:pPr>
              <w:pStyle w:val="ARtablecolheadright"/>
              <w:spacing w:before="20" w:after="10" w:line="240" w:lineRule="auto"/>
            </w:pPr>
            <w:r w:rsidRPr="00C741F1">
              <w:t>FTE</w:t>
            </w:r>
          </w:p>
        </w:tc>
      </w:tr>
      <w:tr w:rsidR="00524C5E" w:rsidRPr="002029AF" w14:paraId="04CE987B" w14:textId="77777777" w:rsidTr="00221EB6">
        <w:trPr>
          <w:cantSplit w:val="0"/>
        </w:trPr>
        <w:tc>
          <w:tcPr>
            <w:tcW w:w="706" w:type="pct"/>
          </w:tcPr>
          <w:p w14:paraId="72B0D01A" w14:textId="77777777" w:rsidR="00524C5E" w:rsidRPr="00E70932" w:rsidRDefault="00524C5E" w:rsidP="003E45B5">
            <w:pPr>
              <w:pStyle w:val="ARtablesubhead"/>
              <w:spacing w:before="20" w:after="10" w:line="240" w:lineRule="auto"/>
              <w:rPr>
                <w:b w:val="0"/>
                <w:bCs/>
              </w:rPr>
            </w:pPr>
            <w:r w:rsidRPr="00163895">
              <w:t>Gender</w:t>
            </w:r>
          </w:p>
        </w:tc>
        <w:tc>
          <w:tcPr>
            <w:tcW w:w="540" w:type="pct"/>
          </w:tcPr>
          <w:p w14:paraId="042C60BF" w14:textId="77777777" w:rsidR="00524C5E" w:rsidRPr="002029AF" w:rsidRDefault="00524C5E" w:rsidP="003E45B5">
            <w:pPr>
              <w:pStyle w:val="ARtabletextright"/>
              <w:spacing w:before="20" w:after="10" w:line="240" w:lineRule="auto"/>
            </w:pPr>
          </w:p>
        </w:tc>
        <w:tc>
          <w:tcPr>
            <w:tcW w:w="626" w:type="pct"/>
            <w:tcBorders>
              <w:top w:val="single" w:sz="4" w:space="0" w:color="auto"/>
              <w:right w:val="single" w:sz="4" w:space="0" w:color="auto"/>
            </w:tcBorders>
          </w:tcPr>
          <w:p w14:paraId="3588370F" w14:textId="77777777" w:rsidR="00524C5E" w:rsidRPr="002029AF" w:rsidRDefault="00524C5E" w:rsidP="003E45B5">
            <w:pPr>
              <w:pStyle w:val="ARtabletextright"/>
              <w:spacing w:before="20" w:after="10" w:line="240" w:lineRule="auto"/>
            </w:pPr>
          </w:p>
        </w:tc>
        <w:tc>
          <w:tcPr>
            <w:tcW w:w="625" w:type="pct"/>
            <w:tcBorders>
              <w:left w:val="single" w:sz="4" w:space="0" w:color="auto"/>
            </w:tcBorders>
          </w:tcPr>
          <w:p w14:paraId="45B512B7" w14:textId="77777777" w:rsidR="00524C5E" w:rsidRPr="002029AF" w:rsidRDefault="00524C5E" w:rsidP="003E45B5">
            <w:pPr>
              <w:pStyle w:val="ARtabletextright"/>
              <w:spacing w:before="20" w:after="10" w:line="240" w:lineRule="auto"/>
            </w:pPr>
          </w:p>
        </w:tc>
        <w:tc>
          <w:tcPr>
            <w:tcW w:w="626" w:type="pct"/>
          </w:tcPr>
          <w:p w14:paraId="4E9BCF45" w14:textId="77777777" w:rsidR="00524C5E" w:rsidRPr="002029AF" w:rsidRDefault="00524C5E" w:rsidP="003E45B5">
            <w:pPr>
              <w:pStyle w:val="ARtabletextright"/>
              <w:spacing w:before="20" w:after="10" w:line="240" w:lineRule="auto"/>
            </w:pPr>
          </w:p>
        </w:tc>
        <w:tc>
          <w:tcPr>
            <w:tcW w:w="625" w:type="pct"/>
            <w:tcBorders>
              <w:top w:val="single" w:sz="4" w:space="0" w:color="auto"/>
              <w:right w:val="single" w:sz="4" w:space="0" w:color="auto"/>
            </w:tcBorders>
          </w:tcPr>
          <w:p w14:paraId="4A6B6D45" w14:textId="77777777" w:rsidR="00524C5E" w:rsidRPr="002029AF" w:rsidRDefault="00524C5E" w:rsidP="003E45B5">
            <w:pPr>
              <w:pStyle w:val="ARtabletextright"/>
              <w:spacing w:before="20" w:after="10" w:line="240" w:lineRule="auto"/>
            </w:pPr>
          </w:p>
        </w:tc>
        <w:tc>
          <w:tcPr>
            <w:tcW w:w="626" w:type="pct"/>
            <w:tcBorders>
              <w:left w:val="single" w:sz="4" w:space="0" w:color="auto"/>
            </w:tcBorders>
          </w:tcPr>
          <w:p w14:paraId="164BDCCA" w14:textId="77777777" w:rsidR="00524C5E" w:rsidRPr="002029AF" w:rsidRDefault="00524C5E" w:rsidP="003E45B5">
            <w:pPr>
              <w:pStyle w:val="ARtabletextright"/>
              <w:spacing w:before="20" w:after="10" w:line="240" w:lineRule="auto"/>
            </w:pPr>
          </w:p>
        </w:tc>
        <w:tc>
          <w:tcPr>
            <w:tcW w:w="626" w:type="pct"/>
          </w:tcPr>
          <w:p w14:paraId="7761FA5C" w14:textId="77777777" w:rsidR="00524C5E" w:rsidRPr="002029AF" w:rsidRDefault="00524C5E" w:rsidP="003E45B5">
            <w:pPr>
              <w:pStyle w:val="ARtabletextright"/>
              <w:spacing w:before="20" w:after="10" w:line="240" w:lineRule="auto"/>
            </w:pPr>
          </w:p>
        </w:tc>
      </w:tr>
      <w:tr w:rsidR="00524C5E" w:rsidRPr="002029AF" w14:paraId="6A309AA7" w14:textId="77777777" w:rsidTr="00221EB6">
        <w:trPr>
          <w:cantSplit w:val="0"/>
        </w:trPr>
        <w:tc>
          <w:tcPr>
            <w:tcW w:w="706" w:type="pct"/>
            <w:hideMark/>
          </w:tcPr>
          <w:p w14:paraId="04BC604F" w14:textId="77777777" w:rsidR="00524C5E" w:rsidRPr="002029AF" w:rsidRDefault="00524C5E" w:rsidP="003E45B5">
            <w:pPr>
              <w:pStyle w:val="ARtabletext"/>
              <w:spacing w:before="20" w:after="10" w:line="240" w:lineRule="auto"/>
            </w:pPr>
            <w:r w:rsidRPr="002029AF">
              <w:t>Women</w:t>
            </w:r>
          </w:p>
        </w:tc>
        <w:tc>
          <w:tcPr>
            <w:tcW w:w="540" w:type="pct"/>
          </w:tcPr>
          <w:p w14:paraId="49C75DF6" w14:textId="77777777" w:rsidR="00524C5E" w:rsidRPr="002029AF" w:rsidRDefault="00524C5E" w:rsidP="003E45B5">
            <w:pPr>
              <w:pStyle w:val="ARtabletextright"/>
              <w:spacing w:before="20" w:after="10" w:line="240" w:lineRule="auto"/>
            </w:pPr>
            <w:r>
              <w:t>2,732</w:t>
            </w:r>
          </w:p>
        </w:tc>
        <w:tc>
          <w:tcPr>
            <w:tcW w:w="626" w:type="pct"/>
            <w:tcBorders>
              <w:top w:val="single" w:sz="4" w:space="0" w:color="auto"/>
              <w:right w:val="single" w:sz="4" w:space="0" w:color="auto"/>
            </w:tcBorders>
          </w:tcPr>
          <w:p w14:paraId="006C871B" w14:textId="77777777" w:rsidR="00524C5E" w:rsidRPr="002029AF" w:rsidRDefault="00524C5E" w:rsidP="003E45B5">
            <w:pPr>
              <w:pStyle w:val="ARtabletextright"/>
              <w:spacing w:before="20" w:after="10" w:line="240" w:lineRule="auto"/>
            </w:pPr>
            <w:r>
              <w:t>2,526.8</w:t>
            </w:r>
          </w:p>
        </w:tc>
        <w:tc>
          <w:tcPr>
            <w:tcW w:w="625" w:type="pct"/>
            <w:tcBorders>
              <w:left w:val="single" w:sz="4" w:space="0" w:color="auto"/>
            </w:tcBorders>
          </w:tcPr>
          <w:p w14:paraId="5E87B707" w14:textId="77777777" w:rsidR="00524C5E" w:rsidRPr="002029AF" w:rsidRDefault="00524C5E" w:rsidP="003E45B5">
            <w:pPr>
              <w:pStyle w:val="ARtabletextright"/>
              <w:spacing w:before="20" w:after="10" w:line="240" w:lineRule="auto"/>
            </w:pPr>
            <w:r>
              <w:t>897</w:t>
            </w:r>
          </w:p>
        </w:tc>
        <w:tc>
          <w:tcPr>
            <w:tcW w:w="626" w:type="pct"/>
          </w:tcPr>
          <w:p w14:paraId="1785656F" w14:textId="77777777" w:rsidR="00524C5E" w:rsidRPr="002029AF" w:rsidRDefault="00524C5E" w:rsidP="003E45B5">
            <w:pPr>
              <w:pStyle w:val="ARtabletextright"/>
              <w:spacing w:before="20" w:after="10" w:line="240" w:lineRule="auto"/>
            </w:pPr>
            <w:r>
              <w:t>308</w:t>
            </w:r>
          </w:p>
        </w:tc>
        <w:tc>
          <w:tcPr>
            <w:tcW w:w="625" w:type="pct"/>
            <w:tcBorders>
              <w:top w:val="single" w:sz="4" w:space="0" w:color="auto"/>
              <w:right w:val="single" w:sz="4" w:space="0" w:color="auto"/>
            </w:tcBorders>
          </w:tcPr>
          <w:p w14:paraId="739102C0" w14:textId="77777777" w:rsidR="00524C5E" w:rsidRPr="002029AF" w:rsidRDefault="00524C5E" w:rsidP="003E45B5">
            <w:pPr>
              <w:pStyle w:val="ARtabletextright"/>
              <w:spacing w:before="20" w:after="10" w:line="240" w:lineRule="auto"/>
            </w:pPr>
            <w:r>
              <w:t>1,111.5</w:t>
            </w:r>
          </w:p>
        </w:tc>
        <w:tc>
          <w:tcPr>
            <w:tcW w:w="626" w:type="pct"/>
            <w:tcBorders>
              <w:left w:val="single" w:sz="4" w:space="0" w:color="auto"/>
            </w:tcBorders>
          </w:tcPr>
          <w:p w14:paraId="1D237F21" w14:textId="77777777" w:rsidR="00524C5E" w:rsidRPr="002029AF" w:rsidRDefault="00524C5E" w:rsidP="003E45B5">
            <w:pPr>
              <w:pStyle w:val="ARtabletextright"/>
              <w:spacing w:before="20" w:after="10" w:line="240" w:lineRule="auto"/>
            </w:pPr>
            <w:r>
              <w:t>1,527</w:t>
            </w:r>
          </w:p>
        </w:tc>
        <w:tc>
          <w:tcPr>
            <w:tcW w:w="626" w:type="pct"/>
          </w:tcPr>
          <w:p w14:paraId="75D0E6BB" w14:textId="77777777" w:rsidR="00524C5E" w:rsidRPr="002029AF" w:rsidRDefault="00524C5E" w:rsidP="003E45B5">
            <w:pPr>
              <w:pStyle w:val="ARtabletextright"/>
              <w:spacing w:before="20" w:after="10" w:line="240" w:lineRule="auto"/>
            </w:pPr>
            <w:r>
              <w:t>1,415.2</w:t>
            </w:r>
          </w:p>
        </w:tc>
      </w:tr>
      <w:tr w:rsidR="00524C5E" w:rsidRPr="002029AF" w14:paraId="4169B728" w14:textId="77777777" w:rsidTr="00221EB6">
        <w:trPr>
          <w:cantSplit w:val="0"/>
        </w:trPr>
        <w:tc>
          <w:tcPr>
            <w:tcW w:w="706" w:type="pct"/>
            <w:hideMark/>
          </w:tcPr>
          <w:p w14:paraId="65A9E949" w14:textId="77777777" w:rsidR="00524C5E" w:rsidRPr="002029AF" w:rsidRDefault="00524C5E" w:rsidP="003E45B5">
            <w:pPr>
              <w:pStyle w:val="ARtabletext"/>
              <w:spacing w:before="20" w:after="10" w:line="240" w:lineRule="auto"/>
            </w:pPr>
            <w:r w:rsidRPr="002029AF">
              <w:t>Men</w:t>
            </w:r>
          </w:p>
        </w:tc>
        <w:tc>
          <w:tcPr>
            <w:tcW w:w="540" w:type="pct"/>
          </w:tcPr>
          <w:p w14:paraId="42676F95" w14:textId="77777777" w:rsidR="00524C5E" w:rsidRPr="002029AF" w:rsidRDefault="00524C5E" w:rsidP="003E45B5">
            <w:pPr>
              <w:pStyle w:val="ARtabletextright"/>
              <w:spacing w:before="20" w:after="10" w:line="240" w:lineRule="auto"/>
            </w:pPr>
            <w:r>
              <w:t>1,610</w:t>
            </w:r>
          </w:p>
        </w:tc>
        <w:tc>
          <w:tcPr>
            <w:tcW w:w="626" w:type="pct"/>
            <w:tcBorders>
              <w:top w:val="single" w:sz="4" w:space="0" w:color="auto"/>
              <w:right w:val="single" w:sz="4" w:space="0" w:color="auto"/>
            </w:tcBorders>
          </w:tcPr>
          <w:p w14:paraId="15308DB5" w14:textId="77777777" w:rsidR="00524C5E" w:rsidRPr="002029AF" w:rsidRDefault="00524C5E" w:rsidP="003E45B5">
            <w:pPr>
              <w:pStyle w:val="ARtabletextright"/>
              <w:spacing w:before="20" w:after="10" w:line="240" w:lineRule="auto"/>
            </w:pPr>
            <w:r>
              <w:t>1,566.9</w:t>
            </w:r>
          </w:p>
        </w:tc>
        <w:tc>
          <w:tcPr>
            <w:tcW w:w="625" w:type="pct"/>
            <w:tcBorders>
              <w:left w:val="single" w:sz="4" w:space="0" w:color="auto"/>
            </w:tcBorders>
          </w:tcPr>
          <w:p w14:paraId="02B925C9" w14:textId="77777777" w:rsidR="00524C5E" w:rsidRPr="002029AF" w:rsidRDefault="00524C5E" w:rsidP="003E45B5">
            <w:pPr>
              <w:pStyle w:val="ARtabletextright"/>
              <w:spacing w:before="20" w:after="10" w:line="240" w:lineRule="auto"/>
            </w:pPr>
            <w:r>
              <w:t>733</w:t>
            </w:r>
          </w:p>
        </w:tc>
        <w:tc>
          <w:tcPr>
            <w:tcW w:w="626" w:type="pct"/>
          </w:tcPr>
          <w:p w14:paraId="13EB3902" w14:textId="77777777" w:rsidR="00524C5E" w:rsidRPr="002029AF" w:rsidRDefault="00524C5E" w:rsidP="003E45B5">
            <w:pPr>
              <w:pStyle w:val="ARtabletextright"/>
              <w:spacing w:before="20" w:after="10" w:line="240" w:lineRule="auto"/>
            </w:pPr>
            <w:r>
              <w:t>29</w:t>
            </w:r>
          </w:p>
        </w:tc>
        <w:tc>
          <w:tcPr>
            <w:tcW w:w="625" w:type="pct"/>
            <w:tcBorders>
              <w:top w:val="single" w:sz="4" w:space="0" w:color="auto"/>
              <w:right w:val="single" w:sz="4" w:space="0" w:color="auto"/>
            </w:tcBorders>
          </w:tcPr>
          <w:p w14:paraId="41F6C2EB" w14:textId="77777777" w:rsidR="00524C5E" w:rsidRPr="002029AF" w:rsidRDefault="00524C5E" w:rsidP="003E45B5">
            <w:pPr>
              <w:pStyle w:val="ARtabletextright"/>
              <w:spacing w:before="20" w:after="10" w:line="240" w:lineRule="auto"/>
            </w:pPr>
            <w:r>
              <w:t>754.1</w:t>
            </w:r>
          </w:p>
        </w:tc>
        <w:tc>
          <w:tcPr>
            <w:tcW w:w="626" w:type="pct"/>
            <w:tcBorders>
              <w:left w:val="single" w:sz="4" w:space="0" w:color="auto"/>
            </w:tcBorders>
          </w:tcPr>
          <w:p w14:paraId="32A07CE6" w14:textId="77777777" w:rsidR="00524C5E" w:rsidRPr="002029AF" w:rsidRDefault="00524C5E" w:rsidP="003E45B5">
            <w:pPr>
              <w:pStyle w:val="ARtabletextright"/>
              <w:spacing w:before="20" w:after="10" w:line="240" w:lineRule="auto"/>
            </w:pPr>
            <w:r>
              <w:t>848</w:t>
            </w:r>
          </w:p>
        </w:tc>
        <w:tc>
          <w:tcPr>
            <w:tcW w:w="626" w:type="pct"/>
          </w:tcPr>
          <w:p w14:paraId="51E460FD" w14:textId="77777777" w:rsidR="00524C5E" w:rsidRPr="002029AF" w:rsidRDefault="00524C5E" w:rsidP="003E45B5">
            <w:pPr>
              <w:pStyle w:val="ARtabletextright"/>
              <w:spacing w:before="20" w:after="10" w:line="240" w:lineRule="auto"/>
            </w:pPr>
            <w:r>
              <w:t>812.8</w:t>
            </w:r>
          </w:p>
        </w:tc>
      </w:tr>
      <w:tr w:rsidR="00524C5E" w:rsidRPr="002029AF" w14:paraId="45D1B72A" w14:textId="77777777" w:rsidTr="00221EB6">
        <w:trPr>
          <w:cantSplit w:val="0"/>
        </w:trPr>
        <w:tc>
          <w:tcPr>
            <w:tcW w:w="706" w:type="pct"/>
            <w:hideMark/>
          </w:tcPr>
          <w:p w14:paraId="0FA44CEE" w14:textId="77777777" w:rsidR="00524C5E" w:rsidRPr="002029AF" w:rsidRDefault="00524C5E" w:rsidP="003E45B5">
            <w:pPr>
              <w:pStyle w:val="ARtabletext"/>
              <w:spacing w:before="20" w:after="10" w:line="240" w:lineRule="auto"/>
            </w:pPr>
            <w:r w:rsidRPr="002029AF">
              <w:t>Self-described</w:t>
            </w:r>
          </w:p>
        </w:tc>
        <w:tc>
          <w:tcPr>
            <w:tcW w:w="540" w:type="pct"/>
            <w:hideMark/>
          </w:tcPr>
          <w:p w14:paraId="2D28004F" w14:textId="1E668DE7" w:rsidR="00524C5E" w:rsidRPr="002029AF" w:rsidRDefault="00524C5E" w:rsidP="003E45B5">
            <w:pPr>
              <w:pStyle w:val="ARtabletextright"/>
              <w:spacing w:before="20" w:after="10" w:line="240" w:lineRule="auto"/>
            </w:pPr>
            <w:r w:rsidRPr="002029AF">
              <w:t>na</w:t>
            </w:r>
            <w:r w:rsidR="00C9735C" w:rsidRPr="00C9735C">
              <w:rPr>
                <w:rStyle w:val="FootnoteReference"/>
              </w:rPr>
              <w:t>(</w:t>
            </w:r>
            <w:r w:rsidR="00C9735C">
              <w:rPr>
                <w:rStyle w:val="FootnoteReference"/>
              </w:rPr>
              <w:footnoteReference w:id="9"/>
            </w:r>
            <w:r w:rsidR="00C9735C" w:rsidRPr="00C9735C">
              <w:rPr>
                <w:rStyle w:val="FootnoteReference"/>
              </w:rPr>
              <w:t>)</w:t>
            </w:r>
          </w:p>
        </w:tc>
        <w:tc>
          <w:tcPr>
            <w:tcW w:w="626" w:type="pct"/>
            <w:tcBorders>
              <w:top w:val="single" w:sz="4" w:space="0" w:color="auto"/>
              <w:right w:val="single" w:sz="4" w:space="0" w:color="auto"/>
            </w:tcBorders>
            <w:hideMark/>
          </w:tcPr>
          <w:p w14:paraId="72A092DD" w14:textId="77777777" w:rsidR="00524C5E" w:rsidRPr="002029AF" w:rsidRDefault="00524C5E" w:rsidP="003E45B5">
            <w:pPr>
              <w:pStyle w:val="ARtabletextright"/>
              <w:spacing w:before="20" w:after="10" w:line="240" w:lineRule="auto"/>
            </w:pPr>
            <w:r>
              <w:t>n</w:t>
            </w:r>
            <w:r w:rsidRPr="002029AF">
              <w:t>a</w:t>
            </w:r>
          </w:p>
        </w:tc>
        <w:tc>
          <w:tcPr>
            <w:tcW w:w="625" w:type="pct"/>
            <w:tcBorders>
              <w:left w:val="single" w:sz="4" w:space="0" w:color="auto"/>
            </w:tcBorders>
            <w:hideMark/>
          </w:tcPr>
          <w:p w14:paraId="152F2305" w14:textId="77777777" w:rsidR="00524C5E" w:rsidRPr="002029AF" w:rsidRDefault="00524C5E" w:rsidP="003E45B5">
            <w:pPr>
              <w:pStyle w:val="ARtabletextright"/>
              <w:spacing w:before="20" w:after="10" w:line="240" w:lineRule="auto"/>
            </w:pPr>
            <w:r w:rsidRPr="002029AF">
              <w:t>na</w:t>
            </w:r>
          </w:p>
        </w:tc>
        <w:tc>
          <w:tcPr>
            <w:tcW w:w="626" w:type="pct"/>
            <w:hideMark/>
          </w:tcPr>
          <w:p w14:paraId="4C5F3EAC" w14:textId="77777777" w:rsidR="00524C5E" w:rsidRPr="002029AF" w:rsidRDefault="00524C5E" w:rsidP="003E45B5">
            <w:pPr>
              <w:pStyle w:val="ARtabletextright"/>
              <w:spacing w:before="20" w:after="10" w:line="240" w:lineRule="auto"/>
            </w:pPr>
            <w:r w:rsidRPr="002029AF">
              <w:t>na</w:t>
            </w:r>
          </w:p>
        </w:tc>
        <w:tc>
          <w:tcPr>
            <w:tcW w:w="625" w:type="pct"/>
            <w:tcBorders>
              <w:top w:val="single" w:sz="4" w:space="0" w:color="auto"/>
              <w:right w:val="single" w:sz="4" w:space="0" w:color="auto"/>
            </w:tcBorders>
            <w:hideMark/>
          </w:tcPr>
          <w:p w14:paraId="7CF42DBD" w14:textId="77777777" w:rsidR="00524C5E" w:rsidRPr="002029AF" w:rsidRDefault="00524C5E" w:rsidP="003E45B5">
            <w:pPr>
              <w:pStyle w:val="ARtabletextright"/>
              <w:spacing w:before="20" w:after="10" w:line="240" w:lineRule="auto"/>
            </w:pPr>
            <w:r>
              <w:t>n</w:t>
            </w:r>
            <w:r w:rsidRPr="002029AF">
              <w:t>a</w:t>
            </w:r>
          </w:p>
        </w:tc>
        <w:tc>
          <w:tcPr>
            <w:tcW w:w="626" w:type="pct"/>
            <w:tcBorders>
              <w:left w:val="single" w:sz="4" w:space="0" w:color="auto"/>
            </w:tcBorders>
            <w:hideMark/>
          </w:tcPr>
          <w:p w14:paraId="3E8BA305" w14:textId="77777777" w:rsidR="00524C5E" w:rsidRPr="002029AF" w:rsidRDefault="00524C5E" w:rsidP="003E45B5">
            <w:pPr>
              <w:pStyle w:val="ARtabletextright"/>
              <w:spacing w:before="20" w:after="10" w:line="240" w:lineRule="auto"/>
            </w:pPr>
            <w:r w:rsidRPr="002029AF">
              <w:t>na</w:t>
            </w:r>
          </w:p>
        </w:tc>
        <w:tc>
          <w:tcPr>
            <w:tcW w:w="626" w:type="pct"/>
            <w:hideMark/>
          </w:tcPr>
          <w:p w14:paraId="0DF9DE4C" w14:textId="77777777" w:rsidR="00524C5E" w:rsidRPr="002029AF" w:rsidRDefault="00524C5E" w:rsidP="003E45B5">
            <w:pPr>
              <w:pStyle w:val="ARtabletextright"/>
              <w:spacing w:before="20" w:after="10" w:line="240" w:lineRule="auto"/>
            </w:pPr>
            <w:r w:rsidRPr="002029AF">
              <w:t>na</w:t>
            </w:r>
          </w:p>
        </w:tc>
      </w:tr>
      <w:tr w:rsidR="00524C5E" w:rsidRPr="002029AF" w14:paraId="6271B922" w14:textId="77777777" w:rsidTr="00221EB6">
        <w:trPr>
          <w:cantSplit w:val="0"/>
        </w:trPr>
        <w:tc>
          <w:tcPr>
            <w:tcW w:w="706" w:type="pct"/>
          </w:tcPr>
          <w:p w14:paraId="196CB0E2" w14:textId="77777777" w:rsidR="00524C5E" w:rsidRPr="00192C9B" w:rsidRDefault="00524C5E" w:rsidP="003E45B5">
            <w:pPr>
              <w:pStyle w:val="ARtablesubhead"/>
              <w:spacing w:before="20" w:after="10" w:line="240" w:lineRule="auto"/>
              <w:rPr>
                <w:b w:val="0"/>
                <w:bCs/>
              </w:rPr>
            </w:pPr>
            <w:r w:rsidRPr="00163895">
              <w:t>Age</w:t>
            </w:r>
          </w:p>
        </w:tc>
        <w:tc>
          <w:tcPr>
            <w:tcW w:w="540" w:type="pct"/>
          </w:tcPr>
          <w:p w14:paraId="79CA93C8" w14:textId="77777777" w:rsidR="00524C5E" w:rsidRPr="002029AF" w:rsidRDefault="00524C5E" w:rsidP="003E45B5">
            <w:pPr>
              <w:pStyle w:val="ARtabletextright"/>
              <w:spacing w:before="20" w:after="10" w:line="240" w:lineRule="auto"/>
            </w:pPr>
          </w:p>
        </w:tc>
        <w:tc>
          <w:tcPr>
            <w:tcW w:w="626" w:type="pct"/>
            <w:tcBorders>
              <w:top w:val="single" w:sz="4" w:space="0" w:color="auto"/>
              <w:right w:val="single" w:sz="4" w:space="0" w:color="auto"/>
            </w:tcBorders>
          </w:tcPr>
          <w:p w14:paraId="6B945D02" w14:textId="77777777" w:rsidR="00524C5E" w:rsidRPr="002029AF" w:rsidRDefault="00524C5E" w:rsidP="003E45B5">
            <w:pPr>
              <w:pStyle w:val="ARtabletextright"/>
              <w:spacing w:before="20" w:after="10" w:line="240" w:lineRule="auto"/>
            </w:pPr>
          </w:p>
        </w:tc>
        <w:tc>
          <w:tcPr>
            <w:tcW w:w="625" w:type="pct"/>
            <w:tcBorders>
              <w:left w:val="single" w:sz="4" w:space="0" w:color="auto"/>
            </w:tcBorders>
          </w:tcPr>
          <w:p w14:paraId="35C11195" w14:textId="77777777" w:rsidR="00524C5E" w:rsidRPr="002029AF" w:rsidRDefault="00524C5E" w:rsidP="003E45B5">
            <w:pPr>
              <w:pStyle w:val="ARtabletextright"/>
              <w:spacing w:before="20" w:after="10" w:line="240" w:lineRule="auto"/>
            </w:pPr>
          </w:p>
        </w:tc>
        <w:tc>
          <w:tcPr>
            <w:tcW w:w="626" w:type="pct"/>
          </w:tcPr>
          <w:p w14:paraId="4ACC64B5" w14:textId="77777777" w:rsidR="00524C5E" w:rsidRPr="002029AF" w:rsidRDefault="00524C5E" w:rsidP="003E45B5">
            <w:pPr>
              <w:pStyle w:val="ARtabletextright"/>
              <w:spacing w:before="20" w:after="10" w:line="240" w:lineRule="auto"/>
            </w:pPr>
          </w:p>
        </w:tc>
        <w:tc>
          <w:tcPr>
            <w:tcW w:w="625" w:type="pct"/>
            <w:tcBorders>
              <w:top w:val="single" w:sz="4" w:space="0" w:color="auto"/>
              <w:right w:val="single" w:sz="4" w:space="0" w:color="auto"/>
            </w:tcBorders>
          </w:tcPr>
          <w:p w14:paraId="1E405CF5" w14:textId="77777777" w:rsidR="00524C5E" w:rsidRPr="002029AF" w:rsidRDefault="00524C5E" w:rsidP="003E45B5">
            <w:pPr>
              <w:pStyle w:val="ARtabletextright"/>
              <w:spacing w:before="20" w:after="10" w:line="240" w:lineRule="auto"/>
            </w:pPr>
          </w:p>
        </w:tc>
        <w:tc>
          <w:tcPr>
            <w:tcW w:w="626" w:type="pct"/>
            <w:tcBorders>
              <w:left w:val="single" w:sz="4" w:space="0" w:color="auto"/>
            </w:tcBorders>
          </w:tcPr>
          <w:p w14:paraId="263AD761" w14:textId="77777777" w:rsidR="00524C5E" w:rsidRPr="002029AF" w:rsidRDefault="00524C5E" w:rsidP="003E45B5">
            <w:pPr>
              <w:pStyle w:val="ARtabletextright"/>
              <w:spacing w:before="20" w:after="10" w:line="240" w:lineRule="auto"/>
            </w:pPr>
          </w:p>
        </w:tc>
        <w:tc>
          <w:tcPr>
            <w:tcW w:w="626" w:type="pct"/>
          </w:tcPr>
          <w:p w14:paraId="3A657CCE" w14:textId="77777777" w:rsidR="00524C5E" w:rsidRPr="002029AF" w:rsidRDefault="00524C5E" w:rsidP="003E45B5">
            <w:pPr>
              <w:pStyle w:val="ARtabletextright"/>
              <w:spacing w:before="20" w:after="10" w:line="240" w:lineRule="auto"/>
            </w:pPr>
          </w:p>
        </w:tc>
      </w:tr>
      <w:tr w:rsidR="00524C5E" w:rsidRPr="002029AF" w14:paraId="34681403" w14:textId="77777777" w:rsidTr="00221EB6">
        <w:trPr>
          <w:cantSplit w:val="0"/>
        </w:trPr>
        <w:tc>
          <w:tcPr>
            <w:tcW w:w="706" w:type="pct"/>
            <w:hideMark/>
          </w:tcPr>
          <w:p w14:paraId="3FD84670" w14:textId="77777777" w:rsidR="00524C5E" w:rsidRPr="002029AF" w:rsidRDefault="00524C5E" w:rsidP="003E45B5">
            <w:pPr>
              <w:pStyle w:val="ARtabletext"/>
              <w:spacing w:before="20" w:after="10" w:line="240" w:lineRule="auto"/>
            </w:pPr>
            <w:r w:rsidRPr="002029AF">
              <w:t>15–24</w:t>
            </w:r>
          </w:p>
        </w:tc>
        <w:tc>
          <w:tcPr>
            <w:tcW w:w="540" w:type="pct"/>
          </w:tcPr>
          <w:p w14:paraId="6712FE8B" w14:textId="77777777" w:rsidR="00524C5E" w:rsidRPr="002029AF" w:rsidRDefault="00524C5E" w:rsidP="003E45B5">
            <w:pPr>
              <w:pStyle w:val="ARtabletextright"/>
              <w:spacing w:before="20" w:after="10" w:line="240" w:lineRule="auto"/>
            </w:pPr>
            <w:r>
              <w:t>229</w:t>
            </w:r>
          </w:p>
        </w:tc>
        <w:tc>
          <w:tcPr>
            <w:tcW w:w="626" w:type="pct"/>
            <w:tcBorders>
              <w:top w:val="single" w:sz="4" w:space="0" w:color="auto"/>
              <w:right w:val="single" w:sz="4" w:space="0" w:color="auto"/>
            </w:tcBorders>
          </w:tcPr>
          <w:p w14:paraId="5EBBFBC0" w14:textId="77777777" w:rsidR="00524C5E" w:rsidRPr="002029AF" w:rsidRDefault="00524C5E" w:rsidP="003E45B5">
            <w:pPr>
              <w:pStyle w:val="ARtabletextright"/>
              <w:spacing w:before="20" w:after="10" w:line="240" w:lineRule="auto"/>
            </w:pPr>
            <w:r>
              <w:t>201.4</w:t>
            </w:r>
          </w:p>
        </w:tc>
        <w:tc>
          <w:tcPr>
            <w:tcW w:w="625" w:type="pct"/>
            <w:tcBorders>
              <w:left w:val="single" w:sz="4" w:space="0" w:color="auto"/>
            </w:tcBorders>
          </w:tcPr>
          <w:p w14:paraId="6CB5EC1C" w14:textId="77777777" w:rsidR="00524C5E" w:rsidRPr="002029AF" w:rsidRDefault="00524C5E" w:rsidP="003E45B5">
            <w:pPr>
              <w:pStyle w:val="ARtabletextright"/>
              <w:spacing w:before="20" w:after="10" w:line="240" w:lineRule="auto"/>
            </w:pPr>
            <w:r>
              <w:t>6</w:t>
            </w:r>
          </w:p>
        </w:tc>
        <w:tc>
          <w:tcPr>
            <w:tcW w:w="626" w:type="pct"/>
          </w:tcPr>
          <w:p w14:paraId="1A2FD593" w14:textId="77777777" w:rsidR="00524C5E" w:rsidRPr="002029AF" w:rsidRDefault="00524C5E" w:rsidP="003E45B5">
            <w:pPr>
              <w:pStyle w:val="ARtabletextright"/>
              <w:spacing w:before="20" w:after="10" w:line="240" w:lineRule="auto"/>
            </w:pPr>
            <w:r>
              <w:t>2</w:t>
            </w:r>
          </w:p>
        </w:tc>
        <w:tc>
          <w:tcPr>
            <w:tcW w:w="625" w:type="pct"/>
            <w:tcBorders>
              <w:top w:val="single" w:sz="4" w:space="0" w:color="auto"/>
              <w:right w:val="single" w:sz="4" w:space="0" w:color="auto"/>
            </w:tcBorders>
          </w:tcPr>
          <w:p w14:paraId="3821355B" w14:textId="77777777" w:rsidR="00524C5E" w:rsidRPr="002029AF" w:rsidRDefault="00524C5E" w:rsidP="003E45B5">
            <w:pPr>
              <w:pStyle w:val="ARtabletextright"/>
              <w:spacing w:before="20" w:after="10" w:line="240" w:lineRule="auto"/>
            </w:pPr>
            <w:r>
              <w:t>7.5</w:t>
            </w:r>
          </w:p>
        </w:tc>
        <w:tc>
          <w:tcPr>
            <w:tcW w:w="626" w:type="pct"/>
            <w:tcBorders>
              <w:left w:val="single" w:sz="4" w:space="0" w:color="auto"/>
            </w:tcBorders>
          </w:tcPr>
          <w:p w14:paraId="6D08AC70" w14:textId="77777777" w:rsidR="00524C5E" w:rsidRPr="002029AF" w:rsidRDefault="00524C5E" w:rsidP="003E45B5">
            <w:pPr>
              <w:pStyle w:val="ARtabletextright"/>
              <w:spacing w:before="20" w:after="10" w:line="240" w:lineRule="auto"/>
            </w:pPr>
            <w:r>
              <w:t>221</w:t>
            </w:r>
          </w:p>
        </w:tc>
        <w:tc>
          <w:tcPr>
            <w:tcW w:w="626" w:type="pct"/>
          </w:tcPr>
          <w:p w14:paraId="00CC305D" w14:textId="77777777" w:rsidR="00524C5E" w:rsidRPr="002029AF" w:rsidRDefault="00524C5E" w:rsidP="003E45B5">
            <w:pPr>
              <w:pStyle w:val="ARtabletextright"/>
              <w:spacing w:before="20" w:after="10" w:line="240" w:lineRule="auto"/>
            </w:pPr>
            <w:r>
              <w:t>193.9</w:t>
            </w:r>
          </w:p>
        </w:tc>
      </w:tr>
      <w:tr w:rsidR="00524C5E" w:rsidRPr="002029AF" w14:paraId="375C497B" w14:textId="77777777" w:rsidTr="00221EB6">
        <w:trPr>
          <w:cantSplit w:val="0"/>
        </w:trPr>
        <w:tc>
          <w:tcPr>
            <w:tcW w:w="706" w:type="pct"/>
            <w:hideMark/>
          </w:tcPr>
          <w:p w14:paraId="17D481B9" w14:textId="77777777" w:rsidR="00524C5E" w:rsidRPr="002029AF" w:rsidRDefault="00524C5E" w:rsidP="003E45B5">
            <w:pPr>
              <w:pStyle w:val="ARtabletext"/>
              <w:spacing w:before="20" w:after="10" w:line="240" w:lineRule="auto"/>
            </w:pPr>
            <w:r w:rsidRPr="002029AF">
              <w:t>25–34</w:t>
            </w:r>
          </w:p>
        </w:tc>
        <w:tc>
          <w:tcPr>
            <w:tcW w:w="540" w:type="pct"/>
          </w:tcPr>
          <w:p w14:paraId="4E8151E3" w14:textId="77777777" w:rsidR="00524C5E" w:rsidRPr="002029AF" w:rsidRDefault="00524C5E" w:rsidP="003E45B5">
            <w:pPr>
              <w:pStyle w:val="ARtabletextright"/>
              <w:spacing w:before="20" w:after="10" w:line="240" w:lineRule="auto"/>
            </w:pPr>
            <w:r>
              <w:t>988</w:t>
            </w:r>
          </w:p>
        </w:tc>
        <w:tc>
          <w:tcPr>
            <w:tcW w:w="626" w:type="pct"/>
            <w:tcBorders>
              <w:top w:val="single" w:sz="4" w:space="0" w:color="auto"/>
              <w:right w:val="single" w:sz="4" w:space="0" w:color="auto"/>
            </w:tcBorders>
          </w:tcPr>
          <w:p w14:paraId="522F5216" w14:textId="77777777" w:rsidR="00524C5E" w:rsidRPr="002029AF" w:rsidRDefault="00524C5E" w:rsidP="003E45B5">
            <w:pPr>
              <w:pStyle w:val="ARtabletextright"/>
              <w:spacing w:before="20" w:after="10" w:line="240" w:lineRule="auto"/>
            </w:pPr>
            <w:r>
              <w:t>944.8</w:t>
            </w:r>
          </w:p>
        </w:tc>
        <w:tc>
          <w:tcPr>
            <w:tcW w:w="625" w:type="pct"/>
            <w:tcBorders>
              <w:left w:val="single" w:sz="4" w:space="0" w:color="auto"/>
            </w:tcBorders>
          </w:tcPr>
          <w:p w14:paraId="7C6CE543" w14:textId="77777777" w:rsidR="00524C5E" w:rsidRPr="002029AF" w:rsidRDefault="00524C5E" w:rsidP="003E45B5">
            <w:pPr>
              <w:pStyle w:val="ARtabletextright"/>
              <w:spacing w:before="20" w:after="10" w:line="240" w:lineRule="auto"/>
            </w:pPr>
            <w:r>
              <w:t>190</w:t>
            </w:r>
          </w:p>
        </w:tc>
        <w:tc>
          <w:tcPr>
            <w:tcW w:w="626" w:type="pct"/>
          </w:tcPr>
          <w:p w14:paraId="78A44248" w14:textId="77777777" w:rsidR="00524C5E" w:rsidRPr="002029AF" w:rsidRDefault="00524C5E" w:rsidP="003E45B5">
            <w:pPr>
              <w:pStyle w:val="ARtabletextright"/>
              <w:spacing w:before="20" w:after="10" w:line="240" w:lineRule="auto"/>
            </w:pPr>
            <w:r>
              <w:t>14</w:t>
            </w:r>
          </w:p>
        </w:tc>
        <w:tc>
          <w:tcPr>
            <w:tcW w:w="625" w:type="pct"/>
            <w:tcBorders>
              <w:top w:val="single" w:sz="4" w:space="0" w:color="auto"/>
              <w:right w:val="single" w:sz="4" w:space="0" w:color="auto"/>
            </w:tcBorders>
          </w:tcPr>
          <w:p w14:paraId="508FC99A" w14:textId="77777777" w:rsidR="00524C5E" w:rsidRPr="002029AF" w:rsidRDefault="00524C5E" w:rsidP="003E45B5">
            <w:pPr>
              <w:pStyle w:val="ARtabletextright"/>
              <w:spacing w:before="20" w:after="10" w:line="240" w:lineRule="auto"/>
            </w:pPr>
            <w:r>
              <w:t>200.5</w:t>
            </w:r>
          </w:p>
        </w:tc>
        <w:tc>
          <w:tcPr>
            <w:tcW w:w="626" w:type="pct"/>
            <w:tcBorders>
              <w:left w:val="single" w:sz="4" w:space="0" w:color="auto"/>
            </w:tcBorders>
          </w:tcPr>
          <w:p w14:paraId="3736061E" w14:textId="77777777" w:rsidR="00524C5E" w:rsidRPr="002029AF" w:rsidRDefault="00524C5E" w:rsidP="003E45B5">
            <w:pPr>
              <w:pStyle w:val="ARtabletextright"/>
              <w:spacing w:before="20" w:after="10" w:line="240" w:lineRule="auto"/>
            </w:pPr>
            <w:r>
              <w:t>784</w:t>
            </w:r>
          </w:p>
        </w:tc>
        <w:tc>
          <w:tcPr>
            <w:tcW w:w="626" w:type="pct"/>
          </w:tcPr>
          <w:p w14:paraId="2E957954" w14:textId="77777777" w:rsidR="00524C5E" w:rsidRPr="002029AF" w:rsidRDefault="00524C5E" w:rsidP="003E45B5">
            <w:pPr>
              <w:pStyle w:val="ARtabletextright"/>
              <w:spacing w:before="20" w:after="10" w:line="240" w:lineRule="auto"/>
            </w:pPr>
            <w:r>
              <w:t>744.3</w:t>
            </w:r>
          </w:p>
        </w:tc>
      </w:tr>
      <w:tr w:rsidR="00524C5E" w:rsidRPr="002029AF" w14:paraId="192DB942" w14:textId="77777777" w:rsidTr="00221EB6">
        <w:trPr>
          <w:cantSplit w:val="0"/>
        </w:trPr>
        <w:tc>
          <w:tcPr>
            <w:tcW w:w="706" w:type="pct"/>
            <w:hideMark/>
          </w:tcPr>
          <w:p w14:paraId="6A7BD5D6" w14:textId="77777777" w:rsidR="00524C5E" w:rsidRPr="002029AF" w:rsidRDefault="00524C5E" w:rsidP="003E45B5">
            <w:pPr>
              <w:pStyle w:val="ARtabletext"/>
              <w:spacing w:before="20" w:after="10" w:line="240" w:lineRule="auto"/>
            </w:pPr>
            <w:r w:rsidRPr="002029AF">
              <w:t>35–44</w:t>
            </w:r>
          </w:p>
        </w:tc>
        <w:tc>
          <w:tcPr>
            <w:tcW w:w="540" w:type="pct"/>
          </w:tcPr>
          <w:p w14:paraId="2BC770FF" w14:textId="77777777" w:rsidR="00524C5E" w:rsidRPr="002029AF" w:rsidRDefault="00524C5E" w:rsidP="003E45B5">
            <w:pPr>
              <w:pStyle w:val="ARtabletextright"/>
              <w:spacing w:before="20" w:after="10" w:line="240" w:lineRule="auto"/>
            </w:pPr>
            <w:r>
              <w:t>1,209</w:t>
            </w:r>
          </w:p>
        </w:tc>
        <w:tc>
          <w:tcPr>
            <w:tcW w:w="626" w:type="pct"/>
            <w:tcBorders>
              <w:top w:val="single" w:sz="4" w:space="0" w:color="auto"/>
              <w:right w:val="single" w:sz="4" w:space="0" w:color="auto"/>
            </w:tcBorders>
          </w:tcPr>
          <w:p w14:paraId="1D46C2F3" w14:textId="77777777" w:rsidR="00524C5E" w:rsidRPr="002029AF" w:rsidRDefault="00524C5E" w:rsidP="003E45B5">
            <w:pPr>
              <w:pStyle w:val="ARtabletextright"/>
              <w:spacing w:before="20" w:after="10" w:line="240" w:lineRule="auto"/>
            </w:pPr>
            <w:r>
              <w:t>1,138.6</w:t>
            </w:r>
          </w:p>
        </w:tc>
        <w:tc>
          <w:tcPr>
            <w:tcW w:w="625" w:type="pct"/>
            <w:tcBorders>
              <w:left w:val="single" w:sz="4" w:space="0" w:color="auto"/>
            </w:tcBorders>
          </w:tcPr>
          <w:p w14:paraId="3EB1B5BA" w14:textId="77777777" w:rsidR="00524C5E" w:rsidRPr="002029AF" w:rsidRDefault="00524C5E" w:rsidP="003E45B5">
            <w:pPr>
              <w:pStyle w:val="ARtabletextright"/>
              <w:spacing w:before="20" w:after="10" w:line="240" w:lineRule="auto"/>
            </w:pPr>
            <w:r>
              <w:t>476</w:t>
            </w:r>
          </w:p>
        </w:tc>
        <w:tc>
          <w:tcPr>
            <w:tcW w:w="626" w:type="pct"/>
          </w:tcPr>
          <w:p w14:paraId="4295650E" w14:textId="77777777" w:rsidR="00524C5E" w:rsidRPr="002029AF" w:rsidRDefault="00524C5E" w:rsidP="003E45B5">
            <w:pPr>
              <w:pStyle w:val="ARtabletextright"/>
              <w:spacing w:before="20" w:after="10" w:line="240" w:lineRule="auto"/>
            </w:pPr>
            <w:r>
              <w:t>123</w:t>
            </w:r>
          </w:p>
        </w:tc>
        <w:tc>
          <w:tcPr>
            <w:tcW w:w="625" w:type="pct"/>
            <w:tcBorders>
              <w:top w:val="single" w:sz="4" w:space="0" w:color="auto"/>
              <w:right w:val="single" w:sz="4" w:space="0" w:color="auto"/>
            </w:tcBorders>
          </w:tcPr>
          <w:p w14:paraId="7852A4AC" w14:textId="77777777" w:rsidR="00524C5E" w:rsidRPr="002029AF" w:rsidRDefault="00524C5E" w:rsidP="003E45B5">
            <w:pPr>
              <w:pStyle w:val="ARtabletextright"/>
              <w:spacing w:before="20" w:after="10" w:line="240" w:lineRule="auto"/>
            </w:pPr>
            <w:r>
              <w:t>561.5</w:t>
            </w:r>
          </w:p>
        </w:tc>
        <w:tc>
          <w:tcPr>
            <w:tcW w:w="626" w:type="pct"/>
            <w:tcBorders>
              <w:left w:val="single" w:sz="4" w:space="0" w:color="auto"/>
            </w:tcBorders>
          </w:tcPr>
          <w:p w14:paraId="15844B7B" w14:textId="77777777" w:rsidR="00524C5E" w:rsidRPr="002029AF" w:rsidRDefault="00524C5E" w:rsidP="003E45B5">
            <w:pPr>
              <w:pStyle w:val="ARtabletextright"/>
              <w:spacing w:before="20" w:after="10" w:line="240" w:lineRule="auto"/>
            </w:pPr>
            <w:r>
              <w:t>610</w:t>
            </w:r>
          </w:p>
        </w:tc>
        <w:tc>
          <w:tcPr>
            <w:tcW w:w="626" w:type="pct"/>
          </w:tcPr>
          <w:p w14:paraId="0F505DDE" w14:textId="77777777" w:rsidR="00524C5E" w:rsidRPr="002029AF" w:rsidRDefault="00524C5E" w:rsidP="003E45B5">
            <w:pPr>
              <w:pStyle w:val="ARtabletextright"/>
              <w:spacing w:before="20" w:after="10" w:line="240" w:lineRule="auto"/>
            </w:pPr>
            <w:r>
              <w:t>577.1</w:t>
            </w:r>
          </w:p>
        </w:tc>
      </w:tr>
      <w:tr w:rsidR="00524C5E" w:rsidRPr="002029AF" w14:paraId="3359C389" w14:textId="77777777" w:rsidTr="00221EB6">
        <w:trPr>
          <w:cantSplit w:val="0"/>
        </w:trPr>
        <w:tc>
          <w:tcPr>
            <w:tcW w:w="706" w:type="pct"/>
            <w:hideMark/>
          </w:tcPr>
          <w:p w14:paraId="0A28E7E1" w14:textId="77777777" w:rsidR="00524C5E" w:rsidRPr="002029AF" w:rsidRDefault="00524C5E" w:rsidP="003E45B5">
            <w:pPr>
              <w:pStyle w:val="ARtabletext"/>
              <w:spacing w:before="20" w:after="10" w:line="240" w:lineRule="auto"/>
            </w:pPr>
            <w:r w:rsidRPr="002029AF">
              <w:t>45–54</w:t>
            </w:r>
          </w:p>
        </w:tc>
        <w:tc>
          <w:tcPr>
            <w:tcW w:w="540" w:type="pct"/>
          </w:tcPr>
          <w:p w14:paraId="5E54607A" w14:textId="77777777" w:rsidR="00524C5E" w:rsidRPr="002029AF" w:rsidRDefault="00524C5E" w:rsidP="003E45B5">
            <w:pPr>
              <w:pStyle w:val="ARtabletextright"/>
              <w:spacing w:before="20" w:after="10" w:line="240" w:lineRule="auto"/>
            </w:pPr>
            <w:r>
              <w:t>1,016</w:t>
            </w:r>
          </w:p>
        </w:tc>
        <w:tc>
          <w:tcPr>
            <w:tcW w:w="626" w:type="pct"/>
            <w:tcBorders>
              <w:top w:val="single" w:sz="4" w:space="0" w:color="auto"/>
              <w:right w:val="single" w:sz="4" w:space="0" w:color="auto"/>
            </w:tcBorders>
          </w:tcPr>
          <w:p w14:paraId="66061BEF" w14:textId="77777777" w:rsidR="00524C5E" w:rsidRPr="002029AF" w:rsidRDefault="00524C5E" w:rsidP="003E45B5">
            <w:pPr>
              <w:pStyle w:val="ARtabletextright"/>
              <w:spacing w:before="20" w:after="10" w:line="240" w:lineRule="auto"/>
            </w:pPr>
            <w:r>
              <w:t>971.3</w:t>
            </w:r>
          </w:p>
        </w:tc>
        <w:tc>
          <w:tcPr>
            <w:tcW w:w="625" w:type="pct"/>
            <w:tcBorders>
              <w:left w:val="single" w:sz="4" w:space="0" w:color="auto"/>
            </w:tcBorders>
          </w:tcPr>
          <w:p w14:paraId="136A8415" w14:textId="77777777" w:rsidR="00524C5E" w:rsidRPr="002029AF" w:rsidRDefault="00524C5E" w:rsidP="003E45B5">
            <w:pPr>
              <w:pStyle w:val="ARtabletextright"/>
              <w:spacing w:before="20" w:after="10" w:line="240" w:lineRule="auto"/>
            </w:pPr>
            <w:r>
              <w:t>491</w:t>
            </w:r>
          </w:p>
        </w:tc>
        <w:tc>
          <w:tcPr>
            <w:tcW w:w="626" w:type="pct"/>
          </w:tcPr>
          <w:p w14:paraId="7859CE73" w14:textId="77777777" w:rsidR="00524C5E" w:rsidRPr="002029AF" w:rsidRDefault="00524C5E" w:rsidP="003E45B5">
            <w:pPr>
              <w:pStyle w:val="ARtabletextright"/>
              <w:spacing w:before="20" w:after="10" w:line="240" w:lineRule="auto"/>
            </w:pPr>
            <w:r>
              <w:t>88</w:t>
            </w:r>
          </w:p>
        </w:tc>
        <w:tc>
          <w:tcPr>
            <w:tcW w:w="625" w:type="pct"/>
            <w:tcBorders>
              <w:top w:val="single" w:sz="4" w:space="0" w:color="auto"/>
              <w:right w:val="single" w:sz="4" w:space="0" w:color="auto"/>
            </w:tcBorders>
          </w:tcPr>
          <w:p w14:paraId="28521428" w14:textId="77777777" w:rsidR="00524C5E" w:rsidRPr="002029AF" w:rsidRDefault="00524C5E" w:rsidP="003E45B5">
            <w:pPr>
              <w:pStyle w:val="ARtabletextright"/>
              <w:spacing w:before="20" w:after="10" w:line="240" w:lineRule="auto"/>
            </w:pPr>
            <w:r>
              <w:t>556.4</w:t>
            </w:r>
          </w:p>
        </w:tc>
        <w:tc>
          <w:tcPr>
            <w:tcW w:w="626" w:type="pct"/>
            <w:tcBorders>
              <w:left w:val="single" w:sz="4" w:space="0" w:color="auto"/>
            </w:tcBorders>
          </w:tcPr>
          <w:p w14:paraId="6FDBF81A" w14:textId="77777777" w:rsidR="00524C5E" w:rsidRPr="002029AF" w:rsidRDefault="00524C5E" w:rsidP="003E45B5">
            <w:pPr>
              <w:pStyle w:val="ARtabletextright"/>
              <w:spacing w:before="20" w:after="10" w:line="240" w:lineRule="auto"/>
            </w:pPr>
            <w:r>
              <w:t>437</w:t>
            </w:r>
          </w:p>
        </w:tc>
        <w:tc>
          <w:tcPr>
            <w:tcW w:w="626" w:type="pct"/>
          </w:tcPr>
          <w:p w14:paraId="64C9F8C6" w14:textId="77777777" w:rsidR="00524C5E" w:rsidRPr="002029AF" w:rsidRDefault="00524C5E" w:rsidP="003E45B5">
            <w:pPr>
              <w:pStyle w:val="ARtabletextright"/>
              <w:spacing w:before="20" w:after="10" w:line="240" w:lineRule="auto"/>
            </w:pPr>
            <w:r>
              <w:t>415.0</w:t>
            </w:r>
          </w:p>
        </w:tc>
      </w:tr>
      <w:tr w:rsidR="00524C5E" w:rsidRPr="002029AF" w14:paraId="0936B1B1" w14:textId="77777777" w:rsidTr="00221EB6">
        <w:trPr>
          <w:cantSplit w:val="0"/>
        </w:trPr>
        <w:tc>
          <w:tcPr>
            <w:tcW w:w="706" w:type="pct"/>
            <w:hideMark/>
          </w:tcPr>
          <w:p w14:paraId="15AF1F10" w14:textId="77777777" w:rsidR="00524C5E" w:rsidRPr="002029AF" w:rsidRDefault="00524C5E" w:rsidP="003E45B5">
            <w:pPr>
              <w:pStyle w:val="ARtabletext"/>
              <w:spacing w:before="20" w:after="10" w:line="240" w:lineRule="auto"/>
            </w:pPr>
            <w:r w:rsidRPr="002029AF">
              <w:t>55–64</w:t>
            </w:r>
          </w:p>
        </w:tc>
        <w:tc>
          <w:tcPr>
            <w:tcW w:w="540" w:type="pct"/>
          </w:tcPr>
          <w:p w14:paraId="7A475671" w14:textId="77777777" w:rsidR="00524C5E" w:rsidRPr="002029AF" w:rsidRDefault="00524C5E" w:rsidP="003E45B5">
            <w:pPr>
              <w:pStyle w:val="ARtabletextright"/>
              <w:spacing w:before="20" w:after="10" w:line="240" w:lineRule="auto"/>
            </w:pPr>
            <w:r>
              <w:t>713</w:t>
            </w:r>
          </w:p>
        </w:tc>
        <w:tc>
          <w:tcPr>
            <w:tcW w:w="626" w:type="pct"/>
            <w:tcBorders>
              <w:top w:val="single" w:sz="4" w:space="0" w:color="auto"/>
              <w:right w:val="single" w:sz="4" w:space="0" w:color="auto"/>
            </w:tcBorders>
          </w:tcPr>
          <w:p w14:paraId="1DCC1EA5" w14:textId="77777777" w:rsidR="00524C5E" w:rsidRPr="002029AF" w:rsidRDefault="00524C5E" w:rsidP="003E45B5">
            <w:pPr>
              <w:pStyle w:val="ARtabletextright"/>
              <w:spacing w:before="20" w:after="10" w:line="240" w:lineRule="auto"/>
            </w:pPr>
            <w:r>
              <w:t>675.7</w:t>
            </w:r>
          </w:p>
        </w:tc>
        <w:tc>
          <w:tcPr>
            <w:tcW w:w="625" w:type="pct"/>
            <w:tcBorders>
              <w:left w:val="single" w:sz="4" w:space="0" w:color="auto"/>
            </w:tcBorders>
          </w:tcPr>
          <w:p w14:paraId="3AC06181" w14:textId="77777777" w:rsidR="00524C5E" w:rsidRPr="002029AF" w:rsidRDefault="00524C5E" w:rsidP="003E45B5">
            <w:pPr>
              <w:pStyle w:val="ARtabletextright"/>
              <w:spacing w:before="20" w:after="10" w:line="240" w:lineRule="auto"/>
            </w:pPr>
            <w:r>
              <w:t>380</w:t>
            </w:r>
          </w:p>
        </w:tc>
        <w:tc>
          <w:tcPr>
            <w:tcW w:w="626" w:type="pct"/>
          </w:tcPr>
          <w:p w14:paraId="0169693C" w14:textId="77777777" w:rsidR="00524C5E" w:rsidRPr="002029AF" w:rsidRDefault="00524C5E" w:rsidP="003E45B5">
            <w:pPr>
              <w:pStyle w:val="ARtabletextright"/>
              <w:spacing w:before="20" w:after="10" w:line="240" w:lineRule="auto"/>
            </w:pPr>
            <w:r>
              <w:t>73</w:t>
            </w:r>
          </w:p>
        </w:tc>
        <w:tc>
          <w:tcPr>
            <w:tcW w:w="625" w:type="pct"/>
            <w:tcBorders>
              <w:top w:val="single" w:sz="4" w:space="0" w:color="auto"/>
              <w:right w:val="single" w:sz="4" w:space="0" w:color="auto"/>
            </w:tcBorders>
          </w:tcPr>
          <w:p w14:paraId="43F6CE55" w14:textId="77777777" w:rsidR="00524C5E" w:rsidRPr="002029AF" w:rsidRDefault="00524C5E" w:rsidP="003E45B5">
            <w:pPr>
              <w:pStyle w:val="ARtabletextright"/>
              <w:spacing w:before="20" w:after="10" w:line="240" w:lineRule="auto"/>
            </w:pPr>
            <w:r>
              <w:t>430.0</w:t>
            </w:r>
          </w:p>
        </w:tc>
        <w:tc>
          <w:tcPr>
            <w:tcW w:w="626" w:type="pct"/>
            <w:tcBorders>
              <w:left w:val="single" w:sz="4" w:space="0" w:color="auto"/>
            </w:tcBorders>
          </w:tcPr>
          <w:p w14:paraId="6E565ACF" w14:textId="77777777" w:rsidR="00524C5E" w:rsidRPr="002029AF" w:rsidRDefault="00524C5E" w:rsidP="003E45B5">
            <w:pPr>
              <w:pStyle w:val="ARtabletextright"/>
              <w:spacing w:before="20" w:after="10" w:line="240" w:lineRule="auto"/>
            </w:pPr>
            <w:r>
              <w:t>260</w:t>
            </w:r>
          </w:p>
        </w:tc>
        <w:tc>
          <w:tcPr>
            <w:tcW w:w="626" w:type="pct"/>
          </w:tcPr>
          <w:p w14:paraId="01E6AAE5" w14:textId="77777777" w:rsidR="00524C5E" w:rsidRPr="002029AF" w:rsidRDefault="00524C5E" w:rsidP="003E45B5">
            <w:pPr>
              <w:pStyle w:val="ARtabletextright"/>
              <w:spacing w:before="20" w:after="10" w:line="240" w:lineRule="auto"/>
            </w:pPr>
            <w:r>
              <w:t>245.7</w:t>
            </w:r>
          </w:p>
        </w:tc>
      </w:tr>
      <w:tr w:rsidR="00524C5E" w:rsidRPr="002029AF" w14:paraId="1CA533AE" w14:textId="77777777" w:rsidTr="00221EB6">
        <w:trPr>
          <w:cantSplit w:val="0"/>
        </w:trPr>
        <w:tc>
          <w:tcPr>
            <w:tcW w:w="706" w:type="pct"/>
            <w:hideMark/>
          </w:tcPr>
          <w:p w14:paraId="124B8402" w14:textId="77777777" w:rsidR="00524C5E" w:rsidRPr="002029AF" w:rsidRDefault="00524C5E" w:rsidP="003E45B5">
            <w:pPr>
              <w:pStyle w:val="ARtabletext"/>
              <w:spacing w:before="20" w:after="10" w:line="240" w:lineRule="auto"/>
            </w:pPr>
            <w:r w:rsidRPr="002029AF">
              <w:t>65+</w:t>
            </w:r>
          </w:p>
        </w:tc>
        <w:tc>
          <w:tcPr>
            <w:tcW w:w="540" w:type="pct"/>
          </w:tcPr>
          <w:p w14:paraId="76140DBE" w14:textId="77777777" w:rsidR="00524C5E" w:rsidRPr="002029AF" w:rsidRDefault="00524C5E" w:rsidP="003E45B5">
            <w:pPr>
              <w:pStyle w:val="ARtabletextright"/>
              <w:spacing w:before="20" w:after="10" w:line="240" w:lineRule="auto"/>
            </w:pPr>
            <w:r>
              <w:t>187</w:t>
            </w:r>
          </w:p>
        </w:tc>
        <w:tc>
          <w:tcPr>
            <w:tcW w:w="626" w:type="pct"/>
            <w:tcBorders>
              <w:top w:val="single" w:sz="4" w:space="0" w:color="auto"/>
              <w:right w:val="single" w:sz="4" w:space="0" w:color="auto"/>
            </w:tcBorders>
          </w:tcPr>
          <w:p w14:paraId="7A60187C" w14:textId="77777777" w:rsidR="00524C5E" w:rsidRPr="002029AF" w:rsidRDefault="00524C5E" w:rsidP="003E45B5">
            <w:pPr>
              <w:pStyle w:val="ARtabletextright"/>
              <w:spacing w:before="20" w:after="10" w:line="240" w:lineRule="auto"/>
            </w:pPr>
            <w:r>
              <w:t>161.8</w:t>
            </w:r>
          </w:p>
        </w:tc>
        <w:tc>
          <w:tcPr>
            <w:tcW w:w="625" w:type="pct"/>
            <w:tcBorders>
              <w:left w:val="single" w:sz="4" w:space="0" w:color="auto"/>
            </w:tcBorders>
          </w:tcPr>
          <w:p w14:paraId="53984934" w14:textId="77777777" w:rsidR="00524C5E" w:rsidRPr="002029AF" w:rsidRDefault="00524C5E" w:rsidP="003E45B5">
            <w:pPr>
              <w:pStyle w:val="ARtabletextright"/>
              <w:spacing w:before="20" w:after="10" w:line="240" w:lineRule="auto"/>
            </w:pPr>
            <w:r>
              <w:t>87</w:t>
            </w:r>
          </w:p>
        </w:tc>
        <w:tc>
          <w:tcPr>
            <w:tcW w:w="626" w:type="pct"/>
          </w:tcPr>
          <w:p w14:paraId="143D28FC" w14:textId="77777777" w:rsidR="00524C5E" w:rsidRPr="002029AF" w:rsidRDefault="00524C5E" w:rsidP="003E45B5">
            <w:pPr>
              <w:pStyle w:val="ARtabletextright"/>
              <w:spacing w:before="20" w:after="10" w:line="240" w:lineRule="auto"/>
            </w:pPr>
            <w:r>
              <w:t>37</w:t>
            </w:r>
          </w:p>
        </w:tc>
        <w:tc>
          <w:tcPr>
            <w:tcW w:w="625" w:type="pct"/>
            <w:tcBorders>
              <w:top w:val="single" w:sz="4" w:space="0" w:color="auto"/>
              <w:right w:val="single" w:sz="4" w:space="0" w:color="auto"/>
            </w:tcBorders>
          </w:tcPr>
          <w:p w14:paraId="0959FDE7" w14:textId="77777777" w:rsidR="00524C5E" w:rsidRPr="002029AF" w:rsidRDefault="00524C5E" w:rsidP="003E45B5">
            <w:pPr>
              <w:pStyle w:val="ARtabletextright"/>
              <w:spacing w:before="20" w:after="10" w:line="240" w:lineRule="auto"/>
            </w:pPr>
            <w:r>
              <w:t>109.8</w:t>
            </w:r>
          </w:p>
        </w:tc>
        <w:tc>
          <w:tcPr>
            <w:tcW w:w="626" w:type="pct"/>
            <w:tcBorders>
              <w:left w:val="single" w:sz="4" w:space="0" w:color="auto"/>
            </w:tcBorders>
          </w:tcPr>
          <w:p w14:paraId="5C6E3CCA" w14:textId="77777777" w:rsidR="00524C5E" w:rsidRPr="002029AF" w:rsidRDefault="00524C5E" w:rsidP="003E45B5">
            <w:pPr>
              <w:pStyle w:val="ARtabletextright"/>
              <w:spacing w:before="20" w:after="10" w:line="240" w:lineRule="auto"/>
            </w:pPr>
            <w:r>
              <w:t>63</w:t>
            </w:r>
          </w:p>
        </w:tc>
        <w:tc>
          <w:tcPr>
            <w:tcW w:w="626" w:type="pct"/>
          </w:tcPr>
          <w:p w14:paraId="0C1F023A" w14:textId="77777777" w:rsidR="00524C5E" w:rsidRPr="002029AF" w:rsidRDefault="00524C5E" w:rsidP="003E45B5">
            <w:pPr>
              <w:pStyle w:val="ARtabletextright"/>
              <w:spacing w:before="20" w:after="10" w:line="240" w:lineRule="auto"/>
            </w:pPr>
            <w:r>
              <w:t>52.0</w:t>
            </w:r>
          </w:p>
        </w:tc>
      </w:tr>
      <w:tr w:rsidR="00524C5E" w:rsidRPr="002029AF" w14:paraId="1A049D1B" w14:textId="77777777" w:rsidTr="00221EB6">
        <w:trPr>
          <w:cantSplit w:val="0"/>
        </w:trPr>
        <w:tc>
          <w:tcPr>
            <w:tcW w:w="706" w:type="pct"/>
          </w:tcPr>
          <w:p w14:paraId="08BC4E11" w14:textId="77777777" w:rsidR="00524C5E" w:rsidRPr="0066128E" w:rsidRDefault="00524C5E" w:rsidP="003E45B5">
            <w:pPr>
              <w:pStyle w:val="ARtablesubhead"/>
              <w:spacing w:before="20" w:after="10" w:line="240" w:lineRule="auto"/>
              <w:rPr>
                <w:b w:val="0"/>
                <w:bCs/>
              </w:rPr>
            </w:pPr>
            <w:r w:rsidRPr="00163895">
              <w:t>Classification</w:t>
            </w:r>
          </w:p>
        </w:tc>
        <w:tc>
          <w:tcPr>
            <w:tcW w:w="540" w:type="pct"/>
          </w:tcPr>
          <w:p w14:paraId="3B0B89F7" w14:textId="77777777" w:rsidR="00524C5E" w:rsidRPr="002029AF" w:rsidRDefault="00524C5E" w:rsidP="003E45B5">
            <w:pPr>
              <w:pStyle w:val="ARtabletextright"/>
              <w:spacing w:before="20" w:after="10" w:line="240" w:lineRule="auto"/>
            </w:pPr>
          </w:p>
        </w:tc>
        <w:tc>
          <w:tcPr>
            <w:tcW w:w="626" w:type="pct"/>
            <w:tcBorders>
              <w:top w:val="single" w:sz="4" w:space="0" w:color="auto"/>
              <w:right w:val="single" w:sz="4" w:space="0" w:color="auto"/>
            </w:tcBorders>
          </w:tcPr>
          <w:p w14:paraId="44B88D84" w14:textId="77777777" w:rsidR="00524C5E" w:rsidRPr="002029AF" w:rsidRDefault="00524C5E" w:rsidP="003E45B5">
            <w:pPr>
              <w:pStyle w:val="ARtabletextright"/>
              <w:spacing w:before="20" w:after="10" w:line="240" w:lineRule="auto"/>
            </w:pPr>
          </w:p>
        </w:tc>
        <w:tc>
          <w:tcPr>
            <w:tcW w:w="625" w:type="pct"/>
            <w:tcBorders>
              <w:left w:val="single" w:sz="4" w:space="0" w:color="auto"/>
            </w:tcBorders>
          </w:tcPr>
          <w:p w14:paraId="7719D10C" w14:textId="77777777" w:rsidR="00524C5E" w:rsidRPr="002029AF" w:rsidRDefault="00524C5E" w:rsidP="003E45B5">
            <w:pPr>
              <w:pStyle w:val="ARtabletextright"/>
              <w:spacing w:before="20" w:after="10" w:line="240" w:lineRule="auto"/>
            </w:pPr>
          </w:p>
        </w:tc>
        <w:tc>
          <w:tcPr>
            <w:tcW w:w="626" w:type="pct"/>
          </w:tcPr>
          <w:p w14:paraId="3475C03B" w14:textId="77777777" w:rsidR="00524C5E" w:rsidRPr="002029AF" w:rsidRDefault="00524C5E" w:rsidP="003E45B5">
            <w:pPr>
              <w:pStyle w:val="ARtabletextright"/>
              <w:spacing w:before="20" w:after="10" w:line="240" w:lineRule="auto"/>
            </w:pPr>
          </w:p>
        </w:tc>
        <w:tc>
          <w:tcPr>
            <w:tcW w:w="625" w:type="pct"/>
            <w:tcBorders>
              <w:top w:val="single" w:sz="4" w:space="0" w:color="auto"/>
              <w:right w:val="single" w:sz="4" w:space="0" w:color="auto"/>
            </w:tcBorders>
          </w:tcPr>
          <w:p w14:paraId="245C6F7A" w14:textId="77777777" w:rsidR="00524C5E" w:rsidRPr="002029AF" w:rsidRDefault="00524C5E" w:rsidP="003E45B5">
            <w:pPr>
              <w:pStyle w:val="ARtabletextright"/>
              <w:spacing w:before="20" w:after="10" w:line="240" w:lineRule="auto"/>
            </w:pPr>
          </w:p>
        </w:tc>
        <w:tc>
          <w:tcPr>
            <w:tcW w:w="626" w:type="pct"/>
            <w:tcBorders>
              <w:left w:val="single" w:sz="4" w:space="0" w:color="auto"/>
            </w:tcBorders>
          </w:tcPr>
          <w:p w14:paraId="092D5F36" w14:textId="77777777" w:rsidR="00524C5E" w:rsidRPr="002029AF" w:rsidRDefault="00524C5E" w:rsidP="003E45B5">
            <w:pPr>
              <w:pStyle w:val="ARtabletextright"/>
              <w:spacing w:before="20" w:after="10" w:line="240" w:lineRule="auto"/>
            </w:pPr>
          </w:p>
        </w:tc>
        <w:tc>
          <w:tcPr>
            <w:tcW w:w="626" w:type="pct"/>
          </w:tcPr>
          <w:p w14:paraId="2CAA3D76" w14:textId="77777777" w:rsidR="00524C5E" w:rsidRPr="002029AF" w:rsidRDefault="00524C5E" w:rsidP="003E45B5">
            <w:pPr>
              <w:pStyle w:val="ARtabletextright"/>
              <w:spacing w:before="20" w:after="10" w:line="240" w:lineRule="auto"/>
            </w:pPr>
          </w:p>
        </w:tc>
      </w:tr>
      <w:tr w:rsidR="00524C5E" w:rsidRPr="002029AF" w14:paraId="5E56EB51" w14:textId="77777777" w:rsidTr="00221EB6">
        <w:trPr>
          <w:cantSplit w:val="0"/>
        </w:trPr>
        <w:tc>
          <w:tcPr>
            <w:tcW w:w="706" w:type="pct"/>
            <w:hideMark/>
          </w:tcPr>
          <w:p w14:paraId="3E0BC1FE" w14:textId="77777777" w:rsidR="00524C5E" w:rsidRPr="002029AF" w:rsidRDefault="00524C5E" w:rsidP="003E45B5">
            <w:pPr>
              <w:pStyle w:val="ARtabletext"/>
              <w:spacing w:before="20" w:after="10" w:line="240" w:lineRule="auto"/>
            </w:pPr>
            <w:r w:rsidRPr="002029AF">
              <w:t>VPS 1</w:t>
            </w:r>
          </w:p>
        </w:tc>
        <w:tc>
          <w:tcPr>
            <w:tcW w:w="540" w:type="pct"/>
          </w:tcPr>
          <w:p w14:paraId="641DF50E" w14:textId="77777777" w:rsidR="00524C5E" w:rsidRPr="002029AF" w:rsidRDefault="00524C5E" w:rsidP="003E45B5">
            <w:pPr>
              <w:pStyle w:val="ARtabletextright"/>
              <w:spacing w:before="20" w:after="10" w:line="240" w:lineRule="auto"/>
            </w:pPr>
            <w:r>
              <w:t>18</w:t>
            </w:r>
          </w:p>
        </w:tc>
        <w:tc>
          <w:tcPr>
            <w:tcW w:w="626" w:type="pct"/>
            <w:tcBorders>
              <w:top w:val="single" w:sz="4" w:space="0" w:color="auto"/>
              <w:right w:val="single" w:sz="4" w:space="0" w:color="auto"/>
            </w:tcBorders>
          </w:tcPr>
          <w:p w14:paraId="6C4EF45F" w14:textId="77777777" w:rsidR="00524C5E" w:rsidRPr="002029AF" w:rsidRDefault="00524C5E" w:rsidP="003E45B5">
            <w:pPr>
              <w:pStyle w:val="ARtabletextright"/>
              <w:spacing w:before="20" w:after="10" w:line="240" w:lineRule="auto"/>
            </w:pPr>
            <w:r>
              <w:t>17.9</w:t>
            </w:r>
          </w:p>
        </w:tc>
        <w:tc>
          <w:tcPr>
            <w:tcW w:w="625" w:type="pct"/>
            <w:tcBorders>
              <w:left w:val="single" w:sz="4" w:space="0" w:color="auto"/>
            </w:tcBorders>
          </w:tcPr>
          <w:p w14:paraId="2C01DBFF" w14:textId="77777777" w:rsidR="00524C5E" w:rsidRPr="002029AF" w:rsidRDefault="00524C5E" w:rsidP="003E45B5">
            <w:pPr>
              <w:pStyle w:val="ARtabletextright"/>
              <w:spacing w:before="20" w:after="10" w:line="240" w:lineRule="auto"/>
            </w:pPr>
            <w:r>
              <w:t>0</w:t>
            </w:r>
          </w:p>
        </w:tc>
        <w:tc>
          <w:tcPr>
            <w:tcW w:w="626" w:type="pct"/>
          </w:tcPr>
          <w:p w14:paraId="5E61864C" w14:textId="77777777" w:rsidR="00524C5E" w:rsidRPr="002029AF" w:rsidRDefault="00524C5E" w:rsidP="003E45B5">
            <w:pPr>
              <w:pStyle w:val="ARtabletextright"/>
              <w:spacing w:before="20" w:after="10" w:line="240" w:lineRule="auto"/>
            </w:pPr>
            <w:r>
              <w:t>0</w:t>
            </w:r>
          </w:p>
        </w:tc>
        <w:tc>
          <w:tcPr>
            <w:tcW w:w="625" w:type="pct"/>
            <w:tcBorders>
              <w:top w:val="single" w:sz="4" w:space="0" w:color="auto"/>
              <w:right w:val="single" w:sz="4" w:space="0" w:color="auto"/>
            </w:tcBorders>
          </w:tcPr>
          <w:p w14:paraId="5E6A0872" w14:textId="77777777" w:rsidR="00524C5E" w:rsidRPr="002029AF" w:rsidRDefault="00524C5E" w:rsidP="003E45B5">
            <w:pPr>
              <w:pStyle w:val="ARtabletextright"/>
              <w:spacing w:before="20" w:after="10" w:line="240" w:lineRule="auto"/>
            </w:pPr>
            <w:r>
              <w:t>0.0</w:t>
            </w:r>
          </w:p>
        </w:tc>
        <w:tc>
          <w:tcPr>
            <w:tcW w:w="626" w:type="pct"/>
            <w:tcBorders>
              <w:left w:val="single" w:sz="4" w:space="0" w:color="auto"/>
            </w:tcBorders>
          </w:tcPr>
          <w:p w14:paraId="24D2DA67" w14:textId="77777777" w:rsidR="00524C5E" w:rsidRPr="002029AF" w:rsidRDefault="00524C5E" w:rsidP="003E45B5">
            <w:pPr>
              <w:pStyle w:val="ARtabletextright"/>
              <w:spacing w:before="20" w:after="10" w:line="240" w:lineRule="auto"/>
            </w:pPr>
            <w:r>
              <w:t>18</w:t>
            </w:r>
          </w:p>
        </w:tc>
        <w:tc>
          <w:tcPr>
            <w:tcW w:w="626" w:type="pct"/>
          </w:tcPr>
          <w:p w14:paraId="481164DA" w14:textId="77777777" w:rsidR="00524C5E" w:rsidRPr="002029AF" w:rsidRDefault="00524C5E" w:rsidP="003E45B5">
            <w:pPr>
              <w:pStyle w:val="ARtabletextright"/>
              <w:spacing w:before="20" w:after="10" w:line="240" w:lineRule="auto"/>
            </w:pPr>
            <w:r>
              <w:t>17.9</w:t>
            </w:r>
          </w:p>
        </w:tc>
      </w:tr>
      <w:tr w:rsidR="00524C5E" w:rsidRPr="002029AF" w14:paraId="1EA66171" w14:textId="77777777" w:rsidTr="00221EB6">
        <w:trPr>
          <w:cantSplit w:val="0"/>
        </w:trPr>
        <w:tc>
          <w:tcPr>
            <w:tcW w:w="706" w:type="pct"/>
            <w:hideMark/>
          </w:tcPr>
          <w:p w14:paraId="478E6063" w14:textId="77777777" w:rsidR="00524C5E" w:rsidRPr="002029AF" w:rsidRDefault="00524C5E" w:rsidP="003E45B5">
            <w:pPr>
              <w:pStyle w:val="ARtabletext"/>
              <w:spacing w:before="20" w:after="10" w:line="240" w:lineRule="auto"/>
            </w:pPr>
            <w:r w:rsidRPr="002029AF">
              <w:t>VPS 2</w:t>
            </w:r>
          </w:p>
        </w:tc>
        <w:tc>
          <w:tcPr>
            <w:tcW w:w="540" w:type="pct"/>
          </w:tcPr>
          <w:p w14:paraId="3C148743" w14:textId="77777777" w:rsidR="00524C5E" w:rsidRPr="002029AF" w:rsidRDefault="00524C5E" w:rsidP="003E45B5">
            <w:pPr>
              <w:pStyle w:val="ARtabletextright"/>
              <w:spacing w:before="20" w:after="10" w:line="240" w:lineRule="auto"/>
            </w:pPr>
            <w:r>
              <w:t>94</w:t>
            </w:r>
          </w:p>
        </w:tc>
        <w:tc>
          <w:tcPr>
            <w:tcW w:w="626" w:type="pct"/>
            <w:tcBorders>
              <w:top w:val="single" w:sz="4" w:space="0" w:color="auto"/>
              <w:right w:val="single" w:sz="4" w:space="0" w:color="auto"/>
            </w:tcBorders>
          </w:tcPr>
          <w:p w14:paraId="7A95F23F" w14:textId="77777777" w:rsidR="00524C5E" w:rsidRPr="002029AF" w:rsidRDefault="00524C5E" w:rsidP="003E45B5">
            <w:pPr>
              <w:pStyle w:val="ARtabletextright"/>
              <w:spacing w:before="20" w:after="10" w:line="240" w:lineRule="auto"/>
            </w:pPr>
            <w:r>
              <w:t>84.7</w:t>
            </w:r>
          </w:p>
        </w:tc>
        <w:tc>
          <w:tcPr>
            <w:tcW w:w="625" w:type="pct"/>
            <w:tcBorders>
              <w:left w:val="single" w:sz="4" w:space="0" w:color="auto"/>
            </w:tcBorders>
          </w:tcPr>
          <w:p w14:paraId="657B6414" w14:textId="77777777" w:rsidR="00524C5E" w:rsidRPr="002029AF" w:rsidRDefault="00524C5E" w:rsidP="003E45B5">
            <w:pPr>
              <w:pStyle w:val="ARtabletextright"/>
              <w:spacing w:before="20" w:after="10" w:line="240" w:lineRule="auto"/>
            </w:pPr>
            <w:r>
              <w:t>35</w:t>
            </w:r>
          </w:p>
        </w:tc>
        <w:tc>
          <w:tcPr>
            <w:tcW w:w="626" w:type="pct"/>
          </w:tcPr>
          <w:p w14:paraId="49BB4395" w14:textId="77777777" w:rsidR="00524C5E" w:rsidRPr="002029AF" w:rsidRDefault="00524C5E" w:rsidP="003E45B5">
            <w:pPr>
              <w:pStyle w:val="ARtabletextright"/>
              <w:spacing w:before="20" w:after="10" w:line="240" w:lineRule="auto"/>
            </w:pPr>
            <w:r>
              <w:t>17</w:t>
            </w:r>
          </w:p>
        </w:tc>
        <w:tc>
          <w:tcPr>
            <w:tcW w:w="625" w:type="pct"/>
            <w:tcBorders>
              <w:top w:val="single" w:sz="4" w:space="0" w:color="auto"/>
              <w:right w:val="single" w:sz="4" w:space="0" w:color="auto"/>
            </w:tcBorders>
          </w:tcPr>
          <w:p w14:paraId="301C8FAF" w14:textId="77777777" w:rsidR="00524C5E" w:rsidRPr="002029AF" w:rsidRDefault="00524C5E" w:rsidP="003E45B5">
            <w:pPr>
              <w:pStyle w:val="ARtabletextright"/>
              <w:spacing w:before="20" w:after="10" w:line="240" w:lineRule="auto"/>
            </w:pPr>
            <w:r>
              <w:t>46.5</w:t>
            </w:r>
          </w:p>
        </w:tc>
        <w:tc>
          <w:tcPr>
            <w:tcW w:w="626" w:type="pct"/>
            <w:tcBorders>
              <w:left w:val="single" w:sz="4" w:space="0" w:color="auto"/>
            </w:tcBorders>
          </w:tcPr>
          <w:p w14:paraId="52C0FD45" w14:textId="77777777" w:rsidR="00524C5E" w:rsidRPr="002029AF" w:rsidRDefault="00524C5E" w:rsidP="003E45B5">
            <w:pPr>
              <w:pStyle w:val="ARtabletextright"/>
              <w:spacing w:before="20" w:after="10" w:line="240" w:lineRule="auto"/>
            </w:pPr>
            <w:r>
              <w:t>42</w:t>
            </w:r>
          </w:p>
        </w:tc>
        <w:tc>
          <w:tcPr>
            <w:tcW w:w="626" w:type="pct"/>
          </w:tcPr>
          <w:p w14:paraId="50C131F5" w14:textId="77777777" w:rsidR="00524C5E" w:rsidRPr="002029AF" w:rsidRDefault="00524C5E" w:rsidP="003E45B5">
            <w:pPr>
              <w:pStyle w:val="ARtabletextright"/>
              <w:spacing w:before="20" w:after="10" w:line="240" w:lineRule="auto"/>
            </w:pPr>
            <w:r>
              <w:t>38.2</w:t>
            </w:r>
          </w:p>
        </w:tc>
      </w:tr>
      <w:tr w:rsidR="00524C5E" w:rsidRPr="002029AF" w14:paraId="7BE68305" w14:textId="77777777" w:rsidTr="00221EB6">
        <w:trPr>
          <w:cantSplit w:val="0"/>
        </w:trPr>
        <w:tc>
          <w:tcPr>
            <w:tcW w:w="706" w:type="pct"/>
            <w:hideMark/>
          </w:tcPr>
          <w:p w14:paraId="6FF4F2EE" w14:textId="77777777" w:rsidR="00524C5E" w:rsidRPr="002029AF" w:rsidRDefault="00524C5E" w:rsidP="003E45B5">
            <w:pPr>
              <w:pStyle w:val="ARtabletext"/>
              <w:spacing w:before="20" w:after="10" w:line="240" w:lineRule="auto"/>
            </w:pPr>
            <w:r w:rsidRPr="002029AF">
              <w:t>VPS 3</w:t>
            </w:r>
          </w:p>
        </w:tc>
        <w:tc>
          <w:tcPr>
            <w:tcW w:w="540" w:type="pct"/>
          </w:tcPr>
          <w:p w14:paraId="23188E39" w14:textId="77777777" w:rsidR="00524C5E" w:rsidRPr="002029AF" w:rsidRDefault="00524C5E" w:rsidP="003E45B5">
            <w:pPr>
              <w:pStyle w:val="ARtabletextright"/>
              <w:spacing w:before="20" w:after="10" w:line="240" w:lineRule="auto"/>
            </w:pPr>
            <w:r>
              <w:t>415</w:t>
            </w:r>
          </w:p>
        </w:tc>
        <w:tc>
          <w:tcPr>
            <w:tcW w:w="626" w:type="pct"/>
            <w:tcBorders>
              <w:top w:val="single" w:sz="4" w:space="0" w:color="auto"/>
              <w:right w:val="single" w:sz="4" w:space="0" w:color="auto"/>
            </w:tcBorders>
          </w:tcPr>
          <w:p w14:paraId="0014DAA1" w14:textId="77777777" w:rsidR="00524C5E" w:rsidRPr="002029AF" w:rsidRDefault="00524C5E" w:rsidP="003E45B5">
            <w:pPr>
              <w:pStyle w:val="ARtabletextright"/>
              <w:spacing w:before="20" w:after="10" w:line="240" w:lineRule="auto"/>
            </w:pPr>
            <w:r>
              <w:t>378.5</w:t>
            </w:r>
          </w:p>
        </w:tc>
        <w:tc>
          <w:tcPr>
            <w:tcW w:w="625" w:type="pct"/>
            <w:tcBorders>
              <w:left w:val="single" w:sz="4" w:space="0" w:color="auto"/>
            </w:tcBorders>
          </w:tcPr>
          <w:p w14:paraId="3B1415A0" w14:textId="77777777" w:rsidR="00524C5E" w:rsidRPr="002029AF" w:rsidRDefault="00524C5E" w:rsidP="003E45B5">
            <w:pPr>
              <w:pStyle w:val="ARtabletextright"/>
              <w:spacing w:before="20" w:after="10" w:line="240" w:lineRule="auto"/>
            </w:pPr>
            <w:r>
              <w:t>158</w:t>
            </w:r>
          </w:p>
        </w:tc>
        <w:tc>
          <w:tcPr>
            <w:tcW w:w="626" w:type="pct"/>
          </w:tcPr>
          <w:p w14:paraId="0C8E6B61" w14:textId="77777777" w:rsidR="00524C5E" w:rsidRPr="002029AF" w:rsidRDefault="00524C5E" w:rsidP="003E45B5">
            <w:pPr>
              <w:pStyle w:val="ARtabletextright"/>
              <w:spacing w:before="20" w:after="10" w:line="240" w:lineRule="auto"/>
            </w:pPr>
            <w:r>
              <w:t>35</w:t>
            </w:r>
          </w:p>
        </w:tc>
        <w:tc>
          <w:tcPr>
            <w:tcW w:w="625" w:type="pct"/>
            <w:tcBorders>
              <w:top w:val="single" w:sz="4" w:space="0" w:color="auto"/>
              <w:right w:val="single" w:sz="4" w:space="0" w:color="auto"/>
            </w:tcBorders>
          </w:tcPr>
          <w:p w14:paraId="4EBA1798" w14:textId="77777777" w:rsidR="00524C5E" w:rsidRPr="002029AF" w:rsidRDefault="00524C5E" w:rsidP="003E45B5">
            <w:pPr>
              <w:pStyle w:val="ARtabletextright"/>
              <w:spacing w:before="20" w:after="10" w:line="240" w:lineRule="auto"/>
            </w:pPr>
            <w:r>
              <w:t>184.3</w:t>
            </w:r>
          </w:p>
        </w:tc>
        <w:tc>
          <w:tcPr>
            <w:tcW w:w="626" w:type="pct"/>
            <w:tcBorders>
              <w:left w:val="single" w:sz="4" w:space="0" w:color="auto"/>
            </w:tcBorders>
          </w:tcPr>
          <w:p w14:paraId="5427F444" w14:textId="77777777" w:rsidR="00524C5E" w:rsidRPr="002029AF" w:rsidRDefault="00524C5E" w:rsidP="003E45B5">
            <w:pPr>
              <w:pStyle w:val="ARtabletextright"/>
              <w:spacing w:before="20" w:after="10" w:line="240" w:lineRule="auto"/>
            </w:pPr>
            <w:r>
              <w:t>222</w:t>
            </w:r>
          </w:p>
        </w:tc>
        <w:tc>
          <w:tcPr>
            <w:tcW w:w="626" w:type="pct"/>
          </w:tcPr>
          <w:p w14:paraId="1BD2AA93" w14:textId="77777777" w:rsidR="00524C5E" w:rsidRPr="002029AF" w:rsidRDefault="00524C5E" w:rsidP="003E45B5">
            <w:pPr>
              <w:pStyle w:val="ARtabletextright"/>
              <w:spacing w:before="20" w:after="10" w:line="240" w:lineRule="auto"/>
            </w:pPr>
            <w:r>
              <w:t>194.1</w:t>
            </w:r>
          </w:p>
        </w:tc>
      </w:tr>
      <w:tr w:rsidR="00524C5E" w:rsidRPr="002029AF" w14:paraId="23A16586" w14:textId="77777777" w:rsidTr="00221EB6">
        <w:trPr>
          <w:cantSplit w:val="0"/>
        </w:trPr>
        <w:tc>
          <w:tcPr>
            <w:tcW w:w="706" w:type="pct"/>
            <w:hideMark/>
          </w:tcPr>
          <w:p w14:paraId="553D4ACE" w14:textId="77777777" w:rsidR="00524C5E" w:rsidRPr="002029AF" w:rsidRDefault="00524C5E" w:rsidP="003E45B5">
            <w:pPr>
              <w:pStyle w:val="ARtabletext"/>
              <w:spacing w:before="20" w:after="10" w:line="240" w:lineRule="auto"/>
            </w:pPr>
            <w:r w:rsidRPr="002029AF">
              <w:t>VPS 4</w:t>
            </w:r>
          </w:p>
        </w:tc>
        <w:tc>
          <w:tcPr>
            <w:tcW w:w="540" w:type="pct"/>
          </w:tcPr>
          <w:p w14:paraId="2B6BA192" w14:textId="77777777" w:rsidR="00524C5E" w:rsidRPr="002029AF" w:rsidRDefault="00524C5E" w:rsidP="003E45B5">
            <w:pPr>
              <w:pStyle w:val="ARtabletextright"/>
              <w:spacing w:before="20" w:after="10" w:line="240" w:lineRule="auto"/>
            </w:pPr>
            <w:r>
              <w:t>1,337</w:t>
            </w:r>
          </w:p>
        </w:tc>
        <w:tc>
          <w:tcPr>
            <w:tcW w:w="626" w:type="pct"/>
            <w:tcBorders>
              <w:top w:val="single" w:sz="4" w:space="0" w:color="auto"/>
              <w:right w:val="single" w:sz="4" w:space="0" w:color="auto"/>
            </w:tcBorders>
          </w:tcPr>
          <w:p w14:paraId="5B22249F" w14:textId="77777777" w:rsidR="00524C5E" w:rsidRPr="002029AF" w:rsidRDefault="00524C5E" w:rsidP="003E45B5">
            <w:pPr>
              <w:pStyle w:val="ARtabletextright"/>
              <w:spacing w:before="20" w:after="10" w:line="240" w:lineRule="auto"/>
            </w:pPr>
            <w:r>
              <w:t>1,275.5</w:t>
            </w:r>
          </w:p>
        </w:tc>
        <w:tc>
          <w:tcPr>
            <w:tcW w:w="625" w:type="pct"/>
            <w:tcBorders>
              <w:left w:val="single" w:sz="4" w:space="0" w:color="auto"/>
            </w:tcBorders>
          </w:tcPr>
          <w:p w14:paraId="47E3C5A6" w14:textId="77777777" w:rsidR="00524C5E" w:rsidRPr="002029AF" w:rsidRDefault="00524C5E" w:rsidP="003E45B5">
            <w:pPr>
              <w:pStyle w:val="ARtabletextright"/>
              <w:spacing w:before="20" w:after="10" w:line="240" w:lineRule="auto"/>
            </w:pPr>
            <w:r>
              <w:t>261</w:t>
            </w:r>
          </w:p>
        </w:tc>
        <w:tc>
          <w:tcPr>
            <w:tcW w:w="626" w:type="pct"/>
          </w:tcPr>
          <w:p w14:paraId="08223BA3" w14:textId="77777777" w:rsidR="00524C5E" w:rsidRPr="002029AF" w:rsidRDefault="00524C5E" w:rsidP="003E45B5">
            <w:pPr>
              <w:pStyle w:val="ARtabletextright"/>
              <w:spacing w:before="20" w:after="10" w:line="240" w:lineRule="auto"/>
            </w:pPr>
            <w:r>
              <w:t>40</w:t>
            </w:r>
          </w:p>
        </w:tc>
        <w:tc>
          <w:tcPr>
            <w:tcW w:w="625" w:type="pct"/>
            <w:tcBorders>
              <w:top w:val="single" w:sz="4" w:space="0" w:color="auto"/>
              <w:right w:val="single" w:sz="4" w:space="0" w:color="auto"/>
            </w:tcBorders>
          </w:tcPr>
          <w:p w14:paraId="245696E3" w14:textId="77777777" w:rsidR="00524C5E" w:rsidRPr="002029AF" w:rsidRDefault="00524C5E" w:rsidP="003E45B5">
            <w:pPr>
              <w:pStyle w:val="ARtabletextright"/>
              <w:spacing w:before="20" w:after="10" w:line="240" w:lineRule="auto"/>
            </w:pPr>
            <w:r>
              <w:t>288.7</w:t>
            </w:r>
          </w:p>
        </w:tc>
        <w:tc>
          <w:tcPr>
            <w:tcW w:w="626" w:type="pct"/>
            <w:tcBorders>
              <w:left w:val="single" w:sz="4" w:space="0" w:color="auto"/>
            </w:tcBorders>
          </w:tcPr>
          <w:p w14:paraId="28E73E8F" w14:textId="77777777" w:rsidR="00524C5E" w:rsidRPr="002029AF" w:rsidRDefault="00524C5E" w:rsidP="003E45B5">
            <w:pPr>
              <w:pStyle w:val="ARtabletextright"/>
              <w:spacing w:before="20" w:after="10" w:line="240" w:lineRule="auto"/>
            </w:pPr>
            <w:r>
              <w:t>1,036</w:t>
            </w:r>
          </w:p>
        </w:tc>
        <w:tc>
          <w:tcPr>
            <w:tcW w:w="626" w:type="pct"/>
          </w:tcPr>
          <w:p w14:paraId="4A57C15A" w14:textId="77777777" w:rsidR="00524C5E" w:rsidRPr="002029AF" w:rsidRDefault="00524C5E" w:rsidP="003E45B5">
            <w:pPr>
              <w:pStyle w:val="ARtabletextright"/>
              <w:spacing w:before="20" w:after="10" w:line="240" w:lineRule="auto"/>
            </w:pPr>
            <w:r>
              <w:t>986.8</w:t>
            </w:r>
          </w:p>
        </w:tc>
      </w:tr>
      <w:tr w:rsidR="00524C5E" w:rsidRPr="002029AF" w14:paraId="3043F606" w14:textId="77777777" w:rsidTr="00221EB6">
        <w:trPr>
          <w:cantSplit w:val="0"/>
        </w:trPr>
        <w:tc>
          <w:tcPr>
            <w:tcW w:w="706" w:type="pct"/>
            <w:hideMark/>
          </w:tcPr>
          <w:p w14:paraId="01C098A1" w14:textId="77777777" w:rsidR="00524C5E" w:rsidRPr="002029AF" w:rsidRDefault="00524C5E" w:rsidP="003E45B5">
            <w:pPr>
              <w:pStyle w:val="ARtabletext"/>
              <w:spacing w:before="20" w:after="10" w:line="240" w:lineRule="auto"/>
            </w:pPr>
            <w:r w:rsidRPr="002029AF">
              <w:t>VPS 5</w:t>
            </w:r>
          </w:p>
        </w:tc>
        <w:tc>
          <w:tcPr>
            <w:tcW w:w="540" w:type="pct"/>
          </w:tcPr>
          <w:p w14:paraId="54AC0EE3" w14:textId="77777777" w:rsidR="00524C5E" w:rsidRPr="002029AF" w:rsidRDefault="00524C5E" w:rsidP="003E45B5">
            <w:pPr>
              <w:pStyle w:val="ARtabletextright"/>
              <w:spacing w:before="20" w:after="10" w:line="240" w:lineRule="auto"/>
            </w:pPr>
            <w:r>
              <w:t>1,262</w:t>
            </w:r>
          </w:p>
        </w:tc>
        <w:tc>
          <w:tcPr>
            <w:tcW w:w="626" w:type="pct"/>
            <w:tcBorders>
              <w:top w:val="single" w:sz="4" w:space="0" w:color="auto"/>
              <w:right w:val="single" w:sz="4" w:space="0" w:color="auto"/>
            </w:tcBorders>
          </w:tcPr>
          <w:p w14:paraId="67C3EF5C" w14:textId="77777777" w:rsidR="00524C5E" w:rsidRPr="002029AF" w:rsidRDefault="00524C5E" w:rsidP="003E45B5">
            <w:pPr>
              <w:pStyle w:val="ARtabletextright"/>
              <w:spacing w:before="20" w:after="10" w:line="240" w:lineRule="auto"/>
            </w:pPr>
            <w:r>
              <w:t>1,194.6</w:t>
            </w:r>
          </w:p>
        </w:tc>
        <w:tc>
          <w:tcPr>
            <w:tcW w:w="625" w:type="pct"/>
            <w:tcBorders>
              <w:left w:val="single" w:sz="4" w:space="0" w:color="auto"/>
            </w:tcBorders>
          </w:tcPr>
          <w:p w14:paraId="62C2858B" w14:textId="77777777" w:rsidR="00524C5E" w:rsidRPr="002029AF" w:rsidRDefault="00524C5E" w:rsidP="003E45B5">
            <w:pPr>
              <w:pStyle w:val="ARtabletextright"/>
              <w:spacing w:before="20" w:after="10" w:line="240" w:lineRule="auto"/>
            </w:pPr>
            <w:r>
              <w:t>533</w:t>
            </w:r>
          </w:p>
        </w:tc>
        <w:tc>
          <w:tcPr>
            <w:tcW w:w="626" w:type="pct"/>
          </w:tcPr>
          <w:p w14:paraId="5B8A1FA1" w14:textId="77777777" w:rsidR="00524C5E" w:rsidRPr="002029AF" w:rsidRDefault="00524C5E" w:rsidP="003E45B5">
            <w:pPr>
              <w:pStyle w:val="ARtabletextright"/>
              <w:spacing w:before="20" w:after="10" w:line="240" w:lineRule="auto"/>
            </w:pPr>
            <w:r>
              <w:t>126</w:t>
            </w:r>
          </w:p>
        </w:tc>
        <w:tc>
          <w:tcPr>
            <w:tcW w:w="625" w:type="pct"/>
            <w:tcBorders>
              <w:top w:val="single" w:sz="4" w:space="0" w:color="auto"/>
              <w:right w:val="single" w:sz="4" w:space="0" w:color="auto"/>
            </w:tcBorders>
          </w:tcPr>
          <w:p w14:paraId="5CEC402C" w14:textId="77777777" w:rsidR="00524C5E" w:rsidRPr="002029AF" w:rsidRDefault="00524C5E" w:rsidP="003E45B5">
            <w:pPr>
              <w:pStyle w:val="ARtabletextright"/>
              <w:spacing w:before="20" w:after="10" w:line="240" w:lineRule="auto"/>
            </w:pPr>
            <w:r>
              <w:t>623.6</w:t>
            </w:r>
          </w:p>
        </w:tc>
        <w:tc>
          <w:tcPr>
            <w:tcW w:w="626" w:type="pct"/>
            <w:tcBorders>
              <w:left w:val="single" w:sz="4" w:space="0" w:color="auto"/>
            </w:tcBorders>
          </w:tcPr>
          <w:p w14:paraId="6E66CC45" w14:textId="77777777" w:rsidR="00524C5E" w:rsidRPr="002029AF" w:rsidRDefault="00524C5E" w:rsidP="003E45B5">
            <w:pPr>
              <w:pStyle w:val="ARtabletextright"/>
              <w:spacing w:before="20" w:after="10" w:line="240" w:lineRule="auto"/>
            </w:pPr>
            <w:r>
              <w:t>603</w:t>
            </w:r>
          </w:p>
        </w:tc>
        <w:tc>
          <w:tcPr>
            <w:tcW w:w="626" w:type="pct"/>
          </w:tcPr>
          <w:p w14:paraId="78B76FAB" w14:textId="77777777" w:rsidR="00524C5E" w:rsidRPr="002029AF" w:rsidRDefault="00524C5E" w:rsidP="003E45B5">
            <w:pPr>
              <w:pStyle w:val="ARtabletextright"/>
              <w:spacing w:before="20" w:after="10" w:line="240" w:lineRule="auto"/>
            </w:pPr>
            <w:r>
              <w:t>571.0</w:t>
            </w:r>
          </w:p>
        </w:tc>
      </w:tr>
      <w:tr w:rsidR="00524C5E" w:rsidRPr="002029AF" w14:paraId="28DC131E" w14:textId="77777777" w:rsidTr="00221EB6">
        <w:trPr>
          <w:cantSplit w:val="0"/>
        </w:trPr>
        <w:tc>
          <w:tcPr>
            <w:tcW w:w="706" w:type="pct"/>
            <w:hideMark/>
          </w:tcPr>
          <w:p w14:paraId="3A42043E" w14:textId="77777777" w:rsidR="00524C5E" w:rsidRPr="002029AF" w:rsidRDefault="00524C5E" w:rsidP="003E45B5">
            <w:pPr>
              <w:pStyle w:val="ARtabletext"/>
              <w:spacing w:before="20" w:after="10" w:line="240" w:lineRule="auto"/>
            </w:pPr>
            <w:r w:rsidRPr="002029AF">
              <w:t>VPS 6</w:t>
            </w:r>
          </w:p>
        </w:tc>
        <w:tc>
          <w:tcPr>
            <w:tcW w:w="540" w:type="pct"/>
          </w:tcPr>
          <w:p w14:paraId="11A9A3FB" w14:textId="769C3D1A" w:rsidR="00524C5E" w:rsidRPr="002029AF" w:rsidRDefault="00524C5E" w:rsidP="003E45B5">
            <w:pPr>
              <w:pStyle w:val="ARtabletextright"/>
              <w:spacing w:before="20" w:after="10" w:line="240" w:lineRule="auto"/>
            </w:pPr>
            <w:r>
              <w:t>860</w:t>
            </w:r>
            <w:r w:rsidRPr="005049C6">
              <w:rPr>
                <w:vertAlign w:val="superscript"/>
              </w:rPr>
              <w:t>(</w:t>
            </w:r>
            <w:r w:rsidR="00221EB6">
              <w:rPr>
                <w:rStyle w:val="FootnoteReference"/>
              </w:rPr>
              <w:footnoteReference w:id="10"/>
            </w:r>
            <w:r w:rsidRPr="005049C6">
              <w:rPr>
                <w:vertAlign w:val="superscript"/>
              </w:rPr>
              <w:t>)</w:t>
            </w:r>
          </w:p>
        </w:tc>
        <w:tc>
          <w:tcPr>
            <w:tcW w:w="626" w:type="pct"/>
            <w:tcBorders>
              <w:top w:val="single" w:sz="4" w:space="0" w:color="auto"/>
              <w:right w:val="single" w:sz="4" w:space="0" w:color="auto"/>
            </w:tcBorders>
          </w:tcPr>
          <w:p w14:paraId="3404856A" w14:textId="77777777" w:rsidR="00524C5E" w:rsidRPr="002029AF" w:rsidRDefault="00524C5E" w:rsidP="003E45B5">
            <w:pPr>
              <w:pStyle w:val="ARtabletextright"/>
              <w:spacing w:before="20" w:after="10" w:line="240" w:lineRule="auto"/>
            </w:pPr>
            <w:r>
              <w:t>833.1</w:t>
            </w:r>
          </w:p>
        </w:tc>
        <w:tc>
          <w:tcPr>
            <w:tcW w:w="625" w:type="pct"/>
            <w:tcBorders>
              <w:left w:val="single" w:sz="4" w:space="0" w:color="auto"/>
            </w:tcBorders>
          </w:tcPr>
          <w:p w14:paraId="2C7EF3F3" w14:textId="77777777" w:rsidR="00524C5E" w:rsidRPr="002029AF" w:rsidRDefault="00524C5E" w:rsidP="003E45B5">
            <w:pPr>
              <w:pStyle w:val="ARtabletextright"/>
              <w:spacing w:before="20" w:after="10" w:line="240" w:lineRule="auto"/>
            </w:pPr>
            <w:r>
              <w:t>432</w:t>
            </w:r>
          </w:p>
        </w:tc>
        <w:tc>
          <w:tcPr>
            <w:tcW w:w="626" w:type="pct"/>
          </w:tcPr>
          <w:p w14:paraId="1D616CD9" w14:textId="77777777" w:rsidR="00524C5E" w:rsidRPr="002029AF" w:rsidRDefault="00524C5E" w:rsidP="003E45B5">
            <w:pPr>
              <w:pStyle w:val="ARtabletextright"/>
              <w:spacing w:before="20" w:after="10" w:line="240" w:lineRule="auto"/>
            </w:pPr>
            <w:r>
              <w:t>62</w:t>
            </w:r>
          </w:p>
        </w:tc>
        <w:tc>
          <w:tcPr>
            <w:tcW w:w="625" w:type="pct"/>
            <w:tcBorders>
              <w:top w:val="single" w:sz="4" w:space="0" w:color="auto"/>
              <w:right w:val="single" w:sz="4" w:space="0" w:color="auto"/>
            </w:tcBorders>
          </w:tcPr>
          <w:p w14:paraId="3D9983D2" w14:textId="77777777" w:rsidR="00524C5E" w:rsidRPr="002029AF" w:rsidRDefault="00524C5E" w:rsidP="003E45B5">
            <w:pPr>
              <w:pStyle w:val="ARtabletextright"/>
              <w:spacing w:before="20" w:after="10" w:line="240" w:lineRule="auto"/>
            </w:pPr>
            <w:r>
              <w:t>478.8</w:t>
            </w:r>
          </w:p>
        </w:tc>
        <w:tc>
          <w:tcPr>
            <w:tcW w:w="626" w:type="pct"/>
            <w:tcBorders>
              <w:left w:val="single" w:sz="4" w:space="0" w:color="auto"/>
            </w:tcBorders>
          </w:tcPr>
          <w:p w14:paraId="4562D19A" w14:textId="77777777" w:rsidR="00524C5E" w:rsidRPr="002029AF" w:rsidRDefault="00524C5E" w:rsidP="003E45B5">
            <w:pPr>
              <w:pStyle w:val="ARtabletextright"/>
              <w:spacing w:before="20" w:after="10" w:line="240" w:lineRule="auto"/>
            </w:pPr>
            <w:r>
              <w:t>366</w:t>
            </w:r>
          </w:p>
        </w:tc>
        <w:tc>
          <w:tcPr>
            <w:tcW w:w="626" w:type="pct"/>
          </w:tcPr>
          <w:p w14:paraId="7B0FD144" w14:textId="77777777" w:rsidR="00524C5E" w:rsidRPr="002029AF" w:rsidRDefault="00524C5E" w:rsidP="003E45B5">
            <w:pPr>
              <w:pStyle w:val="ARtabletextright"/>
              <w:spacing w:before="20" w:after="10" w:line="240" w:lineRule="auto"/>
            </w:pPr>
            <w:r>
              <w:t>354.3</w:t>
            </w:r>
          </w:p>
        </w:tc>
      </w:tr>
      <w:tr w:rsidR="00524C5E" w:rsidRPr="002029AF" w14:paraId="1F0F703E" w14:textId="77777777" w:rsidTr="00221EB6">
        <w:trPr>
          <w:cantSplit w:val="0"/>
        </w:trPr>
        <w:tc>
          <w:tcPr>
            <w:tcW w:w="706" w:type="pct"/>
          </w:tcPr>
          <w:p w14:paraId="1DD631A7" w14:textId="3704259A" w:rsidR="00524C5E" w:rsidRPr="002029AF" w:rsidRDefault="00524C5E" w:rsidP="003E45B5">
            <w:pPr>
              <w:pStyle w:val="ARtabletext"/>
              <w:spacing w:before="20" w:after="10" w:line="240" w:lineRule="auto"/>
            </w:pPr>
            <w:r>
              <w:t>SMA</w:t>
            </w:r>
            <w:r w:rsidR="00C9735C" w:rsidRPr="00C9735C">
              <w:rPr>
                <w:rStyle w:val="FootnoteReference"/>
              </w:rPr>
              <w:t>(</w:t>
            </w:r>
            <w:r w:rsidR="00C9735C">
              <w:rPr>
                <w:rStyle w:val="FootnoteReference"/>
              </w:rPr>
              <w:footnoteReference w:id="11"/>
            </w:r>
            <w:r w:rsidR="00C9735C" w:rsidRPr="00C9735C">
              <w:rPr>
                <w:rStyle w:val="FootnoteReference"/>
              </w:rPr>
              <w:t>)</w:t>
            </w:r>
          </w:p>
        </w:tc>
        <w:tc>
          <w:tcPr>
            <w:tcW w:w="540" w:type="pct"/>
          </w:tcPr>
          <w:p w14:paraId="3D3B9FA5" w14:textId="77777777" w:rsidR="00524C5E" w:rsidRDefault="00524C5E" w:rsidP="003E45B5">
            <w:pPr>
              <w:pStyle w:val="ARtabletextright"/>
              <w:spacing w:before="20" w:after="10" w:line="240" w:lineRule="auto"/>
            </w:pPr>
            <w:r>
              <w:t>37</w:t>
            </w:r>
          </w:p>
        </w:tc>
        <w:tc>
          <w:tcPr>
            <w:tcW w:w="626" w:type="pct"/>
            <w:tcBorders>
              <w:top w:val="single" w:sz="4" w:space="0" w:color="auto"/>
              <w:right w:val="single" w:sz="4" w:space="0" w:color="auto"/>
            </w:tcBorders>
          </w:tcPr>
          <w:p w14:paraId="33685DD3" w14:textId="77777777" w:rsidR="00524C5E" w:rsidRDefault="00524C5E" w:rsidP="003E45B5">
            <w:pPr>
              <w:pStyle w:val="ARtabletextright"/>
              <w:spacing w:before="20" w:after="10" w:line="240" w:lineRule="auto"/>
            </w:pPr>
            <w:r>
              <w:t>25.0</w:t>
            </w:r>
          </w:p>
        </w:tc>
        <w:tc>
          <w:tcPr>
            <w:tcW w:w="625" w:type="pct"/>
            <w:tcBorders>
              <w:left w:val="single" w:sz="4" w:space="0" w:color="auto"/>
            </w:tcBorders>
          </w:tcPr>
          <w:p w14:paraId="45E43C2C" w14:textId="77777777" w:rsidR="00524C5E" w:rsidRDefault="00524C5E" w:rsidP="003E45B5">
            <w:pPr>
              <w:pStyle w:val="ARtabletextright"/>
              <w:spacing w:before="20" w:after="10" w:line="240" w:lineRule="auto"/>
            </w:pPr>
            <w:r>
              <w:t>3</w:t>
            </w:r>
          </w:p>
        </w:tc>
        <w:tc>
          <w:tcPr>
            <w:tcW w:w="626" w:type="pct"/>
          </w:tcPr>
          <w:p w14:paraId="5FE539A0" w14:textId="77777777" w:rsidR="00524C5E" w:rsidRDefault="00524C5E" w:rsidP="003E45B5">
            <w:pPr>
              <w:pStyle w:val="ARtabletextright"/>
              <w:spacing w:before="20" w:after="10" w:line="240" w:lineRule="auto"/>
            </w:pPr>
            <w:r>
              <w:t>0</w:t>
            </w:r>
          </w:p>
        </w:tc>
        <w:tc>
          <w:tcPr>
            <w:tcW w:w="625" w:type="pct"/>
            <w:tcBorders>
              <w:top w:val="single" w:sz="4" w:space="0" w:color="auto"/>
              <w:right w:val="single" w:sz="4" w:space="0" w:color="auto"/>
            </w:tcBorders>
          </w:tcPr>
          <w:p w14:paraId="77E0A090" w14:textId="77777777" w:rsidR="00524C5E" w:rsidRDefault="00524C5E" w:rsidP="003E45B5">
            <w:pPr>
              <w:pStyle w:val="ARtabletextright"/>
              <w:spacing w:before="20" w:after="10" w:line="240" w:lineRule="auto"/>
            </w:pPr>
            <w:r>
              <w:t>3.0</w:t>
            </w:r>
          </w:p>
        </w:tc>
        <w:tc>
          <w:tcPr>
            <w:tcW w:w="626" w:type="pct"/>
            <w:tcBorders>
              <w:left w:val="single" w:sz="4" w:space="0" w:color="auto"/>
            </w:tcBorders>
          </w:tcPr>
          <w:p w14:paraId="7F7CB4A9" w14:textId="77777777" w:rsidR="00524C5E" w:rsidRDefault="00524C5E" w:rsidP="003E45B5">
            <w:pPr>
              <w:pStyle w:val="ARtabletextright"/>
              <w:spacing w:before="20" w:after="10" w:line="240" w:lineRule="auto"/>
            </w:pPr>
            <w:r>
              <w:t>34</w:t>
            </w:r>
          </w:p>
        </w:tc>
        <w:tc>
          <w:tcPr>
            <w:tcW w:w="626" w:type="pct"/>
          </w:tcPr>
          <w:p w14:paraId="6E2BBD70" w14:textId="77777777" w:rsidR="00524C5E" w:rsidRDefault="00524C5E" w:rsidP="003E45B5">
            <w:pPr>
              <w:pStyle w:val="ARtabletextright"/>
              <w:spacing w:before="20" w:after="10" w:line="240" w:lineRule="auto"/>
            </w:pPr>
            <w:r>
              <w:t>22.0</w:t>
            </w:r>
          </w:p>
        </w:tc>
      </w:tr>
      <w:tr w:rsidR="00524C5E" w:rsidRPr="002029AF" w14:paraId="1B8DA458" w14:textId="77777777" w:rsidTr="00221EB6">
        <w:trPr>
          <w:cantSplit w:val="0"/>
        </w:trPr>
        <w:tc>
          <w:tcPr>
            <w:tcW w:w="706" w:type="pct"/>
            <w:hideMark/>
          </w:tcPr>
          <w:p w14:paraId="2E51CC6C" w14:textId="3D616736" w:rsidR="00524C5E" w:rsidRPr="002029AF" w:rsidRDefault="00524C5E" w:rsidP="003E45B5">
            <w:pPr>
              <w:pStyle w:val="ARtabletext"/>
              <w:spacing w:before="20" w:after="10" w:line="240" w:lineRule="auto"/>
            </w:pPr>
            <w:r w:rsidRPr="002029AF">
              <w:t>STS</w:t>
            </w:r>
            <w:r w:rsidR="00C9735C" w:rsidRPr="00C9735C">
              <w:rPr>
                <w:rStyle w:val="FootnoteReference"/>
              </w:rPr>
              <w:t>(</w:t>
            </w:r>
            <w:r w:rsidR="0031211C">
              <w:rPr>
                <w:rStyle w:val="FootnoteReference"/>
              </w:rPr>
              <w:footnoteReference w:id="12"/>
            </w:r>
            <w:r w:rsidR="00C9735C" w:rsidRPr="00C9735C">
              <w:rPr>
                <w:rStyle w:val="FootnoteReference"/>
              </w:rPr>
              <w:t>)</w:t>
            </w:r>
          </w:p>
        </w:tc>
        <w:tc>
          <w:tcPr>
            <w:tcW w:w="540" w:type="pct"/>
          </w:tcPr>
          <w:p w14:paraId="131C132B" w14:textId="77777777" w:rsidR="00524C5E" w:rsidRPr="002029AF" w:rsidRDefault="00524C5E" w:rsidP="003E45B5">
            <w:pPr>
              <w:pStyle w:val="ARtabletextright"/>
              <w:spacing w:before="20" w:after="10" w:line="240" w:lineRule="auto"/>
            </w:pPr>
            <w:r>
              <w:t>34</w:t>
            </w:r>
          </w:p>
        </w:tc>
        <w:tc>
          <w:tcPr>
            <w:tcW w:w="626" w:type="pct"/>
            <w:tcBorders>
              <w:top w:val="single" w:sz="4" w:space="0" w:color="auto"/>
              <w:right w:val="single" w:sz="4" w:space="0" w:color="auto"/>
            </w:tcBorders>
          </w:tcPr>
          <w:p w14:paraId="37181A7C" w14:textId="77777777" w:rsidR="00524C5E" w:rsidRPr="002029AF" w:rsidRDefault="00524C5E" w:rsidP="003E45B5">
            <w:pPr>
              <w:pStyle w:val="ARtabletextright"/>
              <w:spacing w:before="20" w:after="10" w:line="240" w:lineRule="auto"/>
            </w:pPr>
            <w:r>
              <w:t>33.6</w:t>
            </w:r>
          </w:p>
        </w:tc>
        <w:tc>
          <w:tcPr>
            <w:tcW w:w="625" w:type="pct"/>
            <w:tcBorders>
              <w:left w:val="single" w:sz="4" w:space="0" w:color="auto"/>
            </w:tcBorders>
          </w:tcPr>
          <w:p w14:paraId="32BCD3ED" w14:textId="77777777" w:rsidR="00524C5E" w:rsidRPr="002029AF" w:rsidRDefault="00524C5E" w:rsidP="003E45B5">
            <w:pPr>
              <w:pStyle w:val="ARtabletextright"/>
              <w:spacing w:before="20" w:after="10" w:line="240" w:lineRule="auto"/>
            </w:pPr>
            <w:r>
              <w:t>9</w:t>
            </w:r>
          </w:p>
        </w:tc>
        <w:tc>
          <w:tcPr>
            <w:tcW w:w="626" w:type="pct"/>
          </w:tcPr>
          <w:p w14:paraId="111AEC83" w14:textId="77777777" w:rsidR="00524C5E" w:rsidRPr="002029AF" w:rsidRDefault="00524C5E" w:rsidP="003E45B5">
            <w:pPr>
              <w:pStyle w:val="ARtabletextright"/>
              <w:spacing w:before="20" w:after="10" w:line="240" w:lineRule="auto"/>
            </w:pPr>
            <w:r>
              <w:t>0</w:t>
            </w:r>
          </w:p>
        </w:tc>
        <w:tc>
          <w:tcPr>
            <w:tcW w:w="625" w:type="pct"/>
            <w:tcBorders>
              <w:top w:val="single" w:sz="4" w:space="0" w:color="auto"/>
              <w:right w:val="single" w:sz="4" w:space="0" w:color="auto"/>
            </w:tcBorders>
          </w:tcPr>
          <w:p w14:paraId="50F02705" w14:textId="77777777" w:rsidR="00524C5E" w:rsidRPr="002029AF" w:rsidRDefault="00524C5E" w:rsidP="003E45B5">
            <w:pPr>
              <w:pStyle w:val="ARtabletextright"/>
              <w:spacing w:before="20" w:after="10" w:line="240" w:lineRule="auto"/>
            </w:pPr>
            <w:r>
              <w:t>9.0</w:t>
            </w:r>
          </w:p>
        </w:tc>
        <w:tc>
          <w:tcPr>
            <w:tcW w:w="626" w:type="pct"/>
            <w:tcBorders>
              <w:left w:val="single" w:sz="4" w:space="0" w:color="auto"/>
            </w:tcBorders>
          </w:tcPr>
          <w:p w14:paraId="2815C4F5" w14:textId="77777777" w:rsidR="00524C5E" w:rsidRPr="002029AF" w:rsidRDefault="00524C5E" w:rsidP="003E45B5">
            <w:pPr>
              <w:pStyle w:val="ARtabletextright"/>
              <w:spacing w:before="20" w:after="10" w:line="240" w:lineRule="auto"/>
            </w:pPr>
            <w:r>
              <w:t>25</w:t>
            </w:r>
          </w:p>
        </w:tc>
        <w:tc>
          <w:tcPr>
            <w:tcW w:w="626" w:type="pct"/>
          </w:tcPr>
          <w:p w14:paraId="6631B22F" w14:textId="77777777" w:rsidR="00524C5E" w:rsidRPr="002029AF" w:rsidRDefault="00524C5E" w:rsidP="003E45B5">
            <w:pPr>
              <w:pStyle w:val="ARtabletextright"/>
              <w:spacing w:before="20" w:after="10" w:line="240" w:lineRule="auto"/>
            </w:pPr>
            <w:r>
              <w:t>24.6</w:t>
            </w:r>
          </w:p>
        </w:tc>
      </w:tr>
      <w:tr w:rsidR="00524C5E" w:rsidRPr="002029AF" w14:paraId="2C347CE7" w14:textId="77777777" w:rsidTr="00221EB6">
        <w:trPr>
          <w:cantSplit w:val="0"/>
        </w:trPr>
        <w:tc>
          <w:tcPr>
            <w:tcW w:w="706" w:type="pct"/>
            <w:hideMark/>
          </w:tcPr>
          <w:p w14:paraId="23E693B2" w14:textId="77777777" w:rsidR="00524C5E" w:rsidRPr="002029AF" w:rsidRDefault="00524C5E" w:rsidP="003E45B5">
            <w:pPr>
              <w:pStyle w:val="ARtabletext"/>
              <w:spacing w:before="20" w:after="10" w:line="240" w:lineRule="auto"/>
            </w:pPr>
            <w:r w:rsidRPr="002029AF">
              <w:t>Executives</w:t>
            </w:r>
          </w:p>
        </w:tc>
        <w:tc>
          <w:tcPr>
            <w:tcW w:w="540" w:type="pct"/>
          </w:tcPr>
          <w:p w14:paraId="5FBCD154" w14:textId="77777777" w:rsidR="00524C5E" w:rsidRPr="002029AF" w:rsidRDefault="00524C5E" w:rsidP="003E45B5">
            <w:pPr>
              <w:pStyle w:val="ARtabletextright"/>
              <w:spacing w:before="20" w:after="10" w:line="240" w:lineRule="auto"/>
            </w:pPr>
            <w:r>
              <w:t>169</w:t>
            </w:r>
          </w:p>
        </w:tc>
        <w:tc>
          <w:tcPr>
            <w:tcW w:w="626" w:type="pct"/>
            <w:tcBorders>
              <w:top w:val="single" w:sz="4" w:space="0" w:color="auto"/>
              <w:right w:val="single" w:sz="4" w:space="0" w:color="auto"/>
            </w:tcBorders>
          </w:tcPr>
          <w:p w14:paraId="69B77029" w14:textId="77777777" w:rsidR="00524C5E" w:rsidRPr="002029AF" w:rsidRDefault="00524C5E" w:rsidP="003E45B5">
            <w:pPr>
              <w:pStyle w:val="ARtabletextright"/>
              <w:spacing w:before="20" w:after="10" w:line="240" w:lineRule="auto"/>
            </w:pPr>
            <w:r>
              <w:t>167.8</w:t>
            </w:r>
          </w:p>
        </w:tc>
        <w:tc>
          <w:tcPr>
            <w:tcW w:w="625" w:type="pct"/>
            <w:tcBorders>
              <w:left w:val="single" w:sz="4" w:space="0" w:color="auto"/>
            </w:tcBorders>
          </w:tcPr>
          <w:p w14:paraId="3D56BD45" w14:textId="77777777" w:rsidR="00524C5E" w:rsidRPr="002029AF" w:rsidRDefault="00524C5E" w:rsidP="003E45B5">
            <w:pPr>
              <w:pStyle w:val="ARtabletextright"/>
              <w:spacing w:before="20" w:after="10" w:line="240" w:lineRule="auto"/>
            </w:pPr>
            <w:r>
              <w:t>165</w:t>
            </w:r>
          </w:p>
        </w:tc>
        <w:tc>
          <w:tcPr>
            <w:tcW w:w="626" w:type="pct"/>
          </w:tcPr>
          <w:p w14:paraId="43A7DAE1" w14:textId="77777777" w:rsidR="00524C5E" w:rsidRPr="002029AF" w:rsidRDefault="00524C5E" w:rsidP="003E45B5">
            <w:pPr>
              <w:pStyle w:val="ARtabletextright"/>
              <w:spacing w:before="20" w:after="10" w:line="240" w:lineRule="auto"/>
            </w:pPr>
            <w:r>
              <w:t>4</w:t>
            </w:r>
          </w:p>
        </w:tc>
        <w:tc>
          <w:tcPr>
            <w:tcW w:w="625" w:type="pct"/>
            <w:tcBorders>
              <w:top w:val="single" w:sz="4" w:space="0" w:color="auto"/>
              <w:right w:val="single" w:sz="4" w:space="0" w:color="auto"/>
            </w:tcBorders>
          </w:tcPr>
          <w:p w14:paraId="1984C946" w14:textId="77777777" w:rsidR="00524C5E" w:rsidRPr="002029AF" w:rsidRDefault="00524C5E" w:rsidP="003E45B5">
            <w:pPr>
              <w:pStyle w:val="ARtabletextright"/>
              <w:spacing w:before="20" w:after="10" w:line="240" w:lineRule="auto"/>
            </w:pPr>
            <w:r>
              <w:t>167.8</w:t>
            </w:r>
          </w:p>
        </w:tc>
        <w:tc>
          <w:tcPr>
            <w:tcW w:w="626" w:type="pct"/>
            <w:tcBorders>
              <w:left w:val="single" w:sz="4" w:space="0" w:color="auto"/>
            </w:tcBorders>
          </w:tcPr>
          <w:p w14:paraId="162A4C9D" w14:textId="77777777" w:rsidR="00524C5E" w:rsidRPr="002029AF" w:rsidRDefault="00524C5E" w:rsidP="003E45B5">
            <w:pPr>
              <w:pStyle w:val="ARtabletextright"/>
              <w:spacing w:before="20" w:after="10" w:line="240" w:lineRule="auto"/>
            </w:pPr>
            <w:r>
              <w:t>0</w:t>
            </w:r>
          </w:p>
        </w:tc>
        <w:tc>
          <w:tcPr>
            <w:tcW w:w="626" w:type="pct"/>
          </w:tcPr>
          <w:p w14:paraId="6FC9CFC4" w14:textId="77777777" w:rsidR="00524C5E" w:rsidRPr="002029AF" w:rsidRDefault="00524C5E" w:rsidP="003E45B5">
            <w:pPr>
              <w:pStyle w:val="ARtabletextright"/>
              <w:spacing w:before="20" w:after="10" w:line="240" w:lineRule="auto"/>
            </w:pPr>
            <w:r>
              <w:t>0.0</w:t>
            </w:r>
          </w:p>
        </w:tc>
      </w:tr>
      <w:tr w:rsidR="00524C5E" w:rsidRPr="002029AF" w14:paraId="49C790AD" w14:textId="77777777" w:rsidTr="00221EB6">
        <w:trPr>
          <w:cantSplit w:val="0"/>
        </w:trPr>
        <w:tc>
          <w:tcPr>
            <w:tcW w:w="706" w:type="pct"/>
            <w:hideMark/>
          </w:tcPr>
          <w:p w14:paraId="74A87691" w14:textId="619E0C45" w:rsidR="00524C5E" w:rsidRPr="002029AF" w:rsidRDefault="00524C5E" w:rsidP="003E45B5">
            <w:pPr>
              <w:pStyle w:val="ARtabletext"/>
              <w:spacing w:before="20" w:after="10" w:line="240" w:lineRule="auto"/>
            </w:pPr>
            <w:r w:rsidRPr="002029AF">
              <w:t>Other</w:t>
            </w:r>
            <w:r w:rsidR="0031211C" w:rsidRPr="0031211C">
              <w:rPr>
                <w:rStyle w:val="FootnoteReference"/>
              </w:rPr>
              <w:t>(</w:t>
            </w:r>
            <w:r w:rsidR="0031211C">
              <w:rPr>
                <w:rStyle w:val="FootnoteReference"/>
              </w:rPr>
              <w:footnoteReference w:id="13"/>
            </w:r>
            <w:r w:rsidR="0031211C" w:rsidRPr="0031211C">
              <w:rPr>
                <w:rStyle w:val="FootnoteReference"/>
              </w:rPr>
              <w:t>)</w:t>
            </w:r>
          </w:p>
        </w:tc>
        <w:tc>
          <w:tcPr>
            <w:tcW w:w="540" w:type="pct"/>
          </w:tcPr>
          <w:p w14:paraId="7DD991E8" w14:textId="77777777" w:rsidR="00524C5E" w:rsidRPr="002029AF" w:rsidRDefault="00524C5E" w:rsidP="003E45B5">
            <w:pPr>
              <w:pStyle w:val="ARtabletextright"/>
              <w:spacing w:before="20" w:after="10" w:line="240" w:lineRule="auto"/>
            </w:pPr>
            <w:r>
              <w:t>116</w:t>
            </w:r>
          </w:p>
        </w:tc>
        <w:tc>
          <w:tcPr>
            <w:tcW w:w="626" w:type="pct"/>
            <w:tcBorders>
              <w:top w:val="single" w:sz="4" w:space="0" w:color="auto"/>
              <w:right w:val="single" w:sz="4" w:space="0" w:color="auto"/>
            </w:tcBorders>
          </w:tcPr>
          <w:p w14:paraId="1EBF6D97" w14:textId="77777777" w:rsidR="00524C5E" w:rsidRPr="002029AF" w:rsidRDefault="00524C5E" w:rsidP="003E45B5">
            <w:pPr>
              <w:pStyle w:val="ARtabletextright"/>
              <w:spacing w:before="20" w:after="10" w:line="240" w:lineRule="auto"/>
            </w:pPr>
            <w:r>
              <w:t>83.0</w:t>
            </w:r>
          </w:p>
        </w:tc>
        <w:tc>
          <w:tcPr>
            <w:tcW w:w="625" w:type="pct"/>
            <w:tcBorders>
              <w:left w:val="single" w:sz="4" w:space="0" w:color="auto"/>
            </w:tcBorders>
          </w:tcPr>
          <w:p w14:paraId="30DBFA85" w14:textId="77777777" w:rsidR="00524C5E" w:rsidRPr="002029AF" w:rsidRDefault="00524C5E" w:rsidP="003E45B5">
            <w:pPr>
              <w:pStyle w:val="ARtabletextright"/>
              <w:spacing w:before="20" w:after="10" w:line="240" w:lineRule="auto"/>
            </w:pPr>
            <w:r>
              <w:t>34</w:t>
            </w:r>
          </w:p>
        </w:tc>
        <w:tc>
          <w:tcPr>
            <w:tcW w:w="626" w:type="pct"/>
          </w:tcPr>
          <w:p w14:paraId="022690CB" w14:textId="77777777" w:rsidR="00524C5E" w:rsidRPr="002029AF" w:rsidRDefault="00524C5E" w:rsidP="003E45B5">
            <w:pPr>
              <w:pStyle w:val="ARtabletextright"/>
              <w:spacing w:before="20" w:after="10" w:line="240" w:lineRule="auto"/>
            </w:pPr>
            <w:r>
              <w:t>53</w:t>
            </w:r>
          </w:p>
        </w:tc>
        <w:tc>
          <w:tcPr>
            <w:tcW w:w="625" w:type="pct"/>
            <w:tcBorders>
              <w:top w:val="single" w:sz="4" w:space="0" w:color="auto"/>
              <w:right w:val="single" w:sz="4" w:space="0" w:color="auto"/>
            </w:tcBorders>
          </w:tcPr>
          <w:p w14:paraId="1C8D725F" w14:textId="77777777" w:rsidR="00524C5E" w:rsidRPr="002029AF" w:rsidRDefault="00524C5E" w:rsidP="003E45B5">
            <w:pPr>
              <w:pStyle w:val="ARtabletextright"/>
              <w:spacing w:before="20" w:after="10" w:line="240" w:lineRule="auto"/>
            </w:pPr>
            <w:r>
              <w:t>63.9</w:t>
            </w:r>
          </w:p>
        </w:tc>
        <w:tc>
          <w:tcPr>
            <w:tcW w:w="626" w:type="pct"/>
            <w:tcBorders>
              <w:left w:val="single" w:sz="4" w:space="0" w:color="auto"/>
            </w:tcBorders>
          </w:tcPr>
          <w:p w14:paraId="796969F2" w14:textId="77777777" w:rsidR="00524C5E" w:rsidRPr="002029AF" w:rsidRDefault="00524C5E" w:rsidP="003E45B5">
            <w:pPr>
              <w:pStyle w:val="ARtabletextright"/>
              <w:spacing w:before="20" w:after="10" w:line="240" w:lineRule="auto"/>
            </w:pPr>
            <w:r>
              <w:t>29</w:t>
            </w:r>
          </w:p>
        </w:tc>
        <w:tc>
          <w:tcPr>
            <w:tcW w:w="626" w:type="pct"/>
          </w:tcPr>
          <w:p w14:paraId="5C126C0A" w14:textId="77777777" w:rsidR="00524C5E" w:rsidRPr="002029AF" w:rsidRDefault="00524C5E" w:rsidP="003E45B5">
            <w:pPr>
              <w:pStyle w:val="ARtabletextright"/>
              <w:spacing w:before="20" w:after="10" w:line="240" w:lineRule="auto"/>
            </w:pPr>
            <w:r>
              <w:t>19.1</w:t>
            </w:r>
          </w:p>
        </w:tc>
      </w:tr>
      <w:tr w:rsidR="00524C5E" w:rsidRPr="002029AF" w14:paraId="24987439" w14:textId="77777777" w:rsidTr="00221EB6">
        <w:trPr>
          <w:cantSplit w:val="0"/>
        </w:trPr>
        <w:tc>
          <w:tcPr>
            <w:tcW w:w="706" w:type="pct"/>
            <w:hideMark/>
          </w:tcPr>
          <w:p w14:paraId="08061CE9" w14:textId="77777777" w:rsidR="00524C5E" w:rsidRPr="002029AF" w:rsidRDefault="00524C5E" w:rsidP="003E45B5">
            <w:pPr>
              <w:pStyle w:val="ARtabletextbold"/>
              <w:spacing w:before="20" w:after="10" w:line="240" w:lineRule="auto"/>
            </w:pPr>
            <w:r w:rsidRPr="002029AF">
              <w:t>Total employees</w:t>
            </w:r>
          </w:p>
        </w:tc>
        <w:tc>
          <w:tcPr>
            <w:tcW w:w="540" w:type="pct"/>
          </w:tcPr>
          <w:p w14:paraId="6D8FC4DF" w14:textId="77777777" w:rsidR="00524C5E" w:rsidRPr="002029AF" w:rsidRDefault="00524C5E" w:rsidP="003E45B5">
            <w:pPr>
              <w:pStyle w:val="ARtabletextrightbold"/>
              <w:spacing w:before="20" w:after="10" w:line="240" w:lineRule="auto"/>
            </w:pPr>
            <w:r>
              <w:t>4,342</w:t>
            </w:r>
          </w:p>
        </w:tc>
        <w:tc>
          <w:tcPr>
            <w:tcW w:w="626" w:type="pct"/>
            <w:tcBorders>
              <w:top w:val="single" w:sz="4" w:space="0" w:color="auto"/>
              <w:right w:val="single" w:sz="4" w:space="0" w:color="auto"/>
            </w:tcBorders>
          </w:tcPr>
          <w:p w14:paraId="3F80A1FD" w14:textId="77777777" w:rsidR="00524C5E" w:rsidRPr="002029AF" w:rsidRDefault="00524C5E" w:rsidP="003E45B5">
            <w:pPr>
              <w:pStyle w:val="ARtabletextrightbold"/>
              <w:spacing w:before="20" w:after="10" w:line="240" w:lineRule="auto"/>
            </w:pPr>
            <w:r>
              <w:t>4,093.6</w:t>
            </w:r>
          </w:p>
        </w:tc>
        <w:tc>
          <w:tcPr>
            <w:tcW w:w="625" w:type="pct"/>
            <w:tcBorders>
              <w:left w:val="single" w:sz="4" w:space="0" w:color="auto"/>
            </w:tcBorders>
          </w:tcPr>
          <w:p w14:paraId="44D32DDE" w14:textId="77777777" w:rsidR="00524C5E" w:rsidRPr="002029AF" w:rsidRDefault="00524C5E" w:rsidP="003E45B5">
            <w:pPr>
              <w:pStyle w:val="ARtabletextrightbold"/>
              <w:spacing w:before="20" w:after="10" w:line="240" w:lineRule="auto"/>
            </w:pPr>
            <w:r>
              <w:t>1,630</w:t>
            </w:r>
          </w:p>
        </w:tc>
        <w:tc>
          <w:tcPr>
            <w:tcW w:w="626" w:type="pct"/>
          </w:tcPr>
          <w:p w14:paraId="74937802" w14:textId="77777777" w:rsidR="00524C5E" w:rsidRPr="002029AF" w:rsidRDefault="00524C5E" w:rsidP="003E45B5">
            <w:pPr>
              <w:pStyle w:val="ARtabletextrightbold"/>
              <w:spacing w:before="20" w:after="10" w:line="240" w:lineRule="auto"/>
            </w:pPr>
            <w:r>
              <w:t>337</w:t>
            </w:r>
          </w:p>
        </w:tc>
        <w:tc>
          <w:tcPr>
            <w:tcW w:w="625" w:type="pct"/>
            <w:tcBorders>
              <w:top w:val="single" w:sz="4" w:space="0" w:color="auto"/>
              <w:right w:val="single" w:sz="4" w:space="0" w:color="auto"/>
            </w:tcBorders>
          </w:tcPr>
          <w:p w14:paraId="586FE72D" w14:textId="12FEA7C3" w:rsidR="00524C5E" w:rsidRPr="002029AF" w:rsidRDefault="00524C5E" w:rsidP="003E45B5">
            <w:pPr>
              <w:pStyle w:val="ARtabletextrightbold"/>
              <w:spacing w:before="20" w:after="10" w:line="240" w:lineRule="auto"/>
            </w:pPr>
            <w:r>
              <w:t>1</w:t>
            </w:r>
            <w:r w:rsidR="00E82741">
              <w:t>,</w:t>
            </w:r>
            <w:r>
              <w:t>865.6</w:t>
            </w:r>
          </w:p>
        </w:tc>
        <w:tc>
          <w:tcPr>
            <w:tcW w:w="626" w:type="pct"/>
            <w:tcBorders>
              <w:left w:val="single" w:sz="4" w:space="0" w:color="auto"/>
            </w:tcBorders>
          </w:tcPr>
          <w:p w14:paraId="58048C54" w14:textId="77777777" w:rsidR="00524C5E" w:rsidRPr="002029AF" w:rsidRDefault="00524C5E" w:rsidP="003E45B5">
            <w:pPr>
              <w:pStyle w:val="ARtabletextrightbold"/>
              <w:spacing w:before="20" w:after="10" w:line="240" w:lineRule="auto"/>
            </w:pPr>
            <w:r>
              <w:t>2,375</w:t>
            </w:r>
          </w:p>
        </w:tc>
        <w:tc>
          <w:tcPr>
            <w:tcW w:w="626" w:type="pct"/>
          </w:tcPr>
          <w:p w14:paraId="41884A55" w14:textId="77777777" w:rsidR="00524C5E" w:rsidRPr="002029AF" w:rsidRDefault="00524C5E" w:rsidP="003E45B5">
            <w:pPr>
              <w:pStyle w:val="ARtabletextrightbold"/>
              <w:spacing w:before="20" w:after="10" w:line="240" w:lineRule="auto"/>
            </w:pPr>
            <w:r>
              <w:t>2,228.0</w:t>
            </w:r>
          </w:p>
        </w:tc>
      </w:tr>
    </w:tbl>
    <w:p w14:paraId="07AF8447" w14:textId="28AE0EC9" w:rsidR="00524C5E" w:rsidRPr="002029AF" w:rsidRDefault="00524C5E" w:rsidP="00221EB6">
      <w:pPr>
        <w:pStyle w:val="ARtablefootnote"/>
        <w:spacing w:before="40" w:after="20"/>
      </w:pPr>
      <w:bookmarkStart w:id="432" w:name="_Ref492894739"/>
      <w:bookmarkEnd w:id="429"/>
      <w:bookmarkEnd w:id="431"/>
      <w:r w:rsidRPr="002029AF">
        <w:t>Note:</w:t>
      </w:r>
    </w:p>
    <w:p w14:paraId="2C935F45" w14:textId="44FB8D86" w:rsidR="00524C5E" w:rsidRDefault="003B64C5" w:rsidP="00221EB6">
      <w:pPr>
        <w:pStyle w:val="ARtablefootnote"/>
        <w:spacing w:before="40" w:after="20"/>
      </w:pPr>
      <w:r w:rsidRPr="002B1364">
        <w:t>There</w:t>
      </w:r>
      <w:r w:rsidR="00524C5E" w:rsidRPr="003B64C5">
        <w:t xml:space="preserve"> may be </w:t>
      </w:r>
      <w:r w:rsidRPr="002B1364">
        <w:t>rounding errors</w:t>
      </w:r>
      <w:r w:rsidRPr="003B64C5">
        <w:t xml:space="preserve"> </w:t>
      </w:r>
      <w:r w:rsidR="00524C5E" w:rsidRPr="00BE7E49">
        <w:t>in FTE tables due to data being formatted to one decimal place.</w:t>
      </w:r>
    </w:p>
    <w:p w14:paraId="240C14DB" w14:textId="47268A45" w:rsidR="00221EB6" w:rsidRPr="002029AF" w:rsidRDefault="00221EB6" w:rsidP="00221EB6">
      <w:pPr>
        <w:pStyle w:val="ARtablefootnote"/>
        <w:spacing w:before="20" w:after="10"/>
        <w:sectPr w:rsidR="00221EB6" w:rsidRPr="002029AF" w:rsidSect="00524C5E">
          <w:headerReference w:type="default" r:id="rId72"/>
          <w:footnotePr>
            <w:numFmt w:val="lowerLetter"/>
            <w:numRestart w:val="eachPage"/>
          </w:footnotePr>
          <w:endnotePr>
            <w:numFmt w:val="decimal"/>
          </w:endnotePr>
          <w:pgSz w:w="16838" w:h="11906" w:orient="landscape" w:code="9"/>
          <w:pgMar w:top="1418" w:right="1985" w:bottom="1418" w:left="851" w:header="510" w:footer="340" w:gutter="0"/>
          <w:cols w:space="454"/>
          <w:docGrid w:linePitch="360"/>
        </w:sectPr>
      </w:pPr>
    </w:p>
    <w:p w14:paraId="7E88E80D" w14:textId="4502346D" w:rsidR="00524C5E" w:rsidRDefault="00524C5E" w:rsidP="00C741F1">
      <w:pPr>
        <w:pStyle w:val="Heading4"/>
        <w:spacing w:before="0"/>
      </w:pPr>
      <w:bookmarkStart w:id="433" w:name="_Toc85121226"/>
      <w:r w:rsidRPr="002029AF">
        <w:lastRenderedPageBreak/>
        <w:t>Annualised total salary, by $20,000 bands, for executives and other senior non</w:t>
      </w:r>
      <w:r w:rsidR="009412DB">
        <w:noBreakHyphen/>
      </w:r>
      <w:r w:rsidRPr="002029AF">
        <w:t>executive staff</w:t>
      </w:r>
      <w:bookmarkEnd w:id="433"/>
    </w:p>
    <w:p w14:paraId="653B3A66" w14:textId="2DF7C76A" w:rsidR="00524C5E" w:rsidRPr="001D5E51" w:rsidRDefault="00524C5E" w:rsidP="00C741F1">
      <w:pPr>
        <w:pStyle w:val="ARbodybeforetable"/>
      </w:pPr>
      <w:r w:rsidRPr="001D5E51">
        <w:t xml:space="preserve">The following table discloses the annualised total salary for senior employees of the </w:t>
      </w:r>
      <w:r w:rsidR="0020133D">
        <w:t>d</w:t>
      </w:r>
      <w:r w:rsidRPr="001D5E51">
        <w:t>epartment, categorised</w:t>
      </w:r>
      <w:r w:rsidR="00EC65C3">
        <w:t> </w:t>
      </w:r>
      <w:r w:rsidRPr="001D5E51">
        <w:t>by classification. The salary amount</w:t>
      </w:r>
      <w:r w:rsidR="00BB3F1B">
        <w:t>s</w:t>
      </w:r>
      <w:r w:rsidR="00BB3F1B" w:rsidRPr="00BB3F1B">
        <w:t xml:space="preserve"> </w:t>
      </w:r>
      <w:r w:rsidR="00BB3F1B" w:rsidRPr="00500114">
        <w:t>are for the full financial year, at a 1-FTE rate, and exclude</w:t>
      </w:r>
      <w:r w:rsidR="00EC65C3">
        <w:t> </w:t>
      </w:r>
      <w:r w:rsidR="00BB3F1B" w:rsidRPr="00500114">
        <w:t>superannuation</w:t>
      </w:r>
      <w:r w:rsidRPr="001D5E51">
        <w:t>.</w:t>
      </w:r>
    </w:p>
    <w:tbl>
      <w:tblPr>
        <w:tblW w:w="9645"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1E0" w:firstRow="1" w:lastRow="1" w:firstColumn="1" w:lastColumn="1" w:noHBand="0" w:noVBand="0"/>
      </w:tblPr>
      <w:tblGrid>
        <w:gridCol w:w="2698"/>
        <w:gridCol w:w="1418"/>
        <w:gridCol w:w="1134"/>
        <w:gridCol w:w="982"/>
        <w:gridCol w:w="1287"/>
        <w:gridCol w:w="1134"/>
        <w:gridCol w:w="992"/>
      </w:tblGrid>
      <w:tr w:rsidR="00524C5E" w:rsidRPr="002029AF" w14:paraId="0523ECC9" w14:textId="77777777" w:rsidTr="00524C5E">
        <w:trPr>
          <w:cantSplit/>
          <w:tblHeader/>
        </w:trPr>
        <w:tc>
          <w:tcPr>
            <w:tcW w:w="1399" w:type="pct"/>
            <w:shd w:val="clear" w:color="auto" w:fill="auto"/>
            <w:vAlign w:val="bottom"/>
          </w:tcPr>
          <w:p w14:paraId="2C3C48AD" w14:textId="77777777" w:rsidR="00524C5E" w:rsidRPr="002029AF" w:rsidRDefault="00524C5E" w:rsidP="00897193">
            <w:pPr>
              <w:pStyle w:val="ARtablecolhead"/>
            </w:pPr>
            <w:r w:rsidRPr="002029AF">
              <w:t>Income band (salary)</w:t>
            </w:r>
          </w:p>
        </w:tc>
        <w:tc>
          <w:tcPr>
            <w:tcW w:w="735" w:type="pct"/>
            <w:tcBorders>
              <w:top w:val="nil"/>
            </w:tcBorders>
            <w:shd w:val="clear" w:color="auto" w:fill="auto"/>
            <w:vAlign w:val="bottom"/>
          </w:tcPr>
          <w:p w14:paraId="1FBCE4B9" w14:textId="77777777" w:rsidR="00524C5E" w:rsidRPr="002029AF" w:rsidRDefault="00524C5E" w:rsidP="00897193">
            <w:pPr>
              <w:pStyle w:val="ARtablecolheadright"/>
            </w:pPr>
            <w:r w:rsidRPr="002029AF">
              <w:t>Executives</w:t>
            </w:r>
          </w:p>
        </w:tc>
        <w:tc>
          <w:tcPr>
            <w:tcW w:w="588" w:type="pct"/>
            <w:tcBorders>
              <w:top w:val="nil"/>
            </w:tcBorders>
            <w:shd w:val="clear" w:color="auto" w:fill="auto"/>
            <w:vAlign w:val="bottom"/>
          </w:tcPr>
          <w:p w14:paraId="2C9F58D0" w14:textId="2A9DA62F" w:rsidR="00524C5E" w:rsidRPr="002029AF" w:rsidRDefault="00524C5E" w:rsidP="00897193">
            <w:pPr>
              <w:pStyle w:val="ARtablecolheadright"/>
            </w:pPr>
            <w:r w:rsidRPr="002029AF">
              <w:t>STS</w:t>
            </w:r>
            <w:r w:rsidR="00BB3F1B" w:rsidRPr="00BB3F1B">
              <w:rPr>
                <w:rStyle w:val="FootnoteReference"/>
              </w:rPr>
              <w:t>(</w:t>
            </w:r>
            <w:r w:rsidR="00BB3F1B">
              <w:rPr>
                <w:rStyle w:val="FootnoteReference"/>
              </w:rPr>
              <w:footnoteReference w:id="14"/>
            </w:r>
            <w:r w:rsidR="00BB3F1B" w:rsidRPr="00BB3F1B">
              <w:rPr>
                <w:rStyle w:val="FootnoteReference"/>
              </w:rPr>
              <w:t>)</w:t>
            </w:r>
          </w:p>
        </w:tc>
        <w:tc>
          <w:tcPr>
            <w:tcW w:w="509" w:type="pct"/>
            <w:tcBorders>
              <w:top w:val="nil"/>
            </w:tcBorders>
            <w:shd w:val="clear" w:color="auto" w:fill="auto"/>
            <w:vAlign w:val="bottom"/>
          </w:tcPr>
          <w:p w14:paraId="781EE19A" w14:textId="0B19EE77" w:rsidR="00524C5E" w:rsidRPr="002029AF" w:rsidRDefault="00524C5E" w:rsidP="00897193">
            <w:pPr>
              <w:pStyle w:val="ARtablecolheadright"/>
            </w:pPr>
            <w:r w:rsidRPr="002B1364">
              <w:t>PS</w:t>
            </w:r>
          </w:p>
        </w:tc>
        <w:tc>
          <w:tcPr>
            <w:tcW w:w="667" w:type="pct"/>
            <w:tcBorders>
              <w:top w:val="nil"/>
            </w:tcBorders>
            <w:vAlign w:val="bottom"/>
          </w:tcPr>
          <w:p w14:paraId="53C1BA12" w14:textId="7CDE02D3" w:rsidR="00524C5E" w:rsidRPr="002029AF" w:rsidRDefault="00524C5E" w:rsidP="00897193">
            <w:pPr>
              <w:pStyle w:val="ARtablecolheadright"/>
            </w:pPr>
            <w:r w:rsidRPr="002029AF">
              <w:t>SMA</w:t>
            </w:r>
          </w:p>
        </w:tc>
        <w:tc>
          <w:tcPr>
            <w:tcW w:w="588" w:type="pct"/>
            <w:tcBorders>
              <w:top w:val="nil"/>
            </w:tcBorders>
            <w:vAlign w:val="bottom"/>
          </w:tcPr>
          <w:p w14:paraId="4A0C1862" w14:textId="6C1F504F" w:rsidR="00524C5E" w:rsidRPr="002029AF" w:rsidRDefault="00524C5E" w:rsidP="00897193">
            <w:pPr>
              <w:pStyle w:val="ARtablecolheadright"/>
            </w:pPr>
            <w:r w:rsidRPr="002B1364">
              <w:t>SRA</w:t>
            </w:r>
          </w:p>
        </w:tc>
        <w:tc>
          <w:tcPr>
            <w:tcW w:w="514" w:type="pct"/>
            <w:tcBorders>
              <w:top w:val="nil"/>
            </w:tcBorders>
            <w:vAlign w:val="bottom"/>
          </w:tcPr>
          <w:p w14:paraId="4D104B41" w14:textId="77777777" w:rsidR="00524C5E" w:rsidRPr="002029AF" w:rsidRDefault="00524C5E" w:rsidP="00897193">
            <w:pPr>
              <w:pStyle w:val="ARtablecolheadright"/>
            </w:pPr>
            <w:r w:rsidRPr="002029AF">
              <w:t>Other</w:t>
            </w:r>
          </w:p>
        </w:tc>
      </w:tr>
      <w:tr w:rsidR="00524C5E" w:rsidRPr="002029AF" w14:paraId="6D91C1CF" w14:textId="77777777" w:rsidTr="00524C5E">
        <w:trPr>
          <w:cantSplit/>
        </w:trPr>
        <w:tc>
          <w:tcPr>
            <w:tcW w:w="1399" w:type="pct"/>
            <w:tcBorders>
              <w:top w:val="single" w:sz="4" w:space="0" w:color="BFBFBF"/>
              <w:bottom w:val="single" w:sz="4" w:space="0" w:color="BFBFBF"/>
            </w:tcBorders>
            <w:shd w:val="clear" w:color="auto" w:fill="auto"/>
          </w:tcPr>
          <w:p w14:paraId="4E3F8B46" w14:textId="77777777" w:rsidR="00524C5E" w:rsidRPr="00AF50BC" w:rsidRDefault="00524C5E" w:rsidP="00AF50BC">
            <w:pPr>
              <w:pStyle w:val="ARtabletext"/>
            </w:pPr>
            <w:r w:rsidRPr="00AF50BC">
              <w:t>&lt; $160,000</w:t>
            </w:r>
          </w:p>
        </w:tc>
        <w:tc>
          <w:tcPr>
            <w:tcW w:w="735" w:type="pct"/>
            <w:tcBorders>
              <w:top w:val="single" w:sz="4" w:space="0" w:color="BFBFBF"/>
              <w:bottom w:val="single" w:sz="4" w:space="0" w:color="BFBFBF"/>
            </w:tcBorders>
            <w:shd w:val="clear" w:color="auto" w:fill="auto"/>
          </w:tcPr>
          <w:p w14:paraId="76CED55E" w14:textId="3C88A839" w:rsidR="00524C5E" w:rsidRPr="002029AF" w:rsidRDefault="00656B42" w:rsidP="00897193">
            <w:pPr>
              <w:pStyle w:val="ARtabletextright"/>
              <w:rPr>
                <w:color w:val="000000" w:themeColor="text1"/>
              </w:rPr>
            </w:pPr>
            <w:r>
              <w:rPr>
                <w:color w:val="000000" w:themeColor="text1"/>
              </w:rPr>
              <w:t>6</w:t>
            </w:r>
          </w:p>
        </w:tc>
        <w:tc>
          <w:tcPr>
            <w:tcW w:w="588" w:type="pct"/>
            <w:tcBorders>
              <w:top w:val="single" w:sz="4" w:space="0" w:color="BFBFBF"/>
              <w:bottom w:val="single" w:sz="4" w:space="0" w:color="BFBFBF"/>
            </w:tcBorders>
            <w:shd w:val="clear" w:color="auto" w:fill="auto"/>
          </w:tcPr>
          <w:p w14:paraId="77DC6849" w14:textId="77777777" w:rsidR="00524C5E" w:rsidRPr="002029AF" w:rsidRDefault="00524C5E" w:rsidP="00897193">
            <w:pPr>
              <w:pStyle w:val="ARtabletextright"/>
            </w:pPr>
          </w:p>
        </w:tc>
        <w:tc>
          <w:tcPr>
            <w:tcW w:w="509" w:type="pct"/>
            <w:tcBorders>
              <w:top w:val="single" w:sz="4" w:space="0" w:color="BFBFBF"/>
              <w:bottom w:val="single" w:sz="4" w:space="0" w:color="BFBFBF"/>
            </w:tcBorders>
            <w:shd w:val="clear" w:color="auto" w:fill="auto"/>
          </w:tcPr>
          <w:p w14:paraId="5D99C383" w14:textId="77777777" w:rsidR="00524C5E" w:rsidRPr="002029AF" w:rsidRDefault="00524C5E" w:rsidP="00897193">
            <w:pPr>
              <w:pStyle w:val="ARtabletextright"/>
            </w:pPr>
          </w:p>
        </w:tc>
        <w:tc>
          <w:tcPr>
            <w:tcW w:w="667" w:type="pct"/>
            <w:tcBorders>
              <w:top w:val="single" w:sz="4" w:space="0" w:color="BFBFBF"/>
              <w:bottom w:val="single" w:sz="4" w:space="0" w:color="BFBFBF"/>
            </w:tcBorders>
          </w:tcPr>
          <w:p w14:paraId="6EEE5054" w14:textId="77777777" w:rsidR="00524C5E" w:rsidRPr="002029AF" w:rsidRDefault="00524C5E" w:rsidP="00897193">
            <w:pPr>
              <w:pStyle w:val="ARtabletextright"/>
            </w:pPr>
          </w:p>
        </w:tc>
        <w:tc>
          <w:tcPr>
            <w:tcW w:w="588" w:type="pct"/>
            <w:tcBorders>
              <w:top w:val="single" w:sz="4" w:space="0" w:color="BFBFBF"/>
              <w:bottom w:val="single" w:sz="4" w:space="0" w:color="BFBFBF"/>
            </w:tcBorders>
          </w:tcPr>
          <w:p w14:paraId="478C9B41" w14:textId="77777777" w:rsidR="00524C5E" w:rsidRPr="002029AF" w:rsidRDefault="00524C5E" w:rsidP="00897193">
            <w:pPr>
              <w:pStyle w:val="ARtabletextright"/>
            </w:pPr>
          </w:p>
        </w:tc>
        <w:tc>
          <w:tcPr>
            <w:tcW w:w="514" w:type="pct"/>
            <w:tcBorders>
              <w:top w:val="single" w:sz="4" w:space="0" w:color="BFBFBF"/>
              <w:bottom w:val="single" w:sz="4" w:space="0" w:color="BFBFBF"/>
            </w:tcBorders>
          </w:tcPr>
          <w:p w14:paraId="782CE673" w14:textId="77777777" w:rsidR="00524C5E" w:rsidRPr="002029AF" w:rsidRDefault="00524C5E" w:rsidP="00897193">
            <w:pPr>
              <w:pStyle w:val="ARtabletextright"/>
            </w:pPr>
          </w:p>
        </w:tc>
      </w:tr>
      <w:tr w:rsidR="00524C5E" w:rsidRPr="002029AF" w14:paraId="280FD578" w14:textId="77777777" w:rsidTr="00524C5E">
        <w:trPr>
          <w:cantSplit/>
        </w:trPr>
        <w:tc>
          <w:tcPr>
            <w:tcW w:w="1399" w:type="pct"/>
            <w:tcBorders>
              <w:top w:val="single" w:sz="4" w:space="0" w:color="BFBFBF"/>
              <w:bottom w:val="single" w:sz="4" w:space="0" w:color="BFBFBF"/>
            </w:tcBorders>
            <w:shd w:val="clear" w:color="auto" w:fill="auto"/>
          </w:tcPr>
          <w:p w14:paraId="0BC5221B" w14:textId="77777777" w:rsidR="00524C5E" w:rsidRPr="00AF50BC" w:rsidRDefault="00524C5E" w:rsidP="00AF50BC">
            <w:pPr>
              <w:pStyle w:val="ARtabletext"/>
            </w:pPr>
            <w:r w:rsidRPr="00AF50BC">
              <w:t>$160,000–$179,999</w:t>
            </w:r>
          </w:p>
        </w:tc>
        <w:tc>
          <w:tcPr>
            <w:tcW w:w="735" w:type="pct"/>
            <w:tcBorders>
              <w:top w:val="single" w:sz="4" w:space="0" w:color="BFBFBF"/>
              <w:bottom w:val="single" w:sz="4" w:space="0" w:color="BFBFBF"/>
            </w:tcBorders>
            <w:shd w:val="clear" w:color="auto" w:fill="auto"/>
          </w:tcPr>
          <w:p w14:paraId="24BA1BAF" w14:textId="77777777" w:rsidR="00524C5E" w:rsidRPr="002029AF" w:rsidRDefault="00524C5E" w:rsidP="00897193">
            <w:pPr>
              <w:pStyle w:val="ARtabletextright"/>
              <w:rPr>
                <w:color w:val="000000" w:themeColor="text1"/>
              </w:rPr>
            </w:pPr>
            <w:r>
              <w:rPr>
                <w:color w:val="000000" w:themeColor="text1"/>
              </w:rPr>
              <w:t>23</w:t>
            </w:r>
          </w:p>
        </w:tc>
        <w:tc>
          <w:tcPr>
            <w:tcW w:w="588" w:type="pct"/>
            <w:tcBorders>
              <w:top w:val="single" w:sz="4" w:space="0" w:color="BFBFBF"/>
              <w:bottom w:val="single" w:sz="4" w:space="0" w:color="BFBFBF"/>
            </w:tcBorders>
            <w:shd w:val="clear" w:color="auto" w:fill="auto"/>
          </w:tcPr>
          <w:p w14:paraId="12C4D30E" w14:textId="53FEA258" w:rsidR="00524C5E" w:rsidRPr="002029AF" w:rsidRDefault="00524C5E" w:rsidP="00897193">
            <w:pPr>
              <w:pStyle w:val="ARtabletextright"/>
              <w:rPr>
                <w:color w:val="000000" w:themeColor="text1"/>
              </w:rPr>
            </w:pPr>
            <w:r>
              <w:rPr>
                <w:color w:val="000000" w:themeColor="text1"/>
              </w:rPr>
              <w:t>11</w:t>
            </w:r>
            <w:r w:rsidRPr="00500114">
              <w:rPr>
                <w:color w:val="000000" w:themeColor="text1"/>
                <w:vertAlign w:val="superscript"/>
              </w:rPr>
              <w:t>(</w:t>
            </w:r>
            <w:r w:rsidR="0074225A">
              <w:rPr>
                <w:rStyle w:val="FootnoteReference"/>
                <w:color w:val="000000" w:themeColor="text1"/>
              </w:rPr>
              <w:footnoteReference w:id="15"/>
            </w:r>
            <w:r w:rsidRPr="00500114">
              <w:rPr>
                <w:color w:val="000000" w:themeColor="text1"/>
                <w:vertAlign w:val="superscript"/>
              </w:rPr>
              <w:t>)</w:t>
            </w:r>
          </w:p>
        </w:tc>
        <w:tc>
          <w:tcPr>
            <w:tcW w:w="509" w:type="pct"/>
            <w:tcBorders>
              <w:top w:val="single" w:sz="4" w:space="0" w:color="BFBFBF"/>
              <w:bottom w:val="single" w:sz="4" w:space="0" w:color="BFBFBF"/>
            </w:tcBorders>
            <w:shd w:val="clear" w:color="auto" w:fill="auto"/>
          </w:tcPr>
          <w:p w14:paraId="23E188B2" w14:textId="77777777" w:rsidR="00524C5E" w:rsidRPr="002029AF" w:rsidRDefault="00524C5E" w:rsidP="00897193">
            <w:pPr>
              <w:pStyle w:val="ARtabletextright"/>
              <w:rPr>
                <w:color w:val="000000" w:themeColor="text1"/>
              </w:rPr>
            </w:pPr>
          </w:p>
        </w:tc>
        <w:tc>
          <w:tcPr>
            <w:tcW w:w="667" w:type="pct"/>
            <w:tcBorders>
              <w:top w:val="single" w:sz="4" w:space="0" w:color="BFBFBF"/>
              <w:bottom w:val="single" w:sz="4" w:space="0" w:color="BFBFBF"/>
            </w:tcBorders>
          </w:tcPr>
          <w:p w14:paraId="1E45C884" w14:textId="77777777" w:rsidR="00524C5E" w:rsidRPr="002029AF" w:rsidRDefault="00524C5E" w:rsidP="00897193">
            <w:pPr>
              <w:pStyle w:val="ARtabletextright"/>
              <w:rPr>
                <w:color w:val="000000" w:themeColor="text1"/>
              </w:rPr>
            </w:pPr>
            <w:r>
              <w:rPr>
                <w:color w:val="000000" w:themeColor="text1"/>
              </w:rPr>
              <w:t>15</w:t>
            </w:r>
          </w:p>
        </w:tc>
        <w:tc>
          <w:tcPr>
            <w:tcW w:w="588" w:type="pct"/>
            <w:tcBorders>
              <w:top w:val="single" w:sz="4" w:space="0" w:color="BFBFBF"/>
              <w:bottom w:val="single" w:sz="4" w:space="0" w:color="BFBFBF"/>
            </w:tcBorders>
          </w:tcPr>
          <w:p w14:paraId="762A3E1A" w14:textId="77777777" w:rsidR="00524C5E" w:rsidRPr="002029AF" w:rsidRDefault="00524C5E" w:rsidP="00897193">
            <w:pPr>
              <w:pStyle w:val="ARtabletextright"/>
            </w:pPr>
          </w:p>
        </w:tc>
        <w:tc>
          <w:tcPr>
            <w:tcW w:w="514" w:type="pct"/>
            <w:tcBorders>
              <w:top w:val="single" w:sz="4" w:space="0" w:color="BFBFBF"/>
              <w:bottom w:val="single" w:sz="4" w:space="0" w:color="BFBFBF"/>
            </w:tcBorders>
          </w:tcPr>
          <w:p w14:paraId="4D9D5698" w14:textId="77777777" w:rsidR="00524C5E" w:rsidRPr="002029AF" w:rsidRDefault="00524C5E" w:rsidP="00897193">
            <w:pPr>
              <w:pStyle w:val="ARtabletextright"/>
            </w:pPr>
          </w:p>
        </w:tc>
      </w:tr>
      <w:tr w:rsidR="00524C5E" w:rsidRPr="002029AF" w14:paraId="2C79B56D" w14:textId="77777777" w:rsidTr="00524C5E">
        <w:trPr>
          <w:cantSplit/>
        </w:trPr>
        <w:tc>
          <w:tcPr>
            <w:tcW w:w="1399" w:type="pct"/>
            <w:tcBorders>
              <w:top w:val="single" w:sz="4" w:space="0" w:color="BFBFBF"/>
              <w:bottom w:val="single" w:sz="4" w:space="0" w:color="BFBFBF"/>
            </w:tcBorders>
            <w:shd w:val="clear" w:color="auto" w:fill="auto"/>
          </w:tcPr>
          <w:p w14:paraId="027D24AE" w14:textId="77777777" w:rsidR="00524C5E" w:rsidRPr="00AF50BC" w:rsidRDefault="00524C5E" w:rsidP="00AF50BC">
            <w:pPr>
              <w:pStyle w:val="ARtabletext"/>
            </w:pPr>
            <w:r w:rsidRPr="00AF50BC">
              <w:t>$180,000–$199,999</w:t>
            </w:r>
          </w:p>
        </w:tc>
        <w:tc>
          <w:tcPr>
            <w:tcW w:w="735" w:type="pct"/>
            <w:tcBorders>
              <w:top w:val="single" w:sz="4" w:space="0" w:color="BFBFBF"/>
              <w:bottom w:val="single" w:sz="4" w:space="0" w:color="BFBFBF"/>
            </w:tcBorders>
            <w:shd w:val="clear" w:color="auto" w:fill="auto"/>
          </w:tcPr>
          <w:p w14:paraId="15F4D0A6" w14:textId="3EB25405" w:rsidR="00524C5E" w:rsidRPr="002029AF" w:rsidRDefault="00524C5E" w:rsidP="00897193">
            <w:pPr>
              <w:pStyle w:val="ARtabletextright"/>
              <w:rPr>
                <w:color w:val="000000" w:themeColor="text1"/>
              </w:rPr>
            </w:pPr>
            <w:r>
              <w:rPr>
                <w:color w:val="000000" w:themeColor="text1"/>
              </w:rPr>
              <w:t>4</w:t>
            </w:r>
            <w:r w:rsidR="00656B42">
              <w:rPr>
                <w:color w:val="000000" w:themeColor="text1"/>
              </w:rPr>
              <w:t>4</w:t>
            </w:r>
            <w:r w:rsidRPr="00500114">
              <w:rPr>
                <w:color w:val="000000" w:themeColor="text1"/>
                <w:vertAlign w:val="superscript"/>
              </w:rPr>
              <w:t>(</w:t>
            </w:r>
            <w:r w:rsidR="0074225A">
              <w:rPr>
                <w:rStyle w:val="FootnoteReference"/>
                <w:color w:val="000000" w:themeColor="text1"/>
              </w:rPr>
              <w:footnoteReference w:id="16"/>
            </w:r>
            <w:r w:rsidRPr="00500114">
              <w:rPr>
                <w:color w:val="000000" w:themeColor="text1"/>
                <w:vertAlign w:val="superscript"/>
              </w:rPr>
              <w:t>)</w:t>
            </w:r>
          </w:p>
        </w:tc>
        <w:tc>
          <w:tcPr>
            <w:tcW w:w="588" w:type="pct"/>
            <w:tcBorders>
              <w:top w:val="single" w:sz="4" w:space="0" w:color="BFBFBF"/>
              <w:bottom w:val="single" w:sz="4" w:space="0" w:color="BFBFBF"/>
            </w:tcBorders>
            <w:shd w:val="clear" w:color="auto" w:fill="auto"/>
          </w:tcPr>
          <w:p w14:paraId="6BF534F0" w14:textId="77777777" w:rsidR="00524C5E" w:rsidRPr="002029AF" w:rsidRDefault="00524C5E" w:rsidP="00897193">
            <w:pPr>
              <w:pStyle w:val="ARtabletextright"/>
              <w:rPr>
                <w:color w:val="000000" w:themeColor="text1"/>
              </w:rPr>
            </w:pPr>
            <w:r>
              <w:rPr>
                <w:color w:val="000000" w:themeColor="text1"/>
              </w:rPr>
              <w:t>12</w:t>
            </w:r>
          </w:p>
        </w:tc>
        <w:tc>
          <w:tcPr>
            <w:tcW w:w="509" w:type="pct"/>
            <w:tcBorders>
              <w:top w:val="single" w:sz="4" w:space="0" w:color="BFBFBF"/>
              <w:bottom w:val="single" w:sz="4" w:space="0" w:color="BFBFBF"/>
            </w:tcBorders>
            <w:shd w:val="clear" w:color="auto" w:fill="auto"/>
          </w:tcPr>
          <w:p w14:paraId="38FCDAB7" w14:textId="77777777" w:rsidR="00524C5E" w:rsidRPr="002029AF" w:rsidRDefault="00524C5E" w:rsidP="00897193">
            <w:pPr>
              <w:pStyle w:val="ARtabletextright"/>
              <w:rPr>
                <w:color w:val="000000" w:themeColor="text1"/>
              </w:rPr>
            </w:pPr>
          </w:p>
        </w:tc>
        <w:tc>
          <w:tcPr>
            <w:tcW w:w="667" w:type="pct"/>
            <w:tcBorders>
              <w:top w:val="single" w:sz="4" w:space="0" w:color="BFBFBF"/>
              <w:bottom w:val="single" w:sz="4" w:space="0" w:color="BFBFBF"/>
            </w:tcBorders>
          </w:tcPr>
          <w:p w14:paraId="575F7E50" w14:textId="77777777" w:rsidR="00524C5E" w:rsidRPr="002029AF" w:rsidRDefault="00524C5E" w:rsidP="00897193">
            <w:pPr>
              <w:pStyle w:val="ARtabletextright"/>
              <w:rPr>
                <w:color w:val="000000" w:themeColor="text1"/>
              </w:rPr>
            </w:pPr>
            <w:r>
              <w:rPr>
                <w:color w:val="000000" w:themeColor="text1"/>
              </w:rPr>
              <w:t>1</w:t>
            </w:r>
          </w:p>
        </w:tc>
        <w:tc>
          <w:tcPr>
            <w:tcW w:w="588" w:type="pct"/>
            <w:tcBorders>
              <w:top w:val="single" w:sz="4" w:space="0" w:color="BFBFBF"/>
              <w:bottom w:val="single" w:sz="4" w:space="0" w:color="BFBFBF"/>
            </w:tcBorders>
          </w:tcPr>
          <w:p w14:paraId="057DA91E" w14:textId="77777777" w:rsidR="00524C5E" w:rsidRPr="002029AF" w:rsidRDefault="00524C5E" w:rsidP="00897193">
            <w:pPr>
              <w:pStyle w:val="ARtabletextright"/>
            </w:pPr>
          </w:p>
        </w:tc>
        <w:tc>
          <w:tcPr>
            <w:tcW w:w="514" w:type="pct"/>
            <w:tcBorders>
              <w:top w:val="single" w:sz="4" w:space="0" w:color="BFBFBF"/>
              <w:bottom w:val="single" w:sz="4" w:space="0" w:color="BFBFBF"/>
            </w:tcBorders>
          </w:tcPr>
          <w:p w14:paraId="40CDA683" w14:textId="77777777" w:rsidR="00524C5E" w:rsidRPr="002029AF" w:rsidRDefault="00524C5E" w:rsidP="00897193">
            <w:pPr>
              <w:pStyle w:val="ARtabletextright"/>
            </w:pPr>
          </w:p>
        </w:tc>
      </w:tr>
      <w:tr w:rsidR="00524C5E" w:rsidRPr="002029AF" w14:paraId="18F19696" w14:textId="77777777" w:rsidTr="00524C5E">
        <w:trPr>
          <w:cantSplit/>
        </w:trPr>
        <w:tc>
          <w:tcPr>
            <w:tcW w:w="1399" w:type="pct"/>
            <w:tcBorders>
              <w:top w:val="single" w:sz="4" w:space="0" w:color="BFBFBF"/>
              <w:bottom w:val="single" w:sz="4" w:space="0" w:color="BFBFBF"/>
            </w:tcBorders>
            <w:shd w:val="clear" w:color="auto" w:fill="auto"/>
          </w:tcPr>
          <w:p w14:paraId="5431D529" w14:textId="77777777" w:rsidR="00524C5E" w:rsidRPr="00AF50BC" w:rsidRDefault="00524C5E" w:rsidP="00AF50BC">
            <w:pPr>
              <w:pStyle w:val="ARtabletext"/>
            </w:pPr>
            <w:r w:rsidRPr="00AF50BC">
              <w:t>$200,000–$219,999</w:t>
            </w:r>
          </w:p>
        </w:tc>
        <w:tc>
          <w:tcPr>
            <w:tcW w:w="735" w:type="pct"/>
            <w:tcBorders>
              <w:top w:val="single" w:sz="4" w:space="0" w:color="BFBFBF"/>
              <w:bottom w:val="single" w:sz="4" w:space="0" w:color="BFBFBF"/>
            </w:tcBorders>
            <w:shd w:val="clear" w:color="auto" w:fill="auto"/>
          </w:tcPr>
          <w:p w14:paraId="16CB7970" w14:textId="6D419463" w:rsidR="00524C5E" w:rsidRPr="002029AF" w:rsidRDefault="00524C5E" w:rsidP="00897193">
            <w:pPr>
              <w:pStyle w:val="ARtabletextright"/>
              <w:rPr>
                <w:color w:val="000000" w:themeColor="text1"/>
              </w:rPr>
            </w:pPr>
            <w:r>
              <w:rPr>
                <w:color w:val="000000" w:themeColor="text1"/>
              </w:rPr>
              <w:t>3</w:t>
            </w:r>
            <w:r w:rsidR="00210323">
              <w:rPr>
                <w:color w:val="000000" w:themeColor="text1"/>
              </w:rPr>
              <w:t>1</w:t>
            </w:r>
            <w:r w:rsidRPr="00500114">
              <w:rPr>
                <w:color w:val="000000" w:themeColor="text1"/>
                <w:vertAlign w:val="superscript"/>
              </w:rPr>
              <w:t>(</w:t>
            </w:r>
            <w:r w:rsidR="0074225A">
              <w:rPr>
                <w:rStyle w:val="FootnoteReference"/>
                <w:color w:val="000000" w:themeColor="text1"/>
              </w:rPr>
              <w:footnoteReference w:id="17"/>
            </w:r>
            <w:r w:rsidRPr="00500114">
              <w:rPr>
                <w:color w:val="000000" w:themeColor="text1"/>
                <w:vertAlign w:val="superscript"/>
              </w:rPr>
              <w:t>)</w:t>
            </w:r>
          </w:p>
        </w:tc>
        <w:tc>
          <w:tcPr>
            <w:tcW w:w="588" w:type="pct"/>
            <w:tcBorders>
              <w:top w:val="single" w:sz="4" w:space="0" w:color="BFBFBF"/>
              <w:bottom w:val="single" w:sz="4" w:space="0" w:color="BFBFBF"/>
            </w:tcBorders>
            <w:shd w:val="clear" w:color="auto" w:fill="auto"/>
          </w:tcPr>
          <w:p w14:paraId="16FE749D" w14:textId="77777777" w:rsidR="00524C5E" w:rsidRPr="002029AF" w:rsidRDefault="00524C5E" w:rsidP="00897193">
            <w:pPr>
              <w:pStyle w:val="ARtabletextright"/>
              <w:rPr>
                <w:color w:val="000000" w:themeColor="text1"/>
              </w:rPr>
            </w:pPr>
            <w:r>
              <w:rPr>
                <w:color w:val="000000" w:themeColor="text1"/>
              </w:rPr>
              <w:t>8</w:t>
            </w:r>
          </w:p>
        </w:tc>
        <w:tc>
          <w:tcPr>
            <w:tcW w:w="509" w:type="pct"/>
            <w:tcBorders>
              <w:top w:val="single" w:sz="4" w:space="0" w:color="BFBFBF"/>
              <w:bottom w:val="single" w:sz="4" w:space="0" w:color="BFBFBF"/>
            </w:tcBorders>
            <w:shd w:val="clear" w:color="auto" w:fill="auto"/>
          </w:tcPr>
          <w:p w14:paraId="3ACC63FB" w14:textId="77777777" w:rsidR="00524C5E" w:rsidRPr="002029AF" w:rsidRDefault="00524C5E" w:rsidP="00897193">
            <w:pPr>
              <w:pStyle w:val="ARtabletextright"/>
              <w:rPr>
                <w:color w:val="000000" w:themeColor="text1"/>
              </w:rPr>
            </w:pPr>
          </w:p>
        </w:tc>
        <w:tc>
          <w:tcPr>
            <w:tcW w:w="667" w:type="pct"/>
            <w:tcBorders>
              <w:top w:val="single" w:sz="4" w:space="0" w:color="BFBFBF"/>
              <w:bottom w:val="single" w:sz="4" w:space="0" w:color="BFBFBF"/>
            </w:tcBorders>
          </w:tcPr>
          <w:p w14:paraId="4E246FD2" w14:textId="77777777" w:rsidR="00524C5E" w:rsidRPr="002029AF" w:rsidRDefault="00524C5E" w:rsidP="00897193">
            <w:pPr>
              <w:pStyle w:val="ARtabletextright"/>
              <w:rPr>
                <w:color w:val="000000" w:themeColor="text1"/>
              </w:rPr>
            </w:pPr>
            <w:r>
              <w:rPr>
                <w:color w:val="000000" w:themeColor="text1"/>
              </w:rPr>
              <w:t>6</w:t>
            </w:r>
          </w:p>
        </w:tc>
        <w:tc>
          <w:tcPr>
            <w:tcW w:w="588" w:type="pct"/>
            <w:tcBorders>
              <w:top w:val="single" w:sz="4" w:space="0" w:color="BFBFBF"/>
              <w:bottom w:val="single" w:sz="4" w:space="0" w:color="BFBFBF"/>
            </w:tcBorders>
          </w:tcPr>
          <w:p w14:paraId="66E2AABF" w14:textId="77777777" w:rsidR="00524C5E" w:rsidRPr="002029AF" w:rsidRDefault="00524C5E" w:rsidP="00897193">
            <w:pPr>
              <w:pStyle w:val="ARtabletextright"/>
            </w:pPr>
          </w:p>
        </w:tc>
        <w:tc>
          <w:tcPr>
            <w:tcW w:w="514" w:type="pct"/>
            <w:tcBorders>
              <w:top w:val="single" w:sz="4" w:space="0" w:color="BFBFBF"/>
              <w:bottom w:val="single" w:sz="4" w:space="0" w:color="BFBFBF"/>
            </w:tcBorders>
          </w:tcPr>
          <w:p w14:paraId="20BD4AF7" w14:textId="77777777" w:rsidR="00524C5E" w:rsidRPr="002029AF" w:rsidRDefault="00524C5E" w:rsidP="00897193">
            <w:pPr>
              <w:pStyle w:val="ARtabletextright"/>
            </w:pPr>
          </w:p>
        </w:tc>
      </w:tr>
      <w:tr w:rsidR="00524C5E" w:rsidRPr="002029AF" w14:paraId="50FA6BD5" w14:textId="77777777" w:rsidTr="00524C5E">
        <w:trPr>
          <w:cantSplit/>
        </w:trPr>
        <w:tc>
          <w:tcPr>
            <w:tcW w:w="1399" w:type="pct"/>
            <w:tcBorders>
              <w:top w:val="single" w:sz="4" w:space="0" w:color="BFBFBF"/>
              <w:bottom w:val="single" w:sz="4" w:space="0" w:color="BFBFBF"/>
            </w:tcBorders>
            <w:shd w:val="clear" w:color="auto" w:fill="auto"/>
          </w:tcPr>
          <w:p w14:paraId="072ABC75" w14:textId="77777777" w:rsidR="00524C5E" w:rsidRPr="00AF50BC" w:rsidRDefault="00524C5E" w:rsidP="00AF50BC">
            <w:pPr>
              <w:pStyle w:val="ARtabletext"/>
            </w:pPr>
            <w:r w:rsidRPr="00AF50BC">
              <w:t>$220,000–$239,999</w:t>
            </w:r>
          </w:p>
        </w:tc>
        <w:tc>
          <w:tcPr>
            <w:tcW w:w="735" w:type="pct"/>
            <w:tcBorders>
              <w:top w:val="single" w:sz="4" w:space="0" w:color="BFBFBF"/>
              <w:bottom w:val="single" w:sz="4" w:space="0" w:color="BFBFBF"/>
            </w:tcBorders>
            <w:shd w:val="clear" w:color="auto" w:fill="auto"/>
          </w:tcPr>
          <w:p w14:paraId="0D8C7E51" w14:textId="42B9804A" w:rsidR="00524C5E" w:rsidRPr="002029AF" w:rsidRDefault="00524C5E" w:rsidP="00897193">
            <w:pPr>
              <w:pStyle w:val="ARtabletextright"/>
              <w:rPr>
                <w:color w:val="000000" w:themeColor="text1"/>
              </w:rPr>
            </w:pPr>
            <w:r>
              <w:rPr>
                <w:color w:val="000000" w:themeColor="text1"/>
              </w:rPr>
              <w:t>2</w:t>
            </w:r>
            <w:r w:rsidR="00656B42">
              <w:rPr>
                <w:color w:val="000000" w:themeColor="text1"/>
              </w:rPr>
              <w:t>3</w:t>
            </w:r>
          </w:p>
        </w:tc>
        <w:tc>
          <w:tcPr>
            <w:tcW w:w="588" w:type="pct"/>
            <w:tcBorders>
              <w:top w:val="single" w:sz="4" w:space="0" w:color="BFBFBF"/>
              <w:bottom w:val="single" w:sz="4" w:space="0" w:color="BFBFBF"/>
            </w:tcBorders>
            <w:shd w:val="clear" w:color="auto" w:fill="auto"/>
          </w:tcPr>
          <w:p w14:paraId="61D6AA89" w14:textId="77777777" w:rsidR="00524C5E" w:rsidRPr="002029AF" w:rsidRDefault="00524C5E" w:rsidP="00897193">
            <w:pPr>
              <w:pStyle w:val="ARtabletextright"/>
              <w:rPr>
                <w:color w:val="000000" w:themeColor="text1"/>
              </w:rPr>
            </w:pPr>
            <w:r>
              <w:rPr>
                <w:color w:val="000000" w:themeColor="text1"/>
              </w:rPr>
              <w:t>3</w:t>
            </w:r>
          </w:p>
        </w:tc>
        <w:tc>
          <w:tcPr>
            <w:tcW w:w="509" w:type="pct"/>
            <w:tcBorders>
              <w:top w:val="single" w:sz="4" w:space="0" w:color="BFBFBF"/>
              <w:bottom w:val="single" w:sz="4" w:space="0" w:color="BFBFBF"/>
            </w:tcBorders>
            <w:shd w:val="clear" w:color="auto" w:fill="auto"/>
          </w:tcPr>
          <w:p w14:paraId="0359440E" w14:textId="77777777" w:rsidR="00524C5E" w:rsidRPr="002029AF" w:rsidRDefault="00524C5E" w:rsidP="00897193">
            <w:pPr>
              <w:pStyle w:val="ARtabletextright"/>
              <w:rPr>
                <w:color w:val="000000" w:themeColor="text1"/>
              </w:rPr>
            </w:pPr>
          </w:p>
        </w:tc>
        <w:tc>
          <w:tcPr>
            <w:tcW w:w="667" w:type="pct"/>
            <w:tcBorders>
              <w:top w:val="single" w:sz="4" w:space="0" w:color="BFBFBF"/>
              <w:bottom w:val="single" w:sz="4" w:space="0" w:color="BFBFBF"/>
            </w:tcBorders>
          </w:tcPr>
          <w:p w14:paraId="12949159" w14:textId="77777777" w:rsidR="00524C5E" w:rsidRPr="002029AF" w:rsidRDefault="00524C5E" w:rsidP="00897193">
            <w:pPr>
              <w:pStyle w:val="ARtabletextright"/>
              <w:rPr>
                <w:color w:val="000000" w:themeColor="text1"/>
              </w:rPr>
            </w:pPr>
            <w:r>
              <w:rPr>
                <w:color w:val="000000" w:themeColor="text1"/>
              </w:rPr>
              <w:t>3</w:t>
            </w:r>
          </w:p>
        </w:tc>
        <w:tc>
          <w:tcPr>
            <w:tcW w:w="588" w:type="pct"/>
            <w:tcBorders>
              <w:top w:val="single" w:sz="4" w:space="0" w:color="BFBFBF"/>
              <w:bottom w:val="single" w:sz="4" w:space="0" w:color="BFBFBF"/>
            </w:tcBorders>
          </w:tcPr>
          <w:p w14:paraId="6898C903" w14:textId="77777777" w:rsidR="00524C5E" w:rsidRPr="002029AF" w:rsidRDefault="00524C5E" w:rsidP="00897193">
            <w:pPr>
              <w:pStyle w:val="ARtabletextright"/>
            </w:pPr>
          </w:p>
        </w:tc>
        <w:tc>
          <w:tcPr>
            <w:tcW w:w="514" w:type="pct"/>
            <w:tcBorders>
              <w:top w:val="single" w:sz="4" w:space="0" w:color="BFBFBF"/>
              <w:bottom w:val="single" w:sz="4" w:space="0" w:color="BFBFBF"/>
            </w:tcBorders>
          </w:tcPr>
          <w:p w14:paraId="48647572" w14:textId="77777777" w:rsidR="00524C5E" w:rsidRPr="002029AF" w:rsidRDefault="00524C5E" w:rsidP="00897193">
            <w:pPr>
              <w:pStyle w:val="ARtabletextright"/>
            </w:pPr>
          </w:p>
        </w:tc>
      </w:tr>
      <w:tr w:rsidR="00524C5E" w:rsidRPr="002029AF" w14:paraId="72723F3B" w14:textId="77777777" w:rsidTr="00524C5E">
        <w:trPr>
          <w:cantSplit/>
        </w:trPr>
        <w:tc>
          <w:tcPr>
            <w:tcW w:w="1399" w:type="pct"/>
            <w:tcBorders>
              <w:top w:val="single" w:sz="4" w:space="0" w:color="BFBFBF"/>
              <w:bottom w:val="single" w:sz="4" w:space="0" w:color="BFBFBF"/>
            </w:tcBorders>
            <w:shd w:val="clear" w:color="auto" w:fill="auto"/>
          </w:tcPr>
          <w:p w14:paraId="3207A6EB" w14:textId="77777777" w:rsidR="00524C5E" w:rsidRPr="00AF50BC" w:rsidRDefault="00524C5E" w:rsidP="00AF50BC">
            <w:pPr>
              <w:pStyle w:val="ARtabletext"/>
            </w:pPr>
            <w:r w:rsidRPr="00AF50BC">
              <w:t>$240,000–$259,999</w:t>
            </w:r>
          </w:p>
        </w:tc>
        <w:tc>
          <w:tcPr>
            <w:tcW w:w="735" w:type="pct"/>
            <w:tcBorders>
              <w:top w:val="single" w:sz="4" w:space="0" w:color="BFBFBF"/>
              <w:bottom w:val="single" w:sz="4" w:space="0" w:color="BFBFBF"/>
            </w:tcBorders>
            <w:shd w:val="clear" w:color="auto" w:fill="auto"/>
          </w:tcPr>
          <w:p w14:paraId="6A9B455C" w14:textId="77777777" w:rsidR="00524C5E" w:rsidRPr="002029AF" w:rsidRDefault="00524C5E" w:rsidP="00897193">
            <w:pPr>
              <w:pStyle w:val="ARtabletextright"/>
              <w:rPr>
                <w:color w:val="000000" w:themeColor="text1"/>
              </w:rPr>
            </w:pPr>
            <w:r>
              <w:rPr>
                <w:color w:val="000000" w:themeColor="text1"/>
              </w:rPr>
              <w:t>11</w:t>
            </w:r>
          </w:p>
        </w:tc>
        <w:tc>
          <w:tcPr>
            <w:tcW w:w="588" w:type="pct"/>
            <w:tcBorders>
              <w:top w:val="single" w:sz="4" w:space="0" w:color="BFBFBF"/>
              <w:bottom w:val="single" w:sz="4" w:space="0" w:color="BFBFBF"/>
            </w:tcBorders>
            <w:shd w:val="clear" w:color="auto" w:fill="auto"/>
          </w:tcPr>
          <w:p w14:paraId="61C0B8E8" w14:textId="77777777" w:rsidR="00524C5E" w:rsidRPr="002029AF" w:rsidRDefault="00524C5E" w:rsidP="00897193">
            <w:pPr>
              <w:pStyle w:val="ARtabletextright"/>
              <w:rPr>
                <w:color w:val="000000" w:themeColor="text1"/>
              </w:rPr>
            </w:pPr>
          </w:p>
        </w:tc>
        <w:tc>
          <w:tcPr>
            <w:tcW w:w="509" w:type="pct"/>
            <w:tcBorders>
              <w:top w:val="single" w:sz="4" w:space="0" w:color="BFBFBF"/>
              <w:bottom w:val="single" w:sz="4" w:space="0" w:color="BFBFBF"/>
            </w:tcBorders>
            <w:shd w:val="clear" w:color="auto" w:fill="auto"/>
          </w:tcPr>
          <w:p w14:paraId="398277FF" w14:textId="77777777" w:rsidR="00524C5E" w:rsidRPr="002029AF" w:rsidRDefault="00524C5E" w:rsidP="00897193">
            <w:pPr>
              <w:pStyle w:val="ARtabletextright"/>
              <w:rPr>
                <w:color w:val="000000" w:themeColor="text1"/>
              </w:rPr>
            </w:pPr>
          </w:p>
        </w:tc>
        <w:tc>
          <w:tcPr>
            <w:tcW w:w="667" w:type="pct"/>
            <w:tcBorders>
              <w:top w:val="single" w:sz="4" w:space="0" w:color="BFBFBF"/>
              <w:bottom w:val="single" w:sz="4" w:space="0" w:color="BFBFBF"/>
            </w:tcBorders>
          </w:tcPr>
          <w:p w14:paraId="5D4231B3" w14:textId="77777777" w:rsidR="00524C5E" w:rsidRPr="002029AF" w:rsidRDefault="00524C5E" w:rsidP="00897193">
            <w:pPr>
              <w:pStyle w:val="ARtabletextright"/>
              <w:rPr>
                <w:color w:val="000000" w:themeColor="text1"/>
              </w:rPr>
            </w:pPr>
            <w:r>
              <w:rPr>
                <w:color w:val="000000" w:themeColor="text1"/>
              </w:rPr>
              <w:t>3</w:t>
            </w:r>
          </w:p>
        </w:tc>
        <w:tc>
          <w:tcPr>
            <w:tcW w:w="588" w:type="pct"/>
            <w:tcBorders>
              <w:top w:val="single" w:sz="4" w:space="0" w:color="BFBFBF"/>
              <w:bottom w:val="single" w:sz="4" w:space="0" w:color="BFBFBF"/>
            </w:tcBorders>
          </w:tcPr>
          <w:p w14:paraId="4F79857B" w14:textId="77777777" w:rsidR="00524C5E" w:rsidRPr="002029AF" w:rsidRDefault="00524C5E" w:rsidP="00897193">
            <w:pPr>
              <w:pStyle w:val="ARtabletextright"/>
            </w:pPr>
          </w:p>
        </w:tc>
        <w:tc>
          <w:tcPr>
            <w:tcW w:w="514" w:type="pct"/>
            <w:tcBorders>
              <w:top w:val="single" w:sz="4" w:space="0" w:color="BFBFBF"/>
              <w:bottom w:val="single" w:sz="4" w:space="0" w:color="BFBFBF"/>
            </w:tcBorders>
          </w:tcPr>
          <w:p w14:paraId="04029747" w14:textId="77777777" w:rsidR="00524C5E" w:rsidRPr="002029AF" w:rsidRDefault="00524C5E" w:rsidP="00897193">
            <w:pPr>
              <w:pStyle w:val="ARtabletextright"/>
            </w:pPr>
          </w:p>
        </w:tc>
      </w:tr>
      <w:tr w:rsidR="00524C5E" w:rsidRPr="002029AF" w14:paraId="091FA527" w14:textId="77777777" w:rsidTr="00524C5E">
        <w:tblPrEx>
          <w:tblLook w:val="04A0" w:firstRow="1" w:lastRow="0" w:firstColumn="1" w:lastColumn="0" w:noHBand="0" w:noVBand="1"/>
        </w:tblPrEx>
        <w:trPr>
          <w:cantSplit/>
        </w:trPr>
        <w:tc>
          <w:tcPr>
            <w:tcW w:w="1399" w:type="pct"/>
            <w:tcBorders>
              <w:top w:val="single" w:sz="4" w:space="0" w:color="BFBFBF"/>
              <w:bottom w:val="single" w:sz="4" w:space="0" w:color="BFBFBF"/>
            </w:tcBorders>
            <w:shd w:val="clear" w:color="auto" w:fill="auto"/>
          </w:tcPr>
          <w:p w14:paraId="23F09C5E" w14:textId="77777777" w:rsidR="00524C5E" w:rsidRPr="00AF50BC" w:rsidRDefault="00524C5E" w:rsidP="00AF50BC">
            <w:pPr>
              <w:pStyle w:val="ARtabletext"/>
            </w:pPr>
            <w:r w:rsidRPr="00AF50BC">
              <w:t>$260,000–$279,999</w:t>
            </w:r>
          </w:p>
        </w:tc>
        <w:tc>
          <w:tcPr>
            <w:tcW w:w="735" w:type="pct"/>
            <w:tcBorders>
              <w:top w:val="single" w:sz="4" w:space="0" w:color="BFBFBF"/>
              <w:bottom w:val="single" w:sz="4" w:space="0" w:color="BFBFBF"/>
            </w:tcBorders>
            <w:shd w:val="clear" w:color="auto" w:fill="auto"/>
          </w:tcPr>
          <w:p w14:paraId="60AB8535" w14:textId="77777777" w:rsidR="00524C5E" w:rsidRPr="002029AF" w:rsidRDefault="00524C5E" w:rsidP="00897193">
            <w:pPr>
              <w:pStyle w:val="ARtabletextright"/>
              <w:rPr>
                <w:color w:val="000000" w:themeColor="text1"/>
              </w:rPr>
            </w:pPr>
            <w:r>
              <w:rPr>
                <w:color w:val="000000" w:themeColor="text1"/>
              </w:rPr>
              <w:t>10</w:t>
            </w:r>
          </w:p>
        </w:tc>
        <w:tc>
          <w:tcPr>
            <w:tcW w:w="588" w:type="pct"/>
            <w:tcBorders>
              <w:top w:val="single" w:sz="4" w:space="0" w:color="BFBFBF"/>
              <w:bottom w:val="single" w:sz="4" w:space="0" w:color="BFBFBF"/>
            </w:tcBorders>
            <w:shd w:val="clear" w:color="auto" w:fill="auto"/>
          </w:tcPr>
          <w:p w14:paraId="2F2231E6" w14:textId="77777777" w:rsidR="00524C5E" w:rsidRPr="002029AF" w:rsidRDefault="00524C5E" w:rsidP="00897193">
            <w:pPr>
              <w:pStyle w:val="ARtabletextright"/>
              <w:rPr>
                <w:color w:val="000000" w:themeColor="text1"/>
              </w:rPr>
            </w:pPr>
          </w:p>
        </w:tc>
        <w:tc>
          <w:tcPr>
            <w:tcW w:w="509" w:type="pct"/>
            <w:tcBorders>
              <w:top w:val="single" w:sz="4" w:space="0" w:color="BFBFBF"/>
              <w:bottom w:val="single" w:sz="4" w:space="0" w:color="BFBFBF"/>
            </w:tcBorders>
            <w:shd w:val="clear" w:color="auto" w:fill="auto"/>
          </w:tcPr>
          <w:p w14:paraId="4DE110C2" w14:textId="77777777" w:rsidR="00524C5E" w:rsidRPr="002029AF" w:rsidRDefault="00524C5E" w:rsidP="00897193">
            <w:pPr>
              <w:pStyle w:val="ARtabletextright"/>
              <w:rPr>
                <w:color w:val="000000" w:themeColor="text1"/>
              </w:rPr>
            </w:pPr>
          </w:p>
        </w:tc>
        <w:tc>
          <w:tcPr>
            <w:tcW w:w="667" w:type="pct"/>
            <w:tcBorders>
              <w:top w:val="single" w:sz="4" w:space="0" w:color="BFBFBF"/>
              <w:bottom w:val="single" w:sz="4" w:space="0" w:color="BFBFBF"/>
            </w:tcBorders>
          </w:tcPr>
          <w:p w14:paraId="4E4CB1E6" w14:textId="77777777" w:rsidR="00524C5E" w:rsidRPr="002029AF" w:rsidRDefault="00524C5E" w:rsidP="00897193">
            <w:pPr>
              <w:pStyle w:val="ARtabletextright"/>
              <w:rPr>
                <w:color w:val="000000" w:themeColor="text1"/>
              </w:rPr>
            </w:pPr>
            <w:r>
              <w:rPr>
                <w:color w:val="000000" w:themeColor="text1"/>
              </w:rPr>
              <w:t>1</w:t>
            </w:r>
          </w:p>
        </w:tc>
        <w:tc>
          <w:tcPr>
            <w:tcW w:w="588" w:type="pct"/>
            <w:tcBorders>
              <w:top w:val="single" w:sz="4" w:space="0" w:color="BFBFBF"/>
              <w:bottom w:val="single" w:sz="4" w:space="0" w:color="BFBFBF"/>
            </w:tcBorders>
          </w:tcPr>
          <w:p w14:paraId="6F51B312" w14:textId="77777777" w:rsidR="00524C5E" w:rsidRPr="002029AF" w:rsidRDefault="00524C5E" w:rsidP="00897193">
            <w:pPr>
              <w:pStyle w:val="ARtabletextright"/>
            </w:pPr>
          </w:p>
        </w:tc>
        <w:tc>
          <w:tcPr>
            <w:tcW w:w="514" w:type="pct"/>
            <w:tcBorders>
              <w:top w:val="single" w:sz="4" w:space="0" w:color="BFBFBF"/>
              <w:bottom w:val="single" w:sz="4" w:space="0" w:color="BFBFBF"/>
            </w:tcBorders>
          </w:tcPr>
          <w:p w14:paraId="2C4FB6AC" w14:textId="77777777" w:rsidR="00524C5E" w:rsidRPr="002029AF" w:rsidRDefault="00524C5E" w:rsidP="00897193">
            <w:pPr>
              <w:pStyle w:val="ARtabletextright"/>
            </w:pPr>
          </w:p>
        </w:tc>
      </w:tr>
      <w:tr w:rsidR="00524C5E" w:rsidRPr="002029AF" w14:paraId="3184E28E" w14:textId="77777777" w:rsidTr="00524C5E">
        <w:tblPrEx>
          <w:tblLook w:val="04A0" w:firstRow="1" w:lastRow="0" w:firstColumn="1" w:lastColumn="0" w:noHBand="0" w:noVBand="1"/>
        </w:tblPrEx>
        <w:trPr>
          <w:cantSplit/>
        </w:trPr>
        <w:tc>
          <w:tcPr>
            <w:tcW w:w="1399" w:type="pct"/>
            <w:tcBorders>
              <w:top w:val="single" w:sz="4" w:space="0" w:color="BFBFBF"/>
              <w:bottom w:val="single" w:sz="4" w:space="0" w:color="BFBFBF"/>
            </w:tcBorders>
            <w:shd w:val="clear" w:color="auto" w:fill="auto"/>
          </w:tcPr>
          <w:p w14:paraId="1E0F7348" w14:textId="77777777" w:rsidR="00524C5E" w:rsidRPr="00AF50BC" w:rsidRDefault="00524C5E" w:rsidP="00AF50BC">
            <w:pPr>
              <w:pStyle w:val="ARtabletext"/>
            </w:pPr>
            <w:r w:rsidRPr="00AF50BC">
              <w:t>$280,000–$299,999</w:t>
            </w:r>
          </w:p>
        </w:tc>
        <w:tc>
          <w:tcPr>
            <w:tcW w:w="735" w:type="pct"/>
            <w:tcBorders>
              <w:top w:val="single" w:sz="4" w:space="0" w:color="BFBFBF"/>
              <w:bottom w:val="single" w:sz="4" w:space="0" w:color="BFBFBF"/>
            </w:tcBorders>
            <w:shd w:val="clear" w:color="auto" w:fill="auto"/>
          </w:tcPr>
          <w:p w14:paraId="51C647C7" w14:textId="77777777" w:rsidR="00524C5E" w:rsidRPr="002029AF" w:rsidRDefault="00524C5E" w:rsidP="00897193">
            <w:pPr>
              <w:pStyle w:val="ARtabletextright"/>
              <w:rPr>
                <w:color w:val="000000" w:themeColor="text1"/>
              </w:rPr>
            </w:pPr>
            <w:r>
              <w:rPr>
                <w:color w:val="000000" w:themeColor="text1"/>
              </w:rPr>
              <w:t>4</w:t>
            </w:r>
          </w:p>
        </w:tc>
        <w:tc>
          <w:tcPr>
            <w:tcW w:w="588" w:type="pct"/>
            <w:tcBorders>
              <w:top w:val="single" w:sz="4" w:space="0" w:color="BFBFBF"/>
              <w:bottom w:val="single" w:sz="4" w:space="0" w:color="BFBFBF"/>
            </w:tcBorders>
            <w:shd w:val="clear" w:color="auto" w:fill="auto"/>
          </w:tcPr>
          <w:p w14:paraId="3EBC8718" w14:textId="77777777" w:rsidR="00524C5E" w:rsidRPr="002029AF" w:rsidRDefault="00524C5E" w:rsidP="00897193">
            <w:pPr>
              <w:pStyle w:val="ARtabletextright"/>
              <w:rPr>
                <w:color w:val="000000" w:themeColor="text1"/>
              </w:rPr>
            </w:pPr>
          </w:p>
        </w:tc>
        <w:tc>
          <w:tcPr>
            <w:tcW w:w="509" w:type="pct"/>
            <w:tcBorders>
              <w:top w:val="single" w:sz="4" w:space="0" w:color="BFBFBF"/>
              <w:bottom w:val="single" w:sz="4" w:space="0" w:color="BFBFBF"/>
            </w:tcBorders>
            <w:shd w:val="clear" w:color="auto" w:fill="auto"/>
          </w:tcPr>
          <w:p w14:paraId="6197697A" w14:textId="77777777" w:rsidR="00524C5E" w:rsidRPr="002029AF" w:rsidRDefault="00524C5E" w:rsidP="00897193">
            <w:pPr>
              <w:pStyle w:val="ARtabletextright"/>
              <w:rPr>
                <w:color w:val="000000" w:themeColor="text1"/>
              </w:rPr>
            </w:pPr>
          </w:p>
        </w:tc>
        <w:tc>
          <w:tcPr>
            <w:tcW w:w="667" w:type="pct"/>
            <w:tcBorders>
              <w:top w:val="single" w:sz="4" w:space="0" w:color="BFBFBF"/>
              <w:bottom w:val="single" w:sz="4" w:space="0" w:color="BFBFBF"/>
            </w:tcBorders>
          </w:tcPr>
          <w:p w14:paraId="08B64B49" w14:textId="77777777" w:rsidR="00524C5E" w:rsidRPr="002029AF" w:rsidRDefault="00524C5E" w:rsidP="00897193">
            <w:pPr>
              <w:pStyle w:val="ARtabletextright"/>
              <w:rPr>
                <w:color w:val="000000" w:themeColor="text1"/>
              </w:rPr>
            </w:pPr>
            <w:r>
              <w:rPr>
                <w:color w:val="000000" w:themeColor="text1"/>
              </w:rPr>
              <w:t>2</w:t>
            </w:r>
          </w:p>
        </w:tc>
        <w:tc>
          <w:tcPr>
            <w:tcW w:w="588" w:type="pct"/>
            <w:tcBorders>
              <w:top w:val="single" w:sz="4" w:space="0" w:color="BFBFBF"/>
              <w:bottom w:val="single" w:sz="4" w:space="0" w:color="BFBFBF"/>
            </w:tcBorders>
          </w:tcPr>
          <w:p w14:paraId="5472DA74" w14:textId="77777777" w:rsidR="00524C5E" w:rsidRPr="002029AF" w:rsidRDefault="00524C5E" w:rsidP="00897193">
            <w:pPr>
              <w:pStyle w:val="ARtabletextright"/>
            </w:pPr>
          </w:p>
        </w:tc>
        <w:tc>
          <w:tcPr>
            <w:tcW w:w="514" w:type="pct"/>
            <w:tcBorders>
              <w:top w:val="single" w:sz="4" w:space="0" w:color="BFBFBF"/>
              <w:bottom w:val="single" w:sz="4" w:space="0" w:color="BFBFBF"/>
            </w:tcBorders>
          </w:tcPr>
          <w:p w14:paraId="5533710D" w14:textId="77777777" w:rsidR="00524C5E" w:rsidRPr="002029AF" w:rsidRDefault="00524C5E" w:rsidP="00897193">
            <w:pPr>
              <w:pStyle w:val="ARtabletextright"/>
            </w:pPr>
          </w:p>
        </w:tc>
      </w:tr>
      <w:tr w:rsidR="00524C5E" w:rsidRPr="002029AF" w14:paraId="28C4CFBA" w14:textId="77777777" w:rsidTr="00524C5E">
        <w:tblPrEx>
          <w:tblLook w:val="04A0" w:firstRow="1" w:lastRow="0" w:firstColumn="1" w:lastColumn="0" w:noHBand="0" w:noVBand="1"/>
        </w:tblPrEx>
        <w:trPr>
          <w:cantSplit/>
        </w:trPr>
        <w:tc>
          <w:tcPr>
            <w:tcW w:w="1399" w:type="pct"/>
            <w:tcBorders>
              <w:top w:val="single" w:sz="4" w:space="0" w:color="BFBFBF"/>
              <w:bottom w:val="single" w:sz="4" w:space="0" w:color="BFBFBF"/>
            </w:tcBorders>
            <w:shd w:val="clear" w:color="auto" w:fill="auto"/>
          </w:tcPr>
          <w:p w14:paraId="51F42B77" w14:textId="77777777" w:rsidR="00524C5E" w:rsidRPr="00AF50BC" w:rsidRDefault="00524C5E" w:rsidP="00AF50BC">
            <w:pPr>
              <w:pStyle w:val="ARtabletext"/>
            </w:pPr>
            <w:r w:rsidRPr="00AF50BC">
              <w:t>$300,000–$319,999</w:t>
            </w:r>
          </w:p>
        </w:tc>
        <w:tc>
          <w:tcPr>
            <w:tcW w:w="735" w:type="pct"/>
            <w:tcBorders>
              <w:top w:val="single" w:sz="4" w:space="0" w:color="BFBFBF"/>
              <w:bottom w:val="single" w:sz="4" w:space="0" w:color="BFBFBF"/>
            </w:tcBorders>
            <w:shd w:val="clear" w:color="auto" w:fill="auto"/>
          </w:tcPr>
          <w:p w14:paraId="1F3451D1" w14:textId="77777777" w:rsidR="00524C5E" w:rsidRPr="002029AF" w:rsidRDefault="00524C5E" w:rsidP="00897193">
            <w:pPr>
              <w:pStyle w:val="ARtabletextright"/>
              <w:rPr>
                <w:color w:val="000000" w:themeColor="text1"/>
              </w:rPr>
            </w:pPr>
            <w:r>
              <w:rPr>
                <w:color w:val="000000" w:themeColor="text1"/>
              </w:rPr>
              <w:t>3</w:t>
            </w:r>
          </w:p>
        </w:tc>
        <w:tc>
          <w:tcPr>
            <w:tcW w:w="588" w:type="pct"/>
            <w:tcBorders>
              <w:top w:val="single" w:sz="4" w:space="0" w:color="BFBFBF"/>
              <w:bottom w:val="single" w:sz="4" w:space="0" w:color="BFBFBF"/>
            </w:tcBorders>
            <w:shd w:val="clear" w:color="auto" w:fill="auto"/>
          </w:tcPr>
          <w:p w14:paraId="353393BF" w14:textId="77777777" w:rsidR="00524C5E" w:rsidRPr="002029AF" w:rsidRDefault="00524C5E" w:rsidP="00897193">
            <w:pPr>
              <w:pStyle w:val="ARtabletextright"/>
              <w:rPr>
                <w:color w:val="000000" w:themeColor="text1"/>
              </w:rPr>
            </w:pPr>
          </w:p>
        </w:tc>
        <w:tc>
          <w:tcPr>
            <w:tcW w:w="509" w:type="pct"/>
            <w:tcBorders>
              <w:top w:val="single" w:sz="4" w:space="0" w:color="BFBFBF"/>
              <w:bottom w:val="single" w:sz="4" w:space="0" w:color="BFBFBF"/>
            </w:tcBorders>
            <w:shd w:val="clear" w:color="auto" w:fill="auto"/>
          </w:tcPr>
          <w:p w14:paraId="16B7D18B" w14:textId="77777777" w:rsidR="00524C5E" w:rsidRPr="002029AF" w:rsidRDefault="00524C5E" w:rsidP="00897193">
            <w:pPr>
              <w:pStyle w:val="ARtabletextright"/>
              <w:rPr>
                <w:color w:val="000000" w:themeColor="text1"/>
              </w:rPr>
            </w:pPr>
          </w:p>
        </w:tc>
        <w:tc>
          <w:tcPr>
            <w:tcW w:w="667" w:type="pct"/>
            <w:tcBorders>
              <w:top w:val="single" w:sz="4" w:space="0" w:color="BFBFBF"/>
              <w:bottom w:val="single" w:sz="4" w:space="0" w:color="BFBFBF"/>
            </w:tcBorders>
          </w:tcPr>
          <w:p w14:paraId="24EE7C18" w14:textId="77777777" w:rsidR="00524C5E" w:rsidRPr="002029AF" w:rsidRDefault="00524C5E" w:rsidP="00897193">
            <w:pPr>
              <w:pStyle w:val="ARtabletextright"/>
              <w:rPr>
                <w:color w:val="000000" w:themeColor="text1"/>
              </w:rPr>
            </w:pPr>
          </w:p>
        </w:tc>
        <w:tc>
          <w:tcPr>
            <w:tcW w:w="588" w:type="pct"/>
            <w:tcBorders>
              <w:top w:val="single" w:sz="4" w:space="0" w:color="BFBFBF"/>
              <w:bottom w:val="single" w:sz="4" w:space="0" w:color="BFBFBF"/>
            </w:tcBorders>
          </w:tcPr>
          <w:p w14:paraId="6C1B59D7" w14:textId="77777777" w:rsidR="00524C5E" w:rsidRPr="002029AF" w:rsidRDefault="00524C5E" w:rsidP="00897193">
            <w:pPr>
              <w:pStyle w:val="ARtabletextright"/>
            </w:pPr>
          </w:p>
        </w:tc>
        <w:tc>
          <w:tcPr>
            <w:tcW w:w="514" w:type="pct"/>
            <w:tcBorders>
              <w:top w:val="single" w:sz="4" w:space="0" w:color="BFBFBF"/>
              <w:bottom w:val="single" w:sz="4" w:space="0" w:color="BFBFBF"/>
            </w:tcBorders>
          </w:tcPr>
          <w:p w14:paraId="705284FD" w14:textId="77777777" w:rsidR="00524C5E" w:rsidRPr="002029AF" w:rsidRDefault="00524C5E" w:rsidP="00897193">
            <w:pPr>
              <w:pStyle w:val="ARtabletextright"/>
            </w:pPr>
          </w:p>
        </w:tc>
      </w:tr>
      <w:tr w:rsidR="00524C5E" w:rsidRPr="002029AF" w14:paraId="6DBB4066" w14:textId="77777777" w:rsidTr="00524C5E">
        <w:trPr>
          <w:cantSplit/>
        </w:trPr>
        <w:tc>
          <w:tcPr>
            <w:tcW w:w="1399" w:type="pct"/>
            <w:tcBorders>
              <w:top w:val="single" w:sz="4" w:space="0" w:color="BFBFBF"/>
              <w:bottom w:val="single" w:sz="4" w:space="0" w:color="BFBFBF"/>
            </w:tcBorders>
            <w:shd w:val="clear" w:color="auto" w:fill="auto"/>
          </w:tcPr>
          <w:p w14:paraId="2161E91D" w14:textId="77777777" w:rsidR="00524C5E" w:rsidRPr="00AF50BC" w:rsidRDefault="00524C5E" w:rsidP="00AF50BC">
            <w:pPr>
              <w:pStyle w:val="ARtabletext"/>
            </w:pPr>
            <w:r w:rsidRPr="00AF50BC">
              <w:t>$320,000–$339,999</w:t>
            </w:r>
          </w:p>
        </w:tc>
        <w:tc>
          <w:tcPr>
            <w:tcW w:w="735" w:type="pct"/>
            <w:tcBorders>
              <w:top w:val="single" w:sz="4" w:space="0" w:color="BFBFBF"/>
              <w:bottom w:val="single" w:sz="4" w:space="0" w:color="BFBFBF"/>
            </w:tcBorders>
            <w:shd w:val="clear" w:color="auto" w:fill="auto"/>
          </w:tcPr>
          <w:p w14:paraId="4438CF82" w14:textId="77777777" w:rsidR="00524C5E" w:rsidRPr="002029AF" w:rsidRDefault="00524C5E" w:rsidP="00897193">
            <w:pPr>
              <w:pStyle w:val="ARtabletextright"/>
              <w:rPr>
                <w:color w:val="000000" w:themeColor="text1"/>
              </w:rPr>
            </w:pPr>
            <w:r>
              <w:rPr>
                <w:color w:val="000000" w:themeColor="text1"/>
              </w:rPr>
              <w:t>6</w:t>
            </w:r>
          </w:p>
        </w:tc>
        <w:tc>
          <w:tcPr>
            <w:tcW w:w="588" w:type="pct"/>
            <w:tcBorders>
              <w:top w:val="single" w:sz="4" w:space="0" w:color="BFBFBF"/>
              <w:bottom w:val="single" w:sz="4" w:space="0" w:color="BFBFBF"/>
            </w:tcBorders>
            <w:shd w:val="clear" w:color="auto" w:fill="auto"/>
          </w:tcPr>
          <w:p w14:paraId="527D7D20" w14:textId="77777777" w:rsidR="00524C5E" w:rsidRPr="002029AF" w:rsidRDefault="00524C5E" w:rsidP="00897193">
            <w:pPr>
              <w:pStyle w:val="ARtabletextright"/>
              <w:rPr>
                <w:color w:val="000000" w:themeColor="text1"/>
              </w:rPr>
            </w:pPr>
          </w:p>
        </w:tc>
        <w:tc>
          <w:tcPr>
            <w:tcW w:w="509" w:type="pct"/>
            <w:tcBorders>
              <w:top w:val="single" w:sz="4" w:space="0" w:color="BFBFBF"/>
              <w:bottom w:val="single" w:sz="4" w:space="0" w:color="BFBFBF"/>
            </w:tcBorders>
            <w:shd w:val="clear" w:color="auto" w:fill="auto"/>
          </w:tcPr>
          <w:p w14:paraId="333618BB" w14:textId="77777777" w:rsidR="00524C5E" w:rsidRPr="002029AF" w:rsidRDefault="00524C5E" w:rsidP="00897193">
            <w:pPr>
              <w:pStyle w:val="ARtabletextright"/>
              <w:rPr>
                <w:color w:val="000000" w:themeColor="text1"/>
              </w:rPr>
            </w:pPr>
          </w:p>
        </w:tc>
        <w:tc>
          <w:tcPr>
            <w:tcW w:w="667" w:type="pct"/>
            <w:tcBorders>
              <w:top w:val="single" w:sz="4" w:space="0" w:color="BFBFBF"/>
              <w:bottom w:val="single" w:sz="4" w:space="0" w:color="BFBFBF"/>
            </w:tcBorders>
          </w:tcPr>
          <w:p w14:paraId="3D5F8B2F" w14:textId="02637D27" w:rsidR="00524C5E" w:rsidRPr="002029AF" w:rsidRDefault="00524C5E" w:rsidP="00897193">
            <w:pPr>
              <w:pStyle w:val="ARtabletextright"/>
              <w:rPr>
                <w:color w:val="000000" w:themeColor="text1"/>
              </w:rPr>
            </w:pPr>
            <w:r>
              <w:rPr>
                <w:color w:val="000000" w:themeColor="text1"/>
              </w:rPr>
              <w:t>1</w:t>
            </w:r>
            <w:r w:rsidRPr="00500114">
              <w:rPr>
                <w:color w:val="000000" w:themeColor="text1"/>
                <w:vertAlign w:val="superscript"/>
              </w:rPr>
              <w:t>(</w:t>
            </w:r>
            <w:r w:rsidR="00BB3F1B">
              <w:rPr>
                <w:rStyle w:val="FootnoteReference"/>
                <w:color w:val="000000" w:themeColor="text1"/>
              </w:rPr>
              <w:footnoteReference w:id="18"/>
            </w:r>
            <w:r w:rsidRPr="00500114">
              <w:rPr>
                <w:color w:val="000000" w:themeColor="text1"/>
                <w:vertAlign w:val="superscript"/>
              </w:rPr>
              <w:t>)</w:t>
            </w:r>
          </w:p>
        </w:tc>
        <w:tc>
          <w:tcPr>
            <w:tcW w:w="588" w:type="pct"/>
            <w:tcBorders>
              <w:top w:val="single" w:sz="4" w:space="0" w:color="BFBFBF"/>
              <w:bottom w:val="single" w:sz="4" w:space="0" w:color="BFBFBF"/>
            </w:tcBorders>
          </w:tcPr>
          <w:p w14:paraId="156B6E55" w14:textId="77777777" w:rsidR="00524C5E" w:rsidRPr="002029AF" w:rsidRDefault="00524C5E" w:rsidP="00897193">
            <w:pPr>
              <w:pStyle w:val="ARtabletextright"/>
            </w:pPr>
          </w:p>
        </w:tc>
        <w:tc>
          <w:tcPr>
            <w:tcW w:w="514" w:type="pct"/>
            <w:tcBorders>
              <w:top w:val="single" w:sz="4" w:space="0" w:color="BFBFBF"/>
              <w:bottom w:val="single" w:sz="4" w:space="0" w:color="BFBFBF"/>
            </w:tcBorders>
          </w:tcPr>
          <w:p w14:paraId="557467B4" w14:textId="77777777" w:rsidR="00524C5E" w:rsidRPr="002029AF" w:rsidRDefault="00524C5E" w:rsidP="00897193">
            <w:pPr>
              <w:pStyle w:val="ARtabletextright"/>
            </w:pPr>
          </w:p>
        </w:tc>
      </w:tr>
      <w:tr w:rsidR="00524C5E" w:rsidRPr="002029AF" w14:paraId="726F57B0" w14:textId="77777777" w:rsidTr="00524C5E">
        <w:trPr>
          <w:cantSplit/>
        </w:trPr>
        <w:tc>
          <w:tcPr>
            <w:tcW w:w="1399" w:type="pct"/>
            <w:tcBorders>
              <w:top w:val="single" w:sz="4" w:space="0" w:color="BFBFBF"/>
              <w:bottom w:val="single" w:sz="4" w:space="0" w:color="BFBFBF"/>
            </w:tcBorders>
            <w:shd w:val="clear" w:color="auto" w:fill="auto"/>
          </w:tcPr>
          <w:p w14:paraId="43A28B5B" w14:textId="77777777" w:rsidR="00524C5E" w:rsidRPr="00AF50BC" w:rsidRDefault="00524C5E" w:rsidP="00AF50BC">
            <w:pPr>
              <w:pStyle w:val="ARtabletext"/>
            </w:pPr>
            <w:r w:rsidRPr="00AF50BC">
              <w:t>$340,000–$359,999</w:t>
            </w:r>
          </w:p>
        </w:tc>
        <w:tc>
          <w:tcPr>
            <w:tcW w:w="735" w:type="pct"/>
            <w:tcBorders>
              <w:top w:val="single" w:sz="4" w:space="0" w:color="BFBFBF"/>
              <w:bottom w:val="single" w:sz="4" w:space="0" w:color="BFBFBF"/>
            </w:tcBorders>
            <w:shd w:val="clear" w:color="auto" w:fill="auto"/>
          </w:tcPr>
          <w:p w14:paraId="4DC8F71A" w14:textId="4ABA5BCF" w:rsidR="00524C5E" w:rsidRPr="002029AF" w:rsidRDefault="00EF469D" w:rsidP="00897193">
            <w:pPr>
              <w:pStyle w:val="ARtabletextright"/>
              <w:rPr>
                <w:color w:val="000000" w:themeColor="text1"/>
              </w:rPr>
            </w:pPr>
            <w:r>
              <w:rPr>
                <w:color w:val="000000" w:themeColor="text1"/>
              </w:rPr>
              <w:t>2</w:t>
            </w:r>
          </w:p>
        </w:tc>
        <w:tc>
          <w:tcPr>
            <w:tcW w:w="588" w:type="pct"/>
            <w:tcBorders>
              <w:top w:val="single" w:sz="4" w:space="0" w:color="BFBFBF"/>
              <w:bottom w:val="single" w:sz="4" w:space="0" w:color="BFBFBF"/>
            </w:tcBorders>
            <w:shd w:val="clear" w:color="auto" w:fill="auto"/>
          </w:tcPr>
          <w:p w14:paraId="31BC8081" w14:textId="77777777" w:rsidR="00524C5E" w:rsidRPr="002029AF" w:rsidRDefault="00524C5E" w:rsidP="00897193">
            <w:pPr>
              <w:pStyle w:val="ARtabletextright"/>
              <w:rPr>
                <w:color w:val="000000" w:themeColor="text1"/>
              </w:rPr>
            </w:pPr>
          </w:p>
        </w:tc>
        <w:tc>
          <w:tcPr>
            <w:tcW w:w="509" w:type="pct"/>
            <w:tcBorders>
              <w:top w:val="single" w:sz="4" w:space="0" w:color="BFBFBF"/>
              <w:bottom w:val="single" w:sz="4" w:space="0" w:color="BFBFBF"/>
            </w:tcBorders>
            <w:shd w:val="clear" w:color="auto" w:fill="auto"/>
          </w:tcPr>
          <w:p w14:paraId="279AA976" w14:textId="77777777" w:rsidR="00524C5E" w:rsidRPr="002029AF" w:rsidRDefault="00524C5E" w:rsidP="00897193">
            <w:pPr>
              <w:pStyle w:val="ARtabletextright"/>
              <w:rPr>
                <w:color w:val="000000" w:themeColor="text1"/>
              </w:rPr>
            </w:pPr>
          </w:p>
        </w:tc>
        <w:tc>
          <w:tcPr>
            <w:tcW w:w="667" w:type="pct"/>
            <w:tcBorders>
              <w:top w:val="single" w:sz="4" w:space="0" w:color="BFBFBF"/>
              <w:bottom w:val="single" w:sz="4" w:space="0" w:color="BFBFBF"/>
            </w:tcBorders>
          </w:tcPr>
          <w:p w14:paraId="7363CA1D" w14:textId="77777777" w:rsidR="00524C5E" w:rsidRPr="002029AF" w:rsidRDefault="00524C5E" w:rsidP="00897193">
            <w:pPr>
              <w:pStyle w:val="ARtabletextright"/>
              <w:rPr>
                <w:color w:val="000000" w:themeColor="text1"/>
              </w:rPr>
            </w:pPr>
            <w:r>
              <w:rPr>
                <w:color w:val="000000" w:themeColor="text1"/>
              </w:rPr>
              <w:t>1</w:t>
            </w:r>
          </w:p>
        </w:tc>
        <w:tc>
          <w:tcPr>
            <w:tcW w:w="588" w:type="pct"/>
            <w:tcBorders>
              <w:top w:val="single" w:sz="4" w:space="0" w:color="BFBFBF"/>
              <w:bottom w:val="single" w:sz="4" w:space="0" w:color="BFBFBF"/>
            </w:tcBorders>
          </w:tcPr>
          <w:p w14:paraId="564DA7DB" w14:textId="77777777" w:rsidR="00524C5E" w:rsidRPr="002029AF" w:rsidRDefault="00524C5E" w:rsidP="00897193">
            <w:pPr>
              <w:pStyle w:val="ARtabletextright"/>
            </w:pPr>
          </w:p>
        </w:tc>
        <w:tc>
          <w:tcPr>
            <w:tcW w:w="514" w:type="pct"/>
            <w:tcBorders>
              <w:top w:val="single" w:sz="4" w:space="0" w:color="BFBFBF"/>
              <w:bottom w:val="single" w:sz="4" w:space="0" w:color="BFBFBF"/>
            </w:tcBorders>
          </w:tcPr>
          <w:p w14:paraId="7C2D56FE" w14:textId="77777777" w:rsidR="00524C5E" w:rsidRPr="002029AF" w:rsidRDefault="00524C5E" w:rsidP="00897193">
            <w:pPr>
              <w:pStyle w:val="ARtabletextright"/>
            </w:pPr>
          </w:p>
        </w:tc>
      </w:tr>
      <w:tr w:rsidR="00524C5E" w:rsidRPr="002029AF" w14:paraId="2482924A" w14:textId="77777777" w:rsidTr="00524C5E">
        <w:trPr>
          <w:cantSplit/>
        </w:trPr>
        <w:tc>
          <w:tcPr>
            <w:tcW w:w="1399" w:type="pct"/>
            <w:tcBorders>
              <w:top w:val="single" w:sz="4" w:space="0" w:color="BFBFBF"/>
              <w:bottom w:val="single" w:sz="4" w:space="0" w:color="BFBFBF"/>
            </w:tcBorders>
            <w:shd w:val="clear" w:color="auto" w:fill="auto"/>
          </w:tcPr>
          <w:p w14:paraId="3484003C" w14:textId="77777777" w:rsidR="00524C5E" w:rsidRPr="00AF50BC" w:rsidRDefault="00524C5E" w:rsidP="00AF50BC">
            <w:pPr>
              <w:pStyle w:val="ARtabletext"/>
            </w:pPr>
            <w:r w:rsidRPr="00AF50BC">
              <w:t>$360,000–$379,999</w:t>
            </w:r>
          </w:p>
        </w:tc>
        <w:tc>
          <w:tcPr>
            <w:tcW w:w="735" w:type="pct"/>
            <w:tcBorders>
              <w:top w:val="single" w:sz="4" w:space="0" w:color="BFBFBF"/>
              <w:bottom w:val="single" w:sz="4" w:space="0" w:color="BFBFBF"/>
            </w:tcBorders>
            <w:shd w:val="clear" w:color="auto" w:fill="auto"/>
          </w:tcPr>
          <w:p w14:paraId="4709DD08" w14:textId="649272A4" w:rsidR="00524C5E" w:rsidRPr="002029AF" w:rsidRDefault="00524C5E" w:rsidP="00897193">
            <w:pPr>
              <w:pStyle w:val="ARtabletextright"/>
              <w:rPr>
                <w:color w:val="000000" w:themeColor="text1"/>
              </w:rPr>
            </w:pPr>
          </w:p>
        </w:tc>
        <w:tc>
          <w:tcPr>
            <w:tcW w:w="588" w:type="pct"/>
            <w:tcBorders>
              <w:top w:val="single" w:sz="4" w:space="0" w:color="BFBFBF"/>
              <w:bottom w:val="single" w:sz="4" w:space="0" w:color="BFBFBF"/>
            </w:tcBorders>
            <w:shd w:val="clear" w:color="auto" w:fill="auto"/>
          </w:tcPr>
          <w:p w14:paraId="60715093" w14:textId="77777777" w:rsidR="00524C5E" w:rsidRPr="002029AF" w:rsidRDefault="00524C5E" w:rsidP="00897193">
            <w:pPr>
              <w:pStyle w:val="ARtabletextright"/>
              <w:rPr>
                <w:color w:val="000000" w:themeColor="text1"/>
              </w:rPr>
            </w:pPr>
          </w:p>
        </w:tc>
        <w:tc>
          <w:tcPr>
            <w:tcW w:w="509" w:type="pct"/>
            <w:tcBorders>
              <w:top w:val="single" w:sz="4" w:space="0" w:color="BFBFBF"/>
              <w:bottom w:val="single" w:sz="4" w:space="0" w:color="BFBFBF"/>
            </w:tcBorders>
            <w:shd w:val="clear" w:color="auto" w:fill="auto"/>
          </w:tcPr>
          <w:p w14:paraId="762CFAFB" w14:textId="77777777" w:rsidR="00524C5E" w:rsidRPr="002029AF" w:rsidRDefault="00524C5E" w:rsidP="00897193">
            <w:pPr>
              <w:pStyle w:val="ARtabletextright"/>
              <w:rPr>
                <w:color w:val="000000" w:themeColor="text1"/>
              </w:rPr>
            </w:pPr>
          </w:p>
        </w:tc>
        <w:tc>
          <w:tcPr>
            <w:tcW w:w="667" w:type="pct"/>
            <w:tcBorders>
              <w:top w:val="single" w:sz="4" w:space="0" w:color="BFBFBF"/>
              <w:bottom w:val="single" w:sz="4" w:space="0" w:color="BFBFBF"/>
            </w:tcBorders>
          </w:tcPr>
          <w:p w14:paraId="36A55862" w14:textId="77777777" w:rsidR="00524C5E" w:rsidRPr="002029AF" w:rsidRDefault="00524C5E" w:rsidP="00897193">
            <w:pPr>
              <w:pStyle w:val="ARtabletextright"/>
              <w:rPr>
                <w:color w:val="000000" w:themeColor="text1"/>
              </w:rPr>
            </w:pPr>
            <w:r>
              <w:rPr>
                <w:color w:val="000000" w:themeColor="text1"/>
              </w:rPr>
              <w:t>2</w:t>
            </w:r>
          </w:p>
        </w:tc>
        <w:tc>
          <w:tcPr>
            <w:tcW w:w="588" w:type="pct"/>
            <w:tcBorders>
              <w:top w:val="single" w:sz="4" w:space="0" w:color="BFBFBF"/>
              <w:bottom w:val="single" w:sz="4" w:space="0" w:color="BFBFBF"/>
            </w:tcBorders>
          </w:tcPr>
          <w:p w14:paraId="003C8258" w14:textId="77777777" w:rsidR="00524C5E" w:rsidRPr="002029AF" w:rsidRDefault="00524C5E" w:rsidP="00897193">
            <w:pPr>
              <w:pStyle w:val="ARtabletextright"/>
            </w:pPr>
          </w:p>
        </w:tc>
        <w:tc>
          <w:tcPr>
            <w:tcW w:w="514" w:type="pct"/>
            <w:tcBorders>
              <w:top w:val="single" w:sz="4" w:space="0" w:color="BFBFBF"/>
              <w:bottom w:val="single" w:sz="4" w:space="0" w:color="BFBFBF"/>
            </w:tcBorders>
          </w:tcPr>
          <w:p w14:paraId="2C611C2C" w14:textId="77777777" w:rsidR="00524C5E" w:rsidRPr="002029AF" w:rsidRDefault="00524C5E" w:rsidP="00897193">
            <w:pPr>
              <w:pStyle w:val="ARtabletextright"/>
            </w:pPr>
          </w:p>
        </w:tc>
      </w:tr>
      <w:tr w:rsidR="00524C5E" w:rsidRPr="002029AF" w14:paraId="35D6313C" w14:textId="77777777" w:rsidTr="00524C5E">
        <w:trPr>
          <w:cantSplit/>
        </w:trPr>
        <w:tc>
          <w:tcPr>
            <w:tcW w:w="1399" w:type="pct"/>
            <w:tcBorders>
              <w:top w:val="single" w:sz="4" w:space="0" w:color="BFBFBF"/>
              <w:bottom w:val="single" w:sz="4" w:space="0" w:color="BFBFBF"/>
            </w:tcBorders>
            <w:shd w:val="clear" w:color="auto" w:fill="auto"/>
          </w:tcPr>
          <w:p w14:paraId="4032DBA0" w14:textId="77777777" w:rsidR="00524C5E" w:rsidRPr="00AF50BC" w:rsidRDefault="00524C5E" w:rsidP="00AF50BC">
            <w:pPr>
              <w:pStyle w:val="ARtabletext"/>
            </w:pPr>
            <w:r w:rsidRPr="00AF50BC">
              <w:t>$380,000–$399,999</w:t>
            </w:r>
          </w:p>
        </w:tc>
        <w:tc>
          <w:tcPr>
            <w:tcW w:w="735" w:type="pct"/>
            <w:tcBorders>
              <w:top w:val="single" w:sz="4" w:space="0" w:color="BFBFBF"/>
              <w:bottom w:val="single" w:sz="4" w:space="0" w:color="BFBFBF"/>
            </w:tcBorders>
            <w:shd w:val="clear" w:color="auto" w:fill="auto"/>
          </w:tcPr>
          <w:p w14:paraId="7A20728C" w14:textId="77777777" w:rsidR="00524C5E" w:rsidRPr="002029AF" w:rsidRDefault="00524C5E" w:rsidP="00897193">
            <w:pPr>
              <w:pStyle w:val="ARtabletextright"/>
              <w:rPr>
                <w:color w:val="000000" w:themeColor="text1"/>
              </w:rPr>
            </w:pPr>
            <w:r>
              <w:rPr>
                <w:color w:val="000000" w:themeColor="text1"/>
              </w:rPr>
              <w:t>1</w:t>
            </w:r>
          </w:p>
        </w:tc>
        <w:tc>
          <w:tcPr>
            <w:tcW w:w="588" w:type="pct"/>
            <w:tcBorders>
              <w:top w:val="single" w:sz="4" w:space="0" w:color="BFBFBF"/>
              <w:bottom w:val="single" w:sz="4" w:space="0" w:color="BFBFBF"/>
            </w:tcBorders>
            <w:shd w:val="clear" w:color="auto" w:fill="auto"/>
          </w:tcPr>
          <w:p w14:paraId="49D75481" w14:textId="77777777" w:rsidR="00524C5E" w:rsidRPr="002029AF" w:rsidRDefault="00524C5E" w:rsidP="00897193">
            <w:pPr>
              <w:pStyle w:val="ARtabletextright"/>
              <w:rPr>
                <w:color w:val="000000" w:themeColor="text1"/>
              </w:rPr>
            </w:pPr>
          </w:p>
        </w:tc>
        <w:tc>
          <w:tcPr>
            <w:tcW w:w="509" w:type="pct"/>
            <w:tcBorders>
              <w:top w:val="single" w:sz="4" w:space="0" w:color="BFBFBF"/>
              <w:bottom w:val="single" w:sz="4" w:space="0" w:color="BFBFBF"/>
            </w:tcBorders>
            <w:shd w:val="clear" w:color="auto" w:fill="auto"/>
          </w:tcPr>
          <w:p w14:paraId="64D1A537" w14:textId="77777777" w:rsidR="00524C5E" w:rsidRPr="002029AF" w:rsidRDefault="00524C5E" w:rsidP="00897193">
            <w:pPr>
              <w:pStyle w:val="ARtabletextright"/>
              <w:rPr>
                <w:color w:val="000000" w:themeColor="text1"/>
              </w:rPr>
            </w:pPr>
          </w:p>
        </w:tc>
        <w:tc>
          <w:tcPr>
            <w:tcW w:w="667" w:type="pct"/>
            <w:tcBorders>
              <w:top w:val="single" w:sz="4" w:space="0" w:color="BFBFBF"/>
              <w:bottom w:val="single" w:sz="4" w:space="0" w:color="BFBFBF"/>
            </w:tcBorders>
          </w:tcPr>
          <w:p w14:paraId="59BC0C57" w14:textId="3EE65FBF" w:rsidR="00524C5E" w:rsidRPr="002029AF" w:rsidRDefault="00524C5E" w:rsidP="00897193">
            <w:pPr>
              <w:pStyle w:val="ARtabletextright"/>
              <w:rPr>
                <w:color w:val="000000" w:themeColor="text1"/>
              </w:rPr>
            </w:pPr>
            <w:r>
              <w:rPr>
                <w:color w:val="000000" w:themeColor="text1"/>
              </w:rPr>
              <w:t>1</w:t>
            </w:r>
            <w:r w:rsidRPr="00500114">
              <w:rPr>
                <w:color w:val="000000" w:themeColor="text1"/>
                <w:vertAlign w:val="superscript"/>
              </w:rPr>
              <w:t>(</w:t>
            </w:r>
            <w:r w:rsidR="00BB3F1B">
              <w:rPr>
                <w:rStyle w:val="FootnoteReference"/>
                <w:color w:val="000000" w:themeColor="text1"/>
              </w:rPr>
              <w:footnoteReference w:id="19"/>
            </w:r>
            <w:r w:rsidRPr="00500114">
              <w:rPr>
                <w:color w:val="000000" w:themeColor="text1"/>
                <w:vertAlign w:val="superscript"/>
              </w:rPr>
              <w:t>)</w:t>
            </w:r>
          </w:p>
        </w:tc>
        <w:tc>
          <w:tcPr>
            <w:tcW w:w="588" w:type="pct"/>
            <w:tcBorders>
              <w:top w:val="single" w:sz="4" w:space="0" w:color="BFBFBF"/>
              <w:bottom w:val="single" w:sz="4" w:space="0" w:color="BFBFBF"/>
            </w:tcBorders>
          </w:tcPr>
          <w:p w14:paraId="1E324BE3" w14:textId="77777777" w:rsidR="00524C5E" w:rsidRPr="002029AF" w:rsidRDefault="00524C5E" w:rsidP="00897193">
            <w:pPr>
              <w:pStyle w:val="ARtabletextright"/>
            </w:pPr>
          </w:p>
        </w:tc>
        <w:tc>
          <w:tcPr>
            <w:tcW w:w="514" w:type="pct"/>
            <w:tcBorders>
              <w:top w:val="single" w:sz="4" w:space="0" w:color="BFBFBF"/>
              <w:bottom w:val="single" w:sz="4" w:space="0" w:color="BFBFBF"/>
            </w:tcBorders>
          </w:tcPr>
          <w:p w14:paraId="0A95F49F" w14:textId="77777777" w:rsidR="00524C5E" w:rsidRPr="002029AF" w:rsidRDefault="00524C5E" w:rsidP="00897193">
            <w:pPr>
              <w:pStyle w:val="ARtabletextright"/>
            </w:pPr>
          </w:p>
        </w:tc>
      </w:tr>
      <w:tr w:rsidR="00524C5E" w:rsidRPr="002029AF" w14:paraId="4EE04056" w14:textId="77777777" w:rsidTr="00524C5E">
        <w:trPr>
          <w:cantSplit/>
        </w:trPr>
        <w:tc>
          <w:tcPr>
            <w:tcW w:w="1399" w:type="pct"/>
            <w:tcBorders>
              <w:top w:val="single" w:sz="4" w:space="0" w:color="BFBFBF"/>
              <w:bottom w:val="single" w:sz="4" w:space="0" w:color="BFBFBF"/>
            </w:tcBorders>
            <w:shd w:val="clear" w:color="auto" w:fill="auto"/>
          </w:tcPr>
          <w:p w14:paraId="752B8A7C" w14:textId="77777777" w:rsidR="00524C5E" w:rsidRPr="00AF50BC" w:rsidRDefault="00524C5E" w:rsidP="00AF50BC">
            <w:pPr>
              <w:pStyle w:val="ARtabletext"/>
            </w:pPr>
            <w:r w:rsidRPr="00AF50BC">
              <w:t>$400,000–$419,999</w:t>
            </w:r>
          </w:p>
        </w:tc>
        <w:tc>
          <w:tcPr>
            <w:tcW w:w="735" w:type="pct"/>
            <w:tcBorders>
              <w:top w:val="single" w:sz="4" w:space="0" w:color="BFBFBF"/>
              <w:bottom w:val="single" w:sz="4" w:space="0" w:color="BFBFBF"/>
            </w:tcBorders>
            <w:shd w:val="clear" w:color="auto" w:fill="auto"/>
          </w:tcPr>
          <w:p w14:paraId="226CA006" w14:textId="77777777" w:rsidR="00524C5E" w:rsidRPr="002029AF" w:rsidRDefault="00524C5E" w:rsidP="00897193">
            <w:pPr>
              <w:pStyle w:val="ARtabletextright"/>
              <w:rPr>
                <w:color w:val="000000" w:themeColor="text1"/>
              </w:rPr>
            </w:pPr>
          </w:p>
        </w:tc>
        <w:tc>
          <w:tcPr>
            <w:tcW w:w="588" w:type="pct"/>
            <w:tcBorders>
              <w:top w:val="single" w:sz="4" w:space="0" w:color="BFBFBF"/>
              <w:bottom w:val="single" w:sz="4" w:space="0" w:color="BFBFBF"/>
            </w:tcBorders>
            <w:shd w:val="clear" w:color="auto" w:fill="auto"/>
          </w:tcPr>
          <w:p w14:paraId="3C43CC17" w14:textId="77777777" w:rsidR="00524C5E" w:rsidRPr="002029AF" w:rsidRDefault="00524C5E" w:rsidP="00897193">
            <w:pPr>
              <w:pStyle w:val="ARtabletextright"/>
              <w:rPr>
                <w:color w:val="000000" w:themeColor="text1"/>
              </w:rPr>
            </w:pPr>
          </w:p>
        </w:tc>
        <w:tc>
          <w:tcPr>
            <w:tcW w:w="509" w:type="pct"/>
            <w:tcBorders>
              <w:top w:val="single" w:sz="4" w:space="0" w:color="BFBFBF"/>
              <w:bottom w:val="single" w:sz="4" w:space="0" w:color="BFBFBF"/>
            </w:tcBorders>
            <w:shd w:val="clear" w:color="auto" w:fill="auto"/>
          </w:tcPr>
          <w:p w14:paraId="0FF953E4" w14:textId="77777777" w:rsidR="00524C5E" w:rsidRPr="002029AF" w:rsidRDefault="00524C5E" w:rsidP="00897193">
            <w:pPr>
              <w:pStyle w:val="ARtabletextright"/>
              <w:rPr>
                <w:color w:val="000000" w:themeColor="text1"/>
              </w:rPr>
            </w:pPr>
          </w:p>
        </w:tc>
        <w:tc>
          <w:tcPr>
            <w:tcW w:w="667" w:type="pct"/>
            <w:tcBorders>
              <w:top w:val="single" w:sz="4" w:space="0" w:color="BFBFBF"/>
              <w:bottom w:val="single" w:sz="4" w:space="0" w:color="BFBFBF"/>
            </w:tcBorders>
          </w:tcPr>
          <w:p w14:paraId="6B141AE2" w14:textId="77777777" w:rsidR="00524C5E" w:rsidRPr="002029AF" w:rsidRDefault="00524C5E" w:rsidP="00897193">
            <w:pPr>
              <w:pStyle w:val="ARtabletextright"/>
              <w:rPr>
                <w:color w:val="000000" w:themeColor="text1"/>
              </w:rPr>
            </w:pPr>
          </w:p>
        </w:tc>
        <w:tc>
          <w:tcPr>
            <w:tcW w:w="588" w:type="pct"/>
            <w:tcBorders>
              <w:top w:val="single" w:sz="4" w:space="0" w:color="BFBFBF"/>
              <w:bottom w:val="single" w:sz="4" w:space="0" w:color="BFBFBF"/>
            </w:tcBorders>
          </w:tcPr>
          <w:p w14:paraId="7D582DC2" w14:textId="77777777" w:rsidR="00524C5E" w:rsidRPr="002029AF" w:rsidRDefault="00524C5E" w:rsidP="00897193">
            <w:pPr>
              <w:pStyle w:val="ARtabletextright"/>
            </w:pPr>
          </w:p>
        </w:tc>
        <w:tc>
          <w:tcPr>
            <w:tcW w:w="514" w:type="pct"/>
            <w:tcBorders>
              <w:top w:val="single" w:sz="4" w:space="0" w:color="BFBFBF"/>
              <w:bottom w:val="single" w:sz="4" w:space="0" w:color="BFBFBF"/>
            </w:tcBorders>
          </w:tcPr>
          <w:p w14:paraId="3AE06DC7" w14:textId="77777777" w:rsidR="00524C5E" w:rsidRPr="002029AF" w:rsidRDefault="00524C5E" w:rsidP="00897193">
            <w:pPr>
              <w:pStyle w:val="ARtabletextright"/>
            </w:pPr>
          </w:p>
        </w:tc>
      </w:tr>
      <w:tr w:rsidR="00524C5E" w:rsidRPr="002029AF" w14:paraId="2F904F87" w14:textId="77777777" w:rsidTr="00524C5E">
        <w:trPr>
          <w:cantSplit/>
        </w:trPr>
        <w:tc>
          <w:tcPr>
            <w:tcW w:w="1399" w:type="pct"/>
            <w:tcBorders>
              <w:top w:val="single" w:sz="4" w:space="0" w:color="BFBFBF"/>
              <w:bottom w:val="single" w:sz="4" w:space="0" w:color="BFBFBF"/>
            </w:tcBorders>
            <w:shd w:val="clear" w:color="auto" w:fill="auto"/>
          </w:tcPr>
          <w:p w14:paraId="0C11034E" w14:textId="77777777" w:rsidR="00524C5E" w:rsidRPr="00AF50BC" w:rsidRDefault="00524C5E" w:rsidP="00AF50BC">
            <w:pPr>
              <w:pStyle w:val="ARtabletext"/>
            </w:pPr>
            <w:r w:rsidRPr="00AF50BC">
              <w:t>$420,000–$439,999</w:t>
            </w:r>
          </w:p>
        </w:tc>
        <w:tc>
          <w:tcPr>
            <w:tcW w:w="735" w:type="pct"/>
            <w:tcBorders>
              <w:top w:val="single" w:sz="4" w:space="0" w:color="BFBFBF"/>
              <w:bottom w:val="single" w:sz="4" w:space="0" w:color="BFBFBF"/>
            </w:tcBorders>
            <w:shd w:val="clear" w:color="auto" w:fill="auto"/>
          </w:tcPr>
          <w:p w14:paraId="03B87592" w14:textId="77777777" w:rsidR="00524C5E" w:rsidRPr="002029AF" w:rsidRDefault="00524C5E" w:rsidP="00897193">
            <w:pPr>
              <w:pStyle w:val="ARtabletextright"/>
              <w:rPr>
                <w:color w:val="000000" w:themeColor="text1"/>
              </w:rPr>
            </w:pPr>
            <w:r>
              <w:rPr>
                <w:color w:val="000000" w:themeColor="text1"/>
              </w:rPr>
              <w:t>2</w:t>
            </w:r>
          </w:p>
        </w:tc>
        <w:tc>
          <w:tcPr>
            <w:tcW w:w="588" w:type="pct"/>
            <w:tcBorders>
              <w:top w:val="single" w:sz="4" w:space="0" w:color="BFBFBF"/>
              <w:bottom w:val="single" w:sz="4" w:space="0" w:color="BFBFBF"/>
            </w:tcBorders>
            <w:shd w:val="clear" w:color="auto" w:fill="auto"/>
          </w:tcPr>
          <w:p w14:paraId="56831849" w14:textId="77777777" w:rsidR="00524C5E" w:rsidRPr="002029AF" w:rsidRDefault="00524C5E" w:rsidP="00897193">
            <w:pPr>
              <w:pStyle w:val="ARtabletextright"/>
              <w:rPr>
                <w:color w:val="000000" w:themeColor="text1"/>
              </w:rPr>
            </w:pPr>
          </w:p>
        </w:tc>
        <w:tc>
          <w:tcPr>
            <w:tcW w:w="509" w:type="pct"/>
            <w:tcBorders>
              <w:top w:val="single" w:sz="4" w:space="0" w:color="BFBFBF"/>
              <w:bottom w:val="single" w:sz="4" w:space="0" w:color="BFBFBF"/>
            </w:tcBorders>
            <w:shd w:val="clear" w:color="auto" w:fill="auto"/>
          </w:tcPr>
          <w:p w14:paraId="7E4795D6" w14:textId="77777777" w:rsidR="00524C5E" w:rsidRPr="002029AF" w:rsidRDefault="00524C5E" w:rsidP="00897193">
            <w:pPr>
              <w:pStyle w:val="ARtabletextright"/>
              <w:rPr>
                <w:color w:val="000000" w:themeColor="text1"/>
              </w:rPr>
            </w:pPr>
          </w:p>
        </w:tc>
        <w:tc>
          <w:tcPr>
            <w:tcW w:w="667" w:type="pct"/>
            <w:tcBorders>
              <w:top w:val="single" w:sz="4" w:space="0" w:color="BFBFBF"/>
              <w:bottom w:val="single" w:sz="4" w:space="0" w:color="BFBFBF"/>
            </w:tcBorders>
          </w:tcPr>
          <w:p w14:paraId="1B4C3379" w14:textId="77777777" w:rsidR="00524C5E" w:rsidRPr="002029AF" w:rsidRDefault="00524C5E" w:rsidP="00897193">
            <w:pPr>
              <w:pStyle w:val="ARtabletextright"/>
              <w:rPr>
                <w:color w:val="000000" w:themeColor="text1"/>
              </w:rPr>
            </w:pPr>
          </w:p>
        </w:tc>
        <w:tc>
          <w:tcPr>
            <w:tcW w:w="588" w:type="pct"/>
            <w:tcBorders>
              <w:top w:val="single" w:sz="4" w:space="0" w:color="BFBFBF"/>
              <w:bottom w:val="single" w:sz="4" w:space="0" w:color="BFBFBF"/>
            </w:tcBorders>
          </w:tcPr>
          <w:p w14:paraId="555F5ED4" w14:textId="77777777" w:rsidR="00524C5E" w:rsidRPr="002029AF" w:rsidRDefault="00524C5E" w:rsidP="00897193">
            <w:pPr>
              <w:pStyle w:val="ARtabletextright"/>
            </w:pPr>
          </w:p>
        </w:tc>
        <w:tc>
          <w:tcPr>
            <w:tcW w:w="514" w:type="pct"/>
            <w:tcBorders>
              <w:top w:val="single" w:sz="4" w:space="0" w:color="BFBFBF"/>
              <w:bottom w:val="single" w:sz="4" w:space="0" w:color="BFBFBF"/>
            </w:tcBorders>
          </w:tcPr>
          <w:p w14:paraId="46C5DBDC" w14:textId="77777777" w:rsidR="00524C5E" w:rsidRPr="002029AF" w:rsidRDefault="00524C5E" w:rsidP="00897193">
            <w:pPr>
              <w:pStyle w:val="ARtabletextright"/>
            </w:pPr>
          </w:p>
        </w:tc>
      </w:tr>
      <w:tr w:rsidR="00524C5E" w:rsidRPr="002029AF" w14:paraId="0A1D01C4" w14:textId="77777777" w:rsidTr="00524C5E">
        <w:tblPrEx>
          <w:tblLook w:val="04A0" w:firstRow="1" w:lastRow="0" w:firstColumn="1" w:lastColumn="0" w:noHBand="0" w:noVBand="1"/>
        </w:tblPrEx>
        <w:trPr>
          <w:cantSplit/>
        </w:trPr>
        <w:tc>
          <w:tcPr>
            <w:tcW w:w="1399" w:type="pct"/>
            <w:tcBorders>
              <w:top w:val="single" w:sz="4" w:space="0" w:color="BFBFBF"/>
              <w:bottom w:val="single" w:sz="4" w:space="0" w:color="BFBFBF"/>
            </w:tcBorders>
            <w:shd w:val="clear" w:color="auto" w:fill="auto"/>
          </w:tcPr>
          <w:p w14:paraId="4E47C842" w14:textId="77777777" w:rsidR="00524C5E" w:rsidRPr="00AF50BC" w:rsidRDefault="00524C5E" w:rsidP="00AF50BC">
            <w:pPr>
              <w:pStyle w:val="ARtabletext"/>
            </w:pPr>
            <w:r w:rsidRPr="00AF50BC">
              <w:t>$440,000–$459,999</w:t>
            </w:r>
          </w:p>
        </w:tc>
        <w:tc>
          <w:tcPr>
            <w:tcW w:w="735" w:type="pct"/>
            <w:tcBorders>
              <w:top w:val="single" w:sz="4" w:space="0" w:color="BFBFBF"/>
              <w:bottom w:val="single" w:sz="4" w:space="0" w:color="BFBFBF"/>
            </w:tcBorders>
            <w:shd w:val="clear" w:color="auto" w:fill="auto"/>
          </w:tcPr>
          <w:p w14:paraId="32DA5A21" w14:textId="290D4983" w:rsidR="00524C5E" w:rsidRPr="002029AF" w:rsidRDefault="00524C5E" w:rsidP="00897193">
            <w:pPr>
              <w:pStyle w:val="ARtabletextright"/>
              <w:rPr>
                <w:color w:val="000000" w:themeColor="text1"/>
              </w:rPr>
            </w:pPr>
          </w:p>
        </w:tc>
        <w:tc>
          <w:tcPr>
            <w:tcW w:w="588" w:type="pct"/>
            <w:tcBorders>
              <w:top w:val="single" w:sz="4" w:space="0" w:color="BFBFBF"/>
              <w:bottom w:val="single" w:sz="4" w:space="0" w:color="BFBFBF"/>
            </w:tcBorders>
            <w:shd w:val="clear" w:color="auto" w:fill="auto"/>
          </w:tcPr>
          <w:p w14:paraId="7DC068C5" w14:textId="77777777" w:rsidR="00524C5E" w:rsidRPr="002029AF" w:rsidRDefault="00524C5E" w:rsidP="00897193">
            <w:pPr>
              <w:pStyle w:val="ARtabletextright"/>
              <w:rPr>
                <w:color w:val="000000" w:themeColor="text1"/>
              </w:rPr>
            </w:pPr>
          </w:p>
        </w:tc>
        <w:tc>
          <w:tcPr>
            <w:tcW w:w="509" w:type="pct"/>
            <w:tcBorders>
              <w:top w:val="single" w:sz="4" w:space="0" w:color="BFBFBF"/>
              <w:bottom w:val="single" w:sz="4" w:space="0" w:color="BFBFBF"/>
            </w:tcBorders>
            <w:shd w:val="clear" w:color="auto" w:fill="auto"/>
          </w:tcPr>
          <w:p w14:paraId="59804407" w14:textId="77777777" w:rsidR="00524C5E" w:rsidRPr="002029AF" w:rsidRDefault="00524C5E" w:rsidP="00897193">
            <w:pPr>
              <w:pStyle w:val="ARtabletextright"/>
              <w:rPr>
                <w:color w:val="000000" w:themeColor="text1"/>
              </w:rPr>
            </w:pPr>
          </w:p>
        </w:tc>
        <w:tc>
          <w:tcPr>
            <w:tcW w:w="667" w:type="pct"/>
            <w:tcBorders>
              <w:top w:val="single" w:sz="4" w:space="0" w:color="BFBFBF"/>
              <w:bottom w:val="single" w:sz="4" w:space="0" w:color="BFBFBF"/>
            </w:tcBorders>
          </w:tcPr>
          <w:p w14:paraId="28BEA121" w14:textId="77777777" w:rsidR="00524C5E" w:rsidRPr="002029AF" w:rsidRDefault="00524C5E" w:rsidP="00897193">
            <w:pPr>
              <w:pStyle w:val="ARtabletextright"/>
              <w:rPr>
                <w:color w:val="000000" w:themeColor="text1"/>
              </w:rPr>
            </w:pPr>
          </w:p>
        </w:tc>
        <w:tc>
          <w:tcPr>
            <w:tcW w:w="588" w:type="pct"/>
            <w:tcBorders>
              <w:top w:val="single" w:sz="4" w:space="0" w:color="BFBFBF"/>
              <w:bottom w:val="single" w:sz="4" w:space="0" w:color="BFBFBF"/>
            </w:tcBorders>
          </w:tcPr>
          <w:p w14:paraId="343827A3" w14:textId="77777777" w:rsidR="00524C5E" w:rsidRPr="002029AF" w:rsidRDefault="00524C5E" w:rsidP="00897193">
            <w:pPr>
              <w:pStyle w:val="ARtabletextright"/>
            </w:pPr>
          </w:p>
        </w:tc>
        <w:tc>
          <w:tcPr>
            <w:tcW w:w="514" w:type="pct"/>
            <w:tcBorders>
              <w:top w:val="single" w:sz="4" w:space="0" w:color="BFBFBF"/>
              <w:bottom w:val="single" w:sz="4" w:space="0" w:color="BFBFBF"/>
            </w:tcBorders>
          </w:tcPr>
          <w:p w14:paraId="695557FA" w14:textId="77777777" w:rsidR="00524C5E" w:rsidRPr="002029AF" w:rsidRDefault="00524C5E" w:rsidP="00897193">
            <w:pPr>
              <w:pStyle w:val="ARtabletextright"/>
            </w:pPr>
          </w:p>
        </w:tc>
      </w:tr>
      <w:tr w:rsidR="00524C5E" w:rsidRPr="002029AF" w14:paraId="28DF6012" w14:textId="77777777" w:rsidTr="00524C5E">
        <w:tblPrEx>
          <w:tblLook w:val="04A0" w:firstRow="1" w:lastRow="0" w:firstColumn="1" w:lastColumn="0" w:noHBand="0" w:noVBand="1"/>
        </w:tblPrEx>
        <w:trPr>
          <w:cantSplit/>
        </w:trPr>
        <w:tc>
          <w:tcPr>
            <w:tcW w:w="1399" w:type="pct"/>
            <w:tcBorders>
              <w:top w:val="single" w:sz="4" w:space="0" w:color="BFBFBF"/>
              <w:bottom w:val="single" w:sz="4" w:space="0" w:color="BFBFBF"/>
            </w:tcBorders>
            <w:shd w:val="clear" w:color="auto" w:fill="auto"/>
          </w:tcPr>
          <w:p w14:paraId="15D97DEB" w14:textId="77777777" w:rsidR="00524C5E" w:rsidRPr="00AF50BC" w:rsidRDefault="00524C5E" w:rsidP="00AF50BC">
            <w:pPr>
              <w:pStyle w:val="ARtabletext"/>
            </w:pPr>
            <w:r w:rsidRPr="00AF50BC">
              <w:t>$460,000–$479,999</w:t>
            </w:r>
          </w:p>
        </w:tc>
        <w:tc>
          <w:tcPr>
            <w:tcW w:w="735" w:type="pct"/>
            <w:tcBorders>
              <w:top w:val="single" w:sz="4" w:space="0" w:color="BFBFBF"/>
              <w:bottom w:val="single" w:sz="4" w:space="0" w:color="BFBFBF"/>
            </w:tcBorders>
            <w:shd w:val="clear" w:color="auto" w:fill="auto"/>
          </w:tcPr>
          <w:p w14:paraId="53C05F4F" w14:textId="7DC9F4BD" w:rsidR="00524C5E" w:rsidRPr="002029AF" w:rsidRDefault="001A75F6" w:rsidP="00897193">
            <w:pPr>
              <w:pStyle w:val="ARtabletextright"/>
              <w:rPr>
                <w:color w:val="000000" w:themeColor="text1"/>
              </w:rPr>
            </w:pPr>
            <w:r>
              <w:rPr>
                <w:color w:val="000000" w:themeColor="text1"/>
              </w:rPr>
              <w:t>2</w:t>
            </w:r>
          </w:p>
        </w:tc>
        <w:tc>
          <w:tcPr>
            <w:tcW w:w="588" w:type="pct"/>
            <w:tcBorders>
              <w:top w:val="single" w:sz="4" w:space="0" w:color="BFBFBF"/>
              <w:bottom w:val="single" w:sz="4" w:space="0" w:color="BFBFBF"/>
            </w:tcBorders>
            <w:shd w:val="clear" w:color="auto" w:fill="auto"/>
          </w:tcPr>
          <w:p w14:paraId="161549B8" w14:textId="77777777" w:rsidR="00524C5E" w:rsidRPr="002029AF" w:rsidRDefault="00524C5E" w:rsidP="00897193">
            <w:pPr>
              <w:pStyle w:val="ARtabletextright"/>
              <w:rPr>
                <w:color w:val="000000" w:themeColor="text1"/>
              </w:rPr>
            </w:pPr>
          </w:p>
        </w:tc>
        <w:tc>
          <w:tcPr>
            <w:tcW w:w="509" w:type="pct"/>
            <w:tcBorders>
              <w:top w:val="single" w:sz="4" w:space="0" w:color="BFBFBF"/>
              <w:bottom w:val="single" w:sz="4" w:space="0" w:color="BFBFBF"/>
            </w:tcBorders>
            <w:shd w:val="clear" w:color="auto" w:fill="auto"/>
          </w:tcPr>
          <w:p w14:paraId="49B9E086" w14:textId="77777777" w:rsidR="00524C5E" w:rsidRPr="002029AF" w:rsidRDefault="00524C5E" w:rsidP="00897193">
            <w:pPr>
              <w:pStyle w:val="ARtabletextright"/>
              <w:rPr>
                <w:color w:val="000000" w:themeColor="text1"/>
              </w:rPr>
            </w:pPr>
          </w:p>
        </w:tc>
        <w:tc>
          <w:tcPr>
            <w:tcW w:w="667" w:type="pct"/>
            <w:tcBorders>
              <w:top w:val="single" w:sz="4" w:space="0" w:color="BFBFBF"/>
              <w:bottom w:val="single" w:sz="4" w:space="0" w:color="BFBFBF"/>
            </w:tcBorders>
          </w:tcPr>
          <w:p w14:paraId="7AE755DC" w14:textId="77777777" w:rsidR="00524C5E" w:rsidRPr="002029AF" w:rsidRDefault="00524C5E" w:rsidP="00897193">
            <w:pPr>
              <w:pStyle w:val="ARtabletextright"/>
              <w:rPr>
                <w:color w:val="000000" w:themeColor="text1"/>
              </w:rPr>
            </w:pPr>
            <w:r>
              <w:rPr>
                <w:color w:val="000000" w:themeColor="text1"/>
              </w:rPr>
              <w:t>1</w:t>
            </w:r>
          </w:p>
        </w:tc>
        <w:tc>
          <w:tcPr>
            <w:tcW w:w="588" w:type="pct"/>
            <w:tcBorders>
              <w:top w:val="single" w:sz="4" w:space="0" w:color="BFBFBF"/>
              <w:bottom w:val="single" w:sz="4" w:space="0" w:color="BFBFBF"/>
            </w:tcBorders>
          </w:tcPr>
          <w:p w14:paraId="17D5C951" w14:textId="77777777" w:rsidR="00524C5E" w:rsidRPr="002029AF" w:rsidRDefault="00524C5E" w:rsidP="00897193">
            <w:pPr>
              <w:pStyle w:val="ARtabletextright"/>
            </w:pPr>
          </w:p>
        </w:tc>
        <w:tc>
          <w:tcPr>
            <w:tcW w:w="514" w:type="pct"/>
            <w:tcBorders>
              <w:top w:val="single" w:sz="4" w:space="0" w:color="BFBFBF"/>
              <w:bottom w:val="single" w:sz="4" w:space="0" w:color="BFBFBF"/>
            </w:tcBorders>
          </w:tcPr>
          <w:p w14:paraId="7F98ED95" w14:textId="77777777" w:rsidR="00524C5E" w:rsidRPr="002029AF" w:rsidRDefault="00524C5E" w:rsidP="00897193">
            <w:pPr>
              <w:pStyle w:val="ARtabletextright"/>
            </w:pPr>
          </w:p>
        </w:tc>
      </w:tr>
      <w:tr w:rsidR="00524C5E" w:rsidRPr="002029AF" w14:paraId="323FB683" w14:textId="77777777" w:rsidTr="00524C5E">
        <w:tblPrEx>
          <w:tblLook w:val="04A0" w:firstRow="1" w:lastRow="0" w:firstColumn="1" w:lastColumn="0" w:noHBand="0" w:noVBand="1"/>
        </w:tblPrEx>
        <w:trPr>
          <w:cantSplit/>
        </w:trPr>
        <w:tc>
          <w:tcPr>
            <w:tcW w:w="1399" w:type="pct"/>
            <w:tcBorders>
              <w:top w:val="single" w:sz="4" w:space="0" w:color="BFBFBF"/>
              <w:bottom w:val="single" w:sz="4" w:space="0" w:color="BFBFBF"/>
            </w:tcBorders>
            <w:shd w:val="clear" w:color="auto" w:fill="auto"/>
          </w:tcPr>
          <w:p w14:paraId="1C755E98" w14:textId="77777777" w:rsidR="00524C5E" w:rsidRPr="00AF50BC" w:rsidRDefault="00524C5E" w:rsidP="00AF50BC">
            <w:pPr>
              <w:pStyle w:val="ARtabletext"/>
            </w:pPr>
            <w:r w:rsidRPr="00AF50BC">
              <w:t>$520,000–$539,999</w:t>
            </w:r>
          </w:p>
        </w:tc>
        <w:tc>
          <w:tcPr>
            <w:tcW w:w="735" w:type="pct"/>
            <w:tcBorders>
              <w:top w:val="single" w:sz="4" w:space="0" w:color="BFBFBF"/>
              <w:bottom w:val="single" w:sz="4" w:space="0" w:color="BFBFBF"/>
            </w:tcBorders>
            <w:shd w:val="clear" w:color="auto" w:fill="auto"/>
          </w:tcPr>
          <w:p w14:paraId="5DBAAEB4" w14:textId="77777777" w:rsidR="00524C5E" w:rsidRPr="002029AF" w:rsidRDefault="00524C5E" w:rsidP="00897193">
            <w:pPr>
              <w:pStyle w:val="ARtabletextright"/>
              <w:rPr>
                <w:color w:val="000000" w:themeColor="text1"/>
              </w:rPr>
            </w:pPr>
          </w:p>
        </w:tc>
        <w:tc>
          <w:tcPr>
            <w:tcW w:w="588" w:type="pct"/>
            <w:tcBorders>
              <w:top w:val="single" w:sz="4" w:space="0" w:color="BFBFBF"/>
              <w:bottom w:val="single" w:sz="4" w:space="0" w:color="BFBFBF"/>
            </w:tcBorders>
            <w:shd w:val="clear" w:color="auto" w:fill="auto"/>
          </w:tcPr>
          <w:p w14:paraId="5DCD2627" w14:textId="77777777" w:rsidR="00524C5E" w:rsidRPr="002029AF" w:rsidRDefault="00524C5E" w:rsidP="00897193">
            <w:pPr>
              <w:pStyle w:val="ARtabletextright"/>
              <w:rPr>
                <w:color w:val="000000" w:themeColor="text1"/>
              </w:rPr>
            </w:pPr>
          </w:p>
        </w:tc>
        <w:tc>
          <w:tcPr>
            <w:tcW w:w="509" w:type="pct"/>
            <w:tcBorders>
              <w:top w:val="single" w:sz="4" w:space="0" w:color="BFBFBF"/>
              <w:bottom w:val="single" w:sz="4" w:space="0" w:color="BFBFBF"/>
            </w:tcBorders>
            <w:shd w:val="clear" w:color="auto" w:fill="auto"/>
          </w:tcPr>
          <w:p w14:paraId="223D7C30" w14:textId="77777777" w:rsidR="00524C5E" w:rsidRPr="002029AF" w:rsidRDefault="00524C5E" w:rsidP="00897193">
            <w:pPr>
              <w:pStyle w:val="ARtabletextright"/>
              <w:rPr>
                <w:color w:val="000000" w:themeColor="text1"/>
              </w:rPr>
            </w:pPr>
          </w:p>
        </w:tc>
        <w:tc>
          <w:tcPr>
            <w:tcW w:w="667" w:type="pct"/>
            <w:tcBorders>
              <w:top w:val="single" w:sz="4" w:space="0" w:color="BFBFBF"/>
              <w:bottom w:val="single" w:sz="4" w:space="0" w:color="BFBFBF"/>
            </w:tcBorders>
          </w:tcPr>
          <w:p w14:paraId="2BD204FF" w14:textId="77777777" w:rsidR="00524C5E" w:rsidRPr="002029AF" w:rsidRDefault="00524C5E" w:rsidP="00897193">
            <w:pPr>
              <w:pStyle w:val="ARtabletextright"/>
              <w:rPr>
                <w:color w:val="000000" w:themeColor="text1"/>
              </w:rPr>
            </w:pPr>
          </w:p>
        </w:tc>
        <w:tc>
          <w:tcPr>
            <w:tcW w:w="588" w:type="pct"/>
            <w:tcBorders>
              <w:top w:val="single" w:sz="4" w:space="0" w:color="BFBFBF"/>
              <w:bottom w:val="single" w:sz="4" w:space="0" w:color="BFBFBF"/>
            </w:tcBorders>
          </w:tcPr>
          <w:p w14:paraId="33167005" w14:textId="77777777" w:rsidR="00524C5E" w:rsidRPr="002029AF" w:rsidRDefault="00524C5E" w:rsidP="00897193">
            <w:pPr>
              <w:pStyle w:val="ARtabletextright"/>
            </w:pPr>
          </w:p>
        </w:tc>
        <w:tc>
          <w:tcPr>
            <w:tcW w:w="514" w:type="pct"/>
            <w:tcBorders>
              <w:top w:val="single" w:sz="4" w:space="0" w:color="BFBFBF"/>
              <w:bottom w:val="single" w:sz="4" w:space="0" w:color="BFBFBF"/>
            </w:tcBorders>
          </w:tcPr>
          <w:p w14:paraId="7ED4514B" w14:textId="77777777" w:rsidR="00524C5E" w:rsidRPr="002029AF" w:rsidRDefault="00524C5E" w:rsidP="00897193">
            <w:pPr>
              <w:pStyle w:val="ARtabletextright"/>
            </w:pPr>
          </w:p>
        </w:tc>
      </w:tr>
      <w:tr w:rsidR="00524C5E" w:rsidRPr="002029AF" w14:paraId="7FBE80A1" w14:textId="77777777" w:rsidTr="00524C5E">
        <w:tblPrEx>
          <w:tblLook w:val="04A0" w:firstRow="1" w:lastRow="0" w:firstColumn="1" w:lastColumn="0" w:noHBand="0" w:noVBand="1"/>
        </w:tblPrEx>
        <w:trPr>
          <w:cantSplit/>
        </w:trPr>
        <w:tc>
          <w:tcPr>
            <w:tcW w:w="1399" w:type="pct"/>
            <w:tcBorders>
              <w:top w:val="single" w:sz="4" w:space="0" w:color="BFBFBF"/>
              <w:bottom w:val="single" w:sz="4" w:space="0" w:color="BFBFBF"/>
            </w:tcBorders>
            <w:shd w:val="clear" w:color="auto" w:fill="auto"/>
          </w:tcPr>
          <w:p w14:paraId="51499AA1" w14:textId="77777777" w:rsidR="00524C5E" w:rsidRPr="00AF50BC" w:rsidRDefault="00524C5E" w:rsidP="00AF50BC">
            <w:pPr>
              <w:pStyle w:val="ARtabletext"/>
            </w:pPr>
            <w:r w:rsidRPr="00AF50BC">
              <w:t>$540,000–$559,999</w:t>
            </w:r>
          </w:p>
        </w:tc>
        <w:tc>
          <w:tcPr>
            <w:tcW w:w="735" w:type="pct"/>
            <w:tcBorders>
              <w:top w:val="single" w:sz="4" w:space="0" w:color="BFBFBF"/>
              <w:bottom w:val="single" w:sz="4" w:space="0" w:color="BFBFBF"/>
            </w:tcBorders>
            <w:shd w:val="clear" w:color="auto" w:fill="auto"/>
          </w:tcPr>
          <w:p w14:paraId="0FBDE091" w14:textId="77777777" w:rsidR="00524C5E" w:rsidRPr="002029AF" w:rsidRDefault="00524C5E" w:rsidP="00897193">
            <w:pPr>
              <w:pStyle w:val="ARtabletextright"/>
              <w:rPr>
                <w:color w:val="000000" w:themeColor="text1"/>
              </w:rPr>
            </w:pPr>
            <w:r>
              <w:rPr>
                <w:color w:val="000000" w:themeColor="text1"/>
              </w:rPr>
              <w:t>1</w:t>
            </w:r>
          </w:p>
        </w:tc>
        <w:tc>
          <w:tcPr>
            <w:tcW w:w="588" w:type="pct"/>
            <w:tcBorders>
              <w:top w:val="single" w:sz="4" w:space="0" w:color="BFBFBF"/>
              <w:bottom w:val="single" w:sz="4" w:space="0" w:color="BFBFBF"/>
            </w:tcBorders>
            <w:shd w:val="clear" w:color="auto" w:fill="auto"/>
          </w:tcPr>
          <w:p w14:paraId="025CD87F" w14:textId="77777777" w:rsidR="00524C5E" w:rsidRPr="002029AF" w:rsidRDefault="00524C5E" w:rsidP="00897193">
            <w:pPr>
              <w:pStyle w:val="ARtabletextright"/>
              <w:rPr>
                <w:color w:val="000000" w:themeColor="text1"/>
              </w:rPr>
            </w:pPr>
          </w:p>
        </w:tc>
        <w:tc>
          <w:tcPr>
            <w:tcW w:w="509" w:type="pct"/>
            <w:tcBorders>
              <w:top w:val="single" w:sz="4" w:space="0" w:color="BFBFBF"/>
              <w:bottom w:val="single" w:sz="4" w:space="0" w:color="BFBFBF"/>
            </w:tcBorders>
            <w:shd w:val="clear" w:color="auto" w:fill="auto"/>
          </w:tcPr>
          <w:p w14:paraId="3EEA2DFE" w14:textId="77777777" w:rsidR="00524C5E" w:rsidRPr="002029AF" w:rsidRDefault="00524C5E" w:rsidP="00897193">
            <w:pPr>
              <w:pStyle w:val="ARtabletextright"/>
              <w:rPr>
                <w:color w:val="000000" w:themeColor="text1"/>
              </w:rPr>
            </w:pPr>
          </w:p>
        </w:tc>
        <w:tc>
          <w:tcPr>
            <w:tcW w:w="667" w:type="pct"/>
            <w:tcBorders>
              <w:top w:val="single" w:sz="4" w:space="0" w:color="BFBFBF"/>
              <w:bottom w:val="single" w:sz="4" w:space="0" w:color="BFBFBF"/>
            </w:tcBorders>
          </w:tcPr>
          <w:p w14:paraId="38F34969" w14:textId="77777777" w:rsidR="00524C5E" w:rsidRPr="002029AF" w:rsidRDefault="00524C5E" w:rsidP="00897193">
            <w:pPr>
              <w:pStyle w:val="ARtabletextright"/>
              <w:rPr>
                <w:color w:val="000000" w:themeColor="text1"/>
              </w:rPr>
            </w:pPr>
          </w:p>
        </w:tc>
        <w:tc>
          <w:tcPr>
            <w:tcW w:w="588" w:type="pct"/>
            <w:tcBorders>
              <w:top w:val="single" w:sz="4" w:space="0" w:color="BFBFBF"/>
              <w:bottom w:val="single" w:sz="4" w:space="0" w:color="BFBFBF"/>
            </w:tcBorders>
          </w:tcPr>
          <w:p w14:paraId="68540D58" w14:textId="77777777" w:rsidR="00524C5E" w:rsidRPr="002029AF" w:rsidRDefault="00524C5E" w:rsidP="00897193">
            <w:pPr>
              <w:pStyle w:val="ARtabletextright"/>
            </w:pPr>
          </w:p>
        </w:tc>
        <w:tc>
          <w:tcPr>
            <w:tcW w:w="514" w:type="pct"/>
            <w:tcBorders>
              <w:top w:val="single" w:sz="4" w:space="0" w:color="BFBFBF"/>
              <w:bottom w:val="single" w:sz="4" w:space="0" w:color="BFBFBF"/>
            </w:tcBorders>
          </w:tcPr>
          <w:p w14:paraId="7B90DEC1" w14:textId="77777777" w:rsidR="00524C5E" w:rsidRPr="002029AF" w:rsidRDefault="00524C5E" w:rsidP="00897193">
            <w:pPr>
              <w:pStyle w:val="ARtabletextright"/>
            </w:pPr>
          </w:p>
        </w:tc>
      </w:tr>
      <w:tr w:rsidR="00524C5E" w:rsidRPr="002029AF" w14:paraId="0CD71EFE" w14:textId="77777777" w:rsidTr="00524C5E">
        <w:tblPrEx>
          <w:tblLook w:val="04A0" w:firstRow="1" w:lastRow="0" w:firstColumn="1" w:lastColumn="0" w:noHBand="0" w:noVBand="1"/>
        </w:tblPrEx>
        <w:trPr>
          <w:cantSplit/>
        </w:trPr>
        <w:tc>
          <w:tcPr>
            <w:tcW w:w="1399" w:type="pct"/>
            <w:tcBorders>
              <w:top w:val="single" w:sz="4" w:space="0" w:color="BFBFBF"/>
            </w:tcBorders>
            <w:shd w:val="clear" w:color="auto" w:fill="auto"/>
          </w:tcPr>
          <w:p w14:paraId="4A599DB1" w14:textId="77777777" w:rsidR="00524C5E" w:rsidRPr="00AF50BC" w:rsidRDefault="00524C5E" w:rsidP="00AF50BC">
            <w:pPr>
              <w:pStyle w:val="ARtabletext"/>
            </w:pPr>
            <w:r w:rsidRPr="00AF50BC">
              <w:t>Total</w:t>
            </w:r>
          </w:p>
        </w:tc>
        <w:tc>
          <w:tcPr>
            <w:tcW w:w="735" w:type="pct"/>
            <w:tcBorders>
              <w:top w:val="single" w:sz="4" w:space="0" w:color="BFBFBF"/>
            </w:tcBorders>
            <w:shd w:val="clear" w:color="auto" w:fill="auto"/>
          </w:tcPr>
          <w:p w14:paraId="6B037D38" w14:textId="77777777" w:rsidR="00524C5E" w:rsidRPr="002029AF" w:rsidRDefault="00524C5E" w:rsidP="00897193">
            <w:pPr>
              <w:pStyle w:val="ARtabletextright"/>
              <w:rPr>
                <w:color w:val="000000" w:themeColor="text1"/>
              </w:rPr>
            </w:pPr>
            <w:r w:rsidRPr="00F42917">
              <w:rPr>
                <w:color w:val="000000" w:themeColor="text1"/>
              </w:rPr>
              <w:t>169</w:t>
            </w:r>
          </w:p>
        </w:tc>
        <w:tc>
          <w:tcPr>
            <w:tcW w:w="588" w:type="pct"/>
            <w:tcBorders>
              <w:top w:val="single" w:sz="4" w:space="0" w:color="BFBFBF"/>
            </w:tcBorders>
            <w:shd w:val="clear" w:color="auto" w:fill="auto"/>
          </w:tcPr>
          <w:p w14:paraId="7FE7B916" w14:textId="77777777" w:rsidR="00524C5E" w:rsidRPr="002029AF" w:rsidRDefault="00524C5E" w:rsidP="00897193">
            <w:pPr>
              <w:pStyle w:val="ARtabletextright"/>
              <w:rPr>
                <w:color w:val="000000" w:themeColor="text1"/>
              </w:rPr>
            </w:pPr>
            <w:r>
              <w:rPr>
                <w:color w:val="000000" w:themeColor="text1"/>
              </w:rPr>
              <w:t>34</w:t>
            </w:r>
          </w:p>
        </w:tc>
        <w:tc>
          <w:tcPr>
            <w:tcW w:w="509" w:type="pct"/>
            <w:tcBorders>
              <w:top w:val="single" w:sz="4" w:space="0" w:color="BFBFBF"/>
            </w:tcBorders>
            <w:shd w:val="clear" w:color="auto" w:fill="auto"/>
          </w:tcPr>
          <w:p w14:paraId="77B488FC" w14:textId="77777777" w:rsidR="00524C5E" w:rsidRPr="002029AF" w:rsidRDefault="00524C5E" w:rsidP="00897193">
            <w:pPr>
              <w:pStyle w:val="ARtabletextright"/>
              <w:rPr>
                <w:color w:val="000000" w:themeColor="text1"/>
              </w:rPr>
            </w:pPr>
          </w:p>
        </w:tc>
        <w:tc>
          <w:tcPr>
            <w:tcW w:w="667" w:type="pct"/>
            <w:tcBorders>
              <w:top w:val="single" w:sz="4" w:space="0" w:color="BFBFBF"/>
            </w:tcBorders>
          </w:tcPr>
          <w:p w14:paraId="63F81F76" w14:textId="77777777" w:rsidR="00524C5E" w:rsidRPr="002029AF" w:rsidRDefault="00524C5E" w:rsidP="00897193">
            <w:pPr>
              <w:pStyle w:val="ARtabletextright"/>
              <w:rPr>
                <w:color w:val="000000" w:themeColor="text1"/>
              </w:rPr>
            </w:pPr>
            <w:r>
              <w:rPr>
                <w:color w:val="000000" w:themeColor="text1"/>
              </w:rPr>
              <w:t>37</w:t>
            </w:r>
          </w:p>
        </w:tc>
        <w:tc>
          <w:tcPr>
            <w:tcW w:w="588" w:type="pct"/>
            <w:tcBorders>
              <w:top w:val="single" w:sz="4" w:space="0" w:color="BFBFBF"/>
            </w:tcBorders>
          </w:tcPr>
          <w:p w14:paraId="40DBCBB5" w14:textId="77777777" w:rsidR="00524C5E" w:rsidRPr="002029AF" w:rsidRDefault="00524C5E" w:rsidP="00897193">
            <w:pPr>
              <w:pStyle w:val="ARtabletextright"/>
              <w:rPr>
                <w:highlight w:val="yellow"/>
              </w:rPr>
            </w:pPr>
          </w:p>
        </w:tc>
        <w:tc>
          <w:tcPr>
            <w:tcW w:w="514" w:type="pct"/>
            <w:tcBorders>
              <w:top w:val="single" w:sz="4" w:space="0" w:color="BFBFBF"/>
            </w:tcBorders>
          </w:tcPr>
          <w:p w14:paraId="4B22B06D" w14:textId="77777777" w:rsidR="00524C5E" w:rsidRPr="002029AF" w:rsidRDefault="00524C5E" w:rsidP="00897193">
            <w:pPr>
              <w:pStyle w:val="ARtabletextright"/>
            </w:pPr>
          </w:p>
        </w:tc>
      </w:tr>
    </w:tbl>
    <w:p w14:paraId="230269BD" w14:textId="01B6F1DC" w:rsidR="00524C5E" w:rsidRDefault="00524C5E" w:rsidP="00524C5E">
      <w:pPr>
        <w:pStyle w:val="ARbody"/>
      </w:pPr>
    </w:p>
    <w:p w14:paraId="2E9F46A3" w14:textId="77777777" w:rsidR="00524C5E" w:rsidRPr="002029AF" w:rsidRDefault="00524C5E" w:rsidP="00524C5E">
      <w:pPr>
        <w:pStyle w:val="ARbody"/>
        <w:sectPr w:rsidR="00524C5E" w:rsidRPr="002029AF" w:rsidSect="00524C5E">
          <w:headerReference w:type="default" r:id="rId73"/>
          <w:footnotePr>
            <w:numFmt w:val="lowerLetter"/>
            <w:numRestart w:val="eachPage"/>
          </w:footnotePr>
          <w:endnotePr>
            <w:numFmt w:val="decimal"/>
          </w:endnotePr>
          <w:pgSz w:w="11906" w:h="16838" w:code="9"/>
          <w:pgMar w:top="1985" w:right="1134" w:bottom="851" w:left="1134" w:header="510" w:footer="340" w:gutter="0"/>
          <w:cols w:space="454"/>
          <w:docGrid w:linePitch="360"/>
        </w:sectPr>
      </w:pPr>
    </w:p>
    <w:p w14:paraId="2F659FED" w14:textId="77777777" w:rsidR="00524C5E" w:rsidRDefault="00524C5E" w:rsidP="00AF50BC">
      <w:pPr>
        <w:pStyle w:val="Heading3"/>
        <w:spacing w:before="0"/>
      </w:pPr>
      <w:bookmarkStart w:id="434" w:name="_Toc85121227"/>
      <w:r w:rsidRPr="002029AF">
        <w:lastRenderedPageBreak/>
        <w:t>Mental Health Reform Victoria employment levels</w:t>
      </w:r>
      <w:bookmarkEnd w:id="434"/>
    </w:p>
    <w:p w14:paraId="68B5103A" w14:textId="37A38A99" w:rsidR="00524C5E" w:rsidRPr="00232393" w:rsidRDefault="00524C5E" w:rsidP="00524C5E">
      <w:pPr>
        <w:pStyle w:val="ARbody"/>
        <w:rPr>
          <w:lang w:eastAsia="en-AU"/>
        </w:rPr>
      </w:pPr>
      <w:r w:rsidRPr="00EB6CE0">
        <w:rPr>
          <w:lang w:eastAsia="en-AU"/>
        </w:rPr>
        <w:t>The following table</w:t>
      </w:r>
      <w:r>
        <w:rPr>
          <w:lang w:eastAsia="en-AU"/>
        </w:rPr>
        <w:t>s</w:t>
      </w:r>
      <w:r w:rsidRPr="00EB6CE0">
        <w:rPr>
          <w:lang w:eastAsia="en-AU"/>
        </w:rPr>
        <w:t xml:space="preserve"> disclose</w:t>
      </w:r>
      <w:r w:rsidR="002B54D9">
        <w:rPr>
          <w:lang w:eastAsia="en-AU"/>
        </w:rPr>
        <w:t>,</w:t>
      </w:r>
      <w:r w:rsidRPr="00EB6CE0">
        <w:rPr>
          <w:lang w:eastAsia="en-AU"/>
        </w:rPr>
        <w:t xml:space="preserve"> </w:t>
      </w:r>
      <w:r w:rsidR="004B3ED8">
        <w:rPr>
          <w:lang w:eastAsia="en-AU"/>
        </w:rPr>
        <w:t xml:space="preserve">by </w:t>
      </w:r>
      <w:r w:rsidRPr="00EB6CE0">
        <w:rPr>
          <w:lang w:eastAsia="en-AU"/>
        </w:rPr>
        <w:t>head count and full-time staff equivalent (FTE)</w:t>
      </w:r>
      <w:r w:rsidR="004B3ED8">
        <w:rPr>
          <w:lang w:eastAsia="en-AU"/>
        </w:rPr>
        <w:t>, the number</w:t>
      </w:r>
      <w:r w:rsidRPr="00EB6CE0">
        <w:rPr>
          <w:lang w:eastAsia="en-AU"/>
        </w:rPr>
        <w:t xml:space="preserve"> of all active public service employees of the </w:t>
      </w:r>
      <w:r>
        <w:rPr>
          <w:lang w:eastAsia="en-AU"/>
        </w:rPr>
        <w:t>administrative office Mental Health Reform Victoria,</w:t>
      </w:r>
      <w:r w:rsidRPr="00583ACC">
        <w:rPr>
          <w:lang w:eastAsia="en-AU"/>
        </w:rPr>
        <w:t xml:space="preserve"> </w:t>
      </w:r>
      <w:r w:rsidRPr="00EB6CE0">
        <w:rPr>
          <w:lang w:eastAsia="en-AU"/>
        </w:rPr>
        <w:t>employed in the last full</w:t>
      </w:r>
      <w:r w:rsidR="00EC65C3">
        <w:rPr>
          <w:lang w:eastAsia="en-AU"/>
        </w:rPr>
        <w:t> </w:t>
      </w:r>
      <w:r w:rsidRPr="00EB6CE0">
        <w:rPr>
          <w:lang w:eastAsia="en-AU"/>
        </w:rPr>
        <w:t>pay period in June of the current reporting period</w:t>
      </w:r>
      <w:r>
        <w:rPr>
          <w:lang w:eastAsia="en-AU"/>
        </w:rPr>
        <w:t xml:space="preserve"> </w:t>
      </w:r>
      <w:r w:rsidRPr="00583ACC">
        <w:rPr>
          <w:lang w:eastAsia="en-AU"/>
        </w:rPr>
        <w:t xml:space="preserve">and in the last full pay period in June </w:t>
      </w:r>
      <w:r>
        <w:rPr>
          <w:lang w:eastAsia="en-AU"/>
        </w:rPr>
        <w:t>o</w:t>
      </w:r>
      <w:r w:rsidRPr="00583ACC">
        <w:rPr>
          <w:lang w:eastAsia="en-AU"/>
        </w:rPr>
        <w:t>f the previous reporting period (2020).</w:t>
      </w:r>
    </w:p>
    <w:p w14:paraId="053C65B4" w14:textId="77777777" w:rsidR="00524C5E" w:rsidRDefault="00524C5E" w:rsidP="00C741F1">
      <w:pPr>
        <w:pStyle w:val="Heading4"/>
        <w:spacing w:after="120"/>
      </w:pPr>
      <w:bookmarkStart w:id="435" w:name="_Toc85121228"/>
      <w:r w:rsidRPr="002029AF">
        <w:t>Summary of employment levels in June of 2020</w:t>
      </w:r>
      <w:r>
        <w:t xml:space="preserve"> and 2021</w:t>
      </w:r>
      <w:bookmarkEnd w:id="435"/>
    </w:p>
    <w:tbl>
      <w:tblPr>
        <w:tblStyle w:val="TableGrid"/>
        <w:tblW w:w="9639" w:type="dxa"/>
        <w:tblLook w:val="06A0" w:firstRow="1" w:lastRow="0" w:firstColumn="1" w:lastColumn="0" w:noHBand="1" w:noVBand="1"/>
      </w:tblPr>
      <w:tblGrid>
        <w:gridCol w:w="1205"/>
        <w:gridCol w:w="1206"/>
        <w:gridCol w:w="1204"/>
        <w:gridCol w:w="1205"/>
        <w:gridCol w:w="1205"/>
        <w:gridCol w:w="1204"/>
        <w:gridCol w:w="1206"/>
        <w:gridCol w:w="1204"/>
      </w:tblGrid>
      <w:tr w:rsidR="00524C5E" w:rsidRPr="002029AF" w14:paraId="5E9A9F71" w14:textId="77777777" w:rsidTr="00AF50BC">
        <w:trPr>
          <w:cnfStyle w:val="100000000000" w:firstRow="1" w:lastRow="0" w:firstColumn="0" w:lastColumn="0" w:oddVBand="0" w:evenVBand="0" w:oddHBand="0" w:evenHBand="0" w:firstRowFirstColumn="0" w:firstRowLastColumn="0" w:lastRowFirstColumn="0" w:lastRowLastColumn="0"/>
          <w:tblHeader/>
        </w:trPr>
        <w:tc>
          <w:tcPr>
            <w:tcW w:w="1208" w:type="dxa"/>
            <w:vMerge w:val="restart"/>
            <w:hideMark/>
          </w:tcPr>
          <w:p w14:paraId="69C88312" w14:textId="77777777" w:rsidR="00524C5E" w:rsidRPr="002029AF" w:rsidRDefault="00524C5E" w:rsidP="00AF50BC">
            <w:pPr>
              <w:pStyle w:val="ARtablecolhead"/>
            </w:pPr>
          </w:p>
        </w:tc>
        <w:tc>
          <w:tcPr>
            <w:tcW w:w="1208" w:type="dxa"/>
            <w:gridSpan w:val="2"/>
            <w:tcBorders>
              <w:top w:val="nil"/>
              <w:right w:val="single" w:sz="4" w:space="0" w:color="auto"/>
            </w:tcBorders>
            <w:hideMark/>
          </w:tcPr>
          <w:p w14:paraId="4C59276C" w14:textId="77777777" w:rsidR="00524C5E" w:rsidRPr="00C741F1" w:rsidRDefault="00524C5E" w:rsidP="00C741F1">
            <w:pPr>
              <w:pStyle w:val="ARtablecolheadcentre"/>
            </w:pPr>
            <w:r w:rsidRPr="00C741F1">
              <w:t>All employees</w:t>
            </w:r>
          </w:p>
        </w:tc>
        <w:tc>
          <w:tcPr>
            <w:tcW w:w="1208" w:type="dxa"/>
            <w:gridSpan w:val="3"/>
            <w:tcBorders>
              <w:top w:val="nil"/>
              <w:left w:val="single" w:sz="4" w:space="0" w:color="auto"/>
              <w:right w:val="single" w:sz="4" w:space="0" w:color="auto"/>
            </w:tcBorders>
            <w:hideMark/>
          </w:tcPr>
          <w:p w14:paraId="134A4AEE" w14:textId="77777777" w:rsidR="00524C5E" w:rsidRPr="00C741F1" w:rsidRDefault="00524C5E" w:rsidP="00C741F1">
            <w:pPr>
              <w:pStyle w:val="ARtablecolheadcentre"/>
            </w:pPr>
            <w:r w:rsidRPr="00C741F1">
              <w:t>Ongoing</w:t>
            </w:r>
          </w:p>
        </w:tc>
        <w:tc>
          <w:tcPr>
            <w:tcW w:w="1208" w:type="dxa"/>
            <w:gridSpan w:val="2"/>
            <w:tcBorders>
              <w:left w:val="single" w:sz="4" w:space="0" w:color="auto"/>
            </w:tcBorders>
            <w:hideMark/>
          </w:tcPr>
          <w:p w14:paraId="24294722" w14:textId="1639FF37" w:rsidR="00524C5E" w:rsidRPr="00C741F1" w:rsidRDefault="00524C5E" w:rsidP="00C3559C">
            <w:pPr>
              <w:pStyle w:val="ARtablecolheadcentre"/>
            </w:pPr>
            <w:r w:rsidRPr="00C741F1">
              <w:t>Fixed</w:t>
            </w:r>
            <w:r w:rsidR="00C3559C">
              <w:t>-</w:t>
            </w:r>
            <w:r w:rsidRPr="00C741F1">
              <w:t>term and casual</w:t>
            </w:r>
          </w:p>
        </w:tc>
      </w:tr>
      <w:tr w:rsidR="00524C5E" w:rsidRPr="002029AF" w14:paraId="5B66F7C5" w14:textId="77777777" w:rsidTr="00AF50BC">
        <w:trPr>
          <w:cnfStyle w:val="100000000000" w:firstRow="1" w:lastRow="0" w:firstColumn="0" w:lastColumn="0" w:oddVBand="0" w:evenVBand="0" w:oddHBand="0" w:evenHBand="0" w:firstRowFirstColumn="0" w:firstRowLastColumn="0" w:lastRowFirstColumn="0" w:lastRowLastColumn="0"/>
          <w:tblHeader/>
        </w:trPr>
        <w:tc>
          <w:tcPr>
            <w:tcW w:w="1208" w:type="dxa"/>
            <w:vMerge/>
            <w:hideMark/>
          </w:tcPr>
          <w:p w14:paraId="6CE3A5D0" w14:textId="77777777" w:rsidR="00524C5E" w:rsidRPr="002029AF" w:rsidRDefault="00524C5E" w:rsidP="00524C5E">
            <w:pPr>
              <w:spacing w:before="40" w:after="20" w:line="240" w:lineRule="auto"/>
              <w:rPr>
                <w:rFonts w:ascii="Calibri" w:eastAsia="Times New Roman" w:hAnsi="Calibri" w:cs="Calibri"/>
                <w:i/>
                <w:iCs/>
                <w:color w:val="000000"/>
                <w:sz w:val="15"/>
                <w:szCs w:val="15"/>
              </w:rPr>
            </w:pPr>
          </w:p>
        </w:tc>
        <w:tc>
          <w:tcPr>
            <w:tcW w:w="1208" w:type="dxa"/>
            <w:hideMark/>
          </w:tcPr>
          <w:p w14:paraId="745D0EC0" w14:textId="77777777" w:rsidR="00524C5E" w:rsidRPr="00C741F1" w:rsidRDefault="00524C5E" w:rsidP="00C741F1">
            <w:pPr>
              <w:pStyle w:val="ARtablecolheadright"/>
            </w:pPr>
            <w:r w:rsidRPr="00C741F1">
              <w:t>Number (head count)</w:t>
            </w:r>
          </w:p>
        </w:tc>
        <w:tc>
          <w:tcPr>
            <w:tcW w:w="1208" w:type="dxa"/>
            <w:tcBorders>
              <w:top w:val="single" w:sz="4" w:space="0" w:color="auto"/>
              <w:right w:val="single" w:sz="4" w:space="0" w:color="auto"/>
            </w:tcBorders>
            <w:hideMark/>
          </w:tcPr>
          <w:p w14:paraId="310BD50F" w14:textId="77777777" w:rsidR="00524C5E" w:rsidRPr="00C741F1" w:rsidRDefault="00524C5E" w:rsidP="00C741F1">
            <w:pPr>
              <w:pStyle w:val="ARtablecolheadright"/>
            </w:pPr>
            <w:r w:rsidRPr="00C741F1">
              <w:t>FTE</w:t>
            </w:r>
          </w:p>
        </w:tc>
        <w:tc>
          <w:tcPr>
            <w:tcW w:w="1208" w:type="dxa"/>
            <w:tcBorders>
              <w:left w:val="single" w:sz="4" w:space="0" w:color="auto"/>
            </w:tcBorders>
            <w:hideMark/>
          </w:tcPr>
          <w:p w14:paraId="2DF97D49" w14:textId="77777777" w:rsidR="00524C5E" w:rsidRPr="00C741F1" w:rsidRDefault="00524C5E" w:rsidP="00C741F1">
            <w:pPr>
              <w:pStyle w:val="ARtablecolheadright"/>
            </w:pPr>
            <w:r w:rsidRPr="00C741F1">
              <w:t>Full-time (head count)</w:t>
            </w:r>
          </w:p>
        </w:tc>
        <w:tc>
          <w:tcPr>
            <w:tcW w:w="1208" w:type="dxa"/>
            <w:hideMark/>
          </w:tcPr>
          <w:p w14:paraId="57483561" w14:textId="77777777" w:rsidR="00524C5E" w:rsidRPr="00C741F1" w:rsidRDefault="00524C5E" w:rsidP="00C741F1">
            <w:pPr>
              <w:pStyle w:val="ARtablecolheadright"/>
            </w:pPr>
            <w:r w:rsidRPr="00C741F1">
              <w:t>Part-time (head count)</w:t>
            </w:r>
          </w:p>
        </w:tc>
        <w:tc>
          <w:tcPr>
            <w:tcW w:w="1208" w:type="dxa"/>
            <w:tcBorders>
              <w:top w:val="single" w:sz="4" w:space="0" w:color="auto"/>
              <w:right w:val="single" w:sz="4" w:space="0" w:color="auto"/>
            </w:tcBorders>
            <w:hideMark/>
          </w:tcPr>
          <w:p w14:paraId="0834BE9B" w14:textId="77777777" w:rsidR="00524C5E" w:rsidRPr="00C741F1" w:rsidRDefault="00524C5E" w:rsidP="00C741F1">
            <w:pPr>
              <w:pStyle w:val="ARtablecolheadright"/>
            </w:pPr>
            <w:r w:rsidRPr="00C741F1">
              <w:t>FTE</w:t>
            </w:r>
          </w:p>
        </w:tc>
        <w:tc>
          <w:tcPr>
            <w:tcW w:w="1208" w:type="dxa"/>
            <w:tcBorders>
              <w:left w:val="single" w:sz="4" w:space="0" w:color="auto"/>
            </w:tcBorders>
            <w:hideMark/>
          </w:tcPr>
          <w:p w14:paraId="6A80F727" w14:textId="77777777" w:rsidR="00524C5E" w:rsidRPr="00C741F1" w:rsidRDefault="00524C5E" w:rsidP="00C741F1">
            <w:pPr>
              <w:pStyle w:val="ARtablecolheadright"/>
            </w:pPr>
            <w:r w:rsidRPr="00C741F1">
              <w:t>Number (head count)</w:t>
            </w:r>
          </w:p>
        </w:tc>
        <w:tc>
          <w:tcPr>
            <w:tcW w:w="1208" w:type="dxa"/>
            <w:hideMark/>
          </w:tcPr>
          <w:p w14:paraId="709691DE" w14:textId="77777777" w:rsidR="00524C5E" w:rsidRPr="00C741F1" w:rsidRDefault="00524C5E" w:rsidP="00C741F1">
            <w:pPr>
              <w:pStyle w:val="ARtablecolheadright"/>
            </w:pPr>
            <w:r w:rsidRPr="00C741F1">
              <w:t>FTE</w:t>
            </w:r>
          </w:p>
        </w:tc>
      </w:tr>
      <w:tr w:rsidR="00524C5E" w:rsidRPr="002029AF" w14:paraId="0267C147" w14:textId="77777777" w:rsidTr="00AF50BC">
        <w:trPr>
          <w:cantSplit w:val="0"/>
        </w:trPr>
        <w:tc>
          <w:tcPr>
            <w:tcW w:w="1208" w:type="dxa"/>
            <w:hideMark/>
          </w:tcPr>
          <w:p w14:paraId="183C1FCE" w14:textId="77777777" w:rsidR="00524C5E" w:rsidRPr="00C741F1" w:rsidRDefault="00524C5E" w:rsidP="00C741F1">
            <w:pPr>
              <w:pStyle w:val="ARtabletext"/>
            </w:pPr>
            <w:r w:rsidRPr="00C741F1">
              <w:t>June 2021</w:t>
            </w:r>
          </w:p>
        </w:tc>
        <w:tc>
          <w:tcPr>
            <w:tcW w:w="1208" w:type="dxa"/>
          </w:tcPr>
          <w:p w14:paraId="559CD024" w14:textId="77777777" w:rsidR="00524C5E" w:rsidRPr="00C741F1" w:rsidRDefault="00524C5E" w:rsidP="00C741F1">
            <w:pPr>
              <w:pStyle w:val="ARtabletextright"/>
            </w:pPr>
            <w:r w:rsidRPr="00C741F1">
              <w:t>27</w:t>
            </w:r>
          </w:p>
        </w:tc>
        <w:tc>
          <w:tcPr>
            <w:tcW w:w="1208" w:type="dxa"/>
            <w:tcBorders>
              <w:top w:val="single" w:sz="4" w:space="0" w:color="auto"/>
              <w:bottom w:val="single" w:sz="4" w:space="0" w:color="auto"/>
              <w:right w:val="single" w:sz="4" w:space="0" w:color="auto"/>
            </w:tcBorders>
          </w:tcPr>
          <w:p w14:paraId="7BE9D8A8" w14:textId="77777777" w:rsidR="00524C5E" w:rsidRPr="00C741F1" w:rsidRDefault="00524C5E" w:rsidP="00C741F1">
            <w:pPr>
              <w:pStyle w:val="ARtabletextright"/>
            </w:pPr>
            <w:r w:rsidRPr="00C741F1">
              <w:t>26.7</w:t>
            </w:r>
          </w:p>
        </w:tc>
        <w:tc>
          <w:tcPr>
            <w:tcW w:w="1208" w:type="dxa"/>
            <w:tcBorders>
              <w:left w:val="single" w:sz="4" w:space="0" w:color="auto"/>
            </w:tcBorders>
          </w:tcPr>
          <w:p w14:paraId="55298E3B" w14:textId="77777777" w:rsidR="00524C5E" w:rsidRPr="00C741F1" w:rsidRDefault="00524C5E" w:rsidP="00C741F1">
            <w:pPr>
              <w:pStyle w:val="ARtabletextright"/>
            </w:pPr>
            <w:r w:rsidRPr="00C741F1">
              <w:t>4</w:t>
            </w:r>
          </w:p>
        </w:tc>
        <w:tc>
          <w:tcPr>
            <w:tcW w:w="1208" w:type="dxa"/>
          </w:tcPr>
          <w:p w14:paraId="3642482C" w14:textId="77777777" w:rsidR="00524C5E" w:rsidRPr="00C741F1" w:rsidRDefault="00524C5E" w:rsidP="00C741F1">
            <w:pPr>
              <w:pStyle w:val="ARtabletextright"/>
            </w:pPr>
            <w:r w:rsidRPr="00C741F1">
              <w:t>1</w:t>
            </w:r>
          </w:p>
        </w:tc>
        <w:tc>
          <w:tcPr>
            <w:tcW w:w="1208" w:type="dxa"/>
            <w:tcBorders>
              <w:top w:val="single" w:sz="4" w:space="0" w:color="auto"/>
              <w:bottom w:val="single" w:sz="4" w:space="0" w:color="auto"/>
              <w:right w:val="single" w:sz="4" w:space="0" w:color="auto"/>
            </w:tcBorders>
          </w:tcPr>
          <w:p w14:paraId="27D7988D" w14:textId="77777777" w:rsidR="00524C5E" w:rsidRPr="00C741F1" w:rsidRDefault="00524C5E" w:rsidP="00C741F1">
            <w:pPr>
              <w:pStyle w:val="ARtabletextright"/>
            </w:pPr>
            <w:r w:rsidRPr="00C741F1">
              <w:t>5.0</w:t>
            </w:r>
          </w:p>
        </w:tc>
        <w:tc>
          <w:tcPr>
            <w:tcW w:w="1208" w:type="dxa"/>
            <w:tcBorders>
              <w:left w:val="single" w:sz="4" w:space="0" w:color="auto"/>
            </w:tcBorders>
          </w:tcPr>
          <w:p w14:paraId="15042787" w14:textId="77777777" w:rsidR="00524C5E" w:rsidRPr="00C741F1" w:rsidRDefault="00524C5E" w:rsidP="00C741F1">
            <w:pPr>
              <w:pStyle w:val="ARtabletextright"/>
            </w:pPr>
            <w:r w:rsidRPr="00C741F1">
              <w:t>22</w:t>
            </w:r>
          </w:p>
        </w:tc>
        <w:tc>
          <w:tcPr>
            <w:tcW w:w="1208" w:type="dxa"/>
          </w:tcPr>
          <w:p w14:paraId="5B6D1266" w14:textId="77777777" w:rsidR="00524C5E" w:rsidRPr="00C741F1" w:rsidRDefault="00524C5E" w:rsidP="00C741F1">
            <w:pPr>
              <w:pStyle w:val="ARtabletextright"/>
            </w:pPr>
            <w:r w:rsidRPr="00C741F1">
              <w:t>21.7</w:t>
            </w:r>
          </w:p>
        </w:tc>
      </w:tr>
      <w:tr w:rsidR="00524C5E" w:rsidRPr="002029AF" w14:paraId="33686939" w14:textId="77777777" w:rsidTr="00AF50BC">
        <w:trPr>
          <w:cantSplit w:val="0"/>
        </w:trPr>
        <w:tc>
          <w:tcPr>
            <w:tcW w:w="1208" w:type="dxa"/>
          </w:tcPr>
          <w:p w14:paraId="616E7BAF" w14:textId="77777777" w:rsidR="00524C5E" w:rsidRPr="00C741F1" w:rsidRDefault="00524C5E" w:rsidP="00C741F1">
            <w:pPr>
              <w:pStyle w:val="ARtabletext"/>
            </w:pPr>
            <w:r w:rsidRPr="00C741F1">
              <w:t>June 2020</w:t>
            </w:r>
          </w:p>
        </w:tc>
        <w:tc>
          <w:tcPr>
            <w:tcW w:w="1208" w:type="dxa"/>
          </w:tcPr>
          <w:p w14:paraId="668BDFEF" w14:textId="77777777" w:rsidR="00524C5E" w:rsidRPr="00C741F1" w:rsidRDefault="00524C5E" w:rsidP="00C741F1">
            <w:pPr>
              <w:pStyle w:val="ARtabletextright"/>
            </w:pPr>
            <w:r w:rsidRPr="00C741F1">
              <w:t>9</w:t>
            </w:r>
          </w:p>
        </w:tc>
        <w:tc>
          <w:tcPr>
            <w:tcW w:w="1208" w:type="dxa"/>
            <w:tcBorders>
              <w:top w:val="single" w:sz="4" w:space="0" w:color="auto"/>
              <w:right w:val="single" w:sz="4" w:space="0" w:color="auto"/>
            </w:tcBorders>
          </w:tcPr>
          <w:p w14:paraId="1F1AD23B" w14:textId="77777777" w:rsidR="00524C5E" w:rsidRPr="00C741F1" w:rsidRDefault="00524C5E" w:rsidP="00C741F1">
            <w:pPr>
              <w:pStyle w:val="ARtabletextright"/>
            </w:pPr>
            <w:r w:rsidRPr="00C741F1">
              <w:t>9.0</w:t>
            </w:r>
          </w:p>
        </w:tc>
        <w:tc>
          <w:tcPr>
            <w:tcW w:w="1208" w:type="dxa"/>
            <w:tcBorders>
              <w:left w:val="single" w:sz="4" w:space="0" w:color="auto"/>
            </w:tcBorders>
          </w:tcPr>
          <w:p w14:paraId="62FFE551" w14:textId="77777777" w:rsidR="00524C5E" w:rsidRPr="00C741F1" w:rsidRDefault="00524C5E" w:rsidP="00C741F1">
            <w:pPr>
              <w:pStyle w:val="ARtabletextright"/>
            </w:pPr>
            <w:r w:rsidRPr="00C741F1">
              <w:t>6</w:t>
            </w:r>
          </w:p>
        </w:tc>
        <w:tc>
          <w:tcPr>
            <w:tcW w:w="1208" w:type="dxa"/>
          </w:tcPr>
          <w:p w14:paraId="0E0D43FF" w14:textId="77777777" w:rsidR="00524C5E" w:rsidRPr="00C741F1" w:rsidRDefault="00524C5E" w:rsidP="00C741F1">
            <w:pPr>
              <w:pStyle w:val="ARtabletextright"/>
            </w:pPr>
            <w:r w:rsidRPr="00C741F1">
              <w:t>0</w:t>
            </w:r>
          </w:p>
        </w:tc>
        <w:tc>
          <w:tcPr>
            <w:tcW w:w="1208" w:type="dxa"/>
            <w:tcBorders>
              <w:top w:val="single" w:sz="4" w:space="0" w:color="auto"/>
              <w:right w:val="single" w:sz="4" w:space="0" w:color="auto"/>
            </w:tcBorders>
          </w:tcPr>
          <w:p w14:paraId="2DF652DF" w14:textId="77777777" w:rsidR="00524C5E" w:rsidRPr="00C741F1" w:rsidRDefault="00524C5E" w:rsidP="00C741F1">
            <w:pPr>
              <w:pStyle w:val="ARtabletextright"/>
            </w:pPr>
            <w:r w:rsidRPr="00C741F1">
              <w:t>6.0</w:t>
            </w:r>
          </w:p>
        </w:tc>
        <w:tc>
          <w:tcPr>
            <w:tcW w:w="1208" w:type="dxa"/>
            <w:tcBorders>
              <w:left w:val="single" w:sz="4" w:space="0" w:color="auto"/>
            </w:tcBorders>
          </w:tcPr>
          <w:p w14:paraId="5DD6088E" w14:textId="77777777" w:rsidR="00524C5E" w:rsidRPr="00C741F1" w:rsidRDefault="00524C5E" w:rsidP="00C741F1">
            <w:pPr>
              <w:pStyle w:val="ARtabletextright"/>
            </w:pPr>
            <w:r w:rsidRPr="00C741F1">
              <w:t>3</w:t>
            </w:r>
          </w:p>
        </w:tc>
        <w:tc>
          <w:tcPr>
            <w:tcW w:w="1208" w:type="dxa"/>
          </w:tcPr>
          <w:p w14:paraId="77131DBA" w14:textId="77777777" w:rsidR="00524C5E" w:rsidRPr="00C741F1" w:rsidRDefault="00524C5E" w:rsidP="00C741F1">
            <w:pPr>
              <w:pStyle w:val="ARtabletextright"/>
            </w:pPr>
            <w:r w:rsidRPr="00C741F1">
              <w:t>3.0</w:t>
            </w:r>
          </w:p>
        </w:tc>
      </w:tr>
    </w:tbl>
    <w:p w14:paraId="678C598C" w14:textId="77777777" w:rsidR="00524C5E" w:rsidRPr="00A80FB9" w:rsidRDefault="00524C5E" w:rsidP="00524C5E">
      <w:pPr>
        <w:pStyle w:val="ARbody"/>
      </w:pPr>
    </w:p>
    <w:p w14:paraId="0E544294" w14:textId="77777777" w:rsidR="00524C5E" w:rsidRPr="002029AF" w:rsidRDefault="00524C5E" w:rsidP="00897193">
      <w:pPr>
        <w:pStyle w:val="Heading6"/>
        <w:sectPr w:rsidR="00524C5E" w:rsidRPr="002029AF" w:rsidSect="00524C5E">
          <w:headerReference w:type="default" r:id="rId74"/>
          <w:footnotePr>
            <w:numFmt w:val="lowerLetter"/>
            <w:numRestart w:val="eachPage"/>
          </w:footnotePr>
          <w:endnotePr>
            <w:numFmt w:val="decimal"/>
          </w:endnotePr>
          <w:pgSz w:w="11906" w:h="16838" w:code="9"/>
          <w:pgMar w:top="1985" w:right="1134" w:bottom="851" w:left="1134" w:header="510" w:footer="340" w:gutter="0"/>
          <w:cols w:space="454"/>
          <w:docGrid w:linePitch="360"/>
        </w:sectPr>
      </w:pPr>
    </w:p>
    <w:p w14:paraId="518ADEC3" w14:textId="77777777" w:rsidR="00524C5E" w:rsidRDefault="00524C5E" w:rsidP="00FC001B">
      <w:pPr>
        <w:pStyle w:val="Heading4"/>
        <w:spacing w:before="0"/>
      </w:pPr>
      <w:bookmarkStart w:id="436" w:name="_Toc85121229"/>
      <w:r w:rsidRPr="002029AF">
        <w:lastRenderedPageBreak/>
        <w:t xml:space="preserve">Mental Health Reform Victoria employment levels in June of </w:t>
      </w:r>
      <w:r>
        <w:t>2020 and 2021</w:t>
      </w:r>
      <w:bookmarkEnd w:id="436"/>
    </w:p>
    <w:tbl>
      <w:tblPr>
        <w:tblStyle w:val="TableGrid"/>
        <w:tblW w:w="14005" w:type="dxa"/>
        <w:tblLook w:val="06A0" w:firstRow="1" w:lastRow="0" w:firstColumn="1" w:lastColumn="0" w:noHBand="1" w:noVBand="1"/>
      </w:tblPr>
      <w:tblGrid>
        <w:gridCol w:w="2429"/>
        <w:gridCol w:w="900"/>
        <w:gridCol w:w="810"/>
        <w:gridCol w:w="796"/>
        <w:gridCol w:w="795"/>
        <w:gridCol w:w="801"/>
        <w:gridCol w:w="899"/>
        <w:gridCol w:w="798"/>
        <w:gridCol w:w="899"/>
        <w:gridCol w:w="798"/>
        <w:gridCol w:w="795"/>
        <w:gridCol w:w="795"/>
        <w:gridCol w:w="801"/>
        <w:gridCol w:w="899"/>
        <w:gridCol w:w="790"/>
      </w:tblGrid>
      <w:tr w:rsidR="00524C5E" w:rsidRPr="002029AF" w14:paraId="1F2EC8A9" w14:textId="77777777" w:rsidTr="00524C5E">
        <w:trPr>
          <w:cnfStyle w:val="100000000000" w:firstRow="1" w:lastRow="0" w:firstColumn="0" w:lastColumn="0" w:oddVBand="0" w:evenVBand="0" w:oddHBand="0" w:evenHBand="0" w:firstRowFirstColumn="0" w:firstRowLastColumn="0" w:lastRowFirstColumn="0" w:lastRowLastColumn="0"/>
          <w:tblHeader/>
        </w:trPr>
        <w:tc>
          <w:tcPr>
            <w:tcW w:w="867" w:type="pct"/>
            <w:vMerge w:val="restart"/>
            <w:hideMark/>
          </w:tcPr>
          <w:p w14:paraId="5790C51E" w14:textId="77777777" w:rsidR="00524C5E" w:rsidRPr="002029AF" w:rsidRDefault="00524C5E" w:rsidP="00524C5E">
            <w:pPr>
              <w:pStyle w:val="ARtablecolhead"/>
              <w:spacing w:before="40" w:after="30"/>
            </w:pPr>
          </w:p>
        </w:tc>
        <w:tc>
          <w:tcPr>
            <w:tcW w:w="2070" w:type="pct"/>
            <w:gridSpan w:val="7"/>
            <w:tcBorders>
              <w:top w:val="nil"/>
              <w:right w:val="single" w:sz="4" w:space="0" w:color="auto"/>
            </w:tcBorders>
            <w:hideMark/>
          </w:tcPr>
          <w:p w14:paraId="67E6E76A" w14:textId="77777777" w:rsidR="00524C5E" w:rsidRPr="002029AF" w:rsidRDefault="00524C5E" w:rsidP="00524C5E">
            <w:pPr>
              <w:pStyle w:val="ARtablecolheadcentre"/>
              <w:spacing w:before="40" w:after="30"/>
            </w:pPr>
            <w:r w:rsidRPr="002029AF">
              <w:t>June 202</w:t>
            </w:r>
            <w:r>
              <w:t>1</w:t>
            </w:r>
          </w:p>
        </w:tc>
        <w:tc>
          <w:tcPr>
            <w:tcW w:w="2062" w:type="pct"/>
            <w:gridSpan w:val="7"/>
            <w:tcBorders>
              <w:left w:val="single" w:sz="4" w:space="0" w:color="auto"/>
            </w:tcBorders>
            <w:hideMark/>
          </w:tcPr>
          <w:p w14:paraId="2048AD58" w14:textId="77777777" w:rsidR="00524C5E" w:rsidRPr="002029AF" w:rsidRDefault="00524C5E" w:rsidP="00524C5E">
            <w:pPr>
              <w:pStyle w:val="ARtablecolheadcentre"/>
              <w:spacing w:before="40" w:after="30"/>
            </w:pPr>
            <w:r w:rsidRPr="002029AF">
              <w:t>June 20</w:t>
            </w:r>
            <w:r>
              <w:t>20</w:t>
            </w:r>
          </w:p>
        </w:tc>
      </w:tr>
      <w:tr w:rsidR="00524C5E" w:rsidRPr="002029AF" w14:paraId="4E37C92A" w14:textId="77777777" w:rsidTr="00524C5E">
        <w:trPr>
          <w:cnfStyle w:val="100000000000" w:firstRow="1" w:lastRow="0" w:firstColumn="0" w:lastColumn="0" w:oddVBand="0" w:evenVBand="0" w:oddHBand="0" w:evenHBand="0" w:firstRowFirstColumn="0" w:firstRowLastColumn="0" w:lastRowFirstColumn="0" w:lastRowLastColumn="0"/>
          <w:tblHeader/>
        </w:trPr>
        <w:tc>
          <w:tcPr>
            <w:tcW w:w="867" w:type="pct"/>
            <w:vMerge/>
            <w:hideMark/>
          </w:tcPr>
          <w:p w14:paraId="60D4BE01" w14:textId="77777777" w:rsidR="00524C5E" w:rsidRPr="002029AF" w:rsidRDefault="00524C5E" w:rsidP="00524C5E">
            <w:pPr>
              <w:spacing w:before="40" w:after="30" w:line="240" w:lineRule="auto"/>
              <w:rPr>
                <w:rFonts w:ascii="Calibri" w:eastAsia="Times New Roman" w:hAnsi="Calibri" w:cs="Calibri"/>
                <w:i/>
                <w:iCs/>
                <w:color w:val="000000"/>
                <w:sz w:val="15"/>
                <w:szCs w:val="15"/>
              </w:rPr>
            </w:pPr>
          </w:p>
        </w:tc>
        <w:tc>
          <w:tcPr>
            <w:tcW w:w="610" w:type="pct"/>
            <w:gridSpan w:val="2"/>
            <w:tcBorders>
              <w:top w:val="single" w:sz="4" w:space="0" w:color="auto"/>
              <w:bottom w:val="single" w:sz="4" w:space="0" w:color="auto"/>
              <w:right w:val="single" w:sz="4" w:space="0" w:color="auto"/>
            </w:tcBorders>
            <w:hideMark/>
          </w:tcPr>
          <w:p w14:paraId="5C8A188F" w14:textId="77777777" w:rsidR="00524C5E" w:rsidRPr="002029AF" w:rsidRDefault="00524C5E" w:rsidP="00524C5E">
            <w:pPr>
              <w:pStyle w:val="ARtablecolheadcentre"/>
            </w:pPr>
            <w:r w:rsidRPr="002029AF">
              <w:t>All employees</w:t>
            </w:r>
          </w:p>
        </w:tc>
        <w:tc>
          <w:tcPr>
            <w:tcW w:w="854" w:type="pct"/>
            <w:gridSpan w:val="3"/>
            <w:tcBorders>
              <w:top w:val="single" w:sz="4" w:space="0" w:color="auto"/>
              <w:left w:val="single" w:sz="4" w:space="0" w:color="auto"/>
              <w:right w:val="single" w:sz="4" w:space="0" w:color="auto"/>
            </w:tcBorders>
            <w:hideMark/>
          </w:tcPr>
          <w:p w14:paraId="38DD0AE1" w14:textId="77777777" w:rsidR="00524C5E" w:rsidRPr="002029AF" w:rsidRDefault="00524C5E" w:rsidP="00524C5E">
            <w:pPr>
              <w:pStyle w:val="ARtablecolheadcentre"/>
            </w:pPr>
            <w:r w:rsidRPr="002029AF">
              <w:t>Ongoing</w:t>
            </w:r>
          </w:p>
        </w:tc>
        <w:tc>
          <w:tcPr>
            <w:tcW w:w="606" w:type="pct"/>
            <w:gridSpan w:val="2"/>
            <w:tcBorders>
              <w:top w:val="single" w:sz="4" w:space="0" w:color="auto"/>
              <w:left w:val="single" w:sz="4" w:space="0" w:color="auto"/>
              <w:right w:val="single" w:sz="4" w:space="0" w:color="auto"/>
            </w:tcBorders>
            <w:hideMark/>
          </w:tcPr>
          <w:p w14:paraId="12F726EB" w14:textId="5F36FC60" w:rsidR="00524C5E" w:rsidRPr="002029AF" w:rsidRDefault="00524C5E" w:rsidP="004B3ED8">
            <w:pPr>
              <w:pStyle w:val="ARtablecolheadcentre"/>
            </w:pPr>
            <w:r w:rsidRPr="002029AF">
              <w:t>Fixed</w:t>
            </w:r>
            <w:r w:rsidR="004B3ED8">
              <w:t>-</w:t>
            </w:r>
            <w:r w:rsidRPr="002029AF">
              <w:t>term and casual</w:t>
            </w:r>
          </w:p>
        </w:tc>
        <w:tc>
          <w:tcPr>
            <w:tcW w:w="606" w:type="pct"/>
            <w:gridSpan w:val="2"/>
            <w:tcBorders>
              <w:top w:val="single" w:sz="4" w:space="0" w:color="auto"/>
              <w:left w:val="single" w:sz="4" w:space="0" w:color="auto"/>
              <w:right w:val="single" w:sz="4" w:space="0" w:color="auto"/>
            </w:tcBorders>
            <w:hideMark/>
          </w:tcPr>
          <w:p w14:paraId="2E9CBC4C" w14:textId="77777777" w:rsidR="00524C5E" w:rsidRPr="002029AF" w:rsidRDefault="00524C5E" w:rsidP="00524C5E">
            <w:pPr>
              <w:pStyle w:val="ARtablecolheadcentre"/>
            </w:pPr>
            <w:r w:rsidRPr="002029AF">
              <w:t>All employees</w:t>
            </w:r>
          </w:p>
        </w:tc>
        <w:tc>
          <w:tcPr>
            <w:tcW w:w="854" w:type="pct"/>
            <w:gridSpan w:val="3"/>
            <w:tcBorders>
              <w:top w:val="single" w:sz="4" w:space="0" w:color="auto"/>
              <w:left w:val="single" w:sz="4" w:space="0" w:color="auto"/>
              <w:right w:val="single" w:sz="4" w:space="0" w:color="auto"/>
            </w:tcBorders>
            <w:hideMark/>
          </w:tcPr>
          <w:p w14:paraId="4DF0688E" w14:textId="77777777" w:rsidR="00524C5E" w:rsidRPr="002029AF" w:rsidRDefault="00524C5E" w:rsidP="00524C5E">
            <w:pPr>
              <w:pStyle w:val="ARtablecolheadcentre"/>
            </w:pPr>
            <w:r w:rsidRPr="002029AF">
              <w:t>Ongoing</w:t>
            </w:r>
          </w:p>
        </w:tc>
        <w:tc>
          <w:tcPr>
            <w:tcW w:w="603" w:type="pct"/>
            <w:gridSpan w:val="2"/>
            <w:tcBorders>
              <w:left w:val="single" w:sz="4" w:space="0" w:color="auto"/>
            </w:tcBorders>
            <w:hideMark/>
          </w:tcPr>
          <w:p w14:paraId="1AE7EB3A" w14:textId="5B7CE3D6" w:rsidR="00524C5E" w:rsidRPr="002029AF" w:rsidRDefault="00524C5E" w:rsidP="004B3ED8">
            <w:pPr>
              <w:pStyle w:val="ARtablecolheadcentre"/>
            </w:pPr>
            <w:r w:rsidRPr="002029AF">
              <w:t>Fixed</w:t>
            </w:r>
            <w:r w:rsidR="004B3ED8">
              <w:t>-</w:t>
            </w:r>
            <w:r w:rsidRPr="002029AF">
              <w:t>term and casual</w:t>
            </w:r>
          </w:p>
        </w:tc>
      </w:tr>
      <w:tr w:rsidR="00524C5E" w:rsidRPr="002029AF" w14:paraId="662B05A5" w14:textId="77777777" w:rsidTr="00524C5E">
        <w:trPr>
          <w:cnfStyle w:val="100000000000" w:firstRow="1" w:lastRow="0" w:firstColumn="0" w:lastColumn="0" w:oddVBand="0" w:evenVBand="0" w:oddHBand="0" w:evenHBand="0" w:firstRowFirstColumn="0" w:firstRowLastColumn="0" w:lastRowFirstColumn="0" w:lastRowLastColumn="0"/>
          <w:tblHeader/>
        </w:trPr>
        <w:tc>
          <w:tcPr>
            <w:tcW w:w="867" w:type="pct"/>
            <w:vMerge/>
            <w:hideMark/>
          </w:tcPr>
          <w:p w14:paraId="4D2D39D5" w14:textId="77777777" w:rsidR="00524C5E" w:rsidRPr="002029AF" w:rsidRDefault="00524C5E" w:rsidP="00524C5E">
            <w:pPr>
              <w:spacing w:before="40" w:after="30" w:line="240" w:lineRule="auto"/>
              <w:rPr>
                <w:rFonts w:ascii="Calibri" w:eastAsia="Times New Roman" w:hAnsi="Calibri" w:cs="Calibri"/>
                <w:i/>
                <w:iCs/>
                <w:color w:val="000000"/>
                <w:sz w:val="15"/>
                <w:szCs w:val="15"/>
              </w:rPr>
            </w:pPr>
          </w:p>
        </w:tc>
        <w:tc>
          <w:tcPr>
            <w:tcW w:w="321" w:type="pct"/>
            <w:tcBorders>
              <w:top w:val="single" w:sz="4" w:space="0" w:color="auto"/>
            </w:tcBorders>
            <w:hideMark/>
          </w:tcPr>
          <w:p w14:paraId="5B107798" w14:textId="77777777" w:rsidR="00524C5E" w:rsidRPr="002029AF" w:rsidRDefault="00524C5E" w:rsidP="00524C5E">
            <w:pPr>
              <w:pStyle w:val="ARtablecolheadright"/>
              <w:spacing w:before="40" w:after="30"/>
            </w:pPr>
            <w:r w:rsidRPr="002029AF">
              <w:t>Number (head count)</w:t>
            </w:r>
          </w:p>
        </w:tc>
        <w:tc>
          <w:tcPr>
            <w:tcW w:w="289" w:type="pct"/>
            <w:tcBorders>
              <w:top w:val="single" w:sz="4" w:space="0" w:color="auto"/>
              <w:right w:val="single" w:sz="4" w:space="0" w:color="auto"/>
            </w:tcBorders>
            <w:hideMark/>
          </w:tcPr>
          <w:p w14:paraId="21C8EC8B" w14:textId="77777777" w:rsidR="00524C5E" w:rsidRPr="002029AF" w:rsidRDefault="00524C5E" w:rsidP="00524C5E">
            <w:pPr>
              <w:pStyle w:val="ARtablecolheadright"/>
              <w:spacing w:before="40" w:after="30"/>
            </w:pPr>
            <w:r w:rsidRPr="002029AF">
              <w:t>FTE</w:t>
            </w:r>
          </w:p>
        </w:tc>
        <w:tc>
          <w:tcPr>
            <w:tcW w:w="284" w:type="pct"/>
            <w:tcBorders>
              <w:left w:val="single" w:sz="4" w:space="0" w:color="auto"/>
            </w:tcBorders>
            <w:hideMark/>
          </w:tcPr>
          <w:p w14:paraId="342760AC" w14:textId="77777777" w:rsidR="00524C5E" w:rsidRPr="002029AF" w:rsidRDefault="00524C5E" w:rsidP="00524C5E">
            <w:pPr>
              <w:pStyle w:val="ARtablecolheadright"/>
              <w:spacing w:before="40" w:after="30"/>
            </w:pPr>
            <w:r w:rsidRPr="002029AF">
              <w:t>Full-time (head count)</w:t>
            </w:r>
          </w:p>
        </w:tc>
        <w:tc>
          <w:tcPr>
            <w:tcW w:w="284" w:type="pct"/>
            <w:hideMark/>
          </w:tcPr>
          <w:p w14:paraId="65B46798" w14:textId="77777777" w:rsidR="00524C5E" w:rsidRPr="002029AF" w:rsidRDefault="00524C5E" w:rsidP="00524C5E">
            <w:pPr>
              <w:pStyle w:val="ARtablecolheadright"/>
              <w:spacing w:before="40" w:after="30"/>
            </w:pPr>
            <w:r w:rsidRPr="002029AF">
              <w:t>Part-time (head count)</w:t>
            </w:r>
          </w:p>
        </w:tc>
        <w:tc>
          <w:tcPr>
            <w:tcW w:w="286" w:type="pct"/>
            <w:tcBorders>
              <w:top w:val="single" w:sz="4" w:space="0" w:color="auto"/>
              <w:right w:val="single" w:sz="4" w:space="0" w:color="auto"/>
            </w:tcBorders>
            <w:hideMark/>
          </w:tcPr>
          <w:p w14:paraId="54F72C80" w14:textId="77777777" w:rsidR="00524C5E" w:rsidRPr="002029AF" w:rsidRDefault="00524C5E" w:rsidP="00524C5E">
            <w:pPr>
              <w:pStyle w:val="ARtablecolheadright"/>
              <w:spacing w:before="40" w:after="30"/>
            </w:pPr>
            <w:r w:rsidRPr="002029AF">
              <w:t>FTE</w:t>
            </w:r>
          </w:p>
        </w:tc>
        <w:tc>
          <w:tcPr>
            <w:tcW w:w="321" w:type="pct"/>
            <w:tcBorders>
              <w:left w:val="single" w:sz="4" w:space="0" w:color="auto"/>
            </w:tcBorders>
            <w:hideMark/>
          </w:tcPr>
          <w:p w14:paraId="29731520" w14:textId="77777777" w:rsidR="00524C5E" w:rsidRPr="002029AF" w:rsidRDefault="00524C5E" w:rsidP="00524C5E">
            <w:pPr>
              <w:pStyle w:val="ARtablecolheadright"/>
              <w:spacing w:before="40" w:after="30"/>
            </w:pPr>
            <w:r w:rsidRPr="002029AF">
              <w:t>Number (head count)</w:t>
            </w:r>
          </w:p>
        </w:tc>
        <w:tc>
          <w:tcPr>
            <w:tcW w:w="285" w:type="pct"/>
            <w:tcBorders>
              <w:top w:val="single" w:sz="4" w:space="0" w:color="auto"/>
              <w:right w:val="single" w:sz="4" w:space="0" w:color="auto"/>
            </w:tcBorders>
            <w:hideMark/>
          </w:tcPr>
          <w:p w14:paraId="3EFE324F" w14:textId="77777777" w:rsidR="00524C5E" w:rsidRPr="002029AF" w:rsidRDefault="00524C5E" w:rsidP="00524C5E">
            <w:pPr>
              <w:pStyle w:val="ARtablecolheadright"/>
              <w:spacing w:before="40" w:after="30"/>
            </w:pPr>
            <w:r w:rsidRPr="002029AF">
              <w:t>FTE</w:t>
            </w:r>
          </w:p>
        </w:tc>
        <w:tc>
          <w:tcPr>
            <w:tcW w:w="321" w:type="pct"/>
            <w:tcBorders>
              <w:left w:val="single" w:sz="4" w:space="0" w:color="auto"/>
            </w:tcBorders>
            <w:hideMark/>
          </w:tcPr>
          <w:p w14:paraId="38DCD7B1" w14:textId="77777777" w:rsidR="00524C5E" w:rsidRPr="002029AF" w:rsidRDefault="00524C5E" w:rsidP="00524C5E">
            <w:pPr>
              <w:pStyle w:val="ARtablecolheadright"/>
              <w:spacing w:before="40" w:after="30"/>
            </w:pPr>
            <w:r w:rsidRPr="002029AF">
              <w:t>Number (head count)</w:t>
            </w:r>
          </w:p>
        </w:tc>
        <w:tc>
          <w:tcPr>
            <w:tcW w:w="285" w:type="pct"/>
            <w:tcBorders>
              <w:top w:val="single" w:sz="4" w:space="0" w:color="auto"/>
              <w:right w:val="single" w:sz="4" w:space="0" w:color="auto"/>
            </w:tcBorders>
            <w:hideMark/>
          </w:tcPr>
          <w:p w14:paraId="0B4B76B9" w14:textId="77777777" w:rsidR="00524C5E" w:rsidRPr="002029AF" w:rsidRDefault="00524C5E" w:rsidP="00524C5E">
            <w:pPr>
              <w:pStyle w:val="ARtablecolheadright"/>
              <w:spacing w:before="40" w:after="30"/>
            </w:pPr>
            <w:r w:rsidRPr="002029AF">
              <w:t>FTE</w:t>
            </w:r>
          </w:p>
        </w:tc>
        <w:tc>
          <w:tcPr>
            <w:tcW w:w="284" w:type="pct"/>
            <w:tcBorders>
              <w:left w:val="single" w:sz="4" w:space="0" w:color="auto"/>
            </w:tcBorders>
            <w:hideMark/>
          </w:tcPr>
          <w:p w14:paraId="69164D61" w14:textId="77777777" w:rsidR="00524C5E" w:rsidRPr="002029AF" w:rsidRDefault="00524C5E" w:rsidP="00524C5E">
            <w:pPr>
              <w:pStyle w:val="ARtablecolheadright"/>
              <w:spacing w:before="40" w:after="30"/>
            </w:pPr>
            <w:r w:rsidRPr="002029AF">
              <w:t>Full-time (head count)</w:t>
            </w:r>
          </w:p>
        </w:tc>
        <w:tc>
          <w:tcPr>
            <w:tcW w:w="284" w:type="pct"/>
            <w:hideMark/>
          </w:tcPr>
          <w:p w14:paraId="17A36898" w14:textId="77777777" w:rsidR="00524C5E" w:rsidRPr="002029AF" w:rsidRDefault="00524C5E" w:rsidP="00524C5E">
            <w:pPr>
              <w:pStyle w:val="ARtablecolheadright"/>
              <w:spacing w:before="40" w:after="30"/>
            </w:pPr>
            <w:r w:rsidRPr="002029AF">
              <w:t>Part-time (head count)</w:t>
            </w:r>
          </w:p>
        </w:tc>
        <w:tc>
          <w:tcPr>
            <w:tcW w:w="286" w:type="pct"/>
            <w:tcBorders>
              <w:top w:val="single" w:sz="4" w:space="0" w:color="auto"/>
              <w:bottom w:val="single" w:sz="4" w:space="0" w:color="auto"/>
              <w:right w:val="single" w:sz="4" w:space="0" w:color="auto"/>
            </w:tcBorders>
            <w:hideMark/>
          </w:tcPr>
          <w:p w14:paraId="72F04756" w14:textId="77777777" w:rsidR="00524C5E" w:rsidRPr="002029AF" w:rsidRDefault="00524C5E" w:rsidP="00524C5E">
            <w:pPr>
              <w:pStyle w:val="ARtablecolheadright"/>
              <w:spacing w:before="40" w:after="30"/>
            </w:pPr>
            <w:r w:rsidRPr="002029AF">
              <w:t>FTE</w:t>
            </w:r>
          </w:p>
        </w:tc>
        <w:tc>
          <w:tcPr>
            <w:tcW w:w="321" w:type="pct"/>
            <w:tcBorders>
              <w:left w:val="single" w:sz="4" w:space="0" w:color="auto"/>
            </w:tcBorders>
            <w:hideMark/>
          </w:tcPr>
          <w:p w14:paraId="06EDB052" w14:textId="77777777" w:rsidR="00524C5E" w:rsidRPr="002029AF" w:rsidRDefault="00524C5E" w:rsidP="00524C5E">
            <w:pPr>
              <w:pStyle w:val="ARtablecolheadright"/>
              <w:spacing w:before="40" w:after="30"/>
            </w:pPr>
            <w:r w:rsidRPr="002029AF">
              <w:t>Number (head count)</w:t>
            </w:r>
          </w:p>
        </w:tc>
        <w:tc>
          <w:tcPr>
            <w:tcW w:w="282" w:type="pct"/>
            <w:hideMark/>
          </w:tcPr>
          <w:p w14:paraId="6791F9DA" w14:textId="77777777" w:rsidR="00524C5E" w:rsidRPr="002029AF" w:rsidRDefault="00524C5E" w:rsidP="00524C5E">
            <w:pPr>
              <w:pStyle w:val="ARtablecolheadright"/>
              <w:spacing w:before="40" w:after="30"/>
            </w:pPr>
            <w:r w:rsidRPr="002029AF">
              <w:t>FTE</w:t>
            </w:r>
          </w:p>
        </w:tc>
      </w:tr>
      <w:tr w:rsidR="00524C5E" w:rsidRPr="002029AF" w14:paraId="0A17EC2E" w14:textId="77777777" w:rsidTr="00524C5E">
        <w:tc>
          <w:tcPr>
            <w:tcW w:w="867" w:type="pct"/>
            <w:hideMark/>
          </w:tcPr>
          <w:p w14:paraId="1B8488E6" w14:textId="77777777" w:rsidR="00524C5E" w:rsidRPr="002029AF" w:rsidRDefault="00524C5E" w:rsidP="00524C5E">
            <w:pPr>
              <w:pStyle w:val="ARtablesubhead"/>
              <w:spacing w:before="40" w:after="30"/>
            </w:pPr>
            <w:r w:rsidRPr="002029AF">
              <w:t>Gender</w:t>
            </w:r>
          </w:p>
        </w:tc>
        <w:tc>
          <w:tcPr>
            <w:tcW w:w="321" w:type="pct"/>
            <w:tcBorders>
              <w:top w:val="single" w:sz="4" w:space="0" w:color="auto"/>
            </w:tcBorders>
          </w:tcPr>
          <w:p w14:paraId="46849FFE" w14:textId="77777777" w:rsidR="00524C5E" w:rsidRPr="002029AF" w:rsidRDefault="00524C5E" w:rsidP="00524C5E">
            <w:pPr>
              <w:pStyle w:val="ARtabletextright"/>
              <w:spacing w:before="40" w:after="30"/>
            </w:pPr>
          </w:p>
        </w:tc>
        <w:tc>
          <w:tcPr>
            <w:tcW w:w="289" w:type="pct"/>
            <w:tcBorders>
              <w:top w:val="single" w:sz="4" w:space="0" w:color="auto"/>
              <w:right w:val="single" w:sz="4" w:space="0" w:color="auto"/>
            </w:tcBorders>
          </w:tcPr>
          <w:p w14:paraId="68FAB534" w14:textId="77777777" w:rsidR="00524C5E" w:rsidRPr="002029AF" w:rsidRDefault="00524C5E" w:rsidP="00524C5E">
            <w:pPr>
              <w:pStyle w:val="ARtabletextright"/>
              <w:spacing w:before="40" w:after="30"/>
            </w:pPr>
          </w:p>
        </w:tc>
        <w:tc>
          <w:tcPr>
            <w:tcW w:w="284" w:type="pct"/>
            <w:tcBorders>
              <w:left w:val="single" w:sz="4" w:space="0" w:color="auto"/>
            </w:tcBorders>
          </w:tcPr>
          <w:p w14:paraId="7506753D" w14:textId="77777777" w:rsidR="00524C5E" w:rsidRPr="002029AF" w:rsidRDefault="00524C5E" w:rsidP="00524C5E">
            <w:pPr>
              <w:pStyle w:val="ARtabletextright"/>
              <w:spacing w:before="40" w:after="30"/>
            </w:pPr>
          </w:p>
        </w:tc>
        <w:tc>
          <w:tcPr>
            <w:tcW w:w="284" w:type="pct"/>
          </w:tcPr>
          <w:p w14:paraId="13CC8DD7" w14:textId="77777777" w:rsidR="00524C5E" w:rsidRPr="002029AF" w:rsidRDefault="00524C5E" w:rsidP="00524C5E">
            <w:pPr>
              <w:pStyle w:val="ARtabletextright"/>
              <w:spacing w:before="40" w:after="30"/>
            </w:pPr>
          </w:p>
        </w:tc>
        <w:tc>
          <w:tcPr>
            <w:tcW w:w="286" w:type="pct"/>
            <w:tcBorders>
              <w:top w:val="single" w:sz="4" w:space="0" w:color="auto"/>
              <w:right w:val="single" w:sz="4" w:space="0" w:color="auto"/>
            </w:tcBorders>
          </w:tcPr>
          <w:p w14:paraId="296A1B24" w14:textId="77777777" w:rsidR="00524C5E" w:rsidRPr="002029AF" w:rsidRDefault="00524C5E" w:rsidP="00524C5E">
            <w:pPr>
              <w:pStyle w:val="ARtabletextright"/>
              <w:spacing w:before="40" w:after="30"/>
            </w:pPr>
          </w:p>
        </w:tc>
        <w:tc>
          <w:tcPr>
            <w:tcW w:w="321" w:type="pct"/>
            <w:tcBorders>
              <w:left w:val="single" w:sz="4" w:space="0" w:color="auto"/>
            </w:tcBorders>
          </w:tcPr>
          <w:p w14:paraId="66A00A18" w14:textId="77777777" w:rsidR="00524C5E" w:rsidRPr="002029AF" w:rsidRDefault="00524C5E" w:rsidP="00524C5E">
            <w:pPr>
              <w:pStyle w:val="ARtabletextright"/>
              <w:spacing w:before="40" w:after="30"/>
            </w:pPr>
          </w:p>
        </w:tc>
        <w:tc>
          <w:tcPr>
            <w:tcW w:w="285" w:type="pct"/>
            <w:tcBorders>
              <w:top w:val="single" w:sz="4" w:space="0" w:color="auto"/>
              <w:right w:val="single" w:sz="4" w:space="0" w:color="auto"/>
            </w:tcBorders>
          </w:tcPr>
          <w:p w14:paraId="24B028A4" w14:textId="77777777" w:rsidR="00524C5E" w:rsidRPr="002029AF" w:rsidRDefault="00524C5E" w:rsidP="00524C5E">
            <w:pPr>
              <w:pStyle w:val="ARtabletextright"/>
              <w:spacing w:before="40" w:after="30"/>
            </w:pPr>
          </w:p>
        </w:tc>
        <w:tc>
          <w:tcPr>
            <w:tcW w:w="321" w:type="pct"/>
            <w:tcBorders>
              <w:left w:val="single" w:sz="4" w:space="0" w:color="auto"/>
            </w:tcBorders>
          </w:tcPr>
          <w:p w14:paraId="1513E0F7" w14:textId="77777777" w:rsidR="00524C5E" w:rsidRPr="002029AF" w:rsidRDefault="00524C5E" w:rsidP="00524C5E">
            <w:pPr>
              <w:pStyle w:val="ARtabletextright"/>
              <w:spacing w:before="40" w:after="30"/>
            </w:pPr>
          </w:p>
        </w:tc>
        <w:tc>
          <w:tcPr>
            <w:tcW w:w="285" w:type="pct"/>
            <w:tcBorders>
              <w:top w:val="single" w:sz="4" w:space="0" w:color="auto"/>
              <w:right w:val="single" w:sz="4" w:space="0" w:color="auto"/>
            </w:tcBorders>
          </w:tcPr>
          <w:p w14:paraId="36AA1EDA" w14:textId="77777777" w:rsidR="00524C5E" w:rsidRPr="002029AF" w:rsidRDefault="00524C5E" w:rsidP="00524C5E">
            <w:pPr>
              <w:pStyle w:val="ARtabletextright"/>
              <w:spacing w:before="40" w:after="30"/>
            </w:pPr>
          </w:p>
        </w:tc>
        <w:tc>
          <w:tcPr>
            <w:tcW w:w="284" w:type="pct"/>
            <w:tcBorders>
              <w:left w:val="single" w:sz="4" w:space="0" w:color="auto"/>
            </w:tcBorders>
          </w:tcPr>
          <w:p w14:paraId="376E50BC" w14:textId="77777777" w:rsidR="00524C5E" w:rsidRPr="002029AF" w:rsidRDefault="00524C5E" w:rsidP="00524C5E">
            <w:pPr>
              <w:pStyle w:val="ARtabletextright"/>
              <w:spacing w:before="40" w:after="30"/>
            </w:pPr>
          </w:p>
        </w:tc>
        <w:tc>
          <w:tcPr>
            <w:tcW w:w="284" w:type="pct"/>
          </w:tcPr>
          <w:p w14:paraId="1E1C1756" w14:textId="77777777" w:rsidR="00524C5E" w:rsidRPr="002029AF" w:rsidRDefault="00524C5E" w:rsidP="00524C5E">
            <w:pPr>
              <w:pStyle w:val="ARtabletextright"/>
              <w:spacing w:before="40" w:after="30"/>
            </w:pPr>
          </w:p>
        </w:tc>
        <w:tc>
          <w:tcPr>
            <w:tcW w:w="286" w:type="pct"/>
            <w:tcBorders>
              <w:top w:val="single" w:sz="4" w:space="0" w:color="auto"/>
              <w:right w:val="single" w:sz="4" w:space="0" w:color="auto"/>
            </w:tcBorders>
          </w:tcPr>
          <w:p w14:paraId="36B80C52" w14:textId="77777777" w:rsidR="00524C5E" w:rsidRPr="002029AF" w:rsidRDefault="00524C5E" w:rsidP="00524C5E">
            <w:pPr>
              <w:pStyle w:val="ARtabletextright"/>
              <w:spacing w:before="40" w:after="30"/>
            </w:pPr>
          </w:p>
        </w:tc>
        <w:tc>
          <w:tcPr>
            <w:tcW w:w="321" w:type="pct"/>
            <w:tcBorders>
              <w:left w:val="single" w:sz="4" w:space="0" w:color="auto"/>
            </w:tcBorders>
          </w:tcPr>
          <w:p w14:paraId="4DBD639B" w14:textId="77777777" w:rsidR="00524C5E" w:rsidRPr="002029AF" w:rsidRDefault="00524C5E" w:rsidP="00524C5E">
            <w:pPr>
              <w:pStyle w:val="ARtabletextright"/>
              <w:spacing w:before="40" w:after="30"/>
            </w:pPr>
          </w:p>
        </w:tc>
        <w:tc>
          <w:tcPr>
            <w:tcW w:w="282" w:type="pct"/>
          </w:tcPr>
          <w:p w14:paraId="75A30586" w14:textId="77777777" w:rsidR="00524C5E" w:rsidRPr="002029AF" w:rsidRDefault="00524C5E" w:rsidP="00524C5E">
            <w:pPr>
              <w:pStyle w:val="ARtabletextright"/>
              <w:spacing w:before="40" w:after="30"/>
            </w:pPr>
          </w:p>
        </w:tc>
      </w:tr>
      <w:tr w:rsidR="00524C5E" w:rsidRPr="002029AF" w14:paraId="44C026B0" w14:textId="77777777" w:rsidTr="00524C5E">
        <w:tc>
          <w:tcPr>
            <w:tcW w:w="867" w:type="pct"/>
          </w:tcPr>
          <w:p w14:paraId="52CC55FC" w14:textId="77777777" w:rsidR="00524C5E" w:rsidRPr="002029AF" w:rsidRDefault="00524C5E" w:rsidP="00524C5E">
            <w:pPr>
              <w:pStyle w:val="ARtabletext"/>
              <w:spacing w:before="40" w:after="30"/>
            </w:pPr>
            <w:r w:rsidRPr="002029AF">
              <w:t>Women</w:t>
            </w:r>
          </w:p>
        </w:tc>
        <w:tc>
          <w:tcPr>
            <w:tcW w:w="321" w:type="pct"/>
            <w:tcBorders>
              <w:top w:val="single" w:sz="4" w:space="0" w:color="auto"/>
            </w:tcBorders>
          </w:tcPr>
          <w:p w14:paraId="040B8402" w14:textId="77777777" w:rsidR="00524C5E" w:rsidRPr="002029AF" w:rsidRDefault="00524C5E" w:rsidP="00524C5E">
            <w:pPr>
              <w:pStyle w:val="ARtabletextright"/>
              <w:spacing w:before="40" w:after="30"/>
            </w:pPr>
            <w:r>
              <w:t>21</w:t>
            </w:r>
          </w:p>
        </w:tc>
        <w:tc>
          <w:tcPr>
            <w:tcW w:w="289" w:type="pct"/>
            <w:tcBorders>
              <w:top w:val="single" w:sz="4" w:space="0" w:color="auto"/>
              <w:right w:val="single" w:sz="4" w:space="0" w:color="auto"/>
            </w:tcBorders>
          </w:tcPr>
          <w:p w14:paraId="48D403F0" w14:textId="77777777" w:rsidR="00524C5E" w:rsidRPr="002029AF" w:rsidRDefault="00524C5E" w:rsidP="00524C5E">
            <w:pPr>
              <w:pStyle w:val="ARtabletextright"/>
              <w:spacing w:before="40" w:after="30"/>
            </w:pPr>
            <w:r>
              <w:t>20.9</w:t>
            </w:r>
          </w:p>
        </w:tc>
        <w:tc>
          <w:tcPr>
            <w:tcW w:w="284" w:type="pct"/>
            <w:tcBorders>
              <w:left w:val="single" w:sz="4" w:space="0" w:color="auto"/>
            </w:tcBorders>
          </w:tcPr>
          <w:p w14:paraId="08A7E568" w14:textId="77777777" w:rsidR="00524C5E" w:rsidRPr="002029AF" w:rsidRDefault="00524C5E" w:rsidP="00524C5E">
            <w:pPr>
              <w:pStyle w:val="ARtabletextright"/>
              <w:spacing w:before="40" w:after="30"/>
            </w:pPr>
            <w:r>
              <w:t>3</w:t>
            </w:r>
          </w:p>
        </w:tc>
        <w:tc>
          <w:tcPr>
            <w:tcW w:w="284" w:type="pct"/>
          </w:tcPr>
          <w:p w14:paraId="2C188ABE" w14:textId="77777777" w:rsidR="00524C5E" w:rsidRPr="002029AF" w:rsidRDefault="00524C5E" w:rsidP="00524C5E">
            <w:pPr>
              <w:pStyle w:val="ARtabletextright"/>
              <w:spacing w:before="40" w:after="30"/>
            </w:pPr>
            <w:r>
              <w:t>1</w:t>
            </w:r>
          </w:p>
        </w:tc>
        <w:tc>
          <w:tcPr>
            <w:tcW w:w="286" w:type="pct"/>
            <w:tcBorders>
              <w:top w:val="single" w:sz="4" w:space="0" w:color="auto"/>
              <w:right w:val="single" w:sz="4" w:space="0" w:color="auto"/>
            </w:tcBorders>
          </w:tcPr>
          <w:p w14:paraId="448F6B32" w14:textId="77777777" w:rsidR="00524C5E" w:rsidRPr="002029AF" w:rsidRDefault="00524C5E" w:rsidP="00524C5E">
            <w:pPr>
              <w:pStyle w:val="ARtabletextright"/>
              <w:spacing w:before="40" w:after="30"/>
            </w:pPr>
            <w:r>
              <w:t>4.0</w:t>
            </w:r>
          </w:p>
        </w:tc>
        <w:tc>
          <w:tcPr>
            <w:tcW w:w="321" w:type="pct"/>
            <w:tcBorders>
              <w:left w:val="single" w:sz="4" w:space="0" w:color="auto"/>
            </w:tcBorders>
          </w:tcPr>
          <w:p w14:paraId="4D1044A4" w14:textId="77777777" w:rsidR="00524C5E" w:rsidRPr="002029AF" w:rsidRDefault="00524C5E" w:rsidP="00524C5E">
            <w:pPr>
              <w:pStyle w:val="ARtabletextright"/>
              <w:spacing w:before="40" w:after="30"/>
            </w:pPr>
            <w:r>
              <w:t>17</w:t>
            </w:r>
          </w:p>
        </w:tc>
        <w:tc>
          <w:tcPr>
            <w:tcW w:w="285" w:type="pct"/>
            <w:tcBorders>
              <w:top w:val="single" w:sz="4" w:space="0" w:color="auto"/>
              <w:right w:val="single" w:sz="4" w:space="0" w:color="auto"/>
            </w:tcBorders>
          </w:tcPr>
          <w:p w14:paraId="04261B80" w14:textId="77777777" w:rsidR="00524C5E" w:rsidRPr="002029AF" w:rsidRDefault="00524C5E" w:rsidP="00524C5E">
            <w:pPr>
              <w:pStyle w:val="ARtabletextright"/>
              <w:spacing w:before="40" w:after="30"/>
            </w:pPr>
            <w:r>
              <w:t>16.9</w:t>
            </w:r>
          </w:p>
        </w:tc>
        <w:tc>
          <w:tcPr>
            <w:tcW w:w="321" w:type="pct"/>
            <w:tcBorders>
              <w:left w:val="single" w:sz="4" w:space="0" w:color="auto"/>
            </w:tcBorders>
          </w:tcPr>
          <w:p w14:paraId="44F9C1C2" w14:textId="77777777" w:rsidR="00524C5E" w:rsidRPr="002029AF" w:rsidRDefault="00524C5E" w:rsidP="00524C5E">
            <w:pPr>
              <w:pStyle w:val="ARtabletextright"/>
              <w:spacing w:before="40" w:after="30"/>
            </w:pPr>
            <w:r w:rsidRPr="002029AF">
              <w:t>6</w:t>
            </w:r>
          </w:p>
        </w:tc>
        <w:tc>
          <w:tcPr>
            <w:tcW w:w="285" w:type="pct"/>
            <w:tcBorders>
              <w:top w:val="single" w:sz="4" w:space="0" w:color="auto"/>
              <w:right w:val="single" w:sz="4" w:space="0" w:color="auto"/>
            </w:tcBorders>
          </w:tcPr>
          <w:p w14:paraId="3C8B1B86" w14:textId="77777777" w:rsidR="00524C5E" w:rsidRPr="002029AF" w:rsidRDefault="00524C5E" w:rsidP="00524C5E">
            <w:pPr>
              <w:pStyle w:val="ARtabletextright"/>
              <w:spacing w:before="40" w:after="30"/>
            </w:pPr>
            <w:r w:rsidRPr="002029AF">
              <w:t>6</w:t>
            </w:r>
          </w:p>
        </w:tc>
        <w:tc>
          <w:tcPr>
            <w:tcW w:w="284" w:type="pct"/>
            <w:tcBorders>
              <w:left w:val="single" w:sz="4" w:space="0" w:color="auto"/>
            </w:tcBorders>
          </w:tcPr>
          <w:p w14:paraId="3FABBAAC" w14:textId="77777777" w:rsidR="00524C5E" w:rsidRPr="002029AF" w:rsidRDefault="00524C5E" w:rsidP="00524C5E">
            <w:pPr>
              <w:pStyle w:val="ARtabletextright"/>
              <w:spacing w:before="40" w:after="30"/>
            </w:pPr>
            <w:r w:rsidRPr="002029AF">
              <w:t>4</w:t>
            </w:r>
          </w:p>
        </w:tc>
        <w:tc>
          <w:tcPr>
            <w:tcW w:w="284" w:type="pct"/>
          </w:tcPr>
          <w:p w14:paraId="3A252DE7" w14:textId="77777777" w:rsidR="00524C5E" w:rsidRPr="002029AF" w:rsidRDefault="00524C5E" w:rsidP="00524C5E">
            <w:pPr>
              <w:pStyle w:val="ARtabletextright"/>
              <w:spacing w:before="40" w:after="30"/>
            </w:pPr>
            <w:r w:rsidRPr="002029AF">
              <w:t>0</w:t>
            </w:r>
          </w:p>
        </w:tc>
        <w:tc>
          <w:tcPr>
            <w:tcW w:w="286" w:type="pct"/>
            <w:tcBorders>
              <w:top w:val="single" w:sz="4" w:space="0" w:color="auto"/>
              <w:right w:val="single" w:sz="4" w:space="0" w:color="auto"/>
            </w:tcBorders>
          </w:tcPr>
          <w:p w14:paraId="3F5ED374" w14:textId="77777777" w:rsidR="00524C5E" w:rsidRPr="002029AF" w:rsidRDefault="00524C5E" w:rsidP="00524C5E">
            <w:pPr>
              <w:pStyle w:val="ARtabletextright"/>
              <w:spacing w:before="40" w:after="30"/>
            </w:pPr>
            <w:r w:rsidRPr="002029AF">
              <w:t>4</w:t>
            </w:r>
          </w:p>
        </w:tc>
        <w:tc>
          <w:tcPr>
            <w:tcW w:w="321" w:type="pct"/>
            <w:tcBorders>
              <w:left w:val="single" w:sz="4" w:space="0" w:color="auto"/>
            </w:tcBorders>
          </w:tcPr>
          <w:p w14:paraId="33E2EF7E" w14:textId="77777777" w:rsidR="00524C5E" w:rsidRPr="002029AF" w:rsidRDefault="00524C5E" w:rsidP="00524C5E">
            <w:pPr>
              <w:pStyle w:val="ARtabletextright"/>
              <w:spacing w:before="40" w:after="30"/>
            </w:pPr>
            <w:r w:rsidRPr="002029AF">
              <w:t>2</w:t>
            </w:r>
          </w:p>
        </w:tc>
        <w:tc>
          <w:tcPr>
            <w:tcW w:w="282" w:type="pct"/>
          </w:tcPr>
          <w:p w14:paraId="240A9343" w14:textId="77777777" w:rsidR="00524C5E" w:rsidRPr="002029AF" w:rsidRDefault="00524C5E" w:rsidP="00524C5E">
            <w:pPr>
              <w:pStyle w:val="ARtabletextright"/>
              <w:spacing w:before="40" w:after="30"/>
            </w:pPr>
            <w:r w:rsidRPr="002029AF">
              <w:t>2</w:t>
            </w:r>
          </w:p>
        </w:tc>
      </w:tr>
      <w:tr w:rsidR="00524C5E" w:rsidRPr="002029AF" w14:paraId="74F69F3C" w14:textId="77777777" w:rsidTr="00524C5E">
        <w:tc>
          <w:tcPr>
            <w:tcW w:w="867" w:type="pct"/>
            <w:hideMark/>
          </w:tcPr>
          <w:p w14:paraId="1A99145E" w14:textId="77777777" w:rsidR="00524C5E" w:rsidRPr="002029AF" w:rsidRDefault="00524C5E" w:rsidP="00524C5E">
            <w:pPr>
              <w:pStyle w:val="ARtabletext"/>
              <w:spacing w:before="40" w:after="30"/>
            </w:pPr>
            <w:r w:rsidRPr="002029AF">
              <w:t>Men</w:t>
            </w:r>
          </w:p>
        </w:tc>
        <w:tc>
          <w:tcPr>
            <w:tcW w:w="321" w:type="pct"/>
            <w:tcBorders>
              <w:top w:val="single" w:sz="4" w:space="0" w:color="auto"/>
            </w:tcBorders>
          </w:tcPr>
          <w:p w14:paraId="7DAF193C" w14:textId="77777777" w:rsidR="00524C5E" w:rsidRPr="002029AF" w:rsidRDefault="00524C5E" w:rsidP="00524C5E">
            <w:pPr>
              <w:pStyle w:val="ARtabletextright"/>
              <w:spacing w:before="40" w:after="30"/>
            </w:pPr>
            <w:r>
              <w:t>6</w:t>
            </w:r>
          </w:p>
        </w:tc>
        <w:tc>
          <w:tcPr>
            <w:tcW w:w="289" w:type="pct"/>
            <w:tcBorders>
              <w:top w:val="single" w:sz="4" w:space="0" w:color="auto"/>
              <w:right w:val="single" w:sz="4" w:space="0" w:color="auto"/>
            </w:tcBorders>
          </w:tcPr>
          <w:p w14:paraId="416810C0" w14:textId="77777777" w:rsidR="00524C5E" w:rsidRPr="002029AF" w:rsidRDefault="00524C5E" w:rsidP="00524C5E">
            <w:pPr>
              <w:pStyle w:val="ARtabletextright"/>
              <w:spacing w:before="40" w:after="30"/>
            </w:pPr>
            <w:r>
              <w:t>5.8</w:t>
            </w:r>
          </w:p>
        </w:tc>
        <w:tc>
          <w:tcPr>
            <w:tcW w:w="284" w:type="pct"/>
            <w:tcBorders>
              <w:left w:val="single" w:sz="4" w:space="0" w:color="auto"/>
            </w:tcBorders>
          </w:tcPr>
          <w:p w14:paraId="50577CA0" w14:textId="77777777" w:rsidR="00524C5E" w:rsidRPr="002029AF" w:rsidRDefault="00524C5E" w:rsidP="00524C5E">
            <w:pPr>
              <w:pStyle w:val="ARtabletextright"/>
              <w:spacing w:before="40" w:after="30"/>
            </w:pPr>
            <w:r>
              <w:t>1</w:t>
            </w:r>
          </w:p>
        </w:tc>
        <w:tc>
          <w:tcPr>
            <w:tcW w:w="284" w:type="pct"/>
          </w:tcPr>
          <w:p w14:paraId="4754EF06" w14:textId="77777777" w:rsidR="00524C5E" w:rsidRPr="002029AF" w:rsidRDefault="00524C5E" w:rsidP="00524C5E">
            <w:pPr>
              <w:pStyle w:val="ARtabletextright"/>
              <w:spacing w:before="40" w:after="30"/>
            </w:pPr>
            <w:r>
              <w:t>0</w:t>
            </w:r>
          </w:p>
        </w:tc>
        <w:tc>
          <w:tcPr>
            <w:tcW w:w="286" w:type="pct"/>
            <w:tcBorders>
              <w:top w:val="single" w:sz="4" w:space="0" w:color="auto"/>
              <w:right w:val="single" w:sz="4" w:space="0" w:color="auto"/>
            </w:tcBorders>
          </w:tcPr>
          <w:p w14:paraId="20629E69" w14:textId="77777777" w:rsidR="00524C5E" w:rsidRPr="002029AF" w:rsidRDefault="00524C5E" w:rsidP="00524C5E">
            <w:pPr>
              <w:pStyle w:val="ARtabletextright"/>
              <w:spacing w:before="40" w:after="30"/>
            </w:pPr>
            <w:r>
              <w:t>1.0</w:t>
            </w:r>
          </w:p>
        </w:tc>
        <w:tc>
          <w:tcPr>
            <w:tcW w:w="321" w:type="pct"/>
            <w:tcBorders>
              <w:left w:val="single" w:sz="4" w:space="0" w:color="auto"/>
            </w:tcBorders>
          </w:tcPr>
          <w:p w14:paraId="0263E4D6" w14:textId="77777777" w:rsidR="00524C5E" w:rsidRPr="002029AF" w:rsidRDefault="00524C5E" w:rsidP="00524C5E">
            <w:pPr>
              <w:pStyle w:val="ARtabletextright"/>
              <w:spacing w:before="40" w:after="30"/>
            </w:pPr>
            <w:r>
              <w:t>5</w:t>
            </w:r>
          </w:p>
        </w:tc>
        <w:tc>
          <w:tcPr>
            <w:tcW w:w="285" w:type="pct"/>
            <w:tcBorders>
              <w:top w:val="single" w:sz="4" w:space="0" w:color="auto"/>
              <w:right w:val="single" w:sz="4" w:space="0" w:color="auto"/>
            </w:tcBorders>
          </w:tcPr>
          <w:p w14:paraId="4D4E8C2E" w14:textId="77777777" w:rsidR="00524C5E" w:rsidRPr="002029AF" w:rsidRDefault="00524C5E" w:rsidP="00524C5E">
            <w:pPr>
              <w:pStyle w:val="ARtabletextright"/>
              <w:spacing w:before="40" w:after="30"/>
            </w:pPr>
            <w:r>
              <w:t>4.8</w:t>
            </w:r>
          </w:p>
        </w:tc>
        <w:tc>
          <w:tcPr>
            <w:tcW w:w="321" w:type="pct"/>
            <w:tcBorders>
              <w:left w:val="single" w:sz="4" w:space="0" w:color="auto"/>
            </w:tcBorders>
          </w:tcPr>
          <w:p w14:paraId="5964A185" w14:textId="77777777" w:rsidR="00524C5E" w:rsidRPr="002029AF" w:rsidRDefault="00524C5E" w:rsidP="00524C5E">
            <w:pPr>
              <w:pStyle w:val="ARtabletextright"/>
              <w:spacing w:before="40" w:after="30"/>
            </w:pPr>
            <w:r w:rsidRPr="002029AF">
              <w:t>3</w:t>
            </w:r>
          </w:p>
        </w:tc>
        <w:tc>
          <w:tcPr>
            <w:tcW w:w="285" w:type="pct"/>
            <w:tcBorders>
              <w:top w:val="single" w:sz="4" w:space="0" w:color="auto"/>
              <w:right w:val="single" w:sz="4" w:space="0" w:color="auto"/>
            </w:tcBorders>
          </w:tcPr>
          <w:p w14:paraId="04954FE0" w14:textId="77777777" w:rsidR="00524C5E" w:rsidRPr="002029AF" w:rsidRDefault="00524C5E" w:rsidP="00524C5E">
            <w:pPr>
              <w:pStyle w:val="ARtabletextright"/>
              <w:spacing w:before="40" w:after="30"/>
            </w:pPr>
            <w:r w:rsidRPr="002029AF">
              <w:t>3</w:t>
            </w:r>
          </w:p>
        </w:tc>
        <w:tc>
          <w:tcPr>
            <w:tcW w:w="284" w:type="pct"/>
            <w:tcBorders>
              <w:left w:val="single" w:sz="4" w:space="0" w:color="auto"/>
            </w:tcBorders>
          </w:tcPr>
          <w:p w14:paraId="6F25EEB5" w14:textId="77777777" w:rsidR="00524C5E" w:rsidRPr="002029AF" w:rsidRDefault="00524C5E" w:rsidP="00524C5E">
            <w:pPr>
              <w:pStyle w:val="ARtabletextright"/>
              <w:spacing w:before="40" w:after="30"/>
            </w:pPr>
            <w:r w:rsidRPr="002029AF">
              <w:t>2</w:t>
            </w:r>
          </w:p>
        </w:tc>
        <w:tc>
          <w:tcPr>
            <w:tcW w:w="284" w:type="pct"/>
          </w:tcPr>
          <w:p w14:paraId="1D4387A6" w14:textId="77777777" w:rsidR="00524C5E" w:rsidRPr="002029AF" w:rsidRDefault="00524C5E" w:rsidP="00524C5E">
            <w:pPr>
              <w:pStyle w:val="ARtabletextright"/>
              <w:spacing w:before="40" w:after="30"/>
            </w:pPr>
            <w:r w:rsidRPr="002029AF">
              <w:t>0</w:t>
            </w:r>
          </w:p>
        </w:tc>
        <w:tc>
          <w:tcPr>
            <w:tcW w:w="286" w:type="pct"/>
            <w:tcBorders>
              <w:top w:val="single" w:sz="4" w:space="0" w:color="auto"/>
              <w:right w:val="single" w:sz="4" w:space="0" w:color="auto"/>
            </w:tcBorders>
          </w:tcPr>
          <w:p w14:paraId="42B7A261" w14:textId="77777777" w:rsidR="00524C5E" w:rsidRPr="002029AF" w:rsidRDefault="00524C5E" w:rsidP="00524C5E">
            <w:pPr>
              <w:pStyle w:val="ARtabletextright"/>
              <w:spacing w:before="40" w:after="30"/>
            </w:pPr>
            <w:r w:rsidRPr="002029AF">
              <w:t>2</w:t>
            </w:r>
          </w:p>
        </w:tc>
        <w:tc>
          <w:tcPr>
            <w:tcW w:w="321" w:type="pct"/>
            <w:tcBorders>
              <w:left w:val="single" w:sz="4" w:space="0" w:color="auto"/>
            </w:tcBorders>
          </w:tcPr>
          <w:p w14:paraId="19DD2A20" w14:textId="77777777" w:rsidR="00524C5E" w:rsidRPr="002029AF" w:rsidRDefault="00524C5E" w:rsidP="00524C5E">
            <w:pPr>
              <w:pStyle w:val="ARtabletextright"/>
              <w:spacing w:before="40" w:after="30"/>
            </w:pPr>
            <w:r w:rsidRPr="002029AF">
              <w:t>1</w:t>
            </w:r>
          </w:p>
        </w:tc>
        <w:tc>
          <w:tcPr>
            <w:tcW w:w="282" w:type="pct"/>
          </w:tcPr>
          <w:p w14:paraId="54A5BAA8" w14:textId="77777777" w:rsidR="00524C5E" w:rsidRPr="002029AF" w:rsidRDefault="00524C5E" w:rsidP="00524C5E">
            <w:pPr>
              <w:pStyle w:val="ARtabletextright"/>
              <w:spacing w:before="40" w:after="30"/>
            </w:pPr>
            <w:r w:rsidRPr="002029AF">
              <w:t>1</w:t>
            </w:r>
          </w:p>
        </w:tc>
      </w:tr>
      <w:tr w:rsidR="00524C5E" w:rsidRPr="002029AF" w14:paraId="4C26C598" w14:textId="77777777" w:rsidTr="00524C5E">
        <w:tc>
          <w:tcPr>
            <w:tcW w:w="867" w:type="pct"/>
            <w:hideMark/>
          </w:tcPr>
          <w:p w14:paraId="3447C9B1" w14:textId="77777777" w:rsidR="00524C5E" w:rsidRPr="002029AF" w:rsidRDefault="00524C5E" w:rsidP="00524C5E">
            <w:pPr>
              <w:pStyle w:val="ARtabletext"/>
              <w:spacing w:before="40" w:after="30"/>
            </w:pPr>
            <w:r w:rsidRPr="002029AF">
              <w:t>Self-described</w:t>
            </w:r>
          </w:p>
        </w:tc>
        <w:tc>
          <w:tcPr>
            <w:tcW w:w="321" w:type="pct"/>
            <w:tcBorders>
              <w:top w:val="single" w:sz="4" w:space="0" w:color="auto"/>
            </w:tcBorders>
            <w:hideMark/>
          </w:tcPr>
          <w:p w14:paraId="41115FBF" w14:textId="2FC9C637" w:rsidR="00524C5E" w:rsidRPr="002029AF" w:rsidRDefault="003B64C5" w:rsidP="00524C5E">
            <w:pPr>
              <w:pStyle w:val="ARtabletextright"/>
              <w:spacing w:before="40" w:after="30"/>
            </w:pPr>
            <w:r>
              <w:t>n</w:t>
            </w:r>
            <w:r w:rsidR="00524C5E" w:rsidRPr="002029AF">
              <w:t>a</w:t>
            </w:r>
            <w:r w:rsidR="008E012B" w:rsidRPr="008E012B">
              <w:rPr>
                <w:rStyle w:val="FootnoteReference"/>
              </w:rPr>
              <w:t>(</w:t>
            </w:r>
            <w:r w:rsidR="008E012B">
              <w:rPr>
                <w:rStyle w:val="FootnoteReference"/>
              </w:rPr>
              <w:footnoteReference w:id="20"/>
            </w:r>
            <w:r w:rsidR="008E012B" w:rsidRPr="008E012B">
              <w:rPr>
                <w:rStyle w:val="FootnoteReference"/>
              </w:rPr>
              <w:t>)</w:t>
            </w:r>
          </w:p>
        </w:tc>
        <w:tc>
          <w:tcPr>
            <w:tcW w:w="289" w:type="pct"/>
            <w:tcBorders>
              <w:top w:val="single" w:sz="4" w:space="0" w:color="auto"/>
              <w:right w:val="single" w:sz="4" w:space="0" w:color="auto"/>
            </w:tcBorders>
            <w:hideMark/>
          </w:tcPr>
          <w:p w14:paraId="5292F110" w14:textId="77777777" w:rsidR="00524C5E" w:rsidRPr="002029AF" w:rsidRDefault="00524C5E" w:rsidP="00524C5E">
            <w:pPr>
              <w:pStyle w:val="ARtabletextright"/>
              <w:spacing w:before="40" w:after="30"/>
            </w:pPr>
            <w:r w:rsidRPr="002029AF">
              <w:t>na</w:t>
            </w:r>
          </w:p>
        </w:tc>
        <w:tc>
          <w:tcPr>
            <w:tcW w:w="284" w:type="pct"/>
            <w:tcBorders>
              <w:left w:val="single" w:sz="4" w:space="0" w:color="auto"/>
            </w:tcBorders>
            <w:hideMark/>
          </w:tcPr>
          <w:p w14:paraId="6A36C202" w14:textId="77777777" w:rsidR="00524C5E" w:rsidRPr="002029AF" w:rsidRDefault="00524C5E" w:rsidP="00524C5E">
            <w:pPr>
              <w:pStyle w:val="ARtabletextright"/>
              <w:spacing w:before="40" w:after="30"/>
            </w:pPr>
            <w:r w:rsidRPr="002029AF">
              <w:t>na</w:t>
            </w:r>
          </w:p>
        </w:tc>
        <w:tc>
          <w:tcPr>
            <w:tcW w:w="284" w:type="pct"/>
            <w:hideMark/>
          </w:tcPr>
          <w:p w14:paraId="51BDC6B4" w14:textId="0E17FBFB" w:rsidR="00524C5E" w:rsidRPr="002029AF" w:rsidRDefault="003B64C5" w:rsidP="00524C5E">
            <w:pPr>
              <w:pStyle w:val="ARtabletextright"/>
              <w:spacing w:before="40" w:after="30"/>
            </w:pPr>
            <w:r>
              <w:t>n</w:t>
            </w:r>
            <w:r w:rsidR="00524C5E" w:rsidRPr="002029AF">
              <w:t>a</w:t>
            </w:r>
          </w:p>
        </w:tc>
        <w:tc>
          <w:tcPr>
            <w:tcW w:w="286" w:type="pct"/>
            <w:tcBorders>
              <w:top w:val="single" w:sz="4" w:space="0" w:color="auto"/>
              <w:right w:val="single" w:sz="4" w:space="0" w:color="auto"/>
            </w:tcBorders>
            <w:hideMark/>
          </w:tcPr>
          <w:p w14:paraId="787CCA85" w14:textId="77777777" w:rsidR="00524C5E" w:rsidRPr="002029AF" w:rsidRDefault="00524C5E" w:rsidP="00524C5E">
            <w:pPr>
              <w:pStyle w:val="ARtabletextright"/>
              <w:spacing w:before="40" w:after="30"/>
            </w:pPr>
            <w:r w:rsidRPr="002029AF">
              <w:t>na</w:t>
            </w:r>
          </w:p>
        </w:tc>
        <w:tc>
          <w:tcPr>
            <w:tcW w:w="321" w:type="pct"/>
            <w:tcBorders>
              <w:left w:val="single" w:sz="4" w:space="0" w:color="auto"/>
            </w:tcBorders>
            <w:hideMark/>
          </w:tcPr>
          <w:p w14:paraId="66723611" w14:textId="492A8893" w:rsidR="00524C5E" w:rsidRPr="002029AF" w:rsidRDefault="003B64C5" w:rsidP="00524C5E">
            <w:pPr>
              <w:pStyle w:val="ARtabletextright"/>
              <w:spacing w:before="40" w:after="30"/>
            </w:pPr>
            <w:r>
              <w:t>n</w:t>
            </w:r>
            <w:r w:rsidR="00524C5E" w:rsidRPr="002029AF">
              <w:t>a</w:t>
            </w:r>
          </w:p>
        </w:tc>
        <w:tc>
          <w:tcPr>
            <w:tcW w:w="285" w:type="pct"/>
            <w:tcBorders>
              <w:top w:val="single" w:sz="4" w:space="0" w:color="auto"/>
              <w:right w:val="single" w:sz="4" w:space="0" w:color="auto"/>
            </w:tcBorders>
            <w:hideMark/>
          </w:tcPr>
          <w:p w14:paraId="46911DCA" w14:textId="7FC658AC" w:rsidR="00524C5E" w:rsidRPr="002029AF" w:rsidRDefault="003B64C5" w:rsidP="00524C5E">
            <w:pPr>
              <w:pStyle w:val="ARtabletextright"/>
              <w:spacing w:before="40" w:after="30"/>
            </w:pPr>
            <w:r>
              <w:t>n</w:t>
            </w:r>
            <w:r w:rsidR="00524C5E" w:rsidRPr="002029AF">
              <w:t>a</w:t>
            </w:r>
          </w:p>
        </w:tc>
        <w:tc>
          <w:tcPr>
            <w:tcW w:w="321" w:type="pct"/>
            <w:tcBorders>
              <w:left w:val="single" w:sz="4" w:space="0" w:color="auto"/>
            </w:tcBorders>
            <w:hideMark/>
          </w:tcPr>
          <w:p w14:paraId="4830B2A3" w14:textId="77777777" w:rsidR="00524C5E" w:rsidRPr="002029AF" w:rsidRDefault="00524C5E" w:rsidP="00524C5E">
            <w:pPr>
              <w:pStyle w:val="ARtabletextright"/>
              <w:spacing w:before="40" w:after="30"/>
            </w:pPr>
            <w:r w:rsidRPr="002029AF">
              <w:t>na</w:t>
            </w:r>
          </w:p>
        </w:tc>
        <w:tc>
          <w:tcPr>
            <w:tcW w:w="285" w:type="pct"/>
            <w:tcBorders>
              <w:top w:val="single" w:sz="4" w:space="0" w:color="auto"/>
              <w:right w:val="single" w:sz="4" w:space="0" w:color="auto"/>
            </w:tcBorders>
            <w:hideMark/>
          </w:tcPr>
          <w:p w14:paraId="0F41F268" w14:textId="77777777" w:rsidR="00524C5E" w:rsidRPr="002029AF" w:rsidRDefault="00524C5E" w:rsidP="00524C5E">
            <w:pPr>
              <w:pStyle w:val="ARtabletextright"/>
              <w:spacing w:before="40" w:after="30"/>
            </w:pPr>
            <w:r w:rsidRPr="002029AF">
              <w:t>na</w:t>
            </w:r>
          </w:p>
        </w:tc>
        <w:tc>
          <w:tcPr>
            <w:tcW w:w="284" w:type="pct"/>
            <w:tcBorders>
              <w:left w:val="single" w:sz="4" w:space="0" w:color="auto"/>
            </w:tcBorders>
            <w:hideMark/>
          </w:tcPr>
          <w:p w14:paraId="6FFD356D" w14:textId="77777777" w:rsidR="00524C5E" w:rsidRPr="002029AF" w:rsidRDefault="00524C5E" w:rsidP="00524C5E">
            <w:pPr>
              <w:pStyle w:val="ARtabletextright"/>
              <w:spacing w:before="40" w:after="30"/>
            </w:pPr>
            <w:r w:rsidRPr="002029AF">
              <w:t>na</w:t>
            </w:r>
          </w:p>
        </w:tc>
        <w:tc>
          <w:tcPr>
            <w:tcW w:w="284" w:type="pct"/>
            <w:hideMark/>
          </w:tcPr>
          <w:p w14:paraId="5FF798E5" w14:textId="77777777" w:rsidR="00524C5E" w:rsidRPr="002029AF" w:rsidRDefault="00524C5E" w:rsidP="00524C5E">
            <w:pPr>
              <w:pStyle w:val="ARtabletextright"/>
              <w:spacing w:before="40" w:after="30"/>
            </w:pPr>
            <w:r w:rsidRPr="002029AF">
              <w:t>na</w:t>
            </w:r>
          </w:p>
        </w:tc>
        <w:tc>
          <w:tcPr>
            <w:tcW w:w="286" w:type="pct"/>
            <w:tcBorders>
              <w:top w:val="single" w:sz="4" w:space="0" w:color="auto"/>
              <w:right w:val="single" w:sz="4" w:space="0" w:color="auto"/>
            </w:tcBorders>
            <w:hideMark/>
          </w:tcPr>
          <w:p w14:paraId="38B18499" w14:textId="77777777" w:rsidR="00524C5E" w:rsidRPr="002029AF" w:rsidRDefault="00524C5E" w:rsidP="00524C5E">
            <w:pPr>
              <w:pStyle w:val="ARtabletextright"/>
              <w:spacing w:before="40" w:after="30"/>
            </w:pPr>
            <w:r w:rsidRPr="002029AF">
              <w:t>na</w:t>
            </w:r>
          </w:p>
        </w:tc>
        <w:tc>
          <w:tcPr>
            <w:tcW w:w="321" w:type="pct"/>
            <w:tcBorders>
              <w:left w:val="single" w:sz="4" w:space="0" w:color="auto"/>
            </w:tcBorders>
            <w:hideMark/>
          </w:tcPr>
          <w:p w14:paraId="0D38C1A5" w14:textId="77777777" w:rsidR="00524C5E" w:rsidRPr="002029AF" w:rsidRDefault="00524C5E" w:rsidP="00524C5E">
            <w:pPr>
              <w:pStyle w:val="ARtabletextright"/>
              <w:spacing w:before="40" w:after="30"/>
            </w:pPr>
            <w:r w:rsidRPr="002029AF">
              <w:t>na</w:t>
            </w:r>
          </w:p>
        </w:tc>
        <w:tc>
          <w:tcPr>
            <w:tcW w:w="282" w:type="pct"/>
            <w:hideMark/>
          </w:tcPr>
          <w:p w14:paraId="5569852C" w14:textId="77777777" w:rsidR="00524C5E" w:rsidRPr="002029AF" w:rsidRDefault="00524C5E" w:rsidP="00524C5E">
            <w:pPr>
              <w:pStyle w:val="ARtabletextright"/>
              <w:spacing w:before="40" w:after="30"/>
            </w:pPr>
            <w:r w:rsidRPr="002029AF">
              <w:t>na</w:t>
            </w:r>
          </w:p>
        </w:tc>
      </w:tr>
      <w:tr w:rsidR="00524C5E" w:rsidRPr="002029AF" w14:paraId="3E84018B" w14:textId="77777777" w:rsidTr="00524C5E">
        <w:tc>
          <w:tcPr>
            <w:tcW w:w="867" w:type="pct"/>
          </w:tcPr>
          <w:p w14:paraId="0677458B" w14:textId="77777777" w:rsidR="00524C5E" w:rsidRPr="002029AF" w:rsidRDefault="00524C5E" w:rsidP="00524C5E">
            <w:pPr>
              <w:pStyle w:val="ARtablesubhead"/>
              <w:spacing w:before="40" w:after="30"/>
            </w:pPr>
            <w:r w:rsidRPr="002029AF">
              <w:t>Age</w:t>
            </w:r>
          </w:p>
        </w:tc>
        <w:tc>
          <w:tcPr>
            <w:tcW w:w="321" w:type="pct"/>
            <w:tcBorders>
              <w:top w:val="single" w:sz="4" w:space="0" w:color="auto"/>
            </w:tcBorders>
          </w:tcPr>
          <w:p w14:paraId="28B39980" w14:textId="77777777" w:rsidR="00524C5E" w:rsidRPr="002029AF" w:rsidRDefault="00524C5E" w:rsidP="00524C5E">
            <w:pPr>
              <w:pStyle w:val="ARtabletextright"/>
              <w:spacing w:before="40" w:after="30"/>
            </w:pPr>
          </w:p>
        </w:tc>
        <w:tc>
          <w:tcPr>
            <w:tcW w:w="289" w:type="pct"/>
            <w:tcBorders>
              <w:top w:val="single" w:sz="4" w:space="0" w:color="auto"/>
              <w:right w:val="single" w:sz="4" w:space="0" w:color="auto"/>
            </w:tcBorders>
          </w:tcPr>
          <w:p w14:paraId="0D14793A" w14:textId="77777777" w:rsidR="00524C5E" w:rsidRPr="002029AF" w:rsidRDefault="00524C5E" w:rsidP="00524C5E">
            <w:pPr>
              <w:pStyle w:val="ARtabletextright"/>
              <w:spacing w:before="40" w:after="30"/>
            </w:pPr>
          </w:p>
        </w:tc>
        <w:tc>
          <w:tcPr>
            <w:tcW w:w="284" w:type="pct"/>
            <w:tcBorders>
              <w:left w:val="single" w:sz="4" w:space="0" w:color="auto"/>
            </w:tcBorders>
          </w:tcPr>
          <w:p w14:paraId="657B629C" w14:textId="77777777" w:rsidR="00524C5E" w:rsidRPr="002029AF" w:rsidRDefault="00524C5E" w:rsidP="00524C5E">
            <w:pPr>
              <w:pStyle w:val="ARtabletextright"/>
              <w:spacing w:before="40" w:after="30"/>
            </w:pPr>
          </w:p>
        </w:tc>
        <w:tc>
          <w:tcPr>
            <w:tcW w:w="284" w:type="pct"/>
          </w:tcPr>
          <w:p w14:paraId="4982F1E2" w14:textId="77777777" w:rsidR="00524C5E" w:rsidRPr="002029AF" w:rsidRDefault="00524C5E" w:rsidP="00524C5E">
            <w:pPr>
              <w:pStyle w:val="ARtabletextright"/>
              <w:spacing w:before="40" w:after="30"/>
            </w:pPr>
          </w:p>
        </w:tc>
        <w:tc>
          <w:tcPr>
            <w:tcW w:w="286" w:type="pct"/>
            <w:tcBorders>
              <w:top w:val="single" w:sz="4" w:space="0" w:color="auto"/>
              <w:right w:val="single" w:sz="4" w:space="0" w:color="auto"/>
            </w:tcBorders>
          </w:tcPr>
          <w:p w14:paraId="3F864491" w14:textId="77777777" w:rsidR="00524C5E" w:rsidRPr="002029AF" w:rsidRDefault="00524C5E" w:rsidP="00524C5E">
            <w:pPr>
              <w:pStyle w:val="ARtabletextright"/>
              <w:spacing w:before="40" w:after="30"/>
            </w:pPr>
          </w:p>
        </w:tc>
        <w:tc>
          <w:tcPr>
            <w:tcW w:w="321" w:type="pct"/>
            <w:tcBorders>
              <w:left w:val="single" w:sz="4" w:space="0" w:color="auto"/>
            </w:tcBorders>
          </w:tcPr>
          <w:p w14:paraId="1D0143DF" w14:textId="77777777" w:rsidR="00524C5E" w:rsidRPr="002029AF" w:rsidRDefault="00524C5E" w:rsidP="00524C5E">
            <w:pPr>
              <w:pStyle w:val="ARtabletextright"/>
              <w:spacing w:before="40" w:after="30"/>
            </w:pPr>
          </w:p>
        </w:tc>
        <w:tc>
          <w:tcPr>
            <w:tcW w:w="285" w:type="pct"/>
            <w:tcBorders>
              <w:top w:val="single" w:sz="4" w:space="0" w:color="auto"/>
              <w:right w:val="single" w:sz="4" w:space="0" w:color="auto"/>
            </w:tcBorders>
          </w:tcPr>
          <w:p w14:paraId="549589A4" w14:textId="77777777" w:rsidR="00524C5E" w:rsidRPr="002029AF" w:rsidRDefault="00524C5E" w:rsidP="00524C5E">
            <w:pPr>
              <w:pStyle w:val="ARtabletextright"/>
              <w:spacing w:before="40" w:after="30"/>
            </w:pPr>
          </w:p>
        </w:tc>
        <w:tc>
          <w:tcPr>
            <w:tcW w:w="321" w:type="pct"/>
            <w:tcBorders>
              <w:left w:val="single" w:sz="4" w:space="0" w:color="auto"/>
            </w:tcBorders>
          </w:tcPr>
          <w:p w14:paraId="07CE4B4C" w14:textId="77777777" w:rsidR="00524C5E" w:rsidRPr="002029AF" w:rsidRDefault="00524C5E" w:rsidP="00524C5E">
            <w:pPr>
              <w:pStyle w:val="ARtabletextright"/>
              <w:spacing w:before="40" w:after="30"/>
            </w:pPr>
          </w:p>
        </w:tc>
        <w:tc>
          <w:tcPr>
            <w:tcW w:w="285" w:type="pct"/>
            <w:tcBorders>
              <w:top w:val="single" w:sz="4" w:space="0" w:color="auto"/>
              <w:right w:val="single" w:sz="4" w:space="0" w:color="auto"/>
            </w:tcBorders>
          </w:tcPr>
          <w:p w14:paraId="102B599C" w14:textId="77777777" w:rsidR="00524C5E" w:rsidRPr="002029AF" w:rsidRDefault="00524C5E" w:rsidP="00524C5E">
            <w:pPr>
              <w:pStyle w:val="ARtabletextright"/>
              <w:spacing w:before="40" w:after="30"/>
            </w:pPr>
          </w:p>
        </w:tc>
        <w:tc>
          <w:tcPr>
            <w:tcW w:w="284" w:type="pct"/>
            <w:tcBorders>
              <w:left w:val="single" w:sz="4" w:space="0" w:color="auto"/>
            </w:tcBorders>
          </w:tcPr>
          <w:p w14:paraId="6A197595" w14:textId="77777777" w:rsidR="00524C5E" w:rsidRPr="002029AF" w:rsidRDefault="00524C5E" w:rsidP="00524C5E">
            <w:pPr>
              <w:pStyle w:val="ARtabletextright"/>
              <w:spacing w:before="40" w:after="30"/>
            </w:pPr>
          </w:p>
        </w:tc>
        <w:tc>
          <w:tcPr>
            <w:tcW w:w="284" w:type="pct"/>
          </w:tcPr>
          <w:p w14:paraId="6DC0D302" w14:textId="77777777" w:rsidR="00524C5E" w:rsidRPr="002029AF" w:rsidRDefault="00524C5E" w:rsidP="00524C5E">
            <w:pPr>
              <w:pStyle w:val="ARtabletextright"/>
              <w:spacing w:before="40" w:after="30"/>
            </w:pPr>
          </w:p>
        </w:tc>
        <w:tc>
          <w:tcPr>
            <w:tcW w:w="286" w:type="pct"/>
            <w:tcBorders>
              <w:top w:val="single" w:sz="4" w:space="0" w:color="auto"/>
              <w:right w:val="single" w:sz="4" w:space="0" w:color="auto"/>
            </w:tcBorders>
          </w:tcPr>
          <w:p w14:paraId="196BD390" w14:textId="77777777" w:rsidR="00524C5E" w:rsidRPr="002029AF" w:rsidRDefault="00524C5E" w:rsidP="00524C5E">
            <w:pPr>
              <w:pStyle w:val="ARtabletextright"/>
              <w:spacing w:before="40" w:after="30"/>
            </w:pPr>
          </w:p>
        </w:tc>
        <w:tc>
          <w:tcPr>
            <w:tcW w:w="321" w:type="pct"/>
            <w:tcBorders>
              <w:left w:val="single" w:sz="4" w:space="0" w:color="auto"/>
            </w:tcBorders>
          </w:tcPr>
          <w:p w14:paraId="589FFB13" w14:textId="77777777" w:rsidR="00524C5E" w:rsidRPr="002029AF" w:rsidRDefault="00524C5E" w:rsidP="00524C5E">
            <w:pPr>
              <w:pStyle w:val="ARtabletextright"/>
              <w:spacing w:before="40" w:after="30"/>
            </w:pPr>
          </w:p>
        </w:tc>
        <w:tc>
          <w:tcPr>
            <w:tcW w:w="282" w:type="pct"/>
          </w:tcPr>
          <w:p w14:paraId="0C6FF7D9" w14:textId="77777777" w:rsidR="00524C5E" w:rsidRPr="002029AF" w:rsidRDefault="00524C5E" w:rsidP="00524C5E">
            <w:pPr>
              <w:pStyle w:val="ARtabletextright"/>
              <w:spacing w:before="40" w:after="30"/>
            </w:pPr>
          </w:p>
        </w:tc>
      </w:tr>
      <w:tr w:rsidR="00524C5E" w:rsidRPr="002029AF" w14:paraId="55296FE9" w14:textId="77777777" w:rsidTr="00524C5E">
        <w:tc>
          <w:tcPr>
            <w:tcW w:w="867" w:type="pct"/>
          </w:tcPr>
          <w:p w14:paraId="693C16CC" w14:textId="77777777" w:rsidR="00524C5E" w:rsidRPr="002029AF" w:rsidRDefault="00524C5E" w:rsidP="00524C5E">
            <w:pPr>
              <w:pStyle w:val="ARtabletext"/>
              <w:spacing w:before="40" w:after="30"/>
            </w:pPr>
            <w:r>
              <w:t>2</w:t>
            </w:r>
            <w:r w:rsidRPr="002029AF">
              <w:t>5–</w:t>
            </w:r>
            <w:r>
              <w:t>3</w:t>
            </w:r>
            <w:r w:rsidRPr="002029AF">
              <w:t>4</w:t>
            </w:r>
          </w:p>
        </w:tc>
        <w:tc>
          <w:tcPr>
            <w:tcW w:w="321" w:type="pct"/>
            <w:tcBorders>
              <w:top w:val="single" w:sz="4" w:space="0" w:color="auto"/>
            </w:tcBorders>
          </w:tcPr>
          <w:p w14:paraId="41438021" w14:textId="77777777" w:rsidR="00524C5E" w:rsidRPr="002029AF" w:rsidRDefault="00524C5E" w:rsidP="00524C5E">
            <w:pPr>
              <w:pStyle w:val="ARtabletextright"/>
              <w:spacing w:before="40" w:after="30"/>
            </w:pPr>
            <w:r>
              <w:t>7</w:t>
            </w:r>
          </w:p>
        </w:tc>
        <w:tc>
          <w:tcPr>
            <w:tcW w:w="289" w:type="pct"/>
            <w:tcBorders>
              <w:top w:val="single" w:sz="4" w:space="0" w:color="auto"/>
              <w:right w:val="single" w:sz="4" w:space="0" w:color="auto"/>
            </w:tcBorders>
          </w:tcPr>
          <w:p w14:paraId="55973AAB" w14:textId="77777777" w:rsidR="00524C5E" w:rsidRPr="002029AF" w:rsidRDefault="00524C5E" w:rsidP="00524C5E">
            <w:pPr>
              <w:pStyle w:val="ARtabletextright"/>
              <w:spacing w:before="40" w:after="30"/>
            </w:pPr>
            <w:r>
              <w:t>7.0</w:t>
            </w:r>
          </w:p>
        </w:tc>
        <w:tc>
          <w:tcPr>
            <w:tcW w:w="284" w:type="pct"/>
            <w:tcBorders>
              <w:left w:val="single" w:sz="4" w:space="0" w:color="auto"/>
            </w:tcBorders>
          </w:tcPr>
          <w:p w14:paraId="25B2934E" w14:textId="77777777" w:rsidR="00524C5E" w:rsidRPr="002029AF" w:rsidRDefault="00524C5E" w:rsidP="00524C5E">
            <w:pPr>
              <w:pStyle w:val="ARtabletextright"/>
              <w:spacing w:before="40" w:after="30"/>
            </w:pPr>
            <w:r>
              <w:t>0</w:t>
            </w:r>
          </w:p>
        </w:tc>
        <w:tc>
          <w:tcPr>
            <w:tcW w:w="284" w:type="pct"/>
          </w:tcPr>
          <w:p w14:paraId="4EC9E15D" w14:textId="77777777" w:rsidR="00524C5E" w:rsidRPr="002029AF" w:rsidRDefault="00524C5E" w:rsidP="00524C5E">
            <w:pPr>
              <w:pStyle w:val="ARtabletextright"/>
              <w:spacing w:before="40" w:after="30"/>
            </w:pPr>
            <w:r>
              <w:t>0</w:t>
            </w:r>
          </w:p>
        </w:tc>
        <w:tc>
          <w:tcPr>
            <w:tcW w:w="286" w:type="pct"/>
            <w:tcBorders>
              <w:top w:val="single" w:sz="4" w:space="0" w:color="auto"/>
              <w:right w:val="single" w:sz="4" w:space="0" w:color="auto"/>
            </w:tcBorders>
          </w:tcPr>
          <w:p w14:paraId="31D7984F" w14:textId="77777777" w:rsidR="00524C5E" w:rsidRPr="002029AF" w:rsidRDefault="00524C5E" w:rsidP="00524C5E">
            <w:pPr>
              <w:pStyle w:val="ARtabletextright"/>
              <w:spacing w:before="40" w:after="30"/>
            </w:pPr>
            <w:r>
              <w:t>0.0</w:t>
            </w:r>
          </w:p>
        </w:tc>
        <w:tc>
          <w:tcPr>
            <w:tcW w:w="321" w:type="pct"/>
            <w:tcBorders>
              <w:left w:val="single" w:sz="4" w:space="0" w:color="auto"/>
            </w:tcBorders>
          </w:tcPr>
          <w:p w14:paraId="36FADB47" w14:textId="77777777" w:rsidR="00524C5E" w:rsidRPr="002029AF" w:rsidRDefault="00524C5E" w:rsidP="00524C5E">
            <w:pPr>
              <w:pStyle w:val="ARtabletextright"/>
              <w:spacing w:before="40" w:after="30"/>
            </w:pPr>
            <w:r>
              <w:t>7</w:t>
            </w:r>
          </w:p>
        </w:tc>
        <w:tc>
          <w:tcPr>
            <w:tcW w:w="285" w:type="pct"/>
            <w:tcBorders>
              <w:top w:val="single" w:sz="4" w:space="0" w:color="auto"/>
              <w:right w:val="single" w:sz="4" w:space="0" w:color="auto"/>
            </w:tcBorders>
          </w:tcPr>
          <w:p w14:paraId="50BAFEB2" w14:textId="77777777" w:rsidR="00524C5E" w:rsidRPr="002029AF" w:rsidRDefault="00524C5E" w:rsidP="00524C5E">
            <w:pPr>
              <w:pStyle w:val="ARtabletextright"/>
              <w:spacing w:before="40" w:after="30"/>
            </w:pPr>
            <w:r>
              <w:t>7.0</w:t>
            </w:r>
          </w:p>
        </w:tc>
        <w:tc>
          <w:tcPr>
            <w:tcW w:w="321" w:type="pct"/>
            <w:tcBorders>
              <w:left w:val="single" w:sz="4" w:space="0" w:color="auto"/>
            </w:tcBorders>
          </w:tcPr>
          <w:p w14:paraId="30C9CC94" w14:textId="77777777" w:rsidR="00524C5E" w:rsidRPr="002029AF" w:rsidRDefault="00524C5E" w:rsidP="00524C5E">
            <w:pPr>
              <w:pStyle w:val="ARtabletextright"/>
              <w:spacing w:before="40" w:after="30"/>
            </w:pPr>
          </w:p>
        </w:tc>
        <w:tc>
          <w:tcPr>
            <w:tcW w:w="285" w:type="pct"/>
            <w:tcBorders>
              <w:top w:val="single" w:sz="4" w:space="0" w:color="auto"/>
              <w:right w:val="single" w:sz="4" w:space="0" w:color="auto"/>
            </w:tcBorders>
          </w:tcPr>
          <w:p w14:paraId="48BA2268" w14:textId="77777777" w:rsidR="00524C5E" w:rsidRPr="002029AF" w:rsidRDefault="00524C5E" w:rsidP="00524C5E">
            <w:pPr>
              <w:pStyle w:val="ARtabletextright"/>
              <w:spacing w:before="40" w:after="30"/>
            </w:pPr>
          </w:p>
        </w:tc>
        <w:tc>
          <w:tcPr>
            <w:tcW w:w="284" w:type="pct"/>
            <w:tcBorders>
              <w:left w:val="single" w:sz="4" w:space="0" w:color="auto"/>
            </w:tcBorders>
          </w:tcPr>
          <w:p w14:paraId="27C6C50D" w14:textId="77777777" w:rsidR="00524C5E" w:rsidRPr="002029AF" w:rsidRDefault="00524C5E" w:rsidP="00524C5E">
            <w:pPr>
              <w:pStyle w:val="ARtabletextright"/>
              <w:spacing w:before="40" w:after="30"/>
            </w:pPr>
          </w:p>
        </w:tc>
        <w:tc>
          <w:tcPr>
            <w:tcW w:w="284" w:type="pct"/>
          </w:tcPr>
          <w:p w14:paraId="0F825253" w14:textId="77777777" w:rsidR="00524C5E" w:rsidRPr="002029AF" w:rsidRDefault="00524C5E" w:rsidP="00524C5E">
            <w:pPr>
              <w:pStyle w:val="ARtabletextright"/>
              <w:spacing w:before="40" w:after="30"/>
            </w:pPr>
          </w:p>
        </w:tc>
        <w:tc>
          <w:tcPr>
            <w:tcW w:w="286" w:type="pct"/>
            <w:tcBorders>
              <w:top w:val="single" w:sz="4" w:space="0" w:color="auto"/>
              <w:right w:val="single" w:sz="4" w:space="0" w:color="auto"/>
            </w:tcBorders>
          </w:tcPr>
          <w:p w14:paraId="159D0263" w14:textId="77777777" w:rsidR="00524C5E" w:rsidRPr="002029AF" w:rsidRDefault="00524C5E" w:rsidP="00524C5E">
            <w:pPr>
              <w:pStyle w:val="ARtabletextright"/>
              <w:spacing w:before="40" w:after="30"/>
            </w:pPr>
          </w:p>
        </w:tc>
        <w:tc>
          <w:tcPr>
            <w:tcW w:w="321" w:type="pct"/>
            <w:tcBorders>
              <w:left w:val="single" w:sz="4" w:space="0" w:color="auto"/>
            </w:tcBorders>
          </w:tcPr>
          <w:p w14:paraId="43714756" w14:textId="77777777" w:rsidR="00524C5E" w:rsidRPr="002029AF" w:rsidRDefault="00524C5E" w:rsidP="00524C5E">
            <w:pPr>
              <w:pStyle w:val="ARtabletextright"/>
              <w:spacing w:before="40" w:after="30"/>
            </w:pPr>
          </w:p>
        </w:tc>
        <w:tc>
          <w:tcPr>
            <w:tcW w:w="282" w:type="pct"/>
          </w:tcPr>
          <w:p w14:paraId="6BCA90FF" w14:textId="77777777" w:rsidR="00524C5E" w:rsidRPr="002029AF" w:rsidRDefault="00524C5E" w:rsidP="00524C5E">
            <w:pPr>
              <w:pStyle w:val="ARtabletextright"/>
              <w:spacing w:before="40" w:after="30"/>
            </w:pPr>
          </w:p>
        </w:tc>
      </w:tr>
      <w:tr w:rsidR="00524C5E" w:rsidRPr="002029AF" w14:paraId="17209AD4" w14:textId="77777777" w:rsidTr="00524C5E">
        <w:tc>
          <w:tcPr>
            <w:tcW w:w="867" w:type="pct"/>
            <w:hideMark/>
          </w:tcPr>
          <w:p w14:paraId="31B71F6D" w14:textId="77777777" w:rsidR="00524C5E" w:rsidRPr="002029AF" w:rsidRDefault="00524C5E" w:rsidP="00524C5E">
            <w:pPr>
              <w:pStyle w:val="ARtabletext"/>
              <w:spacing w:before="40" w:after="30"/>
            </w:pPr>
            <w:r w:rsidRPr="002029AF">
              <w:t>35–44</w:t>
            </w:r>
          </w:p>
        </w:tc>
        <w:tc>
          <w:tcPr>
            <w:tcW w:w="321" w:type="pct"/>
            <w:tcBorders>
              <w:top w:val="single" w:sz="4" w:space="0" w:color="auto"/>
            </w:tcBorders>
          </w:tcPr>
          <w:p w14:paraId="593D7402" w14:textId="77777777" w:rsidR="00524C5E" w:rsidRPr="002029AF" w:rsidRDefault="00524C5E" w:rsidP="00524C5E">
            <w:pPr>
              <w:pStyle w:val="ARtabletextright"/>
              <w:spacing w:before="40" w:after="30"/>
            </w:pPr>
            <w:r>
              <w:t>11</w:t>
            </w:r>
          </w:p>
        </w:tc>
        <w:tc>
          <w:tcPr>
            <w:tcW w:w="289" w:type="pct"/>
            <w:tcBorders>
              <w:top w:val="single" w:sz="4" w:space="0" w:color="auto"/>
              <w:right w:val="single" w:sz="4" w:space="0" w:color="auto"/>
            </w:tcBorders>
          </w:tcPr>
          <w:p w14:paraId="259861A5" w14:textId="77777777" w:rsidR="00524C5E" w:rsidRPr="002029AF" w:rsidRDefault="00524C5E" w:rsidP="00524C5E">
            <w:pPr>
              <w:pStyle w:val="ARtabletextright"/>
              <w:spacing w:before="40" w:after="30"/>
            </w:pPr>
            <w:r>
              <w:t>10.9</w:t>
            </w:r>
          </w:p>
        </w:tc>
        <w:tc>
          <w:tcPr>
            <w:tcW w:w="284" w:type="pct"/>
            <w:tcBorders>
              <w:left w:val="single" w:sz="4" w:space="0" w:color="auto"/>
            </w:tcBorders>
          </w:tcPr>
          <w:p w14:paraId="61E6C683" w14:textId="77777777" w:rsidR="00524C5E" w:rsidRPr="002029AF" w:rsidRDefault="00524C5E" w:rsidP="00524C5E">
            <w:pPr>
              <w:pStyle w:val="ARtabletextright"/>
              <w:spacing w:before="40" w:after="30"/>
            </w:pPr>
            <w:r>
              <w:t>1</w:t>
            </w:r>
          </w:p>
        </w:tc>
        <w:tc>
          <w:tcPr>
            <w:tcW w:w="284" w:type="pct"/>
          </w:tcPr>
          <w:p w14:paraId="6D5A8C0B" w14:textId="77777777" w:rsidR="00524C5E" w:rsidRPr="002029AF" w:rsidRDefault="00524C5E" w:rsidP="00524C5E">
            <w:pPr>
              <w:pStyle w:val="ARtabletextright"/>
              <w:spacing w:before="40" w:after="30"/>
            </w:pPr>
            <w:r>
              <w:t>1</w:t>
            </w:r>
          </w:p>
        </w:tc>
        <w:tc>
          <w:tcPr>
            <w:tcW w:w="286" w:type="pct"/>
            <w:tcBorders>
              <w:top w:val="single" w:sz="4" w:space="0" w:color="auto"/>
              <w:right w:val="single" w:sz="4" w:space="0" w:color="auto"/>
            </w:tcBorders>
          </w:tcPr>
          <w:p w14:paraId="45BB76E2" w14:textId="77777777" w:rsidR="00524C5E" w:rsidRPr="002029AF" w:rsidRDefault="00524C5E" w:rsidP="00524C5E">
            <w:pPr>
              <w:pStyle w:val="ARtabletextright"/>
              <w:spacing w:before="40" w:after="30"/>
            </w:pPr>
            <w:r>
              <w:t>2.0</w:t>
            </w:r>
          </w:p>
        </w:tc>
        <w:tc>
          <w:tcPr>
            <w:tcW w:w="321" w:type="pct"/>
            <w:tcBorders>
              <w:left w:val="single" w:sz="4" w:space="0" w:color="auto"/>
            </w:tcBorders>
          </w:tcPr>
          <w:p w14:paraId="43CCA3BA" w14:textId="77777777" w:rsidR="00524C5E" w:rsidRPr="002029AF" w:rsidRDefault="00524C5E" w:rsidP="00524C5E">
            <w:pPr>
              <w:pStyle w:val="ARtabletextright"/>
              <w:spacing w:before="40" w:after="30"/>
            </w:pPr>
            <w:r>
              <w:t>9</w:t>
            </w:r>
          </w:p>
        </w:tc>
        <w:tc>
          <w:tcPr>
            <w:tcW w:w="285" w:type="pct"/>
            <w:tcBorders>
              <w:top w:val="single" w:sz="4" w:space="0" w:color="auto"/>
              <w:right w:val="single" w:sz="4" w:space="0" w:color="auto"/>
            </w:tcBorders>
          </w:tcPr>
          <w:p w14:paraId="1CB1F86E" w14:textId="77777777" w:rsidR="00524C5E" w:rsidRPr="002029AF" w:rsidRDefault="00524C5E" w:rsidP="00524C5E">
            <w:pPr>
              <w:pStyle w:val="ARtabletextright"/>
              <w:spacing w:before="40" w:after="30"/>
            </w:pPr>
            <w:r>
              <w:t>8.9</w:t>
            </w:r>
          </w:p>
        </w:tc>
        <w:tc>
          <w:tcPr>
            <w:tcW w:w="321" w:type="pct"/>
            <w:tcBorders>
              <w:left w:val="single" w:sz="4" w:space="0" w:color="auto"/>
            </w:tcBorders>
          </w:tcPr>
          <w:p w14:paraId="72944FFA" w14:textId="77777777" w:rsidR="00524C5E" w:rsidRPr="002029AF" w:rsidRDefault="00524C5E" w:rsidP="00524C5E">
            <w:pPr>
              <w:pStyle w:val="ARtabletextright"/>
              <w:spacing w:before="40" w:after="30"/>
            </w:pPr>
            <w:r w:rsidRPr="002029AF">
              <w:t>3</w:t>
            </w:r>
          </w:p>
        </w:tc>
        <w:tc>
          <w:tcPr>
            <w:tcW w:w="285" w:type="pct"/>
            <w:tcBorders>
              <w:top w:val="single" w:sz="4" w:space="0" w:color="auto"/>
              <w:right w:val="single" w:sz="4" w:space="0" w:color="auto"/>
            </w:tcBorders>
          </w:tcPr>
          <w:p w14:paraId="3ECD169E" w14:textId="77777777" w:rsidR="00524C5E" w:rsidRPr="002029AF" w:rsidRDefault="00524C5E" w:rsidP="00524C5E">
            <w:pPr>
              <w:pStyle w:val="ARtabletextright"/>
              <w:spacing w:before="40" w:after="30"/>
            </w:pPr>
            <w:r w:rsidRPr="002029AF">
              <w:t>3</w:t>
            </w:r>
          </w:p>
        </w:tc>
        <w:tc>
          <w:tcPr>
            <w:tcW w:w="284" w:type="pct"/>
            <w:tcBorders>
              <w:left w:val="single" w:sz="4" w:space="0" w:color="auto"/>
            </w:tcBorders>
          </w:tcPr>
          <w:p w14:paraId="5CE97B58" w14:textId="77777777" w:rsidR="00524C5E" w:rsidRPr="002029AF" w:rsidRDefault="00524C5E" w:rsidP="00524C5E">
            <w:pPr>
              <w:pStyle w:val="ARtabletextright"/>
              <w:spacing w:before="40" w:after="30"/>
            </w:pPr>
            <w:r w:rsidRPr="002029AF">
              <w:t>1</w:t>
            </w:r>
          </w:p>
        </w:tc>
        <w:tc>
          <w:tcPr>
            <w:tcW w:w="284" w:type="pct"/>
          </w:tcPr>
          <w:p w14:paraId="042DD7E8" w14:textId="77777777" w:rsidR="00524C5E" w:rsidRPr="002029AF" w:rsidRDefault="00524C5E" w:rsidP="00524C5E">
            <w:pPr>
              <w:pStyle w:val="ARtabletextright"/>
              <w:spacing w:before="40" w:after="30"/>
            </w:pPr>
            <w:r w:rsidRPr="002029AF">
              <w:t>0</w:t>
            </w:r>
          </w:p>
        </w:tc>
        <w:tc>
          <w:tcPr>
            <w:tcW w:w="286" w:type="pct"/>
            <w:tcBorders>
              <w:top w:val="single" w:sz="4" w:space="0" w:color="auto"/>
              <w:right w:val="single" w:sz="4" w:space="0" w:color="auto"/>
            </w:tcBorders>
          </w:tcPr>
          <w:p w14:paraId="6DC09933" w14:textId="77777777" w:rsidR="00524C5E" w:rsidRPr="002029AF" w:rsidRDefault="00524C5E" w:rsidP="00524C5E">
            <w:pPr>
              <w:pStyle w:val="ARtabletextright"/>
              <w:spacing w:before="40" w:after="30"/>
            </w:pPr>
            <w:r w:rsidRPr="002029AF">
              <w:t>1</w:t>
            </w:r>
          </w:p>
        </w:tc>
        <w:tc>
          <w:tcPr>
            <w:tcW w:w="321" w:type="pct"/>
            <w:tcBorders>
              <w:left w:val="single" w:sz="4" w:space="0" w:color="auto"/>
            </w:tcBorders>
          </w:tcPr>
          <w:p w14:paraId="10C22308" w14:textId="77777777" w:rsidR="00524C5E" w:rsidRPr="002029AF" w:rsidRDefault="00524C5E" w:rsidP="00524C5E">
            <w:pPr>
              <w:pStyle w:val="ARtabletextright"/>
              <w:spacing w:before="40" w:after="30"/>
            </w:pPr>
            <w:r w:rsidRPr="002029AF">
              <w:t>2</w:t>
            </w:r>
          </w:p>
        </w:tc>
        <w:tc>
          <w:tcPr>
            <w:tcW w:w="282" w:type="pct"/>
          </w:tcPr>
          <w:p w14:paraId="02C693CC" w14:textId="77777777" w:rsidR="00524C5E" w:rsidRPr="002029AF" w:rsidRDefault="00524C5E" w:rsidP="00524C5E">
            <w:pPr>
              <w:pStyle w:val="ARtabletextright"/>
              <w:spacing w:before="40" w:after="30"/>
            </w:pPr>
            <w:r w:rsidRPr="002029AF">
              <w:t>2</w:t>
            </w:r>
          </w:p>
        </w:tc>
      </w:tr>
      <w:tr w:rsidR="00524C5E" w:rsidRPr="002029AF" w14:paraId="0881BBB6" w14:textId="77777777" w:rsidTr="00524C5E">
        <w:tc>
          <w:tcPr>
            <w:tcW w:w="867" w:type="pct"/>
            <w:hideMark/>
          </w:tcPr>
          <w:p w14:paraId="58E086D1" w14:textId="77777777" w:rsidR="00524C5E" w:rsidRPr="002029AF" w:rsidRDefault="00524C5E" w:rsidP="00524C5E">
            <w:pPr>
              <w:pStyle w:val="ARtabletext"/>
              <w:spacing w:before="40" w:after="30"/>
            </w:pPr>
            <w:r w:rsidRPr="002029AF">
              <w:t>45–54</w:t>
            </w:r>
          </w:p>
        </w:tc>
        <w:tc>
          <w:tcPr>
            <w:tcW w:w="321" w:type="pct"/>
            <w:tcBorders>
              <w:top w:val="single" w:sz="4" w:space="0" w:color="auto"/>
            </w:tcBorders>
          </w:tcPr>
          <w:p w14:paraId="38A0DB90" w14:textId="77777777" w:rsidR="00524C5E" w:rsidRPr="002029AF" w:rsidRDefault="00524C5E" w:rsidP="00524C5E">
            <w:pPr>
              <w:pStyle w:val="ARtabletextright"/>
              <w:spacing w:before="40" w:after="30"/>
            </w:pPr>
            <w:r>
              <w:t>8</w:t>
            </w:r>
          </w:p>
        </w:tc>
        <w:tc>
          <w:tcPr>
            <w:tcW w:w="289" w:type="pct"/>
            <w:tcBorders>
              <w:top w:val="single" w:sz="4" w:space="0" w:color="auto"/>
              <w:right w:val="single" w:sz="4" w:space="0" w:color="auto"/>
            </w:tcBorders>
          </w:tcPr>
          <w:p w14:paraId="0E1402C6" w14:textId="77777777" w:rsidR="00524C5E" w:rsidRPr="002029AF" w:rsidRDefault="00524C5E" w:rsidP="00524C5E">
            <w:pPr>
              <w:pStyle w:val="ARtabletextright"/>
              <w:spacing w:before="40" w:after="30"/>
            </w:pPr>
            <w:r>
              <w:t>7.8</w:t>
            </w:r>
          </w:p>
        </w:tc>
        <w:tc>
          <w:tcPr>
            <w:tcW w:w="284" w:type="pct"/>
            <w:tcBorders>
              <w:left w:val="single" w:sz="4" w:space="0" w:color="auto"/>
            </w:tcBorders>
          </w:tcPr>
          <w:p w14:paraId="30BB2924" w14:textId="77777777" w:rsidR="00524C5E" w:rsidRPr="002029AF" w:rsidRDefault="00524C5E" w:rsidP="00524C5E">
            <w:pPr>
              <w:pStyle w:val="ARtabletextright"/>
              <w:spacing w:before="40" w:after="30"/>
            </w:pPr>
            <w:r>
              <w:t>3</w:t>
            </w:r>
          </w:p>
        </w:tc>
        <w:tc>
          <w:tcPr>
            <w:tcW w:w="284" w:type="pct"/>
          </w:tcPr>
          <w:p w14:paraId="1726214C" w14:textId="77777777" w:rsidR="00524C5E" w:rsidRPr="002029AF" w:rsidRDefault="00524C5E" w:rsidP="00524C5E">
            <w:pPr>
              <w:pStyle w:val="ARtabletextright"/>
              <w:spacing w:before="40" w:after="30"/>
            </w:pPr>
            <w:r>
              <w:t>0</w:t>
            </w:r>
          </w:p>
        </w:tc>
        <w:tc>
          <w:tcPr>
            <w:tcW w:w="286" w:type="pct"/>
            <w:tcBorders>
              <w:top w:val="single" w:sz="4" w:space="0" w:color="auto"/>
              <w:right w:val="single" w:sz="4" w:space="0" w:color="auto"/>
            </w:tcBorders>
          </w:tcPr>
          <w:p w14:paraId="2CD82492" w14:textId="77777777" w:rsidR="00524C5E" w:rsidRPr="002029AF" w:rsidRDefault="00524C5E" w:rsidP="00524C5E">
            <w:pPr>
              <w:pStyle w:val="ARtabletextright"/>
              <w:spacing w:before="40" w:after="30"/>
            </w:pPr>
            <w:r>
              <w:t>3.0</w:t>
            </w:r>
          </w:p>
        </w:tc>
        <w:tc>
          <w:tcPr>
            <w:tcW w:w="321" w:type="pct"/>
            <w:tcBorders>
              <w:left w:val="single" w:sz="4" w:space="0" w:color="auto"/>
            </w:tcBorders>
          </w:tcPr>
          <w:p w14:paraId="7AFFC536" w14:textId="77777777" w:rsidR="00524C5E" w:rsidRPr="002029AF" w:rsidRDefault="00524C5E" w:rsidP="00524C5E">
            <w:pPr>
              <w:pStyle w:val="ARtabletextright"/>
              <w:spacing w:before="40" w:after="30"/>
            </w:pPr>
            <w:r>
              <w:t>5</w:t>
            </w:r>
          </w:p>
        </w:tc>
        <w:tc>
          <w:tcPr>
            <w:tcW w:w="285" w:type="pct"/>
            <w:tcBorders>
              <w:top w:val="single" w:sz="4" w:space="0" w:color="auto"/>
              <w:right w:val="single" w:sz="4" w:space="0" w:color="auto"/>
            </w:tcBorders>
          </w:tcPr>
          <w:p w14:paraId="413D9018" w14:textId="77777777" w:rsidR="00524C5E" w:rsidRPr="002029AF" w:rsidRDefault="00524C5E" w:rsidP="00524C5E">
            <w:pPr>
              <w:pStyle w:val="ARtabletextright"/>
              <w:spacing w:before="40" w:after="30"/>
            </w:pPr>
            <w:r>
              <w:t>4.8</w:t>
            </w:r>
          </w:p>
        </w:tc>
        <w:tc>
          <w:tcPr>
            <w:tcW w:w="321" w:type="pct"/>
            <w:tcBorders>
              <w:left w:val="single" w:sz="4" w:space="0" w:color="auto"/>
            </w:tcBorders>
          </w:tcPr>
          <w:p w14:paraId="71CDBCB6" w14:textId="77777777" w:rsidR="00524C5E" w:rsidRPr="002029AF" w:rsidRDefault="00524C5E" w:rsidP="00524C5E">
            <w:pPr>
              <w:pStyle w:val="ARtabletextright"/>
              <w:spacing w:before="40" w:after="30"/>
            </w:pPr>
            <w:r w:rsidRPr="002029AF">
              <w:t>6</w:t>
            </w:r>
          </w:p>
        </w:tc>
        <w:tc>
          <w:tcPr>
            <w:tcW w:w="285" w:type="pct"/>
            <w:tcBorders>
              <w:top w:val="single" w:sz="4" w:space="0" w:color="auto"/>
              <w:right w:val="single" w:sz="4" w:space="0" w:color="auto"/>
            </w:tcBorders>
          </w:tcPr>
          <w:p w14:paraId="7CCD83B5" w14:textId="77777777" w:rsidR="00524C5E" w:rsidRPr="002029AF" w:rsidRDefault="00524C5E" w:rsidP="00524C5E">
            <w:pPr>
              <w:pStyle w:val="ARtabletextright"/>
              <w:spacing w:before="40" w:after="30"/>
            </w:pPr>
            <w:r w:rsidRPr="002029AF">
              <w:t>6</w:t>
            </w:r>
          </w:p>
        </w:tc>
        <w:tc>
          <w:tcPr>
            <w:tcW w:w="284" w:type="pct"/>
            <w:tcBorders>
              <w:left w:val="single" w:sz="4" w:space="0" w:color="auto"/>
            </w:tcBorders>
          </w:tcPr>
          <w:p w14:paraId="73429EAD" w14:textId="77777777" w:rsidR="00524C5E" w:rsidRPr="002029AF" w:rsidRDefault="00524C5E" w:rsidP="00524C5E">
            <w:pPr>
              <w:pStyle w:val="ARtabletextright"/>
              <w:spacing w:before="40" w:after="30"/>
            </w:pPr>
            <w:r w:rsidRPr="002029AF">
              <w:t>5</w:t>
            </w:r>
          </w:p>
        </w:tc>
        <w:tc>
          <w:tcPr>
            <w:tcW w:w="284" w:type="pct"/>
          </w:tcPr>
          <w:p w14:paraId="5DCE50A7" w14:textId="77777777" w:rsidR="00524C5E" w:rsidRPr="002029AF" w:rsidRDefault="00524C5E" w:rsidP="00524C5E">
            <w:pPr>
              <w:pStyle w:val="ARtabletextright"/>
              <w:spacing w:before="40" w:after="30"/>
            </w:pPr>
            <w:r w:rsidRPr="002029AF">
              <w:t>0</w:t>
            </w:r>
          </w:p>
        </w:tc>
        <w:tc>
          <w:tcPr>
            <w:tcW w:w="286" w:type="pct"/>
            <w:tcBorders>
              <w:top w:val="single" w:sz="4" w:space="0" w:color="auto"/>
              <w:right w:val="single" w:sz="4" w:space="0" w:color="auto"/>
            </w:tcBorders>
          </w:tcPr>
          <w:p w14:paraId="4EF8EF9B" w14:textId="77777777" w:rsidR="00524C5E" w:rsidRPr="002029AF" w:rsidRDefault="00524C5E" w:rsidP="00524C5E">
            <w:pPr>
              <w:pStyle w:val="ARtabletextright"/>
              <w:spacing w:before="40" w:after="30"/>
            </w:pPr>
            <w:r w:rsidRPr="002029AF">
              <w:t>5</w:t>
            </w:r>
          </w:p>
        </w:tc>
        <w:tc>
          <w:tcPr>
            <w:tcW w:w="321" w:type="pct"/>
            <w:tcBorders>
              <w:left w:val="single" w:sz="4" w:space="0" w:color="auto"/>
            </w:tcBorders>
          </w:tcPr>
          <w:p w14:paraId="3F0CFE73" w14:textId="77777777" w:rsidR="00524C5E" w:rsidRPr="002029AF" w:rsidRDefault="00524C5E" w:rsidP="00524C5E">
            <w:pPr>
              <w:pStyle w:val="ARtabletextright"/>
              <w:spacing w:before="40" w:after="30"/>
            </w:pPr>
            <w:r w:rsidRPr="002029AF">
              <w:t>1</w:t>
            </w:r>
          </w:p>
        </w:tc>
        <w:tc>
          <w:tcPr>
            <w:tcW w:w="282" w:type="pct"/>
          </w:tcPr>
          <w:p w14:paraId="708A6641" w14:textId="77777777" w:rsidR="00524C5E" w:rsidRPr="002029AF" w:rsidRDefault="00524C5E" w:rsidP="00524C5E">
            <w:pPr>
              <w:pStyle w:val="ARtabletextright"/>
              <w:spacing w:before="40" w:after="30"/>
            </w:pPr>
            <w:r w:rsidRPr="002029AF">
              <w:t>1</w:t>
            </w:r>
          </w:p>
        </w:tc>
      </w:tr>
      <w:tr w:rsidR="00524C5E" w:rsidRPr="002029AF" w14:paraId="747E6FFE" w14:textId="77777777" w:rsidTr="00524C5E">
        <w:tc>
          <w:tcPr>
            <w:tcW w:w="867" w:type="pct"/>
          </w:tcPr>
          <w:p w14:paraId="740ADE66" w14:textId="77777777" w:rsidR="00524C5E" w:rsidRPr="002029AF" w:rsidRDefault="00524C5E" w:rsidP="00524C5E">
            <w:pPr>
              <w:pStyle w:val="ARtabletext"/>
              <w:spacing w:before="40" w:after="30"/>
            </w:pPr>
            <w:r>
              <w:t>5</w:t>
            </w:r>
            <w:r w:rsidRPr="002029AF">
              <w:t>5–</w:t>
            </w:r>
            <w:r>
              <w:t>6</w:t>
            </w:r>
            <w:r w:rsidRPr="002029AF">
              <w:t>4</w:t>
            </w:r>
          </w:p>
        </w:tc>
        <w:tc>
          <w:tcPr>
            <w:tcW w:w="321" w:type="pct"/>
            <w:tcBorders>
              <w:top w:val="single" w:sz="4" w:space="0" w:color="auto"/>
            </w:tcBorders>
          </w:tcPr>
          <w:p w14:paraId="6002F27A" w14:textId="77777777" w:rsidR="00524C5E" w:rsidRPr="002029AF" w:rsidRDefault="00524C5E" w:rsidP="00524C5E">
            <w:pPr>
              <w:pStyle w:val="ARtabletextright"/>
              <w:spacing w:before="40" w:after="30"/>
            </w:pPr>
            <w:r>
              <w:t>1</w:t>
            </w:r>
          </w:p>
        </w:tc>
        <w:tc>
          <w:tcPr>
            <w:tcW w:w="289" w:type="pct"/>
            <w:tcBorders>
              <w:top w:val="single" w:sz="4" w:space="0" w:color="auto"/>
              <w:right w:val="single" w:sz="4" w:space="0" w:color="auto"/>
            </w:tcBorders>
          </w:tcPr>
          <w:p w14:paraId="6C1D233C" w14:textId="77777777" w:rsidR="00524C5E" w:rsidRPr="002029AF" w:rsidRDefault="00524C5E" w:rsidP="00524C5E">
            <w:pPr>
              <w:pStyle w:val="ARtabletextright"/>
              <w:spacing w:before="40" w:after="30"/>
            </w:pPr>
            <w:r>
              <w:t>1.0</w:t>
            </w:r>
          </w:p>
        </w:tc>
        <w:tc>
          <w:tcPr>
            <w:tcW w:w="284" w:type="pct"/>
            <w:tcBorders>
              <w:left w:val="single" w:sz="4" w:space="0" w:color="auto"/>
            </w:tcBorders>
          </w:tcPr>
          <w:p w14:paraId="34DDAABC" w14:textId="77777777" w:rsidR="00524C5E" w:rsidRPr="002029AF" w:rsidRDefault="00524C5E" w:rsidP="00524C5E">
            <w:pPr>
              <w:pStyle w:val="ARtabletextright"/>
              <w:spacing w:before="40" w:after="30"/>
            </w:pPr>
            <w:r>
              <w:t>0</w:t>
            </w:r>
          </w:p>
        </w:tc>
        <w:tc>
          <w:tcPr>
            <w:tcW w:w="284" w:type="pct"/>
          </w:tcPr>
          <w:p w14:paraId="36EBC48A" w14:textId="77777777" w:rsidR="00524C5E" w:rsidRPr="002029AF" w:rsidRDefault="00524C5E" w:rsidP="00524C5E">
            <w:pPr>
              <w:pStyle w:val="ARtabletextright"/>
              <w:spacing w:before="40" w:after="30"/>
            </w:pPr>
            <w:r>
              <w:t>0</w:t>
            </w:r>
          </w:p>
        </w:tc>
        <w:tc>
          <w:tcPr>
            <w:tcW w:w="286" w:type="pct"/>
            <w:tcBorders>
              <w:top w:val="single" w:sz="4" w:space="0" w:color="auto"/>
              <w:right w:val="single" w:sz="4" w:space="0" w:color="auto"/>
            </w:tcBorders>
          </w:tcPr>
          <w:p w14:paraId="0DDFBE99" w14:textId="77777777" w:rsidR="00524C5E" w:rsidRPr="002029AF" w:rsidRDefault="00524C5E" w:rsidP="00524C5E">
            <w:pPr>
              <w:pStyle w:val="ARtabletextright"/>
              <w:spacing w:before="40" w:after="30"/>
            </w:pPr>
            <w:r>
              <w:t>0.0</w:t>
            </w:r>
          </w:p>
        </w:tc>
        <w:tc>
          <w:tcPr>
            <w:tcW w:w="321" w:type="pct"/>
            <w:tcBorders>
              <w:left w:val="single" w:sz="4" w:space="0" w:color="auto"/>
            </w:tcBorders>
          </w:tcPr>
          <w:p w14:paraId="5B9FAC9A" w14:textId="77777777" w:rsidR="00524C5E" w:rsidRPr="002029AF" w:rsidRDefault="00524C5E" w:rsidP="00524C5E">
            <w:pPr>
              <w:pStyle w:val="ARtabletextright"/>
              <w:spacing w:before="40" w:after="30"/>
            </w:pPr>
            <w:r>
              <w:t>1</w:t>
            </w:r>
          </w:p>
        </w:tc>
        <w:tc>
          <w:tcPr>
            <w:tcW w:w="285" w:type="pct"/>
            <w:tcBorders>
              <w:top w:val="single" w:sz="4" w:space="0" w:color="auto"/>
              <w:right w:val="single" w:sz="4" w:space="0" w:color="auto"/>
            </w:tcBorders>
          </w:tcPr>
          <w:p w14:paraId="17AD728E" w14:textId="77777777" w:rsidR="00524C5E" w:rsidRPr="002029AF" w:rsidRDefault="00524C5E" w:rsidP="00524C5E">
            <w:pPr>
              <w:pStyle w:val="ARtabletextright"/>
              <w:spacing w:before="40" w:after="30"/>
            </w:pPr>
            <w:r>
              <w:t>1.0</w:t>
            </w:r>
          </w:p>
        </w:tc>
        <w:tc>
          <w:tcPr>
            <w:tcW w:w="321" w:type="pct"/>
            <w:tcBorders>
              <w:left w:val="single" w:sz="4" w:space="0" w:color="auto"/>
            </w:tcBorders>
          </w:tcPr>
          <w:p w14:paraId="7410668F" w14:textId="77777777" w:rsidR="00524C5E" w:rsidRPr="002029AF" w:rsidRDefault="00524C5E" w:rsidP="00524C5E">
            <w:pPr>
              <w:pStyle w:val="ARtabletextright"/>
              <w:spacing w:before="40" w:after="30"/>
            </w:pPr>
          </w:p>
        </w:tc>
        <w:tc>
          <w:tcPr>
            <w:tcW w:w="285" w:type="pct"/>
            <w:tcBorders>
              <w:top w:val="single" w:sz="4" w:space="0" w:color="auto"/>
              <w:right w:val="single" w:sz="4" w:space="0" w:color="auto"/>
            </w:tcBorders>
          </w:tcPr>
          <w:p w14:paraId="343B65E6" w14:textId="77777777" w:rsidR="00524C5E" w:rsidRPr="002029AF" w:rsidRDefault="00524C5E" w:rsidP="00524C5E">
            <w:pPr>
              <w:pStyle w:val="ARtabletextright"/>
              <w:spacing w:before="40" w:after="30"/>
            </w:pPr>
          </w:p>
        </w:tc>
        <w:tc>
          <w:tcPr>
            <w:tcW w:w="284" w:type="pct"/>
            <w:tcBorders>
              <w:left w:val="single" w:sz="4" w:space="0" w:color="auto"/>
            </w:tcBorders>
          </w:tcPr>
          <w:p w14:paraId="65C0FC66" w14:textId="77777777" w:rsidR="00524C5E" w:rsidRPr="002029AF" w:rsidRDefault="00524C5E" w:rsidP="00524C5E">
            <w:pPr>
              <w:pStyle w:val="ARtabletextright"/>
              <w:spacing w:before="40" w:after="30"/>
            </w:pPr>
          </w:p>
        </w:tc>
        <w:tc>
          <w:tcPr>
            <w:tcW w:w="284" w:type="pct"/>
          </w:tcPr>
          <w:p w14:paraId="379FB8B6" w14:textId="77777777" w:rsidR="00524C5E" w:rsidRPr="002029AF" w:rsidRDefault="00524C5E" w:rsidP="00524C5E">
            <w:pPr>
              <w:pStyle w:val="ARtabletextright"/>
              <w:spacing w:before="40" w:after="30"/>
            </w:pPr>
          </w:p>
        </w:tc>
        <w:tc>
          <w:tcPr>
            <w:tcW w:w="286" w:type="pct"/>
            <w:tcBorders>
              <w:top w:val="single" w:sz="4" w:space="0" w:color="auto"/>
              <w:right w:val="single" w:sz="4" w:space="0" w:color="auto"/>
            </w:tcBorders>
          </w:tcPr>
          <w:p w14:paraId="057DE7ED" w14:textId="77777777" w:rsidR="00524C5E" w:rsidRPr="002029AF" w:rsidRDefault="00524C5E" w:rsidP="00524C5E">
            <w:pPr>
              <w:pStyle w:val="ARtabletextright"/>
              <w:spacing w:before="40" w:after="30"/>
            </w:pPr>
          </w:p>
        </w:tc>
        <w:tc>
          <w:tcPr>
            <w:tcW w:w="321" w:type="pct"/>
            <w:tcBorders>
              <w:left w:val="single" w:sz="4" w:space="0" w:color="auto"/>
            </w:tcBorders>
          </w:tcPr>
          <w:p w14:paraId="4A371F5A" w14:textId="77777777" w:rsidR="00524C5E" w:rsidRPr="002029AF" w:rsidRDefault="00524C5E" w:rsidP="00524C5E">
            <w:pPr>
              <w:pStyle w:val="ARtabletextright"/>
              <w:spacing w:before="40" w:after="30"/>
            </w:pPr>
          </w:p>
        </w:tc>
        <w:tc>
          <w:tcPr>
            <w:tcW w:w="282" w:type="pct"/>
          </w:tcPr>
          <w:p w14:paraId="3FBA98A3" w14:textId="77777777" w:rsidR="00524C5E" w:rsidRPr="002029AF" w:rsidRDefault="00524C5E" w:rsidP="00524C5E">
            <w:pPr>
              <w:pStyle w:val="ARtabletextright"/>
              <w:spacing w:before="40" w:after="30"/>
            </w:pPr>
          </w:p>
        </w:tc>
      </w:tr>
      <w:tr w:rsidR="00524C5E" w:rsidRPr="002029AF" w14:paraId="3B1F2B15" w14:textId="77777777" w:rsidTr="00524C5E">
        <w:tc>
          <w:tcPr>
            <w:tcW w:w="867" w:type="pct"/>
          </w:tcPr>
          <w:p w14:paraId="319B47C1" w14:textId="77777777" w:rsidR="00524C5E" w:rsidRPr="002029AF" w:rsidRDefault="00524C5E" w:rsidP="00524C5E">
            <w:pPr>
              <w:pStyle w:val="ARtablesubhead"/>
              <w:spacing w:before="40" w:after="30"/>
            </w:pPr>
            <w:r w:rsidRPr="002029AF">
              <w:t>Classification</w:t>
            </w:r>
          </w:p>
        </w:tc>
        <w:tc>
          <w:tcPr>
            <w:tcW w:w="321" w:type="pct"/>
            <w:tcBorders>
              <w:top w:val="single" w:sz="4" w:space="0" w:color="auto"/>
            </w:tcBorders>
          </w:tcPr>
          <w:p w14:paraId="2D1C80EB" w14:textId="77777777" w:rsidR="00524C5E" w:rsidRPr="002029AF" w:rsidRDefault="00524C5E" w:rsidP="00524C5E">
            <w:pPr>
              <w:pStyle w:val="ARtabletextright"/>
              <w:spacing w:before="40" w:after="30"/>
            </w:pPr>
          </w:p>
        </w:tc>
        <w:tc>
          <w:tcPr>
            <w:tcW w:w="289" w:type="pct"/>
            <w:tcBorders>
              <w:top w:val="single" w:sz="4" w:space="0" w:color="auto"/>
              <w:right w:val="single" w:sz="4" w:space="0" w:color="auto"/>
            </w:tcBorders>
          </w:tcPr>
          <w:p w14:paraId="398A8DFD" w14:textId="77777777" w:rsidR="00524C5E" w:rsidRPr="002029AF" w:rsidRDefault="00524C5E" w:rsidP="00524C5E">
            <w:pPr>
              <w:pStyle w:val="ARtabletextright"/>
              <w:spacing w:before="40" w:after="30"/>
            </w:pPr>
          </w:p>
        </w:tc>
        <w:tc>
          <w:tcPr>
            <w:tcW w:w="284" w:type="pct"/>
            <w:tcBorders>
              <w:left w:val="single" w:sz="4" w:space="0" w:color="auto"/>
            </w:tcBorders>
          </w:tcPr>
          <w:p w14:paraId="1375FBDA" w14:textId="77777777" w:rsidR="00524C5E" w:rsidRPr="002029AF" w:rsidRDefault="00524C5E" w:rsidP="00524C5E">
            <w:pPr>
              <w:pStyle w:val="ARtabletextright"/>
              <w:spacing w:before="40" w:after="30"/>
            </w:pPr>
          </w:p>
        </w:tc>
        <w:tc>
          <w:tcPr>
            <w:tcW w:w="284" w:type="pct"/>
          </w:tcPr>
          <w:p w14:paraId="304BA4FA" w14:textId="77777777" w:rsidR="00524C5E" w:rsidRPr="002029AF" w:rsidRDefault="00524C5E" w:rsidP="00524C5E">
            <w:pPr>
              <w:pStyle w:val="ARtabletextright"/>
              <w:spacing w:before="40" w:after="30"/>
            </w:pPr>
          </w:p>
        </w:tc>
        <w:tc>
          <w:tcPr>
            <w:tcW w:w="286" w:type="pct"/>
            <w:tcBorders>
              <w:top w:val="single" w:sz="4" w:space="0" w:color="auto"/>
              <w:right w:val="single" w:sz="4" w:space="0" w:color="auto"/>
            </w:tcBorders>
          </w:tcPr>
          <w:p w14:paraId="6104C8EF" w14:textId="77777777" w:rsidR="00524C5E" w:rsidRPr="002029AF" w:rsidRDefault="00524C5E" w:rsidP="00524C5E">
            <w:pPr>
              <w:pStyle w:val="ARtabletextright"/>
              <w:spacing w:before="40" w:after="30"/>
            </w:pPr>
          </w:p>
        </w:tc>
        <w:tc>
          <w:tcPr>
            <w:tcW w:w="321" w:type="pct"/>
            <w:tcBorders>
              <w:left w:val="single" w:sz="4" w:space="0" w:color="auto"/>
            </w:tcBorders>
          </w:tcPr>
          <w:p w14:paraId="0F9D68EC" w14:textId="77777777" w:rsidR="00524C5E" w:rsidRPr="002029AF" w:rsidRDefault="00524C5E" w:rsidP="00524C5E">
            <w:pPr>
              <w:pStyle w:val="ARtabletextright"/>
              <w:spacing w:before="40" w:after="30"/>
            </w:pPr>
          </w:p>
        </w:tc>
        <w:tc>
          <w:tcPr>
            <w:tcW w:w="285" w:type="pct"/>
            <w:tcBorders>
              <w:top w:val="single" w:sz="4" w:space="0" w:color="auto"/>
              <w:right w:val="single" w:sz="4" w:space="0" w:color="auto"/>
            </w:tcBorders>
          </w:tcPr>
          <w:p w14:paraId="24CECF06" w14:textId="77777777" w:rsidR="00524C5E" w:rsidRPr="002029AF" w:rsidRDefault="00524C5E" w:rsidP="00524C5E">
            <w:pPr>
              <w:pStyle w:val="ARtabletextright"/>
              <w:spacing w:before="40" w:after="30"/>
            </w:pPr>
          </w:p>
        </w:tc>
        <w:tc>
          <w:tcPr>
            <w:tcW w:w="321" w:type="pct"/>
            <w:tcBorders>
              <w:left w:val="single" w:sz="4" w:space="0" w:color="auto"/>
            </w:tcBorders>
          </w:tcPr>
          <w:p w14:paraId="2CE8CFE1" w14:textId="77777777" w:rsidR="00524C5E" w:rsidRPr="002029AF" w:rsidRDefault="00524C5E" w:rsidP="00524C5E">
            <w:pPr>
              <w:pStyle w:val="ARtabletextright"/>
              <w:spacing w:before="40" w:after="30"/>
            </w:pPr>
          </w:p>
        </w:tc>
        <w:tc>
          <w:tcPr>
            <w:tcW w:w="285" w:type="pct"/>
            <w:tcBorders>
              <w:top w:val="single" w:sz="4" w:space="0" w:color="auto"/>
              <w:right w:val="single" w:sz="4" w:space="0" w:color="auto"/>
            </w:tcBorders>
          </w:tcPr>
          <w:p w14:paraId="7A7BB524" w14:textId="77777777" w:rsidR="00524C5E" w:rsidRPr="002029AF" w:rsidRDefault="00524C5E" w:rsidP="00524C5E">
            <w:pPr>
              <w:pStyle w:val="ARtabletextright"/>
              <w:spacing w:before="40" w:after="30"/>
            </w:pPr>
          </w:p>
        </w:tc>
        <w:tc>
          <w:tcPr>
            <w:tcW w:w="284" w:type="pct"/>
            <w:tcBorders>
              <w:left w:val="single" w:sz="4" w:space="0" w:color="auto"/>
            </w:tcBorders>
          </w:tcPr>
          <w:p w14:paraId="76E10E13" w14:textId="77777777" w:rsidR="00524C5E" w:rsidRPr="002029AF" w:rsidRDefault="00524C5E" w:rsidP="00524C5E">
            <w:pPr>
              <w:pStyle w:val="ARtabletextright"/>
              <w:spacing w:before="40" w:after="30"/>
            </w:pPr>
          </w:p>
        </w:tc>
        <w:tc>
          <w:tcPr>
            <w:tcW w:w="284" w:type="pct"/>
          </w:tcPr>
          <w:p w14:paraId="32E5F39A" w14:textId="77777777" w:rsidR="00524C5E" w:rsidRPr="002029AF" w:rsidRDefault="00524C5E" w:rsidP="00524C5E">
            <w:pPr>
              <w:pStyle w:val="ARtabletextright"/>
              <w:spacing w:before="40" w:after="30"/>
            </w:pPr>
          </w:p>
        </w:tc>
        <w:tc>
          <w:tcPr>
            <w:tcW w:w="286" w:type="pct"/>
            <w:tcBorders>
              <w:top w:val="single" w:sz="4" w:space="0" w:color="auto"/>
              <w:right w:val="single" w:sz="4" w:space="0" w:color="auto"/>
            </w:tcBorders>
          </w:tcPr>
          <w:p w14:paraId="3ABF28CC" w14:textId="77777777" w:rsidR="00524C5E" w:rsidRPr="002029AF" w:rsidRDefault="00524C5E" w:rsidP="00524C5E">
            <w:pPr>
              <w:pStyle w:val="ARtabletextright"/>
              <w:spacing w:before="40" w:after="30"/>
            </w:pPr>
          </w:p>
        </w:tc>
        <w:tc>
          <w:tcPr>
            <w:tcW w:w="321" w:type="pct"/>
            <w:tcBorders>
              <w:left w:val="single" w:sz="4" w:space="0" w:color="auto"/>
            </w:tcBorders>
          </w:tcPr>
          <w:p w14:paraId="528CE962" w14:textId="77777777" w:rsidR="00524C5E" w:rsidRPr="002029AF" w:rsidRDefault="00524C5E" w:rsidP="00524C5E">
            <w:pPr>
              <w:pStyle w:val="ARtabletextright"/>
              <w:spacing w:before="40" w:after="30"/>
            </w:pPr>
          </w:p>
        </w:tc>
        <w:tc>
          <w:tcPr>
            <w:tcW w:w="282" w:type="pct"/>
          </w:tcPr>
          <w:p w14:paraId="02E23530" w14:textId="77777777" w:rsidR="00524C5E" w:rsidRPr="002029AF" w:rsidRDefault="00524C5E" w:rsidP="00524C5E">
            <w:pPr>
              <w:pStyle w:val="ARtabletextright"/>
              <w:spacing w:before="40" w:after="30"/>
            </w:pPr>
          </w:p>
        </w:tc>
      </w:tr>
      <w:tr w:rsidR="00524C5E" w:rsidRPr="002029AF" w14:paraId="143BFB69" w14:textId="77777777" w:rsidTr="00524C5E">
        <w:tc>
          <w:tcPr>
            <w:tcW w:w="867" w:type="pct"/>
            <w:hideMark/>
          </w:tcPr>
          <w:p w14:paraId="35C4AAC2" w14:textId="77777777" w:rsidR="00524C5E" w:rsidRPr="002029AF" w:rsidRDefault="00524C5E" w:rsidP="00524C5E">
            <w:pPr>
              <w:pStyle w:val="ARtabletext"/>
              <w:spacing w:before="40" w:after="30"/>
            </w:pPr>
            <w:r w:rsidRPr="002029AF">
              <w:t xml:space="preserve">VPS </w:t>
            </w:r>
            <w:r>
              <w:t>4</w:t>
            </w:r>
          </w:p>
        </w:tc>
        <w:tc>
          <w:tcPr>
            <w:tcW w:w="321" w:type="pct"/>
            <w:tcBorders>
              <w:top w:val="single" w:sz="4" w:space="0" w:color="auto"/>
            </w:tcBorders>
          </w:tcPr>
          <w:p w14:paraId="54D7B50F" w14:textId="77777777" w:rsidR="00524C5E" w:rsidRPr="002029AF" w:rsidRDefault="00524C5E" w:rsidP="00524C5E">
            <w:pPr>
              <w:pStyle w:val="ARtabletextright"/>
              <w:spacing w:before="40" w:after="30"/>
            </w:pPr>
            <w:r>
              <w:t>5</w:t>
            </w:r>
          </w:p>
        </w:tc>
        <w:tc>
          <w:tcPr>
            <w:tcW w:w="289" w:type="pct"/>
            <w:tcBorders>
              <w:top w:val="single" w:sz="4" w:space="0" w:color="auto"/>
              <w:right w:val="single" w:sz="4" w:space="0" w:color="auto"/>
            </w:tcBorders>
          </w:tcPr>
          <w:p w14:paraId="7249DF75" w14:textId="77777777" w:rsidR="00524C5E" w:rsidRPr="002029AF" w:rsidRDefault="00524C5E" w:rsidP="00524C5E">
            <w:pPr>
              <w:pStyle w:val="ARtabletextright"/>
              <w:spacing w:before="40" w:after="30"/>
            </w:pPr>
            <w:r>
              <w:t>5.0</w:t>
            </w:r>
          </w:p>
        </w:tc>
        <w:tc>
          <w:tcPr>
            <w:tcW w:w="284" w:type="pct"/>
            <w:tcBorders>
              <w:left w:val="single" w:sz="4" w:space="0" w:color="auto"/>
            </w:tcBorders>
          </w:tcPr>
          <w:p w14:paraId="170E71A2" w14:textId="77777777" w:rsidR="00524C5E" w:rsidRPr="002029AF" w:rsidRDefault="00524C5E" w:rsidP="00524C5E">
            <w:pPr>
              <w:pStyle w:val="ARtabletextright"/>
              <w:spacing w:before="40" w:after="30"/>
            </w:pPr>
            <w:r>
              <w:t>0</w:t>
            </w:r>
          </w:p>
        </w:tc>
        <w:tc>
          <w:tcPr>
            <w:tcW w:w="284" w:type="pct"/>
          </w:tcPr>
          <w:p w14:paraId="202A1D82" w14:textId="77777777" w:rsidR="00524C5E" w:rsidRPr="002029AF" w:rsidRDefault="00524C5E" w:rsidP="00524C5E">
            <w:pPr>
              <w:pStyle w:val="ARtabletextright"/>
              <w:spacing w:before="40" w:after="30"/>
            </w:pPr>
            <w:r>
              <w:t>0</w:t>
            </w:r>
          </w:p>
        </w:tc>
        <w:tc>
          <w:tcPr>
            <w:tcW w:w="286" w:type="pct"/>
            <w:tcBorders>
              <w:top w:val="single" w:sz="4" w:space="0" w:color="auto"/>
              <w:right w:val="single" w:sz="4" w:space="0" w:color="auto"/>
            </w:tcBorders>
          </w:tcPr>
          <w:p w14:paraId="0ABACCE9" w14:textId="77777777" w:rsidR="00524C5E" w:rsidRPr="002029AF" w:rsidRDefault="00524C5E" w:rsidP="00524C5E">
            <w:pPr>
              <w:pStyle w:val="ARtabletextright"/>
              <w:spacing w:before="40" w:after="30"/>
            </w:pPr>
            <w:r>
              <w:t>0</w:t>
            </w:r>
          </w:p>
        </w:tc>
        <w:tc>
          <w:tcPr>
            <w:tcW w:w="321" w:type="pct"/>
            <w:tcBorders>
              <w:left w:val="single" w:sz="4" w:space="0" w:color="auto"/>
            </w:tcBorders>
          </w:tcPr>
          <w:p w14:paraId="3B53C177" w14:textId="77777777" w:rsidR="00524C5E" w:rsidRPr="002029AF" w:rsidRDefault="00524C5E" w:rsidP="00524C5E">
            <w:pPr>
              <w:pStyle w:val="ARtabletextright"/>
              <w:spacing w:before="40" w:after="30"/>
            </w:pPr>
            <w:r>
              <w:t>5</w:t>
            </w:r>
          </w:p>
        </w:tc>
        <w:tc>
          <w:tcPr>
            <w:tcW w:w="285" w:type="pct"/>
            <w:tcBorders>
              <w:top w:val="single" w:sz="4" w:space="0" w:color="auto"/>
              <w:right w:val="single" w:sz="4" w:space="0" w:color="auto"/>
            </w:tcBorders>
          </w:tcPr>
          <w:p w14:paraId="1731BC43" w14:textId="77777777" w:rsidR="00524C5E" w:rsidRPr="002029AF" w:rsidRDefault="00524C5E" w:rsidP="00524C5E">
            <w:pPr>
              <w:pStyle w:val="ARtabletextright"/>
              <w:spacing w:before="40" w:after="30"/>
            </w:pPr>
            <w:r>
              <w:t>5.0</w:t>
            </w:r>
          </w:p>
        </w:tc>
        <w:tc>
          <w:tcPr>
            <w:tcW w:w="321" w:type="pct"/>
            <w:tcBorders>
              <w:left w:val="single" w:sz="4" w:space="0" w:color="auto"/>
            </w:tcBorders>
          </w:tcPr>
          <w:p w14:paraId="6A101B7F" w14:textId="77777777" w:rsidR="00524C5E" w:rsidRPr="002029AF" w:rsidRDefault="00524C5E" w:rsidP="00524C5E">
            <w:pPr>
              <w:pStyle w:val="ARtabletextright"/>
              <w:spacing w:before="40" w:after="30"/>
            </w:pPr>
            <w:r w:rsidRPr="002029AF">
              <w:t>1</w:t>
            </w:r>
          </w:p>
        </w:tc>
        <w:tc>
          <w:tcPr>
            <w:tcW w:w="285" w:type="pct"/>
            <w:tcBorders>
              <w:top w:val="single" w:sz="4" w:space="0" w:color="auto"/>
              <w:right w:val="single" w:sz="4" w:space="0" w:color="auto"/>
            </w:tcBorders>
          </w:tcPr>
          <w:p w14:paraId="06FBCA15" w14:textId="77777777" w:rsidR="00524C5E" w:rsidRPr="002029AF" w:rsidRDefault="00524C5E" w:rsidP="00524C5E">
            <w:pPr>
              <w:pStyle w:val="ARtabletextright"/>
              <w:spacing w:before="40" w:after="30"/>
            </w:pPr>
            <w:r w:rsidRPr="002029AF">
              <w:t>1</w:t>
            </w:r>
          </w:p>
        </w:tc>
        <w:tc>
          <w:tcPr>
            <w:tcW w:w="284" w:type="pct"/>
            <w:tcBorders>
              <w:left w:val="single" w:sz="4" w:space="0" w:color="auto"/>
            </w:tcBorders>
          </w:tcPr>
          <w:p w14:paraId="04842D2C" w14:textId="77777777" w:rsidR="00524C5E" w:rsidRPr="002029AF" w:rsidRDefault="00524C5E" w:rsidP="00524C5E">
            <w:pPr>
              <w:pStyle w:val="ARtabletextright"/>
              <w:spacing w:before="40" w:after="30"/>
            </w:pPr>
            <w:r w:rsidRPr="002029AF">
              <w:t>1</w:t>
            </w:r>
          </w:p>
        </w:tc>
        <w:tc>
          <w:tcPr>
            <w:tcW w:w="284" w:type="pct"/>
          </w:tcPr>
          <w:p w14:paraId="5DC5A489" w14:textId="77777777" w:rsidR="00524C5E" w:rsidRPr="002029AF" w:rsidRDefault="00524C5E" w:rsidP="00524C5E">
            <w:pPr>
              <w:pStyle w:val="ARtabletextright"/>
              <w:spacing w:before="40" w:after="30"/>
            </w:pPr>
            <w:r w:rsidRPr="002029AF">
              <w:t>0</w:t>
            </w:r>
          </w:p>
        </w:tc>
        <w:tc>
          <w:tcPr>
            <w:tcW w:w="286" w:type="pct"/>
            <w:tcBorders>
              <w:top w:val="single" w:sz="4" w:space="0" w:color="auto"/>
              <w:right w:val="single" w:sz="4" w:space="0" w:color="auto"/>
            </w:tcBorders>
          </w:tcPr>
          <w:p w14:paraId="0245F46A" w14:textId="77777777" w:rsidR="00524C5E" w:rsidRPr="002029AF" w:rsidRDefault="00524C5E" w:rsidP="00524C5E">
            <w:pPr>
              <w:pStyle w:val="ARtabletextright"/>
              <w:spacing w:before="40" w:after="30"/>
            </w:pPr>
            <w:r w:rsidRPr="002029AF">
              <w:t>1</w:t>
            </w:r>
          </w:p>
        </w:tc>
        <w:tc>
          <w:tcPr>
            <w:tcW w:w="321" w:type="pct"/>
            <w:tcBorders>
              <w:left w:val="single" w:sz="4" w:space="0" w:color="auto"/>
            </w:tcBorders>
          </w:tcPr>
          <w:p w14:paraId="50BE356A" w14:textId="77777777" w:rsidR="00524C5E" w:rsidRPr="002029AF" w:rsidRDefault="00524C5E" w:rsidP="00524C5E">
            <w:pPr>
              <w:pStyle w:val="ARtabletextright"/>
              <w:spacing w:before="40" w:after="30"/>
            </w:pPr>
            <w:r w:rsidRPr="002029AF">
              <w:t>0</w:t>
            </w:r>
          </w:p>
        </w:tc>
        <w:tc>
          <w:tcPr>
            <w:tcW w:w="282" w:type="pct"/>
          </w:tcPr>
          <w:p w14:paraId="2C13F21D" w14:textId="77777777" w:rsidR="00524C5E" w:rsidRPr="002029AF" w:rsidRDefault="00524C5E" w:rsidP="00524C5E">
            <w:pPr>
              <w:pStyle w:val="ARtabletextright"/>
              <w:spacing w:before="40" w:after="30"/>
            </w:pPr>
            <w:r w:rsidRPr="002029AF">
              <w:t>0</w:t>
            </w:r>
          </w:p>
        </w:tc>
      </w:tr>
      <w:tr w:rsidR="00524C5E" w:rsidRPr="002029AF" w14:paraId="19B82A59" w14:textId="77777777" w:rsidTr="00524C5E">
        <w:tc>
          <w:tcPr>
            <w:tcW w:w="867" w:type="pct"/>
            <w:hideMark/>
          </w:tcPr>
          <w:p w14:paraId="5C289973" w14:textId="77777777" w:rsidR="00524C5E" w:rsidRPr="002029AF" w:rsidRDefault="00524C5E" w:rsidP="00524C5E">
            <w:pPr>
              <w:pStyle w:val="ARtabletext"/>
              <w:spacing w:before="40" w:after="30"/>
            </w:pPr>
            <w:r w:rsidRPr="002029AF">
              <w:t>VPS 5</w:t>
            </w:r>
          </w:p>
        </w:tc>
        <w:tc>
          <w:tcPr>
            <w:tcW w:w="321" w:type="pct"/>
            <w:tcBorders>
              <w:top w:val="single" w:sz="4" w:space="0" w:color="auto"/>
            </w:tcBorders>
          </w:tcPr>
          <w:p w14:paraId="1C93B45C" w14:textId="77777777" w:rsidR="00524C5E" w:rsidRPr="002029AF" w:rsidRDefault="00524C5E" w:rsidP="00524C5E">
            <w:pPr>
              <w:pStyle w:val="ARtabletextright"/>
              <w:spacing w:before="40" w:after="30"/>
            </w:pPr>
            <w:r>
              <w:t>9</w:t>
            </w:r>
          </w:p>
        </w:tc>
        <w:tc>
          <w:tcPr>
            <w:tcW w:w="289" w:type="pct"/>
            <w:tcBorders>
              <w:top w:val="single" w:sz="4" w:space="0" w:color="auto"/>
              <w:right w:val="single" w:sz="4" w:space="0" w:color="auto"/>
            </w:tcBorders>
          </w:tcPr>
          <w:p w14:paraId="697AF041" w14:textId="77777777" w:rsidR="00524C5E" w:rsidRPr="002029AF" w:rsidRDefault="00524C5E" w:rsidP="00524C5E">
            <w:pPr>
              <w:pStyle w:val="ARtabletextright"/>
              <w:spacing w:before="40" w:after="30"/>
            </w:pPr>
            <w:r>
              <w:t>9.0</w:t>
            </w:r>
          </w:p>
        </w:tc>
        <w:tc>
          <w:tcPr>
            <w:tcW w:w="284" w:type="pct"/>
            <w:tcBorders>
              <w:left w:val="single" w:sz="4" w:space="0" w:color="auto"/>
            </w:tcBorders>
          </w:tcPr>
          <w:p w14:paraId="2C5FEEB7" w14:textId="77777777" w:rsidR="00524C5E" w:rsidRPr="002029AF" w:rsidRDefault="00524C5E" w:rsidP="00524C5E">
            <w:pPr>
              <w:pStyle w:val="ARtabletextright"/>
              <w:spacing w:before="40" w:after="30"/>
            </w:pPr>
            <w:r>
              <w:t>1</w:t>
            </w:r>
          </w:p>
        </w:tc>
        <w:tc>
          <w:tcPr>
            <w:tcW w:w="284" w:type="pct"/>
          </w:tcPr>
          <w:p w14:paraId="7755BB0B" w14:textId="77777777" w:rsidR="00524C5E" w:rsidRPr="002029AF" w:rsidRDefault="00524C5E" w:rsidP="00524C5E">
            <w:pPr>
              <w:pStyle w:val="ARtabletextright"/>
              <w:spacing w:before="40" w:after="30"/>
            </w:pPr>
            <w:r>
              <w:t>0</w:t>
            </w:r>
          </w:p>
        </w:tc>
        <w:tc>
          <w:tcPr>
            <w:tcW w:w="286" w:type="pct"/>
            <w:tcBorders>
              <w:top w:val="single" w:sz="4" w:space="0" w:color="auto"/>
              <w:right w:val="single" w:sz="4" w:space="0" w:color="auto"/>
            </w:tcBorders>
          </w:tcPr>
          <w:p w14:paraId="2EF589A9" w14:textId="77777777" w:rsidR="00524C5E" w:rsidRPr="002029AF" w:rsidRDefault="00524C5E" w:rsidP="00524C5E">
            <w:pPr>
              <w:pStyle w:val="ARtabletextright"/>
              <w:spacing w:before="40" w:after="30"/>
            </w:pPr>
            <w:r>
              <w:t>1.0</w:t>
            </w:r>
          </w:p>
        </w:tc>
        <w:tc>
          <w:tcPr>
            <w:tcW w:w="321" w:type="pct"/>
            <w:tcBorders>
              <w:left w:val="single" w:sz="4" w:space="0" w:color="auto"/>
            </w:tcBorders>
          </w:tcPr>
          <w:p w14:paraId="1CAEEB31" w14:textId="77777777" w:rsidR="00524C5E" w:rsidRPr="002029AF" w:rsidRDefault="00524C5E" w:rsidP="00524C5E">
            <w:pPr>
              <w:pStyle w:val="ARtabletextright"/>
              <w:spacing w:before="40" w:after="30"/>
            </w:pPr>
            <w:r>
              <w:t>8</w:t>
            </w:r>
          </w:p>
        </w:tc>
        <w:tc>
          <w:tcPr>
            <w:tcW w:w="285" w:type="pct"/>
            <w:tcBorders>
              <w:top w:val="single" w:sz="4" w:space="0" w:color="auto"/>
              <w:right w:val="single" w:sz="4" w:space="0" w:color="auto"/>
            </w:tcBorders>
          </w:tcPr>
          <w:p w14:paraId="7D81859F" w14:textId="77777777" w:rsidR="00524C5E" w:rsidRPr="002029AF" w:rsidRDefault="00524C5E" w:rsidP="00524C5E">
            <w:pPr>
              <w:pStyle w:val="ARtabletextright"/>
              <w:spacing w:before="40" w:after="30"/>
            </w:pPr>
            <w:r>
              <w:t>8.0</w:t>
            </w:r>
          </w:p>
        </w:tc>
        <w:tc>
          <w:tcPr>
            <w:tcW w:w="321" w:type="pct"/>
            <w:tcBorders>
              <w:left w:val="single" w:sz="4" w:space="0" w:color="auto"/>
            </w:tcBorders>
          </w:tcPr>
          <w:p w14:paraId="6CF02842" w14:textId="77777777" w:rsidR="00524C5E" w:rsidRPr="002029AF" w:rsidRDefault="00524C5E" w:rsidP="00524C5E">
            <w:pPr>
              <w:pStyle w:val="ARtabletextright"/>
              <w:spacing w:before="40" w:after="30"/>
            </w:pPr>
            <w:r w:rsidRPr="002029AF">
              <w:t>2</w:t>
            </w:r>
          </w:p>
        </w:tc>
        <w:tc>
          <w:tcPr>
            <w:tcW w:w="285" w:type="pct"/>
            <w:tcBorders>
              <w:top w:val="single" w:sz="4" w:space="0" w:color="auto"/>
              <w:right w:val="single" w:sz="4" w:space="0" w:color="auto"/>
            </w:tcBorders>
          </w:tcPr>
          <w:p w14:paraId="544563C9" w14:textId="77777777" w:rsidR="00524C5E" w:rsidRPr="002029AF" w:rsidRDefault="00524C5E" w:rsidP="00524C5E">
            <w:pPr>
              <w:pStyle w:val="ARtabletextright"/>
              <w:spacing w:before="40" w:after="30"/>
            </w:pPr>
            <w:r w:rsidRPr="002029AF">
              <w:t>2</w:t>
            </w:r>
          </w:p>
        </w:tc>
        <w:tc>
          <w:tcPr>
            <w:tcW w:w="284" w:type="pct"/>
            <w:tcBorders>
              <w:left w:val="single" w:sz="4" w:space="0" w:color="auto"/>
            </w:tcBorders>
          </w:tcPr>
          <w:p w14:paraId="051200F2" w14:textId="77777777" w:rsidR="00524C5E" w:rsidRPr="002029AF" w:rsidRDefault="00524C5E" w:rsidP="00524C5E">
            <w:pPr>
              <w:pStyle w:val="ARtabletextright"/>
              <w:spacing w:before="40" w:after="30"/>
            </w:pPr>
            <w:r w:rsidRPr="002029AF">
              <w:t>1</w:t>
            </w:r>
          </w:p>
        </w:tc>
        <w:tc>
          <w:tcPr>
            <w:tcW w:w="284" w:type="pct"/>
          </w:tcPr>
          <w:p w14:paraId="1EBAFF1C" w14:textId="77777777" w:rsidR="00524C5E" w:rsidRPr="002029AF" w:rsidRDefault="00524C5E" w:rsidP="00524C5E">
            <w:pPr>
              <w:pStyle w:val="ARtabletextright"/>
              <w:spacing w:before="40" w:after="30"/>
            </w:pPr>
            <w:r w:rsidRPr="002029AF">
              <w:t>0</w:t>
            </w:r>
          </w:p>
        </w:tc>
        <w:tc>
          <w:tcPr>
            <w:tcW w:w="286" w:type="pct"/>
            <w:tcBorders>
              <w:top w:val="single" w:sz="4" w:space="0" w:color="auto"/>
              <w:right w:val="single" w:sz="4" w:space="0" w:color="auto"/>
            </w:tcBorders>
          </w:tcPr>
          <w:p w14:paraId="06D99BAF" w14:textId="77777777" w:rsidR="00524C5E" w:rsidRPr="002029AF" w:rsidRDefault="00524C5E" w:rsidP="00524C5E">
            <w:pPr>
              <w:pStyle w:val="ARtabletextright"/>
              <w:spacing w:before="40" w:after="30"/>
            </w:pPr>
            <w:r w:rsidRPr="002029AF">
              <w:t>1</w:t>
            </w:r>
          </w:p>
        </w:tc>
        <w:tc>
          <w:tcPr>
            <w:tcW w:w="321" w:type="pct"/>
            <w:tcBorders>
              <w:left w:val="single" w:sz="4" w:space="0" w:color="auto"/>
            </w:tcBorders>
          </w:tcPr>
          <w:p w14:paraId="65363920" w14:textId="77777777" w:rsidR="00524C5E" w:rsidRPr="002029AF" w:rsidRDefault="00524C5E" w:rsidP="00524C5E">
            <w:pPr>
              <w:pStyle w:val="ARtabletextright"/>
              <w:spacing w:before="40" w:after="30"/>
            </w:pPr>
            <w:r w:rsidRPr="002029AF">
              <w:t>1</w:t>
            </w:r>
          </w:p>
        </w:tc>
        <w:tc>
          <w:tcPr>
            <w:tcW w:w="282" w:type="pct"/>
          </w:tcPr>
          <w:p w14:paraId="6C3A7570" w14:textId="77777777" w:rsidR="00524C5E" w:rsidRPr="002029AF" w:rsidRDefault="00524C5E" w:rsidP="00524C5E">
            <w:pPr>
              <w:pStyle w:val="ARtabletextright"/>
              <w:spacing w:before="40" w:after="30"/>
            </w:pPr>
            <w:r w:rsidRPr="002029AF">
              <w:t>1</w:t>
            </w:r>
          </w:p>
        </w:tc>
      </w:tr>
      <w:tr w:rsidR="00524C5E" w:rsidRPr="002029AF" w14:paraId="21B59B85" w14:textId="77777777" w:rsidTr="00524C5E">
        <w:tc>
          <w:tcPr>
            <w:tcW w:w="867" w:type="pct"/>
            <w:hideMark/>
          </w:tcPr>
          <w:p w14:paraId="493D5819" w14:textId="77777777" w:rsidR="00524C5E" w:rsidRPr="002029AF" w:rsidRDefault="00524C5E" w:rsidP="00524C5E">
            <w:pPr>
              <w:pStyle w:val="ARtabletext"/>
              <w:spacing w:before="40" w:after="30"/>
            </w:pPr>
            <w:r w:rsidRPr="002029AF">
              <w:t>VPS 6</w:t>
            </w:r>
          </w:p>
        </w:tc>
        <w:tc>
          <w:tcPr>
            <w:tcW w:w="321" w:type="pct"/>
            <w:tcBorders>
              <w:top w:val="single" w:sz="4" w:space="0" w:color="auto"/>
            </w:tcBorders>
          </w:tcPr>
          <w:p w14:paraId="516980A9" w14:textId="37EFD9BE" w:rsidR="00524C5E" w:rsidRPr="002029AF" w:rsidRDefault="00524C5E" w:rsidP="00524C5E">
            <w:pPr>
              <w:pStyle w:val="ARtabletextright"/>
              <w:spacing w:before="40" w:after="30"/>
            </w:pPr>
            <w:r>
              <w:t>8</w:t>
            </w:r>
            <w:r w:rsidRPr="005A1F35">
              <w:rPr>
                <w:vertAlign w:val="superscript"/>
              </w:rPr>
              <w:t>(</w:t>
            </w:r>
            <w:r w:rsidR="008E012B">
              <w:rPr>
                <w:rStyle w:val="FootnoteReference"/>
              </w:rPr>
              <w:footnoteReference w:id="21"/>
            </w:r>
            <w:r w:rsidRPr="005A1F35">
              <w:rPr>
                <w:vertAlign w:val="superscript"/>
              </w:rPr>
              <w:t>)</w:t>
            </w:r>
          </w:p>
        </w:tc>
        <w:tc>
          <w:tcPr>
            <w:tcW w:w="289" w:type="pct"/>
            <w:tcBorders>
              <w:top w:val="single" w:sz="4" w:space="0" w:color="auto"/>
              <w:right w:val="single" w:sz="4" w:space="0" w:color="auto"/>
            </w:tcBorders>
          </w:tcPr>
          <w:p w14:paraId="5779BB78" w14:textId="77777777" w:rsidR="00524C5E" w:rsidRPr="002029AF" w:rsidRDefault="00524C5E" w:rsidP="00524C5E">
            <w:pPr>
              <w:pStyle w:val="ARtabletextright"/>
              <w:spacing w:before="40" w:after="30"/>
            </w:pPr>
            <w:r>
              <w:t>7.7</w:t>
            </w:r>
          </w:p>
        </w:tc>
        <w:tc>
          <w:tcPr>
            <w:tcW w:w="284" w:type="pct"/>
            <w:tcBorders>
              <w:left w:val="single" w:sz="4" w:space="0" w:color="auto"/>
            </w:tcBorders>
          </w:tcPr>
          <w:p w14:paraId="7419CFE5" w14:textId="77777777" w:rsidR="00524C5E" w:rsidRPr="002029AF" w:rsidRDefault="00524C5E" w:rsidP="00524C5E">
            <w:pPr>
              <w:pStyle w:val="ARtabletextright"/>
              <w:spacing w:before="40" w:after="30"/>
            </w:pPr>
            <w:r>
              <w:t>0</w:t>
            </w:r>
          </w:p>
        </w:tc>
        <w:tc>
          <w:tcPr>
            <w:tcW w:w="284" w:type="pct"/>
          </w:tcPr>
          <w:p w14:paraId="1D497436" w14:textId="77777777" w:rsidR="00524C5E" w:rsidRPr="002029AF" w:rsidRDefault="00524C5E" w:rsidP="00524C5E">
            <w:pPr>
              <w:pStyle w:val="ARtabletextright"/>
              <w:spacing w:before="40" w:after="30"/>
            </w:pPr>
            <w:r>
              <w:t>0</w:t>
            </w:r>
          </w:p>
        </w:tc>
        <w:tc>
          <w:tcPr>
            <w:tcW w:w="286" w:type="pct"/>
            <w:tcBorders>
              <w:top w:val="single" w:sz="4" w:space="0" w:color="auto"/>
              <w:right w:val="single" w:sz="4" w:space="0" w:color="auto"/>
            </w:tcBorders>
          </w:tcPr>
          <w:p w14:paraId="25FC0460" w14:textId="77777777" w:rsidR="00524C5E" w:rsidRPr="002029AF" w:rsidRDefault="00524C5E" w:rsidP="00524C5E">
            <w:pPr>
              <w:pStyle w:val="ARtabletextright"/>
              <w:spacing w:before="40" w:after="30"/>
            </w:pPr>
            <w:r>
              <w:t>0</w:t>
            </w:r>
          </w:p>
        </w:tc>
        <w:tc>
          <w:tcPr>
            <w:tcW w:w="321" w:type="pct"/>
            <w:tcBorders>
              <w:left w:val="single" w:sz="4" w:space="0" w:color="auto"/>
            </w:tcBorders>
          </w:tcPr>
          <w:p w14:paraId="504098A9" w14:textId="77777777" w:rsidR="00524C5E" w:rsidRPr="002029AF" w:rsidRDefault="00524C5E" w:rsidP="00524C5E">
            <w:pPr>
              <w:pStyle w:val="ARtabletextright"/>
              <w:spacing w:before="40" w:after="30"/>
            </w:pPr>
            <w:r>
              <w:t>8</w:t>
            </w:r>
          </w:p>
        </w:tc>
        <w:tc>
          <w:tcPr>
            <w:tcW w:w="285" w:type="pct"/>
            <w:tcBorders>
              <w:top w:val="single" w:sz="4" w:space="0" w:color="auto"/>
              <w:right w:val="single" w:sz="4" w:space="0" w:color="auto"/>
            </w:tcBorders>
          </w:tcPr>
          <w:p w14:paraId="592D77AA" w14:textId="77777777" w:rsidR="00524C5E" w:rsidRPr="002029AF" w:rsidRDefault="00524C5E" w:rsidP="00524C5E">
            <w:pPr>
              <w:pStyle w:val="ARtabletextright"/>
              <w:spacing w:before="40" w:after="30"/>
            </w:pPr>
            <w:r>
              <w:t>7.7</w:t>
            </w:r>
          </w:p>
        </w:tc>
        <w:tc>
          <w:tcPr>
            <w:tcW w:w="321" w:type="pct"/>
            <w:tcBorders>
              <w:left w:val="single" w:sz="4" w:space="0" w:color="auto"/>
            </w:tcBorders>
          </w:tcPr>
          <w:p w14:paraId="4054A0A8" w14:textId="77777777" w:rsidR="00524C5E" w:rsidRPr="002029AF" w:rsidRDefault="00524C5E" w:rsidP="00524C5E">
            <w:pPr>
              <w:pStyle w:val="ARtabletextright"/>
              <w:spacing w:before="40" w:after="30"/>
            </w:pPr>
            <w:r w:rsidRPr="002029AF">
              <w:t>3</w:t>
            </w:r>
          </w:p>
        </w:tc>
        <w:tc>
          <w:tcPr>
            <w:tcW w:w="285" w:type="pct"/>
            <w:tcBorders>
              <w:top w:val="single" w:sz="4" w:space="0" w:color="auto"/>
              <w:right w:val="single" w:sz="4" w:space="0" w:color="auto"/>
            </w:tcBorders>
          </w:tcPr>
          <w:p w14:paraId="09A41617" w14:textId="77777777" w:rsidR="00524C5E" w:rsidRPr="002029AF" w:rsidRDefault="00524C5E" w:rsidP="00524C5E">
            <w:pPr>
              <w:pStyle w:val="ARtabletextright"/>
              <w:spacing w:before="40" w:after="30"/>
            </w:pPr>
            <w:r w:rsidRPr="002029AF">
              <w:t>3</w:t>
            </w:r>
          </w:p>
        </w:tc>
        <w:tc>
          <w:tcPr>
            <w:tcW w:w="284" w:type="pct"/>
            <w:tcBorders>
              <w:left w:val="single" w:sz="4" w:space="0" w:color="auto"/>
            </w:tcBorders>
          </w:tcPr>
          <w:p w14:paraId="76F027A6" w14:textId="77777777" w:rsidR="00524C5E" w:rsidRPr="002029AF" w:rsidRDefault="00524C5E" w:rsidP="00524C5E">
            <w:pPr>
              <w:pStyle w:val="ARtabletextright"/>
              <w:spacing w:before="40" w:after="30"/>
            </w:pPr>
            <w:r w:rsidRPr="002029AF">
              <w:t>2</w:t>
            </w:r>
          </w:p>
        </w:tc>
        <w:tc>
          <w:tcPr>
            <w:tcW w:w="284" w:type="pct"/>
          </w:tcPr>
          <w:p w14:paraId="762E0D74" w14:textId="77777777" w:rsidR="00524C5E" w:rsidRPr="002029AF" w:rsidRDefault="00524C5E" w:rsidP="00524C5E">
            <w:pPr>
              <w:pStyle w:val="ARtabletextright"/>
              <w:spacing w:before="40" w:after="30"/>
            </w:pPr>
            <w:r w:rsidRPr="002029AF">
              <w:t>0</w:t>
            </w:r>
          </w:p>
        </w:tc>
        <w:tc>
          <w:tcPr>
            <w:tcW w:w="286" w:type="pct"/>
            <w:tcBorders>
              <w:top w:val="single" w:sz="4" w:space="0" w:color="auto"/>
              <w:right w:val="single" w:sz="4" w:space="0" w:color="auto"/>
            </w:tcBorders>
          </w:tcPr>
          <w:p w14:paraId="5FC7089C" w14:textId="77777777" w:rsidR="00524C5E" w:rsidRPr="002029AF" w:rsidRDefault="00524C5E" w:rsidP="00524C5E">
            <w:pPr>
              <w:pStyle w:val="ARtabletextright"/>
              <w:spacing w:before="40" w:after="30"/>
            </w:pPr>
            <w:r w:rsidRPr="002029AF">
              <w:t>2</w:t>
            </w:r>
          </w:p>
        </w:tc>
        <w:tc>
          <w:tcPr>
            <w:tcW w:w="321" w:type="pct"/>
            <w:tcBorders>
              <w:left w:val="single" w:sz="4" w:space="0" w:color="auto"/>
            </w:tcBorders>
          </w:tcPr>
          <w:p w14:paraId="71A2310B" w14:textId="77777777" w:rsidR="00524C5E" w:rsidRPr="002029AF" w:rsidRDefault="00524C5E" w:rsidP="00524C5E">
            <w:pPr>
              <w:pStyle w:val="ARtabletextright"/>
              <w:spacing w:before="40" w:after="30"/>
            </w:pPr>
            <w:r w:rsidRPr="002029AF">
              <w:t>1</w:t>
            </w:r>
          </w:p>
        </w:tc>
        <w:tc>
          <w:tcPr>
            <w:tcW w:w="282" w:type="pct"/>
          </w:tcPr>
          <w:p w14:paraId="7640742B" w14:textId="77777777" w:rsidR="00524C5E" w:rsidRPr="002029AF" w:rsidRDefault="00524C5E" w:rsidP="00524C5E">
            <w:pPr>
              <w:pStyle w:val="ARtabletextright"/>
              <w:spacing w:before="40" w:after="30"/>
            </w:pPr>
            <w:r w:rsidRPr="002029AF">
              <w:t>1</w:t>
            </w:r>
          </w:p>
        </w:tc>
      </w:tr>
      <w:tr w:rsidR="00524C5E" w:rsidRPr="002029AF" w14:paraId="1A298E3D" w14:textId="77777777" w:rsidTr="00524C5E">
        <w:tc>
          <w:tcPr>
            <w:tcW w:w="867" w:type="pct"/>
            <w:hideMark/>
          </w:tcPr>
          <w:p w14:paraId="4F1C0792" w14:textId="77777777" w:rsidR="00524C5E" w:rsidRPr="002029AF" w:rsidRDefault="00524C5E" w:rsidP="00524C5E">
            <w:pPr>
              <w:pStyle w:val="ARtabletext"/>
              <w:spacing w:before="40" w:after="30"/>
            </w:pPr>
            <w:r w:rsidRPr="002029AF">
              <w:t>Executives</w:t>
            </w:r>
          </w:p>
        </w:tc>
        <w:tc>
          <w:tcPr>
            <w:tcW w:w="321" w:type="pct"/>
            <w:tcBorders>
              <w:top w:val="single" w:sz="4" w:space="0" w:color="auto"/>
            </w:tcBorders>
          </w:tcPr>
          <w:p w14:paraId="015B461B" w14:textId="77777777" w:rsidR="00524C5E" w:rsidRPr="002029AF" w:rsidRDefault="00524C5E" w:rsidP="00524C5E">
            <w:pPr>
              <w:pStyle w:val="ARtabletextright"/>
              <w:spacing w:before="40" w:after="30"/>
            </w:pPr>
            <w:r>
              <w:t>5</w:t>
            </w:r>
          </w:p>
        </w:tc>
        <w:tc>
          <w:tcPr>
            <w:tcW w:w="289" w:type="pct"/>
            <w:tcBorders>
              <w:top w:val="single" w:sz="4" w:space="0" w:color="auto"/>
              <w:right w:val="single" w:sz="4" w:space="0" w:color="auto"/>
            </w:tcBorders>
          </w:tcPr>
          <w:p w14:paraId="259D3A06" w14:textId="77777777" w:rsidR="00524C5E" w:rsidRPr="002029AF" w:rsidRDefault="00524C5E" w:rsidP="00524C5E">
            <w:pPr>
              <w:pStyle w:val="ARtabletextright"/>
              <w:spacing w:before="40" w:after="30"/>
            </w:pPr>
            <w:r>
              <w:t>5.0</w:t>
            </w:r>
          </w:p>
        </w:tc>
        <w:tc>
          <w:tcPr>
            <w:tcW w:w="284" w:type="pct"/>
            <w:tcBorders>
              <w:left w:val="single" w:sz="4" w:space="0" w:color="auto"/>
            </w:tcBorders>
          </w:tcPr>
          <w:p w14:paraId="1BC7C536" w14:textId="77777777" w:rsidR="00524C5E" w:rsidRPr="002029AF" w:rsidRDefault="00524C5E" w:rsidP="00524C5E">
            <w:pPr>
              <w:pStyle w:val="ARtabletextright"/>
              <w:spacing w:before="40" w:after="30"/>
            </w:pPr>
            <w:r>
              <w:t>3</w:t>
            </w:r>
          </w:p>
        </w:tc>
        <w:tc>
          <w:tcPr>
            <w:tcW w:w="284" w:type="pct"/>
          </w:tcPr>
          <w:p w14:paraId="59E55D1A" w14:textId="77777777" w:rsidR="00524C5E" w:rsidRPr="002029AF" w:rsidRDefault="00524C5E" w:rsidP="00524C5E">
            <w:pPr>
              <w:pStyle w:val="ARtabletextright"/>
              <w:spacing w:before="40" w:after="30"/>
            </w:pPr>
            <w:r>
              <w:t>1</w:t>
            </w:r>
          </w:p>
        </w:tc>
        <w:tc>
          <w:tcPr>
            <w:tcW w:w="286" w:type="pct"/>
            <w:tcBorders>
              <w:top w:val="single" w:sz="4" w:space="0" w:color="auto"/>
              <w:right w:val="single" w:sz="4" w:space="0" w:color="auto"/>
            </w:tcBorders>
          </w:tcPr>
          <w:p w14:paraId="4F31A4A5" w14:textId="77777777" w:rsidR="00524C5E" w:rsidRPr="002029AF" w:rsidRDefault="00524C5E" w:rsidP="00524C5E">
            <w:pPr>
              <w:pStyle w:val="ARtabletextright"/>
              <w:spacing w:before="40" w:after="30"/>
            </w:pPr>
            <w:r>
              <w:t>4.0</w:t>
            </w:r>
          </w:p>
        </w:tc>
        <w:tc>
          <w:tcPr>
            <w:tcW w:w="321" w:type="pct"/>
            <w:tcBorders>
              <w:left w:val="single" w:sz="4" w:space="0" w:color="auto"/>
            </w:tcBorders>
          </w:tcPr>
          <w:p w14:paraId="3E862934" w14:textId="77777777" w:rsidR="00524C5E" w:rsidRPr="002029AF" w:rsidRDefault="00524C5E" w:rsidP="00524C5E">
            <w:pPr>
              <w:pStyle w:val="ARtabletextright"/>
              <w:spacing w:before="40" w:after="30"/>
            </w:pPr>
            <w:r>
              <w:t>1</w:t>
            </w:r>
          </w:p>
        </w:tc>
        <w:tc>
          <w:tcPr>
            <w:tcW w:w="285" w:type="pct"/>
            <w:tcBorders>
              <w:top w:val="single" w:sz="4" w:space="0" w:color="auto"/>
              <w:right w:val="single" w:sz="4" w:space="0" w:color="auto"/>
            </w:tcBorders>
          </w:tcPr>
          <w:p w14:paraId="3BE792DF" w14:textId="77777777" w:rsidR="00524C5E" w:rsidRPr="002029AF" w:rsidRDefault="00524C5E" w:rsidP="00524C5E">
            <w:pPr>
              <w:pStyle w:val="ARtabletextright"/>
              <w:spacing w:before="40" w:after="30"/>
            </w:pPr>
            <w:r>
              <w:t>1.0</w:t>
            </w:r>
          </w:p>
        </w:tc>
        <w:tc>
          <w:tcPr>
            <w:tcW w:w="321" w:type="pct"/>
            <w:tcBorders>
              <w:left w:val="single" w:sz="4" w:space="0" w:color="auto"/>
            </w:tcBorders>
          </w:tcPr>
          <w:p w14:paraId="3DFA4CD4" w14:textId="77777777" w:rsidR="00524C5E" w:rsidRPr="002029AF" w:rsidRDefault="00524C5E" w:rsidP="00524C5E">
            <w:pPr>
              <w:pStyle w:val="ARtabletextright"/>
              <w:spacing w:before="40" w:after="30"/>
            </w:pPr>
            <w:r w:rsidRPr="002029AF">
              <w:t>3</w:t>
            </w:r>
          </w:p>
        </w:tc>
        <w:tc>
          <w:tcPr>
            <w:tcW w:w="285" w:type="pct"/>
            <w:tcBorders>
              <w:top w:val="single" w:sz="4" w:space="0" w:color="auto"/>
              <w:right w:val="single" w:sz="4" w:space="0" w:color="auto"/>
            </w:tcBorders>
          </w:tcPr>
          <w:p w14:paraId="4662365C" w14:textId="77777777" w:rsidR="00524C5E" w:rsidRPr="002029AF" w:rsidRDefault="00524C5E" w:rsidP="00524C5E">
            <w:pPr>
              <w:pStyle w:val="ARtabletextright"/>
              <w:spacing w:before="40" w:after="30"/>
            </w:pPr>
            <w:r w:rsidRPr="002029AF">
              <w:t>3</w:t>
            </w:r>
          </w:p>
        </w:tc>
        <w:tc>
          <w:tcPr>
            <w:tcW w:w="284" w:type="pct"/>
            <w:tcBorders>
              <w:left w:val="single" w:sz="4" w:space="0" w:color="auto"/>
            </w:tcBorders>
          </w:tcPr>
          <w:p w14:paraId="40CC3CFE" w14:textId="77777777" w:rsidR="00524C5E" w:rsidRPr="002029AF" w:rsidRDefault="00524C5E" w:rsidP="00524C5E">
            <w:pPr>
              <w:pStyle w:val="ARtabletextright"/>
              <w:spacing w:before="40" w:after="30"/>
            </w:pPr>
            <w:r w:rsidRPr="002029AF">
              <w:t>2</w:t>
            </w:r>
          </w:p>
        </w:tc>
        <w:tc>
          <w:tcPr>
            <w:tcW w:w="284" w:type="pct"/>
          </w:tcPr>
          <w:p w14:paraId="764CA061" w14:textId="77777777" w:rsidR="00524C5E" w:rsidRPr="002029AF" w:rsidRDefault="00524C5E" w:rsidP="00524C5E">
            <w:pPr>
              <w:pStyle w:val="ARtabletextright"/>
              <w:spacing w:before="40" w:after="30"/>
            </w:pPr>
            <w:r w:rsidRPr="002029AF">
              <w:t>0</w:t>
            </w:r>
          </w:p>
        </w:tc>
        <w:tc>
          <w:tcPr>
            <w:tcW w:w="286" w:type="pct"/>
            <w:tcBorders>
              <w:top w:val="single" w:sz="4" w:space="0" w:color="auto"/>
              <w:right w:val="single" w:sz="4" w:space="0" w:color="auto"/>
            </w:tcBorders>
          </w:tcPr>
          <w:p w14:paraId="74B1ADB5" w14:textId="77777777" w:rsidR="00524C5E" w:rsidRPr="002029AF" w:rsidRDefault="00524C5E" w:rsidP="00524C5E">
            <w:pPr>
              <w:pStyle w:val="ARtabletextright"/>
              <w:spacing w:before="40" w:after="30"/>
            </w:pPr>
            <w:r w:rsidRPr="002029AF">
              <w:t>2</w:t>
            </w:r>
          </w:p>
        </w:tc>
        <w:tc>
          <w:tcPr>
            <w:tcW w:w="321" w:type="pct"/>
            <w:tcBorders>
              <w:left w:val="single" w:sz="4" w:space="0" w:color="auto"/>
            </w:tcBorders>
          </w:tcPr>
          <w:p w14:paraId="5F61FE59" w14:textId="77777777" w:rsidR="00524C5E" w:rsidRPr="002029AF" w:rsidRDefault="00524C5E" w:rsidP="00524C5E">
            <w:pPr>
              <w:pStyle w:val="ARtabletextright"/>
              <w:spacing w:before="40" w:after="30"/>
            </w:pPr>
            <w:r w:rsidRPr="002029AF">
              <w:t>1</w:t>
            </w:r>
          </w:p>
        </w:tc>
        <w:tc>
          <w:tcPr>
            <w:tcW w:w="282" w:type="pct"/>
          </w:tcPr>
          <w:p w14:paraId="4D679770" w14:textId="77777777" w:rsidR="00524C5E" w:rsidRPr="002029AF" w:rsidRDefault="00524C5E" w:rsidP="00524C5E">
            <w:pPr>
              <w:pStyle w:val="ARtabletextright"/>
              <w:spacing w:before="40" w:after="30"/>
            </w:pPr>
            <w:r w:rsidRPr="002029AF">
              <w:t>1</w:t>
            </w:r>
          </w:p>
        </w:tc>
      </w:tr>
      <w:tr w:rsidR="00524C5E" w:rsidRPr="002029AF" w14:paraId="55868015" w14:textId="77777777" w:rsidTr="00524C5E">
        <w:tc>
          <w:tcPr>
            <w:tcW w:w="867" w:type="pct"/>
            <w:hideMark/>
          </w:tcPr>
          <w:p w14:paraId="474278E0" w14:textId="77777777" w:rsidR="00524C5E" w:rsidRPr="002029AF" w:rsidRDefault="00524C5E" w:rsidP="00524C5E">
            <w:pPr>
              <w:pStyle w:val="ARtabletextbold"/>
              <w:spacing w:before="40" w:after="30"/>
            </w:pPr>
            <w:r w:rsidRPr="002029AF">
              <w:t>Total employees</w:t>
            </w:r>
          </w:p>
        </w:tc>
        <w:tc>
          <w:tcPr>
            <w:tcW w:w="321" w:type="pct"/>
            <w:tcBorders>
              <w:top w:val="single" w:sz="4" w:space="0" w:color="auto"/>
            </w:tcBorders>
          </w:tcPr>
          <w:p w14:paraId="5C24047D" w14:textId="77777777" w:rsidR="00524C5E" w:rsidRPr="002029AF" w:rsidRDefault="00524C5E" w:rsidP="00524C5E">
            <w:pPr>
              <w:pStyle w:val="ARtabletextrightbold"/>
              <w:spacing w:before="40" w:after="30"/>
            </w:pPr>
            <w:r>
              <w:t>27</w:t>
            </w:r>
          </w:p>
        </w:tc>
        <w:tc>
          <w:tcPr>
            <w:tcW w:w="289" w:type="pct"/>
            <w:tcBorders>
              <w:top w:val="single" w:sz="4" w:space="0" w:color="auto"/>
              <w:right w:val="single" w:sz="4" w:space="0" w:color="auto"/>
            </w:tcBorders>
          </w:tcPr>
          <w:p w14:paraId="6CCD0474" w14:textId="77777777" w:rsidR="00524C5E" w:rsidRPr="002029AF" w:rsidRDefault="00524C5E" w:rsidP="00524C5E">
            <w:pPr>
              <w:pStyle w:val="ARtabletextrightbold"/>
              <w:spacing w:before="40" w:after="30"/>
            </w:pPr>
            <w:r>
              <w:t>26.7</w:t>
            </w:r>
          </w:p>
        </w:tc>
        <w:tc>
          <w:tcPr>
            <w:tcW w:w="284" w:type="pct"/>
            <w:tcBorders>
              <w:left w:val="single" w:sz="4" w:space="0" w:color="auto"/>
            </w:tcBorders>
          </w:tcPr>
          <w:p w14:paraId="1030B634" w14:textId="77777777" w:rsidR="00524C5E" w:rsidRPr="002029AF" w:rsidRDefault="00524C5E" w:rsidP="00524C5E">
            <w:pPr>
              <w:pStyle w:val="ARtabletextrightbold"/>
              <w:spacing w:before="40" w:after="30"/>
            </w:pPr>
            <w:r>
              <w:t>4</w:t>
            </w:r>
          </w:p>
        </w:tc>
        <w:tc>
          <w:tcPr>
            <w:tcW w:w="284" w:type="pct"/>
          </w:tcPr>
          <w:p w14:paraId="37CA9746" w14:textId="77777777" w:rsidR="00524C5E" w:rsidRPr="002029AF" w:rsidRDefault="00524C5E" w:rsidP="00524C5E">
            <w:pPr>
              <w:pStyle w:val="ARtabletextrightbold"/>
              <w:spacing w:before="40" w:after="30"/>
            </w:pPr>
            <w:r>
              <w:t>1</w:t>
            </w:r>
          </w:p>
        </w:tc>
        <w:tc>
          <w:tcPr>
            <w:tcW w:w="286" w:type="pct"/>
            <w:tcBorders>
              <w:top w:val="single" w:sz="4" w:space="0" w:color="auto"/>
              <w:right w:val="single" w:sz="4" w:space="0" w:color="auto"/>
            </w:tcBorders>
          </w:tcPr>
          <w:p w14:paraId="721A1C9D" w14:textId="77777777" w:rsidR="00524C5E" w:rsidRPr="002029AF" w:rsidRDefault="00524C5E" w:rsidP="00524C5E">
            <w:pPr>
              <w:pStyle w:val="ARtabletextrightbold"/>
              <w:spacing w:before="40" w:after="30"/>
            </w:pPr>
            <w:r>
              <w:t>5.0</w:t>
            </w:r>
          </w:p>
        </w:tc>
        <w:tc>
          <w:tcPr>
            <w:tcW w:w="321" w:type="pct"/>
            <w:tcBorders>
              <w:left w:val="single" w:sz="4" w:space="0" w:color="auto"/>
            </w:tcBorders>
          </w:tcPr>
          <w:p w14:paraId="6EC8981C" w14:textId="77777777" w:rsidR="00524C5E" w:rsidRPr="002029AF" w:rsidRDefault="00524C5E" w:rsidP="00524C5E">
            <w:pPr>
              <w:pStyle w:val="ARtabletextrightbold"/>
              <w:spacing w:before="40" w:after="30"/>
            </w:pPr>
            <w:r>
              <w:t>22</w:t>
            </w:r>
          </w:p>
        </w:tc>
        <w:tc>
          <w:tcPr>
            <w:tcW w:w="285" w:type="pct"/>
            <w:tcBorders>
              <w:top w:val="single" w:sz="4" w:space="0" w:color="auto"/>
              <w:right w:val="single" w:sz="4" w:space="0" w:color="auto"/>
            </w:tcBorders>
          </w:tcPr>
          <w:p w14:paraId="20806BBA" w14:textId="77777777" w:rsidR="00524C5E" w:rsidRPr="002029AF" w:rsidRDefault="00524C5E" w:rsidP="00524C5E">
            <w:pPr>
              <w:pStyle w:val="ARtabletextrightbold"/>
              <w:spacing w:before="40" w:after="30"/>
            </w:pPr>
            <w:r>
              <w:t>21.7</w:t>
            </w:r>
          </w:p>
        </w:tc>
        <w:tc>
          <w:tcPr>
            <w:tcW w:w="321" w:type="pct"/>
            <w:tcBorders>
              <w:left w:val="single" w:sz="4" w:space="0" w:color="auto"/>
            </w:tcBorders>
          </w:tcPr>
          <w:p w14:paraId="79B1744A" w14:textId="77777777" w:rsidR="00524C5E" w:rsidRPr="002029AF" w:rsidRDefault="00524C5E" w:rsidP="00524C5E">
            <w:pPr>
              <w:pStyle w:val="ARtabletextrightbold"/>
              <w:spacing w:before="40" w:after="30"/>
            </w:pPr>
            <w:r w:rsidRPr="002029AF">
              <w:t>9</w:t>
            </w:r>
          </w:p>
        </w:tc>
        <w:tc>
          <w:tcPr>
            <w:tcW w:w="285" w:type="pct"/>
            <w:tcBorders>
              <w:top w:val="single" w:sz="4" w:space="0" w:color="auto"/>
              <w:right w:val="single" w:sz="4" w:space="0" w:color="auto"/>
            </w:tcBorders>
          </w:tcPr>
          <w:p w14:paraId="27C74427" w14:textId="77777777" w:rsidR="00524C5E" w:rsidRPr="002029AF" w:rsidRDefault="00524C5E" w:rsidP="00524C5E">
            <w:pPr>
              <w:pStyle w:val="ARtabletextrightbold"/>
              <w:spacing w:before="40" w:after="30"/>
            </w:pPr>
            <w:r w:rsidRPr="002029AF">
              <w:t>9</w:t>
            </w:r>
          </w:p>
        </w:tc>
        <w:tc>
          <w:tcPr>
            <w:tcW w:w="284" w:type="pct"/>
            <w:tcBorders>
              <w:left w:val="single" w:sz="4" w:space="0" w:color="auto"/>
            </w:tcBorders>
          </w:tcPr>
          <w:p w14:paraId="228E5D05" w14:textId="77777777" w:rsidR="00524C5E" w:rsidRPr="002029AF" w:rsidRDefault="00524C5E" w:rsidP="00524C5E">
            <w:pPr>
              <w:pStyle w:val="ARtabletextrightbold"/>
              <w:spacing w:before="40" w:after="30"/>
            </w:pPr>
            <w:r w:rsidRPr="002029AF">
              <w:t>6</w:t>
            </w:r>
          </w:p>
        </w:tc>
        <w:tc>
          <w:tcPr>
            <w:tcW w:w="284" w:type="pct"/>
          </w:tcPr>
          <w:p w14:paraId="4A933BEB" w14:textId="77777777" w:rsidR="00524C5E" w:rsidRPr="002029AF" w:rsidRDefault="00524C5E" w:rsidP="00524C5E">
            <w:pPr>
              <w:pStyle w:val="ARtabletextrightbold"/>
              <w:spacing w:before="40" w:after="30"/>
            </w:pPr>
            <w:r w:rsidRPr="002029AF">
              <w:t>0</w:t>
            </w:r>
          </w:p>
        </w:tc>
        <w:tc>
          <w:tcPr>
            <w:tcW w:w="286" w:type="pct"/>
            <w:tcBorders>
              <w:top w:val="single" w:sz="4" w:space="0" w:color="auto"/>
              <w:right w:val="single" w:sz="4" w:space="0" w:color="auto"/>
            </w:tcBorders>
          </w:tcPr>
          <w:p w14:paraId="0D6E7B91" w14:textId="77777777" w:rsidR="00524C5E" w:rsidRPr="002029AF" w:rsidRDefault="00524C5E" w:rsidP="00524C5E">
            <w:pPr>
              <w:pStyle w:val="ARtabletextrightbold"/>
              <w:spacing w:before="40" w:after="30"/>
            </w:pPr>
            <w:r w:rsidRPr="002029AF">
              <w:t>6</w:t>
            </w:r>
          </w:p>
        </w:tc>
        <w:tc>
          <w:tcPr>
            <w:tcW w:w="321" w:type="pct"/>
            <w:tcBorders>
              <w:left w:val="single" w:sz="4" w:space="0" w:color="auto"/>
            </w:tcBorders>
          </w:tcPr>
          <w:p w14:paraId="6287314E" w14:textId="77777777" w:rsidR="00524C5E" w:rsidRPr="002029AF" w:rsidRDefault="00524C5E" w:rsidP="00524C5E">
            <w:pPr>
              <w:pStyle w:val="ARtabletextrightbold"/>
              <w:spacing w:before="40" w:after="30"/>
            </w:pPr>
            <w:r w:rsidRPr="002029AF">
              <w:t>3</w:t>
            </w:r>
          </w:p>
        </w:tc>
        <w:tc>
          <w:tcPr>
            <w:tcW w:w="282" w:type="pct"/>
          </w:tcPr>
          <w:p w14:paraId="777B700C" w14:textId="77777777" w:rsidR="00524C5E" w:rsidRPr="002029AF" w:rsidRDefault="00524C5E" w:rsidP="00524C5E">
            <w:pPr>
              <w:pStyle w:val="ARtabletextrightbold"/>
              <w:spacing w:before="40" w:after="30"/>
            </w:pPr>
            <w:r w:rsidRPr="002029AF">
              <w:t>3</w:t>
            </w:r>
          </w:p>
        </w:tc>
      </w:tr>
    </w:tbl>
    <w:p w14:paraId="44C5DA8A" w14:textId="1815B755" w:rsidR="00524C5E" w:rsidRPr="002029AF" w:rsidRDefault="00524C5E" w:rsidP="00897193">
      <w:pPr>
        <w:pStyle w:val="ARtablefootnote"/>
        <w:rPr>
          <w:rFonts w:eastAsia="Times"/>
        </w:rPr>
      </w:pPr>
      <w:r w:rsidRPr="002029AF">
        <w:rPr>
          <w:rFonts w:eastAsia="Times"/>
        </w:rPr>
        <w:t>Note:</w:t>
      </w:r>
    </w:p>
    <w:p w14:paraId="603EFDA8" w14:textId="2BC7A3A8" w:rsidR="00524C5E" w:rsidRPr="00774E04" w:rsidRDefault="003B64C5" w:rsidP="00524C5E">
      <w:pPr>
        <w:pStyle w:val="ARtablefootnote"/>
        <w:rPr>
          <w:rFonts w:eastAsia="Times"/>
        </w:rPr>
        <w:sectPr w:rsidR="00524C5E" w:rsidRPr="00774E04" w:rsidSect="00524C5E">
          <w:headerReference w:type="default" r:id="rId75"/>
          <w:footnotePr>
            <w:numFmt w:val="lowerLetter"/>
            <w:numRestart w:val="eachPage"/>
          </w:footnotePr>
          <w:endnotePr>
            <w:numFmt w:val="decimal"/>
          </w:endnotePr>
          <w:pgSz w:w="16838" w:h="11906" w:orient="landscape" w:code="9"/>
          <w:pgMar w:top="1134" w:right="1985" w:bottom="1134" w:left="851" w:header="510" w:footer="340" w:gutter="0"/>
          <w:cols w:space="454"/>
          <w:docGrid w:linePitch="360"/>
        </w:sectPr>
      </w:pPr>
      <w:r>
        <w:rPr>
          <w:rFonts w:eastAsia="Times"/>
        </w:rPr>
        <w:t>There may be r</w:t>
      </w:r>
      <w:r w:rsidR="00524C5E" w:rsidRPr="002029AF">
        <w:rPr>
          <w:rFonts w:eastAsia="Times"/>
        </w:rPr>
        <w:t>ounding errors in FTE tables due to data being formatted to one decimal place.</w:t>
      </w:r>
    </w:p>
    <w:p w14:paraId="6B95FF61" w14:textId="697C7FDD" w:rsidR="00524C5E" w:rsidRDefault="00524C5E" w:rsidP="0028134C">
      <w:pPr>
        <w:pStyle w:val="Heading4"/>
        <w:spacing w:before="0"/>
      </w:pPr>
      <w:bookmarkStart w:id="437" w:name="_Toc85121230"/>
      <w:r w:rsidRPr="002029AF">
        <w:lastRenderedPageBreak/>
        <w:t>Annualised total salary, by $20,000 bands, for executives and other senior non</w:t>
      </w:r>
      <w:r w:rsidR="009412DB">
        <w:noBreakHyphen/>
      </w:r>
      <w:r w:rsidRPr="002029AF">
        <w:t>executive staff</w:t>
      </w:r>
      <w:bookmarkEnd w:id="437"/>
    </w:p>
    <w:p w14:paraId="747314E9" w14:textId="3775EE02" w:rsidR="00524C5E" w:rsidRPr="00B26015" w:rsidRDefault="00524C5E" w:rsidP="00C741F1">
      <w:pPr>
        <w:pStyle w:val="ARbodybeforetable"/>
      </w:pPr>
      <w:r w:rsidRPr="001D5E51">
        <w:t xml:space="preserve">The following table discloses the annualised total salary for senior employees of </w:t>
      </w:r>
      <w:r>
        <w:t>Mental Health Victoria</w:t>
      </w:r>
      <w:r w:rsidRPr="001D5E51">
        <w:t xml:space="preserve">, categorised by classification. </w:t>
      </w:r>
      <w:r w:rsidR="00C47A8C" w:rsidRPr="001D5E51">
        <w:t>The salary amount</w:t>
      </w:r>
      <w:r w:rsidR="00C47A8C">
        <w:t>s</w:t>
      </w:r>
      <w:r w:rsidR="00C47A8C" w:rsidRPr="00BB3F1B">
        <w:t xml:space="preserve"> </w:t>
      </w:r>
      <w:r w:rsidR="00C47A8C" w:rsidRPr="00500114">
        <w:t>are for the full financial year, at a 1-FTE rate, and exclude superannuation</w:t>
      </w:r>
      <w:r w:rsidR="00C47A8C" w:rsidRPr="001D5E51">
        <w:t>.</w:t>
      </w:r>
    </w:p>
    <w:tbl>
      <w:tblPr>
        <w:tblW w:w="9645"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1E0" w:firstRow="1" w:lastRow="1" w:firstColumn="1" w:lastColumn="1" w:noHBand="0" w:noVBand="0"/>
      </w:tblPr>
      <w:tblGrid>
        <w:gridCol w:w="2699"/>
        <w:gridCol w:w="1418"/>
        <w:gridCol w:w="1134"/>
        <w:gridCol w:w="1134"/>
        <w:gridCol w:w="1134"/>
        <w:gridCol w:w="1134"/>
        <w:gridCol w:w="992"/>
      </w:tblGrid>
      <w:tr w:rsidR="00524C5E" w:rsidRPr="002029AF" w14:paraId="26DAE2F5" w14:textId="77777777" w:rsidTr="00897193">
        <w:trPr>
          <w:cantSplit/>
          <w:tblHeader/>
        </w:trPr>
        <w:tc>
          <w:tcPr>
            <w:tcW w:w="1399" w:type="pct"/>
            <w:tcBorders>
              <w:bottom w:val="single" w:sz="4" w:space="0" w:color="auto"/>
            </w:tcBorders>
            <w:shd w:val="clear" w:color="auto" w:fill="auto"/>
          </w:tcPr>
          <w:p w14:paraId="7DF62567" w14:textId="77777777" w:rsidR="00524C5E" w:rsidRPr="002029AF" w:rsidRDefault="00524C5E" w:rsidP="00897193">
            <w:pPr>
              <w:pStyle w:val="ARtablecolhead"/>
            </w:pPr>
            <w:r w:rsidRPr="002029AF">
              <w:t>Income band (salary)</w:t>
            </w:r>
          </w:p>
        </w:tc>
        <w:tc>
          <w:tcPr>
            <w:tcW w:w="735" w:type="pct"/>
            <w:tcBorders>
              <w:top w:val="nil"/>
              <w:bottom w:val="single" w:sz="4" w:space="0" w:color="auto"/>
            </w:tcBorders>
            <w:shd w:val="clear" w:color="auto" w:fill="auto"/>
            <w:vAlign w:val="bottom"/>
          </w:tcPr>
          <w:p w14:paraId="6705DCDF" w14:textId="77777777" w:rsidR="00524C5E" w:rsidRPr="002029AF" w:rsidRDefault="00524C5E" w:rsidP="00897193">
            <w:pPr>
              <w:pStyle w:val="ARtablecolheadright"/>
            </w:pPr>
            <w:r w:rsidRPr="002029AF">
              <w:t>Executives</w:t>
            </w:r>
          </w:p>
        </w:tc>
        <w:tc>
          <w:tcPr>
            <w:tcW w:w="588" w:type="pct"/>
            <w:tcBorders>
              <w:top w:val="nil"/>
              <w:bottom w:val="single" w:sz="4" w:space="0" w:color="auto"/>
            </w:tcBorders>
            <w:shd w:val="clear" w:color="auto" w:fill="auto"/>
            <w:vAlign w:val="bottom"/>
          </w:tcPr>
          <w:p w14:paraId="66F74BF9" w14:textId="5B19CE4A" w:rsidR="00524C5E" w:rsidRPr="002029AF" w:rsidRDefault="00524C5E" w:rsidP="00897193">
            <w:pPr>
              <w:pStyle w:val="ARtablecolheadright"/>
            </w:pPr>
            <w:r w:rsidRPr="002029AF">
              <w:t>STS</w:t>
            </w:r>
            <w:r w:rsidR="007314FC" w:rsidRPr="00BB3F1B">
              <w:rPr>
                <w:rStyle w:val="FootnoteReference"/>
              </w:rPr>
              <w:t>(</w:t>
            </w:r>
            <w:r w:rsidR="007314FC">
              <w:rPr>
                <w:rStyle w:val="FootnoteReference"/>
              </w:rPr>
              <w:footnoteReference w:id="22"/>
            </w:r>
            <w:r w:rsidR="007314FC" w:rsidRPr="00BB3F1B">
              <w:rPr>
                <w:rStyle w:val="FootnoteReference"/>
              </w:rPr>
              <w:t>)</w:t>
            </w:r>
          </w:p>
        </w:tc>
        <w:tc>
          <w:tcPr>
            <w:tcW w:w="588" w:type="pct"/>
            <w:tcBorders>
              <w:top w:val="nil"/>
              <w:bottom w:val="single" w:sz="4" w:space="0" w:color="auto"/>
            </w:tcBorders>
            <w:shd w:val="clear" w:color="auto" w:fill="auto"/>
            <w:vAlign w:val="bottom"/>
          </w:tcPr>
          <w:p w14:paraId="382A7E0D" w14:textId="080BDABB" w:rsidR="00524C5E" w:rsidRPr="002029AF" w:rsidRDefault="00524C5E" w:rsidP="00897193">
            <w:pPr>
              <w:pStyle w:val="ARtablecolheadright"/>
            </w:pPr>
            <w:r w:rsidRPr="002029AF">
              <w:t>PS</w:t>
            </w:r>
          </w:p>
        </w:tc>
        <w:tc>
          <w:tcPr>
            <w:tcW w:w="588" w:type="pct"/>
            <w:tcBorders>
              <w:top w:val="nil"/>
              <w:bottom w:val="single" w:sz="4" w:space="0" w:color="auto"/>
            </w:tcBorders>
            <w:vAlign w:val="bottom"/>
          </w:tcPr>
          <w:p w14:paraId="51329675" w14:textId="49D2F659" w:rsidR="00524C5E" w:rsidRPr="002029AF" w:rsidRDefault="00524C5E" w:rsidP="00897193">
            <w:pPr>
              <w:pStyle w:val="ARtablecolheadright"/>
            </w:pPr>
            <w:r w:rsidRPr="002029AF">
              <w:t>SMA</w:t>
            </w:r>
          </w:p>
        </w:tc>
        <w:tc>
          <w:tcPr>
            <w:tcW w:w="588" w:type="pct"/>
            <w:tcBorders>
              <w:top w:val="nil"/>
              <w:bottom w:val="single" w:sz="4" w:space="0" w:color="auto"/>
            </w:tcBorders>
            <w:vAlign w:val="bottom"/>
          </w:tcPr>
          <w:p w14:paraId="1CC2E943" w14:textId="3D4199EF" w:rsidR="00524C5E" w:rsidRPr="002029AF" w:rsidRDefault="00524C5E" w:rsidP="00897193">
            <w:pPr>
              <w:pStyle w:val="ARtablecolheadright"/>
            </w:pPr>
            <w:r w:rsidRPr="002029AF">
              <w:t>SRA</w:t>
            </w:r>
          </w:p>
        </w:tc>
        <w:tc>
          <w:tcPr>
            <w:tcW w:w="514" w:type="pct"/>
            <w:tcBorders>
              <w:top w:val="nil"/>
              <w:bottom w:val="single" w:sz="4" w:space="0" w:color="auto"/>
            </w:tcBorders>
            <w:vAlign w:val="bottom"/>
          </w:tcPr>
          <w:p w14:paraId="7C7B723F" w14:textId="77777777" w:rsidR="00524C5E" w:rsidRPr="002029AF" w:rsidRDefault="00524C5E" w:rsidP="00897193">
            <w:pPr>
              <w:pStyle w:val="ARtablecolheadright"/>
            </w:pPr>
            <w:r w:rsidRPr="002029AF">
              <w:t>Other</w:t>
            </w:r>
          </w:p>
        </w:tc>
      </w:tr>
      <w:tr w:rsidR="00524C5E" w:rsidRPr="002029AF" w14:paraId="78A34246" w14:textId="77777777" w:rsidTr="00897193">
        <w:trPr>
          <w:cantSplit/>
        </w:trPr>
        <w:tc>
          <w:tcPr>
            <w:tcW w:w="1399" w:type="pct"/>
            <w:tcBorders>
              <w:top w:val="single" w:sz="4" w:space="0" w:color="auto"/>
              <w:bottom w:val="single" w:sz="4" w:space="0" w:color="auto"/>
            </w:tcBorders>
            <w:shd w:val="clear" w:color="auto" w:fill="auto"/>
          </w:tcPr>
          <w:p w14:paraId="3641A573" w14:textId="77777777" w:rsidR="00524C5E" w:rsidRPr="002029AF" w:rsidRDefault="00524C5E" w:rsidP="00897193">
            <w:pPr>
              <w:pStyle w:val="ARtabletext"/>
            </w:pPr>
            <w:r w:rsidRPr="002029AF">
              <w:t>&lt; $160,000</w:t>
            </w:r>
          </w:p>
        </w:tc>
        <w:tc>
          <w:tcPr>
            <w:tcW w:w="735" w:type="pct"/>
            <w:tcBorders>
              <w:top w:val="single" w:sz="4" w:space="0" w:color="auto"/>
              <w:bottom w:val="single" w:sz="4" w:space="0" w:color="auto"/>
            </w:tcBorders>
            <w:shd w:val="clear" w:color="auto" w:fill="auto"/>
          </w:tcPr>
          <w:p w14:paraId="0F74FB75" w14:textId="77777777" w:rsidR="00524C5E" w:rsidRPr="002029AF" w:rsidRDefault="00524C5E" w:rsidP="00897193">
            <w:pPr>
              <w:pStyle w:val="ARtabletextright"/>
            </w:pPr>
          </w:p>
        </w:tc>
        <w:tc>
          <w:tcPr>
            <w:tcW w:w="588" w:type="pct"/>
            <w:tcBorders>
              <w:top w:val="single" w:sz="4" w:space="0" w:color="auto"/>
              <w:bottom w:val="single" w:sz="4" w:space="0" w:color="auto"/>
            </w:tcBorders>
            <w:shd w:val="clear" w:color="auto" w:fill="auto"/>
          </w:tcPr>
          <w:p w14:paraId="15DF6058" w14:textId="77777777" w:rsidR="00524C5E" w:rsidRPr="002029AF" w:rsidRDefault="00524C5E" w:rsidP="00897193">
            <w:pPr>
              <w:pStyle w:val="ARtabletextright"/>
            </w:pPr>
          </w:p>
        </w:tc>
        <w:tc>
          <w:tcPr>
            <w:tcW w:w="588" w:type="pct"/>
            <w:tcBorders>
              <w:top w:val="single" w:sz="4" w:space="0" w:color="auto"/>
              <w:bottom w:val="single" w:sz="4" w:space="0" w:color="auto"/>
            </w:tcBorders>
            <w:shd w:val="clear" w:color="auto" w:fill="auto"/>
          </w:tcPr>
          <w:p w14:paraId="357FC338" w14:textId="77777777" w:rsidR="00524C5E" w:rsidRPr="002029AF" w:rsidRDefault="00524C5E" w:rsidP="00897193">
            <w:pPr>
              <w:pStyle w:val="ARtabletextright"/>
            </w:pPr>
          </w:p>
        </w:tc>
        <w:tc>
          <w:tcPr>
            <w:tcW w:w="588" w:type="pct"/>
            <w:tcBorders>
              <w:top w:val="single" w:sz="4" w:space="0" w:color="auto"/>
              <w:bottom w:val="single" w:sz="4" w:space="0" w:color="auto"/>
            </w:tcBorders>
          </w:tcPr>
          <w:p w14:paraId="01711E7A" w14:textId="77777777" w:rsidR="00524C5E" w:rsidRPr="002029AF" w:rsidRDefault="00524C5E" w:rsidP="00897193">
            <w:pPr>
              <w:pStyle w:val="ARtabletextright"/>
            </w:pPr>
          </w:p>
        </w:tc>
        <w:tc>
          <w:tcPr>
            <w:tcW w:w="588" w:type="pct"/>
            <w:tcBorders>
              <w:top w:val="single" w:sz="4" w:space="0" w:color="auto"/>
              <w:bottom w:val="single" w:sz="4" w:space="0" w:color="auto"/>
            </w:tcBorders>
          </w:tcPr>
          <w:p w14:paraId="6BAAEDB5" w14:textId="77777777" w:rsidR="00524C5E" w:rsidRPr="002029AF" w:rsidRDefault="00524C5E" w:rsidP="00897193">
            <w:pPr>
              <w:pStyle w:val="ARtabletextright"/>
            </w:pPr>
          </w:p>
        </w:tc>
        <w:tc>
          <w:tcPr>
            <w:tcW w:w="514" w:type="pct"/>
            <w:tcBorders>
              <w:top w:val="single" w:sz="4" w:space="0" w:color="auto"/>
              <w:bottom w:val="single" w:sz="4" w:space="0" w:color="auto"/>
            </w:tcBorders>
          </w:tcPr>
          <w:p w14:paraId="176E2C39" w14:textId="77777777" w:rsidR="00524C5E" w:rsidRPr="002029AF" w:rsidRDefault="00524C5E" w:rsidP="00897193">
            <w:pPr>
              <w:pStyle w:val="ARtabletextright"/>
            </w:pPr>
          </w:p>
        </w:tc>
      </w:tr>
      <w:tr w:rsidR="00524C5E" w:rsidRPr="002029AF" w14:paraId="2E7E5654" w14:textId="77777777" w:rsidTr="00897193">
        <w:trPr>
          <w:cantSplit/>
        </w:trPr>
        <w:tc>
          <w:tcPr>
            <w:tcW w:w="1399" w:type="pct"/>
            <w:tcBorders>
              <w:top w:val="single" w:sz="4" w:space="0" w:color="auto"/>
              <w:bottom w:val="single" w:sz="4" w:space="0" w:color="auto"/>
            </w:tcBorders>
            <w:shd w:val="clear" w:color="auto" w:fill="auto"/>
          </w:tcPr>
          <w:p w14:paraId="2A3260C8" w14:textId="77777777" w:rsidR="00524C5E" w:rsidRPr="002029AF" w:rsidRDefault="00524C5E" w:rsidP="00897193">
            <w:pPr>
              <w:pStyle w:val="ARtabletext"/>
            </w:pPr>
            <w:r w:rsidRPr="002029AF">
              <w:t>$160,000–$179,999</w:t>
            </w:r>
          </w:p>
        </w:tc>
        <w:tc>
          <w:tcPr>
            <w:tcW w:w="735" w:type="pct"/>
            <w:tcBorders>
              <w:top w:val="single" w:sz="4" w:space="0" w:color="auto"/>
              <w:bottom w:val="single" w:sz="4" w:space="0" w:color="auto"/>
            </w:tcBorders>
            <w:shd w:val="clear" w:color="auto" w:fill="auto"/>
          </w:tcPr>
          <w:p w14:paraId="69B79B1E" w14:textId="77777777" w:rsidR="00524C5E" w:rsidRPr="002029AF" w:rsidRDefault="00524C5E" w:rsidP="00897193">
            <w:pPr>
              <w:pStyle w:val="ARtabletextright"/>
            </w:pPr>
          </w:p>
        </w:tc>
        <w:tc>
          <w:tcPr>
            <w:tcW w:w="588" w:type="pct"/>
            <w:tcBorders>
              <w:top w:val="single" w:sz="4" w:space="0" w:color="auto"/>
              <w:bottom w:val="single" w:sz="4" w:space="0" w:color="auto"/>
            </w:tcBorders>
            <w:shd w:val="clear" w:color="auto" w:fill="auto"/>
          </w:tcPr>
          <w:p w14:paraId="43C6AC29" w14:textId="77777777" w:rsidR="00524C5E" w:rsidRPr="002029AF" w:rsidRDefault="00524C5E" w:rsidP="00897193">
            <w:pPr>
              <w:pStyle w:val="ARtabletextright"/>
            </w:pPr>
          </w:p>
        </w:tc>
        <w:tc>
          <w:tcPr>
            <w:tcW w:w="588" w:type="pct"/>
            <w:tcBorders>
              <w:top w:val="single" w:sz="4" w:space="0" w:color="auto"/>
              <w:bottom w:val="single" w:sz="4" w:space="0" w:color="auto"/>
            </w:tcBorders>
            <w:shd w:val="clear" w:color="auto" w:fill="auto"/>
          </w:tcPr>
          <w:p w14:paraId="37C767B4" w14:textId="77777777" w:rsidR="00524C5E" w:rsidRPr="002029AF" w:rsidRDefault="00524C5E" w:rsidP="00897193">
            <w:pPr>
              <w:pStyle w:val="ARtabletextright"/>
            </w:pPr>
          </w:p>
        </w:tc>
        <w:tc>
          <w:tcPr>
            <w:tcW w:w="588" w:type="pct"/>
            <w:tcBorders>
              <w:top w:val="single" w:sz="4" w:space="0" w:color="auto"/>
              <w:bottom w:val="single" w:sz="4" w:space="0" w:color="auto"/>
            </w:tcBorders>
          </w:tcPr>
          <w:p w14:paraId="77E230D0" w14:textId="77777777" w:rsidR="00524C5E" w:rsidRPr="002029AF" w:rsidRDefault="00524C5E" w:rsidP="00897193">
            <w:pPr>
              <w:pStyle w:val="ARtabletextright"/>
            </w:pPr>
          </w:p>
        </w:tc>
        <w:tc>
          <w:tcPr>
            <w:tcW w:w="588" w:type="pct"/>
            <w:tcBorders>
              <w:top w:val="single" w:sz="4" w:space="0" w:color="auto"/>
              <w:bottom w:val="single" w:sz="4" w:space="0" w:color="auto"/>
            </w:tcBorders>
          </w:tcPr>
          <w:p w14:paraId="3B77A641" w14:textId="77777777" w:rsidR="00524C5E" w:rsidRPr="002029AF" w:rsidRDefault="00524C5E" w:rsidP="00897193">
            <w:pPr>
              <w:pStyle w:val="ARtabletextright"/>
            </w:pPr>
          </w:p>
        </w:tc>
        <w:tc>
          <w:tcPr>
            <w:tcW w:w="514" w:type="pct"/>
            <w:tcBorders>
              <w:top w:val="single" w:sz="4" w:space="0" w:color="auto"/>
              <w:bottom w:val="single" w:sz="4" w:space="0" w:color="auto"/>
            </w:tcBorders>
          </w:tcPr>
          <w:p w14:paraId="7831EDD7" w14:textId="77777777" w:rsidR="00524C5E" w:rsidRPr="002029AF" w:rsidRDefault="00524C5E" w:rsidP="00897193">
            <w:pPr>
              <w:pStyle w:val="ARtabletextright"/>
            </w:pPr>
          </w:p>
        </w:tc>
      </w:tr>
      <w:tr w:rsidR="00524C5E" w:rsidRPr="002029AF" w14:paraId="0C02CD27" w14:textId="77777777" w:rsidTr="00897193">
        <w:trPr>
          <w:cantSplit/>
        </w:trPr>
        <w:tc>
          <w:tcPr>
            <w:tcW w:w="1399" w:type="pct"/>
            <w:tcBorders>
              <w:top w:val="single" w:sz="4" w:space="0" w:color="auto"/>
              <w:bottom w:val="single" w:sz="4" w:space="0" w:color="auto"/>
            </w:tcBorders>
            <w:shd w:val="clear" w:color="auto" w:fill="auto"/>
          </w:tcPr>
          <w:p w14:paraId="3FC2ACDB" w14:textId="77777777" w:rsidR="00524C5E" w:rsidRPr="002029AF" w:rsidRDefault="00524C5E" w:rsidP="00897193">
            <w:pPr>
              <w:pStyle w:val="ARtabletext"/>
            </w:pPr>
            <w:r w:rsidRPr="002029AF">
              <w:t>$180,000–$199,999</w:t>
            </w:r>
          </w:p>
        </w:tc>
        <w:tc>
          <w:tcPr>
            <w:tcW w:w="735" w:type="pct"/>
            <w:tcBorders>
              <w:top w:val="single" w:sz="4" w:space="0" w:color="auto"/>
              <w:bottom w:val="single" w:sz="4" w:space="0" w:color="auto"/>
            </w:tcBorders>
            <w:shd w:val="clear" w:color="auto" w:fill="auto"/>
          </w:tcPr>
          <w:p w14:paraId="2A6E2D52" w14:textId="0F31298E" w:rsidR="00524C5E" w:rsidRPr="002029AF" w:rsidRDefault="00524C5E" w:rsidP="00897193">
            <w:pPr>
              <w:pStyle w:val="ARtabletextright"/>
            </w:pPr>
            <w:r>
              <w:t>1</w:t>
            </w:r>
            <w:r w:rsidRPr="00697707">
              <w:rPr>
                <w:vertAlign w:val="superscript"/>
              </w:rPr>
              <w:t>(</w:t>
            </w:r>
            <w:r w:rsidR="007314FC">
              <w:rPr>
                <w:rStyle w:val="FootnoteReference"/>
              </w:rPr>
              <w:footnoteReference w:id="23"/>
            </w:r>
            <w:r w:rsidRPr="00697707">
              <w:rPr>
                <w:vertAlign w:val="superscript"/>
              </w:rPr>
              <w:t>)</w:t>
            </w:r>
          </w:p>
        </w:tc>
        <w:tc>
          <w:tcPr>
            <w:tcW w:w="588" w:type="pct"/>
            <w:tcBorders>
              <w:top w:val="single" w:sz="4" w:space="0" w:color="auto"/>
              <w:bottom w:val="single" w:sz="4" w:space="0" w:color="auto"/>
            </w:tcBorders>
            <w:shd w:val="clear" w:color="auto" w:fill="auto"/>
          </w:tcPr>
          <w:p w14:paraId="5FCD5B82" w14:textId="77777777" w:rsidR="00524C5E" w:rsidRPr="002029AF" w:rsidRDefault="00524C5E" w:rsidP="00897193">
            <w:pPr>
              <w:pStyle w:val="ARtabletextright"/>
            </w:pPr>
          </w:p>
        </w:tc>
        <w:tc>
          <w:tcPr>
            <w:tcW w:w="588" w:type="pct"/>
            <w:tcBorders>
              <w:top w:val="single" w:sz="4" w:space="0" w:color="auto"/>
              <w:bottom w:val="single" w:sz="4" w:space="0" w:color="auto"/>
            </w:tcBorders>
            <w:shd w:val="clear" w:color="auto" w:fill="auto"/>
          </w:tcPr>
          <w:p w14:paraId="643C7752" w14:textId="77777777" w:rsidR="00524C5E" w:rsidRPr="002029AF" w:rsidRDefault="00524C5E" w:rsidP="00897193">
            <w:pPr>
              <w:pStyle w:val="ARtabletextright"/>
            </w:pPr>
          </w:p>
        </w:tc>
        <w:tc>
          <w:tcPr>
            <w:tcW w:w="588" w:type="pct"/>
            <w:tcBorders>
              <w:top w:val="single" w:sz="4" w:space="0" w:color="auto"/>
              <w:bottom w:val="single" w:sz="4" w:space="0" w:color="auto"/>
            </w:tcBorders>
          </w:tcPr>
          <w:p w14:paraId="7EBA709B" w14:textId="77777777" w:rsidR="00524C5E" w:rsidRPr="002029AF" w:rsidRDefault="00524C5E" w:rsidP="00897193">
            <w:pPr>
              <w:pStyle w:val="ARtabletextright"/>
            </w:pPr>
          </w:p>
        </w:tc>
        <w:tc>
          <w:tcPr>
            <w:tcW w:w="588" w:type="pct"/>
            <w:tcBorders>
              <w:top w:val="single" w:sz="4" w:space="0" w:color="auto"/>
              <w:bottom w:val="single" w:sz="4" w:space="0" w:color="auto"/>
            </w:tcBorders>
          </w:tcPr>
          <w:p w14:paraId="517EF91F" w14:textId="77777777" w:rsidR="00524C5E" w:rsidRPr="002029AF" w:rsidRDefault="00524C5E" w:rsidP="00897193">
            <w:pPr>
              <w:pStyle w:val="ARtabletextright"/>
            </w:pPr>
          </w:p>
        </w:tc>
        <w:tc>
          <w:tcPr>
            <w:tcW w:w="514" w:type="pct"/>
            <w:tcBorders>
              <w:top w:val="single" w:sz="4" w:space="0" w:color="auto"/>
              <w:bottom w:val="single" w:sz="4" w:space="0" w:color="auto"/>
            </w:tcBorders>
          </w:tcPr>
          <w:p w14:paraId="0F27FC32" w14:textId="77777777" w:rsidR="00524C5E" w:rsidRPr="002029AF" w:rsidRDefault="00524C5E" w:rsidP="00897193">
            <w:pPr>
              <w:pStyle w:val="ARtabletextright"/>
            </w:pPr>
          </w:p>
        </w:tc>
      </w:tr>
      <w:tr w:rsidR="00524C5E" w:rsidRPr="002029AF" w14:paraId="48E838B7" w14:textId="77777777" w:rsidTr="00897193">
        <w:trPr>
          <w:cantSplit/>
        </w:trPr>
        <w:tc>
          <w:tcPr>
            <w:tcW w:w="1399" w:type="pct"/>
            <w:tcBorders>
              <w:top w:val="single" w:sz="4" w:space="0" w:color="auto"/>
              <w:bottom w:val="single" w:sz="4" w:space="0" w:color="auto"/>
            </w:tcBorders>
            <w:shd w:val="clear" w:color="auto" w:fill="auto"/>
          </w:tcPr>
          <w:p w14:paraId="6285137A" w14:textId="77777777" w:rsidR="00524C5E" w:rsidRPr="002029AF" w:rsidRDefault="00524C5E" w:rsidP="00897193">
            <w:pPr>
              <w:pStyle w:val="ARtabletext"/>
            </w:pPr>
            <w:r w:rsidRPr="002029AF">
              <w:t>$200,000–$219,999</w:t>
            </w:r>
          </w:p>
        </w:tc>
        <w:tc>
          <w:tcPr>
            <w:tcW w:w="735" w:type="pct"/>
            <w:tcBorders>
              <w:top w:val="single" w:sz="4" w:space="0" w:color="auto"/>
              <w:bottom w:val="single" w:sz="4" w:space="0" w:color="auto"/>
            </w:tcBorders>
            <w:shd w:val="clear" w:color="auto" w:fill="auto"/>
          </w:tcPr>
          <w:p w14:paraId="26492602" w14:textId="77777777" w:rsidR="00524C5E" w:rsidRPr="002029AF" w:rsidRDefault="00524C5E" w:rsidP="00897193">
            <w:pPr>
              <w:pStyle w:val="ARtabletextright"/>
            </w:pPr>
            <w:r>
              <w:t>2</w:t>
            </w:r>
          </w:p>
        </w:tc>
        <w:tc>
          <w:tcPr>
            <w:tcW w:w="588" w:type="pct"/>
            <w:tcBorders>
              <w:top w:val="single" w:sz="4" w:space="0" w:color="auto"/>
              <w:bottom w:val="single" w:sz="4" w:space="0" w:color="auto"/>
            </w:tcBorders>
            <w:shd w:val="clear" w:color="auto" w:fill="auto"/>
          </w:tcPr>
          <w:p w14:paraId="5F43E9C6" w14:textId="77777777" w:rsidR="00524C5E" w:rsidRPr="002029AF" w:rsidRDefault="00524C5E" w:rsidP="00897193">
            <w:pPr>
              <w:pStyle w:val="ARtabletextright"/>
            </w:pPr>
          </w:p>
        </w:tc>
        <w:tc>
          <w:tcPr>
            <w:tcW w:w="588" w:type="pct"/>
            <w:tcBorders>
              <w:top w:val="single" w:sz="4" w:space="0" w:color="auto"/>
              <w:bottom w:val="single" w:sz="4" w:space="0" w:color="auto"/>
            </w:tcBorders>
            <w:shd w:val="clear" w:color="auto" w:fill="auto"/>
          </w:tcPr>
          <w:p w14:paraId="4B6C42F8" w14:textId="77777777" w:rsidR="00524C5E" w:rsidRPr="002029AF" w:rsidRDefault="00524C5E" w:rsidP="00897193">
            <w:pPr>
              <w:pStyle w:val="ARtabletextright"/>
            </w:pPr>
          </w:p>
        </w:tc>
        <w:tc>
          <w:tcPr>
            <w:tcW w:w="588" w:type="pct"/>
            <w:tcBorders>
              <w:top w:val="single" w:sz="4" w:space="0" w:color="auto"/>
              <w:bottom w:val="single" w:sz="4" w:space="0" w:color="auto"/>
            </w:tcBorders>
          </w:tcPr>
          <w:p w14:paraId="13520F78" w14:textId="77777777" w:rsidR="00524C5E" w:rsidRPr="002029AF" w:rsidRDefault="00524C5E" w:rsidP="00897193">
            <w:pPr>
              <w:pStyle w:val="ARtabletextright"/>
            </w:pPr>
          </w:p>
        </w:tc>
        <w:tc>
          <w:tcPr>
            <w:tcW w:w="588" w:type="pct"/>
            <w:tcBorders>
              <w:top w:val="single" w:sz="4" w:space="0" w:color="auto"/>
              <w:bottom w:val="single" w:sz="4" w:space="0" w:color="auto"/>
            </w:tcBorders>
          </w:tcPr>
          <w:p w14:paraId="4E282D3C" w14:textId="77777777" w:rsidR="00524C5E" w:rsidRPr="002029AF" w:rsidRDefault="00524C5E" w:rsidP="00897193">
            <w:pPr>
              <w:pStyle w:val="ARtabletextright"/>
            </w:pPr>
          </w:p>
        </w:tc>
        <w:tc>
          <w:tcPr>
            <w:tcW w:w="514" w:type="pct"/>
            <w:tcBorders>
              <w:top w:val="single" w:sz="4" w:space="0" w:color="auto"/>
              <w:bottom w:val="single" w:sz="4" w:space="0" w:color="auto"/>
            </w:tcBorders>
          </w:tcPr>
          <w:p w14:paraId="765C2AF0" w14:textId="77777777" w:rsidR="00524C5E" w:rsidRPr="002029AF" w:rsidRDefault="00524C5E" w:rsidP="00897193">
            <w:pPr>
              <w:pStyle w:val="ARtabletextright"/>
            </w:pPr>
          </w:p>
        </w:tc>
      </w:tr>
      <w:tr w:rsidR="00524C5E" w:rsidRPr="002029AF" w14:paraId="0D0FA98E" w14:textId="77777777" w:rsidTr="00897193">
        <w:trPr>
          <w:cantSplit/>
        </w:trPr>
        <w:tc>
          <w:tcPr>
            <w:tcW w:w="1399" w:type="pct"/>
            <w:tcBorders>
              <w:top w:val="single" w:sz="4" w:space="0" w:color="auto"/>
              <w:bottom w:val="single" w:sz="4" w:space="0" w:color="auto"/>
            </w:tcBorders>
            <w:shd w:val="clear" w:color="auto" w:fill="auto"/>
          </w:tcPr>
          <w:p w14:paraId="0FD4A451" w14:textId="77777777" w:rsidR="00524C5E" w:rsidRPr="002029AF" w:rsidRDefault="00524C5E" w:rsidP="00897193">
            <w:pPr>
              <w:pStyle w:val="ARtabletext"/>
            </w:pPr>
            <w:r w:rsidRPr="002029AF">
              <w:t>$220,000–$239,999</w:t>
            </w:r>
          </w:p>
        </w:tc>
        <w:tc>
          <w:tcPr>
            <w:tcW w:w="735" w:type="pct"/>
            <w:tcBorders>
              <w:top w:val="single" w:sz="4" w:space="0" w:color="auto"/>
              <w:bottom w:val="single" w:sz="4" w:space="0" w:color="auto"/>
            </w:tcBorders>
            <w:shd w:val="clear" w:color="auto" w:fill="auto"/>
          </w:tcPr>
          <w:p w14:paraId="6BB0771D"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6BD67C82" w14:textId="77777777" w:rsidR="00524C5E" w:rsidRPr="002029AF" w:rsidRDefault="00524C5E" w:rsidP="00897193">
            <w:pPr>
              <w:pStyle w:val="ARtabletextright"/>
            </w:pPr>
          </w:p>
        </w:tc>
        <w:tc>
          <w:tcPr>
            <w:tcW w:w="588" w:type="pct"/>
            <w:tcBorders>
              <w:top w:val="single" w:sz="4" w:space="0" w:color="auto"/>
              <w:bottom w:val="single" w:sz="4" w:space="0" w:color="auto"/>
            </w:tcBorders>
            <w:shd w:val="clear" w:color="auto" w:fill="auto"/>
          </w:tcPr>
          <w:p w14:paraId="1E737380" w14:textId="77777777" w:rsidR="00524C5E" w:rsidRPr="002029AF" w:rsidRDefault="00524C5E" w:rsidP="00897193">
            <w:pPr>
              <w:pStyle w:val="ARtabletextright"/>
            </w:pPr>
          </w:p>
        </w:tc>
        <w:tc>
          <w:tcPr>
            <w:tcW w:w="588" w:type="pct"/>
            <w:tcBorders>
              <w:top w:val="single" w:sz="4" w:space="0" w:color="auto"/>
              <w:bottom w:val="single" w:sz="4" w:space="0" w:color="auto"/>
            </w:tcBorders>
          </w:tcPr>
          <w:p w14:paraId="4E22BB1C" w14:textId="77777777" w:rsidR="00524C5E" w:rsidRPr="002029AF" w:rsidRDefault="00524C5E" w:rsidP="00897193">
            <w:pPr>
              <w:pStyle w:val="ARtabletextright"/>
            </w:pPr>
          </w:p>
        </w:tc>
        <w:tc>
          <w:tcPr>
            <w:tcW w:w="588" w:type="pct"/>
            <w:tcBorders>
              <w:top w:val="single" w:sz="4" w:space="0" w:color="auto"/>
              <w:bottom w:val="single" w:sz="4" w:space="0" w:color="auto"/>
            </w:tcBorders>
          </w:tcPr>
          <w:p w14:paraId="2570F132" w14:textId="77777777" w:rsidR="00524C5E" w:rsidRPr="002029AF" w:rsidRDefault="00524C5E" w:rsidP="00897193">
            <w:pPr>
              <w:pStyle w:val="ARtabletextright"/>
            </w:pPr>
          </w:p>
        </w:tc>
        <w:tc>
          <w:tcPr>
            <w:tcW w:w="514" w:type="pct"/>
            <w:tcBorders>
              <w:top w:val="single" w:sz="4" w:space="0" w:color="auto"/>
              <w:bottom w:val="single" w:sz="4" w:space="0" w:color="auto"/>
            </w:tcBorders>
          </w:tcPr>
          <w:p w14:paraId="78E1E4B3" w14:textId="77777777" w:rsidR="00524C5E" w:rsidRPr="002029AF" w:rsidRDefault="00524C5E" w:rsidP="00897193">
            <w:pPr>
              <w:pStyle w:val="ARtabletextright"/>
            </w:pPr>
          </w:p>
        </w:tc>
      </w:tr>
      <w:tr w:rsidR="00524C5E" w:rsidRPr="002029AF" w14:paraId="327FBDA1" w14:textId="77777777" w:rsidTr="00897193">
        <w:trPr>
          <w:cantSplit/>
        </w:trPr>
        <w:tc>
          <w:tcPr>
            <w:tcW w:w="1399" w:type="pct"/>
            <w:tcBorders>
              <w:top w:val="single" w:sz="4" w:space="0" w:color="auto"/>
              <w:bottom w:val="single" w:sz="4" w:space="0" w:color="auto"/>
            </w:tcBorders>
            <w:shd w:val="clear" w:color="auto" w:fill="auto"/>
          </w:tcPr>
          <w:p w14:paraId="2CE8703F" w14:textId="77777777" w:rsidR="00524C5E" w:rsidRPr="002029AF" w:rsidRDefault="00524C5E" w:rsidP="00897193">
            <w:pPr>
              <w:pStyle w:val="ARtabletext"/>
            </w:pPr>
            <w:r w:rsidRPr="002029AF">
              <w:t>$240,000–$259,999</w:t>
            </w:r>
          </w:p>
        </w:tc>
        <w:tc>
          <w:tcPr>
            <w:tcW w:w="735" w:type="pct"/>
            <w:tcBorders>
              <w:top w:val="single" w:sz="4" w:space="0" w:color="auto"/>
              <w:bottom w:val="single" w:sz="4" w:space="0" w:color="auto"/>
            </w:tcBorders>
            <w:shd w:val="clear" w:color="auto" w:fill="auto"/>
          </w:tcPr>
          <w:p w14:paraId="6C26FB8C"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2E8D21D2" w14:textId="77777777" w:rsidR="00524C5E" w:rsidRPr="002029AF" w:rsidRDefault="00524C5E" w:rsidP="00897193">
            <w:pPr>
              <w:pStyle w:val="ARtabletextright"/>
            </w:pPr>
          </w:p>
        </w:tc>
        <w:tc>
          <w:tcPr>
            <w:tcW w:w="588" w:type="pct"/>
            <w:tcBorders>
              <w:top w:val="single" w:sz="4" w:space="0" w:color="auto"/>
              <w:bottom w:val="single" w:sz="4" w:space="0" w:color="auto"/>
            </w:tcBorders>
            <w:shd w:val="clear" w:color="auto" w:fill="auto"/>
          </w:tcPr>
          <w:p w14:paraId="775747C8" w14:textId="77777777" w:rsidR="00524C5E" w:rsidRPr="002029AF" w:rsidRDefault="00524C5E" w:rsidP="00897193">
            <w:pPr>
              <w:pStyle w:val="ARtabletextright"/>
            </w:pPr>
          </w:p>
        </w:tc>
        <w:tc>
          <w:tcPr>
            <w:tcW w:w="588" w:type="pct"/>
            <w:tcBorders>
              <w:top w:val="single" w:sz="4" w:space="0" w:color="auto"/>
              <w:bottom w:val="single" w:sz="4" w:space="0" w:color="auto"/>
            </w:tcBorders>
          </w:tcPr>
          <w:p w14:paraId="6A69C355" w14:textId="77777777" w:rsidR="00524C5E" w:rsidRPr="002029AF" w:rsidRDefault="00524C5E" w:rsidP="00897193">
            <w:pPr>
              <w:pStyle w:val="ARtabletextright"/>
            </w:pPr>
          </w:p>
        </w:tc>
        <w:tc>
          <w:tcPr>
            <w:tcW w:w="588" w:type="pct"/>
            <w:tcBorders>
              <w:top w:val="single" w:sz="4" w:space="0" w:color="auto"/>
              <w:bottom w:val="single" w:sz="4" w:space="0" w:color="auto"/>
            </w:tcBorders>
          </w:tcPr>
          <w:p w14:paraId="7677817F" w14:textId="77777777" w:rsidR="00524C5E" w:rsidRPr="002029AF" w:rsidRDefault="00524C5E" w:rsidP="00897193">
            <w:pPr>
              <w:pStyle w:val="ARtabletextright"/>
            </w:pPr>
          </w:p>
        </w:tc>
        <w:tc>
          <w:tcPr>
            <w:tcW w:w="514" w:type="pct"/>
            <w:tcBorders>
              <w:top w:val="single" w:sz="4" w:space="0" w:color="auto"/>
              <w:bottom w:val="single" w:sz="4" w:space="0" w:color="auto"/>
            </w:tcBorders>
          </w:tcPr>
          <w:p w14:paraId="61AFDB5F" w14:textId="77777777" w:rsidR="00524C5E" w:rsidRPr="002029AF" w:rsidRDefault="00524C5E" w:rsidP="00897193">
            <w:pPr>
              <w:pStyle w:val="ARtabletextright"/>
            </w:pPr>
          </w:p>
        </w:tc>
      </w:tr>
      <w:tr w:rsidR="00524C5E" w:rsidRPr="002029AF" w14:paraId="1BB28886" w14:textId="77777777" w:rsidTr="00897193">
        <w:tblPrEx>
          <w:tblLook w:val="04A0" w:firstRow="1" w:lastRow="0" w:firstColumn="1" w:lastColumn="0" w:noHBand="0" w:noVBand="1"/>
        </w:tblPrEx>
        <w:trPr>
          <w:cantSplit/>
        </w:trPr>
        <w:tc>
          <w:tcPr>
            <w:tcW w:w="1399" w:type="pct"/>
            <w:tcBorders>
              <w:top w:val="single" w:sz="4" w:space="0" w:color="auto"/>
              <w:bottom w:val="single" w:sz="4" w:space="0" w:color="auto"/>
            </w:tcBorders>
            <w:shd w:val="clear" w:color="auto" w:fill="auto"/>
          </w:tcPr>
          <w:p w14:paraId="699A9577" w14:textId="77777777" w:rsidR="00524C5E" w:rsidRPr="002029AF" w:rsidRDefault="00524C5E" w:rsidP="00897193">
            <w:pPr>
              <w:pStyle w:val="ARtabletext"/>
            </w:pPr>
            <w:r w:rsidRPr="002029AF">
              <w:t>$260,000–$279,999</w:t>
            </w:r>
          </w:p>
        </w:tc>
        <w:tc>
          <w:tcPr>
            <w:tcW w:w="735" w:type="pct"/>
            <w:tcBorders>
              <w:top w:val="single" w:sz="4" w:space="0" w:color="auto"/>
              <w:bottom w:val="single" w:sz="4" w:space="0" w:color="auto"/>
            </w:tcBorders>
            <w:shd w:val="clear" w:color="auto" w:fill="auto"/>
          </w:tcPr>
          <w:p w14:paraId="6A64D71C" w14:textId="77777777" w:rsidR="00524C5E" w:rsidRPr="002029AF" w:rsidRDefault="00524C5E" w:rsidP="00897193">
            <w:pPr>
              <w:pStyle w:val="ARtabletextright"/>
              <w:rPr>
                <w:color w:val="000000" w:themeColor="text1"/>
              </w:rPr>
            </w:pPr>
            <w:r>
              <w:rPr>
                <w:color w:val="000000" w:themeColor="text1"/>
              </w:rPr>
              <w:t>2</w:t>
            </w:r>
          </w:p>
        </w:tc>
        <w:tc>
          <w:tcPr>
            <w:tcW w:w="588" w:type="pct"/>
            <w:tcBorders>
              <w:top w:val="single" w:sz="4" w:space="0" w:color="auto"/>
              <w:bottom w:val="single" w:sz="4" w:space="0" w:color="auto"/>
            </w:tcBorders>
            <w:shd w:val="clear" w:color="auto" w:fill="auto"/>
          </w:tcPr>
          <w:p w14:paraId="399D480E" w14:textId="77777777" w:rsidR="00524C5E" w:rsidRPr="002029AF" w:rsidRDefault="00524C5E" w:rsidP="00897193">
            <w:pPr>
              <w:pStyle w:val="ARtabletextright"/>
            </w:pPr>
          </w:p>
        </w:tc>
        <w:tc>
          <w:tcPr>
            <w:tcW w:w="588" w:type="pct"/>
            <w:tcBorders>
              <w:top w:val="single" w:sz="4" w:space="0" w:color="auto"/>
              <w:bottom w:val="single" w:sz="4" w:space="0" w:color="auto"/>
            </w:tcBorders>
            <w:shd w:val="clear" w:color="auto" w:fill="auto"/>
          </w:tcPr>
          <w:p w14:paraId="61E216BA" w14:textId="77777777" w:rsidR="00524C5E" w:rsidRPr="002029AF" w:rsidRDefault="00524C5E" w:rsidP="00897193">
            <w:pPr>
              <w:pStyle w:val="ARtabletextright"/>
            </w:pPr>
          </w:p>
        </w:tc>
        <w:tc>
          <w:tcPr>
            <w:tcW w:w="588" w:type="pct"/>
            <w:tcBorders>
              <w:top w:val="single" w:sz="4" w:space="0" w:color="auto"/>
              <w:bottom w:val="single" w:sz="4" w:space="0" w:color="auto"/>
            </w:tcBorders>
          </w:tcPr>
          <w:p w14:paraId="398ECF03" w14:textId="77777777" w:rsidR="00524C5E" w:rsidRPr="002029AF" w:rsidRDefault="00524C5E" w:rsidP="00897193">
            <w:pPr>
              <w:pStyle w:val="ARtabletextright"/>
            </w:pPr>
          </w:p>
        </w:tc>
        <w:tc>
          <w:tcPr>
            <w:tcW w:w="588" w:type="pct"/>
            <w:tcBorders>
              <w:top w:val="single" w:sz="4" w:space="0" w:color="auto"/>
              <w:bottom w:val="single" w:sz="4" w:space="0" w:color="auto"/>
            </w:tcBorders>
          </w:tcPr>
          <w:p w14:paraId="36A88014" w14:textId="77777777" w:rsidR="00524C5E" w:rsidRPr="002029AF" w:rsidRDefault="00524C5E" w:rsidP="00897193">
            <w:pPr>
              <w:pStyle w:val="ARtabletextright"/>
            </w:pPr>
          </w:p>
        </w:tc>
        <w:tc>
          <w:tcPr>
            <w:tcW w:w="514" w:type="pct"/>
            <w:tcBorders>
              <w:top w:val="single" w:sz="4" w:space="0" w:color="auto"/>
              <w:bottom w:val="single" w:sz="4" w:space="0" w:color="auto"/>
            </w:tcBorders>
          </w:tcPr>
          <w:p w14:paraId="79465EDF" w14:textId="77777777" w:rsidR="00524C5E" w:rsidRPr="002029AF" w:rsidRDefault="00524C5E" w:rsidP="00897193">
            <w:pPr>
              <w:pStyle w:val="ARtabletextright"/>
            </w:pPr>
          </w:p>
        </w:tc>
      </w:tr>
      <w:tr w:rsidR="00524C5E" w:rsidRPr="002029AF" w14:paraId="6D6728AC" w14:textId="77777777" w:rsidTr="00897193">
        <w:tblPrEx>
          <w:tblLook w:val="04A0" w:firstRow="1" w:lastRow="0" w:firstColumn="1" w:lastColumn="0" w:noHBand="0" w:noVBand="1"/>
        </w:tblPrEx>
        <w:trPr>
          <w:cantSplit/>
        </w:trPr>
        <w:tc>
          <w:tcPr>
            <w:tcW w:w="1399" w:type="pct"/>
            <w:tcBorders>
              <w:top w:val="single" w:sz="4" w:space="0" w:color="auto"/>
              <w:bottom w:val="single" w:sz="4" w:space="0" w:color="auto"/>
            </w:tcBorders>
            <w:shd w:val="clear" w:color="auto" w:fill="auto"/>
          </w:tcPr>
          <w:p w14:paraId="2B2C4BBB" w14:textId="77777777" w:rsidR="00524C5E" w:rsidRPr="002029AF" w:rsidRDefault="00524C5E" w:rsidP="00897193">
            <w:pPr>
              <w:pStyle w:val="ARtabletext"/>
            </w:pPr>
            <w:r w:rsidRPr="002029AF">
              <w:t>$280,000–$299,999</w:t>
            </w:r>
          </w:p>
        </w:tc>
        <w:tc>
          <w:tcPr>
            <w:tcW w:w="735" w:type="pct"/>
            <w:tcBorders>
              <w:top w:val="single" w:sz="4" w:space="0" w:color="auto"/>
              <w:bottom w:val="single" w:sz="4" w:space="0" w:color="auto"/>
            </w:tcBorders>
            <w:shd w:val="clear" w:color="auto" w:fill="auto"/>
          </w:tcPr>
          <w:p w14:paraId="5D62109C"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16241C0C" w14:textId="77777777" w:rsidR="00524C5E" w:rsidRPr="002029AF" w:rsidRDefault="00524C5E" w:rsidP="00897193">
            <w:pPr>
              <w:pStyle w:val="ARtabletextright"/>
            </w:pPr>
          </w:p>
        </w:tc>
        <w:tc>
          <w:tcPr>
            <w:tcW w:w="588" w:type="pct"/>
            <w:tcBorders>
              <w:top w:val="single" w:sz="4" w:space="0" w:color="auto"/>
              <w:bottom w:val="single" w:sz="4" w:space="0" w:color="auto"/>
            </w:tcBorders>
            <w:shd w:val="clear" w:color="auto" w:fill="auto"/>
          </w:tcPr>
          <w:p w14:paraId="0254B701" w14:textId="77777777" w:rsidR="00524C5E" w:rsidRPr="002029AF" w:rsidRDefault="00524C5E" w:rsidP="00897193">
            <w:pPr>
              <w:pStyle w:val="ARtabletextright"/>
            </w:pPr>
          </w:p>
        </w:tc>
        <w:tc>
          <w:tcPr>
            <w:tcW w:w="588" w:type="pct"/>
            <w:tcBorders>
              <w:top w:val="single" w:sz="4" w:space="0" w:color="auto"/>
              <w:bottom w:val="single" w:sz="4" w:space="0" w:color="auto"/>
            </w:tcBorders>
          </w:tcPr>
          <w:p w14:paraId="06FD4F26" w14:textId="77777777" w:rsidR="00524C5E" w:rsidRPr="002029AF" w:rsidRDefault="00524C5E" w:rsidP="00897193">
            <w:pPr>
              <w:pStyle w:val="ARtabletextright"/>
            </w:pPr>
          </w:p>
        </w:tc>
        <w:tc>
          <w:tcPr>
            <w:tcW w:w="588" w:type="pct"/>
            <w:tcBorders>
              <w:top w:val="single" w:sz="4" w:space="0" w:color="auto"/>
              <w:bottom w:val="single" w:sz="4" w:space="0" w:color="auto"/>
            </w:tcBorders>
          </w:tcPr>
          <w:p w14:paraId="3ED2179C" w14:textId="77777777" w:rsidR="00524C5E" w:rsidRPr="002029AF" w:rsidRDefault="00524C5E" w:rsidP="00897193">
            <w:pPr>
              <w:pStyle w:val="ARtabletextright"/>
            </w:pPr>
          </w:p>
        </w:tc>
        <w:tc>
          <w:tcPr>
            <w:tcW w:w="514" w:type="pct"/>
            <w:tcBorders>
              <w:top w:val="single" w:sz="4" w:space="0" w:color="auto"/>
              <w:bottom w:val="single" w:sz="4" w:space="0" w:color="auto"/>
            </w:tcBorders>
          </w:tcPr>
          <w:p w14:paraId="1CE08BFD" w14:textId="77777777" w:rsidR="00524C5E" w:rsidRPr="002029AF" w:rsidRDefault="00524C5E" w:rsidP="00897193">
            <w:pPr>
              <w:pStyle w:val="ARtabletextright"/>
            </w:pPr>
          </w:p>
        </w:tc>
      </w:tr>
      <w:tr w:rsidR="00524C5E" w:rsidRPr="002029AF" w14:paraId="28EEDDD7" w14:textId="77777777" w:rsidTr="00897193">
        <w:tblPrEx>
          <w:tblLook w:val="04A0" w:firstRow="1" w:lastRow="0" w:firstColumn="1" w:lastColumn="0" w:noHBand="0" w:noVBand="1"/>
        </w:tblPrEx>
        <w:trPr>
          <w:cantSplit/>
        </w:trPr>
        <w:tc>
          <w:tcPr>
            <w:tcW w:w="1399" w:type="pct"/>
            <w:tcBorders>
              <w:top w:val="single" w:sz="4" w:space="0" w:color="auto"/>
              <w:bottom w:val="single" w:sz="4" w:space="0" w:color="auto"/>
            </w:tcBorders>
            <w:shd w:val="clear" w:color="auto" w:fill="auto"/>
          </w:tcPr>
          <w:p w14:paraId="29903E6E" w14:textId="77777777" w:rsidR="00524C5E" w:rsidRPr="002029AF" w:rsidRDefault="00524C5E" w:rsidP="00897193">
            <w:pPr>
              <w:pStyle w:val="ARtabletext"/>
            </w:pPr>
            <w:r w:rsidRPr="002029AF">
              <w:t>$320,000–$339,999</w:t>
            </w:r>
          </w:p>
        </w:tc>
        <w:tc>
          <w:tcPr>
            <w:tcW w:w="735" w:type="pct"/>
            <w:tcBorders>
              <w:top w:val="single" w:sz="4" w:space="0" w:color="auto"/>
              <w:bottom w:val="single" w:sz="4" w:space="0" w:color="auto"/>
            </w:tcBorders>
            <w:shd w:val="clear" w:color="auto" w:fill="auto"/>
          </w:tcPr>
          <w:p w14:paraId="1DB7C3D3"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2DE04288" w14:textId="77777777" w:rsidR="00524C5E" w:rsidRPr="002029AF" w:rsidRDefault="00524C5E" w:rsidP="00897193">
            <w:pPr>
              <w:pStyle w:val="ARtabletextright"/>
            </w:pPr>
          </w:p>
        </w:tc>
        <w:tc>
          <w:tcPr>
            <w:tcW w:w="588" w:type="pct"/>
            <w:tcBorders>
              <w:top w:val="single" w:sz="4" w:space="0" w:color="auto"/>
              <w:bottom w:val="single" w:sz="4" w:space="0" w:color="auto"/>
            </w:tcBorders>
            <w:shd w:val="clear" w:color="auto" w:fill="auto"/>
          </w:tcPr>
          <w:p w14:paraId="0F651CD2" w14:textId="77777777" w:rsidR="00524C5E" w:rsidRPr="002029AF" w:rsidRDefault="00524C5E" w:rsidP="00897193">
            <w:pPr>
              <w:pStyle w:val="ARtabletextright"/>
            </w:pPr>
          </w:p>
        </w:tc>
        <w:tc>
          <w:tcPr>
            <w:tcW w:w="588" w:type="pct"/>
            <w:tcBorders>
              <w:top w:val="single" w:sz="4" w:space="0" w:color="auto"/>
              <w:bottom w:val="single" w:sz="4" w:space="0" w:color="auto"/>
            </w:tcBorders>
          </w:tcPr>
          <w:p w14:paraId="350F6DB8" w14:textId="77777777" w:rsidR="00524C5E" w:rsidRPr="002029AF" w:rsidRDefault="00524C5E" w:rsidP="00897193">
            <w:pPr>
              <w:pStyle w:val="ARtabletextright"/>
            </w:pPr>
          </w:p>
        </w:tc>
        <w:tc>
          <w:tcPr>
            <w:tcW w:w="588" w:type="pct"/>
            <w:tcBorders>
              <w:top w:val="single" w:sz="4" w:space="0" w:color="auto"/>
              <w:bottom w:val="single" w:sz="4" w:space="0" w:color="auto"/>
            </w:tcBorders>
          </w:tcPr>
          <w:p w14:paraId="2BF105FC" w14:textId="77777777" w:rsidR="00524C5E" w:rsidRPr="002029AF" w:rsidRDefault="00524C5E" w:rsidP="00897193">
            <w:pPr>
              <w:pStyle w:val="ARtabletextright"/>
            </w:pPr>
          </w:p>
        </w:tc>
        <w:tc>
          <w:tcPr>
            <w:tcW w:w="514" w:type="pct"/>
            <w:tcBorders>
              <w:top w:val="single" w:sz="4" w:space="0" w:color="auto"/>
              <w:bottom w:val="single" w:sz="4" w:space="0" w:color="auto"/>
            </w:tcBorders>
          </w:tcPr>
          <w:p w14:paraId="587F5BBA" w14:textId="77777777" w:rsidR="00524C5E" w:rsidRPr="002029AF" w:rsidRDefault="00524C5E" w:rsidP="00897193">
            <w:pPr>
              <w:pStyle w:val="ARtabletextright"/>
            </w:pPr>
          </w:p>
        </w:tc>
      </w:tr>
      <w:tr w:rsidR="00524C5E" w:rsidRPr="002029AF" w14:paraId="0F980407" w14:textId="77777777" w:rsidTr="00897193">
        <w:tblPrEx>
          <w:tblLook w:val="04A0" w:firstRow="1" w:lastRow="0" w:firstColumn="1" w:lastColumn="0" w:noHBand="0" w:noVBand="1"/>
        </w:tblPrEx>
        <w:trPr>
          <w:cantSplit/>
        </w:trPr>
        <w:tc>
          <w:tcPr>
            <w:tcW w:w="1399" w:type="pct"/>
            <w:tcBorders>
              <w:top w:val="single" w:sz="4" w:space="0" w:color="auto"/>
            </w:tcBorders>
            <w:shd w:val="clear" w:color="auto" w:fill="auto"/>
          </w:tcPr>
          <w:p w14:paraId="6EC150D4" w14:textId="77777777" w:rsidR="00524C5E" w:rsidRPr="002029AF" w:rsidRDefault="00524C5E" w:rsidP="00897193">
            <w:pPr>
              <w:pStyle w:val="ARtabletextbold"/>
            </w:pPr>
            <w:r w:rsidRPr="002029AF">
              <w:t>Total</w:t>
            </w:r>
          </w:p>
        </w:tc>
        <w:tc>
          <w:tcPr>
            <w:tcW w:w="735" w:type="pct"/>
            <w:tcBorders>
              <w:top w:val="single" w:sz="4" w:space="0" w:color="auto"/>
            </w:tcBorders>
            <w:shd w:val="clear" w:color="auto" w:fill="auto"/>
          </w:tcPr>
          <w:p w14:paraId="0946B90C" w14:textId="77777777" w:rsidR="00524C5E" w:rsidRPr="002029AF" w:rsidRDefault="00524C5E" w:rsidP="00897193">
            <w:pPr>
              <w:pStyle w:val="ARtabletextrightbold"/>
              <w:rPr>
                <w:color w:val="000000" w:themeColor="text1"/>
              </w:rPr>
            </w:pPr>
            <w:r>
              <w:rPr>
                <w:color w:val="000000" w:themeColor="text1"/>
              </w:rPr>
              <w:t>5</w:t>
            </w:r>
          </w:p>
        </w:tc>
        <w:tc>
          <w:tcPr>
            <w:tcW w:w="588" w:type="pct"/>
            <w:tcBorders>
              <w:top w:val="single" w:sz="4" w:space="0" w:color="auto"/>
            </w:tcBorders>
            <w:shd w:val="clear" w:color="auto" w:fill="auto"/>
          </w:tcPr>
          <w:p w14:paraId="7935C7B7" w14:textId="77777777" w:rsidR="00524C5E" w:rsidRPr="002029AF" w:rsidRDefault="00524C5E" w:rsidP="00897193">
            <w:pPr>
              <w:pStyle w:val="ARtabletextrightbold"/>
            </w:pPr>
          </w:p>
        </w:tc>
        <w:tc>
          <w:tcPr>
            <w:tcW w:w="588" w:type="pct"/>
            <w:tcBorders>
              <w:top w:val="single" w:sz="4" w:space="0" w:color="auto"/>
            </w:tcBorders>
            <w:shd w:val="clear" w:color="auto" w:fill="auto"/>
          </w:tcPr>
          <w:p w14:paraId="1F3BA6D4" w14:textId="77777777" w:rsidR="00524C5E" w:rsidRPr="002029AF" w:rsidRDefault="00524C5E" w:rsidP="00897193">
            <w:pPr>
              <w:pStyle w:val="ARtabletextrightbold"/>
            </w:pPr>
          </w:p>
        </w:tc>
        <w:tc>
          <w:tcPr>
            <w:tcW w:w="588" w:type="pct"/>
            <w:tcBorders>
              <w:top w:val="single" w:sz="4" w:space="0" w:color="auto"/>
            </w:tcBorders>
          </w:tcPr>
          <w:p w14:paraId="4E7BC37E" w14:textId="77777777" w:rsidR="00524C5E" w:rsidRPr="002029AF" w:rsidRDefault="00524C5E" w:rsidP="00897193">
            <w:pPr>
              <w:pStyle w:val="ARtabletextrightbold"/>
            </w:pPr>
          </w:p>
        </w:tc>
        <w:tc>
          <w:tcPr>
            <w:tcW w:w="588" w:type="pct"/>
            <w:tcBorders>
              <w:top w:val="single" w:sz="4" w:space="0" w:color="auto"/>
            </w:tcBorders>
          </w:tcPr>
          <w:p w14:paraId="7D07A69D" w14:textId="77777777" w:rsidR="00524C5E" w:rsidRPr="002029AF" w:rsidRDefault="00524C5E" w:rsidP="00897193">
            <w:pPr>
              <w:pStyle w:val="ARtabletextrightbold"/>
            </w:pPr>
          </w:p>
        </w:tc>
        <w:tc>
          <w:tcPr>
            <w:tcW w:w="514" w:type="pct"/>
            <w:tcBorders>
              <w:top w:val="single" w:sz="4" w:space="0" w:color="auto"/>
            </w:tcBorders>
          </w:tcPr>
          <w:p w14:paraId="298FE02E" w14:textId="77777777" w:rsidR="00524C5E" w:rsidRPr="002029AF" w:rsidRDefault="00524C5E" w:rsidP="00897193">
            <w:pPr>
              <w:pStyle w:val="ARtabletextrightbold"/>
            </w:pPr>
          </w:p>
        </w:tc>
      </w:tr>
    </w:tbl>
    <w:p w14:paraId="35862A56" w14:textId="0F43382A" w:rsidR="00524C5E" w:rsidRDefault="00524C5E" w:rsidP="00897193">
      <w:pPr>
        <w:pStyle w:val="Heading3"/>
      </w:pPr>
      <w:bookmarkStart w:id="438" w:name="_Toc85121231"/>
      <w:r w:rsidRPr="002029AF">
        <w:t>Safer Care Victoria employment levels</w:t>
      </w:r>
      <w:bookmarkEnd w:id="438"/>
    </w:p>
    <w:p w14:paraId="77130466" w14:textId="7C6B8C04" w:rsidR="00524C5E" w:rsidRPr="00B26015" w:rsidRDefault="00524C5E" w:rsidP="00524C5E">
      <w:pPr>
        <w:pStyle w:val="ARbody"/>
        <w:rPr>
          <w:lang w:eastAsia="en-AU"/>
        </w:rPr>
      </w:pPr>
      <w:r w:rsidRPr="00EB6CE0">
        <w:rPr>
          <w:lang w:eastAsia="en-AU"/>
        </w:rPr>
        <w:t>The following table</w:t>
      </w:r>
      <w:r>
        <w:rPr>
          <w:lang w:eastAsia="en-AU"/>
        </w:rPr>
        <w:t>s</w:t>
      </w:r>
      <w:r w:rsidRPr="00EB6CE0">
        <w:rPr>
          <w:lang w:eastAsia="en-AU"/>
        </w:rPr>
        <w:t xml:space="preserve"> disclose</w:t>
      </w:r>
      <w:r w:rsidR="002B54D9">
        <w:rPr>
          <w:lang w:eastAsia="en-AU"/>
        </w:rPr>
        <w:t>,</w:t>
      </w:r>
      <w:r w:rsidR="003B64C5">
        <w:rPr>
          <w:lang w:eastAsia="en-AU"/>
        </w:rPr>
        <w:t xml:space="preserve"> by</w:t>
      </w:r>
      <w:r w:rsidRPr="00EB6CE0">
        <w:rPr>
          <w:lang w:eastAsia="en-AU"/>
        </w:rPr>
        <w:t xml:space="preserve"> head count and full-time staff equivalent (FTE)</w:t>
      </w:r>
      <w:r w:rsidR="003B64C5">
        <w:rPr>
          <w:lang w:eastAsia="en-AU"/>
        </w:rPr>
        <w:t>, the number</w:t>
      </w:r>
      <w:r w:rsidRPr="00EB6CE0">
        <w:rPr>
          <w:lang w:eastAsia="en-AU"/>
        </w:rPr>
        <w:t xml:space="preserve"> of all active public service employees of the </w:t>
      </w:r>
      <w:r>
        <w:rPr>
          <w:lang w:eastAsia="en-AU"/>
        </w:rPr>
        <w:t>administrative office Safer Care Victoria</w:t>
      </w:r>
      <w:r w:rsidRPr="00EB6CE0">
        <w:rPr>
          <w:lang w:eastAsia="en-AU"/>
        </w:rPr>
        <w:t>, employed in the last full pay period in June of the current reporting period</w:t>
      </w:r>
      <w:r>
        <w:rPr>
          <w:lang w:eastAsia="en-AU"/>
        </w:rPr>
        <w:t xml:space="preserve"> </w:t>
      </w:r>
      <w:r w:rsidRPr="00583ACC">
        <w:rPr>
          <w:lang w:eastAsia="en-AU"/>
        </w:rPr>
        <w:t xml:space="preserve">and in the last full pay period in June </w:t>
      </w:r>
      <w:r>
        <w:rPr>
          <w:lang w:eastAsia="en-AU"/>
        </w:rPr>
        <w:t>o</w:t>
      </w:r>
      <w:r w:rsidRPr="00583ACC">
        <w:rPr>
          <w:lang w:eastAsia="en-AU"/>
        </w:rPr>
        <w:t>f the previous reporting period (2020).</w:t>
      </w:r>
    </w:p>
    <w:p w14:paraId="2F9CB11F" w14:textId="77777777" w:rsidR="00524C5E" w:rsidRDefault="00524C5E" w:rsidP="00C741F1">
      <w:pPr>
        <w:pStyle w:val="Heading4"/>
        <w:spacing w:after="120"/>
      </w:pPr>
      <w:bookmarkStart w:id="439" w:name="_Toc85121232"/>
      <w:r w:rsidRPr="002029AF">
        <w:t>Summary of employment levels in June of 2</w:t>
      </w:r>
      <w:r>
        <w:t>020</w:t>
      </w:r>
      <w:r w:rsidRPr="002029AF">
        <w:t xml:space="preserve"> and 202</w:t>
      </w:r>
      <w:r>
        <w:t>1</w:t>
      </w:r>
      <w:bookmarkEnd w:id="439"/>
    </w:p>
    <w:tbl>
      <w:tblPr>
        <w:tblStyle w:val="TableGrid"/>
        <w:tblW w:w="9639" w:type="dxa"/>
        <w:tblLook w:val="06A0" w:firstRow="1" w:lastRow="0" w:firstColumn="1" w:lastColumn="0" w:noHBand="1" w:noVBand="1"/>
      </w:tblPr>
      <w:tblGrid>
        <w:gridCol w:w="1203"/>
        <w:gridCol w:w="1206"/>
        <w:gridCol w:w="1205"/>
        <w:gridCol w:w="1205"/>
        <w:gridCol w:w="1205"/>
        <w:gridCol w:w="1205"/>
        <w:gridCol w:w="1206"/>
        <w:gridCol w:w="1204"/>
      </w:tblGrid>
      <w:tr w:rsidR="00524C5E" w:rsidRPr="002029AF" w14:paraId="7C75CD92" w14:textId="77777777" w:rsidTr="00AF50BC">
        <w:trPr>
          <w:cnfStyle w:val="100000000000" w:firstRow="1" w:lastRow="0" w:firstColumn="0" w:lastColumn="0" w:oddVBand="0" w:evenVBand="0" w:oddHBand="0" w:evenHBand="0" w:firstRowFirstColumn="0" w:firstRowLastColumn="0" w:lastRowFirstColumn="0" w:lastRowLastColumn="0"/>
          <w:tblHeader/>
        </w:trPr>
        <w:tc>
          <w:tcPr>
            <w:tcW w:w="1208" w:type="dxa"/>
            <w:vMerge w:val="restart"/>
            <w:hideMark/>
          </w:tcPr>
          <w:p w14:paraId="2550BD48" w14:textId="77777777" w:rsidR="00524C5E" w:rsidRPr="002029AF" w:rsidRDefault="00524C5E" w:rsidP="00AF50BC">
            <w:pPr>
              <w:pStyle w:val="ARtablecolhead"/>
            </w:pPr>
          </w:p>
        </w:tc>
        <w:tc>
          <w:tcPr>
            <w:tcW w:w="1208" w:type="dxa"/>
            <w:gridSpan w:val="2"/>
            <w:hideMark/>
          </w:tcPr>
          <w:p w14:paraId="257A26EF" w14:textId="77777777" w:rsidR="00524C5E" w:rsidRPr="00C741F1" w:rsidRDefault="00524C5E" w:rsidP="00C741F1">
            <w:pPr>
              <w:pStyle w:val="ARtablecolheadcentre"/>
            </w:pPr>
            <w:r w:rsidRPr="00C741F1">
              <w:t>All employees</w:t>
            </w:r>
          </w:p>
        </w:tc>
        <w:tc>
          <w:tcPr>
            <w:tcW w:w="1208" w:type="dxa"/>
            <w:gridSpan w:val="3"/>
            <w:hideMark/>
          </w:tcPr>
          <w:p w14:paraId="5A346601" w14:textId="77777777" w:rsidR="00524C5E" w:rsidRPr="00C741F1" w:rsidRDefault="00524C5E" w:rsidP="00C741F1">
            <w:pPr>
              <w:pStyle w:val="ARtablecolheadcentre"/>
            </w:pPr>
            <w:r w:rsidRPr="00C741F1">
              <w:t>Ongoing</w:t>
            </w:r>
          </w:p>
        </w:tc>
        <w:tc>
          <w:tcPr>
            <w:tcW w:w="1208" w:type="dxa"/>
            <w:gridSpan w:val="2"/>
            <w:hideMark/>
          </w:tcPr>
          <w:p w14:paraId="273A23A2" w14:textId="4A009CC6" w:rsidR="00524C5E" w:rsidRPr="00C741F1" w:rsidRDefault="00524C5E" w:rsidP="00C3559C">
            <w:pPr>
              <w:pStyle w:val="ARtablecolheadcentre"/>
            </w:pPr>
            <w:r w:rsidRPr="00C741F1">
              <w:t>Fixed</w:t>
            </w:r>
            <w:r w:rsidR="00C3559C">
              <w:t>-</w:t>
            </w:r>
            <w:r w:rsidRPr="00C741F1">
              <w:t>term and casual</w:t>
            </w:r>
          </w:p>
        </w:tc>
      </w:tr>
      <w:tr w:rsidR="00524C5E" w:rsidRPr="002029AF" w14:paraId="41F3630F" w14:textId="77777777" w:rsidTr="00AF50BC">
        <w:trPr>
          <w:cnfStyle w:val="100000000000" w:firstRow="1" w:lastRow="0" w:firstColumn="0" w:lastColumn="0" w:oddVBand="0" w:evenVBand="0" w:oddHBand="0" w:evenHBand="0" w:firstRowFirstColumn="0" w:firstRowLastColumn="0" w:lastRowFirstColumn="0" w:lastRowLastColumn="0"/>
          <w:tblHeader/>
        </w:trPr>
        <w:tc>
          <w:tcPr>
            <w:tcW w:w="1208" w:type="dxa"/>
            <w:vMerge/>
            <w:hideMark/>
          </w:tcPr>
          <w:p w14:paraId="4E5C646E" w14:textId="77777777" w:rsidR="00524C5E" w:rsidRPr="002029AF" w:rsidRDefault="00524C5E" w:rsidP="00524C5E">
            <w:pPr>
              <w:spacing w:before="40" w:after="20" w:line="240" w:lineRule="auto"/>
              <w:rPr>
                <w:rFonts w:ascii="Calibri" w:eastAsia="Times New Roman" w:hAnsi="Calibri" w:cs="Calibri"/>
                <w:i/>
                <w:iCs/>
                <w:color w:val="000000"/>
                <w:sz w:val="15"/>
                <w:szCs w:val="15"/>
              </w:rPr>
            </w:pPr>
          </w:p>
        </w:tc>
        <w:tc>
          <w:tcPr>
            <w:tcW w:w="1208" w:type="dxa"/>
            <w:hideMark/>
          </w:tcPr>
          <w:p w14:paraId="4985BCAE" w14:textId="77777777" w:rsidR="00524C5E" w:rsidRPr="00C741F1" w:rsidRDefault="00524C5E" w:rsidP="00C741F1">
            <w:pPr>
              <w:pStyle w:val="ARtablecolheadright"/>
            </w:pPr>
            <w:r w:rsidRPr="00C741F1">
              <w:t>Number (head count)</w:t>
            </w:r>
          </w:p>
        </w:tc>
        <w:tc>
          <w:tcPr>
            <w:tcW w:w="1208" w:type="dxa"/>
            <w:tcBorders>
              <w:top w:val="single" w:sz="4" w:space="0" w:color="auto"/>
              <w:right w:val="single" w:sz="4" w:space="0" w:color="auto"/>
            </w:tcBorders>
            <w:hideMark/>
          </w:tcPr>
          <w:p w14:paraId="2AA44E8E" w14:textId="77777777" w:rsidR="00524C5E" w:rsidRPr="00C741F1" w:rsidRDefault="00524C5E" w:rsidP="00C741F1">
            <w:pPr>
              <w:pStyle w:val="ARtablecolheadright"/>
            </w:pPr>
            <w:r w:rsidRPr="00C741F1">
              <w:t>FTE</w:t>
            </w:r>
          </w:p>
        </w:tc>
        <w:tc>
          <w:tcPr>
            <w:tcW w:w="1208" w:type="dxa"/>
            <w:tcBorders>
              <w:left w:val="single" w:sz="4" w:space="0" w:color="auto"/>
            </w:tcBorders>
            <w:hideMark/>
          </w:tcPr>
          <w:p w14:paraId="7C667446" w14:textId="77777777" w:rsidR="00524C5E" w:rsidRPr="00C741F1" w:rsidRDefault="00524C5E" w:rsidP="00C741F1">
            <w:pPr>
              <w:pStyle w:val="ARtablecolheadright"/>
            </w:pPr>
            <w:r w:rsidRPr="00C741F1">
              <w:t>Full-time (head count)</w:t>
            </w:r>
          </w:p>
        </w:tc>
        <w:tc>
          <w:tcPr>
            <w:tcW w:w="1208" w:type="dxa"/>
            <w:hideMark/>
          </w:tcPr>
          <w:p w14:paraId="0187A7B5" w14:textId="77777777" w:rsidR="00524C5E" w:rsidRPr="00C741F1" w:rsidRDefault="00524C5E" w:rsidP="00C741F1">
            <w:pPr>
              <w:pStyle w:val="ARtablecolheadright"/>
            </w:pPr>
            <w:r w:rsidRPr="00C741F1">
              <w:t>Part-time (head count)</w:t>
            </w:r>
          </w:p>
        </w:tc>
        <w:tc>
          <w:tcPr>
            <w:tcW w:w="1208" w:type="dxa"/>
            <w:tcBorders>
              <w:top w:val="single" w:sz="4" w:space="0" w:color="auto"/>
              <w:right w:val="single" w:sz="4" w:space="0" w:color="auto"/>
            </w:tcBorders>
            <w:hideMark/>
          </w:tcPr>
          <w:p w14:paraId="4C396B0C" w14:textId="77777777" w:rsidR="00524C5E" w:rsidRPr="00C741F1" w:rsidRDefault="00524C5E" w:rsidP="00C741F1">
            <w:pPr>
              <w:pStyle w:val="ARtablecolheadright"/>
            </w:pPr>
            <w:r w:rsidRPr="00C741F1">
              <w:t>FTE</w:t>
            </w:r>
          </w:p>
        </w:tc>
        <w:tc>
          <w:tcPr>
            <w:tcW w:w="1208" w:type="dxa"/>
            <w:tcBorders>
              <w:left w:val="single" w:sz="4" w:space="0" w:color="auto"/>
            </w:tcBorders>
            <w:hideMark/>
          </w:tcPr>
          <w:p w14:paraId="51CC9037" w14:textId="77777777" w:rsidR="00524C5E" w:rsidRPr="00C741F1" w:rsidRDefault="00524C5E" w:rsidP="00C741F1">
            <w:pPr>
              <w:pStyle w:val="ARtablecolheadright"/>
            </w:pPr>
            <w:r w:rsidRPr="00C741F1">
              <w:t>Number (head count)</w:t>
            </w:r>
          </w:p>
        </w:tc>
        <w:tc>
          <w:tcPr>
            <w:tcW w:w="1208" w:type="dxa"/>
            <w:hideMark/>
          </w:tcPr>
          <w:p w14:paraId="2FC55FA7" w14:textId="77777777" w:rsidR="00524C5E" w:rsidRPr="00C741F1" w:rsidRDefault="00524C5E" w:rsidP="00C741F1">
            <w:pPr>
              <w:pStyle w:val="ARtablecolheadright"/>
            </w:pPr>
            <w:r w:rsidRPr="00C741F1">
              <w:t>FTE</w:t>
            </w:r>
          </w:p>
        </w:tc>
      </w:tr>
      <w:tr w:rsidR="00524C5E" w:rsidRPr="002029AF" w14:paraId="5E1B07C1" w14:textId="77777777" w:rsidTr="00AF50BC">
        <w:trPr>
          <w:cantSplit w:val="0"/>
        </w:trPr>
        <w:tc>
          <w:tcPr>
            <w:tcW w:w="1208" w:type="dxa"/>
            <w:hideMark/>
          </w:tcPr>
          <w:p w14:paraId="312C04AD" w14:textId="77777777" w:rsidR="00524C5E" w:rsidRPr="00C741F1" w:rsidRDefault="00524C5E" w:rsidP="00C741F1">
            <w:pPr>
              <w:pStyle w:val="ARtabletext"/>
            </w:pPr>
            <w:r w:rsidRPr="00C741F1">
              <w:t>June 2021</w:t>
            </w:r>
          </w:p>
        </w:tc>
        <w:tc>
          <w:tcPr>
            <w:tcW w:w="1208" w:type="dxa"/>
          </w:tcPr>
          <w:p w14:paraId="00BC2C9B" w14:textId="77777777" w:rsidR="00524C5E" w:rsidRPr="00C741F1" w:rsidRDefault="00524C5E" w:rsidP="00C741F1">
            <w:pPr>
              <w:pStyle w:val="ARtabletextright"/>
            </w:pPr>
            <w:r w:rsidRPr="00C741F1">
              <w:t>146</w:t>
            </w:r>
          </w:p>
        </w:tc>
        <w:tc>
          <w:tcPr>
            <w:tcW w:w="1208" w:type="dxa"/>
            <w:tcBorders>
              <w:top w:val="single" w:sz="4" w:space="0" w:color="auto"/>
              <w:bottom w:val="single" w:sz="4" w:space="0" w:color="auto"/>
              <w:right w:val="single" w:sz="4" w:space="0" w:color="auto"/>
            </w:tcBorders>
          </w:tcPr>
          <w:p w14:paraId="4E07DBEC" w14:textId="77777777" w:rsidR="00524C5E" w:rsidRPr="00C741F1" w:rsidRDefault="00524C5E" w:rsidP="00C741F1">
            <w:pPr>
              <w:pStyle w:val="ARtabletextright"/>
            </w:pPr>
            <w:r w:rsidRPr="00C741F1">
              <w:t>134.0</w:t>
            </w:r>
          </w:p>
        </w:tc>
        <w:tc>
          <w:tcPr>
            <w:tcW w:w="1208" w:type="dxa"/>
            <w:tcBorders>
              <w:left w:val="single" w:sz="4" w:space="0" w:color="auto"/>
            </w:tcBorders>
          </w:tcPr>
          <w:p w14:paraId="1E8CCD9F" w14:textId="77777777" w:rsidR="00524C5E" w:rsidRPr="00C741F1" w:rsidRDefault="00524C5E" w:rsidP="00C741F1">
            <w:pPr>
              <w:pStyle w:val="ARtabletextright"/>
            </w:pPr>
            <w:r w:rsidRPr="00C741F1">
              <w:t>84</w:t>
            </w:r>
          </w:p>
        </w:tc>
        <w:tc>
          <w:tcPr>
            <w:tcW w:w="1208" w:type="dxa"/>
          </w:tcPr>
          <w:p w14:paraId="1AB90662" w14:textId="77777777" w:rsidR="00524C5E" w:rsidRPr="00C741F1" w:rsidRDefault="00524C5E" w:rsidP="00C741F1">
            <w:pPr>
              <w:pStyle w:val="ARtabletextright"/>
            </w:pPr>
            <w:r w:rsidRPr="00C741F1">
              <w:t>31</w:t>
            </w:r>
          </w:p>
        </w:tc>
        <w:tc>
          <w:tcPr>
            <w:tcW w:w="1208" w:type="dxa"/>
            <w:tcBorders>
              <w:top w:val="single" w:sz="4" w:space="0" w:color="auto"/>
              <w:bottom w:val="single" w:sz="4" w:space="0" w:color="auto"/>
              <w:right w:val="single" w:sz="4" w:space="0" w:color="auto"/>
            </w:tcBorders>
          </w:tcPr>
          <w:p w14:paraId="4736AB3A" w14:textId="77777777" w:rsidR="00524C5E" w:rsidRPr="00C741F1" w:rsidRDefault="00524C5E" w:rsidP="00C741F1">
            <w:pPr>
              <w:pStyle w:val="ARtabletextright"/>
            </w:pPr>
            <w:r w:rsidRPr="00C741F1">
              <w:t>105.9</w:t>
            </w:r>
          </w:p>
        </w:tc>
        <w:tc>
          <w:tcPr>
            <w:tcW w:w="1208" w:type="dxa"/>
            <w:tcBorders>
              <w:left w:val="single" w:sz="4" w:space="0" w:color="auto"/>
            </w:tcBorders>
          </w:tcPr>
          <w:p w14:paraId="1753B0CE" w14:textId="77777777" w:rsidR="00524C5E" w:rsidRPr="00C741F1" w:rsidRDefault="00524C5E" w:rsidP="00C741F1">
            <w:pPr>
              <w:pStyle w:val="ARtabletextright"/>
            </w:pPr>
            <w:r w:rsidRPr="00C741F1">
              <w:t>31</w:t>
            </w:r>
          </w:p>
        </w:tc>
        <w:tc>
          <w:tcPr>
            <w:tcW w:w="1208" w:type="dxa"/>
          </w:tcPr>
          <w:p w14:paraId="00B2956C" w14:textId="77777777" w:rsidR="00524C5E" w:rsidRPr="00C741F1" w:rsidRDefault="00524C5E" w:rsidP="00C741F1">
            <w:pPr>
              <w:pStyle w:val="ARtabletextright"/>
            </w:pPr>
            <w:r w:rsidRPr="00C741F1">
              <w:t>28.2</w:t>
            </w:r>
          </w:p>
        </w:tc>
      </w:tr>
      <w:tr w:rsidR="00524C5E" w:rsidRPr="002029AF" w14:paraId="4E01ABE2" w14:textId="77777777" w:rsidTr="00AF50BC">
        <w:trPr>
          <w:cantSplit w:val="0"/>
        </w:trPr>
        <w:tc>
          <w:tcPr>
            <w:tcW w:w="1208" w:type="dxa"/>
          </w:tcPr>
          <w:p w14:paraId="4E0567CE" w14:textId="77777777" w:rsidR="00524C5E" w:rsidRPr="00C741F1" w:rsidRDefault="00524C5E" w:rsidP="00C741F1">
            <w:pPr>
              <w:pStyle w:val="ARtabletext"/>
            </w:pPr>
            <w:r w:rsidRPr="00C741F1">
              <w:t>June 2020</w:t>
            </w:r>
          </w:p>
        </w:tc>
        <w:tc>
          <w:tcPr>
            <w:tcW w:w="1208" w:type="dxa"/>
          </w:tcPr>
          <w:p w14:paraId="406C3655" w14:textId="77777777" w:rsidR="00524C5E" w:rsidRPr="00C741F1" w:rsidRDefault="00524C5E" w:rsidP="00C741F1">
            <w:pPr>
              <w:pStyle w:val="ARtabletextright"/>
            </w:pPr>
            <w:r w:rsidRPr="00C741F1">
              <w:t>125</w:t>
            </w:r>
          </w:p>
        </w:tc>
        <w:tc>
          <w:tcPr>
            <w:tcW w:w="1208" w:type="dxa"/>
            <w:tcBorders>
              <w:top w:val="single" w:sz="4" w:space="0" w:color="auto"/>
              <w:right w:val="single" w:sz="4" w:space="0" w:color="auto"/>
            </w:tcBorders>
          </w:tcPr>
          <w:p w14:paraId="126D3552" w14:textId="77777777" w:rsidR="00524C5E" w:rsidRPr="00C741F1" w:rsidRDefault="00524C5E" w:rsidP="00C741F1">
            <w:pPr>
              <w:pStyle w:val="ARtabletextright"/>
            </w:pPr>
            <w:r w:rsidRPr="00C741F1">
              <w:t>113.0</w:t>
            </w:r>
          </w:p>
        </w:tc>
        <w:tc>
          <w:tcPr>
            <w:tcW w:w="1208" w:type="dxa"/>
            <w:tcBorders>
              <w:left w:val="single" w:sz="4" w:space="0" w:color="auto"/>
            </w:tcBorders>
          </w:tcPr>
          <w:p w14:paraId="02A3477C" w14:textId="77777777" w:rsidR="00524C5E" w:rsidRPr="00C741F1" w:rsidRDefault="00524C5E" w:rsidP="00C741F1">
            <w:pPr>
              <w:pStyle w:val="ARtabletextright"/>
            </w:pPr>
            <w:r w:rsidRPr="00C741F1">
              <w:t>64</w:t>
            </w:r>
          </w:p>
        </w:tc>
        <w:tc>
          <w:tcPr>
            <w:tcW w:w="1208" w:type="dxa"/>
          </w:tcPr>
          <w:p w14:paraId="4CFA1878" w14:textId="77777777" w:rsidR="00524C5E" w:rsidRPr="00C741F1" w:rsidRDefault="00524C5E" w:rsidP="00C741F1">
            <w:pPr>
              <w:pStyle w:val="ARtabletextright"/>
            </w:pPr>
            <w:r w:rsidRPr="00C741F1">
              <w:t>33</w:t>
            </w:r>
          </w:p>
        </w:tc>
        <w:tc>
          <w:tcPr>
            <w:tcW w:w="1208" w:type="dxa"/>
            <w:tcBorders>
              <w:top w:val="single" w:sz="4" w:space="0" w:color="auto"/>
              <w:right w:val="single" w:sz="4" w:space="0" w:color="auto"/>
            </w:tcBorders>
          </w:tcPr>
          <w:p w14:paraId="318984D2" w14:textId="77777777" w:rsidR="00524C5E" w:rsidRPr="00C741F1" w:rsidRDefault="00524C5E" w:rsidP="00C741F1">
            <w:pPr>
              <w:pStyle w:val="ARtabletextright"/>
            </w:pPr>
            <w:r w:rsidRPr="00C741F1">
              <w:t>86.4</w:t>
            </w:r>
          </w:p>
        </w:tc>
        <w:tc>
          <w:tcPr>
            <w:tcW w:w="1208" w:type="dxa"/>
            <w:tcBorders>
              <w:left w:val="single" w:sz="4" w:space="0" w:color="auto"/>
            </w:tcBorders>
          </w:tcPr>
          <w:p w14:paraId="03B932E0" w14:textId="77777777" w:rsidR="00524C5E" w:rsidRPr="00C741F1" w:rsidRDefault="00524C5E" w:rsidP="00C741F1">
            <w:pPr>
              <w:pStyle w:val="ARtabletextright"/>
            </w:pPr>
            <w:r w:rsidRPr="00C741F1">
              <w:t>28</w:t>
            </w:r>
          </w:p>
        </w:tc>
        <w:tc>
          <w:tcPr>
            <w:tcW w:w="1208" w:type="dxa"/>
          </w:tcPr>
          <w:p w14:paraId="72E172E5" w14:textId="77777777" w:rsidR="00524C5E" w:rsidRPr="00C741F1" w:rsidRDefault="00524C5E" w:rsidP="00C741F1">
            <w:pPr>
              <w:pStyle w:val="ARtabletextright"/>
            </w:pPr>
            <w:r w:rsidRPr="00C741F1">
              <w:t>26.6</w:t>
            </w:r>
          </w:p>
        </w:tc>
      </w:tr>
    </w:tbl>
    <w:p w14:paraId="3C26F29A" w14:textId="77777777" w:rsidR="00524C5E" w:rsidRPr="00696172" w:rsidRDefault="00524C5E" w:rsidP="00524C5E">
      <w:pPr>
        <w:pStyle w:val="ARbody"/>
      </w:pPr>
    </w:p>
    <w:p w14:paraId="3D35C9D9" w14:textId="77777777" w:rsidR="00524C5E" w:rsidRPr="002029AF" w:rsidRDefault="00524C5E" w:rsidP="00897193">
      <w:pPr>
        <w:pStyle w:val="Heading4"/>
        <w:sectPr w:rsidR="00524C5E" w:rsidRPr="002029AF" w:rsidSect="00524C5E">
          <w:footnotePr>
            <w:numFmt w:val="lowerLetter"/>
            <w:numRestart w:val="eachPage"/>
          </w:footnotePr>
          <w:endnotePr>
            <w:numFmt w:val="decimal"/>
          </w:endnotePr>
          <w:pgSz w:w="11906" w:h="16838" w:code="9"/>
          <w:pgMar w:top="1985" w:right="1134" w:bottom="851" w:left="1134" w:header="510" w:footer="340" w:gutter="0"/>
          <w:cols w:space="454"/>
          <w:docGrid w:linePitch="360"/>
        </w:sectPr>
      </w:pPr>
    </w:p>
    <w:p w14:paraId="538D63BF" w14:textId="77777777" w:rsidR="00524C5E" w:rsidRPr="002029AF" w:rsidRDefault="00524C5E" w:rsidP="00FC001B">
      <w:pPr>
        <w:pStyle w:val="Heading4"/>
        <w:spacing w:before="0"/>
      </w:pPr>
      <w:bookmarkStart w:id="440" w:name="_Toc85121233"/>
      <w:r w:rsidRPr="002029AF">
        <w:lastRenderedPageBreak/>
        <w:t>Safer Care Victoria employment levels in June of 202</w:t>
      </w:r>
      <w:r>
        <w:t>0</w:t>
      </w:r>
      <w:r w:rsidRPr="002029AF">
        <w:t xml:space="preserve"> and 20</w:t>
      </w:r>
      <w:r>
        <w:t>21</w:t>
      </w:r>
      <w:bookmarkEnd w:id="440"/>
    </w:p>
    <w:tbl>
      <w:tblPr>
        <w:tblStyle w:val="TableGrid"/>
        <w:tblW w:w="14005" w:type="dxa"/>
        <w:tblLook w:val="06A0" w:firstRow="1" w:lastRow="0" w:firstColumn="1" w:lastColumn="0" w:noHBand="1" w:noVBand="1"/>
      </w:tblPr>
      <w:tblGrid>
        <w:gridCol w:w="2429"/>
        <w:gridCol w:w="900"/>
        <w:gridCol w:w="810"/>
        <w:gridCol w:w="796"/>
        <w:gridCol w:w="795"/>
        <w:gridCol w:w="801"/>
        <w:gridCol w:w="899"/>
        <w:gridCol w:w="798"/>
        <w:gridCol w:w="899"/>
        <w:gridCol w:w="798"/>
        <w:gridCol w:w="795"/>
        <w:gridCol w:w="795"/>
        <w:gridCol w:w="801"/>
        <w:gridCol w:w="899"/>
        <w:gridCol w:w="790"/>
      </w:tblGrid>
      <w:tr w:rsidR="00524C5E" w:rsidRPr="002029AF" w14:paraId="2C03794E" w14:textId="77777777" w:rsidTr="00524C5E">
        <w:trPr>
          <w:cnfStyle w:val="100000000000" w:firstRow="1" w:lastRow="0" w:firstColumn="0" w:lastColumn="0" w:oddVBand="0" w:evenVBand="0" w:oddHBand="0" w:evenHBand="0" w:firstRowFirstColumn="0" w:firstRowLastColumn="0" w:lastRowFirstColumn="0" w:lastRowLastColumn="0"/>
          <w:tblHeader/>
        </w:trPr>
        <w:tc>
          <w:tcPr>
            <w:tcW w:w="867" w:type="pct"/>
            <w:vMerge w:val="restart"/>
            <w:hideMark/>
          </w:tcPr>
          <w:p w14:paraId="72386F06" w14:textId="77777777" w:rsidR="00524C5E" w:rsidRPr="002029AF" w:rsidRDefault="00524C5E" w:rsidP="007314FC">
            <w:pPr>
              <w:pStyle w:val="ARtablecolhead"/>
              <w:spacing w:before="20" w:after="10"/>
            </w:pPr>
          </w:p>
        </w:tc>
        <w:tc>
          <w:tcPr>
            <w:tcW w:w="2070" w:type="pct"/>
            <w:gridSpan w:val="7"/>
            <w:tcBorders>
              <w:top w:val="nil"/>
              <w:right w:val="single" w:sz="4" w:space="0" w:color="auto"/>
            </w:tcBorders>
            <w:hideMark/>
          </w:tcPr>
          <w:p w14:paraId="7A0834CF" w14:textId="77777777" w:rsidR="00524C5E" w:rsidRPr="002029AF" w:rsidRDefault="00524C5E" w:rsidP="007314FC">
            <w:pPr>
              <w:pStyle w:val="ARtablecolheadcentre"/>
              <w:spacing w:before="20" w:after="10"/>
            </w:pPr>
            <w:r w:rsidRPr="002029AF">
              <w:t>June 202</w:t>
            </w:r>
            <w:r>
              <w:t>1</w:t>
            </w:r>
          </w:p>
        </w:tc>
        <w:tc>
          <w:tcPr>
            <w:tcW w:w="2062" w:type="pct"/>
            <w:gridSpan w:val="7"/>
            <w:tcBorders>
              <w:left w:val="single" w:sz="4" w:space="0" w:color="auto"/>
            </w:tcBorders>
            <w:hideMark/>
          </w:tcPr>
          <w:p w14:paraId="27DEDE50" w14:textId="77777777" w:rsidR="00524C5E" w:rsidRPr="002029AF" w:rsidRDefault="00524C5E" w:rsidP="007314FC">
            <w:pPr>
              <w:pStyle w:val="ARtablecolheadcentre"/>
              <w:spacing w:before="20" w:after="10"/>
            </w:pPr>
            <w:r w:rsidRPr="002029AF">
              <w:t>June 20</w:t>
            </w:r>
            <w:r>
              <w:t>20</w:t>
            </w:r>
          </w:p>
        </w:tc>
      </w:tr>
      <w:tr w:rsidR="00524C5E" w:rsidRPr="002029AF" w14:paraId="3E0FF730" w14:textId="77777777" w:rsidTr="00524C5E">
        <w:trPr>
          <w:cnfStyle w:val="100000000000" w:firstRow="1" w:lastRow="0" w:firstColumn="0" w:lastColumn="0" w:oddVBand="0" w:evenVBand="0" w:oddHBand="0" w:evenHBand="0" w:firstRowFirstColumn="0" w:firstRowLastColumn="0" w:lastRowFirstColumn="0" w:lastRowLastColumn="0"/>
          <w:tblHeader/>
        </w:trPr>
        <w:tc>
          <w:tcPr>
            <w:tcW w:w="867" w:type="pct"/>
            <w:vMerge/>
            <w:hideMark/>
          </w:tcPr>
          <w:p w14:paraId="1C5181CD" w14:textId="77777777" w:rsidR="00524C5E" w:rsidRPr="002029AF" w:rsidRDefault="00524C5E" w:rsidP="007314FC">
            <w:pPr>
              <w:spacing w:before="20" w:after="10" w:line="240" w:lineRule="auto"/>
              <w:rPr>
                <w:rFonts w:ascii="Calibri" w:eastAsia="Times New Roman" w:hAnsi="Calibri" w:cs="Calibri"/>
                <w:i/>
                <w:iCs/>
                <w:color w:val="000000"/>
                <w:sz w:val="15"/>
                <w:szCs w:val="15"/>
              </w:rPr>
            </w:pPr>
          </w:p>
        </w:tc>
        <w:tc>
          <w:tcPr>
            <w:tcW w:w="610" w:type="pct"/>
            <w:gridSpan w:val="2"/>
            <w:tcBorders>
              <w:top w:val="single" w:sz="4" w:space="0" w:color="auto"/>
              <w:right w:val="single" w:sz="4" w:space="0" w:color="auto"/>
            </w:tcBorders>
            <w:hideMark/>
          </w:tcPr>
          <w:p w14:paraId="7DED4E7D" w14:textId="77777777" w:rsidR="00524C5E" w:rsidRPr="002029AF" w:rsidRDefault="00524C5E" w:rsidP="007314FC">
            <w:pPr>
              <w:pStyle w:val="ARtablecolheadcentre"/>
              <w:spacing w:before="20" w:after="10"/>
            </w:pPr>
            <w:r w:rsidRPr="002029AF">
              <w:t>All employees</w:t>
            </w:r>
          </w:p>
        </w:tc>
        <w:tc>
          <w:tcPr>
            <w:tcW w:w="854" w:type="pct"/>
            <w:gridSpan w:val="3"/>
            <w:tcBorders>
              <w:top w:val="single" w:sz="4" w:space="0" w:color="auto"/>
              <w:left w:val="single" w:sz="4" w:space="0" w:color="auto"/>
              <w:right w:val="single" w:sz="4" w:space="0" w:color="auto"/>
            </w:tcBorders>
            <w:hideMark/>
          </w:tcPr>
          <w:p w14:paraId="13E91A62" w14:textId="77777777" w:rsidR="00524C5E" w:rsidRPr="002029AF" w:rsidRDefault="00524C5E" w:rsidP="007314FC">
            <w:pPr>
              <w:pStyle w:val="ARtablecolheadcentre"/>
              <w:spacing w:before="20" w:after="10"/>
            </w:pPr>
            <w:r w:rsidRPr="002029AF">
              <w:t>Ongoing</w:t>
            </w:r>
          </w:p>
        </w:tc>
        <w:tc>
          <w:tcPr>
            <w:tcW w:w="606" w:type="pct"/>
            <w:gridSpan w:val="2"/>
            <w:tcBorders>
              <w:top w:val="single" w:sz="4" w:space="0" w:color="auto"/>
              <w:left w:val="single" w:sz="4" w:space="0" w:color="auto"/>
              <w:right w:val="single" w:sz="4" w:space="0" w:color="auto"/>
            </w:tcBorders>
            <w:hideMark/>
          </w:tcPr>
          <w:p w14:paraId="70A5D693" w14:textId="148B2FD3" w:rsidR="00524C5E" w:rsidRPr="002029AF" w:rsidRDefault="00524C5E" w:rsidP="00C3559C">
            <w:pPr>
              <w:pStyle w:val="ARtablecolheadcentre"/>
              <w:spacing w:before="20" w:after="10"/>
            </w:pPr>
            <w:r w:rsidRPr="002029AF">
              <w:t>Fixed</w:t>
            </w:r>
            <w:r w:rsidR="00C3559C">
              <w:t>-</w:t>
            </w:r>
            <w:r w:rsidRPr="002029AF">
              <w:t>term and casual</w:t>
            </w:r>
          </w:p>
        </w:tc>
        <w:tc>
          <w:tcPr>
            <w:tcW w:w="606" w:type="pct"/>
            <w:gridSpan w:val="2"/>
            <w:tcBorders>
              <w:top w:val="single" w:sz="4" w:space="0" w:color="auto"/>
              <w:left w:val="single" w:sz="4" w:space="0" w:color="auto"/>
              <w:right w:val="single" w:sz="4" w:space="0" w:color="auto"/>
            </w:tcBorders>
            <w:hideMark/>
          </w:tcPr>
          <w:p w14:paraId="2525AF5A" w14:textId="77777777" w:rsidR="00524C5E" w:rsidRPr="002029AF" w:rsidRDefault="00524C5E" w:rsidP="007314FC">
            <w:pPr>
              <w:pStyle w:val="ARtablecolheadcentre"/>
              <w:spacing w:before="20" w:after="10"/>
            </w:pPr>
            <w:r w:rsidRPr="002029AF">
              <w:t>All employees</w:t>
            </w:r>
          </w:p>
        </w:tc>
        <w:tc>
          <w:tcPr>
            <w:tcW w:w="854" w:type="pct"/>
            <w:gridSpan w:val="3"/>
            <w:tcBorders>
              <w:top w:val="single" w:sz="4" w:space="0" w:color="auto"/>
              <w:left w:val="single" w:sz="4" w:space="0" w:color="auto"/>
              <w:right w:val="single" w:sz="4" w:space="0" w:color="auto"/>
            </w:tcBorders>
            <w:hideMark/>
          </w:tcPr>
          <w:p w14:paraId="31C4E38B" w14:textId="77777777" w:rsidR="00524C5E" w:rsidRPr="002029AF" w:rsidRDefault="00524C5E" w:rsidP="007314FC">
            <w:pPr>
              <w:pStyle w:val="ARtablecolheadcentre"/>
              <w:spacing w:before="20" w:after="10"/>
            </w:pPr>
            <w:r w:rsidRPr="002029AF">
              <w:t>Ongoing</w:t>
            </w:r>
          </w:p>
        </w:tc>
        <w:tc>
          <w:tcPr>
            <w:tcW w:w="603" w:type="pct"/>
            <w:gridSpan w:val="2"/>
            <w:tcBorders>
              <w:left w:val="single" w:sz="4" w:space="0" w:color="auto"/>
            </w:tcBorders>
            <w:hideMark/>
          </w:tcPr>
          <w:p w14:paraId="695A08C9" w14:textId="3AB6679A" w:rsidR="00524C5E" w:rsidRPr="002029AF" w:rsidRDefault="00524C5E" w:rsidP="00C3559C">
            <w:pPr>
              <w:pStyle w:val="ARtablecolheadcentre"/>
              <w:spacing w:before="20" w:after="10"/>
            </w:pPr>
            <w:r w:rsidRPr="002029AF">
              <w:t>Fixed</w:t>
            </w:r>
            <w:r w:rsidR="00C3559C">
              <w:t>-</w:t>
            </w:r>
            <w:r w:rsidRPr="002029AF">
              <w:t>term and casual</w:t>
            </w:r>
          </w:p>
        </w:tc>
      </w:tr>
      <w:tr w:rsidR="00524C5E" w:rsidRPr="002029AF" w14:paraId="169D9CFD" w14:textId="77777777" w:rsidTr="00524C5E">
        <w:trPr>
          <w:cnfStyle w:val="100000000000" w:firstRow="1" w:lastRow="0" w:firstColumn="0" w:lastColumn="0" w:oddVBand="0" w:evenVBand="0" w:oddHBand="0" w:evenHBand="0" w:firstRowFirstColumn="0" w:firstRowLastColumn="0" w:lastRowFirstColumn="0" w:lastRowLastColumn="0"/>
          <w:tblHeader/>
        </w:trPr>
        <w:tc>
          <w:tcPr>
            <w:tcW w:w="867" w:type="pct"/>
            <w:vMerge/>
            <w:hideMark/>
          </w:tcPr>
          <w:p w14:paraId="058AC30F" w14:textId="77777777" w:rsidR="00524C5E" w:rsidRPr="002029AF" w:rsidRDefault="00524C5E" w:rsidP="007314FC">
            <w:pPr>
              <w:spacing w:before="20" w:after="10" w:line="240" w:lineRule="auto"/>
              <w:rPr>
                <w:rFonts w:ascii="Calibri" w:eastAsia="Times New Roman" w:hAnsi="Calibri" w:cs="Calibri"/>
                <w:i/>
                <w:iCs/>
                <w:color w:val="000000"/>
                <w:sz w:val="15"/>
                <w:szCs w:val="15"/>
              </w:rPr>
            </w:pPr>
          </w:p>
        </w:tc>
        <w:tc>
          <w:tcPr>
            <w:tcW w:w="321" w:type="pct"/>
            <w:tcBorders>
              <w:top w:val="single" w:sz="4" w:space="0" w:color="auto"/>
            </w:tcBorders>
            <w:hideMark/>
          </w:tcPr>
          <w:p w14:paraId="3769C907" w14:textId="77777777" w:rsidR="00524C5E" w:rsidRPr="002029AF" w:rsidRDefault="00524C5E" w:rsidP="007314FC">
            <w:pPr>
              <w:pStyle w:val="ARtablecolheadright"/>
              <w:spacing w:before="20" w:after="10"/>
            </w:pPr>
            <w:r w:rsidRPr="002029AF">
              <w:t>Number (head count)</w:t>
            </w:r>
          </w:p>
        </w:tc>
        <w:tc>
          <w:tcPr>
            <w:tcW w:w="289" w:type="pct"/>
            <w:tcBorders>
              <w:top w:val="single" w:sz="4" w:space="0" w:color="auto"/>
              <w:right w:val="single" w:sz="4" w:space="0" w:color="auto"/>
            </w:tcBorders>
            <w:hideMark/>
          </w:tcPr>
          <w:p w14:paraId="7051DC52" w14:textId="77777777" w:rsidR="00524C5E" w:rsidRPr="002029AF" w:rsidRDefault="00524C5E" w:rsidP="007314FC">
            <w:pPr>
              <w:pStyle w:val="ARtablecolheadright"/>
              <w:spacing w:before="20" w:after="10"/>
            </w:pPr>
            <w:r w:rsidRPr="002029AF">
              <w:t>FTE</w:t>
            </w:r>
          </w:p>
        </w:tc>
        <w:tc>
          <w:tcPr>
            <w:tcW w:w="284" w:type="pct"/>
            <w:tcBorders>
              <w:top w:val="single" w:sz="4" w:space="0" w:color="auto"/>
              <w:left w:val="single" w:sz="4" w:space="0" w:color="auto"/>
            </w:tcBorders>
            <w:hideMark/>
          </w:tcPr>
          <w:p w14:paraId="0F7E1A45" w14:textId="77777777" w:rsidR="00524C5E" w:rsidRPr="002029AF" w:rsidRDefault="00524C5E" w:rsidP="007314FC">
            <w:pPr>
              <w:pStyle w:val="ARtablecolheadright"/>
              <w:spacing w:before="20" w:after="10"/>
            </w:pPr>
            <w:r w:rsidRPr="002029AF">
              <w:t>Full-time (head count)</w:t>
            </w:r>
          </w:p>
        </w:tc>
        <w:tc>
          <w:tcPr>
            <w:tcW w:w="284" w:type="pct"/>
            <w:tcBorders>
              <w:top w:val="single" w:sz="4" w:space="0" w:color="auto"/>
            </w:tcBorders>
            <w:hideMark/>
          </w:tcPr>
          <w:p w14:paraId="73C292DE" w14:textId="77777777" w:rsidR="00524C5E" w:rsidRPr="002029AF" w:rsidRDefault="00524C5E" w:rsidP="007314FC">
            <w:pPr>
              <w:pStyle w:val="ARtablecolheadright"/>
              <w:spacing w:before="20" w:after="10"/>
            </w:pPr>
            <w:r w:rsidRPr="002029AF">
              <w:t>Part-time (head count)</w:t>
            </w:r>
          </w:p>
        </w:tc>
        <w:tc>
          <w:tcPr>
            <w:tcW w:w="286" w:type="pct"/>
            <w:tcBorders>
              <w:top w:val="single" w:sz="4" w:space="0" w:color="auto"/>
              <w:right w:val="single" w:sz="4" w:space="0" w:color="auto"/>
            </w:tcBorders>
            <w:hideMark/>
          </w:tcPr>
          <w:p w14:paraId="0A894BA2" w14:textId="77777777" w:rsidR="00524C5E" w:rsidRPr="002029AF" w:rsidRDefault="00524C5E" w:rsidP="007314FC">
            <w:pPr>
              <w:pStyle w:val="ARtablecolheadright"/>
              <w:spacing w:before="20" w:after="10"/>
            </w:pPr>
            <w:r w:rsidRPr="002029AF">
              <w:t>FTE</w:t>
            </w:r>
          </w:p>
        </w:tc>
        <w:tc>
          <w:tcPr>
            <w:tcW w:w="321" w:type="pct"/>
            <w:tcBorders>
              <w:top w:val="single" w:sz="4" w:space="0" w:color="auto"/>
              <w:left w:val="single" w:sz="4" w:space="0" w:color="auto"/>
            </w:tcBorders>
            <w:hideMark/>
          </w:tcPr>
          <w:p w14:paraId="5027386D" w14:textId="77777777" w:rsidR="00524C5E" w:rsidRPr="002029AF" w:rsidRDefault="00524C5E" w:rsidP="007314FC">
            <w:pPr>
              <w:pStyle w:val="ARtablecolheadright"/>
              <w:spacing w:before="20" w:after="10"/>
            </w:pPr>
            <w:r w:rsidRPr="002029AF">
              <w:t>Number (head count)</w:t>
            </w:r>
          </w:p>
        </w:tc>
        <w:tc>
          <w:tcPr>
            <w:tcW w:w="285" w:type="pct"/>
            <w:tcBorders>
              <w:top w:val="single" w:sz="4" w:space="0" w:color="auto"/>
              <w:right w:val="single" w:sz="4" w:space="0" w:color="auto"/>
            </w:tcBorders>
            <w:hideMark/>
          </w:tcPr>
          <w:p w14:paraId="0BAC9EBE" w14:textId="77777777" w:rsidR="00524C5E" w:rsidRPr="002029AF" w:rsidRDefault="00524C5E" w:rsidP="007314FC">
            <w:pPr>
              <w:pStyle w:val="ARtablecolheadright"/>
              <w:spacing w:before="20" w:after="10"/>
            </w:pPr>
            <w:r w:rsidRPr="002029AF">
              <w:t>FTE</w:t>
            </w:r>
          </w:p>
        </w:tc>
        <w:tc>
          <w:tcPr>
            <w:tcW w:w="321" w:type="pct"/>
            <w:tcBorders>
              <w:top w:val="single" w:sz="4" w:space="0" w:color="auto"/>
              <w:left w:val="single" w:sz="4" w:space="0" w:color="auto"/>
            </w:tcBorders>
            <w:hideMark/>
          </w:tcPr>
          <w:p w14:paraId="78529D23" w14:textId="77777777" w:rsidR="00524C5E" w:rsidRPr="002029AF" w:rsidRDefault="00524C5E" w:rsidP="007314FC">
            <w:pPr>
              <w:pStyle w:val="ARtablecolheadright"/>
              <w:spacing w:before="20" w:after="10"/>
            </w:pPr>
            <w:r w:rsidRPr="002029AF">
              <w:t>Number (head count)</w:t>
            </w:r>
          </w:p>
        </w:tc>
        <w:tc>
          <w:tcPr>
            <w:tcW w:w="285" w:type="pct"/>
            <w:tcBorders>
              <w:top w:val="single" w:sz="4" w:space="0" w:color="auto"/>
              <w:right w:val="single" w:sz="4" w:space="0" w:color="auto"/>
            </w:tcBorders>
            <w:hideMark/>
          </w:tcPr>
          <w:p w14:paraId="146337D0" w14:textId="77777777" w:rsidR="00524C5E" w:rsidRPr="002029AF" w:rsidRDefault="00524C5E" w:rsidP="007314FC">
            <w:pPr>
              <w:pStyle w:val="ARtablecolheadright"/>
              <w:spacing w:before="20" w:after="10"/>
            </w:pPr>
            <w:r w:rsidRPr="002029AF">
              <w:t>FTE</w:t>
            </w:r>
          </w:p>
        </w:tc>
        <w:tc>
          <w:tcPr>
            <w:tcW w:w="284" w:type="pct"/>
            <w:tcBorders>
              <w:top w:val="single" w:sz="4" w:space="0" w:color="auto"/>
              <w:left w:val="single" w:sz="4" w:space="0" w:color="auto"/>
            </w:tcBorders>
            <w:hideMark/>
          </w:tcPr>
          <w:p w14:paraId="3D60CFD9" w14:textId="77777777" w:rsidR="00524C5E" w:rsidRPr="002029AF" w:rsidRDefault="00524C5E" w:rsidP="007314FC">
            <w:pPr>
              <w:pStyle w:val="ARtablecolheadright"/>
              <w:spacing w:before="20" w:after="10"/>
            </w:pPr>
            <w:r w:rsidRPr="002029AF">
              <w:t>Full-time (head count)</w:t>
            </w:r>
          </w:p>
        </w:tc>
        <w:tc>
          <w:tcPr>
            <w:tcW w:w="284" w:type="pct"/>
            <w:tcBorders>
              <w:top w:val="single" w:sz="4" w:space="0" w:color="auto"/>
            </w:tcBorders>
            <w:hideMark/>
          </w:tcPr>
          <w:p w14:paraId="461294E5" w14:textId="77777777" w:rsidR="00524C5E" w:rsidRPr="002029AF" w:rsidRDefault="00524C5E" w:rsidP="007314FC">
            <w:pPr>
              <w:pStyle w:val="ARtablecolheadright"/>
              <w:spacing w:before="20" w:after="10"/>
            </w:pPr>
            <w:r w:rsidRPr="002029AF">
              <w:t>Part-time (head count)</w:t>
            </w:r>
          </w:p>
        </w:tc>
        <w:tc>
          <w:tcPr>
            <w:tcW w:w="286" w:type="pct"/>
            <w:tcBorders>
              <w:top w:val="single" w:sz="4" w:space="0" w:color="auto"/>
              <w:right w:val="single" w:sz="4" w:space="0" w:color="auto"/>
            </w:tcBorders>
            <w:hideMark/>
          </w:tcPr>
          <w:p w14:paraId="51E6DF98" w14:textId="77777777" w:rsidR="00524C5E" w:rsidRPr="002029AF" w:rsidRDefault="00524C5E" w:rsidP="007314FC">
            <w:pPr>
              <w:pStyle w:val="ARtablecolheadright"/>
              <w:spacing w:before="20" w:after="10"/>
            </w:pPr>
            <w:r w:rsidRPr="002029AF">
              <w:t>FTE</w:t>
            </w:r>
          </w:p>
        </w:tc>
        <w:tc>
          <w:tcPr>
            <w:tcW w:w="321" w:type="pct"/>
            <w:tcBorders>
              <w:left w:val="single" w:sz="4" w:space="0" w:color="auto"/>
            </w:tcBorders>
            <w:hideMark/>
          </w:tcPr>
          <w:p w14:paraId="211CB239" w14:textId="77777777" w:rsidR="00524C5E" w:rsidRPr="002029AF" w:rsidRDefault="00524C5E" w:rsidP="007314FC">
            <w:pPr>
              <w:pStyle w:val="ARtablecolheadright"/>
              <w:spacing w:before="20" w:after="10"/>
            </w:pPr>
            <w:r w:rsidRPr="002029AF">
              <w:t>Number (head count)</w:t>
            </w:r>
          </w:p>
        </w:tc>
        <w:tc>
          <w:tcPr>
            <w:tcW w:w="282" w:type="pct"/>
            <w:hideMark/>
          </w:tcPr>
          <w:p w14:paraId="64EDECAD" w14:textId="77777777" w:rsidR="00524C5E" w:rsidRPr="002029AF" w:rsidRDefault="00524C5E" w:rsidP="007314FC">
            <w:pPr>
              <w:pStyle w:val="ARtablecolheadright"/>
              <w:spacing w:before="20" w:after="10"/>
            </w:pPr>
            <w:r w:rsidRPr="002029AF">
              <w:t>FTE</w:t>
            </w:r>
          </w:p>
        </w:tc>
      </w:tr>
      <w:tr w:rsidR="00524C5E" w:rsidRPr="002029AF" w14:paraId="407B2EF0" w14:textId="77777777" w:rsidTr="00524C5E">
        <w:tc>
          <w:tcPr>
            <w:tcW w:w="867" w:type="pct"/>
            <w:hideMark/>
          </w:tcPr>
          <w:p w14:paraId="379C5E38" w14:textId="77777777" w:rsidR="00524C5E" w:rsidRPr="002029AF" w:rsidRDefault="00524C5E" w:rsidP="007314FC">
            <w:pPr>
              <w:pStyle w:val="ARtablesubhead"/>
              <w:spacing w:before="20" w:after="10"/>
            </w:pPr>
            <w:r w:rsidRPr="002029AF">
              <w:t>Gender</w:t>
            </w:r>
          </w:p>
        </w:tc>
        <w:tc>
          <w:tcPr>
            <w:tcW w:w="321" w:type="pct"/>
            <w:tcBorders>
              <w:top w:val="single" w:sz="4" w:space="0" w:color="auto"/>
            </w:tcBorders>
          </w:tcPr>
          <w:p w14:paraId="04D748B0" w14:textId="77777777" w:rsidR="00524C5E" w:rsidRPr="002029AF" w:rsidRDefault="00524C5E" w:rsidP="007314FC">
            <w:pPr>
              <w:pStyle w:val="ARtabletextright"/>
              <w:spacing w:before="20" w:after="10"/>
            </w:pPr>
          </w:p>
        </w:tc>
        <w:tc>
          <w:tcPr>
            <w:tcW w:w="289" w:type="pct"/>
            <w:tcBorders>
              <w:top w:val="single" w:sz="4" w:space="0" w:color="auto"/>
              <w:right w:val="single" w:sz="4" w:space="0" w:color="auto"/>
            </w:tcBorders>
          </w:tcPr>
          <w:p w14:paraId="520C4035" w14:textId="77777777" w:rsidR="00524C5E" w:rsidRPr="002029AF" w:rsidRDefault="00524C5E" w:rsidP="007314FC">
            <w:pPr>
              <w:pStyle w:val="ARtabletextright"/>
              <w:spacing w:before="20" w:after="10"/>
            </w:pPr>
          </w:p>
        </w:tc>
        <w:tc>
          <w:tcPr>
            <w:tcW w:w="284" w:type="pct"/>
            <w:tcBorders>
              <w:top w:val="single" w:sz="4" w:space="0" w:color="auto"/>
              <w:left w:val="single" w:sz="4" w:space="0" w:color="auto"/>
            </w:tcBorders>
          </w:tcPr>
          <w:p w14:paraId="3B081AE7" w14:textId="77777777" w:rsidR="00524C5E" w:rsidRPr="002029AF" w:rsidRDefault="00524C5E" w:rsidP="007314FC">
            <w:pPr>
              <w:pStyle w:val="ARtabletextright"/>
              <w:spacing w:before="20" w:after="10"/>
            </w:pPr>
          </w:p>
        </w:tc>
        <w:tc>
          <w:tcPr>
            <w:tcW w:w="284" w:type="pct"/>
            <w:tcBorders>
              <w:top w:val="single" w:sz="4" w:space="0" w:color="auto"/>
            </w:tcBorders>
          </w:tcPr>
          <w:p w14:paraId="40FCEE1A" w14:textId="77777777" w:rsidR="00524C5E" w:rsidRPr="002029AF" w:rsidRDefault="00524C5E" w:rsidP="007314FC">
            <w:pPr>
              <w:pStyle w:val="ARtabletextright"/>
              <w:spacing w:before="20" w:after="10"/>
            </w:pPr>
          </w:p>
        </w:tc>
        <w:tc>
          <w:tcPr>
            <w:tcW w:w="286" w:type="pct"/>
            <w:tcBorders>
              <w:top w:val="single" w:sz="4" w:space="0" w:color="auto"/>
              <w:right w:val="single" w:sz="4" w:space="0" w:color="auto"/>
            </w:tcBorders>
          </w:tcPr>
          <w:p w14:paraId="424741A6" w14:textId="77777777" w:rsidR="00524C5E" w:rsidRPr="002029AF" w:rsidRDefault="00524C5E" w:rsidP="007314FC">
            <w:pPr>
              <w:pStyle w:val="ARtabletextright"/>
              <w:spacing w:before="20" w:after="10"/>
            </w:pPr>
          </w:p>
        </w:tc>
        <w:tc>
          <w:tcPr>
            <w:tcW w:w="321" w:type="pct"/>
            <w:tcBorders>
              <w:top w:val="single" w:sz="4" w:space="0" w:color="auto"/>
              <w:left w:val="single" w:sz="4" w:space="0" w:color="auto"/>
            </w:tcBorders>
          </w:tcPr>
          <w:p w14:paraId="42AE4DDA" w14:textId="77777777" w:rsidR="00524C5E" w:rsidRPr="002029AF" w:rsidRDefault="00524C5E" w:rsidP="007314FC">
            <w:pPr>
              <w:pStyle w:val="ARtabletextright"/>
              <w:spacing w:before="20" w:after="10"/>
            </w:pPr>
          </w:p>
        </w:tc>
        <w:tc>
          <w:tcPr>
            <w:tcW w:w="285" w:type="pct"/>
            <w:tcBorders>
              <w:top w:val="single" w:sz="4" w:space="0" w:color="auto"/>
              <w:right w:val="single" w:sz="4" w:space="0" w:color="auto"/>
            </w:tcBorders>
          </w:tcPr>
          <w:p w14:paraId="33ED8827" w14:textId="77777777" w:rsidR="00524C5E" w:rsidRPr="002029AF" w:rsidRDefault="00524C5E" w:rsidP="007314FC">
            <w:pPr>
              <w:pStyle w:val="ARtabletextright"/>
              <w:spacing w:before="20" w:after="10"/>
            </w:pPr>
          </w:p>
        </w:tc>
        <w:tc>
          <w:tcPr>
            <w:tcW w:w="321" w:type="pct"/>
            <w:tcBorders>
              <w:top w:val="single" w:sz="4" w:space="0" w:color="auto"/>
              <w:left w:val="single" w:sz="4" w:space="0" w:color="auto"/>
            </w:tcBorders>
          </w:tcPr>
          <w:p w14:paraId="3A8CFF7C" w14:textId="77777777" w:rsidR="00524C5E" w:rsidRPr="002029AF" w:rsidRDefault="00524C5E" w:rsidP="007314FC">
            <w:pPr>
              <w:pStyle w:val="ARtabletextright"/>
              <w:spacing w:before="20" w:after="10"/>
            </w:pPr>
          </w:p>
        </w:tc>
        <w:tc>
          <w:tcPr>
            <w:tcW w:w="285" w:type="pct"/>
            <w:tcBorders>
              <w:top w:val="single" w:sz="4" w:space="0" w:color="auto"/>
              <w:right w:val="single" w:sz="4" w:space="0" w:color="auto"/>
            </w:tcBorders>
          </w:tcPr>
          <w:p w14:paraId="4E31FE2E" w14:textId="77777777" w:rsidR="00524C5E" w:rsidRPr="002029AF" w:rsidRDefault="00524C5E" w:rsidP="007314FC">
            <w:pPr>
              <w:pStyle w:val="ARtabletextright"/>
              <w:spacing w:before="20" w:after="10"/>
            </w:pPr>
          </w:p>
        </w:tc>
        <w:tc>
          <w:tcPr>
            <w:tcW w:w="284" w:type="pct"/>
            <w:tcBorders>
              <w:top w:val="single" w:sz="4" w:space="0" w:color="auto"/>
              <w:left w:val="single" w:sz="4" w:space="0" w:color="auto"/>
            </w:tcBorders>
          </w:tcPr>
          <w:p w14:paraId="6EF10526" w14:textId="77777777" w:rsidR="00524C5E" w:rsidRPr="002029AF" w:rsidRDefault="00524C5E" w:rsidP="007314FC">
            <w:pPr>
              <w:pStyle w:val="ARtabletextright"/>
              <w:spacing w:before="20" w:after="10"/>
            </w:pPr>
          </w:p>
        </w:tc>
        <w:tc>
          <w:tcPr>
            <w:tcW w:w="284" w:type="pct"/>
            <w:tcBorders>
              <w:top w:val="single" w:sz="4" w:space="0" w:color="auto"/>
            </w:tcBorders>
          </w:tcPr>
          <w:p w14:paraId="2F5F65DC" w14:textId="77777777" w:rsidR="00524C5E" w:rsidRPr="002029AF" w:rsidRDefault="00524C5E" w:rsidP="007314FC">
            <w:pPr>
              <w:pStyle w:val="ARtabletextright"/>
              <w:spacing w:before="20" w:after="10"/>
            </w:pPr>
          </w:p>
        </w:tc>
        <w:tc>
          <w:tcPr>
            <w:tcW w:w="286" w:type="pct"/>
            <w:tcBorders>
              <w:top w:val="single" w:sz="4" w:space="0" w:color="auto"/>
              <w:right w:val="single" w:sz="4" w:space="0" w:color="auto"/>
            </w:tcBorders>
          </w:tcPr>
          <w:p w14:paraId="79D387DA" w14:textId="77777777" w:rsidR="00524C5E" w:rsidRPr="002029AF" w:rsidRDefault="00524C5E" w:rsidP="007314FC">
            <w:pPr>
              <w:pStyle w:val="ARtabletextright"/>
              <w:spacing w:before="20" w:after="10"/>
            </w:pPr>
          </w:p>
        </w:tc>
        <w:tc>
          <w:tcPr>
            <w:tcW w:w="321" w:type="pct"/>
            <w:tcBorders>
              <w:left w:val="single" w:sz="4" w:space="0" w:color="auto"/>
            </w:tcBorders>
          </w:tcPr>
          <w:p w14:paraId="430FBBB8" w14:textId="77777777" w:rsidR="00524C5E" w:rsidRPr="002029AF" w:rsidRDefault="00524C5E" w:rsidP="007314FC">
            <w:pPr>
              <w:pStyle w:val="ARtabletextright"/>
              <w:spacing w:before="20" w:after="10"/>
            </w:pPr>
          </w:p>
        </w:tc>
        <w:tc>
          <w:tcPr>
            <w:tcW w:w="282" w:type="pct"/>
          </w:tcPr>
          <w:p w14:paraId="4DA14FB2" w14:textId="77777777" w:rsidR="00524C5E" w:rsidRPr="002029AF" w:rsidRDefault="00524C5E" w:rsidP="007314FC">
            <w:pPr>
              <w:pStyle w:val="ARtabletextright"/>
              <w:spacing w:before="20" w:after="10"/>
            </w:pPr>
          </w:p>
        </w:tc>
      </w:tr>
      <w:tr w:rsidR="00524C5E" w:rsidRPr="002029AF" w14:paraId="64C889C2" w14:textId="77777777" w:rsidTr="00524C5E">
        <w:tc>
          <w:tcPr>
            <w:tcW w:w="867" w:type="pct"/>
          </w:tcPr>
          <w:p w14:paraId="50C48DC5" w14:textId="77777777" w:rsidR="00524C5E" w:rsidRPr="002029AF" w:rsidRDefault="00524C5E" w:rsidP="007314FC">
            <w:pPr>
              <w:pStyle w:val="ARtabletext"/>
              <w:spacing w:before="20" w:after="10"/>
            </w:pPr>
            <w:r w:rsidRPr="002029AF">
              <w:t>Women</w:t>
            </w:r>
          </w:p>
        </w:tc>
        <w:tc>
          <w:tcPr>
            <w:tcW w:w="321" w:type="pct"/>
            <w:tcBorders>
              <w:top w:val="single" w:sz="4" w:space="0" w:color="auto"/>
            </w:tcBorders>
          </w:tcPr>
          <w:p w14:paraId="1F7F9D94" w14:textId="77777777" w:rsidR="00524C5E" w:rsidRPr="002029AF" w:rsidRDefault="00524C5E" w:rsidP="007314FC">
            <w:pPr>
              <w:pStyle w:val="ARtabletextright"/>
              <w:spacing w:before="20" w:after="10"/>
            </w:pPr>
            <w:r>
              <w:t>131</w:t>
            </w:r>
          </w:p>
        </w:tc>
        <w:tc>
          <w:tcPr>
            <w:tcW w:w="289" w:type="pct"/>
            <w:tcBorders>
              <w:top w:val="single" w:sz="4" w:space="0" w:color="auto"/>
              <w:right w:val="single" w:sz="4" w:space="0" w:color="auto"/>
            </w:tcBorders>
          </w:tcPr>
          <w:p w14:paraId="7DCCF687" w14:textId="77777777" w:rsidR="00524C5E" w:rsidRPr="002029AF" w:rsidRDefault="00524C5E" w:rsidP="007314FC">
            <w:pPr>
              <w:pStyle w:val="ARtabletextright"/>
              <w:spacing w:before="20" w:after="10"/>
            </w:pPr>
            <w:r>
              <w:t>119.5</w:t>
            </w:r>
          </w:p>
        </w:tc>
        <w:tc>
          <w:tcPr>
            <w:tcW w:w="284" w:type="pct"/>
            <w:tcBorders>
              <w:top w:val="single" w:sz="4" w:space="0" w:color="auto"/>
              <w:left w:val="single" w:sz="4" w:space="0" w:color="auto"/>
            </w:tcBorders>
          </w:tcPr>
          <w:p w14:paraId="3B1A88FD" w14:textId="77777777" w:rsidR="00524C5E" w:rsidRPr="002029AF" w:rsidRDefault="00524C5E" w:rsidP="007314FC">
            <w:pPr>
              <w:pStyle w:val="ARtabletextright"/>
              <w:spacing w:before="20" w:after="10"/>
            </w:pPr>
            <w:r>
              <w:t>75</w:t>
            </w:r>
          </w:p>
        </w:tc>
        <w:tc>
          <w:tcPr>
            <w:tcW w:w="284" w:type="pct"/>
            <w:tcBorders>
              <w:top w:val="single" w:sz="4" w:space="0" w:color="auto"/>
            </w:tcBorders>
          </w:tcPr>
          <w:p w14:paraId="040613C7" w14:textId="77777777" w:rsidR="00524C5E" w:rsidRPr="002029AF" w:rsidRDefault="00524C5E" w:rsidP="007314FC">
            <w:pPr>
              <w:pStyle w:val="ARtabletextright"/>
              <w:spacing w:before="20" w:after="10"/>
            </w:pPr>
            <w:r>
              <w:t>30</w:t>
            </w:r>
          </w:p>
        </w:tc>
        <w:tc>
          <w:tcPr>
            <w:tcW w:w="286" w:type="pct"/>
            <w:tcBorders>
              <w:top w:val="single" w:sz="4" w:space="0" w:color="auto"/>
              <w:right w:val="single" w:sz="4" w:space="0" w:color="auto"/>
            </w:tcBorders>
          </w:tcPr>
          <w:p w14:paraId="78315FCE" w14:textId="77777777" w:rsidR="00524C5E" w:rsidRPr="002029AF" w:rsidRDefault="00524C5E" w:rsidP="007314FC">
            <w:pPr>
              <w:pStyle w:val="ARtabletextright"/>
              <w:spacing w:before="20" w:after="10"/>
            </w:pPr>
            <w:r>
              <w:t>96.4</w:t>
            </w:r>
          </w:p>
        </w:tc>
        <w:tc>
          <w:tcPr>
            <w:tcW w:w="321" w:type="pct"/>
            <w:tcBorders>
              <w:top w:val="single" w:sz="4" w:space="0" w:color="auto"/>
              <w:left w:val="single" w:sz="4" w:space="0" w:color="auto"/>
            </w:tcBorders>
          </w:tcPr>
          <w:p w14:paraId="1935499D" w14:textId="77777777" w:rsidR="00524C5E" w:rsidRPr="002029AF" w:rsidRDefault="00524C5E" w:rsidP="007314FC">
            <w:pPr>
              <w:pStyle w:val="ARtabletextright"/>
              <w:spacing w:before="20" w:after="10"/>
            </w:pPr>
            <w:r>
              <w:t>26</w:t>
            </w:r>
          </w:p>
        </w:tc>
        <w:tc>
          <w:tcPr>
            <w:tcW w:w="285" w:type="pct"/>
            <w:tcBorders>
              <w:top w:val="single" w:sz="4" w:space="0" w:color="auto"/>
              <w:right w:val="single" w:sz="4" w:space="0" w:color="auto"/>
            </w:tcBorders>
          </w:tcPr>
          <w:p w14:paraId="2C55D58B" w14:textId="77777777" w:rsidR="00524C5E" w:rsidRPr="002029AF" w:rsidRDefault="00524C5E" w:rsidP="007314FC">
            <w:pPr>
              <w:pStyle w:val="ARtabletextright"/>
              <w:spacing w:before="20" w:after="10"/>
            </w:pPr>
            <w:r>
              <w:t>23.2</w:t>
            </w:r>
          </w:p>
        </w:tc>
        <w:tc>
          <w:tcPr>
            <w:tcW w:w="321" w:type="pct"/>
            <w:tcBorders>
              <w:top w:val="single" w:sz="4" w:space="0" w:color="auto"/>
              <w:left w:val="single" w:sz="4" w:space="0" w:color="auto"/>
            </w:tcBorders>
          </w:tcPr>
          <w:p w14:paraId="73EDF03D" w14:textId="77777777" w:rsidR="00524C5E" w:rsidRPr="002029AF" w:rsidRDefault="00524C5E" w:rsidP="007314FC">
            <w:pPr>
              <w:pStyle w:val="ARtabletextright"/>
              <w:spacing w:before="20" w:after="10"/>
            </w:pPr>
            <w:r w:rsidRPr="002029AF">
              <w:t>109</w:t>
            </w:r>
          </w:p>
        </w:tc>
        <w:tc>
          <w:tcPr>
            <w:tcW w:w="285" w:type="pct"/>
            <w:tcBorders>
              <w:top w:val="single" w:sz="4" w:space="0" w:color="auto"/>
              <w:right w:val="single" w:sz="4" w:space="0" w:color="auto"/>
            </w:tcBorders>
          </w:tcPr>
          <w:p w14:paraId="0A263D96" w14:textId="77777777" w:rsidR="00524C5E" w:rsidRPr="002029AF" w:rsidRDefault="00524C5E" w:rsidP="007314FC">
            <w:pPr>
              <w:pStyle w:val="ARtabletextright"/>
              <w:spacing w:before="20" w:after="10"/>
            </w:pPr>
            <w:r w:rsidRPr="002029AF">
              <w:t>97.9</w:t>
            </w:r>
          </w:p>
        </w:tc>
        <w:tc>
          <w:tcPr>
            <w:tcW w:w="284" w:type="pct"/>
            <w:tcBorders>
              <w:top w:val="single" w:sz="4" w:space="0" w:color="auto"/>
              <w:left w:val="single" w:sz="4" w:space="0" w:color="auto"/>
            </w:tcBorders>
          </w:tcPr>
          <w:p w14:paraId="78156CD8" w14:textId="77777777" w:rsidR="00524C5E" w:rsidRPr="002029AF" w:rsidRDefault="00524C5E" w:rsidP="007314FC">
            <w:pPr>
              <w:pStyle w:val="ARtabletextright"/>
              <w:spacing w:before="20" w:after="10"/>
            </w:pPr>
            <w:r w:rsidRPr="002029AF">
              <w:t>57</w:t>
            </w:r>
          </w:p>
        </w:tc>
        <w:tc>
          <w:tcPr>
            <w:tcW w:w="284" w:type="pct"/>
            <w:tcBorders>
              <w:top w:val="single" w:sz="4" w:space="0" w:color="auto"/>
            </w:tcBorders>
          </w:tcPr>
          <w:p w14:paraId="68FD9400" w14:textId="77777777" w:rsidR="00524C5E" w:rsidRPr="002029AF" w:rsidRDefault="00524C5E" w:rsidP="007314FC">
            <w:pPr>
              <w:pStyle w:val="ARtabletextright"/>
              <w:spacing w:before="20" w:after="10"/>
            </w:pPr>
            <w:r w:rsidRPr="002029AF">
              <w:t>30</w:t>
            </w:r>
          </w:p>
        </w:tc>
        <w:tc>
          <w:tcPr>
            <w:tcW w:w="286" w:type="pct"/>
            <w:tcBorders>
              <w:top w:val="single" w:sz="4" w:space="0" w:color="auto"/>
              <w:right w:val="single" w:sz="4" w:space="0" w:color="auto"/>
            </w:tcBorders>
          </w:tcPr>
          <w:p w14:paraId="6323B5D0" w14:textId="77777777" w:rsidR="00524C5E" w:rsidRPr="002029AF" w:rsidRDefault="00524C5E" w:rsidP="007314FC">
            <w:pPr>
              <w:pStyle w:val="ARtabletextright"/>
              <w:spacing w:before="20" w:after="10"/>
            </w:pPr>
            <w:r w:rsidRPr="002029AF">
              <w:t>77.3</w:t>
            </w:r>
          </w:p>
        </w:tc>
        <w:tc>
          <w:tcPr>
            <w:tcW w:w="321" w:type="pct"/>
            <w:tcBorders>
              <w:left w:val="single" w:sz="4" w:space="0" w:color="auto"/>
            </w:tcBorders>
          </w:tcPr>
          <w:p w14:paraId="6C02E964" w14:textId="77777777" w:rsidR="00524C5E" w:rsidRPr="002029AF" w:rsidRDefault="00524C5E" w:rsidP="007314FC">
            <w:pPr>
              <w:pStyle w:val="ARtabletextright"/>
              <w:spacing w:before="20" w:after="10"/>
            </w:pPr>
            <w:r w:rsidRPr="002029AF">
              <w:t>22</w:t>
            </w:r>
          </w:p>
        </w:tc>
        <w:tc>
          <w:tcPr>
            <w:tcW w:w="282" w:type="pct"/>
          </w:tcPr>
          <w:p w14:paraId="46C092B2" w14:textId="77777777" w:rsidR="00524C5E" w:rsidRPr="002029AF" w:rsidRDefault="00524C5E" w:rsidP="007314FC">
            <w:pPr>
              <w:pStyle w:val="ARtabletextright"/>
              <w:spacing w:before="20" w:after="10"/>
            </w:pPr>
            <w:r w:rsidRPr="002029AF">
              <w:t>20.6</w:t>
            </w:r>
          </w:p>
        </w:tc>
      </w:tr>
      <w:tr w:rsidR="00524C5E" w:rsidRPr="002029AF" w14:paraId="4CDD1760" w14:textId="77777777" w:rsidTr="00524C5E">
        <w:tc>
          <w:tcPr>
            <w:tcW w:w="867" w:type="pct"/>
            <w:hideMark/>
          </w:tcPr>
          <w:p w14:paraId="7C59C22C" w14:textId="77777777" w:rsidR="00524C5E" w:rsidRPr="002029AF" w:rsidRDefault="00524C5E" w:rsidP="007314FC">
            <w:pPr>
              <w:pStyle w:val="ARtabletext"/>
              <w:spacing w:before="20" w:after="10"/>
            </w:pPr>
            <w:r w:rsidRPr="002029AF">
              <w:t>Men</w:t>
            </w:r>
          </w:p>
        </w:tc>
        <w:tc>
          <w:tcPr>
            <w:tcW w:w="321" w:type="pct"/>
            <w:tcBorders>
              <w:top w:val="single" w:sz="4" w:space="0" w:color="auto"/>
            </w:tcBorders>
          </w:tcPr>
          <w:p w14:paraId="1A7B0500" w14:textId="77777777" w:rsidR="00524C5E" w:rsidRPr="002029AF" w:rsidRDefault="00524C5E" w:rsidP="007314FC">
            <w:pPr>
              <w:pStyle w:val="ARtabletextright"/>
              <w:spacing w:before="20" w:after="10"/>
            </w:pPr>
            <w:r>
              <w:t>15</w:t>
            </w:r>
          </w:p>
        </w:tc>
        <w:tc>
          <w:tcPr>
            <w:tcW w:w="289" w:type="pct"/>
            <w:tcBorders>
              <w:top w:val="single" w:sz="4" w:space="0" w:color="auto"/>
              <w:right w:val="single" w:sz="4" w:space="0" w:color="auto"/>
            </w:tcBorders>
          </w:tcPr>
          <w:p w14:paraId="7C7BA3F1" w14:textId="77777777" w:rsidR="00524C5E" w:rsidRPr="002029AF" w:rsidRDefault="00524C5E" w:rsidP="007314FC">
            <w:pPr>
              <w:pStyle w:val="ARtabletextright"/>
              <w:spacing w:before="20" w:after="10"/>
            </w:pPr>
            <w:r>
              <w:t>14.5</w:t>
            </w:r>
          </w:p>
        </w:tc>
        <w:tc>
          <w:tcPr>
            <w:tcW w:w="284" w:type="pct"/>
            <w:tcBorders>
              <w:top w:val="single" w:sz="4" w:space="0" w:color="auto"/>
              <w:left w:val="single" w:sz="4" w:space="0" w:color="auto"/>
            </w:tcBorders>
          </w:tcPr>
          <w:p w14:paraId="2E4D57AD" w14:textId="77777777" w:rsidR="00524C5E" w:rsidRPr="002029AF" w:rsidRDefault="00524C5E" w:rsidP="007314FC">
            <w:pPr>
              <w:pStyle w:val="ARtabletextright"/>
              <w:spacing w:before="20" w:after="10"/>
            </w:pPr>
            <w:r>
              <w:t>9</w:t>
            </w:r>
          </w:p>
        </w:tc>
        <w:tc>
          <w:tcPr>
            <w:tcW w:w="284" w:type="pct"/>
            <w:tcBorders>
              <w:top w:val="single" w:sz="4" w:space="0" w:color="auto"/>
            </w:tcBorders>
          </w:tcPr>
          <w:p w14:paraId="68295CE4" w14:textId="77777777" w:rsidR="00524C5E" w:rsidRPr="002029AF" w:rsidRDefault="00524C5E" w:rsidP="007314FC">
            <w:pPr>
              <w:pStyle w:val="ARtabletextright"/>
              <w:spacing w:before="20" w:after="10"/>
            </w:pPr>
            <w:r>
              <w:t>1</w:t>
            </w:r>
          </w:p>
        </w:tc>
        <w:tc>
          <w:tcPr>
            <w:tcW w:w="286" w:type="pct"/>
            <w:tcBorders>
              <w:top w:val="single" w:sz="4" w:space="0" w:color="auto"/>
              <w:right w:val="single" w:sz="4" w:space="0" w:color="auto"/>
            </w:tcBorders>
          </w:tcPr>
          <w:p w14:paraId="15DD76E4" w14:textId="77777777" w:rsidR="00524C5E" w:rsidRPr="002029AF" w:rsidRDefault="00524C5E" w:rsidP="007314FC">
            <w:pPr>
              <w:pStyle w:val="ARtabletextright"/>
              <w:spacing w:before="20" w:after="10"/>
            </w:pPr>
            <w:r>
              <w:t>9.5</w:t>
            </w:r>
          </w:p>
        </w:tc>
        <w:tc>
          <w:tcPr>
            <w:tcW w:w="321" w:type="pct"/>
            <w:tcBorders>
              <w:top w:val="single" w:sz="4" w:space="0" w:color="auto"/>
              <w:left w:val="single" w:sz="4" w:space="0" w:color="auto"/>
            </w:tcBorders>
          </w:tcPr>
          <w:p w14:paraId="6C26B70E" w14:textId="77777777" w:rsidR="00524C5E" w:rsidRPr="002029AF" w:rsidRDefault="00524C5E" w:rsidP="007314FC">
            <w:pPr>
              <w:pStyle w:val="ARtabletextright"/>
              <w:spacing w:before="20" w:after="10"/>
            </w:pPr>
            <w:r>
              <w:t>5</w:t>
            </w:r>
          </w:p>
        </w:tc>
        <w:tc>
          <w:tcPr>
            <w:tcW w:w="285" w:type="pct"/>
            <w:tcBorders>
              <w:top w:val="single" w:sz="4" w:space="0" w:color="auto"/>
              <w:right w:val="single" w:sz="4" w:space="0" w:color="auto"/>
            </w:tcBorders>
          </w:tcPr>
          <w:p w14:paraId="24499710" w14:textId="77777777" w:rsidR="00524C5E" w:rsidRPr="002029AF" w:rsidRDefault="00524C5E" w:rsidP="007314FC">
            <w:pPr>
              <w:pStyle w:val="ARtabletextright"/>
              <w:spacing w:before="20" w:after="10"/>
            </w:pPr>
            <w:r>
              <w:t>5.0</w:t>
            </w:r>
          </w:p>
        </w:tc>
        <w:tc>
          <w:tcPr>
            <w:tcW w:w="321" w:type="pct"/>
            <w:tcBorders>
              <w:top w:val="single" w:sz="4" w:space="0" w:color="auto"/>
              <w:left w:val="single" w:sz="4" w:space="0" w:color="auto"/>
            </w:tcBorders>
            <w:hideMark/>
          </w:tcPr>
          <w:p w14:paraId="363507C5" w14:textId="77777777" w:rsidR="00524C5E" w:rsidRPr="002029AF" w:rsidRDefault="00524C5E" w:rsidP="007314FC">
            <w:pPr>
              <w:pStyle w:val="ARtabletextright"/>
              <w:spacing w:before="20" w:after="10"/>
            </w:pPr>
            <w:r w:rsidRPr="002029AF">
              <w:t>16</w:t>
            </w:r>
          </w:p>
        </w:tc>
        <w:tc>
          <w:tcPr>
            <w:tcW w:w="285" w:type="pct"/>
            <w:tcBorders>
              <w:top w:val="single" w:sz="4" w:space="0" w:color="auto"/>
              <w:right w:val="single" w:sz="4" w:space="0" w:color="auto"/>
            </w:tcBorders>
            <w:hideMark/>
          </w:tcPr>
          <w:p w14:paraId="2B77EAEE" w14:textId="77777777" w:rsidR="00524C5E" w:rsidRPr="002029AF" w:rsidRDefault="00524C5E" w:rsidP="007314FC">
            <w:pPr>
              <w:pStyle w:val="ARtabletextright"/>
              <w:spacing w:before="20" w:after="10"/>
            </w:pPr>
            <w:r w:rsidRPr="002029AF">
              <w:t>15.1</w:t>
            </w:r>
          </w:p>
        </w:tc>
        <w:tc>
          <w:tcPr>
            <w:tcW w:w="284" w:type="pct"/>
            <w:tcBorders>
              <w:top w:val="single" w:sz="4" w:space="0" w:color="auto"/>
              <w:left w:val="single" w:sz="4" w:space="0" w:color="auto"/>
            </w:tcBorders>
            <w:hideMark/>
          </w:tcPr>
          <w:p w14:paraId="327C888D" w14:textId="77777777" w:rsidR="00524C5E" w:rsidRPr="002029AF" w:rsidRDefault="00524C5E" w:rsidP="007314FC">
            <w:pPr>
              <w:pStyle w:val="ARtabletextright"/>
              <w:spacing w:before="20" w:after="10"/>
            </w:pPr>
            <w:r w:rsidRPr="002029AF">
              <w:t>7</w:t>
            </w:r>
          </w:p>
        </w:tc>
        <w:tc>
          <w:tcPr>
            <w:tcW w:w="284" w:type="pct"/>
            <w:tcBorders>
              <w:top w:val="single" w:sz="4" w:space="0" w:color="auto"/>
            </w:tcBorders>
            <w:hideMark/>
          </w:tcPr>
          <w:p w14:paraId="6E8F45C3" w14:textId="77777777" w:rsidR="00524C5E" w:rsidRPr="002029AF" w:rsidRDefault="00524C5E" w:rsidP="007314FC">
            <w:pPr>
              <w:pStyle w:val="ARtabletextright"/>
              <w:spacing w:before="20" w:after="10"/>
            </w:pPr>
            <w:r w:rsidRPr="002029AF">
              <w:t>3</w:t>
            </w:r>
          </w:p>
        </w:tc>
        <w:tc>
          <w:tcPr>
            <w:tcW w:w="286" w:type="pct"/>
            <w:tcBorders>
              <w:top w:val="single" w:sz="4" w:space="0" w:color="auto"/>
              <w:right w:val="single" w:sz="4" w:space="0" w:color="auto"/>
            </w:tcBorders>
            <w:hideMark/>
          </w:tcPr>
          <w:p w14:paraId="0974410E" w14:textId="77777777" w:rsidR="00524C5E" w:rsidRPr="002029AF" w:rsidRDefault="00524C5E" w:rsidP="007314FC">
            <w:pPr>
              <w:pStyle w:val="ARtabletextright"/>
              <w:spacing w:before="20" w:after="10"/>
            </w:pPr>
            <w:r w:rsidRPr="002029AF">
              <w:t>9.1</w:t>
            </w:r>
          </w:p>
        </w:tc>
        <w:tc>
          <w:tcPr>
            <w:tcW w:w="321" w:type="pct"/>
            <w:tcBorders>
              <w:left w:val="single" w:sz="4" w:space="0" w:color="auto"/>
            </w:tcBorders>
            <w:hideMark/>
          </w:tcPr>
          <w:p w14:paraId="4BF06943" w14:textId="77777777" w:rsidR="00524C5E" w:rsidRPr="002029AF" w:rsidRDefault="00524C5E" w:rsidP="007314FC">
            <w:pPr>
              <w:pStyle w:val="ARtabletextright"/>
              <w:spacing w:before="20" w:after="10"/>
            </w:pPr>
            <w:r w:rsidRPr="002029AF">
              <w:t>6</w:t>
            </w:r>
          </w:p>
        </w:tc>
        <w:tc>
          <w:tcPr>
            <w:tcW w:w="282" w:type="pct"/>
            <w:hideMark/>
          </w:tcPr>
          <w:p w14:paraId="61030B80" w14:textId="77777777" w:rsidR="00524C5E" w:rsidRPr="002029AF" w:rsidRDefault="00524C5E" w:rsidP="007314FC">
            <w:pPr>
              <w:pStyle w:val="ARtabletextright"/>
              <w:spacing w:before="20" w:after="10"/>
            </w:pPr>
            <w:r w:rsidRPr="002029AF">
              <w:t>6</w:t>
            </w:r>
          </w:p>
        </w:tc>
      </w:tr>
      <w:tr w:rsidR="00524C5E" w:rsidRPr="002029AF" w14:paraId="03B9EAEE" w14:textId="77777777" w:rsidTr="00524C5E">
        <w:tc>
          <w:tcPr>
            <w:tcW w:w="867" w:type="pct"/>
            <w:hideMark/>
          </w:tcPr>
          <w:p w14:paraId="58D68A9A" w14:textId="77777777" w:rsidR="00524C5E" w:rsidRPr="002029AF" w:rsidRDefault="00524C5E" w:rsidP="007314FC">
            <w:pPr>
              <w:pStyle w:val="ARtabletext"/>
              <w:spacing w:before="20" w:after="10"/>
            </w:pPr>
            <w:r w:rsidRPr="002029AF">
              <w:t>Self-described</w:t>
            </w:r>
          </w:p>
        </w:tc>
        <w:tc>
          <w:tcPr>
            <w:tcW w:w="321" w:type="pct"/>
            <w:tcBorders>
              <w:top w:val="single" w:sz="4" w:space="0" w:color="auto"/>
            </w:tcBorders>
          </w:tcPr>
          <w:p w14:paraId="39900FC9" w14:textId="03F64C4E" w:rsidR="00524C5E" w:rsidRPr="006C72E5" w:rsidRDefault="00524C5E" w:rsidP="007314FC">
            <w:pPr>
              <w:pStyle w:val="ARtabletextright"/>
              <w:spacing w:before="20" w:after="10"/>
              <w:rPr>
                <w:rStyle w:val="FootnoteReference"/>
              </w:rPr>
            </w:pPr>
            <w:r>
              <w:t>na</w:t>
            </w:r>
            <w:r w:rsidR="006C72E5">
              <w:rPr>
                <w:rStyle w:val="FootnoteReference"/>
              </w:rPr>
              <w:t>(</w:t>
            </w:r>
            <w:r w:rsidR="007314FC">
              <w:rPr>
                <w:rStyle w:val="FootnoteReference"/>
              </w:rPr>
              <w:footnoteReference w:id="24"/>
            </w:r>
            <w:r w:rsidR="006C72E5">
              <w:rPr>
                <w:rStyle w:val="FootnoteReference"/>
              </w:rPr>
              <w:t>)</w:t>
            </w:r>
          </w:p>
        </w:tc>
        <w:tc>
          <w:tcPr>
            <w:tcW w:w="289" w:type="pct"/>
            <w:tcBorders>
              <w:top w:val="single" w:sz="4" w:space="0" w:color="auto"/>
              <w:right w:val="single" w:sz="4" w:space="0" w:color="auto"/>
            </w:tcBorders>
          </w:tcPr>
          <w:p w14:paraId="66BA63B0" w14:textId="77777777" w:rsidR="00524C5E" w:rsidRPr="002029AF" w:rsidRDefault="00524C5E" w:rsidP="007314FC">
            <w:pPr>
              <w:pStyle w:val="ARtabletextright"/>
              <w:spacing w:before="20" w:after="10"/>
            </w:pPr>
            <w:r>
              <w:t>na</w:t>
            </w:r>
          </w:p>
        </w:tc>
        <w:tc>
          <w:tcPr>
            <w:tcW w:w="284" w:type="pct"/>
            <w:tcBorders>
              <w:top w:val="single" w:sz="4" w:space="0" w:color="auto"/>
              <w:left w:val="single" w:sz="4" w:space="0" w:color="auto"/>
            </w:tcBorders>
          </w:tcPr>
          <w:p w14:paraId="178F56B1" w14:textId="77777777" w:rsidR="00524C5E" w:rsidRPr="002029AF" w:rsidRDefault="00524C5E" w:rsidP="007314FC">
            <w:pPr>
              <w:pStyle w:val="ARtabletextright"/>
              <w:spacing w:before="20" w:after="10"/>
            </w:pPr>
            <w:r>
              <w:t>na</w:t>
            </w:r>
          </w:p>
        </w:tc>
        <w:tc>
          <w:tcPr>
            <w:tcW w:w="284" w:type="pct"/>
            <w:tcBorders>
              <w:top w:val="single" w:sz="4" w:space="0" w:color="auto"/>
            </w:tcBorders>
          </w:tcPr>
          <w:p w14:paraId="70FD9286" w14:textId="77777777" w:rsidR="00524C5E" w:rsidRPr="002029AF" w:rsidRDefault="00524C5E" w:rsidP="007314FC">
            <w:pPr>
              <w:pStyle w:val="ARtabletextright"/>
              <w:spacing w:before="20" w:after="10"/>
            </w:pPr>
            <w:r>
              <w:t>na</w:t>
            </w:r>
          </w:p>
        </w:tc>
        <w:tc>
          <w:tcPr>
            <w:tcW w:w="286" w:type="pct"/>
            <w:tcBorders>
              <w:top w:val="single" w:sz="4" w:space="0" w:color="auto"/>
              <w:right w:val="single" w:sz="4" w:space="0" w:color="auto"/>
            </w:tcBorders>
          </w:tcPr>
          <w:p w14:paraId="4AEB10CC" w14:textId="77777777" w:rsidR="00524C5E" w:rsidRPr="002029AF" w:rsidRDefault="00524C5E" w:rsidP="007314FC">
            <w:pPr>
              <w:pStyle w:val="ARtabletextright"/>
              <w:spacing w:before="20" w:after="10"/>
            </w:pPr>
            <w:r>
              <w:t>na</w:t>
            </w:r>
          </w:p>
        </w:tc>
        <w:tc>
          <w:tcPr>
            <w:tcW w:w="321" w:type="pct"/>
            <w:tcBorders>
              <w:top w:val="single" w:sz="4" w:space="0" w:color="auto"/>
              <w:left w:val="single" w:sz="4" w:space="0" w:color="auto"/>
            </w:tcBorders>
          </w:tcPr>
          <w:p w14:paraId="36F02E2A" w14:textId="77777777" w:rsidR="00524C5E" w:rsidRPr="002029AF" w:rsidRDefault="00524C5E" w:rsidP="007314FC">
            <w:pPr>
              <w:pStyle w:val="ARtabletextright"/>
              <w:spacing w:before="20" w:after="10"/>
            </w:pPr>
            <w:r>
              <w:t>na</w:t>
            </w:r>
          </w:p>
        </w:tc>
        <w:tc>
          <w:tcPr>
            <w:tcW w:w="285" w:type="pct"/>
            <w:tcBorders>
              <w:top w:val="single" w:sz="4" w:space="0" w:color="auto"/>
              <w:right w:val="single" w:sz="4" w:space="0" w:color="auto"/>
            </w:tcBorders>
          </w:tcPr>
          <w:p w14:paraId="3727C2BF" w14:textId="44E77F52" w:rsidR="00524C5E" w:rsidRPr="002029AF" w:rsidRDefault="003B64C5" w:rsidP="007314FC">
            <w:pPr>
              <w:pStyle w:val="ARtabletextright"/>
              <w:spacing w:before="20" w:after="10"/>
            </w:pPr>
            <w:r>
              <w:t>n</w:t>
            </w:r>
            <w:r w:rsidR="00524C5E">
              <w:t>a</w:t>
            </w:r>
          </w:p>
        </w:tc>
        <w:tc>
          <w:tcPr>
            <w:tcW w:w="321" w:type="pct"/>
            <w:tcBorders>
              <w:top w:val="single" w:sz="4" w:space="0" w:color="auto"/>
              <w:left w:val="single" w:sz="4" w:space="0" w:color="auto"/>
            </w:tcBorders>
            <w:hideMark/>
          </w:tcPr>
          <w:p w14:paraId="0B66E9CA" w14:textId="77777777" w:rsidR="00524C5E" w:rsidRPr="002029AF" w:rsidRDefault="00524C5E" w:rsidP="007314FC">
            <w:pPr>
              <w:pStyle w:val="ARtabletextright"/>
              <w:spacing w:before="20" w:after="10"/>
            </w:pPr>
            <w:r w:rsidRPr="002029AF">
              <w:t>na</w:t>
            </w:r>
          </w:p>
        </w:tc>
        <w:tc>
          <w:tcPr>
            <w:tcW w:w="285" w:type="pct"/>
            <w:tcBorders>
              <w:top w:val="single" w:sz="4" w:space="0" w:color="auto"/>
              <w:right w:val="single" w:sz="4" w:space="0" w:color="auto"/>
            </w:tcBorders>
            <w:hideMark/>
          </w:tcPr>
          <w:p w14:paraId="06239A0B" w14:textId="77777777" w:rsidR="00524C5E" w:rsidRPr="002029AF" w:rsidRDefault="00524C5E" w:rsidP="007314FC">
            <w:pPr>
              <w:pStyle w:val="ARtabletextright"/>
              <w:spacing w:before="20" w:after="10"/>
            </w:pPr>
            <w:r w:rsidRPr="002029AF">
              <w:t>na</w:t>
            </w:r>
          </w:p>
        </w:tc>
        <w:tc>
          <w:tcPr>
            <w:tcW w:w="284" w:type="pct"/>
            <w:tcBorders>
              <w:top w:val="single" w:sz="4" w:space="0" w:color="auto"/>
              <w:left w:val="single" w:sz="4" w:space="0" w:color="auto"/>
            </w:tcBorders>
            <w:hideMark/>
          </w:tcPr>
          <w:p w14:paraId="1ED93931" w14:textId="77777777" w:rsidR="00524C5E" w:rsidRPr="002029AF" w:rsidRDefault="00524C5E" w:rsidP="007314FC">
            <w:pPr>
              <w:pStyle w:val="ARtabletextright"/>
              <w:spacing w:before="20" w:after="10"/>
            </w:pPr>
            <w:r w:rsidRPr="002029AF">
              <w:t>na</w:t>
            </w:r>
          </w:p>
        </w:tc>
        <w:tc>
          <w:tcPr>
            <w:tcW w:w="284" w:type="pct"/>
            <w:tcBorders>
              <w:top w:val="single" w:sz="4" w:space="0" w:color="auto"/>
            </w:tcBorders>
            <w:hideMark/>
          </w:tcPr>
          <w:p w14:paraId="0E73D230" w14:textId="77777777" w:rsidR="00524C5E" w:rsidRPr="002029AF" w:rsidRDefault="00524C5E" w:rsidP="007314FC">
            <w:pPr>
              <w:pStyle w:val="ARtabletextright"/>
              <w:spacing w:before="20" w:after="10"/>
            </w:pPr>
            <w:r w:rsidRPr="002029AF">
              <w:t>na</w:t>
            </w:r>
          </w:p>
        </w:tc>
        <w:tc>
          <w:tcPr>
            <w:tcW w:w="286" w:type="pct"/>
            <w:tcBorders>
              <w:top w:val="single" w:sz="4" w:space="0" w:color="auto"/>
              <w:right w:val="single" w:sz="4" w:space="0" w:color="auto"/>
            </w:tcBorders>
            <w:hideMark/>
          </w:tcPr>
          <w:p w14:paraId="0C53368F" w14:textId="77777777" w:rsidR="00524C5E" w:rsidRPr="002029AF" w:rsidRDefault="00524C5E" w:rsidP="007314FC">
            <w:pPr>
              <w:pStyle w:val="ARtabletextright"/>
              <w:spacing w:before="20" w:after="10"/>
            </w:pPr>
            <w:r w:rsidRPr="002029AF">
              <w:t>na</w:t>
            </w:r>
          </w:p>
        </w:tc>
        <w:tc>
          <w:tcPr>
            <w:tcW w:w="321" w:type="pct"/>
            <w:tcBorders>
              <w:left w:val="single" w:sz="4" w:space="0" w:color="auto"/>
            </w:tcBorders>
            <w:hideMark/>
          </w:tcPr>
          <w:p w14:paraId="6F60CB7C" w14:textId="77777777" w:rsidR="00524C5E" w:rsidRPr="002029AF" w:rsidRDefault="00524C5E" w:rsidP="007314FC">
            <w:pPr>
              <w:pStyle w:val="ARtabletextright"/>
              <w:spacing w:before="20" w:after="10"/>
            </w:pPr>
            <w:r w:rsidRPr="002029AF">
              <w:t>na</w:t>
            </w:r>
          </w:p>
        </w:tc>
        <w:tc>
          <w:tcPr>
            <w:tcW w:w="282" w:type="pct"/>
            <w:hideMark/>
          </w:tcPr>
          <w:p w14:paraId="6F6B5572" w14:textId="77777777" w:rsidR="00524C5E" w:rsidRPr="002029AF" w:rsidRDefault="00524C5E" w:rsidP="007314FC">
            <w:pPr>
              <w:pStyle w:val="ARtabletextright"/>
              <w:spacing w:before="20" w:after="10"/>
            </w:pPr>
            <w:r w:rsidRPr="002029AF">
              <w:t>na</w:t>
            </w:r>
          </w:p>
        </w:tc>
      </w:tr>
      <w:tr w:rsidR="00524C5E" w:rsidRPr="002029AF" w14:paraId="3238CF78" w14:textId="77777777" w:rsidTr="00524C5E">
        <w:tc>
          <w:tcPr>
            <w:tcW w:w="867" w:type="pct"/>
          </w:tcPr>
          <w:p w14:paraId="0E767153" w14:textId="77777777" w:rsidR="00524C5E" w:rsidRPr="002029AF" w:rsidRDefault="00524C5E" w:rsidP="007314FC">
            <w:pPr>
              <w:pStyle w:val="ARtablesubhead"/>
              <w:spacing w:before="20" w:after="10"/>
            </w:pPr>
            <w:r w:rsidRPr="002029AF">
              <w:t>Age</w:t>
            </w:r>
          </w:p>
        </w:tc>
        <w:tc>
          <w:tcPr>
            <w:tcW w:w="321" w:type="pct"/>
            <w:tcBorders>
              <w:top w:val="single" w:sz="4" w:space="0" w:color="auto"/>
            </w:tcBorders>
          </w:tcPr>
          <w:p w14:paraId="70E62DDA" w14:textId="77777777" w:rsidR="00524C5E" w:rsidRPr="002029AF" w:rsidRDefault="00524C5E" w:rsidP="007314FC">
            <w:pPr>
              <w:pStyle w:val="ARtabletextright"/>
              <w:spacing w:before="20" w:after="10"/>
            </w:pPr>
          </w:p>
        </w:tc>
        <w:tc>
          <w:tcPr>
            <w:tcW w:w="289" w:type="pct"/>
            <w:tcBorders>
              <w:top w:val="single" w:sz="4" w:space="0" w:color="auto"/>
              <w:right w:val="single" w:sz="4" w:space="0" w:color="auto"/>
            </w:tcBorders>
          </w:tcPr>
          <w:p w14:paraId="497A06F2" w14:textId="77777777" w:rsidR="00524C5E" w:rsidRPr="002029AF" w:rsidRDefault="00524C5E" w:rsidP="007314FC">
            <w:pPr>
              <w:pStyle w:val="ARtabletextright"/>
              <w:spacing w:before="20" w:after="10"/>
            </w:pPr>
          </w:p>
        </w:tc>
        <w:tc>
          <w:tcPr>
            <w:tcW w:w="284" w:type="pct"/>
            <w:tcBorders>
              <w:top w:val="single" w:sz="4" w:space="0" w:color="auto"/>
              <w:left w:val="single" w:sz="4" w:space="0" w:color="auto"/>
            </w:tcBorders>
          </w:tcPr>
          <w:p w14:paraId="69694A67" w14:textId="77777777" w:rsidR="00524C5E" w:rsidRPr="002029AF" w:rsidRDefault="00524C5E" w:rsidP="007314FC">
            <w:pPr>
              <w:pStyle w:val="ARtabletextright"/>
              <w:spacing w:before="20" w:after="10"/>
            </w:pPr>
          </w:p>
        </w:tc>
        <w:tc>
          <w:tcPr>
            <w:tcW w:w="284" w:type="pct"/>
            <w:tcBorders>
              <w:top w:val="single" w:sz="4" w:space="0" w:color="auto"/>
            </w:tcBorders>
          </w:tcPr>
          <w:p w14:paraId="07583F1E" w14:textId="77777777" w:rsidR="00524C5E" w:rsidRPr="002029AF" w:rsidRDefault="00524C5E" w:rsidP="007314FC">
            <w:pPr>
              <w:pStyle w:val="ARtabletextright"/>
              <w:spacing w:before="20" w:after="10"/>
            </w:pPr>
          </w:p>
        </w:tc>
        <w:tc>
          <w:tcPr>
            <w:tcW w:w="286" w:type="pct"/>
            <w:tcBorders>
              <w:top w:val="single" w:sz="4" w:space="0" w:color="auto"/>
              <w:right w:val="single" w:sz="4" w:space="0" w:color="auto"/>
            </w:tcBorders>
          </w:tcPr>
          <w:p w14:paraId="5F7A1260" w14:textId="77777777" w:rsidR="00524C5E" w:rsidRPr="002029AF" w:rsidRDefault="00524C5E" w:rsidP="007314FC">
            <w:pPr>
              <w:pStyle w:val="ARtabletextright"/>
              <w:spacing w:before="20" w:after="10"/>
            </w:pPr>
          </w:p>
        </w:tc>
        <w:tc>
          <w:tcPr>
            <w:tcW w:w="321" w:type="pct"/>
            <w:tcBorders>
              <w:top w:val="single" w:sz="4" w:space="0" w:color="auto"/>
              <w:left w:val="single" w:sz="4" w:space="0" w:color="auto"/>
            </w:tcBorders>
          </w:tcPr>
          <w:p w14:paraId="691FDAB8" w14:textId="77777777" w:rsidR="00524C5E" w:rsidRPr="002029AF" w:rsidRDefault="00524C5E" w:rsidP="007314FC">
            <w:pPr>
              <w:pStyle w:val="ARtabletextright"/>
              <w:spacing w:before="20" w:after="10"/>
            </w:pPr>
          </w:p>
        </w:tc>
        <w:tc>
          <w:tcPr>
            <w:tcW w:w="285" w:type="pct"/>
            <w:tcBorders>
              <w:top w:val="single" w:sz="4" w:space="0" w:color="auto"/>
              <w:right w:val="single" w:sz="4" w:space="0" w:color="auto"/>
            </w:tcBorders>
          </w:tcPr>
          <w:p w14:paraId="0616A9A0" w14:textId="77777777" w:rsidR="00524C5E" w:rsidRPr="002029AF" w:rsidRDefault="00524C5E" w:rsidP="007314FC">
            <w:pPr>
              <w:pStyle w:val="ARtabletextright"/>
              <w:spacing w:before="20" w:after="10"/>
            </w:pPr>
          </w:p>
        </w:tc>
        <w:tc>
          <w:tcPr>
            <w:tcW w:w="321" w:type="pct"/>
            <w:tcBorders>
              <w:top w:val="single" w:sz="4" w:space="0" w:color="auto"/>
              <w:left w:val="single" w:sz="4" w:space="0" w:color="auto"/>
            </w:tcBorders>
          </w:tcPr>
          <w:p w14:paraId="2E761E5E" w14:textId="77777777" w:rsidR="00524C5E" w:rsidRPr="002029AF" w:rsidRDefault="00524C5E" w:rsidP="007314FC">
            <w:pPr>
              <w:pStyle w:val="ARtabletextright"/>
              <w:spacing w:before="20" w:after="10"/>
            </w:pPr>
          </w:p>
        </w:tc>
        <w:tc>
          <w:tcPr>
            <w:tcW w:w="285" w:type="pct"/>
            <w:tcBorders>
              <w:top w:val="single" w:sz="4" w:space="0" w:color="auto"/>
              <w:right w:val="single" w:sz="4" w:space="0" w:color="auto"/>
            </w:tcBorders>
          </w:tcPr>
          <w:p w14:paraId="0477BB51" w14:textId="77777777" w:rsidR="00524C5E" w:rsidRPr="002029AF" w:rsidRDefault="00524C5E" w:rsidP="007314FC">
            <w:pPr>
              <w:pStyle w:val="ARtabletextright"/>
              <w:spacing w:before="20" w:after="10"/>
            </w:pPr>
          </w:p>
        </w:tc>
        <w:tc>
          <w:tcPr>
            <w:tcW w:w="284" w:type="pct"/>
            <w:tcBorders>
              <w:top w:val="single" w:sz="4" w:space="0" w:color="auto"/>
              <w:left w:val="single" w:sz="4" w:space="0" w:color="auto"/>
            </w:tcBorders>
          </w:tcPr>
          <w:p w14:paraId="0059CAA0" w14:textId="77777777" w:rsidR="00524C5E" w:rsidRPr="002029AF" w:rsidRDefault="00524C5E" w:rsidP="007314FC">
            <w:pPr>
              <w:pStyle w:val="ARtabletextright"/>
              <w:spacing w:before="20" w:after="10"/>
            </w:pPr>
          </w:p>
        </w:tc>
        <w:tc>
          <w:tcPr>
            <w:tcW w:w="284" w:type="pct"/>
            <w:tcBorders>
              <w:top w:val="single" w:sz="4" w:space="0" w:color="auto"/>
            </w:tcBorders>
          </w:tcPr>
          <w:p w14:paraId="0FBF1872" w14:textId="77777777" w:rsidR="00524C5E" w:rsidRPr="002029AF" w:rsidRDefault="00524C5E" w:rsidP="007314FC">
            <w:pPr>
              <w:pStyle w:val="ARtabletextright"/>
              <w:spacing w:before="20" w:after="10"/>
            </w:pPr>
          </w:p>
        </w:tc>
        <w:tc>
          <w:tcPr>
            <w:tcW w:w="286" w:type="pct"/>
            <w:tcBorders>
              <w:top w:val="single" w:sz="4" w:space="0" w:color="auto"/>
              <w:right w:val="single" w:sz="4" w:space="0" w:color="auto"/>
            </w:tcBorders>
          </w:tcPr>
          <w:p w14:paraId="3119895C" w14:textId="77777777" w:rsidR="00524C5E" w:rsidRPr="002029AF" w:rsidRDefault="00524C5E" w:rsidP="007314FC">
            <w:pPr>
              <w:pStyle w:val="ARtabletextright"/>
              <w:spacing w:before="20" w:after="10"/>
            </w:pPr>
          </w:p>
        </w:tc>
        <w:tc>
          <w:tcPr>
            <w:tcW w:w="321" w:type="pct"/>
            <w:tcBorders>
              <w:left w:val="single" w:sz="4" w:space="0" w:color="auto"/>
            </w:tcBorders>
          </w:tcPr>
          <w:p w14:paraId="3BB75C41" w14:textId="77777777" w:rsidR="00524C5E" w:rsidRPr="002029AF" w:rsidRDefault="00524C5E" w:rsidP="007314FC">
            <w:pPr>
              <w:pStyle w:val="ARtabletextright"/>
              <w:spacing w:before="20" w:after="10"/>
            </w:pPr>
          </w:p>
        </w:tc>
        <w:tc>
          <w:tcPr>
            <w:tcW w:w="282" w:type="pct"/>
          </w:tcPr>
          <w:p w14:paraId="045B00C2" w14:textId="77777777" w:rsidR="00524C5E" w:rsidRPr="002029AF" w:rsidRDefault="00524C5E" w:rsidP="007314FC">
            <w:pPr>
              <w:pStyle w:val="ARtabletextright"/>
              <w:spacing w:before="20" w:after="10"/>
            </w:pPr>
          </w:p>
        </w:tc>
      </w:tr>
      <w:tr w:rsidR="00524C5E" w:rsidRPr="002029AF" w14:paraId="5CC35DAA" w14:textId="77777777" w:rsidTr="00524C5E">
        <w:tc>
          <w:tcPr>
            <w:tcW w:w="867" w:type="pct"/>
            <w:hideMark/>
          </w:tcPr>
          <w:p w14:paraId="487C02E3" w14:textId="77777777" w:rsidR="00524C5E" w:rsidRPr="002029AF" w:rsidRDefault="00524C5E" w:rsidP="007314FC">
            <w:pPr>
              <w:pStyle w:val="ARtabletext"/>
              <w:spacing w:before="20" w:after="10"/>
            </w:pPr>
            <w:r w:rsidRPr="002029AF">
              <w:t>15–24</w:t>
            </w:r>
          </w:p>
        </w:tc>
        <w:tc>
          <w:tcPr>
            <w:tcW w:w="321" w:type="pct"/>
            <w:tcBorders>
              <w:top w:val="single" w:sz="4" w:space="0" w:color="auto"/>
            </w:tcBorders>
          </w:tcPr>
          <w:p w14:paraId="5887A591" w14:textId="77777777" w:rsidR="00524C5E" w:rsidRPr="002029AF" w:rsidRDefault="00524C5E" w:rsidP="007314FC">
            <w:pPr>
              <w:pStyle w:val="ARtabletextright"/>
              <w:spacing w:before="20" w:after="10"/>
            </w:pPr>
            <w:r>
              <w:t>0</w:t>
            </w:r>
          </w:p>
        </w:tc>
        <w:tc>
          <w:tcPr>
            <w:tcW w:w="289" w:type="pct"/>
            <w:tcBorders>
              <w:top w:val="single" w:sz="4" w:space="0" w:color="auto"/>
              <w:right w:val="single" w:sz="4" w:space="0" w:color="auto"/>
            </w:tcBorders>
          </w:tcPr>
          <w:p w14:paraId="66E7831D" w14:textId="77777777" w:rsidR="00524C5E" w:rsidRPr="002029AF" w:rsidRDefault="00524C5E" w:rsidP="007314FC">
            <w:pPr>
              <w:pStyle w:val="ARtabletextright"/>
              <w:spacing w:before="20" w:after="10"/>
            </w:pPr>
            <w:r>
              <w:t>0.0</w:t>
            </w:r>
          </w:p>
        </w:tc>
        <w:tc>
          <w:tcPr>
            <w:tcW w:w="284" w:type="pct"/>
            <w:tcBorders>
              <w:top w:val="single" w:sz="4" w:space="0" w:color="auto"/>
              <w:left w:val="single" w:sz="4" w:space="0" w:color="auto"/>
            </w:tcBorders>
          </w:tcPr>
          <w:p w14:paraId="5A9DEEC3" w14:textId="77777777" w:rsidR="00524C5E" w:rsidRPr="002029AF" w:rsidRDefault="00524C5E" w:rsidP="007314FC">
            <w:pPr>
              <w:pStyle w:val="ARtabletextright"/>
              <w:spacing w:before="20" w:after="10"/>
            </w:pPr>
            <w:r>
              <w:t>0</w:t>
            </w:r>
          </w:p>
        </w:tc>
        <w:tc>
          <w:tcPr>
            <w:tcW w:w="284" w:type="pct"/>
            <w:tcBorders>
              <w:top w:val="single" w:sz="4" w:space="0" w:color="auto"/>
            </w:tcBorders>
          </w:tcPr>
          <w:p w14:paraId="77DD9903" w14:textId="77777777" w:rsidR="00524C5E" w:rsidRPr="002029AF" w:rsidRDefault="00524C5E" w:rsidP="007314FC">
            <w:pPr>
              <w:pStyle w:val="ARtabletextright"/>
              <w:spacing w:before="20" w:after="10"/>
            </w:pPr>
            <w:r>
              <w:t>0</w:t>
            </w:r>
          </w:p>
        </w:tc>
        <w:tc>
          <w:tcPr>
            <w:tcW w:w="286" w:type="pct"/>
            <w:tcBorders>
              <w:top w:val="single" w:sz="4" w:space="0" w:color="auto"/>
              <w:right w:val="single" w:sz="4" w:space="0" w:color="auto"/>
            </w:tcBorders>
          </w:tcPr>
          <w:p w14:paraId="0B43F0B1" w14:textId="77777777" w:rsidR="00524C5E" w:rsidRPr="002029AF" w:rsidRDefault="00524C5E" w:rsidP="007314FC">
            <w:pPr>
              <w:pStyle w:val="ARtabletextright"/>
              <w:spacing w:before="20" w:after="10"/>
            </w:pPr>
            <w:r>
              <w:t>0.0</w:t>
            </w:r>
          </w:p>
        </w:tc>
        <w:tc>
          <w:tcPr>
            <w:tcW w:w="321" w:type="pct"/>
            <w:tcBorders>
              <w:top w:val="single" w:sz="4" w:space="0" w:color="auto"/>
              <w:left w:val="single" w:sz="4" w:space="0" w:color="auto"/>
            </w:tcBorders>
          </w:tcPr>
          <w:p w14:paraId="48757FA8" w14:textId="77777777" w:rsidR="00524C5E" w:rsidRPr="002029AF" w:rsidRDefault="00524C5E" w:rsidP="007314FC">
            <w:pPr>
              <w:pStyle w:val="ARtabletextright"/>
              <w:spacing w:before="20" w:after="10"/>
            </w:pPr>
            <w:r>
              <w:t>0</w:t>
            </w:r>
          </w:p>
        </w:tc>
        <w:tc>
          <w:tcPr>
            <w:tcW w:w="285" w:type="pct"/>
            <w:tcBorders>
              <w:top w:val="single" w:sz="4" w:space="0" w:color="auto"/>
              <w:right w:val="single" w:sz="4" w:space="0" w:color="auto"/>
            </w:tcBorders>
          </w:tcPr>
          <w:p w14:paraId="5EAF2333" w14:textId="77777777" w:rsidR="00524C5E" w:rsidRPr="002029AF" w:rsidRDefault="00524C5E" w:rsidP="007314FC">
            <w:pPr>
              <w:pStyle w:val="ARtabletextright"/>
              <w:spacing w:before="20" w:after="10"/>
            </w:pPr>
            <w:r>
              <w:t>0.0</w:t>
            </w:r>
          </w:p>
        </w:tc>
        <w:tc>
          <w:tcPr>
            <w:tcW w:w="321" w:type="pct"/>
            <w:tcBorders>
              <w:top w:val="single" w:sz="4" w:space="0" w:color="auto"/>
              <w:left w:val="single" w:sz="4" w:space="0" w:color="auto"/>
            </w:tcBorders>
            <w:hideMark/>
          </w:tcPr>
          <w:p w14:paraId="7FE64D31" w14:textId="77777777" w:rsidR="00524C5E" w:rsidRPr="002029AF" w:rsidRDefault="00524C5E" w:rsidP="007314FC">
            <w:pPr>
              <w:pStyle w:val="ARtabletextright"/>
              <w:spacing w:before="20" w:after="10"/>
            </w:pPr>
            <w:r w:rsidRPr="002029AF">
              <w:t>1</w:t>
            </w:r>
          </w:p>
        </w:tc>
        <w:tc>
          <w:tcPr>
            <w:tcW w:w="285" w:type="pct"/>
            <w:tcBorders>
              <w:top w:val="single" w:sz="4" w:space="0" w:color="auto"/>
              <w:right w:val="single" w:sz="4" w:space="0" w:color="auto"/>
            </w:tcBorders>
            <w:hideMark/>
          </w:tcPr>
          <w:p w14:paraId="412C3FB2" w14:textId="77777777" w:rsidR="00524C5E" w:rsidRPr="002029AF" w:rsidRDefault="00524C5E" w:rsidP="007314FC">
            <w:pPr>
              <w:pStyle w:val="ARtabletextright"/>
              <w:spacing w:before="20" w:after="10"/>
            </w:pPr>
            <w:r w:rsidRPr="002029AF">
              <w:t>1</w:t>
            </w:r>
          </w:p>
        </w:tc>
        <w:tc>
          <w:tcPr>
            <w:tcW w:w="284" w:type="pct"/>
            <w:tcBorders>
              <w:top w:val="single" w:sz="4" w:space="0" w:color="auto"/>
              <w:left w:val="single" w:sz="4" w:space="0" w:color="auto"/>
            </w:tcBorders>
            <w:hideMark/>
          </w:tcPr>
          <w:p w14:paraId="599462E8" w14:textId="77777777" w:rsidR="00524C5E" w:rsidRPr="002029AF" w:rsidRDefault="00524C5E" w:rsidP="007314FC">
            <w:pPr>
              <w:pStyle w:val="ARtabletextright"/>
              <w:spacing w:before="20" w:after="10"/>
            </w:pPr>
            <w:r w:rsidRPr="002029AF">
              <w:t>1</w:t>
            </w:r>
          </w:p>
        </w:tc>
        <w:tc>
          <w:tcPr>
            <w:tcW w:w="284" w:type="pct"/>
            <w:tcBorders>
              <w:top w:val="single" w:sz="4" w:space="0" w:color="auto"/>
            </w:tcBorders>
            <w:hideMark/>
          </w:tcPr>
          <w:p w14:paraId="2CA356EB" w14:textId="77777777" w:rsidR="00524C5E" w:rsidRPr="002029AF" w:rsidRDefault="00524C5E" w:rsidP="007314FC">
            <w:pPr>
              <w:pStyle w:val="ARtabletextright"/>
              <w:spacing w:before="20" w:after="10"/>
            </w:pPr>
            <w:r w:rsidRPr="002029AF">
              <w:t>0</w:t>
            </w:r>
          </w:p>
        </w:tc>
        <w:tc>
          <w:tcPr>
            <w:tcW w:w="286" w:type="pct"/>
            <w:tcBorders>
              <w:top w:val="single" w:sz="4" w:space="0" w:color="auto"/>
              <w:right w:val="single" w:sz="4" w:space="0" w:color="auto"/>
            </w:tcBorders>
            <w:hideMark/>
          </w:tcPr>
          <w:p w14:paraId="114A39C9" w14:textId="77777777" w:rsidR="00524C5E" w:rsidRPr="002029AF" w:rsidRDefault="00524C5E" w:rsidP="007314FC">
            <w:pPr>
              <w:pStyle w:val="ARtabletextright"/>
              <w:spacing w:before="20" w:after="10"/>
            </w:pPr>
            <w:r w:rsidRPr="002029AF">
              <w:t>1</w:t>
            </w:r>
          </w:p>
        </w:tc>
        <w:tc>
          <w:tcPr>
            <w:tcW w:w="321" w:type="pct"/>
            <w:tcBorders>
              <w:left w:val="single" w:sz="4" w:space="0" w:color="auto"/>
            </w:tcBorders>
            <w:hideMark/>
          </w:tcPr>
          <w:p w14:paraId="67978146" w14:textId="77777777" w:rsidR="00524C5E" w:rsidRPr="002029AF" w:rsidRDefault="00524C5E" w:rsidP="007314FC">
            <w:pPr>
              <w:pStyle w:val="ARtabletextright"/>
              <w:spacing w:before="20" w:after="10"/>
            </w:pPr>
            <w:r w:rsidRPr="002029AF">
              <w:t>0</w:t>
            </w:r>
          </w:p>
        </w:tc>
        <w:tc>
          <w:tcPr>
            <w:tcW w:w="282" w:type="pct"/>
            <w:hideMark/>
          </w:tcPr>
          <w:p w14:paraId="3A474F8B" w14:textId="77777777" w:rsidR="00524C5E" w:rsidRPr="002029AF" w:rsidRDefault="00524C5E" w:rsidP="007314FC">
            <w:pPr>
              <w:pStyle w:val="ARtabletextright"/>
              <w:spacing w:before="20" w:after="10"/>
            </w:pPr>
            <w:r w:rsidRPr="002029AF">
              <w:t>0</w:t>
            </w:r>
          </w:p>
        </w:tc>
      </w:tr>
      <w:tr w:rsidR="00524C5E" w:rsidRPr="002029AF" w14:paraId="2529A31A" w14:textId="77777777" w:rsidTr="00524C5E">
        <w:tc>
          <w:tcPr>
            <w:tcW w:w="867" w:type="pct"/>
            <w:hideMark/>
          </w:tcPr>
          <w:p w14:paraId="4DED1840" w14:textId="77777777" w:rsidR="00524C5E" w:rsidRPr="002029AF" w:rsidRDefault="00524C5E" w:rsidP="007314FC">
            <w:pPr>
              <w:pStyle w:val="ARtabletext"/>
              <w:spacing w:before="20" w:after="10"/>
            </w:pPr>
            <w:r w:rsidRPr="002029AF">
              <w:t>25–34</w:t>
            </w:r>
          </w:p>
        </w:tc>
        <w:tc>
          <w:tcPr>
            <w:tcW w:w="321" w:type="pct"/>
            <w:tcBorders>
              <w:top w:val="single" w:sz="4" w:space="0" w:color="auto"/>
            </w:tcBorders>
          </w:tcPr>
          <w:p w14:paraId="1BC832C2" w14:textId="77777777" w:rsidR="00524C5E" w:rsidRPr="002029AF" w:rsidRDefault="00524C5E" w:rsidP="007314FC">
            <w:pPr>
              <w:pStyle w:val="ARtabletextright"/>
              <w:spacing w:before="20" w:after="10"/>
            </w:pPr>
            <w:r>
              <w:t>37</w:t>
            </w:r>
          </w:p>
        </w:tc>
        <w:tc>
          <w:tcPr>
            <w:tcW w:w="289" w:type="pct"/>
            <w:tcBorders>
              <w:top w:val="single" w:sz="4" w:space="0" w:color="auto"/>
              <w:right w:val="single" w:sz="4" w:space="0" w:color="auto"/>
            </w:tcBorders>
          </w:tcPr>
          <w:p w14:paraId="6A4FF858" w14:textId="77777777" w:rsidR="00524C5E" w:rsidRPr="002029AF" w:rsidRDefault="00524C5E" w:rsidP="007314FC">
            <w:pPr>
              <w:pStyle w:val="ARtabletextright"/>
              <w:spacing w:before="20" w:after="10"/>
            </w:pPr>
            <w:r>
              <w:t>36.2</w:t>
            </w:r>
          </w:p>
        </w:tc>
        <w:tc>
          <w:tcPr>
            <w:tcW w:w="284" w:type="pct"/>
            <w:tcBorders>
              <w:top w:val="single" w:sz="4" w:space="0" w:color="auto"/>
              <w:left w:val="single" w:sz="4" w:space="0" w:color="auto"/>
            </w:tcBorders>
          </w:tcPr>
          <w:p w14:paraId="18F726D5" w14:textId="77777777" w:rsidR="00524C5E" w:rsidRPr="002029AF" w:rsidRDefault="00524C5E" w:rsidP="007314FC">
            <w:pPr>
              <w:pStyle w:val="ARtabletextright"/>
              <w:spacing w:before="20" w:after="10"/>
            </w:pPr>
            <w:r>
              <w:t>25</w:t>
            </w:r>
          </w:p>
        </w:tc>
        <w:tc>
          <w:tcPr>
            <w:tcW w:w="284" w:type="pct"/>
            <w:tcBorders>
              <w:top w:val="single" w:sz="4" w:space="0" w:color="auto"/>
            </w:tcBorders>
          </w:tcPr>
          <w:p w14:paraId="5C996B34" w14:textId="77777777" w:rsidR="00524C5E" w:rsidRPr="002029AF" w:rsidRDefault="00524C5E" w:rsidP="007314FC">
            <w:pPr>
              <w:pStyle w:val="ARtabletextright"/>
              <w:spacing w:before="20" w:after="10"/>
            </w:pPr>
            <w:r>
              <w:t>4</w:t>
            </w:r>
          </w:p>
        </w:tc>
        <w:tc>
          <w:tcPr>
            <w:tcW w:w="286" w:type="pct"/>
            <w:tcBorders>
              <w:top w:val="single" w:sz="4" w:space="0" w:color="auto"/>
              <w:right w:val="single" w:sz="4" w:space="0" w:color="auto"/>
            </w:tcBorders>
          </w:tcPr>
          <w:p w14:paraId="04B2A214" w14:textId="77777777" w:rsidR="00524C5E" w:rsidRPr="002029AF" w:rsidRDefault="00524C5E" w:rsidP="007314FC">
            <w:pPr>
              <w:pStyle w:val="ARtabletextright"/>
              <w:spacing w:before="20" w:after="10"/>
            </w:pPr>
            <w:r>
              <w:t>28.2</w:t>
            </w:r>
          </w:p>
        </w:tc>
        <w:tc>
          <w:tcPr>
            <w:tcW w:w="321" w:type="pct"/>
            <w:tcBorders>
              <w:top w:val="single" w:sz="4" w:space="0" w:color="auto"/>
              <w:left w:val="single" w:sz="4" w:space="0" w:color="auto"/>
            </w:tcBorders>
          </w:tcPr>
          <w:p w14:paraId="54009A3A" w14:textId="77777777" w:rsidR="00524C5E" w:rsidRPr="002029AF" w:rsidRDefault="00524C5E" w:rsidP="007314FC">
            <w:pPr>
              <w:pStyle w:val="ARtabletextright"/>
              <w:spacing w:before="20" w:after="10"/>
            </w:pPr>
            <w:r>
              <w:t>8</w:t>
            </w:r>
          </w:p>
        </w:tc>
        <w:tc>
          <w:tcPr>
            <w:tcW w:w="285" w:type="pct"/>
            <w:tcBorders>
              <w:top w:val="single" w:sz="4" w:space="0" w:color="auto"/>
              <w:right w:val="single" w:sz="4" w:space="0" w:color="auto"/>
            </w:tcBorders>
          </w:tcPr>
          <w:p w14:paraId="36298F6B" w14:textId="77777777" w:rsidR="00524C5E" w:rsidRPr="002029AF" w:rsidRDefault="00524C5E" w:rsidP="007314FC">
            <w:pPr>
              <w:pStyle w:val="ARtabletextright"/>
              <w:spacing w:before="20" w:after="10"/>
            </w:pPr>
            <w:r>
              <w:t>8.0</w:t>
            </w:r>
          </w:p>
        </w:tc>
        <w:tc>
          <w:tcPr>
            <w:tcW w:w="321" w:type="pct"/>
            <w:tcBorders>
              <w:top w:val="single" w:sz="4" w:space="0" w:color="auto"/>
              <w:left w:val="single" w:sz="4" w:space="0" w:color="auto"/>
            </w:tcBorders>
            <w:hideMark/>
          </w:tcPr>
          <w:p w14:paraId="736FC85F" w14:textId="77777777" w:rsidR="00524C5E" w:rsidRPr="002029AF" w:rsidRDefault="00524C5E" w:rsidP="007314FC">
            <w:pPr>
              <w:pStyle w:val="ARtabletextright"/>
              <w:spacing w:before="20" w:after="10"/>
            </w:pPr>
            <w:r w:rsidRPr="002029AF">
              <w:t>32</w:t>
            </w:r>
          </w:p>
        </w:tc>
        <w:tc>
          <w:tcPr>
            <w:tcW w:w="285" w:type="pct"/>
            <w:tcBorders>
              <w:top w:val="single" w:sz="4" w:space="0" w:color="auto"/>
              <w:right w:val="single" w:sz="4" w:space="0" w:color="auto"/>
            </w:tcBorders>
            <w:hideMark/>
          </w:tcPr>
          <w:p w14:paraId="2266CFD0" w14:textId="77777777" w:rsidR="00524C5E" w:rsidRPr="002029AF" w:rsidRDefault="00524C5E" w:rsidP="007314FC">
            <w:pPr>
              <w:pStyle w:val="ARtabletextright"/>
              <w:spacing w:before="20" w:after="10"/>
            </w:pPr>
            <w:r w:rsidRPr="002029AF">
              <w:t>30.8</w:t>
            </w:r>
          </w:p>
        </w:tc>
        <w:tc>
          <w:tcPr>
            <w:tcW w:w="284" w:type="pct"/>
            <w:tcBorders>
              <w:top w:val="single" w:sz="4" w:space="0" w:color="auto"/>
              <w:left w:val="single" w:sz="4" w:space="0" w:color="auto"/>
            </w:tcBorders>
            <w:hideMark/>
          </w:tcPr>
          <w:p w14:paraId="5D3F163C" w14:textId="77777777" w:rsidR="00524C5E" w:rsidRPr="002029AF" w:rsidRDefault="00524C5E" w:rsidP="007314FC">
            <w:pPr>
              <w:pStyle w:val="ARtabletextright"/>
              <w:spacing w:before="20" w:after="10"/>
            </w:pPr>
            <w:r w:rsidRPr="002029AF">
              <w:t>19</w:t>
            </w:r>
          </w:p>
        </w:tc>
        <w:tc>
          <w:tcPr>
            <w:tcW w:w="284" w:type="pct"/>
            <w:tcBorders>
              <w:top w:val="single" w:sz="4" w:space="0" w:color="auto"/>
            </w:tcBorders>
            <w:hideMark/>
          </w:tcPr>
          <w:p w14:paraId="5844D410" w14:textId="77777777" w:rsidR="00524C5E" w:rsidRPr="002029AF" w:rsidRDefault="00524C5E" w:rsidP="007314FC">
            <w:pPr>
              <w:pStyle w:val="ARtabletextright"/>
              <w:spacing w:before="20" w:after="10"/>
            </w:pPr>
            <w:r w:rsidRPr="002029AF">
              <w:t>3</w:t>
            </w:r>
          </w:p>
        </w:tc>
        <w:tc>
          <w:tcPr>
            <w:tcW w:w="286" w:type="pct"/>
            <w:tcBorders>
              <w:top w:val="single" w:sz="4" w:space="0" w:color="auto"/>
              <w:right w:val="single" w:sz="4" w:space="0" w:color="auto"/>
            </w:tcBorders>
            <w:hideMark/>
          </w:tcPr>
          <w:p w14:paraId="6388429A" w14:textId="77777777" w:rsidR="00524C5E" w:rsidRPr="002029AF" w:rsidRDefault="00524C5E" w:rsidP="007314FC">
            <w:pPr>
              <w:pStyle w:val="ARtabletextright"/>
              <w:spacing w:before="20" w:after="10"/>
            </w:pPr>
            <w:r w:rsidRPr="002029AF">
              <w:t>21</w:t>
            </w:r>
          </w:p>
        </w:tc>
        <w:tc>
          <w:tcPr>
            <w:tcW w:w="321" w:type="pct"/>
            <w:tcBorders>
              <w:left w:val="single" w:sz="4" w:space="0" w:color="auto"/>
            </w:tcBorders>
            <w:hideMark/>
          </w:tcPr>
          <w:p w14:paraId="7D6FF126" w14:textId="77777777" w:rsidR="00524C5E" w:rsidRPr="002029AF" w:rsidRDefault="00524C5E" w:rsidP="007314FC">
            <w:pPr>
              <w:pStyle w:val="ARtabletextright"/>
              <w:spacing w:before="20" w:after="10"/>
            </w:pPr>
            <w:r w:rsidRPr="002029AF">
              <w:t>10</w:t>
            </w:r>
          </w:p>
        </w:tc>
        <w:tc>
          <w:tcPr>
            <w:tcW w:w="282" w:type="pct"/>
            <w:hideMark/>
          </w:tcPr>
          <w:p w14:paraId="4A832B86" w14:textId="77777777" w:rsidR="00524C5E" w:rsidRPr="002029AF" w:rsidRDefault="00524C5E" w:rsidP="007314FC">
            <w:pPr>
              <w:pStyle w:val="ARtabletextright"/>
              <w:spacing w:before="20" w:after="10"/>
            </w:pPr>
            <w:r w:rsidRPr="002029AF">
              <w:t>9.8</w:t>
            </w:r>
          </w:p>
        </w:tc>
      </w:tr>
      <w:tr w:rsidR="00524C5E" w:rsidRPr="002029AF" w14:paraId="261AD09B" w14:textId="77777777" w:rsidTr="00524C5E">
        <w:tc>
          <w:tcPr>
            <w:tcW w:w="867" w:type="pct"/>
            <w:hideMark/>
          </w:tcPr>
          <w:p w14:paraId="4962D3BE" w14:textId="77777777" w:rsidR="00524C5E" w:rsidRPr="002029AF" w:rsidRDefault="00524C5E" w:rsidP="007314FC">
            <w:pPr>
              <w:pStyle w:val="ARtabletext"/>
              <w:spacing w:before="20" w:after="10"/>
            </w:pPr>
            <w:r w:rsidRPr="002029AF">
              <w:t>35–44</w:t>
            </w:r>
          </w:p>
        </w:tc>
        <w:tc>
          <w:tcPr>
            <w:tcW w:w="321" w:type="pct"/>
            <w:tcBorders>
              <w:top w:val="single" w:sz="4" w:space="0" w:color="auto"/>
            </w:tcBorders>
          </w:tcPr>
          <w:p w14:paraId="6F61FBCF" w14:textId="77777777" w:rsidR="00524C5E" w:rsidRPr="002029AF" w:rsidRDefault="00524C5E" w:rsidP="007314FC">
            <w:pPr>
              <w:pStyle w:val="ARtabletextright"/>
              <w:spacing w:before="20" w:after="10"/>
            </w:pPr>
            <w:r>
              <w:t>48</w:t>
            </w:r>
          </w:p>
        </w:tc>
        <w:tc>
          <w:tcPr>
            <w:tcW w:w="289" w:type="pct"/>
            <w:tcBorders>
              <w:top w:val="single" w:sz="4" w:space="0" w:color="auto"/>
              <w:right w:val="single" w:sz="4" w:space="0" w:color="auto"/>
            </w:tcBorders>
          </w:tcPr>
          <w:p w14:paraId="1D062199" w14:textId="77777777" w:rsidR="00524C5E" w:rsidRPr="002029AF" w:rsidRDefault="00524C5E" w:rsidP="007314FC">
            <w:pPr>
              <w:pStyle w:val="ARtabletextright"/>
              <w:spacing w:before="20" w:after="10"/>
            </w:pPr>
            <w:r>
              <w:t>43.7</w:t>
            </w:r>
          </w:p>
        </w:tc>
        <w:tc>
          <w:tcPr>
            <w:tcW w:w="284" w:type="pct"/>
            <w:tcBorders>
              <w:top w:val="single" w:sz="4" w:space="0" w:color="auto"/>
              <w:left w:val="single" w:sz="4" w:space="0" w:color="auto"/>
            </w:tcBorders>
          </w:tcPr>
          <w:p w14:paraId="0F43A58E" w14:textId="77777777" w:rsidR="00524C5E" w:rsidRPr="002029AF" w:rsidRDefault="00524C5E" w:rsidP="007314FC">
            <w:pPr>
              <w:pStyle w:val="ARtabletextright"/>
              <w:spacing w:before="20" w:after="10"/>
            </w:pPr>
            <w:r>
              <w:t>26</w:t>
            </w:r>
          </w:p>
        </w:tc>
        <w:tc>
          <w:tcPr>
            <w:tcW w:w="284" w:type="pct"/>
            <w:tcBorders>
              <w:top w:val="single" w:sz="4" w:space="0" w:color="auto"/>
            </w:tcBorders>
          </w:tcPr>
          <w:p w14:paraId="3132EA31" w14:textId="77777777" w:rsidR="00524C5E" w:rsidRPr="002029AF" w:rsidRDefault="00524C5E" w:rsidP="007314FC">
            <w:pPr>
              <w:pStyle w:val="ARtabletextright"/>
              <w:spacing w:before="20" w:after="10"/>
            </w:pPr>
            <w:r>
              <w:t>9</w:t>
            </w:r>
          </w:p>
        </w:tc>
        <w:tc>
          <w:tcPr>
            <w:tcW w:w="286" w:type="pct"/>
            <w:tcBorders>
              <w:top w:val="single" w:sz="4" w:space="0" w:color="auto"/>
              <w:right w:val="single" w:sz="4" w:space="0" w:color="auto"/>
            </w:tcBorders>
          </w:tcPr>
          <w:p w14:paraId="094F16B9" w14:textId="77777777" w:rsidR="00524C5E" w:rsidRPr="002029AF" w:rsidRDefault="00524C5E" w:rsidP="007314FC">
            <w:pPr>
              <w:pStyle w:val="ARtabletextright"/>
              <w:spacing w:before="20" w:after="10"/>
            </w:pPr>
            <w:r>
              <w:t>31.7</w:t>
            </w:r>
          </w:p>
        </w:tc>
        <w:tc>
          <w:tcPr>
            <w:tcW w:w="321" w:type="pct"/>
            <w:tcBorders>
              <w:top w:val="single" w:sz="4" w:space="0" w:color="auto"/>
              <w:left w:val="single" w:sz="4" w:space="0" w:color="auto"/>
            </w:tcBorders>
          </w:tcPr>
          <w:p w14:paraId="3A275E2C" w14:textId="77777777" w:rsidR="00524C5E" w:rsidRPr="002029AF" w:rsidRDefault="00524C5E" w:rsidP="007314FC">
            <w:pPr>
              <w:pStyle w:val="ARtabletextright"/>
              <w:spacing w:before="20" w:after="10"/>
            </w:pPr>
            <w:r>
              <w:t>13</w:t>
            </w:r>
          </w:p>
        </w:tc>
        <w:tc>
          <w:tcPr>
            <w:tcW w:w="285" w:type="pct"/>
            <w:tcBorders>
              <w:top w:val="single" w:sz="4" w:space="0" w:color="auto"/>
              <w:right w:val="single" w:sz="4" w:space="0" w:color="auto"/>
            </w:tcBorders>
          </w:tcPr>
          <w:p w14:paraId="135482D9" w14:textId="77777777" w:rsidR="00524C5E" w:rsidRPr="002029AF" w:rsidRDefault="00524C5E" w:rsidP="007314FC">
            <w:pPr>
              <w:pStyle w:val="ARtabletextright"/>
              <w:spacing w:before="20" w:after="10"/>
            </w:pPr>
            <w:r>
              <w:t>12.0</w:t>
            </w:r>
          </w:p>
        </w:tc>
        <w:tc>
          <w:tcPr>
            <w:tcW w:w="321" w:type="pct"/>
            <w:tcBorders>
              <w:top w:val="single" w:sz="4" w:space="0" w:color="auto"/>
              <w:left w:val="single" w:sz="4" w:space="0" w:color="auto"/>
            </w:tcBorders>
            <w:hideMark/>
          </w:tcPr>
          <w:p w14:paraId="2C2C6F89" w14:textId="77777777" w:rsidR="00524C5E" w:rsidRPr="002029AF" w:rsidRDefault="00524C5E" w:rsidP="007314FC">
            <w:pPr>
              <w:pStyle w:val="ARtabletextright"/>
              <w:spacing w:before="20" w:after="10"/>
            </w:pPr>
            <w:r w:rsidRPr="002029AF">
              <w:t>45</w:t>
            </w:r>
          </w:p>
        </w:tc>
        <w:tc>
          <w:tcPr>
            <w:tcW w:w="285" w:type="pct"/>
            <w:tcBorders>
              <w:top w:val="single" w:sz="4" w:space="0" w:color="auto"/>
              <w:right w:val="single" w:sz="4" w:space="0" w:color="auto"/>
            </w:tcBorders>
            <w:hideMark/>
          </w:tcPr>
          <w:p w14:paraId="3FBFB728" w14:textId="77777777" w:rsidR="00524C5E" w:rsidRPr="002029AF" w:rsidRDefault="00524C5E" w:rsidP="007314FC">
            <w:pPr>
              <w:pStyle w:val="ARtabletextright"/>
              <w:spacing w:before="20" w:after="10"/>
            </w:pPr>
            <w:r w:rsidRPr="002029AF">
              <w:t>39.4</w:t>
            </w:r>
          </w:p>
        </w:tc>
        <w:tc>
          <w:tcPr>
            <w:tcW w:w="284" w:type="pct"/>
            <w:tcBorders>
              <w:top w:val="single" w:sz="4" w:space="0" w:color="auto"/>
              <w:left w:val="single" w:sz="4" w:space="0" w:color="auto"/>
            </w:tcBorders>
            <w:hideMark/>
          </w:tcPr>
          <w:p w14:paraId="38E251F3" w14:textId="77777777" w:rsidR="00524C5E" w:rsidRPr="002029AF" w:rsidRDefault="00524C5E" w:rsidP="007314FC">
            <w:pPr>
              <w:pStyle w:val="ARtabletextright"/>
              <w:spacing w:before="20" w:after="10"/>
            </w:pPr>
            <w:r w:rsidRPr="002029AF">
              <w:t>22</w:t>
            </w:r>
          </w:p>
        </w:tc>
        <w:tc>
          <w:tcPr>
            <w:tcW w:w="284" w:type="pct"/>
            <w:tcBorders>
              <w:top w:val="single" w:sz="4" w:space="0" w:color="auto"/>
            </w:tcBorders>
            <w:hideMark/>
          </w:tcPr>
          <w:p w14:paraId="5D6E97A4" w14:textId="77777777" w:rsidR="00524C5E" w:rsidRPr="002029AF" w:rsidRDefault="00524C5E" w:rsidP="007314FC">
            <w:pPr>
              <w:pStyle w:val="ARtabletextright"/>
              <w:spacing w:before="20" w:after="10"/>
            </w:pPr>
            <w:r w:rsidRPr="002029AF">
              <w:t>13</w:t>
            </w:r>
          </w:p>
        </w:tc>
        <w:tc>
          <w:tcPr>
            <w:tcW w:w="286" w:type="pct"/>
            <w:tcBorders>
              <w:top w:val="single" w:sz="4" w:space="0" w:color="auto"/>
              <w:right w:val="single" w:sz="4" w:space="0" w:color="auto"/>
            </w:tcBorders>
            <w:hideMark/>
          </w:tcPr>
          <w:p w14:paraId="76BC498A" w14:textId="77777777" w:rsidR="00524C5E" w:rsidRPr="002029AF" w:rsidRDefault="00524C5E" w:rsidP="007314FC">
            <w:pPr>
              <w:pStyle w:val="ARtabletextright"/>
              <w:spacing w:before="20" w:after="10"/>
            </w:pPr>
            <w:r w:rsidRPr="002029AF">
              <w:t>30.6</w:t>
            </w:r>
          </w:p>
        </w:tc>
        <w:tc>
          <w:tcPr>
            <w:tcW w:w="321" w:type="pct"/>
            <w:tcBorders>
              <w:left w:val="single" w:sz="4" w:space="0" w:color="auto"/>
            </w:tcBorders>
            <w:hideMark/>
          </w:tcPr>
          <w:p w14:paraId="305E209B" w14:textId="77777777" w:rsidR="00524C5E" w:rsidRPr="002029AF" w:rsidRDefault="00524C5E" w:rsidP="007314FC">
            <w:pPr>
              <w:pStyle w:val="ARtabletextright"/>
              <w:spacing w:before="20" w:after="10"/>
            </w:pPr>
            <w:r w:rsidRPr="002029AF">
              <w:t>10</w:t>
            </w:r>
          </w:p>
        </w:tc>
        <w:tc>
          <w:tcPr>
            <w:tcW w:w="282" w:type="pct"/>
            <w:hideMark/>
          </w:tcPr>
          <w:p w14:paraId="26159C53" w14:textId="77777777" w:rsidR="00524C5E" w:rsidRPr="002029AF" w:rsidRDefault="00524C5E" w:rsidP="007314FC">
            <w:pPr>
              <w:pStyle w:val="ARtabletextright"/>
              <w:spacing w:before="20" w:after="10"/>
            </w:pPr>
            <w:r w:rsidRPr="002029AF">
              <w:t>8.8</w:t>
            </w:r>
          </w:p>
        </w:tc>
      </w:tr>
      <w:tr w:rsidR="00524C5E" w:rsidRPr="002029AF" w14:paraId="4BA4A871" w14:textId="77777777" w:rsidTr="00524C5E">
        <w:tc>
          <w:tcPr>
            <w:tcW w:w="867" w:type="pct"/>
            <w:hideMark/>
          </w:tcPr>
          <w:p w14:paraId="6DC1837A" w14:textId="77777777" w:rsidR="00524C5E" w:rsidRPr="002029AF" w:rsidRDefault="00524C5E" w:rsidP="007314FC">
            <w:pPr>
              <w:pStyle w:val="ARtabletext"/>
              <w:spacing w:before="20" w:after="10"/>
            </w:pPr>
            <w:r w:rsidRPr="002029AF">
              <w:t>45–54</w:t>
            </w:r>
          </w:p>
        </w:tc>
        <w:tc>
          <w:tcPr>
            <w:tcW w:w="321" w:type="pct"/>
            <w:tcBorders>
              <w:top w:val="single" w:sz="4" w:space="0" w:color="auto"/>
            </w:tcBorders>
          </w:tcPr>
          <w:p w14:paraId="33DDCFDD" w14:textId="77777777" w:rsidR="00524C5E" w:rsidRPr="002029AF" w:rsidRDefault="00524C5E" w:rsidP="007314FC">
            <w:pPr>
              <w:pStyle w:val="ARtabletextright"/>
              <w:spacing w:before="20" w:after="10"/>
            </w:pPr>
            <w:r>
              <w:t>42</w:t>
            </w:r>
          </w:p>
        </w:tc>
        <w:tc>
          <w:tcPr>
            <w:tcW w:w="289" w:type="pct"/>
            <w:tcBorders>
              <w:top w:val="single" w:sz="4" w:space="0" w:color="auto"/>
              <w:right w:val="single" w:sz="4" w:space="0" w:color="auto"/>
            </w:tcBorders>
          </w:tcPr>
          <w:p w14:paraId="5F7C2487" w14:textId="77777777" w:rsidR="00524C5E" w:rsidRPr="002029AF" w:rsidRDefault="00524C5E" w:rsidP="007314FC">
            <w:pPr>
              <w:pStyle w:val="ARtabletextright"/>
              <w:spacing w:before="20" w:after="10"/>
            </w:pPr>
            <w:r>
              <w:t>37.8</w:t>
            </w:r>
          </w:p>
        </w:tc>
        <w:tc>
          <w:tcPr>
            <w:tcW w:w="284" w:type="pct"/>
            <w:tcBorders>
              <w:top w:val="single" w:sz="4" w:space="0" w:color="auto"/>
              <w:left w:val="single" w:sz="4" w:space="0" w:color="auto"/>
            </w:tcBorders>
          </w:tcPr>
          <w:p w14:paraId="389247AE" w14:textId="77777777" w:rsidR="00524C5E" w:rsidRPr="002029AF" w:rsidRDefault="00524C5E" w:rsidP="007314FC">
            <w:pPr>
              <w:pStyle w:val="ARtabletextright"/>
              <w:spacing w:before="20" w:after="10"/>
            </w:pPr>
            <w:r>
              <w:t>24</w:t>
            </w:r>
          </w:p>
        </w:tc>
        <w:tc>
          <w:tcPr>
            <w:tcW w:w="284" w:type="pct"/>
            <w:tcBorders>
              <w:top w:val="single" w:sz="4" w:space="0" w:color="auto"/>
            </w:tcBorders>
          </w:tcPr>
          <w:p w14:paraId="5ED4A29E" w14:textId="77777777" w:rsidR="00524C5E" w:rsidRPr="002029AF" w:rsidRDefault="00524C5E" w:rsidP="007314FC">
            <w:pPr>
              <w:pStyle w:val="ARtabletextright"/>
              <w:spacing w:before="20" w:after="10"/>
            </w:pPr>
            <w:r>
              <w:t>11</w:t>
            </w:r>
          </w:p>
        </w:tc>
        <w:tc>
          <w:tcPr>
            <w:tcW w:w="286" w:type="pct"/>
            <w:tcBorders>
              <w:top w:val="single" w:sz="4" w:space="0" w:color="auto"/>
              <w:right w:val="single" w:sz="4" w:space="0" w:color="auto"/>
            </w:tcBorders>
          </w:tcPr>
          <w:p w14:paraId="1E6F8162" w14:textId="77777777" w:rsidR="00524C5E" w:rsidRPr="002029AF" w:rsidRDefault="00524C5E" w:rsidP="007314FC">
            <w:pPr>
              <w:pStyle w:val="ARtabletextright"/>
              <w:spacing w:before="20" w:after="10"/>
            </w:pPr>
            <w:r>
              <w:t>31.8</w:t>
            </w:r>
          </w:p>
        </w:tc>
        <w:tc>
          <w:tcPr>
            <w:tcW w:w="321" w:type="pct"/>
            <w:tcBorders>
              <w:top w:val="single" w:sz="4" w:space="0" w:color="auto"/>
              <w:left w:val="single" w:sz="4" w:space="0" w:color="auto"/>
            </w:tcBorders>
          </w:tcPr>
          <w:p w14:paraId="36C35B5A" w14:textId="77777777" w:rsidR="00524C5E" w:rsidRPr="002029AF" w:rsidRDefault="00524C5E" w:rsidP="007314FC">
            <w:pPr>
              <w:pStyle w:val="ARtabletextright"/>
              <w:spacing w:before="20" w:after="10"/>
            </w:pPr>
            <w:r>
              <w:t>7</w:t>
            </w:r>
          </w:p>
        </w:tc>
        <w:tc>
          <w:tcPr>
            <w:tcW w:w="285" w:type="pct"/>
            <w:tcBorders>
              <w:top w:val="single" w:sz="4" w:space="0" w:color="auto"/>
              <w:right w:val="single" w:sz="4" w:space="0" w:color="auto"/>
            </w:tcBorders>
          </w:tcPr>
          <w:p w14:paraId="7F9461DC" w14:textId="77777777" w:rsidR="00524C5E" w:rsidRPr="002029AF" w:rsidRDefault="00524C5E" w:rsidP="007314FC">
            <w:pPr>
              <w:pStyle w:val="ARtabletextright"/>
              <w:spacing w:before="20" w:after="10"/>
            </w:pPr>
            <w:r>
              <w:t>6.0</w:t>
            </w:r>
          </w:p>
        </w:tc>
        <w:tc>
          <w:tcPr>
            <w:tcW w:w="321" w:type="pct"/>
            <w:tcBorders>
              <w:top w:val="single" w:sz="4" w:space="0" w:color="auto"/>
              <w:left w:val="single" w:sz="4" w:space="0" w:color="auto"/>
            </w:tcBorders>
            <w:hideMark/>
          </w:tcPr>
          <w:p w14:paraId="7A7B30C6" w14:textId="77777777" w:rsidR="00524C5E" w:rsidRPr="002029AF" w:rsidRDefault="00524C5E" w:rsidP="007314FC">
            <w:pPr>
              <w:pStyle w:val="ARtabletextright"/>
              <w:spacing w:before="20" w:after="10"/>
            </w:pPr>
            <w:r w:rsidRPr="002029AF">
              <w:t>33</w:t>
            </w:r>
          </w:p>
        </w:tc>
        <w:tc>
          <w:tcPr>
            <w:tcW w:w="285" w:type="pct"/>
            <w:tcBorders>
              <w:top w:val="single" w:sz="4" w:space="0" w:color="auto"/>
              <w:right w:val="single" w:sz="4" w:space="0" w:color="auto"/>
            </w:tcBorders>
            <w:hideMark/>
          </w:tcPr>
          <w:p w14:paraId="630B25DF" w14:textId="77777777" w:rsidR="00524C5E" w:rsidRPr="002029AF" w:rsidRDefault="00524C5E" w:rsidP="007314FC">
            <w:pPr>
              <w:pStyle w:val="ARtabletextright"/>
              <w:spacing w:before="20" w:after="10"/>
            </w:pPr>
            <w:r w:rsidRPr="002029AF">
              <w:t>29.5</w:t>
            </w:r>
          </w:p>
        </w:tc>
        <w:tc>
          <w:tcPr>
            <w:tcW w:w="284" w:type="pct"/>
            <w:tcBorders>
              <w:top w:val="single" w:sz="4" w:space="0" w:color="auto"/>
              <w:left w:val="single" w:sz="4" w:space="0" w:color="auto"/>
            </w:tcBorders>
            <w:hideMark/>
          </w:tcPr>
          <w:p w14:paraId="3DB8C549" w14:textId="77777777" w:rsidR="00524C5E" w:rsidRPr="002029AF" w:rsidRDefault="00524C5E" w:rsidP="007314FC">
            <w:pPr>
              <w:pStyle w:val="ARtabletextright"/>
              <w:spacing w:before="20" w:after="10"/>
            </w:pPr>
            <w:r w:rsidRPr="002029AF">
              <w:t>17</w:t>
            </w:r>
          </w:p>
        </w:tc>
        <w:tc>
          <w:tcPr>
            <w:tcW w:w="284" w:type="pct"/>
            <w:tcBorders>
              <w:top w:val="single" w:sz="4" w:space="0" w:color="auto"/>
            </w:tcBorders>
            <w:hideMark/>
          </w:tcPr>
          <w:p w14:paraId="74756339" w14:textId="77777777" w:rsidR="00524C5E" w:rsidRPr="002029AF" w:rsidRDefault="00524C5E" w:rsidP="007314FC">
            <w:pPr>
              <w:pStyle w:val="ARtabletextright"/>
              <w:spacing w:before="20" w:after="10"/>
            </w:pPr>
            <w:r w:rsidRPr="002029AF">
              <w:t>10</w:t>
            </w:r>
          </w:p>
        </w:tc>
        <w:tc>
          <w:tcPr>
            <w:tcW w:w="286" w:type="pct"/>
            <w:tcBorders>
              <w:top w:val="single" w:sz="4" w:space="0" w:color="auto"/>
              <w:right w:val="single" w:sz="4" w:space="0" w:color="auto"/>
            </w:tcBorders>
            <w:hideMark/>
          </w:tcPr>
          <w:p w14:paraId="566C7C83" w14:textId="77777777" w:rsidR="00524C5E" w:rsidRPr="002029AF" w:rsidRDefault="00524C5E" w:rsidP="007314FC">
            <w:pPr>
              <w:pStyle w:val="ARtabletextright"/>
              <w:spacing w:before="20" w:after="10"/>
            </w:pPr>
            <w:r w:rsidRPr="002029AF">
              <w:t>23.5</w:t>
            </w:r>
          </w:p>
        </w:tc>
        <w:tc>
          <w:tcPr>
            <w:tcW w:w="321" w:type="pct"/>
            <w:tcBorders>
              <w:left w:val="single" w:sz="4" w:space="0" w:color="auto"/>
            </w:tcBorders>
            <w:hideMark/>
          </w:tcPr>
          <w:p w14:paraId="1AF1A2B5" w14:textId="77777777" w:rsidR="00524C5E" w:rsidRPr="002029AF" w:rsidRDefault="00524C5E" w:rsidP="007314FC">
            <w:pPr>
              <w:pStyle w:val="ARtabletextright"/>
              <w:spacing w:before="20" w:after="10"/>
            </w:pPr>
            <w:r w:rsidRPr="002029AF">
              <w:t>6</w:t>
            </w:r>
          </w:p>
        </w:tc>
        <w:tc>
          <w:tcPr>
            <w:tcW w:w="282" w:type="pct"/>
            <w:hideMark/>
          </w:tcPr>
          <w:p w14:paraId="42FBA98F" w14:textId="77777777" w:rsidR="00524C5E" w:rsidRPr="002029AF" w:rsidRDefault="00524C5E" w:rsidP="007314FC">
            <w:pPr>
              <w:pStyle w:val="ARtabletextright"/>
              <w:spacing w:before="20" w:after="10"/>
            </w:pPr>
            <w:r w:rsidRPr="002029AF">
              <w:t>6</w:t>
            </w:r>
          </w:p>
        </w:tc>
      </w:tr>
      <w:tr w:rsidR="00524C5E" w:rsidRPr="002029AF" w14:paraId="27044F69" w14:textId="77777777" w:rsidTr="00524C5E">
        <w:tc>
          <w:tcPr>
            <w:tcW w:w="867" w:type="pct"/>
            <w:hideMark/>
          </w:tcPr>
          <w:p w14:paraId="06DEDA8F" w14:textId="77777777" w:rsidR="00524C5E" w:rsidRPr="002029AF" w:rsidRDefault="00524C5E" w:rsidP="007314FC">
            <w:pPr>
              <w:pStyle w:val="ARtabletext"/>
              <w:spacing w:before="20" w:after="10"/>
            </w:pPr>
            <w:r w:rsidRPr="002029AF">
              <w:t>55–64</w:t>
            </w:r>
          </w:p>
        </w:tc>
        <w:tc>
          <w:tcPr>
            <w:tcW w:w="321" w:type="pct"/>
            <w:tcBorders>
              <w:top w:val="single" w:sz="4" w:space="0" w:color="auto"/>
            </w:tcBorders>
          </w:tcPr>
          <w:p w14:paraId="2E735BD1" w14:textId="77777777" w:rsidR="00524C5E" w:rsidRPr="002029AF" w:rsidRDefault="00524C5E" w:rsidP="007314FC">
            <w:pPr>
              <w:pStyle w:val="ARtabletextright"/>
              <w:spacing w:before="20" w:after="10"/>
            </w:pPr>
            <w:r>
              <w:t>17</w:t>
            </w:r>
          </w:p>
        </w:tc>
        <w:tc>
          <w:tcPr>
            <w:tcW w:w="289" w:type="pct"/>
            <w:tcBorders>
              <w:top w:val="single" w:sz="4" w:space="0" w:color="auto"/>
              <w:right w:val="single" w:sz="4" w:space="0" w:color="auto"/>
            </w:tcBorders>
          </w:tcPr>
          <w:p w14:paraId="1A963FCA" w14:textId="77777777" w:rsidR="00524C5E" w:rsidRPr="002029AF" w:rsidRDefault="00524C5E" w:rsidP="007314FC">
            <w:pPr>
              <w:pStyle w:val="ARtabletextright"/>
              <w:spacing w:before="20" w:after="10"/>
            </w:pPr>
            <w:r>
              <w:t>15.1</w:t>
            </w:r>
          </w:p>
        </w:tc>
        <w:tc>
          <w:tcPr>
            <w:tcW w:w="284" w:type="pct"/>
            <w:tcBorders>
              <w:top w:val="single" w:sz="4" w:space="0" w:color="auto"/>
              <w:left w:val="single" w:sz="4" w:space="0" w:color="auto"/>
            </w:tcBorders>
          </w:tcPr>
          <w:p w14:paraId="1119DA37" w14:textId="77777777" w:rsidR="00524C5E" w:rsidRPr="002029AF" w:rsidRDefault="00524C5E" w:rsidP="007314FC">
            <w:pPr>
              <w:pStyle w:val="ARtabletextright"/>
              <w:spacing w:before="20" w:after="10"/>
            </w:pPr>
            <w:r>
              <w:t>9</w:t>
            </w:r>
          </w:p>
        </w:tc>
        <w:tc>
          <w:tcPr>
            <w:tcW w:w="284" w:type="pct"/>
            <w:tcBorders>
              <w:top w:val="single" w:sz="4" w:space="0" w:color="auto"/>
            </w:tcBorders>
          </w:tcPr>
          <w:p w14:paraId="27D51B71" w14:textId="77777777" w:rsidR="00524C5E" w:rsidRPr="002029AF" w:rsidRDefault="00524C5E" w:rsidP="007314FC">
            <w:pPr>
              <w:pStyle w:val="ARtabletextright"/>
              <w:spacing w:before="20" w:after="10"/>
            </w:pPr>
            <w:r>
              <w:t>5</w:t>
            </w:r>
          </w:p>
        </w:tc>
        <w:tc>
          <w:tcPr>
            <w:tcW w:w="286" w:type="pct"/>
            <w:tcBorders>
              <w:top w:val="single" w:sz="4" w:space="0" w:color="auto"/>
              <w:right w:val="single" w:sz="4" w:space="0" w:color="auto"/>
            </w:tcBorders>
          </w:tcPr>
          <w:p w14:paraId="358A7F04" w14:textId="77777777" w:rsidR="00524C5E" w:rsidRPr="002029AF" w:rsidRDefault="00524C5E" w:rsidP="007314FC">
            <w:pPr>
              <w:pStyle w:val="ARtabletextright"/>
              <w:spacing w:before="20" w:after="10"/>
            </w:pPr>
            <w:r>
              <w:t>12.9</w:t>
            </w:r>
          </w:p>
        </w:tc>
        <w:tc>
          <w:tcPr>
            <w:tcW w:w="321" w:type="pct"/>
            <w:tcBorders>
              <w:top w:val="single" w:sz="4" w:space="0" w:color="auto"/>
              <w:left w:val="single" w:sz="4" w:space="0" w:color="auto"/>
            </w:tcBorders>
          </w:tcPr>
          <w:p w14:paraId="1D378270" w14:textId="77777777" w:rsidR="00524C5E" w:rsidRPr="002029AF" w:rsidRDefault="00524C5E" w:rsidP="007314FC">
            <w:pPr>
              <w:pStyle w:val="ARtabletextright"/>
              <w:spacing w:before="20" w:after="10"/>
            </w:pPr>
            <w:r>
              <w:t>3</w:t>
            </w:r>
          </w:p>
        </w:tc>
        <w:tc>
          <w:tcPr>
            <w:tcW w:w="285" w:type="pct"/>
            <w:tcBorders>
              <w:top w:val="single" w:sz="4" w:space="0" w:color="auto"/>
              <w:right w:val="single" w:sz="4" w:space="0" w:color="auto"/>
            </w:tcBorders>
          </w:tcPr>
          <w:p w14:paraId="7593CF30" w14:textId="77777777" w:rsidR="00524C5E" w:rsidRPr="002029AF" w:rsidRDefault="00524C5E" w:rsidP="007314FC">
            <w:pPr>
              <w:pStyle w:val="ARtabletextright"/>
              <w:spacing w:before="20" w:after="10"/>
            </w:pPr>
            <w:r>
              <w:t>2.2</w:t>
            </w:r>
          </w:p>
        </w:tc>
        <w:tc>
          <w:tcPr>
            <w:tcW w:w="321" w:type="pct"/>
            <w:tcBorders>
              <w:top w:val="single" w:sz="4" w:space="0" w:color="auto"/>
              <w:left w:val="single" w:sz="4" w:space="0" w:color="auto"/>
            </w:tcBorders>
            <w:hideMark/>
          </w:tcPr>
          <w:p w14:paraId="42804FBC" w14:textId="77777777" w:rsidR="00524C5E" w:rsidRPr="002029AF" w:rsidRDefault="00524C5E" w:rsidP="007314FC">
            <w:pPr>
              <w:pStyle w:val="ARtabletextright"/>
              <w:spacing w:before="20" w:after="10"/>
            </w:pPr>
            <w:r w:rsidRPr="002029AF">
              <w:t>13</w:t>
            </w:r>
          </w:p>
        </w:tc>
        <w:tc>
          <w:tcPr>
            <w:tcW w:w="285" w:type="pct"/>
            <w:tcBorders>
              <w:top w:val="single" w:sz="4" w:space="0" w:color="auto"/>
              <w:right w:val="single" w:sz="4" w:space="0" w:color="auto"/>
            </w:tcBorders>
            <w:hideMark/>
          </w:tcPr>
          <w:p w14:paraId="4F7FBD55" w14:textId="77777777" w:rsidR="00524C5E" w:rsidRPr="002029AF" w:rsidRDefault="00524C5E" w:rsidP="007314FC">
            <w:pPr>
              <w:pStyle w:val="ARtabletextright"/>
              <w:spacing w:before="20" w:after="10"/>
            </w:pPr>
            <w:r w:rsidRPr="002029AF">
              <w:t>11.5</w:t>
            </w:r>
          </w:p>
        </w:tc>
        <w:tc>
          <w:tcPr>
            <w:tcW w:w="284" w:type="pct"/>
            <w:tcBorders>
              <w:top w:val="single" w:sz="4" w:space="0" w:color="auto"/>
              <w:left w:val="single" w:sz="4" w:space="0" w:color="auto"/>
            </w:tcBorders>
            <w:hideMark/>
          </w:tcPr>
          <w:p w14:paraId="728F3E24" w14:textId="77777777" w:rsidR="00524C5E" w:rsidRPr="002029AF" w:rsidRDefault="00524C5E" w:rsidP="007314FC">
            <w:pPr>
              <w:pStyle w:val="ARtabletextright"/>
              <w:spacing w:before="20" w:after="10"/>
            </w:pPr>
            <w:r w:rsidRPr="002029AF">
              <w:t>5</w:t>
            </w:r>
          </w:p>
        </w:tc>
        <w:tc>
          <w:tcPr>
            <w:tcW w:w="284" w:type="pct"/>
            <w:tcBorders>
              <w:top w:val="single" w:sz="4" w:space="0" w:color="auto"/>
            </w:tcBorders>
            <w:hideMark/>
          </w:tcPr>
          <w:p w14:paraId="7C4FEA3A" w14:textId="77777777" w:rsidR="00524C5E" w:rsidRPr="002029AF" w:rsidRDefault="00524C5E" w:rsidP="007314FC">
            <w:pPr>
              <w:pStyle w:val="ARtabletextright"/>
              <w:spacing w:before="20" w:after="10"/>
            </w:pPr>
            <w:r w:rsidRPr="002029AF">
              <w:t>6</w:t>
            </w:r>
          </w:p>
        </w:tc>
        <w:tc>
          <w:tcPr>
            <w:tcW w:w="286" w:type="pct"/>
            <w:tcBorders>
              <w:top w:val="single" w:sz="4" w:space="0" w:color="auto"/>
              <w:right w:val="single" w:sz="4" w:space="0" w:color="auto"/>
            </w:tcBorders>
            <w:hideMark/>
          </w:tcPr>
          <w:p w14:paraId="20D9BCB7" w14:textId="77777777" w:rsidR="00524C5E" w:rsidRPr="002029AF" w:rsidRDefault="00524C5E" w:rsidP="007314FC">
            <w:pPr>
              <w:pStyle w:val="ARtabletextright"/>
              <w:spacing w:before="20" w:after="10"/>
            </w:pPr>
            <w:r w:rsidRPr="002029AF">
              <w:t>9.5</w:t>
            </w:r>
          </w:p>
        </w:tc>
        <w:tc>
          <w:tcPr>
            <w:tcW w:w="321" w:type="pct"/>
            <w:tcBorders>
              <w:left w:val="single" w:sz="4" w:space="0" w:color="auto"/>
            </w:tcBorders>
            <w:hideMark/>
          </w:tcPr>
          <w:p w14:paraId="5C2985E1" w14:textId="77777777" w:rsidR="00524C5E" w:rsidRPr="002029AF" w:rsidRDefault="00524C5E" w:rsidP="007314FC">
            <w:pPr>
              <w:pStyle w:val="ARtabletextright"/>
              <w:spacing w:before="20" w:after="10"/>
            </w:pPr>
            <w:r w:rsidRPr="002029AF">
              <w:t>2</w:t>
            </w:r>
          </w:p>
        </w:tc>
        <w:tc>
          <w:tcPr>
            <w:tcW w:w="282" w:type="pct"/>
            <w:hideMark/>
          </w:tcPr>
          <w:p w14:paraId="4001FAEE" w14:textId="77777777" w:rsidR="00524C5E" w:rsidRPr="002029AF" w:rsidRDefault="00524C5E" w:rsidP="007314FC">
            <w:pPr>
              <w:pStyle w:val="ARtabletextright"/>
              <w:spacing w:before="20" w:after="10"/>
            </w:pPr>
            <w:r w:rsidRPr="002029AF">
              <w:t>2</w:t>
            </w:r>
          </w:p>
        </w:tc>
      </w:tr>
      <w:tr w:rsidR="00524C5E" w:rsidRPr="002029AF" w14:paraId="7D15DE1B" w14:textId="77777777" w:rsidTr="00524C5E">
        <w:tc>
          <w:tcPr>
            <w:tcW w:w="867" w:type="pct"/>
            <w:hideMark/>
          </w:tcPr>
          <w:p w14:paraId="6B67258A" w14:textId="77777777" w:rsidR="00524C5E" w:rsidRPr="002029AF" w:rsidRDefault="00524C5E" w:rsidP="007314FC">
            <w:pPr>
              <w:pStyle w:val="ARtabletext"/>
              <w:spacing w:before="20" w:after="10"/>
            </w:pPr>
            <w:r w:rsidRPr="002029AF">
              <w:t>65+</w:t>
            </w:r>
          </w:p>
        </w:tc>
        <w:tc>
          <w:tcPr>
            <w:tcW w:w="321" w:type="pct"/>
            <w:tcBorders>
              <w:top w:val="single" w:sz="4" w:space="0" w:color="auto"/>
            </w:tcBorders>
          </w:tcPr>
          <w:p w14:paraId="6F181A63" w14:textId="77777777" w:rsidR="00524C5E" w:rsidRPr="002029AF" w:rsidRDefault="00524C5E" w:rsidP="007314FC">
            <w:pPr>
              <w:pStyle w:val="ARtabletextright"/>
              <w:spacing w:before="20" w:after="10"/>
            </w:pPr>
            <w:r>
              <w:t>2</w:t>
            </w:r>
          </w:p>
        </w:tc>
        <w:tc>
          <w:tcPr>
            <w:tcW w:w="289" w:type="pct"/>
            <w:tcBorders>
              <w:top w:val="single" w:sz="4" w:space="0" w:color="auto"/>
              <w:right w:val="single" w:sz="4" w:space="0" w:color="auto"/>
            </w:tcBorders>
          </w:tcPr>
          <w:p w14:paraId="0AB94087" w14:textId="77777777" w:rsidR="00524C5E" w:rsidRPr="002029AF" w:rsidRDefault="00524C5E" w:rsidP="007314FC">
            <w:pPr>
              <w:pStyle w:val="ARtabletextright"/>
              <w:spacing w:before="20" w:after="10"/>
            </w:pPr>
            <w:r>
              <w:t>1.3</w:t>
            </w:r>
          </w:p>
        </w:tc>
        <w:tc>
          <w:tcPr>
            <w:tcW w:w="284" w:type="pct"/>
            <w:tcBorders>
              <w:top w:val="single" w:sz="4" w:space="0" w:color="auto"/>
              <w:left w:val="single" w:sz="4" w:space="0" w:color="auto"/>
            </w:tcBorders>
          </w:tcPr>
          <w:p w14:paraId="7FED388E" w14:textId="77777777" w:rsidR="00524C5E" w:rsidRPr="002029AF" w:rsidRDefault="00524C5E" w:rsidP="007314FC">
            <w:pPr>
              <w:pStyle w:val="ARtabletextright"/>
              <w:spacing w:before="20" w:after="10"/>
            </w:pPr>
            <w:r>
              <w:t>0</w:t>
            </w:r>
          </w:p>
        </w:tc>
        <w:tc>
          <w:tcPr>
            <w:tcW w:w="284" w:type="pct"/>
            <w:tcBorders>
              <w:top w:val="single" w:sz="4" w:space="0" w:color="auto"/>
            </w:tcBorders>
          </w:tcPr>
          <w:p w14:paraId="4A9FA4A9" w14:textId="77777777" w:rsidR="00524C5E" w:rsidRPr="002029AF" w:rsidRDefault="00524C5E" w:rsidP="007314FC">
            <w:pPr>
              <w:pStyle w:val="ARtabletextright"/>
              <w:spacing w:before="20" w:after="10"/>
            </w:pPr>
            <w:r>
              <w:t>2</w:t>
            </w:r>
          </w:p>
        </w:tc>
        <w:tc>
          <w:tcPr>
            <w:tcW w:w="286" w:type="pct"/>
            <w:tcBorders>
              <w:top w:val="single" w:sz="4" w:space="0" w:color="auto"/>
              <w:right w:val="single" w:sz="4" w:space="0" w:color="auto"/>
            </w:tcBorders>
          </w:tcPr>
          <w:p w14:paraId="697CB1A5" w14:textId="77777777" w:rsidR="00524C5E" w:rsidRPr="002029AF" w:rsidRDefault="00524C5E" w:rsidP="007314FC">
            <w:pPr>
              <w:pStyle w:val="ARtabletextright"/>
              <w:spacing w:before="20" w:after="10"/>
            </w:pPr>
            <w:r>
              <w:t>1.3</w:t>
            </w:r>
          </w:p>
        </w:tc>
        <w:tc>
          <w:tcPr>
            <w:tcW w:w="321" w:type="pct"/>
            <w:tcBorders>
              <w:top w:val="single" w:sz="4" w:space="0" w:color="auto"/>
              <w:left w:val="single" w:sz="4" w:space="0" w:color="auto"/>
            </w:tcBorders>
          </w:tcPr>
          <w:p w14:paraId="6FB8075E" w14:textId="77777777" w:rsidR="00524C5E" w:rsidRPr="002029AF" w:rsidRDefault="00524C5E" w:rsidP="007314FC">
            <w:pPr>
              <w:pStyle w:val="ARtabletextright"/>
              <w:spacing w:before="20" w:after="10"/>
            </w:pPr>
            <w:r>
              <w:t>0</w:t>
            </w:r>
          </w:p>
        </w:tc>
        <w:tc>
          <w:tcPr>
            <w:tcW w:w="285" w:type="pct"/>
            <w:tcBorders>
              <w:top w:val="single" w:sz="4" w:space="0" w:color="auto"/>
              <w:right w:val="single" w:sz="4" w:space="0" w:color="auto"/>
            </w:tcBorders>
          </w:tcPr>
          <w:p w14:paraId="01FF87BB" w14:textId="77777777" w:rsidR="00524C5E" w:rsidRPr="002029AF" w:rsidRDefault="00524C5E" w:rsidP="007314FC">
            <w:pPr>
              <w:pStyle w:val="ARtabletextright"/>
              <w:spacing w:before="20" w:after="10"/>
            </w:pPr>
            <w:r>
              <w:t>0.0</w:t>
            </w:r>
          </w:p>
        </w:tc>
        <w:tc>
          <w:tcPr>
            <w:tcW w:w="321" w:type="pct"/>
            <w:tcBorders>
              <w:top w:val="single" w:sz="4" w:space="0" w:color="auto"/>
              <w:left w:val="single" w:sz="4" w:space="0" w:color="auto"/>
            </w:tcBorders>
            <w:hideMark/>
          </w:tcPr>
          <w:p w14:paraId="4306B7AC" w14:textId="77777777" w:rsidR="00524C5E" w:rsidRPr="002029AF" w:rsidRDefault="00524C5E" w:rsidP="007314FC">
            <w:pPr>
              <w:pStyle w:val="ARtabletextright"/>
              <w:spacing w:before="20" w:after="10"/>
            </w:pPr>
            <w:r w:rsidRPr="002029AF">
              <w:t>1</w:t>
            </w:r>
          </w:p>
        </w:tc>
        <w:tc>
          <w:tcPr>
            <w:tcW w:w="285" w:type="pct"/>
            <w:tcBorders>
              <w:top w:val="single" w:sz="4" w:space="0" w:color="auto"/>
              <w:right w:val="single" w:sz="4" w:space="0" w:color="auto"/>
            </w:tcBorders>
            <w:hideMark/>
          </w:tcPr>
          <w:p w14:paraId="73C117CD" w14:textId="77777777" w:rsidR="00524C5E" w:rsidRPr="002029AF" w:rsidRDefault="00524C5E" w:rsidP="007314FC">
            <w:pPr>
              <w:pStyle w:val="ARtabletextright"/>
              <w:spacing w:before="20" w:after="10"/>
            </w:pPr>
            <w:r w:rsidRPr="002029AF">
              <w:t>0.7</w:t>
            </w:r>
          </w:p>
        </w:tc>
        <w:tc>
          <w:tcPr>
            <w:tcW w:w="284" w:type="pct"/>
            <w:tcBorders>
              <w:top w:val="single" w:sz="4" w:space="0" w:color="auto"/>
              <w:left w:val="single" w:sz="4" w:space="0" w:color="auto"/>
            </w:tcBorders>
            <w:hideMark/>
          </w:tcPr>
          <w:p w14:paraId="51BB0DE8" w14:textId="77777777" w:rsidR="00524C5E" w:rsidRPr="002029AF" w:rsidRDefault="00524C5E" w:rsidP="007314FC">
            <w:pPr>
              <w:pStyle w:val="ARtabletextright"/>
              <w:spacing w:before="20" w:after="10"/>
            </w:pPr>
            <w:r w:rsidRPr="002029AF">
              <w:t>0</w:t>
            </w:r>
          </w:p>
        </w:tc>
        <w:tc>
          <w:tcPr>
            <w:tcW w:w="284" w:type="pct"/>
            <w:tcBorders>
              <w:top w:val="single" w:sz="4" w:space="0" w:color="auto"/>
            </w:tcBorders>
            <w:hideMark/>
          </w:tcPr>
          <w:p w14:paraId="10114FA1" w14:textId="77777777" w:rsidR="00524C5E" w:rsidRPr="002029AF" w:rsidRDefault="00524C5E" w:rsidP="007314FC">
            <w:pPr>
              <w:pStyle w:val="ARtabletextright"/>
              <w:spacing w:before="20" w:after="10"/>
            </w:pPr>
            <w:r w:rsidRPr="002029AF">
              <w:t>1</w:t>
            </w:r>
          </w:p>
        </w:tc>
        <w:tc>
          <w:tcPr>
            <w:tcW w:w="286" w:type="pct"/>
            <w:tcBorders>
              <w:top w:val="single" w:sz="4" w:space="0" w:color="auto"/>
              <w:right w:val="single" w:sz="4" w:space="0" w:color="auto"/>
            </w:tcBorders>
            <w:hideMark/>
          </w:tcPr>
          <w:p w14:paraId="03289EDF" w14:textId="77777777" w:rsidR="00524C5E" w:rsidRPr="002029AF" w:rsidRDefault="00524C5E" w:rsidP="007314FC">
            <w:pPr>
              <w:pStyle w:val="ARtabletextright"/>
              <w:spacing w:before="20" w:after="10"/>
            </w:pPr>
            <w:r w:rsidRPr="002029AF">
              <w:t>0.7</w:t>
            </w:r>
          </w:p>
        </w:tc>
        <w:tc>
          <w:tcPr>
            <w:tcW w:w="321" w:type="pct"/>
            <w:tcBorders>
              <w:left w:val="single" w:sz="4" w:space="0" w:color="auto"/>
            </w:tcBorders>
            <w:hideMark/>
          </w:tcPr>
          <w:p w14:paraId="48637A26" w14:textId="77777777" w:rsidR="00524C5E" w:rsidRPr="002029AF" w:rsidRDefault="00524C5E" w:rsidP="007314FC">
            <w:pPr>
              <w:pStyle w:val="ARtabletextright"/>
              <w:spacing w:before="20" w:after="10"/>
            </w:pPr>
            <w:r w:rsidRPr="002029AF">
              <w:t>0</w:t>
            </w:r>
          </w:p>
        </w:tc>
        <w:tc>
          <w:tcPr>
            <w:tcW w:w="282" w:type="pct"/>
            <w:hideMark/>
          </w:tcPr>
          <w:p w14:paraId="2B51D2EF" w14:textId="77777777" w:rsidR="00524C5E" w:rsidRPr="002029AF" w:rsidRDefault="00524C5E" w:rsidP="007314FC">
            <w:pPr>
              <w:pStyle w:val="ARtabletextright"/>
              <w:spacing w:before="20" w:after="10"/>
            </w:pPr>
            <w:r w:rsidRPr="002029AF">
              <w:t>0</w:t>
            </w:r>
          </w:p>
        </w:tc>
      </w:tr>
      <w:tr w:rsidR="00524C5E" w:rsidRPr="002029AF" w14:paraId="5B1D1BEF" w14:textId="77777777" w:rsidTr="00524C5E">
        <w:tc>
          <w:tcPr>
            <w:tcW w:w="867" w:type="pct"/>
          </w:tcPr>
          <w:p w14:paraId="4AF6B65B" w14:textId="77777777" w:rsidR="00524C5E" w:rsidRPr="002029AF" w:rsidRDefault="00524C5E" w:rsidP="007314FC">
            <w:pPr>
              <w:pStyle w:val="ARtablesubhead"/>
              <w:spacing w:before="20" w:after="10"/>
            </w:pPr>
            <w:r w:rsidRPr="002029AF">
              <w:t>Classification</w:t>
            </w:r>
          </w:p>
        </w:tc>
        <w:tc>
          <w:tcPr>
            <w:tcW w:w="321" w:type="pct"/>
            <w:tcBorders>
              <w:top w:val="single" w:sz="4" w:space="0" w:color="auto"/>
            </w:tcBorders>
          </w:tcPr>
          <w:p w14:paraId="75BEA755" w14:textId="77777777" w:rsidR="00524C5E" w:rsidRPr="002029AF" w:rsidRDefault="00524C5E" w:rsidP="007314FC">
            <w:pPr>
              <w:pStyle w:val="ARtabletextright"/>
              <w:spacing w:before="20" w:after="10"/>
            </w:pPr>
          </w:p>
        </w:tc>
        <w:tc>
          <w:tcPr>
            <w:tcW w:w="289" w:type="pct"/>
            <w:tcBorders>
              <w:top w:val="single" w:sz="4" w:space="0" w:color="auto"/>
              <w:right w:val="single" w:sz="4" w:space="0" w:color="auto"/>
            </w:tcBorders>
          </w:tcPr>
          <w:p w14:paraId="2E2665C3" w14:textId="77777777" w:rsidR="00524C5E" w:rsidRPr="002029AF" w:rsidRDefault="00524C5E" w:rsidP="007314FC">
            <w:pPr>
              <w:pStyle w:val="ARtabletextright"/>
              <w:spacing w:before="20" w:after="10"/>
            </w:pPr>
          </w:p>
        </w:tc>
        <w:tc>
          <w:tcPr>
            <w:tcW w:w="284" w:type="pct"/>
            <w:tcBorders>
              <w:top w:val="single" w:sz="4" w:space="0" w:color="auto"/>
              <w:left w:val="single" w:sz="4" w:space="0" w:color="auto"/>
            </w:tcBorders>
          </w:tcPr>
          <w:p w14:paraId="121AA350" w14:textId="77777777" w:rsidR="00524C5E" w:rsidRPr="002029AF" w:rsidRDefault="00524C5E" w:rsidP="007314FC">
            <w:pPr>
              <w:pStyle w:val="ARtabletextright"/>
              <w:spacing w:before="20" w:after="10"/>
            </w:pPr>
          </w:p>
        </w:tc>
        <w:tc>
          <w:tcPr>
            <w:tcW w:w="284" w:type="pct"/>
            <w:tcBorders>
              <w:top w:val="single" w:sz="4" w:space="0" w:color="auto"/>
            </w:tcBorders>
          </w:tcPr>
          <w:p w14:paraId="22F7F3C1" w14:textId="77777777" w:rsidR="00524C5E" w:rsidRPr="002029AF" w:rsidRDefault="00524C5E" w:rsidP="007314FC">
            <w:pPr>
              <w:pStyle w:val="ARtabletextright"/>
              <w:spacing w:before="20" w:after="10"/>
            </w:pPr>
          </w:p>
        </w:tc>
        <w:tc>
          <w:tcPr>
            <w:tcW w:w="286" w:type="pct"/>
            <w:tcBorders>
              <w:top w:val="single" w:sz="4" w:space="0" w:color="auto"/>
              <w:right w:val="single" w:sz="4" w:space="0" w:color="auto"/>
            </w:tcBorders>
          </w:tcPr>
          <w:p w14:paraId="1D4EF5BA" w14:textId="77777777" w:rsidR="00524C5E" w:rsidRPr="002029AF" w:rsidRDefault="00524C5E" w:rsidP="007314FC">
            <w:pPr>
              <w:pStyle w:val="ARtabletextright"/>
              <w:spacing w:before="20" w:after="10"/>
            </w:pPr>
          </w:p>
        </w:tc>
        <w:tc>
          <w:tcPr>
            <w:tcW w:w="321" w:type="pct"/>
            <w:tcBorders>
              <w:top w:val="single" w:sz="4" w:space="0" w:color="auto"/>
              <w:left w:val="single" w:sz="4" w:space="0" w:color="auto"/>
            </w:tcBorders>
          </w:tcPr>
          <w:p w14:paraId="7935A666" w14:textId="77777777" w:rsidR="00524C5E" w:rsidRPr="002029AF" w:rsidRDefault="00524C5E" w:rsidP="007314FC">
            <w:pPr>
              <w:pStyle w:val="ARtabletextright"/>
              <w:spacing w:before="20" w:after="10"/>
            </w:pPr>
          </w:p>
        </w:tc>
        <w:tc>
          <w:tcPr>
            <w:tcW w:w="285" w:type="pct"/>
            <w:tcBorders>
              <w:top w:val="single" w:sz="4" w:space="0" w:color="auto"/>
              <w:right w:val="single" w:sz="4" w:space="0" w:color="auto"/>
            </w:tcBorders>
          </w:tcPr>
          <w:p w14:paraId="1A3DA259" w14:textId="77777777" w:rsidR="00524C5E" w:rsidRPr="002029AF" w:rsidRDefault="00524C5E" w:rsidP="007314FC">
            <w:pPr>
              <w:pStyle w:val="ARtabletextright"/>
              <w:spacing w:before="20" w:after="10"/>
            </w:pPr>
          </w:p>
        </w:tc>
        <w:tc>
          <w:tcPr>
            <w:tcW w:w="321" w:type="pct"/>
            <w:tcBorders>
              <w:top w:val="single" w:sz="4" w:space="0" w:color="auto"/>
              <w:left w:val="single" w:sz="4" w:space="0" w:color="auto"/>
            </w:tcBorders>
          </w:tcPr>
          <w:p w14:paraId="4989FD95" w14:textId="77777777" w:rsidR="00524C5E" w:rsidRPr="002029AF" w:rsidRDefault="00524C5E" w:rsidP="007314FC">
            <w:pPr>
              <w:pStyle w:val="ARtabletextright"/>
              <w:spacing w:before="20" w:after="10"/>
            </w:pPr>
          </w:p>
        </w:tc>
        <w:tc>
          <w:tcPr>
            <w:tcW w:w="285" w:type="pct"/>
            <w:tcBorders>
              <w:top w:val="single" w:sz="4" w:space="0" w:color="auto"/>
              <w:right w:val="single" w:sz="4" w:space="0" w:color="auto"/>
            </w:tcBorders>
          </w:tcPr>
          <w:p w14:paraId="4DD22162" w14:textId="77777777" w:rsidR="00524C5E" w:rsidRPr="002029AF" w:rsidRDefault="00524C5E" w:rsidP="007314FC">
            <w:pPr>
              <w:pStyle w:val="ARtabletextright"/>
              <w:spacing w:before="20" w:after="10"/>
            </w:pPr>
          </w:p>
        </w:tc>
        <w:tc>
          <w:tcPr>
            <w:tcW w:w="284" w:type="pct"/>
            <w:tcBorders>
              <w:top w:val="single" w:sz="4" w:space="0" w:color="auto"/>
              <w:left w:val="single" w:sz="4" w:space="0" w:color="auto"/>
            </w:tcBorders>
          </w:tcPr>
          <w:p w14:paraId="115787CB" w14:textId="77777777" w:rsidR="00524C5E" w:rsidRPr="002029AF" w:rsidRDefault="00524C5E" w:rsidP="007314FC">
            <w:pPr>
              <w:pStyle w:val="ARtabletextright"/>
              <w:spacing w:before="20" w:after="10"/>
            </w:pPr>
          </w:p>
        </w:tc>
        <w:tc>
          <w:tcPr>
            <w:tcW w:w="284" w:type="pct"/>
            <w:tcBorders>
              <w:top w:val="single" w:sz="4" w:space="0" w:color="auto"/>
            </w:tcBorders>
          </w:tcPr>
          <w:p w14:paraId="66012C65" w14:textId="77777777" w:rsidR="00524C5E" w:rsidRPr="002029AF" w:rsidRDefault="00524C5E" w:rsidP="007314FC">
            <w:pPr>
              <w:pStyle w:val="ARtabletextright"/>
              <w:spacing w:before="20" w:after="10"/>
            </w:pPr>
          </w:p>
        </w:tc>
        <w:tc>
          <w:tcPr>
            <w:tcW w:w="286" w:type="pct"/>
            <w:tcBorders>
              <w:top w:val="single" w:sz="4" w:space="0" w:color="auto"/>
              <w:right w:val="single" w:sz="4" w:space="0" w:color="auto"/>
            </w:tcBorders>
          </w:tcPr>
          <w:p w14:paraId="5610FAA1" w14:textId="77777777" w:rsidR="00524C5E" w:rsidRPr="002029AF" w:rsidRDefault="00524C5E" w:rsidP="007314FC">
            <w:pPr>
              <w:pStyle w:val="ARtabletextright"/>
              <w:spacing w:before="20" w:after="10"/>
            </w:pPr>
          </w:p>
        </w:tc>
        <w:tc>
          <w:tcPr>
            <w:tcW w:w="321" w:type="pct"/>
            <w:tcBorders>
              <w:left w:val="single" w:sz="4" w:space="0" w:color="auto"/>
            </w:tcBorders>
          </w:tcPr>
          <w:p w14:paraId="646BC774" w14:textId="77777777" w:rsidR="00524C5E" w:rsidRPr="002029AF" w:rsidRDefault="00524C5E" w:rsidP="007314FC">
            <w:pPr>
              <w:pStyle w:val="ARtabletextright"/>
              <w:spacing w:before="20" w:after="10"/>
            </w:pPr>
          </w:p>
        </w:tc>
        <w:tc>
          <w:tcPr>
            <w:tcW w:w="282" w:type="pct"/>
          </w:tcPr>
          <w:p w14:paraId="15CFAC99" w14:textId="77777777" w:rsidR="00524C5E" w:rsidRPr="002029AF" w:rsidRDefault="00524C5E" w:rsidP="007314FC">
            <w:pPr>
              <w:pStyle w:val="ARtabletextright"/>
              <w:spacing w:before="20" w:after="10"/>
            </w:pPr>
          </w:p>
        </w:tc>
      </w:tr>
      <w:tr w:rsidR="00524C5E" w:rsidRPr="002029AF" w14:paraId="2B5AF906" w14:textId="77777777" w:rsidTr="00524C5E">
        <w:tc>
          <w:tcPr>
            <w:tcW w:w="867" w:type="pct"/>
            <w:hideMark/>
          </w:tcPr>
          <w:p w14:paraId="06C57C11" w14:textId="77777777" w:rsidR="00524C5E" w:rsidRPr="002029AF" w:rsidRDefault="00524C5E" w:rsidP="007314FC">
            <w:pPr>
              <w:pStyle w:val="ARtabletext"/>
              <w:spacing w:before="20" w:after="10"/>
            </w:pPr>
            <w:r w:rsidRPr="002029AF">
              <w:t>VPS 2</w:t>
            </w:r>
          </w:p>
        </w:tc>
        <w:tc>
          <w:tcPr>
            <w:tcW w:w="321" w:type="pct"/>
            <w:tcBorders>
              <w:top w:val="single" w:sz="4" w:space="0" w:color="auto"/>
            </w:tcBorders>
          </w:tcPr>
          <w:p w14:paraId="61353C4A" w14:textId="77777777" w:rsidR="00524C5E" w:rsidRPr="002029AF" w:rsidRDefault="00524C5E" w:rsidP="007314FC">
            <w:pPr>
              <w:pStyle w:val="ARtabletextright"/>
              <w:spacing w:before="20" w:after="10"/>
            </w:pPr>
            <w:r>
              <w:t>0</w:t>
            </w:r>
          </w:p>
        </w:tc>
        <w:tc>
          <w:tcPr>
            <w:tcW w:w="289" w:type="pct"/>
            <w:tcBorders>
              <w:top w:val="single" w:sz="4" w:space="0" w:color="auto"/>
              <w:right w:val="single" w:sz="4" w:space="0" w:color="auto"/>
            </w:tcBorders>
          </w:tcPr>
          <w:p w14:paraId="5256D1DA" w14:textId="77777777" w:rsidR="00524C5E" w:rsidRPr="002029AF" w:rsidRDefault="00524C5E" w:rsidP="007314FC">
            <w:pPr>
              <w:pStyle w:val="ARtabletextright"/>
              <w:spacing w:before="20" w:after="10"/>
            </w:pPr>
            <w:r>
              <w:t>0.0</w:t>
            </w:r>
          </w:p>
        </w:tc>
        <w:tc>
          <w:tcPr>
            <w:tcW w:w="284" w:type="pct"/>
            <w:tcBorders>
              <w:top w:val="single" w:sz="4" w:space="0" w:color="auto"/>
              <w:left w:val="single" w:sz="4" w:space="0" w:color="auto"/>
            </w:tcBorders>
          </w:tcPr>
          <w:p w14:paraId="67BD7268" w14:textId="77777777" w:rsidR="00524C5E" w:rsidRPr="002029AF" w:rsidRDefault="00524C5E" w:rsidP="007314FC">
            <w:pPr>
              <w:pStyle w:val="ARtabletextright"/>
              <w:spacing w:before="20" w:after="10"/>
            </w:pPr>
            <w:r>
              <w:t>0</w:t>
            </w:r>
          </w:p>
        </w:tc>
        <w:tc>
          <w:tcPr>
            <w:tcW w:w="284" w:type="pct"/>
            <w:tcBorders>
              <w:top w:val="single" w:sz="4" w:space="0" w:color="auto"/>
            </w:tcBorders>
          </w:tcPr>
          <w:p w14:paraId="69DAF44B" w14:textId="77777777" w:rsidR="00524C5E" w:rsidRPr="002029AF" w:rsidRDefault="00524C5E" w:rsidP="007314FC">
            <w:pPr>
              <w:pStyle w:val="ARtabletextright"/>
              <w:spacing w:before="20" w:after="10"/>
            </w:pPr>
            <w:r>
              <w:t>0</w:t>
            </w:r>
          </w:p>
        </w:tc>
        <w:tc>
          <w:tcPr>
            <w:tcW w:w="286" w:type="pct"/>
            <w:tcBorders>
              <w:top w:val="single" w:sz="4" w:space="0" w:color="auto"/>
              <w:right w:val="single" w:sz="4" w:space="0" w:color="auto"/>
            </w:tcBorders>
          </w:tcPr>
          <w:p w14:paraId="0FDACC66" w14:textId="77777777" w:rsidR="00524C5E" w:rsidRPr="002029AF" w:rsidRDefault="00524C5E" w:rsidP="007314FC">
            <w:pPr>
              <w:pStyle w:val="ARtabletextright"/>
              <w:spacing w:before="20" w:after="10"/>
            </w:pPr>
            <w:r>
              <w:t>0.0</w:t>
            </w:r>
          </w:p>
        </w:tc>
        <w:tc>
          <w:tcPr>
            <w:tcW w:w="321" w:type="pct"/>
            <w:tcBorders>
              <w:top w:val="single" w:sz="4" w:space="0" w:color="auto"/>
              <w:left w:val="single" w:sz="4" w:space="0" w:color="auto"/>
            </w:tcBorders>
          </w:tcPr>
          <w:p w14:paraId="57E00ECA" w14:textId="77777777" w:rsidR="00524C5E" w:rsidRPr="002029AF" w:rsidRDefault="00524C5E" w:rsidP="007314FC">
            <w:pPr>
              <w:pStyle w:val="ARtabletextright"/>
              <w:spacing w:before="20" w:after="10"/>
            </w:pPr>
            <w:r>
              <w:t>0</w:t>
            </w:r>
          </w:p>
        </w:tc>
        <w:tc>
          <w:tcPr>
            <w:tcW w:w="285" w:type="pct"/>
            <w:tcBorders>
              <w:top w:val="single" w:sz="4" w:space="0" w:color="auto"/>
              <w:right w:val="single" w:sz="4" w:space="0" w:color="auto"/>
            </w:tcBorders>
          </w:tcPr>
          <w:p w14:paraId="49A43BE4" w14:textId="77777777" w:rsidR="00524C5E" w:rsidRPr="002029AF" w:rsidRDefault="00524C5E" w:rsidP="007314FC">
            <w:pPr>
              <w:pStyle w:val="ARtabletextright"/>
              <w:spacing w:before="20" w:after="10"/>
            </w:pPr>
            <w:r>
              <w:t>0.0</w:t>
            </w:r>
          </w:p>
        </w:tc>
        <w:tc>
          <w:tcPr>
            <w:tcW w:w="321" w:type="pct"/>
            <w:tcBorders>
              <w:top w:val="single" w:sz="4" w:space="0" w:color="auto"/>
              <w:left w:val="single" w:sz="4" w:space="0" w:color="auto"/>
            </w:tcBorders>
            <w:hideMark/>
          </w:tcPr>
          <w:p w14:paraId="3C9A71DF" w14:textId="77777777" w:rsidR="00524C5E" w:rsidRPr="002029AF" w:rsidRDefault="00524C5E" w:rsidP="007314FC">
            <w:pPr>
              <w:pStyle w:val="ARtabletextright"/>
              <w:spacing w:before="20" w:after="10"/>
            </w:pPr>
            <w:r w:rsidRPr="002029AF">
              <w:t>1</w:t>
            </w:r>
          </w:p>
        </w:tc>
        <w:tc>
          <w:tcPr>
            <w:tcW w:w="285" w:type="pct"/>
            <w:tcBorders>
              <w:top w:val="single" w:sz="4" w:space="0" w:color="auto"/>
              <w:right w:val="single" w:sz="4" w:space="0" w:color="auto"/>
            </w:tcBorders>
            <w:hideMark/>
          </w:tcPr>
          <w:p w14:paraId="0C0F3BE6" w14:textId="77777777" w:rsidR="00524C5E" w:rsidRPr="002029AF" w:rsidRDefault="00524C5E" w:rsidP="007314FC">
            <w:pPr>
              <w:pStyle w:val="ARtabletextright"/>
              <w:spacing w:before="20" w:after="10"/>
            </w:pPr>
            <w:r w:rsidRPr="002029AF">
              <w:t>1</w:t>
            </w:r>
          </w:p>
        </w:tc>
        <w:tc>
          <w:tcPr>
            <w:tcW w:w="284" w:type="pct"/>
            <w:tcBorders>
              <w:top w:val="single" w:sz="4" w:space="0" w:color="auto"/>
              <w:left w:val="single" w:sz="4" w:space="0" w:color="auto"/>
            </w:tcBorders>
            <w:hideMark/>
          </w:tcPr>
          <w:p w14:paraId="3F79AFC3" w14:textId="77777777" w:rsidR="00524C5E" w:rsidRPr="002029AF" w:rsidRDefault="00524C5E" w:rsidP="007314FC">
            <w:pPr>
              <w:pStyle w:val="ARtabletextright"/>
              <w:spacing w:before="20" w:after="10"/>
            </w:pPr>
            <w:r w:rsidRPr="002029AF">
              <w:t>1</w:t>
            </w:r>
          </w:p>
        </w:tc>
        <w:tc>
          <w:tcPr>
            <w:tcW w:w="284" w:type="pct"/>
            <w:tcBorders>
              <w:top w:val="single" w:sz="4" w:space="0" w:color="auto"/>
            </w:tcBorders>
            <w:hideMark/>
          </w:tcPr>
          <w:p w14:paraId="3A589113" w14:textId="77777777" w:rsidR="00524C5E" w:rsidRPr="002029AF" w:rsidRDefault="00524C5E" w:rsidP="007314FC">
            <w:pPr>
              <w:pStyle w:val="ARtabletextright"/>
              <w:spacing w:before="20" w:after="10"/>
            </w:pPr>
            <w:r w:rsidRPr="002029AF">
              <w:t>0</w:t>
            </w:r>
          </w:p>
        </w:tc>
        <w:tc>
          <w:tcPr>
            <w:tcW w:w="286" w:type="pct"/>
            <w:tcBorders>
              <w:top w:val="single" w:sz="4" w:space="0" w:color="auto"/>
              <w:right w:val="single" w:sz="4" w:space="0" w:color="auto"/>
            </w:tcBorders>
            <w:hideMark/>
          </w:tcPr>
          <w:p w14:paraId="72C25972" w14:textId="77777777" w:rsidR="00524C5E" w:rsidRPr="002029AF" w:rsidRDefault="00524C5E" w:rsidP="007314FC">
            <w:pPr>
              <w:pStyle w:val="ARtabletextright"/>
              <w:spacing w:before="20" w:after="10"/>
            </w:pPr>
            <w:r w:rsidRPr="002029AF">
              <w:t>1</w:t>
            </w:r>
          </w:p>
        </w:tc>
        <w:tc>
          <w:tcPr>
            <w:tcW w:w="321" w:type="pct"/>
            <w:tcBorders>
              <w:left w:val="single" w:sz="4" w:space="0" w:color="auto"/>
            </w:tcBorders>
            <w:hideMark/>
          </w:tcPr>
          <w:p w14:paraId="24EE5890" w14:textId="77777777" w:rsidR="00524C5E" w:rsidRPr="002029AF" w:rsidRDefault="00524C5E" w:rsidP="007314FC">
            <w:pPr>
              <w:pStyle w:val="ARtabletextright"/>
              <w:spacing w:before="20" w:after="10"/>
            </w:pPr>
            <w:r w:rsidRPr="002029AF">
              <w:t>0</w:t>
            </w:r>
          </w:p>
        </w:tc>
        <w:tc>
          <w:tcPr>
            <w:tcW w:w="282" w:type="pct"/>
            <w:hideMark/>
          </w:tcPr>
          <w:p w14:paraId="66C84063" w14:textId="77777777" w:rsidR="00524C5E" w:rsidRPr="002029AF" w:rsidRDefault="00524C5E" w:rsidP="007314FC">
            <w:pPr>
              <w:pStyle w:val="ARtabletextright"/>
              <w:spacing w:before="20" w:after="10"/>
            </w:pPr>
            <w:r w:rsidRPr="002029AF">
              <w:t>0</w:t>
            </w:r>
          </w:p>
        </w:tc>
      </w:tr>
      <w:tr w:rsidR="00524C5E" w:rsidRPr="002029AF" w14:paraId="0CA99C7A" w14:textId="77777777" w:rsidTr="00524C5E">
        <w:tc>
          <w:tcPr>
            <w:tcW w:w="867" w:type="pct"/>
            <w:hideMark/>
          </w:tcPr>
          <w:p w14:paraId="5C101399" w14:textId="77777777" w:rsidR="00524C5E" w:rsidRPr="002029AF" w:rsidRDefault="00524C5E" w:rsidP="007314FC">
            <w:pPr>
              <w:pStyle w:val="ARtabletext"/>
              <w:spacing w:before="20" w:after="10"/>
            </w:pPr>
            <w:r w:rsidRPr="002029AF">
              <w:t>VPS 3</w:t>
            </w:r>
          </w:p>
        </w:tc>
        <w:tc>
          <w:tcPr>
            <w:tcW w:w="321" w:type="pct"/>
            <w:tcBorders>
              <w:top w:val="single" w:sz="4" w:space="0" w:color="auto"/>
            </w:tcBorders>
          </w:tcPr>
          <w:p w14:paraId="6FCCCC2A" w14:textId="77777777" w:rsidR="00524C5E" w:rsidRPr="002029AF" w:rsidRDefault="00524C5E" w:rsidP="007314FC">
            <w:pPr>
              <w:pStyle w:val="ARtabletextright"/>
              <w:spacing w:before="20" w:after="10"/>
            </w:pPr>
            <w:r>
              <w:t>6</w:t>
            </w:r>
          </w:p>
        </w:tc>
        <w:tc>
          <w:tcPr>
            <w:tcW w:w="289" w:type="pct"/>
            <w:tcBorders>
              <w:top w:val="single" w:sz="4" w:space="0" w:color="auto"/>
              <w:right w:val="single" w:sz="4" w:space="0" w:color="auto"/>
            </w:tcBorders>
          </w:tcPr>
          <w:p w14:paraId="1EC16391" w14:textId="77777777" w:rsidR="00524C5E" w:rsidRPr="002029AF" w:rsidRDefault="00524C5E" w:rsidP="007314FC">
            <w:pPr>
              <w:pStyle w:val="ARtabletextright"/>
              <w:spacing w:before="20" w:after="10"/>
            </w:pPr>
            <w:r>
              <w:t>5.2</w:t>
            </w:r>
          </w:p>
        </w:tc>
        <w:tc>
          <w:tcPr>
            <w:tcW w:w="284" w:type="pct"/>
            <w:tcBorders>
              <w:top w:val="single" w:sz="4" w:space="0" w:color="auto"/>
              <w:left w:val="single" w:sz="4" w:space="0" w:color="auto"/>
            </w:tcBorders>
          </w:tcPr>
          <w:p w14:paraId="7C157256" w14:textId="77777777" w:rsidR="00524C5E" w:rsidRPr="002029AF" w:rsidRDefault="00524C5E" w:rsidP="007314FC">
            <w:pPr>
              <w:pStyle w:val="ARtabletextright"/>
              <w:spacing w:before="20" w:after="10"/>
            </w:pPr>
            <w:r>
              <w:t>4</w:t>
            </w:r>
          </w:p>
        </w:tc>
        <w:tc>
          <w:tcPr>
            <w:tcW w:w="284" w:type="pct"/>
            <w:tcBorders>
              <w:top w:val="single" w:sz="4" w:space="0" w:color="auto"/>
            </w:tcBorders>
          </w:tcPr>
          <w:p w14:paraId="5DD04414" w14:textId="77777777" w:rsidR="00524C5E" w:rsidRPr="002029AF" w:rsidRDefault="00524C5E" w:rsidP="007314FC">
            <w:pPr>
              <w:pStyle w:val="ARtabletextright"/>
              <w:spacing w:before="20" w:after="10"/>
            </w:pPr>
            <w:r>
              <w:t>2</w:t>
            </w:r>
          </w:p>
        </w:tc>
        <w:tc>
          <w:tcPr>
            <w:tcW w:w="286" w:type="pct"/>
            <w:tcBorders>
              <w:top w:val="single" w:sz="4" w:space="0" w:color="auto"/>
              <w:right w:val="single" w:sz="4" w:space="0" w:color="auto"/>
            </w:tcBorders>
          </w:tcPr>
          <w:p w14:paraId="19D09067" w14:textId="77777777" w:rsidR="00524C5E" w:rsidRPr="002029AF" w:rsidRDefault="00524C5E" w:rsidP="007314FC">
            <w:pPr>
              <w:pStyle w:val="ARtabletextright"/>
              <w:spacing w:before="20" w:after="10"/>
            </w:pPr>
            <w:r>
              <w:t>5.2</w:t>
            </w:r>
          </w:p>
        </w:tc>
        <w:tc>
          <w:tcPr>
            <w:tcW w:w="321" w:type="pct"/>
            <w:tcBorders>
              <w:top w:val="single" w:sz="4" w:space="0" w:color="auto"/>
              <w:left w:val="single" w:sz="4" w:space="0" w:color="auto"/>
            </w:tcBorders>
          </w:tcPr>
          <w:p w14:paraId="714090CA" w14:textId="77777777" w:rsidR="00524C5E" w:rsidRPr="002029AF" w:rsidRDefault="00524C5E" w:rsidP="007314FC">
            <w:pPr>
              <w:pStyle w:val="ARtabletextright"/>
              <w:spacing w:before="20" w:after="10"/>
            </w:pPr>
            <w:r>
              <w:t>0</w:t>
            </w:r>
          </w:p>
        </w:tc>
        <w:tc>
          <w:tcPr>
            <w:tcW w:w="285" w:type="pct"/>
            <w:tcBorders>
              <w:top w:val="single" w:sz="4" w:space="0" w:color="auto"/>
              <w:right w:val="single" w:sz="4" w:space="0" w:color="auto"/>
            </w:tcBorders>
          </w:tcPr>
          <w:p w14:paraId="54FF7943" w14:textId="77777777" w:rsidR="00524C5E" w:rsidRPr="002029AF" w:rsidRDefault="00524C5E" w:rsidP="007314FC">
            <w:pPr>
              <w:pStyle w:val="ARtabletextright"/>
              <w:spacing w:before="20" w:after="10"/>
            </w:pPr>
            <w:r>
              <w:t>0.0</w:t>
            </w:r>
          </w:p>
        </w:tc>
        <w:tc>
          <w:tcPr>
            <w:tcW w:w="321" w:type="pct"/>
            <w:tcBorders>
              <w:top w:val="single" w:sz="4" w:space="0" w:color="auto"/>
              <w:left w:val="single" w:sz="4" w:space="0" w:color="auto"/>
            </w:tcBorders>
            <w:hideMark/>
          </w:tcPr>
          <w:p w14:paraId="67DBDE1F" w14:textId="77777777" w:rsidR="00524C5E" w:rsidRPr="002029AF" w:rsidRDefault="00524C5E" w:rsidP="007314FC">
            <w:pPr>
              <w:pStyle w:val="ARtabletextright"/>
              <w:spacing w:before="20" w:after="10"/>
            </w:pPr>
            <w:r w:rsidRPr="002029AF">
              <w:t>7</w:t>
            </w:r>
          </w:p>
        </w:tc>
        <w:tc>
          <w:tcPr>
            <w:tcW w:w="285" w:type="pct"/>
            <w:tcBorders>
              <w:top w:val="single" w:sz="4" w:space="0" w:color="auto"/>
              <w:right w:val="single" w:sz="4" w:space="0" w:color="auto"/>
            </w:tcBorders>
            <w:hideMark/>
          </w:tcPr>
          <w:p w14:paraId="78E542D8" w14:textId="77777777" w:rsidR="00524C5E" w:rsidRPr="002029AF" w:rsidRDefault="00524C5E" w:rsidP="007314FC">
            <w:pPr>
              <w:pStyle w:val="ARtabletextright"/>
              <w:spacing w:before="20" w:after="10"/>
            </w:pPr>
            <w:r w:rsidRPr="002029AF">
              <w:t>6.2</w:t>
            </w:r>
          </w:p>
        </w:tc>
        <w:tc>
          <w:tcPr>
            <w:tcW w:w="284" w:type="pct"/>
            <w:tcBorders>
              <w:top w:val="single" w:sz="4" w:space="0" w:color="auto"/>
              <w:left w:val="single" w:sz="4" w:space="0" w:color="auto"/>
            </w:tcBorders>
            <w:hideMark/>
          </w:tcPr>
          <w:p w14:paraId="0E4254C7" w14:textId="77777777" w:rsidR="00524C5E" w:rsidRPr="002029AF" w:rsidRDefault="00524C5E" w:rsidP="007314FC">
            <w:pPr>
              <w:pStyle w:val="ARtabletextright"/>
              <w:spacing w:before="20" w:after="10"/>
            </w:pPr>
            <w:r w:rsidRPr="002029AF">
              <w:t>5</w:t>
            </w:r>
          </w:p>
        </w:tc>
        <w:tc>
          <w:tcPr>
            <w:tcW w:w="284" w:type="pct"/>
            <w:tcBorders>
              <w:top w:val="single" w:sz="4" w:space="0" w:color="auto"/>
            </w:tcBorders>
            <w:hideMark/>
          </w:tcPr>
          <w:p w14:paraId="21BB16F5" w14:textId="77777777" w:rsidR="00524C5E" w:rsidRPr="002029AF" w:rsidRDefault="00524C5E" w:rsidP="007314FC">
            <w:pPr>
              <w:pStyle w:val="ARtabletextright"/>
              <w:spacing w:before="20" w:after="10"/>
            </w:pPr>
            <w:r w:rsidRPr="002029AF">
              <w:t>2</w:t>
            </w:r>
          </w:p>
        </w:tc>
        <w:tc>
          <w:tcPr>
            <w:tcW w:w="286" w:type="pct"/>
            <w:tcBorders>
              <w:top w:val="single" w:sz="4" w:space="0" w:color="auto"/>
              <w:right w:val="single" w:sz="4" w:space="0" w:color="auto"/>
            </w:tcBorders>
            <w:hideMark/>
          </w:tcPr>
          <w:p w14:paraId="216C857B" w14:textId="77777777" w:rsidR="00524C5E" w:rsidRPr="002029AF" w:rsidRDefault="00524C5E" w:rsidP="007314FC">
            <w:pPr>
              <w:pStyle w:val="ARtabletextright"/>
              <w:spacing w:before="20" w:after="10"/>
            </w:pPr>
            <w:r w:rsidRPr="002029AF">
              <w:t>6.2</w:t>
            </w:r>
          </w:p>
        </w:tc>
        <w:tc>
          <w:tcPr>
            <w:tcW w:w="321" w:type="pct"/>
            <w:tcBorders>
              <w:left w:val="single" w:sz="4" w:space="0" w:color="auto"/>
            </w:tcBorders>
            <w:hideMark/>
          </w:tcPr>
          <w:p w14:paraId="5B49764E" w14:textId="77777777" w:rsidR="00524C5E" w:rsidRPr="002029AF" w:rsidRDefault="00524C5E" w:rsidP="007314FC">
            <w:pPr>
              <w:pStyle w:val="ARtabletextright"/>
              <w:spacing w:before="20" w:after="10"/>
            </w:pPr>
            <w:r w:rsidRPr="002029AF">
              <w:t>0</w:t>
            </w:r>
          </w:p>
        </w:tc>
        <w:tc>
          <w:tcPr>
            <w:tcW w:w="282" w:type="pct"/>
            <w:hideMark/>
          </w:tcPr>
          <w:p w14:paraId="2C4C7823" w14:textId="77777777" w:rsidR="00524C5E" w:rsidRPr="002029AF" w:rsidRDefault="00524C5E" w:rsidP="007314FC">
            <w:pPr>
              <w:pStyle w:val="ARtabletextright"/>
              <w:spacing w:before="20" w:after="10"/>
            </w:pPr>
            <w:r w:rsidRPr="002029AF">
              <w:t>0</w:t>
            </w:r>
          </w:p>
        </w:tc>
      </w:tr>
      <w:tr w:rsidR="00524C5E" w:rsidRPr="002029AF" w14:paraId="1097FDF3" w14:textId="77777777" w:rsidTr="00524C5E">
        <w:tc>
          <w:tcPr>
            <w:tcW w:w="867" w:type="pct"/>
            <w:hideMark/>
          </w:tcPr>
          <w:p w14:paraId="61E4ABEA" w14:textId="77777777" w:rsidR="00524C5E" w:rsidRPr="002029AF" w:rsidRDefault="00524C5E" w:rsidP="007314FC">
            <w:pPr>
              <w:pStyle w:val="ARtabletext"/>
              <w:spacing w:before="20" w:after="10"/>
            </w:pPr>
            <w:r w:rsidRPr="002029AF">
              <w:t>VPS 4</w:t>
            </w:r>
          </w:p>
        </w:tc>
        <w:tc>
          <w:tcPr>
            <w:tcW w:w="321" w:type="pct"/>
            <w:tcBorders>
              <w:top w:val="single" w:sz="4" w:space="0" w:color="auto"/>
            </w:tcBorders>
          </w:tcPr>
          <w:p w14:paraId="1CA427AC" w14:textId="77777777" w:rsidR="00524C5E" w:rsidRPr="002029AF" w:rsidRDefault="00524C5E" w:rsidP="007314FC">
            <w:pPr>
              <w:pStyle w:val="ARtabletextright"/>
              <w:spacing w:before="20" w:after="10"/>
            </w:pPr>
            <w:r>
              <w:t>34</w:t>
            </w:r>
          </w:p>
        </w:tc>
        <w:tc>
          <w:tcPr>
            <w:tcW w:w="289" w:type="pct"/>
            <w:tcBorders>
              <w:top w:val="single" w:sz="4" w:space="0" w:color="auto"/>
              <w:right w:val="single" w:sz="4" w:space="0" w:color="auto"/>
            </w:tcBorders>
          </w:tcPr>
          <w:p w14:paraId="6092A808" w14:textId="77777777" w:rsidR="00524C5E" w:rsidRPr="002029AF" w:rsidRDefault="00524C5E" w:rsidP="007314FC">
            <w:pPr>
              <w:pStyle w:val="ARtabletextright"/>
              <w:spacing w:before="20" w:after="10"/>
            </w:pPr>
            <w:r>
              <w:t>31.6</w:t>
            </w:r>
          </w:p>
        </w:tc>
        <w:tc>
          <w:tcPr>
            <w:tcW w:w="284" w:type="pct"/>
            <w:tcBorders>
              <w:top w:val="single" w:sz="4" w:space="0" w:color="auto"/>
              <w:left w:val="single" w:sz="4" w:space="0" w:color="auto"/>
            </w:tcBorders>
          </w:tcPr>
          <w:p w14:paraId="75451DBC" w14:textId="77777777" w:rsidR="00524C5E" w:rsidRPr="002029AF" w:rsidRDefault="00524C5E" w:rsidP="007314FC">
            <w:pPr>
              <w:pStyle w:val="ARtabletextright"/>
              <w:spacing w:before="20" w:after="10"/>
            </w:pPr>
            <w:r>
              <w:t>20</w:t>
            </w:r>
          </w:p>
        </w:tc>
        <w:tc>
          <w:tcPr>
            <w:tcW w:w="284" w:type="pct"/>
            <w:tcBorders>
              <w:top w:val="single" w:sz="4" w:space="0" w:color="auto"/>
            </w:tcBorders>
          </w:tcPr>
          <w:p w14:paraId="7792A589" w14:textId="77777777" w:rsidR="00524C5E" w:rsidRPr="002029AF" w:rsidRDefault="00524C5E" w:rsidP="007314FC">
            <w:pPr>
              <w:pStyle w:val="ARtabletextright"/>
              <w:spacing w:before="20" w:after="10"/>
            </w:pPr>
            <w:r>
              <w:t>6</w:t>
            </w:r>
          </w:p>
        </w:tc>
        <w:tc>
          <w:tcPr>
            <w:tcW w:w="286" w:type="pct"/>
            <w:tcBorders>
              <w:top w:val="single" w:sz="4" w:space="0" w:color="auto"/>
              <w:right w:val="single" w:sz="4" w:space="0" w:color="auto"/>
            </w:tcBorders>
          </w:tcPr>
          <w:p w14:paraId="4FE57CDE" w14:textId="77777777" w:rsidR="00524C5E" w:rsidRPr="002029AF" w:rsidRDefault="00524C5E" w:rsidP="007314FC">
            <w:pPr>
              <w:pStyle w:val="ARtabletextright"/>
              <w:spacing w:before="20" w:after="10"/>
            </w:pPr>
            <w:r>
              <w:t>24.0</w:t>
            </w:r>
          </w:p>
        </w:tc>
        <w:tc>
          <w:tcPr>
            <w:tcW w:w="321" w:type="pct"/>
            <w:tcBorders>
              <w:top w:val="single" w:sz="4" w:space="0" w:color="auto"/>
              <w:left w:val="single" w:sz="4" w:space="0" w:color="auto"/>
            </w:tcBorders>
          </w:tcPr>
          <w:p w14:paraId="31F4337B" w14:textId="77777777" w:rsidR="00524C5E" w:rsidRPr="002029AF" w:rsidRDefault="00524C5E" w:rsidP="007314FC">
            <w:pPr>
              <w:pStyle w:val="ARtabletextright"/>
              <w:spacing w:before="20" w:after="10"/>
            </w:pPr>
            <w:r>
              <w:t>8</w:t>
            </w:r>
          </w:p>
        </w:tc>
        <w:tc>
          <w:tcPr>
            <w:tcW w:w="285" w:type="pct"/>
            <w:tcBorders>
              <w:top w:val="single" w:sz="4" w:space="0" w:color="auto"/>
              <w:right w:val="single" w:sz="4" w:space="0" w:color="auto"/>
            </w:tcBorders>
          </w:tcPr>
          <w:p w14:paraId="0067BF91" w14:textId="77777777" w:rsidR="00524C5E" w:rsidRPr="002029AF" w:rsidRDefault="00524C5E" w:rsidP="007314FC">
            <w:pPr>
              <w:pStyle w:val="ARtabletextright"/>
              <w:spacing w:before="20" w:after="10"/>
            </w:pPr>
            <w:r>
              <w:t>7.6</w:t>
            </w:r>
          </w:p>
        </w:tc>
        <w:tc>
          <w:tcPr>
            <w:tcW w:w="321" w:type="pct"/>
            <w:tcBorders>
              <w:top w:val="single" w:sz="4" w:space="0" w:color="auto"/>
              <w:left w:val="single" w:sz="4" w:space="0" w:color="auto"/>
            </w:tcBorders>
            <w:hideMark/>
          </w:tcPr>
          <w:p w14:paraId="272CD4E6" w14:textId="77777777" w:rsidR="00524C5E" w:rsidRPr="002029AF" w:rsidRDefault="00524C5E" w:rsidP="007314FC">
            <w:pPr>
              <w:pStyle w:val="ARtabletextright"/>
              <w:spacing w:before="20" w:after="10"/>
            </w:pPr>
            <w:r w:rsidRPr="002029AF">
              <w:t>23</w:t>
            </w:r>
          </w:p>
        </w:tc>
        <w:tc>
          <w:tcPr>
            <w:tcW w:w="285" w:type="pct"/>
            <w:tcBorders>
              <w:top w:val="single" w:sz="4" w:space="0" w:color="auto"/>
              <w:right w:val="single" w:sz="4" w:space="0" w:color="auto"/>
            </w:tcBorders>
            <w:hideMark/>
          </w:tcPr>
          <w:p w14:paraId="7DF0505F" w14:textId="77777777" w:rsidR="00524C5E" w:rsidRPr="002029AF" w:rsidRDefault="00524C5E" w:rsidP="007314FC">
            <w:pPr>
              <w:pStyle w:val="ARtabletextright"/>
              <w:spacing w:before="20" w:after="10"/>
            </w:pPr>
            <w:r w:rsidRPr="002029AF">
              <w:t>21.5</w:t>
            </w:r>
          </w:p>
        </w:tc>
        <w:tc>
          <w:tcPr>
            <w:tcW w:w="284" w:type="pct"/>
            <w:tcBorders>
              <w:top w:val="single" w:sz="4" w:space="0" w:color="auto"/>
              <w:left w:val="single" w:sz="4" w:space="0" w:color="auto"/>
            </w:tcBorders>
            <w:hideMark/>
          </w:tcPr>
          <w:p w14:paraId="07484C6B" w14:textId="77777777" w:rsidR="00524C5E" w:rsidRPr="002029AF" w:rsidRDefault="00524C5E" w:rsidP="007314FC">
            <w:pPr>
              <w:pStyle w:val="ARtabletextright"/>
              <w:spacing w:before="20" w:after="10"/>
            </w:pPr>
            <w:r w:rsidRPr="002029AF">
              <w:t>11</w:t>
            </w:r>
          </w:p>
        </w:tc>
        <w:tc>
          <w:tcPr>
            <w:tcW w:w="284" w:type="pct"/>
            <w:tcBorders>
              <w:top w:val="single" w:sz="4" w:space="0" w:color="auto"/>
            </w:tcBorders>
            <w:hideMark/>
          </w:tcPr>
          <w:p w14:paraId="7BA85ABE" w14:textId="77777777" w:rsidR="00524C5E" w:rsidRPr="002029AF" w:rsidRDefault="00524C5E" w:rsidP="007314FC">
            <w:pPr>
              <w:pStyle w:val="ARtabletextright"/>
              <w:spacing w:before="20" w:after="10"/>
            </w:pPr>
            <w:r w:rsidRPr="002029AF">
              <w:t>4</w:t>
            </w:r>
          </w:p>
        </w:tc>
        <w:tc>
          <w:tcPr>
            <w:tcW w:w="286" w:type="pct"/>
            <w:tcBorders>
              <w:top w:val="single" w:sz="4" w:space="0" w:color="auto"/>
              <w:right w:val="single" w:sz="4" w:space="0" w:color="auto"/>
            </w:tcBorders>
            <w:hideMark/>
          </w:tcPr>
          <w:p w14:paraId="04AE1BDF" w14:textId="77777777" w:rsidR="00524C5E" w:rsidRPr="002029AF" w:rsidRDefault="00524C5E" w:rsidP="007314FC">
            <w:pPr>
              <w:pStyle w:val="ARtabletextright"/>
              <w:spacing w:before="20" w:after="10"/>
            </w:pPr>
            <w:r w:rsidRPr="002029AF">
              <w:t>13.5</w:t>
            </w:r>
          </w:p>
        </w:tc>
        <w:tc>
          <w:tcPr>
            <w:tcW w:w="321" w:type="pct"/>
            <w:tcBorders>
              <w:left w:val="single" w:sz="4" w:space="0" w:color="auto"/>
            </w:tcBorders>
            <w:hideMark/>
          </w:tcPr>
          <w:p w14:paraId="266FDC68" w14:textId="77777777" w:rsidR="00524C5E" w:rsidRPr="002029AF" w:rsidRDefault="00524C5E" w:rsidP="007314FC">
            <w:pPr>
              <w:pStyle w:val="ARtabletextright"/>
              <w:spacing w:before="20" w:after="10"/>
            </w:pPr>
            <w:r w:rsidRPr="002029AF">
              <w:t>8</w:t>
            </w:r>
          </w:p>
        </w:tc>
        <w:tc>
          <w:tcPr>
            <w:tcW w:w="282" w:type="pct"/>
            <w:hideMark/>
          </w:tcPr>
          <w:p w14:paraId="2C674392" w14:textId="77777777" w:rsidR="00524C5E" w:rsidRPr="002029AF" w:rsidRDefault="00524C5E" w:rsidP="007314FC">
            <w:pPr>
              <w:pStyle w:val="ARtabletextright"/>
              <w:spacing w:before="20" w:after="10"/>
            </w:pPr>
            <w:r w:rsidRPr="002029AF">
              <w:t>8</w:t>
            </w:r>
          </w:p>
        </w:tc>
      </w:tr>
      <w:tr w:rsidR="00524C5E" w:rsidRPr="002029AF" w14:paraId="2C022131" w14:textId="77777777" w:rsidTr="00524C5E">
        <w:tc>
          <w:tcPr>
            <w:tcW w:w="867" w:type="pct"/>
            <w:hideMark/>
          </w:tcPr>
          <w:p w14:paraId="31F618D0" w14:textId="77777777" w:rsidR="00524C5E" w:rsidRPr="002029AF" w:rsidRDefault="00524C5E" w:rsidP="007314FC">
            <w:pPr>
              <w:pStyle w:val="ARtabletext"/>
              <w:spacing w:before="20" w:after="10"/>
            </w:pPr>
            <w:r w:rsidRPr="002029AF">
              <w:t>VPS 5</w:t>
            </w:r>
          </w:p>
        </w:tc>
        <w:tc>
          <w:tcPr>
            <w:tcW w:w="321" w:type="pct"/>
            <w:tcBorders>
              <w:top w:val="single" w:sz="4" w:space="0" w:color="auto"/>
            </w:tcBorders>
          </w:tcPr>
          <w:p w14:paraId="4922AC9E" w14:textId="77777777" w:rsidR="00524C5E" w:rsidRPr="002029AF" w:rsidRDefault="00524C5E" w:rsidP="007314FC">
            <w:pPr>
              <w:pStyle w:val="ARtabletextright"/>
              <w:spacing w:before="20" w:after="10"/>
            </w:pPr>
            <w:r>
              <w:t>71</w:t>
            </w:r>
          </w:p>
        </w:tc>
        <w:tc>
          <w:tcPr>
            <w:tcW w:w="289" w:type="pct"/>
            <w:tcBorders>
              <w:top w:val="single" w:sz="4" w:space="0" w:color="auto"/>
              <w:right w:val="single" w:sz="4" w:space="0" w:color="auto"/>
            </w:tcBorders>
          </w:tcPr>
          <w:p w14:paraId="5245070F" w14:textId="77777777" w:rsidR="00524C5E" w:rsidRPr="002029AF" w:rsidRDefault="00524C5E" w:rsidP="007314FC">
            <w:pPr>
              <w:pStyle w:val="ARtabletextright"/>
              <w:spacing w:before="20" w:after="10"/>
            </w:pPr>
            <w:r>
              <w:t>65.4</w:t>
            </w:r>
          </w:p>
        </w:tc>
        <w:tc>
          <w:tcPr>
            <w:tcW w:w="284" w:type="pct"/>
            <w:tcBorders>
              <w:top w:val="single" w:sz="4" w:space="0" w:color="auto"/>
              <w:left w:val="single" w:sz="4" w:space="0" w:color="auto"/>
            </w:tcBorders>
          </w:tcPr>
          <w:p w14:paraId="3D2CA63D" w14:textId="77777777" w:rsidR="00524C5E" w:rsidRPr="002029AF" w:rsidRDefault="00524C5E" w:rsidP="007314FC">
            <w:pPr>
              <w:pStyle w:val="ARtabletextright"/>
              <w:spacing w:before="20" w:after="10"/>
            </w:pPr>
            <w:r>
              <w:t>37</w:t>
            </w:r>
          </w:p>
        </w:tc>
        <w:tc>
          <w:tcPr>
            <w:tcW w:w="284" w:type="pct"/>
            <w:tcBorders>
              <w:top w:val="single" w:sz="4" w:space="0" w:color="auto"/>
            </w:tcBorders>
          </w:tcPr>
          <w:p w14:paraId="74F23930" w14:textId="77777777" w:rsidR="00524C5E" w:rsidRPr="002029AF" w:rsidRDefault="00524C5E" w:rsidP="007314FC">
            <w:pPr>
              <w:pStyle w:val="ARtabletextright"/>
              <w:spacing w:before="20" w:after="10"/>
            </w:pPr>
            <w:r>
              <w:t>18</w:t>
            </w:r>
          </w:p>
        </w:tc>
        <w:tc>
          <w:tcPr>
            <w:tcW w:w="286" w:type="pct"/>
            <w:tcBorders>
              <w:top w:val="single" w:sz="4" w:space="0" w:color="auto"/>
              <w:right w:val="single" w:sz="4" w:space="0" w:color="auto"/>
            </w:tcBorders>
          </w:tcPr>
          <w:p w14:paraId="0B88EE23" w14:textId="77777777" w:rsidR="00524C5E" w:rsidRPr="002029AF" w:rsidRDefault="00524C5E" w:rsidP="007314FC">
            <w:pPr>
              <w:pStyle w:val="ARtabletextright"/>
              <w:spacing w:before="20" w:after="10"/>
            </w:pPr>
            <w:r>
              <w:t>50.9</w:t>
            </w:r>
          </w:p>
        </w:tc>
        <w:tc>
          <w:tcPr>
            <w:tcW w:w="321" w:type="pct"/>
            <w:tcBorders>
              <w:top w:val="single" w:sz="4" w:space="0" w:color="auto"/>
              <w:left w:val="single" w:sz="4" w:space="0" w:color="auto"/>
            </w:tcBorders>
          </w:tcPr>
          <w:p w14:paraId="1F246665" w14:textId="77777777" w:rsidR="00524C5E" w:rsidRPr="002029AF" w:rsidRDefault="00524C5E" w:rsidP="007314FC">
            <w:pPr>
              <w:pStyle w:val="ARtabletextright"/>
              <w:spacing w:before="20" w:after="10"/>
            </w:pPr>
            <w:r>
              <w:t>16</w:t>
            </w:r>
          </w:p>
        </w:tc>
        <w:tc>
          <w:tcPr>
            <w:tcW w:w="285" w:type="pct"/>
            <w:tcBorders>
              <w:top w:val="single" w:sz="4" w:space="0" w:color="auto"/>
              <w:right w:val="single" w:sz="4" w:space="0" w:color="auto"/>
            </w:tcBorders>
          </w:tcPr>
          <w:p w14:paraId="5278F493" w14:textId="77777777" w:rsidR="00524C5E" w:rsidRPr="002029AF" w:rsidRDefault="00524C5E" w:rsidP="007314FC">
            <w:pPr>
              <w:pStyle w:val="ARtabletextright"/>
              <w:spacing w:before="20" w:after="10"/>
            </w:pPr>
            <w:r>
              <w:t>14.5</w:t>
            </w:r>
          </w:p>
        </w:tc>
        <w:tc>
          <w:tcPr>
            <w:tcW w:w="321" w:type="pct"/>
            <w:tcBorders>
              <w:top w:val="single" w:sz="4" w:space="0" w:color="auto"/>
              <w:left w:val="single" w:sz="4" w:space="0" w:color="auto"/>
            </w:tcBorders>
            <w:hideMark/>
          </w:tcPr>
          <w:p w14:paraId="054B9AF9" w14:textId="77777777" w:rsidR="00524C5E" w:rsidRPr="002029AF" w:rsidRDefault="00524C5E" w:rsidP="007314FC">
            <w:pPr>
              <w:pStyle w:val="ARtabletextright"/>
              <w:spacing w:before="20" w:after="10"/>
            </w:pPr>
            <w:r w:rsidRPr="002029AF">
              <w:t>58</w:t>
            </w:r>
          </w:p>
        </w:tc>
        <w:tc>
          <w:tcPr>
            <w:tcW w:w="285" w:type="pct"/>
            <w:tcBorders>
              <w:top w:val="single" w:sz="4" w:space="0" w:color="auto"/>
              <w:right w:val="single" w:sz="4" w:space="0" w:color="auto"/>
            </w:tcBorders>
            <w:hideMark/>
          </w:tcPr>
          <w:p w14:paraId="408507B1" w14:textId="77777777" w:rsidR="00524C5E" w:rsidRPr="002029AF" w:rsidRDefault="00524C5E" w:rsidP="007314FC">
            <w:pPr>
              <w:pStyle w:val="ARtabletextright"/>
              <w:spacing w:before="20" w:after="10"/>
            </w:pPr>
            <w:r w:rsidRPr="002029AF">
              <w:t>51.8</w:t>
            </w:r>
          </w:p>
        </w:tc>
        <w:tc>
          <w:tcPr>
            <w:tcW w:w="284" w:type="pct"/>
            <w:tcBorders>
              <w:top w:val="single" w:sz="4" w:space="0" w:color="auto"/>
              <w:left w:val="single" w:sz="4" w:space="0" w:color="auto"/>
            </w:tcBorders>
            <w:hideMark/>
          </w:tcPr>
          <w:p w14:paraId="4A84E4D8" w14:textId="77777777" w:rsidR="00524C5E" w:rsidRPr="002029AF" w:rsidRDefault="00524C5E" w:rsidP="007314FC">
            <w:pPr>
              <w:pStyle w:val="ARtabletextright"/>
              <w:spacing w:before="20" w:after="10"/>
            </w:pPr>
            <w:r w:rsidRPr="002029AF">
              <w:t>27</w:t>
            </w:r>
          </w:p>
        </w:tc>
        <w:tc>
          <w:tcPr>
            <w:tcW w:w="284" w:type="pct"/>
            <w:tcBorders>
              <w:top w:val="single" w:sz="4" w:space="0" w:color="auto"/>
            </w:tcBorders>
            <w:hideMark/>
          </w:tcPr>
          <w:p w14:paraId="674C209C" w14:textId="77777777" w:rsidR="00524C5E" w:rsidRPr="002029AF" w:rsidRDefault="00524C5E" w:rsidP="007314FC">
            <w:pPr>
              <w:pStyle w:val="ARtabletextright"/>
              <w:spacing w:before="20" w:after="10"/>
            </w:pPr>
            <w:r w:rsidRPr="002029AF">
              <w:t>17</w:t>
            </w:r>
          </w:p>
        </w:tc>
        <w:tc>
          <w:tcPr>
            <w:tcW w:w="286" w:type="pct"/>
            <w:tcBorders>
              <w:top w:val="single" w:sz="4" w:space="0" w:color="auto"/>
              <w:right w:val="single" w:sz="4" w:space="0" w:color="auto"/>
            </w:tcBorders>
            <w:hideMark/>
          </w:tcPr>
          <w:p w14:paraId="6E8C0152" w14:textId="77777777" w:rsidR="00524C5E" w:rsidRPr="002029AF" w:rsidRDefault="00524C5E" w:rsidP="007314FC">
            <w:pPr>
              <w:pStyle w:val="ARtabletextright"/>
              <w:spacing w:before="20" w:after="10"/>
            </w:pPr>
            <w:r w:rsidRPr="002029AF">
              <w:t>38.9</w:t>
            </w:r>
          </w:p>
        </w:tc>
        <w:tc>
          <w:tcPr>
            <w:tcW w:w="321" w:type="pct"/>
            <w:tcBorders>
              <w:left w:val="single" w:sz="4" w:space="0" w:color="auto"/>
            </w:tcBorders>
            <w:hideMark/>
          </w:tcPr>
          <w:p w14:paraId="0C1BA246" w14:textId="77777777" w:rsidR="00524C5E" w:rsidRPr="002029AF" w:rsidRDefault="00524C5E" w:rsidP="007314FC">
            <w:pPr>
              <w:pStyle w:val="ARtabletextright"/>
              <w:spacing w:before="20" w:after="10"/>
            </w:pPr>
            <w:r w:rsidRPr="002029AF">
              <w:t>14</w:t>
            </w:r>
          </w:p>
        </w:tc>
        <w:tc>
          <w:tcPr>
            <w:tcW w:w="282" w:type="pct"/>
            <w:hideMark/>
          </w:tcPr>
          <w:p w14:paraId="1B2D1818" w14:textId="77777777" w:rsidR="00524C5E" w:rsidRPr="002029AF" w:rsidRDefault="00524C5E" w:rsidP="007314FC">
            <w:pPr>
              <w:pStyle w:val="ARtabletextright"/>
              <w:spacing w:before="20" w:after="10"/>
            </w:pPr>
            <w:r w:rsidRPr="002029AF">
              <w:t>12.9</w:t>
            </w:r>
          </w:p>
        </w:tc>
      </w:tr>
      <w:tr w:rsidR="00524C5E" w:rsidRPr="002029AF" w14:paraId="1C984374" w14:textId="77777777" w:rsidTr="00524C5E">
        <w:tc>
          <w:tcPr>
            <w:tcW w:w="867" w:type="pct"/>
            <w:hideMark/>
          </w:tcPr>
          <w:p w14:paraId="68C031C9" w14:textId="77777777" w:rsidR="00524C5E" w:rsidRPr="002029AF" w:rsidRDefault="00524C5E" w:rsidP="007314FC">
            <w:pPr>
              <w:pStyle w:val="ARtabletext"/>
              <w:spacing w:before="20" w:after="10"/>
            </w:pPr>
            <w:r w:rsidRPr="002029AF">
              <w:t>VPS 6</w:t>
            </w:r>
          </w:p>
        </w:tc>
        <w:tc>
          <w:tcPr>
            <w:tcW w:w="321" w:type="pct"/>
            <w:tcBorders>
              <w:top w:val="single" w:sz="4" w:space="0" w:color="auto"/>
            </w:tcBorders>
          </w:tcPr>
          <w:p w14:paraId="3042D5D2" w14:textId="2D117BD1" w:rsidR="00524C5E" w:rsidRPr="002029AF" w:rsidRDefault="00524C5E" w:rsidP="007314FC">
            <w:pPr>
              <w:pStyle w:val="ARtabletextright"/>
              <w:spacing w:before="20" w:after="10"/>
            </w:pPr>
            <w:r>
              <w:t>26</w:t>
            </w:r>
            <w:r w:rsidRPr="00D61E13">
              <w:rPr>
                <w:vertAlign w:val="superscript"/>
              </w:rPr>
              <w:t>(</w:t>
            </w:r>
            <w:r w:rsidR="007314FC">
              <w:rPr>
                <w:rStyle w:val="FootnoteReference"/>
              </w:rPr>
              <w:footnoteReference w:id="25"/>
            </w:r>
            <w:r w:rsidRPr="00D61E13">
              <w:rPr>
                <w:vertAlign w:val="superscript"/>
              </w:rPr>
              <w:t>)</w:t>
            </w:r>
          </w:p>
        </w:tc>
        <w:tc>
          <w:tcPr>
            <w:tcW w:w="289" w:type="pct"/>
            <w:tcBorders>
              <w:top w:val="single" w:sz="4" w:space="0" w:color="auto"/>
              <w:right w:val="single" w:sz="4" w:space="0" w:color="auto"/>
            </w:tcBorders>
          </w:tcPr>
          <w:p w14:paraId="0F119F0D" w14:textId="77777777" w:rsidR="00524C5E" w:rsidRPr="002029AF" w:rsidRDefault="00524C5E" w:rsidP="007314FC">
            <w:pPr>
              <w:pStyle w:val="ARtabletextright"/>
              <w:spacing w:before="20" w:after="10"/>
            </w:pPr>
            <w:r>
              <w:t>23.7</w:t>
            </w:r>
          </w:p>
        </w:tc>
        <w:tc>
          <w:tcPr>
            <w:tcW w:w="284" w:type="pct"/>
            <w:tcBorders>
              <w:top w:val="single" w:sz="4" w:space="0" w:color="auto"/>
              <w:left w:val="single" w:sz="4" w:space="0" w:color="auto"/>
            </w:tcBorders>
          </w:tcPr>
          <w:p w14:paraId="320F6D52" w14:textId="77777777" w:rsidR="00524C5E" w:rsidRPr="002029AF" w:rsidRDefault="00524C5E" w:rsidP="007314FC">
            <w:pPr>
              <w:pStyle w:val="ARtabletextright"/>
              <w:spacing w:before="20" w:after="10"/>
            </w:pPr>
            <w:r>
              <w:t>18</w:t>
            </w:r>
          </w:p>
        </w:tc>
        <w:tc>
          <w:tcPr>
            <w:tcW w:w="284" w:type="pct"/>
            <w:tcBorders>
              <w:top w:val="single" w:sz="4" w:space="0" w:color="auto"/>
            </w:tcBorders>
          </w:tcPr>
          <w:p w14:paraId="14E1B417" w14:textId="77777777" w:rsidR="00524C5E" w:rsidRPr="002029AF" w:rsidRDefault="00524C5E" w:rsidP="007314FC">
            <w:pPr>
              <w:pStyle w:val="ARtabletextright"/>
              <w:spacing w:before="20" w:after="10"/>
            </w:pPr>
            <w:r>
              <w:t>4</w:t>
            </w:r>
          </w:p>
        </w:tc>
        <w:tc>
          <w:tcPr>
            <w:tcW w:w="286" w:type="pct"/>
            <w:tcBorders>
              <w:top w:val="single" w:sz="4" w:space="0" w:color="auto"/>
              <w:right w:val="single" w:sz="4" w:space="0" w:color="auto"/>
            </w:tcBorders>
          </w:tcPr>
          <w:p w14:paraId="31C68CE8" w14:textId="77777777" w:rsidR="00524C5E" w:rsidRPr="002029AF" w:rsidRDefault="00524C5E" w:rsidP="007314FC">
            <w:pPr>
              <w:pStyle w:val="ARtabletextright"/>
              <w:spacing w:before="20" w:after="10"/>
            </w:pPr>
            <w:r>
              <w:t>20.3</w:t>
            </w:r>
          </w:p>
        </w:tc>
        <w:tc>
          <w:tcPr>
            <w:tcW w:w="321" w:type="pct"/>
            <w:tcBorders>
              <w:top w:val="single" w:sz="4" w:space="0" w:color="auto"/>
              <w:left w:val="single" w:sz="4" w:space="0" w:color="auto"/>
            </w:tcBorders>
          </w:tcPr>
          <w:p w14:paraId="29185CC0" w14:textId="77777777" w:rsidR="00524C5E" w:rsidRPr="002029AF" w:rsidRDefault="00524C5E" w:rsidP="007314FC">
            <w:pPr>
              <w:pStyle w:val="ARtabletextright"/>
              <w:spacing w:before="20" w:after="10"/>
            </w:pPr>
            <w:r>
              <w:t>4</w:t>
            </w:r>
          </w:p>
        </w:tc>
        <w:tc>
          <w:tcPr>
            <w:tcW w:w="285" w:type="pct"/>
            <w:tcBorders>
              <w:top w:val="single" w:sz="4" w:space="0" w:color="auto"/>
              <w:right w:val="single" w:sz="4" w:space="0" w:color="auto"/>
            </w:tcBorders>
          </w:tcPr>
          <w:p w14:paraId="26AAFBA2" w14:textId="77777777" w:rsidR="00524C5E" w:rsidRPr="002029AF" w:rsidRDefault="00524C5E" w:rsidP="007314FC">
            <w:pPr>
              <w:pStyle w:val="ARtabletextright"/>
              <w:spacing w:before="20" w:after="10"/>
            </w:pPr>
            <w:r>
              <w:t>3.4</w:t>
            </w:r>
          </w:p>
        </w:tc>
        <w:tc>
          <w:tcPr>
            <w:tcW w:w="321" w:type="pct"/>
            <w:tcBorders>
              <w:top w:val="single" w:sz="4" w:space="0" w:color="auto"/>
              <w:left w:val="single" w:sz="4" w:space="0" w:color="auto"/>
            </w:tcBorders>
            <w:hideMark/>
          </w:tcPr>
          <w:p w14:paraId="08842D14" w14:textId="77777777" w:rsidR="00524C5E" w:rsidRPr="002029AF" w:rsidRDefault="00524C5E" w:rsidP="007314FC">
            <w:pPr>
              <w:pStyle w:val="ARtabletextright"/>
              <w:spacing w:before="20" w:after="10"/>
            </w:pPr>
            <w:r w:rsidRPr="002029AF">
              <w:t>28</w:t>
            </w:r>
          </w:p>
        </w:tc>
        <w:tc>
          <w:tcPr>
            <w:tcW w:w="285" w:type="pct"/>
            <w:tcBorders>
              <w:top w:val="single" w:sz="4" w:space="0" w:color="auto"/>
              <w:right w:val="single" w:sz="4" w:space="0" w:color="auto"/>
            </w:tcBorders>
            <w:hideMark/>
          </w:tcPr>
          <w:p w14:paraId="51C206B8" w14:textId="77777777" w:rsidR="00524C5E" w:rsidRPr="002029AF" w:rsidRDefault="00524C5E" w:rsidP="007314FC">
            <w:pPr>
              <w:pStyle w:val="ARtabletextright"/>
              <w:spacing w:before="20" w:after="10"/>
            </w:pPr>
            <w:r w:rsidRPr="002029AF">
              <w:t>25.5</w:t>
            </w:r>
          </w:p>
        </w:tc>
        <w:tc>
          <w:tcPr>
            <w:tcW w:w="284" w:type="pct"/>
            <w:tcBorders>
              <w:top w:val="single" w:sz="4" w:space="0" w:color="auto"/>
              <w:left w:val="single" w:sz="4" w:space="0" w:color="auto"/>
            </w:tcBorders>
            <w:hideMark/>
          </w:tcPr>
          <w:p w14:paraId="1B88B25D" w14:textId="77777777" w:rsidR="00524C5E" w:rsidRPr="002029AF" w:rsidRDefault="00524C5E" w:rsidP="007314FC">
            <w:pPr>
              <w:pStyle w:val="ARtabletextright"/>
              <w:spacing w:before="20" w:after="10"/>
            </w:pPr>
            <w:r w:rsidRPr="002029AF">
              <w:t>15</w:t>
            </w:r>
          </w:p>
        </w:tc>
        <w:tc>
          <w:tcPr>
            <w:tcW w:w="284" w:type="pct"/>
            <w:tcBorders>
              <w:top w:val="single" w:sz="4" w:space="0" w:color="auto"/>
            </w:tcBorders>
            <w:hideMark/>
          </w:tcPr>
          <w:p w14:paraId="662F5461" w14:textId="77777777" w:rsidR="00524C5E" w:rsidRPr="002029AF" w:rsidRDefault="00524C5E" w:rsidP="007314FC">
            <w:pPr>
              <w:pStyle w:val="ARtabletextright"/>
              <w:spacing w:before="20" w:after="10"/>
            </w:pPr>
            <w:r w:rsidRPr="002029AF">
              <w:t>8</w:t>
            </w:r>
          </w:p>
        </w:tc>
        <w:tc>
          <w:tcPr>
            <w:tcW w:w="286" w:type="pct"/>
            <w:tcBorders>
              <w:top w:val="single" w:sz="4" w:space="0" w:color="auto"/>
              <w:right w:val="single" w:sz="4" w:space="0" w:color="auto"/>
            </w:tcBorders>
            <w:hideMark/>
          </w:tcPr>
          <w:p w14:paraId="40C4E8BA" w14:textId="77777777" w:rsidR="00524C5E" w:rsidRPr="002029AF" w:rsidRDefault="00524C5E" w:rsidP="007314FC">
            <w:pPr>
              <w:pStyle w:val="ARtabletextright"/>
              <w:spacing w:before="20" w:after="10"/>
            </w:pPr>
            <w:r w:rsidRPr="002029AF">
              <w:t>20.5</w:t>
            </w:r>
          </w:p>
        </w:tc>
        <w:tc>
          <w:tcPr>
            <w:tcW w:w="321" w:type="pct"/>
            <w:tcBorders>
              <w:left w:val="single" w:sz="4" w:space="0" w:color="auto"/>
            </w:tcBorders>
            <w:hideMark/>
          </w:tcPr>
          <w:p w14:paraId="5D20F917" w14:textId="77777777" w:rsidR="00524C5E" w:rsidRPr="002029AF" w:rsidRDefault="00524C5E" w:rsidP="007314FC">
            <w:pPr>
              <w:pStyle w:val="ARtabletextright"/>
              <w:spacing w:before="20" w:after="10"/>
            </w:pPr>
            <w:r w:rsidRPr="002029AF">
              <w:t>5</w:t>
            </w:r>
          </w:p>
        </w:tc>
        <w:tc>
          <w:tcPr>
            <w:tcW w:w="282" w:type="pct"/>
            <w:hideMark/>
          </w:tcPr>
          <w:p w14:paraId="5500D92C" w14:textId="77777777" w:rsidR="00524C5E" w:rsidRPr="002029AF" w:rsidRDefault="00524C5E" w:rsidP="007314FC">
            <w:pPr>
              <w:pStyle w:val="ARtabletextright"/>
              <w:spacing w:before="20" w:after="10"/>
            </w:pPr>
            <w:r w:rsidRPr="002029AF">
              <w:t>5</w:t>
            </w:r>
          </w:p>
        </w:tc>
      </w:tr>
      <w:tr w:rsidR="00524C5E" w:rsidRPr="002029AF" w14:paraId="637EB180" w14:textId="77777777" w:rsidTr="00524C5E">
        <w:tc>
          <w:tcPr>
            <w:tcW w:w="867" w:type="pct"/>
          </w:tcPr>
          <w:p w14:paraId="18608426" w14:textId="12D801E5" w:rsidR="00524C5E" w:rsidRPr="002029AF" w:rsidRDefault="00524C5E" w:rsidP="007314FC">
            <w:pPr>
              <w:pStyle w:val="ARtabletext"/>
              <w:spacing w:before="20" w:after="10"/>
            </w:pPr>
            <w:r>
              <w:t>SMA</w:t>
            </w:r>
            <w:r w:rsidR="007314FC" w:rsidRPr="007314FC">
              <w:rPr>
                <w:rStyle w:val="FootnoteReference"/>
              </w:rPr>
              <w:t>(</w:t>
            </w:r>
            <w:r w:rsidR="007314FC">
              <w:rPr>
                <w:rStyle w:val="FootnoteReference"/>
              </w:rPr>
              <w:footnoteReference w:id="26"/>
            </w:r>
            <w:r w:rsidR="007314FC" w:rsidRPr="007314FC">
              <w:rPr>
                <w:rStyle w:val="FootnoteReference"/>
              </w:rPr>
              <w:t>)</w:t>
            </w:r>
          </w:p>
        </w:tc>
        <w:tc>
          <w:tcPr>
            <w:tcW w:w="321" w:type="pct"/>
            <w:tcBorders>
              <w:top w:val="single" w:sz="4" w:space="0" w:color="auto"/>
            </w:tcBorders>
          </w:tcPr>
          <w:p w14:paraId="49BA5276" w14:textId="77777777" w:rsidR="00524C5E" w:rsidRDefault="00524C5E" w:rsidP="007314FC">
            <w:pPr>
              <w:pStyle w:val="ARtabletextright"/>
              <w:spacing w:before="20" w:after="10"/>
            </w:pPr>
            <w:r>
              <w:t>1</w:t>
            </w:r>
          </w:p>
        </w:tc>
        <w:tc>
          <w:tcPr>
            <w:tcW w:w="289" w:type="pct"/>
            <w:tcBorders>
              <w:top w:val="single" w:sz="4" w:space="0" w:color="auto"/>
              <w:right w:val="single" w:sz="4" w:space="0" w:color="auto"/>
            </w:tcBorders>
          </w:tcPr>
          <w:p w14:paraId="0BFA5C9A" w14:textId="77777777" w:rsidR="00524C5E" w:rsidRDefault="00524C5E" w:rsidP="007314FC">
            <w:pPr>
              <w:pStyle w:val="ARtabletextright"/>
              <w:spacing w:before="20" w:after="10"/>
            </w:pPr>
            <w:r>
              <w:t>1.0</w:t>
            </w:r>
          </w:p>
        </w:tc>
        <w:tc>
          <w:tcPr>
            <w:tcW w:w="284" w:type="pct"/>
            <w:tcBorders>
              <w:top w:val="single" w:sz="4" w:space="0" w:color="auto"/>
              <w:left w:val="single" w:sz="4" w:space="0" w:color="auto"/>
            </w:tcBorders>
          </w:tcPr>
          <w:p w14:paraId="1EBF2A5B" w14:textId="77777777" w:rsidR="00524C5E" w:rsidRDefault="00524C5E" w:rsidP="007314FC">
            <w:pPr>
              <w:pStyle w:val="ARtabletextright"/>
              <w:spacing w:before="20" w:after="10"/>
            </w:pPr>
            <w:r>
              <w:t>0</w:t>
            </w:r>
          </w:p>
        </w:tc>
        <w:tc>
          <w:tcPr>
            <w:tcW w:w="284" w:type="pct"/>
            <w:tcBorders>
              <w:top w:val="single" w:sz="4" w:space="0" w:color="auto"/>
            </w:tcBorders>
          </w:tcPr>
          <w:p w14:paraId="26C8B78E" w14:textId="77777777" w:rsidR="00524C5E" w:rsidRDefault="00524C5E" w:rsidP="007314FC">
            <w:pPr>
              <w:pStyle w:val="ARtabletextright"/>
              <w:spacing w:before="20" w:after="10"/>
            </w:pPr>
            <w:r>
              <w:t>0</w:t>
            </w:r>
          </w:p>
        </w:tc>
        <w:tc>
          <w:tcPr>
            <w:tcW w:w="286" w:type="pct"/>
            <w:tcBorders>
              <w:top w:val="single" w:sz="4" w:space="0" w:color="auto"/>
              <w:right w:val="single" w:sz="4" w:space="0" w:color="auto"/>
            </w:tcBorders>
          </w:tcPr>
          <w:p w14:paraId="7D369BE6" w14:textId="77777777" w:rsidR="00524C5E" w:rsidRDefault="00524C5E" w:rsidP="007314FC">
            <w:pPr>
              <w:pStyle w:val="ARtabletextright"/>
              <w:spacing w:before="20" w:after="10"/>
            </w:pPr>
            <w:r>
              <w:t>0.0</w:t>
            </w:r>
          </w:p>
        </w:tc>
        <w:tc>
          <w:tcPr>
            <w:tcW w:w="321" w:type="pct"/>
            <w:tcBorders>
              <w:top w:val="single" w:sz="4" w:space="0" w:color="auto"/>
              <w:left w:val="single" w:sz="4" w:space="0" w:color="auto"/>
            </w:tcBorders>
          </w:tcPr>
          <w:p w14:paraId="3307B42D" w14:textId="77777777" w:rsidR="00524C5E" w:rsidRDefault="00524C5E" w:rsidP="007314FC">
            <w:pPr>
              <w:pStyle w:val="ARtabletextright"/>
              <w:spacing w:before="20" w:after="10"/>
            </w:pPr>
            <w:r>
              <w:t>1</w:t>
            </w:r>
          </w:p>
        </w:tc>
        <w:tc>
          <w:tcPr>
            <w:tcW w:w="285" w:type="pct"/>
            <w:tcBorders>
              <w:top w:val="single" w:sz="4" w:space="0" w:color="auto"/>
              <w:right w:val="single" w:sz="4" w:space="0" w:color="auto"/>
            </w:tcBorders>
          </w:tcPr>
          <w:p w14:paraId="4997F24C" w14:textId="77777777" w:rsidR="00524C5E" w:rsidRDefault="00524C5E" w:rsidP="007314FC">
            <w:pPr>
              <w:pStyle w:val="ARtabletextright"/>
              <w:spacing w:before="20" w:after="10"/>
            </w:pPr>
            <w:r>
              <w:t>1.0</w:t>
            </w:r>
          </w:p>
        </w:tc>
        <w:tc>
          <w:tcPr>
            <w:tcW w:w="321" w:type="pct"/>
            <w:tcBorders>
              <w:top w:val="single" w:sz="4" w:space="0" w:color="auto"/>
              <w:left w:val="single" w:sz="4" w:space="0" w:color="auto"/>
            </w:tcBorders>
          </w:tcPr>
          <w:p w14:paraId="6537202E" w14:textId="77777777" w:rsidR="00524C5E" w:rsidRPr="002029AF" w:rsidRDefault="00524C5E" w:rsidP="007314FC">
            <w:pPr>
              <w:pStyle w:val="ARtabletextright"/>
              <w:spacing w:before="20" w:after="10"/>
            </w:pPr>
            <w:r>
              <w:t>0</w:t>
            </w:r>
          </w:p>
        </w:tc>
        <w:tc>
          <w:tcPr>
            <w:tcW w:w="285" w:type="pct"/>
            <w:tcBorders>
              <w:top w:val="single" w:sz="4" w:space="0" w:color="auto"/>
              <w:right w:val="single" w:sz="4" w:space="0" w:color="auto"/>
            </w:tcBorders>
          </w:tcPr>
          <w:p w14:paraId="0EDA64FF" w14:textId="77777777" w:rsidR="00524C5E" w:rsidRPr="002029AF" w:rsidRDefault="00524C5E" w:rsidP="007314FC">
            <w:pPr>
              <w:pStyle w:val="ARtabletextright"/>
              <w:spacing w:before="20" w:after="10"/>
            </w:pPr>
            <w:r>
              <w:t>0.0</w:t>
            </w:r>
          </w:p>
        </w:tc>
        <w:tc>
          <w:tcPr>
            <w:tcW w:w="284" w:type="pct"/>
            <w:tcBorders>
              <w:top w:val="single" w:sz="4" w:space="0" w:color="auto"/>
              <w:left w:val="single" w:sz="4" w:space="0" w:color="auto"/>
            </w:tcBorders>
          </w:tcPr>
          <w:p w14:paraId="6B614DC5" w14:textId="77777777" w:rsidR="00524C5E" w:rsidRPr="002029AF" w:rsidRDefault="00524C5E" w:rsidP="007314FC">
            <w:pPr>
              <w:pStyle w:val="ARtabletextright"/>
              <w:spacing w:before="20" w:after="10"/>
            </w:pPr>
            <w:r>
              <w:t>0</w:t>
            </w:r>
          </w:p>
        </w:tc>
        <w:tc>
          <w:tcPr>
            <w:tcW w:w="284" w:type="pct"/>
            <w:tcBorders>
              <w:top w:val="single" w:sz="4" w:space="0" w:color="auto"/>
            </w:tcBorders>
          </w:tcPr>
          <w:p w14:paraId="0EF1752E" w14:textId="77777777" w:rsidR="00524C5E" w:rsidRPr="002029AF" w:rsidRDefault="00524C5E" w:rsidP="007314FC">
            <w:pPr>
              <w:pStyle w:val="ARtabletextright"/>
              <w:spacing w:before="20" w:after="10"/>
            </w:pPr>
            <w:r>
              <w:t>0</w:t>
            </w:r>
          </w:p>
        </w:tc>
        <w:tc>
          <w:tcPr>
            <w:tcW w:w="286" w:type="pct"/>
            <w:tcBorders>
              <w:top w:val="single" w:sz="4" w:space="0" w:color="auto"/>
              <w:right w:val="single" w:sz="4" w:space="0" w:color="auto"/>
            </w:tcBorders>
          </w:tcPr>
          <w:p w14:paraId="60292DDE" w14:textId="77777777" w:rsidR="00524C5E" w:rsidRPr="002029AF" w:rsidRDefault="00524C5E" w:rsidP="007314FC">
            <w:pPr>
              <w:pStyle w:val="ARtabletextright"/>
              <w:spacing w:before="20" w:after="10"/>
            </w:pPr>
            <w:r>
              <w:t>0.0</w:t>
            </w:r>
          </w:p>
        </w:tc>
        <w:tc>
          <w:tcPr>
            <w:tcW w:w="321" w:type="pct"/>
            <w:tcBorders>
              <w:left w:val="single" w:sz="4" w:space="0" w:color="auto"/>
            </w:tcBorders>
          </w:tcPr>
          <w:p w14:paraId="26D1746B" w14:textId="77777777" w:rsidR="00524C5E" w:rsidRPr="002029AF" w:rsidRDefault="00524C5E" w:rsidP="007314FC">
            <w:pPr>
              <w:pStyle w:val="ARtabletextright"/>
              <w:spacing w:before="20" w:after="10"/>
            </w:pPr>
            <w:r>
              <w:t>0</w:t>
            </w:r>
          </w:p>
        </w:tc>
        <w:tc>
          <w:tcPr>
            <w:tcW w:w="282" w:type="pct"/>
          </w:tcPr>
          <w:p w14:paraId="4C6BED62" w14:textId="77777777" w:rsidR="00524C5E" w:rsidRPr="002029AF" w:rsidRDefault="00524C5E" w:rsidP="007314FC">
            <w:pPr>
              <w:pStyle w:val="ARtabletextright"/>
              <w:spacing w:before="20" w:after="10"/>
            </w:pPr>
            <w:r>
              <w:t>0.0</w:t>
            </w:r>
          </w:p>
        </w:tc>
      </w:tr>
      <w:tr w:rsidR="00524C5E" w:rsidRPr="002029AF" w14:paraId="26ABFF4A" w14:textId="77777777" w:rsidTr="00524C5E">
        <w:tc>
          <w:tcPr>
            <w:tcW w:w="867" w:type="pct"/>
            <w:hideMark/>
          </w:tcPr>
          <w:p w14:paraId="0E6C60BB" w14:textId="3F9B1D5E" w:rsidR="00524C5E" w:rsidRPr="002029AF" w:rsidRDefault="00524C5E" w:rsidP="007314FC">
            <w:pPr>
              <w:pStyle w:val="ARtabletext"/>
              <w:spacing w:before="20" w:after="10"/>
            </w:pPr>
            <w:r w:rsidRPr="002029AF">
              <w:t>STS</w:t>
            </w:r>
            <w:r w:rsidR="007314FC" w:rsidRPr="007314FC">
              <w:rPr>
                <w:rStyle w:val="FootnoteReference"/>
              </w:rPr>
              <w:t>(</w:t>
            </w:r>
            <w:r w:rsidR="007314FC">
              <w:rPr>
                <w:rStyle w:val="FootnoteReference"/>
              </w:rPr>
              <w:footnoteReference w:id="27"/>
            </w:r>
            <w:r w:rsidR="007314FC" w:rsidRPr="007314FC">
              <w:rPr>
                <w:rStyle w:val="FootnoteReference"/>
              </w:rPr>
              <w:t>)</w:t>
            </w:r>
          </w:p>
        </w:tc>
        <w:tc>
          <w:tcPr>
            <w:tcW w:w="321" w:type="pct"/>
            <w:tcBorders>
              <w:top w:val="single" w:sz="4" w:space="0" w:color="auto"/>
            </w:tcBorders>
          </w:tcPr>
          <w:p w14:paraId="6EC7A89E" w14:textId="77777777" w:rsidR="00524C5E" w:rsidRPr="002029AF" w:rsidRDefault="00524C5E" w:rsidP="007314FC">
            <w:pPr>
              <w:pStyle w:val="ARtabletextright"/>
              <w:spacing w:before="20" w:after="10"/>
            </w:pPr>
            <w:r>
              <w:t>2</w:t>
            </w:r>
          </w:p>
        </w:tc>
        <w:tc>
          <w:tcPr>
            <w:tcW w:w="289" w:type="pct"/>
            <w:tcBorders>
              <w:top w:val="single" w:sz="4" w:space="0" w:color="auto"/>
              <w:right w:val="single" w:sz="4" w:space="0" w:color="auto"/>
            </w:tcBorders>
          </w:tcPr>
          <w:p w14:paraId="7C9CA88F" w14:textId="77777777" w:rsidR="00524C5E" w:rsidRPr="002029AF" w:rsidRDefault="00524C5E" w:rsidP="007314FC">
            <w:pPr>
              <w:pStyle w:val="ARtabletextright"/>
              <w:spacing w:before="20" w:after="10"/>
            </w:pPr>
            <w:r>
              <w:t>1.7</w:t>
            </w:r>
          </w:p>
        </w:tc>
        <w:tc>
          <w:tcPr>
            <w:tcW w:w="284" w:type="pct"/>
            <w:tcBorders>
              <w:top w:val="single" w:sz="4" w:space="0" w:color="auto"/>
              <w:left w:val="single" w:sz="4" w:space="0" w:color="auto"/>
            </w:tcBorders>
          </w:tcPr>
          <w:p w14:paraId="20FB7D32" w14:textId="77777777" w:rsidR="00524C5E" w:rsidRPr="002029AF" w:rsidRDefault="00524C5E" w:rsidP="007314FC">
            <w:pPr>
              <w:pStyle w:val="ARtabletextright"/>
              <w:spacing w:before="20" w:after="10"/>
            </w:pPr>
            <w:r>
              <w:t>0</w:t>
            </w:r>
          </w:p>
        </w:tc>
        <w:tc>
          <w:tcPr>
            <w:tcW w:w="284" w:type="pct"/>
            <w:tcBorders>
              <w:top w:val="single" w:sz="4" w:space="0" w:color="auto"/>
            </w:tcBorders>
          </w:tcPr>
          <w:p w14:paraId="6AFEBBC1" w14:textId="77777777" w:rsidR="00524C5E" w:rsidRPr="002029AF" w:rsidRDefault="00524C5E" w:rsidP="007314FC">
            <w:pPr>
              <w:pStyle w:val="ARtabletextright"/>
              <w:spacing w:before="20" w:after="10"/>
            </w:pPr>
            <w:r>
              <w:t>0</w:t>
            </w:r>
          </w:p>
        </w:tc>
        <w:tc>
          <w:tcPr>
            <w:tcW w:w="286" w:type="pct"/>
            <w:tcBorders>
              <w:top w:val="single" w:sz="4" w:space="0" w:color="auto"/>
              <w:right w:val="single" w:sz="4" w:space="0" w:color="auto"/>
            </w:tcBorders>
          </w:tcPr>
          <w:p w14:paraId="4975DE16" w14:textId="77777777" w:rsidR="00524C5E" w:rsidRPr="002029AF" w:rsidRDefault="00524C5E" w:rsidP="007314FC">
            <w:pPr>
              <w:pStyle w:val="ARtabletextright"/>
              <w:spacing w:before="20" w:after="10"/>
            </w:pPr>
            <w:r>
              <w:t>0.0</w:t>
            </w:r>
          </w:p>
        </w:tc>
        <w:tc>
          <w:tcPr>
            <w:tcW w:w="321" w:type="pct"/>
            <w:tcBorders>
              <w:top w:val="single" w:sz="4" w:space="0" w:color="auto"/>
              <w:left w:val="single" w:sz="4" w:space="0" w:color="auto"/>
            </w:tcBorders>
          </w:tcPr>
          <w:p w14:paraId="49D5DF50" w14:textId="77777777" w:rsidR="00524C5E" w:rsidRPr="002029AF" w:rsidRDefault="00524C5E" w:rsidP="007314FC">
            <w:pPr>
              <w:pStyle w:val="ARtabletextright"/>
              <w:spacing w:before="20" w:after="10"/>
            </w:pPr>
            <w:r>
              <w:t>2</w:t>
            </w:r>
          </w:p>
        </w:tc>
        <w:tc>
          <w:tcPr>
            <w:tcW w:w="285" w:type="pct"/>
            <w:tcBorders>
              <w:top w:val="single" w:sz="4" w:space="0" w:color="auto"/>
              <w:right w:val="single" w:sz="4" w:space="0" w:color="auto"/>
            </w:tcBorders>
          </w:tcPr>
          <w:p w14:paraId="2CE4DA6D" w14:textId="77777777" w:rsidR="00524C5E" w:rsidRPr="002029AF" w:rsidRDefault="00524C5E" w:rsidP="007314FC">
            <w:pPr>
              <w:pStyle w:val="ARtabletextright"/>
              <w:spacing w:before="20" w:after="10"/>
            </w:pPr>
            <w:r>
              <w:t>1.7</w:t>
            </w:r>
          </w:p>
        </w:tc>
        <w:tc>
          <w:tcPr>
            <w:tcW w:w="321" w:type="pct"/>
            <w:tcBorders>
              <w:top w:val="single" w:sz="4" w:space="0" w:color="auto"/>
              <w:left w:val="single" w:sz="4" w:space="0" w:color="auto"/>
            </w:tcBorders>
            <w:hideMark/>
          </w:tcPr>
          <w:p w14:paraId="629C63AF" w14:textId="77777777" w:rsidR="00524C5E" w:rsidRPr="002029AF" w:rsidRDefault="00524C5E" w:rsidP="007314FC">
            <w:pPr>
              <w:pStyle w:val="ARtabletextright"/>
              <w:spacing w:before="20" w:after="10"/>
            </w:pPr>
            <w:r w:rsidRPr="002029AF">
              <w:t>1</w:t>
            </w:r>
          </w:p>
        </w:tc>
        <w:tc>
          <w:tcPr>
            <w:tcW w:w="285" w:type="pct"/>
            <w:tcBorders>
              <w:top w:val="single" w:sz="4" w:space="0" w:color="auto"/>
              <w:right w:val="single" w:sz="4" w:space="0" w:color="auto"/>
            </w:tcBorders>
            <w:hideMark/>
          </w:tcPr>
          <w:p w14:paraId="24A9137B" w14:textId="77777777" w:rsidR="00524C5E" w:rsidRPr="002029AF" w:rsidRDefault="00524C5E" w:rsidP="007314FC">
            <w:pPr>
              <w:pStyle w:val="ARtabletextright"/>
              <w:spacing w:before="20" w:after="10"/>
            </w:pPr>
            <w:r w:rsidRPr="002029AF">
              <w:t>0.7</w:t>
            </w:r>
          </w:p>
        </w:tc>
        <w:tc>
          <w:tcPr>
            <w:tcW w:w="284" w:type="pct"/>
            <w:tcBorders>
              <w:top w:val="single" w:sz="4" w:space="0" w:color="auto"/>
              <w:left w:val="single" w:sz="4" w:space="0" w:color="auto"/>
            </w:tcBorders>
            <w:hideMark/>
          </w:tcPr>
          <w:p w14:paraId="055D2689" w14:textId="77777777" w:rsidR="00524C5E" w:rsidRPr="002029AF" w:rsidRDefault="00524C5E" w:rsidP="007314FC">
            <w:pPr>
              <w:pStyle w:val="ARtabletextright"/>
              <w:spacing w:before="20" w:after="10"/>
            </w:pPr>
            <w:r w:rsidRPr="002029AF">
              <w:t>0</w:t>
            </w:r>
          </w:p>
        </w:tc>
        <w:tc>
          <w:tcPr>
            <w:tcW w:w="284" w:type="pct"/>
            <w:tcBorders>
              <w:top w:val="single" w:sz="4" w:space="0" w:color="auto"/>
            </w:tcBorders>
            <w:hideMark/>
          </w:tcPr>
          <w:p w14:paraId="619C08DE" w14:textId="77777777" w:rsidR="00524C5E" w:rsidRPr="002029AF" w:rsidRDefault="00524C5E" w:rsidP="007314FC">
            <w:pPr>
              <w:pStyle w:val="ARtabletextright"/>
              <w:spacing w:before="20" w:after="10"/>
            </w:pPr>
            <w:r w:rsidRPr="002029AF">
              <w:t>0</w:t>
            </w:r>
          </w:p>
        </w:tc>
        <w:tc>
          <w:tcPr>
            <w:tcW w:w="286" w:type="pct"/>
            <w:tcBorders>
              <w:top w:val="single" w:sz="4" w:space="0" w:color="auto"/>
              <w:right w:val="single" w:sz="4" w:space="0" w:color="auto"/>
            </w:tcBorders>
            <w:hideMark/>
          </w:tcPr>
          <w:p w14:paraId="3A0D2835" w14:textId="77777777" w:rsidR="00524C5E" w:rsidRPr="002029AF" w:rsidRDefault="00524C5E" w:rsidP="007314FC">
            <w:pPr>
              <w:pStyle w:val="ARtabletextright"/>
              <w:spacing w:before="20" w:after="10"/>
            </w:pPr>
            <w:r w:rsidRPr="002029AF">
              <w:t>0</w:t>
            </w:r>
          </w:p>
        </w:tc>
        <w:tc>
          <w:tcPr>
            <w:tcW w:w="321" w:type="pct"/>
            <w:tcBorders>
              <w:left w:val="single" w:sz="4" w:space="0" w:color="auto"/>
            </w:tcBorders>
            <w:hideMark/>
          </w:tcPr>
          <w:p w14:paraId="25CC40E3" w14:textId="77777777" w:rsidR="00524C5E" w:rsidRPr="002029AF" w:rsidRDefault="00524C5E" w:rsidP="007314FC">
            <w:pPr>
              <w:pStyle w:val="ARtabletextright"/>
              <w:spacing w:before="20" w:after="10"/>
            </w:pPr>
            <w:r w:rsidRPr="002029AF">
              <w:t>1</w:t>
            </w:r>
          </w:p>
        </w:tc>
        <w:tc>
          <w:tcPr>
            <w:tcW w:w="282" w:type="pct"/>
            <w:hideMark/>
          </w:tcPr>
          <w:p w14:paraId="27E210D2" w14:textId="77777777" w:rsidR="00524C5E" w:rsidRPr="002029AF" w:rsidRDefault="00524C5E" w:rsidP="007314FC">
            <w:pPr>
              <w:pStyle w:val="ARtabletextright"/>
              <w:spacing w:before="20" w:after="10"/>
            </w:pPr>
            <w:r w:rsidRPr="002029AF">
              <w:t>0.7</w:t>
            </w:r>
          </w:p>
        </w:tc>
      </w:tr>
      <w:tr w:rsidR="00524C5E" w:rsidRPr="002029AF" w14:paraId="69C7A0B1" w14:textId="77777777" w:rsidTr="00524C5E">
        <w:tc>
          <w:tcPr>
            <w:tcW w:w="867" w:type="pct"/>
            <w:hideMark/>
          </w:tcPr>
          <w:p w14:paraId="2F6D79CC" w14:textId="77777777" w:rsidR="00524C5E" w:rsidRPr="002029AF" w:rsidRDefault="00524C5E" w:rsidP="007314FC">
            <w:pPr>
              <w:pStyle w:val="ARtabletext"/>
              <w:spacing w:before="20" w:after="10"/>
            </w:pPr>
            <w:r w:rsidRPr="002029AF">
              <w:t>Executives</w:t>
            </w:r>
          </w:p>
        </w:tc>
        <w:tc>
          <w:tcPr>
            <w:tcW w:w="321" w:type="pct"/>
            <w:tcBorders>
              <w:top w:val="single" w:sz="4" w:space="0" w:color="auto"/>
            </w:tcBorders>
          </w:tcPr>
          <w:p w14:paraId="15E65EA1" w14:textId="77777777" w:rsidR="00524C5E" w:rsidRPr="002029AF" w:rsidRDefault="00524C5E" w:rsidP="007314FC">
            <w:pPr>
              <w:pStyle w:val="ARtabletextright"/>
              <w:spacing w:before="20" w:after="10"/>
            </w:pPr>
            <w:r>
              <w:t>6</w:t>
            </w:r>
          </w:p>
        </w:tc>
        <w:tc>
          <w:tcPr>
            <w:tcW w:w="289" w:type="pct"/>
            <w:tcBorders>
              <w:top w:val="single" w:sz="4" w:space="0" w:color="auto"/>
              <w:right w:val="single" w:sz="4" w:space="0" w:color="auto"/>
            </w:tcBorders>
          </w:tcPr>
          <w:p w14:paraId="41C8FFF5" w14:textId="77777777" w:rsidR="00524C5E" w:rsidRPr="002029AF" w:rsidRDefault="00524C5E" w:rsidP="007314FC">
            <w:pPr>
              <w:pStyle w:val="ARtabletextright"/>
              <w:spacing w:before="20" w:after="10"/>
            </w:pPr>
            <w:r>
              <w:t>5.5</w:t>
            </w:r>
          </w:p>
        </w:tc>
        <w:tc>
          <w:tcPr>
            <w:tcW w:w="284" w:type="pct"/>
            <w:tcBorders>
              <w:top w:val="single" w:sz="4" w:space="0" w:color="auto"/>
              <w:left w:val="single" w:sz="4" w:space="0" w:color="auto"/>
            </w:tcBorders>
          </w:tcPr>
          <w:p w14:paraId="5710400E" w14:textId="77777777" w:rsidR="00524C5E" w:rsidRPr="002029AF" w:rsidRDefault="00524C5E" w:rsidP="007314FC">
            <w:pPr>
              <w:pStyle w:val="ARtabletextright"/>
              <w:spacing w:before="20" w:after="10"/>
            </w:pPr>
            <w:r>
              <w:t>5</w:t>
            </w:r>
          </w:p>
        </w:tc>
        <w:tc>
          <w:tcPr>
            <w:tcW w:w="284" w:type="pct"/>
            <w:tcBorders>
              <w:top w:val="single" w:sz="4" w:space="0" w:color="auto"/>
            </w:tcBorders>
          </w:tcPr>
          <w:p w14:paraId="25764210" w14:textId="77777777" w:rsidR="00524C5E" w:rsidRPr="002029AF" w:rsidRDefault="00524C5E" w:rsidP="007314FC">
            <w:pPr>
              <w:pStyle w:val="ARtabletextright"/>
              <w:spacing w:before="20" w:after="10"/>
            </w:pPr>
            <w:r>
              <w:t>1</w:t>
            </w:r>
          </w:p>
        </w:tc>
        <w:tc>
          <w:tcPr>
            <w:tcW w:w="286" w:type="pct"/>
            <w:tcBorders>
              <w:top w:val="single" w:sz="4" w:space="0" w:color="auto"/>
              <w:right w:val="single" w:sz="4" w:space="0" w:color="auto"/>
            </w:tcBorders>
          </w:tcPr>
          <w:p w14:paraId="44D125A5" w14:textId="77777777" w:rsidR="00524C5E" w:rsidRPr="002029AF" w:rsidRDefault="00524C5E" w:rsidP="007314FC">
            <w:pPr>
              <w:pStyle w:val="ARtabletextright"/>
              <w:spacing w:before="20" w:after="10"/>
            </w:pPr>
            <w:r>
              <w:t>5.5</w:t>
            </w:r>
          </w:p>
        </w:tc>
        <w:tc>
          <w:tcPr>
            <w:tcW w:w="321" w:type="pct"/>
            <w:tcBorders>
              <w:top w:val="single" w:sz="4" w:space="0" w:color="auto"/>
              <w:left w:val="single" w:sz="4" w:space="0" w:color="auto"/>
            </w:tcBorders>
          </w:tcPr>
          <w:p w14:paraId="269E0FDF" w14:textId="77777777" w:rsidR="00524C5E" w:rsidRPr="002029AF" w:rsidRDefault="00524C5E" w:rsidP="007314FC">
            <w:pPr>
              <w:pStyle w:val="ARtabletextright"/>
              <w:spacing w:before="20" w:after="10"/>
            </w:pPr>
            <w:r>
              <w:t>0</w:t>
            </w:r>
          </w:p>
        </w:tc>
        <w:tc>
          <w:tcPr>
            <w:tcW w:w="285" w:type="pct"/>
            <w:tcBorders>
              <w:top w:val="single" w:sz="4" w:space="0" w:color="auto"/>
              <w:right w:val="single" w:sz="4" w:space="0" w:color="auto"/>
            </w:tcBorders>
          </w:tcPr>
          <w:p w14:paraId="18D3AB31" w14:textId="77777777" w:rsidR="00524C5E" w:rsidRPr="002029AF" w:rsidRDefault="00524C5E" w:rsidP="007314FC">
            <w:pPr>
              <w:pStyle w:val="ARtabletextright"/>
              <w:spacing w:before="20" w:after="10"/>
            </w:pPr>
            <w:r>
              <w:t>0.0</w:t>
            </w:r>
          </w:p>
        </w:tc>
        <w:tc>
          <w:tcPr>
            <w:tcW w:w="321" w:type="pct"/>
            <w:tcBorders>
              <w:top w:val="single" w:sz="4" w:space="0" w:color="auto"/>
              <w:left w:val="single" w:sz="4" w:space="0" w:color="auto"/>
            </w:tcBorders>
            <w:hideMark/>
          </w:tcPr>
          <w:p w14:paraId="0B5B2DBA" w14:textId="77777777" w:rsidR="00524C5E" w:rsidRPr="002029AF" w:rsidRDefault="00524C5E" w:rsidP="007314FC">
            <w:pPr>
              <w:pStyle w:val="ARtabletextright"/>
              <w:spacing w:before="20" w:after="10"/>
            </w:pPr>
            <w:r w:rsidRPr="002029AF">
              <w:t>7</w:t>
            </w:r>
          </w:p>
        </w:tc>
        <w:tc>
          <w:tcPr>
            <w:tcW w:w="285" w:type="pct"/>
            <w:tcBorders>
              <w:top w:val="single" w:sz="4" w:space="0" w:color="auto"/>
              <w:right w:val="single" w:sz="4" w:space="0" w:color="auto"/>
            </w:tcBorders>
            <w:hideMark/>
          </w:tcPr>
          <w:p w14:paraId="43F5F184" w14:textId="77777777" w:rsidR="00524C5E" w:rsidRPr="002029AF" w:rsidRDefault="00524C5E" w:rsidP="007314FC">
            <w:pPr>
              <w:pStyle w:val="ARtabletextright"/>
              <w:spacing w:before="20" w:after="10"/>
            </w:pPr>
            <w:r w:rsidRPr="002029AF">
              <w:t>6.3</w:t>
            </w:r>
          </w:p>
        </w:tc>
        <w:tc>
          <w:tcPr>
            <w:tcW w:w="284" w:type="pct"/>
            <w:tcBorders>
              <w:top w:val="single" w:sz="4" w:space="0" w:color="auto"/>
              <w:left w:val="single" w:sz="4" w:space="0" w:color="auto"/>
            </w:tcBorders>
            <w:hideMark/>
          </w:tcPr>
          <w:p w14:paraId="4D3F3097" w14:textId="77777777" w:rsidR="00524C5E" w:rsidRPr="002029AF" w:rsidRDefault="00524C5E" w:rsidP="007314FC">
            <w:pPr>
              <w:pStyle w:val="ARtabletextright"/>
              <w:spacing w:before="20" w:after="10"/>
            </w:pPr>
            <w:r w:rsidRPr="002029AF">
              <w:t>5</w:t>
            </w:r>
          </w:p>
        </w:tc>
        <w:tc>
          <w:tcPr>
            <w:tcW w:w="284" w:type="pct"/>
            <w:tcBorders>
              <w:top w:val="single" w:sz="4" w:space="0" w:color="auto"/>
            </w:tcBorders>
            <w:hideMark/>
          </w:tcPr>
          <w:p w14:paraId="0C37F051" w14:textId="77777777" w:rsidR="00524C5E" w:rsidRPr="002029AF" w:rsidRDefault="00524C5E" w:rsidP="007314FC">
            <w:pPr>
              <w:pStyle w:val="ARtabletextright"/>
              <w:spacing w:before="20" w:after="10"/>
            </w:pPr>
            <w:r w:rsidRPr="002029AF">
              <w:t>2</w:t>
            </w:r>
          </w:p>
        </w:tc>
        <w:tc>
          <w:tcPr>
            <w:tcW w:w="286" w:type="pct"/>
            <w:tcBorders>
              <w:top w:val="single" w:sz="4" w:space="0" w:color="auto"/>
              <w:right w:val="single" w:sz="4" w:space="0" w:color="auto"/>
            </w:tcBorders>
            <w:hideMark/>
          </w:tcPr>
          <w:p w14:paraId="590B16A3" w14:textId="77777777" w:rsidR="00524C5E" w:rsidRPr="002029AF" w:rsidRDefault="00524C5E" w:rsidP="007314FC">
            <w:pPr>
              <w:pStyle w:val="ARtabletextright"/>
              <w:spacing w:before="20" w:after="10"/>
            </w:pPr>
            <w:r w:rsidRPr="002029AF">
              <w:t>6.3</w:t>
            </w:r>
          </w:p>
        </w:tc>
        <w:tc>
          <w:tcPr>
            <w:tcW w:w="321" w:type="pct"/>
            <w:tcBorders>
              <w:left w:val="single" w:sz="4" w:space="0" w:color="auto"/>
            </w:tcBorders>
            <w:hideMark/>
          </w:tcPr>
          <w:p w14:paraId="1970426F" w14:textId="77777777" w:rsidR="00524C5E" w:rsidRPr="002029AF" w:rsidRDefault="00524C5E" w:rsidP="007314FC">
            <w:pPr>
              <w:pStyle w:val="ARtabletextright"/>
              <w:spacing w:before="20" w:after="10"/>
            </w:pPr>
            <w:r w:rsidRPr="002029AF">
              <w:t>0</w:t>
            </w:r>
          </w:p>
        </w:tc>
        <w:tc>
          <w:tcPr>
            <w:tcW w:w="282" w:type="pct"/>
            <w:hideMark/>
          </w:tcPr>
          <w:p w14:paraId="02B1604A" w14:textId="77777777" w:rsidR="00524C5E" w:rsidRPr="002029AF" w:rsidRDefault="00524C5E" w:rsidP="007314FC">
            <w:pPr>
              <w:pStyle w:val="ARtabletextright"/>
              <w:spacing w:before="20" w:after="10"/>
            </w:pPr>
            <w:r w:rsidRPr="002029AF">
              <w:t>0</w:t>
            </w:r>
          </w:p>
        </w:tc>
      </w:tr>
      <w:tr w:rsidR="00524C5E" w:rsidRPr="002029AF" w14:paraId="5717F84B" w14:textId="77777777" w:rsidTr="00524C5E">
        <w:tc>
          <w:tcPr>
            <w:tcW w:w="867" w:type="pct"/>
            <w:hideMark/>
          </w:tcPr>
          <w:p w14:paraId="2A6C8DC8" w14:textId="77777777" w:rsidR="00524C5E" w:rsidRPr="002029AF" w:rsidRDefault="00524C5E" w:rsidP="007314FC">
            <w:pPr>
              <w:pStyle w:val="ARtabletextbold"/>
              <w:spacing w:before="20" w:after="10"/>
            </w:pPr>
            <w:r w:rsidRPr="002029AF">
              <w:t>Total employees</w:t>
            </w:r>
          </w:p>
        </w:tc>
        <w:tc>
          <w:tcPr>
            <w:tcW w:w="321" w:type="pct"/>
            <w:tcBorders>
              <w:top w:val="single" w:sz="4" w:space="0" w:color="auto"/>
            </w:tcBorders>
          </w:tcPr>
          <w:p w14:paraId="2187F638" w14:textId="77777777" w:rsidR="00524C5E" w:rsidRPr="002029AF" w:rsidRDefault="00524C5E" w:rsidP="007314FC">
            <w:pPr>
              <w:pStyle w:val="ARtabletextrightbold"/>
              <w:spacing w:before="20" w:after="10"/>
            </w:pPr>
            <w:r>
              <w:t>146</w:t>
            </w:r>
          </w:p>
        </w:tc>
        <w:tc>
          <w:tcPr>
            <w:tcW w:w="289" w:type="pct"/>
            <w:tcBorders>
              <w:top w:val="single" w:sz="4" w:space="0" w:color="auto"/>
              <w:right w:val="single" w:sz="4" w:space="0" w:color="auto"/>
            </w:tcBorders>
          </w:tcPr>
          <w:p w14:paraId="77FD7D89" w14:textId="77777777" w:rsidR="00524C5E" w:rsidRPr="002029AF" w:rsidRDefault="00524C5E" w:rsidP="007314FC">
            <w:pPr>
              <w:pStyle w:val="ARtabletextrightbold"/>
              <w:spacing w:before="20" w:after="10"/>
            </w:pPr>
            <w:r>
              <w:t>134.0</w:t>
            </w:r>
          </w:p>
        </w:tc>
        <w:tc>
          <w:tcPr>
            <w:tcW w:w="284" w:type="pct"/>
            <w:tcBorders>
              <w:top w:val="single" w:sz="4" w:space="0" w:color="auto"/>
              <w:left w:val="single" w:sz="4" w:space="0" w:color="auto"/>
            </w:tcBorders>
          </w:tcPr>
          <w:p w14:paraId="52C5DDA4" w14:textId="77777777" w:rsidR="00524C5E" w:rsidRPr="002029AF" w:rsidRDefault="00524C5E" w:rsidP="007314FC">
            <w:pPr>
              <w:pStyle w:val="ARtabletextrightbold"/>
              <w:spacing w:before="20" w:after="10"/>
            </w:pPr>
            <w:r>
              <w:t>84</w:t>
            </w:r>
          </w:p>
        </w:tc>
        <w:tc>
          <w:tcPr>
            <w:tcW w:w="284" w:type="pct"/>
            <w:tcBorders>
              <w:top w:val="single" w:sz="4" w:space="0" w:color="auto"/>
            </w:tcBorders>
          </w:tcPr>
          <w:p w14:paraId="0BD4B393" w14:textId="77777777" w:rsidR="00524C5E" w:rsidRPr="002029AF" w:rsidRDefault="00524C5E" w:rsidP="007314FC">
            <w:pPr>
              <w:pStyle w:val="ARtabletextrightbold"/>
              <w:spacing w:before="20" w:after="10"/>
            </w:pPr>
            <w:r>
              <w:t>31</w:t>
            </w:r>
          </w:p>
        </w:tc>
        <w:tc>
          <w:tcPr>
            <w:tcW w:w="286" w:type="pct"/>
            <w:tcBorders>
              <w:top w:val="single" w:sz="4" w:space="0" w:color="auto"/>
              <w:right w:val="single" w:sz="4" w:space="0" w:color="auto"/>
            </w:tcBorders>
          </w:tcPr>
          <w:p w14:paraId="79F9BD74" w14:textId="77777777" w:rsidR="00524C5E" w:rsidRPr="002029AF" w:rsidRDefault="00524C5E" w:rsidP="007314FC">
            <w:pPr>
              <w:pStyle w:val="ARtabletextrightbold"/>
              <w:spacing w:before="20" w:after="10"/>
            </w:pPr>
            <w:r>
              <w:t>105.9</w:t>
            </w:r>
          </w:p>
        </w:tc>
        <w:tc>
          <w:tcPr>
            <w:tcW w:w="321" w:type="pct"/>
            <w:tcBorders>
              <w:top w:val="single" w:sz="4" w:space="0" w:color="auto"/>
              <w:left w:val="single" w:sz="4" w:space="0" w:color="auto"/>
            </w:tcBorders>
          </w:tcPr>
          <w:p w14:paraId="7CE60E09" w14:textId="77777777" w:rsidR="00524C5E" w:rsidRPr="002029AF" w:rsidRDefault="00524C5E" w:rsidP="007314FC">
            <w:pPr>
              <w:pStyle w:val="ARtabletextrightbold"/>
              <w:spacing w:before="20" w:after="10"/>
            </w:pPr>
            <w:r>
              <w:t>31</w:t>
            </w:r>
          </w:p>
        </w:tc>
        <w:tc>
          <w:tcPr>
            <w:tcW w:w="285" w:type="pct"/>
            <w:tcBorders>
              <w:top w:val="single" w:sz="4" w:space="0" w:color="auto"/>
              <w:right w:val="single" w:sz="4" w:space="0" w:color="auto"/>
            </w:tcBorders>
          </w:tcPr>
          <w:p w14:paraId="20B57C10" w14:textId="77777777" w:rsidR="00524C5E" w:rsidRPr="002029AF" w:rsidRDefault="00524C5E" w:rsidP="007314FC">
            <w:pPr>
              <w:pStyle w:val="ARtabletextrightbold"/>
              <w:spacing w:before="20" w:after="10"/>
            </w:pPr>
            <w:r>
              <w:t>28.2</w:t>
            </w:r>
          </w:p>
        </w:tc>
        <w:tc>
          <w:tcPr>
            <w:tcW w:w="321" w:type="pct"/>
            <w:tcBorders>
              <w:top w:val="single" w:sz="4" w:space="0" w:color="auto"/>
              <w:left w:val="single" w:sz="4" w:space="0" w:color="auto"/>
            </w:tcBorders>
            <w:hideMark/>
          </w:tcPr>
          <w:p w14:paraId="6D6530F9" w14:textId="77777777" w:rsidR="00524C5E" w:rsidRPr="002029AF" w:rsidRDefault="00524C5E" w:rsidP="007314FC">
            <w:pPr>
              <w:pStyle w:val="ARtabletextrightbold"/>
              <w:spacing w:before="20" w:after="10"/>
            </w:pPr>
            <w:r w:rsidRPr="002029AF">
              <w:t>125</w:t>
            </w:r>
          </w:p>
        </w:tc>
        <w:tc>
          <w:tcPr>
            <w:tcW w:w="285" w:type="pct"/>
            <w:tcBorders>
              <w:top w:val="single" w:sz="4" w:space="0" w:color="auto"/>
              <w:right w:val="single" w:sz="4" w:space="0" w:color="auto"/>
            </w:tcBorders>
            <w:hideMark/>
          </w:tcPr>
          <w:p w14:paraId="5E14C561" w14:textId="77777777" w:rsidR="00524C5E" w:rsidRPr="002029AF" w:rsidRDefault="00524C5E" w:rsidP="007314FC">
            <w:pPr>
              <w:pStyle w:val="ARtabletextrightbold"/>
              <w:spacing w:before="20" w:after="10"/>
            </w:pPr>
            <w:r w:rsidRPr="002029AF">
              <w:t>113</w:t>
            </w:r>
            <w:r>
              <w:t>.0</w:t>
            </w:r>
          </w:p>
        </w:tc>
        <w:tc>
          <w:tcPr>
            <w:tcW w:w="284" w:type="pct"/>
            <w:tcBorders>
              <w:top w:val="single" w:sz="4" w:space="0" w:color="auto"/>
              <w:left w:val="single" w:sz="4" w:space="0" w:color="auto"/>
            </w:tcBorders>
            <w:hideMark/>
          </w:tcPr>
          <w:p w14:paraId="5DE4FD11" w14:textId="77777777" w:rsidR="00524C5E" w:rsidRPr="002029AF" w:rsidRDefault="00524C5E" w:rsidP="007314FC">
            <w:pPr>
              <w:pStyle w:val="ARtabletextrightbold"/>
              <w:spacing w:before="20" w:after="10"/>
            </w:pPr>
            <w:r w:rsidRPr="002029AF">
              <w:t>64</w:t>
            </w:r>
          </w:p>
        </w:tc>
        <w:tc>
          <w:tcPr>
            <w:tcW w:w="284" w:type="pct"/>
            <w:tcBorders>
              <w:top w:val="single" w:sz="4" w:space="0" w:color="auto"/>
            </w:tcBorders>
            <w:hideMark/>
          </w:tcPr>
          <w:p w14:paraId="34CD656B" w14:textId="77777777" w:rsidR="00524C5E" w:rsidRPr="002029AF" w:rsidRDefault="00524C5E" w:rsidP="007314FC">
            <w:pPr>
              <w:pStyle w:val="ARtabletextrightbold"/>
              <w:spacing w:before="20" w:after="10"/>
            </w:pPr>
            <w:r w:rsidRPr="002029AF">
              <w:t>33</w:t>
            </w:r>
          </w:p>
        </w:tc>
        <w:tc>
          <w:tcPr>
            <w:tcW w:w="286" w:type="pct"/>
            <w:tcBorders>
              <w:top w:val="single" w:sz="4" w:space="0" w:color="auto"/>
              <w:right w:val="single" w:sz="4" w:space="0" w:color="auto"/>
            </w:tcBorders>
            <w:hideMark/>
          </w:tcPr>
          <w:p w14:paraId="46B89775" w14:textId="77777777" w:rsidR="00524C5E" w:rsidRPr="002029AF" w:rsidRDefault="00524C5E" w:rsidP="007314FC">
            <w:pPr>
              <w:pStyle w:val="ARtabletextrightbold"/>
              <w:spacing w:before="20" w:after="10"/>
            </w:pPr>
            <w:r w:rsidRPr="002029AF">
              <w:t>86.4</w:t>
            </w:r>
          </w:p>
        </w:tc>
        <w:tc>
          <w:tcPr>
            <w:tcW w:w="321" w:type="pct"/>
            <w:tcBorders>
              <w:left w:val="single" w:sz="4" w:space="0" w:color="auto"/>
            </w:tcBorders>
            <w:hideMark/>
          </w:tcPr>
          <w:p w14:paraId="32973853" w14:textId="77777777" w:rsidR="00524C5E" w:rsidRPr="002029AF" w:rsidRDefault="00524C5E" w:rsidP="007314FC">
            <w:pPr>
              <w:pStyle w:val="ARtabletextrightbold"/>
              <w:spacing w:before="20" w:after="10"/>
            </w:pPr>
            <w:r w:rsidRPr="002029AF">
              <w:t>28</w:t>
            </w:r>
          </w:p>
        </w:tc>
        <w:tc>
          <w:tcPr>
            <w:tcW w:w="282" w:type="pct"/>
            <w:hideMark/>
          </w:tcPr>
          <w:p w14:paraId="6E58934E" w14:textId="77777777" w:rsidR="00524C5E" w:rsidRPr="002029AF" w:rsidRDefault="00524C5E" w:rsidP="007314FC">
            <w:pPr>
              <w:pStyle w:val="ARtabletextrightbold"/>
              <w:spacing w:before="20" w:after="10"/>
            </w:pPr>
            <w:r w:rsidRPr="002029AF">
              <w:t>26.6</w:t>
            </w:r>
          </w:p>
        </w:tc>
      </w:tr>
    </w:tbl>
    <w:p w14:paraId="4D9D30E2" w14:textId="1926ECD7" w:rsidR="00524C5E" w:rsidRPr="002029AF" w:rsidRDefault="00524C5E" w:rsidP="00F16765">
      <w:pPr>
        <w:pStyle w:val="ARtablefootnote"/>
        <w:keepNext/>
        <w:rPr>
          <w:rFonts w:eastAsia="Times"/>
        </w:rPr>
      </w:pPr>
      <w:r w:rsidRPr="002029AF">
        <w:rPr>
          <w:rFonts w:eastAsia="Times"/>
        </w:rPr>
        <w:t>Note:</w:t>
      </w:r>
    </w:p>
    <w:p w14:paraId="00A20ECF" w14:textId="77777777" w:rsidR="00524C5E" w:rsidRDefault="00BE7E49" w:rsidP="00524C5E">
      <w:pPr>
        <w:pStyle w:val="ARtablefootnote"/>
        <w:rPr>
          <w:rFonts w:eastAsia="Times"/>
        </w:rPr>
      </w:pPr>
      <w:r>
        <w:rPr>
          <w:rFonts w:eastAsia="Times"/>
        </w:rPr>
        <w:t>There may be r</w:t>
      </w:r>
      <w:r w:rsidR="00524C5E" w:rsidRPr="002029AF">
        <w:rPr>
          <w:rFonts w:eastAsia="Times"/>
        </w:rPr>
        <w:t>ounding errors in FTE tables due to data being formatted to one decimal place</w:t>
      </w:r>
      <w:r w:rsidR="00524C5E">
        <w:rPr>
          <w:rFonts w:eastAsia="Times"/>
        </w:rPr>
        <w:t>.</w:t>
      </w:r>
    </w:p>
    <w:p w14:paraId="06FEFA21" w14:textId="26E37F94" w:rsidR="007314FC" w:rsidRPr="001E59E3" w:rsidRDefault="007314FC" w:rsidP="00524C5E">
      <w:pPr>
        <w:pStyle w:val="ARtablefootnote"/>
        <w:rPr>
          <w:rFonts w:eastAsia="Times"/>
        </w:rPr>
        <w:sectPr w:rsidR="007314FC" w:rsidRPr="001E59E3" w:rsidSect="00524C5E">
          <w:headerReference w:type="default" r:id="rId76"/>
          <w:footnotePr>
            <w:numFmt w:val="lowerLetter"/>
            <w:numRestart w:val="eachPage"/>
          </w:footnotePr>
          <w:endnotePr>
            <w:numFmt w:val="decimal"/>
          </w:endnotePr>
          <w:pgSz w:w="16838" w:h="11906" w:orient="landscape" w:code="9"/>
          <w:pgMar w:top="1134" w:right="1985" w:bottom="1134" w:left="851" w:header="510" w:footer="340" w:gutter="0"/>
          <w:cols w:space="454"/>
          <w:docGrid w:linePitch="360"/>
        </w:sectPr>
      </w:pPr>
    </w:p>
    <w:p w14:paraId="7ECE8519" w14:textId="28C1836B" w:rsidR="00524C5E" w:rsidRDefault="00524C5E" w:rsidP="00897193">
      <w:pPr>
        <w:pStyle w:val="Heading4"/>
        <w:spacing w:before="0"/>
      </w:pPr>
      <w:bookmarkStart w:id="441" w:name="_Toc85121234"/>
      <w:r w:rsidRPr="002029AF">
        <w:lastRenderedPageBreak/>
        <w:t>Annualised total salary, by $20,000 bands, for executives and other senior non</w:t>
      </w:r>
      <w:r w:rsidR="00E5061E">
        <w:noBreakHyphen/>
      </w:r>
      <w:r w:rsidRPr="002029AF">
        <w:t>executive staff</w:t>
      </w:r>
      <w:bookmarkEnd w:id="441"/>
    </w:p>
    <w:p w14:paraId="53D50A5D" w14:textId="63299CFE" w:rsidR="00524C5E" w:rsidRPr="00B26015" w:rsidRDefault="00524C5E" w:rsidP="00C741F1">
      <w:pPr>
        <w:pStyle w:val="ARbodybeforetable"/>
      </w:pPr>
      <w:r w:rsidRPr="001D5E51">
        <w:t xml:space="preserve">The following table discloses the annualised total salary for senior employees of </w:t>
      </w:r>
      <w:r>
        <w:t>Safer Care Victoria</w:t>
      </w:r>
      <w:r w:rsidRPr="001D5E51">
        <w:t xml:space="preserve">, categorised by classification. </w:t>
      </w:r>
      <w:r w:rsidR="00C47A8C" w:rsidRPr="001D5E51">
        <w:t>The salary amount</w:t>
      </w:r>
      <w:r w:rsidR="00C47A8C">
        <w:t>s</w:t>
      </w:r>
      <w:r w:rsidR="00C47A8C" w:rsidRPr="00BB3F1B">
        <w:t xml:space="preserve"> </w:t>
      </w:r>
      <w:r w:rsidR="00C47A8C" w:rsidRPr="00500114">
        <w:t>are for the full financial year, at a 1-FTE rate, and exclude superannuation</w:t>
      </w:r>
      <w:r w:rsidR="00C47A8C" w:rsidRPr="001D5E51">
        <w:t>.</w:t>
      </w:r>
    </w:p>
    <w:tbl>
      <w:tblPr>
        <w:tblW w:w="9645"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1E0" w:firstRow="1" w:lastRow="1" w:firstColumn="1" w:lastColumn="1" w:noHBand="0" w:noVBand="0"/>
      </w:tblPr>
      <w:tblGrid>
        <w:gridCol w:w="2699"/>
        <w:gridCol w:w="1418"/>
        <w:gridCol w:w="1134"/>
        <w:gridCol w:w="1134"/>
        <w:gridCol w:w="1134"/>
        <w:gridCol w:w="1134"/>
        <w:gridCol w:w="992"/>
      </w:tblGrid>
      <w:tr w:rsidR="00524C5E" w:rsidRPr="002029AF" w14:paraId="61199F54" w14:textId="77777777" w:rsidTr="00897193">
        <w:trPr>
          <w:cantSplit/>
          <w:tblHeader/>
        </w:trPr>
        <w:tc>
          <w:tcPr>
            <w:tcW w:w="1399" w:type="pct"/>
            <w:tcBorders>
              <w:top w:val="nil"/>
              <w:bottom w:val="single" w:sz="4" w:space="0" w:color="auto"/>
            </w:tcBorders>
            <w:shd w:val="clear" w:color="auto" w:fill="auto"/>
          </w:tcPr>
          <w:p w14:paraId="2EFB7C69" w14:textId="77777777" w:rsidR="00524C5E" w:rsidRPr="002029AF" w:rsidRDefault="00524C5E" w:rsidP="00897193">
            <w:pPr>
              <w:pStyle w:val="ARtablecolhead"/>
            </w:pPr>
            <w:r w:rsidRPr="002029AF">
              <w:t>Income band (salary)</w:t>
            </w:r>
          </w:p>
        </w:tc>
        <w:tc>
          <w:tcPr>
            <w:tcW w:w="735" w:type="pct"/>
            <w:tcBorders>
              <w:top w:val="nil"/>
              <w:bottom w:val="single" w:sz="4" w:space="0" w:color="auto"/>
            </w:tcBorders>
            <w:shd w:val="clear" w:color="auto" w:fill="auto"/>
            <w:vAlign w:val="bottom"/>
          </w:tcPr>
          <w:p w14:paraId="00E08DD5" w14:textId="77777777" w:rsidR="00524C5E" w:rsidRPr="002029AF" w:rsidRDefault="00524C5E" w:rsidP="00897193">
            <w:pPr>
              <w:pStyle w:val="ARtablecolheadright"/>
            </w:pPr>
            <w:r w:rsidRPr="002029AF">
              <w:t>Executives</w:t>
            </w:r>
          </w:p>
        </w:tc>
        <w:tc>
          <w:tcPr>
            <w:tcW w:w="588" w:type="pct"/>
            <w:tcBorders>
              <w:top w:val="nil"/>
              <w:bottom w:val="single" w:sz="4" w:space="0" w:color="auto"/>
            </w:tcBorders>
            <w:shd w:val="clear" w:color="auto" w:fill="auto"/>
            <w:vAlign w:val="bottom"/>
          </w:tcPr>
          <w:p w14:paraId="41ADD502" w14:textId="38F94DA2" w:rsidR="00524C5E" w:rsidRPr="002029AF" w:rsidRDefault="00524C5E" w:rsidP="00897193">
            <w:pPr>
              <w:pStyle w:val="ARtablecolheadright"/>
            </w:pPr>
            <w:r w:rsidRPr="002029AF">
              <w:t>STS</w:t>
            </w:r>
            <w:r w:rsidR="00B26F8B" w:rsidRPr="00BB3F1B">
              <w:rPr>
                <w:rStyle w:val="FootnoteReference"/>
              </w:rPr>
              <w:t>(</w:t>
            </w:r>
            <w:r w:rsidR="00B26F8B">
              <w:rPr>
                <w:rStyle w:val="FootnoteReference"/>
              </w:rPr>
              <w:footnoteReference w:id="28"/>
            </w:r>
            <w:r w:rsidR="00B26F8B" w:rsidRPr="00BB3F1B">
              <w:rPr>
                <w:rStyle w:val="FootnoteReference"/>
              </w:rPr>
              <w:t>)</w:t>
            </w:r>
          </w:p>
        </w:tc>
        <w:tc>
          <w:tcPr>
            <w:tcW w:w="588" w:type="pct"/>
            <w:tcBorders>
              <w:top w:val="nil"/>
              <w:bottom w:val="single" w:sz="4" w:space="0" w:color="auto"/>
            </w:tcBorders>
            <w:shd w:val="clear" w:color="auto" w:fill="auto"/>
            <w:vAlign w:val="bottom"/>
          </w:tcPr>
          <w:p w14:paraId="44D18325" w14:textId="6285573C" w:rsidR="00524C5E" w:rsidRPr="002029AF" w:rsidRDefault="00524C5E" w:rsidP="00897193">
            <w:pPr>
              <w:pStyle w:val="ARtablecolheadright"/>
            </w:pPr>
            <w:r w:rsidRPr="002029AF">
              <w:t>PS</w:t>
            </w:r>
          </w:p>
        </w:tc>
        <w:tc>
          <w:tcPr>
            <w:tcW w:w="588" w:type="pct"/>
            <w:tcBorders>
              <w:top w:val="nil"/>
              <w:bottom w:val="single" w:sz="4" w:space="0" w:color="auto"/>
            </w:tcBorders>
            <w:vAlign w:val="bottom"/>
          </w:tcPr>
          <w:p w14:paraId="34A10A71" w14:textId="30707423" w:rsidR="00524C5E" w:rsidRPr="002029AF" w:rsidRDefault="00524C5E" w:rsidP="00897193">
            <w:pPr>
              <w:pStyle w:val="ARtablecolheadright"/>
            </w:pPr>
            <w:r w:rsidRPr="002029AF">
              <w:t>SMA</w:t>
            </w:r>
          </w:p>
        </w:tc>
        <w:tc>
          <w:tcPr>
            <w:tcW w:w="588" w:type="pct"/>
            <w:tcBorders>
              <w:top w:val="nil"/>
              <w:bottom w:val="single" w:sz="4" w:space="0" w:color="auto"/>
            </w:tcBorders>
            <w:vAlign w:val="bottom"/>
          </w:tcPr>
          <w:p w14:paraId="211A6F63" w14:textId="6524264C" w:rsidR="00524C5E" w:rsidRPr="002029AF" w:rsidRDefault="00524C5E" w:rsidP="00897193">
            <w:pPr>
              <w:pStyle w:val="ARtablecolheadright"/>
            </w:pPr>
            <w:r w:rsidRPr="002029AF">
              <w:t>SRA</w:t>
            </w:r>
          </w:p>
        </w:tc>
        <w:tc>
          <w:tcPr>
            <w:tcW w:w="514" w:type="pct"/>
            <w:tcBorders>
              <w:top w:val="nil"/>
              <w:bottom w:val="single" w:sz="4" w:space="0" w:color="auto"/>
            </w:tcBorders>
            <w:vAlign w:val="bottom"/>
          </w:tcPr>
          <w:p w14:paraId="0E2FF6BE" w14:textId="77777777" w:rsidR="00524C5E" w:rsidRPr="002029AF" w:rsidRDefault="00524C5E" w:rsidP="00897193">
            <w:pPr>
              <w:pStyle w:val="ARtablecolheadright"/>
            </w:pPr>
            <w:r w:rsidRPr="002029AF">
              <w:t>Other</w:t>
            </w:r>
          </w:p>
        </w:tc>
      </w:tr>
      <w:tr w:rsidR="00524C5E" w:rsidRPr="002029AF" w14:paraId="18EB24D1" w14:textId="77777777" w:rsidTr="00897193">
        <w:trPr>
          <w:cantSplit/>
        </w:trPr>
        <w:tc>
          <w:tcPr>
            <w:tcW w:w="1399" w:type="pct"/>
            <w:tcBorders>
              <w:top w:val="single" w:sz="4" w:space="0" w:color="auto"/>
              <w:bottom w:val="single" w:sz="4" w:space="0" w:color="auto"/>
            </w:tcBorders>
            <w:shd w:val="clear" w:color="auto" w:fill="auto"/>
          </w:tcPr>
          <w:p w14:paraId="2F023E38" w14:textId="77777777" w:rsidR="00524C5E" w:rsidRPr="002029AF" w:rsidRDefault="00524C5E" w:rsidP="00897193">
            <w:pPr>
              <w:pStyle w:val="ARtabletext"/>
            </w:pPr>
            <w:r w:rsidRPr="002029AF">
              <w:t>&lt; $160,000</w:t>
            </w:r>
          </w:p>
        </w:tc>
        <w:tc>
          <w:tcPr>
            <w:tcW w:w="735" w:type="pct"/>
            <w:tcBorders>
              <w:top w:val="single" w:sz="4" w:space="0" w:color="auto"/>
              <w:bottom w:val="single" w:sz="4" w:space="0" w:color="auto"/>
            </w:tcBorders>
            <w:shd w:val="clear" w:color="auto" w:fill="auto"/>
          </w:tcPr>
          <w:p w14:paraId="0419C8FB" w14:textId="77777777" w:rsidR="00524C5E" w:rsidRPr="002029AF" w:rsidRDefault="00524C5E" w:rsidP="00897193">
            <w:pPr>
              <w:pStyle w:val="ARtabletextright"/>
            </w:pPr>
          </w:p>
        </w:tc>
        <w:tc>
          <w:tcPr>
            <w:tcW w:w="588" w:type="pct"/>
            <w:tcBorders>
              <w:top w:val="single" w:sz="4" w:space="0" w:color="auto"/>
              <w:bottom w:val="single" w:sz="4" w:space="0" w:color="auto"/>
            </w:tcBorders>
            <w:shd w:val="clear" w:color="auto" w:fill="auto"/>
          </w:tcPr>
          <w:p w14:paraId="6C400878" w14:textId="77777777" w:rsidR="00524C5E" w:rsidRPr="002029AF" w:rsidRDefault="00524C5E" w:rsidP="00897193">
            <w:pPr>
              <w:pStyle w:val="ARtabletextright"/>
            </w:pPr>
          </w:p>
        </w:tc>
        <w:tc>
          <w:tcPr>
            <w:tcW w:w="588" w:type="pct"/>
            <w:tcBorders>
              <w:top w:val="single" w:sz="4" w:space="0" w:color="auto"/>
              <w:bottom w:val="single" w:sz="4" w:space="0" w:color="auto"/>
            </w:tcBorders>
            <w:shd w:val="clear" w:color="auto" w:fill="auto"/>
          </w:tcPr>
          <w:p w14:paraId="6F91C1C7" w14:textId="77777777" w:rsidR="00524C5E" w:rsidRPr="002029AF" w:rsidRDefault="00524C5E" w:rsidP="00897193">
            <w:pPr>
              <w:pStyle w:val="ARtabletextright"/>
            </w:pPr>
          </w:p>
        </w:tc>
        <w:tc>
          <w:tcPr>
            <w:tcW w:w="588" w:type="pct"/>
            <w:tcBorders>
              <w:top w:val="single" w:sz="4" w:space="0" w:color="auto"/>
              <w:bottom w:val="single" w:sz="4" w:space="0" w:color="auto"/>
            </w:tcBorders>
          </w:tcPr>
          <w:p w14:paraId="45C3D592" w14:textId="77777777" w:rsidR="00524C5E" w:rsidRPr="002029AF" w:rsidRDefault="00524C5E" w:rsidP="00897193">
            <w:pPr>
              <w:pStyle w:val="ARtabletextright"/>
            </w:pPr>
          </w:p>
        </w:tc>
        <w:tc>
          <w:tcPr>
            <w:tcW w:w="588" w:type="pct"/>
            <w:tcBorders>
              <w:top w:val="single" w:sz="4" w:space="0" w:color="auto"/>
              <w:bottom w:val="single" w:sz="4" w:space="0" w:color="auto"/>
            </w:tcBorders>
          </w:tcPr>
          <w:p w14:paraId="04E519A2" w14:textId="77777777" w:rsidR="00524C5E" w:rsidRPr="002029AF" w:rsidRDefault="00524C5E" w:rsidP="00897193">
            <w:pPr>
              <w:pStyle w:val="ARtabletextright"/>
            </w:pPr>
          </w:p>
        </w:tc>
        <w:tc>
          <w:tcPr>
            <w:tcW w:w="514" w:type="pct"/>
            <w:tcBorders>
              <w:top w:val="single" w:sz="4" w:space="0" w:color="auto"/>
              <w:bottom w:val="single" w:sz="4" w:space="0" w:color="auto"/>
            </w:tcBorders>
          </w:tcPr>
          <w:p w14:paraId="64151C4A" w14:textId="77777777" w:rsidR="00524C5E" w:rsidRPr="002029AF" w:rsidRDefault="00524C5E" w:rsidP="00897193">
            <w:pPr>
              <w:pStyle w:val="ARtabletextright"/>
            </w:pPr>
          </w:p>
        </w:tc>
      </w:tr>
      <w:tr w:rsidR="00524C5E" w:rsidRPr="002029AF" w14:paraId="24A5DEF0" w14:textId="77777777" w:rsidTr="00897193">
        <w:trPr>
          <w:cantSplit/>
        </w:trPr>
        <w:tc>
          <w:tcPr>
            <w:tcW w:w="1399" w:type="pct"/>
            <w:tcBorders>
              <w:top w:val="single" w:sz="4" w:space="0" w:color="auto"/>
              <w:bottom w:val="single" w:sz="4" w:space="0" w:color="auto"/>
            </w:tcBorders>
            <w:shd w:val="clear" w:color="auto" w:fill="auto"/>
          </w:tcPr>
          <w:p w14:paraId="0FF028EA" w14:textId="77777777" w:rsidR="00524C5E" w:rsidRPr="002029AF" w:rsidRDefault="00524C5E" w:rsidP="00897193">
            <w:pPr>
              <w:pStyle w:val="ARtabletext"/>
            </w:pPr>
            <w:r w:rsidRPr="002029AF">
              <w:t>$160,000–$179,999</w:t>
            </w:r>
          </w:p>
        </w:tc>
        <w:tc>
          <w:tcPr>
            <w:tcW w:w="735" w:type="pct"/>
            <w:tcBorders>
              <w:top w:val="single" w:sz="4" w:space="0" w:color="auto"/>
              <w:bottom w:val="single" w:sz="4" w:space="0" w:color="auto"/>
            </w:tcBorders>
            <w:shd w:val="clear" w:color="auto" w:fill="auto"/>
          </w:tcPr>
          <w:p w14:paraId="0B5E5B53" w14:textId="77777777" w:rsidR="00524C5E" w:rsidRPr="002029AF" w:rsidRDefault="00524C5E" w:rsidP="00897193">
            <w:pPr>
              <w:pStyle w:val="ARtabletextright"/>
              <w:rPr>
                <w:color w:val="000000" w:themeColor="text1"/>
              </w:rPr>
            </w:pPr>
            <w:r>
              <w:rPr>
                <w:color w:val="000000" w:themeColor="text1"/>
              </w:rPr>
              <w:t>3</w:t>
            </w:r>
          </w:p>
        </w:tc>
        <w:tc>
          <w:tcPr>
            <w:tcW w:w="588" w:type="pct"/>
            <w:tcBorders>
              <w:top w:val="single" w:sz="4" w:space="0" w:color="auto"/>
              <w:bottom w:val="single" w:sz="4" w:space="0" w:color="auto"/>
            </w:tcBorders>
            <w:shd w:val="clear" w:color="auto" w:fill="auto"/>
          </w:tcPr>
          <w:p w14:paraId="3DE2291D"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28500C96"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tcPr>
          <w:p w14:paraId="21FFA22C" w14:textId="77777777" w:rsidR="00524C5E" w:rsidRPr="002029AF" w:rsidRDefault="00524C5E" w:rsidP="00897193">
            <w:pPr>
              <w:pStyle w:val="ARtabletextright"/>
            </w:pPr>
          </w:p>
        </w:tc>
        <w:tc>
          <w:tcPr>
            <w:tcW w:w="588" w:type="pct"/>
            <w:tcBorders>
              <w:top w:val="single" w:sz="4" w:space="0" w:color="auto"/>
              <w:bottom w:val="single" w:sz="4" w:space="0" w:color="auto"/>
            </w:tcBorders>
          </w:tcPr>
          <w:p w14:paraId="66FD36FE" w14:textId="77777777" w:rsidR="00524C5E" w:rsidRPr="002029AF" w:rsidRDefault="00524C5E" w:rsidP="00897193">
            <w:pPr>
              <w:pStyle w:val="ARtabletextright"/>
            </w:pPr>
          </w:p>
        </w:tc>
        <w:tc>
          <w:tcPr>
            <w:tcW w:w="514" w:type="pct"/>
            <w:tcBorders>
              <w:top w:val="single" w:sz="4" w:space="0" w:color="auto"/>
              <w:bottom w:val="single" w:sz="4" w:space="0" w:color="auto"/>
            </w:tcBorders>
          </w:tcPr>
          <w:p w14:paraId="1B339348" w14:textId="77777777" w:rsidR="00524C5E" w:rsidRPr="002029AF" w:rsidRDefault="00524C5E" w:rsidP="00897193">
            <w:pPr>
              <w:pStyle w:val="ARtabletextright"/>
            </w:pPr>
          </w:p>
        </w:tc>
      </w:tr>
      <w:tr w:rsidR="00524C5E" w:rsidRPr="002029AF" w14:paraId="520605AC" w14:textId="77777777" w:rsidTr="00897193">
        <w:trPr>
          <w:cantSplit/>
        </w:trPr>
        <w:tc>
          <w:tcPr>
            <w:tcW w:w="1399" w:type="pct"/>
            <w:tcBorders>
              <w:top w:val="single" w:sz="4" w:space="0" w:color="auto"/>
              <w:bottom w:val="single" w:sz="4" w:space="0" w:color="auto"/>
            </w:tcBorders>
            <w:shd w:val="clear" w:color="auto" w:fill="auto"/>
          </w:tcPr>
          <w:p w14:paraId="0A66765B" w14:textId="77777777" w:rsidR="00524C5E" w:rsidRPr="002029AF" w:rsidRDefault="00524C5E" w:rsidP="00897193">
            <w:pPr>
              <w:pStyle w:val="ARtabletext"/>
            </w:pPr>
            <w:r w:rsidRPr="002029AF">
              <w:t>$180,000–$199,999</w:t>
            </w:r>
          </w:p>
        </w:tc>
        <w:tc>
          <w:tcPr>
            <w:tcW w:w="735" w:type="pct"/>
            <w:tcBorders>
              <w:top w:val="single" w:sz="4" w:space="0" w:color="auto"/>
              <w:bottom w:val="single" w:sz="4" w:space="0" w:color="auto"/>
            </w:tcBorders>
            <w:shd w:val="clear" w:color="auto" w:fill="auto"/>
          </w:tcPr>
          <w:p w14:paraId="17D73A62" w14:textId="77777777" w:rsidR="00524C5E" w:rsidRPr="002029AF" w:rsidRDefault="00524C5E" w:rsidP="00897193">
            <w:pPr>
              <w:pStyle w:val="ARtabletextright"/>
              <w:rPr>
                <w:color w:val="000000" w:themeColor="text1"/>
              </w:rPr>
            </w:pPr>
            <w:r>
              <w:rPr>
                <w:color w:val="000000" w:themeColor="text1"/>
              </w:rPr>
              <w:t>1</w:t>
            </w:r>
          </w:p>
        </w:tc>
        <w:tc>
          <w:tcPr>
            <w:tcW w:w="588" w:type="pct"/>
            <w:tcBorders>
              <w:top w:val="single" w:sz="4" w:space="0" w:color="auto"/>
              <w:bottom w:val="single" w:sz="4" w:space="0" w:color="auto"/>
            </w:tcBorders>
            <w:shd w:val="clear" w:color="auto" w:fill="auto"/>
          </w:tcPr>
          <w:p w14:paraId="36E7735B" w14:textId="3F6D0409" w:rsidR="00524C5E" w:rsidRPr="002029AF" w:rsidRDefault="00524C5E" w:rsidP="00897193">
            <w:pPr>
              <w:pStyle w:val="ARtabletextright"/>
              <w:rPr>
                <w:color w:val="000000" w:themeColor="text1"/>
              </w:rPr>
            </w:pPr>
            <w:r>
              <w:rPr>
                <w:color w:val="000000" w:themeColor="text1"/>
              </w:rPr>
              <w:t>2</w:t>
            </w:r>
            <w:r w:rsidRPr="00500114">
              <w:rPr>
                <w:color w:val="000000" w:themeColor="text1"/>
                <w:vertAlign w:val="superscript"/>
              </w:rPr>
              <w:t>(</w:t>
            </w:r>
            <w:r w:rsidR="00B26F8B">
              <w:rPr>
                <w:rStyle w:val="FootnoteReference"/>
                <w:color w:val="000000" w:themeColor="text1"/>
              </w:rPr>
              <w:footnoteReference w:id="29"/>
            </w:r>
            <w:r w:rsidRPr="00500114">
              <w:rPr>
                <w:color w:val="000000" w:themeColor="text1"/>
                <w:vertAlign w:val="superscript"/>
              </w:rPr>
              <w:t>)</w:t>
            </w:r>
          </w:p>
        </w:tc>
        <w:tc>
          <w:tcPr>
            <w:tcW w:w="588" w:type="pct"/>
            <w:tcBorders>
              <w:top w:val="single" w:sz="4" w:space="0" w:color="auto"/>
              <w:bottom w:val="single" w:sz="4" w:space="0" w:color="auto"/>
            </w:tcBorders>
            <w:shd w:val="clear" w:color="auto" w:fill="auto"/>
          </w:tcPr>
          <w:p w14:paraId="684134E9"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tcPr>
          <w:p w14:paraId="2897BA18" w14:textId="77777777" w:rsidR="00524C5E" w:rsidRPr="002029AF" w:rsidRDefault="00524C5E" w:rsidP="00897193">
            <w:pPr>
              <w:pStyle w:val="ARtabletextright"/>
            </w:pPr>
          </w:p>
        </w:tc>
        <w:tc>
          <w:tcPr>
            <w:tcW w:w="588" w:type="pct"/>
            <w:tcBorders>
              <w:top w:val="single" w:sz="4" w:space="0" w:color="auto"/>
              <w:bottom w:val="single" w:sz="4" w:space="0" w:color="auto"/>
            </w:tcBorders>
          </w:tcPr>
          <w:p w14:paraId="5FCAF053" w14:textId="77777777" w:rsidR="00524C5E" w:rsidRPr="002029AF" w:rsidRDefault="00524C5E" w:rsidP="00897193">
            <w:pPr>
              <w:pStyle w:val="ARtabletextright"/>
            </w:pPr>
          </w:p>
        </w:tc>
        <w:tc>
          <w:tcPr>
            <w:tcW w:w="514" w:type="pct"/>
            <w:tcBorders>
              <w:top w:val="single" w:sz="4" w:space="0" w:color="auto"/>
              <w:bottom w:val="single" w:sz="4" w:space="0" w:color="auto"/>
            </w:tcBorders>
          </w:tcPr>
          <w:p w14:paraId="0772968B" w14:textId="77777777" w:rsidR="00524C5E" w:rsidRPr="002029AF" w:rsidRDefault="00524C5E" w:rsidP="00897193">
            <w:pPr>
              <w:pStyle w:val="ARtabletextright"/>
            </w:pPr>
          </w:p>
        </w:tc>
      </w:tr>
      <w:tr w:rsidR="00524C5E" w:rsidRPr="002029AF" w14:paraId="4E88DA9D" w14:textId="77777777" w:rsidTr="00897193">
        <w:trPr>
          <w:cantSplit/>
        </w:trPr>
        <w:tc>
          <w:tcPr>
            <w:tcW w:w="1399" w:type="pct"/>
            <w:tcBorders>
              <w:top w:val="single" w:sz="4" w:space="0" w:color="auto"/>
              <w:bottom w:val="single" w:sz="4" w:space="0" w:color="auto"/>
            </w:tcBorders>
            <w:shd w:val="clear" w:color="auto" w:fill="auto"/>
          </w:tcPr>
          <w:p w14:paraId="4C1473A5" w14:textId="77777777" w:rsidR="00524C5E" w:rsidRPr="002029AF" w:rsidRDefault="00524C5E" w:rsidP="00897193">
            <w:pPr>
              <w:pStyle w:val="ARtabletext"/>
            </w:pPr>
            <w:r w:rsidRPr="002029AF">
              <w:t>$200,000–$219,999</w:t>
            </w:r>
          </w:p>
        </w:tc>
        <w:tc>
          <w:tcPr>
            <w:tcW w:w="735" w:type="pct"/>
            <w:tcBorders>
              <w:top w:val="single" w:sz="4" w:space="0" w:color="auto"/>
              <w:bottom w:val="single" w:sz="4" w:space="0" w:color="auto"/>
            </w:tcBorders>
            <w:shd w:val="clear" w:color="auto" w:fill="auto"/>
          </w:tcPr>
          <w:p w14:paraId="47A56AD1" w14:textId="77777777" w:rsidR="00524C5E" w:rsidRPr="002029AF" w:rsidRDefault="00524C5E" w:rsidP="00897193">
            <w:pPr>
              <w:pStyle w:val="ARtabletextright"/>
              <w:rPr>
                <w:color w:val="000000" w:themeColor="text1"/>
              </w:rPr>
            </w:pPr>
            <w:r>
              <w:rPr>
                <w:color w:val="000000" w:themeColor="text1"/>
              </w:rPr>
              <w:t>1</w:t>
            </w:r>
          </w:p>
        </w:tc>
        <w:tc>
          <w:tcPr>
            <w:tcW w:w="588" w:type="pct"/>
            <w:tcBorders>
              <w:top w:val="single" w:sz="4" w:space="0" w:color="auto"/>
              <w:bottom w:val="single" w:sz="4" w:space="0" w:color="auto"/>
            </w:tcBorders>
            <w:shd w:val="clear" w:color="auto" w:fill="auto"/>
          </w:tcPr>
          <w:p w14:paraId="2FFFA0A7"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7CC30081"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tcPr>
          <w:p w14:paraId="5FF74CE6" w14:textId="77777777" w:rsidR="00524C5E" w:rsidRPr="002029AF" w:rsidRDefault="00524C5E" w:rsidP="00897193">
            <w:pPr>
              <w:pStyle w:val="ARtabletextright"/>
            </w:pPr>
            <w:r>
              <w:t>1</w:t>
            </w:r>
          </w:p>
        </w:tc>
        <w:tc>
          <w:tcPr>
            <w:tcW w:w="588" w:type="pct"/>
            <w:tcBorders>
              <w:top w:val="single" w:sz="4" w:space="0" w:color="auto"/>
              <w:bottom w:val="single" w:sz="4" w:space="0" w:color="auto"/>
            </w:tcBorders>
          </w:tcPr>
          <w:p w14:paraId="2D4DED18" w14:textId="77777777" w:rsidR="00524C5E" w:rsidRPr="002029AF" w:rsidRDefault="00524C5E" w:rsidP="00897193">
            <w:pPr>
              <w:pStyle w:val="ARtabletextright"/>
            </w:pPr>
          </w:p>
        </w:tc>
        <w:tc>
          <w:tcPr>
            <w:tcW w:w="514" w:type="pct"/>
            <w:tcBorders>
              <w:top w:val="single" w:sz="4" w:space="0" w:color="auto"/>
              <w:bottom w:val="single" w:sz="4" w:space="0" w:color="auto"/>
            </w:tcBorders>
          </w:tcPr>
          <w:p w14:paraId="218D8DE2" w14:textId="77777777" w:rsidR="00524C5E" w:rsidRPr="002029AF" w:rsidRDefault="00524C5E" w:rsidP="00897193">
            <w:pPr>
              <w:pStyle w:val="ARtabletextright"/>
            </w:pPr>
          </w:p>
        </w:tc>
      </w:tr>
      <w:tr w:rsidR="00524C5E" w:rsidRPr="002029AF" w14:paraId="3C816725" w14:textId="77777777" w:rsidTr="00897193">
        <w:trPr>
          <w:cantSplit/>
        </w:trPr>
        <w:tc>
          <w:tcPr>
            <w:tcW w:w="1399" w:type="pct"/>
            <w:tcBorders>
              <w:top w:val="single" w:sz="4" w:space="0" w:color="auto"/>
              <w:bottom w:val="single" w:sz="4" w:space="0" w:color="auto"/>
            </w:tcBorders>
            <w:shd w:val="clear" w:color="auto" w:fill="auto"/>
          </w:tcPr>
          <w:p w14:paraId="733785C2" w14:textId="77777777" w:rsidR="00524C5E" w:rsidRPr="002029AF" w:rsidRDefault="00524C5E" w:rsidP="00897193">
            <w:pPr>
              <w:pStyle w:val="ARtabletext"/>
            </w:pPr>
            <w:r w:rsidRPr="002029AF">
              <w:t>$220,000–$239,999</w:t>
            </w:r>
          </w:p>
        </w:tc>
        <w:tc>
          <w:tcPr>
            <w:tcW w:w="735" w:type="pct"/>
            <w:tcBorders>
              <w:top w:val="single" w:sz="4" w:space="0" w:color="auto"/>
              <w:bottom w:val="single" w:sz="4" w:space="0" w:color="auto"/>
            </w:tcBorders>
            <w:shd w:val="clear" w:color="auto" w:fill="auto"/>
          </w:tcPr>
          <w:p w14:paraId="341363AE"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66E3DBF5"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4E7A265C"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tcPr>
          <w:p w14:paraId="3F1E87E4" w14:textId="77777777" w:rsidR="00524C5E" w:rsidRPr="002029AF" w:rsidRDefault="00524C5E" w:rsidP="00897193">
            <w:pPr>
              <w:pStyle w:val="ARtabletextright"/>
            </w:pPr>
          </w:p>
        </w:tc>
        <w:tc>
          <w:tcPr>
            <w:tcW w:w="588" w:type="pct"/>
            <w:tcBorders>
              <w:top w:val="single" w:sz="4" w:space="0" w:color="auto"/>
              <w:bottom w:val="single" w:sz="4" w:space="0" w:color="auto"/>
            </w:tcBorders>
          </w:tcPr>
          <w:p w14:paraId="115001F5" w14:textId="77777777" w:rsidR="00524C5E" w:rsidRPr="002029AF" w:rsidRDefault="00524C5E" w:rsidP="00897193">
            <w:pPr>
              <w:pStyle w:val="ARtabletextright"/>
            </w:pPr>
          </w:p>
        </w:tc>
        <w:tc>
          <w:tcPr>
            <w:tcW w:w="514" w:type="pct"/>
            <w:tcBorders>
              <w:top w:val="single" w:sz="4" w:space="0" w:color="auto"/>
              <w:bottom w:val="single" w:sz="4" w:space="0" w:color="auto"/>
            </w:tcBorders>
          </w:tcPr>
          <w:p w14:paraId="4567DC76" w14:textId="77777777" w:rsidR="00524C5E" w:rsidRPr="002029AF" w:rsidRDefault="00524C5E" w:rsidP="00897193">
            <w:pPr>
              <w:pStyle w:val="ARtabletextright"/>
            </w:pPr>
          </w:p>
        </w:tc>
      </w:tr>
      <w:tr w:rsidR="00524C5E" w:rsidRPr="002029AF" w14:paraId="2EFBD3DC" w14:textId="77777777" w:rsidTr="00897193">
        <w:trPr>
          <w:cantSplit/>
        </w:trPr>
        <w:tc>
          <w:tcPr>
            <w:tcW w:w="1399" w:type="pct"/>
            <w:tcBorders>
              <w:top w:val="single" w:sz="4" w:space="0" w:color="auto"/>
              <w:bottom w:val="single" w:sz="4" w:space="0" w:color="auto"/>
            </w:tcBorders>
            <w:shd w:val="clear" w:color="auto" w:fill="auto"/>
          </w:tcPr>
          <w:p w14:paraId="4B5ECCD5" w14:textId="77777777" w:rsidR="00524C5E" w:rsidRPr="002029AF" w:rsidRDefault="00524C5E" w:rsidP="00897193">
            <w:pPr>
              <w:pStyle w:val="ARtabletext"/>
            </w:pPr>
            <w:r w:rsidRPr="002029AF">
              <w:t>$240,000–$259,999</w:t>
            </w:r>
          </w:p>
        </w:tc>
        <w:tc>
          <w:tcPr>
            <w:tcW w:w="735" w:type="pct"/>
            <w:tcBorders>
              <w:top w:val="single" w:sz="4" w:space="0" w:color="auto"/>
              <w:bottom w:val="single" w:sz="4" w:space="0" w:color="auto"/>
            </w:tcBorders>
            <w:shd w:val="clear" w:color="auto" w:fill="auto"/>
          </w:tcPr>
          <w:p w14:paraId="0EE4F1C8"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001C3670"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556123AE"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tcPr>
          <w:p w14:paraId="0AA29E83" w14:textId="77777777" w:rsidR="00524C5E" w:rsidRPr="002029AF" w:rsidRDefault="00524C5E" w:rsidP="00897193">
            <w:pPr>
              <w:pStyle w:val="ARtabletextright"/>
            </w:pPr>
          </w:p>
        </w:tc>
        <w:tc>
          <w:tcPr>
            <w:tcW w:w="588" w:type="pct"/>
            <w:tcBorders>
              <w:top w:val="single" w:sz="4" w:space="0" w:color="auto"/>
              <w:bottom w:val="single" w:sz="4" w:space="0" w:color="auto"/>
            </w:tcBorders>
          </w:tcPr>
          <w:p w14:paraId="1BA7B05A" w14:textId="77777777" w:rsidR="00524C5E" w:rsidRPr="002029AF" w:rsidRDefault="00524C5E" w:rsidP="00897193">
            <w:pPr>
              <w:pStyle w:val="ARtabletextright"/>
            </w:pPr>
          </w:p>
        </w:tc>
        <w:tc>
          <w:tcPr>
            <w:tcW w:w="514" w:type="pct"/>
            <w:tcBorders>
              <w:top w:val="single" w:sz="4" w:space="0" w:color="auto"/>
              <w:bottom w:val="single" w:sz="4" w:space="0" w:color="auto"/>
            </w:tcBorders>
          </w:tcPr>
          <w:p w14:paraId="0B253F58" w14:textId="77777777" w:rsidR="00524C5E" w:rsidRPr="002029AF" w:rsidRDefault="00524C5E" w:rsidP="00897193">
            <w:pPr>
              <w:pStyle w:val="ARtabletextright"/>
            </w:pPr>
          </w:p>
        </w:tc>
      </w:tr>
      <w:tr w:rsidR="00524C5E" w:rsidRPr="002029AF" w14:paraId="450A474D" w14:textId="77777777" w:rsidTr="00897193">
        <w:tblPrEx>
          <w:tblLook w:val="04A0" w:firstRow="1" w:lastRow="0" w:firstColumn="1" w:lastColumn="0" w:noHBand="0" w:noVBand="1"/>
        </w:tblPrEx>
        <w:trPr>
          <w:cantSplit/>
        </w:trPr>
        <w:tc>
          <w:tcPr>
            <w:tcW w:w="1399" w:type="pct"/>
            <w:tcBorders>
              <w:top w:val="single" w:sz="4" w:space="0" w:color="auto"/>
              <w:bottom w:val="single" w:sz="4" w:space="0" w:color="auto"/>
            </w:tcBorders>
            <w:shd w:val="clear" w:color="auto" w:fill="auto"/>
          </w:tcPr>
          <w:p w14:paraId="0DFB5DF1" w14:textId="77777777" w:rsidR="00524C5E" w:rsidRPr="002029AF" w:rsidRDefault="00524C5E" w:rsidP="00897193">
            <w:pPr>
              <w:pStyle w:val="ARtabletext"/>
            </w:pPr>
            <w:r w:rsidRPr="002029AF">
              <w:t>$260,000–$279,999</w:t>
            </w:r>
          </w:p>
        </w:tc>
        <w:tc>
          <w:tcPr>
            <w:tcW w:w="735" w:type="pct"/>
            <w:tcBorders>
              <w:top w:val="single" w:sz="4" w:space="0" w:color="auto"/>
              <w:bottom w:val="single" w:sz="4" w:space="0" w:color="auto"/>
            </w:tcBorders>
            <w:shd w:val="clear" w:color="auto" w:fill="auto"/>
          </w:tcPr>
          <w:p w14:paraId="7F4F90CF"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2A734020"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226FC6E5"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tcPr>
          <w:p w14:paraId="352E0CAB" w14:textId="77777777" w:rsidR="00524C5E" w:rsidRPr="002029AF" w:rsidRDefault="00524C5E" w:rsidP="00897193">
            <w:pPr>
              <w:pStyle w:val="ARtabletextright"/>
            </w:pPr>
          </w:p>
        </w:tc>
        <w:tc>
          <w:tcPr>
            <w:tcW w:w="588" w:type="pct"/>
            <w:tcBorders>
              <w:top w:val="single" w:sz="4" w:space="0" w:color="auto"/>
              <w:bottom w:val="single" w:sz="4" w:space="0" w:color="auto"/>
            </w:tcBorders>
          </w:tcPr>
          <w:p w14:paraId="42A8CEEB" w14:textId="77777777" w:rsidR="00524C5E" w:rsidRPr="002029AF" w:rsidRDefault="00524C5E" w:rsidP="00897193">
            <w:pPr>
              <w:pStyle w:val="ARtabletextright"/>
            </w:pPr>
          </w:p>
        </w:tc>
        <w:tc>
          <w:tcPr>
            <w:tcW w:w="514" w:type="pct"/>
            <w:tcBorders>
              <w:top w:val="single" w:sz="4" w:space="0" w:color="auto"/>
              <w:bottom w:val="single" w:sz="4" w:space="0" w:color="auto"/>
            </w:tcBorders>
          </w:tcPr>
          <w:p w14:paraId="6116DC32" w14:textId="77777777" w:rsidR="00524C5E" w:rsidRPr="002029AF" w:rsidRDefault="00524C5E" w:rsidP="00897193">
            <w:pPr>
              <w:pStyle w:val="ARtabletextright"/>
            </w:pPr>
          </w:p>
        </w:tc>
      </w:tr>
      <w:tr w:rsidR="00524C5E" w:rsidRPr="002029AF" w14:paraId="7630E028" w14:textId="77777777" w:rsidTr="00897193">
        <w:tblPrEx>
          <w:tblLook w:val="04A0" w:firstRow="1" w:lastRow="0" w:firstColumn="1" w:lastColumn="0" w:noHBand="0" w:noVBand="1"/>
        </w:tblPrEx>
        <w:trPr>
          <w:cantSplit/>
        </w:trPr>
        <w:tc>
          <w:tcPr>
            <w:tcW w:w="1399" w:type="pct"/>
            <w:tcBorders>
              <w:top w:val="single" w:sz="4" w:space="0" w:color="auto"/>
              <w:bottom w:val="single" w:sz="4" w:space="0" w:color="auto"/>
            </w:tcBorders>
            <w:shd w:val="clear" w:color="auto" w:fill="auto"/>
          </w:tcPr>
          <w:p w14:paraId="365E2658" w14:textId="77777777" w:rsidR="00524C5E" w:rsidRPr="002029AF" w:rsidRDefault="00524C5E" w:rsidP="00897193">
            <w:pPr>
              <w:pStyle w:val="ARtabletext"/>
            </w:pPr>
            <w:r w:rsidRPr="002029AF">
              <w:t>$280,000–$299,999</w:t>
            </w:r>
          </w:p>
        </w:tc>
        <w:tc>
          <w:tcPr>
            <w:tcW w:w="735" w:type="pct"/>
            <w:tcBorders>
              <w:top w:val="single" w:sz="4" w:space="0" w:color="auto"/>
              <w:bottom w:val="single" w:sz="4" w:space="0" w:color="auto"/>
            </w:tcBorders>
            <w:shd w:val="clear" w:color="auto" w:fill="auto"/>
          </w:tcPr>
          <w:p w14:paraId="54F1E1D9"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5E72208A"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5B573EC0"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tcPr>
          <w:p w14:paraId="3D0F25D0" w14:textId="77777777" w:rsidR="00524C5E" w:rsidRPr="002029AF" w:rsidRDefault="00524C5E" w:rsidP="00897193">
            <w:pPr>
              <w:pStyle w:val="ARtabletextright"/>
            </w:pPr>
          </w:p>
        </w:tc>
        <w:tc>
          <w:tcPr>
            <w:tcW w:w="588" w:type="pct"/>
            <w:tcBorders>
              <w:top w:val="single" w:sz="4" w:space="0" w:color="auto"/>
              <w:bottom w:val="single" w:sz="4" w:space="0" w:color="auto"/>
            </w:tcBorders>
          </w:tcPr>
          <w:p w14:paraId="092A8325" w14:textId="77777777" w:rsidR="00524C5E" w:rsidRPr="002029AF" w:rsidRDefault="00524C5E" w:rsidP="00897193">
            <w:pPr>
              <w:pStyle w:val="ARtabletextright"/>
            </w:pPr>
          </w:p>
        </w:tc>
        <w:tc>
          <w:tcPr>
            <w:tcW w:w="514" w:type="pct"/>
            <w:tcBorders>
              <w:top w:val="single" w:sz="4" w:space="0" w:color="auto"/>
              <w:bottom w:val="single" w:sz="4" w:space="0" w:color="auto"/>
            </w:tcBorders>
          </w:tcPr>
          <w:p w14:paraId="3EF5C91B" w14:textId="77777777" w:rsidR="00524C5E" w:rsidRPr="002029AF" w:rsidRDefault="00524C5E" w:rsidP="00897193">
            <w:pPr>
              <w:pStyle w:val="ARtabletextright"/>
            </w:pPr>
          </w:p>
        </w:tc>
      </w:tr>
      <w:tr w:rsidR="00524C5E" w:rsidRPr="002029AF" w14:paraId="59DC3B6F" w14:textId="77777777" w:rsidTr="00897193">
        <w:tblPrEx>
          <w:tblLook w:val="04A0" w:firstRow="1" w:lastRow="0" w:firstColumn="1" w:lastColumn="0" w:noHBand="0" w:noVBand="1"/>
        </w:tblPrEx>
        <w:trPr>
          <w:cantSplit/>
        </w:trPr>
        <w:tc>
          <w:tcPr>
            <w:tcW w:w="1399" w:type="pct"/>
            <w:tcBorders>
              <w:top w:val="single" w:sz="4" w:space="0" w:color="auto"/>
              <w:bottom w:val="single" w:sz="4" w:space="0" w:color="auto"/>
            </w:tcBorders>
            <w:shd w:val="clear" w:color="auto" w:fill="auto"/>
          </w:tcPr>
          <w:p w14:paraId="4C144615" w14:textId="77777777" w:rsidR="00524C5E" w:rsidRPr="002029AF" w:rsidRDefault="00524C5E" w:rsidP="00897193">
            <w:pPr>
              <w:pStyle w:val="ARtabletext"/>
            </w:pPr>
            <w:r w:rsidRPr="002029AF">
              <w:t>$300,000–$319,999</w:t>
            </w:r>
          </w:p>
        </w:tc>
        <w:tc>
          <w:tcPr>
            <w:tcW w:w="735" w:type="pct"/>
            <w:tcBorders>
              <w:top w:val="single" w:sz="4" w:space="0" w:color="auto"/>
              <w:bottom w:val="single" w:sz="4" w:space="0" w:color="auto"/>
            </w:tcBorders>
            <w:shd w:val="clear" w:color="auto" w:fill="auto"/>
          </w:tcPr>
          <w:p w14:paraId="40D16EAB"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3D8F6432"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4103B658"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tcPr>
          <w:p w14:paraId="46772230" w14:textId="77777777" w:rsidR="00524C5E" w:rsidRPr="002029AF" w:rsidRDefault="00524C5E" w:rsidP="00897193">
            <w:pPr>
              <w:pStyle w:val="ARtabletextright"/>
            </w:pPr>
          </w:p>
        </w:tc>
        <w:tc>
          <w:tcPr>
            <w:tcW w:w="588" w:type="pct"/>
            <w:tcBorders>
              <w:top w:val="single" w:sz="4" w:space="0" w:color="auto"/>
              <w:bottom w:val="single" w:sz="4" w:space="0" w:color="auto"/>
            </w:tcBorders>
          </w:tcPr>
          <w:p w14:paraId="63676B92" w14:textId="77777777" w:rsidR="00524C5E" w:rsidRPr="002029AF" w:rsidRDefault="00524C5E" w:rsidP="00897193">
            <w:pPr>
              <w:pStyle w:val="ARtabletextright"/>
            </w:pPr>
          </w:p>
        </w:tc>
        <w:tc>
          <w:tcPr>
            <w:tcW w:w="514" w:type="pct"/>
            <w:tcBorders>
              <w:top w:val="single" w:sz="4" w:space="0" w:color="auto"/>
              <w:bottom w:val="single" w:sz="4" w:space="0" w:color="auto"/>
            </w:tcBorders>
          </w:tcPr>
          <w:p w14:paraId="11969B9B" w14:textId="77777777" w:rsidR="00524C5E" w:rsidRPr="002029AF" w:rsidRDefault="00524C5E" w:rsidP="00897193">
            <w:pPr>
              <w:pStyle w:val="ARtabletextright"/>
            </w:pPr>
          </w:p>
        </w:tc>
      </w:tr>
      <w:tr w:rsidR="00524C5E" w:rsidRPr="002029AF" w14:paraId="35AF7998" w14:textId="77777777" w:rsidTr="00897193">
        <w:trPr>
          <w:cantSplit/>
        </w:trPr>
        <w:tc>
          <w:tcPr>
            <w:tcW w:w="1399" w:type="pct"/>
            <w:tcBorders>
              <w:top w:val="single" w:sz="4" w:space="0" w:color="auto"/>
              <w:bottom w:val="single" w:sz="4" w:space="0" w:color="auto"/>
            </w:tcBorders>
            <w:shd w:val="clear" w:color="auto" w:fill="auto"/>
          </w:tcPr>
          <w:p w14:paraId="70E0FF04" w14:textId="77777777" w:rsidR="00524C5E" w:rsidRPr="002029AF" w:rsidRDefault="00524C5E" w:rsidP="00897193">
            <w:pPr>
              <w:pStyle w:val="ARtabletext"/>
            </w:pPr>
            <w:r w:rsidRPr="002029AF">
              <w:t>$320,000–$339,999</w:t>
            </w:r>
          </w:p>
        </w:tc>
        <w:tc>
          <w:tcPr>
            <w:tcW w:w="735" w:type="pct"/>
            <w:tcBorders>
              <w:top w:val="single" w:sz="4" w:space="0" w:color="auto"/>
              <w:bottom w:val="single" w:sz="4" w:space="0" w:color="auto"/>
            </w:tcBorders>
            <w:shd w:val="clear" w:color="auto" w:fill="auto"/>
          </w:tcPr>
          <w:p w14:paraId="02A439AA"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7144CFF3"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77EA8906"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tcPr>
          <w:p w14:paraId="7B97A3BC" w14:textId="77777777" w:rsidR="00524C5E" w:rsidRPr="002029AF" w:rsidRDefault="00524C5E" w:rsidP="00897193">
            <w:pPr>
              <w:pStyle w:val="ARtabletextright"/>
            </w:pPr>
          </w:p>
        </w:tc>
        <w:tc>
          <w:tcPr>
            <w:tcW w:w="588" w:type="pct"/>
            <w:tcBorders>
              <w:top w:val="single" w:sz="4" w:space="0" w:color="auto"/>
              <w:bottom w:val="single" w:sz="4" w:space="0" w:color="auto"/>
            </w:tcBorders>
          </w:tcPr>
          <w:p w14:paraId="03716D8B" w14:textId="77777777" w:rsidR="00524C5E" w:rsidRPr="002029AF" w:rsidRDefault="00524C5E" w:rsidP="00897193">
            <w:pPr>
              <w:pStyle w:val="ARtabletextright"/>
            </w:pPr>
          </w:p>
        </w:tc>
        <w:tc>
          <w:tcPr>
            <w:tcW w:w="514" w:type="pct"/>
            <w:tcBorders>
              <w:top w:val="single" w:sz="4" w:space="0" w:color="auto"/>
              <w:bottom w:val="single" w:sz="4" w:space="0" w:color="auto"/>
            </w:tcBorders>
          </w:tcPr>
          <w:p w14:paraId="318425EB" w14:textId="77777777" w:rsidR="00524C5E" w:rsidRPr="002029AF" w:rsidRDefault="00524C5E" w:rsidP="00897193">
            <w:pPr>
              <w:pStyle w:val="ARtabletextright"/>
            </w:pPr>
          </w:p>
        </w:tc>
      </w:tr>
      <w:tr w:rsidR="00524C5E" w:rsidRPr="002029AF" w14:paraId="2453FDA3" w14:textId="77777777" w:rsidTr="00897193">
        <w:trPr>
          <w:cantSplit/>
        </w:trPr>
        <w:tc>
          <w:tcPr>
            <w:tcW w:w="1399" w:type="pct"/>
            <w:tcBorders>
              <w:top w:val="single" w:sz="4" w:space="0" w:color="auto"/>
              <w:bottom w:val="single" w:sz="4" w:space="0" w:color="auto"/>
            </w:tcBorders>
            <w:shd w:val="clear" w:color="auto" w:fill="auto"/>
          </w:tcPr>
          <w:p w14:paraId="27D8922A" w14:textId="77777777" w:rsidR="00524C5E" w:rsidRPr="002029AF" w:rsidRDefault="00524C5E" w:rsidP="00897193">
            <w:pPr>
              <w:pStyle w:val="ARtabletext"/>
            </w:pPr>
            <w:r w:rsidRPr="002029AF">
              <w:t>$340,000–$359,999</w:t>
            </w:r>
          </w:p>
        </w:tc>
        <w:tc>
          <w:tcPr>
            <w:tcW w:w="735" w:type="pct"/>
            <w:tcBorders>
              <w:top w:val="single" w:sz="4" w:space="0" w:color="auto"/>
              <w:bottom w:val="single" w:sz="4" w:space="0" w:color="auto"/>
            </w:tcBorders>
            <w:shd w:val="clear" w:color="auto" w:fill="auto"/>
          </w:tcPr>
          <w:p w14:paraId="3A6C15D9"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5F8EEF56"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0980975A"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tcPr>
          <w:p w14:paraId="253B1AC2" w14:textId="77777777" w:rsidR="00524C5E" w:rsidRPr="002029AF" w:rsidRDefault="00524C5E" w:rsidP="00897193">
            <w:pPr>
              <w:pStyle w:val="ARtabletextright"/>
            </w:pPr>
          </w:p>
        </w:tc>
        <w:tc>
          <w:tcPr>
            <w:tcW w:w="588" w:type="pct"/>
            <w:tcBorders>
              <w:top w:val="single" w:sz="4" w:space="0" w:color="auto"/>
              <w:bottom w:val="single" w:sz="4" w:space="0" w:color="auto"/>
            </w:tcBorders>
          </w:tcPr>
          <w:p w14:paraId="677E4DC1" w14:textId="77777777" w:rsidR="00524C5E" w:rsidRPr="002029AF" w:rsidRDefault="00524C5E" w:rsidP="00897193">
            <w:pPr>
              <w:pStyle w:val="ARtabletextright"/>
            </w:pPr>
          </w:p>
        </w:tc>
        <w:tc>
          <w:tcPr>
            <w:tcW w:w="514" w:type="pct"/>
            <w:tcBorders>
              <w:top w:val="single" w:sz="4" w:space="0" w:color="auto"/>
              <w:bottom w:val="single" w:sz="4" w:space="0" w:color="auto"/>
            </w:tcBorders>
          </w:tcPr>
          <w:p w14:paraId="7379D7AD" w14:textId="77777777" w:rsidR="00524C5E" w:rsidRPr="002029AF" w:rsidRDefault="00524C5E" w:rsidP="00897193">
            <w:pPr>
              <w:pStyle w:val="ARtabletextright"/>
            </w:pPr>
          </w:p>
        </w:tc>
      </w:tr>
      <w:tr w:rsidR="00524C5E" w:rsidRPr="002029AF" w14:paraId="52C306B3" w14:textId="77777777" w:rsidTr="00897193">
        <w:trPr>
          <w:cantSplit/>
        </w:trPr>
        <w:tc>
          <w:tcPr>
            <w:tcW w:w="1399" w:type="pct"/>
            <w:tcBorders>
              <w:top w:val="single" w:sz="4" w:space="0" w:color="auto"/>
              <w:bottom w:val="single" w:sz="4" w:space="0" w:color="auto"/>
            </w:tcBorders>
            <w:shd w:val="clear" w:color="auto" w:fill="auto"/>
          </w:tcPr>
          <w:p w14:paraId="45361E5F" w14:textId="77777777" w:rsidR="00524C5E" w:rsidRPr="002029AF" w:rsidRDefault="00524C5E" w:rsidP="00897193">
            <w:pPr>
              <w:pStyle w:val="ARtabletext"/>
            </w:pPr>
            <w:r w:rsidRPr="002029AF">
              <w:t>$360,000–$379,999</w:t>
            </w:r>
          </w:p>
        </w:tc>
        <w:tc>
          <w:tcPr>
            <w:tcW w:w="735" w:type="pct"/>
            <w:tcBorders>
              <w:top w:val="single" w:sz="4" w:space="0" w:color="auto"/>
              <w:bottom w:val="single" w:sz="4" w:space="0" w:color="auto"/>
            </w:tcBorders>
            <w:shd w:val="clear" w:color="auto" w:fill="auto"/>
          </w:tcPr>
          <w:p w14:paraId="4837F947"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2662FFAC"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3EF72C05"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tcPr>
          <w:p w14:paraId="2B60A10C" w14:textId="77777777" w:rsidR="00524C5E" w:rsidRPr="002029AF" w:rsidRDefault="00524C5E" w:rsidP="00897193">
            <w:pPr>
              <w:pStyle w:val="ARtabletextright"/>
            </w:pPr>
          </w:p>
        </w:tc>
        <w:tc>
          <w:tcPr>
            <w:tcW w:w="588" w:type="pct"/>
            <w:tcBorders>
              <w:top w:val="single" w:sz="4" w:space="0" w:color="auto"/>
              <w:bottom w:val="single" w:sz="4" w:space="0" w:color="auto"/>
            </w:tcBorders>
          </w:tcPr>
          <w:p w14:paraId="350F0C0C" w14:textId="77777777" w:rsidR="00524C5E" w:rsidRPr="002029AF" w:rsidRDefault="00524C5E" w:rsidP="00897193">
            <w:pPr>
              <w:pStyle w:val="ARtabletextright"/>
            </w:pPr>
          </w:p>
        </w:tc>
        <w:tc>
          <w:tcPr>
            <w:tcW w:w="514" w:type="pct"/>
            <w:tcBorders>
              <w:top w:val="single" w:sz="4" w:space="0" w:color="auto"/>
              <w:bottom w:val="single" w:sz="4" w:space="0" w:color="auto"/>
            </w:tcBorders>
          </w:tcPr>
          <w:p w14:paraId="1D4DF52A" w14:textId="77777777" w:rsidR="00524C5E" w:rsidRPr="002029AF" w:rsidRDefault="00524C5E" w:rsidP="00897193">
            <w:pPr>
              <w:pStyle w:val="ARtabletextright"/>
            </w:pPr>
          </w:p>
        </w:tc>
      </w:tr>
      <w:tr w:rsidR="00524C5E" w:rsidRPr="002029AF" w14:paraId="088FB4DC" w14:textId="77777777" w:rsidTr="00897193">
        <w:trPr>
          <w:cantSplit/>
        </w:trPr>
        <w:tc>
          <w:tcPr>
            <w:tcW w:w="1399" w:type="pct"/>
            <w:tcBorders>
              <w:top w:val="single" w:sz="4" w:space="0" w:color="auto"/>
              <w:bottom w:val="single" w:sz="4" w:space="0" w:color="auto"/>
            </w:tcBorders>
            <w:shd w:val="clear" w:color="auto" w:fill="auto"/>
          </w:tcPr>
          <w:p w14:paraId="1EE4F4F2" w14:textId="77777777" w:rsidR="00524C5E" w:rsidRPr="002029AF" w:rsidRDefault="00524C5E" w:rsidP="00897193">
            <w:pPr>
              <w:pStyle w:val="ARtabletext"/>
            </w:pPr>
            <w:r w:rsidRPr="002029AF">
              <w:t>$380,000–$399,999</w:t>
            </w:r>
          </w:p>
        </w:tc>
        <w:tc>
          <w:tcPr>
            <w:tcW w:w="735" w:type="pct"/>
            <w:tcBorders>
              <w:top w:val="single" w:sz="4" w:space="0" w:color="auto"/>
              <w:bottom w:val="single" w:sz="4" w:space="0" w:color="auto"/>
            </w:tcBorders>
            <w:shd w:val="clear" w:color="auto" w:fill="auto"/>
          </w:tcPr>
          <w:p w14:paraId="50959B50"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16743D22"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0459F881"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tcPr>
          <w:p w14:paraId="0A9F145B" w14:textId="77777777" w:rsidR="00524C5E" w:rsidRPr="002029AF" w:rsidRDefault="00524C5E" w:rsidP="00897193">
            <w:pPr>
              <w:pStyle w:val="ARtabletextright"/>
            </w:pPr>
          </w:p>
        </w:tc>
        <w:tc>
          <w:tcPr>
            <w:tcW w:w="588" w:type="pct"/>
            <w:tcBorders>
              <w:top w:val="single" w:sz="4" w:space="0" w:color="auto"/>
              <w:bottom w:val="single" w:sz="4" w:space="0" w:color="auto"/>
            </w:tcBorders>
          </w:tcPr>
          <w:p w14:paraId="13DC8FF9" w14:textId="77777777" w:rsidR="00524C5E" w:rsidRPr="002029AF" w:rsidRDefault="00524C5E" w:rsidP="00897193">
            <w:pPr>
              <w:pStyle w:val="ARtabletextright"/>
            </w:pPr>
          </w:p>
        </w:tc>
        <w:tc>
          <w:tcPr>
            <w:tcW w:w="514" w:type="pct"/>
            <w:tcBorders>
              <w:top w:val="single" w:sz="4" w:space="0" w:color="auto"/>
              <w:bottom w:val="single" w:sz="4" w:space="0" w:color="auto"/>
            </w:tcBorders>
          </w:tcPr>
          <w:p w14:paraId="0F8BFDAE" w14:textId="77777777" w:rsidR="00524C5E" w:rsidRPr="002029AF" w:rsidRDefault="00524C5E" w:rsidP="00897193">
            <w:pPr>
              <w:pStyle w:val="ARtabletextright"/>
            </w:pPr>
          </w:p>
        </w:tc>
      </w:tr>
      <w:tr w:rsidR="00524C5E" w:rsidRPr="002029AF" w14:paraId="01E471FB" w14:textId="77777777" w:rsidTr="00897193">
        <w:trPr>
          <w:cantSplit/>
        </w:trPr>
        <w:tc>
          <w:tcPr>
            <w:tcW w:w="1399" w:type="pct"/>
            <w:tcBorders>
              <w:top w:val="single" w:sz="4" w:space="0" w:color="auto"/>
              <w:bottom w:val="single" w:sz="4" w:space="0" w:color="auto"/>
            </w:tcBorders>
            <w:shd w:val="clear" w:color="auto" w:fill="auto"/>
          </w:tcPr>
          <w:p w14:paraId="0C1A1BB0" w14:textId="77777777" w:rsidR="00524C5E" w:rsidRPr="002029AF" w:rsidRDefault="00524C5E" w:rsidP="00897193">
            <w:pPr>
              <w:pStyle w:val="ARtabletext"/>
            </w:pPr>
            <w:r w:rsidRPr="002029AF">
              <w:t>$400,000–$419,999</w:t>
            </w:r>
          </w:p>
        </w:tc>
        <w:tc>
          <w:tcPr>
            <w:tcW w:w="735" w:type="pct"/>
            <w:tcBorders>
              <w:top w:val="single" w:sz="4" w:space="0" w:color="auto"/>
              <w:bottom w:val="single" w:sz="4" w:space="0" w:color="auto"/>
            </w:tcBorders>
            <w:shd w:val="clear" w:color="auto" w:fill="auto"/>
          </w:tcPr>
          <w:p w14:paraId="60A4F884" w14:textId="5E46DFCD" w:rsidR="00524C5E" w:rsidRPr="002029AF" w:rsidRDefault="00524C5E" w:rsidP="00897193">
            <w:pPr>
              <w:pStyle w:val="ARtabletextright"/>
              <w:rPr>
                <w:color w:val="000000" w:themeColor="text1"/>
              </w:rPr>
            </w:pPr>
            <w:r>
              <w:rPr>
                <w:color w:val="000000" w:themeColor="text1"/>
              </w:rPr>
              <w:t>1</w:t>
            </w:r>
            <w:r w:rsidRPr="00500114">
              <w:rPr>
                <w:color w:val="000000" w:themeColor="text1"/>
                <w:vertAlign w:val="superscript"/>
              </w:rPr>
              <w:t>(</w:t>
            </w:r>
            <w:r w:rsidR="00B26F8B">
              <w:rPr>
                <w:rStyle w:val="FootnoteReference"/>
                <w:color w:val="000000" w:themeColor="text1"/>
              </w:rPr>
              <w:footnoteReference w:id="30"/>
            </w:r>
            <w:r w:rsidRPr="00500114">
              <w:rPr>
                <w:color w:val="000000" w:themeColor="text1"/>
                <w:vertAlign w:val="superscript"/>
              </w:rPr>
              <w:t>)</w:t>
            </w:r>
          </w:p>
        </w:tc>
        <w:tc>
          <w:tcPr>
            <w:tcW w:w="588" w:type="pct"/>
            <w:tcBorders>
              <w:top w:val="single" w:sz="4" w:space="0" w:color="auto"/>
              <w:bottom w:val="single" w:sz="4" w:space="0" w:color="auto"/>
            </w:tcBorders>
            <w:shd w:val="clear" w:color="auto" w:fill="auto"/>
          </w:tcPr>
          <w:p w14:paraId="33DEC808"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04AC99DA"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tcPr>
          <w:p w14:paraId="6C96E37C" w14:textId="77777777" w:rsidR="00524C5E" w:rsidRPr="002029AF" w:rsidRDefault="00524C5E" w:rsidP="00897193">
            <w:pPr>
              <w:pStyle w:val="ARtabletextright"/>
            </w:pPr>
          </w:p>
        </w:tc>
        <w:tc>
          <w:tcPr>
            <w:tcW w:w="588" w:type="pct"/>
            <w:tcBorders>
              <w:top w:val="single" w:sz="4" w:space="0" w:color="auto"/>
              <w:bottom w:val="single" w:sz="4" w:space="0" w:color="auto"/>
            </w:tcBorders>
          </w:tcPr>
          <w:p w14:paraId="73A1FB16" w14:textId="77777777" w:rsidR="00524C5E" w:rsidRPr="002029AF" w:rsidRDefault="00524C5E" w:rsidP="00897193">
            <w:pPr>
              <w:pStyle w:val="ARtabletextright"/>
            </w:pPr>
          </w:p>
        </w:tc>
        <w:tc>
          <w:tcPr>
            <w:tcW w:w="514" w:type="pct"/>
            <w:tcBorders>
              <w:top w:val="single" w:sz="4" w:space="0" w:color="auto"/>
              <w:bottom w:val="single" w:sz="4" w:space="0" w:color="auto"/>
            </w:tcBorders>
          </w:tcPr>
          <w:p w14:paraId="282A82B0" w14:textId="77777777" w:rsidR="00524C5E" w:rsidRPr="002029AF" w:rsidRDefault="00524C5E" w:rsidP="00897193">
            <w:pPr>
              <w:pStyle w:val="ARtabletextright"/>
            </w:pPr>
          </w:p>
        </w:tc>
      </w:tr>
      <w:tr w:rsidR="00524C5E" w:rsidRPr="002029AF" w14:paraId="31C99799" w14:textId="77777777" w:rsidTr="00897193">
        <w:trPr>
          <w:cantSplit/>
        </w:trPr>
        <w:tc>
          <w:tcPr>
            <w:tcW w:w="1399" w:type="pct"/>
            <w:tcBorders>
              <w:top w:val="single" w:sz="4" w:space="0" w:color="auto"/>
              <w:bottom w:val="single" w:sz="4" w:space="0" w:color="auto"/>
            </w:tcBorders>
            <w:shd w:val="clear" w:color="auto" w:fill="auto"/>
          </w:tcPr>
          <w:p w14:paraId="33F56E12" w14:textId="77777777" w:rsidR="00524C5E" w:rsidRPr="002029AF" w:rsidRDefault="00524C5E" w:rsidP="00897193">
            <w:pPr>
              <w:pStyle w:val="ARtabletext"/>
            </w:pPr>
            <w:r w:rsidRPr="002029AF">
              <w:t>$420,000–$439,999</w:t>
            </w:r>
          </w:p>
        </w:tc>
        <w:tc>
          <w:tcPr>
            <w:tcW w:w="735" w:type="pct"/>
            <w:tcBorders>
              <w:top w:val="single" w:sz="4" w:space="0" w:color="auto"/>
              <w:bottom w:val="single" w:sz="4" w:space="0" w:color="auto"/>
            </w:tcBorders>
            <w:shd w:val="clear" w:color="auto" w:fill="auto"/>
          </w:tcPr>
          <w:p w14:paraId="698C71BE"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4BF4889F"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7F2A2C9A"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tcPr>
          <w:p w14:paraId="0FFDFEEB" w14:textId="77777777" w:rsidR="00524C5E" w:rsidRPr="002029AF" w:rsidRDefault="00524C5E" w:rsidP="00897193">
            <w:pPr>
              <w:pStyle w:val="ARtabletextright"/>
            </w:pPr>
          </w:p>
        </w:tc>
        <w:tc>
          <w:tcPr>
            <w:tcW w:w="588" w:type="pct"/>
            <w:tcBorders>
              <w:top w:val="single" w:sz="4" w:space="0" w:color="auto"/>
              <w:bottom w:val="single" w:sz="4" w:space="0" w:color="auto"/>
            </w:tcBorders>
          </w:tcPr>
          <w:p w14:paraId="1E29314C" w14:textId="77777777" w:rsidR="00524C5E" w:rsidRPr="002029AF" w:rsidRDefault="00524C5E" w:rsidP="00897193">
            <w:pPr>
              <w:pStyle w:val="ARtabletextright"/>
            </w:pPr>
          </w:p>
        </w:tc>
        <w:tc>
          <w:tcPr>
            <w:tcW w:w="514" w:type="pct"/>
            <w:tcBorders>
              <w:top w:val="single" w:sz="4" w:space="0" w:color="auto"/>
              <w:bottom w:val="single" w:sz="4" w:space="0" w:color="auto"/>
            </w:tcBorders>
          </w:tcPr>
          <w:p w14:paraId="2D5505BB" w14:textId="77777777" w:rsidR="00524C5E" w:rsidRPr="002029AF" w:rsidRDefault="00524C5E" w:rsidP="00897193">
            <w:pPr>
              <w:pStyle w:val="ARtabletextright"/>
            </w:pPr>
          </w:p>
        </w:tc>
      </w:tr>
      <w:tr w:rsidR="00524C5E" w:rsidRPr="002029AF" w14:paraId="5FF544D2" w14:textId="77777777" w:rsidTr="00897193">
        <w:tblPrEx>
          <w:tblLook w:val="04A0" w:firstRow="1" w:lastRow="0" w:firstColumn="1" w:lastColumn="0" w:noHBand="0" w:noVBand="1"/>
        </w:tblPrEx>
        <w:trPr>
          <w:cantSplit/>
        </w:trPr>
        <w:tc>
          <w:tcPr>
            <w:tcW w:w="1399" w:type="pct"/>
            <w:tcBorders>
              <w:top w:val="single" w:sz="4" w:space="0" w:color="auto"/>
              <w:bottom w:val="single" w:sz="4" w:space="0" w:color="auto"/>
            </w:tcBorders>
            <w:shd w:val="clear" w:color="auto" w:fill="auto"/>
          </w:tcPr>
          <w:p w14:paraId="1DC9990F" w14:textId="77777777" w:rsidR="00524C5E" w:rsidRPr="002029AF" w:rsidRDefault="00524C5E" w:rsidP="00897193">
            <w:pPr>
              <w:pStyle w:val="ARtabletext"/>
            </w:pPr>
            <w:r w:rsidRPr="002029AF">
              <w:t>$440,000–$459,999</w:t>
            </w:r>
          </w:p>
        </w:tc>
        <w:tc>
          <w:tcPr>
            <w:tcW w:w="735" w:type="pct"/>
            <w:tcBorders>
              <w:top w:val="single" w:sz="4" w:space="0" w:color="auto"/>
              <w:bottom w:val="single" w:sz="4" w:space="0" w:color="auto"/>
            </w:tcBorders>
            <w:shd w:val="clear" w:color="auto" w:fill="auto"/>
          </w:tcPr>
          <w:p w14:paraId="5A018B12"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08411B57"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44C29E5D"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tcPr>
          <w:p w14:paraId="794233BE" w14:textId="77777777" w:rsidR="00524C5E" w:rsidRPr="002029AF" w:rsidRDefault="00524C5E" w:rsidP="00897193">
            <w:pPr>
              <w:pStyle w:val="ARtabletextright"/>
            </w:pPr>
          </w:p>
        </w:tc>
        <w:tc>
          <w:tcPr>
            <w:tcW w:w="588" w:type="pct"/>
            <w:tcBorders>
              <w:top w:val="single" w:sz="4" w:space="0" w:color="auto"/>
              <w:bottom w:val="single" w:sz="4" w:space="0" w:color="auto"/>
            </w:tcBorders>
          </w:tcPr>
          <w:p w14:paraId="7BC7F7AE" w14:textId="77777777" w:rsidR="00524C5E" w:rsidRPr="002029AF" w:rsidRDefault="00524C5E" w:rsidP="00897193">
            <w:pPr>
              <w:pStyle w:val="ARtabletextright"/>
            </w:pPr>
          </w:p>
        </w:tc>
        <w:tc>
          <w:tcPr>
            <w:tcW w:w="514" w:type="pct"/>
            <w:tcBorders>
              <w:top w:val="single" w:sz="4" w:space="0" w:color="auto"/>
              <w:bottom w:val="single" w:sz="4" w:space="0" w:color="auto"/>
            </w:tcBorders>
          </w:tcPr>
          <w:p w14:paraId="4175D18F" w14:textId="77777777" w:rsidR="00524C5E" w:rsidRPr="002029AF" w:rsidRDefault="00524C5E" w:rsidP="00897193">
            <w:pPr>
              <w:pStyle w:val="ARtabletextright"/>
            </w:pPr>
          </w:p>
        </w:tc>
      </w:tr>
      <w:tr w:rsidR="00524C5E" w:rsidRPr="002029AF" w14:paraId="59B06011" w14:textId="77777777" w:rsidTr="00897193">
        <w:tblPrEx>
          <w:tblLook w:val="04A0" w:firstRow="1" w:lastRow="0" w:firstColumn="1" w:lastColumn="0" w:noHBand="0" w:noVBand="1"/>
        </w:tblPrEx>
        <w:trPr>
          <w:cantSplit/>
        </w:trPr>
        <w:tc>
          <w:tcPr>
            <w:tcW w:w="1399" w:type="pct"/>
            <w:tcBorders>
              <w:top w:val="single" w:sz="4" w:space="0" w:color="auto"/>
              <w:bottom w:val="single" w:sz="4" w:space="0" w:color="auto"/>
            </w:tcBorders>
            <w:shd w:val="clear" w:color="auto" w:fill="auto"/>
          </w:tcPr>
          <w:p w14:paraId="5F5E1F61" w14:textId="77777777" w:rsidR="00524C5E" w:rsidRPr="002029AF" w:rsidRDefault="00524C5E" w:rsidP="00897193">
            <w:pPr>
              <w:pStyle w:val="ARtabletext"/>
            </w:pPr>
            <w:r w:rsidRPr="002029AF">
              <w:t>$460,000–$479,999</w:t>
            </w:r>
          </w:p>
        </w:tc>
        <w:tc>
          <w:tcPr>
            <w:tcW w:w="735" w:type="pct"/>
            <w:tcBorders>
              <w:top w:val="single" w:sz="4" w:space="0" w:color="auto"/>
              <w:bottom w:val="single" w:sz="4" w:space="0" w:color="auto"/>
            </w:tcBorders>
            <w:shd w:val="clear" w:color="auto" w:fill="auto"/>
          </w:tcPr>
          <w:p w14:paraId="38E6A614"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037E1EF1"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1875B694"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tcPr>
          <w:p w14:paraId="76EA19FD" w14:textId="77777777" w:rsidR="00524C5E" w:rsidRPr="002029AF" w:rsidRDefault="00524C5E" w:rsidP="00897193">
            <w:pPr>
              <w:pStyle w:val="ARtabletextright"/>
            </w:pPr>
          </w:p>
        </w:tc>
        <w:tc>
          <w:tcPr>
            <w:tcW w:w="588" w:type="pct"/>
            <w:tcBorders>
              <w:top w:val="single" w:sz="4" w:space="0" w:color="auto"/>
              <w:bottom w:val="single" w:sz="4" w:space="0" w:color="auto"/>
            </w:tcBorders>
          </w:tcPr>
          <w:p w14:paraId="0DF3F108" w14:textId="77777777" w:rsidR="00524C5E" w:rsidRPr="002029AF" w:rsidRDefault="00524C5E" w:rsidP="00897193">
            <w:pPr>
              <w:pStyle w:val="ARtabletextright"/>
            </w:pPr>
          </w:p>
        </w:tc>
        <w:tc>
          <w:tcPr>
            <w:tcW w:w="514" w:type="pct"/>
            <w:tcBorders>
              <w:top w:val="single" w:sz="4" w:space="0" w:color="auto"/>
              <w:bottom w:val="single" w:sz="4" w:space="0" w:color="auto"/>
            </w:tcBorders>
          </w:tcPr>
          <w:p w14:paraId="62726598" w14:textId="77777777" w:rsidR="00524C5E" w:rsidRPr="002029AF" w:rsidRDefault="00524C5E" w:rsidP="00897193">
            <w:pPr>
              <w:pStyle w:val="ARtabletextright"/>
            </w:pPr>
          </w:p>
        </w:tc>
      </w:tr>
      <w:tr w:rsidR="00524C5E" w:rsidRPr="002029AF" w14:paraId="45DEBB6C" w14:textId="77777777" w:rsidTr="00897193">
        <w:tblPrEx>
          <w:tblLook w:val="04A0" w:firstRow="1" w:lastRow="0" w:firstColumn="1" w:lastColumn="0" w:noHBand="0" w:noVBand="1"/>
        </w:tblPrEx>
        <w:trPr>
          <w:cantSplit/>
        </w:trPr>
        <w:tc>
          <w:tcPr>
            <w:tcW w:w="1399" w:type="pct"/>
            <w:tcBorders>
              <w:top w:val="single" w:sz="4" w:space="0" w:color="auto"/>
              <w:bottom w:val="single" w:sz="4" w:space="0" w:color="auto"/>
            </w:tcBorders>
            <w:shd w:val="clear" w:color="auto" w:fill="auto"/>
          </w:tcPr>
          <w:p w14:paraId="5E6262F0" w14:textId="77777777" w:rsidR="00524C5E" w:rsidRPr="002029AF" w:rsidRDefault="00524C5E" w:rsidP="00897193">
            <w:pPr>
              <w:pStyle w:val="ARtabletext"/>
            </w:pPr>
            <w:r w:rsidRPr="002029AF">
              <w:t>$520,000–$539,999</w:t>
            </w:r>
          </w:p>
        </w:tc>
        <w:tc>
          <w:tcPr>
            <w:tcW w:w="735" w:type="pct"/>
            <w:tcBorders>
              <w:top w:val="single" w:sz="4" w:space="0" w:color="auto"/>
              <w:bottom w:val="single" w:sz="4" w:space="0" w:color="auto"/>
            </w:tcBorders>
            <w:shd w:val="clear" w:color="auto" w:fill="auto"/>
          </w:tcPr>
          <w:p w14:paraId="7F7A6734"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15D623D0"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shd w:val="clear" w:color="auto" w:fill="auto"/>
          </w:tcPr>
          <w:p w14:paraId="5328A805" w14:textId="77777777" w:rsidR="00524C5E" w:rsidRPr="002029AF" w:rsidRDefault="00524C5E" w:rsidP="00897193">
            <w:pPr>
              <w:pStyle w:val="ARtabletextright"/>
              <w:rPr>
                <w:color w:val="000000" w:themeColor="text1"/>
              </w:rPr>
            </w:pPr>
          </w:p>
        </w:tc>
        <w:tc>
          <w:tcPr>
            <w:tcW w:w="588" w:type="pct"/>
            <w:tcBorders>
              <w:top w:val="single" w:sz="4" w:space="0" w:color="auto"/>
              <w:bottom w:val="single" w:sz="4" w:space="0" w:color="auto"/>
            </w:tcBorders>
          </w:tcPr>
          <w:p w14:paraId="59C2B044" w14:textId="77777777" w:rsidR="00524C5E" w:rsidRPr="002029AF" w:rsidRDefault="00524C5E" w:rsidP="00897193">
            <w:pPr>
              <w:pStyle w:val="ARtabletextright"/>
            </w:pPr>
          </w:p>
        </w:tc>
        <w:tc>
          <w:tcPr>
            <w:tcW w:w="588" w:type="pct"/>
            <w:tcBorders>
              <w:top w:val="single" w:sz="4" w:space="0" w:color="auto"/>
              <w:bottom w:val="single" w:sz="4" w:space="0" w:color="auto"/>
            </w:tcBorders>
          </w:tcPr>
          <w:p w14:paraId="1CF1027D" w14:textId="77777777" w:rsidR="00524C5E" w:rsidRPr="002029AF" w:rsidRDefault="00524C5E" w:rsidP="00897193">
            <w:pPr>
              <w:pStyle w:val="ARtabletextright"/>
            </w:pPr>
          </w:p>
        </w:tc>
        <w:tc>
          <w:tcPr>
            <w:tcW w:w="514" w:type="pct"/>
            <w:tcBorders>
              <w:top w:val="single" w:sz="4" w:space="0" w:color="auto"/>
              <w:bottom w:val="single" w:sz="4" w:space="0" w:color="auto"/>
            </w:tcBorders>
          </w:tcPr>
          <w:p w14:paraId="64F92A75" w14:textId="77777777" w:rsidR="00524C5E" w:rsidRPr="002029AF" w:rsidRDefault="00524C5E" w:rsidP="00897193">
            <w:pPr>
              <w:pStyle w:val="ARtabletextright"/>
            </w:pPr>
          </w:p>
        </w:tc>
      </w:tr>
      <w:tr w:rsidR="00524C5E" w:rsidRPr="002029AF" w14:paraId="5416D980" w14:textId="77777777" w:rsidTr="00897193">
        <w:tblPrEx>
          <w:tblLook w:val="04A0" w:firstRow="1" w:lastRow="0" w:firstColumn="1" w:lastColumn="0" w:noHBand="0" w:noVBand="1"/>
        </w:tblPrEx>
        <w:trPr>
          <w:cantSplit/>
        </w:trPr>
        <w:tc>
          <w:tcPr>
            <w:tcW w:w="1399" w:type="pct"/>
            <w:tcBorders>
              <w:top w:val="single" w:sz="4" w:space="0" w:color="auto"/>
            </w:tcBorders>
            <w:shd w:val="clear" w:color="auto" w:fill="auto"/>
          </w:tcPr>
          <w:p w14:paraId="0CC8EDD0" w14:textId="77777777" w:rsidR="00524C5E" w:rsidRPr="002029AF" w:rsidRDefault="00524C5E" w:rsidP="00897193">
            <w:pPr>
              <w:pStyle w:val="ARtabletextbold"/>
            </w:pPr>
            <w:r w:rsidRPr="002029AF">
              <w:t>Total</w:t>
            </w:r>
          </w:p>
        </w:tc>
        <w:tc>
          <w:tcPr>
            <w:tcW w:w="735" w:type="pct"/>
            <w:tcBorders>
              <w:top w:val="single" w:sz="4" w:space="0" w:color="auto"/>
            </w:tcBorders>
            <w:shd w:val="clear" w:color="auto" w:fill="auto"/>
          </w:tcPr>
          <w:p w14:paraId="1357F44B" w14:textId="77777777" w:rsidR="00524C5E" w:rsidRPr="002029AF" w:rsidRDefault="00524C5E" w:rsidP="00897193">
            <w:pPr>
              <w:pStyle w:val="ARtabletextrightbold"/>
              <w:rPr>
                <w:color w:val="000000" w:themeColor="text1"/>
              </w:rPr>
            </w:pPr>
            <w:r>
              <w:rPr>
                <w:color w:val="000000" w:themeColor="text1"/>
              </w:rPr>
              <w:t>6</w:t>
            </w:r>
          </w:p>
        </w:tc>
        <w:tc>
          <w:tcPr>
            <w:tcW w:w="588" w:type="pct"/>
            <w:tcBorders>
              <w:top w:val="single" w:sz="4" w:space="0" w:color="auto"/>
            </w:tcBorders>
            <w:shd w:val="clear" w:color="auto" w:fill="auto"/>
          </w:tcPr>
          <w:p w14:paraId="3043AFC6" w14:textId="77777777" w:rsidR="00524C5E" w:rsidRPr="002029AF" w:rsidRDefault="00524C5E" w:rsidP="00897193">
            <w:pPr>
              <w:pStyle w:val="ARtabletextrightbold"/>
              <w:rPr>
                <w:color w:val="000000" w:themeColor="text1"/>
              </w:rPr>
            </w:pPr>
            <w:r>
              <w:rPr>
                <w:color w:val="000000" w:themeColor="text1"/>
              </w:rPr>
              <w:t>2</w:t>
            </w:r>
          </w:p>
        </w:tc>
        <w:tc>
          <w:tcPr>
            <w:tcW w:w="588" w:type="pct"/>
            <w:tcBorders>
              <w:top w:val="single" w:sz="4" w:space="0" w:color="auto"/>
            </w:tcBorders>
            <w:shd w:val="clear" w:color="auto" w:fill="auto"/>
          </w:tcPr>
          <w:p w14:paraId="2FBB0032" w14:textId="77777777" w:rsidR="00524C5E" w:rsidRPr="002029AF" w:rsidRDefault="00524C5E" w:rsidP="00897193">
            <w:pPr>
              <w:pStyle w:val="ARtabletextrightbold"/>
              <w:rPr>
                <w:color w:val="000000" w:themeColor="text1"/>
              </w:rPr>
            </w:pPr>
          </w:p>
        </w:tc>
        <w:tc>
          <w:tcPr>
            <w:tcW w:w="588" w:type="pct"/>
            <w:tcBorders>
              <w:top w:val="single" w:sz="4" w:space="0" w:color="auto"/>
            </w:tcBorders>
          </w:tcPr>
          <w:p w14:paraId="340339A8" w14:textId="77777777" w:rsidR="00524C5E" w:rsidRPr="002029AF" w:rsidRDefault="00524C5E" w:rsidP="00897193">
            <w:pPr>
              <w:pStyle w:val="ARtabletextrightbold"/>
            </w:pPr>
            <w:r>
              <w:t>1</w:t>
            </w:r>
          </w:p>
        </w:tc>
        <w:tc>
          <w:tcPr>
            <w:tcW w:w="588" w:type="pct"/>
            <w:tcBorders>
              <w:top w:val="single" w:sz="4" w:space="0" w:color="auto"/>
            </w:tcBorders>
          </w:tcPr>
          <w:p w14:paraId="7AC7C469" w14:textId="77777777" w:rsidR="00524C5E" w:rsidRPr="002029AF" w:rsidRDefault="00524C5E" w:rsidP="00897193">
            <w:pPr>
              <w:pStyle w:val="ARtabletextrightbold"/>
              <w:jc w:val="left"/>
            </w:pPr>
          </w:p>
        </w:tc>
        <w:tc>
          <w:tcPr>
            <w:tcW w:w="514" w:type="pct"/>
            <w:tcBorders>
              <w:top w:val="single" w:sz="4" w:space="0" w:color="auto"/>
            </w:tcBorders>
          </w:tcPr>
          <w:p w14:paraId="5CC6DCF0" w14:textId="77777777" w:rsidR="00524C5E" w:rsidRPr="002029AF" w:rsidRDefault="00524C5E" w:rsidP="00897193">
            <w:pPr>
              <w:pStyle w:val="ARtabletextrightbold"/>
            </w:pPr>
          </w:p>
        </w:tc>
      </w:tr>
    </w:tbl>
    <w:p w14:paraId="643B3D1A" w14:textId="0FE7E0F6" w:rsidR="0015132C" w:rsidRDefault="0015132C" w:rsidP="00DD479E">
      <w:pPr>
        <w:pStyle w:val="ARbody"/>
      </w:pPr>
      <w:bookmarkStart w:id="442" w:name="_Ref525047436"/>
      <w:bookmarkEnd w:id="422"/>
      <w:bookmarkEnd w:id="432"/>
      <w:bookmarkEnd w:id="442"/>
      <w:r>
        <w:br w:type="page"/>
      </w:r>
    </w:p>
    <w:p w14:paraId="1DCF6C22" w14:textId="0651009F" w:rsidR="0015132C" w:rsidRPr="00B64216" w:rsidRDefault="0015132C" w:rsidP="00B64216">
      <w:pPr>
        <w:pStyle w:val="Heading2"/>
        <w:rPr>
          <w:rFonts w:cs="Arial"/>
        </w:rPr>
      </w:pPr>
      <w:bookmarkStart w:id="443" w:name="_Ref21960664"/>
      <w:bookmarkStart w:id="444" w:name="_Ref84252391"/>
      <w:bookmarkStart w:id="445" w:name="_Toc85121235"/>
      <w:bookmarkStart w:id="446" w:name="_Toc85121611"/>
      <w:bookmarkStart w:id="447" w:name="_Toc86075594"/>
      <w:r w:rsidRPr="00B64216">
        <w:rPr>
          <w:rFonts w:cs="Arial"/>
        </w:rPr>
        <w:lastRenderedPageBreak/>
        <w:t>Executive officer data</w:t>
      </w:r>
      <w:bookmarkEnd w:id="443"/>
      <w:bookmarkEnd w:id="444"/>
      <w:bookmarkEnd w:id="445"/>
      <w:bookmarkEnd w:id="446"/>
      <w:bookmarkEnd w:id="447"/>
    </w:p>
    <w:p w14:paraId="39741F0E" w14:textId="427A3674" w:rsidR="0015132C" w:rsidRPr="002029AF" w:rsidRDefault="0015132C" w:rsidP="00897193">
      <w:pPr>
        <w:pStyle w:val="ARbody"/>
      </w:pPr>
      <w:r w:rsidRPr="002029AF">
        <w:t xml:space="preserve">For a department, an executive officer (EO) is defined as a person employed as an executive under Part 3 of the </w:t>
      </w:r>
      <w:r w:rsidRPr="002029AF">
        <w:rPr>
          <w:i/>
        </w:rPr>
        <w:t xml:space="preserve">Public Administration Act 2004 </w:t>
      </w:r>
      <w:r w:rsidRPr="002029AF">
        <w:t>(PAA). For a public body, an EO is defined as an executive under Part 3 of the PAA or a person to whom the Victorian Government</w:t>
      </w:r>
      <w:r w:rsidR="007D145B">
        <w:t>’</w:t>
      </w:r>
      <w:r w:rsidRPr="002029AF">
        <w:t xml:space="preserve">s </w:t>
      </w:r>
      <w:r w:rsidRPr="002029AF">
        <w:rPr>
          <w:i/>
        </w:rPr>
        <w:t>Policy on executive remuneration in public</w:t>
      </w:r>
      <w:r w:rsidRPr="002029AF">
        <w:t xml:space="preserve"> </w:t>
      </w:r>
      <w:r w:rsidRPr="00F25C46">
        <w:rPr>
          <w:i/>
          <w:iCs/>
        </w:rPr>
        <w:t>entities</w:t>
      </w:r>
      <w:r w:rsidRPr="002029AF">
        <w:t xml:space="preserve"> applies. All figures reflect employment levels at the last full pay period in June of the current and corresponding previous reporting year.</w:t>
      </w:r>
    </w:p>
    <w:p w14:paraId="36D83999" w14:textId="569AC8CD" w:rsidR="0015132C" w:rsidRPr="002029AF" w:rsidRDefault="0015132C" w:rsidP="00897193">
      <w:pPr>
        <w:pStyle w:val="ARbody"/>
      </w:pPr>
      <w:r w:rsidRPr="002029AF">
        <w:t>The definition of an EO does not include a statutory office holder or an Accountable Officer.</w:t>
      </w:r>
    </w:p>
    <w:p w14:paraId="2026706F" w14:textId="46BD49A6" w:rsidR="0015132C" w:rsidRPr="002029AF" w:rsidRDefault="0015132C" w:rsidP="00897193">
      <w:pPr>
        <w:pStyle w:val="ARbody"/>
      </w:pPr>
      <w:r w:rsidRPr="002029AF">
        <w:t>The following tables disclose the EOs of the department, its administrative offices and its portfolio agencies for 30 June 202</w:t>
      </w:r>
      <w:r>
        <w:t>1</w:t>
      </w:r>
      <w:r w:rsidRPr="002029AF">
        <w:t>:</w:t>
      </w:r>
    </w:p>
    <w:p w14:paraId="7DB42198" w14:textId="66BF479C" w:rsidR="0015132C" w:rsidRPr="00C741F1" w:rsidRDefault="0015132C" w:rsidP="00C741F1">
      <w:pPr>
        <w:pStyle w:val="ARbullet1"/>
      </w:pPr>
      <w:r w:rsidRPr="002029AF">
        <w:t>Table 1 di</w:t>
      </w:r>
      <w:r w:rsidRPr="00C741F1">
        <w:t>scloses the total numbers of EOs, broken down by gender</w:t>
      </w:r>
    </w:p>
    <w:p w14:paraId="0279CB2B" w14:textId="3515A27B" w:rsidR="0015132C" w:rsidRPr="00C741F1" w:rsidRDefault="0015132C" w:rsidP="00C741F1">
      <w:pPr>
        <w:pStyle w:val="ARbullet1"/>
      </w:pPr>
      <w:r w:rsidRPr="00C741F1">
        <w:t xml:space="preserve">Table 2 provides a reconciliation of </w:t>
      </w:r>
      <w:r w:rsidR="00AB3AD4">
        <w:t>EO</w:t>
      </w:r>
      <w:r w:rsidR="00AB3AD4" w:rsidRPr="00C741F1">
        <w:t xml:space="preserve"> </w:t>
      </w:r>
      <w:r w:rsidRPr="00C741F1">
        <w:t xml:space="preserve">numbers presented between the report of operations and Note 9.7 </w:t>
      </w:r>
      <w:r w:rsidR="007D145B">
        <w:t>‘</w:t>
      </w:r>
      <w:r w:rsidRPr="00C741F1">
        <w:t>Remuneration of executives</w:t>
      </w:r>
      <w:r w:rsidR="007D145B">
        <w:t>’</w:t>
      </w:r>
      <w:r w:rsidRPr="00C741F1">
        <w:t xml:space="preserve"> in the financial statements, which includes remuneration paid to </w:t>
      </w:r>
      <w:r w:rsidR="00AB3AD4">
        <w:t>EOs</w:t>
      </w:r>
      <w:r w:rsidR="00AB3AD4" w:rsidRPr="00C741F1">
        <w:t xml:space="preserve"> </w:t>
      </w:r>
      <w:r w:rsidRPr="00C741F1">
        <w:t>at any time throughout the reporting period.</w:t>
      </w:r>
    </w:p>
    <w:p w14:paraId="1573E958" w14:textId="1D5FD064" w:rsidR="0015132C" w:rsidRPr="00C741F1" w:rsidRDefault="0015132C" w:rsidP="00C741F1">
      <w:pPr>
        <w:pStyle w:val="ARbullet1"/>
      </w:pPr>
      <w:r w:rsidRPr="00C741F1">
        <w:t xml:space="preserve">Table 3 provides the total </w:t>
      </w:r>
      <w:r w:rsidR="00AB3AD4">
        <w:t>EO</w:t>
      </w:r>
      <w:r w:rsidR="00AB3AD4" w:rsidRPr="00C741F1">
        <w:t xml:space="preserve"> </w:t>
      </w:r>
      <w:r w:rsidRPr="00C741F1">
        <w:t>numbers for all the department</w:t>
      </w:r>
      <w:r w:rsidR="007D145B">
        <w:t>’</w:t>
      </w:r>
      <w:r w:rsidRPr="00C741F1">
        <w:t>s portfolio agencies.</w:t>
      </w:r>
    </w:p>
    <w:p w14:paraId="1ACB9BB5" w14:textId="798E6D8F" w:rsidR="0015132C" w:rsidRPr="002029AF" w:rsidRDefault="0015132C" w:rsidP="00C741F1">
      <w:pPr>
        <w:pStyle w:val="ARbullet1"/>
      </w:pPr>
      <w:r w:rsidRPr="00C741F1">
        <w:t>Variations in numbers between the current and previous reporting period are unable to be provided for the department as i</w:t>
      </w:r>
      <w:r>
        <w:t>t</w:t>
      </w:r>
      <w:r w:rsidRPr="00D8436F">
        <w:t xml:space="preserve"> was established in 2021.</w:t>
      </w:r>
      <w:r>
        <w:t xml:space="preserve"> Variations are provided for administrative offices and portfolio agencies</w:t>
      </w:r>
      <w:r w:rsidRPr="00AB3AD4">
        <w:t>.</w:t>
      </w:r>
    </w:p>
    <w:p w14:paraId="102124DB" w14:textId="77777777" w:rsidR="0015132C" w:rsidRPr="002029AF" w:rsidRDefault="0015132C" w:rsidP="00871595">
      <w:pPr>
        <w:pStyle w:val="Heading3EOdata"/>
      </w:pPr>
      <w:bookmarkStart w:id="448" w:name="_Toc85121236"/>
      <w:r w:rsidRPr="002029AF">
        <w:t>Table 1: Total number of EOs for the department, broken down by gender</w:t>
      </w:r>
      <w:bookmarkEnd w:id="448"/>
    </w:p>
    <w:tbl>
      <w:tblPr>
        <w:tblW w:w="9629" w:type="dxa"/>
        <w:tblInd w:w="5"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1701"/>
        <w:gridCol w:w="1550"/>
        <w:gridCol w:w="1984"/>
        <w:gridCol w:w="2126"/>
        <w:gridCol w:w="2268"/>
      </w:tblGrid>
      <w:tr w:rsidR="0015132C" w:rsidRPr="002029AF" w14:paraId="77A0F5D9" w14:textId="77777777" w:rsidTr="0015132C">
        <w:trPr>
          <w:cantSplit/>
          <w:tblHeader/>
        </w:trPr>
        <w:tc>
          <w:tcPr>
            <w:tcW w:w="1701" w:type="dxa"/>
            <w:vMerge w:val="restart"/>
            <w:shd w:val="clear" w:color="auto" w:fill="auto"/>
            <w:vAlign w:val="bottom"/>
          </w:tcPr>
          <w:p w14:paraId="628F9E94" w14:textId="77777777" w:rsidR="0015132C" w:rsidRPr="002029AF" w:rsidRDefault="0015132C" w:rsidP="008A7CFD">
            <w:pPr>
              <w:pStyle w:val="ARtablecolhead"/>
            </w:pPr>
            <w:r w:rsidRPr="002029AF">
              <w:t>Class</w:t>
            </w:r>
          </w:p>
        </w:tc>
        <w:tc>
          <w:tcPr>
            <w:tcW w:w="7928" w:type="dxa"/>
            <w:gridSpan w:val="4"/>
            <w:shd w:val="clear" w:color="auto" w:fill="auto"/>
            <w:vAlign w:val="bottom"/>
          </w:tcPr>
          <w:p w14:paraId="3AC3765F" w14:textId="77777777" w:rsidR="0015132C" w:rsidRPr="002029AF" w:rsidRDefault="0015132C" w:rsidP="00286264">
            <w:pPr>
              <w:pStyle w:val="ARtablecolheadcentre"/>
              <w:ind w:left="510"/>
            </w:pPr>
            <w:r>
              <w:t>No. (head count)</w:t>
            </w:r>
          </w:p>
        </w:tc>
      </w:tr>
      <w:tr w:rsidR="0015132C" w:rsidRPr="002029AF" w14:paraId="7A030710" w14:textId="77777777" w:rsidTr="0015132C">
        <w:trPr>
          <w:cantSplit/>
          <w:tblHeader/>
        </w:trPr>
        <w:tc>
          <w:tcPr>
            <w:tcW w:w="1701" w:type="dxa"/>
            <w:vMerge/>
            <w:vAlign w:val="bottom"/>
          </w:tcPr>
          <w:p w14:paraId="75046FC7" w14:textId="77777777" w:rsidR="0015132C" w:rsidRPr="002029AF" w:rsidRDefault="0015132C" w:rsidP="00897193">
            <w:pPr>
              <w:pStyle w:val="ARtablecolhead"/>
            </w:pPr>
          </w:p>
        </w:tc>
        <w:tc>
          <w:tcPr>
            <w:tcW w:w="1550" w:type="dxa"/>
            <w:shd w:val="clear" w:color="auto" w:fill="auto"/>
            <w:vAlign w:val="bottom"/>
          </w:tcPr>
          <w:p w14:paraId="46411F80" w14:textId="77777777" w:rsidR="0015132C" w:rsidRPr="002029AF" w:rsidRDefault="0015132C" w:rsidP="00897193">
            <w:pPr>
              <w:pStyle w:val="ARtablecolheadright"/>
            </w:pPr>
            <w:r>
              <w:t>Total</w:t>
            </w:r>
          </w:p>
        </w:tc>
        <w:tc>
          <w:tcPr>
            <w:tcW w:w="1984" w:type="dxa"/>
            <w:shd w:val="clear" w:color="auto" w:fill="auto"/>
            <w:vAlign w:val="bottom"/>
          </w:tcPr>
          <w:p w14:paraId="4B62553B" w14:textId="77777777" w:rsidR="0015132C" w:rsidRPr="002029AF" w:rsidRDefault="0015132C" w:rsidP="00897193">
            <w:pPr>
              <w:pStyle w:val="ARtablecolheadright"/>
            </w:pPr>
            <w:r>
              <w:t>Women</w:t>
            </w:r>
          </w:p>
        </w:tc>
        <w:tc>
          <w:tcPr>
            <w:tcW w:w="2126" w:type="dxa"/>
            <w:shd w:val="clear" w:color="auto" w:fill="auto"/>
            <w:vAlign w:val="bottom"/>
          </w:tcPr>
          <w:p w14:paraId="166C8936" w14:textId="77777777" w:rsidR="0015132C" w:rsidRPr="002029AF" w:rsidRDefault="0015132C" w:rsidP="00897193">
            <w:pPr>
              <w:pStyle w:val="ARtablecolheadright"/>
            </w:pPr>
            <w:r>
              <w:t>Men</w:t>
            </w:r>
          </w:p>
        </w:tc>
        <w:tc>
          <w:tcPr>
            <w:tcW w:w="2268" w:type="dxa"/>
            <w:shd w:val="clear" w:color="auto" w:fill="auto"/>
            <w:vAlign w:val="bottom"/>
          </w:tcPr>
          <w:p w14:paraId="5CD888C0" w14:textId="77777777" w:rsidR="0015132C" w:rsidRPr="002029AF" w:rsidRDefault="0015132C" w:rsidP="00897193">
            <w:pPr>
              <w:pStyle w:val="ARtablecolheadright"/>
            </w:pPr>
            <w:r>
              <w:t>Self-described</w:t>
            </w:r>
          </w:p>
        </w:tc>
      </w:tr>
      <w:tr w:rsidR="0015132C" w:rsidRPr="002029AF" w14:paraId="5758E00F" w14:textId="77777777" w:rsidTr="0015132C">
        <w:trPr>
          <w:cantSplit/>
          <w:trHeight w:hRule="exact" w:val="340"/>
        </w:trPr>
        <w:tc>
          <w:tcPr>
            <w:tcW w:w="1701" w:type="dxa"/>
            <w:shd w:val="clear" w:color="auto" w:fill="auto"/>
          </w:tcPr>
          <w:p w14:paraId="6132DE6E" w14:textId="77777777" w:rsidR="0015132C" w:rsidRPr="00C741F1" w:rsidRDefault="0015132C" w:rsidP="00C741F1">
            <w:pPr>
              <w:pStyle w:val="ARtabletext"/>
            </w:pPr>
            <w:r w:rsidRPr="00C741F1">
              <w:t>Secretary</w:t>
            </w:r>
          </w:p>
        </w:tc>
        <w:tc>
          <w:tcPr>
            <w:tcW w:w="1550" w:type="dxa"/>
            <w:shd w:val="clear" w:color="auto" w:fill="auto"/>
          </w:tcPr>
          <w:p w14:paraId="778C1845" w14:textId="77777777" w:rsidR="0015132C" w:rsidRPr="00C741F1" w:rsidRDefault="0015132C" w:rsidP="00C741F1">
            <w:pPr>
              <w:pStyle w:val="ARtabletextright"/>
            </w:pPr>
            <w:r w:rsidRPr="00C741F1">
              <w:t>1</w:t>
            </w:r>
          </w:p>
        </w:tc>
        <w:tc>
          <w:tcPr>
            <w:tcW w:w="1984" w:type="dxa"/>
            <w:shd w:val="clear" w:color="auto" w:fill="auto"/>
          </w:tcPr>
          <w:p w14:paraId="548C0800" w14:textId="77777777" w:rsidR="0015132C" w:rsidRPr="00C741F1" w:rsidRDefault="0015132C" w:rsidP="00C741F1">
            <w:pPr>
              <w:pStyle w:val="ARtabletextright"/>
            </w:pPr>
            <w:r w:rsidRPr="00C741F1">
              <w:t>0</w:t>
            </w:r>
          </w:p>
        </w:tc>
        <w:tc>
          <w:tcPr>
            <w:tcW w:w="2126" w:type="dxa"/>
            <w:shd w:val="clear" w:color="auto" w:fill="auto"/>
          </w:tcPr>
          <w:p w14:paraId="1B1BC86F" w14:textId="77777777" w:rsidR="0015132C" w:rsidRPr="00C741F1" w:rsidRDefault="0015132C" w:rsidP="00C741F1">
            <w:pPr>
              <w:pStyle w:val="ARtabletextright"/>
            </w:pPr>
            <w:r w:rsidRPr="00C741F1">
              <w:t>1</w:t>
            </w:r>
          </w:p>
        </w:tc>
        <w:tc>
          <w:tcPr>
            <w:tcW w:w="2268" w:type="dxa"/>
            <w:shd w:val="clear" w:color="auto" w:fill="auto"/>
          </w:tcPr>
          <w:p w14:paraId="13E51B66" w14:textId="77777777" w:rsidR="0015132C" w:rsidRPr="00C741F1" w:rsidRDefault="0015132C" w:rsidP="00C741F1">
            <w:pPr>
              <w:pStyle w:val="ARtabletextright"/>
            </w:pPr>
            <w:r w:rsidRPr="00C741F1">
              <w:t>0</w:t>
            </w:r>
          </w:p>
        </w:tc>
      </w:tr>
      <w:tr w:rsidR="0015132C" w:rsidRPr="002029AF" w14:paraId="362D8B25" w14:textId="77777777" w:rsidTr="0015132C">
        <w:trPr>
          <w:cantSplit/>
          <w:trHeight w:hRule="exact" w:val="340"/>
        </w:trPr>
        <w:tc>
          <w:tcPr>
            <w:tcW w:w="1701" w:type="dxa"/>
            <w:shd w:val="clear" w:color="auto" w:fill="auto"/>
          </w:tcPr>
          <w:p w14:paraId="07988EA6" w14:textId="77777777" w:rsidR="0015132C" w:rsidRPr="00C741F1" w:rsidRDefault="0015132C" w:rsidP="00C741F1">
            <w:pPr>
              <w:pStyle w:val="ARtabletext"/>
            </w:pPr>
            <w:r w:rsidRPr="00C741F1">
              <w:t>SES-3</w:t>
            </w:r>
          </w:p>
        </w:tc>
        <w:tc>
          <w:tcPr>
            <w:tcW w:w="1550" w:type="dxa"/>
            <w:shd w:val="clear" w:color="auto" w:fill="auto"/>
          </w:tcPr>
          <w:p w14:paraId="02A518B3" w14:textId="77777777" w:rsidR="0015132C" w:rsidRPr="00C741F1" w:rsidRDefault="0015132C" w:rsidP="00C741F1">
            <w:pPr>
              <w:pStyle w:val="ARtabletextright"/>
            </w:pPr>
            <w:r w:rsidRPr="00C741F1">
              <w:t>10</w:t>
            </w:r>
          </w:p>
        </w:tc>
        <w:tc>
          <w:tcPr>
            <w:tcW w:w="1984" w:type="dxa"/>
            <w:shd w:val="clear" w:color="auto" w:fill="auto"/>
          </w:tcPr>
          <w:p w14:paraId="12B14CD1" w14:textId="77777777" w:rsidR="0015132C" w:rsidRPr="00C741F1" w:rsidRDefault="0015132C" w:rsidP="00C741F1">
            <w:pPr>
              <w:pStyle w:val="ARtabletextright"/>
            </w:pPr>
            <w:r w:rsidRPr="00C741F1">
              <w:t>5</w:t>
            </w:r>
          </w:p>
        </w:tc>
        <w:tc>
          <w:tcPr>
            <w:tcW w:w="2126" w:type="dxa"/>
            <w:shd w:val="clear" w:color="auto" w:fill="auto"/>
          </w:tcPr>
          <w:p w14:paraId="36DCB3D6" w14:textId="77777777" w:rsidR="0015132C" w:rsidRPr="00C741F1" w:rsidRDefault="0015132C" w:rsidP="00C741F1">
            <w:pPr>
              <w:pStyle w:val="ARtabletextright"/>
            </w:pPr>
            <w:r w:rsidRPr="00C741F1">
              <w:t>5</w:t>
            </w:r>
          </w:p>
        </w:tc>
        <w:tc>
          <w:tcPr>
            <w:tcW w:w="2268" w:type="dxa"/>
            <w:shd w:val="clear" w:color="auto" w:fill="auto"/>
          </w:tcPr>
          <w:p w14:paraId="4BEBF547" w14:textId="77777777" w:rsidR="0015132C" w:rsidRPr="00C741F1" w:rsidRDefault="0015132C" w:rsidP="00C741F1">
            <w:pPr>
              <w:pStyle w:val="ARtabletextright"/>
            </w:pPr>
            <w:r w:rsidRPr="00C741F1">
              <w:t>0</w:t>
            </w:r>
          </w:p>
        </w:tc>
      </w:tr>
      <w:tr w:rsidR="0015132C" w:rsidRPr="002029AF" w14:paraId="19DB5FDD" w14:textId="77777777" w:rsidTr="0015132C">
        <w:trPr>
          <w:cantSplit/>
          <w:trHeight w:hRule="exact" w:val="340"/>
        </w:trPr>
        <w:tc>
          <w:tcPr>
            <w:tcW w:w="1701" w:type="dxa"/>
            <w:shd w:val="clear" w:color="auto" w:fill="auto"/>
          </w:tcPr>
          <w:p w14:paraId="0C3FE8EE" w14:textId="77777777" w:rsidR="0015132C" w:rsidRPr="00C741F1" w:rsidRDefault="0015132C" w:rsidP="00C741F1">
            <w:pPr>
              <w:pStyle w:val="ARtabletext"/>
            </w:pPr>
            <w:r w:rsidRPr="00C741F1">
              <w:t>SES-2</w:t>
            </w:r>
          </w:p>
        </w:tc>
        <w:tc>
          <w:tcPr>
            <w:tcW w:w="1550" w:type="dxa"/>
            <w:shd w:val="clear" w:color="auto" w:fill="auto"/>
          </w:tcPr>
          <w:p w14:paraId="0AD7A7D0" w14:textId="77777777" w:rsidR="0015132C" w:rsidRPr="00C741F1" w:rsidRDefault="0015132C" w:rsidP="00C741F1">
            <w:pPr>
              <w:pStyle w:val="ARtabletextright"/>
            </w:pPr>
            <w:r w:rsidRPr="00C741F1">
              <w:t>51</w:t>
            </w:r>
          </w:p>
        </w:tc>
        <w:tc>
          <w:tcPr>
            <w:tcW w:w="1984" w:type="dxa"/>
            <w:shd w:val="clear" w:color="auto" w:fill="auto"/>
          </w:tcPr>
          <w:p w14:paraId="0E4D96A1" w14:textId="77777777" w:rsidR="0015132C" w:rsidRPr="00C741F1" w:rsidRDefault="0015132C" w:rsidP="00C741F1">
            <w:pPr>
              <w:pStyle w:val="ARtabletextright"/>
            </w:pPr>
            <w:r w:rsidRPr="00C741F1">
              <w:t>27</w:t>
            </w:r>
          </w:p>
        </w:tc>
        <w:tc>
          <w:tcPr>
            <w:tcW w:w="2126" w:type="dxa"/>
            <w:shd w:val="clear" w:color="auto" w:fill="auto"/>
          </w:tcPr>
          <w:p w14:paraId="51985D94" w14:textId="77777777" w:rsidR="0015132C" w:rsidRPr="00C741F1" w:rsidRDefault="0015132C" w:rsidP="00C741F1">
            <w:pPr>
              <w:pStyle w:val="ARtabletextright"/>
            </w:pPr>
            <w:r w:rsidRPr="00C741F1">
              <w:t>24</w:t>
            </w:r>
          </w:p>
        </w:tc>
        <w:tc>
          <w:tcPr>
            <w:tcW w:w="2268" w:type="dxa"/>
            <w:shd w:val="clear" w:color="auto" w:fill="auto"/>
          </w:tcPr>
          <w:p w14:paraId="5D4ACE5B" w14:textId="77777777" w:rsidR="0015132C" w:rsidRPr="00C741F1" w:rsidRDefault="0015132C" w:rsidP="00C741F1">
            <w:pPr>
              <w:pStyle w:val="ARtabletextright"/>
            </w:pPr>
            <w:r w:rsidRPr="00C741F1">
              <w:t>0</w:t>
            </w:r>
          </w:p>
        </w:tc>
      </w:tr>
      <w:tr w:rsidR="0015132C" w:rsidRPr="002029AF" w14:paraId="5A634551" w14:textId="77777777" w:rsidTr="0015132C">
        <w:trPr>
          <w:cantSplit/>
          <w:trHeight w:hRule="exact" w:val="340"/>
        </w:trPr>
        <w:tc>
          <w:tcPr>
            <w:tcW w:w="1701" w:type="dxa"/>
            <w:shd w:val="clear" w:color="auto" w:fill="auto"/>
          </w:tcPr>
          <w:p w14:paraId="0FF95CDB" w14:textId="77777777" w:rsidR="0015132C" w:rsidRPr="00C741F1" w:rsidRDefault="0015132C" w:rsidP="00C741F1">
            <w:pPr>
              <w:pStyle w:val="ARtabletext"/>
            </w:pPr>
            <w:r w:rsidRPr="00C741F1">
              <w:t>SES-1</w:t>
            </w:r>
          </w:p>
        </w:tc>
        <w:tc>
          <w:tcPr>
            <w:tcW w:w="1550" w:type="dxa"/>
            <w:shd w:val="clear" w:color="auto" w:fill="auto"/>
          </w:tcPr>
          <w:p w14:paraId="6C6C008B" w14:textId="77777777" w:rsidR="0015132C" w:rsidRPr="00C741F1" w:rsidRDefault="0015132C" w:rsidP="00C741F1">
            <w:pPr>
              <w:pStyle w:val="ARtabletextright"/>
            </w:pPr>
            <w:r w:rsidRPr="00C741F1">
              <w:t>107</w:t>
            </w:r>
          </w:p>
        </w:tc>
        <w:tc>
          <w:tcPr>
            <w:tcW w:w="1984" w:type="dxa"/>
            <w:shd w:val="clear" w:color="auto" w:fill="auto"/>
          </w:tcPr>
          <w:p w14:paraId="065DBD2D" w14:textId="77777777" w:rsidR="0015132C" w:rsidRPr="00C741F1" w:rsidRDefault="0015132C" w:rsidP="00C741F1">
            <w:pPr>
              <w:pStyle w:val="ARtabletextright"/>
            </w:pPr>
            <w:r w:rsidRPr="00C741F1">
              <w:t>72</w:t>
            </w:r>
          </w:p>
        </w:tc>
        <w:tc>
          <w:tcPr>
            <w:tcW w:w="2126" w:type="dxa"/>
            <w:shd w:val="clear" w:color="auto" w:fill="auto"/>
          </w:tcPr>
          <w:p w14:paraId="552F1162" w14:textId="77777777" w:rsidR="0015132C" w:rsidRPr="00C741F1" w:rsidRDefault="0015132C" w:rsidP="00C741F1">
            <w:pPr>
              <w:pStyle w:val="ARtabletextright"/>
            </w:pPr>
            <w:r w:rsidRPr="00C741F1">
              <w:t>35</w:t>
            </w:r>
          </w:p>
        </w:tc>
        <w:tc>
          <w:tcPr>
            <w:tcW w:w="2268" w:type="dxa"/>
            <w:shd w:val="clear" w:color="auto" w:fill="auto"/>
          </w:tcPr>
          <w:p w14:paraId="09BAB29F" w14:textId="77777777" w:rsidR="0015132C" w:rsidRPr="00C741F1" w:rsidRDefault="0015132C" w:rsidP="00C741F1">
            <w:pPr>
              <w:pStyle w:val="ARtabletextright"/>
            </w:pPr>
            <w:r w:rsidRPr="00C741F1">
              <w:t>0</w:t>
            </w:r>
          </w:p>
        </w:tc>
      </w:tr>
      <w:tr w:rsidR="0015132C" w:rsidRPr="002029AF" w14:paraId="21F17078" w14:textId="77777777" w:rsidTr="0015132C">
        <w:trPr>
          <w:cantSplit/>
          <w:trHeight w:hRule="exact" w:val="340"/>
        </w:trPr>
        <w:tc>
          <w:tcPr>
            <w:tcW w:w="1701" w:type="dxa"/>
            <w:shd w:val="clear" w:color="auto" w:fill="auto"/>
          </w:tcPr>
          <w:p w14:paraId="2D67202D" w14:textId="77777777" w:rsidR="0015132C" w:rsidRPr="002029AF" w:rsidRDefault="0015132C" w:rsidP="00897193">
            <w:pPr>
              <w:pStyle w:val="ARtabletextbold"/>
            </w:pPr>
            <w:r w:rsidRPr="002029AF">
              <w:t>Total</w:t>
            </w:r>
          </w:p>
        </w:tc>
        <w:tc>
          <w:tcPr>
            <w:tcW w:w="1550" w:type="dxa"/>
            <w:shd w:val="clear" w:color="auto" w:fill="auto"/>
          </w:tcPr>
          <w:p w14:paraId="684A1977" w14:textId="77777777" w:rsidR="0015132C" w:rsidRPr="002029AF" w:rsidRDefault="0015132C" w:rsidP="00897193">
            <w:pPr>
              <w:pStyle w:val="ARtabletextrightbold"/>
              <w:rPr>
                <w:color w:val="000000" w:themeColor="text1"/>
              </w:rPr>
            </w:pPr>
            <w:r w:rsidRPr="32559F22">
              <w:rPr>
                <w:color w:val="000000" w:themeColor="text1"/>
              </w:rPr>
              <w:t>1</w:t>
            </w:r>
            <w:r>
              <w:rPr>
                <w:color w:val="000000" w:themeColor="text1"/>
              </w:rPr>
              <w:t>69</w:t>
            </w:r>
          </w:p>
        </w:tc>
        <w:tc>
          <w:tcPr>
            <w:tcW w:w="1984" w:type="dxa"/>
            <w:shd w:val="clear" w:color="auto" w:fill="auto"/>
          </w:tcPr>
          <w:p w14:paraId="7DBFD021" w14:textId="77777777" w:rsidR="0015132C" w:rsidRPr="002029AF" w:rsidRDefault="0015132C" w:rsidP="00897193">
            <w:pPr>
              <w:pStyle w:val="ARtabletextrightbold"/>
            </w:pPr>
            <w:r>
              <w:t>104</w:t>
            </w:r>
          </w:p>
        </w:tc>
        <w:tc>
          <w:tcPr>
            <w:tcW w:w="2126" w:type="dxa"/>
            <w:shd w:val="clear" w:color="auto" w:fill="auto"/>
          </w:tcPr>
          <w:p w14:paraId="42A08364" w14:textId="77777777" w:rsidR="0015132C" w:rsidRPr="002029AF" w:rsidRDefault="0015132C" w:rsidP="00897193">
            <w:pPr>
              <w:pStyle w:val="ARtabletextrightbold"/>
            </w:pPr>
            <w:r>
              <w:t>65</w:t>
            </w:r>
          </w:p>
        </w:tc>
        <w:tc>
          <w:tcPr>
            <w:tcW w:w="2268" w:type="dxa"/>
            <w:shd w:val="clear" w:color="auto" w:fill="auto"/>
          </w:tcPr>
          <w:p w14:paraId="22DD617B" w14:textId="77777777" w:rsidR="0015132C" w:rsidRPr="002029AF" w:rsidRDefault="0015132C" w:rsidP="00897193">
            <w:pPr>
              <w:pStyle w:val="ARtabletextrightbold"/>
            </w:pPr>
            <w:r w:rsidRPr="002029AF">
              <w:t>0</w:t>
            </w:r>
          </w:p>
        </w:tc>
      </w:tr>
    </w:tbl>
    <w:p w14:paraId="7DBA15CE" w14:textId="5DFAA37C" w:rsidR="0015132C" w:rsidRDefault="0015132C" w:rsidP="00897193">
      <w:pPr>
        <w:pStyle w:val="ARbodyaftertable"/>
      </w:pPr>
      <w:r w:rsidRPr="002029AF">
        <w:t xml:space="preserve">The number of </w:t>
      </w:r>
      <w:r w:rsidR="00AB3AD4">
        <w:t>EOs</w:t>
      </w:r>
      <w:r w:rsidR="00AB3AD4" w:rsidRPr="002029AF">
        <w:t xml:space="preserve"> </w:t>
      </w:r>
      <w:r w:rsidRPr="002029AF">
        <w:t xml:space="preserve">in the report of operations is based on the number of </w:t>
      </w:r>
      <w:r w:rsidR="00AB3AD4">
        <w:t>EO</w:t>
      </w:r>
      <w:r w:rsidR="00AB3AD4" w:rsidRPr="002029AF">
        <w:t xml:space="preserve"> </w:t>
      </w:r>
      <w:r w:rsidRPr="002029AF">
        <w:t>positions that are occupied at the end of the financial year. Note 9.7 in the financial statements lists the actual number of EOs and the total remuneration paid to EOs over the course of the reporting period. The financial statements note</w:t>
      </w:r>
      <w:r>
        <w:t> </w:t>
      </w:r>
      <w:r w:rsidRPr="002029AF">
        <w:t xml:space="preserve">does not include the Accountable Officer, nor does it distinguish between executive levels or disclose separations. Separations are </w:t>
      </w:r>
      <w:r w:rsidR="00AB3AD4">
        <w:t>EOs</w:t>
      </w:r>
      <w:r w:rsidR="00AB3AD4" w:rsidRPr="002029AF">
        <w:t xml:space="preserve"> </w:t>
      </w:r>
      <w:r w:rsidRPr="002029AF">
        <w:t>who have left the department during the relevant reporting period. To assist readers, these two disclosures are reconciled below.</w:t>
      </w:r>
    </w:p>
    <w:p w14:paraId="406ED47C" w14:textId="735EC427" w:rsidR="0015132C" w:rsidRPr="002029AF" w:rsidRDefault="0015132C" w:rsidP="00871595">
      <w:pPr>
        <w:pStyle w:val="Heading3EOdata"/>
      </w:pPr>
      <w:bookmarkStart w:id="449" w:name="_Toc85121237"/>
      <w:bookmarkStart w:id="450" w:name="_Hlk19622283"/>
      <w:r w:rsidRPr="002029AF">
        <w:t xml:space="preserve">Table 2: Reconciliation of </w:t>
      </w:r>
      <w:r w:rsidR="00643A6E">
        <w:t>EO</w:t>
      </w:r>
      <w:r w:rsidR="00643A6E" w:rsidRPr="002029AF">
        <w:t xml:space="preserve"> </w:t>
      </w:r>
      <w:r w:rsidRPr="002029AF">
        <w:t>numbers for the department</w:t>
      </w:r>
      <w:bookmarkEnd w:id="449"/>
    </w:p>
    <w:bookmarkEnd w:id="450"/>
    <w:tbl>
      <w:tblPr>
        <w:tblStyle w:val="TableGrid"/>
        <w:tblW w:w="9634" w:type="dxa"/>
        <w:tblLook w:val="06A0" w:firstRow="1" w:lastRow="0" w:firstColumn="1" w:lastColumn="0" w:noHBand="1" w:noVBand="1"/>
      </w:tblPr>
      <w:tblGrid>
        <w:gridCol w:w="6227"/>
        <w:gridCol w:w="3400"/>
        <w:gridCol w:w="7"/>
      </w:tblGrid>
      <w:tr w:rsidR="0015132C" w:rsidRPr="002029AF" w14:paraId="030BFC4A" w14:textId="77777777" w:rsidTr="0015132C">
        <w:trPr>
          <w:cnfStyle w:val="100000000000" w:firstRow="1" w:lastRow="0" w:firstColumn="0" w:lastColumn="0" w:oddVBand="0" w:evenVBand="0" w:oddHBand="0" w:evenHBand="0" w:firstRowFirstColumn="0" w:firstRowLastColumn="0" w:lastRowFirstColumn="0" w:lastRowLastColumn="0"/>
          <w:tblHeader/>
        </w:trPr>
        <w:tc>
          <w:tcPr>
            <w:tcW w:w="6231" w:type="dxa"/>
            <w:tcBorders>
              <w:top w:val="nil"/>
            </w:tcBorders>
          </w:tcPr>
          <w:p w14:paraId="76DA6938" w14:textId="77777777" w:rsidR="0015132C" w:rsidRPr="002029AF" w:rsidRDefault="0015132C" w:rsidP="00871DEF">
            <w:pPr>
              <w:pStyle w:val="ARtablecolhead"/>
            </w:pPr>
          </w:p>
        </w:tc>
        <w:tc>
          <w:tcPr>
            <w:tcW w:w="3403" w:type="dxa"/>
            <w:gridSpan w:val="2"/>
            <w:tcBorders>
              <w:top w:val="nil"/>
            </w:tcBorders>
          </w:tcPr>
          <w:p w14:paraId="340370D2" w14:textId="77777777" w:rsidR="0015132C" w:rsidRPr="002029AF" w:rsidRDefault="0015132C" w:rsidP="00897193">
            <w:pPr>
              <w:pStyle w:val="ARtablecolheadright"/>
            </w:pPr>
            <w:r w:rsidRPr="002029AF">
              <w:t>202</w:t>
            </w:r>
            <w:r>
              <w:t>1</w:t>
            </w:r>
          </w:p>
        </w:tc>
      </w:tr>
      <w:tr w:rsidR="0015132C" w:rsidRPr="002029AF" w14:paraId="1305B56F" w14:textId="77777777" w:rsidTr="0015132C">
        <w:tc>
          <w:tcPr>
            <w:tcW w:w="6231" w:type="dxa"/>
            <w:tcBorders>
              <w:top w:val="single" w:sz="4" w:space="0" w:color="70AD47" w:themeColor="accent6"/>
            </w:tcBorders>
          </w:tcPr>
          <w:p w14:paraId="7DDA47BE" w14:textId="77777777" w:rsidR="0015132C" w:rsidRPr="002029AF" w:rsidRDefault="0015132C" w:rsidP="00897193">
            <w:pPr>
              <w:pStyle w:val="ARtabletext"/>
            </w:pPr>
            <w:r w:rsidRPr="002029AF">
              <w:t>Executives</w:t>
            </w:r>
            <w:r>
              <w:t xml:space="preserve"> (financial statement Note 9.7)</w:t>
            </w:r>
          </w:p>
        </w:tc>
        <w:tc>
          <w:tcPr>
            <w:tcW w:w="3403" w:type="dxa"/>
            <w:gridSpan w:val="2"/>
            <w:tcBorders>
              <w:top w:val="single" w:sz="4" w:space="0" w:color="70AD47" w:themeColor="accent6"/>
            </w:tcBorders>
          </w:tcPr>
          <w:p w14:paraId="39FF5251" w14:textId="77777777" w:rsidR="0015132C" w:rsidRPr="002029AF" w:rsidRDefault="0015132C" w:rsidP="00897193">
            <w:pPr>
              <w:pStyle w:val="ARtabletextright"/>
            </w:pPr>
            <w:r>
              <w:t>183</w:t>
            </w:r>
          </w:p>
        </w:tc>
      </w:tr>
      <w:tr w:rsidR="0015132C" w:rsidRPr="002029AF" w14:paraId="1510AFAC" w14:textId="77777777" w:rsidTr="0015132C">
        <w:tc>
          <w:tcPr>
            <w:tcW w:w="6231" w:type="dxa"/>
          </w:tcPr>
          <w:p w14:paraId="5D0E2C27" w14:textId="77777777" w:rsidR="0015132C" w:rsidRPr="002029AF" w:rsidRDefault="0015132C" w:rsidP="00897193">
            <w:pPr>
              <w:pStyle w:val="ARtabletext"/>
            </w:pPr>
            <w:r w:rsidRPr="002029AF">
              <w:t>Accountable Officer (Secretary)</w:t>
            </w:r>
          </w:p>
        </w:tc>
        <w:tc>
          <w:tcPr>
            <w:tcW w:w="3403" w:type="dxa"/>
            <w:gridSpan w:val="2"/>
          </w:tcPr>
          <w:p w14:paraId="03C0C34A" w14:textId="77777777" w:rsidR="0015132C" w:rsidRPr="002029AF" w:rsidRDefault="0015132C" w:rsidP="00897193">
            <w:pPr>
              <w:pStyle w:val="ARtabletextright"/>
            </w:pPr>
            <w:r w:rsidRPr="002029AF">
              <w:t>1</w:t>
            </w:r>
          </w:p>
        </w:tc>
      </w:tr>
      <w:tr w:rsidR="0015132C" w:rsidRPr="002029AF" w14:paraId="02541921" w14:textId="77777777" w:rsidTr="0015132C">
        <w:tc>
          <w:tcPr>
            <w:tcW w:w="6231" w:type="dxa"/>
          </w:tcPr>
          <w:p w14:paraId="3C301F65" w14:textId="77777777" w:rsidR="0015132C" w:rsidRPr="002029AF" w:rsidRDefault="0015132C" w:rsidP="00897193">
            <w:pPr>
              <w:pStyle w:val="ARtabletext"/>
            </w:pPr>
            <w:r w:rsidRPr="002029AF">
              <w:t>Less separations</w:t>
            </w:r>
          </w:p>
        </w:tc>
        <w:tc>
          <w:tcPr>
            <w:tcW w:w="3403" w:type="dxa"/>
            <w:gridSpan w:val="2"/>
          </w:tcPr>
          <w:p w14:paraId="1D312B3A" w14:textId="77777777" w:rsidR="0015132C" w:rsidRPr="002029AF" w:rsidRDefault="0015132C" w:rsidP="00897193">
            <w:pPr>
              <w:pStyle w:val="ARtabletextright"/>
            </w:pPr>
            <w:r w:rsidRPr="002029AF">
              <w:t>(</w:t>
            </w:r>
            <w:r w:rsidRPr="00960FD2">
              <w:t>13</w:t>
            </w:r>
            <w:r w:rsidRPr="002029AF">
              <w:t>)</w:t>
            </w:r>
          </w:p>
        </w:tc>
      </w:tr>
      <w:tr w:rsidR="0015132C" w:rsidRPr="002029AF" w14:paraId="36D4FEBC" w14:textId="77777777" w:rsidTr="0015132C">
        <w:trPr>
          <w:gridAfter w:val="1"/>
          <w:wAfter w:w="7" w:type="dxa"/>
        </w:trPr>
        <w:tc>
          <w:tcPr>
            <w:tcW w:w="6231" w:type="dxa"/>
          </w:tcPr>
          <w:p w14:paraId="6F54BE48" w14:textId="77777777" w:rsidR="0015132C" w:rsidRPr="00960FD2" w:rsidRDefault="0015132C" w:rsidP="00897193">
            <w:pPr>
              <w:pStyle w:val="ARtabletext"/>
            </w:pPr>
            <w:r w:rsidRPr="00960FD2">
              <w:t>Less executives employed by other departments</w:t>
            </w:r>
          </w:p>
        </w:tc>
        <w:tc>
          <w:tcPr>
            <w:tcW w:w="3403" w:type="dxa"/>
          </w:tcPr>
          <w:p w14:paraId="2114D250" w14:textId="77777777" w:rsidR="0015132C" w:rsidRPr="00960FD2" w:rsidRDefault="0015132C" w:rsidP="0015132C">
            <w:pPr>
              <w:pStyle w:val="ARtabletextright"/>
            </w:pPr>
            <w:r w:rsidRPr="00960FD2">
              <w:t>(2)</w:t>
            </w:r>
          </w:p>
        </w:tc>
      </w:tr>
      <w:tr w:rsidR="0015132C" w:rsidRPr="002029AF" w14:paraId="7C817BA6" w14:textId="77777777" w:rsidTr="0015132C">
        <w:tc>
          <w:tcPr>
            <w:tcW w:w="6231" w:type="dxa"/>
          </w:tcPr>
          <w:p w14:paraId="243D4A90" w14:textId="77777777" w:rsidR="0015132C" w:rsidRPr="002029AF" w:rsidRDefault="0015132C" w:rsidP="00897193">
            <w:pPr>
              <w:pStyle w:val="ARtabletextbold"/>
            </w:pPr>
            <w:r w:rsidRPr="002029AF">
              <w:t>Total executive numbers at 30 June 202</w:t>
            </w:r>
            <w:r>
              <w:t>1</w:t>
            </w:r>
          </w:p>
        </w:tc>
        <w:tc>
          <w:tcPr>
            <w:tcW w:w="3403" w:type="dxa"/>
            <w:gridSpan w:val="2"/>
          </w:tcPr>
          <w:p w14:paraId="5E624F1A" w14:textId="77777777" w:rsidR="0015132C" w:rsidRPr="002029AF" w:rsidRDefault="0015132C" w:rsidP="00897193">
            <w:pPr>
              <w:pStyle w:val="ARtabletextrightbold"/>
            </w:pPr>
            <w:r>
              <w:t>169</w:t>
            </w:r>
          </w:p>
        </w:tc>
      </w:tr>
    </w:tbl>
    <w:p w14:paraId="447B871E" w14:textId="77777777" w:rsidR="00002663" w:rsidRDefault="00002663">
      <w:pPr>
        <w:rPr>
          <w:rFonts w:ascii="Arial" w:eastAsia="MS Mincho" w:hAnsi="Arial" w:cs="Arial"/>
          <w:b/>
          <w:bCs/>
          <w:color w:val="53565A"/>
          <w:sz w:val="24"/>
          <w:szCs w:val="24"/>
        </w:rPr>
      </w:pPr>
      <w:r>
        <w:br w:type="page"/>
      </w:r>
    </w:p>
    <w:p w14:paraId="32AFE199" w14:textId="3F1C8733" w:rsidR="0015132C" w:rsidRPr="002029AF" w:rsidRDefault="0015132C" w:rsidP="00871595">
      <w:pPr>
        <w:pStyle w:val="Heading3EOdata"/>
      </w:pPr>
      <w:bookmarkStart w:id="451" w:name="_Toc85121238"/>
      <w:r w:rsidRPr="002029AF">
        <w:lastRenderedPageBreak/>
        <w:t>Table 3: Total number of EOs for Mental Health Reform Victoria, broken down by gender</w:t>
      </w:r>
      <w:bookmarkEnd w:id="451"/>
    </w:p>
    <w:tbl>
      <w:tblPr>
        <w:tblStyle w:val="TableGrid"/>
        <w:tblW w:w="0" w:type="auto"/>
        <w:tblLook w:val="06A0" w:firstRow="1" w:lastRow="0" w:firstColumn="1" w:lastColumn="0" w:noHBand="1" w:noVBand="1"/>
      </w:tblPr>
      <w:tblGrid>
        <w:gridCol w:w="1699"/>
        <w:gridCol w:w="991"/>
        <w:gridCol w:w="990"/>
        <w:gridCol w:w="1131"/>
        <w:gridCol w:w="849"/>
        <w:gridCol w:w="991"/>
        <w:gridCol w:w="990"/>
        <w:gridCol w:w="990"/>
        <w:gridCol w:w="991"/>
      </w:tblGrid>
      <w:tr w:rsidR="0015132C" w:rsidRPr="002029AF" w14:paraId="66B33137" w14:textId="77777777" w:rsidTr="007126D4">
        <w:trPr>
          <w:cnfStyle w:val="100000000000" w:firstRow="1" w:lastRow="0" w:firstColumn="0" w:lastColumn="0" w:oddVBand="0" w:evenVBand="0" w:oddHBand="0" w:evenHBand="0" w:firstRowFirstColumn="0" w:firstRowLastColumn="0" w:lastRowFirstColumn="0" w:lastRowLastColumn="0"/>
          <w:tblHeader/>
        </w:trPr>
        <w:tc>
          <w:tcPr>
            <w:tcW w:w="1699" w:type="dxa"/>
            <w:vMerge w:val="restart"/>
          </w:tcPr>
          <w:p w14:paraId="206E883F" w14:textId="77777777" w:rsidR="0015132C" w:rsidRPr="002029AF" w:rsidRDefault="0015132C" w:rsidP="00897193">
            <w:pPr>
              <w:pStyle w:val="ARtablecolhead"/>
            </w:pPr>
            <w:r w:rsidRPr="002029AF">
              <w:t>Class</w:t>
            </w:r>
          </w:p>
        </w:tc>
        <w:tc>
          <w:tcPr>
            <w:tcW w:w="1981" w:type="dxa"/>
            <w:gridSpan w:val="2"/>
          </w:tcPr>
          <w:p w14:paraId="4B6D8E4F" w14:textId="77777777" w:rsidR="0015132C" w:rsidRPr="002029AF" w:rsidRDefault="0015132C" w:rsidP="00286264">
            <w:pPr>
              <w:pStyle w:val="ARtablecolheadcentre"/>
              <w:ind w:left="510"/>
            </w:pPr>
            <w:r w:rsidRPr="002029AF">
              <w:t>All</w:t>
            </w:r>
          </w:p>
        </w:tc>
        <w:tc>
          <w:tcPr>
            <w:tcW w:w="1980" w:type="dxa"/>
            <w:gridSpan w:val="2"/>
          </w:tcPr>
          <w:p w14:paraId="44F95A18" w14:textId="77777777" w:rsidR="0015132C" w:rsidRPr="002029AF" w:rsidRDefault="0015132C" w:rsidP="00286264">
            <w:pPr>
              <w:pStyle w:val="ARtablecolheadcentre"/>
              <w:ind w:left="510"/>
            </w:pPr>
            <w:r w:rsidRPr="002029AF">
              <w:t>Women</w:t>
            </w:r>
          </w:p>
        </w:tc>
        <w:tc>
          <w:tcPr>
            <w:tcW w:w="1981" w:type="dxa"/>
            <w:gridSpan w:val="2"/>
          </w:tcPr>
          <w:p w14:paraId="2D022C0D" w14:textId="77777777" w:rsidR="0015132C" w:rsidRPr="002029AF" w:rsidRDefault="0015132C" w:rsidP="00286264">
            <w:pPr>
              <w:pStyle w:val="ARtablecolheadcentre"/>
              <w:ind w:left="510"/>
            </w:pPr>
            <w:r w:rsidRPr="002029AF">
              <w:t>Men</w:t>
            </w:r>
          </w:p>
        </w:tc>
        <w:tc>
          <w:tcPr>
            <w:tcW w:w="1981" w:type="dxa"/>
            <w:gridSpan w:val="2"/>
          </w:tcPr>
          <w:p w14:paraId="4760C6B0" w14:textId="77777777" w:rsidR="0015132C" w:rsidRPr="002029AF" w:rsidRDefault="0015132C" w:rsidP="00286264">
            <w:pPr>
              <w:pStyle w:val="ARtablecolheadcentre"/>
              <w:ind w:left="284"/>
            </w:pPr>
            <w:r w:rsidRPr="002029AF">
              <w:t>Self-described</w:t>
            </w:r>
          </w:p>
        </w:tc>
      </w:tr>
      <w:tr w:rsidR="0015132C" w:rsidRPr="002029AF" w14:paraId="354E4F3C" w14:textId="77777777" w:rsidTr="007126D4">
        <w:trPr>
          <w:cnfStyle w:val="100000000000" w:firstRow="1" w:lastRow="0" w:firstColumn="0" w:lastColumn="0" w:oddVBand="0" w:evenVBand="0" w:oddHBand="0" w:evenHBand="0" w:firstRowFirstColumn="0" w:firstRowLastColumn="0" w:lastRowFirstColumn="0" w:lastRowLastColumn="0"/>
          <w:tblHeader/>
        </w:trPr>
        <w:tc>
          <w:tcPr>
            <w:tcW w:w="1699" w:type="dxa"/>
            <w:vMerge/>
          </w:tcPr>
          <w:p w14:paraId="0373FEAC" w14:textId="77777777" w:rsidR="0015132C" w:rsidRPr="002029AF" w:rsidRDefault="0015132C" w:rsidP="00897193">
            <w:pPr>
              <w:pStyle w:val="ARtablecolhead"/>
            </w:pPr>
          </w:p>
        </w:tc>
        <w:tc>
          <w:tcPr>
            <w:tcW w:w="991" w:type="dxa"/>
          </w:tcPr>
          <w:p w14:paraId="13FDD159" w14:textId="77777777" w:rsidR="0015132C" w:rsidRPr="002029AF" w:rsidRDefault="0015132C" w:rsidP="00897193">
            <w:pPr>
              <w:pStyle w:val="ARtablecolheadright"/>
            </w:pPr>
            <w:r w:rsidRPr="002029AF">
              <w:t>No.</w:t>
            </w:r>
          </w:p>
        </w:tc>
        <w:tc>
          <w:tcPr>
            <w:tcW w:w="990" w:type="dxa"/>
          </w:tcPr>
          <w:p w14:paraId="0B54F40A" w14:textId="77777777" w:rsidR="0015132C" w:rsidRPr="002029AF" w:rsidRDefault="0015132C" w:rsidP="00897193">
            <w:pPr>
              <w:pStyle w:val="ARtablecolheadright"/>
            </w:pPr>
            <w:r w:rsidRPr="002029AF">
              <w:t>Var.</w:t>
            </w:r>
          </w:p>
        </w:tc>
        <w:tc>
          <w:tcPr>
            <w:tcW w:w="1131" w:type="dxa"/>
          </w:tcPr>
          <w:p w14:paraId="5522D9A8" w14:textId="77777777" w:rsidR="0015132C" w:rsidRPr="002029AF" w:rsidRDefault="0015132C" w:rsidP="00897193">
            <w:pPr>
              <w:pStyle w:val="ARtablecolheadright"/>
            </w:pPr>
            <w:r w:rsidRPr="002029AF">
              <w:t>No.</w:t>
            </w:r>
          </w:p>
        </w:tc>
        <w:tc>
          <w:tcPr>
            <w:tcW w:w="849" w:type="dxa"/>
          </w:tcPr>
          <w:p w14:paraId="3504DA73" w14:textId="77777777" w:rsidR="0015132C" w:rsidRPr="002029AF" w:rsidRDefault="0015132C" w:rsidP="00897193">
            <w:pPr>
              <w:pStyle w:val="ARtablecolheadright"/>
            </w:pPr>
            <w:r w:rsidRPr="002029AF">
              <w:t>Var.</w:t>
            </w:r>
          </w:p>
        </w:tc>
        <w:tc>
          <w:tcPr>
            <w:tcW w:w="991" w:type="dxa"/>
          </w:tcPr>
          <w:p w14:paraId="163D2E25" w14:textId="77777777" w:rsidR="0015132C" w:rsidRPr="002029AF" w:rsidRDefault="0015132C" w:rsidP="00897193">
            <w:pPr>
              <w:pStyle w:val="ARtablecolheadright"/>
            </w:pPr>
            <w:r w:rsidRPr="002029AF">
              <w:t>No.</w:t>
            </w:r>
          </w:p>
        </w:tc>
        <w:tc>
          <w:tcPr>
            <w:tcW w:w="990" w:type="dxa"/>
          </w:tcPr>
          <w:p w14:paraId="441FF60B" w14:textId="77777777" w:rsidR="0015132C" w:rsidRPr="002029AF" w:rsidRDefault="0015132C" w:rsidP="00897193">
            <w:pPr>
              <w:pStyle w:val="ARtablecolheadright"/>
            </w:pPr>
            <w:r w:rsidRPr="002029AF">
              <w:t>Var.</w:t>
            </w:r>
          </w:p>
        </w:tc>
        <w:tc>
          <w:tcPr>
            <w:tcW w:w="990" w:type="dxa"/>
          </w:tcPr>
          <w:p w14:paraId="192ECB1B" w14:textId="77777777" w:rsidR="0015132C" w:rsidRPr="002029AF" w:rsidRDefault="0015132C" w:rsidP="00897193">
            <w:pPr>
              <w:pStyle w:val="ARtablecolheadright"/>
            </w:pPr>
            <w:r w:rsidRPr="002029AF">
              <w:t>No.</w:t>
            </w:r>
          </w:p>
        </w:tc>
        <w:tc>
          <w:tcPr>
            <w:tcW w:w="991" w:type="dxa"/>
          </w:tcPr>
          <w:p w14:paraId="33328CBF" w14:textId="77777777" w:rsidR="0015132C" w:rsidRPr="002029AF" w:rsidRDefault="0015132C" w:rsidP="00897193">
            <w:pPr>
              <w:pStyle w:val="ARtablecolheadright"/>
            </w:pPr>
            <w:r w:rsidRPr="002029AF">
              <w:t>Var.</w:t>
            </w:r>
          </w:p>
        </w:tc>
      </w:tr>
      <w:tr w:rsidR="0015132C" w:rsidRPr="002029AF" w14:paraId="57F0C36A" w14:textId="77777777" w:rsidTr="00243473">
        <w:trPr>
          <w:trHeight w:val="340"/>
        </w:trPr>
        <w:tc>
          <w:tcPr>
            <w:tcW w:w="1699" w:type="dxa"/>
          </w:tcPr>
          <w:p w14:paraId="18426E17" w14:textId="77777777" w:rsidR="0015132C" w:rsidRPr="002029AF" w:rsidRDefault="0015132C" w:rsidP="00897193">
            <w:pPr>
              <w:pStyle w:val="ARtabletext"/>
            </w:pPr>
            <w:r>
              <w:t>SES</w:t>
            </w:r>
            <w:r w:rsidRPr="002029AF">
              <w:t>-2</w:t>
            </w:r>
          </w:p>
        </w:tc>
        <w:tc>
          <w:tcPr>
            <w:tcW w:w="991" w:type="dxa"/>
          </w:tcPr>
          <w:p w14:paraId="47863229" w14:textId="77777777" w:rsidR="0015132C" w:rsidRPr="002029AF" w:rsidRDefault="0015132C" w:rsidP="00897193">
            <w:pPr>
              <w:pStyle w:val="ARtabletextright"/>
            </w:pPr>
            <w:r w:rsidRPr="002029AF">
              <w:t>2</w:t>
            </w:r>
          </w:p>
        </w:tc>
        <w:tc>
          <w:tcPr>
            <w:tcW w:w="990" w:type="dxa"/>
          </w:tcPr>
          <w:p w14:paraId="023F2584" w14:textId="77777777" w:rsidR="0015132C" w:rsidRPr="002029AF" w:rsidRDefault="0015132C" w:rsidP="00897193">
            <w:pPr>
              <w:pStyle w:val="ARtabletextright"/>
            </w:pPr>
            <w:r>
              <w:t>0</w:t>
            </w:r>
          </w:p>
        </w:tc>
        <w:tc>
          <w:tcPr>
            <w:tcW w:w="1131" w:type="dxa"/>
          </w:tcPr>
          <w:p w14:paraId="4B8EEB88" w14:textId="77777777" w:rsidR="0015132C" w:rsidRPr="002029AF" w:rsidRDefault="0015132C" w:rsidP="00897193">
            <w:pPr>
              <w:pStyle w:val="ARtabletextright"/>
            </w:pPr>
            <w:r w:rsidRPr="002029AF">
              <w:t>2</w:t>
            </w:r>
          </w:p>
        </w:tc>
        <w:tc>
          <w:tcPr>
            <w:tcW w:w="849" w:type="dxa"/>
          </w:tcPr>
          <w:p w14:paraId="44EE8B30" w14:textId="77777777" w:rsidR="0015132C" w:rsidRPr="002029AF" w:rsidRDefault="0015132C" w:rsidP="00897193">
            <w:pPr>
              <w:pStyle w:val="ARtabletextright"/>
            </w:pPr>
            <w:r>
              <w:t>0</w:t>
            </w:r>
          </w:p>
        </w:tc>
        <w:tc>
          <w:tcPr>
            <w:tcW w:w="991" w:type="dxa"/>
          </w:tcPr>
          <w:p w14:paraId="0E5E858F" w14:textId="77777777" w:rsidR="0015132C" w:rsidRPr="002029AF" w:rsidRDefault="0015132C" w:rsidP="00897193">
            <w:pPr>
              <w:pStyle w:val="ARtabletextright"/>
            </w:pPr>
            <w:r w:rsidRPr="002029AF">
              <w:t>0</w:t>
            </w:r>
          </w:p>
        </w:tc>
        <w:tc>
          <w:tcPr>
            <w:tcW w:w="990" w:type="dxa"/>
          </w:tcPr>
          <w:p w14:paraId="5B367F9C" w14:textId="77777777" w:rsidR="0015132C" w:rsidRPr="002029AF" w:rsidRDefault="0015132C" w:rsidP="00897193">
            <w:pPr>
              <w:pStyle w:val="ARtabletextright"/>
            </w:pPr>
            <w:r>
              <w:t>0</w:t>
            </w:r>
          </w:p>
        </w:tc>
        <w:tc>
          <w:tcPr>
            <w:tcW w:w="990" w:type="dxa"/>
          </w:tcPr>
          <w:p w14:paraId="54CA7A82" w14:textId="77777777" w:rsidR="0015132C" w:rsidRPr="002029AF" w:rsidRDefault="0015132C" w:rsidP="00897193">
            <w:pPr>
              <w:pStyle w:val="ARtabletextright"/>
            </w:pPr>
            <w:r w:rsidRPr="002029AF">
              <w:t>0</w:t>
            </w:r>
          </w:p>
        </w:tc>
        <w:tc>
          <w:tcPr>
            <w:tcW w:w="991" w:type="dxa"/>
          </w:tcPr>
          <w:p w14:paraId="76CAAA36" w14:textId="77777777" w:rsidR="0015132C" w:rsidRPr="002029AF" w:rsidRDefault="0015132C" w:rsidP="00897193">
            <w:pPr>
              <w:pStyle w:val="ARtabletextright"/>
            </w:pPr>
            <w:r>
              <w:t>0</w:t>
            </w:r>
          </w:p>
        </w:tc>
      </w:tr>
      <w:tr w:rsidR="0015132C" w:rsidRPr="002029AF" w14:paraId="3D7EA38A" w14:textId="77777777" w:rsidTr="00243473">
        <w:trPr>
          <w:trHeight w:val="340"/>
        </w:trPr>
        <w:tc>
          <w:tcPr>
            <w:tcW w:w="1699" w:type="dxa"/>
          </w:tcPr>
          <w:p w14:paraId="4A85A5A1" w14:textId="77777777" w:rsidR="0015132C" w:rsidRPr="002029AF" w:rsidRDefault="0015132C" w:rsidP="00897193">
            <w:pPr>
              <w:pStyle w:val="ARtabletext"/>
            </w:pPr>
            <w:r>
              <w:t>SES-1</w:t>
            </w:r>
          </w:p>
        </w:tc>
        <w:tc>
          <w:tcPr>
            <w:tcW w:w="991" w:type="dxa"/>
          </w:tcPr>
          <w:p w14:paraId="042FEF74" w14:textId="77777777" w:rsidR="0015132C" w:rsidRPr="002029AF" w:rsidRDefault="0015132C" w:rsidP="00897193">
            <w:pPr>
              <w:pStyle w:val="ARtabletextright"/>
            </w:pPr>
            <w:r>
              <w:t>3</w:t>
            </w:r>
          </w:p>
        </w:tc>
        <w:tc>
          <w:tcPr>
            <w:tcW w:w="990" w:type="dxa"/>
          </w:tcPr>
          <w:p w14:paraId="3E01E013" w14:textId="77777777" w:rsidR="0015132C" w:rsidRPr="002029AF" w:rsidRDefault="0015132C" w:rsidP="00897193">
            <w:pPr>
              <w:pStyle w:val="ARtabletextright"/>
            </w:pPr>
            <w:r>
              <w:t>2</w:t>
            </w:r>
          </w:p>
        </w:tc>
        <w:tc>
          <w:tcPr>
            <w:tcW w:w="1131" w:type="dxa"/>
          </w:tcPr>
          <w:p w14:paraId="68FE15D0" w14:textId="77777777" w:rsidR="0015132C" w:rsidRPr="002029AF" w:rsidRDefault="0015132C" w:rsidP="00897193">
            <w:pPr>
              <w:pStyle w:val="ARtabletextright"/>
            </w:pPr>
            <w:r>
              <w:t>2</w:t>
            </w:r>
          </w:p>
        </w:tc>
        <w:tc>
          <w:tcPr>
            <w:tcW w:w="849" w:type="dxa"/>
          </w:tcPr>
          <w:p w14:paraId="7697AF64" w14:textId="77777777" w:rsidR="0015132C" w:rsidRPr="002029AF" w:rsidRDefault="0015132C" w:rsidP="00897193">
            <w:pPr>
              <w:pStyle w:val="ARtabletextright"/>
            </w:pPr>
            <w:r>
              <w:t>1</w:t>
            </w:r>
          </w:p>
        </w:tc>
        <w:tc>
          <w:tcPr>
            <w:tcW w:w="991" w:type="dxa"/>
          </w:tcPr>
          <w:p w14:paraId="34307F92" w14:textId="77777777" w:rsidR="0015132C" w:rsidRPr="002029AF" w:rsidRDefault="0015132C" w:rsidP="00897193">
            <w:pPr>
              <w:pStyle w:val="ARtabletextright"/>
            </w:pPr>
            <w:r>
              <w:t>1</w:t>
            </w:r>
          </w:p>
        </w:tc>
        <w:tc>
          <w:tcPr>
            <w:tcW w:w="990" w:type="dxa"/>
          </w:tcPr>
          <w:p w14:paraId="439AE1C6" w14:textId="77777777" w:rsidR="0015132C" w:rsidRPr="002029AF" w:rsidRDefault="0015132C" w:rsidP="00897193">
            <w:pPr>
              <w:pStyle w:val="ARtabletextright"/>
            </w:pPr>
            <w:r>
              <w:t>1</w:t>
            </w:r>
          </w:p>
        </w:tc>
        <w:tc>
          <w:tcPr>
            <w:tcW w:w="990" w:type="dxa"/>
          </w:tcPr>
          <w:p w14:paraId="27D44BB0" w14:textId="77777777" w:rsidR="0015132C" w:rsidRPr="002029AF" w:rsidRDefault="0015132C" w:rsidP="00897193">
            <w:pPr>
              <w:pStyle w:val="ARtabletextright"/>
            </w:pPr>
            <w:r w:rsidRPr="002029AF">
              <w:t>0</w:t>
            </w:r>
          </w:p>
        </w:tc>
        <w:tc>
          <w:tcPr>
            <w:tcW w:w="991" w:type="dxa"/>
          </w:tcPr>
          <w:p w14:paraId="166861DA" w14:textId="77777777" w:rsidR="0015132C" w:rsidRPr="002029AF" w:rsidRDefault="0015132C" w:rsidP="00897193">
            <w:pPr>
              <w:pStyle w:val="ARtabletextright"/>
            </w:pPr>
            <w:r>
              <w:t>0</w:t>
            </w:r>
          </w:p>
        </w:tc>
      </w:tr>
      <w:tr w:rsidR="0015132C" w:rsidRPr="002029AF" w14:paraId="2E63F453" w14:textId="77777777" w:rsidTr="00243473">
        <w:trPr>
          <w:trHeight w:val="340"/>
        </w:trPr>
        <w:tc>
          <w:tcPr>
            <w:tcW w:w="1699" w:type="dxa"/>
          </w:tcPr>
          <w:p w14:paraId="3E54B994" w14:textId="77777777" w:rsidR="0015132C" w:rsidRPr="002029AF" w:rsidRDefault="0015132C" w:rsidP="00897193">
            <w:pPr>
              <w:pStyle w:val="ARtabletextbold"/>
            </w:pPr>
            <w:r w:rsidRPr="002029AF">
              <w:t>Total</w:t>
            </w:r>
          </w:p>
        </w:tc>
        <w:tc>
          <w:tcPr>
            <w:tcW w:w="991" w:type="dxa"/>
          </w:tcPr>
          <w:p w14:paraId="53603171" w14:textId="77777777" w:rsidR="0015132C" w:rsidRPr="002029AF" w:rsidRDefault="0015132C" w:rsidP="00897193">
            <w:pPr>
              <w:pStyle w:val="ARtabletextrightbold"/>
            </w:pPr>
            <w:r>
              <w:t>5</w:t>
            </w:r>
          </w:p>
        </w:tc>
        <w:tc>
          <w:tcPr>
            <w:tcW w:w="990" w:type="dxa"/>
          </w:tcPr>
          <w:p w14:paraId="2C558B40" w14:textId="77777777" w:rsidR="0015132C" w:rsidRPr="002029AF" w:rsidRDefault="0015132C" w:rsidP="00897193">
            <w:pPr>
              <w:pStyle w:val="ARtabletextrightbold"/>
            </w:pPr>
            <w:r>
              <w:t>2</w:t>
            </w:r>
          </w:p>
        </w:tc>
        <w:tc>
          <w:tcPr>
            <w:tcW w:w="1131" w:type="dxa"/>
          </w:tcPr>
          <w:p w14:paraId="68CBEFDD" w14:textId="77777777" w:rsidR="0015132C" w:rsidRPr="002029AF" w:rsidRDefault="0015132C" w:rsidP="00897193">
            <w:pPr>
              <w:pStyle w:val="ARtabletextrightbold"/>
            </w:pPr>
            <w:r>
              <w:t>4</w:t>
            </w:r>
          </w:p>
        </w:tc>
        <w:tc>
          <w:tcPr>
            <w:tcW w:w="849" w:type="dxa"/>
          </w:tcPr>
          <w:p w14:paraId="72BDD46A" w14:textId="77777777" w:rsidR="0015132C" w:rsidRPr="002029AF" w:rsidRDefault="0015132C" w:rsidP="00897193">
            <w:pPr>
              <w:pStyle w:val="ARtabletextrightbold"/>
            </w:pPr>
            <w:r>
              <w:t>1</w:t>
            </w:r>
          </w:p>
        </w:tc>
        <w:tc>
          <w:tcPr>
            <w:tcW w:w="991" w:type="dxa"/>
          </w:tcPr>
          <w:p w14:paraId="778ACC42" w14:textId="77777777" w:rsidR="0015132C" w:rsidRPr="002029AF" w:rsidRDefault="0015132C" w:rsidP="00897193">
            <w:pPr>
              <w:pStyle w:val="ARtabletextrightbold"/>
            </w:pPr>
            <w:r>
              <w:t>1</w:t>
            </w:r>
          </w:p>
        </w:tc>
        <w:tc>
          <w:tcPr>
            <w:tcW w:w="990" w:type="dxa"/>
          </w:tcPr>
          <w:p w14:paraId="22CAF398" w14:textId="77777777" w:rsidR="0015132C" w:rsidRPr="002029AF" w:rsidRDefault="0015132C" w:rsidP="00897193">
            <w:pPr>
              <w:pStyle w:val="ARtabletextrightbold"/>
            </w:pPr>
            <w:r>
              <w:t>1</w:t>
            </w:r>
          </w:p>
        </w:tc>
        <w:tc>
          <w:tcPr>
            <w:tcW w:w="990" w:type="dxa"/>
          </w:tcPr>
          <w:p w14:paraId="5EEFCC2F" w14:textId="77777777" w:rsidR="0015132C" w:rsidRPr="002029AF" w:rsidRDefault="0015132C" w:rsidP="00897193">
            <w:pPr>
              <w:pStyle w:val="ARtabletextrightbold"/>
            </w:pPr>
            <w:r w:rsidRPr="002029AF">
              <w:t>0</w:t>
            </w:r>
          </w:p>
        </w:tc>
        <w:tc>
          <w:tcPr>
            <w:tcW w:w="991" w:type="dxa"/>
          </w:tcPr>
          <w:p w14:paraId="3079093B" w14:textId="77777777" w:rsidR="0015132C" w:rsidRPr="002029AF" w:rsidRDefault="0015132C" w:rsidP="00897193">
            <w:pPr>
              <w:pStyle w:val="ARtabletextrightbold"/>
            </w:pPr>
            <w:r>
              <w:t>0</w:t>
            </w:r>
          </w:p>
        </w:tc>
      </w:tr>
    </w:tbl>
    <w:p w14:paraId="4BA0F077" w14:textId="57EE40C6" w:rsidR="0015132C" w:rsidRPr="002029AF" w:rsidRDefault="0015132C" w:rsidP="00897193">
      <w:pPr>
        <w:pStyle w:val="ARbodyaftertable"/>
        <w:spacing w:before="120"/>
      </w:pPr>
      <w:r w:rsidRPr="002029AF">
        <w:t xml:space="preserve">The number of </w:t>
      </w:r>
      <w:r w:rsidR="006013D7">
        <w:t xml:space="preserve">EOs </w:t>
      </w:r>
      <w:r w:rsidRPr="002029AF">
        <w:t xml:space="preserve">in the report of operations is based on the number of </w:t>
      </w:r>
      <w:r w:rsidR="00643A6E">
        <w:t>EO</w:t>
      </w:r>
      <w:r w:rsidR="00643A6E" w:rsidRPr="002029AF" w:rsidDel="00643A6E">
        <w:t xml:space="preserve"> </w:t>
      </w:r>
      <w:r w:rsidRPr="002029AF">
        <w:t xml:space="preserve">positions that are occupied at the end of the financial year. Note 9.7 in the financial statements lists the actual number of EOs and the total remuneration paid to EOs over the course of the reporting period. The financial statements note does not include the Accountable Officer, nor does it distinguish between executive levels or disclose separations. Separations are </w:t>
      </w:r>
      <w:r w:rsidR="00643A6E">
        <w:t>EOs</w:t>
      </w:r>
      <w:r w:rsidR="00643A6E" w:rsidRPr="002029AF" w:rsidDel="00643A6E">
        <w:t xml:space="preserve"> </w:t>
      </w:r>
      <w:r w:rsidRPr="002029AF">
        <w:t>who have left the department during the relevant reporting period. To assist readers, these two disclosures are reconciled below.</w:t>
      </w:r>
    </w:p>
    <w:p w14:paraId="7835D6AD" w14:textId="6A37C6D1" w:rsidR="0015132C" w:rsidRPr="002029AF" w:rsidRDefault="0015132C" w:rsidP="00871595">
      <w:pPr>
        <w:pStyle w:val="Heading3EOdata"/>
      </w:pPr>
      <w:bookmarkStart w:id="452" w:name="_Toc85121239"/>
      <w:r w:rsidRPr="002029AF">
        <w:t xml:space="preserve">Table </w:t>
      </w:r>
      <w:r>
        <w:t>4</w:t>
      </w:r>
      <w:r w:rsidRPr="002029AF">
        <w:t xml:space="preserve">: Reconciliation of </w:t>
      </w:r>
      <w:r w:rsidR="00643A6E">
        <w:t>EO</w:t>
      </w:r>
      <w:r w:rsidR="00643A6E" w:rsidRPr="002029AF" w:rsidDel="00643A6E">
        <w:t xml:space="preserve"> </w:t>
      </w:r>
      <w:r w:rsidRPr="002029AF">
        <w:t>numbers for Mental Health Reform Victoria</w:t>
      </w:r>
      <w:bookmarkEnd w:id="452"/>
    </w:p>
    <w:tbl>
      <w:tblPr>
        <w:tblStyle w:val="TableGrid"/>
        <w:tblW w:w="9631" w:type="dxa"/>
        <w:tblLook w:val="06A0" w:firstRow="1" w:lastRow="0" w:firstColumn="1" w:lastColumn="0" w:noHBand="1" w:noVBand="1"/>
      </w:tblPr>
      <w:tblGrid>
        <w:gridCol w:w="7597"/>
        <w:gridCol w:w="1013"/>
        <w:gridCol w:w="1013"/>
        <w:gridCol w:w="8"/>
      </w:tblGrid>
      <w:tr w:rsidR="0015132C" w:rsidRPr="002029AF" w14:paraId="027E44DA" w14:textId="77777777" w:rsidTr="0015132C">
        <w:trPr>
          <w:gridAfter w:val="1"/>
          <w:cnfStyle w:val="100000000000" w:firstRow="1" w:lastRow="0" w:firstColumn="0" w:lastColumn="0" w:oddVBand="0" w:evenVBand="0" w:oddHBand="0" w:evenHBand="0" w:firstRowFirstColumn="0" w:firstRowLastColumn="0" w:lastRowFirstColumn="0" w:lastRowLastColumn="0"/>
          <w:wAfter w:w="8" w:type="dxa"/>
          <w:tblHeader/>
        </w:trPr>
        <w:tc>
          <w:tcPr>
            <w:tcW w:w="7603" w:type="dxa"/>
            <w:tcBorders>
              <w:top w:val="nil"/>
            </w:tcBorders>
          </w:tcPr>
          <w:p w14:paraId="447995B2" w14:textId="77777777" w:rsidR="0015132C" w:rsidRPr="002029AF" w:rsidRDefault="0015132C" w:rsidP="00871DEF">
            <w:pPr>
              <w:pStyle w:val="ARtablecolhead"/>
            </w:pPr>
          </w:p>
        </w:tc>
        <w:tc>
          <w:tcPr>
            <w:tcW w:w="1014" w:type="dxa"/>
            <w:tcBorders>
              <w:top w:val="nil"/>
            </w:tcBorders>
          </w:tcPr>
          <w:p w14:paraId="0770A868" w14:textId="77777777" w:rsidR="0015132C" w:rsidRPr="002029AF" w:rsidRDefault="0015132C" w:rsidP="00897193">
            <w:pPr>
              <w:pStyle w:val="ARtablecolheadright"/>
            </w:pPr>
            <w:r w:rsidRPr="002029AF">
              <w:t>202</w:t>
            </w:r>
            <w:r>
              <w:t>1</w:t>
            </w:r>
          </w:p>
        </w:tc>
        <w:tc>
          <w:tcPr>
            <w:tcW w:w="1014" w:type="dxa"/>
            <w:tcBorders>
              <w:top w:val="nil"/>
            </w:tcBorders>
          </w:tcPr>
          <w:p w14:paraId="07F94FFD" w14:textId="77777777" w:rsidR="0015132C" w:rsidRPr="32559F22" w:rsidRDefault="0015132C" w:rsidP="0015132C">
            <w:pPr>
              <w:pStyle w:val="ARtablecolheadright"/>
              <w:rPr>
                <w:bCs/>
              </w:rPr>
            </w:pPr>
            <w:r w:rsidRPr="32559F22">
              <w:rPr>
                <w:bCs/>
              </w:rPr>
              <w:t>2020</w:t>
            </w:r>
          </w:p>
        </w:tc>
      </w:tr>
      <w:tr w:rsidR="0015132C" w:rsidRPr="002029AF" w14:paraId="085CADFF" w14:textId="77777777" w:rsidTr="0015132C">
        <w:trPr>
          <w:gridAfter w:val="1"/>
          <w:wAfter w:w="8" w:type="dxa"/>
        </w:trPr>
        <w:tc>
          <w:tcPr>
            <w:tcW w:w="7603" w:type="dxa"/>
            <w:tcBorders>
              <w:top w:val="single" w:sz="4" w:space="0" w:color="70AD47" w:themeColor="accent6"/>
            </w:tcBorders>
          </w:tcPr>
          <w:p w14:paraId="41240B8E" w14:textId="77777777" w:rsidR="0015132C" w:rsidRPr="002029AF" w:rsidRDefault="0015132C" w:rsidP="00897193">
            <w:pPr>
              <w:pStyle w:val="ARtabletext"/>
            </w:pPr>
            <w:r w:rsidRPr="002029AF">
              <w:t>Executives</w:t>
            </w:r>
            <w:r>
              <w:t xml:space="preserve"> (financial statement Note 9.7)</w:t>
            </w:r>
          </w:p>
        </w:tc>
        <w:tc>
          <w:tcPr>
            <w:tcW w:w="1014" w:type="dxa"/>
            <w:tcBorders>
              <w:top w:val="single" w:sz="4" w:space="0" w:color="70AD47" w:themeColor="accent6"/>
            </w:tcBorders>
          </w:tcPr>
          <w:p w14:paraId="1EDC0E72" w14:textId="77777777" w:rsidR="0015132C" w:rsidRPr="002029AF" w:rsidRDefault="0015132C" w:rsidP="00897193">
            <w:pPr>
              <w:pStyle w:val="ARtabletextright"/>
            </w:pPr>
            <w:r>
              <w:t>4</w:t>
            </w:r>
          </w:p>
        </w:tc>
        <w:tc>
          <w:tcPr>
            <w:tcW w:w="1014" w:type="dxa"/>
            <w:tcBorders>
              <w:top w:val="single" w:sz="4" w:space="0" w:color="70AD47" w:themeColor="accent6"/>
            </w:tcBorders>
          </w:tcPr>
          <w:p w14:paraId="7B22FD4F" w14:textId="77777777" w:rsidR="0015132C" w:rsidRPr="32559F22" w:rsidRDefault="0015132C" w:rsidP="0015132C">
            <w:pPr>
              <w:pStyle w:val="ARtabletextright"/>
            </w:pPr>
            <w:r w:rsidRPr="32559F22">
              <w:t>2</w:t>
            </w:r>
          </w:p>
        </w:tc>
      </w:tr>
      <w:tr w:rsidR="0015132C" w:rsidRPr="002029AF" w14:paraId="2D79DA19" w14:textId="77777777" w:rsidTr="0015132C">
        <w:tc>
          <w:tcPr>
            <w:tcW w:w="7603" w:type="dxa"/>
            <w:tcBorders>
              <w:top w:val="single" w:sz="4" w:space="0" w:color="70AD47" w:themeColor="accent6"/>
            </w:tcBorders>
          </w:tcPr>
          <w:p w14:paraId="668BD17F" w14:textId="77777777" w:rsidR="0015132C" w:rsidRPr="002029AF" w:rsidRDefault="0015132C" w:rsidP="00897193">
            <w:pPr>
              <w:pStyle w:val="ARtabletext"/>
            </w:pPr>
            <w:r w:rsidRPr="00D90932">
              <w:t>Accountable Officer (Chief Executive Officer)</w:t>
            </w:r>
            <w:r w:rsidRPr="00D90932">
              <w:tab/>
            </w:r>
          </w:p>
        </w:tc>
        <w:tc>
          <w:tcPr>
            <w:tcW w:w="1014" w:type="dxa"/>
            <w:tcBorders>
              <w:top w:val="single" w:sz="4" w:space="0" w:color="70AD47" w:themeColor="accent6"/>
            </w:tcBorders>
          </w:tcPr>
          <w:p w14:paraId="1CF0E861" w14:textId="77777777" w:rsidR="0015132C" w:rsidRPr="002029AF" w:rsidRDefault="0015132C" w:rsidP="00897193">
            <w:pPr>
              <w:pStyle w:val="ARtabletextright"/>
            </w:pPr>
            <w:r>
              <w:t>1</w:t>
            </w:r>
          </w:p>
        </w:tc>
        <w:tc>
          <w:tcPr>
            <w:tcW w:w="1014" w:type="dxa"/>
            <w:gridSpan w:val="2"/>
            <w:tcBorders>
              <w:top w:val="single" w:sz="4" w:space="0" w:color="70AD47" w:themeColor="accent6"/>
            </w:tcBorders>
          </w:tcPr>
          <w:p w14:paraId="610F92A6" w14:textId="77777777" w:rsidR="0015132C" w:rsidRPr="32559F22" w:rsidRDefault="0015132C" w:rsidP="0015132C">
            <w:pPr>
              <w:pStyle w:val="ARtabletextright"/>
            </w:pPr>
            <w:r w:rsidRPr="32559F22">
              <w:t>1</w:t>
            </w:r>
          </w:p>
        </w:tc>
      </w:tr>
      <w:tr w:rsidR="0015132C" w:rsidRPr="002029AF" w14:paraId="63DED305" w14:textId="77777777" w:rsidTr="0015132C">
        <w:trPr>
          <w:gridAfter w:val="1"/>
          <w:wAfter w:w="8" w:type="dxa"/>
        </w:trPr>
        <w:tc>
          <w:tcPr>
            <w:tcW w:w="7603" w:type="dxa"/>
          </w:tcPr>
          <w:p w14:paraId="36B0CB39" w14:textId="77777777" w:rsidR="0015132C" w:rsidRPr="002029AF" w:rsidRDefault="0015132C" w:rsidP="00897193">
            <w:pPr>
              <w:pStyle w:val="ARtabletext"/>
            </w:pPr>
            <w:r w:rsidRPr="002029AF">
              <w:t>Less separations</w:t>
            </w:r>
          </w:p>
        </w:tc>
        <w:tc>
          <w:tcPr>
            <w:tcW w:w="1014" w:type="dxa"/>
          </w:tcPr>
          <w:p w14:paraId="377110E4" w14:textId="77777777" w:rsidR="0015132C" w:rsidRPr="002029AF" w:rsidRDefault="0015132C" w:rsidP="00897193">
            <w:pPr>
              <w:pStyle w:val="ARtabletextright"/>
            </w:pPr>
            <w:r w:rsidRPr="002029AF">
              <w:t>0</w:t>
            </w:r>
          </w:p>
        </w:tc>
        <w:tc>
          <w:tcPr>
            <w:tcW w:w="1014" w:type="dxa"/>
          </w:tcPr>
          <w:p w14:paraId="07A1C3BD" w14:textId="77777777" w:rsidR="0015132C" w:rsidRPr="32559F22" w:rsidRDefault="0015132C" w:rsidP="0015132C">
            <w:pPr>
              <w:pStyle w:val="ARtabletextright"/>
            </w:pPr>
            <w:r w:rsidRPr="32559F22">
              <w:t>0</w:t>
            </w:r>
          </w:p>
        </w:tc>
      </w:tr>
      <w:tr w:rsidR="0015132C" w:rsidRPr="002029AF" w14:paraId="53541A33" w14:textId="77777777" w:rsidTr="0015132C">
        <w:trPr>
          <w:gridAfter w:val="1"/>
          <w:wAfter w:w="8" w:type="dxa"/>
        </w:trPr>
        <w:tc>
          <w:tcPr>
            <w:tcW w:w="7603" w:type="dxa"/>
          </w:tcPr>
          <w:p w14:paraId="76524AD8" w14:textId="77777777" w:rsidR="0015132C" w:rsidRPr="002029AF" w:rsidRDefault="0015132C" w:rsidP="00897193">
            <w:pPr>
              <w:pStyle w:val="ARtabletextbold"/>
            </w:pPr>
            <w:r w:rsidRPr="002029AF">
              <w:t>Total executive numbers at 30 June 202</w:t>
            </w:r>
            <w:r>
              <w:t>1</w:t>
            </w:r>
          </w:p>
        </w:tc>
        <w:tc>
          <w:tcPr>
            <w:tcW w:w="1014" w:type="dxa"/>
          </w:tcPr>
          <w:p w14:paraId="4E0E2D1D" w14:textId="77777777" w:rsidR="0015132C" w:rsidRPr="002029AF" w:rsidRDefault="0015132C" w:rsidP="00897193">
            <w:pPr>
              <w:pStyle w:val="ARtabletextrightbold"/>
            </w:pPr>
            <w:r>
              <w:t>5</w:t>
            </w:r>
          </w:p>
        </w:tc>
        <w:tc>
          <w:tcPr>
            <w:tcW w:w="1014" w:type="dxa"/>
          </w:tcPr>
          <w:p w14:paraId="10E59A10" w14:textId="77777777" w:rsidR="0015132C" w:rsidRPr="32559F22" w:rsidRDefault="0015132C" w:rsidP="0015132C">
            <w:pPr>
              <w:pStyle w:val="ARtabletextrightbold"/>
              <w:rPr>
                <w:bCs/>
              </w:rPr>
            </w:pPr>
            <w:r w:rsidRPr="32559F22">
              <w:rPr>
                <w:bCs/>
              </w:rPr>
              <w:t>3</w:t>
            </w:r>
          </w:p>
        </w:tc>
      </w:tr>
    </w:tbl>
    <w:p w14:paraId="66195C37" w14:textId="77777777" w:rsidR="0015132C" w:rsidRPr="002029AF" w:rsidRDefault="0015132C" w:rsidP="00871595">
      <w:pPr>
        <w:pStyle w:val="Heading3EOdata"/>
        <w:spacing w:before="320"/>
      </w:pPr>
      <w:bookmarkStart w:id="453" w:name="_Toc85121240"/>
      <w:r w:rsidRPr="002029AF">
        <w:t xml:space="preserve">Table </w:t>
      </w:r>
      <w:r>
        <w:t>5</w:t>
      </w:r>
      <w:r w:rsidRPr="002029AF">
        <w:t>: Total number of EOs for Safer Care Victoria, broken down by gender</w:t>
      </w:r>
      <w:bookmarkEnd w:id="453"/>
    </w:p>
    <w:tbl>
      <w:tblPr>
        <w:tblW w:w="9640" w:type="dxa"/>
        <w:tblInd w:w="5"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6A0" w:firstRow="1" w:lastRow="0" w:firstColumn="1" w:lastColumn="0" w:noHBand="1" w:noVBand="1"/>
      </w:tblPr>
      <w:tblGrid>
        <w:gridCol w:w="1691"/>
        <w:gridCol w:w="1004"/>
        <w:gridCol w:w="992"/>
        <w:gridCol w:w="283"/>
        <w:gridCol w:w="851"/>
        <w:gridCol w:w="850"/>
        <w:gridCol w:w="284"/>
        <w:gridCol w:w="709"/>
        <w:gridCol w:w="992"/>
        <w:gridCol w:w="283"/>
        <w:gridCol w:w="709"/>
        <w:gridCol w:w="992"/>
      </w:tblGrid>
      <w:tr w:rsidR="0015132C" w:rsidRPr="002029AF" w14:paraId="18FB4FE1" w14:textId="77777777" w:rsidTr="00871DEF">
        <w:trPr>
          <w:cantSplit/>
          <w:tblHeader/>
        </w:trPr>
        <w:tc>
          <w:tcPr>
            <w:tcW w:w="1691" w:type="dxa"/>
            <w:vMerge w:val="restart"/>
            <w:shd w:val="clear" w:color="auto" w:fill="auto"/>
            <w:vAlign w:val="bottom"/>
          </w:tcPr>
          <w:p w14:paraId="75F39C65" w14:textId="77777777" w:rsidR="0015132C" w:rsidRPr="002029AF" w:rsidRDefault="0015132C" w:rsidP="00897193">
            <w:pPr>
              <w:pStyle w:val="ARtablecolhead"/>
            </w:pPr>
            <w:r w:rsidRPr="002029AF">
              <w:t>Class</w:t>
            </w:r>
          </w:p>
        </w:tc>
        <w:tc>
          <w:tcPr>
            <w:tcW w:w="2279" w:type="dxa"/>
            <w:gridSpan w:val="3"/>
            <w:shd w:val="clear" w:color="auto" w:fill="auto"/>
            <w:vAlign w:val="bottom"/>
          </w:tcPr>
          <w:p w14:paraId="1DC3B68B" w14:textId="77777777" w:rsidR="0015132C" w:rsidRPr="002029AF" w:rsidRDefault="0015132C" w:rsidP="00871DEF">
            <w:pPr>
              <w:pStyle w:val="ARtablecolheadcentre"/>
              <w:ind w:left="284"/>
            </w:pPr>
            <w:r w:rsidRPr="002029AF">
              <w:t>All</w:t>
            </w:r>
          </w:p>
        </w:tc>
        <w:tc>
          <w:tcPr>
            <w:tcW w:w="1985" w:type="dxa"/>
            <w:gridSpan w:val="3"/>
            <w:shd w:val="clear" w:color="auto" w:fill="auto"/>
            <w:vAlign w:val="bottom"/>
          </w:tcPr>
          <w:p w14:paraId="783EC30A" w14:textId="77777777" w:rsidR="0015132C" w:rsidRPr="002029AF" w:rsidRDefault="0015132C" w:rsidP="00871DEF">
            <w:pPr>
              <w:pStyle w:val="ARtablecolheadcentre"/>
              <w:ind w:left="284"/>
            </w:pPr>
            <w:r w:rsidRPr="002029AF">
              <w:t>Women</w:t>
            </w:r>
          </w:p>
        </w:tc>
        <w:tc>
          <w:tcPr>
            <w:tcW w:w="1984" w:type="dxa"/>
            <w:gridSpan w:val="3"/>
            <w:shd w:val="clear" w:color="auto" w:fill="auto"/>
            <w:vAlign w:val="bottom"/>
          </w:tcPr>
          <w:p w14:paraId="1ACD60F4" w14:textId="77777777" w:rsidR="0015132C" w:rsidRPr="002029AF" w:rsidRDefault="0015132C" w:rsidP="00871DEF">
            <w:pPr>
              <w:pStyle w:val="ARtablecolheadcentre"/>
              <w:ind w:left="284"/>
            </w:pPr>
            <w:r w:rsidRPr="002029AF">
              <w:t>Men</w:t>
            </w:r>
          </w:p>
        </w:tc>
        <w:tc>
          <w:tcPr>
            <w:tcW w:w="1701" w:type="dxa"/>
            <w:gridSpan w:val="2"/>
            <w:shd w:val="clear" w:color="auto" w:fill="auto"/>
            <w:vAlign w:val="bottom"/>
          </w:tcPr>
          <w:p w14:paraId="540D301B" w14:textId="77777777" w:rsidR="0015132C" w:rsidRPr="002029AF" w:rsidRDefault="0015132C" w:rsidP="00897193">
            <w:pPr>
              <w:pStyle w:val="ARtablecolheadcentre"/>
            </w:pPr>
            <w:r w:rsidRPr="002029AF">
              <w:t>Self-described</w:t>
            </w:r>
          </w:p>
        </w:tc>
      </w:tr>
      <w:tr w:rsidR="0015132C" w:rsidRPr="002029AF" w14:paraId="66AB70E6" w14:textId="77777777" w:rsidTr="00871DEF">
        <w:trPr>
          <w:cantSplit/>
          <w:tblHeader/>
        </w:trPr>
        <w:tc>
          <w:tcPr>
            <w:tcW w:w="1691" w:type="dxa"/>
            <w:vMerge/>
            <w:shd w:val="clear" w:color="auto" w:fill="auto"/>
            <w:vAlign w:val="bottom"/>
          </w:tcPr>
          <w:p w14:paraId="7C343CEE" w14:textId="77777777" w:rsidR="0015132C" w:rsidRPr="002029AF" w:rsidRDefault="0015132C" w:rsidP="00897193">
            <w:pPr>
              <w:pStyle w:val="ARtablecolhead"/>
            </w:pPr>
          </w:p>
        </w:tc>
        <w:tc>
          <w:tcPr>
            <w:tcW w:w="1004" w:type="dxa"/>
            <w:shd w:val="clear" w:color="auto" w:fill="auto"/>
            <w:vAlign w:val="bottom"/>
          </w:tcPr>
          <w:p w14:paraId="7B1280A0" w14:textId="77777777" w:rsidR="0015132C" w:rsidRPr="002029AF" w:rsidRDefault="0015132C" w:rsidP="00897193">
            <w:pPr>
              <w:pStyle w:val="ARtablecolheadright"/>
            </w:pPr>
            <w:r w:rsidRPr="002029AF">
              <w:t>No.</w:t>
            </w:r>
          </w:p>
        </w:tc>
        <w:tc>
          <w:tcPr>
            <w:tcW w:w="992" w:type="dxa"/>
            <w:shd w:val="clear" w:color="auto" w:fill="auto"/>
            <w:vAlign w:val="bottom"/>
          </w:tcPr>
          <w:p w14:paraId="0FDD783C" w14:textId="77777777" w:rsidR="0015132C" w:rsidRPr="002029AF" w:rsidRDefault="0015132C" w:rsidP="00897193">
            <w:pPr>
              <w:pStyle w:val="ARtablecolheadright"/>
            </w:pPr>
            <w:r w:rsidRPr="002029AF">
              <w:t>Var.</w:t>
            </w:r>
          </w:p>
        </w:tc>
        <w:tc>
          <w:tcPr>
            <w:tcW w:w="1134" w:type="dxa"/>
            <w:gridSpan w:val="2"/>
            <w:shd w:val="clear" w:color="auto" w:fill="auto"/>
            <w:vAlign w:val="bottom"/>
          </w:tcPr>
          <w:p w14:paraId="3E5A3DE2" w14:textId="77777777" w:rsidR="0015132C" w:rsidRPr="002029AF" w:rsidRDefault="0015132C" w:rsidP="00897193">
            <w:pPr>
              <w:pStyle w:val="ARtablecolheadright"/>
            </w:pPr>
            <w:r w:rsidRPr="002029AF">
              <w:t>No.</w:t>
            </w:r>
          </w:p>
        </w:tc>
        <w:tc>
          <w:tcPr>
            <w:tcW w:w="850" w:type="dxa"/>
            <w:shd w:val="clear" w:color="auto" w:fill="auto"/>
            <w:vAlign w:val="bottom"/>
          </w:tcPr>
          <w:p w14:paraId="2704E7C3" w14:textId="77777777" w:rsidR="0015132C" w:rsidRPr="002029AF" w:rsidRDefault="0015132C" w:rsidP="00897193">
            <w:pPr>
              <w:pStyle w:val="ARtablecolheadright"/>
            </w:pPr>
            <w:r w:rsidRPr="002029AF">
              <w:t>Var.</w:t>
            </w:r>
          </w:p>
        </w:tc>
        <w:tc>
          <w:tcPr>
            <w:tcW w:w="993" w:type="dxa"/>
            <w:gridSpan w:val="2"/>
            <w:shd w:val="clear" w:color="auto" w:fill="auto"/>
            <w:vAlign w:val="bottom"/>
          </w:tcPr>
          <w:p w14:paraId="023BE375" w14:textId="77777777" w:rsidR="0015132C" w:rsidRPr="002029AF" w:rsidRDefault="0015132C" w:rsidP="00897193">
            <w:pPr>
              <w:pStyle w:val="ARtablecolheadright"/>
            </w:pPr>
            <w:r w:rsidRPr="002029AF">
              <w:t>No.</w:t>
            </w:r>
          </w:p>
        </w:tc>
        <w:tc>
          <w:tcPr>
            <w:tcW w:w="992" w:type="dxa"/>
            <w:shd w:val="clear" w:color="auto" w:fill="auto"/>
            <w:vAlign w:val="bottom"/>
          </w:tcPr>
          <w:p w14:paraId="4E91BB25" w14:textId="77777777" w:rsidR="0015132C" w:rsidRPr="002029AF" w:rsidRDefault="0015132C" w:rsidP="00897193">
            <w:pPr>
              <w:pStyle w:val="ARtablecolheadright"/>
            </w:pPr>
            <w:r w:rsidRPr="002029AF">
              <w:t>Var.</w:t>
            </w:r>
          </w:p>
        </w:tc>
        <w:tc>
          <w:tcPr>
            <w:tcW w:w="992" w:type="dxa"/>
            <w:gridSpan w:val="2"/>
            <w:shd w:val="clear" w:color="auto" w:fill="auto"/>
            <w:vAlign w:val="bottom"/>
          </w:tcPr>
          <w:p w14:paraId="47C56AC3" w14:textId="77777777" w:rsidR="0015132C" w:rsidRPr="002029AF" w:rsidRDefault="0015132C" w:rsidP="00897193">
            <w:pPr>
              <w:pStyle w:val="ARtablecolheadright"/>
            </w:pPr>
            <w:r w:rsidRPr="002029AF">
              <w:t>No.</w:t>
            </w:r>
          </w:p>
        </w:tc>
        <w:tc>
          <w:tcPr>
            <w:tcW w:w="992" w:type="dxa"/>
            <w:shd w:val="clear" w:color="auto" w:fill="auto"/>
          </w:tcPr>
          <w:p w14:paraId="7B9D9008" w14:textId="77777777" w:rsidR="0015132C" w:rsidRPr="002029AF" w:rsidRDefault="0015132C" w:rsidP="00897193">
            <w:pPr>
              <w:pStyle w:val="ARtablecolheadright"/>
            </w:pPr>
            <w:r w:rsidRPr="002029AF">
              <w:t>Var.</w:t>
            </w:r>
          </w:p>
        </w:tc>
      </w:tr>
      <w:tr w:rsidR="0015132C" w:rsidRPr="002029AF" w14:paraId="6D5228D3" w14:textId="77777777" w:rsidTr="00871DEF">
        <w:trPr>
          <w:cantSplit/>
          <w:trHeight w:hRule="exact" w:val="340"/>
        </w:trPr>
        <w:tc>
          <w:tcPr>
            <w:tcW w:w="1691" w:type="dxa"/>
            <w:shd w:val="clear" w:color="auto" w:fill="auto"/>
          </w:tcPr>
          <w:p w14:paraId="5A171A45" w14:textId="77777777" w:rsidR="0015132C" w:rsidRPr="002029AF" w:rsidRDefault="0015132C" w:rsidP="00897193">
            <w:pPr>
              <w:pStyle w:val="ARtabletext"/>
            </w:pPr>
            <w:r w:rsidRPr="002029AF">
              <w:t>EO-1</w:t>
            </w:r>
          </w:p>
        </w:tc>
        <w:tc>
          <w:tcPr>
            <w:tcW w:w="1004" w:type="dxa"/>
            <w:shd w:val="clear" w:color="auto" w:fill="auto"/>
          </w:tcPr>
          <w:p w14:paraId="4357A66D" w14:textId="77777777" w:rsidR="0015132C" w:rsidRPr="002029AF" w:rsidRDefault="0015132C" w:rsidP="00897193">
            <w:pPr>
              <w:pStyle w:val="ARtabletextright"/>
            </w:pPr>
            <w:r>
              <w:t>1</w:t>
            </w:r>
          </w:p>
        </w:tc>
        <w:tc>
          <w:tcPr>
            <w:tcW w:w="992" w:type="dxa"/>
            <w:shd w:val="clear" w:color="auto" w:fill="auto"/>
          </w:tcPr>
          <w:p w14:paraId="149889E1" w14:textId="77777777" w:rsidR="0015132C" w:rsidRPr="002029AF" w:rsidRDefault="0015132C" w:rsidP="00897193">
            <w:pPr>
              <w:pStyle w:val="ARtabletextright"/>
            </w:pPr>
            <w:r>
              <w:t>(</w:t>
            </w:r>
            <w:r w:rsidRPr="002029AF">
              <w:t>1</w:t>
            </w:r>
            <w:r>
              <w:t>)</w:t>
            </w:r>
          </w:p>
        </w:tc>
        <w:tc>
          <w:tcPr>
            <w:tcW w:w="1134" w:type="dxa"/>
            <w:gridSpan w:val="2"/>
            <w:shd w:val="clear" w:color="auto" w:fill="auto"/>
          </w:tcPr>
          <w:p w14:paraId="3AEE2DE4" w14:textId="77777777" w:rsidR="0015132C" w:rsidRPr="002029AF" w:rsidRDefault="0015132C" w:rsidP="00897193">
            <w:pPr>
              <w:pStyle w:val="ARtabletextright"/>
            </w:pPr>
            <w:r w:rsidRPr="002029AF">
              <w:t>0</w:t>
            </w:r>
          </w:p>
        </w:tc>
        <w:tc>
          <w:tcPr>
            <w:tcW w:w="850" w:type="dxa"/>
            <w:shd w:val="clear" w:color="auto" w:fill="auto"/>
          </w:tcPr>
          <w:p w14:paraId="5E6363A9" w14:textId="77777777" w:rsidR="0015132C" w:rsidRPr="002029AF" w:rsidRDefault="0015132C" w:rsidP="00897193">
            <w:pPr>
              <w:pStyle w:val="ARtabletextright"/>
            </w:pPr>
            <w:r w:rsidRPr="002029AF">
              <w:t>0</w:t>
            </w:r>
          </w:p>
        </w:tc>
        <w:tc>
          <w:tcPr>
            <w:tcW w:w="993" w:type="dxa"/>
            <w:gridSpan w:val="2"/>
            <w:shd w:val="clear" w:color="auto" w:fill="auto"/>
          </w:tcPr>
          <w:p w14:paraId="25F33073" w14:textId="77777777" w:rsidR="0015132C" w:rsidRPr="002029AF" w:rsidRDefault="0015132C" w:rsidP="00897193">
            <w:pPr>
              <w:pStyle w:val="ARtabletextright"/>
            </w:pPr>
            <w:r>
              <w:t>1</w:t>
            </w:r>
          </w:p>
        </w:tc>
        <w:tc>
          <w:tcPr>
            <w:tcW w:w="992" w:type="dxa"/>
            <w:shd w:val="clear" w:color="auto" w:fill="auto"/>
          </w:tcPr>
          <w:p w14:paraId="7D966E63" w14:textId="77777777" w:rsidR="0015132C" w:rsidRPr="002029AF" w:rsidRDefault="0015132C" w:rsidP="00897193">
            <w:pPr>
              <w:pStyle w:val="ARtabletextright"/>
            </w:pPr>
            <w:r>
              <w:t>(</w:t>
            </w:r>
            <w:r w:rsidRPr="002029AF">
              <w:t>1</w:t>
            </w:r>
            <w:r>
              <w:t>)</w:t>
            </w:r>
          </w:p>
        </w:tc>
        <w:tc>
          <w:tcPr>
            <w:tcW w:w="992" w:type="dxa"/>
            <w:gridSpan w:val="2"/>
            <w:shd w:val="clear" w:color="auto" w:fill="auto"/>
          </w:tcPr>
          <w:p w14:paraId="0F15B82A" w14:textId="77777777" w:rsidR="0015132C" w:rsidRPr="002029AF" w:rsidRDefault="0015132C" w:rsidP="00897193">
            <w:pPr>
              <w:pStyle w:val="ARtabletextright"/>
            </w:pPr>
            <w:r w:rsidRPr="002029AF">
              <w:t>0</w:t>
            </w:r>
          </w:p>
        </w:tc>
        <w:tc>
          <w:tcPr>
            <w:tcW w:w="992" w:type="dxa"/>
            <w:shd w:val="clear" w:color="auto" w:fill="auto"/>
          </w:tcPr>
          <w:p w14:paraId="4F46E1D3" w14:textId="77777777" w:rsidR="0015132C" w:rsidRPr="002029AF" w:rsidRDefault="0015132C" w:rsidP="00897193">
            <w:pPr>
              <w:pStyle w:val="ARtabletextright"/>
            </w:pPr>
            <w:r w:rsidRPr="002029AF">
              <w:t>0</w:t>
            </w:r>
          </w:p>
        </w:tc>
      </w:tr>
      <w:tr w:rsidR="0015132C" w:rsidRPr="002029AF" w14:paraId="06D9F5B7" w14:textId="77777777" w:rsidTr="00871DEF">
        <w:trPr>
          <w:cantSplit/>
          <w:trHeight w:hRule="exact" w:val="340"/>
        </w:trPr>
        <w:tc>
          <w:tcPr>
            <w:tcW w:w="1691" w:type="dxa"/>
            <w:shd w:val="clear" w:color="auto" w:fill="auto"/>
          </w:tcPr>
          <w:p w14:paraId="03F52A4E" w14:textId="77777777" w:rsidR="0015132C" w:rsidRPr="002029AF" w:rsidRDefault="0015132C" w:rsidP="00897193">
            <w:pPr>
              <w:pStyle w:val="ARtabletext"/>
            </w:pPr>
            <w:r w:rsidRPr="002029AF">
              <w:t>EO-3</w:t>
            </w:r>
          </w:p>
        </w:tc>
        <w:tc>
          <w:tcPr>
            <w:tcW w:w="1004" w:type="dxa"/>
            <w:shd w:val="clear" w:color="auto" w:fill="auto"/>
          </w:tcPr>
          <w:p w14:paraId="6F64AB5B" w14:textId="77777777" w:rsidR="0015132C" w:rsidRPr="002029AF" w:rsidRDefault="0015132C" w:rsidP="00897193">
            <w:pPr>
              <w:pStyle w:val="ARtabletextright"/>
            </w:pPr>
            <w:r w:rsidRPr="002029AF">
              <w:t>5</w:t>
            </w:r>
          </w:p>
        </w:tc>
        <w:tc>
          <w:tcPr>
            <w:tcW w:w="992" w:type="dxa"/>
            <w:shd w:val="clear" w:color="auto" w:fill="auto"/>
          </w:tcPr>
          <w:p w14:paraId="040EA4AB" w14:textId="77777777" w:rsidR="0015132C" w:rsidRPr="002029AF" w:rsidRDefault="0015132C" w:rsidP="00897193">
            <w:pPr>
              <w:pStyle w:val="ARtabletextright"/>
            </w:pPr>
            <w:r>
              <w:t>0</w:t>
            </w:r>
          </w:p>
        </w:tc>
        <w:tc>
          <w:tcPr>
            <w:tcW w:w="1134" w:type="dxa"/>
            <w:gridSpan w:val="2"/>
            <w:shd w:val="clear" w:color="auto" w:fill="auto"/>
          </w:tcPr>
          <w:p w14:paraId="40CFE918" w14:textId="77777777" w:rsidR="0015132C" w:rsidRPr="002029AF" w:rsidRDefault="0015132C" w:rsidP="00897193">
            <w:pPr>
              <w:pStyle w:val="ARtabletextright"/>
            </w:pPr>
            <w:r w:rsidRPr="002029AF">
              <w:t>5</w:t>
            </w:r>
          </w:p>
        </w:tc>
        <w:tc>
          <w:tcPr>
            <w:tcW w:w="850" w:type="dxa"/>
            <w:shd w:val="clear" w:color="auto" w:fill="auto"/>
          </w:tcPr>
          <w:p w14:paraId="032E27AC" w14:textId="77777777" w:rsidR="0015132C" w:rsidRPr="002029AF" w:rsidRDefault="0015132C" w:rsidP="00897193">
            <w:pPr>
              <w:pStyle w:val="ARtabletextright"/>
            </w:pPr>
            <w:r>
              <w:t>0</w:t>
            </w:r>
          </w:p>
        </w:tc>
        <w:tc>
          <w:tcPr>
            <w:tcW w:w="993" w:type="dxa"/>
            <w:gridSpan w:val="2"/>
            <w:shd w:val="clear" w:color="auto" w:fill="auto"/>
          </w:tcPr>
          <w:p w14:paraId="1CB49ED2" w14:textId="77777777" w:rsidR="0015132C" w:rsidRPr="002029AF" w:rsidRDefault="0015132C" w:rsidP="00897193">
            <w:pPr>
              <w:pStyle w:val="ARtabletextright"/>
            </w:pPr>
            <w:r w:rsidRPr="002029AF">
              <w:t>0</w:t>
            </w:r>
          </w:p>
        </w:tc>
        <w:tc>
          <w:tcPr>
            <w:tcW w:w="992" w:type="dxa"/>
            <w:shd w:val="clear" w:color="auto" w:fill="auto"/>
          </w:tcPr>
          <w:p w14:paraId="583D8DA5" w14:textId="77777777" w:rsidR="0015132C" w:rsidRPr="002029AF" w:rsidRDefault="0015132C" w:rsidP="00897193">
            <w:pPr>
              <w:pStyle w:val="ARtabletextright"/>
            </w:pPr>
            <w:r w:rsidRPr="002029AF">
              <w:t>0</w:t>
            </w:r>
          </w:p>
        </w:tc>
        <w:tc>
          <w:tcPr>
            <w:tcW w:w="992" w:type="dxa"/>
            <w:gridSpan w:val="2"/>
            <w:shd w:val="clear" w:color="auto" w:fill="auto"/>
          </w:tcPr>
          <w:p w14:paraId="4C6FDBFE" w14:textId="77777777" w:rsidR="0015132C" w:rsidRPr="002029AF" w:rsidRDefault="0015132C" w:rsidP="00897193">
            <w:pPr>
              <w:pStyle w:val="ARtabletextright"/>
            </w:pPr>
            <w:r w:rsidRPr="002029AF">
              <w:t>0</w:t>
            </w:r>
          </w:p>
        </w:tc>
        <w:tc>
          <w:tcPr>
            <w:tcW w:w="992" w:type="dxa"/>
            <w:shd w:val="clear" w:color="auto" w:fill="auto"/>
          </w:tcPr>
          <w:p w14:paraId="7A576C12" w14:textId="77777777" w:rsidR="0015132C" w:rsidRPr="002029AF" w:rsidRDefault="0015132C" w:rsidP="00897193">
            <w:pPr>
              <w:pStyle w:val="ARtabletextright"/>
            </w:pPr>
            <w:r w:rsidRPr="002029AF">
              <w:t>0</w:t>
            </w:r>
          </w:p>
        </w:tc>
      </w:tr>
      <w:tr w:rsidR="0015132C" w:rsidRPr="002029AF" w14:paraId="5CDCCA15" w14:textId="77777777" w:rsidTr="00871DEF">
        <w:trPr>
          <w:cantSplit/>
          <w:trHeight w:hRule="exact" w:val="340"/>
        </w:trPr>
        <w:tc>
          <w:tcPr>
            <w:tcW w:w="1691" w:type="dxa"/>
            <w:shd w:val="clear" w:color="auto" w:fill="auto"/>
          </w:tcPr>
          <w:p w14:paraId="72B414AA" w14:textId="77777777" w:rsidR="0015132C" w:rsidRPr="002029AF" w:rsidRDefault="0015132C" w:rsidP="00897193">
            <w:pPr>
              <w:pStyle w:val="ARtabletextbold"/>
            </w:pPr>
            <w:r w:rsidRPr="002029AF">
              <w:t>Total</w:t>
            </w:r>
          </w:p>
        </w:tc>
        <w:tc>
          <w:tcPr>
            <w:tcW w:w="1004" w:type="dxa"/>
            <w:shd w:val="clear" w:color="auto" w:fill="auto"/>
          </w:tcPr>
          <w:p w14:paraId="0189BDE4" w14:textId="77777777" w:rsidR="0015132C" w:rsidRPr="002029AF" w:rsidRDefault="0015132C" w:rsidP="00897193">
            <w:pPr>
              <w:pStyle w:val="ARtabletextrightbold"/>
            </w:pPr>
            <w:r>
              <w:t>6</w:t>
            </w:r>
          </w:p>
        </w:tc>
        <w:tc>
          <w:tcPr>
            <w:tcW w:w="992" w:type="dxa"/>
            <w:shd w:val="clear" w:color="auto" w:fill="auto"/>
          </w:tcPr>
          <w:p w14:paraId="1C467852" w14:textId="77777777" w:rsidR="0015132C" w:rsidRPr="002029AF" w:rsidRDefault="0015132C" w:rsidP="00897193">
            <w:pPr>
              <w:pStyle w:val="ARtabletextrightbold"/>
            </w:pPr>
            <w:r>
              <w:t>(1)</w:t>
            </w:r>
          </w:p>
        </w:tc>
        <w:tc>
          <w:tcPr>
            <w:tcW w:w="1134" w:type="dxa"/>
            <w:gridSpan w:val="2"/>
            <w:shd w:val="clear" w:color="auto" w:fill="auto"/>
          </w:tcPr>
          <w:p w14:paraId="5682A6E0" w14:textId="77777777" w:rsidR="0015132C" w:rsidRPr="002029AF" w:rsidRDefault="0015132C" w:rsidP="00897193">
            <w:pPr>
              <w:pStyle w:val="ARtabletextrightbold"/>
            </w:pPr>
            <w:r w:rsidRPr="002029AF">
              <w:t>5</w:t>
            </w:r>
          </w:p>
        </w:tc>
        <w:tc>
          <w:tcPr>
            <w:tcW w:w="850" w:type="dxa"/>
            <w:shd w:val="clear" w:color="auto" w:fill="auto"/>
          </w:tcPr>
          <w:p w14:paraId="6D48B07C" w14:textId="77777777" w:rsidR="0015132C" w:rsidRPr="002029AF" w:rsidRDefault="0015132C" w:rsidP="00897193">
            <w:pPr>
              <w:pStyle w:val="ARtabletextrightbold"/>
            </w:pPr>
            <w:r>
              <w:t>0</w:t>
            </w:r>
          </w:p>
        </w:tc>
        <w:tc>
          <w:tcPr>
            <w:tcW w:w="993" w:type="dxa"/>
            <w:gridSpan w:val="2"/>
            <w:shd w:val="clear" w:color="auto" w:fill="auto"/>
          </w:tcPr>
          <w:p w14:paraId="18A763C2" w14:textId="77777777" w:rsidR="0015132C" w:rsidRPr="002029AF" w:rsidRDefault="0015132C" w:rsidP="00897193">
            <w:pPr>
              <w:pStyle w:val="ARtabletextrightbold"/>
            </w:pPr>
            <w:r>
              <w:t>1</w:t>
            </w:r>
          </w:p>
        </w:tc>
        <w:tc>
          <w:tcPr>
            <w:tcW w:w="992" w:type="dxa"/>
            <w:shd w:val="clear" w:color="auto" w:fill="auto"/>
          </w:tcPr>
          <w:p w14:paraId="68AAD3BA" w14:textId="77777777" w:rsidR="0015132C" w:rsidRPr="002029AF" w:rsidRDefault="0015132C" w:rsidP="00897193">
            <w:pPr>
              <w:pStyle w:val="ARtabletextrightbold"/>
            </w:pPr>
            <w:r>
              <w:t>(</w:t>
            </w:r>
            <w:r w:rsidRPr="002029AF">
              <w:t>1</w:t>
            </w:r>
            <w:r>
              <w:t>)</w:t>
            </w:r>
          </w:p>
        </w:tc>
        <w:tc>
          <w:tcPr>
            <w:tcW w:w="992" w:type="dxa"/>
            <w:gridSpan w:val="2"/>
            <w:shd w:val="clear" w:color="auto" w:fill="auto"/>
          </w:tcPr>
          <w:p w14:paraId="7C8986FE" w14:textId="77777777" w:rsidR="0015132C" w:rsidRPr="002029AF" w:rsidRDefault="0015132C" w:rsidP="00897193">
            <w:pPr>
              <w:pStyle w:val="ARtabletextrightbold"/>
            </w:pPr>
            <w:r w:rsidRPr="002029AF">
              <w:t>0</w:t>
            </w:r>
          </w:p>
        </w:tc>
        <w:tc>
          <w:tcPr>
            <w:tcW w:w="992" w:type="dxa"/>
            <w:shd w:val="clear" w:color="auto" w:fill="auto"/>
          </w:tcPr>
          <w:p w14:paraId="430CCB37" w14:textId="77777777" w:rsidR="0015132C" w:rsidRPr="002029AF" w:rsidRDefault="0015132C" w:rsidP="00897193">
            <w:pPr>
              <w:pStyle w:val="ARtabletextrightbold"/>
            </w:pPr>
            <w:r w:rsidRPr="002029AF">
              <w:t>0</w:t>
            </w:r>
          </w:p>
        </w:tc>
      </w:tr>
    </w:tbl>
    <w:p w14:paraId="1D415DF3" w14:textId="6751635C" w:rsidR="0015132C" w:rsidRPr="002029AF" w:rsidRDefault="0015132C" w:rsidP="00C741F1">
      <w:pPr>
        <w:pStyle w:val="ARbodyaftertable"/>
      </w:pPr>
      <w:r w:rsidRPr="002029AF">
        <w:t xml:space="preserve">The number of </w:t>
      </w:r>
      <w:r w:rsidR="00643A6E">
        <w:t>EOs</w:t>
      </w:r>
      <w:r w:rsidR="00643A6E" w:rsidRPr="002029AF" w:rsidDel="00643A6E">
        <w:t xml:space="preserve"> </w:t>
      </w:r>
      <w:r w:rsidRPr="002029AF">
        <w:t xml:space="preserve">in the report of operations is based on the number of </w:t>
      </w:r>
      <w:r w:rsidR="00643A6E">
        <w:t>EO</w:t>
      </w:r>
      <w:r w:rsidR="00643A6E" w:rsidRPr="002029AF" w:rsidDel="00643A6E">
        <w:t xml:space="preserve"> </w:t>
      </w:r>
      <w:r w:rsidRPr="002029AF">
        <w:t>positions that are occupied at the end of the financial year. Note 9.7 in the financial statements lists the actual number of EOs and the total remuneration paid to EOs over the course of the reporting period. The financial statements note</w:t>
      </w:r>
      <w:r>
        <w:t> </w:t>
      </w:r>
      <w:r w:rsidRPr="002029AF">
        <w:t xml:space="preserve">does not include the Accountable Officer, nor does it distinguish between executive levels or disclose separations. Separations are </w:t>
      </w:r>
      <w:r w:rsidR="00643A6E">
        <w:t>EOs</w:t>
      </w:r>
      <w:r w:rsidR="00643A6E" w:rsidRPr="002029AF" w:rsidDel="00643A6E">
        <w:t xml:space="preserve"> </w:t>
      </w:r>
      <w:r w:rsidRPr="002029AF">
        <w:t>who have left the department during the relevant reporting period. To assist readers, these two disclosures are reconciled below.</w:t>
      </w:r>
    </w:p>
    <w:p w14:paraId="6FBDF057" w14:textId="385DAE91" w:rsidR="0015132C" w:rsidRPr="002029AF" w:rsidRDefault="0015132C" w:rsidP="00871595">
      <w:pPr>
        <w:pStyle w:val="Heading3EOdata"/>
      </w:pPr>
      <w:bookmarkStart w:id="454" w:name="_Toc85121241"/>
      <w:bookmarkStart w:id="455" w:name="_Hlk19622316"/>
      <w:r w:rsidRPr="002029AF">
        <w:t xml:space="preserve">Table </w:t>
      </w:r>
      <w:r>
        <w:t>6</w:t>
      </w:r>
      <w:r w:rsidRPr="002029AF">
        <w:t xml:space="preserve">: Reconciliation of </w:t>
      </w:r>
      <w:r w:rsidR="00643A6E">
        <w:t>EO</w:t>
      </w:r>
      <w:r w:rsidR="00643A6E" w:rsidRPr="002029AF" w:rsidDel="00643A6E">
        <w:t xml:space="preserve"> </w:t>
      </w:r>
      <w:r w:rsidRPr="002029AF">
        <w:t>numbers for Safer Care Victoria</w:t>
      </w:r>
      <w:bookmarkEnd w:id="454"/>
    </w:p>
    <w:bookmarkEnd w:id="455"/>
    <w:tbl>
      <w:tblPr>
        <w:tblStyle w:val="TableGrid"/>
        <w:tblW w:w="0" w:type="auto"/>
        <w:tblLook w:val="06A0" w:firstRow="1" w:lastRow="0" w:firstColumn="1" w:lastColumn="0" w:noHBand="1" w:noVBand="1"/>
      </w:tblPr>
      <w:tblGrid>
        <w:gridCol w:w="6228"/>
        <w:gridCol w:w="1697"/>
        <w:gridCol w:w="1697"/>
      </w:tblGrid>
      <w:tr w:rsidR="0015132C" w:rsidRPr="002029AF" w14:paraId="3FCDDC47" w14:textId="77777777" w:rsidTr="00897193">
        <w:trPr>
          <w:cnfStyle w:val="100000000000" w:firstRow="1" w:lastRow="0" w:firstColumn="0" w:lastColumn="0" w:oddVBand="0" w:evenVBand="0" w:oddHBand="0" w:evenHBand="0" w:firstRowFirstColumn="0" w:firstRowLastColumn="0" w:lastRowFirstColumn="0" w:lastRowLastColumn="0"/>
          <w:tblHeader/>
        </w:trPr>
        <w:tc>
          <w:tcPr>
            <w:tcW w:w="6231" w:type="dxa"/>
            <w:tcBorders>
              <w:top w:val="nil"/>
            </w:tcBorders>
          </w:tcPr>
          <w:p w14:paraId="64BA3B3B" w14:textId="77777777" w:rsidR="0015132C" w:rsidRPr="002029AF" w:rsidRDefault="0015132C" w:rsidP="00871DEF">
            <w:pPr>
              <w:pStyle w:val="ARtablecolhead"/>
            </w:pPr>
          </w:p>
        </w:tc>
        <w:tc>
          <w:tcPr>
            <w:tcW w:w="1698" w:type="dxa"/>
            <w:tcBorders>
              <w:top w:val="nil"/>
            </w:tcBorders>
          </w:tcPr>
          <w:p w14:paraId="577F2990" w14:textId="77777777" w:rsidR="0015132C" w:rsidRPr="002029AF" w:rsidRDefault="0015132C" w:rsidP="00897193">
            <w:pPr>
              <w:pStyle w:val="ARtablecolheadright"/>
            </w:pPr>
            <w:r w:rsidRPr="002029AF">
              <w:t>202</w:t>
            </w:r>
            <w:r>
              <w:t>1</w:t>
            </w:r>
          </w:p>
        </w:tc>
        <w:tc>
          <w:tcPr>
            <w:tcW w:w="1698" w:type="dxa"/>
            <w:tcBorders>
              <w:top w:val="nil"/>
            </w:tcBorders>
          </w:tcPr>
          <w:p w14:paraId="446A5F11" w14:textId="77777777" w:rsidR="0015132C" w:rsidRPr="002029AF" w:rsidRDefault="0015132C" w:rsidP="00897193">
            <w:pPr>
              <w:pStyle w:val="ARtablecolheadright"/>
            </w:pPr>
            <w:r w:rsidRPr="002029AF">
              <w:t>20</w:t>
            </w:r>
            <w:r>
              <w:t>20</w:t>
            </w:r>
          </w:p>
        </w:tc>
      </w:tr>
      <w:tr w:rsidR="0015132C" w:rsidRPr="002029AF" w14:paraId="2BE1223C" w14:textId="77777777" w:rsidTr="00897193">
        <w:tc>
          <w:tcPr>
            <w:tcW w:w="6231" w:type="dxa"/>
            <w:tcBorders>
              <w:top w:val="single" w:sz="4" w:space="0" w:color="70AD47" w:themeColor="accent6"/>
            </w:tcBorders>
          </w:tcPr>
          <w:p w14:paraId="5788661C" w14:textId="77777777" w:rsidR="0015132C" w:rsidRPr="002029AF" w:rsidRDefault="0015132C" w:rsidP="00897193">
            <w:pPr>
              <w:pStyle w:val="ARtabletext"/>
            </w:pPr>
            <w:r w:rsidRPr="002029AF">
              <w:t>Executives</w:t>
            </w:r>
            <w:r>
              <w:t xml:space="preserve"> (financial statement Note 9.7)</w:t>
            </w:r>
          </w:p>
        </w:tc>
        <w:tc>
          <w:tcPr>
            <w:tcW w:w="1698" w:type="dxa"/>
            <w:tcBorders>
              <w:top w:val="single" w:sz="4" w:space="0" w:color="70AD47" w:themeColor="accent6"/>
            </w:tcBorders>
          </w:tcPr>
          <w:p w14:paraId="26C2239B" w14:textId="77777777" w:rsidR="0015132C" w:rsidRPr="002029AF" w:rsidRDefault="0015132C" w:rsidP="00897193">
            <w:pPr>
              <w:pStyle w:val="ARtabletextright"/>
            </w:pPr>
            <w:r w:rsidRPr="002029AF">
              <w:t>6</w:t>
            </w:r>
          </w:p>
        </w:tc>
        <w:tc>
          <w:tcPr>
            <w:tcW w:w="1698" w:type="dxa"/>
            <w:tcBorders>
              <w:top w:val="single" w:sz="4" w:space="0" w:color="70AD47" w:themeColor="accent6"/>
            </w:tcBorders>
          </w:tcPr>
          <w:p w14:paraId="00DCA636" w14:textId="77777777" w:rsidR="0015132C" w:rsidRPr="002029AF" w:rsidRDefault="0015132C" w:rsidP="00897193">
            <w:pPr>
              <w:pStyle w:val="ARtabletextright"/>
            </w:pPr>
            <w:r>
              <w:t>6</w:t>
            </w:r>
          </w:p>
        </w:tc>
      </w:tr>
      <w:tr w:rsidR="0015132C" w:rsidRPr="002029AF" w14:paraId="3B15E455" w14:textId="77777777" w:rsidTr="00897193">
        <w:tc>
          <w:tcPr>
            <w:tcW w:w="6231" w:type="dxa"/>
          </w:tcPr>
          <w:p w14:paraId="76EB2F9C" w14:textId="77777777" w:rsidR="0015132C" w:rsidRPr="00A95428" w:rsidRDefault="0015132C" w:rsidP="0015132C">
            <w:pPr>
              <w:pStyle w:val="ARtabletext"/>
            </w:pPr>
            <w:r w:rsidRPr="00A95428">
              <w:t>Accountable Officer (Chief Executive Officer)</w:t>
            </w:r>
          </w:p>
        </w:tc>
        <w:tc>
          <w:tcPr>
            <w:tcW w:w="1698" w:type="dxa"/>
          </w:tcPr>
          <w:p w14:paraId="378E7AE1" w14:textId="77777777" w:rsidR="0015132C" w:rsidRDefault="0015132C" w:rsidP="0015132C">
            <w:pPr>
              <w:pStyle w:val="ARtabletextright"/>
            </w:pPr>
            <w:r>
              <w:t>1</w:t>
            </w:r>
          </w:p>
        </w:tc>
        <w:tc>
          <w:tcPr>
            <w:tcW w:w="1698" w:type="dxa"/>
          </w:tcPr>
          <w:p w14:paraId="700CEE11" w14:textId="77777777" w:rsidR="0015132C" w:rsidRPr="00A95428" w:rsidRDefault="0015132C" w:rsidP="0015132C">
            <w:pPr>
              <w:pStyle w:val="ARtabletextright"/>
            </w:pPr>
            <w:r>
              <w:t>1</w:t>
            </w:r>
          </w:p>
        </w:tc>
      </w:tr>
      <w:tr w:rsidR="0015132C" w:rsidRPr="002029AF" w14:paraId="71888C53" w14:textId="77777777" w:rsidTr="00897193">
        <w:tc>
          <w:tcPr>
            <w:tcW w:w="6231" w:type="dxa"/>
          </w:tcPr>
          <w:p w14:paraId="51E568EB" w14:textId="77777777" w:rsidR="0015132C" w:rsidRPr="002029AF" w:rsidRDefault="0015132C" w:rsidP="00897193">
            <w:pPr>
              <w:pStyle w:val="ARtabletext"/>
            </w:pPr>
            <w:r>
              <w:t>Less executives employed by other departments</w:t>
            </w:r>
          </w:p>
        </w:tc>
        <w:tc>
          <w:tcPr>
            <w:tcW w:w="1698" w:type="dxa"/>
          </w:tcPr>
          <w:p w14:paraId="68F6E99E" w14:textId="77777777" w:rsidR="0015132C" w:rsidRPr="002029AF" w:rsidRDefault="0015132C" w:rsidP="00897193">
            <w:pPr>
              <w:pStyle w:val="ARtabletextright"/>
            </w:pPr>
            <w:r>
              <w:t>(</w:t>
            </w:r>
            <w:r w:rsidRPr="002029AF">
              <w:t>1</w:t>
            </w:r>
            <w:r>
              <w:t>)</w:t>
            </w:r>
          </w:p>
        </w:tc>
        <w:tc>
          <w:tcPr>
            <w:tcW w:w="1698" w:type="dxa"/>
          </w:tcPr>
          <w:p w14:paraId="636D41F7" w14:textId="77777777" w:rsidR="0015132C" w:rsidRPr="002029AF" w:rsidRDefault="0015132C" w:rsidP="00897193">
            <w:pPr>
              <w:pStyle w:val="ARtabletextright"/>
            </w:pPr>
            <w:r>
              <w:t>0</w:t>
            </w:r>
          </w:p>
        </w:tc>
      </w:tr>
      <w:tr w:rsidR="0015132C" w:rsidRPr="002029AF" w14:paraId="167EEA3D" w14:textId="77777777" w:rsidTr="00897193">
        <w:tc>
          <w:tcPr>
            <w:tcW w:w="6231" w:type="dxa"/>
          </w:tcPr>
          <w:p w14:paraId="1E7C4610" w14:textId="77777777" w:rsidR="0015132C" w:rsidRPr="002029AF" w:rsidRDefault="0015132C" w:rsidP="00897193">
            <w:pPr>
              <w:pStyle w:val="ARtabletext"/>
            </w:pPr>
            <w:r w:rsidRPr="002029AF">
              <w:t>Less separations</w:t>
            </w:r>
          </w:p>
        </w:tc>
        <w:tc>
          <w:tcPr>
            <w:tcW w:w="1698" w:type="dxa"/>
          </w:tcPr>
          <w:p w14:paraId="20989BAC" w14:textId="77777777" w:rsidR="0015132C" w:rsidRPr="002029AF" w:rsidRDefault="0015132C" w:rsidP="00897193">
            <w:pPr>
              <w:pStyle w:val="ARtabletextright"/>
            </w:pPr>
            <w:r w:rsidRPr="002029AF">
              <w:t>0</w:t>
            </w:r>
          </w:p>
        </w:tc>
        <w:tc>
          <w:tcPr>
            <w:tcW w:w="1698" w:type="dxa"/>
          </w:tcPr>
          <w:p w14:paraId="1998D061" w14:textId="77777777" w:rsidR="0015132C" w:rsidRPr="002029AF" w:rsidRDefault="0015132C" w:rsidP="00897193">
            <w:pPr>
              <w:pStyle w:val="ARtabletextright"/>
            </w:pPr>
            <w:r w:rsidRPr="002029AF">
              <w:t>0</w:t>
            </w:r>
          </w:p>
        </w:tc>
      </w:tr>
      <w:tr w:rsidR="0015132C" w:rsidRPr="002029AF" w14:paraId="5022887C" w14:textId="77777777" w:rsidTr="00897193">
        <w:tc>
          <w:tcPr>
            <w:tcW w:w="6231" w:type="dxa"/>
          </w:tcPr>
          <w:p w14:paraId="1DECE733" w14:textId="77777777" w:rsidR="0015132C" w:rsidRPr="002029AF" w:rsidRDefault="0015132C" w:rsidP="00897193">
            <w:pPr>
              <w:pStyle w:val="ARtabletextbold"/>
            </w:pPr>
            <w:r w:rsidRPr="002029AF">
              <w:t>Total executive numbers at 30 June 202</w:t>
            </w:r>
            <w:r>
              <w:t>1</w:t>
            </w:r>
          </w:p>
        </w:tc>
        <w:tc>
          <w:tcPr>
            <w:tcW w:w="1698" w:type="dxa"/>
          </w:tcPr>
          <w:p w14:paraId="246E5C7B" w14:textId="77777777" w:rsidR="0015132C" w:rsidRPr="002029AF" w:rsidRDefault="0015132C" w:rsidP="00897193">
            <w:pPr>
              <w:pStyle w:val="ARtabletextrightbold"/>
            </w:pPr>
            <w:r>
              <w:t>6</w:t>
            </w:r>
          </w:p>
        </w:tc>
        <w:tc>
          <w:tcPr>
            <w:tcW w:w="1698" w:type="dxa"/>
          </w:tcPr>
          <w:p w14:paraId="38DEA311" w14:textId="77777777" w:rsidR="0015132C" w:rsidRPr="002029AF" w:rsidRDefault="0015132C" w:rsidP="00897193">
            <w:pPr>
              <w:pStyle w:val="ARtabletextrightbold"/>
            </w:pPr>
            <w:r>
              <w:t>7</w:t>
            </w:r>
          </w:p>
        </w:tc>
      </w:tr>
    </w:tbl>
    <w:p w14:paraId="0DDC6D35" w14:textId="4EFA41E5" w:rsidR="0015132C" w:rsidRDefault="0015132C" w:rsidP="00016BA5">
      <w:pPr>
        <w:pStyle w:val="ARbodyafterbullets"/>
      </w:pPr>
    </w:p>
    <w:p w14:paraId="723D8F9B" w14:textId="77777777" w:rsidR="0015132C" w:rsidRDefault="0015132C" w:rsidP="00897193">
      <w:pPr>
        <w:pStyle w:val="Heading4"/>
        <w:spacing w:before="0"/>
        <w:sectPr w:rsidR="0015132C" w:rsidSect="00216915">
          <w:headerReference w:type="first" r:id="rId77"/>
          <w:footerReference w:type="first" r:id="rId78"/>
          <w:footnotePr>
            <w:numFmt w:val="lowerLetter"/>
            <w:numRestart w:val="eachPage"/>
          </w:footnotePr>
          <w:endnotePr>
            <w:numFmt w:val="decimal"/>
          </w:endnotePr>
          <w:type w:val="continuous"/>
          <w:pgSz w:w="11900" w:h="16840" w:code="9"/>
          <w:pgMar w:top="1985" w:right="1134" w:bottom="851" w:left="1134" w:header="510" w:footer="340" w:gutter="0"/>
          <w:cols w:space="454"/>
        </w:sectPr>
      </w:pPr>
    </w:p>
    <w:p w14:paraId="3F520036" w14:textId="0EC4BF14" w:rsidR="00183A1F" w:rsidRPr="00183A1F" w:rsidRDefault="0015132C" w:rsidP="00871595">
      <w:pPr>
        <w:pStyle w:val="Heading3EOdata"/>
        <w:spacing w:before="0"/>
      </w:pPr>
      <w:bookmarkStart w:id="456" w:name="_Toc85121242"/>
      <w:r w:rsidRPr="002029AF">
        <w:lastRenderedPageBreak/>
        <w:t xml:space="preserve">Table </w:t>
      </w:r>
      <w:r>
        <w:t>7</w:t>
      </w:r>
      <w:r w:rsidRPr="002029AF">
        <w:t xml:space="preserve">: Number of </w:t>
      </w:r>
      <w:r w:rsidR="00643A6E">
        <w:t>EOs</w:t>
      </w:r>
      <w:r w:rsidR="00643A6E" w:rsidRPr="002029AF" w:rsidDel="00643A6E">
        <w:t xml:space="preserve"> </w:t>
      </w:r>
      <w:r w:rsidRPr="002029AF">
        <w:t>for the department</w:t>
      </w:r>
      <w:r w:rsidR="007D145B">
        <w:t>’</w:t>
      </w:r>
      <w:r w:rsidRPr="002029AF">
        <w:t>s portfolio agencies</w:t>
      </w:r>
      <w:bookmarkEnd w:id="456"/>
    </w:p>
    <w:tbl>
      <w:tblPr>
        <w:tblStyle w:val="TableGrid"/>
        <w:tblW w:w="14005" w:type="dxa"/>
        <w:tblLayout w:type="fixed"/>
        <w:tblLook w:val="06A0" w:firstRow="1" w:lastRow="0" w:firstColumn="1" w:lastColumn="0" w:noHBand="1" w:noVBand="1"/>
      </w:tblPr>
      <w:tblGrid>
        <w:gridCol w:w="3286"/>
        <w:gridCol w:w="850"/>
        <w:gridCol w:w="850"/>
        <w:gridCol w:w="1020"/>
        <w:gridCol w:w="851"/>
        <w:gridCol w:w="851"/>
        <w:gridCol w:w="851"/>
        <w:gridCol w:w="1021"/>
        <w:gridCol w:w="851"/>
        <w:gridCol w:w="851"/>
        <w:gridCol w:w="851"/>
        <w:gridCol w:w="1021"/>
        <w:gridCol w:w="851"/>
      </w:tblGrid>
      <w:tr w:rsidR="00183A1F" w14:paraId="09628E6F" w14:textId="77777777" w:rsidTr="008D2D99">
        <w:trPr>
          <w:cnfStyle w:val="100000000000" w:firstRow="1" w:lastRow="0" w:firstColumn="0" w:lastColumn="0" w:oddVBand="0" w:evenVBand="0" w:oddHBand="0" w:evenHBand="0" w:firstRowFirstColumn="0" w:firstRowLastColumn="0" w:lastRowFirstColumn="0" w:lastRowLastColumn="0"/>
          <w:trHeight w:val="298"/>
          <w:tblHeader/>
        </w:trPr>
        <w:tc>
          <w:tcPr>
            <w:tcW w:w="3289" w:type="dxa"/>
            <w:vMerge w:val="restart"/>
          </w:tcPr>
          <w:p w14:paraId="47DEF1E8" w14:textId="77777777" w:rsidR="00183A1F" w:rsidRDefault="00183A1F" w:rsidP="00183A1F">
            <w:pPr>
              <w:pStyle w:val="ARtablecolhead"/>
            </w:pPr>
            <w:r>
              <w:t>Portfolio agencies</w:t>
            </w:r>
          </w:p>
        </w:tc>
        <w:tc>
          <w:tcPr>
            <w:tcW w:w="851" w:type="dxa"/>
            <w:gridSpan w:val="4"/>
            <w:tcBorders>
              <w:top w:val="nil"/>
              <w:right w:val="single" w:sz="4" w:space="0" w:color="auto"/>
            </w:tcBorders>
          </w:tcPr>
          <w:p w14:paraId="4EF32666" w14:textId="77777777" w:rsidR="00183A1F" w:rsidRDefault="00183A1F" w:rsidP="00183A1F">
            <w:pPr>
              <w:pStyle w:val="ARtablecolheadcentre"/>
            </w:pPr>
            <w:r>
              <w:t>June 2021</w:t>
            </w:r>
          </w:p>
        </w:tc>
        <w:tc>
          <w:tcPr>
            <w:tcW w:w="1021" w:type="dxa"/>
            <w:gridSpan w:val="4"/>
            <w:tcBorders>
              <w:top w:val="nil"/>
              <w:left w:val="single" w:sz="4" w:space="0" w:color="auto"/>
              <w:right w:val="single" w:sz="4" w:space="0" w:color="auto"/>
            </w:tcBorders>
          </w:tcPr>
          <w:p w14:paraId="6114FE14" w14:textId="77777777" w:rsidR="00183A1F" w:rsidRDefault="00183A1F" w:rsidP="00183A1F">
            <w:pPr>
              <w:pStyle w:val="ARtablecolheadcentre"/>
            </w:pPr>
            <w:r>
              <w:t>June 2020</w:t>
            </w:r>
          </w:p>
        </w:tc>
        <w:tc>
          <w:tcPr>
            <w:tcW w:w="1021" w:type="dxa"/>
            <w:gridSpan w:val="4"/>
            <w:tcBorders>
              <w:left w:val="single" w:sz="4" w:space="0" w:color="auto"/>
            </w:tcBorders>
          </w:tcPr>
          <w:p w14:paraId="7D643C19" w14:textId="77777777" w:rsidR="00183A1F" w:rsidRDefault="00183A1F" w:rsidP="00183A1F">
            <w:pPr>
              <w:pStyle w:val="ARtablecolheadcentre"/>
            </w:pPr>
            <w:r>
              <w:t>Annual change</w:t>
            </w:r>
          </w:p>
        </w:tc>
      </w:tr>
      <w:tr w:rsidR="00183A1F" w14:paraId="0FD89B36" w14:textId="77777777" w:rsidTr="00EC65C3">
        <w:trPr>
          <w:cnfStyle w:val="100000000000" w:firstRow="1" w:lastRow="0" w:firstColumn="0" w:lastColumn="0" w:oddVBand="0" w:evenVBand="0" w:oddHBand="0" w:evenHBand="0" w:firstRowFirstColumn="0" w:firstRowLastColumn="0" w:lastRowFirstColumn="0" w:lastRowLastColumn="0"/>
          <w:tblHeader/>
        </w:trPr>
        <w:tc>
          <w:tcPr>
            <w:tcW w:w="3289" w:type="dxa"/>
            <w:vMerge/>
          </w:tcPr>
          <w:p w14:paraId="24FEFBD6" w14:textId="77777777" w:rsidR="00183A1F" w:rsidRDefault="00183A1F" w:rsidP="00183A1F">
            <w:pPr>
              <w:pStyle w:val="ARtablecolheadright"/>
            </w:pPr>
          </w:p>
        </w:tc>
        <w:tc>
          <w:tcPr>
            <w:tcW w:w="851" w:type="dxa"/>
          </w:tcPr>
          <w:p w14:paraId="65100D78" w14:textId="55BD3AD9" w:rsidR="00183A1F" w:rsidRDefault="00183A1F" w:rsidP="00AB3AD4">
            <w:pPr>
              <w:pStyle w:val="ARtablecolheadright"/>
            </w:pPr>
            <w:r>
              <w:t>Wom</w:t>
            </w:r>
            <w:r w:rsidR="00AB3AD4">
              <w:t>e</w:t>
            </w:r>
            <w:r>
              <w:t>n</w:t>
            </w:r>
          </w:p>
        </w:tc>
        <w:tc>
          <w:tcPr>
            <w:tcW w:w="851" w:type="dxa"/>
          </w:tcPr>
          <w:p w14:paraId="33E18E6F" w14:textId="57877DDB" w:rsidR="00183A1F" w:rsidRDefault="00183A1F" w:rsidP="00AB3AD4">
            <w:pPr>
              <w:pStyle w:val="ARtablecolheadright"/>
            </w:pPr>
            <w:r>
              <w:t>M</w:t>
            </w:r>
            <w:r w:rsidR="00AB3AD4">
              <w:t>e</w:t>
            </w:r>
            <w:r>
              <w:t>n</w:t>
            </w:r>
          </w:p>
        </w:tc>
        <w:tc>
          <w:tcPr>
            <w:tcW w:w="1021" w:type="dxa"/>
            <w:tcBorders>
              <w:top w:val="single" w:sz="4" w:space="0" w:color="auto"/>
            </w:tcBorders>
          </w:tcPr>
          <w:p w14:paraId="6F2209FE" w14:textId="1808E9A6" w:rsidR="00183A1F" w:rsidRDefault="00183A1F" w:rsidP="00183A1F">
            <w:pPr>
              <w:pStyle w:val="ARtablecolheadright"/>
            </w:pPr>
            <w:r>
              <w:t>Self</w:t>
            </w:r>
            <w:r w:rsidR="004919EC">
              <w:t>-</w:t>
            </w:r>
            <w:r>
              <w:t>described</w:t>
            </w:r>
          </w:p>
        </w:tc>
        <w:tc>
          <w:tcPr>
            <w:tcW w:w="851" w:type="dxa"/>
            <w:tcBorders>
              <w:top w:val="single" w:sz="4" w:space="0" w:color="auto"/>
              <w:right w:val="single" w:sz="4" w:space="0" w:color="auto"/>
            </w:tcBorders>
          </w:tcPr>
          <w:p w14:paraId="07E65508" w14:textId="77777777" w:rsidR="00183A1F" w:rsidRDefault="00183A1F" w:rsidP="00183A1F">
            <w:pPr>
              <w:pStyle w:val="ARtablecolheadright"/>
            </w:pPr>
            <w:r>
              <w:t>Total</w:t>
            </w:r>
          </w:p>
        </w:tc>
        <w:tc>
          <w:tcPr>
            <w:tcW w:w="851" w:type="dxa"/>
            <w:tcBorders>
              <w:left w:val="single" w:sz="4" w:space="0" w:color="auto"/>
            </w:tcBorders>
          </w:tcPr>
          <w:p w14:paraId="2A58BBD8" w14:textId="03F43166" w:rsidR="00183A1F" w:rsidRDefault="00183A1F" w:rsidP="00AB3AD4">
            <w:pPr>
              <w:pStyle w:val="ARtablecolheadright"/>
            </w:pPr>
            <w:r>
              <w:t>Wom</w:t>
            </w:r>
            <w:r w:rsidR="00AB3AD4">
              <w:t>e</w:t>
            </w:r>
            <w:r>
              <w:t>n</w:t>
            </w:r>
          </w:p>
        </w:tc>
        <w:tc>
          <w:tcPr>
            <w:tcW w:w="851" w:type="dxa"/>
          </w:tcPr>
          <w:p w14:paraId="292B2031" w14:textId="4A17CCAD" w:rsidR="00183A1F" w:rsidRDefault="00183A1F" w:rsidP="00AB3AD4">
            <w:pPr>
              <w:pStyle w:val="ARtablecolheadright"/>
            </w:pPr>
            <w:r>
              <w:t>M</w:t>
            </w:r>
            <w:r w:rsidR="00AB3AD4">
              <w:t>e</w:t>
            </w:r>
            <w:r>
              <w:t>n</w:t>
            </w:r>
          </w:p>
        </w:tc>
        <w:tc>
          <w:tcPr>
            <w:tcW w:w="1021" w:type="dxa"/>
            <w:tcBorders>
              <w:top w:val="single" w:sz="4" w:space="0" w:color="auto"/>
            </w:tcBorders>
          </w:tcPr>
          <w:p w14:paraId="767EBFA7" w14:textId="28F84585" w:rsidR="00183A1F" w:rsidRDefault="00183A1F" w:rsidP="00183A1F">
            <w:pPr>
              <w:pStyle w:val="ARtablecolheadright"/>
            </w:pPr>
            <w:r>
              <w:t>Self</w:t>
            </w:r>
            <w:r w:rsidR="004919EC">
              <w:t>-</w:t>
            </w:r>
            <w:r>
              <w:t>described</w:t>
            </w:r>
          </w:p>
        </w:tc>
        <w:tc>
          <w:tcPr>
            <w:tcW w:w="851" w:type="dxa"/>
            <w:tcBorders>
              <w:top w:val="single" w:sz="4" w:space="0" w:color="auto"/>
              <w:right w:val="single" w:sz="4" w:space="0" w:color="auto"/>
            </w:tcBorders>
          </w:tcPr>
          <w:p w14:paraId="778B7149" w14:textId="77777777" w:rsidR="00183A1F" w:rsidRDefault="00183A1F" w:rsidP="00183A1F">
            <w:pPr>
              <w:pStyle w:val="ARtablecolheadright"/>
            </w:pPr>
            <w:r>
              <w:t>Total</w:t>
            </w:r>
          </w:p>
        </w:tc>
        <w:tc>
          <w:tcPr>
            <w:tcW w:w="851" w:type="dxa"/>
            <w:tcBorders>
              <w:left w:val="single" w:sz="4" w:space="0" w:color="auto"/>
            </w:tcBorders>
          </w:tcPr>
          <w:p w14:paraId="3B85F508" w14:textId="0E13F2A6" w:rsidR="00183A1F" w:rsidRDefault="00183A1F" w:rsidP="00AB3AD4">
            <w:pPr>
              <w:pStyle w:val="ARtablecolheadright"/>
            </w:pPr>
            <w:r>
              <w:t>Wom</w:t>
            </w:r>
            <w:r w:rsidR="00AB3AD4">
              <w:t>e</w:t>
            </w:r>
            <w:r>
              <w:t>n</w:t>
            </w:r>
          </w:p>
        </w:tc>
        <w:tc>
          <w:tcPr>
            <w:tcW w:w="851" w:type="dxa"/>
          </w:tcPr>
          <w:p w14:paraId="1D1602F5" w14:textId="2E509010" w:rsidR="00183A1F" w:rsidRDefault="00183A1F" w:rsidP="00AB3AD4">
            <w:pPr>
              <w:pStyle w:val="ARtablecolheadright"/>
            </w:pPr>
            <w:r>
              <w:t>M</w:t>
            </w:r>
            <w:r w:rsidR="00AB3AD4">
              <w:t>e</w:t>
            </w:r>
            <w:r>
              <w:t>n</w:t>
            </w:r>
          </w:p>
        </w:tc>
        <w:tc>
          <w:tcPr>
            <w:tcW w:w="1021" w:type="dxa"/>
          </w:tcPr>
          <w:p w14:paraId="707C3CAE" w14:textId="578FCC57" w:rsidR="00183A1F" w:rsidRDefault="00183A1F" w:rsidP="00183A1F">
            <w:pPr>
              <w:pStyle w:val="ARtablecolheadright"/>
            </w:pPr>
            <w:r>
              <w:t>Self</w:t>
            </w:r>
            <w:r w:rsidR="004919EC">
              <w:t>-</w:t>
            </w:r>
            <w:r>
              <w:t>described</w:t>
            </w:r>
          </w:p>
        </w:tc>
        <w:tc>
          <w:tcPr>
            <w:tcW w:w="851" w:type="dxa"/>
          </w:tcPr>
          <w:p w14:paraId="6930CA95" w14:textId="77777777" w:rsidR="00183A1F" w:rsidRDefault="00183A1F" w:rsidP="00183A1F">
            <w:pPr>
              <w:pStyle w:val="ARtablecolheadright"/>
            </w:pPr>
            <w:r>
              <w:t>Total</w:t>
            </w:r>
          </w:p>
        </w:tc>
      </w:tr>
      <w:tr w:rsidR="00183A1F" w14:paraId="03C02364" w14:textId="77777777" w:rsidTr="008D2D99">
        <w:trPr>
          <w:cantSplit w:val="0"/>
          <w:trHeight w:val="290"/>
        </w:trPr>
        <w:tc>
          <w:tcPr>
            <w:tcW w:w="3289" w:type="dxa"/>
          </w:tcPr>
          <w:p w14:paraId="03C71B5F" w14:textId="77777777" w:rsidR="00183A1F" w:rsidRDefault="00183A1F" w:rsidP="00183A1F">
            <w:pPr>
              <w:pStyle w:val="ARtabletext"/>
            </w:pPr>
            <w:r>
              <w:t>Albury Wodonga Health</w:t>
            </w:r>
          </w:p>
        </w:tc>
        <w:tc>
          <w:tcPr>
            <w:tcW w:w="851" w:type="dxa"/>
          </w:tcPr>
          <w:p w14:paraId="0871BA32" w14:textId="77777777" w:rsidR="00183A1F" w:rsidRDefault="00183A1F" w:rsidP="00183A1F">
            <w:pPr>
              <w:pStyle w:val="ARtabletextright"/>
            </w:pPr>
            <w:r>
              <w:t>3</w:t>
            </w:r>
          </w:p>
        </w:tc>
        <w:tc>
          <w:tcPr>
            <w:tcW w:w="851" w:type="dxa"/>
          </w:tcPr>
          <w:p w14:paraId="0E00C9DD" w14:textId="77777777" w:rsidR="00183A1F" w:rsidRDefault="00183A1F" w:rsidP="00183A1F">
            <w:pPr>
              <w:pStyle w:val="ARtabletextright"/>
            </w:pPr>
            <w:r>
              <w:t>2</w:t>
            </w:r>
          </w:p>
        </w:tc>
        <w:tc>
          <w:tcPr>
            <w:tcW w:w="1021" w:type="dxa"/>
            <w:tcBorders>
              <w:top w:val="single" w:sz="4" w:space="0" w:color="auto"/>
            </w:tcBorders>
          </w:tcPr>
          <w:p w14:paraId="4F4CD184"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510E9190" w14:textId="77777777" w:rsidR="00183A1F" w:rsidRDefault="00183A1F" w:rsidP="008D2D99">
            <w:pPr>
              <w:pStyle w:val="ARtabletextrightbold"/>
            </w:pPr>
            <w:r>
              <w:t>5</w:t>
            </w:r>
          </w:p>
        </w:tc>
        <w:tc>
          <w:tcPr>
            <w:tcW w:w="851" w:type="dxa"/>
            <w:tcBorders>
              <w:left w:val="single" w:sz="4" w:space="0" w:color="auto"/>
            </w:tcBorders>
          </w:tcPr>
          <w:p w14:paraId="36F32EA2" w14:textId="77777777" w:rsidR="00183A1F" w:rsidRDefault="00183A1F" w:rsidP="00183A1F">
            <w:pPr>
              <w:pStyle w:val="ARtabletextright"/>
            </w:pPr>
            <w:r>
              <w:t>5</w:t>
            </w:r>
          </w:p>
        </w:tc>
        <w:tc>
          <w:tcPr>
            <w:tcW w:w="851" w:type="dxa"/>
          </w:tcPr>
          <w:p w14:paraId="2A50D737" w14:textId="77777777" w:rsidR="00183A1F" w:rsidRDefault="00183A1F" w:rsidP="00183A1F">
            <w:pPr>
              <w:pStyle w:val="ARtabletextright"/>
            </w:pPr>
            <w:r>
              <w:t>2</w:t>
            </w:r>
          </w:p>
        </w:tc>
        <w:tc>
          <w:tcPr>
            <w:tcW w:w="1021" w:type="dxa"/>
            <w:tcBorders>
              <w:top w:val="single" w:sz="4" w:space="0" w:color="auto"/>
            </w:tcBorders>
          </w:tcPr>
          <w:p w14:paraId="7A5D3510"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64C9B014" w14:textId="77777777" w:rsidR="00183A1F" w:rsidRDefault="00183A1F" w:rsidP="008D2D99">
            <w:pPr>
              <w:pStyle w:val="ARtabletextrightbold"/>
            </w:pPr>
            <w:r>
              <w:t>7</w:t>
            </w:r>
          </w:p>
        </w:tc>
        <w:tc>
          <w:tcPr>
            <w:tcW w:w="851" w:type="dxa"/>
            <w:tcBorders>
              <w:left w:val="single" w:sz="4" w:space="0" w:color="auto"/>
            </w:tcBorders>
          </w:tcPr>
          <w:p w14:paraId="2874E67A" w14:textId="28ABAA33" w:rsidR="00183A1F" w:rsidRDefault="00627FE4" w:rsidP="00183A1F">
            <w:pPr>
              <w:pStyle w:val="ARtabletextright"/>
            </w:pPr>
            <w:r>
              <w:t>−</w:t>
            </w:r>
            <w:r w:rsidR="00183A1F">
              <w:t>2</w:t>
            </w:r>
          </w:p>
        </w:tc>
        <w:tc>
          <w:tcPr>
            <w:tcW w:w="851" w:type="dxa"/>
          </w:tcPr>
          <w:p w14:paraId="27BAAFC9" w14:textId="77777777" w:rsidR="00183A1F" w:rsidRDefault="00183A1F" w:rsidP="00183A1F">
            <w:pPr>
              <w:pStyle w:val="ARtabletextright"/>
            </w:pPr>
            <w:r>
              <w:t>0</w:t>
            </w:r>
          </w:p>
        </w:tc>
        <w:tc>
          <w:tcPr>
            <w:tcW w:w="1021" w:type="dxa"/>
          </w:tcPr>
          <w:p w14:paraId="3FF68737" w14:textId="77777777" w:rsidR="00183A1F" w:rsidRDefault="00183A1F" w:rsidP="00183A1F">
            <w:pPr>
              <w:pStyle w:val="ARtabletextright"/>
            </w:pPr>
            <w:r>
              <w:t>0</w:t>
            </w:r>
          </w:p>
        </w:tc>
        <w:tc>
          <w:tcPr>
            <w:tcW w:w="851" w:type="dxa"/>
          </w:tcPr>
          <w:p w14:paraId="6FAE109C" w14:textId="08B3D456" w:rsidR="00183A1F" w:rsidRDefault="00EC65C3" w:rsidP="008D2D99">
            <w:pPr>
              <w:pStyle w:val="ARtabletextrightbold"/>
            </w:pPr>
            <w:r>
              <w:t>−</w:t>
            </w:r>
            <w:r w:rsidR="00183A1F">
              <w:t>2</w:t>
            </w:r>
          </w:p>
        </w:tc>
      </w:tr>
      <w:tr w:rsidR="00183A1F" w14:paraId="2B595F3F" w14:textId="77777777" w:rsidTr="008D2D99">
        <w:trPr>
          <w:cantSplit w:val="0"/>
          <w:trHeight w:val="290"/>
        </w:trPr>
        <w:tc>
          <w:tcPr>
            <w:tcW w:w="3289" w:type="dxa"/>
          </w:tcPr>
          <w:p w14:paraId="7D1A6A66" w14:textId="77777777" w:rsidR="00183A1F" w:rsidRDefault="00183A1F" w:rsidP="00183A1F">
            <w:pPr>
              <w:pStyle w:val="ARtabletext"/>
            </w:pPr>
            <w:r>
              <w:t>Alexandra District Health</w:t>
            </w:r>
          </w:p>
        </w:tc>
        <w:tc>
          <w:tcPr>
            <w:tcW w:w="851" w:type="dxa"/>
          </w:tcPr>
          <w:p w14:paraId="7970B84C" w14:textId="77777777" w:rsidR="00183A1F" w:rsidRDefault="00183A1F" w:rsidP="00183A1F">
            <w:pPr>
              <w:pStyle w:val="ARtabletextright"/>
            </w:pPr>
            <w:r>
              <w:t>1</w:t>
            </w:r>
          </w:p>
        </w:tc>
        <w:tc>
          <w:tcPr>
            <w:tcW w:w="851" w:type="dxa"/>
          </w:tcPr>
          <w:p w14:paraId="745B3584" w14:textId="77777777" w:rsidR="00183A1F" w:rsidRDefault="00183A1F" w:rsidP="00183A1F">
            <w:pPr>
              <w:pStyle w:val="ARtabletextright"/>
            </w:pPr>
            <w:r>
              <w:t>0</w:t>
            </w:r>
          </w:p>
        </w:tc>
        <w:tc>
          <w:tcPr>
            <w:tcW w:w="1021" w:type="dxa"/>
            <w:tcBorders>
              <w:top w:val="single" w:sz="4" w:space="0" w:color="auto"/>
            </w:tcBorders>
          </w:tcPr>
          <w:p w14:paraId="6A20F72C"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0DB73452" w14:textId="77777777" w:rsidR="00183A1F" w:rsidRDefault="00183A1F" w:rsidP="008D2D99">
            <w:pPr>
              <w:pStyle w:val="ARtabletextrightbold"/>
            </w:pPr>
            <w:r>
              <w:t>1</w:t>
            </w:r>
          </w:p>
        </w:tc>
        <w:tc>
          <w:tcPr>
            <w:tcW w:w="851" w:type="dxa"/>
            <w:tcBorders>
              <w:left w:val="single" w:sz="4" w:space="0" w:color="auto"/>
            </w:tcBorders>
          </w:tcPr>
          <w:p w14:paraId="485EDF64" w14:textId="77777777" w:rsidR="00183A1F" w:rsidRDefault="00183A1F" w:rsidP="00183A1F">
            <w:pPr>
              <w:pStyle w:val="ARtabletextright"/>
            </w:pPr>
            <w:r>
              <w:t>1</w:t>
            </w:r>
          </w:p>
        </w:tc>
        <w:tc>
          <w:tcPr>
            <w:tcW w:w="851" w:type="dxa"/>
          </w:tcPr>
          <w:p w14:paraId="7AACE29B" w14:textId="77777777" w:rsidR="00183A1F" w:rsidRDefault="00183A1F" w:rsidP="00183A1F">
            <w:pPr>
              <w:pStyle w:val="ARtabletextright"/>
            </w:pPr>
            <w:r>
              <w:t>0</w:t>
            </w:r>
          </w:p>
        </w:tc>
        <w:tc>
          <w:tcPr>
            <w:tcW w:w="1021" w:type="dxa"/>
            <w:tcBorders>
              <w:top w:val="single" w:sz="4" w:space="0" w:color="auto"/>
            </w:tcBorders>
          </w:tcPr>
          <w:p w14:paraId="557E47FF"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689CECDB" w14:textId="77777777" w:rsidR="00183A1F" w:rsidRDefault="00183A1F" w:rsidP="008D2D99">
            <w:pPr>
              <w:pStyle w:val="ARtabletextrightbold"/>
            </w:pPr>
            <w:r>
              <w:t>1</w:t>
            </w:r>
          </w:p>
        </w:tc>
        <w:tc>
          <w:tcPr>
            <w:tcW w:w="851" w:type="dxa"/>
            <w:tcBorders>
              <w:left w:val="single" w:sz="4" w:space="0" w:color="auto"/>
            </w:tcBorders>
          </w:tcPr>
          <w:p w14:paraId="67378AFD" w14:textId="77777777" w:rsidR="00183A1F" w:rsidRDefault="00183A1F" w:rsidP="00183A1F">
            <w:pPr>
              <w:pStyle w:val="ARtabletextright"/>
            </w:pPr>
            <w:r>
              <w:t>0</w:t>
            </w:r>
          </w:p>
        </w:tc>
        <w:tc>
          <w:tcPr>
            <w:tcW w:w="851" w:type="dxa"/>
          </w:tcPr>
          <w:p w14:paraId="58DBE84C" w14:textId="77777777" w:rsidR="00183A1F" w:rsidRDefault="00183A1F" w:rsidP="00183A1F">
            <w:pPr>
              <w:pStyle w:val="ARtabletextright"/>
            </w:pPr>
            <w:r>
              <w:t>0</w:t>
            </w:r>
          </w:p>
        </w:tc>
        <w:tc>
          <w:tcPr>
            <w:tcW w:w="1021" w:type="dxa"/>
          </w:tcPr>
          <w:p w14:paraId="076B8407" w14:textId="77777777" w:rsidR="00183A1F" w:rsidRDefault="00183A1F" w:rsidP="00183A1F">
            <w:pPr>
              <w:pStyle w:val="ARtabletextright"/>
            </w:pPr>
            <w:r>
              <w:t>0</w:t>
            </w:r>
          </w:p>
        </w:tc>
        <w:tc>
          <w:tcPr>
            <w:tcW w:w="851" w:type="dxa"/>
          </w:tcPr>
          <w:p w14:paraId="42B4C0E8" w14:textId="77777777" w:rsidR="00183A1F" w:rsidRDefault="00183A1F" w:rsidP="008D2D99">
            <w:pPr>
              <w:pStyle w:val="ARtabletextrightbold"/>
            </w:pPr>
            <w:r>
              <w:t>0</w:t>
            </w:r>
          </w:p>
        </w:tc>
      </w:tr>
      <w:tr w:rsidR="00183A1F" w14:paraId="32A6734D" w14:textId="77777777" w:rsidTr="008D2D99">
        <w:trPr>
          <w:cantSplit w:val="0"/>
          <w:trHeight w:val="290"/>
        </w:trPr>
        <w:tc>
          <w:tcPr>
            <w:tcW w:w="3289" w:type="dxa"/>
          </w:tcPr>
          <w:p w14:paraId="1EA7BAFF" w14:textId="77777777" w:rsidR="00183A1F" w:rsidRDefault="00183A1F" w:rsidP="00183A1F">
            <w:pPr>
              <w:pStyle w:val="ARtabletext"/>
            </w:pPr>
            <w:r>
              <w:t>Alfred Health</w:t>
            </w:r>
          </w:p>
        </w:tc>
        <w:tc>
          <w:tcPr>
            <w:tcW w:w="851" w:type="dxa"/>
          </w:tcPr>
          <w:p w14:paraId="23BD8A93" w14:textId="77777777" w:rsidR="00183A1F" w:rsidRDefault="00183A1F" w:rsidP="00183A1F">
            <w:pPr>
              <w:pStyle w:val="ARtabletextright"/>
            </w:pPr>
            <w:r>
              <w:t>6</w:t>
            </w:r>
          </w:p>
        </w:tc>
        <w:tc>
          <w:tcPr>
            <w:tcW w:w="851" w:type="dxa"/>
          </w:tcPr>
          <w:p w14:paraId="3979FD3F" w14:textId="77777777" w:rsidR="00183A1F" w:rsidRDefault="00183A1F" w:rsidP="00183A1F">
            <w:pPr>
              <w:pStyle w:val="ARtabletextright"/>
            </w:pPr>
            <w:r>
              <w:t>6</w:t>
            </w:r>
          </w:p>
        </w:tc>
        <w:tc>
          <w:tcPr>
            <w:tcW w:w="1021" w:type="dxa"/>
            <w:tcBorders>
              <w:top w:val="single" w:sz="4" w:space="0" w:color="auto"/>
            </w:tcBorders>
          </w:tcPr>
          <w:p w14:paraId="17F53D8B"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3646C74D" w14:textId="77777777" w:rsidR="00183A1F" w:rsidRDefault="00183A1F" w:rsidP="008D2D99">
            <w:pPr>
              <w:pStyle w:val="ARtabletextrightbold"/>
            </w:pPr>
            <w:r>
              <w:t>12</w:t>
            </w:r>
          </w:p>
        </w:tc>
        <w:tc>
          <w:tcPr>
            <w:tcW w:w="851" w:type="dxa"/>
            <w:tcBorders>
              <w:left w:val="single" w:sz="4" w:space="0" w:color="auto"/>
            </w:tcBorders>
          </w:tcPr>
          <w:p w14:paraId="5458AB97" w14:textId="77777777" w:rsidR="00183A1F" w:rsidRDefault="00183A1F" w:rsidP="00183A1F">
            <w:pPr>
              <w:pStyle w:val="ARtabletextright"/>
            </w:pPr>
            <w:r>
              <w:t>5</w:t>
            </w:r>
          </w:p>
        </w:tc>
        <w:tc>
          <w:tcPr>
            <w:tcW w:w="851" w:type="dxa"/>
          </w:tcPr>
          <w:p w14:paraId="68BB98CB" w14:textId="77777777" w:rsidR="00183A1F" w:rsidRDefault="00183A1F" w:rsidP="00183A1F">
            <w:pPr>
              <w:pStyle w:val="ARtabletextright"/>
            </w:pPr>
            <w:r>
              <w:t>3</w:t>
            </w:r>
          </w:p>
        </w:tc>
        <w:tc>
          <w:tcPr>
            <w:tcW w:w="1021" w:type="dxa"/>
            <w:tcBorders>
              <w:top w:val="single" w:sz="4" w:space="0" w:color="auto"/>
            </w:tcBorders>
          </w:tcPr>
          <w:p w14:paraId="7FE194E2"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0C19ACF2" w14:textId="77777777" w:rsidR="00183A1F" w:rsidRDefault="00183A1F" w:rsidP="008D2D99">
            <w:pPr>
              <w:pStyle w:val="ARtabletextrightbold"/>
            </w:pPr>
            <w:r>
              <w:t>8</w:t>
            </w:r>
          </w:p>
        </w:tc>
        <w:tc>
          <w:tcPr>
            <w:tcW w:w="851" w:type="dxa"/>
            <w:tcBorders>
              <w:left w:val="single" w:sz="4" w:space="0" w:color="auto"/>
            </w:tcBorders>
          </w:tcPr>
          <w:p w14:paraId="500C89B8" w14:textId="77777777" w:rsidR="00183A1F" w:rsidRDefault="00183A1F" w:rsidP="00183A1F">
            <w:pPr>
              <w:pStyle w:val="ARtabletextright"/>
            </w:pPr>
            <w:r>
              <w:t>1</w:t>
            </w:r>
          </w:p>
        </w:tc>
        <w:tc>
          <w:tcPr>
            <w:tcW w:w="851" w:type="dxa"/>
          </w:tcPr>
          <w:p w14:paraId="0C0C2E77" w14:textId="77777777" w:rsidR="00183A1F" w:rsidRDefault="00183A1F" w:rsidP="00183A1F">
            <w:pPr>
              <w:pStyle w:val="ARtabletextright"/>
            </w:pPr>
            <w:r>
              <w:t>3</w:t>
            </w:r>
          </w:p>
        </w:tc>
        <w:tc>
          <w:tcPr>
            <w:tcW w:w="1021" w:type="dxa"/>
          </w:tcPr>
          <w:p w14:paraId="4A5F3DCF" w14:textId="77777777" w:rsidR="00183A1F" w:rsidRDefault="00183A1F" w:rsidP="00183A1F">
            <w:pPr>
              <w:pStyle w:val="ARtabletextright"/>
            </w:pPr>
            <w:r>
              <w:t>0</w:t>
            </w:r>
          </w:p>
        </w:tc>
        <w:tc>
          <w:tcPr>
            <w:tcW w:w="851" w:type="dxa"/>
          </w:tcPr>
          <w:p w14:paraId="42D2F8FA" w14:textId="77777777" w:rsidR="00183A1F" w:rsidRDefault="00183A1F" w:rsidP="008D2D99">
            <w:pPr>
              <w:pStyle w:val="ARtabletextrightbold"/>
            </w:pPr>
            <w:r>
              <w:t>4</w:t>
            </w:r>
          </w:p>
        </w:tc>
      </w:tr>
      <w:tr w:rsidR="00183A1F" w14:paraId="7B5AA07A" w14:textId="77777777" w:rsidTr="008D2D99">
        <w:trPr>
          <w:cantSplit w:val="0"/>
          <w:trHeight w:val="290"/>
        </w:trPr>
        <w:tc>
          <w:tcPr>
            <w:tcW w:w="3289" w:type="dxa"/>
          </w:tcPr>
          <w:p w14:paraId="36A21AB4" w14:textId="77777777" w:rsidR="00183A1F" w:rsidRDefault="00183A1F" w:rsidP="00183A1F">
            <w:pPr>
              <w:pStyle w:val="ARtabletext"/>
            </w:pPr>
            <w:r>
              <w:t>Alpine Health</w:t>
            </w:r>
          </w:p>
        </w:tc>
        <w:tc>
          <w:tcPr>
            <w:tcW w:w="851" w:type="dxa"/>
          </w:tcPr>
          <w:p w14:paraId="03E73B0B" w14:textId="77777777" w:rsidR="00183A1F" w:rsidRDefault="00183A1F" w:rsidP="00183A1F">
            <w:pPr>
              <w:pStyle w:val="ARtabletextright"/>
            </w:pPr>
            <w:r>
              <w:t>0</w:t>
            </w:r>
          </w:p>
        </w:tc>
        <w:tc>
          <w:tcPr>
            <w:tcW w:w="851" w:type="dxa"/>
          </w:tcPr>
          <w:p w14:paraId="58D0CBB1" w14:textId="77777777" w:rsidR="00183A1F" w:rsidRDefault="00183A1F" w:rsidP="00183A1F">
            <w:pPr>
              <w:pStyle w:val="ARtabletextright"/>
            </w:pPr>
            <w:r>
              <w:t>1</w:t>
            </w:r>
          </w:p>
        </w:tc>
        <w:tc>
          <w:tcPr>
            <w:tcW w:w="1021" w:type="dxa"/>
            <w:tcBorders>
              <w:top w:val="single" w:sz="4" w:space="0" w:color="auto"/>
            </w:tcBorders>
          </w:tcPr>
          <w:p w14:paraId="5D233611"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2ADE122E" w14:textId="77777777" w:rsidR="00183A1F" w:rsidRDefault="00183A1F" w:rsidP="008D2D99">
            <w:pPr>
              <w:pStyle w:val="ARtabletextrightbold"/>
            </w:pPr>
            <w:r>
              <w:t>1</w:t>
            </w:r>
          </w:p>
        </w:tc>
        <w:tc>
          <w:tcPr>
            <w:tcW w:w="851" w:type="dxa"/>
            <w:tcBorders>
              <w:left w:val="single" w:sz="4" w:space="0" w:color="auto"/>
            </w:tcBorders>
          </w:tcPr>
          <w:p w14:paraId="246C26AF" w14:textId="77777777" w:rsidR="00183A1F" w:rsidRDefault="00183A1F" w:rsidP="00183A1F">
            <w:pPr>
              <w:pStyle w:val="ARtabletextright"/>
            </w:pPr>
            <w:r>
              <w:t>0</w:t>
            </w:r>
          </w:p>
        </w:tc>
        <w:tc>
          <w:tcPr>
            <w:tcW w:w="851" w:type="dxa"/>
          </w:tcPr>
          <w:p w14:paraId="6414D559" w14:textId="77777777" w:rsidR="00183A1F" w:rsidRDefault="00183A1F" w:rsidP="00183A1F">
            <w:pPr>
              <w:pStyle w:val="ARtabletextright"/>
            </w:pPr>
            <w:r>
              <w:t>1</w:t>
            </w:r>
          </w:p>
        </w:tc>
        <w:tc>
          <w:tcPr>
            <w:tcW w:w="1021" w:type="dxa"/>
            <w:tcBorders>
              <w:top w:val="single" w:sz="4" w:space="0" w:color="auto"/>
            </w:tcBorders>
          </w:tcPr>
          <w:p w14:paraId="0E49A601"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3A7232B4" w14:textId="77777777" w:rsidR="00183A1F" w:rsidRDefault="00183A1F" w:rsidP="008D2D99">
            <w:pPr>
              <w:pStyle w:val="ARtabletextrightbold"/>
            </w:pPr>
            <w:r>
              <w:t>1</w:t>
            </w:r>
          </w:p>
        </w:tc>
        <w:tc>
          <w:tcPr>
            <w:tcW w:w="851" w:type="dxa"/>
            <w:tcBorders>
              <w:left w:val="single" w:sz="4" w:space="0" w:color="auto"/>
            </w:tcBorders>
          </w:tcPr>
          <w:p w14:paraId="4A100206" w14:textId="77777777" w:rsidR="00183A1F" w:rsidRDefault="00183A1F" w:rsidP="00183A1F">
            <w:pPr>
              <w:pStyle w:val="ARtabletextright"/>
            </w:pPr>
            <w:r>
              <w:t>0</w:t>
            </w:r>
          </w:p>
        </w:tc>
        <w:tc>
          <w:tcPr>
            <w:tcW w:w="851" w:type="dxa"/>
          </w:tcPr>
          <w:p w14:paraId="632A89D4" w14:textId="77777777" w:rsidR="00183A1F" w:rsidRDefault="00183A1F" w:rsidP="00183A1F">
            <w:pPr>
              <w:pStyle w:val="ARtabletextright"/>
            </w:pPr>
            <w:r>
              <w:t>0</w:t>
            </w:r>
          </w:p>
        </w:tc>
        <w:tc>
          <w:tcPr>
            <w:tcW w:w="1021" w:type="dxa"/>
          </w:tcPr>
          <w:p w14:paraId="71F66833" w14:textId="77777777" w:rsidR="00183A1F" w:rsidRDefault="00183A1F" w:rsidP="00183A1F">
            <w:pPr>
              <w:pStyle w:val="ARtabletextright"/>
            </w:pPr>
            <w:r>
              <w:t>0</w:t>
            </w:r>
          </w:p>
        </w:tc>
        <w:tc>
          <w:tcPr>
            <w:tcW w:w="851" w:type="dxa"/>
          </w:tcPr>
          <w:p w14:paraId="150852BC" w14:textId="77777777" w:rsidR="00183A1F" w:rsidRDefault="00183A1F" w:rsidP="008D2D99">
            <w:pPr>
              <w:pStyle w:val="ARtabletextrightbold"/>
            </w:pPr>
            <w:r>
              <w:t>0</w:t>
            </w:r>
          </w:p>
        </w:tc>
      </w:tr>
      <w:tr w:rsidR="00183A1F" w14:paraId="4B1086DA" w14:textId="77777777" w:rsidTr="008D2D99">
        <w:trPr>
          <w:cantSplit w:val="0"/>
          <w:trHeight w:val="290"/>
        </w:trPr>
        <w:tc>
          <w:tcPr>
            <w:tcW w:w="3289" w:type="dxa"/>
          </w:tcPr>
          <w:p w14:paraId="5ECB72A3" w14:textId="77777777" w:rsidR="00183A1F" w:rsidRDefault="00183A1F" w:rsidP="00183A1F">
            <w:pPr>
              <w:pStyle w:val="ARtabletext"/>
            </w:pPr>
            <w:r>
              <w:t>Ambulance Victoria</w:t>
            </w:r>
          </w:p>
        </w:tc>
        <w:tc>
          <w:tcPr>
            <w:tcW w:w="851" w:type="dxa"/>
          </w:tcPr>
          <w:p w14:paraId="3DF9BD0B" w14:textId="77777777" w:rsidR="00183A1F" w:rsidRDefault="00183A1F" w:rsidP="00183A1F">
            <w:pPr>
              <w:pStyle w:val="ARtabletextright"/>
            </w:pPr>
            <w:r>
              <w:t>7</w:t>
            </w:r>
          </w:p>
        </w:tc>
        <w:tc>
          <w:tcPr>
            <w:tcW w:w="851" w:type="dxa"/>
          </w:tcPr>
          <w:p w14:paraId="30D62311" w14:textId="77777777" w:rsidR="00183A1F" w:rsidRDefault="00183A1F" w:rsidP="00183A1F">
            <w:pPr>
              <w:pStyle w:val="ARtabletextright"/>
            </w:pPr>
            <w:r>
              <w:t>16</w:t>
            </w:r>
          </w:p>
        </w:tc>
        <w:tc>
          <w:tcPr>
            <w:tcW w:w="1021" w:type="dxa"/>
            <w:tcBorders>
              <w:top w:val="single" w:sz="4" w:space="0" w:color="auto"/>
            </w:tcBorders>
          </w:tcPr>
          <w:p w14:paraId="220C1560"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449CC151" w14:textId="77777777" w:rsidR="00183A1F" w:rsidRDefault="00183A1F" w:rsidP="008D2D99">
            <w:pPr>
              <w:pStyle w:val="ARtabletextrightbold"/>
            </w:pPr>
            <w:r>
              <w:t>23</w:t>
            </w:r>
          </w:p>
        </w:tc>
        <w:tc>
          <w:tcPr>
            <w:tcW w:w="851" w:type="dxa"/>
            <w:tcBorders>
              <w:left w:val="single" w:sz="4" w:space="0" w:color="auto"/>
            </w:tcBorders>
          </w:tcPr>
          <w:p w14:paraId="4CB1182B" w14:textId="77777777" w:rsidR="00183A1F" w:rsidRDefault="00183A1F" w:rsidP="00183A1F">
            <w:pPr>
              <w:pStyle w:val="ARtabletextright"/>
            </w:pPr>
            <w:r>
              <w:t>8</w:t>
            </w:r>
          </w:p>
        </w:tc>
        <w:tc>
          <w:tcPr>
            <w:tcW w:w="851" w:type="dxa"/>
          </w:tcPr>
          <w:p w14:paraId="40F8F7FF" w14:textId="77777777" w:rsidR="00183A1F" w:rsidRDefault="00183A1F" w:rsidP="00183A1F">
            <w:pPr>
              <w:pStyle w:val="ARtabletextright"/>
            </w:pPr>
            <w:r>
              <w:t>14</w:t>
            </w:r>
          </w:p>
        </w:tc>
        <w:tc>
          <w:tcPr>
            <w:tcW w:w="1021" w:type="dxa"/>
            <w:tcBorders>
              <w:top w:val="single" w:sz="4" w:space="0" w:color="auto"/>
            </w:tcBorders>
          </w:tcPr>
          <w:p w14:paraId="2A4ECB54"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2BDB1941" w14:textId="77777777" w:rsidR="00183A1F" w:rsidRDefault="00183A1F" w:rsidP="008D2D99">
            <w:pPr>
              <w:pStyle w:val="ARtabletextrightbold"/>
            </w:pPr>
            <w:r>
              <w:t>22</w:t>
            </w:r>
          </w:p>
        </w:tc>
        <w:tc>
          <w:tcPr>
            <w:tcW w:w="851" w:type="dxa"/>
            <w:tcBorders>
              <w:left w:val="single" w:sz="4" w:space="0" w:color="auto"/>
            </w:tcBorders>
          </w:tcPr>
          <w:p w14:paraId="0F648DE3" w14:textId="35DE4BB7" w:rsidR="00183A1F" w:rsidRDefault="00EC65C3" w:rsidP="00183A1F">
            <w:pPr>
              <w:pStyle w:val="ARtabletextright"/>
            </w:pPr>
            <w:r>
              <w:t>−</w:t>
            </w:r>
            <w:r w:rsidR="00183A1F">
              <w:t>1</w:t>
            </w:r>
          </w:p>
        </w:tc>
        <w:tc>
          <w:tcPr>
            <w:tcW w:w="851" w:type="dxa"/>
          </w:tcPr>
          <w:p w14:paraId="1FA3E494" w14:textId="77777777" w:rsidR="00183A1F" w:rsidRDefault="00183A1F" w:rsidP="00183A1F">
            <w:pPr>
              <w:pStyle w:val="ARtabletextright"/>
            </w:pPr>
            <w:r>
              <w:t>2</w:t>
            </w:r>
          </w:p>
        </w:tc>
        <w:tc>
          <w:tcPr>
            <w:tcW w:w="1021" w:type="dxa"/>
          </w:tcPr>
          <w:p w14:paraId="6D84D48F" w14:textId="77777777" w:rsidR="00183A1F" w:rsidRDefault="00183A1F" w:rsidP="00183A1F">
            <w:pPr>
              <w:pStyle w:val="ARtabletextright"/>
            </w:pPr>
            <w:r>
              <w:t>0</w:t>
            </w:r>
          </w:p>
        </w:tc>
        <w:tc>
          <w:tcPr>
            <w:tcW w:w="851" w:type="dxa"/>
          </w:tcPr>
          <w:p w14:paraId="1BDB6724" w14:textId="77777777" w:rsidR="00183A1F" w:rsidRDefault="00183A1F" w:rsidP="008D2D99">
            <w:pPr>
              <w:pStyle w:val="ARtabletextrightbold"/>
            </w:pPr>
            <w:r>
              <w:t>1</w:t>
            </w:r>
          </w:p>
        </w:tc>
      </w:tr>
      <w:tr w:rsidR="00183A1F" w14:paraId="0203B4E2" w14:textId="77777777" w:rsidTr="008D2D99">
        <w:trPr>
          <w:cantSplit w:val="0"/>
          <w:trHeight w:val="290"/>
        </w:trPr>
        <w:tc>
          <w:tcPr>
            <w:tcW w:w="3289" w:type="dxa"/>
          </w:tcPr>
          <w:p w14:paraId="54122A91" w14:textId="77777777" w:rsidR="00183A1F" w:rsidRDefault="00183A1F" w:rsidP="00183A1F">
            <w:pPr>
              <w:pStyle w:val="ARtabletext"/>
            </w:pPr>
            <w:r>
              <w:t>Austin Health</w:t>
            </w:r>
          </w:p>
        </w:tc>
        <w:tc>
          <w:tcPr>
            <w:tcW w:w="851" w:type="dxa"/>
          </w:tcPr>
          <w:p w14:paraId="57F7E08E" w14:textId="77777777" w:rsidR="00183A1F" w:rsidRDefault="00183A1F" w:rsidP="00183A1F">
            <w:pPr>
              <w:pStyle w:val="ARtabletextright"/>
            </w:pPr>
            <w:r>
              <w:t>2</w:t>
            </w:r>
          </w:p>
        </w:tc>
        <w:tc>
          <w:tcPr>
            <w:tcW w:w="851" w:type="dxa"/>
          </w:tcPr>
          <w:p w14:paraId="5B6E864B" w14:textId="77777777" w:rsidR="00183A1F" w:rsidRDefault="00183A1F" w:rsidP="00183A1F">
            <w:pPr>
              <w:pStyle w:val="ARtabletextright"/>
            </w:pPr>
            <w:r>
              <w:t>5</w:t>
            </w:r>
          </w:p>
        </w:tc>
        <w:tc>
          <w:tcPr>
            <w:tcW w:w="1021" w:type="dxa"/>
            <w:tcBorders>
              <w:top w:val="single" w:sz="4" w:space="0" w:color="auto"/>
            </w:tcBorders>
          </w:tcPr>
          <w:p w14:paraId="3A22DBDD"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66598759" w14:textId="77777777" w:rsidR="00183A1F" w:rsidRDefault="00183A1F" w:rsidP="008D2D99">
            <w:pPr>
              <w:pStyle w:val="ARtabletextrightbold"/>
            </w:pPr>
            <w:r>
              <w:t>7</w:t>
            </w:r>
          </w:p>
        </w:tc>
        <w:tc>
          <w:tcPr>
            <w:tcW w:w="851" w:type="dxa"/>
            <w:tcBorders>
              <w:left w:val="single" w:sz="4" w:space="0" w:color="auto"/>
            </w:tcBorders>
          </w:tcPr>
          <w:p w14:paraId="13AA47E9" w14:textId="77777777" w:rsidR="00183A1F" w:rsidRDefault="00183A1F" w:rsidP="00183A1F">
            <w:pPr>
              <w:pStyle w:val="ARtabletextright"/>
            </w:pPr>
            <w:r>
              <w:t>3</w:t>
            </w:r>
          </w:p>
        </w:tc>
        <w:tc>
          <w:tcPr>
            <w:tcW w:w="851" w:type="dxa"/>
          </w:tcPr>
          <w:p w14:paraId="069582AD" w14:textId="77777777" w:rsidR="00183A1F" w:rsidRDefault="00183A1F" w:rsidP="00183A1F">
            <w:pPr>
              <w:pStyle w:val="ARtabletextright"/>
            </w:pPr>
            <w:r>
              <w:t>4</w:t>
            </w:r>
          </w:p>
        </w:tc>
        <w:tc>
          <w:tcPr>
            <w:tcW w:w="1021" w:type="dxa"/>
            <w:tcBorders>
              <w:top w:val="single" w:sz="4" w:space="0" w:color="auto"/>
            </w:tcBorders>
          </w:tcPr>
          <w:p w14:paraId="30C2CFD6"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3CAC05EE" w14:textId="77777777" w:rsidR="00183A1F" w:rsidRDefault="00183A1F" w:rsidP="008D2D99">
            <w:pPr>
              <w:pStyle w:val="ARtabletextrightbold"/>
            </w:pPr>
            <w:r>
              <w:t>7</w:t>
            </w:r>
          </w:p>
        </w:tc>
        <w:tc>
          <w:tcPr>
            <w:tcW w:w="851" w:type="dxa"/>
            <w:tcBorders>
              <w:left w:val="single" w:sz="4" w:space="0" w:color="auto"/>
            </w:tcBorders>
          </w:tcPr>
          <w:p w14:paraId="2E6C565A" w14:textId="4CC21D9B" w:rsidR="00183A1F" w:rsidRDefault="00EC65C3" w:rsidP="00183A1F">
            <w:pPr>
              <w:pStyle w:val="ARtabletextright"/>
            </w:pPr>
            <w:r>
              <w:t>−</w:t>
            </w:r>
            <w:r w:rsidR="00183A1F">
              <w:t>1</w:t>
            </w:r>
          </w:p>
        </w:tc>
        <w:tc>
          <w:tcPr>
            <w:tcW w:w="851" w:type="dxa"/>
          </w:tcPr>
          <w:p w14:paraId="0D397AD6" w14:textId="77777777" w:rsidR="00183A1F" w:rsidRDefault="00183A1F" w:rsidP="00183A1F">
            <w:pPr>
              <w:pStyle w:val="ARtabletextright"/>
            </w:pPr>
            <w:r>
              <w:t>1</w:t>
            </w:r>
          </w:p>
        </w:tc>
        <w:tc>
          <w:tcPr>
            <w:tcW w:w="1021" w:type="dxa"/>
          </w:tcPr>
          <w:p w14:paraId="712A29CC" w14:textId="77777777" w:rsidR="00183A1F" w:rsidRDefault="00183A1F" w:rsidP="00183A1F">
            <w:pPr>
              <w:pStyle w:val="ARtabletextright"/>
            </w:pPr>
            <w:r>
              <w:t>0</w:t>
            </w:r>
          </w:p>
        </w:tc>
        <w:tc>
          <w:tcPr>
            <w:tcW w:w="851" w:type="dxa"/>
          </w:tcPr>
          <w:p w14:paraId="799270F1" w14:textId="77777777" w:rsidR="00183A1F" w:rsidRDefault="00183A1F" w:rsidP="008D2D99">
            <w:pPr>
              <w:pStyle w:val="ARtabletextrightbold"/>
            </w:pPr>
            <w:r>
              <w:t>0</w:t>
            </w:r>
          </w:p>
        </w:tc>
      </w:tr>
      <w:tr w:rsidR="00183A1F" w14:paraId="58D1DA39" w14:textId="77777777" w:rsidTr="008D2D99">
        <w:trPr>
          <w:cantSplit w:val="0"/>
          <w:trHeight w:val="290"/>
        </w:trPr>
        <w:tc>
          <w:tcPr>
            <w:tcW w:w="3289" w:type="dxa"/>
          </w:tcPr>
          <w:p w14:paraId="633EE1CB" w14:textId="77777777" w:rsidR="00183A1F" w:rsidRDefault="00183A1F" w:rsidP="00183A1F">
            <w:pPr>
              <w:pStyle w:val="ARtabletext"/>
            </w:pPr>
            <w:r>
              <w:t>Bairnsdale Regional Health Service</w:t>
            </w:r>
          </w:p>
        </w:tc>
        <w:tc>
          <w:tcPr>
            <w:tcW w:w="851" w:type="dxa"/>
          </w:tcPr>
          <w:p w14:paraId="7E692294" w14:textId="77777777" w:rsidR="00183A1F" w:rsidRDefault="00183A1F" w:rsidP="00183A1F">
            <w:pPr>
              <w:pStyle w:val="ARtabletextright"/>
            </w:pPr>
            <w:r>
              <w:t>2</w:t>
            </w:r>
          </w:p>
        </w:tc>
        <w:tc>
          <w:tcPr>
            <w:tcW w:w="851" w:type="dxa"/>
          </w:tcPr>
          <w:p w14:paraId="226085F2" w14:textId="77777777" w:rsidR="00183A1F" w:rsidRDefault="00183A1F" w:rsidP="00183A1F">
            <w:pPr>
              <w:pStyle w:val="ARtabletextright"/>
            </w:pPr>
            <w:r>
              <w:t>1</w:t>
            </w:r>
          </w:p>
        </w:tc>
        <w:tc>
          <w:tcPr>
            <w:tcW w:w="1021" w:type="dxa"/>
            <w:tcBorders>
              <w:top w:val="single" w:sz="4" w:space="0" w:color="auto"/>
            </w:tcBorders>
          </w:tcPr>
          <w:p w14:paraId="6BFF6A41"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409C3B8C" w14:textId="77777777" w:rsidR="00183A1F" w:rsidRDefault="00183A1F" w:rsidP="008D2D99">
            <w:pPr>
              <w:pStyle w:val="ARtabletextrightbold"/>
            </w:pPr>
            <w:r>
              <w:t>3</w:t>
            </w:r>
          </w:p>
        </w:tc>
        <w:tc>
          <w:tcPr>
            <w:tcW w:w="851" w:type="dxa"/>
            <w:tcBorders>
              <w:left w:val="single" w:sz="4" w:space="0" w:color="auto"/>
            </w:tcBorders>
          </w:tcPr>
          <w:p w14:paraId="44A52E1E" w14:textId="77777777" w:rsidR="00183A1F" w:rsidRDefault="00183A1F" w:rsidP="00183A1F">
            <w:pPr>
              <w:pStyle w:val="ARtabletextright"/>
            </w:pPr>
            <w:r>
              <w:t>2</w:t>
            </w:r>
          </w:p>
        </w:tc>
        <w:tc>
          <w:tcPr>
            <w:tcW w:w="851" w:type="dxa"/>
          </w:tcPr>
          <w:p w14:paraId="0FE720F3" w14:textId="77777777" w:rsidR="00183A1F" w:rsidRDefault="00183A1F" w:rsidP="00183A1F">
            <w:pPr>
              <w:pStyle w:val="ARtabletextright"/>
            </w:pPr>
            <w:r>
              <w:t>1</w:t>
            </w:r>
          </w:p>
        </w:tc>
        <w:tc>
          <w:tcPr>
            <w:tcW w:w="1021" w:type="dxa"/>
            <w:tcBorders>
              <w:top w:val="single" w:sz="4" w:space="0" w:color="auto"/>
            </w:tcBorders>
          </w:tcPr>
          <w:p w14:paraId="30E7BAE8"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44FA2BB3" w14:textId="77777777" w:rsidR="00183A1F" w:rsidRDefault="00183A1F" w:rsidP="008D2D99">
            <w:pPr>
              <w:pStyle w:val="ARtabletextrightbold"/>
            </w:pPr>
            <w:r>
              <w:t>3</w:t>
            </w:r>
          </w:p>
        </w:tc>
        <w:tc>
          <w:tcPr>
            <w:tcW w:w="851" w:type="dxa"/>
            <w:tcBorders>
              <w:left w:val="single" w:sz="4" w:space="0" w:color="auto"/>
            </w:tcBorders>
          </w:tcPr>
          <w:p w14:paraId="4C6B4E90" w14:textId="77777777" w:rsidR="00183A1F" w:rsidRDefault="00183A1F" w:rsidP="00183A1F">
            <w:pPr>
              <w:pStyle w:val="ARtabletextright"/>
            </w:pPr>
            <w:r>
              <w:t>0</w:t>
            </w:r>
          </w:p>
        </w:tc>
        <w:tc>
          <w:tcPr>
            <w:tcW w:w="851" w:type="dxa"/>
          </w:tcPr>
          <w:p w14:paraId="4BB1D0AA" w14:textId="77777777" w:rsidR="00183A1F" w:rsidRDefault="00183A1F" w:rsidP="00183A1F">
            <w:pPr>
              <w:pStyle w:val="ARtabletextright"/>
            </w:pPr>
            <w:r>
              <w:t>0</w:t>
            </w:r>
          </w:p>
        </w:tc>
        <w:tc>
          <w:tcPr>
            <w:tcW w:w="1021" w:type="dxa"/>
          </w:tcPr>
          <w:p w14:paraId="7F9EE83D" w14:textId="77777777" w:rsidR="00183A1F" w:rsidRDefault="00183A1F" w:rsidP="00183A1F">
            <w:pPr>
              <w:pStyle w:val="ARtabletextright"/>
            </w:pPr>
            <w:r>
              <w:t>0</w:t>
            </w:r>
          </w:p>
        </w:tc>
        <w:tc>
          <w:tcPr>
            <w:tcW w:w="851" w:type="dxa"/>
          </w:tcPr>
          <w:p w14:paraId="0E406E3D" w14:textId="77777777" w:rsidR="00183A1F" w:rsidRDefault="00183A1F" w:rsidP="008D2D99">
            <w:pPr>
              <w:pStyle w:val="ARtabletextrightbold"/>
            </w:pPr>
            <w:r>
              <w:t>0</w:t>
            </w:r>
          </w:p>
        </w:tc>
      </w:tr>
      <w:tr w:rsidR="00183A1F" w14:paraId="6431297A" w14:textId="77777777" w:rsidTr="008D2D99">
        <w:trPr>
          <w:cantSplit w:val="0"/>
          <w:trHeight w:val="290"/>
        </w:trPr>
        <w:tc>
          <w:tcPr>
            <w:tcW w:w="3289" w:type="dxa"/>
          </w:tcPr>
          <w:p w14:paraId="05ADA22A" w14:textId="77777777" w:rsidR="00183A1F" w:rsidRDefault="00183A1F" w:rsidP="00183A1F">
            <w:pPr>
              <w:pStyle w:val="ARtabletext"/>
            </w:pPr>
            <w:r>
              <w:t>Ballarat General Cemeteries Trust</w:t>
            </w:r>
          </w:p>
        </w:tc>
        <w:tc>
          <w:tcPr>
            <w:tcW w:w="851" w:type="dxa"/>
          </w:tcPr>
          <w:p w14:paraId="7132D67C" w14:textId="77777777" w:rsidR="00183A1F" w:rsidRDefault="00183A1F" w:rsidP="00183A1F">
            <w:pPr>
              <w:pStyle w:val="ARtabletextright"/>
            </w:pPr>
            <w:r>
              <w:t>1</w:t>
            </w:r>
          </w:p>
        </w:tc>
        <w:tc>
          <w:tcPr>
            <w:tcW w:w="851" w:type="dxa"/>
          </w:tcPr>
          <w:p w14:paraId="465B39D9" w14:textId="77777777" w:rsidR="00183A1F" w:rsidRDefault="00183A1F" w:rsidP="00183A1F">
            <w:pPr>
              <w:pStyle w:val="ARtabletextright"/>
            </w:pPr>
            <w:r>
              <w:t>0</w:t>
            </w:r>
          </w:p>
        </w:tc>
        <w:tc>
          <w:tcPr>
            <w:tcW w:w="1021" w:type="dxa"/>
            <w:tcBorders>
              <w:top w:val="single" w:sz="4" w:space="0" w:color="auto"/>
            </w:tcBorders>
          </w:tcPr>
          <w:p w14:paraId="34C71BC4"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5580F130" w14:textId="77777777" w:rsidR="00183A1F" w:rsidRDefault="00183A1F" w:rsidP="008D2D99">
            <w:pPr>
              <w:pStyle w:val="ARtabletextrightbold"/>
            </w:pPr>
            <w:r>
              <w:t>1</w:t>
            </w:r>
          </w:p>
        </w:tc>
        <w:tc>
          <w:tcPr>
            <w:tcW w:w="851" w:type="dxa"/>
            <w:tcBorders>
              <w:left w:val="single" w:sz="4" w:space="0" w:color="auto"/>
            </w:tcBorders>
          </w:tcPr>
          <w:p w14:paraId="4EB1A71D" w14:textId="77777777" w:rsidR="00183A1F" w:rsidRDefault="00183A1F" w:rsidP="00183A1F">
            <w:pPr>
              <w:pStyle w:val="ARtabletextright"/>
            </w:pPr>
            <w:r>
              <w:t>1</w:t>
            </w:r>
          </w:p>
        </w:tc>
        <w:tc>
          <w:tcPr>
            <w:tcW w:w="851" w:type="dxa"/>
          </w:tcPr>
          <w:p w14:paraId="1064D3DD" w14:textId="77777777" w:rsidR="00183A1F" w:rsidRDefault="00183A1F" w:rsidP="00183A1F">
            <w:pPr>
              <w:pStyle w:val="ARtabletextright"/>
            </w:pPr>
            <w:r>
              <w:t>0</w:t>
            </w:r>
          </w:p>
        </w:tc>
        <w:tc>
          <w:tcPr>
            <w:tcW w:w="1021" w:type="dxa"/>
            <w:tcBorders>
              <w:top w:val="single" w:sz="4" w:space="0" w:color="auto"/>
            </w:tcBorders>
          </w:tcPr>
          <w:p w14:paraId="07206DFA"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0227B524" w14:textId="77777777" w:rsidR="00183A1F" w:rsidRDefault="00183A1F" w:rsidP="008D2D99">
            <w:pPr>
              <w:pStyle w:val="ARtabletextrightbold"/>
            </w:pPr>
            <w:r>
              <w:t>1</w:t>
            </w:r>
          </w:p>
        </w:tc>
        <w:tc>
          <w:tcPr>
            <w:tcW w:w="851" w:type="dxa"/>
            <w:tcBorders>
              <w:left w:val="single" w:sz="4" w:space="0" w:color="auto"/>
            </w:tcBorders>
          </w:tcPr>
          <w:p w14:paraId="485CC4B9" w14:textId="77777777" w:rsidR="00183A1F" w:rsidRDefault="00183A1F" w:rsidP="00183A1F">
            <w:pPr>
              <w:pStyle w:val="ARtabletextright"/>
            </w:pPr>
            <w:r>
              <w:t>0</w:t>
            </w:r>
          </w:p>
        </w:tc>
        <w:tc>
          <w:tcPr>
            <w:tcW w:w="851" w:type="dxa"/>
          </w:tcPr>
          <w:p w14:paraId="29F3D237" w14:textId="77777777" w:rsidR="00183A1F" w:rsidRDefault="00183A1F" w:rsidP="00183A1F">
            <w:pPr>
              <w:pStyle w:val="ARtabletextright"/>
            </w:pPr>
            <w:r>
              <w:t>0</w:t>
            </w:r>
          </w:p>
        </w:tc>
        <w:tc>
          <w:tcPr>
            <w:tcW w:w="1021" w:type="dxa"/>
          </w:tcPr>
          <w:p w14:paraId="09D44CC5" w14:textId="77777777" w:rsidR="00183A1F" w:rsidRDefault="00183A1F" w:rsidP="00183A1F">
            <w:pPr>
              <w:pStyle w:val="ARtabletextright"/>
            </w:pPr>
            <w:r>
              <w:t>0</w:t>
            </w:r>
          </w:p>
        </w:tc>
        <w:tc>
          <w:tcPr>
            <w:tcW w:w="851" w:type="dxa"/>
          </w:tcPr>
          <w:p w14:paraId="3091CB4E" w14:textId="77777777" w:rsidR="00183A1F" w:rsidRDefault="00183A1F" w:rsidP="008D2D99">
            <w:pPr>
              <w:pStyle w:val="ARtabletextrightbold"/>
            </w:pPr>
            <w:r>
              <w:t>0</w:t>
            </w:r>
          </w:p>
        </w:tc>
      </w:tr>
      <w:tr w:rsidR="00183A1F" w14:paraId="121B4DD1" w14:textId="77777777" w:rsidTr="008D2D99">
        <w:trPr>
          <w:cantSplit w:val="0"/>
          <w:trHeight w:val="290"/>
        </w:trPr>
        <w:tc>
          <w:tcPr>
            <w:tcW w:w="3289" w:type="dxa"/>
          </w:tcPr>
          <w:p w14:paraId="4D112BB9" w14:textId="77777777" w:rsidR="00183A1F" w:rsidRDefault="00183A1F" w:rsidP="00183A1F">
            <w:pPr>
              <w:pStyle w:val="ARtabletext"/>
            </w:pPr>
            <w:r>
              <w:t>Ballarat Health Services</w:t>
            </w:r>
          </w:p>
        </w:tc>
        <w:tc>
          <w:tcPr>
            <w:tcW w:w="851" w:type="dxa"/>
          </w:tcPr>
          <w:p w14:paraId="26C74275" w14:textId="77777777" w:rsidR="00183A1F" w:rsidRDefault="00183A1F" w:rsidP="00183A1F">
            <w:pPr>
              <w:pStyle w:val="ARtabletextright"/>
            </w:pPr>
            <w:r>
              <w:t>4</w:t>
            </w:r>
          </w:p>
        </w:tc>
        <w:tc>
          <w:tcPr>
            <w:tcW w:w="851" w:type="dxa"/>
          </w:tcPr>
          <w:p w14:paraId="454D4BB5" w14:textId="77777777" w:rsidR="00183A1F" w:rsidRDefault="00183A1F" w:rsidP="00183A1F">
            <w:pPr>
              <w:pStyle w:val="ARtabletextright"/>
            </w:pPr>
            <w:r>
              <w:t>4</w:t>
            </w:r>
          </w:p>
        </w:tc>
        <w:tc>
          <w:tcPr>
            <w:tcW w:w="1021" w:type="dxa"/>
            <w:tcBorders>
              <w:top w:val="single" w:sz="4" w:space="0" w:color="auto"/>
            </w:tcBorders>
          </w:tcPr>
          <w:p w14:paraId="415E4A5A"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5957323D" w14:textId="77777777" w:rsidR="00183A1F" w:rsidRDefault="00183A1F" w:rsidP="008D2D99">
            <w:pPr>
              <w:pStyle w:val="ARtabletextrightbold"/>
            </w:pPr>
            <w:r>
              <w:t>8</w:t>
            </w:r>
          </w:p>
        </w:tc>
        <w:tc>
          <w:tcPr>
            <w:tcW w:w="851" w:type="dxa"/>
            <w:tcBorders>
              <w:left w:val="single" w:sz="4" w:space="0" w:color="auto"/>
            </w:tcBorders>
          </w:tcPr>
          <w:p w14:paraId="012F3C4F" w14:textId="77777777" w:rsidR="00183A1F" w:rsidRDefault="00183A1F" w:rsidP="00183A1F">
            <w:pPr>
              <w:pStyle w:val="ARtabletextright"/>
            </w:pPr>
            <w:r>
              <w:t>5</w:t>
            </w:r>
          </w:p>
        </w:tc>
        <w:tc>
          <w:tcPr>
            <w:tcW w:w="851" w:type="dxa"/>
          </w:tcPr>
          <w:p w14:paraId="0C2956A1" w14:textId="77777777" w:rsidR="00183A1F" w:rsidRDefault="00183A1F" w:rsidP="00183A1F">
            <w:pPr>
              <w:pStyle w:val="ARtabletextright"/>
            </w:pPr>
            <w:r>
              <w:t>4</w:t>
            </w:r>
          </w:p>
        </w:tc>
        <w:tc>
          <w:tcPr>
            <w:tcW w:w="1021" w:type="dxa"/>
            <w:tcBorders>
              <w:top w:val="single" w:sz="4" w:space="0" w:color="auto"/>
            </w:tcBorders>
          </w:tcPr>
          <w:p w14:paraId="28ED0D3F"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2921F60E" w14:textId="77777777" w:rsidR="00183A1F" w:rsidRDefault="00183A1F" w:rsidP="008D2D99">
            <w:pPr>
              <w:pStyle w:val="ARtabletextrightbold"/>
            </w:pPr>
            <w:r>
              <w:t>9</w:t>
            </w:r>
          </w:p>
        </w:tc>
        <w:tc>
          <w:tcPr>
            <w:tcW w:w="851" w:type="dxa"/>
            <w:tcBorders>
              <w:left w:val="single" w:sz="4" w:space="0" w:color="auto"/>
            </w:tcBorders>
          </w:tcPr>
          <w:p w14:paraId="16E92FD9" w14:textId="07DDD927" w:rsidR="00183A1F" w:rsidRDefault="00EC65C3" w:rsidP="00183A1F">
            <w:pPr>
              <w:pStyle w:val="ARtabletextright"/>
            </w:pPr>
            <w:r>
              <w:t>−</w:t>
            </w:r>
            <w:r w:rsidR="00183A1F">
              <w:t>1</w:t>
            </w:r>
          </w:p>
        </w:tc>
        <w:tc>
          <w:tcPr>
            <w:tcW w:w="851" w:type="dxa"/>
          </w:tcPr>
          <w:p w14:paraId="0ADD4EDF" w14:textId="77777777" w:rsidR="00183A1F" w:rsidRDefault="00183A1F" w:rsidP="00183A1F">
            <w:pPr>
              <w:pStyle w:val="ARtabletextright"/>
            </w:pPr>
            <w:r>
              <w:t>0</w:t>
            </w:r>
          </w:p>
        </w:tc>
        <w:tc>
          <w:tcPr>
            <w:tcW w:w="1021" w:type="dxa"/>
          </w:tcPr>
          <w:p w14:paraId="6727713A" w14:textId="77777777" w:rsidR="00183A1F" w:rsidRDefault="00183A1F" w:rsidP="00183A1F">
            <w:pPr>
              <w:pStyle w:val="ARtabletextright"/>
            </w:pPr>
            <w:r>
              <w:t>0</w:t>
            </w:r>
          </w:p>
        </w:tc>
        <w:tc>
          <w:tcPr>
            <w:tcW w:w="851" w:type="dxa"/>
          </w:tcPr>
          <w:p w14:paraId="6F2FA6B5" w14:textId="11DF4979" w:rsidR="00183A1F" w:rsidRDefault="00EC65C3" w:rsidP="008D2D99">
            <w:pPr>
              <w:pStyle w:val="ARtabletextrightbold"/>
            </w:pPr>
            <w:r>
              <w:t>−</w:t>
            </w:r>
            <w:r w:rsidR="00183A1F">
              <w:t>1</w:t>
            </w:r>
          </w:p>
        </w:tc>
      </w:tr>
      <w:tr w:rsidR="00183A1F" w14:paraId="41EA570E" w14:textId="77777777" w:rsidTr="008D2D99">
        <w:trPr>
          <w:cantSplit w:val="0"/>
          <w:trHeight w:val="290"/>
        </w:trPr>
        <w:tc>
          <w:tcPr>
            <w:tcW w:w="3289" w:type="dxa"/>
          </w:tcPr>
          <w:p w14:paraId="3C84F94F" w14:textId="77777777" w:rsidR="00183A1F" w:rsidRDefault="00183A1F" w:rsidP="00183A1F">
            <w:pPr>
              <w:pStyle w:val="ARtabletext"/>
            </w:pPr>
            <w:r>
              <w:t>Barwon Health</w:t>
            </w:r>
          </w:p>
        </w:tc>
        <w:tc>
          <w:tcPr>
            <w:tcW w:w="851" w:type="dxa"/>
          </w:tcPr>
          <w:p w14:paraId="545D0FE2" w14:textId="77777777" w:rsidR="00183A1F" w:rsidRDefault="00183A1F" w:rsidP="00183A1F">
            <w:pPr>
              <w:pStyle w:val="ARtabletextright"/>
            </w:pPr>
            <w:r>
              <w:t>5</w:t>
            </w:r>
          </w:p>
        </w:tc>
        <w:tc>
          <w:tcPr>
            <w:tcW w:w="851" w:type="dxa"/>
          </w:tcPr>
          <w:p w14:paraId="1137362F" w14:textId="77777777" w:rsidR="00183A1F" w:rsidRDefault="00183A1F" w:rsidP="00183A1F">
            <w:pPr>
              <w:pStyle w:val="ARtabletextright"/>
            </w:pPr>
            <w:r>
              <w:t>3</w:t>
            </w:r>
          </w:p>
        </w:tc>
        <w:tc>
          <w:tcPr>
            <w:tcW w:w="1021" w:type="dxa"/>
            <w:tcBorders>
              <w:top w:val="single" w:sz="4" w:space="0" w:color="auto"/>
            </w:tcBorders>
          </w:tcPr>
          <w:p w14:paraId="0E265DD4"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70EA3CB1" w14:textId="77777777" w:rsidR="00183A1F" w:rsidRDefault="00183A1F" w:rsidP="008D2D99">
            <w:pPr>
              <w:pStyle w:val="ARtabletextrightbold"/>
            </w:pPr>
            <w:r>
              <w:t>8</w:t>
            </w:r>
          </w:p>
        </w:tc>
        <w:tc>
          <w:tcPr>
            <w:tcW w:w="851" w:type="dxa"/>
            <w:tcBorders>
              <w:left w:val="single" w:sz="4" w:space="0" w:color="auto"/>
            </w:tcBorders>
          </w:tcPr>
          <w:p w14:paraId="652758B8" w14:textId="77777777" w:rsidR="00183A1F" w:rsidRDefault="00183A1F" w:rsidP="00183A1F">
            <w:pPr>
              <w:pStyle w:val="ARtabletextright"/>
            </w:pPr>
            <w:r>
              <w:t>6</w:t>
            </w:r>
          </w:p>
        </w:tc>
        <w:tc>
          <w:tcPr>
            <w:tcW w:w="851" w:type="dxa"/>
          </w:tcPr>
          <w:p w14:paraId="318385F4" w14:textId="77777777" w:rsidR="00183A1F" w:rsidRDefault="00183A1F" w:rsidP="00183A1F">
            <w:pPr>
              <w:pStyle w:val="ARtabletextright"/>
            </w:pPr>
            <w:r>
              <w:t>3</w:t>
            </w:r>
          </w:p>
        </w:tc>
        <w:tc>
          <w:tcPr>
            <w:tcW w:w="1021" w:type="dxa"/>
            <w:tcBorders>
              <w:top w:val="single" w:sz="4" w:space="0" w:color="auto"/>
            </w:tcBorders>
          </w:tcPr>
          <w:p w14:paraId="1DB6A5D4"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030474BC" w14:textId="77777777" w:rsidR="00183A1F" w:rsidRDefault="00183A1F" w:rsidP="008D2D99">
            <w:pPr>
              <w:pStyle w:val="ARtabletextrightbold"/>
            </w:pPr>
            <w:r>
              <w:t>9</w:t>
            </w:r>
          </w:p>
        </w:tc>
        <w:tc>
          <w:tcPr>
            <w:tcW w:w="851" w:type="dxa"/>
            <w:tcBorders>
              <w:left w:val="single" w:sz="4" w:space="0" w:color="auto"/>
            </w:tcBorders>
          </w:tcPr>
          <w:p w14:paraId="5CFF050C" w14:textId="64C1BC5A" w:rsidR="00183A1F" w:rsidRDefault="00EC65C3" w:rsidP="00183A1F">
            <w:pPr>
              <w:pStyle w:val="ARtabletextright"/>
            </w:pPr>
            <w:r>
              <w:t>−</w:t>
            </w:r>
            <w:r w:rsidR="00183A1F">
              <w:t>1</w:t>
            </w:r>
          </w:p>
        </w:tc>
        <w:tc>
          <w:tcPr>
            <w:tcW w:w="851" w:type="dxa"/>
          </w:tcPr>
          <w:p w14:paraId="3E717268" w14:textId="77777777" w:rsidR="00183A1F" w:rsidRDefault="00183A1F" w:rsidP="00183A1F">
            <w:pPr>
              <w:pStyle w:val="ARtabletextright"/>
            </w:pPr>
            <w:r>
              <w:t>0</w:t>
            </w:r>
          </w:p>
        </w:tc>
        <w:tc>
          <w:tcPr>
            <w:tcW w:w="1021" w:type="dxa"/>
          </w:tcPr>
          <w:p w14:paraId="213ED07B" w14:textId="77777777" w:rsidR="00183A1F" w:rsidRDefault="00183A1F" w:rsidP="00183A1F">
            <w:pPr>
              <w:pStyle w:val="ARtabletextright"/>
            </w:pPr>
            <w:r>
              <w:t>0</w:t>
            </w:r>
          </w:p>
        </w:tc>
        <w:tc>
          <w:tcPr>
            <w:tcW w:w="851" w:type="dxa"/>
          </w:tcPr>
          <w:p w14:paraId="01D0CA37" w14:textId="46A9990F" w:rsidR="00183A1F" w:rsidRDefault="00EC65C3" w:rsidP="008D2D99">
            <w:pPr>
              <w:pStyle w:val="ARtabletextrightbold"/>
            </w:pPr>
            <w:r>
              <w:t>−</w:t>
            </w:r>
            <w:r w:rsidR="00183A1F">
              <w:t>1</w:t>
            </w:r>
          </w:p>
        </w:tc>
      </w:tr>
      <w:tr w:rsidR="00183A1F" w14:paraId="33E40C02" w14:textId="77777777" w:rsidTr="008D2D99">
        <w:trPr>
          <w:cantSplit w:val="0"/>
          <w:trHeight w:val="290"/>
        </w:trPr>
        <w:tc>
          <w:tcPr>
            <w:tcW w:w="3289" w:type="dxa"/>
          </w:tcPr>
          <w:p w14:paraId="561A7AF8" w14:textId="77777777" w:rsidR="00183A1F" w:rsidRDefault="00183A1F" w:rsidP="00183A1F">
            <w:pPr>
              <w:pStyle w:val="ARtabletext"/>
            </w:pPr>
            <w:r>
              <w:t>Bass Coast Health</w:t>
            </w:r>
          </w:p>
        </w:tc>
        <w:tc>
          <w:tcPr>
            <w:tcW w:w="851" w:type="dxa"/>
          </w:tcPr>
          <w:p w14:paraId="50EC667E" w14:textId="77777777" w:rsidR="00183A1F" w:rsidRDefault="00183A1F" w:rsidP="00183A1F">
            <w:pPr>
              <w:pStyle w:val="ARtabletextright"/>
            </w:pPr>
            <w:r>
              <w:t>2</w:t>
            </w:r>
          </w:p>
        </w:tc>
        <w:tc>
          <w:tcPr>
            <w:tcW w:w="851" w:type="dxa"/>
          </w:tcPr>
          <w:p w14:paraId="1824C6EB" w14:textId="77777777" w:rsidR="00183A1F" w:rsidRDefault="00183A1F" w:rsidP="00183A1F">
            <w:pPr>
              <w:pStyle w:val="ARtabletextright"/>
            </w:pPr>
            <w:r>
              <w:t>0</w:t>
            </w:r>
          </w:p>
        </w:tc>
        <w:tc>
          <w:tcPr>
            <w:tcW w:w="1021" w:type="dxa"/>
            <w:tcBorders>
              <w:top w:val="single" w:sz="4" w:space="0" w:color="auto"/>
            </w:tcBorders>
          </w:tcPr>
          <w:p w14:paraId="55EFE25D"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6ECBDE14" w14:textId="77777777" w:rsidR="00183A1F" w:rsidRDefault="00183A1F" w:rsidP="008D2D99">
            <w:pPr>
              <w:pStyle w:val="ARtabletextrightbold"/>
            </w:pPr>
            <w:r>
              <w:t>2</w:t>
            </w:r>
          </w:p>
        </w:tc>
        <w:tc>
          <w:tcPr>
            <w:tcW w:w="851" w:type="dxa"/>
            <w:tcBorders>
              <w:left w:val="single" w:sz="4" w:space="0" w:color="auto"/>
            </w:tcBorders>
          </w:tcPr>
          <w:p w14:paraId="1E138C5F" w14:textId="77777777" w:rsidR="00183A1F" w:rsidRDefault="00183A1F" w:rsidP="00183A1F">
            <w:pPr>
              <w:pStyle w:val="ARtabletextright"/>
            </w:pPr>
            <w:r>
              <w:t>3</w:t>
            </w:r>
          </w:p>
        </w:tc>
        <w:tc>
          <w:tcPr>
            <w:tcW w:w="851" w:type="dxa"/>
          </w:tcPr>
          <w:p w14:paraId="6EFCC996" w14:textId="77777777" w:rsidR="00183A1F" w:rsidRDefault="00183A1F" w:rsidP="00183A1F">
            <w:pPr>
              <w:pStyle w:val="ARtabletextright"/>
            </w:pPr>
            <w:r>
              <w:t>2</w:t>
            </w:r>
          </w:p>
        </w:tc>
        <w:tc>
          <w:tcPr>
            <w:tcW w:w="1021" w:type="dxa"/>
            <w:tcBorders>
              <w:top w:val="single" w:sz="4" w:space="0" w:color="auto"/>
            </w:tcBorders>
          </w:tcPr>
          <w:p w14:paraId="72CE7EB8"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76E0432A" w14:textId="77777777" w:rsidR="00183A1F" w:rsidRDefault="00183A1F" w:rsidP="008D2D99">
            <w:pPr>
              <w:pStyle w:val="ARtabletextrightbold"/>
            </w:pPr>
            <w:r>
              <w:t>5</w:t>
            </w:r>
          </w:p>
        </w:tc>
        <w:tc>
          <w:tcPr>
            <w:tcW w:w="851" w:type="dxa"/>
            <w:tcBorders>
              <w:left w:val="single" w:sz="4" w:space="0" w:color="auto"/>
            </w:tcBorders>
          </w:tcPr>
          <w:p w14:paraId="147D98DF" w14:textId="05DB1963" w:rsidR="00183A1F" w:rsidRDefault="00EC65C3" w:rsidP="00183A1F">
            <w:pPr>
              <w:pStyle w:val="ARtabletextright"/>
            </w:pPr>
            <w:r>
              <w:t>−</w:t>
            </w:r>
            <w:r w:rsidR="00183A1F">
              <w:t>1</w:t>
            </w:r>
          </w:p>
        </w:tc>
        <w:tc>
          <w:tcPr>
            <w:tcW w:w="851" w:type="dxa"/>
          </w:tcPr>
          <w:p w14:paraId="315E6B2B" w14:textId="0A2FBAE7" w:rsidR="00183A1F" w:rsidRDefault="00EC65C3" w:rsidP="00183A1F">
            <w:pPr>
              <w:pStyle w:val="ARtabletextright"/>
            </w:pPr>
            <w:r>
              <w:t>−</w:t>
            </w:r>
            <w:r w:rsidR="00183A1F">
              <w:t>2</w:t>
            </w:r>
          </w:p>
        </w:tc>
        <w:tc>
          <w:tcPr>
            <w:tcW w:w="1021" w:type="dxa"/>
          </w:tcPr>
          <w:p w14:paraId="0E422764" w14:textId="77777777" w:rsidR="00183A1F" w:rsidRDefault="00183A1F" w:rsidP="00183A1F">
            <w:pPr>
              <w:pStyle w:val="ARtabletextright"/>
            </w:pPr>
            <w:r>
              <w:t>0</w:t>
            </w:r>
          </w:p>
        </w:tc>
        <w:tc>
          <w:tcPr>
            <w:tcW w:w="851" w:type="dxa"/>
          </w:tcPr>
          <w:p w14:paraId="1AEDE7D8" w14:textId="01A7BC2E" w:rsidR="00183A1F" w:rsidRDefault="00EC65C3" w:rsidP="008D2D99">
            <w:pPr>
              <w:pStyle w:val="ARtabletextrightbold"/>
            </w:pPr>
            <w:r>
              <w:t>−</w:t>
            </w:r>
            <w:r w:rsidR="00183A1F">
              <w:t>3</w:t>
            </w:r>
          </w:p>
        </w:tc>
      </w:tr>
      <w:tr w:rsidR="00183A1F" w14:paraId="31FB2691" w14:textId="77777777" w:rsidTr="008D2D99">
        <w:trPr>
          <w:cantSplit w:val="0"/>
          <w:trHeight w:val="290"/>
        </w:trPr>
        <w:tc>
          <w:tcPr>
            <w:tcW w:w="3289" w:type="dxa"/>
          </w:tcPr>
          <w:p w14:paraId="4EAD6797" w14:textId="77777777" w:rsidR="00183A1F" w:rsidRDefault="00183A1F" w:rsidP="00183A1F">
            <w:pPr>
              <w:pStyle w:val="ARtabletext"/>
            </w:pPr>
            <w:r>
              <w:t>Beaufort and Skipton Health Service</w:t>
            </w:r>
          </w:p>
        </w:tc>
        <w:tc>
          <w:tcPr>
            <w:tcW w:w="851" w:type="dxa"/>
          </w:tcPr>
          <w:p w14:paraId="6D6BF4E7" w14:textId="77777777" w:rsidR="00183A1F" w:rsidRDefault="00183A1F" w:rsidP="00183A1F">
            <w:pPr>
              <w:pStyle w:val="ARtabletextright"/>
            </w:pPr>
            <w:r>
              <w:t>1</w:t>
            </w:r>
          </w:p>
        </w:tc>
        <w:tc>
          <w:tcPr>
            <w:tcW w:w="851" w:type="dxa"/>
          </w:tcPr>
          <w:p w14:paraId="619F3515" w14:textId="77777777" w:rsidR="00183A1F" w:rsidRDefault="00183A1F" w:rsidP="00183A1F">
            <w:pPr>
              <w:pStyle w:val="ARtabletextright"/>
            </w:pPr>
            <w:r>
              <w:t>0</w:t>
            </w:r>
          </w:p>
        </w:tc>
        <w:tc>
          <w:tcPr>
            <w:tcW w:w="1021" w:type="dxa"/>
            <w:tcBorders>
              <w:top w:val="single" w:sz="4" w:space="0" w:color="auto"/>
            </w:tcBorders>
          </w:tcPr>
          <w:p w14:paraId="33C44783"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0BF8411D" w14:textId="77777777" w:rsidR="00183A1F" w:rsidRDefault="00183A1F" w:rsidP="008D2D99">
            <w:pPr>
              <w:pStyle w:val="ARtabletextrightbold"/>
            </w:pPr>
            <w:r>
              <w:t>1</w:t>
            </w:r>
          </w:p>
        </w:tc>
        <w:tc>
          <w:tcPr>
            <w:tcW w:w="851" w:type="dxa"/>
            <w:tcBorders>
              <w:left w:val="single" w:sz="4" w:space="0" w:color="auto"/>
            </w:tcBorders>
          </w:tcPr>
          <w:p w14:paraId="4DE6A4D0" w14:textId="77777777" w:rsidR="00183A1F" w:rsidRDefault="00183A1F" w:rsidP="00183A1F">
            <w:pPr>
              <w:pStyle w:val="ARtabletextright"/>
            </w:pPr>
            <w:r>
              <w:t>1</w:t>
            </w:r>
          </w:p>
        </w:tc>
        <w:tc>
          <w:tcPr>
            <w:tcW w:w="851" w:type="dxa"/>
          </w:tcPr>
          <w:p w14:paraId="244DB102" w14:textId="77777777" w:rsidR="00183A1F" w:rsidRDefault="00183A1F" w:rsidP="00183A1F">
            <w:pPr>
              <w:pStyle w:val="ARtabletextright"/>
            </w:pPr>
            <w:r>
              <w:t>0</w:t>
            </w:r>
          </w:p>
        </w:tc>
        <w:tc>
          <w:tcPr>
            <w:tcW w:w="1021" w:type="dxa"/>
            <w:tcBorders>
              <w:top w:val="single" w:sz="4" w:space="0" w:color="auto"/>
            </w:tcBorders>
          </w:tcPr>
          <w:p w14:paraId="538C4D5A"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4880554E" w14:textId="77777777" w:rsidR="00183A1F" w:rsidRDefault="00183A1F" w:rsidP="008D2D99">
            <w:pPr>
              <w:pStyle w:val="ARtabletextrightbold"/>
            </w:pPr>
            <w:r>
              <w:t>1</w:t>
            </w:r>
          </w:p>
        </w:tc>
        <w:tc>
          <w:tcPr>
            <w:tcW w:w="851" w:type="dxa"/>
            <w:tcBorders>
              <w:left w:val="single" w:sz="4" w:space="0" w:color="auto"/>
            </w:tcBorders>
          </w:tcPr>
          <w:p w14:paraId="7E55627B" w14:textId="77777777" w:rsidR="00183A1F" w:rsidRDefault="00183A1F" w:rsidP="00183A1F">
            <w:pPr>
              <w:pStyle w:val="ARtabletextright"/>
            </w:pPr>
            <w:r>
              <w:t>0</w:t>
            </w:r>
          </w:p>
        </w:tc>
        <w:tc>
          <w:tcPr>
            <w:tcW w:w="851" w:type="dxa"/>
          </w:tcPr>
          <w:p w14:paraId="2CAFFE06" w14:textId="77777777" w:rsidR="00183A1F" w:rsidRDefault="00183A1F" w:rsidP="00183A1F">
            <w:pPr>
              <w:pStyle w:val="ARtabletextright"/>
            </w:pPr>
            <w:r>
              <w:t>0</w:t>
            </w:r>
          </w:p>
        </w:tc>
        <w:tc>
          <w:tcPr>
            <w:tcW w:w="1021" w:type="dxa"/>
          </w:tcPr>
          <w:p w14:paraId="76B0F109" w14:textId="77777777" w:rsidR="00183A1F" w:rsidRDefault="00183A1F" w:rsidP="00183A1F">
            <w:pPr>
              <w:pStyle w:val="ARtabletextright"/>
            </w:pPr>
            <w:r>
              <w:t>0</w:t>
            </w:r>
          </w:p>
        </w:tc>
        <w:tc>
          <w:tcPr>
            <w:tcW w:w="851" w:type="dxa"/>
          </w:tcPr>
          <w:p w14:paraId="7D1BE3B2" w14:textId="77777777" w:rsidR="00183A1F" w:rsidRDefault="00183A1F" w:rsidP="008D2D99">
            <w:pPr>
              <w:pStyle w:val="ARtabletextrightbold"/>
            </w:pPr>
            <w:r>
              <w:t>0</w:t>
            </w:r>
          </w:p>
        </w:tc>
      </w:tr>
      <w:tr w:rsidR="00183A1F" w14:paraId="6EAB93C8" w14:textId="77777777" w:rsidTr="008D2D99">
        <w:trPr>
          <w:cantSplit w:val="0"/>
          <w:trHeight w:val="290"/>
        </w:trPr>
        <w:tc>
          <w:tcPr>
            <w:tcW w:w="3289" w:type="dxa"/>
          </w:tcPr>
          <w:p w14:paraId="0B0348BE" w14:textId="77777777" w:rsidR="00183A1F" w:rsidRDefault="00183A1F" w:rsidP="00183A1F">
            <w:pPr>
              <w:pStyle w:val="ARtabletext"/>
            </w:pPr>
            <w:r>
              <w:t>Beechworth Health Service</w:t>
            </w:r>
          </w:p>
        </w:tc>
        <w:tc>
          <w:tcPr>
            <w:tcW w:w="851" w:type="dxa"/>
          </w:tcPr>
          <w:p w14:paraId="180A601E" w14:textId="77777777" w:rsidR="00183A1F" w:rsidRDefault="00183A1F" w:rsidP="00183A1F">
            <w:pPr>
              <w:pStyle w:val="ARtabletextright"/>
            </w:pPr>
            <w:r>
              <w:t>0</w:t>
            </w:r>
          </w:p>
        </w:tc>
        <w:tc>
          <w:tcPr>
            <w:tcW w:w="851" w:type="dxa"/>
          </w:tcPr>
          <w:p w14:paraId="61161020" w14:textId="77777777" w:rsidR="00183A1F" w:rsidRDefault="00183A1F" w:rsidP="00183A1F">
            <w:pPr>
              <w:pStyle w:val="ARtabletextright"/>
            </w:pPr>
            <w:r>
              <w:t>1</w:t>
            </w:r>
          </w:p>
        </w:tc>
        <w:tc>
          <w:tcPr>
            <w:tcW w:w="1021" w:type="dxa"/>
            <w:tcBorders>
              <w:top w:val="single" w:sz="4" w:space="0" w:color="auto"/>
            </w:tcBorders>
          </w:tcPr>
          <w:p w14:paraId="2675826E"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05197188" w14:textId="77777777" w:rsidR="00183A1F" w:rsidRDefault="00183A1F" w:rsidP="008D2D99">
            <w:pPr>
              <w:pStyle w:val="ARtabletextrightbold"/>
            </w:pPr>
            <w:r>
              <w:t>1</w:t>
            </w:r>
          </w:p>
        </w:tc>
        <w:tc>
          <w:tcPr>
            <w:tcW w:w="851" w:type="dxa"/>
            <w:tcBorders>
              <w:left w:val="single" w:sz="4" w:space="0" w:color="auto"/>
            </w:tcBorders>
          </w:tcPr>
          <w:p w14:paraId="3C253165" w14:textId="77777777" w:rsidR="00183A1F" w:rsidRDefault="00183A1F" w:rsidP="00183A1F">
            <w:pPr>
              <w:pStyle w:val="ARtabletextright"/>
            </w:pPr>
            <w:r>
              <w:t>0</w:t>
            </w:r>
          </w:p>
        </w:tc>
        <w:tc>
          <w:tcPr>
            <w:tcW w:w="851" w:type="dxa"/>
          </w:tcPr>
          <w:p w14:paraId="79E4B200" w14:textId="77777777" w:rsidR="00183A1F" w:rsidRDefault="00183A1F" w:rsidP="00183A1F">
            <w:pPr>
              <w:pStyle w:val="ARtabletextright"/>
            </w:pPr>
            <w:r>
              <w:t>1</w:t>
            </w:r>
          </w:p>
        </w:tc>
        <w:tc>
          <w:tcPr>
            <w:tcW w:w="1021" w:type="dxa"/>
            <w:tcBorders>
              <w:top w:val="single" w:sz="4" w:space="0" w:color="auto"/>
            </w:tcBorders>
          </w:tcPr>
          <w:p w14:paraId="558DA0AF"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355A4EFD" w14:textId="77777777" w:rsidR="00183A1F" w:rsidRDefault="00183A1F" w:rsidP="008D2D99">
            <w:pPr>
              <w:pStyle w:val="ARtabletextrightbold"/>
            </w:pPr>
            <w:r>
              <w:t>1</w:t>
            </w:r>
          </w:p>
        </w:tc>
        <w:tc>
          <w:tcPr>
            <w:tcW w:w="851" w:type="dxa"/>
            <w:tcBorders>
              <w:left w:val="single" w:sz="4" w:space="0" w:color="auto"/>
            </w:tcBorders>
          </w:tcPr>
          <w:p w14:paraId="64950B96" w14:textId="77777777" w:rsidR="00183A1F" w:rsidRDefault="00183A1F" w:rsidP="00183A1F">
            <w:pPr>
              <w:pStyle w:val="ARtabletextright"/>
            </w:pPr>
            <w:r>
              <w:t>0</w:t>
            </w:r>
          </w:p>
        </w:tc>
        <w:tc>
          <w:tcPr>
            <w:tcW w:w="851" w:type="dxa"/>
          </w:tcPr>
          <w:p w14:paraId="44EA64DD" w14:textId="77777777" w:rsidR="00183A1F" w:rsidRDefault="00183A1F" w:rsidP="00183A1F">
            <w:pPr>
              <w:pStyle w:val="ARtabletextright"/>
            </w:pPr>
            <w:r>
              <w:t>0</w:t>
            </w:r>
          </w:p>
        </w:tc>
        <w:tc>
          <w:tcPr>
            <w:tcW w:w="1021" w:type="dxa"/>
          </w:tcPr>
          <w:p w14:paraId="6F2C5749" w14:textId="77777777" w:rsidR="00183A1F" w:rsidRDefault="00183A1F" w:rsidP="00183A1F">
            <w:pPr>
              <w:pStyle w:val="ARtabletextright"/>
            </w:pPr>
            <w:r>
              <w:t>0</w:t>
            </w:r>
          </w:p>
        </w:tc>
        <w:tc>
          <w:tcPr>
            <w:tcW w:w="851" w:type="dxa"/>
          </w:tcPr>
          <w:p w14:paraId="131D8608" w14:textId="77777777" w:rsidR="00183A1F" w:rsidRDefault="00183A1F" w:rsidP="008D2D99">
            <w:pPr>
              <w:pStyle w:val="ARtabletextrightbold"/>
            </w:pPr>
            <w:r>
              <w:t>0</w:t>
            </w:r>
          </w:p>
        </w:tc>
      </w:tr>
      <w:tr w:rsidR="00183A1F" w14:paraId="1B657A31" w14:textId="77777777" w:rsidTr="008D2D99">
        <w:trPr>
          <w:cantSplit w:val="0"/>
          <w:trHeight w:val="290"/>
        </w:trPr>
        <w:tc>
          <w:tcPr>
            <w:tcW w:w="3289" w:type="dxa"/>
          </w:tcPr>
          <w:p w14:paraId="4751464F" w14:textId="77777777" w:rsidR="00183A1F" w:rsidRDefault="00183A1F" w:rsidP="00183A1F">
            <w:pPr>
              <w:pStyle w:val="ARtabletext"/>
            </w:pPr>
            <w:r>
              <w:t>Benalla Health</w:t>
            </w:r>
          </w:p>
        </w:tc>
        <w:tc>
          <w:tcPr>
            <w:tcW w:w="851" w:type="dxa"/>
          </w:tcPr>
          <w:p w14:paraId="140318D9" w14:textId="77777777" w:rsidR="00183A1F" w:rsidRDefault="00183A1F" w:rsidP="00183A1F">
            <w:pPr>
              <w:pStyle w:val="ARtabletextright"/>
            </w:pPr>
            <w:r>
              <w:t>1</w:t>
            </w:r>
          </w:p>
        </w:tc>
        <w:tc>
          <w:tcPr>
            <w:tcW w:w="851" w:type="dxa"/>
          </w:tcPr>
          <w:p w14:paraId="55DCEFA2" w14:textId="77777777" w:rsidR="00183A1F" w:rsidRDefault="00183A1F" w:rsidP="00183A1F">
            <w:pPr>
              <w:pStyle w:val="ARtabletextright"/>
            </w:pPr>
            <w:r>
              <w:t>0</w:t>
            </w:r>
          </w:p>
        </w:tc>
        <w:tc>
          <w:tcPr>
            <w:tcW w:w="1021" w:type="dxa"/>
            <w:tcBorders>
              <w:top w:val="single" w:sz="4" w:space="0" w:color="auto"/>
            </w:tcBorders>
          </w:tcPr>
          <w:p w14:paraId="17E1F98A"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532ED4E2" w14:textId="77777777" w:rsidR="00183A1F" w:rsidRDefault="00183A1F" w:rsidP="008D2D99">
            <w:pPr>
              <w:pStyle w:val="ARtabletextrightbold"/>
            </w:pPr>
            <w:r>
              <w:t>1</w:t>
            </w:r>
          </w:p>
        </w:tc>
        <w:tc>
          <w:tcPr>
            <w:tcW w:w="851" w:type="dxa"/>
            <w:tcBorders>
              <w:left w:val="single" w:sz="4" w:space="0" w:color="auto"/>
            </w:tcBorders>
          </w:tcPr>
          <w:p w14:paraId="46A9D351" w14:textId="77777777" w:rsidR="00183A1F" w:rsidRDefault="00183A1F" w:rsidP="00183A1F">
            <w:pPr>
              <w:pStyle w:val="ARtabletextright"/>
            </w:pPr>
            <w:r>
              <w:t>1</w:t>
            </w:r>
          </w:p>
        </w:tc>
        <w:tc>
          <w:tcPr>
            <w:tcW w:w="851" w:type="dxa"/>
          </w:tcPr>
          <w:p w14:paraId="7C1CB5DF" w14:textId="77777777" w:rsidR="00183A1F" w:rsidRDefault="00183A1F" w:rsidP="00183A1F">
            <w:pPr>
              <w:pStyle w:val="ARtabletextright"/>
            </w:pPr>
            <w:r>
              <w:t>0</w:t>
            </w:r>
          </w:p>
        </w:tc>
        <w:tc>
          <w:tcPr>
            <w:tcW w:w="1021" w:type="dxa"/>
            <w:tcBorders>
              <w:top w:val="single" w:sz="4" w:space="0" w:color="auto"/>
            </w:tcBorders>
          </w:tcPr>
          <w:p w14:paraId="747A17FB"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0AF6EEA6" w14:textId="77777777" w:rsidR="00183A1F" w:rsidRDefault="00183A1F" w:rsidP="008D2D99">
            <w:pPr>
              <w:pStyle w:val="ARtabletextrightbold"/>
            </w:pPr>
            <w:r>
              <w:t>1</w:t>
            </w:r>
          </w:p>
        </w:tc>
        <w:tc>
          <w:tcPr>
            <w:tcW w:w="851" w:type="dxa"/>
            <w:tcBorders>
              <w:left w:val="single" w:sz="4" w:space="0" w:color="auto"/>
            </w:tcBorders>
          </w:tcPr>
          <w:p w14:paraId="3E2E1086" w14:textId="77777777" w:rsidR="00183A1F" w:rsidRDefault="00183A1F" w:rsidP="00183A1F">
            <w:pPr>
              <w:pStyle w:val="ARtabletextright"/>
            </w:pPr>
            <w:r>
              <w:t>0</w:t>
            </w:r>
          </w:p>
        </w:tc>
        <w:tc>
          <w:tcPr>
            <w:tcW w:w="851" w:type="dxa"/>
          </w:tcPr>
          <w:p w14:paraId="083CC3B1" w14:textId="77777777" w:rsidR="00183A1F" w:rsidRDefault="00183A1F" w:rsidP="00183A1F">
            <w:pPr>
              <w:pStyle w:val="ARtabletextright"/>
            </w:pPr>
            <w:r>
              <w:t>0</w:t>
            </w:r>
          </w:p>
        </w:tc>
        <w:tc>
          <w:tcPr>
            <w:tcW w:w="1021" w:type="dxa"/>
          </w:tcPr>
          <w:p w14:paraId="1E2C1D11" w14:textId="77777777" w:rsidR="00183A1F" w:rsidRDefault="00183A1F" w:rsidP="00183A1F">
            <w:pPr>
              <w:pStyle w:val="ARtabletextright"/>
            </w:pPr>
            <w:r>
              <w:t>0</w:t>
            </w:r>
          </w:p>
        </w:tc>
        <w:tc>
          <w:tcPr>
            <w:tcW w:w="851" w:type="dxa"/>
          </w:tcPr>
          <w:p w14:paraId="1D63DEC2" w14:textId="77777777" w:rsidR="00183A1F" w:rsidRDefault="00183A1F" w:rsidP="008D2D99">
            <w:pPr>
              <w:pStyle w:val="ARtabletextrightbold"/>
            </w:pPr>
            <w:r>
              <w:t>0</w:t>
            </w:r>
          </w:p>
        </w:tc>
      </w:tr>
      <w:tr w:rsidR="00183A1F" w14:paraId="52E5760D" w14:textId="77777777" w:rsidTr="008D2D99">
        <w:trPr>
          <w:cantSplit w:val="0"/>
          <w:trHeight w:val="290"/>
        </w:trPr>
        <w:tc>
          <w:tcPr>
            <w:tcW w:w="3289" w:type="dxa"/>
          </w:tcPr>
          <w:p w14:paraId="1F0D68BE" w14:textId="77777777" w:rsidR="00183A1F" w:rsidRDefault="00183A1F" w:rsidP="00183A1F">
            <w:pPr>
              <w:pStyle w:val="ARtabletext"/>
            </w:pPr>
            <w:r>
              <w:t>Bendigo Health Care Group</w:t>
            </w:r>
          </w:p>
        </w:tc>
        <w:tc>
          <w:tcPr>
            <w:tcW w:w="851" w:type="dxa"/>
          </w:tcPr>
          <w:p w14:paraId="60780AAD" w14:textId="77777777" w:rsidR="00183A1F" w:rsidRDefault="00183A1F" w:rsidP="00183A1F">
            <w:pPr>
              <w:pStyle w:val="ARtabletextright"/>
            </w:pPr>
            <w:r>
              <w:t>3</w:t>
            </w:r>
          </w:p>
        </w:tc>
        <w:tc>
          <w:tcPr>
            <w:tcW w:w="851" w:type="dxa"/>
          </w:tcPr>
          <w:p w14:paraId="783E7DE3" w14:textId="77777777" w:rsidR="00183A1F" w:rsidRDefault="00183A1F" w:rsidP="00183A1F">
            <w:pPr>
              <w:pStyle w:val="ARtabletextright"/>
            </w:pPr>
            <w:r>
              <w:t>4</w:t>
            </w:r>
          </w:p>
        </w:tc>
        <w:tc>
          <w:tcPr>
            <w:tcW w:w="1021" w:type="dxa"/>
            <w:tcBorders>
              <w:top w:val="single" w:sz="4" w:space="0" w:color="auto"/>
            </w:tcBorders>
          </w:tcPr>
          <w:p w14:paraId="10707503"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4545BE32" w14:textId="77777777" w:rsidR="00183A1F" w:rsidRDefault="00183A1F" w:rsidP="008D2D99">
            <w:pPr>
              <w:pStyle w:val="ARtabletextrightbold"/>
            </w:pPr>
            <w:r>
              <w:t>7</w:t>
            </w:r>
          </w:p>
        </w:tc>
        <w:tc>
          <w:tcPr>
            <w:tcW w:w="851" w:type="dxa"/>
            <w:tcBorders>
              <w:left w:val="single" w:sz="4" w:space="0" w:color="auto"/>
            </w:tcBorders>
          </w:tcPr>
          <w:p w14:paraId="1F9E504B" w14:textId="77777777" w:rsidR="00183A1F" w:rsidRDefault="00183A1F" w:rsidP="00183A1F">
            <w:pPr>
              <w:pStyle w:val="ARtabletextright"/>
            </w:pPr>
            <w:r>
              <w:t>3</w:t>
            </w:r>
          </w:p>
        </w:tc>
        <w:tc>
          <w:tcPr>
            <w:tcW w:w="851" w:type="dxa"/>
          </w:tcPr>
          <w:p w14:paraId="177B15B4" w14:textId="77777777" w:rsidR="00183A1F" w:rsidRDefault="00183A1F" w:rsidP="00183A1F">
            <w:pPr>
              <w:pStyle w:val="ARtabletextright"/>
            </w:pPr>
            <w:r>
              <w:t>4</w:t>
            </w:r>
          </w:p>
        </w:tc>
        <w:tc>
          <w:tcPr>
            <w:tcW w:w="1021" w:type="dxa"/>
            <w:tcBorders>
              <w:top w:val="single" w:sz="4" w:space="0" w:color="auto"/>
            </w:tcBorders>
          </w:tcPr>
          <w:p w14:paraId="67FC66AA"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58FB8483" w14:textId="77777777" w:rsidR="00183A1F" w:rsidRDefault="00183A1F" w:rsidP="008D2D99">
            <w:pPr>
              <w:pStyle w:val="ARtabletextrightbold"/>
            </w:pPr>
            <w:r>
              <w:t>7</w:t>
            </w:r>
          </w:p>
        </w:tc>
        <w:tc>
          <w:tcPr>
            <w:tcW w:w="851" w:type="dxa"/>
            <w:tcBorders>
              <w:left w:val="single" w:sz="4" w:space="0" w:color="auto"/>
            </w:tcBorders>
          </w:tcPr>
          <w:p w14:paraId="44177FFD" w14:textId="77777777" w:rsidR="00183A1F" w:rsidRDefault="00183A1F" w:rsidP="00183A1F">
            <w:pPr>
              <w:pStyle w:val="ARtabletextright"/>
            </w:pPr>
            <w:r>
              <w:t>0</w:t>
            </w:r>
          </w:p>
        </w:tc>
        <w:tc>
          <w:tcPr>
            <w:tcW w:w="851" w:type="dxa"/>
          </w:tcPr>
          <w:p w14:paraId="5495E40D" w14:textId="77777777" w:rsidR="00183A1F" w:rsidRDefault="00183A1F" w:rsidP="00183A1F">
            <w:pPr>
              <w:pStyle w:val="ARtabletextright"/>
            </w:pPr>
            <w:r>
              <w:t>0</w:t>
            </w:r>
          </w:p>
        </w:tc>
        <w:tc>
          <w:tcPr>
            <w:tcW w:w="1021" w:type="dxa"/>
          </w:tcPr>
          <w:p w14:paraId="155AAA15" w14:textId="77777777" w:rsidR="00183A1F" w:rsidRDefault="00183A1F" w:rsidP="00183A1F">
            <w:pPr>
              <w:pStyle w:val="ARtabletextright"/>
            </w:pPr>
            <w:r>
              <w:t>0</w:t>
            </w:r>
          </w:p>
        </w:tc>
        <w:tc>
          <w:tcPr>
            <w:tcW w:w="851" w:type="dxa"/>
          </w:tcPr>
          <w:p w14:paraId="523B958F" w14:textId="77777777" w:rsidR="00183A1F" w:rsidRDefault="00183A1F" w:rsidP="008D2D99">
            <w:pPr>
              <w:pStyle w:val="ARtabletextrightbold"/>
            </w:pPr>
            <w:r>
              <w:t>0</w:t>
            </w:r>
          </w:p>
        </w:tc>
      </w:tr>
      <w:tr w:rsidR="00183A1F" w14:paraId="7782AB45" w14:textId="77777777" w:rsidTr="008D2D99">
        <w:trPr>
          <w:cantSplit w:val="0"/>
          <w:trHeight w:val="290"/>
        </w:trPr>
        <w:tc>
          <w:tcPr>
            <w:tcW w:w="3289" w:type="dxa"/>
          </w:tcPr>
          <w:p w14:paraId="47EEA82A" w14:textId="77777777" w:rsidR="00183A1F" w:rsidRDefault="00183A1F" w:rsidP="00183A1F">
            <w:pPr>
              <w:pStyle w:val="ARtabletext"/>
            </w:pPr>
            <w:r>
              <w:t>Boort District Health</w:t>
            </w:r>
          </w:p>
        </w:tc>
        <w:tc>
          <w:tcPr>
            <w:tcW w:w="851" w:type="dxa"/>
          </w:tcPr>
          <w:p w14:paraId="29B62C20" w14:textId="77777777" w:rsidR="00183A1F" w:rsidRDefault="00183A1F" w:rsidP="00183A1F">
            <w:pPr>
              <w:pStyle w:val="ARtabletextright"/>
            </w:pPr>
            <w:r>
              <w:t>0</w:t>
            </w:r>
          </w:p>
        </w:tc>
        <w:tc>
          <w:tcPr>
            <w:tcW w:w="851" w:type="dxa"/>
          </w:tcPr>
          <w:p w14:paraId="4CC78B6F" w14:textId="77777777" w:rsidR="00183A1F" w:rsidRDefault="00183A1F" w:rsidP="00183A1F">
            <w:pPr>
              <w:pStyle w:val="ARtabletextright"/>
            </w:pPr>
            <w:r>
              <w:t>1</w:t>
            </w:r>
          </w:p>
        </w:tc>
        <w:tc>
          <w:tcPr>
            <w:tcW w:w="1021" w:type="dxa"/>
            <w:tcBorders>
              <w:top w:val="single" w:sz="4" w:space="0" w:color="auto"/>
            </w:tcBorders>
          </w:tcPr>
          <w:p w14:paraId="1E3D09ED"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26B29274" w14:textId="77777777" w:rsidR="00183A1F" w:rsidRDefault="00183A1F" w:rsidP="008D2D99">
            <w:pPr>
              <w:pStyle w:val="ARtabletextrightbold"/>
            </w:pPr>
            <w:r>
              <w:t>1</w:t>
            </w:r>
          </w:p>
        </w:tc>
        <w:tc>
          <w:tcPr>
            <w:tcW w:w="851" w:type="dxa"/>
            <w:tcBorders>
              <w:left w:val="single" w:sz="4" w:space="0" w:color="auto"/>
            </w:tcBorders>
          </w:tcPr>
          <w:p w14:paraId="2BA93F50" w14:textId="77777777" w:rsidR="00183A1F" w:rsidRDefault="00183A1F" w:rsidP="00183A1F">
            <w:pPr>
              <w:pStyle w:val="ARtabletextright"/>
            </w:pPr>
            <w:r>
              <w:t>0</w:t>
            </w:r>
          </w:p>
        </w:tc>
        <w:tc>
          <w:tcPr>
            <w:tcW w:w="851" w:type="dxa"/>
          </w:tcPr>
          <w:p w14:paraId="16EEAB5E" w14:textId="77777777" w:rsidR="00183A1F" w:rsidRDefault="00183A1F" w:rsidP="00183A1F">
            <w:pPr>
              <w:pStyle w:val="ARtabletextright"/>
            </w:pPr>
            <w:r>
              <w:t>1</w:t>
            </w:r>
          </w:p>
        </w:tc>
        <w:tc>
          <w:tcPr>
            <w:tcW w:w="1021" w:type="dxa"/>
            <w:tcBorders>
              <w:top w:val="single" w:sz="4" w:space="0" w:color="auto"/>
            </w:tcBorders>
          </w:tcPr>
          <w:p w14:paraId="5D30FDAD"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3B80CF75" w14:textId="77777777" w:rsidR="00183A1F" w:rsidRDefault="00183A1F" w:rsidP="008D2D99">
            <w:pPr>
              <w:pStyle w:val="ARtabletextrightbold"/>
            </w:pPr>
            <w:r>
              <w:t>1</w:t>
            </w:r>
          </w:p>
        </w:tc>
        <w:tc>
          <w:tcPr>
            <w:tcW w:w="851" w:type="dxa"/>
            <w:tcBorders>
              <w:left w:val="single" w:sz="4" w:space="0" w:color="auto"/>
            </w:tcBorders>
          </w:tcPr>
          <w:p w14:paraId="57A38DC6" w14:textId="77777777" w:rsidR="00183A1F" w:rsidRDefault="00183A1F" w:rsidP="00183A1F">
            <w:pPr>
              <w:pStyle w:val="ARtabletextright"/>
            </w:pPr>
            <w:r>
              <w:t>0</w:t>
            </w:r>
          </w:p>
        </w:tc>
        <w:tc>
          <w:tcPr>
            <w:tcW w:w="851" w:type="dxa"/>
          </w:tcPr>
          <w:p w14:paraId="3882CFB4" w14:textId="77777777" w:rsidR="00183A1F" w:rsidRDefault="00183A1F" w:rsidP="00183A1F">
            <w:pPr>
              <w:pStyle w:val="ARtabletextright"/>
            </w:pPr>
            <w:r>
              <w:t>0</w:t>
            </w:r>
          </w:p>
        </w:tc>
        <w:tc>
          <w:tcPr>
            <w:tcW w:w="1021" w:type="dxa"/>
          </w:tcPr>
          <w:p w14:paraId="0D670004" w14:textId="77777777" w:rsidR="00183A1F" w:rsidRDefault="00183A1F" w:rsidP="00183A1F">
            <w:pPr>
              <w:pStyle w:val="ARtabletextright"/>
            </w:pPr>
            <w:r>
              <w:t>0</w:t>
            </w:r>
          </w:p>
        </w:tc>
        <w:tc>
          <w:tcPr>
            <w:tcW w:w="851" w:type="dxa"/>
          </w:tcPr>
          <w:p w14:paraId="437841D7" w14:textId="77777777" w:rsidR="00183A1F" w:rsidRDefault="00183A1F" w:rsidP="008D2D99">
            <w:pPr>
              <w:pStyle w:val="ARtabletextrightbold"/>
            </w:pPr>
            <w:r>
              <w:t>0</w:t>
            </w:r>
          </w:p>
        </w:tc>
      </w:tr>
      <w:tr w:rsidR="00183A1F" w14:paraId="3ECB0924" w14:textId="77777777" w:rsidTr="008D2D99">
        <w:trPr>
          <w:cantSplit w:val="0"/>
          <w:trHeight w:val="290"/>
        </w:trPr>
        <w:tc>
          <w:tcPr>
            <w:tcW w:w="3289" w:type="dxa"/>
          </w:tcPr>
          <w:p w14:paraId="6AF171EC" w14:textId="77777777" w:rsidR="00183A1F" w:rsidRDefault="00183A1F" w:rsidP="00183A1F">
            <w:pPr>
              <w:pStyle w:val="ARtabletext"/>
            </w:pPr>
            <w:r>
              <w:t>BreastScreen Victoria</w:t>
            </w:r>
          </w:p>
        </w:tc>
        <w:tc>
          <w:tcPr>
            <w:tcW w:w="851" w:type="dxa"/>
          </w:tcPr>
          <w:p w14:paraId="4BAC4E50" w14:textId="77777777" w:rsidR="00183A1F" w:rsidRDefault="00183A1F" w:rsidP="00183A1F">
            <w:pPr>
              <w:pStyle w:val="ARtabletextright"/>
            </w:pPr>
            <w:r>
              <w:t>2</w:t>
            </w:r>
          </w:p>
        </w:tc>
        <w:tc>
          <w:tcPr>
            <w:tcW w:w="851" w:type="dxa"/>
          </w:tcPr>
          <w:p w14:paraId="2C453C57" w14:textId="77777777" w:rsidR="00183A1F" w:rsidRDefault="00183A1F" w:rsidP="00183A1F">
            <w:pPr>
              <w:pStyle w:val="ARtabletextright"/>
            </w:pPr>
            <w:r>
              <w:t>0</w:t>
            </w:r>
          </w:p>
        </w:tc>
        <w:tc>
          <w:tcPr>
            <w:tcW w:w="1021" w:type="dxa"/>
            <w:tcBorders>
              <w:top w:val="single" w:sz="4" w:space="0" w:color="auto"/>
            </w:tcBorders>
          </w:tcPr>
          <w:p w14:paraId="772890F2"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6A4D8EB8" w14:textId="77777777" w:rsidR="00183A1F" w:rsidRDefault="00183A1F" w:rsidP="008D2D99">
            <w:pPr>
              <w:pStyle w:val="ARtabletextrightbold"/>
            </w:pPr>
            <w:r>
              <w:t>2</w:t>
            </w:r>
          </w:p>
        </w:tc>
        <w:tc>
          <w:tcPr>
            <w:tcW w:w="851" w:type="dxa"/>
            <w:tcBorders>
              <w:left w:val="single" w:sz="4" w:space="0" w:color="auto"/>
            </w:tcBorders>
          </w:tcPr>
          <w:p w14:paraId="3C691DF5" w14:textId="77777777" w:rsidR="00183A1F" w:rsidRDefault="00183A1F" w:rsidP="00183A1F">
            <w:pPr>
              <w:pStyle w:val="ARtabletextright"/>
            </w:pPr>
            <w:r>
              <w:t>2</w:t>
            </w:r>
          </w:p>
        </w:tc>
        <w:tc>
          <w:tcPr>
            <w:tcW w:w="851" w:type="dxa"/>
          </w:tcPr>
          <w:p w14:paraId="27AF162C" w14:textId="77777777" w:rsidR="00183A1F" w:rsidRDefault="00183A1F" w:rsidP="00183A1F">
            <w:pPr>
              <w:pStyle w:val="ARtabletextright"/>
            </w:pPr>
            <w:r>
              <w:t>0</w:t>
            </w:r>
          </w:p>
        </w:tc>
        <w:tc>
          <w:tcPr>
            <w:tcW w:w="1021" w:type="dxa"/>
            <w:tcBorders>
              <w:top w:val="single" w:sz="4" w:space="0" w:color="auto"/>
            </w:tcBorders>
          </w:tcPr>
          <w:p w14:paraId="02F26B7B"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29120AD4" w14:textId="77777777" w:rsidR="00183A1F" w:rsidRDefault="00183A1F" w:rsidP="008D2D99">
            <w:pPr>
              <w:pStyle w:val="ARtabletextrightbold"/>
            </w:pPr>
            <w:r>
              <w:t>2</w:t>
            </w:r>
          </w:p>
        </w:tc>
        <w:tc>
          <w:tcPr>
            <w:tcW w:w="851" w:type="dxa"/>
            <w:tcBorders>
              <w:left w:val="single" w:sz="4" w:space="0" w:color="auto"/>
            </w:tcBorders>
          </w:tcPr>
          <w:p w14:paraId="343622E3" w14:textId="77777777" w:rsidR="00183A1F" w:rsidRDefault="00183A1F" w:rsidP="00183A1F">
            <w:pPr>
              <w:pStyle w:val="ARtabletextright"/>
            </w:pPr>
            <w:r>
              <w:t>0</w:t>
            </w:r>
          </w:p>
        </w:tc>
        <w:tc>
          <w:tcPr>
            <w:tcW w:w="851" w:type="dxa"/>
          </w:tcPr>
          <w:p w14:paraId="1BE52DF7" w14:textId="77777777" w:rsidR="00183A1F" w:rsidRDefault="00183A1F" w:rsidP="00183A1F">
            <w:pPr>
              <w:pStyle w:val="ARtabletextright"/>
            </w:pPr>
            <w:r>
              <w:t>0</w:t>
            </w:r>
          </w:p>
        </w:tc>
        <w:tc>
          <w:tcPr>
            <w:tcW w:w="1021" w:type="dxa"/>
          </w:tcPr>
          <w:p w14:paraId="42212BDB" w14:textId="77777777" w:rsidR="00183A1F" w:rsidRDefault="00183A1F" w:rsidP="00183A1F">
            <w:pPr>
              <w:pStyle w:val="ARtabletextright"/>
            </w:pPr>
            <w:r>
              <w:t>0</w:t>
            </w:r>
          </w:p>
        </w:tc>
        <w:tc>
          <w:tcPr>
            <w:tcW w:w="851" w:type="dxa"/>
          </w:tcPr>
          <w:p w14:paraId="0D9C4335" w14:textId="77777777" w:rsidR="00183A1F" w:rsidRDefault="00183A1F" w:rsidP="008D2D99">
            <w:pPr>
              <w:pStyle w:val="ARtabletextrightbold"/>
            </w:pPr>
            <w:r>
              <w:t>0</w:t>
            </w:r>
          </w:p>
        </w:tc>
      </w:tr>
      <w:tr w:rsidR="00183A1F" w14:paraId="5AFFA0B3" w14:textId="77777777" w:rsidTr="008D2D99">
        <w:trPr>
          <w:cantSplit w:val="0"/>
          <w:trHeight w:val="290"/>
        </w:trPr>
        <w:tc>
          <w:tcPr>
            <w:tcW w:w="3289" w:type="dxa"/>
          </w:tcPr>
          <w:p w14:paraId="0E2A8F76" w14:textId="77777777" w:rsidR="00183A1F" w:rsidRDefault="00183A1F" w:rsidP="00183A1F">
            <w:pPr>
              <w:pStyle w:val="ARtabletext"/>
            </w:pPr>
            <w:r>
              <w:t>Casterton Memorial Hospital</w:t>
            </w:r>
          </w:p>
        </w:tc>
        <w:tc>
          <w:tcPr>
            <w:tcW w:w="851" w:type="dxa"/>
          </w:tcPr>
          <w:p w14:paraId="11CE4C21" w14:textId="77777777" w:rsidR="00183A1F" w:rsidRDefault="00183A1F" w:rsidP="00183A1F">
            <w:pPr>
              <w:pStyle w:val="ARtabletextright"/>
            </w:pPr>
            <w:r>
              <w:t>0</w:t>
            </w:r>
          </w:p>
        </w:tc>
        <w:tc>
          <w:tcPr>
            <w:tcW w:w="851" w:type="dxa"/>
          </w:tcPr>
          <w:p w14:paraId="324B528D" w14:textId="77777777" w:rsidR="00183A1F" w:rsidRDefault="00183A1F" w:rsidP="00183A1F">
            <w:pPr>
              <w:pStyle w:val="ARtabletextright"/>
            </w:pPr>
            <w:r>
              <w:t>1</w:t>
            </w:r>
          </w:p>
        </w:tc>
        <w:tc>
          <w:tcPr>
            <w:tcW w:w="1021" w:type="dxa"/>
            <w:tcBorders>
              <w:top w:val="single" w:sz="4" w:space="0" w:color="auto"/>
            </w:tcBorders>
          </w:tcPr>
          <w:p w14:paraId="0EAAA66B"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43BF1D61" w14:textId="77777777" w:rsidR="00183A1F" w:rsidRDefault="00183A1F" w:rsidP="008D2D99">
            <w:pPr>
              <w:pStyle w:val="ARtabletextrightbold"/>
            </w:pPr>
            <w:r>
              <w:t>1</w:t>
            </w:r>
          </w:p>
        </w:tc>
        <w:tc>
          <w:tcPr>
            <w:tcW w:w="851" w:type="dxa"/>
            <w:tcBorders>
              <w:left w:val="single" w:sz="4" w:space="0" w:color="auto"/>
            </w:tcBorders>
          </w:tcPr>
          <w:p w14:paraId="15D6E928" w14:textId="77777777" w:rsidR="00183A1F" w:rsidRDefault="00183A1F" w:rsidP="00183A1F">
            <w:pPr>
              <w:pStyle w:val="ARtabletextright"/>
            </w:pPr>
            <w:r>
              <w:t>0</w:t>
            </w:r>
          </w:p>
        </w:tc>
        <w:tc>
          <w:tcPr>
            <w:tcW w:w="851" w:type="dxa"/>
          </w:tcPr>
          <w:p w14:paraId="70BB71FB" w14:textId="77777777" w:rsidR="00183A1F" w:rsidRDefault="00183A1F" w:rsidP="00183A1F">
            <w:pPr>
              <w:pStyle w:val="ARtabletextright"/>
            </w:pPr>
            <w:r>
              <w:t>1</w:t>
            </w:r>
          </w:p>
        </w:tc>
        <w:tc>
          <w:tcPr>
            <w:tcW w:w="1021" w:type="dxa"/>
            <w:tcBorders>
              <w:top w:val="single" w:sz="4" w:space="0" w:color="auto"/>
            </w:tcBorders>
          </w:tcPr>
          <w:p w14:paraId="62108AD7"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2FAB403C" w14:textId="77777777" w:rsidR="00183A1F" w:rsidRDefault="00183A1F" w:rsidP="008D2D99">
            <w:pPr>
              <w:pStyle w:val="ARtabletextrightbold"/>
            </w:pPr>
            <w:r>
              <w:t>1</w:t>
            </w:r>
          </w:p>
        </w:tc>
        <w:tc>
          <w:tcPr>
            <w:tcW w:w="851" w:type="dxa"/>
            <w:tcBorders>
              <w:left w:val="single" w:sz="4" w:space="0" w:color="auto"/>
            </w:tcBorders>
          </w:tcPr>
          <w:p w14:paraId="57CC0760" w14:textId="77777777" w:rsidR="00183A1F" w:rsidRDefault="00183A1F" w:rsidP="00183A1F">
            <w:pPr>
              <w:pStyle w:val="ARtabletextright"/>
            </w:pPr>
            <w:r>
              <w:t>0</w:t>
            </w:r>
          </w:p>
        </w:tc>
        <w:tc>
          <w:tcPr>
            <w:tcW w:w="851" w:type="dxa"/>
          </w:tcPr>
          <w:p w14:paraId="4943D5F3" w14:textId="77777777" w:rsidR="00183A1F" w:rsidRDefault="00183A1F" w:rsidP="00183A1F">
            <w:pPr>
              <w:pStyle w:val="ARtabletextright"/>
            </w:pPr>
            <w:r>
              <w:t>0</w:t>
            </w:r>
          </w:p>
        </w:tc>
        <w:tc>
          <w:tcPr>
            <w:tcW w:w="1021" w:type="dxa"/>
          </w:tcPr>
          <w:p w14:paraId="4A73B095" w14:textId="77777777" w:rsidR="00183A1F" w:rsidRDefault="00183A1F" w:rsidP="00183A1F">
            <w:pPr>
              <w:pStyle w:val="ARtabletextright"/>
            </w:pPr>
            <w:r>
              <w:t>0</w:t>
            </w:r>
          </w:p>
        </w:tc>
        <w:tc>
          <w:tcPr>
            <w:tcW w:w="851" w:type="dxa"/>
          </w:tcPr>
          <w:p w14:paraId="534A0DC8" w14:textId="77777777" w:rsidR="00183A1F" w:rsidRDefault="00183A1F" w:rsidP="008D2D99">
            <w:pPr>
              <w:pStyle w:val="ARtabletextrightbold"/>
            </w:pPr>
            <w:r>
              <w:t>0</w:t>
            </w:r>
          </w:p>
        </w:tc>
      </w:tr>
      <w:tr w:rsidR="00183A1F" w14:paraId="79175349" w14:textId="77777777" w:rsidTr="008D2D99">
        <w:trPr>
          <w:cantSplit w:val="0"/>
          <w:trHeight w:val="290"/>
        </w:trPr>
        <w:tc>
          <w:tcPr>
            <w:tcW w:w="3289" w:type="dxa"/>
          </w:tcPr>
          <w:p w14:paraId="1BC4D436" w14:textId="77777777" w:rsidR="00183A1F" w:rsidRDefault="00183A1F" w:rsidP="00183A1F">
            <w:pPr>
              <w:pStyle w:val="ARtabletext"/>
            </w:pPr>
            <w:r>
              <w:t>Castlemaine Health</w:t>
            </w:r>
          </w:p>
        </w:tc>
        <w:tc>
          <w:tcPr>
            <w:tcW w:w="851" w:type="dxa"/>
          </w:tcPr>
          <w:p w14:paraId="690DE5A5" w14:textId="77777777" w:rsidR="00183A1F" w:rsidRDefault="00183A1F" w:rsidP="00183A1F">
            <w:pPr>
              <w:pStyle w:val="ARtabletextright"/>
            </w:pPr>
            <w:r>
              <w:t>1</w:t>
            </w:r>
          </w:p>
        </w:tc>
        <w:tc>
          <w:tcPr>
            <w:tcW w:w="851" w:type="dxa"/>
          </w:tcPr>
          <w:p w14:paraId="552FD676" w14:textId="77777777" w:rsidR="00183A1F" w:rsidRDefault="00183A1F" w:rsidP="00183A1F">
            <w:pPr>
              <w:pStyle w:val="ARtabletextright"/>
            </w:pPr>
            <w:r>
              <w:t>0</w:t>
            </w:r>
          </w:p>
        </w:tc>
        <w:tc>
          <w:tcPr>
            <w:tcW w:w="1021" w:type="dxa"/>
            <w:tcBorders>
              <w:top w:val="single" w:sz="4" w:space="0" w:color="auto"/>
            </w:tcBorders>
          </w:tcPr>
          <w:p w14:paraId="27435FCF"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5EBF541A" w14:textId="77777777" w:rsidR="00183A1F" w:rsidRDefault="00183A1F" w:rsidP="008D2D99">
            <w:pPr>
              <w:pStyle w:val="ARtabletextrightbold"/>
            </w:pPr>
            <w:r>
              <w:t>1</w:t>
            </w:r>
          </w:p>
        </w:tc>
        <w:tc>
          <w:tcPr>
            <w:tcW w:w="851" w:type="dxa"/>
            <w:tcBorders>
              <w:left w:val="single" w:sz="4" w:space="0" w:color="auto"/>
            </w:tcBorders>
          </w:tcPr>
          <w:p w14:paraId="6D0A435B" w14:textId="77777777" w:rsidR="00183A1F" w:rsidRDefault="00183A1F" w:rsidP="00183A1F">
            <w:pPr>
              <w:pStyle w:val="ARtabletextright"/>
            </w:pPr>
            <w:r>
              <w:t>0</w:t>
            </w:r>
          </w:p>
        </w:tc>
        <w:tc>
          <w:tcPr>
            <w:tcW w:w="851" w:type="dxa"/>
          </w:tcPr>
          <w:p w14:paraId="3DC6F910" w14:textId="77777777" w:rsidR="00183A1F" w:rsidRDefault="00183A1F" w:rsidP="00183A1F">
            <w:pPr>
              <w:pStyle w:val="ARtabletextright"/>
            </w:pPr>
            <w:r>
              <w:t>1</w:t>
            </w:r>
          </w:p>
        </w:tc>
        <w:tc>
          <w:tcPr>
            <w:tcW w:w="1021" w:type="dxa"/>
            <w:tcBorders>
              <w:top w:val="single" w:sz="4" w:space="0" w:color="auto"/>
            </w:tcBorders>
          </w:tcPr>
          <w:p w14:paraId="154DB029"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606BC419" w14:textId="77777777" w:rsidR="00183A1F" w:rsidRDefault="00183A1F" w:rsidP="008D2D99">
            <w:pPr>
              <w:pStyle w:val="ARtabletextrightbold"/>
            </w:pPr>
            <w:r>
              <w:t>1</w:t>
            </w:r>
          </w:p>
        </w:tc>
        <w:tc>
          <w:tcPr>
            <w:tcW w:w="851" w:type="dxa"/>
            <w:tcBorders>
              <w:left w:val="single" w:sz="4" w:space="0" w:color="auto"/>
            </w:tcBorders>
          </w:tcPr>
          <w:p w14:paraId="214EDD8F" w14:textId="77777777" w:rsidR="00183A1F" w:rsidRDefault="00183A1F" w:rsidP="00183A1F">
            <w:pPr>
              <w:pStyle w:val="ARtabletextright"/>
            </w:pPr>
            <w:r>
              <w:t>1</w:t>
            </w:r>
          </w:p>
        </w:tc>
        <w:tc>
          <w:tcPr>
            <w:tcW w:w="851" w:type="dxa"/>
          </w:tcPr>
          <w:p w14:paraId="69966EB2" w14:textId="3FFBDA37" w:rsidR="00183A1F" w:rsidRDefault="00EC65C3" w:rsidP="00183A1F">
            <w:pPr>
              <w:pStyle w:val="ARtabletextright"/>
            </w:pPr>
            <w:r>
              <w:t>−</w:t>
            </w:r>
            <w:r w:rsidR="00183A1F">
              <w:t>1</w:t>
            </w:r>
          </w:p>
        </w:tc>
        <w:tc>
          <w:tcPr>
            <w:tcW w:w="1021" w:type="dxa"/>
          </w:tcPr>
          <w:p w14:paraId="4B2181E6" w14:textId="77777777" w:rsidR="00183A1F" w:rsidRDefault="00183A1F" w:rsidP="00183A1F">
            <w:pPr>
              <w:pStyle w:val="ARtabletextright"/>
            </w:pPr>
            <w:r>
              <w:t>0</w:t>
            </w:r>
          </w:p>
        </w:tc>
        <w:tc>
          <w:tcPr>
            <w:tcW w:w="851" w:type="dxa"/>
          </w:tcPr>
          <w:p w14:paraId="5F812939" w14:textId="77777777" w:rsidR="00183A1F" w:rsidRDefault="00183A1F" w:rsidP="008D2D99">
            <w:pPr>
              <w:pStyle w:val="ARtabletextrightbold"/>
            </w:pPr>
            <w:r>
              <w:t>0</w:t>
            </w:r>
          </w:p>
        </w:tc>
      </w:tr>
      <w:tr w:rsidR="00183A1F" w14:paraId="792CD6CC" w14:textId="77777777" w:rsidTr="008D2D99">
        <w:trPr>
          <w:cantSplit w:val="0"/>
          <w:trHeight w:val="290"/>
        </w:trPr>
        <w:tc>
          <w:tcPr>
            <w:tcW w:w="3289" w:type="dxa"/>
          </w:tcPr>
          <w:p w14:paraId="0EE300B9" w14:textId="77777777" w:rsidR="00183A1F" w:rsidRDefault="00183A1F" w:rsidP="00183A1F">
            <w:pPr>
              <w:pStyle w:val="ARtabletext"/>
            </w:pPr>
            <w:r>
              <w:t>Central Gippsland Health Service</w:t>
            </w:r>
          </w:p>
        </w:tc>
        <w:tc>
          <w:tcPr>
            <w:tcW w:w="851" w:type="dxa"/>
          </w:tcPr>
          <w:p w14:paraId="359F6D95" w14:textId="77777777" w:rsidR="00183A1F" w:rsidRDefault="00183A1F" w:rsidP="00183A1F">
            <w:pPr>
              <w:pStyle w:val="ARtabletextright"/>
            </w:pPr>
            <w:r>
              <w:t>2</w:t>
            </w:r>
          </w:p>
        </w:tc>
        <w:tc>
          <w:tcPr>
            <w:tcW w:w="851" w:type="dxa"/>
          </w:tcPr>
          <w:p w14:paraId="403BC5B2" w14:textId="77777777" w:rsidR="00183A1F" w:rsidRDefault="00183A1F" w:rsidP="00183A1F">
            <w:pPr>
              <w:pStyle w:val="ARtabletextright"/>
            </w:pPr>
            <w:r>
              <w:t>2</w:t>
            </w:r>
          </w:p>
        </w:tc>
        <w:tc>
          <w:tcPr>
            <w:tcW w:w="1021" w:type="dxa"/>
            <w:tcBorders>
              <w:top w:val="single" w:sz="4" w:space="0" w:color="auto"/>
            </w:tcBorders>
          </w:tcPr>
          <w:p w14:paraId="501C0BF7"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5F03D573" w14:textId="77777777" w:rsidR="00183A1F" w:rsidRDefault="00183A1F" w:rsidP="008D2D99">
            <w:pPr>
              <w:pStyle w:val="ARtabletextrightbold"/>
            </w:pPr>
            <w:r>
              <w:t>4</w:t>
            </w:r>
          </w:p>
        </w:tc>
        <w:tc>
          <w:tcPr>
            <w:tcW w:w="851" w:type="dxa"/>
            <w:tcBorders>
              <w:left w:val="single" w:sz="4" w:space="0" w:color="auto"/>
            </w:tcBorders>
          </w:tcPr>
          <w:p w14:paraId="31208B00" w14:textId="77777777" w:rsidR="00183A1F" w:rsidRDefault="00183A1F" w:rsidP="00183A1F">
            <w:pPr>
              <w:pStyle w:val="ARtabletextright"/>
            </w:pPr>
            <w:r>
              <w:t>1</w:t>
            </w:r>
          </w:p>
        </w:tc>
        <w:tc>
          <w:tcPr>
            <w:tcW w:w="851" w:type="dxa"/>
          </w:tcPr>
          <w:p w14:paraId="488139E5" w14:textId="77777777" w:rsidR="00183A1F" w:rsidRDefault="00183A1F" w:rsidP="00183A1F">
            <w:pPr>
              <w:pStyle w:val="ARtabletextright"/>
            </w:pPr>
            <w:r>
              <w:t>3</w:t>
            </w:r>
          </w:p>
        </w:tc>
        <w:tc>
          <w:tcPr>
            <w:tcW w:w="1021" w:type="dxa"/>
            <w:tcBorders>
              <w:top w:val="single" w:sz="4" w:space="0" w:color="auto"/>
            </w:tcBorders>
          </w:tcPr>
          <w:p w14:paraId="2096D731"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55CA33D6" w14:textId="77777777" w:rsidR="00183A1F" w:rsidRDefault="00183A1F" w:rsidP="008D2D99">
            <w:pPr>
              <w:pStyle w:val="ARtabletextrightbold"/>
            </w:pPr>
            <w:r>
              <w:t>4</w:t>
            </w:r>
          </w:p>
        </w:tc>
        <w:tc>
          <w:tcPr>
            <w:tcW w:w="851" w:type="dxa"/>
            <w:tcBorders>
              <w:left w:val="single" w:sz="4" w:space="0" w:color="auto"/>
            </w:tcBorders>
          </w:tcPr>
          <w:p w14:paraId="49338C0E" w14:textId="77777777" w:rsidR="00183A1F" w:rsidRDefault="00183A1F" w:rsidP="00183A1F">
            <w:pPr>
              <w:pStyle w:val="ARtabletextright"/>
            </w:pPr>
            <w:r>
              <w:t>1</w:t>
            </w:r>
          </w:p>
        </w:tc>
        <w:tc>
          <w:tcPr>
            <w:tcW w:w="851" w:type="dxa"/>
          </w:tcPr>
          <w:p w14:paraId="5990E3D4" w14:textId="652AE7DB" w:rsidR="00183A1F" w:rsidRDefault="00EC65C3" w:rsidP="00183A1F">
            <w:pPr>
              <w:pStyle w:val="ARtabletextright"/>
            </w:pPr>
            <w:r>
              <w:t>−</w:t>
            </w:r>
            <w:r w:rsidR="00183A1F">
              <w:t>1</w:t>
            </w:r>
          </w:p>
        </w:tc>
        <w:tc>
          <w:tcPr>
            <w:tcW w:w="1021" w:type="dxa"/>
          </w:tcPr>
          <w:p w14:paraId="268127B1" w14:textId="77777777" w:rsidR="00183A1F" w:rsidRDefault="00183A1F" w:rsidP="00183A1F">
            <w:pPr>
              <w:pStyle w:val="ARtabletextright"/>
            </w:pPr>
            <w:r>
              <w:t>0</w:t>
            </w:r>
          </w:p>
        </w:tc>
        <w:tc>
          <w:tcPr>
            <w:tcW w:w="851" w:type="dxa"/>
          </w:tcPr>
          <w:p w14:paraId="43DC6573" w14:textId="77777777" w:rsidR="00183A1F" w:rsidRDefault="00183A1F" w:rsidP="008D2D99">
            <w:pPr>
              <w:pStyle w:val="ARtabletextrightbold"/>
            </w:pPr>
            <w:r>
              <w:t>0</w:t>
            </w:r>
          </w:p>
        </w:tc>
      </w:tr>
      <w:tr w:rsidR="00183A1F" w14:paraId="328C9451" w14:textId="77777777" w:rsidTr="008D2D99">
        <w:trPr>
          <w:cantSplit w:val="0"/>
          <w:trHeight w:val="290"/>
        </w:trPr>
        <w:tc>
          <w:tcPr>
            <w:tcW w:w="3289" w:type="dxa"/>
          </w:tcPr>
          <w:p w14:paraId="48395123" w14:textId="77777777" w:rsidR="00183A1F" w:rsidRDefault="00183A1F" w:rsidP="00183A1F">
            <w:pPr>
              <w:pStyle w:val="ARtabletext"/>
            </w:pPr>
            <w:r>
              <w:t>Central Highlands Rural Health</w:t>
            </w:r>
          </w:p>
        </w:tc>
        <w:tc>
          <w:tcPr>
            <w:tcW w:w="851" w:type="dxa"/>
          </w:tcPr>
          <w:p w14:paraId="59EA7D76" w14:textId="77777777" w:rsidR="00183A1F" w:rsidRDefault="00183A1F" w:rsidP="00183A1F">
            <w:pPr>
              <w:pStyle w:val="ARtabletextright"/>
            </w:pPr>
            <w:r>
              <w:t>1</w:t>
            </w:r>
          </w:p>
        </w:tc>
        <w:tc>
          <w:tcPr>
            <w:tcW w:w="851" w:type="dxa"/>
          </w:tcPr>
          <w:p w14:paraId="13DBF83A" w14:textId="77777777" w:rsidR="00183A1F" w:rsidRDefault="00183A1F" w:rsidP="00183A1F">
            <w:pPr>
              <w:pStyle w:val="ARtabletextright"/>
            </w:pPr>
            <w:r>
              <w:t>0</w:t>
            </w:r>
          </w:p>
        </w:tc>
        <w:tc>
          <w:tcPr>
            <w:tcW w:w="1021" w:type="dxa"/>
            <w:tcBorders>
              <w:top w:val="single" w:sz="4" w:space="0" w:color="auto"/>
            </w:tcBorders>
          </w:tcPr>
          <w:p w14:paraId="78CE932C"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27F0F17A" w14:textId="77777777" w:rsidR="00183A1F" w:rsidRDefault="00183A1F" w:rsidP="008D2D99">
            <w:pPr>
              <w:pStyle w:val="ARtabletextrightbold"/>
            </w:pPr>
            <w:r>
              <w:t>1</w:t>
            </w:r>
          </w:p>
        </w:tc>
        <w:tc>
          <w:tcPr>
            <w:tcW w:w="851" w:type="dxa"/>
            <w:tcBorders>
              <w:left w:val="single" w:sz="4" w:space="0" w:color="auto"/>
            </w:tcBorders>
          </w:tcPr>
          <w:p w14:paraId="616C9DC6" w14:textId="77777777" w:rsidR="00183A1F" w:rsidRDefault="00183A1F" w:rsidP="00183A1F">
            <w:pPr>
              <w:pStyle w:val="ARtabletextright"/>
            </w:pPr>
            <w:r>
              <w:t>1</w:t>
            </w:r>
          </w:p>
        </w:tc>
        <w:tc>
          <w:tcPr>
            <w:tcW w:w="851" w:type="dxa"/>
          </w:tcPr>
          <w:p w14:paraId="1EEDA793" w14:textId="77777777" w:rsidR="00183A1F" w:rsidRDefault="00183A1F" w:rsidP="00183A1F">
            <w:pPr>
              <w:pStyle w:val="ARtabletextright"/>
            </w:pPr>
            <w:r>
              <w:t>0</w:t>
            </w:r>
          </w:p>
        </w:tc>
        <w:tc>
          <w:tcPr>
            <w:tcW w:w="1021" w:type="dxa"/>
            <w:tcBorders>
              <w:top w:val="single" w:sz="4" w:space="0" w:color="auto"/>
            </w:tcBorders>
          </w:tcPr>
          <w:p w14:paraId="1E42626F"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73C7005B" w14:textId="77777777" w:rsidR="00183A1F" w:rsidRDefault="00183A1F" w:rsidP="008D2D99">
            <w:pPr>
              <w:pStyle w:val="ARtabletextrightbold"/>
            </w:pPr>
            <w:r>
              <w:t>1</w:t>
            </w:r>
          </w:p>
        </w:tc>
        <w:tc>
          <w:tcPr>
            <w:tcW w:w="851" w:type="dxa"/>
            <w:tcBorders>
              <w:left w:val="single" w:sz="4" w:space="0" w:color="auto"/>
            </w:tcBorders>
          </w:tcPr>
          <w:p w14:paraId="3465A091" w14:textId="77777777" w:rsidR="00183A1F" w:rsidRDefault="00183A1F" w:rsidP="00183A1F">
            <w:pPr>
              <w:pStyle w:val="ARtabletextright"/>
            </w:pPr>
            <w:r>
              <w:t>0</w:t>
            </w:r>
          </w:p>
        </w:tc>
        <w:tc>
          <w:tcPr>
            <w:tcW w:w="851" w:type="dxa"/>
          </w:tcPr>
          <w:p w14:paraId="39CD97BE" w14:textId="77777777" w:rsidR="00183A1F" w:rsidRDefault="00183A1F" w:rsidP="00183A1F">
            <w:pPr>
              <w:pStyle w:val="ARtabletextright"/>
            </w:pPr>
            <w:r>
              <w:t>0</w:t>
            </w:r>
          </w:p>
        </w:tc>
        <w:tc>
          <w:tcPr>
            <w:tcW w:w="1021" w:type="dxa"/>
          </w:tcPr>
          <w:p w14:paraId="1F432F4A" w14:textId="77777777" w:rsidR="00183A1F" w:rsidRDefault="00183A1F" w:rsidP="00183A1F">
            <w:pPr>
              <w:pStyle w:val="ARtabletextright"/>
            </w:pPr>
            <w:r>
              <w:t>0</w:t>
            </w:r>
          </w:p>
        </w:tc>
        <w:tc>
          <w:tcPr>
            <w:tcW w:w="851" w:type="dxa"/>
          </w:tcPr>
          <w:p w14:paraId="6F79E67F" w14:textId="77777777" w:rsidR="00183A1F" w:rsidRDefault="00183A1F" w:rsidP="008D2D99">
            <w:pPr>
              <w:pStyle w:val="ARtabletextrightbold"/>
            </w:pPr>
            <w:r>
              <w:t>0</w:t>
            </w:r>
          </w:p>
        </w:tc>
      </w:tr>
      <w:tr w:rsidR="00183A1F" w14:paraId="15C722DF" w14:textId="77777777" w:rsidTr="00EC65C3">
        <w:trPr>
          <w:cantSplit w:val="0"/>
        </w:trPr>
        <w:tc>
          <w:tcPr>
            <w:tcW w:w="3289" w:type="dxa"/>
          </w:tcPr>
          <w:p w14:paraId="5622BCC5" w14:textId="77777777" w:rsidR="00183A1F" w:rsidRDefault="00183A1F" w:rsidP="00183A1F">
            <w:pPr>
              <w:pStyle w:val="ARtabletext"/>
            </w:pPr>
            <w:r>
              <w:t>Cohuna District Hospital</w:t>
            </w:r>
          </w:p>
        </w:tc>
        <w:tc>
          <w:tcPr>
            <w:tcW w:w="851" w:type="dxa"/>
          </w:tcPr>
          <w:p w14:paraId="0DB0A723" w14:textId="77777777" w:rsidR="00183A1F" w:rsidRDefault="00183A1F" w:rsidP="00183A1F">
            <w:pPr>
              <w:pStyle w:val="ARtabletextright"/>
            </w:pPr>
            <w:r>
              <w:t>1</w:t>
            </w:r>
          </w:p>
        </w:tc>
        <w:tc>
          <w:tcPr>
            <w:tcW w:w="851" w:type="dxa"/>
          </w:tcPr>
          <w:p w14:paraId="4D08ADD3" w14:textId="77777777" w:rsidR="00183A1F" w:rsidRDefault="00183A1F" w:rsidP="00183A1F">
            <w:pPr>
              <w:pStyle w:val="ARtabletextright"/>
            </w:pPr>
            <w:r>
              <w:t>0</w:t>
            </w:r>
          </w:p>
        </w:tc>
        <w:tc>
          <w:tcPr>
            <w:tcW w:w="1021" w:type="dxa"/>
            <w:tcBorders>
              <w:top w:val="single" w:sz="4" w:space="0" w:color="auto"/>
            </w:tcBorders>
          </w:tcPr>
          <w:p w14:paraId="610155C3"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0B43F914" w14:textId="77777777" w:rsidR="00183A1F" w:rsidRDefault="00183A1F" w:rsidP="008D2D99">
            <w:pPr>
              <w:pStyle w:val="ARtabletextrightbold"/>
            </w:pPr>
            <w:r>
              <w:t>1</w:t>
            </w:r>
          </w:p>
        </w:tc>
        <w:tc>
          <w:tcPr>
            <w:tcW w:w="851" w:type="dxa"/>
            <w:tcBorders>
              <w:left w:val="single" w:sz="4" w:space="0" w:color="auto"/>
            </w:tcBorders>
          </w:tcPr>
          <w:p w14:paraId="49B72292" w14:textId="77777777" w:rsidR="00183A1F" w:rsidRDefault="00183A1F" w:rsidP="00183A1F">
            <w:pPr>
              <w:pStyle w:val="ARtabletextright"/>
            </w:pPr>
            <w:r>
              <w:t>0</w:t>
            </w:r>
          </w:p>
        </w:tc>
        <w:tc>
          <w:tcPr>
            <w:tcW w:w="851" w:type="dxa"/>
          </w:tcPr>
          <w:p w14:paraId="11B61E9F" w14:textId="77777777" w:rsidR="00183A1F" w:rsidRDefault="00183A1F" w:rsidP="00183A1F">
            <w:pPr>
              <w:pStyle w:val="ARtabletextright"/>
            </w:pPr>
            <w:r>
              <w:t>1</w:t>
            </w:r>
          </w:p>
        </w:tc>
        <w:tc>
          <w:tcPr>
            <w:tcW w:w="1021" w:type="dxa"/>
            <w:tcBorders>
              <w:top w:val="single" w:sz="4" w:space="0" w:color="auto"/>
            </w:tcBorders>
          </w:tcPr>
          <w:p w14:paraId="12C17C9A"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23D5D452" w14:textId="77777777" w:rsidR="00183A1F" w:rsidRDefault="00183A1F" w:rsidP="008D2D99">
            <w:pPr>
              <w:pStyle w:val="ARtabletextrightbold"/>
            </w:pPr>
            <w:r>
              <w:t>1</w:t>
            </w:r>
          </w:p>
        </w:tc>
        <w:tc>
          <w:tcPr>
            <w:tcW w:w="851" w:type="dxa"/>
            <w:tcBorders>
              <w:left w:val="single" w:sz="4" w:space="0" w:color="auto"/>
            </w:tcBorders>
          </w:tcPr>
          <w:p w14:paraId="5D3F265A" w14:textId="77777777" w:rsidR="00183A1F" w:rsidRDefault="00183A1F" w:rsidP="00183A1F">
            <w:pPr>
              <w:pStyle w:val="ARtabletextright"/>
            </w:pPr>
            <w:r>
              <w:t>1</w:t>
            </w:r>
          </w:p>
        </w:tc>
        <w:tc>
          <w:tcPr>
            <w:tcW w:w="851" w:type="dxa"/>
          </w:tcPr>
          <w:p w14:paraId="5AAF3F5B" w14:textId="38D37BC2" w:rsidR="00183A1F" w:rsidRDefault="00EC65C3" w:rsidP="00183A1F">
            <w:pPr>
              <w:pStyle w:val="ARtabletextright"/>
            </w:pPr>
            <w:r>
              <w:t>−</w:t>
            </w:r>
            <w:r w:rsidR="00183A1F">
              <w:t>1</w:t>
            </w:r>
          </w:p>
        </w:tc>
        <w:tc>
          <w:tcPr>
            <w:tcW w:w="1021" w:type="dxa"/>
          </w:tcPr>
          <w:p w14:paraId="101E7F25" w14:textId="77777777" w:rsidR="00183A1F" w:rsidRDefault="00183A1F" w:rsidP="00183A1F">
            <w:pPr>
              <w:pStyle w:val="ARtabletextright"/>
            </w:pPr>
            <w:r>
              <w:t>0</w:t>
            </w:r>
          </w:p>
        </w:tc>
        <w:tc>
          <w:tcPr>
            <w:tcW w:w="851" w:type="dxa"/>
          </w:tcPr>
          <w:p w14:paraId="7D00764B" w14:textId="77777777" w:rsidR="00183A1F" w:rsidRDefault="00183A1F" w:rsidP="008D2D99">
            <w:pPr>
              <w:pStyle w:val="ARtabletextrightbold"/>
            </w:pPr>
            <w:r>
              <w:t>0</w:t>
            </w:r>
          </w:p>
        </w:tc>
      </w:tr>
      <w:tr w:rsidR="00183A1F" w14:paraId="40F3CB12" w14:textId="77777777" w:rsidTr="008D2D99">
        <w:trPr>
          <w:cantSplit w:val="0"/>
          <w:trHeight w:val="290"/>
        </w:trPr>
        <w:tc>
          <w:tcPr>
            <w:tcW w:w="3289" w:type="dxa"/>
          </w:tcPr>
          <w:p w14:paraId="13916FCC" w14:textId="77777777" w:rsidR="00183A1F" w:rsidRDefault="00183A1F" w:rsidP="00183A1F">
            <w:pPr>
              <w:pStyle w:val="ARtabletext"/>
            </w:pPr>
            <w:r>
              <w:lastRenderedPageBreak/>
              <w:t>Colac Area Health</w:t>
            </w:r>
          </w:p>
        </w:tc>
        <w:tc>
          <w:tcPr>
            <w:tcW w:w="851" w:type="dxa"/>
          </w:tcPr>
          <w:p w14:paraId="4D7AB415" w14:textId="77777777" w:rsidR="00183A1F" w:rsidRDefault="00183A1F" w:rsidP="00183A1F">
            <w:pPr>
              <w:pStyle w:val="ARtabletextright"/>
            </w:pPr>
            <w:r>
              <w:t>1</w:t>
            </w:r>
          </w:p>
        </w:tc>
        <w:tc>
          <w:tcPr>
            <w:tcW w:w="851" w:type="dxa"/>
          </w:tcPr>
          <w:p w14:paraId="775B74B3" w14:textId="77777777" w:rsidR="00183A1F" w:rsidRDefault="00183A1F" w:rsidP="00183A1F">
            <w:pPr>
              <w:pStyle w:val="ARtabletextright"/>
            </w:pPr>
            <w:r>
              <w:t>0</w:t>
            </w:r>
          </w:p>
        </w:tc>
        <w:tc>
          <w:tcPr>
            <w:tcW w:w="1021" w:type="dxa"/>
            <w:tcBorders>
              <w:top w:val="single" w:sz="4" w:space="0" w:color="auto"/>
            </w:tcBorders>
          </w:tcPr>
          <w:p w14:paraId="0A98E686"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26D060F2" w14:textId="77777777" w:rsidR="00183A1F" w:rsidRDefault="00183A1F" w:rsidP="008D2D99">
            <w:pPr>
              <w:pStyle w:val="ARtabletextrightbold"/>
            </w:pPr>
            <w:r>
              <w:t>1</w:t>
            </w:r>
          </w:p>
        </w:tc>
        <w:tc>
          <w:tcPr>
            <w:tcW w:w="851" w:type="dxa"/>
            <w:tcBorders>
              <w:left w:val="single" w:sz="4" w:space="0" w:color="auto"/>
            </w:tcBorders>
          </w:tcPr>
          <w:p w14:paraId="2323FB95" w14:textId="77777777" w:rsidR="00183A1F" w:rsidRDefault="00183A1F" w:rsidP="00183A1F">
            <w:pPr>
              <w:pStyle w:val="ARtabletextright"/>
            </w:pPr>
            <w:r>
              <w:t>1</w:t>
            </w:r>
          </w:p>
        </w:tc>
        <w:tc>
          <w:tcPr>
            <w:tcW w:w="851" w:type="dxa"/>
          </w:tcPr>
          <w:p w14:paraId="36774A89" w14:textId="77777777" w:rsidR="00183A1F" w:rsidRDefault="00183A1F" w:rsidP="00183A1F">
            <w:pPr>
              <w:pStyle w:val="ARtabletextright"/>
            </w:pPr>
            <w:r>
              <w:t>1</w:t>
            </w:r>
          </w:p>
        </w:tc>
        <w:tc>
          <w:tcPr>
            <w:tcW w:w="1021" w:type="dxa"/>
            <w:tcBorders>
              <w:top w:val="single" w:sz="4" w:space="0" w:color="auto"/>
            </w:tcBorders>
          </w:tcPr>
          <w:p w14:paraId="19734795"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768DE27D" w14:textId="77777777" w:rsidR="00183A1F" w:rsidRDefault="00183A1F" w:rsidP="008D2D99">
            <w:pPr>
              <w:pStyle w:val="ARtabletextrightbold"/>
            </w:pPr>
            <w:r>
              <w:t>2</w:t>
            </w:r>
          </w:p>
        </w:tc>
        <w:tc>
          <w:tcPr>
            <w:tcW w:w="851" w:type="dxa"/>
            <w:tcBorders>
              <w:left w:val="single" w:sz="4" w:space="0" w:color="auto"/>
            </w:tcBorders>
          </w:tcPr>
          <w:p w14:paraId="3C36BA90" w14:textId="77777777" w:rsidR="00183A1F" w:rsidRDefault="00183A1F" w:rsidP="00183A1F">
            <w:pPr>
              <w:pStyle w:val="ARtabletextright"/>
            </w:pPr>
            <w:r>
              <w:t>0</w:t>
            </w:r>
          </w:p>
        </w:tc>
        <w:tc>
          <w:tcPr>
            <w:tcW w:w="851" w:type="dxa"/>
          </w:tcPr>
          <w:p w14:paraId="1AA0088C" w14:textId="36C90903" w:rsidR="00183A1F" w:rsidRDefault="00EC65C3" w:rsidP="00183A1F">
            <w:pPr>
              <w:pStyle w:val="ARtabletextright"/>
            </w:pPr>
            <w:r>
              <w:t>−</w:t>
            </w:r>
            <w:r w:rsidR="00183A1F">
              <w:t>1</w:t>
            </w:r>
          </w:p>
        </w:tc>
        <w:tc>
          <w:tcPr>
            <w:tcW w:w="1021" w:type="dxa"/>
          </w:tcPr>
          <w:p w14:paraId="08749B5C" w14:textId="77777777" w:rsidR="00183A1F" w:rsidRDefault="00183A1F" w:rsidP="00183A1F">
            <w:pPr>
              <w:pStyle w:val="ARtabletextright"/>
            </w:pPr>
            <w:r>
              <w:t>0</w:t>
            </w:r>
          </w:p>
        </w:tc>
        <w:tc>
          <w:tcPr>
            <w:tcW w:w="851" w:type="dxa"/>
          </w:tcPr>
          <w:p w14:paraId="7C78CA3F" w14:textId="0F31A47B" w:rsidR="00183A1F" w:rsidRDefault="00EC65C3" w:rsidP="008D2D99">
            <w:pPr>
              <w:pStyle w:val="ARtabletextrightbold"/>
            </w:pPr>
            <w:r>
              <w:t>−</w:t>
            </w:r>
            <w:r w:rsidR="00183A1F">
              <w:t>1</w:t>
            </w:r>
          </w:p>
        </w:tc>
      </w:tr>
      <w:tr w:rsidR="00183A1F" w14:paraId="067B4ED5" w14:textId="77777777" w:rsidTr="008D2D99">
        <w:trPr>
          <w:cantSplit w:val="0"/>
          <w:trHeight w:val="290"/>
        </w:trPr>
        <w:tc>
          <w:tcPr>
            <w:tcW w:w="3289" w:type="dxa"/>
          </w:tcPr>
          <w:p w14:paraId="63C258DD" w14:textId="77777777" w:rsidR="00183A1F" w:rsidRDefault="00183A1F" w:rsidP="00183A1F">
            <w:pPr>
              <w:pStyle w:val="ARtabletext"/>
            </w:pPr>
            <w:r>
              <w:t>Corryong Health</w:t>
            </w:r>
          </w:p>
        </w:tc>
        <w:tc>
          <w:tcPr>
            <w:tcW w:w="851" w:type="dxa"/>
          </w:tcPr>
          <w:p w14:paraId="31D802A2" w14:textId="77777777" w:rsidR="00183A1F" w:rsidRDefault="00183A1F" w:rsidP="00183A1F">
            <w:pPr>
              <w:pStyle w:val="ARtabletextright"/>
            </w:pPr>
            <w:r>
              <w:t>0</w:t>
            </w:r>
          </w:p>
        </w:tc>
        <w:tc>
          <w:tcPr>
            <w:tcW w:w="851" w:type="dxa"/>
          </w:tcPr>
          <w:p w14:paraId="46E9CD5A" w14:textId="77777777" w:rsidR="00183A1F" w:rsidRDefault="00183A1F" w:rsidP="00183A1F">
            <w:pPr>
              <w:pStyle w:val="ARtabletextright"/>
            </w:pPr>
            <w:r>
              <w:t>1</w:t>
            </w:r>
          </w:p>
        </w:tc>
        <w:tc>
          <w:tcPr>
            <w:tcW w:w="1021" w:type="dxa"/>
            <w:tcBorders>
              <w:top w:val="single" w:sz="4" w:space="0" w:color="auto"/>
            </w:tcBorders>
          </w:tcPr>
          <w:p w14:paraId="1277E0FF"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1BFF4E50" w14:textId="77777777" w:rsidR="00183A1F" w:rsidRDefault="00183A1F" w:rsidP="008D2D99">
            <w:pPr>
              <w:pStyle w:val="ARtabletextrightbold"/>
            </w:pPr>
            <w:r>
              <w:t>1</w:t>
            </w:r>
          </w:p>
        </w:tc>
        <w:tc>
          <w:tcPr>
            <w:tcW w:w="851" w:type="dxa"/>
            <w:tcBorders>
              <w:left w:val="single" w:sz="4" w:space="0" w:color="auto"/>
            </w:tcBorders>
          </w:tcPr>
          <w:p w14:paraId="2C6C04F7" w14:textId="77777777" w:rsidR="00183A1F" w:rsidRDefault="00183A1F" w:rsidP="00183A1F">
            <w:pPr>
              <w:pStyle w:val="ARtabletextright"/>
            </w:pPr>
            <w:r>
              <w:t>0</w:t>
            </w:r>
          </w:p>
        </w:tc>
        <w:tc>
          <w:tcPr>
            <w:tcW w:w="851" w:type="dxa"/>
          </w:tcPr>
          <w:p w14:paraId="47075085" w14:textId="77777777" w:rsidR="00183A1F" w:rsidRDefault="00183A1F" w:rsidP="00183A1F">
            <w:pPr>
              <w:pStyle w:val="ARtabletextright"/>
            </w:pPr>
            <w:r>
              <w:t>1</w:t>
            </w:r>
          </w:p>
        </w:tc>
        <w:tc>
          <w:tcPr>
            <w:tcW w:w="1021" w:type="dxa"/>
            <w:tcBorders>
              <w:top w:val="single" w:sz="4" w:space="0" w:color="auto"/>
            </w:tcBorders>
          </w:tcPr>
          <w:p w14:paraId="7EA8E185"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2FE0980A" w14:textId="77777777" w:rsidR="00183A1F" w:rsidRDefault="00183A1F" w:rsidP="008D2D99">
            <w:pPr>
              <w:pStyle w:val="ARtabletextrightbold"/>
            </w:pPr>
            <w:r>
              <w:t>1</w:t>
            </w:r>
          </w:p>
        </w:tc>
        <w:tc>
          <w:tcPr>
            <w:tcW w:w="851" w:type="dxa"/>
            <w:tcBorders>
              <w:left w:val="single" w:sz="4" w:space="0" w:color="auto"/>
            </w:tcBorders>
          </w:tcPr>
          <w:p w14:paraId="563580B0" w14:textId="77777777" w:rsidR="00183A1F" w:rsidRDefault="00183A1F" w:rsidP="00183A1F">
            <w:pPr>
              <w:pStyle w:val="ARtabletextright"/>
            </w:pPr>
            <w:r>
              <w:t>0</w:t>
            </w:r>
          </w:p>
        </w:tc>
        <w:tc>
          <w:tcPr>
            <w:tcW w:w="851" w:type="dxa"/>
          </w:tcPr>
          <w:p w14:paraId="5D96BD99" w14:textId="77777777" w:rsidR="00183A1F" w:rsidRDefault="00183A1F" w:rsidP="00183A1F">
            <w:pPr>
              <w:pStyle w:val="ARtabletextright"/>
            </w:pPr>
            <w:r>
              <w:t>0</w:t>
            </w:r>
          </w:p>
        </w:tc>
        <w:tc>
          <w:tcPr>
            <w:tcW w:w="1021" w:type="dxa"/>
          </w:tcPr>
          <w:p w14:paraId="7AF4725E" w14:textId="77777777" w:rsidR="00183A1F" w:rsidRDefault="00183A1F" w:rsidP="00183A1F">
            <w:pPr>
              <w:pStyle w:val="ARtabletextright"/>
            </w:pPr>
            <w:r>
              <w:t>0</w:t>
            </w:r>
          </w:p>
        </w:tc>
        <w:tc>
          <w:tcPr>
            <w:tcW w:w="851" w:type="dxa"/>
          </w:tcPr>
          <w:p w14:paraId="0ED46D8C" w14:textId="77777777" w:rsidR="00183A1F" w:rsidRDefault="00183A1F" w:rsidP="008D2D99">
            <w:pPr>
              <w:pStyle w:val="ARtabletextrightbold"/>
            </w:pPr>
            <w:r>
              <w:t>0</w:t>
            </w:r>
          </w:p>
        </w:tc>
      </w:tr>
      <w:tr w:rsidR="00183A1F" w14:paraId="7FEC527E" w14:textId="77777777" w:rsidTr="008D2D99">
        <w:trPr>
          <w:cantSplit w:val="0"/>
          <w:trHeight w:val="290"/>
        </w:trPr>
        <w:tc>
          <w:tcPr>
            <w:tcW w:w="3289" w:type="dxa"/>
          </w:tcPr>
          <w:p w14:paraId="438BF2FB" w14:textId="77777777" w:rsidR="00183A1F" w:rsidRDefault="00183A1F" w:rsidP="00183A1F">
            <w:pPr>
              <w:pStyle w:val="ARtabletext"/>
            </w:pPr>
            <w:r>
              <w:t>Dental Health Services Victoria</w:t>
            </w:r>
          </w:p>
        </w:tc>
        <w:tc>
          <w:tcPr>
            <w:tcW w:w="851" w:type="dxa"/>
          </w:tcPr>
          <w:p w14:paraId="6AF56A76" w14:textId="77777777" w:rsidR="00183A1F" w:rsidRDefault="00183A1F" w:rsidP="00183A1F">
            <w:pPr>
              <w:pStyle w:val="ARtabletextright"/>
            </w:pPr>
            <w:r>
              <w:t>1</w:t>
            </w:r>
          </w:p>
        </w:tc>
        <w:tc>
          <w:tcPr>
            <w:tcW w:w="851" w:type="dxa"/>
          </w:tcPr>
          <w:p w14:paraId="6402248E" w14:textId="77777777" w:rsidR="00183A1F" w:rsidRDefault="00183A1F" w:rsidP="00183A1F">
            <w:pPr>
              <w:pStyle w:val="ARtabletextright"/>
            </w:pPr>
            <w:r>
              <w:t>5</w:t>
            </w:r>
          </w:p>
        </w:tc>
        <w:tc>
          <w:tcPr>
            <w:tcW w:w="1021" w:type="dxa"/>
            <w:tcBorders>
              <w:top w:val="single" w:sz="4" w:space="0" w:color="auto"/>
            </w:tcBorders>
          </w:tcPr>
          <w:p w14:paraId="414146CF"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00464A45" w14:textId="77777777" w:rsidR="00183A1F" w:rsidRDefault="00183A1F" w:rsidP="008D2D99">
            <w:pPr>
              <w:pStyle w:val="ARtabletextrightbold"/>
            </w:pPr>
            <w:r>
              <w:t>6</w:t>
            </w:r>
          </w:p>
        </w:tc>
        <w:tc>
          <w:tcPr>
            <w:tcW w:w="851" w:type="dxa"/>
            <w:tcBorders>
              <w:left w:val="single" w:sz="4" w:space="0" w:color="auto"/>
            </w:tcBorders>
          </w:tcPr>
          <w:p w14:paraId="239BEF17" w14:textId="77777777" w:rsidR="00183A1F" w:rsidRDefault="00183A1F" w:rsidP="00183A1F">
            <w:pPr>
              <w:pStyle w:val="ARtabletextright"/>
            </w:pPr>
            <w:r>
              <w:t>1</w:t>
            </w:r>
          </w:p>
        </w:tc>
        <w:tc>
          <w:tcPr>
            <w:tcW w:w="851" w:type="dxa"/>
          </w:tcPr>
          <w:p w14:paraId="30301DC6" w14:textId="77777777" w:rsidR="00183A1F" w:rsidRDefault="00183A1F" w:rsidP="00183A1F">
            <w:pPr>
              <w:pStyle w:val="ARtabletextright"/>
            </w:pPr>
            <w:r>
              <w:t>5</w:t>
            </w:r>
          </w:p>
        </w:tc>
        <w:tc>
          <w:tcPr>
            <w:tcW w:w="1021" w:type="dxa"/>
            <w:tcBorders>
              <w:top w:val="single" w:sz="4" w:space="0" w:color="auto"/>
            </w:tcBorders>
          </w:tcPr>
          <w:p w14:paraId="40F303AE"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45E10061" w14:textId="77777777" w:rsidR="00183A1F" w:rsidRDefault="00183A1F" w:rsidP="008D2D99">
            <w:pPr>
              <w:pStyle w:val="ARtabletextrightbold"/>
            </w:pPr>
            <w:r>
              <w:t>6</w:t>
            </w:r>
          </w:p>
        </w:tc>
        <w:tc>
          <w:tcPr>
            <w:tcW w:w="851" w:type="dxa"/>
            <w:tcBorders>
              <w:left w:val="single" w:sz="4" w:space="0" w:color="auto"/>
            </w:tcBorders>
          </w:tcPr>
          <w:p w14:paraId="63D85EBB" w14:textId="77777777" w:rsidR="00183A1F" w:rsidRDefault="00183A1F" w:rsidP="00183A1F">
            <w:pPr>
              <w:pStyle w:val="ARtabletextright"/>
            </w:pPr>
            <w:r>
              <w:t>0</w:t>
            </w:r>
          </w:p>
        </w:tc>
        <w:tc>
          <w:tcPr>
            <w:tcW w:w="851" w:type="dxa"/>
          </w:tcPr>
          <w:p w14:paraId="7EB70F6F" w14:textId="77777777" w:rsidR="00183A1F" w:rsidRDefault="00183A1F" w:rsidP="00183A1F">
            <w:pPr>
              <w:pStyle w:val="ARtabletextright"/>
            </w:pPr>
            <w:r>
              <w:t>0</w:t>
            </w:r>
          </w:p>
        </w:tc>
        <w:tc>
          <w:tcPr>
            <w:tcW w:w="1021" w:type="dxa"/>
          </w:tcPr>
          <w:p w14:paraId="4FD81DEB" w14:textId="77777777" w:rsidR="00183A1F" w:rsidRDefault="00183A1F" w:rsidP="00183A1F">
            <w:pPr>
              <w:pStyle w:val="ARtabletextright"/>
            </w:pPr>
            <w:r>
              <w:t>0</w:t>
            </w:r>
          </w:p>
        </w:tc>
        <w:tc>
          <w:tcPr>
            <w:tcW w:w="851" w:type="dxa"/>
          </w:tcPr>
          <w:p w14:paraId="31009F4E" w14:textId="77777777" w:rsidR="00183A1F" w:rsidRDefault="00183A1F" w:rsidP="008D2D99">
            <w:pPr>
              <w:pStyle w:val="ARtabletextrightbold"/>
            </w:pPr>
            <w:r>
              <w:t>0</w:t>
            </w:r>
          </w:p>
        </w:tc>
      </w:tr>
      <w:tr w:rsidR="00183A1F" w14:paraId="0100E4A8" w14:textId="77777777" w:rsidTr="008D2D99">
        <w:trPr>
          <w:cantSplit w:val="0"/>
          <w:trHeight w:val="290"/>
        </w:trPr>
        <w:tc>
          <w:tcPr>
            <w:tcW w:w="3289" w:type="dxa"/>
          </w:tcPr>
          <w:p w14:paraId="28259FD7" w14:textId="77777777" w:rsidR="00183A1F" w:rsidRDefault="00183A1F" w:rsidP="00183A1F">
            <w:pPr>
              <w:pStyle w:val="ARtabletext"/>
            </w:pPr>
            <w:r>
              <w:t>Djerriwarrh Health Services</w:t>
            </w:r>
          </w:p>
        </w:tc>
        <w:tc>
          <w:tcPr>
            <w:tcW w:w="851" w:type="dxa"/>
          </w:tcPr>
          <w:p w14:paraId="4671BC85" w14:textId="77777777" w:rsidR="00183A1F" w:rsidRDefault="00183A1F" w:rsidP="00183A1F">
            <w:pPr>
              <w:pStyle w:val="ARtabletextright"/>
            </w:pPr>
            <w:r>
              <w:t>1</w:t>
            </w:r>
          </w:p>
        </w:tc>
        <w:tc>
          <w:tcPr>
            <w:tcW w:w="851" w:type="dxa"/>
          </w:tcPr>
          <w:p w14:paraId="145A03C0" w14:textId="77777777" w:rsidR="00183A1F" w:rsidRDefault="00183A1F" w:rsidP="00183A1F">
            <w:pPr>
              <w:pStyle w:val="ARtabletextright"/>
            </w:pPr>
            <w:r>
              <w:t>0</w:t>
            </w:r>
          </w:p>
        </w:tc>
        <w:tc>
          <w:tcPr>
            <w:tcW w:w="1021" w:type="dxa"/>
            <w:tcBorders>
              <w:top w:val="single" w:sz="4" w:space="0" w:color="auto"/>
            </w:tcBorders>
          </w:tcPr>
          <w:p w14:paraId="5C4E9086"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4D0B5239" w14:textId="77777777" w:rsidR="00183A1F" w:rsidRDefault="00183A1F" w:rsidP="008D2D99">
            <w:pPr>
              <w:pStyle w:val="ARtabletextrightbold"/>
            </w:pPr>
            <w:r>
              <w:t>1</w:t>
            </w:r>
          </w:p>
        </w:tc>
        <w:tc>
          <w:tcPr>
            <w:tcW w:w="851" w:type="dxa"/>
            <w:tcBorders>
              <w:left w:val="single" w:sz="4" w:space="0" w:color="auto"/>
            </w:tcBorders>
          </w:tcPr>
          <w:p w14:paraId="465E43FA" w14:textId="77777777" w:rsidR="00183A1F" w:rsidRDefault="00183A1F" w:rsidP="00183A1F">
            <w:pPr>
              <w:pStyle w:val="ARtabletextright"/>
            </w:pPr>
            <w:r>
              <w:t>3</w:t>
            </w:r>
          </w:p>
        </w:tc>
        <w:tc>
          <w:tcPr>
            <w:tcW w:w="851" w:type="dxa"/>
          </w:tcPr>
          <w:p w14:paraId="29629D8C" w14:textId="77777777" w:rsidR="00183A1F" w:rsidRDefault="00183A1F" w:rsidP="00183A1F">
            <w:pPr>
              <w:pStyle w:val="ARtabletextright"/>
            </w:pPr>
            <w:r>
              <w:t>1</w:t>
            </w:r>
          </w:p>
        </w:tc>
        <w:tc>
          <w:tcPr>
            <w:tcW w:w="1021" w:type="dxa"/>
            <w:tcBorders>
              <w:top w:val="single" w:sz="4" w:space="0" w:color="auto"/>
            </w:tcBorders>
          </w:tcPr>
          <w:p w14:paraId="4742C186"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67071E53" w14:textId="77777777" w:rsidR="00183A1F" w:rsidRDefault="00183A1F" w:rsidP="008D2D99">
            <w:pPr>
              <w:pStyle w:val="ARtabletextrightbold"/>
            </w:pPr>
            <w:r>
              <w:t>4</w:t>
            </w:r>
          </w:p>
        </w:tc>
        <w:tc>
          <w:tcPr>
            <w:tcW w:w="851" w:type="dxa"/>
            <w:tcBorders>
              <w:left w:val="single" w:sz="4" w:space="0" w:color="auto"/>
            </w:tcBorders>
          </w:tcPr>
          <w:p w14:paraId="17233E88" w14:textId="052E4C8D" w:rsidR="00183A1F" w:rsidRDefault="00EC65C3" w:rsidP="00183A1F">
            <w:pPr>
              <w:pStyle w:val="ARtabletextright"/>
            </w:pPr>
            <w:r>
              <w:t>−</w:t>
            </w:r>
            <w:r w:rsidR="00183A1F">
              <w:t>2</w:t>
            </w:r>
          </w:p>
        </w:tc>
        <w:tc>
          <w:tcPr>
            <w:tcW w:w="851" w:type="dxa"/>
          </w:tcPr>
          <w:p w14:paraId="3E229BDB" w14:textId="71423EF8" w:rsidR="00183A1F" w:rsidRDefault="00EC65C3" w:rsidP="00183A1F">
            <w:pPr>
              <w:pStyle w:val="ARtabletextright"/>
            </w:pPr>
            <w:r>
              <w:t>−</w:t>
            </w:r>
            <w:r w:rsidR="00183A1F">
              <w:t>1</w:t>
            </w:r>
          </w:p>
        </w:tc>
        <w:tc>
          <w:tcPr>
            <w:tcW w:w="1021" w:type="dxa"/>
          </w:tcPr>
          <w:p w14:paraId="50C20017" w14:textId="77777777" w:rsidR="00183A1F" w:rsidRDefault="00183A1F" w:rsidP="00183A1F">
            <w:pPr>
              <w:pStyle w:val="ARtabletextright"/>
            </w:pPr>
            <w:r>
              <w:t>0</w:t>
            </w:r>
          </w:p>
        </w:tc>
        <w:tc>
          <w:tcPr>
            <w:tcW w:w="851" w:type="dxa"/>
          </w:tcPr>
          <w:p w14:paraId="3D8A62E6" w14:textId="04FFE93D" w:rsidR="00183A1F" w:rsidRDefault="00EC65C3" w:rsidP="008D2D99">
            <w:pPr>
              <w:pStyle w:val="ARtabletextrightbold"/>
            </w:pPr>
            <w:r>
              <w:t>−</w:t>
            </w:r>
            <w:r w:rsidR="00183A1F">
              <w:t>3</w:t>
            </w:r>
          </w:p>
        </w:tc>
      </w:tr>
      <w:tr w:rsidR="00183A1F" w14:paraId="2F3D6259" w14:textId="77777777" w:rsidTr="008D2D99">
        <w:trPr>
          <w:cantSplit w:val="0"/>
          <w:trHeight w:val="290"/>
        </w:trPr>
        <w:tc>
          <w:tcPr>
            <w:tcW w:w="3289" w:type="dxa"/>
          </w:tcPr>
          <w:p w14:paraId="1A509F01" w14:textId="77777777" w:rsidR="00183A1F" w:rsidRDefault="00183A1F" w:rsidP="00183A1F">
            <w:pPr>
              <w:pStyle w:val="ARtabletext"/>
            </w:pPr>
            <w:r>
              <w:t>East Grampians Health Service</w:t>
            </w:r>
          </w:p>
        </w:tc>
        <w:tc>
          <w:tcPr>
            <w:tcW w:w="851" w:type="dxa"/>
          </w:tcPr>
          <w:p w14:paraId="21F0B605" w14:textId="77777777" w:rsidR="00183A1F" w:rsidRDefault="00183A1F" w:rsidP="00183A1F">
            <w:pPr>
              <w:pStyle w:val="ARtabletextright"/>
            </w:pPr>
            <w:r>
              <w:t>0</w:t>
            </w:r>
          </w:p>
        </w:tc>
        <w:tc>
          <w:tcPr>
            <w:tcW w:w="851" w:type="dxa"/>
          </w:tcPr>
          <w:p w14:paraId="2A8395D4" w14:textId="77777777" w:rsidR="00183A1F" w:rsidRDefault="00183A1F" w:rsidP="00183A1F">
            <w:pPr>
              <w:pStyle w:val="ARtabletextright"/>
            </w:pPr>
            <w:r>
              <w:t>1</w:t>
            </w:r>
          </w:p>
        </w:tc>
        <w:tc>
          <w:tcPr>
            <w:tcW w:w="1021" w:type="dxa"/>
            <w:tcBorders>
              <w:top w:val="single" w:sz="4" w:space="0" w:color="auto"/>
            </w:tcBorders>
          </w:tcPr>
          <w:p w14:paraId="1517A419"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46FF0625" w14:textId="77777777" w:rsidR="00183A1F" w:rsidRDefault="00183A1F" w:rsidP="008D2D99">
            <w:pPr>
              <w:pStyle w:val="ARtabletextrightbold"/>
            </w:pPr>
            <w:r>
              <w:t>1</w:t>
            </w:r>
          </w:p>
        </w:tc>
        <w:tc>
          <w:tcPr>
            <w:tcW w:w="851" w:type="dxa"/>
            <w:tcBorders>
              <w:left w:val="single" w:sz="4" w:space="0" w:color="auto"/>
            </w:tcBorders>
          </w:tcPr>
          <w:p w14:paraId="409B9E55" w14:textId="77777777" w:rsidR="00183A1F" w:rsidRDefault="00183A1F" w:rsidP="00183A1F">
            <w:pPr>
              <w:pStyle w:val="ARtabletextright"/>
            </w:pPr>
            <w:r>
              <w:t>0</w:t>
            </w:r>
          </w:p>
        </w:tc>
        <w:tc>
          <w:tcPr>
            <w:tcW w:w="851" w:type="dxa"/>
          </w:tcPr>
          <w:p w14:paraId="2D15FFCB" w14:textId="77777777" w:rsidR="00183A1F" w:rsidRDefault="00183A1F" w:rsidP="00183A1F">
            <w:pPr>
              <w:pStyle w:val="ARtabletextright"/>
            </w:pPr>
            <w:r>
              <w:t>1</w:t>
            </w:r>
          </w:p>
        </w:tc>
        <w:tc>
          <w:tcPr>
            <w:tcW w:w="1021" w:type="dxa"/>
            <w:tcBorders>
              <w:top w:val="single" w:sz="4" w:space="0" w:color="auto"/>
            </w:tcBorders>
          </w:tcPr>
          <w:p w14:paraId="4002CB37"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463AC6DC" w14:textId="77777777" w:rsidR="00183A1F" w:rsidRDefault="00183A1F" w:rsidP="008D2D99">
            <w:pPr>
              <w:pStyle w:val="ARtabletextrightbold"/>
            </w:pPr>
            <w:r>
              <w:t>1</w:t>
            </w:r>
          </w:p>
        </w:tc>
        <w:tc>
          <w:tcPr>
            <w:tcW w:w="851" w:type="dxa"/>
            <w:tcBorders>
              <w:left w:val="single" w:sz="4" w:space="0" w:color="auto"/>
            </w:tcBorders>
          </w:tcPr>
          <w:p w14:paraId="57EBC382" w14:textId="77777777" w:rsidR="00183A1F" w:rsidRDefault="00183A1F" w:rsidP="00183A1F">
            <w:pPr>
              <w:pStyle w:val="ARtabletextright"/>
            </w:pPr>
            <w:r>
              <w:t>0</w:t>
            </w:r>
          </w:p>
        </w:tc>
        <w:tc>
          <w:tcPr>
            <w:tcW w:w="851" w:type="dxa"/>
          </w:tcPr>
          <w:p w14:paraId="0AB8270D" w14:textId="77777777" w:rsidR="00183A1F" w:rsidRDefault="00183A1F" w:rsidP="00183A1F">
            <w:pPr>
              <w:pStyle w:val="ARtabletextright"/>
            </w:pPr>
            <w:r>
              <w:t>0</w:t>
            </w:r>
          </w:p>
        </w:tc>
        <w:tc>
          <w:tcPr>
            <w:tcW w:w="1021" w:type="dxa"/>
          </w:tcPr>
          <w:p w14:paraId="55BEC283" w14:textId="77777777" w:rsidR="00183A1F" w:rsidRDefault="00183A1F" w:rsidP="00183A1F">
            <w:pPr>
              <w:pStyle w:val="ARtabletextright"/>
            </w:pPr>
            <w:r>
              <w:t>0</w:t>
            </w:r>
          </w:p>
        </w:tc>
        <w:tc>
          <w:tcPr>
            <w:tcW w:w="851" w:type="dxa"/>
          </w:tcPr>
          <w:p w14:paraId="1238FC8D" w14:textId="77777777" w:rsidR="00183A1F" w:rsidRDefault="00183A1F" w:rsidP="008D2D99">
            <w:pPr>
              <w:pStyle w:val="ARtabletextrightbold"/>
            </w:pPr>
            <w:r>
              <w:t>0</w:t>
            </w:r>
          </w:p>
        </w:tc>
      </w:tr>
      <w:tr w:rsidR="00183A1F" w14:paraId="3C304A79" w14:textId="77777777" w:rsidTr="008D2D99">
        <w:trPr>
          <w:cantSplit w:val="0"/>
          <w:trHeight w:val="290"/>
        </w:trPr>
        <w:tc>
          <w:tcPr>
            <w:tcW w:w="3289" w:type="dxa"/>
          </w:tcPr>
          <w:p w14:paraId="60F2C1DA" w14:textId="77777777" w:rsidR="00183A1F" w:rsidRDefault="00183A1F" w:rsidP="00183A1F">
            <w:pPr>
              <w:pStyle w:val="ARtabletext"/>
            </w:pPr>
            <w:r>
              <w:t>East Wimmera Health Service</w:t>
            </w:r>
          </w:p>
        </w:tc>
        <w:tc>
          <w:tcPr>
            <w:tcW w:w="851" w:type="dxa"/>
          </w:tcPr>
          <w:p w14:paraId="5C03BA03" w14:textId="77777777" w:rsidR="00183A1F" w:rsidRDefault="00183A1F" w:rsidP="00183A1F">
            <w:pPr>
              <w:pStyle w:val="ARtabletextright"/>
            </w:pPr>
            <w:r>
              <w:t>0</w:t>
            </w:r>
          </w:p>
        </w:tc>
        <w:tc>
          <w:tcPr>
            <w:tcW w:w="851" w:type="dxa"/>
          </w:tcPr>
          <w:p w14:paraId="1603DB8F" w14:textId="77777777" w:rsidR="00183A1F" w:rsidRDefault="00183A1F" w:rsidP="00183A1F">
            <w:pPr>
              <w:pStyle w:val="ARtabletextright"/>
            </w:pPr>
            <w:r>
              <w:t>1</w:t>
            </w:r>
          </w:p>
        </w:tc>
        <w:tc>
          <w:tcPr>
            <w:tcW w:w="1021" w:type="dxa"/>
            <w:tcBorders>
              <w:top w:val="single" w:sz="4" w:space="0" w:color="auto"/>
            </w:tcBorders>
          </w:tcPr>
          <w:p w14:paraId="2D0AC7F4"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11A5AEAA" w14:textId="77777777" w:rsidR="00183A1F" w:rsidRDefault="00183A1F" w:rsidP="008D2D99">
            <w:pPr>
              <w:pStyle w:val="ARtabletextrightbold"/>
            </w:pPr>
            <w:r>
              <w:t>1</w:t>
            </w:r>
          </w:p>
        </w:tc>
        <w:tc>
          <w:tcPr>
            <w:tcW w:w="851" w:type="dxa"/>
            <w:tcBorders>
              <w:left w:val="single" w:sz="4" w:space="0" w:color="auto"/>
            </w:tcBorders>
          </w:tcPr>
          <w:p w14:paraId="1C2A6D20" w14:textId="77777777" w:rsidR="00183A1F" w:rsidRDefault="00183A1F" w:rsidP="00183A1F">
            <w:pPr>
              <w:pStyle w:val="ARtabletextright"/>
            </w:pPr>
            <w:r>
              <w:t>0</w:t>
            </w:r>
          </w:p>
        </w:tc>
        <w:tc>
          <w:tcPr>
            <w:tcW w:w="851" w:type="dxa"/>
          </w:tcPr>
          <w:p w14:paraId="22A93566" w14:textId="77777777" w:rsidR="00183A1F" w:rsidRDefault="00183A1F" w:rsidP="00183A1F">
            <w:pPr>
              <w:pStyle w:val="ARtabletextright"/>
            </w:pPr>
            <w:r>
              <w:t>1</w:t>
            </w:r>
          </w:p>
        </w:tc>
        <w:tc>
          <w:tcPr>
            <w:tcW w:w="1021" w:type="dxa"/>
            <w:tcBorders>
              <w:top w:val="single" w:sz="4" w:space="0" w:color="auto"/>
            </w:tcBorders>
          </w:tcPr>
          <w:p w14:paraId="50725C8D"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4E556689" w14:textId="77777777" w:rsidR="00183A1F" w:rsidRDefault="00183A1F" w:rsidP="008D2D99">
            <w:pPr>
              <w:pStyle w:val="ARtabletextrightbold"/>
            </w:pPr>
            <w:r>
              <w:t>1</w:t>
            </w:r>
          </w:p>
        </w:tc>
        <w:tc>
          <w:tcPr>
            <w:tcW w:w="851" w:type="dxa"/>
            <w:tcBorders>
              <w:left w:val="single" w:sz="4" w:space="0" w:color="auto"/>
            </w:tcBorders>
          </w:tcPr>
          <w:p w14:paraId="3D4B8364" w14:textId="77777777" w:rsidR="00183A1F" w:rsidRDefault="00183A1F" w:rsidP="00183A1F">
            <w:pPr>
              <w:pStyle w:val="ARtabletextright"/>
            </w:pPr>
            <w:r>
              <w:t>0</w:t>
            </w:r>
          </w:p>
        </w:tc>
        <w:tc>
          <w:tcPr>
            <w:tcW w:w="851" w:type="dxa"/>
          </w:tcPr>
          <w:p w14:paraId="14FC6334" w14:textId="77777777" w:rsidR="00183A1F" w:rsidRDefault="00183A1F" w:rsidP="00183A1F">
            <w:pPr>
              <w:pStyle w:val="ARtabletextright"/>
            </w:pPr>
            <w:r>
              <w:t>0</w:t>
            </w:r>
          </w:p>
        </w:tc>
        <w:tc>
          <w:tcPr>
            <w:tcW w:w="1021" w:type="dxa"/>
          </w:tcPr>
          <w:p w14:paraId="31768D7F" w14:textId="77777777" w:rsidR="00183A1F" w:rsidRDefault="00183A1F" w:rsidP="00183A1F">
            <w:pPr>
              <w:pStyle w:val="ARtabletextright"/>
            </w:pPr>
            <w:r>
              <w:t>0</w:t>
            </w:r>
          </w:p>
        </w:tc>
        <w:tc>
          <w:tcPr>
            <w:tcW w:w="851" w:type="dxa"/>
          </w:tcPr>
          <w:p w14:paraId="2C1EFF2E" w14:textId="77777777" w:rsidR="00183A1F" w:rsidRDefault="00183A1F" w:rsidP="008D2D99">
            <w:pPr>
              <w:pStyle w:val="ARtabletextrightbold"/>
            </w:pPr>
            <w:r>
              <w:t>0</w:t>
            </w:r>
          </w:p>
        </w:tc>
      </w:tr>
      <w:tr w:rsidR="00183A1F" w14:paraId="5DE676E9" w14:textId="77777777" w:rsidTr="008D2D99">
        <w:trPr>
          <w:cantSplit w:val="0"/>
          <w:trHeight w:val="290"/>
        </w:trPr>
        <w:tc>
          <w:tcPr>
            <w:tcW w:w="3289" w:type="dxa"/>
          </w:tcPr>
          <w:p w14:paraId="23A5D7BB" w14:textId="77777777" w:rsidR="00183A1F" w:rsidRDefault="00183A1F" w:rsidP="00183A1F">
            <w:pPr>
              <w:pStyle w:val="ARtabletext"/>
            </w:pPr>
            <w:r>
              <w:t>Eastern Health</w:t>
            </w:r>
          </w:p>
        </w:tc>
        <w:tc>
          <w:tcPr>
            <w:tcW w:w="851" w:type="dxa"/>
          </w:tcPr>
          <w:p w14:paraId="2C51D742" w14:textId="77777777" w:rsidR="00183A1F" w:rsidRDefault="00183A1F" w:rsidP="00183A1F">
            <w:pPr>
              <w:pStyle w:val="ARtabletextright"/>
            </w:pPr>
            <w:r>
              <w:t>5</w:t>
            </w:r>
          </w:p>
        </w:tc>
        <w:tc>
          <w:tcPr>
            <w:tcW w:w="851" w:type="dxa"/>
          </w:tcPr>
          <w:p w14:paraId="5ABBCCE7" w14:textId="77777777" w:rsidR="00183A1F" w:rsidRDefault="00183A1F" w:rsidP="00183A1F">
            <w:pPr>
              <w:pStyle w:val="ARtabletextright"/>
            </w:pPr>
            <w:r>
              <w:t>3</w:t>
            </w:r>
          </w:p>
        </w:tc>
        <w:tc>
          <w:tcPr>
            <w:tcW w:w="1021" w:type="dxa"/>
            <w:tcBorders>
              <w:top w:val="single" w:sz="4" w:space="0" w:color="auto"/>
            </w:tcBorders>
          </w:tcPr>
          <w:p w14:paraId="71B09028"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1D97515C" w14:textId="77777777" w:rsidR="00183A1F" w:rsidRDefault="00183A1F" w:rsidP="008D2D99">
            <w:pPr>
              <w:pStyle w:val="ARtabletextrightbold"/>
            </w:pPr>
            <w:r>
              <w:t>8</w:t>
            </w:r>
          </w:p>
        </w:tc>
        <w:tc>
          <w:tcPr>
            <w:tcW w:w="851" w:type="dxa"/>
            <w:tcBorders>
              <w:left w:val="single" w:sz="4" w:space="0" w:color="auto"/>
            </w:tcBorders>
          </w:tcPr>
          <w:p w14:paraId="5118EF97" w14:textId="77777777" w:rsidR="00183A1F" w:rsidRDefault="00183A1F" w:rsidP="00183A1F">
            <w:pPr>
              <w:pStyle w:val="ARtabletextright"/>
            </w:pPr>
            <w:r>
              <w:t>6</w:t>
            </w:r>
          </w:p>
        </w:tc>
        <w:tc>
          <w:tcPr>
            <w:tcW w:w="851" w:type="dxa"/>
          </w:tcPr>
          <w:p w14:paraId="44AC6466" w14:textId="77777777" w:rsidR="00183A1F" w:rsidRDefault="00183A1F" w:rsidP="00183A1F">
            <w:pPr>
              <w:pStyle w:val="ARtabletextright"/>
            </w:pPr>
            <w:r>
              <w:t>3</w:t>
            </w:r>
          </w:p>
        </w:tc>
        <w:tc>
          <w:tcPr>
            <w:tcW w:w="1021" w:type="dxa"/>
            <w:tcBorders>
              <w:top w:val="single" w:sz="4" w:space="0" w:color="auto"/>
            </w:tcBorders>
          </w:tcPr>
          <w:p w14:paraId="24947027"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6D9F4C80" w14:textId="77777777" w:rsidR="00183A1F" w:rsidRDefault="00183A1F" w:rsidP="008D2D99">
            <w:pPr>
              <w:pStyle w:val="ARtabletextrightbold"/>
            </w:pPr>
            <w:r>
              <w:t>9</w:t>
            </w:r>
          </w:p>
        </w:tc>
        <w:tc>
          <w:tcPr>
            <w:tcW w:w="851" w:type="dxa"/>
            <w:tcBorders>
              <w:left w:val="single" w:sz="4" w:space="0" w:color="auto"/>
            </w:tcBorders>
          </w:tcPr>
          <w:p w14:paraId="1346BD85" w14:textId="653310E4" w:rsidR="00183A1F" w:rsidRDefault="00EC65C3" w:rsidP="00183A1F">
            <w:pPr>
              <w:pStyle w:val="ARtabletextright"/>
            </w:pPr>
            <w:r>
              <w:t>−</w:t>
            </w:r>
            <w:r w:rsidR="00183A1F">
              <w:t>1</w:t>
            </w:r>
          </w:p>
        </w:tc>
        <w:tc>
          <w:tcPr>
            <w:tcW w:w="851" w:type="dxa"/>
          </w:tcPr>
          <w:p w14:paraId="1BE143E7" w14:textId="77777777" w:rsidR="00183A1F" w:rsidRDefault="00183A1F" w:rsidP="00183A1F">
            <w:pPr>
              <w:pStyle w:val="ARtabletextright"/>
            </w:pPr>
            <w:r>
              <w:t>0</w:t>
            </w:r>
          </w:p>
        </w:tc>
        <w:tc>
          <w:tcPr>
            <w:tcW w:w="1021" w:type="dxa"/>
          </w:tcPr>
          <w:p w14:paraId="2BF6AB51" w14:textId="77777777" w:rsidR="00183A1F" w:rsidRDefault="00183A1F" w:rsidP="00183A1F">
            <w:pPr>
              <w:pStyle w:val="ARtabletextright"/>
            </w:pPr>
            <w:r>
              <w:t>0</w:t>
            </w:r>
          </w:p>
        </w:tc>
        <w:tc>
          <w:tcPr>
            <w:tcW w:w="851" w:type="dxa"/>
          </w:tcPr>
          <w:p w14:paraId="31171752" w14:textId="1001FB8B" w:rsidR="00183A1F" w:rsidRDefault="00EC65C3" w:rsidP="008D2D99">
            <w:pPr>
              <w:pStyle w:val="ARtabletextrightbold"/>
            </w:pPr>
            <w:r>
              <w:t>−</w:t>
            </w:r>
            <w:r w:rsidR="00183A1F">
              <w:t>1</w:t>
            </w:r>
          </w:p>
        </w:tc>
      </w:tr>
      <w:tr w:rsidR="00183A1F" w14:paraId="2582D0F0" w14:textId="77777777" w:rsidTr="008D2D99">
        <w:trPr>
          <w:cantSplit w:val="0"/>
          <w:trHeight w:val="290"/>
        </w:trPr>
        <w:tc>
          <w:tcPr>
            <w:tcW w:w="3289" w:type="dxa"/>
          </w:tcPr>
          <w:p w14:paraId="6D6CA57A" w14:textId="77777777" w:rsidR="00183A1F" w:rsidRDefault="00183A1F" w:rsidP="00183A1F">
            <w:pPr>
              <w:pStyle w:val="ARtabletext"/>
            </w:pPr>
            <w:r>
              <w:t>Echuca Regional Health</w:t>
            </w:r>
          </w:p>
        </w:tc>
        <w:tc>
          <w:tcPr>
            <w:tcW w:w="851" w:type="dxa"/>
          </w:tcPr>
          <w:p w14:paraId="7C153B8B" w14:textId="77777777" w:rsidR="00183A1F" w:rsidRDefault="00183A1F" w:rsidP="00183A1F">
            <w:pPr>
              <w:pStyle w:val="ARtabletextright"/>
            </w:pPr>
            <w:r>
              <w:t>1</w:t>
            </w:r>
          </w:p>
        </w:tc>
        <w:tc>
          <w:tcPr>
            <w:tcW w:w="851" w:type="dxa"/>
          </w:tcPr>
          <w:p w14:paraId="559A3802" w14:textId="77777777" w:rsidR="00183A1F" w:rsidRDefault="00183A1F" w:rsidP="00183A1F">
            <w:pPr>
              <w:pStyle w:val="ARtabletextright"/>
            </w:pPr>
            <w:r>
              <w:t>1</w:t>
            </w:r>
          </w:p>
        </w:tc>
        <w:tc>
          <w:tcPr>
            <w:tcW w:w="1021" w:type="dxa"/>
            <w:tcBorders>
              <w:top w:val="single" w:sz="4" w:space="0" w:color="auto"/>
            </w:tcBorders>
          </w:tcPr>
          <w:p w14:paraId="18638FF4"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3E963458" w14:textId="77777777" w:rsidR="00183A1F" w:rsidRDefault="00183A1F" w:rsidP="008D2D99">
            <w:pPr>
              <w:pStyle w:val="ARtabletextrightbold"/>
            </w:pPr>
            <w:r>
              <w:t>2</w:t>
            </w:r>
          </w:p>
        </w:tc>
        <w:tc>
          <w:tcPr>
            <w:tcW w:w="851" w:type="dxa"/>
            <w:tcBorders>
              <w:left w:val="single" w:sz="4" w:space="0" w:color="auto"/>
            </w:tcBorders>
          </w:tcPr>
          <w:p w14:paraId="2362F05B" w14:textId="77777777" w:rsidR="00183A1F" w:rsidRDefault="00183A1F" w:rsidP="00183A1F">
            <w:pPr>
              <w:pStyle w:val="ARtabletextright"/>
            </w:pPr>
            <w:r>
              <w:t>1</w:t>
            </w:r>
          </w:p>
        </w:tc>
        <w:tc>
          <w:tcPr>
            <w:tcW w:w="851" w:type="dxa"/>
          </w:tcPr>
          <w:p w14:paraId="25ABAB7A" w14:textId="77777777" w:rsidR="00183A1F" w:rsidRDefault="00183A1F" w:rsidP="00183A1F">
            <w:pPr>
              <w:pStyle w:val="ARtabletextright"/>
            </w:pPr>
            <w:r>
              <w:t>1</w:t>
            </w:r>
          </w:p>
        </w:tc>
        <w:tc>
          <w:tcPr>
            <w:tcW w:w="1021" w:type="dxa"/>
            <w:tcBorders>
              <w:top w:val="single" w:sz="4" w:space="0" w:color="auto"/>
            </w:tcBorders>
          </w:tcPr>
          <w:p w14:paraId="45DE27AF"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76A53F89" w14:textId="77777777" w:rsidR="00183A1F" w:rsidRDefault="00183A1F" w:rsidP="008D2D99">
            <w:pPr>
              <w:pStyle w:val="ARtabletextrightbold"/>
            </w:pPr>
            <w:r>
              <w:t>2</w:t>
            </w:r>
          </w:p>
        </w:tc>
        <w:tc>
          <w:tcPr>
            <w:tcW w:w="851" w:type="dxa"/>
            <w:tcBorders>
              <w:left w:val="single" w:sz="4" w:space="0" w:color="auto"/>
            </w:tcBorders>
          </w:tcPr>
          <w:p w14:paraId="3C83583E" w14:textId="77777777" w:rsidR="00183A1F" w:rsidRDefault="00183A1F" w:rsidP="00183A1F">
            <w:pPr>
              <w:pStyle w:val="ARtabletextright"/>
            </w:pPr>
            <w:r>
              <w:t>0</w:t>
            </w:r>
          </w:p>
        </w:tc>
        <w:tc>
          <w:tcPr>
            <w:tcW w:w="851" w:type="dxa"/>
          </w:tcPr>
          <w:p w14:paraId="15DD048A" w14:textId="77777777" w:rsidR="00183A1F" w:rsidRDefault="00183A1F" w:rsidP="00183A1F">
            <w:pPr>
              <w:pStyle w:val="ARtabletextright"/>
            </w:pPr>
            <w:r>
              <w:t>0</w:t>
            </w:r>
          </w:p>
        </w:tc>
        <w:tc>
          <w:tcPr>
            <w:tcW w:w="1021" w:type="dxa"/>
          </w:tcPr>
          <w:p w14:paraId="5B03D695" w14:textId="77777777" w:rsidR="00183A1F" w:rsidRDefault="00183A1F" w:rsidP="00183A1F">
            <w:pPr>
              <w:pStyle w:val="ARtabletextright"/>
            </w:pPr>
            <w:r>
              <w:t>0</w:t>
            </w:r>
          </w:p>
        </w:tc>
        <w:tc>
          <w:tcPr>
            <w:tcW w:w="851" w:type="dxa"/>
          </w:tcPr>
          <w:p w14:paraId="3D4BF1AA" w14:textId="77777777" w:rsidR="00183A1F" w:rsidRDefault="00183A1F" w:rsidP="008D2D99">
            <w:pPr>
              <w:pStyle w:val="ARtabletextrightbold"/>
            </w:pPr>
            <w:r>
              <w:t>0</w:t>
            </w:r>
          </w:p>
        </w:tc>
      </w:tr>
      <w:tr w:rsidR="00183A1F" w14:paraId="2F8D4243" w14:textId="77777777" w:rsidTr="008D2D99">
        <w:trPr>
          <w:cantSplit w:val="0"/>
          <w:trHeight w:val="290"/>
        </w:trPr>
        <w:tc>
          <w:tcPr>
            <w:tcW w:w="3289" w:type="dxa"/>
          </w:tcPr>
          <w:p w14:paraId="26965A49" w14:textId="77777777" w:rsidR="00183A1F" w:rsidRDefault="00183A1F" w:rsidP="00183A1F">
            <w:pPr>
              <w:pStyle w:val="ARtabletext"/>
            </w:pPr>
            <w:r>
              <w:t>Edenhope and District Memorial Hospital</w:t>
            </w:r>
          </w:p>
        </w:tc>
        <w:tc>
          <w:tcPr>
            <w:tcW w:w="851" w:type="dxa"/>
          </w:tcPr>
          <w:p w14:paraId="711266DA" w14:textId="77777777" w:rsidR="00183A1F" w:rsidRDefault="00183A1F" w:rsidP="00183A1F">
            <w:pPr>
              <w:pStyle w:val="ARtabletextright"/>
            </w:pPr>
            <w:r>
              <w:t>0</w:t>
            </w:r>
          </w:p>
        </w:tc>
        <w:tc>
          <w:tcPr>
            <w:tcW w:w="851" w:type="dxa"/>
          </w:tcPr>
          <w:p w14:paraId="6A00AC35" w14:textId="77777777" w:rsidR="00183A1F" w:rsidRDefault="00183A1F" w:rsidP="00183A1F">
            <w:pPr>
              <w:pStyle w:val="ARtabletextright"/>
            </w:pPr>
            <w:r>
              <w:t>1</w:t>
            </w:r>
          </w:p>
        </w:tc>
        <w:tc>
          <w:tcPr>
            <w:tcW w:w="1021" w:type="dxa"/>
            <w:tcBorders>
              <w:top w:val="single" w:sz="4" w:space="0" w:color="auto"/>
            </w:tcBorders>
          </w:tcPr>
          <w:p w14:paraId="36DB6690"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19FA7F14" w14:textId="77777777" w:rsidR="00183A1F" w:rsidRDefault="00183A1F" w:rsidP="008D2D99">
            <w:pPr>
              <w:pStyle w:val="ARtabletextrightbold"/>
            </w:pPr>
            <w:r>
              <w:t>1</w:t>
            </w:r>
          </w:p>
        </w:tc>
        <w:tc>
          <w:tcPr>
            <w:tcW w:w="851" w:type="dxa"/>
            <w:tcBorders>
              <w:left w:val="single" w:sz="4" w:space="0" w:color="auto"/>
            </w:tcBorders>
          </w:tcPr>
          <w:p w14:paraId="39E9D0CC" w14:textId="77777777" w:rsidR="00183A1F" w:rsidRDefault="00183A1F" w:rsidP="00183A1F">
            <w:pPr>
              <w:pStyle w:val="ARtabletextright"/>
            </w:pPr>
            <w:r>
              <w:t>0</w:t>
            </w:r>
          </w:p>
        </w:tc>
        <w:tc>
          <w:tcPr>
            <w:tcW w:w="851" w:type="dxa"/>
          </w:tcPr>
          <w:p w14:paraId="59FBF43B" w14:textId="77777777" w:rsidR="00183A1F" w:rsidRDefault="00183A1F" w:rsidP="00183A1F">
            <w:pPr>
              <w:pStyle w:val="ARtabletextright"/>
            </w:pPr>
            <w:r>
              <w:t>1</w:t>
            </w:r>
          </w:p>
        </w:tc>
        <w:tc>
          <w:tcPr>
            <w:tcW w:w="1021" w:type="dxa"/>
            <w:tcBorders>
              <w:top w:val="single" w:sz="4" w:space="0" w:color="auto"/>
            </w:tcBorders>
          </w:tcPr>
          <w:p w14:paraId="31D55845"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60A82AED" w14:textId="77777777" w:rsidR="00183A1F" w:rsidRDefault="00183A1F" w:rsidP="008D2D99">
            <w:pPr>
              <w:pStyle w:val="ARtabletextrightbold"/>
            </w:pPr>
            <w:r>
              <w:t>1</w:t>
            </w:r>
          </w:p>
        </w:tc>
        <w:tc>
          <w:tcPr>
            <w:tcW w:w="851" w:type="dxa"/>
            <w:tcBorders>
              <w:left w:val="single" w:sz="4" w:space="0" w:color="auto"/>
            </w:tcBorders>
          </w:tcPr>
          <w:p w14:paraId="2E83BA76" w14:textId="77777777" w:rsidR="00183A1F" w:rsidRDefault="00183A1F" w:rsidP="00183A1F">
            <w:pPr>
              <w:pStyle w:val="ARtabletextright"/>
            </w:pPr>
            <w:r>
              <w:t>0</w:t>
            </w:r>
          </w:p>
        </w:tc>
        <w:tc>
          <w:tcPr>
            <w:tcW w:w="851" w:type="dxa"/>
          </w:tcPr>
          <w:p w14:paraId="0E951E15" w14:textId="77777777" w:rsidR="00183A1F" w:rsidRDefault="00183A1F" w:rsidP="00183A1F">
            <w:pPr>
              <w:pStyle w:val="ARtabletextright"/>
            </w:pPr>
            <w:r>
              <w:t>0</w:t>
            </w:r>
          </w:p>
        </w:tc>
        <w:tc>
          <w:tcPr>
            <w:tcW w:w="1021" w:type="dxa"/>
          </w:tcPr>
          <w:p w14:paraId="09AFBD9C" w14:textId="77777777" w:rsidR="00183A1F" w:rsidRDefault="00183A1F" w:rsidP="00183A1F">
            <w:pPr>
              <w:pStyle w:val="ARtabletextright"/>
            </w:pPr>
            <w:r>
              <w:t>0</w:t>
            </w:r>
          </w:p>
        </w:tc>
        <w:tc>
          <w:tcPr>
            <w:tcW w:w="851" w:type="dxa"/>
          </w:tcPr>
          <w:p w14:paraId="3609C311" w14:textId="77777777" w:rsidR="00183A1F" w:rsidRDefault="00183A1F" w:rsidP="008D2D99">
            <w:pPr>
              <w:pStyle w:val="ARtabletextrightbold"/>
            </w:pPr>
            <w:r>
              <w:t>0</w:t>
            </w:r>
          </w:p>
        </w:tc>
      </w:tr>
      <w:tr w:rsidR="00183A1F" w14:paraId="3F274531" w14:textId="77777777" w:rsidTr="008D2D99">
        <w:trPr>
          <w:cantSplit w:val="0"/>
          <w:trHeight w:val="290"/>
        </w:trPr>
        <w:tc>
          <w:tcPr>
            <w:tcW w:w="3289" w:type="dxa"/>
          </w:tcPr>
          <w:p w14:paraId="5933CB12" w14:textId="77777777" w:rsidR="00183A1F" w:rsidRDefault="00183A1F" w:rsidP="00183A1F">
            <w:pPr>
              <w:pStyle w:val="ARtabletext"/>
            </w:pPr>
            <w:r>
              <w:t>Geelong Cemeteries Trust</w:t>
            </w:r>
          </w:p>
        </w:tc>
        <w:tc>
          <w:tcPr>
            <w:tcW w:w="851" w:type="dxa"/>
          </w:tcPr>
          <w:p w14:paraId="33025D5D" w14:textId="77777777" w:rsidR="00183A1F" w:rsidRDefault="00183A1F" w:rsidP="00183A1F">
            <w:pPr>
              <w:pStyle w:val="ARtabletextright"/>
            </w:pPr>
            <w:r>
              <w:t>0</w:t>
            </w:r>
          </w:p>
        </w:tc>
        <w:tc>
          <w:tcPr>
            <w:tcW w:w="851" w:type="dxa"/>
          </w:tcPr>
          <w:p w14:paraId="7CC47ADE" w14:textId="77777777" w:rsidR="00183A1F" w:rsidRDefault="00183A1F" w:rsidP="00183A1F">
            <w:pPr>
              <w:pStyle w:val="ARtabletextright"/>
            </w:pPr>
            <w:r>
              <w:t>1</w:t>
            </w:r>
          </w:p>
        </w:tc>
        <w:tc>
          <w:tcPr>
            <w:tcW w:w="1021" w:type="dxa"/>
            <w:tcBorders>
              <w:top w:val="single" w:sz="4" w:space="0" w:color="auto"/>
            </w:tcBorders>
          </w:tcPr>
          <w:p w14:paraId="18AA9ECC"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649AAD3B" w14:textId="77777777" w:rsidR="00183A1F" w:rsidRDefault="00183A1F" w:rsidP="008D2D99">
            <w:pPr>
              <w:pStyle w:val="ARtabletextrightbold"/>
            </w:pPr>
            <w:r>
              <w:t>1</w:t>
            </w:r>
          </w:p>
        </w:tc>
        <w:tc>
          <w:tcPr>
            <w:tcW w:w="851" w:type="dxa"/>
            <w:tcBorders>
              <w:left w:val="single" w:sz="4" w:space="0" w:color="auto"/>
            </w:tcBorders>
          </w:tcPr>
          <w:p w14:paraId="1CF4A852" w14:textId="77777777" w:rsidR="00183A1F" w:rsidRDefault="00183A1F" w:rsidP="00183A1F">
            <w:pPr>
              <w:pStyle w:val="ARtabletextright"/>
            </w:pPr>
            <w:r>
              <w:t>0</w:t>
            </w:r>
          </w:p>
        </w:tc>
        <w:tc>
          <w:tcPr>
            <w:tcW w:w="851" w:type="dxa"/>
          </w:tcPr>
          <w:p w14:paraId="70EA1D3D" w14:textId="77777777" w:rsidR="00183A1F" w:rsidRDefault="00183A1F" w:rsidP="00183A1F">
            <w:pPr>
              <w:pStyle w:val="ARtabletextright"/>
            </w:pPr>
            <w:r>
              <w:t>1</w:t>
            </w:r>
          </w:p>
        </w:tc>
        <w:tc>
          <w:tcPr>
            <w:tcW w:w="1021" w:type="dxa"/>
            <w:tcBorders>
              <w:top w:val="single" w:sz="4" w:space="0" w:color="auto"/>
            </w:tcBorders>
          </w:tcPr>
          <w:p w14:paraId="6070A9FD"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5D36406D" w14:textId="77777777" w:rsidR="00183A1F" w:rsidRDefault="00183A1F" w:rsidP="008D2D99">
            <w:pPr>
              <w:pStyle w:val="ARtabletextrightbold"/>
            </w:pPr>
            <w:r>
              <w:t>1</w:t>
            </w:r>
          </w:p>
        </w:tc>
        <w:tc>
          <w:tcPr>
            <w:tcW w:w="851" w:type="dxa"/>
            <w:tcBorders>
              <w:left w:val="single" w:sz="4" w:space="0" w:color="auto"/>
            </w:tcBorders>
          </w:tcPr>
          <w:p w14:paraId="0552768F" w14:textId="77777777" w:rsidR="00183A1F" w:rsidRDefault="00183A1F" w:rsidP="00183A1F">
            <w:pPr>
              <w:pStyle w:val="ARtabletextright"/>
            </w:pPr>
            <w:r>
              <w:t>0</w:t>
            </w:r>
          </w:p>
        </w:tc>
        <w:tc>
          <w:tcPr>
            <w:tcW w:w="851" w:type="dxa"/>
          </w:tcPr>
          <w:p w14:paraId="479B0113" w14:textId="77777777" w:rsidR="00183A1F" w:rsidRDefault="00183A1F" w:rsidP="00183A1F">
            <w:pPr>
              <w:pStyle w:val="ARtabletextright"/>
            </w:pPr>
            <w:r>
              <w:t>0</w:t>
            </w:r>
          </w:p>
        </w:tc>
        <w:tc>
          <w:tcPr>
            <w:tcW w:w="1021" w:type="dxa"/>
          </w:tcPr>
          <w:p w14:paraId="2085076D" w14:textId="77777777" w:rsidR="00183A1F" w:rsidRDefault="00183A1F" w:rsidP="00183A1F">
            <w:pPr>
              <w:pStyle w:val="ARtabletextright"/>
            </w:pPr>
            <w:r>
              <w:t>0</w:t>
            </w:r>
          </w:p>
        </w:tc>
        <w:tc>
          <w:tcPr>
            <w:tcW w:w="851" w:type="dxa"/>
          </w:tcPr>
          <w:p w14:paraId="2A7AAC0D" w14:textId="77777777" w:rsidR="00183A1F" w:rsidRDefault="00183A1F" w:rsidP="008D2D99">
            <w:pPr>
              <w:pStyle w:val="ARtabletextrightbold"/>
            </w:pPr>
            <w:r>
              <w:t>0</w:t>
            </w:r>
          </w:p>
        </w:tc>
      </w:tr>
      <w:tr w:rsidR="00183A1F" w14:paraId="0B6BAB29" w14:textId="77777777" w:rsidTr="008D2D99">
        <w:trPr>
          <w:cantSplit w:val="0"/>
          <w:trHeight w:val="290"/>
        </w:trPr>
        <w:tc>
          <w:tcPr>
            <w:tcW w:w="3289" w:type="dxa"/>
          </w:tcPr>
          <w:p w14:paraId="609633CD" w14:textId="77777777" w:rsidR="00183A1F" w:rsidRDefault="00183A1F" w:rsidP="00183A1F">
            <w:pPr>
              <w:pStyle w:val="ARtabletext"/>
            </w:pPr>
            <w:r>
              <w:t>Gippsland Southern Health Service</w:t>
            </w:r>
          </w:p>
        </w:tc>
        <w:tc>
          <w:tcPr>
            <w:tcW w:w="851" w:type="dxa"/>
          </w:tcPr>
          <w:p w14:paraId="7D4E38DA" w14:textId="77777777" w:rsidR="00183A1F" w:rsidRDefault="00183A1F" w:rsidP="00183A1F">
            <w:pPr>
              <w:pStyle w:val="ARtabletextright"/>
            </w:pPr>
            <w:r>
              <w:t>0</w:t>
            </w:r>
          </w:p>
        </w:tc>
        <w:tc>
          <w:tcPr>
            <w:tcW w:w="851" w:type="dxa"/>
          </w:tcPr>
          <w:p w14:paraId="3CE80D4A" w14:textId="77777777" w:rsidR="00183A1F" w:rsidRDefault="00183A1F" w:rsidP="00183A1F">
            <w:pPr>
              <w:pStyle w:val="ARtabletextright"/>
            </w:pPr>
            <w:r>
              <w:t>1</w:t>
            </w:r>
          </w:p>
        </w:tc>
        <w:tc>
          <w:tcPr>
            <w:tcW w:w="1021" w:type="dxa"/>
            <w:tcBorders>
              <w:top w:val="single" w:sz="4" w:space="0" w:color="auto"/>
            </w:tcBorders>
          </w:tcPr>
          <w:p w14:paraId="2D52A0BB"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55ECFF66" w14:textId="77777777" w:rsidR="00183A1F" w:rsidRDefault="00183A1F" w:rsidP="008D2D99">
            <w:pPr>
              <w:pStyle w:val="ARtabletextrightbold"/>
            </w:pPr>
            <w:r>
              <w:t>1</w:t>
            </w:r>
          </w:p>
        </w:tc>
        <w:tc>
          <w:tcPr>
            <w:tcW w:w="851" w:type="dxa"/>
            <w:tcBorders>
              <w:left w:val="single" w:sz="4" w:space="0" w:color="auto"/>
            </w:tcBorders>
          </w:tcPr>
          <w:p w14:paraId="000EC141" w14:textId="77777777" w:rsidR="00183A1F" w:rsidRDefault="00183A1F" w:rsidP="00183A1F">
            <w:pPr>
              <w:pStyle w:val="ARtabletextright"/>
            </w:pPr>
            <w:r>
              <w:t>0</w:t>
            </w:r>
          </w:p>
        </w:tc>
        <w:tc>
          <w:tcPr>
            <w:tcW w:w="851" w:type="dxa"/>
          </w:tcPr>
          <w:p w14:paraId="51187BE1" w14:textId="77777777" w:rsidR="00183A1F" w:rsidRDefault="00183A1F" w:rsidP="00183A1F">
            <w:pPr>
              <w:pStyle w:val="ARtabletextright"/>
            </w:pPr>
            <w:r>
              <w:t>1</w:t>
            </w:r>
          </w:p>
        </w:tc>
        <w:tc>
          <w:tcPr>
            <w:tcW w:w="1021" w:type="dxa"/>
            <w:tcBorders>
              <w:top w:val="single" w:sz="4" w:space="0" w:color="auto"/>
            </w:tcBorders>
          </w:tcPr>
          <w:p w14:paraId="33555975"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6C55A223" w14:textId="77777777" w:rsidR="00183A1F" w:rsidRDefault="00183A1F" w:rsidP="008D2D99">
            <w:pPr>
              <w:pStyle w:val="ARtabletextrightbold"/>
            </w:pPr>
            <w:r>
              <w:t>1</w:t>
            </w:r>
          </w:p>
        </w:tc>
        <w:tc>
          <w:tcPr>
            <w:tcW w:w="851" w:type="dxa"/>
            <w:tcBorders>
              <w:left w:val="single" w:sz="4" w:space="0" w:color="auto"/>
            </w:tcBorders>
          </w:tcPr>
          <w:p w14:paraId="2C3A013E" w14:textId="77777777" w:rsidR="00183A1F" w:rsidRDefault="00183A1F" w:rsidP="00183A1F">
            <w:pPr>
              <w:pStyle w:val="ARtabletextright"/>
            </w:pPr>
            <w:r>
              <w:t>0</w:t>
            </w:r>
          </w:p>
        </w:tc>
        <w:tc>
          <w:tcPr>
            <w:tcW w:w="851" w:type="dxa"/>
          </w:tcPr>
          <w:p w14:paraId="484E69FC" w14:textId="77777777" w:rsidR="00183A1F" w:rsidRDefault="00183A1F" w:rsidP="00183A1F">
            <w:pPr>
              <w:pStyle w:val="ARtabletextright"/>
            </w:pPr>
            <w:r>
              <w:t>0</w:t>
            </w:r>
          </w:p>
        </w:tc>
        <w:tc>
          <w:tcPr>
            <w:tcW w:w="1021" w:type="dxa"/>
          </w:tcPr>
          <w:p w14:paraId="0344C6D0" w14:textId="77777777" w:rsidR="00183A1F" w:rsidRDefault="00183A1F" w:rsidP="00183A1F">
            <w:pPr>
              <w:pStyle w:val="ARtabletextright"/>
            </w:pPr>
            <w:r>
              <w:t>0</w:t>
            </w:r>
          </w:p>
        </w:tc>
        <w:tc>
          <w:tcPr>
            <w:tcW w:w="851" w:type="dxa"/>
          </w:tcPr>
          <w:p w14:paraId="008BBA03" w14:textId="77777777" w:rsidR="00183A1F" w:rsidRDefault="00183A1F" w:rsidP="008D2D99">
            <w:pPr>
              <w:pStyle w:val="ARtabletextrightbold"/>
            </w:pPr>
            <w:r>
              <w:t>0</w:t>
            </w:r>
          </w:p>
        </w:tc>
      </w:tr>
      <w:tr w:rsidR="00183A1F" w14:paraId="28891BBE" w14:textId="77777777" w:rsidTr="008D2D99">
        <w:trPr>
          <w:cantSplit w:val="0"/>
          <w:trHeight w:val="290"/>
        </w:trPr>
        <w:tc>
          <w:tcPr>
            <w:tcW w:w="3289" w:type="dxa"/>
          </w:tcPr>
          <w:p w14:paraId="3C91F27F" w14:textId="77777777" w:rsidR="00183A1F" w:rsidRDefault="00183A1F" w:rsidP="00183A1F">
            <w:pPr>
              <w:pStyle w:val="ARtabletext"/>
            </w:pPr>
            <w:r>
              <w:t>Goulburn Valley Health Services</w:t>
            </w:r>
          </w:p>
        </w:tc>
        <w:tc>
          <w:tcPr>
            <w:tcW w:w="851" w:type="dxa"/>
          </w:tcPr>
          <w:p w14:paraId="4610B81A" w14:textId="77777777" w:rsidR="00183A1F" w:rsidRDefault="00183A1F" w:rsidP="00183A1F">
            <w:pPr>
              <w:pStyle w:val="ARtabletextright"/>
            </w:pPr>
            <w:r>
              <w:t>4</w:t>
            </w:r>
          </w:p>
        </w:tc>
        <w:tc>
          <w:tcPr>
            <w:tcW w:w="851" w:type="dxa"/>
          </w:tcPr>
          <w:p w14:paraId="0A7391D1" w14:textId="77777777" w:rsidR="00183A1F" w:rsidRDefault="00183A1F" w:rsidP="00183A1F">
            <w:pPr>
              <w:pStyle w:val="ARtabletextright"/>
            </w:pPr>
            <w:r>
              <w:t>3</w:t>
            </w:r>
          </w:p>
        </w:tc>
        <w:tc>
          <w:tcPr>
            <w:tcW w:w="1021" w:type="dxa"/>
            <w:tcBorders>
              <w:top w:val="single" w:sz="4" w:space="0" w:color="auto"/>
            </w:tcBorders>
          </w:tcPr>
          <w:p w14:paraId="0EADC6A3"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3BAA082C" w14:textId="77777777" w:rsidR="00183A1F" w:rsidRDefault="00183A1F" w:rsidP="008D2D99">
            <w:pPr>
              <w:pStyle w:val="ARtabletextrightbold"/>
            </w:pPr>
            <w:r>
              <w:t>7</w:t>
            </w:r>
          </w:p>
        </w:tc>
        <w:tc>
          <w:tcPr>
            <w:tcW w:w="851" w:type="dxa"/>
            <w:tcBorders>
              <w:left w:val="single" w:sz="4" w:space="0" w:color="auto"/>
            </w:tcBorders>
          </w:tcPr>
          <w:p w14:paraId="0508593A" w14:textId="77777777" w:rsidR="00183A1F" w:rsidRDefault="00183A1F" w:rsidP="00183A1F">
            <w:pPr>
              <w:pStyle w:val="ARtabletextright"/>
            </w:pPr>
            <w:r>
              <w:t>3</w:t>
            </w:r>
          </w:p>
        </w:tc>
        <w:tc>
          <w:tcPr>
            <w:tcW w:w="851" w:type="dxa"/>
          </w:tcPr>
          <w:p w14:paraId="2C53C65C" w14:textId="77777777" w:rsidR="00183A1F" w:rsidRDefault="00183A1F" w:rsidP="00183A1F">
            <w:pPr>
              <w:pStyle w:val="ARtabletextright"/>
            </w:pPr>
            <w:r>
              <w:t>4</w:t>
            </w:r>
          </w:p>
        </w:tc>
        <w:tc>
          <w:tcPr>
            <w:tcW w:w="1021" w:type="dxa"/>
            <w:tcBorders>
              <w:top w:val="single" w:sz="4" w:space="0" w:color="auto"/>
            </w:tcBorders>
          </w:tcPr>
          <w:p w14:paraId="24ED8B6B"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480A5319" w14:textId="77777777" w:rsidR="00183A1F" w:rsidRDefault="00183A1F" w:rsidP="008D2D99">
            <w:pPr>
              <w:pStyle w:val="ARtabletextrightbold"/>
            </w:pPr>
            <w:r>
              <w:t>7</w:t>
            </w:r>
          </w:p>
        </w:tc>
        <w:tc>
          <w:tcPr>
            <w:tcW w:w="851" w:type="dxa"/>
            <w:tcBorders>
              <w:left w:val="single" w:sz="4" w:space="0" w:color="auto"/>
            </w:tcBorders>
          </w:tcPr>
          <w:p w14:paraId="4F22CE02" w14:textId="77777777" w:rsidR="00183A1F" w:rsidRDefault="00183A1F" w:rsidP="00183A1F">
            <w:pPr>
              <w:pStyle w:val="ARtabletextright"/>
            </w:pPr>
            <w:r>
              <w:t>1</w:t>
            </w:r>
          </w:p>
        </w:tc>
        <w:tc>
          <w:tcPr>
            <w:tcW w:w="851" w:type="dxa"/>
          </w:tcPr>
          <w:p w14:paraId="0545FA19" w14:textId="3E5573F9" w:rsidR="00183A1F" w:rsidRDefault="00EC65C3" w:rsidP="00183A1F">
            <w:pPr>
              <w:pStyle w:val="ARtabletextright"/>
            </w:pPr>
            <w:r>
              <w:t>−</w:t>
            </w:r>
            <w:r w:rsidR="00183A1F">
              <w:t>1</w:t>
            </w:r>
          </w:p>
        </w:tc>
        <w:tc>
          <w:tcPr>
            <w:tcW w:w="1021" w:type="dxa"/>
          </w:tcPr>
          <w:p w14:paraId="68983C9D" w14:textId="77777777" w:rsidR="00183A1F" w:rsidRDefault="00183A1F" w:rsidP="00183A1F">
            <w:pPr>
              <w:pStyle w:val="ARtabletextright"/>
            </w:pPr>
            <w:r>
              <w:t>0</w:t>
            </w:r>
          </w:p>
        </w:tc>
        <w:tc>
          <w:tcPr>
            <w:tcW w:w="851" w:type="dxa"/>
          </w:tcPr>
          <w:p w14:paraId="335A4155" w14:textId="77777777" w:rsidR="00183A1F" w:rsidRDefault="00183A1F" w:rsidP="008D2D99">
            <w:pPr>
              <w:pStyle w:val="ARtabletextrightbold"/>
            </w:pPr>
            <w:r>
              <w:t>0</w:t>
            </w:r>
          </w:p>
        </w:tc>
      </w:tr>
      <w:tr w:rsidR="00183A1F" w14:paraId="22246131" w14:textId="77777777" w:rsidTr="008D2D99">
        <w:trPr>
          <w:cantSplit w:val="0"/>
          <w:trHeight w:val="290"/>
        </w:trPr>
        <w:tc>
          <w:tcPr>
            <w:tcW w:w="3289" w:type="dxa"/>
          </w:tcPr>
          <w:p w14:paraId="2EFA14E7" w14:textId="77777777" w:rsidR="00183A1F" w:rsidRDefault="00183A1F" w:rsidP="00183A1F">
            <w:pPr>
              <w:pStyle w:val="ARtabletext"/>
            </w:pPr>
            <w:r>
              <w:t>Great Ocean Road Health</w:t>
            </w:r>
          </w:p>
        </w:tc>
        <w:tc>
          <w:tcPr>
            <w:tcW w:w="851" w:type="dxa"/>
          </w:tcPr>
          <w:p w14:paraId="4B00A354" w14:textId="77777777" w:rsidR="00183A1F" w:rsidRDefault="00183A1F" w:rsidP="00183A1F">
            <w:pPr>
              <w:pStyle w:val="ARtabletextright"/>
            </w:pPr>
            <w:r>
              <w:t>1</w:t>
            </w:r>
          </w:p>
        </w:tc>
        <w:tc>
          <w:tcPr>
            <w:tcW w:w="851" w:type="dxa"/>
          </w:tcPr>
          <w:p w14:paraId="7286BD4E" w14:textId="77777777" w:rsidR="00183A1F" w:rsidRDefault="00183A1F" w:rsidP="00183A1F">
            <w:pPr>
              <w:pStyle w:val="ARtabletextright"/>
            </w:pPr>
            <w:r>
              <w:t>0</w:t>
            </w:r>
          </w:p>
        </w:tc>
        <w:tc>
          <w:tcPr>
            <w:tcW w:w="1021" w:type="dxa"/>
            <w:tcBorders>
              <w:top w:val="single" w:sz="4" w:space="0" w:color="auto"/>
            </w:tcBorders>
          </w:tcPr>
          <w:p w14:paraId="361959D7"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0598545E" w14:textId="77777777" w:rsidR="00183A1F" w:rsidRDefault="00183A1F" w:rsidP="008D2D99">
            <w:pPr>
              <w:pStyle w:val="ARtabletextrightbold"/>
            </w:pPr>
            <w:r>
              <w:t>1</w:t>
            </w:r>
          </w:p>
        </w:tc>
        <w:tc>
          <w:tcPr>
            <w:tcW w:w="851" w:type="dxa"/>
            <w:tcBorders>
              <w:left w:val="single" w:sz="4" w:space="0" w:color="auto"/>
            </w:tcBorders>
          </w:tcPr>
          <w:p w14:paraId="3FE943A9" w14:textId="77777777" w:rsidR="00183A1F" w:rsidRDefault="00183A1F" w:rsidP="00183A1F">
            <w:pPr>
              <w:pStyle w:val="ARtabletextright"/>
            </w:pPr>
            <w:r>
              <w:t>1</w:t>
            </w:r>
          </w:p>
        </w:tc>
        <w:tc>
          <w:tcPr>
            <w:tcW w:w="851" w:type="dxa"/>
          </w:tcPr>
          <w:p w14:paraId="72D575FF" w14:textId="77777777" w:rsidR="00183A1F" w:rsidRDefault="00183A1F" w:rsidP="00183A1F">
            <w:pPr>
              <w:pStyle w:val="ARtabletextright"/>
            </w:pPr>
            <w:r>
              <w:t>0</w:t>
            </w:r>
          </w:p>
        </w:tc>
        <w:tc>
          <w:tcPr>
            <w:tcW w:w="1021" w:type="dxa"/>
            <w:tcBorders>
              <w:top w:val="single" w:sz="4" w:space="0" w:color="auto"/>
            </w:tcBorders>
          </w:tcPr>
          <w:p w14:paraId="021C9C0B"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1E9B14C2" w14:textId="77777777" w:rsidR="00183A1F" w:rsidRDefault="00183A1F" w:rsidP="008D2D99">
            <w:pPr>
              <w:pStyle w:val="ARtabletextrightbold"/>
            </w:pPr>
            <w:r>
              <w:t>1</w:t>
            </w:r>
          </w:p>
        </w:tc>
        <w:tc>
          <w:tcPr>
            <w:tcW w:w="851" w:type="dxa"/>
            <w:tcBorders>
              <w:left w:val="single" w:sz="4" w:space="0" w:color="auto"/>
            </w:tcBorders>
          </w:tcPr>
          <w:p w14:paraId="3E782A40" w14:textId="77777777" w:rsidR="00183A1F" w:rsidRDefault="00183A1F" w:rsidP="00183A1F">
            <w:pPr>
              <w:pStyle w:val="ARtabletextright"/>
            </w:pPr>
            <w:r>
              <w:t>0</w:t>
            </w:r>
          </w:p>
        </w:tc>
        <w:tc>
          <w:tcPr>
            <w:tcW w:w="851" w:type="dxa"/>
          </w:tcPr>
          <w:p w14:paraId="22F9A694" w14:textId="77777777" w:rsidR="00183A1F" w:rsidRDefault="00183A1F" w:rsidP="00183A1F">
            <w:pPr>
              <w:pStyle w:val="ARtabletextright"/>
            </w:pPr>
            <w:r>
              <w:t>0</w:t>
            </w:r>
          </w:p>
        </w:tc>
        <w:tc>
          <w:tcPr>
            <w:tcW w:w="1021" w:type="dxa"/>
          </w:tcPr>
          <w:p w14:paraId="5E7840A0" w14:textId="77777777" w:rsidR="00183A1F" w:rsidRDefault="00183A1F" w:rsidP="00183A1F">
            <w:pPr>
              <w:pStyle w:val="ARtabletextright"/>
            </w:pPr>
            <w:r>
              <w:t>0</w:t>
            </w:r>
          </w:p>
        </w:tc>
        <w:tc>
          <w:tcPr>
            <w:tcW w:w="851" w:type="dxa"/>
          </w:tcPr>
          <w:p w14:paraId="46541131" w14:textId="77777777" w:rsidR="00183A1F" w:rsidRDefault="00183A1F" w:rsidP="008D2D99">
            <w:pPr>
              <w:pStyle w:val="ARtabletextrightbold"/>
            </w:pPr>
            <w:r>
              <w:t>0</w:t>
            </w:r>
          </w:p>
        </w:tc>
      </w:tr>
      <w:tr w:rsidR="00183A1F" w14:paraId="2834062B" w14:textId="77777777" w:rsidTr="008D2D99">
        <w:trPr>
          <w:cantSplit w:val="0"/>
          <w:trHeight w:val="290"/>
        </w:trPr>
        <w:tc>
          <w:tcPr>
            <w:tcW w:w="3289" w:type="dxa"/>
          </w:tcPr>
          <w:p w14:paraId="68B146DA" w14:textId="77777777" w:rsidR="00183A1F" w:rsidRDefault="00183A1F" w:rsidP="00183A1F">
            <w:pPr>
              <w:pStyle w:val="ARtabletext"/>
            </w:pPr>
            <w:r>
              <w:t>Greater Metropolitan Cemeteries Trust</w:t>
            </w:r>
          </w:p>
        </w:tc>
        <w:tc>
          <w:tcPr>
            <w:tcW w:w="851" w:type="dxa"/>
          </w:tcPr>
          <w:p w14:paraId="73F7FFEB" w14:textId="77777777" w:rsidR="00183A1F" w:rsidRDefault="00183A1F" w:rsidP="00183A1F">
            <w:pPr>
              <w:pStyle w:val="ARtabletextright"/>
            </w:pPr>
            <w:r>
              <w:t>3</w:t>
            </w:r>
          </w:p>
        </w:tc>
        <w:tc>
          <w:tcPr>
            <w:tcW w:w="851" w:type="dxa"/>
          </w:tcPr>
          <w:p w14:paraId="0C21DBB3" w14:textId="77777777" w:rsidR="00183A1F" w:rsidRDefault="00183A1F" w:rsidP="00183A1F">
            <w:pPr>
              <w:pStyle w:val="ARtabletextright"/>
            </w:pPr>
            <w:r>
              <w:t>3</w:t>
            </w:r>
          </w:p>
        </w:tc>
        <w:tc>
          <w:tcPr>
            <w:tcW w:w="1021" w:type="dxa"/>
            <w:tcBorders>
              <w:top w:val="single" w:sz="4" w:space="0" w:color="auto"/>
            </w:tcBorders>
          </w:tcPr>
          <w:p w14:paraId="09F6294A"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439AA565" w14:textId="77777777" w:rsidR="00183A1F" w:rsidRDefault="00183A1F" w:rsidP="008D2D99">
            <w:pPr>
              <w:pStyle w:val="ARtabletextrightbold"/>
            </w:pPr>
            <w:r>
              <w:t>6</w:t>
            </w:r>
          </w:p>
        </w:tc>
        <w:tc>
          <w:tcPr>
            <w:tcW w:w="851" w:type="dxa"/>
            <w:tcBorders>
              <w:left w:val="single" w:sz="4" w:space="0" w:color="auto"/>
            </w:tcBorders>
          </w:tcPr>
          <w:p w14:paraId="1EC7DF4C" w14:textId="77777777" w:rsidR="00183A1F" w:rsidRDefault="00183A1F" w:rsidP="00183A1F">
            <w:pPr>
              <w:pStyle w:val="ARtabletextright"/>
            </w:pPr>
            <w:r>
              <w:t>2</w:t>
            </w:r>
          </w:p>
        </w:tc>
        <w:tc>
          <w:tcPr>
            <w:tcW w:w="851" w:type="dxa"/>
          </w:tcPr>
          <w:p w14:paraId="74CE24A6" w14:textId="77777777" w:rsidR="00183A1F" w:rsidRDefault="00183A1F" w:rsidP="00183A1F">
            <w:pPr>
              <w:pStyle w:val="ARtabletextright"/>
            </w:pPr>
            <w:r>
              <w:t>2</w:t>
            </w:r>
          </w:p>
        </w:tc>
        <w:tc>
          <w:tcPr>
            <w:tcW w:w="1021" w:type="dxa"/>
            <w:tcBorders>
              <w:top w:val="single" w:sz="4" w:space="0" w:color="auto"/>
            </w:tcBorders>
          </w:tcPr>
          <w:p w14:paraId="2360DD6E"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561B98CE" w14:textId="77777777" w:rsidR="00183A1F" w:rsidRDefault="00183A1F" w:rsidP="008D2D99">
            <w:pPr>
              <w:pStyle w:val="ARtabletextrightbold"/>
            </w:pPr>
            <w:r>
              <w:t>4</w:t>
            </w:r>
          </w:p>
        </w:tc>
        <w:tc>
          <w:tcPr>
            <w:tcW w:w="851" w:type="dxa"/>
            <w:tcBorders>
              <w:left w:val="single" w:sz="4" w:space="0" w:color="auto"/>
            </w:tcBorders>
          </w:tcPr>
          <w:p w14:paraId="7BC1FA7D" w14:textId="77777777" w:rsidR="00183A1F" w:rsidRDefault="00183A1F" w:rsidP="00183A1F">
            <w:pPr>
              <w:pStyle w:val="ARtabletextright"/>
            </w:pPr>
            <w:r>
              <w:t>1</w:t>
            </w:r>
          </w:p>
        </w:tc>
        <w:tc>
          <w:tcPr>
            <w:tcW w:w="851" w:type="dxa"/>
          </w:tcPr>
          <w:p w14:paraId="5BB37D94" w14:textId="77777777" w:rsidR="00183A1F" w:rsidRDefault="00183A1F" w:rsidP="00183A1F">
            <w:pPr>
              <w:pStyle w:val="ARtabletextright"/>
            </w:pPr>
            <w:r>
              <w:t>1</w:t>
            </w:r>
          </w:p>
        </w:tc>
        <w:tc>
          <w:tcPr>
            <w:tcW w:w="1021" w:type="dxa"/>
          </w:tcPr>
          <w:p w14:paraId="0FE56D76" w14:textId="77777777" w:rsidR="00183A1F" w:rsidRDefault="00183A1F" w:rsidP="00183A1F">
            <w:pPr>
              <w:pStyle w:val="ARtabletextright"/>
            </w:pPr>
            <w:r>
              <w:t>0</w:t>
            </w:r>
          </w:p>
        </w:tc>
        <w:tc>
          <w:tcPr>
            <w:tcW w:w="851" w:type="dxa"/>
          </w:tcPr>
          <w:p w14:paraId="6FA50169" w14:textId="77777777" w:rsidR="00183A1F" w:rsidRDefault="00183A1F" w:rsidP="008D2D99">
            <w:pPr>
              <w:pStyle w:val="ARtabletextrightbold"/>
            </w:pPr>
            <w:r>
              <w:t>2</w:t>
            </w:r>
          </w:p>
        </w:tc>
      </w:tr>
      <w:tr w:rsidR="00183A1F" w14:paraId="3B227CC1" w14:textId="77777777" w:rsidTr="008D2D99">
        <w:trPr>
          <w:cantSplit w:val="0"/>
          <w:trHeight w:val="290"/>
        </w:trPr>
        <w:tc>
          <w:tcPr>
            <w:tcW w:w="3289" w:type="dxa"/>
          </w:tcPr>
          <w:p w14:paraId="6EDD5E2F" w14:textId="77777777" w:rsidR="00183A1F" w:rsidRDefault="00183A1F" w:rsidP="00183A1F">
            <w:pPr>
              <w:pStyle w:val="ARtabletext"/>
            </w:pPr>
            <w:r>
              <w:t>Health Purchasing Victoria</w:t>
            </w:r>
          </w:p>
        </w:tc>
        <w:tc>
          <w:tcPr>
            <w:tcW w:w="851" w:type="dxa"/>
          </w:tcPr>
          <w:p w14:paraId="3D73249D" w14:textId="77777777" w:rsidR="00183A1F" w:rsidRDefault="00183A1F" w:rsidP="00183A1F">
            <w:pPr>
              <w:pStyle w:val="ARtabletextright"/>
            </w:pPr>
            <w:r>
              <w:t>1</w:t>
            </w:r>
          </w:p>
        </w:tc>
        <w:tc>
          <w:tcPr>
            <w:tcW w:w="851" w:type="dxa"/>
          </w:tcPr>
          <w:p w14:paraId="0550787A" w14:textId="77777777" w:rsidR="00183A1F" w:rsidRDefault="00183A1F" w:rsidP="00183A1F">
            <w:pPr>
              <w:pStyle w:val="ARtabletextright"/>
            </w:pPr>
            <w:r>
              <w:t>3</w:t>
            </w:r>
          </w:p>
        </w:tc>
        <w:tc>
          <w:tcPr>
            <w:tcW w:w="1021" w:type="dxa"/>
            <w:tcBorders>
              <w:top w:val="single" w:sz="4" w:space="0" w:color="auto"/>
            </w:tcBorders>
          </w:tcPr>
          <w:p w14:paraId="7B2A80D6"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289D8B81" w14:textId="77777777" w:rsidR="00183A1F" w:rsidRDefault="00183A1F" w:rsidP="008D2D99">
            <w:pPr>
              <w:pStyle w:val="ARtabletextrightbold"/>
            </w:pPr>
            <w:r>
              <w:t>4</w:t>
            </w:r>
          </w:p>
        </w:tc>
        <w:tc>
          <w:tcPr>
            <w:tcW w:w="851" w:type="dxa"/>
            <w:tcBorders>
              <w:left w:val="single" w:sz="4" w:space="0" w:color="auto"/>
            </w:tcBorders>
          </w:tcPr>
          <w:p w14:paraId="3EFD8DC9" w14:textId="77777777" w:rsidR="00183A1F" w:rsidRDefault="00183A1F" w:rsidP="00183A1F">
            <w:pPr>
              <w:pStyle w:val="ARtabletextright"/>
            </w:pPr>
            <w:r>
              <w:t>2</w:t>
            </w:r>
          </w:p>
        </w:tc>
        <w:tc>
          <w:tcPr>
            <w:tcW w:w="851" w:type="dxa"/>
          </w:tcPr>
          <w:p w14:paraId="20351B28" w14:textId="77777777" w:rsidR="00183A1F" w:rsidRDefault="00183A1F" w:rsidP="00183A1F">
            <w:pPr>
              <w:pStyle w:val="ARtabletextright"/>
            </w:pPr>
            <w:r>
              <w:t>4</w:t>
            </w:r>
          </w:p>
        </w:tc>
        <w:tc>
          <w:tcPr>
            <w:tcW w:w="1021" w:type="dxa"/>
            <w:tcBorders>
              <w:top w:val="single" w:sz="4" w:space="0" w:color="auto"/>
            </w:tcBorders>
          </w:tcPr>
          <w:p w14:paraId="305F9DC8"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5F34C9BC" w14:textId="77777777" w:rsidR="00183A1F" w:rsidRDefault="00183A1F" w:rsidP="008D2D99">
            <w:pPr>
              <w:pStyle w:val="ARtabletextrightbold"/>
            </w:pPr>
            <w:r>
              <w:t>6</w:t>
            </w:r>
          </w:p>
        </w:tc>
        <w:tc>
          <w:tcPr>
            <w:tcW w:w="851" w:type="dxa"/>
            <w:tcBorders>
              <w:left w:val="single" w:sz="4" w:space="0" w:color="auto"/>
            </w:tcBorders>
          </w:tcPr>
          <w:p w14:paraId="072C2776" w14:textId="41EAC986" w:rsidR="00183A1F" w:rsidRDefault="00EC65C3" w:rsidP="00183A1F">
            <w:pPr>
              <w:pStyle w:val="ARtabletextright"/>
            </w:pPr>
            <w:r>
              <w:t>−</w:t>
            </w:r>
            <w:r w:rsidR="00183A1F">
              <w:t>1</w:t>
            </w:r>
          </w:p>
        </w:tc>
        <w:tc>
          <w:tcPr>
            <w:tcW w:w="851" w:type="dxa"/>
          </w:tcPr>
          <w:p w14:paraId="43F29E80" w14:textId="68338678" w:rsidR="00183A1F" w:rsidRDefault="00EC65C3" w:rsidP="00183A1F">
            <w:pPr>
              <w:pStyle w:val="ARtabletextright"/>
            </w:pPr>
            <w:r>
              <w:t>−</w:t>
            </w:r>
            <w:r w:rsidR="00183A1F">
              <w:t>1</w:t>
            </w:r>
          </w:p>
        </w:tc>
        <w:tc>
          <w:tcPr>
            <w:tcW w:w="1021" w:type="dxa"/>
          </w:tcPr>
          <w:p w14:paraId="4DB77D06" w14:textId="77777777" w:rsidR="00183A1F" w:rsidRDefault="00183A1F" w:rsidP="00183A1F">
            <w:pPr>
              <w:pStyle w:val="ARtabletextright"/>
            </w:pPr>
            <w:r>
              <w:t>0</w:t>
            </w:r>
          </w:p>
        </w:tc>
        <w:tc>
          <w:tcPr>
            <w:tcW w:w="851" w:type="dxa"/>
          </w:tcPr>
          <w:p w14:paraId="134437EF" w14:textId="60872602" w:rsidR="00183A1F" w:rsidRDefault="00EC65C3" w:rsidP="008D2D99">
            <w:pPr>
              <w:pStyle w:val="ARtabletextrightbold"/>
            </w:pPr>
            <w:r>
              <w:t>−</w:t>
            </w:r>
            <w:r w:rsidR="00183A1F">
              <w:t>2</w:t>
            </w:r>
          </w:p>
        </w:tc>
      </w:tr>
      <w:tr w:rsidR="00183A1F" w14:paraId="7BBBD10C" w14:textId="77777777" w:rsidTr="008D2D99">
        <w:trPr>
          <w:cantSplit w:val="0"/>
          <w:trHeight w:val="290"/>
        </w:trPr>
        <w:tc>
          <w:tcPr>
            <w:tcW w:w="3289" w:type="dxa"/>
          </w:tcPr>
          <w:p w14:paraId="3518C30B" w14:textId="77777777" w:rsidR="00183A1F" w:rsidRDefault="00183A1F" w:rsidP="00183A1F">
            <w:pPr>
              <w:pStyle w:val="ARtabletext"/>
            </w:pPr>
            <w:r>
              <w:t>Heathcote Health</w:t>
            </w:r>
          </w:p>
        </w:tc>
        <w:tc>
          <w:tcPr>
            <w:tcW w:w="851" w:type="dxa"/>
          </w:tcPr>
          <w:p w14:paraId="11FF490D" w14:textId="77777777" w:rsidR="00183A1F" w:rsidRDefault="00183A1F" w:rsidP="00183A1F">
            <w:pPr>
              <w:pStyle w:val="ARtabletextright"/>
            </w:pPr>
            <w:r>
              <w:t>0</w:t>
            </w:r>
          </w:p>
        </w:tc>
        <w:tc>
          <w:tcPr>
            <w:tcW w:w="851" w:type="dxa"/>
          </w:tcPr>
          <w:p w14:paraId="09A23937" w14:textId="77777777" w:rsidR="00183A1F" w:rsidRDefault="00183A1F" w:rsidP="00183A1F">
            <w:pPr>
              <w:pStyle w:val="ARtabletextright"/>
            </w:pPr>
            <w:r>
              <w:t>1</w:t>
            </w:r>
          </w:p>
        </w:tc>
        <w:tc>
          <w:tcPr>
            <w:tcW w:w="1021" w:type="dxa"/>
            <w:tcBorders>
              <w:top w:val="single" w:sz="4" w:space="0" w:color="auto"/>
            </w:tcBorders>
          </w:tcPr>
          <w:p w14:paraId="2F799D04"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67897878" w14:textId="77777777" w:rsidR="00183A1F" w:rsidRDefault="00183A1F" w:rsidP="008D2D99">
            <w:pPr>
              <w:pStyle w:val="ARtabletextrightbold"/>
            </w:pPr>
            <w:r>
              <w:t>1</w:t>
            </w:r>
          </w:p>
        </w:tc>
        <w:tc>
          <w:tcPr>
            <w:tcW w:w="851" w:type="dxa"/>
            <w:tcBorders>
              <w:left w:val="single" w:sz="4" w:space="0" w:color="auto"/>
            </w:tcBorders>
          </w:tcPr>
          <w:p w14:paraId="1FDF8184" w14:textId="77777777" w:rsidR="00183A1F" w:rsidRDefault="00183A1F" w:rsidP="00183A1F">
            <w:pPr>
              <w:pStyle w:val="ARtabletextright"/>
            </w:pPr>
            <w:r>
              <w:t>0</w:t>
            </w:r>
          </w:p>
        </w:tc>
        <w:tc>
          <w:tcPr>
            <w:tcW w:w="851" w:type="dxa"/>
          </w:tcPr>
          <w:p w14:paraId="5C786A56" w14:textId="77777777" w:rsidR="00183A1F" w:rsidRDefault="00183A1F" w:rsidP="00183A1F">
            <w:pPr>
              <w:pStyle w:val="ARtabletextright"/>
            </w:pPr>
            <w:r>
              <w:t>1</w:t>
            </w:r>
          </w:p>
        </w:tc>
        <w:tc>
          <w:tcPr>
            <w:tcW w:w="1021" w:type="dxa"/>
            <w:tcBorders>
              <w:top w:val="single" w:sz="4" w:space="0" w:color="auto"/>
            </w:tcBorders>
          </w:tcPr>
          <w:p w14:paraId="129446BA"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5D6A0D1C" w14:textId="77777777" w:rsidR="00183A1F" w:rsidRDefault="00183A1F" w:rsidP="008D2D99">
            <w:pPr>
              <w:pStyle w:val="ARtabletextrightbold"/>
            </w:pPr>
            <w:r>
              <w:t>1</w:t>
            </w:r>
          </w:p>
        </w:tc>
        <w:tc>
          <w:tcPr>
            <w:tcW w:w="851" w:type="dxa"/>
            <w:tcBorders>
              <w:left w:val="single" w:sz="4" w:space="0" w:color="auto"/>
            </w:tcBorders>
          </w:tcPr>
          <w:p w14:paraId="4885C636" w14:textId="77777777" w:rsidR="00183A1F" w:rsidRDefault="00183A1F" w:rsidP="00183A1F">
            <w:pPr>
              <w:pStyle w:val="ARtabletextright"/>
            </w:pPr>
            <w:r>
              <w:t>0</w:t>
            </w:r>
          </w:p>
        </w:tc>
        <w:tc>
          <w:tcPr>
            <w:tcW w:w="851" w:type="dxa"/>
          </w:tcPr>
          <w:p w14:paraId="4F11D3B1" w14:textId="77777777" w:rsidR="00183A1F" w:rsidRDefault="00183A1F" w:rsidP="00183A1F">
            <w:pPr>
              <w:pStyle w:val="ARtabletextright"/>
            </w:pPr>
            <w:r>
              <w:t>0</w:t>
            </w:r>
          </w:p>
        </w:tc>
        <w:tc>
          <w:tcPr>
            <w:tcW w:w="1021" w:type="dxa"/>
          </w:tcPr>
          <w:p w14:paraId="79F3117A" w14:textId="77777777" w:rsidR="00183A1F" w:rsidRDefault="00183A1F" w:rsidP="00183A1F">
            <w:pPr>
              <w:pStyle w:val="ARtabletextright"/>
            </w:pPr>
            <w:r>
              <w:t>0</w:t>
            </w:r>
          </w:p>
        </w:tc>
        <w:tc>
          <w:tcPr>
            <w:tcW w:w="851" w:type="dxa"/>
          </w:tcPr>
          <w:p w14:paraId="7CF26FE6" w14:textId="77777777" w:rsidR="00183A1F" w:rsidRDefault="00183A1F" w:rsidP="008D2D99">
            <w:pPr>
              <w:pStyle w:val="ARtabletextrightbold"/>
            </w:pPr>
            <w:r>
              <w:t>0</w:t>
            </w:r>
          </w:p>
        </w:tc>
      </w:tr>
      <w:tr w:rsidR="00183A1F" w14:paraId="00899FE3" w14:textId="77777777" w:rsidTr="008D2D99">
        <w:trPr>
          <w:cantSplit w:val="0"/>
          <w:trHeight w:val="290"/>
        </w:trPr>
        <w:tc>
          <w:tcPr>
            <w:tcW w:w="3289" w:type="dxa"/>
          </w:tcPr>
          <w:p w14:paraId="6F4FBB5B" w14:textId="77777777" w:rsidR="00183A1F" w:rsidRDefault="00183A1F" w:rsidP="00183A1F">
            <w:pPr>
              <w:pStyle w:val="ARtabletext"/>
            </w:pPr>
            <w:r>
              <w:t>Hesse Rural Health Service</w:t>
            </w:r>
          </w:p>
        </w:tc>
        <w:tc>
          <w:tcPr>
            <w:tcW w:w="851" w:type="dxa"/>
          </w:tcPr>
          <w:p w14:paraId="60D397F4" w14:textId="77777777" w:rsidR="00183A1F" w:rsidRDefault="00183A1F" w:rsidP="00183A1F">
            <w:pPr>
              <w:pStyle w:val="ARtabletextright"/>
            </w:pPr>
            <w:r>
              <w:t>1</w:t>
            </w:r>
          </w:p>
        </w:tc>
        <w:tc>
          <w:tcPr>
            <w:tcW w:w="851" w:type="dxa"/>
          </w:tcPr>
          <w:p w14:paraId="30795C42" w14:textId="77777777" w:rsidR="00183A1F" w:rsidRDefault="00183A1F" w:rsidP="00183A1F">
            <w:pPr>
              <w:pStyle w:val="ARtabletextright"/>
            </w:pPr>
            <w:r>
              <w:t>0</w:t>
            </w:r>
          </w:p>
        </w:tc>
        <w:tc>
          <w:tcPr>
            <w:tcW w:w="1021" w:type="dxa"/>
            <w:tcBorders>
              <w:top w:val="single" w:sz="4" w:space="0" w:color="auto"/>
            </w:tcBorders>
          </w:tcPr>
          <w:p w14:paraId="3AD52A0A"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1EBAA836" w14:textId="77777777" w:rsidR="00183A1F" w:rsidRDefault="00183A1F" w:rsidP="008D2D99">
            <w:pPr>
              <w:pStyle w:val="ARtabletextrightbold"/>
            </w:pPr>
            <w:r>
              <w:t>1</w:t>
            </w:r>
          </w:p>
        </w:tc>
        <w:tc>
          <w:tcPr>
            <w:tcW w:w="851" w:type="dxa"/>
            <w:tcBorders>
              <w:left w:val="single" w:sz="4" w:space="0" w:color="auto"/>
            </w:tcBorders>
          </w:tcPr>
          <w:p w14:paraId="79D3ECA4" w14:textId="77777777" w:rsidR="00183A1F" w:rsidRDefault="00183A1F" w:rsidP="00183A1F">
            <w:pPr>
              <w:pStyle w:val="ARtabletextright"/>
            </w:pPr>
            <w:r>
              <w:t>0</w:t>
            </w:r>
          </w:p>
        </w:tc>
        <w:tc>
          <w:tcPr>
            <w:tcW w:w="851" w:type="dxa"/>
          </w:tcPr>
          <w:p w14:paraId="522A454A" w14:textId="77777777" w:rsidR="00183A1F" w:rsidRDefault="00183A1F" w:rsidP="00183A1F">
            <w:pPr>
              <w:pStyle w:val="ARtabletextright"/>
            </w:pPr>
            <w:r>
              <w:t>1</w:t>
            </w:r>
          </w:p>
        </w:tc>
        <w:tc>
          <w:tcPr>
            <w:tcW w:w="1021" w:type="dxa"/>
            <w:tcBorders>
              <w:top w:val="single" w:sz="4" w:space="0" w:color="auto"/>
            </w:tcBorders>
          </w:tcPr>
          <w:p w14:paraId="3AB10F82"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35ACD015" w14:textId="77777777" w:rsidR="00183A1F" w:rsidRDefault="00183A1F" w:rsidP="008D2D99">
            <w:pPr>
              <w:pStyle w:val="ARtabletextrightbold"/>
            </w:pPr>
            <w:r>
              <w:t>1</w:t>
            </w:r>
          </w:p>
        </w:tc>
        <w:tc>
          <w:tcPr>
            <w:tcW w:w="851" w:type="dxa"/>
            <w:tcBorders>
              <w:left w:val="single" w:sz="4" w:space="0" w:color="auto"/>
            </w:tcBorders>
          </w:tcPr>
          <w:p w14:paraId="41B79803" w14:textId="77777777" w:rsidR="00183A1F" w:rsidRDefault="00183A1F" w:rsidP="00183A1F">
            <w:pPr>
              <w:pStyle w:val="ARtabletextright"/>
            </w:pPr>
            <w:r>
              <w:t>1</w:t>
            </w:r>
          </w:p>
        </w:tc>
        <w:tc>
          <w:tcPr>
            <w:tcW w:w="851" w:type="dxa"/>
          </w:tcPr>
          <w:p w14:paraId="3B4F7186" w14:textId="4F3F1EC2" w:rsidR="00183A1F" w:rsidRDefault="00EC65C3" w:rsidP="00183A1F">
            <w:pPr>
              <w:pStyle w:val="ARtabletextright"/>
            </w:pPr>
            <w:r>
              <w:t>−</w:t>
            </w:r>
            <w:r w:rsidR="00183A1F">
              <w:t>1</w:t>
            </w:r>
          </w:p>
        </w:tc>
        <w:tc>
          <w:tcPr>
            <w:tcW w:w="1021" w:type="dxa"/>
          </w:tcPr>
          <w:p w14:paraId="71C2F1A0" w14:textId="77777777" w:rsidR="00183A1F" w:rsidRDefault="00183A1F" w:rsidP="00183A1F">
            <w:pPr>
              <w:pStyle w:val="ARtabletextright"/>
            </w:pPr>
            <w:r>
              <w:t>0</w:t>
            </w:r>
          </w:p>
        </w:tc>
        <w:tc>
          <w:tcPr>
            <w:tcW w:w="851" w:type="dxa"/>
          </w:tcPr>
          <w:p w14:paraId="5EBC800F" w14:textId="77777777" w:rsidR="00183A1F" w:rsidRDefault="00183A1F" w:rsidP="008D2D99">
            <w:pPr>
              <w:pStyle w:val="ARtabletextrightbold"/>
            </w:pPr>
            <w:r>
              <w:t>0</w:t>
            </w:r>
          </w:p>
        </w:tc>
      </w:tr>
      <w:tr w:rsidR="00183A1F" w14:paraId="539C3AB1" w14:textId="77777777" w:rsidTr="008D2D99">
        <w:trPr>
          <w:cantSplit w:val="0"/>
          <w:trHeight w:val="290"/>
        </w:trPr>
        <w:tc>
          <w:tcPr>
            <w:tcW w:w="3289" w:type="dxa"/>
          </w:tcPr>
          <w:p w14:paraId="3AC7722D" w14:textId="77777777" w:rsidR="00183A1F" w:rsidRDefault="00183A1F" w:rsidP="00183A1F">
            <w:pPr>
              <w:pStyle w:val="ARtabletext"/>
            </w:pPr>
            <w:r>
              <w:t>Heywood Rural Health</w:t>
            </w:r>
          </w:p>
        </w:tc>
        <w:tc>
          <w:tcPr>
            <w:tcW w:w="851" w:type="dxa"/>
          </w:tcPr>
          <w:p w14:paraId="1073F05C" w14:textId="77777777" w:rsidR="00183A1F" w:rsidRDefault="00183A1F" w:rsidP="00183A1F">
            <w:pPr>
              <w:pStyle w:val="ARtabletextright"/>
            </w:pPr>
            <w:r>
              <w:t>0</w:t>
            </w:r>
          </w:p>
        </w:tc>
        <w:tc>
          <w:tcPr>
            <w:tcW w:w="851" w:type="dxa"/>
          </w:tcPr>
          <w:p w14:paraId="4AD8A75A" w14:textId="77777777" w:rsidR="00183A1F" w:rsidRDefault="00183A1F" w:rsidP="00183A1F">
            <w:pPr>
              <w:pStyle w:val="ARtabletextright"/>
            </w:pPr>
            <w:r>
              <w:t>1</w:t>
            </w:r>
          </w:p>
        </w:tc>
        <w:tc>
          <w:tcPr>
            <w:tcW w:w="1021" w:type="dxa"/>
            <w:tcBorders>
              <w:top w:val="single" w:sz="4" w:space="0" w:color="auto"/>
            </w:tcBorders>
          </w:tcPr>
          <w:p w14:paraId="74990ECB"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2ED97F8D" w14:textId="77777777" w:rsidR="00183A1F" w:rsidRDefault="00183A1F" w:rsidP="008D2D99">
            <w:pPr>
              <w:pStyle w:val="ARtabletextrightbold"/>
            </w:pPr>
            <w:r>
              <w:t>1</w:t>
            </w:r>
          </w:p>
        </w:tc>
        <w:tc>
          <w:tcPr>
            <w:tcW w:w="851" w:type="dxa"/>
            <w:tcBorders>
              <w:left w:val="single" w:sz="4" w:space="0" w:color="auto"/>
            </w:tcBorders>
          </w:tcPr>
          <w:p w14:paraId="68FF1D29" w14:textId="77777777" w:rsidR="00183A1F" w:rsidRDefault="00183A1F" w:rsidP="00183A1F">
            <w:pPr>
              <w:pStyle w:val="ARtabletextright"/>
            </w:pPr>
            <w:r>
              <w:t>1</w:t>
            </w:r>
          </w:p>
        </w:tc>
        <w:tc>
          <w:tcPr>
            <w:tcW w:w="851" w:type="dxa"/>
          </w:tcPr>
          <w:p w14:paraId="1E0E9F0A" w14:textId="77777777" w:rsidR="00183A1F" w:rsidRDefault="00183A1F" w:rsidP="00183A1F">
            <w:pPr>
              <w:pStyle w:val="ARtabletextright"/>
            </w:pPr>
            <w:r>
              <w:t>0</w:t>
            </w:r>
          </w:p>
        </w:tc>
        <w:tc>
          <w:tcPr>
            <w:tcW w:w="1021" w:type="dxa"/>
            <w:tcBorders>
              <w:top w:val="single" w:sz="4" w:space="0" w:color="auto"/>
            </w:tcBorders>
          </w:tcPr>
          <w:p w14:paraId="31F800C0"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12418F7C" w14:textId="77777777" w:rsidR="00183A1F" w:rsidRDefault="00183A1F" w:rsidP="008D2D99">
            <w:pPr>
              <w:pStyle w:val="ARtabletextrightbold"/>
            </w:pPr>
            <w:r>
              <w:t>1</w:t>
            </w:r>
          </w:p>
        </w:tc>
        <w:tc>
          <w:tcPr>
            <w:tcW w:w="851" w:type="dxa"/>
            <w:tcBorders>
              <w:left w:val="single" w:sz="4" w:space="0" w:color="auto"/>
            </w:tcBorders>
          </w:tcPr>
          <w:p w14:paraId="782A3154" w14:textId="683DE602" w:rsidR="00183A1F" w:rsidRDefault="00EC65C3" w:rsidP="00183A1F">
            <w:pPr>
              <w:pStyle w:val="ARtabletextright"/>
            </w:pPr>
            <w:r>
              <w:t>−</w:t>
            </w:r>
            <w:r w:rsidR="00183A1F">
              <w:t>1</w:t>
            </w:r>
          </w:p>
        </w:tc>
        <w:tc>
          <w:tcPr>
            <w:tcW w:w="851" w:type="dxa"/>
          </w:tcPr>
          <w:p w14:paraId="05B366F2" w14:textId="77777777" w:rsidR="00183A1F" w:rsidRDefault="00183A1F" w:rsidP="00183A1F">
            <w:pPr>
              <w:pStyle w:val="ARtabletextright"/>
            </w:pPr>
            <w:r>
              <w:t>1</w:t>
            </w:r>
          </w:p>
        </w:tc>
        <w:tc>
          <w:tcPr>
            <w:tcW w:w="1021" w:type="dxa"/>
          </w:tcPr>
          <w:p w14:paraId="4E80F61B" w14:textId="77777777" w:rsidR="00183A1F" w:rsidRDefault="00183A1F" w:rsidP="00183A1F">
            <w:pPr>
              <w:pStyle w:val="ARtabletextright"/>
            </w:pPr>
            <w:r>
              <w:t>0</w:t>
            </w:r>
          </w:p>
        </w:tc>
        <w:tc>
          <w:tcPr>
            <w:tcW w:w="851" w:type="dxa"/>
          </w:tcPr>
          <w:p w14:paraId="446E3962" w14:textId="77777777" w:rsidR="00183A1F" w:rsidRDefault="00183A1F" w:rsidP="008D2D99">
            <w:pPr>
              <w:pStyle w:val="ARtabletextrightbold"/>
            </w:pPr>
            <w:r>
              <w:t>0</w:t>
            </w:r>
          </w:p>
        </w:tc>
      </w:tr>
      <w:tr w:rsidR="00183A1F" w14:paraId="0F9CE9A4" w14:textId="77777777" w:rsidTr="008D2D99">
        <w:trPr>
          <w:cantSplit w:val="0"/>
          <w:trHeight w:val="290"/>
        </w:trPr>
        <w:tc>
          <w:tcPr>
            <w:tcW w:w="3289" w:type="dxa"/>
          </w:tcPr>
          <w:p w14:paraId="2B848D31" w14:textId="77777777" w:rsidR="00183A1F" w:rsidRDefault="00183A1F" w:rsidP="00183A1F">
            <w:pPr>
              <w:pStyle w:val="ARtabletext"/>
            </w:pPr>
            <w:r>
              <w:t>Inglewood and Districts Health Service</w:t>
            </w:r>
          </w:p>
        </w:tc>
        <w:tc>
          <w:tcPr>
            <w:tcW w:w="851" w:type="dxa"/>
          </w:tcPr>
          <w:p w14:paraId="17295211" w14:textId="77777777" w:rsidR="00183A1F" w:rsidRDefault="00183A1F" w:rsidP="00183A1F">
            <w:pPr>
              <w:pStyle w:val="ARtabletextright"/>
            </w:pPr>
            <w:r>
              <w:t>0</w:t>
            </w:r>
          </w:p>
        </w:tc>
        <w:tc>
          <w:tcPr>
            <w:tcW w:w="851" w:type="dxa"/>
          </w:tcPr>
          <w:p w14:paraId="273E11AC" w14:textId="77777777" w:rsidR="00183A1F" w:rsidRDefault="00183A1F" w:rsidP="00183A1F">
            <w:pPr>
              <w:pStyle w:val="ARtabletextright"/>
            </w:pPr>
            <w:r>
              <w:t>0</w:t>
            </w:r>
          </w:p>
        </w:tc>
        <w:tc>
          <w:tcPr>
            <w:tcW w:w="1021" w:type="dxa"/>
            <w:tcBorders>
              <w:top w:val="single" w:sz="4" w:space="0" w:color="auto"/>
            </w:tcBorders>
          </w:tcPr>
          <w:p w14:paraId="1338AF81"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00B1AE4D" w14:textId="77777777" w:rsidR="00183A1F" w:rsidRDefault="00183A1F" w:rsidP="008D2D99">
            <w:pPr>
              <w:pStyle w:val="ARtabletextrightbold"/>
            </w:pPr>
            <w:r>
              <w:t>0</w:t>
            </w:r>
          </w:p>
        </w:tc>
        <w:tc>
          <w:tcPr>
            <w:tcW w:w="851" w:type="dxa"/>
            <w:tcBorders>
              <w:left w:val="single" w:sz="4" w:space="0" w:color="auto"/>
            </w:tcBorders>
          </w:tcPr>
          <w:p w14:paraId="3B78698F" w14:textId="77777777" w:rsidR="00183A1F" w:rsidRDefault="00183A1F" w:rsidP="00183A1F">
            <w:pPr>
              <w:pStyle w:val="ARtabletextright"/>
            </w:pPr>
            <w:r>
              <w:t>1</w:t>
            </w:r>
          </w:p>
        </w:tc>
        <w:tc>
          <w:tcPr>
            <w:tcW w:w="851" w:type="dxa"/>
          </w:tcPr>
          <w:p w14:paraId="15766586" w14:textId="77777777" w:rsidR="00183A1F" w:rsidRDefault="00183A1F" w:rsidP="00183A1F">
            <w:pPr>
              <w:pStyle w:val="ARtabletextright"/>
            </w:pPr>
            <w:r>
              <w:t>0</w:t>
            </w:r>
          </w:p>
        </w:tc>
        <w:tc>
          <w:tcPr>
            <w:tcW w:w="1021" w:type="dxa"/>
            <w:tcBorders>
              <w:top w:val="single" w:sz="4" w:space="0" w:color="auto"/>
            </w:tcBorders>
          </w:tcPr>
          <w:p w14:paraId="7A218B0F"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73E0C64B" w14:textId="77777777" w:rsidR="00183A1F" w:rsidRDefault="00183A1F" w:rsidP="008D2D99">
            <w:pPr>
              <w:pStyle w:val="ARtabletextrightbold"/>
            </w:pPr>
            <w:r>
              <w:t>1</w:t>
            </w:r>
          </w:p>
        </w:tc>
        <w:tc>
          <w:tcPr>
            <w:tcW w:w="851" w:type="dxa"/>
            <w:tcBorders>
              <w:left w:val="single" w:sz="4" w:space="0" w:color="auto"/>
            </w:tcBorders>
          </w:tcPr>
          <w:p w14:paraId="1124113A" w14:textId="08CF6686" w:rsidR="00183A1F" w:rsidRDefault="00EC65C3" w:rsidP="00183A1F">
            <w:pPr>
              <w:pStyle w:val="ARtabletextright"/>
            </w:pPr>
            <w:r>
              <w:t>−</w:t>
            </w:r>
            <w:r w:rsidR="00183A1F">
              <w:t>1</w:t>
            </w:r>
          </w:p>
        </w:tc>
        <w:tc>
          <w:tcPr>
            <w:tcW w:w="851" w:type="dxa"/>
          </w:tcPr>
          <w:p w14:paraId="2FB599CA" w14:textId="77777777" w:rsidR="00183A1F" w:rsidRDefault="00183A1F" w:rsidP="00183A1F">
            <w:pPr>
              <w:pStyle w:val="ARtabletextright"/>
            </w:pPr>
            <w:r>
              <w:t>0</w:t>
            </w:r>
          </w:p>
        </w:tc>
        <w:tc>
          <w:tcPr>
            <w:tcW w:w="1021" w:type="dxa"/>
          </w:tcPr>
          <w:p w14:paraId="64D9AB4E" w14:textId="77777777" w:rsidR="00183A1F" w:rsidRDefault="00183A1F" w:rsidP="00183A1F">
            <w:pPr>
              <w:pStyle w:val="ARtabletextright"/>
            </w:pPr>
            <w:r>
              <w:t>0</w:t>
            </w:r>
          </w:p>
        </w:tc>
        <w:tc>
          <w:tcPr>
            <w:tcW w:w="851" w:type="dxa"/>
          </w:tcPr>
          <w:p w14:paraId="0D8DAFC6" w14:textId="75CDD9D7" w:rsidR="00183A1F" w:rsidRDefault="00EC65C3" w:rsidP="008D2D99">
            <w:pPr>
              <w:pStyle w:val="ARtabletextrightbold"/>
            </w:pPr>
            <w:r>
              <w:t>−</w:t>
            </w:r>
            <w:r w:rsidR="00183A1F">
              <w:t>1</w:t>
            </w:r>
          </w:p>
        </w:tc>
      </w:tr>
      <w:tr w:rsidR="00183A1F" w14:paraId="2C79A294" w14:textId="77777777" w:rsidTr="008D2D99">
        <w:trPr>
          <w:cantSplit w:val="0"/>
          <w:trHeight w:val="290"/>
        </w:trPr>
        <w:tc>
          <w:tcPr>
            <w:tcW w:w="3289" w:type="dxa"/>
          </w:tcPr>
          <w:p w14:paraId="11BC0096" w14:textId="77777777" w:rsidR="00183A1F" w:rsidRDefault="00183A1F" w:rsidP="00183A1F">
            <w:pPr>
              <w:pStyle w:val="ARtabletext"/>
            </w:pPr>
            <w:r>
              <w:t>Kerang District Health</w:t>
            </w:r>
          </w:p>
        </w:tc>
        <w:tc>
          <w:tcPr>
            <w:tcW w:w="851" w:type="dxa"/>
          </w:tcPr>
          <w:p w14:paraId="746F4352" w14:textId="77777777" w:rsidR="00183A1F" w:rsidRDefault="00183A1F" w:rsidP="00183A1F">
            <w:pPr>
              <w:pStyle w:val="ARtabletextright"/>
            </w:pPr>
            <w:r>
              <w:t>0</w:t>
            </w:r>
          </w:p>
        </w:tc>
        <w:tc>
          <w:tcPr>
            <w:tcW w:w="851" w:type="dxa"/>
          </w:tcPr>
          <w:p w14:paraId="6B768FE8" w14:textId="77777777" w:rsidR="00183A1F" w:rsidRDefault="00183A1F" w:rsidP="00183A1F">
            <w:pPr>
              <w:pStyle w:val="ARtabletextright"/>
            </w:pPr>
            <w:r>
              <w:t>1</w:t>
            </w:r>
          </w:p>
        </w:tc>
        <w:tc>
          <w:tcPr>
            <w:tcW w:w="1021" w:type="dxa"/>
            <w:tcBorders>
              <w:top w:val="single" w:sz="4" w:space="0" w:color="auto"/>
            </w:tcBorders>
          </w:tcPr>
          <w:p w14:paraId="3E7B9F82"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27A30B2E" w14:textId="77777777" w:rsidR="00183A1F" w:rsidRDefault="00183A1F" w:rsidP="008D2D99">
            <w:pPr>
              <w:pStyle w:val="ARtabletextrightbold"/>
            </w:pPr>
            <w:r>
              <w:t>1</w:t>
            </w:r>
          </w:p>
        </w:tc>
        <w:tc>
          <w:tcPr>
            <w:tcW w:w="851" w:type="dxa"/>
            <w:tcBorders>
              <w:left w:val="single" w:sz="4" w:space="0" w:color="auto"/>
            </w:tcBorders>
          </w:tcPr>
          <w:p w14:paraId="34F0AC18" w14:textId="77777777" w:rsidR="00183A1F" w:rsidRDefault="00183A1F" w:rsidP="00183A1F">
            <w:pPr>
              <w:pStyle w:val="ARtabletextright"/>
            </w:pPr>
            <w:r>
              <w:t>0</w:t>
            </w:r>
          </w:p>
        </w:tc>
        <w:tc>
          <w:tcPr>
            <w:tcW w:w="851" w:type="dxa"/>
          </w:tcPr>
          <w:p w14:paraId="1006DA08" w14:textId="77777777" w:rsidR="00183A1F" w:rsidRDefault="00183A1F" w:rsidP="00183A1F">
            <w:pPr>
              <w:pStyle w:val="ARtabletextright"/>
            </w:pPr>
            <w:r>
              <w:t>1</w:t>
            </w:r>
          </w:p>
        </w:tc>
        <w:tc>
          <w:tcPr>
            <w:tcW w:w="1021" w:type="dxa"/>
            <w:tcBorders>
              <w:top w:val="single" w:sz="4" w:space="0" w:color="auto"/>
            </w:tcBorders>
          </w:tcPr>
          <w:p w14:paraId="71E7190E"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49B9181C" w14:textId="77777777" w:rsidR="00183A1F" w:rsidRDefault="00183A1F" w:rsidP="008D2D99">
            <w:pPr>
              <w:pStyle w:val="ARtabletextrightbold"/>
            </w:pPr>
            <w:r>
              <w:t>1</w:t>
            </w:r>
          </w:p>
        </w:tc>
        <w:tc>
          <w:tcPr>
            <w:tcW w:w="851" w:type="dxa"/>
            <w:tcBorders>
              <w:left w:val="single" w:sz="4" w:space="0" w:color="auto"/>
            </w:tcBorders>
          </w:tcPr>
          <w:p w14:paraId="5CDEC4E9" w14:textId="77777777" w:rsidR="00183A1F" w:rsidRDefault="00183A1F" w:rsidP="00183A1F">
            <w:pPr>
              <w:pStyle w:val="ARtabletextright"/>
            </w:pPr>
            <w:r>
              <w:t>0</w:t>
            </w:r>
          </w:p>
        </w:tc>
        <w:tc>
          <w:tcPr>
            <w:tcW w:w="851" w:type="dxa"/>
          </w:tcPr>
          <w:p w14:paraId="6934F735" w14:textId="77777777" w:rsidR="00183A1F" w:rsidRDefault="00183A1F" w:rsidP="00183A1F">
            <w:pPr>
              <w:pStyle w:val="ARtabletextright"/>
            </w:pPr>
            <w:r>
              <w:t>0</w:t>
            </w:r>
          </w:p>
        </w:tc>
        <w:tc>
          <w:tcPr>
            <w:tcW w:w="1021" w:type="dxa"/>
          </w:tcPr>
          <w:p w14:paraId="2FFCA0EB" w14:textId="77777777" w:rsidR="00183A1F" w:rsidRDefault="00183A1F" w:rsidP="00183A1F">
            <w:pPr>
              <w:pStyle w:val="ARtabletextright"/>
            </w:pPr>
            <w:r>
              <w:t>0</w:t>
            </w:r>
          </w:p>
        </w:tc>
        <w:tc>
          <w:tcPr>
            <w:tcW w:w="851" w:type="dxa"/>
          </w:tcPr>
          <w:p w14:paraId="09B62A18" w14:textId="77777777" w:rsidR="00183A1F" w:rsidRDefault="00183A1F" w:rsidP="008D2D99">
            <w:pPr>
              <w:pStyle w:val="ARtabletextrightbold"/>
            </w:pPr>
            <w:r>
              <w:t>0</w:t>
            </w:r>
          </w:p>
        </w:tc>
      </w:tr>
      <w:tr w:rsidR="00183A1F" w14:paraId="340A9096" w14:textId="77777777" w:rsidTr="008D2D99">
        <w:trPr>
          <w:cantSplit w:val="0"/>
          <w:trHeight w:val="290"/>
        </w:trPr>
        <w:tc>
          <w:tcPr>
            <w:tcW w:w="3289" w:type="dxa"/>
          </w:tcPr>
          <w:p w14:paraId="515EC2A9" w14:textId="77777777" w:rsidR="00183A1F" w:rsidRDefault="00183A1F" w:rsidP="00183A1F">
            <w:pPr>
              <w:pStyle w:val="ARtabletext"/>
            </w:pPr>
            <w:r>
              <w:t>Kilmore and District Hospital</w:t>
            </w:r>
          </w:p>
        </w:tc>
        <w:tc>
          <w:tcPr>
            <w:tcW w:w="851" w:type="dxa"/>
          </w:tcPr>
          <w:p w14:paraId="3B5E9E65" w14:textId="77777777" w:rsidR="00183A1F" w:rsidRDefault="00183A1F" w:rsidP="00183A1F">
            <w:pPr>
              <w:pStyle w:val="ARtabletextright"/>
            </w:pPr>
            <w:r>
              <w:t>0</w:t>
            </w:r>
          </w:p>
        </w:tc>
        <w:tc>
          <w:tcPr>
            <w:tcW w:w="851" w:type="dxa"/>
          </w:tcPr>
          <w:p w14:paraId="37EF49BB" w14:textId="77777777" w:rsidR="00183A1F" w:rsidRDefault="00183A1F" w:rsidP="00183A1F">
            <w:pPr>
              <w:pStyle w:val="ARtabletextright"/>
            </w:pPr>
            <w:r>
              <w:t>1</w:t>
            </w:r>
          </w:p>
        </w:tc>
        <w:tc>
          <w:tcPr>
            <w:tcW w:w="1021" w:type="dxa"/>
            <w:tcBorders>
              <w:top w:val="single" w:sz="4" w:space="0" w:color="auto"/>
            </w:tcBorders>
          </w:tcPr>
          <w:p w14:paraId="71EC57E2"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12F467D9" w14:textId="77777777" w:rsidR="00183A1F" w:rsidRDefault="00183A1F" w:rsidP="008D2D99">
            <w:pPr>
              <w:pStyle w:val="ARtabletextrightbold"/>
            </w:pPr>
            <w:r>
              <w:t>1</w:t>
            </w:r>
          </w:p>
        </w:tc>
        <w:tc>
          <w:tcPr>
            <w:tcW w:w="851" w:type="dxa"/>
            <w:tcBorders>
              <w:left w:val="single" w:sz="4" w:space="0" w:color="auto"/>
            </w:tcBorders>
          </w:tcPr>
          <w:p w14:paraId="4540B54A" w14:textId="77777777" w:rsidR="00183A1F" w:rsidRDefault="00183A1F" w:rsidP="00183A1F">
            <w:pPr>
              <w:pStyle w:val="ARtabletextright"/>
            </w:pPr>
            <w:r>
              <w:t>1</w:t>
            </w:r>
          </w:p>
        </w:tc>
        <w:tc>
          <w:tcPr>
            <w:tcW w:w="851" w:type="dxa"/>
          </w:tcPr>
          <w:p w14:paraId="5E77C055" w14:textId="77777777" w:rsidR="00183A1F" w:rsidRDefault="00183A1F" w:rsidP="00183A1F">
            <w:pPr>
              <w:pStyle w:val="ARtabletextright"/>
            </w:pPr>
            <w:r>
              <w:t>0</w:t>
            </w:r>
          </w:p>
        </w:tc>
        <w:tc>
          <w:tcPr>
            <w:tcW w:w="1021" w:type="dxa"/>
            <w:tcBorders>
              <w:top w:val="single" w:sz="4" w:space="0" w:color="auto"/>
            </w:tcBorders>
          </w:tcPr>
          <w:p w14:paraId="331A5EA9"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15AE54CF" w14:textId="77777777" w:rsidR="00183A1F" w:rsidRDefault="00183A1F" w:rsidP="008D2D99">
            <w:pPr>
              <w:pStyle w:val="ARtabletextrightbold"/>
            </w:pPr>
            <w:r>
              <w:t>1</w:t>
            </w:r>
          </w:p>
        </w:tc>
        <w:tc>
          <w:tcPr>
            <w:tcW w:w="851" w:type="dxa"/>
            <w:tcBorders>
              <w:left w:val="single" w:sz="4" w:space="0" w:color="auto"/>
            </w:tcBorders>
          </w:tcPr>
          <w:p w14:paraId="5BF853C0" w14:textId="0DB07836" w:rsidR="00183A1F" w:rsidRDefault="00EC65C3" w:rsidP="00183A1F">
            <w:pPr>
              <w:pStyle w:val="ARtabletextright"/>
            </w:pPr>
            <w:r>
              <w:t>−</w:t>
            </w:r>
            <w:r w:rsidR="00183A1F">
              <w:t>1</w:t>
            </w:r>
          </w:p>
        </w:tc>
        <w:tc>
          <w:tcPr>
            <w:tcW w:w="851" w:type="dxa"/>
          </w:tcPr>
          <w:p w14:paraId="60B1E2AF" w14:textId="77777777" w:rsidR="00183A1F" w:rsidRDefault="00183A1F" w:rsidP="00183A1F">
            <w:pPr>
              <w:pStyle w:val="ARtabletextright"/>
            </w:pPr>
            <w:r>
              <w:t>1</w:t>
            </w:r>
          </w:p>
        </w:tc>
        <w:tc>
          <w:tcPr>
            <w:tcW w:w="1021" w:type="dxa"/>
          </w:tcPr>
          <w:p w14:paraId="23525008" w14:textId="77777777" w:rsidR="00183A1F" w:rsidRDefault="00183A1F" w:rsidP="00183A1F">
            <w:pPr>
              <w:pStyle w:val="ARtabletextright"/>
            </w:pPr>
            <w:r>
              <w:t>0</w:t>
            </w:r>
          </w:p>
        </w:tc>
        <w:tc>
          <w:tcPr>
            <w:tcW w:w="851" w:type="dxa"/>
          </w:tcPr>
          <w:p w14:paraId="27D5116F" w14:textId="77777777" w:rsidR="00183A1F" w:rsidRDefault="00183A1F" w:rsidP="008D2D99">
            <w:pPr>
              <w:pStyle w:val="ARtabletextrightbold"/>
            </w:pPr>
            <w:r>
              <w:t>0</w:t>
            </w:r>
          </w:p>
        </w:tc>
      </w:tr>
      <w:tr w:rsidR="00183A1F" w14:paraId="5FE2B24E" w14:textId="77777777" w:rsidTr="008D2D99">
        <w:trPr>
          <w:cantSplit w:val="0"/>
          <w:trHeight w:val="290"/>
        </w:trPr>
        <w:tc>
          <w:tcPr>
            <w:tcW w:w="3289" w:type="dxa"/>
          </w:tcPr>
          <w:p w14:paraId="1459AC5A" w14:textId="77777777" w:rsidR="00183A1F" w:rsidRDefault="00183A1F" w:rsidP="00183A1F">
            <w:pPr>
              <w:pStyle w:val="ARtabletext"/>
            </w:pPr>
            <w:r>
              <w:t>Kooweerup Regional Health Service</w:t>
            </w:r>
          </w:p>
        </w:tc>
        <w:tc>
          <w:tcPr>
            <w:tcW w:w="851" w:type="dxa"/>
          </w:tcPr>
          <w:p w14:paraId="4F35B4B6" w14:textId="77777777" w:rsidR="00183A1F" w:rsidRDefault="00183A1F" w:rsidP="00183A1F">
            <w:pPr>
              <w:pStyle w:val="ARtabletextright"/>
            </w:pPr>
            <w:r>
              <w:t>1</w:t>
            </w:r>
          </w:p>
        </w:tc>
        <w:tc>
          <w:tcPr>
            <w:tcW w:w="851" w:type="dxa"/>
          </w:tcPr>
          <w:p w14:paraId="5A6296E9" w14:textId="77777777" w:rsidR="00183A1F" w:rsidRDefault="00183A1F" w:rsidP="00183A1F">
            <w:pPr>
              <w:pStyle w:val="ARtabletextright"/>
            </w:pPr>
            <w:r>
              <w:t>0</w:t>
            </w:r>
          </w:p>
        </w:tc>
        <w:tc>
          <w:tcPr>
            <w:tcW w:w="1021" w:type="dxa"/>
            <w:tcBorders>
              <w:top w:val="single" w:sz="4" w:space="0" w:color="auto"/>
            </w:tcBorders>
          </w:tcPr>
          <w:p w14:paraId="13445EF6"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40FBAF93" w14:textId="77777777" w:rsidR="00183A1F" w:rsidRDefault="00183A1F" w:rsidP="008D2D99">
            <w:pPr>
              <w:pStyle w:val="ARtabletextrightbold"/>
            </w:pPr>
            <w:r>
              <w:t>1</w:t>
            </w:r>
          </w:p>
        </w:tc>
        <w:tc>
          <w:tcPr>
            <w:tcW w:w="851" w:type="dxa"/>
            <w:tcBorders>
              <w:left w:val="single" w:sz="4" w:space="0" w:color="auto"/>
            </w:tcBorders>
          </w:tcPr>
          <w:p w14:paraId="128B7AB0" w14:textId="77777777" w:rsidR="00183A1F" w:rsidRDefault="00183A1F" w:rsidP="00183A1F">
            <w:pPr>
              <w:pStyle w:val="ARtabletextright"/>
            </w:pPr>
            <w:r>
              <w:t>0</w:t>
            </w:r>
          </w:p>
        </w:tc>
        <w:tc>
          <w:tcPr>
            <w:tcW w:w="851" w:type="dxa"/>
          </w:tcPr>
          <w:p w14:paraId="0BEE7514" w14:textId="77777777" w:rsidR="00183A1F" w:rsidRDefault="00183A1F" w:rsidP="00183A1F">
            <w:pPr>
              <w:pStyle w:val="ARtabletextright"/>
            </w:pPr>
            <w:r>
              <w:t>1</w:t>
            </w:r>
          </w:p>
        </w:tc>
        <w:tc>
          <w:tcPr>
            <w:tcW w:w="1021" w:type="dxa"/>
            <w:tcBorders>
              <w:top w:val="single" w:sz="4" w:space="0" w:color="auto"/>
            </w:tcBorders>
          </w:tcPr>
          <w:p w14:paraId="560E2A26"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7873E23F" w14:textId="77777777" w:rsidR="00183A1F" w:rsidRDefault="00183A1F" w:rsidP="008D2D99">
            <w:pPr>
              <w:pStyle w:val="ARtabletextrightbold"/>
            </w:pPr>
            <w:r>
              <w:t>1</w:t>
            </w:r>
          </w:p>
        </w:tc>
        <w:tc>
          <w:tcPr>
            <w:tcW w:w="851" w:type="dxa"/>
            <w:tcBorders>
              <w:left w:val="single" w:sz="4" w:space="0" w:color="auto"/>
            </w:tcBorders>
          </w:tcPr>
          <w:p w14:paraId="10BB810D" w14:textId="77777777" w:rsidR="00183A1F" w:rsidRDefault="00183A1F" w:rsidP="00183A1F">
            <w:pPr>
              <w:pStyle w:val="ARtabletextright"/>
            </w:pPr>
            <w:r>
              <w:t>1</w:t>
            </w:r>
          </w:p>
        </w:tc>
        <w:tc>
          <w:tcPr>
            <w:tcW w:w="851" w:type="dxa"/>
          </w:tcPr>
          <w:p w14:paraId="04529470" w14:textId="18595C38" w:rsidR="00183A1F" w:rsidRDefault="00EC65C3" w:rsidP="00183A1F">
            <w:pPr>
              <w:pStyle w:val="ARtabletextright"/>
            </w:pPr>
            <w:r>
              <w:t>−</w:t>
            </w:r>
            <w:r w:rsidR="00183A1F">
              <w:t>1</w:t>
            </w:r>
          </w:p>
        </w:tc>
        <w:tc>
          <w:tcPr>
            <w:tcW w:w="1021" w:type="dxa"/>
          </w:tcPr>
          <w:p w14:paraId="6F152F74" w14:textId="77777777" w:rsidR="00183A1F" w:rsidRDefault="00183A1F" w:rsidP="00183A1F">
            <w:pPr>
              <w:pStyle w:val="ARtabletextright"/>
            </w:pPr>
            <w:r>
              <w:t>0</w:t>
            </w:r>
          </w:p>
        </w:tc>
        <w:tc>
          <w:tcPr>
            <w:tcW w:w="851" w:type="dxa"/>
          </w:tcPr>
          <w:p w14:paraId="1ACA59C6" w14:textId="77777777" w:rsidR="00183A1F" w:rsidRDefault="00183A1F" w:rsidP="008D2D99">
            <w:pPr>
              <w:pStyle w:val="ARtabletextrightbold"/>
            </w:pPr>
            <w:r>
              <w:t>0</w:t>
            </w:r>
          </w:p>
        </w:tc>
      </w:tr>
      <w:tr w:rsidR="00183A1F" w14:paraId="6B8F67EC" w14:textId="77777777" w:rsidTr="008D2D99">
        <w:trPr>
          <w:cantSplit w:val="0"/>
          <w:trHeight w:val="290"/>
        </w:trPr>
        <w:tc>
          <w:tcPr>
            <w:tcW w:w="3289" w:type="dxa"/>
          </w:tcPr>
          <w:p w14:paraId="16DF4F14" w14:textId="77777777" w:rsidR="00183A1F" w:rsidRDefault="00183A1F" w:rsidP="00183A1F">
            <w:pPr>
              <w:pStyle w:val="ARtabletext"/>
            </w:pPr>
            <w:r>
              <w:lastRenderedPageBreak/>
              <w:t>Kyabram and District Health Service</w:t>
            </w:r>
          </w:p>
        </w:tc>
        <w:tc>
          <w:tcPr>
            <w:tcW w:w="851" w:type="dxa"/>
          </w:tcPr>
          <w:p w14:paraId="0FE96598" w14:textId="77777777" w:rsidR="00183A1F" w:rsidRDefault="00183A1F" w:rsidP="00183A1F">
            <w:pPr>
              <w:pStyle w:val="ARtabletextright"/>
            </w:pPr>
            <w:r>
              <w:t>1</w:t>
            </w:r>
          </w:p>
        </w:tc>
        <w:tc>
          <w:tcPr>
            <w:tcW w:w="851" w:type="dxa"/>
          </w:tcPr>
          <w:p w14:paraId="07EB3BF5" w14:textId="77777777" w:rsidR="00183A1F" w:rsidRDefault="00183A1F" w:rsidP="00183A1F">
            <w:pPr>
              <w:pStyle w:val="ARtabletextright"/>
            </w:pPr>
            <w:r>
              <w:t>0</w:t>
            </w:r>
          </w:p>
        </w:tc>
        <w:tc>
          <w:tcPr>
            <w:tcW w:w="1021" w:type="dxa"/>
            <w:tcBorders>
              <w:top w:val="single" w:sz="4" w:space="0" w:color="auto"/>
            </w:tcBorders>
          </w:tcPr>
          <w:p w14:paraId="6667E145"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3A3A07E8" w14:textId="77777777" w:rsidR="00183A1F" w:rsidRDefault="00183A1F" w:rsidP="008D2D99">
            <w:pPr>
              <w:pStyle w:val="ARtabletextrightbold"/>
            </w:pPr>
            <w:r>
              <w:t>1</w:t>
            </w:r>
          </w:p>
        </w:tc>
        <w:tc>
          <w:tcPr>
            <w:tcW w:w="851" w:type="dxa"/>
            <w:tcBorders>
              <w:left w:val="single" w:sz="4" w:space="0" w:color="auto"/>
            </w:tcBorders>
          </w:tcPr>
          <w:p w14:paraId="5F4E2213" w14:textId="77777777" w:rsidR="00183A1F" w:rsidRDefault="00183A1F" w:rsidP="00183A1F">
            <w:pPr>
              <w:pStyle w:val="ARtabletextright"/>
            </w:pPr>
            <w:r>
              <w:t>1</w:t>
            </w:r>
          </w:p>
        </w:tc>
        <w:tc>
          <w:tcPr>
            <w:tcW w:w="851" w:type="dxa"/>
          </w:tcPr>
          <w:p w14:paraId="537E2817" w14:textId="77777777" w:rsidR="00183A1F" w:rsidRDefault="00183A1F" w:rsidP="00183A1F">
            <w:pPr>
              <w:pStyle w:val="ARtabletextright"/>
            </w:pPr>
            <w:r>
              <w:t>0</w:t>
            </w:r>
          </w:p>
        </w:tc>
        <w:tc>
          <w:tcPr>
            <w:tcW w:w="1021" w:type="dxa"/>
            <w:tcBorders>
              <w:top w:val="single" w:sz="4" w:space="0" w:color="auto"/>
            </w:tcBorders>
          </w:tcPr>
          <w:p w14:paraId="29D4D77E"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655BCE25" w14:textId="77777777" w:rsidR="00183A1F" w:rsidRDefault="00183A1F" w:rsidP="008D2D99">
            <w:pPr>
              <w:pStyle w:val="ARtabletextrightbold"/>
            </w:pPr>
            <w:r>
              <w:t>1</w:t>
            </w:r>
          </w:p>
        </w:tc>
        <w:tc>
          <w:tcPr>
            <w:tcW w:w="851" w:type="dxa"/>
            <w:tcBorders>
              <w:left w:val="single" w:sz="4" w:space="0" w:color="auto"/>
            </w:tcBorders>
          </w:tcPr>
          <w:p w14:paraId="0E004553" w14:textId="77777777" w:rsidR="00183A1F" w:rsidRDefault="00183A1F" w:rsidP="00183A1F">
            <w:pPr>
              <w:pStyle w:val="ARtabletextright"/>
            </w:pPr>
            <w:r>
              <w:t>0</w:t>
            </w:r>
          </w:p>
        </w:tc>
        <w:tc>
          <w:tcPr>
            <w:tcW w:w="851" w:type="dxa"/>
          </w:tcPr>
          <w:p w14:paraId="3B703980" w14:textId="77777777" w:rsidR="00183A1F" w:rsidRDefault="00183A1F" w:rsidP="00183A1F">
            <w:pPr>
              <w:pStyle w:val="ARtabletextright"/>
            </w:pPr>
            <w:r>
              <w:t>0</w:t>
            </w:r>
          </w:p>
        </w:tc>
        <w:tc>
          <w:tcPr>
            <w:tcW w:w="1021" w:type="dxa"/>
          </w:tcPr>
          <w:p w14:paraId="5B5AADC1" w14:textId="77777777" w:rsidR="00183A1F" w:rsidRDefault="00183A1F" w:rsidP="00183A1F">
            <w:pPr>
              <w:pStyle w:val="ARtabletextright"/>
            </w:pPr>
            <w:r>
              <w:t>0</w:t>
            </w:r>
          </w:p>
        </w:tc>
        <w:tc>
          <w:tcPr>
            <w:tcW w:w="851" w:type="dxa"/>
          </w:tcPr>
          <w:p w14:paraId="40C89F2D" w14:textId="77777777" w:rsidR="00183A1F" w:rsidRDefault="00183A1F" w:rsidP="008D2D99">
            <w:pPr>
              <w:pStyle w:val="ARtabletextrightbold"/>
            </w:pPr>
            <w:r>
              <w:t>0</w:t>
            </w:r>
          </w:p>
        </w:tc>
      </w:tr>
      <w:tr w:rsidR="00183A1F" w14:paraId="466A0BFA" w14:textId="77777777" w:rsidTr="008D2D99">
        <w:trPr>
          <w:cantSplit w:val="0"/>
          <w:trHeight w:val="290"/>
        </w:trPr>
        <w:tc>
          <w:tcPr>
            <w:tcW w:w="3289" w:type="dxa"/>
          </w:tcPr>
          <w:p w14:paraId="7792BC1F" w14:textId="77777777" w:rsidR="00183A1F" w:rsidRDefault="00183A1F" w:rsidP="00183A1F">
            <w:pPr>
              <w:pStyle w:val="ARtabletext"/>
            </w:pPr>
            <w:r>
              <w:t>Latrobe Regional Hospital</w:t>
            </w:r>
          </w:p>
        </w:tc>
        <w:tc>
          <w:tcPr>
            <w:tcW w:w="851" w:type="dxa"/>
          </w:tcPr>
          <w:p w14:paraId="5347E6F9" w14:textId="77777777" w:rsidR="00183A1F" w:rsidRDefault="00183A1F" w:rsidP="00183A1F">
            <w:pPr>
              <w:pStyle w:val="ARtabletextright"/>
            </w:pPr>
            <w:r>
              <w:t>3</w:t>
            </w:r>
          </w:p>
        </w:tc>
        <w:tc>
          <w:tcPr>
            <w:tcW w:w="851" w:type="dxa"/>
          </w:tcPr>
          <w:p w14:paraId="0874C616" w14:textId="77777777" w:rsidR="00183A1F" w:rsidRDefault="00183A1F" w:rsidP="00183A1F">
            <w:pPr>
              <w:pStyle w:val="ARtabletextright"/>
            </w:pPr>
            <w:r>
              <w:t>4</w:t>
            </w:r>
          </w:p>
        </w:tc>
        <w:tc>
          <w:tcPr>
            <w:tcW w:w="1021" w:type="dxa"/>
            <w:tcBorders>
              <w:top w:val="single" w:sz="4" w:space="0" w:color="auto"/>
            </w:tcBorders>
          </w:tcPr>
          <w:p w14:paraId="02DFF57D"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64D9786D" w14:textId="77777777" w:rsidR="00183A1F" w:rsidRDefault="00183A1F" w:rsidP="008D2D99">
            <w:pPr>
              <w:pStyle w:val="ARtabletextrightbold"/>
            </w:pPr>
            <w:r>
              <w:t>7</w:t>
            </w:r>
          </w:p>
        </w:tc>
        <w:tc>
          <w:tcPr>
            <w:tcW w:w="851" w:type="dxa"/>
            <w:tcBorders>
              <w:left w:val="single" w:sz="4" w:space="0" w:color="auto"/>
            </w:tcBorders>
          </w:tcPr>
          <w:p w14:paraId="05EDDA66" w14:textId="77777777" w:rsidR="00183A1F" w:rsidRDefault="00183A1F" w:rsidP="00183A1F">
            <w:pPr>
              <w:pStyle w:val="ARtabletextright"/>
            </w:pPr>
            <w:r>
              <w:t>2</w:t>
            </w:r>
          </w:p>
        </w:tc>
        <w:tc>
          <w:tcPr>
            <w:tcW w:w="851" w:type="dxa"/>
          </w:tcPr>
          <w:p w14:paraId="10E03BA5" w14:textId="77777777" w:rsidR="00183A1F" w:rsidRDefault="00183A1F" w:rsidP="00183A1F">
            <w:pPr>
              <w:pStyle w:val="ARtabletextright"/>
            </w:pPr>
            <w:r>
              <w:t>5</w:t>
            </w:r>
          </w:p>
        </w:tc>
        <w:tc>
          <w:tcPr>
            <w:tcW w:w="1021" w:type="dxa"/>
            <w:tcBorders>
              <w:top w:val="single" w:sz="4" w:space="0" w:color="auto"/>
            </w:tcBorders>
          </w:tcPr>
          <w:p w14:paraId="055CF273"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59CDE085" w14:textId="77777777" w:rsidR="00183A1F" w:rsidRDefault="00183A1F" w:rsidP="008D2D99">
            <w:pPr>
              <w:pStyle w:val="ARtabletextrightbold"/>
            </w:pPr>
            <w:r>
              <w:t>7</w:t>
            </w:r>
          </w:p>
        </w:tc>
        <w:tc>
          <w:tcPr>
            <w:tcW w:w="851" w:type="dxa"/>
            <w:tcBorders>
              <w:left w:val="single" w:sz="4" w:space="0" w:color="auto"/>
            </w:tcBorders>
          </w:tcPr>
          <w:p w14:paraId="4A2B37BD" w14:textId="77777777" w:rsidR="00183A1F" w:rsidRDefault="00183A1F" w:rsidP="00183A1F">
            <w:pPr>
              <w:pStyle w:val="ARtabletextright"/>
            </w:pPr>
            <w:r>
              <w:t>1</w:t>
            </w:r>
          </w:p>
        </w:tc>
        <w:tc>
          <w:tcPr>
            <w:tcW w:w="851" w:type="dxa"/>
          </w:tcPr>
          <w:p w14:paraId="77063D4D" w14:textId="524E732E" w:rsidR="00183A1F" w:rsidRDefault="00EC65C3" w:rsidP="00183A1F">
            <w:pPr>
              <w:pStyle w:val="ARtabletextright"/>
            </w:pPr>
            <w:r>
              <w:t>−</w:t>
            </w:r>
            <w:r w:rsidR="00183A1F">
              <w:t>1</w:t>
            </w:r>
          </w:p>
        </w:tc>
        <w:tc>
          <w:tcPr>
            <w:tcW w:w="1021" w:type="dxa"/>
          </w:tcPr>
          <w:p w14:paraId="456AA58A" w14:textId="77777777" w:rsidR="00183A1F" w:rsidRDefault="00183A1F" w:rsidP="00183A1F">
            <w:pPr>
              <w:pStyle w:val="ARtabletextright"/>
            </w:pPr>
            <w:r>
              <w:t>0</w:t>
            </w:r>
          </w:p>
        </w:tc>
        <w:tc>
          <w:tcPr>
            <w:tcW w:w="851" w:type="dxa"/>
          </w:tcPr>
          <w:p w14:paraId="275D6EA2" w14:textId="77777777" w:rsidR="00183A1F" w:rsidRDefault="00183A1F" w:rsidP="008D2D99">
            <w:pPr>
              <w:pStyle w:val="ARtabletextrightbold"/>
            </w:pPr>
            <w:r>
              <w:t>0</w:t>
            </w:r>
          </w:p>
        </w:tc>
      </w:tr>
      <w:tr w:rsidR="00183A1F" w14:paraId="454D013C" w14:textId="77777777" w:rsidTr="008D2D99">
        <w:trPr>
          <w:cantSplit w:val="0"/>
          <w:trHeight w:val="290"/>
        </w:trPr>
        <w:tc>
          <w:tcPr>
            <w:tcW w:w="3289" w:type="dxa"/>
          </w:tcPr>
          <w:p w14:paraId="6D5A4877" w14:textId="77777777" w:rsidR="00183A1F" w:rsidRDefault="00183A1F" w:rsidP="00183A1F">
            <w:pPr>
              <w:pStyle w:val="ARtabletext"/>
            </w:pPr>
            <w:r>
              <w:t>Mallee Track Health and Community Service</w:t>
            </w:r>
          </w:p>
        </w:tc>
        <w:tc>
          <w:tcPr>
            <w:tcW w:w="851" w:type="dxa"/>
          </w:tcPr>
          <w:p w14:paraId="3B9AE47B" w14:textId="77777777" w:rsidR="00183A1F" w:rsidRDefault="00183A1F" w:rsidP="00183A1F">
            <w:pPr>
              <w:pStyle w:val="ARtabletextright"/>
            </w:pPr>
            <w:r>
              <w:t>1</w:t>
            </w:r>
          </w:p>
        </w:tc>
        <w:tc>
          <w:tcPr>
            <w:tcW w:w="851" w:type="dxa"/>
          </w:tcPr>
          <w:p w14:paraId="403C2836" w14:textId="77777777" w:rsidR="00183A1F" w:rsidRDefault="00183A1F" w:rsidP="00183A1F">
            <w:pPr>
              <w:pStyle w:val="ARtabletextright"/>
            </w:pPr>
            <w:r>
              <w:t>0</w:t>
            </w:r>
          </w:p>
        </w:tc>
        <w:tc>
          <w:tcPr>
            <w:tcW w:w="1021" w:type="dxa"/>
            <w:tcBorders>
              <w:top w:val="single" w:sz="4" w:space="0" w:color="auto"/>
            </w:tcBorders>
          </w:tcPr>
          <w:p w14:paraId="5EDF7E2D"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3EF86707" w14:textId="77777777" w:rsidR="00183A1F" w:rsidRDefault="00183A1F" w:rsidP="008D2D99">
            <w:pPr>
              <w:pStyle w:val="ARtabletextrightbold"/>
            </w:pPr>
            <w:r>
              <w:t>1</w:t>
            </w:r>
          </w:p>
        </w:tc>
        <w:tc>
          <w:tcPr>
            <w:tcW w:w="851" w:type="dxa"/>
            <w:tcBorders>
              <w:left w:val="single" w:sz="4" w:space="0" w:color="auto"/>
            </w:tcBorders>
          </w:tcPr>
          <w:p w14:paraId="5A9559D9" w14:textId="77777777" w:rsidR="00183A1F" w:rsidRDefault="00183A1F" w:rsidP="00183A1F">
            <w:pPr>
              <w:pStyle w:val="ARtabletextright"/>
            </w:pPr>
            <w:r>
              <w:t>1</w:t>
            </w:r>
          </w:p>
        </w:tc>
        <w:tc>
          <w:tcPr>
            <w:tcW w:w="851" w:type="dxa"/>
          </w:tcPr>
          <w:p w14:paraId="2EA4BFA9" w14:textId="77777777" w:rsidR="00183A1F" w:rsidRDefault="00183A1F" w:rsidP="00183A1F">
            <w:pPr>
              <w:pStyle w:val="ARtabletextright"/>
            </w:pPr>
            <w:r>
              <w:t>0</w:t>
            </w:r>
          </w:p>
        </w:tc>
        <w:tc>
          <w:tcPr>
            <w:tcW w:w="1021" w:type="dxa"/>
            <w:tcBorders>
              <w:top w:val="single" w:sz="4" w:space="0" w:color="auto"/>
            </w:tcBorders>
          </w:tcPr>
          <w:p w14:paraId="01598A78"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6321C96D" w14:textId="77777777" w:rsidR="00183A1F" w:rsidRDefault="00183A1F" w:rsidP="008D2D99">
            <w:pPr>
              <w:pStyle w:val="ARtabletextrightbold"/>
            </w:pPr>
            <w:r>
              <w:t>1</w:t>
            </w:r>
          </w:p>
        </w:tc>
        <w:tc>
          <w:tcPr>
            <w:tcW w:w="851" w:type="dxa"/>
            <w:tcBorders>
              <w:left w:val="single" w:sz="4" w:space="0" w:color="auto"/>
            </w:tcBorders>
          </w:tcPr>
          <w:p w14:paraId="22393E68" w14:textId="77777777" w:rsidR="00183A1F" w:rsidRDefault="00183A1F" w:rsidP="00183A1F">
            <w:pPr>
              <w:pStyle w:val="ARtabletextright"/>
            </w:pPr>
            <w:r>
              <w:t>0</w:t>
            </w:r>
          </w:p>
        </w:tc>
        <w:tc>
          <w:tcPr>
            <w:tcW w:w="851" w:type="dxa"/>
          </w:tcPr>
          <w:p w14:paraId="091BD8A0" w14:textId="77777777" w:rsidR="00183A1F" w:rsidRDefault="00183A1F" w:rsidP="00183A1F">
            <w:pPr>
              <w:pStyle w:val="ARtabletextright"/>
            </w:pPr>
            <w:r>
              <w:t>0</w:t>
            </w:r>
          </w:p>
        </w:tc>
        <w:tc>
          <w:tcPr>
            <w:tcW w:w="1021" w:type="dxa"/>
          </w:tcPr>
          <w:p w14:paraId="0C52387C" w14:textId="77777777" w:rsidR="00183A1F" w:rsidRDefault="00183A1F" w:rsidP="00183A1F">
            <w:pPr>
              <w:pStyle w:val="ARtabletextright"/>
            </w:pPr>
            <w:r>
              <w:t>0</w:t>
            </w:r>
          </w:p>
        </w:tc>
        <w:tc>
          <w:tcPr>
            <w:tcW w:w="851" w:type="dxa"/>
          </w:tcPr>
          <w:p w14:paraId="494DB607" w14:textId="77777777" w:rsidR="00183A1F" w:rsidRDefault="00183A1F" w:rsidP="008D2D99">
            <w:pPr>
              <w:pStyle w:val="ARtabletextrightbold"/>
            </w:pPr>
            <w:r>
              <w:t>0</w:t>
            </w:r>
          </w:p>
        </w:tc>
      </w:tr>
      <w:tr w:rsidR="00183A1F" w14:paraId="32375E6A" w14:textId="77777777" w:rsidTr="008D2D99">
        <w:trPr>
          <w:cantSplit w:val="0"/>
          <w:trHeight w:val="290"/>
        </w:trPr>
        <w:tc>
          <w:tcPr>
            <w:tcW w:w="3289" w:type="dxa"/>
          </w:tcPr>
          <w:p w14:paraId="36353AB5" w14:textId="77777777" w:rsidR="00183A1F" w:rsidRDefault="00183A1F" w:rsidP="00183A1F">
            <w:pPr>
              <w:pStyle w:val="ARtabletext"/>
            </w:pPr>
            <w:r>
              <w:t>Mansfield District Hospital</w:t>
            </w:r>
          </w:p>
        </w:tc>
        <w:tc>
          <w:tcPr>
            <w:tcW w:w="851" w:type="dxa"/>
          </w:tcPr>
          <w:p w14:paraId="3319F86A" w14:textId="77777777" w:rsidR="00183A1F" w:rsidRDefault="00183A1F" w:rsidP="00183A1F">
            <w:pPr>
              <w:pStyle w:val="ARtabletextright"/>
            </w:pPr>
            <w:r>
              <w:t>0</w:t>
            </w:r>
          </w:p>
        </w:tc>
        <w:tc>
          <w:tcPr>
            <w:tcW w:w="851" w:type="dxa"/>
          </w:tcPr>
          <w:p w14:paraId="065BB900" w14:textId="77777777" w:rsidR="00183A1F" w:rsidRDefault="00183A1F" w:rsidP="00183A1F">
            <w:pPr>
              <w:pStyle w:val="ARtabletextright"/>
            </w:pPr>
            <w:r>
              <w:t>1</w:t>
            </w:r>
          </w:p>
        </w:tc>
        <w:tc>
          <w:tcPr>
            <w:tcW w:w="1021" w:type="dxa"/>
            <w:tcBorders>
              <w:top w:val="single" w:sz="4" w:space="0" w:color="auto"/>
            </w:tcBorders>
          </w:tcPr>
          <w:p w14:paraId="07D4FB36"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10B601AA" w14:textId="77777777" w:rsidR="00183A1F" w:rsidRDefault="00183A1F" w:rsidP="008D2D99">
            <w:pPr>
              <w:pStyle w:val="ARtabletextrightbold"/>
            </w:pPr>
            <w:r>
              <w:t>1</w:t>
            </w:r>
          </w:p>
        </w:tc>
        <w:tc>
          <w:tcPr>
            <w:tcW w:w="851" w:type="dxa"/>
            <w:tcBorders>
              <w:left w:val="single" w:sz="4" w:space="0" w:color="auto"/>
            </w:tcBorders>
          </w:tcPr>
          <w:p w14:paraId="316A8F54" w14:textId="77777777" w:rsidR="00183A1F" w:rsidRDefault="00183A1F" w:rsidP="00183A1F">
            <w:pPr>
              <w:pStyle w:val="ARtabletextright"/>
            </w:pPr>
            <w:r>
              <w:t>0</w:t>
            </w:r>
          </w:p>
        </w:tc>
        <w:tc>
          <w:tcPr>
            <w:tcW w:w="851" w:type="dxa"/>
          </w:tcPr>
          <w:p w14:paraId="600968AC" w14:textId="77777777" w:rsidR="00183A1F" w:rsidRDefault="00183A1F" w:rsidP="00183A1F">
            <w:pPr>
              <w:pStyle w:val="ARtabletextright"/>
            </w:pPr>
            <w:r>
              <w:t>1</w:t>
            </w:r>
          </w:p>
        </w:tc>
        <w:tc>
          <w:tcPr>
            <w:tcW w:w="1021" w:type="dxa"/>
            <w:tcBorders>
              <w:top w:val="single" w:sz="4" w:space="0" w:color="auto"/>
            </w:tcBorders>
          </w:tcPr>
          <w:p w14:paraId="6401828C"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28FA1C90" w14:textId="77777777" w:rsidR="00183A1F" w:rsidRDefault="00183A1F" w:rsidP="008D2D99">
            <w:pPr>
              <w:pStyle w:val="ARtabletextrightbold"/>
            </w:pPr>
            <w:r>
              <w:t>1</w:t>
            </w:r>
          </w:p>
        </w:tc>
        <w:tc>
          <w:tcPr>
            <w:tcW w:w="851" w:type="dxa"/>
            <w:tcBorders>
              <w:left w:val="single" w:sz="4" w:space="0" w:color="auto"/>
            </w:tcBorders>
          </w:tcPr>
          <w:p w14:paraId="1E2682C7" w14:textId="77777777" w:rsidR="00183A1F" w:rsidRDefault="00183A1F" w:rsidP="00183A1F">
            <w:pPr>
              <w:pStyle w:val="ARtabletextright"/>
            </w:pPr>
            <w:r>
              <w:t>0</w:t>
            </w:r>
          </w:p>
        </w:tc>
        <w:tc>
          <w:tcPr>
            <w:tcW w:w="851" w:type="dxa"/>
          </w:tcPr>
          <w:p w14:paraId="4673C430" w14:textId="77777777" w:rsidR="00183A1F" w:rsidRDefault="00183A1F" w:rsidP="00183A1F">
            <w:pPr>
              <w:pStyle w:val="ARtabletextright"/>
            </w:pPr>
            <w:r>
              <w:t>0</w:t>
            </w:r>
          </w:p>
        </w:tc>
        <w:tc>
          <w:tcPr>
            <w:tcW w:w="1021" w:type="dxa"/>
          </w:tcPr>
          <w:p w14:paraId="623A529B" w14:textId="77777777" w:rsidR="00183A1F" w:rsidRDefault="00183A1F" w:rsidP="00183A1F">
            <w:pPr>
              <w:pStyle w:val="ARtabletextright"/>
            </w:pPr>
            <w:r>
              <w:t>0</w:t>
            </w:r>
          </w:p>
        </w:tc>
        <w:tc>
          <w:tcPr>
            <w:tcW w:w="851" w:type="dxa"/>
          </w:tcPr>
          <w:p w14:paraId="727FF719" w14:textId="77777777" w:rsidR="00183A1F" w:rsidRDefault="00183A1F" w:rsidP="008D2D99">
            <w:pPr>
              <w:pStyle w:val="ARtabletextrightbold"/>
            </w:pPr>
            <w:r>
              <w:t>0</w:t>
            </w:r>
          </w:p>
        </w:tc>
      </w:tr>
      <w:tr w:rsidR="00183A1F" w14:paraId="048EDB5E" w14:textId="77777777" w:rsidTr="008D2D99">
        <w:trPr>
          <w:cantSplit w:val="0"/>
          <w:trHeight w:val="290"/>
        </w:trPr>
        <w:tc>
          <w:tcPr>
            <w:tcW w:w="3289" w:type="dxa"/>
          </w:tcPr>
          <w:p w14:paraId="112DC461" w14:textId="77777777" w:rsidR="00183A1F" w:rsidRDefault="00183A1F" w:rsidP="00183A1F">
            <w:pPr>
              <w:pStyle w:val="ARtabletext"/>
            </w:pPr>
            <w:r>
              <w:t>Maryborough District Health Service</w:t>
            </w:r>
          </w:p>
        </w:tc>
        <w:tc>
          <w:tcPr>
            <w:tcW w:w="851" w:type="dxa"/>
          </w:tcPr>
          <w:p w14:paraId="23D375BC" w14:textId="77777777" w:rsidR="00183A1F" w:rsidRDefault="00183A1F" w:rsidP="00183A1F">
            <w:pPr>
              <w:pStyle w:val="ARtabletextright"/>
            </w:pPr>
            <w:r>
              <w:t>1</w:t>
            </w:r>
          </w:p>
        </w:tc>
        <w:tc>
          <w:tcPr>
            <w:tcW w:w="851" w:type="dxa"/>
          </w:tcPr>
          <w:p w14:paraId="0258857E" w14:textId="77777777" w:rsidR="00183A1F" w:rsidRDefault="00183A1F" w:rsidP="00183A1F">
            <w:pPr>
              <w:pStyle w:val="ARtabletextright"/>
            </w:pPr>
            <w:r>
              <w:t>0</w:t>
            </w:r>
          </w:p>
        </w:tc>
        <w:tc>
          <w:tcPr>
            <w:tcW w:w="1021" w:type="dxa"/>
            <w:tcBorders>
              <w:top w:val="single" w:sz="4" w:space="0" w:color="auto"/>
            </w:tcBorders>
          </w:tcPr>
          <w:p w14:paraId="1905DE3C"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112B64C4" w14:textId="77777777" w:rsidR="00183A1F" w:rsidRDefault="00183A1F" w:rsidP="008D2D99">
            <w:pPr>
              <w:pStyle w:val="ARtabletextrightbold"/>
            </w:pPr>
            <w:r>
              <w:t>1</w:t>
            </w:r>
          </w:p>
        </w:tc>
        <w:tc>
          <w:tcPr>
            <w:tcW w:w="851" w:type="dxa"/>
            <w:tcBorders>
              <w:left w:val="single" w:sz="4" w:space="0" w:color="auto"/>
            </w:tcBorders>
          </w:tcPr>
          <w:p w14:paraId="48C569D3" w14:textId="77777777" w:rsidR="00183A1F" w:rsidRDefault="00183A1F" w:rsidP="00183A1F">
            <w:pPr>
              <w:pStyle w:val="ARtabletextright"/>
            </w:pPr>
            <w:r>
              <w:t>0</w:t>
            </w:r>
          </w:p>
        </w:tc>
        <w:tc>
          <w:tcPr>
            <w:tcW w:w="851" w:type="dxa"/>
          </w:tcPr>
          <w:p w14:paraId="5879AD73" w14:textId="77777777" w:rsidR="00183A1F" w:rsidRDefault="00183A1F" w:rsidP="00183A1F">
            <w:pPr>
              <w:pStyle w:val="ARtabletextright"/>
            </w:pPr>
            <w:r>
              <w:t>1</w:t>
            </w:r>
          </w:p>
        </w:tc>
        <w:tc>
          <w:tcPr>
            <w:tcW w:w="1021" w:type="dxa"/>
            <w:tcBorders>
              <w:top w:val="single" w:sz="4" w:space="0" w:color="auto"/>
            </w:tcBorders>
          </w:tcPr>
          <w:p w14:paraId="4F0000E6"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4E2F5584" w14:textId="77777777" w:rsidR="00183A1F" w:rsidRDefault="00183A1F" w:rsidP="008D2D99">
            <w:pPr>
              <w:pStyle w:val="ARtabletextrightbold"/>
            </w:pPr>
            <w:r>
              <w:t>1</w:t>
            </w:r>
          </w:p>
        </w:tc>
        <w:tc>
          <w:tcPr>
            <w:tcW w:w="851" w:type="dxa"/>
            <w:tcBorders>
              <w:left w:val="single" w:sz="4" w:space="0" w:color="auto"/>
            </w:tcBorders>
          </w:tcPr>
          <w:p w14:paraId="08F07A41" w14:textId="77777777" w:rsidR="00183A1F" w:rsidRDefault="00183A1F" w:rsidP="00183A1F">
            <w:pPr>
              <w:pStyle w:val="ARtabletextright"/>
            </w:pPr>
            <w:r>
              <w:t>1</w:t>
            </w:r>
          </w:p>
        </w:tc>
        <w:tc>
          <w:tcPr>
            <w:tcW w:w="851" w:type="dxa"/>
          </w:tcPr>
          <w:p w14:paraId="0C8EC62A" w14:textId="36C7C67B" w:rsidR="00183A1F" w:rsidRDefault="00EC65C3" w:rsidP="00183A1F">
            <w:pPr>
              <w:pStyle w:val="ARtabletextright"/>
            </w:pPr>
            <w:r>
              <w:t>−</w:t>
            </w:r>
            <w:r w:rsidR="00183A1F">
              <w:t>1</w:t>
            </w:r>
          </w:p>
        </w:tc>
        <w:tc>
          <w:tcPr>
            <w:tcW w:w="1021" w:type="dxa"/>
          </w:tcPr>
          <w:p w14:paraId="5C54F5B9" w14:textId="77777777" w:rsidR="00183A1F" w:rsidRDefault="00183A1F" w:rsidP="00183A1F">
            <w:pPr>
              <w:pStyle w:val="ARtabletextright"/>
            </w:pPr>
            <w:r>
              <w:t>0</w:t>
            </w:r>
          </w:p>
        </w:tc>
        <w:tc>
          <w:tcPr>
            <w:tcW w:w="851" w:type="dxa"/>
          </w:tcPr>
          <w:p w14:paraId="4263AA73" w14:textId="77777777" w:rsidR="00183A1F" w:rsidRDefault="00183A1F" w:rsidP="008D2D99">
            <w:pPr>
              <w:pStyle w:val="ARtabletextrightbold"/>
            </w:pPr>
            <w:r>
              <w:t>0</w:t>
            </w:r>
          </w:p>
        </w:tc>
      </w:tr>
      <w:tr w:rsidR="00183A1F" w14:paraId="03EC564A" w14:textId="77777777" w:rsidTr="008D2D99">
        <w:trPr>
          <w:cantSplit w:val="0"/>
          <w:trHeight w:val="290"/>
        </w:trPr>
        <w:tc>
          <w:tcPr>
            <w:tcW w:w="3289" w:type="dxa"/>
          </w:tcPr>
          <w:p w14:paraId="7782539A" w14:textId="77777777" w:rsidR="00183A1F" w:rsidRDefault="00183A1F" w:rsidP="00183A1F">
            <w:pPr>
              <w:pStyle w:val="ARtabletext"/>
            </w:pPr>
            <w:r>
              <w:t>Melbourne Health</w:t>
            </w:r>
          </w:p>
        </w:tc>
        <w:tc>
          <w:tcPr>
            <w:tcW w:w="851" w:type="dxa"/>
          </w:tcPr>
          <w:p w14:paraId="5DCE2C76" w14:textId="77777777" w:rsidR="00183A1F" w:rsidRDefault="00183A1F" w:rsidP="00183A1F">
            <w:pPr>
              <w:pStyle w:val="ARtabletextright"/>
            </w:pPr>
            <w:r>
              <w:t>4</w:t>
            </w:r>
          </w:p>
        </w:tc>
        <w:tc>
          <w:tcPr>
            <w:tcW w:w="851" w:type="dxa"/>
          </w:tcPr>
          <w:p w14:paraId="498C8BE6" w14:textId="77777777" w:rsidR="00183A1F" w:rsidRDefault="00183A1F" w:rsidP="00183A1F">
            <w:pPr>
              <w:pStyle w:val="ARtabletextright"/>
            </w:pPr>
            <w:r>
              <w:t>2</w:t>
            </w:r>
          </w:p>
        </w:tc>
        <w:tc>
          <w:tcPr>
            <w:tcW w:w="1021" w:type="dxa"/>
            <w:tcBorders>
              <w:top w:val="single" w:sz="4" w:space="0" w:color="auto"/>
            </w:tcBorders>
          </w:tcPr>
          <w:p w14:paraId="2FDFD903"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3995157E" w14:textId="77777777" w:rsidR="00183A1F" w:rsidRDefault="00183A1F" w:rsidP="008D2D99">
            <w:pPr>
              <w:pStyle w:val="ARtabletextrightbold"/>
            </w:pPr>
            <w:r>
              <w:t>6</w:t>
            </w:r>
          </w:p>
        </w:tc>
        <w:tc>
          <w:tcPr>
            <w:tcW w:w="851" w:type="dxa"/>
            <w:tcBorders>
              <w:left w:val="single" w:sz="4" w:space="0" w:color="auto"/>
            </w:tcBorders>
          </w:tcPr>
          <w:p w14:paraId="27664E9A" w14:textId="77777777" w:rsidR="00183A1F" w:rsidRDefault="00183A1F" w:rsidP="00183A1F">
            <w:pPr>
              <w:pStyle w:val="ARtabletextright"/>
            </w:pPr>
            <w:r>
              <w:t>4</w:t>
            </w:r>
          </w:p>
        </w:tc>
        <w:tc>
          <w:tcPr>
            <w:tcW w:w="851" w:type="dxa"/>
          </w:tcPr>
          <w:p w14:paraId="1AE23CE5" w14:textId="77777777" w:rsidR="00183A1F" w:rsidRDefault="00183A1F" w:rsidP="00183A1F">
            <w:pPr>
              <w:pStyle w:val="ARtabletextright"/>
            </w:pPr>
            <w:r>
              <w:t>2</w:t>
            </w:r>
          </w:p>
        </w:tc>
        <w:tc>
          <w:tcPr>
            <w:tcW w:w="1021" w:type="dxa"/>
            <w:tcBorders>
              <w:top w:val="single" w:sz="4" w:space="0" w:color="auto"/>
            </w:tcBorders>
          </w:tcPr>
          <w:p w14:paraId="7446D396"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5C301CBF" w14:textId="77777777" w:rsidR="00183A1F" w:rsidRDefault="00183A1F" w:rsidP="008D2D99">
            <w:pPr>
              <w:pStyle w:val="ARtabletextrightbold"/>
            </w:pPr>
            <w:r>
              <w:t>6</w:t>
            </w:r>
          </w:p>
        </w:tc>
        <w:tc>
          <w:tcPr>
            <w:tcW w:w="851" w:type="dxa"/>
            <w:tcBorders>
              <w:left w:val="single" w:sz="4" w:space="0" w:color="auto"/>
            </w:tcBorders>
          </w:tcPr>
          <w:p w14:paraId="3CCBC3F2" w14:textId="77777777" w:rsidR="00183A1F" w:rsidRDefault="00183A1F" w:rsidP="00183A1F">
            <w:pPr>
              <w:pStyle w:val="ARtabletextright"/>
            </w:pPr>
            <w:r>
              <w:t>0</w:t>
            </w:r>
          </w:p>
        </w:tc>
        <w:tc>
          <w:tcPr>
            <w:tcW w:w="851" w:type="dxa"/>
          </w:tcPr>
          <w:p w14:paraId="7028FEB7" w14:textId="77777777" w:rsidR="00183A1F" w:rsidRDefault="00183A1F" w:rsidP="00183A1F">
            <w:pPr>
              <w:pStyle w:val="ARtabletextright"/>
            </w:pPr>
            <w:r>
              <w:t>0</w:t>
            </w:r>
          </w:p>
        </w:tc>
        <w:tc>
          <w:tcPr>
            <w:tcW w:w="1021" w:type="dxa"/>
          </w:tcPr>
          <w:p w14:paraId="6FC0B095" w14:textId="77777777" w:rsidR="00183A1F" w:rsidRDefault="00183A1F" w:rsidP="00183A1F">
            <w:pPr>
              <w:pStyle w:val="ARtabletextright"/>
            </w:pPr>
            <w:r>
              <w:t>0</w:t>
            </w:r>
          </w:p>
        </w:tc>
        <w:tc>
          <w:tcPr>
            <w:tcW w:w="851" w:type="dxa"/>
          </w:tcPr>
          <w:p w14:paraId="4E4338F1" w14:textId="77777777" w:rsidR="00183A1F" w:rsidRDefault="00183A1F" w:rsidP="008D2D99">
            <w:pPr>
              <w:pStyle w:val="ARtabletextrightbold"/>
            </w:pPr>
            <w:r>
              <w:t>0</w:t>
            </w:r>
          </w:p>
        </w:tc>
      </w:tr>
      <w:tr w:rsidR="00183A1F" w14:paraId="5CE42D98" w14:textId="77777777" w:rsidTr="008D2D99">
        <w:trPr>
          <w:cantSplit w:val="0"/>
          <w:trHeight w:val="290"/>
        </w:trPr>
        <w:tc>
          <w:tcPr>
            <w:tcW w:w="3289" w:type="dxa"/>
          </w:tcPr>
          <w:p w14:paraId="1CB6F51B" w14:textId="77777777" w:rsidR="00183A1F" w:rsidRDefault="00183A1F" w:rsidP="00183A1F">
            <w:pPr>
              <w:pStyle w:val="ARtabletext"/>
            </w:pPr>
            <w:r>
              <w:t>Mildura Base Public Hospital</w:t>
            </w:r>
          </w:p>
        </w:tc>
        <w:tc>
          <w:tcPr>
            <w:tcW w:w="851" w:type="dxa"/>
          </w:tcPr>
          <w:p w14:paraId="31E5C455" w14:textId="77777777" w:rsidR="00183A1F" w:rsidRDefault="00183A1F" w:rsidP="00183A1F">
            <w:pPr>
              <w:pStyle w:val="ARtabletextright"/>
            </w:pPr>
            <w:r>
              <w:t>1</w:t>
            </w:r>
          </w:p>
        </w:tc>
        <w:tc>
          <w:tcPr>
            <w:tcW w:w="851" w:type="dxa"/>
          </w:tcPr>
          <w:p w14:paraId="56A9BB35" w14:textId="77777777" w:rsidR="00183A1F" w:rsidRDefault="00183A1F" w:rsidP="00183A1F">
            <w:pPr>
              <w:pStyle w:val="ARtabletextright"/>
            </w:pPr>
            <w:r>
              <w:t>2</w:t>
            </w:r>
          </w:p>
        </w:tc>
        <w:tc>
          <w:tcPr>
            <w:tcW w:w="1021" w:type="dxa"/>
            <w:tcBorders>
              <w:top w:val="single" w:sz="4" w:space="0" w:color="auto"/>
            </w:tcBorders>
          </w:tcPr>
          <w:p w14:paraId="487FC149"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6826EFF9" w14:textId="77777777" w:rsidR="00183A1F" w:rsidRDefault="00183A1F" w:rsidP="008D2D99">
            <w:pPr>
              <w:pStyle w:val="ARtabletextrightbold"/>
            </w:pPr>
            <w:r>
              <w:t>3</w:t>
            </w:r>
          </w:p>
        </w:tc>
        <w:tc>
          <w:tcPr>
            <w:tcW w:w="851" w:type="dxa"/>
            <w:tcBorders>
              <w:left w:val="single" w:sz="4" w:space="0" w:color="auto"/>
            </w:tcBorders>
          </w:tcPr>
          <w:p w14:paraId="38D11739" w14:textId="77777777" w:rsidR="00183A1F" w:rsidRDefault="00183A1F" w:rsidP="00183A1F">
            <w:pPr>
              <w:pStyle w:val="ARtabletextright"/>
            </w:pPr>
            <w:r>
              <w:t>0</w:t>
            </w:r>
          </w:p>
        </w:tc>
        <w:tc>
          <w:tcPr>
            <w:tcW w:w="851" w:type="dxa"/>
          </w:tcPr>
          <w:p w14:paraId="4874B189" w14:textId="77777777" w:rsidR="00183A1F" w:rsidRDefault="00183A1F" w:rsidP="00183A1F">
            <w:pPr>
              <w:pStyle w:val="ARtabletextright"/>
            </w:pPr>
            <w:r>
              <w:t>0</w:t>
            </w:r>
          </w:p>
        </w:tc>
        <w:tc>
          <w:tcPr>
            <w:tcW w:w="1021" w:type="dxa"/>
            <w:tcBorders>
              <w:top w:val="single" w:sz="4" w:space="0" w:color="auto"/>
            </w:tcBorders>
          </w:tcPr>
          <w:p w14:paraId="3FCBA7B7"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02EDF43F" w14:textId="77777777" w:rsidR="00183A1F" w:rsidRDefault="00183A1F" w:rsidP="008D2D99">
            <w:pPr>
              <w:pStyle w:val="ARtabletextrightbold"/>
            </w:pPr>
            <w:r>
              <w:t>0</w:t>
            </w:r>
          </w:p>
        </w:tc>
        <w:tc>
          <w:tcPr>
            <w:tcW w:w="851" w:type="dxa"/>
            <w:tcBorders>
              <w:left w:val="single" w:sz="4" w:space="0" w:color="auto"/>
            </w:tcBorders>
          </w:tcPr>
          <w:p w14:paraId="7DBFC36A" w14:textId="77777777" w:rsidR="00183A1F" w:rsidRDefault="00183A1F" w:rsidP="00183A1F">
            <w:pPr>
              <w:pStyle w:val="ARtabletextright"/>
            </w:pPr>
            <w:r>
              <w:t>0</w:t>
            </w:r>
          </w:p>
        </w:tc>
        <w:tc>
          <w:tcPr>
            <w:tcW w:w="851" w:type="dxa"/>
          </w:tcPr>
          <w:p w14:paraId="40B8B1FF" w14:textId="77777777" w:rsidR="00183A1F" w:rsidRDefault="00183A1F" w:rsidP="00183A1F">
            <w:pPr>
              <w:pStyle w:val="ARtabletextright"/>
            </w:pPr>
            <w:r>
              <w:t>0</w:t>
            </w:r>
          </w:p>
        </w:tc>
        <w:tc>
          <w:tcPr>
            <w:tcW w:w="1021" w:type="dxa"/>
          </w:tcPr>
          <w:p w14:paraId="08915131" w14:textId="77777777" w:rsidR="00183A1F" w:rsidRDefault="00183A1F" w:rsidP="00183A1F">
            <w:pPr>
              <w:pStyle w:val="ARtabletextright"/>
            </w:pPr>
            <w:r>
              <w:t>0</w:t>
            </w:r>
          </w:p>
        </w:tc>
        <w:tc>
          <w:tcPr>
            <w:tcW w:w="851" w:type="dxa"/>
          </w:tcPr>
          <w:p w14:paraId="49E47834" w14:textId="77777777" w:rsidR="00183A1F" w:rsidRDefault="00183A1F" w:rsidP="008D2D99">
            <w:pPr>
              <w:pStyle w:val="ARtabletextrightbold"/>
            </w:pPr>
            <w:r>
              <w:t>0</w:t>
            </w:r>
          </w:p>
        </w:tc>
      </w:tr>
      <w:tr w:rsidR="00183A1F" w14:paraId="52024B8F" w14:textId="77777777" w:rsidTr="008D2D99">
        <w:trPr>
          <w:cantSplit w:val="0"/>
          <w:trHeight w:val="290"/>
        </w:trPr>
        <w:tc>
          <w:tcPr>
            <w:tcW w:w="3289" w:type="dxa"/>
          </w:tcPr>
          <w:p w14:paraId="38B5FDBB" w14:textId="77777777" w:rsidR="00183A1F" w:rsidRDefault="00183A1F" w:rsidP="00183A1F">
            <w:pPr>
              <w:pStyle w:val="ARtabletext"/>
            </w:pPr>
            <w:r>
              <w:t>Monash Health</w:t>
            </w:r>
          </w:p>
        </w:tc>
        <w:tc>
          <w:tcPr>
            <w:tcW w:w="851" w:type="dxa"/>
          </w:tcPr>
          <w:p w14:paraId="38D3BCC9" w14:textId="77777777" w:rsidR="00183A1F" w:rsidRDefault="00183A1F" w:rsidP="00183A1F">
            <w:pPr>
              <w:pStyle w:val="ARtabletextright"/>
            </w:pPr>
            <w:r>
              <w:t>10</w:t>
            </w:r>
          </w:p>
        </w:tc>
        <w:tc>
          <w:tcPr>
            <w:tcW w:w="851" w:type="dxa"/>
          </w:tcPr>
          <w:p w14:paraId="2DFE3A4C" w14:textId="77777777" w:rsidR="00183A1F" w:rsidRDefault="00183A1F" w:rsidP="00183A1F">
            <w:pPr>
              <w:pStyle w:val="ARtabletextright"/>
            </w:pPr>
            <w:r>
              <w:t>10</w:t>
            </w:r>
          </w:p>
        </w:tc>
        <w:tc>
          <w:tcPr>
            <w:tcW w:w="1021" w:type="dxa"/>
            <w:tcBorders>
              <w:top w:val="single" w:sz="4" w:space="0" w:color="auto"/>
            </w:tcBorders>
          </w:tcPr>
          <w:p w14:paraId="0D0F2FD5"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1AAAB707" w14:textId="77777777" w:rsidR="00183A1F" w:rsidRDefault="00183A1F" w:rsidP="008D2D99">
            <w:pPr>
              <w:pStyle w:val="ARtabletextrightbold"/>
            </w:pPr>
            <w:r>
              <w:t>20</w:t>
            </w:r>
          </w:p>
        </w:tc>
        <w:tc>
          <w:tcPr>
            <w:tcW w:w="851" w:type="dxa"/>
            <w:tcBorders>
              <w:left w:val="single" w:sz="4" w:space="0" w:color="auto"/>
            </w:tcBorders>
          </w:tcPr>
          <w:p w14:paraId="223C474F" w14:textId="77777777" w:rsidR="00183A1F" w:rsidRDefault="00183A1F" w:rsidP="00183A1F">
            <w:pPr>
              <w:pStyle w:val="ARtabletextright"/>
            </w:pPr>
            <w:r>
              <w:t>16</w:t>
            </w:r>
          </w:p>
        </w:tc>
        <w:tc>
          <w:tcPr>
            <w:tcW w:w="851" w:type="dxa"/>
          </w:tcPr>
          <w:p w14:paraId="7D886B46" w14:textId="77777777" w:rsidR="00183A1F" w:rsidRDefault="00183A1F" w:rsidP="00183A1F">
            <w:pPr>
              <w:pStyle w:val="ARtabletextright"/>
            </w:pPr>
            <w:r>
              <w:t>19</w:t>
            </w:r>
          </w:p>
        </w:tc>
        <w:tc>
          <w:tcPr>
            <w:tcW w:w="1021" w:type="dxa"/>
            <w:tcBorders>
              <w:top w:val="single" w:sz="4" w:space="0" w:color="auto"/>
            </w:tcBorders>
          </w:tcPr>
          <w:p w14:paraId="75886ADE"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0D78AC08" w14:textId="77777777" w:rsidR="00183A1F" w:rsidRDefault="00183A1F" w:rsidP="008D2D99">
            <w:pPr>
              <w:pStyle w:val="ARtabletextrightbold"/>
            </w:pPr>
            <w:r>
              <w:t>35</w:t>
            </w:r>
          </w:p>
        </w:tc>
        <w:tc>
          <w:tcPr>
            <w:tcW w:w="851" w:type="dxa"/>
            <w:tcBorders>
              <w:left w:val="single" w:sz="4" w:space="0" w:color="auto"/>
            </w:tcBorders>
          </w:tcPr>
          <w:p w14:paraId="696C593D" w14:textId="54FFBB4C" w:rsidR="00183A1F" w:rsidRDefault="00EC65C3" w:rsidP="00183A1F">
            <w:pPr>
              <w:pStyle w:val="ARtabletextright"/>
            </w:pPr>
            <w:r>
              <w:t>−</w:t>
            </w:r>
            <w:r w:rsidR="00183A1F">
              <w:t>6</w:t>
            </w:r>
          </w:p>
        </w:tc>
        <w:tc>
          <w:tcPr>
            <w:tcW w:w="851" w:type="dxa"/>
          </w:tcPr>
          <w:p w14:paraId="7CA86B0C" w14:textId="1D84EA6A" w:rsidR="00183A1F" w:rsidRDefault="00EC65C3" w:rsidP="00183A1F">
            <w:pPr>
              <w:pStyle w:val="ARtabletextright"/>
            </w:pPr>
            <w:r>
              <w:t>−</w:t>
            </w:r>
            <w:r w:rsidR="00183A1F">
              <w:t>9</w:t>
            </w:r>
          </w:p>
        </w:tc>
        <w:tc>
          <w:tcPr>
            <w:tcW w:w="1021" w:type="dxa"/>
          </w:tcPr>
          <w:p w14:paraId="641FAF28" w14:textId="77777777" w:rsidR="00183A1F" w:rsidRDefault="00183A1F" w:rsidP="00183A1F">
            <w:pPr>
              <w:pStyle w:val="ARtabletextright"/>
            </w:pPr>
            <w:r>
              <w:t>0</w:t>
            </w:r>
          </w:p>
        </w:tc>
        <w:tc>
          <w:tcPr>
            <w:tcW w:w="851" w:type="dxa"/>
          </w:tcPr>
          <w:p w14:paraId="2E8F7EDA" w14:textId="1806E241" w:rsidR="00183A1F" w:rsidRDefault="00EC65C3" w:rsidP="008D2D99">
            <w:pPr>
              <w:pStyle w:val="ARtabletextrightbold"/>
            </w:pPr>
            <w:r>
              <w:t>−</w:t>
            </w:r>
            <w:r w:rsidR="00183A1F">
              <w:t>15</w:t>
            </w:r>
          </w:p>
        </w:tc>
      </w:tr>
      <w:tr w:rsidR="00183A1F" w14:paraId="71197AE2" w14:textId="77777777" w:rsidTr="008D2D99">
        <w:trPr>
          <w:cantSplit w:val="0"/>
          <w:trHeight w:val="290"/>
        </w:trPr>
        <w:tc>
          <w:tcPr>
            <w:tcW w:w="3289" w:type="dxa"/>
          </w:tcPr>
          <w:p w14:paraId="3D198909" w14:textId="77777777" w:rsidR="00183A1F" w:rsidRDefault="00183A1F" w:rsidP="00183A1F">
            <w:pPr>
              <w:pStyle w:val="ARtabletext"/>
            </w:pPr>
            <w:r>
              <w:t>Moyne Health Services</w:t>
            </w:r>
          </w:p>
        </w:tc>
        <w:tc>
          <w:tcPr>
            <w:tcW w:w="851" w:type="dxa"/>
          </w:tcPr>
          <w:p w14:paraId="17AB012D" w14:textId="77777777" w:rsidR="00183A1F" w:rsidRDefault="00183A1F" w:rsidP="00183A1F">
            <w:pPr>
              <w:pStyle w:val="ARtabletextright"/>
            </w:pPr>
            <w:r>
              <w:t>1</w:t>
            </w:r>
          </w:p>
        </w:tc>
        <w:tc>
          <w:tcPr>
            <w:tcW w:w="851" w:type="dxa"/>
          </w:tcPr>
          <w:p w14:paraId="1658EC33" w14:textId="77777777" w:rsidR="00183A1F" w:rsidRDefault="00183A1F" w:rsidP="00183A1F">
            <w:pPr>
              <w:pStyle w:val="ARtabletextright"/>
            </w:pPr>
            <w:r>
              <w:t>0</w:t>
            </w:r>
          </w:p>
        </w:tc>
        <w:tc>
          <w:tcPr>
            <w:tcW w:w="1021" w:type="dxa"/>
            <w:tcBorders>
              <w:top w:val="single" w:sz="4" w:space="0" w:color="auto"/>
            </w:tcBorders>
          </w:tcPr>
          <w:p w14:paraId="6C6A13A0"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3C7FDCAF" w14:textId="77777777" w:rsidR="00183A1F" w:rsidRDefault="00183A1F" w:rsidP="008D2D99">
            <w:pPr>
              <w:pStyle w:val="ARtabletextrightbold"/>
            </w:pPr>
            <w:r>
              <w:t>1</w:t>
            </w:r>
          </w:p>
        </w:tc>
        <w:tc>
          <w:tcPr>
            <w:tcW w:w="851" w:type="dxa"/>
            <w:tcBorders>
              <w:left w:val="single" w:sz="4" w:space="0" w:color="auto"/>
            </w:tcBorders>
          </w:tcPr>
          <w:p w14:paraId="1041ED49" w14:textId="77777777" w:rsidR="00183A1F" w:rsidRDefault="00183A1F" w:rsidP="00183A1F">
            <w:pPr>
              <w:pStyle w:val="ARtabletextright"/>
            </w:pPr>
            <w:r>
              <w:t>1</w:t>
            </w:r>
          </w:p>
        </w:tc>
        <w:tc>
          <w:tcPr>
            <w:tcW w:w="851" w:type="dxa"/>
          </w:tcPr>
          <w:p w14:paraId="4C38B67A" w14:textId="77777777" w:rsidR="00183A1F" w:rsidRDefault="00183A1F" w:rsidP="00183A1F">
            <w:pPr>
              <w:pStyle w:val="ARtabletextright"/>
            </w:pPr>
            <w:r>
              <w:t>0</w:t>
            </w:r>
          </w:p>
        </w:tc>
        <w:tc>
          <w:tcPr>
            <w:tcW w:w="1021" w:type="dxa"/>
            <w:tcBorders>
              <w:top w:val="single" w:sz="4" w:space="0" w:color="auto"/>
            </w:tcBorders>
          </w:tcPr>
          <w:p w14:paraId="36BD3F90"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153C379B" w14:textId="77777777" w:rsidR="00183A1F" w:rsidRDefault="00183A1F" w:rsidP="008D2D99">
            <w:pPr>
              <w:pStyle w:val="ARtabletextrightbold"/>
            </w:pPr>
            <w:r>
              <w:t>1</w:t>
            </w:r>
          </w:p>
        </w:tc>
        <w:tc>
          <w:tcPr>
            <w:tcW w:w="851" w:type="dxa"/>
            <w:tcBorders>
              <w:left w:val="single" w:sz="4" w:space="0" w:color="auto"/>
            </w:tcBorders>
          </w:tcPr>
          <w:p w14:paraId="422DE2F1" w14:textId="77777777" w:rsidR="00183A1F" w:rsidRDefault="00183A1F" w:rsidP="00183A1F">
            <w:pPr>
              <w:pStyle w:val="ARtabletextright"/>
            </w:pPr>
            <w:r>
              <w:t>0</w:t>
            </w:r>
          </w:p>
        </w:tc>
        <w:tc>
          <w:tcPr>
            <w:tcW w:w="851" w:type="dxa"/>
          </w:tcPr>
          <w:p w14:paraId="756802C7" w14:textId="77777777" w:rsidR="00183A1F" w:rsidRDefault="00183A1F" w:rsidP="00183A1F">
            <w:pPr>
              <w:pStyle w:val="ARtabletextright"/>
            </w:pPr>
            <w:r>
              <w:t>0</w:t>
            </w:r>
          </w:p>
        </w:tc>
        <w:tc>
          <w:tcPr>
            <w:tcW w:w="1021" w:type="dxa"/>
          </w:tcPr>
          <w:p w14:paraId="323F7438" w14:textId="77777777" w:rsidR="00183A1F" w:rsidRDefault="00183A1F" w:rsidP="00183A1F">
            <w:pPr>
              <w:pStyle w:val="ARtabletextright"/>
            </w:pPr>
            <w:r>
              <w:t>0</w:t>
            </w:r>
          </w:p>
        </w:tc>
        <w:tc>
          <w:tcPr>
            <w:tcW w:w="851" w:type="dxa"/>
          </w:tcPr>
          <w:p w14:paraId="475A5FC9" w14:textId="77777777" w:rsidR="00183A1F" w:rsidRDefault="00183A1F" w:rsidP="008D2D99">
            <w:pPr>
              <w:pStyle w:val="ARtabletextrightbold"/>
            </w:pPr>
            <w:r>
              <w:t>0</w:t>
            </w:r>
          </w:p>
        </w:tc>
      </w:tr>
      <w:tr w:rsidR="00183A1F" w14:paraId="2E62C85E" w14:textId="77777777" w:rsidTr="008D2D99">
        <w:trPr>
          <w:cantSplit w:val="0"/>
          <w:trHeight w:val="290"/>
        </w:trPr>
        <w:tc>
          <w:tcPr>
            <w:tcW w:w="3289" w:type="dxa"/>
          </w:tcPr>
          <w:p w14:paraId="798C1A46" w14:textId="77777777" w:rsidR="00183A1F" w:rsidRDefault="00183A1F" w:rsidP="00183A1F">
            <w:pPr>
              <w:pStyle w:val="ARtabletext"/>
            </w:pPr>
            <w:r>
              <w:t>NCN Health</w:t>
            </w:r>
          </w:p>
        </w:tc>
        <w:tc>
          <w:tcPr>
            <w:tcW w:w="851" w:type="dxa"/>
          </w:tcPr>
          <w:p w14:paraId="0ED8D81C" w14:textId="77777777" w:rsidR="00183A1F" w:rsidRDefault="00183A1F" w:rsidP="00183A1F">
            <w:pPr>
              <w:pStyle w:val="ARtabletextright"/>
            </w:pPr>
            <w:r>
              <w:t>1</w:t>
            </w:r>
          </w:p>
        </w:tc>
        <w:tc>
          <w:tcPr>
            <w:tcW w:w="851" w:type="dxa"/>
          </w:tcPr>
          <w:p w14:paraId="2FE75435" w14:textId="77777777" w:rsidR="00183A1F" w:rsidRDefault="00183A1F" w:rsidP="00183A1F">
            <w:pPr>
              <w:pStyle w:val="ARtabletextright"/>
            </w:pPr>
            <w:r>
              <w:t>0</w:t>
            </w:r>
          </w:p>
        </w:tc>
        <w:tc>
          <w:tcPr>
            <w:tcW w:w="1021" w:type="dxa"/>
            <w:tcBorders>
              <w:top w:val="single" w:sz="4" w:space="0" w:color="auto"/>
            </w:tcBorders>
          </w:tcPr>
          <w:p w14:paraId="58964B45"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18D283FD" w14:textId="77777777" w:rsidR="00183A1F" w:rsidRDefault="00183A1F" w:rsidP="008D2D99">
            <w:pPr>
              <w:pStyle w:val="ARtabletextrightbold"/>
            </w:pPr>
            <w:r>
              <w:t>1</w:t>
            </w:r>
          </w:p>
        </w:tc>
        <w:tc>
          <w:tcPr>
            <w:tcW w:w="851" w:type="dxa"/>
            <w:tcBorders>
              <w:left w:val="single" w:sz="4" w:space="0" w:color="auto"/>
            </w:tcBorders>
          </w:tcPr>
          <w:p w14:paraId="5F1E464B" w14:textId="77777777" w:rsidR="00183A1F" w:rsidRDefault="00183A1F" w:rsidP="00183A1F">
            <w:pPr>
              <w:pStyle w:val="ARtabletextright"/>
            </w:pPr>
            <w:r>
              <w:t>1</w:t>
            </w:r>
          </w:p>
        </w:tc>
        <w:tc>
          <w:tcPr>
            <w:tcW w:w="851" w:type="dxa"/>
          </w:tcPr>
          <w:p w14:paraId="277B8CBB" w14:textId="77777777" w:rsidR="00183A1F" w:rsidRDefault="00183A1F" w:rsidP="00183A1F">
            <w:pPr>
              <w:pStyle w:val="ARtabletextright"/>
            </w:pPr>
            <w:r>
              <w:t>0</w:t>
            </w:r>
          </w:p>
        </w:tc>
        <w:tc>
          <w:tcPr>
            <w:tcW w:w="1021" w:type="dxa"/>
            <w:tcBorders>
              <w:top w:val="single" w:sz="4" w:space="0" w:color="auto"/>
            </w:tcBorders>
          </w:tcPr>
          <w:p w14:paraId="49D2A179"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308979FF" w14:textId="77777777" w:rsidR="00183A1F" w:rsidRDefault="00183A1F" w:rsidP="008D2D99">
            <w:pPr>
              <w:pStyle w:val="ARtabletextrightbold"/>
            </w:pPr>
            <w:r>
              <w:t>1</w:t>
            </w:r>
          </w:p>
        </w:tc>
        <w:tc>
          <w:tcPr>
            <w:tcW w:w="851" w:type="dxa"/>
            <w:tcBorders>
              <w:left w:val="single" w:sz="4" w:space="0" w:color="auto"/>
            </w:tcBorders>
          </w:tcPr>
          <w:p w14:paraId="2519F9B7" w14:textId="77777777" w:rsidR="00183A1F" w:rsidRDefault="00183A1F" w:rsidP="00183A1F">
            <w:pPr>
              <w:pStyle w:val="ARtabletextright"/>
            </w:pPr>
            <w:r>
              <w:t>0</w:t>
            </w:r>
          </w:p>
        </w:tc>
        <w:tc>
          <w:tcPr>
            <w:tcW w:w="851" w:type="dxa"/>
          </w:tcPr>
          <w:p w14:paraId="708D9F4B" w14:textId="77777777" w:rsidR="00183A1F" w:rsidRDefault="00183A1F" w:rsidP="00183A1F">
            <w:pPr>
              <w:pStyle w:val="ARtabletextright"/>
            </w:pPr>
            <w:r>
              <w:t>0</w:t>
            </w:r>
          </w:p>
        </w:tc>
        <w:tc>
          <w:tcPr>
            <w:tcW w:w="1021" w:type="dxa"/>
          </w:tcPr>
          <w:p w14:paraId="0424FAD5" w14:textId="77777777" w:rsidR="00183A1F" w:rsidRDefault="00183A1F" w:rsidP="00183A1F">
            <w:pPr>
              <w:pStyle w:val="ARtabletextright"/>
            </w:pPr>
            <w:r>
              <w:t>0</w:t>
            </w:r>
          </w:p>
        </w:tc>
        <w:tc>
          <w:tcPr>
            <w:tcW w:w="851" w:type="dxa"/>
          </w:tcPr>
          <w:p w14:paraId="19B77727" w14:textId="77777777" w:rsidR="00183A1F" w:rsidRDefault="00183A1F" w:rsidP="008D2D99">
            <w:pPr>
              <w:pStyle w:val="ARtabletextrightbold"/>
            </w:pPr>
            <w:r>
              <w:t>0</w:t>
            </w:r>
          </w:p>
        </w:tc>
      </w:tr>
      <w:tr w:rsidR="00183A1F" w14:paraId="3DF98695" w14:textId="77777777" w:rsidTr="008D2D99">
        <w:trPr>
          <w:cantSplit w:val="0"/>
          <w:trHeight w:val="290"/>
        </w:trPr>
        <w:tc>
          <w:tcPr>
            <w:tcW w:w="3289" w:type="dxa"/>
          </w:tcPr>
          <w:p w14:paraId="1EAD96A4" w14:textId="77777777" w:rsidR="00183A1F" w:rsidRDefault="00183A1F" w:rsidP="00183A1F">
            <w:pPr>
              <w:pStyle w:val="ARtabletext"/>
            </w:pPr>
            <w:r>
              <w:t>Northeast Health Wangaratta</w:t>
            </w:r>
          </w:p>
        </w:tc>
        <w:tc>
          <w:tcPr>
            <w:tcW w:w="851" w:type="dxa"/>
          </w:tcPr>
          <w:p w14:paraId="0478D8EA" w14:textId="77777777" w:rsidR="00183A1F" w:rsidRDefault="00183A1F" w:rsidP="00183A1F">
            <w:pPr>
              <w:pStyle w:val="ARtabletextright"/>
            </w:pPr>
            <w:r>
              <w:t>2</w:t>
            </w:r>
          </w:p>
        </w:tc>
        <w:tc>
          <w:tcPr>
            <w:tcW w:w="851" w:type="dxa"/>
          </w:tcPr>
          <w:p w14:paraId="2B26397D" w14:textId="77777777" w:rsidR="00183A1F" w:rsidRDefault="00183A1F" w:rsidP="00183A1F">
            <w:pPr>
              <w:pStyle w:val="ARtabletextright"/>
            </w:pPr>
            <w:r>
              <w:t>0</w:t>
            </w:r>
          </w:p>
        </w:tc>
        <w:tc>
          <w:tcPr>
            <w:tcW w:w="1021" w:type="dxa"/>
            <w:tcBorders>
              <w:top w:val="single" w:sz="4" w:space="0" w:color="auto"/>
            </w:tcBorders>
          </w:tcPr>
          <w:p w14:paraId="747837E4"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43050A9B" w14:textId="77777777" w:rsidR="00183A1F" w:rsidRDefault="00183A1F" w:rsidP="008D2D99">
            <w:pPr>
              <w:pStyle w:val="ARtabletextrightbold"/>
            </w:pPr>
            <w:r>
              <w:t>2</w:t>
            </w:r>
          </w:p>
        </w:tc>
        <w:tc>
          <w:tcPr>
            <w:tcW w:w="851" w:type="dxa"/>
            <w:tcBorders>
              <w:left w:val="single" w:sz="4" w:space="0" w:color="auto"/>
            </w:tcBorders>
          </w:tcPr>
          <w:p w14:paraId="3374C1FD" w14:textId="77777777" w:rsidR="00183A1F" w:rsidRDefault="00183A1F" w:rsidP="00183A1F">
            <w:pPr>
              <w:pStyle w:val="ARtabletextright"/>
            </w:pPr>
            <w:r>
              <w:t>2</w:t>
            </w:r>
          </w:p>
        </w:tc>
        <w:tc>
          <w:tcPr>
            <w:tcW w:w="851" w:type="dxa"/>
          </w:tcPr>
          <w:p w14:paraId="2142CD0C" w14:textId="77777777" w:rsidR="00183A1F" w:rsidRDefault="00183A1F" w:rsidP="00183A1F">
            <w:pPr>
              <w:pStyle w:val="ARtabletextright"/>
            </w:pPr>
            <w:r>
              <w:t>1</w:t>
            </w:r>
          </w:p>
        </w:tc>
        <w:tc>
          <w:tcPr>
            <w:tcW w:w="1021" w:type="dxa"/>
            <w:tcBorders>
              <w:top w:val="single" w:sz="4" w:space="0" w:color="auto"/>
            </w:tcBorders>
          </w:tcPr>
          <w:p w14:paraId="1AC0F970"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782DFA60" w14:textId="77777777" w:rsidR="00183A1F" w:rsidRDefault="00183A1F" w:rsidP="008D2D99">
            <w:pPr>
              <w:pStyle w:val="ARtabletextrightbold"/>
            </w:pPr>
            <w:r>
              <w:t>3</w:t>
            </w:r>
          </w:p>
        </w:tc>
        <w:tc>
          <w:tcPr>
            <w:tcW w:w="851" w:type="dxa"/>
            <w:tcBorders>
              <w:left w:val="single" w:sz="4" w:space="0" w:color="auto"/>
            </w:tcBorders>
          </w:tcPr>
          <w:p w14:paraId="16EB3A07" w14:textId="77777777" w:rsidR="00183A1F" w:rsidRDefault="00183A1F" w:rsidP="00183A1F">
            <w:pPr>
              <w:pStyle w:val="ARtabletextright"/>
            </w:pPr>
            <w:r>
              <w:t>0</w:t>
            </w:r>
          </w:p>
        </w:tc>
        <w:tc>
          <w:tcPr>
            <w:tcW w:w="851" w:type="dxa"/>
          </w:tcPr>
          <w:p w14:paraId="591DC97A" w14:textId="5977E96B" w:rsidR="00183A1F" w:rsidRDefault="00EC65C3" w:rsidP="00183A1F">
            <w:pPr>
              <w:pStyle w:val="ARtabletextright"/>
            </w:pPr>
            <w:r>
              <w:t>−</w:t>
            </w:r>
            <w:r w:rsidR="00183A1F">
              <w:t>1</w:t>
            </w:r>
          </w:p>
        </w:tc>
        <w:tc>
          <w:tcPr>
            <w:tcW w:w="1021" w:type="dxa"/>
          </w:tcPr>
          <w:p w14:paraId="66C72A3B" w14:textId="77777777" w:rsidR="00183A1F" w:rsidRDefault="00183A1F" w:rsidP="00183A1F">
            <w:pPr>
              <w:pStyle w:val="ARtabletextright"/>
            </w:pPr>
            <w:r>
              <w:t>0</w:t>
            </w:r>
          </w:p>
        </w:tc>
        <w:tc>
          <w:tcPr>
            <w:tcW w:w="851" w:type="dxa"/>
          </w:tcPr>
          <w:p w14:paraId="01ABFC45" w14:textId="5F7EF332" w:rsidR="00183A1F" w:rsidRDefault="00EC65C3" w:rsidP="008D2D99">
            <w:pPr>
              <w:pStyle w:val="ARtabletextrightbold"/>
            </w:pPr>
            <w:r>
              <w:t>−</w:t>
            </w:r>
            <w:r w:rsidR="00183A1F">
              <w:t>1</w:t>
            </w:r>
          </w:p>
        </w:tc>
      </w:tr>
      <w:tr w:rsidR="00183A1F" w14:paraId="65EF8C47" w14:textId="77777777" w:rsidTr="008D2D99">
        <w:trPr>
          <w:cantSplit w:val="0"/>
          <w:trHeight w:val="290"/>
        </w:trPr>
        <w:tc>
          <w:tcPr>
            <w:tcW w:w="3289" w:type="dxa"/>
          </w:tcPr>
          <w:p w14:paraId="28ACDFB8" w14:textId="77777777" w:rsidR="00183A1F" w:rsidRDefault="00183A1F" w:rsidP="00183A1F">
            <w:pPr>
              <w:pStyle w:val="ARtabletext"/>
            </w:pPr>
            <w:r>
              <w:t>Northern Health</w:t>
            </w:r>
          </w:p>
        </w:tc>
        <w:tc>
          <w:tcPr>
            <w:tcW w:w="851" w:type="dxa"/>
          </w:tcPr>
          <w:p w14:paraId="0B0F5B4E" w14:textId="77777777" w:rsidR="00183A1F" w:rsidRDefault="00183A1F" w:rsidP="00183A1F">
            <w:pPr>
              <w:pStyle w:val="ARtabletextright"/>
            </w:pPr>
            <w:r>
              <w:t>12</w:t>
            </w:r>
          </w:p>
        </w:tc>
        <w:tc>
          <w:tcPr>
            <w:tcW w:w="851" w:type="dxa"/>
          </w:tcPr>
          <w:p w14:paraId="672E816C" w14:textId="77777777" w:rsidR="00183A1F" w:rsidRDefault="00183A1F" w:rsidP="00183A1F">
            <w:pPr>
              <w:pStyle w:val="ARtabletextright"/>
            </w:pPr>
            <w:r>
              <w:t>13</w:t>
            </w:r>
          </w:p>
        </w:tc>
        <w:tc>
          <w:tcPr>
            <w:tcW w:w="1021" w:type="dxa"/>
            <w:tcBorders>
              <w:top w:val="single" w:sz="4" w:space="0" w:color="auto"/>
            </w:tcBorders>
          </w:tcPr>
          <w:p w14:paraId="7E27EE03"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5CE2EADD" w14:textId="77777777" w:rsidR="00183A1F" w:rsidRDefault="00183A1F" w:rsidP="008D2D99">
            <w:pPr>
              <w:pStyle w:val="ARtabletextrightbold"/>
            </w:pPr>
            <w:r>
              <w:t>25</w:t>
            </w:r>
          </w:p>
        </w:tc>
        <w:tc>
          <w:tcPr>
            <w:tcW w:w="851" w:type="dxa"/>
            <w:tcBorders>
              <w:left w:val="single" w:sz="4" w:space="0" w:color="auto"/>
            </w:tcBorders>
          </w:tcPr>
          <w:p w14:paraId="08591135" w14:textId="77777777" w:rsidR="00183A1F" w:rsidRDefault="00183A1F" w:rsidP="00183A1F">
            <w:pPr>
              <w:pStyle w:val="ARtabletextright"/>
            </w:pPr>
            <w:r>
              <w:t>9</w:t>
            </w:r>
          </w:p>
        </w:tc>
        <w:tc>
          <w:tcPr>
            <w:tcW w:w="851" w:type="dxa"/>
          </w:tcPr>
          <w:p w14:paraId="5BF5C777" w14:textId="77777777" w:rsidR="00183A1F" w:rsidRDefault="00183A1F" w:rsidP="00183A1F">
            <w:pPr>
              <w:pStyle w:val="ARtabletextright"/>
            </w:pPr>
            <w:r>
              <w:t>11</w:t>
            </w:r>
          </w:p>
        </w:tc>
        <w:tc>
          <w:tcPr>
            <w:tcW w:w="1021" w:type="dxa"/>
            <w:tcBorders>
              <w:top w:val="single" w:sz="4" w:space="0" w:color="auto"/>
            </w:tcBorders>
          </w:tcPr>
          <w:p w14:paraId="7EF1F652"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23839CAE" w14:textId="77777777" w:rsidR="00183A1F" w:rsidRDefault="00183A1F" w:rsidP="008D2D99">
            <w:pPr>
              <w:pStyle w:val="ARtabletextrightbold"/>
            </w:pPr>
            <w:r>
              <w:t>20</w:t>
            </w:r>
          </w:p>
        </w:tc>
        <w:tc>
          <w:tcPr>
            <w:tcW w:w="851" w:type="dxa"/>
            <w:tcBorders>
              <w:left w:val="single" w:sz="4" w:space="0" w:color="auto"/>
            </w:tcBorders>
          </w:tcPr>
          <w:p w14:paraId="0B1E807A" w14:textId="77777777" w:rsidR="00183A1F" w:rsidRDefault="00183A1F" w:rsidP="00183A1F">
            <w:pPr>
              <w:pStyle w:val="ARtabletextright"/>
            </w:pPr>
            <w:r>
              <w:t>3</w:t>
            </w:r>
          </w:p>
        </w:tc>
        <w:tc>
          <w:tcPr>
            <w:tcW w:w="851" w:type="dxa"/>
          </w:tcPr>
          <w:p w14:paraId="2C3383D1" w14:textId="77777777" w:rsidR="00183A1F" w:rsidRDefault="00183A1F" w:rsidP="00183A1F">
            <w:pPr>
              <w:pStyle w:val="ARtabletextright"/>
            </w:pPr>
            <w:r>
              <w:t>2</w:t>
            </w:r>
          </w:p>
        </w:tc>
        <w:tc>
          <w:tcPr>
            <w:tcW w:w="1021" w:type="dxa"/>
          </w:tcPr>
          <w:p w14:paraId="4F54A4F1" w14:textId="77777777" w:rsidR="00183A1F" w:rsidRDefault="00183A1F" w:rsidP="00183A1F">
            <w:pPr>
              <w:pStyle w:val="ARtabletextright"/>
            </w:pPr>
            <w:r>
              <w:t>0</w:t>
            </w:r>
          </w:p>
        </w:tc>
        <w:tc>
          <w:tcPr>
            <w:tcW w:w="851" w:type="dxa"/>
          </w:tcPr>
          <w:p w14:paraId="7D489E58" w14:textId="77777777" w:rsidR="00183A1F" w:rsidRDefault="00183A1F" w:rsidP="008D2D99">
            <w:pPr>
              <w:pStyle w:val="ARtabletextrightbold"/>
            </w:pPr>
            <w:r>
              <w:t>5</w:t>
            </w:r>
          </w:p>
        </w:tc>
      </w:tr>
      <w:tr w:rsidR="00183A1F" w14:paraId="3311C151" w14:textId="77777777" w:rsidTr="008D2D99">
        <w:trPr>
          <w:cantSplit w:val="0"/>
          <w:trHeight w:val="290"/>
        </w:trPr>
        <w:tc>
          <w:tcPr>
            <w:tcW w:w="3289" w:type="dxa"/>
          </w:tcPr>
          <w:p w14:paraId="31E578CE" w14:textId="77777777" w:rsidR="00183A1F" w:rsidRDefault="00183A1F" w:rsidP="00183A1F">
            <w:pPr>
              <w:pStyle w:val="ARtabletext"/>
            </w:pPr>
            <w:r>
              <w:t>Omeo District Health</w:t>
            </w:r>
          </w:p>
        </w:tc>
        <w:tc>
          <w:tcPr>
            <w:tcW w:w="851" w:type="dxa"/>
          </w:tcPr>
          <w:p w14:paraId="4B5837B9" w14:textId="77777777" w:rsidR="00183A1F" w:rsidRDefault="00183A1F" w:rsidP="00183A1F">
            <w:pPr>
              <w:pStyle w:val="ARtabletextright"/>
            </w:pPr>
            <w:r>
              <w:t>0</w:t>
            </w:r>
          </w:p>
        </w:tc>
        <w:tc>
          <w:tcPr>
            <w:tcW w:w="851" w:type="dxa"/>
          </w:tcPr>
          <w:p w14:paraId="125E9997" w14:textId="77777777" w:rsidR="00183A1F" w:rsidRDefault="00183A1F" w:rsidP="00183A1F">
            <w:pPr>
              <w:pStyle w:val="ARtabletextright"/>
            </w:pPr>
            <w:r>
              <w:t>1</w:t>
            </w:r>
          </w:p>
        </w:tc>
        <w:tc>
          <w:tcPr>
            <w:tcW w:w="1021" w:type="dxa"/>
            <w:tcBorders>
              <w:top w:val="single" w:sz="4" w:space="0" w:color="auto"/>
            </w:tcBorders>
          </w:tcPr>
          <w:p w14:paraId="5236E01D"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1E40A376" w14:textId="77777777" w:rsidR="00183A1F" w:rsidRDefault="00183A1F" w:rsidP="008D2D99">
            <w:pPr>
              <w:pStyle w:val="ARtabletextrightbold"/>
            </w:pPr>
            <w:r>
              <w:t>1</w:t>
            </w:r>
          </w:p>
        </w:tc>
        <w:tc>
          <w:tcPr>
            <w:tcW w:w="851" w:type="dxa"/>
            <w:tcBorders>
              <w:left w:val="single" w:sz="4" w:space="0" w:color="auto"/>
            </w:tcBorders>
          </w:tcPr>
          <w:p w14:paraId="30CBA110" w14:textId="77777777" w:rsidR="00183A1F" w:rsidRDefault="00183A1F" w:rsidP="00183A1F">
            <w:pPr>
              <w:pStyle w:val="ARtabletextright"/>
            </w:pPr>
            <w:r>
              <w:t>0</w:t>
            </w:r>
          </w:p>
        </w:tc>
        <w:tc>
          <w:tcPr>
            <w:tcW w:w="851" w:type="dxa"/>
          </w:tcPr>
          <w:p w14:paraId="0EEEA953" w14:textId="77777777" w:rsidR="00183A1F" w:rsidRDefault="00183A1F" w:rsidP="00183A1F">
            <w:pPr>
              <w:pStyle w:val="ARtabletextright"/>
            </w:pPr>
            <w:r>
              <w:t>0</w:t>
            </w:r>
          </w:p>
        </w:tc>
        <w:tc>
          <w:tcPr>
            <w:tcW w:w="1021" w:type="dxa"/>
            <w:tcBorders>
              <w:top w:val="single" w:sz="4" w:space="0" w:color="auto"/>
            </w:tcBorders>
          </w:tcPr>
          <w:p w14:paraId="74E285B4"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31303F34" w14:textId="77777777" w:rsidR="00183A1F" w:rsidRDefault="00183A1F" w:rsidP="008D2D99">
            <w:pPr>
              <w:pStyle w:val="ARtabletextrightbold"/>
            </w:pPr>
            <w:r>
              <w:t>0</w:t>
            </w:r>
          </w:p>
        </w:tc>
        <w:tc>
          <w:tcPr>
            <w:tcW w:w="851" w:type="dxa"/>
            <w:tcBorders>
              <w:left w:val="single" w:sz="4" w:space="0" w:color="auto"/>
            </w:tcBorders>
          </w:tcPr>
          <w:p w14:paraId="22F58EA0" w14:textId="77777777" w:rsidR="00183A1F" w:rsidRDefault="00183A1F" w:rsidP="00183A1F">
            <w:pPr>
              <w:pStyle w:val="ARtabletextright"/>
            </w:pPr>
            <w:r>
              <w:t>0</w:t>
            </w:r>
          </w:p>
        </w:tc>
        <w:tc>
          <w:tcPr>
            <w:tcW w:w="851" w:type="dxa"/>
          </w:tcPr>
          <w:p w14:paraId="416D56B5" w14:textId="77777777" w:rsidR="00183A1F" w:rsidRDefault="00183A1F" w:rsidP="00183A1F">
            <w:pPr>
              <w:pStyle w:val="ARtabletextright"/>
            </w:pPr>
            <w:r>
              <w:t>1</w:t>
            </w:r>
          </w:p>
        </w:tc>
        <w:tc>
          <w:tcPr>
            <w:tcW w:w="1021" w:type="dxa"/>
          </w:tcPr>
          <w:p w14:paraId="1AA43BA4" w14:textId="77777777" w:rsidR="00183A1F" w:rsidRDefault="00183A1F" w:rsidP="00183A1F">
            <w:pPr>
              <w:pStyle w:val="ARtabletextright"/>
            </w:pPr>
            <w:r>
              <w:t>0</w:t>
            </w:r>
          </w:p>
        </w:tc>
        <w:tc>
          <w:tcPr>
            <w:tcW w:w="851" w:type="dxa"/>
          </w:tcPr>
          <w:p w14:paraId="2990CCE9" w14:textId="77777777" w:rsidR="00183A1F" w:rsidRDefault="00183A1F" w:rsidP="008D2D99">
            <w:pPr>
              <w:pStyle w:val="ARtabletextrightbold"/>
            </w:pPr>
            <w:r>
              <w:t>1</w:t>
            </w:r>
          </w:p>
        </w:tc>
      </w:tr>
      <w:tr w:rsidR="00183A1F" w14:paraId="2F55026D" w14:textId="77777777" w:rsidTr="008D2D99">
        <w:trPr>
          <w:cantSplit w:val="0"/>
          <w:trHeight w:val="290"/>
        </w:trPr>
        <w:tc>
          <w:tcPr>
            <w:tcW w:w="3289" w:type="dxa"/>
          </w:tcPr>
          <w:p w14:paraId="4B31FC85" w14:textId="77777777" w:rsidR="00183A1F" w:rsidRDefault="00183A1F" w:rsidP="00183A1F">
            <w:pPr>
              <w:pStyle w:val="ARtabletext"/>
            </w:pPr>
            <w:r>
              <w:t>Orbost Regional Health</w:t>
            </w:r>
          </w:p>
        </w:tc>
        <w:tc>
          <w:tcPr>
            <w:tcW w:w="851" w:type="dxa"/>
          </w:tcPr>
          <w:p w14:paraId="57B147B7" w14:textId="77777777" w:rsidR="00183A1F" w:rsidRDefault="00183A1F" w:rsidP="00183A1F">
            <w:pPr>
              <w:pStyle w:val="ARtabletextright"/>
            </w:pPr>
            <w:r>
              <w:t>1</w:t>
            </w:r>
          </w:p>
        </w:tc>
        <w:tc>
          <w:tcPr>
            <w:tcW w:w="851" w:type="dxa"/>
          </w:tcPr>
          <w:p w14:paraId="471929AC" w14:textId="77777777" w:rsidR="00183A1F" w:rsidRDefault="00183A1F" w:rsidP="00183A1F">
            <w:pPr>
              <w:pStyle w:val="ARtabletextright"/>
            </w:pPr>
            <w:r>
              <w:t>0</w:t>
            </w:r>
          </w:p>
        </w:tc>
        <w:tc>
          <w:tcPr>
            <w:tcW w:w="1021" w:type="dxa"/>
            <w:tcBorders>
              <w:top w:val="single" w:sz="4" w:space="0" w:color="auto"/>
            </w:tcBorders>
          </w:tcPr>
          <w:p w14:paraId="2B607E6E"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2FDF1EB9" w14:textId="77777777" w:rsidR="00183A1F" w:rsidRDefault="00183A1F" w:rsidP="008D2D99">
            <w:pPr>
              <w:pStyle w:val="ARtabletextrightbold"/>
            </w:pPr>
            <w:r>
              <w:t>1</w:t>
            </w:r>
          </w:p>
        </w:tc>
        <w:tc>
          <w:tcPr>
            <w:tcW w:w="851" w:type="dxa"/>
            <w:tcBorders>
              <w:left w:val="single" w:sz="4" w:space="0" w:color="auto"/>
            </w:tcBorders>
          </w:tcPr>
          <w:p w14:paraId="1DAA741A" w14:textId="77777777" w:rsidR="00183A1F" w:rsidRDefault="00183A1F" w:rsidP="00183A1F">
            <w:pPr>
              <w:pStyle w:val="ARtabletextright"/>
            </w:pPr>
            <w:r>
              <w:t>1</w:t>
            </w:r>
          </w:p>
        </w:tc>
        <w:tc>
          <w:tcPr>
            <w:tcW w:w="851" w:type="dxa"/>
          </w:tcPr>
          <w:p w14:paraId="2F34DB91" w14:textId="77777777" w:rsidR="00183A1F" w:rsidRDefault="00183A1F" w:rsidP="00183A1F">
            <w:pPr>
              <w:pStyle w:val="ARtabletextright"/>
            </w:pPr>
            <w:r>
              <w:t>0</w:t>
            </w:r>
          </w:p>
        </w:tc>
        <w:tc>
          <w:tcPr>
            <w:tcW w:w="1021" w:type="dxa"/>
            <w:tcBorders>
              <w:top w:val="single" w:sz="4" w:space="0" w:color="auto"/>
            </w:tcBorders>
          </w:tcPr>
          <w:p w14:paraId="19D82684"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144A4B74" w14:textId="77777777" w:rsidR="00183A1F" w:rsidRDefault="00183A1F" w:rsidP="008D2D99">
            <w:pPr>
              <w:pStyle w:val="ARtabletextrightbold"/>
            </w:pPr>
            <w:r>
              <w:t>1</w:t>
            </w:r>
          </w:p>
        </w:tc>
        <w:tc>
          <w:tcPr>
            <w:tcW w:w="851" w:type="dxa"/>
            <w:tcBorders>
              <w:left w:val="single" w:sz="4" w:space="0" w:color="auto"/>
            </w:tcBorders>
          </w:tcPr>
          <w:p w14:paraId="013D6F25" w14:textId="77777777" w:rsidR="00183A1F" w:rsidRDefault="00183A1F" w:rsidP="00183A1F">
            <w:pPr>
              <w:pStyle w:val="ARtabletextright"/>
            </w:pPr>
            <w:r>
              <w:t>0</w:t>
            </w:r>
          </w:p>
        </w:tc>
        <w:tc>
          <w:tcPr>
            <w:tcW w:w="851" w:type="dxa"/>
          </w:tcPr>
          <w:p w14:paraId="2CDD954A" w14:textId="77777777" w:rsidR="00183A1F" w:rsidRDefault="00183A1F" w:rsidP="00183A1F">
            <w:pPr>
              <w:pStyle w:val="ARtabletextright"/>
            </w:pPr>
            <w:r>
              <w:t>0</w:t>
            </w:r>
          </w:p>
        </w:tc>
        <w:tc>
          <w:tcPr>
            <w:tcW w:w="1021" w:type="dxa"/>
          </w:tcPr>
          <w:p w14:paraId="4BB51039" w14:textId="77777777" w:rsidR="00183A1F" w:rsidRDefault="00183A1F" w:rsidP="00183A1F">
            <w:pPr>
              <w:pStyle w:val="ARtabletextright"/>
            </w:pPr>
            <w:r>
              <w:t>0</w:t>
            </w:r>
          </w:p>
        </w:tc>
        <w:tc>
          <w:tcPr>
            <w:tcW w:w="851" w:type="dxa"/>
          </w:tcPr>
          <w:p w14:paraId="7C3C45F7" w14:textId="77777777" w:rsidR="00183A1F" w:rsidRDefault="00183A1F" w:rsidP="008D2D99">
            <w:pPr>
              <w:pStyle w:val="ARtabletextrightbold"/>
            </w:pPr>
            <w:r>
              <w:t>0</w:t>
            </w:r>
          </w:p>
        </w:tc>
      </w:tr>
      <w:tr w:rsidR="00183A1F" w14:paraId="7B0DCFEC" w14:textId="77777777" w:rsidTr="008D2D99">
        <w:trPr>
          <w:cantSplit w:val="0"/>
          <w:trHeight w:val="290"/>
        </w:trPr>
        <w:tc>
          <w:tcPr>
            <w:tcW w:w="3289" w:type="dxa"/>
          </w:tcPr>
          <w:p w14:paraId="6B4AE670" w14:textId="77777777" w:rsidR="00183A1F" w:rsidRDefault="00183A1F" w:rsidP="00183A1F">
            <w:pPr>
              <w:pStyle w:val="ARtabletext"/>
            </w:pPr>
            <w:r>
              <w:t>Peninsula Health</w:t>
            </w:r>
          </w:p>
        </w:tc>
        <w:tc>
          <w:tcPr>
            <w:tcW w:w="851" w:type="dxa"/>
          </w:tcPr>
          <w:p w14:paraId="33774489" w14:textId="77777777" w:rsidR="00183A1F" w:rsidRDefault="00183A1F" w:rsidP="00183A1F">
            <w:pPr>
              <w:pStyle w:val="ARtabletextright"/>
            </w:pPr>
            <w:r>
              <w:t>5</w:t>
            </w:r>
          </w:p>
        </w:tc>
        <w:tc>
          <w:tcPr>
            <w:tcW w:w="851" w:type="dxa"/>
          </w:tcPr>
          <w:p w14:paraId="018CFA57" w14:textId="77777777" w:rsidR="00183A1F" w:rsidRDefault="00183A1F" w:rsidP="00183A1F">
            <w:pPr>
              <w:pStyle w:val="ARtabletextright"/>
            </w:pPr>
            <w:r>
              <w:t>1</w:t>
            </w:r>
          </w:p>
        </w:tc>
        <w:tc>
          <w:tcPr>
            <w:tcW w:w="1021" w:type="dxa"/>
            <w:tcBorders>
              <w:top w:val="single" w:sz="4" w:space="0" w:color="auto"/>
            </w:tcBorders>
          </w:tcPr>
          <w:p w14:paraId="186C826C"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15D42029" w14:textId="77777777" w:rsidR="00183A1F" w:rsidRDefault="00183A1F" w:rsidP="008D2D99">
            <w:pPr>
              <w:pStyle w:val="ARtabletextrightbold"/>
            </w:pPr>
            <w:r>
              <w:t>6</w:t>
            </w:r>
          </w:p>
        </w:tc>
        <w:tc>
          <w:tcPr>
            <w:tcW w:w="851" w:type="dxa"/>
            <w:tcBorders>
              <w:left w:val="single" w:sz="4" w:space="0" w:color="auto"/>
            </w:tcBorders>
          </w:tcPr>
          <w:p w14:paraId="05E28958" w14:textId="77777777" w:rsidR="00183A1F" w:rsidRDefault="00183A1F" w:rsidP="00183A1F">
            <w:pPr>
              <w:pStyle w:val="ARtabletextright"/>
            </w:pPr>
            <w:r>
              <w:t>5</w:t>
            </w:r>
          </w:p>
        </w:tc>
        <w:tc>
          <w:tcPr>
            <w:tcW w:w="851" w:type="dxa"/>
          </w:tcPr>
          <w:p w14:paraId="5EBBB8E4" w14:textId="77777777" w:rsidR="00183A1F" w:rsidRDefault="00183A1F" w:rsidP="00183A1F">
            <w:pPr>
              <w:pStyle w:val="ARtabletextright"/>
            </w:pPr>
            <w:r>
              <w:t>2</w:t>
            </w:r>
          </w:p>
        </w:tc>
        <w:tc>
          <w:tcPr>
            <w:tcW w:w="1021" w:type="dxa"/>
            <w:tcBorders>
              <w:top w:val="single" w:sz="4" w:space="0" w:color="auto"/>
            </w:tcBorders>
          </w:tcPr>
          <w:p w14:paraId="62B0E2B2"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36F5C358" w14:textId="77777777" w:rsidR="00183A1F" w:rsidRDefault="00183A1F" w:rsidP="008D2D99">
            <w:pPr>
              <w:pStyle w:val="ARtabletextrightbold"/>
            </w:pPr>
            <w:r>
              <w:t>7</w:t>
            </w:r>
          </w:p>
        </w:tc>
        <w:tc>
          <w:tcPr>
            <w:tcW w:w="851" w:type="dxa"/>
            <w:tcBorders>
              <w:left w:val="single" w:sz="4" w:space="0" w:color="auto"/>
            </w:tcBorders>
          </w:tcPr>
          <w:p w14:paraId="0D53EA67" w14:textId="77777777" w:rsidR="00183A1F" w:rsidRDefault="00183A1F" w:rsidP="00183A1F">
            <w:pPr>
              <w:pStyle w:val="ARtabletextright"/>
            </w:pPr>
            <w:r>
              <w:t>0</w:t>
            </w:r>
          </w:p>
        </w:tc>
        <w:tc>
          <w:tcPr>
            <w:tcW w:w="851" w:type="dxa"/>
          </w:tcPr>
          <w:p w14:paraId="67542651" w14:textId="7A355CC5" w:rsidR="00183A1F" w:rsidRDefault="00EC65C3" w:rsidP="00183A1F">
            <w:pPr>
              <w:pStyle w:val="ARtabletextright"/>
            </w:pPr>
            <w:r>
              <w:t>−</w:t>
            </w:r>
            <w:r w:rsidR="00183A1F">
              <w:t>1</w:t>
            </w:r>
          </w:p>
        </w:tc>
        <w:tc>
          <w:tcPr>
            <w:tcW w:w="1021" w:type="dxa"/>
          </w:tcPr>
          <w:p w14:paraId="224ED468" w14:textId="77777777" w:rsidR="00183A1F" w:rsidRDefault="00183A1F" w:rsidP="00183A1F">
            <w:pPr>
              <w:pStyle w:val="ARtabletextright"/>
            </w:pPr>
            <w:r>
              <w:t>0</w:t>
            </w:r>
          </w:p>
        </w:tc>
        <w:tc>
          <w:tcPr>
            <w:tcW w:w="851" w:type="dxa"/>
          </w:tcPr>
          <w:p w14:paraId="45377199" w14:textId="45516E24" w:rsidR="00183A1F" w:rsidRDefault="00EC65C3" w:rsidP="008D2D99">
            <w:pPr>
              <w:pStyle w:val="ARtabletextrightbold"/>
            </w:pPr>
            <w:r>
              <w:t>−</w:t>
            </w:r>
            <w:r w:rsidR="00183A1F">
              <w:t>1</w:t>
            </w:r>
          </w:p>
        </w:tc>
      </w:tr>
      <w:tr w:rsidR="00183A1F" w14:paraId="11159157" w14:textId="77777777" w:rsidTr="008D2D99">
        <w:trPr>
          <w:cantSplit w:val="0"/>
          <w:trHeight w:val="290"/>
        </w:trPr>
        <w:tc>
          <w:tcPr>
            <w:tcW w:w="3289" w:type="dxa"/>
          </w:tcPr>
          <w:p w14:paraId="5BEE8CAA" w14:textId="77777777" w:rsidR="00183A1F" w:rsidRDefault="00183A1F" w:rsidP="00183A1F">
            <w:pPr>
              <w:pStyle w:val="ARtabletext"/>
            </w:pPr>
            <w:r>
              <w:t>Peter MacCallum Cancer Centre</w:t>
            </w:r>
          </w:p>
        </w:tc>
        <w:tc>
          <w:tcPr>
            <w:tcW w:w="851" w:type="dxa"/>
          </w:tcPr>
          <w:p w14:paraId="69974061" w14:textId="77777777" w:rsidR="00183A1F" w:rsidRDefault="00183A1F" w:rsidP="00183A1F">
            <w:pPr>
              <w:pStyle w:val="ARtabletextright"/>
            </w:pPr>
            <w:r>
              <w:t>6</w:t>
            </w:r>
          </w:p>
        </w:tc>
        <w:tc>
          <w:tcPr>
            <w:tcW w:w="851" w:type="dxa"/>
          </w:tcPr>
          <w:p w14:paraId="6A8DB548" w14:textId="77777777" w:rsidR="00183A1F" w:rsidRDefault="00183A1F" w:rsidP="00183A1F">
            <w:pPr>
              <w:pStyle w:val="ARtabletextright"/>
            </w:pPr>
            <w:r>
              <w:t>2</w:t>
            </w:r>
          </w:p>
        </w:tc>
        <w:tc>
          <w:tcPr>
            <w:tcW w:w="1021" w:type="dxa"/>
            <w:tcBorders>
              <w:top w:val="single" w:sz="4" w:space="0" w:color="auto"/>
            </w:tcBorders>
          </w:tcPr>
          <w:p w14:paraId="59708883"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4D31DF02" w14:textId="77777777" w:rsidR="00183A1F" w:rsidRDefault="00183A1F" w:rsidP="008D2D99">
            <w:pPr>
              <w:pStyle w:val="ARtabletextrightbold"/>
            </w:pPr>
            <w:r>
              <w:t>8</w:t>
            </w:r>
          </w:p>
        </w:tc>
        <w:tc>
          <w:tcPr>
            <w:tcW w:w="851" w:type="dxa"/>
            <w:tcBorders>
              <w:left w:val="single" w:sz="4" w:space="0" w:color="auto"/>
            </w:tcBorders>
          </w:tcPr>
          <w:p w14:paraId="0D452C44" w14:textId="77777777" w:rsidR="00183A1F" w:rsidRDefault="00183A1F" w:rsidP="00183A1F">
            <w:pPr>
              <w:pStyle w:val="ARtabletextright"/>
            </w:pPr>
            <w:r>
              <w:t>8</w:t>
            </w:r>
          </w:p>
        </w:tc>
        <w:tc>
          <w:tcPr>
            <w:tcW w:w="851" w:type="dxa"/>
          </w:tcPr>
          <w:p w14:paraId="31BFECB1" w14:textId="77777777" w:rsidR="00183A1F" w:rsidRDefault="00183A1F" w:rsidP="00183A1F">
            <w:pPr>
              <w:pStyle w:val="ARtabletextright"/>
            </w:pPr>
            <w:r>
              <w:t>1</w:t>
            </w:r>
          </w:p>
        </w:tc>
        <w:tc>
          <w:tcPr>
            <w:tcW w:w="1021" w:type="dxa"/>
            <w:tcBorders>
              <w:top w:val="single" w:sz="4" w:space="0" w:color="auto"/>
            </w:tcBorders>
          </w:tcPr>
          <w:p w14:paraId="2AE820C9"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263E9ABC" w14:textId="77777777" w:rsidR="00183A1F" w:rsidRDefault="00183A1F" w:rsidP="008D2D99">
            <w:pPr>
              <w:pStyle w:val="ARtabletextrightbold"/>
            </w:pPr>
            <w:r>
              <w:t>9</w:t>
            </w:r>
          </w:p>
        </w:tc>
        <w:tc>
          <w:tcPr>
            <w:tcW w:w="851" w:type="dxa"/>
            <w:tcBorders>
              <w:left w:val="single" w:sz="4" w:space="0" w:color="auto"/>
            </w:tcBorders>
          </w:tcPr>
          <w:p w14:paraId="4AC2DE5C" w14:textId="451856CD" w:rsidR="00183A1F" w:rsidRDefault="00EC65C3" w:rsidP="00183A1F">
            <w:pPr>
              <w:pStyle w:val="ARtabletextright"/>
            </w:pPr>
            <w:r>
              <w:t>−</w:t>
            </w:r>
            <w:r w:rsidR="00183A1F">
              <w:t>2</w:t>
            </w:r>
          </w:p>
        </w:tc>
        <w:tc>
          <w:tcPr>
            <w:tcW w:w="851" w:type="dxa"/>
          </w:tcPr>
          <w:p w14:paraId="30D954E0" w14:textId="77777777" w:rsidR="00183A1F" w:rsidRDefault="00183A1F" w:rsidP="00183A1F">
            <w:pPr>
              <w:pStyle w:val="ARtabletextright"/>
            </w:pPr>
            <w:r>
              <w:t>1</w:t>
            </w:r>
          </w:p>
        </w:tc>
        <w:tc>
          <w:tcPr>
            <w:tcW w:w="1021" w:type="dxa"/>
          </w:tcPr>
          <w:p w14:paraId="1C99ECF8" w14:textId="77777777" w:rsidR="00183A1F" w:rsidRDefault="00183A1F" w:rsidP="00183A1F">
            <w:pPr>
              <w:pStyle w:val="ARtabletextright"/>
            </w:pPr>
            <w:r>
              <w:t>0</w:t>
            </w:r>
          </w:p>
        </w:tc>
        <w:tc>
          <w:tcPr>
            <w:tcW w:w="851" w:type="dxa"/>
          </w:tcPr>
          <w:p w14:paraId="5824A688" w14:textId="5063BF11" w:rsidR="00183A1F" w:rsidRDefault="00EC65C3" w:rsidP="008D2D99">
            <w:pPr>
              <w:pStyle w:val="ARtabletextrightbold"/>
            </w:pPr>
            <w:r>
              <w:t>−</w:t>
            </w:r>
            <w:r w:rsidR="00183A1F">
              <w:t>1</w:t>
            </w:r>
          </w:p>
        </w:tc>
      </w:tr>
      <w:tr w:rsidR="00183A1F" w14:paraId="6EB34B01" w14:textId="77777777" w:rsidTr="008D2D99">
        <w:trPr>
          <w:cantSplit w:val="0"/>
          <w:trHeight w:val="290"/>
        </w:trPr>
        <w:tc>
          <w:tcPr>
            <w:tcW w:w="3289" w:type="dxa"/>
          </w:tcPr>
          <w:p w14:paraId="03757998" w14:textId="77777777" w:rsidR="00183A1F" w:rsidRDefault="00183A1F" w:rsidP="00183A1F">
            <w:pPr>
              <w:pStyle w:val="ARtabletext"/>
            </w:pPr>
            <w:r>
              <w:t>Portland District Health</w:t>
            </w:r>
          </w:p>
        </w:tc>
        <w:tc>
          <w:tcPr>
            <w:tcW w:w="851" w:type="dxa"/>
          </w:tcPr>
          <w:p w14:paraId="4CC67E88" w14:textId="77777777" w:rsidR="00183A1F" w:rsidRDefault="00183A1F" w:rsidP="00183A1F">
            <w:pPr>
              <w:pStyle w:val="ARtabletextright"/>
            </w:pPr>
            <w:r>
              <w:t>1</w:t>
            </w:r>
          </w:p>
        </w:tc>
        <w:tc>
          <w:tcPr>
            <w:tcW w:w="851" w:type="dxa"/>
          </w:tcPr>
          <w:p w14:paraId="75F0F7BA" w14:textId="77777777" w:rsidR="00183A1F" w:rsidRDefault="00183A1F" w:rsidP="00183A1F">
            <w:pPr>
              <w:pStyle w:val="ARtabletextright"/>
            </w:pPr>
            <w:r>
              <w:t>1</w:t>
            </w:r>
          </w:p>
        </w:tc>
        <w:tc>
          <w:tcPr>
            <w:tcW w:w="1021" w:type="dxa"/>
            <w:tcBorders>
              <w:top w:val="single" w:sz="4" w:space="0" w:color="auto"/>
            </w:tcBorders>
          </w:tcPr>
          <w:p w14:paraId="385C8FFC"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520C824C" w14:textId="77777777" w:rsidR="00183A1F" w:rsidRDefault="00183A1F" w:rsidP="008D2D99">
            <w:pPr>
              <w:pStyle w:val="ARtabletextrightbold"/>
            </w:pPr>
            <w:r>
              <w:t>2</w:t>
            </w:r>
          </w:p>
        </w:tc>
        <w:tc>
          <w:tcPr>
            <w:tcW w:w="851" w:type="dxa"/>
            <w:tcBorders>
              <w:left w:val="single" w:sz="4" w:space="0" w:color="auto"/>
            </w:tcBorders>
          </w:tcPr>
          <w:p w14:paraId="44EF8FF3" w14:textId="77777777" w:rsidR="00183A1F" w:rsidRDefault="00183A1F" w:rsidP="00183A1F">
            <w:pPr>
              <w:pStyle w:val="ARtabletextright"/>
            </w:pPr>
            <w:r>
              <w:t>1</w:t>
            </w:r>
          </w:p>
        </w:tc>
        <w:tc>
          <w:tcPr>
            <w:tcW w:w="851" w:type="dxa"/>
          </w:tcPr>
          <w:p w14:paraId="35723E29" w14:textId="77777777" w:rsidR="00183A1F" w:rsidRDefault="00183A1F" w:rsidP="00183A1F">
            <w:pPr>
              <w:pStyle w:val="ARtabletextright"/>
            </w:pPr>
            <w:r>
              <w:t>1</w:t>
            </w:r>
          </w:p>
        </w:tc>
        <w:tc>
          <w:tcPr>
            <w:tcW w:w="1021" w:type="dxa"/>
            <w:tcBorders>
              <w:top w:val="single" w:sz="4" w:space="0" w:color="auto"/>
            </w:tcBorders>
          </w:tcPr>
          <w:p w14:paraId="7AC77F69"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526FDB26" w14:textId="77777777" w:rsidR="00183A1F" w:rsidRDefault="00183A1F" w:rsidP="008D2D99">
            <w:pPr>
              <w:pStyle w:val="ARtabletextrightbold"/>
            </w:pPr>
            <w:r>
              <w:t>2</w:t>
            </w:r>
          </w:p>
        </w:tc>
        <w:tc>
          <w:tcPr>
            <w:tcW w:w="851" w:type="dxa"/>
            <w:tcBorders>
              <w:left w:val="single" w:sz="4" w:space="0" w:color="auto"/>
            </w:tcBorders>
          </w:tcPr>
          <w:p w14:paraId="28373253" w14:textId="77777777" w:rsidR="00183A1F" w:rsidRDefault="00183A1F" w:rsidP="00183A1F">
            <w:pPr>
              <w:pStyle w:val="ARtabletextright"/>
            </w:pPr>
            <w:r>
              <w:t>0</w:t>
            </w:r>
          </w:p>
        </w:tc>
        <w:tc>
          <w:tcPr>
            <w:tcW w:w="851" w:type="dxa"/>
          </w:tcPr>
          <w:p w14:paraId="689254BE" w14:textId="77777777" w:rsidR="00183A1F" w:rsidRDefault="00183A1F" w:rsidP="00183A1F">
            <w:pPr>
              <w:pStyle w:val="ARtabletextright"/>
            </w:pPr>
            <w:r>
              <w:t>0</w:t>
            </w:r>
          </w:p>
        </w:tc>
        <w:tc>
          <w:tcPr>
            <w:tcW w:w="1021" w:type="dxa"/>
          </w:tcPr>
          <w:p w14:paraId="50C9FEE0" w14:textId="77777777" w:rsidR="00183A1F" w:rsidRDefault="00183A1F" w:rsidP="00183A1F">
            <w:pPr>
              <w:pStyle w:val="ARtabletextright"/>
            </w:pPr>
            <w:r>
              <w:t>0</w:t>
            </w:r>
          </w:p>
        </w:tc>
        <w:tc>
          <w:tcPr>
            <w:tcW w:w="851" w:type="dxa"/>
          </w:tcPr>
          <w:p w14:paraId="7043A8E5" w14:textId="77777777" w:rsidR="00183A1F" w:rsidRDefault="00183A1F" w:rsidP="008D2D99">
            <w:pPr>
              <w:pStyle w:val="ARtabletextrightbold"/>
            </w:pPr>
            <w:r>
              <w:t>0</w:t>
            </w:r>
          </w:p>
        </w:tc>
      </w:tr>
      <w:tr w:rsidR="00183A1F" w14:paraId="431F6342" w14:textId="77777777" w:rsidTr="008D2D99">
        <w:trPr>
          <w:cantSplit w:val="0"/>
          <w:trHeight w:val="290"/>
        </w:trPr>
        <w:tc>
          <w:tcPr>
            <w:tcW w:w="3289" w:type="dxa"/>
          </w:tcPr>
          <w:p w14:paraId="6F516244" w14:textId="77777777" w:rsidR="00183A1F" w:rsidRDefault="00183A1F" w:rsidP="00183A1F">
            <w:pPr>
              <w:pStyle w:val="ARtabletext"/>
            </w:pPr>
            <w:r>
              <w:t>Remembrance Parks Central Victoria</w:t>
            </w:r>
          </w:p>
        </w:tc>
        <w:tc>
          <w:tcPr>
            <w:tcW w:w="851" w:type="dxa"/>
          </w:tcPr>
          <w:p w14:paraId="2033C31D" w14:textId="77777777" w:rsidR="00183A1F" w:rsidRDefault="00183A1F" w:rsidP="00183A1F">
            <w:pPr>
              <w:pStyle w:val="ARtabletextright"/>
            </w:pPr>
            <w:r>
              <w:t>0</w:t>
            </w:r>
          </w:p>
        </w:tc>
        <w:tc>
          <w:tcPr>
            <w:tcW w:w="851" w:type="dxa"/>
          </w:tcPr>
          <w:p w14:paraId="7CD10579" w14:textId="77777777" w:rsidR="00183A1F" w:rsidRDefault="00183A1F" w:rsidP="00183A1F">
            <w:pPr>
              <w:pStyle w:val="ARtabletextright"/>
            </w:pPr>
            <w:r>
              <w:t>1</w:t>
            </w:r>
          </w:p>
        </w:tc>
        <w:tc>
          <w:tcPr>
            <w:tcW w:w="1021" w:type="dxa"/>
            <w:tcBorders>
              <w:top w:val="single" w:sz="4" w:space="0" w:color="auto"/>
            </w:tcBorders>
          </w:tcPr>
          <w:p w14:paraId="79CC0045"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22334716" w14:textId="77777777" w:rsidR="00183A1F" w:rsidRDefault="00183A1F" w:rsidP="008D2D99">
            <w:pPr>
              <w:pStyle w:val="ARtabletextrightbold"/>
            </w:pPr>
            <w:r>
              <w:t>1</w:t>
            </w:r>
          </w:p>
        </w:tc>
        <w:tc>
          <w:tcPr>
            <w:tcW w:w="851" w:type="dxa"/>
            <w:tcBorders>
              <w:left w:val="single" w:sz="4" w:space="0" w:color="auto"/>
            </w:tcBorders>
          </w:tcPr>
          <w:p w14:paraId="243ADFC0" w14:textId="77777777" w:rsidR="00183A1F" w:rsidRDefault="00183A1F" w:rsidP="00183A1F">
            <w:pPr>
              <w:pStyle w:val="ARtabletextright"/>
            </w:pPr>
            <w:r>
              <w:t>0</w:t>
            </w:r>
          </w:p>
        </w:tc>
        <w:tc>
          <w:tcPr>
            <w:tcW w:w="851" w:type="dxa"/>
          </w:tcPr>
          <w:p w14:paraId="01A68A8B" w14:textId="77777777" w:rsidR="00183A1F" w:rsidRDefault="00183A1F" w:rsidP="00183A1F">
            <w:pPr>
              <w:pStyle w:val="ARtabletextright"/>
            </w:pPr>
            <w:r>
              <w:t>1</w:t>
            </w:r>
          </w:p>
        </w:tc>
        <w:tc>
          <w:tcPr>
            <w:tcW w:w="1021" w:type="dxa"/>
            <w:tcBorders>
              <w:top w:val="single" w:sz="4" w:space="0" w:color="auto"/>
            </w:tcBorders>
          </w:tcPr>
          <w:p w14:paraId="6D1D960A"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2311E988" w14:textId="77777777" w:rsidR="00183A1F" w:rsidRDefault="00183A1F" w:rsidP="008D2D99">
            <w:pPr>
              <w:pStyle w:val="ARtabletextrightbold"/>
            </w:pPr>
            <w:r>
              <w:t>1</w:t>
            </w:r>
          </w:p>
        </w:tc>
        <w:tc>
          <w:tcPr>
            <w:tcW w:w="851" w:type="dxa"/>
            <w:tcBorders>
              <w:left w:val="single" w:sz="4" w:space="0" w:color="auto"/>
            </w:tcBorders>
          </w:tcPr>
          <w:p w14:paraId="0138DB01" w14:textId="77777777" w:rsidR="00183A1F" w:rsidRDefault="00183A1F" w:rsidP="00183A1F">
            <w:pPr>
              <w:pStyle w:val="ARtabletextright"/>
            </w:pPr>
            <w:r>
              <w:t>0</w:t>
            </w:r>
          </w:p>
        </w:tc>
        <w:tc>
          <w:tcPr>
            <w:tcW w:w="851" w:type="dxa"/>
          </w:tcPr>
          <w:p w14:paraId="7D366B9C" w14:textId="77777777" w:rsidR="00183A1F" w:rsidRDefault="00183A1F" w:rsidP="00183A1F">
            <w:pPr>
              <w:pStyle w:val="ARtabletextright"/>
            </w:pPr>
            <w:r>
              <w:t>0</w:t>
            </w:r>
          </w:p>
        </w:tc>
        <w:tc>
          <w:tcPr>
            <w:tcW w:w="1021" w:type="dxa"/>
          </w:tcPr>
          <w:p w14:paraId="2BCB2CFF" w14:textId="77777777" w:rsidR="00183A1F" w:rsidRDefault="00183A1F" w:rsidP="00183A1F">
            <w:pPr>
              <w:pStyle w:val="ARtabletextright"/>
            </w:pPr>
            <w:r>
              <w:t>0</w:t>
            </w:r>
          </w:p>
        </w:tc>
        <w:tc>
          <w:tcPr>
            <w:tcW w:w="851" w:type="dxa"/>
          </w:tcPr>
          <w:p w14:paraId="2C89F241" w14:textId="77777777" w:rsidR="00183A1F" w:rsidRDefault="00183A1F" w:rsidP="008D2D99">
            <w:pPr>
              <w:pStyle w:val="ARtabletextrightbold"/>
            </w:pPr>
            <w:r>
              <w:t>0</w:t>
            </w:r>
          </w:p>
        </w:tc>
      </w:tr>
      <w:tr w:rsidR="00183A1F" w14:paraId="68CE7648" w14:textId="77777777" w:rsidTr="008D2D99">
        <w:trPr>
          <w:cantSplit w:val="0"/>
          <w:trHeight w:val="290"/>
        </w:trPr>
        <w:tc>
          <w:tcPr>
            <w:tcW w:w="3289" w:type="dxa"/>
          </w:tcPr>
          <w:p w14:paraId="262FA4EF" w14:textId="77777777" w:rsidR="00183A1F" w:rsidRDefault="00183A1F" w:rsidP="00183A1F">
            <w:pPr>
              <w:pStyle w:val="ARtabletext"/>
            </w:pPr>
            <w:r>
              <w:t>Robinvale District Health Services</w:t>
            </w:r>
          </w:p>
        </w:tc>
        <w:tc>
          <w:tcPr>
            <w:tcW w:w="851" w:type="dxa"/>
          </w:tcPr>
          <w:p w14:paraId="0CD72305" w14:textId="77777777" w:rsidR="00183A1F" w:rsidRDefault="00183A1F" w:rsidP="00183A1F">
            <w:pPr>
              <w:pStyle w:val="ARtabletextright"/>
            </w:pPr>
            <w:r>
              <w:t>1</w:t>
            </w:r>
          </w:p>
        </w:tc>
        <w:tc>
          <w:tcPr>
            <w:tcW w:w="851" w:type="dxa"/>
          </w:tcPr>
          <w:p w14:paraId="34672127" w14:textId="77777777" w:rsidR="00183A1F" w:rsidRDefault="00183A1F" w:rsidP="00183A1F">
            <w:pPr>
              <w:pStyle w:val="ARtabletextright"/>
            </w:pPr>
            <w:r>
              <w:t>0</w:t>
            </w:r>
          </w:p>
        </w:tc>
        <w:tc>
          <w:tcPr>
            <w:tcW w:w="1021" w:type="dxa"/>
            <w:tcBorders>
              <w:top w:val="single" w:sz="4" w:space="0" w:color="auto"/>
            </w:tcBorders>
          </w:tcPr>
          <w:p w14:paraId="736FA0B1"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1C74AA1A" w14:textId="77777777" w:rsidR="00183A1F" w:rsidRDefault="00183A1F" w:rsidP="008D2D99">
            <w:pPr>
              <w:pStyle w:val="ARtabletextrightbold"/>
            </w:pPr>
            <w:r>
              <w:t>1</w:t>
            </w:r>
          </w:p>
        </w:tc>
        <w:tc>
          <w:tcPr>
            <w:tcW w:w="851" w:type="dxa"/>
            <w:tcBorders>
              <w:left w:val="single" w:sz="4" w:space="0" w:color="auto"/>
            </w:tcBorders>
          </w:tcPr>
          <w:p w14:paraId="42AE6E67" w14:textId="77777777" w:rsidR="00183A1F" w:rsidRDefault="00183A1F" w:rsidP="00183A1F">
            <w:pPr>
              <w:pStyle w:val="ARtabletextright"/>
            </w:pPr>
            <w:r>
              <w:t>1</w:t>
            </w:r>
          </w:p>
        </w:tc>
        <w:tc>
          <w:tcPr>
            <w:tcW w:w="851" w:type="dxa"/>
          </w:tcPr>
          <w:p w14:paraId="38CE3FC8" w14:textId="77777777" w:rsidR="00183A1F" w:rsidRDefault="00183A1F" w:rsidP="00183A1F">
            <w:pPr>
              <w:pStyle w:val="ARtabletextright"/>
            </w:pPr>
            <w:r>
              <w:t>0</w:t>
            </w:r>
          </w:p>
        </w:tc>
        <w:tc>
          <w:tcPr>
            <w:tcW w:w="1021" w:type="dxa"/>
            <w:tcBorders>
              <w:top w:val="single" w:sz="4" w:space="0" w:color="auto"/>
            </w:tcBorders>
          </w:tcPr>
          <w:p w14:paraId="5B71B7BE"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34A2D6EE" w14:textId="77777777" w:rsidR="00183A1F" w:rsidRDefault="00183A1F" w:rsidP="008D2D99">
            <w:pPr>
              <w:pStyle w:val="ARtabletextrightbold"/>
            </w:pPr>
            <w:r>
              <w:t>1</w:t>
            </w:r>
          </w:p>
        </w:tc>
        <w:tc>
          <w:tcPr>
            <w:tcW w:w="851" w:type="dxa"/>
            <w:tcBorders>
              <w:left w:val="single" w:sz="4" w:space="0" w:color="auto"/>
            </w:tcBorders>
          </w:tcPr>
          <w:p w14:paraId="661C394E" w14:textId="77777777" w:rsidR="00183A1F" w:rsidRDefault="00183A1F" w:rsidP="00183A1F">
            <w:pPr>
              <w:pStyle w:val="ARtabletextright"/>
            </w:pPr>
            <w:r>
              <w:t>0</w:t>
            </w:r>
          </w:p>
        </w:tc>
        <w:tc>
          <w:tcPr>
            <w:tcW w:w="851" w:type="dxa"/>
          </w:tcPr>
          <w:p w14:paraId="63CF6529" w14:textId="77777777" w:rsidR="00183A1F" w:rsidRDefault="00183A1F" w:rsidP="00183A1F">
            <w:pPr>
              <w:pStyle w:val="ARtabletextright"/>
            </w:pPr>
            <w:r>
              <w:t>0</w:t>
            </w:r>
          </w:p>
        </w:tc>
        <w:tc>
          <w:tcPr>
            <w:tcW w:w="1021" w:type="dxa"/>
          </w:tcPr>
          <w:p w14:paraId="2668D174" w14:textId="77777777" w:rsidR="00183A1F" w:rsidRDefault="00183A1F" w:rsidP="00183A1F">
            <w:pPr>
              <w:pStyle w:val="ARtabletextright"/>
            </w:pPr>
            <w:r>
              <w:t>0</w:t>
            </w:r>
          </w:p>
        </w:tc>
        <w:tc>
          <w:tcPr>
            <w:tcW w:w="851" w:type="dxa"/>
          </w:tcPr>
          <w:p w14:paraId="1E3816C6" w14:textId="77777777" w:rsidR="00183A1F" w:rsidRDefault="00183A1F" w:rsidP="008D2D99">
            <w:pPr>
              <w:pStyle w:val="ARtabletextrightbold"/>
            </w:pPr>
            <w:r>
              <w:t>0</w:t>
            </w:r>
          </w:p>
        </w:tc>
      </w:tr>
      <w:tr w:rsidR="00183A1F" w14:paraId="7BBAB9F4" w14:textId="77777777" w:rsidTr="008D2D99">
        <w:trPr>
          <w:cantSplit w:val="0"/>
          <w:trHeight w:val="290"/>
        </w:trPr>
        <w:tc>
          <w:tcPr>
            <w:tcW w:w="3289" w:type="dxa"/>
          </w:tcPr>
          <w:p w14:paraId="539C8584" w14:textId="77777777" w:rsidR="00183A1F" w:rsidRDefault="00183A1F" w:rsidP="00183A1F">
            <w:pPr>
              <w:pStyle w:val="ARtabletext"/>
            </w:pPr>
            <w:r>
              <w:t>Rochester and Elmore District Health Service</w:t>
            </w:r>
          </w:p>
        </w:tc>
        <w:tc>
          <w:tcPr>
            <w:tcW w:w="851" w:type="dxa"/>
          </w:tcPr>
          <w:p w14:paraId="36BAFF3B" w14:textId="77777777" w:rsidR="00183A1F" w:rsidRDefault="00183A1F" w:rsidP="00183A1F">
            <w:pPr>
              <w:pStyle w:val="ARtabletextright"/>
            </w:pPr>
            <w:r>
              <w:t>1</w:t>
            </w:r>
          </w:p>
        </w:tc>
        <w:tc>
          <w:tcPr>
            <w:tcW w:w="851" w:type="dxa"/>
          </w:tcPr>
          <w:p w14:paraId="3EDE51F3" w14:textId="77777777" w:rsidR="00183A1F" w:rsidRDefault="00183A1F" w:rsidP="00183A1F">
            <w:pPr>
              <w:pStyle w:val="ARtabletextright"/>
            </w:pPr>
            <w:r>
              <w:t>0</w:t>
            </w:r>
          </w:p>
        </w:tc>
        <w:tc>
          <w:tcPr>
            <w:tcW w:w="1021" w:type="dxa"/>
            <w:tcBorders>
              <w:top w:val="single" w:sz="4" w:space="0" w:color="auto"/>
            </w:tcBorders>
          </w:tcPr>
          <w:p w14:paraId="71FAB71C"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3A4F933A" w14:textId="77777777" w:rsidR="00183A1F" w:rsidRDefault="00183A1F" w:rsidP="008D2D99">
            <w:pPr>
              <w:pStyle w:val="ARtabletextrightbold"/>
            </w:pPr>
            <w:r>
              <w:t>1</w:t>
            </w:r>
          </w:p>
        </w:tc>
        <w:tc>
          <w:tcPr>
            <w:tcW w:w="851" w:type="dxa"/>
            <w:tcBorders>
              <w:left w:val="single" w:sz="4" w:space="0" w:color="auto"/>
            </w:tcBorders>
          </w:tcPr>
          <w:p w14:paraId="19CFDAD6" w14:textId="77777777" w:rsidR="00183A1F" w:rsidRDefault="00183A1F" w:rsidP="00183A1F">
            <w:pPr>
              <w:pStyle w:val="ARtabletextright"/>
            </w:pPr>
            <w:r>
              <w:t>1</w:t>
            </w:r>
          </w:p>
        </w:tc>
        <w:tc>
          <w:tcPr>
            <w:tcW w:w="851" w:type="dxa"/>
          </w:tcPr>
          <w:p w14:paraId="560AF126" w14:textId="77777777" w:rsidR="00183A1F" w:rsidRDefault="00183A1F" w:rsidP="00183A1F">
            <w:pPr>
              <w:pStyle w:val="ARtabletextright"/>
            </w:pPr>
            <w:r>
              <w:t>0</w:t>
            </w:r>
          </w:p>
        </w:tc>
        <w:tc>
          <w:tcPr>
            <w:tcW w:w="1021" w:type="dxa"/>
            <w:tcBorders>
              <w:top w:val="single" w:sz="4" w:space="0" w:color="auto"/>
            </w:tcBorders>
          </w:tcPr>
          <w:p w14:paraId="7CD21B7D"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23757EB3" w14:textId="77777777" w:rsidR="00183A1F" w:rsidRDefault="00183A1F" w:rsidP="008D2D99">
            <w:pPr>
              <w:pStyle w:val="ARtabletextrightbold"/>
            </w:pPr>
            <w:r>
              <w:t>1</w:t>
            </w:r>
          </w:p>
        </w:tc>
        <w:tc>
          <w:tcPr>
            <w:tcW w:w="851" w:type="dxa"/>
            <w:tcBorders>
              <w:left w:val="single" w:sz="4" w:space="0" w:color="auto"/>
            </w:tcBorders>
          </w:tcPr>
          <w:p w14:paraId="6D8A6F44" w14:textId="77777777" w:rsidR="00183A1F" w:rsidRDefault="00183A1F" w:rsidP="00183A1F">
            <w:pPr>
              <w:pStyle w:val="ARtabletextright"/>
            </w:pPr>
            <w:r>
              <w:t>0</w:t>
            </w:r>
          </w:p>
        </w:tc>
        <w:tc>
          <w:tcPr>
            <w:tcW w:w="851" w:type="dxa"/>
          </w:tcPr>
          <w:p w14:paraId="72DB8686" w14:textId="77777777" w:rsidR="00183A1F" w:rsidRDefault="00183A1F" w:rsidP="00183A1F">
            <w:pPr>
              <w:pStyle w:val="ARtabletextright"/>
            </w:pPr>
            <w:r>
              <w:t>0</w:t>
            </w:r>
          </w:p>
        </w:tc>
        <w:tc>
          <w:tcPr>
            <w:tcW w:w="1021" w:type="dxa"/>
          </w:tcPr>
          <w:p w14:paraId="6AC4C893" w14:textId="77777777" w:rsidR="00183A1F" w:rsidRDefault="00183A1F" w:rsidP="00183A1F">
            <w:pPr>
              <w:pStyle w:val="ARtabletextright"/>
            </w:pPr>
            <w:r>
              <w:t>0</w:t>
            </w:r>
          </w:p>
        </w:tc>
        <w:tc>
          <w:tcPr>
            <w:tcW w:w="851" w:type="dxa"/>
          </w:tcPr>
          <w:p w14:paraId="1A4FA006" w14:textId="77777777" w:rsidR="00183A1F" w:rsidRDefault="00183A1F" w:rsidP="008D2D99">
            <w:pPr>
              <w:pStyle w:val="ARtabletextrightbold"/>
            </w:pPr>
            <w:r>
              <w:t>0</w:t>
            </w:r>
          </w:p>
        </w:tc>
      </w:tr>
      <w:tr w:rsidR="00183A1F" w14:paraId="27040002" w14:textId="77777777" w:rsidTr="008D2D99">
        <w:trPr>
          <w:cantSplit w:val="0"/>
          <w:trHeight w:val="290"/>
        </w:trPr>
        <w:tc>
          <w:tcPr>
            <w:tcW w:w="3289" w:type="dxa"/>
          </w:tcPr>
          <w:p w14:paraId="457CB330" w14:textId="1EDCEAAA" w:rsidR="00183A1F" w:rsidRDefault="00183A1F" w:rsidP="00183A1F">
            <w:pPr>
              <w:pStyle w:val="ARtabletext"/>
            </w:pPr>
            <w:r>
              <w:t>Royal Children</w:t>
            </w:r>
            <w:r w:rsidR="007D145B">
              <w:t>’</w:t>
            </w:r>
            <w:r>
              <w:t>s Hospital</w:t>
            </w:r>
          </w:p>
        </w:tc>
        <w:tc>
          <w:tcPr>
            <w:tcW w:w="851" w:type="dxa"/>
          </w:tcPr>
          <w:p w14:paraId="5BF3017E" w14:textId="77777777" w:rsidR="00183A1F" w:rsidRDefault="00183A1F" w:rsidP="00183A1F">
            <w:pPr>
              <w:pStyle w:val="ARtabletextright"/>
            </w:pPr>
            <w:r>
              <w:t>4</w:t>
            </w:r>
          </w:p>
        </w:tc>
        <w:tc>
          <w:tcPr>
            <w:tcW w:w="851" w:type="dxa"/>
          </w:tcPr>
          <w:p w14:paraId="148D1C70" w14:textId="77777777" w:rsidR="00183A1F" w:rsidRDefault="00183A1F" w:rsidP="00183A1F">
            <w:pPr>
              <w:pStyle w:val="ARtabletextright"/>
            </w:pPr>
            <w:r>
              <w:t>3</w:t>
            </w:r>
          </w:p>
        </w:tc>
        <w:tc>
          <w:tcPr>
            <w:tcW w:w="1021" w:type="dxa"/>
            <w:tcBorders>
              <w:top w:val="single" w:sz="4" w:space="0" w:color="auto"/>
            </w:tcBorders>
          </w:tcPr>
          <w:p w14:paraId="0488AA1E"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09F2E192" w14:textId="77777777" w:rsidR="00183A1F" w:rsidRDefault="00183A1F" w:rsidP="008D2D99">
            <w:pPr>
              <w:pStyle w:val="ARtabletextrightbold"/>
            </w:pPr>
            <w:r>
              <w:t>7</w:t>
            </w:r>
          </w:p>
        </w:tc>
        <w:tc>
          <w:tcPr>
            <w:tcW w:w="851" w:type="dxa"/>
            <w:tcBorders>
              <w:left w:val="single" w:sz="4" w:space="0" w:color="auto"/>
            </w:tcBorders>
          </w:tcPr>
          <w:p w14:paraId="45C45902" w14:textId="77777777" w:rsidR="00183A1F" w:rsidRDefault="00183A1F" w:rsidP="00183A1F">
            <w:pPr>
              <w:pStyle w:val="ARtabletextright"/>
            </w:pPr>
            <w:r>
              <w:t>5</w:t>
            </w:r>
          </w:p>
        </w:tc>
        <w:tc>
          <w:tcPr>
            <w:tcW w:w="851" w:type="dxa"/>
          </w:tcPr>
          <w:p w14:paraId="189779B2" w14:textId="77777777" w:rsidR="00183A1F" w:rsidRDefault="00183A1F" w:rsidP="00183A1F">
            <w:pPr>
              <w:pStyle w:val="ARtabletextright"/>
            </w:pPr>
            <w:r>
              <w:t>3</w:t>
            </w:r>
          </w:p>
        </w:tc>
        <w:tc>
          <w:tcPr>
            <w:tcW w:w="1021" w:type="dxa"/>
            <w:tcBorders>
              <w:top w:val="single" w:sz="4" w:space="0" w:color="auto"/>
            </w:tcBorders>
          </w:tcPr>
          <w:p w14:paraId="06245E96"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3C4D4775" w14:textId="77777777" w:rsidR="00183A1F" w:rsidRDefault="00183A1F" w:rsidP="008D2D99">
            <w:pPr>
              <w:pStyle w:val="ARtabletextrightbold"/>
            </w:pPr>
            <w:r>
              <w:t>8</w:t>
            </w:r>
          </w:p>
        </w:tc>
        <w:tc>
          <w:tcPr>
            <w:tcW w:w="851" w:type="dxa"/>
            <w:tcBorders>
              <w:left w:val="single" w:sz="4" w:space="0" w:color="auto"/>
            </w:tcBorders>
          </w:tcPr>
          <w:p w14:paraId="7BBB185C" w14:textId="7B377A78" w:rsidR="00183A1F" w:rsidRDefault="00EC65C3" w:rsidP="00183A1F">
            <w:pPr>
              <w:pStyle w:val="ARtabletextright"/>
            </w:pPr>
            <w:r>
              <w:t>−</w:t>
            </w:r>
            <w:r w:rsidR="00183A1F">
              <w:t>1</w:t>
            </w:r>
          </w:p>
        </w:tc>
        <w:tc>
          <w:tcPr>
            <w:tcW w:w="851" w:type="dxa"/>
          </w:tcPr>
          <w:p w14:paraId="53A27EDA" w14:textId="77777777" w:rsidR="00183A1F" w:rsidRDefault="00183A1F" w:rsidP="00183A1F">
            <w:pPr>
              <w:pStyle w:val="ARtabletextright"/>
            </w:pPr>
            <w:r>
              <w:t>0</w:t>
            </w:r>
          </w:p>
        </w:tc>
        <w:tc>
          <w:tcPr>
            <w:tcW w:w="1021" w:type="dxa"/>
          </w:tcPr>
          <w:p w14:paraId="1BE94DBC" w14:textId="77777777" w:rsidR="00183A1F" w:rsidRDefault="00183A1F" w:rsidP="00183A1F">
            <w:pPr>
              <w:pStyle w:val="ARtabletextright"/>
            </w:pPr>
            <w:r>
              <w:t>0</w:t>
            </w:r>
          </w:p>
        </w:tc>
        <w:tc>
          <w:tcPr>
            <w:tcW w:w="851" w:type="dxa"/>
          </w:tcPr>
          <w:p w14:paraId="6057E549" w14:textId="45E83888" w:rsidR="00183A1F" w:rsidRDefault="00EC65C3" w:rsidP="008D2D99">
            <w:pPr>
              <w:pStyle w:val="ARtabletextrightbold"/>
            </w:pPr>
            <w:r>
              <w:t>−</w:t>
            </w:r>
            <w:r w:rsidR="00183A1F">
              <w:t>1</w:t>
            </w:r>
          </w:p>
        </w:tc>
      </w:tr>
      <w:tr w:rsidR="00183A1F" w14:paraId="1119052C" w14:textId="77777777" w:rsidTr="008D2D99">
        <w:trPr>
          <w:cantSplit w:val="0"/>
          <w:trHeight w:val="290"/>
        </w:trPr>
        <w:tc>
          <w:tcPr>
            <w:tcW w:w="3289" w:type="dxa"/>
          </w:tcPr>
          <w:p w14:paraId="5F810213" w14:textId="77777777" w:rsidR="00183A1F" w:rsidRDefault="00183A1F" w:rsidP="00183A1F">
            <w:pPr>
              <w:pStyle w:val="ARtabletext"/>
            </w:pPr>
            <w:r>
              <w:t>Royal Victorian Eye and Ear Hospital</w:t>
            </w:r>
          </w:p>
        </w:tc>
        <w:tc>
          <w:tcPr>
            <w:tcW w:w="851" w:type="dxa"/>
          </w:tcPr>
          <w:p w14:paraId="73397954" w14:textId="77777777" w:rsidR="00183A1F" w:rsidRDefault="00183A1F" w:rsidP="00183A1F">
            <w:pPr>
              <w:pStyle w:val="ARtabletextright"/>
            </w:pPr>
            <w:r>
              <w:t>1</w:t>
            </w:r>
          </w:p>
        </w:tc>
        <w:tc>
          <w:tcPr>
            <w:tcW w:w="851" w:type="dxa"/>
          </w:tcPr>
          <w:p w14:paraId="7EF070F7" w14:textId="77777777" w:rsidR="00183A1F" w:rsidRDefault="00183A1F" w:rsidP="00183A1F">
            <w:pPr>
              <w:pStyle w:val="ARtabletextright"/>
            </w:pPr>
            <w:r>
              <w:t>4</w:t>
            </w:r>
          </w:p>
        </w:tc>
        <w:tc>
          <w:tcPr>
            <w:tcW w:w="1021" w:type="dxa"/>
            <w:tcBorders>
              <w:top w:val="single" w:sz="4" w:space="0" w:color="auto"/>
            </w:tcBorders>
          </w:tcPr>
          <w:p w14:paraId="692AB1D5"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25F52D32" w14:textId="77777777" w:rsidR="00183A1F" w:rsidRDefault="00183A1F" w:rsidP="008D2D99">
            <w:pPr>
              <w:pStyle w:val="ARtabletextrightbold"/>
            </w:pPr>
            <w:r>
              <w:t>5</w:t>
            </w:r>
          </w:p>
        </w:tc>
        <w:tc>
          <w:tcPr>
            <w:tcW w:w="851" w:type="dxa"/>
            <w:tcBorders>
              <w:left w:val="single" w:sz="4" w:space="0" w:color="auto"/>
            </w:tcBorders>
          </w:tcPr>
          <w:p w14:paraId="49D39175" w14:textId="77777777" w:rsidR="00183A1F" w:rsidRDefault="00183A1F" w:rsidP="00183A1F">
            <w:pPr>
              <w:pStyle w:val="ARtabletextright"/>
            </w:pPr>
            <w:r>
              <w:t>2</w:t>
            </w:r>
          </w:p>
        </w:tc>
        <w:tc>
          <w:tcPr>
            <w:tcW w:w="851" w:type="dxa"/>
          </w:tcPr>
          <w:p w14:paraId="54801B7B" w14:textId="77777777" w:rsidR="00183A1F" w:rsidRDefault="00183A1F" w:rsidP="00183A1F">
            <w:pPr>
              <w:pStyle w:val="ARtabletextright"/>
            </w:pPr>
            <w:r>
              <w:t>4</w:t>
            </w:r>
          </w:p>
        </w:tc>
        <w:tc>
          <w:tcPr>
            <w:tcW w:w="1021" w:type="dxa"/>
            <w:tcBorders>
              <w:top w:val="single" w:sz="4" w:space="0" w:color="auto"/>
            </w:tcBorders>
          </w:tcPr>
          <w:p w14:paraId="51AB1FB0"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2CEB9342" w14:textId="77777777" w:rsidR="00183A1F" w:rsidRDefault="00183A1F" w:rsidP="008D2D99">
            <w:pPr>
              <w:pStyle w:val="ARtabletextrightbold"/>
            </w:pPr>
            <w:r>
              <w:t>6</w:t>
            </w:r>
          </w:p>
        </w:tc>
        <w:tc>
          <w:tcPr>
            <w:tcW w:w="851" w:type="dxa"/>
            <w:tcBorders>
              <w:left w:val="single" w:sz="4" w:space="0" w:color="auto"/>
            </w:tcBorders>
          </w:tcPr>
          <w:p w14:paraId="647D092A" w14:textId="027F7F16" w:rsidR="00183A1F" w:rsidRDefault="00EC65C3" w:rsidP="00183A1F">
            <w:pPr>
              <w:pStyle w:val="ARtabletextright"/>
            </w:pPr>
            <w:r>
              <w:t>−</w:t>
            </w:r>
            <w:r w:rsidR="00183A1F">
              <w:t>1</w:t>
            </w:r>
          </w:p>
        </w:tc>
        <w:tc>
          <w:tcPr>
            <w:tcW w:w="851" w:type="dxa"/>
          </w:tcPr>
          <w:p w14:paraId="2BD58752" w14:textId="77777777" w:rsidR="00183A1F" w:rsidRDefault="00183A1F" w:rsidP="00183A1F">
            <w:pPr>
              <w:pStyle w:val="ARtabletextright"/>
            </w:pPr>
            <w:r>
              <w:t>0</w:t>
            </w:r>
          </w:p>
        </w:tc>
        <w:tc>
          <w:tcPr>
            <w:tcW w:w="1021" w:type="dxa"/>
          </w:tcPr>
          <w:p w14:paraId="39B52051" w14:textId="77777777" w:rsidR="00183A1F" w:rsidRDefault="00183A1F" w:rsidP="00183A1F">
            <w:pPr>
              <w:pStyle w:val="ARtabletextright"/>
            </w:pPr>
            <w:r>
              <w:t>0</w:t>
            </w:r>
          </w:p>
        </w:tc>
        <w:tc>
          <w:tcPr>
            <w:tcW w:w="851" w:type="dxa"/>
          </w:tcPr>
          <w:p w14:paraId="74A5A0DC" w14:textId="294F9421" w:rsidR="00183A1F" w:rsidRDefault="00EC65C3" w:rsidP="008D2D99">
            <w:pPr>
              <w:pStyle w:val="ARtabletextrightbold"/>
            </w:pPr>
            <w:r>
              <w:t>−</w:t>
            </w:r>
            <w:r w:rsidR="00183A1F">
              <w:t>1</w:t>
            </w:r>
          </w:p>
        </w:tc>
      </w:tr>
      <w:tr w:rsidR="00183A1F" w14:paraId="1DB97AB5" w14:textId="77777777" w:rsidTr="008D2D99">
        <w:trPr>
          <w:cantSplit w:val="0"/>
          <w:trHeight w:val="290"/>
        </w:trPr>
        <w:tc>
          <w:tcPr>
            <w:tcW w:w="3289" w:type="dxa"/>
          </w:tcPr>
          <w:p w14:paraId="07E8162B" w14:textId="0D9599F0" w:rsidR="00183A1F" w:rsidRDefault="00183A1F" w:rsidP="00183A1F">
            <w:pPr>
              <w:pStyle w:val="ARtabletext"/>
            </w:pPr>
            <w:r>
              <w:lastRenderedPageBreak/>
              <w:t>Royal Women</w:t>
            </w:r>
            <w:r w:rsidR="007D145B">
              <w:t>’</w:t>
            </w:r>
            <w:r>
              <w:t>s Hospital</w:t>
            </w:r>
          </w:p>
        </w:tc>
        <w:tc>
          <w:tcPr>
            <w:tcW w:w="851" w:type="dxa"/>
          </w:tcPr>
          <w:p w14:paraId="6DA73766" w14:textId="77777777" w:rsidR="00183A1F" w:rsidRDefault="00183A1F" w:rsidP="00183A1F">
            <w:pPr>
              <w:pStyle w:val="ARtabletextright"/>
            </w:pPr>
            <w:r>
              <w:t>6</w:t>
            </w:r>
          </w:p>
        </w:tc>
        <w:tc>
          <w:tcPr>
            <w:tcW w:w="851" w:type="dxa"/>
          </w:tcPr>
          <w:p w14:paraId="430544B5" w14:textId="77777777" w:rsidR="00183A1F" w:rsidRDefault="00183A1F" w:rsidP="00183A1F">
            <w:pPr>
              <w:pStyle w:val="ARtabletextright"/>
            </w:pPr>
            <w:r>
              <w:t>4</w:t>
            </w:r>
          </w:p>
        </w:tc>
        <w:tc>
          <w:tcPr>
            <w:tcW w:w="1021" w:type="dxa"/>
            <w:tcBorders>
              <w:top w:val="single" w:sz="4" w:space="0" w:color="auto"/>
            </w:tcBorders>
          </w:tcPr>
          <w:p w14:paraId="3C29A8F3"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254339E9" w14:textId="77777777" w:rsidR="00183A1F" w:rsidRDefault="00183A1F" w:rsidP="008D2D99">
            <w:pPr>
              <w:pStyle w:val="ARtabletextrightbold"/>
            </w:pPr>
            <w:r>
              <w:t>10</w:t>
            </w:r>
          </w:p>
        </w:tc>
        <w:tc>
          <w:tcPr>
            <w:tcW w:w="851" w:type="dxa"/>
            <w:tcBorders>
              <w:left w:val="single" w:sz="4" w:space="0" w:color="auto"/>
            </w:tcBorders>
          </w:tcPr>
          <w:p w14:paraId="1F116C00" w14:textId="77777777" w:rsidR="00183A1F" w:rsidRDefault="00183A1F" w:rsidP="00183A1F">
            <w:pPr>
              <w:pStyle w:val="ARtabletextright"/>
            </w:pPr>
            <w:r>
              <w:t>6</w:t>
            </w:r>
          </w:p>
        </w:tc>
        <w:tc>
          <w:tcPr>
            <w:tcW w:w="851" w:type="dxa"/>
          </w:tcPr>
          <w:p w14:paraId="7A68F2FE" w14:textId="77777777" w:rsidR="00183A1F" w:rsidRDefault="00183A1F" w:rsidP="00183A1F">
            <w:pPr>
              <w:pStyle w:val="ARtabletextright"/>
            </w:pPr>
            <w:r>
              <w:t>2</w:t>
            </w:r>
          </w:p>
        </w:tc>
        <w:tc>
          <w:tcPr>
            <w:tcW w:w="1021" w:type="dxa"/>
            <w:tcBorders>
              <w:top w:val="single" w:sz="4" w:space="0" w:color="auto"/>
            </w:tcBorders>
          </w:tcPr>
          <w:p w14:paraId="273F06EA"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37F9169A" w14:textId="77777777" w:rsidR="00183A1F" w:rsidRDefault="00183A1F" w:rsidP="008D2D99">
            <w:pPr>
              <w:pStyle w:val="ARtabletextrightbold"/>
            </w:pPr>
            <w:r>
              <w:t>8</w:t>
            </w:r>
          </w:p>
        </w:tc>
        <w:tc>
          <w:tcPr>
            <w:tcW w:w="851" w:type="dxa"/>
            <w:tcBorders>
              <w:left w:val="single" w:sz="4" w:space="0" w:color="auto"/>
            </w:tcBorders>
          </w:tcPr>
          <w:p w14:paraId="69E4D262" w14:textId="77777777" w:rsidR="00183A1F" w:rsidRDefault="00183A1F" w:rsidP="00183A1F">
            <w:pPr>
              <w:pStyle w:val="ARtabletextright"/>
            </w:pPr>
            <w:r>
              <w:t>0</w:t>
            </w:r>
          </w:p>
        </w:tc>
        <w:tc>
          <w:tcPr>
            <w:tcW w:w="851" w:type="dxa"/>
          </w:tcPr>
          <w:p w14:paraId="0A67DB89" w14:textId="77777777" w:rsidR="00183A1F" w:rsidRDefault="00183A1F" w:rsidP="00183A1F">
            <w:pPr>
              <w:pStyle w:val="ARtabletextright"/>
            </w:pPr>
            <w:r>
              <w:t>2</w:t>
            </w:r>
          </w:p>
        </w:tc>
        <w:tc>
          <w:tcPr>
            <w:tcW w:w="1021" w:type="dxa"/>
          </w:tcPr>
          <w:p w14:paraId="4D5DD9C1" w14:textId="77777777" w:rsidR="00183A1F" w:rsidRDefault="00183A1F" w:rsidP="00183A1F">
            <w:pPr>
              <w:pStyle w:val="ARtabletextright"/>
            </w:pPr>
            <w:r>
              <w:t>0</w:t>
            </w:r>
          </w:p>
        </w:tc>
        <w:tc>
          <w:tcPr>
            <w:tcW w:w="851" w:type="dxa"/>
          </w:tcPr>
          <w:p w14:paraId="2477A9CA" w14:textId="77777777" w:rsidR="00183A1F" w:rsidRDefault="00183A1F" w:rsidP="008D2D99">
            <w:pPr>
              <w:pStyle w:val="ARtabletextrightbold"/>
            </w:pPr>
            <w:r>
              <w:t>2</w:t>
            </w:r>
          </w:p>
        </w:tc>
      </w:tr>
      <w:tr w:rsidR="00183A1F" w14:paraId="281BDC51" w14:textId="77777777" w:rsidTr="008D2D99">
        <w:trPr>
          <w:cantSplit w:val="0"/>
          <w:trHeight w:val="290"/>
        </w:trPr>
        <w:tc>
          <w:tcPr>
            <w:tcW w:w="3289" w:type="dxa"/>
          </w:tcPr>
          <w:p w14:paraId="6FA540CD" w14:textId="77777777" w:rsidR="00183A1F" w:rsidRDefault="00183A1F" w:rsidP="00183A1F">
            <w:pPr>
              <w:pStyle w:val="ARtabletext"/>
            </w:pPr>
            <w:r>
              <w:t>Rural Northwest Health</w:t>
            </w:r>
          </w:p>
        </w:tc>
        <w:tc>
          <w:tcPr>
            <w:tcW w:w="851" w:type="dxa"/>
          </w:tcPr>
          <w:p w14:paraId="31B3EA84" w14:textId="77777777" w:rsidR="00183A1F" w:rsidRDefault="00183A1F" w:rsidP="00183A1F">
            <w:pPr>
              <w:pStyle w:val="ARtabletextright"/>
            </w:pPr>
            <w:r>
              <w:t>0</w:t>
            </w:r>
          </w:p>
        </w:tc>
        <w:tc>
          <w:tcPr>
            <w:tcW w:w="851" w:type="dxa"/>
          </w:tcPr>
          <w:p w14:paraId="5E388F1C" w14:textId="77777777" w:rsidR="00183A1F" w:rsidRDefault="00183A1F" w:rsidP="00183A1F">
            <w:pPr>
              <w:pStyle w:val="ARtabletextright"/>
            </w:pPr>
            <w:r>
              <w:t>0</w:t>
            </w:r>
          </w:p>
        </w:tc>
        <w:tc>
          <w:tcPr>
            <w:tcW w:w="1021" w:type="dxa"/>
            <w:tcBorders>
              <w:top w:val="single" w:sz="4" w:space="0" w:color="auto"/>
            </w:tcBorders>
          </w:tcPr>
          <w:p w14:paraId="3AD7181D"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68C4DC6F" w14:textId="77777777" w:rsidR="00183A1F" w:rsidRDefault="00183A1F" w:rsidP="008D2D99">
            <w:pPr>
              <w:pStyle w:val="ARtabletextrightbold"/>
            </w:pPr>
            <w:r>
              <w:t>0</w:t>
            </w:r>
          </w:p>
        </w:tc>
        <w:tc>
          <w:tcPr>
            <w:tcW w:w="851" w:type="dxa"/>
            <w:tcBorders>
              <w:left w:val="single" w:sz="4" w:space="0" w:color="auto"/>
            </w:tcBorders>
          </w:tcPr>
          <w:p w14:paraId="63498E9A" w14:textId="77777777" w:rsidR="00183A1F" w:rsidRDefault="00183A1F" w:rsidP="00183A1F">
            <w:pPr>
              <w:pStyle w:val="ARtabletextright"/>
            </w:pPr>
            <w:r>
              <w:t>0</w:t>
            </w:r>
          </w:p>
        </w:tc>
        <w:tc>
          <w:tcPr>
            <w:tcW w:w="851" w:type="dxa"/>
          </w:tcPr>
          <w:p w14:paraId="17F08297" w14:textId="77777777" w:rsidR="00183A1F" w:rsidRDefault="00183A1F" w:rsidP="00183A1F">
            <w:pPr>
              <w:pStyle w:val="ARtabletextright"/>
            </w:pPr>
            <w:r>
              <w:t>1</w:t>
            </w:r>
          </w:p>
        </w:tc>
        <w:tc>
          <w:tcPr>
            <w:tcW w:w="1021" w:type="dxa"/>
            <w:tcBorders>
              <w:top w:val="single" w:sz="4" w:space="0" w:color="auto"/>
            </w:tcBorders>
          </w:tcPr>
          <w:p w14:paraId="00CE89C4"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0E87CC71" w14:textId="77777777" w:rsidR="00183A1F" w:rsidRDefault="00183A1F" w:rsidP="008D2D99">
            <w:pPr>
              <w:pStyle w:val="ARtabletextrightbold"/>
            </w:pPr>
            <w:r>
              <w:t>1</w:t>
            </w:r>
          </w:p>
        </w:tc>
        <w:tc>
          <w:tcPr>
            <w:tcW w:w="851" w:type="dxa"/>
            <w:tcBorders>
              <w:left w:val="single" w:sz="4" w:space="0" w:color="auto"/>
            </w:tcBorders>
          </w:tcPr>
          <w:p w14:paraId="0ABAD349" w14:textId="77777777" w:rsidR="00183A1F" w:rsidRDefault="00183A1F" w:rsidP="00183A1F">
            <w:pPr>
              <w:pStyle w:val="ARtabletextright"/>
            </w:pPr>
            <w:r>
              <w:t>0</w:t>
            </w:r>
          </w:p>
        </w:tc>
        <w:tc>
          <w:tcPr>
            <w:tcW w:w="851" w:type="dxa"/>
          </w:tcPr>
          <w:p w14:paraId="3C485A65" w14:textId="2EBE5E1F" w:rsidR="00183A1F" w:rsidRDefault="00EC65C3" w:rsidP="00183A1F">
            <w:pPr>
              <w:pStyle w:val="ARtabletextright"/>
            </w:pPr>
            <w:r>
              <w:t>−</w:t>
            </w:r>
            <w:r w:rsidR="00183A1F">
              <w:t>1</w:t>
            </w:r>
          </w:p>
        </w:tc>
        <w:tc>
          <w:tcPr>
            <w:tcW w:w="1021" w:type="dxa"/>
          </w:tcPr>
          <w:p w14:paraId="3EC09FBC" w14:textId="77777777" w:rsidR="00183A1F" w:rsidRDefault="00183A1F" w:rsidP="00183A1F">
            <w:pPr>
              <w:pStyle w:val="ARtabletextright"/>
            </w:pPr>
            <w:r>
              <w:t>0</w:t>
            </w:r>
          </w:p>
        </w:tc>
        <w:tc>
          <w:tcPr>
            <w:tcW w:w="851" w:type="dxa"/>
          </w:tcPr>
          <w:p w14:paraId="7EBCB294" w14:textId="69EA2AB4" w:rsidR="00183A1F" w:rsidRDefault="00EC65C3" w:rsidP="008D2D99">
            <w:pPr>
              <w:pStyle w:val="ARtabletextrightbold"/>
            </w:pPr>
            <w:r>
              <w:t>−</w:t>
            </w:r>
            <w:r w:rsidR="00183A1F">
              <w:t>1</w:t>
            </w:r>
          </w:p>
        </w:tc>
      </w:tr>
      <w:tr w:rsidR="00183A1F" w14:paraId="15E8E3C9" w14:textId="77777777" w:rsidTr="008D2D99">
        <w:trPr>
          <w:cantSplit w:val="0"/>
          <w:trHeight w:val="290"/>
        </w:trPr>
        <w:tc>
          <w:tcPr>
            <w:tcW w:w="3289" w:type="dxa"/>
          </w:tcPr>
          <w:p w14:paraId="4FDFCF57" w14:textId="77777777" w:rsidR="00183A1F" w:rsidRDefault="00183A1F" w:rsidP="00183A1F">
            <w:pPr>
              <w:pStyle w:val="ARtabletext"/>
            </w:pPr>
            <w:r>
              <w:t>Seymour Health</w:t>
            </w:r>
          </w:p>
        </w:tc>
        <w:tc>
          <w:tcPr>
            <w:tcW w:w="851" w:type="dxa"/>
          </w:tcPr>
          <w:p w14:paraId="5822141F" w14:textId="77777777" w:rsidR="00183A1F" w:rsidRDefault="00183A1F" w:rsidP="00183A1F">
            <w:pPr>
              <w:pStyle w:val="ARtabletextright"/>
            </w:pPr>
            <w:r>
              <w:t>0</w:t>
            </w:r>
          </w:p>
        </w:tc>
        <w:tc>
          <w:tcPr>
            <w:tcW w:w="851" w:type="dxa"/>
          </w:tcPr>
          <w:p w14:paraId="2E6AC919" w14:textId="77777777" w:rsidR="00183A1F" w:rsidRDefault="00183A1F" w:rsidP="00183A1F">
            <w:pPr>
              <w:pStyle w:val="ARtabletextright"/>
            </w:pPr>
            <w:r>
              <w:t>1</w:t>
            </w:r>
          </w:p>
        </w:tc>
        <w:tc>
          <w:tcPr>
            <w:tcW w:w="1021" w:type="dxa"/>
            <w:tcBorders>
              <w:top w:val="single" w:sz="4" w:space="0" w:color="auto"/>
            </w:tcBorders>
          </w:tcPr>
          <w:p w14:paraId="51B183C5"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2219058B" w14:textId="77777777" w:rsidR="00183A1F" w:rsidRDefault="00183A1F" w:rsidP="008D2D99">
            <w:pPr>
              <w:pStyle w:val="ARtabletextrightbold"/>
            </w:pPr>
            <w:r>
              <w:t>1</w:t>
            </w:r>
          </w:p>
        </w:tc>
        <w:tc>
          <w:tcPr>
            <w:tcW w:w="851" w:type="dxa"/>
            <w:tcBorders>
              <w:left w:val="single" w:sz="4" w:space="0" w:color="auto"/>
            </w:tcBorders>
          </w:tcPr>
          <w:p w14:paraId="34F66B55" w14:textId="77777777" w:rsidR="00183A1F" w:rsidRDefault="00183A1F" w:rsidP="00183A1F">
            <w:pPr>
              <w:pStyle w:val="ARtabletextright"/>
            </w:pPr>
            <w:r>
              <w:t>0</w:t>
            </w:r>
          </w:p>
        </w:tc>
        <w:tc>
          <w:tcPr>
            <w:tcW w:w="851" w:type="dxa"/>
          </w:tcPr>
          <w:p w14:paraId="6C805A71" w14:textId="77777777" w:rsidR="00183A1F" w:rsidRDefault="00183A1F" w:rsidP="00183A1F">
            <w:pPr>
              <w:pStyle w:val="ARtabletextright"/>
            </w:pPr>
            <w:r>
              <w:t>1</w:t>
            </w:r>
          </w:p>
        </w:tc>
        <w:tc>
          <w:tcPr>
            <w:tcW w:w="1021" w:type="dxa"/>
            <w:tcBorders>
              <w:top w:val="single" w:sz="4" w:space="0" w:color="auto"/>
            </w:tcBorders>
          </w:tcPr>
          <w:p w14:paraId="131A9498"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7DC3424A" w14:textId="77777777" w:rsidR="00183A1F" w:rsidRDefault="00183A1F" w:rsidP="008D2D99">
            <w:pPr>
              <w:pStyle w:val="ARtabletextrightbold"/>
            </w:pPr>
            <w:r>
              <w:t>1</w:t>
            </w:r>
          </w:p>
        </w:tc>
        <w:tc>
          <w:tcPr>
            <w:tcW w:w="851" w:type="dxa"/>
            <w:tcBorders>
              <w:left w:val="single" w:sz="4" w:space="0" w:color="auto"/>
            </w:tcBorders>
          </w:tcPr>
          <w:p w14:paraId="46D2FE21" w14:textId="77777777" w:rsidR="00183A1F" w:rsidRDefault="00183A1F" w:rsidP="00183A1F">
            <w:pPr>
              <w:pStyle w:val="ARtabletextright"/>
            </w:pPr>
            <w:r>
              <w:t>0</w:t>
            </w:r>
          </w:p>
        </w:tc>
        <w:tc>
          <w:tcPr>
            <w:tcW w:w="851" w:type="dxa"/>
          </w:tcPr>
          <w:p w14:paraId="276C0B89" w14:textId="77777777" w:rsidR="00183A1F" w:rsidRDefault="00183A1F" w:rsidP="00183A1F">
            <w:pPr>
              <w:pStyle w:val="ARtabletextright"/>
            </w:pPr>
            <w:r>
              <w:t>0</w:t>
            </w:r>
          </w:p>
        </w:tc>
        <w:tc>
          <w:tcPr>
            <w:tcW w:w="1021" w:type="dxa"/>
          </w:tcPr>
          <w:p w14:paraId="77034E8C" w14:textId="77777777" w:rsidR="00183A1F" w:rsidRDefault="00183A1F" w:rsidP="00183A1F">
            <w:pPr>
              <w:pStyle w:val="ARtabletextright"/>
            </w:pPr>
            <w:r>
              <w:t>0</w:t>
            </w:r>
          </w:p>
        </w:tc>
        <w:tc>
          <w:tcPr>
            <w:tcW w:w="851" w:type="dxa"/>
          </w:tcPr>
          <w:p w14:paraId="54E95183" w14:textId="77777777" w:rsidR="00183A1F" w:rsidRDefault="00183A1F" w:rsidP="008D2D99">
            <w:pPr>
              <w:pStyle w:val="ARtabletextrightbold"/>
            </w:pPr>
            <w:r>
              <w:t>0</w:t>
            </w:r>
          </w:p>
        </w:tc>
      </w:tr>
      <w:tr w:rsidR="00183A1F" w14:paraId="1B098A8C" w14:textId="77777777" w:rsidTr="008D2D99">
        <w:trPr>
          <w:cantSplit w:val="0"/>
          <w:trHeight w:val="290"/>
        </w:trPr>
        <w:tc>
          <w:tcPr>
            <w:tcW w:w="3289" w:type="dxa"/>
          </w:tcPr>
          <w:p w14:paraId="22775DA7" w14:textId="77777777" w:rsidR="00183A1F" w:rsidRDefault="00183A1F" w:rsidP="00183A1F">
            <w:pPr>
              <w:pStyle w:val="ARtabletext"/>
            </w:pPr>
            <w:r>
              <w:t>South Gippsland Hospital</w:t>
            </w:r>
          </w:p>
        </w:tc>
        <w:tc>
          <w:tcPr>
            <w:tcW w:w="851" w:type="dxa"/>
          </w:tcPr>
          <w:p w14:paraId="58509C05" w14:textId="77777777" w:rsidR="00183A1F" w:rsidRDefault="00183A1F" w:rsidP="00183A1F">
            <w:pPr>
              <w:pStyle w:val="ARtabletextright"/>
            </w:pPr>
            <w:r>
              <w:t>0</w:t>
            </w:r>
          </w:p>
        </w:tc>
        <w:tc>
          <w:tcPr>
            <w:tcW w:w="851" w:type="dxa"/>
          </w:tcPr>
          <w:p w14:paraId="277E492E" w14:textId="77777777" w:rsidR="00183A1F" w:rsidRDefault="00183A1F" w:rsidP="00183A1F">
            <w:pPr>
              <w:pStyle w:val="ARtabletextright"/>
            </w:pPr>
            <w:r>
              <w:t>1</w:t>
            </w:r>
          </w:p>
        </w:tc>
        <w:tc>
          <w:tcPr>
            <w:tcW w:w="1021" w:type="dxa"/>
            <w:tcBorders>
              <w:top w:val="single" w:sz="4" w:space="0" w:color="auto"/>
            </w:tcBorders>
          </w:tcPr>
          <w:p w14:paraId="32CA29A0"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10ABB6A5" w14:textId="77777777" w:rsidR="00183A1F" w:rsidRDefault="00183A1F" w:rsidP="008D2D99">
            <w:pPr>
              <w:pStyle w:val="ARtabletextrightbold"/>
            </w:pPr>
            <w:r>
              <w:t>1</w:t>
            </w:r>
          </w:p>
        </w:tc>
        <w:tc>
          <w:tcPr>
            <w:tcW w:w="851" w:type="dxa"/>
            <w:tcBorders>
              <w:left w:val="single" w:sz="4" w:space="0" w:color="auto"/>
            </w:tcBorders>
          </w:tcPr>
          <w:p w14:paraId="268A916A" w14:textId="77777777" w:rsidR="00183A1F" w:rsidRDefault="00183A1F" w:rsidP="00183A1F">
            <w:pPr>
              <w:pStyle w:val="ARtabletextright"/>
            </w:pPr>
            <w:r>
              <w:t>0</w:t>
            </w:r>
          </w:p>
        </w:tc>
        <w:tc>
          <w:tcPr>
            <w:tcW w:w="851" w:type="dxa"/>
          </w:tcPr>
          <w:p w14:paraId="2CF94F33" w14:textId="77777777" w:rsidR="00183A1F" w:rsidRDefault="00183A1F" w:rsidP="00183A1F">
            <w:pPr>
              <w:pStyle w:val="ARtabletextright"/>
            </w:pPr>
            <w:r>
              <w:t>1</w:t>
            </w:r>
          </w:p>
        </w:tc>
        <w:tc>
          <w:tcPr>
            <w:tcW w:w="1021" w:type="dxa"/>
            <w:tcBorders>
              <w:top w:val="single" w:sz="4" w:space="0" w:color="auto"/>
            </w:tcBorders>
          </w:tcPr>
          <w:p w14:paraId="73601A23"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48D79CE9" w14:textId="77777777" w:rsidR="00183A1F" w:rsidRDefault="00183A1F" w:rsidP="008D2D99">
            <w:pPr>
              <w:pStyle w:val="ARtabletextrightbold"/>
            </w:pPr>
            <w:r>
              <w:t>1</w:t>
            </w:r>
          </w:p>
        </w:tc>
        <w:tc>
          <w:tcPr>
            <w:tcW w:w="851" w:type="dxa"/>
            <w:tcBorders>
              <w:left w:val="single" w:sz="4" w:space="0" w:color="auto"/>
            </w:tcBorders>
          </w:tcPr>
          <w:p w14:paraId="12AB7B93" w14:textId="77777777" w:rsidR="00183A1F" w:rsidRDefault="00183A1F" w:rsidP="00183A1F">
            <w:pPr>
              <w:pStyle w:val="ARtabletextright"/>
            </w:pPr>
            <w:r>
              <w:t>0</w:t>
            </w:r>
          </w:p>
        </w:tc>
        <w:tc>
          <w:tcPr>
            <w:tcW w:w="851" w:type="dxa"/>
          </w:tcPr>
          <w:p w14:paraId="57B08394" w14:textId="77777777" w:rsidR="00183A1F" w:rsidRDefault="00183A1F" w:rsidP="00183A1F">
            <w:pPr>
              <w:pStyle w:val="ARtabletextright"/>
            </w:pPr>
            <w:r>
              <w:t>0</w:t>
            </w:r>
          </w:p>
        </w:tc>
        <w:tc>
          <w:tcPr>
            <w:tcW w:w="1021" w:type="dxa"/>
          </w:tcPr>
          <w:p w14:paraId="29B4A20E" w14:textId="77777777" w:rsidR="00183A1F" w:rsidRDefault="00183A1F" w:rsidP="00183A1F">
            <w:pPr>
              <w:pStyle w:val="ARtabletextright"/>
            </w:pPr>
            <w:r>
              <w:t>0</w:t>
            </w:r>
          </w:p>
        </w:tc>
        <w:tc>
          <w:tcPr>
            <w:tcW w:w="851" w:type="dxa"/>
          </w:tcPr>
          <w:p w14:paraId="11B9AC09" w14:textId="77777777" w:rsidR="00183A1F" w:rsidRDefault="00183A1F" w:rsidP="008D2D99">
            <w:pPr>
              <w:pStyle w:val="ARtabletextrightbold"/>
            </w:pPr>
            <w:r>
              <w:t>0</w:t>
            </w:r>
          </w:p>
        </w:tc>
      </w:tr>
      <w:tr w:rsidR="00183A1F" w14:paraId="49648532" w14:textId="77777777" w:rsidTr="008D2D99">
        <w:trPr>
          <w:cantSplit w:val="0"/>
          <w:trHeight w:val="290"/>
        </w:trPr>
        <w:tc>
          <w:tcPr>
            <w:tcW w:w="3289" w:type="dxa"/>
          </w:tcPr>
          <w:p w14:paraId="5814D5F4" w14:textId="77777777" w:rsidR="00183A1F" w:rsidRDefault="00183A1F" w:rsidP="00183A1F">
            <w:pPr>
              <w:pStyle w:val="ARtabletext"/>
            </w:pPr>
            <w:r>
              <w:t>South West Healthcare</w:t>
            </w:r>
          </w:p>
        </w:tc>
        <w:tc>
          <w:tcPr>
            <w:tcW w:w="851" w:type="dxa"/>
          </w:tcPr>
          <w:p w14:paraId="3260DB37" w14:textId="77777777" w:rsidR="00183A1F" w:rsidRDefault="00183A1F" w:rsidP="00183A1F">
            <w:pPr>
              <w:pStyle w:val="ARtabletextright"/>
            </w:pPr>
            <w:r>
              <w:t>2</w:t>
            </w:r>
          </w:p>
        </w:tc>
        <w:tc>
          <w:tcPr>
            <w:tcW w:w="851" w:type="dxa"/>
          </w:tcPr>
          <w:p w14:paraId="48C6A432" w14:textId="77777777" w:rsidR="00183A1F" w:rsidRDefault="00183A1F" w:rsidP="00183A1F">
            <w:pPr>
              <w:pStyle w:val="ARtabletextright"/>
            </w:pPr>
            <w:r>
              <w:t>3</w:t>
            </w:r>
          </w:p>
        </w:tc>
        <w:tc>
          <w:tcPr>
            <w:tcW w:w="1021" w:type="dxa"/>
            <w:tcBorders>
              <w:top w:val="single" w:sz="4" w:space="0" w:color="auto"/>
            </w:tcBorders>
          </w:tcPr>
          <w:p w14:paraId="0795FC7E"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20041796" w14:textId="77777777" w:rsidR="00183A1F" w:rsidRDefault="00183A1F" w:rsidP="008D2D99">
            <w:pPr>
              <w:pStyle w:val="ARtabletextrightbold"/>
            </w:pPr>
            <w:r>
              <w:t>5</w:t>
            </w:r>
          </w:p>
        </w:tc>
        <w:tc>
          <w:tcPr>
            <w:tcW w:w="851" w:type="dxa"/>
            <w:tcBorders>
              <w:left w:val="single" w:sz="4" w:space="0" w:color="auto"/>
            </w:tcBorders>
          </w:tcPr>
          <w:p w14:paraId="5809969B" w14:textId="77777777" w:rsidR="00183A1F" w:rsidRDefault="00183A1F" w:rsidP="00183A1F">
            <w:pPr>
              <w:pStyle w:val="ARtabletextright"/>
            </w:pPr>
            <w:r>
              <w:t>2</w:t>
            </w:r>
          </w:p>
        </w:tc>
        <w:tc>
          <w:tcPr>
            <w:tcW w:w="851" w:type="dxa"/>
          </w:tcPr>
          <w:p w14:paraId="02E38C3B" w14:textId="77777777" w:rsidR="00183A1F" w:rsidRDefault="00183A1F" w:rsidP="00183A1F">
            <w:pPr>
              <w:pStyle w:val="ARtabletextright"/>
            </w:pPr>
            <w:r>
              <w:t>2</w:t>
            </w:r>
          </w:p>
        </w:tc>
        <w:tc>
          <w:tcPr>
            <w:tcW w:w="1021" w:type="dxa"/>
            <w:tcBorders>
              <w:top w:val="single" w:sz="4" w:space="0" w:color="auto"/>
            </w:tcBorders>
          </w:tcPr>
          <w:p w14:paraId="6E8777B1"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5E07AD59" w14:textId="77777777" w:rsidR="00183A1F" w:rsidRDefault="00183A1F" w:rsidP="008D2D99">
            <w:pPr>
              <w:pStyle w:val="ARtabletextrightbold"/>
            </w:pPr>
            <w:r>
              <w:t>4</w:t>
            </w:r>
          </w:p>
        </w:tc>
        <w:tc>
          <w:tcPr>
            <w:tcW w:w="851" w:type="dxa"/>
            <w:tcBorders>
              <w:left w:val="single" w:sz="4" w:space="0" w:color="auto"/>
            </w:tcBorders>
          </w:tcPr>
          <w:p w14:paraId="67921D66" w14:textId="77777777" w:rsidR="00183A1F" w:rsidRDefault="00183A1F" w:rsidP="00183A1F">
            <w:pPr>
              <w:pStyle w:val="ARtabletextright"/>
            </w:pPr>
            <w:r>
              <w:t>0</w:t>
            </w:r>
          </w:p>
        </w:tc>
        <w:tc>
          <w:tcPr>
            <w:tcW w:w="851" w:type="dxa"/>
          </w:tcPr>
          <w:p w14:paraId="6B7ECBBC" w14:textId="77777777" w:rsidR="00183A1F" w:rsidRDefault="00183A1F" w:rsidP="00183A1F">
            <w:pPr>
              <w:pStyle w:val="ARtabletextright"/>
            </w:pPr>
            <w:r>
              <w:t>1</w:t>
            </w:r>
          </w:p>
        </w:tc>
        <w:tc>
          <w:tcPr>
            <w:tcW w:w="1021" w:type="dxa"/>
          </w:tcPr>
          <w:p w14:paraId="7A5AEAE6" w14:textId="77777777" w:rsidR="00183A1F" w:rsidRDefault="00183A1F" w:rsidP="00183A1F">
            <w:pPr>
              <w:pStyle w:val="ARtabletextright"/>
            </w:pPr>
            <w:r>
              <w:t>0</w:t>
            </w:r>
          </w:p>
        </w:tc>
        <w:tc>
          <w:tcPr>
            <w:tcW w:w="851" w:type="dxa"/>
          </w:tcPr>
          <w:p w14:paraId="0CF26049" w14:textId="77777777" w:rsidR="00183A1F" w:rsidRDefault="00183A1F" w:rsidP="008D2D99">
            <w:pPr>
              <w:pStyle w:val="ARtabletextrightbold"/>
            </w:pPr>
            <w:r>
              <w:t>1</w:t>
            </w:r>
          </w:p>
        </w:tc>
      </w:tr>
      <w:tr w:rsidR="00183A1F" w14:paraId="435EA3D4" w14:textId="77777777" w:rsidTr="008D2D99">
        <w:trPr>
          <w:cantSplit w:val="0"/>
          <w:trHeight w:val="290"/>
        </w:trPr>
        <w:tc>
          <w:tcPr>
            <w:tcW w:w="3289" w:type="dxa"/>
          </w:tcPr>
          <w:p w14:paraId="30569D3E" w14:textId="77777777" w:rsidR="00183A1F" w:rsidRDefault="00183A1F" w:rsidP="00183A1F">
            <w:pPr>
              <w:pStyle w:val="ARtabletext"/>
            </w:pPr>
            <w:r>
              <w:t>Southern Metropolitan Cemeteries Trust</w:t>
            </w:r>
          </w:p>
        </w:tc>
        <w:tc>
          <w:tcPr>
            <w:tcW w:w="851" w:type="dxa"/>
          </w:tcPr>
          <w:p w14:paraId="05DB1158" w14:textId="77777777" w:rsidR="00183A1F" w:rsidRDefault="00183A1F" w:rsidP="00183A1F">
            <w:pPr>
              <w:pStyle w:val="ARtabletextright"/>
            </w:pPr>
            <w:r>
              <w:t>5</w:t>
            </w:r>
          </w:p>
        </w:tc>
        <w:tc>
          <w:tcPr>
            <w:tcW w:w="851" w:type="dxa"/>
          </w:tcPr>
          <w:p w14:paraId="40350AD3" w14:textId="77777777" w:rsidR="00183A1F" w:rsidRDefault="00183A1F" w:rsidP="00183A1F">
            <w:pPr>
              <w:pStyle w:val="ARtabletextright"/>
            </w:pPr>
            <w:r>
              <w:t>1</w:t>
            </w:r>
          </w:p>
        </w:tc>
        <w:tc>
          <w:tcPr>
            <w:tcW w:w="1021" w:type="dxa"/>
            <w:tcBorders>
              <w:top w:val="single" w:sz="4" w:space="0" w:color="auto"/>
            </w:tcBorders>
          </w:tcPr>
          <w:p w14:paraId="4DED20C9"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1D0F9A96" w14:textId="77777777" w:rsidR="00183A1F" w:rsidRDefault="00183A1F" w:rsidP="008D2D99">
            <w:pPr>
              <w:pStyle w:val="ARtabletextrightbold"/>
            </w:pPr>
            <w:r>
              <w:t>6</w:t>
            </w:r>
          </w:p>
        </w:tc>
        <w:tc>
          <w:tcPr>
            <w:tcW w:w="851" w:type="dxa"/>
            <w:tcBorders>
              <w:left w:val="single" w:sz="4" w:space="0" w:color="auto"/>
            </w:tcBorders>
          </w:tcPr>
          <w:p w14:paraId="7AAA1E9E" w14:textId="77777777" w:rsidR="00183A1F" w:rsidRDefault="00183A1F" w:rsidP="00183A1F">
            <w:pPr>
              <w:pStyle w:val="ARtabletextright"/>
            </w:pPr>
            <w:r>
              <w:t>5</w:t>
            </w:r>
          </w:p>
        </w:tc>
        <w:tc>
          <w:tcPr>
            <w:tcW w:w="851" w:type="dxa"/>
          </w:tcPr>
          <w:p w14:paraId="6B658117" w14:textId="77777777" w:rsidR="00183A1F" w:rsidRDefault="00183A1F" w:rsidP="00183A1F">
            <w:pPr>
              <w:pStyle w:val="ARtabletextright"/>
            </w:pPr>
            <w:r>
              <w:t>0</w:t>
            </w:r>
          </w:p>
        </w:tc>
        <w:tc>
          <w:tcPr>
            <w:tcW w:w="1021" w:type="dxa"/>
            <w:tcBorders>
              <w:top w:val="single" w:sz="4" w:space="0" w:color="auto"/>
            </w:tcBorders>
          </w:tcPr>
          <w:p w14:paraId="30164C90"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6283F7DE" w14:textId="77777777" w:rsidR="00183A1F" w:rsidRDefault="00183A1F" w:rsidP="008D2D99">
            <w:pPr>
              <w:pStyle w:val="ARtabletextrightbold"/>
            </w:pPr>
            <w:r>
              <w:t>5</w:t>
            </w:r>
          </w:p>
        </w:tc>
        <w:tc>
          <w:tcPr>
            <w:tcW w:w="851" w:type="dxa"/>
            <w:tcBorders>
              <w:left w:val="single" w:sz="4" w:space="0" w:color="auto"/>
            </w:tcBorders>
          </w:tcPr>
          <w:p w14:paraId="7BC8EB64" w14:textId="77777777" w:rsidR="00183A1F" w:rsidRDefault="00183A1F" w:rsidP="00183A1F">
            <w:pPr>
              <w:pStyle w:val="ARtabletextright"/>
            </w:pPr>
            <w:r>
              <w:t>0</w:t>
            </w:r>
          </w:p>
        </w:tc>
        <w:tc>
          <w:tcPr>
            <w:tcW w:w="851" w:type="dxa"/>
          </w:tcPr>
          <w:p w14:paraId="65FB632C" w14:textId="77777777" w:rsidR="00183A1F" w:rsidRDefault="00183A1F" w:rsidP="00183A1F">
            <w:pPr>
              <w:pStyle w:val="ARtabletextright"/>
            </w:pPr>
            <w:r>
              <w:t>1</w:t>
            </w:r>
          </w:p>
        </w:tc>
        <w:tc>
          <w:tcPr>
            <w:tcW w:w="1021" w:type="dxa"/>
          </w:tcPr>
          <w:p w14:paraId="781874F5" w14:textId="77777777" w:rsidR="00183A1F" w:rsidRDefault="00183A1F" w:rsidP="00183A1F">
            <w:pPr>
              <w:pStyle w:val="ARtabletextright"/>
            </w:pPr>
            <w:r>
              <w:t>0</w:t>
            </w:r>
          </w:p>
        </w:tc>
        <w:tc>
          <w:tcPr>
            <w:tcW w:w="851" w:type="dxa"/>
          </w:tcPr>
          <w:p w14:paraId="5D4BE35F" w14:textId="77777777" w:rsidR="00183A1F" w:rsidRDefault="00183A1F" w:rsidP="008D2D99">
            <w:pPr>
              <w:pStyle w:val="ARtabletextrightbold"/>
            </w:pPr>
            <w:r>
              <w:t>1</w:t>
            </w:r>
          </w:p>
        </w:tc>
      </w:tr>
      <w:tr w:rsidR="00183A1F" w14:paraId="76B94454" w14:textId="77777777" w:rsidTr="008D2D99">
        <w:trPr>
          <w:cantSplit w:val="0"/>
          <w:trHeight w:val="290"/>
        </w:trPr>
        <w:tc>
          <w:tcPr>
            <w:tcW w:w="3289" w:type="dxa"/>
          </w:tcPr>
          <w:p w14:paraId="20BFE092" w14:textId="77777777" w:rsidR="00183A1F" w:rsidRDefault="00183A1F" w:rsidP="00183A1F">
            <w:pPr>
              <w:pStyle w:val="ARtabletext"/>
            </w:pPr>
            <w:r>
              <w:t>Stawell Regional Health</w:t>
            </w:r>
          </w:p>
        </w:tc>
        <w:tc>
          <w:tcPr>
            <w:tcW w:w="851" w:type="dxa"/>
          </w:tcPr>
          <w:p w14:paraId="7C1711BC" w14:textId="77777777" w:rsidR="00183A1F" w:rsidRDefault="00183A1F" w:rsidP="00183A1F">
            <w:pPr>
              <w:pStyle w:val="ARtabletextright"/>
            </w:pPr>
            <w:r>
              <w:t>1</w:t>
            </w:r>
          </w:p>
        </w:tc>
        <w:tc>
          <w:tcPr>
            <w:tcW w:w="851" w:type="dxa"/>
          </w:tcPr>
          <w:p w14:paraId="1C104B31" w14:textId="77777777" w:rsidR="00183A1F" w:rsidRDefault="00183A1F" w:rsidP="00183A1F">
            <w:pPr>
              <w:pStyle w:val="ARtabletextright"/>
            </w:pPr>
            <w:r>
              <w:t>0</w:t>
            </w:r>
          </w:p>
        </w:tc>
        <w:tc>
          <w:tcPr>
            <w:tcW w:w="1021" w:type="dxa"/>
            <w:tcBorders>
              <w:top w:val="single" w:sz="4" w:space="0" w:color="auto"/>
            </w:tcBorders>
          </w:tcPr>
          <w:p w14:paraId="38214DE0"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70B55141" w14:textId="77777777" w:rsidR="00183A1F" w:rsidRDefault="00183A1F" w:rsidP="008D2D99">
            <w:pPr>
              <w:pStyle w:val="ARtabletextrightbold"/>
            </w:pPr>
            <w:r>
              <w:t>1</w:t>
            </w:r>
          </w:p>
        </w:tc>
        <w:tc>
          <w:tcPr>
            <w:tcW w:w="851" w:type="dxa"/>
            <w:tcBorders>
              <w:left w:val="single" w:sz="4" w:space="0" w:color="auto"/>
            </w:tcBorders>
          </w:tcPr>
          <w:p w14:paraId="76FB245E" w14:textId="77777777" w:rsidR="00183A1F" w:rsidRDefault="00183A1F" w:rsidP="00183A1F">
            <w:pPr>
              <w:pStyle w:val="ARtabletextright"/>
            </w:pPr>
            <w:r>
              <w:t>1</w:t>
            </w:r>
          </w:p>
        </w:tc>
        <w:tc>
          <w:tcPr>
            <w:tcW w:w="851" w:type="dxa"/>
          </w:tcPr>
          <w:p w14:paraId="1BAF30CC" w14:textId="77777777" w:rsidR="00183A1F" w:rsidRDefault="00183A1F" w:rsidP="00183A1F">
            <w:pPr>
              <w:pStyle w:val="ARtabletextright"/>
            </w:pPr>
            <w:r>
              <w:t>0</w:t>
            </w:r>
          </w:p>
        </w:tc>
        <w:tc>
          <w:tcPr>
            <w:tcW w:w="1021" w:type="dxa"/>
            <w:tcBorders>
              <w:top w:val="single" w:sz="4" w:space="0" w:color="auto"/>
            </w:tcBorders>
          </w:tcPr>
          <w:p w14:paraId="2AEFC552"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4B71B201" w14:textId="77777777" w:rsidR="00183A1F" w:rsidRDefault="00183A1F" w:rsidP="008D2D99">
            <w:pPr>
              <w:pStyle w:val="ARtabletextrightbold"/>
            </w:pPr>
            <w:r>
              <w:t>1</w:t>
            </w:r>
          </w:p>
        </w:tc>
        <w:tc>
          <w:tcPr>
            <w:tcW w:w="851" w:type="dxa"/>
            <w:tcBorders>
              <w:left w:val="single" w:sz="4" w:space="0" w:color="auto"/>
            </w:tcBorders>
          </w:tcPr>
          <w:p w14:paraId="63C6BAAF" w14:textId="77777777" w:rsidR="00183A1F" w:rsidRDefault="00183A1F" w:rsidP="00183A1F">
            <w:pPr>
              <w:pStyle w:val="ARtabletextright"/>
            </w:pPr>
            <w:r>
              <w:t>0</w:t>
            </w:r>
          </w:p>
        </w:tc>
        <w:tc>
          <w:tcPr>
            <w:tcW w:w="851" w:type="dxa"/>
          </w:tcPr>
          <w:p w14:paraId="59F4C21C" w14:textId="77777777" w:rsidR="00183A1F" w:rsidRDefault="00183A1F" w:rsidP="00183A1F">
            <w:pPr>
              <w:pStyle w:val="ARtabletextright"/>
            </w:pPr>
            <w:r>
              <w:t>0</w:t>
            </w:r>
          </w:p>
        </w:tc>
        <w:tc>
          <w:tcPr>
            <w:tcW w:w="1021" w:type="dxa"/>
          </w:tcPr>
          <w:p w14:paraId="1DC793A6" w14:textId="77777777" w:rsidR="00183A1F" w:rsidRDefault="00183A1F" w:rsidP="00183A1F">
            <w:pPr>
              <w:pStyle w:val="ARtabletextright"/>
            </w:pPr>
            <w:r>
              <w:t>0</w:t>
            </w:r>
          </w:p>
        </w:tc>
        <w:tc>
          <w:tcPr>
            <w:tcW w:w="851" w:type="dxa"/>
          </w:tcPr>
          <w:p w14:paraId="0C781B3A" w14:textId="77777777" w:rsidR="00183A1F" w:rsidRDefault="00183A1F" w:rsidP="008D2D99">
            <w:pPr>
              <w:pStyle w:val="ARtabletextrightbold"/>
            </w:pPr>
            <w:r>
              <w:t>0</w:t>
            </w:r>
          </w:p>
        </w:tc>
      </w:tr>
      <w:tr w:rsidR="00183A1F" w14:paraId="1E2831F0" w14:textId="77777777" w:rsidTr="008D2D99">
        <w:trPr>
          <w:cantSplit w:val="0"/>
          <w:trHeight w:val="290"/>
        </w:trPr>
        <w:tc>
          <w:tcPr>
            <w:tcW w:w="3289" w:type="dxa"/>
          </w:tcPr>
          <w:p w14:paraId="3C7F3690" w14:textId="77777777" w:rsidR="00183A1F" w:rsidRDefault="00183A1F" w:rsidP="00183A1F">
            <w:pPr>
              <w:pStyle w:val="ARtabletext"/>
            </w:pPr>
            <w:r>
              <w:t>Swan Hill District Health</w:t>
            </w:r>
          </w:p>
        </w:tc>
        <w:tc>
          <w:tcPr>
            <w:tcW w:w="851" w:type="dxa"/>
          </w:tcPr>
          <w:p w14:paraId="775D0973" w14:textId="77777777" w:rsidR="00183A1F" w:rsidRDefault="00183A1F" w:rsidP="00183A1F">
            <w:pPr>
              <w:pStyle w:val="ARtabletextright"/>
            </w:pPr>
            <w:r>
              <w:t>1</w:t>
            </w:r>
          </w:p>
        </w:tc>
        <w:tc>
          <w:tcPr>
            <w:tcW w:w="851" w:type="dxa"/>
          </w:tcPr>
          <w:p w14:paraId="47408A7F" w14:textId="77777777" w:rsidR="00183A1F" w:rsidRDefault="00183A1F" w:rsidP="00183A1F">
            <w:pPr>
              <w:pStyle w:val="ARtabletextright"/>
            </w:pPr>
            <w:r>
              <w:t>2</w:t>
            </w:r>
          </w:p>
        </w:tc>
        <w:tc>
          <w:tcPr>
            <w:tcW w:w="1021" w:type="dxa"/>
            <w:tcBorders>
              <w:top w:val="single" w:sz="4" w:space="0" w:color="auto"/>
            </w:tcBorders>
          </w:tcPr>
          <w:p w14:paraId="120DFE96"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3DEC68CE" w14:textId="77777777" w:rsidR="00183A1F" w:rsidRDefault="00183A1F" w:rsidP="008D2D99">
            <w:pPr>
              <w:pStyle w:val="ARtabletextrightbold"/>
            </w:pPr>
            <w:r>
              <w:t>3</w:t>
            </w:r>
          </w:p>
        </w:tc>
        <w:tc>
          <w:tcPr>
            <w:tcW w:w="851" w:type="dxa"/>
            <w:tcBorders>
              <w:left w:val="single" w:sz="4" w:space="0" w:color="auto"/>
            </w:tcBorders>
          </w:tcPr>
          <w:p w14:paraId="317D7609" w14:textId="77777777" w:rsidR="00183A1F" w:rsidRDefault="00183A1F" w:rsidP="00183A1F">
            <w:pPr>
              <w:pStyle w:val="ARtabletextright"/>
            </w:pPr>
            <w:r>
              <w:t>0</w:t>
            </w:r>
          </w:p>
        </w:tc>
        <w:tc>
          <w:tcPr>
            <w:tcW w:w="851" w:type="dxa"/>
          </w:tcPr>
          <w:p w14:paraId="352610E2" w14:textId="77777777" w:rsidR="00183A1F" w:rsidRDefault="00183A1F" w:rsidP="00183A1F">
            <w:pPr>
              <w:pStyle w:val="ARtabletextright"/>
            </w:pPr>
            <w:r>
              <w:t>2</w:t>
            </w:r>
          </w:p>
        </w:tc>
        <w:tc>
          <w:tcPr>
            <w:tcW w:w="1021" w:type="dxa"/>
            <w:tcBorders>
              <w:top w:val="single" w:sz="4" w:space="0" w:color="auto"/>
            </w:tcBorders>
          </w:tcPr>
          <w:p w14:paraId="1062913C"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306A6A30" w14:textId="77777777" w:rsidR="00183A1F" w:rsidRDefault="00183A1F" w:rsidP="008D2D99">
            <w:pPr>
              <w:pStyle w:val="ARtabletextrightbold"/>
            </w:pPr>
            <w:r>
              <w:t>2</w:t>
            </w:r>
          </w:p>
        </w:tc>
        <w:tc>
          <w:tcPr>
            <w:tcW w:w="851" w:type="dxa"/>
            <w:tcBorders>
              <w:left w:val="single" w:sz="4" w:space="0" w:color="auto"/>
            </w:tcBorders>
          </w:tcPr>
          <w:p w14:paraId="7D788089" w14:textId="77777777" w:rsidR="00183A1F" w:rsidRDefault="00183A1F" w:rsidP="00183A1F">
            <w:pPr>
              <w:pStyle w:val="ARtabletextright"/>
            </w:pPr>
            <w:r>
              <w:t>1</w:t>
            </w:r>
          </w:p>
        </w:tc>
        <w:tc>
          <w:tcPr>
            <w:tcW w:w="851" w:type="dxa"/>
          </w:tcPr>
          <w:p w14:paraId="12E80474" w14:textId="77777777" w:rsidR="00183A1F" w:rsidRDefault="00183A1F" w:rsidP="00183A1F">
            <w:pPr>
              <w:pStyle w:val="ARtabletextright"/>
            </w:pPr>
            <w:r>
              <w:t>0</w:t>
            </w:r>
          </w:p>
        </w:tc>
        <w:tc>
          <w:tcPr>
            <w:tcW w:w="1021" w:type="dxa"/>
          </w:tcPr>
          <w:p w14:paraId="69FF9334" w14:textId="77777777" w:rsidR="00183A1F" w:rsidRDefault="00183A1F" w:rsidP="00183A1F">
            <w:pPr>
              <w:pStyle w:val="ARtabletextright"/>
            </w:pPr>
            <w:r>
              <w:t>0</w:t>
            </w:r>
          </w:p>
        </w:tc>
        <w:tc>
          <w:tcPr>
            <w:tcW w:w="851" w:type="dxa"/>
          </w:tcPr>
          <w:p w14:paraId="0CBF3385" w14:textId="77777777" w:rsidR="00183A1F" w:rsidRDefault="00183A1F" w:rsidP="008D2D99">
            <w:pPr>
              <w:pStyle w:val="ARtabletextrightbold"/>
            </w:pPr>
            <w:r>
              <w:t>1</w:t>
            </w:r>
          </w:p>
        </w:tc>
      </w:tr>
      <w:tr w:rsidR="00183A1F" w14:paraId="6267A685" w14:textId="77777777" w:rsidTr="008D2D99">
        <w:trPr>
          <w:cantSplit w:val="0"/>
          <w:trHeight w:val="290"/>
        </w:trPr>
        <w:tc>
          <w:tcPr>
            <w:tcW w:w="3289" w:type="dxa"/>
          </w:tcPr>
          <w:p w14:paraId="071075A5" w14:textId="77777777" w:rsidR="00183A1F" w:rsidRDefault="00183A1F" w:rsidP="00183A1F">
            <w:pPr>
              <w:pStyle w:val="ARtabletext"/>
            </w:pPr>
            <w:r>
              <w:t>Tallangatta Health Service</w:t>
            </w:r>
          </w:p>
        </w:tc>
        <w:tc>
          <w:tcPr>
            <w:tcW w:w="851" w:type="dxa"/>
          </w:tcPr>
          <w:p w14:paraId="1D7DE9ED" w14:textId="77777777" w:rsidR="00183A1F" w:rsidRDefault="00183A1F" w:rsidP="00183A1F">
            <w:pPr>
              <w:pStyle w:val="ARtabletextright"/>
            </w:pPr>
            <w:r>
              <w:t>1</w:t>
            </w:r>
          </w:p>
        </w:tc>
        <w:tc>
          <w:tcPr>
            <w:tcW w:w="851" w:type="dxa"/>
          </w:tcPr>
          <w:p w14:paraId="0283D84E" w14:textId="77777777" w:rsidR="00183A1F" w:rsidRDefault="00183A1F" w:rsidP="00183A1F">
            <w:pPr>
              <w:pStyle w:val="ARtabletextright"/>
            </w:pPr>
            <w:r>
              <w:t>0</w:t>
            </w:r>
          </w:p>
        </w:tc>
        <w:tc>
          <w:tcPr>
            <w:tcW w:w="1021" w:type="dxa"/>
            <w:tcBorders>
              <w:top w:val="single" w:sz="4" w:space="0" w:color="auto"/>
            </w:tcBorders>
          </w:tcPr>
          <w:p w14:paraId="170DEC73"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0C34AF88" w14:textId="77777777" w:rsidR="00183A1F" w:rsidRDefault="00183A1F" w:rsidP="008D2D99">
            <w:pPr>
              <w:pStyle w:val="ARtabletextrightbold"/>
            </w:pPr>
            <w:r>
              <w:t>1</w:t>
            </w:r>
          </w:p>
        </w:tc>
        <w:tc>
          <w:tcPr>
            <w:tcW w:w="851" w:type="dxa"/>
            <w:tcBorders>
              <w:left w:val="single" w:sz="4" w:space="0" w:color="auto"/>
            </w:tcBorders>
          </w:tcPr>
          <w:p w14:paraId="5C3E9DEA" w14:textId="77777777" w:rsidR="00183A1F" w:rsidRDefault="00183A1F" w:rsidP="00183A1F">
            <w:pPr>
              <w:pStyle w:val="ARtabletextright"/>
            </w:pPr>
            <w:r>
              <w:t>1</w:t>
            </w:r>
          </w:p>
        </w:tc>
        <w:tc>
          <w:tcPr>
            <w:tcW w:w="851" w:type="dxa"/>
          </w:tcPr>
          <w:p w14:paraId="693D0BF9" w14:textId="77777777" w:rsidR="00183A1F" w:rsidRDefault="00183A1F" w:rsidP="00183A1F">
            <w:pPr>
              <w:pStyle w:val="ARtabletextright"/>
            </w:pPr>
            <w:r>
              <w:t>0</w:t>
            </w:r>
          </w:p>
        </w:tc>
        <w:tc>
          <w:tcPr>
            <w:tcW w:w="1021" w:type="dxa"/>
            <w:tcBorders>
              <w:top w:val="single" w:sz="4" w:space="0" w:color="auto"/>
            </w:tcBorders>
          </w:tcPr>
          <w:p w14:paraId="660133DC"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572F680C" w14:textId="77777777" w:rsidR="00183A1F" w:rsidRDefault="00183A1F" w:rsidP="008D2D99">
            <w:pPr>
              <w:pStyle w:val="ARtabletextrightbold"/>
            </w:pPr>
            <w:r>
              <w:t>1</w:t>
            </w:r>
          </w:p>
        </w:tc>
        <w:tc>
          <w:tcPr>
            <w:tcW w:w="851" w:type="dxa"/>
            <w:tcBorders>
              <w:left w:val="single" w:sz="4" w:space="0" w:color="auto"/>
            </w:tcBorders>
          </w:tcPr>
          <w:p w14:paraId="50B76821" w14:textId="77777777" w:rsidR="00183A1F" w:rsidRDefault="00183A1F" w:rsidP="00183A1F">
            <w:pPr>
              <w:pStyle w:val="ARtabletextright"/>
            </w:pPr>
            <w:r>
              <w:t>0</w:t>
            </w:r>
          </w:p>
        </w:tc>
        <w:tc>
          <w:tcPr>
            <w:tcW w:w="851" w:type="dxa"/>
          </w:tcPr>
          <w:p w14:paraId="272296AD" w14:textId="77777777" w:rsidR="00183A1F" w:rsidRDefault="00183A1F" w:rsidP="00183A1F">
            <w:pPr>
              <w:pStyle w:val="ARtabletextright"/>
            </w:pPr>
            <w:r>
              <w:t>0</w:t>
            </w:r>
          </w:p>
        </w:tc>
        <w:tc>
          <w:tcPr>
            <w:tcW w:w="1021" w:type="dxa"/>
          </w:tcPr>
          <w:p w14:paraId="74FB38C5" w14:textId="77777777" w:rsidR="00183A1F" w:rsidRDefault="00183A1F" w:rsidP="00183A1F">
            <w:pPr>
              <w:pStyle w:val="ARtabletextright"/>
            </w:pPr>
            <w:r>
              <w:t>0</w:t>
            </w:r>
          </w:p>
        </w:tc>
        <w:tc>
          <w:tcPr>
            <w:tcW w:w="851" w:type="dxa"/>
          </w:tcPr>
          <w:p w14:paraId="64BDDA2C" w14:textId="77777777" w:rsidR="00183A1F" w:rsidRDefault="00183A1F" w:rsidP="008D2D99">
            <w:pPr>
              <w:pStyle w:val="ARtabletextrightbold"/>
            </w:pPr>
            <w:r>
              <w:t>0</w:t>
            </w:r>
          </w:p>
        </w:tc>
      </w:tr>
      <w:tr w:rsidR="00183A1F" w14:paraId="2AE997A6" w14:textId="77777777" w:rsidTr="008D2D99">
        <w:trPr>
          <w:cantSplit w:val="0"/>
          <w:trHeight w:val="290"/>
        </w:trPr>
        <w:tc>
          <w:tcPr>
            <w:tcW w:w="3289" w:type="dxa"/>
          </w:tcPr>
          <w:p w14:paraId="3D6C22AB" w14:textId="77777777" w:rsidR="00183A1F" w:rsidRDefault="00183A1F" w:rsidP="00183A1F">
            <w:pPr>
              <w:pStyle w:val="ARtabletext"/>
            </w:pPr>
            <w:r>
              <w:t>Terang and Mortlake Health Service</w:t>
            </w:r>
          </w:p>
        </w:tc>
        <w:tc>
          <w:tcPr>
            <w:tcW w:w="851" w:type="dxa"/>
          </w:tcPr>
          <w:p w14:paraId="787AD89A" w14:textId="77777777" w:rsidR="00183A1F" w:rsidRDefault="00183A1F" w:rsidP="00183A1F">
            <w:pPr>
              <w:pStyle w:val="ARtabletextright"/>
            </w:pPr>
            <w:r>
              <w:t>1</w:t>
            </w:r>
          </w:p>
        </w:tc>
        <w:tc>
          <w:tcPr>
            <w:tcW w:w="851" w:type="dxa"/>
          </w:tcPr>
          <w:p w14:paraId="1BD48E06" w14:textId="77777777" w:rsidR="00183A1F" w:rsidRDefault="00183A1F" w:rsidP="00183A1F">
            <w:pPr>
              <w:pStyle w:val="ARtabletextright"/>
            </w:pPr>
            <w:r>
              <w:t>0</w:t>
            </w:r>
          </w:p>
        </w:tc>
        <w:tc>
          <w:tcPr>
            <w:tcW w:w="1021" w:type="dxa"/>
            <w:tcBorders>
              <w:top w:val="single" w:sz="4" w:space="0" w:color="auto"/>
            </w:tcBorders>
          </w:tcPr>
          <w:p w14:paraId="44593C3E"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2E68FBFA" w14:textId="77777777" w:rsidR="00183A1F" w:rsidRDefault="00183A1F" w:rsidP="008D2D99">
            <w:pPr>
              <w:pStyle w:val="ARtabletextrightbold"/>
            </w:pPr>
            <w:r>
              <w:t>1</w:t>
            </w:r>
          </w:p>
        </w:tc>
        <w:tc>
          <w:tcPr>
            <w:tcW w:w="851" w:type="dxa"/>
            <w:tcBorders>
              <w:left w:val="single" w:sz="4" w:space="0" w:color="auto"/>
            </w:tcBorders>
          </w:tcPr>
          <w:p w14:paraId="0C977D6A" w14:textId="77777777" w:rsidR="00183A1F" w:rsidRDefault="00183A1F" w:rsidP="00183A1F">
            <w:pPr>
              <w:pStyle w:val="ARtabletextright"/>
            </w:pPr>
            <w:r>
              <w:t>1</w:t>
            </w:r>
          </w:p>
        </w:tc>
        <w:tc>
          <w:tcPr>
            <w:tcW w:w="851" w:type="dxa"/>
          </w:tcPr>
          <w:p w14:paraId="2AB30BF3" w14:textId="77777777" w:rsidR="00183A1F" w:rsidRDefault="00183A1F" w:rsidP="00183A1F">
            <w:pPr>
              <w:pStyle w:val="ARtabletextright"/>
            </w:pPr>
            <w:r>
              <w:t>0</w:t>
            </w:r>
          </w:p>
        </w:tc>
        <w:tc>
          <w:tcPr>
            <w:tcW w:w="1021" w:type="dxa"/>
            <w:tcBorders>
              <w:top w:val="single" w:sz="4" w:space="0" w:color="auto"/>
            </w:tcBorders>
          </w:tcPr>
          <w:p w14:paraId="31DE24D9"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32385BD2" w14:textId="77777777" w:rsidR="00183A1F" w:rsidRDefault="00183A1F" w:rsidP="008D2D99">
            <w:pPr>
              <w:pStyle w:val="ARtabletextrightbold"/>
            </w:pPr>
            <w:r>
              <w:t>1</w:t>
            </w:r>
          </w:p>
        </w:tc>
        <w:tc>
          <w:tcPr>
            <w:tcW w:w="851" w:type="dxa"/>
            <w:tcBorders>
              <w:left w:val="single" w:sz="4" w:space="0" w:color="auto"/>
            </w:tcBorders>
          </w:tcPr>
          <w:p w14:paraId="3727499A" w14:textId="77777777" w:rsidR="00183A1F" w:rsidRDefault="00183A1F" w:rsidP="00183A1F">
            <w:pPr>
              <w:pStyle w:val="ARtabletextright"/>
            </w:pPr>
            <w:r>
              <w:t>0</w:t>
            </w:r>
          </w:p>
        </w:tc>
        <w:tc>
          <w:tcPr>
            <w:tcW w:w="851" w:type="dxa"/>
          </w:tcPr>
          <w:p w14:paraId="793F6944" w14:textId="77777777" w:rsidR="00183A1F" w:rsidRDefault="00183A1F" w:rsidP="00183A1F">
            <w:pPr>
              <w:pStyle w:val="ARtabletextright"/>
            </w:pPr>
            <w:r>
              <w:t>0</w:t>
            </w:r>
          </w:p>
        </w:tc>
        <w:tc>
          <w:tcPr>
            <w:tcW w:w="1021" w:type="dxa"/>
          </w:tcPr>
          <w:p w14:paraId="10B64B1E" w14:textId="77777777" w:rsidR="00183A1F" w:rsidRDefault="00183A1F" w:rsidP="00183A1F">
            <w:pPr>
              <w:pStyle w:val="ARtabletextright"/>
            </w:pPr>
            <w:r>
              <w:t>0</w:t>
            </w:r>
          </w:p>
        </w:tc>
        <w:tc>
          <w:tcPr>
            <w:tcW w:w="851" w:type="dxa"/>
          </w:tcPr>
          <w:p w14:paraId="3C6C89A7" w14:textId="77777777" w:rsidR="00183A1F" w:rsidRDefault="00183A1F" w:rsidP="008D2D99">
            <w:pPr>
              <w:pStyle w:val="ARtabletextrightbold"/>
            </w:pPr>
            <w:r>
              <w:t>0</w:t>
            </w:r>
          </w:p>
        </w:tc>
      </w:tr>
      <w:tr w:rsidR="00183A1F" w14:paraId="0261097A" w14:textId="77777777" w:rsidTr="008D2D99">
        <w:trPr>
          <w:cantSplit w:val="0"/>
          <w:trHeight w:val="290"/>
        </w:trPr>
        <w:tc>
          <w:tcPr>
            <w:tcW w:w="3289" w:type="dxa"/>
          </w:tcPr>
          <w:p w14:paraId="5E6B75D2" w14:textId="77777777" w:rsidR="00183A1F" w:rsidRDefault="00183A1F" w:rsidP="00183A1F">
            <w:pPr>
              <w:pStyle w:val="ARtabletext"/>
            </w:pPr>
            <w:r>
              <w:t>Timboon and District Healthcare Service</w:t>
            </w:r>
          </w:p>
        </w:tc>
        <w:tc>
          <w:tcPr>
            <w:tcW w:w="851" w:type="dxa"/>
          </w:tcPr>
          <w:p w14:paraId="5B93F42C" w14:textId="77777777" w:rsidR="00183A1F" w:rsidRDefault="00183A1F" w:rsidP="00183A1F">
            <w:pPr>
              <w:pStyle w:val="ARtabletextright"/>
            </w:pPr>
            <w:r>
              <w:t>1</w:t>
            </w:r>
          </w:p>
        </w:tc>
        <w:tc>
          <w:tcPr>
            <w:tcW w:w="851" w:type="dxa"/>
          </w:tcPr>
          <w:p w14:paraId="560B11A0" w14:textId="77777777" w:rsidR="00183A1F" w:rsidRDefault="00183A1F" w:rsidP="00183A1F">
            <w:pPr>
              <w:pStyle w:val="ARtabletextright"/>
            </w:pPr>
            <w:r>
              <w:t>0</w:t>
            </w:r>
          </w:p>
        </w:tc>
        <w:tc>
          <w:tcPr>
            <w:tcW w:w="1021" w:type="dxa"/>
            <w:tcBorders>
              <w:top w:val="single" w:sz="4" w:space="0" w:color="auto"/>
            </w:tcBorders>
          </w:tcPr>
          <w:p w14:paraId="01B01892"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5BAB4CAA" w14:textId="77777777" w:rsidR="00183A1F" w:rsidRDefault="00183A1F" w:rsidP="008D2D99">
            <w:pPr>
              <w:pStyle w:val="ARtabletextrightbold"/>
            </w:pPr>
            <w:r>
              <w:t>1</w:t>
            </w:r>
          </w:p>
        </w:tc>
        <w:tc>
          <w:tcPr>
            <w:tcW w:w="851" w:type="dxa"/>
            <w:tcBorders>
              <w:left w:val="single" w:sz="4" w:space="0" w:color="auto"/>
            </w:tcBorders>
          </w:tcPr>
          <w:p w14:paraId="55A8F55E" w14:textId="77777777" w:rsidR="00183A1F" w:rsidRDefault="00183A1F" w:rsidP="00183A1F">
            <w:pPr>
              <w:pStyle w:val="ARtabletextright"/>
            </w:pPr>
            <w:r>
              <w:t>1</w:t>
            </w:r>
          </w:p>
        </w:tc>
        <w:tc>
          <w:tcPr>
            <w:tcW w:w="851" w:type="dxa"/>
          </w:tcPr>
          <w:p w14:paraId="4DD9FF4C" w14:textId="77777777" w:rsidR="00183A1F" w:rsidRDefault="00183A1F" w:rsidP="00183A1F">
            <w:pPr>
              <w:pStyle w:val="ARtabletextright"/>
            </w:pPr>
            <w:r>
              <w:t>0</w:t>
            </w:r>
          </w:p>
        </w:tc>
        <w:tc>
          <w:tcPr>
            <w:tcW w:w="1021" w:type="dxa"/>
            <w:tcBorders>
              <w:top w:val="single" w:sz="4" w:space="0" w:color="auto"/>
            </w:tcBorders>
          </w:tcPr>
          <w:p w14:paraId="3F23F2E2"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61298DA2" w14:textId="77777777" w:rsidR="00183A1F" w:rsidRDefault="00183A1F" w:rsidP="008D2D99">
            <w:pPr>
              <w:pStyle w:val="ARtabletextrightbold"/>
            </w:pPr>
            <w:r>
              <w:t>1</w:t>
            </w:r>
          </w:p>
        </w:tc>
        <w:tc>
          <w:tcPr>
            <w:tcW w:w="851" w:type="dxa"/>
            <w:tcBorders>
              <w:left w:val="single" w:sz="4" w:space="0" w:color="auto"/>
            </w:tcBorders>
          </w:tcPr>
          <w:p w14:paraId="122B6F46" w14:textId="77777777" w:rsidR="00183A1F" w:rsidRDefault="00183A1F" w:rsidP="00183A1F">
            <w:pPr>
              <w:pStyle w:val="ARtabletextright"/>
            </w:pPr>
            <w:r>
              <w:t>0</w:t>
            </w:r>
          </w:p>
        </w:tc>
        <w:tc>
          <w:tcPr>
            <w:tcW w:w="851" w:type="dxa"/>
          </w:tcPr>
          <w:p w14:paraId="275887BB" w14:textId="77777777" w:rsidR="00183A1F" w:rsidRDefault="00183A1F" w:rsidP="00183A1F">
            <w:pPr>
              <w:pStyle w:val="ARtabletextright"/>
            </w:pPr>
            <w:r>
              <w:t>0</w:t>
            </w:r>
          </w:p>
        </w:tc>
        <w:tc>
          <w:tcPr>
            <w:tcW w:w="1021" w:type="dxa"/>
          </w:tcPr>
          <w:p w14:paraId="0A5BC65C" w14:textId="77777777" w:rsidR="00183A1F" w:rsidRDefault="00183A1F" w:rsidP="00183A1F">
            <w:pPr>
              <w:pStyle w:val="ARtabletextright"/>
            </w:pPr>
            <w:r>
              <w:t>0</w:t>
            </w:r>
          </w:p>
        </w:tc>
        <w:tc>
          <w:tcPr>
            <w:tcW w:w="851" w:type="dxa"/>
          </w:tcPr>
          <w:p w14:paraId="7DD57E73" w14:textId="77777777" w:rsidR="00183A1F" w:rsidRDefault="00183A1F" w:rsidP="008D2D99">
            <w:pPr>
              <w:pStyle w:val="ARtabletextrightbold"/>
            </w:pPr>
            <w:r>
              <w:t>0</w:t>
            </w:r>
          </w:p>
        </w:tc>
      </w:tr>
      <w:tr w:rsidR="00183A1F" w14:paraId="25F262ED" w14:textId="77777777" w:rsidTr="008D2D99">
        <w:trPr>
          <w:cantSplit w:val="0"/>
          <w:trHeight w:val="290"/>
        </w:trPr>
        <w:tc>
          <w:tcPr>
            <w:tcW w:w="3289" w:type="dxa"/>
          </w:tcPr>
          <w:p w14:paraId="5FB53EFF" w14:textId="77777777" w:rsidR="00183A1F" w:rsidRDefault="00183A1F" w:rsidP="00183A1F">
            <w:pPr>
              <w:pStyle w:val="ARtabletext"/>
            </w:pPr>
            <w:r>
              <w:t>Victorian Assisted Reproductive Treatment Authority</w:t>
            </w:r>
          </w:p>
        </w:tc>
        <w:tc>
          <w:tcPr>
            <w:tcW w:w="851" w:type="dxa"/>
          </w:tcPr>
          <w:p w14:paraId="473EA6E3" w14:textId="77777777" w:rsidR="00183A1F" w:rsidRDefault="00183A1F" w:rsidP="00183A1F">
            <w:pPr>
              <w:pStyle w:val="ARtabletextright"/>
            </w:pPr>
            <w:r>
              <w:t>1</w:t>
            </w:r>
          </w:p>
        </w:tc>
        <w:tc>
          <w:tcPr>
            <w:tcW w:w="851" w:type="dxa"/>
          </w:tcPr>
          <w:p w14:paraId="499532AC" w14:textId="77777777" w:rsidR="00183A1F" w:rsidRDefault="00183A1F" w:rsidP="00183A1F">
            <w:pPr>
              <w:pStyle w:val="ARtabletextright"/>
            </w:pPr>
            <w:r>
              <w:t>0</w:t>
            </w:r>
          </w:p>
        </w:tc>
        <w:tc>
          <w:tcPr>
            <w:tcW w:w="1021" w:type="dxa"/>
            <w:tcBorders>
              <w:top w:val="single" w:sz="4" w:space="0" w:color="auto"/>
            </w:tcBorders>
          </w:tcPr>
          <w:p w14:paraId="7BC5D303"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6F3D14D2" w14:textId="77777777" w:rsidR="00183A1F" w:rsidRDefault="00183A1F" w:rsidP="008D2D99">
            <w:pPr>
              <w:pStyle w:val="ARtabletextrightbold"/>
            </w:pPr>
            <w:r>
              <w:t>1</w:t>
            </w:r>
          </w:p>
        </w:tc>
        <w:tc>
          <w:tcPr>
            <w:tcW w:w="851" w:type="dxa"/>
            <w:tcBorders>
              <w:left w:val="single" w:sz="4" w:space="0" w:color="auto"/>
            </w:tcBorders>
          </w:tcPr>
          <w:p w14:paraId="1554AA83" w14:textId="77777777" w:rsidR="00183A1F" w:rsidRDefault="00183A1F" w:rsidP="00183A1F">
            <w:pPr>
              <w:pStyle w:val="ARtabletextright"/>
            </w:pPr>
            <w:r>
              <w:t>1</w:t>
            </w:r>
          </w:p>
        </w:tc>
        <w:tc>
          <w:tcPr>
            <w:tcW w:w="851" w:type="dxa"/>
          </w:tcPr>
          <w:p w14:paraId="6C1E1E8E" w14:textId="77777777" w:rsidR="00183A1F" w:rsidRDefault="00183A1F" w:rsidP="00183A1F">
            <w:pPr>
              <w:pStyle w:val="ARtabletextright"/>
            </w:pPr>
            <w:r>
              <w:t>0</w:t>
            </w:r>
          </w:p>
        </w:tc>
        <w:tc>
          <w:tcPr>
            <w:tcW w:w="1021" w:type="dxa"/>
            <w:tcBorders>
              <w:top w:val="single" w:sz="4" w:space="0" w:color="auto"/>
            </w:tcBorders>
          </w:tcPr>
          <w:p w14:paraId="5A872BEA"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0EAC9371" w14:textId="77777777" w:rsidR="00183A1F" w:rsidRDefault="00183A1F" w:rsidP="008D2D99">
            <w:pPr>
              <w:pStyle w:val="ARtabletextrightbold"/>
            </w:pPr>
            <w:r>
              <w:t>1</w:t>
            </w:r>
          </w:p>
        </w:tc>
        <w:tc>
          <w:tcPr>
            <w:tcW w:w="851" w:type="dxa"/>
            <w:tcBorders>
              <w:left w:val="single" w:sz="4" w:space="0" w:color="auto"/>
            </w:tcBorders>
          </w:tcPr>
          <w:p w14:paraId="0DA10AF4" w14:textId="77777777" w:rsidR="00183A1F" w:rsidRDefault="00183A1F" w:rsidP="00183A1F">
            <w:pPr>
              <w:pStyle w:val="ARtabletextright"/>
            </w:pPr>
            <w:r>
              <w:t>0</w:t>
            </w:r>
          </w:p>
        </w:tc>
        <w:tc>
          <w:tcPr>
            <w:tcW w:w="851" w:type="dxa"/>
          </w:tcPr>
          <w:p w14:paraId="762DEF41" w14:textId="77777777" w:rsidR="00183A1F" w:rsidRDefault="00183A1F" w:rsidP="00183A1F">
            <w:pPr>
              <w:pStyle w:val="ARtabletextright"/>
            </w:pPr>
            <w:r>
              <w:t>0</w:t>
            </w:r>
          </w:p>
        </w:tc>
        <w:tc>
          <w:tcPr>
            <w:tcW w:w="1021" w:type="dxa"/>
          </w:tcPr>
          <w:p w14:paraId="5B408ECB" w14:textId="77777777" w:rsidR="00183A1F" w:rsidRDefault="00183A1F" w:rsidP="00183A1F">
            <w:pPr>
              <w:pStyle w:val="ARtabletextright"/>
            </w:pPr>
            <w:r>
              <w:t>0</w:t>
            </w:r>
          </w:p>
        </w:tc>
        <w:tc>
          <w:tcPr>
            <w:tcW w:w="851" w:type="dxa"/>
          </w:tcPr>
          <w:p w14:paraId="56B2D717" w14:textId="77777777" w:rsidR="00183A1F" w:rsidRDefault="00183A1F" w:rsidP="008D2D99">
            <w:pPr>
              <w:pStyle w:val="ARtabletextrightbold"/>
            </w:pPr>
            <w:r>
              <w:t>0</w:t>
            </w:r>
          </w:p>
        </w:tc>
      </w:tr>
      <w:tr w:rsidR="00183A1F" w14:paraId="7CC0A523" w14:textId="77777777" w:rsidTr="008D2D99">
        <w:trPr>
          <w:cantSplit w:val="0"/>
          <w:trHeight w:val="290"/>
        </w:trPr>
        <w:tc>
          <w:tcPr>
            <w:tcW w:w="3289" w:type="dxa"/>
          </w:tcPr>
          <w:p w14:paraId="5EC9E235" w14:textId="77777777" w:rsidR="00183A1F" w:rsidRDefault="00183A1F" w:rsidP="00183A1F">
            <w:pPr>
              <w:pStyle w:val="ARtabletext"/>
            </w:pPr>
            <w:r>
              <w:t>Victorian Health Promotion Foundation</w:t>
            </w:r>
          </w:p>
        </w:tc>
        <w:tc>
          <w:tcPr>
            <w:tcW w:w="851" w:type="dxa"/>
          </w:tcPr>
          <w:p w14:paraId="01F7E95E" w14:textId="77777777" w:rsidR="00183A1F" w:rsidRDefault="00183A1F" w:rsidP="00183A1F">
            <w:pPr>
              <w:pStyle w:val="ARtabletextright"/>
            </w:pPr>
            <w:r>
              <w:t>0</w:t>
            </w:r>
          </w:p>
        </w:tc>
        <w:tc>
          <w:tcPr>
            <w:tcW w:w="851" w:type="dxa"/>
          </w:tcPr>
          <w:p w14:paraId="1EC07405" w14:textId="77777777" w:rsidR="00183A1F" w:rsidRDefault="00183A1F" w:rsidP="00183A1F">
            <w:pPr>
              <w:pStyle w:val="ARtabletextright"/>
            </w:pPr>
            <w:r>
              <w:t>2</w:t>
            </w:r>
          </w:p>
        </w:tc>
        <w:tc>
          <w:tcPr>
            <w:tcW w:w="1021" w:type="dxa"/>
            <w:tcBorders>
              <w:top w:val="single" w:sz="4" w:space="0" w:color="auto"/>
            </w:tcBorders>
          </w:tcPr>
          <w:p w14:paraId="582FB87D"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39C567A1" w14:textId="77777777" w:rsidR="00183A1F" w:rsidRDefault="00183A1F" w:rsidP="008D2D99">
            <w:pPr>
              <w:pStyle w:val="ARtabletextrightbold"/>
            </w:pPr>
            <w:r>
              <w:t>2</w:t>
            </w:r>
          </w:p>
        </w:tc>
        <w:tc>
          <w:tcPr>
            <w:tcW w:w="851" w:type="dxa"/>
            <w:tcBorders>
              <w:left w:val="single" w:sz="4" w:space="0" w:color="auto"/>
            </w:tcBorders>
          </w:tcPr>
          <w:p w14:paraId="65256B9F" w14:textId="77777777" w:rsidR="00183A1F" w:rsidRDefault="00183A1F" w:rsidP="00183A1F">
            <w:pPr>
              <w:pStyle w:val="ARtabletextright"/>
            </w:pPr>
            <w:r>
              <w:t>1</w:t>
            </w:r>
          </w:p>
        </w:tc>
        <w:tc>
          <w:tcPr>
            <w:tcW w:w="851" w:type="dxa"/>
          </w:tcPr>
          <w:p w14:paraId="679E8E52" w14:textId="77777777" w:rsidR="00183A1F" w:rsidRDefault="00183A1F" w:rsidP="00183A1F">
            <w:pPr>
              <w:pStyle w:val="ARtabletextright"/>
            </w:pPr>
            <w:r>
              <w:t>3</w:t>
            </w:r>
          </w:p>
        </w:tc>
        <w:tc>
          <w:tcPr>
            <w:tcW w:w="1021" w:type="dxa"/>
            <w:tcBorders>
              <w:top w:val="single" w:sz="4" w:space="0" w:color="auto"/>
            </w:tcBorders>
          </w:tcPr>
          <w:p w14:paraId="48C6DEA4"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10582747" w14:textId="77777777" w:rsidR="00183A1F" w:rsidRDefault="00183A1F" w:rsidP="008D2D99">
            <w:pPr>
              <w:pStyle w:val="ARtabletextrightbold"/>
            </w:pPr>
            <w:r>
              <w:t>4</w:t>
            </w:r>
          </w:p>
        </w:tc>
        <w:tc>
          <w:tcPr>
            <w:tcW w:w="851" w:type="dxa"/>
            <w:tcBorders>
              <w:left w:val="single" w:sz="4" w:space="0" w:color="auto"/>
            </w:tcBorders>
          </w:tcPr>
          <w:p w14:paraId="20E77F46" w14:textId="4285810E" w:rsidR="00183A1F" w:rsidRDefault="00EC65C3" w:rsidP="00183A1F">
            <w:pPr>
              <w:pStyle w:val="ARtabletextright"/>
            </w:pPr>
            <w:r>
              <w:t>−</w:t>
            </w:r>
            <w:r w:rsidR="00183A1F">
              <w:t>1</w:t>
            </w:r>
          </w:p>
        </w:tc>
        <w:tc>
          <w:tcPr>
            <w:tcW w:w="851" w:type="dxa"/>
          </w:tcPr>
          <w:p w14:paraId="6C0A67E9" w14:textId="2E8BABF3" w:rsidR="00183A1F" w:rsidRDefault="00EC65C3" w:rsidP="00183A1F">
            <w:pPr>
              <w:pStyle w:val="ARtabletextright"/>
            </w:pPr>
            <w:r>
              <w:t>−</w:t>
            </w:r>
            <w:r w:rsidR="00183A1F">
              <w:t>1</w:t>
            </w:r>
          </w:p>
        </w:tc>
        <w:tc>
          <w:tcPr>
            <w:tcW w:w="1021" w:type="dxa"/>
          </w:tcPr>
          <w:p w14:paraId="66413A6C" w14:textId="77777777" w:rsidR="00183A1F" w:rsidRDefault="00183A1F" w:rsidP="00183A1F">
            <w:pPr>
              <w:pStyle w:val="ARtabletextright"/>
            </w:pPr>
            <w:r>
              <w:t>0</w:t>
            </w:r>
          </w:p>
        </w:tc>
        <w:tc>
          <w:tcPr>
            <w:tcW w:w="851" w:type="dxa"/>
          </w:tcPr>
          <w:p w14:paraId="6F6B26E9" w14:textId="05683C15" w:rsidR="00183A1F" w:rsidRDefault="00EC65C3" w:rsidP="008D2D99">
            <w:pPr>
              <w:pStyle w:val="ARtabletextrightbold"/>
            </w:pPr>
            <w:r>
              <w:t>−</w:t>
            </w:r>
            <w:r w:rsidR="00183A1F">
              <w:t>2</w:t>
            </w:r>
          </w:p>
        </w:tc>
      </w:tr>
      <w:tr w:rsidR="00183A1F" w14:paraId="13553206" w14:textId="77777777" w:rsidTr="008D2D99">
        <w:trPr>
          <w:cantSplit w:val="0"/>
          <w:trHeight w:val="290"/>
        </w:trPr>
        <w:tc>
          <w:tcPr>
            <w:tcW w:w="3289" w:type="dxa"/>
          </w:tcPr>
          <w:p w14:paraId="058C3085" w14:textId="77777777" w:rsidR="00183A1F" w:rsidRDefault="00183A1F" w:rsidP="00183A1F">
            <w:pPr>
              <w:pStyle w:val="ARtabletext"/>
            </w:pPr>
            <w:r>
              <w:t>Victorian Pharmacy Authority</w:t>
            </w:r>
          </w:p>
        </w:tc>
        <w:tc>
          <w:tcPr>
            <w:tcW w:w="851" w:type="dxa"/>
          </w:tcPr>
          <w:p w14:paraId="6E2E1B15" w14:textId="77777777" w:rsidR="00183A1F" w:rsidRDefault="00183A1F" w:rsidP="00183A1F">
            <w:pPr>
              <w:pStyle w:val="ARtabletextright"/>
            </w:pPr>
            <w:r>
              <w:t>0</w:t>
            </w:r>
          </w:p>
        </w:tc>
        <w:tc>
          <w:tcPr>
            <w:tcW w:w="851" w:type="dxa"/>
          </w:tcPr>
          <w:p w14:paraId="79D1DA61" w14:textId="77777777" w:rsidR="00183A1F" w:rsidRDefault="00183A1F" w:rsidP="00183A1F">
            <w:pPr>
              <w:pStyle w:val="ARtabletextright"/>
            </w:pPr>
            <w:r>
              <w:t>1</w:t>
            </w:r>
          </w:p>
        </w:tc>
        <w:tc>
          <w:tcPr>
            <w:tcW w:w="1021" w:type="dxa"/>
            <w:tcBorders>
              <w:top w:val="single" w:sz="4" w:space="0" w:color="auto"/>
            </w:tcBorders>
          </w:tcPr>
          <w:p w14:paraId="02B3AEDB"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4247C586" w14:textId="77777777" w:rsidR="00183A1F" w:rsidRDefault="00183A1F" w:rsidP="008D2D99">
            <w:pPr>
              <w:pStyle w:val="ARtabletextrightbold"/>
            </w:pPr>
            <w:r>
              <w:t>1</w:t>
            </w:r>
          </w:p>
        </w:tc>
        <w:tc>
          <w:tcPr>
            <w:tcW w:w="851" w:type="dxa"/>
            <w:tcBorders>
              <w:left w:val="single" w:sz="4" w:space="0" w:color="auto"/>
            </w:tcBorders>
          </w:tcPr>
          <w:p w14:paraId="567187D6" w14:textId="77777777" w:rsidR="00183A1F" w:rsidRDefault="00183A1F" w:rsidP="00183A1F">
            <w:pPr>
              <w:pStyle w:val="ARtabletextright"/>
            </w:pPr>
            <w:r>
              <w:t>0</w:t>
            </w:r>
          </w:p>
        </w:tc>
        <w:tc>
          <w:tcPr>
            <w:tcW w:w="851" w:type="dxa"/>
          </w:tcPr>
          <w:p w14:paraId="5C750BA2" w14:textId="77777777" w:rsidR="00183A1F" w:rsidRDefault="00183A1F" w:rsidP="00183A1F">
            <w:pPr>
              <w:pStyle w:val="ARtabletextright"/>
            </w:pPr>
            <w:r>
              <w:t>1</w:t>
            </w:r>
          </w:p>
        </w:tc>
        <w:tc>
          <w:tcPr>
            <w:tcW w:w="1021" w:type="dxa"/>
            <w:tcBorders>
              <w:top w:val="single" w:sz="4" w:space="0" w:color="auto"/>
            </w:tcBorders>
          </w:tcPr>
          <w:p w14:paraId="114C3F77"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352B6424" w14:textId="77777777" w:rsidR="00183A1F" w:rsidRDefault="00183A1F" w:rsidP="008D2D99">
            <w:pPr>
              <w:pStyle w:val="ARtabletextrightbold"/>
            </w:pPr>
            <w:r>
              <w:t>1</w:t>
            </w:r>
          </w:p>
        </w:tc>
        <w:tc>
          <w:tcPr>
            <w:tcW w:w="851" w:type="dxa"/>
            <w:tcBorders>
              <w:left w:val="single" w:sz="4" w:space="0" w:color="auto"/>
            </w:tcBorders>
          </w:tcPr>
          <w:p w14:paraId="5CAD7D7C" w14:textId="77777777" w:rsidR="00183A1F" w:rsidRDefault="00183A1F" w:rsidP="00183A1F">
            <w:pPr>
              <w:pStyle w:val="ARtabletextright"/>
            </w:pPr>
            <w:r>
              <w:t>0</w:t>
            </w:r>
          </w:p>
        </w:tc>
        <w:tc>
          <w:tcPr>
            <w:tcW w:w="851" w:type="dxa"/>
          </w:tcPr>
          <w:p w14:paraId="06B3F809" w14:textId="77777777" w:rsidR="00183A1F" w:rsidRDefault="00183A1F" w:rsidP="00183A1F">
            <w:pPr>
              <w:pStyle w:val="ARtabletextright"/>
            </w:pPr>
            <w:r>
              <w:t>0</w:t>
            </w:r>
          </w:p>
        </w:tc>
        <w:tc>
          <w:tcPr>
            <w:tcW w:w="1021" w:type="dxa"/>
          </w:tcPr>
          <w:p w14:paraId="413F19A8" w14:textId="77777777" w:rsidR="00183A1F" w:rsidRDefault="00183A1F" w:rsidP="00183A1F">
            <w:pPr>
              <w:pStyle w:val="ARtabletextright"/>
            </w:pPr>
            <w:r>
              <w:t>0</w:t>
            </w:r>
          </w:p>
        </w:tc>
        <w:tc>
          <w:tcPr>
            <w:tcW w:w="851" w:type="dxa"/>
          </w:tcPr>
          <w:p w14:paraId="2CC81833" w14:textId="77777777" w:rsidR="00183A1F" w:rsidRDefault="00183A1F" w:rsidP="008D2D99">
            <w:pPr>
              <w:pStyle w:val="ARtabletextrightbold"/>
            </w:pPr>
            <w:r>
              <w:t>0</w:t>
            </w:r>
          </w:p>
        </w:tc>
      </w:tr>
      <w:tr w:rsidR="00183A1F" w14:paraId="67E7E089" w14:textId="77777777" w:rsidTr="008D2D99">
        <w:trPr>
          <w:cantSplit w:val="0"/>
          <w:trHeight w:val="290"/>
        </w:trPr>
        <w:tc>
          <w:tcPr>
            <w:tcW w:w="3289" w:type="dxa"/>
          </w:tcPr>
          <w:p w14:paraId="466CCD52" w14:textId="77777777" w:rsidR="00183A1F" w:rsidRDefault="00183A1F" w:rsidP="00183A1F">
            <w:pPr>
              <w:pStyle w:val="ARtabletext"/>
            </w:pPr>
            <w:r>
              <w:t>West Gippsland Healthcare Group</w:t>
            </w:r>
          </w:p>
        </w:tc>
        <w:tc>
          <w:tcPr>
            <w:tcW w:w="851" w:type="dxa"/>
          </w:tcPr>
          <w:p w14:paraId="570DA505" w14:textId="77777777" w:rsidR="00183A1F" w:rsidRDefault="00183A1F" w:rsidP="00183A1F">
            <w:pPr>
              <w:pStyle w:val="ARtabletextright"/>
            </w:pPr>
            <w:r>
              <w:t>1</w:t>
            </w:r>
          </w:p>
        </w:tc>
        <w:tc>
          <w:tcPr>
            <w:tcW w:w="851" w:type="dxa"/>
          </w:tcPr>
          <w:p w14:paraId="41808FAD" w14:textId="77777777" w:rsidR="00183A1F" w:rsidRDefault="00183A1F" w:rsidP="00183A1F">
            <w:pPr>
              <w:pStyle w:val="ARtabletextright"/>
            </w:pPr>
            <w:r>
              <w:t>2</w:t>
            </w:r>
          </w:p>
        </w:tc>
        <w:tc>
          <w:tcPr>
            <w:tcW w:w="1021" w:type="dxa"/>
            <w:tcBorders>
              <w:top w:val="single" w:sz="4" w:space="0" w:color="auto"/>
            </w:tcBorders>
          </w:tcPr>
          <w:p w14:paraId="7C14B809"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41E52974" w14:textId="77777777" w:rsidR="00183A1F" w:rsidRDefault="00183A1F" w:rsidP="008D2D99">
            <w:pPr>
              <w:pStyle w:val="ARtabletextrightbold"/>
            </w:pPr>
            <w:r>
              <w:t>3</w:t>
            </w:r>
          </w:p>
        </w:tc>
        <w:tc>
          <w:tcPr>
            <w:tcW w:w="851" w:type="dxa"/>
            <w:tcBorders>
              <w:left w:val="single" w:sz="4" w:space="0" w:color="auto"/>
            </w:tcBorders>
          </w:tcPr>
          <w:p w14:paraId="0F742E78" w14:textId="77777777" w:rsidR="00183A1F" w:rsidRDefault="00183A1F" w:rsidP="00183A1F">
            <w:pPr>
              <w:pStyle w:val="ARtabletextright"/>
            </w:pPr>
            <w:r>
              <w:t>0</w:t>
            </w:r>
          </w:p>
        </w:tc>
        <w:tc>
          <w:tcPr>
            <w:tcW w:w="851" w:type="dxa"/>
          </w:tcPr>
          <w:p w14:paraId="77277793" w14:textId="77777777" w:rsidR="00183A1F" w:rsidRDefault="00183A1F" w:rsidP="00183A1F">
            <w:pPr>
              <w:pStyle w:val="ARtabletextright"/>
            </w:pPr>
            <w:r>
              <w:t>2</w:t>
            </w:r>
          </w:p>
        </w:tc>
        <w:tc>
          <w:tcPr>
            <w:tcW w:w="1021" w:type="dxa"/>
            <w:tcBorders>
              <w:top w:val="single" w:sz="4" w:space="0" w:color="auto"/>
            </w:tcBorders>
          </w:tcPr>
          <w:p w14:paraId="40233545"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21BF5D14" w14:textId="77777777" w:rsidR="00183A1F" w:rsidRDefault="00183A1F" w:rsidP="008D2D99">
            <w:pPr>
              <w:pStyle w:val="ARtabletextrightbold"/>
            </w:pPr>
            <w:r>
              <w:t>2</w:t>
            </w:r>
          </w:p>
        </w:tc>
        <w:tc>
          <w:tcPr>
            <w:tcW w:w="851" w:type="dxa"/>
            <w:tcBorders>
              <w:left w:val="single" w:sz="4" w:space="0" w:color="auto"/>
            </w:tcBorders>
          </w:tcPr>
          <w:p w14:paraId="456286E8" w14:textId="77777777" w:rsidR="00183A1F" w:rsidRDefault="00183A1F" w:rsidP="00183A1F">
            <w:pPr>
              <w:pStyle w:val="ARtabletextright"/>
            </w:pPr>
            <w:r>
              <w:t>1</w:t>
            </w:r>
          </w:p>
        </w:tc>
        <w:tc>
          <w:tcPr>
            <w:tcW w:w="851" w:type="dxa"/>
          </w:tcPr>
          <w:p w14:paraId="6FDE466C" w14:textId="77777777" w:rsidR="00183A1F" w:rsidRDefault="00183A1F" w:rsidP="00183A1F">
            <w:pPr>
              <w:pStyle w:val="ARtabletextright"/>
            </w:pPr>
            <w:r>
              <w:t>0</w:t>
            </w:r>
          </w:p>
        </w:tc>
        <w:tc>
          <w:tcPr>
            <w:tcW w:w="1021" w:type="dxa"/>
          </w:tcPr>
          <w:p w14:paraId="3D409CC3" w14:textId="77777777" w:rsidR="00183A1F" w:rsidRDefault="00183A1F" w:rsidP="00183A1F">
            <w:pPr>
              <w:pStyle w:val="ARtabletextright"/>
            </w:pPr>
            <w:r>
              <w:t>0</w:t>
            </w:r>
          </w:p>
        </w:tc>
        <w:tc>
          <w:tcPr>
            <w:tcW w:w="851" w:type="dxa"/>
          </w:tcPr>
          <w:p w14:paraId="72CAC4AC" w14:textId="77777777" w:rsidR="00183A1F" w:rsidRDefault="00183A1F" w:rsidP="008D2D99">
            <w:pPr>
              <w:pStyle w:val="ARtabletextrightbold"/>
            </w:pPr>
            <w:r>
              <w:t>1</w:t>
            </w:r>
          </w:p>
        </w:tc>
      </w:tr>
      <w:tr w:rsidR="00183A1F" w14:paraId="46212911" w14:textId="77777777" w:rsidTr="008D2D99">
        <w:trPr>
          <w:cantSplit w:val="0"/>
          <w:trHeight w:val="290"/>
        </w:trPr>
        <w:tc>
          <w:tcPr>
            <w:tcW w:w="3289" w:type="dxa"/>
          </w:tcPr>
          <w:p w14:paraId="459DD0E5" w14:textId="77777777" w:rsidR="00183A1F" w:rsidRDefault="00183A1F" w:rsidP="00183A1F">
            <w:pPr>
              <w:pStyle w:val="ARtabletext"/>
            </w:pPr>
            <w:r>
              <w:t>West Wimmera Health Service</w:t>
            </w:r>
          </w:p>
        </w:tc>
        <w:tc>
          <w:tcPr>
            <w:tcW w:w="851" w:type="dxa"/>
          </w:tcPr>
          <w:p w14:paraId="5263B4F6" w14:textId="77777777" w:rsidR="00183A1F" w:rsidRDefault="00183A1F" w:rsidP="00183A1F">
            <w:pPr>
              <w:pStyle w:val="ARtabletextright"/>
            </w:pPr>
            <w:r>
              <w:t>2</w:t>
            </w:r>
          </w:p>
        </w:tc>
        <w:tc>
          <w:tcPr>
            <w:tcW w:w="851" w:type="dxa"/>
          </w:tcPr>
          <w:p w14:paraId="56221E0D" w14:textId="77777777" w:rsidR="00183A1F" w:rsidRDefault="00183A1F" w:rsidP="00183A1F">
            <w:pPr>
              <w:pStyle w:val="ARtabletextright"/>
            </w:pPr>
            <w:r>
              <w:t>2</w:t>
            </w:r>
          </w:p>
        </w:tc>
        <w:tc>
          <w:tcPr>
            <w:tcW w:w="1021" w:type="dxa"/>
            <w:tcBorders>
              <w:top w:val="single" w:sz="4" w:space="0" w:color="auto"/>
            </w:tcBorders>
          </w:tcPr>
          <w:p w14:paraId="75E7CD02"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58B0C255" w14:textId="77777777" w:rsidR="00183A1F" w:rsidRDefault="00183A1F" w:rsidP="008D2D99">
            <w:pPr>
              <w:pStyle w:val="ARtabletextrightbold"/>
            </w:pPr>
            <w:r>
              <w:t>4</w:t>
            </w:r>
          </w:p>
        </w:tc>
        <w:tc>
          <w:tcPr>
            <w:tcW w:w="851" w:type="dxa"/>
            <w:tcBorders>
              <w:left w:val="single" w:sz="4" w:space="0" w:color="auto"/>
            </w:tcBorders>
          </w:tcPr>
          <w:p w14:paraId="101C136B" w14:textId="77777777" w:rsidR="00183A1F" w:rsidRDefault="00183A1F" w:rsidP="00183A1F">
            <w:pPr>
              <w:pStyle w:val="ARtabletextright"/>
            </w:pPr>
            <w:r>
              <w:t>2</w:t>
            </w:r>
          </w:p>
        </w:tc>
        <w:tc>
          <w:tcPr>
            <w:tcW w:w="851" w:type="dxa"/>
          </w:tcPr>
          <w:p w14:paraId="2021AFDD" w14:textId="77777777" w:rsidR="00183A1F" w:rsidRDefault="00183A1F" w:rsidP="00183A1F">
            <w:pPr>
              <w:pStyle w:val="ARtabletextright"/>
            </w:pPr>
            <w:r>
              <w:t>2</w:t>
            </w:r>
          </w:p>
        </w:tc>
        <w:tc>
          <w:tcPr>
            <w:tcW w:w="1021" w:type="dxa"/>
            <w:tcBorders>
              <w:top w:val="single" w:sz="4" w:space="0" w:color="auto"/>
            </w:tcBorders>
          </w:tcPr>
          <w:p w14:paraId="47646968"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722C967E" w14:textId="77777777" w:rsidR="00183A1F" w:rsidRDefault="00183A1F" w:rsidP="008D2D99">
            <w:pPr>
              <w:pStyle w:val="ARtabletextrightbold"/>
            </w:pPr>
            <w:r>
              <w:t>4</w:t>
            </w:r>
          </w:p>
        </w:tc>
        <w:tc>
          <w:tcPr>
            <w:tcW w:w="851" w:type="dxa"/>
            <w:tcBorders>
              <w:left w:val="single" w:sz="4" w:space="0" w:color="auto"/>
            </w:tcBorders>
          </w:tcPr>
          <w:p w14:paraId="33964634" w14:textId="77777777" w:rsidR="00183A1F" w:rsidRDefault="00183A1F" w:rsidP="00183A1F">
            <w:pPr>
              <w:pStyle w:val="ARtabletextright"/>
            </w:pPr>
            <w:r>
              <w:t>0</w:t>
            </w:r>
          </w:p>
        </w:tc>
        <w:tc>
          <w:tcPr>
            <w:tcW w:w="851" w:type="dxa"/>
          </w:tcPr>
          <w:p w14:paraId="270FF80F" w14:textId="77777777" w:rsidR="00183A1F" w:rsidRDefault="00183A1F" w:rsidP="00183A1F">
            <w:pPr>
              <w:pStyle w:val="ARtabletextright"/>
            </w:pPr>
            <w:r>
              <w:t>0</w:t>
            </w:r>
          </w:p>
        </w:tc>
        <w:tc>
          <w:tcPr>
            <w:tcW w:w="1021" w:type="dxa"/>
          </w:tcPr>
          <w:p w14:paraId="2AAC0FA6" w14:textId="77777777" w:rsidR="00183A1F" w:rsidRDefault="00183A1F" w:rsidP="00183A1F">
            <w:pPr>
              <w:pStyle w:val="ARtabletextright"/>
            </w:pPr>
            <w:r>
              <w:t>0</w:t>
            </w:r>
          </w:p>
        </w:tc>
        <w:tc>
          <w:tcPr>
            <w:tcW w:w="851" w:type="dxa"/>
          </w:tcPr>
          <w:p w14:paraId="25E10FA0" w14:textId="77777777" w:rsidR="00183A1F" w:rsidRDefault="00183A1F" w:rsidP="008D2D99">
            <w:pPr>
              <w:pStyle w:val="ARtabletextrightbold"/>
            </w:pPr>
            <w:r>
              <w:t>0</w:t>
            </w:r>
          </w:p>
        </w:tc>
      </w:tr>
      <w:tr w:rsidR="00183A1F" w14:paraId="108D5401" w14:textId="77777777" w:rsidTr="008D2D99">
        <w:trPr>
          <w:cantSplit w:val="0"/>
          <w:trHeight w:val="290"/>
        </w:trPr>
        <w:tc>
          <w:tcPr>
            <w:tcW w:w="3289" w:type="dxa"/>
          </w:tcPr>
          <w:p w14:paraId="01315702" w14:textId="77777777" w:rsidR="00183A1F" w:rsidRDefault="00183A1F" w:rsidP="00183A1F">
            <w:pPr>
              <w:pStyle w:val="ARtabletext"/>
            </w:pPr>
            <w:r>
              <w:t>Western District Health Service</w:t>
            </w:r>
          </w:p>
        </w:tc>
        <w:tc>
          <w:tcPr>
            <w:tcW w:w="851" w:type="dxa"/>
          </w:tcPr>
          <w:p w14:paraId="5CE3956E" w14:textId="77777777" w:rsidR="00183A1F" w:rsidRDefault="00183A1F" w:rsidP="00183A1F">
            <w:pPr>
              <w:pStyle w:val="ARtabletextright"/>
            </w:pPr>
            <w:r>
              <w:t>0</w:t>
            </w:r>
          </w:p>
        </w:tc>
        <w:tc>
          <w:tcPr>
            <w:tcW w:w="851" w:type="dxa"/>
          </w:tcPr>
          <w:p w14:paraId="21E89586" w14:textId="77777777" w:rsidR="00183A1F" w:rsidRDefault="00183A1F" w:rsidP="00183A1F">
            <w:pPr>
              <w:pStyle w:val="ARtabletextright"/>
            </w:pPr>
            <w:r>
              <w:t>1</w:t>
            </w:r>
          </w:p>
        </w:tc>
        <w:tc>
          <w:tcPr>
            <w:tcW w:w="1021" w:type="dxa"/>
            <w:tcBorders>
              <w:top w:val="single" w:sz="4" w:space="0" w:color="auto"/>
            </w:tcBorders>
          </w:tcPr>
          <w:p w14:paraId="72BCFE95"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577F9037" w14:textId="77777777" w:rsidR="00183A1F" w:rsidRDefault="00183A1F" w:rsidP="008D2D99">
            <w:pPr>
              <w:pStyle w:val="ARtabletextrightbold"/>
            </w:pPr>
            <w:r>
              <w:t>1</w:t>
            </w:r>
          </w:p>
        </w:tc>
        <w:tc>
          <w:tcPr>
            <w:tcW w:w="851" w:type="dxa"/>
            <w:tcBorders>
              <w:left w:val="single" w:sz="4" w:space="0" w:color="auto"/>
            </w:tcBorders>
          </w:tcPr>
          <w:p w14:paraId="53CC7202" w14:textId="77777777" w:rsidR="00183A1F" w:rsidRDefault="00183A1F" w:rsidP="00183A1F">
            <w:pPr>
              <w:pStyle w:val="ARtabletextright"/>
            </w:pPr>
            <w:r>
              <w:t>0</w:t>
            </w:r>
          </w:p>
        </w:tc>
        <w:tc>
          <w:tcPr>
            <w:tcW w:w="851" w:type="dxa"/>
          </w:tcPr>
          <w:p w14:paraId="653EA35F" w14:textId="77777777" w:rsidR="00183A1F" w:rsidRDefault="00183A1F" w:rsidP="00183A1F">
            <w:pPr>
              <w:pStyle w:val="ARtabletextright"/>
            </w:pPr>
            <w:r>
              <w:t>1</w:t>
            </w:r>
          </w:p>
        </w:tc>
        <w:tc>
          <w:tcPr>
            <w:tcW w:w="1021" w:type="dxa"/>
            <w:tcBorders>
              <w:top w:val="single" w:sz="4" w:space="0" w:color="auto"/>
            </w:tcBorders>
          </w:tcPr>
          <w:p w14:paraId="2F0E5BE3"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54E7EE47" w14:textId="77777777" w:rsidR="00183A1F" w:rsidRDefault="00183A1F" w:rsidP="008D2D99">
            <w:pPr>
              <w:pStyle w:val="ARtabletextrightbold"/>
            </w:pPr>
            <w:r>
              <w:t>1</w:t>
            </w:r>
          </w:p>
        </w:tc>
        <w:tc>
          <w:tcPr>
            <w:tcW w:w="851" w:type="dxa"/>
            <w:tcBorders>
              <w:left w:val="single" w:sz="4" w:space="0" w:color="auto"/>
            </w:tcBorders>
          </w:tcPr>
          <w:p w14:paraId="60ACF953" w14:textId="77777777" w:rsidR="00183A1F" w:rsidRDefault="00183A1F" w:rsidP="00183A1F">
            <w:pPr>
              <w:pStyle w:val="ARtabletextright"/>
            </w:pPr>
            <w:r>
              <w:t>0</w:t>
            </w:r>
          </w:p>
        </w:tc>
        <w:tc>
          <w:tcPr>
            <w:tcW w:w="851" w:type="dxa"/>
          </w:tcPr>
          <w:p w14:paraId="66E5D5B1" w14:textId="77777777" w:rsidR="00183A1F" w:rsidRDefault="00183A1F" w:rsidP="00183A1F">
            <w:pPr>
              <w:pStyle w:val="ARtabletextright"/>
            </w:pPr>
            <w:r>
              <w:t>0</w:t>
            </w:r>
          </w:p>
        </w:tc>
        <w:tc>
          <w:tcPr>
            <w:tcW w:w="1021" w:type="dxa"/>
          </w:tcPr>
          <w:p w14:paraId="1A43E0C3" w14:textId="77777777" w:rsidR="00183A1F" w:rsidRDefault="00183A1F" w:rsidP="00183A1F">
            <w:pPr>
              <w:pStyle w:val="ARtabletextright"/>
            </w:pPr>
            <w:r>
              <w:t>0</w:t>
            </w:r>
          </w:p>
        </w:tc>
        <w:tc>
          <w:tcPr>
            <w:tcW w:w="851" w:type="dxa"/>
          </w:tcPr>
          <w:p w14:paraId="39125D2D" w14:textId="77777777" w:rsidR="00183A1F" w:rsidRDefault="00183A1F" w:rsidP="008D2D99">
            <w:pPr>
              <w:pStyle w:val="ARtabletextrightbold"/>
            </w:pPr>
            <w:r>
              <w:t>0</w:t>
            </w:r>
          </w:p>
        </w:tc>
      </w:tr>
      <w:tr w:rsidR="00183A1F" w14:paraId="739C22CE" w14:textId="77777777" w:rsidTr="008D2D99">
        <w:trPr>
          <w:cantSplit w:val="0"/>
          <w:trHeight w:val="290"/>
        </w:trPr>
        <w:tc>
          <w:tcPr>
            <w:tcW w:w="3289" w:type="dxa"/>
          </w:tcPr>
          <w:p w14:paraId="18DC56E0" w14:textId="77777777" w:rsidR="00183A1F" w:rsidRDefault="00183A1F" w:rsidP="00183A1F">
            <w:pPr>
              <w:pStyle w:val="ARtabletext"/>
            </w:pPr>
            <w:r>
              <w:t>Western Health</w:t>
            </w:r>
          </w:p>
        </w:tc>
        <w:tc>
          <w:tcPr>
            <w:tcW w:w="851" w:type="dxa"/>
          </w:tcPr>
          <w:p w14:paraId="57FD7ECE" w14:textId="77777777" w:rsidR="00183A1F" w:rsidRDefault="00183A1F" w:rsidP="00183A1F">
            <w:pPr>
              <w:pStyle w:val="ARtabletextright"/>
            </w:pPr>
            <w:r>
              <w:t>13</w:t>
            </w:r>
          </w:p>
        </w:tc>
        <w:tc>
          <w:tcPr>
            <w:tcW w:w="851" w:type="dxa"/>
          </w:tcPr>
          <w:p w14:paraId="32F67DDA" w14:textId="77777777" w:rsidR="00183A1F" w:rsidRDefault="00183A1F" w:rsidP="00183A1F">
            <w:pPr>
              <w:pStyle w:val="ARtabletextright"/>
            </w:pPr>
            <w:r>
              <w:t>9</w:t>
            </w:r>
          </w:p>
        </w:tc>
        <w:tc>
          <w:tcPr>
            <w:tcW w:w="1021" w:type="dxa"/>
            <w:tcBorders>
              <w:top w:val="single" w:sz="4" w:space="0" w:color="auto"/>
            </w:tcBorders>
          </w:tcPr>
          <w:p w14:paraId="3546E5F1"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7BF02EE8" w14:textId="77777777" w:rsidR="00183A1F" w:rsidRDefault="00183A1F" w:rsidP="008D2D99">
            <w:pPr>
              <w:pStyle w:val="ARtabletextrightbold"/>
            </w:pPr>
            <w:r>
              <w:t>22</w:t>
            </w:r>
          </w:p>
        </w:tc>
        <w:tc>
          <w:tcPr>
            <w:tcW w:w="851" w:type="dxa"/>
            <w:tcBorders>
              <w:left w:val="single" w:sz="4" w:space="0" w:color="auto"/>
            </w:tcBorders>
          </w:tcPr>
          <w:p w14:paraId="48446AC0" w14:textId="77777777" w:rsidR="00183A1F" w:rsidRDefault="00183A1F" w:rsidP="00183A1F">
            <w:pPr>
              <w:pStyle w:val="ARtabletextright"/>
            </w:pPr>
            <w:r>
              <w:t>11</w:t>
            </w:r>
          </w:p>
        </w:tc>
        <w:tc>
          <w:tcPr>
            <w:tcW w:w="851" w:type="dxa"/>
          </w:tcPr>
          <w:p w14:paraId="03C013F5" w14:textId="77777777" w:rsidR="00183A1F" w:rsidRDefault="00183A1F" w:rsidP="00183A1F">
            <w:pPr>
              <w:pStyle w:val="ARtabletextright"/>
            </w:pPr>
            <w:r>
              <w:t>10</w:t>
            </w:r>
          </w:p>
        </w:tc>
        <w:tc>
          <w:tcPr>
            <w:tcW w:w="1021" w:type="dxa"/>
            <w:tcBorders>
              <w:top w:val="single" w:sz="4" w:space="0" w:color="auto"/>
            </w:tcBorders>
          </w:tcPr>
          <w:p w14:paraId="7ACA4710"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3D151F55" w14:textId="77777777" w:rsidR="00183A1F" w:rsidRDefault="00183A1F" w:rsidP="008D2D99">
            <w:pPr>
              <w:pStyle w:val="ARtabletextrightbold"/>
            </w:pPr>
            <w:r>
              <w:t>21</w:t>
            </w:r>
          </w:p>
        </w:tc>
        <w:tc>
          <w:tcPr>
            <w:tcW w:w="851" w:type="dxa"/>
            <w:tcBorders>
              <w:left w:val="single" w:sz="4" w:space="0" w:color="auto"/>
            </w:tcBorders>
          </w:tcPr>
          <w:p w14:paraId="6E5FD6B8" w14:textId="77777777" w:rsidR="00183A1F" w:rsidRDefault="00183A1F" w:rsidP="00183A1F">
            <w:pPr>
              <w:pStyle w:val="ARtabletextright"/>
            </w:pPr>
            <w:r>
              <w:t>2</w:t>
            </w:r>
          </w:p>
        </w:tc>
        <w:tc>
          <w:tcPr>
            <w:tcW w:w="851" w:type="dxa"/>
          </w:tcPr>
          <w:p w14:paraId="6DBD3EB0" w14:textId="3EE168DD" w:rsidR="00183A1F" w:rsidRDefault="00EC65C3" w:rsidP="00183A1F">
            <w:pPr>
              <w:pStyle w:val="ARtabletextright"/>
            </w:pPr>
            <w:r>
              <w:t>−</w:t>
            </w:r>
            <w:r w:rsidR="00183A1F">
              <w:t>1</w:t>
            </w:r>
          </w:p>
        </w:tc>
        <w:tc>
          <w:tcPr>
            <w:tcW w:w="1021" w:type="dxa"/>
          </w:tcPr>
          <w:p w14:paraId="101ACADF" w14:textId="77777777" w:rsidR="00183A1F" w:rsidRDefault="00183A1F" w:rsidP="00183A1F">
            <w:pPr>
              <w:pStyle w:val="ARtabletextright"/>
            </w:pPr>
            <w:r>
              <w:t>0</w:t>
            </w:r>
          </w:p>
        </w:tc>
        <w:tc>
          <w:tcPr>
            <w:tcW w:w="851" w:type="dxa"/>
          </w:tcPr>
          <w:p w14:paraId="6EE573E6" w14:textId="77777777" w:rsidR="00183A1F" w:rsidRDefault="00183A1F" w:rsidP="008D2D99">
            <w:pPr>
              <w:pStyle w:val="ARtabletextrightbold"/>
            </w:pPr>
            <w:r>
              <w:t>1</w:t>
            </w:r>
          </w:p>
        </w:tc>
      </w:tr>
      <w:tr w:rsidR="00183A1F" w14:paraId="165FB586" w14:textId="77777777" w:rsidTr="008D2D99">
        <w:trPr>
          <w:cantSplit w:val="0"/>
          <w:trHeight w:val="290"/>
        </w:trPr>
        <w:tc>
          <w:tcPr>
            <w:tcW w:w="3289" w:type="dxa"/>
          </w:tcPr>
          <w:p w14:paraId="47F03A89" w14:textId="77777777" w:rsidR="00183A1F" w:rsidRDefault="00183A1F" w:rsidP="00183A1F">
            <w:pPr>
              <w:pStyle w:val="ARtabletext"/>
            </w:pPr>
            <w:r>
              <w:t>Wimmera Health Care Group</w:t>
            </w:r>
          </w:p>
        </w:tc>
        <w:tc>
          <w:tcPr>
            <w:tcW w:w="851" w:type="dxa"/>
          </w:tcPr>
          <w:p w14:paraId="660283CB" w14:textId="77777777" w:rsidR="00183A1F" w:rsidRDefault="00183A1F" w:rsidP="00183A1F">
            <w:pPr>
              <w:pStyle w:val="ARtabletextright"/>
            </w:pPr>
            <w:r>
              <w:t>1</w:t>
            </w:r>
          </w:p>
        </w:tc>
        <w:tc>
          <w:tcPr>
            <w:tcW w:w="851" w:type="dxa"/>
          </w:tcPr>
          <w:p w14:paraId="0986DD6A" w14:textId="77777777" w:rsidR="00183A1F" w:rsidRDefault="00183A1F" w:rsidP="00183A1F">
            <w:pPr>
              <w:pStyle w:val="ARtabletextright"/>
            </w:pPr>
            <w:r>
              <w:t>1</w:t>
            </w:r>
          </w:p>
        </w:tc>
        <w:tc>
          <w:tcPr>
            <w:tcW w:w="1021" w:type="dxa"/>
            <w:tcBorders>
              <w:top w:val="single" w:sz="4" w:space="0" w:color="auto"/>
            </w:tcBorders>
          </w:tcPr>
          <w:p w14:paraId="15E8D6BF"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20830972" w14:textId="77777777" w:rsidR="00183A1F" w:rsidRDefault="00183A1F" w:rsidP="008D2D99">
            <w:pPr>
              <w:pStyle w:val="ARtabletextrightbold"/>
            </w:pPr>
            <w:r>
              <w:t>2</w:t>
            </w:r>
          </w:p>
        </w:tc>
        <w:tc>
          <w:tcPr>
            <w:tcW w:w="851" w:type="dxa"/>
            <w:tcBorders>
              <w:left w:val="single" w:sz="4" w:space="0" w:color="auto"/>
            </w:tcBorders>
          </w:tcPr>
          <w:p w14:paraId="5E0E2CC2" w14:textId="77777777" w:rsidR="00183A1F" w:rsidRDefault="00183A1F" w:rsidP="00183A1F">
            <w:pPr>
              <w:pStyle w:val="ARtabletextright"/>
            </w:pPr>
            <w:r>
              <w:t>2</w:t>
            </w:r>
          </w:p>
        </w:tc>
        <w:tc>
          <w:tcPr>
            <w:tcW w:w="851" w:type="dxa"/>
          </w:tcPr>
          <w:p w14:paraId="60D80037" w14:textId="77777777" w:rsidR="00183A1F" w:rsidRDefault="00183A1F" w:rsidP="00183A1F">
            <w:pPr>
              <w:pStyle w:val="ARtabletextright"/>
            </w:pPr>
            <w:r>
              <w:t>1</w:t>
            </w:r>
          </w:p>
        </w:tc>
        <w:tc>
          <w:tcPr>
            <w:tcW w:w="1021" w:type="dxa"/>
            <w:tcBorders>
              <w:top w:val="single" w:sz="4" w:space="0" w:color="auto"/>
            </w:tcBorders>
          </w:tcPr>
          <w:p w14:paraId="598D33D7"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190AB499" w14:textId="77777777" w:rsidR="00183A1F" w:rsidRDefault="00183A1F" w:rsidP="008D2D99">
            <w:pPr>
              <w:pStyle w:val="ARtabletextrightbold"/>
            </w:pPr>
            <w:r>
              <w:t>3</w:t>
            </w:r>
          </w:p>
        </w:tc>
        <w:tc>
          <w:tcPr>
            <w:tcW w:w="851" w:type="dxa"/>
            <w:tcBorders>
              <w:left w:val="single" w:sz="4" w:space="0" w:color="auto"/>
            </w:tcBorders>
          </w:tcPr>
          <w:p w14:paraId="4ABEFDDD" w14:textId="2DC7A3C4" w:rsidR="00183A1F" w:rsidRDefault="00EC65C3" w:rsidP="00183A1F">
            <w:pPr>
              <w:pStyle w:val="ARtabletextright"/>
            </w:pPr>
            <w:r>
              <w:t>−</w:t>
            </w:r>
            <w:r w:rsidR="00183A1F">
              <w:t>1</w:t>
            </w:r>
          </w:p>
        </w:tc>
        <w:tc>
          <w:tcPr>
            <w:tcW w:w="851" w:type="dxa"/>
          </w:tcPr>
          <w:p w14:paraId="1C1DEE8A" w14:textId="77777777" w:rsidR="00183A1F" w:rsidRDefault="00183A1F" w:rsidP="00183A1F">
            <w:pPr>
              <w:pStyle w:val="ARtabletextright"/>
            </w:pPr>
            <w:r>
              <w:t>0</w:t>
            </w:r>
          </w:p>
        </w:tc>
        <w:tc>
          <w:tcPr>
            <w:tcW w:w="1021" w:type="dxa"/>
          </w:tcPr>
          <w:p w14:paraId="4354E326" w14:textId="77777777" w:rsidR="00183A1F" w:rsidRDefault="00183A1F" w:rsidP="00183A1F">
            <w:pPr>
              <w:pStyle w:val="ARtabletextright"/>
            </w:pPr>
            <w:r>
              <w:t>0</w:t>
            </w:r>
          </w:p>
        </w:tc>
        <w:tc>
          <w:tcPr>
            <w:tcW w:w="851" w:type="dxa"/>
          </w:tcPr>
          <w:p w14:paraId="2A9AF96E" w14:textId="2C425217" w:rsidR="00183A1F" w:rsidRDefault="00EC65C3" w:rsidP="008D2D99">
            <w:pPr>
              <w:pStyle w:val="ARtabletextrightbold"/>
            </w:pPr>
            <w:r>
              <w:t>−</w:t>
            </w:r>
            <w:r w:rsidR="00183A1F">
              <w:t>1</w:t>
            </w:r>
          </w:p>
        </w:tc>
      </w:tr>
      <w:tr w:rsidR="00183A1F" w14:paraId="50C70465" w14:textId="77777777" w:rsidTr="008D2D99">
        <w:trPr>
          <w:cantSplit w:val="0"/>
          <w:trHeight w:val="290"/>
        </w:trPr>
        <w:tc>
          <w:tcPr>
            <w:tcW w:w="3289" w:type="dxa"/>
          </w:tcPr>
          <w:p w14:paraId="70C390DF" w14:textId="77777777" w:rsidR="00183A1F" w:rsidRDefault="00183A1F" w:rsidP="00183A1F">
            <w:pPr>
              <w:pStyle w:val="ARtabletext"/>
            </w:pPr>
            <w:r>
              <w:t>Yarram and District Health Service</w:t>
            </w:r>
          </w:p>
        </w:tc>
        <w:tc>
          <w:tcPr>
            <w:tcW w:w="851" w:type="dxa"/>
          </w:tcPr>
          <w:p w14:paraId="1999A7E3" w14:textId="77777777" w:rsidR="00183A1F" w:rsidRDefault="00183A1F" w:rsidP="00183A1F">
            <w:pPr>
              <w:pStyle w:val="ARtabletextright"/>
            </w:pPr>
            <w:r>
              <w:t>1</w:t>
            </w:r>
          </w:p>
        </w:tc>
        <w:tc>
          <w:tcPr>
            <w:tcW w:w="851" w:type="dxa"/>
          </w:tcPr>
          <w:p w14:paraId="36CA6018" w14:textId="77777777" w:rsidR="00183A1F" w:rsidRDefault="00183A1F" w:rsidP="00183A1F">
            <w:pPr>
              <w:pStyle w:val="ARtabletextright"/>
            </w:pPr>
            <w:r>
              <w:t>0</w:t>
            </w:r>
          </w:p>
        </w:tc>
        <w:tc>
          <w:tcPr>
            <w:tcW w:w="1021" w:type="dxa"/>
            <w:tcBorders>
              <w:top w:val="single" w:sz="4" w:space="0" w:color="auto"/>
            </w:tcBorders>
          </w:tcPr>
          <w:p w14:paraId="0CD54E24"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6E237140" w14:textId="77777777" w:rsidR="00183A1F" w:rsidRDefault="00183A1F" w:rsidP="008D2D99">
            <w:pPr>
              <w:pStyle w:val="ARtabletextrightbold"/>
            </w:pPr>
            <w:r>
              <w:t>1</w:t>
            </w:r>
          </w:p>
        </w:tc>
        <w:tc>
          <w:tcPr>
            <w:tcW w:w="851" w:type="dxa"/>
            <w:tcBorders>
              <w:left w:val="single" w:sz="4" w:space="0" w:color="auto"/>
            </w:tcBorders>
          </w:tcPr>
          <w:p w14:paraId="60BC8A9A" w14:textId="77777777" w:rsidR="00183A1F" w:rsidRDefault="00183A1F" w:rsidP="00183A1F">
            <w:pPr>
              <w:pStyle w:val="ARtabletextright"/>
            </w:pPr>
            <w:r>
              <w:t>1</w:t>
            </w:r>
          </w:p>
        </w:tc>
        <w:tc>
          <w:tcPr>
            <w:tcW w:w="851" w:type="dxa"/>
          </w:tcPr>
          <w:p w14:paraId="3C1E1495" w14:textId="77777777" w:rsidR="00183A1F" w:rsidRDefault="00183A1F" w:rsidP="00183A1F">
            <w:pPr>
              <w:pStyle w:val="ARtabletextright"/>
            </w:pPr>
            <w:r>
              <w:t>0</w:t>
            </w:r>
          </w:p>
        </w:tc>
        <w:tc>
          <w:tcPr>
            <w:tcW w:w="1021" w:type="dxa"/>
            <w:tcBorders>
              <w:top w:val="single" w:sz="4" w:space="0" w:color="auto"/>
            </w:tcBorders>
          </w:tcPr>
          <w:p w14:paraId="69085B6A"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00A7CFB2" w14:textId="77777777" w:rsidR="00183A1F" w:rsidRDefault="00183A1F" w:rsidP="008D2D99">
            <w:pPr>
              <w:pStyle w:val="ARtabletextrightbold"/>
            </w:pPr>
            <w:r>
              <w:t>1</w:t>
            </w:r>
          </w:p>
        </w:tc>
        <w:tc>
          <w:tcPr>
            <w:tcW w:w="851" w:type="dxa"/>
            <w:tcBorders>
              <w:left w:val="single" w:sz="4" w:space="0" w:color="auto"/>
            </w:tcBorders>
          </w:tcPr>
          <w:p w14:paraId="40D79F81" w14:textId="77777777" w:rsidR="00183A1F" w:rsidRDefault="00183A1F" w:rsidP="00183A1F">
            <w:pPr>
              <w:pStyle w:val="ARtabletextright"/>
            </w:pPr>
            <w:r>
              <w:t>0</w:t>
            </w:r>
          </w:p>
        </w:tc>
        <w:tc>
          <w:tcPr>
            <w:tcW w:w="851" w:type="dxa"/>
          </w:tcPr>
          <w:p w14:paraId="2B0EE86A" w14:textId="77777777" w:rsidR="00183A1F" w:rsidRDefault="00183A1F" w:rsidP="00183A1F">
            <w:pPr>
              <w:pStyle w:val="ARtabletextright"/>
            </w:pPr>
            <w:r>
              <w:t>0</w:t>
            </w:r>
          </w:p>
        </w:tc>
        <w:tc>
          <w:tcPr>
            <w:tcW w:w="1021" w:type="dxa"/>
          </w:tcPr>
          <w:p w14:paraId="75F6F38F" w14:textId="77777777" w:rsidR="00183A1F" w:rsidRDefault="00183A1F" w:rsidP="00183A1F">
            <w:pPr>
              <w:pStyle w:val="ARtabletextright"/>
            </w:pPr>
            <w:r>
              <w:t>0</w:t>
            </w:r>
          </w:p>
        </w:tc>
        <w:tc>
          <w:tcPr>
            <w:tcW w:w="851" w:type="dxa"/>
          </w:tcPr>
          <w:p w14:paraId="1DEAB8FA" w14:textId="77777777" w:rsidR="00183A1F" w:rsidRDefault="00183A1F" w:rsidP="008D2D99">
            <w:pPr>
              <w:pStyle w:val="ARtabletextrightbold"/>
            </w:pPr>
            <w:r>
              <w:t>0</w:t>
            </w:r>
          </w:p>
        </w:tc>
      </w:tr>
      <w:tr w:rsidR="00183A1F" w14:paraId="30EE254A" w14:textId="77777777" w:rsidTr="008D2D99">
        <w:trPr>
          <w:cantSplit w:val="0"/>
          <w:trHeight w:val="298"/>
        </w:trPr>
        <w:tc>
          <w:tcPr>
            <w:tcW w:w="3289" w:type="dxa"/>
          </w:tcPr>
          <w:p w14:paraId="7E006BA8" w14:textId="77777777" w:rsidR="00183A1F" w:rsidRDefault="00183A1F" w:rsidP="00183A1F">
            <w:pPr>
              <w:pStyle w:val="ARtabletext"/>
            </w:pPr>
            <w:r>
              <w:t>Yarrawonga Health</w:t>
            </w:r>
          </w:p>
        </w:tc>
        <w:tc>
          <w:tcPr>
            <w:tcW w:w="851" w:type="dxa"/>
          </w:tcPr>
          <w:p w14:paraId="712F0B7B" w14:textId="77777777" w:rsidR="00183A1F" w:rsidRDefault="00183A1F" w:rsidP="00183A1F">
            <w:pPr>
              <w:pStyle w:val="ARtabletextright"/>
            </w:pPr>
            <w:r>
              <w:t>1</w:t>
            </w:r>
          </w:p>
        </w:tc>
        <w:tc>
          <w:tcPr>
            <w:tcW w:w="851" w:type="dxa"/>
          </w:tcPr>
          <w:p w14:paraId="34D86CD7" w14:textId="77777777" w:rsidR="00183A1F" w:rsidRDefault="00183A1F" w:rsidP="00183A1F">
            <w:pPr>
              <w:pStyle w:val="ARtabletextright"/>
            </w:pPr>
            <w:r>
              <w:t>1</w:t>
            </w:r>
          </w:p>
        </w:tc>
        <w:tc>
          <w:tcPr>
            <w:tcW w:w="1021" w:type="dxa"/>
            <w:tcBorders>
              <w:top w:val="single" w:sz="4" w:space="0" w:color="auto"/>
            </w:tcBorders>
          </w:tcPr>
          <w:p w14:paraId="6DD43105"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00698083" w14:textId="77777777" w:rsidR="00183A1F" w:rsidRDefault="00183A1F" w:rsidP="008D2D99">
            <w:pPr>
              <w:pStyle w:val="ARtabletextrightbold"/>
            </w:pPr>
            <w:r>
              <w:t>2</w:t>
            </w:r>
          </w:p>
        </w:tc>
        <w:tc>
          <w:tcPr>
            <w:tcW w:w="851" w:type="dxa"/>
            <w:tcBorders>
              <w:left w:val="single" w:sz="4" w:space="0" w:color="auto"/>
            </w:tcBorders>
          </w:tcPr>
          <w:p w14:paraId="6A73C015" w14:textId="77777777" w:rsidR="00183A1F" w:rsidRDefault="00183A1F" w:rsidP="00183A1F">
            <w:pPr>
              <w:pStyle w:val="ARtabletextright"/>
            </w:pPr>
            <w:r>
              <w:t>1</w:t>
            </w:r>
          </w:p>
        </w:tc>
        <w:tc>
          <w:tcPr>
            <w:tcW w:w="851" w:type="dxa"/>
          </w:tcPr>
          <w:p w14:paraId="759CE30F" w14:textId="77777777" w:rsidR="00183A1F" w:rsidRDefault="00183A1F" w:rsidP="00183A1F">
            <w:pPr>
              <w:pStyle w:val="ARtabletextright"/>
            </w:pPr>
            <w:r>
              <w:t>0</w:t>
            </w:r>
          </w:p>
        </w:tc>
        <w:tc>
          <w:tcPr>
            <w:tcW w:w="1021" w:type="dxa"/>
            <w:tcBorders>
              <w:top w:val="single" w:sz="4" w:space="0" w:color="auto"/>
            </w:tcBorders>
          </w:tcPr>
          <w:p w14:paraId="1EBFA139" w14:textId="77777777" w:rsidR="00183A1F" w:rsidRDefault="00183A1F" w:rsidP="00183A1F">
            <w:pPr>
              <w:pStyle w:val="ARtabletextright"/>
            </w:pPr>
            <w:r>
              <w:t>0</w:t>
            </w:r>
          </w:p>
        </w:tc>
        <w:tc>
          <w:tcPr>
            <w:tcW w:w="851" w:type="dxa"/>
            <w:tcBorders>
              <w:top w:val="single" w:sz="4" w:space="0" w:color="auto"/>
              <w:right w:val="single" w:sz="4" w:space="0" w:color="auto"/>
            </w:tcBorders>
          </w:tcPr>
          <w:p w14:paraId="3898DB67" w14:textId="77777777" w:rsidR="00183A1F" w:rsidRDefault="00183A1F" w:rsidP="008D2D99">
            <w:pPr>
              <w:pStyle w:val="ARtabletextrightbold"/>
            </w:pPr>
            <w:r>
              <w:t>1</w:t>
            </w:r>
          </w:p>
        </w:tc>
        <w:tc>
          <w:tcPr>
            <w:tcW w:w="851" w:type="dxa"/>
            <w:tcBorders>
              <w:left w:val="single" w:sz="4" w:space="0" w:color="auto"/>
            </w:tcBorders>
          </w:tcPr>
          <w:p w14:paraId="5B25D422" w14:textId="77777777" w:rsidR="00183A1F" w:rsidRDefault="00183A1F" w:rsidP="00183A1F">
            <w:pPr>
              <w:pStyle w:val="ARtabletextright"/>
            </w:pPr>
            <w:r>
              <w:t>0</w:t>
            </w:r>
          </w:p>
        </w:tc>
        <w:tc>
          <w:tcPr>
            <w:tcW w:w="851" w:type="dxa"/>
          </w:tcPr>
          <w:p w14:paraId="554814C3" w14:textId="77777777" w:rsidR="00183A1F" w:rsidRDefault="00183A1F" w:rsidP="00183A1F">
            <w:pPr>
              <w:pStyle w:val="ARtabletextright"/>
            </w:pPr>
            <w:r>
              <w:t>1</w:t>
            </w:r>
          </w:p>
        </w:tc>
        <w:tc>
          <w:tcPr>
            <w:tcW w:w="1021" w:type="dxa"/>
          </w:tcPr>
          <w:p w14:paraId="495152B5" w14:textId="77777777" w:rsidR="00183A1F" w:rsidRDefault="00183A1F" w:rsidP="00183A1F">
            <w:pPr>
              <w:pStyle w:val="ARtabletextright"/>
            </w:pPr>
            <w:r>
              <w:t>0</w:t>
            </w:r>
          </w:p>
        </w:tc>
        <w:tc>
          <w:tcPr>
            <w:tcW w:w="851" w:type="dxa"/>
          </w:tcPr>
          <w:p w14:paraId="4FDEC9BD" w14:textId="77777777" w:rsidR="00183A1F" w:rsidRDefault="00183A1F" w:rsidP="008D2D99">
            <w:pPr>
              <w:pStyle w:val="ARtabletextrightbold"/>
            </w:pPr>
            <w:r>
              <w:t>1</w:t>
            </w:r>
          </w:p>
        </w:tc>
      </w:tr>
      <w:tr w:rsidR="00183A1F" w:rsidRPr="00016BA5" w14:paraId="7C53DDEC" w14:textId="77777777" w:rsidTr="008D2D99">
        <w:trPr>
          <w:cantSplit w:val="0"/>
          <w:trHeight w:val="298"/>
        </w:trPr>
        <w:tc>
          <w:tcPr>
            <w:tcW w:w="3289" w:type="dxa"/>
          </w:tcPr>
          <w:p w14:paraId="3B194241" w14:textId="77777777" w:rsidR="00183A1F" w:rsidRPr="00016BA5" w:rsidRDefault="00183A1F" w:rsidP="008D2D99">
            <w:pPr>
              <w:pStyle w:val="ARtabletextbold"/>
            </w:pPr>
            <w:r w:rsidRPr="00016BA5">
              <w:lastRenderedPageBreak/>
              <w:t>Total</w:t>
            </w:r>
          </w:p>
        </w:tc>
        <w:tc>
          <w:tcPr>
            <w:tcW w:w="851" w:type="dxa"/>
          </w:tcPr>
          <w:p w14:paraId="530F7E32" w14:textId="77777777" w:rsidR="00183A1F" w:rsidRPr="00016BA5" w:rsidRDefault="00183A1F" w:rsidP="008D2D99">
            <w:pPr>
              <w:pStyle w:val="ARtabletextrightbold"/>
            </w:pPr>
            <w:r w:rsidRPr="00016BA5">
              <w:t>160</w:t>
            </w:r>
          </w:p>
        </w:tc>
        <w:tc>
          <w:tcPr>
            <w:tcW w:w="851" w:type="dxa"/>
          </w:tcPr>
          <w:p w14:paraId="1469220D" w14:textId="77777777" w:rsidR="00183A1F" w:rsidRPr="00016BA5" w:rsidRDefault="00183A1F" w:rsidP="008D2D99">
            <w:pPr>
              <w:pStyle w:val="ARtabletextrightbold"/>
            </w:pPr>
            <w:r w:rsidRPr="00016BA5">
              <w:t>151</w:t>
            </w:r>
          </w:p>
        </w:tc>
        <w:tc>
          <w:tcPr>
            <w:tcW w:w="1021" w:type="dxa"/>
            <w:tcBorders>
              <w:top w:val="single" w:sz="4" w:space="0" w:color="auto"/>
            </w:tcBorders>
          </w:tcPr>
          <w:p w14:paraId="204C170E" w14:textId="77777777" w:rsidR="00183A1F" w:rsidRPr="00016BA5" w:rsidRDefault="00183A1F" w:rsidP="008D2D99">
            <w:pPr>
              <w:pStyle w:val="ARtabletextrightbold"/>
            </w:pPr>
            <w:r w:rsidRPr="00016BA5">
              <w:t>0</w:t>
            </w:r>
          </w:p>
        </w:tc>
        <w:tc>
          <w:tcPr>
            <w:tcW w:w="851" w:type="dxa"/>
            <w:tcBorders>
              <w:top w:val="single" w:sz="4" w:space="0" w:color="auto"/>
              <w:right w:val="single" w:sz="4" w:space="0" w:color="auto"/>
            </w:tcBorders>
          </w:tcPr>
          <w:p w14:paraId="221D2EC2" w14:textId="77777777" w:rsidR="00183A1F" w:rsidRPr="00016BA5" w:rsidRDefault="00183A1F" w:rsidP="008D2D99">
            <w:pPr>
              <w:pStyle w:val="ARtabletextrightbold"/>
            </w:pPr>
            <w:r w:rsidRPr="00016BA5">
              <w:t>311</w:t>
            </w:r>
          </w:p>
        </w:tc>
        <w:tc>
          <w:tcPr>
            <w:tcW w:w="851" w:type="dxa"/>
            <w:tcBorders>
              <w:left w:val="single" w:sz="4" w:space="0" w:color="auto"/>
            </w:tcBorders>
          </w:tcPr>
          <w:p w14:paraId="54978491" w14:textId="77777777" w:rsidR="00183A1F" w:rsidRPr="00016BA5" w:rsidRDefault="00183A1F" w:rsidP="008D2D99">
            <w:pPr>
              <w:pStyle w:val="ARtabletextrightbold"/>
            </w:pPr>
            <w:r w:rsidRPr="00016BA5">
              <w:t>168</w:t>
            </w:r>
          </w:p>
        </w:tc>
        <w:tc>
          <w:tcPr>
            <w:tcW w:w="851" w:type="dxa"/>
          </w:tcPr>
          <w:p w14:paraId="53C5A270" w14:textId="77777777" w:rsidR="00183A1F" w:rsidRPr="00016BA5" w:rsidRDefault="00183A1F" w:rsidP="008D2D99">
            <w:pPr>
              <w:pStyle w:val="ARtabletextrightbold"/>
            </w:pPr>
            <w:r w:rsidRPr="00016BA5">
              <w:t>158</w:t>
            </w:r>
          </w:p>
        </w:tc>
        <w:tc>
          <w:tcPr>
            <w:tcW w:w="1021" w:type="dxa"/>
            <w:tcBorders>
              <w:top w:val="single" w:sz="4" w:space="0" w:color="auto"/>
            </w:tcBorders>
          </w:tcPr>
          <w:p w14:paraId="5FF594E0" w14:textId="77777777" w:rsidR="00183A1F" w:rsidRPr="00016BA5" w:rsidRDefault="00183A1F" w:rsidP="008D2D99">
            <w:pPr>
              <w:pStyle w:val="ARtabletextrightbold"/>
            </w:pPr>
            <w:r w:rsidRPr="00016BA5">
              <w:t>0</w:t>
            </w:r>
          </w:p>
        </w:tc>
        <w:tc>
          <w:tcPr>
            <w:tcW w:w="851" w:type="dxa"/>
            <w:tcBorders>
              <w:top w:val="single" w:sz="4" w:space="0" w:color="auto"/>
              <w:right w:val="single" w:sz="4" w:space="0" w:color="auto"/>
            </w:tcBorders>
          </w:tcPr>
          <w:p w14:paraId="6B5D4EAE" w14:textId="77777777" w:rsidR="00183A1F" w:rsidRPr="00016BA5" w:rsidRDefault="00183A1F" w:rsidP="008D2D99">
            <w:pPr>
              <w:pStyle w:val="ARtabletextrightbold"/>
            </w:pPr>
            <w:r w:rsidRPr="00016BA5">
              <w:t>326</w:t>
            </w:r>
          </w:p>
        </w:tc>
        <w:tc>
          <w:tcPr>
            <w:tcW w:w="851" w:type="dxa"/>
            <w:tcBorders>
              <w:left w:val="single" w:sz="4" w:space="0" w:color="auto"/>
            </w:tcBorders>
          </w:tcPr>
          <w:p w14:paraId="75A06C55" w14:textId="3B6C414F" w:rsidR="00183A1F" w:rsidRPr="00016BA5" w:rsidRDefault="00EC65C3" w:rsidP="008D2D99">
            <w:pPr>
              <w:pStyle w:val="ARtabletextrightbold"/>
            </w:pPr>
            <w:r>
              <w:t>−</w:t>
            </w:r>
            <w:r w:rsidR="00183A1F" w:rsidRPr="00016BA5">
              <w:t>8</w:t>
            </w:r>
          </w:p>
        </w:tc>
        <w:tc>
          <w:tcPr>
            <w:tcW w:w="851" w:type="dxa"/>
          </w:tcPr>
          <w:p w14:paraId="2668F44A" w14:textId="2EBA09E1" w:rsidR="00183A1F" w:rsidRPr="00016BA5" w:rsidRDefault="00EC65C3" w:rsidP="008D2D99">
            <w:pPr>
              <w:pStyle w:val="ARtabletextrightbold"/>
            </w:pPr>
            <w:r>
              <w:t>−</w:t>
            </w:r>
            <w:r w:rsidR="00183A1F" w:rsidRPr="00016BA5">
              <w:t>7</w:t>
            </w:r>
          </w:p>
        </w:tc>
        <w:tc>
          <w:tcPr>
            <w:tcW w:w="1021" w:type="dxa"/>
          </w:tcPr>
          <w:p w14:paraId="237074A8" w14:textId="77777777" w:rsidR="00183A1F" w:rsidRPr="00016BA5" w:rsidRDefault="00183A1F" w:rsidP="008D2D99">
            <w:pPr>
              <w:pStyle w:val="ARtabletextrightbold"/>
            </w:pPr>
            <w:r w:rsidRPr="00016BA5">
              <w:t>0</w:t>
            </w:r>
          </w:p>
        </w:tc>
        <w:tc>
          <w:tcPr>
            <w:tcW w:w="851" w:type="dxa"/>
          </w:tcPr>
          <w:p w14:paraId="2C38063B" w14:textId="1F813488" w:rsidR="00183A1F" w:rsidRPr="00016BA5" w:rsidRDefault="00EC65C3" w:rsidP="008D2D99">
            <w:pPr>
              <w:pStyle w:val="ARtabletextrightbold"/>
            </w:pPr>
            <w:r>
              <w:t>−</w:t>
            </w:r>
            <w:r w:rsidR="00183A1F" w:rsidRPr="00016BA5">
              <w:t>15</w:t>
            </w:r>
          </w:p>
        </w:tc>
      </w:tr>
    </w:tbl>
    <w:p w14:paraId="3875946E" w14:textId="1555334E" w:rsidR="00183A1F" w:rsidRPr="00016BA5" w:rsidRDefault="00183A1F" w:rsidP="00183A1F">
      <w:pPr>
        <w:pStyle w:val="ARtablefootnote"/>
      </w:pPr>
      <w:r w:rsidRPr="00016BA5">
        <w:t>Notes:</w:t>
      </w:r>
    </w:p>
    <w:p w14:paraId="11CC16CE" w14:textId="25E176B6" w:rsidR="00183A1F" w:rsidRPr="00016BA5" w:rsidRDefault="00183A1F" w:rsidP="00183A1F">
      <w:pPr>
        <w:pStyle w:val="ARtablefootnote"/>
      </w:pPr>
      <w:r w:rsidRPr="00016BA5">
        <w:t xml:space="preserve">For the purpose of this table, </w:t>
      </w:r>
      <w:r w:rsidR="00643A6E">
        <w:t>EOs</w:t>
      </w:r>
      <w:r w:rsidR="00643A6E" w:rsidRPr="00016BA5" w:rsidDel="00643A6E">
        <w:t xml:space="preserve"> </w:t>
      </w:r>
      <w:r w:rsidRPr="00016BA5">
        <w:t xml:space="preserve">are defined as employees who have significant management responsibility AND receive a </w:t>
      </w:r>
      <w:r w:rsidR="00643A6E">
        <w:t xml:space="preserve">total remuneration </w:t>
      </w:r>
      <w:r w:rsidR="00643A6E" w:rsidRPr="00046EC1">
        <w:t xml:space="preserve">package </w:t>
      </w:r>
      <w:r w:rsidRPr="00046EC1">
        <w:t>of $192,809 or</w:t>
      </w:r>
      <w:r w:rsidRPr="00016BA5">
        <w:t xml:space="preserve"> more.</w:t>
      </w:r>
    </w:p>
    <w:p w14:paraId="5D93A451" w14:textId="77777777" w:rsidR="00183A1F" w:rsidRPr="00016BA5" w:rsidRDefault="00183A1F" w:rsidP="00183A1F">
      <w:pPr>
        <w:pStyle w:val="ARtablefootnote"/>
      </w:pPr>
      <w:r w:rsidRPr="00016BA5">
        <w:t>All figures reflect employment levels as at 30 June 2021 unless otherwise stated.</w:t>
      </w:r>
    </w:p>
    <w:p w14:paraId="04139C35" w14:textId="77777777" w:rsidR="00183A1F" w:rsidRPr="00016BA5" w:rsidRDefault="00183A1F" w:rsidP="00183A1F">
      <w:pPr>
        <w:pStyle w:val="ARtablefootnote"/>
      </w:pPr>
      <w:r w:rsidRPr="00016BA5">
        <w:t>Excluded are those on leave without pay or absent on secondment, external contractors / consultants and temporary staff employed by employment agencies.</w:t>
      </w:r>
    </w:p>
    <w:p w14:paraId="7F5C5C7D" w14:textId="6C81CC89" w:rsidR="00183A1F" w:rsidRPr="00CB76A9" w:rsidRDefault="00183A1F" w:rsidP="00183A1F">
      <w:pPr>
        <w:pStyle w:val="ARtablefootnote"/>
      </w:pPr>
      <w:r w:rsidRPr="00016BA5">
        <w:t xml:space="preserve">Mildura Base Public Hospital became a public hospital in 2020. </w:t>
      </w:r>
      <w:r w:rsidR="003E0CEB" w:rsidRPr="003E0CEB">
        <w:t xml:space="preserve">No </w:t>
      </w:r>
      <w:r w:rsidR="003E0CEB">
        <w:t>p</w:t>
      </w:r>
      <w:r w:rsidR="003E0CEB" w:rsidRPr="003E0CEB">
        <w:t xml:space="preserve">ublic entity </w:t>
      </w:r>
      <w:r w:rsidR="003E0CEB">
        <w:t>e</w:t>
      </w:r>
      <w:r w:rsidR="003E0CEB" w:rsidRPr="003E0CEB">
        <w:t xml:space="preserve">xecutive </w:t>
      </w:r>
      <w:r w:rsidR="003E0CEB">
        <w:t>r</w:t>
      </w:r>
      <w:r w:rsidR="003E0CEB" w:rsidRPr="003E0CEB">
        <w:t xml:space="preserve">enumeration submission </w:t>
      </w:r>
      <w:r w:rsidRPr="00016BA5">
        <w:t>last year.</w:t>
      </w:r>
    </w:p>
    <w:p w14:paraId="2AA330CF" w14:textId="2A4133D3" w:rsidR="0015132C" w:rsidRPr="0015132C" w:rsidRDefault="0015132C" w:rsidP="0015132C">
      <w:pPr>
        <w:pStyle w:val="ARtablefootnote"/>
        <w:rPr>
          <w:rFonts w:ascii="Segoe UI" w:hAnsi="Segoe UI" w:cs="Segoe UI"/>
          <w:sz w:val="18"/>
          <w:szCs w:val="18"/>
        </w:rPr>
        <w:sectPr w:rsidR="0015132C" w:rsidRPr="0015132C" w:rsidSect="0015132C">
          <w:footnotePr>
            <w:numFmt w:val="lowerLetter"/>
            <w:numRestart w:val="eachPage"/>
          </w:footnotePr>
          <w:endnotePr>
            <w:numFmt w:val="decimal"/>
          </w:endnotePr>
          <w:pgSz w:w="16840" w:h="11900" w:orient="landscape" w:code="9"/>
          <w:pgMar w:top="1134" w:right="1985" w:bottom="1134" w:left="851" w:header="510" w:footer="340" w:gutter="0"/>
          <w:cols w:space="454"/>
          <w:docGrid w:linePitch="299"/>
        </w:sectPr>
      </w:pPr>
    </w:p>
    <w:p w14:paraId="68B59EEE" w14:textId="77777777" w:rsidR="0015132C" w:rsidRPr="00B64216" w:rsidRDefault="0015132C" w:rsidP="00DA5F2B">
      <w:pPr>
        <w:pStyle w:val="Heading2"/>
        <w:spacing w:before="0"/>
        <w:rPr>
          <w:rFonts w:cs="Arial"/>
        </w:rPr>
      </w:pPr>
      <w:bookmarkStart w:id="457" w:name="_Toc85121243"/>
      <w:bookmarkStart w:id="458" w:name="_Toc85121612"/>
      <w:bookmarkStart w:id="459" w:name="_Toc86075595"/>
      <w:r w:rsidRPr="00B64216">
        <w:rPr>
          <w:rFonts w:cs="Arial"/>
        </w:rPr>
        <w:lastRenderedPageBreak/>
        <w:t>Workforce inclusion policy</w:t>
      </w:r>
      <w:bookmarkEnd w:id="457"/>
      <w:bookmarkEnd w:id="458"/>
      <w:bookmarkEnd w:id="459"/>
    </w:p>
    <w:p w14:paraId="1A9F1071" w14:textId="53A61EA3" w:rsidR="0015132C" w:rsidRDefault="0015132C" w:rsidP="00897193">
      <w:pPr>
        <w:pStyle w:val="ARbody"/>
        <w:rPr>
          <w:color w:val="323130"/>
          <w:lang w:val="en-US"/>
        </w:rPr>
      </w:pPr>
      <w:r>
        <w:t xml:space="preserve">The department is committed </w:t>
      </w:r>
      <w:r>
        <w:rPr>
          <w:color w:val="323130"/>
          <w:lang w:val="en-US"/>
        </w:rPr>
        <w:t>to creating a workplace that reflects the significant diversity of</w:t>
      </w:r>
      <w:r w:rsidR="00553B72">
        <w:rPr>
          <w:color w:val="323130"/>
          <w:lang w:val="en-US"/>
        </w:rPr>
        <w:t> </w:t>
      </w:r>
      <w:r>
        <w:rPr>
          <w:color w:val="323130"/>
          <w:lang w:val="en-US"/>
        </w:rPr>
        <w:t>the Victorian community.</w:t>
      </w:r>
    </w:p>
    <w:p w14:paraId="63467BD1" w14:textId="37017DDE" w:rsidR="0015132C" w:rsidRPr="00195D12" w:rsidRDefault="0015132C" w:rsidP="0015132C">
      <w:pPr>
        <w:pStyle w:val="ARbody"/>
        <w:rPr>
          <w:lang w:val="en-US"/>
        </w:rPr>
      </w:pPr>
      <w:r w:rsidRPr="00195D12">
        <w:rPr>
          <w:lang w:val="en-US"/>
        </w:rPr>
        <w:t>We understand the unique and varied challenges of</w:t>
      </w:r>
      <w:r w:rsidR="00553B72">
        <w:rPr>
          <w:lang w:val="en-US"/>
        </w:rPr>
        <w:t> </w:t>
      </w:r>
      <w:r w:rsidRPr="00195D12">
        <w:rPr>
          <w:lang w:val="en-US"/>
        </w:rPr>
        <w:t>our diverse workforce and their families</w:t>
      </w:r>
      <w:r w:rsidR="00367F94" w:rsidRPr="00195D12">
        <w:rPr>
          <w:lang w:val="en-US"/>
        </w:rPr>
        <w:t>,</w:t>
      </w:r>
      <w:r w:rsidRPr="00195D12">
        <w:rPr>
          <w:lang w:val="en-US"/>
        </w:rPr>
        <w:t xml:space="preserve"> and we are committed to removing barriers and achieving equality, fairness and inclusion. The things we do that enable this are encompassed in the seven pillars of inclusion:</w:t>
      </w:r>
    </w:p>
    <w:p w14:paraId="2208E6AE" w14:textId="77777777" w:rsidR="0015132C" w:rsidRPr="004330D7" w:rsidRDefault="0015132C" w:rsidP="004330D7">
      <w:pPr>
        <w:pStyle w:val="ARnumberdigit"/>
        <w:numPr>
          <w:ilvl w:val="0"/>
          <w:numId w:val="43"/>
        </w:numPr>
        <w:rPr>
          <w:lang w:val="en-US"/>
        </w:rPr>
      </w:pPr>
      <w:r w:rsidRPr="004330D7">
        <w:rPr>
          <w:b/>
          <w:bCs/>
          <w:lang w:val="en-US"/>
        </w:rPr>
        <w:t>Access:</w:t>
      </w:r>
      <w:r w:rsidRPr="004330D7">
        <w:rPr>
          <w:lang w:val="en-US"/>
        </w:rPr>
        <w:t xml:space="preserve"> removing barriers in both the physical and cultural environments</w:t>
      </w:r>
    </w:p>
    <w:p w14:paraId="4A866E50" w14:textId="77777777" w:rsidR="0015132C" w:rsidRPr="00195D12" w:rsidRDefault="0015132C" w:rsidP="00216915">
      <w:pPr>
        <w:pStyle w:val="ARnumberdigit"/>
        <w:rPr>
          <w:lang w:val="en-US"/>
        </w:rPr>
      </w:pPr>
      <w:r w:rsidRPr="00195D12">
        <w:rPr>
          <w:b/>
          <w:bCs/>
          <w:lang w:val="en-US"/>
        </w:rPr>
        <w:t>Attitude:</w:t>
      </w:r>
      <w:r w:rsidRPr="00195D12">
        <w:rPr>
          <w:lang w:val="en-US"/>
        </w:rPr>
        <w:t xml:space="preserve"> narrowing the gap between thought and action</w:t>
      </w:r>
    </w:p>
    <w:p w14:paraId="2242C962" w14:textId="77777777" w:rsidR="0015132C" w:rsidRPr="00195D12" w:rsidRDefault="0015132C" w:rsidP="00216915">
      <w:pPr>
        <w:pStyle w:val="ARnumberdigit"/>
        <w:rPr>
          <w:lang w:val="en-US"/>
        </w:rPr>
      </w:pPr>
      <w:r w:rsidRPr="00195D12">
        <w:rPr>
          <w:b/>
          <w:bCs/>
          <w:lang w:val="en-US"/>
        </w:rPr>
        <w:t>Choice:</w:t>
      </w:r>
      <w:r w:rsidRPr="00195D12">
        <w:rPr>
          <w:lang w:val="en-US"/>
        </w:rPr>
        <w:t xml:space="preserve"> enabling the options people want</w:t>
      </w:r>
    </w:p>
    <w:p w14:paraId="773471AA" w14:textId="77777777" w:rsidR="0015132C" w:rsidRPr="00195D12" w:rsidRDefault="0015132C" w:rsidP="00216915">
      <w:pPr>
        <w:pStyle w:val="ARnumberdigit"/>
        <w:rPr>
          <w:lang w:val="en-US"/>
        </w:rPr>
      </w:pPr>
      <w:r w:rsidRPr="00195D12">
        <w:rPr>
          <w:b/>
          <w:bCs/>
          <w:lang w:val="en-US"/>
        </w:rPr>
        <w:t>Partnerships</w:t>
      </w:r>
      <w:r w:rsidRPr="00195D12">
        <w:rPr>
          <w:lang w:val="en-US"/>
        </w:rPr>
        <w:t>: building relationships and networks that bind us together</w:t>
      </w:r>
    </w:p>
    <w:p w14:paraId="31F98863" w14:textId="3EF67748" w:rsidR="0015132C" w:rsidRPr="00195D12" w:rsidRDefault="0015132C" w:rsidP="00216915">
      <w:pPr>
        <w:pStyle w:val="ARnumberdigit"/>
        <w:rPr>
          <w:lang w:val="en-US"/>
        </w:rPr>
      </w:pPr>
      <w:r w:rsidRPr="00195D12">
        <w:rPr>
          <w:b/>
          <w:bCs/>
          <w:lang w:val="en-US"/>
        </w:rPr>
        <w:t>Communication:</w:t>
      </w:r>
      <w:r w:rsidRPr="00195D12">
        <w:rPr>
          <w:lang w:val="en-US"/>
        </w:rPr>
        <w:t xml:space="preserve"> let</w:t>
      </w:r>
      <w:r w:rsidR="00D11CA0">
        <w:rPr>
          <w:lang w:val="en-US"/>
        </w:rPr>
        <w:t>ting</w:t>
      </w:r>
      <w:r w:rsidRPr="00195D12">
        <w:rPr>
          <w:lang w:val="en-US"/>
        </w:rPr>
        <w:t xml:space="preserve"> people know about options and get</w:t>
      </w:r>
      <w:r w:rsidR="00D11CA0">
        <w:rPr>
          <w:lang w:val="en-US"/>
        </w:rPr>
        <w:t>ting</w:t>
      </w:r>
      <w:r w:rsidRPr="00195D12">
        <w:rPr>
          <w:lang w:val="en-US"/>
        </w:rPr>
        <w:t xml:space="preserve"> them involved</w:t>
      </w:r>
    </w:p>
    <w:p w14:paraId="4CF1FABB" w14:textId="77777777" w:rsidR="0015132C" w:rsidRPr="00195D12" w:rsidRDefault="0015132C" w:rsidP="00216915">
      <w:pPr>
        <w:pStyle w:val="ARnumberdigit"/>
        <w:rPr>
          <w:lang w:val="en-US"/>
        </w:rPr>
      </w:pPr>
      <w:r w:rsidRPr="00195D12">
        <w:rPr>
          <w:b/>
          <w:bCs/>
          <w:lang w:val="en-US"/>
        </w:rPr>
        <w:t>Policy:</w:t>
      </w:r>
      <w:r w:rsidRPr="00195D12">
        <w:rPr>
          <w:lang w:val="en-US"/>
        </w:rPr>
        <w:t xml:space="preserve"> creating accountability and responsibility to deliver on our commitments</w:t>
      </w:r>
    </w:p>
    <w:p w14:paraId="7A2CBDAF" w14:textId="77777777" w:rsidR="0015132C" w:rsidRPr="00195D12" w:rsidRDefault="0015132C" w:rsidP="00216915">
      <w:pPr>
        <w:pStyle w:val="ARnumberdigit"/>
        <w:rPr>
          <w:lang w:val="en-US"/>
        </w:rPr>
      </w:pPr>
      <w:r w:rsidRPr="00195D12">
        <w:rPr>
          <w:b/>
          <w:bCs/>
          <w:lang w:val="en-US"/>
        </w:rPr>
        <w:t>Opportunities</w:t>
      </w:r>
      <w:r w:rsidRPr="00195D12">
        <w:rPr>
          <w:lang w:val="en-US"/>
        </w:rPr>
        <w:t>: providing opportunities for people from minority cohorts.</w:t>
      </w:r>
    </w:p>
    <w:p w14:paraId="2175D60A" w14:textId="77777777" w:rsidR="0015132C" w:rsidRPr="002029AF" w:rsidRDefault="0015132C" w:rsidP="0015132C">
      <w:pPr>
        <w:pStyle w:val="Heading3"/>
      </w:pPr>
      <w:bookmarkStart w:id="460" w:name="_Disability_employment_strategy"/>
      <w:bookmarkStart w:id="461" w:name="_Ref83219711"/>
      <w:bookmarkStart w:id="462" w:name="_Toc85121244"/>
      <w:bookmarkEnd w:id="460"/>
      <w:r w:rsidRPr="002029AF">
        <w:t>Disability employment strategy</w:t>
      </w:r>
      <w:bookmarkEnd w:id="461"/>
      <w:bookmarkEnd w:id="462"/>
    </w:p>
    <w:p w14:paraId="342FB6F4" w14:textId="77E4B527" w:rsidR="00F8606E" w:rsidRDefault="0015132C" w:rsidP="0015132C">
      <w:pPr>
        <w:pStyle w:val="ARbody"/>
      </w:pPr>
      <w:r w:rsidRPr="002029AF">
        <w:t>The department</w:t>
      </w:r>
      <w:r w:rsidR="007D145B">
        <w:t>’</w:t>
      </w:r>
      <w:r>
        <w:t>s</w:t>
      </w:r>
      <w:r w:rsidRPr="002029AF">
        <w:t xml:space="preserve"> </w:t>
      </w:r>
      <w:r w:rsidRPr="002029AF">
        <w:rPr>
          <w:i/>
          <w:iCs/>
        </w:rPr>
        <w:t>Disability employment strategy 2018–2020</w:t>
      </w:r>
      <w:r w:rsidRPr="002029AF">
        <w:t xml:space="preserve"> support</w:t>
      </w:r>
      <w:r>
        <w:t>ed</w:t>
      </w:r>
      <w:r w:rsidRPr="002029AF">
        <w:t xml:space="preserve"> increased opportunities for people with a disability to work in the department</w:t>
      </w:r>
      <w:r>
        <w:t xml:space="preserve"> and provided a focus for the department to ensure</w:t>
      </w:r>
      <w:r w:rsidR="00553B72">
        <w:t> </w:t>
      </w:r>
      <w:r>
        <w:t>staff</w:t>
      </w:r>
      <w:r w:rsidRPr="002029AF">
        <w:t xml:space="preserve"> with </w:t>
      </w:r>
      <w:r>
        <w:t>disability were supported in the</w:t>
      </w:r>
      <w:r w:rsidR="00553B72">
        <w:t> </w:t>
      </w:r>
      <w:r>
        <w:t>recruitment process and with adjustments to</w:t>
      </w:r>
      <w:r w:rsidR="00553B72">
        <w:t> </w:t>
      </w:r>
      <w:r>
        <w:t>the</w:t>
      </w:r>
      <w:r w:rsidR="00553B72">
        <w:t> </w:t>
      </w:r>
      <w:r>
        <w:t>workplace.</w:t>
      </w:r>
    </w:p>
    <w:p w14:paraId="7E8A1493" w14:textId="4CA75BE9" w:rsidR="0015132C" w:rsidRPr="002029AF" w:rsidRDefault="0015132C" w:rsidP="0015132C">
      <w:pPr>
        <w:pStyle w:val="ARbody"/>
      </w:pPr>
      <w:r>
        <w:t xml:space="preserve">The expiry of the strategy and machinery of government changes have led to the development of a new </w:t>
      </w:r>
      <w:r w:rsidRPr="00F25C46">
        <w:rPr>
          <w:i/>
          <w:iCs/>
        </w:rPr>
        <w:t xml:space="preserve">Disability </w:t>
      </w:r>
      <w:r w:rsidR="001056C9">
        <w:rPr>
          <w:i/>
          <w:iCs/>
        </w:rPr>
        <w:t>e</w:t>
      </w:r>
      <w:r w:rsidRPr="00F25C46">
        <w:rPr>
          <w:i/>
          <w:iCs/>
        </w:rPr>
        <w:t>mployment</w:t>
      </w:r>
      <w:r>
        <w:t xml:space="preserve"> </w:t>
      </w:r>
      <w:r w:rsidR="001056C9" w:rsidRPr="00F25C46">
        <w:rPr>
          <w:i/>
          <w:iCs/>
        </w:rPr>
        <w:t>a</w:t>
      </w:r>
      <w:r w:rsidRPr="00F25C46">
        <w:rPr>
          <w:i/>
          <w:iCs/>
        </w:rPr>
        <w:t xml:space="preserve">ction </w:t>
      </w:r>
      <w:r w:rsidR="001056C9" w:rsidRPr="00F25C46">
        <w:rPr>
          <w:i/>
          <w:iCs/>
        </w:rPr>
        <w:t>p</w:t>
      </w:r>
      <w:r w:rsidRPr="00F25C46">
        <w:rPr>
          <w:i/>
          <w:iCs/>
        </w:rPr>
        <w:t>lan</w:t>
      </w:r>
      <w:r>
        <w:t>.</w:t>
      </w:r>
      <w:r w:rsidR="00F8606E">
        <w:t xml:space="preserve"> </w:t>
      </w:r>
      <w:r>
        <w:t>The</w:t>
      </w:r>
      <w:r w:rsidR="00553B72">
        <w:t> </w:t>
      </w:r>
      <w:r>
        <w:t xml:space="preserve">plan is guided by </w:t>
      </w:r>
      <w:r w:rsidRPr="00F25C46">
        <w:rPr>
          <w:i/>
          <w:iCs/>
        </w:rPr>
        <w:t>Getting to work:</w:t>
      </w:r>
      <w:r w:rsidR="009D7C32">
        <w:rPr>
          <w:i/>
          <w:iCs/>
        </w:rPr>
        <w:t xml:space="preserve"> </w:t>
      </w:r>
      <w:r w:rsidRPr="00F76D2D">
        <w:rPr>
          <w:i/>
          <w:iCs/>
        </w:rPr>
        <w:t>Victorian public sector disability employment action plan 2018–2025</w:t>
      </w:r>
      <w:r>
        <w:rPr>
          <w:i/>
          <w:iCs/>
        </w:rPr>
        <w:t xml:space="preserve">, </w:t>
      </w:r>
      <w:r w:rsidRPr="00BF2CFC">
        <w:t>which commits the public sector workforce to a 12</w:t>
      </w:r>
      <w:r w:rsidR="001056C9">
        <w:t xml:space="preserve"> per cent</w:t>
      </w:r>
      <w:r w:rsidRPr="00BF2CFC">
        <w:t xml:space="preserve"> representation of people</w:t>
      </w:r>
      <w:r w:rsidR="00553B72">
        <w:t> </w:t>
      </w:r>
      <w:r w:rsidRPr="00BF2CFC">
        <w:t>with disability by 2025.</w:t>
      </w:r>
    </w:p>
    <w:p w14:paraId="124448E9" w14:textId="77777777" w:rsidR="0015132C" w:rsidRPr="002029AF" w:rsidRDefault="0015132C" w:rsidP="0015132C">
      <w:pPr>
        <w:pStyle w:val="ARbody"/>
      </w:pPr>
      <w:r w:rsidRPr="002029AF">
        <w:t>The RISE@DHHS program continued to provide meaningful employment for people</w:t>
      </w:r>
      <w:r w:rsidRPr="002029AF">
        <w:rPr>
          <w:rFonts w:ascii="Calibri" w:eastAsia="MS Mincho" w:hAnsi="Calibri" w:cs="Segoe UI"/>
          <w:color w:val="0078D4"/>
          <w:sz w:val="22"/>
          <w:szCs w:val="22"/>
          <w:u w:val="single"/>
        </w:rPr>
        <w:t xml:space="preserve"> </w:t>
      </w:r>
      <w:r w:rsidRPr="002029AF">
        <w:t>on the autism spectrum. The program established a set of</w:t>
      </w:r>
      <w:r>
        <w:t> </w:t>
      </w:r>
      <w:r w:rsidRPr="002029AF">
        <w:t>services from data entry to document and mail digitisation that can be provided to customers across government.</w:t>
      </w:r>
    </w:p>
    <w:p w14:paraId="60ADCFB6" w14:textId="4B7DE6F7" w:rsidR="0015132C" w:rsidRPr="002029AF" w:rsidRDefault="00553B72" w:rsidP="00F32EE2">
      <w:pPr>
        <w:pStyle w:val="ARbody"/>
      </w:pPr>
      <w:r>
        <w:br w:type="column"/>
      </w:r>
      <w:r w:rsidR="0015132C" w:rsidRPr="002029AF">
        <w:t xml:space="preserve">The department continued implementing </w:t>
      </w:r>
      <w:r w:rsidR="001056C9">
        <w:t xml:space="preserve">other </w:t>
      </w:r>
      <w:r w:rsidR="0015132C" w:rsidRPr="002029AF">
        <w:t>disability</w:t>
      </w:r>
      <w:r w:rsidR="0015132C">
        <w:t> </w:t>
      </w:r>
      <w:r w:rsidR="0015132C" w:rsidRPr="002029AF">
        <w:t>employment initiatives, including:</w:t>
      </w:r>
    </w:p>
    <w:p w14:paraId="07065462" w14:textId="1F4A5CA9" w:rsidR="0015132C" w:rsidRPr="00216915" w:rsidRDefault="0015132C" w:rsidP="00216915">
      <w:pPr>
        <w:pStyle w:val="ARbullet1"/>
      </w:pPr>
      <w:r w:rsidRPr="002029AF">
        <w:t>Positive Action t</w:t>
      </w:r>
      <w:r w:rsidRPr="00216915">
        <w:t>owards Career Engagement (PACE)</w:t>
      </w:r>
      <w:r w:rsidR="00C61A83">
        <w:t>,</w:t>
      </w:r>
      <w:r w:rsidR="008B3CA1">
        <w:t xml:space="preserve"> </w:t>
      </w:r>
      <w:r w:rsidR="00107BB6">
        <w:t>a</w:t>
      </w:r>
      <w:r w:rsidRPr="00216915">
        <w:t xml:space="preserve"> mentoring program connecting jobseekers with disability to mentors in the business</w:t>
      </w:r>
    </w:p>
    <w:p w14:paraId="18DFF039" w14:textId="7A331DA0" w:rsidR="0015132C" w:rsidRPr="002029AF" w:rsidRDefault="0015132C" w:rsidP="00216915">
      <w:pPr>
        <w:pStyle w:val="ARbullet1"/>
      </w:pPr>
      <w:r w:rsidRPr="00216915">
        <w:t>Stepping Into Interns</w:t>
      </w:r>
      <w:r>
        <w:t>hips, a paid internship</w:t>
      </w:r>
      <w:r w:rsidR="00107BB6">
        <w:t xml:space="preserve"> program</w:t>
      </w:r>
      <w:r>
        <w:t xml:space="preserve"> giving university students with disability a chance to gain valuable work experience.</w:t>
      </w:r>
    </w:p>
    <w:p w14:paraId="620F6C28" w14:textId="77777777" w:rsidR="0015132C" w:rsidRPr="002029AF" w:rsidRDefault="0015132C" w:rsidP="00553B72">
      <w:pPr>
        <w:pStyle w:val="ARbodyafterbullets"/>
      </w:pPr>
      <w:r w:rsidRPr="002029AF">
        <w:t>The department also continued to work with the Australian Network on Disability at roundtable opportunities and to provide confidence training for</w:t>
      </w:r>
      <w:r>
        <w:t> </w:t>
      </w:r>
      <w:r w:rsidRPr="002029AF">
        <w:t>employees with disability.</w:t>
      </w:r>
    </w:p>
    <w:p w14:paraId="04B5363E" w14:textId="69AF9CA5" w:rsidR="0015132C" w:rsidRPr="002029AF" w:rsidRDefault="0015132C" w:rsidP="0015132C">
      <w:pPr>
        <w:pStyle w:val="ARbody"/>
      </w:pPr>
      <w:r w:rsidRPr="002029AF">
        <w:t>The Enablers Network for people with disability at work continued supporting the needs, interests and concerns of employees with disability to ensure a voice and fair and equitable outcomes.</w:t>
      </w:r>
    </w:p>
    <w:p w14:paraId="36EE97BB" w14:textId="77777777" w:rsidR="0015132C" w:rsidRPr="002029AF" w:rsidRDefault="0015132C" w:rsidP="0015132C">
      <w:pPr>
        <w:pStyle w:val="Heading3"/>
      </w:pPr>
      <w:bookmarkStart w:id="463" w:name="_Toc85121245"/>
      <w:r w:rsidRPr="002029AF">
        <w:t>Aboriginal employment strategy</w:t>
      </w:r>
      <w:bookmarkEnd w:id="463"/>
    </w:p>
    <w:p w14:paraId="7A3FA50A" w14:textId="77777777" w:rsidR="0015132C" w:rsidRPr="00452B89" w:rsidRDefault="0015132C" w:rsidP="0015132C">
      <w:pPr>
        <w:pStyle w:val="ARbody"/>
      </w:pPr>
      <w:r w:rsidRPr="00452B89">
        <w:t xml:space="preserve">The department continued implementing the </w:t>
      </w:r>
      <w:r w:rsidRPr="00F25C46">
        <w:rPr>
          <w:i/>
          <w:iCs/>
        </w:rPr>
        <w:t>Aboriginal employment strategy 2016–21</w:t>
      </w:r>
      <w:r>
        <w:t>.</w:t>
      </w:r>
    </w:p>
    <w:p w14:paraId="76AB751A" w14:textId="104AC8D2" w:rsidR="0015132C" w:rsidRDefault="0015132C" w:rsidP="0015132C">
      <w:pPr>
        <w:pStyle w:val="ARbody"/>
      </w:pPr>
      <w:r>
        <w:t xml:space="preserve">Progress against the strategy continues to track well. The Aboriginal workforce is now represented across all classifications, including with an increase in senior and executive roles. </w:t>
      </w:r>
      <w:r w:rsidRPr="00452B89">
        <w:t xml:space="preserve">We have also elevated Aboriginal voice at the most senior levels of our organisation with </w:t>
      </w:r>
      <w:r w:rsidR="00CB1D99">
        <w:t>t</w:t>
      </w:r>
      <w:r w:rsidRPr="00452B89">
        <w:t xml:space="preserve">he Chief Aboriginal Health Advisor appointed as a member of our </w:t>
      </w:r>
      <w:r w:rsidR="00107BB6">
        <w:t>executive b</w:t>
      </w:r>
      <w:r w:rsidRPr="00452B89">
        <w:t>oard.</w:t>
      </w:r>
    </w:p>
    <w:p w14:paraId="2AB86C0B" w14:textId="77777777" w:rsidR="0015132C" w:rsidRDefault="0015132C" w:rsidP="0015132C">
      <w:pPr>
        <w:pStyle w:val="ARbody"/>
      </w:pPr>
      <w:r>
        <w:t>A range of initiatives were implemented to support the department as a culturally safe employer of choice for Aboriginal people. These included:</w:t>
      </w:r>
    </w:p>
    <w:p w14:paraId="0015B6BF" w14:textId="77777777" w:rsidR="0015132C" w:rsidRDefault="0015132C" w:rsidP="00216915">
      <w:pPr>
        <w:pStyle w:val="ARbullet1"/>
      </w:pPr>
      <w:r>
        <w:t>allocating scholarships for secondary and tertiary students</w:t>
      </w:r>
    </w:p>
    <w:p w14:paraId="4B724D15" w14:textId="14AD2AE2" w:rsidR="00F8606E" w:rsidRDefault="0015132C" w:rsidP="00216915">
      <w:pPr>
        <w:pStyle w:val="ARbullet1"/>
      </w:pPr>
      <w:r>
        <w:t>the CareerTrackers</w:t>
      </w:r>
      <w:r w:rsidR="00107BB6">
        <w:t>,</w:t>
      </w:r>
      <w:r>
        <w:t xml:space="preserve"> 12-week internships</w:t>
      </w:r>
    </w:p>
    <w:p w14:paraId="7A87E555" w14:textId="258A7334" w:rsidR="0015132C" w:rsidRDefault="0015132C" w:rsidP="00216915">
      <w:pPr>
        <w:pStyle w:val="ARbullet1"/>
      </w:pPr>
      <w:r>
        <w:t>the Aboriginal graduate program</w:t>
      </w:r>
    </w:p>
    <w:p w14:paraId="4A75D6A1" w14:textId="5252EC4E" w:rsidR="0015132C" w:rsidRDefault="0015132C" w:rsidP="00216915">
      <w:pPr>
        <w:pStyle w:val="ARbullet1"/>
      </w:pPr>
      <w:r>
        <w:t>leadership programs, mentoring and coaching for employees</w:t>
      </w:r>
    </w:p>
    <w:p w14:paraId="25B7B5EE" w14:textId="52403BC2" w:rsidR="0015132C" w:rsidRDefault="0015132C" w:rsidP="00216915">
      <w:pPr>
        <w:pStyle w:val="ARbullet1"/>
      </w:pPr>
      <w:r>
        <w:t>strengthening the Aboriginal Staff Network.</w:t>
      </w:r>
    </w:p>
    <w:p w14:paraId="13CB4454" w14:textId="41C3FF74" w:rsidR="0015132C" w:rsidRDefault="0015132C" w:rsidP="00216915">
      <w:pPr>
        <w:pStyle w:val="ARbodyafterbullets"/>
      </w:pPr>
      <w:r w:rsidRPr="00452B89">
        <w:t>Increasing Aboriginal employment not only improves health and wellbeing</w:t>
      </w:r>
      <w:r w:rsidR="00107BB6">
        <w:t>;</w:t>
      </w:r>
      <w:r w:rsidRPr="00452B89">
        <w:t xml:space="preserve"> it is also a </w:t>
      </w:r>
      <w:r>
        <w:t>key driver</w:t>
      </w:r>
      <w:r w:rsidRPr="00452B89">
        <w:t xml:space="preserve"> for improving access to quality </w:t>
      </w:r>
      <w:r>
        <w:t>and culturally</w:t>
      </w:r>
      <w:r w:rsidRPr="00452B89">
        <w:t xml:space="preserve"> appropriate health and human </w:t>
      </w:r>
      <w:r>
        <w:t>services for</w:t>
      </w:r>
      <w:r w:rsidRPr="00452B89">
        <w:t xml:space="preserve"> Victoria</w:t>
      </w:r>
      <w:r w:rsidR="007D145B">
        <w:t>’</w:t>
      </w:r>
      <w:r w:rsidRPr="00452B89">
        <w:t>s Aboriginal community.</w:t>
      </w:r>
    </w:p>
    <w:p w14:paraId="653A046A" w14:textId="50E9364B" w:rsidR="00F8606E" w:rsidRDefault="00107BB6" w:rsidP="0015132C">
      <w:pPr>
        <w:pStyle w:val="ARbody"/>
      </w:pPr>
      <w:r>
        <w:t>Work commenced on t</w:t>
      </w:r>
      <w:r w:rsidR="0015132C">
        <w:t xml:space="preserve">he development of a new </w:t>
      </w:r>
      <w:r w:rsidR="0015132C" w:rsidRPr="00F25C46">
        <w:rPr>
          <w:i/>
          <w:iCs/>
        </w:rPr>
        <w:t>Aboriginal workforce strategy 2021</w:t>
      </w:r>
      <w:r w:rsidR="00216915" w:rsidRPr="00F25C46">
        <w:rPr>
          <w:i/>
          <w:iCs/>
        </w:rPr>
        <w:t>–</w:t>
      </w:r>
      <w:r w:rsidR="0015132C" w:rsidRPr="00F25C46">
        <w:rPr>
          <w:i/>
          <w:iCs/>
        </w:rPr>
        <w:t>2026</w:t>
      </w:r>
      <w:r>
        <w:t>,</w:t>
      </w:r>
      <w:r w:rsidR="0015132C">
        <w:t xml:space="preserve"> which will ensure we continue to grow and develop our </w:t>
      </w:r>
      <w:r>
        <w:t xml:space="preserve">Aboriginal </w:t>
      </w:r>
      <w:r w:rsidR="0015132C">
        <w:t>workforce.</w:t>
      </w:r>
    </w:p>
    <w:p w14:paraId="16E0AB79" w14:textId="7B040B7F" w:rsidR="0015132C" w:rsidRDefault="0015132C" w:rsidP="0015132C">
      <w:pPr>
        <w:pStyle w:val="Heading3"/>
      </w:pPr>
      <w:bookmarkStart w:id="464" w:name="_Toc85121246"/>
      <w:r>
        <w:lastRenderedPageBreak/>
        <w:t>Aboriginal and Torres Strait Islander</w:t>
      </w:r>
      <w:r w:rsidR="00216915">
        <w:t> </w:t>
      </w:r>
      <w:r>
        <w:t>cultural safety</w:t>
      </w:r>
      <w:bookmarkEnd w:id="464"/>
    </w:p>
    <w:p w14:paraId="4F8F3CB0" w14:textId="06B79026" w:rsidR="00864121" w:rsidRDefault="0015132C" w:rsidP="00F25C46">
      <w:pPr>
        <w:pStyle w:val="ARbody"/>
      </w:pPr>
      <w:bookmarkStart w:id="465" w:name="_Hlk78902546"/>
      <w:r w:rsidRPr="00FF0E94">
        <w:t xml:space="preserve">The department launched the </w:t>
      </w:r>
      <w:r w:rsidRPr="00A77E87">
        <w:rPr>
          <w:i/>
          <w:iCs/>
        </w:rPr>
        <w:t>Aboriginal and Torres Strait Islander cultural safety framework</w:t>
      </w:r>
      <w:r w:rsidRPr="00FF0E94">
        <w:t xml:space="preserve"> in June 2019. The framework</w:t>
      </w:r>
      <w:r w:rsidR="007D145B">
        <w:t>’</w:t>
      </w:r>
      <w:r w:rsidRPr="00FF0E94">
        <w:t>s vision</w:t>
      </w:r>
      <w:r w:rsidR="00FB3EA6">
        <w:t xml:space="preserve"> is</w:t>
      </w:r>
      <w:r w:rsidRPr="00FF0E94">
        <w:t xml:space="preserve"> to ensure the Victorian health, human and community service sector provides culturally safe practice and service provision that enables optimal health, wellbeing and safety outcomes for Aboriginal people.</w:t>
      </w:r>
    </w:p>
    <w:p w14:paraId="3FA12649" w14:textId="653793B8" w:rsidR="00F8606E" w:rsidRDefault="0015132C" w:rsidP="00216915">
      <w:pPr>
        <w:pStyle w:val="ARbody"/>
      </w:pPr>
      <w:r>
        <w:t>The</w:t>
      </w:r>
      <w:r w:rsidRPr="00FF0E94">
        <w:t xml:space="preserve"> first annual cultural safety survey was completed by our Aboriginal staff throughout October 202</w:t>
      </w:r>
      <w:r w:rsidR="00FB3EA6">
        <w:t>0</w:t>
      </w:r>
      <w:r w:rsidR="00BA3B1D">
        <w:t xml:space="preserve"> and found that </w:t>
      </w:r>
      <w:r w:rsidR="0082522D" w:rsidRPr="0082522D">
        <w:t xml:space="preserve">78 per cent of </w:t>
      </w:r>
      <w:r w:rsidR="0080256E">
        <w:t>respondents</w:t>
      </w:r>
      <w:r w:rsidR="0082522D" w:rsidRPr="0082522D">
        <w:t xml:space="preserve"> recommend</w:t>
      </w:r>
      <w:r w:rsidR="0080256E">
        <w:t>ed</w:t>
      </w:r>
      <w:r w:rsidR="0082522D" w:rsidRPr="0082522D">
        <w:t xml:space="preserve"> </w:t>
      </w:r>
      <w:r w:rsidR="0082522D">
        <w:t>the then Department of</w:t>
      </w:r>
      <w:r w:rsidR="00553B72">
        <w:t> </w:t>
      </w:r>
      <w:r w:rsidR="0082522D" w:rsidRPr="0082522D">
        <w:t>H</w:t>
      </w:r>
      <w:r w:rsidR="0082522D">
        <w:t xml:space="preserve">ealth and </w:t>
      </w:r>
      <w:r w:rsidR="0082522D" w:rsidRPr="0082522D">
        <w:t>H</w:t>
      </w:r>
      <w:r w:rsidR="0082522D">
        <w:t xml:space="preserve">uman </w:t>
      </w:r>
      <w:r w:rsidR="0082522D" w:rsidRPr="0082522D">
        <w:t>S</w:t>
      </w:r>
      <w:r w:rsidR="0082522D">
        <w:t xml:space="preserve">ervices </w:t>
      </w:r>
      <w:r w:rsidR="0082522D" w:rsidRPr="0082522D">
        <w:t>as a good place to work for Aboriginal people</w:t>
      </w:r>
      <w:r w:rsidR="00FB3EA6">
        <w:t>.</w:t>
      </w:r>
      <w:r w:rsidRPr="00FF0E94">
        <w:t xml:space="preserve"> </w:t>
      </w:r>
      <w:r w:rsidR="00FB3EA6">
        <w:t>T</w:t>
      </w:r>
      <w:r w:rsidRPr="00FF0E94">
        <w:t>he survey enables us to monitor and track</w:t>
      </w:r>
      <w:r w:rsidR="00FB3EA6">
        <w:t xml:space="preserve"> </w:t>
      </w:r>
      <w:r w:rsidRPr="00FF0E94">
        <w:t>the department</w:t>
      </w:r>
      <w:r w:rsidR="007D145B">
        <w:t>’</w:t>
      </w:r>
      <w:r w:rsidRPr="00FF0E94">
        <w:t>s progress in creating a culturally safe workplace and target our organ</w:t>
      </w:r>
      <w:r>
        <w:t>is</w:t>
      </w:r>
      <w:r w:rsidRPr="00FF0E94">
        <w:t>ational development to ensure we continue to progress on the cultural safety learning journey.</w:t>
      </w:r>
      <w:r w:rsidR="00864121">
        <w:t xml:space="preserve"> </w:t>
      </w:r>
      <w:r w:rsidR="0082522D">
        <w:t xml:space="preserve">The survey will be repeated in </w:t>
      </w:r>
      <w:r w:rsidR="0080256E">
        <w:t>202</w:t>
      </w:r>
      <w:r w:rsidR="00A9686F">
        <w:t>1–</w:t>
      </w:r>
      <w:r w:rsidR="0080256E">
        <w:t>22 and be specific to the Department of Health.</w:t>
      </w:r>
    </w:p>
    <w:p w14:paraId="46E1C485" w14:textId="260A921E" w:rsidR="0015132C" w:rsidRPr="00FF0E94" w:rsidRDefault="0015132C" w:rsidP="00216915">
      <w:pPr>
        <w:pStyle w:val="ARbody"/>
      </w:pPr>
      <w:r w:rsidRPr="00FF0E94">
        <w:t>The department</w:t>
      </w:r>
      <w:r w:rsidR="007D145B">
        <w:t>’</w:t>
      </w:r>
      <w:r w:rsidRPr="00FF0E94">
        <w:t>s Wirrigirri reconciliation program continues to increase the numbers of allies for Aboriginal inclusion, awareness of Aboriginal significant dates and events and culturally safe workplaces.</w:t>
      </w:r>
    </w:p>
    <w:p w14:paraId="5E3CF423" w14:textId="77777777" w:rsidR="0015132C" w:rsidRPr="002029AF" w:rsidRDefault="0015132C" w:rsidP="0015132C">
      <w:pPr>
        <w:pStyle w:val="Heading3"/>
      </w:pPr>
      <w:bookmarkStart w:id="466" w:name="_Toc85121247"/>
      <w:bookmarkEnd w:id="465"/>
      <w:r w:rsidRPr="002029AF">
        <w:t>Aboriginal Staff Network</w:t>
      </w:r>
      <w:bookmarkEnd w:id="466"/>
    </w:p>
    <w:p w14:paraId="636ECA0A" w14:textId="1CED6639" w:rsidR="0015132C" w:rsidRPr="00C531A6" w:rsidRDefault="0015132C" w:rsidP="0015132C">
      <w:pPr>
        <w:pStyle w:val="ARbody"/>
      </w:pPr>
      <w:r w:rsidRPr="00C531A6">
        <w:t>The Aboriginal Staff Network (ASN) offers access to a supportive</w:t>
      </w:r>
      <w:r w:rsidR="00C75000">
        <w:t>,</w:t>
      </w:r>
      <w:r w:rsidRPr="00C531A6">
        <w:t xml:space="preserve"> culturally safe community of practice. It is a place to share good practice and creative ideas, support each other through issues of concern, access opportunities for personal and professional development and provide input into the department</w:t>
      </w:r>
      <w:r w:rsidR="007D145B">
        <w:t>’</w:t>
      </w:r>
      <w:r w:rsidRPr="00C531A6">
        <w:t>s work, policies and processes to ensure they are inclusive of Aboriginal people.</w:t>
      </w:r>
    </w:p>
    <w:p w14:paraId="00447EEE" w14:textId="58809C62" w:rsidR="00F8606E" w:rsidRDefault="0015132C" w:rsidP="0015132C">
      <w:pPr>
        <w:pStyle w:val="ARbody"/>
      </w:pPr>
      <w:r w:rsidRPr="00C531A6">
        <w:t xml:space="preserve">The ASN annual conference was postponed </w:t>
      </w:r>
      <w:r w:rsidR="00F25C46">
        <w:t>in 2000</w:t>
      </w:r>
      <w:r w:rsidR="00FC2836">
        <w:t xml:space="preserve"> </w:t>
      </w:r>
      <w:r w:rsidRPr="00C531A6">
        <w:t>due to COVID</w:t>
      </w:r>
      <w:r w:rsidR="00C75000">
        <w:t>-19</w:t>
      </w:r>
      <w:r w:rsidRPr="00C531A6">
        <w:t xml:space="preserve"> restrictions. It is now scheduled for November 2021.</w:t>
      </w:r>
    </w:p>
    <w:p w14:paraId="266FE2B0" w14:textId="30D194CB" w:rsidR="0015132C" w:rsidRPr="00C531A6" w:rsidRDefault="0015132C" w:rsidP="0015132C">
      <w:pPr>
        <w:pStyle w:val="ARbody"/>
      </w:pPr>
      <w:r w:rsidRPr="00C531A6">
        <w:t xml:space="preserve">Consultations for the </w:t>
      </w:r>
      <w:r w:rsidRPr="00F25C46">
        <w:rPr>
          <w:i/>
          <w:iCs/>
        </w:rPr>
        <w:t>Aboriginal workforce strategy 2021–2026</w:t>
      </w:r>
      <w:r w:rsidRPr="00C531A6">
        <w:t xml:space="preserve"> </w:t>
      </w:r>
      <w:r w:rsidR="00A32E4C">
        <w:t xml:space="preserve">are </w:t>
      </w:r>
      <w:r w:rsidRPr="00C531A6">
        <w:t>tak</w:t>
      </w:r>
      <w:r w:rsidR="00A32E4C">
        <w:t>ing</w:t>
      </w:r>
      <w:r w:rsidRPr="00C531A6">
        <w:t xml:space="preserve"> place with the ASN </w:t>
      </w:r>
      <w:r w:rsidR="00A32E4C">
        <w:t>in the second half of</w:t>
      </w:r>
      <w:r w:rsidRPr="00C531A6">
        <w:t xml:space="preserve"> 2021. The new strategy ensures Aboriginal employees</w:t>
      </w:r>
      <w:r w:rsidR="007D145B">
        <w:t>’</w:t>
      </w:r>
      <w:r w:rsidRPr="00C531A6">
        <w:t xml:space="preserve"> self-determination and cultural safety underpins every critical touchpoint of</w:t>
      </w:r>
      <w:r w:rsidR="00553B72">
        <w:t> </w:t>
      </w:r>
      <w:r w:rsidRPr="00C531A6">
        <w:t>the employee experience.</w:t>
      </w:r>
    </w:p>
    <w:p w14:paraId="2D583EDF" w14:textId="6A4BC279" w:rsidR="0015132C" w:rsidRPr="002029AF" w:rsidRDefault="00553B72" w:rsidP="0015132C">
      <w:pPr>
        <w:pStyle w:val="Heading3"/>
      </w:pPr>
      <w:bookmarkStart w:id="467" w:name="_Toc85121248"/>
      <w:r>
        <w:br w:type="column"/>
      </w:r>
      <w:r w:rsidR="0015132C" w:rsidRPr="002029AF">
        <w:t>LGBTIQ inclusion</w:t>
      </w:r>
      <w:bookmarkEnd w:id="467"/>
    </w:p>
    <w:p w14:paraId="2D70CF0C" w14:textId="77777777" w:rsidR="0015132C" w:rsidRPr="00414897" w:rsidRDefault="0015132C" w:rsidP="0015132C">
      <w:pPr>
        <w:pStyle w:val="ARbody"/>
        <w:rPr>
          <w:rFonts w:eastAsiaTheme="minorEastAsia"/>
          <w:szCs w:val="20"/>
        </w:rPr>
      </w:pPr>
      <w:r>
        <w:t>The department continued our partnership with Pride in Diversity to ensure:</w:t>
      </w:r>
    </w:p>
    <w:p w14:paraId="5BC3D7A0" w14:textId="088B71AA" w:rsidR="0015132C" w:rsidRPr="00414897" w:rsidRDefault="00A32E4C" w:rsidP="00216915">
      <w:pPr>
        <w:pStyle w:val="ARbullet1"/>
        <w:rPr>
          <w:rFonts w:eastAsiaTheme="minorEastAsia"/>
          <w:szCs w:val="20"/>
        </w:rPr>
      </w:pPr>
      <w:r>
        <w:t>i</w:t>
      </w:r>
      <w:r w:rsidR="0015132C" w:rsidRPr="002029AF">
        <w:t>nclusive policy and practice</w:t>
      </w:r>
    </w:p>
    <w:p w14:paraId="0333EDEB" w14:textId="199940D3" w:rsidR="0015132C" w:rsidRPr="00414897" w:rsidRDefault="00C75000" w:rsidP="00216915">
      <w:pPr>
        <w:pStyle w:val="ARbullet1"/>
        <w:rPr>
          <w:rFonts w:eastAsiaTheme="minorEastAsia"/>
          <w:szCs w:val="20"/>
        </w:rPr>
      </w:pPr>
      <w:r>
        <w:t>o</w:t>
      </w:r>
      <w:r w:rsidR="0015132C">
        <w:t>ngoing</w:t>
      </w:r>
      <w:r w:rsidR="00050016">
        <w:t xml:space="preserve"> </w:t>
      </w:r>
      <w:r w:rsidR="0015132C" w:rsidRPr="002029AF">
        <w:t>LGBTI</w:t>
      </w:r>
      <w:r w:rsidR="0015132C">
        <w:t>Q</w:t>
      </w:r>
      <w:r w:rsidR="0015132C" w:rsidRPr="002029AF">
        <w:t xml:space="preserve"> training and education</w:t>
      </w:r>
    </w:p>
    <w:p w14:paraId="7A3B0D36" w14:textId="2758A370" w:rsidR="0015132C" w:rsidRPr="00414897" w:rsidRDefault="00C75000" w:rsidP="00216915">
      <w:pPr>
        <w:pStyle w:val="ARbullet1"/>
        <w:rPr>
          <w:rFonts w:eastAsiaTheme="minorEastAsia"/>
          <w:szCs w:val="20"/>
        </w:rPr>
      </w:pPr>
      <w:r>
        <w:t>c</w:t>
      </w:r>
      <w:r w:rsidR="0015132C" w:rsidRPr="002029AF">
        <w:t>ommunity engagement.</w:t>
      </w:r>
    </w:p>
    <w:p w14:paraId="4676BD57" w14:textId="0FC46840" w:rsidR="0015132C" w:rsidRPr="002029AF" w:rsidRDefault="0015132C" w:rsidP="00216915">
      <w:pPr>
        <w:pStyle w:val="ARbodyafterbullets"/>
      </w:pPr>
      <w:r>
        <w:t xml:space="preserve">Although impacted by COVID-19 priorities, the </w:t>
      </w:r>
      <w:r w:rsidR="00A32E4C">
        <w:t>department</w:t>
      </w:r>
      <w:r w:rsidR="007D145B">
        <w:t>’</w:t>
      </w:r>
      <w:r w:rsidR="00A32E4C">
        <w:t xml:space="preserve">s </w:t>
      </w:r>
      <w:r w:rsidRPr="00A32E4C">
        <w:t>Pride Network</w:t>
      </w:r>
      <w:r w:rsidRPr="002029AF">
        <w:t xml:space="preserve"> </w:t>
      </w:r>
      <w:r>
        <w:t>continued to meet to</w:t>
      </w:r>
      <w:r w:rsidR="00553B72">
        <w:t> </w:t>
      </w:r>
      <w:r>
        <w:t>ensure our</w:t>
      </w:r>
      <w:r w:rsidRPr="002029AF">
        <w:t xml:space="preserve"> LGBTIQ </w:t>
      </w:r>
      <w:r>
        <w:t>community remained connected and supported.</w:t>
      </w:r>
      <w:r w:rsidR="00F8606E">
        <w:t xml:space="preserve"> </w:t>
      </w:r>
      <w:r w:rsidRPr="002029AF">
        <w:t>Part of a broader whole</w:t>
      </w:r>
      <w:r w:rsidR="00553B72">
        <w:t> </w:t>
      </w:r>
      <w:r w:rsidRPr="002029AF">
        <w:t>of</w:t>
      </w:r>
      <w:r w:rsidR="00BA0E1E">
        <w:t xml:space="preserve"> </w:t>
      </w:r>
      <w:r w:rsidRPr="002029AF">
        <w:t>Victorian</w:t>
      </w:r>
      <w:r w:rsidR="00BA0E1E">
        <w:t xml:space="preserve"> </w:t>
      </w:r>
      <w:r w:rsidRPr="002029AF">
        <w:t xml:space="preserve">Government Pride Network, </w:t>
      </w:r>
      <w:r>
        <w:t>the</w:t>
      </w:r>
      <w:r w:rsidR="00553B72">
        <w:t> </w:t>
      </w:r>
      <w:r w:rsidR="00C75000">
        <w:t>department</w:t>
      </w:r>
      <w:r>
        <w:t xml:space="preserve"> network</w:t>
      </w:r>
      <w:r w:rsidRPr="002029AF">
        <w:t xml:space="preserve"> offers a space for staff to promote positive LGBTIQ cultural awareness</w:t>
      </w:r>
      <w:r w:rsidR="00A32E4C">
        <w:t xml:space="preserve"> and</w:t>
      </w:r>
      <w:r w:rsidRPr="002029AF">
        <w:t xml:space="preserve"> sector-wide events, participate in professional development opportunities and contribute to the department</w:t>
      </w:r>
      <w:r w:rsidR="007D145B">
        <w:t>’</w:t>
      </w:r>
      <w:r w:rsidRPr="002029AF">
        <w:t>s LGBTIQ diversity work.</w:t>
      </w:r>
    </w:p>
    <w:p w14:paraId="71EA8508" w14:textId="06B6DE63" w:rsidR="00F8606E" w:rsidRDefault="0015132C" w:rsidP="0015132C">
      <w:pPr>
        <w:pStyle w:val="ARbody"/>
      </w:pPr>
      <w:r w:rsidRPr="00A32E4C">
        <w:t xml:space="preserve">The network plans to review and refresh its priorities for </w:t>
      </w:r>
      <w:r w:rsidRPr="006B7974">
        <w:t>202</w:t>
      </w:r>
      <w:r w:rsidR="00A9686F">
        <w:t>1–</w:t>
      </w:r>
      <w:r w:rsidR="00A32E4C" w:rsidRPr="00F25C46">
        <w:t>22</w:t>
      </w:r>
      <w:r w:rsidR="00C75000" w:rsidRPr="00A32E4C">
        <w:t>,</w:t>
      </w:r>
      <w:r w:rsidRPr="006B7974">
        <w:t xml:space="preserve"> with a focus on visibility and</w:t>
      </w:r>
      <w:r w:rsidR="00553B72">
        <w:t> </w:t>
      </w:r>
      <w:r w:rsidRPr="006B7974">
        <w:t>engagement.</w:t>
      </w:r>
    </w:p>
    <w:p w14:paraId="592ACE6C" w14:textId="77777777" w:rsidR="00F8606E" w:rsidRDefault="0015132C" w:rsidP="00F8606E">
      <w:pPr>
        <w:pStyle w:val="Heading3"/>
      </w:pPr>
      <w:bookmarkStart w:id="468" w:name="_Toc85121249"/>
      <w:r w:rsidRPr="70E276A2">
        <w:t>Youth Employment Scheme</w:t>
      </w:r>
      <w:bookmarkEnd w:id="468"/>
    </w:p>
    <w:p w14:paraId="46283093" w14:textId="5D5FD8F1" w:rsidR="00F8606E" w:rsidRDefault="0015132C" w:rsidP="00F8606E">
      <w:pPr>
        <w:pStyle w:val="ARbody"/>
      </w:pPr>
      <w:r w:rsidRPr="70E276A2">
        <w:t>The department is</w:t>
      </w:r>
      <w:r w:rsidR="00F8606E">
        <w:t xml:space="preserve"> </w:t>
      </w:r>
      <w:r w:rsidRPr="70E276A2">
        <w:t>active in providing job opportunities for</w:t>
      </w:r>
      <w:r w:rsidR="00F8606E">
        <w:t xml:space="preserve"> </w:t>
      </w:r>
      <w:r w:rsidRPr="70E276A2">
        <w:t>disadvantaged job seekers through the Youth Employment Scheme (YES).</w:t>
      </w:r>
      <w:r w:rsidR="006B7974">
        <w:t xml:space="preserve"> </w:t>
      </w:r>
      <w:r w:rsidRPr="70E276A2">
        <w:t>The YES is a Victorian Government initiative that enables unemployed or otherwise disadvantaged young people aged 15 to 24 years to enter the workforce and build sustainable careers through traineeships while attaining a qualification.</w:t>
      </w:r>
    </w:p>
    <w:p w14:paraId="7E9F4DD5" w14:textId="7256A616" w:rsidR="00F8606E" w:rsidRDefault="0015132C" w:rsidP="00F8606E">
      <w:pPr>
        <w:pStyle w:val="ARbody"/>
      </w:pPr>
      <w:r w:rsidRPr="70E276A2">
        <w:t>During 202</w:t>
      </w:r>
      <w:r w:rsidR="00177286">
        <w:t>0–</w:t>
      </w:r>
      <w:r w:rsidRPr="70E276A2">
        <w:t xml:space="preserve">2021, despite the impact of the </w:t>
      </w:r>
      <w:r w:rsidR="00C75000">
        <w:t xml:space="preserve">COVID-19 </w:t>
      </w:r>
      <w:r w:rsidRPr="70E276A2">
        <w:t>pandemic, the department engaged 51</w:t>
      </w:r>
      <w:r w:rsidR="00553B72">
        <w:t> </w:t>
      </w:r>
      <w:r w:rsidRPr="70E276A2">
        <w:t xml:space="preserve">YES trainees, of </w:t>
      </w:r>
      <w:r w:rsidR="00C75000">
        <w:t>whom</w:t>
      </w:r>
      <w:r w:rsidR="00C75000" w:rsidRPr="70E276A2">
        <w:t xml:space="preserve"> </w:t>
      </w:r>
      <w:r w:rsidR="00C75000">
        <w:t>nine</w:t>
      </w:r>
      <w:r w:rsidRPr="70E276A2">
        <w:t xml:space="preserve"> were placed in the department and 42 in public hospitals. This number included </w:t>
      </w:r>
      <w:r w:rsidR="00B802CB">
        <w:t>nine</w:t>
      </w:r>
      <w:r w:rsidRPr="70E276A2">
        <w:t xml:space="preserve"> Aboriginal YES trainees.</w:t>
      </w:r>
    </w:p>
    <w:p w14:paraId="3DC120DF" w14:textId="55F0B229" w:rsidR="0015132C" w:rsidRPr="002029AF" w:rsidRDefault="0015132C" w:rsidP="00F8606E">
      <w:pPr>
        <w:pStyle w:val="Heading3"/>
      </w:pPr>
      <w:bookmarkStart w:id="469" w:name="_Toc85121250"/>
      <w:r w:rsidRPr="70E276A2">
        <w:t>Youth Employment Program</w:t>
      </w:r>
      <w:bookmarkEnd w:id="469"/>
    </w:p>
    <w:p w14:paraId="1C01616D" w14:textId="08E3AE07" w:rsidR="00F8606E" w:rsidRDefault="0015132C" w:rsidP="00F8606E">
      <w:pPr>
        <w:pStyle w:val="ARbody"/>
      </w:pPr>
      <w:r w:rsidRPr="70E276A2">
        <w:t>The department actively engaged in the Youth Employment Program (YEP)</w:t>
      </w:r>
      <w:r w:rsidR="00B802CB">
        <w:t>,</w:t>
      </w:r>
      <w:r w:rsidRPr="70E276A2">
        <w:t xml:space="preserve"> with 47 fully funded placements approved</w:t>
      </w:r>
      <w:r w:rsidR="006B7974">
        <w:t>,</w:t>
      </w:r>
      <w:r w:rsidRPr="70E276A2">
        <w:t xml:space="preserve"> of which 39 were 12-month placements and </w:t>
      </w:r>
      <w:r w:rsidR="00B802CB">
        <w:t>eight</w:t>
      </w:r>
      <w:r w:rsidRPr="70E276A2">
        <w:t xml:space="preserve"> were </w:t>
      </w:r>
      <w:r w:rsidR="00B802CB">
        <w:t>nine</w:t>
      </w:r>
      <w:r w:rsidRPr="70E276A2">
        <w:t>-month placements.</w:t>
      </w:r>
    </w:p>
    <w:p w14:paraId="4B6A4474" w14:textId="22603556" w:rsidR="0015132C" w:rsidRPr="002029AF" w:rsidRDefault="0015132C" w:rsidP="00F8606E">
      <w:pPr>
        <w:pStyle w:val="ARbody"/>
      </w:pPr>
      <w:r w:rsidRPr="70E276A2">
        <w:t>YEP is an initiative of Working for Victoria in response to the COVID-19 pandemic</w:t>
      </w:r>
      <w:r w:rsidR="00B802CB">
        <w:t>,</w:t>
      </w:r>
      <w:r w:rsidRPr="70E276A2">
        <w:t xml:space="preserve"> which resulted in 17-to-29-year</w:t>
      </w:r>
      <w:r w:rsidR="00F25C46">
        <w:t>-</w:t>
      </w:r>
      <w:r w:rsidRPr="70E276A2">
        <w:t xml:space="preserve">olds </w:t>
      </w:r>
      <w:r w:rsidRPr="006B7974">
        <w:t xml:space="preserve">being </w:t>
      </w:r>
      <w:r w:rsidR="006B7974" w:rsidRPr="006B7974">
        <w:t>a</w:t>
      </w:r>
      <w:r w:rsidR="00236DCB" w:rsidRPr="00F25C46">
        <w:t>mong the</w:t>
      </w:r>
      <w:r w:rsidR="00B802CB">
        <w:t xml:space="preserve"> </w:t>
      </w:r>
      <w:r w:rsidRPr="70E276A2">
        <w:t xml:space="preserve">most severely impacted by the </w:t>
      </w:r>
      <w:r w:rsidR="00367F94">
        <w:t xml:space="preserve">associated </w:t>
      </w:r>
      <w:r w:rsidRPr="70E276A2">
        <w:t xml:space="preserve">economic downturn. This group was prioritised </w:t>
      </w:r>
      <w:r w:rsidR="00B802CB">
        <w:t xml:space="preserve">under YEP </w:t>
      </w:r>
      <w:r w:rsidRPr="70E276A2">
        <w:t xml:space="preserve">as studies show a larger proportion of people aged under 30 lose jobs during </w:t>
      </w:r>
      <w:r w:rsidR="00B802CB">
        <w:t xml:space="preserve">economic </w:t>
      </w:r>
      <w:r w:rsidRPr="70E276A2">
        <w:t>downturns and take longer to find another job, especially if they lack tertiary qualifications.</w:t>
      </w:r>
      <w:r w:rsidR="00D9356F">
        <w:t xml:space="preserve"> </w:t>
      </w:r>
      <w:r w:rsidR="00D9356F">
        <w:lastRenderedPageBreak/>
        <w:t>The</w:t>
      </w:r>
      <w:r w:rsidR="00553B72">
        <w:t> </w:t>
      </w:r>
      <w:r w:rsidR="00D9356F">
        <w:t>pandemic has also been shown to have had a</w:t>
      </w:r>
      <w:r w:rsidR="00553B72">
        <w:t> </w:t>
      </w:r>
      <w:r w:rsidR="00D9356F">
        <w:t>significant impact on women and culturally</w:t>
      </w:r>
      <w:r w:rsidR="00D9356F" w:rsidRPr="00D9356F">
        <w:t xml:space="preserve"> </w:t>
      </w:r>
      <w:r w:rsidR="00D9356F" w:rsidRPr="70E276A2">
        <w:t xml:space="preserve">and </w:t>
      </w:r>
      <w:r w:rsidR="00D9356F">
        <w:t>l</w:t>
      </w:r>
      <w:r w:rsidR="00D9356F" w:rsidRPr="70E276A2">
        <w:t xml:space="preserve">inguistically </w:t>
      </w:r>
      <w:r w:rsidR="00D9356F">
        <w:t>d</w:t>
      </w:r>
      <w:r w:rsidR="00D9356F" w:rsidRPr="70E276A2">
        <w:t>iverse (CALD) cohorts</w:t>
      </w:r>
      <w:r w:rsidR="00D9356F">
        <w:t xml:space="preserve">, so these groups too </w:t>
      </w:r>
      <w:r w:rsidR="00236DCB">
        <w:t>were a priority</w:t>
      </w:r>
      <w:r w:rsidR="00D9356F">
        <w:t xml:space="preserve"> under YEP.</w:t>
      </w:r>
    </w:p>
    <w:p w14:paraId="46D0E38B" w14:textId="42E4A3DC" w:rsidR="0015132C" w:rsidRPr="002029AF" w:rsidRDefault="0015132C" w:rsidP="00F8606E">
      <w:pPr>
        <w:pStyle w:val="ARbody"/>
      </w:pPr>
      <w:r w:rsidRPr="70E276A2">
        <w:t>YEP provide</w:t>
      </w:r>
      <w:r w:rsidR="00D9356F">
        <w:t>s</w:t>
      </w:r>
      <w:r w:rsidRPr="70E276A2">
        <w:t xml:space="preserve"> greater flexibility with the nature and extent of training, and participants are employed directly by departments and hospitals. These placements </w:t>
      </w:r>
      <w:r w:rsidR="006B7974">
        <w:t>allow participants to have</w:t>
      </w:r>
      <w:r w:rsidR="006B7974" w:rsidRPr="70E276A2">
        <w:t xml:space="preserve"> </w:t>
      </w:r>
      <w:r w:rsidRPr="70E276A2">
        <w:t xml:space="preserve">paid employment </w:t>
      </w:r>
      <w:r w:rsidRPr="00236DCB">
        <w:t>while attaining a qualification.</w:t>
      </w:r>
    </w:p>
    <w:p w14:paraId="22A99E1A" w14:textId="3E5A574A" w:rsidR="0015132C" w:rsidRPr="002029AF" w:rsidRDefault="004819E6" w:rsidP="00F8606E">
      <w:pPr>
        <w:pStyle w:val="ARbody"/>
      </w:pPr>
      <w:r>
        <w:t>This year</w:t>
      </w:r>
      <w:r w:rsidR="007D145B">
        <w:t>’</w:t>
      </w:r>
      <w:r>
        <w:t xml:space="preserve">s intake of </w:t>
      </w:r>
      <w:r w:rsidR="0015132C" w:rsidRPr="70E276A2">
        <w:t>YEP candidates include</w:t>
      </w:r>
      <w:r>
        <w:t>d</w:t>
      </w:r>
      <w:r w:rsidR="0015132C" w:rsidRPr="70E276A2">
        <w:t xml:space="preserve"> </w:t>
      </w:r>
      <w:r>
        <w:t xml:space="preserve">some </w:t>
      </w:r>
      <w:r w:rsidR="0015132C" w:rsidRPr="70E276A2">
        <w:t>tertiary</w:t>
      </w:r>
      <w:r w:rsidR="009C2030">
        <w:t>-</w:t>
      </w:r>
      <w:r w:rsidR="0015132C" w:rsidRPr="70E276A2">
        <w:t>qualified and experienced young people</w:t>
      </w:r>
      <w:r>
        <w:t>, several of whom, as a result of the program</w:t>
      </w:r>
      <w:r w:rsidR="006B7974">
        <w:t>,</w:t>
      </w:r>
      <w:r w:rsidR="0015132C" w:rsidRPr="70E276A2">
        <w:t xml:space="preserve"> have moved on to higher grade levels with the prospect of further and potentially ongoing employment, both in the department and in the hospitals.</w:t>
      </w:r>
    </w:p>
    <w:p w14:paraId="2FCEDC71" w14:textId="423F436E" w:rsidR="00F8606E" w:rsidRDefault="0015132C" w:rsidP="00F8606E">
      <w:pPr>
        <w:pStyle w:val="ARbody"/>
      </w:pPr>
      <w:r w:rsidRPr="1F3DFD67">
        <w:t xml:space="preserve">This cohort </w:t>
      </w:r>
      <w:r w:rsidR="004819E6">
        <w:t xml:space="preserve">also </w:t>
      </w:r>
      <w:r w:rsidRPr="1F3DFD67">
        <w:t xml:space="preserve">included </w:t>
      </w:r>
      <w:r w:rsidR="00CC038B">
        <w:t>four</w:t>
      </w:r>
      <w:r w:rsidRPr="1F3DFD67">
        <w:t xml:space="preserve"> participants who </w:t>
      </w:r>
      <w:r w:rsidR="004819E6">
        <w:t>made an invaluable contribution during their placement to</w:t>
      </w:r>
      <w:r w:rsidRPr="1F3DFD67">
        <w:t xml:space="preserve"> the </w:t>
      </w:r>
      <w:r w:rsidR="00A77E87">
        <w:t>COVID</w:t>
      </w:r>
      <w:r w:rsidR="00F52F37">
        <w:t>-</w:t>
      </w:r>
      <w:r w:rsidRPr="1F3DFD67">
        <w:t xml:space="preserve">19 Rapid </w:t>
      </w:r>
      <w:r w:rsidR="00CC038B">
        <w:t>R</w:t>
      </w:r>
      <w:r w:rsidRPr="1F3DFD67">
        <w:t>ecruitment team</w:t>
      </w:r>
      <w:r w:rsidR="00002209">
        <w:t>.</w:t>
      </w:r>
    </w:p>
    <w:p w14:paraId="3A0A905D" w14:textId="43CD2345" w:rsidR="0015132C" w:rsidRPr="002029AF" w:rsidRDefault="0015132C" w:rsidP="0015132C">
      <w:pPr>
        <w:pStyle w:val="Heading3"/>
      </w:pPr>
      <w:bookmarkStart w:id="470" w:name="_Toc85121251"/>
      <w:r w:rsidRPr="002029AF">
        <w:t>Graduate recruitment</w:t>
      </w:r>
      <w:bookmarkEnd w:id="470"/>
    </w:p>
    <w:p w14:paraId="4681A0C2" w14:textId="115C019B" w:rsidR="00F8606E" w:rsidRDefault="0015132C" w:rsidP="00F8606E">
      <w:pPr>
        <w:pStyle w:val="ARbody"/>
      </w:pPr>
      <w:r w:rsidRPr="1F3DFD67">
        <w:t>In 202</w:t>
      </w:r>
      <w:r w:rsidR="00177286">
        <w:t>0–</w:t>
      </w:r>
      <w:r w:rsidRPr="1F3DFD67">
        <w:t xml:space="preserve">21 the </w:t>
      </w:r>
      <w:r w:rsidR="002C47BA">
        <w:t>d</w:t>
      </w:r>
      <w:r w:rsidRPr="1F3DFD67">
        <w:t>epartment recruited a total of </w:t>
      </w:r>
      <w:r w:rsidRPr="1FF9F4A9">
        <w:t>four</w:t>
      </w:r>
      <w:r w:rsidRPr="1F3DFD67">
        <w:t xml:space="preserve"> graduates, all of </w:t>
      </w:r>
      <w:r w:rsidR="002C47BA">
        <w:t>whom</w:t>
      </w:r>
      <w:r w:rsidR="002C47BA" w:rsidRPr="1F3DFD67">
        <w:t xml:space="preserve"> </w:t>
      </w:r>
      <w:r w:rsidRPr="1F3DFD67">
        <w:t xml:space="preserve">were engaged through the </w:t>
      </w:r>
      <w:r w:rsidRPr="1FF9F4A9">
        <w:t>department</w:t>
      </w:r>
      <w:r w:rsidR="007D145B">
        <w:t>’</w:t>
      </w:r>
      <w:r w:rsidRPr="1FF9F4A9">
        <w:t xml:space="preserve">s internal </w:t>
      </w:r>
      <w:r w:rsidRPr="1F3DFD67">
        <w:t xml:space="preserve">Aboriginal </w:t>
      </w:r>
      <w:r w:rsidR="00002209">
        <w:t>g</w:t>
      </w:r>
      <w:r w:rsidRPr="1F3DFD67">
        <w:t xml:space="preserve">raduate </w:t>
      </w:r>
      <w:r w:rsidR="00002209">
        <w:t>p</w:t>
      </w:r>
      <w:r w:rsidRPr="1FF9F4A9">
        <w:t>rogram.</w:t>
      </w:r>
    </w:p>
    <w:p w14:paraId="226D43A6" w14:textId="1A068B31" w:rsidR="00F8606E" w:rsidRDefault="0015132C" w:rsidP="00F8606E">
      <w:pPr>
        <w:pStyle w:val="ARbody"/>
        <w:rPr>
          <w:lang w:val="en-US"/>
        </w:rPr>
      </w:pPr>
      <w:r w:rsidRPr="1F3DFD67">
        <w:t xml:space="preserve">Graduates participating in the 12-month </w:t>
      </w:r>
      <w:r w:rsidRPr="1FF9F4A9">
        <w:t>Victorian Public Service</w:t>
      </w:r>
      <w:r w:rsidR="00F8606E">
        <w:t xml:space="preserve"> </w:t>
      </w:r>
      <w:r w:rsidRPr="1FF9F4A9">
        <w:t>Graduate Recruitment and Development Scheme (</w:t>
      </w:r>
      <w:r w:rsidRPr="1F3DFD67">
        <w:t>GRADS</w:t>
      </w:r>
      <w:r w:rsidRPr="1FF9F4A9">
        <w:t xml:space="preserve">) </w:t>
      </w:r>
      <w:r w:rsidRPr="1F3DFD67">
        <w:t>program ordinarily complete three rotations in the Victorian Public Service to develop core skills and gain a broad experience of working in the government sector.</w:t>
      </w:r>
      <w:r w:rsidR="00553B72">
        <w:t> </w:t>
      </w:r>
      <w:r w:rsidRPr="1FF9F4A9">
        <w:t>Due</w:t>
      </w:r>
      <w:r w:rsidRPr="1F3DFD67">
        <w:t xml:space="preserve"> to the challenges of COVID</w:t>
      </w:r>
      <w:r w:rsidR="00F52F37">
        <w:t>-</w:t>
      </w:r>
      <w:r w:rsidRPr="1F3DFD67">
        <w:t>19, the</w:t>
      </w:r>
      <w:r w:rsidR="00553B72">
        <w:t> </w:t>
      </w:r>
      <w:r w:rsidRPr="1F3DFD67">
        <w:t>department</w:t>
      </w:r>
      <w:r w:rsidR="007D145B">
        <w:t>’</w:t>
      </w:r>
      <w:r w:rsidRPr="1F3DFD67">
        <w:t xml:space="preserve">s 2020 VPS graduate cohort completed Rotation 1 in their home positions at </w:t>
      </w:r>
      <w:r w:rsidR="002C47BA">
        <w:t>the d</w:t>
      </w:r>
      <w:r w:rsidRPr="1F3DFD67">
        <w:t>epartment for eight months before transitioning into Rotation 2 in September 2020 to complete the remaining four months of the GRADS program. They commenced their ongoing VPS3 roles within the department at the conclusion of the program on</w:t>
      </w:r>
      <w:r w:rsidR="00553B72">
        <w:t> </w:t>
      </w:r>
      <w:r w:rsidRPr="1F3DFD67">
        <w:t>25 January 2021.</w:t>
      </w:r>
    </w:p>
    <w:p w14:paraId="277830C3" w14:textId="7601141B" w:rsidR="0015132C" w:rsidRPr="002029AF" w:rsidRDefault="0015132C" w:rsidP="00F8606E">
      <w:pPr>
        <w:pStyle w:val="Heading3"/>
      </w:pPr>
      <w:bookmarkStart w:id="471" w:name="_Toc85121252"/>
      <w:r w:rsidRPr="002029AF">
        <w:t>Student placement program</w:t>
      </w:r>
      <w:bookmarkEnd w:id="471"/>
    </w:p>
    <w:p w14:paraId="3F9B1603" w14:textId="74D7CD09" w:rsidR="00F8606E" w:rsidRDefault="0015132C" w:rsidP="00F8606E">
      <w:pPr>
        <w:pStyle w:val="ARbody"/>
      </w:pPr>
      <w:r w:rsidRPr="1F3DFD67">
        <w:t>The department offers students undertaking a tertiary qualification the opportunity to complete a</w:t>
      </w:r>
      <w:r w:rsidR="00553B72">
        <w:t> </w:t>
      </w:r>
      <w:r w:rsidRPr="1F3DFD67">
        <w:t>student placement as part of their relevant tertiary</w:t>
      </w:r>
      <w:r w:rsidR="00553B72">
        <w:t> </w:t>
      </w:r>
      <w:r w:rsidRPr="1F3DFD67">
        <w:t>course.</w:t>
      </w:r>
    </w:p>
    <w:p w14:paraId="3F22F351" w14:textId="5FEAE0A2" w:rsidR="0015132C" w:rsidRDefault="00553B72" w:rsidP="00F8606E">
      <w:pPr>
        <w:pStyle w:val="ARbody"/>
      </w:pPr>
      <w:r>
        <w:br w:type="column"/>
      </w:r>
      <w:r w:rsidR="0015132C" w:rsidRPr="1F3DFD67">
        <w:t>In 2020</w:t>
      </w:r>
      <w:r w:rsidR="00F8606E">
        <w:t>–</w:t>
      </w:r>
      <w:r w:rsidR="0015132C" w:rsidRPr="1F3DFD67">
        <w:t xml:space="preserve">21, 25 tertiary student placements were completed across various program areas within </w:t>
      </w:r>
      <w:r w:rsidR="00E719D8">
        <w:t>C</w:t>
      </w:r>
      <w:r w:rsidR="0015132C" w:rsidRPr="1F3DFD67">
        <w:t xml:space="preserve">orporate </w:t>
      </w:r>
      <w:r w:rsidR="00E719D8">
        <w:t>S</w:t>
      </w:r>
      <w:r w:rsidR="0015132C" w:rsidRPr="1F3DFD67">
        <w:t>ervices</w:t>
      </w:r>
      <w:r w:rsidR="00E719D8">
        <w:t>,</w:t>
      </w:r>
      <w:r w:rsidR="0015132C" w:rsidRPr="1F3DFD67">
        <w:t xml:space="preserve"> </w:t>
      </w:r>
      <w:r w:rsidR="00E719D8">
        <w:t>P</w:t>
      </w:r>
      <w:r w:rsidR="0015132C" w:rsidRPr="1F3DFD67">
        <w:t xml:space="preserve">ublic </w:t>
      </w:r>
      <w:r w:rsidR="00E719D8">
        <w:t>H</w:t>
      </w:r>
      <w:r w:rsidR="0015132C" w:rsidRPr="1F3DFD67">
        <w:t>ealth</w:t>
      </w:r>
      <w:r w:rsidR="00E719D8">
        <w:t>,</w:t>
      </w:r>
      <w:r w:rsidR="0015132C" w:rsidRPr="1F3DFD67">
        <w:t xml:space="preserve"> and </w:t>
      </w:r>
      <w:r w:rsidR="00E719D8">
        <w:t>M</w:t>
      </w:r>
      <w:r w:rsidR="0015132C" w:rsidRPr="1F3DFD67">
        <w:t xml:space="preserve">ental </w:t>
      </w:r>
      <w:r w:rsidR="00E719D8">
        <w:t>H</w:t>
      </w:r>
      <w:r w:rsidR="0015132C" w:rsidRPr="1F3DFD67">
        <w:t>ealth divisions. Due to the challenges of COVID</w:t>
      </w:r>
      <w:r w:rsidR="00F52F37">
        <w:t>-</w:t>
      </w:r>
      <w:r w:rsidR="0015132C" w:rsidRPr="1F3DFD67">
        <w:t>19 and associated restrictions, a significant number of student placements were disrupted or unable to be completed.</w:t>
      </w:r>
    </w:p>
    <w:p w14:paraId="0BEA6CE0" w14:textId="77777777" w:rsidR="0015132C" w:rsidRPr="002029AF" w:rsidRDefault="0015132C" w:rsidP="0015132C">
      <w:pPr>
        <w:pStyle w:val="Heading3"/>
      </w:pPr>
      <w:bookmarkStart w:id="472" w:name="_Toc85121253"/>
      <w:bookmarkStart w:id="473" w:name="_Hlk50386957"/>
      <w:r w:rsidRPr="002029AF">
        <w:t>Gender equality</w:t>
      </w:r>
      <w:bookmarkEnd w:id="472"/>
    </w:p>
    <w:bookmarkEnd w:id="473"/>
    <w:p w14:paraId="5C90DDD4" w14:textId="6B68AE8D" w:rsidR="0015132C" w:rsidRPr="00F25C46" w:rsidRDefault="00934934" w:rsidP="00F8606E">
      <w:pPr>
        <w:pStyle w:val="ARbody"/>
      </w:pPr>
      <w:r w:rsidRPr="00F25C46">
        <w:t xml:space="preserve">Under the existing </w:t>
      </w:r>
      <w:r w:rsidRPr="00F25C46">
        <w:rPr>
          <w:i/>
          <w:iCs/>
        </w:rPr>
        <w:t>Gender equality action plan</w:t>
      </w:r>
      <w:r w:rsidRPr="00F25C46">
        <w:t>, launched in July 2019,</w:t>
      </w:r>
      <w:r w:rsidR="0015132C" w:rsidRPr="00F25C46">
        <w:t xml:space="preserve"> the department </w:t>
      </w:r>
      <w:r w:rsidRPr="00F25C46">
        <w:t xml:space="preserve">has </w:t>
      </w:r>
      <w:r w:rsidR="0015132C" w:rsidRPr="00F25C46">
        <w:t>introduce</w:t>
      </w:r>
      <w:r w:rsidR="00A25B15" w:rsidRPr="00F25C46">
        <w:t>d</w:t>
      </w:r>
      <w:r w:rsidR="0015132C" w:rsidRPr="00F25C46">
        <w:t xml:space="preserve"> a number of initiatives including:</w:t>
      </w:r>
    </w:p>
    <w:p w14:paraId="3C9AEFCC" w14:textId="0B008A9D" w:rsidR="0015132C" w:rsidRPr="00F25C46" w:rsidRDefault="0015132C" w:rsidP="00F8606E">
      <w:pPr>
        <w:pStyle w:val="ARbullet1"/>
      </w:pPr>
      <w:r w:rsidRPr="00F25C46">
        <w:t>establishment of a central fund for parental leave to ensure bias is eliminated and backfilling maternity leave does not cause additional cost</w:t>
      </w:r>
    </w:p>
    <w:p w14:paraId="0B7DF4DF" w14:textId="57DA97C2" w:rsidR="00F8606E" w:rsidRPr="00F25C46" w:rsidRDefault="00002209" w:rsidP="00F8606E">
      <w:pPr>
        <w:pStyle w:val="ARbullet1"/>
      </w:pPr>
      <w:r w:rsidRPr="00F25C46">
        <w:t>i</w:t>
      </w:r>
      <w:r w:rsidR="00934934" w:rsidRPr="00F25C46">
        <w:t>mplementation of t</w:t>
      </w:r>
      <w:r w:rsidR="0015132C" w:rsidRPr="00F25C46">
        <w:t>he Grace Papers initiative, a program designed to support parents preparing for and returning from parental leave</w:t>
      </w:r>
    </w:p>
    <w:p w14:paraId="352E1F3C" w14:textId="10BDAB8E" w:rsidR="0015132C" w:rsidRPr="00F25C46" w:rsidRDefault="00934934" w:rsidP="00F8606E">
      <w:pPr>
        <w:pStyle w:val="ARbullet1"/>
      </w:pPr>
      <w:r w:rsidRPr="00F25C46">
        <w:t>p</w:t>
      </w:r>
      <w:r w:rsidR="0015132C" w:rsidRPr="00F25C46">
        <w:t>romoti</w:t>
      </w:r>
      <w:r w:rsidRPr="00F25C46">
        <w:t>on of</w:t>
      </w:r>
      <w:r w:rsidR="0015132C" w:rsidRPr="00F25C46">
        <w:t xml:space="preserve"> gender balance </w:t>
      </w:r>
      <w:r w:rsidR="00002209" w:rsidRPr="00F25C46">
        <w:t xml:space="preserve">in </w:t>
      </w:r>
      <w:r w:rsidR="0015132C" w:rsidRPr="00F25C46">
        <w:t>selection panels</w:t>
      </w:r>
      <w:r w:rsidR="00553B72">
        <w:t> </w:t>
      </w:r>
      <w:r w:rsidR="0015132C" w:rsidRPr="00F25C46">
        <w:t xml:space="preserve">and </w:t>
      </w:r>
      <w:r w:rsidR="00002209" w:rsidRPr="00F25C46">
        <w:t>u</w:t>
      </w:r>
      <w:r w:rsidR="0015132C" w:rsidRPr="00F25C46">
        <w:t xml:space="preserve">nconscious </w:t>
      </w:r>
      <w:r w:rsidR="00002209" w:rsidRPr="00F25C46">
        <w:t>b</w:t>
      </w:r>
      <w:r w:rsidR="0015132C" w:rsidRPr="00F25C46">
        <w:t>ias training for panel members to reduce recruitment bias</w:t>
      </w:r>
    </w:p>
    <w:p w14:paraId="4571105F" w14:textId="681EE549" w:rsidR="0015132C" w:rsidRPr="00F25C46" w:rsidRDefault="0015132C" w:rsidP="00F8606E">
      <w:pPr>
        <w:pStyle w:val="ARbullet1"/>
      </w:pPr>
      <w:r w:rsidRPr="00F25C46">
        <w:t>development of and participation in women</w:t>
      </w:r>
      <w:r w:rsidR="007D145B">
        <w:t>’</w:t>
      </w:r>
      <w:r w:rsidRPr="00F25C46">
        <w:t>s networks</w:t>
      </w:r>
      <w:r w:rsidR="00002209" w:rsidRPr="00F25C46">
        <w:t>,</w:t>
      </w:r>
      <w:r w:rsidRPr="00F25C46">
        <w:t xml:space="preserve"> such as the VPS Women of Colour Network and Women in Science Technology Engineering and Maths</w:t>
      </w:r>
    </w:p>
    <w:p w14:paraId="1D8DE29B" w14:textId="2A2F4CB5" w:rsidR="0015132C" w:rsidRPr="00F25C46" w:rsidRDefault="00934934" w:rsidP="00F8606E">
      <w:pPr>
        <w:pStyle w:val="ARbullet1"/>
      </w:pPr>
      <w:r w:rsidRPr="00F25C46">
        <w:t>appointment of a</w:t>
      </w:r>
      <w:r w:rsidR="0015132C" w:rsidRPr="00F25C46">
        <w:t xml:space="preserve"> Deputy Secretary Gender Equality Champion to drive communications across the department</w:t>
      </w:r>
    </w:p>
    <w:p w14:paraId="673B22D5" w14:textId="66D3F5A8" w:rsidR="0015132C" w:rsidRPr="00F25C46" w:rsidRDefault="00934934" w:rsidP="00F8606E">
      <w:pPr>
        <w:pStyle w:val="ARbullet1"/>
      </w:pPr>
      <w:r w:rsidRPr="00F25C46">
        <w:t>i</w:t>
      </w:r>
      <w:r w:rsidR="0015132C" w:rsidRPr="00F25C46">
        <w:t>mplementation of Our Watch</w:t>
      </w:r>
      <w:r w:rsidR="007D145B">
        <w:t>’</w:t>
      </w:r>
      <w:r w:rsidR="0015132C" w:rsidRPr="00F25C46">
        <w:t>s Workplace Equality and Respect program</w:t>
      </w:r>
      <w:r w:rsidRPr="00F25C46">
        <w:t>,</w:t>
      </w:r>
      <w:r w:rsidR="0015132C" w:rsidRPr="00F25C46">
        <w:t xml:space="preserve"> providing standards and supports for employees to take action to prevent violence against women and promote gender equality</w:t>
      </w:r>
    </w:p>
    <w:p w14:paraId="62B42D01" w14:textId="154EB386" w:rsidR="0015132C" w:rsidRPr="00F25C46" w:rsidRDefault="00934934" w:rsidP="00F8606E">
      <w:pPr>
        <w:pStyle w:val="ARbullet1"/>
      </w:pPr>
      <w:r w:rsidRPr="00F25C46">
        <w:t>r</w:t>
      </w:r>
      <w:r w:rsidR="0015132C" w:rsidRPr="00F25C46">
        <w:t>egular monitoring of workforce gender pay gap.</w:t>
      </w:r>
    </w:p>
    <w:p w14:paraId="352F6138" w14:textId="18CF7FDB" w:rsidR="0015132C" w:rsidRPr="00F25C46" w:rsidRDefault="0015132C" w:rsidP="00F8606E">
      <w:pPr>
        <w:pStyle w:val="ARbodyafterbullets"/>
      </w:pPr>
      <w:r w:rsidRPr="00F25C46">
        <w:t xml:space="preserve">The </w:t>
      </w:r>
      <w:r w:rsidR="00934934" w:rsidRPr="00F25C46">
        <w:t xml:space="preserve">department has begun implementing its obligations under </w:t>
      </w:r>
      <w:r w:rsidRPr="00F25C46">
        <w:t xml:space="preserve">the </w:t>
      </w:r>
      <w:bookmarkStart w:id="474" w:name="_Hlk85204600"/>
      <w:r w:rsidRPr="00F25C46">
        <w:rPr>
          <w:i/>
          <w:iCs/>
        </w:rPr>
        <w:t>Gender Equality Act</w:t>
      </w:r>
      <w:r w:rsidR="00934934" w:rsidRPr="00F25C46">
        <w:rPr>
          <w:i/>
          <w:iCs/>
        </w:rPr>
        <w:t xml:space="preserve"> 2020</w:t>
      </w:r>
      <w:r w:rsidRPr="00F25C46">
        <w:t xml:space="preserve"> </w:t>
      </w:r>
      <w:bookmarkEnd w:id="474"/>
      <w:r w:rsidR="00934934" w:rsidRPr="00F25C46">
        <w:t>sin</w:t>
      </w:r>
      <w:r w:rsidR="00A25B15" w:rsidRPr="00F25C46">
        <w:t>ce it commenc</w:t>
      </w:r>
      <w:r w:rsidR="00934934" w:rsidRPr="00F25C46">
        <w:t xml:space="preserve">ed operations </w:t>
      </w:r>
      <w:r w:rsidRPr="00F25C46">
        <w:t>on 31</w:t>
      </w:r>
      <w:r w:rsidR="00F8606E" w:rsidRPr="00F25C46">
        <w:rPr>
          <w:sz w:val="18"/>
          <w:szCs w:val="22"/>
        </w:rPr>
        <w:t> </w:t>
      </w:r>
      <w:r w:rsidRPr="00F25C46">
        <w:t>March 2021</w:t>
      </w:r>
      <w:r w:rsidR="00934934" w:rsidRPr="00F25C46">
        <w:t>. These include</w:t>
      </w:r>
      <w:r w:rsidRPr="00F25C46">
        <w:t>:</w:t>
      </w:r>
    </w:p>
    <w:p w14:paraId="75B183B9" w14:textId="742EA701" w:rsidR="0015132C" w:rsidRPr="00F25C46" w:rsidRDefault="00934934" w:rsidP="00F8606E">
      <w:pPr>
        <w:pStyle w:val="ARbullet1"/>
      </w:pPr>
      <w:r w:rsidRPr="00F25C46">
        <w:t>i</w:t>
      </w:r>
      <w:r w:rsidR="0015132C" w:rsidRPr="00F25C46">
        <w:t>mplementation of Gender Impact Assessments for all new policies, programs and services that have a significant impact on the public</w:t>
      </w:r>
    </w:p>
    <w:p w14:paraId="36173D01" w14:textId="6581D75B" w:rsidR="0015132C" w:rsidRPr="00F25C46" w:rsidRDefault="006237B3" w:rsidP="00F8606E">
      <w:pPr>
        <w:pStyle w:val="ARbullet1"/>
      </w:pPr>
      <w:r>
        <w:t xml:space="preserve">the </w:t>
      </w:r>
      <w:r w:rsidR="00934934" w:rsidRPr="00F25C46">
        <w:t>c</w:t>
      </w:r>
      <w:r w:rsidR="0015132C" w:rsidRPr="00F25C46">
        <w:t>onduct</w:t>
      </w:r>
      <w:r>
        <w:t xml:space="preserve"> of</w:t>
      </w:r>
      <w:r w:rsidR="0015132C" w:rsidRPr="00F25C46">
        <w:t xml:space="preserve"> a workforce gender audit, using data as at 30 June 2021.</w:t>
      </w:r>
    </w:p>
    <w:p w14:paraId="348C1F50" w14:textId="3BD38028" w:rsidR="0015132C" w:rsidRDefault="00934934" w:rsidP="00F8606E">
      <w:pPr>
        <w:pStyle w:val="ARbullet1"/>
      </w:pPr>
      <w:r w:rsidRPr="00F25C46">
        <w:t>t</w:t>
      </w:r>
      <w:r w:rsidR="0015132C" w:rsidRPr="00F25C46">
        <w:t>he development of a</w:t>
      </w:r>
      <w:r w:rsidRPr="00F25C46">
        <w:t xml:space="preserve"> new</w:t>
      </w:r>
      <w:r w:rsidR="0015132C" w:rsidRPr="00F25C46">
        <w:t xml:space="preserve"> </w:t>
      </w:r>
      <w:r w:rsidR="0015132C" w:rsidRPr="00F25C46">
        <w:rPr>
          <w:i/>
          <w:iCs/>
        </w:rPr>
        <w:t xml:space="preserve">Gender </w:t>
      </w:r>
      <w:r w:rsidRPr="00F25C46">
        <w:rPr>
          <w:i/>
          <w:iCs/>
        </w:rPr>
        <w:t>e</w:t>
      </w:r>
      <w:r w:rsidR="0015132C" w:rsidRPr="00F25C46">
        <w:rPr>
          <w:i/>
          <w:iCs/>
        </w:rPr>
        <w:t xml:space="preserve">quality </w:t>
      </w:r>
      <w:r w:rsidRPr="00F25C46">
        <w:rPr>
          <w:i/>
          <w:iCs/>
        </w:rPr>
        <w:t>a</w:t>
      </w:r>
      <w:r w:rsidR="0015132C" w:rsidRPr="00F25C46">
        <w:rPr>
          <w:i/>
          <w:iCs/>
        </w:rPr>
        <w:t xml:space="preserve">ction </w:t>
      </w:r>
      <w:r w:rsidRPr="00F25C46">
        <w:rPr>
          <w:i/>
          <w:iCs/>
        </w:rPr>
        <w:t>p</w:t>
      </w:r>
      <w:r w:rsidR="0015132C" w:rsidRPr="00F25C46">
        <w:rPr>
          <w:i/>
          <w:iCs/>
        </w:rPr>
        <w:t>lan</w:t>
      </w:r>
      <w:r w:rsidRPr="00F25C46">
        <w:rPr>
          <w:i/>
          <w:iCs/>
        </w:rPr>
        <w:t>,</w:t>
      </w:r>
      <w:r w:rsidR="0015132C" w:rsidRPr="00F25C46">
        <w:t xml:space="preserve"> to be published and lodged with the Gender Equality Commission</w:t>
      </w:r>
      <w:r w:rsidR="0015132C">
        <w:t xml:space="preserve"> by 31 Dec</w:t>
      </w:r>
      <w:r>
        <w:t>ember</w:t>
      </w:r>
      <w:r w:rsidR="0015132C">
        <w:t xml:space="preserve"> 2021.</w:t>
      </w:r>
    </w:p>
    <w:p w14:paraId="3BE83FDF" w14:textId="25CA08B3" w:rsidR="009D03E6" w:rsidRDefault="009D03E6">
      <w:pPr>
        <w:rPr>
          <w:rFonts w:ascii="Arial" w:eastAsia="Times" w:hAnsi="Arial" w:cs="Arial"/>
          <w:sz w:val="20"/>
          <w:szCs w:val="24"/>
        </w:rPr>
      </w:pPr>
      <w:r>
        <w:br w:type="page"/>
      </w:r>
    </w:p>
    <w:p w14:paraId="2F451638" w14:textId="77777777" w:rsidR="0015132C" w:rsidRPr="00B64216" w:rsidRDefault="0015132C" w:rsidP="00165057">
      <w:pPr>
        <w:pStyle w:val="Heading2"/>
        <w:spacing w:before="0"/>
        <w:rPr>
          <w:rFonts w:cs="Arial"/>
        </w:rPr>
      </w:pPr>
      <w:bookmarkStart w:id="475" w:name="_Ref84252320"/>
      <w:bookmarkStart w:id="476" w:name="_Toc85121254"/>
      <w:bookmarkStart w:id="477" w:name="_Toc85121613"/>
      <w:bookmarkStart w:id="478" w:name="_Toc86075596"/>
      <w:r w:rsidRPr="00B64216">
        <w:rPr>
          <w:rFonts w:cs="Arial"/>
        </w:rPr>
        <w:lastRenderedPageBreak/>
        <w:t>Occupational health and safety</w:t>
      </w:r>
      <w:bookmarkEnd w:id="475"/>
      <w:bookmarkEnd w:id="476"/>
      <w:bookmarkEnd w:id="477"/>
      <w:bookmarkEnd w:id="478"/>
    </w:p>
    <w:p w14:paraId="0872396A" w14:textId="26058470" w:rsidR="0015132C" w:rsidRDefault="0015132C" w:rsidP="00F8606E">
      <w:pPr>
        <w:pStyle w:val="ARbody"/>
      </w:pPr>
      <w:r w:rsidRPr="4FCE31F0">
        <w:t>The prioritisation of employee health, safety and</w:t>
      </w:r>
      <w:r w:rsidR="00553B72">
        <w:t> </w:t>
      </w:r>
      <w:r w:rsidRPr="4FCE31F0">
        <w:t>wellbeing (HSW) is demonstrated by the department</w:t>
      </w:r>
      <w:r w:rsidR="007D145B">
        <w:t>’</w:t>
      </w:r>
      <w:r w:rsidRPr="4FCE31F0">
        <w:t xml:space="preserve">s commitment to providing and maintaining a work environment in which all staff feel physically and psychologically safe. This commitment is underpinned by systems, supports and resources </w:t>
      </w:r>
      <w:r w:rsidR="00A25B15">
        <w:t>that</w:t>
      </w:r>
      <w:r w:rsidR="00A25B15" w:rsidRPr="4FCE31F0">
        <w:t xml:space="preserve"> </w:t>
      </w:r>
      <w:r w:rsidRPr="4FCE31F0">
        <w:t>enable staff to take ownership and agency of their own HSW, as well as progressively improve HSW leadership and management of risk in the department, so we can create and maintain better health for all Victorians.</w:t>
      </w:r>
    </w:p>
    <w:p w14:paraId="763947E3" w14:textId="77777777" w:rsidR="00AE4CDA" w:rsidRPr="002029AF" w:rsidRDefault="00AE4CDA" w:rsidP="00AE4CDA">
      <w:pPr>
        <w:pStyle w:val="Heading3"/>
      </w:pPr>
      <w:bookmarkStart w:id="479" w:name="_Toc85121255"/>
      <w:r w:rsidRPr="002029AF">
        <w:t>Health, safety and wellbeing</w:t>
      </w:r>
      <w:bookmarkEnd w:id="479"/>
    </w:p>
    <w:p w14:paraId="13ADE3D3" w14:textId="412FBBDD" w:rsidR="00AE4CDA" w:rsidRDefault="00AE4CDA" w:rsidP="009D03E6">
      <w:pPr>
        <w:pStyle w:val="ARbody"/>
        <w:rPr>
          <w:rFonts w:asciiTheme="minorHAnsi" w:eastAsiaTheme="minorEastAsia" w:hAnsiTheme="minorHAnsi" w:cstheme="minorBidi"/>
          <w:szCs w:val="20"/>
        </w:rPr>
      </w:pPr>
      <w:r w:rsidRPr="474DAF75">
        <w:rPr>
          <w:rFonts w:eastAsia="Arial"/>
          <w:szCs w:val="20"/>
        </w:rPr>
        <w:t>The department continues to offer a range of employee wellbeing supports to ensure the needs of our diverse workforc</w:t>
      </w:r>
      <w:r w:rsidRPr="00F8606E">
        <w:t xml:space="preserve">e are met. Our Employee Wellbeing and Support Program offers specialised employee support services that are </w:t>
      </w:r>
      <w:r>
        <w:t>a</w:t>
      </w:r>
      <w:r w:rsidRPr="00F8606E">
        <w:t xml:space="preserve">vailable to all employees and their immediate family members at no cost. </w:t>
      </w:r>
      <w:r w:rsidRPr="4FCE31F0">
        <w:t>The program has been well received by staff with an annual utilisation rate of 18.9 per cent – more than double the industry benchmark</w:t>
      </w:r>
      <w:r>
        <w:t>.</w:t>
      </w:r>
    </w:p>
    <w:p w14:paraId="1109DBCA" w14:textId="77777777" w:rsidR="00AE4CDA" w:rsidRPr="009D03E6" w:rsidRDefault="00AE4CDA" w:rsidP="009D03E6">
      <w:pPr>
        <w:pStyle w:val="Heading3"/>
      </w:pPr>
      <w:bookmarkStart w:id="480" w:name="_Toc85121256"/>
      <w:r w:rsidRPr="009D03E6">
        <w:t>Peer Support Network</w:t>
      </w:r>
      <w:bookmarkEnd w:id="480"/>
    </w:p>
    <w:p w14:paraId="07213F97" w14:textId="1718B025" w:rsidR="009D03E6" w:rsidRDefault="00AE4CDA" w:rsidP="00AE4CDA">
      <w:pPr>
        <w:pStyle w:val="ARbody"/>
        <w:rPr>
          <w:rFonts w:eastAsia="Arial"/>
          <w:szCs w:val="20"/>
        </w:rPr>
      </w:pPr>
      <w:r w:rsidRPr="00F8606E">
        <w:t>Complementary to this program is the Peer Support Network</w:t>
      </w:r>
      <w:r>
        <w:t>,</w:t>
      </w:r>
      <w:r w:rsidRPr="00F8606E">
        <w:t xml:space="preserve"> which provides informal, confidential support to employees </w:t>
      </w:r>
      <w:r>
        <w:t xml:space="preserve">by </w:t>
      </w:r>
      <w:r w:rsidRPr="00F8606E">
        <w:t>using an active listening, clarification and referral model. Assistance is provided by peer supporters</w:t>
      </w:r>
      <w:r>
        <w:t xml:space="preserve"> </w:t>
      </w:r>
      <w:r w:rsidR="004C0AE5" w:rsidRPr="4FCE31F0">
        <w:t xml:space="preserve">– </w:t>
      </w:r>
      <w:r w:rsidRPr="00F8606E">
        <w:t>departmental employees who volunteer their time to support their</w:t>
      </w:r>
      <w:r w:rsidR="00553B72">
        <w:t> </w:t>
      </w:r>
      <w:r w:rsidRPr="00F8606E">
        <w:t xml:space="preserve">colleagues. The growth of the Peer Support Network has continued </w:t>
      </w:r>
      <w:r>
        <w:t xml:space="preserve">over the last year, </w:t>
      </w:r>
      <w:r w:rsidRPr="00F8606E">
        <w:t>with a focus on the workforce diversity of the department</w:t>
      </w:r>
      <w:r>
        <w:t>,</w:t>
      </w:r>
      <w:r w:rsidRPr="00F8606E">
        <w:t xml:space="preserve"> as demonstrated through the</w:t>
      </w:r>
      <w:r w:rsidRPr="474DAF75">
        <w:rPr>
          <w:rFonts w:eastAsia="Arial"/>
          <w:szCs w:val="20"/>
        </w:rPr>
        <w:t xml:space="preserve"> inclusion of Aboriginal peer supporters. The Peer Support Network has also been expanded to provide employee support during </w:t>
      </w:r>
      <w:r w:rsidR="004C0AE5">
        <w:rPr>
          <w:rFonts w:eastAsia="Arial"/>
          <w:szCs w:val="20"/>
        </w:rPr>
        <w:t xml:space="preserve">an </w:t>
      </w:r>
      <w:r w:rsidRPr="474DAF75">
        <w:rPr>
          <w:rFonts w:eastAsia="Arial"/>
          <w:szCs w:val="20"/>
        </w:rPr>
        <w:t>emergency response.</w:t>
      </w:r>
    </w:p>
    <w:p w14:paraId="21114D89" w14:textId="4CB22B22" w:rsidR="0015132C" w:rsidRPr="002029AF" w:rsidRDefault="009D03E6" w:rsidP="00165057">
      <w:pPr>
        <w:pStyle w:val="Heading3"/>
        <w:spacing w:before="0"/>
      </w:pPr>
      <w:r>
        <w:rPr>
          <w:rFonts w:eastAsia="Arial"/>
          <w:szCs w:val="20"/>
        </w:rPr>
        <w:br w:type="column"/>
      </w:r>
      <w:bookmarkStart w:id="481" w:name="_Toc85121257"/>
      <w:r w:rsidR="0015132C" w:rsidRPr="002029AF">
        <w:t xml:space="preserve">Improvement measures in </w:t>
      </w:r>
      <w:r w:rsidR="0015132C">
        <w:t>202</w:t>
      </w:r>
      <w:r w:rsidR="00A9686F">
        <w:t>0–</w:t>
      </w:r>
      <w:r w:rsidR="0015132C">
        <w:t>21</w:t>
      </w:r>
      <w:bookmarkEnd w:id="481"/>
    </w:p>
    <w:p w14:paraId="2FD832D3" w14:textId="5B3B7536" w:rsidR="0015132C" w:rsidRPr="002029AF" w:rsidRDefault="00E4223A" w:rsidP="001E768A">
      <w:pPr>
        <w:pStyle w:val="ARbody"/>
      </w:pPr>
      <w:r>
        <w:t xml:space="preserve">Other improvements in </w:t>
      </w:r>
      <w:r w:rsidR="0015132C">
        <w:t>2020–21</w:t>
      </w:r>
      <w:r w:rsidR="00695771">
        <w:t xml:space="preserve"> include</w:t>
      </w:r>
      <w:r w:rsidR="0015132C" w:rsidRPr="002029AF">
        <w:t>:</w:t>
      </w:r>
    </w:p>
    <w:p w14:paraId="0BEF396B" w14:textId="6470AEDF" w:rsidR="0015132C" w:rsidRDefault="0015132C" w:rsidP="0015132C">
      <w:pPr>
        <w:pStyle w:val="ARbullet1"/>
        <w:rPr>
          <w:rFonts w:asciiTheme="minorHAnsi" w:eastAsiaTheme="minorEastAsia" w:hAnsiTheme="minorHAnsi" w:cstheme="minorBidi"/>
          <w:color w:val="87189D" w:themeColor="accent1"/>
          <w:sz w:val="18"/>
          <w:szCs w:val="18"/>
        </w:rPr>
      </w:pPr>
      <w:r w:rsidRPr="4FCE31F0">
        <w:t>continued incorporation and promotion of</w:t>
      </w:r>
      <w:r w:rsidR="00553B72">
        <w:t> </w:t>
      </w:r>
      <w:r w:rsidRPr="4FCE31F0">
        <w:t>HSW</w:t>
      </w:r>
      <w:r w:rsidR="00553B72">
        <w:t> </w:t>
      </w:r>
      <w:r w:rsidRPr="4FCE31F0">
        <w:t xml:space="preserve">accountabilities in performance development plans for </w:t>
      </w:r>
      <w:r w:rsidR="00873F65">
        <w:t xml:space="preserve">all </w:t>
      </w:r>
      <w:r w:rsidRPr="4FCE31F0">
        <w:t>VPS and executive employees from 2020–21</w:t>
      </w:r>
    </w:p>
    <w:p w14:paraId="31E43433" w14:textId="3EBD4423" w:rsidR="00864121" w:rsidRDefault="0015132C" w:rsidP="0015132C">
      <w:pPr>
        <w:pStyle w:val="ARbullet1"/>
      </w:pPr>
      <w:r w:rsidRPr="4FCE31F0">
        <w:t xml:space="preserve">development and implementation of a health and safety management system pivoted to address the </w:t>
      </w:r>
      <w:r w:rsidR="00873F65">
        <w:t>department</w:t>
      </w:r>
      <w:r w:rsidR="007D145B">
        <w:t>’</w:t>
      </w:r>
      <w:r w:rsidR="00873F65">
        <w:t xml:space="preserve">s </w:t>
      </w:r>
      <w:r w:rsidRPr="4FCE31F0">
        <w:t>key risks</w:t>
      </w:r>
    </w:p>
    <w:p w14:paraId="6C1FA0DB" w14:textId="77777777" w:rsidR="00864121" w:rsidRDefault="0015132C" w:rsidP="0015132C">
      <w:pPr>
        <w:pStyle w:val="ARbullet1"/>
      </w:pPr>
      <w:r w:rsidRPr="4FCE31F0">
        <w:t>establishment and promotion of a new HSW SharePoint site which is easy to navigate and encourages staff to be proactive in managing their HSW</w:t>
      </w:r>
    </w:p>
    <w:p w14:paraId="6096DB84" w14:textId="1AB35063" w:rsidR="00F8606E" w:rsidRDefault="0015132C" w:rsidP="0015132C">
      <w:pPr>
        <w:pStyle w:val="ARbullet1"/>
      </w:pPr>
      <w:r w:rsidRPr="4FCE31F0">
        <w:t xml:space="preserve">implementation of </w:t>
      </w:r>
      <w:r w:rsidR="00F77C57" w:rsidRPr="4FCE31F0">
        <w:t>My Mental Fitness</w:t>
      </w:r>
      <w:r w:rsidR="00F77C57">
        <w:t>,</w:t>
      </w:r>
      <w:r w:rsidR="00F77C57" w:rsidRPr="4FCE31F0">
        <w:t xml:space="preserve"> </w:t>
      </w:r>
      <w:r w:rsidRPr="4FCE31F0">
        <w:t xml:space="preserve">a new wellbeing </w:t>
      </w:r>
      <w:r w:rsidR="00F77C57">
        <w:t>application</w:t>
      </w:r>
      <w:r w:rsidR="00F77C57" w:rsidRPr="4FCE31F0">
        <w:t xml:space="preserve"> </w:t>
      </w:r>
      <w:r w:rsidRPr="4FCE31F0">
        <w:t>which assists employees to measure and improve their mental fitness</w:t>
      </w:r>
    </w:p>
    <w:p w14:paraId="6A22AB2E" w14:textId="5FE90627" w:rsidR="00EA5AD6" w:rsidRDefault="006D15B5" w:rsidP="00EA5AD6">
      <w:pPr>
        <w:pStyle w:val="ARbullet1"/>
      </w:pPr>
      <w:r>
        <w:t xml:space="preserve">a </w:t>
      </w:r>
      <w:r w:rsidR="00EA5AD6">
        <w:t>refram</w:t>
      </w:r>
      <w:r>
        <w:t>ing of</w:t>
      </w:r>
      <w:r w:rsidR="00EA5AD6">
        <w:t xml:space="preserve"> the way in which support is delivered during emergency response</w:t>
      </w:r>
      <w:r>
        <w:t>,</w:t>
      </w:r>
      <w:r w:rsidR="00EA5AD6">
        <w:t xml:space="preserve"> including</w:t>
      </w:r>
      <w:r w:rsidR="00553B72">
        <w:t> </w:t>
      </w:r>
      <w:r>
        <w:t xml:space="preserve">the </w:t>
      </w:r>
      <w:r w:rsidR="00EA5AD6">
        <w:t>provision of tailored support which</w:t>
      </w:r>
      <w:r w:rsidR="00553B72">
        <w:t> </w:t>
      </w:r>
      <w:r w:rsidR="00EA5AD6">
        <w:t>incorporates proactive engagement with employees, focussing on all levels including leadership.</w:t>
      </w:r>
      <w:r w:rsidR="00864121">
        <w:t xml:space="preserve"> </w:t>
      </w:r>
      <w:r w:rsidR="00EA5AD6">
        <w:t xml:space="preserve">Additional support offerings have also been provided, catering for the variety of needs through programs such as wellbeing webinars, </w:t>
      </w:r>
      <w:r>
        <w:t xml:space="preserve">which </w:t>
      </w:r>
      <w:r w:rsidR="00EA5AD6">
        <w:t>provid</w:t>
      </w:r>
      <w:r>
        <w:t>e</w:t>
      </w:r>
      <w:r w:rsidR="00EA5AD6">
        <w:t xml:space="preserve"> alternate ways for employees to engage with wellbeing support</w:t>
      </w:r>
    </w:p>
    <w:p w14:paraId="302F7642" w14:textId="2E566987" w:rsidR="00EA5AD6" w:rsidRDefault="00EA5AD6" w:rsidP="00130D1C">
      <w:pPr>
        <w:pStyle w:val="ARbullet1"/>
      </w:pPr>
      <w:r>
        <w:t xml:space="preserve">development and implementation of an online </w:t>
      </w:r>
      <w:r w:rsidR="007D145B">
        <w:t>‘</w:t>
      </w:r>
      <w:r>
        <w:t>return to office</w:t>
      </w:r>
      <w:r w:rsidR="007D145B">
        <w:t>’</w:t>
      </w:r>
      <w:r>
        <w:t xml:space="preserve"> orientation module specifically designed to support a safe and sustainable return to working in the office environment where possible.</w:t>
      </w:r>
    </w:p>
    <w:p w14:paraId="1C827209" w14:textId="77777777" w:rsidR="009C28E3" w:rsidRDefault="009C28E3" w:rsidP="009C28E3">
      <w:pPr>
        <w:pStyle w:val="ARbullet1"/>
        <w:numPr>
          <w:ilvl w:val="0"/>
          <w:numId w:val="0"/>
        </w:numPr>
        <w:ind w:left="284" w:hanging="284"/>
      </w:pPr>
    </w:p>
    <w:p w14:paraId="532C0327" w14:textId="77777777" w:rsidR="0015132C" w:rsidRDefault="0015132C" w:rsidP="00897193">
      <w:pPr>
        <w:pStyle w:val="Heading3"/>
        <w:spacing w:before="0"/>
        <w:sectPr w:rsidR="0015132C" w:rsidSect="0015132C">
          <w:headerReference w:type="default" r:id="rId79"/>
          <w:footnotePr>
            <w:numFmt w:val="lowerLetter"/>
            <w:numRestart w:val="eachPage"/>
          </w:footnotePr>
          <w:endnotePr>
            <w:numFmt w:val="decimal"/>
          </w:endnotePr>
          <w:pgSz w:w="11900" w:h="16840" w:code="9"/>
          <w:pgMar w:top="1985" w:right="1134" w:bottom="851" w:left="1134" w:header="510" w:footer="340" w:gutter="0"/>
          <w:cols w:num="2" w:space="454"/>
        </w:sectPr>
      </w:pPr>
      <w:bookmarkStart w:id="482" w:name="_Ref21955871"/>
      <w:bookmarkStart w:id="483" w:name="_Ref525047492"/>
    </w:p>
    <w:p w14:paraId="5990A840" w14:textId="77777777" w:rsidR="009D03E6" w:rsidRPr="00A7201B" w:rsidRDefault="009D03E6" w:rsidP="00A7201B">
      <w:pPr>
        <w:pStyle w:val="ARbody"/>
        <w:rPr>
          <w:rFonts w:eastAsia="Arial"/>
          <w:szCs w:val="20"/>
        </w:rPr>
      </w:pPr>
      <w:r w:rsidRPr="00A7201B">
        <w:rPr>
          <w:rFonts w:eastAsia="Arial"/>
          <w:szCs w:val="20"/>
        </w:rPr>
        <w:br w:type="page"/>
      </w:r>
    </w:p>
    <w:p w14:paraId="5A81C1D0" w14:textId="60AE459F" w:rsidR="0015132C" w:rsidRDefault="0015132C" w:rsidP="00897193">
      <w:pPr>
        <w:pStyle w:val="Heading3"/>
        <w:spacing w:before="0"/>
      </w:pPr>
      <w:bookmarkStart w:id="484" w:name="_Toc85121258"/>
      <w:r w:rsidRPr="002029AF">
        <w:lastRenderedPageBreak/>
        <w:t>The department</w:t>
      </w:r>
      <w:r w:rsidR="007D145B">
        <w:t>’</w:t>
      </w:r>
      <w:r w:rsidRPr="002029AF">
        <w:t>s performance against occupational health and safety management measures</w:t>
      </w:r>
      <w:bookmarkEnd w:id="482"/>
      <w:bookmarkEnd w:id="484"/>
    </w:p>
    <w:p w14:paraId="2F96857B" w14:textId="099DE7CE" w:rsidR="00260E00" w:rsidRPr="00260E00" w:rsidRDefault="00682015" w:rsidP="00B037E4">
      <w:pPr>
        <w:pStyle w:val="ARbodybeforetable"/>
      </w:pPr>
      <w:r w:rsidRPr="00682015">
        <w:t>The right-hand column of this report provides limited data for the 202</w:t>
      </w:r>
      <w:r w:rsidR="00A9686F">
        <w:t>0–</w:t>
      </w:r>
      <w:r w:rsidRPr="00682015">
        <w:t>21 financial year based on claims received for the period 1 July 2020 to 30 June 2021. The claims information for 201</w:t>
      </w:r>
      <w:r w:rsidR="000A78FF">
        <w:t>8–</w:t>
      </w:r>
      <w:r w:rsidRPr="00682015">
        <w:t>19 and 201</w:t>
      </w:r>
      <w:r w:rsidR="000A78FF">
        <w:t>9–</w:t>
      </w:r>
      <w:r w:rsidRPr="00682015">
        <w:t xml:space="preserve">20 </w:t>
      </w:r>
      <w:r w:rsidRPr="001272BE">
        <w:t xml:space="preserve">reflects the Department of Health and Human Services prior to the machinery </w:t>
      </w:r>
      <w:r w:rsidR="000C76D2" w:rsidRPr="001272BE">
        <w:t xml:space="preserve">of </w:t>
      </w:r>
      <w:r w:rsidRPr="001272BE">
        <w:t xml:space="preserve">government </w:t>
      </w:r>
      <w:r w:rsidR="007420BC" w:rsidRPr="001272BE">
        <w:t xml:space="preserve">changes </w:t>
      </w:r>
      <w:r w:rsidRPr="001272BE">
        <w:t>on 1</w:t>
      </w:r>
      <w:r w:rsidR="00080885" w:rsidRPr="001272BE">
        <w:t> </w:t>
      </w:r>
      <w:r w:rsidRPr="0095234B">
        <w:t xml:space="preserve">February 2021 as the Victorian WorkCover Authority has been unable to disaggregate the data. </w:t>
      </w:r>
      <w:r w:rsidR="001272BE" w:rsidRPr="0095234B">
        <w:t>T</w:t>
      </w:r>
      <w:r w:rsidRPr="0095234B">
        <w:t xml:space="preserve">he </w:t>
      </w:r>
      <w:r w:rsidR="00553B72">
        <w:br/>
      </w:r>
      <w:r w:rsidRPr="0095234B">
        <w:t>202</w:t>
      </w:r>
      <w:r w:rsidR="00FA7261">
        <w:t>0–</w:t>
      </w:r>
      <w:r w:rsidRPr="0095234B">
        <w:t xml:space="preserve">21 column reflects Department of Health data only as provided by the Victorian WorkCover Authority, and </w:t>
      </w:r>
      <w:r w:rsidR="00CC4742" w:rsidRPr="0095234B">
        <w:t>some</w:t>
      </w:r>
      <w:r w:rsidRPr="0095234B">
        <w:t xml:space="preserve"> metrics cannot be calculated for the period due to the machinery of</w:t>
      </w:r>
      <w:r w:rsidR="0095234B">
        <w:t xml:space="preserve"> </w:t>
      </w:r>
      <w:r w:rsidRPr="0095234B">
        <w:t>government changes</w:t>
      </w:r>
      <w:r w:rsidR="00080885" w:rsidRPr="0095234B">
        <w:t>,</w:t>
      </w:r>
      <w:r w:rsidRPr="0095234B">
        <w:t xml:space="preserve"> including the rates</w:t>
      </w:r>
      <w:r w:rsidRPr="001272BE">
        <w:t xml:space="preserve"> per 100 FTE.</w:t>
      </w:r>
      <w:r w:rsidR="001F7C04" w:rsidRPr="001272BE">
        <w:rPr>
          <w:rStyle w:val="FootnoteReference"/>
        </w:rPr>
        <w:t>(</w:t>
      </w:r>
      <w:r w:rsidR="001F7C04" w:rsidRPr="001272BE">
        <w:rPr>
          <w:rStyle w:val="FootnoteReference"/>
        </w:rPr>
        <w:footnoteReference w:id="31"/>
      </w:r>
      <w:r w:rsidR="001F7C04" w:rsidRPr="001272BE">
        <w:rPr>
          <w:rStyle w:val="FootnoteReference"/>
        </w:rPr>
        <w:t>)</w:t>
      </w:r>
    </w:p>
    <w:tbl>
      <w:tblPr>
        <w:tblW w:w="9639" w:type="dxa"/>
        <w:tblBorders>
          <w:left w:val="single" w:sz="4" w:space="0" w:color="FFFFFF" w:themeColor="background1"/>
          <w:bottom w:val="single" w:sz="4" w:space="0" w:color="auto"/>
          <w:right w:val="single" w:sz="4" w:space="0" w:color="FFFFFF" w:themeColor="background1"/>
          <w:insideH w:val="single" w:sz="4" w:space="0" w:color="auto"/>
          <w:insideV w:val="single" w:sz="4" w:space="0" w:color="FFFFFF" w:themeColor="background1"/>
        </w:tblBorders>
        <w:tblCellMar>
          <w:left w:w="0" w:type="dxa"/>
        </w:tblCellMar>
        <w:tblLook w:val="00A0" w:firstRow="1" w:lastRow="0" w:firstColumn="1" w:lastColumn="0" w:noHBand="0" w:noVBand="0"/>
      </w:tblPr>
      <w:tblGrid>
        <w:gridCol w:w="10"/>
        <w:gridCol w:w="2215"/>
        <w:gridCol w:w="3299"/>
        <w:gridCol w:w="1195"/>
        <w:gridCol w:w="10"/>
        <w:gridCol w:w="1400"/>
        <w:gridCol w:w="1510"/>
      </w:tblGrid>
      <w:tr w:rsidR="0015132C" w:rsidRPr="002029AF" w14:paraId="54133A9D" w14:textId="77777777" w:rsidTr="00AF50BC">
        <w:trPr>
          <w:cantSplit/>
          <w:tblHeader/>
        </w:trPr>
        <w:tc>
          <w:tcPr>
            <w:tcW w:w="2225" w:type="dxa"/>
            <w:gridSpan w:val="2"/>
            <w:vAlign w:val="bottom"/>
          </w:tcPr>
          <w:p w14:paraId="3EF52FD0" w14:textId="77777777" w:rsidR="0015132C" w:rsidRPr="002029AF" w:rsidRDefault="0015132C" w:rsidP="00897193">
            <w:pPr>
              <w:pStyle w:val="ARtablecolhead"/>
              <w:rPr>
                <w:lang w:eastAsia="en-AU"/>
              </w:rPr>
            </w:pPr>
            <w:r w:rsidRPr="002029AF">
              <w:rPr>
                <w:lang w:eastAsia="en-AU"/>
              </w:rPr>
              <w:t>Measure</w:t>
            </w:r>
          </w:p>
        </w:tc>
        <w:tc>
          <w:tcPr>
            <w:tcW w:w="3299" w:type="dxa"/>
            <w:vAlign w:val="bottom"/>
          </w:tcPr>
          <w:p w14:paraId="5F3823F0" w14:textId="77777777" w:rsidR="0015132C" w:rsidRPr="002029AF" w:rsidRDefault="0015132C" w:rsidP="00897193">
            <w:pPr>
              <w:pStyle w:val="ARtablecolhead"/>
              <w:rPr>
                <w:lang w:eastAsia="en-AU"/>
              </w:rPr>
            </w:pPr>
            <w:r w:rsidRPr="002029AF">
              <w:rPr>
                <w:lang w:eastAsia="en-AU"/>
              </w:rPr>
              <w:t>KPI</w:t>
            </w:r>
          </w:p>
        </w:tc>
        <w:tc>
          <w:tcPr>
            <w:tcW w:w="1195" w:type="dxa"/>
          </w:tcPr>
          <w:p w14:paraId="07C7A52D" w14:textId="77777777" w:rsidR="0015132C" w:rsidRPr="002029AF" w:rsidRDefault="0015132C" w:rsidP="00897193">
            <w:pPr>
              <w:pStyle w:val="ARtablecolhead"/>
              <w:jc w:val="right"/>
              <w:rPr>
                <w:lang w:eastAsia="en-AU"/>
              </w:rPr>
            </w:pPr>
            <w:r w:rsidRPr="4FCE31F0">
              <w:rPr>
                <w:lang w:eastAsia="en-AU"/>
              </w:rPr>
              <w:t>2018–19</w:t>
            </w:r>
          </w:p>
        </w:tc>
        <w:tc>
          <w:tcPr>
            <w:tcW w:w="1410" w:type="dxa"/>
            <w:gridSpan w:val="2"/>
          </w:tcPr>
          <w:p w14:paraId="111873E9" w14:textId="77777777" w:rsidR="0015132C" w:rsidRPr="002029AF" w:rsidRDefault="0015132C" w:rsidP="00897193">
            <w:pPr>
              <w:pStyle w:val="ARtablecolhead"/>
              <w:jc w:val="right"/>
            </w:pPr>
            <w:r w:rsidRPr="4FCE31F0">
              <w:rPr>
                <w:bCs/>
                <w:lang w:eastAsia="en-AU"/>
              </w:rPr>
              <w:t>2019–20</w:t>
            </w:r>
          </w:p>
        </w:tc>
        <w:tc>
          <w:tcPr>
            <w:tcW w:w="1510" w:type="dxa"/>
          </w:tcPr>
          <w:p w14:paraId="72236CD6" w14:textId="77777777" w:rsidR="0015132C" w:rsidRPr="002029AF" w:rsidRDefault="0015132C" w:rsidP="00897193">
            <w:pPr>
              <w:pStyle w:val="ARtablecolhead"/>
              <w:jc w:val="right"/>
              <w:rPr>
                <w:lang w:eastAsia="en-AU"/>
              </w:rPr>
            </w:pPr>
            <w:r w:rsidRPr="4FCE31F0">
              <w:rPr>
                <w:lang w:eastAsia="en-AU"/>
              </w:rPr>
              <w:t>2020–21</w:t>
            </w:r>
          </w:p>
        </w:tc>
      </w:tr>
      <w:tr w:rsidR="0015132C" w:rsidRPr="002029AF" w14:paraId="0D562936" w14:textId="77777777" w:rsidTr="00AF50BC">
        <w:trPr>
          <w:cantSplit/>
        </w:trPr>
        <w:tc>
          <w:tcPr>
            <w:tcW w:w="2225" w:type="dxa"/>
            <w:gridSpan w:val="2"/>
            <w:vMerge w:val="restart"/>
          </w:tcPr>
          <w:p w14:paraId="00BC7008" w14:textId="77777777" w:rsidR="0015132C" w:rsidRPr="002029AF" w:rsidRDefault="0015132C" w:rsidP="00897193">
            <w:pPr>
              <w:pStyle w:val="ARtabletext"/>
              <w:rPr>
                <w:sz w:val="20"/>
              </w:rPr>
            </w:pPr>
            <w:r w:rsidRPr="002029AF">
              <w:t>Hazards</w:t>
            </w:r>
          </w:p>
        </w:tc>
        <w:tc>
          <w:tcPr>
            <w:tcW w:w="3299" w:type="dxa"/>
          </w:tcPr>
          <w:p w14:paraId="582291F6" w14:textId="0579A76B" w:rsidR="0015132C" w:rsidRPr="002029AF" w:rsidRDefault="0015132C" w:rsidP="00897193">
            <w:pPr>
              <w:pStyle w:val="ARtabletext"/>
            </w:pPr>
            <w:r w:rsidRPr="002029AF">
              <w:t>No. of hazards</w:t>
            </w:r>
            <w:r w:rsidR="00B037E4" w:rsidRPr="00B037E4">
              <w:rPr>
                <w:rStyle w:val="FootnoteReference"/>
              </w:rPr>
              <w:t>(</w:t>
            </w:r>
            <w:bookmarkStart w:id="485" w:name="_Ref84534807"/>
            <w:r w:rsidR="00DE2270" w:rsidRPr="00B037E4">
              <w:rPr>
                <w:rStyle w:val="FootnoteReference"/>
              </w:rPr>
              <w:footnoteReference w:id="32"/>
            </w:r>
            <w:bookmarkEnd w:id="485"/>
            <w:r w:rsidR="00B037E4" w:rsidRPr="00B037E4">
              <w:rPr>
                <w:rStyle w:val="FootnoteReference"/>
              </w:rPr>
              <w:t>)</w:t>
            </w:r>
          </w:p>
        </w:tc>
        <w:tc>
          <w:tcPr>
            <w:tcW w:w="1195" w:type="dxa"/>
          </w:tcPr>
          <w:p w14:paraId="414666E8" w14:textId="77777777" w:rsidR="0015132C" w:rsidRPr="002029AF" w:rsidRDefault="0015132C" w:rsidP="00897193">
            <w:pPr>
              <w:pStyle w:val="ARtabletextright"/>
            </w:pPr>
            <w:r>
              <w:t>786</w:t>
            </w:r>
          </w:p>
        </w:tc>
        <w:tc>
          <w:tcPr>
            <w:tcW w:w="1410" w:type="dxa"/>
            <w:gridSpan w:val="2"/>
          </w:tcPr>
          <w:p w14:paraId="44E69DBC" w14:textId="77777777" w:rsidR="0015132C" w:rsidRPr="002029AF" w:rsidRDefault="0015132C" w:rsidP="00897193">
            <w:pPr>
              <w:pStyle w:val="ARtabletextright"/>
            </w:pPr>
            <w:r>
              <w:t>682</w:t>
            </w:r>
          </w:p>
        </w:tc>
        <w:tc>
          <w:tcPr>
            <w:tcW w:w="1510" w:type="dxa"/>
          </w:tcPr>
          <w:p w14:paraId="5E3E0BC3" w14:textId="77777777" w:rsidR="0015132C" w:rsidRPr="002029AF" w:rsidRDefault="0015132C" w:rsidP="00897193">
            <w:pPr>
              <w:pStyle w:val="ARtabletextright"/>
            </w:pPr>
            <w:r>
              <w:t>36</w:t>
            </w:r>
          </w:p>
        </w:tc>
      </w:tr>
      <w:tr w:rsidR="0015132C" w:rsidRPr="002029AF" w14:paraId="3671D2BD" w14:textId="77777777" w:rsidTr="00AF50BC">
        <w:trPr>
          <w:cantSplit/>
        </w:trPr>
        <w:tc>
          <w:tcPr>
            <w:tcW w:w="2225" w:type="dxa"/>
            <w:gridSpan w:val="2"/>
            <w:vMerge/>
          </w:tcPr>
          <w:p w14:paraId="3D77A946" w14:textId="77777777" w:rsidR="0015132C" w:rsidRPr="002029AF" w:rsidRDefault="0015132C" w:rsidP="00897193">
            <w:pPr>
              <w:pStyle w:val="ARbody"/>
              <w:rPr>
                <w:lang w:eastAsia="en-AU"/>
              </w:rPr>
            </w:pPr>
          </w:p>
        </w:tc>
        <w:tc>
          <w:tcPr>
            <w:tcW w:w="3299" w:type="dxa"/>
          </w:tcPr>
          <w:p w14:paraId="32A5C629" w14:textId="77777777" w:rsidR="0015132C" w:rsidRPr="002029AF" w:rsidRDefault="0015132C" w:rsidP="00897193">
            <w:pPr>
              <w:pStyle w:val="ARtabletext"/>
            </w:pPr>
            <w:r w:rsidRPr="002029AF">
              <w:t>Rate per 100 FTE</w:t>
            </w:r>
          </w:p>
        </w:tc>
        <w:tc>
          <w:tcPr>
            <w:tcW w:w="1195" w:type="dxa"/>
          </w:tcPr>
          <w:p w14:paraId="1CAFE3AB" w14:textId="77777777" w:rsidR="0015132C" w:rsidRPr="002029AF" w:rsidRDefault="0015132C" w:rsidP="00897193">
            <w:pPr>
              <w:pStyle w:val="ARtabletextright"/>
            </w:pPr>
            <w:r w:rsidRPr="00B4494B">
              <w:t>7.40</w:t>
            </w:r>
          </w:p>
        </w:tc>
        <w:tc>
          <w:tcPr>
            <w:tcW w:w="1410" w:type="dxa"/>
            <w:gridSpan w:val="2"/>
          </w:tcPr>
          <w:p w14:paraId="22BDE99F" w14:textId="77777777" w:rsidR="0015132C" w:rsidRPr="002029AF" w:rsidRDefault="0015132C" w:rsidP="00897193">
            <w:pPr>
              <w:pStyle w:val="ARtabletextright"/>
            </w:pPr>
            <w:r w:rsidRPr="002029AF">
              <w:t>7.</w:t>
            </w:r>
            <w:r w:rsidRPr="00B4494B">
              <w:t>96</w:t>
            </w:r>
          </w:p>
        </w:tc>
        <w:tc>
          <w:tcPr>
            <w:tcW w:w="1510" w:type="dxa"/>
          </w:tcPr>
          <w:p w14:paraId="6AB82BB6" w14:textId="095AD914" w:rsidR="0015132C" w:rsidRPr="002029AF" w:rsidRDefault="00A40F84" w:rsidP="00897193">
            <w:pPr>
              <w:pStyle w:val="ARtabletextright"/>
            </w:pPr>
            <w:r>
              <w:t>na</w:t>
            </w:r>
          </w:p>
        </w:tc>
      </w:tr>
      <w:tr w:rsidR="0015132C" w:rsidRPr="002029AF" w14:paraId="46C4E719" w14:textId="77777777" w:rsidTr="00AF50BC">
        <w:trPr>
          <w:gridBefore w:val="1"/>
          <w:wBefore w:w="10" w:type="dxa"/>
          <w:cantSplit/>
        </w:trPr>
        <w:tc>
          <w:tcPr>
            <w:tcW w:w="2215" w:type="dxa"/>
            <w:vMerge w:val="restart"/>
            <w:tcBorders>
              <w:top w:val="nil"/>
            </w:tcBorders>
          </w:tcPr>
          <w:p w14:paraId="47AE6C89" w14:textId="77777777" w:rsidR="0015132C" w:rsidRPr="002029AF" w:rsidRDefault="0015132C" w:rsidP="00897193">
            <w:pPr>
              <w:pStyle w:val="ARtabletext"/>
              <w:rPr>
                <w:sz w:val="20"/>
              </w:rPr>
            </w:pPr>
            <w:r w:rsidRPr="002029AF">
              <w:t>Incidents</w:t>
            </w:r>
          </w:p>
        </w:tc>
        <w:tc>
          <w:tcPr>
            <w:tcW w:w="3299" w:type="dxa"/>
          </w:tcPr>
          <w:p w14:paraId="09868F60" w14:textId="7B26C81F" w:rsidR="0015132C" w:rsidRPr="002029AF" w:rsidRDefault="0015132C" w:rsidP="00385525">
            <w:pPr>
              <w:pStyle w:val="ARtabletext"/>
            </w:pPr>
            <w:r w:rsidRPr="002029AF">
              <w:t xml:space="preserve">No. of </w:t>
            </w:r>
            <w:r w:rsidRPr="00385525">
              <w:t>incidents</w:t>
            </w:r>
            <w:r w:rsidR="00B037E4" w:rsidRPr="00B037E4">
              <w:rPr>
                <w:rStyle w:val="FootnoteReference"/>
              </w:rPr>
              <w:t>(</w:t>
            </w:r>
            <w:r w:rsidR="002A6CBB">
              <w:rPr>
                <w:rStyle w:val="FootnoteReference"/>
              </w:rPr>
              <w:footnoteReference w:id="33"/>
            </w:r>
            <w:r w:rsidR="00B037E4" w:rsidRPr="00B037E4">
              <w:rPr>
                <w:rStyle w:val="FootnoteReference"/>
              </w:rPr>
              <w:t>)</w:t>
            </w:r>
          </w:p>
        </w:tc>
        <w:tc>
          <w:tcPr>
            <w:tcW w:w="1205" w:type="dxa"/>
            <w:gridSpan w:val="2"/>
          </w:tcPr>
          <w:p w14:paraId="0A3713EB" w14:textId="77777777" w:rsidR="0015132C" w:rsidRPr="002029AF" w:rsidRDefault="0015132C" w:rsidP="00897193">
            <w:pPr>
              <w:pStyle w:val="ARtabletextright"/>
            </w:pPr>
            <w:r>
              <w:t>4,271</w:t>
            </w:r>
          </w:p>
        </w:tc>
        <w:tc>
          <w:tcPr>
            <w:tcW w:w="1400" w:type="dxa"/>
          </w:tcPr>
          <w:p w14:paraId="7E03E121" w14:textId="77777777" w:rsidR="0015132C" w:rsidRPr="002029AF" w:rsidRDefault="0015132C" w:rsidP="00897193">
            <w:pPr>
              <w:pStyle w:val="ARtabletextright"/>
            </w:pPr>
            <w:r>
              <w:t>1,967</w:t>
            </w:r>
          </w:p>
        </w:tc>
        <w:tc>
          <w:tcPr>
            <w:tcW w:w="1510" w:type="dxa"/>
          </w:tcPr>
          <w:p w14:paraId="75E0A91E" w14:textId="77777777" w:rsidR="0015132C" w:rsidRPr="002029AF" w:rsidRDefault="0015132C" w:rsidP="00897193">
            <w:pPr>
              <w:pStyle w:val="ARtabletextright"/>
            </w:pPr>
            <w:r>
              <w:t>118</w:t>
            </w:r>
          </w:p>
        </w:tc>
      </w:tr>
      <w:tr w:rsidR="0015132C" w:rsidRPr="002029AF" w14:paraId="4B88B7DE" w14:textId="77777777" w:rsidTr="00AF50BC">
        <w:trPr>
          <w:gridBefore w:val="1"/>
          <w:wBefore w:w="10" w:type="dxa"/>
          <w:cantSplit/>
        </w:trPr>
        <w:tc>
          <w:tcPr>
            <w:tcW w:w="2215" w:type="dxa"/>
            <w:vMerge/>
          </w:tcPr>
          <w:p w14:paraId="0AE28606" w14:textId="77777777" w:rsidR="0015132C" w:rsidRPr="002029AF" w:rsidRDefault="0015132C" w:rsidP="00897193">
            <w:pPr>
              <w:pStyle w:val="ARbody"/>
              <w:rPr>
                <w:lang w:eastAsia="en-AU"/>
              </w:rPr>
            </w:pPr>
          </w:p>
        </w:tc>
        <w:tc>
          <w:tcPr>
            <w:tcW w:w="3299" w:type="dxa"/>
          </w:tcPr>
          <w:p w14:paraId="2F3C42C9" w14:textId="77777777" w:rsidR="0015132C" w:rsidRPr="00B4494B" w:rsidRDefault="0015132C" w:rsidP="00A57FDC">
            <w:pPr>
              <w:pStyle w:val="ARtabletext"/>
              <w:rPr>
                <w:sz w:val="20"/>
                <w:szCs w:val="20"/>
              </w:rPr>
            </w:pPr>
            <w:r w:rsidRPr="002029AF">
              <w:t>Rate per 100 FTE</w:t>
            </w:r>
          </w:p>
        </w:tc>
        <w:tc>
          <w:tcPr>
            <w:tcW w:w="1205" w:type="dxa"/>
            <w:gridSpan w:val="2"/>
          </w:tcPr>
          <w:p w14:paraId="35DAF21C" w14:textId="77777777" w:rsidR="0015132C" w:rsidRPr="00B4494B" w:rsidRDefault="0015132C" w:rsidP="00897193">
            <w:pPr>
              <w:pStyle w:val="ARtabletextright"/>
            </w:pPr>
            <w:r w:rsidRPr="00B4494B">
              <w:t>40.02</w:t>
            </w:r>
          </w:p>
        </w:tc>
        <w:tc>
          <w:tcPr>
            <w:tcW w:w="1400" w:type="dxa"/>
          </w:tcPr>
          <w:p w14:paraId="2B86F4E3" w14:textId="77777777" w:rsidR="0015132C" w:rsidRPr="00B4494B" w:rsidRDefault="0015132C" w:rsidP="00897193">
            <w:pPr>
              <w:pStyle w:val="ARtabletextright"/>
            </w:pPr>
            <w:r w:rsidRPr="00B4494B">
              <w:t>22.96</w:t>
            </w:r>
          </w:p>
        </w:tc>
        <w:tc>
          <w:tcPr>
            <w:tcW w:w="1510" w:type="dxa"/>
          </w:tcPr>
          <w:p w14:paraId="736D84B3" w14:textId="4E3AE39D" w:rsidR="0015132C" w:rsidRPr="00B4494B" w:rsidRDefault="00A40F84" w:rsidP="00897193">
            <w:pPr>
              <w:pStyle w:val="ARtabletextright"/>
            </w:pPr>
            <w:r>
              <w:t>na</w:t>
            </w:r>
          </w:p>
        </w:tc>
      </w:tr>
      <w:tr w:rsidR="0015132C" w:rsidRPr="002029AF" w14:paraId="34E41328" w14:textId="77777777" w:rsidTr="00AF50BC">
        <w:trPr>
          <w:gridBefore w:val="1"/>
          <w:wBefore w:w="10" w:type="dxa"/>
          <w:cantSplit/>
        </w:trPr>
        <w:tc>
          <w:tcPr>
            <w:tcW w:w="2215" w:type="dxa"/>
            <w:vMerge/>
          </w:tcPr>
          <w:p w14:paraId="5702AEC4" w14:textId="77777777" w:rsidR="0015132C" w:rsidRPr="002029AF" w:rsidRDefault="0015132C" w:rsidP="00897193">
            <w:pPr>
              <w:pStyle w:val="ARbody"/>
              <w:rPr>
                <w:lang w:eastAsia="en-AU"/>
              </w:rPr>
            </w:pPr>
          </w:p>
        </w:tc>
        <w:tc>
          <w:tcPr>
            <w:tcW w:w="3299" w:type="dxa"/>
          </w:tcPr>
          <w:p w14:paraId="1CF77D5B" w14:textId="4ECD43CD" w:rsidR="0015132C" w:rsidRPr="002029AF" w:rsidRDefault="0015132C" w:rsidP="00A57FDC">
            <w:pPr>
              <w:pStyle w:val="ARtabletext"/>
              <w:rPr>
                <w:vertAlign w:val="superscript"/>
              </w:rPr>
            </w:pPr>
            <w:r w:rsidRPr="002029AF">
              <w:t>No. of incidents requiring first aid</w:t>
            </w:r>
            <w:r w:rsidR="00B037E4" w:rsidRPr="00B037E4">
              <w:rPr>
                <w:rStyle w:val="FootnoteReference"/>
              </w:rPr>
              <w:t>(</w:t>
            </w:r>
            <w:r w:rsidR="00DE2270">
              <w:rPr>
                <w:rStyle w:val="FootnoteReference"/>
              </w:rPr>
              <w:footnoteReference w:id="34"/>
            </w:r>
            <w:r w:rsidR="00B037E4" w:rsidRPr="00B037E4">
              <w:rPr>
                <w:rStyle w:val="FootnoteReference"/>
              </w:rPr>
              <w:t>)</w:t>
            </w:r>
            <w:r w:rsidRPr="00DE2270">
              <w:t xml:space="preserve"> </w:t>
            </w:r>
            <w:r w:rsidRPr="002029AF">
              <w:t>and/or further medical treatment</w:t>
            </w:r>
          </w:p>
        </w:tc>
        <w:tc>
          <w:tcPr>
            <w:tcW w:w="1205" w:type="dxa"/>
            <w:gridSpan w:val="2"/>
          </w:tcPr>
          <w:p w14:paraId="5D90D1F7" w14:textId="77777777" w:rsidR="0015132C" w:rsidRPr="002029AF" w:rsidRDefault="0015132C" w:rsidP="00897193">
            <w:pPr>
              <w:pStyle w:val="ARtabletextright"/>
            </w:pPr>
            <w:r>
              <w:t>864</w:t>
            </w:r>
          </w:p>
        </w:tc>
        <w:tc>
          <w:tcPr>
            <w:tcW w:w="1400" w:type="dxa"/>
          </w:tcPr>
          <w:p w14:paraId="17D3DCA1" w14:textId="77777777" w:rsidR="0015132C" w:rsidRPr="002029AF" w:rsidRDefault="0015132C" w:rsidP="00897193">
            <w:pPr>
              <w:pStyle w:val="ARtabletextright"/>
            </w:pPr>
            <w:r>
              <w:t>367</w:t>
            </w:r>
          </w:p>
        </w:tc>
        <w:tc>
          <w:tcPr>
            <w:tcW w:w="1510" w:type="dxa"/>
          </w:tcPr>
          <w:p w14:paraId="35C3D58B" w14:textId="77777777" w:rsidR="0015132C" w:rsidRPr="002029AF" w:rsidRDefault="0015132C" w:rsidP="00897193">
            <w:pPr>
              <w:pStyle w:val="ARtabletextright"/>
            </w:pPr>
            <w:r>
              <w:t>42</w:t>
            </w:r>
          </w:p>
        </w:tc>
      </w:tr>
      <w:tr w:rsidR="0015132C" w:rsidRPr="002029AF" w14:paraId="275EAF86" w14:textId="77777777" w:rsidTr="00AF50BC">
        <w:trPr>
          <w:cantSplit/>
        </w:trPr>
        <w:tc>
          <w:tcPr>
            <w:tcW w:w="2225" w:type="dxa"/>
            <w:gridSpan w:val="2"/>
            <w:vMerge w:val="restart"/>
          </w:tcPr>
          <w:p w14:paraId="2CBFC152" w14:textId="77777777" w:rsidR="0015132C" w:rsidRPr="002029AF" w:rsidRDefault="0015132C" w:rsidP="00897193">
            <w:pPr>
              <w:pStyle w:val="ARtabletext"/>
            </w:pPr>
            <w:r w:rsidRPr="002029AF">
              <w:t>Claims</w:t>
            </w:r>
          </w:p>
        </w:tc>
        <w:tc>
          <w:tcPr>
            <w:tcW w:w="3299" w:type="dxa"/>
          </w:tcPr>
          <w:p w14:paraId="53682DD2" w14:textId="11CCD4D5" w:rsidR="0015132C" w:rsidRPr="00A40F84" w:rsidRDefault="0015132C" w:rsidP="00A57FDC">
            <w:pPr>
              <w:pStyle w:val="ARtabletext"/>
            </w:pPr>
            <w:r w:rsidRPr="00A40F84">
              <w:t>No. of standard claims</w:t>
            </w:r>
            <w:r w:rsidR="00B037E4" w:rsidRPr="00B037E4">
              <w:rPr>
                <w:rStyle w:val="FootnoteReference"/>
              </w:rPr>
              <w:t>(</w:t>
            </w:r>
            <w:r w:rsidR="00DE2270">
              <w:rPr>
                <w:rStyle w:val="FootnoteReference"/>
              </w:rPr>
              <w:footnoteReference w:id="35"/>
            </w:r>
            <w:r w:rsidR="00B037E4" w:rsidRPr="00B037E4">
              <w:rPr>
                <w:rStyle w:val="FootnoteReference"/>
              </w:rPr>
              <w:t>)</w:t>
            </w:r>
          </w:p>
        </w:tc>
        <w:tc>
          <w:tcPr>
            <w:tcW w:w="1195" w:type="dxa"/>
          </w:tcPr>
          <w:p w14:paraId="5EB2B29F" w14:textId="051E2964" w:rsidR="0015132C" w:rsidRPr="00A40F84" w:rsidRDefault="0015132C" w:rsidP="00897193">
            <w:pPr>
              <w:pStyle w:val="ARtabletextright"/>
            </w:pPr>
            <w:r w:rsidRPr="00A40F84">
              <w:t>273</w:t>
            </w:r>
          </w:p>
        </w:tc>
        <w:tc>
          <w:tcPr>
            <w:tcW w:w="1410" w:type="dxa"/>
            <w:gridSpan w:val="2"/>
          </w:tcPr>
          <w:p w14:paraId="087B55BB" w14:textId="5328B9D4" w:rsidR="0015132C" w:rsidRPr="00A40F84" w:rsidRDefault="0015132C" w:rsidP="00897193">
            <w:pPr>
              <w:pStyle w:val="ARtabletextright"/>
              <w:rPr>
                <w:rStyle w:val="FootnoteReference"/>
              </w:rPr>
            </w:pPr>
            <w:r w:rsidRPr="00A40F84">
              <w:t>259</w:t>
            </w:r>
          </w:p>
        </w:tc>
        <w:tc>
          <w:tcPr>
            <w:tcW w:w="1510" w:type="dxa"/>
          </w:tcPr>
          <w:p w14:paraId="7E94A3D9" w14:textId="2127245B" w:rsidR="0015132C" w:rsidRPr="00A40F84" w:rsidRDefault="00A40F84" w:rsidP="00897193">
            <w:pPr>
              <w:pStyle w:val="ARtabletextright"/>
              <w:rPr>
                <w:sz w:val="20"/>
                <w:szCs w:val="20"/>
              </w:rPr>
            </w:pPr>
            <w:r w:rsidRPr="00A40F84">
              <w:t>14</w:t>
            </w:r>
          </w:p>
        </w:tc>
      </w:tr>
      <w:tr w:rsidR="0015132C" w:rsidRPr="002029AF" w14:paraId="1596FBD0" w14:textId="77777777" w:rsidTr="00AF50BC">
        <w:trPr>
          <w:cantSplit/>
        </w:trPr>
        <w:tc>
          <w:tcPr>
            <w:tcW w:w="2225" w:type="dxa"/>
            <w:gridSpan w:val="2"/>
            <w:vMerge/>
          </w:tcPr>
          <w:p w14:paraId="76806C89" w14:textId="77777777" w:rsidR="0015132C" w:rsidRPr="002029AF" w:rsidRDefault="0015132C" w:rsidP="00897193">
            <w:pPr>
              <w:pStyle w:val="ARtabletext"/>
            </w:pPr>
          </w:p>
        </w:tc>
        <w:tc>
          <w:tcPr>
            <w:tcW w:w="3299" w:type="dxa"/>
          </w:tcPr>
          <w:p w14:paraId="37D0C133" w14:textId="77777777" w:rsidR="0015132C" w:rsidRPr="00A40F84" w:rsidRDefault="0015132C" w:rsidP="00A57FDC">
            <w:pPr>
              <w:pStyle w:val="ARtabletext"/>
            </w:pPr>
            <w:r w:rsidRPr="00A40F84">
              <w:t>Rate per 100 FTE</w:t>
            </w:r>
          </w:p>
        </w:tc>
        <w:tc>
          <w:tcPr>
            <w:tcW w:w="1195" w:type="dxa"/>
          </w:tcPr>
          <w:p w14:paraId="5E909E10" w14:textId="77777777" w:rsidR="0015132C" w:rsidRPr="00A40F84" w:rsidRDefault="0015132C" w:rsidP="00897193">
            <w:pPr>
              <w:pStyle w:val="ARtabletextright"/>
            </w:pPr>
            <w:r w:rsidRPr="00A40F84">
              <w:t>2.19</w:t>
            </w:r>
          </w:p>
        </w:tc>
        <w:tc>
          <w:tcPr>
            <w:tcW w:w="1410" w:type="dxa"/>
            <w:gridSpan w:val="2"/>
          </w:tcPr>
          <w:p w14:paraId="6D0CB22A" w14:textId="77777777" w:rsidR="0015132C" w:rsidRPr="00A40F84" w:rsidRDefault="0015132C" w:rsidP="00897193">
            <w:pPr>
              <w:pStyle w:val="ARtabletextright"/>
            </w:pPr>
            <w:r w:rsidRPr="00A40F84">
              <w:t>2.44</w:t>
            </w:r>
          </w:p>
        </w:tc>
        <w:tc>
          <w:tcPr>
            <w:tcW w:w="1510" w:type="dxa"/>
          </w:tcPr>
          <w:p w14:paraId="1B1BD3BF" w14:textId="44A98BB0" w:rsidR="0015132C" w:rsidRPr="00A40F84" w:rsidRDefault="00A40F84" w:rsidP="00897193">
            <w:pPr>
              <w:pStyle w:val="ARtabletextright"/>
              <w:rPr>
                <w:lang w:eastAsia="en-US"/>
              </w:rPr>
            </w:pPr>
            <w:r w:rsidRPr="00A40F84">
              <w:rPr>
                <w:lang w:eastAsia="en-US"/>
              </w:rPr>
              <w:t>na</w:t>
            </w:r>
          </w:p>
        </w:tc>
      </w:tr>
      <w:tr w:rsidR="0015132C" w:rsidRPr="002029AF" w14:paraId="5E8182D8" w14:textId="77777777" w:rsidTr="00AF50BC">
        <w:trPr>
          <w:cantSplit/>
        </w:trPr>
        <w:tc>
          <w:tcPr>
            <w:tcW w:w="2225" w:type="dxa"/>
            <w:gridSpan w:val="2"/>
            <w:vMerge/>
          </w:tcPr>
          <w:p w14:paraId="5C472198" w14:textId="77777777" w:rsidR="0015132C" w:rsidRPr="002029AF" w:rsidRDefault="0015132C" w:rsidP="00897193">
            <w:pPr>
              <w:pStyle w:val="ARtabletext"/>
            </w:pPr>
          </w:p>
        </w:tc>
        <w:tc>
          <w:tcPr>
            <w:tcW w:w="3299" w:type="dxa"/>
          </w:tcPr>
          <w:p w14:paraId="2FE0A58D" w14:textId="2C22F52E" w:rsidR="0015132C" w:rsidRPr="00A40F84" w:rsidRDefault="0015132C" w:rsidP="00A57FDC">
            <w:pPr>
              <w:pStyle w:val="ARtabletext"/>
            </w:pPr>
            <w:r w:rsidRPr="00A40F84">
              <w:t>No. of lost time claims</w:t>
            </w:r>
            <w:r w:rsidR="00B037E4" w:rsidRPr="00B037E4">
              <w:rPr>
                <w:rStyle w:val="FootnoteReference"/>
              </w:rPr>
              <w:t>(</w:t>
            </w:r>
            <w:r w:rsidR="00260E00">
              <w:rPr>
                <w:rStyle w:val="FootnoteReference"/>
              </w:rPr>
              <w:footnoteReference w:id="36"/>
            </w:r>
            <w:r w:rsidR="00B037E4" w:rsidRPr="00B037E4">
              <w:rPr>
                <w:rStyle w:val="FootnoteReference"/>
              </w:rPr>
              <w:t>)</w:t>
            </w:r>
          </w:p>
        </w:tc>
        <w:tc>
          <w:tcPr>
            <w:tcW w:w="1195" w:type="dxa"/>
          </w:tcPr>
          <w:p w14:paraId="583BEA30" w14:textId="77777777" w:rsidR="0015132C" w:rsidRPr="00A40F84" w:rsidRDefault="0015132C" w:rsidP="00897193">
            <w:pPr>
              <w:pStyle w:val="ARtabletextright"/>
            </w:pPr>
            <w:r w:rsidRPr="00A40F84">
              <w:t>157</w:t>
            </w:r>
          </w:p>
        </w:tc>
        <w:tc>
          <w:tcPr>
            <w:tcW w:w="1410" w:type="dxa"/>
            <w:gridSpan w:val="2"/>
          </w:tcPr>
          <w:p w14:paraId="0D9416B9" w14:textId="77777777" w:rsidR="0015132C" w:rsidRPr="00A40F84" w:rsidRDefault="0015132C" w:rsidP="00897193">
            <w:pPr>
              <w:pStyle w:val="ARtabletextright"/>
            </w:pPr>
            <w:r w:rsidRPr="00A40F84">
              <w:t>130</w:t>
            </w:r>
          </w:p>
        </w:tc>
        <w:tc>
          <w:tcPr>
            <w:tcW w:w="1510" w:type="dxa"/>
          </w:tcPr>
          <w:p w14:paraId="05385E2C" w14:textId="03F2099B" w:rsidR="0015132C" w:rsidRPr="00A40F84" w:rsidRDefault="00A40F84" w:rsidP="00897193">
            <w:pPr>
              <w:pStyle w:val="ARtabletextright"/>
            </w:pPr>
            <w:r w:rsidRPr="00A40F84">
              <w:t>7</w:t>
            </w:r>
          </w:p>
        </w:tc>
      </w:tr>
      <w:tr w:rsidR="0015132C" w:rsidRPr="002029AF" w14:paraId="17C3209B" w14:textId="77777777" w:rsidTr="00AF50BC">
        <w:trPr>
          <w:cantSplit/>
        </w:trPr>
        <w:tc>
          <w:tcPr>
            <w:tcW w:w="2225" w:type="dxa"/>
            <w:gridSpan w:val="2"/>
            <w:vMerge/>
          </w:tcPr>
          <w:p w14:paraId="29856F8A" w14:textId="77777777" w:rsidR="0015132C" w:rsidRPr="002029AF" w:rsidRDefault="0015132C" w:rsidP="00897193">
            <w:pPr>
              <w:pStyle w:val="ARtabletext"/>
            </w:pPr>
          </w:p>
        </w:tc>
        <w:tc>
          <w:tcPr>
            <w:tcW w:w="3299" w:type="dxa"/>
          </w:tcPr>
          <w:p w14:paraId="7F14B727" w14:textId="77777777" w:rsidR="0015132C" w:rsidRPr="00A40F84" w:rsidRDefault="0015132C" w:rsidP="00A57FDC">
            <w:pPr>
              <w:pStyle w:val="ARtabletext"/>
            </w:pPr>
            <w:r w:rsidRPr="00A40F84">
              <w:t>Rate per 100 FTE</w:t>
            </w:r>
          </w:p>
        </w:tc>
        <w:tc>
          <w:tcPr>
            <w:tcW w:w="1195" w:type="dxa"/>
          </w:tcPr>
          <w:p w14:paraId="58C351F2" w14:textId="77777777" w:rsidR="0015132C" w:rsidRPr="00A40F84" w:rsidRDefault="0015132C" w:rsidP="00897193">
            <w:pPr>
              <w:pStyle w:val="ARtabletextright"/>
            </w:pPr>
            <w:r w:rsidRPr="00A40F84">
              <w:t>1.270</w:t>
            </w:r>
          </w:p>
        </w:tc>
        <w:tc>
          <w:tcPr>
            <w:tcW w:w="1410" w:type="dxa"/>
            <w:gridSpan w:val="2"/>
          </w:tcPr>
          <w:p w14:paraId="582B97A4" w14:textId="77777777" w:rsidR="0015132C" w:rsidRPr="00A40F84" w:rsidRDefault="0015132C" w:rsidP="00897193">
            <w:pPr>
              <w:pStyle w:val="ARtabletextright"/>
            </w:pPr>
            <w:r w:rsidRPr="00A40F84">
              <w:t>1.223</w:t>
            </w:r>
          </w:p>
        </w:tc>
        <w:tc>
          <w:tcPr>
            <w:tcW w:w="1510" w:type="dxa"/>
          </w:tcPr>
          <w:p w14:paraId="1B65498B" w14:textId="7C653CE0" w:rsidR="0015132C" w:rsidRPr="00A40F84" w:rsidRDefault="00A40F84" w:rsidP="00897193">
            <w:pPr>
              <w:pStyle w:val="ARtabletextright"/>
              <w:rPr>
                <w:lang w:eastAsia="en-US"/>
              </w:rPr>
            </w:pPr>
            <w:r w:rsidRPr="00A40F84">
              <w:rPr>
                <w:lang w:eastAsia="en-US"/>
              </w:rPr>
              <w:t>na</w:t>
            </w:r>
          </w:p>
        </w:tc>
      </w:tr>
      <w:tr w:rsidR="0015132C" w:rsidRPr="002029AF" w14:paraId="190624E7" w14:textId="77777777" w:rsidTr="00AF50BC">
        <w:trPr>
          <w:cantSplit/>
        </w:trPr>
        <w:tc>
          <w:tcPr>
            <w:tcW w:w="2225" w:type="dxa"/>
            <w:gridSpan w:val="2"/>
            <w:vMerge/>
          </w:tcPr>
          <w:p w14:paraId="33C69C3F" w14:textId="77777777" w:rsidR="0015132C" w:rsidRPr="002029AF" w:rsidRDefault="0015132C" w:rsidP="00897193">
            <w:pPr>
              <w:pStyle w:val="ARtabletext"/>
            </w:pPr>
          </w:p>
        </w:tc>
        <w:tc>
          <w:tcPr>
            <w:tcW w:w="3299" w:type="dxa"/>
          </w:tcPr>
          <w:p w14:paraId="6564F0BB" w14:textId="48388F42" w:rsidR="0015132C" w:rsidRPr="00A40F84" w:rsidRDefault="0015132C" w:rsidP="00A57FDC">
            <w:pPr>
              <w:pStyle w:val="ARtabletext"/>
            </w:pPr>
            <w:r w:rsidRPr="00A40F84">
              <w:t>No. of claims exceeding 13 weeks</w:t>
            </w:r>
            <w:r w:rsidR="00B037E4" w:rsidRPr="00B037E4">
              <w:rPr>
                <w:rStyle w:val="FootnoteReference"/>
              </w:rPr>
              <w:t>(</w:t>
            </w:r>
            <w:r w:rsidR="00DE2270">
              <w:rPr>
                <w:rStyle w:val="FootnoteReference"/>
              </w:rPr>
              <w:footnoteReference w:id="37"/>
            </w:r>
            <w:r w:rsidR="00B037E4" w:rsidRPr="00B037E4">
              <w:rPr>
                <w:rStyle w:val="FootnoteReference"/>
              </w:rPr>
              <w:t>)</w:t>
            </w:r>
          </w:p>
        </w:tc>
        <w:tc>
          <w:tcPr>
            <w:tcW w:w="1195" w:type="dxa"/>
          </w:tcPr>
          <w:p w14:paraId="6C741996" w14:textId="77777777" w:rsidR="0015132C" w:rsidRPr="00A40F84" w:rsidRDefault="0015132C" w:rsidP="00897193">
            <w:pPr>
              <w:pStyle w:val="ARtabletextright"/>
            </w:pPr>
            <w:r w:rsidRPr="00A40F84">
              <w:t>85</w:t>
            </w:r>
          </w:p>
        </w:tc>
        <w:tc>
          <w:tcPr>
            <w:tcW w:w="1410" w:type="dxa"/>
            <w:gridSpan w:val="2"/>
          </w:tcPr>
          <w:p w14:paraId="3D067FA9" w14:textId="77777777" w:rsidR="0015132C" w:rsidRPr="00A40F84" w:rsidRDefault="0015132C" w:rsidP="00897193">
            <w:pPr>
              <w:pStyle w:val="ARtabletextright"/>
            </w:pPr>
            <w:r w:rsidRPr="00A40F84">
              <w:t>69</w:t>
            </w:r>
          </w:p>
        </w:tc>
        <w:tc>
          <w:tcPr>
            <w:tcW w:w="1510" w:type="dxa"/>
          </w:tcPr>
          <w:p w14:paraId="3D5C4D16" w14:textId="5C7A15F0" w:rsidR="0015132C" w:rsidRPr="00A40F84" w:rsidRDefault="00A40F84" w:rsidP="00897193">
            <w:pPr>
              <w:pStyle w:val="ARtabletextright"/>
            </w:pPr>
            <w:r w:rsidRPr="00A40F84">
              <w:t>na</w:t>
            </w:r>
          </w:p>
        </w:tc>
      </w:tr>
      <w:tr w:rsidR="0015132C" w:rsidRPr="002029AF" w14:paraId="48B2E78F" w14:textId="77777777" w:rsidTr="00AF50BC">
        <w:trPr>
          <w:cantSplit/>
        </w:trPr>
        <w:tc>
          <w:tcPr>
            <w:tcW w:w="2225" w:type="dxa"/>
            <w:gridSpan w:val="2"/>
            <w:vMerge/>
          </w:tcPr>
          <w:p w14:paraId="1BC27894" w14:textId="77777777" w:rsidR="0015132C" w:rsidRPr="002029AF" w:rsidRDefault="0015132C" w:rsidP="00897193">
            <w:pPr>
              <w:pStyle w:val="ARtabletext"/>
            </w:pPr>
          </w:p>
        </w:tc>
        <w:tc>
          <w:tcPr>
            <w:tcW w:w="3299" w:type="dxa"/>
          </w:tcPr>
          <w:p w14:paraId="0E988442" w14:textId="77777777" w:rsidR="0015132C" w:rsidRPr="00A40F84" w:rsidRDefault="0015132C" w:rsidP="00A57FDC">
            <w:pPr>
              <w:pStyle w:val="ARtabletext"/>
            </w:pPr>
            <w:r w:rsidRPr="00A40F84">
              <w:t>Rate per 100 FTE</w:t>
            </w:r>
          </w:p>
        </w:tc>
        <w:tc>
          <w:tcPr>
            <w:tcW w:w="1195" w:type="dxa"/>
          </w:tcPr>
          <w:p w14:paraId="0C169E30" w14:textId="77777777" w:rsidR="0015132C" w:rsidRPr="00A40F84" w:rsidRDefault="0015132C" w:rsidP="00897193">
            <w:pPr>
              <w:pStyle w:val="ARtabletextright"/>
            </w:pPr>
            <w:r w:rsidRPr="00A40F84">
              <w:t>0.682</w:t>
            </w:r>
          </w:p>
        </w:tc>
        <w:tc>
          <w:tcPr>
            <w:tcW w:w="1410" w:type="dxa"/>
            <w:gridSpan w:val="2"/>
          </w:tcPr>
          <w:p w14:paraId="5ABF527B" w14:textId="77777777" w:rsidR="0015132C" w:rsidRPr="00A40F84" w:rsidRDefault="0015132C" w:rsidP="00897193">
            <w:pPr>
              <w:pStyle w:val="ARtabletextright"/>
            </w:pPr>
            <w:r w:rsidRPr="00A40F84">
              <w:t>0.649</w:t>
            </w:r>
          </w:p>
        </w:tc>
        <w:tc>
          <w:tcPr>
            <w:tcW w:w="1510" w:type="dxa"/>
          </w:tcPr>
          <w:p w14:paraId="78CC179D" w14:textId="23A814D2" w:rsidR="0015132C" w:rsidRPr="00A40F84" w:rsidRDefault="00A40F84" w:rsidP="00897193">
            <w:pPr>
              <w:pStyle w:val="ARtabletextright"/>
              <w:rPr>
                <w:lang w:eastAsia="en-US"/>
              </w:rPr>
            </w:pPr>
            <w:r w:rsidRPr="00A40F84">
              <w:rPr>
                <w:lang w:eastAsia="en-US"/>
              </w:rPr>
              <w:t>na</w:t>
            </w:r>
          </w:p>
        </w:tc>
      </w:tr>
      <w:tr w:rsidR="0015132C" w:rsidRPr="002029AF" w14:paraId="765B810E" w14:textId="77777777" w:rsidTr="00AF50BC">
        <w:trPr>
          <w:cantSplit/>
        </w:trPr>
        <w:tc>
          <w:tcPr>
            <w:tcW w:w="2225" w:type="dxa"/>
            <w:gridSpan w:val="2"/>
            <w:vMerge w:val="restart"/>
            <w:tcBorders>
              <w:top w:val="single" w:sz="4" w:space="0" w:color="auto"/>
            </w:tcBorders>
          </w:tcPr>
          <w:p w14:paraId="126A26CE" w14:textId="77777777" w:rsidR="0015132C" w:rsidRPr="002029AF" w:rsidRDefault="0015132C" w:rsidP="00897193">
            <w:pPr>
              <w:pStyle w:val="ARtabletext"/>
            </w:pPr>
            <w:r w:rsidRPr="002029AF">
              <w:t>Absenteeism</w:t>
            </w:r>
          </w:p>
        </w:tc>
        <w:tc>
          <w:tcPr>
            <w:tcW w:w="3299" w:type="dxa"/>
          </w:tcPr>
          <w:p w14:paraId="0D5F55C0" w14:textId="77777777" w:rsidR="0015132C" w:rsidRPr="00A40F84" w:rsidRDefault="0015132C" w:rsidP="00A57FDC">
            <w:pPr>
              <w:pStyle w:val="ARtabletext"/>
            </w:pPr>
            <w:r w:rsidRPr="00A40F84">
              <w:t>Total number of days absence due to injury or illness</w:t>
            </w:r>
          </w:p>
        </w:tc>
        <w:tc>
          <w:tcPr>
            <w:tcW w:w="1195" w:type="dxa"/>
          </w:tcPr>
          <w:p w14:paraId="1D6960F9" w14:textId="77777777" w:rsidR="0015132C" w:rsidRPr="00A40F84" w:rsidDel="00FA770C" w:rsidRDefault="0015132C" w:rsidP="00897193">
            <w:pPr>
              <w:pStyle w:val="ARtabletextright"/>
            </w:pPr>
            <w:r w:rsidRPr="00A40F84">
              <w:t>98,835</w:t>
            </w:r>
          </w:p>
        </w:tc>
        <w:tc>
          <w:tcPr>
            <w:tcW w:w="1410" w:type="dxa"/>
            <w:gridSpan w:val="2"/>
          </w:tcPr>
          <w:p w14:paraId="6EB9E91A" w14:textId="77777777" w:rsidR="0015132C" w:rsidRPr="00A40F84" w:rsidDel="00FA770C" w:rsidRDefault="0015132C" w:rsidP="00897193">
            <w:pPr>
              <w:pStyle w:val="ARtabletextright"/>
            </w:pPr>
            <w:r w:rsidRPr="00A40F84">
              <w:t>67,596</w:t>
            </w:r>
          </w:p>
        </w:tc>
        <w:tc>
          <w:tcPr>
            <w:tcW w:w="1510" w:type="dxa"/>
          </w:tcPr>
          <w:p w14:paraId="6D307092" w14:textId="62AAAB49" w:rsidR="0015132C" w:rsidRPr="00A40F84" w:rsidDel="00FA770C" w:rsidRDefault="00A40F84" w:rsidP="00897193">
            <w:pPr>
              <w:pStyle w:val="ARtabletextright"/>
              <w:rPr>
                <w:lang w:eastAsia="en-US"/>
              </w:rPr>
            </w:pPr>
            <w:r w:rsidRPr="00A40F84">
              <w:rPr>
                <w:lang w:eastAsia="en-US"/>
              </w:rPr>
              <w:t>na</w:t>
            </w:r>
          </w:p>
        </w:tc>
      </w:tr>
      <w:tr w:rsidR="0015132C" w:rsidRPr="002029AF" w14:paraId="73847015" w14:textId="77777777" w:rsidTr="00AF50BC">
        <w:trPr>
          <w:cantSplit/>
        </w:trPr>
        <w:tc>
          <w:tcPr>
            <w:tcW w:w="2225" w:type="dxa"/>
            <w:gridSpan w:val="2"/>
            <w:vMerge/>
          </w:tcPr>
          <w:p w14:paraId="2F72E535" w14:textId="77777777" w:rsidR="0015132C" w:rsidRPr="002029AF" w:rsidRDefault="0015132C" w:rsidP="00897193">
            <w:pPr>
              <w:pStyle w:val="ARtabletext"/>
            </w:pPr>
          </w:p>
        </w:tc>
        <w:tc>
          <w:tcPr>
            <w:tcW w:w="3299" w:type="dxa"/>
          </w:tcPr>
          <w:p w14:paraId="65CFE41D" w14:textId="77777777" w:rsidR="0015132C" w:rsidRPr="00A40F84" w:rsidRDefault="0015132C" w:rsidP="00A57FDC">
            <w:pPr>
              <w:pStyle w:val="ARtabletext"/>
            </w:pPr>
            <w:r w:rsidRPr="00A40F84">
              <w:t>Rate per 100 FTE</w:t>
            </w:r>
          </w:p>
        </w:tc>
        <w:tc>
          <w:tcPr>
            <w:tcW w:w="1195" w:type="dxa"/>
          </w:tcPr>
          <w:p w14:paraId="736F1FC6" w14:textId="77777777" w:rsidR="0015132C" w:rsidRPr="00A40F84" w:rsidDel="00FA770C" w:rsidRDefault="0015132C" w:rsidP="00897193">
            <w:pPr>
              <w:pStyle w:val="ARtabletextright"/>
            </w:pPr>
            <w:r w:rsidRPr="00A40F84">
              <w:t>930</w:t>
            </w:r>
          </w:p>
        </w:tc>
        <w:tc>
          <w:tcPr>
            <w:tcW w:w="1410" w:type="dxa"/>
            <w:gridSpan w:val="2"/>
          </w:tcPr>
          <w:p w14:paraId="0922D6B6" w14:textId="77777777" w:rsidR="0015132C" w:rsidRPr="00A40F84" w:rsidDel="00FA770C" w:rsidRDefault="0015132C" w:rsidP="00897193">
            <w:pPr>
              <w:pStyle w:val="ARtabletextright"/>
            </w:pPr>
            <w:r w:rsidRPr="00A40F84">
              <w:t>789</w:t>
            </w:r>
          </w:p>
        </w:tc>
        <w:tc>
          <w:tcPr>
            <w:tcW w:w="1510" w:type="dxa"/>
          </w:tcPr>
          <w:p w14:paraId="1893A743" w14:textId="093BA786" w:rsidR="0015132C" w:rsidRPr="00A40F84" w:rsidDel="00FA770C" w:rsidRDefault="00A40F84" w:rsidP="00897193">
            <w:pPr>
              <w:pStyle w:val="ARtabletextright"/>
              <w:rPr>
                <w:lang w:eastAsia="en-US"/>
              </w:rPr>
            </w:pPr>
            <w:r w:rsidRPr="00A40F84">
              <w:rPr>
                <w:lang w:eastAsia="en-US"/>
              </w:rPr>
              <w:t>na</w:t>
            </w:r>
          </w:p>
        </w:tc>
      </w:tr>
      <w:tr w:rsidR="0015132C" w:rsidRPr="002029AF" w14:paraId="33009AE1" w14:textId="77777777" w:rsidTr="00AF50BC">
        <w:trPr>
          <w:cantSplit/>
        </w:trPr>
        <w:tc>
          <w:tcPr>
            <w:tcW w:w="2225" w:type="dxa"/>
            <w:gridSpan w:val="2"/>
          </w:tcPr>
          <w:p w14:paraId="3ACCBF0E" w14:textId="77777777" w:rsidR="0015132C" w:rsidRPr="002029AF" w:rsidRDefault="0015132C" w:rsidP="00897193">
            <w:pPr>
              <w:pStyle w:val="ARtabletext"/>
            </w:pPr>
            <w:r w:rsidRPr="002029AF">
              <w:t>Fatalities</w:t>
            </w:r>
          </w:p>
        </w:tc>
        <w:tc>
          <w:tcPr>
            <w:tcW w:w="3299" w:type="dxa"/>
          </w:tcPr>
          <w:p w14:paraId="5BCA4570" w14:textId="77777777" w:rsidR="0015132C" w:rsidRPr="00A40F84" w:rsidRDefault="0015132C" w:rsidP="00A57FDC">
            <w:pPr>
              <w:pStyle w:val="ARtabletext"/>
            </w:pPr>
            <w:r w:rsidRPr="00A40F84">
              <w:t>No. of fatalities</w:t>
            </w:r>
          </w:p>
        </w:tc>
        <w:tc>
          <w:tcPr>
            <w:tcW w:w="1195" w:type="dxa"/>
          </w:tcPr>
          <w:p w14:paraId="79D6D338" w14:textId="77777777" w:rsidR="0015132C" w:rsidRPr="00A40F84" w:rsidRDefault="0015132C" w:rsidP="00897193">
            <w:pPr>
              <w:pStyle w:val="ARtabletextright"/>
            </w:pPr>
            <w:r w:rsidRPr="00A40F84">
              <w:t>0</w:t>
            </w:r>
          </w:p>
        </w:tc>
        <w:tc>
          <w:tcPr>
            <w:tcW w:w="1410" w:type="dxa"/>
            <w:gridSpan w:val="2"/>
          </w:tcPr>
          <w:p w14:paraId="4171FD03" w14:textId="77777777" w:rsidR="0015132C" w:rsidRPr="00A40F84" w:rsidRDefault="0015132C" w:rsidP="00897193">
            <w:pPr>
              <w:pStyle w:val="ARtabletextright"/>
            </w:pPr>
            <w:r w:rsidRPr="00A40F84">
              <w:t>0</w:t>
            </w:r>
          </w:p>
        </w:tc>
        <w:tc>
          <w:tcPr>
            <w:tcW w:w="1510" w:type="dxa"/>
          </w:tcPr>
          <w:p w14:paraId="4D0424B2" w14:textId="77777777" w:rsidR="0015132C" w:rsidRPr="00A40F84" w:rsidRDefault="0015132C" w:rsidP="00897193">
            <w:pPr>
              <w:pStyle w:val="ARtabletextright"/>
            </w:pPr>
            <w:r w:rsidRPr="00A40F84">
              <w:t>0</w:t>
            </w:r>
          </w:p>
        </w:tc>
      </w:tr>
      <w:tr w:rsidR="0015132C" w:rsidRPr="002029AF" w14:paraId="1CD7AF9E" w14:textId="77777777" w:rsidTr="00AF50BC">
        <w:trPr>
          <w:cantSplit/>
        </w:trPr>
        <w:tc>
          <w:tcPr>
            <w:tcW w:w="2225" w:type="dxa"/>
            <w:gridSpan w:val="2"/>
          </w:tcPr>
          <w:p w14:paraId="394277E4" w14:textId="77777777" w:rsidR="0015132C" w:rsidRPr="002029AF" w:rsidRDefault="0015132C" w:rsidP="00897193">
            <w:pPr>
              <w:pStyle w:val="ARtabletext"/>
            </w:pPr>
            <w:r w:rsidRPr="002029AF">
              <w:t>Prosecutions</w:t>
            </w:r>
          </w:p>
        </w:tc>
        <w:tc>
          <w:tcPr>
            <w:tcW w:w="3299" w:type="dxa"/>
          </w:tcPr>
          <w:p w14:paraId="45FE2A9D" w14:textId="0EA4A04A" w:rsidR="0015132C" w:rsidRPr="00A40F84" w:rsidRDefault="0015132C" w:rsidP="00A57FDC">
            <w:pPr>
              <w:pStyle w:val="ARtabletext"/>
            </w:pPr>
            <w:r w:rsidRPr="00A40F84">
              <w:t>Total number of prosecutions</w:t>
            </w:r>
            <w:r w:rsidR="00B037E4" w:rsidRPr="00B037E4">
              <w:rPr>
                <w:rStyle w:val="FootnoteReference"/>
              </w:rPr>
              <w:t>(</w:t>
            </w:r>
            <w:r w:rsidR="00DE2270">
              <w:rPr>
                <w:rStyle w:val="FootnoteReference"/>
              </w:rPr>
              <w:footnoteReference w:id="38"/>
            </w:r>
            <w:r w:rsidR="00B037E4" w:rsidRPr="00B037E4">
              <w:rPr>
                <w:rStyle w:val="FootnoteReference"/>
              </w:rPr>
              <w:t>)</w:t>
            </w:r>
          </w:p>
        </w:tc>
        <w:tc>
          <w:tcPr>
            <w:tcW w:w="1195" w:type="dxa"/>
          </w:tcPr>
          <w:p w14:paraId="42B59922" w14:textId="7EDB79CC" w:rsidR="0015132C" w:rsidRPr="00A40F84" w:rsidDel="00FA770C" w:rsidRDefault="00A40F84" w:rsidP="00897193">
            <w:pPr>
              <w:pStyle w:val="ARtabletextright"/>
            </w:pPr>
            <w:r w:rsidRPr="00A40F84">
              <w:t>0</w:t>
            </w:r>
          </w:p>
        </w:tc>
        <w:tc>
          <w:tcPr>
            <w:tcW w:w="1410" w:type="dxa"/>
            <w:gridSpan w:val="2"/>
          </w:tcPr>
          <w:p w14:paraId="4BC08DDC" w14:textId="77777777" w:rsidR="0015132C" w:rsidRPr="00A40F84" w:rsidDel="00FA770C" w:rsidRDefault="0015132C" w:rsidP="00897193">
            <w:pPr>
              <w:pStyle w:val="ARtabletextright"/>
            </w:pPr>
            <w:r w:rsidRPr="00A40F84">
              <w:t>0</w:t>
            </w:r>
          </w:p>
        </w:tc>
        <w:tc>
          <w:tcPr>
            <w:tcW w:w="1510" w:type="dxa"/>
          </w:tcPr>
          <w:p w14:paraId="350F08F7" w14:textId="77777777" w:rsidR="0015132C" w:rsidRPr="00A40F84" w:rsidDel="00FA770C" w:rsidRDefault="0015132C" w:rsidP="00897193">
            <w:pPr>
              <w:pStyle w:val="ARtabletextright"/>
            </w:pPr>
            <w:r w:rsidRPr="00A40F84">
              <w:t>0</w:t>
            </w:r>
          </w:p>
        </w:tc>
      </w:tr>
      <w:tr w:rsidR="0015132C" w:rsidRPr="002029AF" w14:paraId="6B86063F" w14:textId="77777777" w:rsidTr="00AF50BC">
        <w:trPr>
          <w:cantSplit/>
        </w:trPr>
        <w:tc>
          <w:tcPr>
            <w:tcW w:w="2225" w:type="dxa"/>
            <w:gridSpan w:val="2"/>
          </w:tcPr>
          <w:p w14:paraId="1979099B" w14:textId="68CC2C44" w:rsidR="0015132C" w:rsidRPr="002029AF" w:rsidRDefault="0015132C" w:rsidP="00897193">
            <w:pPr>
              <w:pStyle w:val="ARtabletext"/>
            </w:pPr>
            <w:r w:rsidRPr="002029AF">
              <w:t>Claims costs</w:t>
            </w:r>
            <w:r w:rsidR="00B037E4" w:rsidRPr="00B037E4">
              <w:rPr>
                <w:rStyle w:val="FootnoteReference"/>
              </w:rPr>
              <w:t>(</w:t>
            </w:r>
            <w:r w:rsidR="00DE2270">
              <w:rPr>
                <w:rStyle w:val="FootnoteReference"/>
              </w:rPr>
              <w:footnoteReference w:id="39"/>
            </w:r>
            <w:r w:rsidR="00B037E4" w:rsidRPr="00B037E4">
              <w:rPr>
                <w:rStyle w:val="FootnoteReference"/>
              </w:rPr>
              <w:t>)</w:t>
            </w:r>
          </w:p>
        </w:tc>
        <w:tc>
          <w:tcPr>
            <w:tcW w:w="3299" w:type="dxa"/>
          </w:tcPr>
          <w:p w14:paraId="5372448B" w14:textId="1029DEBE" w:rsidR="0015132C" w:rsidRPr="00A40F84" w:rsidRDefault="0015132C" w:rsidP="00A57FDC">
            <w:pPr>
              <w:pStyle w:val="ARtabletext"/>
            </w:pPr>
            <w:r w:rsidRPr="00A40F84">
              <w:t>Average cost per standard claim</w:t>
            </w:r>
            <w:r w:rsidR="00B037E4" w:rsidRPr="00B037E4">
              <w:rPr>
                <w:rStyle w:val="FootnoteReference"/>
              </w:rPr>
              <w:t>(</w:t>
            </w:r>
            <w:r w:rsidR="00DE2270">
              <w:rPr>
                <w:rStyle w:val="FootnoteReference"/>
              </w:rPr>
              <w:footnoteReference w:id="40"/>
            </w:r>
            <w:r w:rsidR="00B037E4" w:rsidRPr="00B037E4">
              <w:rPr>
                <w:rStyle w:val="FootnoteReference"/>
              </w:rPr>
              <w:t>)</w:t>
            </w:r>
          </w:p>
        </w:tc>
        <w:tc>
          <w:tcPr>
            <w:tcW w:w="1195" w:type="dxa"/>
          </w:tcPr>
          <w:p w14:paraId="61BC5C0A" w14:textId="761861BA" w:rsidR="0015132C" w:rsidRPr="00A40F84" w:rsidRDefault="0015132C" w:rsidP="00897193">
            <w:pPr>
              <w:pStyle w:val="ARtabletextright"/>
            </w:pPr>
            <w:r w:rsidRPr="00A40F84">
              <w:t>$</w:t>
            </w:r>
            <w:r w:rsidR="00DE2270" w:rsidRPr="00DE2270">
              <w:t>75,135</w:t>
            </w:r>
          </w:p>
        </w:tc>
        <w:tc>
          <w:tcPr>
            <w:tcW w:w="1410" w:type="dxa"/>
            <w:gridSpan w:val="2"/>
          </w:tcPr>
          <w:p w14:paraId="1223D9C8" w14:textId="5DAD51B0" w:rsidR="0015132C" w:rsidRPr="00A40F84" w:rsidRDefault="0015132C" w:rsidP="00897193">
            <w:pPr>
              <w:pStyle w:val="ARtabletextright"/>
            </w:pPr>
            <w:r w:rsidRPr="00A40F84">
              <w:t>$</w:t>
            </w:r>
            <w:r w:rsidR="00DE2270" w:rsidRPr="00DE2270">
              <w:t>149,100</w:t>
            </w:r>
          </w:p>
        </w:tc>
        <w:tc>
          <w:tcPr>
            <w:tcW w:w="1510" w:type="dxa"/>
          </w:tcPr>
          <w:p w14:paraId="04668196" w14:textId="4C123361" w:rsidR="0015132C" w:rsidRPr="00A40F84" w:rsidRDefault="00DE2270" w:rsidP="00897193">
            <w:pPr>
              <w:pStyle w:val="ARtabletextright"/>
            </w:pPr>
            <w:r>
              <w:t>na</w:t>
            </w:r>
          </w:p>
        </w:tc>
      </w:tr>
      <w:bookmarkEnd w:id="483"/>
    </w:tbl>
    <w:p w14:paraId="0300558B" w14:textId="77777777" w:rsidR="0015132C" w:rsidRPr="002029AF" w:rsidRDefault="0015132C" w:rsidP="00B442E2">
      <w:pPr>
        <w:pStyle w:val="ARbody"/>
        <w:rPr>
          <w:highlight w:val="yellow"/>
        </w:rPr>
      </w:pPr>
      <w:r w:rsidRPr="002029AF">
        <w:rPr>
          <w:highlight w:val="yellow"/>
        </w:rPr>
        <w:br w:type="page"/>
      </w: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1372"/>
        <w:gridCol w:w="1600"/>
        <w:gridCol w:w="6667"/>
      </w:tblGrid>
      <w:tr w:rsidR="0015132C" w:rsidRPr="002029AF" w14:paraId="104EC8F3" w14:textId="77777777" w:rsidTr="00037D1F">
        <w:trPr>
          <w:cantSplit/>
          <w:tblHeader/>
        </w:trPr>
        <w:tc>
          <w:tcPr>
            <w:tcW w:w="1372" w:type="dxa"/>
            <w:vAlign w:val="bottom"/>
          </w:tcPr>
          <w:p w14:paraId="3EDE74D0" w14:textId="147E3204" w:rsidR="0015132C" w:rsidRPr="006514A9" w:rsidRDefault="0015132C" w:rsidP="006514A9">
            <w:pPr>
              <w:pStyle w:val="ARtablecolhead"/>
            </w:pPr>
            <w:r w:rsidRPr="006514A9">
              <w:lastRenderedPageBreak/>
              <w:t>Measure</w:t>
            </w:r>
          </w:p>
        </w:tc>
        <w:tc>
          <w:tcPr>
            <w:tcW w:w="1600" w:type="dxa"/>
            <w:vAlign w:val="bottom"/>
          </w:tcPr>
          <w:p w14:paraId="773415B2" w14:textId="77777777" w:rsidR="0015132C" w:rsidRPr="006514A9" w:rsidRDefault="0015132C" w:rsidP="006514A9">
            <w:pPr>
              <w:pStyle w:val="ARtablecolhead"/>
            </w:pPr>
            <w:r w:rsidRPr="006514A9">
              <w:t>KPI</w:t>
            </w:r>
          </w:p>
        </w:tc>
        <w:tc>
          <w:tcPr>
            <w:tcW w:w="6667" w:type="dxa"/>
            <w:vAlign w:val="bottom"/>
          </w:tcPr>
          <w:p w14:paraId="24313F1C" w14:textId="77777777" w:rsidR="0015132C" w:rsidRPr="006514A9" w:rsidRDefault="0015132C" w:rsidP="006514A9">
            <w:pPr>
              <w:pStyle w:val="ARtablecolhead"/>
            </w:pPr>
            <w:r w:rsidRPr="006514A9">
              <w:t>Performance</w:t>
            </w:r>
          </w:p>
        </w:tc>
      </w:tr>
      <w:tr w:rsidR="0015132C" w:rsidRPr="002029AF" w14:paraId="299BAF53" w14:textId="77777777" w:rsidTr="00037D1F">
        <w:trPr>
          <w:cantSplit/>
          <w:trHeight w:val="220"/>
        </w:trPr>
        <w:tc>
          <w:tcPr>
            <w:tcW w:w="1372" w:type="dxa"/>
          </w:tcPr>
          <w:p w14:paraId="397FD976" w14:textId="66790358" w:rsidR="0015132C" w:rsidRPr="002029AF" w:rsidRDefault="0015132C" w:rsidP="006514A9">
            <w:pPr>
              <w:pStyle w:val="ARtabletext"/>
            </w:pPr>
            <w:r w:rsidRPr="002029AF">
              <w:t>Management commitment</w:t>
            </w:r>
          </w:p>
        </w:tc>
        <w:tc>
          <w:tcPr>
            <w:tcW w:w="1600" w:type="dxa"/>
          </w:tcPr>
          <w:p w14:paraId="78C64CC5" w14:textId="77777777" w:rsidR="0015132C" w:rsidRPr="002029AF" w:rsidRDefault="0015132C" w:rsidP="006514A9">
            <w:pPr>
              <w:pStyle w:val="ARtabletext"/>
            </w:pPr>
            <w:r w:rsidRPr="002029AF">
              <w:t>OHS policy statement and OHS criteria</w:t>
            </w:r>
          </w:p>
        </w:tc>
        <w:tc>
          <w:tcPr>
            <w:tcW w:w="6667" w:type="dxa"/>
          </w:tcPr>
          <w:p w14:paraId="6A7C17A7" w14:textId="71AC3C04" w:rsidR="0015132C" w:rsidRPr="002029AF" w:rsidRDefault="0015132C" w:rsidP="006514A9">
            <w:pPr>
              <w:pStyle w:val="ARtabletext"/>
            </w:pPr>
            <w:r w:rsidRPr="4FCE31F0">
              <w:t>Health, safety and wellbeing accountabilities were included in all executive performance plans and the performance and development plans for all employees in 2020–21.</w:t>
            </w:r>
          </w:p>
          <w:p w14:paraId="7A12AA4F" w14:textId="777C5982" w:rsidR="0015132C" w:rsidRPr="002029AF" w:rsidRDefault="0015132C" w:rsidP="006514A9">
            <w:pPr>
              <w:pStyle w:val="ARtabletext"/>
            </w:pPr>
            <w:r w:rsidRPr="4FCE31F0">
              <w:t>The department continued to support and participate in the whole</w:t>
            </w:r>
            <w:r w:rsidR="00313EC5">
              <w:t xml:space="preserve"> </w:t>
            </w:r>
            <w:r w:rsidRPr="4FCE31F0">
              <w:t>of</w:t>
            </w:r>
            <w:r w:rsidR="00313EC5">
              <w:t xml:space="preserve"> </w:t>
            </w:r>
            <w:r w:rsidRPr="4FCE31F0">
              <w:t>government OHS committee structure, established in partnership with unions and WorkSafe to lead and improve OHS performance in the public sector. The department</w:t>
            </w:r>
            <w:r w:rsidR="007D145B">
              <w:t>’</w:t>
            </w:r>
            <w:r w:rsidRPr="4FCE31F0">
              <w:t>s contribution included establishment and leadership of the working group under this initiative to improve civility and respect in public sector workplaces.</w:t>
            </w:r>
          </w:p>
          <w:p w14:paraId="159090CB" w14:textId="059BE63B" w:rsidR="0015132C" w:rsidRPr="002029AF" w:rsidRDefault="0015132C" w:rsidP="006514A9">
            <w:pPr>
              <w:pStyle w:val="ARtabletext"/>
            </w:pPr>
            <w:r w:rsidRPr="4FCE31F0">
              <w:t>Early engagement with the new executive board increase</w:t>
            </w:r>
            <w:r w:rsidR="007E1962">
              <w:t>d</w:t>
            </w:r>
            <w:r w:rsidRPr="4FCE31F0">
              <w:t xml:space="preserve"> the focus on HSW accountability and due diligence, including greater visibility of HSW performance.</w:t>
            </w:r>
          </w:p>
          <w:p w14:paraId="7B107985" w14:textId="77777777" w:rsidR="0015132C" w:rsidRPr="002029AF" w:rsidRDefault="0015132C" w:rsidP="006514A9">
            <w:pPr>
              <w:pStyle w:val="ARtabletext"/>
            </w:pPr>
            <w:r w:rsidRPr="4FCE31F0">
              <w:t>Health and safety committees continued to lead proactive and preventive activity to protect and improve the mental and physical health, safety and wellbeing of staff.</w:t>
            </w:r>
          </w:p>
          <w:p w14:paraId="68BAE221" w14:textId="4D382112" w:rsidR="0015132C" w:rsidRPr="002029AF" w:rsidRDefault="007E1962" w:rsidP="006514A9">
            <w:pPr>
              <w:pStyle w:val="ARtabletext"/>
            </w:pPr>
            <w:r>
              <w:t>T</w:t>
            </w:r>
            <w:r w:rsidR="0015132C" w:rsidRPr="4FCE31F0">
              <w:t>he department</w:t>
            </w:r>
            <w:r w:rsidR="007D145B">
              <w:t>’</w:t>
            </w:r>
            <w:r w:rsidR="0015132C" w:rsidRPr="4FCE31F0">
              <w:t>s health and safety management system content</w:t>
            </w:r>
            <w:r>
              <w:t xml:space="preserve"> was developed and implemented</w:t>
            </w:r>
            <w:r w:rsidR="003C32D9">
              <w:t>,</w:t>
            </w:r>
            <w:r w:rsidR="0015132C" w:rsidRPr="4FCE31F0">
              <w:t xml:space="preserve"> incorporating consultation with department employees, health and safety representatives and senior management on health and safety matters in the workplace.</w:t>
            </w:r>
          </w:p>
          <w:p w14:paraId="6920C7BE" w14:textId="47D60EEB" w:rsidR="0015132C" w:rsidRPr="002029AF" w:rsidRDefault="0015132C" w:rsidP="006514A9">
            <w:pPr>
              <w:pStyle w:val="ARtabletext"/>
            </w:pPr>
            <w:r w:rsidRPr="4FCE31F0">
              <w:t>Workers</w:t>
            </w:r>
            <w:r w:rsidR="007D145B">
              <w:t>’</w:t>
            </w:r>
            <w:r w:rsidRPr="4FCE31F0">
              <w:t xml:space="preserve"> compensation performance reports are provided to senior leaders on a monthly basis. Middle and senior managers have desktop access to health and safety performance reports through the department</w:t>
            </w:r>
            <w:r w:rsidR="007D145B">
              <w:t>’</w:t>
            </w:r>
            <w:r w:rsidRPr="4FCE31F0">
              <w:t>s corporate reporting tool.</w:t>
            </w:r>
          </w:p>
        </w:tc>
      </w:tr>
      <w:tr w:rsidR="0015132C" w:rsidRPr="002029AF" w14:paraId="6E2FB6C4" w14:textId="77777777" w:rsidTr="00037D1F">
        <w:trPr>
          <w:cantSplit/>
          <w:trHeight w:val="130"/>
        </w:trPr>
        <w:tc>
          <w:tcPr>
            <w:tcW w:w="1372" w:type="dxa"/>
          </w:tcPr>
          <w:p w14:paraId="54A1BAD3" w14:textId="77777777" w:rsidR="0015132C" w:rsidRPr="002029AF" w:rsidRDefault="0015132C" w:rsidP="006514A9">
            <w:pPr>
              <w:pStyle w:val="ARtabletext"/>
            </w:pPr>
            <w:r w:rsidRPr="002029AF">
              <w:t>Consultation and participation</w:t>
            </w:r>
          </w:p>
        </w:tc>
        <w:tc>
          <w:tcPr>
            <w:tcW w:w="1600" w:type="dxa"/>
          </w:tcPr>
          <w:p w14:paraId="5B8908EB" w14:textId="77777777" w:rsidR="0015132C" w:rsidRPr="002029AF" w:rsidRDefault="0015132C" w:rsidP="006514A9">
            <w:pPr>
              <w:pStyle w:val="ARtabletext"/>
            </w:pPr>
            <w:r w:rsidRPr="002029AF">
              <w:t>Designated work group structures and issue resolution procedures</w:t>
            </w:r>
          </w:p>
        </w:tc>
        <w:tc>
          <w:tcPr>
            <w:tcW w:w="6667" w:type="dxa"/>
          </w:tcPr>
          <w:p w14:paraId="68D33001" w14:textId="6D2F2E3E" w:rsidR="00F8606E" w:rsidRDefault="0015132C" w:rsidP="006514A9">
            <w:pPr>
              <w:pStyle w:val="ARtabletext"/>
              <w:rPr>
                <w:rFonts w:eastAsia="Arial"/>
              </w:rPr>
            </w:pPr>
            <w:r w:rsidRPr="4FCE31F0">
              <w:rPr>
                <w:rFonts w:eastAsia="Arial"/>
              </w:rPr>
              <w:t>The department has in place a health and safety consultation structure comprising a health and safety committee which meet</w:t>
            </w:r>
            <w:r w:rsidR="003C32D9">
              <w:rPr>
                <w:rFonts w:eastAsia="Arial"/>
              </w:rPr>
              <w:t>s</w:t>
            </w:r>
            <w:r w:rsidRPr="4FCE31F0">
              <w:rPr>
                <w:rFonts w:eastAsia="Arial"/>
              </w:rPr>
              <w:t xml:space="preserve"> quarterly. These </w:t>
            </w:r>
            <w:r w:rsidR="003C32D9">
              <w:rPr>
                <w:rFonts w:eastAsia="Arial"/>
              </w:rPr>
              <w:t xml:space="preserve">meetings </w:t>
            </w:r>
            <w:r w:rsidRPr="4FCE31F0">
              <w:rPr>
                <w:rFonts w:eastAsia="Arial"/>
              </w:rPr>
              <w:t>are supplemented by monthly community of practice meetings.</w:t>
            </w:r>
          </w:p>
          <w:p w14:paraId="78A44BCD" w14:textId="3FD69989" w:rsidR="0015132C" w:rsidRPr="002029AF" w:rsidRDefault="0015132C" w:rsidP="006514A9">
            <w:pPr>
              <w:pStyle w:val="ARtabletext"/>
            </w:pPr>
            <w:r w:rsidRPr="4FCE31F0">
              <w:rPr>
                <w:rFonts w:eastAsia="Arial"/>
              </w:rPr>
              <w:t>The department continues to maintain an extensive network of 18 designated work groups with 25 health and safety representatives and 28 designated management representatives.</w:t>
            </w:r>
          </w:p>
          <w:p w14:paraId="51FCE6D1" w14:textId="77777777" w:rsidR="0015132C" w:rsidRPr="002029AF" w:rsidRDefault="0015132C" w:rsidP="006514A9">
            <w:pPr>
              <w:pStyle w:val="ARtabletext"/>
              <w:rPr>
                <w:rFonts w:eastAsia="Arial"/>
              </w:rPr>
            </w:pPr>
            <w:r w:rsidRPr="4FCE31F0">
              <w:rPr>
                <w:rFonts w:eastAsia="Arial"/>
              </w:rPr>
              <w:t>The department has a model procedure for managers and employees to follow in resolving health and safety issues identified in department workplaces.</w:t>
            </w:r>
          </w:p>
        </w:tc>
      </w:tr>
      <w:tr w:rsidR="0015132C" w:rsidRPr="002029AF" w14:paraId="3A4314F2" w14:textId="77777777" w:rsidTr="00037D1F">
        <w:trPr>
          <w:cantSplit/>
          <w:trHeight w:val="340"/>
        </w:trPr>
        <w:tc>
          <w:tcPr>
            <w:tcW w:w="1372" w:type="dxa"/>
          </w:tcPr>
          <w:p w14:paraId="37836B0D" w14:textId="77777777" w:rsidR="0015132C" w:rsidRPr="002029AF" w:rsidRDefault="0015132C" w:rsidP="006514A9">
            <w:pPr>
              <w:pStyle w:val="ARtabletext"/>
            </w:pPr>
            <w:r w:rsidRPr="002029AF">
              <w:t>Risk management</w:t>
            </w:r>
          </w:p>
        </w:tc>
        <w:tc>
          <w:tcPr>
            <w:tcW w:w="1600" w:type="dxa"/>
          </w:tcPr>
          <w:p w14:paraId="47AE904A" w14:textId="77777777" w:rsidR="0015132C" w:rsidRPr="002029AF" w:rsidRDefault="0015132C" w:rsidP="006514A9">
            <w:pPr>
              <w:pStyle w:val="ARtabletext"/>
            </w:pPr>
            <w:r w:rsidRPr="002029AF">
              <w:t>Regular internal audits conducted, and issues identified and actioned</w:t>
            </w:r>
          </w:p>
        </w:tc>
        <w:tc>
          <w:tcPr>
            <w:tcW w:w="6667" w:type="dxa"/>
          </w:tcPr>
          <w:p w14:paraId="0EE23410" w14:textId="77777777" w:rsidR="0015132C" w:rsidRPr="002029AF" w:rsidRDefault="0015132C" w:rsidP="006514A9">
            <w:pPr>
              <w:pStyle w:val="ARtabletext"/>
            </w:pPr>
            <w:r w:rsidRPr="4FCE31F0">
              <w:rPr>
                <w:rFonts w:eastAsia="Arial"/>
              </w:rPr>
              <w:t>The department has an electronic employee health and safety incident reporting system (eDINMAR) in all locations. This system has resulted in increased rates of reporting, greater accountability and timelier follow-up and resolution of reported hazards and risks.</w:t>
            </w:r>
          </w:p>
          <w:p w14:paraId="29CD0B9B" w14:textId="1F1135D8" w:rsidR="0015132C" w:rsidRPr="002029AF" w:rsidRDefault="0015132C" w:rsidP="006514A9">
            <w:pPr>
              <w:pStyle w:val="ARtabletext"/>
            </w:pPr>
            <w:r w:rsidRPr="4FCE31F0">
              <w:rPr>
                <w:rFonts w:eastAsia="Arial"/>
              </w:rPr>
              <w:t>The department has comprehensive procedures and tools for assessing and managing key risks</w:t>
            </w:r>
            <w:r w:rsidR="003C32D9">
              <w:rPr>
                <w:rFonts w:eastAsia="Arial"/>
              </w:rPr>
              <w:t>,</w:t>
            </w:r>
            <w:r w:rsidRPr="4FCE31F0">
              <w:rPr>
                <w:rFonts w:eastAsia="Arial"/>
              </w:rPr>
              <w:t xml:space="preserve"> including conducting regular workplace inspections.</w:t>
            </w:r>
          </w:p>
        </w:tc>
      </w:tr>
      <w:tr w:rsidR="0015132C" w:rsidRPr="002029AF" w14:paraId="06D1AFAF" w14:textId="77777777" w:rsidTr="00037D1F">
        <w:trPr>
          <w:cantSplit/>
          <w:trHeight w:val="402"/>
        </w:trPr>
        <w:tc>
          <w:tcPr>
            <w:tcW w:w="1372" w:type="dxa"/>
          </w:tcPr>
          <w:p w14:paraId="3A876760" w14:textId="77777777" w:rsidR="0015132C" w:rsidRPr="002029AF" w:rsidRDefault="0015132C" w:rsidP="006514A9">
            <w:pPr>
              <w:pStyle w:val="ARtabletext"/>
            </w:pPr>
            <w:r w:rsidRPr="002029AF">
              <w:t>Training</w:t>
            </w:r>
          </w:p>
        </w:tc>
        <w:tc>
          <w:tcPr>
            <w:tcW w:w="1600" w:type="dxa"/>
          </w:tcPr>
          <w:p w14:paraId="77959115" w14:textId="77777777" w:rsidR="0015132C" w:rsidRPr="002029AF" w:rsidRDefault="0015132C" w:rsidP="006514A9">
            <w:pPr>
              <w:pStyle w:val="ARtabletext"/>
            </w:pPr>
            <w:r w:rsidRPr="002029AF">
              <w:t xml:space="preserve">Managers, health and safety representatives and other staff trained </w:t>
            </w:r>
          </w:p>
        </w:tc>
        <w:tc>
          <w:tcPr>
            <w:tcW w:w="6667" w:type="dxa"/>
          </w:tcPr>
          <w:p w14:paraId="65D78382" w14:textId="77777777" w:rsidR="00F8606E" w:rsidRDefault="0015132C" w:rsidP="006514A9">
            <w:pPr>
              <w:pStyle w:val="ARtabletext"/>
              <w:rPr>
                <w:rFonts w:eastAsia="Arial"/>
              </w:rPr>
            </w:pPr>
            <w:r w:rsidRPr="4FCE31F0">
              <w:rPr>
                <w:rFonts w:eastAsia="Arial"/>
              </w:rPr>
              <w:t>The department delivered Managing my Wellbeing at Work training for all staff and Leading with Respect: Managing for Team Wellbeing training for people managers to support ongoing implementation of the Mental Health and Wellbeing Charter.</w:t>
            </w:r>
          </w:p>
          <w:p w14:paraId="02EEDCF1" w14:textId="26CCEBBF" w:rsidR="0015132C" w:rsidRPr="002029AF" w:rsidRDefault="0015132C" w:rsidP="006514A9">
            <w:pPr>
              <w:pStyle w:val="ARtabletext"/>
            </w:pPr>
            <w:r w:rsidRPr="4FCE31F0">
              <w:rPr>
                <w:rFonts w:eastAsia="Arial"/>
              </w:rPr>
              <w:t xml:space="preserve">All </w:t>
            </w:r>
            <w:r w:rsidR="003C32D9">
              <w:rPr>
                <w:rFonts w:eastAsia="Arial"/>
              </w:rPr>
              <w:t xml:space="preserve">newly elected </w:t>
            </w:r>
            <w:r w:rsidRPr="4FCE31F0">
              <w:rPr>
                <w:rFonts w:eastAsia="Arial"/>
              </w:rPr>
              <w:t>health and safety representatives were encouraged and supported by the department to undertake the five-day health and safety representative training program and existing health and safety representatives</w:t>
            </w:r>
            <w:r w:rsidR="003C32D9">
              <w:rPr>
                <w:rFonts w:eastAsia="Arial"/>
              </w:rPr>
              <w:t xml:space="preserve"> were encouraged</w:t>
            </w:r>
            <w:r w:rsidRPr="4FCE31F0">
              <w:rPr>
                <w:rFonts w:eastAsia="Arial"/>
              </w:rPr>
              <w:t xml:space="preserve"> to do the one-day refresher training.</w:t>
            </w:r>
          </w:p>
          <w:p w14:paraId="209ECAAA" w14:textId="518ADAA6" w:rsidR="0015132C" w:rsidRPr="002029AF" w:rsidRDefault="0015132C" w:rsidP="003C32D9">
            <w:pPr>
              <w:pStyle w:val="ARtabletext"/>
              <w:rPr>
                <w:rFonts w:eastAsia="Arial"/>
              </w:rPr>
            </w:pPr>
            <w:r w:rsidRPr="4FCE31F0">
              <w:rPr>
                <w:rFonts w:ascii="Calibri" w:eastAsia="Calibri" w:hAnsi="Calibri" w:cs="Calibri"/>
              </w:rPr>
              <w:t>T</w:t>
            </w:r>
            <w:r w:rsidRPr="4FCE31F0">
              <w:rPr>
                <w:rFonts w:eastAsia="Arial"/>
              </w:rPr>
              <w:t>he department conducts an annual health and safety representative forum as</w:t>
            </w:r>
            <w:r w:rsidR="00553B72">
              <w:rPr>
                <w:rFonts w:eastAsia="Arial"/>
              </w:rPr>
              <w:t> </w:t>
            </w:r>
            <w:r w:rsidRPr="4FCE31F0">
              <w:rPr>
                <w:rFonts w:eastAsia="Arial"/>
              </w:rPr>
              <w:t>a</w:t>
            </w:r>
            <w:r w:rsidR="00553B72">
              <w:rPr>
                <w:rFonts w:eastAsia="Arial"/>
              </w:rPr>
              <w:t> </w:t>
            </w:r>
            <w:r w:rsidRPr="4FCE31F0">
              <w:rPr>
                <w:rFonts w:eastAsia="Arial"/>
              </w:rPr>
              <w:t>key activity to support and recognise our elected health and safety representatives. There were approximately 136 registered participants at the</w:t>
            </w:r>
            <w:r w:rsidR="00553B72">
              <w:rPr>
                <w:rFonts w:eastAsia="Arial"/>
              </w:rPr>
              <w:t> </w:t>
            </w:r>
            <w:r w:rsidRPr="4FCE31F0">
              <w:rPr>
                <w:rFonts w:eastAsia="Arial"/>
              </w:rPr>
              <w:t>2020</w:t>
            </w:r>
            <w:r w:rsidR="00553B72">
              <w:rPr>
                <w:rFonts w:eastAsia="Arial"/>
              </w:rPr>
              <w:t> </w:t>
            </w:r>
            <w:r w:rsidRPr="4FCE31F0">
              <w:rPr>
                <w:rFonts w:eastAsia="Arial"/>
              </w:rPr>
              <w:t>forum.</w:t>
            </w:r>
          </w:p>
        </w:tc>
      </w:tr>
    </w:tbl>
    <w:p w14:paraId="1B292B18" w14:textId="752B2E7C" w:rsidR="0015132C" w:rsidRDefault="0015132C" w:rsidP="00037D1F">
      <w:pPr>
        <w:pStyle w:val="ARtablefootnote"/>
      </w:pPr>
      <w:r>
        <w:br w:type="page"/>
      </w:r>
    </w:p>
    <w:p w14:paraId="31710D06" w14:textId="5BEE5CB6" w:rsidR="0015132C" w:rsidRDefault="0015132C" w:rsidP="0015132C">
      <w:pPr>
        <w:pStyle w:val="Heading1"/>
      </w:pPr>
      <w:bookmarkStart w:id="486" w:name="_Toc54690772"/>
      <w:bookmarkStart w:id="487" w:name="_Toc85121259"/>
      <w:bookmarkStart w:id="488" w:name="_Toc85121614"/>
      <w:bookmarkStart w:id="489" w:name="_Toc86075597"/>
      <w:bookmarkStart w:id="490" w:name="_Toc41961291"/>
      <w:bookmarkStart w:id="491" w:name="_Ref52265984"/>
      <w:bookmarkStart w:id="492" w:name="_Ref52266120"/>
      <w:bookmarkStart w:id="493" w:name="_Ref52285412"/>
      <w:bookmarkStart w:id="494" w:name="_Toc49870282"/>
      <w:bookmarkStart w:id="495" w:name="_Toc45549433"/>
      <w:r>
        <w:lastRenderedPageBreak/>
        <w:t>Section 4: Other disclosures</w:t>
      </w:r>
      <w:bookmarkEnd w:id="486"/>
      <w:bookmarkEnd w:id="487"/>
      <w:bookmarkEnd w:id="488"/>
      <w:bookmarkEnd w:id="489"/>
    </w:p>
    <w:p w14:paraId="16BB2182" w14:textId="77777777" w:rsidR="0015132C" w:rsidRDefault="0015132C" w:rsidP="0015132C">
      <w:pPr>
        <w:pStyle w:val="Heading2"/>
        <w:spacing w:before="0" w:after="240"/>
        <w:rPr>
          <w:rFonts w:cs="Arial"/>
        </w:rPr>
        <w:sectPr w:rsidR="0015132C" w:rsidSect="00A36763">
          <w:headerReference w:type="default" r:id="rId80"/>
          <w:headerReference w:type="first" r:id="rId81"/>
          <w:footerReference w:type="first" r:id="rId82"/>
          <w:footnotePr>
            <w:numFmt w:val="lowerLetter"/>
            <w:numRestart w:val="eachPage"/>
          </w:footnotePr>
          <w:endnotePr>
            <w:numFmt w:val="decimal"/>
          </w:endnotePr>
          <w:type w:val="continuous"/>
          <w:pgSz w:w="11900" w:h="16840" w:code="9"/>
          <w:pgMar w:top="1985" w:right="1134" w:bottom="851" w:left="1134" w:header="510" w:footer="340" w:gutter="0"/>
          <w:cols w:space="454"/>
        </w:sectPr>
      </w:pPr>
    </w:p>
    <w:p w14:paraId="590D7040" w14:textId="3A70DC2B" w:rsidR="0015132C" w:rsidRPr="002029AF" w:rsidRDefault="0015132C" w:rsidP="00307304">
      <w:pPr>
        <w:pStyle w:val="Heading2"/>
        <w:spacing w:before="0"/>
        <w:rPr>
          <w:rFonts w:cs="Arial"/>
        </w:rPr>
      </w:pPr>
      <w:bookmarkStart w:id="496" w:name="_Ref84240846"/>
      <w:bookmarkStart w:id="497" w:name="_Toc85121260"/>
      <w:bookmarkStart w:id="498" w:name="_Toc85121615"/>
      <w:bookmarkStart w:id="499" w:name="_Toc86075598"/>
      <w:r w:rsidRPr="002029AF">
        <w:rPr>
          <w:rFonts w:cs="Arial"/>
        </w:rPr>
        <w:t>Local Jobs First</w:t>
      </w:r>
      <w:bookmarkEnd w:id="496"/>
      <w:bookmarkEnd w:id="497"/>
      <w:bookmarkEnd w:id="498"/>
      <w:bookmarkEnd w:id="499"/>
    </w:p>
    <w:bookmarkEnd w:id="490"/>
    <w:bookmarkEnd w:id="491"/>
    <w:bookmarkEnd w:id="492"/>
    <w:bookmarkEnd w:id="493"/>
    <w:bookmarkEnd w:id="494"/>
    <w:bookmarkEnd w:id="495"/>
    <w:p w14:paraId="314DDD98" w14:textId="16356C38" w:rsidR="0015132C" w:rsidRDefault="0015132C" w:rsidP="0015132C">
      <w:pPr>
        <w:pStyle w:val="ARbody"/>
      </w:pPr>
      <w:r>
        <w:t xml:space="preserve">The </w:t>
      </w:r>
      <w:r w:rsidRPr="00600713">
        <w:rPr>
          <w:i/>
          <w:iCs/>
        </w:rPr>
        <w:t>Local Jobs First Act 2003</w:t>
      </w:r>
      <w:r>
        <w:t xml:space="preserve"> (formerly the </w:t>
      </w:r>
      <w:r w:rsidRPr="00E6513C">
        <w:rPr>
          <w:i/>
          <w:iCs/>
        </w:rPr>
        <w:t>Victorian Industry Participation Policy Act 2003</w:t>
      </w:r>
      <w:r>
        <w:t>) brings together the Victorian Industry Participation Policy (VIPP) and Major Project Skills Guarantee (MPSG) policy</w:t>
      </w:r>
      <w:r w:rsidR="00300CAB">
        <w:t>,</w:t>
      </w:r>
      <w:r>
        <w:t xml:space="preserve"> which were previously administered separately.</w:t>
      </w:r>
    </w:p>
    <w:p w14:paraId="133AD8FA" w14:textId="408DD6C9" w:rsidR="0015132C" w:rsidRDefault="0015132C" w:rsidP="0015132C">
      <w:pPr>
        <w:pStyle w:val="ARbody"/>
      </w:pPr>
      <w:r>
        <w:t>Departments and public sector bodies are required to apply the Local Jobs First policy in all projects valued at $3 million or more in Metropolitan Melbourne or for statewide projects, or $1 million or</w:t>
      </w:r>
      <w:r w:rsidR="00553B72">
        <w:t> </w:t>
      </w:r>
      <w:r>
        <w:t>more for projects in regional Victoria.</w:t>
      </w:r>
    </w:p>
    <w:p w14:paraId="53A2B09B" w14:textId="6B4563F8" w:rsidR="0015132C" w:rsidRDefault="0015132C" w:rsidP="0015132C">
      <w:pPr>
        <w:pStyle w:val="ARbody"/>
      </w:pPr>
      <w:r>
        <w:t>MPSG applies to all construction projects valued at</w:t>
      </w:r>
      <w:r w:rsidR="00553B72">
        <w:t> </w:t>
      </w:r>
      <w:r>
        <w:t>$20 million or more.</w:t>
      </w:r>
    </w:p>
    <w:p w14:paraId="235E1695" w14:textId="3F9DC803" w:rsidR="0015132C" w:rsidRDefault="0015132C" w:rsidP="0015132C">
      <w:pPr>
        <w:pStyle w:val="ARbody"/>
      </w:pPr>
      <w:r>
        <w:t>The MPSG guidelines and VIPP guidelines will</w:t>
      </w:r>
      <w:r w:rsidR="00553B72">
        <w:t> </w:t>
      </w:r>
      <w:r>
        <w:t>continue to apply to MPSG-applicable and VIPP</w:t>
      </w:r>
      <w:r w:rsidR="00300CAB">
        <w:t>-</w:t>
      </w:r>
      <w:r>
        <w:t xml:space="preserve">applicable projects respectively where contracts </w:t>
      </w:r>
      <w:r w:rsidR="007E1772">
        <w:t xml:space="preserve">were </w:t>
      </w:r>
      <w:r>
        <w:t>entered prior to 15 August 2018.</w:t>
      </w:r>
    </w:p>
    <w:p w14:paraId="6B9517A9" w14:textId="482568FD" w:rsidR="0015132C" w:rsidRDefault="0015132C" w:rsidP="006514A9">
      <w:pPr>
        <w:pStyle w:val="Heading3"/>
      </w:pPr>
      <w:bookmarkStart w:id="500" w:name="_Toc85121261"/>
      <w:r w:rsidRPr="00F94844">
        <w:t xml:space="preserve">Projects commenced – Local Jobs First </w:t>
      </w:r>
      <w:r w:rsidR="007E1772">
        <w:t>s</w:t>
      </w:r>
      <w:r w:rsidRPr="00F94844">
        <w:t>tandard</w:t>
      </w:r>
      <w:r w:rsidR="007E1772">
        <w:t xml:space="preserve"> projects</w:t>
      </w:r>
      <w:bookmarkEnd w:id="500"/>
    </w:p>
    <w:p w14:paraId="51B99DD0" w14:textId="0B339FD5" w:rsidR="0015132C" w:rsidRDefault="0015132C" w:rsidP="0015132C">
      <w:pPr>
        <w:pStyle w:val="ARbody"/>
      </w:pPr>
      <w:r>
        <w:t>During 202</w:t>
      </w:r>
      <w:r w:rsidR="00177286">
        <w:t>0–</w:t>
      </w:r>
      <w:r>
        <w:t>21, the department commenced three</w:t>
      </w:r>
      <w:r w:rsidR="00553B72">
        <w:t> </w:t>
      </w:r>
      <w:r>
        <w:t xml:space="preserve">Local Jobs First </w:t>
      </w:r>
      <w:r w:rsidR="007E1772">
        <w:t>s</w:t>
      </w:r>
      <w:r>
        <w:t>tandard projects totalling $21.69 million. Of th</w:t>
      </w:r>
      <w:r w:rsidR="007E1772">
        <w:t>e</w:t>
      </w:r>
      <w:r>
        <w:t>se projects, two were located</w:t>
      </w:r>
      <w:r w:rsidR="00553B72">
        <w:t> </w:t>
      </w:r>
      <w:r>
        <w:t>in regional Victoria, with a commitment of</w:t>
      </w:r>
      <w:r w:rsidR="00553B72">
        <w:t> </w:t>
      </w:r>
      <w:r>
        <w:t xml:space="preserve">92 per cent of local content, and one in metropolitan </w:t>
      </w:r>
      <w:r w:rsidRPr="000656B5">
        <w:t>Melbourne, with a commitment of 63</w:t>
      </w:r>
      <w:r w:rsidR="00553B72">
        <w:t> </w:t>
      </w:r>
      <w:r w:rsidRPr="000656B5">
        <w:t>per cent local content. No statewide projects were commenced.</w:t>
      </w:r>
      <w:r>
        <w:t xml:space="preserve"> The MPSG did not apply to any</w:t>
      </w:r>
      <w:r w:rsidR="00553B72">
        <w:t> </w:t>
      </w:r>
      <w:r>
        <w:t>of these projects.</w:t>
      </w:r>
    </w:p>
    <w:p w14:paraId="58E8124C" w14:textId="6D627DCD" w:rsidR="0015132C" w:rsidRDefault="0015132C" w:rsidP="0015132C">
      <w:pPr>
        <w:pStyle w:val="ARbody"/>
      </w:pPr>
      <w:r>
        <w:t xml:space="preserve">The </w:t>
      </w:r>
      <w:r w:rsidRPr="004723B6">
        <w:t>outcomes expected from</w:t>
      </w:r>
      <w:r>
        <w:t xml:space="preserve"> the implementation of the Local Jobs First policy to these projects</w:t>
      </w:r>
      <w:r w:rsidR="00FB70BB">
        <w:t>,</w:t>
      </w:r>
      <w:r>
        <w:t xml:space="preserve"> where information was provided</w:t>
      </w:r>
      <w:r w:rsidR="00FB70BB">
        <w:t>,</w:t>
      </w:r>
      <w:r>
        <w:t xml:space="preserve"> are as follows:</w:t>
      </w:r>
    </w:p>
    <w:p w14:paraId="5A12D05D" w14:textId="27AC9CAE" w:rsidR="0015132C" w:rsidRDefault="0015132C" w:rsidP="0015132C">
      <w:pPr>
        <w:pStyle w:val="ARbullet1"/>
      </w:pPr>
      <w:r>
        <w:t xml:space="preserve">an average of 82 per cent of local content </w:t>
      </w:r>
      <w:r w:rsidRPr="004723B6">
        <w:t>commitment was made</w:t>
      </w:r>
    </w:p>
    <w:p w14:paraId="1ED06910" w14:textId="03E1E15C" w:rsidR="0015132C" w:rsidRDefault="0015132C" w:rsidP="0015132C">
      <w:pPr>
        <w:pStyle w:val="ARbullet1"/>
      </w:pPr>
      <w:r>
        <w:t>a total of 29 jobs (</w:t>
      </w:r>
      <w:r w:rsidRPr="00F50AD4">
        <w:t xml:space="preserve">annualised employee equivalent </w:t>
      </w:r>
      <w:r>
        <w:t>(AEE)) were committed, including the</w:t>
      </w:r>
      <w:r w:rsidR="00553B72">
        <w:t> </w:t>
      </w:r>
      <w:r>
        <w:t>creation of one new job and the retention of</w:t>
      </w:r>
      <w:r w:rsidR="00553B72">
        <w:t> </w:t>
      </w:r>
      <w:r>
        <w:t>28 existing jobs (AEE)</w:t>
      </w:r>
    </w:p>
    <w:p w14:paraId="3C5B4628" w14:textId="3821E442" w:rsidR="0015132C" w:rsidRDefault="0015132C" w:rsidP="0015132C">
      <w:pPr>
        <w:pStyle w:val="ARbullet1"/>
      </w:pPr>
      <w:r>
        <w:t>no apprentices, trainees or cadets were committed or created, although five existing apprenticeships were retained</w:t>
      </w:r>
    </w:p>
    <w:p w14:paraId="149F40FA" w14:textId="073E9245" w:rsidR="0015132C" w:rsidRDefault="0015132C" w:rsidP="0015132C">
      <w:pPr>
        <w:pStyle w:val="ARbullet1"/>
      </w:pPr>
      <w:r>
        <w:t>MPSG did not apply</w:t>
      </w:r>
    </w:p>
    <w:p w14:paraId="3C8C857F" w14:textId="2D31D251" w:rsidR="0015132C" w:rsidRDefault="0015132C" w:rsidP="0015132C">
      <w:pPr>
        <w:pStyle w:val="ARbullet1"/>
      </w:pPr>
      <w:r>
        <w:t xml:space="preserve">there were three small to medium enterprises that prepared a VIPP Plan or Local Industry Development Plan (LIDP), and 160 small to medium-sized businesses were engaged through the supply chain on commenced </w:t>
      </w:r>
      <w:r w:rsidR="004723B6">
        <w:t>s</w:t>
      </w:r>
      <w:r>
        <w:t xml:space="preserve">tandard </w:t>
      </w:r>
      <w:r w:rsidR="004723B6">
        <w:t>p</w:t>
      </w:r>
      <w:r>
        <w:t>rojects.</w:t>
      </w:r>
    </w:p>
    <w:p w14:paraId="75EA2855" w14:textId="6B5E3DE5" w:rsidR="0015132C" w:rsidRDefault="0015132C" w:rsidP="006514A9">
      <w:pPr>
        <w:pStyle w:val="Heading3"/>
      </w:pPr>
      <w:bookmarkStart w:id="501" w:name="_Toc85121262"/>
      <w:r w:rsidRPr="0012427B">
        <w:t xml:space="preserve">Projects completed – Local Jobs First </w:t>
      </w:r>
      <w:r w:rsidR="004723B6">
        <w:t>s</w:t>
      </w:r>
      <w:r w:rsidRPr="0012427B">
        <w:t>tandard</w:t>
      </w:r>
      <w:r w:rsidR="004723B6">
        <w:t xml:space="preserve"> projects</w:t>
      </w:r>
      <w:bookmarkEnd w:id="501"/>
    </w:p>
    <w:p w14:paraId="331A44DC" w14:textId="57ED029A" w:rsidR="0015132C" w:rsidRDefault="0015132C" w:rsidP="0015132C">
      <w:pPr>
        <w:pStyle w:val="ARbody"/>
      </w:pPr>
      <w:r>
        <w:t>During 202</w:t>
      </w:r>
      <w:r w:rsidR="00177286">
        <w:t>0–</w:t>
      </w:r>
      <w:r>
        <w:t>21, the department completed two</w:t>
      </w:r>
      <w:r w:rsidR="00553B72">
        <w:t> </w:t>
      </w:r>
      <w:r>
        <w:t xml:space="preserve">Local Jobs First </w:t>
      </w:r>
      <w:r w:rsidR="004723B6">
        <w:t>s</w:t>
      </w:r>
      <w:r>
        <w:t>tandard projects, totalling $60.57 million. Of those projects, one was located</w:t>
      </w:r>
      <w:r w:rsidR="00553B72">
        <w:t> </w:t>
      </w:r>
      <w:r>
        <w:t>in regional Victoria, with a commitment of 94 per cent local content, and one in metropolitan Melbourne, with a commitment of 89 per cent local content. The MSPG did not apply to these projects.</w:t>
      </w:r>
    </w:p>
    <w:p w14:paraId="140AFAD0" w14:textId="3DDEE5E3" w:rsidR="00F8606E" w:rsidRDefault="0015132C" w:rsidP="0015132C">
      <w:pPr>
        <w:pStyle w:val="ARbody"/>
      </w:pPr>
      <w:r>
        <w:t>The outcomes expected from the implementation of the Local Jobs First policy to these projects</w:t>
      </w:r>
      <w:r w:rsidR="00FB70BB">
        <w:t>,</w:t>
      </w:r>
      <w:r>
        <w:t xml:space="preserve"> where information was provided, were as follows:</w:t>
      </w:r>
    </w:p>
    <w:p w14:paraId="034D0DB2" w14:textId="64D20101" w:rsidR="0015132C" w:rsidRDefault="0015132C" w:rsidP="0015132C">
      <w:pPr>
        <w:pStyle w:val="ARbullet1"/>
      </w:pPr>
      <w:r>
        <w:t>an average of 89 per cent of local content commitment was made</w:t>
      </w:r>
    </w:p>
    <w:p w14:paraId="3E130C67" w14:textId="51B3D0A0" w:rsidR="0015132C" w:rsidRDefault="0015132C" w:rsidP="0015132C">
      <w:pPr>
        <w:pStyle w:val="ARbullet1"/>
      </w:pPr>
      <w:r>
        <w:t xml:space="preserve">a total of 85 </w:t>
      </w:r>
      <w:r w:rsidRPr="00FB70BB">
        <w:t>jobs (AEE) were</w:t>
      </w:r>
      <w:r>
        <w:t xml:space="preserve"> supported, including the creation of six new jobs and the</w:t>
      </w:r>
      <w:r w:rsidR="00553B72">
        <w:t> </w:t>
      </w:r>
      <w:r>
        <w:t>retention of 79 existing jobs (AEE)</w:t>
      </w:r>
    </w:p>
    <w:p w14:paraId="7BCFA1BC" w14:textId="66A9CDCD" w:rsidR="0015132C" w:rsidRDefault="0015132C" w:rsidP="0015132C">
      <w:pPr>
        <w:pStyle w:val="ARbullet1"/>
      </w:pPr>
      <w:r>
        <w:t xml:space="preserve">a total of </w:t>
      </w:r>
      <w:r w:rsidR="004723B6">
        <w:t>eight</w:t>
      </w:r>
      <w:r>
        <w:t xml:space="preserve"> positions for apprentices, trainees</w:t>
      </w:r>
      <w:r w:rsidR="00553B72">
        <w:t> </w:t>
      </w:r>
      <w:r>
        <w:t>and cadets were committed, including the creation of five new apprenticeships, traineeships and cadets</w:t>
      </w:r>
      <w:r w:rsidR="004723B6">
        <w:t>hips</w:t>
      </w:r>
      <w:r>
        <w:t xml:space="preserve"> and the retention of</w:t>
      </w:r>
      <w:r w:rsidR="00553B72">
        <w:t> </w:t>
      </w:r>
      <w:r>
        <w:t>the remaining three existing apprenticeships and traineeships</w:t>
      </w:r>
    </w:p>
    <w:p w14:paraId="677CA3BA" w14:textId="18D3819E" w:rsidR="0015132C" w:rsidRDefault="0015132C" w:rsidP="0015132C">
      <w:pPr>
        <w:pStyle w:val="ARbullet1"/>
      </w:pPr>
      <w:r>
        <w:t xml:space="preserve">there were two small to medium enterprises that prepared a VIPP Plan or LIDP for </w:t>
      </w:r>
      <w:r w:rsidRPr="005A56BC">
        <w:t xml:space="preserve">contracts </w:t>
      </w:r>
      <w:r w:rsidR="000C312A" w:rsidRPr="005A56BC">
        <w:t xml:space="preserve">and were </w:t>
      </w:r>
      <w:r w:rsidRPr="005A56BC">
        <w:t>successfully appointed princip</w:t>
      </w:r>
      <w:r w:rsidR="000C312A" w:rsidRPr="005A56BC">
        <w:t>a</w:t>
      </w:r>
      <w:r w:rsidRPr="005A56BC">
        <w:t>l</w:t>
      </w:r>
      <w:r>
        <w:t xml:space="preserve"> contractor, and 35 small to medium-sized businesses were engaged through the supply chain on completed </w:t>
      </w:r>
      <w:r w:rsidR="000C312A">
        <w:t>s</w:t>
      </w:r>
      <w:r>
        <w:t xml:space="preserve">tandard </w:t>
      </w:r>
      <w:r w:rsidR="000C312A">
        <w:t>p</w:t>
      </w:r>
      <w:r>
        <w:t>rojects.</w:t>
      </w:r>
    </w:p>
    <w:p w14:paraId="33A20F48" w14:textId="05205661" w:rsidR="0015132C" w:rsidRDefault="0015132C" w:rsidP="006514A9">
      <w:pPr>
        <w:pStyle w:val="Heading3"/>
      </w:pPr>
      <w:bookmarkStart w:id="502" w:name="_Toc85121263"/>
      <w:r w:rsidRPr="0012427B">
        <w:t xml:space="preserve">Projects commenced – Local Jobs First </w:t>
      </w:r>
      <w:r w:rsidR="000C312A">
        <w:t>s</w:t>
      </w:r>
      <w:r w:rsidRPr="0012427B">
        <w:t>trategic</w:t>
      </w:r>
      <w:r w:rsidR="000C312A">
        <w:t xml:space="preserve"> projects</w:t>
      </w:r>
      <w:bookmarkEnd w:id="502"/>
    </w:p>
    <w:p w14:paraId="6B310888" w14:textId="07F3F9BF" w:rsidR="0015132C" w:rsidRDefault="0015132C" w:rsidP="0015132C">
      <w:pPr>
        <w:pStyle w:val="ARbody"/>
      </w:pPr>
      <w:r>
        <w:t>During 202</w:t>
      </w:r>
      <w:r w:rsidR="00177286">
        <w:t>0–</w:t>
      </w:r>
      <w:r>
        <w:t>21, the department commenced five</w:t>
      </w:r>
      <w:r w:rsidR="00553B72">
        <w:t> </w:t>
      </w:r>
      <w:r>
        <w:t xml:space="preserve">Local Jobs First </w:t>
      </w:r>
      <w:r w:rsidR="000C312A">
        <w:t>s</w:t>
      </w:r>
      <w:r>
        <w:t>trategic projects, valued at</w:t>
      </w:r>
      <w:r w:rsidR="00553B72">
        <w:t> </w:t>
      </w:r>
      <w:r>
        <w:t>$1,739 million. The projects were based in metropolitan Melbourne and regional Victoria, with</w:t>
      </w:r>
      <w:r w:rsidR="00553B72">
        <w:t> </w:t>
      </w:r>
      <w:r>
        <w:t>one statewide. The MPSG applied to all five</w:t>
      </w:r>
      <w:r w:rsidR="00553B72">
        <w:t> </w:t>
      </w:r>
      <w:r>
        <w:t>projects.</w:t>
      </w:r>
    </w:p>
    <w:p w14:paraId="53213F45" w14:textId="43AF79C2" w:rsidR="0015132C" w:rsidRDefault="0015132C" w:rsidP="0015132C">
      <w:pPr>
        <w:pStyle w:val="ARbody"/>
      </w:pPr>
      <w:r>
        <w:lastRenderedPageBreak/>
        <w:t>The outcomes reported from the implementation of the policy</w:t>
      </w:r>
      <w:r w:rsidR="00FB70BB">
        <w:t>,</w:t>
      </w:r>
      <w:r>
        <w:t xml:space="preserve"> where information was provided, were as follows:</w:t>
      </w:r>
    </w:p>
    <w:p w14:paraId="3D850944" w14:textId="0FE4C400" w:rsidR="0015132C" w:rsidRDefault="0015132C" w:rsidP="0015132C">
      <w:pPr>
        <w:pStyle w:val="ARbullet1"/>
      </w:pPr>
      <w:r>
        <w:t>an average of 90 per cent of local content outcome was recorded</w:t>
      </w:r>
    </w:p>
    <w:p w14:paraId="33C14F52" w14:textId="563FE347" w:rsidR="0015132C" w:rsidRDefault="0015132C" w:rsidP="0015132C">
      <w:pPr>
        <w:pStyle w:val="ARbullet1"/>
      </w:pPr>
      <w:r>
        <w:t>a total of 3,676 (AEE) positions were committed, including the creation of 1,131 new jobs and the retention of 2,545 existing jobs (AEE)</w:t>
      </w:r>
    </w:p>
    <w:p w14:paraId="1A0CB98F" w14:textId="6BFF0C3B" w:rsidR="0015132C" w:rsidRDefault="0015132C" w:rsidP="0015132C">
      <w:pPr>
        <w:pStyle w:val="ARbullet1"/>
      </w:pPr>
      <w:r>
        <w:t>322 new apprenticeships and traineeships were committed, and 78 existing apprenticeships and traineeships retained for these MPSG projects</w:t>
      </w:r>
    </w:p>
    <w:p w14:paraId="75376256" w14:textId="328533C9" w:rsidR="0015132C" w:rsidRDefault="0015132C" w:rsidP="0015132C">
      <w:pPr>
        <w:pStyle w:val="ARbullet1"/>
      </w:pPr>
      <w:r>
        <w:t xml:space="preserve">1,798 small to medium-sized businesses were engaged through the supply chain on commenced </w:t>
      </w:r>
      <w:r w:rsidR="000C312A">
        <w:t>s</w:t>
      </w:r>
      <w:r>
        <w:t>trategic projects.</w:t>
      </w:r>
    </w:p>
    <w:p w14:paraId="68C470B4" w14:textId="3B2085B4" w:rsidR="0015132C" w:rsidRDefault="0015132C" w:rsidP="006514A9">
      <w:pPr>
        <w:pStyle w:val="Heading3"/>
      </w:pPr>
      <w:bookmarkStart w:id="503" w:name="_Toc85121264"/>
      <w:r w:rsidRPr="0012427B">
        <w:t xml:space="preserve">Projects completed – Local Jobs First </w:t>
      </w:r>
      <w:r w:rsidR="000C312A">
        <w:t>s</w:t>
      </w:r>
      <w:r w:rsidRPr="0012427B">
        <w:t>trategic</w:t>
      </w:r>
      <w:r w:rsidR="000C312A">
        <w:t xml:space="preserve"> projects</w:t>
      </w:r>
      <w:bookmarkEnd w:id="503"/>
    </w:p>
    <w:p w14:paraId="5324A625" w14:textId="0DE016C5" w:rsidR="0015132C" w:rsidRDefault="0015132C" w:rsidP="0015132C">
      <w:pPr>
        <w:pStyle w:val="ARbody"/>
      </w:pPr>
      <w:r>
        <w:t>During 202</w:t>
      </w:r>
      <w:r w:rsidR="00177286">
        <w:t>0–</w:t>
      </w:r>
      <w:r>
        <w:t>21, the department completed two</w:t>
      </w:r>
      <w:r w:rsidR="00553B72">
        <w:t> </w:t>
      </w:r>
      <w:r>
        <w:t xml:space="preserve">Local Jobs First </w:t>
      </w:r>
      <w:r w:rsidR="000C312A">
        <w:t>s</w:t>
      </w:r>
      <w:r>
        <w:t>trategic projects, valued at $236 million. One project was based in regional Victoria</w:t>
      </w:r>
      <w:r w:rsidR="000C312A">
        <w:t>,</w:t>
      </w:r>
      <w:r>
        <w:t xml:space="preserve"> with 85 per cent of estimated local content</w:t>
      </w:r>
      <w:r w:rsidR="000C312A">
        <w:t>,</w:t>
      </w:r>
      <w:r>
        <w:t xml:space="preserve"> and one project was statewide</w:t>
      </w:r>
      <w:r w:rsidR="000C312A">
        <w:t>,</w:t>
      </w:r>
      <w:r>
        <w:t xml:space="preserve"> with 92 per cent of estimated local content. The MSPG applied to these two projects.</w:t>
      </w:r>
    </w:p>
    <w:p w14:paraId="4006C3D7" w14:textId="6015E999" w:rsidR="0015132C" w:rsidRDefault="0015132C" w:rsidP="0015132C">
      <w:pPr>
        <w:pStyle w:val="ARbody"/>
      </w:pPr>
      <w:r>
        <w:t>The outcomes reported from the implementation of the policy</w:t>
      </w:r>
      <w:r w:rsidR="00FB70BB">
        <w:t>,</w:t>
      </w:r>
      <w:r>
        <w:t xml:space="preserve"> where information was provided</w:t>
      </w:r>
      <w:r w:rsidR="00FB70BB">
        <w:t>,</w:t>
      </w:r>
      <w:r>
        <w:t xml:space="preserve"> were as follows:</w:t>
      </w:r>
    </w:p>
    <w:p w14:paraId="5E93E63F" w14:textId="0B56A015" w:rsidR="0015132C" w:rsidRDefault="0015132C" w:rsidP="0015132C">
      <w:pPr>
        <w:pStyle w:val="ARbullet1"/>
      </w:pPr>
      <w:r>
        <w:t>an average of 85 per cent of local content outcome was recorded</w:t>
      </w:r>
    </w:p>
    <w:p w14:paraId="6AF4E23D" w14:textId="15480AB7" w:rsidR="0015132C" w:rsidRDefault="0015132C" w:rsidP="0015132C">
      <w:pPr>
        <w:pStyle w:val="ARbullet1"/>
      </w:pPr>
      <w:r>
        <w:t>a total of 73 (AEE) positions were supported, including the creation of 29 new jobs and the retention of 44 existing jobs (AEE)</w:t>
      </w:r>
    </w:p>
    <w:p w14:paraId="4F9838D1" w14:textId="07CFD418" w:rsidR="0015132C" w:rsidRDefault="0015132C" w:rsidP="0015132C">
      <w:pPr>
        <w:pStyle w:val="ARbullet1"/>
      </w:pPr>
      <w:r>
        <w:t>29 new apprenticeships and cadets were supported, and 44 existing apprenticeships retained</w:t>
      </w:r>
    </w:p>
    <w:p w14:paraId="1DC8911B" w14:textId="1780D0C8" w:rsidR="0015132C" w:rsidRDefault="0015132C" w:rsidP="0015132C">
      <w:pPr>
        <w:pStyle w:val="ARbullet1"/>
      </w:pPr>
      <w:r>
        <w:t>MPSG projects engaged 29 apprentices, trainees and cadets</w:t>
      </w:r>
    </w:p>
    <w:p w14:paraId="327370DB" w14:textId="43D63E74" w:rsidR="0015132C" w:rsidRDefault="0015132C" w:rsidP="0015132C">
      <w:pPr>
        <w:pStyle w:val="ARbullet1"/>
      </w:pPr>
      <w:r>
        <w:t xml:space="preserve">there were two small to medium enterprises that prepared a VIPP Plan or LIDP for contracts, and 16 small to medium-sized businesses were engaged through the supply chain on completed </w:t>
      </w:r>
      <w:r w:rsidR="008F2CE6">
        <w:t>s</w:t>
      </w:r>
      <w:r>
        <w:t>trategic projects.</w:t>
      </w:r>
    </w:p>
    <w:p w14:paraId="11BD564E" w14:textId="6AA90DE5" w:rsidR="0015132C" w:rsidRDefault="006514A9" w:rsidP="006514A9">
      <w:pPr>
        <w:pStyle w:val="Heading3"/>
      </w:pPr>
      <w:r>
        <w:br w:type="column"/>
      </w:r>
      <w:bookmarkStart w:id="504" w:name="_Toc85121265"/>
      <w:r w:rsidR="0015132C" w:rsidRPr="0012427B">
        <w:t>Reporting requirements – all projects</w:t>
      </w:r>
      <w:bookmarkEnd w:id="504"/>
    </w:p>
    <w:p w14:paraId="27A4B286" w14:textId="7BD120C3" w:rsidR="0015132C" w:rsidRDefault="0015132C" w:rsidP="00897193">
      <w:pPr>
        <w:pStyle w:val="ARbody"/>
      </w:pPr>
      <w:r w:rsidRPr="000C48D5">
        <w:t xml:space="preserve">The </w:t>
      </w:r>
      <w:r w:rsidR="008F2CE6">
        <w:t>d</w:t>
      </w:r>
      <w:r w:rsidRPr="000C48D5">
        <w:t>epartment commenced four contracts prior to</w:t>
      </w:r>
      <w:r w:rsidR="00553B72">
        <w:t> </w:t>
      </w:r>
      <w:r w:rsidRPr="000C48D5">
        <w:t xml:space="preserve">15 August 2020 with a total of 88 per cent estimated to be of local content for which a VIPP Plan or LIDP was not required, as the procurement activity was local </w:t>
      </w:r>
      <w:r>
        <w:t>in</w:t>
      </w:r>
      <w:r w:rsidRPr="000C48D5">
        <w:t xml:space="preserve"> nature.</w:t>
      </w:r>
    </w:p>
    <w:p w14:paraId="74617D64" w14:textId="77777777" w:rsidR="0015132C" w:rsidRDefault="0015132C" w:rsidP="006514A9">
      <w:pPr>
        <w:pStyle w:val="Heading3"/>
      </w:pPr>
      <w:bookmarkStart w:id="505" w:name="_Toc85121266"/>
      <w:r w:rsidRPr="007D3DB7">
        <w:t>Reporting requirements – grants</w:t>
      </w:r>
      <w:bookmarkEnd w:id="505"/>
    </w:p>
    <w:p w14:paraId="5B1466CE" w14:textId="652B0FEF" w:rsidR="0015132C" w:rsidRDefault="0015132C" w:rsidP="00897193">
      <w:pPr>
        <w:pStyle w:val="ARbody"/>
      </w:pPr>
      <w:r w:rsidRPr="0024467A">
        <w:t>The department undertook no grants processes involving Local Jobs First.</w:t>
      </w:r>
    </w:p>
    <w:p w14:paraId="6EAF56AF" w14:textId="77777777" w:rsidR="009B0718" w:rsidRPr="009B0718" w:rsidRDefault="009B0718" w:rsidP="009E5641">
      <w:pPr>
        <w:pStyle w:val="Heading2"/>
        <w:rPr>
          <w:rFonts w:cs="Arial"/>
        </w:rPr>
      </w:pPr>
      <w:bookmarkStart w:id="506" w:name="_Ref84252376"/>
      <w:bookmarkStart w:id="507" w:name="_Toc85121267"/>
      <w:bookmarkStart w:id="508" w:name="_Toc85121616"/>
      <w:bookmarkStart w:id="509" w:name="_Toc86075599"/>
      <w:r w:rsidRPr="009B0718">
        <w:rPr>
          <w:rFonts w:cs="Arial"/>
        </w:rPr>
        <w:t>Disclosure of major contracts</w:t>
      </w:r>
      <w:bookmarkEnd w:id="506"/>
      <w:bookmarkEnd w:id="507"/>
      <w:bookmarkEnd w:id="508"/>
      <w:bookmarkEnd w:id="509"/>
    </w:p>
    <w:p w14:paraId="10887D4B" w14:textId="77777777" w:rsidR="009B0718" w:rsidRDefault="009B0718" w:rsidP="009B0718">
      <w:pPr>
        <w:pStyle w:val="ARbody"/>
      </w:pPr>
      <w:r>
        <w:t>The following includes information related to the former Department of Health and Human Services, the current Department of Health and the current Department of Families, Fairness and Housing.</w:t>
      </w:r>
    </w:p>
    <w:p w14:paraId="4B7C87E8" w14:textId="2D6F989B" w:rsidR="009B0718" w:rsidRDefault="009B0718" w:rsidP="009B0718">
      <w:pPr>
        <w:pStyle w:val="ARbody"/>
      </w:pPr>
      <w:r>
        <w:t>The departments disclosed, in accordance with the</w:t>
      </w:r>
      <w:r w:rsidR="00553B72">
        <w:t> </w:t>
      </w:r>
      <w:r>
        <w:t>requirements of government policy and accompanying guidelines, all contracts greater than $10 million in value entered into during the year ended 30 June 2021. Details of contracts that have</w:t>
      </w:r>
      <w:r w:rsidR="00553B72">
        <w:t> </w:t>
      </w:r>
      <w:r>
        <w:t xml:space="preserve">been disclosed in the Victorian Government contracts publishing system can be viewed at the </w:t>
      </w:r>
      <w:hyperlink r:id="rId83" w:history="1">
        <w:r w:rsidRPr="00E26F01">
          <w:rPr>
            <w:rStyle w:val="Hyperlink"/>
          </w:rPr>
          <w:t>Buying for Victoria Tenders Portal</w:t>
        </w:r>
      </w:hyperlink>
      <w:r>
        <w:t xml:space="preserve"> &lt;www.tenders.vic.gov.au&gt;.</w:t>
      </w:r>
    </w:p>
    <w:p w14:paraId="36191A74" w14:textId="615275B0" w:rsidR="00B5408F" w:rsidRDefault="009B0718" w:rsidP="009B0718">
      <w:pPr>
        <w:pStyle w:val="ARbody"/>
      </w:pPr>
      <w:r>
        <w:t>Contractual details have not been disclosed for contracts where disclosure is exempted under the</w:t>
      </w:r>
      <w:r w:rsidR="00553B72">
        <w:t> </w:t>
      </w:r>
      <w:r w:rsidRPr="0082364B">
        <w:rPr>
          <w:i/>
          <w:iCs/>
        </w:rPr>
        <w:t>Freedom of Information Act 1982</w:t>
      </w:r>
      <w:r>
        <w:t xml:space="preserve"> and/or government guidelines.</w:t>
      </w:r>
    </w:p>
    <w:p w14:paraId="4047CA6D" w14:textId="77777777" w:rsidR="00651340" w:rsidRDefault="00651340" w:rsidP="00897193">
      <w:pPr>
        <w:pStyle w:val="ARbody"/>
      </w:pPr>
    </w:p>
    <w:p w14:paraId="14065647" w14:textId="77777777" w:rsidR="0015132C" w:rsidRDefault="0015132C" w:rsidP="001E768A">
      <w:pPr>
        <w:pStyle w:val="Heading2"/>
        <w:sectPr w:rsidR="0015132C" w:rsidSect="009D1AA8">
          <w:footnotePr>
            <w:numFmt w:val="lowerLetter"/>
            <w:numRestart w:val="eachPage"/>
          </w:footnotePr>
          <w:endnotePr>
            <w:numFmt w:val="decimal"/>
          </w:endnotePr>
          <w:type w:val="continuous"/>
          <w:pgSz w:w="11900" w:h="16840" w:code="9"/>
          <w:pgMar w:top="1985" w:right="1134" w:bottom="851" w:left="1134" w:header="510" w:footer="340" w:gutter="0"/>
          <w:cols w:num="2" w:space="454"/>
        </w:sectPr>
      </w:pPr>
      <w:bookmarkStart w:id="510" w:name="_Toc54690788"/>
      <w:bookmarkStart w:id="511" w:name="_Ref525048256"/>
    </w:p>
    <w:p w14:paraId="0DCBD589" w14:textId="13BB505A" w:rsidR="0015132C" w:rsidRPr="003379F7" w:rsidRDefault="0015132C" w:rsidP="00AD0A93">
      <w:pPr>
        <w:pStyle w:val="Heading2"/>
        <w:spacing w:before="0"/>
        <w:rPr>
          <w:rFonts w:cs="Arial"/>
        </w:rPr>
      </w:pPr>
      <w:bookmarkStart w:id="512" w:name="_Ref84252239"/>
      <w:bookmarkStart w:id="513" w:name="_Toc85121268"/>
      <w:bookmarkStart w:id="514" w:name="_Toc85121617"/>
      <w:bookmarkStart w:id="515" w:name="_Toc86075600"/>
      <w:r w:rsidRPr="003379F7">
        <w:rPr>
          <w:rFonts w:cs="Arial"/>
        </w:rPr>
        <w:lastRenderedPageBreak/>
        <w:t>Government advertising expenditure</w:t>
      </w:r>
      <w:bookmarkEnd w:id="510"/>
      <w:bookmarkEnd w:id="512"/>
      <w:bookmarkEnd w:id="513"/>
      <w:bookmarkEnd w:id="514"/>
      <w:bookmarkEnd w:id="515"/>
    </w:p>
    <w:p w14:paraId="5FCBA78F" w14:textId="13F7F1F5" w:rsidR="0015132C" w:rsidRDefault="0015132C" w:rsidP="006514A9">
      <w:pPr>
        <w:pStyle w:val="ARbodybeforetable"/>
      </w:pPr>
      <w:r w:rsidRPr="002029AF">
        <w:t>For the 20</w:t>
      </w:r>
      <w:r w:rsidR="008D70C0">
        <w:t>20</w:t>
      </w:r>
      <w:r w:rsidR="006514A9">
        <w:t>–</w:t>
      </w:r>
      <w:r w:rsidR="008D70C0">
        <w:t>21</w:t>
      </w:r>
      <w:r w:rsidRPr="002029AF">
        <w:t xml:space="preserve"> reporting period, there were </w:t>
      </w:r>
      <w:r>
        <w:t>eight</w:t>
      </w:r>
      <w:r w:rsidRPr="002029AF">
        <w:t xml:space="preserve"> government advertising campaigns with total media spend of $100,000 or greater (exclusive of GST). The</w:t>
      </w:r>
      <w:r>
        <w:t> </w:t>
      </w:r>
      <w:r w:rsidRPr="002029AF">
        <w:t>details of each campaign are outlined below.</w:t>
      </w:r>
      <w:bookmarkEnd w:id="511"/>
    </w:p>
    <w:tbl>
      <w:tblPr>
        <w:tblStyle w:val="TableGrid"/>
        <w:tblW w:w="5000" w:type="pct"/>
        <w:tblLook w:val="06A0" w:firstRow="1" w:lastRow="0" w:firstColumn="1" w:lastColumn="0" w:noHBand="1" w:noVBand="1"/>
      </w:tblPr>
      <w:tblGrid>
        <w:gridCol w:w="2281"/>
        <w:gridCol w:w="2107"/>
        <w:gridCol w:w="1239"/>
        <w:gridCol w:w="1424"/>
        <w:gridCol w:w="1475"/>
        <w:gridCol w:w="1357"/>
        <w:gridCol w:w="1357"/>
        <w:gridCol w:w="1357"/>
        <w:gridCol w:w="1397"/>
      </w:tblGrid>
      <w:tr w:rsidR="0015132C" w14:paraId="44E8BA69" w14:textId="77777777" w:rsidTr="00E3121D">
        <w:trPr>
          <w:cnfStyle w:val="100000000000" w:firstRow="1" w:lastRow="0" w:firstColumn="0" w:lastColumn="0" w:oddVBand="0" w:evenVBand="0" w:oddHBand="0" w:evenHBand="0" w:firstRowFirstColumn="0" w:firstRowLastColumn="0" w:lastRowFirstColumn="0" w:lastRowLastColumn="0"/>
          <w:tblHeader/>
        </w:trPr>
        <w:tc>
          <w:tcPr>
            <w:tcW w:w="817" w:type="pct"/>
            <w:hideMark/>
          </w:tcPr>
          <w:p w14:paraId="3ABD620D" w14:textId="033781DC" w:rsidR="0015132C" w:rsidRPr="006514A9" w:rsidRDefault="0015132C" w:rsidP="006514A9">
            <w:pPr>
              <w:pStyle w:val="ARtablecolhead"/>
            </w:pPr>
            <w:r w:rsidRPr="006514A9">
              <w:t>Name of campaign</w:t>
            </w:r>
          </w:p>
        </w:tc>
        <w:tc>
          <w:tcPr>
            <w:tcW w:w="755" w:type="pct"/>
            <w:hideMark/>
          </w:tcPr>
          <w:p w14:paraId="0E6757F4" w14:textId="05254E3F" w:rsidR="0015132C" w:rsidRPr="006514A9" w:rsidRDefault="0015132C" w:rsidP="006514A9">
            <w:pPr>
              <w:pStyle w:val="ARtablecolhead"/>
            </w:pPr>
            <w:r w:rsidRPr="006514A9">
              <w:t>Campaign summary</w:t>
            </w:r>
          </w:p>
        </w:tc>
        <w:tc>
          <w:tcPr>
            <w:tcW w:w="426" w:type="pct"/>
            <w:hideMark/>
          </w:tcPr>
          <w:p w14:paraId="2DA5ED34" w14:textId="0EA904AE" w:rsidR="0015132C" w:rsidRPr="006514A9" w:rsidRDefault="0015132C" w:rsidP="006514A9">
            <w:pPr>
              <w:pStyle w:val="ARtablecolhead"/>
            </w:pPr>
            <w:r w:rsidRPr="006514A9">
              <w:t>Start/end date</w:t>
            </w:r>
          </w:p>
        </w:tc>
        <w:tc>
          <w:tcPr>
            <w:tcW w:w="511" w:type="pct"/>
            <w:hideMark/>
          </w:tcPr>
          <w:p w14:paraId="5189BB42" w14:textId="402CBEA7" w:rsidR="0015132C" w:rsidRPr="006514A9" w:rsidRDefault="0015132C" w:rsidP="006514A9">
            <w:pPr>
              <w:pStyle w:val="ARtablecolheadright"/>
            </w:pPr>
            <w:r w:rsidRPr="006514A9">
              <w:t>Advertising (media) expenditure</w:t>
            </w:r>
            <w:r w:rsidR="006514A9" w:rsidRPr="006514A9">
              <w:t xml:space="preserve"> </w:t>
            </w:r>
            <w:r w:rsidRPr="006514A9">
              <w:br/>
              <w:t>(excl. GST)</w:t>
            </w:r>
          </w:p>
        </w:tc>
        <w:tc>
          <w:tcPr>
            <w:tcW w:w="529" w:type="pct"/>
            <w:hideMark/>
          </w:tcPr>
          <w:p w14:paraId="2BE1A4E0" w14:textId="0F9AD294" w:rsidR="0015132C" w:rsidRPr="006514A9" w:rsidRDefault="0015132C" w:rsidP="006514A9">
            <w:pPr>
              <w:pStyle w:val="ARtablecolheadright"/>
            </w:pPr>
            <w:r w:rsidRPr="006514A9">
              <w:t>Creative and campaign development expenditure (excl. GST)</w:t>
            </w:r>
          </w:p>
        </w:tc>
        <w:tc>
          <w:tcPr>
            <w:tcW w:w="487" w:type="pct"/>
            <w:hideMark/>
          </w:tcPr>
          <w:p w14:paraId="0A7EED4F" w14:textId="418D3D4D" w:rsidR="0015132C" w:rsidRPr="006514A9" w:rsidRDefault="0015132C" w:rsidP="006514A9">
            <w:pPr>
              <w:pStyle w:val="ARtablecolheadright"/>
            </w:pPr>
            <w:r w:rsidRPr="006514A9">
              <w:t>Research and evaluation expenditure (excl. GST)</w:t>
            </w:r>
          </w:p>
        </w:tc>
        <w:tc>
          <w:tcPr>
            <w:tcW w:w="487" w:type="pct"/>
            <w:hideMark/>
          </w:tcPr>
          <w:p w14:paraId="4262B190" w14:textId="62757C07" w:rsidR="0015132C" w:rsidRPr="006514A9" w:rsidRDefault="0015132C" w:rsidP="006514A9">
            <w:pPr>
              <w:pStyle w:val="ARtablecolheadright"/>
            </w:pPr>
            <w:r w:rsidRPr="006514A9">
              <w:t>Print and collateral expenditure (excl. GST)</w:t>
            </w:r>
          </w:p>
        </w:tc>
        <w:tc>
          <w:tcPr>
            <w:tcW w:w="487" w:type="pct"/>
            <w:hideMark/>
          </w:tcPr>
          <w:p w14:paraId="5F42AE30" w14:textId="5023F634" w:rsidR="0015132C" w:rsidRPr="006514A9" w:rsidRDefault="0015132C" w:rsidP="006514A9">
            <w:pPr>
              <w:pStyle w:val="ARtablecolheadright"/>
            </w:pPr>
            <w:r w:rsidRPr="006514A9">
              <w:t>Other campaign expenditure (excl. GST)</w:t>
            </w:r>
          </w:p>
        </w:tc>
        <w:tc>
          <w:tcPr>
            <w:tcW w:w="501" w:type="pct"/>
            <w:hideMark/>
          </w:tcPr>
          <w:p w14:paraId="1C214F37" w14:textId="7286EF7E" w:rsidR="0015132C" w:rsidRPr="006514A9" w:rsidRDefault="0015132C" w:rsidP="006514A9">
            <w:pPr>
              <w:pStyle w:val="ARtablecolheadright"/>
            </w:pPr>
            <w:r w:rsidRPr="006514A9">
              <w:t>Total</w:t>
            </w:r>
          </w:p>
        </w:tc>
      </w:tr>
      <w:tr w:rsidR="0015132C" w14:paraId="08AD1685" w14:textId="77777777" w:rsidTr="006514A9">
        <w:tc>
          <w:tcPr>
            <w:tcW w:w="817" w:type="pct"/>
            <w:hideMark/>
          </w:tcPr>
          <w:p w14:paraId="2F442849" w14:textId="6B2909CC" w:rsidR="0015132C" w:rsidRPr="006514A9" w:rsidRDefault="0015132C" w:rsidP="006514A9">
            <w:pPr>
              <w:pStyle w:val="ARtabletext"/>
            </w:pPr>
            <w:r w:rsidRPr="006514A9">
              <w:t>COVID-19</w:t>
            </w:r>
            <w:r w:rsidR="006514A9">
              <w:t xml:space="preserve"> </w:t>
            </w:r>
            <w:r w:rsidRPr="006514A9">
              <w:t>Testing</w:t>
            </w:r>
            <w:r w:rsidR="006514A9">
              <w:t xml:space="preserve"> </w:t>
            </w:r>
            <w:r w:rsidRPr="006514A9">
              <w:t>campaign</w:t>
            </w:r>
          </w:p>
        </w:tc>
        <w:tc>
          <w:tcPr>
            <w:tcW w:w="755" w:type="pct"/>
            <w:hideMark/>
          </w:tcPr>
          <w:p w14:paraId="64CA3FB3" w14:textId="2F025617" w:rsidR="0015132C" w:rsidRPr="006514A9" w:rsidRDefault="0015132C" w:rsidP="006514A9">
            <w:pPr>
              <w:pStyle w:val="ARtabletext"/>
            </w:pPr>
            <w:r w:rsidRPr="006514A9">
              <w:t>Encourage</w:t>
            </w:r>
            <w:r w:rsidR="006514A9">
              <w:t xml:space="preserve"> </w:t>
            </w:r>
            <w:r w:rsidRPr="006514A9">
              <w:t>Victorians</w:t>
            </w:r>
            <w:r w:rsidR="006514A9">
              <w:t xml:space="preserve"> </w:t>
            </w:r>
            <w:r w:rsidRPr="006514A9">
              <w:t>to</w:t>
            </w:r>
            <w:r w:rsidR="006514A9">
              <w:t xml:space="preserve"> </w:t>
            </w:r>
            <w:r w:rsidRPr="006514A9">
              <w:t>get</w:t>
            </w:r>
            <w:r w:rsidR="006514A9">
              <w:t xml:space="preserve"> </w:t>
            </w:r>
            <w:r w:rsidRPr="006514A9">
              <w:t>tested</w:t>
            </w:r>
            <w:r w:rsidR="006514A9">
              <w:t xml:space="preserve"> </w:t>
            </w:r>
            <w:r w:rsidRPr="006514A9">
              <w:t>for</w:t>
            </w:r>
            <w:r w:rsidR="006514A9">
              <w:t xml:space="preserve"> </w:t>
            </w:r>
            <w:r w:rsidRPr="006514A9">
              <w:t>COVID-19</w:t>
            </w:r>
            <w:r w:rsidR="006514A9">
              <w:t xml:space="preserve"> </w:t>
            </w:r>
            <w:r w:rsidRPr="006514A9">
              <w:t>at</w:t>
            </w:r>
            <w:r w:rsidR="006514A9">
              <w:t xml:space="preserve"> </w:t>
            </w:r>
            <w:r w:rsidRPr="006514A9">
              <w:t>the</w:t>
            </w:r>
            <w:r w:rsidR="006514A9">
              <w:t xml:space="preserve"> </w:t>
            </w:r>
            <w:r w:rsidRPr="006514A9">
              <w:t>first</w:t>
            </w:r>
            <w:r w:rsidR="006514A9">
              <w:t xml:space="preserve"> </w:t>
            </w:r>
            <w:r w:rsidRPr="006514A9">
              <w:t>sign</w:t>
            </w:r>
            <w:r w:rsidR="006514A9">
              <w:t xml:space="preserve"> </w:t>
            </w:r>
            <w:r w:rsidRPr="006514A9">
              <w:t>of</w:t>
            </w:r>
            <w:r w:rsidR="006514A9">
              <w:t xml:space="preserve"> </w:t>
            </w:r>
            <w:r w:rsidRPr="006514A9">
              <w:t>any</w:t>
            </w:r>
            <w:r w:rsidR="006514A9">
              <w:t xml:space="preserve"> </w:t>
            </w:r>
            <w:r w:rsidRPr="006514A9">
              <w:t>symptom.</w:t>
            </w:r>
          </w:p>
        </w:tc>
        <w:tc>
          <w:tcPr>
            <w:tcW w:w="426" w:type="pct"/>
            <w:hideMark/>
          </w:tcPr>
          <w:p w14:paraId="3DFAA54C" w14:textId="2E9A5B6D" w:rsidR="0015132C" w:rsidRPr="006514A9" w:rsidRDefault="0015132C" w:rsidP="006514A9">
            <w:pPr>
              <w:pStyle w:val="ARtabletext"/>
            </w:pPr>
            <w:r w:rsidRPr="006514A9">
              <w:t>1</w:t>
            </w:r>
            <w:r w:rsidR="006514A9">
              <w:t xml:space="preserve"> </w:t>
            </w:r>
            <w:r w:rsidRPr="006514A9">
              <w:t>July</w:t>
            </w:r>
            <w:r w:rsidR="006514A9">
              <w:t xml:space="preserve"> </w:t>
            </w:r>
            <w:r w:rsidRPr="006514A9">
              <w:t>2020</w:t>
            </w:r>
            <w:r w:rsidR="006514A9">
              <w:t xml:space="preserve"> </w:t>
            </w:r>
            <w:r w:rsidRPr="006514A9">
              <w:t>to</w:t>
            </w:r>
            <w:r w:rsidR="006514A9">
              <w:t xml:space="preserve"> </w:t>
            </w:r>
            <w:r w:rsidRPr="006514A9">
              <w:t>30</w:t>
            </w:r>
            <w:r w:rsidR="006514A9">
              <w:t xml:space="preserve"> </w:t>
            </w:r>
            <w:r w:rsidRPr="006514A9">
              <w:t>June</w:t>
            </w:r>
            <w:r w:rsidR="006514A9">
              <w:t xml:space="preserve"> </w:t>
            </w:r>
            <w:r w:rsidRPr="006514A9">
              <w:t>2021</w:t>
            </w:r>
          </w:p>
        </w:tc>
        <w:tc>
          <w:tcPr>
            <w:tcW w:w="511" w:type="pct"/>
            <w:hideMark/>
          </w:tcPr>
          <w:p w14:paraId="53A42455" w14:textId="1E5A9F74" w:rsidR="0015132C" w:rsidRDefault="0015132C" w:rsidP="00E3121D">
            <w:pPr>
              <w:pStyle w:val="ARtabletextright"/>
              <w:rPr>
                <w:rFonts w:ascii="Segoe UI" w:hAnsi="Segoe UI" w:cs="Segoe UI"/>
              </w:rPr>
            </w:pPr>
            <w:r>
              <w:t>$24,702,647</w:t>
            </w:r>
          </w:p>
        </w:tc>
        <w:tc>
          <w:tcPr>
            <w:tcW w:w="529" w:type="pct"/>
            <w:hideMark/>
          </w:tcPr>
          <w:p w14:paraId="5B12B4E8" w14:textId="15A3E642" w:rsidR="0015132C" w:rsidRDefault="0015132C" w:rsidP="00E3121D">
            <w:pPr>
              <w:pStyle w:val="ARtabletextright"/>
              <w:rPr>
                <w:rFonts w:ascii="Segoe UI" w:hAnsi="Segoe UI" w:cs="Segoe UI"/>
              </w:rPr>
            </w:pPr>
            <w:r>
              <w:t>$1,517,744</w:t>
            </w:r>
          </w:p>
        </w:tc>
        <w:tc>
          <w:tcPr>
            <w:tcW w:w="487" w:type="pct"/>
            <w:hideMark/>
          </w:tcPr>
          <w:p w14:paraId="77B314ED" w14:textId="4BC51F88" w:rsidR="0015132C" w:rsidRDefault="0015132C" w:rsidP="00E3121D">
            <w:pPr>
              <w:pStyle w:val="ARtabletextright"/>
              <w:rPr>
                <w:rFonts w:ascii="Segoe UI" w:hAnsi="Segoe UI" w:cs="Segoe UI"/>
              </w:rPr>
            </w:pPr>
            <w:r>
              <w:t>NA</w:t>
            </w:r>
          </w:p>
        </w:tc>
        <w:tc>
          <w:tcPr>
            <w:tcW w:w="487" w:type="pct"/>
            <w:hideMark/>
          </w:tcPr>
          <w:p w14:paraId="2C36B079" w14:textId="64578F07" w:rsidR="0015132C" w:rsidRDefault="0015132C" w:rsidP="00E3121D">
            <w:pPr>
              <w:pStyle w:val="ARtabletextright"/>
              <w:rPr>
                <w:rFonts w:ascii="Segoe UI" w:hAnsi="Segoe UI" w:cs="Segoe UI"/>
              </w:rPr>
            </w:pPr>
            <w:r>
              <w:t>NA</w:t>
            </w:r>
          </w:p>
        </w:tc>
        <w:tc>
          <w:tcPr>
            <w:tcW w:w="487" w:type="pct"/>
            <w:hideMark/>
          </w:tcPr>
          <w:p w14:paraId="491CECD8" w14:textId="0E16EB98" w:rsidR="0015132C" w:rsidRDefault="0015132C" w:rsidP="00E3121D">
            <w:pPr>
              <w:pStyle w:val="ARtabletextright"/>
              <w:rPr>
                <w:rFonts w:ascii="Segoe UI" w:hAnsi="Segoe UI" w:cs="Segoe UI"/>
              </w:rPr>
            </w:pPr>
            <w:r>
              <w:t>NA</w:t>
            </w:r>
          </w:p>
        </w:tc>
        <w:tc>
          <w:tcPr>
            <w:tcW w:w="501" w:type="pct"/>
            <w:hideMark/>
          </w:tcPr>
          <w:p w14:paraId="75B700F8" w14:textId="2058D6D9" w:rsidR="0015132C" w:rsidRDefault="0015132C" w:rsidP="00E3121D">
            <w:pPr>
              <w:pStyle w:val="ARtabletextright"/>
              <w:rPr>
                <w:rFonts w:ascii="Segoe UI" w:hAnsi="Segoe UI" w:cs="Segoe UI"/>
              </w:rPr>
            </w:pPr>
            <w:r>
              <w:t>$27,220,391</w:t>
            </w:r>
          </w:p>
        </w:tc>
      </w:tr>
      <w:tr w:rsidR="0015132C" w14:paraId="08FCE474" w14:textId="77777777" w:rsidTr="006514A9">
        <w:tc>
          <w:tcPr>
            <w:tcW w:w="817" w:type="pct"/>
            <w:hideMark/>
          </w:tcPr>
          <w:p w14:paraId="7345997F" w14:textId="788667F0" w:rsidR="0015132C" w:rsidRPr="006514A9" w:rsidRDefault="0015132C" w:rsidP="008F2CE6">
            <w:pPr>
              <w:pStyle w:val="ARtabletext"/>
            </w:pPr>
            <w:r w:rsidRPr="006514A9">
              <w:t>COVID-19</w:t>
            </w:r>
            <w:r w:rsidR="006514A9">
              <w:t xml:space="preserve"> </w:t>
            </w:r>
            <w:r w:rsidRPr="006514A9">
              <w:t>Emergency</w:t>
            </w:r>
            <w:r w:rsidR="006514A9">
              <w:t xml:space="preserve"> </w:t>
            </w:r>
            <w:r w:rsidR="008F2CE6">
              <w:t>a</w:t>
            </w:r>
            <w:r w:rsidRPr="006514A9">
              <w:t>dvertising</w:t>
            </w:r>
          </w:p>
        </w:tc>
        <w:tc>
          <w:tcPr>
            <w:tcW w:w="755" w:type="pct"/>
            <w:hideMark/>
          </w:tcPr>
          <w:p w14:paraId="501E8B48" w14:textId="4D6EFE12" w:rsidR="0015132C" w:rsidRPr="006514A9" w:rsidRDefault="0015132C" w:rsidP="006514A9">
            <w:pPr>
              <w:pStyle w:val="ARtabletext"/>
            </w:pPr>
            <w:r w:rsidRPr="006514A9">
              <w:t>Support</w:t>
            </w:r>
            <w:r w:rsidR="006514A9">
              <w:t xml:space="preserve"> </w:t>
            </w:r>
            <w:r w:rsidRPr="006514A9">
              <w:t>the</w:t>
            </w:r>
            <w:r w:rsidR="006514A9">
              <w:t xml:space="preserve"> </w:t>
            </w:r>
            <w:r w:rsidRPr="006514A9">
              <w:t>COVID-19</w:t>
            </w:r>
            <w:r w:rsidR="006514A9">
              <w:t xml:space="preserve"> </w:t>
            </w:r>
            <w:r w:rsidRPr="006514A9">
              <w:t>response</w:t>
            </w:r>
            <w:r w:rsidR="006514A9">
              <w:t xml:space="preserve"> </w:t>
            </w:r>
            <w:r w:rsidRPr="006514A9">
              <w:t>by</w:t>
            </w:r>
            <w:r w:rsidR="006514A9">
              <w:t xml:space="preserve"> </w:t>
            </w:r>
            <w:r w:rsidRPr="006514A9">
              <w:t>highlighting</w:t>
            </w:r>
            <w:r w:rsidR="006514A9">
              <w:t xml:space="preserve"> </w:t>
            </w:r>
            <w:r w:rsidRPr="006514A9">
              <w:t>COVID-19</w:t>
            </w:r>
            <w:r w:rsidR="006514A9">
              <w:t xml:space="preserve"> </w:t>
            </w:r>
            <w:r w:rsidRPr="006514A9">
              <w:t>outbreaks,</w:t>
            </w:r>
            <w:r w:rsidR="006514A9">
              <w:t xml:space="preserve"> </w:t>
            </w:r>
            <w:r w:rsidRPr="006514A9">
              <w:t>exposure</w:t>
            </w:r>
            <w:r w:rsidR="006514A9">
              <w:t xml:space="preserve"> </w:t>
            </w:r>
            <w:r w:rsidRPr="006514A9">
              <w:t>sites</w:t>
            </w:r>
            <w:r w:rsidR="006514A9">
              <w:t xml:space="preserve"> </w:t>
            </w:r>
            <w:r w:rsidRPr="006514A9">
              <w:t>and</w:t>
            </w:r>
            <w:r w:rsidR="006514A9">
              <w:t xml:space="preserve"> </w:t>
            </w:r>
            <w:r w:rsidRPr="006514A9">
              <w:t>restrictions</w:t>
            </w:r>
            <w:r w:rsidR="006514A9">
              <w:t xml:space="preserve"> </w:t>
            </w:r>
            <w:r w:rsidRPr="006514A9">
              <w:t>in</w:t>
            </w:r>
            <w:r w:rsidR="006514A9">
              <w:t xml:space="preserve"> </w:t>
            </w:r>
            <w:r w:rsidRPr="006514A9">
              <w:t>place.</w:t>
            </w:r>
          </w:p>
        </w:tc>
        <w:tc>
          <w:tcPr>
            <w:tcW w:w="426" w:type="pct"/>
            <w:hideMark/>
          </w:tcPr>
          <w:p w14:paraId="3ED22398" w14:textId="2522318D" w:rsidR="0015132C" w:rsidRPr="006514A9" w:rsidRDefault="0015132C" w:rsidP="006514A9">
            <w:pPr>
              <w:pStyle w:val="ARtabletext"/>
            </w:pPr>
            <w:r w:rsidRPr="006514A9">
              <w:t>1</w:t>
            </w:r>
            <w:r w:rsidR="006514A9">
              <w:t xml:space="preserve"> </w:t>
            </w:r>
            <w:r w:rsidRPr="006514A9">
              <w:t>July</w:t>
            </w:r>
            <w:r w:rsidR="006514A9">
              <w:t xml:space="preserve"> </w:t>
            </w:r>
            <w:r w:rsidRPr="006514A9">
              <w:t>2020</w:t>
            </w:r>
            <w:r w:rsidR="006514A9">
              <w:t xml:space="preserve"> </w:t>
            </w:r>
            <w:r w:rsidRPr="006514A9">
              <w:t>to</w:t>
            </w:r>
            <w:r w:rsidR="006514A9">
              <w:t xml:space="preserve"> </w:t>
            </w:r>
            <w:r w:rsidRPr="006514A9">
              <w:t>30</w:t>
            </w:r>
            <w:r w:rsidR="006514A9">
              <w:t xml:space="preserve"> </w:t>
            </w:r>
            <w:r w:rsidRPr="006514A9">
              <w:t>June</w:t>
            </w:r>
            <w:r w:rsidR="006514A9">
              <w:t xml:space="preserve"> </w:t>
            </w:r>
            <w:r w:rsidRPr="006514A9">
              <w:t>2021</w:t>
            </w:r>
          </w:p>
        </w:tc>
        <w:tc>
          <w:tcPr>
            <w:tcW w:w="511" w:type="pct"/>
            <w:hideMark/>
          </w:tcPr>
          <w:p w14:paraId="1EAC6147" w14:textId="0B371841" w:rsidR="0015132C" w:rsidRDefault="0015132C" w:rsidP="00E3121D">
            <w:pPr>
              <w:pStyle w:val="ARtabletextright"/>
              <w:rPr>
                <w:rFonts w:ascii="Segoe UI" w:hAnsi="Segoe UI" w:cs="Segoe UI"/>
              </w:rPr>
            </w:pPr>
            <w:r>
              <w:t>$10,526,482</w:t>
            </w:r>
          </w:p>
        </w:tc>
        <w:tc>
          <w:tcPr>
            <w:tcW w:w="529" w:type="pct"/>
            <w:hideMark/>
          </w:tcPr>
          <w:p w14:paraId="561C9937" w14:textId="5BAA2BC9" w:rsidR="0015132C" w:rsidRDefault="0015132C" w:rsidP="00E3121D">
            <w:pPr>
              <w:pStyle w:val="ARtabletextright"/>
              <w:rPr>
                <w:rFonts w:ascii="Segoe UI" w:hAnsi="Segoe UI" w:cs="Segoe UI"/>
              </w:rPr>
            </w:pPr>
            <w:r>
              <w:t>$1,469,943</w:t>
            </w:r>
          </w:p>
        </w:tc>
        <w:tc>
          <w:tcPr>
            <w:tcW w:w="487" w:type="pct"/>
            <w:hideMark/>
          </w:tcPr>
          <w:p w14:paraId="222EA434" w14:textId="2A5EA460" w:rsidR="0015132C" w:rsidRDefault="0015132C" w:rsidP="00E3121D">
            <w:pPr>
              <w:pStyle w:val="ARtabletextright"/>
              <w:rPr>
                <w:rFonts w:ascii="Segoe UI" w:hAnsi="Segoe UI" w:cs="Segoe UI"/>
              </w:rPr>
            </w:pPr>
            <w:r>
              <w:t>NA</w:t>
            </w:r>
          </w:p>
        </w:tc>
        <w:tc>
          <w:tcPr>
            <w:tcW w:w="487" w:type="pct"/>
            <w:hideMark/>
          </w:tcPr>
          <w:p w14:paraId="725E34D5" w14:textId="0BD4AF00" w:rsidR="0015132C" w:rsidRDefault="0015132C" w:rsidP="00E3121D">
            <w:pPr>
              <w:pStyle w:val="ARtabletextright"/>
              <w:rPr>
                <w:rFonts w:ascii="Segoe UI" w:hAnsi="Segoe UI" w:cs="Segoe UI"/>
              </w:rPr>
            </w:pPr>
            <w:r>
              <w:t>NA</w:t>
            </w:r>
          </w:p>
        </w:tc>
        <w:tc>
          <w:tcPr>
            <w:tcW w:w="487" w:type="pct"/>
            <w:hideMark/>
          </w:tcPr>
          <w:p w14:paraId="231DB655" w14:textId="794A4859" w:rsidR="0015132C" w:rsidRDefault="0015132C" w:rsidP="00E3121D">
            <w:pPr>
              <w:pStyle w:val="ARtabletextright"/>
              <w:rPr>
                <w:rFonts w:ascii="Segoe UI" w:hAnsi="Segoe UI" w:cs="Segoe UI"/>
              </w:rPr>
            </w:pPr>
            <w:r>
              <w:t>NA</w:t>
            </w:r>
          </w:p>
        </w:tc>
        <w:tc>
          <w:tcPr>
            <w:tcW w:w="501" w:type="pct"/>
            <w:hideMark/>
          </w:tcPr>
          <w:p w14:paraId="45E8A489" w14:textId="31C664C3" w:rsidR="0015132C" w:rsidRDefault="0015132C" w:rsidP="00E3121D">
            <w:pPr>
              <w:pStyle w:val="ARtabletextright"/>
              <w:rPr>
                <w:rFonts w:ascii="Segoe UI" w:hAnsi="Segoe UI" w:cs="Segoe UI"/>
              </w:rPr>
            </w:pPr>
            <w:r>
              <w:t>$11,996,425</w:t>
            </w:r>
          </w:p>
        </w:tc>
      </w:tr>
      <w:tr w:rsidR="0015132C" w14:paraId="08A5DA9A" w14:textId="77777777" w:rsidTr="006514A9">
        <w:tc>
          <w:tcPr>
            <w:tcW w:w="817" w:type="pct"/>
            <w:hideMark/>
          </w:tcPr>
          <w:p w14:paraId="68D4F0F5" w14:textId="7EE9BCC2" w:rsidR="0015132C" w:rsidRPr="006514A9" w:rsidRDefault="0015132C" w:rsidP="006514A9">
            <w:pPr>
              <w:pStyle w:val="ARtabletext"/>
            </w:pPr>
            <w:r w:rsidRPr="006514A9">
              <w:t>Smile</w:t>
            </w:r>
            <w:r w:rsidR="006514A9">
              <w:t xml:space="preserve"> </w:t>
            </w:r>
            <w:r w:rsidRPr="006514A9">
              <w:t>Squad</w:t>
            </w:r>
          </w:p>
        </w:tc>
        <w:tc>
          <w:tcPr>
            <w:tcW w:w="755" w:type="pct"/>
            <w:hideMark/>
          </w:tcPr>
          <w:p w14:paraId="4C2CD765" w14:textId="083DD7B3" w:rsidR="0015132C" w:rsidRPr="006514A9" w:rsidRDefault="0015132C" w:rsidP="006514A9">
            <w:pPr>
              <w:pStyle w:val="ARtabletext"/>
            </w:pPr>
            <w:r w:rsidRPr="006514A9">
              <w:t>Support</w:t>
            </w:r>
            <w:r w:rsidR="006514A9">
              <w:t xml:space="preserve"> </w:t>
            </w:r>
            <w:r w:rsidRPr="006514A9">
              <w:t>the</w:t>
            </w:r>
            <w:r w:rsidR="006514A9">
              <w:t xml:space="preserve"> </w:t>
            </w:r>
            <w:r w:rsidRPr="006514A9">
              <w:t>resumption</w:t>
            </w:r>
            <w:r w:rsidR="006514A9">
              <w:t xml:space="preserve"> </w:t>
            </w:r>
            <w:r w:rsidRPr="006514A9">
              <w:t>of</w:t>
            </w:r>
            <w:r w:rsidR="006514A9">
              <w:t xml:space="preserve"> </w:t>
            </w:r>
            <w:r w:rsidRPr="006514A9">
              <w:t>Smile</w:t>
            </w:r>
            <w:r w:rsidR="006514A9">
              <w:t xml:space="preserve"> </w:t>
            </w:r>
            <w:r w:rsidRPr="006514A9">
              <w:t>Squad</w:t>
            </w:r>
            <w:r w:rsidR="006514A9">
              <w:t xml:space="preserve"> </w:t>
            </w:r>
            <w:r w:rsidRPr="006514A9">
              <w:t>services</w:t>
            </w:r>
            <w:r w:rsidR="006514A9">
              <w:t xml:space="preserve"> </w:t>
            </w:r>
            <w:r w:rsidRPr="006514A9">
              <w:t>by</w:t>
            </w:r>
            <w:r w:rsidR="006514A9">
              <w:t xml:space="preserve"> </w:t>
            </w:r>
            <w:r w:rsidRPr="006514A9">
              <w:t>increasing</w:t>
            </w:r>
            <w:r w:rsidR="006514A9">
              <w:t xml:space="preserve"> </w:t>
            </w:r>
            <w:r w:rsidRPr="006514A9">
              <w:t>community</w:t>
            </w:r>
            <w:r w:rsidR="006514A9">
              <w:t xml:space="preserve"> </w:t>
            </w:r>
            <w:r w:rsidRPr="006514A9">
              <w:t>awareness</w:t>
            </w:r>
            <w:r w:rsidR="006514A9">
              <w:t xml:space="preserve"> </w:t>
            </w:r>
            <w:r w:rsidRPr="006514A9">
              <w:t>of</w:t>
            </w:r>
            <w:r w:rsidR="006514A9">
              <w:t xml:space="preserve"> </w:t>
            </w:r>
            <w:r w:rsidRPr="006514A9">
              <w:t>the</w:t>
            </w:r>
            <w:r w:rsidR="006514A9">
              <w:t xml:space="preserve"> </w:t>
            </w:r>
            <w:r w:rsidRPr="006514A9">
              <w:t>program</w:t>
            </w:r>
            <w:r w:rsidR="006514A9">
              <w:t xml:space="preserve"> </w:t>
            </w:r>
            <w:r w:rsidRPr="006514A9">
              <w:t>and</w:t>
            </w:r>
            <w:r w:rsidR="006514A9">
              <w:t xml:space="preserve"> </w:t>
            </w:r>
            <w:r w:rsidRPr="006514A9">
              <w:t>driving</w:t>
            </w:r>
            <w:r w:rsidR="006514A9">
              <w:t xml:space="preserve"> </w:t>
            </w:r>
            <w:r w:rsidRPr="006514A9">
              <w:t>traffic</w:t>
            </w:r>
            <w:r w:rsidR="006514A9">
              <w:t xml:space="preserve"> </w:t>
            </w:r>
            <w:r w:rsidRPr="006514A9">
              <w:t>to</w:t>
            </w:r>
            <w:r w:rsidR="006514A9">
              <w:t xml:space="preserve"> </w:t>
            </w:r>
            <w:r w:rsidRPr="006514A9">
              <w:t>the</w:t>
            </w:r>
            <w:r w:rsidR="006514A9">
              <w:t xml:space="preserve"> </w:t>
            </w:r>
            <w:r w:rsidRPr="006514A9">
              <w:t>program</w:t>
            </w:r>
            <w:r w:rsidR="006514A9">
              <w:t xml:space="preserve"> </w:t>
            </w:r>
            <w:r w:rsidRPr="006514A9">
              <w:t>website</w:t>
            </w:r>
            <w:r w:rsidR="006514A9">
              <w:t xml:space="preserve"> </w:t>
            </w:r>
            <w:r w:rsidRPr="006514A9">
              <w:t>for</w:t>
            </w:r>
            <w:r w:rsidR="006514A9">
              <w:t xml:space="preserve"> </w:t>
            </w:r>
            <w:r w:rsidRPr="006514A9">
              <w:t>resources</w:t>
            </w:r>
            <w:r w:rsidR="006514A9">
              <w:t xml:space="preserve"> </w:t>
            </w:r>
            <w:r w:rsidRPr="006514A9">
              <w:t>and</w:t>
            </w:r>
            <w:r w:rsidR="006514A9">
              <w:t xml:space="preserve"> </w:t>
            </w:r>
            <w:r w:rsidRPr="006514A9">
              <w:t>program</w:t>
            </w:r>
            <w:r w:rsidR="006514A9">
              <w:t xml:space="preserve"> </w:t>
            </w:r>
            <w:r w:rsidRPr="006514A9">
              <w:t>information.</w:t>
            </w:r>
          </w:p>
        </w:tc>
        <w:tc>
          <w:tcPr>
            <w:tcW w:w="426" w:type="pct"/>
            <w:hideMark/>
          </w:tcPr>
          <w:p w14:paraId="6F502936" w14:textId="241B945D" w:rsidR="0015132C" w:rsidRPr="006514A9" w:rsidRDefault="0015132C" w:rsidP="006514A9">
            <w:pPr>
              <w:pStyle w:val="ARtabletext"/>
            </w:pPr>
            <w:r w:rsidRPr="006514A9">
              <w:t>4</w:t>
            </w:r>
            <w:r w:rsidR="006514A9">
              <w:t xml:space="preserve"> </w:t>
            </w:r>
            <w:r w:rsidRPr="006514A9">
              <w:t>April</w:t>
            </w:r>
            <w:r w:rsidR="006514A9">
              <w:t xml:space="preserve"> </w:t>
            </w:r>
            <w:r w:rsidRPr="006514A9">
              <w:t>2021</w:t>
            </w:r>
            <w:r w:rsidR="006514A9">
              <w:t xml:space="preserve"> </w:t>
            </w:r>
            <w:r w:rsidRPr="006514A9">
              <w:t>to</w:t>
            </w:r>
            <w:r w:rsidR="006514A9">
              <w:t xml:space="preserve"> </w:t>
            </w:r>
            <w:r w:rsidRPr="006514A9">
              <w:t>31</w:t>
            </w:r>
            <w:r w:rsidR="006514A9">
              <w:t xml:space="preserve"> </w:t>
            </w:r>
            <w:r w:rsidRPr="006514A9">
              <w:t>May</w:t>
            </w:r>
            <w:r w:rsidR="006514A9">
              <w:t xml:space="preserve"> </w:t>
            </w:r>
            <w:r w:rsidRPr="006514A9">
              <w:t>2021</w:t>
            </w:r>
          </w:p>
        </w:tc>
        <w:tc>
          <w:tcPr>
            <w:tcW w:w="511" w:type="pct"/>
            <w:hideMark/>
          </w:tcPr>
          <w:p w14:paraId="7149EF8E" w14:textId="23144C02" w:rsidR="0015132C" w:rsidRDefault="0015132C" w:rsidP="00E3121D">
            <w:pPr>
              <w:pStyle w:val="ARtabletextright"/>
              <w:rPr>
                <w:rFonts w:ascii="Segoe UI" w:hAnsi="Segoe UI" w:cs="Segoe UI"/>
              </w:rPr>
            </w:pPr>
            <w:r>
              <w:t>$1,209,409</w:t>
            </w:r>
          </w:p>
        </w:tc>
        <w:tc>
          <w:tcPr>
            <w:tcW w:w="529" w:type="pct"/>
            <w:hideMark/>
          </w:tcPr>
          <w:p w14:paraId="3C780D01" w14:textId="5CB4A0EC" w:rsidR="0015132C" w:rsidRDefault="0015132C" w:rsidP="00E3121D">
            <w:pPr>
              <w:pStyle w:val="ARtabletextright"/>
              <w:rPr>
                <w:rFonts w:ascii="Segoe UI" w:hAnsi="Segoe UI" w:cs="Segoe UI"/>
              </w:rPr>
            </w:pPr>
            <w:r>
              <w:t>$105,610</w:t>
            </w:r>
          </w:p>
        </w:tc>
        <w:tc>
          <w:tcPr>
            <w:tcW w:w="487" w:type="pct"/>
            <w:hideMark/>
          </w:tcPr>
          <w:p w14:paraId="6497A0EC" w14:textId="188E606B" w:rsidR="0015132C" w:rsidRDefault="0015132C" w:rsidP="00E3121D">
            <w:pPr>
              <w:pStyle w:val="ARtabletextright"/>
              <w:rPr>
                <w:rFonts w:ascii="Segoe UI" w:hAnsi="Segoe UI" w:cs="Segoe UI"/>
              </w:rPr>
            </w:pPr>
            <w:r>
              <w:t>NA</w:t>
            </w:r>
          </w:p>
        </w:tc>
        <w:tc>
          <w:tcPr>
            <w:tcW w:w="487" w:type="pct"/>
            <w:hideMark/>
          </w:tcPr>
          <w:p w14:paraId="28057B77" w14:textId="2915A4D1" w:rsidR="0015132C" w:rsidRDefault="0015132C" w:rsidP="00E3121D">
            <w:pPr>
              <w:pStyle w:val="ARtabletextright"/>
              <w:rPr>
                <w:rFonts w:ascii="Segoe UI" w:hAnsi="Segoe UI" w:cs="Segoe UI"/>
              </w:rPr>
            </w:pPr>
            <w:r>
              <w:t>NA</w:t>
            </w:r>
          </w:p>
        </w:tc>
        <w:tc>
          <w:tcPr>
            <w:tcW w:w="487" w:type="pct"/>
            <w:hideMark/>
          </w:tcPr>
          <w:p w14:paraId="755E5620" w14:textId="3E60A564" w:rsidR="0015132C" w:rsidRDefault="0015132C" w:rsidP="00E3121D">
            <w:pPr>
              <w:pStyle w:val="ARtabletextright"/>
              <w:rPr>
                <w:rFonts w:ascii="Segoe UI" w:hAnsi="Segoe UI" w:cs="Segoe UI"/>
              </w:rPr>
            </w:pPr>
            <w:r>
              <w:t>$550</w:t>
            </w:r>
          </w:p>
        </w:tc>
        <w:tc>
          <w:tcPr>
            <w:tcW w:w="501" w:type="pct"/>
            <w:hideMark/>
          </w:tcPr>
          <w:p w14:paraId="3F1AF7EB" w14:textId="1CB5C166" w:rsidR="0015132C" w:rsidRDefault="0015132C" w:rsidP="00E3121D">
            <w:pPr>
              <w:pStyle w:val="ARtabletextright"/>
              <w:rPr>
                <w:rFonts w:ascii="Segoe UI" w:hAnsi="Segoe UI" w:cs="Segoe UI"/>
              </w:rPr>
            </w:pPr>
            <w:r>
              <w:t>$1,315,569</w:t>
            </w:r>
          </w:p>
        </w:tc>
      </w:tr>
      <w:tr w:rsidR="0015132C" w14:paraId="0D5A605F" w14:textId="77777777" w:rsidTr="006514A9">
        <w:tc>
          <w:tcPr>
            <w:tcW w:w="817" w:type="pct"/>
            <w:hideMark/>
          </w:tcPr>
          <w:p w14:paraId="5DBFEC75" w14:textId="12B04CB2" w:rsidR="0015132C" w:rsidRPr="006514A9" w:rsidRDefault="0015132C" w:rsidP="006514A9">
            <w:pPr>
              <w:pStyle w:val="ARtabletext"/>
            </w:pPr>
            <w:r w:rsidRPr="006514A9">
              <w:t>Survive</w:t>
            </w:r>
            <w:r w:rsidR="006514A9">
              <w:t xml:space="preserve"> </w:t>
            </w:r>
            <w:r w:rsidRPr="006514A9">
              <w:t>the</w:t>
            </w:r>
            <w:r w:rsidR="006514A9">
              <w:t xml:space="preserve"> </w:t>
            </w:r>
            <w:r w:rsidRPr="006514A9">
              <w:t>Heat</w:t>
            </w:r>
            <w:r w:rsidR="006514A9">
              <w:t xml:space="preserve"> </w:t>
            </w:r>
            <w:r w:rsidRPr="006514A9">
              <w:t>in</w:t>
            </w:r>
            <w:r w:rsidR="006514A9">
              <w:t xml:space="preserve"> </w:t>
            </w:r>
            <w:r w:rsidRPr="006514A9">
              <w:t>Summer</w:t>
            </w:r>
          </w:p>
        </w:tc>
        <w:tc>
          <w:tcPr>
            <w:tcW w:w="755" w:type="pct"/>
            <w:hideMark/>
          </w:tcPr>
          <w:p w14:paraId="26DF2C48" w14:textId="060C3F16" w:rsidR="0015132C" w:rsidRPr="006514A9" w:rsidRDefault="0015132C" w:rsidP="006514A9">
            <w:pPr>
              <w:pStyle w:val="ARtabletext"/>
            </w:pPr>
            <w:r w:rsidRPr="006514A9">
              <w:t>Raise</w:t>
            </w:r>
            <w:r w:rsidR="006514A9">
              <w:t xml:space="preserve"> </w:t>
            </w:r>
            <w:r w:rsidRPr="006514A9">
              <w:t>awareness</w:t>
            </w:r>
            <w:r w:rsidR="006514A9">
              <w:t xml:space="preserve"> </w:t>
            </w:r>
            <w:r w:rsidRPr="006514A9">
              <w:t>of</w:t>
            </w:r>
            <w:r w:rsidR="006514A9">
              <w:t xml:space="preserve"> </w:t>
            </w:r>
            <w:r w:rsidRPr="006514A9">
              <w:t>health</w:t>
            </w:r>
            <w:r w:rsidR="006514A9">
              <w:t xml:space="preserve"> </w:t>
            </w:r>
            <w:r w:rsidRPr="006514A9">
              <w:t>risks</w:t>
            </w:r>
            <w:r w:rsidR="006514A9">
              <w:t xml:space="preserve"> </w:t>
            </w:r>
            <w:r w:rsidRPr="006514A9">
              <w:t>due</w:t>
            </w:r>
            <w:r w:rsidR="006514A9">
              <w:t xml:space="preserve"> </w:t>
            </w:r>
            <w:r w:rsidRPr="006514A9">
              <w:t>to</w:t>
            </w:r>
            <w:r w:rsidR="006514A9">
              <w:t xml:space="preserve"> </w:t>
            </w:r>
            <w:r w:rsidRPr="006514A9">
              <w:t>extreme</w:t>
            </w:r>
            <w:r w:rsidR="006514A9">
              <w:t xml:space="preserve"> </w:t>
            </w:r>
            <w:r w:rsidRPr="006514A9">
              <w:t>heat.</w:t>
            </w:r>
            <w:r w:rsidR="006514A9">
              <w:t xml:space="preserve"> </w:t>
            </w:r>
            <w:r w:rsidRPr="006514A9">
              <w:t>Promote</w:t>
            </w:r>
            <w:r w:rsidR="006514A9">
              <w:t xml:space="preserve"> </w:t>
            </w:r>
            <w:r w:rsidRPr="006514A9">
              <w:t>behaviour</w:t>
            </w:r>
            <w:r w:rsidR="006514A9">
              <w:t xml:space="preserve"> </w:t>
            </w:r>
            <w:r w:rsidRPr="006514A9">
              <w:t>change</w:t>
            </w:r>
            <w:r w:rsidR="006514A9">
              <w:t xml:space="preserve"> </w:t>
            </w:r>
            <w:r w:rsidRPr="006514A9">
              <w:t>to</w:t>
            </w:r>
            <w:r w:rsidR="006514A9">
              <w:t xml:space="preserve"> </w:t>
            </w:r>
            <w:r w:rsidRPr="006514A9">
              <w:t>reduce</w:t>
            </w:r>
            <w:r w:rsidR="006514A9">
              <w:t xml:space="preserve"> </w:t>
            </w:r>
            <w:r w:rsidRPr="006514A9">
              <w:t>illness</w:t>
            </w:r>
            <w:r w:rsidR="006514A9">
              <w:t xml:space="preserve"> </w:t>
            </w:r>
            <w:r w:rsidRPr="006514A9">
              <w:t>and</w:t>
            </w:r>
            <w:r w:rsidR="006514A9">
              <w:t xml:space="preserve"> </w:t>
            </w:r>
            <w:r w:rsidRPr="006514A9">
              <w:t>death</w:t>
            </w:r>
            <w:r w:rsidR="006514A9">
              <w:t xml:space="preserve"> </w:t>
            </w:r>
            <w:r w:rsidRPr="006514A9">
              <w:t>in</w:t>
            </w:r>
            <w:r w:rsidR="006514A9">
              <w:t xml:space="preserve"> </w:t>
            </w:r>
            <w:r w:rsidRPr="006514A9">
              <w:t>those</w:t>
            </w:r>
            <w:r w:rsidR="006514A9">
              <w:t xml:space="preserve"> </w:t>
            </w:r>
            <w:r w:rsidRPr="006514A9">
              <w:t>most</w:t>
            </w:r>
            <w:r w:rsidR="006514A9">
              <w:t xml:space="preserve"> </w:t>
            </w:r>
            <w:r w:rsidRPr="006514A9">
              <w:t>vulnerable</w:t>
            </w:r>
            <w:r w:rsidR="006514A9">
              <w:t xml:space="preserve"> </w:t>
            </w:r>
            <w:r w:rsidRPr="006514A9">
              <w:t>on</w:t>
            </w:r>
            <w:r w:rsidR="006514A9">
              <w:t xml:space="preserve"> </w:t>
            </w:r>
            <w:r w:rsidRPr="006514A9">
              <w:t>days</w:t>
            </w:r>
            <w:r w:rsidR="006514A9">
              <w:t xml:space="preserve"> </w:t>
            </w:r>
            <w:r w:rsidRPr="006514A9">
              <w:t>of</w:t>
            </w:r>
            <w:r w:rsidR="006514A9">
              <w:t xml:space="preserve"> </w:t>
            </w:r>
            <w:r w:rsidRPr="006514A9">
              <w:t>extreme</w:t>
            </w:r>
            <w:r w:rsidR="006514A9">
              <w:t xml:space="preserve"> </w:t>
            </w:r>
            <w:r w:rsidRPr="006514A9">
              <w:t>heat.</w:t>
            </w:r>
          </w:p>
        </w:tc>
        <w:tc>
          <w:tcPr>
            <w:tcW w:w="426" w:type="pct"/>
            <w:hideMark/>
          </w:tcPr>
          <w:p w14:paraId="5AB28F96" w14:textId="6D7128A7" w:rsidR="0015132C" w:rsidRPr="006514A9" w:rsidRDefault="0015132C" w:rsidP="008F2CE6">
            <w:pPr>
              <w:pStyle w:val="ARtabletext"/>
            </w:pPr>
            <w:r w:rsidRPr="006514A9">
              <w:t>1</w:t>
            </w:r>
            <w:r w:rsidR="006514A9">
              <w:t xml:space="preserve"> </w:t>
            </w:r>
            <w:r w:rsidRPr="006514A9">
              <w:t>December</w:t>
            </w:r>
            <w:r w:rsidR="006514A9">
              <w:t xml:space="preserve"> </w:t>
            </w:r>
            <w:r w:rsidRPr="006514A9">
              <w:t>2020</w:t>
            </w:r>
            <w:r w:rsidR="006514A9">
              <w:t xml:space="preserve"> </w:t>
            </w:r>
            <w:r w:rsidRPr="006514A9">
              <w:t>to</w:t>
            </w:r>
            <w:r w:rsidR="006514A9">
              <w:t xml:space="preserve"> </w:t>
            </w:r>
            <w:r w:rsidRPr="006514A9">
              <w:t>28</w:t>
            </w:r>
            <w:r w:rsidR="008F2CE6">
              <w:t> </w:t>
            </w:r>
            <w:r w:rsidRPr="006514A9">
              <w:t>February</w:t>
            </w:r>
            <w:r w:rsidR="006514A9">
              <w:t xml:space="preserve"> </w:t>
            </w:r>
            <w:r w:rsidRPr="006514A9">
              <w:t>2021</w:t>
            </w:r>
          </w:p>
        </w:tc>
        <w:tc>
          <w:tcPr>
            <w:tcW w:w="511" w:type="pct"/>
            <w:hideMark/>
          </w:tcPr>
          <w:p w14:paraId="0F3B47A2" w14:textId="03C93841" w:rsidR="0015132C" w:rsidRDefault="0015132C" w:rsidP="00E3121D">
            <w:pPr>
              <w:pStyle w:val="ARtabletextright"/>
              <w:rPr>
                <w:rFonts w:ascii="Segoe UI" w:hAnsi="Segoe UI" w:cs="Segoe UI"/>
              </w:rPr>
            </w:pPr>
            <w:r>
              <w:t>$327,000</w:t>
            </w:r>
          </w:p>
        </w:tc>
        <w:tc>
          <w:tcPr>
            <w:tcW w:w="529" w:type="pct"/>
            <w:hideMark/>
          </w:tcPr>
          <w:p w14:paraId="7037D908" w14:textId="597FD30E" w:rsidR="0015132C" w:rsidRDefault="0015132C" w:rsidP="00E3121D">
            <w:pPr>
              <w:pStyle w:val="ARtabletextright"/>
              <w:rPr>
                <w:rFonts w:ascii="Segoe UI" w:hAnsi="Segoe UI" w:cs="Segoe UI"/>
              </w:rPr>
            </w:pPr>
            <w:r>
              <w:t>$22,958</w:t>
            </w:r>
          </w:p>
        </w:tc>
        <w:tc>
          <w:tcPr>
            <w:tcW w:w="487" w:type="pct"/>
            <w:hideMark/>
          </w:tcPr>
          <w:p w14:paraId="298DF72D" w14:textId="17D097D4" w:rsidR="0015132C" w:rsidRDefault="0015132C" w:rsidP="00E3121D">
            <w:pPr>
              <w:pStyle w:val="ARtabletextright"/>
              <w:rPr>
                <w:rFonts w:ascii="Segoe UI" w:hAnsi="Segoe UI" w:cs="Segoe UI"/>
              </w:rPr>
            </w:pPr>
            <w:r>
              <w:t>$30,900</w:t>
            </w:r>
          </w:p>
        </w:tc>
        <w:tc>
          <w:tcPr>
            <w:tcW w:w="487" w:type="pct"/>
            <w:hideMark/>
          </w:tcPr>
          <w:p w14:paraId="46504925" w14:textId="385D6E64" w:rsidR="0015132C" w:rsidRDefault="0015132C" w:rsidP="00E3121D">
            <w:pPr>
              <w:pStyle w:val="ARtabletextright"/>
              <w:rPr>
                <w:rFonts w:ascii="Segoe UI" w:hAnsi="Segoe UI" w:cs="Segoe UI"/>
              </w:rPr>
            </w:pPr>
            <w:r>
              <w:t>NA</w:t>
            </w:r>
          </w:p>
        </w:tc>
        <w:tc>
          <w:tcPr>
            <w:tcW w:w="487" w:type="pct"/>
            <w:hideMark/>
          </w:tcPr>
          <w:p w14:paraId="1112FB71" w14:textId="7360CC04" w:rsidR="0015132C" w:rsidRDefault="0015132C" w:rsidP="00E3121D">
            <w:pPr>
              <w:pStyle w:val="ARtabletextright"/>
              <w:rPr>
                <w:rFonts w:ascii="Segoe UI" w:hAnsi="Segoe UI" w:cs="Segoe UI"/>
              </w:rPr>
            </w:pPr>
            <w:r>
              <w:t>NA</w:t>
            </w:r>
          </w:p>
        </w:tc>
        <w:tc>
          <w:tcPr>
            <w:tcW w:w="501" w:type="pct"/>
            <w:hideMark/>
          </w:tcPr>
          <w:p w14:paraId="2044E037" w14:textId="637F9F8D" w:rsidR="0015132C" w:rsidRDefault="0015132C" w:rsidP="00E3121D">
            <w:pPr>
              <w:pStyle w:val="ARtabletextright"/>
              <w:rPr>
                <w:rFonts w:ascii="Segoe UI" w:hAnsi="Segoe UI" w:cs="Segoe UI"/>
              </w:rPr>
            </w:pPr>
            <w:r>
              <w:t>$380,858</w:t>
            </w:r>
          </w:p>
        </w:tc>
      </w:tr>
      <w:tr w:rsidR="0015132C" w14:paraId="0B62F320" w14:textId="77777777" w:rsidTr="006514A9">
        <w:tc>
          <w:tcPr>
            <w:tcW w:w="817" w:type="pct"/>
            <w:hideMark/>
          </w:tcPr>
          <w:p w14:paraId="5F2FCD70" w14:textId="3A0C822E" w:rsidR="0015132C" w:rsidRPr="006514A9" w:rsidRDefault="0015132C" w:rsidP="008F2CE6">
            <w:pPr>
              <w:pStyle w:val="ARtabletext"/>
            </w:pPr>
            <w:r w:rsidRPr="006514A9">
              <w:lastRenderedPageBreak/>
              <w:t>Seasonal</w:t>
            </w:r>
            <w:r w:rsidR="006514A9">
              <w:t xml:space="preserve"> </w:t>
            </w:r>
            <w:r w:rsidRPr="006514A9">
              <w:t>Influenza</w:t>
            </w:r>
            <w:r w:rsidR="006514A9">
              <w:t xml:space="preserve"> </w:t>
            </w:r>
            <w:r w:rsidR="008F2CE6">
              <w:t>c</w:t>
            </w:r>
            <w:r w:rsidRPr="006514A9">
              <w:t>ampaign</w:t>
            </w:r>
          </w:p>
        </w:tc>
        <w:tc>
          <w:tcPr>
            <w:tcW w:w="755" w:type="pct"/>
            <w:hideMark/>
          </w:tcPr>
          <w:p w14:paraId="47E932FB" w14:textId="5D6A477B" w:rsidR="0015132C" w:rsidRPr="006514A9" w:rsidRDefault="0015132C" w:rsidP="006514A9">
            <w:pPr>
              <w:pStyle w:val="ARtabletext"/>
            </w:pPr>
            <w:r w:rsidRPr="006514A9">
              <w:t>Promote</w:t>
            </w:r>
            <w:r w:rsidR="006514A9">
              <w:t xml:space="preserve"> </w:t>
            </w:r>
            <w:r w:rsidRPr="006514A9">
              <w:t>seasonal</w:t>
            </w:r>
            <w:r w:rsidR="006514A9">
              <w:t xml:space="preserve"> </w:t>
            </w:r>
            <w:r w:rsidRPr="006514A9">
              <w:t>flu</w:t>
            </w:r>
            <w:r w:rsidR="006514A9">
              <w:t xml:space="preserve"> </w:t>
            </w:r>
            <w:r w:rsidRPr="006514A9">
              <w:t>immunisation</w:t>
            </w:r>
            <w:r w:rsidR="006514A9">
              <w:t xml:space="preserve"> </w:t>
            </w:r>
            <w:r w:rsidRPr="006514A9">
              <w:t>and</w:t>
            </w:r>
            <w:r w:rsidR="006514A9">
              <w:t xml:space="preserve"> </w:t>
            </w:r>
            <w:r w:rsidRPr="006514A9">
              <w:t>other</w:t>
            </w:r>
            <w:r w:rsidR="006514A9">
              <w:t xml:space="preserve"> </w:t>
            </w:r>
            <w:r w:rsidRPr="006514A9">
              <w:t>prevention</w:t>
            </w:r>
            <w:r w:rsidR="006514A9">
              <w:t xml:space="preserve"> </w:t>
            </w:r>
            <w:r w:rsidRPr="006514A9">
              <w:t>measures</w:t>
            </w:r>
            <w:r w:rsidR="006514A9">
              <w:t xml:space="preserve"> </w:t>
            </w:r>
            <w:r w:rsidRPr="006514A9">
              <w:t>to</w:t>
            </w:r>
            <w:r w:rsidR="006514A9">
              <w:t xml:space="preserve"> </w:t>
            </w:r>
            <w:r w:rsidRPr="006514A9">
              <w:t>help</w:t>
            </w:r>
            <w:r w:rsidR="006514A9">
              <w:t xml:space="preserve"> </w:t>
            </w:r>
            <w:r w:rsidRPr="006514A9">
              <w:t>reduce</w:t>
            </w:r>
            <w:r w:rsidR="006514A9">
              <w:t xml:space="preserve"> </w:t>
            </w:r>
            <w:r w:rsidRPr="006514A9">
              <w:t>the</w:t>
            </w:r>
            <w:r w:rsidR="006514A9">
              <w:t xml:space="preserve"> </w:t>
            </w:r>
            <w:r w:rsidRPr="006514A9">
              <w:t>impacts</w:t>
            </w:r>
            <w:r w:rsidR="006514A9">
              <w:t xml:space="preserve"> </w:t>
            </w:r>
            <w:r w:rsidRPr="006514A9">
              <w:t>of</w:t>
            </w:r>
            <w:r w:rsidR="006514A9">
              <w:t xml:space="preserve"> </w:t>
            </w:r>
            <w:r w:rsidRPr="006514A9">
              <w:t>seasonal</w:t>
            </w:r>
            <w:r w:rsidR="006514A9">
              <w:t xml:space="preserve"> </w:t>
            </w:r>
            <w:r w:rsidRPr="006514A9">
              <w:t>influenza.</w:t>
            </w:r>
          </w:p>
        </w:tc>
        <w:tc>
          <w:tcPr>
            <w:tcW w:w="426" w:type="pct"/>
            <w:hideMark/>
          </w:tcPr>
          <w:p w14:paraId="5855933C" w14:textId="3EF22D5A" w:rsidR="0015132C" w:rsidRPr="006514A9" w:rsidRDefault="0015132C" w:rsidP="008F2CE6">
            <w:pPr>
              <w:pStyle w:val="ARtabletext"/>
            </w:pPr>
            <w:r w:rsidRPr="006514A9">
              <w:t>18</w:t>
            </w:r>
            <w:r w:rsidR="006514A9">
              <w:t xml:space="preserve"> </w:t>
            </w:r>
            <w:r w:rsidRPr="006514A9">
              <w:t>May</w:t>
            </w:r>
            <w:r w:rsidR="006514A9">
              <w:t xml:space="preserve"> </w:t>
            </w:r>
            <w:r w:rsidRPr="006514A9">
              <w:t>to</w:t>
            </w:r>
            <w:r w:rsidR="006514A9">
              <w:t xml:space="preserve"> </w:t>
            </w:r>
            <w:r w:rsidRPr="006514A9">
              <w:t>30</w:t>
            </w:r>
            <w:r w:rsidR="008F2CE6">
              <w:t> </w:t>
            </w:r>
            <w:r w:rsidRPr="006514A9">
              <w:t>June</w:t>
            </w:r>
            <w:r w:rsidR="006514A9">
              <w:t xml:space="preserve"> </w:t>
            </w:r>
            <w:r w:rsidRPr="006514A9">
              <w:t>2021</w:t>
            </w:r>
          </w:p>
        </w:tc>
        <w:tc>
          <w:tcPr>
            <w:tcW w:w="511" w:type="pct"/>
            <w:hideMark/>
          </w:tcPr>
          <w:p w14:paraId="65FE4CA5" w14:textId="566DAAE4" w:rsidR="0015132C" w:rsidRDefault="0015132C" w:rsidP="00E3121D">
            <w:pPr>
              <w:pStyle w:val="ARtabletextright"/>
              <w:rPr>
                <w:rFonts w:ascii="Segoe UI" w:hAnsi="Segoe UI" w:cs="Segoe UI"/>
              </w:rPr>
            </w:pPr>
            <w:r>
              <w:t>$339,844</w:t>
            </w:r>
          </w:p>
        </w:tc>
        <w:tc>
          <w:tcPr>
            <w:tcW w:w="529" w:type="pct"/>
            <w:hideMark/>
          </w:tcPr>
          <w:p w14:paraId="67CF4CB3" w14:textId="7B6B3008" w:rsidR="0015132C" w:rsidRDefault="0015132C" w:rsidP="00E3121D">
            <w:pPr>
              <w:pStyle w:val="ARtabletextright"/>
              <w:rPr>
                <w:rFonts w:ascii="Segoe UI" w:hAnsi="Segoe UI" w:cs="Segoe UI"/>
              </w:rPr>
            </w:pPr>
            <w:r>
              <w:t>$140,823</w:t>
            </w:r>
          </w:p>
        </w:tc>
        <w:tc>
          <w:tcPr>
            <w:tcW w:w="487" w:type="pct"/>
            <w:hideMark/>
          </w:tcPr>
          <w:p w14:paraId="16BE6B69" w14:textId="5A1E9C10" w:rsidR="0015132C" w:rsidRDefault="0015132C" w:rsidP="00E3121D">
            <w:pPr>
              <w:pStyle w:val="ARtabletextright"/>
              <w:rPr>
                <w:rFonts w:ascii="Segoe UI" w:hAnsi="Segoe UI" w:cs="Segoe UI"/>
              </w:rPr>
            </w:pPr>
            <w:r>
              <w:t>NA</w:t>
            </w:r>
          </w:p>
        </w:tc>
        <w:tc>
          <w:tcPr>
            <w:tcW w:w="487" w:type="pct"/>
            <w:hideMark/>
          </w:tcPr>
          <w:p w14:paraId="222B62B4" w14:textId="63560713" w:rsidR="0015132C" w:rsidRDefault="0015132C" w:rsidP="00E3121D">
            <w:pPr>
              <w:pStyle w:val="ARtabletextright"/>
              <w:rPr>
                <w:rFonts w:ascii="Segoe UI" w:hAnsi="Segoe UI" w:cs="Segoe UI"/>
              </w:rPr>
            </w:pPr>
            <w:r>
              <w:t>NA</w:t>
            </w:r>
          </w:p>
        </w:tc>
        <w:tc>
          <w:tcPr>
            <w:tcW w:w="487" w:type="pct"/>
            <w:hideMark/>
          </w:tcPr>
          <w:p w14:paraId="757658C5" w14:textId="765A4801" w:rsidR="0015132C" w:rsidRDefault="0015132C" w:rsidP="00E3121D">
            <w:pPr>
              <w:pStyle w:val="ARtabletextright"/>
              <w:rPr>
                <w:rFonts w:ascii="Segoe UI" w:hAnsi="Segoe UI" w:cs="Segoe UI"/>
              </w:rPr>
            </w:pPr>
            <w:r>
              <w:t>NA</w:t>
            </w:r>
          </w:p>
        </w:tc>
        <w:tc>
          <w:tcPr>
            <w:tcW w:w="501" w:type="pct"/>
            <w:hideMark/>
          </w:tcPr>
          <w:p w14:paraId="58388569" w14:textId="008941FB" w:rsidR="0015132C" w:rsidRDefault="0015132C" w:rsidP="00E3121D">
            <w:pPr>
              <w:pStyle w:val="ARtabletextright"/>
              <w:rPr>
                <w:rFonts w:ascii="Segoe UI" w:hAnsi="Segoe UI" w:cs="Segoe UI"/>
              </w:rPr>
            </w:pPr>
            <w:r>
              <w:t>$480,667</w:t>
            </w:r>
          </w:p>
        </w:tc>
      </w:tr>
      <w:tr w:rsidR="0015132C" w14:paraId="4CA33C1D" w14:textId="77777777" w:rsidTr="006514A9">
        <w:tc>
          <w:tcPr>
            <w:tcW w:w="817" w:type="pct"/>
            <w:hideMark/>
          </w:tcPr>
          <w:p w14:paraId="6E15CE44" w14:textId="5C21672D" w:rsidR="0015132C" w:rsidRPr="006514A9" w:rsidRDefault="0015132C" w:rsidP="006514A9">
            <w:pPr>
              <w:pStyle w:val="ARtabletext"/>
            </w:pPr>
            <w:r w:rsidRPr="006514A9">
              <w:t>Herogram</w:t>
            </w:r>
            <w:r w:rsidR="006514A9">
              <w:t xml:space="preserve"> </w:t>
            </w:r>
            <w:r w:rsidRPr="006514A9">
              <w:t>(Wear</w:t>
            </w:r>
            <w:r w:rsidR="006514A9">
              <w:t xml:space="preserve"> </w:t>
            </w:r>
            <w:r w:rsidRPr="006514A9">
              <w:t>A</w:t>
            </w:r>
            <w:r w:rsidR="006514A9">
              <w:t xml:space="preserve"> </w:t>
            </w:r>
            <w:r w:rsidRPr="006514A9">
              <w:t>Mask</w:t>
            </w:r>
            <w:r w:rsidR="006514A9">
              <w:t xml:space="preserve"> </w:t>
            </w:r>
            <w:r w:rsidRPr="006514A9">
              <w:t>COVID-19)</w:t>
            </w:r>
            <w:r w:rsidR="006514A9">
              <w:t xml:space="preserve"> </w:t>
            </w:r>
            <w:r w:rsidRPr="006514A9">
              <w:t>campaign</w:t>
            </w:r>
          </w:p>
        </w:tc>
        <w:tc>
          <w:tcPr>
            <w:tcW w:w="755" w:type="pct"/>
            <w:hideMark/>
          </w:tcPr>
          <w:p w14:paraId="5596F705" w14:textId="6324926B" w:rsidR="0015132C" w:rsidRPr="006514A9" w:rsidRDefault="0015132C" w:rsidP="006514A9">
            <w:pPr>
              <w:pStyle w:val="ARtabletext"/>
            </w:pPr>
            <w:r w:rsidRPr="006514A9">
              <w:t>Promote</w:t>
            </w:r>
            <w:r w:rsidR="006514A9">
              <w:t xml:space="preserve"> </w:t>
            </w:r>
            <w:r w:rsidRPr="006514A9">
              <w:t>COVID-19</w:t>
            </w:r>
            <w:r w:rsidR="006514A9">
              <w:t xml:space="preserve"> </w:t>
            </w:r>
            <w:r w:rsidRPr="006514A9">
              <w:t>safe</w:t>
            </w:r>
            <w:r w:rsidR="006514A9">
              <w:t xml:space="preserve"> </w:t>
            </w:r>
            <w:r w:rsidRPr="006514A9">
              <w:t>behaviours</w:t>
            </w:r>
            <w:r w:rsidR="006514A9">
              <w:t xml:space="preserve"> </w:t>
            </w:r>
            <w:r w:rsidRPr="006514A9">
              <w:t>including</w:t>
            </w:r>
            <w:r w:rsidR="006514A9">
              <w:t xml:space="preserve"> </w:t>
            </w:r>
            <w:r w:rsidRPr="006514A9">
              <w:t>wearing</w:t>
            </w:r>
            <w:r w:rsidR="006514A9">
              <w:t xml:space="preserve"> </w:t>
            </w:r>
            <w:r w:rsidRPr="006514A9">
              <w:t>a</w:t>
            </w:r>
            <w:r w:rsidR="006514A9">
              <w:t xml:space="preserve"> </w:t>
            </w:r>
            <w:r w:rsidRPr="006514A9">
              <w:t>mask</w:t>
            </w:r>
            <w:r w:rsidR="006514A9">
              <w:t xml:space="preserve"> </w:t>
            </w:r>
            <w:r w:rsidRPr="006514A9">
              <w:t>to</w:t>
            </w:r>
            <w:r w:rsidR="006514A9">
              <w:t xml:space="preserve"> </w:t>
            </w:r>
            <w:r w:rsidRPr="006514A9">
              <w:t>help</w:t>
            </w:r>
            <w:r w:rsidR="006514A9">
              <w:t xml:space="preserve"> </w:t>
            </w:r>
            <w:r w:rsidRPr="006514A9">
              <w:t>protect</w:t>
            </w:r>
            <w:r w:rsidR="006514A9">
              <w:t xml:space="preserve"> </w:t>
            </w:r>
            <w:r w:rsidRPr="006514A9">
              <w:t>the</w:t>
            </w:r>
            <w:r w:rsidR="006514A9">
              <w:t xml:space="preserve"> </w:t>
            </w:r>
            <w:r w:rsidRPr="006514A9">
              <w:t>Victorian</w:t>
            </w:r>
            <w:r w:rsidR="006514A9">
              <w:t xml:space="preserve"> </w:t>
            </w:r>
            <w:r w:rsidRPr="006514A9">
              <w:t>public</w:t>
            </w:r>
            <w:r w:rsidR="006514A9">
              <w:t xml:space="preserve"> </w:t>
            </w:r>
            <w:r w:rsidRPr="006514A9">
              <w:t>and</w:t>
            </w:r>
            <w:r w:rsidR="006514A9">
              <w:t xml:space="preserve"> </w:t>
            </w:r>
            <w:r w:rsidRPr="006514A9">
              <w:t>reduce</w:t>
            </w:r>
            <w:r w:rsidR="006514A9">
              <w:t xml:space="preserve"> </w:t>
            </w:r>
            <w:r w:rsidRPr="006514A9">
              <w:t>transmission.</w:t>
            </w:r>
          </w:p>
        </w:tc>
        <w:tc>
          <w:tcPr>
            <w:tcW w:w="426" w:type="pct"/>
            <w:hideMark/>
          </w:tcPr>
          <w:p w14:paraId="1B8F5F73" w14:textId="13E76E98" w:rsidR="0015132C" w:rsidRPr="006514A9" w:rsidRDefault="0015132C" w:rsidP="008F2CE6">
            <w:pPr>
              <w:pStyle w:val="ARtabletext"/>
            </w:pPr>
            <w:r w:rsidRPr="006514A9">
              <w:t>22</w:t>
            </w:r>
            <w:r w:rsidR="006514A9">
              <w:t xml:space="preserve"> </w:t>
            </w:r>
            <w:r w:rsidRPr="006514A9">
              <w:t>August</w:t>
            </w:r>
            <w:r w:rsidR="006514A9">
              <w:t xml:space="preserve"> </w:t>
            </w:r>
            <w:r w:rsidRPr="006514A9">
              <w:t>2020</w:t>
            </w:r>
            <w:r w:rsidR="006514A9">
              <w:t xml:space="preserve"> </w:t>
            </w:r>
            <w:r w:rsidRPr="006514A9">
              <w:t>to</w:t>
            </w:r>
            <w:r w:rsidR="006514A9">
              <w:t xml:space="preserve"> </w:t>
            </w:r>
            <w:r w:rsidRPr="006514A9">
              <w:t>30</w:t>
            </w:r>
            <w:r w:rsidR="008F2CE6">
              <w:t> </w:t>
            </w:r>
            <w:r w:rsidRPr="006514A9">
              <w:t>September</w:t>
            </w:r>
            <w:r w:rsidR="006514A9">
              <w:t xml:space="preserve"> </w:t>
            </w:r>
            <w:r w:rsidRPr="006514A9">
              <w:t>2020</w:t>
            </w:r>
          </w:p>
        </w:tc>
        <w:tc>
          <w:tcPr>
            <w:tcW w:w="511" w:type="pct"/>
            <w:hideMark/>
          </w:tcPr>
          <w:p w14:paraId="664D7014" w14:textId="2CB4F827" w:rsidR="0015132C" w:rsidRDefault="0015132C" w:rsidP="00E3121D">
            <w:pPr>
              <w:pStyle w:val="ARtabletextright"/>
              <w:rPr>
                <w:rFonts w:ascii="Segoe UI" w:hAnsi="Segoe UI" w:cs="Segoe UI"/>
              </w:rPr>
            </w:pPr>
            <w:r>
              <w:t>$508,724</w:t>
            </w:r>
          </w:p>
        </w:tc>
        <w:tc>
          <w:tcPr>
            <w:tcW w:w="529" w:type="pct"/>
            <w:hideMark/>
          </w:tcPr>
          <w:p w14:paraId="43D19D09" w14:textId="35A0ABF6" w:rsidR="0015132C" w:rsidRDefault="0015132C" w:rsidP="00E3121D">
            <w:pPr>
              <w:pStyle w:val="ARtabletextright"/>
              <w:rPr>
                <w:rFonts w:ascii="Segoe UI" w:hAnsi="Segoe UI" w:cs="Segoe UI"/>
              </w:rPr>
            </w:pPr>
            <w:r>
              <w:t>$</w:t>
            </w:r>
            <w:r>
              <w:rPr>
                <w:color w:val="000000"/>
              </w:rPr>
              <w:t>27,617</w:t>
            </w:r>
          </w:p>
        </w:tc>
        <w:tc>
          <w:tcPr>
            <w:tcW w:w="487" w:type="pct"/>
            <w:hideMark/>
          </w:tcPr>
          <w:p w14:paraId="5B824014" w14:textId="6FF1DFC2" w:rsidR="0015132C" w:rsidRDefault="0015132C" w:rsidP="00E3121D">
            <w:pPr>
              <w:pStyle w:val="ARtabletextright"/>
              <w:rPr>
                <w:rFonts w:ascii="Segoe UI" w:hAnsi="Segoe UI" w:cs="Segoe UI"/>
              </w:rPr>
            </w:pPr>
            <w:r>
              <w:t>NA</w:t>
            </w:r>
          </w:p>
        </w:tc>
        <w:tc>
          <w:tcPr>
            <w:tcW w:w="487" w:type="pct"/>
            <w:hideMark/>
          </w:tcPr>
          <w:p w14:paraId="2EE128FE" w14:textId="2D22007A" w:rsidR="0015132C" w:rsidRDefault="0015132C" w:rsidP="00E3121D">
            <w:pPr>
              <w:pStyle w:val="ARtabletextright"/>
              <w:rPr>
                <w:rFonts w:ascii="Segoe UI" w:hAnsi="Segoe UI" w:cs="Segoe UI"/>
              </w:rPr>
            </w:pPr>
            <w:r>
              <w:t>NA</w:t>
            </w:r>
          </w:p>
        </w:tc>
        <w:tc>
          <w:tcPr>
            <w:tcW w:w="487" w:type="pct"/>
            <w:hideMark/>
          </w:tcPr>
          <w:p w14:paraId="0EEE5711" w14:textId="0C790A7C" w:rsidR="0015132C" w:rsidRDefault="0015132C" w:rsidP="00E3121D">
            <w:pPr>
              <w:pStyle w:val="ARtabletextright"/>
              <w:rPr>
                <w:rFonts w:ascii="Segoe UI" w:hAnsi="Segoe UI" w:cs="Segoe UI"/>
              </w:rPr>
            </w:pPr>
            <w:r>
              <w:t>NA</w:t>
            </w:r>
          </w:p>
        </w:tc>
        <w:tc>
          <w:tcPr>
            <w:tcW w:w="501" w:type="pct"/>
            <w:hideMark/>
          </w:tcPr>
          <w:p w14:paraId="688EE2E4" w14:textId="1A93F970" w:rsidR="0015132C" w:rsidRDefault="0015132C" w:rsidP="00E3121D">
            <w:pPr>
              <w:pStyle w:val="ARtabletextright"/>
              <w:rPr>
                <w:rFonts w:ascii="Segoe UI" w:hAnsi="Segoe UI" w:cs="Segoe UI"/>
              </w:rPr>
            </w:pPr>
            <w:r>
              <w:t>$536,341</w:t>
            </w:r>
          </w:p>
        </w:tc>
      </w:tr>
      <w:tr w:rsidR="0015132C" w14:paraId="7B888FF9" w14:textId="77777777" w:rsidTr="006514A9">
        <w:tc>
          <w:tcPr>
            <w:tcW w:w="817" w:type="pct"/>
            <w:hideMark/>
          </w:tcPr>
          <w:p w14:paraId="2D4604F8" w14:textId="22D5B9C6" w:rsidR="0015132C" w:rsidRPr="006514A9" w:rsidRDefault="0015132C" w:rsidP="006514A9">
            <w:pPr>
              <w:pStyle w:val="ARtabletext"/>
            </w:pPr>
            <w:r w:rsidRPr="006514A9">
              <w:t>COVID-19</w:t>
            </w:r>
            <w:r w:rsidR="006514A9">
              <w:t xml:space="preserve"> </w:t>
            </w:r>
            <w:r w:rsidRPr="006514A9">
              <w:t>Worker</w:t>
            </w:r>
            <w:r w:rsidR="006514A9">
              <w:t xml:space="preserve"> </w:t>
            </w:r>
            <w:r w:rsidRPr="006514A9">
              <w:t>Support</w:t>
            </w:r>
            <w:r w:rsidR="006514A9">
              <w:t xml:space="preserve"> </w:t>
            </w:r>
            <w:r w:rsidRPr="006514A9">
              <w:t>Payment</w:t>
            </w:r>
            <w:r w:rsidR="006514A9">
              <w:t xml:space="preserve"> </w:t>
            </w:r>
            <w:r w:rsidRPr="006514A9">
              <w:t>campaign</w:t>
            </w:r>
          </w:p>
        </w:tc>
        <w:tc>
          <w:tcPr>
            <w:tcW w:w="755" w:type="pct"/>
            <w:hideMark/>
          </w:tcPr>
          <w:p w14:paraId="72396F2A" w14:textId="0078658F" w:rsidR="0015132C" w:rsidRPr="006514A9" w:rsidRDefault="0015132C" w:rsidP="006514A9">
            <w:pPr>
              <w:pStyle w:val="ARtabletext"/>
            </w:pPr>
            <w:r w:rsidRPr="006514A9">
              <w:t>Raise</w:t>
            </w:r>
            <w:r w:rsidR="006514A9">
              <w:t xml:space="preserve"> </w:t>
            </w:r>
            <w:r w:rsidRPr="006514A9">
              <w:t>awareness</w:t>
            </w:r>
            <w:r w:rsidR="006514A9">
              <w:t xml:space="preserve"> </w:t>
            </w:r>
            <w:r w:rsidRPr="006514A9">
              <w:t>of</w:t>
            </w:r>
            <w:r w:rsidR="006514A9">
              <w:t xml:space="preserve"> </w:t>
            </w:r>
            <w:r w:rsidRPr="006514A9">
              <w:t>support</w:t>
            </w:r>
            <w:r w:rsidR="006514A9">
              <w:t xml:space="preserve"> </w:t>
            </w:r>
            <w:r w:rsidRPr="006514A9">
              <w:t>payments</w:t>
            </w:r>
            <w:r w:rsidR="006514A9">
              <w:t xml:space="preserve"> </w:t>
            </w:r>
            <w:r w:rsidRPr="006514A9">
              <w:t>available</w:t>
            </w:r>
            <w:r w:rsidR="006514A9">
              <w:t xml:space="preserve"> </w:t>
            </w:r>
            <w:r w:rsidRPr="006514A9">
              <w:t>for</w:t>
            </w:r>
            <w:r w:rsidR="006514A9">
              <w:t xml:space="preserve"> </w:t>
            </w:r>
            <w:r w:rsidRPr="006514A9">
              <w:t>those</w:t>
            </w:r>
            <w:r w:rsidR="006514A9">
              <w:t xml:space="preserve"> </w:t>
            </w:r>
            <w:r w:rsidRPr="006514A9">
              <w:t>being</w:t>
            </w:r>
            <w:r w:rsidR="006514A9">
              <w:t xml:space="preserve"> </w:t>
            </w:r>
            <w:r w:rsidRPr="006514A9">
              <w:t>tested</w:t>
            </w:r>
            <w:r w:rsidR="006514A9">
              <w:t xml:space="preserve"> </w:t>
            </w:r>
            <w:r w:rsidRPr="006514A9">
              <w:t>for</w:t>
            </w:r>
            <w:r w:rsidR="006514A9">
              <w:t xml:space="preserve"> </w:t>
            </w:r>
            <w:r w:rsidRPr="006514A9">
              <w:t>COVID-19.</w:t>
            </w:r>
          </w:p>
        </w:tc>
        <w:tc>
          <w:tcPr>
            <w:tcW w:w="426" w:type="pct"/>
            <w:hideMark/>
          </w:tcPr>
          <w:p w14:paraId="206A8CA1" w14:textId="7699B81A" w:rsidR="0015132C" w:rsidRPr="006514A9" w:rsidRDefault="0015132C" w:rsidP="006514A9">
            <w:pPr>
              <w:pStyle w:val="ARtabletext"/>
            </w:pPr>
            <w:r w:rsidRPr="006514A9">
              <w:t>1</w:t>
            </w:r>
            <w:r w:rsidR="006514A9">
              <w:t xml:space="preserve"> </w:t>
            </w:r>
            <w:r w:rsidRPr="006514A9">
              <w:t>July</w:t>
            </w:r>
            <w:r w:rsidR="006514A9">
              <w:t xml:space="preserve"> </w:t>
            </w:r>
            <w:r w:rsidRPr="006514A9">
              <w:t>2020</w:t>
            </w:r>
            <w:r w:rsidR="006514A9">
              <w:t xml:space="preserve"> </w:t>
            </w:r>
            <w:r w:rsidRPr="006514A9">
              <w:t>to</w:t>
            </w:r>
            <w:r w:rsidR="006514A9">
              <w:t xml:space="preserve"> </w:t>
            </w:r>
            <w:r w:rsidRPr="006514A9">
              <w:t>30</w:t>
            </w:r>
            <w:r w:rsidR="006514A9">
              <w:t xml:space="preserve"> </w:t>
            </w:r>
            <w:r w:rsidRPr="006514A9">
              <w:t>June</w:t>
            </w:r>
            <w:r w:rsidR="006514A9">
              <w:t xml:space="preserve"> </w:t>
            </w:r>
            <w:r w:rsidRPr="006514A9">
              <w:t>2021</w:t>
            </w:r>
          </w:p>
        </w:tc>
        <w:tc>
          <w:tcPr>
            <w:tcW w:w="511" w:type="pct"/>
            <w:hideMark/>
          </w:tcPr>
          <w:p w14:paraId="32A1C565" w14:textId="39D4EE9E" w:rsidR="0015132C" w:rsidRDefault="0015132C" w:rsidP="00E3121D">
            <w:pPr>
              <w:pStyle w:val="ARtabletextright"/>
              <w:rPr>
                <w:rFonts w:ascii="Segoe UI" w:hAnsi="Segoe UI" w:cs="Segoe UI"/>
              </w:rPr>
            </w:pPr>
            <w:r>
              <w:t>$4,751,829</w:t>
            </w:r>
          </w:p>
        </w:tc>
        <w:tc>
          <w:tcPr>
            <w:tcW w:w="529" w:type="pct"/>
            <w:hideMark/>
          </w:tcPr>
          <w:p w14:paraId="031E836B" w14:textId="38D2EE54" w:rsidR="0015132C" w:rsidRDefault="0015132C" w:rsidP="00E3121D">
            <w:pPr>
              <w:pStyle w:val="ARtabletextright"/>
              <w:rPr>
                <w:rFonts w:ascii="Segoe UI" w:hAnsi="Segoe UI" w:cs="Segoe UI"/>
              </w:rPr>
            </w:pPr>
            <w:r>
              <w:t>$153,728</w:t>
            </w:r>
          </w:p>
        </w:tc>
        <w:tc>
          <w:tcPr>
            <w:tcW w:w="487" w:type="pct"/>
            <w:hideMark/>
          </w:tcPr>
          <w:p w14:paraId="44A45D8A" w14:textId="0F0DD892" w:rsidR="0015132C" w:rsidRDefault="0015132C" w:rsidP="00E3121D">
            <w:pPr>
              <w:pStyle w:val="ARtabletextright"/>
              <w:rPr>
                <w:rFonts w:ascii="Segoe UI" w:hAnsi="Segoe UI" w:cs="Segoe UI"/>
              </w:rPr>
            </w:pPr>
            <w:r>
              <w:t>NA</w:t>
            </w:r>
          </w:p>
        </w:tc>
        <w:tc>
          <w:tcPr>
            <w:tcW w:w="487" w:type="pct"/>
            <w:hideMark/>
          </w:tcPr>
          <w:p w14:paraId="70A53D6A" w14:textId="213A1A87" w:rsidR="0015132C" w:rsidRDefault="0015132C" w:rsidP="00E3121D">
            <w:pPr>
              <w:pStyle w:val="ARtabletextright"/>
              <w:rPr>
                <w:rFonts w:ascii="Segoe UI" w:hAnsi="Segoe UI" w:cs="Segoe UI"/>
              </w:rPr>
            </w:pPr>
            <w:r>
              <w:t>NA</w:t>
            </w:r>
          </w:p>
        </w:tc>
        <w:tc>
          <w:tcPr>
            <w:tcW w:w="487" w:type="pct"/>
            <w:hideMark/>
          </w:tcPr>
          <w:p w14:paraId="0E320AE4" w14:textId="4D187D71" w:rsidR="0015132C" w:rsidRDefault="0015132C" w:rsidP="00E3121D">
            <w:pPr>
              <w:pStyle w:val="ARtabletextright"/>
              <w:rPr>
                <w:rFonts w:ascii="Segoe UI" w:hAnsi="Segoe UI" w:cs="Segoe UI"/>
              </w:rPr>
            </w:pPr>
            <w:r>
              <w:t>NA</w:t>
            </w:r>
          </w:p>
        </w:tc>
        <w:tc>
          <w:tcPr>
            <w:tcW w:w="501" w:type="pct"/>
            <w:hideMark/>
          </w:tcPr>
          <w:p w14:paraId="30D87836" w14:textId="3F912E12" w:rsidR="0015132C" w:rsidRDefault="0015132C" w:rsidP="00E3121D">
            <w:pPr>
              <w:pStyle w:val="ARtabletextright"/>
              <w:rPr>
                <w:rFonts w:ascii="Segoe UI" w:hAnsi="Segoe UI" w:cs="Segoe UI"/>
              </w:rPr>
            </w:pPr>
            <w:r>
              <w:t>$4,905,557</w:t>
            </w:r>
          </w:p>
        </w:tc>
      </w:tr>
      <w:tr w:rsidR="0015132C" w14:paraId="5AA78EE5" w14:textId="77777777" w:rsidTr="006514A9">
        <w:tc>
          <w:tcPr>
            <w:tcW w:w="817" w:type="pct"/>
            <w:hideMark/>
          </w:tcPr>
          <w:p w14:paraId="410833ED" w14:textId="21E3ECF9" w:rsidR="0015132C" w:rsidRPr="006514A9" w:rsidRDefault="0015132C" w:rsidP="006514A9">
            <w:pPr>
              <w:pStyle w:val="ARtabletext"/>
            </w:pPr>
            <w:r w:rsidRPr="006514A9">
              <w:t>Save</w:t>
            </w:r>
            <w:r w:rsidR="006514A9">
              <w:t xml:space="preserve"> </w:t>
            </w:r>
            <w:r w:rsidRPr="006514A9">
              <w:t>000</w:t>
            </w:r>
            <w:r w:rsidR="006514A9">
              <w:t xml:space="preserve"> </w:t>
            </w:r>
            <w:r w:rsidRPr="006514A9">
              <w:t>for</w:t>
            </w:r>
            <w:r w:rsidR="006514A9">
              <w:t xml:space="preserve"> </w:t>
            </w:r>
            <w:r w:rsidRPr="006514A9">
              <w:t>Emergencies</w:t>
            </w:r>
          </w:p>
        </w:tc>
        <w:tc>
          <w:tcPr>
            <w:tcW w:w="755" w:type="pct"/>
            <w:hideMark/>
          </w:tcPr>
          <w:p w14:paraId="72BCD74C" w14:textId="32BD633D" w:rsidR="0015132C" w:rsidRPr="006514A9" w:rsidRDefault="0015132C" w:rsidP="006514A9">
            <w:pPr>
              <w:pStyle w:val="ARtabletext"/>
            </w:pPr>
            <w:r w:rsidRPr="006514A9">
              <w:t>Raise</w:t>
            </w:r>
            <w:r w:rsidR="006514A9">
              <w:t xml:space="preserve"> </w:t>
            </w:r>
            <w:r w:rsidRPr="006514A9">
              <w:t>awareness</w:t>
            </w:r>
            <w:r w:rsidR="006514A9">
              <w:t xml:space="preserve"> </w:t>
            </w:r>
            <w:r w:rsidRPr="006514A9">
              <w:t>of</w:t>
            </w:r>
            <w:r w:rsidR="006514A9">
              <w:t xml:space="preserve"> </w:t>
            </w:r>
            <w:r w:rsidRPr="006514A9">
              <w:t>the</w:t>
            </w:r>
            <w:r w:rsidR="006514A9">
              <w:t xml:space="preserve"> </w:t>
            </w:r>
            <w:r w:rsidRPr="006514A9">
              <w:t>other</w:t>
            </w:r>
            <w:r w:rsidR="006514A9">
              <w:t xml:space="preserve"> </w:t>
            </w:r>
            <w:r w:rsidRPr="006514A9">
              <w:t>primary</w:t>
            </w:r>
            <w:r w:rsidR="006514A9">
              <w:t xml:space="preserve"> </w:t>
            </w:r>
            <w:r w:rsidRPr="006514A9">
              <w:t>healthcare</w:t>
            </w:r>
            <w:r w:rsidR="006514A9">
              <w:t xml:space="preserve"> </w:t>
            </w:r>
            <w:r w:rsidRPr="006514A9">
              <w:t>options</w:t>
            </w:r>
            <w:r w:rsidR="006514A9">
              <w:t xml:space="preserve"> </w:t>
            </w:r>
            <w:r w:rsidRPr="006514A9">
              <w:t>for</w:t>
            </w:r>
            <w:r w:rsidR="006514A9">
              <w:t xml:space="preserve"> </w:t>
            </w:r>
            <w:r w:rsidRPr="006514A9">
              <w:t>non-emergency</w:t>
            </w:r>
            <w:r w:rsidR="006514A9">
              <w:t xml:space="preserve"> </w:t>
            </w:r>
            <w:r w:rsidRPr="006514A9">
              <w:t>cases</w:t>
            </w:r>
            <w:r w:rsidR="006514A9">
              <w:t xml:space="preserve"> </w:t>
            </w:r>
            <w:r w:rsidRPr="006514A9">
              <w:t>as</w:t>
            </w:r>
            <w:r w:rsidR="006514A9">
              <w:t xml:space="preserve"> </w:t>
            </w:r>
            <w:r w:rsidRPr="006514A9">
              <w:t>an</w:t>
            </w:r>
            <w:r w:rsidR="006514A9">
              <w:t xml:space="preserve"> </w:t>
            </w:r>
            <w:r w:rsidRPr="006514A9">
              <w:t>alternative</w:t>
            </w:r>
            <w:r w:rsidR="006514A9">
              <w:t xml:space="preserve"> </w:t>
            </w:r>
            <w:r w:rsidRPr="006514A9">
              <w:t>to</w:t>
            </w:r>
            <w:r w:rsidR="006514A9">
              <w:t xml:space="preserve"> </w:t>
            </w:r>
            <w:r w:rsidRPr="006514A9">
              <w:t>triple</w:t>
            </w:r>
            <w:r w:rsidR="006514A9">
              <w:t xml:space="preserve"> </w:t>
            </w:r>
            <w:r w:rsidRPr="006514A9">
              <w:t>zero</w:t>
            </w:r>
            <w:r w:rsidR="006514A9">
              <w:t xml:space="preserve"> </w:t>
            </w:r>
            <w:r w:rsidRPr="006514A9">
              <w:t>ambulance</w:t>
            </w:r>
            <w:r w:rsidR="008F2CE6">
              <w:t xml:space="preserve"> calls</w:t>
            </w:r>
            <w:r w:rsidRPr="006514A9">
              <w:t>.</w:t>
            </w:r>
          </w:p>
        </w:tc>
        <w:tc>
          <w:tcPr>
            <w:tcW w:w="426" w:type="pct"/>
            <w:hideMark/>
          </w:tcPr>
          <w:p w14:paraId="519C7465" w14:textId="5F2AEB1D" w:rsidR="0015132C" w:rsidRPr="006514A9" w:rsidRDefault="0015132C" w:rsidP="008F2CE6">
            <w:pPr>
              <w:pStyle w:val="ARtabletext"/>
            </w:pPr>
            <w:r w:rsidRPr="006514A9">
              <w:t>18</w:t>
            </w:r>
            <w:r w:rsidR="006514A9">
              <w:t xml:space="preserve"> </w:t>
            </w:r>
            <w:r w:rsidRPr="006514A9">
              <w:t>May</w:t>
            </w:r>
            <w:r w:rsidR="006514A9">
              <w:t xml:space="preserve"> </w:t>
            </w:r>
            <w:r w:rsidRPr="006514A9">
              <w:t>to</w:t>
            </w:r>
            <w:r w:rsidR="006514A9">
              <w:t xml:space="preserve"> </w:t>
            </w:r>
            <w:r w:rsidRPr="006514A9">
              <w:t>30</w:t>
            </w:r>
            <w:r w:rsidR="008F2CE6">
              <w:t> </w:t>
            </w:r>
            <w:r w:rsidRPr="006514A9">
              <w:t>July</w:t>
            </w:r>
            <w:r w:rsidR="006514A9">
              <w:t xml:space="preserve"> </w:t>
            </w:r>
            <w:r w:rsidRPr="006514A9">
              <w:t>2021</w:t>
            </w:r>
          </w:p>
        </w:tc>
        <w:tc>
          <w:tcPr>
            <w:tcW w:w="511" w:type="pct"/>
            <w:hideMark/>
          </w:tcPr>
          <w:p w14:paraId="7A2A3535" w14:textId="3FA13019" w:rsidR="0015132C" w:rsidRDefault="0015132C" w:rsidP="00E3121D">
            <w:pPr>
              <w:pStyle w:val="ARtabletextright"/>
              <w:rPr>
                <w:rFonts w:ascii="Segoe UI" w:hAnsi="Segoe UI" w:cs="Segoe UI"/>
              </w:rPr>
            </w:pPr>
            <w:r>
              <w:rPr>
                <w:color w:val="000000"/>
              </w:rPr>
              <w:t>$1,000,000</w:t>
            </w:r>
          </w:p>
        </w:tc>
        <w:tc>
          <w:tcPr>
            <w:tcW w:w="529" w:type="pct"/>
            <w:hideMark/>
          </w:tcPr>
          <w:p w14:paraId="40482F62" w14:textId="25BEF478" w:rsidR="0015132C" w:rsidRDefault="0015132C" w:rsidP="00E3121D">
            <w:pPr>
              <w:pStyle w:val="ARtabletextright"/>
              <w:rPr>
                <w:rFonts w:ascii="Segoe UI" w:hAnsi="Segoe UI" w:cs="Segoe UI"/>
              </w:rPr>
            </w:pPr>
            <w:r>
              <w:rPr>
                <w:color w:val="000000"/>
              </w:rPr>
              <w:t>$23,467</w:t>
            </w:r>
          </w:p>
        </w:tc>
        <w:tc>
          <w:tcPr>
            <w:tcW w:w="487" w:type="pct"/>
            <w:hideMark/>
          </w:tcPr>
          <w:p w14:paraId="2C4EA9A1" w14:textId="29B55AB7" w:rsidR="0015132C" w:rsidRDefault="0015132C" w:rsidP="00E3121D">
            <w:pPr>
              <w:pStyle w:val="ARtabletextright"/>
              <w:rPr>
                <w:rFonts w:ascii="Segoe UI" w:hAnsi="Segoe UI" w:cs="Segoe UI"/>
              </w:rPr>
            </w:pPr>
            <w:r>
              <w:rPr>
                <w:color w:val="000000"/>
              </w:rPr>
              <w:t>NA</w:t>
            </w:r>
          </w:p>
        </w:tc>
        <w:tc>
          <w:tcPr>
            <w:tcW w:w="487" w:type="pct"/>
            <w:hideMark/>
          </w:tcPr>
          <w:p w14:paraId="60CE55F6" w14:textId="2D65DE05" w:rsidR="0015132C" w:rsidRDefault="0015132C" w:rsidP="00E3121D">
            <w:pPr>
              <w:pStyle w:val="ARtabletextright"/>
              <w:rPr>
                <w:rFonts w:ascii="Segoe UI" w:hAnsi="Segoe UI" w:cs="Segoe UI"/>
              </w:rPr>
            </w:pPr>
            <w:r>
              <w:rPr>
                <w:color w:val="000000"/>
              </w:rPr>
              <w:t>NA</w:t>
            </w:r>
          </w:p>
        </w:tc>
        <w:tc>
          <w:tcPr>
            <w:tcW w:w="487" w:type="pct"/>
            <w:hideMark/>
          </w:tcPr>
          <w:p w14:paraId="66C49B5A" w14:textId="380340DB" w:rsidR="0015132C" w:rsidRDefault="0015132C" w:rsidP="00E3121D">
            <w:pPr>
              <w:pStyle w:val="ARtabletextright"/>
              <w:rPr>
                <w:rFonts w:ascii="Segoe UI" w:hAnsi="Segoe UI" w:cs="Segoe UI"/>
              </w:rPr>
            </w:pPr>
            <w:r>
              <w:rPr>
                <w:color w:val="000000"/>
              </w:rPr>
              <w:t>NA</w:t>
            </w:r>
          </w:p>
        </w:tc>
        <w:tc>
          <w:tcPr>
            <w:tcW w:w="501" w:type="pct"/>
            <w:hideMark/>
          </w:tcPr>
          <w:p w14:paraId="1F88B57F" w14:textId="6FDBDFA2" w:rsidR="0015132C" w:rsidRDefault="0015132C" w:rsidP="00E3121D">
            <w:pPr>
              <w:pStyle w:val="ARtabletextright"/>
              <w:rPr>
                <w:rFonts w:ascii="Segoe UI" w:hAnsi="Segoe UI" w:cs="Segoe UI"/>
              </w:rPr>
            </w:pPr>
            <w:r>
              <w:rPr>
                <w:color w:val="000000"/>
              </w:rPr>
              <w:t>$1,023,467</w:t>
            </w:r>
          </w:p>
        </w:tc>
      </w:tr>
    </w:tbl>
    <w:p w14:paraId="6921C526" w14:textId="57940B7F" w:rsidR="0015132C" w:rsidRDefault="0015132C" w:rsidP="0015132C">
      <w:pPr>
        <w:pStyle w:val="ARtabletext"/>
      </w:pPr>
    </w:p>
    <w:p w14:paraId="732CDC9A" w14:textId="0E611B18" w:rsidR="00A25C17" w:rsidRDefault="00A25C17" w:rsidP="00DD479E">
      <w:pPr>
        <w:pStyle w:val="ARbody"/>
        <w:sectPr w:rsidR="00A25C17" w:rsidSect="00A36763">
          <w:headerReference w:type="default" r:id="rId84"/>
          <w:footnotePr>
            <w:numFmt w:val="lowerLetter"/>
            <w:numRestart w:val="eachPage"/>
          </w:footnotePr>
          <w:endnotePr>
            <w:numFmt w:val="decimal"/>
          </w:endnotePr>
          <w:pgSz w:w="16840" w:h="11900" w:orient="landscape" w:code="9"/>
          <w:pgMar w:top="1134" w:right="1985" w:bottom="1134" w:left="851" w:header="510" w:footer="340" w:gutter="0"/>
          <w:cols w:space="454"/>
          <w:docGrid w:linePitch="299"/>
        </w:sectPr>
      </w:pPr>
    </w:p>
    <w:p w14:paraId="1239DBA2" w14:textId="77777777" w:rsidR="00A25C17" w:rsidRPr="003379F7" w:rsidRDefault="00A25C17" w:rsidP="00AD0A93">
      <w:pPr>
        <w:pStyle w:val="Heading2"/>
        <w:spacing w:before="0"/>
        <w:rPr>
          <w:rFonts w:cs="Arial"/>
        </w:rPr>
      </w:pPr>
      <w:bookmarkStart w:id="516" w:name="_Ref52285882"/>
      <w:bookmarkStart w:id="517" w:name="_Toc54690787"/>
      <w:bookmarkStart w:id="518" w:name="_Toc85121269"/>
      <w:bookmarkStart w:id="519" w:name="_Toc85121618"/>
      <w:bookmarkStart w:id="520" w:name="_Toc86075601"/>
      <w:bookmarkStart w:id="521" w:name="_Ref21862226"/>
      <w:r w:rsidRPr="003379F7">
        <w:rPr>
          <w:rFonts w:cs="Arial"/>
        </w:rPr>
        <w:lastRenderedPageBreak/>
        <w:t>Consultanc</w:t>
      </w:r>
      <w:bookmarkEnd w:id="516"/>
      <w:bookmarkEnd w:id="517"/>
      <w:r w:rsidRPr="003379F7">
        <w:rPr>
          <w:rFonts w:cs="Arial"/>
        </w:rPr>
        <w:t>y expenditure</w:t>
      </w:r>
      <w:bookmarkEnd w:id="518"/>
      <w:bookmarkEnd w:id="519"/>
      <w:bookmarkEnd w:id="520"/>
    </w:p>
    <w:p w14:paraId="50AB84E8" w14:textId="77777777" w:rsidR="00A25C17" w:rsidRDefault="00A25C17" w:rsidP="00A25C17">
      <w:pPr>
        <w:pStyle w:val="ARbody"/>
      </w:pPr>
      <w:r>
        <w:t>The following includes information related to the former Department of Health and Human Services, the current Department of Health and the current Department of Families, Fairness and Housing.</w:t>
      </w:r>
    </w:p>
    <w:p w14:paraId="5F1694D1" w14:textId="2897007A" w:rsidR="00A25C17" w:rsidRDefault="00A25C17" w:rsidP="00A25C17">
      <w:pPr>
        <w:pStyle w:val="ARbody"/>
      </w:pPr>
      <w:r>
        <w:t>The departments operated a joint financial system through 202</w:t>
      </w:r>
      <w:r w:rsidR="00A9686F">
        <w:t>0–</w:t>
      </w:r>
      <w:r>
        <w:t xml:space="preserve">21 so this report reflects the total spend for the two departments for the period. Each department </w:t>
      </w:r>
      <w:r w:rsidR="0064455B">
        <w:t xml:space="preserve">has </w:t>
      </w:r>
      <w:r>
        <w:t>operate</w:t>
      </w:r>
      <w:r w:rsidR="0064455B">
        <w:t>d</w:t>
      </w:r>
      <w:r>
        <w:t xml:space="preserve"> separate accounts from 1</w:t>
      </w:r>
      <w:r w:rsidR="004D3B7C">
        <w:t> </w:t>
      </w:r>
      <w:r>
        <w:t xml:space="preserve">July 2021 and </w:t>
      </w:r>
      <w:r w:rsidR="0064455B">
        <w:t xml:space="preserve">will </w:t>
      </w:r>
      <w:r>
        <w:t>report separately in 202</w:t>
      </w:r>
      <w:r w:rsidR="00177286">
        <w:t>1–</w:t>
      </w:r>
      <w:r>
        <w:t>22.</w:t>
      </w:r>
    </w:p>
    <w:p w14:paraId="0057FC48" w14:textId="68DE8B89" w:rsidR="00A25C17" w:rsidRDefault="00A25C17" w:rsidP="00A25C17">
      <w:pPr>
        <w:pStyle w:val="ARbody"/>
      </w:pPr>
      <w:r w:rsidRPr="008A74A0">
        <w:t xml:space="preserve">The </w:t>
      </w:r>
      <w:r>
        <w:t>d</w:t>
      </w:r>
      <w:r w:rsidRPr="008A74A0">
        <w:t>epartments experienced significant demand for high</w:t>
      </w:r>
      <w:r w:rsidR="00A90EB8">
        <w:t>-</w:t>
      </w:r>
      <w:r w:rsidRPr="008A74A0">
        <w:t>level, independent advice and support during 202</w:t>
      </w:r>
      <w:r w:rsidR="00A9686F">
        <w:t>0–</w:t>
      </w:r>
      <w:r w:rsidRPr="008A74A0">
        <w:t>21</w:t>
      </w:r>
      <w:r w:rsidR="004D3B7C">
        <w:t>,</w:t>
      </w:r>
      <w:r w:rsidRPr="008A74A0">
        <w:t xml:space="preserve"> which resulted in increased use of consultants. This ensured that the two departments were well positioned to respond to the numerous and unique challenges which arose due to the COVID-19 emergency.</w:t>
      </w:r>
    </w:p>
    <w:p w14:paraId="4A760E47" w14:textId="77777777" w:rsidR="00A25C17" w:rsidRDefault="00A25C17" w:rsidP="00A25C17">
      <w:pPr>
        <w:pStyle w:val="Heading3"/>
      </w:pPr>
      <w:bookmarkStart w:id="522" w:name="_Ref84252249"/>
      <w:bookmarkStart w:id="523" w:name="_Toc85121270"/>
      <w:r>
        <w:t>C</w:t>
      </w:r>
      <w:r w:rsidRPr="0007550D">
        <w:t xml:space="preserve">onsultancies </w:t>
      </w:r>
      <w:r>
        <w:t>(</w:t>
      </w:r>
      <w:r w:rsidRPr="0007550D">
        <w:t>under $10,000</w:t>
      </w:r>
      <w:r>
        <w:t>)</w:t>
      </w:r>
      <w:bookmarkEnd w:id="522"/>
      <w:bookmarkEnd w:id="523"/>
    </w:p>
    <w:p w14:paraId="2E0E9582" w14:textId="489C11F0" w:rsidR="00A25C17" w:rsidRDefault="00A25C17" w:rsidP="00A25C17">
      <w:pPr>
        <w:pStyle w:val="ARbody"/>
      </w:pPr>
      <w:r w:rsidRPr="00243A6D">
        <w:t>In 202</w:t>
      </w:r>
      <w:r w:rsidR="00A9686F">
        <w:t>0–</w:t>
      </w:r>
      <w:r w:rsidRPr="00243A6D">
        <w:t xml:space="preserve">21, there were </w:t>
      </w:r>
      <w:r>
        <w:t>five</w:t>
      </w:r>
      <w:r w:rsidRPr="00243A6D">
        <w:t xml:space="preserve"> consultancies engaged during the year where the total fees payable to the individual consultancies were less than $10,000. The total expenditure incurred during 2020–21 in relation to these consultancies was $28,303 (excluding GST).</w:t>
      </w:r>
    </w:p>
    <w:p w14:paraId="008A6AAE" w14:textId="6448FC03" w:rsidR="00A25C17" w:rsidRDefault="00A25C17" w:rsidP="00A25C17">
      <w:pPr>
        <w:pStyle w:val="Heading3"/>
      </w:pPr>
      <w:bookmarkStart w:id="524" w:name="_Ref84252255"/>
      <w:bookmarkStart w:id="525" w:name="_Toc85121271"/>
      <w:r>
        <w:t>C</w:t>
      </w:r>
      <w:r w:rsidRPr="00F4506C">
        <w:t>onsultancies ($10</w:t>
      </w:r>
      <w:r w:rsidR="00016BA5">
        <w:t>,</w:t>
      </w:r>
      <w:r w:rsidRPr="00F4506C">
        <w:t>000 or greater)</w:t>
      </w:r>
      <w:bookmarkEnd w:id="524"/>
      <w:bookmarkEnd w:id="525"/>
    </w:p>
    <w:p w14:paraId="592B4F81" w14:textId="27BA83A0" w:rsidR="00A25C17" w:rsidRDefault="00A25C17" w:rsidP="00A25C17">
      <w:pPr>
        <w:pStyle w:val="ARbody"/>
      </w:pPr>
      <w:r>
        <w:t>In 202</w:t>
      </w:r>
      <w:r w:rsidR="00A9686F">
        <w:t>0–</w:t>
      </w:r>
      <w:r>
        <w:t xml:space="preserve">21, there were 91 consultancies where the total fees payable to the consultants were $10,000 or greater. The total expenditure incurred during 2020–21 in relation to these consultancies </w:t>
      </w:r>
      <w:r w:rsidR="004D3B7C">
        <w:t xml:space="preserve">was </w:t>
      </w:r>
      <w:r>
        <w:t>$47,750,078 (excluding GST).</w:t>
      </w:r>
    </w:p>
    <w:p w14:paraId="6D95EDD7" w14:textId="4665095C" w:rsidR="00A25C17" w:rsidRDefault="00A25C17" w:rsidP="00A25C17">
      <w:pPr>
        <w:pStyle w:val="ARbody"/>
      </w:pPr>
      <w:r>
        <w:t>Tables on the following pages provide details on</w:t>
      </w:r>
      <w:r w:rsidR="00553B72">
        <w:t> </w:t>
      </w:r>
      <w:r>
        <w:t>this consultancy expenditure, categorised as</w:t>
      </w:r>
      <w:r w:rsidR="00553B72">
        <w:t> </w:t>
      </w:r>
      <w:r>
        <w:t>follows:</w:t>
      </w:r>
    </w:p>
    <w:p w14:paraId="2BD23E94" w14:textId="77777777" w:rsidR="00A25C17" w:rsidRDefault="00A25C17" w:rsidP="00A25C17">
      <w:pPr>
        <w:pStyle w:val="ARbullet1"/>
      </w:pPr>
      <w:r>
        <w:t>capital, business and planning</w:t>
      </w:r>
    </w:p>
    <w:p w14:paraId="3BB775C7" w14:textId="77777777" w:rsidR="00A25C17" w:rsidRDefault="00A25C17" w:rsidP="00A25C17">
      <w:pPr>
        <w:pStyle w:val="ARbullet1"/>
      </w:pPr>
      <w:r>
        <w:t>information, data and technology</w:t>
      </w:r>
    </w:p>
    <w:p w14:paraId="082E2E1C" w14:textId="77777777" w:rsidR="00A25C17" w:rsidRDefault="00A25C17" w:rsidP="00A25C17">
      <w:pPr>
        <w:pStyle w:val="ARbullet1"/>
      </w:pPr>
      <w:r>
        <w:t>policy/program advice and delivery</w:t>
      </w:r>
    </w:p>
    <w:p w14:paraId="6EABA157" w14:textId="77777777" w:rsidR="00A25C17" w:rsidRDefault="00A25C17" w:rsidP="00A25C17">
      <w:pPr>
        <w:pStyle w:val="ARbullet1"/>
      </w:pPr>
      <w:r>
        <w:t>probity, data integrity and audit</w:t>
      </w:r>
    </w:p>
    <w:p w14:paraId="49597726" w14:textId="77777777" w:rsidR="00A25C17" w:rsidRDefault="00A25C17" w:rsidP="00A25C17">
      <w:pPr>
        <w:pStyle w:val="ARbullet1"/>
      </w:pPr>
      <w:r>
        <w:t>program assessment and evaluation</w:t>
      </w:r>
    </w:p>
    <w:p w14:paraId="083CC00E" w14:textId="77777777" w:rsidR="00A25C17" w:rsidRDefault="00A25C17" w:rsidP="00A25C17">
      <w:pPr>
        <w:pStyle w:val="ARbullet1"/>
      </w:pPr>
      <w:r>
        <w:t>workforce support.</w:t>
      </w:r>
    </w:p>
    <w:p w14:paraId="321AEF0C" w14:textId="6B749F05" w:rsidR="00A25C17" w:rsidRDefault="00A25C17" w:rsidP="006514A9">
      <w:pPr>
        <w:pStyle w:val="Heading3"/>
      </w:pPr>
      <w:r>
        <w:br w:type="column"/>
      </w:r>
      <w:bookmarkStart w:id="526" w:name="_Toc85121272"/>
      <w:r>
        <w:t>Improving procurement practice</w:t>
      </w:r>
      <w:bookmarkEnd w:id="526"/>
    </w:p>
    <w:p w14:paraId="4E5172FB" w14:textId="31FF4DB0" w:rsidR="00A25C17" w:rsidRDefault="00A25C17" w:rsidP="00A25C17">
      <w:pPr>
        <w:pStyle w:val="ARbody"/>
      </w:pPr>
      <w:r>
        <w:t>The departments undertook a number of activities to reduce reliance on consultants, including building internal capabilities and improvements to procurement processes</w:t>
      </w:r>
      <w:r w:rsidR="004D3B7C">
        <w:t>.</w:t>
      </w:r>
    </w:p>
    <w:p w14:paraId="25B4D5EF" w14:textId="77777777" w:rsidR="00A25C17" w:rsidRDefault="00A25C17" w:rsidP="00A25C17">
      <w:pPr>
        <w:pStyle w:val="ARbody"/>
      </w:pPr>
      <w:r>
        <w:t>During 2020–21, the departments:</w:t>
      </w:r>
    </w:p>
    <w:p w14:paraId="258007FE" w14:textId="7A4E56C3" w:rsidR="00A25C17" w:rsidRDefault="00A25C17" w:rsidP="00A25C17">
      <w:pPr>
        <w:pStyle w:val="ARbullet1"/>
      </w:pPr>
      <w:r>
        <w:t>continued strong management of consultant engagements through the Strategic Alliance framework established in 201</w:t>
      </w:r>
      <w:r w:rsidR="00177286">
        <w:t>8–</w:t>
      </w:r>
      <w:r>
        <w:t>19 with five third-party providers across the health, community services and organisational improvement domains. The details of work undertaken through the framework and payments made in 202</w:t>
      </w:r>
      <w:r w:rsidR="00A9686F">
        <w:t>0–</w:t>
      </w:r>
      <w:r>
        <w:t>21 are included in the</w:t>
      </w:r>
      <w:r w:rsidR="00553B72">
        <w:t> </w:t>
      </w:r>
      <w:r>
        <w:t>first part of the tables</w:t>
      </w:r>
    </w:p>
    <w:p w14:paraId="3BBF70C4" w14:textId="0229F541" w:rsidR="00A25C17" w:rsidRDefault="00A25C17" w:rsidP="00A25C17">
      <w:pPr>
        <w:pStyle w:val="ARbullet1"/>
      </w:pPr>
      <w:r>
        <w:t>leveraged strategic consultancy relationships under the alliance model to maintain procurement rigour during the departments</w:t>
      </w:r>
      <w:r w:rsidR="007D145B">
        <w:t>’</w:t>
      </w:r>
      <w:r>
        <w:t xml:space="preserve"> emergency response to COVID-19. These benefits and discounted rates have also been leveraged to support the establishment of Homes Victoria</w:t>
      </w:r>
    </w:p>
    <w:p w14:paraId="3A55F2B5" w14:textId="6A3A4D69" w:rsidR="00A25C17" w:rsidRDefault="00A25C17" w:rsidP="00A25C17">
      <w:pPr>
        <w:pStyle w:val="ARbullet1"/>
      </w:pPr>
      <w:r>
        <w:t>support</w:t>
      </w:r>
      <w:r w:rsidR="004D3B7C">
        <w:t>ed</w:t>
      </w:r>
      <w:r>
        <w:t xml:space="preserve"> capability uplift of our people and the transformational change of the department</w:t>
      </w:r>
      <w:r w:rsidR="004D3B7C">
        <w:t>s</w:t>
      </w:r>
      <w:r>
        <w:t xml:space="preserve"> and our services, as well as improve</w:t>
      </w:r>
      <w:r w:rsidR="004D3B7C">
        <w:t>d</w:t>
      </w:r>
      <w:r>
        <w:t xml:space="preserve"> the quality of the strategic advice we received</w:t>
      </w:r>
    </w:p>
    <w:p w14:paraId="0E4CEBFD" w14:textId="21B6499A" w:rsidR="00A25C17" w:rsidRDefault="00A25C17" w:rsidP="00A25C17">
      <w:pPr>
        <w:pStyle w:val="ARbullet1"/>
      </w:pPr>
      <w:r>
        <w:t>continued to develop internal capability through</w:t>
      </w:r>
      <w:r w:rsidR="00553B72">
        <w:t> </w:t>
      </w:r>
      <w:r>
        <w:t>knowledge sharing with department staff involved in Strategic Alliance projects</w:t>
      </w:r>
      <w:r w:rsidR="004D3B7C">
        <w:t>,</w:t>
      </w:r>
      <w:r>
        <w:t xml:space="preserve"> as well as</w:t>
      </w:r>
      <w:r w:rsidR="00553B72">
        <w:t> </w:t>
      </w:r>
      <w:r>
        <w:t>dedicated internal consulting, advisory and project-based programs to improve policy and program delivery</w:t>
      </w:r>
    </w:p>
    <w:p w14:paraId="38060168" w14:textId="1CCD179F" w:rsidR="00A25C17" w:rsidRDefault="00A25C17" w:rsidP="00A25C17">
      <w:pPr>
        <w:pStyle w:val="ARbullet1"/>
      </w:pPr>
      <w:r>
        <w:t>drove high</w:t>
      </w:r>
      <w:r w:rsidR="004D3B7C">
        <w:t>-</w:t>
      </w:r>
      <w:r>
        <w:t xml:space="preserve">level scrutiny of consultant engagements to ensure, among other things, that all alternative avenues of supply </w:t>
      </w:r>
      <w:r w:rsidR="004D3B7C">
        <w:t xml:space="preserve">were </w:t>
      </w:r>
      <w:r>
        <w:t>considered prior to engaging a consultant.</w:t>
      </w:r>
    </w:p>
    <w:p w14:paraId="5970CAF8" w14:textId="77777777" w:rsidR="00A25C17" w:rsidRDefault="00A25C17" w:rsidP="006514A9">
      <w:pPr>
        <w:pStyle w:val="ARbodyafterbullets"/>
      </w:pPr>
      <w:r>
        <w:t>Improvements to procurement processes ensured that contracted solutions were competitive, used government and department panel contracts where appropriate, and undertook meaningful contract review processes to inform decisions on future engagements.</w:t>
      </w:r>
    </w:p>
    <w:p w14:paraId="57278447" w14:textId="77777777" w:rsidR="00A25C17" w:rsidRDefault="00A25C17" w:rsidP="00897193">
      <w:pPr>
        <w:pStyle w:val="ARbody"/>
      </w:pPr>
      <w:r>
        <w:t>These arrangements continued to drive value for money, with a focus on ensuring the department used consultants and contracts appropriately and effectively.</w:t>
      </w:r>
    </w:p>
    <w:p w14:paraId="220A7F1F" w14:textId="77777777" w:rsidR="00A25C17" w:rsidRDefault="00A25C17">
      <w:pPr>
        <w:rPr>
          <w:rFonts w:ascii="Arial" w:eastAsia="Times" w:hAnsi="Arial" w:cs="Arial"/>
          <w:sz w:val="20"/>
          <w:szCs w:val="24"/>
        </w:rPr>
        <w:sectPr w:rsidR="00A25C17" w:rsidSect="009D1AA8">
          <w:footnotePr>
            <w:numFmt w:val="lowerLetter"/>
            <w:numRestart w:val="eachPage"/>
          </w:footnotePr>
          <w:endnotePr>
            <w:numFmt w:val="decimal"/>
          </w:endnotePr>
          <w:pgSz w:w="11900" w:h="16840" w:code="9"/>
          <w:pgMar w:top="1985" w:right="1134" w:bottom="851" w:left="1134" w:header="510" w:footer="340" w:gutter="0"/>
          <w:cols w:num="2" w:space="454"/>
          <w:docGrid w:linePitch="299"/>
        </w:sectPr>
      </w:pPr>
    </w:p>
    <w:p w14:paraId="07BB8E40" w14:textId="1955701B" w:rsidR="00A25C17" w:rsidRDefault="00A25C17" w:rsidP="009D7C32">
      <w:pPr>
        <w:pStyle w:val="Heading4"/>
        <w:spacing w:before="0"/>
      </w:pPr>
      <w:bookmarkStart w:id="527" w:name="_Toc85121273"/>
      <w:r w:rsidRPr="001D6D8E">
        <w:lastRenderedPageBreak/>
        <w:t>Details of consultancies (valued at $10</w:t>
      </w:r>
      <w:r w:rsidR="009D7C32">
        <w:t>,</w:t>
      </w:r>
      <w:r w:rsidRPr="001D6D8E">
        <w:t>000 or greater)</w:t>
      </w:r>
      <w:bookmarkEnd w:id="527"/>
    </w:p>
    <w:tbl>
      <w:tblPr>
        <w:tblStyle w:val="TableGrid"/>
        <w:tblW w:w="5003" w:type="pct"/>
        <w:tblLayout w:type="fixed"/>
        <w:tblLook w:val="04A0" w:firstRow="1" w:lastRow="0" w:firstColumn="1" w:lastColumn="0" w:noHBand="0" w:noVBand="1"/>
      </w:tblPr>
      <w:tblGrid>
        <w:gridCol w:w="1479"/>
        <w:gridCol w:w="1747"/>
        <w:gridCol w:w="2239"/>
        <w:gridCol w:w="1390"/>
        <w:gridCol w:w="1475"/>
        <w:gridCol w:w="1298"/>
      </w:tblGrid>
      <w:tr w:rsidR="00A25C17" w:rsidRPr="006663D5" w14:paraId="43AD52B3" w14:textId="77777777" w:rsidTr="00476F91">
        <w:trPr>
          <w:cnfStyle w:val="100000000000" w:firstRow="1" w:lastRow="0" w:firstColumn="0" w:lastColumn="0" w:oddVBand="0" w:evenVBand="0" w:oddHBand="0" w:evenHBand="0" w:firstRowFirstColumn="0" w:firstRowLastColumn="0" w:lastRowFirstColumn="0" w:lastRowLastColumn="0"/>
          <w:trHeight w:val="747"/>
          <w:tblHeader/>
        </w:trPr>
        <w:tc>
          <w:tcPr>
            <w:tcW w:w="768" w:type="pct"/>
            <w:hideMark/>
          </w:tcPr>
          <w:p w14:paraId="414CD364" w14:textId="77777777" w:rsidR="00A25C17" w:rsidRPr="006663D5" w:rsidRDefault="00A25C17" w:rsidP="00A25C17">
            <w:pPr>
              <w:pStyle w:val="ARtablecolhead"/>
            </w:pPr>
            <w:r w:rsidRPr="006663D5">
              <w:t>Category</w:t>
            </w:r>
          </w:p>
        </w:tc>
        <w:tc>
          <w:tcPr>
            <w:tcW w:w="907" w:type="pct"/>
            <w:hideMark/>
          </w:tcPr>
          <w:p w14:paraId="3B566843" w14:textId="77777777" w:rsidR="00A25C17" w:rsidRPr="006663D5" w:rsidRDefault="00A25C17" w:rsidP="00A25C17">
            <w:pPr>
              <w:pStyle w:val="ARtablecolhead"/>
            </w:pPr>
            <w:r w:rsidRPr="006663D5">
              <w:t>Consultant</w:t>
            </w:r>
          </w:p>
        </w:tc>
        <w:tc>
          <w:tcPr>
            <w:tcW w:w="1163" w:type="pct"/>
            <w:hideMark/>
          </w:tcPr>
          <w:p w14:paraId="7CEAB05F" w14:textId="77777777" w:rsidR="00A25C17" w:rsidRPr="006663D5" w:rsidRDefault="00A25C17" w:rsidP="00A25C17">
            <w:pPr>
              <w:pStyle w:val="ARtablecolhead"/>
            </w:pPr>
            <w:r w:rsidRPr="006663D5">
              <w:t xml:space="preserve">Purpose of </w:t>
            </w:r>
            <w:r>
              <w:br/>
              <w:t>c</w:t>
            </w:r>
            <w:r w:rsidRPr="006663D5">
              <w:t>onsultancy</w:t>
            </w:r>
          </w:p>
        </w:tc>
        <w:tc>
          <w:tcPr>
            <w:tcW w:w="722" w:type="pct"/>
            <w:hideMark/>
          </w:tcPr>
          <w:p w14:paraId="527D2B24" w14:textId="217A5FE9" w:rsidR="00A25C17" w:rsidRPr="006663D5" w:rsidRDefault="00A25C17" w:rsidP="00935974">
            <w:pPr>
              <w:pStyle w:val="ARtablecolheadright"/>
            </w:pPr>
            <w:r w:rsidRPr="006663D5">
              <w:t>Total approved project fee excl</w:t>
            </w:r>
            <w:r>
              <w:t>.</w:t>
            </w:r>
            <w:r w:rsidR="009558E6">
              <w:t> </w:t>
            </w:r>
            <w:r w:rsidRPr="006663D5">
              <w:t>GST</w:t>
            </w:r>
          </w:p>
        </w:tc>
        <w:tc>
          <w:tcPr>
            <w:tcW w:w="766" w:type="pct"/>
            <w:hideMark/>
          </w:tcPr>
          <w:p w14:paraId="26ECDD05" w14:textId="75A0991F" w:rsidR="00A25C17" w:rsidRPr="006663D5" w:rsidRDefault="00A25C17" w:rsidP="00935974">
            <w:pPr>
              <w:pStyle w:val="ARtablecolheadright"/>
            </w:pPr>
            <w:r w:rsidRPr="006663D5">
              <w:t>Expenditure 20</w:t>
            </w:r>
            <w:r>
              <w:t xml:space="preserve">20–21 </w:t>
            </w:r>
            <w:r w:rsidRPr="006663D5">
              <w:t>excl</w:t>
            </w:r>
            <w:r>
              <w:t>.</w:t>
            </w:r>
            <w:r w:rsidR="009558E6">
              <w:t> </w:t>
            </w:r>
            <w:r w:rsidRPr="006663D5">
              <w:t>GST</w:t>
            </w:r>
          </w:p>
        </w:tc>
        <w:tc>
          <w:tcPr>
            <w:tcW w:w="674" w:type="pct"/>
            <w:hideMark/>
          </w:tcPr>
          <w:p w14:paraId="67E7D398" w14:textId="0F4B90F6" w:rsidR="00A25C17" w:rsidRPr="006663D5" w:rsidRDefault="00A25C17" w:rsidP="00A25C17">
            <w:pPr>
              <w:pStyle w:val="ARtablecolheadright"/>
              <w:ind w:right="-103"/>
            </w:pPr>
            <w:r w:rsidRPr="006663D5">
              <w:t xml:space="preserve">Future </w:t>
            </w:r>
            <w:r>
              <w:t>e</w:t>
            </w:r>
            <w:r w:rsidRPr="006663D5">
              <w:t>xpenditure excl</w:t>
            </w:r>
            <w:r>
              <w:t>.</w:t>
            </w:r>
            <w:r w:rsidR="009558E6">
              <w:t> </w:t>
            </w:r>
            <w:r w:rsidRPr="006663D5">
              <w:t>GST</w:t>
            </w:r>
          </w:p>
        </w:tc>
      </w:tr>
      <w:tr w:rsidR="00CA4FEE" w:rsidRPr="00A34CB9" w14:paraId="7F3BE582" w14:textId="77777777" w:rsidTr="00476F91">
        <w:tc>
          <w:tcPr>
            <w:tcW w:w="768" w:type="pct"/>
            <w:vMerge w:val="restart"/>
          </w:tcPr>
          <w:p w14:paraId="54C34DDE" w14:textId="77777777" w:rsidR="00CA4FEE" w:rsidRPr="009D7C32" w:rsidRDefault="00CA4FEE" w:rsidP="009D7C32">
            <w:pPr>
              <w:pStyle w:val="ARtabletext"/>
            </w:pPr>
            <w:r w:rsidRPr="009D7C32">
              <w:t>Policy/Program Advice &amp; Delivery</w:t>
            </w:r>
          </w:p>
        </w:tc>
        <w:tc>
          <w:tcPr>
            <w:tcW w:w="907" w:type="pct"/>
            <w:vMerge w:val="restart"/>
          </w:tcPr>
          <w:p w14:paraId="65410BBA" w14:textId="77777777" w:rsidR="00CA4FEE" w:rsidRPr="00CC54A2" w:rsidRDefault="00CA4FEE" w:rsidP="009D7C32">
            <w:pPr>
              <w:pStyle w:val="ARtabletext"/>
            </w:pPr>
            <w:r w:rsidRPr="00CC54A2">
              <w:t>Boston Consulting Group</w:t>
            </w:r>
          </w:p>
          <w:p w14:paraId="638F1876" w14:textId="0F66F188" w:rsidR="00CA4FEE" w:rsidRPr="00AB0463" w:rsidRDefault="00CA4FEE" w:rsidP="009D7C32">
            <w:pPr>
              <w:pStyle w:val="ARtabletext"/>
              <w:rPr>
                <w:i/>
                <w:iCs/>
              </w:rPr>
            </w:pPr>
            <w:r w:rsidRPr="00CC54A2">
              <w:t xml:space="preserve">Strategic Alliance (Health) total approved project fee whole-of-life status excl. GST as at </w:t>
            </w:r>
            <w:r w:rsidR="0051499C" w:rsidRPr="00CC54A2">
              <w:t>30 June 2021</w:t>
            </w:r>
            <w:r w:rsidRPr="00CC54A2">
              <w:t>: $22,727,273</w:t>
            </w:r>
          </w:p>
        </w:tc>
        <w:tc>
          <w:tcPr>
            <w:tcW w:w="1163" w:type="pct"/>
          </w:tcPr>
          <w:p w14:paraId="03AA4668" w14:textId="77777777" w:rsidR="00CA4FEE" w:rsidRPr="009D7C32" w:rsidRDefault="00CA4FEE" w:rsidP="005E4771">
            <w:pPr>
              <w:pStyle w:val="ARtablebullet1"/>
              <w:numPr>
                <w:ilvl w:val="0"/>
                <w:numId w:val="0"/>
              </w:numPr>
            </w:pPr>
            <w:r w:rsidRPr="009D7C32">
              <w:t>Social housing growth delivery plan</w:t>
            </w:r>
          </w:p>
        </w:tc>
        <w:tc>
          <w:tcPr>
            <w:tcW w:w="722" w:type="pct"/>
          </w:tcPr>
          <w:p w14:paraId="365BA799" w14:textId="77777777" w:rsidR="00CA4FEE" w:rsidRPr="009D7C32" w:rsidRDefault="00CA4FEE" w:rsidP="009D7C32">
            <w:pPr>
              <w:pStyle w:val="ARtabletextright"/>
            </w:pPr>
            <w:r w:rsidRPr="009D7C32">
              <w:t>308,000</w:t>
            </w:r>
          </w:p>
        </w:tc>
        <w:tc>
          <w:tcPr>
            <w:tcW w:w="766" w:type="pct"/>
          </w:tcPr>
          <w:p w14:paraId="75396BAD" w14:textId="77777777" w:rsidR="00CA4FEE" w:rsidRPr="009D7C32" w:rsidRDefault="00CA4FEE" w:rsidP="009D7C32">
            <w:pPr>
              <w:pStyle w:val="ARtabletextright"/>
            </w:pPr>
            <w:r w:rsidRPr="009D7C32">
              <w:t>307,410</w:t>
            </w:r>
          </w:p>
        </w:tc>
        <w:tc>
          <w:tcPr>
            <w:tcW w:w="674" w:type="pct"/>
          </w:tcPr>
          <w:p w14:paraId="36E4B68C" w14:textId="77777777" w:rsidR="00CA4FEE" w:rsidRPr="009D7C32" w:rsidRDefault="00CA4FEE" w:rsidP="009D7C32">
            <w:pPr>
              <w:pStyle w:val="ARtabletextright"/>
            </w:pPr>
            <w:r w:rsidRPr="009D7C32">
              <w:t>590</w:t>
            </w:r>
          </w:p>
        </w:tc>
      </w:tr>
      <w:tr w:rsidR="00CA4FEE" w:rsidRPr="00A34CB9" w14:paraId="4445F670" w14:textId="77777777" w:rsidTr="00476F91">
        <w:tc>
          <w:tcPr>
            <w:tcW w:w="768" w:type="pct"/>
            <w:vMerge/>
          </w:tcPr>
          <w:p w14:paraId="37E0A576" w14:textId="5F110890" w:rsidR="00CA4FEE" w:rsidRPr="009D7C32" w:rsidRDefault="00CA4FEE" w:rsidP="009D7C32">
            <w:pPr>
              <w:pStyle w:val="ARtabletext"/>
            </w:pPr>
          </w:p>
        </w:tc>
        <w:tc>
          <w:tcPr>
            <w:tcW w:w="907" w:type="pct"/>
            <w:vMerge/>
          </w:tcPr>
          <w:p w14:paraId="403875CF" w14:textId="67968082" w:rsidR="00CA4FEE" w:rsidRPr="009D7C32" w:rsidRDefault="00CA4FEE" w:rsidP="009D7C32">
            <w:pPr>
              <w:pStyle w:val="ARtabletext"/>
            </w:pPr>
          </w:p>
        </w:tc>
        <w:tc>
          <w:tcPr>
            <w:tcW w:w="1163" w:type="pct"/>
          </w:tcPr>
          <w:p w14:paraId="510C6D26" w14:textId="77777777" w:rsidR="00CA4FEE" w:rsidRPr="009D7C32" w:rsidRDefault="00CA4FEE" w:rsidP="005E4771">
            <w:pPr>
              <w:pStyle w:val="ARtablebullet1"/>
              <w:numPr>
                <w:ilvl w:val="0"/>
                <w:numId w:val="0"/>
              </w:numPr>
            </w:pPr>
            <w:r w:rsidRPr="009D7C32">
              <w:t>Affordable and specialist accommodation redesign</w:t>
            </w:r>
          </w:p>
        </w:tc>
        <w:tc>
          <w:tcPr>
            <w:tcW w:w="722" w:type="pct"/>
          </w:tcPr>
          <w:p w14:paraId="64C43AAC" w14:textId="77777777" w:rsidR="00CA4FEE" w:rsidRPr="009D7C32" w:rsidRDefault="00CA4FEE" w:rsidP="009D7C32">
            <w:pPr>
              <w:pStyle w:val="ARtabletextright"/>
            </w:pPr>
            <w:r w:rsidRPr="009D7C32">
              <w:t>770,000</w:t>
            </w:r>
          </w:p>
        </w:tc>
        <w:tc>
          <w:tcPr>
            <w:tcW w:w="766" w:type="pct"/>
          </w:tcPr>
          <w:p w14:paraId="570BB997" w14:textId="77777777" w:rsidR="00CA4FEE" w:rsidRPr="009D7C32" w:rsidRDefault="00CA4FEE" w:rsidP="009D7C32">
            <w:pPr>
              <w:pStyle w:val="ARtabletextright"/>
            </w:pPr>
            <w:r w:rsidRPr="009D7C32">
              <w:t>770,000</w:t>
            </w:r>
          </w:p>
        </w:tc>
        <w:tc>
          <w:tcPr>
            <w:tcW w:w="674" w:type="pct"/>
          </w:tcPr>
          <w:p w14:paraId="77DBBF47" w14:textId="77777777" w:rsidR="00CA4FEE" w:rsidRPr="009D7C32" w:rsidRDefault="00CA4FEE" w:rsidP="009D7C32">
            <w:pPr>
              <w:pStyle w:val="ARtabletextright"/>
            </w:pPr>
            <w:r w:rsidRPr="009D7C32">
              <w:t>0</w:t>
            </w:r>
          </w:p>
        </w:tc>
      </w:tr>
      <w:tr w:rsidR="00CA4FEE" w:rsidRPr="00A34CB9" w14:paraId="0FF8A9A1" w14:textId="77777777" w:rsidTr="00476F91">
        <w:tc>
          <w:tcPr>
            <w:tcW w:w="768" w:type="pct"/>
            <w:vMerge/>
          </w:tcPr>
          <w:p w14:paraId="4B0BF30A" w14:textId="2B826510" w:rsidR="00CA4FEE" w:rsidRPr="009D7C32" w:rsidRDefault="00CA4FEE" w:rsidP="009D7C32">
            <w:pPr>
              <w:pStyle w:val="ARtabletext"/>
            </w:pPr>
          </w:p>
        </w:tc>
        <w:tc>
          <w:tcPr>
            <w:tcW w:w="907" w:type="pct"/>
            <w:vMerge/>
          </w:tcPr>
          <w:p w14:paraId="2477A3FF" w14:textId="77777777" w:rsidR="00CA4FEE" w:rsidRPr="009D7C32" w:rsidRDefault="00CA4FEE" w:rsidP="009D7C32">
            <w:pPr>
              <w:pStyle w:val="ARtabletext"/>
            </w:pPr>
          </w:p>
        </w:tc>
        <w:tc>
          <w:tcPr>
            <w:tcW w:w="1163" w:type="pct"/>
          </w:tcPr>
          <w:p w14:paraId="1CDB2D8E" w14:textId="3C86697E" w:rsidR="00CA4FEE" w:rsidRPr="009D7C32" w:rsidRDefault="00CA4FEE" w:rsidP="005E4771">
            <w:pPr>
              <w:pStyle w:val="ARtablebullet1"/>
              <w:numPr>
                <w:ilvl w:val="0"/>
                <w:numId w:val="0"/>
              </w:numPr>
            </w:pPr>
            <w:r w:rsidRPr="009D7C32">
              <w:t xml:space="preserve">Reform and </w:t>
            </w:r>
            <w:r>
              <w:t>p</w:t>
            </w:r>
            <w:r w:rsidRPr="009D7C32">
              <w:t>lanning, DHHS System</w:t>
            </w:r>
          </w:p>
        </w:tc>
        <w:tc>
          <w:tcPr>
            <w:tcW w:w="722" w:type="pct"/>
          </w:tcPr>
          <w:p w14:paraId="1F6F51BE" w14:textId="77777777" w:rsidR="00CA4FEE" w:rsidRPr="009D7C32" w:rsidRDefault="00CA4FEE" w:rsidP="009D7C32">
            <w:pPr>
              <w:pStyle w:val="ARtabletextright"/>
            </w:pPr>
            <w:r w:rsidRPr="009D7C32">
              <w:t>250,000</w:t>
            </w:r>
          </w:p>
        </w:tc>
        <w:tc>
          <w:tcPr>
            <w:tcW w:w="766" w:type="pct"/>
          </w:tcPr>
          <w:p w14:paraId="0C9F9F7F" w14:textId="77777777" w:rsidR="00CA4FEE" w:rsidRPr="009D7C32" w:rsidRDefault="00CA4FEE" w:rsidP="009D7C32">
            <w:pPr>
              <w:pStyle w:val="ARtabletextright"/>
            </w:pPr>
            <w:r w:rsidRPr="009D7C32">
              <w:t>250,000</w:t>
            </w:r>
          </w:p>
        </w:tc>
        <w:tc>
          <w:tcPr>
            <w:tcW w:w="674" w:type="pct"/>
          </w:tcPr>
          <w:p w14:paraId="62B68AD3" w14:textId="77777777" w:rsidR="00CA4FEE" w:rsidRPr="009D7C32" w:rsidRDefault="00CA4FEE" w:rsidP="009D7C32">
            <w:pPr>
              <w:pStyle w:val="ARtabletextright"/>
            </w:pPr>
            <w:r w:rsidRPr="009D7C32">
              <w:t>0</w:t>
            </w:r>
          </w:p>
        </w:tc>
      </w:tr>
      <w:tr w:rsidR="00CA4FEE" w:rsidRPr="00A34CB9" w14:paraId="08602E36" w14:textId="77777777" w:rsidTr="00476F91">
        <w:tc>
          <w:tcPr>
            <w:tcW w:w="768" w:type="pct"/>
            <w:vMerge/>
          </w:tcPr>
          <w:p w14:paraId="51904B52" w14:textId="446BEE1B" w:rsidR="00CA4FEE" w:rsidRPr="009D7C32" w:rsidRDefault="00CA4FEE" w:rsidP="009D7C32">
            <w:pPr>
              <w:pStyle w:val="ARtabletext"/>
            </w:pPr>
          </w:p>
        </w:tc>
        <w:tc>
          <w:tcPr>
            <w:tcW w:w="907" w:type="pct"/>
            <w:vMerge/>
          </w:tcPr>
          <w:p w14:paraId="27A66DB8" w14:textId="77777777" w:rsidR="00CA4FEE" w:rsidRPr="009D7C32" w:rsidRDefault="00CA4FEE" w:rsidP="009D7C32">
            <w:pPr>
              <w:pStyle w:val="ARtabletext"/>
            </w:pPr>
          </w:p>
        </w:tc>
        <w:tc>
          <w:tcPr>
            <w:tcW w:w="1163" w:type="pct"/>
          </w:tcPr>
          <w:p w14:paraId="36CBF905" w14:textId="40084069" w:rsidR="00CA4FEE" w:rsidRPr="009D7C32" w:rsidRDefault="00CA4FEE" w:rsidP="005E4771">
            <w:pPr>
              <w:pStyle w:val="ARtablebullet1"/>
              <w:numPr>
                <w:ilvl w:val="0"/>
                <w:numId w:val="0"/>
              </w:numPr>
            </w:pPr>
            <w:r w:rsidRPr="009D7C32">
              <w:t xml:space="preserve">Support, Health Share Victoria </w:t>
            </w:r>
            <w:r>
              <w:t>b</w:t>
            </w:r>
            <w:r w:rsidRPr="009D7C32">
              <w:t xml:space="preserve">usiness </w:t>
            </w:r>
            <w:r>
              <w:t>b</w:t>
            </w:r>
            <w:r w:rsidRPr="009D7C32">
              <w:t>uild</w:t>
            </w:r>
          </w:p>
        </w:tc>
        <w:tc>
          <w:tcPr>
            <w:tcW w:w="722" w:type="pct"/>
          </w:tcPr>
          <w:p w14:paraId="4A1D121A" w14:textId="77777777" w:rsidR="00CA4FEE" w:rsidRPr="009D7C32" w:rsidRDefault="00CA4FEE" w:rsidP="009D7C32">
            <w:pPr>
              <w:pStyle w:val="ARtabletextright"/>
            </w:pPr>
            <w:r w:rsidRPr="009D7C32">
              <w:t>1,470,000</w:t>
            </w:r>
          </w:p>
        </w:tc>
        <w:tc>
          <w:tcPr>
            <w:tcW w:w="766" w:type="pct"/>
          </w:tcPr>
          <w:p w14:paraId="584C4EC1" w14:textId="77777777" w:rsidR="00CA4FEE" w:rsidRPr="009D7C32" w:rsidRDefault="00CA4FEE" w:rsidP="009D7C32">
            <w:pPr>
              <w:pStyle w:val="ARtabletextright"/>
            </w:pPr>
            <w:r w:rsidRPr="009D7C32">
              <w:t>1,470,000</w:t>
            </w:r>
          </w:p>
        </w:tc>
        <w:tc>
          <w:tcPr>
            <w:tcW w:w="674" w:type="pct"/>
          </w:tcPr>
          <w:p w14:paraId="02761DC1" w14:textId="77777777" w:rsidR="00CA4FEE" w:rsidRPr="009D7C32" w:rsidRDefault="00CA4FEE" w:rsidP="009D7C32">
            <w:pPr>
              <w:pStyle w:val="ARtabletextright"/>
            </w:pPr>
            <w:r w:rsidRPr="009D7C32">
              <w:t>0</w:t>
            </w:r>
          </w:p>
        </w:tc>
      </w:tr>
      <w:tr w:rsidR="00CA4FEE" w:rsidRPr="00A34CB9" w14:paraId="3F780EC0" w14:textId="77777777" w:rsidTr="00476F91">
        <w:tc>
          <w:tcPr>
            <w:tcW w:w="768" w:type="pct"/>
            <w:vMerge/>
          </w:tcPr>
          <w:p w14:paraId="6CD990D4" w14:textId="7B9A4CBC" w:rsidR="00CA4FEE" w:rsidRPr="009D7C32" w:rsidRDefault="00CA4FEE" w:rsidP="009D7C32">
            <w:pPr>
              <w:pStyle w:val="ARtabletext"/>
            </w:pPr>
          </w:p>
        </w:tc>
        <w:tc>
          <w:tcPr>
            <w:tcW w:w="907" w:type="pct"/>
            <w:vMerge/>
          </w:tcPr>
          <w:p w14:paraId="71960339" w14:textId="77777777" w:rsidR="00CA4FEE" w:rsidRPr="009D7C32" w:rsidRDefault="00CA4FEE" w:rsidP="009D7C32">
            <w:pPr>
              <w:pStyle w:val="ARtabletext"/>
            </w:pPr>
          </w:p>
        </w:tc>
        <w:tc>
          <w:tcPr>
            <w:tcW w:w="1163" w:type="pct"/>
          </w:tcPr>
          <w:p w14:paraId="23069A1E" w14:textId="77777777" w:rsidR="00CA4FEE" w:rsidRPr="009D7C32" w:rsidRDefault="00CA4FEE" w:rsidP="005E4771">
            <w:pPr>
              <w:pStyle w:val="ARtablebullet1"/>
              <w:numPr>
                <w:ilvl w:val="0"/>
                <w:numId w:val="0"/>
              </w:numPr>
            </w:pPr>
            <w:r w:rsidRPr="009D7C32">
              <w:t>End to end testing and turnaround time, Pathology</w:t>
            </w:r>
          </w:p>
        </w:tc>
        <w:tc>
          <w:tcPr>
            <w:tcW w:w="722" w:type="pct"/>
          </w:tcPr>
          <w:p w14:paraId="4F5346D7" w14:textId="77777777" w:rsidR="00CA4FEE" w:rsidRPr="009D7C32" w:rsidRDefault="00CA4FEE" w:rsidP="009D7C32">
            <w:pPr>
              <w:pStyle w:val="ARtabletextright"/>
            </w:pPr>
            <w:r w:rsidRPr="009D7C32">
              <w:t>5,605,091</w:t>
            </w:r>
          </w:p>
        </w:tc>
        <w:tc>
          <w:tcPr>
            <w:tcW w:w="766" w:type="pct"/>
          </w:tcPr>
          <w:p w14:paraId="48D18D0F" w14:textId="77777777" w:rsidR="00CA4FEE" w:rsidRPr="009D7C32" w:rsidRDefault="00CA4FEE" w:rsidP="009D7C32">
            <w:pPr>
              <w:pStyle w:val="ARtabletextright"/>
            </w:pPr>
            <w:r w:rsidRPr="009D7C32">
              <w:t>5,400,999</w:t>
            </w:r>
          </w:p>
        </w:tc>
        <w:tc>
          <w:tcPr>
            <w:tcW w:w="674" w:type="pct"/>
          </w:tcPr>
          <w:p w14:paraId="2A1D41F5" w14:textId="77777777" w:rsidR="00CA4FEE" w:rsidRPr="009D7C32" w:rsidRDefault="00CA4FEE" w:rsidP="009D7C32">
            <w:pPr>
              <w:pStyle w:val="ARtabletextright"/>
            </w:pPr>
            <w:r w:rsidRPr="009D7C32">
              <w:t>204,091</w:t>
            </w:r>
          </w:p>
        </w:tc>
      </w:tr>
      <w:tr w:rsidR="00D34955" w:rsidRPr="00A34CB9" w14:paraId="2A317A22" w14:textId="77777777" w:rsidTr="00476F91">
        <w:tc>
          <w:tcPr>
            <w:tcW w:w="768" w:type="pct"/>
            <w:vMerge w:val="restart"/>
          </w:tcPr>
          <w:p w14:paraId="07CCD3A6" w14:textId="6280BF4B" w:rsidR="00D34955" w:rsidRPr="009D7C32" w:rsidRDefault="00D34955" w:rsidP="009D7C32">
            <w:pPr>
              <w:pStyle w:val="ARtabletext"/>
            </w:pPr>
            <w:r w:rsidRPr="009D7C32">
              <w:t>Policy/Program Advice &amp; Delivery</w:t>
            </w:r>
          </w:p>
        </w:tc>
        <w:tc>
          <w:tcPr>
            <w:tcW w:w="907" w:type="pct"/>
            <w:vMerge w:val="restart"/>
          </w:tcPr>
          <w:p w14:paraId="686D8DC3" w14:textId="77777777" w:rsidR="00D34955" w:rsidRPr="00CC54A2" w:rsidRDefault="00D34955" w:rsidP="009D7C32">
            <w:pPr>
              <w:pStyle w:val="ARtabletext"/>
            </w:pPr>
            <w:r w:rsidRPr="00CC54A2">
              <w:t>Ernst &amp; Young Services Pty Ltd</w:t>
            </w:r>
          </w:p>
          <w:p w14:paraId="57E042DF" w14:textId="124625C8" w:rsidR="00D34955" w:rsidRPr="0070098C" w:rsidRDefault="00D34955" w:rsidP="009D7C32">
            <w:pPr>
              <w:pStyle w:val="ARtabletext"/>
              <w:rPr>
                <w:i/>
                <w:iCs/>
              </w:rPr>
            </w:pPr>
            <w:r w:rsidRPr="00CC54A2">
              <w:t>Strategic Alliance (</w:t>
            </w:r>
            <w:r w:rsidR="00351157" w:rsidRPr="00CC54A2">
              <w:t>Community Services</w:t>
            </w:r>
            <w:r w:rsidRPr="00CC54A2">
              <w:t xml:space="preserve">) total approved project fee whole-of-life status excl. GST as at </w:t>
            </w:r>
            <w:r w:rsidR="0051499C" w:rsidRPr="00CC54A2">
              <w:t>30 June 2021</w:t>
            </w:r>
            <w:r w:rsidRPr="00CC54A2">
              <w:t>: $16,363,636</w:t>
            </w:r>
          </w:p>
        </w:tc>
        <w:tc>
          <w:tcPr>
            <w:tcW w:w="1163" w:type="pct"/>
          </w:tcPr>
          <w:p w14:paraId="51724E5C" w14:textId="458E6E50" w:rsidR="00D34955" w:rsidRPr="009D7C32" w:rsidRDefault="00D34955" w:rsidP="005E4771">
            <w:pPr>
              <w:pStyle w:val="ARtablebullet1"/>
              <w:numPr>
                <w:ilvl w:val="0"/>
                <w:numId w:val="0"/>
              </w:numPr>
            </w:pPr>
            <w:r w:rsidRPr="009D7C32">
              <w:t>Financial systems review</w:t>
            </w:r>
          </w:p>
        </w:tc>
        <w:tc>
          <w:tcPr>
            <w:tcW w:w="722" w:type="pct"/>
          </w:tcPr>
          <w:p w14:paraId="29350819" w14:textId="77777777" w:rsidR="00D34955" w:rsidRPr="009D7C32" w:rsidRDefault="00D34955" w:rsidP="009D7C32">
            <w:pPr>
              <w:pStyle w:val="ARtabletextright"/>
            </w:pPr>
            <w:r w:rsidRPr="009D7C32">
              <w:t>586,000</w:t>
            </w:r>
          </w:p>
        </w:tc>
        <w:tc>
          <w:tcPr>
            <w:tcW w:w="766" w:type="pct"/>
          </w:tcPr>
          <w:p w14:paraId="72847767" w14:textId="77777777" w:rsidR="00D34955" w:rsidRPr="009D7C32" w:rsidRDefault="00D34955" w:rsidP="009D7C32">
            <w:pPr>
              <w:pStyle w:val="ARtabletextright"/>
            </w:pPr>
            <w:r w:rsidRPr="009D7C32">
              <w:t>248,855</w:t>
            </w:r>
          </w:p>
        </w:tc>
        <w:tc>
          <w:tcPr>
            <w:tcW w:w="674" w:type="pct"/>
          </w:tcPr>
          <w:p w14:paraId="5EE59FD4" w14:textId="77777777" w:rsidR="00D34955" w:rsidRPr="009D7C32" w:rsidRDefault="00D34955" w:rsidP="009D7C32">
            <w:pPr>
              <w:pStyle w:val="ARtabletextright"/>
            </w:pPr>
            <w:r w:rsidRPr="009D7C32">
              <w:t>337,145</w:t>
            </w:r>
          </w:p>
        </w:tc>
      </w:tr>
      <w:tr w:rsidR="00D34955" w:rsidRPr="00A34CB9" w14:paraId="0D86A489" w14:textId="77777777" w:rsidTr="00476F91">
        <w:tc>
          <w:tcPr>
            <w:tcW w:w="768" w:type="pct"/>
            <w:vMerge/>
          </w:tcPr>
          <w:p w14:paraId="47273654" w14:textId="1675724C" w:rsidR="00D34955" w:rsidRPr="009D7C32" w:rsidRDefault="00D34955" w:rsidP="009D7C32">
            <w:pPr>
              <w:pStyle w:val="ARtabletext"/>
            </w:pPr>
          </w:p>
        </w:tc>
        <w:tc>
          <w:tcPr>
            <w:tcW w:w="907" w:type="pct"/>
            <w:vMerge/>
          </w:tcPr>
          <w:p w14:paraId="465C1566" w14:textId="77777777" w:rsidR="00D34955" w:rsidRPr="009D7C32" w:rsidRDefault="00D34955" w:rsidP="009D7C32">
            <w:pPr>
              <w:pStyle w:val="ARtabletext"/>
            </w:pPr>
          </w:p>
        </w:tc>
        <w:tc>
          <w:tcPr>
            <w:tcW w:w="1163" w:type="pct"/>
          </w:tcPr>
          <w:p w14:paraId="55ADBE93" w14:textId="39B30931" w:rsidR="00D34955" w:rsidRPr="009D7C32" w:rsidRDefault="00D34955" w:rsidP="005E4771">
            <w:pPr>
              <w:pStyle w:val="ARtablebullet1"/>
              <w:numPr>
                <w:ilvl w:val="0"/>
                <w:numId w:val="0"/>
              </w:numPr>
            </w:pPr>
            <w:r w:rsidRPr="009D7C32">
              <w:t>Big Housing Build</w:t>
            </w:r>
            <w:r w:rsidR="00D97BFD">
              <w:t xml:space="preserve"> – </w:t>
            </w:r>
            <w:r w:rsidRPr="009D7C32">
              <w:t>Independent Advisory Panel</w:t>
            </w:r>
          </w:p>
        </w:tc>
        <w:tc>
          <w:tcPr>
            <w:tcW w:w="722" w:type="pct"/>
          </w:tcPr>
          <w:p w14:paraId="0574E30D" w14:textId="77777777" w:rsidR="00D34955" w:rsidRPr="009D7C32" w:rsidRDefault="00D34955" w:rsidP="009D7C32">
            <w:pPr>
              <w:pStyle w:val="ARtabletextright"/>
            </w:pPr>
            <w:r w:rsidRPr="009D7C32">
              <w:t>39,864</w:t>
            </w:r>
          </w:p>
        </w:tc>
        <w:tc>
          <w:tcPr>
            <w:tcW w:w="766" w:type="pct"/>
          </w:tcPr>
          <w:p w14:paraId="70370E6F" w14:textId="77777777" w:rsidR="00D34955" w:rsidRPr="009D7C32" w:rsidRDefault="00D34955" w:rsidP="009D7C32">
            <w:pPr>
              <w:pStyle w:val="ARtabletextright"/>
            </w:pPr>
            <w:r w:rsidRPr="009D7C32">
              <w:t>16,335</w:t>
            </w:r>
          </w:p>
        </w:tc>
        <w:tc>
          <w:tcPr>
            <w:tcW w:w="674" w:type="pct"/>
          </w:tcPr>
          <w:p w14:paraId="0B31B8AE" w14:textId="77777777" w:rsidR="00D34955" w:rsidRPr="009D7C32" w:rsidRDefault="00D34955" w:rsidP="009D7C32">
            <w:pPr>
              <w:pStyle w:val="ARtabletextright"/>
            </w:pPr>
            <w:r w:rsidRPr="009D7C32">
              <w:t>23,529</w:t>
            </w:r>
          </w:p>
        </w:tc>
      </w:tr>
      <w:tr w:rsidR="00D34955" w:rsidRPr="00A34CB9" w14:paraId="605620DE" w14:textId="77777777" w:rsidTr="00476F91">
        <w:tc>
          <w:tcPr>
            <w:tcW w:w="768" w:type="pct"/>
            <w:vMerge/>
          </w:tcPr>
          <w:p w14:paraId="0162CD87" w14:textId="32AE95FE" w:rsidR="00D34955" w:rsidRPr="009D7C32" w:rsidRDefault="00D34955" w:rsidP="009D7C32">
            <w:pPr>
              <w:pStyle w:val="ARtabletext"/>
            </w:pPr>
          </w:p>
        </w:tc>
        <w:tc>
          <w:tcPr>
            <w:tcW w:w="907" w:type="pct"/>
            <w:vMerge/>
          </w:tcPr>
          <w:p w14:paraId="46735888" w14:textId="77777777" w:rsidR="00D34955" w:rsidRPr="009D7C32" w:rsidRDefault="00D34955" w:rsidP="009D7C32">
            <w:pPr>
              <w:pStyle w:val="ARtabletext"/>
            </w:pPr>
          </w:p>
        </w:tc>
        <w:tc>
          <w:tcPr>
            <w:tcW w:w="1163" w:type="pct"/>
          </w:tcPr>
          <w:p w14:paraId="521844DB" w14:textId="77777777" w:rsidR="00D34955" w:rsidRPr="009D7C32" w:rsidRDefault="00D34955" w:rsidP="005E4771">
            <w:pPr>
              <w:pStyle w:val="ARtablebullet1"/>
              <w:numPr>
                <w:ilvl w:val="0"/>
                <w:numId w:val="0"/>
              </w:numPr>
            </w:pPr>
            <w:r w:rsidRPr="009D7C32">
              <w:t>Ground lease model development and procurement</w:t>
            </w:r>
          </w:p>
        </w:tc>
        <w:tc>
          <w:tcPr>
            <w:tcW w:w="722" w:type="pct"/>
          </w:tcPr>
          <w:p w14:paraId="081656A2" w14:textId="77777777" w:rsidR="00D34955" w:rsidRPr="009D7C32" w:rsidRDefault="00D34955" w:rsidP="009D7C32">
            <w:pPr>
              <w:pStyle w:val="ARtabletextright"/>
            </w:pPr>
            <w:r w:rsidRPr="009D7C32">
              <w:t>1,802,690</w:t>
            </w:r>
          </w:p>
        </w:tc>
        <w:tc>
          <w:tcPr>
            <w:tcW w:w="766" w:type="pct"/>
          </w:tcPr>
          <w:p w14:paraId="5C064CDB" w14:textId="77777777" w:rsidR="00D34955" w:rsidRPr="009D7C32" w:rsidRDefault="00D34955" w:rsidP="009D7C32">
            <w:pPr>
              <w:pStyle w:val="ARtabletextright"/>
            </w:pPr>
            <w:r w:rsidRPr="009D7C32">
              <w:t>760,773</w:t>
            </w:r>
          </w:p>
        </w:tc>
        <w:tc>
          <w:tcPr>
            <w:tcW w:w="674" w:type="pct"/>
          </w:tcPr>
          <w:p w14:paraId="78BF5CC0" w14:textId="77777777" w:rsidR="00D34955" w:rsidRPr="009D7C32" w:rsidRDefault="00D34955" w:rsidP="009D7C32">
            <w:pPr>
              <w:pStyle w:val="ARtabletextright"/>
            </w:pPr>
            <w:r w:rsidRPr="009D7C32">
              <w:t>1,041,917</w:t>
            </w:r>
          </w:p>
        </w:tc>
      </w:tr>
      <w:tr w:rsidR="00D34955" w:rsidRPr="00A34CB9" w14:paraId="0CD7A051" w14:textId="77777777" w:rsidTr="00476F91">
        <w:tc>
          <w:tcPr>
            <w:tcW w:w="768" w:type="pct"/>
            <w:vMerge/>
          </w:tcPr>
          <w:p w14:paraId="6337CCDF" w14:textId="6EBCF694" w:rsidR="00D34955" w:rsidRPr="009D7C32" w:rsidRDefault="00D34955" w:rsidP="009D7C32">
            <w:pPr>
              <w:pStyle w:val="ARtabletext"/>
            </w:pPr>
          </w:p>
        </w:tc>
        <w:tc>
          <w:tcPr>
            <w:tcW w:w="907" w:type="pct"/>
            <w:vMerge/>
          </w:tcPr>
          <w:p w14:paraId="6EBB7A40" w14:textId="77777777" w:rsidR="00D34955" w:rsidRPr="009D7C32" w:rsidRDefault="00D34955" w:rsidP="009D7C32">
            <w:pPr>
              <w:pStyle w:val="ARtabletext"/>
            </w:pPr>
          </w:p>
        </w:tc>
        <w:tc>
          <w:tcPr>
            <w:tcW w:w="1163" w:type="pct"/>
          </w:tcPr>
          <w:p w14:paraId="294DD107" w14:textId="11717C47" w:rsidR="00D34955" w:rsidRPr="009D7C32" w:rsidRDefault="00D34955" w:rsidP="005E4771">
            <w:pPr>
              <w:pStyle w:val="ARtablebullet1"/>
              <w:numPr>
                <w:ilvl w:val="0"/>
                <w:numId w:val="0"/>
              </w:numPr>
            </w:pPr>
            <w:r w:rsidRPr="009D7C32">
              <w:t>Spot housing acquisition due diligence</w:t>
            </w:r>
          </w:p>
        </w:tc>
        <w:tc>
          <w:tcPr>
            <w:tcW w:w="722" w:type="pct"/>
          </w:tcPr>
          <w:p w14:paraId="2958C30D" w14:textId="77777777" w:rsidR="00D34955" w:rsidRPr="009D7C32" w:rsidRDefault="00D34955" w:rsidP="009D7C32">
            <w:pPr>
              <w:pStyle w:val="ARtabletextright"/>
            </w:pPr>
            <w:r w:rsidRPr="009D7C32">
              <w:t>3,061,251</w:t>
            </w:r>
          </w:p>
        </w:tc>
        <w:tc>
          <w:tcPr>
            <w:tcW w:w="766" w:type="pct"/>
          </w:tcPr>
          <w:p w14:paraId="4D3F8477" w14:textId="77777777" w:rsidR="00D34955" w:rsidRPr="009D7C32" w:rsidRDefault="00D34955" w:rsidP="009D7C32">
            <w:pPr>
              <w:pStyle w:val="ARtabletextright"/>
            </w:pPr>
            <w:r w:rsidRPr="009D7C32">
              <w:t>1,232,510</w:t>
            </w:r>
          </w:p>
        </w:tc>
        <w:tc>
          <w:tcPr>
            <w:tcW w:w="674" w:type="pct"/>
          </w:tcPr>
          <w:p w14:paraId="18C9B2A8" w14:textId="77777777" w:rsidR="00D34955" w:rsidRPr="009D7C32" w:rsidRDefault="00D34955" w:rsidP="009D7C32">
            <w:pPr>
              <w:pStyle w:val="ARtabletextright"/>
            </w:pPr>
            <w:r w:rsidRPr="009D7C32">
              <w:t>1,828,741</w:t>
            </w:r>
          </w:p>
        </w:tc>
      </w:tr>
      <w:tr w:rsidR="00D34955" w:rsidRPr="00A34CB9" w14:paraId="2DBB0CA0" w14:textId="77777777" w:rsidTr="00476F91">
        <w:tc>
          <w:tcPr>
            <w:tcW w:w="768" w:type="pct"/>
            <w:vMerge/>
          </w:tcPr>
          <w:p w14:paraId="472DE944" w14:textId="624C8CA4" w:rsidR="00D34955" w:rsidRPr="009D7C32" w:rsidRDefault="00D34955" w:rsidP="009D7C32">
            <w:pPr>
              <w:pStyle w:val="ARtabletext"/>
            </w:pPr>
          </w:p>
        </w:tc>
        <w:tc>
          <w:tcPr>
            <w:tcW w:w="907" w:type="pct"/>
            <w:vMerge/>
          </w:tcPr>
          <w:p w14:paraId="475AA521" w14:textId="77777777" w:rsidR="00D34955" w:rsidRPr="009D7C32" w:rsidRDefault="00D34955" w:rsidP="009D7C32">
            <w:pPr>
              <w:pStyle w:val="ARtabletext"/>
            </w:pPr>
          </w:p>
        </w:tc>
        <w:tc>
          <w:tcPr>
            <w:tcW w:w="1163" w:type="pct"/>
          </w:tcPr>
          <w:p w14:paraId="7B7DAB24" w14:textId="2C819398" w:rsidR="00D34955" w:rsidRPr="009D7C32" w:rsidRDefault="00D34955" w:rsidP="005E4771">
            <w:pPr>
              <w:pStyle w:val="ARtablebullet1"/>
              <w:numPr>
                <w:ilvl w:val="0"/>
                <w:numId w:val="0"/>
              </w:numPr>
            </w:pPr>
            <w:r w:rsidRPr="009D7C32">
              <w:t xml:space="preserve">Housing and </w:t>
            </w:r>
            <w:r>
              <w:t>e</w:t>
            </w:r>
            <w:r w:rsidRPr="009D7C32">
              <w:t xml:space="preserve">nergy </w:t>
            </w:r>
            <w:r>
              <w:t>e</w:t>
            </w:r>
            <w:r w:rsidRPr="009D7C32">
              <w:t xml:space="preserve">fficiency </w:t>
            </w:r>
            <w:r>
              <w:t>d</w:t>
            </w:r>
            <w:r w:rsidRPr="009D7C32">
              <w:t>esign</w:t>
            </w:r>
          </w:p>
        </w:tc>
        <w:tc>
          <w:tcPr>
            <w:tcW w:w="722" w:type="pct"/>
          </w:tcPr>
          <w:p w14:paraId="1F1B8136" w14:textId="77777777" w:rsidR="00D34955" w:rsidRPr="009D7C32" w:rsidRDefault="00D34955" w:rsidP="009D7C32">
            <w:pPr>
              <w:pStyle w:val="ARtabletextright"/>
            </w:pPr>
            <w:r w:rsidRPr="009D7C32">
              <w:t>405,000</w:t>
            </w:r>
          </w:p>
        </w:tc>
        <w:tc>
          <w:tcPr>
            <w:tcW w:w="766" w:type="pct"/>
          </w:tcPr>
          <w:p w14:paraId="7D38B547" w14:textId="77777777" w:rsidR="00D34955" w:rsidRPr="009D7C32" w:rsidRDefault="00D34955" w:rsidP="009D7C32">
            <w:pPr>
              <w:pStyle w:val="ARtabletextright"/>
            </w:pPr>
            <w:r w:rsidRPr="009D7C32">
              <w:t>360,822</w:t>
            </w:r>
          </w:p>
        </w:tc>
        <w:tc>
          <w:tcPr>
            <w:tcW w:w="674" w:type="pct"/>
          </w:tcPr>
          <w:p w14:paraId="038F5BA2" w14:textId="77777777" w:rsidR="00D34955" w:rsidRPr="009D7C32" w:rsidRDefault="00D34955" w:rsidP="009D7C32">
            <w:pPr>
              <w:pStyle w:val="ARtabletextright"/>
            </w:pPr>
            <w:r w:rsidRPr="009D7C32">
              <w:t>44,178</w:t>
            </w:r>
          </w:p>
        </w:tc>
      </w:tr>
      <w:tr w:rsidR="00D34955" w:rsidRPr="00A34CB9" w14:paraId="5D7B6D48" w14:textId="77777777" w:rsidTr="00476F91">
        <w:tc>
          <w:tcPr>
            <w:tcW w:w="768" w:type="pct"/>
            <w:vMerge/>
          </w:tcPr>
          <w:p w14:paraId="7BE0277E" w14:textId="2DBC599A" w:rsidR="00D34955" w:rsidRPr="009D7C32" w:rsidRDefault="00D34955" w:rsidP="009D7C32">
            <w:pPr>
              <w:pStyle w:val="ARtabletext"/>
            </w:pPr>
          </w:p>
        </w:tc>
        <w:tc>
          <w:tcPr>
            <w:tcW w:w="907" w:type="pct"/>
            <w:vMerge/>
          </w:tcPr>
          <w:p w14:paraId="61581704" w14:textId="77777777" w:rsidR="00D34955" w:rsidRPr="009D7C32" w:rsidRDefault="00D34955" w:rsidP="009D7C32">
            <w:pPr>
              <w:pStyle w:val="ARtabletext"/>
            </w:pPr>
          </w:p>
        </w:tc>
        <w:tc>
          <w:tcPr>
            <w:tcW w:w="1163" w:type="pct"/>
          </w:tcPr>
          <w:p w14:paraId="0B77D33E" w14:textId="67730238" w:rsidR="00D34955" w:rsidRPr="009D7C32" w:rsidRDefault="00D34955" w:rsidP="005E4771">
            <w:pPr>
              <w:pStyle w:val="ARtablebullet1"/>
              <w:numPr>
                <w:ilvl w:val="0"/>
                <w:numId w:val="0"/>
              </w:numPr>
            </w:pPr>
            <w:r w:rsidRPr="009D7C32">
              <w:t xml:space="preserve">Speciality </w:t>
            </w:r>
            <w:r>
              <w:t>d</w:t>
            </w:r>
            <w:r w:rsidRPr="009D7C32">
              <w:t xml:space="preserve">isability </w:t>
            </w:r>
            <w:r>
              <w:t>h</w:t>
            </w:r>
            <w:r w:rsidRPr="009D7C32">
              <w:t xml:space="preserve">ousing </w:t>
            </w:r>
            <w:r>
              <w:t>a</w:t>
            </w:r>
            <w:r w:rsidRPr="009D7C32">
              <w:t xml:space="preserve">cquisition </w:t>
            </w:r>
            <w:r>
              <w:t>s</w:t>
            </w:r>
            <w:r w:rsidRPr="009D7C32">
              <w:t>upport</w:t>
            </w:r>
          </w:p>
        </w:tc>
        <w:tc>
          <w:tcPr>
            <w:tcW w:w="722" w:type="pct"/>
          </w:tcPr>
          <w:p w14:paraId="0EEF9C63" w14:textId="77777777" w:rsidR="00D34955" w:rsidRPr="009D7C32" w:rsidRDefault="00D34955" w:rsidP="009D7C32">
            <w:pPr>
              <w:pStyle w:val="ARtabletextright"/>
            </w:pPr>
            <w:r w:rsidRPr="009D7C32">
              <w:t>88,000</w:t>
            </w:r>
          </w:p>
        </w:tc>
        <w:tc>
          <w:tcPr>
            <w:tcW w:w="766" w:type="pct"/>
          </w:tcPr>
          <w:p w14:paraId="194F318C" w14:textId="77777777" w:rsidR="00D34955" w:rsidRPr="009D7C32" w:rsidRDefault="00D34955" w:rsidP="009D7C32">
            <w:pPr>
              <w:pStyle w:val="ARtabletextright"/>
            </w:pPr>
            <w:r w:rsidRPr="009D7C32">
              <w:t>31,600</w:t>
            </w:r>
          </w:p>
        </w:tc>
        <w:tc>
          <w:tcPr>
            <w:tcW w:w="674" w:type="pct"/>
          </w:tcPr>
          <w:p w14:paraId="0E2C8873" w14:textId="77777777" w:rsidR="00D34955" w:rsidRPr="009D7C32" w:rsidRDefault="00D34955" w:rsidP="009D7C32">
            <w:pPr>
              <w:pStyle w:val="ARtabletextright"/>
            </w:pPr>
            <w:r w:rsidRPr="009D7C32">
              <w:t>56,400</w:t>
            </w:r>
          </w:p>
        </w:tc>
      </w:tr>
      <w:tr w:rsidR="00D34955" w:rsidRPr="00A34CB9" w14:paraId="527BFC34" w14:textId="77777777" w:rsidTr="00476F91">
        <w:tc>
          <w:tcPr>
            <w:tcW w:w="768" w:type="pct"/>
            <w:vMerge/>
          </w:tcPr>
          <w:p w14:paraId="631C4443" w14:textId="2DC6439C" w:rsidR="00D34955" w:rsidRPr="009D7C32" w:rsidRDefault="00D34955" w:rsidP="009D7C32">
            <w:pPr>
              <w:pStyle w:val="ARtabletext"/>
            </w:pPr>
          </w:p>
        </w:tc>
        <w:tc>
          <w:tcPr>
            <w:tcW w:w="907" w:type="pct"/>
            <w:vMerge/>
          </w:tcPr>
          <w:p w14:paraId="4E73A7C3" w14:textId="77777777" w:rsidR="00D34955" w:rsidRPr="009D7C32" w:rsidRDefault="00D34955" w:rsidP="009D7C32">
            <w:pPr>
              <w:pStyle w:val="ARtabletext"/>
            </w:pPr>
          </w:p>
        </w:tc>
        <w:tc>
          <w:tcPr>
            <w:tcW w:w="1163" w:type="pct"/>
          </w:tcPr>
          <w:p w14:paraId="45F7D37C" w14:textId="42291FAC" w:rsidR="00D34955" w:rsidRPr="009D7C32" w:rsidRDefault="00D34955" w:rsidP="005E4771">
            <w:pPr>
              <w:pStyle w:val="ARtablebullet1"/>
              <w:numPr>
                <w:ilvl w:val="0"/>
                <w:numId w:val="0"/>
              </w:numPr>
            </w:pPr>
            <w:r w:rsidRPr="009D7C32">
              <w:t xml:space="preserve">Financial </w:t>
            </w:r>
            <w:r>
              <w:t>a</w:t>
            </w:r>
            <w:r w:rsidRPr="009D7C32">
              <w:t>udit</w:t>
            </w:r>
          </w:p>
        </w:tc>
        <w:tc>
          <w:tcPr>
            <w:tcW w:w="722" w:type="pct"/>
          </w:tcPr>
          <w:p w14:paraId="4F790840" w14:textId="77777777" w:rsidR="00D34955" w:rsidRPr="009D7C32" w:rsidRDefault="00D34955" w:rsidP="009D7C32">
            <w:pPr>
              <w:pStyle w:val="ARtabletextright"/>
            </w:pPr>
            <w:r w:rsidRPr="009D7C32">
              <w:t>653,960</w:t>
            </w:r>
          </w:p>
        </w:tc>
        <w:tc>
          <w:tcPr>
            <w:tcW w:w="766" w:type="pct"/>
          </w:tcPr>
          <w:p w14:paraId="713E4EAC" w14:textId="77777777" w:rsidR="00D34955" w:rsidRPr="009D7C32" w:rsidRDefault="00D34955" w:rsidP="009D7C32">
            <w:pPr>
              <w:pStyle w:val="ARtabletextright"/>
            </w:pPr>
            <w:r w:rsidRPr="009D7C32">
              <w:t>653,958</w:t>
            </w:r>
          </w:p>
        </w:tc>
        <w:tc>
          <w:tcPr>
            <w:tcW w:w="674" w:type="pct"/>
          </w:tcPr>
          <w:p w14:paraId="7E5D0B00" w14:textId="77777777" w:rsidR="00D34955" w:rsidRPr="009D7C32" w:rsidRDefault="00D34955" w:rsidP="009D7C32">
            <w:pPr>
              <w:pStyle w:val="ARtabletextright"/>
            </w:pPr>
            <w:r w:rsidRPr="009D7C32">
              <w:t>2</w:t>
            </w:r>
          </w:p>
        </w:tc>
      </w:tr>
      <w:tr w:rsidR="00D34955" w:rsidRPr="00A34CB9" w14:paraId="1DC092A4" w14:textId="77777777" w:rsidTr="00476F91">
        <w:tc>
          <w:tcPr>
            <w:tcW w:w="768" w:type="pct"/>
            <w:vMerge/>
          </w:tcPr>
          <w:p w14:paraId="798744CF" w14:textId="2A1C8945" w:rsidR="00D34955" w:rsidRPr="009D7C32" w:rsidRDefault="00D34955" w:rsidP="009D7C32">
            <w:pPr>
              <w:pStyle w:val="ARtabletext"/>
            </w:pPr>
          </w:p>
        </w:tc>
        <w:tc>
          <w:tcPr>
            <w:tcW w:w="907" w:type="pct"/>
            <w:vMerge/>
          </w:tcPr>
          <w:p w14:paraId="5567A4F2" w14:textId="77777777" w:rsidR="00D34955" w:rsidRPr="009D7C32" w:rsidRDefault="00D34955" w:rsidP="009D7C32">
            <w:pPr>
              <w:pStyle w:val="ARtabletext"/>
            </w:pPr>
          </w:p>
        </w:tc>
        <w:tc>
          <w:tcPr>
            <w:tcW w:w="1163" w:type="pct"/>
          </w:tcPr>
          <w:p w14:paraId="042FB98D" w14:textId="203F1928" w:rsidR="00D34955" w:rsidRPr="009D7C32" w:rsidRDefault="00D34955" w:rsidP="005E4771">
            <w:pPr>
              <w:pStyle w:val="ARtablebullet1"/>
              <w:numPr>
                <w:ilvl w:val="0"/>
                <w:numId w:val="0"/>
              </w:numPr>
            </w:pPr>
            <w:r w:rsidRPr="009D7C32">
              <w:t xml:space="preserve">Asset </w:t>
            </w:r>
            <w:r>
              <w:t>f</w:t>
            </w:r>
            <w:r w:rsidRPr="009D7C32">
              <w:t xml:space="preserve">easibility </w:t>
            </w:r>
            <w:r>
              <w:t>s</w:t>
            </w:r>
            <w:r w:rsidRPr="009D7C32">
              <w:t>upport</w:t>
            </w:r>
          </w:p>
        </w:tc>
        <w:tc>
          <w:tcPr>
            <w:tcW w:w="722" w:type="pct"/>
          </w:tcPr>
          <w:p w14:paraId="35EDFD56" w14:textId="77777777" w:rsidR="00D34955" w:rsidRPr="009D7C32" w:rsidRDefault="00D34955" w:rsidP="009D7C32">
            <w:pPr>
              <w:pStyle w:val="ARtabletextright"/>
            </w:pPr>
            <w:r w:rsidRPr="009D7C32">
              <w:t>629,087</w:t>
            </w:r>
          </w:p>
        </w:tc>
        <w:tc>
          <w:tcPr>
            <w:tcW w:w="766" w:type="pct"/>
          </w:tcPr>
          <w:p w14:paraId="061C9F0B" w14:textId="77777777" w:rsidR="00D34955" w:rsidRPr="009D7C32" w:rsidRDefault="00D34955" w:rsidP="009D7C32">
            <w:pPr>
              <w:pStyle w:val="ARtabletextright"/>
            </w:pPr>
            <w:r w:rsidRPr="009D7C32">
              <w:t>629,087</w:t>
            </w:r>
          </w:p>
        </w:tc>
        <w:tc>
          <w:tcPr>
            <w:tcW w:w="674" w:type="pct"/>
          </w:tcPr>
          <w:p w14:paraId="130E1176" w14:textId="77777777" w:rsidR="00D34955" w:rsidRPr="009D7C32" w:rsidRDefault="00D34955" w:rsidP="009D7C32">
            <w:pPr>
              <w:pStyle w:val="ARtabletextright"/>
            </w:pPr>
            <w:r w:rsidRPr="009D7C32">
              <w:t>0</w:t>
            </w:r>
          </w:p>
        </w:tc>
      </w:tr>
      <w:tr w:rsidR="00D34955" w:rsidRPr="00A34CB9" w14:paraId="6B96F7E3" w14:textId="77777777" w:rsidTr="00476F91">
        <w:tc>
          <w:tcPr>
            <w:tcW w:w="768" w:type="pct"/>
            <w:vMerge/>
          </w:tcPr>
          <w:p w14:paraId="7FC66EF2" w14:textId="23CAEE7D" w:rsidR="00D34955" w:rsidRPr="009D7C32" w:rsidRDefault="00D34955" w:rsidP="009D7C32">
            <w:pPr>
              <w:pStyle w:val="ARtabletext"/>
            </w:pPr>
          </w:p>
        </w:tc>
        <w:tc>
          <w:tcPr>
            <w:tcW w:w="907" w:type="pct"/>
            <w:vMerge/>
          </w:tcPr>
          <w:p w14:paraId="7A9B4427" w14:textId="77777777" w:rsidR="00D34955" w:rsidRPr="009D7C32" w:rsidRDefault="00D34955" w:rsidP="009D7C32">
            <w:pPr>
              <w:pStyle w:val="ARtabletext"/>
            </w:pPr>
          </w:p>
        </w:tc>
        <w:tc>
          <w:tcPr>
            <w:tcW w:w="1163" w:type="pct"/>
          </w:tcPr>
          <w:p w14:paraId="31929151" w14:textId="41637568" w:rsidR="00D34955" w:rsidRPr="009D7C32" w:rsidRDefault="00D34955" w:rsidP="005D626B">
            <w:pPr>
              <w:pStyle w:val="ARtablebullet1"/>
              <w:numPr>
                <w:ilvl w:val="0"/>
                <w:numId w:val="0"/>
              </w:numPr>
            </w:pPr>
            <w:r w:rsidRPr="009D7C32">
              <w:t>Advice, Social investment for COVI</w:t>
            </w:r>
            <w:r w:rsidR="005D626B">
              <w:t>D</w:t>
            </w:r>
            <w:r w:rsidRPr="009D7C32">
              <w:t>-19 social recovery</w:t>
            </w:r>
          </w:p>
        </w:tc>
        <w:tc>
          <w:tcPr>
            <w:tcW w:w="722" w:type="pct"/>
          </w:tcPr>
          <w:p w14:paraId="5EDDA1B9" w14:textId="77777777" w:rsidR="00D34955" w:rsidRPr="009D7C32" w:rsidRDefault="00D34955" w:rsidP="009D7C32">
            <w:pPr>
              <w:pStyle w:val="ARtabletextright"/>
            </w:pPr>
            <w:r w:rsidRPr="009D7C32">
              <w:t>499,319</w:t>
            </w:r>
          </w:p>
        </w:tc>
        <w:tc>
          <w:tcPr>
            <w:tcW w:w="766" w:type="pct"/>
          </w:tcPr>
          <w:p w14:paraId="7792131D" w14:textId="77777777" w:rsidR="00D34955" w:rsidRPr="009D7C32" w:rsidRDefault="00D34955" w:rsidP="009D7C32">
            <w:pPr>
              <w:pStyle w:val="ARtabletextright"/>
            </w:pPr>
            <w:r w:rsidRPr="009D7C32">
              <w:t>285,799</w:t>
            </w:r>
          </w:p>
        </w:tc>
        <w:tc>
          <w:tcPr>
            <w:tcW w:w="674" w:type="pct"/>
          </w:tcPr>
          <w:p w14:paraId="39F448BB" w14:textId="77777777" w:rsidR="00D34955" w:rsidRPr="009D7C32" w:rsidRDefault="00D34955" w:rsidP="009D7C32">
            <w:pPr>
              <w:pStyle w:val="ARtabletextright"/>
            </w:pPr>
            <w:r w:rsidRPr="009D7C32">
              <w:t>213,520</w:t>
            </w:r>
          </w:p>
        </w:tc>
      </w:tr>
      <w:tr w:rsidR="00D34955" w:rsidRPr="00A34CB9" w14:paraId="498B3CC4" w14:textId="77777777" w:rsidTr="00476F91">
        <w:tc>
          <w:tcPr>
            <w:tcW w:w="768" w:type="pct"/>
            <w:vMerge/>
          </w:tcPr>
          <w:p w14:paraId="19B0A405" w14:textId="4871A7E7" w:rsidR="00D34955" w:rsidRPr="009D7C32" w:rsidRDefault="00D34955" w:rsidP="009D7C32">
            <w:pPr>
              <w:pStyle w:val="ARtabletext"/>
            </w:pPr>
          </w:p>
        </w:tc>
        <w:tc>
          <w:tcPr>
            <w:tcW w:w="907" w:type="pct"/>
            <w:vMerge/>
          </w:tcPr>
          <w:p w14:paraId="289124AA" w14:textId="77777777" w:rsidR="00D34955" w:rsidRPr="009D7C32" w:rsidRDefault="00D34955" w:rsidP="009D7C32">
            <w:pPr>
              <w:pStyle w:val="ARtabletext"/>
            </w:pPr>
          </w:p>
        </w:tc>
        <w:tc>
          <w:tcPr>
            <w:tcW w:w="1163" w:type="pct"/>
          </w:tcPr>
          <w:p w14:paraId="63386738" w14:textId="2FB4E761" w:rsidR="00D34955" w:rsidRPr="009D7C32" w:rsidRDefault="00D34955" w:rsidP="005E4771">
            <w:pPr>
              <w:pStyle w:val="ARtablebullet1"/>
              <w:numPr>
                <w:ilvl w:val="0"/>
                <w:numId w:val="0"/>
              </w:numPr>
            </w:pPr>
            <w:r w:rsidRPr="009D7C32">
              <w:t xml:space="preserve">Business </w:t>
            </w:r>
            <w:r>
              <w:t>a</w:t>
            </w:r>
            <w:r w:rsidRPr="009D7C32">
              <w:t>nalysis, Essential services in response to COVID-19</w:t>
            </w:r>
          </w:p>
        </w:tc>
        <w:tc>
          <w:tcPr>
            <w:tcW w:w="722" w:type="pct"/>
          </w:tcPr>
          <w:p w14:paraId="05DCCAE8" w14:textId="77777777" w:rsidR="00D34955" w:rsidRPr="009D7C32" w:rsidRDefault="00D34955" w:rsidP="009D7C32">
            <w:pPr>
              <w:pStyle w:val="ARtabletextright"/>
            </w:pPr>
            <w:r w:rsidRPr="009D7C32">
              <w:t>100,000</w:t>
            </w:r>
          </w:p>
        </w:tc>
        <w:tc>
          <w:tcPr>
            <w:tcW w:w="766" w:type="pct"/>
          </w:tcPr>
          <w:p w14:paraId="0260C78E" w14:textId="77777777" w:rsidR="00D34955" w:rsidRPr="009D7C32" w:rsidRDefault="00D34955" w:rsidP="009D7C32">
            <w:pPr>
              <w:pStyle w:val="ARtabletextright"/>
            </w:pPr>
            <w:r w:rsidRPr="009D7C32">
              <w:t>19,350</w:t>
            </w:r>
          </w:p>
        </w:tc>
        <w:tc>
          <w:tcPr>
            <w:tcW w:w="674" w:type="pct"/>
          </w:tcPr>
          <w:p w14:paraId="55D43893" w14:textId="77777777" w:rsidR="00D34955" w:rsidRPr="009D7C32" w:rsidRDefault="00D34955" w:rsidP="009D7C32">
            <w:pPr>
              <w:pStyle w:val="ARtabletextright"/>
            </w:pPr>
            <w:r w:rsidRPr="009D7C32">
              <w:t>80,650</w:t>
            </w:r>
          </w:p>
        </w:tc>
      </w:tr>
      <w:tr w:rsidR="00D34955" w:rsidRPr="00A34CB9" w14:paraId="2AF9BB52" w14:textId="77777777" w:rsidTr="00476F91">
        <w:tc>
          <w:tcPr>
            <w:tcW w:w="768" w:type="pct"/>
            <w:vMerge/>
          </w:tcPr>
          <w:p w14:paraId="7DA7021E" w14:textId="4B4331D1" w:rsidR="00D34955" w:rsidRPr="009D7C32" w:rsidRDefault="00D34955" w:rsidP="009D7C32">
            <w:pPr>
              <w:pStyle w:val="ARtabletext"/>
            </w:pPr>
          </w:p>
        </w:tc>
        <w:tc>
          <w:tcPr>
            <w:tcW w:w="907" w:type="pct"/>
            <w:vMerge/>
          </w:tcPr>
          <w:p w14:paraId="0B092DB7" w14:textId="77777777" w:rsidR="00D34955" w:rsidRPr="009D7C32" w:rsidRDefault="00D34955" w:rsidP="009D7C32">
            <w:pPr>
              <w:pStyle w:val="ARtabletext"/>
            </w:pPr>
          </w:p>
        </w:tc>
        <w:tc>
          <w:tcPr>
            <w:tcW w:w="1163" w:type="pct"/>
          </w:tcPr>
          <w:p w14:paraId="7A2B7FD9" w14:textId="61C6BB26" w:rsidR="00D34955" w:rsidRPr="009D7C32" w:rsidRDefault="00D34955" w:rsidP="005E4771">
            <w:pPr>
              <w:pStyle w:val="ARtablebullet1"/>
              <w:numPr>
                <w:ilvl w:val="0"/>
                <w:numId w:val="0"/>
              </w:numPr>
            </w:pPr>
            <w:r w:rsidRPr="009D7C32">
              <w:t xml:space="preserve">Support, </w:t>
            </w:r>
            <w:r>
              <w:t>d</w:t>
            </w:r>
            <w:r w:rsidRPr="009D7C32">
              <w:t xml:space="preserve">ata and reporting, Child </w:t>
            </w:r>
            <w:r>
              <w:t>p</w:t>
            </w:r>
            <w:r w:rsidRPr="009D7C32">
              <w:t xml:space="preserve">rotection </w:t>
            </w:r>
            <w:r>
              <w:t>w</w:t>
            </w:r>
            <w:r w:rsidRPr="009D7C32">
              <w:t xml:space="preserve">orkforce </w:t>
            </w:r>
            <w:r>
              <w:t>s</w:t>
            </w:r>
            <w:r w:rsidRPr="009D7C32">
              <w:t>trategy 202</w:t>
            </w:r>
            <w:r w:rsidR="00A9686F">
              <w:t>1–</w:t>
            </w:r>
            <w:r w:rsidRPr="009D7C32">
              <w:t>2024</w:t>
            </w:r>
          </w:p>
        </w:tc>
        <w:tc>
          <w:tcPr>
            <w:tcW w:w="722" w:type="pct"/>
          </w:tcPr>
          <w:p w14:paraId="71D494C6" w14:textId="77777777" w:rsidR="00D34955" w:rsidRPr="009D7C32" w:rsidRDefault="00D34955" w:rsidP="009D7C32">
            <w:pPr>
              <w:pStyle w:val="ARtabletextright"/>
            </w:pPr>
            <w:r w:rsidRPr="009D7C32">
              <w:t>409,091</w:t>
            </w:r>
          </w:p>
        </w:tc>
        <w:tc>
          <w:tcPr>
            <w:tcW w:w="766" w:type="pct"/>
          </w:tcPr>
          <w:p w14:paraId="035C7455" w14:textId="77777777" w:rsidR="00D34955" w:rsidRPr="009D7C32" w:rsidRDefault="00D34955" w:rsidP="009D7C32">
            <w:pPr>
              <w:pStyle w:val="ARtabletextright"/>
            </w:pPr>
            <w:r w:rsidRPr="009D7C32">
              <w:t>409,091</w:t>
            </w:r>
          </w:p>
        </w:tc>
        <w:tc>
          <w:tcPr>
            <w:tcW w:w="674" w:type="pct"/>
          </w:tcPr>
          <w:p w14:paraId="0CE792DC" w14:textId="77777777" w:rsidR="00D34955" w:rsidRPr="009D7C32" w:rsidRDefault="00D34955" w:rsidP="009D7C32">
            <w:pPr>
              <w:pStyle w:val="ARtabletextright"/>
            </w:pPr>
            <w:r w:rsidRPr="009D7C32">
              <w:t>0</w:t>
            </w:r>
          </w:p>
        </w:tc>
      </w:tr>
      <w:tr w:rsidR="00D34955" w:rsidRPr="00A34CB9" w14:paraId="223CE5B3" w14:textId="77777777" w:rsidTr="00476F91">
        <w:tc>
          <w:tcPr>
            <w:tcW w:w="768" w:type="pct"/>
            <w:vMerge/>
          </w:tcPr>
          <w:p w14:paraId="4993F182" w14:textId="6BDB0427" w:rsidR="00D34955" w:rsidRPr="009D7C32" w:rsidRDefault="00D34955" w:rsidP="009D7C32">
            <w:pPr>
              <w:pStyle w:val="ARtabletext"/>
            </w:pPr>
          </w:p>
        </w:tc>
        <w:tc>
          <w:tcPr>
            <w:tcW w:w="907" w:type="pct"/>
            <w:vMerge/>
          </w:tcPr>
          <w:p w14:paraId="4BA4F552" w14:textId="77777777" w:rsidR="00D34955" w:rsidRPr="009D7C32" w:rsidRDefault="00D34955" w:rsidP="009D7C32">
            <w:pPr>
              <w:pStyle w:val="ARtabletext"/>
            </w:pPr>
          </w:p>
        </w:tc>
        <w:tc>
          <w:tcPr>
            <w:tcW w:w="1163" w:type="pct"/>
          </w:tcPr>
          <w:p w14:paraId="1264369D" w14:textId="3D903CD0" w:rsidR="00D34955" w:rsidRPr="009D7C32" w:rsidRDefault="00D34955" w:rsidP="005E4771">
            <w:pPr>
              <w:pStyle w:val="ARtablebullet1"/>
              <w:numPr>
                <w:ilvl w:val="0"/>
                <w:numId w:val="0"/>
              </w:numPr>
            </w:pPr>
            <w:r w:rsidRPr="009D7C32">
              <w:t xml:space="preserve">Support, </w:t>
            </w:r>
            <w:r>
              <w:t>W</w:t>
            </w:r>
            <w:r w:rsidRPr="009D7C32">
              <w:t>orkforce reporting, COVID-19</w:t>
            </w:r>
          </w:p>
        </w:tc>
        <w:tc>
          <w:tcPr>
            <w:tcW w:w="722" w:type="pct"/>
          </w:tcPr>
          <w:p w14:paraId="298FE720" w14:textId="77777777" w:rsidR="00D34955" w:rsidRPr="009D7C32" w:rsidRDefault="00D34955" w:rsidP="009D7C32">
            <w:pPr>
              <w:pStyle w:val="ARtabletextright"/>
            </w:pPr>
            <w:r w:rsidRPr="009D7C32">
              <w:t>831,884</w:t>
            </w:r>
          </w:p>
        </w:tc>
        <w:tc>
          <w:tcPr>
            <w:tcW w:w="766" w:type="pct"/>
          </w:tcPr>
          <w:p w14:paraId="10A2720C" w14:textId="77777777" w:rsidR="00D34955" w:rsidRPr="009D7C32" w:rsidRDefault="00D34955" w:rsidP="009D7C32">
            <w:pPr>
              <w:pStyle w:val="ARtabletextright"/>
            </w:pPr>
            <w:r w:rsidRPr="009D7C32">
              <w:t>831,884</w:t>
            </w:r>
          </w:p>
        </w:tc>
        <w:tc>
          <w:tcPr>
            <w:tcW w:w="674" w:type="pct"/>
          </w:tcPr>
          <w:p w14:paraId="42FDEB69" w14:textId="77777777" w:rsidR="00D34955" w:rsidRPr="009D7C32" w:rsidRDefault="00D34955" w:rsidP="009D7C32">
            <w:pPr>
              <w:pStyle w:val="ARtabletextright"/>
            </w:pPr>
            <w:r w:rsidRPr="009D7C32">
              <w:t>0</w:t>
            </w:r>
          </w:p>
        </w:tc>
      </w:tr>
      <w:tr w:rsidR="00D27D9E" w:rsidRPr="00A34CB9" w14:paraId="0B5C7BF1" w14:textId="77777777" w:rsidTr="003E3BE1">
        <w:tc>
          <w:tcPr>
            <w:tcW w:w="768" w:type="pct"/>
            <w:vMerge w:val="restart"/>
            <w:tcBorders>
              <w:top w:val="single" w:sz="4" w:space="0" w:color="auto"/>
            </w:tcBorders>
          </w:tcPr>
          <w:p w14:paraId="020C3DC5" w14:textId="77DDA6FB" w:rsidR="00D27D9E" w:rsidRPr="009D7C32" w:rsidRDefault="00D27D9E" w:rsidP="00A6122B">
            <w:pPr>
              <w:pStyle w:val="ARtabletext"/>
              <w:pageBreakBefore/>
            </w:pPr>
            <w:r w:rsidRPr="009D7C32">
              <w:lastRenderedPageBreak/>
              <w:t>Policy/Program Advice &amp; Delivery</w:t>
            </w:r>
          </w:p>
        </w:tc>
        <w:tc>
          <w:tcPr>
            <w:tcW w:w="907" w:type="pct"/>
            <w:vMerge w:val="restart"/>
            <w:tcBorders>
              <w:top w:val="single" w:sz="4" w:space="0" w:color="auto"/>
            </w:tcBorders>
          </w:tcPr>
          <w:p w14:paraId="03D3C268" w14:textId="77777777" w:rsidR="00D27D9E" w:rsidRPr="00CC54A2" w:rsidRDefault="00D27D9E" w:rsidP="00A82682">
            <w:pPr>
              <w:pStyle w:val="ARtabletext"/>
            </w:pPr>
            <w:r w:rsidRPr="00CC54A2">
              <w:t>KPMG</w:t>
            </w:r>
          </w:p>
          <w:p w14:paraId="2AAA5827" w14:textId="541AFE64" w:rsidR="00D27D9E" w:rsidRPr="0070098C" w:rsidRDefault="00D27D9E" w:rsidP="00A82682">
            <w:pPr>
              <w:pStyle w:val="ARtabletext"/>
              <w:rPr>
                <w:i/>
                <w:iCs/>
              </w:rPr>
            </w:pPr>
            <w:r w:rsidRPr="00CC54A2">
              <w:t xml:space="preserve">Strategic Alliance (Health) total approved project fee whole-of-life status excl. GST as at </w:t>
            </w:r>
            <w:r w:rsidR="0051499C" w:rsidRPr="00CC54A2">
              <w:t>30 June 2021</w:t>
            </w:r>
            <w:r w:rsidRPr="00CC54A2">
              <w:t>: $27,272,727</w:t>
            </w:r>
          </w:p>
        </w:tc>
        <w:tc>
          <w:tcPr>
            <w:tcW w:w="1163" w:type="pct"/>
            <w:tcBorders>
              <w:top w:val="single" w:sz="4" w:space="0" w:color="auto"/>
            </w:tcBorders>
          </w:tcPr>
          <w:p w14:paraId="6404A2BD" w14:textId="77777777" w:rsidR="00D27D9E" w:rsidRPr="009D7C32" w:rsidRDefault="00D27D9E" w:rsidP="00A82682">
            <w:pPr>
              <w:pStyle w:val="ARtablebullet1"/>
              <w:numPr>
                <w:ilvl w:val="0"/>
                <w:numId w:val="0"/>
              </w:numPr>
            </w:pPr>
            <w:r w:rsidRPr="009D7C32">
              <w:t>Review of leasing arrangements</w:t>
            </w:r>
          </w:p>
        </w:tc>
        <w:tc>
          <w:tcPr>
            <w:tcW w:w="722" w:type="pct"/>
            <w:tcBorders>
              <w:top w:val="single" w:sz="4" w:space="0" w:color="auto"/>
            </w:tcBorders>
          </w:tcPr>
          <w:p w14:paraId="20E423F3" w14:textId="77777777" w:rsidR="00D27D9E" w:rsidRPr="009D7C32" w:rsidRDefault="00D27D9E" w:rsidP="00A82682">
            <w:pPr>
              <w:pStyle w:val="ARtabletextright"/>
            </w:pPr>
            <w:r w:rsidRPr="009D7C32">
              <w:t>333,772</w:t>
            </w:r>
          </w:p>
        </w:tc>
        <w:tc>
          <w:tcPr>
            <w:tcW w:w="766" w:type="pct"/>
            <w:tcBorders>
              <w:top w:val="single" w:sz="4" w:space="0" w:color="auto"/>
            </w:tcBorders>
          </w:tcPr>
          <w:p w14:paraId="6B43DB58" w14:textId="77777777" w:rsidR="00D27D9E" w:rsidRPr="009D7C32" w:rsidRDefault="00D27D9E" w:rsidP="00A82682">
            <w:pPr>
              <w:pStyle w:val="ARtabletextright"/>
            </w:pPr>
            <w:r w:rsidRPr="009D7C32">
              <w:t>333,772</w:t>
            </w:r>
          </w:p>
        </w:tc>
        <w:tc>
          <w:tcPr>
            <w:tcW w:w="674" w:type="pct"/>
            <w:tcBorders>
              <w:top w:val="single" w:sz="4" w:space="0" w:color="auto"/>
            </w:tcBorders>
          </w:tcPr>
          <w:p w14:paraId="2542B668" w14:textId="77777777" w:rsidR="00D27D9E" w:rsidRPr="009D7C32" w:rsidRDefault="00D27D9E" w:rsidP="00A82682">
            <w:pPr>
              <w:pStyle w:val="ARtabletextright"/>
            </w:pPr>
            <w:r w:rsidRPr="009D7C32">
              <w:t>0</w:t>
            </w:r>
          </w:p>
        </w:tc>
      </w:tr>
      <w:tr w:rsidR="00D27D9E" w:rsidRPr="00A34CB9" w14:paraId="74A6D5EB" w14:textId="77777777" w:rsidTr="00476F91">
        <w:tc>
          <w:tcPr>
            <w:tcW w:w="768" w:type="pct"/>
            <w:vMerge/>
          </w:tcPr>
          <w:p w14:paraId="760B7CF4" w14:textId="32A02118" w:rsidR="00D27D9E" w:rsidRPr="009D7C32" w:rsidRDefault="00D27D9E" w:rsidP="009D7C32">
            <w:pPr>
              <w:pStyle w:val="ARtabletext"/>
            </w:pPr>
          </w:p>
        </w:tc>
        <w:tc>
          <w:tcPr>
            <w:tcW w:w="907" w:type="pct"/>
            <w:vMerge/>
          </w:tcPr>
          <w:p w14:paraId="31C58385" w14:textId="77777777" w:rsidR="00D27D9E" w:rsidRPr="009D7C32" w:rsidRDefault="00D27D9E" w:rsidP="009D7C32">
            <w:pPr>
              <w:pStyle w:val="ARtabletext"/>
            </w:pPr>
          </w:p>
        </w:tc>
        <w:tc>
          <w:tcPr>
            <w:tcW w:w="1163" w:type="pct"/>
          </w:tcPr>
          <w:p w14:paraId="015347EF" w14:textId="77777777" w:rsidR="00D27D9E" w:rsidRPr="009D7C32" w:rsidRDefault="00D27D9E" w:rsidP="005E4771">
            <w:pPr>
              <w:pStyle w:val="ARtablebullet1"/>
              <w:numPr>
                <w:ilvl w:val="0"/>
                <w:numId w:val="0"/>
              </w:numPr>
            </w:pPr>
            <w:r w:rsidRPr="009D7C32">
              <w:t xml:space="preserve">Risk management framework </w:t>
            </w:r>
          </w:p>
        </w:tc>
        <w:tc>
          <w:tcPr>
            <w:tcW w:w="722" w:type="pct"/>
          </w:tcPr>
          <w:p w14:paraId="72FB3B4B" w14:textId="77777777" w:rsidR="00D27D9E" w:rsidRPr="009D7C32" w:rsidRDefault="00D27D9E" w:rsidP="009D7C32">
            <w:pPr>
              <w:pStyle w:val="ARtabletextright"/>
            </w:pPr>
            <w:r w:rsidRPr="009D7C32">
              <w:t>215,190</w:t>
            </w:r>
          </w:p>
        </w:tc>
        <w:tc>
          <w:tcPr>
            <w:tcW w:w="766" w:type="pct"/>
          </w:tcPr>
          <w:p w14:paraId="2B1E912D" w14:textId="77777777" w:rsidR="00D27D9E" w:rsidRPr="009D7C32" w:rsidRDefault="00D27D9E" w:rsidP="009D7C32">
            <w:pPr>
              <w:pStyle w:val="ARtabletextright"/>
            </w:pPr>
            <w:r w:rsidRPr="009D7C32">
              <w:t>69,630</w:t>
            </w:r>
          </w:p>
        </w:tc>
        <w:tc>
          <w:tcPr>
            <w:tcW w:w="674" w:type="pct"/>
          </w:tcPr>
          <w:p w14:paraId="4EB44423" w14:textId="77777777" w:rsidR="00D27D9E" w:rsidRPr="009D7C32" w:rsidRDefault="00D27D9E" w:rsidP="009D7C32">
            <w:pPr>
              <w:pStyle w:val="ARtabletextright"/>
            </w:pPr>
            <w:r w:rsidRPr="009D7C32">
              <w:t>145,560</w:t>
            </w:r>
          </w:p>
        </w:tc>
      </w:tr>
      <w:tr w:rsidR="00D27D9E" w:rsidRPr="00A34CB9" w14:paraId="58CC7959" w14:textId="77777777" w:rsidTr="00476F91">
        <w:tc>
          <w:tcPr>
            <w:tcW w:w="768" w:type="pct"/>
            <w:vMerge/>
          </w:tcPr>
          <w:p w14:paraId="3F698518" w14:textId="44225F4C" w:rsidR="00D27D9E" w:rsidRPr="009D7C32" w:rsidRDefault="00D27D9E" w:rsidP="009D7C32">
            <w:pPr>
              <w:pStyle w:val="ARtabletext"/>
            </w:pPr>
          </w:p>
        </w:tc>
        <w:tc>
          <w:tcPr>
            <w:tcW w:w="907" w:type="pct"/>
            <w:vMerge/>
          </w:tcPr>
          <w:p w14:paraId="4E23B2C6" w14:textId="77777777" w:rsidR="00D27D9E" w:rsidRPr="009D7C32" w:rsidRDefault="00D27D9E" w:rsidP="009D7C32">
            <w:pPr>
              <w:pStyle w:val="ARtabletext"/>
            </w:pPr>
          </w:p>
        </w:tc>
        <w:tc>
          <w:tcPr>
            <w:tcW w:w="1163" w:type="pct"/>
          </w:tcPr>
          <w:p w14:paraId="4A8E3397" w14:textId="653A5A2A" w:rsidR="00D27D9E" w:rsidRPr="009D7C32" w:rsidRDefault="00D27D9E" w:rsidP="005E4771">
            <w:pPr>
              <w:pStyle w:val="ARtablebullet1"/>
              <w:numPr>
                <w:ilvl w:val="0"/>
                <w:numId w:val="0"/>
              </w:numPr>
            </w:pPr>
            <w:r w:rsidRPr="009D7C32">
              <w:t xml:space="preserve">Maintenance </w:t>
            </w:r>
            <w:r>
              <w:t>s</w:t>
            </w:r>
            <w:r w:rsidRPr="009D7C32">
              <w:t xml:space="preserve">timulus </w:t>
            </w:r>
            <w:r>
              <w:t>g</w:t>
            </w:r>
            <w:r w:rsidRPr="009D7C32">
              <w:t>overnance</w:t>
            </w:r>
          </w:p>
        </w:tc>
        <w:tc>
          <w:tcPr>
            <w:tcW w:w="722" w:type="pct"/>
          </w:tcPr>
          <w:p w14:paraId="4C5E03A4" w14:textId="77777777" w:rsidR="00D27D9E" w:rsidRPr="009D7C32" w:rsidRDefault="00D27D9E" w:rsidP="009D7C32">
            <w:pPr>
              <w:pStyle w:val="ARtabletextright"/>
            </w:pPr>
            <w:r w:rsidRPr="009D7C32">
              <w:t>2,043,815</w:t>
            </w:r>
          </w:p>
        </w:tc>
        <w:tc>
          <w:tcPr>
            <w:tcW w:w="766" w:type="pct"/>
          </w:tcPr>
          <w:p w14:paraId="4DBE97F9" w14:textId="77777777" w:rsidR="00D27D9E" w:rsidRPr="009D7C32" w:rsidRDefault="00D27D9E" w:rsidP="009D7C32">
            <w:pPr>
              <w:pStyle w:val="ARtabletextright"/>
            </w:pPr>
            <w:r w:rsidRPr="009D7C32">
              <w:t>1,098,571</w:t>
            </w:r>
          </w:p>
        </w:tc>
        <w:tc>
          <w:tcPr>
            <w:tcW w:w="674" w:type="pct"/>
          </w:tcPr>
          <w:p w14:paraId="23D90CCA" w14:textId="77777777" w:rsidR="00D27D9E" w:rsidRPr="009D7C32" w:rsidRDefault="00D27D9E" w:rsidP="009D7C32">
            <w:pPr>
              <w:pStyle w:val="ARtabletextright"/>
            </w:pPr>
            <w:r w:rsidRPr="009D7C32">
              <w:t>945,244</w:t>
            </w:r>
          </w:p>
        </w:tc>
      </w:tr>
      <w:tr w:rsidR="00D27D9E" w:rsidRPr="00A34CB9" w14:paraId="25B4FD02" w14:textId="77777777" w:rsidTr="00476F91">
        <w:tc>
          <w:tcPr>
            <w:tcW w:w="768" w:type="pct"/>
            <w:vMerge/>
          </w:tcPr>
          <w:p w14:paraId="37582E9D" w14:textId="75AECEAF" w:rsidR="00D27D9E" w:rsidRPr="009D7C32" w:rsidRDefault="00D27D9E" w:rsidP="009D7C32">
            <w:pPr>
              <w:pStyle w:val="ARtabletext"/>
            </w:pPr>
          </w:p>
        </w:tc>
        <w:tc>
          <w:tcPr>
            <w:tcW w:w="907" w:type="pct"/>
            <w:vMerge/>
          </w:tcPr>
          <w:p w14:paraId="4D010A5C" w14:textId="77777777" w:rsidR="00D27D9E" w:rsidRPr="009D7C32" w:rsidRDefault="00D27D9E" w:rsidP="009D7C32">
            <w:pPr>
              <w:pStyle w:val="ARtabletext"/>
            </w:pPr>
          </w:p>
        </w:tc>
        <w:tc>
          <w:tcPr>
            <w:tcW w:w="1163" w:type="pct"/>
          </w:tcPr>
          <w:p w14:paraId="3BF756A5" w14:textId="6439E133" w:rsidR="00D27D9E" w:rsidRPr="009D7C32" w:rsidRDefault="00D27D9E" w:rsidP="005E4771">
            <w:pPr>
              <w:pStyle w:val="ARtablebullet1"/>
              <w:numPr>
                <w:ilvl w:val="0"/>
                <w:numId w:val="0"/>
              </w:numPr>
            </w:pPr>
            <w:r w:rsidRPr="009D7C32">
              <w:t xml:space="preserve">Project </w:t>
            </w:r>
            <w:r>
              <w:t>m</w:t>
            </w:r>
            <w:r w:rsidRPr="009D7C32">
              <w:t xml:space="preserve">anagement </w:t>
            </w:r>
            <w:r>
              <w:t>o</w:t>
            </w:r>
            <w:r w:rsidRPr="009D7C32">
              <w:t xml:space="preserve">ffice and </w:t>
            </w:r>
            <w:r>
              <w:t>b</w:t>
            </w:r>
            <w:r w:rsidRPr="009D7C32">
              <w:t xml:space="preserve">usiness </w:t>
            </w:r>
            <w:r>
              <w:t>c</w:t>
            </w:r>
            <w:r w:rsidRPr="009D7C32">
              <w:t xml:space="preserve">ase </w:t>
            </w:r>
            <w:r>
              <w:t>s</w:t>
            </w:r>
            <w:r w:rsidRPr="009D7C32">
              <w:t>upport</w:t>
            </w:r>
          </w:p>
        </w:tc>
        <w:tc>
          <w:tcPr>
            <w:tcW w:w="722" w:type="pct"/>
          </w:tcPr>
          <w:p w14:paraId="1AC3CF03" w14:textId="77777777" w:rsidR="00D27D9E" w:rsidRPr="009D7C32" w:rsidRDefault="00D27D9E" w:rsidP="009D7C32">
            <w:pPr>
              <w:pStyle w:val="ARtabletextright"/>
            </w:pPr>
            <w:r w:rsidRPr="009D7C32">
              <w:t>2,756,000</w:t>
            </w:r>
          </w:p>
        </w:tc>
        <w:tc>
          <w:tcPr>
            <w:tcW w:w="766" w:type="pct"/>
          </w:tcPr>
          <w:p w14:paraId="64E95C1C" w14:textId="77777777" w:rsidR="00D27D9E" w:rsidRPr="009D7C32" w:rsidRDefault="00D27D9E" w:rsidP="009D7C32">
            <w:pPr>
              <w:pStyle w:val="ARtabletextright"/>
            </w:pPr>
            <w:r w:rsidRPr="009D7C32">
              <w:t>2,103,400</w:t>
            </w:r>
          </w:p>
        </w:tc>
        <w:tc>
          <w:tcPr>
            <w:tcW w:w="674" w:type="pct"/>
          </w:tcPr>
          <w:p w14:paraId="677F9CF3" w14:textId="77777777" w:rsidR="00D27D9E" w:rsidRPr="009D7C32" w:rsidRDefault="00D27D9E" w:rsidP="009D7C32">
            <w:pPr>
              <w:pStyle w:val="ARtabletextright"/>
            </w:pPr>
            <w:r w:rsidRPr="009D7C32">
              <w:t>652,600</w:t>
            </w:r>
          </w:p>
        </w:tc>
      </w:tr>
      <w:tr w:rsidR="00D27D9E" w:rsidRPr="00A34CB9" w14:paraId="01AFBA89" w14:textId="77777777" w:rsidTr="00476F91">
        <w:tc>
          <w:tcPr>
            <w:tcW w:w="768" w:type="pct"/>
            <w:vMerge/>
          </w:tcPr>
          <w:p w14:paraId="2B5AEA54" w14:textId="4E3BF4E0" w:rsidR="00D27D9E" w:rsidRPr="009D7C32" w:rsidRDefault="00D27D9E" w:rsidP="009D7C32">
            <w:pPr>
              <w:pStyle w:val="ARtabletext"/>
            </w:pPr>
          </w:p>
        </w:tc>
        <w:tc>
          <w:tcPr>
            <w:tcW w:w="907" w:type="pct"/>
            <w:vMerge/>
          </w:tcPr>
          <w:p w14:paraId="59DC5F9F" w14:textId="77777777" w:rsidR="00D27D9E" w:rsidRPr="009D7C32" w:rsidRDefault="00D27D9E" w:rsidP="009D7C32">
            <w:pPr>
              <w:pStyle w:val="ARtabletext"/>
            </w:pPr>
          </w:p>
        </w:tc>
        <w:tc>
          <w:tcPr>
            <w:tcW w:w="1163" w:type="pct"/>
          </w:tcPr>
          <w:p w14:paraId="764D3F0F" w14:textId="77777777" w:rsidR="00D27D9E" w:rsidRPr="009D7C32" w:rsidRDefault="00D27D9E" w:rsidP="005E4771">
            <w:pPr>
              <w:pStyle w:val="ARtablebullet1"/>
              <w:numPr>
                <w:ilvl w:val="0"/>
                <w:numId w:val="0"/>
              </w:numPr>
            </w:pPr>
            <w:r w:rsidRPr="009D7C32">
              <w:t>Social Housing Ground Fund project support</w:t>
            </w:r>
          </w:p>
        </w:tc>
        <w:tc>
          <w:tcPr>
            <w:tcW w:w="722" w:type="pct"/>
          </w:tcPr>
          <w:p w14:paraId="0C791CA9" w14:textId="77777777" w:rsidR="00D27D9E" w:rsidRPr="009D7C32" w:rsidRDefault="00D27D9E" w:rsidP="009D7C32">
            <w:pPr>
              <w:pStyle w:val="ARtabletextright"/>
            </w:pPr>
            <w:r w:rsidRPr="009D7C32">
              <w:t>700,000</w:t>
            </w:r>
          </w:p>
        </w:tc>
        <w:tc>
          <w:tcPr>
            <w:tcW w:w="766" w:type="pct"/>
          </w:tcPr>
          <w:p w14:paraId="1D4D3CC3" w14:textId="77777777" w:rsidR="00D27D9E" w:rsidRPr="009D7C32" w:rsidRDefault="00D27D9E" w:rsidP="009D7C32">
            <w:pPr>
              <w:pStyle w:val="ARtabletextright"/>
            </w:pPr>
            <w:r w:rsidRPr="009D7C32">
              <w:t>192,235</w:t>
            </w:r>
          </w:p>
        </w:tc>
        <w:tc>
          <w:tcPr>
            <w:tcW w:w="674" w:type="pct"/>
          </w:tcPr>
          <w:p w14:paraId="3720D59D" w14:textId="77777777" w:rsidR="00D27D9E" w:rsidRPr="009D7C32" w:rsidRDefault="00D27D9E" w:rsidP="009D7C32">
            <w:pPr>
              <w:pStyle w:val="ARtabletextright"/>
            </w:pPr>
            <w:r w:rsidRPr="009D7C32">
              <w:t>507,765</w:t>
            </w:r>
          </w:p>
        </w:tc>
      </w:tr>
      <w:tr w:rsidR="00D27D9E" w:rsidRPr="00A34CB9" w14:paraId="41114899" w14:textId="77777777" w:rsidTr="00476F91">
        <w:tc>
          <w:tcPr>
            <w:tcW w:w="768" w:type="pct"/>
            <w:vMerge/>
          </w:tcPr>
          <w:p w14:paraId="4D93CCB8" w14:textId="6D2E2564" w:rsidR="00D27D9E" w:rsidRPr="009D7C32" w:rsidRDefault="00D27D9E" w:rsidP="009D7C32">
            <w:pPr>
              <w:pStyle w:val="ARtabletext"/>
            </w:pPr>
          </w:p>
        </w:tc>
        <w:tc>
          <w:tcPr>
            <w:tcW w:w="907" w:type="pct"/>
            <w:vMerge/>
          </w:tcPr>
          <w:p w14:paraId="3A219C78" w14:textId="77777777" w:rsidR="00D27D9E" w:rsidRPr="009D7C32" w:rsidRDefault="00D27D9E" w:rsidP="009D7C32">
            <w:pPr>
              <w:pStyle w:val="ARtabletext"/>
            </w:pPr>
          </w:p>
        </w:tc>
        <w:tc>
          <w:tcPr>
            <w:tcW w:w="1163" w:type="pct"/>
          </w:tcPr>
          <w:p w14:paraId="367C681C" w14:textId="6FC6635D" w:rsidR="00D27D9E" w:rsidRPr="009D7C32" w:rsidRDefault="00D27D9E" w:rsidP="005E4771">
            <w:pPr>
              <w:pStyle w:val="ARtablebullet1"/>
              <w:numPr>
                <w:ilvl w:val="0"/>
                <w:numId w:val="0"/>
              </w:numPr>
            </w:pPr>
            <w:r w:rsidRPr="009D7C32">
              <w:t>COVID-19 emergency management support</w:t>
            </w:r>
          </w:p>
        </w:tc>
        <w:tc>
          <w:tcPr>
            <w:tcW w:w="722" w:type="pct"/>
          </w:tcPr>
          <w:p w14:paraId="5DB2BCB5" w14:textId="77777777" w:rsidR="00D27D9E" w:rsidRPr="009D7C32" w:rsidRDefault="00D27D9E" w:rsidP="009D7C32">
            <w:pPr>
              <w:pStyle w:val="ARtabletextright"/>
            </w:pPr>
            <w:r w:rsidRPr="009D7C32">
              <w:t>3,129,364</w:t>
            </w:r>
          </w:p>
        </w:tc>
        <w:tc>
          <w:tcPr>
            <w:tcW w:w="766" w:type="pct"/>
          </w:tcPr>
          <w:p w14:paraId="2CFE50FC" w14:textId="77777777" w:rsidR="00D27D9E" w:rsidRPr="009D7C32" w:rsidRDefault="00D27D9E" w:rsidP="009D7C32">
            <w:pPr>
              <w:pStyle w:val="ARtabletextright"/>
            </w:pPr>
            <w:r w:rsidRPr="009D7C32">
              <w:t>3,014,060</w:t>
            </w:r>
          </w:p>
        </w:tc>
        <w:tc>
          <w:tcPr>
            <w:tcW w:w="674" w:type="pct"/>
          </w:tcPr>
          <w:p w14:paraId="3375963C" w14:textId="77777777" w:rsidR="00D27D9E" w:rsidRPr="009D7C32" w:rsidRDefault="00D27D9E" w:rsidP="009D7C32">
            <w:pPr>
              <w:pStyle w:val="ARtabletextright"/>
            </w:pPr>
            <w:r w:rsidRPr="009D7C32">
              <w:t>115,304</w:t>
            </w:r>
          </w:p>
        </w:tc>
      </w:tr>
      <w:tr w:rsidR="00D27D9E" w:rsidRPr="00A34CB9" w14:paraId="71A1F827" w14:textId="77777777" w:rsidTr="00476F91">
        <w:tc>
          <w:tcPr>
            <w:tcW w:w="768" w:type="pct"/>
            <w:vMerge/>
          </w:tcPr>
          <w:p w14:paraId="4F1AF664" w14:textId="1E5D5C60" w:rsidR="00D27D9E" w:rsidRPr="009D7C32" w:rsidRDefault="00D27D9E" w:rsidP="009D7C32">
            <w:pPr>
              <w:pStyle w:val="ARtabletext"/>
            </w:pPr>
          </w:p>
        </w:tc>
        <w:tc>
          <w:tcPr>
            <w:tcW w:w="907" w:type="pct"/>
            <w:vMerge/>
          </w:tcPr>
          <w:p w14:paraId="586B27E1" w14:textId="77777777" w:rsidR="00D27D9E" w:rsidRPr="009D7C32" w:rsidRDefault="00D27D9E" w:rsidP="009D7C32">
            <w:pPr>
              <w:pStyle w:val="ARtabletext"/>
            </w:pPr>
          </w:p>
        </w:tc>
        <w:tc>
          <w:tcPr>
            <w:tcW w:w="1163" w:type="pct"/>
          </w:tcPr>
          <w:p w14:paraId="21E5BC81" w14:textId="1B814E7A" w:rsidR="00D27D9E" w:rsidRPr="009D7C32" w:rsidRDefault="00D27D9E" w:rsidP="005E4771">
            <w:pPr>
              <w:pStyle w:val="ARtablebullet1"/>
              <w:numPr>
                <w:ilvl w:val="0"/>
                <w:numId w:val="0"/>
              </w:numPr>
            </w:pPr>
            <w:r w:rsidRPr="009D7C32">
              <w:t>People</w:t>
            </w:r>
            <w:r>
              <w:t>-</w:t>
            </w:r>
            <w:r w:rsidRPr="009D7C32">
              <w:t>centred design project design</w:t>
            </w:r>
          </w:p>
        </w:tc>
        <w:tc>
          <w:tcPr>
            <w:tcW w:w="722" w:type="pct"/>
          </w:tcPr>
          <w:p w14:paraId="057D6B92" w14:textId="77777777" w:rsidR="00D27D9E" w:rsidRPr="009D7C32" w:rsidRDefault="00D27D9E" w:rsidP="009D7C32">
            <w:pPr>
              <w:pStyle w:val="ARtabletextright"/>
            </w:pPr>
            <w:r w:rsidRPr="009D7C32">
              <w:t>100,000</w:t>
            </w:r>
          </w:p>
        </w:tc>
        <w:tc>
          <w:tcPr>
            <w:tcW w:w="766" w:type="pct"/>
          </w:tcPr>
          <w:p w14:paraId="37947730" w14:textId="77777777" w:rsidR="00D27D9E" w:rsidRPr="009D7C32" w:rsidRDefault="00D27D9E" w:rsidP="009D7C32">
            <w:pPr>
              <w:pStyle w:val="ARtabletextright"/>
            </w:pPr>
            <w:r w:rsidRPr="009D7C32">
              <w:t>100,000</w:t>
            </w:r>
          </w:p>
        </w:tc>
        <w:tc>
          <w:tcPr>
            <w:tcW w:w="674" w:type="pct"/>
          </w:tcPr>
          <w:p w14:paraId="55AD3A49" w14:textId="77777777" w:rsidR="00D27D9E" w:rsidRPr="009D7C32" w:rsidRDefault="00D27D9E" w:rsidP="009D7C32">
            <w:pPr>
              <w:pStyle w:val="ARtabletextright"/>
            </w:pPr>
            <w:r w:rsidRPr="009D7C32">
              <w:t>0</w:t>
            </w:r>
          </w:p>
        </w:tc>
      </w:tr>
      <w:tr w:rsidR="00D27D9E" w:rsidRPr="00A34CB9" w14:paraId="1FF659DA" w14:textId="77777777" w:rsidTr="00476F91">
        <w:tc>
          <w:tcPr>
            <w:tcW w:w="768" w:type="pct"/>
            <w:vMerge/>
          </w:tcPr>
          <w:p w14:paraId="6DB9F71D" w14:textId="7EAD89D7" w:rsidR="00D27D9E" w:rsidRPr="009D7C32" w:rsidRDefault="00D27D9E" w:rsidP="009D7C32">
            <w:pPr>
              <w:pStyle w:val="ARtabletext"/>
            </w:pPr>
          </w:p>
        </w:tc>
        <w:tc>
          <w:tcPr>
            <w:tcW w:w="907" w:type="pct"/>
            <w:vMerge/>
          </w:tcPr>
          <w:p w14:paraId="1249F29F" w14:textId="77777777" w:rsidR="00D27D9E" w:rsidRPr="009D7C32" w:rsidRDefault="00D27D9E" w:rsidP="009D7C32">
            <w:pPr>
              <w:pStyle w:val="ARtabletext"/>
            </w:pPr>
          </w:p>
        </w:tc>
        <w:tc>
          <w:tcPr>
            <w:tcW w:w="1163" w:type="pct"/>
          </w:tcPr>
          <w:p w14:paraId="39ED8492" w14:textId="77777777" w:rsidR="00D27D9E" w:rsidRPr="009D7C32" w:rsidRDefault="00D27D9E" w:rsidP="005E4771">
            <w:pPr>
              <w:pStyle w:val="ARtablebullet1"/>
              <w:numPr>
                <w:ilvl w:val="0"/>
                <w:numId w:val="0"/>
              </w:numPr>
            </w:pPr>
            <w:r w:rsidRPr="009D7C32">
              <w:t>Capital package support</w:t>
            </w:r>
          </w:p>
        </w:tc>
        <w:tc>
          <w:tcPr>
            <w:tcW w:w="722" w:type="pct"/>
          </w:tcPr>
          <w:p w14:paraId="6803A177" w14:textId="77777777" w:rsidR="00D27D9E" w:rsidRPr="009D7C32" w:rsidRDefault="00D27D9E" w:rsidP="009D7C32">
            <w:pPr>
              <w:pStyle w:val="ARtabletextright"/>
            </w:pPr>
            <w:r w:rsidRPr="009D7C32">
              <w:t>330,000</w:t>
            </w:r>
          </w:p>
        </w:tc>
        <w:tc>
          <w:tcPr>
            <w:tcW w:w="766" w:type="pct"/>
          </w:tcPr>
          <w:p w14:paraId="6E56368F" w14:textId="77777777" w:rsidR="00D27D9E" w:rsidRPr="009D7C32" w:rsidRDefault="00D27D9E" w:rsidP="009D7C32">
            <w:pPr>
              <w:pStyle w:val="ARtabletextright"/>
            </w:pPr>
            <w:r w:rsidRPr="009D7C32">
              <w:t>257,848</w:t>
            </w:r>
          </w:p>
        </w:tc>
        <w:tc>
          <w:tcPr>
            <w:tcW w:w="674" w:type="pct"/>
          </w:tcPr>
          <w:p w14:paraId="7C77EE1A" w14:textId="77777777" w:rsidR="00D27D9E" w:rsidRPr="009D7C32" w:rsidRDefault="00D27D9E" w:rsidP="009D7C32">
            <w:pPr>
              <w:pStyle w:val="ARtabletextright"/>
            </w:pPr>
            <w:r w:rsidRPr="009D7C32">
              <w:t>72,152</w:t>
            </w:r>
          </w:p>
        </w:tc>
      </w:tr>
      <w:tr w:rsidR="00D27D9E" w:rsidRPr="00A34CB9" w14:paraId="5A0A7606" w14:textId="77777777" w:rsidTr="00476F91">
        <w:tc>
          <w:tcPr>
            <w:tcW w:w="768" w:type="pct"/>
            <w:vMerge/>
          </w:tcPr>
          <w:p w14:paraId="48E1C428" w14:textId="628DFB6F" w:rsidR="00D27D9E" w:rsidRPr="009D7C32" w:rsidRDefault="00D27D9E" w:rsidP="009D7C32">
            <w:pPr>
              <w:pStyle w:val="ARtabletext"/>
            </w:pPr>
          </w:p>
        </w:tc>
        <w:tc>
          <w:tcPr>
            <w:tcW w:w="907" w:type="pct"/>
            <w:vMerge/>
          </w:tcPr>
          <w:p w14:paraId="182F02B5" w14:textId="77777777" w:rsidR="00D27D9E" w:rsidRPr="009D7C32" w:rsidRDefault="00D27D9E" w:rsidP="009D7C32">
            <w:pPr>
              <w:pStyle w:val="ARtabletext"/>
            </w:pPr>
          </w:p>
        </w:tc>
        <w:tc>
          <w:tcPr>
            <w:tcW w:w="1163" w:type="pct"/>
          </w:tcPr>
          <w:p w14:paraId="5E879ADD" w14:textId="2D833F1A" w:rsidR="00D27D9E" w:rsidRPr="009D7C32" w:rsidRDefault="00D27D9E" w:rsidP="005E4771">
            <w:pPr>
              <w:pStyle w:val="ARtablebullet1"/>
              <w:numPr>
                <w:ilvl w:val="0"/>
                <w:numId w:val="0"/>
              </w:numPr>
            </w:pPr>
            <w:r w:rsidRPr="009D7C32">
              <w:t xml:space="preserve">Support, </w:t>
            </w:r>
            <w:r>
              <w:t>V</w:t>
            </w:r>
            <w:r w:rsidRPr="009D7C32">
              <w:t>ision initiative evaluation project</w:t>
            </w:r>
          </w:p>
        </w:tc>
        <w:tc>
          <w:tcPr>
            <w:tcW w:w="722" w:type="pct"/>
          </w:tcPr>
          <w:p w14:paraId="134D0A92" w14:textId="77777777" w:rsidR="00D27D9E" w:rsidRPr="009D7C32" w:rsidRDefault="00D27D9E" w:rsidP="009D7C32">
            <w:pPr>
              <w:pStyle w:val="ARtabletextright"/>
            </w:pPr>
            <w:r w:rsidRPr="009D7C32">
              <w:t>134,579</w:t>
            </w:r>
          </w:p>
        </w:tc>
        <w:tc>
          <w:tcPr>
            <w:tcW w:w="766" w:type="pct"/>
          </w:tcPr>
          <w:p w14:paraId="0D9B474D" w14:textId="77777777" w:rsidR="00D27D9E" w:rsidRPr="009D7C32" w:rsidRDefault="00D27D9E" w:rsidP="009D7C32">
            <w:pPr>
              <w:pStyle w:val="ARtabletextright"/>
            </w:pPr>
            <w:r w:rsidRPr="009D7C32">
              <w:t>107,663</w:t>
            </w:r>
          </w:p>
        </w:tc>
        <w:tc>
          <w:tcPr>
            <w:tcW w:w="674" w:type="pct"/>
          </w:tcPr>
          <w:p w14:paraId="190B1AA9" w14:textId="77777777" w:rsidR="00D27D9E" w:rsidRPr="009D7C32" w:rsidRDefault="00D27D9E" w:rsidP="009D7C32">
            <w:pPr>
              <w:pStyle w:val="ARtabletextright"/>
            </w:pPr>
            <w:r w:rsidRPr="009D7C32">
              <w:t>26,916</w:t>
            </w:r>
          </w:p>
        </w:tc>
      </w:tr>
      <w:tr w:rsidR="00D27D9E" w:rsidRPr="00A34CB9" w14:paraId="00DDDE1B" w14:textId="77777777" w:rsidTr="00476F91">
        <w:tc>
          <w:tcPr>
            <w:tcW w:w="768" w:type="pct"/>
            <w:vMerge/>
          </w:tcPr>
          <w:p w14:paraId="5E5E9999" w14:textId="7BF3B4C0" w:rsidR="00D27D9E" w:rsidRPr="009D7C32" w:rsidRDefault="00D27D9E" w:rsidP="009D7C32">
            <w:pPr>
              <w:pStyle w:val="ARtabletext"/>
            </w:pPr>
          </w:p>
        </w:tc>
        <w:tc>
          <w:tcPr>
            <w:tcW w:w="907" w:type="pct"/>
            <w:vMerge/>
          </w:tcPr>
          <w:p w14:paraId="6E375F1E" w14:textId="77777777" w:rsidR="00D27D9E" w:rsidRPr="009D7C32" w:rsidRDefault="00D27D9E" w:rsidP="009D7C32">
            <w:pPr>
              <w:pStyle w:val="ARtabletext"/>
            </w:pPr>
          </w:p>
        </w:tc>
        <w:tc>
          <w:tcPr>
            <w:tcW w:w="1163" w:type="pct"/>
          </w:tcPr>
          <w:p w14:paraId="5D48E840" w14:textId="4AAC55D8" w:rsidR="00D27D9E" w:rsidRPr="009D7C32" w:rsidRDefault="00D27D9E" w:rsidP="005E4771">
            <w:pPr>
              <w:pStyle w:val="ARtablebullet1"/>
              <w:numPr>
                <w:ilvl w:val="0"/>
                <w:numId w:val="0"/>
              </w:numPr>
            </w:pPr>
            <w:r w:rsidRPr="009D7C32">
              <w:t xml:space="preserve">Service </w:t>
            </w:r>
            <w:r>
              <w:t>p</w:t>
            </w:r>
            <w:r w:rsidRPr="009D7C32">
              <w:t>lan, Mildura and Northern Mallee</w:t>
            </w:r>
          </w:p>
        </w:tc>
        <w:tc>
          <w:tcPr>
            <w:tcW w:w="722" w:type="pct"/>
          </w:tcPr>
          <w:p w14:paraId="5102BDE2" w14:textId="77777777" w:rsidR="00D27D9E" w:rsidRPr="009D7C32" w:rsidRDefault="00D27D9E" w:rsidP="009D7C32">
            <w:pPr>
              <w:pStyle w:val="ARtabletextright"/>
            </w:pPr>
            <w:r w:rsidRPr="009D7C32">
              <w:t>257,843</w:t>
            </w:r>
          </w:p>
        </w:tc>
        <w:tc>
          <w:tcPr>
            <w:tcW w:w="766" w:type="pct"/>
          </w:tcPr>
          <w:p w14:paraId="713B70BF" w14:textId="77777777" w:rsidR="00D27D9E" w:rsidRPr="009D7C32" w:rsidRDefault="00D27D9E" w:rsidP="009D7C32">
            <w:pPr>
              <w:pStyle w:val="ARtabletextright"/>
            </w:pPr>
            <w:r w:rsidRPr="009D7C32">
              <w:t>187,382</w:t>
            </w:r>
          </w:p>
        </w:tc>
        <w:tc>
          <w:tcPr>
            <w:tcW w:w="674" w:type="pct"/>
          </w:tcPr>
          <w:p w14:paraId="106153F0" w14:textId="77777777" w:rsidR="00D27D9E" w:rsidRPr="009D7C32" w:rsidRDefault="00D27D9E" w:rsidP="009D7C32">
            <w:pPr>
              <w:pStyle w:val="ARtabletextright"/>
            </w:pPr>
            <w:r w:rsidRPr="009D7C32">
              <w:t>8,000</w:t>
            </w:r>
          </w:p>
        </w:tc>
      </w:tr>
      <w:tr w:rsidR="00D27D9E" w:rsidRPr="00A34CB9" w14:paraId="1120AF0C" w14:textId="77777777" w:rsidTr="00476F91">
        <w:tc>
          <w:tcPr>
            <w:tcW w:w="768" w:type="pct"/>
            <w:vMerge/>
          </w:tcPr>
          <w:p w14:paraId="5A9E62F6" w14:textId="4F6A2B60" w:rsidR="00D27D9E" w:rsidRPr="009D7C32" w:rsidRDefault="00D27D9E" w:rsidP="009D7C32">
            <w:pPr>
              <w:pStyle w:val="ARtabletext"/>
            </w:pPr>
          </w:p>
        </w:tc>
        <w:tc>
          <w:tcPr>
            <w:tcW w:w="907" w:type="pct"/>
            <w:vMerge/>
          </w:tcPr>
          <w:p w14:paraId="09475735" w14:textId="77777777" w:rsidR="00D27D9E" w:rsidRPr="009D7C32" w:rsidRDefault="00D27D9E" w:rsidP="009D7C32">
            <w:pPr>
              <w:pStyle w:val="ARtabletext"/>
            </w:pPr>
          </w:p>
        </w:tc>
        <w:tc>
          <w:tcPr>
            <w:tcW w:w="1163" w:type="pct"/>
          </w:tcPr>
          <w:p w14:paraId="10E9310C" w14:textId="77777777" w:rsidR="00D27D9E" w:rsidRPr="009D7C32" w:rsidRDefault="00D27D9E" w:rsidP="005E4771">
            <w:pPr>
              <w:pStyle w:val="ARtablebullet1"/>
              <w:numPr>
                <w:ilvl w:val="0"/>
                <w:numId w:val="0"/>
              </w:numPr>
            </w:pPr>
            <w:r w:rsidRPr="009D7C32">
              <w:t>Enterprise Architecture, HealthShare</w:t>
            </w:r>
          </w:p>
        </w:tc>
        <w:tc>
          <w:tcPr>
            <w:tcW w:w="722" w:type="pct"/>
          </w:tcPr>
          <w:p w14:paraId="5D0B53F4" w14:textId="77777777" w:rsidR="00D27D9E" w:rsidRPr="009D7C32" w:rsidRDefault="00D27D9E" w:rsidP="009D7C32">
            <w:pPr>
              <w:pStyle w:val="ARtabletextright"/>
            </w:pPr>
            <w:r w:rsidRPr="009D7C32">
              <w:t>223,000</w:t>
            </w:r>
          </w:p>
        </w:tc>
        <w:tc>
          <w:tcPr>
            <w:tcW w:w="766" w:type="pct"/>
          </w:tcPr>
          <w:p w14:paraId="16A09322" w14:textId="77777777" w:rsidR="00D27D9E" w:rsidRPr="009D7C32" w:rsidRDefault="00D27D9E" w:rsidP="009D7C32">
            <w:pPr>
              <w:pStyle w:val="ARtabletextright"/>
            </w:pPr>
            <w:r w:rsidRPr="009D7C32">
              <w:t>223,000</w:t>
            </w:r>
          </w:p>
        </w:tc>
        <w:tc>
          <w:tcPr>
            <w:tcW w:w="674" w:type="pct"/>
          </w:tcPr>
          <w:p w14:paraId="29392A83" w14:textId="77777777" w:rsidR="00D27D9E" w:rsidRPr="009D7C32" w:rsidRDefault="00D27D9E" w:rsidP="009D7C32">
            <w:pPr>
              <w:pStyle w:val="ARtabletextright"/>
            </w:pPr>
            <w:r w:rsidRPr="009D7C32">
              <w:t>0</w:t>
            </w:r>
          </w:p>
        </w:tc>
      </w:tr>
      <w:tr w:rsidR="00D27D9E" w:rsidRPr="00A34CB9" w14:paraId="6552F831" w14:textId="77777777" w:rsidTr="00476F91">
        <w:tc>
          <w:tcPr>
            <w:tcW w:w="768" w:type="pct"/>
            <w:vMerge/>
          </w:tcPr>
          <w:p w14:paraId="2DE80F77" w14:textId="370EE502" w:rsidR="00D27D9E" w:rsidRPr="009D7C32" w:rsidRDefault="00D27D9E" w:rsidP="009D7C32">
            <w:pPr>
              <w:pStyle w:val="ARtabletext"/>
            </w:pPr>
          </w:p>
        </w:tc>
        <w:tc>
          <w:tcPr>
            <w:tcW w:w="907" w:type="pct"/>
            <w:vMerge/>
          </w:tcPr>
          <w:p w14:paraId="3AA6133C" w14:textId="77777777" w:rsidR="00D27D9E" w:rsidRPr="009D7C32" w:rsidRDefault="00D27D9E" w:rsidP="009D7C32">
            <w:pPr>
              <w:pStyle w:val="ARtabletext"/>
            </w:pPr>
          </w:p>
        </w:tc>
        <w:tc>
          <w:tcPr>
            <w:tcW w:w="1163" w:type="pct"/>
          </w:tcPr>
          <w:p w14:paraId="103CB7D2" w14:textId="02491C42" w:rsidR="00D27D9E" w:rsidRPr="009D7C32" w:rsidRDefault="00D27D9E" w:rsidP="005E4771">
            <w:pPr>
              <w:pStyle w:val="ARtablebullet1"/>
              <w:numPr>
                <w:ilvl w:val="0"/>
                <w:numId w:val="0"/>
              </w:numPr>
            </w:pPr>
            <w:r w:rsidRPr="009D7C32">
              <w:t xml:space="preserve">Transitional support, </w:t>
            </w:r>
            <w:r>
              <w:t>P</w:t>
            </w:r>
            <w:r w:rsidRPr="009D7C32">
              <w:t>eople with disability following hospital discharge</w:t>
            </w:r>
          </w:p>
        </w:tc>
        <w:tc>
          <w:tcPr>
            <w:tcW w:w="722" w:type="pct"/>
          </w:tcPr>
          <w:p w14:paraId="0464B0A9" w14:textId="77777777" w:rsidR="00D27D9E" w:rsidRPr="009D7C32" w:rsidRDefault="00D27D9E" w:rsidP="009D7C32">
            <w:pPr>
              <w:pStyle w:val="ARtabletextright"/>
            </w:pPr>
            <w:r w:rsidRPr="009D7C32">
              <w:t>169,451</w:t>
            </w:r>
          </w:p>
        </w:tc>
        <w:tc>
          <w:tcPr>
            <w:tcW w:w="766" w:type="pct"/>
          </w:tcPr>
          <w:p w14:paraId="25D9EDCE" w14:textId="77777777" w:rsidR="00D27D9E" w:rsidRPr="009D7C32" w:rsidRDefault="00D27D9E" w:rsidP="009D7C32">
            <w:pPr>
              <w:pStyle w:val="ARtabletextright"/>
            </w:pPr>
            <w:r w:rsidRPr="009D7C32">
              <w:t>50,835</w:t>
            </w:r>
          </w:p>
        </w:tc>
        <w:tc>
          <w:tcPr>
            <w:tcW w:w="674" w:type="pct"/>
          </w:tcPr>
          <w:p w14:paraId="3484CA55" w14:textId="77777777" w:rsidR="00D27D9E" w:rsidRPr="009D7C32" w:rsidRDefault="00D27D9E" w:rsidP="009D7C32">
            <w:pPr>
              <w:pStyle w:val="ARtabletextright"/>
            </w:pPr>
            <w:r w:rsidRPr="009D7C32">
              <w:t>118,616</w:t>
            </w:r>
          </w:p>
        </w:tc>
      </w:tr>
      <w:tr w:rsidR="00D27D9E" w:rsidRPr="00A34CB9" w14:paraId="0B11A20B" w14:textId="77777777" w:rsidTr="00476F91">
        <w:tc>
          <w:tcPr>
            <w:tcW w:w="768" w:type="pct"/>
            <w:vMerge/>
          </w:tcPr>
          <w:p w14:paraId="3B085D6C" w14:textId="51743D1D" w:rsidR="00D27D9E" w:rsidRPr="009D7C32" w:rsidRDefault="00D27D9E" w:rsidP="009D7C32">
            <w:pPr>
              <w:pStyle w:val="ARtabletext"/>
            </w:pPr>
          </w:p>
        </w:tc>
        <w:tc>
          <w:tcPr>
            <w:tcW w:w="907" w:type="pct"/>
            <w:vMerge/>
          </w:tcPr>
          <w:p w14:paraId="4AF4C81C" w14:textId="77777777" w:rsidR="00D27D9E" w:rsidRPr="009D7C32" w:rsidRDefault="00D27D9E" w:rsidP="009D7C32">
            <w:pPr>
              <w:pStyle w:val="ARtabletext"/>
            </w:pPr>
          </w:p>
        </w:tc>
        <w:tc>
          <w:tcPr>
            <w:tcW w:w="1163" w:type="pct"/>
          </w:tcPr>
          <w:p w14:paraId="2BADA5C7" w14:textId="77777777" w:rsidR="00D27D9E" w:rsidRPr="009D7C32" w:rsidRDefault="00D27D9E" w:rsidP="005E4771">
            <w:pPr>
              <w:pStyle w:val="ARtablebullet1"/>
              <w:numPr>
                <w:ilvl w:val="0"/>
                <w:numId w:val="0"/>
              </w:numPr>
            </w:pPr>
            <w:r w:rsidRPr="009D7C32">
              <w:t>Establishment, Joint Intelligence Unit, State Control Centre</w:t>
            </w:r>
          </w:p>
        </w:tc>
        <w:tc>
          <w:tcPr>
            <w:tcW w:w="722" w:type="pct"/>
          </w:tcPr>
          <w:p w14:paraId="3FBD8155" w14:textId="77777777" w:rsidR="00D27D9E" w:rsidRPr="009D7C32" w:rsidRDefault="00D27D9E" w:rsidP="009D7C32">
            <w:pPr>
              <w:pStyle w:val="ARtabletextright"/>
            </w:pPr>
            <w:r w:rsidRPr="009D7C32">
              <w:t>63,636</w:t>
            </w:r>
          </w:p>
        </w:tc>
        <w:tc>
          <w:tcPr>
            <w:tcW w:w="766" w:type="pct"/>
          </w:tcPr>
          <w:p w14:paraId="64178300" w14:textId="77777777" w:rsidR="00D27D9E" w:rsidRPr="009D7C32" w:rsidRDefault="00D27D9E" w:rsidP="009D7C32">
            <w:pPr>
              <w:pStyle w:val="ARtabletextright"/>
            </w:pPr>
            <w:r w:rsidRPr="009D7C32">
              <w:t>54,684</w:t>
            </w:r>
          </w:p>
        </w:tc>
        <w:tc>
          <w:tcPr>
            <w:tcW w:w="674" w:type="pct"/>
          </w:tcPr>
          <w:p w14:paraId="75099121" w14:textId="77777777" w:rsidR="00D27D9E" w:rsidRPr="009D7C32" w:rsidRDefault="00D27D9E" w:rsidP="009D7C32">
            <w:pPr>
              <w:pStyle w:val="ARtabletextright"/>
            </w:pPr>
            <w:r w:rsidRPr="009D7C32">
              <w:t>8,952</w:t>
            </w:r>
          </w:p>
        </w:tc>
      </w:tr>
      <w:tr w:rsidR="00D27D9E" w:rsidRPr="00A34CB9" w14:paraId="436AC6A8" w14:textId="77777777" w:rsidTr="00476F91">
        <w:tc>
          <w:tcPr>
            <w:tcW w:w="768" w:type="pct"/>
            <w:vMerge/>
          </w:tcPr>
          <w:p w14:paraId="3E8227A2" w14:textId="735974FF" w:rsidR="00D27D9E" w:rsidRPr="009D7C32" w:rsidRDefault="00D27D9E" w:rsidP="009D7C32">
            <w:pPr>
              <w:pStyle w:val="ARtabletext"/>
            </w:pPr>
          </w:p>
        </w:tc>
        <w:tc>
          <w:tcPr>
            <w:tcW w:w="907" w:type="pct"/>
            <w:vMerge/>
          </w:tcPr>
          <w:p w14:paraId="22374F11" w14:textId="77777777" w:rsidR="00D27D9E" w:rsidRPr="009D7C32" w:rsidRDefault="00D27D9E" w:rsidP="009D7C32">
            <w:pPr>
              <w:pStyle w:val="ARtabletext"/>
            </w:pPr>
          </w:p>
        </w:tc>
        <w:tc>
          <w:tcPr>
            <w:tcW w:w="1163" w:type="pct"/>
          </w:tcPr>
          <w:p w14:paraId="3EE0F127" w14:textId="0BF24FA1" w:rsidR="00D27D9E" w:rsidRPr="009D7C32" w:rsidRDefault="00D27D9E" w:rsidP="005E4771">
            <w:pPr>
              <w:pStyle w:val="ARtablebullet1"/>
              <w:numPr>
                <w:ilvl w:val="0"/>
                <w:numId w:val="0"/>
              </w:numPr>
            </w:pPr>
            <w:r w:rsidRPr="009D7C32">
              <w:t xml:space="preserve">Review, </w:t>
            </w:r>
            <w:r>
              <w:t>M</w:t>
            </w:r>
            <w:r w:rsidRPr="009D7C32">
              <w:t>edical workforce arrangements</w:t>
            </w:r>
          </w:p>
        </w:tc>
        <w:tc>
          <w:tcPr>
            <w:tcW w:w="722" w:type="pct"/>
          </w:tcPr>
          <w:p w14:paraId="569044ED" w14:textId="77777777" w:rsidR="00D27D9E" w:rsidRPr="009D7C32" w:rsidRDefault="00D27D9E" w:rsidP="009D7C32">
            <w:pPr>
              <w:pStyle w:val="ARtabletextright"/>
            </w:pPr>
            <w:r w:rsidRPr="009D7C32">
              <w:t>58,906</w:t>
            </w:r>
          </w:p>
        </w:tc>
        <w:tc>
          <w:tcPr>
            <w:tcW w:w="766" w:type="pct"/>
          </w:tcPr>
          <w:p w14:paraId="77B1172E" w14:textId="77777777" w:rsidR="00D27D9E" w:rsidRPr="009D7C32" w:rsidRDefault="00D27D9E" w:rsidP="009D7C32">
            <w:pPr>
              <w:pStyle w:val="ARtabletextright"/>
            </w:pPr>
            <w:r w:rsidRPr="009D7C32">
              <w:t>58,906</w:t>
            </w:r>
          </w:p>
        </w:tc>
        <w:tc>
          <w:tcPr>
            <w:tcW w:w="674" w:type="pct"/>
          </w:tcPr>
          <w:p w14:paraId="5FD32CCE" w14:textId="77777777" w:rsidR="00D27D9E" w:rsidRPr="009D7C32" w:rsidRDefault="00D27D9E" w:rsidP="009D7C32">
            <w:pPr>
              <w:pStyle w:val="ARtabletextright"/>
            </w:pPr>
            <w:r w:rsidRPr="009D7C32">
              <w:t>0</w:t>
            </w:r>
          </w:p>
        </w:tc>
      </w:tr>
      <w:tr w:rsidR="00D27D9E" w:rsidRPr="00A34CB9" w14:paraId="40483762" w14:textId="77777777" w:rsidTr="00476F91">
        <w:tc>
          <w:tcPr>
            <w:tcW w:w="768" w:type="pct"/>
            <w:vMerge/>
          </w:tcPr>
          <w:p w14:paraId="7254037B" w14:textId="49EA5751" w:rsidR="00D27D9E" w:rsidRPr="009D7C32" w:rsidRDefault="00D27D9E" w:rsidP="009D7C32">
            <w:pPr>
              <w:pStyle w:val="ARtabletext"/>
            </w:pPr>
          </w:p>
        </w:tc>
        <w:tc>
          <w:tcPr>
            <w:tcW w:w="907" w:type="pct"/>
            <w:vMerge/>
          </w:tcPr>
          <w:p w14:paraId="1C166778" w14:textId="77777777" w:rsidR="00D27D9E" w:rsidRPr="009D7C32" w:rsidRDefault="00D27D9E" w:rsidP="009D7C32">
            <w:pPr>
              <w:pStyle w:val="ARtabletext"/>
            </w:pPr>
          </w:p>
        </w:tc>
        <w:tc>
          <w:tcPr>
            <w:tcW w:w="1163" w:type="pct"/>
          </w:tcPr>
          <w:p w14:paraId="228C1BB8" w14:textId="506609CC" w:rsidR="00D27D9E" w:rsidRPr="009D7C32" w:rsidRDefault="00D27D9E" w:rsidP="005E4771">
            <w:pPr>
              <w:pStyle w:val="ARtablebullet1"/>
              <w:numPr>
                <w:ilvl w:val="0"/>
                <w:numId w:val="0"/>
              </w:numPr>
            </w:pPr>
            <w:r w:rsidRPr="009D7C32">
              <w:t xml:space="preserve">Funding model reform, </w:t>
            </w:r>
            <w:r>
              <w:t>E</w:t>
            </w:r>
            <w:r w:rsidRPr="009D7C32">
              <w:t>arly parenting centre</w:t>
            </w:r>
            <w:r>
              <w:t>s</w:t>
            </w:r>
          </w:p>
        </w:tc>
        <w:tc>
          <w:tcPr>
            <w:tcW w:w="722" w:type="pct"/>
          </w:tcPr>
          <w:p w14:paraId="7410335D" w14:textId="77777777" w:rsidR="00D27D9E" w:rsidRPr="009D7C32" w:rsidRDefault="00D27D9E" w:rsidP="009D7C32">
            <w:pPr>
              <w:pStyle w:val="ARtabletextright"/>
            </w:pPr>
            <w:r w:rsidRPr="009D7C32">
              <w:t>218,469</w:t>
            </w:r>
          </w:p>
        </w:tc>
        <w:tc>
          <w:tcPr>
            <w:tcW w:w="766" w:type="pct"/>
          </w:tcPr>
          <w:p w14:paraId="2C8F689A" w14:textId="77777777" w:rsidR="00D27D9E" w:rsidRPr="009D7C32" w:rsidRDefault="00D27D9E" w:rsidP="009D7C32">
            <w:pPr>
              <w:pStyle w:val="ARtabletextright"/>
            </w:pPr>
            <w:r w:rsidRPr="009D7C32">
              <w:t>65,541</w:t>
            </w:r>
          </w:p>
        </w:tc>
        <w:tc>
          <w:tcPr>
            <w:tcW w:w="674" w:type="pct"/>
          </w:tcPr>
          <w:p w14:paraId="14ACB27E" w14:textId="77777777" w:rsidR="00D27D9E" w:rsidRPr="009D7C32" w:rsidRDefault="00D27D9E" w:rsidP="009D7C32">
            <w:pPr>
              <w:pStyle w:val="ARtabletextright"/>
            </w:pPr>
            <w:r w:rsidRPr="009D7C32">
              <w:t>152,928</w:t>
            </w:r>
          </w:p>
        </w:tc>
      </w:tr>
      <w:tr w:rsidR="00D27D9E" w:rsidRPr="00A34CB9" w14:paraId="01F710AE" w14:textId="77777777" w:rsidTr="00476F91">
        <w:tc>
          <w:tcPr>
            <w:tcW w:w="768" w:type="pct"/>
            <w:vMerge/>
          </w:tcPr>
          <w:p w14:paraId="2D817981" w14:textId="3E24A1DB" w:rsidR="00D27D9E" w:rsidRPr="009D7C32" w:rsidRDefault="00D27D9E" w:rsidP="009D7C32">
            <w:pPr>
              <w:pStyle w:val="ARtabletext"/>
            </w:pPr>
          </w:p>
        </w:tc>
        <w:tc>
          <w:tcPr>
            <w:tcW w:w="907" w:type="pct"/>
            <w:vMerge/>
          </w:tcPr>
          <w:p w14:paraId="5B1F079A" w14:textId="77777777" w:rsidR="00D27D9E" w:rsidRPr="009D7C32" w:rsidRDefault="00D27D9E" w:rsidP="009D7C32">
            <w:pPr>
              <w:pStyle w:val="ARtabletext"/>
            </w:pPr>
          </w:p>
        </w:tc>
        <w:tc>
          <w:tcPr>
            <w:tcW w:w="1163" w:type="pct"/>
          </w:tcPr>
          <w:p w14:paraId="5073928F" w14:textId="7DCA34FE" w:rsidR="00D27D9E" w:rsidRPr="009D7C32" w:rsidRDefault="00D27D9E" w:rsidP="005E4771">
            <w:pPr>
              <w:pStyle w:val="ARtablebullet1"/>
              <w:numPr>
                <w:ilvl w:val="0"/>
                <w:numId w:val="0"/>
              </w:numPr>
            </w:pPr>
            <w:r w:rsidRPr="009D7C32">
              <w:t xml:space="preserve">Review, </w:t>
            </w:r>
            <w:r>
              <w:t>I</w:t>
            </w:r>
            <w:r w:rsidRPr="009D7C32">
              <w:t>ntegrated health promotion program</w:t>
            </w:r>
          </w:p>
        </w:tc>
        <w:tc>
          <w:tcPr>
            <w:tcW w:w="722" w:type="pct"/>
          </w:tcPr>
          <w:p w14:paraId="7CCA5C33" w14:textId="77777777" w:rsidR="00D27D9E" w:rsidRPr="009D7C32" w:rsidRDefault="00D27D9E" w:rsidP="009D7C32">
            <w:pPr>
              <w:pStyle w:val="ARtabletextright"/>
            </w:pPr>
            <w:r w:rsidRPr="009D7C32">
              <w:t>136,325</w:t>
            </w:r>
          </w:p>
        </w:tc>
        <w:tc>
          <w:tcPr>
            <w:tcW w:w="766" w:type="pct"/>
          </w:tcPr>
          <w:p w14:paraId="7A401213" w14:textId="77777777" w:rsidR="00D27D9E" w:rsidRPr="009D7C32" w:rsidRDefault="00D27D9E" w:rsidP="009D7C32">
            <w:pPr>
              <w:pStyle w:val="ARtabletextright"/>
            </w:pPr>
            <w:r w:rsidRPr="009D7C32">
              <w:t>40,898</w:t>
            </w:r>
          </w:p>
        </w:tc>
        <w:tc>
          <w:tcPr>
            <w:tcW w:w="674" w:type="pct"/>
          </w:tcPr>
          <w:p w14:paraId="0702655B" w14:textId="77777777" w:rsidR="00D27D9E" w:rsidRPr="009D7C32" w:rsidRDefault="00D27D9E" w:rsidP="009D7C32">
            <w:pPr>
              <w:pStyle w:val="ARtabletextright"/>
            </w:pPr>
            <w:r w:rsidRPr="009D7C32">
              <w:t>95,428</w:t>
            </w:r>
          </w:p>
        </w:tc>
      </w:tr>
      <w:tr w:rsidR="00D27D9E" w:rsidRPr="00A34CB9" w14:paraId="2C61C18C" w14:textId="77777777" w:rsidTr="00476F91">
        <w:tc>
          <w:tcPr>
            <w:tcW w:w="768" w:type="pct"/>
            <w:vMerge/>
          </w:tcPr>
          <w:p w14:paraId="7E4794A9" w14:textId="1E6229D3" w:rsidR="00D27D9E" w:rsidRPr="009D7C32" w:rsidRDefault="00D27D9E" w:rsidP="009D7C32">
            <w:pPr>
              <w:pStyle w:val="ARtabletext"/>
            </w:pPr>
          </w:p>
        </w:tc>
        <w:tc>
          <w:tcPr>
            <w:tcW w:w="907" w:type="pct"/>
            <w:vMerge/>
          </w:tcPr>
          <w:p w14:paraId="1B1F131B" w14:textId="77777777" w:rsidR="00D27D9E" w:rsidRPr="009D7C32" w:rsidRDefault="00D27D9E" w:rsidP="009D7C32">
            <w:pPr>
              <w:pStyle w:val="ARtabletext"/>
            </w:pPr>
          </w:p>
        </w:tc>
        <w:tc>
          <w:tcPr>
            <w:tcW w:w="1163" w:type="pct"/>
          </w:tcPr>
          <w:p w14:paraId="122CB905" w14:textId="5C2BC2CC" w:rsidR="00D27D9E" w:rsidRPr="009D7C32" w:rsidRDefault="00D27D9E" w:rsidP="005E4771">
            <w:pPr>
              <w:pStyle w:val="ARtablebullet1"/>
              <w:numPr>
                <w:ilvl w:val="0"/>
                <w:numId w:val="0"/>
              </w:numPr>
            </w:pPr>
            <w:r w:rsidRPr="009D7C32">
              <w:t xml:space="preserve">Strategy, </w:t>
            </w:r>
            <w:r>
              <w:t>P</w:t>
            </w:r>
            <w:r w:rsidRPr="009D7C32">
              <w:t>rivate hospital elective surgery</w:t>
            </w:r>
          </w:p>
        </w:tc>
        <w:tc>
          <w:tcPr>
            <w:tcW w:w="722" w:type="pct"/>
          </w:tcPr>
          <w:p w14:paraId="58C2AFDC" w14:textId="77777777" w:rsidR="00D27D9E" w:rsidRPr="009D7C32" w:rsidRDefault="00D27D9E" w:rsidP="009D7C32">
            <w:pPr>
              <w:pStyle w:val="ARtabletextright"/>
            </w:pPr>
            <w:r w:rsidRPr="009D7C32">
              <w:t>89,493</w:t>
            </w:r>
          </w:p>
        </w:tc>
        <w:tc>
          <w:tcPr>
            <w:tcW w:w="766" w:type="pct"/>
          </w:tcPr>
          <w:p w14:paraId="3FE169DB" w14:textId="77777777" w:rsidR="00D27D9E" w:rsidRPr="009D7C32" w:rsidRDefault="00D27D9E" w:rsidP="009D7C32">
            <w:pPr>
              <w:pStyle w:val="ARtabletextright"/>
            </w:pPr>
            <w:r w:rsidRPr="009D7C32">
              <w:t>89,493</w:t>
            </w:r>
          </w:p>
        </w:tc>
        <w:tc>
          <w:tcPr>
            <w:tcW w:w="674" w:type="pct"/>
          </w:tcPr>
          <w:p w14:paraId="45A6D5B8" w14:textId="77777777" w:rsidR="00D27D9E" w:rsidRPr="009D7C32" w:rsidRDefault="00D27D9E" w:rsidP="009D7C32">
            <w:pPr>
              <w:pStyle w:val="ARtabletextright"/>
            </w:pPr>
            <w:r w:rsidRPr="009D7C32">
              <w:t>0</w:t>
            </w:r>
          </w:p>
        </w:tc>
      </w:tr>
      <w:tr w:rsidR="00D27D9E" w:rsidRPr="00A34CB9" w14:paraId="11A2005E" w14:textId="77777777" w:rsidTr="00476F91">
        <w:tc>
          <w:tcPr>
            <w:tcW w:w="768" w:type="pct"/>
            <w:vMerge/>
          </w:tcPr>
          <w:p w14:paraId="3D4AD933" w14:textId="36EB4045" w:rsidR="00D27D9E" w:rsidRPr="009D7C32" w:rsidRDefault="00D27D9E" w:rsidP="009D7C32">
            <w:pPr>
              <w:pStyle w:val="ARtabletext"/>
            </w:pPr>
          </w:p>
        </w:tc>
        <w:tc>
          <w:tcPr>
            <w:tcW w:w="907" w:type="pct"/>
            <w:vMerge/>
          </w:tcPr>
          <w:p w14:paraId="7B7B3BFC" w14:textId="77777777" w:rsidR="00D27D9E" w:rsidRPr="009D7C32" w:rsidRDefault="00D27D9E" w:rsidP="009D7C32">
            <w:pPr>
              <w:pStyle w:val="ARtabletext"/>
            </w:pPr>
          </w:p>
        </w:tc>
        <w:tc>
          <w:tcPr>
            <w:tcW w:w="1163" w:type="pct"/>
          </w:tcPr>
          <w:p w14:paraId="41B9372C" w14:textId="393FDF5A" w:rsidR="00D27D9E" w:rsidRPr="009D7C32" w:rsidRDefault="00D27D9E" w:rsidP="005E4771">
            <w:pPr>
              <w:pStyle w:val="ARtablebullet1"/>
              <w:numPr>
                <w:ilvl w:val="0"/>
                <w:numId w:val="0"/>
              </w:numPr>
            </w:pPr>
            <w:r w:rsidRPr="009D7C32">
              <w:t>Review, State Supply Chain for health services</w:t>
            </w:r>
          </w:p>
        </w:tc>
        <w:tc>
          <w:tcPr>
            <w:tcW w:w="722" w:type="pct"/>
          </w:tcPr>
          <w:p w14:paraId="798659F0" w14:textId="77777777" w:rsidR="00D27D9E" w:rsidRPr="009D7C32" w:rsidRDefault="00D27D9E" w:rsidP="009D7C32">
            <w:pPr>
              <w:pStyle w:val="ARtabletextright"/>
            </w:pPr>
            <w:r w:rsidRPr="009D7C32">
              <w:t>78,584</w:t>
            </w:r>
          </w:p>
        </w:tc>
        <w:tc>
          <w:tcPr>
            <w:tcW w:w="766" w:type="pct"/>
          </w:tcPr>
          <w:p w14:paraId="32354CEA" w14:textId="77777777" w:rsidR="00D27D9E" w:rsidRPr="009D7C32" w:rsidRDefault="00D27D9E" w:rsidP="009D7C32">
            <w:pPr>
              <w:pStyle w:val="ARtabletextright"/>
            </w:pPr>
            <w:r w:rsidRPr="009D7C32">
              <w:t>78,584</w:t>
            </w:r>
          </w:p>
        </w:tc>
        <w:tc>
          <w:tcPr>
            <w:tcW w:w="674" w:type="pct"/>
          </w:tcPr>
          <w:p w14:paraId="41D4893F" w14:textId="77777777" w:rsidR="00D27D9E" w:rsidRPr="009D7C32" w:rsidRDefault="00D27D9E" w:rsidP="009D7C32">
            <w:pPr>
              <w:pStyle w:val="ARtabletextright"/>
            </w:pPr>
            <w:r w:rsidRPr="009D7C32">
              <w:t>0</w:t>
            </w:r>
          </w:p>
        </w:tc>
      </w:tr>
      <w:tr w:rsidR="00D27D9E" w:rsidRPr="00A34CB9" w14:paraId="5A88646D" w14:textId="77777777" w:rsidTr="00476F91">
        <w:tc>
          <w:tcPr>
            <w:tcW w:w="768" w:type="pct"/>
            <w:vMerge/>
          </w:tcPr>
          <w:p w14:paraId="0EF4DEC2" w14:textId="7A0D6EE1" w:rsidR="00D27D9E" w:rsidRPr="009D7C32" w:rsidRDefault="00D27D9E" w:rsidP="009D7C32">
            <w:pPr>
              <w:pStyle w:val="ARtabletext"/>
            </w:pPr>
          </w:p>
        </w:tc>
        <w:tc>
          <w:tcPr>
            <w:tcW w:w="907" w:type="pct"/>
            <w:vMerge/>
          </w:tcPr>
          <w:p w14:paraId="63126C53" w14:textId="77777777" w:rsidR="00D27D9E" w:rsidRPr="009D7C32" w:rsidRDefault="00D27D9E" w:rsidP="009D7C32">
            <w:pPr>
              <w:pStyle w:val="ARtabletext"/>
            </w:pPr>
          </w:p>
        </w:tc>
        <w:tc>
          <w:tcPr>
            <w:tcW w:w="1163" w:type="pct"/>
          </w:tcPr>
          <w:p w14:paraId="54D2A0AA" w14:textId="13C55905" w:rsidR="00D27D9E" w:rsidRPr="009D7C32" w:rsidRDefault="00D27D9E" w:rsidP="005E4771">
            <w:pPr>
              <w:pStyle w:val="ARtablebullet1"/>
              <w:numPr>
                <w:ilvl w:val="0"/>
                <w:numId w:val="0"/>
              </w:numPr>
            </w:pPr>
            <w:r w:rsidRPr="009D7C32">
              <w:t xml:space="preserve">Strategy, </w:t>
            </w:r>
            <w:r>
              <w:t>P</w:t>
            </w:r>
            <w:r w:rsidRPr="009D7C32">
              <w:t>atient administration system</w:t>
            </w:r>
          </w:p>
        </w:tc>
        <w:tc>
          <w:tcPr>
            <w:tcW w:w="722" w:type="pct"/>
          </w:tcPr>
          <w:p w14:paraId="2F6A84E8" w14:textId="77777777" w:rsidR="00D27D9E" w:rsidRPr="009D7C32" w:rsidRDefault="00D27D9E" w:rsidP="009D7C32">
            <w:pPr>
              <w:pStyle w:val="ARtabletextright"/>
            </w:pPr>
            <w:r w:rsidRPr="009D7C32">
              <w:t>270,800</w:t>
            </w:r>
          </w:p>
        </w:tc>
        <w:tc>
          <w:tcPr>
            <w:tcW w:w="766" w:type="pct"/>
          </w:tcPr>
          <w:p w14:paraId="24798862" w14:textId="77777777" w:rsidR="00D27D9E" w:rsidRPr="009D7C32" w:rsidRDefault="00D27D9E" w:rsidP="009D7C32">
            <w:pPr>
              <w:pStyle w:val="ARtabletextright"/>
            </w:pPr>
            <w:r w:rsidRPr="009D7C32">
              <w:t>270,800</w:t>
            </w:r>
          </w:p>
        </w:tc>
        <w:tc>
          <w:tcPr>
            <w:tcW w:w="674" w:type="pct"/>
          </w:tcPr>
          <w:p w14:paraId="6571D1BE" w14:textId="77777777" w:rsidR="00D27D9E" w:rsidRPr="009D7C32" w:rsidRDefault="00D27D9E" w:rsidP="009D7C32">
            <w:pPr>
              <w:pStyle w:val="ARtabletextright"/>
            </w:pPr>
            <w:r w:rsidRPr="009D7C32">
              <w:t>0</w:t>
            </w:r>
          </w:p>
        </w:tc>
      </w:tr>
      <w:tr w:rsidR="00D27D9E" w:rsidRPr="00A34CB9" w14:paraId="3C344002" w14:textId="77777777" w:rsidTr="00476F91">
        <w:tc>
          <w:tcPr>
            <w:tcW w:w="768" w:type="pct"/>
            <w:vMerge/>
          </w:tcPr>
          <w:p w14:paraId="3D8193D9" w14:textId="7063A971" w:rsidR="00D27D9E" w:rsidRPr="009D7C32" w:rsidRDefault="00D27D9E" w:rsidP="009D7C32">
            <w:pPr>
              <w:pStyle w:val="ARtabletext"/>
            </w:pPr>
          </w:p>
        </w:tc>
        <w:tc>
          <w:tcPr>
            <w:tcW w:w="907" w:type="pct"/>
            <w:vMerge/>
          </w:tcPr>
          <w:p w14:paraId="2F11B50A" w14:textId="77777777" w:rsidR="00D27D9E" w:rsidRPr="009D7C32" w:rsidRDefault="00D27D9E" w:rsidP="009D7C32">
            <w:pPr>
              <w:pStyle w:val="ARtabletext"/>
            </w:pPr>
          </w:p>
        </w:tc>
        <w:tc>
          <w:tcPr>
            <w:tcW w:w="1163" w:type="pct"/>
          </w:tcPr>
          <w:p w14:paraId="555B05DE" w14:textId="77777777" w:rsidR="00D27D9E" w:rsidRPr="009D7C32" w:rsidRDefault="00D27D9E" w:rsidP="005E4771">
            <w:pPr>
              <w:pStyle w:val="ARtablebullet1"/>
              <w:numPr>
                <w:ilvl w:val="0"/>
                <w:numId w:val="0"/>
              </w:numPr>
            </w:pPr>
            <w:r w:rsidRPr="009D7C32">
              <w:t>Development, Better at Home program</w:t>
            </w:r>
          </w:p>
        </w:tc>
        <w:tc>
          <w:tcPr>
            <w:tcW w:w="722" w:type="pct"/>
          </w:tcPr>
          <w:p w14:paraId="1FFCE932" w14:textId="77777777" w:rsidR="00D27D9E" w:rsidRPr="009D7C32" w:rsidRDefault="00D27D9E" w:rsidP="009D7C32">
            <w:pPr>
              <w:pStyle w:val="ARtabletextright"/>
            </w:pPr>
            <w:r w:rsidRPr="009D7C32">
              <w:t>294,000</w:t>
            </w:r>
          </w:p>
        </w:tc>
        <w:tc>
          <w:tcPr>
            <w:tcW w:w="766" w:type="pct"/>
          </w:tcPr>
          <w:p w14:paraId="448AEAF2" w14:textId="77777777" w:rsidR="00D27D9E" w:rsidRPr="009D7C32" w:rsidRDefault="00D27D9E" w:rsidP="009D7C32">
            <w:pPr>
              <w:pStyle w:val="ARtabletextright"/>
            </w:pPr>
            <w:r w:rsidRPr="009D7C32">
              <w:t>91,287</w:t>
            </w:r>
          </w:p>
        </w:tc>
        <w:tc>
          <w:tcPr>
            <w:tcW w:w="674" w:type="pct"/>
          </w:tcPr>
          <w:p w14:paraId="20642034" w14:textId="77777777" w:rsidR="00D27D9E" w:rsidRPr="009D7C32" w:rsidRDefault="00D27D9E" w:rsidP="009D7C32">
            <w:pPr>
              <w:pStyle w:val="ARtabletextright"/>
            </w:pPr>
            <w:r w:rsidRPr="009D7C32">
              <w:t>202,713</w:t>
            </w:r>
          </w:p>
        </w:tc>
      </w:tr>
      <w:tr w:rsidR="00D27D9E" w:rsidRPr="00A34CB9" w14:paraId="34A6B1AF" w14:textId="77777777" w:rsidTr="00476F91">
        <w:tc>
          <w:tcPr>
            <w:tcW w:w="768" w:type="pct"/>
            <w:vMerge/>
          </w:tcPr>
          <w:p w14:paraId="3B8873C1" w14:textId="3A68500F" w:rsidR="00D27D9E" w:rsidRPr="009D7C32" w:rsidRDefault="00D27D9E" w:rsidP="009D7C32">
            <w:pPr>
              <w:pStyle w:val="ARtabletext"/>
            </w:pPr>
          </w:p>
        </w:tc>
        <w:tc>
          <w:tcPr>
            <w:tcW w:w="907" w:type="pct"/>
            <w:vMerge/>
          </w:tcPr>
          <w:p w14:paraId="7CCD8395" w14:textId="77777777" w:rsidR="00D27D9E" w:rsidRPr="009D7C32" w:rsidRDefault="00D27D9E" w:rsidP="009D7C32">
            <w:pPr>
              <w:pStyle w:val="ARtabletext"/>
            </w:pPr>
          </w:p>
        </w:tc>
        <w:tc>
          <w:tcPr>
            <w:tcW w:w="1163" w:type="pct"/>
          </w:tcPr>
          <w:p w14:paraId="733DEE7A" w14:textId="4F5DDD3C" w:rsidR="00D27D9E" w:rsidRPr="009D7C32" w:rsidRDefault="00D27D9E" w:rsidP="005E4771">
            <w:pPr>
              <w:pStyle w:val="ARtablebullet1"/>
              <w:numPr>
                <w:ilvl w:val="0"/>
                <w:numId w:val="0"/>
              </w:numPr>
            </w:pPr>
            <w:r w:rsidRPr="009D7C32">
              <w:t>Measuring, reporting and reducing low-value care</w:t>
            </w:r>
          </w:p>
        </w:tc>
        <w:tc>
          <w:tcPr>
            <w:tcW w:w="722" w:type="pct"/>
          </w:tcPr>
          <w:p w14:paraId="29F2A832" w14:textId="77777777" w:rsidR="00D27D9E" w:rsidRPr="009D7C32" w:rsidRDefault="00D27D9E" w:rsidP="009D7C32">
            <w:pPr>
              <w:pStyle w:val="ARtabletextright"/>
            </w:pPr>
            <w:r w:rsidRPr="009D7C32">
              <w:t>98,998</w:t>
            </w:r>
          </w:p>
        </w:tc>
        <w:tc>
          <w:tcPr>
            <w:tcW w:w="766" w:type="pct"/>
          </w:tcPr>
          <w:p w14:paraId="5D2B52F7" w14:textId="77777777" w:rsidR="00D27D9E" w:rsidRPr="009D7C32" w:rsidRDefault="00D27D9E" w:rsidP="009D7C32">
            <w:pPr>
              <w:pStyle w:val="ARtabletextright"/>
            </w:pPr>
            <w:r w:rsidRPr="009D7C32">
              <w:t>98,998</w:t>
            </w:r>
          </w:p>
        </w:tc>
        <w:tc>
          <w:tcPr>
            <w:tcW w:w="674" w:type="pct"/>
          </w:tcPr>
          <w:p w14:paraId="621AAE89" w14:textId="77777777" w:rsidR="00D27D9E" w:rsidRPr="009D7C32" w:rsidRDefault="00D27D9E" w:rsidP="009D7C32">
            <w:pPr>
              <w:pStyle w:val="ARtabletextright"/>
            </w:pPr>
            <w:r w:rsidRPr="009D7C32">
              <w:t>0</w:t>
            </w:r>
          </w:p>
        </w:tc>
      </w:tr>
      <w:tr w:rsidR="00D27D9E" w:rsidRPr="00A34CB9" w14:paraId="6E53A9F6" w14:textId="77777777" w:rsidTr="00476F91">
        <w:tc>
          <w:tcPr>
            <w:tcW w:w="768" w:type="pct"/>
            <w:vMerge/>
          </w:tcPr>
          <w:p w14:paraId="79FB6056" w14:textId="4ED41A9A" w:rsidR="00D27D9E" w:rsidRPr="009D7C32" w:rsidRDefault="00D27D9E" w:rsidP="009D7C32">
            <w:pPr>
              <w:pStyle w:val="ARtabletext"/>
            </w:pPr>
          </w:p>
        </w:tc>
        <w:tc>
          <w:tcPr>
            <w:tcW w:w="907" w:type="pct"/>
            <w:vMerge/>
          </w:tcPr>
          <w:p w14:paraId="3BABB44F" w14:textId="77777777" w:rsidR="00D27D9E" w:rsidRPr="009D7C32" w:rsidRDefault="00D27D9E" w:rsidP="009D7C32">
            <w:pPr>
              <w:pStyle w:val="ARtabletext"/>
            </w:pPr>
          </w:p>
        </w:tc>
        <w:tc>
          <w:tcPr>
            <w:tcW w:w="1163" w:type="pct"/>
          </w:tcPr>
          <w:p w14:paraId="45311849" w14:textId="313E4EDA" w:rsidR="00D27D9E" w:rsidRPr="009D7C32" w:rsidRDefault="00D27D9E" w:rsidP="005E4771">
            <w:pPr>
              <w:pStyle w:val="ARtablebullet1"/>
              <w:numPr>
                <w:ilvl w:val="0"/>
                <w:numId w:val="0"/>
              </w:numPr>
            </w:pPr>
            <w:r w:rsidRPr="009D7C32">
              <w:t>Review, Alfred Hospital Burns Service clinical service</w:t>
            </w:r>
          </w:p>
        </w:tc>
        <w:tc>
          <w:tcPr>
            <w:tcW w:w="722" w:type="pct"/>
          </w:tcPr>
          <w:p w14:paraId="077D7D58" w14:textId="77777777" w:rsidR="00D27D9E" w:rsidRPr="009D7C32" w:rsidRDefault="00D27D9E" w:rsidP="009D7C32">
            <w:pPr>
              <w:pStyle w:val="ARtabletextright"/>
            </w:pPr>
            <w:r w:rsidRPr="009D7C32">
              <w:t>86,067</w:t>
            </w:r>
          </w:p>
        </w:tc>
        <w:tc>
          <w:tcPr>
            <w:tcW w:w="766" w:type="pct"/>
          </w:tcPr>
          <w:p w14:paraId="743E3DC1" w14:textId="77777777" w:rsidR="00D27D9E" w:rsidRPr="009D7C32" w:rsidRDefault="00D27D9E" w:rsidP="009D7C32">
            <w:pPr>
              <w:pStyle w:val="ARtabletextright"/>
            </w:pPr>
            <w:r w:rsidRPr="009D7C32">
              <w:t>17,213</w:t>
            </w:r>
          </w:p>
        </w:tc>
        <w:tc>
          <w:tcPr>
            <w:tcW w:w="674" w:type="pct"/>
          </w:tcPr>
          <w:p w14:paraId="12D41C70" w14:textId="77777777" w:rsidR="00D27D9E" w:rsidRPr="009D7C32" w:rsidRDefault="00D27D9E" w:rsidP="009D7C32">
            <w:pPr>
              <w:pStyle w:val="ARtabletextright"/>
            </w:pPr>
            <w:r w:rsidRPr="009D7C32">
              <w:t>68,854</w:t>
            </w:r>
          </w:p>
        </w:tc>
      </w:tr>
      <w:tr w:rsidR="00D27D9E" w:rsidRPr="00A34CB9" w14:paraId="20F6AAD2" w14:textId="77777777" w:rsidTr="00476F91">
        <w:tc>
          <w:tcPr>
            <w:tcW w:w="768" w:type="pct"/>
            <w:vMerge/>
          </w:tcPr>
          <w:p w14:paraId="1AAC21D4" w14:textId="3A0D66E7" w:rsidR="00D27D9E" w:rsidRPr="009D7C32" w:rsidRDefault="00D27D9E" w:rsidP="009D7C32">
            <w:pPr>
              <w:pStyle w:val="ARtabletext"/>
            </w:pPr>
          </w:p>
        </w:tc>
        <w:tc>
          <w:tcPr>
            <w:tcW w:w="907" w:type="pct"/>
            <w:vMerge/>
          </w:tcPr>
          <w:p w14:paraId="589A8560" w14:textId="77777777" w:rsidR="00D27D9E" w:rsidRPr="009D7C32" w:rsidRDefault="00D27D9E" w:rsidP="009D7C32">
            <w:pPr>
              <w:pStyle w:val="ARtabletext"/>
            </w:pPr>
          </w:p>
        </w:tc>
        <w:tc>
          <w:tcPr>
            <w:tcW w:w="1163" w:type="pct"/>
          </w:tcPr>
          <w:p w14:paraId="3AFB9907" w14:textId="7404006B" w:rsidR="00D27D9E" w:rsidRPr="009D7C32" w:rsidRDefault="00D27D9E" w:rsidP="005E4771">
            <w:pPr>
              <w:pStyle w:val="ARtablebullet1"/>
              <w:numPr>
                <w:ilvl w:val="0"/>
                <w:numId w:val="0"/>
              </w:numPr>
            </w:pPr>
            <w:r w:rsidRPr="009D7C32">
              <w:t xml:space="preserve">COVID </w:t>
            </w:r>
            <w:r>
              <w:t>a</w:t>
            </w:r>
            <w:r w:rsidRPr="009D7C32">
              <w:t>nalysis of NPA</w:t>
            </w:r>
            <w:r w:rsidR="000F55EE">
              <w:noBreakHyphen/>
            </w:r>
            <w:r>
              <w:t>f</w:t>
            </w:r>
            <w:r w:rsidRPr="009D7C32">
              <w:t xml:space="preserve">unded </w:t>
            </w:r>
            <w:r>
              <w:t>a</w:t>
            </w:r>
            <w:r w:rsidRPr="009D7C32">
              <w:t>ctivities</w:t>
            </w:r>
          </w:p>
        </w:tc>
        <w:tc>
          <w:tcPr>
            <w:tcW w:w="722" w:type="pct"/>
          </w:tcPr>
          <w:p w14:paraId="612A839F" w14:textId="77777777" w:rsidR="00D27D9E" w:rsidRPr="009D7C32" w:rsidRDefault="00D27D9E" w:rsidP="009D7C32">
            <w:pPr>
              <w:pStyle w:val="ARtabletextright"/>
            </w:pPr>
            <w:r w:rsidRPr="009D7C32">
              <w:t>196,193</w:t>
            </w:r>
          </w:p>
        </w:tc>
        <w:tc>
          <w:tcPr>
            <w:tcW w:w="766" w:type="pct"/>
          </w:tcPr>
          <w:p w14:paraId="3708620C" w14:textId="77777777" w:rsidR="00D27D9E" w:rsidRPr="009D7C32" w:rsidRDefault="00D27D9E" w:rsidP="009D7C32">
            <w:pPr>
              <w:pStyle w:val="ARtabletextright"/>
            </w:pPr>
            <w:r w:rsidRPr="009D7C32">
              <w:t>168,365</w:t>
            </w:r>
          </w:p>
        </w:tc>
        <w:tc>
          <w:tcPr>
            <w:tcW w:w="674" w:type="pct"/>
          </w:tcPr>
          <w:p w14:paraId="57A646CA" w14:textId="77777777" w:rsidR="00D27D9E" w:rsidRPr="009D7C32" w:rsidRDefault="00D27D9E" w:rsidP="009D7C32">
            <w:pPr>
              <w:pStyle w:val="ARtabletextright"/>
            </w:pPr>
            <w:r w:rsidRPr="009D7C32">
              <w:t>27,828</w:t>
            </w:r>
          </w:p>
        </w:tc>
      </w:tr>
      <w:tr w:rsidR="00D27D9E" w:rsidRPr="00A34CB9" w14:paraId="326E2AB5" w14:textId="77777777" w:rsidTr="00476F91">
        <w:tc>
          <w:tcPr>
            <w:tcW w:w="768" w:type="pct"/>
            <w:vMerge/>
          </w:tcPr>
          <w:p w14:paraId="3204024C" w14:textId="2F318768" w:rsidR="00D27D9E" w:rsidRPr="009D7C32" w:rsidRDefault="00D27D9E" w:rsidP="009D7C32">
            <w:pPr>
              <w:pStyle w:val="ARtabletext"/>
            </w:pPr>
          </w:p>
        </w:tc>
        <w:tc>
          <w:tcPr>
            <w:tcW w:w="907" w:type="pct"/>
            <w:vMerge/>
          </w:tcPr>
          <w:p w14:paraId="5ED8E670" w14:textId="77777777" w:rsidR="00D27D9E" w:rsidRPr="009D7C32" w:rsidRDefault="00D27D9E" w:rsidP="009D7C32">
            <w:pPr>
              <w:pStyle w:val="ARtabletext"/>
            </w:pPr>
          </w:p>
        </w:tc>
        <w:tc>
          <w:tcPr>
            <w:tcW w:w="1163" w:type="pct"/>
          </w:tcPr>
          <w:p w14:paraId="420D45CE" w14:textId="2285486D" w:rsidR="00D27D9E" w:rsidRPr="009D7C32" w:rsidRDefault="00D27D9E" w:rsidP="005E4771">
            <w:pPr>
              <w:pStyle w:val="ARtablebullet1"/>
              <w:numPr>
                <w:ilvl w:val="0"/>
                <w:numId w:val="0"/>
              </w:numPr>
            </w:pPr>
            <w:r w:rsidRPr="009D7C32">
              <w:t>Variation</w:t>
            </w:r>
            <w:r w:rsidR="00D97BFD">
              <w:t xml:space="preserve"> – </w:t>
            </w:r>
            <w:r w:rsidRPr="009D7C32">
              <w:t xml:space="preserve">COVID-19 </w:t>
            </w:r>
            <w:r w:rsidR="00864121">
              <w:t>–</w:t>
            </w:r>
            <w:r w:rsidRPr="009D7C32">
              <w:t xml:space="preserve"> private health sector advisory services</w:t>
            </w:r>
          </w:p>
        </w:tc>
        <w:tc>
          <w:tcPr>
            <w:tcW w:w="722" w:type="pct"/>
          </w:tcPr>
          <w:p w14:paraId="123BD7FD" w14:textId="77777777" w:rsidR="00D27D9E" w:rsidRPr="009D7C32" w:rsidRDefault="00D27D9E" w:rsidP="009D7C32">
            <w:pPr>
              <w:pStyle w:val="ARtabletextright"/>
            </w:pPr>
            <w:r w:rsidRPr="009D7C32">
              <w:t>1,590,909</w:t>
            </w:r>
          </w:p>
        </w:tc>
        <w:tc>
          <w:tcPr>
            <w:tcW w:w="766" w:type="pct"/>
          </w:tcPr>
          <w:p w14:paraId="1CD9CAD2" w14:textId="77777777" w:rsidR="00D27D9E" w:rsidRPr="009D7C32" w:rsidRDefault="00D27D9E" w:rsidP="009D7C32">
            <w:pPr>
              <w:pStyle w:val="ARtabletextright"/>
            </w:pPr>
            <w:r w:rsidRPr="009D7C32">
              <w:t>1,290,243</w:t>
            </w:r>
          </w:p>
        </w:tc>
        <w:tc>
          <w:tcPr>
            <w:tcW w:w="674" w:type="pct"/>
          </w:tcPr>
          <w:p w14:paraId="6A469FD2" w14:textId="77777777" w:rsidR="00D27D9E" w:rsidRPr="009D7C32" w:rsidRDefault="00D27D9E" w:rsidP="009D7C32">
            <w:pPr>
              <w:pStyle w:val="ARtabletextright"/>
            </w:pPr>
            <w:r w:rsidRPr="009D7C32">
              <w:t>300,666</w:t>
            </w:r>
          </w:p>
        </w:tc>
      </w:tr>
      <w:tr w:rsidR="00D27D9E" w:rsidRPr="00A34CB9" w14:paraId="2EE60BDC" w14:textId="77777777" w:rsidTr="00476F91">
        <w:tc>
          <w:tcPr>
            <w:tcW w:w="768" w:type="pct"/>
            <w:vMerge/>
          </w:tcPr>
          <w:p w14:paraId="47693F6A" w14:textId="1A24724E" w:rsidR="00D27D9E" w:rsidRPr="009D7C32" w:rsidRDefault="00D27D9E" w:rsidP="009D7C32">
            <w:pPr>
              <w:pStyle w:val="ARtabletext"/>
            </w:pPr>
          </w:p>
        </w:tc>
        <w:tc>
          <w:tcPr>
            <w:tcW w:w="907" w:type="pct"/>
            <w:vMerge/>
          </w:tcPr>
          <w:p w14:paraId="2BB2A14C" w14:textId="77777777" w:rsidR="00D27D9E" w:rsidRPr="009D7C32" w:rsidRDefault="00D27D9E" w:rsidP="009D7C32">
            <w:pPr>
              <w:pStyle w:val="ARtabletext"/>
            </w:pPr>
          </w:p>
        </w:tc>
        <w:tc>
          <w:tcPr>
            <w:tcW w:w="1163" w:type="pct"/>
          </w:tcPr>
          <w:p w14:paraId="7EE2A7A3" w14:textId="2FCD7EA6" w:rsidR="00D27D9E" w:rsidRPr="009D7C32" w:rsidRDefault="00D27D9E" w:rsidP="005E4771">
            <w:pPr>
              <w:pStyle w:val="ARtablebullet1"/>
              <w:numPr>
                <w:ilvl w:val="0"/>
                <w:numId w:val="0"/>
              </w:numPr>
            </w:pPr>
            <w:r w:rsidRPr="009D7C32">
              <w:t>COVID-19 disability sector preparedness response</w:t>
            </w:r>
          </w:p>
        </w:tc>
        <w:tc>
          <w:tcPr>
            <w:tcW w:w="722" w:type="pct"/>
          </w:tcPr>
          <w:p w14:paraId="58461FE9" w14:textId="77777777" w:rsidR="00D27D9E" w:rsidRPr="009D7C32" w:rsidRDefault="00D27D9E" w:rsidP="009D7C32">
            <w:pPr>
              <w:pStyle w:val="ARtabletextright"/>
            </w:pPr>
            <w:r w:rsidRPr="009D7C32">
              <w:t>227,273</w:t>
            </w:r>
          </w:p>
        </w:tc>
        <w:tc>
          <w:tcPr>
            <w:tcW w:w="766" w:type="pct"/>
          </w:tcPr>
          <w:p w14:paraId="154305B0" w14:textId="77777777" w:rsidR="00D27D9E" w:rsidRPr="009D7C32" w:rsidRDefault="00D27D9E" w:rsidP="009D7C32">
            <w:pPr>
              <w:pStyle w:val="ARtabletextright"/>
            </w:pPr>
            <w:r w:rsidRPr="009D7C32">
              <w:t>167,721</w:t>
            </w:r>
          </w:p>
        </w:tc>
        <w:tc>
          <w:tcPr>
            <w:tcW w:w="674" w:type="pct"/>
          </w:tcPr>
          <w:p w14:paraId="473DF4D3" w14:textId="77777777" w:rsidR="00D27D9E" w:rsidRPr="009D7C32" w:rsidRDefault="00D27D9E" w:rsidP="009D7C32">
            <w:pPr>
              <w:pStyle w:val="ARtabletextright"/>
            </w:pPr>
            <w:r w:rsidRPr="009D7C32">
              <w:t>59,552</w:t>
            </w:r>
          </w:p>
        </w:tc>
      </w:tr>
      <w:tr w:rsidR="00D27D9E" w:rsidRPr="00A34CB9" w14:paraId="0B0370D1" w14:textId="77777777" w:rsidTr="00476F91">
        <w:tc>
          <w:tcPr>
            <w:tcW w:w="768" w:type="pct"/>
            <w:vMerge/>
          </w:tcPr>
          <w:p w14:paraId="4A61BC28" w14:textId="0341E5CB" w:rsidR="00D27D9E" w:rsidRPr="009D7C32" w:rsidRDefault="00D27D9E" w:rsidP="009D7C32">
            <w:pPr>
              <w:pStyle w:val="ARtabletext"/>
            </w:pPr>
          </w:p>
        </w:tc>
        <w:tc>
          <w:tcPr>
            <w:tcW w:w="907" w:type="pct"/>
            <w:vMerge/>
          </w:tcPr>
          <w:p w14:paraId="227C1E14" w14:textId="77777777" w:rsidR="00D27D9E" w:rsidRPr="009D7C32" w:rsidRDefault="00D27D9E" w:rsidP="009D7C32">
            <w:pPr>
              <w:pStyle w:val="ARtabletext"/>
            </w:pPr>
          </w:p>
        </w:tc>
        <w:tc>
          <w:tcPr>
            <w:tcW w:w="1163" w:type="pct"/>
          </w:tcPr>
          <w:p w14:paraId="0E9AAD0D" w14:textId="7D7DA93B" w:rsidR="00D27D9E" w:rsidRPr="009D7C32" w:rsidRDefault="00D27D9E" w:rsidP="005E4771">
            <w:pPr>
              <w:pStyle w:val="ARtablebullet1"/>
              <w:numPr>
                <w:ilvl w:val="0"/>
                <w:numId w:val="0"/>
              </w:numPr>
            </w:pPr>
            <w:r w:rsidRPr="009D7C32">
              <w:t xml:space="preserve">Financial review, </w:t>
            </w:r>
            <w:r>
              <w:t>V</w:t>
            </w:r>
            <w:r w:rsidRPr="009D7C32">
              <w:t>ictorian public hospitals impacted by COVID-19</w:t>
            </w:r>
          </w:p>
        </w:tc>
        <w:tc>
          <w:tcPr>
            <w:tcW w:w="722" w:type="pct"/>
          </w:tcPr>
          <w:p w14:paraId="5EED7FA5" w14:textId="77777777" w:rsidR="00D27D9E" w:rsidRPr="009D7C32" w:rsidRDefault="00D27D9E" w:rsidP="009D7C32">
            <w:pPr>
              <w:pStyle w:val="ARtabletextright"/>
            </w:pPr>
            <w:r w:rsidRPr="009D7C32">
              <w:t>1,057,372</w:t>
            </w:r>
          </w:p>
        </w:tc>
        <w:tc>
          <w:tcPr>
            <w:tcW w:w="766" w:type="pct"/>
          </w:tcPr>
          <w:p w14:paraId="5846D86C" w14:textId="77777777" w:rsidR="00D27D9E" w:rsidRPr="009D7C32" w:rsidRDefault="00D27D9E" w:rsidP="009D7C32">
            <w:pPr>
              <w:pStyle w:val="ARtabletextright"/>
            </w:pPr>
            <w:r w:rsidRPr="009D7C32">
              <w:t>798,442</w:t>
            </w:r>
          </w:p>
        </w:tc>
        <w:tc>
          <w:tcPr>
            <w:tcW w:w="674" w:type="pct"/>
          </w:tcPr>
          <w:p w14:paraId="30E98E43" w14:textId="77777777" w:rsidR="00D27D9E" w:rsidRPr="009D7C32" w:rsidRDefault="00D27D9E" w:rsidP="009D7C32">
            <w:pPr>
              <w:pStyle w:val="ARtabletextright"/>
            </w:pPr>
            <w:r w:rsidRPr="009D7C32">
              <w:t>3,078</w:t>
            </w:r>
          </w:p>
        </w:tc>
      </w:tr>
      <w:tr w:rsidR="00D27D9E" w:rsidRPr="00A34CB9" w14:paraId="2248D5BD" w14:textId="77777777" w:rsidTr="00476F91">
        <w:tc>
          <w:tcPr>
            <w:tcW w:w="768" w:type="pct"/>
            <w:vMerge/>
          </w:tcPr>
          <w:p w14:paraId="1E0BB88D" w14:textId="12194CDA" w:rsidR="00D27D9E" w:rsidRPr="009D7C32" w:rsidRDefault="00D27D9E" w:rsidP="009D7C32">
            <w:pPr>
              <w:pStyle w:val="ARtabletext"/>
            </w:pPr>
          </w:p>
        </w:tc>
        <w:tc>
          <w:tcPr>
            <w:tcW w:w="907" w:type="pct"/>
            <w:vMerge/>
          </w:tcPr>
          <w:p w14:paraId="42B3BCA9" w14:textId="77777777" w:rsidR="00D27D9E" w:rsidRPr="009D7C32" w:rsidRDefault="00D27D9E" w:rsidP="009D7C32">
            <w:pPr>
              <w:pStyle w:val="ARtabletext"/>
            </w:pPr>
          </w:p>
        </w:tc>
        <w:tc>
          <w:tcPr>
            <w:tcW w:w="1163" w:type="pct"/>
          </w:tcPr>
          <w:p w14:paraId="04596528" w14:textId="7A0A66E3" w:rsidR="00D27D9E" w:rsidRPr="009D7C32" w:rsidRDefault="00D27D9E" w:rsidP="005E4771">
            <w:pPr>
              <w:pStyle w:val="ARtablebullet1"/>
              <w:numPr>
                <w:ilvl w:val="0"/>
                <w:numId w:val="0"/>
              </w:numPr>
            </w:pPr>
            <w:r w:rsidRPr="009D7C32">
              <w:t xml:space="preserve">Advisory </w:t>
            </w:r>
            <w:r>
              <w:t>s</w:t>
            </w:r>
            <w:r w:rsidRPr="009D7C32">
              <w:t>ervices, COVID</w:t>
            </w:r>
            <w:r w:rsidR="00387648">
              <w:noBreakHyphen/>
            </w:r>
            <w:r w:rsidRPr="009D7C32">
              <w:t>19 and the private health sector</w:t>
            </w:r>
          </w:p>
        </w:tc>
        <w:tc>
          <w:tcPr>
            <w:tcW w:w="722" w:type="pct"/>
          </w:tcPr>
          <w:p w14:paraId="748A6720" w14:textId="77777777" w:rsidR="00D27D9E" w:rsidRPr="009D7C32" w:rsidRDefault="00D27D9E" w:rsidP="009D7C32">
            <w:pPr>
              <w:pStyle w:val="ARtabletextright"/>
            </w:pPr>
            <w:r w:rsidRPr="009D7C32">
              <w:t>6,617,871</w:t>
            </w:r>
          </w:p>
        </w:tc>
        <w:tc>
          <w:tcPr>
            <w:tcW w:w="766" w:type="pct"/>
          </w:tcPr>
          <w:p w14:paraId="7CA32E48" w14:textId="77777777" w:rsidR="00D27D9E" w:rsidRPr="009D7C32" w:rsidRDefault="00D27D9E" w:rsidP="009D7C32">
            <w:pPr>
              <w:pStyle w:val="ARtabletextright"/>
            </w:pPr>
            <w:r w:rsidRPr="009D7C32">
              <w:t>4,615,525</w:t>
            </w:r>
          </w:p>
        </w:tc>
        <w:tc>
          <w:tcPr>
            <w:tcW w:w="674" w:type="pct"/>
          </w:tcPr>
          <w:p w14:paraId="1B338382" w14:textId="77777777" w:rsidR="00D27D9E" w:rsidRPr="009D7C32" w:rsidRDefault="00D27D9E" w:rsidP="009D7C32">
            <w:pPr>
              <w:pStyle w:val="ARtabletextright"/>
            </w:pPr>
            <w:r w:rsidRPr="009D7C32">
              <w:t>744,356</w:t>
            </w:r>
          </w:p>
        </w:tc>
      </w:tr>
      <w:tr w:rsidR="00D27D9E" w:rsidRPr="00A34CB9" w14:paraId="0DBD4AEF" w14:textId="77777777" w:rsidTr="00476F91">
        <w:tc>
          <w:tcPr>
            <w:tcW w:w="768" w:type="pct"/>
            <w:vMerge/>
          </w:tcPr>
          <w:p w14:paraId="5F3C8063" w14:textId="6FA61233" w:rsidR="00D27D9E" w:rsidRPr="009D7C32" w:rsidRDefault="00D27D9E" w:rsidP="009D7C32">
            <w:pPr>
              <w:pStyle w:val="ARtabletext"/>
            </w:pPr>
          </w:p>
        </w:tc>
        <w:tc>
          <w:tcPr>
            <w:tcW w:w="907" w:type="pct"/>
            <w:vMerge/>
          </w:tcPr>
          <w:p w14:paraId="2F162FCE" w14:textId="77777777" w:rsidR="00D27D9E" w:rsidRPr="009D7C32" w:rsidRDefault="00D27D9E" w:rsidP="009D7C32">
            <w:pPr>
              <w:pStyle w:val="ARtabletext"/>
            </w:pPr>
          </w:p>
        </w:tc>
        <w:tc>
          <w:tcPr>
            <w:tcW w:w="1163" w:type="pct"/>
          </w:tcPr>
          <w:p w14:paraId="0134C383" w14:textId="20F7868B" w:rsidR="00D27D9E" w:rsidRPr="009D7C32" w:rsidRDefault="00D27D9E" w:rsidP="005E4771">
            <w:pPr>
              <w:pStyle w:val="ARtablebullet1"/>
              <w:numPr>
                <w:ilvl w:val="0"/>
                <w:numId w:val="0"/>
              </w:numPr>
            </w:pPr>
            <w:r w:rsidRPr="009D7C32">
              <w:t>Integrated planning and governance framework, School dental program</w:t>
            </w:r>
          </w:p>
        </w:tc>
        <w:tc>
          <w:tcPr>
            <w:tcW w:w="722" w:type="pct"/>
          </w:tcPr>
          <w:p w14:paraId="603D2B9D" w14:textId="77777777" w:rsidR="00D27D9E" w:rsidRPr="009D7C32" w:rsidRDefault="00D27D9E" w:rsidP="009D7C32">
            <w:pPr>
              <w:pStyle w:val="ARtabletextright"/>
            </w:pPr>
            <w:r w:rsidRPr="009D7C32">
              <w:t>477,136</w:t>
            </w:r>
          </w:p>
        </w:tc>
        <w:tc>
          <w:tcPr>
            <w:tcW w:w="766" w:type="pct"/>
          </w:tcPr>
          <w:p w14:paraId="25BF1AA0" w14:textId="77777777" w:rsidR="00D27D9E" w:rsidRPr="009D7C32" w:rsidRDefault="00D27D9E" w:rsidP="009D7C32">
            <w:pPr>
              <w:pStyle w:val="ARtabletextright"/>
            </w:pPr>
            <w:r w:rsidRPr="009D7C32">
              <w:t>263,079</w:t>
            </w:r>
          </w:p>
        </w:tc>
        <w:tc>
          <w:tcPr>
            <w:tcW w:w="674" w:type="pct"/>
          </w:tcPr>
          <w:p w14:paraId="2F6D4358" w14:textId="77777777" w:rsidR="00D27D9E" w:rsidRPr="009D7C32" w:rsidRDefault="00D27D9E" w:rsidP="009D7C32">
            <w:pPr>
              <w:pStyle w:val="ARtabletextright"/>
            </w:pPr>
            <w:r w:rsidRPr="009D7C32">
              <w:t>0</w:t>
            </w:r>
          </w:p>
        </w:tc>
      </w:tr>
      <w:tr w:rsidR="00D27D9E" w:rsidRPr="00A34CB9" w14:paraId="5BF7C1EA" w14:textId="77777777" w:rsidTr="00476F91">
        <w:tc>
          <w:tcPr>
            <w:tcW w:w="768" w:type="pct"/>
            <w:vMerge/>
          </w:tcPr>
          <w:p w14:paraId="31F05CA3" w14:textId="5115188D" w:rsidR="00D27D9E" w:rsidRPr="009D7C32" w:rsidRDefault="00D27D9E" w:rsidP="009D7C32">
            <w:pPr>
              <w:pStyle w:val="ARtabletext"/>
            </w:pPr>
          </w:p>
        </w:tc>
        <w:tc>
          <w:tcPr>
            <w:tcW w:w="907" w:type="pct"/>
            <w:vMerge/>
          </w:tcPr>
          <w:p w14:paraId="6D1E9A53" w14:textId="77777777" w:rsidR="00D27D9E" w:rsidRPr="009D7C32" w:rsidRDefault="00D27D9E" w:rsidP="009D7C32">
            <w:pPr>
              <w:pStyle w:val="ARtabletext"/>
            </w:pPr>
          </w:p>
        </w:tc>
        <w:tc>
          <w:tcPr>
            <w:tcW w:w="1163" w:type="pct"/>
          </w:tcPr>
          <w:p w14:paraId="4A135C6F" w14:textId="3CD9EEA1" w:rsidR="00D27D9E" w:rsidRPr="009D7C32" w:rsidRDefault="00D27D9E" w:rsidP="005E4771">
            <w:pPr>
              <w:pStyle w:val="ARtablebullet1"/>
              <w:numPr>
                <w:ilvl w:val="0"/>
                <w:numId w:val="0"/>
              </w:numPr>
            </w:pPr>
            <w:r w:rsidRPr="009D7C32">
              <w:t>Support, Healthcare worker infection prevention and wellbeing taskforce</w:t>
            </w:r>
          </w:p>
        </w:tc>
        <w:tc>
          <w:tcPr>
            <w:tcW w:w="722" w:type="pct"/>
          </w:tcPr>
          <w:p w14:paraId="63CDF8F2" w14:textId="77777777" w:rsidR="00D27D9E" w:rsidRPr="009D7C32" w:rsidRDefault="00D27D9E" w:rsidP="009D7C32">
            <w:pPr>
              <w:pStyle w:val="ARtabletextright"/>
            </w:pPr>
            <w:r w:rsidRPr="009D7C32">
              <w:t>719,108</w:t>
            </w:r>
          </w:p>
        </w:tc>
        <w:tc>
          <w:tcPr>
            <w:tcW w:w="766" w:type="pct"/>
          </w:tcPr>
          <w:p w14:paraId="6FD447F5" w14:textId="77777777" w:rsidR="00D27D9E" w:rsidRPr="009D7C32" w:rsidRDefault="00D27D9E" w:rsidP="009D7C32">
            <w:pPr>
              <w:pStyle w:val="ARtabletextright"/>
            </w:pPr>
            <w:r w:rsidRPr="009D7C32">
              <w:t>534,858</w:t>
            </w:r>
          </w:p>
        </w:tc>
        <w:tc>
          <w:tcPr>
            <w:tcW w:w="674" w:type="pct"/>
          </w:tcPr>
          <w:p w14:paraId="3DD97F5C" w14:textId="77777777" w:rsidR="00D27D9E" w:rsidRPr="009D7C32" w:rsidRDefault="00D27D9E" w:rsidP="009D7C32">
            <w:pPr>
              <w:pStyle w:val="ARtabletextright"/>
            </w:pPr>
            <w:r w:rsidRPr="009D7C32">
              <w:t>184,251</w:t>
            </w:r>
          </w:p>
        </w:tc>
      </w:tr>
      <w:tr w:rsidR="00D27D9E" w:rsidRPr="00A34CB9" w14:paraId="39D768A9" w14:textId="77777777" w:rsidTr="00476F91">
        <w:tc>
          <w:tcPr>
            <w:tcW w:w="768" w:type="pct"/>
            <w:vMerge/>
          </w:tcPr>
          <w:p w14:paraId="4AD71183" w14:textId="315BB3F6" w:rsidR="00D27D9E" w:rsidRPr="009D7C32" w:rsidRDefault="00D27D9E" w:rsidP="009D7C32">
            <w:pPr>
              <w:pStyle w:val="ARtabletext"/>
            </w:pPr>
          </w:p>
        </w:tc>
        <w:tc>
          <w:tcPr>
            <w:tcW w:w="907" w:type="pct"/>
            <w:vMerge/>
          </w:tcPr>
          <w:p w14:paraId="37C7B0D2" w14:textId="77777777" w:rsidR="00D27D9E" w:rsidRPr="009D7C32" w:rsidRDefault="00D27D9E" w:rsidP="009D7C32">
            <w:pPr>
              <w:pStyle w:val="ARtabletext"/>
            </w:pPr>
          </w:p>
        </w:tc>
        <w:tc>
          <w:tcPr>
            <w:tcW w:w="1163" w:type="pct"/>
          </w:tcPr>
          <w:p w14:paraId="02D74727" w14:textId="77D83799" w:rsidR="00D27D9E" w:rsidRPr="009D7C32" w:rsidRDefault="00D27D9E" w:rsidP="005E4771">
            <w:pPr>
              <w:pStyle w:val="ARtablebullet1"/>
              <w:numPr>
                <w:ilvl w:val="0"/>
                <w:numId w:val="0"/>
              </w:numPr>
            </w:pPr>
            <w:r w:rsidRPr="009D7C32">
              <w:t>Support, Health prevention program development</w:t>
            </w:r>
          </w:p>
        </w:tc>
        <w:tc>
          <w:tcPr>
            <w:tcW w:w="722" w:type="pct"/>
          </w:tcPr>
          <w:p w14:paraId="17D15500" w14:textId="77777777" w:rsidR="00D27D9E" w:rsidRPr="009D7C32" w:rsidRDefault="00D27D9E" w:rsidP="009D7C32">
            <w:pPr>
              <w:pStyle w:val="ARtabletextright"/>
            </w:pPr>
            <w:r w:rsidRPr="009D7C32">
              <w:t>138,979</w:t>
            </w:r>
          </w:p>
        </w:tc>
        <w:tc>
          <w:tcPr>
            <w:tcW w:w="766" w:type="pct"/>
          </w:tcPr>
          <w:p w14:paraId="54B68C76" w14:textId="77777777" w:rsidR="00D27D9E" w:rsidRPr="009D7C32" w:rsidRDefault="00D27D9E" w:rsidP="009D7C32">
            <w:pPr>
              <w:pStyle w:val="ARtabletextright"/>
            </w:pPr>
            <w:r w:rsidRPr="009D7C32">
              <w:t>97,285</w:t>
            </w:r>
          </w:p>
        </w:tc>
        <w:tc>
          <w:tcPr>
            <w:tcW w:w="674" w:type="pct"/>
          </w:tcPr>
          <w:p w14:paraId="7A3762D4" w14:textId="77777777" w:rsidR="00D27D9E" w:rsidRPr="009D7C32" w:rsidRDefault="00D27D9E" w:rsidP="009D7C32">
            <w:pPr>
              <w:pStyle w:val="ARtabletextright"/>
            </w:pPr>
            <w:r w:rsidRPr="009D7C32">
              <w:t>0</w:t>
            </w:r>
          </w:p>
        </w:tc>
      </w:tr>
      <w:tr w:rsidR="00D27D9E" w:rsidRPr="00A34CB9" w14:paraId="0FC92178" w14:textId="77777777" w:rsidTr="00476F91">
        <w:tc>
          <w:tcPr>
            <w:tcW w:w="768" w:type="pct"/>
            <w:vMerge/>
          </w:tcPr>
          <w:p w14:paraId="17D6E8CC" w14:textId="2613BCEF" w:rsidR="00D27D9E" w:rsidRPr="009D7C32" w:rsidRDefault="00D27D9E" w:rsidP="009D7C32">
            <w:pPr>
              <w:pStyle w:val="ARtabletext"/>
            </w:pPr>
          </w:p>
        </w:tc>
        <w:tc>
          <w:tcPr>
            <w:tcW w:w="907" w:type="pct"/>
            <w:vMerge/>
          </w:tcPr>
          <w:p w14:paraId="2AADA5F0" w14:textId="77777777" w:rsidR="00D27D9E" w:rsidRPr="009D7C32" w:rsidRDefault="00D27D9E" w:rsidP="009D7C32">
            <w:pPr>
              <w:pStyle w:val="ARtabletext"/>
            </w:pPr>
          </w:p>
        </w:tc>
        <w:tc>
          <w:tcPr>
            <w:tcW w:w="1163" w:type="pct"/>
          </w:tcPr>
          <w:p w14:paraId="62C3BB22" w14:textId="40062010" w:rsidR="00D27D9E" w:rsidRPr="009D7C32" w:rsidRDefault="00D27D9E" w:rsidP="005E4771">
            <w:pPr>
              <w:pStyle w:val="ARtablebullet1"/>
              <w:numPr>
                <w:ilvl w:val="0"/>
                <w:numId w:val="0"/>
              </w:numPr>
            </w:pPr>
            <w:r w:rsidRPr="009D7C32">
              <w:t>Support, Royal Commission into Victoria</w:t>
            </w:r>
            <w:r w:rsidR="007D145B">
              <w:t>’</w:t>
            </w:r>
            <w:r w:rsidRPr="009D7C32">
              <w:t>s Mental Health System</w:t>
            </w:r>
          </w:p>
        </w:tc>
        <w:tc>
          <w:tcPr>
            <w:tcW w:w="722" w:type="pct"/>
          </w:tcPr>
          <w:p w14:paraId="09EEE41E" w14:textId="77777777" w:rsidR="00D27D9E" w:rsidRPr="009D7C32" w:rsidRDefault="00D27D9E" w:rsidP="009D7C32">
            <w:pPr>
              <w:pStyle w:val="ARtabletextright"/>
            </w:pPr>
            <w:r w:rsidRPr="009D7C32">
              <w:t>396,422</w:t>
            </w:r>
          </w:p>
        </w:tc>
        <w:tc>
          <w:tcPr>
            <w:tcW w:w="766" w:type="pct"/>
          </w:tcPr>
          <w:p w14:paraId="2CB2016E" w14:textId="77777777" w:rsidR="00D27D9E" w:rsidRPr="009D7C32" w:rsidRDefault="00D27D9E" w:rsidP="009D7C32">
            <w:pPr>
              <w:pStyle w:val="ARtabletextright"/>
            </w:pPr>
            <w:r w:rsidRPr="009D7C32">
              <w:t>306,346</w:t>
            </w:r>
          </w:p>
        </w:tc>
        <w:tc>
          <w:tcPr>
            <w:tcW w:w="674" w:type="pct"/>
          </w:tcPr>
          <w:p w14:paraId="43EDAB15" w14:textId="77777777" w:rsidR="00D27D9E" w:rsidRPr="009D7C32" w:rsidRDefault="00D27D9E" w:rsidP="009D7C32">
            <w:pPr>
              <w:pStyle w:val="ARtabletextright"/>
            </w:pPr>
            <w:r w:rsidRPr="009D7C32">
              <w:t>49,702</w:t>
            </w:r>
          </w:p>
        </w:tc>
      </w:tr>
      <w:tr w:rsidR="00D27D9E" w:rsidRPr="00A34CB9" w14:paraId="6449BA2C" w14:textId="77777777" w:rsidTr="00476F91">
        <w:tc>
          <w:tcPr>
            <w:tcW w:w="768" w:type="pct"/>
            <w:vMerge/>
          </w:tcPr>
          <w:p w14:paraId="3215AE18" w14:textId="5E43EB1F" w:rsidR="00D27D9E" w:rsidRPr="009D7C32" w:rsidRDefault="00D27D9E" w:rsidP="009D7C32">
            <w:pPr>
              <w:pStyle w:val="ARtabletext"/>
            </w:pPr>
          </w:p>
        </w:tc>
        <w:tc>
          <w:tcPr>
            <w:tcW w:w="907" w:type="pct"/>
            <w:vMerge/>
          </w:tcPr>
          <w:p w14:paraId="04C49CB9" w14:textId="77777777" w:rsidR="00D27D9E" w:rsidRPr="009D7C32" w:rsidRDefault="00D27D9E" w:rsidP="009D7C32">
            <w:pPr>
              <w:pStyle w:val="ARtabletext"/>
            </w:pPr>
          </w:p>
        </w:tc>
        <w:tc>
          <w:tcPr>
            <w:tcW w:w="1163" w:type="pct"/>
          </w:tcPr>
          <w:p w14:paraId="05BD1C0F" w14:textId="1537F165" w:rsidR="00D27D9E" w:rsidRPr="009D7C32" w:rsidRDefault="00D27D9E" w:rsidP="005E4771">
            <w:pPr>
              <w:pStyle w:val="ARtablebullet1"/>
              <w:numPr>
                <w:ilvl w:val="0"/>
                <w:numId w:val="0"/>
              </w:numPr>
            </w:pPr>
            <w:r w:rsidRPr="009D7C32">
              <w:t>Strategy and workforce data, Mental</w:t>
            </w:r>
            <w:r>
              <w:t xml:space="preserve"> h</w:t>
            </w:r>
            <w:r w:rsidRPr="009D7C32">
              <w:t>ealth workforce</w:t>
            </w:r>
          </w:p>
        </w:tc>
        <w:tc>
          <w:tcPr>
            <w:tcW w:w="722" w:type="pct"/>
          </w:tcPr>
          <w:p w14:paraId="42EA1D6D" w14:textId="77777777" w:rsidR="00D27D9E" w:rsidRPr="009D7C32" w:rsidRDefault="00D27D9E" w:rsidP="009D7C32">
            <w:pPr>
              <w:pStyle w:val="ARtabletextright"/>
            </w:pPr>
            <w:r w:rsidRPr="009D7C32">
              <w:t>227,888</w:t>
            </w:r>
          </w:p>
        </w:tc>
        <w:tc>
          <w:tcPr>
            <w:tcW w:w="766" w:type="pct"/>
          </w:tcPr>
          <w:p w14:paraId="2A77BE5C" w14:textId="77777777" w:rsidR="00D27D9E" w:rsidRPr="009D7C32" w:rsidRDefault="00D27D9E" w:rsidP="009D7C32">
            <w:pPr>
              <w:pStyle w:val="ARtabletextright"/>
            </w:pPr>
            <w:r w:rsidRPr="009D7C32">
              <w:t>227,888</w:t>
            </w:r>
          </w:p>
        </w:tc>
        <w:tc>
          <w:tcPr>
            <w:tcW w:w="674" w:type="pct"/>
          </w:tcPr>
          <w:p w14:paraId="4ECE8824" w14:textId="77777777" w:rsidR="00D27D9E" w:rsidRPr="009D7C32" w:rsidRDefault="00D27D9E" w:rsidP="009D7C32">
            <w:pPr>
              <w:pStyle w:val="ARtabletextright"/>
            </w:pPr>
            <w:r w:rsidRPr="009D7C32">
              <w:t>0</w:t>
            </w:r>
          </w:p>
        </w:tc>
      </w:tr>
      <w:tr w:rsidR="00D27D9E" w:rsidRPr="00A34CB9" w14:paraId="4EFBABA8" w14:textId="77777777" w:rsidTr="00476F91">
        <w:tc>
          <w:tcPr>
            <w:tcW w:w="768" w:type="pct"/>
            <w:vMerge/>
          </w:tcPr>
          <w:p w14:paraId="7B7815CE" w14:textId="6E9FFD58" w:rsidR="00D27D9E" w:rsidRPr="009D7C32" w:rsidRDefault="00D27D9E" w:rsidP="009D7C32">
            <w:pPr>
              <w:pStyle w:val="ARtabletext"/>
            </w:pPr>
          </w:p>
        </w:tc>
        <w:tc>
          <w:tcPr>
            <w:tcW w:w="907" w:type="pct"/>
            <w:vMerge/>
          </w:tcPr>
          <w:p w14:paraId="48E96849" w14:textId="77777777" w:rsidR="00D27D9E" w:rsidRPr="009D7C32" w:rsidRDefault="00D27D9E" w:rsidP="009D7C32">
            <w:pPr>
              <w:pStyle w:val="ARtabletext"/>
            </w:pPr>
          </w:p>
        </w:tc>
        <w:tc>
          <w:tcPr>
            <w:tcW w:w="1163" w:type="pct"/>
          </w:tcPr>
          <w:p w14:paraId="3D529A74" w14:textId="180269A7" w:rsidR="00D27D9E" w:rsidRPr="009D7C32" w:rsidRDefault="00D27D9E" w:rsidP="005E4771">
            <w:pPr>
              <w:pStyle w:val="ARtablebullet1"/>
              <w:numPr>
                <w:ilvl w:val="0"/>
                <w:numId w:val="0"/>
              </w:numPr>
            </w:pPr>
            <w:r w:rsidRPr="009D7C32">
              <w:t>Business case, Public assisted reproductive treatment</w:t>
            </w:r>
          </w:p>
        </w:tc>
        <w:tc>
          <w:tcPr>
            <w:tcW w:w="722" w:type="pct"/>
          </w:tcPr>
          <w:p w14:paraId="24FC1721" w14:textId="77777777" w:rsidR="00D27D9E" w:rsidRPr="009D7C32" w:rsidRDefault="00D27D9E" w:rsidP="009D7C32">
            <w:pPr>
              <w:pStyle w:val="ARtabletextright"/>
            </w:pPr>
            <w:r w:rsidRPr="009D7C32">
              <w:t>301,830</w:t>
            </w:r>
          </w:p>
        </w:tc>
        <w:tc>
          <w:tcPr>
            <w:tcW w:w="766" w:type="pct"/>
          </w:tcPr>
          <w:p w14:paraId="76100F4C" w14:textId="77777777" w:rsidR="00D27D9E" w:rsidRPr="009D7C32" w:rsidRDefault="00D27D9E" w:rsidP="009D7C32">
            <w:pPr>
              <w:pStyle w:val="ARtabletextright"/>
            </w:pPr>
            <w:r w:rsidRPr="009D7C32">
              <w:t>294,779</w:t>
            </w:r>
          </w:p>
        </w:tc>
        <w:tc>
          <w:tcPr>
            <w:tcW w:w="674" w:type="pct"/>
          </w:tcPr>
          <w:p w14:paraId="6127CD4B" w14:textId="77777777" w:rsidR="00D27D9E" w:rsidRPr="009D7C32" w:rsidRDefault="00D27D9E" w:rsidP="009D7C32">
            <w:pPr>
              <w:pStyle w:val="ARtabletextright"/>
            </w:pPr>
            <w:r w:rsidRPr="009D7C32">
              <w:t>7,050</w:t>
            </w:r>
          </w:p>
        </w:tc>
      </w:tr>
      <w:tr w:rsidR="00D27D9E" w:rsidRPr="00A34CB9" w14:paraId="5BDBA6AC" w14:textId="77777777" w:rsidTr="00476F91">
        <w:tc>
          <w:tcPr>
            <w:tcW w:w="768" w:type="pct"/>
            <w:vMerge/>
          </w:tcPr>
          <w:p w14:paraId="27F53E13" w14:textId="0AC70731" w:rsidR="00D27D9E" w:rsidRPr="009D7C32" w:rsidRDefault="00D27D9E" w:rsidP="009D7C32">
            <w:pPr>
              <w:pStyle w:val="ARtabletext"/>
            </w:pPr>
          </w:p>
        </w:tc>
        <w:tc>
          <w:tcPr>
            <w:tcW w:w="907" w:type="pct"/>
            <w:vMerge/>
          </w:tcPr>
          <w:p w14:paraId="065B23EA" w14:textId="77777777" w:rsidR="00D27D9E" w:rsidRPr="009D7C32" w:rsidRDefault="00D27D9E" w:rsidP="009D7C32">
            <w:pPr>
              <w:pStyle w:val="ARtabletext"/>
            </w:pPr>
          </w:p>
        </w:tc>
        <w:tc>
          <w:tcPr>
            <w:tcW w:w="1163" w:type="pct"/>
          </w:tcPr>
          <w:p w14:paraId="717D86A5" w14:textId="097EC39C" w:rsidR="00D27D9E" w:rsidRPr="009D7C32" w:rsidRDefault="00D27D9E" w:rsidP="005E4771">
            <w:pPr>
              <w:pStyle w:val="ARtablebullet1"/>
              <w:numPr>
                <w:ilvl w:val="0"/>
                <w:numId w:val="0"/>
              </w:numPr>
            </w:pPr>
            <w:r w:rsidRPr="009D7C32">
              <w:t>Support, Obesity prevention plan evaluation</w:t>
            </w:r>
          </w:p>
        </w:tc>
        <w:tc>
          <w:tcPr>
            <w:tcW w:w="722" w:type="pct"/>
          </w:tcPr>
          <w:p w14:paraId="77A36272" w14:textId="77777777" w:rsidR="00D27D9E" w:rsidRPr="009D7C32" w:rsidRDefault="00D27D9E" w:rsidP="009D7C32">
            <w:pPr>
              <w:pStyle w:val="ARtabletextright"/>
            </w:pPr>
            <w:r w:rsidRPr="009D7C32">
              <w:t>159,769</w:t>
            </w:r>
          </w:p>
        </w:tc>
        <w:tc>
          <w:tcPr>
            <w:tcW w:w="766" w:type="pct"/>
          </w:tcPr>
          <w:p w14:paraId="5204AF04" w14:textId="77777777" w:rsidR="00D27D9E" w:rsidRPr="009D7C32" w:rsidRDefault="00D27D9E" w:rsidP="009D7C32">
            <w:pPr>
              <w:pStyle w:val="ARtabletextright"/>
            </w:pPr>
            <w:r w:rsidRPr="009D7C32">
              <w:t>119,828</w:t>
            </w:r>
          </w:p>
        </w:tc>
        <w:tc>
          <w:tcPr>
            <w:tcW w:w="674" w:type="pct"/>
          </w:tcPr>
          <w:p w14:paraId="18BB132F" w14:textId="77777777" w:rsidR="00D27D9E" w:rsidRPr="009D7C32" w:rsidRDefault="00D27D9E" w:rsidP="009D7C32">
            <w:pPr>
              <w:pStyle w:val="ARtabletextright"/>
            </w:pPr>
            <w:r w:rsidRPr="009D7C32">
              <w:t>39,942</w:t>
            </w:r>
          </w:p>
        </w:tc>
      </w:tr>
      <w:tr w:rsidR="00D27D9E" w:rsidRPr="00A34CB9" w14:paraId="49033A9A" w14:textId="77777777" w:rsidTr="00476F91">
        <w:tc>
          <w:tcPr>
            <w:tcW w:w="768" w:type="pct"/>
            <w:vMerge/>
          </w:tcPr>
          <w:p w14:paraId="149601F5" w14:textId="106B9DC6" w:rsidR="00D27D9E" w:rsidRPr="009D7C32" w:rsidRDefault="00D27D9E" w:rsidP="009D7C32">
            <w:pPr>
              <w:pStyle w:val="ARtabletext"/>
            </w:pPr>
          </w:p>
        </w:tc>
        <w:tc>
          <w:tcPr>
            <w:tcW w:w="907" w:type="pct"/>
            <w:vMerge/>
          </w:tcPr>
          <w:p w14:paraId="59D5D5F1" w14:textId="77777777" w:rsidR="00D27D9E" w:rsidRPr="009D7C32" w:rsidRDefault="00D27D9E" w:rsidP="009D7C32">
            <w:pPr>
              <w:pStyle w:val="ARtabletext"/>
            </w:pPr>
          </w:p>
        </w:tc>
        <w:tc>
          <w:tcPr>
            <w:tcW w:w="1163" w:type="pct"/>
          </w:tcPr>
          <w:p w14:paraId="7B7D5264" w14:textId="77777777" w:rsidR="00D27D9E" w:rsidRPr="009D7C32" w:rsidRDefault="00D27D9E" w:rsidP="005E4771">
            <w:pPr>
              <w:pStyle w:val="ARtablebullet1"/>
              <w:numPr>
                <w:ilvl w:val="0"/>
                <w:numId w:val="0"/>
              </w:numPr>
            </w:pPr>
            <w:r w:rsidRPr="009D7C32">
              <w:t>Support, Early years program development</w:t>
            </w:r>
          </w:p>
        </w:tc>
        <w:tc>
          <w:tcPr>
            <w:tcW w:w="722" w:type="pct"/>
          </w:tcPr>
          <w:p w14:paraId="11CED059" w14:textId="77777777" w:rsidR="00D27D9E" w:rsidRPr="009D7C32" w:rsidRDefault="00D27D9E" w:rsidP="009D7C32">
            <w:pPr>
              <w:pStyle w:val="ARtabletextright"/>
            </w:pPr>
            <w:r w:rsidRPr="009D7C32">
              <w:t>180,497</w:t>
            </w:r>
          </w:p>
        </w:tc>
        <w:tc>
          <w:tcPr>
            <w:tcW w:w="766" w:type="pct"/>
          </w:tcPr>
          <w:p w14:paraId="461BB049" w14:textId="77777777" w:rsidR="00D27D9E" w:rsidRPr="009D7C32" w:rsidRDefault="00D27D9E" w:rsidP="009D7C32">
            <w:pPr>
              <w:pStyle w:val="ARtabletextright"/>
            </w:pPr>
            <w:r w:rsidRPr="009D7C32">
              <w:t>180,497</w:t>
            </w:r>
          </w:p>
        </w:tc>
        <w:tc>
          <w:tcPr>
            <w:tcW w:w="674" w:type="pct"/>
          </w:tcPr>
          <w:p w14:paraId="2F46C513" w14:textId="77777777" w:rsidR="00D27D9E" w:rsidRPr="009D7C32" w:rsidRDefault="00D27D9E" w:rsidP="009D7C32">
            <w:pPr>
              <w:pStyle w:val="ARtabletextright"/>
            </w:pPr>
            <w:r w:rsidRPr="009D7C32">
              <w:t>0</w:t>
            </w:r>
          </w:p>
        </w:tc>
      </w:tr>
      <w:tr w:rsidR="00D27D9E" w:rsidRPr="00A34CB9" w14:paraId="58FDE794" w14:textId="77777777" w:rsidTr="00476F91">
        <w:tc>
          <w:tcPr>
            <w:tcW w:w="768" w:type="pct"/>
            <w:vMerge/>
          </w:tcPr>
          <w:p w14:paraId="62A33FF1" w14:textId="0B906689" w:rsidR="00D27D9E" w:rsidRPr="009D7C32" w:rsidRDefault="00D27D9E" w:rsidP="00E54F47">
            <w:pPr>
              <w:pStyle w:val="ARtabletext"/>
            </w:pPr>
          </w:p>
        </w:tc>
        <w:tc>
          <w:tcPr>
            <w:tcW w:w="907" w:type="pct"/>
            <w:vMerge/>
          </w:tcPr>
          <w:p w14:paraId="2BD8E4CE" w14:textId="77777777" w:rsidR="00D27D9E" w:rsidRPr="009D7C32" w:rsidRDefault="00D27D9E" w:rsidP="00E54F47">
            <w:pPr>
              <w:pStyle w:val="ARtabletext"/>
            </w:pPr>
          </w:p>
        </w:tc>
        <w:tc>
          <w:tcPr>
            <w:tcW w:w="1163" w:type="pct"/>
          </w:tcPr>
          <w:p w14:paraId="3ACE8E06" w14:textId="109FCBAE" w:rsidR="00D27D9E" w:rsidRPr="009D7C32" w:rsidRDefault="00D27D9E" w:rsidP="005E4771">
            <w:pPr>
              <w:pStyle w:val="ARtablebullet1"/>
              <w:numPr>
                <w:ilvl w:val="0"/>
                <w:numId w:val="0"/>
              </w:numPr>
            </w:pPr>
            <w:r w:rsidRPr="009D7C32">
              <w:t>Integrated public hospital laboratory information systems</w:t>
            </w:r>
          </w:p>
        </w:tc>
        <w:tc>
          <w:tcPr>
            <w:tcW w:w="722" w:type="pct"/>
          </w:tcPr>
          <w:p w14:paraId="212B5832" w14:textId="5D558323" w:rsidR="00D27D9E" w:rsidRPr="009D7C32" w:rsidRDefault="00D27D9E" w:rsidP="00E54F47">
            <w:pPr>
              <w:pStyle w:val="ARtabletextright"/>
            </w:pPr>
            <w:r w:rsidRPr="009D7C32">
              <w:t>1,244,400</w:t>
            </w:r>
          </w:p>
        </w:tc>
        <w:tc>
          <w:tcPr>
            <w:tcW w:w="766" w:type="pct"/>
          </w:tcPr>
          <w:p w14:paraId="16E32BBE" w14:textId="3494C702" w:rsidR="00D27D9E" w:rsidRPr="009D7C32" w:rsidRDefault="00D27D9E" w:rsidP="00E54F47">
            <w:pPr>
              <w:pStyle w:val="ARtabletextright"/>
            </w:pPr>
            <w:r w:rsidRPr="009D7C32">
              <w:t>899,295</w:t>
            </w:r>
          </w:p>
        </w:tc>
        <w:tc>
          <w:tcPr>
            <w:tcW w:w="674" w:type="pct"/>
          </w:tcPr>
          <w:p w14:paraId="2411C6A2" w14:textId="4AA363C7" w:rsidR="00D27D9E" w:rsidRPr="009D7C32" w:rsidRDefault="00D27D9E" w:rsidP="00E54F47">
            <w:pPr>
              <w:pStyle w:val="ARtabletextright"/>
            </w:pPr>
            <w:r w:rsidRPr="009D7C32">
              <w:t>345,105</w:t>
            </w:r>
          </w:p>
        </w:tc>
      </w:tr>
      <w:tr w:rsidR="00D27D9E" w:rsidRPr="00A34CB9" w14:paraId="58C665E9" w14:textId="77777777" w:rsidTr="00476F91">
        <w:tc>
          <w:tcPr>
            <w:tcW w:w="768" w:type="pct"/>
            <w:vMerge/>
          </w:tcPr>
          <w:p w14:paraId="2D2560C6" w14:textId="3DBA52B0" w:rsidR="00D27D9E" w:rsidRPr="009D7C32" w:rsidRDefault="00D27D9E" w:rsidP="00E54F47">
            <w:pPr>
              <w:pStyle w:val="ARtabletext"/>
            </w:pPr>
          </w:p>
        </w:tc>
        <w:tc>
          <w:tcPr>
            <w:tcW w:w="907" w:type="pct"/>
            <w:vMerge/>
          </w:tcPr>
          <w:p w14:paraId="0DFE4BB2" w14:textId="77777777" w:rsidR="00D27D9E" w:rsidRPr="009D7C32" w:rsidRDefault="00D27D9E" w:rsidP="00E54F47">
            <w:pPr>
              <w:pStyle w:val="ARtabletext"/>
            </w:pPr>
          </w:p>
        </w:tc>
        <w:tc>
          <w:tcPr>
            <w:tcW w:w="1163" w:type="pct"/>
          </w:tcPr>
          <w:p w14:paraId="6FAAB53E" w14:textId="0804EA65" w:rsidR="00D27D9E" w:rsidRPr="009D7C32" w:rsidRDefault="00D27D9E" w:rsidP="005E4771">
            <w:pPr>
              <w:pStyle w:val="ARtablebullet1"/>
              <w:numPr>
                <w:ilvl w:val="0"/>
                <w:numId w:val="0"/>
              </w:numPr>
            </w:pPr>
            <w:r w:rsidRPr="009D7C32">
              <w:t xml:space="preserve">Workforce </w:t>
            </w:r>
            <w:r>
              <w:t>p</w:t>
            </w:r>
            <w:r w:rsidRPr="009D7C32">
              <w:t>lan, COVID</w:t>
            </w:r>
            <w:r w:rsidR="00155B22">
              <w:noBreakHyphen/>
            </w:r>
            <w:r w:rsidRPr="009D7C32">
              <w:t xml:space="preserve">19 </w:t>
            </w:r>
            <w:r>
              <w:t>p</w:t>
            </w:r>
            <w:r w:rsidRPr="009D7C32">
              <w:t>ublic health response</w:t>
            </w:r>
          </w:p>
        </w:tc>
        <w:tc>
          <w:tcPr>
            <w:tcW w:w="722" w:type="pct"/>
          </w:tcPr>
          <w:p w14:paraId="02F7F39A" w14:textId="6893A8D6" w:rsidR="00D27D9E" w:rsidRPr="009D7C32" w:rsidRDefault="00D27D9E" w:rsidP="00E54F47">
            <w:pPr>
              <w:pStyle w:val="ARtabletextright"/>
            </w:pPr>
            <w:r w:rsidRPr="009D7C32">
              <w:t>127,518</w:t>
            </w:r>
          </w:p>
        </w:tc>
        <w:tc>
          <w:tcPr>
            <w:tcW w:w="766" w:type="pct"/>
          </w:tcPr>
          <w:p w14:paraId="7D4919F5" w14:textId="03C11634" w:rsidR="00D27D9E" w:rsidRPr="009D7C32" w:rsidRDefault="00D27D9E" w:rsidP="00E54F47">
            <w:pPr>
              <w:pStyle w:val="ARtabletextright"/>
            </w:pPr>
            <w:r w:rsidRPr="009D7C32">
              <w:t>128,609</w:t>
            </w:r>
          </w:p>
        </w:tc>
        <w:tc>
          <w:tcPr>
            <w:tcW w:w="674" w:type="pct"/>
          </w:tcPr>
          <w:p w14:paraId="7875C2FD" w14:textId="217D710E" w:rsidR="00D27D9E" w:rsidRPr="009D7C32" w:rsidRDefault="00D27D9E" w:rsidP="00E54F47">
            <w:pPr>
              <w:pStyle w:val="ARtabletextright"/>
            </w:pPr>
            <w:r w:rsidRPr="009D7C32">
              <w:t>0</w:t>
            </w:r>
          </w:p>
        </w:tc>
      </w:tr>
      <w:tr w:rsidR="00D27D9E" w:rsidRPr="00A34CB9" w14:paraId="5AD9D986" w14:textId="77777777" w:rsidTr="00476F91">
        <w:tc>
          <w:tcPr>
            <w:tcW w:w="768" w:type="pct"/>
            <w:vMerge/>
          </w:tcPr>
          <w:p w14:paraId="13284D3F" w14:textId="3002F744" w:rsidR="00D27D9E" w:rsidRPr="009D7C32" w:rsidRDefault="00D27D9E" w:rsidP="00E54F47">
            <w:pPr>
              <w:pStyle w:val="ARtabletext"/>
            </w:pPr>
          </w:p>
        </w:tc>
        <w:tc>
          <w:tcPr>
            <w:tcW w:w="907" w:type="pct"/>
            <w:vMerge/>
          </w:tcPr>
          <w:p w14:paraId="0C282A8E" w14:textId="77777777" w:rsidR="00D27D9E" w:rsidRPr="009D7C32" w:rsidRDefault="00D27D9E" w:rsidP="00E54F47">
            <w:pPr>
              <w:pStyle w:val="ARtabletext"/>
            </w:pPr>
          </w:p>
        </w:tc>
        <w:tc>
          <w:tcPr>
            <w:tcW w:w="1163" w:type="pct"/>
          </w:tcPr>
          <w:p w14:paraId="7BF533B1" w14:textId="1136DAB9" w:rsidR="00D27D9E" w:rsidRPr="009D7C32" w:rsidRDefault="00D27D9E" w:rsidP="005E4771">
            <w:pPr>
              <w:pStyle w:val="ARtablebullet1"/>
              <w:numPr>
                <w:ilvl w:val="0"/>
                <w:numId w:val="0"/>
              </w:numPr>
            </w:pPr>
            <w:r w:rsidRPr="009D7C32">
              <w:t xml:space="preserve">Options analysis, Health </w:t>
            </w:r>
            <w:r w:rsidR="00FE336D">
              <w:t>t</w:t>
            </w:r>
            <w:r w:rsidRPr="009D7C32">
              <w:t xml:space="preserve">echnology </w:t>
            </w:r>
            <w:r>
              <w:t>s</w:t>
            </w:r>
            <w:r w:rsidRPr="009D7C32">
              <w:t>olutions and IT operating model</w:t>
            </w:r>
          </w:p>
        </w:tc>
        <w:tc>
          <w:tcPr>
            <w:tcW w:w="722" w:type="pct"/>
          </w:tcPr>
          <w:p w14:paraId="08CD10A7" w14:textId="5AC62330" w:rsidR="00D27D9E" w:rsidRPr="009D7C32" w:rsidRDefault="00D27D9E" w:rsidP="00E54F47">
            <w:pPr>
              <w:pStyle w:val="ARtabletextright"/>
            </w:pPr>
            <w:r w:rsidRPr="009D7C32">
              <w:t>191,636</w:t>
            </w:r>
          </w:p>
        </w:tc>
        <w:tc>
          <w:tcPr>
            <w:tcW w:w="766" w:type="pct"/>
          </w:tcPr>
          <w:p w14:paraId="3E049A2E" w14:textId="7E40CAD1" w:rsidR="00D27D9E" w:rsidRPr="009D7C32" w:rsidRDefault="00D27D9E" w:rsidP="00E54F47">
            <w:pPr>
              <w:pStyle w:val="ARtabletextright"/>
            </w:pPr>
            <w:r w:rsidRPr="009D7C32">
              <w:t>57,491</w:t>
            </w:r>
          </w:p>
        </w:tc>
        <w:tc>
          <w:tcPr>
            <w:tcW w:w="674" w:type="pct"/>
          </w:tcPr>
          <w:p w14:paraId="519BA370" w14:textId="16B1A0B9" w:rsidR="00D27D9E" w:rsidRPr="009D7C32" w:rsidRDefault="00D27D9E" w:rsidP="00E54F47">
            <w:pPr>
              <w:pStyle w:val="ARtabletextright"/>
            </w:pPr>
            <w:r w:rsidRPr="009D7C32">
              <w:t>0</w:t>
            </w:r>
          </w:p>
        </w:tc>
      </w:tr>
      <w:tr w:rsidR="00CE5620" w:rsidRPr="00A34CB9" w14:paraId="376D0414" w14:textId="77777777" w:rsidTr="00476F91">
        <w:tc>
          <w:tcPr>
            <w:tcW w:w="768" w:type="pct"/>
            <w:vMerge w:val="restart"/>
          </w:tcPr>
          <w:p w14:paraId="4C4C48DB" w14:textId="77777777" w:rsidR="00CE5620" w:rsidRPr="009D7C32" w:rsidRDefault="00CE5620" w:rsidP="00A6122B">
            <w:pPr>
              <w:pStyle w:val="ARtabletext"/>
              <w:pageBreakBefore/>
            </w:pPr>
            <w:r w:rsidRPr="009D7C32">
              <w:lastRenderedPageBreak/>
              <w:t>Policy/Program Advice &amp; Delivery</w:t>
            </w:r>
          </w:p>
        </w:tc>
        <w:tc>
          <w:tcPr>
            <w:tcW w:w="907" w:type="pct"/>
            <w:vMerge w:val="restart"/>
          </w:tcPr>
          <w:p w14:paraId="73AE50B3" w14:textId="77777777" w:rsidR="00CE5620" w:rsidRPr="00CC54A2" w:rsidRDefault="00CE5620" w:rsidP="009D7C32">
            <w:pPr>
              <w:pStyle w:val="ARtabletext"/>
            </w:pPr>
            <w:r w:rsidRPr="00CC54A2">
              <w:t>Nous Group Pty Ltd</w:t>
            </w:r>
          </w:p>
          <w:p w14:paraId="2593CE14" w14:textId="1C745F3D" w:rsidR="00CE5620" w:rsidRPr="00CC54A2" w:rsidRDefault="00CE5620" w:rsidP="009D7C32">
            <w:pPr>
              <w:pStyle w:val="ARtabletext"/>
            </w:pPr>
            <w:r w:rsidRPr="00CC54A2">
              <w:t xml:space="preserve">Strategic Alliance (Community Services) total approved project fee whole-of-life status excl. GST as at </w:t>
            </w:r>
            <w:r w:rsidR="0051499C" w:rsidRPr="00CC54A2">
              <w:t>30 June 2021</w:t>
            </w:r>
            <w:r w:rsidRPr="00CC54A2">
              <w:t>: $5,454,546</w:t>
            </w:r>
          </w:p>
        </w:tc>
        <w:tc>
          <w:tcPr>
            <w:tcW w:w="1163" w:type="pct"/>
          </w:tcPr>
          <w:p w14:paraId="3255AAE9" w14:textId="77777777" w:rsidR="00CE5620" w:rsidRPr="009D7C32" w:rsidRDefault="00CE5620" w:rsidP="005E4771">
            <w:pPr>
              <w:pStyle w:val="ARtablebullet1"/>
              <w:numPr>
                <w:ilvl w:val="0"/>
                <w:numId w:val="0"/>
              </w:numPr>
            </w:pPr>
            <w:r w:rsidRPr="009D7C32">
              <w:t>Analysis, Department of Families, Fairness and Housing portfolios</w:t>
            </w:r>
          </w:p>
        </w:tc>
        <w:tc>
          <w:tcPr>
            <w:tcW w:w="722" w:type="pct"/>
          </w:tcPr>
          <w:p w14:paraId="1B8A77BA" w14:textId="77777777" w:rsidR="00CE5620" w:rsidRPr="009D7C32" w:rsidRDefault="00CE5620" w:rsidP="009D7C32">
            <w:pPr>
              <w:pStyle w:val="ARtabletextright"/>
            </w:pPr>
            <w:r w:rsidRPr="009D7C32">
              <w:t>30,000</w:t>
            </w:r>
          </w:p>
        </w:tc>
        <w:tc>
          <w:tcPr>
            <w:tcW w:w="766" w:type="pct"/>
          </w:tcPr>
          <w:p w14:paraId="2A1FCE33" w14:textId="77777777" w:rsidR="00CE5620" w:rsidRPr="009D7C32" w:rsidRDefault="00CE5620" w:rsidP="009D7C32">
            <w:pPr>
              <w:pStyle w:val="ARtabletextright"/>
            </w:pPr>
            <w:r w:rsidRPr="009D7C32">
              <w:t>30,154</w:t>
            </w:r>
          </w:p>
        </w:tc>
        <w:tc>
          <w:tcPr>
            <w:tcW w:w="674" w:type="pct"/>
          </w:tcPr>
          <w:p w14:paraId="213633C6" w14:textId="77777777" w:rsidR="00CE5620" w:rsidRPr="009D7C32" w:rsidRDefault="00CE5620" w:rsidP="009D7C32">
            <w:pPr>
              <w:pStyle w:val="ARtabletextright"/>
            </w:pPr>
            <w:r w:rsidRPr="009D7C32">
              <w:t>0</w:t>
            </w:r>
          </w:p>
        </w:tc>
      </w:tr>
      <w:tr w:rsidR="00CE5620" w:rsidRPr="00A34CB9" w14:paraId="7FD980DA" w14:textId="77777777" w:rsidTr="00476F91">
        <w:tc>
          <w:tcPr>
            <w:tcW w:w="768" w:type="pct"/>
            <w:vMerge/>
          </w:tcPr>
          <w:p w14:paraId="6C42423D" w14:textId="7C3E8483" w:rsidR="00CE5620" w:rsidRPr="009D7C32" w:rsidRDefault="00CE5620" w:rsidP="009D7C32">
            <w:pPr>
              <w:pStyle w:val="ARtabletext"/>
            </w:pPr>
          </w:p>
        </w:tc>
        <w:tc>
          <w:tcPr>
            <w:tcW w:w="907" w:type="pct"/>
            <w:vMerge/>
          </w:tcPr>
          <w:p w14:paraId="44F4093C" w14:textId="77777777" w:rsidR="00CE5620" w:rsidRPr="00CC54A2" w:rsidRDefault="00CE5620" w:rsidP="009D7C32">
            <w:pPr>
              <w:pStyle w:val="ARtabletext"/>
            </w:pPr>
          </w:p>
        </w:tc>
        <w:tc>
          <w:tcPr>
            <w:tcW w:w="1163" w:type="pct"/>
          </w:tcPr>
          <w:p w14:paraId="61130C00" w14:textId="77777777" w:rsidR="00CE5620" w:rsidRPr="009D7C32" w:rsidRDefault="00CE5620" w:rsidP="005E4771">
            <w:pPr>
              <w:pStyle w:val="ARtablebullet1"/>
              <w:numPr>
                <w:ilvl w:val="0"/>
                <w:numId w:val="0"/>
              </w:numPr>
            </w:pPr>
            <w:r w:rsidRPr="009D7C32">
              <w:t>Community housing and local government partnerships</w:t>
            </w:r>
          </w:p>
        </w:tc>
        <w:tc>
          <w:tcPr>
            <w:tcW w:w="722" w:type="pct"/>
          </w:tcPr>
          <w:p w14:paraId="32C04799" w14:textId="77777777" w:rsidR="00CE5620" w:rsidRPr="009D7C32" w:rsidRDefault="00CE5620" w:rsidP="009D7C32">
            <w:pPr>
              <w:pStyle w:val="ARtabletextright"/>
            </w:pPr>
            <w:r w:rsidRPr="009D7C32">
              <w:t>380,952</w:t>
            </w:r>
          </w:p>
        </w:tc>
        <w:tc>
          <w:tcPr>
            <w:tcW w:w="766" w:type="pct"/>
          </w:tcPr>
          <w:p w14:paraId="15878C21" w14:textId="77777777" w:rsidR="00CE5620" w:rsidRPr="009D7C32" w:rsidRDefault="00CE5620" w:rsidP="009D7C32">
            <w:pPr>
              <w:pStyle w:val="ARtabletextright"/>
            </w:pPr>
            <w:r w:rsidRPr="009D7C32">
              <w:t>281,457</w:t>
            </w:r>
          </w:p>
        </w:tc>
        <w:tc>
          <w:tcPr>
            <w:tcW w:w="674" w:type="pct"/>
          </w:tcPr>
          <w:p w14:paraId="0C1795C6" w14:textId="77777777" w:rsidR="00CE5620" w:rsidRPr="009D7C32" w:rsidRDefault="00CE5620" w:rsidP="009D7C32">
            <w:pPr>
              <w:pStyle w:val="ARtabletextright"/>
            </w:pPr>
            <w:r w:rsidRPr="009D7C32">
              <w:t>99,495</w:t>
            </w:r>
          </w:p>
        </w:tc>
      </w:tr>
      <w:tr w:rsidR="001A2AE5" w:rsidRPr="00A34CB9" w14:paraId="6780F396" w14:textId="77777777" w:rsidTr="003E3BE1">
        <w:tc>
          <w:tcPr>
            <w:tcW w:w="768" w:type="pct"/>
            <w:vMerge w:val="restart"/>
            <w:tcBorders>
              <w:top w:val="single" w:sz="4" w:space="0" w:color="auto"/>
            </w:tcBorders>
          </w:tcPr>
          <w:p w14:paraId="2881A89F" w14:textId="179646FE" w:rsidR="001A2AE5" w:rsidRPr="009D7C32" w:rsidRDefault="001A2AE5" w:rsidP="00A82682">
            <w:pPr>
              <w:pStyle w:val="ARtabletext"/>
            </w:pPr>
            <w:r w:rsidRPr="009D7C32">
              <w:t>Policy/Program Advice &amp; Delivery</w:t>
            </w:r>
          </w:p>
        </w:tc>
        <w:tc>
          <w:tcPr>
            <w:tcW w:w="907" w:type="pct"/>
            <w:vMerge w:val="restart"/>
            <w:tcBorders>
              <w:top w:val="single" w:sz="4" w:space="0" w:color="auto"/>
            </w:tcBorders>
          </w:tcPr>
          <w:p w14:paraId="4A1D9828" w14:textId="77777777" w:rsidR="001A2AE5" w:rsidRPr="00CC54A2" w:rsidRDefault="001A2AE5" w:rsidP="00A82682">
            <w:pPr>
              <w:pStyle w:val="ARtabletext"/>
            </w:pPr>
            <w:r w:rsidRPr="00CC54A2">
              <w:t>Third Horizon Consulting Pty Ltd / Publicis Sapient</w:t>
            </w:r>
          </w:p>
          <w:p w14:paraId="112E9250" w14:textId="55461574" w:rsidR="001A2AE5" w:rsidRPr="00CC54A2" w:rsidRDefault="001A2AE5" w:rsidP="00A82682">
            <w:pPr>
              <w:pStyle w:val="ARtabletext"/>
            </w:pPr>
            <w:r w:rsidRPr="00CC54A2">
              <w:t>Strategic Alliance (Organisational Improvement) total approved project fee whole-of-life status excl. GST as at 30</w:t>
            </w:r>
            <w:r w:rsidR="0051499C" w:rsidRPr="00CC54A2">
              <w:t> </w:t>
            </w:r>
            <w:r w:rsidRPr="00CC54A2">
              <w:t>June</w:t>
            </w:r>
            <w:r w:rsidR="0051499C" w:rsidRPr="00CC54A2">
              <w:t> </w:t>
            </w:r>
            <w:r w:rsidRPr="00CC54A2">
              <w:t>2021: $13,636,365</w:t>
            </w:r>
          </w:p>
        </w:tc>
        <w:tc>
          <w:tcPr>
            <w:tcW w:w="1163" w:type="pct"/>
            <w:tcBorders>
              <w:top w:val="single" w:sz="4" w:space="0" w:color="auto"/>
            </w:tcBorders>
          </w:tcPr>
          <w:p w14:paraId="42AFC388" w14:textId="77777777" w:rsidR="001A2AE5" w:rsidRPr="009D7C32" w:rsidRDefault="001A2AE5" w:rsidP="00A82682">
            <w:pPr>
              <w:pStyle w:val="ARtablebullet1"/>
              <w:numPr>
                <w:ilvl w:val="0"/>
                <w:numId w:val="0"/>
              </w:numPr>
            </w:pPr>
            <w:r w:rsidRPr="009D7C32">
              <w:t>Operating model design</w:t>
            </w:r>
          </w:p>
        </w:tc>
        <w:tc>
          <w:tcPr>
            <w:tcW w:w="722" w:type="pct"/>
            <w:tcBorders>
              <w:top w:val="single" w:sz="4" w:space="0" w:color="auto"/>
            </w:tcBorders>
          </w:tcPr>
          <w:p w14:paraId="6BED0248" w14:textId="77777777" w:rsidR="001A2AE5" w:rsidRPr="009D7C32" w:rsidRDefault="001A2AE5" w:rsidP="00A82682">
            <w:pPr>
              <w:pStyle w:val="ARtabletextright"/>
            </w:pPr>
            <w:r w:rsidRPr="009D7C32">
              <w:t>211,455</w:t>
            </w:r>
          </w:p>
        </w:tc>
        <w:tc>
          <w:tcPr>
            <w:tcW w:w="766" w:type="pct"/>
            <w:tcBorders>
              <w:top w:val="single" w:sz="4" w:space="0" w:color="auto"/>
            </w:tcBorders>
          </w:tcPr>
          <w:p w14:paraId="7E7D881A" w14:textId="77777777" w:rsidR="001A2AE5" w:rsidRPr="009D7C32" w:rsidRDefault="001A2AE5" w:rsidP="00A82682">
            <w:pPr>
              <w:pStyle w:val="ARtabletextright"/>
            </w:pPr>
            <w:r w:rsidRPr="009D7C32">
              <w:t>211,455</w:t>
            </w:r>
          </w:p>
        </w:tc>
        <w:tc>
          <w:tcPr>
            <w:tcW w:w="674" w:type="pct"/>
            <w:tcBorders>
              <w:top w:val="single" w:sz="4" w:space="0" w:color="auto"/>
            </w:tcBorders>
          </w:tcPr>
          <w:p w14:paraId="30DB48B4" w14:textId="77777777" w:rsidR="001A2AE5" w:rsidRPr="009D7C32" w:rsidRDefault="001A2AE5" w:rsidP="00A82682">
            <w:pPr>
              <w:pStyle w:val="ARtabletextright"/>
            </w:pPr>
            <w:r w:rsidRPr="009D7C32">
              <w:t>0</w:t>
            </w:r>
          </w:p>
        </w:tc>
      </w:tr>
      <w:tr w:rsidR="001A2AE5" w:rsidRPr="00A34CB9" w14:paraId="53EB783C" w14:textId="77777777" w:rsidTr="00476F91">
        <w:tc>
          <w:tcPr>
            <w:tcW w:w="768" w:type="pct"/>
            <w:vMerge/>
          </w:tcPr>
          <w:p w14:paraId="590DA54C" w14:textId="4BA86F3C" w:rsidR="001A2AE5" w:rsidRPr="009D7C32" w:rsidRDefault="001A2AE5" w:rsidP="009D7C32">
            <w:pPr>
              <w:pStyle w:val="ARtabletext"/>
            </w:pPr>
          </w:p>
        </w:tc>
        <w:tc>
          <w:tcPr>
            <w:tcW w:w="907" w:type="pct"/>
            <w:vMerge/>
          </w:tcPr>
          <w:p w14:paraId="7B8B2C59" w14:textId="77777777" w:rsidR="001A2AE5" w:rsidRPr="009D7C32" w:rsidRDefault="001A2AE5" w:rsidP="009D7C32">
            <w:pPr>
              <w:pStyle w:val="ARtabletext"/>
            </w:pPr>
          </w:p>
        </w:tc>
        <w:tc>
          <w:tcPr>
            <w:tcW w:w="1163" w:type="pct"/>
          </w:tcPr>
          <w:p w14:paraId="25314713" w14:textId="576646AF" w:rsidR="001A2AE5" w:rsidRPr="009D7C32" w:rsidRDefault="001A2AE5" w:rsidP="005E4771">
            <w:pPr>
              <w:pStyle w:val="ARtablebullet1"/>
              <w:numPr>
                <w:ilvl w:val="0"/>
                <w:numId w:val="0"/>
              </w:numPr>
            </w:pPr>
            <w:r w:rsidRPr="009D7C32">
              <w:t>Support, Operation Vestige (visits to COVID</w:t>
            </w:r>
            <w:r w:rsidR="00A7338B">
              <w:noBreakHyphen/>
            </w:r>
            <w:r w:rsidRPr="009D7C32">
              <w:t>19 homes)</w:t>
            </w:r>
          </w:p>
        </w:tc>
        <w:tc>
          <w:tcPr>
            <w:tcW w:w="722" w:type="pct"/>
          </w:tcPr>
          <w:p w14:paraId="6E805760" w14:textId="77777777" w:rsidR="001A2AE5" w:rsidRPr="009D7C32" w:rsidRDefault="001A2AE5" w:rsidP="009D7C32">
            <w:pPr>
              <w:pStyle w:val="ARtabletextright"/>
            </w:pPr>
            <w:r w:rsidRPr="009D7C32">
              <w:t>60,945</w:t>
            </w:r>
          </w:p>
        </w:tc>
        <w:tc>
          <w:tcPr>
            <w:tcW w:w="766" w:type="pct"/>
          </w:tcPr>
          <w:p w14:paraId="4CA4F5E9" w14:textId="77777777" w:rsidR="001A2AE5" w:rsidRPr="009D7C32" w:rsidRDefault="001A2AE5" w:rsidP="009D7C32">
            <w:pPr>
              <w:pStyle w:val="ARtabletextright"/>
            </w:pPr>
            <w:r w:rsidRPr="009D7C32">
              <w:t>60,945</w:t>
            </w:r>
          </w:p>
        </w:tc>
        <w:tc>
          <w:tcPr>
            <w:tcW w:w="674" w:type="pct"/>
          </w:tcPr>
          <w:p w14:paraId="6F7AC52E" w14:textId="77777777" w:rsidR="001A2AE5" w:rsidRPr="009D7C32" w:rsidRDefault="001A2AE5" w:rsidP="009D7C32">
            <w:pPr>
              <w:pStyle w:val="ARtabletextright"/>
            </w:pPr>
            <w:r w:rsidRPr="009D7C32">
              <w:t>0</w:t>
            </w:r>
          </w:p>
        </w:tc>
      </w:tr>
      <w:tr w:rsidR="001A2AE5" w:rsidRPr="00A34CB9" w14:paraId="64FFD0BA" w14:textId="77777777" w:rsidTr="00476F91">
        <w:tc>
          <w:tcPr>
            <w:tcW w:w="768" w:type="pct"/>
            <w:vMerge/>
          </w:tcPr>
          <w:p w14:paraId="0B707FD3" w14:textId="17C0294A" w:rsidR="001A2AE5" w:rsidRPr="009D7C32" w:rsidRDefault="001A2AE5" w:rsidP="009D7C32">
            <w:pPr>
              <w:pStyle w:val="ARtabletext"/>
            </w:pPr>
          </w:p>
        </w:tc>
        <w:tc>
          <w:tcPr>
            <w:tcW w:w="907" w:type="pct"/>
            <w:vMerge/>
          </w:tcPr>
          <w:p w14:paraId="75E475F3" w14:textId="77777777" w:rsidR="001A2AE5" w:rsidRPr="009D7C32" w:rsidRDefault="001A2AE5" w:rsidP="009D7C32">
            <w:pPr>
              <w:pStyle w:val="ARtabletext"/>
            </w:pPr>
          </w:p>
        </w:tc>
        <w:tc>
          <w:tcPr>
            <w:tcW w:w="1163" w:type="pct"/>
          </w:tcPr>
          <w:p w14:paraId="588DE33D" w14:textId="7C6665EE" w:rsidR="001A2AE5" w:rsidRPr="009D7C32" w:rsidRDefault="001A2AE5" w:rsidP="005E4771">
            <w:pPr>
              <w:pStyle w:val="ARtablebullet1"/>
              <w:numPr>
                <w:ilvl w:val="0"/>
                <w:numId w:val="0"/>
              </w:numPr>
            </w:pPr>
            <w:r w:rsidRPr="009D7C32">
              <w:t>Support, Cost management program</w:t>
            </w:r>
          </w:p>
        </w:tc>
        <w:tc>
          <w:tcPr>
            <w:tcW w:w="722" w:type="pct"/>
          </w:tcPr>
          <w:p w14:paraId="56536DA8" w14:textId="77777777" w:rsidR="001A2AE5" w:rsidRPr="009D7C32" w:rsidRDefault="001A2AE5" w:rsidP="009D7C32">
            <w:pPr>
              <w:pStyle w:val="ARtabletextright"/>
            </w:pPr>
            <w:r w:rsidRPr="009D7C32">
              <w:t>892,275</w:t>
            </w:r>
          </w:p>
        </w:tc>
        <w:tc>
          <w:tcPr>
            <w:tcW w:w="766" w:type="pct"/>
          </w:tcPr>
          <w:p w14:paraId="59A29F58" w14:textId="77777777" w:rsidR="001A2AE5" w:rsidRPr="009D7C32" w:rsidRDefault="001A2AE5" w:rsidP="009D7C32">
            <w:pPr>
              <w:pStyle w:val="ARtabletextright"/>
            </w:pPr>
            <w:r w:rsidRPr="009D7C32">
              <w:t>883,372</w:t>
            </w:r>
          </w:p>
        </w:tc>
        <w:tc>
          <w:tcPr>
            <w:tcW w:w="674" w:type="pct"/>
          </w:tcPr>
          <w:p w14:paraId="4EC7E097" w14:textId="77777777" w:rsidR="001A2AE5" w:rsidRPr="009D7C32" w:rsidRDefault="001A2AE5" w:rsidP="009D7C32">
            <w:pPr>
              <w:pStyle w:val="ARtabletextright"/>
            </w:pPr>
            <w:r w:rsidRPr="009D7C32">
              <w:t>8,904</w:t>
            </w:r>
          </w:p>
        </w:tc>
      </w:tr>
      <w:tr w:rsidR="001A2AE5" w:rsidRPr="00A34CB9" w14:paraId="7348152D" w14:textId="77777777" w:rsidTr="00476F91">
        <w:tc>
          <w:tcPr>
            <w:tcW w:w="768" w:type="pct"/>
            <w:vMerge/>
          </w:tcPr>
          <w:p w14:paraId="44F76189" w14:textId="41FCC337" w:rsidR="001A2AE5" w:rsidRPr="009D7C32" w:rsidRDefault="001A2AE5" w:rsidP="009D7C32">
            <w:pPr>
              <w:pStyle w:val="ARtabletext"/>
            </w:pPr>
          </w:p>
        </w:tc>
        <w:tc>
          <w:tcPr>
            <w:tcW w:w="907" w:type="pct"/>
            <w:vMerge/>
          </w:tcPr>
          <w:p w14:paraId="6165A92C" w14:textId="77777777" w:rsidR="001A2AE5" w:rsidRPr="009D7C32" w:rsidRDefault="001A2AE5" w:rsidP="009D7C32">
            <w:pPr>
              <w:pStyle w:val="ARtabletext"/>
            </w:pPr>
          </w:p>
        </w:tc>
        <w:tc>
          <w:tcPr>
            <w:tcW w:w="1163" w:type="pct"/>
          </w:tcPr>
          <w:p w14:paraId="1417E61D" w14:textId="2B8556E2" w:rsidR="001A2AE5" w:rsidRPr="009D7C32" w:rsidRDefault="001A2AE5" w:rsidP="005E4771">
            <w:pPr>
              <w:pStyle w:val="ARtablebullet1"/>
              <w:numPr>
                <w:ilvl w:val="0"/>
                <w:numId w:val="0"/>
              </w:numPr>
            </w:pPr>
            <w:r w:rsidRPr="009D7C32">
              <w:t xml:space="preserve">Design, Child </w:t>
            </w:r>
            <w:r>
              <w:t>p</w:t>
            </w:r>
            <w:r w:rsidRPr="009D7C32">
              <w:t>rotection project management office</w:t>
            </w:r>
          </w:p>
        </w:tc>
        <w:tc>
          <w:tcPr>
            <w:tcW w:w="722" w:type="pct"/>
          </w:tcPr>
          <w:p w14:paraId="73E393F0" w14:textId="77777777" w:rsidR="001A2AE5" w:rsidRPr="009D7C32" w:rsidRDefault="001A2AE5" w:rsidP="009D7C32">
            <w:pPr>
              <w:pStyle w:val="ARtabletextright"/>
            </w:pPr>
            <w:r w:rsidRPr="009D7C32">
              <w:t>113,884</w:t>
            </w:r>
          </w:p>
        </w:tc>
        <w:tc>
          <w:tcPr>
            <w:tcW w:w="766" w:type="pct"/>
          </w:tcPr>
          <w:p w14:paraId="7CAF613C" w14:textId="77777777" w:rsidR="001A2AE5" w:rsidRPr="009D7C32" w:rsidRDefault="001A2AE5" w:rsidP="009D7C32">
            <w:pPr>
              <w:pStyle w:val="ARtabletextright"/>
            </w:pPr>
            <w:r w:rsidRPr="009D7C32">
              <w:t>113,838</w:t>
            </w:r>
          </w:p>
        </w:tc>
        <w:tc>
          <w:tcPr>
            <w:tcW w:w="674" w:type="pct"/>
          </w:tcPr>
          <w:p w14:paraId="6F322F28" w14:textId="77777777" w:rsidR="001A2AE5" w:rsidRPr="009D7C32" w:rsidRDefault="001A2AE5" w:rsidP="009D7C32">
            <w:pPr>
              <w:pStyle w:val="ARtabletextright"/>
            </w:pPr>
            <w:r w:rsidRPr="009D7C32">
              <w:t>47</w:t>
            </w:r>
          </w:p>
        </w:tc>
      </w:tr>
      <w:tr w:rsidR="001A2AE5" w:rsidRPr="00A34CB9" w14:paraId="469EBB5A" w14:textId="77777777" w:rsidTr="00476F91">
        <w:tc>
          <w:tcPr>
            <w:tcW w:w="768" w:type="pct"/>
            <w:vMerge/>
          </w:tcPr>
          <w:p w14:paraId="2F616519" w14:textId="18D9EBD3" w:rsidR="001A2AE5" w:rsidRPr="009D7C32" w:rsidRDefault="001A2AE5" w:rsidP="009D7C32">
            <w:pPr>
              <w:pStyle w:val="ARtabletext"/>
            </w:pPr>
          </w:p>
        </w:tc>
        <w:tc>
          <w:tcPr>
            <w:tcW w:w="907" w:type="pct"/>
            <w:vMerge/>
          </w:tcPr>
          <w:p w14:paraId="46702C66" w14:textId="77777777" w:rsidR="001A2AE5" w:rsidRPr="009D7C32" w:rsidRDefault="001A2AE5" w:rsidP="009D7C32">
            <w:pPr>
              <w:pStyle w:val="ARtabletext"/>
            </w:pPr>
          </w:p>
        </w:tc>
        <w:tc>
          <w:tcPr>
            <w:tcW w:w="1163" w:type="pct"/>
          </w:tcPr>
          <w:p w14:paraId="5864275C" w14:textId="77777777" w:rsidR="001A2AE5" w:rsidRPr="009D7C32" w:rsidRDefault="001A2AE5" w:rsidP="005E4771">
            <w:pPr>
              <w:pStyle w:val="ARtablebullet1"/>
              <w:numPr>
                <w:ilvl w:val="0"/>
                <w:numId w:val="0"/>
              </w:numPr>
            </w:pPr>
            <w:r w:rsidRPr="009D7C32">
              <w:t>Support, Organisational transformation leadership</w:t>
            </w:r>
          </w:p>
        </w:tc>
        <w:tc>
          <w:tcPr>
            <w:tcW w:w="722" w:type="pct"/>
          </w:tcPr>
          <w:p w14:paraId="1546DA41" w14:textId="77777777" w:rsidR="001A2AE5" w:rsidRPr="009D7C32" w:rsidRDefault="001A2AE5" w:rsidP="009D7C32">
            <w:pPr>
              <w:pStyle w:val="ARtabletextright"/>
            </w:pPr>
            <w:r w:rsidRPr="009D7C32">
              <w:t>53,411</w:t>
            </w:r>
          </w:p>
        </w:tc>
        <w:tc>
          <w:tcPr>
            <w:tcW w:w="766" w:type="pct"/>
          </w:tcPr>
          <w:p w14:paraId="5A2F9D51" w14:textId="77777777" w:rsidR="001A2AE5" w:rsidRPr="009D7C32" w:rsidRDefault="001A2AE5" w:rsidP="009D7C32">
            <w:pPr>
              <w:pStyle w:val="ARtabletextright"/>
            </w:pPr>
            <w:r w:rsidRPr="009D7C32">
              <w:t>15,277</w:t>
            </w:r>
          </w:p>
        </w:tc>
        <w:tc>
          <w:tcPr>
            <w:tcW w:w="674" w:type="pct"/>
          </w:tcPr>
          <w:p w14:paraId="6FB324FC" w14:textId="77777777" w:rsidR="001A2AE5" w:rsidRPr="009D7C32" w:rsidRDefault="001A2AE5" w:rsidP="009D7C32">
            <w:pPr>
              <w:pStyle w:val="ARtabletextright"/>
            </w:pPr>
            <w:r w:rsidRPr="009D7C32">
              <w:t>23,614</w:t>
            </w:r>
          </w:p>
        </w:tc>
      </w:tr>
      <w:tr w:rsidR="00F570C4" w:rsidRPr="00A34CB9" w14:paraId="29571E4D" w14:textId="77777777" w:rsidTr="00476F91">
        <w:tc>
          <w:tcPr>
            <w:tcW w:w="768" w:type="pct"/>
            <w:vMerge w:val="restart"/>
          </w:tcPr>
          <w:p w14:paraId="5286436F" w14:textId="77777777" w:rsidR="00F570C4" w:rsidRPr="009D7C32" w:rsidRDefault="00F570C4" w:rsidP="009D7C32">
            <w:pPr>
              <w:pStyle w:val="ARtabletext"/>
            </w:pPr>
            <w:r w:rsidRPr="009D7C32">
              <w:t>Capital Business Case &amp; Planning</w:t>
            </w:r>
          </w:p>
        </w:tc>
        <w:tc>
          <w:tcPr>
            <w:tcW w:w="907" w:type="pct"/>
          </w:tcPr>
          <w:p w14:paraId="03D5EE11" w14:textId="77777777" w:rsidR="00F570C4" w:rsidRPr="009D7C32" w:rsidRDefault="00F570C4" w:rsidP="009D7C32">
            <w:pPr>
              <w:pStyle w:val="ARtabletext"/>
            </w:pPr>
            <w:r w:rsidRPr="009D7C32">
              <w:t>Data Agility</w:t>
            </w:r>
          </w:p>
        </w:tc>
        <w:tc>
          <w:tcPr>
            <w:tcW w:w="1163" w:type="pct"/>
          </w:tcPr>
          <w:p w14:paraId="411AB580" w14:textId="2BE53716" w:rsidR="00F570C4" w:rsidRPr="009D7C32" w:rsidRDefault="00F570C4" w:rsidP="00733431">
            <w:pPr>
              <w:pStyle w:val="ARtabletext"/>
            </w:pPr>
            <w:r w:rsidRPr="009D7C32">
              <w:t xml:space="preserve">Business </w:t>
            </w:r>
            <w:r>
              <w:t>c</w:t>
            </w:r>
            <w:r w:rsidRPr="009D7C32">
              <w:t xml:space="preserve">ase, Genomics </w:t>
            </w:r>
            <w:r>
              <w:t>s</w:t>
            </w:r>
            <w:r w:rsidRPr="009D7C32">
              <w:t xml:space="preserve">ystem </w:t>
            </w:r>
            <w:r>
              <w:t>r</w:t>
            </w:r>
            <w:r w:rsidRPr="009D7C32">
              <w:t>eplacement</w:t>
            </w:r>
          </w:p>
        </w:tc>
        <w:tc>
          <w:tcPr>
            <w:tcW w:w="722" w:type="pct"/>
          </w:tcPr>
          <w:p w14:paraId="38B1D999" w14:textId="77777777" w:rsidR="00F570C4" w:rsidRPr="009D7C32" w:rsidRDefault="00F570C4" w:rsidP="009D7C32">
            <w:pPr>
              <w:pStyle w:val="ARtabletextright"/>
            </w:pPr>
            <w:r w:rsidRPr="009D7C32">
              <w:t>254,345</w:t>
            </w:r>
          </w:p>
        </w:tc>
        <w:tc>
          <w:tcPr>
            <w:tcW w:w="766" w:type="pct"/>
          </w:tcPr>
          <w:p w14:paraId="19F5A437" w14:textId="77777777" w:rsidR="00F570C4" w:rsidRPr="009D7C32" w:rsidRDefault="00F570C4" w:rsidP="009D7C32">
            <w:pPr>
              <w:pStyle w:val="ARtabletextright"/>
            </w:pPr>
            <w:r w:rsidRPr="009D7C32">
              <w:t>127,345</w:t>
            </w:r>
          </w:p>
        </w:tc>
        <w:tc>
          <w:tcPr>
            <w:tcW w:w="674" w:type="pct"/>
          </w:tcPr>
          <w:p w14:paraId="7FA99F74" w14:textId="77777777" w:rsidR="00F570C4" w:rsidRPr="009D7C32" w:rsidRDefault="00F570C4" w:rsidP="009D7C32">
            <w:pPr>
              <w:pStyle w:val="ARtabletextright"/>
            </w:pPr>
            <w:r w:rsidRPr="009D7C32">
              <w:t>0</w:t>
            </w:r>
          </w:p>
        </w:tc>
      </w:tr>
      <w:tr w:rsidR="00F570C4" w:rsidRPr="00A34CB9" w14:paraId="51EFA702" w14:textId="77777777" w:rsidTr="00476F91">
        <w:tc>
          <w:tcPr>
            <w:tcW w:w="768" w:type="pct"/>
            <w:vMerge/>
          </w:tcPr>
          <w:p w14:paraId="0E323EE0" w14:textId="64A47B21" w:rsidR="00F570C4" w:rsidRPr="009D7C32" w:rsidRDefault="00F570C4" w:rsidP="009D7C32">
            <w:pPr>
              <w:pStyle w:val="ARtabletext"/>
            </w:pPr>
          </w:p>
        </w:tc>
        <w:tc>
          <w:tcPr>
            <w:tcW w:w="907" w:type="pct"/>
            <w:vMerge w:val="restart"/>
          </w:tcPr>
          <w:p w14:paraId="38A2D51E" w14:textId="77777777" w:rsidR="00F570C4" w:rsidRPr="009D7C32" w:rsidRDefault="00F570C4" w:rsidP="009D7C32">
            <w:pPr>
              <w:pStyle w:val="ARtabletext"/>
            </w:pPr>
            <w:r w:rsidRPr="009D7C32">
              <w:t>Deloitte Touche Tohmatsu</w:t>
            </w:r>
          </w:p>
        </w:tc>
        <w:tc>
          <w:tcPr>
            <w:tcW w:w="1163" w:type="pct"/>
          </w:tcPr>
          <w:p w14:paraId="59D6AD26" w14:textId="77777777" w:rsidR="00F570C4" w:rsidRPr="009D7C32" w:rsidRDefault="00F570C4" w:rsidP="009D7C32">
            <w:pPr>
              <w:pStyle w:val="ARtabletext"/>
            </w:pPr>
            <w:r w:rsidRPr="009D7C32">
              <w:t>Support, transition and commercial negotiation, Mildura Base Hospital</w:t>
            </w:r>
          </w:p>
        </w:tc>
        <w:tc>
          <w:tcPr>
            <w:tcW w:w="722" w:type="pct"/>
          </w:tcPr>
          <w:p w14:paraId="1BBD6F10" w14:textId="77777777" w:rsidR="00F570C4" w:rsidRPr="009D7C32" w:rsidRDefault="00F570C4" w:rsidP="009D7C32">
            <w:pPr>
              <w:pStyle w:val="ARtabletextright"/>
            </w:pPr>
            <w:r w:rsidRPr="009D7C32">
              <w:t>1,657,781</w:t>
            </w:r>
          </w:p>
        </w:tc>
        <w:tc>
          <w:tcPr>
            <w:tcW w:w="766" w:type="pct"/>
          </w:tcPr>
          <w:p w14:paraId="4D5A6DA3" w14:textId="77777777" w:rsidR="00F570C4" w:rsidRPr="009D7C32" w:rsidRDefault="00F570C4" w:rsidP="009D7C32">
            <w:pPr>
              <w:pStyle w:val="ARtabletextright"/>
            </w:pPr>
            <w:r w:rsidRPr="009D7C32">
              <w:t>1,116,693</w:t>
            </w:r>
          </w:p>
        </w:tc>
        <w:tc>
          <w:tcPr>
            <w:tcW w:w="674" w:type="pct"/>
          </w:tcPr>
          <w:p w14:paraId="212CE23B" w14:textId="77777777" w:rsidR="00F570C4" w:rsidRPr="009D7C32" w:rsidRDefault="00F570C4" w:rsidP="009D7C32">
            <w:pPr>
              <w:pStyle w:val="ARtabletextright"/>
            </w:pPr>
            <w:r w:rsidRPr="009D7C32">
              <w:t>0</w:t>
            </w:r>
          </w:p>
        </w:tc>
      </w:tr>
      <w:tr w:rsidR="00F570C4" w:rsidRPr="00A34CB9" w14:paraId="08545CBD" w14:textId="77777777" w:rsidTr="00476F91">
        <w:tc>
          <w:tcPr>
            <w:tcW w:w="768" w:type="pct"/>
            <w:vMerge/>
          </w:tcPr>
          <w:p w14:paraId="71E6CCB1" w14:textId="4EBFEE23" w:rsidR="00F570C4" w:rsidRPr="009D7C32" w:rsidRDefault="00F570C4" w:rsidP="009D7C32">
            <w:pPr>
              <w:pStyle w:val="ARtabletext"/>
            </w:pPr>
          </w:p>
        </w:tc>
        <w:tc>
          <w:tcPr>
            <w:tcW w:w="907" w:type="pct"/>
            <w:vMerge/>
          </w:tcPr>
          <w:p w14:paraId="3E47A1C1" w14:textId="12FD3594" w:rsidR="00F570C4" w:rsidRPr="009D7C32" w:rsidRDefault="00F570C4" w:rsidP="009D7C32">
            <w:pPr>
              <w:pStyle w:val="ARtabletext"/>
            </w:pPr>
          </w:p>
        </w:tc>
        <w:tc>
          <w:tcPr>
            <w:tcW w:w="1163" w:type="pct"/>
          </w:tcPr>
          <w:p w14:paraId="5D1541E7" w14:textId="137F106D" w:rsidR="00F570C4" w:rsidRPr="009D7C32" w:rsidRDefault="00F570C4" w:rsidP="00733431">
            <w:pPr>
              <w:pStyle w:val="ARtabletext"/>
            </w:pPr>
            <w:r w:rsidRPr="009D7C32">
              <w:t xml:space="preserve">Business case development, </w:t>
            </w:r>
            <w:r>
              <w:t>O</w:t>
            </w:r>
            <w:r w:rsidRPr="009D7C32">
              <w:t>nline and/or mobile automated processing project, Victorian patient transport assistance scheme</w:t>
            </w:r>
          </w:p>
        </w:tc>
        <w:tc>
          <w:tcPr>
            <w:tcW w:w="722" w:type="pct"/>
          </w:tcPr>
          <w:p w14:paraId="138E1E20" w14:textId="77777777" w:rsidR="00F570C4" w:rsidRPr="009D7C32" w:rsidRDefault="00F570C4" w:rsidP="009D7C32">
            <w:pPr>
              <w:pStyle w:val="ARtabletextright"/>
            </w:pPr>
            <w:r w:rsidRPr="009D7C32">
              <w:t>135,150</w:t>
            </w:r>
          </w:p>
        </w:tc>
        <w:tc>
          <w:tcPr>
            <w:tcW w:w="766" w:type="pct"/>
          </w:tcPr>
          <w:p w14:paraId="4E2677FB" w14:textId="77777777" w:rsidR="00F570C4" w:rsidRPr="009D7C32" w:rsidRDefault="00F570C4" w:rsidP="009D7C32">
            <w:pPr>
              <w:pStyle w:val="ARtabletextright"/>
            </w:pPr>
            <w:r w:rsidRPr="009D7C32">
              <w:t>141,043</w:t>
            </w:r>
          </w:p>
        </w:tc>
        <w:tc>
          <w:tcPr>
            <w:tcW w:w="674" w:type="pct"/>
          </w:tcPr>
          <w:p w14:paraId="34D5C787" w14:textId="77777777" w:rsidR="00F570C4" w:rsidRPr="009D7C32" w:rsidRDefault="00F570C4" w:rsidP="009D7C32">
            <w:pPr>
              <w:pStyle w:val="ARtabletextright"/>
            </w:pPr>
            <w:r w:rsidRPr="009D7C32">
              <w:t>0</w:t>
            </w:r>
          </w:p>
        </w:tc>
      </w:tr>
      <w:tr w:rsidR="00304735" w:rsidRPr="00A34CB9" w14:paraId="5326D410" w14:textId="77777777" w:rsidTr="00476F91">
        <w:tc>
          <w:tcPr>
            <w:tcW w:w="768" w:type="pct"/>
            <w:vMerge w:val="restart"/>
          </w:tcPr>
          <w:p w14:paraId="27767835" w14:textId="77777777" w:rsidR="00304735" w:rsidRPr="009D7C32" w:rsidRDefault="00304735" w:rsidP="009D7C32">
            <w:pPr>
              <w:pStyle w:val="ARtabletext"/>
            </w:pPr>
            <w:r w:rsidRPr="009D7C32">
              <w:t>Information, Data &amp; Technology</w:t>
            </w:r>
          </w:p>
        </w:tc>
        <w:tc>
          <w:tcPr>
            <w:tcW w:w="907" w:type="pct"/>
            <w:vMerge w:val="restart"/>
          </w:tcPr>
          <w:p w14:paraId="06EE4FEA" w14:textId="77777777" w:rsidR="00304735" w:rsidRPr="009D7C32" w:rsidRDefault="00304735" w:rsidP="009D7C32">
            <w:pPr>
              <w:pStyle w:val="ARtabletext"/>
            </w:pPr>
            <w:r w:rsidRPr="009D7C32">
              <w:t>Ernst &amp; Young Services Pty Ltd</w:t>
            </w:r>
          </w:p>
        </w:tc>
        <w:tc>
          <w:tcPr>
            <w:tcW w:w="1163" w:type="pct"/>
          </w:tcPr>
          <w:p w14:paraId="7F7C827F" w14:textId="77777777" w:rsidR="00304735" w:rsidRPr="009D7C32" w:rsidRDefault="00304735" w:rsidP="009D7C32">
            <w:pPr>
              <w:pStyle w:val="ARtabletext"/>
            </w:pPr>
            <w:r w:rsidRPr="009D7C32">
              <w:t>Strategy, IT resilience</w:t>
            </w:r>
          </w:p>
        </w:tc>
        <w:tc>
          <w:tcPr>
            <w:tcW w:w="722" w:type="pct"/>
          </w:tcPr>
          <w:p w14:paraId="66A72EB5" w14:textId="77777777" w:rsidR="00304735" w:rsidRPr="009D7C32" w:rsidRDefault="00304735" w:rsidP="009D7C32">
            <w:pPr>
              <w:pStyle w:val="ARtabletextright"/>
            </w:pPr>
            <w:r w:rsidRPr="009D7C32">
              <w:t>550,000</w:t>
            </w:r>
          </w:p>
        </w:tc>
        <w:tc>
          <w:tcPr>
            <w:tcW w:w="766" w:type="pct"/>
          </w:tcPr>
          <w:p w14:paraId="36B7B73D" w14:textId="77777777" w:rsidR="00304735" w:rsidRPr="009D7C32" w:rsidRDefault="00304735" w:rsidP="009D7C32">
            <w:pPr>
              <w:pStyle w:val="ARtabletextright"/>
            </w:pPr>
            <w:r w:rsidRPr="009D7C32">
              <w:t>234,634</w:t>
            </w:r>
          </w:p>
        </w:tc>
        <w:tc>
          <w:tcPr>
            <w:tcW w:w="674" w:type="pct"/>
          </w:tcPr>
          <w:p w14:paraId="40FD5EB3" w14:textId="77777777" w:rsidR="00304735" w:rsidRPr="009D7C32" w:rsidRDefault="00304735" w:rsidP="009D7C32">
            <w:pPr>
              <w:pStyle w:val="ARtabletextright"/>
            </w:pPr>
            <w:r w:rsidRPr="009D7C32">
              <w:t>29,785</w:t>
            </w:r>
          </w:p>
        </w:tc>
      </w:tr>
      <w:tr w:rsidR="00304735" w:rsidRPr="00A34CB9" w14:paraId="552CCA63" w14:textId="77777777" w:rsidTr="00476F91">
        <w:tc>
          <w:tcPr>
            <w:tcW w:w="768" w:type="pct"/>
            <w:vMerge/>
          </w:tcPr>
          <w:p w14:paraId="13A25E41" w14:textId="6303F1AD" w:rsidR="00304735" w:rsidRPr="009D7C32" w:rsidRDefault="00304735" w:rsidP="009D7C32">
            <w:pPr>
              <w:pStyle w:val="ARtabletext"/>
            </w:pPr>
          </w:p>
        </w:tc>
        <w:tc>
          <w:tcPr>
            <w:tcW w:w="907" w:type="pct"/>
            <w:vMerge/>
          </w:tcPr>
          <w:p w14:paraId="5706A16E" w14:textId="295B62E6" w:rsidR="00304735" w:rsidRPr="009D7C32" w:rsidRDefault="00304735" w:rsidP="009D7C32">
            <w:pPr>
              <w:pStyle w:val="ARtabletext"/>
            </w:pPr>
          </w:p>
        </w:tc>
        <w:tc>
          <w:tcPr>
            <w:tcW w:w="1163" w:type="pct"/>
          </w:tcPr>
          <w:p w14:paraId="346BCD2E" w14:textId="77777777" w:rsidR="00304735" w:rsidRPr="009D7C32" w:rsidRDefault="00304735" w:rsidP="009D7C32">
            <w:pPr>
              <w:pStyle w:val="ARtabletext"/>
            </w:pPr>
            <w:r w:rsidRPr="009D7C32">
              <w:t>Review, Housing financial systems and management</w:t>
            </w:r>
          </w:p>
        </w:tc>
        <w:tc>
          <w:tcPr>
            <w:tcW w:w="722" w:type="pct"/>
          </w:tcPr>
          <w:p w14:paraId="26AB3DD9" w14:textId="77777777" w:rsidR="00304735" w:rsidRPr="009D7C32" w:rsidRDefault="00304735" w:rsidP="009D7C32">
            <w:pPr>
              <w:pStyle w:val="ARtabletextright"/>
            </w:pPr>
            <w:r w:rsidRPr="009D7C32">
              <w:t>286,000</w:t>
            </w:r>
          </w:p>
        </w:tc>
        <w:tc>
          <w:tcPr>
            <w:tcW w:w="766" w:type="pct"/>
          </w:tcPr>
          <w:p w14:paraId="12706309" w14:textId="77777777" w:rsidR="00304735" w:rsidRPr="009D7C32" w:rsidRDefault="00304735" w:rsidP="009D7C32">
            <w:pPr>
              <w:pStyle w:val="ARtabletextright"/>
            </w:pPr>
            <w:r w:rsidRPr="009D7C32">
              <w:t>184,340</w:t>
            </w:r>
          </w:p>
        </w:tc>
        <w:tc>
          <w:tcPr>
            <w:tcW w:w="674" w:type="pct"/>
          </w:tcPr>
          <w:p w14:paraId="7C940265" w14:textId="77777777" w:rsidR="00304735" w:rsidRPr="009D7C32" w:rsidRDefault="00304735" w:rsidP="009D7C32">
            <w:pPr>
              <w:pStyle w:val="ARtabletextright"/>
            </w:pPr>
            <w:r w:rsidRPr="009D7C32">
              <w:t>0</w:t>
            </w:r>
          </w:p>
        </w:tc>
      </w:tr>
      <w:tr w:rsidR="0044223C" w:rsidRPr="00A34CB9" w14:paraId="62291F2F" w14:textId="77777777" w:rsidTr="00476F91">
        <w:tc>
          <w:tcPr>
            <w:tcW w:w="768" w:type="pct"/>
            <w:vMerge w:val="restart"/>
          </w:tcPr>
          <w:p w14:paraId="325D0ECF" w14:textId="77777777" w:rsidR="0044223C" w:rsidRPr="009D7C32" w:rsidRDefault="0044223C" w:rsidP="009D7C32">
            <w:pPr>
              <w:pStyle w:val="ARtabletext"/>
            </w:pPr>
            <w:r w:rsidRPr="009D7C32">
              <w:t>Policy/Program Advice &amp; Delivery</w:t>
            </w:r>
          </w:p>
        </w:tc>
        <w:tc>
          <w:tcPr>
            <w:tcW w:w="907" w:type="pct"/>
          </w:tcPr>
          <w:p w14:paraId="370DE2AF" w14:textId="77777777" w:rsidR="0044223C" w:rsidRPr="009D7C32" w:rsidRDefault="0044223C" w:rsidP="009D7C32">
            <w:pPr>
              <w:pStyle w:val="ARtabletext"/>
            </w:pPr>
            <w:r w:rsidRPr="009D7C32">
              <w:t>Amcosh Pty Ltd</w:t>
            </w:r>
          </w:p>
        </w:tc>
        <w:tc>
          <w:tcPr>
            <w:tcW w:w="1163" w:type="pct"/>
          </w:tcPr>
          <w:p w14:paraId="2ABE11FE" w14:textId="0CA5D960" w:rsidR="0044223C" w:rsidRPr="009D7C32" w:rsidRDefault="0044223C" w:rsidP="00733431">
            <w:pPr>
              <w:pStyle w:val="ARtabletext"/>
            </w:pPr>
            <w:r w:rsidRPr="009D7C32">
              <w:t xml:space="preserve">Lead, </w:t>
            </w:r>
            <w:r>
              <w:t>E</w:t>
            </w:r>
            <w:r w:rsidRPr="009D7C32">
              <w:t>nvironmental investigations</w:t>
            </w:r>
          </w:p>
        </w:tc>
        <w:tc>
          <w:tcPr>
            <w:tcW w:w="722" w:type="pct"/>
          </w:tcPr>
          <w:p w14:paraId="58C4FC83" w14:textId="77777777" w:rsidR="0044223C" w:rsidRPr="009D7C32" w:rsidRDefault="0044223C" w:rsidP="009D7C32">
            <w:pPr>
              <w:pStyle w:val="ARtabletextright"/>
            </w:pPr>
            <w:r w:rsidRPr="009D7C32">
              <w:t>43,636</w:t>
            </w:r>
          </w:p>
        </w:tc>
        <w:tc>
          <w:tcPr>
            <w:tcW w:w="766" w:type="pct"/>
          </w:tcPr>
          <w:p w14:paraId="1818131F" w14:textId="77777777" w:rsidR="0044223C" w:rsidRPr="009D7C32" w:rsidRDefault="0044223C" w:rsidP="009D7C32">
            <w:pPr>
              <w:pStyle w:val="ARtabletextright"/>
            </w:pPr>
            <w:r w:rsidRPr="009D7C32">
              <w:t>11,495</w:t>
            </w:r>
          </w:p>
        </w:tc>
        <w:tc>
          <w:tcPr>
            <w:tcW w:w="674" w:type="pct"/>
          </w:tcPr>
          <w:p w14:paraId="6EA24475" w14:textId="77777777" w:rsidR="0044223C" w:rsidRPr="009D7C32" w:rsidRDefault="0044223C" w:rsidP="009D7C32">
            <w:pPr>
              <w:pStyle w:val="ARtabletextright"/>
            </w:pPr>
            <w:r w:rsidRPr="009D7C32">
              <w:t>0</w:t>
            </w:r>
          </w:p>
        </w:tc>
      </w:tr>
      <w:tr w:rsidR="0044223C" w:rsidRPr="00A34CB9" w14:paraId="70CEEFE8" w14:textId="77777777" w:rsidTr="00476F91">
        <w:tc>
          <w:tcPr>
            <w:tcW w:w="768" w:type="pct"/>
            <w:vMerge/>
          </w:tcPr>
          <w:p w14:paraId="5E9E3074" w14:textId="090ECB1D" w:rsidR="0044223C" w:rsidRPr="009D7C32" w:rsidRDefault="0044223C" w:rsidP="009D7C32">
            <w:pPr>
              <w:pStyle w:val="ARtabletext"/>
            </w:pPr>
          </w:p>
        </w:tc>
        <w:tc>
          <w:tcPr>
            <w:tcW w:w="907" w:type="pct"/>
          </w:tcPr>
          <w:p w14:paraId="75B5BEEF" w14:textId="77777777" w:rsidR="0044223C" w:rsidRPr="009D7C32" w:rsidRDefault="0044223C" w:rsidP="009D7C32">
            <w:pPr>
              <w:pStyle w:val="ARtabletext"/>
            </w:pPr>
            <w:r w:rsidRPr="009D7C32">
              <w:t>Centre for Evidence and Implementation Ltd</w:t>
            </w:r>
          </w:p>
        </w:tc>
        <w:tc>
          <w:tcPr>
            <w:tcW w:w="1163" w:type="pct"/>
          </w:tcPr>
          <w:p w14:paraId="586ACD23" w14:textId="5DD2EB39" w:rsidR="0044223C" w:rsidRPr="009D7C32" w:rsidRDefault="0044223C" w:rsidP="00A56B51">
            <w:pPr>
              <w:pStyle w:val="ARtabletext"/>
            </w:pPr>
            <w:r w:rsidRPr="009D7C32">
              <w:t xml:space="preserve">Development, Core </w:t>
            </w:r>
            <w:r>
              <w:t>p</w:t>
            </w:r>
            <w:r w:rsidRPr="009D7C32">
              <w:t xml:space="preserve">ractice </w:t>
            </w:r>
            <w:r>
              <w:t>e</w:t>
            </w:r>
            <w:r w:rsidRPr="009D7C32">
              <w:t xml:space="preserve">lements in </w:t>
            </w:r>
            <w:r>
              <w:t>c</w:t>
            </w:r>
            <w:r w:rsidRPr="009D7C32">
              <w:t xml:space="preserve">hildren and </w:t>
            </w:r>
            <w:r>
              <w:t>f</w:t>
            </w:r>
            <w:r w:rsidRPr="009D7C32">
              <w:t xml:space="preserve">amilies </w:t>
            </w:r>
            <w:r>
              <w:t>s</w:t>
            </w:r>
            <w:r w:rsidRPr="009D7C32">
              <w:t>ervices</w:t>
            </w:r>
          </w:p>
        </w:tc>
        <w:tc>
          <w:tcPr>
            <w:tcW w:w="722" w:type="pct"/>
          </w:tcPr>
          <w:p w14:paraId="144C8A5D" w14:textId="77777777" w:rsidR="0044223C" w:rsidRPr="009D7C32" w:rsidRDefault="0044223C" w:rsidP="009D7C32">
            <w:pPr>
              <w:pStyle w:val="ARtabletextright"/>
            </w:pPr>
            <w:r w:rsidRPr="009D7C32">
              <w:t>1,608,948</w:t>
            </w:r>
          </w:p>
        </w:tc>
        <w:tc>
          <w:tcPr>
            <w:tcW w:w="766" w:type="pct"/>
          </w:tcPr>
          <w:p w14:paraId="5764D2AC" w14:textId="77777777" w:rsidR="0044223C" w:rsidRPr="009D7C32" w:rsidRDefault="0044223C" w:rsidP="009D7C32">
            <w:pPr>
              <w:pStyle w:val="ARtabletextright"/>
            </w:pPr>
            <w:r w:rsidRPr="009D7C32">
              <w:t>494,455</w:t>
            </w:r>
          </w:p>
        </w:tc>
        <w:tc>
          <w:tcPr>
            <w:tcW w:w="674" w:type="pct"/>
          </w:tcPr>
          <w:p w14:paraId="51F2F5DD" w14:textId="77777777" w:rsidR="0044223C" w:rsidRPr="009D7C32" w:rsidRDefault="0044223C" w:rsidP="009D7C32">
            <w:pPr>
              <w:pStyle w:val="ARtabletextright"/>
            </w:pPr>
            <w:r w:rsidRPr="009D7C32">
              <w:t>130,702</w:t>
            </w:r>
          </w:p>
        </w:tc>
      </w:tr>
      <w:tr w:rsidR="0044223C" w:rsidRPr="00A34CB9" w14:paraId="4FF2F43B" w14:textId="77777777" w:rsidTr="00476F91">
        <w:tc>
          <w:tcPr>
            <w:tcW w:w="768" w:type="pct"/>
            <w:vMerge/>
          </w:tcPr>
          <w:p w14:paraId="4DD68234" w14:textId="1792D5CE" w:rsidR="0044223C" w:rsidRPr="009D7C32" w:rsidRDefault="0044223C" w:rsidP="009D7C32">
            <w:pPr>
              <w:pStyle w:val="ARtabletext"/>
            </w:pPr>
          </w:p>
        </w:tc>
        <w:tc>
          <w:tcPr>
            <w:tcW w:w="907" w:type="pct"/>
            <w:vMerge w:val="restart"/>
          </w:tcPr>
          <w:p w14:paraId="394DE686" w14:textId="77777777" w:rsidR="0044223C" w:rsidRPr="009D7C32" w:rsidRDefault="0044223C" w:rsidP="009D7C32">
            <w:pPr>
              <w:pStyle w:val="ARtabletext"/>
            </w:pPr>
            <w:r w:rsidRPr="009D7C32">
              <w:t>Ernst &amp; Young Services Pty Ltd</w:t>
            </w:r>
          </w:p>
        </w:tc>
        <w:tc>
          <w:tcPr>
            <w:tcW w:w="1163" w:type="pct"/>
          </w:tcPr>
          <w:p w14:paraId="7C917027" w14:textId="77777777" w:rsidR="0044223C" w:rsidRPr="009D7C32" w:rsidRDefault="0044223C" w:rsidP="009D7C32">
            <w:pPr>
              <w:pStyle w:val="ARtabletext"/>
            </w:pPr>
            <w:r w:rsidRPr="009D7C32">
              <w:t>Establishment of project management office</w:t>
            </w:r>
          </w:p>
        </w:tc>
        <w:tc>
          <w:tcPr>
            <w:tcW w:w="722" w:type="pct"/>
          </w:tcPr>
          <w:p w14:paraId="72888153" w14:textId="77777777" w:rsidR="0044223C" w:rsidRPr="009D7C32" w:rsidRDefault="0044223C" w:rsidP="009D7C32">
            <w:pPr>
              <w:pStyle w:val="ARtabletextright"/>
            </w:pPr>
            <w:r w:rsidRPr="009D7C32">
              <w:t>6,368,364</w:t>
            </w:r>
          </w:p>
        </w:tc>
        <w:tc>
          <w:tcPr>
            <w:tcW w:w="766" w:type="pct"/>
          </w:tcPr>
          <w:p w14:paraId="79D64269" w14:textId="77777777" w:rsidR="0044223C" w:rsidRPr="009D7C32" w:rsidRDefault="0044223C" w:rsidP="009D7C32">
            <w:pPr>
              <w:pStyle w:val="ARtabletextright"/>
            </w:pPr>
            <w:r w:rsidRPr="009D7C32">
              <w:t>1,686,003</w:t>
            </w:r>
          </w:p>
        </w:tc>
        <w:tc>
          <w:tcPr>
            <w:tcW w:w="674" w:type="pct"/>
          </w:tcPr>
          <w:p w14:paraId="2BBEC0B0" w14:textId="77777777" w:rsidR="0044223C" w:rsidRPr="009D7C32" w:rsidRDefault="0044223C" w:rsidP="009D7C32">
            <w:pPr>
              <w:pStyle w:val="ARtabletextright"/>
            </w:pPr>
            <w:r w:rsidRPr="009D7C32">
              <w:t>0</w:t>
            </w:r>
          </w:p>
        </w:tc>
      </w:tr>
      <w:tr w:rsidR="0044223C" w:rsidRPr="00A34CB9" w14:paraId="62319850" w14:textId="77777777" w:rsidTr="00476F91">
        <w:tc>
          <w:tcPr>
            <w:tcW w:w="768" w:type="pct"/>
            <w:vMerge/>
          </w:tcPr>
          <w:p w14:paraId="36906289" w14:textId="198A0385" w:rsidR="0044223C" w:rsidRPr="009D7C32" w:rsidRDefault="0044223C" w:rsidP="009D7C32">
            <w:pPr>
              <w:pStyle w:val="ARtabletext"/>
            </w:pPr>
          </w:p>
        </w:tc>
        <w:tc>
          <w:tcPr>
            <w:tcW w:w="907" w:type="pct"/>
            <w:vMerge/>
          </w:tcPr>
          <w:p w14:paraId="5C20F936" w14:textId="5EB5B605" w:rsidR="0044223C" w:rsidRPr="009D7C32" w:rsidRDefault="0044223C" w:rsidP="009D7C32">
            <w:pPr>
              <w:pStyle w:val="ARtabletext"/>
            </w:pPr>
          </w:p>
        </w:tc>
        <w:tc>
          <w:tcPr>
            <w:tcW w:w="1163" w:type="pct"/>
          </w:tcPr>
          <w:p w14:paraId="7805657B" w14:textId="77777777" w:rsidR="0044223C" w:rsidRPr="009D7C32" w:rsidRDefault="0044223C" w:rsidP="009D7C32">
            <w:pPr>
              <w:pStyle w:val="ARtabletext"/>
            </w:pPr>
            <w:r w:rsidRPr="009D7C32">
              <w:t>Design, operating model, shared services and systems, DFFH and DH</w:t>
            </w:r>
          </w:p>
        </w:tc>
        <w:tc>
          <w:tcPr>
            <w:tcW w:w="722" w:type="pct"/>
          </w:tcPr>
          <w:p w14:paraId="021309DC" w14:textId="77777777" w:rsidR="0044223C" w:rsidRPr="009D7C32" w:rsidRDefault="0044223C" w:rsidP="009D7C32">
            <w:pPr>
              <w:pStyle w:val="ARtabletextright"/>
            </w:pPr>
            <w:r w:rsidRPr="009D7C32">
              <w:t>428,102</w:t>
            </w:r>
          </w:p>
        </w:tc>
        <w:tc>
          <w:tcPr>
            <w:tcW w:w="766" w:type="pct"/>
          </w:tcPr>
          <w:p w14:paraId="2F6DFF3C" w14:textId="77777777" w:rsidR="0044223C" w:rsidRPr="009D7C32" w:rsidRDefault="0044223C" w:rsidP="009D7C32">
            <w:pPr>
              <w:pStyle w:val="ARtabletextright"/>
            </w:pPr>
            <w:r w:rsidRPr="009D7C32">
              <w:t>414,999</w:t>
            </w:r>
          </w:p>
        </w:tc>
        <w:tc>
          <w:tcPr>
            <w:tcW w:w="674" w:type="pct"/>
          </w:tcPr>
          <w:p w14:paraId="29E57120" w14:textId="77777777" w:rsidR="0044223C" w:rsidRPr="009D7C32" w:rsidRDefault="0044223C" w:rsidP="009D7C32">
            <w:pPr>
              <w:pStyle w:val="ARtabletextright"/>
            </w:pPr>
            <w:r w:rsidRPr="009D7C32">
              <w:t>13,103</w:t>
            </w:r>
          </w:p>
        </w:tc>
      </w:tr>
      <w:tr w:rsidR="0044223C" w:rsidRPr="00A34CB9" w14:paraId="343AABE0" w14:textId="77777777" w:rsidTr="00476F91">
        <w:tc>
          <w:tcPr>
            <w:tcW w:w="768" w:type="pct"/>
            <w:vMerge/>
          </w:tcPr>
          <w:p w14:paraId="23AD1E0A" w14:textId="7720F123" w:rsidR="0044223C" w:rsidRPr="009D7C32" w:rsidRDefault="0044223C" w:rsidP="009D7C32">
            <w:pPr>
              <w:pStyle w:val="ARtabletext"/>
            </w:pPr>
          </w:p>
        </w:tc>
        <w:tc>
          <w:tcPr>
            <w:tcW w:w="907" w:type="pct"/>
          </w:tcPr>
          <w:p w14:paraId="43662B77" w14:textId="77777777" w:rsidR="0044223C" w:rsidRPr="009D7C32" w:rsidRDefault="0044223C" w:rsidP="009D7C32">
            <w:pPr>
              <w:pStyle w:val="ARtabletext"/>
            </w:pPr>
            <w:r w:rsidRPr="009D7C32">
              <w:t>Infection Control Consultancy</w:t>
            </w:r>
          </w:p>
        </w:tc>
        <w:tc>
          <w:tcPr>
            <w:tcW w:w="1163" w:type="pct"/>
          </w:tcPr>
          <w:p w14:paraId="419E5929" w14:textId="5FA40E9B" w:rsidR="0044223C" w:rsidRPr="009D7C32" w:rsidRDefault="0044223C" w:rsidP="00A56B51">
            <w:pPr>
              <w:pStyle w:val="ARtabletext"/>
            </w:pPr>
            <w:r w:rsidRPr="009D7C32">
              <w:t>Workshop advice, COVID</w:t>
            </w:r>
            <w:r>
              <w:noBreakHyphen/>
            </w:r>
            <w:r w:rsidRPr="009D7C32">
              <w:t xml:space="preserve">19 </w:t>
            </w:r>
            <w:r w:rsidR="0093409A">
              <w:t>i</w:t>
            </w:r>
            <w:r w:rsidRPr="009D7C32">
              <w:t xml:space="preserve">nfection </w:t>
            </w:r>
            <w:r>
              <w:t>p</w:t>
            </w:r>
            <w:r w:rsidRPr="009D7C32">
              <w:t xml:space="preserve">revention and </w:t>
            </w:r>
            <w:r>
              <w:t>c</w:t>
            </w:r>
            <w:r w:rsidRPr="009D7C32">
              <w:t>ontrol</w:t>
            </w:r>
          </w:p>
        </w:tc>
        <w:tc>
          <w:tcPr>
            <w:tcW w:w="722" w:type="pct"/>
          </w:tcPr>
          <w:p w14:paraId="72CF4711" w14:textId="77777777" w:rsidR="0044223C" w:rsidRPr="009D7C32" w:rsidRDefault="0044223C" w:rsidP="009D7C32">
            <w:pPr>
              <w:pStyle w:val="ARtabletextright"/>
            </w:pPr>
            <w:r w:rsidRPr="009D7C32">
              <w:t>18,182</w:t>
            </w:r>
          </w:p>
        </w:tc>
        <w:tc>
          <w:tcPr>
            <w:tcW w:w="766" w:type="pct"/>
          </w:tcPr>
          <w:p w14:paraId="14E65AD4" w14:textId="77777777" w:rsidR="0044223C" w:rsidRPr="009D7C32" w:rsidRDefault="0044223C" w:rsidP="009D7C32">
            <w:pPr>
              <w:pStyle w:val="ARtabletextright"/>
            </w:pPr>
            <w:r w:rsidRPr="009D7C32">
              <w:t>14,000</w:t>
            </w:r>
          </w:p>
        </w:tc>
        <w:tc>
          <w:tcPr>
            <w:tcW w:w="674" w:type="pct"/>
          </w:tcPr>
          <w:p w14:paraId="64373009" w14:textId="77777777" w:rsidR="0044223C" w:rsidRPr="009D7C32" w:rsidRDefault="0044223C" w:rsidP="009D7C32">
            <w:pPr>
              <w:pStyle w:val="ARtabletextright"/>
            </w:pPr>
            <w:r w:rsidRPr="009D7C32">
              <w:t>0</w:t>
            </w:r>
          </w:p>
        </w:tc>
      </w:tr>
      <w:tr w:rsidR="0044223C" w:rsidRPr="00A34CB9" w14:paraId="13421A94" w14:textId="77777777" w:rsidTr="00476F91">
        <w:tc>
          <w:tcPr>
            <w:tcW w:w="768" w:type="pct"/>
            <w:vMerge/>
          </w:tcPr>
          <w:p w14:paraId="49E08BB6" w14:textId="45CFB97C" w:rsidR="0044223C" w:rsidRPr="009D7C32" w:rsidRDefault="0044223C" w:rsidP="009D7C32">
            <w:pPr>
              <w:pStyle w:val="ARtabletext"/>
            </w:pPr>
          </w:p>
        </w:tc>
        <w:tc>
          <w:tcPr>
            <w:tcW w:w="907" w:type="pct"/>
          </w:tcPr>
          <w:p w14:paraId="465CAF11" w14:textId="77777777" w:rsidR="0044223C" w:rsidRPr="009D7C32" w:rsidRDefault="0044223C" w:rsidP="00A6122B">
            <w:pPr>
              <w:pStyle w:val="ARtabletext"/>
              <w:spacing w:before="60" w:after="40"/>
            </w:pPr>
            <w:r w:rsidRPr="009D7C32">
              <w:t>Infection Contrology</w:t>
            </w:r>
          </w:p>
        </w:tc>
        <w:tc>
          <w:tcPr>
            <w:tcW w:w="1163" w:type="pct"/>
          </w:tcPr>
          <w:p w14:paraId="6CB4F2DE" w14:textId="3503DAFA" w:rsidR="0044223C" w:rsidRPr="009D7C32" w:rsidRDefault="0044223C" w:rsidP="00A6122B">
            <w:pPr>
              <w:pStyle w:val="ARtabletext"/>
              <w:spacing w:before="60" w:after="40"/>
            </w:pPr>
            <w:r w:rsidRPr="009D7C32">
              <w:t>Development, Infection, prevention and control, high</w:t>
            </w:r>
            <w:r>
              <w:t>-</w:t>
            </w:r>
            <w:r w:rsidRPr="009D7C32">
              <w:t>risk workplaces</w:t>
            </w:r>
          </w:p>
        </w:tc>
        <w:tc>
          <w:tcPr>
            <w:tcW w:w="722" w:type="pct"/>
          </w:tcPr>
          <w:p w14:paraId="74D62ABA" w14:textId="77777777" w:rsidR="0044223C" w:rsidRPr="009D7C32" w:rsidRDefault="0044223C" w:rsidP="00A6122B">
            <w:pPr>
              <w:pStyle w:val="ARtabletextright"/>
              <w:spacing w:before="60" w:after="40"/>
            </w:pPr>
            <w:r w:rsidRPr="009D7C32">
              <w:t>209,273</w:t>
            </w:r>
          </w:p>
        </w:tc>
        <w:tc>
          <w:tcPr>
            <w:tcW w:w="766" w:type="pct"/>
          </w:tcPr>
          <w:p w14:paraId="573219FB" w14:textId="77777777" w:rsidR="0044223C" w:rsidRPr="009D7C32" w:rsidRDefault="0044223C" w:rsidP="00A6122B">
            <w:pPr>
              <w:pStyle w:val="ARtabletextright"/>
              <w:spacing w:before="60" w:after="40"/>
            </w:pPr>
            <w:r w:rsidRPr="009D7C32">
              <w:t>161,100</w:t>
            </w:r>
          </w:p>
        </w:tc>
        <w:tc>
          <w:tcPr>
            <w:tcW w:w="674" w:type="pct"/>
          </w:tcPr>
          <w:p w14:paraId="381B8821" w14:textId="77777777" w:rsidR="0044223C" w:rsidRPr="009D7C32" w:rsidRDefault="0044223C" w:rsidP="00A6122B">
            <w:pPr>
              <w:pStyle w:val="ARtabletextright"/>
              <w:spacing w:before="60" w:after="40"/>
            </w:pPr>
            <w:r w:rsidRPr="009D7C32">
              <w:t>4,173</w:t>
            </w:r>
          </w:p>
        </w:tc>
      </w:tr>
      <w:tr w:rsidR="0044223C" w:rsidRPr="00A34CB9" w14:paraId="6E0686E9" w14:textId="77777777" w:rsidTr="00476F91">
        <w:tc>
          <w:tcPr>
            <w:tcW w:w="768" w:type="pct"/>
            <w:vMerge/>
          </w:tcPr>
          <w:p w14:paraId="6A026945" w14:textId="4D0BA7EE" w:rsidR="0044223C" w:rsidRPr="009D7C32" w:rsidRDefault="0044223C" w:rsidP="009D7C32">
            <w:pPr>
              <w:pStyle w:val="ARtabletext"/>
            </w:pPr>
          </w:p>
        </w:tc>
        <w:tc>
          <w:tcPr>
            <w:tcW w:w="907" w:type="pct"/>
          </w:tcPr>
          <w:p w14:paraId="798D5D2C" w14:textId="77777777" w:rsidR="0044223C" w:rsidRPr="009D7C32" w:rsidRDefault="0044223C" w:rsidP="00A6122B">
            <w:pPr>
              <w:pStyle w:val="ARtabletext"/>
              <w:spacing w:before="60" w:after="40"/>
            </w:pPr>
            <w:r w:rsidRPr="009D7C32">
              <w:t>Institute for Healthcare Improvement</w:t>
            </w:r>
          </w:p>
        </w:tc>
        <w:tc>
          <w:tcPr>
            <w:tcW w:w="1163" w:type="pct"/>
          </w:tcPr>
          <w:p w14:paraId="3F3C4A69" w14:textId="6FF470D3" w:rsidR="0044223C" w:rsidRPr="009D7C32" w:rsidRDefault="0044223C" w:rsidP="00A6122B">
            <w:pPr>
              <w:pStyle w:val="ARtabletext"/>
              <w:spacing w:before="60" w:after="40"/>
            </w:pPr>
            <w:r w:rsidRPr="009D7C32">
              <w:t xml:space="preserve">Development, Community </w:t>
            </w:r>
            <w:r>
              <w:t>s</w:t>
            </w:r>
            <w:r w:rsidRPr="009D7C32">
              <w:t>ervices improvement</w:t>
            </w:r>
          </w:p>
        </w:tc>
        <w:tc>
          <w:tcPr>
            <w:tcW w:w="722" w:type="pct"/>
          </w:tcPr>
          <w:p w14:paraId="06FF6781" w14:textId="77777777" w:rsidR="0044223C" w:rsidRPr="009D7C32" w:rsidRDefault="0044223C" w:rsidP="00A6122B">
            <w:pPr>
              <w:pStyle w:val="ARtabletextright"/>
              <w:spacing w:before="60" w:after="40"/>
            </w:pPr>
            <w:r w:rsidRPr="009D7C32">
              <w:t>1,361,416</w:t>
            </w:r>
          </w:p>
        </w:tc>
        <w:tc>
          <w:tcPr>
            <w:tcW w:w="766" w:type="pct"/>
          </w:tcPr>
          <w:p w14:paraId="0F326CAC" w14:textId="77777777" w:rsidR="0044223C" w:rsidRPr="009D7C32" w:rsidRDefault="0044223C" w:rsidP="00A6122B">
            <w:pPr>
              <w:pStyle w:val="ARtabletextright"/>
              <w:spacing w:before="60" w:after="40"/>
            </w:pPr>
            <w:r w:rsidRPr="009D7C32">
              <w:t>250,000</w:t>
            </w:r>
          </w:p>
        </w:tc>
        <w:tc>
          <w:tcPr>
            <w:tcW w:w="674" w:type="pct"/>
          </w:tcPr>
          <w:p w14:paraId="1C7FCDCA" w14:textId="77777777" w:rsidR="0044223C" w:rsidRPr="009D7C32" w:rsidRDefault="0044223C" w:rsidP="00A6122B">
            <w:pPr>
              <w:pStyle w:val="ARtabletextright"/>
              <w:spacing w:before="60" w:after="40"/>
            </w:pPr>
            <w:r w:rsidRPr="009D7C32">
              <w:t>761,416</w:t>
            </w:r>
          </w:p>
        </w:tc>
      </w:tr>
      <w:tr w:rsidR="0044223C" w:rsidRPr="00A34CB9" w14:paraId="34357AC1" w14:textId="77777777" w:rsidTr="00476F91">
        <w:tc>
          <w:tcPr>
            <w:tcW w:w="768" w:type="pct"/>
            <w:vMerge/>
          </w:tcPr>
          <w:p w14:paraId="0B729242" w14:textId="53364627" w:rsidR="0044223C" w:rsidRPr="009D7C32" w:rsidRDefault="0044223C" w:rsidP="009D7C32">
            <w:pPr>
              <w:pStyle w:val="ARtabletext"/>
            </w:pPr>
          </w:p>
        </w:tc>
        <w:tc>
          <w:tcPr>
            <w:tcW w:w="907" w:type="pct"/>
          </w:tcPr>
          <w:p w14:paraId="456199F6" w14:textId="77777777" w:rsidR="0044223C" w:rsidRPr="009D7C32" w:rsidRDefault="0044223C" w:rsidP="00A6122B">
            <w:pPr>
              <w:pStyle w:val="ARtabletext"/>
              <w:spacing w:before="60" w:after="40"/>
            </w:pPr>
            <w:r w:rsidRPr="009D7C32">
              <w:t>Ken D. Lay</w:t>
            </w:r>
          </w:p>
        </w:tc>
        <w:tc>
          <w:tcPr>
            <w:tcW w:w="1163" w:type="pct"/>
          </w:tcPr>
          <w:p w14:paraId="4C5C3DBF" w14:textId="0F993DD9" w:rsidR="0044223C" w:rsidRPr="009D7C32" w:rsidRDefault="0044223C" w:rsidP="00A6122B">
            <w:pPr>
              <w:pStyle w:val="ARtabletext"/>
              <w:spacing w:before="60" w:after="40"/>
            </w:pPr>
            <w:r w:rsidRPr="009D7C32">
              <w:t xml:space="preserve">Lead, consultation process, </w:t>
            </w:r>
            <w:r>
              <w:t>I</w:t>
            </w:r>
            <w:r w:rsidRPr="009D7C32">
              <w:t>njecting rooms</w:t>
            </w:r>
          </w:p>
        </w:tc>
        <w:tc>
          <w:tcPr>
            <w:tcW w:w="722" w:type="pct"/>
          </w:tcPr>
          <w:p w14:paraId="09B997E4" w14:textId="77777777" w:rsidR="0044223C" w:rsidRPr="009D7C32" w:rsidRDefault="0044223C" w:rsidP="00A6122B">
            <w:pPr>
              <w:pStyle w:val="ARtabletextright"/>
              <w:spacing w:before="60" w:after="40"/>
            </w:pPr>
            <w:r w:rsidRPr="009D7C32">
              <w:t>153,727</w:t>
            </w:r>
          </w:p>
        </w:tc>
        <w:tc>
          <w:tcPr>
            <w:tcW w:w="766" w:type="pct"/>
          </w:tcPr>
          <w:p w14:paraId="3004AE97" w14:textId="77777777" w:rsidR="0044223C" w:rsidRPr="009D7C32" w:rsidRDefault="0044223C" w:rsidP="00A6122B">
            <w:pPr>
              <w:pStyle w:val="ARtabletextright"/>
              <w:spacing w:before="60" w:after="40"/>
            </w:pPr>
            <w:r w:rsidRPr="009D7C32">
              <w:t>128,484</w:t>
            </w:r>
          </w:p>
        </w:tc>
        <w:tc>
          <w:tcPr>
            <w:tcW w:w="674" w:type="pct"/>
          </w:tcPr>
          <w:p w14:paraId="3EAAA980" w14:textId="77777777" w:rsidR="0044223C" w:rsidRPr="009D7C32" w:rsidRDefault="0044223C" w:rsidP="00A6122B">
            <w:pPr>
              <w:pStyle w:val="ARtabletextright"/>
              <w:spacing w:before="60" w:after="40"/>
            </w:pPr>
            <w:r w:rsidRPr="009D7C32">
              <w:t>25,243</w:t>
            </w:r>
          </w:p>
        </w:tc>
      </w:tr>
      <w:tr w:rsidR="0044223C" w:rsidRPr="00A34CB9" w14:paraId="2A0A161B" w14:textId="77777777" w:rsidTr="00476F91">
        <w:tc>
          <w:tcPr>
            <w:tcW w:w="768" w:type="pct"/>
            <w:vMerge/>
          </w:tcPr>
          <w:p w14:paraId="02B2FD22" w14:textId="642E2733" w:rsidR="0044223C" w:rsidRPr="009D7C32" w:rsidRDefault="0044223C" w:rsidP="009D7C32">
            <w:pPr>
              <w:pStyle w:val="ARtabletext"/>
            </w:pPr>
          </w:p>
        </w:tc>
        <w:tc>
          <w:tcPr>
            <w:tcW w:w="907" w:type="pct"/>
          </w:tcPr>
          <w:p w14:paraId="27A5AB9D" w14:textId="77777777" w:rsidR="0044223C" w:rsidRPr="009D7C32" w:rsidRDefault="0044223C" w:rsidP="00A6122B">
            <w:pPr>
              <w:pStyle w:val="ARtabletext"/>
              <w:spacing w:before="60" w:after="40"/>
            </w:pPr>
            <w:r w:rsidRPr="009D7C32">
              <w:t>KPMG</w:t>
            </w:r>
          </w:p>
        </w:tc>
        <w:tc>
          <w:tcPr>
            <w:tcW w:w="1163" w:type="pct"/>
          </w:tcPr>
          <w:p w14:paraId="19B56A99" w14:textId="04E67697" w:rsidR="0044223C" w:rsidRPr="009D7C32" w:rsidRDefault="0044223C" w:rsidP="00A6122B">
            <w:pPr>
              <w:pStyle w:val="ARtabletext"/>
              <w:spacing w:before="60" w:after="40"/>
            </w:pPr>
            <w:r w:rsidRPr="009D7C32">
              <w:t xml:space="preserve">Analysis, </w:t>
            </w:r>
            <w:r>
              <w:t>R</w:t>
            </w:r>
            <w:r w:rsidRPr="009D7C32">
              <w:t>eadiness response and emergency management</w:t>
            </w:r>
          </w:p>
        </w:tc>
        <w:tc>
          <w:tcPr>
            <w:tcW w:w="722" w:type="pct"/>
          </w:tcPr>
          <w:p w14:paraId="5FC741C7" w14:textId="77777777" w:rsidR="0044223C" w:rsidRPr="009D7C32" w:rsidRDefault="0044223C" w:rsidP="00A6122B">
            <w:pPr>
              <w:pStyle w:val="ARtabletextright"/>
              <w:spacing w:before="60" w:after="40"/>
            </w:pPr>
            <w:r w:rsidRPr="009D7C32">
              <w:t>59,113</w:t>
            </w:r>
          </w:p>
        </w:tc>
        <w:tc>
          <w:tcPr>
            <w:tcW w:w="766" w:type="pct"/>
          </w:tcPr>
          <w:p w14:paraId="7A335318" w14:textId="77777777" w:rsidR="0044223C" w:rsidRPr="009D7C32" w:rsidRDefault="0044223C" w:rsidP="00A6122B">
            <w:pPr>
              <w:pStyle w:val="ARtabletextright"/>
              <w:spacing w:before="60" w:after="40"/>
            </w:pPr>
            <w:r w:rsidRPr="009D7C32">
              <w:t>51,824</w:t>
            </w:r>
          </w:p>
        </w:tc>
        <w:tc>
          <w:tcPr>
            <w:tcW w:w="674" w:type="pct"/>
          </w:tcPr>
          <w:p w14:paraId="1E07BDD3" w14:textId="77777777" w:rsidR="0044223C" w:rsidRPr="009D7C32" w:rsidRDefault="0044223C" w:rsidP="00A6122B">
            <w:pPr>
              <w:pStyle w:val="ARtabletextright"/>
              <w:spacing w:before="60" w:after="40"/>
            </w:pPr>
            <w:r w:rsidRPr="009D7C32">
              <w:t>7,289</w:t>
            </w:r>
          </w:p>
        </w:tc>
      </w:tr>
      <w:tr w:rsidR="0044223C" w:rsidRPr="00A34CB9" w14:paraId="48CC2281" w14:textId="77777777" w:rsidTr="00476F91">
        <w:tc>
          <w:tcPr>
            <w:tcW w:w="768" w:type="pct"/>
            <w:vMerge/>
          </w:tcPr>
          <w:p w14:paraId="5FFEC41A" w14:textId="59A2B1FB" w:rsidR="0044223C" w:rsidRPr="009D7C32" w:rsidRDefault="0044223C" w:rsidP="009D7C32">
            <w:pPr>
              <w:pStyle w:val="ARtabletext"/>
            </w:pPr>
          </w:p>
        </w:tc>
        <w:tc>
          <w:tcPr>
            <w:tcW w:w="907" w:type="pct"/>
          </w:tcPr>
          <w:p w14:paraId="4BB5FF6C" w14:textId="77777777" w:rsidR="0044223C" w:rsidRPr="009D7C32" w:rsidRDefault="0044223C" w:rsidP="00A6122B">
            <w:pPr>
              <w:pStyle w:val="ARtabletext"/>
              <w:spacing w:before="60" w:after="40"/>
            </w:pPr>
            <w:r w:rsidRPr="009D7C32">
              <w:t>Monash University</w:t>
            </w:r>
          </w:p>
        </w:tc>
        <w:tc>
          <w:tcPr>
            <w:tcW w:w="1163" w:type="pct"/>
          </w:tcPr>
          <w:p w14:paraId="2014B43E" w14:textId="482974DE" w:rsidR="0044223C" w:rsidRPr="009D7C32" w:rsidRDefault="0044223C" w:rsidP="00A6122B">
            <w:pPr>
              <w:pStyle w:val="ARtabletext"/>
              <w:spacing w:before="60" w:after="40"/>
            </w:pPr>
            <w:r w:rsidRPr="009D7C32">
              <w:t xml:space="preserve">Ethical guidance, </w:t>
            </w:r>
            <w:r>
              <w:t>C</w:t>
            </w:r>
            <w:r w:rsidRPr="009D7C32">
              <w:t xml:space="preserve">ritical care resource allocation, Victorian </w:t>
            </w:r>
            <w:r>
              <w:t>h</w:t>
            </w:r>
            <w:r w:rsidRPr="009D7C32">
              <w:t>ospitals, COVID-19</w:t>
            </w:r>
          </w:p>
        </w:tc>
        <w:tc>
          <w:tcPr>
            <w:tcW w:w="722" w:type="pct"/>
          </w:tcPr>
          <w:p w14:paraId="5553787A" w14:textId="77777777" w:rsidR="0044223C" w:rsidRPr="009D7C32" w:rsidRDefault="0044223C" w:rsidP="00A6122B">
            <w:pPr>
              <w:pStyle w:val="ARtabletextright"/>
              <w:spacing w:before="60" w:after="40"/>
            </w:pPr>
            <w:r w:rsidRPr="009D7C32">
              <w:t>42,997</w:t>
            </w:r>
          </w:p>
        </w:tc>
        <w:tc>
          <w:tcPr>
            <w:tcW w:w="766" w:type="pct"/>
          </w:tcPr>
          <w:p w14:paraId="7E41C4DF" w14:textId="77777777" w:rsidR="0044223C" w:rsidRPr="009D7C32" w:rsidRDefault="0044223C" w:rsidP="00A6122B">
            <w:pPr>
              <w:pStyle w:val="ARtabletextright"/>
              <w:spacing w:before="60" w:after="40"/>
            </w:pPr>
            <w:r w:rsidRPr="009D7C32">
              <w:t>42,997</w:t>
            </w:r>
          </w:p>
        </w:tc>
        <w:tc>
          <w:tcPr>
            <w:tcW w:w="674" w:type="pct"/>
          </w:tcPr>
          <w:p w14:paraId="3C2A9613" w14:textId="77777777" w:rsidR="0044223C" w:rsidRPr="009D7C32" w:rsidRDefault="0044223C" w:rsidP="00A6122B">
            <w:pPr>
              <w:pStyle w:val="ARtabletextright"/>
              <w:spacing w:before="60" w:after="40"/>
            </w:pPr>
            <w:r w:rsidRPr="009D7C32">
              <w:t>0</w:t>
            </w:r>
          </w:p>
        </w:tc>
      </w:tr>
      <w:tr w:rsidR="0044223C" w:rsidRPr="00A34CB9" w14:paraId="73B11801" w14:textId="77777777" w:rsidTr="00476F91">
        <w:tc>
          <w:tcPr>
            <w:tcW w:w="768" w:type="pct"/>
            <w:vMerge/>
          </w:tcPr>
          <w:p w14:paraId="5A549344" w14:textId="5192DDF2" w:rsidR="0044223C" w:rsidRPr="009D7C32" w:rsidRDefault="0044223C" w:rsidP="009D7C32">
            <w:pPr>
              <w:pStyle w:val="ARtabletext"/>
            </w:pPr>
          </w:p>
        </w:tc>
        <w:tc>
          <w:tcPr>
            <w:tcW w:w="907" w:type="pct"/>
          </w:tcPr>
          <w:p w14:paraId="79A280D3" w14:textId="77777777" w:rsidR="0044223C" w:rsidRPr="009D7C32" w:rsidRDefault="0044223C" w:rsidP="00A6122B">
            <w:pPr>
              <w:pStyle w:val="ARtabletext"/>
              <w:spacing w:before="60" w:after="40"/>
            </w:pPr>
            <w:r w:rsidRPr="009D7C32">
              <w:t>Porter Novelli</w:t>
            </w:r>
          </w:p>
        </w:tc>
        <w:tc>
          <w:tcPr>
            <w:tcW w:w="1163" w:type="pct"/>
          </w:tcPr>
          <w:p w14:paraId="6A3518C9" w14:textId="77777777" w:rsidR="0044223C" w:rsidRPr="009D7C32" w:rsidRDefault="0044223C" w:rsidP="00A6122B">
            <w:pPr>
              <w:pStyle w:val="ARtabletext"/>
              <w:spacing w:before="60" w:after="40"/>
            </w:pPr>
            <w:r w:rsidRPr="009D7C32">
              <w:t>Strategic communication, Mildura Base Hospital transition</w:t>
            </w:r>
          </w:p>
        </w:tc>
        <w:tc>
          <w:tcPr>
            <w:tcW w:w="722" w:type="pct"/>
          </w:tcPr>
          <w:p w14:paraId="1204B3DC" w14:textId="77777777" w:rsidR="0044223C" w:rsidRPr="009D7C32" w:rsidRDefault="0044223C" w:rsidP="00A6122B">
            <w:pPr>
              <w:pStyle w:val="ARtabletextright"/>
              <w:spacing w:before="60" w:after="40"/>
            </w:pPr>
            <w:r w:rsidRPr="009D7C32">
              <w:t>232,432</w:t>
            </w:r>
          </w:p>
        </w:tc>
        <w:tc>
          <w:tcPr>
            <w:tcW w:w="766" w:type="pct"/>
          </w:tcPr>
          <w:p w14:paraId="5974B46B" w14:textId="77777777" w:rsidR="0044223C" w:rsidRPr="009D7C32" w:rsidRDefault="0044223C" w:rsidP="00A6122B">
            <w:pPr>
              <w:pStyle w:val="ARtabletextright"/>
              <w:spacing w:before="60" w:after="40"/>
            </w:pPr>
            <w:r w:rsidRPr="009D7C32">
              <w:t>200,803</w:t>
            </w:r>
          </w:p>
        </w:tc>
        <w:tc>
          <w:tcPr>
            <w:tcW w:w="674" w:type="pct"/>
          </w:tcPr>
          <w:p w14:paraId="6D3A613B" w14:textId="77777777" w:rsidR="0044223C" w:rsidRPr="009D7C32" w:rsidRDefault="0044223C" w:rsidP="00A6122B">
            <w:pPr>
              <w:pStyle w:val="ARtabletextright"/>
              <w:spacing w:before="60" w:after="40"/>
            </w:pPr>
            <w:r w:rsidRPr="009D7C32">
              <w:t>0</w:t>
            </w:r>
          </w:p>
        </w:tc>
      </w:tr>
      <w:tr w:rsidR="0044223C" w:rsidRPr="00A34CB9" w14:paraId="6A1DAB97" w14:textId="77777777" w:rsidTr="00476F91">
        <w:tc>
          <w:tcPr>
            <w:tcW w:w="768" w:type="pct"/>
            <w:vMerge/>
          </w:tcPr>
          <w:p w14:paraId="6BF2DD11" w14:textId="0A597F1C" w:rsidR="0044223C" w:rsidRPr="009D7C32" w:rsidRDefault="0044223C" w:rsidP="009D7C32">
            <w:pPr>
              <w:pStyle w:val="ARtabletext"/>
            </w:pPr>
          </w:p>
        </w:tc>
        <w:tc>
          <w:tcPr>
            <w:tcW w:w="907" w:type="pct"/>
            <w:vMerge w:val="restart"/>
          </w:tcPr>
          <w:p w14:paraId="5F17B502" w14:textId="5B4D420F" w:rsidR="0044223C" w:rsidRPr="009D7C32" w:rsidRDefault="0044223C" w:rsidP="00A6122B">
            <w:pPr>
              <w:pStyle w:val="ARtabletext"/>
              <w:spacing w:before="60" w:after="40"/>
            </w:pPr>
            <w:r w:rsidRPr="009D7C32">
              <w:t>Price</w:t>
            </w:r>
            <w:r>
              <w:t>w</w:t>
            </w:r>
            <w:r w:rsidRPr="009D7C32">
              <w:t>aterhouse Coopers</w:t>
            </w:r>
          </w:p>
        </w:tc>
        <w:tc>
          <w:tcPr>
            <w:tcW w:w="1163" w:type="pct"/>
          </w:tcPr>
          <w:p w14:paraId="2B87F3DB" w14:textId="1A3E48A6" w:rsidR="0044223C" w:rsidRPr="009D7C32" w:rsidRDefault="0044223C" w:rsidP="00A6122B">
            <w:pPr>
              <w:pStyle w:val="ARtabletext"/>
              <w:spacing w:before="60" w:after="40"/>
            </w:pPr>
            <w:r w:rsidRPr="009D7C32">
              <w:t xml:space="preserve">Support, assessment and design, Local </w:t>
            </w:r>
            <w:r>
              <w:t>p</w:t>
            </w:r>
            <w:r w:rsidRPr="009D7C32">
              <w:t xml:space="preserve">ublic </w:t>
            </w:r>
            <w:r>
              <w:t>h</w:t>
            </w:r>
            <w:r w:rsidRPr="009D7C32">
              <w:t xml:space="preserve">ealth </w:t>
            </w:r>
            <w:r>
              <w:t>u</w:t>
            </w:r>
            <w:r w:rsidRPr="009D7C32">
              <w:t>nits, for COVID</w:t>
            </w:r>
            <w:r>
              <w:t>-</w:t>
            </w:r>
            <w:r w:rsidRPr="009D7C32">
              <w:t>19</w:t>
            </w:r>
          </w:p>
        </w:tc>
        <w:tc>
          <w:tcPr>
            <w:tcW w:w="722" w:type="pct"/>
          </w:tcPr>
          <w:p w14:paraId="19A2E224" w14:textId="77777777" w:rsidR="0044223C" w:rsidRPr="009D7C32" w:rsidRDefault="0044223C" w:rsidP="00A6122B">
            <w:pPr>
              <w:pStyle w:val="ARtabletextright"/>
              <w:spacing w:before="60" w:after="40"/>
            </w:pPr>
            <w:r w:rsidRPr="009D7C32">
              <w:t>2,700,000</w:t>
            </w:r>
          </w:p>
        </w:tc>
        <w:tc>
          <w:tcPr>
            <w:tcW w:w="766" w:type="pct"/>
          </w:tcPr>
          <w:p w14:paraId="18CA40CB" w14:textId="77777777" w:rsidR="0044223C" w:rsidRPr="009D7C32" w:rsidRDefault="0044223C" w:rsidP="00A6122B">
            <w:pPr>
              <w:pStyle w:val="ARtabletextright"/>
              <w:spacing w:before="60" w:after="40"/>
            </w:pPr>
            <w:r w:rsidRPr="009D7C32">
              <w:t>2,479,073</w:t>
            </w:r>
          </w:p>
        </w:tc>
        <w:tc>
          <w:tcPr>
            <w:tcW w:w="674" w:type="pct"/>
          </w:tcPr>
          <w:p w14:paraId="22246AB0" w14:textId="77777777" w:rsidR="0044223C" w:rsidRPr="009D7C32" w:rsidRDefault="0044223C" w:rsidP="00A6122B">
            <w:pPr>
              <w:pStyle w:val="ARtabletextright"/>
              <w:spacing w:before="60" w:after="40"/>
            </w:pPr>
            <w:r w:rsidRPr="009D7C32">
              <w:t>0</w:t>
            </w:r>
          </w:p>
        </w:tc>
      </w:tr>
      <w:tr w:rsidR="0044223C" w:rsidRPr="00A34CB9" w14:paraId="16DF803C" w14:textId="77777777" w:rsidTr="00476F91">
        <w:tc>
          <w:tcPr>
            <w:tcW w:w="768" w:type="pct"/>
            <w:vMerge/>
          </w:tcPr>
          <w:p w14:paraId="0F4CAEE7" w14:textId="44BC1F4F" w:rsidR="0044223C" w:rsidRPr="009D7C32" w:rsidRDefault="0044223C" w:rsidP="009D7C32">
            <w:pPr>
              <w:pStyle w:val="ARtabletext"/>
            </w:pPr>
          </w:p>
        </w:tc>
        <w:tc>
          <w:tcPr>
            <w:tcW w:w="907" w:type="pct"/>
            <w:vMerge/>
          </w:tcPr>
          <w:p w14:paraId="0BDE8EBD" w14:textId="0009E947" w:rsidR="0044223C" w:rsidRPr="009D7C32" w:rsidRDefault="0044223C" w:rsidP="00A6122B">
            <w:pPr>
              <w:pStyle w:val="ARtabletext"/>
              <w:spacing w:before="60" w:after="40"/>
            </w:pPr>
          </w:p>
        </w:tc>
        <w:tc>
          <w:tcPr>
            <w:tcW w:w="1163" w:type="pct"/>
          </w:tcPr>
          <w:p w14:paraId="7416B2B0" w14:textId="5B07C9F0" w:rsidR="0044223C" w:rsidRPr="009D7C32" w:rsidRDefault="0044223C" w:rsidP="00A6122B">
            <w:pPr>
              <w:pStyle w:val="ARtabletext"/>
              <w:spacing w:before="60" w:after="40"/>
            </w:pPr>
            <w:r w:rsidRPr="009D7C32">
              <w:t xml:space="preserve">Advice and support, </w:t>
            </w:r>
            <w:r>
              <w:t>P</w:t>
            </w:r>
            <w:r w:rsidRPr="009D7C32">
              <w:t xml:space="preserve">erformance, Emergency </w:t>
            </w:r>
            <w:r>
              <w:t>d</w:t>
            </w:r>
            <w:r w:rsidRPr="009D7C32">
              <w:t>epartment, Victorian metro health service</w:t>
            </w:r>
          </w:p>
        </w:tc>
        <w:tc>
          <w:tcPr>
            <w:tcW w:w="722" w:type="pct"/>
          </w:tcPr>
          <w:p w14:paraId="25D1F576" w14:textId="77777777" w:rsidR="0044223C" w:rsidRPr="009D7C32" w:rsidRDefault="0044223C" w:rsidP="00A6122B">
            <w:pPr>
              <w:pStyle w:val="ARtabletextright"/>
              <w:spacing w:before="60" w:after="40"/>
            </w:pPr>
            <w:r w:rsidRPr="009D7C32">
              <w:t>223,880</w:t>
            </w:r>
          </w:p>
        </w:tc>
        <w:tc>
          <w:tcPr>
            <w:tcW w:w="766" w:type="pct"/>
          </w:tcPr>
          <w:p w14:paraId="02C27C86" w14:textId="77777777" w:rsidR="0044223C" w:rsidRPr="009D7C32" w:rsidRDefault="0044223C" w:rsidP="00A6122B">
            <w:pPr>
              <w:pStyle w:val="ARtabletextright"/>
              <w:spacing w:before="60" w:after="40"/>
            </w:pPr>
            <w:r w:rsidRPr="009D7C32">
              <w:t>113,185</w:t>
            </w:r>
          </w:p>
        </w:tc>
        <w:tc>
          <w:tcPr>
            <w:tcW w:w="674" w:type="pct"/>
          </w:tcPr>
          <w:p w14:paraId="7A2FCD2F" w14:textId="77777777" w:rsidR="0044223C" w:rsidRPr="009D7C32" w:rsidRDefault="0044223C" w:rsidP="00A6122B">
            <w:pPr>
              <w:pStyle w:val="ARtabletextright"/>
              <w:spacing w:before="60" w:after="40"/>
            </w:pPr>
            <w:r w:rsidRPr="009D7C32">
              <w:t>110,695</w:t>
            </w:r>
          </w:p>
        </w:tc>
      </w:tr>
      <w:tr w:rsidR="00EF6CF9" w:rsidRPr="00A34CB9" w14:paraId="7B2BE5CC" w14:textId="77777777" w:rsidTr="00476F91">
        <w:tc>
          <w:tcPr>
            <w:tcW w:w="768" w:type="pct"/>
            <w:vMerge w:val="restart"/>
          </w:tcPr>
          <w:p w14:paraId="17474774" w14:textId="77777777" w:rsidR="00EF6CF9" w:rsidRPr="009D7C32" w:rsidRDefault="00EF6CF9" w:rsidP="009D7C32">
            <w:pPr>
              <w:pStyle w:val="ARtabletext"/>
            </w:pPr>
            <w:r w:rsidRPr="009D7C32">
              <w:t>Probity &amp; Data Integrity Audit</w:t>
            </w:r>
          </w:p>
        </w:tc>
        <w:tc>
          <w:tcPr>
            <w:tcW w:w="907" w:type="pct"/>
          </w:tcPr>
          <w:p w14:paraId="248CF5D3" w14:textId="77777777" w:rsidR="00EF6CF9" w:rsidRPr="009D7C32" w:rsidRDefault="00EF6CF9" w:rsidP="00A6122B">
            <w:pPr>
              <w:pStyle w:val="ARtabletext"/>
              <w:spacing w:before="60" w:after="40"/>
            </w:pPr>
            <w:r w:rsidRPr="009D7C32">
              <w:t>Due Diligence Consultants Pty Ltd</w:t>
            </w:r>
          </w:p>
        </w:tc>
        <w:tc>
          <w:tcPr>
            <w:tcW w:w="1163" w:type="pct"/>
          </w:tcPr>
          <w:p w14:paraId="4EBF5A78" w14:textId="6B7F6EA2" w:rsidR="00EF6CF9" w:rsidRPr="009D7C32" w:rsidRDefault="00EF6CF9" w:rsidP="00A6122B">
            <w:pPr>
              <w:pStyle w:val="ARtabletext"/>
              <w:spacing w:before="60" w:after="40"/>
            </w:pPr>
            <w:r w:rsidRPr="009D7C32">
              <w:t xml:space="preserve">Due </w:t>
            </w:r>
            <w:r>
              <w:t>d</w:t>
            </w:r>
            <w:r w:rsidRPr="009D7C32">
              <w:t xml:space="preserve">iligence </w:t>
            </w:r>
            <w:r>
              <w:t>r</w:t>
            </w:r>
            <w:r w:rsidRPr="009D7C32">
              <w:t>eporting</w:t>
            </w:r>
          </w:p>
        </w:tc>
        <w:tc>
          <w:tcPr>
            <w:tcW w:w="722" w:type="pct"/>
          </w:tcPr>
          <w:p w14:paraId="1DFE9DFD" w14:textId="77777777" w:rsidR="00EF6CF9" w:rsidRPr="009D7C32" w:rsidRDefault="00EF6CF9" w:rsidP="00A6122B">
            <w:pPr>
              <w:pStyle w:val="ARtabletextright"/>
              <w:spacing w:before="60" w:after="40"/>
            </w:pPr>
            <w:r w:rsidRPr="009D7C32">
              <w:t>169,275</w:t>
            </w:r>
          </w:p>
        </w:tc>
        <w:tc>
          <w:tcPr>
            <w:tcW w:w="766" w:type="pct"/>
          </w:tcPr>
          <w:p w14:paraId="4BFFB812" w14:textId="77777777" w:rsidR="00EF6CF9" w:rsidRPr="009D7C32" w:rsidRDefault="00EF6CF9" w:rsidP="00A6122B">
            <w:pPr>
              <w:pStyle w:val="ARtabletextright"/>
              <w:spacing w:before="60" w:after="40"/>
            </w:pPr>
            <w:r w:rsidRPr="009D7C32">
              <w:t>20,776</w:t>
            </w:r>
          </w:p>
        </w:tc>
        <w:tc>
          <w:tcPr>
            <w:tcW w:w="674" w:type="pct"/>
          </w:tcPr>
          <w:p w14:paraId="2C45571E" w14:textId="77777777" w:rsidR="00EF6CF9" w:rsidRPr="009D7C32" w:rsidRDefault="00EF6CF9" w:rsidP="00A6122B">
            <w:pPr>
              <w:pStyle w:val="ARtabletextright"/>
              <w:spacing w:before="60" w:after="40"/>
            </w:pPr>
            <w:r w:rsidRPr="009D7C32">
              <w:t>44,800</w:t>
            </w:r>
          </w:p>
        </w:tc>
      </w:tr>
      <w:tr w:rsidR="00EF6CF9" w:rsidRPr="00A34CB9" w14:paraId="0D25451B" w14:textId="77777777" w:rsidTr="00476F91">
        <w:tc>
          <w:tcPr>
            <w:tcW w:w="768" w:type="pct"/>
            <w:vMerge/>
          </w:tcPr>
          <w:p w14:paraId="5E1BC363" w14:textId="63AB5985" w:rsidR="00EF6CF9" w:rsidRPr="009D7C32" w:rsidRDefault="00EF6CF9" w:rsidP="009D7C32">
            <w:pPr>
              <w:pStyle w:val="ARtabletext"/>
            </w:pPr>
          </w:p>
        </w:tc>
        <w:tc>
          <w:tcPr>
            <w:tcW w:w="907" w:type="pct"/>
          </w:tcPr>
          <w:p w14:paraId="6A23859A" w14:textId="77777777" w:rsidR="00EF6CF9" w:rsidRPr="009D7C32" w:rsidRDefault="00EF6CF9" w:rsidP="00A6122B">
            <w:pPr>
              <w:pStyle w:val="ARtabletext"/>
              <w:spacing w:before="60" w:after="40"/>
            </w:pPr>
            <w:r w:rsidRPr="009D7C32">
              <w:t>KPMG</w:t>
            </w:r>
          </w:p>
        </w:tc>
        <w:tc>
          <w:tcPr>
            <w:tcW w:w="1163" w:type="pct"/>
          </w:tcPr>
          <w:p w14:paraId="6FC96093" w14:textId="77777777" w:rsidR="00EF6CF9" w:rsidRPr="009D7C32" w:rsidRDefault="00EF6CF9" w:rsidP="00A6122B">
            <w:pPr>
              <w:pStyle w:val="ARtabletext"/>
              <w:spacing w:before="60" w:after="40"/>
            </w:pPr>
            <w:r w:rsidRPr="009D7C32">
              <w:t>Data integrity audits, Victorian admitted episodes dataset</w:t>
            </w:r>
          </w:p>
        </w:tc>
        <w:tc>
          <w:tcPr>
            <w:tcW w:w="722" w:type="pct"/>
          </w:tcPr>
          <w:p w14:paraId="1B8ADC5E" w14:textId="77777777" w:rsidR="00EF6CF9" w:rsidRPr="009D7C32" w:rsidRDefault="00EF6CF9" w:rsidP="00A6122B">
            <w:pPr>
              <w:pStyle w:val="ARtabletextright"/>
              <w:spacing w:before="60" w:after="40"/>
            </w:pPr>
            <w:r w:rsidRPr="009D7C32">
              <w:t>2,943,112</w:t>
            </w:r>
          </w:p>
        </w:tc>
        <w:tc>
          <w:tcPr>
            <w:tcW w:w="766" w:type="pct"/>
          </w:tcPr>
          <w:p w14:paraId="3934CA74" w14:textId="77777777" w:rsidR="00EF6CF9" w:rsidRPr="009D7C32" w:rsidRDefault="00EF6CF9" w:rsidP="00A6122B">
            <w:pPr>
              <w:pStyle w:val="ARtabletextright"/>
              <w:spacing w:before="60" w:after="40"/>
            </w:pPr>
            <w:r w:rsidRPr="009D7C32">
              <w:t>455,414</w:t>
            </w:r>
          </w:p>
        </w:tc>
        <w:tc>
          <w:tcPr>
            <w:tcW w:w="674" w:type="pct"/>
          </w:tcPr>
          <w:p w14:paraId="3947A8D8" w14:textId="77777777" w:rsidR="00EF6CF9" w:rsidRPr="009D7C32" w:rsidRDefault="00EF6CF9" w:rsidP="00A6122B">
            <w:pPr>
              <w:pStyle w:val="ARtabletextright"/>
              <w:spacing w:before="60" w:after="40"/>
            </w:pPr>
            <w:r w:rsidRPr="009D7C32">
              <w:t>0</w:t>
            </w:r>
          </w:p>
        </w:tc>
      </w:tr>
      <w:tr w:rsidR="00655E12" w:rsidRPr="00A34CB9" w14:paraId="7F420FF6" w14:textId="77777777" w:rsidTr="00476F91">
        <w:tc>
          <w:tcPr>
            <w:tcW w:w="768" w:type="pct"/>
            <w:vMerge w:val="restart"/>
          </w:tcPr>
          <w:p w14:paraId="69D8E018" w14:textId="77777777" w:rsidR="00655E12" w:rsidRPr="009D7C32" w:rsidRDefault="00655E12" w:rsidP="009D7C32">
            <w:pPr>
              <w:pStyle w:val="ARtabletext"/>
            </w:pPr>
            <w:r w:rsidRPr="009D7C32">
              <w:t>Program Assessment &amp; Evaluation</w:t>
            </w:r>
          </w:p>
        </w:tc>
        <w:tc>
          <w:tcPr>
            <w:tcW w:w="907" w:type="pct"/>
          </w:tcPr>
          <w:p w14:paraId="4019D6E7" w14:textId="77777777" w:rsidR="00655E12" w:rsidRPr="009D7C32" w:rsidRDefault="00655E12" w:rsidP="00A6122B">
            <w:pPr>
              <w:pStyle w:val="ARtabletext"/>
              <w:spacing w:before="60" w:after="40"/>
            </w:pPr>
            <w:r w:rsidRPr="009D7C32">
              <w:t>CSIRO</w:t>
            </w:r>
          </w:p>
        </w:tc>
        <w:tc>
          <w:tcPr>
            <w:tcW w:w="1163" w:type="pct"/>
          </w:tcPr>
          <w:p w14:paraId="3A56421F" w14:textId="77777777" w:rsidR="00655E12" w:rsidRPr="009D7C32" w:rsidRDefault="00655E12" w:rsidP="00A6122B">
            <w:pPr>
              <w:pStyle w:val="ARtabletext"/>
              <w:spacing w:before="60" w:after="40"/>
            </w:pPr>
            <w:r w:rsidRPr="009D7C32">
              <w:t>Evaluation, HealthLinks, chronic care</w:t>
            </w:r>
          </w:p>
        </w:tc>
        <w:tc>
          <w:tcPr>
            <w:tcW w:w="722" w:type="pct"/>
          </w:tcPr>
          <w:p w14:paraId="1A336FD0" w14:textId="77777777" w:rsidR="00655E12" w:rsidRPr="009D7C32" w:rsidRDefault="00655E12" w:rsidP="00A6122B">
            <w:pPr>
              <w:pStyle w:val="ARtabletextright"/>
              <w:spacing w:before="60" w:after="40"/>
            </w:pPr>
            <w:r w:rsidRPr="009D7C32">
              <w:t>1,667,387</w:t>
            </w:r>
          </w:p>
        </w:tc>
        <w:tc>
          <w:tcPr>
            <w:tcW w:w="766" w:type="pct"/>
          </w:tcPr>
          <w:p w14:paraId="42553C27" w14:textId="77777777" w:rsidR="00655E12" w:rsidRPr="009D7C32" w:rsidRDefault="00655E12" w:rsidP="00A6122B">
            <w:pPr>
              <w:pStyle w:val="ARtabletextright"/>
              <w:spacing w:before="60" w:after="40"/>
            </w:pPr>
            <w:r w:rsidRPr="009D7C32">
              <w:t>90,898</w:t>
            </w:r>
          </w:p>
        </w:tc>
        <w:tc>
          <w:tcPr>
            <w:tcW w:w="674" w:type="pct"/>
          </w:tcPr>
          <w:p w14:paraId="5AF189D8" w14:textId="77777777" w:rsidR="00655E12" w:rsidRPr="009D7C32" w:rsidRDefault="00655E12" w:rsidP="00A6122B">
            <w:pPr>
              <w:pStyle w:val="ARtabletextright"/>
              <w:spacing w:before="60" w:after="40"/>
            </w:pPr>
            <w:r w:rsidRPr="009D7C32">
              <w:t>85,122</w:t>
            </w:r>
          </w:p>
        </w:tc>
      </w:tr>
      <w:tr w:rsidR="00655E12" w:rsidRPr="00A34CB9" w14:paraId="40AACAA5" w14:textId="77777777" w:rsidTr="00476F91">
        <w:tc>
          <w:tcPr>
            <w:tcW w:w="768" w:type="pct"/>
            <w:vMerge/>
          </w:tcPr>
          <w:p w14:paraId="246B512C" w14:textId="1BB9D036" w:rsidR="00655E12" w:rsidRPr="009D7C32" w:rsidRDefault="00655E12" w:rsidP="009D7C32">
            <w:pPr>
              <w:pStyle w:val="ARtabletext"/>
            </w:pPr>
          </w:p>
        </w:tc>
        <w:tc>
          <w:tcPr>
            <w:tcW w:w="907" w:type="pct"/>
          </w:tcPr>
          <w:p w14:paraId="4415C1C0" w14:textId="77777777" w:rsidR="00655E12" w:rsidRPr="009D7C32" w:rsidRDefault="00655E12" w:rsidP="00A6122B">
            <w:pPr>
              <w:pStyle w:val="ARtabletext"/>
              <w:spacing w:before="60" w:after="40"/>
            </w:pPr>
            <w:r w:rsidRPr="009D7C32">
              <w:t>Global Public Safety Pty Ltd</w:t>
            </w:r>
          </w:p>
        </w:tc>
        <w:tc>
          <w:tcPr>
            <w:tcW w:w="1163" w:type="pct"/>
          </w:tcPr>
          <w:p w14:paraId="11B6C881" w14:textId="12C431E5" w:rsidR="00655E12" w:rsidRPr="009D7C32" w:rsidRDefault="00655E12" w:rsidP="00A6122B">
            <w:pPr>
              <w:pStyle w:val="ARtabletext"/>
              <w:spacing w:before="60" w:after="40"/>
            </w:pPr>
            <w:r w:rsidRPr="009D7C32">
              <w:t xml:space="preserve">Examination, </w:t>
            </w:r>
            <w:r>
              <w:t>M</w:t>
            </w:r>
            <w:r w:rsidRPr="009D7C32">
              <w:t>obile duress options</w:t>
            </w:r>
          </w:p>
        </w:tc>
        <w:tc>
          <w:tcPr>
            <w:tcW w:w="722" w:type="pct"/>
          </w:tcPr>
          <w:p w14:paraId="2C36C9F7" w14:textId="77777777" w:rsidR="00655E12" w:rsidRPr="009D7C32" w:rsidRDefault="00655E12" w:rsidP="00A6122B">
            <w:pPr>
              <w:pStyle w:val="ARtabletextright"/>
              <w:spacing w:before="60" w:after="40"/>
            </w:pPr>
            <w:r w:rsidRPr="009D7C32">
              <w:t>45,000</w:t>
            </w:r>
          </w:p>
        </w:tc>
        <w:tc>
          <w:tcPr>
            <w:tcW w:w="766" w:type="pct"/>
          </w:tcPr>
          <w:p w14:paraId="4CEEDF0C" w14:textId="77777777" w:rsidR="00655E12" w:rsidRPr="009D7C32" w:rsidRDefault="00655E12" w:rsidP="00A6122B">
            <w:pPr>
              <w:pStyle w:val="ARtabletextright"/>
              <w:spacing w:before="60" w:after="40"/>
            </w:pPr>
            <w:r w:rsidRPr="009D7C32">
              <w:t>45,378</w:t>
            </w:r>
          </w:p>
        </w:tc>
        <w:tc>
          <w:tcPr>
            <w:tcW w:w="674" w:type="pct"/>
          </w:tcPr>
          <w:p w14:paraId="02EFB2CB" w14:textId="77777777" w:rsidR="00655E12" w:rsidRPr="009D7C32" w:rsidRDefault="00655E12" w:rsidP="00A6122B">
            <w:pPr>
              <w:pStyle w:val="ARtabletextright"/>
              <w:spacing w:before="60" w:after="40"/>
            </w:pPr>
            <w:r w:rsidRPr="009D7C32">
              <w:t>0</w:t>
            </w:r>
          </w:p>
        </w:tc>
      </w:tr>
      <w:tr w:rsidR="00655E12" w:rsidRPr="00A34CB9" w14:paraId="04FB0F24" w14:textId="77777777" w:rsidTr="00476F91">
        <w:tc>
          <w:tcPr>
            <w:tcW w:w="768" w:type="pct"/>
            <w:vMerge/>
          </w:tcPr>
          <w:p w14:paraId="732CFEEC" w14:textId="42755553" w:rsidR="00655E12" w:rsidRPr="009D7C32" w:rsidRDefault="00655E12" w:rsidP="009D7C32">
            <w:pPr>
              <w:pStyle w:val="ARtabletext"/>
            </w:pPr>
          </w:p>
        </w:tc>
        <w:tc>
          <w:tcPr>
            <w:tcW w:w="907" w:type="pct"/>
          </w:tcPr>
          <w:p w14:paraId="203C928E" w14:textId="77777777" w:rsidR="00655E12" w:rsidRPr="009D7C32" w:rsidRDefault="00655E12" w:rsidP="00A6122B">
            <w:pPr>
              <w:pStyle w:val="ARtabletext"/>
              <w:spacing w:before="60" w:after="40"/>
            </w:pPr>
            <w:r w:rsidRPr="009D7C32">
              <w:t>Institute for Healthcare Improvement</w:t>
            </w:r>
          </w:p>
        </w:tc>
        <w:tc>
          <w:tcPr>
            <w:tcW w:w="1163" w:type="pct"/>
          </w:tcPr>
          <w:p w14:paraId="4ECF1DF0" w14:textId="6F618271" w:rsidR="00655E12" w:rsidRPr="009D7C32" w:rsidRDefault="00655E12" w:rsidP="00A6122B">
            <w:pPr>
              <w:pStyle w:val="ARtabletext"/>
              <w:spacing w:before="60" w:after="40"/>
            </w:pPr>
            <w:r w:rsidRPr="009D7C32">
              <w:t xml:space="preserve">Victorian </w:t>
            </w:r>
            <w:r>
              <w:t>p</w:t>
            </w:r>
            <w:r w:rsidRPr="009D7C32">
              <w:t xml:space="preserve">atient </w:t>
            </w:r>
            <w:r>
              <w:t>s</w:t>
            </w:r>
            <w:r w:rsidRPr="009D7C32">
              <w:t xml:space="preserve">afety </w:t>
            </w:r>
            <w:r>
              <w:t>p</w:t>
            </w:r>
            <w:r w:rsidRPr="009D7C32">
              <w:t>rogram</w:t>
            </w:r>
          </w:p>
        </w:tc>
        <w:tc>
          <w:tcPr>
            <w:tcW w:w="722" w:type="pct"/>
          </w:tcPr>
          <w:p w14:paraId="7ABC5D8B" w14:textId="77777777" w:rsidR="00655E12" w:rsidRPr="009D7C32" w:rsidRDefault="00655E12" w:rsidP="00A6122B">
            <w:pPr>
              <w:pStyle w:val="ARtabletextright"/>
              <w:spacing w:before="60" w:after="40"/>
            </w:pPr>
            <w:r w:rsidRPr="009D7C32">
              <w:t>10,207,681</w:t>
            </w:r>
          </w:p>
        </w:tc>
        <w:tc>
          <w:tcPr>
            <w:tcW w:w="766" w:type="pct"/>
          </w:tcPr>
          <w:p w14:paraId="275DAA23" w14:textId="77777777" w:rsidR="00655E12" w:rsidRPr="009D7C32" w:rsidRDefault="00655E12" w:rsidP="00A6122B">
            <w:pPr>
              <w:pStyle w:val="ARtabletextright"/>
              <w:spacing w:before="60" w:after="40"/>
            </w:pPr>
            <w:r w:rsidRPr="009D7C32">
              <w:t>4,569,710</w:t>
            </w:r>
          </w:p>
        </w:tc>
        <w:tc>
          <w:tcPr>
            <w:tcW w:w="674" w:type="pct"/>
          </w:tcPr>
          <w:p w14:paraId="4F54D84E" w14:textId="77777777" w:rsidR="00655E12" w:rsidRPr="009D7C32" w:rsidRDefault="00655E12" w:rsidP="00A6122B">
            <w:pPr>
              <w:pStyle w:val="ARtabletextright"/>
              <w:spacing w:before="60" w:after="40"/>
            </w:pPr>
            <w:r w:rsidRPr="009D7C32">
              <w:t>0</w:t>
            </w:r>
          </w:p>
        </w:tc>
      </w:tr>
      <w:tr w:rsidR="00655E12" w:rsidRPr="00A34CB9" w14:paraId="3D4B19CB" w14:textId="77777777" w:rsidTr="00476F91">
        <w:tc>
          <w:tcPr>
            <w:tcW w:w="768" w:type="pct"/>
            <w:vMerge/>
          </w:tcPr>
          <w:p w14:paraId="2E8093A6" w14:textId="2A57235A" w:rsidR="00655E12" w:rsidRPr="009D7C32" w:rsidRDefault="00655E12" w:rsidP="009D7C32">
            <w:pPr>
              <w:pStyle w:val="ARtabletext"/>
            </w:pPr>
          </w:p>
        </w:tc>
        <w:tc>
          <w:tcPr>
            <w:tcW w:w="907" w:type="pct"/>
          </w:tcPr>
          <w:p w14:paraId="15AD0A4B" w14:textId="77777777" w:rsidR="00655E12" w:rsidRPr="009D7C32" w:rsidRDefault="00655E12" w:rsidP="00A6122B">
            <w:pPr>
              <w:pStyle w:val="ARtabletext"/>
              <w:spacing w:before="60" w:after="40"/>
            </w:pPr>
            <w:r w:rsidRPr="009D7C32">
              <w:t>Nous Group Pty Ltd</w:t>
            </w:r>
          </w:p>
        </w:tc>
        <w:tc>
          <w:tcPr>
            <w:tcW w:w="1163" w:type="pct"/>
          </w:tcPr>
          <w:p w14:paraId="2A70A18F" w14:textId="77777777" w:rsidR="00655E12" w:rsidRPr="009D7C32" w:rsidRDefault="00655E12" w:rsidP="00A6122B">
            <w:pPr>
              <w:pStyle w:val="ARtabletext"/>
              <w:spacing w:before="60" w:after="40"/>
            </w:pPr>
            <w:r w:rsidRPr="009D7C32">
              <w:t>Review, support strategic commissioning of community services</w:t>
            </w:r>
          </w:p>
        </w:tc>
        <w:tc>
          <w:tcPr>
            <w:tcW w:w="722" w:type="pct"/>
          </w:tcPr>
          <w:p w14:paraId="3DF2BB46" w14:textId="77777777" w:rsidR="00655E12" w:rsidRPr="009D7C32" w:rsidRDefault="00655E12" w:rsidP="00A6122B">
            <w:pPr>
              <w:pStyle w:val="ARtabletextright"/>
              <w:spacing w:before="60" w:after="40"/>
            </w:pPr>
            <w:r w:rsidRPr="009D7C32">
              <w:t>119,300</w:t>
            </w:r>
          </w:p>
        </w:tc>
        <w:tc>
          <w:tcPr>
            <w:tcW w:w="766" w:type="pct"/>
          </w:tcPr>
          <w:p w14:paraId="24073B7B" w14:textId="77777777" w:rsidR="00655E12" w:rsidRPr="009D7C32" w:rsidRDefault="00655E12" w:rsidP="00A6122B">
            <w:pPr>
              <w:pStyle w:val="ARtabletextright"/>
              <w:spacing w:before="60" w:after="40"/>
            </w:pPr>
            <w:r w:rsidRPr="009D7C32">
              <w:t>122,836</w:t>
            </w:r>
          </w:p>
        </w:tc>
        <w:tc>
          <w:tcPr>
            <w:tcW w:w="674" w:type="pct"/>
          </w:tcPr>
          <w:p w14:paraId="4481A95C" w14:textId="77777777" w:rsidR="00655E12" w:rsidRPr="009D7C32" w:rsidRDefault="00655E12" w:rsidP="00A6122B">
            <w:pPr>
              <w:pStyle w:val="ARtabletextright"/>
              <w:spacing w:before="60" w:after="40"/>
            </w:pPr>
            <w:r w:rsidRPr="009D7C32">
              <w:t>0</w:t>
            </w:r>
          </w:p>
        </w:tc>
      </w:tr>
      <w:tr w:rsidR="00655E12" w:rsidRPr="00A34CB9" w14:paraId="017897EA" w14:textId="77777777" w:rsidTr="00476F91">
        <w:tc>
          <w:tcPr>
            <w:tcW w:w="768" w:type="pct"/>
            <w:vMerge/>
          </w:tcPr>
          <w:p w14:paraId="052965C1" w14:textId="6BF3F122" w:rsidR="00655E12" w:rsidRPr="009D7C32" w:rsidRDefault="00655E12" w:rsidP="009D7C32">
            <w:pPr>
              <w:pStyle w:val="ARtabletext"/>
            </w:pPr>
          </w:p>
        </w:tc>
        <w:tc>
          <w:tcPr>
            <w:tcW w:w="907" w:type="pct"/>
          </w:tcPr>
          <w:p w14:paraId="20314AE6" w14:textId="77777777" w:rsidR="00655E12" w:rsidRPr="009D7C32" w:rsidRDefault="00655E12" w:rsidP="00A6122B">
            <w:pPr>
              <w:pStyle w:val="ARtabletext"/>
              <w:spacing w:before="60" w:after="40"/>
            </w:pPr>
            <w:r w:rsidRPr="009D7C32">
              <w:t>Sax Institute</w:t>
            </w:r>
          </w:p>
        </w:tc>
        <w:tc>
          <w:tcPr>
            <w:tcW w:w="1163" w:type="pct"/>
          </w:tcPr>
          <w:p w14:paraId="1E130C5C" w14:textId="0AD60F8E" w:rsidR="00655E12" w:rsidRPr="009D7C32" w:rsidRDefault="00655E12" w:rsidP="00A6122B">
            <w:pPr>
              <w:pStyle w:val="ARtabletext"/>
              <w:spacing w:before="60" w:after="40"/>
            </w:pPr>
            <w:r w:rsidRPr="009D7C32">
              <w:t xml:space="preserve">Evaluate, </w:t>
            </w:r>
            <w:r>
              <w:t>P</w:t>
            </w:r>
            <w:r w:rsidRPr="009D7C32">
              <w:t>lace-based suicide prevention trials</w:t>
            </w:r>
          </w:p>
        </w:tc>
        <w:tc>
          <w:tcPr>
            <w:tcW w:w="722" w:type="pct"/>
          </w:tcPr>
          <w:p w14:paraId="5BCDDEBE" w14:textId="77777777" w:rsidR="00655E12" w:rsidRPr="009D7C32" w:rsidRDefault="00655E12" w:rsidP="00A6122B">
            <w:pPr>
              <w:pStyle w:val="ARtabletextright"/>
              <w:spacing w:before="60" w:after="40"/>
            </w:pPr>
            <w:r w:rsidRPr="009D7C32">
              <w:t>898,841</w:t>
            </w:r>
          </w:p>
        </w:tc>
        <w:tc>
          <w:tcPr>
            <w:tcW w:w="766" w:type="pct"/>
          </w:tcPr>
          <w:p w14:paraId="03E6F725" w14:textId="77777777" w:rsidR="00655E12" w:rsidRPr="009D7C32" w:rsidRDefault="00655E12" w:rsidP="00A6122B">
            <w:pPr>
              <w:pStyle w:val="ARtabletextright"/>
              <w:spacing w:before="60" w:after="40"/>
            </w:pPr>
            <w:r w:rsidRPr="009D7C32">
              <w:t>216,181</w:t>
            </w:r>
          </w:p>
        </w:tc>
        <w:tc>
          <w:tcPr>
            <w:tcW w:w="674" w:type="pct"/>
          </w:tcPr>
          <w:p w14:paraId="4EA3EAEE" w14:textId="77777777" w:rsidR="00655E12" w:rsidRPr="009D7C32" w:rsidRDefault="00655E12" w:rsidP="00A6122B">
            <w:pPr>
              <w:pStyle w:val="ARtabletextright"/>
              <w:spacing w:before="60" w:after="40"/>
            </w:pPr>
            <w:r w:rsidRPr="009D7C32">
              <w:t>143,867</w:t>
            </w:r>
          </w:p>
        </w:tc>
      </w:tr>
      <w:tr w:rsidR="00655E12" w:rsidRPr="00A34CB9" w14:paraId="483FFCE5" w14:textId="77777777" w:rsidTr="00476F91">
        <w:tc>
          <w:tcPr>
            <w:tcW w:w="768" w:type="pct"/>
            <w:vMerge/>
          </w:tcPr>
          <w:p w14:paraId="0A688B42" w14:textId="0876A376" w:rsidR="00655E12" w:rsidRPr="009D7C32" w:rsidRDefault="00655E12" w:rsidP="009D7C32">
            <w:pPr>
              <w:pStyle w:val="ARtabletext"/>
            </w:pPr>
          </w:p>
        </w:tc>
        <w:tc>
          <w:tcPr>
            <w:tcW w:w="907" w:type="pct"/>
          </w:tcPr>
          <w:p w14:paraId="67B30CA3" w14:textId="77777777" w:rsidR="00655E12" w:rsidRPr="009D7C32" w:rsidRDefault="00655E12" w:rsidP="00A6122B">
            <w:pPr>
              <w:pStyle w:val="ARtabletext"/>
              <w:spacing w:before="60" w:after="40"/>
            </w:pPr>
            <w:r w:rsidRPr="009D7C32">
              <w:t>SGS Economics &amp; Planning Pty Ltd</w:t>
            </w:r>
          </w:p>
        </w:tc>
        <w:tc>
          <w:tcPr>
            <w:tcW w:w="1163" w:type="pct"/>
          </w:tcPr>
          <w:p w14:paraId="5AF8AE41" w14:textId="511F80A5" w:rsidR="00655E12" w:rsidRPr="009D7C32" w:rsidRDefault="00655E12" w:rsidP="00A6122B">
            <w:pPr>
              <w:pStyle w:val="ARtabletext"/>
              <w:spacing w:before="60" w:after="40"/>
            </w:pPr>
            <w:r w:rsidRPr="009D7C32">
              <w:t xml:space="preserve">Advice, </w:t>
            </w:r>
            <w:r>
              <w:t>R</w:t>
            </w:r>
            <w:r w:rsidRPr="009D7C32">
              <w:t>ates mechanisms, local government social housing</w:t>
            </w:r>
          </w:p>
        </w:tc>
        <w:tc>
          <w:tcPr>
            <w:tcW w:w="722" w:type="pct"/>
          </w:tcPr>
          <w:p w14:paraId="1141DE77" w14:textId="77777777" w:rsidR="00655E12" w:rsidRPr="009D7C32" w:rsidRDefault="00655E12" w:rsidP="00A6122B">
            <w:pPr>
              <w:pStyle w:val="ARtabletextright"/>
              <w:spacing w:before="60" w:after="40"/>
            </w:pPr>
            <w:r w:rsidRPr="009D7C32">
              <w:t>63,269</w:t>
            </w:r>
          </w:p>
        </w:tc>
        <w:tc>
          <w:tcPr>
            <w:tcW w:w="766" w:type="pct"/>
          </w:tcPr>
          <w:p w14:paraId="27002F75" w14:textId="77777777" w:rsidR="00655E12" w:rsidRPr="009D7C32" w:rsidRDefault="00655E12" w:rsidP="00A6122B">
            <w:pPr>
              <w:pStyle w:val="ARtabletextright"/>
              <w:spacing w:before="60" w:after="40"/>
            </w:pPr>
            <w:r w:rsidRPr="009D7C32">
              <w:t>38,500</w:t>
            </w:r>
          </w:p>
        </w:tc>
        <w:tc>
          <w:tcPr>
            <w:tcW w:w="674" w:type="pct"/>
          </w:tcPr>
          <w:p w14:paraId="4D296622" w14:textId="77777777" w:rsidR="00655E12" w:rsidRPr="009D7C32" w:rsidRDefault="00655E12" w:rsidP="00A6122B">
            <w:pPr>
              <w:pStyle w:val="ARtabletextright"/>
              <w:spacing w:before="60" w:after="40"/>
            </w:pPr>
            <w:r w:rsidRPr="009D7C32">
              <w:t>24,769</w:t>
            </w:r>
          </w:p>
        </w:tc>
      </w:tr>
      <w:tr w:rsidR="00655E12" w:rsidRPr="00A34CB9" w14:paraId="1213578E" w14:textId="77777777" w:rsidTr="00476F91">
        <w:tc>
          <w:tcPr>
            <w:tcW w:w="768" w:type="pct"/>
            <w:vMerge/>
          </w:tcPr>
          <w:p w14:paraId="59D5AF29" w14:textId="4A698DF4" w:rsidR="00655E12" w:rsidRPr="009D7C32" w:rsidRDefault="00655E12" w:rsidP="009D7C32">
            <w:pPr>
              <w:pStyle w:val="ARtabletext"/>
            </w:pPr>
          </w:p>
        </w:tc>
        <w:tc>
          <w:tcPr>
            <w:tcW w:w="907" w:type="pct"/>
          </w:tcPr>
          <w:p w14:paraId="75ADAD28" w14:textId="77777777" w:rsidR="00655E12" w:rsidRPr="009D7C32" w:rsidRDefault="00655E12" w:rsidP="00A6122B">
            <w:pPr>
              <w:pStyle w:val="ARtabletext"/>
              <w:spacing w:before="60" w:after="40"/>
            </w:pPr>
            <w:r w:rsidRPr="009D7C32">
              <w:t>The Systems School</w:t>
            </w:r>
          </w:p>
        </w:tc>
        <w:tc>
          <w:tcPr>
            <w:tcW w:w="1163" w:type="pct"/>
          </w:tcPr>
          <w:p w14:paraId="22D8BBA3" w14:textId="40970D69" w:rsidR="00655E12" w:rsidRPr="009D7C32" w:rsidRDefault="00655E12" w:rsidP="00A6122B">
            <w:pPr>
              <w:pStyle w:val="ARtabletext"/>
              <w:spacing w:before="60" w:after="40"/>
            </w:pPr>
            <w:r w:rsidRPr="009D7C32">
              <w:t xml:space="preserve">System expert, </w:t>
            </w:r>
            <w:r>
              <w:t>H</w:t>
            </w:r>
            <w:r w:rsidRPr="009D7C32">
              <w:t>omelessness evaluation</w:t>
            </w:r>
          </w:p>
        </w:tc>
        <w:tc>
          <w:tcPr>
            <w:tcW w:w="722" w:type="pct"/>
          </w:tcPr>
          <w:p w14:paraId="6FA32977" w14:textId="77777777" w:rsidR="00655E12" w:rsidRPr="009D7C32" w:rsidRDefault="00655E12" w:rsidP="00A6122B">
            <w:pPr>
              <w:pStyle w:val="ARtabletextright"/>
              <w:spacing w:before="60" w:after="40"/>
            </w:pPr>
            <w:r w:rsidRPr="009D7C32">
              <w:t>77,273</w:t>
            </w:r>
          </w:p>
        </w:tc>
        <w:tc>
          <w:tcPr>
            <w:tcW w:w="766" w:type="pct"/>
          </w:tcPr>
          <w:p w14:paraId="617A9E7C" w14:textId="77777777" w:rsidR="00655E12" w:rsidRPr="009D7C32" w:rsidRDefault="00655E12" w:rsidP="00A6122B">
            <w:pPr>
              <w:pStyle w:val="ARtabletextright"/>
              <w:spacing w:before="60" w:after="40"/>
            </w:pPr>
            <w:r w:rsidRPr="009D7C32">
              <w:t>50,160</w:t>
            </w:r>
          </w:p>
        </w:tc>
        <w:tc>
          <w:tcPr>
            <w:tcW w:w="674" w:type="pct"/>
          </w:tcPr>
          <w:p w14:paraId="381ED663" w14:textId="77777777" w:rsidR="00655E12" w:rsidRPr="009D7C32" w:rsidRDefault="00655E12" w:rsidP="00A6122B">
            <w:pPr>
              <w:pStyle w:val="ARtabletextright"/>
              <w:spacing w:before="60" w:after="40"/>
            </w:pPr>
            <w:r w:rsidRPr="009D7C32">
              <w:t>1,946</w:t>
            </w:r>
          </w:p>
        </w:tc>
      </w:tr>
    </w:tbl>
    <w:p w14:paraId="78032FC2" w14:textId="77777777" w:rsidR="006468E6" w:rsidRDefault="006468E6">
      <w:pPr>
        <w:rPr>
          <w:rFonts w:ascii="Arial" w:eastAsia="Times" w:hAnsi="Arial" w:cs="Arial"/>
          <w:sz w:val="20"/>
          <w:szCs w:val="24"/>
        </w:rPr>
      </w:pPr>
      <w:bookmarkStart w:id="528" w:name="_Ref21956847"/>
      <w:bookmarkStart w:id="529" w:name="_Toc54690789"/>
      <w:bookmarkEnd w:id="521"/>
      <w:r>
        <w:br w:type="page"/>
      </w:r>
    </w:p>
    <w:p w14:paraId="70C10419" w14:textId="6AF6F447" w:rsidR="00A25C17" w:rsidRPr="002029AF" w:rsidRDefault="00A25C17" w:rsidP="00AD0A93">
      <w:pPr>
        <w:pStyle w:val="Heading2"/>
        <w:spacing w:before="0"/>
      </w:pPr>
      <w:bookmarkStart w:id="530" w:name="_Ref84252230"/>
      <w:bookmarkStart w:id="531" w:name="_Toc85121274"/>
      <w:bookmarkStart w:id="532" w:name="_Toc85121619"/>
      <w:bookmarkStart w:id="533" w:name="_Toc86075602"/>
      <w:r>
        <w:lastRenderedPageBreak/>
        <w:t>I</w:t>
      </w:r>
      <w:r w:rsidRPr="002029AF">
        <w:t>nformation and communication technology expenditure</w:t>
      </w:r>
      <w:bookmarkEnd w:id="528"/>
      <w:bookmarkEnd w:id="529"/>
      <w:bookmarkEnd w:id="530"/>
      <w:bookmarkEnd w:id="531"/>
      <w:bookmarkEnd w:id="532"/>
      <w:bookmarkEnd w:id="533"/>
    </w:p>
    <w:p w14:paraId="37C714B7" w14:textId="68D1588D" w:rsidR="00A25C17" w:rsidRPr="002029AF" w:rsidRDefault="00A25C17" w:rsidP="00A25C17">
      <w:pPr>
        <w:pStyle w:val="ARbody"/>
      </w:pPr>
      <w:r w:rsidRPr="002029AF">
        <w:t>For the 20</w:t>
      </w:r>
      <w:r>
        <w:t>20</w:t>
      </w:r>
      <w:r w:rsidRPr="002029AF">
        <w:t>–2</w:t>
      </w:r>
      <w:r>
        <w:t>1</w:t>
      </w:r>
      <w:r w:rsidRPr="002029AF">
        <w:t xml:space="preserve"> reporting period, the department</w:t>
      </w:r>
      <w:r w:rsidR="007E782F">
        <w:t>s</w:t>
      </w:r>
      <w:r w:rsidRPr="002029AF">
        <w:t xml:space="preserve"> had a total </w:t>
      </w:r>
      <w:r>
        <w:t>i</w:t>
      </w:r>
      <w:r w:rsidRPr="004B37DF">
        <w:t xml:space="preserve">nformation and communication technology </w:t>
      </w:r>
      <w:r>
        <w:t>(</w:t>
      </w:r>
      <w:r w:rsidRPr="002029AF">
        <w:t>ICT</w:t>
      </w:r>
      <w:r>
        <w:t>)</w:t>
      </w:r>
      <w:r w:rsidRPr="002029AF">
        <w:t xml:space="preserve"> expenditure of $4</w:t>
      </w:r>
      <w:r>
        <w:t>64</w:t>
      </w:r>
      <w:r w:rsidRPr="002029AF">
        <w:t>,</w:t>
      </w:r>
      <w:r>
        <w:t>840</w:t>
      </w:r>
      <w:r w:rsidRPr="002029AF">
        <w:t>,</w:t>
      </w:r>
      <w:r>
        <w:t>471</w:t>
      </w:r>
      <w:r w:rsidRPr="002029AF">
        <w:t>.</w:t>
      </w:r>
      <w:r w:rsidR="00A6122B" w:rsidRPr="00A6122B">
        <w:rPr>
          <w:rStyle w:val="FootnoteReference"/>
        </w:rPr>
        <w:t>(</w:t>
      </w:r>
      <w:r w:rsidR="00A6122B">
        <w:rPr>
          <w:rStyle w:val="FootnoteReference"/>
        </w:rPr>
        <w:footnoteReference w:id="41"/>
      </w:r>
      <w:r w:rsidR="00A6122B" w:rsidRPr="00A6122B">
        <w:rPr>
          <w:rStyle w:val="FootnoteReference"/>
        </w:rPr>
        <w:t>)</w:t>
      </w:r>
      <w:r w:rsidRPr="002029AF">
        <w:t xml:space="preserve"> The details are shown below.</w:t>
      </w:r>
    </w:p>
    <w:tbl>
      <w:tblPr>
        <w:tblW w:w="9634"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20" w:firstRow="1" w:lastRow="0" w:firstColumn="0" w:lastColumn="0" w:noHBand="1" w:noVBand="1"/>
      </w:tblPr>
      <w:tblGrid>
        <w:gridCol w:w="2474"/>
        <w:gridCol w:w="2450"/>
        <w:gridCol w:w="2449"/>
        <w:gridCol w:w="2261"/>
      </w:tblGrid>
      <w:tr w:rsidR="00A25C17" w:rsidRPr="002029AF" w14:paraId="6AF3DB56" w14:textId="77777777" w:rsidTr="007126D4">
        <w:trPr>
          <w:cantSplit/>
          <w:tblHeader/>
        </w:trPr>
        <w:tc>
          <w:tcPr>
            <w:tcW w:w="2474" w:type="dxa"/>
            <w:shd w:val="clear" w:color="auto" w:fill="FFFFFF" w:themeFill="background1"/>
            <w:noWrap/>
            <w:vAlign w:val="bottom"/>
          </w:tcPr>
          <w:p w14:paraId="6B727E07" w14:textId="77777777" w:rsidR="00A25C17" w:rsidRPr="002029AF" w:rsidRDefault="00A25C17" w:rsidP="003B32C4">
            <w:pPr>
              <w:pStyle w:val="ARtablecolhead"/>
              <w:spacing w:after="80"/>
              <w:rPr>
                <w:i/>
                <w:color w:val="FFFFFF" w:themeColor="background1"/>
                <w:lang w:eastAsia="en-AU"/>
              </w:rPr>
            </w:pPr>
          </w:p>
        </w:tc>
        <w:tc>
          <w:tcPr>
            <w:tcW w:w="7160" w:type="dxa"/>
            <w:gridSpan w:val="3"/>
            <w:shd w:val="clear" w:color="auto" w:fill="FFFFFF" w:themeFill="background1"/>
            <w:noWrap/>
            <w:vAlign w:val="bottom"/>
          </w:tcPr>
          <w:p w14:paraId="2259D2AC" w14:textId="5D64BC3E" w:rsidR="00A25C17" w:rsidRPr="002029AF" w:rsidRDefault="00A25C17" w:rsidP="003B32C4">
            <w:pPr>
              <w:pStyle w:val="ARtablecolhead"/>
              <w:spacing w:after="80"/>
              <w:jc w:val="right"/>
              <w:rPr>
                <w:lang w:eastAsia="en-AU"/>
              </w:rPr>
            </w:pPr>
            <w:r w:rsidRPr="002029AF">
              <w:rPr>
                <w:lang w:eastAsia="en-AU"/>
              </w:rPr>
              <w:t>($</w:t>
            </w:r>
            <w:r w:rsidR="007D145B">
              <w:rPr>
                <w:lang w:eastAsia="en-AU"/>
              </w:rPr>
              <w:t>’</w:t>
            </w:r>
            <w:r w:rsidRPr="002029AF">
              <w:rPr>
                <w:lang w:eastAsia="en-AU"/>
              </w:rPr>
              <w:t>000)</w:t>
            </w:r>
          </w:p>
        </w:tc>
      </w:tr>
      <w:tr w:rsidR="00A25C17" w:rsidRPr="002029AF" w14:paraId="6ED1BE68" w14:textId="77777777" w:rsidTr="007126D4">
        <w:trPr>
          <w:cantSplit/>
          <w:tblHeader/>
        </w:trPr>
        <w:tc>
          <w:tcPr>
            <w:tcW w:w="2474" w:type="dxa"/>
            <w:shd w:val="clear" w:color="auto" w:fill="FFFFFF" w:themeFill="background1"/>
            <w:noWrap/>
            <w:vAlign w:val="bottom"/>
          </w:tcPr>
          <w:p w14:paraId="28325DB1" w14:textId="77777777" w:rsidR="00A25C17" w:rsidRPr="002029AF" w:rsidRDefault="00A25C17" w:rsidP="003B32C4">
            <w:pPr>
              <w:pStyle w:val="ARtablecolhead"/>
              <w:spacing w:after="80"/>
            </w:pPr>
            <w:r w:rsidRPr="002029AF">
              <w:t>All operational ICT expenditure</w:t>
            </w:r>
          </w:p>
        </w:tc>
        <w:tc>
          <w:tcPr>
            <w:tcW w:w="7160" w:type="dxa"/>
            <w:gridSpan w:val="3"/>
            <w:shd w:val="clear" w:color="auto" w:fill="FFFFFF" w:themeFill="background1"/>
            <w:noWrap/>
            <w:vAlign w:val="bottom"/>
          </w:tcPr>
          <w:p w14:paraId="2F41150F" w14:textId="77777777" w:rsidR="00A25C17" w:rsidRPr="002029AF" w:rsidRDefault="00A25C17" w:rsidP="003B32C4">
            <w:pPr>
              <w:pStyle w:val="ARtablecolheadright"/>
              <w:spacing w:after="80"/>
            </w:pPr>
            <w:r w:rsidRPr="002029AF">
              <w:t>ICT expenditure related to projects to create or enhance ICT capabilities</w:t>
            </w:r>
          </w:p>
        </w:tc>
      </w:tr>
      <w:tr w:rsidR="00A25C17" w:rsidRPr="002029AF" w14:paraId="622ADD75" w14:textId="77777777" w:rsidTr="007126D4">
        <w:trPr>
          <w:cantSplit/>
          <w:tblHeader/>
        </w:trPr>
        <w:tc>
          <w:tcPr>
            <w:tcW w:w="2474" w:type="dxa"/>
            <w:shd w:val="clear" w:color="auto" w:fill="FFFFFF" w:themeFill="background1"/>
            <w:noWrap/>
            <w:vAlign w:val="bottom"/>
          </w:tcPr>
          <w:p w14:paraId="7F829370" w14:textId="77777777" w:rsidR="00A25C17" w:rsidRPr="002029AF" w:rsidRDefault="00A25C17" w:rsidP="003B32C4">
            <w:pPr>
              <w:pStyle w:val="ARtablecolhead"/>
              <w:spacing w:after="80"/>
            </w:pPr>
            <w:r w:rsidRPr="002029AF">
              <w:t>Business as usual (BAU) ICT expenditure</w:t>
            </w:r>
          </w:p>
        </w:tc>
        <w:tc>
          <w:tcPr>
            <w:tcW w:w="2450" w:type="dxa"/>
            <w:shd w:val="clear" w:color="auto" w:fill="FFFFFF" w:themeFill="background1"/>
            <w:noWrap/>
            <w:vAlign w:val="bottom"/>
          </w:tcPr>
          <w:p w14:paraId="4F5F3309" w14:textId="36720B30" w:rsidR="00A25C17" w:rsidRPr="002029AF" w:rsidRDefault="00A25C17" w:rsidP="003B32C4">
            <w:pPr>
              <w:pStyle w:val="ARtablecolheadright"/>
              <w:spacing w:after="80"/>
            </w:pPr>
            <w:r w:rsidRPr="002029AF">
              <w:t>Non-BAU ICT expenditure</w:t>
            </w:r>
          </w:p>
        </w:tc>
        <w:tc>
          <w:tcPr>
            <w:tcW w:w="2449" w:type="dxa"/>
            <w:shd w:val="clear" w:color="auto" w:fill="FFFFFF" w:themeFill="background1"/>
            <w:noWrap/>
            <w:vAlign w:val="bottom"/>
          </w:tcPr>
          <w:p w14:paraId="1235CA25" w14:textId="77777777" w:rsidR="00A25C17" w:rsidRPr="002029AF" w:rsidRDefault="00A25C17" w:rsidP="003B32C4">
            <w:pPr>
              <w:pStyle w:val="ARtablecolheadright"/>
              <w:spacing w:after="80"/>
            </w:pPr>
            <w:r w:rsidRPr="002029AF">
              <w:t xml:space="preserve">Operational </w:t>
            </w:r>
            <w:r w:rsidRPr="002029AF">
              <w:br/>
              <w:t>expenditure</w:t>
            </w:r>
          </w:p>
        </w:tc>
        <w:tc>
          <w:tcPr>
            <w:tcW w:w="2261" w:type="dxa"/>
            <w:shd w:val="clear" w:color="auto" w:fill="FFFFFF" w:themeFill="background1"/>
            <w:noWrap/>
            <w:vAlign w:val="bottom"/>
          </w:tcPr>
          <w:p w14:paraId="3498BA2B" w14:textId="77777777" w:rsidR="00A25C17" w:rsidRPr="002029AF" w:rsidRDefault="00A25C17" w:rsidP="003B32C4">
            <w:pPr>
              <w:pStyle w:val="ARtablecolheadright"/>
              <w:spacing w:after="80"/>
            </w:pPr>
            <w:r w:rsidRPr="002029AF">
              <w:t xml:space="preserve">Capital </w:t>
            </w:r>
            <w:r w:rsidRPr="002029AF">
              <w:br/>
              <w:t>expenditure</w:t>
            </w:r>
          </w:p>
        </w:tc>
      </w:tr>
      <w:tr w:rsidR="00A25C17" w:rsidRPr="002029AF" w14:paraId="35E1A33F" w14:textId="77777777" w:rsidTr="007126D4">
        <w:trPr>
          <w:cantSplit/>
          <w:tblHeader/>
        </w:trPr>
        <w:tc>
          <w:tcPr>
            <w:tcW w:w="2474" w:type="dxa"/>
            <w:shd w:val="clear" w:color="auto" w:fill="auto"/>
            <w:noWrap/>
            <w:vAlign w:val="bottom"/>
            <w:hideMark/>
          </w:tcPr>
          <w:p w14:paraId="217EC98B" w14:textId="77777777" w:rsidR="00A25C17" w:rsidRPr="002029AF" w:rsidRDefault="00A25C17" w:rsidP="003B32C4">
            <w:pPr>
              <w:pStyle w:val="ARtabletextright"/>
              <w:spacing w:after="80"/>
            </w:pPr>
            <w:r w:rsidRPr="002029AF">
              <w:t>(Total)</w:t>
            </w:r>
          </w:p>
        </w:tc>
        <w:tc>
          <w:tcPr>
            <w:tcW w:w="2450" w:type="dxa"/>
            <w:shd w:val="clear" w:color="auto" w:fill="auto"/>
            <w:noWrap/>
            <w:vAlign w:val="bottom"/>
            <w:hideMark/>
          </w:tcPr>
          <w:p w14:paraId="18068C86" w14:textId="77777777" w:rsidR="00A25C17" w:rsidRPr="002029AF" w:rsidRDefault="00A25C17" w:rsidP="003B32C4">
            <w:pPr>
              <w:pStyle w:val="ARtabletextright"/>
              <w:spacing w:after="80"/>
            </w:pPr>
            <w:r w:rsidRPr="002029AF">
              <w:t>(Total = operational expenditure and capital expenditure)</w:t>
            </w:r>
          </w:p>
        </w:tc>
        <w:tc>
          <w:tcPr>
            <w:tcW w:w="2449" w:type="dxa"/>
            <w:shd w:val="clear" w:color="auto" w:fill="auto"/>
            <w:noWrap/>
            <w:vAlign w:val="bottom"/>
            <w:hideMark/>
          </w:tcPr>
          <w:p w14:paraId="4E49BEE7" w14:textId="77777777" w:rsidR="00A25C17" w:rsidRPr="002029AF" w:rsidRDefault="00A25C17" w:rsidP="003B32C4">
            <w:pPr>
              <w:pStyle w:val="ARtabletextright"/>
              <w:spacing w:after="80"/>
              <w:rPr>
                <w:b/>
              </w:rPr>
            </w:pPr>
          </w:p>
        </w:tc>
        <w:tc>
          <w:tcPr>
            <w:tcW w:w="2261" w:type="dxa"/>
            <w:shd w:val="clear" w:color="auto" w:fill="auto"/>
            <w:noWrap/>
            <w:vAlign w:val="bottom"/>
            <w:hideMark/>
          </w:tcPr>
          <w:p w14:paraId="7E2D9608" w14:textId="77777777" w:rsidR="00A25C17" w:rsidRPr="002029AF" w:rsidRDefault="00A25C17" w:rsidP="003B32C4">
            <w:pPr>
              <w:pStyle w:val="ARtabletextright"/>
              <w:spacing w:after="80"/>
              <w:rPr>
                <w:b/>
              </w:rPr>
            </w:pPr>
          </w:p>
        </w:tc>
      </w:tr>
      <w:tr w:rsidR="00A25C17" w:rsidRPr="002029AF" w14:paraId="35C0D0F9" w14:textId="77777777" w:rsidTr="007126D4">
        <w:trPr>
          <w:cantSplit/>
          <w:trHeight w:val="300"/>
        </w:trPr>
        <w:tc>
          <w:tcPr>
            <w:tcW w:w="2474" w:type="dxa"/>
            <w:shd w:val="clear" w:color="auto" w:fill="auto"/>
            <w:noWrap/>
            <w:hideMark/>
          </w:tcPr>
          <w:p w14:paraId="2C4088EC" w14:textId="77777777" w:rsidR="00A25C17" w:rsidRPr="002029AF" w:rsidRDefault="00A25C17" w:rsidP="003B32C4">
            <w:pPr>
              <w:pStyle w:val="ARtabletextright"/>
              <w:spacing w:after="80"/>
            </w:pPr>
            <w:r w:rsidRPr="002029AF">
              <w:t>$</w:t>
            </w:r>
            <w:r>
              <w:t>305,221</w:t>
            </w:r>
          </w:p>
        </w:tc>
        <w:tc>
          <w:tcPr>
            <w:tcW w:w="2450" w:type="dxa"/>
            <w:shd w:val="clear" w:color="auto" w:fill="auto"/>
            <w:noWrap/>
            <w:hideMark/>
          </w:tcPr>
          <w:p w14:paraId="42D181D4" w14:textId="77777777" w:rsidR="00A25C17" w:rsidRPr="002029AF" w:rsidRDefault="00A25C17" w:rsidP="003B32C4">
            <w:pPr>
              <w:pStyle w:val="ARtabletextright"/>
              <w:spacing w:after="80"/>
            </w:pPr>
            <w:r w:rsidRPr="002029AF">
              <w:t>$</w:t>
            </w:r>
            <w:r>
              <w:t>159</w:t>
            </w:r>
            <w:r w:rsidRPr="002029AF">
              <w:t>,</w:t>
            </w:r>
            <w:r>
              <w:t>619</w:t>
            </w:r>
          </w:p>
        </w:tc>
        <w:tc>
          <w:tcPr>
            <w:tcW w:w="2449" w:type="dxa"/>
            <w:shd w:val="clear" w:color="auto" w:fill="auto"/>
            <w:noWrap/>
            <w:hideMark/>
          </w:tcPr>
          <w:p w14:paraId="7A6E6F6A" w14:textId="77777777" w:rsidR="00A25C17" w:rsidRPr="002029AF" w:rsidRDefault="00A25C17" w:rsidP="003B32C4">
            <w:pPr>
              <w:pStyle w:val="ARtabletextright"/>
              <w:spacing w:after="80"/>
            </w:pPr>
            <w:r w:rsidRPr="002029AF">
              <w:t>$</w:t>
            </w:r>
            <w:r>
              <w:t>71</w:t>
            </w:r>
            <w:r w:rsidRPr="002029AF">
              <w:t>,</w:t>
            </w:r>
            <w:r>
              <w:t>135</w:t>
            </w:r>
          </w:p>
        </w:tc>
        <w:tc>
          <w:tcPr>
            <w:tcW w:w="2261" w:type="dxa"/>
            <w:shd w:val="clear" w:color="auto" w:fill="auto"/>
            <w:noWrap/>
            <w:hideMark/>
          </w:tcPr>
          <w:p w14:paraId="79B527B2" w14:textId="77777777" w:rsidR="00A25C17" w:rsidRPr="002029AF" w:rsidRDefault="00A25C17" w:rsidP="003B32C4">
            <w:pPr>
              <w:pStyle w:val="ARtabletextright"/>
              <w:spacing w:after="80"/>
            </w:pPr>
            <w:r w:rsidRPr="002029AF">
              <w:t>$</w:t>
            </w:r>
            <w:r>
              <w:t>88</w:t>
            </w:r>
            <w:r w:rsidRPr="002029AF">
              <w:t>,</w:t>
            </w:r>
            <w:r>
              <w:t>484</w:t>
            </w:r>
          </w:p>
        </w:tc>
      </w:tr>
    </w:tbl>
    <w:p w14:paraId="411DBD4B" w14:textId="36A2E072" w:rsidR="00A25C17" w:rsidRPr="002029AF" w:rsidRDefault="00A25C17" w:rsidP="00A25C17">
      <w:pPr>
        <w:pStyle w:val="ARtablefootnote"/>
      </w:pPr>
      <w:r w:rsidRPr="002029AF">
        <w:t>ICT expenditure refers to the departments</w:t>
      </w:r>
      <w:r w:rsidR="007D145B">
        <w:t>’</w:t>
      </w:r>
      <w:r w:rsidRPr="002029AF">
        <w:t xml:space="preserve"> costs in providing business-enabling ICT services within the current reporting period. It</w:t>
      </w:r>
      <w:r>
        <w:t> </w:t>
      </w:r>
      <w:r w:rsidRPr="002029AF">
        <w:t>comprises BAU ICT expenditure and non-BAU ICT expenditure.</w:t>
      </w:r>
    </w:p>
    <w:p w14:paraId="2CF3C21C" w14:textId="278AB223" w:rsidR="00A25C17" w:rsidRPr="002029AF" w:rsidRDefault="00A25C17" w:rsidP="00A25C17">
      <w:pPr>
        <w:pStyle w:val="ARtablefootnote"/>
      </w:pPr>
      <w:r w:rsidRPr="002029AF">
        <w:t xml:space="preserve">Non-BAU ICT expenditure relates to extending or enhancing the </w:t>
      </w:r>
      <w:r w:rsidR="00B9423A" w:rsidRPr="002029AF">
        <w:t>department</w:t>
      </w:r>
      <w:r w:rsidR="00B9423A">
        <w:t>s</w:t>
      </w:r>
      <w:r w:rsidR="007D145B">
        <w:t>’</w:t>
      </w:r>
      <w:r w:rsidRPr="002029AF">
        <w:t xml:space="preserve"> current ICT capabilities.</w:t>
      </w:r>
    </w:p>
    <w:p w14:paraId="22A35E0D" w14:textId="5705B3E5" w:rsidR="00BE779E" w:rsidRDefault="00A25C17" w:rsidP="00D70F90">
      <w:pPr>
        <w:pStyle w:val="ARtablefootnote"/>
        <w:spacing w:after="400"/>
      </w:pPr>
      <w:r w:rsidRPr="002029AF">
        <w:t>BAU ICT expenditure is all remaining ICT expenditure, which primarily relates to ongoing activities to operate and maintain the current ICT capability.</w:t>
      </w:r>
      <w:bookmarkStart w:id="534" w:name="_Ref492895142"/>
      <w:bookmarkStart w:id="535" w:name="_Toc54690790"/>
    </w:p>
    <w:p w14:paraId="4F75D5A3" w14:textId="06346214" w:rsidR="00BE779E" w:rsidRPr="0003604F" w:rsidRDefault="00BE779E" w:rsidP="00D70F90">
      <w:pPr>
        <w:pStyle w:val="ARtablefootnote"/>
        <w:spacing w:after="400"/>
        <w:sectPr w:rsidR="00BE779E" w:rsidRPr="0003604F" w:rsidSect="004901DE">
          <w:headerReference w:type="default" r:id="rId85"/>
          <w:headerReference w:type="first" r:id="rId86"/>
          <w:footerReference w:type="first" r:id="rId87"/>
          <w:footnotePr>
            <w:numFmt w:val="lowerLetter"/>
            <w:numRestart w:val="eachPage"/>
          </w:footnotePr>
          <w:endnotePr>
            <w:numFmt w:val="decimal"/>
          </w:endnotePr>
          <w:type w:val="continuous"/>
          <w:pgSz w:w="11900" w:h="16840" w:code="9"/>
          <w:pgMar w:top="1985" w:right="1134" w:bottom="851" w:left="1134" w:header="510" w:footer="340" w:gutter="0"/>
          <w:cols w:space="454"/>
          <w:docGrid w:linePitch="299"/>
        </w:sectPr>
      </w:pPr>
    </w:p>
    <w:p w14:paraId="5FF59335" w14:textId="4A42F60D" w:rsidR="00A25C17" w:rsidRPr="003379F7" w:rsidRDefault="00A25C17" w:rsidP="00897193">
      <w:pPr>
        <w:pStyle w:val="Heading2"/>
        <w:rPr>
          <w:rFonts w:cs="Arial"/>
        </w:rPr>
      </w:pPr>
      <w:bookmarkStart w:id="536" w:name="_Ref21956605"/>
      <w:bookmarkStart w:id="537" w:name="_Toc54690784"/>
      <w:bookmarkStart w:id="538" w:name="_Ref84240793"/>
      <w:bookmarkStart w:id="539" w:name="_Toc85121275"/>
      <w:bookmarkStart w:id="540" w:name="_Toc85121620"/>
      <w:bookmarkStart w:id="541" w:name="_Toc86075603"/>
      <w:bookmarkStart w:id="542" w:name="_Ref492895235"/>
      <w:bookmarkEnd w:id="534"/>
      <w:bookmarkEnd w:id="535"/>
      <w:r w:rsidRPr="003379F7">
        <w:rPr>
          <w:rFonts w:cs="Arial"/>
        </w:rPr>
        <w:t>Compliance with the Building</w:t>
      </w:r>
      <w:r w:rsidR="00553B72">
        <w:rPr>
          <w:rFonts w:cs="Arial"/>
        </w:rPr>
        <w:t> </w:t>
      </w:r>
      <w:r w:rsidRPr="003379F7">
        <w:rPr>
          <w:rFonts w:cs="Arial"/>
        </w:rPr>
        <w:t>Act 1993</w:t>
      </w:r>
      <w:bookmarkEnd w:id="536"/>
      <w:bookmarkEnd w:id="537"/>
      <w:bookmarkEnd w:id="538"/>
      <w:bookmarkEnd w:id="539"/>
      <w:bookmarkEnd w:id="540"/>
      <w:bookmarkEnd w:id="541"/>
    </w:p>
    <w:p w14:paraId="6B1D48DE" w14:textId="77777777" w:rsidR="00A25C17" w:rsidRPr="00790D53" w:rsidRDefault="00A25C17" w:rsidP="00A25C17">
      <w:pPr>
        <w:pStyle w:val="ARbody"/>
      </w:pPr>
      <w:r w:rsidRPr="00790D53">
        <w:t xml:space="preserve">The department requires that appropriately qualified consultants and contractors are engaged for all proposed works on land controlled by the department or a health service agency, and that their work and services comply with current building standards. All such consultants and contractors are expected to have appropriate mechanisms in place to ensure compliance with the building and maintenance provisions of the </w:t>
      </w:r>
      <w:r w:rsidRPr="00CD5EFA">
        <w:rPr>
          <w:i/>
          <w:iCs/>
        </w:rPr>
        <w:t>Building Act 1993</w:t>
      </w:r>
      <w:r w:rsidRPr="00790D53">
        <w:t>.</w:t>
      </w:r>
    </w:p>
    <w:p w14:paraId="5D816D13" w14:textId="77777777" w:rsidR="00A25C17" w:rsidRPr="00790D53" w:rsidRDefault="00A25C17" w:rsidP="00A25C17">
      <w:pPr>
        <w:pStyle w:val="ARbody"/>
      </w:pPr>
      <w:r w:rsidRPr="00790D53">
        <w:t>The department continues to liaise with and contribute to the progress and outcomes of Cladding Safety Victoria for department-owned buildings. Relevant buildings owned by the department have been audited against the risk framework originally developed by the Victorian Cladding Taskforce and where non-compliant cladding has been discovered, assessed against that framework for a risk rating derived from one of the four risk categories.</w:t>
      </w:r>
    </w:p>
    <w:p w14:paraId="494258A1" w14:textId="722C842D" w:rsidR="00A25C17" w:rsidRPr="00790D53" w:rsidRDefault="00A25C17" w:rsidP="00A25C17">
      <w:pPr>
        <w:pStyle w:val="ARbody"/>
      </w:pPr>
      <w:r w:rsidRPr="00790D53">
        <w:t>These buildings are now being progressively rectified and/or remediated in accordance with that risk ranking and as resources and funding allow.</w:t>
      </w:r>
    </w:p>
    <w:p w14:paraId="5560BFD1" w14:textId="76D48271" w:rsidR="00A25C17" w:rsidRPr="003379F7" w:rsidRDefault="004330D7" w:rsidP="004330D7">
      <w:pPr>
        <w:pStyle w:val="Heading2"/>
        <w:spacing w:before="0"/>
        <w:rPr>
          <w:rFonts w:cs="Arial"/>
        </w:rPr>
      </w:pPr>
      <w:bookmarkStart w:id="543" w:name="_Ref21956612"/>
      <w:bookmarkStart w:id="544" w:name="_Toc54690786"/>
      <w:bookmarkStart w:id="545" w:name="_Toc85121276"/>
      <w:bookmarkStart w:id="546" w:name="_Toc85121621"/>
      <w:bookmarkEnd w:id="542"/>
      <w:r>
        <w:rPr>
          <w:rFonts w:cs="Arial"/>
        </w:rPr>
        <w:br w:type="column"/>
      </w:r>
      <w:bookmarkStart w:id="547" w:name="_Ref85615953"/>
      <w:bookmarkStart w:id="548" w:name="_Toc86075604"/>
      <w:r w:rsidR="00A25C17" w:rsidRPr="003379F7">
        <w:rPr>
          <w:rFonts w:cs="Arial"/>
        </w:rPr>
        <w:t>Competitive neutrality policy</w:t>
      </w:r>
      <w:bookmarkEnd w:id="543"/>
      <w:bookmarkEnd w:id="544"/>
      <w:bookmarkEnd w:id="545"/>
      <w:bookmarkEnd w:id="546"/>
      <w:bookmarkEnd w:id="547"/>
      <w:bookmarkEnd w:id="548"/>
    </w:p>
    <w:p w14:paraId="7BABA431" w14:textId="77777777" w:rsidR="00A25C17" w:rsidRDefault="00A25C17" w:rsidP="00A25C17">
      <w:pPr>
        <w:pStyle w:val="ARbody"/>
      </w:pPr>
      <w:r>
        <w:t>The following includes information related to the former Department of Health and Human Services, the current Department of Health and the current Department of Families, Fairness and Housing.</w:t>
      </w:r>
    </w:p>
    <w:p w14:paraId="02C6E1E4" w14:textId="0CE4AA30" w:rsidR="00A25C17" w:rsidRDefault="00A25C17" w:rsidP="00A25C17">
      <w:pPr>
        <w:pStyle w:val="ARbody"/>
      </w:pPr>
      <w:r>
        <w:t>Competitive neutrality requires government businesses to ensure where services compete, or</w:t>
      </w:r>
      <w:r w:rsidR="00553B72">
        <w:t> </w:t>
      </w:r>
      <w:r>
        <w:t>potentially compete with the private sector, any advantage arising solely from their government ownership be removed if it is not in the public interest. Government businesses are required to</w:t>
      </w:r>
      <w:r w:rsidR="00553B72">
        <w:t> </w:t>
      </w:r>
      <w:r>
        <w:t xml:space="preserve">cost and price these services as if they were privately owned. Competitive neutrality policy supports fair competition between public and private businesses and provides government businesses with a tool to enhance </w:t>
      </w:r>
      <w:r w:rsidRPr="003055BA">
        <w:t>decisions</w:t>
      </w:r>
      <w:r>
        <w:t xml:space="preserve"> on resource allocation. This policy does not override other policy objectives of government and focuses on efficiency in the provision of service.</w:t>
      </w:r>
    </w:p>
    <w:p w14:paraId="261047C5" w14:textId="6BADB474" w:rsidR="0019053A" w:rsidRDefault="00A25C17" w:rsidP="00A25C17">
      <w:pPr>
        <w:pStyle w:val="ARbody"/>
      </w:pPr>
      <w:r>
        <w:t>The departments ensure Victoria fulfils its requirements on competitive neutrality reporting as</w:t>
      </w:r>
      <w:r w:rsidR="00553B72">
        <w:t> </w:t>
      </w:r>
      <w:r>
        <w:t>required under the Competition Principles Agreement and Competition and Infrastructure Reform Agreement.</w:t>
      </w:r>
    </w:p>
    <w:p w14:paraId="651CC17F" w14:textId="77777777" w:rsidR="004330D7" w:rsidRDefault="004330D7" w:rsidP="004330D7">
      <w:pPr>
        <w:pStyle w:val="ARbody"/>
      </w:pPr>
      <w:bookmarkStart w:id="549" w:name="_Toc85121277"/>
      <w:bookmarkStart w:id="550" w:name="_Toc85121622"/>
      <w:r>
        <w:br w:type="page"/>
      </w:r>
    </w:p>
    <w:p w14:paraId="2D73204D" w14:textId="1233B7BE" w:rsidR="00521B15" w:rsidRPr="003379F7" w:rsidRDefault="00521B15" w:rsidP="00521B15">
      <w:pPr>
        <w:pStyle w:val="Heading2"/>
        <w:spacing w:before="0"/>
      </w:pPr>
      <w:bookmarkStart w:id="551" w:name="_Ref85202889"/>
      <w:bookmarkStart w:id="552" w:name="_Ref85203428"/>
      <w:bookmarkStart w:id="553" w:name="_Toc86075605"/>
      <w:r w:rsidRPr="003379F7">
        <w:lastRenderedPageBreak/>
        <w:t>Freedom of information</w:t>
      </w:r>
      <w:bookmarkEnd w:id="549"/>
      <w:bookmarkEnd w:id="550"/>
      <w:bookmarkEnd w:id="551"/>
      <w:bookmarkEnd w:id="552"/>
      <w:bookmarkEnd w:id="553"/>
    </w:p>
    <w:p w14:paraId="34AB0636" w14:textId="77777777" w:rsidR="00521B15" w:rsidRPr="00A9686F" w:rsidRDefault="00521B15" w:rsidP="00521B15">
      <w:pPr>
        <w:pStyle w:val="ARbody"/>
      </w:pPr>
      <w:r w:rsidRPr="002029AF">
        <w:t xml:space="preserve">The </w:t>
      </w:r>
      <w:r w:rsidRPr="002029AF">
        <w:rPr>
          <w:i/>
          <w:iCs/>
        </w:rPr>
        <w:t>Freedom of Information Act 1982</w:t>
      </w:r>
      <w:r w:rsidRPr="002029AF">
        <w:t xml:space="preserve"> aims to extend as far as possible the right of the community to access information held b</w:t>
      </w:r>
      <w:r w:rsidRPr="006514A9">
        <w:t>y the Victorian Government a</w:t>
      </w:r>
      <w:r w:rsidRPr="00A9686F">
        <w:t>nd other bodies subject to the Act.</w:t>
      </w:r>
    </w:p>
    <w:p w14:paraId="201A1019" w14:textId="77777777" w:rsidR="00521B15" w:rsidRPr="00A9686F" w:rsidRDefault="00521B15" w:rsidP="00521B15">
      <w:pPr>
        <w:pStyle w:val="ARbody"/>
      </w:pPr>
      <w:r w:rsidRPr="00A9686F">
        <w:t>The Act allows the department to refuse access, either fully or partially, to certain documents or information. Examples of documents that may not be accessed include Cabinet documents, some internal working documents, law enforcement documents, documents covered by legal professional privilege, such as legal advice, personal information about other people, and documents relating to trade secrets.</w:t>
      </w:r>
    </w:p>
    <w:p w14:paraId="22E857B1" w14:textId="77777777" w:rsidR="00521B15" w:rsidRPr="00A9686F" w:rsidRDefault="00521B15" w:rsidP="00521B15">
      <w:pPr>
        <w:pStyle w:val="ARbody"/>
      </w:pPr>
      <w:r w:rsidRPr="00A9686F">
        <w:t>The Act provides a 30-day period for processing requests. This time may be extended where consultation is required and by agreement with the applicant.</w:t>
      </w:r>
    </w:p>
    <w:p w14:paraId="4678D527" w14:textId="77777777" w:rsidR="00521B15" w:rsidRPr="002029AF" w:rsidRDefault="00521B15" w:rsidP="00521B15">
      <w:pPr>
        <w:pStyle w:val="ARbody"/>
      </w:pPr>
      <w:r w:rsidRPr="00A9686F">
        <w:t xml:space="preserve">If an applicant is not satisfied with a decision made by the department, including a decision regarding whether the application fee is to be waived, the applicant </w:t>
      </w:r>
      <w:r w:rsidRPr="002029AF">
        <w:t>has the right to seek a review by the Office of the Victorian Information Commissioner within 28 days of receiving a decision letter.</w:t>
      </w:r>
    </w:p>
    <w:p w14:paraId="24960752" w14:textId="77777777" w:rsidR="00521B15" w:rsidRPr="002029AF" w:rsidRDefault="00521B15" w:rsidP="004330D7">
      <w:pPr>
        <w:pStyle w:val="Heading3"/>
      </w:pPr>
      <w:bookmarkStart w:id="554" w:name="_Toc85121278"/>
      <w:r w:rsidRPr="002029AF">
        <w:t>Making a request</w:t>
      </w:r>
      <w:bookmarkEnd w:id="554"/>
    </w:p>
    <w:p w14:paraId="2AA39993" w14:textId="5E0DA4D8" w:rsidR="00521B15" w:rsidRPr="006514A9" w:rsidRDefault="00521B15" w:rsidP="00521B15">
      <w:pPr>
        <w:pStyle w:val="ARbody"/>
      </w:pPr>
      <w:r w:rsidRPr="002029AF">
        <w:rPr>
          <w:lang w:eastAsia="en-AU"/>
        </w:rPr>
        <w:t>Access to documents may be obtained through written req</w:t>
      </w:r>
      <w:r w:rsidRPr="006514A9">
        <w:t>uest to the department</w:t>
      </w:r>
      <w:r w:rsidR="007D145B">
        <w:t>’</w:t>
      </w:r>
      <w:r w:rsidRPr="006514A9">
        <w:t>s Freedom of Information Unit, pursuant to s. 17 of the Act.</w:t>
      </w:r>
    </w:p>
    <w:p w14:paraId="61476C80" w14:textId="77777777" w:rsidR="00521B15" w:rsidRPr="006514A9" w:rsidRDefault="00521B15" w:rsidP="00521B15">
      <w:pPr>
        <w:pStyle w:val="ARbody"/>
      </w:pPr>
      <w:r w:rsidRPr="006514A9">
        <w:t>In summary, the requirements for making a request are:</w:t>
      </w:r>
    </w:p>
    <w:p w14:paraId="0C1A4B03" w14:textId="77777777" w:rsidR="00521B15" w:rsidRPr="006514A9" w:rsidRDefault="00521B15" w:rsidP="00521B15">
      <w:pPr>
        <w:pStyle w:val="ARbullet1"/>
      </w:pPr>
      <w:r w:rsidRPr="002029AF">
        <w:rPr>
          <w:lang w:eastAsia="en-AU"/>
        </w:rPr>
        <w:t>it must</w:t>
      </w:r>
      <w:r w:rsidRPr="006514A9">
        <w:t xml:space="preserve"> be in writing</w:t>
      </w:r>
    </w:p>
    <w:p w14:paraId="67BC63C4" w14:textId="77777777" w:rsidR="00521B15" w:rsidRPr="006514A9" w:rsidRDefault="00521B15" w:rsidP="00521B15">
      <w:pPr>
        <w:pStyle w:val="ARbullet1"/>
      </w:pPr>
      <w:r w:rsidRPr="006514A9">
        <w:t>it should provide such information concerning the document as is reasonably necessary to enable identification of the document</w:t>
      </w:r>
    </w:p>
    <w:p w14:paraId="414C4074" w14:textId="77777777" w:rsidR="00521B15" w:rsidRPr="002029AF" w:rsidRDefault="00521B15" w:rsidP="00521B15">
      <w:pPr>
        <w:pStyle w:val="ARbullet1"/>
        <w:rPr>
          <w:lang w:eastAsia="en-AU"/>
        </w:rPr>
      </w:pPr>
      <w:r w:rsidRPr="006514A9">
        <w:t>it should be accompanied by the application fee of $30.10</w:t>
      </w:r>
      <w:r w:rsidRPr="002029AF">
        <w:rPr>
          <w:lang w:eastAsia="en-AU"/>
        </w:rPr>
        <w:t xml:space="preserve"> (the fee may be waived in certain circumstances).</w:t>
      </w:r>
    </w:p>
    <w:p w14:paraId="25516B59" w14:textId="77777777" w:rsidR="00521B15" w:rsidRPr="002029AF" w:rsidRDefault="00521B15" w:rsidP="00521B15">
      <w:pPr>
        <w:pStyle w:val="ARbodyafterbullets"/>
        <w:rPr>
          <w:lang w:eastAsia="en-AU"/>
        </w:rPr>
      </w:pPr>
      <w:r w:rsidRPr="002029AF">
        <w:rPr>
          <w:lang w:eastAsia="en-AU"/>
        </w:rPr>
        <w:t>Requests for documents in the possession of the department should be addressed to:</w:t>
      </w:r>
    </w:p>
    <w:p w14:paraId="3F8FFA91" w14:textId="77777777" w:rsidR="00521B15" w:rsidRPr="002029AF" w:rsidRDefault="00521B15" w:rsidP="00521B15">
      <w:pPr>
        <w:pStyle w:val="ARbodynospace"/>
        <w:jc w:val="both"/>
      </w:pPr>
      <w:r w:rsidRPr="002029AF">
        <w:t>Freedom of Information Unit</w:t>
      </w:r>
    </w:p>
    <w:p w14:paraId="118C6039" w14:textId="77777777" w:rsidR="00521B15" w:rsidRDefault="00521B15" w:rsidP="00521B15">
      <w:pPr>
        <w:pStyle w:val="ARbodynospace"/>
        <w:jc w:val="both"/>
      </w:pPr>
      <w:r w:rsidRPr="002029AF">
        <w:t>Department of Health</w:t>
      </w:r>
    </w:p>
    <w:p w14:paraId="5154327D" w14:textId="77777777" w:rsidR="00521B15" w:rsidRPr="002029AF" w:rsidRDefault="00521B15" w:rsidP="00521B15">
      <w:pPr>
        <w:pStyle w:val="ARbodynospace"/>
        <w:jc w:val="both"/>
      </w:pPr>
      <w:r w:rsidRPr="002029AF">
        <w:t>GPO Box 4057</w:t>
      </w:r>
    </w:p>
    <w:p w14:paraId="2621BFB3" w14:textId="77777777" w:rsidR="00521B15" w:rsidRPr="002029AF" w:rsidRDefault="00521B15" w:rsidP="00521B15">
      <w:pPr>
        <w:pStyle w:val="ARbody"/>
      </w:pPr>
      <w:r w:rsidRPr="002029AF">
        <w:t>Melbourne VIC 3001</w:t>
      </w:r>
    </w:p>
    <w:p w14:paraId="77C40B25" w14:textId="2D3E3A8A" w:rsidR="00521B15" w:rsidRDefault="0019053A" w:rsidP="00521B15">
      <w:pPr>
        <w:pStyle w:val="ARbody"/>
      </w:pPr>
      <w:r>
        <w:br w:type="column"/>
      </w:r>
      <w:r w:rsidR="00521B15" w:rsidRPr="002029AF">
        <w:t xml:space="preserve">Requests and payment of the application fee can also be lodged online </w:t>
      </w:r>
      <w:r w:rsidR="00553B72">
        <w:t>at</w:t>
      </w:r>
      <w:r w:rsidR="00521B15" w:rsidRPr="002029AF">
        <w:t xml:space="preserve"> the</w:t>
      </w:r>
      <w:r w:rsidR="00521B15">
        <w:t xml:space="preserve"> </w:t>
      </w:r>
      <w:hyperlink r:id="rId88" w:history="1">
        <w:r w:rsidR="00521B15" w:rsidRPr="00553B72">
          <w:rPr>
            <w:rStyle w:val="Hyperlink"/>
          </w:rPr>
          <w:t xml:space="preserve">Victorian </w:t>
        </w:r>
        <w:r w:rsidR="00553B72" w:rsidRPr="00553B72">
          <w:rPr>
            <w:rStyle w:val="Hyperlink"/>
          </w:rPr>
          <w:t>Freedom of Information Request</w:t>
        </w:r>
        <w:r w:rsidR="00521B15" w:rsidRPr="00553B72">
          <w:rPr>
            <w:rStyle w:val="Hyperlink"/>
          </w:rPr>
          <w:t xml:space="preserve"> Portal</w:t>
        </w:r>
      </w:hyperlink>
      <w:r w:rsidR="00521B15">
        <w:t xml:space="preserve"> &lt;</w:t>
      </w:r>
      <w:r w:rsidR="00521B15" w:rsidRPr="00553B72">
        <w:t>https://online.foi.vic.gov.au/foi/request.doj</w:t>
      </w:r>
      <w:r w:rsidR="00521B15">
        <w:t>&gt;</w:t>
      </w:r>
    </w:p>
    <w:p w14:paraId="36EC7178" w14:textId="47589DDE" w:rsidR="00521B15" w:rsidRPr="00B95D52" w:rsidRDefault="00521B15" w:rsidP="00521B15">
      <w:pPr>
        <w:pStyle w:val="ARbody"/>
      </w:pPr>
      <w:r>
        <w:t>E</w:t>
      </w:r>
      <w:r w:rsidRPr="00B95D52">
        <w:t xml:space="preserve">nquiries can be made </w:t>
      </w:r>
      <w:r w:rsidR="009449E6">
        <w:t xml:space="preserve">by </w:t>
      </w:r>
      <w:hyperlink r:id="rId89" w:history="1">
        <w:r w:rsidR="009449E6" w:rsidRPr="009449E6">
          <w:rPr>
            <w:rStyle w:val="Hyperlink"/>
          </w:rPr>
          <w:t>emailing the Freedom of</w:t>
        </w:r>
        <w:r w:rsidR="009449E6">
          <w:rPr>
            <w:rStyle w:val="Hyperlink"/>
          </w:rPr>
          <w:t> </w:t>
        </w:r>
        <w:r w:rsidR="009449E6" w:rsidRPr="009449E6">
          <w:rPr>
            <w:rStyle w:val="Hyperlink"/>
          </w:rPr>
          <w:t>Information Unit</w:t>
        </w:r>
      </w:hyperlink>
      <w:r>
        <w:t xml:space="preserve"> </w:t>
      </w:r>
      <w:r w:rsidR="009449E6">
        <w:t>&lt;</w:t>
      </w:r>
      <w:r w:rsidRPr="009449E6">
        <w:t>foi@health.vic.gov.au</w:t>
      </w:r>
      <w:r w:rsidR="009449E6">
        <w:t xml:space="preserve">&gt;, </w:t>
      </w:r>
      <w:r>
        <w:t>or</w:t>
      </w:r>
      <w:r w:rsidR="009449E6">
        <w:t xml:space="preserve"> telephone </w:t>
      </w:r>
      <w:r>
        <w:t>1300 020 360.</w:t>
      </w:r>
    </w:p>
    <w:p w14:paraId="27C9D925" w14:textId="77777777" w:rsidR="00521B15" w:rsidRPr="00EE3B2E" w:rsidRDefault="00521B15" w:rsidP="00521B15">
      <w:pPr>
        <w:pStyle w:val="ARbody"/>
      </w:pPr>
      <w:r w:rsidRPr="00EE3B2E">
        <w:t>Access charges for photocopying and search retrieval may also apply once the request has been finalised.</w:t>
      </w:r>
    </w:p>
    <w:p w14:paraId="059C1E09" w14:textId="77777777" w:rsidR="00521B15" w:rsidRPr="002029AF" w:rsidRDefault="00521B15" w:rsidP="004330D7">
      <w:pPr>
        <w:pStyle w:val="Heading3"/>
      </w:pPr>
      <w:bookmarkStart w:id="555" w:name="_Toc85121279"/>
      <w:r w:rsidRPr="002029AF">
        <w:t>FOI statistics/timeliness</w:t>
      </w:r>
      <w:bookmarkEnd w:id="555"/>
    </w:p>
    <w:p w14:paraId="2D49CB4C" w14:textId="77777777" w:rsidR="00695AE4" w:rsidRPr="008368A3" w:rsidRDefault="00695AE4" w:rsidP="00CA7F87">
      <w:pPr>
        <w:pStyle w:val="Heading4"/>
      </w:pPr>
      <w:r w:rsidRPr="008368A3">
        <w:t>To 31 January 2021</w:t>
      </w:r>
    </w:p>
    <w:p w14:paraId="128B86A1" w14:textId="72279A5C" w:rsidR="00521B15" w:rsidRPr="00EE3B2E" w:rsidRDefault="00521B15" w:rsidP="00521B15">
      <w:pPr>
        <w:pStyle w:val="ARbody"/>
      </w:pPr>
      <w:r>
        <w:rPr>
          <w:lang w:val="en-US"/>
        </w:rPr>
        <w:t xml:space="preserve">During </w:t>
      </w:r>
      <w:r w:rsidRPr="00EE3B2E">
        <w:t>202</w:t>
      </w:r>
      <w:r>
        <w:t>0–</w:t>
      </w:r>
      <w:r w:rsidRPr="00EE3B2E">
        <w:t>21, the former Department of Health and Human Services received 1,284 FOI applications. Of these requests, 61 were from Members of Parliament, 30 from the media, and the remainder from the general public.</w:t>
      </w:r>
    </w:p>
    <w:p w14:paraId="0DB88291" w14:textId="16D09E2F" w:rsidR="00521B15" w:rsidRPr="00EE3B2E" w:rsidRDefault="00521B15" w:rsidP="00521B15">
      <w:pPr>
        <w:pStyle w:val="ARbody"/>
      </w:pPr>
      <w:r w:rsidRPr="00EE3B2E">
        <w:t>The former department made 885 FOI decisions and processed 76 per cent of requests within the statutory time period. Of the requests finalised, 64 per cent were granted in full or in part.</w:t>
      </w:r>
    </w:p>
    <w:p w14:paraId="7A75B15D" w14:textId="12155E1A" w:rsidR="00521B15" w:rsidRDefault="00521B15" w:rsidP="00521B15">
      <w:pPr>
        <w:pStyle w:val="ARbody"/>
      </w:pPr>
      <w:r w:rsidRPr="00EE3B2E">
        <w:t>During 202</w:t>
      </w:r>
      <w:r>
        <w:t>0–</w:t>
      </w:r>
      <w:r w:rsidRPr="00EE3B2E">
        <w:t>21, for the former department, 30</w:t>
      </w:r>
      <w:r w:rsidR="00553B72">
        <w:t> </w:t>
      </w:r>
      <w:r w:rsidRPr="00EE3B2E">
        <w:t>decisions were subject to review by the Office of</w:t>
      </w:r>
      <w:r w:rsidR="00553B72">
        <w:t> </w:t>
      </w:r>
      <w:r w:rsidRPr="00EE3B2E">
        <w:t>the Victorian Information Commissioner, and eleven appeals were made to</w:t>
      </w:r>
      <w:r w:rsidRPr="006E3276">
        <w:t xml:space="preserve"> the Victorian Civil and Administrative Tribunal.</w:t>
      </w:r>
    </w:p>
    <w:p w14:paraId="0B4B7175" w14:textId="26FA24F3" w:rsidR="00695AE4" w:rsidRPr="008368A3" w:rsidRDefault="00695AE4" w:rsidP="00CA7F87">
      <w:pPr>
        <w:pStyle w:val="Heading4"/>
      </w:pPr>
      <w:r>
        <w:t>From 1 February</w:t>
      </w:r>
      <w:r w:rsidRPr="008368A3">
        <w:t xml:space="preserve"> 2021</w:t>
      </w:r>
    </w:p>
    <w:p w14:paraId="0D483F20" w14:textId="3E934DD1" w:rsidR="00521B15" w:rsidRPr="00EE3B2E" w:rsidRDefault="00521B15" w:rsidP="00521B15">
      <w:pPr>
        <w:pStyle w:val="ARbody"/>
      </w:pPr>
      <w:r w:rsidRPr="00EE3B2E">
        <w:t>During 2020–21, the Department of Health received 208 FOI applications. Of these requests, 41 were from Members of Parliament, 14 from the media, and the remainder from the general public.</w:t>
      </w:r>
    </w:p>
    <w:p w14:paraId="27AA652D" w14:textId="31D4114C" w:rsidR="00521B15" w:rsidRPr="00EE3B2E" w:rsidRDefault="00521B15" w:rsidP="00521B15">
      <w:pPr>
        <w:pStyle w:val="ARbody"/>
      </w:pPr>
      <w:r w:rsidRPr="00EE3B2E">
        <w:t>The department made 166 FOI decisions and processed 59 per cent of requests within the statutory time period. Of the requests finalised, 70 per cent were granted in full or in part.</w:t>
      </w:r>
    </w:p>
    <w:p w14:paraId="4EF82BD0" w14:textId="77777777" w:rsidR="00521B15" w:rsidRDefault="00521B15" w:rsidP="00521B15">
      <w:pPr>
        <w:pStyle w:val="ARbody"/>
      </w:pPr>
      <w:r>
        <w:t xml:space="preserve">Ten </w:t>
      </w:r>
      <w:r w:rsidRPr="00EE3B2E">
        <w:t xml:space="preserve">decisions were subject to review </w:t>
      </w:r>
      <w:r w:rsidRPr="006E3276">
        <w:t>by the Office of the Victorian Information Commissioner</w:t>
      </w:r>
      <w:r>
        <w:t>,</w:t>
      </w:r>
      <w:r w:rsidRPr="006E3276">
        <w:t xml:space="preserve"> and </w:t>
      </w:r>
      <w:r>
        <w:t>nine</w:t>
      </w:r>
      <w:r w:rsidRPr="006E3276">
        <w:t xml:space="preserve"> appeals were made to the Victorian Civil and Administrative Tribunal.</w:t>
      </w:r>
    </w:p>
    <w:p w14:paraId="708B3287" w14:textId="1B34B494" w:rsidR="00A25C17" w:rsidRPr="003379F7" w:rsidRDefault="00780B2B" w:rsidP="00A9686F">
      <w:pPr>
        <w:pStyle w:val="Heading2"/>
        <w:spacing w:before="0"/>
        <w:rPr>
          <w:rFonts w:cs="Arial"/>
        </w:rPr>
      </w:pPr>
      <w:bookmarkStart w:id="556" w:name="_Ref21956761"/>
      <w:bookmarkStart w:id="557" w:name="_Toc54690783"/>
      <w:bookmarkStart w:id="558" w:name="_Ref492895162"/>
      <w:r>
        <w:br w:type="column"/>
      </w:r>
      <w:bookmarkStart w:id="559" w:name="_Ref84240900"/>
      <w:bookmarkStart w:id="560" w:name="_Toc85121282"/>
      <w:bookmarkStart w:id="561" w:name="_Toc85121623"/>
      <w:bookmarkStart w:id="562" w:name="_Toc86075606"/>
      <w:r w:rsidR="00A25C17" w:rsidRPr="003379F7">
        <w:rPr>
          <w:rFonts w:cs="Arial"/>
        </w:rPr>
        <w:lastRenderedPageBreak/>
        <w:t>Compliance with the Public Interest Disclosures Act 2012</w:t>
      </w:r>
      <w:bookmarkEnd w:id="556"/>
      <w:bookmarkEnd w:id="557"/>
      <w:bookmarkEnd w:id="559"/>
      <w:bookmarkEnd w:id="560"/>
      <w:bookmarkEnd w:id="561"/>
      <w:bookmarkEnd w:id="562"/>
    </w:p>
    <w:p w14:paraId="271E4C39" w14:textId="2AFD9B5D" w:rsidR="00A25C17" w:rsidRPr="002029AF" w:rsidRDefault="00A25C17" w:rsidP="00897193">
      <w:pPr>
        <w:pStyle w:val="ARbody"/>
      </w:pPr>
      <w:r w:rsidRPr="002029AF">
        <w:t xml:space="preserve">The </w:t>
      </w:r>
      <w:r w:rsidRPr="002029AF">
        <w:rPr>
          <w:i/>
          <w:iCs/>
        </w:rPr>
        <w:t>Public Interest Disclosures Act 2012</w:t>
      </w:r>
      <w:r w:rsidRPr="002029AF">
        <w:t xml:space="preserve"> encourages and assists people in making disclosures of improper conduct by public officers and public bodies. The Act provides protection to people who make disclosures in accordance with the Act and establishes a system for the matters disclosed to be investigated and</w:t>
      </w:r>
      <w:r w:rsidR="000F122C">
        <w:t xml:space="preserve"> for</w:t>
      </w:r>
      <w:r w:rsidRPr="002029AF">
        <w:t xml:space="preserve"> rectifying action to be taken.</w:t>
      </w:r>
    </w:p>
    <w:p w14:paraId="505EDED4" w14:textId="5C7C7F60" w:rsidR="00A25C17" w:rsidRPr="002029AF" w:rsidRDefault="00A25C17" w:rsidP="00897193">
      <w:pPr>
        <w:pStyle w:val="ARbody"/>
      </w:pPr>
      <w:r w:rsidRPr="002029AF">
        <w:t xml:space="preserve">The department does not tolerate improper conduct by employees, nor the </w:t>
      </w:r>
      <w:r w:rsidRPr="005A29D1">
        <w:t>taking of</w:t>
      </w:r>
      <w:r w:rsidRPr="002029AF">
        <w:t xml:space="preserve"> </w:t>
      </w:r>
      <w:r w:rsidRPr="005A29D1">
        <w:t>reprisals</w:t>
      </w:r>
      <w:r w:rsidRPr="002029AF">
        <w:t xml:space="preserve"> against those who come forward to disclose such conduct. It is committed to ensuring transparency and accountability in its administrative and management practices and supports the making of disclosures that reveal corrupt conduct, conduct involving a substantial mismanagement of public resources, or conduct involving a substantial risk to public health and safety or the environment.</w:t>
      </w:r>
    </w:p>
    <w:p w14:paraId="629746BA" w14:textId="77777777" w:rsidR="00A25C17" w:rsidRPr="002029AF" w:rsidRDefault="00A25C17" w:rsidP="00897193">
      <w:pPr>
        <w:pStyle w:val="ARbody"/>
      </w:pPr>
      <w:r w:rsidRPr="002029AF">
        <w:t xml:space="preserve">The department will take all reasonable steps to protect people who make such disclosures from any detrimental action in reprisal for making the </w:t>
      </w:r>
      <w:r w:rsidRPr="002029AF">
        <w:t>disclosure. It will also afford natural justice to the person who is the subject of the disclosure to the extent it is legally possible.</w:t>
      </w:r>
    </w:p>
    <w:p w14:paraId="608133FF" w14:textId="77777777" w:rsidR="00A25C17" w:rsidRPr="002029AF" w:rsidRDefault="00A25C17" w:rsidP="008D2160">
      <w:pPr>
        <w:pStyle w:val="Heading3"/>
        <w:spacing w:before="0"/>
        <w:jc w:val="both"/>
      </w:pPr>
      <w:bookmarkStart w:id="563" w:name="_Toc85121283"/>
      <w:r w:rsidRPr="002029AF">
        <w:t>Reporting procedures</w:t>
      </w:r>
      <w:bookmarkEnd w:id="563"/>
    </w:p>
    <w:p w14:paraId="57B4A317" w14:textId="77777777" w:rsidR="00A25C17" w:rsidRPr="002029AF" w:rsidRDefault="00A25C17" w:rsidP="00A25C17">
      <w:pPr>
        <w:pStyle w:val="ARbody"/>
      </w:pPr>
      <w:r w:rsidRPr="002029AF">
        <w:t>Disclosures of improper conduct or detrimental action by the department or any of its employees may be made to any of the following department personnel:</w:t>
      </w:r>
    </w:p>
    <w:p w14:paraId="47E180F2" w14:textId="568F0E5B" w:rsidR="00A25C17" w:rsidRPr="002029AF" w:rsidRDefault="00651E7E" w:rsidP="00A25C17">
      <w:pPr>
        <w:pStyle w:val="ARbullet1"/>
      </w:pPr>
      <w:r>
        <w:t>t</w:t>
      </w:r>
      <w:r w:rsidR="00A25C17" w:rsidRPr="002029AF">
        <w:t>he Secretary</w:t>
      </w:r>
    </w:p>
    <w:p w14:paraId="311CAAB8" w14:textId="77777777" w:rsidR="00A25C17" w:rsidRPr="002029AF" w:rsidRDefault="00A25C17" w:rsidP="00A25C17">
      <w:pPr>
        <w:pStyle w:val="ARbullet1"/>
      </w:pPr>
      <w:r w:rsidRPr="002029AF">
        <w:t>public interest disclosure coordinators</w:t>
      </w:r>
    </w:p>
    <w:p w14:paraId="33CE106A" w14:textId="2D006A98" w:rsidR="00A25C17" w:rsidRPr="002029AF" w:rsidRDefault="00651E7E" w:rsidP="00A25C17">
      <w:pPr>
        <w:pStyle w:val="ARbullet1"/>
      </w:pPr>
      <w:r>
        <w:t xml:space="preserve">the </w:t>
      </w:r>
      <w:r w:rsidR="00A25C17" w:rsidRPr="002029AF">
        <w:t>manager or supervisor of the discloser</w:t>
      </w:r>
    </w:p>
    <w:p w14:paraId="0358757F" w14:textId="75FDFBD9" w:rsidR="00A25C17" w:rsidRPr="002029AF" w:rsidRDefault="00651E7E" w:rsidP="00A25C17">
      <w:pPr>
        <w:pStyle w:val="ARbullet1"/>
      </w:pPr>
      <w:r>
        <w:t xml:space="preserve">the </w:t>
      </w:r>
      <w:r w:rsidR="00A25C17" w:rsidRPr="002029AF">
        <w:t>manager or supervisor of the person who is the subject of the disclosure.</w:t>
      </w:r>
    </w:p>
    <w:p w14:paraId="73A04B72" w14:textId="77777777" w:rsidR="00A25C17" w:rsidRPr="002029AF" w:rsidRDefault="00A25C17" w:rsidP="00A25C17">
      <w:pPr>
        <w:pStyle w:val="ARbodyafterbullets"/>
      </w:pPr>
      <w:r w:rsidRPr="002029AF">
        <w:t xml:space="preserve">Alternatively, disclosures may also be made directly to the Independent Broad-based </w:t>
      </w:r>
      <w:r w:rsidRPr="002029AF">
        <w:br/>
        <w:t>Anti-corruption Commission:</w:t>
      </w:r>
    </w:p>
    <w:p w14:paraId="677B4B19" w14:textId="6826C8B1" w:rsidR="00A25C17" w:rsidRPr="002029AF" w:rsidRDefault="00A25C17" w:rsidP="00A25C17">
      <w:pPr>
        <w:pStyle w:val="ARbody"/>
      </w:pPr>
      <w:r w:rsidRPr="002029AF">
        <w:t>Level 1, North Tower, 459 Collins Street</w:t>
      </w:r>
      <w:r w:rsidRPr="002029AF">
        <w:br/>
        <w:t>Melbourne VIC 3000</w:t>
      </w:r>
      <w:r w:rsidRPr="002029AF">
        <w:br/>
        <w:t>Phone: 1300 735 135</w:t>
      </w:r>
      <w:r w:rsidRPr="002029AF">
        <w:br/>
        <w:t xml:space="preserve">Internet: </w:t>
      </w:r>
      <w:hyperlink r:id="rId90">
        <w:r w:rsidRPr="002029AF">
          <w:rPr>
            <w:rStyle w:val="Hyperlink"/>
          </w:rPr>
          <w:t>Broad-based Anti-corruption Commission</w:t>
        </w:r>
      </w:hyperlink>
      <w:r w:rsidRPr="002029AF">
        <w:t xml:space="preserve"> &lt;https://www.ibac.vic.gov.au&gt;</w:t>
      </w:r>
      <w:r w:rsidRPr="002029AF">
        <w:br/>
      </w:r>
      <w:hyperlink r:id="rId91">
        <w:r w:rsidRPr="002029AF">
          <w:rPr>
            <w:rStyle w:val="Hyperlink"/>
          </w:rPr>
          <w:t>Email IBAC</w:t>
        </w:r>
      </w:hyperlink>
      <w:r w:rsidRPr="002029AF">
        <w:t xml:space="preserve"> &lt;</w:t>
      </w:r>
      <w:r w:rsidRPr="0068615A">
        <w:rPr>
          <w:sz w:val="21"/>
          <w:szCs w:val="21"/>
        </w:rPr>
        <w:t>info@ibac.vic.gov.au</w:t>
      </w:r>
      <w:r w:rsidRPr="002029AF">
        <w:t>&gt;.</w:t>
      </w:r>
    </w:p>
    <w:p w14:paraId="6CC573A0" w14:textId="77777777" w:rsidR="00934A0A" w:rsidRDefault="00934A0A" w:rsidP="00A25C17">
      <w:pPr>
        <w:pStyle w:val="Heading3"/>
        <w:sectPr w:rsidR="00934A0A" w:rsidSect="00A9686F">
          <w:footnotePr>
            <w:numFmt w:val="lowerLetter"/>
            <w:numRestart w:val="eachPage"/>
          </w:footnotePr>
          <w:endnotePr>
            <w:numFmt w:val="decimal"/>
          </w:endnotePr>
          <w:type w:val="continuous"/>
          <w:pgSz w:w="11900" w:h="16840" w:code="9"/>
          <w:pgMar w:top="1985" w:right="1134" w:bottom="851" w:left="1134" w:header="510" w:footer="340" w:gutter="0"/>
          <w:cols w:num="2" w:space="454"/>
          <w:docGrid w:linePitch="299"/>
        </w:sectPr>
      </w:pPr>
    </w:p>
    <w:p w14:paraId="7FFCF37E" w14:textId="501FBDE9" w:rsidR="00A25C17" w:rsidRPr="002029AF" w:rsidRDefault="00A25C17" w:rsidP="00970735">
      <w:pPr>
        <w:pStyle w:val="Heading3"/>
      </w:pPr>
      <w:bookmarkStart w:id="564" w:name="_Toc85121284"/>
      <w:r w:rsidRPr="002029AF">
        <w:t>Further information</w:t>
      </w:r>
      <w:bookmarkEnd w:id="564"/>
    </w:p>
    <w:p w14:paraId="26161AD1" w14:textId="1DC3378E" w:rsidR="00A25C17" w:rsidRPr="002029AF" w:rsidRDefault="00A25C17" w:rsidP="00A25C17">
      <w:pPr>
        <w:pStyle w:val="ARbody"/>
      </w:pPr>
      <w:r w:rsidRPr="002029AF">
        <w:t>The public interest disclosures policy and procedures, which outline the system for reporting disclosures of</w:t>
      </w:r>
      <w:r w:rsidR="00934A0A">
        <w:t> </w:t>
      </w:r>
      <w:r w:rsidRPr="002029AF">
        <w:t>improper conduct or detrimental action by the department or any of its employees and/or officers, are available:</w:t>
      </w:r>
    </w:p>
    <w:p w14:paraId="390F8916" w14:textId="32EE1002" w:rsidR="00A25C17" w:rsidRPr="002029AF" w:rsidRDefault="00A25C17" w:rsidP="00A25C17">
      <w:pPr>
        <w:pStyle w:val="ARbullet1"/>
        <w:ind w:right="-229"/>
        <w:rPr>
          <w:rFonts w:asciiTheme="minorHAnsi" w:eastAsiaTheme="minorEastAsia" w:hAnsiTheme="minorHAnsi" w:cstheme="minorBidi"/>
        </w:rPr>
      </w:pPr>
      <w:r w:rsidRPr="002029AF">
        <w:t>on the department</w:t>
      </w:r>
      <w:r w:rsidR="007D145B">
        <w:t>’</w:t>
      </w:r>
      <w:r w:rsidRPr="002029AF">
        <w:t xml:space="preserve">s </w:t>
      </w:r>
      <w:hyperlink r:id="rId92" w:history="1">
        <w:r w:rsidRPr="002029AF">
          <w:rPr>
            <w:rStyle w:val="Hyperlink"/>
          </w:rPr>
          <w:t>public interest disclosures web page</w:t>
        </w:r>
      </w:hyperlink>
      <w:r w:rsidRPr="002029AF">
        <w:t xml:space="preserve"> &lt;</w:t>
      </w:r>
      <w:r w:rsidRPr="001545D9">
        <w:t>https://www.dhhs.vic.gov.au/public-interest-disclosure</w:t>
      </w:r>
      <w:r w:rsidRPr="002029AF">
        <w:t>&gt;</w:t>
      </w:r>
    </w:p>
    <w:p w14:paraId="240ADD92" w14:textId="71E8F12B" w:rsidR="00A25C17" w:rsidRPr="002029AF" w:rsidRDefault="00A25C17" w:rsidP="00A25C17">
      <w:pPr>
        <w:pStyle w:val="ARbullet1"/>
        <w:rPr>
          <w:lang w:eastAsia="en-AU"/>
        </w:rPr>
      </w:pPr>
      <w:r w:rsidRPr="002029AF">
        <w:t xml:space="preserve">by </w:t>
      </w:r>
      <w:hyperlink r:id="rId93" w:history="1">
        <w:r w:rsidRPr="002029AF">
          <w:rPr>
            <w:rStyle w:val="Hyperlink"/>
          </w:rPr>
          <w:t>emailing the public interest disclosure coordinators</w:t>
        </w:r>
      </w:hyperlink>
      <w:r w:rsidRPr="002029AF">
        <w:t xml:space="preserve"> &lt;publicinterestdisclosure@</w:t>
      </w:r>
      <w:r>
        <w:t>health</w:t>
      </w:r>
      <w:r w:rsidRPr="002029AF">
        <w:t>.vic.gov.au&gt;</w:t>
      </w:r>
    </w:p>
    <w:p w14:paraId="4FE2F5F1" w14:textId="0680CF45" w:rsidR="00A25C17" w:rsidRPr="002029AF" w:rsidRDefault="00A25C17" w:rsidP="00A25C17">
      <w:pPr>
        <w:pStyle w:val="ARbullet1"/>
        <w:spacing w:after="240"/>
        <w:rPr>
          <w:rFonts w:asciiTheme="minorHAnsi" w:eastAsiaTheme="minorEastAsia" w:hAnsiTheme="minorHAnsi" w:cstheme="minorBidi"/>
        </w:rPr>
      </w:pPr>
      <w:r w:rsidRPr="002029AF" w:rsidDel="00DC0448">
        <w:t>by phoning a department public interest disclosure coordinator on the department</w:t>
      </w:r>
      <w:r w:rsidR="007D145B">
        <w:t>’</w:t>
      </w:r>
      <w:r w:rsidRPr="002029AF" w:rsidDel="00DC0448">
        <w:t xml:space="preserve">s integrity hotline: </w:t>
      </w:r>
      <w:r w:rsidR="00934A0A">
        <w:br/>
      </w:r>
      <w:r w:rsidRPr="002029AF" w:rsidDel="00DC0448">
        <w:t xml:space="preserve">1300 </w:t>
      </w:r>
      <w:r>
        <w:t>024 324</w:t>
      </w:r>
      <w:r w:rsidRPr="002029AF" w:rsidDel="00DC0448">
        <w:t>.</w:t>
      </w:r>
    </w:p>
    <w:tbl>
      <w:tblPr>
        <w:tblW w:w="9639" w:type="dxa"/>
        <w:tblBorders>
          <w:top w:val="single" w:sz="4" w:space="0" w:color="auto"/>
          <w:left w:val="single" w:sz="4" w:space="0" w:color="auto"/>
          <w:bottom w:val="single" w:sz="4" w:space="0" w:color="auto"/>
          <w:right w:val="single" w:sz="4" w:space="0" w:color="auto"/>
          <w:insideH w:val="single" w:sz="4" w:space="0" w:color="auto"/>
        </w:tblBorders>
        <w:tblCellMar>
          <w:left w:w="0" w:type="dxa"/>
        </w:tblCellMar>
        <w:tblLook w:val="02A0" w:firstRow="1" w:lastRow="0" w:firstColumn="1" w:lastColumn="0" w:noHBand="1" w:noVBand="0"/>
      </w:tblPr>
      <w:tblGrid>
        <w:gridCol w:w="3967"/>
        <w:gridCol w:w="1418"/>
        <w:gridCol w:w="1418"/>
        <w:gridCol w:w="1418"/>
        <w:gridCol w:w="1418"/>
      </w:tblGrid>
      <w:tr w:rsidR="00A25C17" w:rsidRPr="002029AF" w14:paraId="65DE4A2A" w14:textId="77777777" w:rsidTr="00934A0A">
        <w:trPr>
          <w:cantSplit/>
          <w:tblHeader/>
        </w:trPr>
        <w:tc>
          <w:tcPr>
            <w:tcW w:w="3969" w:type="dxa"/>
            <w:tcBorders>
              <w:top w:val="nil"/>
              <w:left w:val="nil"/>
            </w:tcBorders>
            <w:shd w:val="clear" w:color="auto" w:fill="auto"/>
            <w:vAlign w:val="bottom"/>
          </w:tcPr>
          <w:p w14:paraId="5101F877" w14:textId="77777777" w:rsidR="00A25C17" w:rsidRPr="002029AF" w:rsidRDefault="00A25C17" w:rsidP="00A25C17">
            <w:pPr>
              <w:pStyle w:val="ARtablecolhead"/>
              <w:rPr>
                <w:i/>
                <w:iCs/>
              </w:rPr>
            </w:pPr>
            <w:r w:rsidRPr="002029AF">
              <w:br w:type="column"/>
              <w:t>Disclosures under the </w:t>
            </w:r>
            <w:r w:rsidRPr="002029AF">
              <w:rPr>
                <w:i/>
                <w:iCs/>
              </w:rPr>
              <w:t>Public Interest Disclosures Act 201</w:t>
            </w:r>
            <w:r w:rsidRPr="002029AF">
              <w:t>2 (</w:t>
            </w:r>
            <w:r w:rsidRPr="00834E2C">
              <w:t>formerly the</w:t>
            </w:r>
            <w:r w:rsidRPr="002029AF">
              <w:rPr>
                <w:i/>
                <w:iCs/>
              </w:rPr>
              <w:t xml:space="preserve"> Protected Disclosure Act 2012)</w:t>
            </w:r>
          </w:p>
        </w:tc>
        <w:tc>
          <w:tcPr>
            <w:tcW w:w="1418" w:type="dxa"/>
            <w:tcBorders>
              <w:top w:val="nil"/>
            </w:tcBorders>
            <w:shd w:val="clear" w:color="auto" w:fill="auto"/>
            <w:vAlign w:val="bottom"/>
          </w:tcPr>
          <w:p w14:paraId="53A5C5DF" w14:textId="77777777" w:rsidR="00A25C17" w:rsidRPr="00934A0A" w:rsidRDefault="00A25C17" w:rsidP="00934A0A">
            <w:pPr>
              <w:pStyle w:val="ARtablecolheadright"/>
            </w:pPr>
            <w:r w:rsidRPr="00934A0A">
              <w:t>2018–19 number</w:t>
            </w:r>
          </w:p>
        </w:tc>
        <w:tc>
          <w:tcPr>
            <w:tcW w:w="1418" w:type="dxa"/>
            <w:tcBorders>
              <w:top w:val="nil"/>
            </w:tcBorders>
            <w:shd w:val="clear" w:color="auto" w:fill="auto"/>
            <w:vAlign w:val="bottom"/>
          </w:tcPr>
          <w:p w14:paraId="19A4D148" w14:textId="77777777" w:rsidR="00A25C17" w:rsidRPr="00934A0A" w:rsidRDefault="00A25C17" w:rsidP="00934A0A">
            <w:pPr>
              <w:pStyle w:val="ARtablecolheadright"/>
            </w:pPr>
            <w:r w:rsidRPr="00934A0A">
              <w:t>2019–20 number</w:t>
            </w:r>
          </w:p>
        </w:tc>
        <w:tc>
          <w:tcPr>
            <w:tcW w:w="1418" w:type="dxa"/>
            <w:tcBorders>
              <w:top w:val="nil"/>
            </w:tcBorders>
            <w:shd w:val="clear" w:color="auto" w:fill="auto"/>
            <w:vAlign w:val="bottom"/>
          </w:tcPr>
          <w:p w14:paraId="62FD85C1" w14:textId="0B5F0DB6" w:rsidR="00A25C17" w:rsidRPr="00934A0A" w:rsidRDefault="00A25C17" w:rsidP="00934A0A">
            <w:pPr>
              <w:pStyle w:val="ARtablecolheadright"/>
            </w:pPr>
            <w:r w:rsidRPr="00934A0A">
              <w:t>2020–</w:t>
            </w:r>
            <w:r w:rsidR="00834E2C">
              <w:t>21</w:t>
            </w:r>
            <w:r w:rsidR="00C52B50">
              <w:br/>
              <w:t>Jul to Jan</w:t>
            </w:r>
            <w:r w:rsidRPr="00934A0A">
              <w:t xml:space="preserve"> </w:t>
            </w:r>
            <w:r w:rsidR="00934A0A">
              <w:br/>
            </w:r>
            <w:r w:rsidRPr="00934A0A">
              <w:t>number</w:t>
            </w:r>
          </w:p>
        </w:tc>
        <w:tc>
          <w:tcPr>
            <w:tcW w:w="1418" w:type="dxa"/>
            <w:tcBorders>
              <w:top w:val="nil"/>
              <w:right w:val="nil"/>
            </w:tcBorders>
            <w:vAlign w:val="bottom"/>
          </w:tcPr>
          <w:p w14:paraId="4EF69C7D" w14:textId="3B8821E9" w:rsidR="00A25C17" w:rsidRPr="00934A0A" w:rsidRDefault="00C52B50" w:rsidP="00934A0A">
            <w:pPr>
              <w:pStyle w:val="ARtablecolheadright"/>
            </w:pPr>
            <w:r>
              <w:t>202</w:t>
            </w:r>
            <w:r w:rsidR="00A9686F">
              <w:t>0–</w:t>
            </w:r>
            <w:r>
              <w:t>2</w:t>
            </w:r>
            <w:r w:rsidR="00A25C17" w:rsidRPr="00934A0A">
              <w:t>1</w:t>
            </w:r>
            <w:r>
              <w:br/>
              <w:t>Feb to Jun</w:t>
            </w:r>
            <w:r>
              <w:br/>
            </w:r>
            <w:r w:rsidR="00A25C17" w:rsidRPr="00934A0A">
              <w:t>number</w:t>
            </w:r>
          </w:p>
        </w:tc>
      </w:tr>
      <w:tr w:rsidR="00A25C17" w:rsidRPr="002029AF" w14:paraId="5070B9E0" w14:textId="77777777" w:rsidTr="00934A0A">
        <w:trPr>
          <w:cantSplit/>
        </w:trPr>
        <w:tc>
          <w:tcPr>
            <w:tcW w:w="3969" w:type="dxa"/>
            <w:tcBorders>
              <w:left w:val="nil"/>
            </w:tcBorders>
            <w:shd w:val="clear" w:color="auto" w:fill="auto"/>
          </w:tcPr>
          <w:p w14:paraId="1BD01689" w14:textId="4B13CE06" w:rsidR="00A25C17" w:rsidRPr="002029AF" w:rsidRDefault="00A25C17" w:rsidP="00A25C17">
            <w:pPr>
              <w:pStyle w:val="ARtabletext"/>
            </w:pPr>
            <w:r w:rsidRPr="002029AF">
              <w:t xml:space="preserve">The number of disclosures made by an individual to the </w:t>
            </w:r>
            <w:r>
              <w:t>former</w:t>
            </w:r>
            <w:r w:rsidRPr="002029AF">
              <w:t xml:space="preserve"> </w:t>
            </w:r>
            <w:r>
              <w:t>Department of Health and Human Services</w:t>
            </w:r>
            <w:r w:rsidRPr="002029AF">
              <w:t xml:space="preserve"> and notified to the Independent Broad</w:t>
            </w:r>
            <w:r w:rsidR="00E70E23">
              <w:noBreakHyphen/>
            </w:r>
            <w:r w:rsidRPr="002029AF">
              <w:t>based Anti</w:t>
            </w:r>
            <w:r w:rsidR="00E70E23">
              <w:noBreakHyphen/>
            </w:r>
            <w:r w:rsidRPr="002029AF">
              <w:t>Corruption Commission</w:t>
            </w:r>
          </w:p>
        </w:tc>
        <w:tc>
          <w:tcPr>
            <w:tcW w:w="1418" w:type="dxa"/>
            <w:shd w:val="clear" w:color="auto" w:fill="auto"/>
          </w:tcPr>
          <w:p w14:paraId="18FD411E" w14:textId="77777777" w:rsidR="00A25C17" w:rsidRPr="002029AF" w:rsidRDefault="00A25C17" w:rsidP="00A25C17">
            <w:pPr>
              <w:pStyle w:val="ARtabletextright"/>
            </w:pPr>
            <w:r w:rsidRPr="002029AF" w:rsidDel="00F17565">
              <w:t>1</w:t>
            </w:r>
          </w:p>
        </w:tc>
        <w:tc>
          <w:tcPr>
            <w:tcW w:w="1418" w:type="dxa"/>
            <w:shd w:val="clear" w:color="auto" w:fill="auto"/>
          </w:tcPr>
          <w:p w14:paraId="46B7C9FB" w14:textId="77777777" w:rsidR="00A25C17" w:rsidRPr="002029AF" w:rsidRDefault="00A25C17" w:rsidP="00A25C17">
            <w:pPr>
              <w:pStyle w:val="ARtabletextright"/>
            </w:pPr>
            <w:r>
              <w:t>4</w:t>
            </w:r>
          </w:p>
        </w:tc>
        <w:tc>
          <w:tcPr>
            <w:tcW w:w="1418" w:type="dxa"/>
            <w:shd w:val="clear" w:color="auto" w:fill="auto"/>
          </w:tcPr>
          <w:p w14:paraId="13CC70DC" w14:textId="77777777" w:rsidR="00A25C17" w:rsidRPr="002029AF" w:rsidRDefault="00A25C17" w:rsidP="00A25C17">
            <w:pPr>
              <w:pStyle w:val="ARtabletextright"/>
            </w:pPr>
            <w:r>
              <w:t>0</w:t>
            </w:r>
          </w:p>
        </w:tc>
        <w:tc>
          <w:tcPr>
            <w:tcW w:w="1418" w:type="dxa"/>
            <w:tcBorders>
              <w:right w:val="nil"/>
            </w:tcBorders>
          </w:tcPr>
          <w:p w14:paraId="25127720" w14:textId="77777777" w:rsidR="00A25C17" w:rsidRPr="002029AF" w:rsidRDefault="00A25C17" w:rsidP="00A25C17">
            <w:pPr>
              <w:pStyle w:val="ARtabletextright"/>
            </w:pPr>
            <w:r>
              <w:t>N/A</w:t>
            </w:r>
          </w:p>
        </w:tc>
      </w:tr>
      <w:tr w:rsidR="00A25C17" w:rsidRPr="002029AF" w14:paraId="144E1453" w14:textId="77777777" w:rsidTr="00934A0A">
        <w:trPr>
          <w:cantSplit/>
        </w:trPr>
        <w:tc>
          <w:tcPr>
            <w:tcW w:w="3969" w:type="dxa"/>
            <w:tcBorders>
              <w:left w:val="nil"/>
            </w:tcBorders>
            <w:shd w:val="clear" w:color="auto" w:fill="auto"/>
          </w:tcPr>
          <w:p w14:paraId="0F97A982" w14:textId="3EF25B2F" w:rsidR="00A25C17" w:rsidRPr="002029AF" w:rsidRDefault="00A25C17" w:rsidP="00A25C17">
            <w:pPr>
              <w:pStyle w:val="ARtabletext"/>
            </w:pPr>
            <w:r w:rsidRPr="002029AF">
              <w:t xml:space="preserve">The number of disclosures made by an individual to the </w:t>
            </w:r>
            <w:r>
              <w:t>Department</w:t>
            </w:r>
            <w:r w:rsidRPr="002029AF">
              <w:t xml:space="preserve"> </w:t>
            </w:r>
            <w:r>
              <w:t xml:space="preserve">of Health </w:t>
            </w:r>
            <w:r w:rsidRPr="002029AF">
              <w:t>and notified to the Independent Broad</w:t>
            </w:r>
            <w:r w:rsidR="00E70E23">
              <w:noBreakHyphen/>
            </w:r>
            <w:r w:rsidRPr="002029AF">
              <w:t>based Anti</w:t>
            </w:r>
            <w:r w:rsidR="00E70E23">
              <w:noBreakHyphen/>
            </w:r>
            <w:r w:rsidRPr="002029AF">
              <w:t>Corruption Commission</w:t>
            </w:r>
          </w:p>
        </w:tc>
        <w:tc>
          <w:tcPr>
            <w:tcW w:w="1418" w:type="dxa"/>
            <w:shd w:val="clear" w:color="auto" w:fill="auto"/>
          </w:tcPr>
          <w:p w14:paraId="484E9F9E" w14:textId="77777777" w:rsidR="00A25C17" w:rsidRPr="002029AF" w:rsidDel="00F17565" w:rsidRDefault="00A25C17" w:rsidP="00A25C17">
            <w:pPr>
              <w:pStyle w:val="ARtabletextright"/>
            </w:pPr>
            <w:r>
              <w:t>N/A</w:t>
            </w:r>
          </w:p>
        </w:tc>
        <w:tc>
          <w:tcPr>
            <w:tcW w:w="1418" w:type="dxa"/>
            <w:shd w:val="clear" w:color="auto" w:fill="auto"/>
          </w:tcPr>
          <w:p w14:paraId="0B4E3D81" w14:textId="77777777" w:rsidR="00A25C17" w:rsidRDefault="00A25C17" w:rsidP="00A25C17">
            <w:pPr>
              <w:pStyle w:val="ARtabletextright"/>
            </w:pPr>
            <w:r>
              <w:t>N/A</w:t>
            </w:r>
          </w:p>
        </w:tc>
        <w:tc>
          <w:tcPr>
            <w:tcW w:w="1418" w:type="dxa"/>
            <w:shd w:val="clear" w:color="auto" w:fill="auto"/>
          </w:tcPr>
          <w:p w14:paraId="539A2DD1" w14:textId="77777777" w:rsidR="00A25C17" w:rsidRDefault="00A25C17" w:rsidP="00A25C17">
            <w:pPr>
              <w:pStyle w:val="ARtabletextright"/>
            </w:pPr>
            <w:r>
              <w:t>N/A</w:t>
            </w:r>
          </w:p>
        </w:tc>
        <w:tc>
          <w:tcPr>
            <w:tcW w:w="1418" w:type="dxa"/>
            <w:tcBorders>
              <w:right w:val="nil"/>
            </w:tcBorders>
          </w:tcPr>
          <w:p w14:paraId="5CDC8E5B" w14:textId="77777777" w:rsidR="00A25C17" w:rsidRDefault="00A25C17" w:rsidP="00A25C17">
            <w:pPr>
              <w:pStyle w:val="ARtabletextright"/>
            </w:pPr>
            <w:r>
              <w:t>0</w:t>
            </w:r>
          </w:p>
        </w:tc>
      </w:tr>
    </w:tbl>
    <w:p w14:paraId="6763E420" w14:textId="77777777" w:rsidR="00F8606E" w:rsidRDefault="00F8606E" w:rsidP="00286264">
      <w:pPr>
        <w:pStyle w:val="ARbody"/>
      </w:pPr>
      <w:bookmarkStart w:id="565" w:name="_Toc462654058"/>
      <w:bookmarkStart w:id="566" w:name="_Toc462577209"/>
      <w:bookmarkStart w:id="567" w:name="_Toc463776640"/>
      <w:bookmarkStart w:id="568" w:name="_Ref492894547"/>
      <w:bookmarkEnd w:id="558"/>
      <w:bookmarkEnd w:id="565"/>
      <w:bookmarkEnd w:id="566"/>
      <w:bookmarkEnd w:id="567"/>
      <w:bookmarkEnd w:id="568"/>
    </w:p>
    <w:p w14:paraId="6FFF2D56" w14:textId="77777777" w:rsidR="00A25C17" w:rsidRDefault="00A25C17" w:rsidP="00DD479E">
      <w:pPr>
        <w:pStyle w:val="ARbody"/>
        <w:sectPr w:rsidR="00A25C17" w:rsidSect="00A9686F">
          <w:footnotePr>
            <w:numFmt w:val="lowerLetter"/>
            <w:numRestart w:val="eachPage"/>
          </w:footnotePr>
          <w:endnotePr>
            <w:numFmt w:val="decimal"/>
          </w:endnotePr>
          <w:type w:val="continuous"/>
          <w:pgSz w:w="11900" w:h="16840" w:code="9"/>
          <w:pgMar w:top="1985" w:right="1134" w:bottom="851" w:left="1134" w:header="510" w:footer="340" w:gutter="0"/>
          <w:cols w:space="454"/>
          <w:docGrid w:linePitch="299"/>
        </w:sectPr>
      </w:pPr>
    </w:p>
    <w:p w14:paraId="1F0C4DDE" w14:textId="77777777" w:rsidR="00FC6F4F" w:rsidRPr="003379F7" w:rsidRDefault="00FC6F4F" w:rsidP="00307304">
      <w:pPr>
        <w:pStyle w:val="Heading2"/>
        <w:spacing w:before="0"/>
        <w:rPr>
          <w:rFonts w:cs="Arial"/>
        </w:rPr>
      </w:pPr>
      <w:bookmarkStart w:id="569" w:name="_Ref21956652"/>
      <w:bookmarkStart w:id="570" w:name="_Toc54690785"/>
      <w:bookmarkStart w:id="571" w:name="_Toc85121285"/>
      <w:bookmarkStart w:id="572" w:name="_Toc85121624"/>
      <w:bookmarkStart w:id="573" w:name="_Toc86075607"/>
      <w:r w:rsidRPr="003379F7">
        <w:rPr>
          <w:rFonts w:cs="Arial"/>
        </w:rPr>
        <w:lastRenderedPageBreak/>
        <w:t>Compliance with the Carers Recognition Act 2012</w:t>
      </w:r>
      <w:bookmarkEnd w:id="569"/>
      <w:bookmarkEnd w:id="570"/>
      <w:bookmarkEnd w:id="571"/>
      <w:bookmarkEnd w:id="572"/>
      <w:bookmarkEnd w:id="573"/>
    </w:p>
    <w:p w14:paraId="361405CE" w14:textId="168FB10A" w:rsidR="00FC6F4F" w:rsidRDefault="00FC6F4F" w:rsidP="00FC6F4F">
      <w:pPr>
        <w:pStyle w:val="ARbody"/>
      </w:pPr>
      <w:bookmarkStart w:id="574" w:name="_Ref492895171"/>
      <w:bookmarkStart w:id="575" w:name="_Ref525048051"/>
      <w:r>
        <w:t>The department has taken all practical measures to</w:t>
      </w:r>
      <w:r w:rsidR="009449E6">
        <w:t> </w:t>
      </w:r>
      <w:r>
        <w:t xml:space="preserve">comply with its obligations under the </w:t>
      </w:r>
      <w:r w:rsidRPr="00C731A0">
        <w:rPr>
          <w:i/>
          <w:iCs/>
        </w:rPr>
        <w:t>Carers Recognition Act 2012</w:t>
      </w:r>
      <w:r>
        <w:t>. These include:</w:t>
      </w:r>
    </w:p>
    <w:p w14:paraId="392F869B" w14:textId="1376538B" w:rsidR="00FC6F4F" w:rsidRDefault="00FC6F4F" w:rsidP="00FC6F4F">
      <w:pPr>
        <w:pStyle w:val="ARbullet1"/>
      </w:pPr>
      <w:r>
        <w:t>promoting the principles of the Act to people in care relationships who receive our services and to the wider community</w:t>
      </w:r>
    </w:p>
    <w:p w14:paraId="6F4BA8D2" w14:textId="3D6FC0F5" w:rsidR="00FC6F4F" w:rsidRDefault="00FC6F4F" w:rsidP="00FC6F4F">
      <w:pPr>
        <w:pStyle w:val="ARbullet1"/>
      </w:pPr>
      <w:r>
        <w:t>ensuring our staff have an awareness and understanding of the care relationship principles set out in the Act</w:t>
      </w:r>
    </w:p>
    <w:p w14:paraId="44986930" w14:textId="49376CFE" w:rsidR="00FC6F4F" w:rsidRDefault="00FC6F4F" w:rsidP="00FC6F4F">
      <w:pPr>
        <w:pStyle w:val="ARbullet1"/>
      </w:pPr>
      <w:r>
        <w:t>considering the care relationship principles set</w:t>
      </w:r>
      <w:r w:rsidR="007915F1">
        <w:t> </w:t>
      </w:r>
      <w:r>
        <w:t>out in the Act when setting policies and providing services</w:t>
      </w:r>
    </w:p>
    <w:p w14:paraId="26083BAB" w14:textId="015C8168" w:rsidR="00FC6F4F" w:rsidRDefault="00FC6F4F" w:rsidP="00FC6F4F">
      <w:pPr>
        <w:pStyle w:val="ARbullet1"/>
      </w:pPr>
      <w:r>
        <w:t xml:space="preserve">implementing priority actions in </w:t>
      </w:r>
      <w:r w:rsidRPr="00E512DC">
        <w:rPr>
          <w:i/>
          <w:iCs/>
        </w:rPr>
        <w:t>Recognising and</w:t>
      </w:r>
      <w:r w:rsidR="007915F1">
        <w:rPr>
          <w:i/>
          <w:iCs/>
        </w:rPr>
        <w:t> </w:t>
      </w:r>
      <w:r w:rsidRPr="00E512DC">
        <w:rPr>
          <w:i/>
          <w:iCs/>
        </w:rPr>
        <w:t>supporting Victoria</w:t>
      </w:r>
      <w:r w:rsidR="007D145B">
        <w:rPr>
          <w:i/>
          <w:iCs/>
        </w:rPr>
        <w:t>’</w:t>
      </w:r>
      <w:r w:rsidRPr="00E512DC">
        <w:rPr>
          <w:i/>
          <w:iCs/>
        </w:rPr>
        <w:t>s carers: Victorian carer strategy 201</w:t>
      </w:r>
      <w:r w:rsidR="00177286">
        <w:rPr>
          <w:i/>
          <w:iCs/>
        </w:rPr>
        <w:t>8–</w:t>
      </w:r>
      <w:r w:rsidRPr="00E512DC">
        <w:rPr>
          <w:i/>
          <w:iCs/>
        </w:rPr>
        <w:t>22</w:t>
      </w:r>
      <w:r>
        <w:t>.</w:t>
      </w:r>
    </w:p>
    <w:p w14:paraId="24E5D1CF" w14:textId="2DF6F445" w:rsidR="00FC6F4F" w:rsidRDefault="00FC6F4F" w:rsidP="00FC6F4F">
      <w:pPr>
        <w:pStyle w:val="ARbody"/>
        <w:spacing w:before="120"/>
      </w:pPr>
      <w:r>
        <w:t xml:space="preserve">The </w:t>
      </w:r>
      <w:r w:rsidRPr="00006AB9">
        <w:t>Department of Families, Fairness and Housing</w:t>
      </w:r>
      <w:r>
        <w:t xml:space="preserve"> </w:t>
      </w:r>
      <w:r w:rsidRPr="00E445D0">
        <w:t>now holds portfolio responsibility for the Act and</w:t>
      </w:r>
      <w:r>
        <w:t xml:space="preserve"> further information on the above may be found in its</w:t>
      </w:r>
      <w:r w:rsidR="007915F1">
        <w:t> </w:t>
      </w:r>
      <w:r>
        <w:t>annual report.</w:t>
      </w:r>
    </w:p>
    <w:p w14:paraId="410CFE41" w14:textId="55FCBA06" w:rsidR="00FC6F4F" w:rsidRPr="003379F7" w:rsidRDefault="00FC6F4F" w:rsidP="003379F7">
      <w:pPr>
        <w:pStyle w:val="Heading2"/>
        <w:rPr>
          <w:rFonts w:cs="Arial"/>
        </w:rPr>
      </w:pPr>
      <w:bookmarkStart w:id="576" w:name="_Ref21960035"/>
      <w:bookmarkStart w:id="577" w:name="_Ref52279042"/>
      <w:bookmarkStart w:id="578" w:name="_Toc54690795"/>
      <w:bookmarkStart w:id="579" w:name="_Ref84240829"/>
      <w:bookmarkStart w:id="580" w:name="_Toc85121286"/>
      <w:bookmarkStart w:id="581" w:name="_Toc85121625"/>
      <w:bookmarkStart w:id="582" w:name="_Toc86075608"/>
      <w:bookmarkEnd w:id="574"/>
      <w:bookmarkEnd w:id="575"/>
      <w:r w:rsidRPr="003379F7">
        <w:rPr>
          <w:rFonts w:cs="Arial"/>
        </w:rPr>
        <w:t>Compliance with the Disability</w:t>
      </w:r>
      <w:r w:rsidR="007915F1">
        <w:rPr>
          <w:rFonts w:cs="Arial"/>
        </w:rPr>
        <w:t> </w:t>
      </w:r>
      <w:r w:rsidRPr="003379F7">
        <w:rPr>
          <w:rFonts w:cs="Arial"/>
        </w:rPr>
        <w:t>Act 2006</w:t>
      </w:r>
      <w:bookmarkEnd w:id="576"/>
      <w:bookmarkEnd w:id="577"/>
      <w:bookmarkEnd w:id="578"/>
      <w:bookmarkEnd w:id="579"/>
      <w:bookmarkEnd w:id="580"/>
      <w:bookmarkEnd w:id="581"/>
      <w:bookmarkEnd w:id="582"/>
    </w:p>
    <w:p w14:paraId="2A82DDD4" w14:textId="77777777" w:rsidR="00FC6F4F" w:rsidRPr="002029AF" w:rsidRDefault="00FC6F4F" w:rsidP="00897193">
      <w:pPr>
        <w:pStyle w:val="ARbody"/>
      </w:pPr>
      <w:r w:rsidRPr="002029AF">
        <w:t xml:space="preserve">The </w:t>
      </w:r>
      <w:r w:rsidRPr="002029AF">
        <w:rPr>
          <w:i/>
        </w:rPr>
        <w:t>Disability Act 2006</w:t>
      </w:r>
      <w:r w:rsidRPr="002029AF">
        <w:t xml:space="preserve"> requires Victorian agencies to develop a disability action plan to reduce barriers and enhance opportunities for people with disability.</w:t>
      </w:r>
    </w:p>
    <w:p w14:paraId="7984DC2A" w14:textId="1078F3AA" w:rsidR="00FC6F4F" w:rsidRDefault="00FC6F4F" w:rsidP="00897193">
      <w:pPr>
        <w:pStyle w:val="ARbody"/>
      </w:pPr>
      <w:r w:rsidRPr="002029AF">
        <w:t xml:space="preserve">The inaugural </w:t>
      </w:r>
      <w:r w:rsidRPr="002029AF">
        <w:rPr>
          <w:i/>
        </w:rPr>
        <w:t xml:space="preserve">Department of Health and Human Services disability action plan 2018–2020 </w:t>
      </w:r>
      <w:r w:rsidRPr="002029AF">
        <w:t xml:space="preserve">(the plan) </w:t>
      </w:r>
      <w:r>
        <w:t>set</w:t>
      </w:r>
      <w:r w:rsidRPr="002029AF">
        <w:t xml:space="preserve"> the standard for how we want to operate as a truly inclusive work, policy and service environment. The plan provide</w:t>
      </w:r>
      <w:r>
        <w:t>d</w:t>
      </w:r>
      <w:r w:rsidRPr="002029AF">
        <w:t xml:space="preserve"> a three-year framework for change, with publicly available annual implementation plans aligned to financial years to maintain momentum.</w:t>
      </w:r>
      <w:r w:rsidR="00F8606E">
        <w:t xml:space="preserve"> </w:t>
      </w:r>
      <w:r>
        <w:t>This material is available on the former department</w:t>
      </w:r>
      <w:r w:rsidR="007D145B">
        <w:t>’</w:t>
      </w:r>
      <w:r>
        <w:t>s website</w:t>
      </w:r>
      <w:r w:rsidRPr="002029AF">
        <w:t xml:space="preserve">: </w:t>
      </w:r>
      <w:hyperlink r:id="rId94" w:history="1">
        <w:r w:rsidRPr="00791FED">
          <w:rPr>
            <w:rStyle w:val="Hyperlink"/>
          </w:rPr>
          <w:t>Disability Action Plan 2018–2020</w:t>
        </w:r>
      </w:hyperlink>
      <w:r>
        <w:t xml:space="preserve"> </w:t>
      </w:r>
      <w:r w:rsidRPr="002029AF">
        <w:t>&lt;https://www.dhhs.vic.gov.au/publications/</w:t>
      </w:r>
      <w:r w:rsidR="007915F1">
        <w:br/>
      </w:r>
      <w:r w:rsidRPr="002029AF">
        <w:t>disability-action-plan-2018-2020&gt;</w:t>
      </w:r>
      <w:r>
        <w:t>.</w:t>
      </w:r>
    </w:p>
    <w:p w14:paraId="78FF2267" w14:textId="0CAA334B" w:rsidR="00FC6F4F" w:rsidRDefault="00FC6F4F" w:rsidP="00FC6F4F">
      <w:pPr>
        <w:pStyle w:val="ARbody"/>
      </w:pPr>
      <w:r>
        <w:t xml:space="preserve">Since the beginning of the COVID-19 pandemic and machinery of government changes in 2020, the department </w:t>
      </w:r>
      <w:r w:rsidRPr="002029AF">
        <w:t>has put disability action plan reporting on hold</w:t>
      </w:r>
      <w:r>
        <w:t xml:space="preserve">. </w:t>
      </w:r>
      <w:r w:rsidRPr="002029AF">
        <w:t>However, many of the disability action plan</w:t>
      </w:r>
      <w:r w:rsidR="007915F1">
        <w:t> </w:t>
      </w:r>
      <w:r w:rsidRPr="002029AF">
        <w:t>actions have continued or are embedded in</w:t>
      </w:r>
      <w:r w:rsidR="007915F1">
        <w:t> </w:t>
      </w:r>
      <w:r w:rsidRPr="002029AF">
        <w:t>department practice, such as</w:t>
      </w:r>
      <w:r>
        <w:t xml:space="preserve"> </w:t>
      </w:r>
      <w:r w:rsidR="006821A3">
        <w:t xml:space="preserve">the </w:t>
      </w:r>
      <w:hyperlink w:anchor="_Disability_employment_strategy" w:history="1">
        <w:r w:rsidR="00CD4CB2">
          <w:rPr>
            <w:rStyle w:val="Hyperlink"/>
          </w:rPr>
          <w:t>D</w:t>
        </w:r>
        <w:r w:rsidR="00041416" w:rsidRPr="00041416">
          <w:rPr>
            <w:rStyle w:val="Hyperlink"/>
          </w:rPr>
          <w:t>isability employment strategy</w:t>
        </w:r>
      </w:hyperlink>
      <w:r w:rsidR="00041416">
        <w:t xml:space="preserve"> </w:t>
      </w:r>
      <w:r>
        <w:t>outlined on page</w:t>
      </w:r>
      <w:r w:rsidR="004C3154">
        <w:t xml:space="preserve"> </w:t>
      </w:r>
      <w:r w:rsidR="004C3154">
        <w:fldChar w:fldCharType="begin"/>
      </w:r>
      <w:r w:rsidR="004C3154">
        <w:instrText xml:space="preserve"> PAGEREF _Ref83219711 \h </w:instrText>
      </w:r>
      <w:r w:rsidR="004C3154">
        <w:fldChar w:fldCharType="separate"/>
      </w:r>
      <w:r w:rsidR="00E71361">
        <w:rPr>
          <w:noProof/>
        </w:rPr>
        <w:t>95</w:t>
      </w:r>
      <w:r w:rsidR="004C3154">
        <w:fldChar w:fldCharType="end"/>
      </w:r>
      <w:r w:rsidR="00D00C09">
        <w:t>.</w:t>
      </w:r>
    </w:p>
    <w:p w14:paraId="6ED7C007" w14:textId="2A6F98EB" w:rsidR="00FC6F4F" w:rsidRPr="005327D3" w:rsidRDefault="00FC6F4F" w:rsidP="00FC6F4F">
      <w:pPr>
        <w:pStyle w:val="ARbody"/>
      </w:pPr>
      <w:r>
        <w:t xml:space="preserve">The department will consider its approach to </w:t>
      </w:r>
      <w:r w:rsidRPr="00D00C12">
        <w:t xml:space="preserve">disability action planning </w:t>
      </w:r>
      <w:r>
        <w:t xml:space="preserve">in consultation with the </w:t>
      </w:r>
      <w:r w:rsidRPr="000A572D">
        <w:t>Department of Families, Fairness and Housing</w:t>
      </w:r>
      <w:r w:rsidR="00FD4F04">
        <w:t>,</w:t>
      </w:r>
      <w:r w:rsidRPr="000A572D">
        <w:t xml:space="preserve"> </w:t>
      </w:r>
      <w:r w:rsidRPr="005327D3">
        <w:t>which now holds portfolio responsibility for the Act.</w:t>
      </w:r>
    </w:p>
    <w:p w14:paraId="4F24B90C" w14:textId="77777777" w:rsidR="00FC6F4F" w:rsidRPr="003379F7" w:rsidRDefault="00FC6F4F" w:rsidP="00EE3B2E">
      <w:pPr>
        <w:pStyle w:val="Heading2"/>
        <w:rPr>
          <w:rFonts w:cs="Arial"/>
        </w:rPr>
      </w:pPr>
      <w:bookmarkStart w:id="583" w:name="_Ref21960028"/>
      <w:bookmarkStart w:id="584" w:name="_Toc54690791"/>
      <w:bookmarkStart w:id="585" w:name="_Toc85121287"/>
      <w:bookmarkStart w:id="586" w:name="_Toc85121626"/>
      <w:bookmarkStart w:id="587" w:name="_Toc86075609"/>
      <w:bookmarkStart w:id="588" w:name="_Ref525208155"/>
      <w:r w:rsidRPr="003379F7">
        <w:rPr>
          <w:rFonts w:cs="Arial"/>
        </w:rPr>
        <w:t>Cemeteries and Crematoria Act 2003</w:t>
      </w:r>
      <w:bookmarkEnd w:id="583"/>
      <w:bookmarkEnd w:id="584"/>
      <w:bookmarkEnd w:id="585"/>
      <w:bookmarkEnd w:id="586"/>
      <w:bookmarkEnd w:id="587"/>
    </w:p>
    <w:p w14:paraId="4EDBDB1F" w14:textId="79219BBE" w:rsidR="00FC6F4F" w:rsidRPr="002029AF" w:rsidRDefault="00FC6F4F" w:rsidP="00897193">
      <w:pPr>
        <w:pStyle w:val="ARbody"/>
      </w:pPr>
      <w:r w:rsidRPr="002029AF">
        <w:t xml:space="preserve">In 2009 the </w:t>
      </w:r>
      <w:r w:rsidRPr="002029AF">
        <w:rPr>
          <w:i/>
        </w:rPr>
        <w:t xml:space="preserve">Cemeteries and Crematoria Act 2003 </w:t>
      </w:r>
      <w:r w:rsidRPr="002029AF">
        <w:t xml:space="preserve">was amended to require Class A cemetery trusts to pay a levy. The levy is intended to assist in defraying the cost of administering the Act, </w:t>
      </w:r>
      <w:r w:rsidR="003055BA">
        <w:t xml:space="preserve">to </w:t>
      </w:r>
      <w:r w:rsidRPr="002029AF">
        <w:t>make improvements to cemetery trust governance and administration, and to provide services to the community.</w:t>
      </w:r>
    </w:p>
    <w:p w14:paraId="63722554" w14:textId="0BE92563" w:rsidR="00FC6F4F" w:rsidRPr="002029AF" w:rsidRDefault="00FC6F4F" w:rsidP="00897193">
      <w:pPr>
        <w:pStyle w:val="ARbodybeforetable"/>
      </w:pPr>
      <w:r w:rsidRPr="002029AF">
        <w:t xml:space="preserve">The levy is set at three per cent, or a rate determined by the Minister for Health up to a maximum of five per cent, of </w:t>
      </w:r>
      <w:r w:rsidR="00FD4F04">
        <w:t xml:space="preserve">the </w:t>
      </w:r>
      <w:r w:rsidRPr="002029AF">
        <w:t>gross earnings from the previous financial year</w:t>
      </w:r>
      <w:r w:rsidR="00FD4F04">
        <w:t xml:space="preserve"> of </w:t>
      </w:r>
      <w:r w:rsidR="00FD4F04" w:rsidRPr="002029AF">
        <w:t>each Class A cemetery trust</w:t>
      </w:r>
      <w:r w:rsidRPr="002029AF">
        <w:t>. The following table details the amount paid as levy, the amount appropriated and the matters on which the appropriated money was expended.</w:t>
      </w:r>
    </w:p>
    <w:tbl>
      <w:tblPr>
        <w:tblW w:w="4593" w:type="dxa"/>
        <w:tblBorders>
          <w:left w:val="single" w:sz="8" w:space="0" w:color="FFFFFF"/>
          <w:bottom w:val="single" w:sz="4" w:space="0" w:color="auto"/>
          <w:right w:val="single" w:sz="8" w:space="0" w:color="FFFFFF"/>
          <w:insideH w:val="single" w:sz="4" w:space="0" w:color="auto"/>
          <w:insideV w:val="single" w:sz="8" w:space="0" w:color="FFFFFF"/>
        </w:tblBorders>
        <w:tblCellMar>
          <w:left w:w="0" w:type="dxa"/>
          <w:right w:w="0" w:type="dxa"/>
        </w:tblCellMar>
        <w:tblLook w:val="04A0" w:firstRow="1" w:lastRow="0" w:firstColumn="1" w:lastColumn="0" w:noHBand="0" w:noVBand="1"/>
      </w:tblPr>
      <w:tblGrid>
        <w:gridCol w:w="2522"/>
        <w:gridCol w:w="2071"/>
      </w:tblGrid>
      <w:tr w:rsidR="00FC6F4F" w:rsidRPr="002029AF" w14:paraId="3842F0F7" w14:textId="77777777" w:rsidTr="00897193">
        <w:trPr>
          <w:cantSplit/>
          <w:tblHeader/>
        </w:trPr>
        <w:tc>
          <w:tcPr>
            <w:tcW w:w="2522" w:type="dxa"/>
            <w:tcMar>
              <w:top w:w="0" w:type="dxa"/>
              <w:left w:w="0" w:type="dxa"/>
              <w:bottom w:w="0" w:type="dxa"/>
              <w:right w:w="108" w:type="dxa"/>
            </w:tcMar>
            <w:vAlign w:val="bottom"/>
            <w:hideMark/>
          </w:tcPr>
          <w:p w14:paraId="2D0EE507" w14:textId="77777777" w:rsidR="00FC6F4F" w:rsidRPr="002029AF" w:rsidRDefault="00FC6F4F">
            <w:pPr>
              <w:pStyle w:val="ARtablecolhead"/>
              <w:keepNext/>
              <w:rPr>
                <w:rFonts w:eastAsiaTheme="minorHAnsi"/>
              </w:rPr>
            </w:pPr>
            <w:r w:rsidRPr="002029AF">
              <w:t>Collection of levy</w:t>
            </w:r>
          </w:p>
        </w:tc>
        <w:tc>
          <w:tcPr>
            <w:tcW w:w="2071" w:type="dxa"/>
            <w:tcMar>
              <w:top w:w="0" w:type="dxa"/>
              <w:left w:w="0" w:type="dxa"/>
              <w:bottom w:w="0" w:type="dxa"/>
              <w:right w:w="108" w:type="dxa"/>
            </w:tcMar>
            <w:vAlign w:val="bottom"/>
            <w:hideMark/>
          </w:tcPr>
          <w:p w14:paraId="2F750B65" w14:textId="77777777" w:rsidR="00FC6F4F" w:rsidRPr="002029AF" w:rsidRDefault="00FC6F4F">
            <w:pPr>
              <w:pStyle w:val="ARtablecolheadright"/>
            </w:pPr>
            <w:r w:rsidRPr="002029AF">
              <w:t>20</w:t>
            </w:r>
            <w:r>
              <w:t>20</w:t>
            </w:r>
            <w:r w:rsidRPr="002029AF">
              <w:t>–2</w:t>
            </w:r>
            <w:r>
              <w:t>1</w:t>
            </w:r>
          </w:p>
        </w:tc>
      </w:tr>
      <w:tr w:rsidR="00FC6F4F" w:rsidRPr="00603A48" w14:paraId="240E38AB" w14:textId="77777777" w:rsidTr="00897193">
        <w:trPr>
          <w:cantSplit/>
        </w:trPr>
        <w:tc>
          <w:tcPr>
            <w:tcW w:w="2522" w:type="dxa"/>
            <w:tcMar>
              <w:top w:w="0" w:type="dxa"/>
              <w:left w:w="0" w:type="dxa"/>
              <w:bottom w:w="0" w:type="dxa"/>
              <w:right w:w="108" w:type="dxa"/>
            </w:tcMar>
            <w:hideMark/>
          </w:tcPr>
          <w:p w14:paraId="7B23144F" w14:textId="77777777" w:rsidR="00FC6F4F" w:rsidRPr="00603A48" w:rsidRDefault="00FC6F4F" w:rsidP="007915F1">
            <w:pPr>
              <w:pStyle w:val="ARtabletext"/>
            </w:pPr>
            <w:r w:rsidRPr="00603A48">
              <w:t>Metropolitan trusts</w:t>
            </w:r>
          </w:p>
        </w:tc>
        <w:tc>
          <w:tcPr>
            <w:tcW w:w="2071" w:type="dxa"/>
            <w:tcMar>
              <w:top w:w="0" w:type="dxa"/>
              <w:left w:w="0" w:type="dxa"/>
              <w:bottom w:w="0" w:type="dxa"/>
              <w:right w:w="108" w:type="dxa"/>
            </w:tcMar>
            <w:hideMark/>
          </w:tcPr>
          <w:p w14:paraId="0BCF2013" w14:textId="77777777" w:rsidR="00FC6F4F" w:rsidRPr="00603A48" w:rsidRDefault="00FC6F4F">
            <w:pPr>
              <w:pStyle w:val="ARtabletextright"/>
            </w:pPr>
            <w:r w:rsidRPr="00603A48">
              <w:t>$</w:t>
            </w:r>
            <w:r w:rsidRPr="00603A48">
              <w:rPr>
                <w:color w:val="000000"/>
              </w:rPr>
              <w:t>4,245,000</w:t>
            </w:r>
          </w:p>
        </w:tc>
      </w:tr>
      <w:tr w:rsidR="00FC6F4F" w:rsidRPr="00603A48" w14:paraId="59F642BF" w14:textId="77777777" w:rsidTr="00897193">
        <w:trPr>
          <w:cantSplit/>
        </w:trPr>
        <w:tc>
          <w:tcPr>
            <w:tcW w:w="2522" w:type="dxa"/>
            <w:tcMar>
              <w:top w:w="0" w:type="dxa"/>
              <w:left w:w="0" w:type="dxa"/>
              <w:bottom w:w="0" w:type="dxa"/>
              <w:right w:w="108" w:type="dxa"/>
            </w:tcMar>
            <w:hideMark/>
          </w:tcPr>
          <w:p w14:paraId="50A0C1B3" w14:textId="77777777" w:rsidR="00FC6F4F" w:rsidRPr="00603A48" w:rsidRDefault="00FC6F4F">
            <w:pPr>
              <w:pStyle w:val="ARtabletext"/>
            </w:pPr>
            <w:r w:rsidRPr="00603A48">
              <w:t>Rural trusts</w:t>
            </w:r>
          </w:p>
        </w:tc>
        <w:tc>
          <w:tcPr>
            <w:tcW w:w="2071" w:type="dxa"/>
            <w:tcMar>
              <w:top w:w="0" w:type="dxa"/>
              <w:left w:w="0" w:type="dxa"/>
              <w:bottom w:w="0" w:type="dxa"/>
              <w:right w:w="108" w:type="dxa"/>
            </w:tcMar>
            <w:hideMark/>
          </w:tcPr>
          <w:p w14:paraId="4233D81A" w14:textId="77777777" w:rsidR="00FC6F4F" w:rsidRPr="00603A48" w:rsidRDefault="00FC6F4F">
            <w:pPr>
              <w:pStyle w:val="ARtabletextright"/>
            </w:pPr>
            <w:r w:rsidRPr="00603A48">
              <w:rPr>
                <w:color w:val="000000"/>
              </w:rPr>
              <w:t>$391,224</w:t>
            </w:r>
          </w:p>
        </w:tc>
      </w:tr>
      <w:tr w:rsidR="00FC6F4F" w:rsidRPr="002029AF" w14:paraId="68F4470C" w14:textId="77777777" w:rsidTr="00897193">
        <w:trPr>
          <w:cantSplit/>
        </w:trPr>
        <w:tc>
          <w:tcPr>
            <w:tcW w:w="2522" w:type="dxa"/>
            <w:tcMar>
              <w:top w:w="0" w:type="dxa"/>
              <w:left w:w="0" w:type="dxa"/>
              <w:bottom w:w="0" w:type="dxa"/>
              <w:right w:w="108" w:type="dxa"/>
            </w:tcMar>
            <w:hideMark/>
          </w:tcPr>
          <w:p w14:paraId="576B8967" w14:textId="77777777" w:rsidR="00FC6F4F" w:rsidRPr="002029AF" w:rsidRDefault="00FC6F4F">
            <w:pPr>
              <w:pStyle w:val="ARtabletextbold"/>
            </w:pPr>
            <w:r w:rsidRPr="002029AF">
              <w:t>Total amount collected</w:t>
            </w:r>
          </w:p>
        </w:tc>
        <w:tc>
          <w:tcPr>
            <w:tcW w:w="2071" w:type="dxa"/>
            <w:tcMar>
              <w:top w:w="0" w:type="dxa"/>
              <w:left w:w="0" w:type="dxa"/>
              <w:bottom w:w="0" w:type="dxa"/>
              <w:right w:w="108" w:type="dxa"/>
            </w:tcMar>
            <w:hideMark/>
          </w:tcPr>
          <w:p w14:paraId="53832376" w14:textId="77777777" w:rsidR="00FC6F4F" w:rsidRPr="002029AF" w:rsidRDefault="00FC6F4F">
            <w:pPr>
              <w:pStyle w:val="ARtabletextright"/>
              <w:rPr>
                <w:b/>
                <w:bCs/>
              </w:rPr>
            </w:pPr>
            <w:r w:rsidRPr="002029AF">
              <w:rPr>
                <w:b/>
                <w:bCs/>
                <w:color w:val="000000"/>
              </w:rPr>
              <w:t>$4,</w:t>
            </w:r>
            <w:r>
              <w:rPr>
                <w:b/>
                <w:bCs/>
                <w:color w:val="000000"/>
              </w:rPr>
              <w:t>636,224</w:t>
            </w:r>
          </w:p>
        </w:tc>
      </w:tr>
    </w:tbl>
    <w:p w14:paraId="7E5687C0" w14:textId="77777777" w:rsidR="00FC6F4F" w:rsidRPr="002029AF" w:rsidRDefault="00FC6F4F" w:rsidP="00897193">
      <w:pPr>
        <w:pStyle w:val="ARbody"/>
      </w:pPr>
    </w:p>
    <w:tbl>
      <w:tblPr>
        <w:tblW w:w="4593" w:type="dxa"/>
        <w:tblBorders>
          <w:left w:val="single" w:sz="8" w:space="0" w:color="FFFFFF"/>
          <w:bottom w:val="single" w:sz="4" w:space="0" w:color="auto"/>
          <w:right w:val="single" w:sz="8" w:space="0" w:color="FFFFFF"/>
          <w:insideH w:val="single" w:sz="4" w:space="0" w:color="auto"/>
          <w:insideV w:val="single" w:sz="8" w:space="0" w:color="FFFFFF"/>
        </w:tblBorders>
        <w:tblCellMar>
          <w:left w:w="0" w:type="dxa"/>
          <w:right w:w="0" w:type="dxa"/>
        </w:tblCellMar>
        <w:tblLook w:val="04A0" w:firstRow="1" w:lastRow="0" w:firstColumn="1" w:lastColumn="0" w:noHBand="0" w:noVBand="1"/>
      </w:tblPr>
      <w:tblGrid>
        <w:gridCol w:w="2873"/>
        <w:gridCol w:w="1720"/>
      </w:tblGrid>
      <w:tr w:rsidR="00FC6F4F" w:rsidRPr="002029AF" w14:paraId="6813767F" w14:textId="77777777" w:rsidTr="00897193">
        <w:trPr>
          <w:cantSplit/>
          <w:tblHeader/>
        </w:trPr>
        <w:tc>
          <w:tcPr>
            <w:tcW w:w="2873" w:type="dxa"/>
            <w:tcMar>
              <w:top w:w="0" w:type="dxa"/>
              <w:left w:w="0" w:type="dxa"/>
              <w:bottom w:w="0" w:type="dxa"/>
              <w:right w:w="108" w:type="dxa"/>
            </w:tcMar>
            <w:vAlign w:val="bottom"/>
            <w:hideMark/>
          </w:tcPr>
          <w:p w14:paraId="58A2BC45" w14:textId="77777777" w:rsidR="00FC6F4F" w:rsidRPr="002029AF" w:rsidRDefault="00FC6F4F">
            <w:pPr>
              <w:pStyle w:val="ARtablecolhead"/>
            </w:pPr>
            <w:r w:rsidRPr="002029AF">
              <w:t>Departmental expenditure (category)</w:t>
            </w:r>
          </w:p>
        </w:tc>
        <w:tc>
          <w:tcPr>
            <w:tcW w:w="1720" w:type="dxa"/>
            <w:tcMar>
              <w:top w:w="0" w:type="dxa"/>
              <w:left w:w="0" w:type="dxa"/>
              <w:bottom w:w="0" w:type="dxa"/>
              <w:right w:w="108" w:type="dxa"/>
            </w:tcMar>
            <w:vAlign w:val="bottom"/>
            <w:hideMark/>
          </w:tcPr>
          <w:p w14:paraId="761D9614" w14:textId="77777777" w:rsidR="00FC6F4F" w:rsidRPr="002029AF" w:rsidRDefault="00FC6F4F">
            <w:pPr>
              <w:pStyle w:val="ARtablecolheadright"/>
            </w:pPr>
            <w:r w:rsidRPr="002029AF">
              <w:t>20</w:t>
            </w:r>
            <w:r>
              <w:t>20</w:t>
            </w:r>
            <w:r w:rsidRPr="002029AF">
              <w:t>–2</w:t>
            </w:r>
            <w:r>
              <w:t>1</w:t>
            </w:r>
          </w:p>
        </w:tc>
      </w:tr>
      <w:tr w:rsidR="00FC6F4F" w:rsidRPr="002029AF" w14:paraId="4C501FDE" w14:textId="77777777" w:rsidTr="00897193">
        <w:trPr>
          <w:cantSplit/>
        </w:trPr>
        <w:tc>
          <w:tcPr>
            <w:tcW w:w="2873" w:type="dxa"/>
            <w:tcMar>
              <w:top w:w="0" w:type="dxa"/>
              <w:left w:w="0" w:type="dxa"/>
              <w:bottom w:w="0" w:type="dxa"/>
              <w:right w:w="108" w:type="dxa"/>
            </w:tcMar>
            <w:hideMark/>
          </w:tcPr>
          <w:p w14:paraId="4DB5E271" w14:textId="77777777" w:rsidR="00FC6F4F" w:rsidRPr="002029AF" w:rsidRDefault="00FC6F4F">
            <w:pPr>
              <w:pStyle w:val="ARtabletext"/>
            </w:pPr>
            <w:r w:rsidRPr="002029AF">
              <w:t>Sector reform initiatives</w:t>
            </w:r>
          </w:p>
        </w:tc>
        <w:tc>
          <w:tcPr>
            <w:tcW w:w="1720" w:type="dxa"/>
            <w:tcMar>
              <w:top w:w="0" w:type="dxa"/>
              <w:left w:w="0" w:type="dxa"/>
              <w:bottom w:w="0" w:type="dxa"/>
              <w:right w:w="108" w:type="dxa"/>
            </w:tcMar>
            <w:hideMark/>
          </w:tcPr>
          <w:p w14:paraId="55BCF000" w14:textId="77777777" w:rsidR="00FC6F4F" w:rsidRPr="002029AF" w:rsidRDefault="00FC6F4F">
            <w:pPr>
              <w:pStyle w:val="ARtabletextright"/>
            </w:pPr>
            <w:r w:rsidRPr="002029AF">
              <w:t>$0</w:t>
            </w:r>
          </w:p>
        </w:tc>
      </w:tr>
      <w:tr w:rsidR="00FC6F4F" w:rsidRPr="002029AF" w14:paraId="55468069" w14:textId="77777777" w:rsidTr="00897193">
        <w:trPr>
          <w:cantSplit/>
        </w:trPr>
        <w:tc>
          <w:tcPr>
            <w:tcW w:w="2873" w:type="dxa"/>
            <w:tcMar>
              <w:top w:w="0" w:type="dxa"/>
              <w:left w:w="0" w:type="dxa"/>
              <w:bottom w:w="0" w:type="dxa"/>
              <w:right w:w="108" w:type="dxa"/>
            </w:tcMar>
            <w:hideMark/>
          </w:tcPr>
          <w:p w14:paraId="38E368C2" w14:textId="77777777" w:rsidR="00FC6F4F" w:rsidRPr="002029AF" w:rsidRDefault="00FC6F4F">
            <w:pPr>
              <w:pStyle w:val="ARtabletext"/>
            </w:pPr>
            <w:r w:rsidRPr="002029AF">
              <w:t>Governance support</w:t>
            </w:r>
          </w:p>
        </w:tc>
        <w:tc>
          <w:tcPr>
            <w:tcW w:w="1720" w:type="dxa"/>
            <w:tcMar>
              <w:top w:w="0" w:type="dxa"/>
              <w:left w:w="0" w:type="dxa"/>
              <w:bottom w:w="0" w:type="dxa"/>
              <w:right w:w="108" w:type="dxa"/>
            </w:tcMar>
            <w:hideMark/>
          </w:tcPr>
          <w:p w14:paraId="07369D8B" w14:textId="77777777" w:rsidR="00FC6F4F" w:rsidRPr="002029AF" w:rsidRDefault="00FC6F4F">
            <w:pPr>
              <w:pStyle w:val="ARtabletextright"/>
            </w:pPr>
            <w:r w:rsidRPr="002029AF">
              <w:t>$1,</w:t>
            </w:r>
            <w:r>
              <w:t>122</w:t>
            </w:r>
            <w:r w:rsidRPr="002029AF">
              <w:t>,</w:t>
            </w:r>
            <w:r>
              <w:t>919</w:t>
            </w:r>
          </w:p>
        </w:tc>
      </w:tr>
      <w:tr w:rsidR="00FC6F4F" w:rsidRPr="002029AF" w14:paraId="722A5BA6" w14:textId="77777777" w:rsidTr="00897193">
        <w:trPr>
          <w:cantSplit/>
        </w:trPr>
        <w:tc>
          <w:tcPr>
            <w:tcW w:w="2873" w:type="dxa"/>
            <w:tcMar>
              <w:top w:w="0" w:type="dxa"/>
              <w:left w:w="0" w:type="dxa"/>
              <w:bottom w:w="0" w:type="dxa"/>
              <w:right w:w="108" w:type="dxa"/>
            </w:tcMar>
            <w:hideMark/>
          </w:tcPr>
          <w:p w14:paraId="0CB92EB7" w14:textId="77777777" w:rsidR="00FC6F4F" w:rsidRPr="002029AF" w:rsidRDefault="00FC6F4F">
            <w:pPr>
              <w:pStyle w:val="ARtabletext"/>
            </w:pPr>
            <w:r w:rsidRPr="002029AF">
              <w:t>Sector grants</w:t>
            </w:r>
          </w:p>
        </w:tc>
        <w:tc>
          <w:tcPr>
            <w:tcW w:w="1720" w:type="dxa"/>
            <w:tcMar>
              <w:top w:w="0" w:type="dxa"/>
              <w:left w:w="0" w:type="dxa"/>
              <w:bottom w:w="0" w:type="dxa"/>
              <w:right w:w="108" w:type="dxa"/>
            </w:tcMar>
            <w:hideMark/>
          </w:tcPr>
          <w:p w14:paraId="3741CB8B" w14:textId="77777777" w:rsidR="00FC6F4F" w:rsidRPr="002029AF" w:rsidRDefault="00FC6F4F">
            <w:pPr>
              <w:pStyle w:val="ARtabletextright"/>
            </w:pPr>
            <w:r w:rsidRPr="002029AF">
              <w:t>$</w:t>
            </w:r>
            <w:r>
              <w:t>1</w:t>
            </w:r>
            <w:r w:rsidRPr="002029AF">
              <w:t>,</w:t>
            </w:r>
            <w:r>
              <w:t>691</w:t>
            </w:r>
            <w:r w:rsidRPr="002029AF">
              <w:t>,</w:t>
            </w:r>
            <w:r>
              <w:t>775</w:t>
            </w:r>
          </w:p>
        </w:tc>
      </w:tr>
      <w:tr w:rsidR="00FC6F4F" w:rsidRPr="002029AF" w14:paraId="51FA5E2B" w14:textId="77777777" w:rsidTr="00897193">
        <w:trPr>
          <w:cantSplit/>
        </w:trPr>
        <w:tc>
          <w:tcPr>
            <w:tcW w:w="2873" w:type="dxa"/>
            <w:tcMar>
              <w:top w:w="0" w:type="dxa"/>
              <w:left w:w="0" w:type="dxa"/>
              <w:bottom w:w="0" w:type="dxa"/>
              <w:right w:w="108" w:type="dxa"/>
            </w:tcMar>
            <w:hideMark/>
          </w:tcPr>
          <w:p w14:paraId="5E0AEC6F" w14:textId="77777777" w:rsidR="00FC6F4F" w:rsidRPr="002029AF" w:rsidRDefault="00FC6F4F">
            <w:pPr>
              <w:pStyle w:val="ARtabletext"/>
            </w:pPr>
            <w:r w:rsidRPr="002029AF">
              <w:t>Sector policy, development and coordination</w:t>
            </w:r>
          </w:p>
        </w:tc>
        <w:tc>
          <w:tcPr>
            <w:tcW w:w="1720" w:type="dxa"/>
            <w:tcMar>
              <w:top w:w="0" w:type="dxa"/>
              <w:left w:w="0" w:type="dxa"/>
              <w:bottom w:w="0" w:type="dxa"/>
              <w:right w:w="108" w:type="dxa"/>
            </w:tcMar>
            <w:hideMark/>
          </w:tcPr>
          <w:p w14:paraId="641D4559" w14:textId="77777777" w:rsidR="00FC6F4F" w:rsidRPr="002029AF" w:rsidRDefault="00FC6F4F">
            <w:pPr>
              <w:pStyle w:val="ARtabletextright"/>
            </w:pPr>
            <w:r w:rsidRPr="002029AF">
              <w:t>$3</w:t>
            </w:r>
            <w:r>
              <w:t>74</w:t>
            </w:r>
            <w:r w:rsidRPr="002029AF">
              <w:t>,</w:t>
            </w:r>
            <w:r>
              <w:t>306</w:t>
            </w:r>
          </w:p>
        </w:tc>
      </w:tr>
      <w:tr w:rsidR="00FC6F4F" w:rsidRPr="002029AF" w14:paraId="369C1FEE" w14:textId="77777777" w:rsidTr="003048F1">
        <w:trPr>
          <w:cantSplit/>
        </w:trPr>
        <w:tc>
          <w:tcPr>
            <w:tcW w:w="2873" w:type="dxa"/>
            <w:tcBorders>
              <w:bottom w:val="single" w:sz="4" w:space="0" w:color="auto"/>
            </w:tcBorders>
            <w:tcMar>
              <w:top w:w="0" w:type="dxa"/>
              <w:left w:w="0" w:type="dxa"/>
              <w:bottom w:w="0" w:type="dxa"/>
              <w:right w:w="108" w:type="dxa"/>
            </w:tcMar>
            <w:hideMark/>
          </w:tcPr>
          <w:p w14:paraId="0CFB749C" w14:textId="77777777" w:rsidR="00FC6F4F" w:rsidRPr="002029AF" w:rsidRDefault="00FC6F4F">
            <w:pPr>
              <w:pStyle w:val="ARtabletext"/>
            </w:pPr>
            <w:r w:rsidRPr="002029AF">
              <w:t>Insurance premiums and claims</w:t>
            </w:r>
          </w:p>
        </w:tc>
        <w:tc>
          <w:tcPr>
            <w:tcW w:w="1720" w:type="dxa"/>
            <w:tcBorders>
              <w:bottom w:val="single" w:sz="4" w:space="0" w:color="auto"/>
            </w:tcBorders>
            <w:tcMar>
              <w:top w:w="0" w:type="dxa"/>
              <w:left w:w="0" w:type="dxa"/>
              <w:bottom w:w="0" w:type="dxa"/>
              <w:right w:w="108" w:type="dxa"/>
            </w:tcMar>
            <w:hideMark/>
          </w:tcPr>
          <w:p w14:paraId="25B5481C" w14:textId="77777777" w:rsidR="00FC6F4F" w:rsidRPr="002029AF" w:rsidRDefault="00FC6F4F">
            <w:pPr>
              <w:pStyle w:val="ARtabletextright"/>
            </w:pPr>
            <w:r w:rsidRPr="002029AF">
              <w:t>$</w:t>
            </w:r>
            <w:r>
              <w:t>1,151,059</w:t>
            </w:r>
          </w:p>
        </w:tc>
      </w:tr>
      <w:tr w:rsidR="00FC6F4F" w:rsidRPr="002029AF" w14:paraId="7E71A150" w14:textId="77777777" w:rsidTr="003048F1">
        <w:trPr>
          <w:cantSplit/>
        </w:trPr>
        <w:tc>
          <w:tcPr>
            <w:tcW w:w="2873" w:type="dxa"/>
            <w:tcBorders>
              <w:top w:val="single" w:sz="4" w:space="0" w:color="auto"/>
              <w:bottom w:val="single" w:sz="4" w:space="0" w:color="auto"/>
            </w:tcBorders>
            <w:tcMar>
              <w:top w:w="0" w:type="dxa"/>
              <w:left w:w="0" w:type="dxa"/>
              <w:bottom w:w="0" w:type="dxa"/>
              <w:right w:w="108" w:type="dxa"/>
            </w:tcMar>
            <w:hideMark/>
          </w:tcPr>
          <w:p w14:paraId="1E81CB6C" w14:textId="77777777" w:rsidR="00FC6F4F" w:rsidRPr="002029AF" w:rsidRDefault="00FC6F4F">
            <w:pPr>
              <w:pStyle w:val="ARtabletextbold"/>
            </w:pPr>
            <w:r w:rsidRPr="002029AF">
              <w:t>Total expenditure</w:t>
            </w:r>
          </w:p>
        </w:tc>
        <w:tc>
          <w:tcPr>
            <w:tcW w:w="1720" w:type="dxa"/>
            <w:tcBorders>
              <w:top w:val="single" w:sz="4" w:space="0" w:color="auto"/>
              <w:bottom w:val="single" w:sz="4" w:space="0" w:color="auto"/>
            </w:tcBorders>
            <w:tcMar>
              <w:top w:w="0" w:type="dxa"/>
              <w:left w:w="0" w:type="dxa"/>
              <w:bottom w:w="0" w:type="dxa"/>
              <w:right w:w="108" w:type="dxa"/>
            </w:tcMar>
            <w:hideMark/>
          </w:tcPr>
          <w:p w14:paraId="7465BF87" w14:textId="77777777" w:rsidR="00FC6F4F" w:rsidRPr="002029AF" w:rsidRDefault="00FC6F4F">
            <w:pPr>
              <w:pStyle w:val="ARtabletextright"/>
              <w:rPr>
                <w:b/>
                <w:bCs/>
              </w:rPr>
            </w:pPr>
            <w:r w:rsidRPr="002029AF">
              <w:rPr>
                <w:b/>
                <w:bCs/>
              </w:rPr>
              <w:t>$</w:t>
            </w:r>
            <w:r>
              <w:rPr>
                <w:b/>
                <w:bCs/>
              </w:rPr>
              <w:t>4,340,059</w:t>
            </w:r>
          </w:p>
        </w:tc>
      </w:tr>
    </w:tbl>
    <w:p w14:paraId="5F4C3255" w14:textId="6B784088" w:rsidR="00FC6F4F" w:rsidRPr="003379F7" w:rsidRDefault="009D1AA8" w:rsidP="001F7C04">
      <w:pPr>
        <w:pStyle w:val="Heading2"/>
        <w:spacing w:before="0"/>
        <w:rPr>
          <w:rFonts w:cs="Arial"/>
        </w:rPr>
      </w:pPr>
      <w:bookmarkStart w:id="589" w:name="_Ref525207539"/>
      <w:bookmarkStart w:id="590" w:name="_Ref21960989"/>
      <w:bookmarkStart w:id="591" w:name="_Toc54690792"/>
      <w:bookmarkEnd w:id="588"/>
      <w:bookmarkEnd w:id="589"/>
      <w:r>
        <w:br w:type="column"/>
      </w:r>
      <w:bookmarkStart w:id="592" w:name="_Ref84240859"/>
      <w:bookmarkStart w:id="593" w:name="_Toc85121288"/>
      <w:bookmarkStart w:id="594" w:name="_Toc85121627"/>
      <w:bookmarkStart w:id="595" w:name="_Toc86075610"/>
      <w:r w:rsidR="00FC6F4F" w:rsidRPr="003379F7">
        <w:rPr>
          <w:rFonts w:cs="Arial"/>
        </w:rPr>
        <w:lastRenderedPageBreak/>
        <w:t>Public Health and Wellbeing Act 2008</w:t>
      </w:r>
      <w:bookmarkEnd w:id="590"/>
      <w:bookmarkEnd w:id="591"/>
      <w:bookmarkEnd w:id="592"/>
      <w:bookmarkEnd w:id="593"/>
      <w:bookmarkEnd w:id="594"/>
      <w:bookmarkEnd w:id="595"/>
    </w:p>
    <w:p w14:paraId="0933E297" w14:textId="6BFCE7ED" w:rsidR="00FC6F4F" w:rsidRPr="002029AF" w:rsidRDefault="00FC6F4F" w:rsidP="00897193">
      <w:pPr>
        <w:pStyle w:val="ARbody"/>
      </w:pPr>
      <w:r w:rsidRPr="002029AF">
        <w:t xml:space="preserve">The </w:t>
      </w:r>
      <w:r w:rsidRPr="002029AF">
        <w:rPr>
          <w:i/>
        </w:rPr>
        <w:t xml:space="preserve">Public Health and Wellbeing Act 2008 </w:t>
      </w:r>
      <w:r w:rsidRPr="002029AF">
        <w:t>(the Act)</w:t>
      </w:r>
      <w:r w:rsidRPr="002029AF">
        <w:rPr>
          <w:i/>
        </w:rPr>
        <w:t xml:space="preserve"> </w:t>
      </w:r>
      <w:r w:rsidRPr="002029AF">
        <w:t>and the</w:t>
      </w:r>
      <w:r w:rsidRPr="002029AF">
        <w:rPr>
          <w:i/>
        </w:rPr>
        <w:t xml:space="preserve"> </w:t>
      </w:r>
      <w:r w:rsidRPr="002029AF">
        <w:t>Public Health and Wellbeing Regulations 2009 came into effect on 1 January 2010.</w:t>
      </w:r>
      <w:r>
        <w:t xml:space="preserve"> The Public Health and Wellbeing Regulations 2019 replaced the Public Health and Wellbeing Regulations 2009 on 14 December 2019.</w:t>
      </w:r>
    </w:p>
    <w:p w14:paraId="26886A10" w14:textId="77777777" w:rsidR="00FC6F4F" w:rsidRPr="002029AF" w:rsidRDefault="00FC6F4F" w:rsidP="00897193">
      <w:pPr>
        <w:pStyle w:val="ARbody"/>
      </w:pPr>
      <w:r w:rsidRPr="002029AF">
        <w:t>The Act promotes and protects public health and wellbeing in Victoria.</w:t>
      </w:r>
    </w:p>
    <w:p w14:paraId="5A59ABEC" w14:textId="77777777" w:rsidR="00FC6F4F" w:rsidRPr="002029AF" w:rsidRDefault="00FC6F4F" w:rsidP="00897193">
      <w:pPr>
        <w:pStyle w:val="ARbody"/>
      </w:pPr>
      <w:r w:rsidRPr="002029AF">
        <w:t>Under s. 21 of the Act, the Chief Health Officer has a number of functions and powers. These include:</w:t>
      </w:r>
    </w:p>
    <w:p w14:paraId="3D255AD8" w14:textId="77777777" w:rsidR="00FC6F4F" w:rsidRPr="002029AF" w:rsidRDefault="00FC6F4F" w:rsidP="00897193">
      <w:pPr>
        <w:pStyle w:val="ARbullet1"/>
      </w:pPr>
      <w:r w:rsidRPr="002029AF">
        <w:t>to develop and implement strategies to promote and protect public health and wellbeing</w:t>
      </w:r>
    </w:p>
    <w:p w14:paraId="5D1AEFB3" w14:textId="77777777" w:rsidR="00FC6F4F" w:rsidRPr="002029AF" w:rsidRDefault="00FC6F4F" w:rsidP="00897193">
      <w:pPr>
        <w:pStyle w:val="ARbullet1"/>
      </w:pPr>
      <w:r w:rsidRPr="002029AF">
        <w:t>to provide advice to the Minister for Health or the Secretary on matters relating to public health and wellbeing</w:t>
      </w:r>
    </w:p>
    <w:p w14:paraId="6D6AA10F" w14:textId="7F738321" w:rsidR="00FC6F4F" w:rsidRPr="002029AF" w:rsidRDefault="00FC6F4F" w:rsidP="00AC75DE">
      <w:pPr>
        <w:pStyle w:val="ARbullet1"/>
      </w:pPr>
      <w:r w:rsidRPr="002029AF">
        <w:t>to publish on a biennial basis and make available in an accessible manner to members of the public a comprehensive report on public health and</w:t>
      </w:r>
      <w:r w:rsidR="009D1AA8">
        <w:t xml:space="preserve"> </w:t>
      </w:r>
      <w:r w:rsidRPr="002029AF">
        <w:t>wellbeing in Victoria</w:t>
      </w:r>
    </w:p>
    <w:p w14:paraId="2EB1A008" w14:textId="77777777" w:rsidR="00FC6F4F" w:rsidRPr="002029AF" w:rsidRDefault="00FC6F4F" w:rsidP="00897193">
      <w:pPr>
        <w:pStyle w:val="ARbullet1"/>
      </w:pPr>
      <w:r w:rsidRPr="002029AF">
        <w:t>to perform any other functions or exercise any powers specified under this Act or any other Act or under any regulations made under this or any other Act.</w:t>
      </w:r>
    </w:p>
    <w:p w14:paraId="6F5515D1" w14:textId="77777777" w:rsidR="00FC6F4F" w:rsidRPr="002029AF" w:rsidRDefault="00FC6F4F" w:rsidP="00897193">
      <w:pPr>
        <w:pStyle w:val="ARbodyafterbullets"/>
      </w:pPr>
      <w:r w:rsidRPr="002029AF">
        <w:t>Under the Act, the Chief Health Officer is also empowered to make certain orders that may impact on individuals in order to protect the community from infectious diseases. These include orders to compel a person to be examined or tested for an infectious disease or to refrain from certain activities that may pose a serious risk to public health.</w:t>
      </w:r>
    </w:p>
    <w:p w14:paraId="2E32D4A2" w14:textId="3EC2549E" w:rsidR="00FC6F4F" w:rsidRPr="002029AF" w:rsidRDefault="00FC6F4F" w:rsidP="00897193">
      <w:pPr>
        <w:pStyle w:val="ARbody"/>
      </w:pPr>
      <w:r w:rsidRPr="002029AF">
        <w:t>The limited circumstances in which these orders may be made are clearly set out in the legislation and there are extensive human rights protections</w:t>
      </w:r>
      <w:r w:rsidR="0064455B">
        <w:t>,</w:t>
      </w:r>
      <w:r w:rsidRPr="002029AF">
        <w:t xml:space="preserve"> including rights to internal and external review.</w:t>
      </w:r>
    </w:p>
    <w:p w14:paraId="6F141F4B" w14:textId="4EF8F9AB" w:rsidR="00FC6F4F" w:rsidRDefault="00FC6F4F" w:rsidP="00897193">
      <w:pPr>
        <w:pStyle w:val="ARbody"/>
      </w:pPr>
      <w:r w:rsidRPr="002029AF">
        <w:t xml:space="preserve">The following table reports the number of orders made and </w:t>
      </w:r>
      <w:r w:rsidR="0064455B">
        <w:t xml:space="preserve">the </w:t>
      </w:r>
      <w:r w:rsidRPr="002029AF">
        <w:t>reasons for making them, as outlined in s. 143 of the Act</w:t>
      </w:r>
      <w:r w:rsidR="0064455B">
        <w:t>:</w:t>
      </w:r>
    </w:p>
    <w:p w14:paraId="3CFD40DE" w14:textId="5203FF0E" w:rsidR="00FC6F4F" w:rsidRPr="00EE3B2E" w:rsidRDefault="00970735" w:rsidP="00EE3B2E">
      <w:pPr>
        <w:pStyle w:val="ARtablecaption"/>
      </w:pPr>
      <w:r>
        <w:br w:type="column"/>
      </w:r>
      <w:r w:rsidR="00FC6F4F" w:rsidRPr="00EE3B2E">
        <w:t>Orders made by the Chief Health Officer from</w:t>
      </w:r>
      <w:r w:rsidR="00EE3B2E">
        <w:t> </w:t>
      </w:r>
      <w:r w:rsidR="00FC6F4F" w:rsidRPr="00EE3B2E">
        <w:t>1 July 2020 – 30 June 2021</w:t>
      </w:r>
    </w:p>
    <w:tbl>
      <w:tblPr>
        <w:tblW w:w="4593"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786"/>
        <w:gridCol w:w="1460"/>
        <w:gridCol w:w="789"/>
        <w:gridCol w:w="1558"/>
      </w:tblGrid>
      <w:tr w:rsidR="00FC6F4F" w:rsidRPr="002029AF" w14:paraId="5A716997" w14:textId="77777777" w:rsidTr="007126D4">
        <w:trPr>
          <w:cantSplit/>
          <w:tblHeader/>
        </w:trPr>
        <w:tc>
          <w:tcPr>
            <w:tcW w:w="0" w:type="auto"/>
            <w:shd w:val="clear" w:color="auto" w:fill="auto"/>
            <w:vAlign w:val="bottom"/>
          </w:tcPr>
          <w:p w14:paraId="5AAE6C46" w14:textId="77777777" w:rsidR="00FC6F4F" w:rsidRPr="002029AF" w:rsidRDefault="00FC6F4F" w:rsidP="00897193">
            <w:pPr>
              <w:pStyle w:val="ARtablecolhead"/>
            </w:pPr>
            <w:r w:rsidRPr="002029AF">
              <w:t>Section</w:t>
            </w:r>
          </w:p>
        </w:tc>
        <w:tc>
          <w:tcPr>
            <w:tcW w:w="1460" w:type="dxa"/>
            <w:shd w:val="clear" w:color="auto" w:fill="auto"/>
            <w:vAlign w:val="bottom"/>
          </w:tcPr>
          <w:p w14:paraId="707C9B49" w14:textId="77777777" w:rsidR="00FC6F4F" w:rsidRPr="002029AF" w:rsidRDefault="00FC6F4F" w:rsidP="00897193">
            <w:pPr>
              <w:pStyle w:val="ARtablecolhead"/>
            </w:pPr>
            <w:r w:rsidRPr="002029AF">
              <w:t>Order type</w:t>
            </w:r>
          </w:p>
        </w:tc>
        <w:tc>
          <w:tcPr>
            <w:tcW w:w="789" w:type="dxa"/>
            <w:shd w:val="clear" w:color="auto" w:fill="auto"/>
            <w:vAlign w:val="bottom"/>
          </w:tcPr>
          <w:p w14:paraId="775E21E6" w14:textId="77777777" w:rsidR="00FC6F4F" w:rsidRPr="002029AF" w:rsidRDefault="00FC6F4F" w:rsidP="00897193">
            <w:pPr>
              <w:pStyle w:val="ARtablecolhead"/>
              <w:jc w:val="center"/>
            </w:pPr>
            <w:r w:rsidRPr="002029AF">
              <w:t>Number</w:t>
            </w:r>
          </w:p>
        </w:tc>
        <w:tc>
          <w:tcPr>
            <w:tcW w:w="1558" w:type="dxa"/>
            <w:shd w:val="clear" w:color="auto" w:fill="auto"/>
            <w:vAlign w:val="bottom"/>
          </w:tcPr>
          <w:p w14:paraId="7147616C" w14:textId="77777777" w:rsidR="00FC6F4F" w:rsidRPr="002029AF" w:rsidRDefault="00FC6F4F" w:rsidP="00897193">
            <w:pPr>
              <w:pStyle w:val="ARtablecolhead"/>
            </w:pPr>
            <w:r w:rsidRPr="002029AF">
              <w:t>Reason</w:t>
            </w:r>
          </w:p>
        </w:tc>
      </w:tr>
      <w:tr w:rsidR="00FC6F4F" w:rsidRPr="002029AF" w14:paraId="4F92819E" w14:textId="77777777" w:rsidTr="007126D4">
        <w:trPr>
          <w:cantSplit/>
        </w:trPr>
        <w:tc>
          <w:tcPr>
            <w:tcW w:w="0" w:type="auto"/>
            <w:shd w:val="clear" w:color="auto" w:fill="auto"/>
          </w:tcPr>
          <w:p w14:paraId="4BEC9B59" w14:textId="77777777" w:rsidR="00FC6F4F" w:rsidRPr="002029AF" w:rsidRDefault="00FC6F4F" w:rsidP="00897193">
            <w:pPr>
              <w:pStyle w:val="ARtabletext"/>
            </w:pPr>
            <w:r w:rsidRPr="002029AF">
              <w:t>113</w:t>
            </w:r>
          </w:p>
        </w:tc>
        <w:tc>
          <w:tcPr>
            <w:tcW w:w="1460" w:type="dxa"/>
            <w:shd w:val="clear" w:color="auto" w:fill="auto"/>
          </w:tcPr>
          <w:p w14:paraId="4F1088D6" w14:textId="77777777" w:rsidR="00FC6F4F" w:rsidRPr="002029AF" w:rsidRDefault="00FC6F4F" w:rsidP="00897193">
            <w:pPr>
              <w:pStyle w:val="ARtabletext"/>
            </w:pPr>
            <w:r w:rsidRPr="002029AF">
              <w:t>Examination and testing order</w:t>
            </w:r>
          </w:p>
        </w:tc>
        <w:tc>
          <w:tcPr>
            <w:tcW w:w="789" w:type="dxa"/>
            <w:shd w:val="clear" w:color="auto" w:fill="auto"/>
          </w:tcPr>
          <w:p w14:paraId="485E5BF9" w14:textId="77777777" w:rsidR="00FC6F4F" w:rsidRPr="002029AF" w:rsidRDefault="00FC6F4F" w:rsidP="00897193">
            <w:pPr>
              <w:pStyle w:val="ARtabletextright"/>
              <w:jc w:val="center"/>
            </w:pPr>
            <w:r w:rsidRPr="002029AF">
              <w:t>0</w:t>
            </w:r>
          </w:p>
        </w:tc>
        <w:tc>
          <w:tcPr>
            <w:tcW w:w="1558" w:type="dxa"/>
            <w:shd w:val="clear" w:color="auto" w:fill="auto"/>
          </w:tcPr>
          <w:p w14:paraId="66FB3E50" w14:textId="77777777" w:rsidR="00FC6F4F" w:rsidRPr="002029AF" w:rsidRDefault="00FC6F4F" w:rsidP="00897193">
            <w:pPr>
              <w:pStyle w:val="ARtabletext"/>
            </w:pPr>
          </w:p>
        </w:tc>
      </w:tr>
      <w:tr w:rsidR="00FC6F4F" w:rsidRPr="002029AF" w14:paraId="63D3AB17" w14:textId="77777777" w:rsidTr="007126D4">
        <w:trPr>
          <w:cantSplit/>
        </w:trPr>
        <w:tc>
          <w:tcPr>
            <w:tcW w:w="0" w:type="auto"/>
            <w:shd w:val="clear" w:color="auto" w:fill="auto"/>
          </w:tcPr>
          <w:p w14:paraId="42835C38" w14:textId="77777777" w:rsidR="00FC6F4F" w:rsidRPr="002029AF" w:rsidRDefault="00FC6F4F" w:rsidP="00897193">
            <w:pPr>
              <w:pStyle w:val="ARtabletext"/>
            </w:pPr>
            <w:r w:rsidRPr="002029AF">
              <w:t>117</w:t>
            </w:r>
          </w:p>
        </w:tc>
        <w:tc>
          <w:tcPr>
            <w:tcW w:w="1460" w:type="dxa"/>
            <w:shd w:val="clear" w:color="auto" w:fill="auto"/>
          </w:tcPr>
          <w:p w14:paraId="4475B7AB" w14:textId="77777777" w:rsidR="00FC6F4F" w:rsidRPr="002029AF" w:rsidRDefault="00FC6F4F" w:rsidP="00897193">
            <w:pPr>
              <w:pStyle w:val="ARtabletext"/>
            </w:pPr>
            <w:r w:rsidRPr="002029AF">
              <w:t>Public health order</w:t>
            </w:r>
          </w:p>
        </w:tc>
        <w:tc>
          <w:tcPr>
            <w:tcW w:w="789" w:type="dxa"/>
            <w:shd w:val="clear" w:color="auto" w:fill="auto"/>
          </w:tcPr>
          <w:p w14:paraId="73140777" w14:textId="77777777" w:rsidR="00FC6F4F" w:rsidRPr="002029AF" w:rsidRDefault="00FC6F4F" w:rsidP="00897193">
            <w:pPr>
              <w:pStyle w:val="ARtabletextright"/>
              <w:jc w:val="center"/>
            </w:pPr>
            <w:r>
              <w:t>2</w:t>
            </w:r>
          </w:p>
        </w:tc>
        <w:tc>
          <w:tcPr>
            <w:tcW w:w="1558" w:type="dxa"/>
            <w:shd w:val="clear" w:color="auto" w:fill="auto"/>
          </w:tcPr>
          <w:p w14:paraId="626F5318" w14:textId="77777777" w:rsidR="00FC6F4F" w:rsidRPr="002029AF" w:rsidRDefault="00FC6F4F" w:rsidP="00897193">
            <w:pPr>
              <w:pStyle w:val="ARtabletext"/>
            </w:pPr>
            <w:r w:rsidRPr="002029AF">
              <w:t>To eliminate or reduce the risk of a person causing a serious risk to public health</w:t>
            </w:r>
          </w:p>
        </w:tc>
      </w:tr>
      <w:tr w:rsidR="00FC6F4F" w:rsidRPr="002029AF" w14:paraId="08B14A81" w14:textId="77777777" w:rsidTr="007126D4">
        <w:trPr>
          <w:cantSplit/>
        </w:trPr>
        <w:tc>
          <w:tcPr>
            <w:tcW w:w="0" w:type="auto"/>
            <w:shd w:val="clear" w:color="auto" w:fill="auto"/>
          </w:tcPr>
          <w:p w14:paraId="4A57765C" w14:textId="77777777" w:rsidR="00FC6F4F" w:rsidRPr="002029AF" w:rsidRDefault="00FC6F4F" w:rsidP="00897193">
            <w:pPr>
              <w:pStyle w:val="ARtabletext"/>
            </w:pPr>
            <w:r w:rsidRPr="002029AF">
              <w:t xml:space="preserve">118 </w:t>
            </w:r>
          </w:p>
        </w:tc>
        <w:tc>
          <w:tcPr>
            <w:tcW w:w="1460" w:type="dxa"/>
            <w:shd w:val="clear" w:color="auto" w:fill="auto"/>
          </w:tcPr>
          <w:p w14:paraId="18647B92" w14:textId="77777777" w:rsidR="00FC6F4F" w:rsidRPr="002029AF" w:rsidRDefault="00FC6F4F" w:rsidP="00897193">
            <w:pPr>
              <w:pStyle w:val="ARtabletext"/>
            </w:pPr>
            <w:r w:rsidRPr="002029AF">
              <w:t>Extension of public health order</w:t>
            </w:r>
          </w:p>
        </w:tc>
        <w:tc>
          <w:tcPr>
            <w:tcW w:w="789" w:type="dxa"/>
            <w:shd w:val="clear" w:color="auto" w:fill="auto"/>
          </w:tcPr>
          <w:p w14:paraId="61E542D7" w14:textId="77777777" w:rsidR="00FC6F4F" w:rsidRPr="002029AF" w:rsidRDefault="00FC6F4F" w:rsidP="00897193">
            <w:pPr>
              <w:pStyle w:val="ARtabletextright"/>
              <w:jc w:val="center"/>
            </w:pPr>
            <w:r>
              <w:t>1</w:t>
            </w:r>
          </w:p>
        </w:tc>
        <w:tc>
          <w:tcPr>
            <w:tcW w:w="1558" w:type="dxa"/>
            <w:shd w:val="clear" w:color="auto" w:fill="auto"/>
          </w:tcPr>
          <w:p w14:paraId="334211CA" w14:textId="77777777" w:rsidR="00FC6F4F" w:rsidRPr="002029AF" w:rsidRDefault="00FC6F4F" w:rsidP="00897193">
            <w:pPr>
              <w:pStyle w:val="ARtabletext"/>
            </w:pPr>
            <w:r w:rsidRPr="002029AF">
              <w:rPr>
                <w:lang w:eastAsia="en-US"/>
              </w:rPr>
              <w:t>To continue to eliminate or reduce the risk of a person causing a serious risk to public health</w:t>
            </w:r>
          </w:p>
        </w:tc>
      </w:tr>
      <w:tr w:rsidR="00FC6F4F" w:rsidRPr="002029AF" w14:paraId="64075EED" w14:textId="77777777" w:rsidTr="007126D4">
        <w:trPr>
          <w:cantSplit/>
        </w:trPr>
        <w:tc>
          <w:tcPr>
            <w:tcW w:w="0" w:type="auto"/>
            <w:shd w:val="clear" w:color="auto" w:fill="auto"/>
          </w:tcPr>
          <w:p w14:paraId="1483DB5B" w14:textId="77777777" w:rsidR="00FC6F4F" w:rsidRPr="002029AF" w:rsidRDefault="00FC6F4F" w:rsidP="00897193">
            <w:pPr>
              <w:pStyle w:val="ARtabletext"/>
            </w:pPr>
            <w:r w:rsidRPr="002029AF">
              <w:t>134</w:t>
            </w:r>
          </w:p>
        </w:tc>
        <w:tc>
          <w:tcPr>
            <w:tcW w:w="1460" w:type="dxa"/>
            <w:shd w:val="clear" w:color="auto" w:fill="auto"/>
          </w:tcPr>
          <w:p w14:paraId="2182F725" w14:textId="77777777" w:rsidR="00FC6F4F" w:rsidRPr="002029AF" w:rsidRDefault="00FC6F4F" w:rsidP="00897193">
            <w:pPr>
              <w:pStyle w:val="ARtabletext"/>
            </w:pPr>
            <w:r w:rsidRPr="002029AF">
              <w:t>Orders for tests if an incident has occurred</w:t>
            </w:r>
          </w:p>
        </w:tc>
        <w:tc>
          <w:tcPr>
            <w:tcW w:w="789" w:type="dxa"/>
            <w:shd w:val="clear" w:color="auto" w:fill="auto"/>
          </w:tcPr>
          <w:p w14:paraId="38500C0D" w14:textId="77777777" w:rsidR="00FC6F4F" w:rsidRPr="002029AF" w:rsidRDefault="00FC6F4F" w:rsidP="00897193">
            <w:pPr>
              <w:pStyle w:val="ARtabletextright"/>
              <w:jc w:val="center"/>
            </w:pPr>
            <w:r w:rsidRPr="002029AF">
              <w:t>0</w:t>
            </w:r>
          </w:p>
        </w:tc>
        <w:tc>
          <w:tcPr>
            <w:tcW w:w="1558" w:type="dxa"/>
            <w:shd w:val="clear" w:color="auto" w:fill="auto"/>
          </w:tcPr>
          <w:p w14:paraId="71EB1EBE" w14:textId="77777777" w:rsidR="00FC6F4F" w:rsidRPr="002029AF" w:rsidRDefault="00FC6F4F" w:rsidP="00897193">
            <w:pPr>
              <w:pStyle w:val="ARtabletext"/>
            </w:pPr>
          </w:p>
        </w:tc>
      </w:tr>
    </w:tbl>
    <w:p w14:paraId="60855271" w14:textId="77777777" w:rsidR="00EE7490" w:rsidRPr="003379F7" w:rsidRDefault="00EE7490" w:rsidP="00EE7490">
      <w:pPr>
        <w:pStyle w:val="Heading2"/>
        <w:rPr>
          <w:rFonts w:cs="Arial"/>
        </w:rPr>
      </w:pPr>
      <w:bookmarkStart w:id="596" w:name="_Ref84252196"/>
      <w:bookmarkStart w:id="597" w:name="_Toc85121289"/>
      <w:bookmarkStart w:id="598" w:name="_Toc85121628"/>
      <w:bookmarkStart w:id="599" w:name="_Toc86075611"/>
      <w:bookmarkStart w:id="600" w:name="_Toc54690799"/>
      <w:r w:rsidRPr="003379F7">
        <w:rPr>
          <w:rFonts w:cs="Arial"/>
        </w:rPr>
        <w:t>Additional departmental information available on request</w:t>
      </w:r>
      <w:bookmarkEnd w:id="596"/>
      <w:bookmarkEnd w:id="597"/>
      <w:bookmarkEnd w:id="598"/>
      <w:bookmarkEnd w:id="599"/>
    </w:p>
    <w:p w14:paraId="75B8A1B9" w14:textId="77777777" w:rsidR="00EE7490" w:rsidRDefault="00EE7490" w:rsidP="00EE7490">
      <w:pPr>
        <w:pStyle w:val="ARbody"/>
      </w:pPr>
      <w:r w:rsidRPr="003D5FCE">
        <w:t xml:space="preserve">In compliance with </w:t>
      </w:r>
      <w:r w:rsidRPr="00102EB7">
        <w:t>Financial Reporting Direction 22</w:t>
      </w:r>
      <w:r>
        <w:t xml:space="preserve">H issued </w:t>
      </w:r>
      <w:r w:rsidRPr="003D5FCE">
        <w:t xml:space="preserve">under the </w:t>
      </w:r>
      <w:r w:rsidRPr="00034F88">
        <w:rPr>
          <w:i/>
          <w:iCs/>
        </w:rPr>
        <w:t>Financial Management Act 1994</w:t>
      </w:r>
      <w:r w:rsidRPr="003D5FCE">
        <w:t xml:space="preserve">, </w:t>
      </w:r>
      <w:r>
        <w:t>information on</w:t>
      </w:r>
      <w:r w:rsidRPr="003D5FCE">
        <w:t xml:space="preserve"> the items listed below ha</w:t>
      </w:r>
      <w:r>
        <w:t>s</w:t>
      </w:r>
      <w:r w:rsidRPr="003D5FCE">
        <w:t xml:space="preserve"> been retained by the </w:t>
      </w:r>
      <w:r>
        <w:t>d</w:t>
      </w:r>
      <w:r w:rsidRPr="003D5FCE">
        <w:t xml:space="preserve">epartment and </w:t>
      </w:r>
      <w:r>
        <w:t>is</w:t>
      </w:r>
      <w:r w:rsidRPr="003D5FCE">
        <w:t xml:space="preserve"> available on request, subject to the provisions of the </w:t>
      </w:r>
      <w:r w:rsidRPr="002B00BC">
        <w:rPr>
          <w:i/>
          <w:iCs/>
        </w:rPr>
        <w:t>Freedom of Information Act 1982</w:t>
      </w:r>
      <w:r w:rsidRPr="003D5FCE">
        <w:t>.</w:t>
      </w:r>
    </w:p>
    <w:p w14:paraId="47212CE5" w14:textId="77777777" w:rsidR="00EE7490" w:rsidRDefault="00EE7490" w:rsidP="00EE7490">
      <w:pPr>
        <w:pStyle w:val="ARbullet1"/>
      </w:pPr>
      <w:r>
        <w:t>a statement that declarations of pecuniary interests have been duly completed by all relevant officers</w:t>
      </w:r>
    </w:p>
    <w:p w14:paraId="5EC41C3D" w14:textId="77777777" w:rsidR="00EE7490" w:rsidRDefault="00EE7490" w:rsidP="00EE7490">
      <w:pPr>
        <w:pStyle w:val="ARbullet1"/>
      </w:pPr>
      <w:r>
        <w:t>details of shares held by a senior officer as nominee or held beneficially in a statutory authority or subsidiary</w:t>
      </w:r>
    </w:p>
    <w:p w14:paraId="247C4234" w14:textId="77777777" w:rsidR="00EE7490" w:rsidRDefault="00EE7490" w:rsidP="00EE7490">
      <w:pPr>
        <w:pStyle w:val="ARbullet1"/>
      </w:pPr>
      <w:r>
        <w:t>details of publications produced by the entity about itself, and how these can be obtained</w:t>
      </w:r>
    </w:p>
    <w:p w14:paraId="4E0489E6" w14:textId="77777777" w:rsidR="00EE7490" w:rsidRDefault="00EE7490" w:rsidP="00EE7490">
      <w:pPr>
        <w:pStyle w:val="ARbullet1"/>
      </w:pPr>
      <w:r>
        <w:t>details of changes in prices, fees, charges, rates and levies charged by the entity</w:t>
      </w:r>
    </w:p>
    <w:p w14:paraId="1F2B218F" w14:textId="77777777" w:rsidR="00EE7490" w:rsidRDefault="00EE7490" w:rsidP="00EE7490">
      <w:pPr>
        <w:pStyle w:val="ARbullet1"/>
      </w:pPr>
      <w:r>
        <w:t>details of any major external reviews carried out on the entity</w:t>
      </w:r>
    </w:p>
    <w:p w14:paraId="54B33F18" w14:textId="77777777" w:rsidR="00EE7490" w:rsidRDefault="00EE7490" w:rsidP="00EE7490">
      <w:pPr>
        <w:pStyle w:val="ARbullet1"/>
      </w:pPr>
      <w:r>
        <w:t>details of major research and development activities undertaken by the entity</w:t>
      </w:r>
    </w:p>
    <w:p w14:paraId="7B8854E1" w14:textId="51A7AFFB" w:rsidR="00EE7490" w:rsidRDefault="00EE7490" w:rsidP="00EE7490">
      <w:pPr>
        <w:pStyle w:val="ARbullet1"/>
      </w:pPr>
      <w:r>
        <w:t>details of overseas visits undertaken, including a</w:t>
      </w:r>
      <w:r w:rsidR="007915F1">
        <w:t> </w:t>
      </w:r>
      <w:r>
        <w:t>summary of the objectives and outcomes of each visit</w:t>
      </w:r>
    </w:p>
    <w:p w14:paraId="382D41C9" w14:textId="77777777" w:rsidR="00EE7490" w:rsidRDefault="00EE7490" w:rsidP="00EE7490">
      <w:pPr>
        <w:pStyle w:val="ARbullet1"/>
      </w:pPr>
      <w:r>
        <w:t>details of major promotional, public relations and marketing activities undertaken by the entity to develop community awareness of the entity and its services</w:t>
      </w:r>
    </w:p>
    <w:p w14:paraId="3B419436" w14:textId="77777777" w:rsidR="00EE7490" w:rsidRDefault="00EE7490" w:rsidP="00EE7490">
      <w:pPr>
        <w:pStyle w:val="ARbullet1"/>
      </w:pPr>
      <w:r>
        <w:lastRenderedPageBreak/>
        <w:t>details of assessments and measures undertaken to improve the occupational health and safety of employees</w:t>
      </w:r>
    </w:p>
    <w:p w14:paraId="5DDFAD70" w14:textId="750D8CA8" w:rsidR="00EE7490" w:rsidRDefault="00EE7490" w:rsidP="00EE7490">
      <w:pPr>
        <w:pStyle w:val="ARbullet1"/>
      </w:pPr>
      <w:r>
        <w:t>a general statement on industrial relations within</w:t>
      </w:r>
      <w:r w:rsidR="007915F1">
        <w:t> </w:t>
      </w:r>
      <w:r>
        <w:t>the entity and details of time lost through industrial accidents and disputes</w:t>
      </w:r>
    </w:p>
    <w:p w14:paraId="690D8903" w14:textId="7ECF1279" w:rsidR="00EE7490" w:rsidRDefault="00EE7490" w:rsidP="00EE7490">
      <w:pPr>
        <w:pStyle w:val="ARbullet1"/>
      </w:pPr>
      <w:r>
        <w:t>a list of major committees sponsored by the entity, the purposes of each committee and the</w:t>
      </w:r>
      <w:r w:rsidR="007915F1">
        <w:t> </w:t>
      </w:r>
      <w:r>
        <w:t>extent to which the purposes have been achieved</w:t>
      </w:r>
    </w:p>
    <w:p w14:paraId="474E2470" w14:textId="367ECF11" w:rsidR="00EE7490" w:rsidRDefault="00EE7490" w:rsidP="00EE7490">
      <w:pPr>
        <w:pStyle w:val="ARbullet1"/>
      </w:pPr>
      <w:r>
        <w:t>details of all consultancies and contractors, including consultants/contractors engaged, services provided and expenditure committed for each engagement.</w:t>
      </w:r>
    </w:p>
    <w:p w14:paraId="1BD8A931" w14:textId="77777777" w:rsidR="00EE7490" w:rsidRDefault="00EE7490" w:rsidP="00EE7490">
      <w:pPr>
        <w:pStyle w:val="ARbodyafterbullets"/>
      </w:pPr>
      <w:r>
        <w:t>Requests may be made in writing to:</w:t>
      </w:r>
    </w:p>
    <w:p w14:paraId="61DF81BC" w14:textId="77777777" w:rsidR="00EE7490" w:rsidRDefault="00EE7490" w:rsidP="00EE7490">
      <w:pPr>
        <w:pStyle w:val="ARbody"/>
      </w:pPr>
      <w:r>
        <w:t>Chief Communications Officer</w:t>
      </w:r>
      <w:r>
        <w:br/>
        <w:t>GPO Box 4057</w:t>
      </w:r>
      <w:r>
        <w:br/>
      </w:r>
      <w:r w:rsidRPr="00184BB9">
        <w:t>Melbourne VIC 3001</w:t>
      </w:r>
    </w:p>
    <w:p w14:paraId="5680E755" w14:textId="787E8462" w:rsidR="00EE7490" w:rsidRDefault="00E71361" w:rsidP="00EE7490">
      <w:pPr>
        <w:pStyle w:val="ARbody"/>
      </w:pPr>
      <w:hyperlink r:id="rId95" w:history="1">
        <w:r w:rsidR="007915F1">
          <w:rPr>
            <w:rStyle w:val="Hyperlink"/>
          </w:rPr>
          <w:t>Email D</w:t>
        </w:r>
        <w:r w:rsidR="00E52CFA" w:rsidRPr="00E52CFA">
          <w:rPr>
            <w:rStyle w:val="Hyperlink"/>
          </w:rPr>
          <w:t>H Communications Enquiries</w:t>
        </w:r>
      </w:hyperlink>
      <w:r w:rsidR="00E52CFA">
        <w:t xml:space="preserve"> </w:t>
      </w:r>
      <w:r w:rsidR="00EE7490" w:rsidRPr="00184BB9">
        <w:t>&lt;</w:t>
      </w:r>
      <w:r w:rsidR="007C05BC" w:rsidRPr="007C05BC">
        <w:t>dhcommunicationsenquiries@health.vic.gov.au</w:t>
      </w:r>
      <w:r w:rsidR="00EE7490" w:rsidRPr="00184BB9">
        <w:t>&gt;</w:t>
      </w:r>
    </w:p>
    <w:p w14:paraId="4EEDC4F8" w14:textId="010EB971" w:rsidR="00FC6F4F" w:rsidRPr="003379F7" w:rsidRDefault="00FC6F4F" w:rsidP="004330D7">
      <w:pPr>
        <w:pStyle w:val="Heading2"/>
        <w:spacing w:before="240" w:after="60"/>
      </w:pPr>
      <w:bookmarkStart w:id="601" w:name="_Toc85121290"/>
      <w:bookmarkStart w:id="602" w:name="_Toc85121629"/>
      <w:bookmarkStart w:id="603" w:name="_Toc86075612"/>
      <w:r w:rsidRPr="003379F7">
        <w:t>Social procurement framework</w:t>
      </w:r>
      <w:bookmarkEnd w:id="600"/>
      <w:bookmarkEnd w:id="601"/>
      <w:bookmarkEnd w:id="602"/>
      <w:bookmarkEnd w:id="603"/>
    </w:p>
    <w:p w14:paraId="12AA3683" w14:textId="77777777" w:rsidR="00FC6F4F" w:rsidRPr="007915F1" w:rsidRDefault="00FC6F4F" w:rsidP="007915F1">
      <w:pPr>
        <w:pStyle w:val="ARbody"/>
      </w:pPr>
      <w:r>
        <w:t>The following includes information related to the former Department of Health and Human Services, the current Department of</w:t>
      </w:r>
      <w:r w:rsidRPr="007915F1">
        <w:t xml:space="preserve"> Health and the current Department of Families, Fairness and Housing.</w:t>
      </w:r>
    </w:p>
    <w:p w14:paraId="26F9FFF5" w14:textId="30D730AF" w:rsidR="00FC6F4F" w:rsidRPr="007915F1" w:rsidRDefault="00FC6F4F" w:rsidP="007915F1">
      <w:pPr>
        <w:pStyle w:val="ARbody"/>
      </w:pPr>
      <w:r w:rsidRPr="007915F1">
        <w:t>The departments operated a joint financial system through 202</w:t>
      </w:r>
      <w:r w:rsidR="00177286" w:rsidRPr="007915F1">
        <w:t>0–</w:t>
      </w:r>
      <w:r w:rsidRPr="007915F1">
        <w:t xml:space="preserve">21 so this report reflects the total spend for the two departments for the period. Each department </w:t>
      </w:r>
      <w:r w:rsidR="0064455B" w:rsidRPr="007915F1">
        <w:t xml:space="preserve">has </w:t>
      </w:r>
      <w:r w:rsidRPr="007915F1">
        <w:t>operate</w:t>
      </w:r>
      <w:r w:rsidR="0064455B" w:rsidRPr="007915F1">
        <w:t>d</w:t>
      </w:r>
      <w:r w:rsidRPr="007915F1">
        <w:t xml:space="preserve"> separate accounts from 1</w:t>
      </w:r>
      <w:r w:rsidR="009E4DB1" w:rsidRPr="007915F1">
        <w:t> </w:t>
      </w:r>
      <w:r w:rsidRPr="007915F1">
        <w:t xml:space="preserve">July 2021 and </w:t>
      </w:r>
      <w:r w:rsidR="0064455B" w:rsidRPr="007915F1">
        <w:t xml:space="preserve">will </w:t>
      </w:r>
      <w:r w:rsidRPr="007915F1">
        <w:t>report separately in 202</w:t>
      </w:r>
      <w:r w:rsidR="00177286" w:rsidRPr="007915F1">
        <w:t>1–</w:t>
      </w:r>
      <w:r w:rsidRPr="007915F1">
        <w:t>22.</w:t>
      </w:r>
    </w:p>
    <w:p w14:paraId="1CD521B5" w14:textId="0C6DE342" w:rsidR="00F8606E" w:rsidRPr="007915F1" w:rsidRDefault="00FC6F4F" w:rsidP="007915F1">
      <w:pPr>
        <w:pStyle w:val="ARbody"/>
      </w:pPr>
      <w:r w:rsidRPr="007915F1">
        <w:t>The departments leveraged their buying power to</w:t>
      </w:r>
      <w:r w:rsidR="007915F1" w:rsidRPr="007915F1">
        <w:t> </w:t>
      </w:r>
      <w:r w:rsidRPr="007915F1">
        <w:t>deliver social, economic and environmental outcomes benefiting the Victorian community, the</w:t>
      </w:r>
      <w:r w:rsidR="007915F1" w:rsidRPr="007915F1">
        <w:t> </w:t>
      </w:r>
      <w:r w:rsidRPr="007915F1">
        <w:t>economy and the environment — above and</w:t>
      </w:r>
      <w:r w:rsidR="007915F1" w:rsidRPr="007915F1">
        <w:t> </w:t>
      </w:r>
      <w:r w:rsidRPr="007915F1">
        <w:t>beyond the goods, services and construction works procured.</w:t>
      </w:r>
    </w:p>
    <w:p w14:paraId="3E86176A" w14:textId="4A11F518" w:rsidR="00FC6F4F" w:rsidRDefault="00FC6F4F" w:rsidP="007915F1">
      <w:pPr>
        <w:pStyle w:val="ARbody"/>
      </w:pPr>
      <w:r w:rsidRPr="007915F1">
        <w:t>They were guided by the Victor</w:t>
      </w:r>
      <w:r>
        <w:t>ian Government</w:t>
      </w:r>
      <w:r w:rsidR="007D145B">
        <w:t>’</w:t>
      </w:r>
      <w:r>
        <w:t xml:space="preserve">s </w:t>
      </w:r>
      <w:r w:rsidRPr="00B90544">
        <w:rPr>
          <w:i/>
          <w:iCs/>
        </w:rPr>
        <w:t xml:space="preserve">Social </w:t>
      </w:r>
      <w:r w:rsidR="00413D47">
        <w:rPr>
          <w:i/>
          <w:iCs/>
        </w:rPr>
        <w:t>p</w:t>
      </w:r>
      <w:r w:rsidRPr="00B90544">
        <w:rPr>
          <w:i/>
          <w:iCs/>
        </w:rPr>
        <w:t xml:space="preserve">rocurement </w:t>
      </w:r>
      <w:r w:rsidR="00413D47">
        <w:rPr>
          <w:i/>
          <w:iCs/>
        </w:rPr>
        <w:t>f</w:t>
      </w:r>
      <w:r w:rsidRPr="00B90544">
        <w:rPr>
          <w:i/>
          <w:iCs/>
        </w:rPr>
        <w:t>ramework</w:t>
      </w:r>
      <w:r>
        <w:t xml:space="preserve"> (SPF). The SPF applies to the procurement of all goods, services and construction undertaken by or on behalf of the departments with the following objectives:</w:t>
      </w:r>
    </w:p>
    <w:p w14:paraId="393D25CF" w14:textId="6356E803" w:rsidR="00FC6F4F" w:rsidRPr="00EE3B2E" w:rsidRDefault="00413D47" w:rsidP="00EE3B2E">
      <w:pPr>
        <w:pStyle w:val="ARbullet1"/>
      </w:pPr>
      <w:r>
        <w:t>o</w:t>
      </w:r>
      <w:r w:rsidR="00FC6F4F">
        <w:t>pportunities for Victori</w:t>
      </w:r>
      <w:r w:rsidR="00FC6F4F" w:rsidRPr="00EE3B2E">
        <w:t xml:space="preserve">an Aboriginal </w:t>
      </w:r>
      <w:r w:rsidR="0028583E">
        <w:t>p</w:t>
      </w:r>
      <w:r w:rsidR="00FC6F4F" w:rsidRPr="00EE3B2E">
        <w:t>eople</w:t>
      </w:r>
    </w:p>
    <w:p w14:paraId="79E04A0A" w14:textId="180FA50B" w:rsidR="00FC6F4F" w:rsidRPr="00EE3B2E" w:rsidRDefault="00413D47" w:rsidP="00EE3B2E">
      <w:pPr>
        <w:pStyle w:val="ARbullet1"/>
      </w:pPr>
      <w:r>
        <w:t>o</w:t>
      </w:r>
      <w:r w:rsidR="00FC6F4F" w:rsidRPr="00EE3B2E">
        <w:t>pportunities for Victorians with disability</w:t>
      </w:r>
    </w:p>
    <w:p w14:paraId="2C856BA7" w14:textId="1538CFAD" w:rsidR="00FC6F4F" w:rsidRPr="00EE3B2E" w:rsidRDefault="00413D47" w:rsidP="00EE3B2E">
      <w:pPr>
        <w:pStyle w:val="ARbullet1"/>
      </w:pPr>
      <w:r>
        <w:t>w</w:t>
      </w:r>
      <w:r w:rsidR="00FC6F4F" w:rsidRPr="00EE3B2E">
        <w:t>omen</w:t>
      </w:r>
      <w:r w:rsidR="007D145B">
        <w:t>’</w:t>
      </w:r>
      <w:r w:rsidR="00FC6F4F" w:rsidRPr="00EE3B2E">
        <w:t>s equality and safety</w:t>
      </w:r>
    </w:p>
    <w:p w14:paraId="157FAFA0" w14:textId="1BB9203C" w:rsidR="00FC6F4F" w:rsidRPr="00EE3B2E" w:rsidRDefault="00413D47" w:rsidP="00EE3B2E">
      <w:pPr>
        <w:pStyle w:val="ARbullet1"/>
      </w:pPr>
      <w:r>
        <w:t>o</w:t>
      </w:r>
      <w:r w:rsidR="00FC6F4F" w:rsidRPr="00EE3B2E">
        <w:t>pportunities for disadvantaged Victorians</w:t>
      </w:r>
    </w:p>
    <w:p w14:paraId="5E814B50" w14:textId="28166FD8" w:rsidR="00FC6F4F" w:rsidRPr="00EE3B2E" w:rsidRDefault="00413D47" w:rsidP="00EE3B2E">
      <w:pPr>
        <w:pStyle w:val="ARbullet1"/>
      </w:pPr>
      <w:r>
        <w:t>s</w:t>
      </w:r>
      <w:r w:rsidR="00FC6F4F" w:rsidRPr="00EE3B2E">
        <w:t>upporting safe and fair workplaces</w:t>
      </w:r>
    </w:p>
    <w:p w14:paraId="21333320" w14:textId="7FCD8755" w:rsidR="00FC6F4F" w:rsidRDefault="00413D47" w:rsidP="00EE3B2E">
      <w:pPr>
        <w:pStyle w:val="ARbullet1"/>
      </w:pPr>
      <w:r>
        <w:t>e</w:t>
      </w:r>
      <w:r w:rsidR="00FC6F4F" w:rsidRPr="00EE3B2E">
        <w:t>nvironmentally sustainable o</w:t>
      </w:r>
      <w:r w:rsidR="00FC6F4F">
        <w:t>utputs.</w:t>
      </w:r>
    </w:p>
    <w:p w14:paraId="443D1E27" w14:textId="2DD7E0A0" w:rsidR="00FC6F4F" w:rsidRDefault="004330D7" w:rsidP="009D1AA8">
      <w:pPr>
        <w:pStyle w:val="Heading3"/>
        <w:spacing w:after="40"/>
      </w:pPr>
      <w:bookmarkStart w:id="604" w:name="_Toc85121291"/>
      <w:r>
        <w:br w:type="column"/>
      </w:r>
      <w:r w:rsidR="00FC6F4F" w:rsidRPr="008C575B">
        <w:t xml:space="preserve">Social </w:t>
      </w:r>
      <w:r w:rsidR="0028583E">
        <w:t>p</w:t>
      </w:r>
      <w:r w:rsidR="00FC6F4F" w:rsidRPr="008C575B">
        <w:t xml:space="preserve">rocurement </w:t>
      </w:r>
      <w:r w:rsidR="0028583E">
        <w:t>s</w:t>
      </w:r>
      <w:r w:rsidR="00FC6F4F" w:rsidRPr="008C575B">
        <w:t>trategy</w:t>
      </w:r>
      <w:bookmarkEnd w:id="604"/>
    </w:p>
    <w:p w14:paraId="77BA9B9A" w14:textId="423A4733" w:rsidR="00FC6F4F" w:rsidRPr="007915F1" w:rsidRDefault="00413D47" w:rsidP="007915F1">
      <w:pPr>
        <w:pStyle w:val="ARbody"/>
      </w:pPr>
      <w:r>
        <w:t>In their</w:t>
      </w:r>
      <w:r w:rsidR="00FC6F4F">
        <w:t xml:space="preserve"> </w:t>
      </w:r>
      <w:r w:rsidR="00FC6F4F" w:rsidRPr="00B90544">
        <w:rPr>
          <w:i/>
          <w:iCs/>
        </w:rPr>
        <w:t xml:space="preserve">Social </w:t>
      </w:r>
      <w:r w:rsidRPr="00B90544">
        <w:rPr>
          <w:i/>
          <w:iCs/>
        </w:rPr>
        <w:t>p</w:t>
      </w:r>
      <w:r w:rsidR="00FC6F4F" w:rsidRPr="00B90544">
        <w:rPr>
          <w:i/>
          <w:iCs/>
        </w:rPr>
        <w:t xml:space="preserve">rocurement </w:t>
      </w:r>
      <w:r w:rsidRPr="00B90544">
        <w:rPr>
          <w:i/>
          <w:iCs/>
        </w:rPr>
        <w:t>s</w:t>
      </w:r>
      <w:r w:rsidR="00FC6F4F" w:rsidRPr="00B90544">
        <w:rPr>
          <w:i/>
          <w:iCs/>
        </w:rPr>
        <w:t>trategy</w:t>
      </w:r>
      <w:r>
        <w:rPr>
          <w:i/>
          <w:iCs/>
        </w:rPr>
        <w:t>, t</w:t>
      </w:r>
      <w:r>
        <w:t>he departments</w:t>
      </w:r>
      <w:r w:rsidR="00FC6F4F">
        <w:t xml:space="preserve"> committed to achiev</w:t>
      </w:r>
      <w:r>
        <w:t>ing</w:t>
      </w:r>
      <w:r w:rsidR="00FC6F4F">
        <w:t xml:space="preserve"> the </w:t>
      </w:r>
      <w:r>
        <w:t>g</w:t>
      </w:r>
      <w:r w:rsidR="00FC6F4F">
        <w:t>overnment</w:t>
      </w:r>
      <w:r w:rsidR="007D145B">
        <w:t>’</w:t>
      </w:r>
      <w:r w:rsidR="00FC6F4F">
        <w:t>s social</w:t>
      </w:r>
      <w:r w:rsidR="00FC6F4F" w:rsidRPr="007915F1">
        <w:t xml:space="preserve"> procurement objectives</w:t>
      </w:r>
      <w:r w:rsidR="0027247B" w:rsidRPr="007915F1">
        <w:t xml:space="preserve"> and</w:t>
      </w:r>
      <w:r w:rsidR="00FC6F4F" w:rsidRPr="007915F1">
        <w:t xml:space="preserve"> enhancing the value</w:t>
      </w:r>
      <w:r w:rsidRPr="007915F1">
        <w:t>-</w:t>
      </w:r>
      <w:r w:rsidR="00FC6F4F" w:rsidRPr="007915F1">
        <w:t>for</w:t>
      </w:r>
      <w:r w:rsidR="0027247B" w:rsidRPr="007915F1">
        <w:t>-</w:t>
      </w:r>
      <w:r w:rsidR="00FC6F4F" w:rsidRPr="007915F1">
        <w:t xml:space="preserve">money </w:t>
      </w:r>
      <w:r w:rsidR="0027247B" w:rsidRPr="007915F1">
        <w:t xml:space="preserve">outcomes of </w:t>
      </w:r>
      <w:r w:rsidR="00FC6F4F" w:rsidRPr="007915F1">
        <w:t>departmental procurement.</w:t>
      </w:r>
      <w:r w:rsidR="00F8606E" w:rsidRPr="007915F1">
        <w:t xml:space="preserve"> </w:t>
      </w:r>
      <w:r w:rsidR="00FC6F4F" w:rsidRPr="007915F1">
        <w:t>In 202</w:t>
      </w:r>
      <w:r w:rsidR="00177286" w:rsidRPr="007915F1">
        <w:t>1–</w:t>
      </w:r>
      <w:r w:rsidR="00FC6F4F" w:rsidRPr="007915F1">
        <w:t>22, the departments intend to develop separate social procurement strategies.</w:t>
      </w:r>
    </w:p>
    <w:p w14:paraId="4CF05031" w14:textId="0C8FCA55" w:rsidR="00FC6F4F" w:rsidRDefault="00FC6F4F" w:rsidP="007915F1">
      <w:pPr>
        <w:pStyle w:val="ARbody"/>
      </w:pPr>
      <w:r w:rsidRPr="007915F1">
        <w:t>During 202</w:t>
      </w:r>
      <w:r w:rsidR="00177286" w:rsidRPr="007915F1">
        <w:t>0–</w:t>
      </w:r>
      <w:r w:rsidRPr="007915F1">
        <w:t>21, social v</w:t>
      </w:r>
      <w:r>
        <w:t>alue requirements were applied to a variety of procurement activities, including the procurement of goods, services and</w:t>
      </w:r>
      <w:r w:rsidR="007915F1">
        <w:t> </w:t>
      </w:r>
      <w:r>
        <w:t>construction works.</w:t>
      </w:r>
    </w:p>
    <w:p w14:paraId="3A413B59" w14:textId="776CA2CB" w:rsidR="00FC6F4F" w:rsidRDefault="00FC6F4F" w:rsidP="007915F1">
      <w:pPr>
        <w:pStyle w:val="ARbody"/>
      </w:pPr>
      <w:r>
        <w:t>The departments undertook several activities to</w:t>
      </w:r>
      <w:r w:rsidR="007915F1">
        <w:t> </w:t>
      </w:r>
      <w:r>
        <w:t>support social procurement</w:t>
      </w:r>
      <w:r w:rsidR="0027247B">
        <w:t>,</w:t>
      </w:r>
      <w:r>
        <w:t xml:space="preserve"> including:</w:t>
      </w:r>
    </w:p>
    <w:p w14:paraId="738E8D1C" w14:textId="3C8441BC" w:rsidR="00FC6F4F" w:rsidRPr="007915F1" w:rsidRDefault="00EE3535" w:rsidP="007915F1">
      <w:pPr>
        <w:pStyle w:val="ARbullet1"/>
      </w:pPr>
      <w:r>
        <w:t xml:space="preserve">preparation </w:t>
      </w:r>
      <w:r w:rsidRPr="007915F1">
        <w:t xml:space="preserve">of </w:t>
      </w:r>
      <w:r w:rsidR="0027247B" w:rsidRPr="007915F1">
        <w:t>s</w:t>
      </w:r>
      <w:r w:rsidR="00FC6F4F" w:rsidRPr="007915F1">
        <w:t>ocial procurement data reporting and case studies for 202</w:t>
      </w:r>
      <w:r w:rsidR="00177286" w:rsidRPr="007915F1">
        <w:t>0–</w:t>
      </w:r>
      <w:r w:rsidR="00FC6F4F" w:rsidRPr="007915F1">
        <w:t>21 and submi</w:t>
      </w:r>
      <w:r w:rsidRPr="007915F1">
        <w:t>ssion</w:t>
      </w:r>
      <w:r w:rsidR="00FC6F4F" w:rsidRPr="007915F1">
        <w:t xml:space="preserve"> to the Department of Treasury and Finance (DTF)</w:t>
      </w:r>
    </w:p>
    <w:p w14:paraId="29DD52D9" w14:textId="7BC3A8F0" w:rsidR="00FC6F4F" w:rsidRPr="007915F1" w:rsidRDefault="00EE3535" w:rsidP="007915F1">
      <w:pPr>
        <w:pStyle w:val="ARbullet1"/>
      </w:pPr>
      <w:r w:rsidRPr="007915F1">
        <w:t xml:space="preserve">maintenance of </w:t>
      </w:r>
      <w:r w:rsidR="0027247B" w:rsidRPr="007915F1">
        <w:t>u</w:t>
      </w:r>
      <w:r w:rsidR="00FC6F4F" w:rsidRPr="007915F1">
        <w:t>p</w:t>
      </w:r>
      <w:r w:rsidR="0027247B" w:rsidRPr="007915F1">
        <w:t>-</w:t>
      </w:r>
      <w:r w:rsidR="00FC6F4F" w:rsidRPr="007915F1">
        <w:t>to</w:t>
      </w:r>
      <w:r w:rsidR="0027247B" w:rsidRPr="007915F1">
        <w:t>-</w:t>
      </w:r>
      <w:r w:rsidR="00FC6F4F" w:rsidRPr="007915F1">
        <w:t xml:space="preserve">date information </w:t>
      </w:r>
      <w:r w:rsidRPr="007915F1">
        <w:t xml:space="preserve">about social procurement and Local Jobs First </w:t>
      </w:r>
      <w:r w:rsidR="00FC6F4F" w:rsidRPr="007915F1">
        <w:t>on the departments</w:t>
      </w:r>
      <w:r w:rsidR="007D145B">
        <w:t>’</w:t>
      </w:r>
      <w:r w:rsidR="00FC6F4F" w:rsidRPr="007915F1">
        <w:t xml:space="preserve"> intranets</w:t>
      </w:r>
    </w:p>
    <w:p w14:paraId="647666D8" w14:textId="77777777" w:rsidR="00864121" w:rsidRPr="007915F1" w:rsidRDefault="00EE3535" w:rsidP="007915F1">
      <w:pPr>
        <w:pStyle w:val="ARbullet1"/>
      </w:pPr>
      <w:r w:rsidRPr="007915F1">
        <w:t>a continued relationship with Social Traders Ltd</w:t>
      </w:r>
      <w:r w:rsidRPr="007915F1" w:rsidDel="0027247B">
        <w:t xml:space="preserve"> </w:t>
      </w:r>
      <w:r w:rsidR="00FC6F4F" w:rsidRPr="007915F1">
        <w:t>through regular meetings and other communications</w:t>
      </w:r>
    </w:p>
    <w:p w14:paraId="19F6BE60" w14:textId="77777777" w:rsidR="00864121" w:rsidRPr="007915F1" w:rsidRDefault="00EE3535" w:rsidP="007915F1">
      <w:pPr>
        <w:pStyle w:val="ARbullet1"/>
      </w:pPr>
      <w:r w:rsidRPr="007915F1">
        <w:t>an increase in the social procurement capability of staff</w:t>
      </w:r>
      <w:r w:rsidRPr="007915F1" w:rsidDel="00EE3535">
        <w:t xml:space="preserve"> </w:t>
      </w:r>
      <w:r w:rsidR="005A29D1" w:rsidRPr="007915F1">
        <w:t>through</w:t>
      </w:r>
      <w:r w:rsidR="001D537C" w:rsidRPr="007915F1">
        <w:t xml:space="preserve"> </w:t>
      </w:r>
      <w:r w:rsidRPr="007915F1">
        <w:t>k</w:t>
      </w:r>
      <w:r w:rsidR="00FC6F4F" w:rsidRPr="007915F1">
        <w:t>ey business areas of the two departments with procurement responsibilities</w:t>
      </w:r>
      <w:r w:rsidR="005A29D1" w:rsidRPr="007915F1">
        <w:t xml:space="preserve"> –</w:t>
      </w:r>
      <w:r w:rsidR="00FC6F4F" w:rsidRPr="007915F1">
        <w:t xml:space="preserve"> Procurement Services, Homes Victoria and the Victoria Health and Human Services Building Authority (now the Victorian Health Building Authority)</w:t>
      </w:r>
      <w:r w:rsidR="005A29D1" w:rsidRPr="007915F1">
        <w:t xml:space="preserve"> – </w:t>
      </w:r>
      <w:r w:rsidR="00FC6F4F" w:rsidRPr="007915F1">
        <w:t>work</w:t>
      </w:r>
      <w:r w:rsidR="005A29D1" w:rsidRPr="007915F1">
        <w:t>ing</w:t>
      </w:r>
      <w:r w:rsidR="00FC6F4F" w:rsidRPr="007915F1">
        <w:t xml:space="preserve"> together</w:t>
      </w:r>
    </w:p>
    <w:p w14:paraId="4C38F47D" w14:textId="4082322E" w:rsidR="00FC6F4F" w:rsidRPr="007915F1" w:rsidRDefault="001D537C" w:rsidP="007915F1">
      <w:pPr>
        <w:pStyle w:val="ARbullet1"/>
      </w:pPr>
      <w:r w:rsidRPr="007915F1">
        <w:t xml:space="preserve">the updating of </w:t>
      </w:r>
      <w:r w:rsidR="00EE3535" w:rsidRPr="007915F1">
        <w:t>p</w:t>
      </w:r>
      <w:r w:rsidR="00FC6F4F" w:rsidRPr="007915F1">
        <w:t>rocurement policies, processes</w:t>
      </w:r>
      <w:r w:rsidR="004E671C" w:rsidRPr="007915F1">
        <w:t>,</w:t>
      </w:r>
      <w:r w:rsidR="007915F1" w:rsidRPr="007915F1">
        <w:t> </w:t>
      </w:r>
      <w:r w:rsidR="00FC6F4F" w:rsidRPr="007915F1">
        <w:t>templates and contracts</w:t>
      </w:r>
      <w:r w:rsidR="004E671C" w:rsidRPr="007915F1">
        <w:t xml:space="preserve"> </w:t>
      </w:r>
      <w:r w:rsidR="00FC6F4F" w:rsidRPr="007915F1">
        <w:t>to support the implementation of social procurement and Local Jobs First</w:t>
      </w:r>
    </w:p>
    <w:p w14:paraId="400845B0" w14:textId="0BEC15AE" w:rsidR="00FC6F4F" w:rsidRPr="007915F1" w:rsidRDefault="001D537C" w:rsidP="007915F1">
      <w:pPr>
        <w:pStyle w:val="ARbullet1"/>
      </w:pPr>
      <w:r w:rsidRPr="007915F1">
        <w:t xml:space="preserve">the establishment of </w:t>
      </w:r>
      <w:r w:rsidR="00EE3535" w:rsidRPr="007915F1">
        <w:t>a</w:t>
      </w:r>
      <w:r w:rsidR="00FC6F4F" w:rsidRPr="007915F1">
        <w:t xml:space="preserve"> Social Procurement Group across the two departments to foster communication, coordination and capability development</w:t>
      </w:r>
    </w:p>
    <w:p w14:paraId="18664875" w14:textId="29265369" w:rsidR="00FC6F4F" w:rsidRPr="007915F1" w:rsidRDefault="001D537C" w:rsidP="007915F1">
      <w:pPr>
        <w:pStyle w:val="ARbullet1"/>
      </w:pPr>
      <w:r w:rsidRPr="007915F1">
        <w:t xml:space="preserve">regular attendance by </w:t>
      </w:r>
      <w:r w:rsidR="00EE3535" w:rsidRPr="007915F1">
        <w:t>s</w:t>
      </w:r>
      <w:r w:rsidR="00FC6F4F" w:rsidRPr="007915F1">
        <w:t xml:space="preserve">taff </w:t>
      </w:r>
      <w:r w:rsidRPr="007915F1">
        <w:t xml:space="preserve">at the </w:t>
      </w:r>
      <w:r w:rsidR="00FC6F4F" w:rsidRPr="007915F1">
        <w:t>Social Procurement Community of Practice Meetings convened by DTF</w:t>
      </w:r>
    </w:p>
    <w:p w14:paraId="26F669FA" w14:textId="36DD8098" w:rsidR="00FC6F4F" w:rsidRPr="007915F1" w:rsidRDefault="001D537C" w:rsidP="007915F1">
      <w:pPr>
        <w:pStyle w:val="ARbullet1"/>
      </w:pPr>
      <w:r w:rsidRPr="007915F1">
        <w:t xml:space="preserve">training by </w:t>
      </w:r>
      <w:r w:rsidR="00FC6F4F" w:rsidRPr="007915F1">
        <w:t>Homes Victoria and Procurement Services staff on the new Industry Capability Network</w:t>
      </w:r>
      <w:r w:rsidR="007D145B">
        <w:t>’</w:t>
      </w:r>
      <w:r w:rsidR="00FC6F4F" w:rsidRPr="007915F1">
        <w:t>s social procurement reporting platform</w:t>
      </w:r>
    </w:p>
    <w:p w14:paraId="564C5B82" w14:textId="5BD4829D" w:rsidR="00FC6F4F" w:rsidRDefault="001D537C" w:rsidP="007915F1">
      <w:pPr>
        <w:pStyle w:val="ARbullet1"/>
      </w:pPr>
      <w:r w:rsidRPr="007915F1">
        <w:t xml:space="preserve">engagement by </w:t>
      </w:r>
      <w:r w:rsidR="00FC6F4F" w:rsidRPr="007915F1">
        <w:t xml:space="preserve">Homes Victoria with the construction industry </w:t>
      </w:r>
      <w:r w:rsidRPr="007915F1">
        <w:t xml:space="preserve">regarding </w:t>
      </w:r>
      <w:r w:rsidR="00FC6F4F" w:rsidRPr="007915F1">
        <w:t>social procurement through the Build</w:t>
      </w:r>
      <w:r w:rsidR="00FC6F4F">
        <w:t>ing Industry Construction Council.</w:t>
      </w:r>
    </w:p>
    <w:p w14:paraId="4A5F7333" w14:textId="71B98BF9" w:rsidR="004330D7" w:rsidRDefault="004330D7" w:rsidP="00897193">
      <w:pPr>
        <w:pStyle w:val="ARbody"/>
      </w:pPr>
    </w:p>
    <w:p w14:paraId="4AD357B9" w14:textId="77777777" w:rsidR="00FC6F4F" w:rsidRPr="002029AF" w:rsidRDefault="00FC6F4F" w:rsidP="002D3BED">
      <w:pPr>
        <w:pStyle w:val="Heading3"/>
        <w:sectPr w:rsidR="00FC6F4F" w:rsidRPr="002029AF" w:rsidSect="009D1AA8">
          <w:headerReference w:type="default" r:id="rId96"/>
          <w:footnotePr>
            <w:numFmt w:val="lowerLetter"/>
            <w:numRestart w:val="eachPage"/>
          </w:footnotePr>
          <w:endnotePr>
            <w:numFmt w:val="decimal"/>
          </w:endnotePr>
          <w:type w:val="continuous"/>
          <w:pgSz w:w="11900" w:h="16840" w:code="9"/>
          <w:pgMar w:top="1985" w:right="1134" w:bottom="851" w:left="1134" w:header="510" w:footer="340" w:gutter="0"/>
          <w:cols w:num="2" w:space="454"/>
          <w:docGrid w:linePitch="299"/>
        </w:sectPr>
      </w:pPr>
    </w:p>
    <w:p w14:paraId="3071C0E4" w14:textId="00FFF056" w:rsidR="00FC6F4F" w:rsidRPr="004F4B78" w:rsidRDefault="00FC6F4F" w:rsidP="004330D7">
      <w:pPr>
        <w:pStyle w:val="Heading3"/>
        <w:spacing w:before="0" w:after="200"/>
      </w:pPr>
      <w:bookmarkStart w:id="605" w:name="_Toc85121292"/>
      <w:r w:rsidRPr="00341BB9">
        <w:lastRenderedPageBreak/>
        <w:t xml:space="preserve">Social </w:t>
      </w:r>
      <w:r w:rsidR="001D537C">
        <w:t>p</w:t>
      </w:r>
      <w:r w:rsidRPr="00341BB9">
        <w:t xml:space="preserve">rocurement </w:t>
      </w:r>
      <w:r w:rsidR="001D537C">
        <w:t>a</w:t>
      </w:r>
      <w:r w:rsidRPr="00341BB9">
        <w:t>chievements 2020</w:t>
      </w:r>
      <w:r w:rsidR="00EE3B2E">
        <w:t>–</w:t>
      </w:r>
      <w:r w:rsidRPr="00341BB9">
        <w:t>21</w:t>
      </w:r>
      <w:bookmarkEnd w:id="605"/>
    </w:p>
    <w:tbl>
      <w:tblPr>
        <w:tblStyle w:val="TableGrid"/>
        <w:tblW w:w="9639" w:type="dxa"/>
        <w:tblLook w:val="0680" w:firstRow="0" w:lastRow="0" w:firstColumn="1" w:lastColumn="0" w:noHBand="1" w:noVBand="1"/>
      </w:tblPr>
      <w:tblGrid>
        <w:gridCol w:w="6904"/>
        <w:gridCol w:w="2735"/>
      </w:tblGrid>
      <w:tr w:rsidR="00FC6F4F" w:rsidRPr="00DB558D" w14:paraId="17A63D1C" w14:textId="77777777" w:rsidTr="00FA3B87">
        <w:tc>
          <w:tcPr>
            <w:tcW w:w="6799" w:type="dxa"/>
            <w:tcBorders>
              <w:top w:val="single" w:sz="4" w:space="0" w:color="auto"/>
            </w:tcBorders>
          </w:tcPr>
          <w:p w14:paraId="1701C81E" w14:textId="77777777" w:rsidR="00FC6F4F" w:rsidRPr="00DB558D" w:rsidRDefault="00FC6F4F" w:rsidP="00FA3B87">
            <w:pPr>
              <w:pStyle w:val="ARtabletext"/>
            </w:pPr>
            <w:r w:rsidRPr="00DB558D">
              <w:t>Number of social benefit suppliers engaged during the reporting period</w:t>
            </w:r>
          </w:p>
        </w:tc>
        <w:tc>
          <w:tcPr>
            <w:tcW w:w="2694" w:type="dxa"/>
            <w:tcBorders>
              <w:top w:val="single" w:sz="4" w:space="0" w:color="auto"/>
            </w:tcBorders>
          </w:tcPr>
          <w:p w14:paraId="3A66DFD8" w14:textId="77777777" w:rsidR="00FC6F4F" w:rsidRPr="00DB558D" w:rsidRDefault="00FC6F4F" w:rsidP="00FA3B87">
            <w:pPr>
              <w:pStyle w:val="ARtabletextcentre"/>
            </w:pPr>
            <w:r w:rsidRPr="00DB558D">
              <w:t>91</w:t>
            </w:r>
          </w:p>
        </w:tc>
      </w:tr>
      <w:tr w:rsidR="00FC6F4F" w:rsidRPr="00DB558D" w14:paraId="1006A103" w14:textId="77777777" w:rsidTr="00FA3B87">
        <w:tc>
          <w:tcPr>
            <w:tcW w:w="6799" w:type="dxa"/>
          </w:tcPr>
          <w:p w14:paraId="5F831444" w14:textId="77777777" w:rsidR="00FC6F4F" w:rsidRPr="00DB558D" w:rsidRDefault="00FC6F4F" w:rsidP="00FA3B87">
            <w:pPr>
              <w:pStyle w:val="ARtabletext"/>
            </w:pPr>
            <w:r w:rsidRPr="00DB558D">
              <w:t>Total amount spent with social benefit suppliers during the reporting period</w:t>
            </w:r>
          </w:p>
        </w:tc>
        <w:tc>
          <w:tcPr>
            <w:tcW w:w="2694" w:type="dxa"/>
          </w:tcPr>
          <w:p w14:paraId="42AD5E47" w14:textId="77777777" w:rsidR="00FC6F4F" w:rsidRPr="00DB558D" w:rsidRDefault="00FC6F4F" w:rsidP="00FA3B87">
            <w:pPr>
              <w:pStyle w:val="ARtabletextcentre"/>
            </w:pPr>
            <w:r w:rsidRPr="00DB558D">
              <w:t>$9,813,512</w:t>
            </w:r>
          </w:p>
        </w:tc>
      </w:tr>
      <w:tr w:rsidR="00FC6F4F" w:rsidRPr="00DB558D" w14:paraId="593C06AB" w14:textId="77777777" w:rsidTr="00FA3B87">
        <w:tc>
          <w:tcPr>
            <w:tcW w:w="6799" w:type="dxa"/>
          </w:tcPr>
          <w:p w14:paraId="695BB40C" w14:textId="77777777" w:rsidR="00FC6F4F" w:rsidRPr="00DB558D" w:rsidRDefault="00FC6F4F" w:rsidP="00FA3B87">
            <w:pPr>
              <w:pStyle w:val="ARtabletext"/>
            </w:pPr>
            <w:r w:rsidRPr="00DB558D">
              <w:t>Total number of suppliers engaged, which are not social benefit suppliers, that have made social procurement commitments in their procurement contracts with the Victorian Government</w:t>
            </w:r>
          </w:p>
        </w:tc>
        <w:tc>
          <w:tcPr>
            <w:tcW w:w="2694" w:type="dxa"/>
          </w:tcPr>
          <w:p w14:paraId="7E1726E4" w14:textId="77777777" w:rsidR="00FC6F4F" w:rsidRPr="00DB558D" w:rsidRDefault="00FC6F4F" w:rsidP="00FA3B87">
            <w:pPr>
              <w:pStyle w:val="ARtabletextcentre"/>
            </w:pPr>
            <w:r w:rsidRPr="00DB558D">
              <w:t>10</w:t>
            </w:r>
          </w:p>
        </w:tc>
      </w:tr>
    </w:tbl>
    <w:p w14:paraId="768C384B" w14:textId="77777777" w:rsidR="00FA3B87" w:rsidRDefault="00FA3B87" w:rsidP="00FA3B87">
      <w:pPr>
        <w:pStyle w:val="ARbody"/>
      </w:pPr>
    </w:p>
    <w:tbl>
      <w:tblPr>
        <w:tblStyle w:val="TableGrid"/>
        <w:tblW w:w="9639" w:type="dxa"/>
        <w:tblLook w:val="06A0" w:firstRow="1" w:lastRow="0" w:firstColumn="1" w:lastColumn="0" w:noHBand="1" w:noVBand="1"/>
      </w:tblPr>
      <w:tblGrid>
        <w:gridCol w:w="2011"/>
        <w:gridCol w:w="4893"/>
        <w:gridCol w:w="1008"/>
        <w:gridCol w:w="1727"/>
      </w:tblGrid>
      <w:tr w:rsidR="00FC6F4F" w:rsidRPr="00DB558D" w14:paraId="4F87C9C0" w14:textId="77777777" w:rsidTr="007126D4">
        <w:trPr>
          <w:cnfStyle w:val="100000000000" w:firstRow="1" w:lastRow="0" w:firstColumn="0" w:lastColumn="0" w:oddVBand="0" w:evenVBand="0" w:oddHBand="0" w:evenHBand="0" w:firstRowFirstColumn="0" w:firstRowLastColumn="0" w:lastRowFirstColumn="0" w:lastRowLastColumn="0"/>
          <w:tblHeader/>
        </w:trPr>
        <w:tc>
          <w:tcPr>
            <w:tcW w:w="1980" w:type="dxa"/>
          </w:tcPr>
          <w:p w14:paraId="6ED8A21D" w14:textId="77777777" w:rsidR="00FC6F4F" w:rsidRPr="00DB558D" w:rsidRDefault="00FC6F4F" w:rsidP="00FA3B87">
            <w:pPr>
              <w:pStyle w:val="ARtablecolhead"/>
            </w:pPr>
            <w:r w:rsidRPr="00DB558D">
              <w:t>SPF objective</w:t>
            </w:r>
          </w:p>
        </w:tc>
        <w:tc>
          <w:tcPr>
            <w:tcW w:w="4819" w:type="dxa"/>
          </w:tcPr>
          <w:p w14:paraId="07D02421" w14:textId="77777777" w:rsidR="00FC6F4F" w:rsidRPr="00DB558D" w:rsidRDefault="00FC6F4F" w:rsidP="00FA3B87">
            <w:pPr>
              <w:pStyle w:val="ARtablecolhead"/>
            </w:pPr>
            <w:r w:rsidRPr="00DB558D">
              <w:t>Metric</w:t>
            </w:r>
          </w:p>
        </w:tc>
        <w:tc>
          <w:tcPr>
            <w:tcW w:w="993" w:type="dxa"/>
          </w:tcPr>
          <w:p w14:paraId="5706C78D" w14:textId="77777777" w:rsidR="00FC6F4F" w:rsidRPr="00DB558D" w:rsidRDefault="00FC6F4F" w:rsidP="00FA3B87">
            <w:pPr>
              <w:pStyle w:val="ARtablecolheadcentre"/>
            </w:pPr>
            <w:r w:rsidRPr="00DB558D">
              <w:t>Number</w:t>
            </w:r>
          </w:p>
        </w:tc>
        <w:tc>
          <w:tcPr>
            <w:tcW w:w="1701" w:type="dxa"/>
          </w:tcPr>
          <w:p w14:paraId="3A224397" w14:textId="77777777" w:rsidR="00FC6F4F" w:rsidRPr="00DB558D" w:rsidRDefault="00FC6F4F" w:rsidP="00FA3B87">
            <w:pPr>
              <w:pStyle w:val="ARtablecolheadright"/>
            </w:pPr>
            <w:r w:rsidRPr="00DB558D">
              <w:t>$ (GST exclusive)</w:t>
            </w:r>
          </w:p>
        </w:tc>
      </w:tr>
      <w:tr w:rsidR="00FC6F4F" w:rsidRPr="00DB558D" w14:paraId="7ABC1AB5" w14:textId="77777777" w:rsidTr="000572DA">
        <w:tc>
          <w:tcPr>
            <w:tcW w:w="1980" w:type="dxa"/>
            <w:vMerge w:val="restart"/>
          </w:tcPr>
          <w:p w14:paraId="2753B90C" w14:textId="77777777" w:rsidR="00FC6F4F" w:rsidRPr="00DF5259" w:rsidRDefault="00FC6F4F" w:rsidP="00FA3B87">
            <w:pPr>
              <w:pStyle w:val="ARtabletext"/>
            </w:pPr>
            <w:r w:rsidRPr="00DF5259">
              <w:t>Opportunities for Victorian Aboriginal people</w:t>
            </w:r>
          </w:p>
        </w:tc>
        <w:tc>
          <w:tcPr>
            <w:tcW w:w="4819" w:type="dxa"/>
          </w:tcPr>
          <w:p w14:paraId="51EEC338" w14:textId="77777777" w:rsidR="00FC6F4F" w:rsidRPr="00DF5259" w:rsidRDefault="00FC6F4F" w:rsidP="00DF5259">
            <w:pPr>
              <w:pStyle w:val="ARtabletext"/>
            </w:pPr>
            <w:r w:rsidRPr="00DF5259">
              <w:t>Total spend with Victorian Aboriginal businesses</w:t>
            </w:r>
          </w:p>
        </w:tc>
        <w:tc>
          <w:tcPr>
            <w:tcW w:w="993" w:type="dxa"/>
          </w:tcPr>
          <w:p w14:paraId="4FC42E95" w14:textId="77777777" w:rsidR="00FC6F4F" w:rsidRPr="00DB558D" w:rsidRDefault="00FC6F4F" w:rsidP="00DF5259">
            <w:pPr>
              <w:pStyle w:val="ARtabletextcentre"/>
            </w:pPr>
          </w:p>
        </w:tc>
        <w:tc>
          <w:tcPr>
            <w:tcW w:w="1701" w:type="dxa"/>
          </w:tcPr>
          <w:p w14:paraId="343BF1E8" w14:textId="77777777" w:rsidR="00FC6F4F" w:rsidRPr="00DB558D" w:rsidRDefault="00FC6F4F" w:rsidP="00DF5259">
            <w:pPr>
              <w:pStyle w:val="ARtabletextright"/>
            </w:pPr>
            <w:r w:rsidRPr="00DB558D">
              <w:t>1,826,900</w:t>
            </w:r>
          </w:p>
        </w:tc>
      </w:tr>
      <w:tr w:rsidR="00FC6F4F" w:rsidRPr="00DB558D" w14:paraId="6F1DB865" w14:textId="77777777" w:rsidTr="000572DA">
        <w:tc>
          <w:tcPr>
            <w:tcW w:w="1980" w:type="dxa"/>
            <w:vMerge/>
          </w:tcPr>
          <w:p w14:paraId="1D599242" w14:textId="77777777" w:rsidR="00FC6F4F" w:rsidRPr="00DF5259" w:rsidRDefault="00FC6F4F" w:rsidP="00FA3B87">
            <w:pPr>
              <w:pStyle w:val="ARtabletext"/>
            </w:pPr>
          </w:p>
        </w:tc>
        <w:tc>
          <w:tcPr>
            <w:tcW w:w="4819" w:type="dxa"/>
          </w:tcPr>
          <w:p w14:paraId="104CB53D" w14:textId="77777777" w:rsidR="00FC6F4F" w:rsidRPr="00DB558D" w:rsidRDefault="00FC6F4F" w:rsidP="00DF5259">
            <w:pPr>
              <w:pStyle w:val="ARtabletext"/>
            </w:pPr>
            <w:r w:rsidRPr="00DB558D">
              <w:t>Number of Victorian Aboriginal businesses engaged</w:t>
            </w:r>
          </w:p>
        </w:tc>
        <w:tc>
          <w:tcPr>
            <w:tcW w:w="993" w:type="dxa"/>
          </w:tcPr>
          <w:p w14:paraId="69D18EAB" w14:textId="77777777" w:rsidR="00FC6F4F" w:rsidRPr="00DB558D" w:rsidRDefault="00FC6F4F" w:rsidP="00DF5259">
            <w:pPr>
              <w:pStyle w:val="ARtabletextcentre"/>
            </w:pPr>
            <w:r w:rsidRPr="00DB558D">
              <w:t>40</w:t>
            </w:r>
          </w:p>
        </w:tc>
        <w:tc>
          <w:tcPr>
            <w:tcW w:w="1701" w:type="dxa"/>
          </w:tcPr>
          <w:p w14:paraId="275B2817" w14:textId="77777777" w:rsidR="00FC6F4F" w:rsidRPr="00DB558D" w:rsidRDefault="00FC6F4F" w:rsidP="00DF5259">
            <w:pPr>
              <w:pStyle w:val="ARtabletextright"/>
            </w:pPr>
          </w:p>
        </w:tc>
      </w:tr>
      <w:tr w:rsidR="00FC6F4F" w:rsidRPr="00DB558D" w14:paraId="26E37935" w14:textId="77777777" w:rsidTr="000572DA">
        <w:tc>
          <w:tcPr>
            <w:tcW w:w="1980" w:type="dxa"/>
            <w:vMerge w:val="restart"/>
          </w:tcPr>
          <w:p w14:paraId="6237E3D0" w14:textId="3B312EB4" w:rsidR="00FC6F4F" w:rsidRPr="00DF5259" w:rsidRDefault="00FC6F4F" w:rsidP="00FA3B87">
            <w:pPr>
              <w:pStyle w:val="ARtabletext"/>
            </w:pPr>
            <w:r w:rsidRPr="00DF5259">
              <w:t xml:space="preserve">Opportunities for Victorians with </w:t>
            </w:r>
            <w:r w:rsidR="00232983">
              <w:br/>
            </w:r>
            <w:r w:rsidRPr="00DF5259">
              <w:t>disability</w:t>
            </w:r>
          </w:p>
        </w:tc>
        <w:tc>
          <w:tcPr>
            <w:tcW w:w="4819" w:type="dxa"/>
          </w:tcPr>
          <w:p w14:paraId="152B9CC6" w14:textId="3B47DFA2" w:rsidR="00FC6F4F" w:rsidRPr="00DB558D" w:rsidRDefault="00FC6F4F" w:rsidP="004E671C">
            <w:pPr>
              <w:pStyle w:val="ARtabletext"/>
            </w:pPr>
            <w:r w:rsidRPr="00DB558D">
              <w:t>Total spend with Victorian social enterprises led by a mission for people with disability and Australian Disability Enterprises</w:t>
            </w:r>
          </w:p>
        </w:tc>
        <w:tc>
          <w:tcPr>
            <w:tcW w:w="993" w:type="dxa"/>
          </w:tcPr>
          <w:p w14:paraId="452A1539" w14:textId="77777777" w:rsidR="00FC6F4F" w:rsidRPr="00DB558D" w:rsidRDefault="00FC6F4F" w:rsidP="00DF5259">
            <w:pPr>
              <w:pStyle w:val="ARtabletextcentre"/>
            </w:pPr>
          </w:p>
        </w:tc>
        <w:tc>
          <w:tcPr>
            <w:tcW w:w="1701" w:type="dxa"/>
          </w:tcPr>
          <w:p w14:paraId="7A7CF582" w14:textId="77777777" w:rsidR="00FC6F4F" w:rsidRPr="00DB558D" w:rsidRDefault="00FC6F4F" w:rsidP="00DF5259">
            <w:pPr>
              <w:pStyle w:val="ARtabletextright"/>
            </w:pPr>
            <w:r w:rsidRPr="00DB558D">
              <w:t>2,943,200</w:t>
            </w:r>
          </w:p>
        </w:tc>
      </w:tr>
      <w:tr w:rsidR="00FC6F4F" w:rsidRPr="00DB558D" w14:paraId="217A85CC" w14:textId="77777777" w:rsidTr="000572DA">
        <w:tc>
          <w:tcPr>
            <w:tcW w:w="1980" w:type="dxa"/>
            <w:vMerge/>
          </w:tcPr>
          <w:p w14:paraId="7FADBF31" w14:textId="77777777" w:rsidR="00FC6F4F" w:rsidRPr="00DF5259" w:rsidRDefault="00FC6F4F" w:rsidP="00FA3B87">
            <w:pPr>
              <w:pStyle w:val="ARtabletext"/>
            </w:pPr>
          </w:p>
        </w:tc>
        <w:tc>
          <w:tcPr>
            <w:tcW w:w="4819" w:type="dxa"/>
          </w:tcPr>
          <w:p w14:paraId="478CABF1" w14:textId="3BE3DEAD" w:rsidR="00FC6F4F" w:rsidRPr="00DB558D" w:rsidRDefault="00FC6F4F" w:rsidP="004E671C">
            <w:pPr>
              <w:pStyle w:val="ARtabletext"/>
            </w:pPr>
            <w:r w:rsidRPr="00DB558D">
              <w:t>Number of Victorian social enterprises led by a mission for people with disability and Australian Disability Enterprises engaged</w:t>
            </w:r>
          </w:p>
        </w:tc>
        <w:tc>
          <w:tcPr>
            <w:tcW w:w="993" w:type="dxa"/>
          </w:tcPr>
          <w:p w14:paraId="7AAD212D" w14:textId="77777777" w:rsidR="00FC6F4F" w:rsidRPr="00DB558D" w:rsidRDefault="00FC6F4F" w:rsidP="00DF5259">
            <w:pPr>
              <w:pStyle w:val="ARtabletextcentre"/>
            </w:pPr>
            <w:r w:rsidRPr="00DB558D">
              <w:t>24</w:t>
            </w:r>
          </w:p>
        </w:tc>
        <w:tc>
          <w:tcPr>
            <w:tcW w:w="1701" w:type="dxa"/>
          </w:tcPr>
          <w:p w14:paraId="5EDEB960" w14:textId="77777777" w:rsidR="00FC6F4F" w:rsidRPr="00DB558D" w:rsidRDefault="00FC6F4F" w:rsidP="00DF5259">
            <w:pPr>
              <w:pStyle w:val="ARtabletextright"/>
            </w:pPr>
          </w:p>
        </w:tc>
      </w:tr>
      <w:tr w:rsidR="00FC6F4F" w:rsidRPr="00DB558D" w14:paraId="41F0143D" w14:textId="77777777" w:rsidTr="000572DA">
        <w:tc>
          <w:tcPr>
            <w:tcW w:w="1980" w:type="dxa"/>
            <w:vMerge w:val="restart"/>
          </w:tcPr>
          <w:p w14:paraId="746BA87D" w14:textId="77777777" w:rsidR="00FC6F4F" w:rsidRPr="00DF5259" w:rsidRDefault="00FC6F4F" w:rsidP="00FA3B87">
            <w:pPr>
              <w:pStyle w:val="ARtabletext"/>
            </w:pPr>
            <w:r w:rsidRPr="00DF5259">
              <w:t>Opportunities for disadvantaged Victorians</w:t>
            </w:r>
          </w:p>
        </w:tc>
        <w:tc>
          <w:tcPr>
            <w:tcW w:w="4819" w:type="dxa"/>
          </w:tcPr>
          <w:p w14:paraId="612BCB41" w14:textId="6E2D84D3" w:rsidR="00FC6F4F" w:rsidRPr="00DB558D" w:rsidRDefault="00FC6F4F" w:rsidP="00DF5259">
            <w:pPr>
              <w:pStyle w:val="ARtabletext"/>
            </w:pPr>
            <w:r w:rsidRPr="00DB558D">
              <w:t>Total spend with Victorian social enterprises led by a mission for the disadvantaged</w:t>
            </w:r>
            <w:r w:rsidRPr="00DF5259">
              <w:rPr>
                <w:rStyle w:val="Superscript"/>
              </w:rPr>
              <w:t>(</w:t>
            </w:r>
            <w:bookmarkStart w:id="606" w:name="_Ref84534134"/>
            <w:r w:rsidR="00495675">
              <w:rPr>
                <w:rStyle w:val="FootnoteReference"/>
              </w:rPr>
              <w:footnoteReference w:id="42"/>
            </w:r>
            <w:bookmarkEnd w:id="606"/>
            <w:r w:rsidRPr="00DF5259">
              <w:rPr>
                <w:rStyle w:val="Superscript"/>
              </w:rPr>
              <w:t>)</w:t>
            </w:r>
          </w:p>
        </w:tc>
        <w:tc>
          <w:tcPr>
            <w:tcW w:w="993" w:type="dxa"/>
          </w:tcPr>
          <w:p w14:paraId="68216297" w14:textId="77777777" w:rsidR="00FC6F4F" w:rsidRPr="00DB558D" w:rsidRDefault="00FC6F4F" w:rsidP="00DF5259">
            <w:pPr>
              <w:pStyle w:val="ARtabletextcentre"/>
            </w:pPr>
          </w:p>
        </w:tc>
        <w:tc>
          <w:tcPr>
            <w:tcW w:w="1701" w:type="dxa"/>
          </w:tcPr>
          <w:p w14:paraId="63D01CDC" w14:textId="77777777" w:rsidR="00FC6F4F" w:rsidRPr="00DB558D" w:rsidRDefault="00FC6F4F" w:rsidP="00DF5259">
            <w:pPr>
              <w:pStyle w:val="ARtabletextright"/>
            </w:pPr>
            <w:r w:rsidRPr="00DB558D">
              <w:t>1,684,600</w:t>
            </w:r>
          </w:p>
        </w:tc>
      </w:tr>
      <w:tr w:rsidR="00FC6F4F" w:rsidRPr="00DB558D" w14:paraId="7C457E76" w14:textId="77777777" w:rsidTr="000572DA">
        <w:tc>
          <w:tcPr>
            <w:tcW w:w="1980" w:type="dxa"/>
            <w:vMerge/>
          </w:tcPr>
          <w:p w14:paraId="32454CB7" w14:textId="77777777" w:rsidR="00FC6F4F" w:rsidRPr="00DF5259" w:rsidRDefault="00FC6F4F" w:rsidP="00FA3B87">
            <w:pPr>
              <w:pStyle w:val="ARtabletext"/>
            </w:pPr>
          </w:p>
        </w:tc>
        <w:tc>
          <w:tcPr>
            <w:tcW w:w="4819" w:type="dxa"/>
          </w:tcPr>
          <w:p w14:paraId="279CD92E" w14:textId="305805F0" w:rsidR="00FC6F4F" w:rsidRPr="00DB558D" w:rsidRDefault="00FC6F4F" w:rsidP="00DF5259">
            <w:pPr>
              <w:pStyle w:val="ARtabletext"/>
            </w:pPr>
            <w:r w:rsidRPr="00DB558D">
              <w:t>Number of Victorian social enterprises led by a mission for the disadvantaged engaged</w:t>
            </w:r>
          </w:p>
        </w:tc>
        <w:tc>
          <w:tcPr>
            <w:tcW w:w="993" w:type="dxa"/>
          </w:tcPr>
          <w:p w14:paraId="4744853D" w14:textId="77777777" w:rsidR="00FC6F4F" w:rsidRPr="00DB558D" w:rsidRDefault="00FC6F4F" w:rsidP="00DF5259">
            <w:pPr>
              <w:pStyle w:val="ARtabletextcentre"/>
            </w:pPr>
            <w:r w:rsidRPr="00DB558D">
              <w:t>9</w:t>
            </w:r>
          </w:p>
        </w:tc>
        <w:tc>
          <w:tcPr>
            <w:tcW w:w="1701" w:type="dxa"/>
          </w:tcPr>
          <w:p w14:paraId="2AB85299" w14:textId="77777777" w:rsidR="00FC6F4F" w:rsidRPr="00DB558D" w:rsidRDefault="00FC6F4F" w:rsidP="00DF5259">
            <w:pPr>
              <w:pStyle w:val="ARtabletextright"/>
            </w:pPr>
          </w:p>
        </w:tc>
      </w:tr>
      <w:tr w:rsidR="00FC6F4F" w:rsidRPr="00DB558D" w14:paraId="3A3316DD" w14:textId="77777777" w:rsidTr="000572DA">
        <w:tc>
          <w:tcPr>
            <w:tcW w:w="1980" w:type="dxa"/>
            <w:vMerge w:val="restart"/>
          </w:tcPr>
          <w:p w14:paraId="11116EA1" w14:textId="77777777" w:rsidR="00FC6F4F" w:rsidRPr="00DF5259" w:rsidRDefault="00FC6F4F" w:rsidP="00FA3B87">
            <w:pPr>
              <w:pStyle w:val="ARtabletext"/>
            </w:pPr>
            <w:r w:rsidRPr="00DF5259">
              <w:t>Sustainable Victorian social enterprises and Aboriginal business sectors</w:t>
            </w:r>
          </w:p>
        </w:tc>
        <w:tc>
          <w:tcPr>
            <w:tcW w:w="4819" w:type="dxa"/>
          </w:tcPr>
          <w:p w14:paraId="64CDD068" w14:textId="502F0CAE" w:rsidR="00FC6F4F" w:rsidRPr="00DB558D" w:rsidRDefault="00FC6F4F" w:rsidP="00DF5259">
            <w:pPr>
              <w:pStyle w:val="ARtabletext"/>
            </w:pPr>
            <w:r w:rsidRPr="00DB558D">
              <w:t>Total spend with Victorian Aboriginal businesses</w:t>
            </w:r>
          </w:p>
        </w:tc>
        <w:tc>
          <w:tcPr>
            <w:tcW w:w="993" w:type="dxa"/>
          </w:tcPr>
          <w:p w14:paraId="46C10F48" w14:textId="77777777" w:rsidR="00FC6F4F" w:rsidRPr="00DB558D" w:rsidRDefault="00FC6F4F" w:rsidP="00DF5259">
            <w:pPr>
              <w:pStyle w:val="ARtabletextcentre"/>
            </w:pPr>
          </w:p>
        </w:tc>
        <w:tc>
          <w:tcPr>
            <w:tcW w:w="1701" w:type="dxa"/>
          </w:tcPr>
          <w:p w14:paraId="77740D67" w14:textId="77777777" w:rsidR="00FC6F4F" w:rsidRPr="00DB558D" w:rsidRDefault="00FC6F4F" w:rsidP="00DF5259">
            <w:pPr>
              <w:pStyle w:val="ARtabletextright"/>
            </w:pPr>
            <w:r w:rsidRPr="00DB558D">
              <w:t>1,827,000</w:t>
            </w:r>
          </w:p>
        </w:tc>
      </w:tr>
      <w:tr w:rsidR="00FC6F4F" w:rsidRPr="00DB558D" w14:paraId="5235121D" w14:textId="77777777" w:rsidTr="000572DA">
        <w:tc>
          <w:tcPr>
            <w:tcW w:w="1980" w:type="dxa"/>
            <w:vMerge/>
          </w:tcPr>
          <w:p w14:paraId="5500EC3C" w14:textId="77777777" w:rsidR="00FC6F4F" w:rsidRPr="00DB558D" w:rsidRDefault="00FC6F4F" w:rsidP="00FC6F4F">
            <w:pPr>
              <w:tabs>
                <w:tab w:val="left" w:leader="dot" w:pos="567"/>
                <w:tab w:val="left" w:leader="dot" w:pos="1134"/>
                <w:tab w:val="left" w:leader="dot" w:pos="1701"/>
              </w:tabs>
              <w:spacing w:before="20" w:after="20"/>
              <w:rPr>
                <w:rFonts w:ascii="Calibri" w:eastAsia="Times New Roman" w:hAnsi="Calibri" w:cs="Calibri"/>
              </w:rPr>
            </w:pPr>
          </w:p>
        </w:tc>
        <w:tc>
          <w:tcPr>
            <w:tcW w:w="4819" w:type="dxa"/>
          </w:tcPr>
          <w:p w14:paraId="1F738C5F" w14:textId="77777777" w:rsidR="00FC6F4F" w:rsidRPr="00DB558D" w:rsidRDefault="00FC6F4F" w:rsidP="00DF5259">
            <w:pPr>
              <w:pStyle w:val="ARtabletext"/>
            </w:pPr>
            <w:r w:rsidRPr="00DB558D">
              <w:t>Number of Victorian Aboriginal businesses engaged</w:t>
            </w:r>
          </w:p>
        </w:tc>
        <w:tc>
          <w:tcPr>
            <w:tcW w:w="993" w:type="dxa"/>
          </w:tcPr>
          <w:p w14:paraId="2EDCD26F" w14:textId="77777777" w:rsidR="00FC6F4F" w:rsidRPr="00DB558D" w:rsidRDefault="00FC6F4F" w:rsidP="00DF5259">
            <w:pPr>
              <w:pStyle w:val="ARtabletextcentre"/>
            </w:pPr>
            <w:r w:rsidRPr="00DB558D">
              <w:t>40</w:t>
            </w:r>
          </w:p>
        </w:tc>
        <w:tc>
          <w:tcPr>
            <w:tcW w:w="1701" w:type="dxa"/>
          </w:tcPr>
          <w:p w14:paraId="6881AF75" w14:textId="77777777" w:rsidR="00FC6F4F" w:rsidRPr="00DB558D" w:rsidRDefault="00FC6F4F" w:rsidP="00DF5259">
            <w:pPr>
              <w:pStyle w:val="ARtabletextright"/>
            </w:pPr>
          </w:p>
        </w:tc>
      </w:tr>
      <w:tr w:rsidR="00FC6F4F" w:rsidRPr="00DB558D" w14:paraId="0FC4138D" w14:textId="77777777" w:rsidTr="000572DA">
        <w:tc>
          <w:tcPr>
            <w:tcW w:w="1980" w:type="dxa"/>
            <w:vMerge/>
          </w:tcPr>
          <w:p w14:paraId="5904D0FA" w14:textId="77777777" w:rsidR="00FC6F4F" w:rsidRPr="00DB558D" w:rsidRDefault="00FC6F4F" w:rsidP="00FC6F4F">
            <w:pPr>
              <w:tabs>
                <w:tab w:val="left" w:leader="dot" w:pos="567"/>
                <w:tab w:val="left" w:leader="dot" w:pos="1134"/>
                <w:tab w:val="left" w:leader="dot" w:pos="1701"/>
              </w:tabs>
              <w:spacing w:before="20" w:after="20"/>
              <w:rPr>
                <w:rFonts w:ascii="Calibri" w:eastAsia="Times New Roman" w:hAnsi="Calibri" w:cs="Calibri"/>
              </w:rPr>
            </w:pPr>
          </w:p>
        </w:tc>
        <w:tc>
          <w:tcPr>
            <w:tcW w:w="4819" w:type="dxa"/>
          </w:tcPr>
          <w:p w14:paraId="28D1FCFC" w14:textId="2FF6C51A" w:rsidR="00FC6F4F" w:rsidRPr="00DB558D" w:rsidRDefault="00FC6F4F" w:rsidP="00DF5259">
            <w:pPr>
              <w:pStyle w:val="ARtabletext"/>
            </w:pPr>
            <w:r w:rsidRPr="00DB558D">
              <w:t>Total spend with other Victorian social enterprises</w:t>
            </w:r>
            <w:r w:rsidRPr="00DF5259">
              <w:rPr>
                <w:rStyle w:val="Superscript"/>
              </w:rPr>
              <w:t>(</w:t>
            </w:r>
            <w:bookmarkStart w:id="607" w:name="_Ref84534159"/>
            <w:r w:rsidR="00495675">
              <w:rPr>
                <w:rStyle w:val="FootnoteReference"/>
              </w:rPr>
              <w:footnoteReference w:id="43"/>
            </w:r>
            <w:bookmarkEnd w:id="607"/>
            <w:r w:rsidRPr="00DF5259">
              <w:rPr>
                <w:rStyle w:val="Superscript"/>
              </w:rPr>
              <w:t>)</w:t>
            </w:r>
          </w:p>
        </w:tc>
        <w:tc>
          <w:tcPr>
            <w:tcW w:w="993" w:type="dxa"/>
          </w:tcPr>
          <w:p w14:paraId="1AE3142F" w14:textId="77777777" w:rsidR="00FC6F4F" w:rsidRPr="00DB558D" w:rsidRDefault="00FC6F4F" w:rsidP="00DF5259">
            <w:pPr>
              <w:pStyle w:val="ARtabletextcentre"/>
            </w:pPr>
          </w:p>
        </w:tc>
        <w:tc>
          <w:tcPr>
            <w:tcW w:w="1701" w:type="dxa"/>
          </w:tcPr>
          <w:p w14:paraId="148A113D" w14:textId="77777777" w:rsidR="00FC6F4F" w:rsidRPr="00DB558D" w:rsidRDefault="00FC6F4F" w:rsidP="00DF5259">
            <w:pPr>
              <w:pStyle w:val="ARtabletextright"/>
            </w:pPr>
            <w:r w:rsidRPr="00DB558D">
              <w:t>6,888,500</w:t>
            </w:r>
          </w:p>
        </w:tc>
      </w:tr>
      <w:tr w:rsidR="00FC6F4F" w:rsidRPr="00DB558D" w14:paraId="3A83F64A" w14:textId="77777777" w:rsidTr="000572DA">
        <w:tc>
          <w:tcPr>
            <w:tcW w:w="1980" w:type="dxa"/>
            <w:vMerge/>
          </w:tcPr>
          <w:p w14:paraId="702EB926" w14:textId="77777777" w:rsidR="00FC6F4F" w:rsidRPr="00DB558D" w:rsidRDefault="00FC6F4F" w:rsidP="00FC6F4F">
            <w:pPr>
              <w:tabs>
                <w:tab w:val="left" w:leader="dot" w:pos="567"/>
                <w:tab w:val="left" w:leader="dot" w:pos="1134"/>
                <w:tab w:val="left" w:leader="dot" w:pos="1701"/>
              </w:tabs>
              <w:spacing w:before="20" w:after="20"/>
              <w:rPr>
                <w:rFonts w:ascii="Calibri" w:eastAsia="Times New Roman" w:hAnsi="Calibri" w:cs="Calibri"/>
              </w:rPr>
            </w:pPr>
          </w:p>
        </w:tc>
        <w:tc>
          <w:tcPr>
            <w:tcW w:w="4819" w:type="dxa"/>
          </w:tcPr>
          <w:p w14:paraId="4B81D819" w14:textId="3BE8A553" w:rsidR="00FC6F4F" w:rsidRPr="00DB558D" w:rsidRDefault="00FC6F4F" w:rsidP="00DF5259">
            <w:pPr>
              <w:pStyle w:val="ARtabletext"/>
            </w:pPr>
            <w:r w:rsidRPr="00DB558D">
              <w:t>Number of other Victorian social enterprises engaged</w:t>
            </w:r>
          </w:p>
        </w:tc>
        <w:tc>
          <w:tcPr>
            <w:tcW w:w="993" w:type="dxa"/>
          </w:tcPr>
          <w:p w14:paraId="4F4C0322" w14:textId="77777777" w:rsidR="00FC6F4F" w:rsidRPr="00DB558D" w:rsidRDefault="00FC6F4F" w:rsidP="00DF5259">
            <w:pPr>
              <w:pStyle w:val="ARtabletextcentre"/>
            </w:pPr>
            <w:r w:rsidRPr="00DB558D">
              <w:t>53</w:t>
            </w:r>
          </w:p>
        </w:tc>
        <w:tc>
          <w:tcPr>
            <w:tcW w:w="1701" w:type="dxa"/>
          </w:tcPr>
          <w:p w14:paraId="32211734" w14:textId="77777777" w:rsidR="00FC6F4F" w:rsidRPr="00DB558D" w:rsidRDefault="00FC6F4F" w:rsidP="00DF5259">
            <w:pPr>
              <w:pStyle w:val="ARtabletextright"/>
            </w:pPr>
          </w:p>
        </w:tc>
      </w:tr>
      <w:tr w:rsidR="00FC6F4F" w:rsidRPr="00DB558D" w14:paraId="1BB532BF" w14:textId="77777777" w:rsidTr="000572DA">
        <w:tc>
          <w:tcPr>
            <w:tcW w:w="1980" w:type="dxa"/>
            <w:vMerge/>
          </w:tcPr>
          <w:p w14:paraId="738C4AE6" w14:textId="77777777" w:rsidR="00FC6F4F" w:rsidRPr="00DB558D" w:rsidRDefault="00FC6F4F" w:rsidP="00FC6F4F">
            <w:pPr>
              <w:tabs>
                <w:tab w:val="left" w:leader="dot" w:pos="567"/>
                <w:tab w:val="left" w:leader="dot" w:pos="1134"/>
                <w:tab w:val="left" w:leader="dot" w:pos="1701"/>
              </w:tabs>
              <w:spacing w:before="20" w:after="20"/>
              <w:rPr>
                <w:rFonts w:ascii="Calibri" w:eastAsia="Times New Roman" w:hAnsi="Calibri" w:cs="Calibri"/>
              </w:rPr>
            </w:pPr>
          </w:p>
        </w:tc>
        <w:tc>
          <w:tcPr>
            <w:tcW w:w="4819" w:type="dxa"/>
          </w:tcPr>
          <w:p w14:paraId="68224779" w14:textId="1D05DE48" w:rsidR="00FC6F4F" w:rsidRPr="00DB558D" w:rsidRDefault="00FC6F4F" w:rsidP="001F5FE7">
            <w:pPr>
              <w:pStyle w:val="ARtabletext"/>
            </w:pPr>
            <w:r w:rsidRPr="00DB558D">
              <w:t xml:space="preserve">Percentage of direct Aboriginal supplier engagement (against </w:t>
            </w:r>
            <w:r w:rsidR="001F5FE7">
              <w:t>one per cent</w:t>
            </w:r>
            <w:r w:rsidRPr="00DB558D">
              <w:t xml:space="preserve"> </w:t>
            </w:r>
            <w:r w:rsidR="001F5FE7">
              <w:t>g</w:t>
            </w:r>
            <w:r w:rsidRPr="00DB558D">
              <w:t>overnment target)</w:t>
            </w:r>
          </w:p>
        </w:tc>
        <w:tc>
          <w:tcPr>
            <w:tcW w:w="2694" w:type="dxa"/>
            <w:gridSpan w:val="2"/>
          </w:tcPr>
          <w:p w14:paraId="061CD8C8" w14:textId="77777777" w:rsidR="00FC6F4F" w:rsidRPr="00DB558D" w:rsidRDefault="00FC6F4F" w:rsidP="00DF5259">
            <w:pPr>
              <w:pStyle w:val="ARtabletextcentre"/>
            </w:pPr>
            <w:r w:rsidRPr="00DB558D">
              <w:t>1.11%</w:t>
            </w:r>
          </w:p>
        </w:tc>
      </w:tr>
    </w:tbl>
    <w:p w14:paraId="2D007E56" w14:textId="77777777" w:rsidR="001F7C04" w:rsidRPr="001F7C04" w:rsidRDefault="001F7C04" w:rsidP="001F7C04">
      <w:pPr>
        <w:pStyle w:val="ARbody"/>
      </w:pPr>
      <w:bookmarkStart w:id="608" w:name="_Ref492905722"/>
      <w:bookmarkStart w:id="609" w:name="_Toc21682724"/>
      <w:bookmarkStart w:id="610" w:name="_Toc54690801"/>
      <w:bookmarkStart w:id="611" w:name="_Ref84252211"/>
      <w:r w:rsidRPr="001F7C04">
        <w:br w:type="page"/>
      </w:r>
    </w:p>
    <w:p w14:paraId="0DBFD358" w14:textId="7950D4CC" w:rsidR="00FC6F4F" w:rsidRPr="003379F7" w:rsidRDefault="00FC6F4F" w:rsidP="00307304">
      <w:pPr>
        <w:pStyle w:val="Heading2"/>
        <w:spacing w:before="0"/>
        <w:rPr>
          <w:rFonts w:cs="Arial"/>
        </w:rPr>
      </w:pPr>
      <w:bookmarkStart w:id="612" w:name="_Toc85121293"/>
      <w:bookmarkStart w:id="613" w:name="_Toc85121630"/>
      <w:bookmarkStart w:id="614" w:name="_Ref85616079"/>
      <w:bookmarkStart w:id="615" w:name="_Toc86075613"/>
      <w:r w:rsidRPr="003379F7">
        <w:rPr>
          <w:rFonts w:cs="Arial"/>
        </w:rPr>
        <w:lastRenderedPageBreak/>
        <w:t>Environmental report</w:t>
      </w:r>
      <w:bookmarkEnd w:id="608"/>
      <w:bookmarkEnd w:id="609"/>
      <w:bookmarkEnd w:id="610"/>
      <w:r w:rsidRPr="003379F7">
        <w:rPr>
          <w:rFonts w:cs="Arial"/>
        </w:rPr>
        <w:t>ing</w:t>
      </w:r>
      <w:bookmarkEnd w:id="611"/>
      <w:bookmarkEnd w:id="612"/>
      <w:bookmarkEnd w:id="613"/>
      <w:bookmarkEnd w:id="614"/>
      <w:bookmarkEnd w:id="615"/>
    </w:p>
    <w:p w14:paraId="131B8BB9" w14:textId="77777777" w:rsidR="00FC6F4F" w:rsidRPr="002029AF" w:rsidRDefault="00FC6F4F" w:rsidP="007915F1">
      <w:pPr>
        <w:pStyle w:val="Heading3"/>
        <w:spacing w:before="120" w:after="60"/>
      </w:pPr>
      <w:bookmarkStart w:id="616" w:name="_Toc85121294"/>
      <w:bookmarkStart w:id="617" w:name="_Ref492895460"/>
      <w:r w:rsidRPr="002029AF">
        <w:t>Environmental performance and impacts</w:t>
      </w:r>
      <w:bookmarkEnd w:id="616"/>
    </w:p>
    <w:bookmarkEnd w:id="617"/>
    <w:p w14:paraId="22CBE6E4" w14:textId="7029F779" w:rsidR="00FC6F4F" w:rsidRPr="002029AF" w:rsidRDefault="00FC6F4F" w:rsidP="007915F1">
      <w:pPr>
        <w:pStyle w:val="ARintro"/>
        <w:spacing w:after="100"/>
      </w:pPr>
      <w:r w:rsidRPr="040DEA77">
        <w:t>The following includes information related to the former Department of Health and Human Services, the current Department of Health and the current Department of Families, Fairness and</w:t>
      </w:r>
      <w:r w:rsidR="007915F1">
        <w:t> </w:t>
      </w:r>
      <w:r w:rsidRPr="040DEA77">
        <w:t>Housing.</w:t>
      </w:r>
    </w:p>
    <w:p w14:paraId="03657287" w14:textId="64D4F454" w:rsidR="00FC6F4F" w:rsidRPr="002029AF" w:rsidRDefault="00FC6F4F" w:rsidP="007915F1">
      <w:pPr>
        <w:pStyle w:val="ARintro"/>
        <w:spacing w:after="100"/>
      </w:pPr>
      <w:r w:rsidRPr="040DEA77">
        <w:t>The departments operated a joint financial and corporate services system through 202</w:t>
      </w:r>
      <w:r w:rsidR="00177286">
        <w:t>0–</w:t>
      </w:r>
      <w:r w:rsidRPr="040DEA77">
        <w:t>21 so</w:t>
      </w:r>
      <w:r w:rsidR="007915F1">
        <w:t> </w:t>
      </w:r>
      <w:r w:rsidRPr="040DEA77">
        <w:t>this</w:t>
      </w:r>
      <w:r w:rsidR="007915F1">
        <w:t> </w:t>
      </w:r>
      <w:r w:rsidRPr="040DEA77">
        <w:t xml:space="preserve">report reflects </w:t>
      </w:r>
      <w:r w:rsidR="00DB4799">
        <w:t>combined data</w:t>
      </w:r>
      <w:r w:rsidRPr="040DEA77">
        <w:t xml:space="preserve"> for the two departments for the period. Each department </w:t>
      </w:r>
      <w:r w:rsidR="0064455B">
        <w:t>has</w:t>
      </w:r>
      <w:r w:rsidR="007915F1">
        <w:t> </w:t>
      </w:r>
      <w:r w:rsidRPr="040DEA77">
        <w:t>operate</w:t>
      </w:r>
      <w:r w:rsidR="0064455B">
        <w:t>d</w:t>
      </w:r>
      <w:r w:rsidRPr="040DEA77">
        <w:t xml:space="preserve"> separate accounts from 1 July 2021 and </w:t>
      </w:r>
      <w:r w:rsidR="0064455B">
        <w:t xml:space="preserve">will </w:t>
      </w:r>
      <w:r w:rsidRPr="040DEA77">
        <w:t>report separately in 202</w:t>
      </w:r>
      <w:r w:rsidR="00177286">
        <w:t>1–</w:t>
      </w:r>
      <w:r w:rsidRPr="040DEA77">
        <w:t xml:space="preserve">22. </w:t>
      </w:r>
      <w:r w:rsidR="00DB4799">
        <w:t xml:space="preserve">The </w:t>
      </w:r>
      <w:r w:rsidR="00510F8B">
        <w:t>departments</w:t>
      </w:r>
      <w:r>
        <w:t xml:space="preserve"> will reset </w:t>
      </w:r>
      <w:r w:rsidR="00510F8B">
        <w:t>their</w:t>
      </w:r>
      <w:r>
        <w:t xml:space="preserve"> office</w:t>
      </w:r>
      <w:r w:rsidR="001F5FE7">
        <w:t>-</w:t>
      </w:r>
      <w:r>
        <w:t xml:space="preserve">based and public health environmental </w:t>
      </w:r>
      <w:r w:rsidRPr="004E671C">
        <w:t>indicators</w:t>
      </w:r>
      <w:r w:rsidR="001F5FE7" w:rsidRPr="004E671C">
        <w:t xml:space="preserve"> </w:t>
      </w:r>
      <w:r w:rsidR="001F5FE7" w:rsidRPr="00814806">
        <w:t>in 202</w:t>
      </w:r>
      <w:r w:rsidR="00A9686F">
        <w:t>1–</w:t>
      </w:r>
      <w:r w:rsidR="001F5FE7" w:rsidRPr="00814806">
        <w:t>22</w:t>
      </w:r>
      <w:r w:rsidRPr="00524890">
        <w:t xml:space="preserve"> to</w:t>
      </w:r>
      <w:r w:rsidR="007915F1">
        <w:t> </w:t>
      </w:r>
      <w:r w:rsidRPr="00524890">
        <w:t>reflect these changes.</w:t>
      </w:r>
    </w:p>
    <w:p w14:paraId="014D8E2C" w14:textId="19CFA116" w:rsidR="00F8606E" w:rsidRDefault="00FC6F4F" w:rsidP="007915F1">
      <w:pPr>
        <w:pStyle w:val="ARintro"/>
        <w:spacing w:after="100"/>
      </w:pPr>
      <w:r>
        <w:t xml:space="preserve">In 2020–21, the departments made good progress on reducing </w:t>
      </w:r>
      <w:r w:rsidR="008C6C2D">
        <w:t xml:space="preserve">their </w:t>
      </w:r>
      <w:r>
        <w:t>environmental footprint and</w:t>
      </w:r>
      <w:r w:rsidR="007915F1">
        <w:t> </w:t>
      </w:r>
      <w:r>
        <w:t>managing climate change risks across the sector despite significant challenges caused by</w:t>
      </w:r>
      <w:r w:rsidR="007915F1">
        <w:t> </w:t>
      </w:r>
      <w:r>
        <w:t>COVID</w:t>
      </w:r>
      <w:r w:rsidR="006468E6">
        <w:noBreakHyphen/>
      </w:r>
      <w:r>
        <w:t>19.</w:t>
      </w:r>
    </w:p>
    <w:p w14:paraId="09DA6813" w14:textId="66AE2F2E" w:rsidR="00F8606E" w:rsidRDefault="00FC6F4F" w:rsidP="007915F1">
      <w:pPr>
        <w:pStyle w:val="ARintro"/>
        <w:spacing w:after="100"/>
      </w:pPr>
      <w:r>
        <w:t>In particular, the collection of some environmental datasets and the completion of environmental targets continued to be impacted by the unprecedented disruptions to workplace activities and service delivery due to COVID-19. Environmental performance indicators for energy, paper and transportation were also affected by restricted access to office-based workplaces and the department-wide continuation of shifting to remote working during the reporting year.</w:t>
      </w:r>
    </w:p>
    <w:p w14:paraId="21CD49F5" w14:textId="1753EDE7" w:rsidR="00FC6F4F" w:rsidRPr="002029AF" w:rsidRDefault="00FC6F4F" w:rsidP="006F2C99">
      <w:pPr>
        <w:pStyle w:val="Heading4"/>
      </w:pPr>
      <w:bookmarkStart w:id="618" w:name="_Toc85121295"/>
      <w:r w:rsidRPr="002029AF">
        <w:t>Highlights</w:t>
      </w:r>
      <w:bookmarkEnd w:id="618"/>
    </w:p>
    <w:p w14:paraId="5B9AF014" w14:textId="77777777" w:rsidR="00FC6F4F" w:rsidRPr="002029AF" w:rsidRDefault="00FC6F4F" w:rsidP="00DC6F5C">
      <w:pPr>
        <w:pStyle w:val="ARbody"/>
        <w:sectPr w:rsidR="00FC6F4F" w:rsidRPr="002029AF" w:rsidSect="004330D7">
          <w:headerReference w:type="even" r:id="rId97"/>
          <w:headerReference w:type="default" r:id="rId98"/>
          <w:footerReference w:type="even" r:id="rId99"/>
          <w:footerReference w:type="default" r:id="rId100"/>
          <w:headerReference w:type="first" r:id="rId101"/>
          <w:footerReference w:type="first" r:id="rId102"/>
          <w:footnotePr>
            <w:numFmt w:val="lowerLetter"/>
            <w:numRestart w:val="eachPage"/>
          </w:footnotePr>
          <w:endnotePr>
            <w:numFmt w:val="decimal"/>
          </w:endnotePr>
          <w:pgSz w:w="11900" w:h="16840" w:code="9"/>
          <w:pgMar w:top="1985" w:right="1134" w:bottom="851" w:left="1134" w:header="510" w:footer="340" w:gutter="0"/>
          <w:cols w:space="454"/>
        </w:sectPr>
      </w:pPr>
    </w:p>
    <w:p w14:paraId="61F91252" w14:textId="77777777" w:rsidR="00FC6F4F" w:rsidRPr="002029AF" w:rsidRDefault="00FC6F4F" w:rsidP="007915F1">
      <w:pPr>
        <w:pStyle w:val="ARbody"/>
        <w:spacing w:after="60"/>
      </w:pPr>
      <w:r>
        <w:t>Highlights for the period included:</w:t>
      </w:r>
    </w:p>
    <w:p w14:paraId="2B40B293" w14:textId="1F73268B" w:rsidR="00FC6F4F" w:rsidRDefault="00FC6F4F" w:rsidP="007915F1">
      <w:pPr>
        <w:pStyle w:val="ARbullet1"/>
        <w:spacing w:after="30" w:line="250" w:lineRule="atLeast"/>
      </w:pPr>
      <w:r>
        <w:t xml:space="preserve">reducing annual reported greenhouse gas emissions in the health and human services sector by </w:t>
      </w:r>
      <w:r w:rsidR="008C6C2D">
        <w:t>three</w:t>
      </w:r>
      <w:r>
        <w:t> per cent or 23,624 tonnes of carbon-dioxide equivalent (</w:t>
      </w:r>
      <w:r w:rsidR="00C00F53">
        <w:t>CO</w:t>
      </w:r>
      <w:r w:rsidR="00C00F53" w:rsidRPr="00C00F53">
        <w:rPr>
          <w:vertAlign w:val="subscript"/>
        </w:rPr>
        <w:t>2</w:t>
      </w:r>
      <w:r>
        <w:t>-e)</w:t>
      </w:r>
    </w:p>
    <w:p w14:paraId="6C0F829F" w14:textId="76DD8E59" w:rsidR="00FC6F4F" w:rsidRDefault="00FC6F4F" w:rsidP="007915F1">
      <w:pPr>
        <w:pStyle w:val="ARbullet1"/>
        <w:spacing w:after="30" w:line="250" w:lineRule="atLeast"/>
      </w:pPr>
      <w:r>
        <w:t xml:space="preserve">reducing annual reported greenhouse gas emissions in the public health sector by 1.0 per cent or 8,599 tonnes </w:t>
      </w:r>
      <w:r w:rsidR="00C00F53">
        <w:t>CO</w:t>
      </w:r>
      <w:r w:rsidR="00C00F53" w:rsidRPr="00C00F53">
        <w:rPr>
          <w:vertAlign w:val="subscript"/>
        </w:rPr>
        <w:t>2</w:t>
      </w:r>
      <w:r>
        <w:t>-e</w:t>
      </w:r>
    </w:p>
    <w:p w14:paraId="2A130A12" w14:textId="43DB25DF" w:rsidR="00FC6F4F" w:rsidRPr="002029AF" w:rsidRDefault="00FC6F4F" w:rsidP="007915F1">
      <w:pPr>
        <w:pStyle w:val="ARbullet1"/>
        <w:spacing w:after="30" w:line="250" w:lineRule="atLeast"/>
      </w:pPr>
      <w:r>
        <w:t>commenc</w:t>
      </w:r>
      <w:r w:rsidR="008C6C2D">
        <w:t>ing</w:t>
      </w:r>
      <w:r>
        <w:t xml:space="preserve"> development of the </w:t>
      </w:r>
      <w:r w:rsidRPr="4760A802">
        <w:rPr>
          <w:i/>
          <w:iCs/>
        </w:rPr>
        <w:t xml:space="preserve">Health and Human Services </w:t>
      </w:r>
      <w:r w:rsidR="00814806">
        <w:rPr>
          <w:i/>
          <w:iCs/>
        </w:rPr>
        <w:t>c</w:t>
      </w:r>
      <w:r w:rsidRPr="4760A802">
        <w:rPr>
          <w:i/>
          <w:iCs/>
        </w:rPr>
        <w:t xml:space="preserve">limate </w:t>
      </w:r>
      <w:r w:rsidR="008C6C2D">
        <w:rPr>
          <w:i/>
          <w:iCs/>
        </w:rPr>
        <w:t>c</w:t>
      </w:r>
      <w:r w:rsidRPr="4760A802">
        <w:rPr>
          <w:i/>
          <w:iCs/>
        </w:rPr>
        <w:t xml:space="preserve">hange </w:t>
      </w:r>
      <w:r w:rsidR="008C6C2D">
        <w:rPr>
          <w:i/>
          <w:iCs/>
        </w:rPr>
        <w:t>a</w:t>
      </w:r>
      <w:r w:rsidRPr="4760A802">
        <w:rPr>
          <w:i/>
          <w:iCs/>
        </w:rPr>
        <w:t xml:space="preserve">daptation </w:t>
      </w:r>
      <w:r w:rsidR="008C6C2D">
        <w:rPr>
          <w:i/>
          <w:iCs/>
        </w:rPr>
        <w:t>a</w:t>
      </w:r>
      <w:r w:rsidRPr="4760A802">
        <w:rPr>
          <w:i/>
          <w:iCs/>
        </w:rPr>
        <w:t xml:space="preserve">ction </w:t>
      </w:r>
      <w:r w:rsidR="008C6C2D">
        <w:rPr>
          <w:i/>
          <w:iCs/>
        </w:rPr>
        <w:t>p</w:t>
      </w:r>
      <w:r w:rsidRPr="4760A802">
        <w:rPr>
          <w:i/>
          <w:iCs/>
        </w:rPr>
        <w:t>lan 202</w:t>
      </w:r>
      <w:r w:rsidR="00177286">
        <w:rPr>
          <w:i/>
          <w:iCs/>
        </w:rPr>
        <w:t>1–</w:t>
      </w:r>
      <w:r w:rsidRPr="4760A802">
        <w:rPr>
          <w:i/>
          <w:iCs/>
        </w:rPr>
        <w:t xml:space="preserve">26. </w:t>
      </w:r>
      <w:r>
        <w:t xml:space="preserve">A consultation draft was completed and released on 9 </w:t>
      </w:r>
      <w:r w:rsidRPr="00213935">
        <w:t>July</w:t>
      </w:r>
      <w:r w:rsidR="008C6C2D" w:rsidRPr="00213935">
        <w:t xml:space="preserve"> 2021</w:t>
      </w:r>
      <w:r w:rsidRPr="00213935">
        <w:t xml:space="preserve"> for public feedback. The final plan will</w:t>
      </w:r>
      <w:r>
        <w:t xml:space="preserve"> be delivered early 2022.</w:t>
      </w:r>
    </w:p>
    <w:p w14:paraId="37761534" w14:textId="2876702D" w:rsidR="00FC6F4F" w:rsidRDefault="00FC6F4F" w:rsidP="007915F1">
      <w:pPr>
        <w:pStyle w:val="ARbullet1"/>
        <w:spacing w:after="30" w:line="250" w:lineRule="atLeast"/>
      </w:pPr>
      <w:r>
        <w:t>continuing the implementation of the Regional</w:t>
      </w:r>
      <w:r w:rsidR="007915F1">
        <w:t> </w:t>
      </w:r>
      <w:r>
        <w:t xml:space="preserve">Health Solar Program. </w:t>
      </w:r>
      <w:r w:rsidRPr="00686653">
        <w:t>Of the 8.7</w:t>
      </w:r>
      <w:r w:rsidR="007915F1">
        <w:t> </w:t>
      </w:r>
      <w:r w:rsidRPr="00686653">
        <w:t>megawatt-peak supported through the program, 7.4</w:t>
      </w:r>
      <w:r w:rsidR="007915F1">
        <w:t> </w:t>
      </w:r>
      <w:r w:rsidRPr="00686653">
        <w:t>megawatt-peak has been installed and is</w:t>
      </w:r>
      <w:r w:rsidR="007915F1">
        <w:t> </w:t>
      </w:r>
      <w:r>
        <w:t xml:space="preserve">operational. </w:t>
      </w:r>
      <w:r w:rsidRPr="00306B11">
        <w:t>In 202</w:t>
      </w:r>
      <w:r w:rsidR="00177286">
        <w:t>0–</w:t>
      </w:r>
      <w:r w:rsidRPr="00306B11">
        <w:t>21, solar arrays on</w:t>
      </w:r>
      <w:r w:rsidR="007915F1">
        <w:t> </w:t>
      </w:r>
      <w:r w:rsidRPr="00306B11">
        <w:t>Victorian public hospitals generated some 9.8</w:t>
      </w:r>
      <w:r w:rsidR="007915F1">
        <w:t> </w:t>
      </w:r>
      <w:r w:rsidRPr="00306B11">
        <w:t xml:space="preserve">gigawatt-hours of electricity, reducing carbon emissions by some 11,000 </w:t>
      </w:r>
      <w:r>
        <w:t xml:space="preserve">tonnes </w:t>
      </w:r>
      <w:r w:rsidR="00C00F53">
        <w:t>CO</w:t>
      </w:r>
      <w:r w:rsidR="00C00F53" w:rsidRPr="00C00F53">
        <w:rPr>
          <w:vertAlign w:val="subscript"/>
        </w:rPr>
        <w:t>2</w:t>
      </w:r>
      <w:r>
        <w:t>-e.</w:t>
      </w:r>
    </w:p>
    <w:p w14:paraId="48183C5D" w14:textId="1CD38548" w:rsidR="00FC6F4F" w:rsidRPr="002029AF" w:rsidRDefault="00FC6F4F" w:rsidP="007915F1">
      <w:pPr>
        <w:pStyle w:val="ARbullet1"/>
        <w:spacing w:line="250" w:lineRule="atLeast"/>
      </w:pPr>
      <w:r>
        <w:t>contributing to the whole</w:t>
      </w:r>
      <w:r w:rsidR="00313EC5">
        <w:t xml:space="preserve"> </w:t>
      </w:r>
      <w:r>
        <w:t>of</w:t>
      </w:r>
      <w:r w:rsidR="00313EC5">
        <w:t xml:space="preserve"> </w:t>
      </w:r>
      <w:r>
        <w:t>Victorian</w:t>
      </w:r>
      <w:r w:rsidR="00313EC5">
        <w:t xml:space="preserve"> </w:t>
      </w:r>
      <w:r>
        <w:t xml:space="preserve">Government </w:t>
      </w:r>
      <w:r w:rsidR="00814806">
        <w:t>c</w:t>
      </w:r>
      <w:r>
        <w:t xml:space="preserve">limate </w:t>
      </w:r>
      <w:r w:rsidR="00814806">
        <w:t>c</w:t>
      </w:r>
      <w:r>
        <w:t xml:space="preserve">hange </w:t>
      </w:r>
      <w:r w:rsidR="00814806">
        <w:t>s</w:t>
      </w:r>
      <w:r>
        <w:t>trategy and emissions reduction pledge, reducing our greenhouse gas emissions from office-based sources by 19 per cent from last year. Over the life of the six-year emissions reduction target, the department reduced its annual office-based emissions by 45 per cent or 12,551 tonnes CO</w:t>
      </w:r>
      <w:r w:rsidRPr="4760A802">
        <w:rPr>
          <w:vertAlign w:val="subscript"/>
        </w:rPr>
        <w:t>2</w:t>
      </w:r>
      <w:r w:rsidR="00295C8D">
        <w:noBreakHyphen/>
      </w:r>
      <w:r>
        <w:t>e from the 2014–15 baseline</w:t>
      </w:r>
    </w:p>
    <w:p w14:paraId="64D098C5" w14:textId="5CA92A1C" w:rsidR="00FC6F4F" w:rsidRDefault="00FC6F4F" w:rsidP="00FC6F4F">
      <w:pPr>
        <w:pStyle w:val="ARbullet1"/>
      </w:pPr>
      <w:r w:rsidRPr="008D70C0">
        <w:t>r</w:t>
      </w:r>
      <w:r>
        <w:t>eceiv</w:t>
      </w:r>
      <w:r w:rsidR="005D0671">
        <w:t>ing</w:t>
      </w:r>
      <w:r>
        <w:t xml:space="preserve"> investment of $5.3 billion as part of the Big Housing Build to enable Homes Victoria to build 12,000 new affordable homes, including 9,300 social housing dwellings, </w:t>
      </w:r>
      <w:r w:rsidR="005D0671">
        <w:t xml:space="preserve">which will </w:t>
      </w:r>
      <w:r>
        <w:t xml:space="preserve">support around 10,000 jobs per year for the next </w:t>
      </w:r>
      <w:r w:rsidR="005D0671">
        <w:t>four</w:t>
      </w:r>
      <w:r>
        <w:t xml:space="preserve"> years </w:t>
      </w:r>
      <w:r w:rsidR="005D0671">
        <w:t xml:space="preserve">as part of </w:t>
      </w:r>
      <w:r>
        <w:t>Victoria</w:t>
      </w:r>
      <w:r w:rsidR="007D145B">
        <w:t>’</w:t>
      </w:r>
      <w:r>
        <w:t xml:space="preserve">s recovery. New buildings constructed as part of the Big Housing Build will achieve a minimum average </w:t>
      </w:r>
      <w:r w:rsidR="005D0671">
        <w:t>seven</w:t>
      </w:r>
      <w:r>
        <w:t xml:space="preserve"> stars against the Nationwide House Energy Rating Scheme</w:t>
      </w:r>
      <w:r w:rsidR="00814806">
        <w:t xml:space="preserve"> (NatHERS)</w:t>
      </w:r>
      <w:r>
        <w:t xml:space="preserve">. Many larger developments over </w:t>
      </w:r>
      <w:r w:rsidR="005D0671">
        <w:t xml:space="preserve">three storeys </w:t>
      </w:r>
      <w:r>
        <w:t xml:space="preserve">and 100 dwellings will achieve a </w:t>
      </w:r>
      <w:r w:rsidR="005D0671">
        <w:t>five</w:t>
      </w:r>
      <w:r>
        <w:t xml:space="preserve">-star Green Star rating, which is a level designated as Australian </w:t>
      </w:r>
      <w:r w:rsidR="00B63BE5">
        <w:t>l</w:t>
      </w:r>
      <w:r>
        <w:t>eadership in sustainability</w:t>
      </w:r>
      <w:r w:rsidR="00814806">
        <w:t>.</w:t>
      </w:r>
      <w:r w:rsidR="00F8606E">
        <w:t xml:space="preserve"> </w:t>
      </w:r>
      <w:r w:rsidR="00B63BE5">
        <w:t>In addition</w:t>
      </w:r>
      <w:r>
        <w:t>, in many delivery streams, all-electric specification, with efficient appliances and solar photovoltaic systems as standard</w:t>
      </w:r>
      <w:r w:rsidR="00B63BE5">
        <w:t>,</w:t>
      </w:r>
      <w:r>
        <w:t xml:space="preserve"> is required</w:t>
      </w:r>
    </w:p>
    <w:p w14:paraId="3181A75E" w14:textId="4245C626" w:rsidR="00FC6F4F" w:rsidRDefault="00FC6F4F" w:rsidP="00FC6F4F">
      <w:pPr>
        <w:pStyle w:val="ARbullet1"/>
      </w:pPr>
      <w:r>
        <w:rPr>
          <w:bdr w:val="none" w:sz="0" w:space="0" w:color="auto" w:frame="1"/>
        </w:rPr>
        <w:t>receiv</w:t>
      </w:r>
      <w:r w:rsidR="00B63BE5">
        <w:rPr>
          <w:bdr w:val="none" w:sz="0" w:space="0" w:color="auto" w:frame="1"/>
        </w:rPr>
        <w:t>ing</w:t>
      </w:r>
      <w:r>
        <w:rPr>
          <w:bdr w:val="none" w:sz="0" w:space="0" w:color="auto" w:frame="1"/>
        </w:rPr>
        <w:t xml:space="preserve"> investment of $112</w:t>
      </w:r>
      <w:r w:rsidR="00B63BE5">
        <w:rPr>
          <w:bdr w:val="none" w:sz="0" w:space="0" w:color="auto" w:frame="1"/>
        </w:rPr>
        <w:t xml:space="preserve"> </w:t>
      </w:r>
      <w:r>
        <w:rPr>
          <w:bdr w:val="none" w:sz="0" w:space="0" w:color="auto" w:frame="1"/>
        </w:rPr>
        <w:t>m</w:t>
      </w:r>
      <w:r w:rsidR="00B63BE5">
        <w:rPr>
          <w:bdr w:val="none" w:sz="0" w:space="0" w:color="auto" w:frame="1"/>
        </w:rPr>
        <w:t>illion</w:t>
      </w:r>
      <w:r>
        <w:rPr>
          <w:bdr w:val="none" w:sz="0" w:space="0" w:color="auto" w:frame="1"/>
        </w:rPr>
        <w:t xml:space="preserve"> for the Energy </w:t>
      </w:r>
      <w:r w:rsidRPr="00447B77">
        <w:rPr>
          <w:bdr w:val="none" w:sz="0" w:space="0" w:color="auto" w:frame="1"/>
        </w:rPr>
        <w:t>Efficiency in Social Housing Program as</w:t>
      </w:r>
      <w:r w:rsidR="007915F1">
        <w:rPr>
          <w:bdr w:val="none" w:sz="0" w:space="0" w:color="auto" w:frame="1"/>
        </w:rPr>
        <w:t> </w:t>
      </w:r>
      <w:r w:rsidRPr="00447B77">
        <w:rPr>
          <w:bdr w:val="none" w:sz="0" w:space="0" w:color="auto" w:frame="1"/>
        </w:rPr>
        <w:t>part of the 202</w:t>
      </w:r>
      <w:r w:rsidR="00177286" w:rsidRPr="00447B77">
        <w:rPr>
          <w:bdr w:val="none" w:sz="0" w:space="0" w:color="auto" w:frame="1"/>
        </w:rPr>
        <w:t>0–</w:t>
      </w:r>
      <w:r w:rsidRPr="00447B77">
        <w:rPr>
          <w:bdr w:val="none" w:sz="0" w:space="0" w:color="auto" w:frame="1"/>
        </w:rPr>
        <w:t xml:space="preserve">21 State </w:t>
      </w:r>
      <w:r w:rsidR="00766347" w:rsidRPr="00447B77">
        <w:rPr>
          <w:bdr w:val="none" w:sz="0" w:space="0" w:color="auto" w:frame="1"/>
        </w:rPr>
        <w:t>B</w:t>
      </w:r>
      <w:r w:rsidRPr="00447B77">
        <w:rPr>
          <w:bdr w:val="none" w:sz="0" w:space="0" w:color="auto" w:frame="1"/>
        </w:rPr>
        <w:t xml:space="preserve">udget, announced in November 2020. The </w:t>
      </w:r>
      <w:r w:rsidR="00B63BE5" w:rsidRPr="00447B77">
        <w:rPr>
          <w:bdr w:val="none" w:sz="0" w:space="0" w:color="auto" w:frame="1"/>
        </w:rPr>
        <w:t>p</w:t>
      </w:r>
      <w:r w:rsidRPr="00447B77">
        <w:rPr>
          <w:bdr w:val="none" w:sz="0" w:space="0" w:color="auto" w:frame="1"/>
        </w:rPr>
        <w:t>rogram will</w:t>
      </w:r>
      <w:r w:rsidR="007915F1">
        <w:rPr>
          <w:bdr w:val="none" w:sz="0" w:space="0" w:color="auto" w:frame="1"/>
        </w:rPr>
        <w:t> </w:t>
      </w:r>
      <w:r w:rsidRPr="00447B77">
        <w:rPr>
          <w:bdr w:val="none" w:sz="0" w:space="0" w:color="auto" w:frame="1"/>
        </w:rPr>
        <w:t>upgrade 35,000 social housing dwellings to improve energy efficienc</w:t>
      </w:r>
      <w:r>
        <w:rPr>
          <w:bdr w:val="none" w:sz="0" w:space="0" w:color="auto" w:frame="1"/>
        </w:rPr>
        <w:t xml:space="preserve">y, reduce greenhouse gas emissions and improve thermal comfort for residents. </w:t>
      </w:r>
      <w:r w:rsidR="00B63BE5">
        <w:rPr>
          <w:bdr w:val="none" w:sz="0" w:space="0" w:color="auto" w:frame="1"/>
        </w:rPr>
        <w:t>I</w:t>
      </w:r>
      <w:r>
        <w:rPr>
          <w:bdr w:val="none" w:sz="0" w:space="0" w:color="auto" w:frame="1"/>
        </w:rPr>
        <w:t>n 202</w:t>
      </w:r>
      <w:r w:rsidR="00177286">
        <w:rPr>
          <w:bdr w:val="none" w:sz="0" w:space="0" w:color="auto" w:frame="1"/>
        </w:rPr>
        <w:t>0–</w:t>
      </w:r>
      <w:r>
        <w:rPr>
          <w:bdr w:val="none" w:sz="0" w:space="0" w:color="auto" w:frame="1"/>
        </w:rPr>
        <w:t xml:space="preserve">21, </w:t>
      </w:r>
      <w:r w:rsidR="00B63BE5">
        <w:rPr>
          <w:bdr w:val="none" w:sz="0" w:space="0" w:color="auto" w:frame="1"/>
        </w:rPr>
        <w:t xml:space="preserve">1,437 upgrades were completed </w:t>
      </w:r>
      <w:r>
        <w:rPr>
          <w:bdr w:val="none" w:sz="0" w:space="0" w:color="auto" w:frame="1"/>
        </w:rPr>
        <w:t xml:space="preserve">with a focus on installing efficient reverse-cycle air conditioning to address climate risk in the hottest </w:t>
      </w:r>
      <w:r w:rsidR="004156D7">
        <w:rPr>
          <w:bdr w:val="none" w:sz="0" w:space="0" w:color="auto" w:frame="1"/>
        </w:rPr>
        <w:t>regions</w:t>
      </w:r>
      <w:r>
        <w:rPr>
          <w:bdr w:val="none" w:sz="0" w:space="0" w:color="auto" w:frame="1"/>
        </w:rPr>
        <w:t xml:space="preserve"> of the state</w:t>
      </w:r>
    </w:p>
    <w:p w14:paraId="5329E164" w14:textId="77777777" w:rsidR="007915F1" w:rsidRDefault="007915F1" w:rsidP="00FC6F4F">
      <w:pPr>
        <w:pStyle w:val="ARbullet1"/>
      </w:pPr>
      <w:r>
        <w:br w:type="page"/>
      </w:r>
    </w:p>
    <w:p w14:paraId="55FE86E8" w14:textId="2A2D3BA4" w:rsidR="00FC6F4F" w:rsidRDefault="000E6D39" w:rsidP="00FC6F4F">
      <w:pPr>
        <w:pStyle w:val="ARbullet1"/>
      </w:pPr>
      <w:r>
        <w:lastRenderedPageBreak/>
        <w:t>receiving</w:t>
      </w:r>
      <w:r w:rsidR="00FC6F4F">
        <w:t xml:space="preserve"> </w:t>
      </w:r>
      <w:r w:rsidR="00B63BE5">
        <w:t xml:space="preserve">data from </w:t>
      </w:r>
      <w:r w:rsidR="00FC6F4F">
        <w:t xml:space="preserve">Homes Victoria </w:t>
      </w:r>
      <w:r>
        <w:t>at the time</w:t>
      </w:r>
      <w:r w:rsidR="007915F1">
        <w:t> </w:t>
      </w:r>
      <w:r>
        <w:t xml:space="preserve">of publication </w:t>
      </w:r>
      <w:r w:rsidR="00FC6F4F">
        <w:t>for 403 single</w:t>
      </w:r>
      <w:r w:rsidR="00B63BE5">
        <w:t>-</w:t>
      </w:r>
      <w:r w:rsidR="00FC6F4F">
        <w:t xml:space="preserve">level and </w:t>
      </w:r>
      <w:r w:rsidR="007915F1">
        <w:br/>
      </w:r>
      <w:r w:rsidR="00FC6F4F">
        <w:t>low-rise multi</w:t>
      </w:r>
      <w:r w:rsidR="00B63BE5">
        <w:t>-</w:t>
      </w:r>
      <w:r w:rsidR="00FC6F4F">
        <w:t>storey properties completed in</w:t>
      </w:r>
      <w:r w:rsidR="007915F1">
        <w:t> </w:t>
      </w:r>
      <w:r w:rsidR="00FC6F4F">
        <w:t>the</w:t>
      </w:r>
      <w:r w:rsidR="007915F1">
        <w:t> </w:t>
      </w:r>
      <w:r w:rsidR="00FC6F4F">
        <w:t>202</w:t>
      </w:r>
      <w:r w:rsidR="00177286">
        <w:t>0–</w:t>
      </w:r>
      <w:r w:rsidR="00FC6F4F">
        <w:t>21 financial year</w:t>
      </w:r>
      <w:r w:rsidR="00B63BE5">
        <w:t>, of which</w:t>
      </w:r>
      <w:r w:rsidR="00FC6F4F">
        <w:t>:</w:t>
      </w:r>
    </w:p>
    <w:p w14:paraId="546C10B6" w14:textId="0D1E04BC" w:rsidR="00F8606E" w:rsidRDefault="00FC6F4F" w:rsidP="00FC6F4F">
      <w:pPr>
        <w:pStyle w:val="ARbullet2"/>
      </w:pPr>
      <w:r>
        <w:t xml:space="preserve">383 achieved a </w:t>
      </w:r>
      <w:r w:rsidR="00B63BE5">
        <w:t>seven-</w:t>
      </w:r>
      <w:r>
        <w:t xml:space="preserve">star </w:t>
      </w:r>
      <w:r w:rsidRPr="00766347">
        <w:t>NatHERS</w:t>
      </w:r>
      <w:r>
        <w:t xml:space="preserve"> </w:t>
      </w:r>
      <w:r w:rsidR="006E1EDB">
        <w:t>rating</w:t>
      </w:r>
      <w:r w:rsidR="007915F1">
        <w:t> </w:t>
      </w:r>
      <w:r>
        <w:t>or above</w:t>
      </w:r>
    </w:p>
    <w:p w14:paraId="75352BD1" w14:textId="3B4B0FD1" w:rsidR="00FC6F4F" w:rsidRDefault="00FC6F4F" w:rsidP="00FC6F4F">
      <w:pPr>
        <w:pStyle w:val="ARbullet2"/>
      </w:pPr>
      <w:r>
        <w:t xml:space="preserve">402 included efficient all-electric appliances, including heat pumps for hot water and air conditioning, and rooftop solar </w:t>
      </w:r>
      <w:r w:rsidR="00B63BE5">
        <w:t>photovoltaic panels</w:t>
      </w:r>
    </w:p>
    <w:p w14:paraId="13DEF434" w14:textId="7E6B8486" w:rsidR="00FC6F4F" w:rsidRDefault="00FC6F4F" w:rsidP="00FC6F4F">
      <w:pPr>
        <w:pStyle w:val="ARbullet1"/>
      </w:pPr>
      <w:r>
        <w:rPr>
          <w:bdr w:val="none" w:sz="0" w:space="0" w:color="auto" w:frame="1"/>
        </w:rPr>
        <w:t>upgrad</w:t>
      </w:r>
      <w:r w:rsidR="000E6D39">
        <w:rPr>
          <w:bdr w:val="none" w:sz="0" w:space="0" w:color="auto" w:frame="1"/>
        </w:rPr>
        <w:t>ing</w:t>
      </w:r>
      <w:r w:rsidRPr="008D70C0">
        <w:rPr>
          <w:bdr w:val="none" w:sz="0" w:space="0" w:color="auto" w:frame="1"/>
        </w:rPr>
        <w:t xml:space="preserve"> 107 high-rise flats, which included improved energy</w:t>
      </w:r>
      <w:r w:rsidR="000E6D39">
        <w:rPr>
          <w:bdr w:val="none" w:sz="0" w:space="0" w:color="auto" w:frame="1"/>
        </w:rPr>
        <w:t>-</w:t>
      </w:r>
      <w:r w:rsidRPr="008D70C0">
        <w:rPr>
          <w:bdr w:val="none" w:sz="0" w:space="0" w:color="auto" w:frame="1"/>
        </w:rPr>
        <w:t>efficient lighting, the addition of</w:t>
      </w:r>
      <w:r w:rsidR="007915F1">
        <w:rPr>
          <w:bdr w:val="none" w:sz="0" w:space="0" w:color="auto" w:frame="1"/>
        </w:rPr>
        <w:t> </w:t>
      </w:r>
      <w:r w:rsidRPr="008D70C0">
        <w:rPr>
          <w:bdr w:val="none" w:sz="0" w:space="0" w:color="auto" w:frame="1"/>
        </w:rPr>
        <w:t>external wall insulation and double-glazed windows</w:t>
      </w:r>
    </w:p>
    <w:p w14:paraId="162B228F" w14:textId="76A34F2D" w:rsidR="00DB4799" w:rsidRDefault="00FC6F4F" w:rsidP="00FC6F4F">
      <w:pPr>
        <w:pStyle w:val="ARbullet1"/>
      </w:pPr>
      <w:r>
        <w:t>complet</w:t>
      </w:r>
      <w:r w:rsidR="000E6D39">
        <w:t>ion of</w:t>
      </w:r>
      <w:r>
        <w:t xml:space="preserve"> the installation of more efficient LED lighting at six high</w:t>
      </w:r>
      <w:r w:rsidR="000E6D39">
        <w:t>-</w:t>
      </w:r>
      <w:r>
        <w:t>rise buildings in Richmond and Flemington, along with upgrades to more efficient bulk hot water boilers in two buildings, funded under the government</w:t>
      </w:r>
      <w:r w:rsidR="007D145B">
        <w:t>’</w:t>
      </w:r>
      <w:r>
        <w:t>s Building Works stimulus.</w:t>
      </w:r>
    </w:p>
    <w:p w14:paraId="3DCB324D" w14:textId="77777777" w:rsidR="00FC6F4F" w:rsidRPr="002029AF" w:rsidRDefault="00FC6F4F" w:rsidP="00961519">
      <w:pPr>
        <w:pStyle w:val="Heading4"/>
        <w:rPr>
          <w:rFonts w:eastAsia="Times"/>
        </w:rPr>
      </w:pPr>
      <w:bookmarkStart w:id="619" w:name="_Toc85121296"/>
      <w:r w:rsidRPr="002029AF">
        <w:t>Energy</w:t>
      </w:r>
      <w:bookmarkEnd w:id="619"/>
    </w:p>
    <w:p w14:paraId="375591B5" w14:textId="639870B1" w:rsidR="00FC6F4F" w:rsidRPr="002029AF" w:rsidRDefault="00FC6F4F" w:rsidP="00693FBF">
      <w:pPr>
        <w:pStyle w:val="ARbody"/>
      </w:pPr>
      <w:r>
        <w:t>The departments are committed to reducing energy consumption across operations and to assisting clients to reduce their own energy use.</w:t>
      </w:r>
    </w:p>
    <w:p w14:paraId="68C3AF82" w14:textId="3DEC66D7" w:rsidR="00FC6F4F" w:rsidRPr="002029AF" w:rsidRDefault="00FC6F4F" w:rsidP="00693FBF">
      <w:pPr>
        <w:pStyle w:val="ARbody"/>
      </w:pPr>
      <w:r>
        <w:t>In 2020–21, the department</w:t>
      </w:r>
      <w:r w:rsidR="000E6D39">
        <w:t>s</w:t>
      </w:r>
      <w:r>
        <w:t>:</w:t>
      </w:r>
    </w:p>
    <w:p w14:paraId="3630F780" w14:textId="000940D5" w:rsidR="00FC6F4F" w:rsidRDefault="00FC6F4F" w:rsidP="00FC6F4F">
      <w:pPr>
        <w:pStyle w:val="ARbullet1"/>
      </w:pPr>
      <w:r>
        <w:t>continued installation of solar panels funded through the Regional Health Solar Program. Of</w:t>
      </w:r>
      <w:r w:rsidR="007915F1">
        <w:t> </w:t>
      </w:r>
      <w:r>
        <w:t>the 8.7 megawatt-peak supported through the program, 7.4 megawatt-peak has been installed and is operational</w:t>
      </w:r>
    </w:p>
    <w:p w14:paraId="0F93CB36" w14:textId="35A505DF" w:rsidR="00FC6F4F" w:rsidRDefault="00FC6F4F" w:rsidP="00FC6F4F">
      <w:pPr>
        <w:pStyle w:val="ARbullet1"/>
      </w:pPr>
      <w:r>
        <w:t>progressively captured data on electricity generated by hospital solar arrays. In 202</w:t>
      </w:r>
      <w:r w:rsidR="00177286">
        <w:t>0–</w:t>
      </w:r>
      <w:r>
        <w:t>21, solar arrays on Victorian public hospitals generated some 9.8 gigawatt-hours of electricity, reducing carbon emissions by some</w:t>
      </w:r>
      <w:r w:rsidR="007915F1">
        <w:t> </w:t>
      </w:r>
      <w:r>
        <w:t xml:space="preserve">11,000 tonnes </w:t>
      </w:r>
      <w:r w:rsidR="00C00F53">
        <w:t>CO</w:t>
      </w:r>
      <w:r w:rsidR="00C00F53" w:rsidRPr="00C00F53">
        <w:rPr>
          <w:vertAlign w:val="subscript"/>
        </w:rPr>
        <w:t>2</w:t>
      </w:r>
      <w:r>
        <w:t>-e.</w:t>
      </w:r>
    </w:p>
    <w:p w14:paraId="33E784B3" w14:textId="570E57F7" w:rsidR="00FC6F4F" w:rsidRDefault="00FC6F4F" w:rsidP="00FC6F4F">
      <w:pPr>
        <w:pStyle w:val="ARbullet1"/>
      </w:pPr>
      <w:r>
        <w:t xml:space="preserve">received $40 million of loan funding in the </w:t>
      </w:r>
      <w:r w:rsidR="007915F1">
        <w:br/>
      </w:r>
      <w:r>
        <w:t>202</w:t>
      </w:r>
      <w:r w:rsidR="00177286">
        <w:t>0–</w:t>
      </w:r>
      <w:r>
        <w:t>21 Victorian Budget to upgrade hospital lighting to LEDs and install solar arrays. The department</w:t>
      </w:r>
      <w:r w:rsidR="006D34D5">
        <w:t>s</w:t>
      </w:r>
      <w:r>
        <w:t xml:space="preserve"> sought expressions of interest and in the first round approved the procure</w:t>
      </w:r>
      <w:r w:rsidRPr="4760A802">
        <w:rPr>
          <w:color w:val="000000" w:themeColor="text1"/>
          <w:szCs w:val="20"/>
        </w:rPr>
        <w:t xml:space="preserve">ment of 2.4 megawatt-peak of solar across 32 health facilities and </w:t>
      </w:r>
      <w:r w:rsidR="006D34D5">
        <w:rPr>
          <w:color w:val="000000" w:themeColor="text1"/>
          <w:szCs w:val="20"/>
        </w:rPr>
        <w:t xml:space="preserve">the </w:t>
      </w:r>
      <w:r w:rsidRPr="4760A802">
        <w:rPr>
          <w:color w:val="000000" w:themeColor="text1"/>
          <w:szCs w:val="20"/>
        </w:rPr>
        <w:t>upgrading</w:t>
      </w:r>
      <w:r w:rsidR="006D34D5">
        <w:rPr>
          <w:color w:val="000000" w:themeColor="text1"/>
          <w:szCs w:val="20"/>
        </w:rPr>
        <w:t xml:space="preserve"> of</w:t>
      </w:r>
      <w:r w:rsidRPr="4760A802">
        <w:rPr>
          <w:color w:val="000000" w:themeColor="text1"/>
          <w:szCs w:val="20"/>
        </w:rPr>
        <w:t xml:space="preserve"> lighting to LEDs at</w:t>
      </w:r>
      <w:r w:rsidR="007915F1">
        <w:rPr>
          <w:color w:val="000000" w:themeColor="text1"/>
          <w:szCs w:val="20"/>
        </w:rPr>
        <w:t> </w:t>
      </w:r>
      <w:r w:rsidRPr="4760A802">
        <w:rPr>
          <w:color w:val="000000" w:themeColor="text1"/>
          <w:szCs w:val="20"/>
        </w:rPr>
        <w:t>30 health facilities.</w:t>
      </w:r>
    </w:p>
    <w:p w14:paraId="53DA95B3" w14:textId="77777777" w:rsidR="00FC6F4F" w:rsidRDefault="00FC6F4F" w:rsidP="00FC6F4F">
      <w:pPr>
        <w:pStyle w:val="ARbullet1"/>
      </w:pPr>
      <w:r>
        <w:t xml:space="preserve">facilitated a $1.69 million extension to the energy performance contract at Warragul Hospital to upgrade engineering infrastructure, install LED lighting and install a 185 kilowatt-peak solar array. The project will reduce annual </w:t>
      </w:r>
      <w:r>
        <w:t>carbon emissions by 1,115 tonnes and deliver annual utility savings of $0.34 million.</w:t>
      </w:r>
    </w:p>
    <w:p w14:paraId="03ADE998" w14:textId="06D4AE25" w:rsidR="00FC6F4F" w:rsidRDefault="00FC6F4F" w:rsidP="00FC6F4F">
      <w:pPr>
        <w:pStyle w:val="ARbullet1"/>
      </w:pPr>
      <w:r>
        <w:t>facilitated Dental Health Services Victoria</w:t>
      </w:r>
      <w:r w:rsidR="007D145B">
        <w:t>’</w:t>
      </w:r>
      <w:r>
        <w:t xml:space="preserve">s replacement of 232 fluorescent lights with LED lighting, reducing lighting electricity use by half, and saving around 30 tonnes </w:t>
      </w:r>
      <w:r w:rsidR="00C00F53">
        <w:t>CO</w:t>
      </w:r>
      <w:r w:rsidR="00C00F53" w:rsidRPr="00C00F53">
        <w:rPr>
          <w:vertAlign w:val="subscript"/>
        </w:rPr>
        <w:t>2</w:t>
      </w:r>
      <w:r>
        <w:t xml:space="preserve"> -e.</w:t>
      </w:r>
    </w:p>
    <w:p w14:paraId="41E71F78" w14:textId="59D328E7" w:rsidR="00FC6F4F" w:rsidRDefault="00FC6F4F" w:rsidP="00FC6F4F">
      <w:pPr>
        <w:pStyle w:val="ARbullet1"/>
      </w:pPr>
      <w:r>
        <w:t>facilitated Southwest Healthcare</w:t>
      </w:r>
      <w:r w:rsidR="007D145B">
        <w:t>’</w:t>
      </w:r>
      <w:r>
        <w:t>s hot water upgrades</w:t>
      </w:r>
      <w:r w:rsidR="006D34D5">
        <w:t xml:space="preserve"> and</w:t>
      </w:r>
      <w:r>
        <w:t xml:space="preserve"> installation of solar and variable speed drives, saving around 180 tonnes </w:t>
      </w:r>
      <w:r w:rsidR="009B0C12">
        <w:t>CO</w:t>
      </w:r>
      <w:r w:rsidR="009B0C12" w:rsidRPr="00C00F53">
        <w:rPr>
          <w:vertAlign w:val="subscript"/>
        </w:rPr>
        <w:t>2</w:t>
      </w:r>
      <w:r>
        <w:t>-e.</w:t>
      </w:r>
    </w:p>
    <w:p w14:paraId="5AAF21B9" w14:textId="4D8F22AE" w:rsidR="00FC6F4F" w:rsidRDefault="00FC6F4F" w:rsidP="00FC6F4F">
      <w:pPr>
        <w:pStyle w:val="ARbullet1"/>
      </w:pPr>
      <w:r>
        <w:t>facilitated Ambulance Victoria</w:t>
      </w:r>
      <w:r w:rsidR="007D145B">
        <w:t>’</w:t>
      </w:r>
      <w:r>
        <w:t>s installation of LED lighting at its Air Ambulance branch in Essendon Fields and a 16 kilowatt-hour battery at the Sebastopol branch, saving around 150</w:t>
      </w:r>
      <w:r w:rsidR="007915F1">
        <w:t> </w:t>
      </w:r>
      <w:r>
        <w:t xml:space="preserve">tonnes </w:t>
      </w:r>
      <w:r w:rsidR="009B0C12">
        <w:t>CO</w:t>
      </w:r>
      <w:r w:rsidR="009B0C12" w:rsidRPr="00C00F53">
        <w:rPr>
          <w:vertAlign w:val="subscript"/>
        </w:rPr>
        <w:t>2</w:t>
      </w:r>
      <w:r>
        <w:t>-e.</w:t>
      </w:r>
    </w:p>
    <w:p w14:paraId="0BAD9BF7" w14:textId="0DF19F4E" w:rsidR="00FC6F4F" w:rsidRDefault="00FC6F4F" w:rsidP="00FC6F4F">
      <w:pPr>
        <w:pStyle w:val="ARbullet1"/>
      </w:pPr>
      <w:r>
        <w:t>continued to work with Department of Environment, Land, Water and Planning on the Victorian Renewable Energy Target 2 (VRET2) project</w:t>
      </w:r>
      <w:r w:rsidR="00766347">
        <w:t>,</w:t>
      </w:r>
      <w:r>
        <w:t xml:space="preserve"> which will see all hospitals and department offices source 100 per cent renewable electricity from 2025</w:t>
      </w:r>
    </w:p>
    <w:p w14:paraId="1E44F979" w14:textId="0F4000A8" w:rsidR="00FC6F4F" w:rsidRPr="002029AF" w:rsidRDefault="00FC6F4F" w:rsidP="00FC6F4F">
      <w:pPr>
        <w:pStyle w:val="ARbullet1"/>
      </w:pPr>
      <w:r>
        <w:t xml:space="preserve">completed </w:t>
      </w:r>
      <w:r w:rsidRPr="002029AF">
        <w:t xml:space="preserve">the tenancy lighting </w:t>
      </w:r>
      <w:r>
        <w:t>upgrade</w:t>
      </w:r>
      <w:r w:rsidRPr="002029AF">
        <w:t xml:space="preserve"> to LED</w:t>
      </w:r>
      <w:r>
        <w:t xml:space="preserve"> of</w:t>
      </w:r>
      <w:r w:rsidRPr="002029AF">
        <w:t xml:space="preserve"> 55 Hovell St,</w:t>
      </w:r>
      <w:r>
        <w:t xml:space="preserve"> Wodonga</w:t>
      </w:r>
      <w:r w:rsidRPr="002029AF">
        <w:t xml:space="preserve">. The upgrades are expected to reduce electricity usage by 34,000 kWh per annum and reduce emissions by </w:t>
      </w:r>
      <w:r w:rsidR="006D34D5">
        <w:t xml:space="preserve">approximately </w:t>
      </w:r>
      <w:r w:rsidRPr="002029AF">
        <w:t>3</w:t>
      </w:r>
      <w:r>
        <w:t>3</w:t>
      </w:r>
      <w:r w:rsidRPr="002029AF">
        <w:t xml:space="preserve"> tonnes </w:t>
      </w:r>
      <w:r w:rsidR="009B0C12">
        <w:t>CO</w:t>
      </w:r>
      <w:r w:rsidR="009B0C12" w:rsidRPr="00C00F53">
        <w:rPr>
          <w:vertAlign w:val="subscript"/>
        </w:rPr>
        <w:t>2</w:t>
      </w:r>
      <w:r w:rsidRPr="002029AF">
        <w:t>-e</w:t>
      </w:r>
      <w:r>
        <w:t xml:space="preserve"> per annum</w:t>
      </w:r>
    </w:p>
    <w:p w14:paraId="572346E9" w14:textId="5F219A64" w:rsidR="00FC6F4F" w:rsidRDefault="00FC6F4F" w:rsidP="00FC6F4F">
      <w:pPr>
        <w:pStyle w:val="ARbullet1"/>
      </w:pPr>
      <w:r>
        <w:t>completed lighting upgrades at our Morwell office and solar installation at our Footscray offices</w:t>
      </w:r>
      <w:r w:rsidR="006D34D5">
        <w:t>,</w:t>
      </w:r>
      <w:r>
        <w:t xml:space="preserve"> with predicted savings of over 150,000 kWh per annum</w:t>
      </w:r>
    </w:p>
    <w:p w14:paraId="0E7EAE64" w14:textId="0C730B90" w:rsidR="00FC6F4F" w:rsidRPr="002029AF" w:rsidRDefault="00FC6F4F" w:rsidP="00693FBF">
      <w:pPr>
        <w:pStyle w:val="ARbullet1"/>
      </w:pPr>
      <w:r w:rsidRPr="002029AF">
        <w:t xml:space="preserve">set a target for all newly built public housing dwellings to exceed an average seven-star NatHERS rating and be specified with all-electric appliances and solar </w:t>
      </w:r>
      <w:r w:rsidR="006E1EDB">
        <w:t>photovoltaic panels</w:t>
      </w:r>
      <w:r w:rsidRPr="002029AF">
        <w:t xml:space="preserve">. A compliance rate of </w:t>
      </w:r>
      <w:r>
        <w:t>over 95</w:t>
      </w:r>
      <w:r w:rsidRPr="002029AF">
        <w:t xml:space="preserve"> per cent with these guidelines was achieved.</w:t>
      </w:r>
    </w:p>
    <w:p w14:paraId="2CF4F1B8" w14:textId="77777777" w:rsidR="00FC6F4F" w:rsidRPr="002029AF" w:rsidRDefault="00FC6F4F" w:rsidP="00961519">
      <w:pPr>
        <w:pStyle w:val="Heading5"/>
      </w:pPr>
      <w:bookmarkStart w:id="620" w:name="_Toc85121297"/>
      <w:r w:rsidRPr="002029AF">
        <w:t>Office-based performance</w:t>
      </w:r>
      <w:bookmarkEnd w:id="620"/>
    </w:p>
    <w:p w14:paraId="6833D63B" w14:textId="26D596F8" w:rsidR="00FC6F4F" w:rsidRPr="002029AF" w:rsidRDefault="00FC6F4F" w:rsidP="002B17E1">
      <w:pPr>
        <w:pStyle w:val="ARbody"/>
      </w:pPr>
      <w:r w:rsidRPr="002029AF">
        <w:t>In 20</w:t>
      </w:r>
      <w:r>
        <w:t>20</w:t>
      </w:r>
      <w:r w:rsidRPr="002029AF">
        <w:t>–2</w:t>
      </w:r>
      <w:r>
        <w:t>1</w:t>
      </w:r>
      <w:r w:rsidR="006E3D6B">
        <w:t xml:space="preserve">, </w:t>
      </w:r>
      <w:r>
        <w:t>office-based energy usage reduced by 19 per cent from the previous reporting year. This significant decrease is attributed to the change in workplace arrangements since July 2020, when most staff transitioned to remote working.</w:t>
      </w:r>
    </w:p>
    <w:p w14:paraId="27AE78DE" w14:textId="77777777" w:rsidR="00FC6F4F" w:rsidRPr="002029AF" w:rsidRDefault="00FC6F4F" w:rsidP="00961519">
      <w:pPr>
        <w:pStyle w:val="Heading5"/>
      </w:pPr>
      <w:bookmarkStart w:id="621" w:name="_Toc85121298"/>
      <w:r w:rsidRPr="002029AF">
        <w:t>Targets</w:t>
      </w:r>
      <w:bookmarkEnd w:id="621"/>
    </w:p>
    <w:p w14:paraId="6B5F918C" w14:textId="2D1C2392" w:rsidR="00FC6F4F" w:rsidRPr="002029AF" w:rsidRDefault="00FC6F4F" w:rsidP="002B17E1">
      <w:pPr>
        <w:pStyle w:val="ARbullet1"/>
        <w:numPr>
          <w:ilvl w:val="0"/>
          <w:numId w:val="0"/>
        </w:numPr>
      </w:pPr>
      <w:r w:rsidRPr="002029AF">
        <w:t xml:space="preserve">The </w:t>
      </w:r>
      <w:r w:rsidR="002D68B3">
        <w:t>departments</w:t>
      </w:r>
      <w:r w:rsidR="007D145B">
        <w:t>’</w:t>
      </w:r>
      <w:r w:rsidR="002D68B3">
        <w:t xml:space="preserve"> </w:t>
      </w:r>
      <w:r w:rsidRPr="002029AF">
        <w:t>202</w:t>
      </w:r>
      <w:r>
        <w:t>1</w:t>
      </w:r>
      <w:r w:rsidRPr="002029AF">
        <w:t>–2</w:t>
      </w:r>
      <w:r>
        <w:t>2</w:t>
      </w:r>
      <w:r w:rsidRPr="002029AF">
        <w:t xml:space="preserve"> environmental management system targets for energy are to:</w:t>
      </w:r>
    </w:p>
    <w:p w14:paraId="4C5F8AD7" w14:textId="012E628B" w:rsidR="00FC6F4F" w:rsidRDefault="00FC6F4F" w:rsidP="002B17E1">
      <w:pPr>
        <w:pStyle w:val="ARbullet1"/>
      </w:pPr>
      <w:r>
        <w:t>reset objectives and targets post machinery of</w:t>
      </w:r>
      <w:r w:rsidR="00206595">
        <w:t> </w:t>
      </w:r>
      <w:r w:rsidR="00B61E6B">
        <w:t>g</w:t>
      </w:r>
      <w:r>
        <w:t>overnment changes</w:t>
      </w:r>
    </w:p>
    <w:p w14:paraId="705BD0E0" w14:textId="78E0C744" w:rsidR="00F8606E" w:rsidRDefault="00FC6F4F" w:rsidP="002B17E1">
      <w:pPr>
        <w:pStyle w:val="ARbullet1"/>
      </w:pPr>
      <w:r>
        <w:t xml:space="preserve">continue increasing the number of offices with </w:t>
      </w:r>
      <w:r w:rsidR="007D2288">
        <w:t xml:space="preserve">National Australian Built Environment Rating System </w:t>
      </w:r>
      <w:r w:rsidR="007D2288" w:rsidRPr="007D2288">
        <w:t>(</w:t>
      </w:r>
      <w:r w:rsidRPr="009D0A47">
        <w:t>NABERS</w:t>
      </w:r>
      <w:r w:rsidR="007D2288" w:rsidRPr="00236DCB">
        <w:t>)</w:t>
      </w:r>
      <w:r w:rsidR="002B17E1">
        <w:t xml:space="preserve"> </w:t>
      </w:r>
      <w:r w:rsidRPr="00236DCB">
        <w:t>ratings</w:t>
      </w:r>
      <w:r w:rsidR="004F5D9C">
        <w:t>.</w:t>
      </w:r>
    </w:p>
    <w:p w14:paraId="30D0F88D" w14:textId="77777777" w:rsidR="00FC6F4F" w:rsidRPr="002029AF" w:rsidRDefault="00FC6F4F" w:rsidP="00961519">
      <w:pPr>
        <w:pStyle w:val="Heading4"/>
      </w:pPr>
      <w:bookmarkStart w:id="622" w:name="_Toc85121299"/>
      <w:bookmarkStart w:id="623" w:name="_Hlk15477316"/>
      <w:bookmarkStart w:id="624" w:name="_Hlk15035948"/>
      <w:r w:rsidRPr="002029AF">
        <w:lastRenderedPageBreak/>
        <w:t>Water</w:t>
      </w:r>
      <w:bookmarkEnd w:id="622"/>
    </w:p>
    <w:p w14:paraId="5BDC16BB" w14:textId="39C4C3EA" w:rsidR="00FC6F4F" w:rsidRPr="002029AF" w:rsidRDefault="00FC6F4F" w:rsidP="00693FBF">
      <w:pPr>
        <w:pStyle w:val="ARbody"/>
      </w:pPr>
      <w:r>
        <w:t>The departments continue to seek a better understanding of water consumption across facilities and operations and encourage clients to</w:t>
      </w:r>
      <w:r w:rsidR="00206595">
        <w:t> </w:t>
      </w:r>
      <w:r>
        <w:t>improve their own water efficiency.</w:t>
      </w:r>
    </w:p>
    <w:p w14:paraId="2560F826" w14:textId="553F5EF1" w:rsidR="00FC6F4F" w:rsidRPr="002029AF" w:rsidRDefault="00FC6F4F" w:rsidP="00FC6F4F">
      <w:pPr>
        <w:pStyle w:val="ARbody"/>
        <w:keepNext/>
      </w:pPr>
      <w:r>
        <w:t>In 2020–21, the department</w:t>
      </w:r>
      <w:r w:rsidR="00B61E6B">
        <w:t>s</w:t>
      </w:r>
      <w:r>
        <w:t>:</w:t>
      </w:r>
    </w:p>
    <w:p w14:paraId="141C9915" w14:textId="77777777" w:rsidR="00FC6F4F" w:rsidRPr="002029AF" w:rsidRDefault="00FC6F4F" w:rsidP="00693FBF">
      <w:pPr>
        <w:pStyle w:val="ARbullet1"/>
      </w:pPr>
      <w:r>
        <w:t>continued the development of a monitoring program for collection of pulse water-meter data from eight high-rise public housing buildings to identify water-efficiency opportunities. The program will involve regular review of water-meter data to identify any substantial variations to water consumption and water-efficiency opportunities within the high-rise housing portfolio</w:t>
      </w:r>
    </w:p>
    <w:p w14:paraId="282974DA" w14:textId="17E48830" w:rsidR="00FC6F4F" w:rsidRPr="002029AF" w:rsidRDefault="00FC6F4F" w:rsidP="00693FBF">
      <w:pPr>
        <w:pStyle w:val="ARbullet1"/>
      </w:pPr>
      <w:r>
        <w:t xml:space="preserve">continued the upgrade of water-efficiency features in 60 high-rise units at 125 Napier St. Fitzroy. The upgrades included </w:t>
      </w:r>
      <w:r w:rsidR="00B61E6B">
        <w:t>four</w:t>
      </w:r>
      <w:r>
        <w:t>-star Water Efficiency Labelling and Standards (WELS)</w:t>
      </w:r>
      <w:r w:rsidR="006E3D6B">
        <w:t>-</w:t>
      </w:r>
      <w:r>
        <w:t>rated tapware and three-star WELS</w:t>
      </w:r>
      <w:r w:rsidR="006E3D6B">
        <w:t>-</w:t>
      </w:r>
      <w:r>
        <w:t>rated toilet cisterns.</w:t>
      </w:r>
    </w:p>
    <w:p w14:paraId="597487D7" w14:textId="77777777" w:rsidR="00FC6F4F" w:rsidRPr="002029AF" w:rsidRDefault="00FC6F4F" w:rsidP="00961519">
      <w:pPr>
        <w:pStyle w:val="Heading5"/>
      </w:pPr>
      <w:bookmarkStart w:id="625" w:name="_Toc85121300"/>
      <w:r w:rsidRPr="002029AF">
        <w:t>Office-based performance</w:t>
      </w:r>
      <w:bookmarkEnd w:id="625"/>
    </w:p>
    <w:p w14:paraId="2A16AC61" w14:textId="364C61EB" w:rsidR="00FC6F4F" w:rsidRPr="002029AF" w:rsidRDefault="00FC6F4F" w:rsidP="004F5D9C">
      <w:pPr>
        <w:pStyle w:val="ARbody"/>
      </w:pPr>
      <w:r>
        <w:t>In 2020–21</w:t>
      </w:r>
      <w:r w:rsidR="006E3D6B">
        <w:t xml:space="preserve">, </w:t>
      </w:r>
      <w:r>
        <w:t>office-based water use decreased 4.9</w:t>
      </w:r>
      <w:r w:rsidR="00206595">
        <w:t> </w:t>
      </w:r>
      <w:r>
        <w:t>per cent. This decrease is attributed to the change in workplace arrangements since July 2020, when most staff transitioned to remote working.</w:t>
      </w:r>
    </w:p>
    <w:p w14:paraId="1DE03D95" w14:textId="77777777" w:rsidR="00FC6F4F" w:rsidRPr="002029AF" w:rsidRDefault="00FC6F4F" w:rsidP="00961519">
      <w:pPr>
        <w:pStyle w:val="Heading5"/>
      </w:pPr>
      <w:bookmarkStart w:id="626" w:name="_Toc85121301"/>
      <w:r w:rsidRPr="002029AF">
        <w:t>Targets</w:t>
      </w:r>
      <w:bookmarkEnd w:id="626"/>
    </w:p>
    <w:p w14:paraId="325355B3" w14:textId="6AE0E738" w:rsidR="00FC6F4F" w:rsidRDefault="005E510E" w:rsidP="004F5D9C">
      <w:pPr>
        <w:pStyle w:val="ARbody"/>
      </w:pPr>
      <w:r w:rsidRPr="002029AF">
        <w:t xml:space="preserve">The </w:t>
      </w:r>
      <w:r>
        <w:t>departments</w:t>
      </w:r>
      <w:r w:rsidR="007D145B">
        <w:t>’</w:t>
      </w:r>
      <w:r>
        <w:t xml:space="preserve"> </w:t>
      </w:r>
      <w:r w:rsidR="00FC6F4F">
        <w:t>2021–22 environmental management system target for water</w:t>
      </w:r>
      <w:r w:rsidR="00063397">
        <w:t xml:space="preserve"> </w:t>
      </w:r>
      <w:r>
        <w:t>is</w:t>
      </w:r>
      <w:r w:rsidR="00FC6F4F">
        <w:t xml:space="preserve"> to</w:t>
      </w:r>
      <w:r w:rsidR="006E3D6B">
        <w:t xml:space="preserve"> </w:t>
      </w:r>
      <w:r w:rsidR="00FC6F4F">
        <w:t>reset</w:t>
      </w:r>
      <w:r w:rsidR="00206595">
        <w:t> </w:t>
      </w:r>
      <w:r w:rsidR="00FC6F4F">
        <w:t>objectives and targets post machinery of</w:t>
      </w:r>
      <w:r w:rsidR="00206595">
        <w:t> </w:t>
      </w:r>
      <w:r w:rsidR="00B61E6B">
        <w:t>g</w:t>
      </w:r>
      <w:r w:rsidR="00FC6F4F">
        <w:t>overnment changes</w:t>
      </w:r>
    </w:p>
    <w:p w14:paraId="1E3A5F77" w14:textId="77777777" w:rsidR="00FC6F4F" w:rsidRPr="002029AF" w:rsidRDefault="00FC6F4F" w:rsidP="00961519">
      <w:pPr>
        <w:pStyle w:val="Heading4"/>
      </w:pPr>
      <w:bookmarkStart w:id="627" w:name="_Toc85121302"/>
      <w:r w:rsidRPr="002029AF">
        <w:t>Procurement and paper</w:t>
      </w:r>
      <w:bookmarkEnd w:id="627"/>
    </w:p>
    <w:p w14:paraId="406D24CF" w14:textId="6CDF659A" w:rsidR="00FC6F4F" w:rsidRPr="002029AF" w:rsidRDefault="00FC6F4F" w:rsidP="00DC6F5C">
      <w:pPr>
        <w:pStyle w:val="ARbody"/>
      </w:pPr>
      <w:r>
        <w:t>The departments continue to integrate sustainability into procurement activities, while seeking value</w:t>
      </w:r>
      <w:r w:rsidR="00063397">
        <w:t>-</w:t>
      </w:r>
      <w:r>
        <w:t>for</w:t>
      </w:r>
      <w:r w:rsidR="00063397">
        <w:t>-</w:t>
      </w:r>
      <w:r>
        <w:t>money outcomes in business operations. We also continue to implement strategies to reduce the environmental impacts of printing and paper consumption</w:t>
      </w:r>
      <w:r w:rsidR="00063397">
        <w:t>,</w:t>
      </w:r>
      <w:r>
        <w:t xml:space="preserve"> but the predominant cause for the significant reduction in paper use </w:t>
      </w:r>
      <w:r w:rsidR="00F32FCE">
        <w:t>in 202</w:t>
      </w:r>
      <w:r w:rsidR="00A9686F">
        <w:t>0–</w:t>
      </w:r>
      <w:r w:rsidR="00F32FCE">
        <w:t xml:space="preserve">21 </w:t>
      </w:r>
      <w:r>
        <w:t xml:space="preserve">was </w:t>
      </w:r>
      <w:r w:rsidR="00F32FCE">
        <w:t xml:space="preserve">the </w:t>
      </w:r>
      <w:r>
        <w:t>working from home</w:t>
      </w:r>
      <w:r w:rsidR="00063397">
        <w:t xml:space="preserve"> arrangements</w:t>
      </w:r>
      <w:r>
        <w:t xml:space="preserve"> for </w:t>
      </w:r>
      <w:r w:rsidR="00063397">
        <w:t xml:space="preserve">most </w:t>
      </w:r>
      <w:r>
        <w:t>of the reporting year.</w:t>
      </w:r>
    </w:p>
    <w:p w14:paraId="3629E51A" w14:textId="675E0EA4" w:rsidR="00FC6F4F" w:rsidRPr="002029AF" w:rsidRDefault="00FC6F4F" w:rsidP="00E3577B">
      <w:pPr>
        <w:pStyle w:val="ARbody"/>
      </w:pPr>
      <w:r>
        <w:t>In 2020–21, the department</w:t>
      </w:r>
      <w:r w:rsidR="006309C8">
        <w:t>s</w:t>
      </w:r>
      <w:r>
        <w:t>:</w:t>
      </w:r>
    </w:p>
    <w:p w14:paraId="0046F05D" w14:textId="77777777" w:rsidR="00FC6F4F" w:rsidRDefault="00FC6F4F" w:rsidP="00FC6F4F">
      <w:pPr>
        <w:pStyle w:val="ARbullet1"/>
      </w:pPr>
      <w:r w:rsidRPr="002029AF">
        <w:t>ensured that 9</w:t>
      </w:r>
      <w:r>
        <w:t>9</w:t>
      </w:r>
      <w:r w:rsidRPr="002029AF">
        <w:t xml:space="preserve"> per cent of all office-based paper purchased consisted of 100 per cent recycled content</w:t>
      </w:r>
    </w:p>
    <w:p w14:paraId="3C7FD210" w14:textId="41360E82" w:rsidR="00FC6F4F" w:rsidRDefault="00FC6F4F" w:rsidP="00693FBF">
      <w:pPr>
        <w:pStyle w:val="ARbullet1"/>
      </w:pPr>
      <w:r w:rsidRPr="002029AF">
        <w:t xml:space="preserve">continued to utilise the TRIM electronic record management system and </w:t>
      </w:r>
      <w:r w:rsidR="007D145B">
        <w:t>‘</w:t>
      </w:r>
      <w:r w:rsidRPr="002029AF">
        <w:t>follow-me</w:t>
      </w:r>
      <w:r w:rsidR="007D145B">
        <w:t>’</w:t>
      </w:r>
      <w:r w:rsidRPr="002029AF">
        <w:t xml:space="preserve"> printing solution to reduce the volume of hardcopy records printed and archived in the workplace</w:t>
      </w:r>
    </w:p>
    <w:p w14:paraId="0EAA8516" w14:textId="5BAC2FDA" w:rsidR="00FC6F4F" w:rsidRDefault="006309C8" w:rsidP="00FC6F4F">
      <w:pPr>
        <w:pStyle w:val="ARbullet1"/>
      </w:pPr>
      <w:r>
        <w:t xml:space="preserve">reduced </w:t>
      </w:r>
      <w:r w:rsidR="00FC6F4F">
        <w:t>office</w:t>
      </w:r>
      <w:r w:rsidR="004F5D9C">
        <w:t>-</w:t>
      </w:r>
      <w:r w:rsidR="00FC6F4F">
        <w:t>based paper use by 70 per cent, or 47,219 reams – over 23 million sheets of paper</w:t>
      </w:r>
    </w:p>
    <w:p w14:paraId="3EC0539E" w14:textId="77B4A96A" w:rsidR="00FC6F4F" w:rsidRPr="002029AF" w:rsidRDefault="00FC6F4F" w:rsidP="00693FBF">
      <w:pPr>
        <w:pStyle w:val="ARbullet1"/>
      </w:pPr>
      <w:r>
        <w:t xml:space="preserve">reduced paper use </w:t>
      </w:r>
      <w:r w:rsidR="006309C8">
        <w:t xml:space="preserve">in public hospitals </w:t>
      </w:r>
      <w:r>
        <w:t>by 12 per cent, or 29,982 reams – nearly 15 million sheets of paper</w:t>
      </w:r>
      <w:r w:rsidRPr="002029AF">
        <w:t>.</w:t>
      </w:r>
    </w:p>
    <w:p w14:paraId="735497D5" w14:textId="483F9FA7" w:rsidR="00FC6F4F" w:rsidRPr="002029AF" w:rsidRDefault="00FC6F4F" w:rsidP="00961519">
      <w:pPr>
        <w:pStyle w:val="Heading5"/>
      </w:pPr>
      <w:bookmarkStart w:id="628" w:name="_Toc85121303"/>
      <w:r w:rsidRPr="002029AF">
        <w:t>Office-based performance</w:t>
      </w:r>
      <w:bookmarkEnd w:id="628"/>
    </w:p>
    <w:p w14:paraId="4C39B689" w14:textId="3FE00E6F" w:rsidR="00FC6F4F" w:rsidRPr="002029AF" w:rsidRDefault="00FC6F4F" w:rsidP="004F5D9C">
      <w:pPr>
        <w:pStyle w:val="ARbody"/>
        <w:keepNext/>
      </w:pPr>
      <w:r>
        <w:t>In 2020–21</w:t>
      </w:r>
      <w:r w:rsidR="006E3D6B">
        <w:t xml:space="preserve">, </w:t>
      </w:r>
      <w:r>
        <w:t>paper purchasing and associated emissions reduced by 70 per cent, attributable to COVID-19 and the transition to remote working arrangements.</w:t>
      </w:r>
    </w:p>
    <w:p w14:paraId="5D1C7E09" w14:textId="77777777" w:rsidR="00FC6F4F" w:rsidRPr="002029AF" w:rsidRDefault="00FC6F4F" w:rsidP="00961519">
      <w:pPr>
        <w:pStyle w:val="Heading5"/>
      </w:pPr>
      <w:bookmarkStart w:id="629" w:name="_Toc85121304"/>
      <w:r w:rsidRPr="002029AF">
        <w:t>Targets</w:t>
      </w:r>
      <w:bookmarkEnd w:id="629"/>
    </w:p>
    <w:p w14:paraId="291BF810" w14:textId="5169AEE1" w:rsidR="00FC6F4F" w:rsidRPr="002029AF" w:rsidRDefault="005E510E" w:rsidP="00961519">
      <w:pPr>
        <w:pStyle w:val="ARbody"/>
      </w:pPr>
      <w:r w:rsidRPr="002029AF">
        <w:t xml:space="preserve">The </w:t>
      </w:r>
      <w:r>
        <w:t>departments</w:t>
      </w:r>
      <w:r w:rsidR="007D145B">
        <w:t>’</w:t>
      </w:r>
      <w:r>
        <w:t xml:space="preserve"> </w:t>
      </w:r>
      <w:r w:rsidR="00FC6F4F">
        <w:t>2021–22 environmental management system targets for procurement and</w:t>
      </w:r>
      <w:r w:rsidR="00206595">
        <w:t> </w:t>
      </w:r>
      <w:r w:rsidR="00FC6F4F">
        <w:t>paper are to:</w:t>
      </w:r>
    </w:p>
    <w:p w14:paraId="14038A7C" w14:textId="453A4BA8" w:rsidR="00F8606E" w:rsidRDefault="00FC6F4F" w:rsidP="005A6B8E">
      <w:pPr>
        <w:pStyle w:val="ARbullet1"/>
      </w:pPr>
      <w:r>
        <w:t>reset objectives and targets post machinery of</w:t>
      </w:r>
      <w:r w:rsidR="00206595">
        <w:t> </w:t>
      </w:r>
      <w:r w:rsidR="006309C8">
        <w:t>g</w:t>
      </w:r>
      <w:r>
        <w:t>overnment changes</w:t>
      </w:r>
    </w:p>
    <w:p w14:paraId="23BF0564" w14:textId="0D69197D" w:rsidR="00FC6F4F" w:rsidRPr="002029AF" w:rsidRDefault="00FC6F4F" w:rsidP="005A6B8E">
      <w:pPr>
        <w:pStyle w:val="ARbullet1"/>
      </w:pPr>
      <w:r>
        <w:t>work with Sustainability Victoria to support the Buy Recycled directory to provide Victorian buyers with products containing recycled content and options to achieve positive environmental outcomes and support organisational sustainability goals</w:t>
      </w:r>
    </w:p>
    <w:p w14:paraId="66192B64" w14:textId="3B36FCAC" w:rsidR="00FC6F4F" w:rsidRPr="002029AF" w:rsidRDefault="00FC6F4F" w:rsidP="00EE3B2E">
      <w:pPr>
        <w:pStyle w:val="Heading4"/>
      </w:pPr>
      <w:bookmarkStart w:id="630" w:name="_Toc85121305"/>
      <w:r w:rsidRPr="002029AF">
        <w:t>Waste</w:t>
      </w:r>
      <w:bookmarkEnd w:id="630"/>
    </w:p>
    <w:p w14:paraId="6EA27B4F" w14:textId="2236F25D" w:rsidR="00FC6F4F" w:rsidRPr="002029AF" w:rsidRDefault="00FC6F4F" w:rsidP="005A6B8E">
      <w:pPr>
        <w:pStyle w:val="ARbody"/>
      </w:pPr>
      <w:r>
        <w:t>The departments are committed to the effective management of waste to reduce operational costs and environmental impacts, as well as potential public health risks to staff, clients and the broader Victorian community.</w:t>
      </w:r>
    </w:p>
    <w:p w14:paraId="6A6179B0" w14:textId="1EB76504" w:rsidR="00FC6F4F" w:rsidRPr="002029AF" w:rsidRDefault="00FC6F4F" w:rsidP="005A6B8E">
      <w:pPr>
        <w:pStyle w:val="ARbody"/>
      </w:pPr>
      <w:r>
        <w:t>In 2020–21, the department</w:t>
      </w:r>
      <w:r w:rsidR="009240AB">
        <w:t>s</w:t>
      </w:r>
      <w:r>
        <w:t>:</w:t>
      </w:r>
    </w:p>
    <w:p w14:paraId="388635AC" w14:textId="736FFA19" w:rsidR="00FC6F4F" w:rsidRPr="002029AF" w:rsidRDefault="00FC6F4F" w:rsidP="005A6B8E">
      <w:pPr>
        <w:pStyle w:val="ARbullet1"/>
      </w:pPr>
      <w:r>
        <w:t>continued the Simply Cups coffee–cup recycling program, diverting a further 20,800 cups from landfill. In total we have collected more than 478,000 cups since 2017</w:t>
      </w:r>
    </w:p>
    <w:p w14:paraId="0FC5CE12" w14:textId="78146466" w:rsidR="00FC6F4F" w:rsidRPr="002029AF" w:rsidRDefault="00FC6F4F" w:rsidP="005A6B8E">
      <w:pPr>
        <w:pStyle w:val="ARbullet1"/>
      </w:pPr>
      <w:r>
        <w:t>continued a collections pilot for recycling of soft</w:t>
      </w:r>
      <w:r w:rsidR="00206595">
        <w:t> </w:t>
      </w:r>
      <w:r>
        <w:t>plastics at 50 Lonsdale Street, Melbourne.</w:t>
      </w:r>
      <w:r w:rsidR="00F8606E">
        <w:t xml:space="preserve"> </w:t>
      </w:r>
      <w:r>
        <w:t>All soft plastics collected were transferred to R</w:t>
      </w:r>
      <w:r w:rsidR="00A748E6">
        <w:t>ED</w:t>
      </w:r>
      <w:r>
        <w:t>cycle drop-off points for processing.</w:t>
      </w:r>
    </w:p>
    <w:p w14:paraId="327F4010" w14:textId="3D7040C1" w:rsidR="00FC6F4F" w:rsidRPr="002029AF" w:rsidRDefault="009240AB" w:rsidP="00FC6F4F">
      <w:pPr>
        <w:pStyle w:val="ARbullet1"/>
      </w:pPr>
      <w:r>
        <w:t xml:space="preserve">increased </w:t>
      </w:r>
      <w:r w:rsidR="00FC6F4F">
        <w:t>public hospital waste generation by 2,669 tonnes, or 7.5 per cent</w:t>
      </w:r>
      <w:r w:rsidR="00524890">
        <w:t>,</w:t>
      </w:r>
      <w:r>
        <w:t xml:space="preserve"> as a result of the COVID-19 pandemic</w:t>
      </w:r>
      <w:r w:rsidR="00FC6F4F">
        <w:t>.</w:t>
      </w:r>
    </w:p>
    <w:p w14:paraId="56C97024" w14:textId="77777777" w:rsidR="00FC6F4F" w:rsidRPr="002029AF" w:rsidRDefault="00FC6F4F" w:rsidP="00EE3B2E">
      <w:pPr>
        <w:pStyle w:val="Heading5"/>
      </w:pPr>
      <w:bookmarkStart w:id="631" w:name="_Toc85121306"/>
      <w:r w:rsidRPr="002029AF">
        <w:lastRenderedPageBreak/>
        <w:t>Office-based performance</w:t>
      </w:r>
      <w:bookmarkEnd w:id="631"/>
    </w:p>
    <w:p w14:paraId="12F172A1" w14:textId="5537DC83" w:rsidR="00FC6F4F" w:rsidRPr="002029AF" w:rsidRDefault="00FC6F4F" w:rsidP="000E4CF9">
      <w:pPr>
        <w:pStyle w:val="ARbody"/>
      </w:pPr>
      <w:r>
        <w:t>In 2020–21</w:t>
      </w:r>
      <w:r w:rsidR="006E3D6B">
        <w:t xml:space="preserve">, </w:t>
      </w:r>
      <w:r w:rsidRPr="002029AF">
        <w:t xml:space="preserve">office-based waste generation data was not able to be collected via waste audits as planned and </w:t>
      </w:r>
      <w:r w:rsidR="009240AB">
        <w:t>was</w:t>
      </w:r>
      <w:r w:rsidRPr="002029AF">
        <w:t xml:space="preserve"> postponed due to COVID-19 restrictions.</w:t>
      </w:r>
    </w:p>
    <w:p w14:paraId="53C757E3" w14:textId="77777777" w:rsidR="00FC6F4F" w:rsidRPr="002029AF" w:rsidRDefault="00FC6F4F" w:rsidP="00961519">
      <w:pPr>
        <w:pStyle w:val="Heading5"/>
      </w:pPr>
      <w:bookmarkStart w:id="632" w:name="_Toc85121307"/>
      <w:r w:rsidRPr="002029AF">
        <w:t>Targets</w:t>
      </w:r>
      <w:bookmarkEnd w:id="632"/>
    </w:p>
    <w:p w14:paraId="218391A8" w14:textId="2A3C70D5" w:rsidR="00FC6F4F" w:rsidRPr="002029AF" w:rsidRDefault="003503E0" w:rsidP="00DC6F5C">
      <w:pPr>
        <w:pStyle w:val="ARbody"/>
      </w:pPr>
      <w:r w:rsidRPr="002029AF">
        <w:t xml:space="preserve">The </w:t>
      </w:r>
      <w:r>
        <w:t>departments</w:t>
      </w:r>
      <w:r w:rsidR="007D145B">
        <w:t>’</w:t>
      </w:r>
      <w:r>
        <w:t xml:space="preserve"> </w:t>
      </w:r>
      <w:r w:rsidR="00FC6F4F">
        <w:t>2021–22 environmental management system targets for waste are to:</w:t>
      </w:r>
    </w:p>
    <w:p w14:paraId="4F77ACFA" w14:textId="1A379112" w:rsidR="00FC6F4F" w:rsidRDefault="00FC6F4F" w:rsidP="00FC6F4F">
      <w:pPr>
        <w:pStyle w:val="ARbullet1"/>
      </w:pPr>
      <w:r>
        <w:t>reset objectives and targets post machinery of</w:t>
      </w:r>
      <w:r w:rsidR="00206595">
        <w:t> </w:t>
      </w:r>
      <w:r w:rsidR="009240AB">
        <w:t>g</w:t>
      </w:r>
      <w:r>
        <w:t>overnment changes</w:t>
      </w:r>
    </w:p>
    <w:p w14:paraId="3D33CF95" w14:textId="0B4824C5" w:rsidR="00FC6F4F" w:rsidRPr="002029AF" w:rsidRDefault="00FC6F4F" w:rsidP="005A6B8E">
      <w:pPr>
        <w:pStyle w:val="ARbullet1"/>
      </w:pPr>
      <w:r>
        <w:t>expand single</w:t>
      </w:r>
      <w:r w:rsidR="00CF7944">
        <w:t xml:space="preserve"> </w:t>
      </w:r>
      <w:r>
        <w:t>stream recycling programs including Simply Cups to other office locations when regular office-based activities are resumed.</w:t>
      </w:r>
    </w:p>
    <w:p w14:paraId="07AF5C07" w14:textId="4259D7D6" w:rsidR="00FC6F4F" w:rsidRDefault="00FC6F4F" w:rsidP="00FC6F4F">
      <w:pPr>
        <w:pStyle w:val="ARbullet1"/>
      </w:pPr>
      <w:r>
        <w:t>investigate the cost and availability of soft plastic recycling in 50 Lonsdale St office</w:t>
      </w:r>
      <w:r w:rsidR="009240AB">
        <w:t>.</w:t>
      </w:r>
    </w:p>
    <w:p w14:paraId="6D6A244C" w14:textId="77777777" w:rsidR="00FC6F4F" w:rsidRPr="002029AF" w:rsidRDefault="00FC6F4F" w:rsidP="00961519">
      <w:pPr>
        <w:pStyle w:val="Heading4"/>
        <w:rPr>
          <w:color w:val="000000"/>
        </w:rPr>
      </w:pPr>
      <w:bookmarkStart w:id="633" w:name="_Toc85121308"/>
      <w:r w:rsidRPr="002029AF">
        <w:t>Sustainable transport</w:t>
      </w:r>
      <w:bookmarkEnd w:id="633"/>
    </w:p>
    <w:p w14:paraId="1BFF7AD0" w14:textId="0F83E0E2" w:rsidR="00FC6F4F" w:rsidRPr="002029AF" w:rsidRDefault="00FC6F4F" w:rsidP="00CA7E87">
      <w:pPr>
        <w:pStyle w:val="ARbody"/>
      </w:pPr>
      <w:r w:rsidRPr="002029AF">
        <w:t>The department</w:t>
      </w:r>
      <w:r w:rsidR="009240AB">
        <w:t>s</w:t>
      </w:r>
      <w:r w:rsidRPr="002029AF">
        <w:t xml:space="preserve"> continue to build a more sustainable fleet and to support initiatives that encourage staff to seek alternative modes of transportation.</w:t>
      </w:r>
    </w:p>
    <w:p w14:paraId="33173323" w14:textId="5370FFD8" w:rsidR="00FC6F4F" w:rsidRPr="002029AF" w:rsidRDefault="00FC6F4F" w:rsidP="00EE3B2E">
      <w:pPr>
        <w:pStyle w:val="ARbody"/>
        <w:keepNext/>
      </w:pPr>
      <w:r w:rsidRPr="002029AF">
        <w:t>In 20</w:t>
      </w:r>
      <w:r>
        <w:t>20</w:t>
      </w:r>
      <w:r w:rsidRPr="002029AF">
        <w:t>–2</w:t>
      </w:r>
      <w:r>
        <w:t>1</w:t>
      </w:r>
      <w:r w:rsidRPr="002029AF">
        <w:t>, the department</w:t>
      </w:r>
      <w:r w:rsidR="009240AB">
        <w:t>s</w:t>
      </w:r>
      <w:r w:rsidRPr="002029AF">
        <w:t>:</w:t>
      </w:r>
    </w:p>
    <w:p w14:paraId="6287177B" w14:textId="078AC32F" w:rsidR="00F8606E" w:rsidRDefault="00FC6F4F" w:rsidP="00FC6F4F">
      <w:pPr>
        <w:pStyle w:val="ARbullet1"/>
      </w:pPr>
      <w:r>
        <w:t>actively participate</w:t>
      </w:r>
      <w:r w:rsidR="009240AB">
        <w:t>d</w:t>
      </w:r>
      <w:r>
        <w:t xml:space="preserve"> in the planning for the Zero</w:t>
      </w:r>
      <w:r w:rsidR="00206595">
        <w:t> </w:t>
      </w:r>
      <w:r>
        <w:t xml:space="preserve">Emission Vehicle (ZEV) rollout across </w:t>
      </w:r>
      <w:r w:rsidR="009240AB">
        <w:t>g</w:t>
      </w:r>
      <w:r>
        <w:t>overnment fleet vehicles</w:t>
      </w:r>
    </w:p>
    <w:p w14:paraId="6A6804A9" w14:textId="3A637448" w:rsidR="00FC6F4F" w:rsidRPr="002029AF" w:rsidRDefault="00FC6F4F" w:rsidP="005A6B8E">
      <w:pPr>
        <w:pStyle w:val="ARbullet1"/>
      </w:pPr>
      <w:r>
        <w:t>saw</w:t>
      </w:r>
      <w:r w:rsidRPr="002029AF">
        <w:t xml:space="preserve"> a decrease in vehicle fleet size due to the transfer of 429 vehicles to National Disability Insurance Scheme service providers as part of</w:t>
      </w:r>
      <w:r w:rsidR="00206595">
        <w:t> </w:t>
      </w:r>
      <w:r w:rsidRPr="002029AF">
        <w:t>the transfer of government services</w:t>
      </w:r>
    </w:p>
    <w:p w14:paraId="3387C679" w14:textId="77777777" w:rsidR="00FC6F4F" w:rsidRPr="002029AF" w:rsidRDefault="00FC6F4F" w:rsidP="00CF7944">
      <w:pPr>
        <w:pStyle w:val="ARbullet1"/>
      </w:pPr>
      <w:r w:rsidRPr="002029AF">
        <w:t xml:space="preserve">continued to implement the Efficient Fleet Procurement Policy, giving preference to </w:t>
      </w:r>
      <w:r w:rsidRPr="002029AF">
        <w:br/>
        <w:t>fuel-efficient and low-emission vehicles</w:t>
      </w:r>
    </w:p>
    <w:p w14:paraId="7AD5EC31" w14:textId="77777777" w:rsidR="00FC6F4F" w:rsidRPr="002029AF" w:rsidRDefault="00FC6F4F" w:rsidP="00CF7944">
      <w:pPr>
        <w:pStyle w:val="ARbullet1"/>
      </w:pPr>
      <w:r w:rsidRPr="002029AF">
        <w:t>completed a sustainable transport pilot at Eastern Health and Peninsula Health</w:t>
      </w:r>
      <w:r>
        <w:t>.</w:t>
      </w:r>
    </w:p>
    <w:p w14:paraId="07B5F2E5" w14:textId="7310D298" w:rsidR="00FC6F4F" w:rsidRDefault="00FC6F4F" w:rsidP="00CF7944">
      <w:pPr>
        <w:pStyle w:val="ARbodyafterbullets"/>
      </w:pPr>
      <w:r w:rsidRPr="002029AF">
        <w:t>In 20</w:t>
      </w:r>
      <w:r>
        <w:t>20</w:t>
      </w:r>
      <w:r w:rsidRPr="002029AF">
        <w:t>–2</w:t>
      </w:r>
      <w:r>
        <w:t>1</w:t>
      </w:r>
      <w:r w:rsidR="00524890">
        <w:t xml:space="preserve">, </w:t>
      </w:r>
      <w:r>
        <w:t>total kilometres travelled and emissions from the office-based vehicle fleet reduced by 40 per cent due to COVID</w:t>
      </w:r>
      <w:r w:rsidR="00F52F37">
        <w:t>-19</w:t>
      </w:r>
      <w:r>
        <w:t xml:space="preserve"> travel restrictions.</w:t>
      </w:r>
      <w:r w:rsidR="00F8606E">
        <w:t xml:space="preserve"> </w:t>
      </w:r>
      <w:r>
        <w:t>The overall fleet efficiency also improved due to most of the existing large diesel vehicles in the fleet being transferred.</w:t>
      </w:r>
    </w:p>
    <w:p w14:paraId="6A33E1B4" w14:textId="2B001CC8" w:rsidR="00FC6F4F" w:rsidRPr="002029AF" w:rsidRDefault="00FC6F4F" w:rsidP="00EE3B2E">
      <w:pPr>
        <w:pStyle w:val="Heading4"/>
        <w:rPr>
          <w:color w:val="000000"/>
        </w:rPr>
      </w:pPr>
      <w:bookmarkStart w:id="634" w:name="_Toc85121309"/>
      <w:r w:rsidRPr="002029AF">
        <w:t xml:space="preserve">Climate change </w:t>
      </w:r>
      <w:r>
        <w:t>mitigation and</w:t>
      </w:r>
      <w:r w:rsidR="00EE3B2E">
        <w:t> </w:t>
      </w:r>
      <w:r w:rsidRPr="002029AF">
        <w:t>adaptation</w:t>
      </w:r>
      <w:bookmarkEnd w:id="634"/>
    </w:p>
    <w:p w14:paraId="63669E2A" w14:textId="47813E9E" w:rsidR="00FC6F4F" w:rsidRPr="002029AF" w:rsidRDefault="00FC6F4F" w:rsidP="005A6B8E">
      <w:pPr>
        <w:pStyle w:val="ARbody"/>
      </w:pPr>
      <w:r>
        <w:t>The departments are committed to driving mitigation and adaptation initiatives and to proactively managing climate change risks for</w:t>
      </w:r>
      <w:r w:rsidR="00206595">
        <w:t> </w:t>
      </w:r>
      <w:r>
        <w:t>clients, assets and services.</w:t>
      </w:r>
    </w:p>
    <w:p w14:paraId="72CEA10C" w14:textId="761CC9A3" w:rsidR="00FC6F4F" w:rsidRPr="002029AF" w:rsidRDefault="00212B70" w:rsidP="005A6B8E">
      <w:pPr>
        <w:pStyle w:val="ARbody"/>
      </w:pPr>
      <w:r>
        <w:t>Many of the achievements already discussed in the Environmental reporting section –</w:t>
      </w:r>
      <w:r w:rsidR="00F016FD">
        <w:t xml:space="preserve">for example, </w:t>
      </w:r>
      <w:r w:rsidR="00FE60D7">
        <w:t xml:space="preserve">the Big Housing Build, </w:t>
      </w:r>
      <w:r w:rsidR="00F016FD">
        <w:t xml:space="preserve">and the </w:t>
      </w:r>
      <w:r w:rsidR="00F016FD">
        <w:rPr>
          <w:i/>
          <w:iCs/>
        </w:rPr>
        <w:t xml:space="preserve">Health and Human Services </w:t>
      </w:r>
      <w:r w:rsidR="00FE60D7">
        <w:rPr>
          <w:i/>
          <w:iCs/>
        </w:rPr>
        <w:t>c</w:t>
      </w:r>
      <w:r w:rsidR="00F016FD">
        <w:rPr>
          <w:i/>
          <w:iCs/>
        </w:rPr>
        <w:t xml:space="preserve">limate </w:t>
      </w:r>
      <w:r w:rsidR="00FE60D7">
        <w:rPr>
          <w:i/>
          <w:iCs/>
        </w:rPr>
        <w:t>c</w:t>
      </w:r>
      <w:r w:rsidR="00F016FD">
        <w:rPr>
          <w:i/>
          <w:iCs/>
        </w:rPr>
        <w:t xml:space="preserve">hange </w:t>
      </w:r>
      <w:r w:rsidR="00FE60D7">
        <w:rPr>
          <w:i/>
          <w:iCs/>
        </w:rPr>
        <w:t>a</w:t>
      </w:r>
      <w:r w:rsidR="00F016FD">
        <w:rPr>
          <w:i/>
          <w:iCs/>
        </w:rPr>
        <w:t xml:space="preserve">daptation </w:t>
      </w:r>
      <w:r w:rsidR="00FE60D7">
        <w:rPr>
          <w:i/>
          <w:iCs/>
        </w:rPr>
        <w:t>a</w:t>
      </w:r>
      <w:r w:rsidR="00F016FD">
        <w:rPr>
          <w:i/>
          <w:iCs/>
        </w:rPr>
        <w:t xml:space="preserve">ction </w:t>
      </w:r>
      <w:r w:rsidR="00FE60D7">
        <w:rPr>
          <w:i/>
          <w:iCs/>
        </w:rPr>
        <w:t>p</w:t>
      </w:r>
      <w:r w:rsidR="00F016FD">
        <w:rPr>
          <w:i/>
          <w:iCs/>
        </w:rPr>
        <w:t xml:space="preserve">lan 2021–26 – </w:t>
      </w:r>
      <w:r w:rsidR="00F016FD">
        <w:t>make substantial contributions to the departments</w:t>
      </w:r>
      <w:r w:rsidR="007D145B">
        <w:t>’</w:t>
      </w:r>
      <w:r w:rsidR="00F016FD">
        <w:t xml:space="preserve"> climate change mitigation and adaptation strategy.</w:t>
      </w:r>
      <w:r w:rsidR="00864121">
        <w:t xml:space="preserve"> </w:t>
      </w:r>
      <w:r w:rsidR="00FC6F4F" w:rsidRPr="002029AF">
        <w:t>In 20</w:t>
      </w:r>
      <w:r w:rsidR="00FC6F4F">
        <w:t>20</w:t>
      </w:r>
      <w:r w:rsidR="00FC6F4F" w:rsidRPr="002029AF">
        <w:t>–2</w:t>
      </w:r>
      <w:r w:rsidR="00FC6F4F">
        <w:t>1</w:t>
      </w:r>
      <w:r w:rsidR="00FC6F4F" w:rsidRPr="002029AF">
        <w:t xml:space="preserve">, </w:t>
      </w:r>
      <w:r>
        <w:t>in addition to the</w:t>
      </w:r>
      <w:r w:rsidR="00F016FD">
        <w:t>se</w:t>
      </w:r>
      <w:r>
        <w:t xml:space="preserve"> achievements</w:t>
      </w:r>
      <w:r w:rsidR="00FE60D7">
        <w:t>,</w:t>
      </w:r>
      <w:r>
        <w:t xml:space="preserve"> </w:t>
      </w:r>
      <w:r w:rsidR="00FC6F4F" w:rsidRPr="002029AF">
        <w:t>the department</w:t>
      </w:r>
      <w:r w:rsidR="00F32FCE">
        <w:t>s</w:t>
      </w:r>
      <w:r>
        <w:t xml:space="preserve"> also</w:t>
      </w:r>
      <w:r w:rsidR="00FC6F4F" w:rsidRPr="002029AF">
        <w:t>:</w:t>
      </w:r>
    </w:p>
    <w:p w14:paraId="40EAB60F" w14:textId="337F7C06" w:rsidR="00FC6F4F" w:rsidRDefault="00FC6F4F" w:rsidP="00FC6F4F">
      <w:pPr>
        <w:pStyle w:val="ARbullet1"/>
      </w:pPr>
      <w:r>
        <w:t xml:space="preserve">published </w:t>
      </w:r>
      <w:r w:rsidRPr="006C42DE">
        <w:rPr>
          <w:i/>
          <w:iCs/>
        </w:rPr>
        <w:t xml:space="preserve">Tackling climate change and its impacts on health through municipal public health and wellbeing planning: </w:t>
      </w:r>
      <w:r w:rsidR="002A1178">
        <w:rPr>
          <w:i/>
          <w:iCs/>
        </w:rPr>
        <w:t>g</w:t>
      </w:r>
      <w:r w:rsidRPr="006C42DE">
        <w:rPr>
          <w:i/>
          <w:iCs/>
        </w:rPr>
        <w:t>uidance for local government</w:t>
      </w:r>
      <w:r>
        <w:t xml:space="preserve"> in</w:t>
      </w:r>
      <w:r w:rsidR="00EE3B2E">
        <w:t xml:space="preserve"> </w:t>
      </w:r>
      <w:r>
        <w:t>September</w:t>
      </w:r>
      <w:r w:rsidR="00EE3B2E">
        <w:t xml:space="preserve"> </w:t>
      </w:r>
      <w:r>
        <w:t>2020. The purpose of this guidance is to assist councils in</w:t>
      </w:r>
      <w:r w:rsidR="00206595">
        <w:t> </w:t>
      </w:r>
      <w:r>
        <w:t>meeting the</w:t>
      </w:r>
      <w:r w:rsidR="002A1178">
        <w:t>ir</w:t>
      </w:r>
      <w:r>
        <w:t xml:space="preserve"> legislative obligations</w:t>
      </w:r>
      <w:r w:rsidR="002A1178">
        <w:t>,</w:t>
      </w:r>
      <w:r>
        <w:t xml:space="preserve"> and to encourage and embed action to tackle climate change and its impacts on health in municipal public health and wellbeing planning. It recognises the important role that councils can play in reducing the risks that climate change poses to the health and wellbeing of all Victorians and</w:t>
      </w:r>
      <w:r w:rsidR="00FE60D7">
        <w:t xml:space="preserve"> in</w:t>
      </w:r>
      <w:r>
        <w:t xml:space="preserve"> improving public health outcomes</w:t>
      </w:r>
    </w:p>
    <w:p w14:paraId="5E6D587E" w14:textId="3323FF09" w:rsidR="00F8606E" w:rsidRDefault="00FC6F4F" w:rsidP="00FC6F4F">
      <w:pPr>
        <w:pStyle w:val="ARbullet1"/>
      </w:pPr>
      <w:r>
        <w:t xml:space="preserve">in line with the </w:t>
      </w:r>
      <w:r w:rsidR="007D145B">
        <w:t>‘</w:t>
      </w:r>
      <w:r>
        <w:t>tackling climate change and its impacts</w:t>
      </w:r>
      <w:r w:rsidR="00EE3B2E">
        <w:t xml:space="preserve"> </w:t>
      </w:r>
      <w:r>
        <w:t>on</w:t>
      </w:r>
      <w:r w:rsidR="00EE3B2E">
        <w:t xml:space="preserve"> </w:t>
      </w:r>
      <w:r>
        <w:t>health</w:t>
      </w:r>
      <w:r w:rsidR="007D145B">
        <w:t>’</w:t>
      </w:r>
      <w:r w:rsidR="00EE3B2E">
        <w:t xml:space="preserve"> </w:t>
      </w:r>
      <w:r>
        <w:t>focus</w:t>
      </w:r>
      <w:r w:rsidR="00EE3B2E">
        <w:t xml:space="preserve"> </w:t>
      </w:r>
      <w:r>
        <w:t>area</w:t>
      </w:r>
      <w:r w:rsidR="00EE3B2E">
        <w:t xml:space="preserve"> </w:t>
      </w:r>
      <w:r>
        <w:t>in</w:t>
      </w:r>
      <w:r w:rsidR="00EE3B2E">
        <w:t xml:space="preserve"> </w:t>
      </w:r>
      <w:r>
        <w:t>the</w:t>
      </w:r>
      <w:r w:rsidR="00EE3B2E">
        <w:t xml:space="preserve"> </w:t>
      </w:r>
      <w:r w:rsidRPr="006C42DE">
        <w:rPr>
          <w:i/>
          <w:iCs/>
        </w:rPr>
        <w:t>Victorian</w:t>
      </w:r>
      <w:r w:rsidR="00EE3B2E" w:rsidRPr="006C42DE">
        <w:rPr>
          <w:i/>
          <w:iCs/>
        </w:rPr>
        <w:t xml:space="preserve"> </w:t>
      </w:r>
      <w:r w:rsidR="00FE60D7">
        <w:rPr>
          <w:i/>
          <w:iCs/>
        </w:rPr>
        <w:t>p</w:t>
      </w:r>
      <w:r w:rsidRPr="006C42DE">
        <w:rPr>
          <w:i/>
          <w:iCs/>
        </w:rPr>
        <w:t>ublic</w:t>
      </w:r>
      <w:r w:rsidR="00EE3B2E" w:rsidRPr="006C42DE">
        <w:rPr>
          <w:i/>
          <w:iCs/>
        </w:rPr>
        <w:t xml:space="preserve"> </w:t>
      </w:r>
      <w:r w:rsidR="00FE60D7">
        <w:rPr>
          <w:i/>
          <w:iCs/>
        </w:rPr>
        <w:t>h</w:t>
      </w:r>
      <w:r w:rsidRPr="006C42DE">
        <w:rPr>
          <w:i/>
          <w:iCs/>
        </w:rPr>
        <w:t>ealth</w:t>
      </w:r>
      <w:r w:rsidR="00EE3B2E" w:rsidRPr="006C42DE">
        <w:rPr>
          <w:i/>
          <w:iCs/>
        </w:rPr>
        <w:t xml:space="preserve"> </w:t>
      </w:r>
      <w:r w:rsidRPr="006C42DE">
        <w:rPr>
          <w:i/>
          <w:iCs/>
        </w:rPr>
        <w:t>and</w:t>
      </w:r>
      <w:r w:rsidR="00EE3B2E" w:rsidRPr="006C42DE">
        <w:rPr>
          <w:i/>
          <w:iCs/>
        </w:rPr>
        <w:t xml:space="preserve"> </w:t>
      </w:r>
      <w:r w:rsidR="00FE60D7">
        <w:rPr>
          <w:i/>
          <w:iCs/>
        </w:rPr>
        <w:t>w</w:t>
      </w:r>
      <w:r w:rsidRPr="006C42DE">
        <w:rPr>
          <w:i/>
          <w:iCs/>
        </w:rPr>
        <w:t>ellbeing</w:t>
      </w:r>
      <w:r w:rsidR="00EE3B2E" w:rsidRPr="006C42DE">
        <w:rPr>
          <w:i/>
          <w:iCs/>
        </w:rPr>
        <w:t xml:space="preserve"> </w:t>
      </w:r>
      <w:r w:rsidR="00FE60D7">
        <w:rPr>
          <w:i/>
          <w:iCs/>
        </w:rPr>
        <w:t>p</w:t>
      </w:r>
      <w:r w:rsidRPr="006C42DE">
        <w:rPr>
          <w:i/>
          <w:iCs/>
        </w:rPr>
        <w:t>lan</w:t>
      </w:r>
      <w:r w:rsidR="00EE3B2E" w:rsidRPr="006C42DE">
        <w:rPr>
          <w:i/>
          <w:iCs/>
        </w:rPr>
        <w:t xml:space="preserve"> </w:t>
      </w:r>
      <w:r w:rsidRPr="006C42DE">
        <w:rPr>
          <w:i/>
          <w:iCs/>
        </w:rPr>
        <w:t>201</w:t>
      </w:r>
      <w:r w:rsidR="00177286" w:rsidRPr="006C42DE">
        <w:rPr>
          <w:i/>
          <w:iCs/>
        </w:rPr>
        <w:t>9–</w:t>
      </w:r>
      <w:r w:rsidRPr="006C42DE">
        <w:rPr>
          <w:i/>
          <w:iCs/>
        </w:rPr>
        <w:t>2023</w:t>
      </w:r>
      <w:r>
        <w:t>,</w:t>
      </w:r>
      <w:r w:rsidR="00EE3B2E">
        <w:t xml:space="preserve"> </w:t>
      </w:r>
      <w:r>
        <w:t>,</w:t>
      </w:r>
      <w:r w:rsidR="00EE3B2E">
        <w:t xml:space="preserve"> </w:t>
      </w:r>
      <w:r>
        <w:t>provided</w:t>
      </w:r>
      <w:r w:rsidR="00EE3B2E">
        <w:t xml:space="preserve"> </w:t>
      </w:r>
      <w:r>
        <w:t>support</w:t>
      </w:r>
      <w:r w:rsidR="00EE3B2E">
        <w:t xml:space="preserve"> </w:t>
      </w:r>
      <w:r>
        <w:t>for</w:t>
      </w:r>
      <w:r w:rsidR="00EE3B2E">
        <w:t xml:space="preserve"> </w:t>
      </w:r>
      <w:r>
        <w:t>the</w:t>
      </w:r>
      <w:r w:rsidR="00EE3B2E">
        <w:t xml:space="preserve"> </w:t>
      </w:r>
      <w:r>
        <w:t>inclusion</w:t>
      </w:r>
      <w:r w:rsidR="00EE3B2E">
        <w:t xml:space="preserve"> </w:t>
      </w:r>
      <w:r>
        <w:t>of</w:t>
      </w:r>
      <w:r w:rsidR="00EE3B2E">
        <w:t xml:space="preserve"> </w:t>
      </w:r>
      <w:r>
        <w:t>a</w:t>
      </w:r>
      <w:r w:rsidR="00EE3B2E">
        <w:t xml:space="preserve"> </w:t>
      </w:r>
      <w:r>
        <w:t>Climate</w:t>
      </w:r>
      <w:r w:rsidR="00EE3B2E">
        <w:t xml:space="preserve"> </w:t>
      </w:r>
      <w:r>
        <w:t>and</w:t>
      </w:r>
      <w:r w:rsidR="00EE3B2E">
        <w:t xml:space="preserve"> </w:t>
      </w:r>
      <w:r>
        <w:t>Health</w:t>
      </w:r>
      <w:r w:rsidR="00EE3B2E">
        <w:t xml:space="preserve"> </w:t>
      </w:r>
      <w:r>
        <w:t>pathway</w:t>
      </w:r>
      <w:r w:rsidR="00EE3B2E">
        <w:t xml:space="preserve"> </w:t>
      </w:r>
      <w:r>
        <w:t>in</w:t>
      </w:r>
      <w:r w:rsidR="00EE3B2E">
        <w:t xml:space="preserve"> </w:t>
      </w:r>
      <w:r>
        <w:t>Victoria</w:t>
      </w:r>
      <w:r w:rsidR="007D145B">
        <w:t>’</w:t>
      </w:r>
      <w:r>
        <w:t>s</w:t>
      </w:r>
      <w:r w:rsidR="00EE3B2E">
        <w:t xml:space="preserve"> </w:t>
      </w:r>
      <w:r>
        <w:t>Achievement</w:t>
      </w:r>
      <w:r w:rsidR="00EE3B2E">
        <w:t xml:space="preserve"> </w:t>
      </w:r>
      <w:r>
        <w:t>Program.</w:t>
      </w:r>
      <w:r w:rsidR="00EE3B2E">
        <w:t xml:space="preserve"> </w:t>
      </w:r>
      <w:r>
        <w:t>This</w:t>
      </w:r>
      <w:r w:rsidR="00EE3B2E">
        <w:t xml:space="preserve"> </w:t>
      </w:r>
      <w:r>
        <w:t>pathway</w:t>
      </w:r>
      <w:r w:rsidR="00EE3B2E">
        <w:t xml:space="preserve"> </w:t>
      </w:r>
      <w:r>
        <w:t>aims</w:t>
      </w:r>
      <w:r w:rsidR="00EE3B2E">
        <w:t xml:space="preserve"> </w:t>
      </w:r>
      <w:r>
        <w:t>to</w:t>
      </w:r>
      <w:r w:rsidR="00EE3B2E">
        <w:t xml:space="preserve"> </w:t>
      </w:r>
      <w:r>
        <w:t>support</w:t>
      </w:r>
      <w:r w:rsidR="00EE3B2E">
        <w:t xml:space="preserve"> </w:t>
      </w:r>
      <w:r>
        <w:t>Achievement</w:t>
      </w:r>
      <w:r w:rsidR="00EE3B2E">
        <w:t xml:space="preserve"> </w:t>
      </w:r>
      <w:r>
        <w:t>Program</w:t>
      </w:r>
      <w:r w:rsidR="00EE3B2E">
        <w:t xml:space="preserve"> </w:t>
      </w:r>
      <w:r>
        <w:t>members</w:t>
      </w:r>
      <w:r w:rsidR="00EE3B2E">
        <w:t xml:space="preserve"> </w:t>
      </w:r>
      <w:r>
        <w:t>to</w:t>
      </w:r>
      <w:r w:rsidR="00EE3B2E">
        <w:t xml:space="preserve"> </w:t>
      </w:r>
      <w:r>
        <w:t>adapt</w:t>
      </w:r>
      <w:r w:rsidR="00EE3B2E">
        <w:t xml:space="preserve"> </w:t>
      </w:r>
      <w:r>
        <w:t>to</w:t>
      </w:r>
      <w:r w:rsidR="00EE3B2E">
        <w:t xml:space="preserve"> </w:t>
      </w:r>
      <w:r>
        <w:t>climate</w:t>
      </w:r>
      <w:r w:rsidR="00EE3B2E">
        <w:t xml:space="preserve"> </w:t>
      </w:r>
      <w:r>
        <w:t>change</w:t>
      </w:r>
      <w:r w:rsidR="00EE3B2E">
        <w:t xml:space="preserve"> </w:t>
      </w:r>
      <w:r>
        <w:t>and</w:t>
      </w:r>
      <w:r w:rsidR="00EE3B2E">
        <w:t xml:space="preserve"> </w:t>
      </w:r>
      <w:r>
        <w:t>also</w:t>
      </w:r>
      <w:r w:rsidR="00EE3B2E">
        <w:t xml:space="preserve"> </w:t>
      </w:r>
      <w:r>
        <w:t>take</w:t>
      </w:r>
      <w:r w:rsidR="00EE3B2E">
        <w:t xml:space="preserve"> </w:t>
      </w:r>
      <w:r>
        <w:t>climate</w:t>
      </w:r>
      <w:r w:rsidR="00EE3B2E">
        <w:t xml:space="preserve"> </w:t>
      </w:r>
      <w:r>
        <w:t>actions</w:t>
      </w:r>
      <w:r w:rsidR="00EE3B2E">
        <w:t xml:space="preserve"> </w:t>
      </w:r>
      <w:r>
        <w:t>that</w:t>
      </w:r>
      <w:r w:rsidR="00EE3B2E">
        <w:t xml:space="preserve"> </w:t>
      </w:r>
      <w:r>
        <w:t>co-benefit</w:t>
      </w:r>
      <w:r w:rsidR="00EE3B2E">
        <w:t xml:space="preserve"> </w:t>
      </w:r>
      <w:r>
        <w:t>health</w:t>
      </w:r>
      <w:r w:rsidR="00EE3B2E">
        <w:t xml:space="preserve"> </w:t>
      </w:r>
      <w:r>
        <w:t>and</w:t>
      </w:r>
      <w:r w:rsidR="00EE3B2E">
        <w:t xml:space="preserve"> </w:t>
      </w:r>
      <w:r>
        <w:t>wellbeing.</w:t>
      </w:r>
      <w:r w:rsidR="00EE3B2E">
        <w:t xml:space="preserve"> </w:t>
      </w:r>
      <w:r>
        <w:t>The</w:t>
      </w:r>
      <w:r w:rsidR="00EE3B2E">
        <w:t xml:space="preserve"> </w:t>
      </w:r>
      <w:r w:rsidR="002A1178">
        <w:t xml:space="preserve">key focus of the </w:t>
      </w:r>
      <w:r>
        <w:t>Achievement</w:t>
      </w:r>
      <w:r w:rsidR="00EE3B2E">
        <w:t xml:space="preserve"> </w:t>
      </w:r>
      <w:r>
        <w:t>Program</w:t>
      </w:r>
      <w:r w:rsidR="00EE3B2E">
        <w:t xml:space="preserve"> </w:t>
      </w:r>
      <w:r w:rsidR="002A1178">
        <w:t xml:space="preserve">is </w:t>
      </w:r>
      <w:r>
        <w:t>on</w:t>
      </w:r>
      <w:r w:rsidR="00EE3B2E">
        <w:t xml:space="preserve"> </w:t>
      </w:r>
      <w:r>
        <w:t>creating</w:t>
      </w:r>
      <w:r w:rsidR="00EE3B2E">
        <w:t xml:space="preserve"> </w:t>
      </w:r>
      <w:r>
        <w:t>healthier</w:t>
      </w:r>
      <w:r w:rsidR="00EE3B2E">
        <w:t xml:space="preserve"> </w:t>
      </w:r>
      <w:r>
        <w:t>early</w:t>
      </w:r>
      <w:r w:rsidR="00EE3B2E">
        <w:t xml:space="preserve"> </w:t>
      </w:r>
      <w:r>
        <w:t>childhood</w:t>
      </w:r>
      <w:r w:rsidR="00EE3B2E">
        <w:t xml:space="preserve"> </w:t>
      </w:r>
      <w:r>
        <w:t>services,</w:t>
      </w:r>
      <w:r w:rsidR="00EE3B2E">
        <w:t xml:space="preserve"> </w:t>
      </w:r>
      <w:r>
        <w:t>schools</w:t>
      </w:r>
      <w:r w:rsidR="00EE3B2E">
        <w:t xml:space="preserve"> </w:t>
      </w:r>
      <w:r>
        <w:t>and</w:t>
      </w:r>
      <w:r w:rsidR="00EE3B2E">
        <w:t xml:space="preserve"> </w:t>
      </w:r>
      <w:r>
        <w:t>workplaces.</w:t>
      </w:r>
    </w:p>
    <w:p w14:paraId="567DCF29" w14:textId="77777777" w:rsidR="00FC6F4F" w:rsidRPr="002029AF" w:rsidRDefault="00FC6F4F" w:rsidP="00961519">
      <w:pPr>
        <w:pStyle w:val="Heading5"/>
      </w:pPr>
      <w:bookmarkStart w:id="635" w:name="_Toc85121310"/>
      <w:r w:rsidRPr="002029AF">
        <w:t>Targets</w:t>
      </w:r>
      <w:bookmarkEnd w:id="635"/>
    </w:p>
    <w:p w14:paraId="338144EB" w14:textId="0768954E" w:rsidR="00FC6F4F" w:rsidRPr="002029AF" w:rsidRDefault="003503E0" w:rsidP="005A6B8E">
      <w:pPr>
        <w:pStyle w:val="ARbody"/>
      </w:pPr>
      <w:r w:rsidRPr="002029AF">
        <w:t xml:space="preserve">The </w:t>
      </w:r>
      <w:r>
        <w:t>departments</w:t>
      </w:r>
      <w:r w:rsidR="007D145B">
        <w:t>’</w:t>
      </w:r>
      <w:r>
        <w:t xml:space="preserve"> </w:t>
      </w:r>
      <w:r w:rsidR="00FC6F4F" w:rsidRPr="002029AF">
        <w:t>202</w:t>
      </w:r>
      <w:r w:rsidR="00FC6F4F">
        <w:t>1</w:t>
      </w:r>
      <w:r w:rsidR="00FC6F4F" w:rsidRPr="002029AF">
        <w:t>–2</w:t>
      </w:r>
      <w:r w:rsidR="00FC6F4F">
        <w:t>2</w:t>
      </w:r>
      <w:r w:rsidR="00FC6F4F" w:rsidRPr="002029AF">
        <w:t xml:space="preserve"> environmental management system targets for climate change </w:t>
      </w:r>
      <w:r w:rsidR="00A5317D">
        <w:t xml:space="preserve">mitigation and </w:t>
      </w:r>
      <w:r w:rsidR="00FC6F4F" w:rsidRPr="002029AF">
        <w:t>adaptation are to:</w:t>
      </w:r>
    </w:p>
    <w:p w14:paraId="35AA497E" w14:textId="3BDD4E2C" w:rsidR="00FC6F4F" w:rsidRDefault="00F016FD" w:rsidP="00FC6F4F">
      <w:pPr>
        <w:pStyle w:val="ARbullet1"/>
      </w:pPr>
      <w:r>
        <w:t xml:space="preserve">continue </w:t>
      </w:r>
      <w:r w:rsidR="00FC6F4F">
        <w:t xml:space="preserve">development of the </w:t>
      </w:r>
      <w:r w:rsidR="00FC6F4F">
        <w:rPr>
          <w:i/>
          <w:iCs/>
        </w:rPr>
        <w:t xml:space="preserve">Health and Human Services </w:t>
      </w:r>
      <w:r w:rsidR="004A60E0">
        <w:rPr>
          <w:i/>
          <w:iCs/>
        </w:rPr>
        <w:t>c</w:t>
      </w:r>
      <w:r w:rsidR="00FC6F4F">
        <w:rPr>
          <w:i/>
          <w:iCs/>
        </w:rPr>
        <w:t xml:space="preserve">limate </w:t>
      </w:r>
      <w:r w:rsidR="004A60E0">
        <w:rPr>
          <w:i/>
          <w:iCs/>
        </w:rPr>
        <w:t>c</w:t>
      </w:r>
      <w:r w:rsidR="00FC6F4F">
        <w:rPr>
          <w:i/>
          <w:iCs/>
        </w:rPr>
        <w:t xml:space="preserve">hange </w:t>
      </w:r>
      <w:r w:rsidR="004A60E0">
        <w:rPr>
          <w:i/>
          <w:iCs/>
        </w:rPr>
        <w:t>a</w:t>
      </w:r>
      <w:r w:rsidR="00FC6F4F">
        <w:rPr>
          <w:i/>
          <w:iCs/>
        </w:rPr>
        <w:t xml:space="preserve">daptation </w:t>
      </w:r>
      <w:r w:rsidR="004A60E0">
        <w:rPr>
          <w:i/>
          <w:iCs/>
        </w:rPr>
        <w:t>a</w:t>
      </w:r>
      <w:r w:rsidR="00FC6F4F">
        <w:rPr>
          <w:i/>
          <w:iCs/>
        </w:rPr>
        <w:t xml:space="preserve">ction </w:t>
      </w:r>
      <w:r w:rsidR="004A60E0">
        <w:rPr>
          <w:i/>
          <w:iCs/>
        </w:rPr>
        <w:t>p</w:t>
      </w:r>
      <w:r w:rsidR="00FC6F4F">
        <w:rPr>
          <w:i/>
          <w:iCs/>
        </w:rPr>
        <w:t>lan 202</w:t>
      </w:r>
      <w:r w:rsidR="00177286">
        <w:rPr>
          <w:i/>
          <w:iCs/>
        </w:rPr>
        <w:t>2–</w:t>
      </w:r>
      <w:r w:rsidR="00FC6F4F">
        <w:rPr>
          <w:i/>
          <w:iCs/>
        </w:rPr>
        <w:t>26</w:t>
      </w:r>
    </w:p>
    <w:p w14:paraId="4AF0FAF1" w14:textId="77777777" w:rsidR="00864121" w:rsidRDefault="00FC6F4F" w:rsidP="00FC6F4F">
      <w:pPr>
        <w:pStyle w:val="ARbullet1"/>
      </w:pPr>
      <w:r>
        <w:t>ensure tackling climate change and its impacts on health is a focus area of the </w:t>
      </w:r>
      <w:r>
        <w:rPr>
          <w:i/>
          <w:iCs/>
        </w:rPr>
        <w:t>Victorian public health and wellbeing plan 2019–2023</w:t>
      </w:r>
      <w:r>
        <w:t> and</w:t>
      </w:r>
      <w:r w:rsidR="004A60E0">
        <w:t xml:space="preserve"> </w:t>
      </w:r>
      <w:r w:rsidR="00F016FD">
        <w:t xml:space="preserve">the health and wellbeing plans of municipal </w:t>
      </w:r>
      <w:r>
        <w:t>councils</w:t>
      </w:r>
    </w:p>
    <w:p w14:paraId="7A060423" w14:textId="29F22E8F" w:rsidR="00FC6F4F" w:rsidRPr="002029AF" w:rsidRDefault="00FC6F4F" w:rsidP="00961519">
      <w:pPr>
        <w:pStyle w:val="Heading4"/>
      </w:pPr>
      <w:bookmarkStart w:id="636" w:name="_Toc85121311"/>
      <w:r w:rsidRPr="002029AF">
        <w:t>Communications and behaviour change</w:t>
      </w:r>
      <w:bookmarkEnd w:id="636"/>
    </w:p>
    <w:p w14:paraId="53D9B564" w14:textId="598490A8" w:rsidR="00FC6F4F" w:rsidRPr="002029AF" w:rsidRDefault="00FC6F4F" w:rsidP="005A6B8E">
      <w:pPr>
        <w:pStyle w:val="ARbody"/>
      </w:pPr>
      <w:r>
        <w:t xml:space="preserve">The departments promote sustainable behaviour to all staff and aim to raise awareness </w:t>
      </w:r>
      <w:r w:rsidR="00F016FD">
        <w:t xml:space="preserve">of </w:t>
      </w:r>
      <w:r>
        <w:t>and engagement with environmental issues in order to drive positive environmental outcomes.</w:t>
      </w:r>
    </w:p>
    <w:p w14:paraId="62108EC6" w14:textId="6F1D7C7A" w:rsidR="00FC6F4F" w:rsidRPr="002029AF" w:rsidRDefault="00FC6F4F" w:rsidP="00EE3B2E">
      <w:pPr>
        <w:pStyle w:val="ARbody"/>
        <w:keepNext/>
      </w:pPr>
      <w:r w:rsidRPr="002029AF">
        <w:lastRenderedPageBreak/>
        <w:t>In 20</w:t>
      </w:r>
      <w:r>
        <w:t>20</w:t>
      </w:r>
      <w:r w:rsidRPr="002029AF">
        <w:t>–2</w:t>
      </w:r>
      <w:r>
        <w:t>1</w:t>
      </w:r>
      <w:r w:rsidRPr="002029AF">
        <w:t>, the department</w:t>
      </w:r>
      <w:r w:rsidR="007D2288">
        <w:t>s</w:t>
      </w:r>
      <w:r w:rsidRPr="002029AF">
        <w:t>:</w:t>
      </w:r>
    </w:p>
    <w:p w14:paraId="30422CC7" w14:textId="5CC4B8EA" w:rsidR="00FC6F4F" w:rsidRPr="002029AF" w:rsidRDefault="00FC6F4F" w:rsidP="005A6B8E">
      <w:pPr>
        <w:pStyle w:val="ARbullet1"/>
      </w:pPr>
      <w:r w:rsidRPr="002029AF">
        <w:t xml:space="preserve">published </w:t>
      </w:r>
      <w:r>
        <w:t xml:space="preserve">an </w:t>
      </w:r>
      <w:r w:rsidRPr="002029AF">
        <w:t xml:space="preserve">implementation </w:t>
      </w:r>
      <w:r>
        <w:t xml:space="preserve">report for the first two years </w:t>
      </w:r>
      <w:r w:rsidRPr="002029AF">
        <w:t xml:space="preserve">of the </w:t>
      </w:r>
      <w:r w:rsidRPr="004F257D">
        <w:rPr>
          <w:i/>
          <w:iCs/>
        </w:rPr>
        <w:t xml:space="preserve">Environmental </w:t>
      </w:r>
      <w:r w:rsidR="004A60E0">
        <w:rPr>
          <w:i/>
          <w:iCs/>
        </w:rPr>
        <w:t>s</w:t>
      </w:r>
      <w:r w:rsidRPr="004F257D">
        <w:rPr>
          <w:i/>
          <w:iCs/>
        </w:rPr>
        <w:t xml:space="preserve">ustainability </w:t>
      </w:r>
      <w:r w:rsidR="004A60E0">
        <w:rPr>
          <w:i/>
          <w:iCs/>
        </w:rPr>
        <w:t>s</w:t>
      </w:r>
      <w:r w:rsidRPr="004B235D">
        <w:rPr>
          <w:i/>
          <w:iCs/>
        </w:rPr>
        <w:t>trategy 2018–19 to 2022–23</w:t>
      </w:r>
      <w:r w:rsidRPr="002029AF">
        <w:rPr>
          <w:iCs/>
        </w:rPr>
        <w:t xml:space="preserve"> </w:t>
      </w:r>
      <w:r w:rsidRPr="002029AF">
        <w:t>for</w:t>
      </w:r>
      <w:r w:rsidRPr="002029AF">
        <w:rPr>
          <w:iCs/>
        </w:rPr>
        <w:t> </w:t>
      </w:r>
      <w:r w:rsidR="00E81153">
        <w:t>the health system</w:t>
      </w:r>
    </w:p>
    <w:p w14:paraId="75BCA8E1" w14:textId="37EF47E1" w:rsidR="00FC6F4F" w:rsidRDefault="00FC6F4F" w:rsidP="005A6B8E">
      <w:pPr>
        <w:pStyle w:val="ARbullet1"/>
      </w:pPr>
      <w:r>
        <w:t>provided sustainability updates to the health system in August 2020, December 2020 and March 2021, including information on resources prepared by the department</w:t>
      </w:r>
      <w:r w:rsidR="007D2288">
        <w:t>s</w:t>
      </w:r>
      <w:r>
        <w:t>, government policies, programs and legislative changes, climate change and sustainability events</w:t>
      </w:r>
    </w:p>
    <w:p w14:paraId="61A7B0BA" w14:textId="3CC5C9EC" w:rsidR="00FC6F4F" w:rsidRPr="002029AF" w:rsidRDefault="00FC6F4F" w:rsidP="005A6B8E">
      <w:pPr>
        <w:pStyle w:val="ARbullet1"/>
      </w:pPr>
      <w:r>
        <w:t>released data on the NABERS rating of around 140 public hospitals for each of the years from 201</w:t>
      </w:r>
      <w:r w:rsidR="00177286">
        <w:t>5–</w:t>
      </w:r>
      <w:r>
        <w:t>16 to 201</w:t>
      </w:r>
      <w:r w:rsidR="00177286">
        <w:t>8–</w:t>
      </w:r>
      <w:r>
        <w:t xml:space="preserve">19 inclusive. Based on </w:t>
      </w:r>
      <w:r w:rsidR="00206595">
        <w:br/>
      </w:r>
      <w:r>
        <w:t>201</w:t>
      </w:r>
      <w:r w:rsidR="00177286">
        <w:t>8–</w:t>
      </w:r>
      <w:r>
        <w:t>19 data, 83 per cent of hospitals had an average or above average energy performance and 76 per cent had an average or above average water rating</w:t>
      </w:r>
    </w:p>
    <w:p w14:paraId="7933CC79" w14:textId="0636C025" w:rsidR="00FC6F4F" w:rsidRPr="002029AF" w:rsidRDefault="00FC6F4F" w:rsidP="005A6B8E">
      <w:pPr>
        <w:pStyle w:val="ARbullet1"/>
      </w:pPr>
      <w:r>
        <w:t>continued chairing the Australasian Healthcare Infrastructure Alliance</w:t>
      </w:r>
      <w:r w:rsidR="00834D59">
        <w:t xml:space="preserve"> Environmentally Sustainable Development </w:t>
      </w:r>
      <w:r>
        <w:t>sub-group, with sustainability representatives from health jurisdictions around Australia and New Zealand. The discussion focused on the continued application of the NABERS Energy and Water hospital rating tools and the further development of a NABERS Waste tool for hospitals.</w:t>
      </w:r>
    </w:p>
    <w:p w14:paraId="5338364B" w14:textId="77777777" w:rsidR="00FC6F4F" w:rsidRPr="002029AF" w:rsidRDefault="00FC6F4F">
      <w:pPr>
        <w:pStyle w:val="Heading3"/>
      </w:pPr>
      <w:bookmarkStart w:id="637" w:name="_Toc85121312"/>
      <w:r w:rsidRPr="002029AF">
        <w:t xml:space="preserve">Environmental </w:t>
      </w:r>
      <w:r>
        <w:t>data</w:t>
      </w:r>
      <w:bookmarkEnd w:id="637"/>
    </w:p>
    <w:p w14:paraId="2E87AA4C" w14:textId="77777777" w:rsidR="00FC6F4F" w:rsidRPr="00206595" w:rsidRDefault="00FC6F4F" w:rsidP="00206595">
      <w:pPr>
        <w:pStyle w:val="ARbody"/>
      </w:pPr>
      <w:r w:rsidRPr="002029AF">
        <w:t>The following information has been prepared in accordance with Fin</w:t>
      </w:r>
      <w:r w:rsidRPr="00206595">
        <w:t>ancial Reporting Direction (FRD) 24D and the Global Reporting Initiative (G4) environmental category.</w:t>
      </w:r>
    </w:p>
    <w:p w14:paraId="259CF14A" w14:textId="415CADD1" w:rsidR="00FC6F4F" w:rsidRPr="00206595" w:rsidRDefault="00FC6F4F" w:rsidP="00206595">
      <w:pPr>
        <w:pStyle w:val="ARbody"/>
      </w:pPr>
      <w:r w:rsidRPr="00206595">
        <w:t>The information relates to the departments</w:t>
      </w:r>
      <w:r w:rsidR="007D145B">
        <w:t>’</w:t>
      </w:r>
      <w:r w:rsidRPr="00206595">
        <w:t xml:space="preserve"> impact on living and non-living natural systems, including land, air, water and ecosystems.</w:t>
      </w:r>
    </w:p>
    <w:p w14:paraId="10E168E5" w14:textId="77777777" w:rsidR="00FC6F4F" w:rsidRPr="002029AF" w:rsidRDefault="00FC6F4F" w:rsidP="00206595">
      <w:pPr>
        <w:pStyle w:val="ARbody"/>
      </w:pPr>
      <w:r w:rsidRPr="00206595">
        <w:t>FRD24 requires that this report provide information relating to inputs (such as e</w:t>
      </w:r>
      <w:r w:rsidRPr="002029AF">
        <w:t>nergy and water) and outputs (such as emissions and waste).</w:t>
      </w:r>
    </w:p>
    <w:p w14:paraId="3A41DA86" w14:textId="252C15A8" w:rsidR="00FC6F4F" w:rsidRPr="002029AF" w:rsidRDefault="00FC6F4F" w:rsidP="001E768A">
      <w:pPr>
        <w:pStyle w:val="ARbody"/>
      </w:pPr>
      <w:r w:rsidRPr="002029AF">
        <w:t>In addition, procurement, transport, product and service-related impacts are taken into consideration, as are environmental compliance and expenditure.</w:t>
      </w:r>
      <w:r w:rsidR="004B235D">
        <w:t xml:space="preserve"> </w:t>
      </w:r>
      <w:r w:rsidRPr="002029AF">
        <w:t>G4 environmental aspects are partially reported. This includes the indicators for materials (EN1, EN2), energy (EN3, EN5), water (EN8), emissions (EN15, EN18), waste (EN23), products and services (EN27) and transport (EN30). All departmental cost figures include GST, except where otherwise noted.</w:t>
      </w:r>
    </w:p>
    <w:p w14:paraId="0B691FD9" w14:textId="1E9BE73F" w:rsidR="00FC6F4F" w:rsidRPr="002029AF" w:rsidRDefault="00FC6F4F" w:rsidP="001E768A">
      <w:pPr>
        <w:pStyle w:val="ARbody"/>
      </w:pPr>
      <w:r>
        <w:t>In 2020–21, the environmental performance reporting data include property and assets used in the delivery of the departments</w:t>
      </w:r>
      <w:r w:rsidR="007D145B">
        <w:t>’</w:t>
      </w:r>
      <w:r>
        <w:t xml:space="preserve"> core functions, including corporate offices, residential housing, and public hospitals and health services. This report includes some disability accommodation clients</w:t>
      </w:r>
      <w:r w:rsidR="007D145B">
        <w:t>’</w:t>
      </w:r>
      <w:r>
        <w:t xml:space="preserve"> residential energy usage and shared base-building energy and water in offices and public housing facilities. All figures have been forecast and adjusted to include the most up-to-date information. Where data was not available or estimated in previous years but has since become available, figures have been adjusted to best represent the building portfolio as at 30 June 2021.</w:t>
      </w:r>
    </w:p>
    <w:p w14:paraId="5AF78127" w14:textId="59DE3F96" w:rsidR="00FC6F4F" w:rsidRPr="002029AF" w:rsidRDefault="00FC6F4F" w:rsidP="001E768A">
      <w:pPr>
        <w:pStyle w:val="ARbody"/>
      </w:pPr>
      <w:r w:rsidRPr="002029AF">
        <w:t>At 30 June 202</w:t>
      </w:r>
      <w:r>
        <w:t>1</w:t>
      </w:r>
      <w:r w:rsidRPr="002029AF">
        <w:t>, the department</w:t>
      </w:r>
      <w:r w:rsidR="005B09F1">
        <w:t>s</w:t>
      </w:r>
      <w:r w:rsidRPr="002029AF">
        <w:t xml:space="preserve"> provided </w:t>
      </w:r>
      <w:r w:rsidR="005B09F1">
        <w:t>their</w:t>
      </w:r>
      <w:r w:rsidR="005B09F1" w:rsidRPr="002029AF">
        <w:t xml:space="preserve"> </w:t>
      </w:r>
      <w:r w:rsidR="005B09F1">
        <w:t xml:space="preserve">administered </w:t>
      </w:r>
      <w:r w:rsidRPr="002029AF">
        <w:t xml:space="preserve">services from </w:t>
      </w:r>
      <w:r>
        <w:t>7</w:t>
      </w:r>
      <w:r w:rsidRPr="002029AF">
        <w:t>2 office locations across the state. In addition, the department</w:t>
      </w:r>
      <w:r w:rsidR="005B09F1">
        <w:t>s</w:t>
      </w:r>
      <w:r w:rsidRPr="002029AF">
        <w:t xml:space="preserve"> operate</w:t>
      </w:r>
      <w:r w:rsidR="005B09F1">
        <w:t>d</w:t>
      </w:r>
      <w:r w:rsidRPr="002029AF">
        <w:t xml:space="preserve"> from operational centres providing secure services and disability residential services. Public housing energy and water data includes community facilities, general lighting and bulk hot-water equipment and potable water usage in high-rise apartment blocks, low-rise apartment blocks and general rental public housing stock.</w:t>
      </w:r>
    </w:p>
    <w:p w14:paraId="64228D48" w14:textId="38B2FA77" w:rsidR="00FC6F4F" w:rsidRPr="002029AF" w:rsidRDefault="00FC6F4F" w:rsidP="001E768A">
      <w:pPr>
        <w:pStyle w:val="ARbody"/>
      </w:pPr>
      <w:r>
        <w:t>Public hospital and health services energy and water data represents a summation of data reported by Victoria</w:t>
      </w:r>
      <w:r w:rsidR="007D145B">
        <w:t>’</w:t>
      </w:r>
      <w:r>
        <w:t>s 85 public hospitals and health services, including Ambulance Victoria.</w:t>
      </w:r>
    </w:p>
    <w:p w14:paraId="1C92F460" w14:textId="6FCFC5AE" w:rsidR="00FC6F4F" w:rsidRPr="002029AF" w:rsidRDefault="00FC6F4F" w:rsidP="006A4476">
      <w:pPr>
        <w:pStyle w:val="ARbody"/>
      </w:pPr>
      <w:r w:rsidRPr="002029AF">
        <w:t>To continually improve the accuracy of reporting,</w:t>
      </w:r>
      <w:r w:rsidR="00EE3B2E">
        <w:t> </w:t>
      </w:r>
      <w:r w:rsidRPr="002029AF">
        <w:t>the department</w:t>
      </w:r>
      <w:r w:rsidR="005B09F1">
        <w:t>s</w:t>
      </w:r>
      <w:r w:rsidRPr="002029AF">
        <w:t xml:space="preserve"> review data on an ongoing basis. Changes to previously reported data</w:t>
      </w:r>
      <w:r w:rsidR="00EE3B2E">
        <w:t> </w:t>
      </w:r>
      <w:r w:rsidRPr="002029AF">
        <w:t xml:space="preserve">can therefore occur and can be attributed to changes in the number of facilities reporting, </w:t>
      </w:r>
      <w:r w:rsidR="005B09F1">
        <w:t>to</w:t>
      </w:r>
      <w:r w:rsidR="005B09F1" w:rsidRPr="002029AF">
        <w:t xml:space="preserve"> </w:t>
      </w:r>
      <w:r w:rsidRPr="002029AF">
        <w:t xml:space="preserve">decommissioning, expansion or new build, and/or </w:t>
      </w:r>
      <w:r w:rsidR="005B09F1">
        <w:t xml:space="preserve">to </w:t>
      </w:r>
      <w:r w:rsidRPr="002029AF">
        <w:t>better-quality data received from health services and/or suppliers. Bed days include inpatient occupied bed days (OBD) and public sector residential aged care bed days.</w:t>
      </w:r>
    </w:p>
    <w:p w14:paraId="4CB5CBF5" w14:textId="77777777" w:rsidR="00FC6F4F" w:rsidRPr="002029AF" w:rsidRDefault="00FC6F4F" w:rsidP="006A4476">
      <w:pPr>
        <w:pStyle w:val="ARbody"/>
      </w:pPr>
    </w:p>
    <w:p w14:paraId="755E61F9" w14:textId="77777777" w:rsidR="00FC6F4F" w:rsidRPr="002029AF" w:rsidRDefault="00FC6F4F" w:rsidP="006A4476">
      <w:pPr>
        <w:pStyle w:val="ARbody"/>
        <w:sectPr w:rsidR="00FC6F4F" w:rsidRPr="002029AF" w:rsidSect="009D1AA8">
          <w:headerReference w:type="default" r:id="rId103"/>
          <w:footnotePr>
            <w:numFmt w:val="lowerLetter"/>
            <w:numRestart w:val="eachPage"/>
          </w:footnotePr>
          <w:endnotePr>
            <w:numFmt w:val="decimal"/>
          </w:endnotePr>
          <w:type w:val="continuous"/>
          <w:pgSz w:w="11900" w:h="16840" w:code="9"/>
          <w:pgMar w:top="1985" w:right="1134" w:bottom="851" w:left="1134" w:header="510" w:footer="340" w:gutter="0"/>
          <w:cols w:num="2" w:space="454"/>
        </w:sectPr>
      </w:pPr>
    </w:p>
    <w:p w14:paraId="40E183D8" w14:textId="77777777" w:rsidR="00FC6F4F" w:rsidRPr="002029AF" w:rsidRDefault="00FC6F4F" w:rsidP="00EE3B2E">
      <w:pPr>
        <w:pStyle w:val="Heading4"/>
        <w:spacing w:before="0"/>
      </w:pPr>
      <w:bookmarkStart w:id="638" w:name="_Toc431820987"/>
      <w:bookmarkStart w:id="639" w:name="_Toc85121313"/>
      <w:bookmarkEnd w:id="623"/>
      <w:bookmarkEnd w:id="624"/>
      <w:bookmarkEnd w:id="638"/>
      <w:r w:rsidRPr="002029AF">
        <w:lastRenderedPageBreak/>
        <w:t>Greenhouse gas emissions</w:t>
      </w:r>
      <w:bookmarkEnd w:id="639"/>
    </w:p>
    <w:tbl>
      <w:tblPr>
        <w:tblW w:w="9639" w:type="dxa"/>
        <w:tblBorders>
          <w:left w:val="single" w:sz="4" w:space="0" w:color="FFFFFF" w:themeColor="background1"/>
          <w:bottom w:val="single" w:sz="4" w:space="0" w:color="auto"/>
          <w:right w:val="single" w:sz="4" w:space="0" w:color="FFFFFF" w:themeColor="background1"/>
          <w:insideH w:val="single" w:sz="4" w:space="0" w:color="auto"/>
          <w:insideV w:val="single" w:sz="4" w:space="0" w:color="FFFFFF" w:themeColor="background1"/>
        </w:tblBorders>
        <w:tblCellMar>
          <w:left w:w="0" w:type="dxa"/>
        </w:tblCellMar>
        <w:tblLook w:val="00A0" w:firstRow="1" w:lastRow="0" w:firstColumn="1" w:lastColumn="0" w:noHBand="0" w:noVBand="0"/>
      </w:tblPr>
      <w:tblGrid>
        <w:gridCol w:w="4260"/>
        <w:gridCol w:w="1534"/>
        <w:gridCol w:w="2162"/>
        <w:gridCol w:w="1683"/>
      </w:tblGrid>
      <w:tr w:rsidR="00FC6F4F" w:rsidRPr="002029AF" w14:paraId="37BDF9B8" w14:textId="77777777" w:rsidTr="008D70C0">
        <w:trPr>
          <w:cantSplit/>
          <w:trHeight w:val="270"/>
          <w:tblHeader/>
        </w:trPr>
        <w:tc>
          <w:tcPr>
            <w:tcW w:w="4260" w:type="dxa"/>
            <w:vAlign w:val="bottom"/>
          </w:tcPr>
          <w:p w14:paraId="268BCF03" w14:textId="77777777" w:rsidR="00FC6F4F" w:rsidRPr="002029AF" w:rsidRDefault="00FC6F4F" w:rsidP="00FC6F4F">
            <w:pPr>
              <w:pStyle w:val="ARtablecolhead"/>
            </w:pPr>
            <w:r w:rsidRPr="002029AF">
              <w:t>Total greenhouse gas emissions (tonnes CO</w:t>
            </w:r>
            <w:r w:rsidRPr="002029AF">
              <w:rPr>
                <w:vertAlign w:val="subscript"/>
              </w:rPr>
              <w:t>2</w:t>
            </w:r>
            <w:r w:rsidRPr="002029AF">
              <w:t>-e) associated with:</w:t>
            </w:r>
          </w:p>
        </w:tc>
        <w:tc>
          <w:tcPr>
            <w:tcW w:w="1534" w:type="dxa"/>
            <w:vAlign w:val="bottom"/>
          </w:tcPr>
          <w:p w14:paraId="5C915BE3" w14:textId="3C15C26E" w:rsidR="00FC6F4F" w:rsidRPr="002029AF" w:rsidRDefault="00FC6F4F" w:rsidP="00FC6F4F">
            <w:pPr>
              <w:pStyle w:val="ARtablecolheadright"/>
            </w:pPr>
            <w:r w:rsidRPr="002029AF">
              <w:t>20</w:t>
            </w:r>
            <w:r>
              <w:t>20</w:t>
            </w:r>
            <w:r w:rsidRPr="002029AF">
              <w:t>–2</w:t>
            </w:r>
            <w:r>
              <w:t xml:space="preserve">1 </w:t>
            </w:r>
            <w:r w:rsidRPr="002029AF">
              <w:t>estimate</w:t>
            </w:r>
          </w:p>
        </w:tc>
        <w:tc>
          <w:tcPr>
            <w:tcW w:w="2162" w:type="dxa"/>
            <w:vAlign w:val="bottom"/>
          </w:tcPr>
          <w:p w14:paraId="4F7EFD57" w14:textId="29D0D951" w:rsidR="00FC6F4F" w:rsidRPr="002029AF" w:rsidRDefault="00FC6F4F" w:rsidP="00FC6F4F">
            <w:pPr>
              <w:pStyle w:val="ARtablecolheadright"/>
            </w:pPr>
            <w:r w:rsidRPr="002029AF">
              <w:t>2019–20</w:t>
            </w:r>
            <w:r w:rsidRPr="002029AF">
              <w:br/>
              <w:t>estimate</w:t>
            </w:r>
          </w:p>
        </w:tc>
        <w:tc>
          <w:tcPr>
            <w:tcW w:w="1683" w:type="dxa"/>
            <w:vAlign w:val="bottom"/>
          </w:tcPr>
          <w:p w14:paraId="55C9BF55" w14:textId="4C2DCCB8" w:rsidR="00FC6F4F" w:rsidRPr="002029AF" w:rsidRDefault="00FC6F4F" w:rsidP="00FC6F4F">
            <w:pPr>
              <w:pStyle w:val="ARtablecolheadright"/>
            </w:pPr>
            <w:r w:rsidRPr="002029AF">
              <w:t>2018–19</w:t>
            </w:r>
            <w:r w:rsidRPr="002029AF">
              <w:br/>
              <w:t>estimate</w:t>
            </w:r>
          </w:p>
        </w:tc>
      </w:tr>
      <w:tr w:rsidR="00FC6F4F" w:rsidRPr="002029AF" w14:paraId="6EAF4459" w14:textId="77777777" w:rsidTr="008D70C0">
        <w:trPr>
          <w:cantSplit/>
          <w:trHeight w:val="270"/>
        </w:trPr>
        <w:tc>
          <w:tcPr>
            <w:tcW w:w="4260" w:type="dxa"/>
            <w:vAlign w:val="center"/>
          </w:tcPr>
          <w:p w14:paraId="0E21D985" w14:textId="77777777" w:rsidR="00FC6F4F" w:rsidRPr="002029AF" w:rsidRDefault="00FC6F4F" w:rsidP="00FC6F4F">
            <w:pPr>
              <w:pStyle w:val="ARtabletext"/>
            </w:pPr>
            <w:r w:rsidRPr="002029AF">
              <w:rPr>
                <w:color w:val="000000"/>
              </w:rPr>
              <w:t>Public hospitals energy use</w:t>
            </w:r>
          </w:p>
        </w:tc>
        <w:tc>
          <w:tcPr>
            <w:tcW w:w="1534" w:type="dxa"/>
            <w:vAlign w:val="center"/>
          </w:tcPr>
          <w:p w14:paraId="43A27658" w14:textId="77777777" w:rsidR="00FC6F4F" w:rsidRPr="002029AF" w:rsidRDefault="00FC6F4F" w:rsidP="00FC6F4F">
            <w:pPr>
              <w:pStyle w:val="ARtabletextright"/>
            </w:pPr>
            <w:r>
              <w:t>728,383</w:t>
            </w:r>
          </w:p>
        </w:tc>
        <w:tc>
          <w:tcPr>
            <w:tcW w:w="2162" w:type="dxa"/>
            <w:vAlign w:val="center"/>
          </w:tcPr>
          <w:p w14:paraId="4AA2DC32" w14:textId="77777777" w:rsidR="00FC6F4F" w:rsidRPr="002029AF" w:rsidRDefault="00FC6F4F" w:rsidP="00FC6F4F">
            <w:pPr>
              <w:pStyle w:val="ARtabletextright"/>
            </w:pPr>
            <w:r w:rsidRPr="002029AF">
              <w:t>7</w:t>
            </w:r>
            <w:r>
              <w:t>44</w:t>
            </w:r>
            <w:r w:rsidRPr="002029AF">
              <w:t>,</w:t>
            </w:r>
            <w:r>
              <w:t>750</w:t>
            </w:r>
          </w:p>
        </w:tc>
        <w:tc>
          <w:tcPr>
            <w:tcW w:w="1683" w:type="dxa"/>
            <w:vAlign w:val="center"/>
          </w:tcPr>
          <w:p w14:paraId="64E635EA" w14:textId="77777777" w:rsidR="00FC6F4F" w:rsidRPr="002029AF" w:rsidRDefault="00FC6F4F" w:rsidP="00FC6F4F">
            <w:pPr>
              <w:pStyle w:val="ARtabletextright"/>
            </w:pPr>
            <w:r>
              <w:t>786,446</w:t>
            </w:r>
          </w:p>
        </w:tc>
      </w:tr>
      <w:tr w:rsidR="00FC6F4F" w:rsidRPr="002029AF" w14:paraId="5E24AF82" w14:textId="77777777" w:rsidTr="008D70C0">
        <w:trPr>
          <w:cantSplit/>
          <w:trHeight w:val="270"/>
        </w:trPr>
        <w:tc>
          <w:tcPr>
            <w:tcW w:w="4260" w:type="dxa"/>
            <w:vAlign w:val="center"/>
          </w:tcPr>
          <w:p w14:paraId="54DDEB37" w14:textId="77777777" w:rsidR="00FC6F4F" w:rsidRPr="002029AF" w:rsidRDefault="00FC6F4F" w:rsidP="00FC6F4F">
            <w:pPr>
              <w:pStyle w:val="ARtabletext"/>
            </w:pPr>
            <w:r w:rsidRPr="6DD9571F">
              <w:rPr>
                <w:color w:val="000000" w:themeColor="text1"/>
              </w:rPr>
              <w:t>Housing services energy use</w:t>
            </w:r>
          </w:p>
        </w:tc>
        <w:tc>
          <w:tcPr>
            <w:tcW w:w="1534" w:type="dxa"/>
            <w:vAlign w:val="center"/>
          </w:tcPr>
          <w:p w14:paraId="60957193" w14:textId="77777777" w:rsidR="00FC6F4F" w:rsidRPr="002029AF" w:rsidRDefault="00FC6F4F" w:rsidP="00FC6F4F">
            <w:pPr>
              <w:pStyle w:val="ARtabletextright"/>
            </w:pPr>
            <w:r>
              <w:t>44</w:t>
            </w:r>
            <w:r w:rsidRPr="002029AF">
              <w:t>,</w:t>
            </w:r>
            <w:r>
              <w:t>002</w:t>
            </w:r>
          </w:p>
        </w:tc>
        <w:tc>
          <w:tcPr>
            <w:tcW w:w="2162" w:type="dxa"/>
            <w:vAlign w:val="center"/>
          </w:tcPr>
          <w:p w14:paraId="6032F103" w14:textId="77777777" w:rsidR="00FC6F4F" w:rsidRPr="002029AF" w:rsidRDefault="00FC6F4F" w:rsidP="00FC6F4F">
            <w:pPr>
              <w:pStyle w:val="ARtabletextright"/>
            </w:pPr>
            <w:r>
              <w:t>53</w:t>
            </w:r>
            <w:r w:rsidRPr="002029AF">
              <w:t>,3</w:t>
            </w:r>
            <w:r>
              <w:t>79</w:t>
            </w:r>
          </w:p>
        </w:tc>
        <w:tc>
          <w:tcPr>
            <w:tcW w:w="1683" w:type="dxa"/>
            <w:vAlign w:val="center"/>
          </w:tcPr>
          <w:p w14:paraId="1D54ED6A" w14:textId="77777777" w:rsidR="00FC6F4F" w:rsidRPr="002029AF" w:rsidRDefault="00FC6F4F" w:rsidP="00FC6F4F">
            <w:pPr>
              <w:pStyle w:val="ARtabletextright"/>
            </w:pPr>
            <w:r w:rsidRPr="002029AF">
              <w:t>63,464</w:t>
            </w:r>
          </w:p>
        </w:tc>
      </w:tr>
      <w:tr w:rsidR="00FC6F4F" w:rsidRPr="002029AF" w14:paraId="5BE6D8CC" w14:textId="77777777" w:rsidTr="008D70C0">
        <w:trPr>
          <w:cantSplit/>
          <w:trHeight w:val="270"/>
        </w:trPr>
        <w:tc>
          <w:tcPr>
            <w:tcW w:w="4260" w:type="dxa"/>
            <w:vAlign w:val="center"/>
          </w:tcPr>
          <w:p w14:paraId="406DEA50" w14:textId="77777777" w:rsidR="00FC6F4F" w:rsidRPr="002029AF" w:rsidRDefault="00FC6F4F" w:rsidP="00FC6F4F">
            <w:pPr>
              <w:pStyle w:val="ARtabletext"/>
            </w:pPr>
            <w:r w:rsidRPr="002029AF">
              <w:rPr>
                <w:color w:val="000000"/>
              </w:rPr>
              <w:t>Office-based energy use</w:t>
            </w:r>
          </w:p>
        </w:tc>
        <w:tc>
          <w:tcPr>
            <w:tcW w:w="1534" w:type="dxa"/>
            <w:vAlign w:val="center"/>
          </w:tcPr>
          <w:p w14:paraId="53C2E1F8" w14:textId="77777777" w:rsidR="00FC6F4F" w:rsidRPr="002029AF" w:rsidRDefault="00FC6F4F" w:rsidP="00FC6F4F">
            <w:pPr>
              <w:pStyle w:val="ARtabletextright"/>
            </w:pPr>
            <w:r w:rsidRPr="002029AF">
              <w:t>1</w:t>
            </w:r>
            <w:r>
              <w:t>2</w:t>
            </w:r>
            <w:r w:rsidRPr="002029AF">
              <w:t>,</w:t>
            </w:r>
            <w:r>
              <w:t>244</w:t>
            </w:r>
          </w:p>
        </w:tc>
        <w:tc>
          <w:tcPr>
            <w:tcW w:w="2162" w:type="dxa"/>
            <w:vAlign w:val="center"/>
          </w:tcPr>
          <w:p w14:paraId="7663B7F0" w14:textId="77777777" w:rsidR="00FC6F4F" w:rsidRPr="002029AF" w:rsidRDefault="00FC6F4F" w:rsidP="00FC6F4F">
            <w:pPr>
              <w:pStyle w:val="ARtabletextright"/>
            </w:pPr>
            <w:r w:rsidRPr="002029AF">
              <w:t>15,094</w:t>
            </w:r>
          </w:p>
        </w:tc>
        <w:tc>
          <w:tcPr>
            <w:tcW w:w="1683" w:type="dxa"/>
            <w:vAlign w:val="center"/>
          </w:tcPr>
          <w:p w14:paraId="6A947203" w14:textId="77777777" w:rsidR="00FC6F4F" w:rsidRPr="002029AF" w:rsidRDefault="00FC6F4F" w:rsidP="00FC6F4F">
            <w:pPr>
              <w:pStyle w:val="ARtabletextright"/>
            </w:pPr>
            <w:r w:rsidRPr="002029AF">
              <w:t>17,124</w:t>
            </w:r>
          </w:p>
        </w:tc>
      </w:tr>
      <w:tr w:rsidR="00FC6F4F" w:rsidRPr="002029AF" w14:paraId="789C390C" w14:textId="77777777" w:rsidTr="008D70C0">
        <w:trPr>
          <w:cantSplit/>
          <w:trHeight w:val="270"/>
        </w:trPr>
        <w:tc>
          <w:tcPr>
            <w:tcW w:w="4260" w:type="dxa"/>
            <w:vAlign w:val="center"/>
          </w:tcPr>
          <w:p w14:paraId="4217DFAD" w14:textId="77777777" w:rsidR="00FC6F4F" w:rsidRPr="002029AF" w:rsidRDefault="00FC6F4F" w:rsidP="00FC6F4F">
            <w:pPr>
              <w:pStyle w:val="ARtabletext"/>
            </w:pPr>
            <w:r w:rsidRPr="002029AF">
              <w:rPr>
                <w:color w:val="000000"/>
              </w:rPr>
              <w:t>Public hospitals nitrous oxide</w:t>
            </w:r>
          </w:p>
        </w:tc>
        <w:tc>
          <w:tcPr>
            <w:tcW w:w="1534" w:type="dxa"/>
            <w:vAlign w:val="center"/>
          </w:tcPr>
          <w:p w14:paraId="28ECDA53" w14:textId="77777777" w:rsidR="00FC6F4F" w:rsidRPr="002029AF" w:rsidRDefault="00FC6F4F" w:rsidP="00FC6F4F">
            <w:pPr>
              <w:pStyle w:val="ARtabletextright"/>
            </w:pPr>
            <w:r w:rsidRPr="002029AF">
              <w:t>15,8</w:t>
            </w:r>
            <w:r>
              <w:t>11</w:t>
            </w:r>
          </w:p>
        </w:tc>
        <w:tc>
          <w:tcPr>
            <w:tcW w:w="2162" w:type="dxa"/>
            <w:vAlign w:val="center"/>
          </w:tcPr>
          <w:p w14:paraId="218059E7" w14:textId="77777777" w:rsidR="00FC6F4F" w:rsidRPr="002029AF" w:rsidRDefault="00FC6F4F" w:rsidP="00FC6F4F">
            <w:pPr>
              <w:pStyle w:val="ARtabletextright"/>
            </w:pPr>
            <w:r w:rsidRPr="002029AF">
              <w:t>15,708</w:t>
            </w:r>
          </w:p>
        </w:tc>
        <w:tc>
          <w:tcPr>
            <w:tcW w:w="1683" w:type="dxa"/>
            <w:vAlign w:val="center"/>
          </w:tcPr>
          <w:p w14:paraId="5405ABCA" w14:textId="77777777" w:rsidR="00FC6F4F" w:rsidRPr="002029AF" w:rsidRDefault="00FC6F4F" w:rsidP="00FC6F4F">
            <w:pPr>
              <w:pStyle w:val="ARtabletextright"/>
            </w:pPr>
            <w:r w:rsidRPr="002029AF">
              <w:t>17,523</w:t>
            </w:r>
          </w:p>
        </w:tc>
      </w:tr>
      <w:tr w:rsidR="00FC6F4F" w:rsidRPr="002029AF" w14:paraId="072DB370" w14:textId="77777777" w:rsidTr="008D70C0">
        <w:trPr>
          <w:cantSplit/>
          <w:trHeight w:val="270"/>
        </w:trPr>
        <w:tc>
          <w:tcPr>
            <w:tcW w:w="4260" w:type="dxa"/>
            <w:vAlign w:val="center"/>
          </w:tcPr>
          <w:p w14:paraId="1C458B4E" w14:textId="77777777" w:rsidR="00FC6F4F" w:rsidRPr="00F87507" w:rsidRDefault="00FC6F4F" w:rsidP="00FC6F4F">
            <w:pPr>
              <w:pStyle w:val="ARtabletext"/>
            </w:pPr>
            <w:r w:rsidRPr="4760A802">
              <w:rPr>
                <w:color w:val="000000" w:themeColor="text1"/>
              </w:rPr>
              <w:t>Vehicle fleet and air travel</w:t>
            </w:r>
          </w:p>
        </w:tc>
        <w:tc>
          <w:tcPr>
            <w:tcW w:w="1534" w:type="dxa"/>
            <w:vAlign w:val="center"/>
          </w:tcPr>
          <w:p w14:paraId="32FDF23F" w14:textId="77777777" w:rsidR="00FC6F4F" w:rsidRPr="00F87507" w:rsidRDefault="00FC6F4F" w:rsidP="00FC6F4F">
            <w:pPr>
              <w:pStyle w:val="ARtabletextright"/>
            </w:pPr>
            <w:r>
              <w:t>2,837</w:t>
            </w:r>
          </w:p>
        </w:tc>
        <w:tc>
          <w:tcPr>
            <w:tcW w:w="2162" w:type="dxa"/>
            <w:vAlign w:val="center"/>
          </w:tcPr>
          <w:p w14:paraId="53433C98" w14:textId="77777777" w:rsidR="00FC6F4F" w:rsidRPr="002029AF" w:rsidRDefault="00FC6F4F" w:rsidP="00FC6F4F">
            <w:pPr>
              <w:pStyle w:val="ARtabletextright"/>
            </w:pPr>
            <w:r w:rsidRPr="002029AF">
              <w:t>7,008</w:t>
            </w:r>
          </w:p>
        </w:tc>
        <w:tc>
          <w:tcPr>
            <w:tcW w:w="1683" w:type="dxa"/>
            <w:vAlign w:val="center"/>
          </w:tcPr>
          <w:p w14:paraId="557867A9" w14:textId="77777777" w:rsidR="00FC6F4F" w:rsidRPr="002029AF" w:rsidRDefault="00FC6F4F" w:rsidP="00FC6F4F">
            <w:pPr>
              <w:pStyle w:val="ARtabletextright"/>
            </w:pPr>
            <w:r w:rsidRPr="002029AF">
              <w:t>10,543</w:t>
            </w:r>
          </w:p>
        </w:tc>
      </w:tr>
      <w:tr w:rsidR="00FC6F4F" w:rsidRPr="002029AF" w14:paraId="5C26D397" w14:textId="77777777" w:rsidTr="008D70C0">
        <w:trPr>
          <w:cantSplit/>
          <w:trHeight w:val="270"/>
        </w:trPr>
        <w:tc>
          <w:tcPr>
            <w:tcW w:w="4260" w:type="dxa"/>
            <w:vAlign w:val="center"/>
          </w:tcPr>
          <w:p w14:paraId="7F497885" w14:textId="77777777" w:rsidR="00FC6F4F" w:rsidRPr="002029AF" w:rsidRDefault="00FC6F4F" w:rsidP="00FC6F4F">
            <w:pPr>
              <w:pStyle w:val="ARtabletext"/>
            </w:pPr>
            <w:r w:rsidRPr="002029AF">
              <w:rPr>
                <w:color w:val="000000"/>
              </w:rPr>
              <w:t>Hospital emergency transport</w:t>
            </w:r>
          </w:p>
        </w:tc>
        <w:tc>
          <w:tcPr>
            <w:tcW w:w="1534" w:type="dxa"/>
            <w:vAlign w:val="center"/>
          </w:tcPr>
          <w:p w14:paraId="40A1864B" w14:textId="77777777" w:rsidR="00FC6F4F" w:rsidRPr="002029AF" w:rsidRDefault="00FC6F4F" w:rsidP="00FC6F4F">
            <w:pPr>
              <w:pStyle w:val="ARtabletextright"/>
            </w:pPr>
            <w:r>
              <w:t>24,465</w:t>
            </w:r>
          </w:p>
        </w:tc>
        <w:tc>
          <w:tcPr>
            <w:tcW w:w="2162" w:type="dxa"/>
            <w:vAlign w:val="center"/>
          </w:tcPr>
          <w:p w14:paraId="0FA9CE61" w14:textId="77777777" w:rsidR="00FC6F4F" w:rsidRPr="002029AF" w:rsidRDefault="00FC6F4F" w:rsidP="00FC6F4F">
            <w:pPr>
              <w:pStyle w:val="ARtabletextright"/>
            </w:pPr>
            <w:r w:rsidRPr="002029AF">
              <w:t>2</w:t>
            </w:r>
            <w:r>
              <w:t>2</w:t>
            </w:r>
            <w:r w:rsidRPr="002029AF">
              <w:t>,</w:t>
            </w:r>
            <w:r>
              <w:t>994</w:t>
            </w:r>
          </w:p>
        </w:tc>
        <w:tc>
          <w:tcPr>
            <w:tcW w:w="1683" w:type="dxa"/>
            <w:vAlign w:val="center"/>
          </w:tcPr>
          <w:p w14:paraId="005F1EA2" w14:textId="77777777" w:rsidR="00FC6F4F" w:rsidRPr="002029AF" w:rsidRDefault="00FC6F4F" w:rsidP="00FC6F4F">
            <w:pPr>
              <w:pStyle w:val="ARtabletextright"/>
            </w:pPr>
            <w:r w:rsidRPr="002029AF">
              <w:t>23,8</w:t>
            </w:r>
            <w:r>
              <w:t>12</w:t>
            </w:r>
          </w:p>
        </w:tc>
      </w:tr>
      <w:tr w:rsidR="00FC6F4F" w:rsidRPr="002029AF" w14:paraId="6C830B9B" w14:textId="77777777" w:rsidTr="008D70C0">
        <w:trPr>
          <w:cantSplit/>
          <w:trHeight w:val="270"/>
        </w:trPr>
        <w:tc>
          <w:tcPr>
            <w:tcW w:w="4260" w:type="dxa"/>
            <w:vAlign w:val="center"/>
          </w:tcPr>
          <w:p w14:paraId="58901E2C" w14:textId="77777777" w:rsidR="00FC6F4F" w:rsidRPr="002029AF" w:rsidRDefault="00FC6F4F" w:rsidP="00FC6F4F">
            <w:pPr>
              <w:pStyle w:val="ARtabletext"/>
            </w:pPr>
            <w:r w:rsidRPr="002029AF">
              <w:rPr>
                <w:color w:val="000000"/>
              </w:rPr>
              <w:t>Public hospital waste production</w:t>
            </w:r>
          </w:p>
        </w:tc>
        <w:tc>
          <w:tcPr>
            <w:tcW w:w="1534" w:type="dxa"/>
            <w:vAlign w:val="center"/>
          </w:tcPr>
          <w:p w14:paraId="2BE26FCD" w14:textId="77777777" w:rsidR="00FC6F4F" w:rsidRPr="002029AF" w:rsidRDefault="00FC6F4F" w:rsidP="00FC6F4F">
            <w:pPr>
              <w:pStyle w:val="ARtabletextright"/>
            </w:pPr>
            <w:r>
              <w:t>38</w:t>
            </w:r>
            <w:r w:rsidRPr="002029AF">
              <w:t>,</w:t>
            </w:r>
            <w:r>
              <w:t>607</w:t>
            </w:r>
          </w:p>
        </w:tc>
        <w:tc>
          <w:tcPr>
            <w:tcW w:w="2162" w:type="dxa"/>
            <w:vAlign w:val="center"/>
          </w:tcPr>
          <w:p w14:paraId="28E7E1F1" w14:textId="77777777" w:rsidR="00FC6F4F" w:rsidRPr="002029AF" w:rsidRDefault="00FC6F4F" w:rsidP="00FC6F4F">
            <w:pPr>
              <w:pStyle w:val="ARtabletextright"/>
            </w:pPr>
            <w:r>
              <w:t>32</w:t>
            </w:r>
            <w:r w:rsidRPr="002029AF">
              <w:t>,</w:t>
            </w:r>
            <w:r>
              <w:t>161</w:t>
            </w:r>
          </w:p>
        </w:tc>
        <w:tc>
          <w:tcPr>
            <w:tcW w:w="1683" w:type="dxa"/>
            <w:vAlign w:val="center"/>
          </w:tcPr>
          <w:p w14:paraId="62D3A58D" w14:textId="77777777" w:rsidR="00FC6F4F" w:rsidRPr="002029AF" w:rsidRDefault="00FC6F4F" w:rsidP="00FC6F4F">
            <w:pPr>
              <w:pStyle w:val="ARtabletextright"/>
            </w:pPr>
            <w:r w:rsidRPr="002029AF">
              <w:t>3</w:t>
            </w:r>
            <w:r>
              <w:t>3</w:t>
            </w:r>
            <w:r w:rsidRPr="002029AF">
              <w:t>,</w:t>
            </w:r>
            <w:r>
              <w:t>854</w:t>
            </w:r>
          </w:p>
        </w:tc>
      </w:tr>
      <w:tr w:rsidR="00FC6F4F" w:rsidRPr="002029AF" w14:paraId="7C8DE177" w14:textId="77777777" w:rsidTr="008D70C0">
        <w:trPr>
          <w:cantSplit/>
          <w:trHeight w:val="270"/>
        </w:trPr>
        <w:tc>
          <w:tcPr>
            <w:tcW w:w="4260" w:type="dxa"/>
            <w:vAlign w:val="center"/>
          </w:tcPr>
          <w:p w14:paraId="7A611D09" w14:textId="77777777" w:rsidR="00FC6F4F" w:rsidRPr="002029AF" w:rsidRDefault="00FC6F4F" w:rsidP="00FC6F4F">
            <w:pPr>
              <w:pStyle w:val="ARtabletext"/>
            </w:pPr>
            <w:r w:rsidRPr="002029AF">
              <w:rPr>
                <w:color w:val="000000"/>
              </w:rPr>
              <w:t>Health services vehicle fleet</w:t>
            </w:r>
          </w:p>
        </w:tc>
        <w:tc>
          <w:tcPr>
            <w:tcW w:w="1534" w:type="dxa"/>
            <w:vAlign w:val="center"/>
          </w:tcPr>
          <w:p w14:paraId="7AA3D97A" w14:textId="77777777" w:rsidR="00FC6F4F" w:rsidRPr="002029AF" w:rsidRDefault="00FC6F4F" w:rsidP="00FC6F4F">
            <w:pPr>
              <w:pStyle w:val="ARtabletextright"/>
            </w:pPr>
            <w:r>
              <w:t>5,192</w:t>
            </w:r>
          </w:p>
        </w:tc>
        <w:tc>
          <w:tcPr>
            <w:tcW w:w="2162" w:type="dxa"/>
            <w:vAlign w:val="center"/>
          </w:tcPr>
          <w:p w14:paraId="7ADB1D38" w14:textId="77777777" w:rsidR="00FC6F4F" w:rsidRPr="002029AF" w:rsidRDefault="00FC6F4F" w:rsidP="00FC6F4F">
            <w:pPr>
              <w:pStyle w:val="ARtabletextright"/>
            </w:pPr>
            <w:r>
              <w:t>5,453</w:t>
            </w:r>
          </w:p>
        </w:tc>
        <w:tc>
          <w:tcPr>
            <w:tcW w:w="1683" w:type="dxa"/>
            <w:vAlign w:val="center"/>
          </w:tcPr>
          <w:p w14:paraId="42FCEFF2" w14:textId="77777777" w:rsidR="00FC6F4F" w:rsidRPr="002029AF" w:rsidRDefault="00FC6F4F" w:rsidP="00FC6F4F">
            <w:pPr>
              <w:pStyle w:val="ARtabletextright"/>
            </w:pPr>
            <w:r w:rsidRPr="002029AF">
              <w:t>6,</w:t>
            </w:r>
            <w:r>
              <w:t>151</w:t>
            </w:r>
          </w:p>
        </w:tc>
      </w:tr>
      <w:tr w:rsidR="00FC6F4F" w:rsidRPr="002029AF" w14:paraId="62E0A2EA" w14:textId="77777777" w:rsidTr="008D70C0">
        <w:trPr>
          <w:cantSplit/>
          <w:trHeight w:val="270"/>
        </w:trPr>
        <w:tc>
          <w:tcPr>
            <w:tcW w:w="4260" w:type="dxa"/>
            <w:vAlign w:val="center"/>
          </w:tcPr>
          <w:p w14:paraId="6A0F882A" w14:textId="77777777" w:rsidR="00FC6F4F" w:rsidRPr="002029AF" w:rsidRDefault="00FC6F4F" w:rsidP="00FC6F4F">
            <w:pPr>
              <w:pStyle w:val="ARtabletext"/>
            </w:pPr>
            <w:r w:rsidRPr="002029AF">
              <w:rPr>
                <w:color w:val="000000"/>
              </w:rPr>
              <w:t>Office-based paper and waste production</w:t>
            </w:r>
          </w:p>
        </w:tc>
        <w:tc>
          <w:tcPr>
            <w:tcW w:w="1534" w:type="dxa"/>
            <w:vAlign w:val="center"/>
          </w:tcPr>
          <w:p w14:paraId="70E7AFDC" w14:textId="77777777" w:rsidR="00FC6F4F" w:rsidRPr="002029AF" w:rsidRDefault="00FC6F4F" w:rsidP="00FC6F4F">
            <w:pPr>
              <w:pStyle w:val="ARtabletextright"/>
            </w:pPr>
            <w:r>
              <w:t>322</w:t>
            </w:r>
          </w:p>
        </w:tc>
        <w:tc>
          <w:tcPr>
            <w:tcW w:w="2162" w:type="dxa"/>
            <w:vAlign w:val="center"/>
          </w:tcPr>
          <w:p w14:paraId="03528DC0" w14:textId="77777777" w:rsidR="00FC6F4F" w:rsidRPr="002029AF" w:rsidRDefault="00FC6F4F" w:rsidP="00FC6F4F">
            <w:pPr>
              <w:pStyle w:val="ARtabletextright"/>
            </w:pPr>
            <w:r w:rsidRPr="002029AF">
              <w:t>558</w:t>
            </w:r>
          </w:p>
        </w:tc>
        <w:tc>
          <w:tcPr>
            <w:tcW w:w="1683" w:type="dxa"/>
            <w:vAlign w:val="center"/>
          </w:tcPr>
          <w:p w14:paraId="1114B7EC" w14:textId="77777777" w:rsidR="00FC6F4F" w:rsidRPr="002029AF" w:rsidRDefault="00FC6F4F" w:rsidP="00FC6F4F">
            <w:pPr>
              <w:pStyle w:val="ARtabletextright"/>
            </w:pPr>
            <w:r w:rsidRPr="002029AF">
              <w:t>744</w:t>
            </w:r>
          </w:p>
        </w:tc>
      </w:tr>
      <w:tr w:rsidR="00FC6F4F" w:rsidRPr="002029AF" w14:paraId="74DAA1BE" w14:textId="77777777" w:rsidTr="008D70C0">
        <w:trPr>
          <w:cantSplit/>
          <w:trHeight w:val="270"/>
        </w:trPr>
        <w:tc>
          <w:tcPr>
            <w:tcW w:w="4260" w:type="dxa"/>
            <w:vAlign w:val="center"/>
          </w:tcPr>
          <w:p w14:paraId="5ED6D51B" w14:textId="77777777" w:rsidR="00FC6F4F" w:rsidRPr="002029AF" w:rsidRDefault="00FC6F4F" w:rsidP="00FC6F4F">
            <w:pPr>
              <w:pStyle w:val="ARtabletext"/>
              <w:rPr>
                <w:b/>
              </w:rPr>
            </w:pPr>
            <w:r w:rsidRPr="55B503E1">
              <w:rPr>
                <w:b/>
                <w:color w:val="000000" w:themeColor="text1"/>
              </w:rPr>
              <w:t>Total</w:t>
            </w:r>
          </w:p>
        </w:tc>
        <w:tc>
          <w:tcPr>
            <w:tcW w:w="1534" w:type="dxa"/>
            <w:vAlign w:val="center"/>
          </w:tcPr>
          <w:p w14:paraId="72BA4E70" w14:textId="77777777" w:rsidR="00FC6F4F" w:rsidRPr="002029AF" w:rsidRDefault="00FC6F4F" w:rsidP="00FC6F4F">
            <w:pPr>
              <w:pStyle w:val="ARtabletextrightbold"/>
            </w:pPr>
            <w:r>
              <w:t>871,863</w:t>
            </w:r>
          </w:p>
        </w:tc>
        <w:tc>
          <w:tcPr>
            <w:tcW w:w="2162" w:type="dxa"/>
            <w:vAlign w:val="center"/>
          </w:tcPr>
          <w:p w14:paraId="70601286" w14:textId="77777777" w:rsidR="00FC6F4F" w:rsidRPr="002029AF" w:rsidRDefault="00FC6F4F" w:rsidP="00FC6F4F">
            <w:pPr>
              <w:pStyle w:val="ARtabletextrightbold"/>
            </w:pPr>
            <w:r>
              <w:t>897,105</w:t>
            </w:r>
          </w:p>
        </w:tc>
        <w:tc>
          <w:tcPr>
            <w:tcW w:w="1683" w:type="dxa"/>
            <w:vAlign w:val="center"/>
          </w:tcPr>
          <w:p w14:paraId="30B397FD" w14:textId="77777777" w:rsidR="00FC6F4F" w:rsidRPr="002029AF" w:rsidRDefault="00FC6F4F" w:rsidP="00FC6F4F">
            <w:pPr>
              <w:pStyle w:val="ARtabletextrightbold"/>
            </w:pPr>
            <w:r>
              <w:t>959,661</w:t>
            </w:r>
          </w:p>
        </w:tc>
      </w:tr>
    </w:tbl>
    <w:p w14:paraId="027BF841" w14:textId="77777777" w:rsidR="00FC6F4F" w:rsidRPr="002029AF" w:rsidRDefault="00FC6F4F" w:rsidP="00897193">
      <w:pPr>
        <w:pStyle w:val="ARtablefootnote"/>
      </w:pPr>
      <w:r w:rsidRPr="002029AF">
        <w:t>Greenhouse gas emissions have been calculated in accordance with the National Greenhouse and Energy Reporting (Measurement) Determination 2008 (Schedule 1), the National Greenhouse Accounts Factors August 20</w:t>
      </w:r>
      <w:r>
        <w:t>20</w:t>
      </w:r>
      <w:r w:rsidRPr="002029AF">
        <w:t xml:space="preserve"> revision, and Financial Reporting Directive 24D guidelines.</w:t>
      </w:r>
    </w:p>
    <w:p w14:paraId="68EF7D66" w14:textId="2CCF292D" w:rsidR="00FC6F4F" w:rsidRPr="002029AF" w:rsidRDefault="00FC6F4F" w:rsidP="00897193">
      <w:pPr>
        <w:pStyle w:val="ARtablefootnote"/>
      </w:pPr>
      <w:r w:rsidRPr="002029AF">
        <w:t>Greenhouse gas emissions from paper procurement have been calculated in accordance with EPA Victoria</w:t>
      </w:r>
      <w:r w:rsidR="007D145B">
        <w:t>’</w:t>
      </w:r>
      <w:r w:rsidRPr="002029AF">
        <w:t xml:space="preserve">s </w:t>
      </w:r>
      <w:r w:rsidRPr="002029AF">
        <w:rPr>
          <w:i/>
          <w:iCs/>
        </w:rPr>
        <w:t>Greenhouse gas</w:t>
      </w:r>
      <w:r w:rsidR="00852779">
        <w:rPr>
          <w:i/>
          <w:iCs/>
        </w:rPr>
        <w:t xml:space="preserve"> i</w:t>
      </w:r>
      <w:r w:rsidRPr="002029AF">
        <w:rPr>
          <w:i/>
          <w:iCs/>
        </w:rPr>
        <w:t>nventory management plan 2012–13</w:t>
      </w:r>
      <w:r w:rsidRPr="002029AF">
        <w:t>.</w:t>
      </w:r>
    </w:p>
    <w:p w14:paraId="46AA9D34" w14:textId="77777777" w:rsidR="00FC6F4F" w:rsidRPr="002029AF" w:rsidRDefault="00FC6F4F" w:rsidP="00897193">
      <w:pPr>
        <w:pStyle w:val="ARtablefootnote"/>
      </w:pPr>
      <w:r w:rsidRPr="002029AF">
        <w:t>Greenhouse gas emissions from air travel are provided by the supplier of travel management services under the state purchase contract.</w:t>
      </w:r>
    </w:p>
    <w:p w14:paraId="1A5DBAFF" w14:textId="77777777" w:rsidR="00FC6F4F" w:rsidRPr="002029AF" w:rsidRDefault="00FC6F4F" w:rsidP="00897193">
      <w:pPr>
        <w:pStyle w:val="ARtablefootnote"/>
      </w:pPr>
      <w:r w:rsidRPr="002029AF">
        <w:t>Figures in previous years have been adjusted to include the most up-to-date data. Figures may differ from those estimated in previous years as a result.</w:t>
      </w:r>
    </w:p>
    <w:p w14:paraId="18DB79B8" w14:textId="77777777" w:rsidR="00FC6F4F" w:rsidRPr="002029AF" w:rsidRDefault="00FC6F4F" w:rsidP="00897193">
      <w:pPr>
        <w:pStyle w:val="ARtablefootnote"/>
      </w:pPr>
      <w:r>
        <w:t>1 gigajoule equates to 1,000 megajoules.</w:t>
      </w:r>
    </w:p>
    <w:p w14:paraId="36D93A59" w14:textId="77777777" w:rsidR="00FC6F4F" w:rsidRPr="002029AF" w:rsidRDefault="00FC6F4F" w:rsidP="001C1AB1">
      <w:pPr>
        <w:pStyle w:val="Heading4"/>
      </w:pPr>
      <w:bookmarkStart w:id="640" w:name="_Toc85121314"/>
      <w:r w:rsidRPr="002029AF">
        <w:t>Staff and building reference data</w:t>
      </w:r>
      <w:bookmarkEnd w:id="640"/>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5028"/>
        <w:gridCol w:w="1574"/>
        <w:gridCol w:w="1521"/>
        <w:gridCol w:w="1516"/>
      </w:tblGrid>
      <w:tr w:rsidR="00FC6F4F" w:rsidRPr="002029AF" w14:paraId="2292B223" w14:textId="77777777" w:rsidTr="00FC6F4F">
        <w:trPr>
          <w:cantSplit/>
          <w:trHeight w:val="525"/>
          <w:tblHeader/>
        </w:trPr>
        <w:tc>
          <w:tcPr>
            <w:tcW w:w="5028" w:type="dxa"/>
            <w:vAlign w:val="bottom"/>
          </w:tcPr>
          <w:p w14:paraId="46A02C24" w14:textId="77777777" w:rsidR="00FC6F4F" w:rsidRPr="002029AF" w:rsidRDefault="00FC6F4F" w:rsidP="00897193">
            <w:pPr>
              <w:pStyle w:val="ARtablecolhead"/>
            </w:pPr>
            <w:r w:rsidRPr="002029AF">
              <w:t>Description</w:t>
            </w:r>
          </w:p>
        </w:tc>
        <w:tc>
          <w:tcPr>
            <w:tcW w:w="1574" w:type="dxa"/>
            <w:vAlign w:val="bottom"/>
          </w:tcPr>
          <w:p w14:paraId="09CA49AF" w14:textId="77777777" w:rsidR="00FC6F4F" w:rsidRPr="002029AF" w:rsidRDefault="00FC6F4F" w:rsidP="00897193">
            <w:pPr>
              <w:pStyle w:val="ARtablecolheadright"/>
            </w:pPr>
            <w:r w:rsidRPr="002029AF">
              <w:t>Government-owned buildings</w:t>
            </w:r>
          </w:p>
        </w:tc>
        <w:tc>
          <w:tcPr>
            <w:tcW w:w="1521" w:type="dxa"/>
            <w:vAlign w:val="bottom"/>
          </w:tcPr>
          <w:p w14:paraId="30796191" w14:textId="77777777" w:rsidR="00FC6F4F" w:rsidRPr="002029AF" w:rsidRDefault="00FC6F4F" w:rsidP="00897193">
            <w:pPr>
              <w:pStyle w:val="ARtablecolheadright"/>
            </w:pPr>
            <w:r w:rsidRPr="002029AF">
              <w:t>Leased</w:t>
            </w:r>
            <w:r w:rsidRPr="002029AF">
              <w:br/>
              <w:t>buildings</w:t>
            </w:r>
          </w:p>
        </w:tc>
        <w:tc>
          <w:tcPr>
            <w:tcW w:w="1516" w:type="dxa"/>
            <w:vAlign w:val="bottom"/>
          </w:tcPr>
          <w:p w14:paraId="3BA0CAD9" w14:textId="77777777" w:rsidR="00FC6F4F" w:rsidRPr="002029AF" w:rsidRDefault="00FC6F4F" w:rsidP="00897193">
            <w:pPr>
              <w:pStyle w:val="ARtablecolheadright"/>
            </w:pPr>
            <w:r w:rsidRPr="002029AF">
              <w:t>Total</w:t>
            </w:r>
          </w:p>
        </w:tc>
      </w:tr>
      <w:tr w:rsidR="00FC6F4F" w:rsidRPr="002029AF" w14:paraId="56665A47" w14:textId="77777777" w:rsidTr="00FC6F4F">
        <w:trPr>
          <w:cantSplit/>
          <w:trHeight w:val="270"/>
        </w:trPr>
        <w:tc>
          <w:tcPr>
            <w:tcW w:w="5028" w:type="dxa"/>
          </w:tcPr>
          <w:p w14:paraId="70C8B13E" w14:textId="77777777" w:rsidR="00FC6F4F" w:rsidRPr="002029AF" w:rsidRDefault="00FC6F4F" w:rsidP="00897193">
            <w:pPr>
              <w:pStyle w:val="ARtabletext"/>
            </w:pPr>
            <w:r w:rsidRPr="002029AF">
              <w:t>Office-based FTE</w:t>
            </w:r>
            <w:r>
              <w:t xml:space="preserve"> DH</w:t>
            </w:r>
          </w:p>
        </w:tc>
        <w:tc>
          <w:tcPr>
            <w:tcW w:w="1574" w:type="dxa"/>
            <w:vAlign w:val="center"/>
          </w:tcPr>
          <w:p w14:paraId="5E449121" w14:textId="77777777" w:rsidR="00FC6F4F" w:rsidRPr="002029AF" w:rsidRDefault="00FC6F4F" w:rsidP="00897193">
            <w:pPr>
              <w:pStyle w:val="ARtabletextright"/>
            </w:pPr>
          </w:p>
        </w:tc>
        <w:tc>
          <w:tcPr>
            <w:tcW w:w="1521" w:type="dxa"/>
            <w:vAlign w:val="center"/>
          </w:tcPr>
          <w:p w14:paraId="078097B4" w14:textId="77777777" w:rsidR="00FC6F4F" w:rsidRPr="002029AF" w:rsidRDefault="00FC6F4F" w:rsidP="00897193">
            <w:pPr>
              <w:pStyle w:val="ARtabletextright"/>
            </w:pPr>
            <w:r>
              <w:t>3993</w:t>
            </w:r>
          </w:p>
        </w:tc>
        <w:tc>
          <w:tcPr>
            <w:tcW w:w="1516" w:type="dxa"/>
            <w:vAlign w:val="center"/>
          </w:tcPr>
          <w:p w14:paraId="6B487967" w14:textId="77777777" w:rsidR="00FC6F4F" w:rsidRPr="002029AF" w:rsidRDefault="00FC6F4F" w:rsidP="00897193">
            <w:pPr>
              <w:pStyle w:val="ARtabletextright"/>
            </w:pPr>
            <w:r>
              <w:t>3993</w:t>
            </w:r>
          </w:p>
        </w:tc>
      </w:tr>
      <w:tr w:rsidR="00FC6F4F" w:rsidRPr="002029AF" w14:paraId="4E9EB4DA" w14:textId="77777777" w:rsidTr="00FC6F4F">
        <w:trPr>
          <w:cantSplit/>
          <w:trHeight w:val="270"/>
        </w:trPr>
        <w:tc>
          <w:tcPr>
            <w:tcW w:w="5028" w:type="dxa"/>
          </w:tcPr>
          <w:p w14:paraId="2FA24B5B" w14:textId="77777777" w:rsidR="00FC6F4F" w:rsidRPr="002029AF" w:rsidRDefault="00FC6F4F" w:rsidP="00897193">
            <w:pPr>
              <w:pStyle w:val="ARtabletext"/>
            </w:pPr>
            <w:r>
              <w:t>Office-based FTE DFFH</w:t>
            </w:r>
          </w:p>
        </w:tc>
        <w:tc>
          <w:tcPr>
            <w:tcW w:w="1574" w:type="dxa"/>
            <w:vAlign w:val="center"/>
          </w:tcPr>
          <w:p w14:paraId="0031BBAD" w14:textId="77777777" w:rsidR="00FC6F4F" w:rsidRPr="002029AF" w:rsidRDefault="00FC6F4F" w:rsidP="00897193">
            <w:pPr>
              <w:pStyle w:val="ARtabletextright"/>
            </w:pPr>
            <w:r>
              <w:t>709</w:t>
            </w:r>
          </w:p>
        </w:tc>
        <w:tc>
          <w:tcPr>
            <w:tcW w:w="1521" w:type="dxa"/>
            <w:vAlign w:val="center"/>
          </w:tcPr>
          <w:p w14:paraId="0EF9989E" w14:textId="77777777" w:rsidR="00FC6F4F" w:rsidRPr="002029AF" w:rsidRDefault="00FC6F4F" w:rsidP="00897193">
            <w:pPr>
              <w:pStyle w:val="ARtabletextright"/>
            </w:pPr>
            <w:r>
              <w:t>5180</w:t>
            </w:r>
          </w:p>
        </w:tc>
        <w:tc>
          <w:tcPr>
            <w:tcW w:w="1516" w:type="dxa"/>
            <w:vAlign w:val="center"/>
          </w:tcPr>
          <w:p w14:paraId="1860A4CB" w14:textId="77777777" w:rsidR="00FC6F4F" w:rsidRPr="002029AF" w:rsidRDefault="00FC6F4F" w:rsidP="00897193">
            <w:pPr>
              <w:pStyle w:val="ARtabletextright"/>
            </w:pPr>
            <w:r>
              <w:t>5889</w:t>
            </w:r>
          </w:p>
        </w:tc>
      </w:tr>
      <w:tr w:rsidR="00FC6F4F" w:rsidRPr="002029AF" w14:paraId="0327000B" w14:textId="77777777" w:rsidTr="00FC6F4F">
        <w:trPr>
          <w:cantSplit/>
          <w:trHeight w:val="270"/>
        </w:trPr>
        <w:tc>
          <w:tcPr>
            <w:tcW w:w="5028" w:type="dxa"/>
          </w:tcPr>
          <w:p w14:paraId="398CE891" w14:textId="77777777" w:rsidR="00FC6F4F" w:rsidRPr="002029AF" w:rsidRDefault="00FC6F4F" w:rsidP="00897193">
            <w:pPr>
              <w:pStyle w:val="ARtabletext"/>
            </w:pPr>
            <w:r>
              <w:t>Statutory Bodies</w:t>
            </w:r>
            <w:r w:rsidRPr="002029AF">
              <w:t xml:space="preserve"> FTE</w:t>
            </w:r>
          </w:p>
        </w:tc>
        <w:tc>
          <w:tcPr>
            <w:tcW w:w="1574" w:type="dxa"/>
            <w:vAlign w:val="center"/>
          </w:tcPr>
          <w:p w14:paraId="6DC2D8C4" w14:textId="77777777" w:rsidR="00FC6F4F" w:rsidRPr="002029AF" w:rsidRDefault="00FC6F4F" w:rsidP="00897193">
            <w:pPr>
              <w:pStyle w:val="ARtabletextright"/>
            </w:pPr>
          </w:p>
        </w:tc>
        <w:tc>
          <w:tcPr>
            <w:tcW w:w="1521" w:type="dxa"/>
            <w:vAlign w:val="center"/>
          </w:tcPr>
          <w:p w14:paraId="6702CC17" w14:textId="77777777" w:rsidR="00FC6F4F" w:rsidRPr="002029AF" w:rsidRDefault="00FC6F4F" w:rsidP="00897193">
            <w:pPr>
              <w:pStyle w:val="ARtabletextright"/>
            </w:pPr>
            <w:r>
              <w:t>626</w:t>
            </w:r>
          </w:p>
        </w:tc>
        <w:tc>
          <w:tcPr>
            <w:tcW w:w="1516" w:type="dxa"/>
            <w:vAlign w:val="center"/>
          </w:tcPr>
          <w:p w14:paraId="715C75FB" w14:textId="77777777" w:rsidR="00FC6F4F" w:rsidRPr="002029AF" w:rsidRDefault="00FC6F4F" w:rsidP="00897193">
            <w:pPr>
              <w:pStyle w:val="ARtabletextright"/>
            </w:pPr>
            <w:r>
              <w:t>626</w:t>
            </w:r>
          </w:p>
        </w:tc>
      </w:tr>
      <w:tr w:rsidR="00FC6F4F" w:rsidRPr="002029AF" w14:paraId="014EBB89" w14:textId="77777777" w:rsidTr="00FC6F4F">
        <w:trPr>
          <w:cantSplit/>
          <w:trHeight w:val="270"/>
        </w:trPr>
        <w:tc>
          <w:tcPr>
            <w:tcW w:w="5028" w:type="dxa"/>
          </w:tcPr>
          <w:p w14:paraId="0A39622B" w14:textId="77777777" w:rsidR="00FC6F4F" w:rsidRPr="002029AF" w:rsidRDefault="00FC6F4F" w:rsidP="00897193">
            <w:pPr>
              <w:pStyle w:val="ARtabletext"/>
              <w:rPr>
                <w:b/>
              </w:rPr>
            </w:pPr>
            <w:r w:rsidRPr="002029AF">
              <w:rPr>
                <w:b/>
              </w:rPr>
              <w:t>Total FTE</w:t>
            </w:r>
          </w:p>
        </w:tc>
        <w:tc>
          <w:tcPr>
            <w:tcW w:w="1574" w:type="dxa"/>
            <w:vAlign w:val="center"/>
          </w:tcPr>
          <w:p w14:paraId="5677B9A1" w14:textId="77777777" w:rsidR="00FC6F4F" w:rsidRPr="002029AF" w:rsidRDefault="00FC6F4F" w:rsidP="00897193">
            <w:pPr>
              <w:pStyle w:val="ARtabletextright"/>
            </w:pPr>
          </w:p>
        </w:tc>
        <w:tc>
          <w:tcPr>
            <w:tcW w:w="1521" w:type="dxa"/>
            <w:vAlign w:val="center"/>
          </w:tcPr>
          <w:p w14:paraId="4A193430" w14:textId="77777777" w:rsidR="00FC6F4F" w:rsidRPr="002029AF" w:rsidRDefault="00FC6F4F" w:rsidP="00897193">
            <w:pPr>
              <w:pStyle w:val="ARtabletextright"/>
            </w:pPr>
          </w:p>
        </w:tc>
        <w:tc>
          <w:tcPr>
            <w:tcW w:w="1516" w:type="dxa"/>
            <w:vAlign w:val="center"/>
          </w:tcPr>
          <w:p w14:paraId="43F3F6C5" w14:textId="77777777" w:rsidR="00FC6F4F" w:rsidRPr="002029AF" w:rsidRDefault="00FC6F4F" w:rsidP="00897193">
            <w:pPr>
              <w:pStyle w:val="ARtabletextrightbold"/>
            </w:pPr>
            <w:r>
              <w:t>10</w:t>
            </w:r>
            <w:r w:rsidRPr="002029AF">
              <w:t>,</w:t>
            </w:r>
            <w:r>
              <w:t>508</w:t>
            </w:r>
            <w:r w:rsidRPr="002029AF">
              <w:t>.0</w:t>
            </w:r>
          </w:p>
        </w:tc>
      </w:tr>
      <w:tr w:rsidR="00FC6F4F" w:rsidRPr="002029AF" w14:paraId="61226EE5" w14:textId="77777777" w:rsidTr="00FC6F4F">
        <w:trPr>
          <w:cantSplit/>
          <w:trHeight w:val="270"/>
        </w:trPr>
        <w:tc>
          <w:tcPr>
            <w:tcW w:w="5028" w:type="dxa"/>
          </w:tcPr>
          <w:p w14:paraId="447D33B0" w14:textId="77777777" w:rsidR="00FC6F4F" w:rsidRPr="002029AF" w:rsidRDefault="00FC6F4F" w:rsidP="00897193">
            <w:pPr>
              <w:pStyle w:val="ARtabletext"/>
            </w:pPr>
            <w:r w:rsidRPr="002029AF">
              <w:t>Number of office-based sites</w:t>
            </w:r>
          </w:p>
        </w:tc>
        <w:tc>
          <w:tcPr>
            <w:tcW w:w="1574" w:type="dxa"/>
            <w:vAlign w:val="center"/>
          </w:tcPr>
          <w:p w14:paraId="1234B445" w14:textId="77777777" w:rsidR="00FC6F4F" w:rsidRPr="002029AF" w:rsidRDefault="00FC6F4F" w:rsidP="00897193">
            <w:pPr>
              <w:pStyle w:val="ARtabletextright"/>
            </w:pPr>
            <w:r>
              <w:t>12</w:t>
            </w:r>
          </w:p>
        </w:tc>
        <w:tc>
          <w:tcPr>
            <w:tcW w:w="1521" w:type="dxa"/>
            <w:vAlign w:val="center"/>
          </w:tcPr>
          <w:p w14:paraId="0AF46508" w14:textId="77777777" w:rsidR="00FC6F4F" w:rsidRPr="002029AF" w:rsidRDefault="00FC6F4F" w:rsidP="00897193">
            <w:pPr>
              <w:pStyle w:val="ARtabletextright"/>
            </w:pPr>
            <w:r>
              <w:t>63</w:t>
            </w:r>
          </w:p>
        </w:tc>
        <w:tc>
          <w:tcPr>
            <w:tcW w:w="1516" w:type="dxa"/>
            <w:vAlign w:val="center"/>
          </w:tcPr>
          <w:p w14:paraId="5CD48C97" w14:textId="77777777" w:rsidR="00FC6F4F" w:rsidRPr="002029AF" w:rsidRDefault="00FC6F4F" w:rsidP="00897193">
            <w:pPr>
              <w:pStyle w:val="ARtabletextright"/>
            </w:pPr>
            <w:r>
              <w:t>75</w:t>
            </w:r>
          </w:p>
        </w:tc>
      </w:tr>
      <w:tr w:rsidR="00FC6F4F" w:rsidRPr="002029AF" w14:paraId="7B8B26C9" w14:textId="77777777" w:rsidTr="00FC6F4F">
        <w:trPr>
          <w:cantSplit/>
          <w:trHeight w:val="270"/>
        </w:trPr>
        <w:tc>
          <w:tcPr>
            <w:tcW w:w="5028" w:type="dxa"/>
          </w:tcPr>
          <w:p w14:paraId="01053291" w14:textId="77777777" w:rsidR="00FC6F4F" w:rsidRPr="000B6F78" w:rsidRDefault="00FC6F4F" w:rsidP="00FC6F4F">
            <w:pPr>
              <w:pStyle w:val="ARtabletext"/>
            </w:pPr>
            <w:r>
              <w:t>Number of high-rise public housing sites</w:t>
            </w:r>
          </w:p>
        </w:tc>
        <w:tc>
          <w:tcPr>
            <w:tcW w:w="1574" w:type="dxa"/>
            <w:vAlign w:val="center"/>
          </w:tcPr>
          <w:p w14:paraId="3F71A351" w14:textId="77777777" w:rsidR="00FC6F4F" w:rsidRPr="000B6F78" w:rsidRDefault="00FC6F4F" w:rsidP="00FC6F4F">
            <w:pPr>
              <w:pStyle w:val="ARtabletextright"/>
            </w:pPr>
            <w:r>
              <w:t>44</w:t>
            </w:r>
          </w:p>
        </w:tc>
        <w:tc>
          <w:tcPr>
            <w:tcW w:w="1521" w:type="dxa"/>
            <w:vAlign w:val="center"/>
          </w:tcPr>
          <w:p w14:paraId="05932E93" w14:textId="77777777" w:rsidR="00FC6F4F" w:rsidRPr="000B6F78" w:rsidRDefault="00FC6F4F" w:rsidP="00FC6F4F">
            <w:pPr>
              <w:pStyle w:val="ARtabletextright"/>
            </w:pPr>
          </w:p>
        </w:tc>
        <w:tc>
          <w:tcPr>
            <w:tcW w:w="1516" w:type="dxa"/>
            <w:vAlign w:val="center"/>
          </w:tcPr>
          <w:p w14:paraId="7A6E7BAA" w14:textId="77777777" w:rsidR="00FC6F4F" w:rsidRPr="000B6F78" w:rsidRDefault="00FC6F4F" w:rsidP="00FC6F4F">
            <w:pPr>
              <w:pStyle w:val="ARtabletextright"/>
            </w:pPr>
            <w:r>
              <w:t>44</w:t>
            </w:r>
          </w:p>
        </w:tc>
      </w:tr>
      <w:tr w:rsidR="00FC6F4F" w:rsidRPr="002029AF" w14:paraId="1977B325" w14:textId="77777777" w:rsidTr="00FC6F4F">
        <w:trPr>
          <w:cantSplit/>
          <w:trHeight w:val="270"/>
        </w:trPr>
        <w:tc>
          <w:tcPr>
            <w:tcW w:w="5028" w:type="dxa"/>
          </w:tcPr>
          <w:p w14:paraId="245BDAF1" w14:textId="77777777" w:rsidR="00FC6F4F" w:rsidRPr="002029AF" w:rsidRDefault="00FC6F4F" w:rsidP="00897193">
            <w:pPr>
              <w:pStyle w:val="ARtabletext"/>
            </w:pPr>
            <w:r w:rsidRPr="002029AF">
              <w:t>Office-based area (m</w:t>
            </w:r>
            <w:r w:rsidRPr="002029AF">
              <w:rPr>
                <w:vertAlign w:val="superscript"/>
              </w:rPr>
              <w:t>2</w:t>
            </w:r>
            <w:r w:rsidRPr="002029AF">
              <w:t>)</w:t>
            </w:r>
          </w:p>
        </w:tc>
        <w:tc>
          <w:tcPr>
            <w:tcW w:w="1574" w:type="dxa"/>
            <w:vAlign w:val="center"/>
          </w:tcPr>
          <w:p w14:paraId="72EB1502" w14:textId="77777777" w:rsidR="00FC6F4F" w:rsidRPr="00F74535" w:rsidRDefault="00FC6F4F" w:rsidP="00FC6F4F">
            <w:pPr>
              <w:pStyle w:val="ARtabletextright"/>
            </w:pPr>
            <w:r>
              <w:t>22,419</w:t>
            </w:r>
          </w:p>
        </w:tc>
        <w:tc>
          <w:tcPr>
            <w:tcW w:w="1521" w:type="dxa"/>
            <w:vAlign w:val="center"/>
          </w:tcPr>
          <w:p w14:paraId="3F91D62D" w14:textId="77777777" w:rsidR="00FC6F4F" w:rsidRPr="00F74535" w:rsidRDefault="00FC6F4F" w:rsidP="00FC6F4F">
            <w:pPr>
              <w:pStyle w:val="ARtabletextright"/>
            </w:pPr>
            <w:r>
              <w:t>136,419</w:t>
            </w:r>
          </w:p>
        </w:tc>
        <w:tc>
          <w:tcPr>
            <w:tcW w:w="1516" w:type="dxa"/>
            <w:vAlign w:val="center"/>
          </w:tcPr>
          <w:p w14:paraId="58D25E47" w14:textId="77777777" w:rsidR="00FC6F4F" w:rsidRPr="002029AF" w:rsidRDefault="00FC6F4F" w:rsidP="00FC6F4F">
            <w:pPr>
              <w:pStyle w:val="ARtabletextright"/>
              <w:rPr>
                <w:b/>
                <w:bCs/>
              </w:rPr>
            </w:pPr>
            <w:r w:rsidRPr="6DD9571F">
              <w:rPr>
                <w:b/>
                <w:bCs/>
              </w:rPr>
              <w:t>158,838</w:t>
            </w:r>
          </w:p>
        </w:tc>
      </w:tr>
    </w:tbl>
    <w:p w14:paraId="202054C1" w14:textId="77777777" w:rsidR="00FC6F4F" w:rsidRPr="002029AF" w:rsidRDefault="00FC6F4F" w:rsidP="00897193">
      <w:pPr>
        <w:pStyle w:val="ARtablefootnote"/>
      </w:pPr>
      <w:r w:rsidRPr="002029AF">
        <w:t>FTE (full-time equivalent staff member as of 30 June 202</w:t>
      </w:r>
      <w:r>
        <w:t>1</w:t>
      </w:r>
      <w:r w:rsidRPr="002029AF">
        <w:t>)</w:t>
      </w:r>
    </w:p>
    <w:p w14:paraId="13604071" w14:textId="77777777" w:rsidR="00FC6F4F" w:rsidRPr="009D6AEA" w:rsidRDefault="00FC6F4F" w:rsidP="009D6AEA">
      <w:pPr>
        <w:pStyle w:val="ARbody"/>
      </w:pPr>
      <w:bookmarkStart w:id="641" w:name="_Toc51786524"/>
      <w:r w:rsidRPr="009D6AEA">
        <w:rPr>
          <w:rFonts w:hint="eastAsia"/>
        </w:rPr>
        <w:br w:type="page"/>
      </w:r>
    </w:p>
    <w:p w14:paraId="6E94D7BC" w14:textId="77777777" w:rsidR="00FC6F4F" w:rsidRPr="002029AF" w:rsidRDefault="00FC6F4F" w:rsidP="001C1AB1">
      <w:pPr>
        <w:pStyle w:val="Heading4"/>
      </w:pPr>
      <w:bookmarkStart w:id="642" w:name="_Toc85121315"/>
      <w:r w:rsidRPr="002029AF">
        <w:lastRenderedPageBreak/>
        <w:t>Energy use</w:t>
      </w:r>
      <w:bookmarkEnd w:id="641"/>
      <w:bookmarkEnd w:id="642"/>
    </w:p>
    <w:p w14:paraId="5F253956" w14:textId="27478FD2" w:rsidR="00FC6F4F" w:rsidRPr="002029AF" w:rsidRDefault="00FC6F4F" w:rsidP="001C1AB1">
      <w:pPr>
        <w:pStyle w:val="Heading5"/>
      </w:pPr>
      <w:bookmarkStart w:id="643" w:name="_Toc85121316"/>
      <w:r w:rsidRPr="002029AF">
        <w:t>Office</w:t>
      </w:r>
      <w:r w:rsidR="005C0464">
        <w:t>-</w:t>
      </w:r>
      <w:r w:rsidRPr="002029AF">
        <w:t>based</w:t>
      </w:r>
      <w:bookmarkEnd w:id="643"/>
    </w:p>
    <w:tbl>
      <w:tblPr>
        <w:tblW w:w="9639" w:type="dxa"/>
        <w:tblInd w:w="-5" w:type="dxa"/>
        <w:tblBorders>
          <w:left w:val="single" w:sz="4" w:space="0" w:color="FFFFFF" w:themeColor="background1"/>
          <w:right w:val="single" w:sz="4" w:space="0" w:color="FFFFFF" w:themeColor="background1"/>
          <w:insideH w:val="single" w:sz="4" w:space="0" w:color="000000" w:themeColor="text1"/>
          <w:insideV w:val="single" w:sz="4" w:space="0" w:color="FFFFFF" w:themeColor="background1"/>
        </w:tblBorders>
        <w:tblLayout w:type="fixed"/>
        <w:tblCellMar>
          <w:left w:w="0" w:type="dxa"/>
        </w:tblCellMar>
        <w:tblLook w:val="00A0" w:firstRow="1" w:lastRow="0" w:firstColumn="1" w:lastColumn="0" w:noHBand="0" w:noVBand="0"/>
      </w:tblPr>
      <w:tblGrid>
        <w:gridCol w:w="2835"/>
        <w:gridCol w:w="1304"/>
        <w:gridCol w:w="964"/>
        <w:gridCol w:w="1304"/>
        <w:gridCol w:w="964"/>
        <w:gridCol w:w="1304"/>
        <w:gridCol w:w="964"/>
      </w:tblGrid>
      <w:tr w:rsidR="00FC6F4F" w:rsidRPr="002029AF" w14:paraId="347B455A" w14:textId="77777777" w:rsidTr="007C6076">
        <w:trPr>
          <w:cantSplit/>
          <w:trHeight w:val="283"/>
          <w:tblHeader/>
        </w:trPr>
        <w:tc>
          <w:tcPr>
            <w:tcW w:w="2835" w:type="dxa"/>
            <w:vAlign w:val="bottom"/>
          </w:tcPr>
          <w:p w14:paraId="321583C4" w14:textId="77777777" w:rsidR="00FC6F4F" w:rsidRPr="002029AF" w:rsidRDefault="00FC6F4F" w:rsidP="00FC6F4F">
            <w:pPr>
              <w:pStyle w:val="ARtablecolhead"/>
            </w:pPr>
            <w:r w:rsidRPr="002029AF">
              <w:t>Description</w:t>
            </w:r>
          </w:p>
        </w:tc>
        <w:tc>
          <w:tcPr>
            <w:tcW w:w="1304" w:type="dxa"/>
            <w:vAlign w:val="center"/>
          </w:tcPr>
          <w:p w14:paraId="7E6CC2C7" w14:textId="77777777" w:rsidR="00FC6F4F" w:rsidRPr="002029AF" w:rsidRDefault="00FC6F4F" w:rsidP="00FC6F4F">
            <w:pPr>
              <w:pStyle w:val="ARtablecolheadright"/>
            </w:pPr>
            <w:r w:rsidRPr="002029AF">
              <w:t>20</w:t>
            </w:r>
            <w:r>
              <w:t>20</w:t>
            </w:r>
            <w:r w:rsidRPr="002029AF">
              <w:t>–2</w:t>
            </w:r>
            <w:r>
              <w:t>1</w:t>
            </w:r>
            <w:r w:rsidRPr="002029AF">
              <w:t xml:space="preserve"> </w:t>
            </w:r>
            <w:r w:rsidRPr="002029AF">
              <w:br/>
              <w:t>estimate</w:t>
            </w:r>
          </w:p>
        </w:tc>
        <w:tc>
          <w:tcPr>
            <w:tcW w:w="964" w:type="dxa"/>
            <w:vAlign w:val="center"/>
          </w:tcPr>
          <w:p w14:paraId="2D793E8F" w14:textId="77777777" w:rsidR="00FC6F4F" w:rsidRPr="002029AF" w:rsidRDefault="00FC6F4F" w:rsidP="00FC6F4F">
            <w:pPr>
              <w:pStyle w:val="ARtablecolheadright"/>
            </w:pPr>
            <w:r w:rsidRPr="002029AF">
              <w:t>20</w:t>
            </w:r>
            <w:r>
              <w:t>20</w:t>
            </w:r>
            <w:r w:rsidRPr="002029AF">
              <w:t>–2</w:t>
            </w:r>
            <w:r>
              <w:t>1</w:t>
            </w:r>
            <w:r w:rsidRPr="002029AF">
              <w:t xml:space="preserve"> </w:t>
            </w:r>
            <w:r w:rsidRPr="002029AF">
              <w:br/>
              <w:t>estimate</w:t>
            </w:r>
          </w:p>
        </w:tc>
        <w:tc>
          <w:tcPr>
            <w:tcW w:w="1304" w:type="dxa"/>
            <w:vAlign w:val="center"/>
          </w:tcPr>
          <w:p w14:paraId="1F61CDF1" w14:textId="77777777" w:rsidR="00FC6F4F" w:rsidRPr="002029AF" w:rsidRDefault="00FC6F4F" w:rsidP="00FC6F4F">
            <w:pPr>
              <w:pStyle w:val="ARtablecolheadright"/>
            </w:pPr>
            <w:r w:rsidRPr="002029AF">
              <w:t xml:space="preserve">2019–20 </w:t>
            </w:r>
            <w:r w:rsidRPr="002029AF">
              <w:br/>
              <w:t>estimate</w:t>
            </w:r>
          </w:p>
        </w:tc>
        <w:tc>
          <w:tcPr>
            <w:tcW w:w="964" w:type="dxa"/>
            <w:vAlign w:val="center"/>
          </w:tcPr>
          <w:p w14:paraId="06264FCD" w14:textId="77777777" w:rsidR="00FC6F4F" w:rsidRPr="002029AF" w:rsidRDefault="00FC6F4F" w:rsidP="00FC6F4F">
            <w:pPr>
              <w:pStyle w:val="ARtablecolheadright"/>
            </w:pPr>
            <w:r w:rsidRPr="002029AF">
              <w:t xml:space="preserve">2019–20 </w:t>
            </w:r>
            <w:r w:rsidRPr="002029AF">
              <w:br/>
              <w:t>estimate</w:t>
            </w:r>
          </w:p>
        </w:tc>
        <w:tc>
          <w:tcPr>
            <w:tcW w:w="1304" w:type="dxa"/>
            <w:vAlign w:val="center"/>
          </w:tcPr>
          <w:p w14:paraId="06D01643" w14:textId="77777777" w:rsidR="00FC6F4F" w:rsidRPr="002029AF" w:rsidRDefault="00FC6F4F" w:rsidP="00FC6F4F">
            <w:pPr>
              <w:pStyle w:val="ARtablecolheadright"/>
            </w:pPr>
            <w:r w:rsidRPr="002029AF">
              <w:t xml:space="preserve">2018–19 </w:t>
            </w:r>
            <w:r w:rsidRPr="002029AF">
              <w:br/>
              <w:t>estimate</w:t>
            </w:r>
          </w:p>
        </w:tc>
        <w:tc>
          <w:tcPr>
            <w:tcW w:w="964" w:type="dxa"/>
            <w:vAlign w:val="center"/>
          </w:tcPr>
          <w:p w14:paraId="77F2B0F3" w14:textId="77777777" w:rsidR="00FC6F4F" w:rsidRPr="002029AF" w:rsidRDefault="00FC6F4F" w:rsidP="00FC6F4F">
            <w:pPr>
              <w:pStyle w:val="ARtablecolheadright"/>
            </w:pPr>
            <w:r w:rsidRPr="002029AF">
              <w:t xml:space="preserve">2018–19 </w:t>
            </w:r>
            <w:r w:rsidRPr="002029AF">
              <w:br/>
              <w:t>estimate</w:t>
            </w:r>
          </w:p>
        </w:tc>
      </w:tr>
      <w:tr w:rsidR="00FC6F4F" w:rsidRPr="002029AF" w14:paraId="5273FDB7" w14:textId="77777777" w:rsidTr="007C6076">
        <w:trPr>
          <w:cantSplit/>
          <w:trHeight w:val="283"/>
          <w:tblHeader/>
        </w:trPr>
        <w:tc>
          <w:tcPr>
            <w:tcW w:w="2835" w:type="dxa"/>
            <w:vAlign w:val="bottom"/>
          </w:tcPr>
          <w:p w14:paraId="782056E6" w14:textId="77777777" w:rsidR="00FC6F4F" w:rsidRPr="002029AF" w:rsidRDefault="00FC6F4F" w:rsidP="00FC6F4F">
            <w:pPr>
              <w:pStyle w:val="ARtablecolhead"/>
            </w:pPr>
            <w:r w:rsidRPr="002029AF">
              <w:t>Total energy usage segmented by primary source</w:t>
            </w:r>
          </w:p>
        </w:tc>
        <w:tc>
          <w:tcPr>
            <w:tcW w:w="1304" w:type="dxa"/>
            <w:vAlign w:val="bottom"/>
          </w:tcPr>
          <w:p w14:paraId="0BB2A128" w14:textId="77777777" w:rsidR="00FC6F4F" w:rsidRPr="002029AF" w:rsidRDefault="00FC6F4F" w:rsidP="00FC6F4F">
            <w:pPr>
              <w:pStyle w:val="ARtablecolheadright"/>
            </w:pPr>
            <w:r w:rsidRPr="002029AF">
              <w:t>Megajoules</w:t>
            </w:r>
          </w:p>
        </w:tc>
        <w:tc>
          <w:tcPr>
            <w:tcW w:w="964" w:type="dxa"/>
            <w:vAlign w:val="bottom"/>
          </w:tcPr>
          <w:p w14:paraId="5EDD28B6" w14:textId="77777777" w:rsidR="00FC6F4F" w:rsidRPr="002029AF" w:rsidRDefault="00FC6F4F" w:rsidP="00FC6F4F">
            <w:pPr>
              <w:pStyle w:val="ARtablecolheadright"/>
            </w:pPr>
            <w:r w:rsidRPr="002029AF">
              <w:t>Cost</w:t>
            </w:r>
            <w:r w:rsidRPr="002029AF">
              <w:br/>
              <w:t>($M)</w:t>
            </w:r>
          </w:p>
        </w:tc>
        <w:tc>
          <w:tcPr>
            <w:tcW w:w="1304" w:type="dxa"/>
            <w:vAlign w:val="bottom"/>
          </w:tcPr>
          <w:p w14:paraId="656FBC43" w14:textId="77777777" w:rsidR="00FC6F4F" w:rsidRPr="002029AF" w:rsidRDefault="00FC6F4F" w:rsidP="00FC6F4F">
            <w:pPr>
              <w:pStyle w:val="ARtablecolheadright"/>
            </w:pPr>
            <w:r w:rsidRPr="002029AF">
              <w:t>Megajoules</w:t>
            </w:r>
          </w:p>
        </w:tc>
        <w:tc>
          <w:tcPr>
            <w:tcW w:w="964" w:type="dxa"/>
            <w:vAlign w:val="bottom"/>
          </w:tcPr>
          <w:p w14:paraId="0A9630A2" w14:textId="77777777" w:rsidR="00FC6F4F" w:rsidRPr="002029AF" w:rsidRDefault="00FC6F4F" w:rsidP="00FC6F4F">
            <w:pPr>
              <w:pStyle w:val="ARtablecolheadright"/>
            </w:pPr>
            <w:r w:rsidRPr="002029AF">
              <w:t>Cost</w:t>
            </w:r>
            <w:r w:rsidRPr="002029AF">
              <w:br/>
              <w:t>($M)</w:t>
            </w:r>
          </w:p>
        </w:tc>
        <w:tc>
          <w:tcPr>
            <w:tcW w:w="1304" w:type="dxa"/>
            <w:vAlign w:val="bottom"/>
          </w:tcPr>
          <w:p w14:paraId="3ED4659B" w14:textId="77777777" w:rsidR="00FC6F4F" w:rsidRPr="002029AF" w:rsidRDefault="00FC6F4F" w:rsidP="00FC6F4F">
            <w:pPr>
              <w:pStyle w:val="ARtablecolheadright"/>
            </w:pPr>
            <w:r w:rsidRPr="002029AF">
              <w:t>Megajoules</w:t>
            </w:r>
          </w:p>
        </w:tc>
        <w:tc>
          <w:tcPr>
            <w:tcW w:w="964" w:type="dxa"/>
            <w:vAlign w:val="bottom"/>
          </w:tcPr>
          <w:p w14:paraId="754AD255" w14:textId="77777777" w:rsidR="00FC6F4F" w:rsidRPr="002029AF" w:rsidRDefault="00FC6F4F" w:rsidP="00FC6F4F">
            <w:pPr>
              <w:pStyle w:val="ARtablecolheadright"/>
            </w:pPr>
            <w:r w:rsidRPr="002029AF">
              <w:t>Cost</w:t>
            </w:r>
            <w:r w:rsidRPr="002029AF">
              <w:br/>
              <w:t>($M)</w:t>
            </w:r>
          </w:p>
        </w:tc>
      </w:tr>
      <w:tr w:rsidR="00FC6F4F" w:rsidRPr="002029AF" w14:paraId="610D15BF" w14:textId="77777777" w:rsidTr="007C6076">
        <w:trPr>
          <w:cantSplit/>
          <w:trHeight w:val="283"/>
        </w:trPr>
        <w:tc>
          <w:tcPr>
            <w:tcW w:w="2835" w:type="dxa"/>
          </w:tcPr>
          <w:p w14:paraId="46D9329E" w14:textId="77777777" w:rsidR="00FC6F4F" w:rsidRPr="002029AF" w:rsidRDefault="00FC6F4F" w:rsidP="00FC6F4F">
            <w:pPr>
              <w:pStyle w:val="ARtabletext"/>
            </w:pPr>
            <w:r w:rsidRPr="002029AF">
              <w:t>Electricity</w:t>
            </w:r>
          </w:p>
        </w:tc>
        <w:tc>
          <w:tcPr>
            <w:tcW w:w="1304" w:type="dxa"/>
            <w:vAlign w:val="center"/>
          </w:tcPr>
          <w:p w14:paraId="1577A8C6" w14:textId="77777777" w:rsidR="00FC6F4F" w:rsidRPr="002029AF" w:rsidRDefault="00FC6F4F" w:rsidP="00FC6F4F">
            <w:pPr>
              <w:pStyle w:val="ARtabletextright"/>
            </w:pPr>
            <w:r>
              <w:t>43</w:t>
            </w:r>
            <w:r w:rsidRPr="002029AF">
              <w:t>,</w:t>
            </w:r>
            <w:r>
              <w:t>757</w:t>
            </w:r>
            <w:r w:rsidRPr="002029AF">
              <w:t>,</w:t>
            </w:r>
            <w:r>
              <w:t>229</w:t>
            </w:r>
          </w:p>
        </w:tc>
        <w:tc>
          <w:tcPr>
            <w:tcW w:w="964" w:type="dxa"/>
            <w:vAlign w:val="center"/>
          </w:tcPr>
          <w:p w14:paraId="2A927173" w14:textId="77777777" w:rsidR="00FC6F4F" w:rsidRPr="002029AF" w:rsidRDefault="00FC6F4F" w:rsidP="00FC6F4F">
            <w:pPr>
              <w:pStyle w:val="ARtabletextright"/>
            </w:pPr>
            <w:r>
              <w:t>$2.43</w:t>
            </w:r>
          </w:p>
        </w:tc>
        <w:tc>
          <w:tcPr>
            <w:tcW w:w="1304" w:type="dxa"/>
            <w:vAlign w:val="center"/>
          </w:tcPr>
          <w:p w14:paraId="4F17011F" w14:textId="77777777" w:rsidR="00FC6F4F" w:rsidRPr="002029AF" w:rsidRDefault="00FC6F4F" w:rsidP="00FC6F4F">
            <w:pPr>
              <w:pStyle w:val="ARtabletextright"/>
            </w:pPr>
            <w:r w:rsidRPr="002029AF">
              <w:t>50,107,150</w:t>
            </w:r>
          </w:p>
        </w:tc>
        <w:tc>
          <w:tcPr>
            <w:tcW w:w="964" w:type="dxa"/>
            <w:vAlign w:val="center"/>
          </w:tcPr>
          <w:p w14:paraId="4092F2E1" w14:textId="77777777" w:rsidR="00FC6F4F" w:rsidRPr="002029AF" w:rsidRDefault="00FC6F4F" w:rsidP="00FC6F4F">
            <w:pPr>
              <w:pStyle w:val="ARtabletextright"/>
            </w:pPr>
            <w:r w:rsidRPr="002029AF">
              <w:t>$3.14</w:t>
            </w:r>
          </w:p>
        </w:tc>
        <w:tc>
          <w:tcPr>
            <w:tcW w:w="1304" w:type="dxa"/>
            <w:vAlign w:val="center"/>
          </w:tcPr>
          <w:p w14:paraId="607C7BCD" w14:textId="77777777" w:rsidR="00FC6F4F" w:rsidRPr="002029AF" w:rsidRDefault="00FC6F4F" w:rsidP="00FC6F4F">
            <w:pPr>
              <w:pStyle w:val="ARtabletextright"/>
            </w:pPr>
            <w:r w:rsidRPr="002029AF">
              <w:t>54,186,574</w:t>
            </w:r>
          </w:p>
        </w:tc>
        <w:tc>
          <w:tcPr>
            <w:tcW w:w="964" w:type="dxa"/>
            <w:vAlign w:val="center"/>
          </w:tcPr>
          <w:p w14:paraId="22A64E0D" w14:textId="77777777" w:rsidR="00FC6F4F" w:rsidRPr="002029AF" w:rsidRDefault="00FC6F4F" w:rsidP="00FC6F4F">
            <w:pPr>
              <w:pStyle w:val="ARtabletextright"/>
            </w:pPr>
            <w:r w:rsidRPr="002029AF">
              <w:t>$3.47</w:t>
            </w:r>
          </w:p>
        </w:tc>
      </w:tr>
      <w:tr w:rsidR="00FC6F4F" w:rsidRPr="002029AF" w14:paraId="3A79818F" w14:textId="77777777" w:rsidTr="007C6076">
        <w:trPr>
          <w:cantSplit/>
          <w:trHeight w:val="283"/>
        </w:trPr>
        <w:tc>
          <w:tcPr>
            <w:tcW w:w="2835" w:type="dxa"/>
          </w:tcPr>
          <w:p w14:paraId="4E083619" w14:textId="77777777" w:rsidR="00FC6F4F" w:rsidRPr="002029AF" w:rsidRDefault="00FC6F4F" w:rsidP="00FC6F4F">
            <w:pPr>
              <w:pStyle w:val="ARtabletext"/>
            </w:pPr>
            <w:r w:rsidRPr="002029AF">
              <w:t>Green power</w:t>
            </w:r>
          </w:p>
        </w:tc>
        <w:tc>
          <w:tcPr>
            <w:tcW w:w="1304" w:type="dxa"/>
            <w:vAlign w:val="center"/>
          </w:tcPr>
          <w:p w14:paraId="2C1044A2" w14:textId="77777777" w:rsidR="00FC6F4F" w:rsidRPr="002029AF" w:rsidRDefault="00FC6F4F" w:rsidP="00FC6F4F">
            <w:pPr>
              <w:pStyle w:val="ARtabletextright"/>
            </w:pPr>
            <w:r w:rsidRPr="002029AF">
              <w:t>0</w:t>
            </w:r>
          </w:p>
        </w:tc>
        <w:tc>
          <w:tcPr>
            <w:tcW w:w="964" w:type="dxa"/>
            <w:vAlign w:val="center"/>
          </w:tcPr>
          <w:p w14:paraId="0725D5BE" w14:textId="77777777" w:rsidR="00FC6F4F" w:rsidRPr="002029AF" w:rsidRDefault="00FC6F4F" w:rsidP="00FC6F4F">
            <w:pPr>
              <w:pStyle w:val="ARtabletextright"/>
            </w:pPr>
            <w:r w:rsidRPr="002029AF">
              <w:t>$0.00</w:t>
            </w:r>
          </w:p>
        </w:tc>
        <w:tc>
          <w:tcPr>
            <w:tcW w:w="1304" w:type="dxa"/>
            <w:vAlign w:val="center"/>
          </w:tcPr>
          <w:p w14:paraId="51859A29" w14:textId="77777777" w:rsidR="00FC6F4F" w:rsidRPr="002029AF" w:rsidRDefault="00FC6F4F" w:rsidP="00FC6F4F">
            <w:pPr>
              <w:pStyle w:val="ARtabletextright"/>
            </w:pPr>
            <w:r w:rsidRPr="002029AF">
              <w:t>0</w:t>
            </w:r>
          </w:p>
        </w:tc>
        <w:tc>
          <w:tcPr>
            <w:tcW w:w="964" w:type="dxa"/>
            <w:vAlign w:val="center"/>
          </w:tcPr>
          <w:p w14:paraId="0D780352" w14:textId="77777777" w:rsidR="00FC6F4F" w:rsidRPr="002029AF" w:rsidRDefault="00FC6F4F" w:rsidP="00FC6F4F">
            <w:pPr>
              <w:pStyle w:val="ARtabletextright"/>
            </w:pPr>
            <w:r w:rsidRPr="002029AF">
              <w:t>$0.00</w:t>
            </w:r>
          </w:p>
        </w:tc>
        <w:tc>
          <w:tcPr>
            <w:tcW w:w="1304" w:type="dxa"/>
            <w:vAlign w:val="center"/>
          </w:tcPr>
          <w:p w14:paraId="50240DE5" w14:textId="77777777" w:rsidR="00FC6F4F" w:rsidRPr="002029AF" w:rsidRDefault="00FC6F4F" w:rsidP="00FC6F4F">
            <w:pPr>
              <w:pStyle w:val="ARtabletextright"/>
            </w:pPr>
            <w:r w:rsidRPr="002029AF">
              <w:t>0</w:t>
            </w:r>
          </w:p>
        </w:tc>
        <w:tc>
          <w:tcPr>
            <w:tcW w:w="964" w:type="dxa"/>
            <w:vAlign w:val="center"/>
          </w:tcPr>
          <w:p w14:paraId="1235F15F" w14:textId="77777777" w:rsidR="00FC6F4F" w:rsidRPr="002029AF" w:rsidRDefault="00FC6F4F" w:rsidP="00FC6F4F">
            <w:pPr>
              <w:pStyle w:val="ARtabletextright"/>
            </w:pPr>
            <w:r w:rsidRPr="002029AF">
              <w:t>$0.00</w:t>
            </w:r>
          </w:p>
        </w:tc>
      </w:tr>
      <w:tr w:rsidR="00FC6F4F" w:rsidRPr="002029AF" w14:paraId="1AFF9948" w14:textId="77777777" w:rsidTr="007C6076">
        <w:trPr>
          <w:cantSplit/>
          <w:trHeight w:val="283"/>
        </w:trPr>
        <w:tc>
          <w:tcPr>
            <w:tcW w:w="2835" w:type="dxa"/>
            <w:tcBorders>
              <w:bottom w:val="single" w:sz="4" w:space="0" w:color="000000" w:themeColor="text1"/>
            </w:tcBorders>
          </w:tcPr>
          <w:p w14:paraId="626C1FB1" w14:textId="77777777" w:rsidR="00FC6F4F" w:rsidRPr="002029AF" w:rsidRDefault="00FC6F4F" w:rsidP="00FC6F4F">
            <w:pPr>
              <w:pStyle w:val="ARtabletext"/>
            </w:pPr>
            <w:r w:rsidRPr="002029AF">
              <w:t>Natural gas</w:t>
            </w:r>
          </w:p>
        </w:tc>
        <w:tc>
          <w:tcPr>
            <w:tcW w:w="1304" w:type="dxa"/>
            <w:tcBorders>
              <w:bottom w:val="single" w:sz="4" w:space="0" w:color="000000" w:themeColor="text1"/>
            </w:tcBorders>
            <w:vAlign w:val="center"/>
          </w:tcPr>
          <w:p w14:paraId="6908B3D9" w14:textId="77777777" w:rsidR="00FC6F4F" w:rsidRPr="002029AF" w:rsidRDefault="00FC6F4F" w:rsidP="00FC6F4F">
            <w:pPr>
              <w:pStyle w:val="ARtabletextright"/>
            </w:pPr>
            <w:r>
              <w:t>20</w:t>
            </w:r>
            <w:r w:rsidRPr="002029AF">
              <w:t>,4</w:t>
            </w:r>
            <w:r>
              <w:t>19</w:t>
            </w:r>
            <w:r w:rsidRPr="002029AF">
              <w:t>,</w:t>
            </w:r>
            <w:r>
              <w:t>620</w:t>
            </w:r>
          </w:p>
        </w:tc>
        <w:tc>
          <w:tcPr>
            <w:tcW w:w="964" w:type="dxa"/>
            <w:tcBorders>
              <w:bottom w:val="single" w:sz="4" w:space="0" w:color="000000" w:themeColor="text1"/>
            </w:tcBorders>
            <w:vAlign w:val="center"/>
          </w:tcPr>
          <w:p w14:paraId="0DE870EA" w14:textId="77777777" w:rsidR="00FC6F4F" w:rsidRPr="002029AF" w:rsidRDefault="00FC6F4F" w:rsidP="00FC6F4F">
            <w:pPr>
              <w:pStyle w:val="ARtabletextright"/>
            </w:pPr>
            <w:r>
              <w:t>$0.29</w:t>
            </w:r>
          </w:p>
        </w:tc>
        <w:tc>
          <w:tcPr>
            <w:tcW w:w="1304" w:type="dxa"/>
            <w:tcBorders>
              <w:bottom w:val="single" w:sz="4" w:space="0" w:color="000000" w:themeColor="text1"/>
            </w:tcBorders>
            <w:vAlign w:val="center"/>
          </w:tcPr>
          <w:p w14:paraId="294075C2" w14:textId="77777777" w:rsidR="00FC6F4F" w:rsidRPr="002029AF" w:rsidRDefault="00FC6F4F" w:rsidP="00FC6F4F">
            <w:pPr>
              <w:pStyle w:val="ARtabletextright"/>
            </w:pPr>
            <w:r w:rsidRPr="002029AF">
              <w:t>17,407,775</w:t>
            </w:r>
          </w:p>
        </w:tc>
        <w:tc>
          <w:tcPr>
            <w:tcW w:w="964" w:type="dxa"/>
            <w:tcBorders>
              <w:bottom w:val="single" w:sz="4" w:space="0" w:color="000000" w:themeColor="text1"/>
            </w:tcBorders>
            <w:vAlign w:val="center"/>
          </w:tcPr>
          <w:p w14:paraId="28F26886" w14:textId="77777777" w:rsidR="00FC6F4F" w:rsidRPr="002029AF" w:rsidRDefault="00FC6F4F" w:rsidP="00FC6F4F">
            <w:pPr>
              <w:pStyle w:val="ARtabletextright"/>
            </w:pPr>
            <w:r w:rsidRPr="002029AF">
              <w:t>$0.25</w:t>
            </w:r>
          </w:p>
        </w:tc>
        <w:tc>
          <w:tcPr>
            <w:tcW w:w="1304" w:type="dxa"/>
            <w:tcBorders>
              <w:bottom w:val="single" w:sz="4" w:space="0" w:color="000000" w:themeColor="text1"/>
            </w:tcBorders>
            <w:vAlign w:val="center"/>
          </w:tcPr>
          <w:p w14:paraId="76A0965F" w14:textId="77777777" w:rsidR="00FC6F4F" w:rsidRPr="002029AF" w:rsidRDefault="00FC6F4F" w:rsidP="00FC6F4F">
            <w:pPr>
              <w:pStyle w:val="ARtabletextright"/>
            </w:pPr>
            <w:r w:rsidRPr="002029AF">
              <w:t>19,763,764</w:t>
            </w:r>
          </w:p>
        </w:tc>
        <w:tc>
          <w:tcPr>
            <w:tcW w:w="964" w:type="dxa"/>
            <w:tcBorders>
              <w:bottom w:val="single" w:sz="4" w:space="0" w:color="000000" w:themeColor="text1"/>
            </w:tcBorders>
            <w:vAlign w:val="center"/>
          </w:tcPr>
          <w:p w14:paraId="09B5B579" w14:textId="77777777" w:rsidR="00FC6F4F" w:rsidRPr="002029AF" w:rsidRDefault="00FC6F4F" w:rsidP="00FC6F4F">
            <w:pPr>
              <w:pStyle w:val="ARtabletextright"/>
            </w:pPr>
            <w:r w:rsidRPr="002029AF">
              <w:t>$0.30</w:t>
            </w:r>
          </w:p>
        </w:tc>
      </w:tr>
      <w:tr w:rsidR="00FC6F4F" w:rsidRPr="002029AF" w14:paraId="63B31392" w14:textId="77777777" w:rsidTr="007C6076">
        <w:trPr>
          <w:cantSplit/>
          <w:trHeight w:val="283"/>
        </w:trPr>
        <w:tc>
          <w:tcPr>
            <w:tcW w:w="2835" w:type="dxa"/>
            <w:tcBorders>
              <w:top w:val="single" w:sz="4" w:space="0" w:color="000000" w:themeColor="text1"/>
              <w:bottom w:val="single" w:sz="4" w:space="0" w:color="auto"/>
            </w:tcBorders>
          </w:tcPr>
          <w:p w14:paraId="5AA82D15" w14:textId="77777777" w:rsidR="00FC6F4F" w:rsidRPr="002029AF" w:rsidRDefault="00FC6F4F" w:rsidP="00FC6F4F">
            <w:pPr>
              <w:pStyle w:val="ARtabletext"/>
              <w:rPr>
                <w:b/>
              </w:rPr>
            </w:pPr>
            <w:r w:rsidRPr="002029AF">
              <w:rPr>
                <w:b/>
              </w:rPr>
              <w:t>Total</w:t>
            </w:r>
          </w:p>
        </w:tc>
        <w:tc>
          <w:tcPr>
            <w:tcW w:w="1304" w:type="dxa"/>
            <w:tcBorders>
              <w:top w:val="single" w:sz="4" w:space="0" w:color="000000" w:themeColor="text1"/>
              <w:bottom w:val="single" w:sz="4" w:space="0" w:color="auto"/>
            </w:tcBorders>
            <w:vAlign w:val="center"/>
          </w:tcPr>
          <w:p w14:paraId="00D654E0" w14:textId="77777777" w:rsidR="00FC6F4F" w:rsidRPr="002029AF" w:rsidRDefault="00FC6F4F" w:rsidP="00FC6F4F">
            <w:pPr>
              <w:pStyle w:val="ARtabletextrightbold"/>
            </w:pPr>
            <w:r w:rsidRPr="002029AF">
              <w:t>6</w:t>
            </w:r>
            <w:r>
              <w:t>4</w:t>
            </w:r>
            <w:r w:rsidRPr="002029AF">
              <w:t>,</w:t>
            </w:r>
            <w:r>
              <w:t>176</w:t>
            </w:r>
            <w:r w:rsidRPr="002029AF">
              <w:t>,</w:t>
            </w:r>
            <w:r>
              <w:t>849</w:t>
            </w:r>
          </w:p>
        </w:tc>
        <w:tc>
          <w:tcPr>
            <w:tcW w:w="964" w:type="dxa"/>
            <w:tcBorders>
              <w:top w:val="single" w:sz="4" w:space="0" w:color="000000" w:themeColor="text1"/>
              <w:bottom w:val="single" w:sz="4" w:space="0" w:color="auto"/>
            </w:tcBorders>
            <w:vAlign w:val="center"/>
          </w:tcPr>
          <w:p w14:paraId="3982CB79" w14:textId="77777777" w:rsidR="00FC6F4F" w:rsidRPr="002029AF" w:rsidRDefault="00FC6F4F" w:rsidP="00FC6F4F">
            <w:pPr>
              <w:pStyle w:val="ARtabletextrightbold"/>
            </w:pPr>
            <w:r>
              <w:t>$2.72</w:t>
            </w:r>
          </w:p>
        </w:tc>
        <w:tc>
          <w:tcPr>
            <w:tcW w:w="1304" w:type="dxa"/>
            <w:tcBorders>
              <w:top w:val="single" w:sz="4" w:space="0" w:color="000000" w:themeColor="text1"/>
              <w:bottom w:val="single" w:sz="4" w:space="0" w:color="auto"/>
            </w:tcBorders>
            <w:vAlign w:val="center"/>
          </w:tcPr>
          <w:p w14:paraId="69C4C057" w14:textId="77777777" w:rsidR="00FC6F4F" w:rsidRPr="002029AF" w:rsidRDefault="00FC6F4F" w:rsidP="00FC6F4F">
            <w:pPr>
              <w:pStyle w:val="ARtabletextrightbold"/>
            </w:pPr>
            <w:r w:rsidRPr="002029AF">
              <w:t>67,514,925</w:t>
            </w:r>
          </w:p>
        </w:tc>
        <w:tc>
          <w:tcPr>
            <w:tcW w:w="964" w:type="dxa"/>
            <w:tcBorders>
              <w:top w:val="single" w:sz="4" w:space="0" w:color="000000" w:themeColor="text1"/>
              <w:bottom w:val="single" w:sz="4" w:space="0" w:color="auto"/>
            </w:tcBorders>
            <w:vAlign w:val="center"/>
          </w:tcPr>
          <w:p w14:paraId="3C13B7AD" w14:textId="77777777" w:rsidR="00FC6F4F" w:rsidRPr="002029AF" w:rsidRDefault="00FC6F4F" w:rsidP="00FC6F4F">
            <w:pPr>
              <w:pStyle w:val="ARtabletextrightbold"/>
            </w:pPr>
            <w:r w:rsidRPr="002029AF">
              <w:t>$3.39</w:t>
            </w:r>
          </w:p>
        </w:tc>
        <w:tc>
          <w:tcPr>
            <w:tcW w:w="1304" w:type="dxa"/>
            <w:tcBorders>
              <w:top w:val="single" w:sz="4" w:space="0" w:color="000000" w:themeColor="text1"/>
              <w:bottom w:val="single" w:sz="4" w:space="0" w:color="auto"/>
            </w:tcBorders>
            <w:vAlign w:val="center"/>
          </w:tcPr>
          <w:p w14:paraId="5B7A3B2B" w14:textId="77777777" w:rsidR="00FC6F4F" w:rsidRPr="002029AF" w:rsidRDefault="00FC6F4F" w:rsidP="00FC6F4F">
            <w:pPr>
              <w:pStyle w:val="ARtabletextrightbold"/>
            </w:pPr>
            <w:r w:rsidRPr="002029AF">
              <w:t>73,950,338</w:t>
            </w:r>
          </w:p>
        </w:tc>
        <w:tc>
          <w:tcPr>
            <w:tcW w:w="964" w:type="dxa"/>
            <w:tcBorders>
              <w:top w:val="single" w:sz="4" w:space="0" w:color="000000" w:themeColor="text1"/>
              <w:bottom w:val="single" w:sz="4" w:space="0" w:color="auto"/>
            </w:tcBorders>
            <w:vAlign w:val="center"/>
          </w:tcPr>
          <w:p w14:paraId="7B3CB9DB" w14:textId="77777777" w:rsidR="00FC6F4F" w:rsidRPr="002029AF" w:rsidRDefault="00FC6F4F" w:rsidP="00FC6F4F">
            <w:pPr>
              <w:pStyle w:val="ARtabletextrightbold"/>
            </w:pPr>
            <w:r w:rsidRPr="002029AF">
              <w:t>$3.77</w:t>
            </w:r>
          </w:p>
        </w:tc>
      </w:tr>
    </w:tbl>
    <w:p w14:paraId="6802C28B" w14:textId="77777777" w:rsidR="00FC6F4F" w:rsidRPr="002029AF" w:rsidRDefault="00FC6F4F" w:rsidP="00D40FE6">
      <w:pPr>
        <w:pStyle w:val="ARbodynospace"/>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5106"/>
        <w:gridCol w:w="1511"/>
        <w:gridCol w:w="1511"/>
        <w:gridCol w:w="1511"/>
      </w:tblGrid>
      <w:tr w:rsidR="00FC6F4F" w:rsidRPr="002029AF" w14:paraId="0CC50185" w14:textId="77777777" w:rsidTr="00FC6F4F">
        <w:trPr>
          <w:cantSplit/>
          <w:trHeight w:val="229"/>
          <w:tblHeader/>
        </w:trPr>
        <w:tc>
          <w:tcPr>
            <w:tcW w:w="5106" w:type="dxa"/>
            <w:vAlign w:val="bottom"/>
          </w:tcPr>
          <w:p w14:paraId="4CEE4E06" w14:textId="77777777" w:rsidR="00FC6F4F" w:rsidRPr="002029AF" w:rsidRDefault="00FC6F4F" w:rsidP="00FC6F4F">
            <w:pPr>
              <w:pStyle w:val="ARtablecolhead"/>
            </w:pPr>
            <w:r w:rsidRPr="002029AF">
              <w:br w:type="page"/>
              <w:t>Description</w:t>
            </w:r>
          </w:p>
        </w:tc>
        <w:tc>
          <w:tcPr>
            <w:tcW w:w="1511" w:type="dxa"/>
            <w:vAlign w:val="center"/>
          </w:tcPr>
          <w:p w14:paraId="6D341BDC" w14:textId="77777777" w:rsidR="00FC6F4F" w:rsidRPr="002029AF" w:rsidRDefault="00FC6F4F" w:rsidP="00FC6F4F">
            <w:pPr>
              <w:pStyle w:val="ARtablecolheadright"/>
            </w:pPr>
            <w:r w:rsidRPr="002029AF">
              <w:rPr>
                <w:color w:val="000000"/>
              </w:rPr>
              <w:t>20</w:t>
            </w:r>
            <w:r>
              <w:rPr>
                <w:color w:val="000000"/>
              </w:rPr>
              <w:t>20</w:t>
            </w:r>
            <w:r w:rsidRPr="002029AF">
              <w:rPr>
                <w:color w:val="000000"/>
              </w:rPr>
              <w:t>–2</w:t>
            </w:r>
            <w:r>
              <w:rPr>
                <w:color w:val="000000"/>
              </w:rPr>
              <w:t>1</w:t>
            </w:r>
            <w:r w:rsidRPr="002029AF">
              <w:rPr>
                <w:color w:val="000000"/>
              </w:rPr>
              <w:t xml:space="preserve"> estimate</w:t>
            </w:r>
          </w:p>
        </w:tc>
        <w:tc>
          <w:tcPr>
            <w:tcW w:w="1511" w:type="dxa"/>
            <w:vAlign w:val="center"/>
          </w:tcPr>
          <w:p w14:paraId="031DC568" w14:textId="77777777" w:rsidR="00FC6F4F" w:rsidRPr="002029AF" w:rsidRDefault="00FC6F4F" w:rsidP="00FC6F4F">
            <w:pPr>
              <w:pStyle w:val="ARtablecolheadright"/>
              <w:rPr>
                <w:color w:val="000000"/>
              </w:rPr>
            </w:pPr>
            <w:r w:rsidRPr="002029AF">
              <w:rPr>
                <w:color w:val="000000"/>
              </w:rPr>
              <w:t>2019–20 estimate</w:t>
            </w:r>
          </w:p>
        </w:tc>
        <w:tc>
          <w:tcPr>
            <w:tcW w:w="1511" w:type="dxa"/>
            <w:vAlign w:val="center"/>
          </w:tcPr>
          <w:p w14:paraId="282ACB46" w14:textId="77777777" w:rsidR="00FC6F4F" w:rsidRPr="002029AF" w:rsidRDefault="00FC6F4F" w:rsidP="00FC6F4F">
            <w:pPr>
              <w:pStyle w:val="ARtablecolheadright"/>
              <w:rPr>
                <w:color w:val="000000"/>
              </w:rPr>
            </w:pPr>
            <w:r w:rsidRPr="002029AF">
              <w:rPr>
                <w:color w:val="000000"/>
              </w:rPr>
              <w:t>2018–19 estimate</w:t>
            </w:r>
          </w:p>
        </w:tc>
      </w:tr>
      <w:tr w:rsidR="00FC6F4F" w:rsidRPr="002029AF" w14:paraId="1E9489F9" w14:textId="77777777" w:rsidTr="00FC6F4F">
        <w:trPr>
          <w:cantSplit/>
          <w:trHeight w:val="270"/>
          <w:tblHeader/>
        </w:trPr>
        <w:tc>
          <w:tcPr>
            <w:tcW w:w="5106" w:type="dxa"/>
          </w:tcPr>
          <w:p w14:paraId="7CD80190" w14:textId="77777777" w:rsidR="00FC6F4F" w:rsidRPr="002029AF" w:rsidRDefault="00FC6F4F" w:rsidP="00FC6F4F">
            <w:pPr>
              <w:pStyle w:val="ARtablecolhead"/>
            </w:pPr>
            <w:r w:rsidRPr="002029AF">
              <w:t>Total greenhouse gas emissions by primary source</w:t>
            </w:r>
          </w:p>
        </w:tc>
        <w:tc>
          <w:tcPr>
            <w:tcW w:w="1511" w:type="dxa"/>
            <w:vAlign w:val="bottom"/>
          </w:tcPr>
          <w:p w14:paraId="05C0DEA3" w14:textId="77777777" w:rsidR="00FC6F4F" w:rsidRPr="002029AF" w:rsidRDefault="00FC6F4F" w:rsidP="00FC6F4F">
            <w:pPr>
              <w:pStyle w:val="ARtablecolheadright"/>
            </w:pPr>
            <w:r w:rsidRPr="002029AF">
              <w:t>Tonnes CO</w:t>
            </w:r>
            <w:r w:rsidRPr="002029AF">
              <w:rPr>
                <w:vertAlign w:val="subscript"/>
              </w:rPr>
              <w:t>2</w:t>
            </w:r>
            <w:r w:rsidRPr="002029AF">
              <w:t>-e</w:t>
            </w:r>
          </w:p>
        </w:tc>
        <w:tc>
          <w:tcPr>
            <w:tcW w:w="1511" w:type="dxa"/>
            <w:vAlign w:val="bottom"/>
          </w:tcPr>
          <w:p w14:paraId="5329C74A" w14:textId="77777777" w:rsidR="00FC6F4F" w:rsidRPr="002029AF" w:rsidRDefault="00FC6F4F" w:rsidP="00FC6F4F">
            <w:pPr>
              <w:pStyle w:val="ARtablecolheadright"/>
            </w:pPr>
            <w:r w:rsidRPr="002029AF">
              <w:t>Tonnes CO</w:t>
            </w:r>
            <w:r w:rsidRPr="002029AF">
              <w:rPr>
                <w:vertAlign w:val="subscript"/>
              </w:rPr>
              <w:t>2</w:t>
            </w:r>
            <w:r w:rsidRPr="002029AF">
              <w:t>-e</w:t>
            </w:r>
          </w:p>
        </w:tc>
        <w:tc>
          <w:tcPr>
            <w:tcW w:w="1511" w:type="dxa"/>
            <w:vAlign w:val="bottom"/>
          </w:tcPr>
          <w:p w14:paraId="04CF44F1" w14:textId="77777777" w:rsidR="00FC6F4F" w:rsidRPr="002029AF" w:rsidRDefault="00FC6F4F" w:rsidP="00FC6F4F">
            <w:pPr>
              <w:pStyle w:val="ARtablecolheadright"/>
            </w:pPr>
            <w:r w:rsidRPr="002029AF">
              <w:t>Tonnes CO</w:t>
            </w:r>
            <w:r w:rsidRPr="002029AF">
              <w:rPr>
                <w:vertAlign w:val="subscript"/>
              </w:rPr>
              <w:t>2</w:t>
            </w:r>
            <w:r w:rsidRPr="002029AF">
              <w:t>-e</w:t>
            </w:r>
          </w:p>
        </w:tc>
      </w:tr>
      <w:tr w:rsidR="00FC6F4F" w:rsidRPr="002029AF" w14:paraId="1AAB8050" w14:textId="77777777" w:rsidTr="00FC6F4F">
        <w:trPr>
          <w:cantSplit/>
          <w:trHeight w:val="270"/>
        </w:trPr>
        <w:tc>
          <w:tcPr>
            <w:tcW w:w="5106" w:type="dxa"/>
          </w:tcPr>
          <w:p w14:paraId="437DE6AE" w14:textId="77777777" w:rsidR="00FC6F4F" w:rsidRPr="002029AF" w:rsidRDefault="00FC6F4F" w:rsidP="00FC6F4F">
            <w:pPr>
              <w:pStyle w:val="ARtabletext"/>
            </w:pPr>
            <w:r w:rsidRPr="002029AF">
              <w:t xml:space="preserve">Electricity </w:t>
            </w:r>
          </w:p>
        </w:tc>
        <w:tc>
          <w:tcPr>
            <w:tcW w:w="1511" w:type="dxa"/>
            <w:vAlign w:val="center"/>
          </w:tcPr>
          <w:p w14:paraId="50077727" w14:textId="77777777" w:rsidR="00FC6F4F" w:rsidRPr="002029AF" w:rsidRDefault="00FC6F4F" w:rsidP="00FC6F4F">
            <w:pPr>
              <w:pStyle w:val="ARtabletextright"/>
            </w:pPr>
            <w:r w:rsidRPr="002029AF">
              <w:t>1</w:t>
            </w:r>
            <w:r>
              <w:t>1</w:t>
            </w:r>
            <w:r w:rsidRPr="002029AF">
              <w:t>,</w:t>
            </w:r>
            <w:r>
              <w:t>192</w:t>
            </w:r>
          </w:p>
        </w:tc>
        <w:tc>
          <w:tcPr>
            <w:tcW w:w="1511" w:type="dxa"/>
            <w:vAlign w:val="center"/>
          </w:tcPr>
          <w:p w14:paraId="4972FA1F" w14:textId="77777777" w:rsidR="00FC6F4F" w:rsidRPr="002029AF" w:rsidRDefault="00FC6F4F" w:rsidP="00FC6F4F">
            <w:pPr>
              <w:pStyle w:val="ARtabletextright"/>
            </w:pPr>
            <w:r w:rsidRPr="002029AF">
              <w:t>14,197</w:t>
            </w:r>
          </w:p>
        </w:tc>
        <w:tc>
          <w:tcPr>
            <w:tcW w:w="1511" w:type="dxa"/>
            <w:vAlign w:val="center"/>
          </w:tcPr>
          <w:p w14:paraId="5AF240C4" w14:textId="77777777" w:rsidR="00FC6F4F" w:rsidRPr="002029AF" w:rsidRDefault="00FC6F4F" w:rsidP="00FC6F4F">
            <w:pPr>
              <w:pStyle w:val="ARtabletextright"/>
            </w:pPr>
            <w:r w:rsidRPr="002029AF">
              <w:t>16,105</w:t>
            </w:r>
          </w:p>
        </w:tc>
      </w:tr>
      <w:tr w:rsidR="00FC6F4F" w:rsidRPr="002029AF" w14:paraId="7A38721C" w14:textId="77777777" w:rsidTr="00FC6F4F">
        <w:trPr>
          <w:cantSplit/>
          <w:trHeight w:val="91"/>
        </w:trPr>
        <w:tc>
          <w:tcPr>
            <w:tcW w:w="5106" w:type="dxa"/>
          </w:tcPr>
          <w:p w14:paraId="40664020" w14:textId="77777777" w:rsidR="00FC6F4F" w:rsidRPr="002029AF" w:rsidRDefault="00FC6F4F" w:rsidP="00FC6F4F">
            <w:pPr>
              <w:pStyle w:val="ARtabletext"/>
            </w:pPr>
            <w:r w:rsidRPr="002029AF">
              <w:t>Natural gas</w:t>
            </w:r>
          </w:p>
        </w:tc>
        <w:tc>
          <w:tcPr>
            <w:tcW w:w="1511" w:type="dxa"/>
            <w:vAlign w:val="center"/>
          </w:tcPr>
          <w:p w14:paraId="2DB6D4E8" w14:textId="77777777" w:rsidR="00FC6F4F" w:rsidRPr="002029AF" w:rsidRDefault="00FC6F4F" w:rsidP="00FC6F4F">
            <w:pPr>
              <w:pStyle w:val="ARtabletextright"/>
            </w:pPr>
            <w:r>
              <w:t>1,052</w:t>
            </w:r>
          </w:p>
        </w:tc>
        <w:tc>
          <w:tcPr>
            <w:tcW w:w="1511" w:type="dxa"/>
            <w:vAlign w:val="center"/>
          </w:tcPr>
          <w:p w14:paraId="5A12947B" w14:textId="77777777" w:rsidR="00FC6F4F" w:rsidRPr="002029AF" w:rsidRDefault="00FC6F4F" w:rsidP="00FC6F4F">
            <w:pPr>
              <w:pStyle w:val="ARtabletextright"/>
            </w:pPr>
            <w:r w:rsidRPr="002029AF">
              <w:t>897</w:t>
            </w:r>
          </w:p>
        </w:tc>
        <w:tc>
          <w:tcPr>
            <w:tcW w:w="1511" w:type="dxa"/>
            <w:vAlign w:val="center"/>
          </w:tcPr>
          <w:p w14:paraId="15D72879" w14:textId="77777777" w:rsidR="00FC6F4F" w:rsidRPr="002029AF" w:rsidRDefault="00FC6F4F" w:rsidP="00FC6F4F">
            <w:pPr>
              <w:pStyle w:val="ARtabletextright"/>
            </w:pPr>
            <w:r w:rsidRPr="002029AF">
              <w:t>1,018</w:t>
            </w:r>
          </w:p>
        </w:tc>
      </w:tr>
      <w:tr w:rsidR="00FC6F4F" w:rsidRPr="002029AF" w14:paraId="2D72BB5A" w14:textId="77777777" w:rsidTr="00FC6F4F">
        <w:trPr>
          <w:cantSplit/>
          <w:trHeight w:val="91"/>
        </w:trPr>
        <w:tc>
          <w:tcPr>
            <w:tcW w:w="5106" w:type="dxa"/>
          </w:tcPr>
          <w:p w14:paraId="627E994D" w14:textId="77777777" w:rsidR="00FC6F4F" w:rsidRPr="002029AF" w:rsidRDefault="00FC6F4F" w:rsidP="00FC6F4F">
            <w:pPr>
              <w:pStyle w:val="ARtabletext"/>
              <w:rPr>
                <w:b/>
              </w:rPr>
            </w:pPr>
            <w:r w:rsidRPr="002029AF">
              <w:rPr>
                <w:b/>
              </w:rPr>
              <w:t>Total</w:t>
            </w:r>
          </w:p>
        </w:tc>
        <w:tc>
          <w:tcPr>
            <w:tcW w:w="1511" w:type="dxa"/>
            <w:vAlign w:val="center"/>
          </w:tcPr>
          <w:p w14:paraId="2DCC0600" w14:textId="77777777" w:rsidR="00FC6F4F" w:rsidRPr="002029AF" w:rsidRDefault="00FC6F4F" w:rsidP="00FC6F4F">
            <w:pPr>
              <w:pStyle w:val="ARtabletextrightbold"/>
            </w:pPr>
            <w:r w:rsidRPr="002029AF">
              <w:t>1</w:t>
            </w:r>
            <w:r>
              <w:t>2</w:t>
            </w:r>
            <w:r w:rsidRPr="002029AF">
              <w:t>,</w:t>
            </w:r>
            <w:r>
              <w:t>244</w:t>
            </w:r>
          </w:p>
        </w:tc>
        <w:tc>
          <w:tcPr>
            <w:tcW w:w="1511" w:type="dxa"/>
            <w:vAlign w:val="center"/>
          </w:tcPr>
          <w:p w14:paraId="070EFE7A" w14:textId="77777777" w:rsidR="00FC6F4F" w:rsidRPr="002029AF" w:rsidRDefault="00FC6F4F" w:rsidP="00FC6F4F">
            <w:pPr>
              <w:pStyle w:val="ARtabletextrightbold"/>
            </w:pPr>
            <w:r w:rsidRPr="002029AF">
              <w:t>15,094</w:t>
            </w:r>
          </w:p>
        </w:tc>
        <w:tc>
          <w:tcPr>
            <w:tcW w:w="1511" w:type="dxa"/>
            <w:vAlign w:val="center"/>
          </w:tcPr>
          <w:p w14:paraId="654544F1" w14:textId="77777777" w:rsidR="00FC6F4F" w:rsidRPr="002029AF" w:rsidRDefault="00FC6F4F" w:rsidP="00FC6F4F">
            <w:pPr>
              <w:pStyle w:val="ARtabletextrightbold"/>
            </w:pPr>
            <w:r w:rsidRPr="002029AF">
              <w:t>17,124</w:t>
            </w:r>
          </w:p>
        </w:tc>
      </w:tr>
    </w:tbl>
    <w:p w14:paraId="258A3175" w14:textId="77777777" w:rsidR="00FC6F4F" w:rsidRPr="002029AF" w:rsidRDefault="00FC6F4F" w:rsidP="00D40FE6">
      <w:pPr>
        <w:pStyle w:val="ARbodynospace"/>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2A0" w:firstRow="1" w:lastRow="0" w:firstColumn="1" w:lastColumn="0" w:noHBand="1" w:noVBand="0"/>
      </w:tblPr>
      <w:tblGrid>
        <w:gridCol w:w="5208"/>
        <w:gridCol w:w="1477"/>
        <w:gridCol w:w="1477"/>
        <w:gridCol w:w="1477"/>
      </w:tblGrid>
      <w:tr w:rsidR="00FC6F4F" w:rsidRPr="002029AF" w14:paraId="6A7EF15F" w14:textId="77777777" w:rsidTr="00FC6F4F">
        <w:trPr>
          <w:cantSplit/>
          <w:trHeight w:val="270"/>
          <w:tblHeader/>
        </w:trPr>
        <w:tc>
          <w:tcPr>
            <w:tcW w:w="5208" w:type="dxa"/>
            <w:vAlign w:val="bottom"/>
          </w:tcPr>
          <w:p w14:paraId="41980D1A" w14:textId="77777777" w:rsidR="00FC6F4F" w:rsidRPr="002029AF" w:rsidRDefault="00FC6F4F" w:rsidP="00FC6F4F">
            <w:pPr>
              <w:pStyle w:val="ARtablecolhead"/>
            </w:pPr>
            <w:r w:rsidRPr="002029AF">
              <w:t>Description</w:t>
            </w:r>
          </w:p>
        </w:tc>
        <w:tc>
          <w:tcPr>
            <w:tcW w:w="1477" w:type="dxa"/>
            <w:vAlign w:val="center"/>
          </w:tcPr>
          <w:p w14:paraId="013B6FBF" w14:textId="77777777" w:rsidR="00FC6F4F" w:rsidRPr="002029AF" w:rsidRDefault="00FC6F4F" w:rsidP="00FC6F4F">
            <w:pPr>
              <w:pStyle w:val="ARtablecolheadright"/>
            </w:pPr>
            <w:r w:rsidRPr="002029AF">
              <w:t>20</w:t>
            </w:r>
            <w:r>
              <w:t>20</w:t>
            </w:r>
            <w:r w:rsidRPr="002029AF">
              <w:t>–2</w:t>
            </w:r>
            <w:r>
              <w:t>1</w:t>
            </w:r>
            <w:r w:rsidRPr="002029AF">
              <w:t xml:space="preserve"> estimate</w:t>
            </w:r>
          </w:p>
        </w:tc>
        <w:tc>
          <w:tcPr>
            <w:tcW w:w="1477" w:type="dxa"/>
            <w:vAlign w:val="center"/>
          </w:tcPr>
          <w:p w14:paraId="603AA8EF" w14:textId="77777777" w:rsidR="00FC6F4F" w:rsidRPr="002029AF" w:rsidRDefault="00FC6F4F" w:rsidP="00FC6F4F">
            <w:pPr>
              <w:pStyle w:val="ARtablecolheadright"/>
            </w:pPr>
            <w:r w:rsidRPr="002029AF">
              <w:t>2019–20 estimate</w:t>
            </w:r>
          </w:p>
        </w:tc>
        <w:tc>
          <w:tcPr>
            <w:tcW w:w="1477" w:type="dxa"/>
            <w:vAlign w:val="center"/>
          </w:tcPr>
          <w:p w14:paraId="456FBBA8" w14:textId="77777777" w:rsidR="00FC6F4F" w:rsidRPr="002029AF" w:rsidRDefault="00FC6F4F" w:rsidP="00FC6F4F">
            <w:pPr>
              <w:pStyle w:val="ARtablecolheadright"/>
            </w:pPr>
            <w:r w:rsidRPr="002029AF">
              <w:t>2018–19 estimate</w:t>
            </w:r>
          </w:p>
        </w:tc>
      </w:tr>
      <w:tr w:rsidR="00FC6F4F" w:rsidRPr="002029AF" w14:paraId="760FAA24" w14:textId="77777777" w:rsidTr="00FC6F4F">
        <w:trPr>
          <w:cantSplit/>
          <w:trHeight w:val="270"/>
        </w:trPr>
        <w:tc>
          <w:tcPr>
            <w:tcW w:w="5208" w:type="dxa"/>
          </w:tcPr>
          <w:p w14:paraId="22FEC572" w14:textId="77777777" w:rsidR="00FC6F4F" w:rsidRPr="002029AF" w:rsidRDefault="00FC6F4F" w:rsidP="00FC6F4F">
            <w:pPr>
              <w:pStyle w:val="ARtabletext"/>
            </w:pPr>
            <w:r w:rsidRPr="002029AF">
              <w:t>Energy used per FTE (megajoules/FTE)</w:t>
            </w:r>
          </w:p>
        </w:tc>
        <w:tc>
          <w:tcPr>
            <w:tcW w:w="1477" w:type="dxa"/>
            <w:vAlign w:val="center"/>
          </w:tcPr>
          <w:p w14:paraId="22E96A87" w14:textId="77777777" w:rsidR="00FC6F4F" w:rsidRPr="002029AF" w:rsidRDefault="00FC6F4F" w:rsidP="00FC6F4F">
            <w:pPr>
              <w:pStyle w:val="ARtabletextright"/>
            </w:pPr>
            <w:r>
              <w:t>6,107</w:t>
            </w:r>
          </w:p>
        </w:tc>
        <w:tc>
          <w:tcPr>
            <w:tcW w:w="1477" w:type="dxa"/>
            <w:vAlign w:val="center"/>
          </w:tcPr>
          <w:p w14:paraId="6FA874C9" w14:textId="77777777" w:rsidR="00FC6F4F" w:rsidRPr="002029AF" w:rsidRDefault="00FC6F4F" w:rsidP="00FC6F4F">
            <w:pPr>
              <w:pStyle w:val="ARtabletextright"/>
            </w:pPr>
            <w:r w:rsidRPr="002029AF">
              <w:t>8,150</w:t>
            </w:r>
          </w:p>
        </w:tc>
        <w:tc>
          <w:tcPr>
            <w:tcW w:w="1477" w:type="dxa"/>
            <w:vAlign w:val="center"/>
          </w:tcPr>
          <w:p w14:paraId="2C95489E" w14:textId="77777777" w:rsidR="00FC6F4F" w:rsidRPr="002029AF" w:rsidRDefault="00FC6F4F" w:rsidP="00FC6F4F">
            <w:pPr>
              <w:pStyle w:val="ARtabletextright"/>
            </w:pPr>
            <w:r w:rsidRPr="002029AF">
              <w:t>8,319</w:t>
            </w:r>
          </w:p>
        </w:tc>
      </w:tr>
      <w:tr w:rsidR="00FC6F4F" w:rsidRPr="002029AF" w14:paraId="1276D73F" w14:textId="77777777" w:rsidTr="00FC6F4F">
        <w:trPr>
          <w:cantSplit/>
          <w:trHeight w:val="315"/>
        </w:trPr>
        <w:tc>
          <w:tcPr>
            <w:tcW w:w="5208" w:type="dxa"/>
          </w:tcPr>
          <w:p w14:paraId="51FF11A0" w14:textId="77777777" w:rsidR="00FC6F4F" w:rsidRPr="002029AF" w:rsidRDefault="00FC6F4F" w:rsidP="00FC6F4F">
            <w:pPr>
              <w:pStyle w:val="ARtabletext"/>
            </w:pPr>
            <w:r w:rsidRPr="002029AF">
              <w:t>Energy intensity (megajoules/m</w:t>
            </w:r>
            <w:r w:rsidRPr="002029AF">
              <w:rPr>
                <w:vertAlign w:val="superscript"/>
              </w:rPr>
              <w:t>2</w:t>
            </w:r>
            <w:r w:rsidRPr="002029AF">
              <w:t>)</w:t>
            </w:r>
          </w:p>
        </w:tc>
        <w:tc>
          <w:tcPr>
            <w:tcW w:w="1477" w:type="dxa"/>
            <w:vAlign w:val="center"/>
          </w:tcPr>
          <w:p w14:paraId="41540C5A" w14:textId="77777777" w:rsidR="00FC6F4F" w:rsidRPr="002029AF" w:rsidRDefault="00FC6F4F" w:rsidP="00FC6F4F">
            <w:pPr>
              <w:pStyle w:val="ARtabletextright"/>
            </w:pPr>
            <w:r>
              <w:t>404</w:t>
            </w:r>
          </w:p>
        </w:tc>
        <w:tc>
          <w:tcPr>
            <w:tcW w:w="1477" w:type="dxa"/>
            <w:vAlign w:val="center"/>
          </w:tcPr>
          <w:p w14:paraId="506AC1BE" w14:textId="77777777" w:rsidR="00FC6F4F" w:rsidRPr="002029AF" w:rsidRDefault="00FC6F4F" w:rsidP="00FC6F4F">
            <w:pPr>
              <w:pStyle w:val="ARtabletextright"/>
            </w:pPr>
            <w:r w:rsidRPr="002029AF">
              <w:t>427</w:t>
            </w:r>
          </w:p>
        </w:tc>
        <w:tc>
          <w:tcPr>
            <w:tcW w:w="1477" w:type="dxa"/>
            <w:vAlign w:val="center"/>
          </w:tcPr>
          <w:p w14:paraId="2A978931" w14:textId="77777777" w:rsidR="00FC6F4F" w:rsidRPr="002029AF" w:rsidRDefault="00FC6F4F" w:rsidP="00FC6F4F">
            <w:pPr>
              <w:pStyle w:val="ARtabletextright"/>
            </w:pPr>
            <w:r w:rsidRPr="002029AF">
              <w:t>477</w:t>
            </w:r>
          </w:p>
        </w:tc>
      </w:tr>
      <w:tr w:rsidR="00FC6F4F" w:rsidRPr="002029AF" w14:paraId="77440CD0" w14:textId="77777777" w:rsidTr="00FC6F4F">
        <w:trPr>
          <w:cantSplit/>
          <w:trHeight w:val="270"/>
        </w:trPr>
        <w:tc>
          <w:tcPr>
            <w:tcW w:w="5208" w:type="dxa"/>
          </w:tcPr>
          <w:p w14:paraId="742C596F" w14:textId="77777777" w:rsidR="00FC6F4F" w:rsidRPr="002029AF" w:rsidRDefault="00FC6F4F" w:rsidP="00FC6F4F">
            <w:pPr>
              <w:pStyle w:val="ARtabletext"/>
            </w:pPr>
            <w:r w:rsidRPr="002029AF">
              <w:t>Green power purchased</w:t>
            </w:r>
          </w:p>
        </w:tc>
        <w:tc>
          <w:tcPr>
            <w:tcW w:w="1477" w:type="dxa"/>
            <w:vAlign w:val="center"/>
          </w:tcPr>
          <w:p w14:paraId="646FF773" w14:textId="77777777" w:rsidR="00FC6F4F" w:rsidRPr="002029AF" w:rsidRDefault="00FC6F4F" w:rsidP="00FC6F4F">
            <w:pPr>
              <w:pStyle w:val="ARtabletextright"/>
            </w:pPr>
            <w:r w:rsidRPr="002029AF">
              <w:t>0.00%</w:t>
            </w:r>
          </w:p>
        </w:tc>
        <w:tc>
          <w:tcPr>
            <w:tcW w:w="1477" w:type="dxa"/>
            <w:vAlign w:val="center"/>
          </w:tcPr>
          <w:p w14:paraId="3674E7FF" w14:textId="77777777" w:rsidR="00FC6F4F" w:rsidRPr="002029AF" w:rsidRDefault="00FC6F4F" w:rsidP="00FC6F4F">
            <w:pPr>
              <w:pStyle w:val="ARtabletextright"/>
            </w:pPr>
            <w:r w:rsidRPr="002029AF">
              <w:t>0.00%</w:t>
            </w:r>
          </w:p>
        </w:tc>
        <w:tc>
          <w:tcPr>
            <w:tcW w:w="1477" w:type="dxa"/>
            <w:vAlign w:val="center"/>
          </w:tcPr>
          <w:p w14:paraId="3DF4E6B9" w14:textId="77777777" w:rsidR="00FC6F4F" w:rsidRPr="002029AF" w:rsidRDefault="00FC6F4F" w:rsidP="00FC6F4F">
            <w:pPr>
              <w:pStyle w:val="ARtabletextright"/>
            </w:pPr>
            <w:r w:rsidRPr="002029AF">
              <w:t>0.00%</w:t>
            </w:r>
          </w:p>
        </w:tc>
      </w:tr>
    </w:tbl>
    <w:p w14:paraId="08AC7DF4" w14:textId="77777777" w:rsidR="00FC6F4F" w:rsidRPr="002029AF" w:rsidRDefault="00FC6F4F" w:rsidP="00897193">
      <w:pPr>
        <w:pStyle w:val="ARtablefootnote"/>
      </w:pPr>
      <w:r w:rsidRPr="002029AF">
        <w:t xml:space="preserve">Office-based electricity data represents 99 per cent of office-based FTE and </w:t>
      </w:r>
      <w:r>
        <w:t>97</w:t>
      </w:r>
      <w:r w:rsidRPr="002029AF">
        <w:t xml:space="preserve"> per cent of total office area.</w:t>
      </w:r>
    </w:p>
    <w:p w14:paraId="5C68ACD1" w14:textId="77777777" w:rsidR="00FC6F4F" w:rsidRPr="002029AF" w:rsidRDefault="00FC6F4F" w:rsidP="00897193">
      <w:pPr>
        <w:pStyle w:val="ARtablefootnote"/>
      </w:pPr>
      <w:r w:rsidRPr="002029AF">
        <w:t xml:space="preserve">Office-based gas data represents </w:t>
      </w:r>
      <w:r>
        <w:t>77</w:t>
      </w:r>
      <w:r w:rsidRPr="002029AF">
        <w:t xml:space="preserve"> per cent of office-based FTE and 57 per cent of total office area.</w:t>
      </w:r>
    </w:p>
    <w:p w14:paraId="36BAAA17" w14:textId="77777777" w:rsidR="00FC6F4F" w:rsidRPr="002029AF" w:rsidRDefault="00FC6F4F" w:rsidP="00897193">
      <w:pPr>
        <w:pStyle w:val="ARtablefootnote"/>
      </w:pPr>
      <w:r>
        <w:t>Office-based electricity data includes a 15 per cent estimate and office-based gas data includes a 35 per cent estimate in 2020–21 due to some data being unavailable from energy retailers at the time of reporting.</w:t>
      </w:r>
    </w:p>
    <w:p w14:paraId="321BF7DE" w14:textId="77777777" w:rsidR="00FC6F4F" w:rsidRPr="002029AF" w:rsidRDefault="00FC6F4F" w:rsidP="00897193">
      <w:pPr>
        <w:pStyle w:val="ARtablefootnote"/>
      </w:pPr>
      <w:r w:rsidRPr="002029AF">
        <w:t>($M) Million</w:t>
      </w:r>
    </w:p>
    <w:p w14:paraId="7600CC5F" w14:textId="77777777" w:rsidR="00FC6F4F" w:rsidRPr="002029AF" w:rsidRDefault="00FC6F4F" w:rsidP="001C1AB1">
      <w:pPr>
        <w:pStyle w:val="Heading5"/>
      </w:pPr>
      <w:bookmarkStart w:id="644" w:name="_Toc85121317"/>
      <w:r w:rsidRPr="002029AF">
        <w:t>Housing services</w:t>
      </w:r>
      <w:bookmarkEnd w:id="644"/>
    </w:p>
    <w:p w14:paraId="17AD58B8" w14:textId="77777777" w:rsidR="00FC6F4F" w:rsidRPr="002029AF" w:rsidRDefault="00FC6F4F" w:rsidP="00216972">
      <w:pPr>
        <w:pStyle w:val="Heading6"/>
        <w:rPr>
          <w:lang w:eastAsia="en-AU"/>
        </w:rPr>
      </w:pPr>
      <w:bookmarkStart w:id="645" w:name="_Toc85121318"/>
      <w:r w:rsidRPr="002029AF">
        <w:rPr>
          <w:lang w:eastAsia="en-AU"/>
        </w:rPr>
        <w:t>Electricity</w:t>
      </w:r>
      <w:bookmarkEnd w:id="645"/>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835"/>
        <w:gridCol w:w="1304"/>
        <w:gridCol w:w="964"/>
        <w:gridCol w:w="1304"/>
        <w:gridCol w:w="964"/>
        <w:gridCol w:w="1304"/>
        <w:gridCol w:w="964"/>
      </w:tblGrid>
      <w:tr w:rsidR="00FC6F4F" w:rsidRPr="002029AF" w14:paraId="71652A3F" w14:textId="77777777" w:rsidTr="007C6076">
        <w:trPr>
          <w:cantSplit/>
          <w:trHeight w:val="230"/>
          <w:tblHeader/>
        </w:trPr>
        <w:tc>
          <w:tcPr>
            <w:tcW w:w="2835" w:type="dxa"/>
            <w:vAlign w:val="bottom"/>
          </w:tcPr>
          <w:p w14:paraId="7031363A" w14:textId="77777777" w:rsidR="00FC6F4F" w:rsidRPr="002029AF" w:rsidRDefault="00FC6F4F" w:rsidP="00FC6F4F">
            <w:pPr>
              <w:pStyle w:val="ARtablecolhead"/>
            </w:pPr>
            <w:r w:rsidRPr="002029AF">
              <w:t>Description</w:t>
            </w:r>
          </w:p>
        </w:tc>
        <w:tc>
          <w:tcPr>
            <w:tcW w:w="1304" w:type="dxa"/>
            <w:vAlign w:val="center"/>
          </w:tcPr>
          <w:p w14:paraId="2AFA2F6E" w14:textId="77777777" w:rsidR="00FC6F4F" w:rsidRPr="002029AF" w:rsidRDefault="00FC6F4F" w:rsidP="00FC6F4F">
            <w:pPr>
              <w:pStyle w:val="ARtablecolheadright"/>
            </w:pPr>
            <w:r w:rsidRPr="002029AF">
              <w:t>20</w:t>
            </w:r>
            <w:r>
              <w:t>20</w:t>
            </w:r>
            <w:r w:rsidRPr="002029AF">
              <w:t>–2</w:t>
            </w:r>
            <w:r>
              <w:t>1</w:t>
            </w:r>
            <w:r w:rsidRPr="002029AF">
              <w:t xml:space="preserve"> </w:t>
            </w:r>
            <w:r w:rsidRPr="002029AF">
              <w:br/>
              <w:t>estimate</w:t>
            </w:r>
          </w:p>
        </w:tc>
        <w:tc>
          <w:tcPr>
            <w:tcW w:w="964" w:type="dxa"/>
            <w:vAlign w:val="center"/>
          </w:tcPr>
          <w:p w14:paraId="5AFA5937" w14:textId="77777777" w:rsidR="00FC6F4F" w:rsidRPr="002029AF" w:rsidRDefault="00FC6F4F" w:rsidP="00FC6F4F">
            <w:pPr>
              <w:pStyle w:val="ARtablecolheadright"/>
            </w:pPr>
            <w:r w:rsidRPr="002029AF">
              <w:t>20</w:t>
            </w:r>
            <w:r>
              <w:t>20</w:t>
            </w:r>
            <w:r w:rsidRPr="002029AF">
              <w:t>–2</w:t>
            </w:r>
            <w:r>
              <w:t>1</w:t>
            </w:r>
            <w:r w:rsidRPr="002029AF">
              <w:t xml:space="preserve"> </w:t>
            </w:r>
            <w:r w:rsidRPr="002029AF">
              <w:br/>
              <w:t>estimate</w:t>
            </w:r>
          </w:p>
        </w:tc>
        <w:tc>
          <w:tcPr>
            <w:tcW w:w="1304" w:type="dxa"/>
            <w:vAlign w:val="center"/>
          </w:tcPr>
          <w:p w14:paraId="513D6D0B" w14:textId="77777777" w:rsidR="00FC6F4F" w:rsidRPr="002029AF" w:rsidRDefault="00FC6F4F" w:rsidP="00FC6F4F">
            <w:pPr>
              <w:pStyle w:val="ARtablecolheadright"/>
            </w:pPr>
            <w:r w:rsidRPr="002029AF">
              <w:t xml:space="preserve">2019–20 </w:t>
            </w:r>
            <w:r w:rsidRPr="002029AF">
              <w:br/>
              <w:t>estimate</w:t>
            </w:r>
          </w:p>
        </w:tc>
        <w:tc>
          <w:tcPr>
            <w:tcW w:w="964" w:type="dxa"/>
            <w:vAlign w:val="center"/>
          </w:tcPr>
          <w:p w14:paraId="3C8D2593" w14:textId="77777777" w:rsidR="00FC6F4F" w:rsidRPr="002029AF" w:rsidRDefault="00FC6F4F" w:rsidP="00FC6F4F">
            <w:pPr>
              <w:pStyle w:val="ARtablecolheadright"/>
            </w:pPr>
            <w:r w:rsidRPr="002029AF">
              <w:t xml:space="preserve">2019–20 </w:t>
            </w:r>
            <w:r w:rsidRPr="002029AF">
              <w:br/>
              <w:t>estimate</w:t>
            </w:r>
          </w:p>
        </w:tc>
        <w:tc>
          <w:tcPr>
            <w:tcW w:w="1304" w:type="dxa"/>
            <w:vAlign w:val="center"/>
          </w:tcPr>
          <w:p w14:paraId="0DE7456F" w14:textId="77777777" w:rsidR="00FC6F4F" w:rsidRPr="002029AF" w:rsidRDefault="00FC6F4F" w:rsidP="00FC6F4F">
            <w:pPr>
              <w:pStyle w:val="ARtablecolheadright"/>
            </w:pPr>
            <w:r w:rsidRPr="002029AF">
              <w:t xml:space="preserve">2018–19 </w:t>
            </w:r>
            <w:r w:rsidRPr="002029AF">
              <w:br/>
              <w:t>estimate</w:t>
            </w:r>
          </w:p>
        </w:tc>
        <w:tc>
          <w:tcPr>
            <w:tcW w:w="964" w:type="dxa"/>
            <w:vAlign w:val="center"/>
          </w:tcPr>
          <w:p w14:paraId="7C5F5C4F" w14:textId="77777777" w:rsidR="00FC6F4F" w:rsidRPr="002029AF" w:rsidRDefault="00FC6F4F" w:rsidP="00FC6F4F">
            <w:pPr>
              <w:pStyle w:val="ARtablecolheadright"/>
            </w:pPr>
            <w:r w:rsidRPr="002029AF">
              <w:t xml:space="preserve">2018–19 </w:t>
            </w:r>
            <w:r w:rsidRPr="002029AF">
              <w:br/>
              <w:t>estimate</w:t>
            </w:r>
          </w:p>
        </w:tc>
      </w:tr>
      <w:tr w:rsidR="00FC6F4F" w:rsidRPr="002029AF" w14:paraId="3B06F0D8" w14:textId="77777777" w:rsidTr="007C6076">
        <w:trPr>
          <w:cantSplit/>
          <w:trHeight w:val="335"/>
          <w:tblHeader/>
        </w:trPr>
        <w:tc>
          <w:tcPr>
            <w:tcW w:w="2835" w:type="dxa"/>
            <w:vAlign w:val="bottom"/>
          </w:tcPr>
          <w:p w14:paraId="5112B44A" w14:textId="77777777" w:rsidR="00FC6F4F" w:rsidRPr="002029AF" w:rsidRDefault="00FC6F4F" w:rsidP="00FC6F4F">
            <w:pPr>
              <w:pStyle w:val="ARtablecolhead"/>
            </w:pPr>
            <w:r w:rsidRPr="002029AF">
              <w:t>Total energy usage segmented by primary source</w:t>
            </w:r>
          </w:p>
        </w:tc>
        <w:tc>
          <w:tcPr>
            <w:tcW w:w="1304" w:type="dxa"/>
            <w:vAlign w:val="bottom"/>
          </w:tcPr>
          <w:p w14:paraId="559B4908" w14:textId="77777777" w:rsidR="00FC6F4F" w:rsidRPr="002029AF" w:rsidRDefault="00FC6F4F" w:rsidP="00FC6F4F">
            <w:pPr>
              <w:pStyle w:val="ARtablecolheadright"/>
            </w:pPr>
            <w:r w:rsidRPr="002029AF">
              <w:t>Megajoules</w:t>
            </w:r>
          </w:p>
        </w:tc>
        <w:tc>
          <w:tcPr>
            <w:tcW w:w="964" w:type="dxa"/>
            <w:vAlign w:val="bottom"/>
          </w:tcPr>
          <w:p w14:paraId="414DA30E" w14:textId="77777777" w:rsidR="00FC6F4F" w:rsidRPr="002029AF" w:rsidRDefault="00FC6F4F" w:rsidP="00FC6F4F">
            <w:pPr>
              <w:pStyle w:val="ARtablecolheadright"/>
            </w:pPr>
            <w:r w:rsidRPr="002029AF">
              <w:t>Cost</w:t>
            </w:r>
          </w:p>
          <w:p w14:paraId="5A75202F" w14:textId="77777777" w:rsidR="00FC6F4F" w:rsidRPr="002029AF" w:rsidRDefault="00FC6F4F" w:rsidP="00FC6F4F">
            <w:pPr>
              <w:pStyle w:val="ARtablecolheadright"/>
            </w:pPr>
            <w:r w:rsidRPr="002029AF">
              <w:t>($M)</w:t>
            </w:r>
          </w:p>
        </w:tc>
        <w:tc>
          <w:tcPr>
            <w:tcW w:w="1304" w:type="dxa"/>
            <w:vAlign w:val="bottom"/>
          </w:tcPr>
          <w:p w14:paraId="5A608B95" w14:textId="77777777" w:rsidR="00FC6F4F" w:rsidRPr="002029AF" w:rsidRDefault="00FC6F4F" w:rsidP="00FC6F4F">
            <w:pPr>
              <w:pStyle w:val="ARtablecolheadright"/>
            </w:pPr>
            <w:r w:rsidRPr="002029AF">
              <w:t>Megajoules</w:t>
            </w:r>
          </w:p>
        </w:tc>
        <w:tc>
          <w:tcPr>
            <w:tcW w:w="964" w:type="dxa"/>
            <w:vAlign w:val="bottom"/>
          </w:tcPr>
          <w:p w14:paraId="44D7AB2B" w14:textId="77777777" w:rsidR="00FC6F4F" w:rsidRPr="002029AF" w:rsidRDefault="00FC6F4F" w:rsidP="00FC6F4F">
            <w:pPr>
              <w:pStyle w:val="ARtablecolheadright"/>
            </w:pPr>
            <w:r w:rsidRPr="002029AF">
              <w:t>Cost</w:t>
            </w:r>
          </w:p>
          <w:p w14:paraId="20CE7ADF" w14:textId="77777777" w:rsidR="00FC6F4F" w:rsidRPr="002029AF" w:rsidRDefault="00FC6F4F" w:rsidP="00FC6F4F">
            <w:pPr>
              <w:pStyle w:val="ARtablecolheadright"/>
            </w:pPr>
            <w:r w:rsidRPr="002029AF">
              <w:t>($M)</w:t>
            </w:r>
          </w:p>
        </w:tc>
        <w:tc>
          <w:tcPr>
            <w:tcW w:w="1304" w:type="dxa"/>
            <w:vAlign w:val="bottom"/>
          </w:tcPr>
          <w:p w14:paraId="2C4C8638" w14:textId="77777777" w:rsidR="00FC6F4F" w:rsidRPr="002029AF" w:rsidRDefault="00FC6F4F" w:rsidP="00FC6F4F">
            <w:pPr>
              <w:pStyle w:val="ARtablecolheadright"/>
            </w:pPr>
            <w:r w:rsidRPr="002029AF">
              <w:t>Megajoules</w:t>
            </w:r>
          </w:p>
        </w:tc>
        <w:tc>
          <w:tcPr>
            <w:tcW w:w="964" w:type="dxa"/>
            <w:vAlign w:val="bottom"/>
          </w:tcPr>
          <w:p w14:paraId="0EC5D795" w14:textId="77777777" w:rsidR="00FC6F4F" w:rsidRPr="002029AF" w:rsidRDefault="00FC6F4F" w:rsidP="00FC6F4F">
            <w:pPr>
              <w:pStyle w:val="ARtablecolheadright"/>
            </w:pPr>
            <w:r w:rsidRPr="002029AF">
              <w:t>Cost</w:t>
            </w:r>
          </w:p>
          <w:p w14:paraId="56EC1C4F" w14:textId="77777777" w:rsidR="00FC6F4F" w:rsidRPr="002029AF" w:rsidRDefault="00FC6F4F" w:rsidP="00FC6F4F">
            <w:pPr>
              <w:pStyle w:val="ARtablecolheadright"/>
            </w:pPr>
            <w:r w:rsidRPr="002029AF">
              <w:t>($M)</w:t>
            </w:r>
          </w:p>
        </w:tc>
      </w:tr>
      <w:tr w:rsidR="00FC6F4F" w:rsidRPr="002029AF" w14:paraId="03C12A6E" w14:textId="77777777" w:rsidTr="00206595">
        <w:trPr>
          <w:cantSplit/>
          <w:trHeight w:val="335"/>
        </w:trPr>
        <w:tc>
          <w:tcPr>
            <w:tcW w:w="2835" w:type="dxa"/>
          </w:tcPr>
          <w:p w14:paraId="145268C3" w14:textId="68D9700D" w:rsidR="00FC6F4F" w:rsidRPr="002029AF" w:rsidRDefault="00FC6F4F" w:rsidP="00FC6F4F">
            <w:pPr>
              <w:pStyle w:val="ARtabletext"/>
            </w:pPr>
            <w:r w:rsidRPr="002029AF">
              <w:t>High-rise public housing electricity use</w:t>
            </w:r>
          </w:p>
        </w:tc>
        <w:tc>
          <w:tcPr>
            <w:tcW w:w="1304" w:type="dxa"/>
          </w:tcPr>
          <w:p w14:paraId="3889AF99" w14:textId="77777777" w:rsidR="00FC6F4F" w:rsidRPr="002029AF" w:rsidRDefault="00FC6F4F" w:rsidP="00FC6F4F">
            <w:pPr>
              <w:pStyle w:val="ARtabletextright"/>
            </w:pPr>
            <w:r w:rsidRPr="002029AF">
              <w:t>4</w:t>
            </w:r>
            <w:r>
              <w:t>4</w:t>
            </w:r>
            <w:r w:rsidRPr="002029AF">
              <w:t>,</w:t>
            </w:r>
            <w:r>
              <w:t>888</w:t>
            </w:r>
            <w:r w:rsidRPr="002029AF">
              <w:t>,4</w:t>
            </w:r>
            <w:r>
              <w:t>3</w:t>
            </w:r>
            <w:r w:rsidRPr="002029AF">
              <w:t>9</w:t>
            </w:r>
          </w:p>
        </w:tc>
        <w:tc>
          <w:tcPr>
            <w:tcW w:w="964" w:type="dxa"/>
          </w:tcPr>
          <w:p w14:paraId="15224140" w14:textId="77777777" w:rsidR="00FC6F4F" w:rsidRPr="002029AF" w:rsidRDefault="00FC6F4F" w:rsidP="00FC6F4F">
            <w:pPr>
              <w:pStyle w:val="ARtabletextright"/>
            </w:pPr>
            <w:r w:rsidRPr="002029AF">
              <w:t>$2.</w:t>
            </w:r>
            <w:r>
              <w:t>38</w:t>
            </w:r>
          </w:p>
        </w:tc>
        <w:tc>
          <w:tcPr>
            <w:tcW w:w="1304" w:type="dxa"/>
          </w:tcPr>
          <w:p w14:paraId="5E2DDE5C" w14:textId="77777777" w:rsidR="00FC6F4F" w:rsidRPr="002029AF" w:rsidRDefault="00FC6F4F" w:rsidP="00FC6F4F">
            <w:pPr>
              <w:pStyle w:val="ARtabletextright"/>
            </w:pPr>
            <w:r w:rsidRPr="005F6ED5">
              <w:t>4</w:t>
            </w:r>
            <w:r>
              <w:t>8</w:t>
            </w:r>
            <w:r w:rsidRPr="005F6ED5">
              <w:t>,517,336</w:t>
            </w:r>
          </w:p>
        </w:tc>
        <w:tc>
          <w:tcPr>
            <w:tcW w:w="964" w:type="dxa"/>
          </w:tcPr>
          <w:p w14:paraId="20B84C69" w14:textId="77777777" w:rsidR="00FC6F4F" w:rsidRPr="002029AF" w:rsidRDefault="00FC6F4F" w:rsidP="00FC6F4F">
            <w:pPr>
              <w:pStyle w:val="ARtabletextright"/>
            </w:pPr>
            <w:r w:rsidRPr="002029AF">
              <w:t>$2.</w:t>
            </w:r>
            <w:r>
              <w:t>87</w:t>
            </w:r>
          </w:p>
        </w:tc>
        <w:tc>
          <w:tcPr>
            <w:tcW w:w="1304" w:type="dxa"/>
          </w:tcPr>
          <w:p w14:paraId="59581B94" w14:textId="77777777" w:rsidR="00FC6F4F" w:rsidRPr="002029AF" w:rsidRDefault="00FC6F4F" w:rsidP="00FC6F4F">
            <w:pPr>
              <w:pStyle w:val="ARtabletextright"/>
            </w:pPr>
            <w:r w:rsidRPr="002029AF">
              <w:t>53,328,245</w:t>
            </w:r>
          </w:p>
        </w:tc>
        <w:tc>
          <w:tcPr>
            <w:tcW w:w="964" w:type="dxa"/>
          </w:tcPr>
          <w:p w14:paraId="2426E8E4" w14:textId="77777777" w:rsidR="00FC6F4F" w:rsidRPr="002029AF" w:rsidRDefault="00FC6F4F" w:rsidP="00FC6F4F">
            <w:pPr>
              <w:pStyle w:val="ARtabletextright"/>
            </w:pPr>
            <w:r w:rsidRPr="002029AF">
              <w:t>$3.16</w:t>
            </w:r>
          </w:p>
        </w:tc>
      </w:tr>
      <w:tr w:rsidR="00FC6F4F" w:rsidRPr="002029AF" w14:paraId="41E90A6F" w14:textId="77777777" w:rsidTr="00206595">
        <w:trPr>
          <w:cantSplit/>
          <w:trHeight w:val="335"/>
        </w:trPr>
        <w:tc>
          <w:tcPr>
            <w:tcW w:w="2835" w:type="dxa"/>
          </w:tcPr>
          <w:p w14:paraId="248568E6" w14:textId="77777777" w:rsidR="00FC6F4F" w:rsidRPr="002029AF" w:rsidRDefault="00FC6F4F" w:rsidP="00FC6F4F">
            <w:pPr>
              <w:pStyle w:val="ARtabletext"/>
            </w:pPr>
            <w:r w:rsidRPr="002029AF">
              <w:t>Other public housing electricity use</w:t>
            </w:r>
          </w:p>
        </w:tc>
        <w:tc>
          <w:tcPr>
            <w:tcW w:w="1304" w:type="dxa"/>
          </w:tcPr>
          <w:p w14:paraId="2D15F61B" w14:textId="77777777" w:rsidR="00FC6F4F" w:rsidRPr="002029AF" w:rsidRDefault="00FC6F4F" w:rsidP="00FC6F4F">
            <w:pPr>
              <w:pStyle w:val="ARtabletextright"/>
            </w:pPr>
            <w:r w:rsidRPr="002029AF">
              <w:t>3</w:t>
            </w:r>
            <w:r>
              <w:t>1</w:t>
            </w:r>
            <w:r w:rsidRPr="002029AF">
              <w:t>,</w:t>
            </w:r>
            <w:r>
              <w:t>184,771</w:t>
            </w:r>
          </w:p>
        </w:tc>
        <w:tc>
          <w:tcPr>
            <w:tcW w:w="964" w:type="dxa"/>
          </w:tcPr>
          <w:p w14:paraId="3E8F2647" w14:textId="77777777" w:rsidR="00FC6F4F" w:rsidRPr="002029AF" w:rsidRDefault="00FC6F4F" w:rsidP="00FC6F4F">
            <w:pPr>
              <w:pStyle w:val="ARtabletextright"/>
            </w:pPr>
            <w:r w:rsidRPr="002029AF">
              <w:t>$2.</w:t>
            </w:r>
            <w:r>
              <w:t>16</w:t>
            </w:r>
          </w:p>
        </w:tc>
        <w:tc>
          <w:tcPr>
            <w:tcW w:w="1304" w:type="dxa"/>
          </w:tcPr>
          <w:p w14:paraId="14BC3BAD" w14:textId="77777777" w:rsidR="00FC6F4F" w:rsidRPr="002029AF" w:rsidRDefault="00FC6F4F" w:rsidP="00FC6F4F">
            <w:pPr>
              <w:pStyle w:val="ARtabletextright"/>
            </w:pPr>
            <w:r w:rsidRPr="006E3DC1">
              <w:t>32,736,869</w:t>
            </w:r>
          </w:p>
        </w:tc>
        <w:tc>
          <w:tcPr>
            <w:tcW w:w="964" w:type="dxa"/>
          </w:tcPr>
          <w:p w14:paraId="144A1313" w14:textId="77777777" w:rsidR="00FC6F4F" w:rsidRPr="002029AF" w:rsidRDefault="00FC6F4F" w:rsidP="00FC6F4F">
            <w:pPr>
              <w:pStyle w:val="ARtabletextright"/>
            </w:pPr>
            <w:r w:rsidRPr="002029AF">
              <w:t>$2.</w:t>
            </w:r>
            <w:r>
              <w:t>45</w:t>
            </w:r>
          </w:p>
        </w:tc>
        <w:tc>
          <w:tcPr>
            <w:tcW w:w="1304" w:type="dxa"/>
          </w:tcPr>
          <w:p w14:paraId="78CA6E5B" w14:textId="77777777" w:rsidR="00FC6F4F" w:rsidRPr="002029AF" w:rsidRDefault="00FC6F4F" w:rsidP="00FC6F4F">
            <w:pPr>
              <w:pStyle w:val="ARtabletextright"/>
            </w:pPr>
            <w:r w:rsidRPr="002029AF">
              <w:t>32,172,003</w:t>
            </w:r>
          </w:p>
        </w:tc>
        <w:tc>
          <w:tcPr>
            <w:tcW w:w="964" w:type="dxa"/>
          </w:tcPr>
          <w:p w14:paraId="08F88A94" w14:textId="77777777" w:rsidR="00FC6F4F" w:rsidRPr="002029AF" w:rsidRDefault="00FC6F4F" w:rsidP="00FC6F4F">
            <w:pPr>
              <w:pStyle w:val="ARtabletextright"/>
            </w:pPr>
            <w:r w:rsidRPr="002029AF">
              <w:t>$2.30</w:t>
            </w:r>
          </w:p>
        </w:tc>
      </w:tr>
      <w:tr w:rsidR="00FC6F4F" w:rsidRPr="002029AF" w14:paraId="48751382" w14:textId="77777777" w:rsidTr="00206595">
        <w:trPr>
          <w:cantSplit/>
          <w:trHeight w:val="379"/>
        </w:trPr>
        <w:tc>
          <w:tcPr>
            <w:tcW w:w="2835" w:type="dxa"/>
          </w:tcPr>
          <w:p w14:paraId="244226C8" w14:textId="77777777" w:rsidR="00FC6F4F" w:rsidRPr="002029AF" w:rsidRDefault="00FC6F4F" w:rsidP="00FC6F4F">
            <w:pPr>
              <w:pStyle w:val="ARtabletext"/>
            </w:pPr>
            <w:r w:rsidRPr="002029AF">
              <w:t>Disability housing electricity use</w:t>
            </w:r>
          </w:p>
        </w:tc>
        <w:tc>
          <w:tcPr>
            <w:tcW w:w="1304" w:type="dxa"/>
          </w:tcPr>
          <w:p w14:paraId="18D6940F" w14:textId="77777777" w:rsidR="00FC6F4F" w:rsidRPr="002029AF" w:rsidRDefault="00FC6F4F" w:rsidP="00FC6F4F">
            <w:pPr>
              <w:pStyle w:val="ARtabletextright"/>
            </w:pPr>
            <w:r>
              <w:t>7</w:t>
            </w:r>
            <w:r w:rsidRPr="002029AF">
              <w:t>,</w:t>
            </w:r>
            <w:r>
              <w:t>973</w:t>
            </w:r>
            <w:r w:rsidRPr="002029AF">
              <w:t>,</w:t>
            </w:r>
            <w:r>
              <w:t>771</w:t>
            </w:r>
          </w:p>
        </w:tc>
        <w:tc>
          <w:tcPr>
            <w:tcW w:w="964" w:type="dxa"/>
          </w:tcPr>
          <w:p w14:paraId="7AFACF46" w14:textId="77777777" w:rsidR="00FC6F4F" w:rsidRPr="002029AF" w:rsidRDefault="00FC6F4F" w:rsidP="00FC6F4F">
            <w:pPr>
              <w:pStyle w:val="ARtabletextright"/>
            </w:pPr>
            <w:r w:rsidRPr="002029AF">
              <w:t>$</w:t>
            </w:r>
            <w:r>
              <w:t>0.47</w:t>
            </w:r>
          </w:p>
        </w:tc>
        <w:tc>
          <w:tcPr>
            <w:tcW w:w="1304" w:type="dxa"/>
          </w:tcPr>
          <w:p w14:paraId="02EEA9BE" w14:textId="77777777" w:rsidR="00FC6F4F" w:rsidRPr="002029AF" w:rsidRDefault="00FC6F4F" w:rsidP="00FC6F4F">
            <w:pPr>
              <w:pStyle w:val="ARtabletextright"/>
            </w:pPr>
            <w:r w:rsidRPr="001D439B">
              <w:t>23,827,528</w:t>
            </w:r>
          </w:p>
        </w:tc>
        <w:tc>
          <w:tcPr>
            <w:tcW w:w="964" w:type="dxa"/>
          </w:tcPr>
          <w:p w14:paraId="18F29480" w14:textId="77777777" w:rsidR="00FC6F4F" w:rsidRPr="002029AF" w:rsidRDefault="00FC6F4F" w:rsidP="00FC6F4F">
            <w:pPr>
              <w:pStyle w:val="ARtabletextright"/>
            </w:pPr>
            <w:r w:rsidRPr="002029AF">
              <w:t>$</w:t>
            </w:r>
            <w:r>
              <w:t>1</w:t>
            </w:r>
            <w:r w:rsidRPr="002029AF">
              <w:t>.</w:t>
            </w:r>
            <w:r>
              <w:t>48</w:t>
            </w:r>
          </w:p>
        </w:tc>
        <w:tc>
          <w:tcPr>
            <w:tcW w:w="1304" w:type="dxa"/>
          </w:tcPr>
          <w:p w14:paraId="2D37A801" w14:textId="77777777" w:rsidR="00FC6F4F" w:rsidRPr="002029AF" w:rsidRDefault="00FC6F4F" w:rsidP="00FC6F4F">
            <w:pPr>
              <w:pStyle w:val="ARtabletextright"/>
            </w:pPr>
            <w:r w:rsidRPr="002029AF">
              <w:t>40,866,431</w:t>
            </w:r>
          </w:p>
        </w:tc>
        <w:tc>
          <w:tcPr>
            <w:tcW w:w="964" w:type="dxa"/>
          </w:tcPr>
          <w:p w14:paraId="4B34ED01" w14:textId="77777777" w:rsidR="00FC6F4F" w:rsidRPr="002029AF" w:rsidRDefault="00FC6F4F" w:rsidP="00FC6F4F">
            <w:pPr>
              <w:pStyle w:val="ARtabletextright"/>
            </w:pPr>
            <w:r w:rsidRPr="002029AF">
              <w:t>$2.16</w:t>
            </w:r>
          </w:p>
        </w:tc>
      </w:tr>
      <w:tr w:rsidR="00FC6F4F" w:rsidRPr="002029AF" w14:paraId="23BF95B2" w14:textId="77777777" w:rsidTr="00206595">
        <w:trPr>
          <w:cantSplit/>
          <w:trHeight w:val="379"/>
        </w:trPr>
        <w:tc>
          <w:tcPr>
            <w:tcW w:w="2835" w:type="dxa"/>
          </w:tcPr>
          <w:p w14:paraId="4E7A3B64" w14:textId="77777777" w:rsidR="00FC6F4F" w:rsidRPr="002029AF" w:rsidRDefault="00FC6F4F" w:rsidP="00FC6F4F">
            <w:pPr>
              <w:pStyle w:val="ARtabletext"/>
            </w:pPr>
            <w:r w:rsidRPr="002029AF">
              <w:t>Youth and family welfare electricity use</w:t>
            </w:r>
          </w:p>
        </w:tc>
        <w:tc>
          <w:tcPr>
            <w:tcW w:w="1304" w:type="dxa"/>
          </w:tcPr>
          <w:p w14:paraId="42454B03" w14:textId="77777777" w:rsidR="00FC6F4F" w:rsidRPr="002029AF" w:rsidRDefault="00FC6F4F" w:rsidP="00FC6F4F">
            <w:pPr>
              <w:pStyle w:val="ARtabletextright"/>
            </w:pPr>
            <w:r w:rsidRPr="002029AF">
              <w:t>1,</w:t>
            </w:r>
            <w:r>
              <w:t>441,524</w:t>
            </w:r>
          </w:p>
        </w:tc>
        <w:tc>
          <w:tcPr>
            <w:tcW w:w="964" w:type="dxa"/>
          </w:tcPr>
          <w:p w14:paraId="775B8A34" w14:textId="77777777" w:rsidR="00FC6F4F" w:rsidRPr="002029AF" w:rsidRDefault="00FC6F4F" w:rsidP="00FC6F4F">
            <w:pPr>
              <w:pStyle w:val="ARtabletextright"/>
            </w:pPr>
            <w:r w:rsidRPr="002029AF">
              <w:t>$0.</w:t>
            </w:r>
            <w:r>
              <w:t>09</w:t>
            </w:r>
          </w:p>
        </w:tc>
        <w:tc>
          <w:tcPr>
            <w:tcW w:w="1304" w:type="dxa"/>
          </w:tcPr>
          <w:p w14:paraId="0DD1DE1C" w14:textId="77777777" w:rsidR="00FC6F4F" w:rsidRPr="002029AF" w:rsidRDefault="00FC6F4F" w:rsidP="00FC6F4F">
            <w:pPr>
              <w:pStyle w:val="ARtabletextright"/>
            </w:pPr>
            <w:r w:rsidRPr="002029AF">
              <w:t>1,</w:t>
            </w:r>
            <w:r>
              <w:t>911</w:t>
            </w:r>
            <w:r w:rsidRPr="002029AF">
              <w:t>,730</w:t>
            </w:r>
          </w:p>
        </w:tc>
        <w:tc>
          <w:tcPr>
            <w:tcW w:w="964" w:type="dxa"/>
          </w:tcPr>
          <w:p w14:paraId="47429D55" w14:textId="77777777" w:rsidR="00FC6F4F" w:rsidRPr="002029AF" w:rsidRDefault="00FC6F4F" w:rsidP="00FC6F4F">
            <w:pPr>
              <w:pStyle w:val="ARtabletextright"/>
            </w:pPr>
            <w:r w:rsidRPr="002029AF">
              <w:t>$0.12</w:t>
            </w:r>
          </w:p>
        </w:tc>
        <w:tc>
          <w:tcPr>
            <w:tcW w:w="1304" w:type="dxa"/>
          </w:tcPr>
          <w:p w14:paraId="619A9274" w14:textId="77777777" w:rsidR="00FC6F4F" w:rsidRPr="002029AF" w:rsidRDefault="00FC6F4F" w:rsidP="00FC6F4F">
            <w:pPr>
              <w:pStyle w:val="ARtabletextright"/>
            </w:pPr>
            <w:r w:rsidRPr="002029AF">
              <w:t>1,888,050</w:t>
            </w:r>
          </w:p>
        </w:tc>
        <w:tc>
          <w:tcPr>
            <w:tcW w:w="964" w:type="dxa"/>
          </w:tcPr>
          <w:p w14:paraId="01F15E69" w14:textId="77777777" w:rsidR="00FC6F4F" w:rsidRPr="002029AF" w:rsidRDefault="00FC6F4F" w:rsidP="00FC6F4F">
            <w:pPr>
              <w:pStyle w:val="ARtabletextright"/>
            </w:pPr>
            <w:r w:rsidRPr="002029AF">
              <w:t>$0.12</w:t>
            </w:r>
          </w:p>
        </w:tc>
      </w:tr>
      <w:tr w:rsidR="00FC6F4F" w:rsidRPr="002029AF" w14:paraId="45BD5712" w14:textId="77777777" w:rsidTr="00206595">
        <w:trPr>
          <w:cantSplit/>
          <w:trHeight w:val="188"/>
        </w:trPr>
        <w:tc>
          <w:tcPr>
            <w:tcW w:w="2835" w:type="dxa"/>
          </w:tcPr>
          <w:p w14:paraId="07DEA64F" w14:textId="77777777" w:rsidR="00FC6F4F" w:rsidRPr="002029AF" w:rsidRDefault="00FC6F4F" w:rsidP="00FC6F4F">
            <w:pPr>
              <w:pStyle w:val="ARtabletext"/>
              <w:rPr>
                <w:b/>
              </w:rPr>
            </w:pPr>
            <w:r w:rsidRPr="002029AF">
              <w:rPr>
                <w:b/>
              </w:rPr>
              <w:t>Total electricity</w:t>
            </w:r>
          </w:p>
        </w:tc>
        <w:tc>
          <w:tcPr>
            <w:tcW w:w="1304" w:type="dxa"/>
          </w:tcPr>
          <w:p w14:paraId="039EEA9D" w14:textId="77777777" w:rsidR="00FC6F4F" w:rsidRPr="002029AF" w:rsidRDefault="00FC6F4F" w:rsidP="00FC6F4F">
            <w:pPr>
              <w:pStyle w:val="ARtabletextrightbold"/>
            </w:pPr>
            <w:r>
              <w:t>85,488,506</w:t>
            </w:r>
          </w:p>
        </w:tc>
        <w:tc>
          <w:tcPr>
            <w:tcW w:w="964" w:type="dxa"/>
          </w:tcPr>
          <w:p w14:paraId="029B2836" w14:textId="77777777" w:rsidR="00FC6F4F" w:rsidRPr="002029AF" w:rsidRDefault="00FC6F4F" w:rsidP="00FC6F4F">
            <w:pPr>
              <w:pStyle w:val="ARtabletextrightbold"/>
            </w:pPr>
            <w:r w:rsidRPr="002029AF">
              <w:t>$</w:t>
            </w:r>
            <w:r>
              <w:t>5</w:t>
            </w:r>
            <w:r w:rsidRPr="002029AF">
              <w:t>.</w:t>
            </w:r>
            <w:r>
              <w:t>10</w:t>
            </w:r>
          </w:p>
        </w:tc>
        <w:tc>
          <w:tcPr>
            <w:tcW w:w="1304" w:type="dxa"/>
          </w:tcPr>
          <w:p w14:paraId="15624250" w14:textId="77777777" w:rsidR="00FC6F4F" w:rsidRPr="002029AF" w:rsidRDefault="00FC6F4F" w:rsidP="00FC6F4F">
            <w:pPr>
              <w:pStyle w:val="ARtabletextrightbold"/>
            </w:pPr>
            <w:r w:rsidRPr="002029AF">
              <w:t>1</w:t>
            </w:r>
            <w:r>
              <w:t>06</w:t>
            </w:r>
            <w:r w:rsidRPr="002029AF">
              <w:t>,</w:t>
            </w:r>
            <w:r>
              <w:t>993</w:t>
            </w:r>
            <w:r w:rsidRPr="002029AF">
              <w:t>,</w:t>
            </w:r>
            <w:r>
              <w:t>056</w:t>
            </w:r>
          </w:p>
        </w:tc>
        <w:tc>
          <w:tcPr>
            <w:tcW w:w="964" w:type="dxa"/>
          </w:tcPr>
          <w:p w14:paraId="7596AE5C" w14:textId="77777777" w:rsidR="00FC6F4F" w:rsidRPr="002029AF" w:rsidRDefault="00FC6F4F" w:rsidP="00FC6F4F">
            <w:pPr>
              <w:pStyle w:val="ARtabletextrightbold"/>
            </w:pPr>
            <w:r w:rsidRPr="002029AF">
              <w:t>$</w:t>
            </w:r>
            <w:r>
              <w:t>6</w:t>
            </w:r>
            <w:r w:rsidRPr="002029AF">
              <w:t>.</w:t>
            </w:r>
            <w:r>
              <w:t>92</w:t>
            </w:r>
          </w:p>
        </w:tc>
        <w:tc>
          <w:tcPr>
            <w:tcW w:w="1304" w:type="dxa"/>
          </w:tcPr>
          <w:p w14:paraId="30ABF237" w14:textId="77777777" w:rsidR="00FC6F4F" w:rsidRPr="002029AF" w:rsidRDefault="00FC6F4F" w:rsidP="00FC6F4F">
            <w:pPr>
              <w:pStyle w:val="ARtabletextrightbold"/>
            </w:pPr>
            <w:r w:rsidRPr="002029AF">
              <w:t>128,254,729</w:t>
            </w:r>
          </w:p>
        </w:tc>
        <w:tc>
          <w:tcPr>
            <w:tcW w:w="964" w:type="dxa"/>
          </w:tcPr>
          <w:p w14:paraId="4F77E5F2" w14:textId="77777777" w:rsidR="00FC6F4F" w:rsidRPr="002029AF" w:rsidRDefault="00FC6F4F" w:rsidP="00FC6F4F">
            <w:pPr>
              <w:pStyle w:val="ARtabletextrightbold"/>
            </w:pPr>
            <w:r w:rsidRPr="002029AF">
              <w:t>$7.75</w:t>
            </w:r>
          </w:p>
        </w:tc>
      </w:tr>
    </w:tbl>
    <w:p w14:paraId="0BC2256F" w14:textId="77777777" w:rsidR="00FC6F4F" w:rsidRPr="002029AF" w:rsidRDefault="00FC6F4F" w:rsidP="00216972">
      <w:pPr>
        <w:pStyle w:val="Heading6"/>
      </w:pPr>
      <w:bookmarkStart w:id="646" w:name="_Toc85121319"/>
      <w:r w:rsidRPr="002029AF">
        <w:rPr>
          <w:lang w:eastAsia="en-AU"/>
        </w:rPr>
        <w:lastRenderedPageBreak/>
        <w:t>Gas</w:t>
      </w:r>
      <w:bookmarkEnd w:id="646"/>
    </w:p>
    <w:tbl>
      <w:tblPr>
        <w:tblW w:w="9639" w:type="dxa"/>
        <w:tblBorders>
          <w:left w:val="single" w:sz="4" w:space="0" w:color="FFFFFF" w:themeColor="background1"/>
          <w:bottom w:val="single" w:sz="4" w:space="0" w:color="auto"/>
          <w:right w:val="single" w:sz="4" w:space="0" w:color="FFFFFF" w:themeColor="background1"/>
          <w:insideH w:val="single" w:sz="4" w:space="0" w:color="auto"/>
          <w:insideV w:val="single" w:sz="4" w:space="0" w:color="FFFFFF" w:themeColor="background1"/>
        </w:tblBorders>
        <w:tblLayout w:type="fixed"/>
        <w:tblCellMar>
          <w:left w:w="0" w:type="dxa"/>
        </w:tblCellMar>
        <w:tblLook w:val="00A0" w:firstRow="1" w:lastRow="0" w:firstColumn="1" w:lastColumn="0" w:noHBand="0" w:noVBand="0"/>
      </w:tblPr>
      <w:tblGrid>
        <w:gridCol w:w="2846"/>
        <w:gridCol w:w="1309"/>
        <w:gridCol w:w="968"/>
        <w:gridCol w:w="1290"/>
        <w:gridCol w:w="968"/>
        <w:gridCol w:w="1290"/>
        <w:gridCol w:w="968"/>
      </w:tblGrid>
      <w:tr w:rsidR="00FC6F4F" w:rsidRPr="002029AF" w14:paraId="2B3708A1" w14:textId="77777777" w:rsidTr="004330D7">
        <w:trPr>
          <w:cantSplit/>
          <w:tblHeader/>
        </w:trPr>
        <w:tc>
          <w:tcPr>
            <w:tcW w:w="1899" w:type="dxa"/>
            <w:vAlign w:val="bottom"/>
          </w:tcPr>
          <w:p w14:paraId="3222C946" w14:textId="77777777" w:rsidR="00FC6F4F" w:rsidRPr="002029AF" w:rsidRDefault="00FC6F4F" w:rsidP="004330D7">
            <w:pPr>
              <w:pStyle w:val="ARtablecolhead"/>
              <w:spacing w:before="60" w:after="40"/>
            </w:pPr>
            <w:r w:rsidRPr="002029AF">
              <w:t>Description</w:t>
            </w:r>
          </w:p>
        </w:tc>
        <w:tc>
          <w:tcPr>
            <w:tcW w:w="1304" w:type="dxa"/>
            <w:vAlign w:val="center"/>
          </w:tcPr>
          <w:p w14:paraId="7B9053E0" w14:textId="77777777" w:rsidR="00FC6F4F" w:rsidRPr="002029AF" w:rsidRDefault="00FC6F4F" w:rsidP="004330D7">
            <w:pPr>
              <w:pStyle w:val="ARtablecolheadright"/>
              <w:spacing w:before="60" w:after="40"/>
            </w:pPr>
            <w:r w:rsidRPr="002029AF">
              <w:t>20</w:t>
            </w:r>
            <w:r>
              <w:t>20</w:t>
            </w:r>
            <w:r w:rsidRPr="002029AF">
              <w:t>–2</w:t>
            </w:r>
            <w:r>
              <w:t>1</w:t>
            </w:r>
            <w:r w:rsidRPr="002029AF">
              <w:t xml:space="preserve"> </w:t>
            </w:r>
            <w:r w:rsidRPr="002029AF">
              <w:br/>
              <w:t>estimate</w:t>
            </w:r>
          </w:p>
        </w:tc>
        <w:tc>
          <w:tcPr>
            <w:tcW w:w="964" w:type="dxa"/>
            <w:vAlign w:val="center"/>
          </w:tcPr>
          <w:p w14:paraId="6AEEA338" w14:textId="77777777" w:rsidR="00FC6F4F" w:rsidRPr="002029AF" w:rsidRDefault="00FC6F4F" w:rsidP="004330D7">
            <w:pPr>
              <w:pStyle w:val="ARtablecolheadright"/>
              <w:spacing w:before="60" w:after="40"/>
            </w:pPr>
            <w:r w:rsidRPr="002029AF">
              <w:t>20</w:t>
            </w:r>
            <w:r>
              <w:t>20</w:t>
            </w:r>
            <w:r w:rsidRPr="002029AF">
              <w:t>–2</w:t>
            </w:r>
            <w:r>
              <w:t>1</w:t>
            </w:r>
            <w:r w:rsidRPr="002029AF">
              <w:t xml:space="preserve"> </w:t>
            </w:r>
            <w:r w:rsidRPr="002029AF">
              <w:br/>
              <w:t>estimate</w:t>
            </w:r>
          </w:p>
        </w:tc>
        <w:tc>
          <w:tcPr>
            <w:tcW w:w="1285" w:type="dxa"/>
            <w:vAlign w:val="center"/>
          </w:tcPr>
          <w:p w14:paraId="5FF89C72" w14:textId="77777777" w:rsidR="00FC6F4F" w:rsidRPr="002029AF" w:rsidRDefault="00FC6F4F" w:rsidP="004330D7">
            <w:pPr>
              <w:pStyle w:val="ARtablecolheadright"/>
              <w:spacing w:before="60" w:after="40"/>
            </w:pPr>
            <w:r w:rsidRPr="002029AF">
              <w:t xml:space="preserve">2019–20 </w:t>
            </w:r>
            <w:r w:rsidRPr="002029AF">
              <w:br/>
              <w:t>estimate</w:t>
            </w:r>
          </w:p>
        </w:tc>
        <w:tc>
          <w:tcPr>
            <w:tcW w:w="964" w:type="dxa"/>
            <w:vAlign w:val="center"/>
          </w:tcPr>
          <w:p w14:paraId="5F969A0D" w14:textId="77777777" w:rsidR="00FC6F4F" w:rsidRPr="002029AF" w:rsidRDefault="00FC6F4F" w:rsidP="004330D7">
            <w:pPr>
              <w:pStyle w:val="ARtablecolheadright"/>
              <w:spacing w:before="60" w:after="40"/>
            </w:pPr>
            <w:r w:rsidRPr="002029AF">
              <w:t xml:space="preserve">2019–20 </w:t>
            </w:r>
            <w:r w:rsidRPr="002029AF">
              <w:br/>
              <w:t>estimate</w:t>
            </w:r>
          </w:p>
        </w:tc>
        <w:tc>
          <w:tcPr>
            <w:tcW w:w="1285" w:type="dxa"/>
            <w:vAlign w:val="center"/>
          </w:tcPr>
          <w:p w14:paraId="2FA0E05B" w14:textId="77777777" w:rsidR="00FC6F4F" w:rsidRPr="002029AF" w:rsidRDefault="00FC6F4F" w:rsidP="004330D7">
            <w:pPr>
              <w:pStyle w:val="ARtablecolheadright"/>
              <w:spacing w:before="60" w:after="40"/>
            </w:pPr>
            <w:r w:rsidRPr="002029AF">
              <w:t xml:space="preserve">2018–19 </w:t>
            </w:r>
            <w:r w:rsidRPr="002029AF">
              <w:br/>
              <w:t>estimate</w:t>
            </w:r>
          </w:p>
        </w:tc>
        <w:tc>
          <w:tcPr>
            <w:tcW w:w="964" w:type="dxa"/>
            <w:vAlign w:val="center"/>
          </w:tcPr>
          <w:p w14:paraId="49CBD1A8" w14:textId="77777777" w:rsidR="00FC6F4F" w:rsidRPr="002029AF" w:rsidRDefault="00FC6F4F" w:rsidP="004330D7">
            <w:pPr>
              <w:pStyle w:val="ARtablecolheadright"/>
              <w:spacing w:before="60" w:after="40"/>
            </w:pPr>
            <w:r w:rsidRPr="002029AF">
              <w:t xml:space="preserve">2018–19 </w:t>
            </w:r>
            <w:r w:rsidRPr="002029AF">
              <w:br/>
              <w:t>estimate</w:t>
            </w:r>
          </w:p>
        </w:tc>
      </w:tr>
      <w:tr w:rsidR="00FC6F4F" w:rsidRPr="002029AF" w14:paraId="45DD650F" w14:textId="77777777" w:rsidTr="004330D7">
        <w:trPr>
          <w:cantSplit/>
          <w:tblHeader/>
        </w:trPr>
        <w:tc>
          <w:tcPr>
            <w:tcW w:w="2835" w:type="dxa"/>
          </w:tcPr>
          <w:p w14:paraId="7952BFDB" w14:textId="77777777" w:rsidR="00FC6F4F" w:rsidRPr="002029AF" w:rsidRDefault="00FC6F4F" w:rsidP="004330D7">
            <w:pPr>
              <w:pStyle w:val="ARtablecolhead"/>
              <w:spacing w:before="60" w:after="40"/>
            </w:pPr>
            <w:r w:rsidRPr="002029AF">
              <w:t>Total energy usage segmented by primary source</w:t>
            </w:r>
          </w:p>
        </w:tc>
        <w:tc>
          <w:tcPr>
            <w:tcW w:w="1304" w:type="dxa"/>
            <w:vAlign w:val="bottom"/>
          </w:tcPr>
          <w:p w14:paraId="76973DAD" w14:textId="77777777" w:rsidR="00FC6F4F" w:rsidRPr="002029AF" w:rsidRDefault="00FC6F4F" w:rsidP="004330D7">
            <w:pPr>
              <w:pStyle w:val="ARtablecolheadright"/>
              <w:spacing w:before="60" w:after="40"/>
            </w:pPr>
            <w:r w:rsidRPr="002029AF">
              <w:t>Megajoules</w:t>
            </w:r>
          </w:p>
        </w:tc>
        <w:tc>
          <w:tcPr>
            <w:tcW w:w="964" w:type="dxa"/>
            <w:vAlign w:val="bottom"/>
          </w:tcPr>
          <w:p w14:paraId="2325FF46" w14:textId="77777777" w:rsidR="00FC6F4F" w:rsidRPr="002029AF" w:rsidRDefault="00FC6F4F" w:rsidP="004330D7">
            <w:pPr>
              <w:pStyle w:val="ARtablecolheadright"/>
              <w:spacing w:before="60" w:after="40"/>
            </w:pPr>
            <w:r w:rsidRPr="002029AF">
              <w:t>Cost</w:t>
            </w:r>
          </w:p>
          <w:p w14:paraId="03BEE9CA" w14:textId="77777777" w:rsidR="00FC6F4F" w:rsidRPr="002029AF" w:rsidRDefault="00FC6F4F" w:rsidP="004330D7">
            <w:pPr>
              <w:pStyle w:val="ARtablecolheadright"/>
              <w:spacing w:before="60" w:after="40"/>
            </w:pPr>
            <w:r w:rsidRPr="002029AF">
              <w:t>($M)</w:t>
            </w:r>
          </w:p>
        </w:tc>
        <w:tc>
          <w:tcPr>
            <w:tcW w:w="1285" w:type="dxa"/>
            <w:vAlign w:val="bottom"/>
          </w:tcPr>
          <w:p w14:paraId="4E1B9730" w14:textId="77777777" w:rsidR="00FC6F4F" w:rsidRPr="002029AF" w:rsidRDefault="00FC6F4F" w:rsidP="004330D7">
            <w:pPr>
              <w:pStyle w:val="ARtablecolheadright"/>
              <w:spacing w:before="60" w:after="40"/>
            </w:pPr>
            <w:r w:rsidRPr="002029AF">
              <w:t>Megajoules</w:t>
            </w:r>
          </w:p>
        </w:tc>
        <w:tc>
          <w:tcPr>
            <w:tcW w:w="964" w:type="dxa"/>
            <w:vAlign w:val="bottom"/>
          </w:tcPr>
          <w:p w14:paraId="1383FE1B" w14:textId="77777777" w:rsidR="00FC6F4F" w:rsidRPr="002029AF" w:rsidRDefault="00FC6F4F" w:rsidP="004330D7">
            <w:pPr>
              <w:pStyle w:val="ARtablecolheadright"/>
              <w:spacing w:before="60" w:after="40"/>
            </w:pPr>
            <w:r w:rsidRPr="002029AF">
              <w:t>Cost</w:t>
            </w:r>
          </w:p>
          <w:p w14:paraId="49B81A57" w14:textId="77777777" w:rsidR="00FC6F4F" w:rsidRPr="002029AF" w:rsidRDefault="00FC6F4F" w:rsidP="004330D7">
            <w:pPr>
              <w:pStyle w:val="ARtablecolheadright"/>
              <w:spacing w:before="60" w:after="40"/>
            </w:pPr>
            <w:r w:rsidRPr="002029AF">
              <w:t>($M)</w:t>
            </w:r>
          </w:p>
        </w:tc>
        <w:tc>
          <w:tcPr>
            <w:tcW w:w="1285" w:type="dxa"/>
            <w:vAlign w:val="bottom"/>
          </w:tcPr>
          <w:p w14:paraId="36D74EDA" w14:textId="77777777" w:rsidR="00FC6F4F" w:rsidRPr="002029AF" w:rsidRDefault="00FC6F4F" w:rsidP="004330D7">
            <w:pPr>
              <w:pStyle w:val="ARtablecolheadright"/>
              <w:spacing w:before="60" w:after="40"/>
            </w:pPr>
            <w:r w:rsidRPr="002029AF">
              <w:t>Megajoules</w:t>
            </w:r>
          </w:p>
        </w:tc>
        <w:tc>
          <w:tcPr>
            <w:tcW w:w="964" w:type="dxa"/>
            <w:vAlign w:val="bottom"/>
          </w:tcPr>
          <w:p w14:paraId="7CF8D377" w14:textId="77777777" w:rsidR="00FC6F4F" w:rsidRPr="002029AF" w:rsidRDefault="00FC6F4F" w:rsidP="004330D7">
            <w:pPr>
              <w:pStyle w:val="ARtablecolheadright"/>
              <w:spacing w:before="60" w:after="40"/>
            </w:pPr>
            <w:r w:rsidRPr="002029AF">
              <w:t>Cost</w:t>
            </w:r>
          </w:p>
          <w:p w14:paraId="70D56700" w14:textId="77777777" w:rsidR="00FC6F4F" w:rsidRPr="002029AF" w:rsidRDefault="00FC6F4F" w:rsidP="004330D7">
            <w:pPr>
              <w:pStyle w:val="ARtablecolheadright"/>
              <w:spacing w:before="60" w:after="40"/>
            </w:pPr>
            <w:r w:rsidRPr="002029AF">
              <w:t>($M)</w:t>
            </w:r>
          </w:p>
        </w:tc>
      </w:tr>
      <w:tr w:rsidR="00FC6F4F" w:rsidRPr="002029AF" w14:paraId="3F2121A1" w14:textId="77777777" w:rsidTr="00206595">
        <w:trPr>
          <w:cantSplit/>
        </w:trPr>
        <w:tc>
          <w:tcPr>
            <w:tcW w:w="2835" w:type="dxa"/>
          </w:tcPr>
          <w:p w14:paraId="597AC63E" w14:textId="77777777" w:rsidR="00FC6F4F" w:rsidRPr="002029AF" w:rsidRDefault="00FC6F4F" w:rsidP="004330D7">
            <w:pPr>
              <w:pStyle w:val="ARtabletext"/>
              <w:spacing w:before="60" w:after="40"/>
            </w:pPr>
            <w:r w:rsidRPr="002029AF">
              <w:t>High-rise public housing natural gas use</w:t>
            </w:r>
          </w:p>
        </w:tc>
        <w:tc>
          <w:tcPr>
            <w:tcW w:w="1304" w:type="dxa"/>
          </w:tcPr>
          <w:p w14:paraId="5614118A" w14:textId="77777777" w:rsidR="00FC6F4F" w:rsidRPr="002029AF" w:rsidRDefault="00FC6F4F" w:rsidP="004330D7">
            <w:pPr>
              <w:pStyle w:val="ARtabletextright"/>
              <w:spacing w:before="60" w:after="40"/>
              <w:ind w:left="706" w:hanging="838"/>
            </w:pPr>
            <w:r>
              <w:t>298,943,512</w:t>
            </w:r>
          </w:p>
        </w:tc>
        <w:tc>
          <w:tcPr>
            <w:tcW w:w="964" w:type="dxa"/>
          </w:tcPr>
          <w:p w14:paraId="5AF1ACE1" w14:textId="77777777" w:rsidR="00FC6F4F" w:rsidRPr="002029AF" w:rsidRDefault="00FC6F4F" w:rsidP="004330D7">
            <w:pPr>
              <w:pStyle w:val="ARtabletextright"/>
              <w:spacing w:before="60" w:after="40"/>
            </w:pPr>
            <w:r>
              <w:t>$3.76</w:t>
            </w:r>
          </w:p>
        </w:tc>
        <w:tc>
          <w:tcPr>
            <w:tcW w:w="1285" w:type="dxa"/>
          </w:tcPr>
          <w:p w14:paraId="0482141A" w14:textId="77777777" w:rsidR="00FC6F4F" w:rsidRPr="002029AF" w:rsidRDefault="00FC6F4F" w:rsidP="004330D7">
            <w:pPr>
              <w:pStyle w:val="ARtabletextright"/>
              <w:spacing w:before="60" w:after="40"/>
            </w:pPr>
            <w:r>
              <w:t>324,026,923</w:t>
            </w:r>
          </w:p>
        </w:tc>
        <w:tc>
          <w:tcPr>
            <w:tcW w:w="964" w:type="dxa"/>
          </w:tcPr>
          <w:p w14:paraId="0D49CD31" w14:textId="77777777" w:rsidR="00FC6F4F" w:rsidRPr="002029AF" w:rsidRDefault="00FC6F4F" w:rsidP="004330D7">
            <w:pPr>
              <w:pStyle w:val="ARtabletextright"/>
              <w:spacing w:before="60" w:after="40"/>
            </w:pPr>
            <w:r>
              <w:t>$4.32</w:t>
            </w:r>
          </w:p>
        </w:tc>
        <w:tc>
          <w:tcPr>
            <w:tcW w:w="1285" w:type="dxa"/>
          </w:tcPr>
          <w:p w14:paraId="63517690" w14:textId="77777777" w:rsidR="00FC6F4F" w:rsidRPr="002029AF" w:rsidRDefault="00FC6F4F" w:rsidP="004330D7">
            <w:pPr>
              <w:pStyle w:val="ARtabletextright"/>
              <w:spacing w:before="60" w:after="40"/>
            </w:pPr>
            <w:r w:rsidRPr="002029AF">
              <w:t>304,124,144</w:t>
            </w:r>
          </w:p>
        </w:tc>
        <w:tc>
          <w:tcPr>
            <w:tcW w:w="964" w:type="dxa"/>
          </w:tcPr>
          <w:p w14:paraId="473E6122" w14:textId="77777777" w:rsidR="00FC6F4F" w:rsidRPr="002029AF" w:rsidRDefault="00FC6F4F" w:rsidP="004330D7">
            <w:pPr>
              <w:pStyle w:val="ARtabletextright"/>
              <w:spacing w:before="60" w:after="40"/>
            </w:pPr>
            <w:r w:rsidRPr="002029AF">
              <w:t>$4.17</w:t>
            </w:r>
          </w:p>
        </w:tc>
      </w:tr>
      <w:tr w:rsidR="00FC6F4F" w:rsidRPr="002029AF" w14:paraId="2D5BD1BB" w14:textId="77777777" w:rsidTr="00206595">
        <w:trPr>
          <w:cantSplit/>
        </w:trPr>
        <w:tc>
          <w:tcPr>
            <w:tcW w:w="2835" w:type="dxa"/>
          </w:tcPr>
          <w:p w14:paraId="7513F3E1" w14:textId="77777777" w:rsidR="00FC6F4F" w:rsidRPr="002029AF" w:rsidRDefault="00FC6F4F" w:rsidP="004330D7">
            <w:pPr>
              <w:pStyle w:val="ARtabletext"/>
              <w:spacing w:before="60" w:after="40"/>
            </w:pPr>
            <w:r w:rsidRPr="002029AF">
              <w:t>Other public housing natural gas use</w:t>
            </w:r>
          </w:p>
        </w:tc>
        <w:tc>
          <w:tcPr>
            <w:tcW w:w="1304" w:type="dxa"/>
          </w:tcPr>
          <w:p w14:paraId="197FE924" w14:textId="77777777" w:rsidR="00FC6F4F" w:rsidRPr="002029AF" w:rsidRDefault="00FC6F4F" w:rsidP="004330D7">
            <w:pPr>
              <w:pStyle w:val="ARtabletextright"/>
              <w:spacing w:before="60" w:after="40"/>
            </w:pPr>
            <w:r>
              <w:t>89,049,530</w:t>
            </w:r>
          </w:p>
        </w:tc>
        <w:tc>
          <w:tcPr>
            <w:tcW w:w="964" w:type="dxa"/>
          </w:tcPr>
          <w:p w14:paraId="5B1FBADB" w14:textId="77777777" w:rsidR="00FC6F4F" w:rsidRPr="002029AF" w:rsidRDefault="00FC6F4F" w:rsidP="004330D7">
            <w:pPr>
              <w:pStyle w:val="ARtabletextright"/>
              <w:spacing w:before="60" w:after="40"/>
            </w:pPr>
            <w:r>
              <w:t>$1.30</w:t>
            </w:r>
          </w:p>
        </w:tc>
        <w:tc>
          <w:tcPr>
            <w:tcW w:w="1285" w:type="dxa"/>
          </w:tcPr>
          <w:p w14:paraId="6B5046E9" w14:textId="77777777" w:rsidR="00FC6F4F" w:rsidRPr="002029AF" w:rsidRDefault="00FC6F4F" w:rsidP="004330D7">
            <w:pPr>
              <w:pStyle w:val="ARtabletextright"/>
              <w:spacing w:before="60" w:after="40"/>
            </w:pPr>
            <w:r>
              <w:t>101,045,145</w:t>
            </w:r>
          </w:p>
        </w:tc>
        <w:tc>
          <w:tcPr>
            <w:tcW w:w="964" w:type="dxa"/>
          </w:tcPr>
          <w:p w14:paraId="01BD534E" w14:textId="77777777" w:rsidR="00FC6F4F" w:rsidRPr="002029AF" w:rsidRDefault="00FC6F4F" w:rsidP="004330D7">
            <w:pPr>
              <w:pStyle w:val="ARtabletextright"/>
              <w:spacing w:before="60" w:after="40"/>
            </w:pPr>
            <w:r>
              <w:t>$1.54</w:t>
            </w:r>
          </w:p>
        </w:tc>
        <w:tc>
          <w:tcPr>
            <w:tcW w:w="1285" w:type="dxa"/>
          </w:tcPr>
          <w:p w14:paraId="57319826" w14:textId="77777777" w:rsidR="00FC6F4F" w:rsidRPr="002029AF" w:rsidRDefault="00FC6F4F" w:rsidP="004330D7">
            <w:pPr>
              <w:pStyle w:val="ARtabletextright"/>
              <w:spacing w:before="60" w:after="40"/>
            </w:pPr>
            <w:r w:rsidRPr="002029AF">
              <w:t>93,039,490</w:t>
            </w:r>
          </w:p>
        </w:tc>
        <w:tc>
          <w:tcPr>
            <w:tcW w:w="964" w:type="dxa"/>
          </w:tcPr>
          <w:p w14:paraId="24A6C838" w14:textId="77777777" w:rsidR="00FC6F4F" w:rsidRPr="002029AF" w:rsidRDefault="00FC6F4F" w:rsidP="004330D7">
            <w:pPr>
              <w:pStyle w:val="ARtabletextright"/>
              <w:spacing w:before="60" w:after="40"/>
            </w:pPr>
            <w:r w:rsidRPr="002029AF">
              <w:t>$1.38</w:t>
            </w:r>
          </w:p>
        </w:tc>
      </w:tr>
      <w:tr w:rsidR="00FC6F4F" w:rsidRPr="002029AF" w14:paraId="41ECC195" w14:textId="77777777" w:rsidTr="00206595">
        <w:trPr>
          <w:cantSplit/>
        </w:trPr>
        <w:tc>
          <w:tcPr>
            <w:tcW w:w="2835" w:type="dxa"/>
          </w:tcPr>
          <w:p w14:paraId="3689AE0E" w14:textId="77777777" w:rsidR="00FC6F4F" w:rsidRPr="002029AF" w:rsidRDefault="00FC6F4F" w:rsidP="004330D7">
            <w:pPr>
              <w:pStyle w:val="ARtabletext"/>
              <w:spacing w:before="60" w:after="40"/>
            </w:pPr>
            <w:r w:rsidRPr="002029AF">
              <w:t>Disability housing natural gas use</w:t>
            </w:r>
          </w:p>
        </w:tc>
        <w:tc>
          <w:tcPr>
            <w:tcW w:w="1304" w:type="dxa"/>
          </w:tcPr>
          <w:p w14:paraId="5AE70EA0" w14:textId="77777777" w:rsidR="00FC6F4F" w:rsidRPr="002029AF" w:rsidRDefault="00FC6F4F" w:rsidP="004330D7">
            <w:pPr>
              <w:pStyle w:val="ARtabletextright"/>
              <w:spacing w:before="60" w:after="40"/>
            </w:pPr>
            <w:r>
              <w:t>12,385,610</w:t>
            </w:r>
          </w:p>
        </w:tc>
        <w:tc>
          <w:tcPr>
            <w:tcW w:w="964" w:type="dxa"/>
          </w:tcPr>
          <w:p w14:paraId="6D28EB29" w14:textId="77777777" w:rsidR="00FC6F4F" w:rsidRPr="002029AF" w:rsidRDefault="00FC6F4F" w:rsidP="004330D7">
            <w:pPr>
              <w:pStyle w:val="ARtabletextright"/>
              <w:spacing w:before="60" w:after="40"/>
            </w:pPr>
            <w:r>
              <w:t>$0.18</w:t>
            </w:r>
          </w:p>
        </w:tc>
        <w:tc>
          <w:tcPr>
            <w:tcW w:w="1285" w:type="dxa"/>
          </w:tcPr>
          <w:p w14:paraId="55D27855" w14:textId="77777777" w:rsidR="00FC6F4F" w:rsidRPr="002029AF" w:rsidRDefault="00FC6F4F" w:rsidP="004330D7">
            <w:pPr>
              <w:pStyle w:val="ARtabletextright"/>
              <w:spacing w:before="60" w:after="40"/>
            </w:pPr>
            <w:r>
              <w:t>19,830,813</w:t>
            </w:r>
          </w:p>
        </w:tc>
        <w:tc>
          <w:tcPr>
            <w:tcW w:w="964" w:type="dxa"/>
          </w:tcPr>
          <w:p w14:paraId="065F3936" w14:textId="77777777" w:rsidR="00FC6F4F" w:rsidRPr="002029AF" w:rsidRDefault="00FC6F4F" w:rsidP="004330D7">
            <w:pPr>
              <w:pStyle w:val="ARtabletextright"/>
              <w:spacing w:before="60" w:after="40"/>
            </w:pPr>
            <w:r>
              <w:t>$0.3</w:t>
            </w:r>
          </w:p>
        </w:tc>
        <w:tc>
          <w:tcPr>
            <w:tcW w:w="1285" w:type="dxa"/>
          </w:tcPr>
          <w:p w14:paraId="0E22886A" w14:textId="77777777" w:rsidR="00FC6F4F" w:rsidRPr="002029AF" w:rsidRDefault="00FC6F4F" w:rsidP="004330D7">
            <w:pPr>
              <w:pStyle w:val="ARtabletextright"/>
              <w:spacing w:before="60" w:after="40"/>
            </w:pPr>
            <w:r w:rsidRPr="002029AF">
              <w:t>92,258,562</w:t>
            </w:r>
          </w:p>
        </w:tc>
        <w:tc>
          <w:tcPr>
            <w:tcW w:w="964" w:type="dxa"/>
          </w:tcPr>
          <w:p w14:paraId="5DD7FC09" w14:textId="77777777" w:rsidR="00FC6F4F" w:rsidRPr="002029AF" w:rsidRDefault="00FC6F4F" w:rsidP="004330D7">
            <w:pPr>
              <w:pStyle w:val="ARtabletextright"/>
              <w:spacing w:before="60" w:after="40"/>
            </w:pPr>
            <w:r w:rsidRPr="002029AF">
              <w:t>$1.43</w:t>
            </w:r>
          </w:p>
        </w:tc>
      </w:tr>
      <w:tr w:rsidR="00FC6F4F" w:rsidRPr="002029AF" w14:paraId="1DE43470" w14:textId="77777777" w:rsidTr="00206595">
        <w:trPr>
          <w:cantSplit/>
        </w:trPr>
        <w:tc>
          <w:tcPr>
            <w:tcW w:w="2835" w:type="dxa"/>
          </w:tcPr>
          <w:p w14:paraId="32CB4294" w14:textId="77777777" w:rsidR="00FC6F4F" w:rsidRPr="002029AF" w:rsidRDefault="00FC6F4F" w:rsidP="004330D7">
            <w:pPr>
              <w:pStyle w:val="ARtabletext"/>
              <w:spacing w:before="60" w:after="40"/>
            </w:pPr>
            <w:r w:rsidRPr="002029AF">
              <w:t>Youth and family welfare natural gas use</w:t>
            </w:r>
          </w:p>
        </w:tc>
        <w:tc>
          <w:tcPr>
            <w:tcW w:w="1304" w:type="dxa"/>
          </w:tcPr>
          <w:p w14:paraId="3AC5EC40" w14:textId="77777777" w:rsidR="00FC6F4F" w:rsidRPr="002029AF" w:rsidRDefault="00FC6F4F" w:rsidP="004330D7">
            <w:pPr>
              <w:pStyle w:val="ARtabletextright"/>
              <w:spacing w:before="60" w:after="40"/>
            </w:pPr>
            <w:r>
              <w:t>1,922,761</w:t>
            </w:r>
          </w:p>
        </w:tc>
        <w:tc>
          <w:tcPr>
            <w:tcW w:w="964" w:type="dxa"/>
          </w:tcPr>
          <w:p w14:paraId="56052DD6" w14:textId="77777777" w:rsidR="00FC6F4F" w:rsidRPr="002029AF" w:rsidRDefault="00FC6F4F" w:rsidP="004330D7">
            <w:pPr>
              <w:pStyle w:val="ARtabletextright"/>
              <w:spacing w:before="60" w:after="40"/>
            </w:pPr>
            <w:r>
              <w:t>$0.03</w:t>
            </w:r>
          </w:p>
        </w:tc>
        <w:tc>
          <w:tcPr>
            <w:tcW w:w="1285" w:type="dxa"/>
          </w:tcPr>
          <w:p w14:paraId="1FBC5BBD" w14:textId="77777777" w:rsidR="00FC6F4F" w:rsidRPr="002029AF" w:rsidRDefault="00FC6F4F" w:rsidP="004330D7">
            <w:pPr>
              <w:pStyle w:val="ARtabletextright"/>
              <w:spacing w:before="60" w:after="40"/>
            </w:pPr>
            <w:r>
              <w:t>2,693,563</w:t>
            </w:r>
          </w:p>
        </w:tc>
        <w:tc>
          <w:tcPr>
            <w:tcW w:w="964" w:type="dxa"/>
          </w:tcPr>
          <w:p w14:paraId="181811D8" w14:textId="77777777" w:rsidR="00FC6F4F" w:rsidRPr="002029AF" w:rsidRDefault="00FC6F4F" w:rsidP="004330D7">
            <w:pPr>
              <w:pStyle w:val="ARtabletextright"/>
              <w:spacing w:before="60" w:after="40"/>
            </w:pPr>
            <w:r w:rsidRPr="002029AF">
              <w:t>$0.05</w:t>
            </w:r>
          </w:p>
        </w:tc>
        <w:tc>
          <w:tcPr>
            <w:tcW w:w="1285" w:type="dxa"/>
          </w:tcPr>
          <w:p w14:paraId="6E713713" w14:textId="77777777" w:rsidR="00FC6F4F" w:rsidRPr="002029AF" w:rsidRDefault="00FC6F4F" w:rsidP="004330D7">
            <w:pPr>
              <w:pStyle w:val="ARtabletextright"/>
              <w:spacing w:before="60" w:after="40"/>
            </w:pPr>
            <w:r w:rsidRPr="002029AF">
              <w:t>2,396,215</w:t>
            </w:r>
          </w:p>
        </w:tc>
        <w:tc>
          <w:tcPr>
            <w:tcW w:w="964" w:type="dxa"/>
          </w:tcPr>
          <w:p w14:paraId="085AC92B" w14:textId="77777777" w:rsidR="00FC6F4F" w:rsidRPr="002029AF" w:rsidRDefault="00FC6F4F" w:rsidP="004330D7">
            <w:pPr>
              <w:pStyle w:val="ARtabletextright"/>
              <w:spacing w:before="60" w:after="40"/>
            </w:pPr>
            <w:r w:rsidRPr="002029AF">
              <w:t>$0.04</w:t>
            </w:r>
          </w:p>
        </w:tc>
      </w:tr>
      <w:tr w:rsidR="00FC6F4F" w:rsidRPr="002029AF" w14:paraId="09D33640" w14:textId="77777777" w:rsidTr="00206595">
        <w:trPr>
          <w:cantSplit/>
        </w:trPr>
        <w:tc>
          <w:tcPr>
            <w:tcW w:w="2835" w:type="dxa"/>
          </w:tcPr>
          <w:p w14:paraId="56BC80E8" w14:textId="77777777" w:rsidR="00FC6F4F" w:rsidRPr="002029AF" w:rsidRDefault="00FC6F4F" w:rsidP="004330D7">
            <w:pPr>
              <w:pStyle w:val="ARtabletext"/>
              <w:spacing w:before="60" w:after="40"/>
              <w:rPr>
                <w:b/>
              </w:rPr>
            </w:pPr>
            <w:r w:rsidRPr="002029AF">
              <w:rPr>
                <w:b/>
              </w:rPr>
              <w:t>Total gas</w:t>
            </w:r>
          </w:p>
        </w:tc>
        <w:tc>
          <w:tcPr>
            <w:tcW w:w="1304" w:type="dxa"/>
          </w:tcPr>
          <w:p w14:paraId="18AA246B" w14:textId="77777777" w:rsidR="00FC6F4F" w:rsidRPr="002029AF" w:rsidRDefault="00FC6F4F" w:rsidP="004330D7">
            <w:pPr>
              <w:pStyle w:val="ARtabletextrightbold"/>
              <w:spacing w:before="60" w:after="40"/>
              <w:jc w:val="center"/>
            </w:pPr>
            <w:r>
              <w:t>402,301,413</w:t>
            </w:r>
          </w:p>
        </w:tc>
        <w:tc>
          <w:tcPr>
            <w:tcW w:w="964" w:type="dxa"/>
          </w:tcPr>
          <w:p w14:paraId="5243D212" w14:textId="77777777" w:rsidR="00FC6F4F" w:rsidRPr="002029AF" w:rsidRDefault="00FC6F4F" w:rsidP="004330D7">
            <w:pPr>
              <w:pStyle w:val="ARtabletextrightbold"/>
              <w:spacing w:before="60" w:after="40"/>
            </w:pPr>
            <w:r>
              <w:t>$5.27</w:t>
            </w:r>
          </w:p>
        </w:tc>
        <w:tc>
          <w:tcPr>
            <w:tcW w:w="1285" w:type="dxa"/>
          </w:tcPr>
          <w:p w14:paraId="0EDED508" w14:textId="77777777" w:rsidR="00FC6F4F" w:rsidRPr="002029AF" w:rsidRDefault="00FC6F4F" w:rsidP="004330D7">
            <w:pPr>
              <w:pStyle w:val="ARtabletextrightbold"/>
              <w:spacing w:before="60" w:after="40"/>
            </w:pPr>
            <w:r>
              <w:t>477,596,444</w:t>
            </w:r>
          </w:p>
        </w:tc>
        <w:tc>
          <w:tcPr>
            <w:tcW w:w="964" w:type="dxa"/>
          </w:tcPr>
          <w:p w14:paraId="159F5B3E" w14:textId="77777777" w:rsidR="00FC6F4F" w:rsidRPr="002029AF" w:rsidRDefault="00FC6F4F" w:rsidP="004330D7">
            <w:pPr>
              <w:pStyle w:val="ARtabletextrightbold"/>
              <w:spacing w:before="60" w:after="40"/>
            </w:pPr>
            <w:r>
              <w:t>$6.21</w:t>
            </w:r>
          </w:p>
        </w:tc>
        <w:tc>
          <w:tcPr>
            <w:tcW w:w="1285" w:type="dxa"/>
          </w:tcPr>
          <w:p w14:paraId="1D7C0A01" w14:textId="77777777" w:rsidR="00FC6F4F" w:rsidRPr="002029AF" w:rsidRDefault="00FC6F4F" w:rsidP="004330D7">
            <w:pPr>
              <w:pStyle w:val="ARtabletextrightbold"/>
              <w:spacing w:before="60" w:after="40"/>
            </w:pPr>
            <w:r w:rsidRPr="002029AF">
              <w:t>491,818,411</w:t>
            </w:r>
          </w:p>
        </w:tc>
        <w:tc>
          <w:tcPr>
            <w:tcW w:w="964" w:type="dxa"/>
          </w:tcPr>
          <w:p w14:paraId="3A988FD8" w14:textId="77777777" w:rsidR="00FC6F4F" w:rsidRPr="002029AF" w:rsidRDefault="00FC6F4F" w:rsidP="004330D7">
            <w:pPr>
              <w:pStyle w:val="ARtabletextrightbold"/>
              <w:spacing w:before="60" w:after="40"/>
            </w:pPr>
            <w:r w:rsidRPr="002029AF">
              <w:t>$7.02</w:t>
            </w:r>
          </w:p>
        </w:tc>
      </w:tr>
    </w:tbl>
    <w:p w14:paraId="06D4F47E" w14:textId="77777777" w:rsidR="00FC6F4F" w:rsidRPr="002029AF" w:rsidRDefault="00FC6F4F" w:rsidP="006C7588">
      <w:pPr>
        <w:pStyle w:val="ARbodynospace"/>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36"/>
        <w:gridCol w:w="1701"/>
        <w:gridCol w:w="1701"/>
        <w:gridCol w:w="1701"/>
      </w:tblGrid>
      <w:tr w:rsidR="00FC6F4F" w:rsidRPr="002029AF" w14:paraId="5A830983" w14:textId="77777777" w:rsidTr="00FC6F4F">
        <w:trPr>
          <w:cantSplit/>
          <w:tblHeader/>
        </w:trPr>
        <w:tc>
          <w:tcPr>
            <w:tcW w:w="4536" w:type="dxa"/>
            <w:vAlign w:val="bottom"/>
          </w:tcPr>
          <w:p w14:paraId="32B444F0" w14:textId="77777777" w:rsidR="00FC6F4F" w:rsidRPr="002029AF" w:rsidRDefault="00FC6F4F" w:rsidP="00FC6F4F">
            <w:pPr>
              <w:pStyle w:val="ARtablecolhead"/>
            </w:pPr>
            <w:r w:rsidRPr="002029AF">
              <w:t>Description</w:t>
            </w:r>
          </w:p>
        </w:tc>
        <w:tc>
          <w:tcPr>
            <w:tcW w:w="1701" w:type="dxa"/>
            <w:vAlign w:val="center"/>
          </w:tcPr>
          <w:p w14:paraId="48C589BF" w14:textId="77777777" w:rsidR="00FC6F4F" w:rsidRPr="002029AF" w:rsidRDefault="00FC6F4F" w:rsidP="00031FA0">
            <w:pPr>
              <w:pStyle w:val="ARtablecolheadright"/>
            </w:pPr>
            <w:r w:rsidRPr="002029AF">
              <w:t>20</w:t>
            </w:r>
            <w:r>
              <w:t>20</w:t>
            </w:r>
            <w:r w:rsidRPr="002029AF">
              <w:t>–2</w:t>
            </w:r>
            <w:r>
              <w:t>1</w:t>
            </w:r>
            <w:r w:rsidRPr="002029AF">
              <w:t xml:space="preserve"> estimate</w:t>
            </w:r>
          </w:p>
        </w:tc>
        <w:tc>
          <w:tcPr>
            <w:tcW w:w="1701" w:type="dxa"/>
            <w:vAlign w:val="center"/>
          </w:tcPr>
          <w:p w14:paraId="5D424711" w14:textId="77777777" w:rsidR="00FC6F4F" w:rsidRPr="002029AF" w:rsidRDefault="00FC6F4F" w:rsidP="00031FA0">
            <w:pPr>
              <w:pStyle w:val="ARtablecolheadright"/>
            </w:pPr>
            <w:r w:rsidRPr="002029AF">
              <w:t>2019–20 estimate</w:t>
            </w:r>
          </w:p>
        </w:tc>
        <w:tc>
          <w:tcPr>
            <w:tcW w:w="1701" w:type="dxa"/>
            <w:vAlign w:val="center"/>
          </w:tcPr>
          <w:p w14:paraId="52AD397B" w14:textId="77777777" w:rsidR="00FC6F4F" w:rsidRPr="002029AF" w:rsidRDefault="00FC6F4F" w:rsidP="00031FA0">
            <w:pPr>
              <w:pStyle w:val="ARtablecolheadright"/>
            </w:pPr>
            <w:r w:rsidRPr="002029AF">
              <w:t>2018–19 estimate</w:t>
            </w:r>
          </w:p>
        </w:tc>
      </w:tr>
      <w:tr w:rsidR="00FC6F4F" w:rsidRPr="002029AF" w14:paraId="60134CFB" w14:textId="77777777" w:rsidTr="00FC6F4F">
        <w:trPr>
          <w:cantSplit/>
          <w:tblHeader/>
        </w:trPr>
        <w:tc>
          <w:tcPr>
            <w:tcW w:w="4536" w:type="dxa"/>
            <w:vAlign w:val="bottom"/>
          </w:tcPr>
          <w:p w14:paraId="7010BAA8" w14:textId="77777777" w:rsidR="00FC6F4F" w:rsidRPr="002029AF" w:rsidRDefault="00FC6F4F" w:rsidP="00FC6F4F">
            <w:pPr>
              <w:pStyle w:val="ARtablecolhead"/>
            </w:pPr>
            <w:r w:rsidRPr="002029AF">
              <w:t>Total greenhouse gas emissions</w:t>
            </w:r>
          </w:p>
        </w:tc>
        <w:tc>
          <w:tcPr>
            <w:tcW w:w="1701" w:type="dxa"/>
            <w:vAlign w:val="bottom"/>
          </w:tcPr>
          <w:p w14:paraId="4CD5B797" w14:textId="77777777" w:rsidR="00FC6F4F" w:rsidRPr="002029AF" w:rsidRDefault="00FC6F4F" w:rsidP="00FC6F4F">
            <w:pPr>
              <w:pStyle w:val="ARtablecolheadright"/>
            </w:pPr>
            <w:r w:rsidRPr="002029AF">
              <w:t>Tonnes CO</w:t>
            </w:r>
            <w:r w:rsidRPr="002029AF">
              <w:rPr>
                <w:vertAlign w:val="subscript"/>
              </w:rPr>
              <w:t>2</w:t>
            </w:r>
            <w:r w:rsidRPr="002029AF">
              <w:t>-e</w:t>
            </w:r>
          </w:p>
        </w:tc>
        <w:tc>
          <w:tcPr>
            <w:tcW w:w="1701" w:type="dxa"/>
            <w:vAlign w:val="bottom"/>
          </w:tcPr>
          <w:p w14:paraId="3DF0FFBC" w14:textId="77777777" w:rsidR="00FC6F4F" w:rsidRPr="002029AF" w:rsidRDefault="00FC6F4F" w:rsidP="00FC6F4F">
            <w:pPr>
              <w:pStyle w:val="ARtablecolheadright"/>
            </w:pPr>
            <w:r w:rsidRPr="002029AF">
              <w:t>Tonnes CO</w:t>
            </w:r>
            <w:r w:rsidRPr="002029AF">
              <w:rPr>
                <w:vertAlign w:val="subscript"/>
              </w:rPr>
              <w:t>2</w:t>
            </w:r>
            <w:r w:rsidRPr="002029AF">
              <w:t>-e</w:t>
            </w:r>
          </w:p>
        </w:tc>
        <w:tc>
          <w:tcPr>
            <w:tcW w:w="1701" w:type="dxa"/>
            <w:vAlign w:val="bottom"/>
          </w:tcPr>
          <w:p w14:paraId="618FAE01" w14:textId="77777777" w:rsidR="00FC6F4F" w:rsidRPr="002029AF" w:rsidRDefault="00FC6F4F" w:rsidP="00FC6F4F">
            <w:pPr>
              <w:pStyle w:val="ARtablecolheadright"/>
            </w:pPr>
            <w:r w:rsidRPr="002029AF">
              <w:t>Tonnes CO</w:t>
            </w:r>
            <w:r w:rsidRPr="002029AF">
              <w:rPr>
                <w:vertAlign w:val="subscript"/>
              </w:rPr>
              <w:t>2</w:t>
            </w:r>
            <w:r w:rsidRPr="002029AF">
              <w:t>-e</w:t>
            </w:r>
          </w:p>
        </w:tc>
      </w:tr>
      <w:tr w:rsidR="00FC6F4F" w:rsidRPr="002029AF" w14:paraId="6FBAC6B3" w14:textId="77777777" w:rsidTr="00FC6F4F">
        <w:trPr>
          <w:cantSplit/>
        </w:trPr>
        <w:tc>
          <w:tcPr>
            <w:tcW w:w="4536" w:type="dxa"/>
          </w:tcPr>
          <w:p w14:paraId="5F7D133F" w14:textId="77777777" w:rsidR="00FC6F4F" w:rsidRPr="002029AF" w:rsidRDefault="00FC6F4F" w:rsidP="00FC6F4F">
            <w:pPr>
              <w:pStyle w:val="ARtabletext"/>
              <w:spacing w:before="70" w:after="50"/>
            </w:pPr>
            <w:r w:rsidRPr="002029AF">
              <w:t>Electricity</w:t>
            </w:r>
          </w:p>
        </w:tc>
        <w:tc>
          <w:tcPr>
            <w:tcW w:w="1701" w:type="dxa"/>
            <w:vAlign w:val="center"/>
          </w:tcPr>
          <w:p w14:paraId="5C583E76" w14:textId="77777777" w:rsidR="00FC6F4F" w:rsidRPr="002029AF" w:rsidRDefault="00FC6F4F" w:rsidP="00FC6F4F">
            <w:pPr>
              <w:pStyle w:val="ARtabletextright"/>
              <w:spacing w:before="70" w:after="50"/>
            </w:pPr>
            <w:r>
              <w:t>23,272</w:t>
            </w:r>
          </w:p>
        </w:tc>
        <w:tc>
          <w:tcPr>
            <w:tcW w:w="1701" w:type="dxa"/>
            <w:vAlign w:val="center"/>
          </w:tcPr>
          <w:p w14:paraId="40612842" w14:textId="77777777" w:rsidR="00FC6F4F" w:rsidRPr="002029AF" w:rsidRDefault="00FC6F4F" w:rsidP="00FC6F4F">
            <w:pPr>
              <w:pStyle w:val="ARtabletextright"/>
              <w:spacing w:before="70" w:after="50"/>
            </w:pPr>
            <w:r>
              <w:t>30,315</w:t>
            </w:r>
          </w:p>
        </w:tc>
        <w:tc>
          <w:tcPr>
            <w:tcW w:w="1701" w:type="dxa"/>
            <w:vAlign w:val="center"/>
          </w:tcPr>
          <w:p w14:paraId="6A523B53" w14:textId="77777777" w:rsidR="00FC6F4F" w:rsidRPr="002029AF" w:rsidRDefault="00FC6F4F" w:rsidP="00FC6F4F">
            <w:pPr>
              <w:pStyle w:val="ARtabletextright"/>
              <w:spacing w:before="70" w:after="50"/>
            </w:pPr>
            <w:r w:rsidRPr="002029AF">
              <w:t>38,120</w:t>
            </w:r>
          </w:p>
        </w:tc>
      </w:tr>
      <w:tr w:rsidR="00FC6F4F" w:rsidRPr="002029AF" w14:paraId="5A644E20" w14:textId="77777777" w:rsidTr="00FC6F4F">
        <w:trPr>
          <w:cantSplit/>
        </w:trPr>
        <w:tc>
          <w:tcPr>
            <w:tcW w:w="4536" w:type="dxa"/>
          </w:tcPr>
          <w:p w14:paraId="6B65C247" w14:textId="77777777" w:rsidR="00FC6F4F" w:rsidRPr="002029AF" w:rsidRDefault="00FC6F4F" w:rsidP="00FC6F4F">
            <w:pPr>
              <w:pStyle w:val="ARtabletext"/>
              <w:spacing w:before="70" w:after="50"/>
            </w:pPr>
            <w:r w:rsidRPr="002029AF">
              <w:t>Natural gas</w:t>
            </w:r>
          </w:p>
        </w:tc>
        <w:tc>
          <w:tcPr>
            <w:tcW w:w="1701" w:type="dxa"/>
            <w:vAlign w:val="center"/>
          </w:tcPr>
          <w:p w14:paraId="39DB045F" w14:textId="77777777" w:rsidR="00FC6F4F" w:rsidRPr="002029AF" w:rsidRDefault="00FC6F4F" w:rsidP="00FC6F4F">
            <w:pPr>
              <w:pStyle w:val="ARtabletextright"/>
              <w:spacing w:before="70" w:after="50"/>
            </w:pPr>
            <w:r>
              <w:t>20,731</w:t>
            </w:r>
          </w:p>
        </w:tc>
        <w:tc>
          <w:tcPr>
            <w:tcW w:w="1701" w:type="dxa"/>
            <w:vAlign w:val="center"/>
          </w:tcPr>
          <w:p w14:paraId="22437D9D" w14:textId="77777777" w:rsidR="00FC6F4F" w:rsidRPr="002029AF" w:rsidRDefault="00FC6F4F" w:rsidP="00FC6F4F">
            <w:pPr>
              <w:pStyle w:val="ARtabletextright"/>
              <w:spacing w:before="70" w:after="50"/>
            </w:pPr>
            <w:r>
              <w:t>23,065</w:t>
            </w:r>
          </w:p>
        </w:tc>
        <w:tc>
          <w:tcPr>
            <w:tcW w:w="1701" w:type="dxa"/>
            <w:vAlign w:val="center"/>
          </w:tcPr>
          <w:p w14:paraId="1236C65B" w14:textId="77777777" w:rsidR="00FC6F4F" w:rsidRPr="002029AF" w:rsidRDefault="00FC6F4F" w:rsidP="00FC6F4F">
            <w:pPr>
              <w:pStyle w:val="ARtabletextright"/>
              <w:spacing w:before="70" w:after="50"/>
            </w:pPr>
            <w:r w:rsidRPr="002029AF">
              <w:t>25,343</w:t>
            </w:r>
          </w:p>
        </w:tc>
      </w:tr>
      <w:tr w:rsidR="00FC6F4F" w:rsidRPr="002029AF" w14:paraId="3FC377F0" w14:textId="77777777" w:rsidTr="00FC6F4F">
        <w:trPr>
          <w:cantSplit/>
        </w:trPr>
        <w:tc>
          <w:tcPr>
            <w:tcW w:w="4536" w:type="dxa"/>
          </w:tcPr>
          <w:p w14:paraId="5515FCE3" w14:textId="77777777" w:rsidR="00FC6F4F" w:rsidRPr="002029AF" w:rsidRDefault="00FC6F4F" w:rsidP="00FC6F4F">
            <w:pPr>
              <w:pStyle w:val="ARtabletext"/>
              <w:spacing w:before="70" w:after="50"/>
              <w:rPr>
                <w:b/>
              </w:rPr>
            </w:pPr>
            <w:r w:rsidRPr="002029AF">
              <w:rPr>
                <w:b/>
              </w:rPr>
              <w:t>Total greenhouse gas emissions</w:t>
            </w:r>
          </w:p>
        </w:tc>
        <w:tc>
          <w:tcPr>
            <w:tcW w:w="1701" w:type="dxa"/>
            <w:vAlign w:val="center"/>
          </w:tcPr>
          <w:p w14:paraId="47937372" w14:textId="77777777" w:rsidR="00FC6F4F" w:rsidRPr="002029AF" w:rsidRDefault="00FC6F4F" w:rsidP="00FC6F4F">
            <w:pPr>
              <w:pStyle w:val="ARtabletextrightbold"/>
              <w:spacing w:before="70" w:after="50"/>
            </w:pPr>
            <w:r>
              <w:t>44,002</w:t>
            </w:r>
          </w:p>
        </w:tc>
        <w:tc>
          <w:tcPr>
            <w:tcW w:w="1701" w:type="dxa"/>
            <w:vAlign w:val="center"/>
          </w:tcPr>
          <w:p w14:paraId="7EC0B43A" w14:textId="77777777" w:rsidR="00FC6F4F" w:rsidRPr="002029AF" w:rsidRDefault="00FC6F4F" w:rsidP="00FC6F4F">
            <w:pPr>
              <w:pStyle w:val="ARtabletextrightbold"/>
              <w:spacing w:before="70" w:after="50"/>
            </w:pPr>
            <w:r>
              <w:t>53,379</w:t>
            </w:r>
          </w:p>
        </w:tc>
        <w:tc>
          <w:tcPr>
            <w:tcW w:w="1701" w:type="dxa"/>
            <w:vAlign w:val="center"/>
          </w:tcPr>
          <w:p w14:paraId="41CF10C7" w14:textId="77777777" w:rsidR="00FC6F4F" w:rsidRPr="002029AF" w:rsidRDefault="00FC6F4F" w:rsidP="00FC6F4F">
            <w:pPr>
              <w:pStyle w:val="ARtabletextrightbold"/>
              <w:spacing w:before="70" w:after="50"/>
            </w:pPr>
            <w:r w:rsidRPr="002029AF">
              <w:t>63,464</w:t>
            </w:r>
          </w:p>
        </w:tc>
      </w:tr>
    </w:tbl>
    <w:p w14:paraId="48DCFD44" w14:textId="56B716D5" w:rsidR="00FC6F4F" w:rsidRPr="002029AF" w:rsidRDefault="00FC6F4F" w:rsidP="006C7588">
      <w:pPr>
        <w:pStyle w:val="ARtablefootnote"/>
      </w:pPr>
      <w:r>
        <w:t xml:space="preserve">Housing services energy data represents consumption and cost for common-use areas and base-building services at 2,406 </w:t>
      </w:r>
      <w:r w:rsidR="00206595">
        <w:br/>
      </w:r>
      <w:r>
        <w:t>electricity-metered and 399 gas-metered sites.</w:t>
      </w:r>
    </w:p>
    <w:p w14:paraId="60ECF3B1" w14:textId="7F653132" w:rsidR="00FC6F4F" w:rsidRPr="002029AF" w:rsidRDefault="00FC6F4F" w:rsidP="006C7588">
      <w:pPr>
        <w:pStyle w:val="ARtablefootnote"/>
      </w:pPr>
      <w:r>
        <w:t xml:space="preserve">Housing services electricity data includes a </w:t>
      </w:r>
      <w:r w:rsidR="005C0464">
        <w:t>six</w:t>
      </w:r>
      <w:r>
        <w:t xml:space="preserve"> per cent estimate and housing portfolio gas data includes a 12 per cent estimate in 2020–21 due to some data being unavailable from energy retailers at the time of reporting.</w:t>
      </w:r>
    </w:p>
    <w:p w14:paraId="7D4DACE8" w14:textId="77777777" w:rsidR="00FC6F4F" w:rsidRPr="002029AF" w:rsidRDefault="00FC6F4F" w:rsidP="001C1AB1">
      <w:pPr>
        <w:pStyle w:val="Heading5"/>
      </w:pPr>
      <w:bookmarkStart w:id="647" w:name="_Toc85121320"/>
      <w:r w:rsidRPr="002029AF">
        <w:t>Public health services</w:t>
      </w:r>
      <w:bookmarkEnd w:id="647"/>
    </w:p>
    <w:tbl>
      <w:tblPr>
        <w:tblStyle w:val="TableGrid"/>
        <w:tblW w:w="9639" w:type="dxa"/>
        <w:tblLook w:val="06A0" w:firstRow="1" w:lastRow="0" w:firstColumn="1" w:lastColumn="0" w:noHBand="1" w:noVBand="1"/>
      </w:tblPr>
      <w:tblGrid>
        <w:gridCol w:w="2835"/>
        <w:gridCol w:w="1304"/>
        <w:gridCol w:w="964"/>
        <w:gridCol w:w="1304"/>
        <w:gridCol w:w="964"/>
        <w:gridCol w:w="1304"/>
        <w:gridCol w:w="964"/>
      </w:tblGrid>
      <w:tr w:rsidR="007C6076" w:rsidRPr="002029AF" w14:paraId="07740087" w14:textId="77777777" w:rsidTr="007C6076">
        <w:trPr>
          <w:cnfStyle w:val="100000000000" w:firstRow="1" w:lastRow="0" w:firstColumn="0" w:lastColumn="0" w:oddVBand="0" w:evenVBand="0" w:oddHBand="0" w:evenHBand="0" w:firstRowFirstColumn="0" w:firstRowLastColumn="0" w:lastRowFirstColumn="0" w:lastRowLastColumn="0"/>
          <w:tblHeader/>
        </w:trPr>
        <w:tc>
          <w:tcPr>
            <w:tcW w:w="2835" w:type="dxa"/>
          </w:tcPr>
          <w:p w14:paraId="27EF37CB" w14:textId="77777777" w:rsidR="00FC6F4F" w:rsidRPr="002029AF" w:rsidRDefault="00FC6F4F" w:rsidP="00FC6F4F">
            <w:pPr>
              <w:pStyle w:val="ARtablecolhead"/>
            </w:pPr>
            <w:r w:rsidRPr="002029AF">
              <w:t>Description</w:t>
            </w:r>
          </w:p>
        </w:tc>
        <w:tc>
          <w:tcPr>
            <w:tcW w:w="1304" w:type="dxa"/>
          </w:tcPr>
          <w:p w14:paraId="1F3C35CC" w14:textId="77777777" w:rsidR="00FC6F4F" w:rsidRPr="002029AF" w:rsidRDefault="00FC6F4F" w:rsidP="00FC6F4F">
            <w:pPr>
              <w:pStyle w:val="ARtablecolheadright"/>
            </w:pPr>
            <w:r w:rsidRPr="002029AF">
              <w:t>20</w:t>
            </w:r>
            <w:r>
              <w:t>20</w:t>
            </w:r>
            <w:r w:rsidRPr="002029AF">
              <w:t>–2</w:t>
            </w:r>
            <w:r>
              <w:t>1</w:t>
            </w:r>
            <w:r w:rsidRPr="002029AF">
              <w:t xml:space="preserve"> </w:t>
            </w:r>
            <w:r w:rsidRPr="002029AF">
              <w:br/>
              <w:t>estimate</w:t>
            </w:r>
          </w:p>
        </w:tc>
        <w:tc>
          <w:tcPr>
            <w:tcW w:w="964" w:type="dxa"/>
          </w:tcPr>
          <w:p w14:paraId="63E89EC9" w14:textId="77777777" w:rsidR="00FC6F4F" w:rsidRPr="002029AF" w:rsidRDefault="00FC6F4F" w:rsidP="00FC6F4F">
            <w:pPr>
              <w:pStyle w:val="ARtablecolheadright"/>
            </w:pPr>
            <w:r w:rsidRPr="002029AF">
              <w:t>20</w:t>
            </w:r>
            <w:r>
              <w:t>20</w:t>
            </w:r>
            <w:r w:rsidRPr="002029AF">
              <w:t>–2</w:t>
            </w:r>
            <w:r>
              <w:t>1</w:t>
            </w:r>
            <w:r w:rsidRPr="002029AF">
              <w:t xml:space="preserve"> </w:t>
            </w:r>
            <w:r w:rsidRPr="002029AF">
              <w:br/>
              <w:t>estimate</w:t>
            </w:r>
          </w:p>
        </w:tc>
        <w:tc>
          <w:tcPr>
            <w:tcW w:w="1304" w:type="dxa"/>
          </w:tcPr>
          <w:p w14:paraId="6E207064" w14:textId="77777777" w:rsidR="00FC6F4F" w:rsidRPr="002029AF" w:rsidRDefault="00FC6F4F" w:rsidP="00FC6F4F">
            <w:pPr>
              <w:pStyle w:val="ARtablecolheadright"/>
            </w:pPr>
            <w:r w:rsidRPr="002029AF">
              <w:t xml:space="preserve">2019–20 </w:t>
            </w:r>
            <w:r w:rsidRPr="002029AF">
              <w:br/>
              <w:t>estimate</w:t>
            </w:r>
          </w:p>
        </w:tc>
        <w:tc>
          <w:tcPr>
            <w:tcW w:w="964" w:type="dxa"/>
          </w:tcPr>
          <w:p w14:paraId="6D849154" w14:textId="77777777" w:rsidR="00FC6F4F" w:rsidRPr="002029AF" w:rsidRDefault="00FC6F4F" w:rsidP="00FC6F4F">
            <w:pPr>
              <w:pStyle w:val="ARtablecolheadright"/>
            </w:pPr>
            <w:r w:rsidRPr="002029AF">
              <w:t xml:space="preserve">2019–20 </w:t>
            </w:r>
            <w:r w:rsidRPr="002029AF">
              <w:br/>
              <w:t>estimate</w:t>
            </w:r>
          </w:p>
        </w:tc>
        <w:tc>
          <w:tcPr>
            <w:tcW w:w="1304" w:type="dxa"/>
          </w:tcPr>
          <w:p w14:paraId="11C83E07" w14:textId="77777777" w:rsidR="00FC6F4F" w:rsidRPr="002029AF" w:rsidRDefault="00FC6F4F" w:rsidP="00FC6F4F">
            <w:pPr>
              <w:pStyle w:val="ARtablecolheadright"/>
            </w:pPr>
            <w:r w:rsidRPr="002029AF">
              <w:t xml:space="preserve">2018–19 </w:t>
            </w:r>
            <w:r w:rsidRPr="002029AF">
              <w:br/>
              <w:t>estimate</w:t>
            </w:r>
          </w:p>
        </w:tc>
        <w:tc>
          <w:tcPr>
            <w:tcW w:w="964" w:type="dxa"/>
          </w:tcPr>
          <w:p w14:paraId="4A00456B" w14:textId="77777777" w:rsidR="00FC6F4F" w:rsidRPr="002029AF" w:rsidRDefault="00FC6F4F" w:rsidP="00FC6F4F">
            <w:pPr>
              <w:pStyle w:val="ARtablecolheadright"/>
            </w:pPr>
            <w:r w:rsidRPr="002029AF">
              <w:t xml:space="preserve">2018–19 </w:t>
            </w:r>
            <w:r w:rsidRPr="002029AF">
              <w:br/>
              <w:t>estimate</w:t>
            </w:r>
          </w:p>
        </w:tc>
      </w:tr>
      <w:tr w:rsidR="007C6076" w:rsidRPr="002029AF" w14:paraId="7DEC1963" w14:textId="77777777" w:rsidTr="007C6076">
        <w:trPr>
          <w:cnfStyle w:val="100000000000" w:firstRow="1" w:lastRow="0" w:firstColumn="0" w:lastColumn="0" w:oddVBand="0" w:evenVBand="0" w:oddHBand="0" w:evenHBand="0" w:firstRowFirstColumn="0" w:firstRowLastColumn="0" w:lastRowFirstColumn="0" w:lastRowLastColumn="0"/>
          <w:tblHeader/>
        </w:trPr>
        <w:tc>
          <w:tcPr>
            <w:tcW w:w="2835" w:type="dxa"/>
          </w:tcPr>
          <w:p w14:paraId="0844E8AE" w14:textId="77777777" w:rsidR="00FC6F4F" w:rsidRPr="002029AF" w:rsidRDefault="00FC6F4F" w:rsidP="00FC6F4F">
            <w:pPr>
              <w:pStyle w:val="ARtablecolhead"/>
            </w:pPr>
            <w:r w:rsidRPr="002029AF">
              <w:t>Total energy usage segmented by primary source</w:t>
            </w:r>
          </w:p>
        </w:tc>
        <w:tc>
          <w:tcPr>
            <w:tcW w:w="1304" w:type="dxa"/>
          </w:tcPr>
          <w:p w14:paraId="569F0013" w14:textId="77777777" w:rsidR="00FC6F4F" w:rsidRPr="002029AF" w:rsidRDefault="00FC6F4F" w:rsidP="00FC6F4F">
            <w:pPr>
              <w:pStyle w:val="ARtablecolheadright"/>
            </w:pPr>
            <w:r w:rsidRPr="002029AF">
              <w:t>Terajoules</w:t>
            </w:r>
          </w:p>
        </w:tc>
        <w:tc>
          <w:tcPr>
            <w:tcW w:w="964" w:type="dxa"/>
          </w:tcPr>
          <w:p w14:paraId="2CD2C0D4" w14:textId="77777777" w:rsidR="00FC6F4F" w:rsidRPr="002029AF" w:rsidRDefault="00FC6F4F" w:rsidP="00FC6F4F">
            <w:pPr>
              <w:pStyle w:val="ARtablecolheadright"/>
            </w:pPr>
            <w:r w:rsidRPr="002029AF">
              <w:t>Cost</w:t>
            </w:r>
            <w:r w:rsidRPr="002029AF">
              <w:br/>
              <w:t>($M)</w:t>
            </w:r>
          </w:p>
        </w:tc>
        <w:tc>
          <w:tcPr>
            <w:tcW w:w="1304" w:type="dxa"/>
          </w:tcPr>
          <w:p w14:paraId="2C3C5C62" w14:textId="77777777" w:rsidR="00FC6F4F" w:rsidRPr="002029AF" w:rsidRDefault="00FC6F4F" w:rsidP="00FC6F4F">
            <w:pPr>
              <w:pStyle w:val="ARtablecolheadright"/>
            </w:pPr>
            <w:r w:rsidRPr="002029AF">
              <w:t>Terajoules</w:t>
            </w:r>
          </w:p>
        </w:tc>
        <w:tc>
          <w:tcPr>
            <w:tcW w:w="964" w:type="dxa"/>
          </w:tcPr>
          <w:p w14:paraId="22B0ED80" w14:textId="77777777" w:rsidR="00FC6F4F" w:rsidRPr="002029AF" w:rsidRDefault="00FC6F4F" w:rsidP="00FC6F4F">
            <w:pPr>
              <w:pStyle w:val="ARtablecolheadright"/>
            </w:pPr>
            <w:r w:rsidRPr="002029AF">
              <w:t>Cost</w:t>
            </w:r>
            <w:r w:rsidRPr="002029AF">
              <w:br/>
              <w:t>($M)</w:t>
            </w:r>
          </w:p>
        </w:tc>
        <w:tc>
          <w:tcPr>
            <w:tcW w:w="1304" w:type="dxa"/>
          </w:tcPr>
          <w:p w14:paraId="78940F6E" w14:textId="77777777" w:rsidR="00FC6F4F" w:rsidRPr="002029AF" w:rsidRDefault="00FC6F4F" w:rsidP="00FC6F4F">
            <w:pPr>
              <w:pStyle w:val="ARtablecolheadright"/>
            </w:pPr>
            <w:r w:rsidRPr="002029AF">
              <w:t>Terajoules</w:t>
            </w:r>
          </w:p>
        </w:tc>
        <w:tc>
          <w:tcPr>
            <w:tcW w:w="964" w:type="dxa"/>
          </w:tcPr>
          <w:p w14:paraId="6320D72F" w14:textId="77777777" w:rsidR="00FC6F4F" w:rsidRPr="002029AF" w:rsidRDefault="00FC6F4F" w:rsidP="00FC6F4F">
            <w:pPr>
              <w:pStyle w:val="ARtablecolheadright"/>
            </w:pPr>
            <w:r w:rsidRPr="002029AF">
              <w:t>Cost</w:t>
            </w:r>
            <w:r w:rsidRPr="002029AF">
              <w:br/>
              <w:t>($M)</w:t>
            </w:r>
          </w:p>
        </w:tc>
      </w:tr>
      <w:tr w:rsidR="007C6076" w:rsidRPr="002029AF" w14:paraId="50DB9440" w14:textId="77777777" w:rsidTr="007C6076">
        <w:trPr>
          <w:cantSplit w:val="0"/>
        </w:trPr>
        <w:tc>
          <w:tcPr>
            <w:tcW w:w="2835" w:type="dxa"/>
            <w:hideMark/>
          </w:tcPr>
          <w:p w14:paraId="6596D9B5" w14:textId="77777777" w:rsidR="00FC6F4F" w:rsidRPr="002029AF" w:rsidRDefault="00FC6F4F" w:rsidP="00FC6F4F">
            <w:pPr>
              <w:pStyle w:val="ARtabletext"/>
              <w:spacing w:before="70" w:after="50"/>
            </w:pPr>
            <w:r w:rsidRPr="002029AF">
              <w:t>Electricity</w:t>
            </w:r>
          </w:p>
        </w:tc>
        <w:tc>
          <w:tcPr>
            <w:tcW w:w="1304" w:type="dxa"/>
            <w:vAlign w:val="center"/>
          </w:tcPr>
          <w:p w14:paraId="672AE093" w14:textId="77777777" w:rsidR="00FC6F4F" w:rsidRPr="002029AF" w:rsidRDefault="00FC6F4F" w:rsidP="00FC6F4F">
            <w:pPr>
              <w:pStyle w:val="ARtabletextright"/>
              <w:spacing w:before="70" w:after="50"/>
            </w:pPr>
            <w:r w:rsidRPr="002029AF">
              <w:t>2,</w:t>
            </w:r>
            <w:r>
              <w:t>246</w:t>
            </w:r>
          </w:p>
        </w:tc>
        <w:tc>
          <w:tcPr>
            <w:tcW w:w="964" w:type="dxa"/>
            <w:vAlign w:val="center"/>
          </w:tcPr>
          <w:p w14:paraId="72F64FD9" w14:textId="77777777" w:rsidR="00FC6F4F" w:rsidRPr="002029AF" w:rsidRDefault="00FC6F4F" w:rsidP="00FC6F4F">
            <w:pPr>
              <w:pStyle w:val="ARtabletextright"/>
              <w:spacing w:before="70" w:after="50"/>
            </w:pPr>
            <w:r>
              <w:t>$112.87</w:t>
            </w:r>
          </w:p>
        </w:tc>
        <w:tc>
          <w:tcPr>
            <w:tcW w:w="1304" w:type="dxa"/>
            <w:vAlign w:val="center"/>
          </w:tcPr>
          <w:p w14:paraId="6E623FF9" w14:textId="77777777" w:rsidR="00FC6F4F" w:rsidRPr="002029AF" w:rsidRDefault="00FC6F4F" w:rsidP="00FC6F4F">
            <w:pPr>
              <w:pStyle w:val="ARtabletextright"/>
              <w:spacing w:before="70" w:after="50"/>
            </w:pPr>
            <w:r w:rsidRPr="002029AF">
              <w:t>2,19</w:t>
            </w:r>
            <w:r>
              <w:t>9</w:t>
            </w:r>
          </w:p>
        </w:tc>
        <w:tc>
          <w:tcPr>
            <w:tcW w:w="964" w:type="dxa"/>
            <w:vAlign w:val="center"/>
          </w:tcPr>
          <w:p w14:paraId="4A3D354F" w14:textId="77777777" w:rsidR="00FC6F4F" w:rsidRPr="002029AF" w:rsidRDefault="00FC6F4F" w:rsidP="00FC6F4F">
            <w:pPr>
              <w:pStyle w:val="ARtabletextright"/>
              <w:spacing w:before="70" w:after="50"/>
            </w:pPr>
            <w:r w:rsidRPr="002029AF">
              <w:t>$111.</w:t>
            </w:r>
            <w:r>
              <w:t>20</w:t>
            </w:r>
          </w:p>
        </w:tc>
        <w:tc>
          <w:tcPr>
            <w:tcW w:w="1304" w:type="dxa"/>
            <w:vAlign w:val="center"/>
          </w:tcPr>
          <w:p w14:paraId="2932E94C" w14:textId="77777777" w:rsidR="00FC6F4F" w:rsidRPr="002029AF" w:rsidRDefault="00FC6F4F" w:rsidP="00FC6F4F">
            <w:pPr>
              <w:pStyle w:val="ARtabletextright"/>
              <w:spacing w:before="70" w:after="50"/>
            </w:pPr>
            <w:r w:rsidRPr="002029AF">
              <w:t>2,2</w:t>
            </w:r>
            <w:r>
              <w:t>42</w:t>
            </w:r>
          </w:p>
        </w:tc>
        <w:tc>
          <w:tcPr>
            <w:tcW w:w="964" w:type="dxa"/>
            <w:vAlign w:val="center"/>
          </w:tcPr>
          <w:p w14:paraId="212CDB08" w14:textId="77777777" w:rsidR="00FC6F4F" w:rsidRPr="002029AF" w:rsidRDefault="00FC6F4F" w:rsidP="00FC6F4F">
            <w:pPr>
              <w:pStyle w:val="ARtabletextright"/>
              <w:spacing w:before="70" w:after="50"/>
            </w:pPr>
            <w:r w:rsidRPr="002029AF">
              <w:t>$119.</w:t>
            </w:r>
            <w:r>
              <w:t>39</w:t>
            </w:r>
          </w:p>
        </w:tc>
      </w:tr>
      <w:tr w:rsidR="007C6076" w:rsidRPr="002029AF" w14:paraId="55AE1BC3" w14:textId="77777777" w:rsidTr="007C6076">
        <w:trPr>
          <w:cantSplit w:val="0"/>
        </w:trPr>
        <w:tc>
          <w:tcPr>
            <w:tcW w:w="2835" w:type="dxa"/>
            <w:hideMark/>
          </w:tcPr>
          <w:p w14:paraId="12D34CFF" w14:textId="77777777" w:rsidR="00FC6F4F" w:rsidRPr="002029AF" w:rsidRDefault="00FC6F4F" w:rsidP="00FC6F4F">
            <w:pPr>
              <w:pStyle w:val="ARtabletext"/>
              <w:spacing w:before="70" w:after="50"/>
            </w:pPr>
            <w:r w:rsidRPr="002029AF">
              <w:t>Natural gas</w:t>
            </w:r>
          </w:p>
        </w:tc>
        <w:tc>
          <w:tcPr>
            <w:tcW w:w="1304" w:type="dxa"/>
            <w:vAlign w:val="center"/>
          </w:tcPr>
          <w:p w14:paraId="4F3D7BC6" w14:textId="77777777" w:rsidR="00FC6F4F" w:rsidRPr="002029AF" w:rsidRDefault="00FC6F4F" w:rsidP="00FC6F4F">
            <w:pPr>
              <w:pStyle w:val="ARtabletextright"/>
              <w:spacing w:before="70" w:after="50"/>
            </w:pPr>
            <w:r w:rsidRPr="002029AF">
              <w:t>2,</w:t>
            </w:r>
            <w:r>
              <w:t>149</w:t>
            </w:r>
          </w:p>
        </w:tc>
        <w:tc>
          <w:tcPr>
            <w:tcW w:w="964" w:type="dxa"/>
            <w:vAlign w:val="center"/>
          </w:tcPr>
          <w:p w14:paraId="04C22A0F" w14:textId="77777777" w:rsidR="00FC6F4F" w:rsidRPr="002029AF" w:rsidRDefault="00FC6F4F" w:rsidP="00FC6F4F">
            <w:pPr>
              <w:pStyle w:val="ARtabletextright"/>
              <w:spacing w:before="70" w:after="50"/>
            </w:pPr>
            <w:r w:rsidRPr="002029AF">
              <w:t>$25.</w:t>
            </w:r>
            <w:r>
              <w:t>4</w:t>
            </w:r>
            <w:r w:rsidRPr="002029AF">
              <w:t>7</w:t>
            </w:r>
          </w:p>
        </w:tc>
        <w:tc>
          <w:tcPr>
            <w:tcW w:w="1304" w:type="dxa"/>
            <w:vAlign w:val="center"/>
          </w:tcPr>
          <w:p w14:paraId="27D42DBC" w14:textId="77777777" w:rsidR="00FC6F4F" w:rsidRPr="002029AF" w:rsidRDefault="00FC6F4F" w:rsidP="00FC6F4F">
            <w:pPr>
              <w:pStyle w:val="ARtabletextright"/>
              <w:spacing w:before="70" w:after="50"/>
            </w:pPr>
            <w:r w:rsidRPr="002029AF">
              <w:t>2,</w:t>
            </w:r>
            <w:r>
              <w:t>177</w:t>
            </w:r>
          </w:p>
        </w:tc>
        <w:tc>
          <w:tcPr>
            <w:tcW w:w="964" w:type="dxa"/>
            <w:vAlign w:val="center"/>
          </w:tcPr>
          <w:p w14:paraId="11EB4630" w14:textId="77777777" w:rsidR="00FC6F4F" w:rsidRPr="002029AF" w:rsidRDefault="00FC6F4F" w:rsidP="00FC6F4F">
            <w:pPr>
              <w:pStyle w:val="ARtabletextright"/>
              <w:spacing w:before="70" w:after="50"/>
            </w:pPr>
            <w:r w:rsidRPr="002029AF">
              <w:t>$25.</w:t>
            </w:r>
            <w:r>
              <w:t>89</w:t>
            </w:r>
          </w:p>
        </w:tc>
        <w:tc>
          <w:tcPr>
            <w:tcW w:w="1304" w:type="dxa"/>
            <w:vAlign w:val="center"/>
          </w:tcPr>
          <w:p w14:paraId="09F05E75" w14:textId="77777777" w:rsidR="00FC6F4F" w:rsidRPr="002029AF" w:rsidRDefault="00FC6F4F" w:rsidP="00FC6F4F">
            <w:pPr>
              <w:pStyle w:val="ARtabletextright"/>
              <w:spacing w:before="70" w:after="50"/>
            </w:pPr>
            <w:r w:rsidRPr="002029AF">
              <w:t>2,</w:t>
            </w:r>
            <w:r>
              <w:t>128</w:t>
            </w:r>
          </w:p>
        </w:tc>
        <w:tc>
          <w:tcPr>
            <w:tcW w:w="964" w:type="dxa"/>
            <w:vAlign w:val="center"/>
          </w:tcPr>
          <w:p w14:paraId="656458C3" w14:textId="77777777" w:rsidR="00FC6F4F" w:rsidRPr="002029AF" w:rsidRDefault="00FC6F4F" w:rsidP="00FC6F4F">
            <w:pPr>
              <w:pStyle w:val="ARtabletextright"/>
              <w:spacing w:before="70" w:after="50"/>
            </w:pPr>
            <w:r w:rsidRPr="002029AF">
              <w:t>$24.1</w:t>
            </w:r>
            <w:r>
              <w:t>7</w:t>
            </w:r>
          </w:p>
        </w:tc>
      </w:tr>
      <w:tr w:rsidR="007C6076" w:rsidRPr="002029AF" w14:paraId="0149C98B" w14:textId="77777777" w:rsidTr="007C6076">
        <w:trPr>
          <w:cantSplit w:val="0"/>
        </w:trPr>
        <w:tc>
          <w:tcPr>
            <w:tcW w:w="2835" w:type="dxa"/>
          </w:tcPr>
          <w:p w14:paraId="136BE966" w14:textId="77777777" w:rsidR="00FC6F4F" w:rsidRPr="002029AF" w:rsidRDefault="00FC6F4F" w:rsidP="00FC6F4F">
            <w:pPr>
              <w:pStyle w:val="ARtabletext"/>
              <w:spacing w:before="70" w:after="50"/>
            </w:pPr>
            <w:r w:rsidRPr="002029AF">
              <w:t>Co-generation steam</w:t>
            </w:r>
          </w:p>
        </w:tc>
        <w:tc>
          <w:tcPr>
            <w:tcW w:w="1304" w:type="dxa"/>
            <w:vAlign w:val="center"/>
          </w:tcPr>
          <w:p w14:paraId="2DE5B490" w14:textId="77777777" w:rsidR="00FC6F4F" w:rsidRPr="002029AF" w:rsidRDefault="00FC6F4F" w:rsidP="00FC6F4F">
            <w:pPr>
              <w:pStyle w:val="ARtabletextright"/>
              <w:spacing w:before="70" w:after="50"/>
            </w:pPr>
            <w:r>
              <w:t>483</w:t>
            </w:r>
          </w:p>
        </w:tc>
        <w:tc>
          <w:tcPr>
            <w:tcW w:w="964" w:type="dxa"/>
            <w:vAlign w:val="center"/>
          </w:tcPr>
          <w:p w14:paraId="604CCF3A" w14:textId="77777777" w:rsidR="00FC6F4F" w:rsidRPr="002029AF" w:rsidRDefault="00FC6F4F" w:rsidP="00FC6F4F">
            <w:pPr>
              <w:pStyle w:val="ARtabletextright"/>
              <w:spacing w:before="70" w:after="50"/>
            </w:pPr>
            <w:r w:rsidRPr="002029AF">
              <w:t>$6.</w:t>
            </w:r>
            <w:r>
              <w:t>85</w:t>
            </w:r>
          </w:p>
        </w:tc>
        <w:tc>
          <w:tcPr>
            <w:tcW w:w="1304" w:type="dxa"/>
            <w:vAlign w:val="center"/>
          </w:tcPr>
          <w:p w14:paraId="7DB6D8E1" w14:textId="77777777" w:rsidR="00FC6F4F" w:rsidRPr="002029AF" w:rsidRDefault="00FC6F4F" w:rsidP="00FC6F4F">
            <w:pPr>
              <w:pStyle w:val="ARtabletextright"/>
              <w:spacing w:before="70" w:after="50"/>
            </w:pPr>
            <w:r w:rsidRPr="002029AF">
              <w:t>516</w:t>
            </w:r>
          </w:p>
        </w:tc>
        <w:tc>
          <w:tcPr>
            <w:tcW w:w="964" w:type="dxa"/>
            <w:vAlign w:val="center"/>
          </w:tcPr>
          <w:p w14:paraId="6AAB36C2" w14:textId="77777777" w:rsidR="00FC6F4F" w:rsidRPr="002029AF" w:rsidRDefault="00FC6F4F" w:rsidP="00FC6F4F">
            <w:pPr>
              <w:pStyle w:val="ARtabletextright"/>
              <w:spacing w:before="70" w:after="50"/>
            </w:pPr>
            <w:r w:rsidRPr="002029AF">
              <w:t>$6.91</w:t>
            </w:r>
          </w:p>
        </w:tc>
        <w:tc>
          <w:tcPr>
            <w:tcW w:w="1304" w:type="dxa"/>
            <w:vAlign w:val="center"/>
          </w:tcPr>
          <w:p w14:paraId="4560969B" w14:textId="77777777" w:rsidR="00FC6F4F" w:rsidRPr="002029AF" w:rsidRDefault="00FC6F4F" w:rsidP="00FC6F4F">
            <w:pPr>
              <w:pStyle w:val="ARtabletextright"/>
              <w:spacing w:before="70" w:after="50"/>
            </w:pPr>
            <w:r w:rsidRPr="002029AF">
              <w:t>501</w:t>
            </w:r>
          </w:p>
        </w:tc>
        <w:tc>
          <w:tcPr>
            <w:tcW w:w="964" w:type="dxa"/>
            <w:vAlign w:val="center"/>
          </w:tcPr>
          <w:p w14:paraId="257E81E4" w14:textId="77777777" w:rsidR="00FC6F4F" w:rsidRPr="002029AF" w:rsidRDefault="00FC6F4F" w:rsidP="00FC6F4F">
            <w:pPr>
              <w:pStyle w:val="ARtabletextright"/>
              <w:spacing w:before="70" w:after="50"/>
            </w:pPr>
            <w:r w:rsidRPr="002029AF">
              <w:t>$6.58</w:t>
            </w:r>
          </w:p>
        </w:tc>
      </w:tr>
      <w:tr w:rsidR="007C6076" w:rsidRPr="002029AF" w14:paraId="7E84A084" w14:textId="77777777" w:rsidTr="007C6076">
        <w:trPr>
          <w:cantSplit w:val="0"/>
        </w:trPr>
        <w:tc>
          <w:tcPr>
            <w:tcW w:w="2835" w:type="dxa"/>
            <w:hideMark/>
          </w:tcPr>
          <w:p w14:paraId="06C59871" w14:textId="77777777" w:rsidR="00FC6F4F" w:rsidRPr="002029AF" w:rsidRDefault="00FC6F4F" w:rsidP="00FC6F4F">
            <w:pPr>
              <w:pStyle w:val="ARtabletext"/>
              <w:spacing w:before="70" w:after="50"/>
            </w:pPr>
            <w:r w:rsidRPr="002029AF">
              <w:t>LPG</w:t>
            </w:r>
          </w:p>
        </w:tc>
        <w:tc>
          <w:tcPr>
            <w:tcW w:w="1304" w:type="dxa"/>
            <w:vAlign w:val="center"/>
          </w:tcPr>
          <w:p w14:paraId="6575CA57" w14:textId="77777777" w:rsidR="00FC6F4F" w:rsidRPr="002029AF" w:rsidRDefault="00FC6F4F" w:rsidP="00FC6F4F">
            <w:pPr>
              <w:pStyle w:val="ARtabletextright"/>
              <w:spacing w:before="70" w:after="50"/>
            </w:pPr>
            <w:r>
              <w:t>79</w:t>
            </w:r>
          </w:p>
        </w:tc>
        <w:tc>
          <w:tcPr>
            <w:tcW w:w="964" w:type="dxa"/>
            <w:vAlign w:val="center"/>
          </w:tcPr>
          <w:p w14:paraId="72E06626" w14:textId="77777777" w:rsidR="00FC6F4F" w:rsidRPr="002029AF" w:rsidRDefault="00FC6F4F" w:rsidP="00FC6F4F">
            <w:pPr>
              <w:pStyle w:val="ARtabletextright"/>
              <w:spacing w:before="70" w:after="50"/>
            </w:pPr>
            <w:r w:rsidRPr="002029AF">
              <w:t>$</w:t>
            </w:r>
            <w:r>
              <w:t>1.64</w:t>
            </w:r>
          </w:p>
        </w:tc>
        <w:tc>
          <w:tcPr>
            <w:tcW w:w="1304" w:type="dxa"/>
            <w:vAlign w:val="center"/>
          </w:tcPr>
          <w:p w14:paraId="25BBAF9A" w14:textId="77777777" w:rsidR="00FC6F4F" w:rsidRPr="002029AF" w:rsidRDefault="00FC6F4F" w:rsidP="00FC6F4F">
            <w:pPr>
              <w:pStyle w:val="ARtabletextright"/>
              <w:spacing w:before="70" w:after="50"/>
            </w:pPr>
            <w:r>
              <w:t>93</w:t>
            </w:r>
          </w:p>
        </w:tc>
        <w:tc>
          <w:tcPr>
            <w:tcW w:w="964" w:type="dxa"/>
            <w:vAlign w:val="center"/>
          </w:tcPr>
          <w:p w14:paraId="2C4C5AB9" w14:textId="77777777" w:rsidR="00FC6F4F" w:rsidRPr="002029AF" w:rsidRDefault="00FC6F4F" w:rsidP="00FC6F4F">
            <w:pPr>
              <w:pStyle w:val="ARtabletextright"/>
              <w:spacing w:before="70" w:after="50"/>
            </w:pPr>
            <w:r w:rsidRPr="002029AF">
              <w:t>$2.</w:t>
            </w:r>
            <w:r>
              <w:t>42</w:t>
            </w:r>
          </w:p>
        </w:tc>
        <w:tc>
          <w:tcPr>
            <w:tcW w:w="1304" w:type="dxa"/>
            <w:vAlign w:val="center"/>
          </w:tcPr>
          <w:p w14:paraId="08413265" w14:textId="77777777" w:rsidR="00FC6F4F" w:rsidRPr="002029AF" w:rsidRDefault="00FC6F4F" w:rsidP="00FC6F4F">
            <w:pPr>
              <w:pStyle w:val="ARtabletextright"/>
              <w:spacing w:before="70" w:after="50"/>
            </w:pPr>
            <w:r w:rsidRPr="002029AF">
              <w:t>99</w:t>
            </w:r>
          </w:p>
        </w:tc>
        <w:tc>
          <w:tcPr>
            <w:tcW w:w="964" w:type="dxa"/>
            <w:vAlign w:val="center"/>
          </w:tcPr>
          <w:p w14:paraId="4836EF3C" w14:textId="77777777" w:rsidR="00FC6F4F" w:rsidRPr="002029AF" w:rsidRDefault="00FC6F4F" w:rsidP="00FC6F4F">
            <w:pPr>
              <w:pStyle w:val="ARtabletextright"/>
              <w:spacing w:before="70" w:after="50"/>
            </w:pPr>
            <w:r w:rsidRPr="002029AF">
              <w:t>$2.40</w:t>
            </w:r>
          </w:p>
        </w:tc>
      </w:tr>
      <w:tr w:rsidR="007C6076" w:rsidRPr="002029AF" w14:paraId="31C42D53" w14:textId="77777777" w:rsidTr="007C6076">
        <w:trPr>
          <w:cantSplit w:val="0"/>
        </w:trPr>
        <w:tc>
          <w:tcPr>
            <w:tcW w:w="2835" w:type="dxa"/>
            <w:hideMark/>
          </w:tcPr>
          <w:p w14:paraId="410EF259" w14:textId="77777777" w:rsidR="00FC6F4F" w:rsidRPr="002029AF" w:rsidRDefault="00FC6F4F" w:rsidP="00FC6F4F">
            <w:pPr>
              <w:pStyle w:val="ARtabletext"/>
              <w:spacing w:before="70" w:after="50"/>
            </w:pPr>
            <w:r w:rsidRPr="002029AF">
              <w:t>Diesel</w:t>
            </w:r>
          </w:p>
        </w:tc>
        <w:tc>
          <w:tcPr>
            <w:tcW w:w="1304" w:type="dxa"/>
            <w:vAlign w:val="center"/>
          </w:tcPr>
          <w:p w14:paraId="757406B0" w14:textId="77777777" w:rsidR="00FC6F4F" w:rsidRPr="002029AF" w:rsidRDefault="00FC6F4F" w:rsidP="00FC6F4F">
            <w:pPr>
              <w:pStyle w:val="ARtabletextright"/>
              <w:spacing w:before="70" w:after="50"/>
            </w:pPr>
            <w:r>
              <w:t>2</w:t>
            </w:r>
          </w:p>
        </w:tc>
        <w:tc>
          <w:tcPr>
            <w:tcW w:w="964" w:type="dxa"/>
            <w:vAlign w:val="center"/>
          </w:tcPr>
          <w:p w14:paraId="7F317D47" w14:textId="77777777" w:rsidR="00FC6F4F" w:rsidRPr="002029AF" w:rsidRDefault="00FC6F4F" w:rsidP="00FC6F4F">
            <w:pPr>
              <w:pStyle w:val="ARtabletextright"/>
              <w:spacing w:before="70" w:after="50"/>
            </w:pPr>
            <w:r w:rsidRPr="002029AF">
              <w:t>$0.09</w:t>
            </w:r>
          </w:p>
        </w:tc>
        <w:tc>
          <w:tcPr>
            <w:tcW w:w="1304" w:type="dxa"/>
            <w:vAlign w:val="center"/>
          </w:tcPr>
          <w:p w14:paraId="28A00A00" w14:textId="77777777" w:rsidR="00FC6F4F" w:rsidRPr="002029AF" w:rsidRDefault="00FC6F4F" w:rsidP="00FC6F4F">
            <w:pPr>
              <w:pStyle w:val="ARtabletextright"/>
              <w:spacing w:before="70" w:after="50"/>
            </w:pPr>
            <w:r>
              <w:t>3</w:t>
            </w:r>
          </w:p>
        </w:tc>
        <w:tc>
          <w:tcPr>
            <w:tcW w:w="964" w:type="dxa"/>
            <w:vAlign w:val="center"/>
          </w:tcPr>
          <w:p w14:paraId="1EAC698F" w14:textId="77777777" w:rsidR="00FC6F4F" w:rsidRPr="002029AF" w:rsidRDefault="00FC6F4F" w:rsidP="00FC6F4F">
            <w:pPr>
              <w:pStyle w:val="ARtabletextright"/>
              <w:spacing w:before="70" w:after="50"/>
            </w:pPr>
            <w:r w:rsidRPr="002029AF">
              <w:t>$0.09</w:t>
            </w:r>
          </w:p>
        </w:tc>
        <w:tc>
          <w:tcPr>
            <w:tcW w:w="1304" w:type="dxa"/>
            <w:vAlign w:val="center"/>
          </w:tcPr>
          <w:p w14:paraId="575A5855" w14:textId="77777777" w:rsidR="00FC6F4F" w:rsidRPr="002029AF" w:rsidRDefault="00FC6F4F" w:rsidP="00FC6F4F">
            <w:pPr>
              <w:pStyle w:val="ARtabletextright"/>
              <w:spacing w:before="70" w:after="50"/>
            </w:pPr>
            <w:r w:rsidRPr="002029AF">
              <w:t>3</w:t>
            </w:r>
          </w:p>
        </w:tc>
        <w:tc>
          <w:tcPr>
            <w:tcW w:w="964" w:type="dxa"/>
            <w:vAlign w:val="center"/>
          </w:tcPr>
          <w:p w14:paraId="3FFB965C" w14:textId="77777777" w:rsidR="00FC6F4F" w:rsidRPr="002029AF" w:rsidRDefault="00FC6F4F" w:rsidP="00FC6F4F">
            <w:pPr>
              <w:pStyle w:val="ARtabletextright"/>
              <w:spacing w:before="70" w:after="50"/>
            </w:pPr>
            <w:r w:rsidRPr="002029AF">
              <w:t>$0.07</w:t>
            </w:r>
          </w:p>
        </w:tc>
      </w:tr>
      <w:tr w:rsidR="007C6076" w:rsidRPr="002029AF" w14:paraId="362BBD16" w14:textId="77777777" w:rsidTr="007C6076">
        <w:trPr>
          <w:cantSplit w:val="0"/>
        </w:trPr>
        <w:tc>
          <w:tcPr>
            <w:tcW w:w="2835" w:type="dxa"/>
            <w:hideMark/>
          </w:tcPr>
          <w:p w14:paraId="4E0BA431" w14:textId="77777777" w:rsidR="00FC6F4F" w:rsidRPr="002029AF" w:rsidRDefault="00FC6F4F" w:rsidP="00FC6F4F">
            <w:pPr>
              <w:pStyle w:val="ARtabletext"/>
              <w:spacing w:before="70" w:after="50"/>
              <w:rPr>
                <w:b/>
                <w:bCs/>
              </w:rPr>
            </w:pPr>
            <w:r w:rsidRPr="002029AF">
              <w:rPr>
                <w:b/>
                <w:bCs/>
              </w:rPr>
              <w:t>Total</w:t>
            </w:r>
          </w:p>
        </w:tc>
        <w:tc>
          <w:tcPr>
            <w:tcW w:w="1304" w:type="dxa"/>
            <w:vAlign w:val="center"/>
          </w:tcPr>
          <w:p w14:paraId="2FA6B9E1" w14:textId="77777777" w:rsidR="00FC6F4F" w:rsidRPr="002029AF" w:rsidRDefault="00FC6F4F" w:rsidP="00FC6F4F">
            <w:pPr>
              <w:pStyle w:val="ARtabletextrightbold"/>
              <w:spacing w:before="70" w:after="50"/>
            </w:pPr>
            <w:r w:rsidRPr="002029AF">
              <w:t>4,</w:t>
            </w:r>
            <w:r>
              <w:t>959</w:t>
            </w:r>
          </w:p>
        </w:tc>
        <w:tc>
          <w:tcPr>
            <w:tcW w:w="964" w:type="dxa"/>
            <w:vAlign w:val="center"/>
          </w:tcPr>
          <w:p w14:paraId="2A35AA8E" w14:textId="77777777" w:rsidR="00FC6F4F" w:rsidRPr="002029AF" w:rsidRDefault="00FC6F4F" w:rsidP="00FC6F4F">
            <w:pPr>
              <w:pStyle w:val="ARtabletextrightbold"/>
              <w:spacing w:before="70" w:after="50"/>
            </w:pPr>
            <w:r w:rsidRPr="002029AF">
              <w:t>$146.</w:t>
            </w:r>
            <w:r>
              <w:t>92</w:t>
            </w:r>
          </w:p>
        </w:tc>
        <w:tc>
          <w:tcPr>
            <w:tcW w:w="1304" w:type="dxa"/>
            <w:vAlign w:val="center"/>
          </w:tcPr>
          <w:p w14:paraId="67DCDDCE" w14:textId="77777777" w:rsidR="00FC6F4F" w:rsidRPr="002029AF" w:rsidRDefault="00FC6F4F" w:rsidP="00FC6F4F">
            <w:pPr>
              <w:pStyle w:val="ARtabletextrightbold"/>
              <w:spacing w:before="70" w:after="50"/>
            </w:pPr>
            <w:r w:rsidRPr="002029AF">
              <w:t>4,</w:t>
            </w:r>
            <w:r>
              <w:t>998</w:t>
            </w:r>
          </w:p>
        </w:tc>
        <w:tc>
          <w:tcPr>
            <w:tcW w:w="964" w:type="dxa"/>
            <w:vAlign w:val="center"/>
          </w:tcPr>
          <w:p w14:paraId="1F3607F9" w14:textId="77777777" w:rsidR="00FC6F4F" w:rsidRPr="002029AF" w:rsidRDefault="00FC6F4F" w:rsidP="00FC6F4F">
            <w:pPr>
              <w:pStyle w:val="ARtabletextrightbold"/>
              <w:spacing w:before="70" w:after="50"/>
            </w:pPr>
            <w:r w:rsidRPr="002029AF">
              <w:t>$146.</w:t>
            </w:r>
            <w:r>
              <w:t>52</w:t>
            </w:r>
          </w:p>
        </w:tc>
        <w:tc>
          <w:tcPr>
            <w:tcW w:w="1304" w:type="dxa"/>
            <w:vAlign w:val="center"/>
          </w:tcPr>
          <w:p w14:paraId="76DC90A7" w14:textId="77777777" w:rsidR="00FC6F4F" w:rsidRPr="002029AF" w:rsidRDefault="00FC6F4F" w:rsidP="00FC6F4F">
            <w:pPr>
              <w:pStyle w:val="ARtabletextrightbold"/>
              <w:spacing w:before="70" w:after="50"/>
            </w:pPr>
            <w:r w:rsidRPr="002029AF">
              <w:t>4,</w:t>
            </w:r>
            <w:r>
              <w:t>973</w:t>
            </w:r>
          </w:p>
        </w:tc>
        <w:tc>
          <w:tcPr>
            <w:tcW w:w="964" w:type="dxa"/>
            <w:vAlign w:val="center"/>
          </w:tcPr>
          <w:p w14:paraId="06A65587" w14:textId="77777777" w:rsidR="00FC6F4F" w:rsidRPr="002029AF" w:rsidRDefault="00FC6F4F" w:rsidP="00FC6F4F">
            <w:pPr>
              <w:pStyle w:val="ARtabletextrightbold"/>
              <w:spacing w:before="70" w:after="50"/>
            </w:pPr>
            <w:r w:rsidRPr="002029AF">
              <w:t>$152.</w:t>
            </w:r>
            <w:r>
              <w:t>59</w:t>
            </w:r>
          </w:p>
        </w:tc>
      </w:tr>
    </w:tbl>
    <w:p w14:paraId="4701D2CD" w14:textId="77777777" w:rsidR="00FC6F4F" w:rsidRPr="002029AF" w:rsidRDefault="00FC6F4F" w:rsidP="00897193">
      <w:pPr>
        <w:pStyle w:val="ARbodynospace"/>
        <w:rPr>
          <w:lang w:eastAsia="en-AU"/>
        </w:rPr>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36"/>
        <w:gridCol w:w="1701"/>
        <w:gridCol w:w="1701"/>
        <w:gridCol w:w="1701"/>
      </w:tblGrid>
      <w:tr w:rsidR="00FC6F4F" w:rsidRPr="002029AF" w14:paraId="14DEB63E" w14:textId="77777777" w:rsidTr="00FC6F4F">
        <w:trPr>
          <w:cantSplit/>
          <w:tblHeader/>
        </w:trPr>
        <w:tc>
          <w:tcPr>
            <w:tcW w:w="4536" w:type="dxa"/>
            <w:vAlign w:val="bottom"/>
          </w:tcPr>
          <w:p w14:paraId="2C00EC33" w14:textId="77777777" w:rsidR="00FC6F4F" w:rsidRPr="002029AF" w:rsidRDefault="00FC6F4F" w:rsidP="00FC6F4F">
            <w:pPr>
              <w:pStyle w:val="ARtablecolhead"/>
            </w:pPr>
            <w:r w:rsidRPr="002029AF">
              <w:t>Description</w:t>
            </w:r>
          </w:p>
        </w:tc>
        <w:tc>
          <w:tcPr>
            <w:tcW w:w="1701" w:type="dxa"/>
            <w:vAlign w:val="center"/>
          </w:tcPr>
          <w:p w14:paraId="3A721F51" w14:textId="77777777" w:rsidR="00FC6F4F" w:rsidRPr="002029AF" w:rsidRDefault="00FC6F4F" w:rsidP="00031FA0">
            <w:pPr>
              <w:pStyle w:val="ARtablecolheadright"/>
            </w:pPr>
            <w:r w:rsidRPr="002029AF">
              <w:t>20</w:t>
            </w:r>
            <w:r>
              <w:t>20</w:t>
            </w:r>
            <w:r w:rsidRPr="002029AF">
              <w:t>–2</w:t>
            </w:r>
            <w:r>
              <w:t>1</w:t>
            </w:r>
            <w:r w:rsidRPr="002029AF">
              <w:t xml:space="preserve"> estimate</w:t>
            </w:r>
          </w:p>
        </w:tc>
        <w:tc>
          <w:tcPr>
            <w:tcW w:w="1701" w:type="dxa"/>
            <w:vAlign w:val="center"/>
          </w:tcPr>
          <w:p w14:paraId="47284882" w14:textId="77777777" w:rsidR="00FC6F4F" w:rsidRPr="002029AF" w:rsidRDefault="00FC6F4F" w:rsidP="00031FA0">
            <w:pPr>
              <w:pStyle w:val="ARtablecolheadright"/>
            </w:pPr>
            <w:r w:rsidRPr="002029AF">
              <w:t>2019–20 estimate</w:t>
            </w:r>
          </w:p>
        </w:tc>
        <w:tc>
          <w:tcPr>
            <w:tcW w:w="1701" w:type="dxa"/>
            <w:vAlign w:val="center"/>
          </w:tcPr>
          <w:p w14:paraId="6F727426" w14:textId="77777777" w:rsidR="00FC6F4F" w:rsidRPr="002029AF" w:rsidRDefault="00FC6F4F" w:rsidP="00031FA0">
            <w:pPr>
              <w:pStyle w:val="ARtablecolheadright"/>
            </w:pPr>
            <w:r w:rsidRPr="002029AF">
              <w:t>2018–19 estimate</w:t>
            </w:r>
          </w:p>
        </w:tc>
      </w:tr>
      <w:tr w:rsidR="00FC6F4F" w:rsidRPr="002029AF" w14:paraId="696F93E4" w14:textId="77777777" w:rsidTr="00FC6F4F">
        <w:trPr>
          <w:cantSplit/>
          <w:tblHeader/>
        </w:trPr>
        <w:tc>
          <w:tcPr>
            <w:tcW w:w="4536" w:type="dxa"/>
            <w:vAlign w:val="bottom"/>
          </w:tcPr>
          <w:p w14:paraId="3F02134F" w14:textId="77777777" w:rsidR="00FC6F4F" w:rsidRPr="002029AF" w:rsidRDefault="00FC6F4F" w:rsidP="00FC6F4F">
            <w:pPr>
              <w:pStyle w:val="ARtablecolhead"/>
            </w:pPr>
            <w:r w:rsidRPr="002029AF">
              <w:t>Total greenhouse gas emissions</w:t>
            </w:r>
          </w:p>
        </w:tc>
        <w:tc>
          <w:tcPr>
            <w:tcW w:w="1701" w:type="dxa"/>
            <w:vAlign w:val="bottom"/>
          </w:tcPr>
          <w:p w14:paraId="4DAB8CAC" w14:textId="77777777" w:rsidR="00FC6F4F" w:rsidRPr="002029AF" w:rsidRDefault="00FC6F4F" w:rsidP="00FC6F4F">
            <w:pPr>
              <w:pStyle w:val="ARtablecolheadright"/>
            </w:pPr>
            <w:r w:rsidRPr="002029AF">
              <w:t>Tonnes CO</w:t>
            </w:r>
            <w:r w:rsidRPr="002029AF">
              <w:rPr>
                <w:vertAlign w:val="subscript"/>
              </w:rPr>
              <w:t>2</w:t>
            </w:r>
            <w:r w:rsidRPr="002029AF">
              <w:t>-e</w:t>
            </w:r>
          </w:p>
        </w:tc>
        <w:tc>
          <w:tcPr>
            <w:tcW w:w="1701" w:type="dxa"/>
            <w:vAlign w:val="bottom"/>
          </w:tcPr>
          <w:p w14:paraId="49408D8F" w14:textId="77777777" w:rsidR="00FC6F4F" w:rsidRPr="002029AF" w:rsidRDefault="00FC6F4F" w:rsidP="00FC6F4F">
            <w:pPr>
              <w:pStyle w:val="ARtablecolheadright"/>
            </w:pPr>
            <w:r w:rsidRPr="002029AF">
              <w:t>Tonnes CO</w:t>
            </w:r>
            <w:r w:rsidRPr="002029AF">
              <w:rPr>
                <w:vertAlign w:val="subscript"/>
              </w:rPr>
              <w:t>2</w:t>
            </w:r>
            <w:r w:rsidRPr="002029AF">
              <w:t>-e</w:t>
            </w:r>
          </w:p>
        </w:tc>
        <w:tc>
          <w:tcPr>
            <w:tcW w:w="1701" w:type="dxa"/>
            <w:vAlign w:val="bottom"/>
          </w:tcPr>
          <w:p w14:paraId="4C837014" w14:textId="77777777" w:rsidR="00FC6F4F" w:rsidRPr="002029AF" w:rsidRDefault="00FC6F4F" w:rsidP="00FC6F4F">
            <w:pPr>
              <w:pStyle w:val="ARtablecolheadright"/>
            </w:pPr>
            <w:r w:rsidRPr="002029AF">
              <w:t>Tonnes CO</w:t>
            </w:r>
            <w:r w:rsidRPr="002029AF">
              <w:rPr>
                <w:vertAlign w:val="subscript"/>
              </w:rPr>
              <w:t>2</w:t>
            </w:r>
            <w:r w:rsidRPr="002029AF">
              <w:t>-e</w:t>
            </w:r>
          </w:p>
        </w:tc>
      </w:tr>
      <w:tr w:rsidR="00FC6F4F" w:rsidRPr="002029AF" w14:paraId="1573C36C" w14:textId="77777777" w:rsidTr="00FC6F4F">
        <w:trPr>
          <w:cantSplit/>
        </w:trPr>
        <w:tc>
          <w:tcPr>
            <w:tcW w:w="4536" w:type="dxa"/>
          </w:tcPr>
          <w:p w14:paraId="78898FDB" w14:textId="77777777" w:rsidR="00FC6F4F" w:rsidRPr="002029AF" w:rsidRDefault="00FC6F4F" w:rsidP="00FC6F4F">
            <w:pPr>
              <w:pStyle w:val="ARtabletext"/>
              <w:spacing w:before="70" w:after="50"/>
            </w:pPr>
            <w:r w:rsidRPr="002029AF">
              <w:t>Electricity</w:t>
            </w:r>
          </w:p>
        </w:tc>
        <w:tc>
          <w:tcPr>
            <w:tcW w:w="1701" w:type="dxa"/>
            <w:vAlign w:val="center"/>
          </w:tcPr>
          <w:p w14:paraId="5060B254" w14:textId="77777777" w:rsidR="00FC6F4F" w:rsidRPr="002B7BF2" w:rsidRDefault="00FC6F4F" w:rsidP="00FC6F4F">
            <w:pPr>
              <w:pStyle w:val="ARtabletextright"/>
              <w:spacing w:before="70" w:after="50"/>
            </w:pPr>
            <w:r>
              <w:t>589,858</w:t>
            </w:r>
          </w:p>
        </w:tc>
        <w:tc>
          <w:tcPr>
            <w:tcW w:w="1701" w:type="dxa"/>
            <w:vAlign w:val="center"/>
          </w:tcPr>
          <w:p w14:paraId="28A61E67" w14:textId="77777777" w:rsidR="00FC6F4F" w:rsidRPr="002B7BF2" w:rsidRDefault="00FC6F4F" w:rsidP="00FC6F4F">
            <w:pPr>
              <w:pStyle w:val="ARtabletextright"/>
              <w:spacing w:before="70" w:after="50"/>
            </w:pPr>
            <w:r>
              <w:t>604,443</w:t>
            </w:r>
          </w:p>
        </w:tc>
        <w:tc>
          <w:tcPr>
            <w:tcW w:w="1701" w:type="dxa"/>
            <w:vAlign w:val="center"/>
          </w:tcPr>
          <w:p w14:paraId="07E91FC0" w14:textId="77777777" w:rsidR="00FC6F4F" w:rsidRPr="002B7BF2" w:rsidRDefault="00FC6F4F" w:rsidP="00FC6F4F">
            <w:pPr>
              <w:pStyle w:val="ARtabletextright"/>
              <w:spacing w:before="70" w:after="50"/>
            </w:pPr>
            <w:r>
              <w:t>647,460</w:t>
            </w:r>
          </w:p>
        </w:tc>
      </w:tr>
      <w:tr w:rsidR="00FC6F4F" w:rsidRPr="002029AF" w14:paraId="0780E5B9" w14:textId="77777777" w:rsidTr="00FC6F4F">
        <w:trPr>
          <w:cantSplit/>
        </w:trPr>
        <w:tc>
          <w:tcPr>
            <w:tcW w:w="4536" w:type="dxa"/>
          </w:tcPr>
          <w:p w14:paraId="151CC254" w14:textId="77777777" w:rsidR="00FC6F4F" w:rsidRPr="002029AF" w:rsidRDefault="00FC6F4F" w:rsidP="00FC6F4F">
            <w:pPr>
              <w:pStyle w:val="ARtabletext"/>
              <w:spacing w:before="70" w:after="50"/>
            </w:pPr>
            <w:r w:rsidRPr="002029AF">
              <w:t>Natural gas</w:t>
            </w:r>
          </w:p>
        </w:tc>
        <w:tc>
          <w:tcPr>
            <w:tcW w:w="1701" w:type="dxa"/>
            <w:vAlign w:val="center"/>
          </w:tcPr>
          <w:p w14:paraId="0B57DDEC" w14:textId="77777777" w:rsidR="00FC6F4F" w:rsidRPr="002029AF" w:rsidRDefault="00FC6F4F" w:rsidP="00FC6F4F">
            <w:pPr>
              <w:pStyle w:val="ARtabletextright"/>
              <w:spacing w:before="70" w:after="50"/>
            </w:pPr>
            <w:r>
              <w:t>110,725</w:t>
            </w:r>
          </w:p>
        </w:tc>
        <w:tc>
          <w:tcPr>
            <w:tcW w:w="1701" w:type="dxa"/>
            <w:vAlign w:val="center"/>
          </w:tcPr>
          <w:p w14:paraId="44E94C33" w14:textId="77777777" w:rsidR="00FC6F4F" w:rsidRPr="002029AF" w:rsidRDefault="00FC6F4F" w:rsidP="00FC6F4F">
            <w:pPr>
              <w:pStyle w:val="ARtabletextright"/>
              <w:spacing w:before="70" w:after="50"/>
            </w:pPr>
            <w:r w:rsidRPr="002029AF">
              <w:t>1</w:t>
            </w:r>
            <w:r>
              <w:t>12</w:t>
            </w:r>
            <w:r w:rsidRPr="002029AF">
              <w:t>,</w:t>
            </w:r>
            <w:r>
              <w:t>187</w:t>
            </w:r>
          </w:p>
        </w:tc>
        <w:tc>
          <w:tcPr>
            <w:tcW w:w="1701" w:type="dxa"/>
            <w:vAlign w:val="center"/>
          </w:tcPr>
          <w:p w14:paraId="451D1379" w14:textId="77777777" w:rsidR="00FC6F4F" w:rsidRPr="002029AF" w:rsidRDefault="00FC6F4F" w:rsidP="00FC6F4F">
            <w:pPr>
              <w:pStyle w:val="ARtabletextright"/>
              <w:spacing w:before="70" w:after="50"/>
            </w:pPr>
            <w:r w:rsidRPr="002029AF">
              <w:t>10</w:t>
            </w:r>
            <w:r>
              <w:t>9</w:t>
            </w:r>
            <w:r w:rsidRPr="002029AF">
              <w:t>,</w:t>
            </w:r>
            <w:r>
              <w:t>654</w:t>
            </w:r>
          </w:p>
        </w:tc>
      </w:tr>
      <w:tr w:rsidR="00FC6F4F" w:rsidRPr="002029AF" w14:paraId="7077ED36" w14:textId="77777777" w:rsidTr="00FC6F4F">
        <w:trPr>
          <w:cantSplit/>
        </w:trPr>
        <w:tc>
          <w:tcPr>
            <w:tcW w:w="4536" w:type="dxa"/>
          </w:tcPr>
          <w:p w14:paraId="76F998BC" w14:textId="77777777" w:rsidR="00FC6F4F" w:rsidRPr="002029AF" w:rsidRDefault="00FC6F4F" w:rsidP="00FC6F4F">
            <w:pPr>
              <w:pStyle w:val="ARtabletext"/>
              <w:spacing w:before="70" w:after="50"/>
            </w:pPr>
            <w:r w:rsidRPr="002029AF">
              <w:t>Co-generation steam</w:t>
            </w:r>
          </w:p>
        </w:tc>
        <w:tc>
          <w:tcPr>
            <w:tcW w:w="1701" w:type="dxa"/>
            <w:vAlign w:val="center"/>
          </w:tcPr>
          <w:p w14:paraId="60655CC8" w14:textId="77777777" w:rsidR="00FC6F4F" w:rsidRPr="002029AF" w:rsidRDefault="00FC6F4F" w:rsidP="00FC6F4F">
            <w:pPr>
              <w:pStyle w:val="ARtabletextright"/>
              <w:spacing w:before="70" w:after="50"/>
            </w:pPr>
            <w:r>
              <w:t>22,840</w:t>
            </w:r>
          </w:p>
        </w:tc>
        <w:tc>
          <w:tcPr>
            <w:tcW w:w="1701" w:type="dxa"/>
            <w:vAlign w:val="center"/>
          </w:tcPr>
          <w:p w14:paraId="2BA5417E" w14:textId="77777777" w:rsidR="00FC6F4F" w:rsidRPr="002029AF" w:rsidRDefault="00FC6F4F" w:rsidP="00FC6F4F">
            <w:pPr>
              <w:pStyle w:val="ARtabletextright"/>
              <w:spacing w:before="70" w:after="50"/>
            </w:pPr>
            <w:r w:rsidRPr="002029AF">
              <w:t>22,256</w:t>
            </w:r>
          </w:p>
        </w:tc>
        <w:tc>
          <w:tcPr>
            <w:tcW w:w="1701" w:type="dxa"/>
            <w:vAlign w:val="center"/>
          </w:tcPr>
          <w:p w14:paraId="7DCE5AA2" w14:textId="77777777" w:rsidR="00FC6F4F" w:rsidRPr="002029AF" w:rsidRDefault="00FC6F4F" w:rsidP="00FC6F4F">
            <w:pPr>
              <w:pStyle w:val="ARtabletextright"/>
              <w:spacing w:before="70" w:after="50"/>
            </w:pPr>
            <w:r w:rsidRPr="002029AF">
              <w:t>23,156</w:t>
            </w:r>
          </w:p>
        </w:tc>
      </w:tr>
      <w:tr w:rsidR="00FC6F4F" w:rsidRPr="002029AF" w14:paraId="47A7AB52" w14:textId="77777777" w:rsidTr="00FC6F4F">
        <w:trPr>
          <w:cantSplit/>
        </w:trPr>
        <w:tc>
          <w:tcPr>
            <w:tcW w:w="4536" w:type="dxa"/>
          </w:tcPr>
          <w:p w14:paraId="43D43444" w14:textId="77777777" w:rsidR="00FC6F4F" w:rsidRPr="002029AF" w:rsidRDefault="00FC6F4F" w:rsidP="00FC6F4F">
            <w:pPr>
              <w:pStyle w:val="ARtabletext"/>
              <w:spacing w:before="70" w:after="50"/>
            </w:pPr>
            <w:r w:rsidRPr="002029AF">
              <w:t>LPG</w:t>
            </w:r>
          </w:p>
        </w:tc>
        <w:tc>
          <w:tcPr>
            <w:tcW w:w="1701" w:type="dxa"/>
            <w:vAlign w:val="center"/>
          </w:tcPr>
          <w:p w14:paraId="3EE5F416" w14:textId="77777777" w:rsidR="00FC6F4F" w:rsidRPr="002029AF" w:rsidRDefault="00FC6F4F" w:rsidP="00FC6F4F">
            <w:pPr>
              <w:pStyle w:val="ARtabletextright"/>
              <w:spacing w:before="70" w:after="50"/>
            </w:pPr>
            <w:r>
              <w:t>4</w:t>
            </w:r>
            <w:r w:rsidRPr="002029AF">
              <w:t>,</w:t>
            </w:r>
            <w:r>
              <w:t>785</w:t>
            </w:r>
          </w:p>
        </w:tc>
        <w:tc>
          <w:tcPr>
            <w:tcW w:w="1701" w:type="dxa"/>
            <w:vAlign w:val="center"/>
          </w:tcPr>
          <w:p w14:paraId="16D1D29A" w14:textId="77777777" w:rsidR="00FC6F4F" w:rsidRPr="002029AF" w:rsidRDefault="00FC6F4F" w:rsidP="00FC6F4F">
            <w:pPr>
              <w:pStyle w:val="ARtabletextright"/>
              <w:spacing w:before="70" w:after="50"/>
            </w:pPr>
            <w:r w:rsidRPr="002029AF">
              <w:t>5,</w:t>
            </w:r>
            <w:r>
              <w:t>620</w:t>
            </w:r>
          </w:p>
        </w:tc>
        <w:tc>
          <w:tcPr>
            <w:tcW w:w="1701" w:type="dxa"/>
            <w:vAlign w:val="center"/>
          </w:tcPr>
          <w:p w14:paraId="0A8912EC" w14:textId="77777777" w:rsidR="00FC6F4F" w:rsidRPr="002029AF" w:rsidRDefault="00FC6F4F" w:rsidP="00FC6F4F">
            <w:pPr>
              <w:pStyle w:val="ARtabletextright"/>
              <w:spacing w:before="70" w:after="50"/>
            </w:pPr>
            <w:r w:rsidRPr="002029AF">
              <w:t>5,97</w:t>
            </w:r>
            <w:r>
              <w:t>1</w:t>
            </w:r>
          </w:p>
        </w:tc>
      </w:tr>
      <w:tr w:rsidR="00FC6F4F" w:rsidRPr="002029AF" w14:paraId="4C187EE2" w14:textId="77777777" w:rsidTr="00FC6F4F">
        <w:trPr>
          <w:cantSplit/>
        </w:trPr>
        <w:tc>
          <w:tcPr>
            <w:tcW w:w="4536" w:type="dxa"/>
          </w:tcPr>
          <w:p w14:paraId="06643C7D" w14:textId="77777777" w:rsidR="00FC6F4F" w:rsidRPr="002029AF" w:rsidRDefault="00FC6F4F" w:rsidP="00FC6F4F">
            <w:pPr>
              <w:pStyle w:val="ARtabletext"/>
              <w:spacing w:before="70" w:after="50"/>
            </w:pPr>
            <w:r w:rsidRPr="002029AF">
              <w:t>Diesel</w:t>
            </w:r>
          </w:p>
        </w:tc>
        <w:tc>
          <w:tcPr>
            <w:tcW w:w="1701" w:type="dxa"/>
            <w:vAlign w:val="center"/>
          </w:tcPr>
          <w:p w14:paraId="4E7136C4" w14:textId="77777777" w:rsidR="00FC6F4F" w:rsidRPr="002029AF" w:rsidRDefault="00FC6F4F" w:rsidP="00FC6F4F">
            <w:pPr>
              <w:pStyle w:val="ARtabletextright"/>
              <w:spacing w:before="70" w:after="50"/>
            </w:pPr>
            <w:r>
              <w:t>174</w:t>
            </w:r>
          </w:p>
        </w:tc>
        <w:tc>
          <w:tcPr>
            <w:tcW w:w="1701" w:type="dxa"/>
            <w:vAlign w:val="center"/>
          </w:tcPr>
          <w:p w14:paraId="684ECF3F" w14:textId="77777777" w:rsidR="00FC6F4F" w:rsidRPr="002029AF" w:rsidRDefault="00FC6F4F" w:rsidP="00FC6F4F">
            <w:pPr>
              <w:pStyle w:val="ARtabletextright"/>
              <w:spacing w:before="70" w:after="50"/>
            </w:pPr>
            <w:r>
              <w:t>234</w:t>
            </w:r>
          </w:p>
        </w:tc>
        <w:tc>
          <w:tcPr>
            <w:tcW w:w="1701" w:type="dxa"/>
            <w:vAlign w:val="center"/>
          </w:tcPr>
          <w:p w14:paraId="3271A01E" w14:textId="77777777" w:rsidR="00FC6F4F" w:rsidRPr="002029AF" w:rsidRDefault="00FC6F4F" w:rsidP="00FC6F4F">
            <w:pPr>
              <w:pStyle w:val="ARtabletextright"/>
              <w:spacing w:before="70" w:after="50"/>
            </w:pPr>
            <w:r w:rsidRPr="002029AF">
              <w:t>205</w:t>
            </w:r>
          </w:p>
        </w:tc>
      </w:tr>
      <w:tr w:rsidR="00FC6F4F" w:rsidRPr="002029AF" w14:paraId="06E5F64F" w14:textId="77777777" w:rsidTr="00FC6F4F">
        <w:trPr>
          <w:cantSplit/>
        </w:trPr>
        <w:tc>
          <w:tcPr>
            <w:tcW w:w="4536" w:type="dxa"/>
          </w:tcPr>
          <w:p w14:paraId="62C871BA" w14:textId="77777777" w:rsidR="00FC6F4F" w:rsidRPr="002029AF" w:rsidRDefault="00FC6F4F" w:rsidP="00FC6F4F">
            <w:pPr>
              <w:pStyle w:val="ARtabletext"/>
              <w:spacing w:before="70" w:after="50"/>
              <w:rPr>
                <w:b/>
              </w:rPr>
            </w:pPr>
            <w:r w:rsidRPr="002029AF">
              <w:rPr>
                <w:b/>
              </w:rPr>
              <w:t>Total greenhouse gas emissions</w:t>
            </w:r>
          </w:p>
        </w:tc>
        <w:tc>
          <w:tcPr>
            <w:tcW w:w="1701" w:type="dxa"/>
            <w:vAlign w:val="center"/>
          </w:tcPr>
          <w:p w14:paraId="3EBFCD4E" w14:textId="77777777" w:rsidR="00FC6F4F" w:rsidRPr="006115F0" w:rsidRDefault="00FC6F4F" w:rsidP="00FC6F4F">
            <w:pPr>
              <w:pStyle w:val="ARtabletextrightbold"/>
              <w:spacing w:before="70" w:after="50"/>
            </w:pPr>
            <w:r>
              <w:t>728,383</w:t>
            </w:r>
          </w:p>
        </w:tc>
        <w:tc>
          <w:tcPr>
            <w:tcW w:w="1701" w:type="dxa"/>
            <w:vAlign w:val="center"/>
          </w:tcPr>
          <w:p w14:paraId="5F33EFEB" w14:textId="77777777" w:rsidR="00FC6F4F" w:rsidRPr="006115F0" w:rsidRDefault="00FC6F4F" w:rsidP="00FC6F4F">
            <w:pPr>
              <w:pStyle w:val="ARtabletextrightbold"/>
              <w:spacing w:before="70" w:after="50"/>
            </w:pPr>
            <w:r w:rsidRPr="006115F0">
              <w:t>744,</w:t>
            </w:r>
            <w:r>
              <w:t>740</w:t>
            </w:r>
          </w:p>
        </w:tc>
        <w:tc>
          <w:tcPr>
            <w:tcW w:w="1701" w:type="dxa"/>
            <w:vAlign w:val="center"/>
          </w:tcPr>
          <w:p w14:paraId="6687E841" w14:textId="77777777" w:rsidR="00FC6F4F" w:rsidRPr="006115F0" w:rsidRDefault="00FC6F4F" w:rsidP="00FC6F4F">
            <w:pPr>
              <w:pStyle w:val="ARtabletextrightbold"/>
              <w:spacing w:before="70" w:after="50"/>
            </w:pPr>
            <w:r w:rsidRPr="006115F0">
              <w:t>786,</w:t>
            </w:r>
            <w:r>
              <w:t>446</w:t>
            </w:r>
          </w:p>
        </w:tc>
      </w:tr>
    </w:tbl>
    <w:p w14:paraId="3F26EF5E" w14:textId="77777777" w:rsidR="00FC6F4F" w:rsidRPr="002029AF" w:rsidRDefault="00FC6F4F" w:rsidP="00897193">
      <w:pPr>
        <w:pStyle w:val="ARbodynospace"/>
        <w:rPr>
          <w:lang w:eastAsia="en-AU"/>
        </w:rPr>
      </w:pPr>
    </w:p>
    <w:tbl>
      <w:tblPr>
        <w:tblStyle w:val="TableGrid"/>
        <w:tblW w:w="9639" w:type="dxa"/>
        <w:tblLook w:val="06A0" w:firstRow="1" w:lastRow="0" w:firstColumn="1" w:lastColumn="0" w:noHBand="1" w:noVBand="1"/>
      </w:tblPr>
      <w:tblGrid>
        <w:gridCol w:w="4536"/>
        <w:gridCol w:w="1701"/>
        <w:gridCol w:w="1701"/>
        <w:gridCol w:w="1701"/>
      </w:tblGrid>
      <w:tr w:rsidR="00FC6F4F" w:rsidRPr="002029AF" w14:paraId="48D109AF" w14:textId="77777777" w:rsidTr="00FC6F4F">
        <w:trPr>
          <w:cnfStyle w:val="100000000000" w:firstRow="1" w:lastRow="0" w:firstColumn="0" w:lastColumn="0" w:oddVBand="0" w:evenVBand="0" w:oddHBand="0" w:evenHBand="0" w:firstRowFirstColumn="0" w:firstRowLastColumn="0" w:lastRowFirstColumn="0" w:lastRowLastColumn="0"/>
          <w:tblHeader/>
        </w:trPr>
        <w:tc>
          <w:tcPr>
            <w:tcW w:w="4536" w:type="dxa"/>
          </w:tcPr>
          <w:p w14:paraId="53B9CB9A" w14:textId="77777777" w:rsidR="00FC6F4F" w:rsidRPr="002029AF" w:rsidRDefault="00FC6F4F" w:rsidP="00FC6F4F">
            <w:pPr>
              <w:pStyle w:val="ARtablecolhead"/>
            </w:pPr>
            <w:r w:rsidRPr="002029AF">
              <w:lastRenderedPageBreak/>
              <w:t>Description</w:t>
            </w:r>
          </w:p>
        </w:tc>
        <w:tc>
          <w:tcPr>
            <w:tcW w:w="1701" w:type="dxa"/>
            <w:vAlign w:val="center"/>
          </w:tcPr>
          <w:p w14:paraId="19C4C6B6" w14:textId="77777777" w:rsidR="00FC6F4F" w:rsidRPr="002029AF" w:rsidRDefault="00FC6F4F" w:rsidP="00FC6F4F">
            <w:pPr>
              <w:pStyle w:val="ARtablecolheadright"/>
            </w:pPr>
            <w:r w:rsidRPr="002029AF">
              <w:t>20</w:t>
            </w:r>
            <w:r>
              <w:t>20</w:t>
            </w:r>
            <w:r w:rsidRPr="002029AF">
              <w:t>–2</w:t>
            </w:r>
            <w:r>
              <w:t>1</w:t>
            </w:r>
            <w:r w:rsidRPr="002029AF">
              <w:t xml:space="preserve"> estimate</w:t>
            </w:r>
          </w:p>
        </w:tc>
        <w:tc>
          <w:tcPr>
            <w:tcW w:w="1701" w:type="dxa"/>
            <w:vAlign w:val="center"/>
          </w:tcPr>
          <w:p w14:paraId="2D07FFF2" w14:textId="77777777" w:rsidR="00FC6F4F" w:rsidRPr="002029AF" w:rsidRDefault="00FC6F4F" w:rsidP="00FC6F4F">
            <w:pPr>
              <w:pStyle w:val="ARtablecolheadright"/>
            </w:pPr>
            <w:r w:rsidRPr="002029AF">
              <w:t>2019–20 estimate</w:t>
            </w:r>
          </w:p>
        </w:tc>
        <w:tc>
          <w:tcPr>
            <w:tcW w:w="1701" w:type="dxa"/>
            <w:vAlign w:val="center"/>
          </w:tcPr>
          <w:p w14:paraId="26F2B9DD" w14:textId="77777777" w:rsidR="00FC6F4F" w:rsidRPr="002029AF" w:rsidRDefault="00FC6F4F" w:rsidP="00FC6F4F">
            <w:pPr>
              <w:pStyle w:val="ARtablecolheadright"/>
            </w:pPr>
            <w:r w:rsidRPr="002029AF">
              <w:t>2018–19 estimate</w:t>
            </w:r>
          </w:p>
        </w:tc>
      </w:tr>
      <w:tr w:rsidR="00FC6F4F" w:rsidRPr="002029AF" w14:paraId="6AF77CC0" w14:textId="77777777" w:rsidTr="00206595">
        <w:tc>
          <w:tcPr>
            <w:tcW w:w="4536" w:type="dxa"/>
          </w:tcPr>
          <w:p w14:paraId="166D5379" w14:textId="77777777" w:rsidR="00FC6F4F" w:rsidRPr="002029AF" w:rsidRDefault="00FC6F4F" w:rsidP="00FC6F4F">
            <w:pPr>
              <w:pStyle w:val="ARtabletext"/>
            </w:pPr>
            <w:r w:rsidRPr="002029AF">
              <w:t>Energy used per separation (gigajoules/separation)</w:t>
            </w:r>
          </w:p>
        </w:tc>
        <w:tc>
          <w:tcPr>
            <w:tcW w:w="1701" w:type="dxa"/>
          </w:tcPr>
          <w:p w14:paraId="7B27F4B6" w14:textId="77777777" w:rsidR="00FC6F4F" w:rsidRPr="002029AF" w:rsidRDefault="00FC6F4F" w:rsidP="00FC6F4F">
            <w:pPr>
              <w:pStyle w:val="ARtabletextright"/>
            </w:pPr>
            <w:r w:rsidRPr="002029AF">
              <w:t>2.</w:t>
            </w:r>
            <w:r>
              <w:t>63</w:t>
            </w:r>
          </w:p>
        </w:tc>
        <w:tc>
          <w:tcPr>
            <w:tcW w:w="1701" w:type="dxa"/>
          </w:tcPr>
          <w:p w14:paraId="46E3ED51" w14:textId="77777777" w:rsidR="00FC6F4F" w:rsidRPr="002029AF" w:rsidRDefault="00FC6F4F" w:rsidP="00FC6F4F">
            <w:pPr>
              <w:pStyle w:val="ARtabletextright"/>
            </w:pPr>
            <w:r w:rsidRPr="002029AF">
              <w:t>2.6</w:t>
            </w:r>
            <w:r>
              <w:t>8</w:t>
            </w:r>
          </w:p>
        </w:tc>
        <w:tc>
          <w:tcPr>
            <w:tcW w:w="1701" w:type="dxa"/>
          </w:tcPr>
          <w:p w14:paraId="3114185D" w14:textId="77777777" w:rsidR="00FC6F4F" w:rsidRPr="002029AF" w:rsidRDefault="00FC6F4F" w:rsidP="00FC6F4F">
            <w:pPr>
              <w:pStyle w:val="ARtabletextright"/>
            </w:pPr>
            <w:r w:rsidRPr="002029AF">
              <w:t>2.</w:t>
            </w:r>
            <w:r>
              <w:t>56</w:t>
            </w:r>
          </w:p>
        </w:tc>
      </w:tr>
      <w:tr w:rsidR="00FC6F4F" w:rsidRPr="002029AF" w14:paraId="03C5C96B" w14:textId="77777777" w:rsidTr="00206595">
        <w:tc>
          <w:tcPr>
            <w:tcW w:w="4536" w:type="dxa"/>
          </w:tcPr>
          <w:p w14:paraId="3379D134" w14:textId="77777777" w:rsidR="00FC6F4F" w:rsidRPr="002029AF" w:rsidRDefault="00FC6F4F" w:rsidP="00FC6F4F">
            <w:pPr>
              <w:pStyle w:val="ARtabletext"/>
            </w:pPr>
            <w:r w:rsidRPr="002029AF">
              <w:t>Energy used per bed day (gigajoules/bed day)</w:t>
            </w:r>
          </w:p>
        </w:tc>
        <w:tc>
          <w:tcPr>
            <w:tcW w:w="1701" w:type="dxa"/>
          </w:tcPr>
          <w:p w14:paraId="635B90AE" w14:textId="77777777" w:rsidR="00FC6F4F" w:rsidRPr="002029AF" w:rsidRDefault="00FC6F4F" w:rsidP="00FC6F4F">
            <w:pPr>
              <w:pStyle w:val="ARtabletextright"/>
            </w:pPr>
            <w:r w:rsidRPr="002029AF">
              <w:t>0.</w:t>
            </w:r>
            <w:r>
              <w:t>72</w:t>
            </w:r>
          </w:p>
        </w:tc>
        <w:tc>
          <w:tcPr>
            <w:tcW w:w="1701" w:type="dxa"/>
          </w:tcPr>
          <w:p w14:paraId="4ACA466A" w14:textId="77777777" w:rsidR="00FC6F4F" w:rsidRPr="002029AF" w:rsidRDefault="00FC6F4F" w:rsidP="00FC6F4F">
            <w:pPr>
              <w:pStyle w:val="ARtabletextright"/>
            </w:pPr>
            <w:r w:rsidRPr="002029AF">
              <w:t>0.7</w:t>
            </w:r>
            <w:r>
              <w:t>2</w:t>
            </w:r>
          </w:p>
        </w:tc>
        <w:tc>
          <w:tcPr>
            <w:tcW w:w="1701" w:type="dxa"/>
          </w:tcPr>
          <w:p w14:paraId="4CFC3D3A" w14:textId="77777777" w:rsidR="00FC6F4F" w:rsidRPr="002029AF" w:rsidRDefault="00FC6F4F" w:rsidP="00FC6F4F">
            <w:pPr>
              <w:pStyle w:val="ARtabletextright"/>
            </w:pPr>
            <w:r w:rsidRPr="002029AF">
              <w:t>0.6</w:t>
            </w:r>
            <w:r>
              <w:t>9</w:t>
            </w:r>
          </w:p>
        </w:tc>
      </w:tr>
      <w:tr w:rsidR="00FC6F4F" w:rsidRPr="002029AF" w14:paraId="2785A1DD" w14:textId="77777777" w:rsidTr="00206595">
        <w:tc>
          <w:tcPr>
            <w:tcW w:w="4536" w:type="dxa"/>
          </w:tcPr>
          <w:p w14:paraId="55CCBE33" w14:textId="77777777" w:rsidR="00FC6F4F" w:rsidRPr="002029AF" w:rsidRDefault="00FC6F4F" w:rsidP="00FC6F4F">
            <w:pPr>
              <w:pStyle w:val="ARtabletext"/>
            </w:pPr>
            <w:r w:rsidRPr="002029AF">
              <w:t>Energy used per unit of floor space (gigajoules/m</w:t>
            </w:r>
            <w:r w:rsidRPr="002029AF">
              <w:rPr>
                <w:vertAlign w:val="superscript"/>
              </w:rPr>
              <w:t>2</w:t>
            </w:r>
            <w:r w:rsidRPr="002029AF">
              <w:t>)</w:t>
            </w:r>
          </w:p>
        </w:tc>
        <w:tc>
          <w:tcPr>
            <w:tcW w:w="1701" w:type="dxa"/>
          </w:tcPr>
          <w:p w14:paraId="2AA98A70" w14:textId="77777777" w:rsidR="00FC6F4F" w:rsidRPr="002029AF" w:rsidRDefault="00FC6F4F" w:rsidP="00FC6F4F">
            <w:pPr>
              <w:pStyle w:val="ARtabletextright"/>
            </w:pPr>
            <w:r w:rsidRPr="002029AF">
              <w:t>1.</w:t>
            </w:r>
            <w:r>
              <w:t>38</w:t>
            </w:r>
          </w:p>
        </w:tc>
        <w:tc>
          <w:tcPr>
            <w:tcW w:w="1701" w:type="dxa"/>
          </w:tcPr>
          <w:p w14:paraId="4530B158" w14:textId="77777777" w:rsidR="00FC6F4F" w:rsidRPr="002029AF" w:rsidRDefault="00FC6F4F" w:rsidP="00FC6F4F">
            <w:pPr>
              <w:pStyle w:val="ARtabletextright"/>
            </w:pPr>
            <w:r w:rsidRPr="002029AF">
              <w:t>1.</w:t>
            </w:r>
            <w:r>
              <w:t>39</w:t>
            </w:r>
          </w:p>
        </w:tc>
        <w:tc>
          <w:tcPr>
            <w:tcW w:w="1701" w:type="dxa"/>
          </w:tcPr>
          <w:p w14:paraId="781061D2" w14:textId="77777777" w:rsidR="00FC6F4F" w:rsidRPr="002029AF" w:rsidRDefault="00FC6F4F" w:rsidP="00FC6F4F">
            <w:pPr>
              <w:pStyle w:val="ARtabletextright"/>
            </w:pPr>
            <w:r w:rsidRPr="002029AF">
              <w:t>1.3</w:t>
            </w:r>
            <w:r>
              <w:t>8</w:t>
            </w:r>
          </w:p>
        </w:tc>
      </w:tr>
      <w:tr w:rsidR="00FC6F4F" w:rsidRPr="002029AF" w14:paraId="6D09E088" w14:textId="77777777" w:rsidTr="00206595">
        <w:tc>
          <w:tcPr>
            <w:tcW w:w="4536" w:type="dxa"/>
          </w:tcPr>
          <w:p w14:paraId="4C9F5667" w14:textId="77777777" w:rsidR="00FC6F4F" w:rsidRPr="002029AF" w:rsidRDefault="00FC6F4F" w:rsidP="00FC6F4F">
            <w:pPr>
              <w:pStyle w:val="ARtabletext"/>
            </w:pPr>
            <w:r w:rsidRPr="002029AF">
              <w:t>Greenhouse gas emissions per separation (tonnes CO</w:t>
            </w:r>
            <w:r w:rsidRPr="002029AF">
              <w:rPr>
                <w:vertAlign w:val="subscript"/>
              </w:rPr>
              <w:t>2</w:t>
            </w:r>
            <w:r w:rsidRPr="002029AF">
              <w:t>-e/separation)</w:t>
            </w:r>
          </w:p>
        </w:tc>
        <w:tc>
          <w:tcPr>
            <w:tcW w:w="1701" w:type="dxa"/>
          </w:tcPr>
          <w:p w14:paraId="17C29353" w14:textId="77777777" w:rsidR="00FC6F4F" w:rsidRPr="002029AF" w:rsidRDefault="00FC6F4F" w:rsidP="00FC6F4F">
            <w:pPr>
              <w:pStyle w:val="ARtabletextright"/>
            </w:pPr>
            <w:r w:rsidRPr="002029AF">
              <w:t>0.</w:t>
            </w:r>
            <w:r>
              <w:t>40</w:t>
            </w:r>
          </w:p>
        </w:tc>
        <w:tc>
          <w:tcPr>
            <w:tcW w:w="1701" w:type="dxa"/>
          </w:tcPr>
          <w:p w14:paraId="1E9A8BD4" w14:textId="77777777" w:rsidR="00FC6F4F" w:rsidRPr="002029AF" w:rsidRDefault="00FC6F4F" w:rsidP="00FC6F4F">
            <w:pPr>
              <w:pStyle w:val="ARtabletextright"/>
            </w:pPr>
            <w:r w:rsidRPr="002029AF">
              <w:t>0.</w:t>
            </w:r>
            <w:r>
              <w:t>41</w:t>
            </w:r>
          </w:p>
        </w:tc>
        <w:tc>
          <w:tcPr>
            <w:tcW w:w="1701" w:type="dxa"/>
          </w:tcPr>
          <w:p w14:paraId="29F31218" w14:textId="77777777" w:rsidR="00FC6F4F" w:rsidRPr="002029AF" w:rsidRDefault="00FC6F4F" w:rsidP="00FC6F4F">
            <w:pPr>
              <w:pStyle w:val="ARtabletextright"/>
            </w:pPr>
            <w:r w:rsidRPr="002029AF">
              <w:t>0.</w:t>
            </w:r>
            <w:r>
              <w:t>41</w:t>
            </w:r>
          </w:p>
        </w:tc>
      </w:tr>
      <w:tr w:rsidR="00FC6F4F" w:rsidRPr="002029AF" w14:paraId="2587FC3A" w14:textId="77777777" w:rsidTr="00206595">
        <w:tc>
          <w:tcPr>
            <w:tcW w:w="4536" w:type="dxa"/>
          </w:tcPr>
          <w:p w14:paraId="2EF7BBFE" w14:textId="77777777" w:rsidR="00FC6F4F" w:rsidRPr="002029AF" w:rsidRDefault="00FC6F4F" w:rsidP="00FC6F4F">
            <w:pPr>
              <w:pStyle w:val="ARtabletext"/>
            </w:pPr>
            <w:r w:rsidRPr="002029AF">
              <w:t xml:space="preserve">Greenhouse gas emissions per bed day (tonnes </w:t>
            </w:r>
            <w:r>
              <w:br/>
            </w:r>
            <w:r w:rsidRPr="002029AF">
              <w:t>CO</w:t>
            </w:r>
            <w:r w:rsidRPr="002029AF">
              <w:rPr>
                <w:vertAlign w:val="subscript"/>
              </w:rPr>
              <w:t>2</w:t>
            </w:r>
            <w:r w:rsidRPr="002029AF">
              <w:t>-e/bed day)</w:t>
            </w:r>
          </w:p>
        </w:tc>
        <w:tc>
          <w:tcPr>
            <w:tcW w:w="1701" w:type="dxa"/>
          </w:tcPr>
          <w:p w14:paraId="70F3B90A" w14:textId="77777777" w:rsidR="00FC6F4F" w:rsidRPr="002029AF" w:rsidRDefault="00FC6F4F" w:rsidP="00FC6F4F">
            <w:pPr>
              <w:pStyle w:val="ARtabletextright"/>
            </w:pPr>
            <w:r w:rsidRPr="002029AF">
              <w:t>0.</w:t>
            </w:r>
            <w:r>
              <w:t>11</w:t>
            </w:r>
          </w:p>
        </w:tc>
        <w:tc>
          <w:tcPr>
            <w:tcW w:w="1701" w:type="dxa"/>
          </w:tcPr>
          <w:p w14:paraId="510EB68F" w14:textId="77777777" w:rsidR="00FC6F4F" w:rsidRPr="002029AF" w:rsidRDefault="00FC6F4F" w:rsidP="00FC6F4F">
            <w:pPr>
              <w:pStyle w:val="ARtabletextright"/>
            </w:pPr>
            <w:r w:rsidRPr="002029AF">
              <w:t>0.</w:t>
            </w:r>
            <w:r>
              <w:t>11</w:t>
            </w:r>
          </w:p>
        </w:tc>
        <w:tc>
          <w:tcPr>
            <w:tcW w:w="1701" w:type="dxa"/>
          </w:tcPr>
          <w:p w14:paraId="3C7E6497" w14:textId="77777777" w:rsidR="00FC6F4F" w:rsidRDefault="00FC6F4F" w:rsidP="00FC6F4F">
            <w:pPr>
              <w:pStyle w:val="ARtabletextright"/>
            </w:pPr>
            <w:r w:rsidRPr="002029AF">
              <w:t>0.</w:t>
            </w:r>
            <w:r>
              <w:t>11</w:t>
            </w:r>
          </w:p>
          <w:p w14:paraId="57E5CA1F" w14:textId="77777777" w:rsidR="00FC6F4F" w:rsidRPr="002029AF" w:rsidRDefault="00FC6F4F" w:rsidP="00FC6F4F">
            <w:pPr>
              <w:pStyle w:val="ARtabletextright"/>
            </w:pPr>
          </w:p>
        </w:tc>
      </w:tr>
      <w:tr w:rsidR="00FC6F4F" w:rsidRPr="002029AF" w14:paraId="4E038F19" w14:textId="77777777" w:rsidTr="00206595">
        <w:tc>
          <w:tcPr>
            <w:tcW w:w="4536" w:type="dxa"/>
          </w:tcPr>
          <w:p w14:paraId="6CE4054C" w14:textId="5449369E" w:rsidR="00FC6F4F" w:rsidRPr="002029AF" w:rsidRDefault="00FC6F4F" w:rsidP="00FC6F4F">
            <w:pPr>
              <w:pStyle w:val="ARtabletext"/>
            </w:pPr>
            <w:r w:rsidRPr="002029AF">
              <w:t xml:space="preserve">Greenhouse gas emissions per unit of floor space (tonnes </w:t>
            </w:r>
            <w:r w:rsidR="009B0C12">
              <w:t>CO</w:t>
            </w:r>
            <w:r w:rsidR="009B0C12" w:rsidRPr="00C00F53">
              <w:rPr>
                <w:vertAlign w:val="subscript"/>
              </w:rPr>
              <w:t>2</w:t>
            </w:r>
            <w:r w:rsidRPr="002029AF">
              <w:t>-e/m</w:t>
            </w:r>
            <w:r w:rsidRPr="002029AF">
              <w:rPr>
                <w:vertAlign w:val="superscript"/>
              </w:rPr>
              <w:t>2</w:t>
            </w:r>
            <w:r w:rsidRPr="002029AF">
              <w:t>)</w:t>
            </w:r>
          </w:p>
        </w:tc>
        <w:tc>
          <w:tcPr>
            <w:tcW w:w="1701" w:type="dxa"/>
          </w:tcPr>
          <w:p w14:paraId="02AC38B6" w14:textId="77777777" w:rsidR="00FC6F4F" w:rsidRPr="002029AF" w:rsidRDefault="00FC6F4F" w:rsidP="00FC6F4F">
            <w:pPr>
              <w:pStyle w:val="ARtabletextright"/>
            </w:pPr>
            <w:r w:rsidRPr="002029AF">
              <w:t>0.</w:t>
            </w:r>
            <w:r>
              <w:t>21</w:t>
            </w:r>
          </w:p>
        </w:tc>
        <w:tc>
          <w:tcPr>
            <w:tcW w:w="1701" w:type="dxa"/>
          </w:tcPr>
          <w:p w14:paraId="24085A96" w14:textId="77777777" w:rsidR="00FC6F4F" w:rsidRPr="002029AF" w:rsidRDefault="00FC6F4F" w:rsidP="00FC6F4F">
            <w:pPr>
              <w:pStyle w:val="ARtabletextright"/>
            </w:pPr>
            <w:r w:rsidRPr="002029AF">
              <w:t>0.</w:t>
            </w:r>
            <w:r>
              <w:t>21</w:t>
            </w:r>
          </w:p>
        </w:tc>
        <w:tc>
          <w:tcPr>
            <w:tcW w:w="1701" w:type="dxa"/>
          </w:tcPr>
          <w:p w14:paraId="6F87F65F" w14:textId="77777777" w:rsidR="00FC6F4F" w:rsidRPr="002029AF" w:rsidRDefault="00FC6F4F" w:rsidP="00FC6F4F">
            <w:pPr>
              <w:pStyle w:val="ARtabletextright"/>
            </w:pPr>
            <w:r w:rsidRPr="002029AF">
              <w:t>0.</w:t>
            </w:r>
            <w:r>
              <w:t>21</w:t>
            </w:r>
          </w:p>
        </w:tc>
      </w:tr>
    </w:tbl>
    <w:p w14:paraId="7995A432" w14:textId="77777777" w:rsidR="00FC6F4F" w:rsidRPr="002029AF" w:rsidRDefault="00FC6F4F" w:rsidP="00897193">
      <w:pPr>
        <w:pStyle w:val="ARtablefootnote"/>
        <w:rPr>
          <w:lang w:eastAsia="en-AU"/>
        </w:rPr>
      </w:pPr>
      <w:r w:rsidRPr="002029AF">
        <w:rPr>
          <w:lang w:eastAsia="en-AU"/>
        </w:rPr>
        <w:t>Public health services are GST-exempt organisations. Reported cost data for public health services is exclusive of GST. Public health greenhouse gas emission indicators include emissions associated with the use of nitrous oxide in public hospitals.</w:t>
      </w:r>
    </w:p>
    <w:p w14:paraId="7CC90480" w14:textId="115EF461" w:rsidR="00FC6F4F" w:rsidRPr="002029AF" w:rsidRDefault="00FC6F4F" w:rsidP="00897193">
      <w:pPr>
        <w:pStyle w:val="ARtablefootnote"/>
        <w:rPr>
          <w:lang w:eastAsia="en-AU"/>
        </w:rPr>
      </w:pPr>
      <w:r w:rsidRPr="002029AF">
        <w:rPr>
          <w:lang w:eastAsia="en-AU"/>
        </w:rPr>
        <w:t xml:space="preserve">Public health services energy data includes a </w:t>
      </w:r>
      <w:r w:rsidR="005C0464">
        <w:rPr>
          <w:lang w:eastAsia="en-AU"/>
        </w:rPr>
        <w:t>three</w:t>
      </w:r>
      <w:r w:rsidRPr="002029AF">
        <w:rPr>
          <w:lang w:eastAsia="en-AU"/>
        </w:rPr>
        <w:t xml:space="preserve"> per cent estimate in 20</w:t>
      </w:r>
      <w:r>
        <w:rPr>
          <w:lang w:eastAsia="en-AU"/>
        </w:rPr>
        <w:t>20</w:t>
      </w:r>
      <w:r w:rsidRPr="002029AF">
        <w:rPr>
          <w:lang w:eastAsia="en-AU"/>
        </w:rPr>
        <w:t>–2</w:t>
      </w:r>
      <w:r>
        <w:rPr>
          <w:lang w:eastAsia="en-AU"/>
        </w:rPr>
        <w:t>1</w:t>
      </w:r>
      <w:r w:rsidRPr="002029AF">
        <w:rPr>
          <w:lang w:eastAsia="en-AU"/>
        </w:rPr>
        <w:t xml:space="preserve"> due to some data being unavailable from energy retailers at the time of reporting.</w:t>
      </w:r>
    </w:p>
    <w:p w14:paraId="46BEA9E5" w14:textId="77777777" w:rsidR="00FC6F4F" w:rsidRPr="002029AF" w:rsidRDefault="00FC6F4F" w:rsidP="001C1AB1">
      <w:pPr>
        <w:pStyle w:val="Heading4"/>
      </w:pPr>
      <w:bookmarkStart w:id="648" w:name="_Toc51786525"/>
      <w:bookmarkStart w:id="649" w:name="_Toc85121321"/>
      <w:r w:rsidRPr="002029AF">
        <w:t>Water use</w:t>
      </w:r>
      <w:bookmarkEnd w:id="648"/>
      <w:bookmarkEnd w:id="649"/>
    </w:p>
    <w:p w14:paraId="1B8898BA" w14:textId="02D1F181" w:rsidR="00FC6F4F" w:rsidRPr="002029AF" w:rsidRDefault="00FC6F4F" w:rsidP="001C1AB1">
      <w:pPr>
        <w:pStyle w:val="Heading5"/>
      </w:pPr>
      <w:bookmarkStart w:id="650" w:name="_Toc85121322"/>
      <w:r w:rsidRPr="002029AF">
        <w:t>Office</w:t>
      </w:r>
      <w:r w:rsidR="005C0464">
        <w:t>-</w:t>
      </w:r>
      <w:r w:rsidRPr="002029AF">
        <w:t>based</w:t>
      </w:r>
      <w:bookmarkEnd w:id="650"/>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758"/>
        <w:gridCol w:w="1627"/>
        <w:gridCol w:w="1627"/>
        <w:gridCol w:w="1627"/>
      </w:tblGrid>
      <w:tr w:rsidR="00FC6F4F" w:rsidRPr="002029AF" w14:paraId="60557D8E" w14:textId="77777777" w:rsidTr="00FC6F4F">
        <w:trPr>
          <w:cantSplit/>
          <w:trHeight w:val="360"/>
          <w:tblHeader/>
        </w:trPr>
        <w:tc>
          <w:tcPr>
            <w:tcW w:w="4758" w:type="dxa"/>
          </w:tcPr>
          <w:p w14:paraId="6257C593" w14:textId="77777777" w:rsidR="00FC6F4F" w:rsidRPr="002029AF" w:rsidRDefault="00FC6F4F" w:rsidP="00FC6F4F">
            <w:pPr>
              <w:pStyle w:val="ARtablecolhead"/>
            </w:pPr>
            <w:r w:rsidRPr="002029AF">
              <w:t>Description</w:t>
            </w:r>
          </w:p>
        </w:tc>
        <w:tc>
          <w:tcPr>
            <w:tcW w:w="1627" w:type="dxa"/>
            <w:tcBorders>
              <w:top w:val="nil"/>
            </w:tcBorders>
            <w:vAlign w:val="center"/>
          </w:tcPr>
          <w:p w14:paraId="5C438678" w14:textId="77777777" w:rsidR="00FC6F4F" w:rsidRPr="002029AF" w:rsidRDefault="00FC6F4F" w:rsidP="00FC6F4F">
            <w:pPr>
              <w:pStyle w:val="ARtablecolheadright"/>
            </w:pPr>
            <w:r w:rsidRPr="002029AF">
              <w:t>20</w:t>
            </w:r>
            <w:r>
              <w:t>20</w:t>
            </w:r>
            <w:r w:rsidRPr="002029AF">
              <w:t>–2</w:t>
            </w:r>
            <w:r>
              <w:t>1</w:t>
            </w:r>
            <w:r w:rsidRPr="002029AF">
              <w:t xml:space="preserve"> estimate</w:t>
            </w:r>
          </w:p>
        </w:tc>
        <w:tc>
          <w:tcPr>
            <w:tcW w:w="1627" w:type="dxa"/>
            <w:tcBorders>
              <w:top w:val="nil"/>
            </w:tcBorders>
            <w:vAlign w:val="center"/>
          </w:tcPr>
          <w:p w14:paraId="258AA347" w14:textId="77777777" w:rsidR="00FC6F4F" w:rsidRPr="002029AF" w:rsidRDefault="00FC6F4F" w:rsidP="00FC6F4F">
            <w:pPr>
              <w:pStyle w:val="ARtablecolheadright"/>
            </w:pPr>
            <w:r w:rsidRPr="002029AF">
              <w:t>2019–20 estimate</w:t>
            </w:r>
          </w:p>
        </w:tc>
        <w:tc>
          <w:tcPr>
            <w:tcW w:w="1627" w:type="dxa"/>
            <w:tcBorders>
              <w:top w:val="nil"/>
            </w:tcBorders>
            <w:vAlign w:val="center"/>
          </w:tcPr>
          <w:p w14:paraId="52A6B408" w14:textId="77777777" w:rsidR="00FC6F4F" w:rsidRPr="002029AF" w:rsidRDefault="00FC6F4F" w:rsidP="00FC6F4F">
            <w:pPr>
              <w:pStyle w:val="ARtablecolheadright"/>
            </w:pPr>
            <w:r w:rsidRPr="002029AF">
              <w:t>2018–19 estimate</w:t>
            </w:r>
          </w:p>
        </w:tc>
      </w:tr>
      <w:tr w:rsidR="00FC6F4F" w:rsidRPr="002029AF" w14:paraId="48624AD4" w14:textId="77777777" w:rsidTr="00FC6F4F">
        <w:trPr>
          <w:cantSplit/>
          <w:trHeight w:val="276"/>
        </w:trPr>
        <w:tc>
          <w:tcPr>
            <w:tcW w:w="4758" w:type="dxa"/>
          </w:tcPr>
          <w:p w14:paraId="4ABEAAF2" w14:textId="77777777" w:rsidR="00FC6F4F" w:rsidRPr="002029AF" w:rsidRDefault="00FC6F4F" w:rsidP="00FC6F4F">
            <w:pPr>
              <w:pStyle w:val="ARtabletext"/>
            </w:pPr>
            <w:r w:rsidRPr="002029AF">
              <w:t>Total water used (kilolitres)</w:t>
            </w:r>
          </w:p>
        </w:tc>
        <w:tc>
          <w:tcPr>
            <w:tcW w:w="1627" w:type="dxa"/>
            <w:vAlign w:val="center"/>
          </w:tcPr>
          <w:p w14:paraId="0FB0D125" w14:textId="77777777" w:rsidR="00FC6F4F" w:rsidRPr="002029AF" w:rsidRDefault="00FC6F4F" w:rsidP="00FC6F4F">
            <w:pPr>
              <w:pStyle w:val="ARtabletextright"/>
            </w:pPr>
            <w:r>
              <w:t>54,517</w:t>
            </w:r>
          </w:p>
        </w:tc>
        <w:tc>
          <w:tcPr>
            <w:tcW w:w="1627" w:type="dxa"/>
            <w:vAlign w:val="center"/>
          </w:tcPr>
          <w:p w14:paraId="0D543A02" w14:textId="77777777" w:rsidR="00FC6F4F" w:rsidRPr="002029AF" w:rsidRDefault="00FC6F4F" w:rsidP="00FC6F4F">
            <w:pPr>
              <w:pStyle w:val="ARtabletextright"/>
            </w:pPr>
            <w:r w:rsidRPr="002029AF">
              <w:t>57,304</w:t>
            </w:r>
          </w:p>
        </w:tc>
        <w:tc>
          <w:tcPr>
            <w:tcW w:w="1627" w:type="dxa"/>
            <w:vAlign w:val="center"/>
          </w:tcPr>
          <w:p w14:paraId="73420FBA" w14:textId="77777777" w:rsidR="00FC6F4F" w:rsidRPr="002029AF" w:rsidRDefault="00FC6F4F" w:rsidP="00FC6F4F">
            <w:pPr>
              <w:pStyle w:val="ARtabletextright"/>
            </w:pPr>
            <w:r w:rsidRPr="002029AF">
              <w:t>55,961</w:t>
            </w:r>
          </w:p>
        </w:tc>
      </w:tr>
      <w:tr w:rsidR="00FC6F4F" w:rsidRPr="002029AF" w14:paraId="2A092199" w14:textId="77777777" w:rsidTr="00FC6F4F">
        <w:trPr>
          <w:cantSplit/>
          <w:trHeight w:val="276"/>
        </w:trPr>
        <w:tc>
          <w:tcPr>
            <w:tcW w:w="4758" w:type="dxa"/>
          </w:tcPr>
          <w:p w14:paraId="7DDD9562" w14:textId="77777777" w:rsidR="00FC6F4F" w:rsidRPr="002029AF" w:rsidRDefault="00FC6F4F" w:rsidP="00FC6F4F">
            <w:pPr>
              <w:pStyle w:val="ARtabletext"/>
            </w:pPr>
            <w:r w:rsidRPr="002029AF">
              <w:t>Total water usage and sewage charge ($ million)</w:t>
            </w:r>
          </w:p>
        </w:tc>
        <w:tc>
          <w:tcPr>
            <w:tcW w:w="1627" w:type="dxa"/>
            <w:vAlign w:val="center"/>
          </w:tcPr>
          <w:p w14:paraId="38B8BFCC" w14:textId="77777777" w:rsidR="00FC6F4F" w:rsidRPr="002029AF" w:rsidRDefault="00FC6F4F" w:rsidP="00FC6F4F">
            <w:pPr>
              <w:pStyle w:val="ARtabletextright"/>
            </w:pPr>
            <w:r>
              <w:t>$0.2</w:t>
            </w:r>
          </w:p>
        </w:tc>
        <w:tc>
          <w:tcPr>
            <w:tcW w:w="1627" w:type="dxa"/>
            <w:vAlign w:val="center"/>
          </w:tcPr>
          <w:p w14:paraId="22A2BDDE" w14:textId="77777777" w:rsidR="00FC6F4F" w:rsidRPr="002029AF" w:rsidRDefault="00FC6F4F" w:rsidP="00FC6F4F">
            <w:pPr>
              <w:pStyle w:val="ARtabletextright"/>
            </w:pPr>
            <w:r w:rsidRPr="002029AF">
              <w:t>$0.28</w:t>
            </w:r>
          </w:p>
        </w:tc>
        <w:tc>
          <w:tcPr>
            <w:tcW w:w="1627" w:type="dxa"/>
            <w:vAlign w:val="center"/>
          </w:tcPr>
          <w:p w14:paraId="585AAF6F" w14:textId="77777777" w:rsidR="00FC6F4F" w:rsidRPr="002029AF" w:rsidRDefault="00FC6F4F" w:rsidP="00FC6F4F">
            <w:pPr>
              <w:pStyle w:val="ARtabletextright"/>
            </w:pPr>
            <w:r w:rsidRPr="002029AF">
              <w:t>$0.21</w:t>
            </w:r>
          </w:p>
        </w:tc>
      </w:tr>
      <w:tr w:rsidR="00FC6F4F" w:rsidRPr="002029AF" w14:paraId="79B221DE" w14:textId="77777777" w:rsidTr="00FC6F4F">
        <w:trPr>
          <w:cantSplit/>
          <w:trHeight w:val="276"/>
        </w:trPr>
        <w:tc>
          <w:tcPr>
            <w:tcW w:w="4758" w:type="dxa"/>
          </w:tcPr>
          <w:p w14:paraId="3B5AB01E" w14:textId="77777777" w:rsidR="00FC6F4F" w:rsidRPr="002029AF" w:rsidRDefault="00FC6F4F" w:rsidP="00FC6F4F">
            <w:pPr>
              <w:pStyle w:val="ARtabletext"/>
            </w:pPr>
            <w:r w:rsidRPr="002029AF">
              <w:t>Total water used per FTE (litres/FTE)</w:t>
            </w:r>
          </w:p>
        </w:tc>
        <w:tc>
          <w:tcPr>
            <w:tcW w:w="1627" w:type="dxa"/>
            <w:vAlign w:val="center"/>
          </w:tcPr>
          <w:p w14:paraId="212337F5" w14:textId="77777777" w:rsidR="00FC6F4F" w:rsidRPr="002029AF" w:rsidRDefault="00FC6F4F" w:rsidP="00FC6F4F">
            <w:pPr>
              <w:pStyle w:val="ARtabletextright"/>
            </w:pPr>
            <w:r>
              <w:t>5,511</w:t>
            </w:r>
          </w:p>
        </w:tc>
        <w:tc>
          <w:tcPr>
            <w:tcW w:w="1627" w:type="dxa"/>
            <w:vAlign w:val="center"/>
          </w:tcPr>
          <w:p w14:paraId="5F26694D" w14:textId="77777777" w:rsidR="00FC6F4F" w:rsidRPr="002029AF" w:rsidRDefault="00FC6F4F" w:rsidP="00FC6F4F">
            <w:pPr>
              <w:pStyle w:val="ARtabletextright"/>
            </w:pPr>
            <w:r w:rsidRPr="002029AF">
              <w:t>7,566</w:t>
            </w:r>
          </w:p>
        </w:tc>
        <w:tc>
          <w:tcPr>
            <w:tcW w:w="1627" w:type="dxa"/>
            <w:vAlign w:val="center"/>
          </w:tcPr>
          <w:p w14:paraId="5FA28AC2" w14:textId="77777777" w:rsidR="00FC6F4F" w:rsidRPr="002029AF" w:rsidRDefault="00FC6F4F" w:rsidP="00FC6F4F">
            <w:pPr>
              <w:pStyle w:val="ARtabletextright"/>
            </w:pPr>
            <w:r w:rsidRPr="002029AF">
              <w:t>6,959</w:t>
            </w:r>
          </w:p>
        </w:tc>
      </w:tr>
      <w:tr w:rsidR="00FC6F4F" w:rsidRPr="002029AF" w14:paraId="695338C6" w14:textId="77777777" w:rsidTr="00FC6F4F">
        <w:trPr>
          <w:cantSplit/>
          <w:trHeight w:val="276"/>
        </w:trPr>
        <w:tc>
          <w:tcPr>
            <w:tcW w:w="4758" w:type="dxa"/>
          </w:tcPr>
          <w:p w14:paraId="41CA4958" w14:textId="77777777" w:rsidR="00FC6F4F" w:rsidRPr="002029AF" w:rsidRDefault="00FC6F4F" w:rsidP="00FC6F4F">
            <w:pPr>
              <w:pStyle w:val="ARtabletext"/>
            </w:pPr>
            <w:r w:rsidRPr="002029AF">
              <w:t>Water used per unit of office space (litres/m</w:t>
            </w:r>
            <w:r w:rsidRPr="002029AF">
              <w:rPr>
                <w:vertAlign w:val="superscript"/>
              </w:rPr>
              <w:t>2</w:t>
            </w:r>
            <w:r w:rsidRPr="002029AF">
              <w:t>)</w:t>
            </w:r>
          </w:p>
        </w:tc>
        <w:tc>
          <w:tcPr>
            <w:tcW w:w="1627" w:type="dxa"/>
            <w:vAlign w:val="center"/>
          </w:tcPr>
          <w:p w14:paraId="086C8D03" w14:textId="77777777" w:rsidR="00FC6F4F" w:rsidRPr="002029AF" w:rsidRDefault="00FC6F4F" w:rsidP="00FC6F4F">
            <w:pPr>
              <w:pStyle w:val="ARtabletextright"/>
            </w:pPr>
            <w:r>
              <w:t>278</w:t>
            </w:r>
          </w:p>
        </w:tc>
        <w:tc>
          <w:tcPr>
            <w:tcW w:w="1627" w:type="dxa"/>
            <w:vAlign w:val="center"/>
          </w:tcPr>
          <w:p w14:paraId="476A6FFA" w14:textId="77777777" w:rsidR="00FC6F4F" w:rsidRPr="002029AF" w:rsidRDefault="00FC6F4F" w:rsidP="00FC6F4F">
            <w:pPr>
              <w:pStyle w:val="ARtabletextright"/>
            </w:pPr>
            <w:r w:rsidRPr="002029AF">
              <w:t>461.2</w:t>
            </w:r>
          </w:p>
        </w:tc>
        <w:tc>
          <w:tcPr>
            <w:tcW w:w="1627" w:type="dxa"/>
            <w:vAlign w:val="center"/>
          </w:tcPr>
          <w:p w14:paraId="59569306" w14:textId="77777777" w:rsidR="00FC6F4F" w:rsidRPr="002029AF" w:rsidRDefault="00FC6F4F" w:rsidP="00FC6F4F">
            <w:pPr>
              <w:pStyle w:val="ARtabletextright"/>
            </w:pPr>
            <w:r w:rsidRPr="002029AF">
              <w:t>478</w:t>
            </w:r>
          </w:p>
        </w:tc>
      </w:tr>
    </w:tbl>
    <w:p w14:paraId="38B5FDD7" w14:textId="77777777" w:rsidR="00FC6F4F" w:rsidRPr="002029AF" w:rsidRDefault="00FC6F4F" w:rsidP="00897193">
      <w:pPr>
        <w:pStyle w:val="ARtablefootnote"/>
        <w:rPr>
          <w:lang w:eastAsia="en-AU"/>
        </w:rPr>
      </w:pPr>
      <w:r w:rsidRPr="4760A802">
        <w:rPr>
          <w:lang w:eastAsia="en-AU"/>
        </w:rPr>
        <w:t xml:space="preserve">Office-based water data represents </w:t>
      </w:r>
      <w:r w:rsidRPr="6DD9571F">
        <w:rPr>
          <w:lang w:eastAsia="en-AU"/>
        </w:rPr>
        <w:t>94</w:t>
      </w:r>
      <w:r w:rsidRPr="4760A802">
        <w:rPr>
          <w:lang w:eastAsia="en-AU"/>
        </w:rPr>
        <w:t xml:space="preserve"> per cent of office-based FTE and </w:t>
      </w:r>
      <w:r w:rsidRPr="6DD9571F">
        <w:rPr>
          <w:lang w:eastAsia="en-AU"/>
        </w:rPr>
        <w:t>70</w:t>
      </w:r>
      <w:r w:rsidRPr="4760A802">
        <w:rPr>
          <w:lang w:eastAsia="en-AU"/>
        </w:rPr>
        <w:t xml:space="preserve"> per cent of office-based area.</w:t>
      </w:r>
    </w:p>
    <w:p w14:paraId="38D7E8E3" w14:textId="77777777" w:rsidR="00FC6F4F" w:rsidRPr="002029AF" w:rsidRDefault="00FC6F4F" w:rsidP="00897193">
      <w:pPr>
        <w:pStyle w:val="ARtablefootnote"/>
      </w:pPr>
      <w:r>
        <w:t>Office-based water data includes a 58 per cent estimate in 2020–21 due to some data being unavailable from water authorities at the time of reporting.</w:t>
      </w:r>
    </w:p>
    <w:p w14:paraId="4E0E26C1" w14:textId="215812E9" w:rsidR="00FC6F4F" w:rsidRPr="002029AF" w:rsidRDefault="00FC6F4F" w:rsidP="001C1AB1">
      <w:pPr>
        <w:pStyle w:val="Heading5"/>
      </w:pPr>
      <w:bookmarkStart w:id="651" w:name="_Toc85121323"/>
      <w:r w:rsidRPr="002029AF">
        <w:t>Housing services</w:t>
      </w:r>
      <w:bookmarkEnd w:id="651"/>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835"/>
        <w:gridCol w:w="1304"/>
        <w:gridCol w:w="964"/>
        <w:gridCol w:w="1304"/>
        <w:gridCol w:w="964"/>
        <w:gridCol w:w="1304"/>
        <w:gridCol w:w="964"/>
      </w:tblGrid>
      <w:tr w:rsidR="00FC6F4F" w:rsidRPr="002029AF" w14:paraId="4A8E0E44" w14:textId="77777777" w:rsidTr="007C6076">
        <w:trPr>
          <w:cantSplit/>
          <w:trHeight w:val="230"/>
          <w:tblHeader/>
        </w:trPr>
        <w:tc>
          <w:tcPr>
            <w:tcW w:w="2835" w:type="dxa"/>
            <w:vAlign w:val="bottom"/>
          </w:tcPr>
          <w:p w14:paraId="0FF18F3C" w14:textId="77777777" w:rsidR="00FC6F4F" w:rsidRPr="002029AF" w:rsidRDefault="00FC6F4F" w:rsidP="00FC6F4F">
            <w:pPr>
              <w:pStyle w:val="ARtablecolhead"/>
            </w:pPr>
            <w:r w:rsidRPr="002029AF">
              <w:t>Description</w:t>
            </w:r>
          </w:p>
        </w:tc>
        <w:tc>
          <w:tcPr>
            <w:tcW w:w="1304" w:type="dxa"/>
            <w:vAlign w:val="center"/>
          </w:tcPr>
          <w:p w14:paraId="4110B176" w14:textId="77777777" w:rsidR="00FC6F4F" w:rsidRPr="002029AF" w:rsidRDefault="00FC6F4F" w:rsidP="00FC6F4F">
            <w:pPr>
              <w:pStyle w:val="ARtablecolheadright"/>
            </w:pPr>
            <w:r w:rsidRPr="002029AF">
              <w:t>20</w:t>
            </w:r>
            <w:r>
              <w:t>20</w:t>
            </w:r>
            <w:r w:rsidRPr="002029AF">
              <w:t>–2</w:t>
            </w:r>
            <w:r>
              <w:t>1</w:t>
            </w:r>
            <w:r w:rsidRPr="002029AF">
              <w:t xml:space="preserve"> </w:t>
            </w:r>
            <w:r w:rsidRPr="002029AF">
              <w:br/>
              <w:t>estimate</w:t>
            </w:r>
          </w:p>
        </w:tc>
        <w:tc>
          <w:tcPr>
            <w:tcW w:w="964" w:type="dxa"/>
            <w:vAlign w:val="center"/>
          </w:tcPr>
          <w:p w14:paraId="3874CC57" w14:textId="77777777" w:rsidR="00FC6F4F" w:rsidRPr="002029AF" w:rsidRDefault="00FC6F4F" w:rsidP="00FC6F4F">
            <w:pPr>
              <w:pStyle w:val="ARtablecolheadright"/>
            </w:pPr>
            <w:r w:rsidRPr="002029AF">
              <w:t>20</w:t>
            </w:r>
            <w:r>
              <w:t>20</w:t>
            </w:r>
            <w:r w:rsidRPr="002029AF">
              <w:t>–2</w:t>
            </w:r>
            <w:r>
              <w:t>1</w:t>
            </w:r>
            <w:r w:rsidRPr="002029AF">
              <w:t xml:space="preserve"> </w:t>
            </w:r>
            <w:r w:rsidRPr="002029AF">
              <w:br/>
              <w:t>estimate</w:t>
            </w:r>
          </w:p>
        </w:tc>
        <w:tc>
          <w:tcPr>
            <w:tcW w:w="1304" w:type="dxa"/>
            <w:vAlign w:val="center"/>
          </w:tcPr>
          <w:p w14:paraId="73D00297" w14:textId="77777777" w:rsidR="00FC6F4F" w:rsidRPr="002029AF" w:rsidRDefault="00FC6F4F" w:rsidP="00FC6F4F">
            <w:pPr>
              <w:pStyle w:val="ARtablecolheadright"/>
            </w:pPr>
            <w:r w:rsidRPr="002029AF">
              <w:t xml:space="preserve">2019–20 </w:t>
            </w:r>
            <w:r w:rsidRPr="002029AF">
              <w:br/>
              <w:t>estimate</w:t>
            </w:r>
          </w:p>
        </w:tc>
        <w:tc>
          <w:tcPr>
            <w:tcW w:w="964" w:type="dxa"/>
            <w:vAlign w:val="center"/>
          </w:tcPr>
          <w:p w14:paraId="0E0044A8" w14:textId="77777777" w:rsidR="00FC6F4F" w:rsidRPr="002029AF" w:rsidRDefault="00FC6F4F" w:rsidP="00FC6F4F">
            <w:pPr>
              <w:pStyle w:val="ARtablecolheadright"/>
            </w:pPr>
            <w:r w:rsidRPr="002029AF">
              <w:t xml:space="preserve">2019–20 </w:t>
            </w:r>
            <w:r w:rsidRPr="002029AF">
              <w:br/>
              <w:t>estimate</w:t>
            </w:r>
          </w:p>
        </w:tc>
        <w:tc>
          <w:tcPr>
            <w:tcW w:w="1304" w:type="dxa"/>
            <w:vAlign w:val="center"/>
          </w:tcPr>
          <w:p w14:paraId="3B56A6CA" w14:textId="77777777" w:rsidR="00FC6F4F" w:rsidRPr="002029AF" w:rsidRDefault="00FC6F4F" w:rsidP="00FC6F4F">
            <w:pPr>
              <w:pStyle w:val="ARtablecolheadright"/>
            </w:pPr>
            <w:r w:rsidRPr="002029AF">
              <w:t xml:space="preserve">2018–19 </w:t>
            </w:r>
            <w:r w:rsidRPr="002029AF">
              <w:br/>
              <w:t>estimate</w:t>
            </w:r>
          </w:p>
        </w:tc>
        <w:tc>
          <w:tcPr>
            <w:tcW w:w="964" w:type="dxa"/>
            <w:vAlign w:val="center"/>
          </w:tcPr>
          <w:p w14:paraId="06497159" w14:textId="77777777" w:rsidR="00FC6F4F" w:rsidRPr="002029AF" w:rsidRDefault="00FC6F4F" w:rsidP="00FC6F4F">
            <w:pPr>
              <w:pStyle w:val="ARtablecolheadright"/>
            </w:pPr>
            <w:r w:rsidRPr="002029AF">
              <w:t xml:space="preserve">2018–19 </w:t>
            </w:r>
            <w:r w:rsidRPr="002029AF">
              <w:br/>
              <w:t>estimate</w:t>
            </w:r>
          </w:p>
        </w:tc>
      </w:tr>
      <w:tr w:rsidR="00FC6F4F" w:rsidRPr="002029AF" w14:paraId="59D23FFD" w14:textId="77777777" w:rsidTr="007C6076">
        <w:trPr>
          <w:cantSplit/>
          <w:trHeight w:val="335"/>
          <w:tblHeader/>
        </w:trPr>
        <w:tc>
          <w:tcPr>
            <w:tcW w:w="2835" w:type="dxa"/>
            <w:vAlign w:val="bottom"/>
          </w:tcPr>
          <w:p w14:paraId="46C6239D" w14:textId="77777777" w:rsidR="00FC6F4F" w:rsidRPr="002029AF" w:rsidRDefault="00FC6F4F" w:rsidP="00FC6F4F">
            <w:pPr>
              <w:pStyle w:val="ARtablecolhead"/>
            </w:pPr>
            <w:r w:rsidRPr="002029AF">
              <w:t>Total water usage and charges segmented by source</w:t>
            </w:r>
          </w:p>
        </w:tc>
        <w:tc>
          <w:tcPr>
            <w:tcW w:w="1304" w:type="dxa"/>
            <w:vAlign w:val="bottom"/>
          </w:tcPr>
          <w:p w14:paraId="3A5120DE" w14:textId="77777777" w:rsidR="00FC6F4F" w:rsidRPr="002029AF" w:rsidRDefault="00FC6F4F" w:rsidP="00FC6F4F">
            <w:pPr>
              <w:pStyle w:val="ARtablecolheadright"/>
            </w:pPr>
            <w:r w:rsidRPr="002029AF">
              <w:t>Kilolitres</w:t>
            </w:r>
          </w:p>
        </w:tc>
        <w:tc>
          <w:tcPr>
            <w:tcW w:w="964" w:type="dxa"/>
            <w:vAlign w:val="bottom"/>
          </w:tcPr>
          <w:p w14:paraId="5566AE87" w14:textId="77777777" w:rsidR="00FC6F4F" w:rsidRPr="002029AF" w:rsidRDefault="00FC6F4F" w:rsidP="00FC6F4F">
            <w:pPr>
              <w:pStyle w:val="ARtablecolheadright"/>
            </w:pPr>
            <w:r w:rsidRPr="002029AF">
              <w:t>Cost</w:t>
            </w:r>
          </w:p>
          <w:p w14:paraId="5F424EA0" w14:textId="77777777" w:rsidR="00FC6F4F" w:rsidRPr="002029AF" w:rsidRDefault="00FC6F4F" w:rsidP="00FC6F4F">
            <w:pPr>
              <w:pStyle w:val="ARtablecolheadright"/>
            </w:pPr>
            <w:r w:rsidRPr="002029AF">
              <w:t>($M)</w:t>
            </w:r>
          </w:p>
        </w:tc>
        <w:tc>
          <w:tcPr>
            <w:tcW w:w="1304" w:type="dxa"/>
            <w:vAlign w:val="bottom"/>
          </w:tcPr>
          <w:p w14:paraId="0DCF4B4F" w14:textId="77777777" w:rsidR="00FC6F4F" w:rsidRPr="002029AF" w:rsidRDefault="00FC6F4F" w:rsidP="00FC6F4F">
            <w:pPr>
              <w:pStyle w:val="ARtablecolheadright"/>
            </w:pPr>
            <w:r w:rsidRPr="002029AF">
              <w:t>Kilolitres</w:t>
            </w:r>
          </w:p>
        </w:tc>
        <w:tc>
          <w:tcPr>
            <w:tcW w:w="964" w:type="dxa"/>
            <w:vAlign w:val="bottom"/>
          </w:tcPr>
          <w:p w14:paraId="6488E0DA" w14:textId="77777777" w:rsidR="00FC6F4F" w:rsidRPr="002029AF" w:rsidRDefault="00FC6F4F" w:rsidP="00FC6F4F">
            <w:pPr>
              <w:pStyle w:val="ARtablecolheadright"/>
            </w:pPr>
            <w:r w:rsidRPr="002029AF">
              <w:t>Cost</w:t>
            </w:r>
          </w:p>
          <w:p w14:paraId="7226EC26" w14:textId="77777777" w:rsidR="00FC6F4F" w:rsidRPr="002029AF" w:rsidRDefault="00FC6F4F" w:rsidP="00FC6F4F">
            <w:pPr>
              <w:pStyle w:val="ARtablecolheadright"/>
            </w:pPr>
            <w:r w:rsidRPr="002029AF">
              <w:t>($M)</w:t>
            </w:r>
          </w:p>
        </w:tc>
        <w:tc>
          <w:tcPr>
            <w:tcW w:w="1304" w:type="dxa"/>
            <w:vAlign w:val="bottom"/>
          </w:tcPr>
          <w:p w14:paraId="5A3E6FA7" w14:textId="77777777" w:rsidR="00FC6F4F" w:rsidRPr="002029AF" w:rsidRDefault="00FC6F4F" w:rsidP="00FC6F4F">
            <w:pPr>
              <w:pStyle w:val="ARtablecolheadright"/>
            </w:pPr>
            <w:r w:rsidRPr="002029AF">
              <w:t>Kilolitres</w:t>
            </w:r>
          </w:p>
        </w:tc>
        <w:tc>
          <w:tcPr>
            <w:tcW w:w="964" w:type="dxa"/>
            <w:vAlign w:val="bottom"/>
          </w:tcPr>
          <w:p w14:paraId="284E51A1" w14:textId="77777777" w:rsidR="00FC6F4F" w:rsidRPr="002029AF" w:rsidRDefault="00FC6F4F" w:rsidP="00FC6F4F">
            <w:pPr>
              <w:pStyle w:val="ARtablecolheadright"/>
            </w:pPr>
            <w:r w:rsidRPr="002029AF">
              <w:t>Cost</w:t>
            </w:r>
          </w:p>
          <w:p w14:paraId="5F9E5FE8" w14:textId="77777777" w:rsidR="00FC6F4F" w:rsidRPr="002029AF" w:rsidRDefault="00FC6F4F" w:rsidP="00FC6F4F">
            <w:pPr>
              <w:pStyle w:val="ARtablecolheadright"/>
            </w:pPr>
            <w:r w:rsidRPr="002029AF">
              <w:t>($M)</w:t>
            </w:r>
          </w:p>
        </w:tc>
      </w:tr>
      <w:tr w:rsidR="00FC6F4F" w:rsidRPr="002029AF" w14:paraId="79D2D887" w14:textId="77777777" w:rsidTr="00206595">
        <w:trPr>
          <w:cantSplit/>
          <w:trHeight w:val="335"/>
        </w:trPr>
        <w:tc>
          <w:tcPr>
            <w:tcW w:w="2835" w:type="dxa"/>
          </w:tcPr>
          <w:p w14:paraId="71EDBEA6" w14:textId="77777777" w:rsidR="00FC6F4F" w:rsidRPr="002029AF" w:rsidRDefault="00FC6F4F" w:rsidP="00FC6F4F">
            <w:pPr>
              <w:pStyle w:val="ARtabletext"/>
            </w:pPr>
            <w:r w:rsidRPr="002029AF">
              <w:t xml:space="preserve">High-rise public housing water use </w:t>
            </w:r>
          </w:p>
        </w:tc>
        <w:tc>
          <w:tcPr>
            <w:tcW w:w="1304" w:type="dxa"/>
          </w:tcPr>
          <w:p w14:paraId="48B7DC2B" w14:textId="77777777" w:rsidR="00FC6F4F" w:rsidRPr="002029AF" w:rsidRDefault="00FC6F4F" w:rsidP="00FC6F4F">
            <w:pPr>
              <w:pStyle w:val="ARtabletextright"/>
            </w:pPr>
            <w:r>
              <w:t>1,043,010</w:t>
            </w:r>
          </w:p>
        </w:tc>
        <w:tc>
          <w:tcPr>
            <w:tcW w:w="964" w:type="dxa"/>
          </w:tcPr>
          <w:p w14:paraId="50862CD2" w14:textId="77777777" w:rsidR="00FC6F4F" w:rsidRPr="002029AF" w:rsidRDefault="00FC6F4F" w:rsidP="00FC6F4F">
            <w:pPr>
              <w:pStyle w:val="ARtabletextright"/>
            </w:pPr>
            <w:r>
              <w:t>$3.8</w:t>
            </w:r>
          </w:p>
        </w:tc>
        <w:tc>
          <w:tcPr>
            <w:tcW w:w="1304" w:type="dxa"/>
          </w:tcPr>
          <w:p w14:paraId="46724DE7" w14:textId="77777777" w:rsidR="00FC6F4F" w:rsidRPr="002029AF" w:rsidRDefault="00FC6F4F" w:rsidP="00FC6F4F">
            <w:pPr>
              <w:pStyle w:val="ARtabletextright"/>
            </w:pPr>
            <w:r>
              <w:t>1,140,927</w:t>
            </w:r>
          </w:p>
        </w:tc>
        <w:tc>
          <w:tcPr>
            <w:tcW w:w="964" w:type="dxa"/>
          </w:tcPr>
          <w:p w14:paraId="2A237A0D" w14:textId="77777777" w:rsidR="00FC6F4F" w:rsidRPr="002029AF" w:rsidRDefault="00FC6F4F" w:rsidP="00FC6F4F">
            <w:pPr>
              <w:pStyle w:val="ARtabletextright"/>
            </w:pPr>
            <w:r>
              <w:t>$4.08</w:t>
            </w:r>
          </w:p>
        </w:tc>
        <w:tc>
          <w:tcPr>
            <w:tcW w:w="1304" w:type="dxa"/>
          </w:tcPr>
          <w:p w14:paraId="2E0E041D" w14:textId="77777777" w:rsidR="00FC6F4F" w:rsidRPr="002029AF" w:rsidRDefault="00FC6F4F" w:rsidP="00FC6F4F">
            <w:pPr>
              <w:pStyle w:val="ARtabletextright"/>
            </w:pPr>
            <w:r w:rsidRPr="002029AF">
              <w:t>1,139,452</w:t>
            </w:r>
          </w:p>
        </w:tc>
        <w:tc>
          <w:tcPr>
            <w:tcW w:w="964" w:type="dxa"/>
          </w:tcPr>
          <w:p w14:paraId="6AC099A2" w14:textId="77777777" w:rsidR="00FC6F4F" w:rsidRPr="002029AF" w:rsidRDefault="00FC6F4F" w:rsidP="00FC6F4F">
            <w:pPr>
              <w:pStyle w:val="ARtabletextright"/>
            </w:pPr>
            <w:r w:rsidRPr="002029AF">
              <w:t>$4.08</w:t>
            </w:r>
          </w:p>
        </w:tc>
      </w:tr>
      <w:tr w:rsidR="00FC6F4F" w:rsidRPr="002029AF" w14:paraId="2A3788E3" w14:textId="77777777" w:rsidTr="00206595">
        <w:trPr>
          <w:cantSplit/>
          <w:trHeight w:val="335"/>
        </w:trPr>
        <w:tc>
          <w:tcPr>
            <w:tcW w:w="2835" w:type="dxa"/>
          </w:tcPr>
          <w:p w14:paraId="28C9BCD6" w14:textId="77777777" w:rsidR="00FC6F4F" w:rsidRPr="002029AF" w:rsidRDefault="00FC6F4F" w:rsidP="00FC6F4F">
            <w:pPr>
              <w:pStyle w:val="ARtabletext"/>
            </w:pPr>
            <w:r w:rsidRPr="002029AF">
              <w:t>Other public housing water use</w:t>
            </w:r>
          </w:p>
        </w:tc>
        <w:tc>
          <w:tcPr>
            <w:tcW w:w="1304" w:type="dxa"/>
          </w:tcPr>
          <w:p w14:paraId="5E5E3914" w14:textId="77777777" w:rsidR="00FC6F4F" w:rsidRPr="002029AF" w:rsidRDefault="00FC6F4F" w:rsidP="00FC6F4F">
            <w:pPr>
              <w:pStyle w:val="ARtabletextright"/>
            </w:pPr>
            <w:r>
              <w:t>64,501</w:t>
            </w:r>
          </w:p>
        </w:tc>
        <w:tc>
          <w:tcPr>
            <w:tcW w:w="964" w:type="dxa"/>
          </w:tcPr>
          <w:p w14:paraId="5FC09E36" w14:textId="77777777" w:rsidR="00FC6F4F" w:rsidRPr="002029AF" w:rsidRDefault="00FC6F4F" w:rsidP="00FC6F4F">
            <w:pPr>
              <w:pStyle w:val="ARtabletextright"/>
            </w:pPr>
            <w:r>
              <w:t>$0.23</w:t>
            </w:r>
          </w:p>
        </w:tc>
        <w:tc>
          <w:tcPr>
            <w:tcW w:w="1304" w:type="dxa"/>
          </w:tcPr>
          <w:p w14:paraId="7B8277AC" w14:textId="77777777" w:rsidR="00FC6F4F" w:rsidRPr="002029AF" w:rsidRDefault="00FC6F4F" w:rsidP="00FC6F4F">
            <w:pPr>
              <w:pStyle w:val="ARtabletextright"/>
            </w:pPr>
            <w:r>
              <w:t>79,354</w:t>
            </w:r>
          </w:p>
        </w:tc>
        <w:tc>
          <w:tcPr>
            <w:tcW w:w="964" w:type="dxa"/>
          </w:tcPr>
          <w:p w14:paraId="5735FD91" w14:textId="77777777" w:rsidR="00FC6F4F" w:rsidRPr="002029AF" w:rsidRDefault="00FC6F4F" w:rsidP="00FC6F4F">
            <w:pPr>
              <w:pStyle w:val="ARtabletextright"/>
            </w:pPr>
            <w:r>
              <w:t>$0.28</w:t>
            </w:r>
          </w:p>
        </w:tc>
        <w:tc>
          <w:tcPr>
            <w:tcW w:w="1304" w:type="dxa"/>
          </w:tcPr>
          <w:p w14:paraId="4D4D75B9" w14:textId="77777777" w:rsidR="00FC6F4F" w:rsidRPr="002029AF" w:rsidRDefault="00FC6F4F" w:rsidP="00FC6F4F">
            <w:pPr>
              <w:pStyle w:val="ARtabletextright"/>
            </w:pPr>
            <w:r w:rsidRPr="002029AF">
              <w:t>77,777</w:t>
            </w:r>
          </w:p>
        </w:tc>
        <w:tc>
          <w:tcPr>
            <w:tcW w:w="964" w:type="dxa"/>
          </w:tcPr>
          <w:p w14:paraId="2FAA1014" w14:textId="77777777" w:rsidR="00FC6F4F" w:rsidRPr="002029AF" w:rsidRDefault="00FC6F4F" w:rsidP="00FC6F4F">
            <w:pPr>
              <w:pStyle w:val="ARtabletextright"/>
            </w:pPr>
            <w:r w:rsidRPr="002029AF">
              <w:t>$0.27</w:t>
            </w:r>
          </w:p>
        </w:tc>
      </w:tr>
      <w:tr w:rsidR="00FC6F4F" w:rsidRPr="002029AF" w14:paraId="15140058" w14:textId="77777777" w:rsidTr="00206595">
        <w:trPr>
          <w:cantSplit/>
          <w:trHeight w:val="379"/>
        </w:trPr>
        <w:tc>
          <w:tcPr>
            <w:tcW w:w="2835" w:type="dxa"/>
          </w:tcPr>
          <w:p w14:paraId="2F8B3A18" w14:textId="77777777" w:rsidR="00FC6F4F" w:rsidRPr="002029AF" w:rsidRDefault="00FC6F4F" w:rsidP="00FC6F4F">
            <w:pPr>
              <w:pStyle w:val="ARtabletext"/>
            </w:pPr>
            <w:r w:rsidRPr="002029AF">
              <w:t>Disability housing water use</w:t>
            </w:r>
          </w:p>
        </w:tc>
        <w:tc>
          <w:tcPr>
            <w:tcW w:w="1304" w:type="dxa"/>
          </w:tcPr>
          <w:p w14:paraId="0B406517" w14:textId="77777777" w:rsidR="00FC6F4F" w:rsidRPr="002029AF" w:rsidRDefault="00FC6F4F" w:rsidP="00FC6F4F">
            <w:pPr>
              <w:pStyle w:val="ARtabletextright"/>
            </w:pPr>
            <w:r>
              <w:t>38,676</w:t>
            </w:r>
          </w:p>
        </w:tc>
        <w:tc>
          <w:tcPr>
            <w:tcW w:w="964" w:type="dxa"/>
          </w:tcPr>
          <w:p w14:paraId="4072E9F0" w14:textId="77777777" w:rsidR="00FC6F4F" w:rsidRPr="002029AF" w:rsidRDefault="00FC6F4F" w:rsidP="00FC6F4F">
            <w:pPr>
              <w:pStyle w:val="ARtabletextright"/>
            </w:pPr>
            <w:r>
              <w:t>$0.16</w:t>
            </w:r>
          </w:p>
        </w:tc>
        <w:tc>
          <w:tcPr>
            <w:tcW w:w="1304" w:type="dxa"/>
          </w:tcPr>
          <w:p w14:paraId="13857A13" w14:textId="77777777" w:rsidR="00FC6F4F" w:rsidRPr="002029AF" w:rsidRDefault="00FC6F4F" w:rsidP="00FC6F4F">
            <w:pPr>
              <w:pStyle w:val="ARtabletextright"/>
            </w:pPr>
            <w:r>
              <w:t>47,577</w:t>
            </w:r>
          </w:p>
        </w:tc>
        <w:tc>
          <w:tcPr>
            <w:tcW w:w="964" w:type="dxa"/>
          </w:tcPr>
          <w:p w14:paraId="02A8F53C" w14:textId="77777777" w:rsidR="00FC6F4F" w:rsidRPr="002029AF" w:rsidRDefault="00FC6F4F" w:rsidP="00FC6F4F">
            <w:pPr>
              <w:pStyle w:val="ARtabletextright"/>
            </w:pPr>
            <w:r>
              <w:t>$0.21</w:t>
            </w:r>
          </w:p>
        </w:tc>
        <w:tc>
          <w:tcPr>
            <w:tcW w:w="1304" w:type="dxa"/>
          </w:tcPr>
          <w:p w14:paraId="26D4B978" w14:textId="77777777" w:rsidR="00FC6F4F" w:rsidRPr="002029AF" w:rsidRDefault="00FC6F4F" w:rsidP="00FC6F4F">
            <w:pPr>
              <w:pStyle w:val="ARtabletextright"/>
            </w:pPr>
            <w:r w:rsidRPr="002029AF">
              <w:t>50,268</w:t>
            </w:r>
          </w:p>
        </w:tc>
        <w:tc>
          <w:tcPr>
            <w:tcW w:w="964" w:type="dxa"/>
          </w:tcPr>
          <w:p w14:paraId="49DBECB0" w14:textId="77777777" w:rsidR="00FC6F4F" w:rsidRPr="002029AF" w:rsidRDefault="00FC6F4F" w:rsidP="00FC6F4F">
            <w:pPr>
              <w:pStyle w:val="ARtabletextright"/>
            </w:pPr>
            <w:r w:rsidRPr="002029AF">
              <w:t>$0.22</w:t>
            </w:r>
          </w:p>
        </w:tc>
      </w:tr>
      <w:tr w:rsidR="00FC6F4F" w:rsidRPr="002029AF" w14:paraId="7D578FCF" w14:textId="77777777" w:rsidTr="00206595">
        <w:trPr>
          <w:cantSplit/>
          <w:trHeight w:val="379"/>
        </w:trPr>
        <w:tc>
          <w:tcPr>
            <w:tcW w:w="2835" w:type="dxa"/>
          </w:tcPr>
          <w:p w14:paraId="3B5DF2BB" w14:textId="77777777" w:rsidR="00FC6F4F" w:rsidRPr="002029AF" w:rsidRDefault="00FC6F4F" w:rsidP="00FC6F4F">
            <w:pPr>
              <w:pStyle w:val="ARtabletext"/>
            </w:pPr>
            <w:r w:rsidRPr="002029AF">
              <w:t>Youth and family welfare water use</w:t>
            </w:r>
          </w:p>
        </w:tc>
        <w:tc>
          <w:tcPr>
            <w:tcW w:w="1304" w:type="dxa"/>
          </w:tcPr>
          <w:p w14:paraId="1E35C3B5" w14:textId="77777777" w:rsidR="00FC6F4F" w:rsidRPr="002029AF" w:rsidRDefault="00FC6F4F" w:rsidP="00FC6F4F">
            <w:pPr>
              <w:pStyle w:val="ARtabletextright"/>
            </w:pPr>
            <w:r>
              <w:t>2,389</w:t>
            </w:r>
          </w:p>
        </w:tc>
        <w:tc>
          <w:tcPr>
            <w:tcW w:w="964" w:type="dxa"/>
          </w:tcPr>
          <w:p w14:paraId="0FA1AD15" w14:textId="77777777" w:rsidR="00FC6F4F" w:rsidRPr="002029AF" w:rsidRDefault="00FC6F4F" w:rsidP="00FC6F4F">
            <w:pPr>
              <w:pStyle w:val="ARtabletextright"/>
            </w:pPr>
            <w:r w:rsidRPr="002029AF">
              <w:t>$0.01</w:t>
            </w:r>
          </w:p>
        </w:tc>
        <w:tc>
          <w:tcPr>
            <w:tcW w:w="1304" w:type="dxa"/>
          </w:tcPr>
          <w:p w14:paraId="4879A631" w14:textId="77777777" w:rsidR="00FC6F4F" w:rsidRPr="002029AF" w:rsidRDefault="00FC6F4F" w:rsidP="00FC6F4F">
            <w:pPr>
              <w:pStyle w:val="ARtabletextright"/>
            </w:pPr>
            <w:r>
              <w:t>3,504</w:t>
            </w:r>
          </w:p>
        </w:tc>
        <w:tc>
          <w:tcPr>
            <w:tcW w:w="964" w:type="dxa"/>
          </w:tcPr>
          <w:p w14:paraId="7DE97C0A" w14:textId="77777777" w:rsidR="00FC6F4F" w:rsidRPr="002029AF" w:rsidRDefault="00FC6F4F" w:rsidP="00FC6F4F">
            <w:pPr>
              <w:pStyle w:val="ARtabletextright"/>
            </w:pPr>
            <w:r>
              <w:t>$0.01</w:t>
            </w:r>
          </w:p>
        </w:tc>
        <w:tc>
          <w:tcPr>
            <w:tcW w:w="1304" w:type="dxa"/>
          </w:tcPr>
          <w:p w14:paraId="01488E76" w14:textId="77777777" w:rsidR="00FC6F4F" w:rsidRPr="002029AF" w:rsidRDefault="00FC6F4F" w:rsidP="00FC6F4F">
            <w:pPr>
              <w:pStyle w:val="ARtabletextright"/>
            </w:pPr>
            <w:r>
              <w:t>3,501</w:t>
            </w:r>
          </w:p>
        </w:tc>
        <w:tc>
          <w:tcPr>
            <w:tcW w:w="964" w:type="dxa"/>
          </w:tcPr>
          <w:p w14:paraId="578DFE09" w14:textId="77777777" w:rsidR="00FC6F4F" w:rsidRPr="002029AF" w:rsidRDefault="00FC6F4F" w:rsidP="00FC6F4F">
            <w:pPr>
              <w:pStyle w:val="ARtabletextright"/>
            </w:pPr>
            <w:r>
              <w:t>$0.01</w:t>
            </w:r>
          </w:p>
        </w:tc>
      </w:tr>
      <w:tr w:rsidR="00FC6F4F" w:rsidRPr="002029AF" w14:paraId="37756552" w14:textId="77777777" w:rsidTr="00206595">
        <w:trPr>
          <w:cantSplit/>
          <w:trHeight w:val="188"/>
        </w:trPr>
        <w:tc>
          <w:tcPr>
            <w:tcW w:w="2835" w:type="dxa"/>
          </w:tcPr>
          <w:p w14:paraId="2334FD20" w14:textId="77777777" w:rsidR="00FC6F4F" w:rsidRPr="002029AF" w:rsidRDefault="00FC6F4F" w:rsidP="00FC6F4F">
            <w:pPr>
              <w:pStyle w:val="ARtabletext"/>
              <w:rPr>
                <w:b/>
              </w:rPr>
            </w:pPr>
            <w:r w:rsidRPr="002029AF">
              <w:rPr>
                <w:b/>
              </w:rPr>
              <w:t xml:space="preserve">Total water usage and sewage </w:t>
            </w:r>
          </w:p>
        </w:tc>
        <w:tc>
          <w:tcPr>
            <w:tcW w:w="1304" w:type="dxa"/>
          </w:tcPr>
          <w:p w14:paraId="42DF7118" w14:textId="77777777" w:rsidR="00FC6F4F" w:rsidRPr="002029AF" w:rsidRDefault="00FC6F4F" w:rsidP="00FC6F4F">
            <w:pPr>
              <w:pStyle w:val="ARtabletextrightbold"/>
            </w:pPr>
            <w:r>
              <w:t>1,148,575</w:t>
            </w:r>
          </w:p>
        </w:tc>
        <w:tc>
          <w:tcPr>
            <w:tcW w:w="964" w:type="dxa"/>
          </w:tcPr>
          <w:p w14:paraId="11026F9A" w14:textId="77777777" w:rsidR="00FC6F4F" w:rsidRPr="002029AF" w:rsidRDefault="00FC6F4F" w:rsidP="00FC6F4F">
            <w:pPr>
              <w:pStyle w:val="ARtabletextrightbold"/>
            </w:pPr>
            <w:r>
              <w:t>$4.20</w:t>
            </w:r>
          </w:p>
        </w:tc>
        <w:tc>
          <w:tcPr>
            <w:tcW w:w="1304" w:type="dxa"/>
          </w:tcPr>
          <w:p w14:paraId="25801E2B" w14:textId="77777777" w:rsidR="00FC6F4F" w:rsidRPr="002029AF" w:rsidRDefault="00FC6F4F" w:rsidP="00FC6F4F">
            <w:pPr>
              <w:pStyle w:val="ARtabletextrightbold"/>
            </w:pPr>
            <w:r w:rsidRPr="002029AF">
              <w:t>1,260,238</w:t>
            </w:r>
          </w:p>
        </w:tc>
        <w:tc>
          <w:tcPr>
            <w:tcW w:w="964" w:type="dxa"/>
          </w:tcPr>
          <w:p w14:paraId="3F122C71" w14:textId="77777777" w:rsidR="00FC6F4F" w:rsidRPr="002029AF" w:rsidRDefault="00FC6F4F" w:rsidP="00FC6F4F">
            <w:pPr>
              <w:pStyle w:val="ARtabletextrightbold"/>
            </w:pPr>
            <w:r>
              <w:t>$4.59</w:t>
            </w:r>
          </w:p>
        </w:tc>
        <w:tc>
          <w:tcPr>
            <w:tcW w:w="1304" w:type="dxa"/>
          </w:tcPr>
          <w:p w14:paraId="373FB634" w14:textId="77777777" w:rsidR="00FC6F4F" w:rsidRPr="002029AF" w:rsidRDefault="00FC6F4F" w:rsidP="00FC6F4F">
            <w:pPr>
              <w:pStyle w:val="ARtabletextrightbold"/>
            </w:pPr>
            <w:r w:rsidRPr="002029AF">
              <w:t>1,270,998</w:t>
            </w:r>
          </w:p>
        </w:tc>
        <w:tc>
          <w:tcPr>
            <w:tcW w:w="964" w:type="dxa"/>
          </w:tcPr>
          <w:p w14:paraId="223DC9DA" w14:textId="77777777" w:rsidR="00FC6F4F" w:rsidRPr="002029AF" w:rsidRDefault="00FC6F4F" w:rsidP="00FC6F4F">
            <w:pPr>
              <w:pStyle w:val="ARtabletextrightbold"/>
            </w:pPr>
            <w:r w:rsidRPr="002029AF">
              <w:t>$4.58</w:t>
            </w:r>
          </w:p>
        </w:tc>
      </w:tr>
    </w:tbl>
    <w:p w14:paraId="2DBCCC50" w14:textId="77777777" w:rsidR="00FC6F4F" w:rsidRPr="002029AF" w:rsidRDefault="00FC6F4F" w:rsidP="00897193">
      <w:pPr>
        <w:pStyle w:val="ARtablefootnote"/>
        <w:rPr>
          <w:lang w:eastAsia="en-AU"/>
        </w:rPr>
      </w:pPr>
      <w:r w:rsidRPr="4760A802">
        <w:rPr>
          <w:lang w:eastAsia="en-AU"/>
        </w:rPr>
        <w:t>Housing services water data represents potable water use at 78 water-metered sites.</w:t>
      </w:r>
    </w:p>
    <w:p w14:paraId="3EF6E484" w14:textId="4B2A812F" w:rsidR="00FC6F4F" w:rsidRPr="002029AF" w:rsidRDefault="00FC6F4F" w:rsidP="005E6692">
      <w:pPr>
        <w:pStyle w:val="ARtablefootnote"/>
      </w:pPr>
      <w:r>
        <w:t xml:space="preserve">Housing services water data includes a </w:t>
      </w:r>
      <w:r w:rsidR="005C0464">
        <w:t>nine</w:t>
      </w:r>
      <w:r>
        <w:t xml:space="preserve"> per cent estimate in 2020–21 due to some data being unavailable from water authorities at the time of reporting.</w:t>
      </w:r>
    </w:p>
    <w:p w14:paraId="20A9726C" w14:textId="77777777" w:rsidR="00FC6F4F" w:rsidRPr="002029AF" w:rsidRDefault="00FC6F4F" w:rsidP="001C1AB1">
      <w:pPr>
        <w:pStyle w:val="Heading5"/>
      </w:pPr>
      <w:bookmarkStart w:id="652" w:name="_Toc85121324"/>
      <w:r w:rsidRPr="002029AF">
        <w:lastRenderedPageBreak/>
        <w:t>Public health services</w:t>
      </w:r>
      <w:bookmarkEnd w:id="652"/>
    </w:p>
    <w:tbl>
      <w:tblPr>
        <w:tblStyle w:val="TableGrid"/>
        <w:tblW w:w="9639" w:type="dxa"/>
        <w:tblLook w:val="06A0" w:firstRow="1" w:lastRow="0" w:firstColumn="1" w:lastColumn="0" w:noHBand="1" w:noVBand="1"/>
      </w:tblPr>
      <w:tblGrid>
        <w:gridCol w:w="3978"/>
        <w:gridCol w:w="1887"/>
        <w:gridCol w:w="1887"/>
        <w:gridCol w:w="1887"/>
      </w:tblGrid>
      <w:tr w:rsidR="00FC6F4F" w:rsidRPr="002029AF" w14:paraId="6DBF5325" w14:textId="77777777" w:rsidTr="00FC6F4F">
        <w:trPr>
          <w:cnfStyle w:val="100000000000" w:firstRow="1" w:lastRow="0" w:firstColumn="0" w:lastColumn="0" w:oddVBand="0" w:evenVBand="0" w:oddHBand="0" w:evenHBand="0" w:firstRowFirstColumn="0" w:firstRowLastColumn="0" w:lastRowFirstColumn="0" w:lastRowLastColumn="0"/>
          <w:tblHeader/>
        </w:trPr>
        <w:tc>
          <w:tcPr>
            <w:tcW w:w="3978" w:type="dxa"/>
            <w:hideMark/>
          </w:tcPr>
          <w:p w14:paraId="1F97643D" w14:textId="77777777" w:rsidR="00FC6F4F" w:rsidRPr="002029AF" w:rsidRDefault="00FC6F4F" w:rsidP="00FC6F4F">
            <w:pPr>
              <w:pStyle w:val="ARtablecolhead"/>
            </w:pPr>
            <w:r w:rsidRPr="002029AF">
              <w:t>Description</w:t>
            </w:r>
          </w:p>
        </w:tc>
        <w:tc>
          <w:tcPr>
            <w:tcW w:w="1887" w:type="dxa"/>
            <w:vAlign w:val="center"/>
          </w:tcPr>
          <w:p w14:paraId="0DED4B2F" w14:textId="77777777" w:rsidR="00FC6F4F" w:rsidRPr="002029AF" w:rsidRDefault="00FC6F4F" w:rsidP="00FC6F4F">
            <w:pPr>
              <w:pStyle w:val="ARtablecolheadright"/>
            </w:pPr>
            <w:r w:rsidRPr="002029AF">
              <w:rPr>
                <w:color w:val="000000"/>
              </w:rPr>
              <w:t>20</w:t>
            </w:r>
            <w:r>
              <w:rPr>
                <w:color w:val="000000"/>
              </w:rPr>
              <w:t>20</w:t>
            </w:r>
            <w:r w:rsidRPr="002029AF">
              <w:rPr>
                <w:color w:val="000000"/>
              </w:rPr>
              <w:t>–2</w:t>
            </w:r>
            <w:r>
              <w:rPr>
                <w:color w:val="000000"/>
              </w:rPr>
              <w:t>1</w:t>
            </w:r>
            <w:r w:rsidRPr="002029AF">
              <w:rPr>
                <w:color w:val="000000"/>
              </w:rPr>
              <w:t xml:space="preserve"> estimate</w:t>
            </w:r>
          </w:p>
        </w:tc>
        <w:tc>
          <w:tcPr>
            <w:tcW w:w="1887" w:type="dxa"/>
            <w:vAlign w:val="center"/>
          </w:tcPr>
          <w:p w14:paraId="636A0770" w14:textId="77777777" w:rsidR="00FC6F4F" w:rsidRPr="002029AF" w:rsidRDefault="00FC6F4F" w:rsidP="00FC6F4F">
            <w:pPr>
              <w:pStyle w:val="ARtablecolheadright"/>
              <w:rPr>
                <w:color w:val="000000"/>
              </w:rPr>
            </w:pPr>
            <w:r w:rsidRPr="002029AF">
              <w:rPr>
                <w:color w:val="000000"/>
              </w:rPr>
              <w:t>2019–20 estimate</w:t>
            </w:r>
          </w:p>
        </w:tc>
        <w:tc>
          <w:tcPr>
            <w:tcW w:w="1887" w:type="dxa"/>
            <w:vAlign w:val="center"/>
          </w:tcPr>
          <w:p w14:paraId="75AC4AD2" w14:textId="77777777" w:rsidR="00FC6F4F" w:rsidRPr="002029AF" w:rsidRDefault="00FC6F4F" w:rsidP="00FC6F4F">
            <w:pPr>
              <w:pStyle w:val="ARtablecolheadright"/>
              <w:rPr>
                <w:color w:val="000000"/>
              </w:rPr>
            </w:pPr>
            <w:r w:rsidRPr="002029AF">
              <w:rPr>
                <w:color w:val="000000"/>
              </w:rPr>
              <w:t>2018–19 estimate</w:t>
            </w:r>
          </w:p>
        </w:tc>
      </w:tr>
      <w:tr w:rsidR="00FC6F4F" w:rsidRPr="002029AF" w14:paraId="5062CE65" w14:textId="77777777" w:rsidTr="00FC6F4F">
        <w:tc>
          <w:tcPr>
            <w:tcW w:w="3978" w:type="dxa"/>
            <w:hideMark/>
          </w:tcPr>
          <w:p w14:paraId="5FE5B231" w14:textId="77777777" w:rsidR="00FC6F4F" w:rsidRPr="002029AF" w:rsidRDefault="00FC6F4F" w:rsidP="00FC6F4F">
            <w:pPr>
              <w:pStyle w:val="ARtabletext"/>
            </w:pPr>
            <w:r w:rsidRPr="002029AF">
              <w:t>Total water used (megalitres)</w:t>
            </w:r>
          </w:p>
        </w:tc>
        <w:tc>
          <w:tcPr>
            <w:tcW w:w="1887" w:type="dxa"/>
            <w:vAlign w:val="center"/>
          </w:tcPr>
          <w:p w14:paraId="09F1F678" w14:textId="77777777" w:rsidR="00FC6F4F" w:rsidRPr="002029AF" w:rsidRDefault="00FC6F4F" w:rsidP="00FC6F4F">
            <w:pPr>
              <w:pStyle w:val="ARtabletextright"/>
            </w:pPr>
            <w:r w:rsidRPr="002029AF">
              <w:t>4,</w:t>
            </w:r>
            <w:r>
              <w:t>499</w:t>
            </w:r>
          </w:p>
        </w:tc>
        <w:tc>
          <w:tcPr>
            <w:tcW w:w="1887" w:type="dxa"/>
            <w:vAlign w:val="center"/>
          </w:tcPr>
          <w:p w14:paraId="228905F4" w14:textId="77777777" w:rsidR="00FC6F4F" w:rsidRPr="002029AF" w:rsidRDefault="00FC6F4F" w:rsidP="00FC6F4F">
            <w:pPr>
              <w:pStyle w:val="ARtabletextright"/>
            </w:pPr>
            <w:r w:rsidRPr="002029AF">
              <w:t>4,</w:t>
            </w:r>
            <w:r>
              <w:t>485</w:t>
            </w:r>
          </w:p>
        </w:tc>
        <w:tc>
          <w:tcPr>
            <w:tcW w:w="1887" w:type="dxa"/>
            <w:vAlign w:val="center"/>
          </w:tcPr>
          <w:p w14:paraId="7DB6297E" w14:textId="77777777" w:rsidR="00FC6F4F" w:rsidRPr="002029AF" w:rsidRDefault="00FC6F4F" w:rsidP="00FC6F4F">
            <w:pPr>
              <w:pStyle w:val="ARtabletextright"/>
            </w:pPr>
            <w:r w:rsidRPr="002029AF">
              <w:t>4,</w:t>
            </w:r>
            <w:r>
              <w:t>631</w:t>
            </w:r>
          </w:p>
        </w:tc>
      </w:tr>
      <w:tr w:rsidR="00FC6F4F" w:rsidRPr="002029AF" w14:paraId="743424DB" w14:textId="77777777" w:rsidTr="00FC6F4F">
        <w:tc>
          <w:tcPr>
            <w:tcW w:w="3978" w:type="dxa"/>
            <w:hideMark/>
          </w:tcPr>
          <w:p w14:paraId="7994C9D6" w14:textId="77777777" w:rsidR="00FC6F4F" w:rsidRPr="002029AF" w:rsidRDefault="00FC6F4F" w:rsidP="00FC6F4F">
            <w:pPr>
              <w:pStyle w:val="ARtabletext"/>
            </w:pPr>
            <w:r w:rsidRPr="002029AF">
              <w:t>Total water usage charge ($ million)</w:t>
            </w:r>
          </w:p>
        </w:tc>
        <w:tc>
          <w:tcPr>
            <w:tcW w:w="1887" w:type="dxa"/>
            <w:vAlign w:val="center"/>
          </w:tcPr>
          <w:p w14:paraId="5C100C14" w14:textId="77777777" w:rsidR="00FC6F4F" w:rsidRPr="002029AF" w:rsidRDefault="00FC6F4F" w:rsidP="00FC6F4F">
            <w:pPr>
              <w:pStyle w:val="ARtabletextright"/>
            </w:pPr>
            <w:r w:rsidRPr="002029AF">
              <w:t>$1</w:t>
            </w:r>
            <w:r>
              <w:t>8</w:t>
            </w:r>
            <w:r w:rsidRPr="002029AF">
              <w:t>.</w:t>
            </w:r>
            <w:r>
              <w:t>63</w:t>
            </w:r>
          </w:p>
        </w:tc>
        <w:tc>
          <w:tcPr>
            <w:tcW w:w="1887" w:type="dxa"/>
            <w:vAlign w:val="center"/>
          </w:tcPr>
          <w:p w14:paraId="6EAC467C" w14:textId="77777777" w:rsidR="00FC6F4F" w:rsidRPr="002029AF" w:rsidRDefault="00FC6F4F" w:rsidP="00FC6F4F">
            <w:pPr>
              <w:pStyle w:val="ARtabletextright"/>
            </w:pPr>
            <w:r w:rsidRPr="002029AF">
              <w:t>$1</w:t>
            </w:r>
            <w:r>
              <w:t>8</w:t>
            </w:r>
            <w:r w:rsidRPr="002029AF">
              <w:t>.</w:t>
            </w:r>
            <w:r>
              <w:t>72</w:t>
            </w:r>
          </w:p>
        </w:tc>
        <w:tc>
          <w:tcPr>
            <w:tcW w:w="1887" w:type="dxa"/>
            <w:vAlign w:val="center"/>
          </w:tcPr>
          <w:p w14:paraId="6219007A" w14:textId="77777777" w:rsidR="00FC6F4F" w:rsidRPr="002029AF" w:rsidRDefault="00FC6F4F" w:rsidP="00FC6F4F">
            <w:pPr>
              <w:pStyle w:val="ARtabletextright"/>
            </w:pPr>
            <w:r w:rsidRPr="002029AF">
              <w:t>$18.</w:t>
            </w:r>
            <w:r>
              <w:t>89</w:t>
            </w:r>
          </w:p>
        </w:tc>
      </w:tr>
      <w:tr w:rsidR="00FC6F4F" w:rsidRPr="002029AF" w14:paraId="108DBA01" w14:textId="77777777" w:rsidTr="00FC6F4F">
        <w:tc>
          <w:tcPr>
            <w:tcW w:w="3978" w:type="dxa"/>
            <w:hideMark/>
          </w:tcPr>
          <w:p w14:paraId="0F76CBEA" w14:textId="77777777" w:rsidR="00FC6F4F" w:rsidRPr="002029AF" w:rsidRDefault="00FC6F4F" w:rsidP="00FC6F4F">
            <w:pPr>
              <w:pStyle w:val="ARtabletext"/>
            </w:pPr>
            <w:r w:rsidRPr="002029AF">
              <w:t>Water used per separation (kilolitres/separation)</w:t>
            </w:r>
          </w:p>
        </w:tc>
        <w:tc>
          <w:tcPr>
            <w:tcW w:w="1887" w:type="dxa"/>
            <w:vAlign w:val="center"/>
          </w:tcPr>
          <w:p w14:paraId="5B798847" w14:textId="77777777" w:rsidR="00FC6F4F" w:rsidRPr="002029AF" w:rsidRDefault="00FC6F4F" w:rsidP="00FC6F4F">
            <w:pPr>
              <w:pStyle w:val="ARtabletextright"/>
            </w:pPr>
            <w:r w:rsidRPr="002029AF">
              <w:t>2.</w:t>
            </w:r>
            <w:r>
              <w:t>39</w:t>
            </w:r>
          </w:p>
        </w:tc>
        <w:tc>
          <w:tcPr>
            <w:tcW w:w="1887" w:type="dxa"/>
            <w:vAlign w:val="center"/>
          </w:tcPr>
          <w:p w14:paraId="606DF571" w14:textId="77777777" w:rsidR="00FC6F4F" w:rsidRPr="002029AF" w:rsidRDefault="00FC6F4F" w:rsidP="00FC6F4F">
            <w:pPr>
              <w:pStyle w:val="ARtabletextright"/>
            </w:pPr>
            <w:r w:rsidRPr="002029AF">
              <w:t>2.4</w:t>
            </w:r>
            <w:r>
              <w:t>1</w:t>
            </w:r>
          </w:p>
        </w:tc>
        <w:tc>
          <w:tcPr>
            <w:tcW w:w="1887" w:type="dxa"/>
            <w:vAlign w:val="center"/>
          </w:tcPr>
          <w:p w14:paraId="756DCE3C" w14:textId="77777777" w:rsidR="00FC6F4F" w:rsidRPr="002029AF" w:rsidRDefault="00FC6F4F" w:rsidP="00FC6F4F">
            <w:pPr>
              <w:pStyle w:val="ARtabletextright"/>
            </w:pPr>
            <w:r w:rsidRPr="002029AF">
              <w:t>2.3</w:t>
            </w:r>
            <w:r>
              <w:t>8</w:t>
            </w:r>
          </w:p>
        </w:tc>
      </w:tr>
      <w:tr w:rsidR="00FC6F4F" w:rsidRPr="002029AF" w14:paraId="4DBC8878" w14:textId="77777777" w:rsidTr="00FC6F4F">
        <w:tc>
          <w:tcPr>
            <w:tcW w:w="3978" w:type="dxa"/>
            <w:hideMark/>
          </w:tcPr>
          <w:p w14:paraId="2825628D" w14:textId="77777777" w:rsidR="00FC6F4F" w:rsidRPr="002029AF" w:rsidRDefault="00FC6F4F" w:rsidP="00FC6F4F">
            <w:pPr>
              <w:pStyle w:val="ARtabletext"/>
            </w:pPr>
            <w:r w:rsidRPr="002029AF">
              <w:t>Water used per bed day (kilolitres/bed day)</w:t>
            </w:r>
          </w:p>
        </w:tc>
        <w:tc>
          <w:tcPr>
            <w:tcW w:w="1887" w:type="dxa"/>
            <w:vAlign w:val="center"/>
          </w:tcPr>
          <w:p w14:paraId="3D4278D0" w14:textId="77777777" w:rsidR="00FC6F4F" w:rsidRPr="002029AF" w:rsidRDefault="00FC6F4F" w:rsidP="00FC6F4F">
            <w:pPr>
              <w:pStyle w:val="ARtabletextright"/>
            </w:pPr>
            <w:r w:rsidRPr="002029AF">
              <w:t>0.6</w:t>
            </w:r>
            <w:r>
              <w:t>6</w:t>
            </w:r>
          </w:p>
        </w:tc>
        <w:tc>
          <w:tcPr>
            <w:tcW w:w="1887" w:type="dxa"/>
            <w:vAlign w:val="center"/>
          </w:tcPr>
          <w:p w14:paraId="3A21A93E" w14:textId="77777777" w:rsidR="00FC6F4F" w:rsidRPr="002029AF" w:rsidRDefault="00FC6F4F" w:rsidP="00FC6F4F">
            <w:pPr>
              <w:pStyle w:val="ARtabletextright"/>
            </w:pPr>
            <w:r w:rsidRPr="002029AF">
              <w:t>0.65</w:t>
            </w:r>
          </w:p>
        </w:tc>
        <w:tc>
          <w:tcPr>
            <w:tcW w:w="1887" w:type="dxa"/>
            <w:vAlign w:val="center"/>
          </w:tcPr>
          <w:p w14:paraId="386675A8" w14:textId="77777777" w:rsidR="00FC6F4F" w:rsidRPr="002029AF" w:rsidRDefault="00FC6F4F" w:rsidP="00FC6F4F">
            <w:pPr>
              <w:pStyle w:val="ARtabletextright"/>
            </w:pPr>
            <w:r w:rsidRPr="002029AF">
              <w:t>0.6</w:t>
            </w:r>
            <w:r>
              <w:t>5</w:t>
            </w:r>
          </w:p>
        </w:tc>
      </w:tr>
      <w:tr w:rsidR="00FC6F4F" w:rsidRPr="002029AF" w14:paraId="047199B6" w14:textId="77777777" w:rsidTr="00FC6F4F">
        <w:tc>
          <w:tcPr>
            <w:tcW w:w="3978" w:type="dxa"/>
            <w:hideMark/>
          </w:tcPr>
          <w:p w14:paraId="54CC46A6" w14:textId="77777777" w:rsidR="00FC6F4F" w:rsidRPr="002029AF" w:rsidRDefault="00FC6F4F" w:rsidP="00FC6F4F">
            <w:pPr>
              <w:pStyle w:val="ARtabletext"/>
            </w:pPr>
            <w:r w:rsidRPr="002029AF">
              <w:t>Water used per unit of floor space (kilolitres/m</w:t>
            </w:r>
            <w:r w:rsidRPr="002029AF">
              <w:rPr>
                <w:vertAlign w:val="superscript"/>
              </w:rPr>
              <w:t>2</w:t>
            </w:r>
            <w:r w:rsidRPr="002029AF">
              <w:t>)</w:t>
            </w:r>
          </w:p>
        </w:tc>
        <w:tc>
          <w:tcPr>
            <w:tcW w:w="1887" w:type="dxa"/>
            <w:vAlign w:val="center"/>
          </w:tcPr>
          <w:p w14:paraId="3BBF2D17" w14:textId="77777777" w:rsidR="00FC6F4F" w:rsidRPr="002029AF" w:rsidRDefault="00FC6F4F" w:rsidP="00FC6F4F">
            <w:pPr>
              <w:pStyle w:val="ARtabletextright"/>
            </w:pPr>
            <w:r w:rsidRPr="002029AF">
              <w:t>1.2</w:t>
            </w:r>
            <w:r>
              <w:t>5</w:t>
            </w:r>
          </w:p>
        </w:tc>
        <w:tc>
          <w:tcPr>
            <w:tcW w:w="1887" w:type="dxa"/>
            <w:vAlign w:val="center"/>
          </w:tcPr>
          <w:p w14:paraId="30319C94" w14:textId="77777777" w:rsidR="00FC6F4F" w:rsidRPr="002029AF" w:rsidRDefault="00FC6F4F" w:rsidP="00FC6F4F">
            <w:pPr>
              <w:pStyle w:val="ARtabletextright"/>
            </w:pPr>
            <w:r w:rsidRPr="002029AF">
              <w:t>1.2</w:t>
            </w:r>
            <w:r>
              <w:t>5</w:t>
            </w:r>
          </w:p>
        </w:tc>
        <w:tc>
          <w:tcPr>
            <w:tcW w:w="1887" w:type="dxa"/>
            <w:vAlign w:val="center"/>
          </w:tcPr>
          <w:p w14:paraId="7A50AFB5" w14:textId="77777777" w:rsidR="00FC6F4F" w:rsidRPr="002029AF" w:rsidRDefault="00FC6F4F" w:rsidP="00FC6F4F">
            <w:pPr>
              <w:pStyle w:val="ARtabletextright"/>
            </w:pPr>
            <w:r w:rsidRPr="002029AF">
              <w:t>1.2</w:t>
            </w:r>
            <w:r>
              <w:t>8</w:t>
            </w:r>
          </w:p>
        </w:tc>
      </w:tr>
    </w:tbl>
    <w:p w14:paraId="15227E69" w14:textId="77777777" w:rsidR="00FC6F4F" w:rsidRPr="002029AF" w:rsidRDefault="00FC6F4F" w:rsidP="00897193">
      <w:pPr>
        <w:pStyle w:val="ARtablefootnote"/>
      </w:pPr>
      <w:r w:rsidRPr="002029AF">
        <w:t>Public health services are GST-exempt organisations. Reported cost data for public health services is exclusive of GST.</w:t>
      </w:r>
    </w:p>
    <w:p w14:paraId="67584AD3" w14:textId="38AABF12" w:rsidR="00FC6F4F" w:rsidRPr="002029AF" w:rsidRDefault="00FC6F4F" w:rsidP="00897193">
      <w:pPr>
        <w:pStyle w:val="ARtablefootnote"/>
      </w:pPr>
      <w:r w:rsidRPr="002029AF">
        <w:t xml:space="preserve">Public health services water data includes an </w:t>
      </w:r>
      <w:r w:rsidR="005C0464">
        <w:t>eight</w:t>
      </w:r>
      <w:r w:rsidRPr="002029AF">
        <w:t xml:space="preserve"> per cent estimate in 20</w:t>
      </w:r>
      <w:r>
        <w:t>20</w:t>
      </w:r>
      <w:r w:rsidRPr="002029AF">
        <w:t>–2</w:t>
      </w:r>
      <w:r>
        <w:t>1</w:t>
      </w:r>
      <w:r w:rsidRPr="002029AF">
        <w:t xml:space="preserve"> due to some data being unavailable from water authorities at the time of reporting.</w:t>
      </w:r>
    </w:p>
    <w:p w14:paraId="413B61D6" w14:textId="77777777" w:rsidR="00FC6F4F" w:rsidRPr="002029AF" w:rsidRDefault="00FC6F4F" w:rsidP="001C1AB1">
      <w:pPr>
        <w:pStyle w:val="Heading4"/>
      </w:pPr>
      <w:bookmarkStart w:id="653" w:name="_Toc51786526"/>
      <w:bookmarkStart w:id="654" w:name="_Toc85121325"/>
      <w:r w:rsidRPr="002029AF">
        <w:t>Waste production</w:t>
      </w:r>
      <w:bookmarkEnd w:id="653"/>
      <w:bookmarkEnd w:id="654"/>
    </w:p>
    <w:p w14:paraId="1E2518C6" w14:textId="0970DB9A" w:rsidR="00FC6F4F" w:rsidRPr="002029AF" w:rsidRDefault="00FC6F4F" w:rsidP="001C1AB1">
      <w:pPr>
        <w:pStyle w:val="Heading5"/>
      </w:pPr>
      <w:bookmarkStart w:id="655" w:name="_Toc85121326"/>
      <w:r w:rsidRPr="002029AF">
        <w:t>Office</w:t>
      </w:r>
      <w:r w:rsidR="005C0464">
        <w:t>-</w:t>
      </w:r>
      <w:r w:rsidRPr="002029AF">
        <w:t>based</w:t>
      </w:r>
      <w:bookmarkEnd w:id="655"/>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6A0" w:firstRow="1" w:lastRow="0" w:firstColumn="1" w:lastColumn="0" w:noHBand="1" w:noVBand="1"/>
      </w:tblPr>
      <w:tblGrid>
        <w:gridCol w:w="2835"/>
        <w:gridCol w:w="2268"/>
        <w:gridCol w:w="2268"/>
        <w:gridCol w:w="2268"/>
      </w:tblGrid>
      <w:tr w:rsidR="00FC6F4F" w:rsidRPr="002029AF" w14:paraId="4D8CCDB0" w14:textId="77777777" w:rsidTr="00FC6F4F">
        <w:trPr>
          <w:cantSplit/>
          <w:trHeight w:val="285"/>
          <w:tblHeader/>
        </w:trPr>
        <w:tc>
          <w:tcPr>
            <w:tcW w:w="2835" w:type="dxa"/>
            <w:vAlign w:val="bottom"/>
          </w:tcPr>
          <w:p w14:paraId="10342917" w14:textId="77777777" w:rsidR="00FC6F4F" w:rsidRPr="002029AF" w:rsidRDefault="00FC6F4F" w:rsidP="00FC6F4F">
            <w:pPr>
              <w:pStyle w:val="ARtablecolhead"/>
            </w:pPr>
            <w:r w:rsidRPr="002029AF">
              <w:t>Description</w:t>
            </w:r>
          </w:p>
        </w:tc>
        <w:tc>
          <w:tcPr>
            <w:tcW w:w="2268" w:type="dxa"/>
            <w:vAlign w:val="center"/>
          </w:tcPr>
          <w:p w14:paraId="3C1923EF" w14:textId="77777777" w:rsidR="00FC6F4F" w:rsidRPr="002029AF" w:rsidRDefault="00FC6F4F" w:rsidP="00FC6F4F">
            <w:pPr>
              <w:pStyle w:val="ARtablecolheadright"/>
            </w:pPr>
            <w:r w:rsidRPr="002029AF">
              <w:rPr>
                <w:color w:val="000000"/>
              </w:rPr>
              <w:t>20</w:t>
            </w:r>
            <w:r>
              <w:rPr>
                <w:color w:val="000000"/>
              </w:rPr>
              <w:t>20</w:t>
            </w:r>
            <w:r w:rsidRPr="002029AF">
              <w:rPr>
                <w:color w:val="000000"/>
              </w:rPr>
              <w:t>–2</w:t>
            </w:r>
            <w:r>
              <w:rPr>
                <w:color w:val="000000"/>
              </w:rPr>
              <w:t>1</w:t>
            </w:r>
            <w:r w:rsidRPr="002029AF">
              <w:rPr>
                <w:color w:val="000000"/>
              </w:rPr>
              <w:t xml:space="preserve"> estimate</w:t>
            </w:r>
          </w:p>
        </w:tc>
        <w:tc>
          <w:tcPr>
            <w:tcW w:w="2268" w:type="dxa"/>
            <w:vAlign w:val="center"/>
          </w:tcPr>
          <w:p w14:paraId="2B8453BA" w14:textId="77777777" w:rsidR="00FC6F4F" w:rsidRPr="002029AF" w:rsidRDefault="00FC6F4F" w:rsidP="00FC6F4F">
            <w:pPr>
              <w:pStyle w:val="ARtablecolheadright"/>
              <w:rPr>
                <w:color w:val="000000"/>
              </w:rPr>
            </w:pPr>
            <w:r w:rsidRPr="002029AF">
              <w:rPr>
                <w:color w:val="000000"/>
              </w:rPr>
              <w:t>2019–20 estimate</w:t>
            </w:r>
          </w:p>
        </w:tc>
        <w:tc>
          <w:tcPr>
            <w:tcW w:w="2268" w:type="dxa"/>
            <w:vAlign w:val="center"/>
          </w:tcPr>
          <w:p w14:paraId="0E8CE07D" w14:textId="77777777" w:rsidR="00FC6F4F" w:rsidRPr="002029AF" w:rsidRDefault="00FC6F4F" w:rsidP="00FC6F4F">
            <w:pPr>
              <w:pStyle w:val="ARtablecolheadright"/>
              <w:rPr>
                <w:color w:val="000000"/>
              </w:rPr>
            </w:pPr>
            <w:r w:rsidRPr="002029AF">
              <w:rPr>
                <w:color w:val="000000"/>
              </w:rPr>
              <w:t>2018–19 estimate</w:t>
            </w:r>
          </w:p>
        </w:tc>
      </w:tr>
      <w:tr w:rsidR="00FC6F4F" w:rsidRPr="002029AF" w14:paraId="4B8C02A7" w14:textId="77777777" w:rsidTr="00FC6F4F">
        <w:trPr>
          <w:cantSplit/>
          <w:trHeight w:val="285"/>
          <w:tblHeader/>
        </w:trPr>
        <w:tc>
          <w:tcPr>
            <w:tcW w:w="2835" w:type="dxa"/>
            <w:vAlign w:val="bottom"/>
          </w:tcPr>
          <w:p w14:paraId="2DBBAE35" w14:textId="671B3286" w:rsidR="00FC6F4F" w:rsidRPr="002029AF" w:rsidRDefault="00FC6F4F" w:rsidP="00FC6F4F">
            <w:pPr>
              <w:pStyle w:val="ARtablecolhead"/>
            </w:pPr>
            <w:r w:rsidRPr="002029AF">
              <w:t>Total units of waste disposed of by destination</w:t>
            </w:r>
          </w:p>
        </w:tc>
        <w:tc>
          <w:tcPr>
            <w:tcW w:w="2268" w:type="dxa"/>
            <w:vAlign w:val="bottom"/>
          </w:tcPr>
          <w:p w14:paraId="1416F5DB" w14:textId="77777777" w:rsidR="00FC6F4F" w:rsidRPr="002029AF" w:rsidRDefault="00FC6F4F" w:rsidP="00FC6F4F">
            <w:pPr>
              <w:pStyle w:val="ARtablecolheadright"/>
            </w:pPr>
            <w:r w:rsidRPr="002029AF">
              <w:t>Kilograms/year</w:t>
            </w:r>
          </w:p>
        </w:tc>
        <w:tc>
          <w:tcPr>
            <w:tcW w:w="2268" w:type="dxa"/>
            <w:vAlign w:val="bottom"/>
          </w:tcPr>
          <w:p w14:paraId="4FE29ACA" w14:textId="77777777" w:rsidR="00FC6F4F" w:rsidRPr="002029AF" w:rsidRDefault="00FC6F4F" w:rsidP="00FC6F4F">
            <w:pPr>
              <w:pStyle w:val="ARtablecolheadright"/>
            </w:pPr>
            <w:r w:rsidRPr="002029AF">
              <w:t>Kilograms/year</w:t>
            </w:r>
          </w:p>
        </w:tc>
        <w:tc>
          <w:tcPr>
            <w:tcW w:w="2268" w:type="dxa"/>
            <w:vAlign w:val="bottom"/>
          </w:tcPr>
          <w:p w14:paraId="4359151E" w14:textId="77777777" w:rsidR="00FC6F4F" w:rsidRPr="002029AF" w:rsidRDefault="00FC6F4F" w:rsidP="00FC6F4F">
            <w:pPr>
              <w:pStyle w:val="ARtablecolheadright"/>
            </w:pPr>
            <w:r w:rsidRPr="002029AF">
              <w:t>Kilograms/year</w:t>
            </w:r>
          </w:p>
        </w:tc>
      </w:tr>
      <w:tr w:rsidR="00FC6F4F" w:rsidRPr="002029AF" w14:paraId="7C580ED7" w14:textId="77777777" w:rsidTr="00FC6F4F">
        <w:trPr>
          <w:cantSplit/>
          <w:trHeight w:val="285"/>
        </w:trPr>
        <w:tc>
          <w:tcPr>
            <w:tcW w:w="2835" w:type="dxa"/>
          </w:tcPr>
          <w:p w14:paraId="554EA9F1" w14:textId="77777777" w:rsidR="00FC6F4F" w:rsidRPr="002029AF" w:rsidRDefault="00FC6F4F" w:rsidP="00FC6F4F">
            <w:pPr>
              <w:pStyle w:val="ARtabletext"/>
            </w:pPr>
            <w:r w:rsidRPr="002029AF">
              <w:t>Landfill</w:t>
            </w:r>
          </w:p>
        </w:tc>
        <w:tc>
          <w:tcPr>
            <w:tcW w:w="2268" w:type="dxa"/>
            <w:vAlign w:val="center"/>
          </w:tcPr>
          <w:p w14:paraId="45DA6442" w14:textId="77777777" w:rsidR="00FC6F4F" w:rsidRPr="002029AF" w:rsidRDefault="00FC6F4F" w:rsidP="00FC6F4F">
            <w:pPr>
              <w:pStyle w:val="ARtabletextright"/>
            </w:pPr>
            <w:r w:rsidRPr="002029AF">
              <w:t>N/A</w:t>
            </w:r>
          </w:p>
        </w:tc>
        <w:tc>
          <w:tcPr>
            <w:tcW w:w="2268" w:type="dxa"/>
            <w:vAlign w:val="center"/>
          </w:tcPr>
          <w:p w14:paraId="66450C6B" w14:textId="77777777" w:rsidR="00FC6F4F" w:rsidRPr="002029AF" w:rsidRDefault="00FC6F4F" w:rsidP="00FC6F4F">
            <w:pPr>
              <w:pStyle w:val="ARtabletextright"/>
            </w:pPr>
            <w:r w:rsidRPr="002029AF">
              <w:t>N/A</w:t>
            </w:r>
          </w:p>
        </w:tc>
        <w:tc>
          <w:tcPr>
            <w:tcW w:w="2268" w:type="dxa"/>
            <w:vAlign w:val="center"/>
          </w:tcPr>
          <w:p w14:paraId="01FA59EA" w14:textId="77777777" w:rsidR="00FC6F4F" w:rsidRPr="002029AF" w:rsidRDefault="00FC6F4F" w:rsidP="00FC6F4F">
            <w:pPr>
              <w:pStyle w:val="ARtabletextright"/>
            </w:pPr>
            <w:r w:rsidRPr="002029AF">
              <w:t>208,888</w:t>
            </w:r>
          </w:p>
        </w:tc>
      </w:tr>
      <w:tr w:rsidR="00FC6F4F" w:rsidRPr="002029AF" w14:paraId="4B01FE8A" w14:textId="77777777" w:rsidTr="00FC6F4F">
        <w:trPr>
          <w:cantSplit/>
          <w:trHeight w:val="285"/>
          <w:tblHeader/>
        </w:trPr>
        <w:tc>
          <w:tcPr>
            <w:tcW w:w="2835" w:type="dxa"/>
          </w:tcPr>
          <w:p w14:paraId="593E4E16" w14:textId="77777777" w:rsidR="00FC6F4F" w:rsidRPr="002029AF" w:rsidRDefault="00FC6F4F" w:rsidP="00FC6F4F">
            <w:pPr>
              <w:pStyle w:val="ARtabletext"/>
            </w:pPr>
            <w:r w:rsidRPr="002029AF">
              <w:t>Recycling</w:t>
            </w:r>
          </w:p>
        </w:tc>
        <w:tc>
          <w:tcPr>
            <w:tcW w:w="2268" w:type="dxa"/>
            <w:vAlign w:val="center"/>
          </w:tcPr>
          <w:p w14:paraId="464675D6" w14:textId="77777777" w:rsidR="00FC6F4F" w:rsidRPr="002029AF" w:rsidRDefault="00FC6F4F" w:rsidP="00FC6F4F">
            <w:pPr>
              <w:pStyle w:val="ARtabletextright"/>
            </w:pPr>
            <w:r w:rsidRPr="002029AF">
              <w:t>N/A</w:t>
            </w:r>
          </w:p>
        </w:tc>
        <w:tc>
          <w:tcPr>
            <w:tcW w:w="2268" w:type="dxa"/>
            <w:vAlign w:val="center"/>
          </w:tcPr>
          <w:p w14:paraId="18237666" w14:textId="77777777" w:rsidR="00FC6F4F" w:rsidRPr="002029AF" w:rsidRDefault="00FC6F4F" w:rsidP="00FC6F4F">
            <w:pPr>
              <w:pStyle w:val="ARtabletextright"/>
            </w:pPr>
            <w:r w:rsidRPr="002029AF">
              <w:t>N/A</w:t>
            </w:r>
          </w:p>
        </w:tc>
        <w:tc>
          <w:tcPr>
            <w:tcW w:w="2268" w:type="dxa"/>
            <w:vAlign w:val="center"/>
          </w:tcPr>
          <w:p w14:paraId="2381F0DC" w14:textId="77777777" w:rsidR="00FC6F4F" w:rsidRPr="002029AF" w:rsidRDefault="00FC6F4F" w:rsidP="00FC6F4F">
            <w:pPr>
              <w:pStyle w:val="ARtabletextright"/>
            </w:pPr>
            <w:r w:rsidRPr="002029AF">
              <w:t>261,308</w:t>
            </w:r>
          </w:p>
        </w:tc>
      </w:tr>
      <w:tr w:rsidR="00FC6F4F" w:rsidRPr="002029AF" w14:paraId="53DF8D8E" w14:textId="77777777" w:rsidTr="00FC6F4F">
        <w:trPr>
          <w:cantSplit/>
          <w:trHeight w:val="285"/>
          <w:tblHeader/>
        </w:trPr>
        <w:tc>
          <w:tcPr>
            <w:tcW w:w="2835" w:type="dxa"/>
          </w:tcPr>
          <w:p w14:paraId="268ECD13" w14:textId="77777777" w:rsidR="00FC6F4F" w:rsidRPr="002029AF" w:rsidRDefault="00FC6F4F" w:rsidP="00FC6F4F">
            <w:pPr>
              <w:pStyle w:val="ARtabletext"/>
            </w:pPr>
            <w:r w:rsidRPr="002029AF">
              <w:t>Compost</w:t>
            </w:r>
          </w:p>
        </w:tc>
        <w:tc>
          <w:tcPr>
            <w:tcW w:w="2268" w:type="dxa"/>
            <w:vAlign w:val="center"/>
          </w:tcPr>
          <w:p w14:paraId="4F5E1CAE" w14:textId="77777777" w:rsidR="00FC6F4F" w:rsidRPr="002029AF" w:rsidRDefault="00FC6F4F" w:rsidP="00FC6F4F">
            <w:pPr>
              <w:pStyle w:val="ARtabletextright"/>
            </w:pPr>
            <w:r w:rsidRPr="002029AF">
              <w:t>N/A</w:t>
            </w:r>
          </w:p>
        </w:tc>
        <w:tc>
          <w:tcPr>
            <w:tcW w:w="2268" w:type="dxa"/>
            <w:vAlign w:val="center"/>
          </w:tcPr>
          <w:p w14:paraId="687F23B0" w14:textId="77777777" w:rsidR="00FC6F4F" w:rsidRPr="002029AF" w:rsidRDefault="00FC6F4F" w:rsidP="00FC6F4F">
            <w:pPr>
              <w:pStyle w:val="ARtabletextright"/>
            </w:pPr>
            <w:r w:rsidRPr="002029AF">
              <w:t>N/A</w:t>
            </w:r>
          </w:p>
        </w:tc>
        <w:tc>
          <w:tcPr>
            <w:tcW w:w="2268" w:type="dxa"/>
            <w:vAlign w:val="center"/>
          </w:tcPr>
          <w:p w14:paraId="70890707" w14:textId="77777777" w:rsidR="00FC6F4F" w:rsidRPr="002029AF" w:rsidRDefault="00FC6F4F" w:rsidP="00FC6F4F">
            <w:pPr>
              <w:pStyle w:val="ARtabletextright"/>
            </w:pPr>
            <w:r w:rsidRPr="002029AF">
              <w:t>24,594</w:t>
            </w:r>
          </w:p>
        </w:tc>
      </w:tr>
      <w:tr w:rsidR="00FC6F4F" w:rsidRPr="002029AF" w14:paraId="69EB00EB" w14:textId="77777777" w:rsidTr="00FC6F4F">
        <w:trPr>
          <w:cantSplit/>
          <w:trHeight w:val="285"/>
          <w:tblHeader/>
        </w:trPr>
        <w:tc>
          <w:tcPr>
            <w:tcW w:w="2835" w:type="dxa"/>
          </w:tcPr>
          <w:p w14:paraId="42465DB9" w14:textId="77777777" w:rsidR="00FC6F4F" w:rsidRPr="002029AF" w:rsidRDefault="00FC6F4F" w:rsidP="00FC6F4F">
            <w:pPr>
              <w:pStyle w:val="ARtabletext"/>
              <w:rPr>
                <w:b/>
              </w:rPr>
            </w:pPr>
            <w:r w:rsidRPr="002029AF">
              <w:rPr>
                <w:b/>
              </w:rPr>
              <w:t>Total</w:t>
            </w:r>
          </w:p>
        </w:tc>
        <w:tc>
          <w:tcPr>
            <w:tcW w:w="2268" w:type="dxa"/>
            <w:vAlign w:val="center"/>
          </w:tcPr>
          <w:p w14:paraId="20865395" w14:textId="77777777" w:rsidR="00FC6F4F" w:rsidRPr="002029AF" w:rsidRDefault="00FC6F4F" w:rsidP="00FC6F4F">
            <w:pPr>
              <w:pStyle w:val="ARtabletextrightbold"/>
            </w:pPr>
            <w:r w:rsidRPr="002029AF">
              <w:t>N/A</w:t>
            </w:r>
          </w:p>
        </w:tc>
        <w:tc>
          <w:tcPr>
            <w:tcW w:w="2268" w:type="dxa"/>
            <w:vAlign w:val="center"/>
          </w:tcPr>
          <w:p w14:paraId="5C4138A5" w14:textId="77777777" w:rsidR="00FC6F4F" w:rsidRPr="002029AF" w:rsidRDefault="00FC6F4F" w:rsidP="00FC6F4F">
            <w:pPr>
              <w:pStyle w:val="ARtabletextrightbold"/>
            </w:pPr>
            <w:r w:rsidRPr="002029AF">
              <w:t>N/A</w:t>
            </w:r>
          </w:p>
        </w:tc>
        <w:tc>
          <w:tcPr>
            <w:tcW w:w="2268" w:type="dxa"/>
            <w:vAlign w:val="center"/>
          </w:tcPr>
          <w:p w14:paraId="4D26F0A6" w14:textId="77777777" w:rsidR="00FC6F4F" w:rsidRPr="002029AF" w:rsidRDefault="00FC6F4F" w:rsidP="00FC6F4F">
            <w:pPr>
              <w:pStyle w:val="ARtabletextrightbold"/>
            </w:pPr>
            <w:r w:rsidRPr="002029AF">
              <w:t>494,790</w:t>
            </w:r>
          </w:p>
        </w:tc>
      </w:tr>
    </w:tbl>
    <w:p w14:paraId="778F37CC" w14:textId="77777777" w:rsidR="00FC6F4F" w:rsidRPr="002029AF" w:rsidRDefault="00FC6F4F" w:rsidP="00897193">
      <w:pPr>
        <w:pStyle w:val="ARbody"/>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2835"/>
        <w:gridCol w:w="2268"/>
        <w:gridCol w:w="2268"/>
        <w:gridCol w:w="2268"/>
      </w:tblGrid>
      <w:tr w:rsidR="00FC6F4F" w:rsidRPr="002029AF" w14:paraId="2F2B7505" w14:textId="77777777" w:rsidTr="00FC6F4F">
        <w:trPr>
          <w:cantSplit/>
          <w:trHeight w:val="285"/>
          <w:tblHeader/>
        </w:trPr>
        <w:tc>
          <w:tcPr>
            <w:tcW w:w="2835" w:type="dxa"/>
            <w:vAlign w:val="bottom"/>
          </w:tcPr>
          <w:p w14:paraId="4C5C73B0" w14:textId="77777777" w:rsidR="00FC6F4F" w:rsidRPr="002029AF" w:rsidRDefault="00FC6F4F" w:rsidP="004330D7">
            <w:pPr>
              <w:pStyle w:val="ARtablecolhead"/>
            </w:pPr>
            <w:r w:rsidRPr="002029AF">
              <w:t>Description</w:t>
            </w:r>
          </w:p>
        </w:tc>
        <w:tc>
          <w:tcPr>
            <w:tcW w:w="2268" w:type="dxa"/>
            <w:vAlign w:val="center"/>
          </w:tcPr>
          <w:p w14:paraId="11CEF40B" w14:textId="77777777" w:rsidR="00FC6F4F" w:rsidRPr="002029AF" w:rsidRDefault="00FC6F4F" w:rsidP="00FC6F4F">
            <w:pPr>
              <w:pStyle w:val="ARtablecolheadright"/>
            </w:pPr>
            <w:r w:rsidRPr="002029AF">
              <w:t>20</w:t>
            </w:r>
            <w:r>
              <w:t>20</w:t>
            </w:r>
            <w:r w:rsidRPr="002029AF">
              <w:t>–2</w:t>
            </w:r>
            <w:r>
              <w:t>1</w:t>
            </w:r>
            <w:r w:rsidRPr="002029AF">
              <w:t xml:space="preserve"> estimate</w:t>
            </w:r>
          </w:p>
        </w:tc>
        <w:tc>
          <w:tcPr>
            <w:tcW w:w="2268" w:type="dxa"/>
            <w:vAlign w:val="center"/>
          </w:tcPr>
          <w:p w14:paraId="4B74F9F3" w14:textId="77777777" w:rsidR="00FC6F4F" w:rsidRPr="002029AF" w:rsidRDefault="00FC6F4F" w:rsidP="00FC6F4F">
            <w:pPr>
              <w:pStyle w:val="ARtablecolheadright"/>
            </w:pPr>
            <w:r w:rsidRPr="002029AF">
              <w:t>2019–20 estimate</w:t>
            </w:r>
          </w:p>
        </w:tc>
        <w:tc>
          <w:tcPr>
            <w:tcW w:w="2268" w:type="dxa"/>
            <w:vAlign w:val="center"/>
          </w:tcPr>
          <w:p w14:paraId="61A5C2B5" w14:textId="77777777" w:rsidR="00FC6F4F" w:rsidRPr="002029AF" w:rsidRDefault="00FC6F4F" w:rsidP="00FC6F4F">
            <w:pPr>
              <w:pStyle w:val="ARtablecolheadright"/>
            </w:pPr>
            <w:r w:rsidRPr="002029AF">
              <w:t>2018–19 estimate</w:t>
            </w:r>
          </w:p>
        </w:tc>
      </w:tr>
      <w:tr w:rsidR="00FC6F4F" w:rsidRPr="002029AF" w14:paraId="7A608FF1" w14:textId="77777777" w:rsidTr="00FC6F4F">
        <w:trPr>
          <w:cantSplit/>
          <w:trHeight w:val="554"/>
          <w:tblHeader/>
        </w:trPr>
        <w:tc>
          <w:tcPr>
            <w:tcW w:w="2835" w:type="dxa"/>
            <w:vAlign w:val="bottom"/>
          </w:tcPr>
          <w:p w14:paraId="3134FD6F" w14:textId="77777777" w:rsidR="00FC6F4F" w:rsidRPr="002029AF" w:rsidRDefault="00FC6F4F" w:rsidP="00FC6F4F">
            <w:pPr>
              <w:pStyle w:val="ARtablecolhead"/>
            </w:pPr>
            <w:r w:rsidRPr="002029AF">
              <w:t>Total units of waste disposed of per FTE by destination</w:t>
            </w:r>
          </w:p>
        </w:tc>
        <w:tc>
          <w:tcPr>
            <w:tcW w:w="2268" w:type="dxa"/>
            <w:vAlign w:val="bottom"/>
          </w:tcPr>
          <w:p w14:paraId="58EB6324" w14:textId="77777777" w:rsidR="00FC6F4F" w:rsidRPr="002029AF" w:rsidRDefault="00FC6F4F" w:rsidP="00FC6F4F">
            <w:pPr>
              <w:pStyle w:val="ARtablecolheadright"/>
            </w:pPr>
            <w:r w:rsidRPr="002029AF">
              <w:t>Kilograms/FTE/year</w:t>
            </w:r>
          </w:p>
        </w:tc>
        <w:tc>
          <w:tcPr>
            <w:tcW w:w="2268" w:type="dxa"/>
            <w:vAlign w:val="bottom"/>
          </w:tcPr>
          <w:p w14:paraId="5947316C" w14:textId="77777777" w:rsidR="00FC6F4F" w:rsidRPr="002029AF" w:rsidRDefault="00FC6F4F" w:rsidP="00FC6F4F">
            <w:pPr>
              <w:pStyle w:val="ARtablecolheadright"/>
            </w:pPr>
            <w:r w:rsidRPr="002029AF">
              <w:t>Kilograms/FTE/year</w:t>
            </w:r>
          </w:p>
        </w:tc>
        <w:tc>
          <w:tcPr>
            <w:tcW w:w="2268" w:type="dxa"/>
            <w:vAlign w:val="bottom"/>
          </w:tcPr>
          <w:p w14:paraId="1B3FD1CE" w14:textId="77777777" w:rsidR="00FC6F4F" w:rsidRPr="002029AF" w:rsidRDefault="00FC6F4F" w:rsidP="00FC6F4F">
            <w:pPr>
              <w:pStyle w:val="ARtablecolheadright"/>
            </w:pPr>
            <w:r w:rsidRPr="002029AF">
              <w:t>Kilograms/FTE/year</w:t>
            </w:r>
          </w:p>
        </w:tc>
      </w:tr>
      <w:tr w:rsidR="00FC6F4F" w:rsidRPr="002029AF" w14:paraId="273E974C" w14:textId="77777777" w:rsidTr="00FC6F4F">
        <w:trPr>
          <w:cantSplit/>
          <w:trHeight w:val="285"/>
        </w:trPr>
        <w:tc>
          <w:tcPr>
            <w:tcW w:w="2835" w:type="dxa"/>
          </w:tcPr>
          <w:p w14:paraId="657F1506" w14:textId="77777777" w:rsidR="00FC6F4F" w:rsidRPr="002029AF" w:rsidRDefault="00FC6F4F" w:rsidP="00FC6F4F">
            <w:pPr>
              <w:pStyle w:val="ARtabletext"/>
            </w:pPr>
            <w:r w:rsidRPr="002029AF">
              <w:t>Landfill</w:t>
            </w:r>
          </w:p>
        </w:tc>
        <w:tc>
          <w:tcPr>
            <w:tcW w:w="2268" w:type="dxa"/>
            <w:vAlign w:val="center"/>
          </w:tcPr>
          <w:p w14:paraId="5756666A" w14:textId="77777777" w:rsidR="00FC6F4F" w:rsidRPr="002029AF" w:rsidRDefault="00FC6F4F" w:rsidP="00FC6F4F">
            <w:pPr>
              <w:pStyle w:val="ARtabletextright"/>
            </w:pPr>
            <w:r w:rsidRPr="002029AF">
              <w:t>N/A</w:t>
            </w:r>
          </w:p>
        </w:tc>
        <w:tc>
          <w:tcPr>
            <w:tcW w:w="2268" w:type="dxa"/>
            <w:vAlign w:val="center"/>
          </w:tcPr>
          <w:p w14:paraId="28A3C52E" w14:textId="77777777" w:rsidR="00FC6F4F" w:rsidRPr="002029AF" w:rsidRDefault="00FC6F4F" w:rsidP="00FC6F4F">
            <w:pPr>
              <w:pStyle w:val="ARtabletextright"/>
            </w:pPr>
            <w:r w:rsidRPr="002029AF">
              <w:t>N/A</w:t>
            </w:r>
          </w:p>
        </w:tc>
        <w:tc>
          <w:tcPr>
            <w:tcW w:w="2268" w:type="dxa"/>
            <w:vAlign w:val="center"/>
          </w:tcPr>
          <w:p w14:paraId="2DD032EE" w14:textId="77777777" w:rsidR="00FC6F4F" w:rsidRPr="002029AF" w:rsidRDefault="00FC6F4F" w:rsidP="00FC6F4F">
            <w:pPr>
              <w:pStyle w:val="ARtabletextright"/>
            </w:pPr>
            <w:r w:rsidRPr="002029AF">
              <w:t>23</w:t>
            </w:r>
          </w:p>
        </w:tc>
      </w:tr>
      <w:tr w:rsidR="00FC6F4F" w:rsidRPr="002029AF" w14:paraId="6D17A203" w14:textId="77777777" w:rsidTr="00FC6F4F">
        <w:trPr>
          <w:cantSplit/>
          <w:trHeight w:val="285"/>
        </w:trPr>
        <w:tc>
          <w:tcPr>
            <w:tcW w:w="2835" w:type="dxa"/>
          </w:tcPr>
          <w:p w14:paraId="273F1959" w14:textId="77777777" w:rsidR="00FC6F4F" w:rsidRPr="002029AF" w:rsidRDefault="00FC6F4F" w:rsidP="00FC6F4F">
            <w:pPr>
              <w:pStyle w:val="ARtabletext"/>
            </w:pPr>
            <w:r w:rsidRPr="002029AF">
              <w:t>Recycling</w:t>
            </w:r>
          </w:p>
        </w:tc>
        <w:tc>
          <w:tcPr>
            <w:tcW w:w="2268" w:type="dxa"/>
            <w:vAlign w:val="center"/>
          </w:tcPr>
          <w:p w14:paraId="3ABC43E6" w14:textId="77777777" w:rsidR="00FC6F4F" w:rsidRPr="002029AF" w:rsidRDefault="00FC6F4F" w:rsidP="00FC6F4F">
            <w:pPr>
              <w:pStyle w:val="ARtabletextright"/>
            </w:pPr>
            <w:r w:rsidRPr="002029AF">
              <w:t>N/A</w:t>
            </w:r>
          </w:p>
        </w:tc>
        <w:tc>
          <w:tcPr>
            <w:tcW w:w="2268" w:type="dxa"/>
            <w:vAlign w:val="center"/>
          </w:tcPr>
          <w:p w14:paraId="63859CDA" w14:textId="77777777" w:rsidR="00FC6F4F" w:rsidRPr="002029AF" w:rsidRDefault="00FC6F4F" w:rsidP="00FC6F4F">
            <w:pPr>
              <w:pStyle w:val="ARtabletextright"/>
            </w:pPr>
            <w:r w:rsidRPr="002029AF">
              <w:t>N/A</w:t>
            </w:r>
          </w:p>
        </w:tc>
        <w:tc>
          <w:tcPr>
            <w:tcW w:w="2268" w:type="dxa"/>
            <w:vAlign w:val="center"/>
          </w:tcPr>
          <w:p w14:paraId="17DF5048" w14:textId="77777777" w:rsidR="00FC6F4F" w:rsidRPr="002029AF" w:rsidRDefault="00FC6F4F" w:rsidP="00FC6F4F">
            <w:pPr>
              <w:pStyle w:val="ARtabletextright"/>
            </w:pPr>
            <w:r w:rsidRPr="002029AF">
              <w:t>29</w:t>
            </w:r>
          </w:p>
        </w:tc>
      </w:tr>
      <w:tr w:rsidR="00FC6F4F" w:rsidRPr="002029AF" w14:paraId="0188C2F1" w14:textId="77777777" w:rsidTr="00FC6F4F">
        <w:trPr>
          <w:cantSplit/>
          <w:trHeight w:val="285"/>
        </w:trPr>
        <w:tc>
          <w:tcPr>
            <w:tcW w:w="2835" w:type="dxa"/>
          </w:tcPr>
          <w:p w14:paraId="3EAF2E59" w14:textId="77777777" w:rsidR="00FC6F4F" w:rsidRPr="002029AF" w:rsidRDefault="00FC6F4F" w:rsidP="00FC6F4F">
            <w:pPr>
              <w:pStyle w:val="ARtabletext"/>
            </w:pPr>
            <w:r w:rsidRPr="002029AF">
              <w:t>Compost</w:t>
            </w:r>
          </w:p>
        </w:tc>
        <w:tc>
          <w:tcPr>
            <w:tcW w:w="2268" w:type="dxa"/>
            <w:vAlign w:val="center"/>
          </w:tcPr>
          <w:p w14:paraId="6191DD7A" w14:textId="77777777" w:rsidR="00FC6F4F" w:rsidRPr="002029AF" w:rsidRDefault="00FC6F4F" w:rsidP="00FC6F4F">
            <w:pPr>
              <w:pStyle w:val="ARtabletextright"/>
            </w:pPr>
            <w:r w:rsidRPr="002029AF">
              <w:t>N/A</w:t>
            </w:r>
          </w:p>
        </w:tc>
        <w:tc>
          <w:tcPr>
            <w:tcW w:w="2268" w:type="dxa"/>
            <w:vAlign w:val="center"/>
          </w:tcPr>
          <w:p w14:paraId="33EA86A9" w14:textId="77777777" w:rsidR="00FC6F4F" w:rsidRPr="002029AF" w:rsidRDefault="00FC6F4F" w:rsidP="00FC6F4F">
            <w:pPr>
              <w:pStyle w:val="ARtabletextright"/>
            </w:pPr>
            <w:r w:rsidRPr="002029AF">
              <w:t>N/A</w:t>
            </w:r>
          </w:p>
        </w:tc>
        <w:tc>
          <w:tcPr>
            <w:tcW w:w="2268" w:type="dxa"/>
            <w:vAlign w:val="center"/>
          </w:tcPr>
          <w:p w14:paraId="473CC61B" w14:textId="77777777" w:rsidR="00FC6F4F" w:rsidRPr="002029AF" w:rsidRDefault="00FC6F4F" w:rsidP="00FC6F4F">
            <w:pPr>
              <w:pStyle w:val="ARtabletextright"/>
            </w:pPr>
            <w:r w:rsidRPr="002029AF">
              <w:t>3</w:t>
            </w:r>
          </w:p>
        </w:tc>
      </w:tr>
      <w:tr w:rsidR="00FC6F4F" w:rsidRPr="002029AF" w14:paraId="0A9138B7" w14:textId="77777777" w:rsidTr="00FC6F4F">
        <w:trPr>
          <w:cantSplit/>
          <w:trHeight w:val="285"/>
        </w:trPr>
        <w:tc>
          <w:tcPr>
            <w:tcW w:w="2835" w:type="dxa"/>
          </w:tcPr>
          <w:p w14:paraId="76AB55D0" w14:textId="77777777" w:rsidR="00FC6F4F" w:rsidRPr="002029AF" w:rsidRDefault="00FC6F4F" w:rsidP="00FC6F4F">
            <w:pPr>
              <w:pStyle w:val="ARtabletext"/>
              <w:rPr>
                <w:b/>
              </w:rPr>
            </w:pPr>
            <w:r w:rsidRPr="002029AF">
              <w:rPr>
                <w:b/>
              </w:rPr>
              <w:t>Total</w:t>
            </w:r>
          </w:p>
        </w:tc>
        <w:tc>
          <w:tcPr>
            <w:tcW w:w="2268" w:type="dxa"/>
            <w:vAlign w:val="center"/>
          </w:tcPr>
          <w:p w14:paraId="26080A98" w14:textId="77777777" w:rsidR="00FC6F4F" w:rsidRPr="002029AF" w:rsidRDefault="00FC6F4F" w:rsidP="00FC6F4F">
            <w:pPr>
              <w:pStyle w:val="ARtabletextrightbold"/>
            </w:pPr>
            <w:r w:rsidRPr="002029AF">
              <w:t>N/A</w:t>
            </w:r>
          </w:p>
        </w:tc>
        <w:tc>
          <w:tcPr>
            <w:tcW w:w="2268" w:type="dxa"/>
            <w:vAlign w:val="center"/>
          </w:tcPr>
          <w:p w14:paraId="1D8B3C2B" w14:textId="77777777" w:rsidR="00FC6F4F" w:rsidRPr="002029AF" w:rsidRDefault="00FC6F4F" w:rsidP="00FC6F4F">
            <w:pPr>
              <w:pStyle w:val="ARtabletextrightbold"/>
            </w:pPr>
            <w:r w:rsidRPr="002029AF">
              <w:t>N/A</w:t>
            </w:r>
          </w:p>
        </w:tc>
        <w:tc>
          <w:tcPr>
            <w:tcW w:w="2268" w:type="dxa"/>
            <w:vAlign w:val="center"/>
          </w:tcPr>
          <w:p w14:paraId="018FF406" w14:textId="77777777" w:rsidR="00FC6F4F" w:rsidRPr="002029AF" w:rsidRDefault="00FC6F4F" w:rsidP="00FC6F4F">
            <w:pPr>
              <w:pStyle w:val="ARtabletextrightbold"/>
            </w:pPr>
            <w:r w:rsidRPr="002029AF">
              <w:t>56</w:t>
            </w:r>
          </w:p>
        </w:tc>
      </w:tr>
    </w:tbl>
    <w:p w14:paraId="0039703E" w14:textId="77777777" w:rsidR="00FC6F4F" w:rsidRPr="002029AF" w:rsidRDefault="00FC6F4F" w:rsidP="00897193">
      <w:pPr>
        <w:pStyle w:val="ARbody"/>
        <w:rPr>
          <w:lang w:eastAsia="en-AU"/>
        </w:rPr>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2835"/>
        <w:gridCol w:w="2268"/>
        <w:gridCol w:w="2268"/>
        <w:gridCol w:w="2268"/>
      </w:tblGrid>
      <w:tr w:rsidR="00FC6F4F" w:rsidRPr="002029AF" w14:paraId="5A265CA9" w14:textId="77777777" w:rsidTr="00FC6F4F">
        <w:trPr>
          <w:cantSplit/>
          <w:trHeight w:val="285"/>
          <w:tblHeader/>
        </w:trPr>
        <w:tc>
          <w:tcPr>
            <w:tcW w:w="2835" w:type="dxa"/>
            <w:vAlign w:val="bottom"/>
          </w:tcPr>
          <w:p w14:paraId="3693BC80" w14:textId="77777777" w:rsidR="00FC6F4F" w:rsidRPr="002029AF" w:rsidRDefault="00FC6F4F" w:rsidP="00FC6F4F">
            <w:pPr>
              <w:pStyle w:val="ARtablecolhead"/>
            </w:pPr>
            <w:r w:rsidRPr="002029AF">
              <w:t>Description</w:t>
            </w:r>
          </w:p>
        </w:tc>
        <w:tc>
          <w:tcPr>
            <w:tcW w:w="2268" w:type="dxa"/>
            <w:vAlign w:val="center"/>
          </w:tcPr>
          <w:p w14:paraId="5CB33EA6" w14:textId="77777777" w:rsidR="00FC6F4F" w:rsidRPr="002029AF" w:rsidRDefault="00FC6F4F" w:rsidP="00FC6F4F">
            <w:pPr>
              <w:pStyle w:val="ARtablecolheadright"/>
            </w:pPr>
            <w:r w:rsidRPr="002029AF">
              <w:t>20</w:t>
            </w:r>
            <w:r>
              <w:t>20</w:t>
            </w:r>
            <w:r w:rsidRPr="002029AF">
              <w:t>–2</w:t>
            </w:r>
            <w:r>
              <w:t>1</w:t>
            </w:r>
            <w:r w:rsidRPr="002029AF">
              <w:t xml:space="preserve"> estimate</w:t>
            </w:r>
          </w:p>
        </w:tc>
        <w:tc>
          <w:tcPr>
            <w:tcW w:w="2268" w:type="dxa"/>
            <w:vAlign w:val="center"/>
          </w:tcPr>
          <w:p w14:paraId="63774310" w14:textId="77777777" w:rsidR="00FC6F4F" w:rsidRPr="002029AF" w:rsidRDefault="00FC6F4F" w:rsidP="00FC6F4F">
            <w:pPr>
              <w:pStyle w:val="ARtablecolheadright"/>
            </w:pPr>
            <w:r w:rsidRPr="002029AF">
              <w:t>2019–20 estimate</w:t>
            </w:r>
          </w:p>
        </w:tc>
        <w:tc>
          <w:tcPr>
            <w:tcW w:w="2268" w:type="dxa"/>
            <w:vAlign w:val="center"/>
          </w:tcPr>
          <w:p w14:paraId="7154B811" w14:textId="77777777" w:rsidR="00FC6F4F" w:rsidRPr="002029AF" w:rsidRDefault="00FC6F4F" w:rsidP="00FC6F4F">
            <w:pPr>
              <w:pStyle w:val="ARtablecolheadright"/>
            </w:pPr>
            <w:r w:rsidRPr="002029AF">
              <w:t>2018–19 estimate</w:t>
            </w:r>
          </w:p>
        </w:tc>
      </w:tr>
      <w:tr w:rsidR="00FC6F4F" w:rsidRPr="002029AF" w14:paraId="3E673371" w14:textId="77777777" w:rsidTr="00206595">
        <w:trPr>
          <w:cantSplit/>
          <w:trHeight w:val="285"/>
        </w:trPr>
        <w:tc>
          <w:tcPr>
            <w:tcW w:w="2835" w:type="dxa"/>
          </w:tcPr>
          <w:p w14:paraId="0CBD9C3C" w14:textId="77777777" w:rsidR="00FC6F4F" w:rsidRPr="002029AF" w:rsidRDefault="00FC6F4F" w:rsidP="00FC6F4F">
            <w:pPr>
              <w:pStyle w:val="ARtabletext"/>
            </w:pPr>
            <w:r w:rsidRPr="002029AF">
              <w:t>Recycling rate (per cent)</w:t>
            </w:r>
          </w:p>
        </w:tc>
        <w:tc>
          <w:tcPr>
            <w:tcW w:w="2268" w:type="dxa"/>
          </w:tcPr>
          <w:p w14:paraId="611F5F4B" w14:textId="77777777" w:rsidR="00FC6F4F" w:rsidRPr="002029AF" w:rsidRDefault="00FC6F4F" w:rsidP="00FC6F4F">
            <w:pPr>
              <w:pStyle w:val="ARtabletextright"/>
            </w:pPr>
            <w:r w:rsidRPr="002029AF">
              <w:t>N/A</w:t>
            </w:r>
          </w:p>
        </w:tc>
        <w:tc>
          <w:tcPr>
            <w:tcW w:w="2268" w:type="dxa"/>
          </w:tcPr>
          <w:p w14:paraId="0B97B49D" w14:textId="77777777" w:rsidR="00FC6F4F" w:rsidRPr="002029AF" w:rsidRDefault="00FC6F4F" w:rsidP="00FC6F4F">
            <w:pPr>
              <w:pStyle w:val="ARtabletextright"/>
            </w:pPr>
            <w:r w:rsidRPr="002029AF">
              <w:t>N/A</w:t>
            </w:r>
          </w:p>
        </w:tc>
        <w:tc>
          <w:tcPr>
            <w:tcW w:w="2268" w:type="dxa"/>
          </w:tcPr>
          <w:p w14:paraId="55F8A1E2" w14:textId="77777777" w:rsidR="00FC6F4F" w:rsidRPr="002029AF" w:rsidRDefault="00FC6F4F" w:rsidP="00FC6F4F">
            <w:pPr>
              <w:pStyle w:val="ARtabletextright"/>
            </w:pPr>
            <w:r w:rsidRPr="002029AF">
              <w:t>58%</w:t>
            </w:r>
          </w:p>
        </w:tc>
      </w:tr>
      <w:tr w:rsidR="00FC6F4F" w:rsidRPr="002029AF" w14:paraId="7299B9FD" w14:textId="77777777" w:rsidTr="00206595">
        <w:trPr>
          <w:cantSplit/>
          <w:trHeight w:val="285"/>
        </w:trPr>
        <w:tc>
          <w:tcPr>
            <w:tcW w:w="2835" w:type="dxa"/>
          </w:tcPr>
          <w:p w14:paraId="182D55D0" w14:textId="77777777" w:rsidR="00FC6F4F" w:rsidRPr="002029AF" w:rsidRDefault="00FC6F4F" w:rsidP="00FC6F4F">
            <w:pPr>
              <w:pStyle w:val="ARtabletext"/>
            </w:pPr>
            <w:r w:rsidRPr="002029AF">
              <w:t>Coffee cups recycled</w:t>
            </w:r>
          </w:p>
        </w:tc>
        <w:tc>
          <w:tcPr>
            <w:tcW w:w="2268" w:type="dxa"/>
          </w:tcPr>
          <w:p w14:paraId="1E41C549" w14:textId="77777777" w:rsidR="00FC6F4F" w:rsidRPr="002029AF" w:rsidRDefault="00FC6F4F" w:rsidP="00FC6F4F">
            <w:pPr>
              <w:pStyle w:val="ARtabletextright"/>
            </w:pPr>
            <w:r>
              <w:t>20,800</w:t>
            </w:r>
          </w:p>
        </w:tc>
        <w:tc>
          <w:tcPr>
            <w:tcW w:w="2268" w:type="dxa"/>
          </w:tcPr>
          <w:p w14:paraId="5C3A4840" w14:textId="77777777" w:rsidR="00FC6F4F" w:rsidRPr="002029AF" w:rsidRDefault="00FC6F4F" w:rsidP="00FC6F4F">
            <w:pPr>
              <w:pStyle w:val="ARtabletextright"/>
            </w:pPr>
            <w:r>
              <w:t>58,000</w:t>
            </w:r>
          </w:p>
        </w:tc>
        <w:tc>
          <w:tcPr>
            <w:tcW w:w="2268" w:type="dxa"/>
          </w:tcPr>
          <w:p w14:paraId="42F2AB12" w14:textId="77777777" w:rsidR="00FC6F4F" w:rsidRPr="002029AF" w:rsidRDefault="00FC6F4F" w:rsidP="00FC6F4F">
            <w:pPr>
              <w:pStyle w:val="ARtabletextright"/>
            </w:pPr>
            <w:r w:rsidRPr="002029AF">
              <w:t>159,765</w:t>
            </w:r>
          </w:p>
        </w:tc>
      </w:tr>
      <w:tr w:rsidR="00FC6F4F" w:rsidRPr="002029AF" w14:paraId="159A20D8" w14:textId="77777777" w:rsidTr="00206595">
        <w:trPr>
          <w:cantSplit/>
          <w:trHeight w:val="285"/>
        </w:trPr>
        <w:tc>
          <w:tcPr>
            <w:tcW w:w="2835" w:type="dxa"/>
          </w:tcPr>
          <w:p w14:paraId="0E8100B2" w14:textId="77777777" w:rsidR="00FC6F4F" w:rsidRPr="002029AF" w:rsidRDefault="00FC6F4F" w:rsidP="00FC6F4F">
            <w:pPr>
              <w:pStyle w:val="ARtabletext"/>
            </w:pPr>
            <w:r w:rsidRPr="002029AF">
              <w:t>Greenhouse gas emissions associated with waste to landfill (tonnes of CO</w:t>
            </w:r>
            <w:r w:rsidRPr="002029AF">
              <w:rPr>
                <w:vertAlign w:val="subscript"/>
              </w:rPr>
              <w:t>2</w:t>
            </w:r>
            <w:r w:rsidRPr="002029AF">
              <w:t>-e)</w:t>
            </w:r>
          </w:p>
        </w:tc>
        <w:tc>
          <w:tcPr>
            <w:tcW w:w="2268" w:type="dxa"/>
          </w:tcPr>
          <w:p w14:paraId="060461CB" w14:textId="4A3086D9" w:rsidR="00FC6F4F" w:rsidRPr="002029AF" w:rsidRDefault="00FC6F4F" w:rsidP="00FC6F4F">
            <w:pPr>
              <w:pStyle w:val="ARtabletextright"/>
            </w:pPr>
            <w:r>
              <w:t>244</w:t>
            </w:r>
            <w:r w:rsidR="00206595" w:rsidRPr="00206595">
              <w:rPr>
                <w:rStyle w:val="FootnoteReference"/>
              </w:rPr>
              <w:t>(</w:t>
            </w:r>
            <w:bookmarkStart w:id="656" w:name="_Ref85644992"/>
            <w:r w:rsidR="00206595" w:rsidRPr="00206595">
              <w:rPr>
                <w:rStyle w:val="FootnoteReference"/>
              </w:rPr>
              <w:footnoteReference w:id="44"/>
            </w:r>
            <w:bookmarkEnd w:id="656"/>
            <w:r w:rsidR="00206595" w:rsidRPr="00206595">
              <w:rPr>
                <w:rStyle w:val="FootnoteReference"/>
              </w:rPr>
              <w:t>)</w:t>
            </w:r>
          </w:p>
        </w:tc>
        <w:tc>
          <w:tcPr>
            <w:tcW w:w="2268" w:type="dxa"/>
          </w:tcPr>
          <w:p w14:paraId="712853E7" w14:textId="532D7908" w:rsidR="00FC6F4F" w:rsidRPr="002029AF" w:rsidRDefault="00FC6F4F" w:rsidP="00FC6F4F">
            <w:pPr>
              <w:pStyle w:val="ARtabletextright"/>
            </w:pPr>
            <w:r>
              <w:t>301</w:t>
            </w:r>
          </w:p>
        </w:tc>
        <w:tc>
          <w:tcPr>
            <w:tcW w:w="2268" w:type="dxa"/>
          </w:tcPr>
          <w:p w14:paraId="3327B6BC" w14:textId="77777777" w:rsidR="00FC6F4F" w:rsidRPr="002029AF" w:rsidRDefault="00FC6F4F" w:rsidP="00FC6F4F">
            <w:pPr>
              <w:pStyle w:val="ARtabletextright"/>
            </w:pPr>
            <w:r w:rsidRPr="002029AF">
              <w:t>351</w:t>
            </w:r>
          </w:p>
        </w:tc>
      </w:tr>
    </w:tbl>
    <w:p w14:paraId="498B902A" w14:textId="77777777" w:rsidR="00FC6F4F" w:rsidRPr="002029AF" w:rsidRDefault="00FC6F4F" w:rsidP="001C1AB1">
      <w:pPr>
        <w:pStyle w:val="Heading5"/>
      </w:pPr>
      <w:bookmarkStart w:id="657" w:name="_Toc85121327"/>
      <w:r w:rsidRPr="002029AF">
        <w:lastRenderedPageBreak/>
        <w:t>Public health services</w:t>
      </w:r>
      <w:bookmarkEnd w:id="657"/>
    </w:p>
    <w:tbl>
      <w:tblPr>
        <w:tblStyle w:val="TableGrid"/>
        <w:tblW w:w="9639" w:type="dxa"/>
        <w:tblLook w:val="06A0" w:firstRow="1" w:lastRow="0" w:firstColumn="1" w:lastColumn="0" w:noHBand="1" w:noVBand="1"/>
      </w:tblPr>
      <w:tblGrid>
        <w:gridCol w:w="2835"/>
        <w:gridCol w:w="1304"/>
        <w:gridCol w:w="964"/>
        <w:gridCol w:w="1304"/>
        <w:gridCol w:w="964"/>
        <w:gridCol w:w="1304"/>
        <w:gridCol w:w="964"/>
      </w:tblGrid>
      <w:tr w:rsidR="00FC6F4F" w:rsidRPr="002029AF" w14:paraId="58DE9583" w14:textId="77777777" w:rsidTr="007C6076">
        <w:trPr>
          <w:cnfStyle w:val="100000000000" w:firstRow="1" w:lastRow="0" w:firstColumn="0" w:lastColumn="0" w:oddVBand="0" w:evenVBand="0" w:oddHBand="0" w:evenHBand="0" w:firstRowFirstColumn="0" w:firstRowLastColumn="0" w:lastRowFirstColumn="0" w:lastRowLastColumn="0"/>
          <w:tblHeader/>
        </w:trPr>
        <w:tc>
          <w:tcPr>
            <w:tcW w:w="2835" w:type="dxa"/>
          </w:tcPr>
          <w:p w14:paraId="01F0E00A" w14:textId="77777777" w:rsidR="00FC6F4F" w:rsidRPr="002029AF" w:rsidRDefault="00FC6F4F" w:rsidP="00FC6F4F">
            <w:pPr>
              <w:pStyle w:val="ARtabletextbold"/>
            </w:pPr>
            <w:r w:rsidRPr="002029AF">
              <w:t>Description</w:t>
            </w:r>
          </w:p>
        </w:tc>
        <w:tc>
          <w:tcPr>
            <w:tcW w:w="1304" w:type="dxa"/>
          </w:tcPr>
          <w:p w14:paraId="10CF9D87" w14:textId="77777777" w:rsidR="00FC6F4F" w:rsidRPr="002029AF" w:rsidRDefault="00FC6F4F" w:rsidP="00031FA0">
            <w:pPr>
              <w:pStyle w:val="ARtablecolheadright"/>
              <w:rPr>
                <w:color w:val="000000"/>
              </w:rPr>
            </w:pPr>
            <w:r w:rsidRPr="002029AF">
              <w:t>20</w:t>
            </w:r>
            <w:r>
              <w:t>20</w:t>
            </w:r>
            <w:r w:rsidRPr="002029AF">
              <w:t>–2</w:t>
            </w:r>
            <w:r>
              <w:t>1</w:t>
            </w:r>
            <w:r w:rsidRPr="002029AF">
              <w:t xml:space="preserve"> </w:t>
            </w:r>
            <w:r w:rsidRPr="002029AF">
              <w:br/>
              <w:t>estimate</w:t>
            </w:r>
          </w:p>
        </w:tc>
        <w:tc>
          <w:tcPr>
            <w:tcW w:w="964" w:type="dxa"/>
          </w:tcPr>
          <w:p w14:paraId="07DAF8E0" w14:textId="77777777" w:rsidR="00FC6F4F" w:rsidRPr="002029AF" w:rsidRDefault="00FC6F4F" w:rsidP="00031FA0">
            <w:pPr>
              <w:pStyle w:val="ARtablecolheadright"/>
              <w:rPr>
                <w:color w:val="000000"/>
              </w:rPr>
            </w:pPr>
            <w:r w:rsidRPr="002029AF">
              <w:t>20</w:t>
            </w:r>
            <w:r>
              <w:t>20</w:t>
            </w:r>
            <w:r w:rsidRPr="002029AF">
              <w:t>–2</w:t>
            </w:r>
            <w:r>
              <w:t>1</w:t>
            </w:r>
            <w:r w:rsidRPr="002029AF">
              <w:t xml:space="preserve"> </w:t>
            </w:r>
            <w:r w:rsidRPr="002029AF">
              <w:br/>
              <w:t>estimate</w:t>
            </w:r>
          </w:p>
        </w:tc>
        <w:tc>
          <w:tcPr>
            <w:tcW w:w="1304" w:type="dxa"/>
          </w:tcPr>
          <w:p w14:paraId="768A4FA9" w14:textId="77777777" w:rsidR="00FC6F4F" w:rsidRPr="002029AF" w:rsidRDefault="00FC6F4F" w:rsidP="00031FA0">
            <w:pPr>
              <w:pStyle w:val="ARtablecolheadright"/>
            </w:pPr>
            <w:r w:rsidRPr="002029AF">
              <w:t xml:space="preserve">2019–20 </w:t>
            </w:r>
            <w:r w:rsidRPr="002029AF">
              <w:br/>
              <w:t>estimate</w:t>
            </w:r>
          </w:p>
        </w:tc>
        <w:tc>
          <w:tcPr>
            <w:tcW w:w="964" w:type="dxa"/>
          </w:tcPr>
          <w:p w14:paraId="331EFFA1" w14:textId="77777777" w:rsidR="00FC6F4F" w:rsidRPr="002029AF" w:rsidRDefault="00FC6F4F" w:rsidP="00031FA0">
            <w:pPr>
              <w:pStyle w:val="ARtablecolheadright"/>
            </w:pPr>
            <w:r w:rsidRPr="002029AF">
              <w:t xml:space="preserve">2019–20 </w:t>
            </w:r>
            <w:r w:rsidRPr="002029AF">
              <w:br/>
              <w:t>estimate</w:t>
            </w:r>
          </w:p>
        </w:tc>
        <w:tc>
          <w:tcPr>
            <w:tcW w:w="1304" w:type="dxa"/>
          </w:tcPr>
          <w:p w14:paraId="4741996E" w14:textId="77777777" w:rsidR="00FC6F4F" w:rsidRPr="002029AF" w:rsidRDefault="00FC6F4F" w:rsidP="00031FA0">
            <w:pPr>
              <w:pStyle w:val="ARtablecolheadright"/>
            </w:pPr>
            <w:r w:rsidRPr="002029AF">
              <w:t xml:space="preserve">2018–19 </w:t>
            </w:r>
            <w:r w:rsidRPr="002029AF">
              <w:br/>
              <w:t>estimate</w:t>
            </w:r>
          </w:p>
        </w:tc>
        <w:tc>
          <w:tcPr>
            <w:tcW w:w="964" w:type="dxa"/>
          </w:tcPr>
          <w:p w14:paraId="3AA7F7EA" w14:textId="77777777" w:rsidR="00FC6F4F" w:rsidRPr="002029AF" w:rsidRDefault="00FC6F4F" w:rsidP="00031FA0">
            <w:pPr>
              <w:pStyle w:val="ARtablecolheadright"/>
            </w:pPr>
            <w:r w:rsidRPr="002029AF">
              <w:t xml:space="preserve">2018–19 </w:t>
            </w:r>
            <w:r w:rsidRPr="002029AF">
              <w:br/>
              <w:t>estimate</w:t>
            </w:r>
          </w:p>
        </w:tc>
      </w:tr>
      <w:tr w:rsidR="00FC6F4F" w:rsidRPr="002029AF" w14:paraId="26BBBCE1" w14:textId="77777777" w:rsidTr="007C6076">
        <w:trPr>
          <w:cnfStyle w:val="100000000000" w:firstRow="1" w:lastRow="0" w:firstColumn="0" w:lastColumn="0" w:oddVBand="0" w:evenVBand="0" w:oddHBand="0" w:evenHBand="0" w:firstRowFirstColumn="0" w:firstRowLastColumn="0" w:lastRowFirstColumn="0" w:lastRowLastColumn="0"/>
          <w:tblHeader/>
        </w:trPr>
        <w:tc>
          <w:tcPr>
            <w:tcW w:w="2835" w:type="dxa"/>
          </w:tcPr>
          <w:p w14:paraId="6E1AA3B2" w14:textId="77777777" w:rsidR="00FC6F4F" w:rsidRPr="002029AF" w:rsidRDefault="00FC6F4F" w:rsidP="00FC6F4F">
            <w:pPr>
              <w:pStyle w:val="ARtabletextbold"/>
            </w:pPr>
            <w:r w:rsidRPr="002029AF">
              <w:t>Total units of waste disposed of by stream</w:t>
            </w:r>
          </w:p>
        </w:tc>
        <w:tc>
          <w:tcPr>
            <w:tcW w:w="1304" w:type="dxa"/>
          </w:tcPr>
          <w:p w14:paraId="0F06CD17" w14:textId="77777777" w:rsidR="00FC6F4F" w:rsidRPr="002029AF" w:rsidRDefault="00FC6F4F" w:rsidP="00FC6F4F">
            <w:pPr>
              <w:pStyle w:val="ARtabletextrightbold"/>
              <w:rPr>
                <w:color w:val="000000"/>
              </w:rPr>
            </w:pPr>
            <w:r w:rsidRPr="002029AF">
              <w:t>Tonnes</w:t>
            </w:r>
          </w:p>
        </w:tc>
        <w:tc>
          <w:tcPr>
            <w:tcW w:w="964" w:type="dxa"/>
          </w:tcPr>
          <w:p w14:paraId="12F6B4B7" w14:textId="77777777" w:rsidR="00FC6F4F" w:rsidRPr="002029AF" w:rsidRDefault="00FC6F4F" w:rsidP="00FC6F4F">
            <w:pPr>
              <w:pStyle w:val="ARtabletextrightbold"/>
              <w:rPr>
                <w:color w:val="000000"/>
              </w:rPr>
            </w:pPr>
            <w:r w:rsidRPr="002029AF">
              <w:t>Cost</w:t>
            </w:r>
            <w:r w:rsidRPr="002029AF">
              <w:br/>
              <w:t>($M)</w:t>
            </w:r>
          </w:p>
        </w:tc>
        <w:tc>
          <w:tcPr>
            <w:tcW w:w="1304" w:type="dxa"/>
          </w:tcPr>
          <w:p w14:paraId="1D7F7D4A" w14:textId="77777777" w:rsidR="00FC6F4F" w:rsidRPr="002029AF" w:rsidRDefault="00FC6F4F" w:rsidP="00FC6F4F">
            <w:pPr>
              <w:pStyle w:val="ARtabletextrightbold"/>
            </w:pPr>
            <w:r w:rsidRPr="002029AF">
              <w:t>Tonnes</w:t>
            </w:r>
          </w:p>
        </w:tc>
        <w:tc>
          <w:tcPr>
            <w:tcW w:w="964" w:type="dxa"/>
          </w:tcPr>
          <w:p w14:paraId="3EF64B30" w14:textId="77777777" w:rsidR="00FC6F4F" w:rsidRPr="002029AF" w:rsidRDefault="00FC6F4F" w:rsidP="00FC6F4F">
            <w:pPr>
              <w:pStyle w:val="ARtabletextrightbold"/>
            </w:pPr>
            <w:r w:rsidRPr="002029AF">
              <w:t>Cost</w:t>
            </w:r>
            <w:r w:rsidRPr="002029AF">
              <w:br/>
              <w:t>($M)</w:t>
            </w:r>
          </w:p>
        </w:tc>
        <w:tc>
          <w:tcPr>
            <w:tcW w:w="1304" w:type="dxa"/>
          </w:tcPr>
          <w:p w14:paraId="09AF38F9" w14:textId="77777777" w:rsidR="00FC6F4F" w:rsidRPr="002029AF" w:rsidRDefault="00FC6F4F" w:rsidP="00FC6F4F">
            <w:pPr>
              <w:pStyle w:val="ARtabletextrightbold"/>
            </w:pPr>
            <w:r w:rsidRPr="002029AF">
              <w:t>Tonnes</w:t>
            </w:r>
          </w:p>
        </w:tc>
        <w:tc>
          <w:tcPr>
            <w:tcW w:w="964" w:type="dxa"/>
          </w:tcPr>
          <w:p w14:paraId="22295557" w14:textId="77777777" w:rsidR="00FC6F4F" w:rsidRPr="002029AF" w:rsidRDefault="00FC6F4F" w:rsidP="00FC6F4F">
            <w:pPr>
              <w:pStyle w:val="ARtabletextrightbold"/>
            </w:pPr>
            <w:r w:rsidRPr="002029AF">
              <w:t>Cost</w:t>
            </w:r>
            <w:r w:rsidRPr="002029AF">
              <w:br/>
              <w:t>($M)</w:t>
            </w:r>
          </w:p>
        </w:tc>
      </w:tr>
      <w:tr w:rsidR="00FC6F4F" w:rsidRPr="002029AF" w14:paraId="34DCD68A" w14:textId="77777777" w:rsidTr="007C6076">
        <w:trPr>
          <w:cantSplit w:val="0"/>
        </w:trPr>
        <w:tc>
          <w:tcPr>
            <w:tcW w:w="2835" w:type="dxa"/>
          </w:tcPr>
          <w:p w14:paraId="0B49C827" w14:textId="77777777" w:rsidR="00FC6F4F" w:rsidRPr="002029AF" w:rsidRDefault="00FC6F4F" w:rsidP="00FC6F4F">
            <w:pPr>
              <w:pStyle w:val="ARtabletext"/>
            </w:pPr>
            <w:r w:rsidRPr="002029AF">
              <w:t>Clinical and related waste</w:t>
            </w:r>
          </w:p>
        </w:tc>
        <w:tc>
          <w:tcPr>
            <w:tcW w:w="1304" w:type="dxa"/>
            <w:vAlign w:val="center"/>
          </w:tcPr>
          <w:p w14:paraId="28902D6D" w14:textId="77777777" w:rsidR="00FC6F4F" w:rsidRPr="002029AF" w:rsidRDefault="00FC6F4F" w:rsidP="00FC6F4F">
            <w:pPr>
              <w:pStyle w:val="ARtabletextright"/>
            </w:pPr>
            <w:r>
              <w:rPr>
                <w:color w:val="000000"/>
              </w:rPr>
              <w:t>6</w:t>
            </w:r>
            <w:r w:rsidRPr="002029AF">
              <w:rPr>
                <w:color w:val="000000"/>
              </w:rPr>
              <w:t>,</w:t>
            </w:r>
            <w:r>
              <w:rPr>
                <w:color w:val="000000"/>
              </w:rPr>
              <w:t>386</w:t>
            </w:r>
          </w:p>
        </w:tc>
        <w:tc>
          <w:tcPr>
            <w:tcW w:w="964" w:type="dxa"/>
            <w:vAlign w:val="center"/>
          </w:tcPr>
          <w:p w14:paraId="3E2B7D59" w14:textId="77777777" w:rsidR="00FC6F4F" w:rsidRPr="00FB3E1B" w:rsidRDefault="00FC6F4F" w:rsidP="00FC6F4F">
            <w:pPr>
              <w:pStyle w:val="ARtabletextright"/>
            </w:pPr>
            <w:r w:rsidRPr="00FB3E1B">
              <w:rPr>
                <w:color w:val="000000"/>
              </w:rPr>
              <w:t>$9.69</w:t>
            </w:r>
          </w:p>
        </w:tc>
        <w:tc>
          <w:tcPr>
            <w:tcW w:w="1304" w:type="dxa"/>
            <w:vAlign w:val="center"/>
          </w:tcPr>
          <w:p w14:paraId="25749580" w14:textId="77777777" w:rsidR="00FC6F4F" w:rsidRPr="002029AF" w:rsidRDefault="00FC6F4F" w:rsidP="00FC6F4F">
            <w:pPr>
              <w:pStyle w:val="ARtabletextright"/>
              <w:rPr>
                <w:color w:val="000000"/>
              </w:rPr>
            </w:pPr>
            <w:r w:rsidRPr="002029AF">
              <w:rPr>
                <w:color w:val="000000"/>
              </w:rPr>
              <w:t>4,7</w:t>
            </w:r>
            <w:r>
              <w:rPr>
                <w:color w:val="000000"/>
              </w:rPr>
              <w:t>72</w:t>
            </w:r>
          </w:p>
        </w:tc>
        <w:tc>
          <w:tcPr>
            <w:tcW w:w="964" w:type="dxa"/>
            <w:vAlign w:val="center"/>
          </w:tcPr>
          <w:p w14:paraId="049824FF" w14:textId="77777777" w:rsidR="00FC6F4F" w:rsidRPr="002029AF" w:rsidRDefault="00FC6F4F" w:rsidP="00FC6F4F">
            <w:pPr>
              <w:pStyle w:val="ARtabletextright"/>
              <w:rPr>
                <w:color w:val="000000"/>
              </w:rPr>
            </w:pPr>
            <w:r w:rsidRPr="002029AF">
              <w:rPr>
                <w:color w:val="000000"/>
              </w:rPr>
              <w:t>$8.0</w:t>
            </w:r>
            <w:r>
              <w:rPr>
                <w:color w:val="000000"/>
              </w:rPr>
              <w:t>6</w:t>
            </w:r>
          </w:p>
        </w:tc>
        <w:tc>
          <w:tcPr>
            <w:tcW w:w="1304" w:type="dxa"/>
            <w:vAlign w:val="center"/>
          </w:tcPr>
          <w:p w14:paraId="5BD007C7" w14:textId="77777777" w:rsidR="00FC6F4F" w:rsidRPr="002029AF" w:rsidRDefault="00FC6F4F" w:rsidP="00FC6F4F">
            <w:pPr>
              <w:pStyle w:val="ARtabletextright"/>
              <w:rPr>
                <w:color w:val="000000"/>
              </w:rPr>
            </w:pPr>
            <w:r w:rsidRPr="002029AF">
              <w:rPr>
                <w:color w:val="000000"/>
              </w:rPr>
              <w:t>4,</w:t>
            </w:r>
            <w:r>
              <w:rPr>
                <w:color w:val="000000"/>
              </w:rPr>
              <w:t>685</w:t>
            </w:r>
          </w:p>
        </w:tc>
        <w:tc>
          <w:tcPr>
            <w:tcW w:w="964" w:type="dxa"/>
            <w:vAlign w:val="center"/>
          </w:tcPr>
          <w:p w14:paraId="56C73F86" w14:textId="77777777" w:rsidR="00FC6F4F" w:rsidRPr="002029AF" w:rsidRDefault="00FC6F4F" w:rsidP="00FC6F4F">
            <w:pPr>
              <w:pStyle w:val="ARtabletextright"/>
              <w:rPr>
                <w:color w:val="000000"/>
              </w:rPr>
            </w:pPr>
            <w:r w:rsidRPr="002029AF">
              <w:rPr>
                <w:color w:val="000000"/>
              </w:rPr>
              <w:t>$8.</w:t>
            </w:r>
            <w:r>
              <w:rPr>
                <w:color w:val="000000"/>
              </w:rPr>
              <w:t>08</w:t>
            </w:r>
          </w:p>
        </w:tc>
      </w:tr>
      <w:tr w:rsidR="00FC6F4F" w:rsidRPr="002029AF" w14:paraId="503FE586" w14:textId="77777777" w:rsidTr="007C6076">
        <w:trPr>
          <w:cantSplit w:val="0"/>
        </w:trPr>
        <w:tc>
          <w:tcPr>
            <w:tcW w:w="2835" w:type="dxa"/>
            <w:hideMark/>
          </w:tcPr>
          <w:p w14:paraId="171F4454" w14:textId="77777777" w:rsidR="00FC6F4F" w:rsidRPr="002029AF" w:rsidRDefault="00FC6F4F" w:rsidP="00FC6F4F">
            <w:pPr>
              <w:pStyle w:val="ARtabletext"/>
            </w:pPr>
            <w:r w:rsidRPr="002029AF">
              <w:t>Landfill</w:t>
            </w:r>
          </w:p>
        </w:tc>
        <w:tc>
          <w:tcPr>
            <w:tcW w:w="1304" w:type="dxa"/>
            <w:vAlign w:val="center"/>
          </w:tcPr>
          <w:p w14:paraId="258CF5FA" w14:textId="77777777" w:rsidR="00FC6F4F" w:rsidRPr="002029AF" w:rsidRDefault="00FC6F4F" w:rsidP="00FC6F4F">
            <w:pPr>
              <w:pStyle w:val="ARtabletextright"/>
              <w:rPr>
                <w:color w:val="000000" w:themeColor="text1"/>
              </w:rPr>
            </w:pPr>
            <w:r w:rsidRPr="6DD9571F">
              <w:rPr>
                <w:color w:val="000000" w:themeColor="text1"/>
              </w:rPr>
              <w:t>23,462</w:t>
            </w:r>
          </w:p>
        </w:tc>
        <w:tc>
          <w:tcPr>
            <w:tcW w:w="964" w:type="dxa"/>
            <w:vAlign w:val="center"/>
          </w:tcPr>
          <w:p w14:paraId="2BC538C9" w14:textId="77777777" w:rsidR="00FC6F4F" w:rsidRPr="00FB3E1B" w:rsidRDefault="00FC6F4F" w:rsidP="00FC6F4F">
            <w:pPr>
              <w:pStyle w:val="ARtabletextright"/>
              <w:rPr>
                <w:color w:val="000000" w:themeColor="text1"/>
              </w:rPr>
            </w:pPr>
            <w:r w:rsidRPr="6DD9571F">
              <w:rPr>
                <w:color w:val="000000" w:themeColor="text1"/>
              </w:rPr>
              <w:t>$5.02</w:t>
            </w:r>
          </w:p>
        </w:tc>
        <w:tc>
          <w:tcPr>
            <w:tcW w:w="1304" w:type="dxa"/>
            <w:vAlign w:val="center"/>
          </w:tcPr>
          <w:p w14:paraId="48203D01" w14:textId="77777777" w:rsidR="00FC6F4F" w:rsidRPr="002029AF" w:rsidRDefault="00FC6F4F" w:rsidP="00FC6F4F">
            <w:pPr>
              <w:pStyle w:val="ARtabletextright"/>
              <w:rPr>
                <w:color w:val="000000"/>
              </w:rPr>
            </w:pPr>
            <w:r w:rsidRPr="6DD9571F">
              <w:rPr>
                <w:color w:val="000000" w:themeColor="text1"/>
              </w:rPr>
              <w:t>22,151</w:t>
            </w:r>
          </w:p>
        </w:tc>
        <w:tc>
          <w:tcPr>
            <w:tcW w:w="964" w:type="dxa"/>
            <w:vAlign w:val="center"/>
          </w:tcPr>
          <w:p w14:paraId="17D11BDE" w14:textId="77777777" w:rsidR="00FC6F4F" w:rsidRPr="002029AF" w:rsidRDefault="00FC6F4F" w:rsidP="00FC6F4F">
            <w:pPr>
              <w:pStyle w:val="ARtabletextright"/>
              <w:rPr>
                <w:color w:val="000000"/>
              </w:rPr>
            </w:pPr>
            <w:r w:rsidRPr="6DD9571F">
              <w:rPr>
                <w:color w:val="000000" w:themeColor="text1"/>
              </w:rPr>
              <w:t>$4.90</w:t>
            </w:r>
          </w:p>
        </w:tc>
        <w:tc>
          <w:tcPr>
            <w:tcW w:w="1304" w:type="dxa"/>
            <w:vAlign w:val="center"/>
          </w:tcPr>
          <w:p w14:paraId="4C26D895" w14:textId="77777777" w:rsidR="00FC6F4F" w:rsidRPr="002029AF" w:rsidRDefault="00FC6F4F" w:rsidP="00FC6F4F">
            <w:pPr>
              <w:pStyle w:val="ARtabletextright"/>
              <w:rPr>
                <w:color w:val="000000"/>
              </w:rPr>
            </w:pPr>
            <w:r w:rsidRPr="002029AF">
              <w:rPr>
                <w:color w:val="000000"/>
              </w:rPr>
              <w:t>2</w:t>
            </w:r>
            <w:r>
              <w:rPr>
                <w:color w:val="000000"/>
              </w:rPr>
              <w:t>3</w:t>
            </w:r>
            <w:r w:rsidRPr="002029AF">
              <w:rPr>
                <w:color w:val="000000"/>
              </w:rPr>
              <w:t>,</w:t>
            </w:r>
            <w:r>
              <w:rPr>
                <w:color w:val="000000"/>
              </w:rPr>
              <w:t>659</w:t>
            </w:r>
          </w:p>
        </w:tc>
        <w:tc>
          <w:tcPr>
            <w:tcW w:w="964" w:type="dxa"/>
            <w:vAlign w:val="center"/>
          </w:tcPr>
          <w:p w14:paraId="094FAA2B" w14:textId="77777777" w:rsidR="00FC6F4F" w:rsidRPr="002029AF" w:rsidRDefault="00FC6F4F" w:rsidP="00FC6F4F">
            <w:pPr>
              <w:pStyle w:val="ARtabletextright"/>
              <w:rPr>
                <w:color w:val="000000"/>
              </w:rPr>
            </w:pPr>
            <w:r w:rsidRPr="002029AF">
              <w:rPr>
                <w:color w:val="000000"/>
              </w:rPr>
              <w:t>$</w:t>
            </w:r>
            <w:r>
              <w:rPr>
                <w:color w:val="000000"/>
              </w:rPr>
              <w:t>4</w:t>
            </w:r>
            <w:r w:rsidRPr="002029AF">
              <w:rPr>
                <w:color w:val="000000"/>
              </w:rPr>
              <w:t>.</w:t>
            </w:r>
            <w:r>
              <w:rPr>
                <w:color w:val="000000"/>
              </w:rPr>
              <w:t>98</w:t>
            </w:r>
          </w:p>
        </w:tc>
      </w:tr>
      <w:tr w:rsidR="00FC6F4F" w:rsidRPr="002029AF" w14:paraId="304A5965" w14:textId="77777777" w:rsidTr="007C6076">
        <w:trPr>
          <w:cantSplit w:val="0"/>
        </w:trPr>
        <w:tc>
          <w:tcPr>
            <w:tcW w:w="2835" w:type="dxa"/>
            <w:hideMark/>
          </w:tcPr>
          <w:p w14:paraId="3E551E78" w14:textId="77777777" w:rsidR="00FC6F4F" w:rsidRPr="002029AF" w:rsidRDefault="00FC6F4F" w:rsidP="00FC6F4F">
            <w:pPr>
              <w:pStyle w:val="ARtabletext"/>
            </w:pPr>
            <w:r w:rsidRPr="002029AF">
              <w:t>Recycling</w:t>
            </w:r>
          </w:p>
        </w:tc>
        <w:tc>
          <w:tcPr>
            <w:tcW w:w="1304" w:type="dxa"/>
            <w:vAlign w:val="center"/>
          </w:tcPr>
          <w:p w14:paraId="627EC4CC" w14:textId="77777777" w:rsidR="00FC6F4F" w:rsidRPr="002029AF" w:rsidRDefault="00FC6F4F" w:rsidP="00FC6F4F">
            <w:pPr>
              <w:pStyle w:val="ARtabletextright"/>
              <w:rPr>
                <w:color w:val="000000" w:themeColor="text1"/>
              </w:rPr>
            </w:pPr>
            <w:r w:rsidRPr="6DD9571F">
              <w:rPr>
                <w:color w:val="000000" w:themeColor="text1"/>
              </w:rPr>
              <w:t>9,329</w:t>
            </w:r>
          </w:p>
        </w:tc>
        <w:tc>
          <w:tcPr>
            <w:tcW w:w="964" w:type="dxa"/>
            <w:vAlign w:val="center"/>
          </w:tcPr>
          <w:p w14:paraId="3450B2D5" w14:textId="77777777" w:rsidR="00FC6F4F" w:rsidRPr="00FB3E1B" w:rsidRDefault="00FC6F4F" w:rsidP="00FC6F4F">
            <w:pPr>
              <w:pStyle w:val="ARtabletextright"/>
            </w:pPr>
            <w:r w:rsidRPr="6DD9571F">
              <w:rPr>
                <w:color w:val="000000" w:themeColor="text1"/>
              </w:rPr>
              <w:t>$1.76</w:t>
            </w:r>
          </w:p>
        </w:tc>
        <w:tc>
          <w:tcPr>
            <w:tcW w:w="1304" w:type="dxa"/>
            <w:vAlign w:val="center"/>
          </w:tcPr>
          <w:p w14:paraId="16E95E5D" w14:textId="77777777" w:rsidR="00FC6F4F" w:rsidRPr="002029AF" w:rsidRDefault="00FC6F4F" w:rsidP="00FC6F4F">
            <w:pPr>
              <w:pStyle w:val="ARtabletextright"/>
              <w:rPr>
                <w:color w:val="000000"/>
              </w:rPr>
            </w:pPr>
            <w:r w:rsidRPr="6DD9571F">
              <w:rPr>
                <w:color w:val="000000" w:themeColor="text1"/>
              </w:rPr>
              <w:t>8,526</w:t>
            </w:r>
          </w:p>
        </w:tc>
        <w:tc>
          <w:tcPr>
            <w:tcW w:w="964" w:type="dxa"/>
            <w:vAlign w:val="center"/>
          </w:tcPr>
          <w:p w14:paraId="11D5C61E" w14:textId="77777777" w:rsidR="00FC6F4F" w:rsidRPr="002029AF" w:rsidRDefault="00FC6F4F" w:rsidP="00FC6F4F">
            <w:pPr>
              <w:pStyle w:val="ARtabletextright"/>
              <w:rPr>
                <w:color w:val="000000"/>
              </w:rPr>
            </w:pPr>
            <w:r w:rsidRPr="002029AF">
              <w:rPr>
                <w:color w:val="000000"/>
              </w:rPr>
              <w:t>$1.6</w:t>
            </w:r>
            <w:r>
              <w:rPr>
                <w:color w:val="000000"/>
              </w:rPr>
              <w:t>7</w:t>
            </w:r>
          </w:p>
        </w:tc>
        <w:tc>
          <w:tcPr>
            <w:tcW w:w="1304" w:type="dxa"/>
            <w:vAlign w:val="center"/>
          </w:tcPr>
          <w:p w14:paraId="511E2671" w14:textId="77777777" w:rsidR="00FC6F4F" w:rsidRPr="002029AF" w:rsidRDefault="00FC6F4F" w:rsidP="00FC6F4F">
            <w:pPr>
              <w:pStyle w:val="ARtabletextright"/>
              <w:rPr>
                <w:color w:val="000000"/>
              </w:rPr>
            </w:pPr>
            <w:r w:rsidRPr="002029AF">
              <w:rPr>
                <w:color w:val="000000"/>
              </w:rPr>
              <w:t>9,</w:t>
            </w:r>
            <w:r>
              <w:rPr>
                <w:color w:val="000000"/>
              </w:rPr>
              <w:t>704</w:t>
            </w:r>
          </w:p>
        </w:tc>
        <w:tc>
          <w:tcPr>
            <w:tcW w:w="964" w:type="dxa"/>
            <w:vAlign w:val="center"/>
          </w:tcPr>
          <w:p w14:paraId="0CB5AA13" w14:textId="77777777" w:rsidR="00FC6F4F" w:rsidRPr="002029AF" w:rsidRDefault="00FC6F4F" w:rsidP="00FC6F4F">
            <w:pPr>
              <w:pStyle w:val="ARtabletextright"/>
              <w:rPr>
                <w:color w:val="000000"/>
              </w:rPr>
            </w:pPr>
            <w:r w:rsidRPr="002029AF">
              <w:rPr>
                <w:color w:val="000000"/>
              </w:rPr>
              <w:t>$1.</w:t>
            </w:r>
            <w:r>
              <w:rPr>
                <w:color w:val="000000"/>
              </w:rPr>
              <w:t>76</w:t>
            </w:r>
          </w:p>
        </w:tc>
      </w:tr>
      <w:tr w:rsidR="00FC6F4F" w:rsidRPr="002029AF" w14:paraId="7AF8DBC8" w14:textId="77777777" w:rsidTr="007C6076">
        <w:trPr>
          <w:cantSplit w:val="0"/>
        </w:trPr>
        <w:tc>
          <w:tcPr>
            <w:tcW w:w="2835" w:type="dxa"/>
            <w:hideMark/>
          </w:tcPr>
          <w:p w14:paraId="2F543DE7" w14:textId="77777777" w:rsidR="00FC6F4F" w:rsidRPr="002029AF" w:rsidRDefault="00FC6F4F" w:rsidP="00FC6F4F">
            <w:pPr>
              <w:pStyle w:val="ARtabletext"/>
              <w:rPr>
                <w:b/>
                <w:bCs/>
              </w:rPr>
            </w:pPr>
            <w:r w:rsidRPr="002029AF">
              <w:rPr>
                <w:b/>
                <w:bCs/>
              </w:rPr>
              <w:t>Total</w:t>
            </w:r>
          </w:p>
        </w:tc>
        <w:tc>
          <w:tcPr>
            <w:tcW w:w="1304" w:type="dxa"/>
            <w:vAlign w:val="center"/>
          </w:tcPr>
          <w:p w14:paraId="4DD781F6" w14:textId="77777777" w:rsidR="00FC6F4F" w:rsidRPr="002029AF" w:rsidRDefault="00FC6F4F" w:rsidP="00FC6F4F">
            <w:pPr>
              <w:pStyle w:val="ARtabletextrightbold"/>
              <w:rPr>
                <w:color w:val="000000" w:themeColor="text1"/>
              </w:rPr>
            </w:pPr>
            <w:r w:rsidRPr="6DD9571F">
              <w:rPr>
                <w:color w:val="000000" w:themeColor="text1"/>
              </w:rPr>
              <w:t>39,177</w:t>
            </w:r>
          </w:p>
        </w:tc>
        <w:tc>
          <w:tcPr>
            <w:tcW w:w="964" w:type="dxa"/>
            <w:vAlign w:val="center"/>
          </w:tcPr>
          <w:p w14:paraId="5FA1994D" w14:textId="77777777" w:rsidR="00FC6F4F" w:rsidRPr="00FB3E1B" w:rsidRDefault="00FC6F4F" w:rsidP="00FC6F4F">
            <w:pPr>
              <w:pStyle w:val="ARtabletextrightbold"/>
              <w:rPr>
                <w:color w:val="000000" w:themeColor="text1"/>
              </w:rPr>
            </w:pPr>
            <w:r w:rsidRPr="6DD9571F">
              <w:rPr>
                <w:color w:val="000000" w:themeColor="text1"/>
              </w:rPr>
              <w:t>$16.47</w:t>
            </w:r>
          </w:p>
        </w:tc>
        <w:tc>
          <w:tcPr>
            <w:tcW w:w="1304" w:type="dxa"/>
            <w:vAlign w:val="center"/>
          </w:tcPr>
          <w:p w14:paraId="5582FE21" w14:textId="77777777" w:rsidR="00FC6F4F" w:rsidRPr="002029AF" w:rsidRDefault="00FC6F4F" w:rsidP="00FC6F4F">
            <w:pPr>
              <w:pStyle w:val="ARtabletextrightbold"/>
              <w:rPr>
                <w:color w:val="000000"/>
              </w:rPr>
            </w:pPr>
            <w:r w:rsidRPr="6DD9571F">
              <w:rPr>
                <w:color w:val="000000" w:themeColor="text1"/>
              </w:rPr>
              <w:t>35,449</w:t>
            </w:r>
          </w:p>
        </w:tc>
        <w:tc>
          <w:tcPr>
            <w:tcW w:w="964" w:type="dxa"/>
            <w:vAlign w:val="center"/>
          </w:tcPr>
          <w:p w14:paraId="1D5C2C0E" w14:textId="77777777" w:rsidR="00FC6F4F" w:rsidRPr="002029AF" w:rsidRDefault="00FC6F4F" w:rsidP="00FC6F4F">
            <w:pPr>
              <w:pStyle w:val="ARtabletextrightbold"/>
              <w:rPr>
                <w:color w:val="000000"/>
              </w:rPr>
            </w:pPr>
            <w:r w:rsidRPr="6DD9571F">
              <w:rPr>
                <w:color w:val="000000" w:themeColor="text1"/>
              </w:rPr>
              <w:t>$14.63</w:t>
            </w:r>
          </w:p>
        </w:tc>
        <w:tc>
          <w:tcPr>
            <w:tcW w:w="1304" w:type="dxa"/>
            <w:vAlign w:val="center"/>
          </w:tcPr>
          <w:p w14:paraId="7412D66C" w14:textId="77777777" w:rsidR="00FC6F4F" w:rsidRPr="002029AF" w:rsidRDefault="00FC6F4F" w:rsidP="00FC6F4F">
            <w:pPr>
              <w:pStyle w:val="ARtabletextrightbold"/>
              <w:rPr>
                <w:color w:val="000000"/>
              </w:rPr>
            </w:pPr>
            <w:r w:rsidRPr="002029AF">
              <w:rPr>
                <w:color w:val="000000"/>
              </w:rPr>
              <w:t>38,</w:t>
            </w:r>
            <w:r>
              <w:rPr>
                <w:color w:val="000000"/>
              </w:rPr>
              <w:t>048</w:t>
            </w:r>
          </w:p>
        </w:tc>
        <w:tc>
          <w:tcPr>
            <w:tcW w:w="964" w:type="dxa"/>
            <w:vAlign w:val="center"/>
          </w:tcPr>
          <w:p w14:paraId="11B8D610" w14:textId="77777777" w:rsidR="00FC6F4F" w:rsidRPr="002029AF" w:rsidRDefault="00FC6F4F" w:rsidP="00FC6F4F">
            <w:pPr>
              <w:pStyle w:val="ARtabletextrightbold"/>
              <w:rPr>
                <w:color w:val="000000"/>
              </w:rPr>
            </w:pPr>
            <w:r w:rsidRPr="002029AF">
              <w:rPr>
                <w:color w:val="000000"/>
              </w:rPr>
              <w:t>$1</w:t>
            </w:r>
            <w:r>
              <w:rPr>
                <w:color w:val="000000"/>
              </w:rPr>
              <w:t>4</w:t>
            </w:r>
            <w:r w:rsidRPr="002029AF">
              <w:rPr>
                <w:color w:val="000000"/>
              </w:rPr>
              <w:t>.</w:t>
            </w:r>
            <w:r>
              <w:rPr>
                <w:color w:val="000000"/>
              </w:rPr>
              <w:t>82</w:t>
            </w:r>
          </w:p>
        </w:tc>
      </w:tr>
    </w:tbl>
    <w:p w14:paraId="38147BCC" w14:textId="77777777" w:rsidR="00FC6F4F" w:rsidRPr="002029AF" w:rsidRDefault="00FC6F4F" w:rsidP="00897193">
      <w:pPr>
        <w:pStyle w:val="ARbody"/>
        <w:rPr>
          <w:lang w:eastAsia="en-AU"/>
        </w:rPr>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2835"/>
        <w:gridCol w:w="2268"/>
        <w:gridCol w:w="2268"/>
        <w:gridCol w:w="2268"/>
      </w:tblGrid>
      <w:tr w:rsidR="00FC6F4F" w:rsidRPr="002029AF" w14:paraId="149CE67B" w14:textId="77777777" w:rsidTr="00FC6F4F">
        <w:trPr>
          <w:cantSplit/>
          <w:trHeight w:val="285"/>
          <w:tblHeader/>
        </w:trPr>
        <w:tc>
          <w:tcPr>
            <w:tcW w:w="2835" w:type="dxa"/>
            <w:vAlign w:val="bottom"/>
          </w:tcPr>
          <w:p w14:paraId="04DE0992" w14:textId="77777777" w:rsidR="00FC6F4F" w:rsidRPr="002029AF" w:rsidRDefault="00FC6F4F" w:rsidP="00FC6F4F">
            <w:pPr>
              <w:pStyle w:val="ARtablecolhead"/>
            </w:pPr>
            <w:r w:rsidRPr="002029AF">
              <w:t>Description</w:t>
            </w:r>
          </w:p>
        </w:tc>
        <w:tc>
          <w:tcPr>
            <w:tcW w:w="2268" w:type="dxa"/>
            <w:vAlign w:val="center"/>
          </w:tcPr>
          <w:p w14:paraId="5521CBF4" w14:textId="77777777" w:rsidR="00FC6F4F" w:rsidRPr="002029AF" w:rsidRDefault="00FC6F4F" w:rsidP="00FC6F4F">
            <w:pPr>
              <w:pStyle w:val="ARtablecolheadright"/>
            </w:pPr>
            <w:r w:rsidRPr="002029AF">
              <w:rPr>
                <w:color w:val="000000"/>
              </w:rPr>
              <w:t>20</w:t>
            </w:r>
            <w:r>
              <w:rPr>
                <w:color w:val="000000"/>
              </w:rPr>
              <w:t>20</w:t>
            </w:r>
            <w:r w:rsidRPr="002029AF">
              <w:rPr>
                <w:color w:val="000000"/>
              </w:rPr>
              <w:t>–2</w:t>
            </w:r>
            <w:r>
              <w:rPr>
                <w:color w:val="000000"/>
              </w:rPr>
              <w:t>1</w:t>
            </w:r>
            <w:r w:rsidRPr="002029AF">
              <w:rPr>
                <w:color w:val="000000"/>
              </w:rPr>
              <w:t xml:space="preserve"> estimate</w:t>
            </w:r>
          </w:p>
        </w:tc>
        <w:tc>
          <w:tcPr>
            <w:tcW w:w="2268" w:type="dxa"/>
            <w:vAlign w:val="center"/>
          </w:tcPr>
          <w:p w14:paraId="0C9A2609" w14:textId="77777777" w:rsidR="00FC6F4F" w:rsidRPr="002029AF" w:rsidRDefault="00FC6F4F" w:rsidP="00FC6F4F">
            <w:pPr>
              <w:pStyle w:val="ARtablecolheadright"/>
              <w:rPr>
                <w:color w:val="000000"/>
              </w:rPr>
            </w:pPr>
            <w:r w:rsidRPr="002029AF">
              <w:rPr>
                <w:color w:val="000000"/>
              </w:rPr>
              <w:t>2019–20 estimate</w:t>
            </w:r>
          </w:p>
        </w:tc>
        <w:tc>
          <w:tcPr>
            <w:tcW w:w="2268" w:type="dxa"/>
            <w:vAlign w:val="center"/>
          </w:tcPr>
          <w:p w14:paraId="10B1EB4F" w14:textId="77777777" w:rsidR="00FC6F4F" w:rsidRPr="002029AF" w:rsidRDefault="00FC6F4F" w:rsidP="00FC6F4F">
            <w:pPr>
              <w:pStyle w:val="ARtablecolheadright"/>
              <w:rPr>
                <w:color w:val="000000"/>
              </w:rPr>
            </w:pPr>
            <w:r w:rsidRPr="002029AF">
              <w:rPr>
                <w:color w:val="000000"/>
              </w:rPr>
              <w:t>2018–19 estimate</w:t>
            </w:r>
          </w:p>
        </w:tc>
      </w:tr>
      <w:tr w:rsidR="00FC6F4F" w:rsidRPr="002029AF" w14:paraId="69117708" w14:textId="77777777" w:rsidTr="00206595">
        <w:trPr>
          <w:cantSplit/>
          <w:trHeight w:val="285"/>
        </w:trPr>
        <w:tc>
          <w:tcPr>
            <w:tcW w:w="2835" w:type="dxa"/>
          </w:tcPr>
          <w:p w14:paraId="6242B9AC" w14:textId="77777777" w:rsidR="00FC6F4F" w:rsidRPr="002029AF" w:rsidRDefault="00FC6F4F" w:rsidP="00FC6F4F">
            <w:pPr>
              <w:pStyle w:val="ARtabletext"/>
            </w:pPr>
            <w:r w:rsidRPr="002029AF">
              <w:t>Recycling rate (per cent)</w:t>
            </w:r>
          </w:p>
        </w:tc>
        <w:tc>
          <w:tcPr>
            <w:tcW w:w="2268" w:type="dxa"/>
          </w:tcPr>
          <w:p w14:paraId="34D9F625" w14:textId="77777777" w:rsidR="00FC6F4F" w:rsidRPr="002029AF" w:rsidRDefault="00FC6F4F" w:rsidP="00FC6F4F">
            <w:pPr>
              <w:pStyle w:val="ARtabletextright"/>
            </w:pPr>
            <w:r w:rsidRPr="6DD9571F">
              <w:rPr>
                <w:color w:val="000000" w:themeColor="text1"/>
              </w:rPr>
              <w:t>28%</w:t>
            </w:r>
          </w:p>
        </w:tc>
        <w:tc>
          <w:tcPr>
            <w:tcW w:w="2268" w:type="dxa"/>
          </w:tcPr>
          <w:p w14:paraId="28C4AA2E" w14:textId="77777777" w:rsidR="00FC6F4F" w:rsidRPr="002029AF" w:rsidRDefault="00FC6F4F" w:rsidP="00FC6F4F">
            <w:pPr>
              <w:pStyle w:val="ARtabletextright"/>
              <w:rPr>
                <w:color w:val="000000"/>
              </w:rPr>
            </w:pPr>
            <w:r w:rsidRPr="002029AF">
              <w:rPr>
                <w:color w:val="000000"/>
              </w:rPr>
              <w:t>2</w:t>
            </w:r>
            <w:r>
              <w:rPr>
                <w:color w:val="000000"/>
              </w:rPr>
              <w:t>8</w:t>
            </w:r>
            <w:r w:rsidRPr="002029AF">
              <w:rPr>
                <w:color w:val="000000"/>
              </w:rPr>
              <w:t>%</w:t>
            </w:r>
          </w:p>
        </w:tc>
        <w:tc>
          <w:tcPr>
            <w:tcW w:w="2268" w:type="dxa"/>
          </w:tcPr>
          <w:p w14:paraId="1BC17E28" w14:textId="77777777" w:rsidR="00FC6F4F" w:rsidRPr="002029AF" w:rsidRDefault="00FC6F4F" w:rsidP="00FC6F4F">
            <w:pPr>
              <w:pStyle w:val="ARtabletextright"/>
              <w:rPr>
                <w:color w:val="000000"/>
              </w:rPr>
            </w:pPr>
            <w:r w:rsidRPr="002029AF">
              <w:rPr>
                <w:color w:val="000000"/>
              </w:rPr>
              <w:t>29%</w:t>
            </w:r>
          </w:p>
        </w:tc>
      </w:tr>
      <w:tr w:rsidR="00FC6F4F" w:rsidRPr="002029AF" w14:paraId="5CD42112" w14:textId="77777777" w:rsidTr="00206595">
        <w:trPr>
          <w:cantSplit/>
          <w:trHeight w:val="285"/>
        </w:trPr>
        <w:tc>
          <w:tcPr>
            <w:tcW w:w="2835" w:type="dxa"/>
          </w:tcPr>
          <w:p w14:paraId="5E105814" w14:textId="77777777" w:rsidR="00FC6F4F" w:rsidRPr="002029AF" w:rsidRDefault="00FC6F4F" w:rsidP="00FC6F4F">
            <w:pPr>
              <w:pStyle w:val="ARtabletext"/>
            </w:pPr>
            <w:r w:rsidRPr="002029AF">
              <w:t>Waste produced per patient treated (kilograms/PPT)</w:t>
            </w:r>
          </w:p>
        </w:tc>
        <w:tc>
          <w:tcPr>
            <w:tcW w:w="2268" w:type="dxa"/>
          </w:tcPr>
          <w:p w14:paraId="340FDFDE" w14:textId="77777777" w:rsidR="00FC6F4F" w:rsidRPr="002029AF" w:rsidRDefault="00FC6F4F" w:rsidP="00FC6F4F">
            <w:pPr>
              <w:pStyle w:val="ARtabletextright"/>
            </w:pPr>
            <w:r w:rsidRPr="6DD9571F">
              <w:rPr>
                <w:color w:val="000000" w:themeColor="text1"/>
              </w:rPr>
              <w:t>3.54</w:t>
            </w:r>
          </w:p>
        </w:tc>
        <w:tc>
          <w:tcPr>
            <w:tcW w:w="2268" w:type="dxa"/>
          </w:tcPr>
          <w:p w14:paraId="600C1100" w14:textId="77777777" w:rsidR="00FC6F4F" w:rsidRPr="002029AF" w:rsidRDefault="00FC6F4F" w:rsidP="00FC6F4F">
            <w:pPr>
              <w:pStyle w:val="ARtabletextright"/>
              <w:rPr>
                <w:color w:val="000000"/>
              </w:rPr>
            </w:pPr>
            <w:r w:rsidRPr="002029AF">
              <w:rPr>
                <w:color w:val="000000"/>
              </w:rPr>
              <w:t>3.</w:t>
            </w:r>
            <w:r>
              <w:rPr>
                <w:color w:val="000000"/>
              </w:rPr>
              <w:t>29</w:t>
            </w:r>
          </w:p>
        </w:tc>
        <w:tc>
          <w:tcPr>
            <w:tcW w:w="2268" w:type="dxa"/>
          </w:tcPr>
          <w:p w14:paraId="49F52689" w14:textId="77777777" w:rsidR="00FC6F4F" w:rsidRPr="002029AF" w:rsidRDefault="00FC6F4F" w:rsidP="00FC6F4F">
            <w:pPr>
              <w:pStyle w:val="ARtabletextright"/>
              <w:rPr>
                <w:color w:val="000000"/>
              </w:rPr>
            </w:pPr>
            <w:r w:rsidRPr="002029AF">
              <w:rPr>
                <w:color w:val="000000"/>
              </w:rPr>
              <w:t>3.</w:t>
            </w:r>
            <w:r>
              <w:rPr>
                <w:color w:val="000000"/>
              </w:rPr>
              <w:t>47</w:t>
            </w:r>
          </w:p>
        </w:tc>
      </w:tr>
      <w:tr w:rsidR="00FC6F4F" w:rsidRPr="002029AF" w14:paraId="3B4BE4A7" w14:textId="77777777" w:rsidTr="00206595">
        <w:trPr>
          <w:cantSplit/>
          <w:trHeight w:val="285"/>
        </w:trPr>
        <w:tc>
          <w:tcPr>
            <w:tcW w:w="2835" w:type="dxa"/>
          </w:tcPr>
          <w:p w14:paraId="51059E6F" w14:textId="77777777" w:rsidR="00FC6F4F" w:rsidRPr="002029AF" w:rsidRDefault="00FC6F4F" w:rsidP="00FC6F4F">
            <w:pPr>
              <w:pStyle w:val="ARtabletext"/>
            </w:pPr>
            <w:r w:rsidRPr="002029AF">
              <w:t>Greenhouse gas emissions associated with waste to landfill (tonnes of CO</w:t>
            </w:r>
            <w:r w:rsidRPr="002029AF">
              <w:rPr>
                <w:vertAlign w:val="subscript"/>
              </w:rPr>
              <w:t>2</w:t>
            </w:r>
            <w:r w:rsidRPr="002029AF">
              <w:t>-e)</w:t>
            </w:r>
          </w:p>
        </w:tc>
        <w:tc>
          <w:tcPr>
            <w:tcW w:w="2268" w:type="dxa"/>
          </w:tcPr>
          <w:p w14:paraId="5F9BDB91" w14:textId="77777777" w:rsidR="00FC6F4F" w:rsidRPr="002029AF" w:rsidRDefault="00FC6F4F" w:rsidP="00FC6F4F">
            <w:pPr>
              <w:pStyle w:val="ARtabletextright"/>
              <w:rPr>
                <w:color w:val="000000" w:themeColor="text1"/>
              </w:rPr>
            </w:pPr>
            <w:r w:rsidRPr="6DD9571F">
              <w:rPr>
                <w:color w:val="000000" w:themeColor="text1"/>
              </w:rPr>
              <w:t>38,607</w:t>
            </w:r>
          </w:p>
        </w:tc>
        <w:tc>
          <w:tcPr>
            <w:tcW w:w="2268" w:type="dxa"/>
          </w:tcPr>
          <w:p w14:paraId="7943424F" w14:textId="77777777" w:rsidR="00FC6F4F" w:rsidRPr="002029AF" w:rsidRDefault="00FC6F4F" w:rsidP="00FC6F4F">
            <w:pPr>
              <w:pStyle w:val="ARtabletextright"/>
              <w:rPr>
                <w:color w:val="000000"/>
              </w:rPr>
            </w:pPr>
            <w:r w:rsidRPr="6DD9571F">
              <w:rPr>
                <w:color w:val="000000" w:themeColor="text1"/>
              </w:rPr>
              <w:t>32,161</w:t>
            </w:r>
          </w:p>
        </w:tc>
        <w:tc>
          <w:tcPr>
            <w:tcW w:w="2268" w:type="dxa"/>
          </w:tcPr>
          <w:p w14:paraId="2453BB79" w14:textId="77777777" w:rsidR="00FC6F4F" w:rsidRPr="002029AF" w:rsidRDefault="00FC6F4F" w:rsidP="00FC6F4F">
            <w:pPr>
              <w:pStyle w:val="ARtabletextright"/>
              <w:rPr>
                <w:color w:val="000000"/>
              </w:rPr>
            </w:pPr>
            <w:r>
              <w:rPr>
                <w:color w:val="000000"/>
              </w:rPr>
              <w:t>33</w:t>
            </w:r>
            <w:r w:rsidRPr="002029AF">
              <w:rPr>
                <w:color w:val="000000"/>
              </w:rPr>
              <w:t>,</w:t>
            </w:r>
            <w:r>
              <w:rPr>
                <w:color w:val="000000"/>
              </w:rPr>
              <w:t>854</w:t>
            </w:r>
          </w:p>
        </w:tc>
      </w:tr>
    </w:tbl>
    <w:p w14:paraId="698FB062" w14:textId="77777777" w:rsidR="00FC6F4F" w:rsidRPr="002029AF" w:rsidRDefault="00FC6F4F" w:rsidP="00897193">
      <w:pPr>
        <w:pStyle w:val="ARtablefootnote"/>
        <w:rPr>
          <w:lang w:eastAsia="en-AU"/>
        </w:rPr>
      </w:pPr>
      <w:bookmarkStart w:id="658" w:name="_Hlk11670865"/>
      <w:r w:rsidRPr="002029AF">
        <w:rPr>
          <w:lang w:eastAsia="en-AU"/>
        </w:rPr>
        <w:t>Public health services are GST-exempt organisations. Reported cost data for public health services is exclusive of GST.</w:t>
      </w:r>
    </w:p>
    <w:p w14:paraId="486E9803" w14:textId="77777777" w:rsidR="00FC6F4F" w:rsidRPr="002029AF" w:rsidRDefault="00FC6F4F" w:rsidP="00897193">
      <w:pPr>
        <w:pStyle w:val="ARtablefootnote"/>
        <w:rPr>
          <w:lang w:eastAsia="en-AU"/>
        </w:rPr>
      </w:pPr>
      <w:r w:rsidRPr="002029AF">
        <w:rPr>
          <w:lang w:eastAsia="en-AU"/>
        </w:rPr>
        <w:t>Clinical and related wastes include clinical, sharps, cytotoxic, pharmaceutical, chemical and anatomical waste streams.</w:t>
      </w:r>
    </w:p>
    <w:p w14:paraId="55CA80F5" w14:textId="77777777" w:rsidR="00FC6F4F" w:rsidRPr="002029AF" w:rsidRDefault="00FC6F4F" w:rsidP="00897193">
      <w:pPr>
        <w:pStyle w:val="ARtablefootnote"/>
        <w:rPr>
          <w:lang w:eastAsia="en-AU"/>
        </w:rPr>
      </w:pPr>
      <w:r w:rsidRPr="002029AF">
        <w:rPr>
          <w:lang w:eastAsia="en-AU"/>
        </w:rPr>
        <w:t>Recycling includes batteries, cardboard, co-mingled, e-waste, fluorescent tubes, grease traps, mattresses, metals, mobile phones, organics, PVC, packaging films/plastics, paper, polystyrene, sterilization wrap, toner and printer cartridges, and wood.</w:t>
      </w:r>
    </w:p>
    <w:p w14:paraId="54C216FC" w14:textId="77777777" w:rsidR="00FC6F4F" w:rsidRPr="002029AF" w:rsidRDefault="00FC6F4F" w:rsidP="00897193">
      <w:pPr>
        <w:pStyle w:val="ARtablefootnote"/>
        <w:rPr>
          <w:lang w:eastAsia="en-AU"/>
        </w:rPr>
      </w:pPr>
      <w:r w:rsidRPr="002029AF">
        <w:rPr>
          <w:lang w:eastAsia="en-AU"/>
        </w:rPr>
        <w:t>Data for some recycling streams was unavailable at the time of printing, so figures reported may not represent the full extent of materials recycled.</w:t>
      </w:r>
    </w:p>
    <w:p w14:paraId="34F8B589" w14:textId="10DF94E8" w:rsidR="00FC6F4F" w:rsidRPr="002029AF" w:rsidRDefault="00FC6F4F" w:rsidP="00897193">
      <w:pPr>
        <w:pStyle w:val="ARtablefootnote"/>
        <w:rPr>
          <w:lang w:eastAsia="en-AU"/>
        </w:rPr>
      </w:pPr>
      <w:r w:rsidRPr="002029AF">
        <w:rPr>
          <w:lang w:eastAsia="en-AU"/>
        </w:rPr>
        <w:t>Waste produced per patient treated is an aggregation of inpatient bed</w:t>
      </w:r>
      <w:r w:rsidR="00245CFD">
        <w:rPr>
          <w:lang w:eastAsia="en-AU"/>
        </w:rPr>
        <w:t xml:space="preserve"> </w:t>
      </w:r>
      <w:r w:rsidRPr="002029AF">
        <w:rPr>
          <w:lang w:eastAsia="en-AU"/>
        </w:rPr>
        <w:t>days, aged care bed</w:t>
      </w:r>
      <w:r w:rsidR="00245CFD">
        <w:rPr>
          <w:lang w:eastAsia="en-AU"/>
        </w:rPr>
        <w:t xml:space="preserve"> </w:t>
      </w:r>
      <w:r w:rsidRPr="002029AF">
        <w:rPr>
          <w:lang w:eastAsia="en-AU"/>
        </w:rPr>
        <w:t>days, separations and emergency department presentations.</w:t>
      </w:r>
    </w:p>
    <w:p w14:paraId="44592981" w14:textId="77777777" w:rsidR="00FC6F4F" w:rsidRPr="002029AF" w:rsidRDefault="00FC6F4F" w:rsidP="001C1AB1">
      <w:pPr>
        <w:pStyle w:val="Heading4"/>
      </w:pPr>
      <w:bookmarkStart w:id="659" w:name="_Toc51786527"/>
      <w:bookmarkStart w:id="660" w:name="_Toc85121328"/>
      <w:r w:rsidRPr="002029AF">
        <w:t>Transportation</w:t>
      </w:r>
      <w:bookmarkEnd w:id="659"/>
      <w:bookmarkEnd w:id="660"/>
    </w:p>
    <w:p w14:paraId="2B9A0073" w14:textId="77777777" w:rsidR="00FC6F4F" w:rsidRPr="002029AF" w:rsidRDefault="00FC6F4F" w:rsidP="001C1AB1">
      <w:pPr>
        <w:pStyle w:val="Heading5"/>
      </w:pPr>
      <w:bookmarkStart w:id="661" w:name="_Toc85121329"/>
      <w:r w:rsidRPr="002029AF">
        <w:t>Vehicle fleet</w:t>
      </w:r>
      <w:bookmarkEnd w:id="661"/>
    </w:p>
    <w:tbl>
      <w:tblPr>
        <w:tblStyle w:val="TableGrid"/>
        <w:tblW w:w="9639" w:type="dxa"/>
        <w:tblLayout w:type="fixed"/>
        <w:tblLook w:val="02A0" w:firstRow="1" w:lastRow="0" w:firstColumn="1" w:lastColumn="0" w:noHBand="1" w:noVBand="0"/>
      </w:tblPr>
      <w:tblGrid>
        <w:gridCol w:w="2173"/>
        <w:gridCol w:w="1245"/>
        <w:gridCol w:w="1245"/>
        <w:gridCol w:w="1244"/>
        <w:gridCol w:w="1244"/>
        <w:gridCol w:w="1244"/>
        <w:gridCol w:w="1244"/>
      </w:tblGrid>
      <w:tr w:rsidR="00E62F5E" w:rsidRPr="002029AF" w14:paraId="3F2D9F88" w14:textId="77777777" w:rsidTr="000572DA">
        <w:trPr>
          <w:cnfStyle w:val="100000000000" w:firstRow="1" w:lastRow="0" w:firstColumn="0" w:lastColumn="0" w:oddVBand="0" w:evenVBand="0" w:oddHBand="0" w:evenHBand="0" w:firstRowFirstColumn="0" w:firstRowLastColumn="0" w:lastRowFirstColumn="0" w:lastRowLastColumn="0"/>
          <w:tblHeader/>
        </w:trPr>
        <w:tc>
          <w:tcPr>
            <w:tcW w:w="2177" w:type="dxa"/>
            <w:vMerge w:val="restart"/>
          </w:tcPr>
          <w:p w14:paraId="5E5F8111" w14:textId="4C6D0DB6" w:rsidR="00E62F5E" w:rsidRPr="002029AF" w:rsidRDefault="00E62F5E" w:rsidP="00897193">
            <w:pPr>
              <w:pStyle w:val="ARtablecolhead"/>
            </w:pPr>
            <w:r w:rsidRPr="002029AF">
              <w:t>Description</w:t>
            </w:r>
          </w:p>
        </w:tc>
        <w:tc>
          <w:tcPr>
            <w:tcW w:w="7482" w:type="dxa"/>
            <w:gridSpan w:val="6"/>
          </w:tcPr>
          <w:p w14:paraId="30260F81" w14:textId="007E845E" w:rsidR="00E62F5E" w:rsidRPr="002029AF" w:rsidRDefault="00E62F5E" w:rsidP="00E62F5E">
            <w:pPr>
              <w:pStyle w:val="ARtablecolheadcentre"/>
            </w:pPr>
            <w:r w:rsidRPr="002029AF">
              <w:t>Vehicle type</w:t>
            </w:r>
          </w:p>
        </w:tc>
      </w:tr>
      <w:tr w:rsidR="00E62F5E" w:rsidRPr="002029AF" w14:paraId="14A966E7" w14:textId="77777777" w:rsidTr="000572DA">
        <w:trPr>
          <w:cnfStyle w:val="100000000000" w:firstRow="1" w:lastRow="0" w:firstColumn="0" w:lastColumn="0" w:oddVBand="0" w:evenVBand="0" w:oddHBand="0" w:evenHBand="0" w:firstRowFirstColumn="0" w:firstRowLastColumn="0" w:lastRowFirstColumn="0" w:lastRowLastColumn="0"/>
          <w:tblHeader/>
        </w:trPr>
        <w:tc>
          <w:tcPr>
            <w:tcW w:w="2177" w:type="dxa"/>
            <w:vMerge/>
          </w:tcPr>
          <w:p w14:paraId="6D53BA01" w14:textId="20CD5690" w:rsidR="00E62F5E" w:rsidRPr="002029AF" w:rsidRDefault="00E62F5E" w:rsidP="00897193">
            <w:pPr>
              <w:pStyle w:val="ARtablecolhead"/>
            </w:pPr>
          </w:p>
        </w:tc>
        <w:tc>
          <w:tcPr>
            <w:tcW w:w="1247" w:type="dxa"/>
          </w:tcPr>
          <w:p w14:paraId="40139AD2" w14:textId="77777777" w:rsidR="00E62F5E" w:rsidRPr="002029AF" w:rsidRDefault="00E62F5E" w:rsidP="00897193">
            <w:pPr>
              <w:pStyle w:val="ARtablecolheadright"/>
            </w:pPr>
            <w:r>
              <w:t>Electric</w:t>
            </w:r>
          </w:p>
        </w:tc>
        <w:tc>
          <w:tcPr>
            <w:tcW w:w="1247" w:type="dxa"/>
          </w:tcPr>
          <w:p w14:paraId="4B2737D7" w14:textId="77777777" w:rsidR="00E62F5E" w:rsidRPr="002029AF" w:rsidRDefault="00E62F5E" w:rsidP="00897193">
            <w:pPr>
              <w:pStyle w:val="ARtablecolheadright"/>
            </w:pPr>
            <w:r w:rsidRPr="002029AF">
              <w:t>Hybrid</w:t>
            </w:r>
          </w:p>
        </w:tc>
        <w:tc>
          <w:tcPr>
            <w:tcW w:w="1247" w:type="dxa"/>
          </w:tcPr>
          <w:p w14:paraId="3A960CDF" w14:textId="77777777" w:rsidR="00E62F5E" w:rsidRPr="002029AF" w:rsidRDefault="00E62F5E" w:rsidP="00897193">
            <w:pPr>
              <w:pStyle w:val="ARtablecolheadright"/>
            </w:pPr>
            <w:r w:rsidRPr="002029AF">
              <w:t>1–3 cylinder unleaded petrol</w:t>
            </w:r>
          </w:p>
        </w:tc>
        <w:tc>
          <w:tcPr>
            <w:tcW w:w="1247" w:type="dxa"/>
          </w:tcPr>
          <w:p w14:paraId="297891B8" w14:textId="77777777" w:rsidR="00E62F5E" w:rsidRPr="002029AF" w:rsidRDefault="00E62F5E" w:rsidP="00897193">
            <w:pPr>
              <w:pStyle w:val="ARtablecolheadright"/>
            </w:pPr>
            <w:r w:rsidRPr="002029AF">
              <w:t>4-cylinder unleaded petrol</w:t>
            </w:r>
          </w:p>
        </w:tc>
        <w:tc>
          <w:tcPr>
            <w:tcW w:w="1247" w:type="dxa"/>
          </w:tcPr>
          <w:p w14:paraId="117AF6FF" w14:textId="77777777" w:rsidR="00E62F5E" w:rsidRPr="002029AF" w:rsidRDefault="00E62F5E" w:rsidP="00897193">
            <w:pPr>
              <w:pStyle w:val="ARtablecolheadright"/>
            </w:pPr>
            <w:r w:rsidRPr="002029AF">
              <w:t xml:space="preserve">6-cylinder unleaded petrol </w:t>
            </w:r>
          </w:p>
        </w:tc>
        <w:tc>
          <w:tcPr>
            <w:tcW w:w="1247" w:type="dxa"/>
          </w:tcPr>
          <w:p w14:paraId="35623C20" w14:textId="77777777" w:rsidR="00E62F5E" w:rsidRPr="002029AF" w:rsidRDefault="00E62F5E" w:rsidP="00897193">
            <w:pPr>
              <w:pStyle w:val="ARtablecolheadright"/>
            </w:pPr>
            <w:r w:rsidRPr="002029AF">
              <w:t>Diesel</w:t>
            </w:r>
          </w:p>
        </w:tc>
      </w:tr>
      <w:tr w:rsidR="00FC6F4F" w:rsidRPr="002029AF" w14:paraId="548BF6C5" w14:textId="77777777" w:rsidTr="000572DA">
        <w:trPr>
          <w:cantSplit w:val="0"/>
        </w:trPr>
        <w:tc>
          <w:tcPr>
            <w:tcW w:w="2177" w:type="dxa"/>
          </w:tcPr>
          <w:p w14:paraId="41DD6623" w14:textId="77777777" w:rsidR="00FC6F4F" w:rsidRPr="002029AF" w:rsidRDefault="00FC6F4F" w:rsidP="00FC6F4F">
            <w:pPr>
              <w:pStyle w:val="ARtabletext"/>
            </w:pPr>
            <w:r w:rsidRPr="002029AF">
              <w:t>Commercial</w:t>
            </w:r>
          </w:p>
        </w:tc>
        <w:tc>
          <w:tcPr>
            <w:tcW w:w="1247" w:type="dxa"/>
          </w:tcPr>
          <w:p w14:paraId="65A42BB9" w14:textId="77777777" w:rsidR="00FC6F4F" w:rsidRPr="00E62F5E" w:rsidRDefault="00FC6F4F" w:rsidP="00E62F5E">
            <w:pPr>
              <w:pStyle w:val="ARtabletextright"/>
            </w:pPr>
            <w:r w:rsidRPr="00E62F5E">
              <w:t>0</w:t>
            </w:r>
          </w:p>
        </w:tc>
        <w:tc>
          <w:tcPr>
            <w:tcW w:w="1247" w:type="dxa"/>
          </w:tcPr>
          <w:p w14:paraId="662E3E55" w14:textId="77777777" w:rsidR="00FC6F4F" w:rsidRPr="00E62F5E" w:rsidRDefault="00FC6F4F" w:rsidP="00E62F5E">
            <w:pPr>
              <w:pStyle w:val="ARtabletextright"/>
            </w:pPr>
            <w:r w:rsidRPr="00E62F5E">
              <w:t>0</w:t>
            </w:r>
          </w:p>
        </w:tc>
        <w:tc>
          <w:tcPr>
            <w:tcW w:w="1247" w:type="dxa"/>
          </w:tcPr>
          <w:p w14:paraId="171A32D3" w14:textId="77777777" w:rsidR="00FC6F4F" w:rsidRPr="00E62F5E" w:rsidRDefault="00FC6F4F" w:rsidP="00E62F5E">
            <w:pPr>
              <w:pStyle w:val="ARtabletextright"/>
            </w:pPr>
            <w:r w:rsidRPr="00E62F5E">
              <w:t>3</w:t>
            </w:r>
          </w:p>
        </w:tc>
        <w:tc>
          <w:tcPr>
            <w:tcW w:w="1247" w:type="dxa"/>
          </w:tcPr>
          <w:p w14:paraId="631C8A5D" w14:textId="77777777" w:rsidR="00FC6F4F" w:rsidRPr="00E62F5E" w:rsidRDefault="00FC6F4F" w:rsidP="00E62F5E">
            <w:pPr>
              <w:pStyle w:val="ARtabletextright"/>
            </w:pPr>
            <w:r w:rsidRPr="00E62F5E">
              <w:t>0</w:t>
            </w:r>
          </w:p>
        </w:tc>
        <w:tc>
          <w:tcPr>
            <w:tcW w:w="1247" w:type="dxa"/>
          </w:tcPr>
          <w:p w14:paraId="58F4F716" w14:textId="77777777" w:rsidR="00FC6F4F" w:rsidRPr="00E62F5E" w:rsidRDefault="00FC6F4F" w:rsidP="00E62F5E">
            <w:pPr>
              <w:pStyle w:val="ARtabletextright"/>
            </w:pPr>
            <w:r w:rsidRPr="00E62F5E">
              <w:t>0</w:t>
            </w:r>
          </w:p>
        </w:tc>
        <w:tc>
          <w:tcPr>
            <w:tcW w:w="1247" w:type="dxa"/>
          </w:tcPr>
          <w:p w14:paraId="48B7F703" w14:textId="77777777" w:rsidR="00FC6F4F" w:rsidRPr="00E62F5E" w:rsidRDefault="00FC6F4F" w:rsidP="00E62F5E">
            <w:pPr>
              <w:pStyle w:val="ARtabletextright"/>
            </w:pPr>
            <w:r w:rsidRPr="00E62F5E">
              <w:t>24</w:t>
            </w:r>
          </w:p>
        </w:tc>
      </w:tr>
      <w:tr w:rsidR="00FC6F4F" w:rsidRPr="002029AF" w14:paraId="09710168" w14:textId="77777777" w:rsidTr="000572DA">
        <w:trPr>
          <w:cantSplit w:val="0"/>
        </w:trPr>
        <w:tc>
          <w:tcPr>
            <w:tcW w:w="2177" w:type="dxa"/>
          </w:tcPr>
          <w:p w14:paraId="1886C4C0" w14:textId="77777777" w:rsidR="00FC6F4F" w:rsidRPr="002029AF" w:rsidRDefault="00FC6F4F" w:rsidP="00FC6F4F">
            <w:pPr>
              <w:pStyle w:val="ARtabletext"/>
            </w:pPr>
            <w:r w:rsidRPr="002029AF">
              <w:t>Executive</w:t>
            </w:r>
          </w:p>
        </w:tc>
        <w:tc>
          <w:tcPr>
            <w:tcW w:w="1247" w:type="dxa"/>
          </w:tcPr>
          <w:p w14:paraId="0536C3C8" w14:textId="77777777" w:rsidR="00FC6F4F" w:rsidRPr="00E62F5E" w:rsidRDefault="00FC6F4F" w:rsidP="00E62F5E">
            <w:pPr>
              <w:pStyle w:val="ARtabletextright"/>
            </w:pPr>
            <w:r w:rsidRPr="00E62F5E">
              <w:t>1</w:t>
            </w:r>
          </w:p>
        </w:tc>
        <w:tc>
          <w:tcPr>
            <w:tcW w:w="1247" w:type="dxa"/>
          </w:tcPr>
          <w:p w14:paraId="210194D1" w14:textId="77777777" w:rsidR="00FC6F4F" w:rsidRPr="00E62F5E" w:rsidRDefault="00FC6F4F" w:rsidP="00E62F5E">
            <w:pPr>
              <w:pStyle w:val="ARtabletextright"/>
            </w:pPr>
            <w:r w:rsidRPr="00E62F5E">
              <w:t>12</w:t>
            </w:r>
          </w:p>
        </w:tc>
        <w:tc>
          <w:tcPr>
            <w:tcW w:w="1247" w:type="dxa"/>
          </w:tcPr>
          <w:p w14:paraId="54B6E280" w14:textId="77777777" w:rsidR="00FC6F4F" w:rsidRPr="00E62F5E" w:rsidRDefault="00FC6F4F" w:rsidP="00E62F5E">
            <w:pPr>
              <w:pStyle w:val="ARtabletextright"/>
            </w:pPr>
            <w:r w:rsidRPr="00E62F5E">
              <w:t>0</w:t>
            </w:r>
          </w:p>
        </w:tc>
        <w:tc>
          <w:tcPr>
            <w:tcW w:w="1247" w:type="dxa"/>
          </w:tcPr>
          <w:p w14:paraId="071C3AC5" w14:textId="77777777" w:rsidR="00FC6F4F" w:rsidRPr="00E62F5E" w:rsidRDefault="00FC6F4F" w:rsidP="00E62F5E">
            <w:pPr>
              <w:pStyle w:val="ARtabletextright"/>
            </w:pPr>
            <w:r w:rsidRPr="00E62F5E">
              <w:t>79</w:t>
            </w:r>
          </w:p>
        </w:tc>
        <w:tc>
          <w:tcPr>
            <w:tcW w:w="1247" w:type="dxa"/>
          </w:tcPr>
          <w:p w14:paraId="61074B1E" w14:textId="77777777" w:rsidR="00FC6F4F" w:rsidRPr="00E62F5E" w:rsidRDefault="00FC6F4F" w:rsidP="00E62F5E">
            <w:pPr>
              <w:pStyle w:val="ARtabletextright"/>
            </w:pPr>
            <w:r w:rsidRPr="00E62F5E">
              <w:t>14</w:t>
            </w:r>
          </w:p>
        </w:tc>
        <w:tc>
          <w:tcPr>
            <w:tcW w:w="1247" w:type="dxa"/>
          </w:tcPr>
          <w:p w14:paraId="6FD99689" w14:textId="77777777" w:rsidR="00FC6F4F" w:rsidRPr="00E62F5E" w:rsidRDefault="00FC6F4F" w:rsidP="00E62F5E">
            <w:pPr>
              <w:pStyle w:val="ARtabletextright"/>
            </w:pPr>
            <w:r w:rsidRPr="00E62F5E">
              <w:t>21</w:t>
            </w:r>
          </w:p>
        </w:tc>
      </w:tr>
      <w:tr w:rsidR="00FC6F4F" w:rsidRPr="002029AF" w14:paraId="3DB73633" w14:textId="77777777" w:rsidTr="000572DA">
        <w:trPr>
          <w:cantSplit w:val="0"/>
        </w:trPr>
        <w:tc>
          <w:tcPr>
            <w:tcW w:w="2177" w:type="dxa"/>
          </w:tcPr>
          <w:p w14:paraId="4F4F9B2B" w14:textId="77777777" w:rsidR="00FC6F4F" w:rsidRPr="002029AF" w:rsidRDefault="00FC6F4F" w:rsidP="00FC6F4F">
            <w:pPr>
              <w:pStyle w:val="ARtabletext"/>
            </w:pPr>
            <w:r w:rsidRPr="002029AF">
              <w:t>Passenger bus</w:t>
            </w:r>
          </w:p>
        </w:tc>
        <w:tc>
          <w:tcPr>
            <w:tcW w:w="1247" w:type="dxa"/>
          </w:tcPr>
          <w:p w14:paraId="3C0096CA" w14:textId="77777777" w:rsidR="00FC6F4F" w:rsidRPr="00E62F5E" w:rsidRDefault="00FC6F4F" w:rsidP="00E62F5E">
            <w:pPr>
              <w:pStyle w:val="ARtabletextright"/>
            </w:pPr>
            <w:r w:rsidRPr="00E62F5E">
              <w:t>0</w:t>
            </w:r>
          </w:p>
        </w:tc>
        <w:tc>
          <w:tcPr>
            <w:tcW w:w="1247" w:type="dxa"/>
          </w:tcPr>
          <w:p w14:paraId="7DA598DF" w14:textId="77777777" w:rsidR="00FC6F4F" w:rsidRPr="00E62F5E" w:rsidRDefault="00FC6F4F" w:rsidP="00E62F5E">
            <w:pPr>
              <w:pStyle w:val="ARtabletextright"/>
            </w:pPr>
            <w:r w:rsidRPr="00E62F5E">
              <w:t>0</w:t>
            </w:r>
          </w:p>
        </w:tc>
        <w:tc>
          <w:tcPr>
            <w:tcW w:w="1247" w:type="dxa"/>
          </w:tcPr>
          <w:p w14:paraId="54E6ACE1" w14:textId="77777777" w:rsidR="00FC6F4F" w:rsidRPr="00E62F5E" w:rsidRDefault="00FC6F4F" w:rsidP="00E62F5E">
            <w:pPr>
              <w:pStyle w:val="ARtabletextright"/>
            </w:pPr>
            <w:r w:rsidRPr="00E62F5E">
              <w:t>0</w:t>
            </w:r>
          </w:p>
        </w:tc>
        <w:tc>
          <w:tcPr>
            <w:tcW w:w="1247" w:type="dxa"/>
          </w:tcPr>
          <w:p w14:paraId="308315F8" w14:textId="77777777" w:rsidR="00FC6F4F" w:rsidRPr="00E62F5E" w:rsidRDefault="00FC6F4F" w:rsidP="00E62F5E">
            <w:pPr>
              <w:pStyle w:val="ARtabletextright"/>
            </w:pPr>
            <w:r w:rsidRPr="00E62F5E">
              <w:t>3</w:t>
            </w:r>
          </w:p>
        </w:tc>
        <w:tc>
          <w:tcPr>
            <w:tcW w:w="1247" w:type="dxa"/>
          </w:tcPr>
          <w:p w14:paraId="2FEEA9F4" w14:textId="77777777" w:rsidR="00FC6F4F" w:rsidRPr="00E62F5E" w:rsidRDefault="00FC6F4F" w:rsidP="00E62F5E">
            <w:pPr>
              <w:pStyle w:val="ARtabletextright"/>
            </w:pPr>
            <w:r w:rsidRPr="00E62F5E">
              <w:t>0</w:t>
            </w:r>
          </w:p>
        </w:tc>
        <w:tc>
          <w:tcPr>
            <w:tcW w:w="1247" w:type="dxa"/>
          </w:tcPr>
          <w:p w14:paraId="71FACDD4" w14:textId="77777777" w:rsidR="00FC6F4F" w:rsidRPr="00E62F5E" w:rsidRDefault="00FC6F4F" w:rsidP="00E62F5E">
            <w:pPr>
              <w:pStyle w:val="ARtabletextright"/>
            </w:pPr>
            <w:r w:rsidRPr="00E62F5E">
              <w:t>129</w:t>
            </w:r>
          </w:p>
        </w:tc>
      </w:tr>
      <w:tr w:rsidR="00FC6F4F" w:rsidRPr="002029AF" w14:paraId="1C0CF0A6" w14:textId="77777777" w:rsidTr="000572DA">
        <w:trPr>
          <w:cantSplit w:val="0"/>
        </w:trPr>
        <w:tc>
          <w:tcPr>
            <w:tcW w:w="2177" w:type="dxa"/>
          </w:tcPr>
          <w:p w14:paraId="38A729DB" w14:textId="77777777" w:rsidR="00FC6F4F" w:rsidRPr="002029AF" w:rsidRDefault="00FC6F4F" w:rsidP="00FC6F4F">
            <w:pPr>
              <w:pStyle w:val="ARtabletext"/>
            </w:pPr>
            <w:r w:rsidRPr="002029AF">
              <w:t>Passenger car</w:t>
            </w:r>
          </w:p>
        </w:tc>
        <w:tc>
          <w:tcPr>
            <w:tcW w:w="1247" w:type="dxa"/>
          </w:tcPr>
          <w:p w14:paraId="7FFD7C8A" w14:textId="77777777" w:rsidR="00FC6F4F" w:rsidRPr="00E62F5E" w:rsidRDefault="00FC6F4F" w:rsidP="00E62F5E">
            <w:pPr>
              <w:pStyle w:val="ARtabletextright"/>
            </w:pPr>
            <w:r w:rsidRPr="00E62F5E">
              <w:t>0</w:t>
            </w:r>
          </w:p>
        </w:tc>
        <w:tc>
          <w:tcPr>
            <w:tcW w:w="1247" w:type="dxa"/>
          </w:tcPr>
          <w:p w14:paraId="3A9FAD00" w14:textId="77777777" w:rsidR="00FC6F4F" w:rsidRPr="00E62F5E" w:rsidRDefault="00FC6F4F" w:rsidP="00E62F5E">
            <w:pPr>
              <w:pStyle w:val="ARtabletextright"/>
            </w:pPr>
            <w:r w:rsidRPr="00E62F5E">
              <w:t>360</w:t>
            </w:r>
          </w:p>
        </w:tc>
        <w:tc>
          <w:tcPr>
            <w:tcW w:w="1247" w:type="dxa"/>
          </w:tcPr>
          <w:p w14:paraId="1ABC9E03" w14:textId="77777777" w:rsidR="00FC6F4F" w:rsidRPr="00E62F5E" w:rsidRDefault="00FC6F4F" w:rsidP="00E62F5E">
            <w:pPr>
              <w:pStyle w:val="ARtabletextright"/>
            </w:pPr>
            <w:r w:rsidRPr="00E62F5E">
              <w:t>0</w:t>
            </w:r>
          </w:p>
        </w:tc>
        <w:tc>
          <w:tcPr>
            <w:tcW w:w="1247" w:type="dxa"/>
          </w:tcPr>
          <w:p w14:paraId="510697BB" w14:textId="77777777" w:rsidR="00FC6F4F" w:rsidRPr="00E62F5E" w:rsidRDefault="00FC6F4F" w:rsidP="00E62F5E">
            <w:pPr>
              <w:pStyle w:val="ARtabletextright"/>
            </w:pPr>
            <w:r w:rsidRPr="00E62F5E">
              <w:t>278</w:t>
            </w:r>
          </w:p>
        </w:tc>
        <w:tc>
          <w:tcPr>
            <w:tcW w:w="1247" w:type="dxa"/>
          </w:tcPr>
          <w:p w14:paraId="04F7B515" w14:textId="77777777" w:rsidR="00FC6F4F" w:rsidRPr="00E62F5E" w:rsidRDefault="00FC6F4F" w:rsidP="00E62F5E">
            <w:pPr>
              <w:pStyle w:val="ARtabletextright"/>
            </w:pPr>
            <w:r w:rsidRPr="00E62F5E">
              <w:t>284</w:t>
            </w:r>
          </w:p>
        </w:tc>
        <w:tc>
          <w:tcPr>
            <w:tcW w:w="1247" w:type="dxa"/>
          </w:tcPr>
          <w:p w14:paraId="2DEA996F" w14:textId="77777777" w:rsidR="00FC6F4F" w:rsidRPr="00E62F5E" w:rsidRDefault="00FC6F4F" w:rsidP="00E62F5E">
            <w:pPr>
              <w:pStyle w:val="ARtabletextright"/>
            </w:pPr>
            <w:r w:rsidRPr="00E62F5E">
              <w:t>3</w:t>
            </w:r>
          </w:p>
        </w:tc>
      </w:tr>
      <w:tr w:rsidR="00FC6F4F" w:rsidRPr="002029AF" w14:paraId="58DA6B94" w14:textId="77777777" w:rsidTr="000572DA">
        <w:trPr>
          <w:cantSplit w:val="0"/>
        </w:trPr>
        <w:tc>
          <w:tcPr>
            <w:tcW w:w="2177" w:type="dxa"/>
          </w:tcPr>
          <w:p w14:paraId="3778C20F" w14:textId="77777777" w:rsidR="00FC6F4F" w:rsidRPr="002029AF" w:rsidRDefault="00FC6F4F" w:rsidP="00FC6F4F">
            <w:pPr>
              <w:pStyle w:val="ARtabletext"/>
              <w:rPr>
                <w:b/>
                <w:bCs/>
              </w:rPr>
            </w:pPr>
            <w:r w:rsidRPr="6DD9571F">
              <w:rPr>
                <w:b/>
                <w:bCs/>
              </w:rPr>
              <w:t>Total (1,211 vehicles)</w:t>
            </w:r>
          </w:p>
        </w:tc>
        <w:tc>
          <w:tcPr>
            <w:tcW w:w="1247" w:type="dxa"/>
          </w:tcPr>
          <w:p w14:paraId="2EB9844E" w14:textId="77777777" w:rsidR="00FC6F4F" w:rsidRPr="00E62F5E" w:rsidRDefault="00FC6F4F" w:rsidP="00E62F5E">
            <w:pPr>
              <w:pStyle w:val="ARtabletextrightbold"/>
            </w:pPr>
            <w:r w:rsidRPr="00E62F5E">
              <w:t>1</w:t>
            </w:r>
          </w:p>
        </w:tc>
        <w:tc>
          <w:tcPr>
            <w:tcW w:w="1247" w:type="dxa"/>
          </w:tcPr>
          <w:p w14:paraId="1E15696C" w14:textId="77777777" w:rsidR="00FC6F4F" w:rsidRPr="00E62F5E" w:rsidRDefault="00FC6F4F" w:rsidP="00E62F5E">
            <w:pPr>
              <w:pStyle w:val="ARtabletextrightbold"/>
            </w:pPr>
            <w:r w:rsidRPr="00E62F5E">
              <w:t>372</w:t>
            </w:r>
          </w:p>
        </w:tc>
        <w:tc>
          <w:tcPr>
            <w:tcW w:w="1247" w:type="dxa"/>
          </w:tcPr>
          <w:p w14:paraId="367A19D8" w14:textId="77777777" w:rsidR="00FC6F4F" w:rsidRPr="00E62F5E" w:rsidRDefault="00FC6F4F" w:rsidP="00E62F5E">
            <w:pPr>
              <w:pStyle w:val="ARtabletextrightbold"/>
            </w:pPr>
            <w:r w:rsidRPr="00E62F5E">
              <w:t>3</w:t>
            </w:r>
          </w:p>
        </w:tc>
        <w:tc>
          <w:tcPr>
            <w:tcW w:w="1247" w:type="dxa"/>
          </w:tcPr>
          <w:p w14:paraId="053E437F" w14:textId="77777777" w:rsidR="00FC6F4F" w:rsidRPr="00E62F5E" w:rsidRDefault="00FC6F4F" w:rsidP="00E62F5E">
            <w:pPr>
              <w:pStyle w:val="ARtabletextrightbold"/>
            </w:pPr>
            <w:r w:rsidRPr="00E62F5E">
              <w:t>360</w:t>
            </w:r>
          </w:p>
        </w:tc>
        <w:tc>
          <w:tcPr>
            <w:tcW w:w="1247" w:type="dxa"/>
          </w:tcPr>
          <w:p w14:paraId="40B01250" w14:textId="77777777" w:rsidR="00FC6F4F" w:rsidRPr="00E62F5E" w:rsidRDefault="00FC6F4F" w:rsidP="00E62F5E">
            <w:pPr>
              <w:pStyle w:val="ARtabletextrightbold"/>
            </w:pPr>
            <w:r w:rsidRPr="00E62F5E">
              <w:t>298</w:t>
            </w:r>
          </w:p>
        </w:tc>
        <w:tc>
          <w:tcPr>
            <w:tcW w:w="1247" w:type="dxa"/>
          </w:tcPr>
          <w:p w14:paraId="3DBB633A" w14:textId="77777777" w:rsidR="00FC6F4F" w:rsidRPr="00E62F5E" w:rsidRDefault="00FC6F4F" w:rsidP="00E62F5E">
            <w:pPr>
              <w:pStyle w:val="ARtabletextrightbold"/>
            </w:pPr>
            <w:r w:rsidRPr="00E62F5E">
              <w:t>177</w:t>
            </w:r>
          </w:p>
        </w:tc>
      </w:tr>
    </w:tbl>
    <w:p w14:paraId="4E5DFFDB" w14:textId="77777777" w:rsidR="00FC6F4F" w:rsidRPr="002029AF" w:rsidRDefault="00FC6F4F" w:rsidP="00897193">
      <w:pPr>
        <w:pStyle w:val="ARbody"/>
        <w:rPr>
          <w:lang w:eastAsia="en-AU"/>
        </w:rPr>
      </w:pPr>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5103"/>
        <w:gridCol w:w="2268"/>
        <w:gridCol w:w="2268"/>
      </w:tblGrid>
      <w:tr w:rsidR="00FC6F4F" w:rsidRPr="002029AF" w14:paraId="456173AB" w14:textId="77777777" w:rsidTr="00FC6F4F">
        <w:trPr>
          <w:cantSplit/>
          <w:trHeight w:val="101"/>
          <w:tblHeader/>
        </w:trPr>
        <w:tc>
          <w:tcPr>
            <w:tcW w:w="5103" w:type="dxa"/>
            <w:vAlign w:val="bottom"/>
          </w:tcPr>
          <w:p w14:paraId="072D4E67" w14:textId="77777777" w:rsidR="00FC6F4F" w:rsidRPr="002029AF" w:rsidRDefault="00FC6F4F" w:rsidP="004330D7">
            <w:pPr>
              <w:pStyle w:val="ARtablecolhead"/>
              <w:pageBreakBefore/>
            </w:pPr>
            <w:r w:rsidRPr="002029AF">
              <w:lastRenderedPageBreak/>
              <w:t>Description</w:t>
            </w:r>
          </w:p>
        </w:tc>
        <w:tc>
          <w:tcPr>
            <w:tcW w:w="2268" w:type="dxa"/>
            <w:vAlign w:val="bottom"/>
          </w:tcPr>
          <w:p w14:paraId="702570B9" w14:textId="77777777" w:rsidR="00FC6F4F" w:rsidRPr="002029AF" w:rsidRDefault="00FC6F4F" w:rsidP="00897193">
            <w:pPr>
              <w:pStyle w:val="ARtablecolheadright"/>
            </w:pPr>
            <w:r w:rsidRPr="002029AF">
              <w:t>Operational</w:t>
            </w:r>
            <w:r w:rsidRPr="002029AF">
              <w:br/>
              <w:t>(per cent)</w:t>
            </w:r>
          </w:p>
        </w:tc>
        <w:tc>
          <w:tcPr>
            <w:tcW w:w="2268" w:type="dxa"/>
            <w:vAlign w:val="bottom"/>
          </w:tcPr>
          <w:p w14:paraId="676268F5" w14:textId="77777777" w:rsidR="00FC6F4F" w:rsidRPr="002029AF" w:rsidRDefault="00FC6F4F" w:rsidP="00897193">
            <w:pPr>
              <w:pStyle w:val="ARtablecolheadright"/>
            </w:pPr>
            <w:r w:rsidRPr="002029AF">
              <w:t>Executive</w:t>
            </w:r>
            <w:r w:rsidRPr="002029AF">
              <w:br/>
              <w:t>(per cent)</w:t>
            </w:r>
          </w:p>
        </w:tc>
      </w:tr>
      <w:tr w:rsidR="00FC6F4F" w:rsidRPr="002029AF" w14:paraId="7B79ED24" w14:textId="77777777" w:rsidTr="00FC6F4F">
        <w:trPr>
          <w:cantSplit/>
        </w:trPr>
        <w:tc>
          <w:tcPr>
            <w:tcW w:w="5103" w:type="dxa"/>
          </w:tcPr>
          <w:p w14:paraId="469F39D8" w14:textId="77777777" w:rsidR="00FC6F4F" w:rsidRPr="002029AF" w:rsidRDefault="00FC6F4F" w:rsidP="00897193">
            <w:pPr>
              <w:pStyle w:val="ARtabletext"/>
            </w:pPr>
            <w:r w:rsidRPr="002029AF">
              <w:t>LPG</w:t>
            </w:r>
          </w:p>
        </w:tc>
        <w:tc>
          <w:tcPr>
            <w:tcW w:w="2268" w:type="dxa"/>
            <w:vAlign w:val="center"/>
          </w:tcPr>
          <w:p w14:paraId="657ADB53" w14:textId="77777777" w:rsidR="00FC6F4F" w:rsidRPr="002029AF" w:rsidRDefault="00FC6F4F" w:rsidP="00897193">
            <w:pPr>
              <w:pStyle w:val="ARtabletextright"/>
            </w:pPr>
            <w:r w:rsidRPr="002029AF">
              <w:t>0%</w:t>
            </w:r>
          </w:p>
        </w:tc>
        <w:tc>
          <w:tcPr>
            <w:tcW w:w="2268" w:type="dxa"/>
            <w:vAlign w:val="center"/>
          </w:tcPr>
          <w:p w14:paraId="353CE069" w14:textId="77777777" w:rsidR="00FC6F4F" w:rsidRPr="002029AF" w:rsidRDefault="00FC6F4F" w:rsidP="00897193">
            <w:pPr>
              <w:pStyle w:val="ARtabletextright"/>
            </w:pPr>
            <w:r>
              <w:t>0.1%</w:t>
            </w:r>
          </w:p>
        </w:tc>
      </w:tr>
      <w:tr w:rsidR="00FC6F4F" w:rsidRPr="002029AF" w14:paraId="503B400A" w14:textId="77777777" w:rsidTr="00FC6F4F">
        <w:trPr>
          <w:cantSplit/>
        </w:trPr>
        <w:tc>
          <w:tcPr>
            <w:tcW w:w="5103" w:type="dxa"/>
          </w:tcPr>
          <w:p w14:paraId="0F8B657C" w14:textId="77777777" w:rsidR="00FC6F4F" w:rsidRPr="002029AF" w:rsidRDefault="00FC6F4F" w:rsidP="00897193">
            <w:pPr>
              <w:pStyle w:val="ARtabletext"/>
            </w:pPr>
            <w:r w:rsidRPr="002029AF">
              <w:t>Hybrid</w:t>
            </w:r>
          </w:p>
        </w:tc>
        <w:tc>
          <w:tcPr>
            <w:tcW w:w="2268" w:type="dxa"/>
            <w:vAlign w:val="center"/>
          </w:tcPr>
          <w:p w14:paraId="71C0ECA2" w14:textId="77777777" w:rsidR="00FC6F4F" w:rsidRPr="002029AF" w:rsidRDefault="00FC6F4F" w:rsidP="00897193">
            <w:pPr>
              <w:pStyle w:val="ARtabletextright"/>
            </w:pPr>
            <w:r>
              <w:t>29%</w:t>
            </w:r>
          </w:p>
        </w:tc>
        <w:tc>
          <w:tcPr>
            <w:tcW w:w="2268" w:type="dxa"/>
            <w:vAlign w:val="center"/>
          </w:tcPr>
          <w:p w14:paraId="1142F199" w14:textId="77777777" w:rsidR="00FC6F4F" w:rsidRPr="002029AF" w:rsidRDefault="00FC6F4F" w:rsidP="00897193">
            <w:pPr>
              <w:pStyle w:val="ARtabletextright"/>
            </w:pPr>
            <w:r w:rsidRPr="002029AF">
              <w:t>1%</w:t>
            </w:r>
          </w:p>
        </w:tc>
      </w:tr>
      <w:tr w:rsidR="00FC6F4F" w:rsidRPr="002029AF" w14:paraId="5856DA80" w14:textId="77777777" w:rsidTr="00FC6F4F">
        <w:trPr>
          <w:cantSplit/>
        </w:trPr>
        <w:tc>
          <w:tcPr>
            <w:tcW w:w="5103" w:type="dxa"/>
          </w:tcPr>
          <w:p w14:paraId="0C14A816" w14:textId="77777777" w:rsidR="00FC6F4F" w:rsidRPr="002029AF" w:rsidRDefault="00FC6F4F" w:rsidP="00897193">
            <w:pPr>
              <w:pStyle w:val="ARtabletext"/>
            </w:pPr>
            <w:r w:rsidRPr="002029AF">
              <w:t>1–3-cylinder unleaded petrol</w:t>
            </w:r>
          </w:p>
        </w:tc>
        <w:tc>
          <w:tcPr>
            <w:tcW w:w="2268" w:type="dxa"/>
            <w:vAlign w:val="center"/>
          </w:tcPr>
          <w:p w14:paraId="0F810F6A" w14:textId="77777777" w:rsidR="00FC6F4F" w:rsidRPr="002029AF" w:rsidRDefault="00FC6F4F" w:rsidP="00897193">
            <w:pPr>
              <w:pStyle w:val="ARtabletextright"/>
            </w:pPr>
            <w:r w:rsidRPr="002029AF">
              <w:t>0.3%</w:t>
            </w:r>
          </w:p>
        </w:tc>
        <w:tc>
          <w:tcPr>
            <w:tcW w:w="2268" w:type="dxa"/>
            <w:vAlign w:val="center"/>
          </w:tcPr>
          <w:p w14:paraId="65390A8E" w14:textId="77777777" w:rsidR="00FC6F4F" w:rsidRPr="002029AF" w:rsidRDefault="00FC6F4F" w:rsidP="00897193">
            <w:pPr>
              <w:pStyle w:val="ARtabletextright"/>
            </w:pPr>
            <w:r>
              <w:t>0.3%</w:t>
            </w:r>
          </w:p>
        </w:tc>
      </w:tr>
      <w:tr w:rsidR="00FC6F4F" w:rsidRPr="002029AF" w14:paraId="7D6DD355" w14:textId="77777777" w:rsidTr="00FC6F4F">
        <w:trPr>
          <w:cantSplit/>
        </w:trPr>
        <w:tc>
          <w:tcPr>
            <w:tcW w:w="5103" w:type="dxa"/>
          </w:tcPr>
          <w:p w14:paraId="17095671" w14:textId="77777777" w:rsidR="00FC6F4F" w:rsidRPr="002029AF" w:rsidRDefault="00FC6F4F" w:rsidP="00897193">
            <w:pPr>
              <w:pStyle w:val="ARtabletext"/>
            </w:pPr>
            <w:r w:rsidRPr="002029AF">
              <w:t>4-cylinder unleaded petrol</w:t>
            </w:r>
          </w:p>
        </w:tc>
        <w:tc>
          <w:tcPr>
            <w:tcW w:w="2268" w:type="dxa"/>
            <w:vAlign w:val="center"/>
          </w:tcPr>
          <w:p w14:paraId="5C45DCC7" w14:textId="77777777" w:rsidR="00FC6F4F" w:rsidRPr="002029AF" w:rsidRDefault="00FC6F4F" w:rsidP="00897193">
            <w:pPr>
              <w:pStyle w:val="ARtabletextright"/>
            </w:pPr>
            <w:r>
              <w:t>23%</w:t>
            </w:r>
          </w:p>
        </w:tc>
        <w:tc>
          <w:tcPr>
            <w:tcW w:w="2268" w:type="dxa"/>
            <w:vAlign w:val="center"/>
          </w:tcPr>
          <w:p w14:paraId="7F33B32D" w14:textId="77777777" w:rsidR="00FC6F4F" w:rsidRPr="002029AF" w:rsidRDefault="00FC6F4F" w:rsidP="00897193">
            <w:pPr>
              <w:pStyle w:val="ARtabletextright"/>
            </w:pPr>
            <w:r>
              <w:t>7%</w:t>
            </w:r>
          </w:p>
        </w:tc>
      </w:tr>
      <w:tr w:rsidR="00FC6F4F" w:rsidRPr="002029AF" w14:paraId="16BEB7AC" w14:textId="77777777" w:rsidTr="00FC6F4F">
        <w:trPr>
          <w:cantSplit/>
        </w:trPr>
        <w:tc>
          <w:tcPr>
            <w:tcW w:w="5103" w:type="dxa"/>
          </w:tcPr>
          <w:p w14:paraId="79516C2C" w14:textId="77777777" w:rsidR="00FC6F4F" w:rsidRPr="002029AF" w:rsidRDefault="00FC6F4F" w:rsidP="00897193">
            <w:pPr>
              <w:pStyle w:val="ARtabletext"/>
            </w:pPr>
            <w:r w:rsidRPr="002029AF">
              <w:t>6-cylinder unleaded petrol</w:t>
            </w:r>
          </w:p>
        </w:tc>
        <w:tc>
          <w:tcPr>
            <w:tcW w:w="2268" w:type="dxa"/>
            <w:vAlign w:val="center"/>
          </w:tcPr>
          <w:p w14:paraId="43AFBD69" w14:textId="77777777" w:rsidR="00FC6F4F" w:rsidRPr="002029AF" w:rsidRDefault="00FC6F4F" w:rsidP="00897193">
            <w:pPr>
              <w:pStyle w:val="ARtabletextright"/>
            </w:pPr>
            <w:r>
              <w:t>23.5%</w:t>
            </w:r>
          </w:p>
        </w:tc>
        <w:tc>
          <w:tcPr>
            <w:tcW w:w="2268" w:type="dxa"/>
            <w:vAlign w:val="center"/>
          </w:tcPr>
          <w:p w14:paraId="48022E80" w14:textId="77777777" w:rsidR="00FC6F4F" w:rsidRPr="002029AF" w:rsidRDefault="00FC6F4F" w:rsidP="00897193">
            <w:pPr>
              <w:pStyle w:val="ARtabletextright"/>
            </w:pPr>
            <w:r>
              <w:t>1%</w:t>
            </w:r>
          </w:p>
        </w:tc>
      </w:tr>
      <w:tr w:rsidR="00FC6F4F" w:rsidRPr="002029AF" w14:paraId="4117D4E3" w14:textId="77777777" w:rsidTr="00FC6F4F">
        <w:trPr>
          <w:cantSplit/>
        </w:trPr>
        <w:tc>
          <w:tcPr>
            <w:tcW w:w="5103" w:type="dxa"/>
          </w:tcPr>
          <w:p w14:paraId="2D990CCA" w14:textId="77777777" w:rsidR="00FC6F4F" w:rsidRPr="002029AF" w:rsidRDefault="00FC6F4F" w:rsidP="00897193">
            <w:pPr>
              <w:pStyle w:val="ARtabletext"/>
            </w:pPr>
            <w:r w:rsidRPr="002029AF">
              <w:t>Diesel</w:t>
            </w:r>
          </w:p>
        </w:tc>
        <w:tc>
          <w:tcPr>
            <w:tcW w:w="2268" w:type="dxa"/>
            <w:vAlign w:val="center"/>
          </w:tcPr>
          <w:p w14:paraId="638C69E9" w14:textId="77777777" w:rsidR="00FC6F4F" w:rsidRPr="002029AF" w:rsidRDefault="00FC6F4F" w:rsidP="00897193">
            <w:pPr>
              <w:pStyle w:val="ARtabletextright"/>
            </w:pPr>
            <w:r>
              <w:t>13%</w:t>
            </w:r>
          </w:p>
        </w:tc>
        <w:tc>
          <w:tcPr>
            <w:tcW w:w="2268" w:type="dxa"/>
            <w:vAlign w:val="center"/>
          </w:tcPr>
          <w:p w14:paraId="1CC80941" w14:textId="77777777" w:rsidR="00FC6F4F" w:rsidRPr="002029AF" w:rsidRDefault="00FC6F4F" w:rsidP="00897193">
            <w:pPr>
              <w:pStyle w:val="ARtabletextright"/>
            </w:pPr>
            <w:r>
              <w:t>2%</w:t>
            </w:r>
          </w:p>
        </w:tc>
      </w:tr>
      <w:tr w:rsidR="00FC6F4F" w:rsidRPr="002029AF" w14:paraId="698CFD21" w14:textId="77777777" w:rsidTr="00FC6F4F">
        <w:trPr>
          <w:cantSplit/>
        </w:trPr>
        <w:tc>
          <w:tcPr>
            <w:tcW w:w="5103" w:type="dxa"/>
          </w:tcPr>
          <w:p w14:paraId="4A4ECCE0" w14:textId="77777777" w:rsidR="00FC6F4F" w:rsidRPr="002029AF" w:rsidRDefault="00FC6F4F" w:rsidP="00897193">
            <w:pPr>
              <w:pStyle w:val="ARtabletextbold"/>
            </w:pPr>
            <w:r w:rsidRPr="002029AF">
              <w:t>Total</w:t>
            </w:r>
          </w:p>
        </w:tc>
        <w:tc>
          <w:tcPr>
            <w:tcW w:w="2268" w:type="dxa"/>
            <w:vAlign w:val="center"/>
          </w:tcPr>
          <w:p w14:paraId="4C1680FF" w14:textId="77777777" w:rsidR="00FC6F4F" w:rsidRPr="002029AF" w:rsidRDefault="00FC6F4F" w:rsidP="00897193">
            <w:pPr>
              <w:pStyle w:val="ARtabletextrightbold"/>
            </w:pPr>
            <w:r w:rsidRPr="002029AF">
              <w:rPr>
                <w:b w:val="0"/>
                <w:bCs/>
              </w:rPr>
              <w:t>89%</w:t>
            </w:r>
          </w:p>
        </w:tc>
        <w:tc>
          <w:tcPr>
            <w:tcW w:w="2268" w:type="dxa"/>
            <w:vAlign w:val="center"/>
          </w:tcPr>
          <w:p w14:paraId="165F8564" w14:textId="77777777" w:rsidR="00FC6F4F" w:rsidRPr="002029AF" w:rsidRDefault="00FC6F4F" w:rsidP="00897193">
            <w:pPr>
              <w:pStyle w:val="ARtabletextrightbold"/>
            </w:pPr>
            <w:r w:rsidRPr="002029AF">
              <w:rPr>
                <w:b w:val="0"/>
                <w:bCs/>
              </w:rPr>
              <w:t>11%</w:t>
            </w:r>
          </w:p>
        </w:tc>
      </w:tr>
    </w:tbl>
    <w:p w14:paraId="60D7D6D8" w14:textId="77777777" w:rsidR="00FC6F4F" w:rsidRPr="002029AF" w:rsidRDefault="00FC6F4F" w:rsidP="00897193">
      <w:pPr>
        <w:pStyle w:val="ARbody"/>
      </w:pPr>
    </w:p>
    <w:tbl>
      <w:tblPr>
        <w:tblW w:w="9639" w:type="dxa"/>
        <w:tblBorders>
          <w:left w:val="single" w:sz="4" w:space="0" w:color="FFFFFF" w:themeColor="background1"/>
          <w:bottom w:val="single" w:sz="4" w:space="0" w:color="auto"/>
          <w:right w:val="single" w:sz="4" w:space="0" w:color="FFFFFF" w:themeColor="background1"/>
          <w:insideH w:val="single" w:sz="4" w:space="0" w:color="auto"/>
          <w:insideV w:val="single" w:sz="4" w:space="0" w:color="FFFFFF" w:themeColor="background1"/>
        </w:tblBorders>
        <w:tblLayout w:type="fixed"/>
        <w:tblCellMar>
          <w:left w:w="0" w:type="dxa"/>
        </w:tblCellMar>
        <w:tblLook w:val="00A0" w:firstRow="1" w:lastRow="0" w:firstColumn="1" w:lastColumn="0" w:noHBand="0" w:noVBand="0"/>
      </w:tblPr>
      <w:tblGrid>
        <w:gridCol w:w="2835"/>
        <w:gridCol w:w="2268"/>
        <w:gridCol w:w="2268"/>
        <w:gridCol w:w="2268"/>
      </w:tblGrid>
      <w:tr w:rsidR="00FC6F4F" w:rsidRPr="002029AF" w14:paraId="0F4CB4CC" w14:textId="77777777" w:rsidTr="00FC6F4F">
        <w:trPr>
          <w:cantSplit/>
          <w:tblHeader/>
        </w:trPr>
        <w:tc>
          <w:tcPr>
            <w:tcW w:w="2835" w:type="dxa"/>
            <w:vAlign w:val="bottom"/>
          </w:tcPr>
          <w:p w14:paraId="5359FFF9" w14:textId="77777777" w:rsidR="00FC6F4F" w:rsidRPr="002029AF" w:rsidRDefault="00FC6F4F" w:rsidP="00FC6F4F">
            <w:pPr>
              <w:pStyle w:val="ARtablecolhead"/>
            </w:pPr>
            <w:r w:rsidRPr="002029AF">
              <w:t>Description</w:t>
            </w:r>
          </w:p>
        </w:tc>
        <w:tc>
          <w:tcPr>
            <w:tcW w:w="2268" w:type="dxa"/>
            <w:vAlign w:val="center"/>
          </w:tcPr>
          <w:p w14:paraId="3EBDD5B0" w14:textId="77777777" w:rsidR="00FC6F4F" w:rsidRPr="002029AF" w:rsidRDefault="00FC6F4F" w:rsidP="00FC6F4F">
            <w:pPr>
              <w:pStyle w:val="ARtablecolheadright"/>
            </w:pPr>
            <w:r w:rsidRPr="002029AF">
              <w:t>20</w:t>
            </w:r>
            <w:r>
              <w:t>20</w:t>
            </w:r>
            <w:r w:rsidRPr="002029AF">
              <w:t>–2</w:t>
            </w:r>
            <w:r>
              <w:t>1</w:t>
            </w:r>
            <w:r w:rsidRPr="002029AF">
              <w:t xml:space="preserve"> estimate</w:t>
            </w:r>
          </w:p>
        </w:tc>
        <w:tc>
          <w:tcPr>
            <w:tcW w:w="2268" w:type="dxa"/>
            <w:vAlign w:val="center"/>
          </w:tcPr>
          <w:p w14:paraId="13BB9FCD" w14:textId="77777777" w:rsidR="00FC6F4F" w:rsidRPr="002029AF" w:rsidRDefault="00FC6F4F" w:rsidP="00FC6F4F">
            <w:pPr>
              <w:pStyle w:val="ARtablecolheadright"/>
            </w:pPr>
            <w:r w:rsidRPr="002029AF">
              <w:t>2019–20 estimate</w:t>
            </w:r>
          </w:p>
        </w:tc>
        <w:tc>
          <w:tcPr>
            <w:tcW w:w="2268" w:type="dxa"/>
            <w:vAlign w:val="center"/>
          </w:tcPr>
          <w:p w14:paraId="1FEE2D4D" w14:textId="77777777" w:rsidR="00FC6F4F" w:rsidRPr="002029AF" w:rsidRDefault="00FC6F4F" w:rsidP="00FC6F4F">
            <w:pPr>
              <w:pStyle w:val="ARtablecolheadright"/>
            </w:pPr>
            <w:r w:rsidRPr="002029AF">
              <w:t>2018–19 estimate</w:t>
            </w:r>
          </w:p>
        </w:tc>
      </w:tr>
      <w:tr w:rsidR="00FC6F4F" w:rsidRPr="002029AF" w14:paraId="44B18A94" w14:textId="77777777" w:rsidTr="00FC6F4F">
        <w:trPr>
          <w:cantSplit/>
          <w:tblHeader/>
        </w:trPr>
        <w:tc>
          <w:tcPr>
            <w:tcW w:w="2835" w:type="dxa"/>
          </w:tcPr>
          <w:p w14:paraId="0CC0B713" w14:textId="77777777" w:rsidR="00FC6F4F" w:rsidRPr="002029AF" w:rsidRDefault="00FC6F4F" w:rsidP="00FC6F4F">
            <w:pPr>
              <w:pStyle w:val="ARtablecolhead"/>
            </w:pPr>
            <w:r w:rsidRPr="002029AF">
              <w:t>Total energy consumption</w:t>
            </w:r>
          </w:p>
        </w:tc>
        <w:tc>
          <w:tcPr>
            <w:tcW w:w="2268" w:type="dxa"/>
            <w:vAlign w:val="bottom"/>
          </w:tcPr>
          <w:p w14:paraId="583C19E2" w14:textId="77777777" w:rsidR="00FC6F4F" w:rsidRPr="002029AF" w:rsidRDefault="00FC6F4F" w:rsidP="00FC6F4F">
            <w:pPr>
              <w:pStyle w:val="ARtablecolheadright"/>
            </w:pPr>
            <w:r w:rsidRPr="002029AF">
              <w:t>Megajoules</w:t>
            </w:r>
          </w:p>
        </w:tc>
        <w:tc>
          <w:tcPr>
            <w:tcW w:w="2268" w:type="dxa"/>
            <w:vAlign w:val="bottom"/>
          </w:tcPr>
          <w:p w14:paraId="14B9E5F8" w14:textId="77777777" w:rsidR="00FC6F4F" w:rsidRPr="002029AF" w:rsidRDefault="00FC6F4F" w:rsidP="00FC6F4F">
            <w:pPr>
              <w:pStyle w:val="ARtablecolheadright"/>
            </w:pPr>
            <w:r w:rsidRPr="002029AF">
              <w:t>Megajoules</w:t>
            </w:r>
          </w:p>
        </w:tc>
        <w:tc>
          <w:tcPr>
            <w:tcW w:w="2268" w:type="dxa"/>
            <w:vAlign w:val="bottom"/>
          </w:tcPr>
          <w:p w14:paraId="3AB82007" w14:textId="77777777" w:rsidR="00FC6F4F" w:rsidRPr="002029AF" w:rsidRDefault="00FC6F4F" w:rsidP="00FC6F4F">
            <w:pPr>
              <w:pStyle w:val="ARtablecolheadright"/>
            </w:pPr>
            <w:r w:rsidRPr="002029AF">
              <w:t>Megajoules</w:t>
            </w:r>
          </w:p>
        </w:tc>
      </w:tr>
      <w:tr w:rsidR="00FC6F4F" w:rsidRPr="002029AF" w14:paraId="635FF891" w14:textId="77777777" w:rsidTr="00FC6F4F">
        <w:trPr>
          <w:cantSplit/>
        </w:trPr>
        <w:tc>
          <w:tcPr>
            <w:tcW w:w="2835" w:type="dxa"/>
          </w:tcPr>
          <w:p w14:paraId="6A1E2807" w14:textId="77777777" w:rsidR="00FC6F4F" w:rsidRPr="002029AF" w:rsidRDefault="00FC6F4F" w:rsidP="00FC6F4F">
            <w:pPr>
              <w:pStyle w:val="ARtabletext"/>
            </w:pPr>
            <w:r w:rsidRPr="002029AF">
              <w:t>LPG</w:t>
            </w:r>
          </w:p>
        </w:tc>
        <w:tc>
          <w:tcPr>
            <w:tcW w:w="2268" w:type="dxa"/>
            <w:vAlign w:val="center"/>
          </w:tcPr>
          <w:p w14:paraId="21F293B3" w14:textId="77777777" w:rsidR="00FC6F4F" w:rsidRPr="002029AF" w:rsidRDefault="00FC6F4F" w:rsidP="00FC6F4F">
            <w:pPr>
              <w:pStyle w:val="ARtabletextright"/>
            </w:pPr>
            <w:r w:rsidRPr="002029AF">
              <w:t>0</w:t>
            </w:r>
          </w:p>
        </w:tc>
        <w:tc>
          <w:tcPr>
            <w:tcW w:w="2268" w:type="dxa"/>
            <w:vAlign w:val="center"/>
          </w:tcPr>
          <w:p w14:paraId="7218F6DE" w14:textId="77777777" w:rsidR="00FC6F4F" w:rsidRPr="002029AF" w:rsidRDefault="00FC6F4F" w:rsidP="00FC6F4F">
            <w:pPr>
              <w:pStyle w:val="ARtabletextright"/>
            </w:pPr>
            <w:r w:rsidRPr="002029AF">
              <w:t>0</w:t>
            </w:r>
          </w:p>
        </w:tc>
        <w:tc>
          <w:tcPr>
            <w:tcW w:w="2268" w:type="dxa"/>
            <w:vAlign w:val="center"/>
          </w:tcPr>
          <w:p w14:paraId="42C38F5F" w14:textId="77777777" w:rsidR="00FC6F4F" w:rsidRPr="002029AF" w:rsidRDefault="00FC6F4F" w:rsidP="00FC6F4F">
            <w:pPr>
              <w:pStyle w:val="ARtabletextright"/>
            </w:pPr>
            <w:r w:rsidRPr="002029AF">
              <w:t>353,621</w:t>
            </w:r>
          </w:p>
        </w:tc>
      </w:tr>
      <w:tr w:rsidR="00FC6F4F" w14:paraId="2E1AAB2D" w14:textId="77777777" w:rsidTr="00FC6F4F">
        <w:trPr>
          <w:cantSplit/>
        </w:trPr>
        <w:tc>
          <w:tcPr>
            <w:tcW w:w="2835" w:type="dxa"/>
          </w:tcPr>
          <w:p w14:paraId="73CFB055" w14:textId="77777777" w:rsidR="00FC6F4F" w:rsidRDefault="00FC6F4F" w:rsidP="00FC6F4F">
            <w:pPr>
              <w:pStyle w:val="ARtabletext"/>
            </w:pPr>
            <w:r>
              <w:t>Electric</w:t>
            </w:r>
          </w:p>
        </w:tc>
        <w:tc>
          <w:tcPr>
            <w:tcW w:w="2268" w:type="dxa"/>
            <w:vAlign w:val="center"/>
          </w:tcPr>
          <w:p w14:paraId="01ACAF09" w14:textId="77777777" w:rsidR="00FC6F4F" w:rsidRDefault="00FC6F4F" w:rsidP="00FC6F4F">
            <w:pPr>
              <w:pStyle w:val="ARtabletextright"/>
            </w:pPr>
            <w:r>
              <w:t>868</w:t>
            </w:r>
          </w:p>
        </w:tc>
        <w:tc>
          <w:tcPr>
            <w:tcW w:w="2268" w:type="dxa"/>
            <w:vAlign w:val="center"/>
          </w:tcPr>
          <w:p w14:paraId="58C38D03" w14:textId="77777777" w:rsidR="00FC6F4F" w:rsidRDefault="00FC6F4F" w:rsidP="00FC6F4F">
            <w:pPr>
              <w:pStyle w:val="ARtabletextright"/>
            </w:pPr>
            <w:r>
              <w:t>0</w:t>
            </w:r>
          </w:p>
        </w:tc>
        <w:tc>
          <w:tcPr>
            <w:tcW w:w="2268" w:type="dxa"/>
            <w:vAlign w:val="center"/>
          </w:tcPr>
          <w:p w14:paraId="61059464" w14:textId="77777777" w:rsidR="00FC6F4F" w:rsidRDefault="00FC6F4F" w:rsidP="00FC6F4F">
            <w:pPr>
              <w:pStyle w:val="ARtabletextright"/>
            </w:pPr>
            <w:r>
              <w:t>0</w:t>
            </w:r>
          </w:p>
        </w:tc>
      </w:tr>
      <w:tr w:rsidR="00FC6F4F" w:rsidRPr="002029AF" w14:paraId="7C1B9692" w14:textId="77777777" w:rsidTr="00FC6F4F">
        <w:trPr>
          <w:cantSplit/>
        </w:trPr>
        <w:tc>
          <w:tcPr>
            <w:tcW w:w="2835" w:type="dxa"/>
          </w:tcPr>
          <w:p w14:paraId="5025B7EF" w14:textId="77777777" w:rsidR="00FC6F4F" w:rsidRPr="002029AF" w:rsidRDefault="00FC6F4F" w:rsidP="00FC6F4F">
            <w:pPr>
              <w:pStyle w:val="ARtabletext"/>
            </w:pPr>
            <w:r w:rsidRPr="002029AF">
              <w:t>Hybrid</w:t>
            </w:r>
          </w:p>
        </w:tc>
        <w:tc>
          <w:tcPr>
            <w:tcW w:w="2268" w:type="dxa"/>
            <w:vAlign w:val="center"/>
          </w:tcPr>
          <w:p w14:paraId="520E3CD1" w14:textId="77777777" w:rsidR="00FC6F4F" w:rsidRPr="002029AF" w:rsidRDefault="00FC6F4F" w:rsidP="00FC6F4F">
            <w:pPr>
              <w:pStyle w:val="ARtabletextright"/>
            </w:pPr>
            <w:r>
              <w:t>4,304,018</w:t>
            </w:r>
          </w:p>
        </w:tc>
        <w:tc>
          <w:tcPr>
            <w:tcW w:w="2268" w:type="dxa"/>
            <w:vAlign w:val="center"/>
          </w:tcPr>
          <w:p w14:paraId="073FF479" w14:textId="77777777" w:rsidR="00FC6F4F" w:rsidRPr="002029AF" w:rsidRDefault="00FC6F4F" w:rsidP="00FC6F4F">
            <w:pPr>
              <w:pStyle w:val="ARtabletextright"/>
            </w:pPr>
            <w:r w:rsidRPr="002029AF">
              <w:t>12,513,196</w:t>
            </w:r>
          </w:p>
        </w:tc>
        <w:tc>
          <w:tcPr>
            <w:tcW w:w="2268" w:type="dxa"/>
            <w:vAlign w:val="center"/>
          </w:tcPr>
          <w:p w14:paraId="3B927191" w14:textId="77777777" w:rsidR="00FC6F4F" w:rsidRPr="002029AF" w:rsidRDefault="00FC6F4F" w:rsidP="00FC6F4F">
            <w:pPr>
              <w:pStyle w:val="ARtabletextright"/>
            </w:pPr>
            <w:r w:rsidRPr="002029AF">
              <w:t>21,353,557</w:t>
            </w:r>
          </w:p>
        </w:tc>
      </w:tr>
      <w:tr w:rsidR="00FC6F4F" w:rsidRPr="002029AF" w14:paraId="0EF343DF" w14:textId="77777777" w:rsidTr="00FC6F4F">
        <w:trPr>
          <w:cantSplit/>
        </w:trPr>
        <w:tc>
          <w:tcPr>
            <w:tcW w:w="2835" w:type="dxa"/>
          </w:tcPr>
          <w:p w14:paraId="496C6982" w14:textId="77777777" w:rsidR="00FC6F4F" w:rsidRPr="002029AF" w:rsidRDefault="00FC6F4F" w:rsidP="00FC6F4F">
            <w:pPr>
              <w:pStyle w:val="ARtabletext"/>
            </w:pPr>
            <w:r w:rsidRPr="002029AF">
              <w:t>Unleaded petrol</w:t>
            </w:r>
          </w:p>
        </w:tc>
        <w:tc>
          <w:tcPr>
            <w:tcW w:w="2268" w:type="dxa"/>
            <w:vAlign w:val="center"/>
          </w:tcPr>
          <w:p w14:paraId="5F186D7A" w14:textId="77777777" w:rsidR="00FC6F4F" w:rsidRPr="002029AF" w:rsidRDefault="00FC6F4F" w:rsidP="00FC6F4F">
            <w:pPr>
              <w:pStyle w:val="ARtabletextright"/>
            </w:pPr>
            <w:r>
              <w:t>24,659,838</w:t>
            </w:r>
          </w:p>
        </w:tc>
        <w:tc>
          <w:tcPr>
            <w:tcW w:w="2268" w:type="dxa"/>
            <w:vAlign w:val="center"/>
          </w:tcPr>
          <w:p w14:paraId="472CC593" w14:textId="77777777" w:rsidR="00FC6F4F" w:rsidRPr="002029AF" w:rsidRDefault="00FC6F4F" w:rsidP="00FC6F4F">
            <w:pPr>
              <w:pStyle w:val="ARtabletextright"/>
            </w:pPr>
            <w:r w:rsidRPr="002029AF">
              <w:t>56,413,132</w:t>
            </w:r>
          </w:p>
        </w:tc>
        <w:tc>
          <w:tcPr>
            <w:tcW w:w="2268" w:type="dxa"/>
            <w:vAlign w:val="center"/>
          </w:tcPr>
          <w:p w14:paraId="1BA47398" w14:textId="77777777" w:rsidR="00FC6F4F" w:rsidRPr="002029AF" w:rsidRDefault="00FC6F4F" w:rsidP="00FC6F4F">
            <w:pPr>
              <w:pStyle w:val="ARtabletextright"/>
            </w:pPr>
            <w:r w:rsidRPr="002029AF">
              <w:t>73,557,086</w:t>
            </w:r>
          </w:p>
        </w:tc>
      </w:tr>
      <w:tr w:rsidR="00FC6F4F" w:rsidRPr="002029AF" w14:paraId="65601314" w14:textId="77777777" w:rsidTr="00FC6F4F">
        <w:trPr>
          <w:cantSplit/>
        </w:trPr>
        <w:tc>
          <w:tcPr>
            <w:tcW w:w="2835" w:type="dxa"/>
          </w:tcPr>
          <w:p w14:paraId="257F7796" w14:textId="77777777" w:rsidR="00FC6F4F" w:rsidRPr="002029AF" w:rsidRDefault="00FC6F4F" w:rsidP="00FC6F4F">
            <w:pPr>
              <w:pStyle w:val="ARtabletext"/>
            </w:pPr>
            <w:r w:rsidRPr="002029AF">
              <w:t>Diesel</w:t>
            </w:r>
          </w:p>
        </w:tc>
        <w:tc>
          <w:tcPr>
            <w:tcW w:w="2268" w:type="dxa"/>
            <w:vAlign w:val="center"/>
          </w:tcPr>
          <w:p w14:paraId="261B8A76" w14:textId="77777777" w:rsidR="00FC6F4F" w:rsidRPr="002029AF" w:rsidRDefault="00FC6F4F" w:rsidP="00FC6F4F">
            <w:pPr>
              <w:pStyle w:val="ARtabletextright"/>
            </w:pPr>
            <w:r>
              <w:t>6,395,707</w:t>
            </w:r>
          </w:p>
        </w:tc>
        <w:tc>
          <w:tcPr>
            <w:tcW w:w="2268" w:type="dxa"/>
            <w:vAlign w:val="center"/>
          </w:tcPr>
          <w:p w14:paraId="099BA9F6" w14:textId="77777777" w:rsidR="00FC6F4F" w:rsidRPr="002029AF" w:rsidRDefault="00FC6F4F" w:rsidP="00FC6F4F">
            <w:pPr>
              <w:pStyle w:val="ARtabletextright"/>
            </w:pPr>
            <w:r w:rsidRPr="002029AF">
              <w:t>15,315,737</w:t>
            </w:r>
          </w:p>
        </w:tc>
        <w:tc>
          <w:tcPr>
            <w:tcW w:w="2268" w:type="dxa"/>
            <w:vAlign w:val="center"/>
          </w:tcPr>
          <w:p w14:paraId="33D3F4B8" w14:textId="77777777" w:rsidR="00FC6F4F" w:rsidRPr="002029AF" w:rsidRDefault="00FC6F4F" w:rsidP="00FC6F4F">
            <w:pPr>
              <w:pStyle w:val="ARtabletextright"/>
            </w:pPr>
            <w:r w:rsidRPr="002029AF">
              <w:t>30,363,493</w:t>
            </w:r>
          </w:p>
        </w:tc>
      </w:tr>
      <w:tr w:rsidR="00FC6F4F" w:rsidRPr="002029AF" w14:paraId="1646537D" w14:textId="77777777" w:rsidTr="00FC6F4F">
        <w:trPr>
          <w:cantSplit/>
        </w:trPr>
        <w:tc>
          <w:tcPr>
            <w:tcW w:w="2835" w:type="dxa"/>
          </w:tcPr>
          <w:p w14:paraId="31C8D71C" w14:textId="77777777" w:rsidR="00FC6F4F" w:rsidRPr="002029AF" w:rsidRDefault="00FC6F4F" w:rsidP="00FC6F4F">
            <w:pPr>
              <w:pStyle w:val="ARtabletext"/>
            </w:pPr>
            <w:r>
              <w:t>State government vehicle pool</w:t>
            </w:r>
          </w:p>
        </w:tc>
        <w:tc>
          <w:tcPr>
            <w:tcW w:w="2268" w:type="dxa"/>
            <w:vAlign w:val="center"/>
          </w:tcPr>
          <w:p w14:paraId="00F115C8" w14:textId="77777777" w:rsidR="00FC6F4F" w:rsidRPr="002029AF" w:rsidRDefault="00FC6F4F" w:rsidP="00FC6F4F">
            <w:pPr>
              <w:pStyle w:val="ARtabletextright"/>
            </w:pPr>
            <w:r>
              <w:t>1,779,649</w:t>
            </w:r>
          </w:p>
        </w:tc>
        <w:tc>
          <w:tcPr>
            <w:tcW w:w="2268" w:type="dxa"/>
            <w:vAlign w:val="center"/>
          </w:tcPr>
          <w:p w14:paraId="3BDD4D82" w14:textId="77777777" w:rsidR="00FC6F4F" w:rsidRPr="002029AF" w:rsidRDefault="00FC6F4F" w:rsidP="00FC6F4F">
            <w:pPr>
              <w:pStyle w:val="ARtabletextright"/>
            </w:pPr>
            <w:r>
              <w:t>2,168,051</w:t>
            </w:r>
          </w:p>
        </w:tc>
        <w:tc>
          <w:tcPr>
            <w:tcW w:w="2268" w:type="dxa"/>
            <w:vAlign w:val="center"/>
          </w:tcPr>
          <w:p w14:paraId="33F34261" w14:textId="77777777" w:rsidR="00FC6F4F" w:rsidRPr="002029AF" w:rsidRDefault="00FC6F4F" w:rsidP="00FC6F4F">
            <w:pPr>
              <w:pStyle w:val="ARtabletextright"/>
            </w:pPr>
            <w:r>
              <w:t>2,090,800</w:t>
            </w:r>
          </w:p>
        </w:tc>
      </w:tr>
      <w:tr w:rsidR="00FC6F4F" w:rsidRPr="002029AF" w14:paraId="4D515C7F" w14:textId="77777777" w:rsidTr="00FC6F4F">
        <w:trPr>
          <w:cantSplit/>
        </w:trPr>
        <w:tc>
          <w:tcPr>
            <w:tcW w:w="2835" w:type="dxa"/>
          </w:tcPr>
          <w:p w14:paraId="22FDAA7E" w14:textId="77777777" w:rsidR="00FC6F4F" w:rsidRPr="002029AF" w:rsidRDefault="00FC6F4F" w:rsidP="00FC6F4F">
            <w:pPr>
              <w:pStyle w:val="ARtabletext"/>
              <w:rPr>
                <w:b/>
              </w:rPr>
            </w:pPr>
            <w:r w:rsidRPr="002029AF">
              <w:rPr>
                <w:b/>
              </w:rPr>
              <w:t>Total</w:t>
            </w:r>
          </w:p>
        </w:tc>
        <w:tc>
          <w:tcPr>
            <w:tcW w:w="2268" w:type="dxa"/>
            <w:vAlign w:val="center"/>
          </w:tcPr>
          <w:p w14:paraId="78827392" w14:textId="77777777" w:rsidR="00FC6F4F" w:rsidRPr="002029AF" w:rsidRDefault="00FC6F4F" w:rsidP="00FC6F4F">
            <w:pPr>
              <w:pStyle w:val="ARtabletextrightbold"/>
            </w:pPr>
            <w:r>
              <w:t>37,140,080</w:t>
            </w:r>
          </w:p>
        </w:tc>
        <w:tc>
          <w:tcPr>
            <w:tcW w:w="2268" w:type="dxa"/>
            <w:vAlign w:val="center"/>
          </w:tcPr>
          <w:p w14:paraId="3F989309" w14:textId="77777777" w:rsidR="00FC6F4F" w:rsidRPr="002029AF" w:rsidRDefault="00FC6F4F" w:rsidP="00FC6F4F">
            <w:pPr>
              <w:pStyle w:val="ARtabletextrightbold"/>
            </w:pPr>
            <w:r w:rsidRPr="002029AF">
              <w:t>86,410,116</w:t>
            </w:r>
          </w:p>
        </w:tc>
        <w:tc>
          <w:tcPr>
            <w:tcW w:w="2268" w:type="dxa"/>
            <w:vAlign w:val="center"/>
          </w:tcPr>
          <w:p w14:paraId="5B4DA8CB" w14:textId="77777777" w:rsidR="00FC6F4F" w:rsidRPr="002029AF" w:rsidRDefault="00FC6F4F" w:rsidP="00FC6F4F">
            <w:pPr>
              <w:pStyle w:val="ARtabletextrightbold"/>
            </w:pPr>
            <w:r w:rsidRPr="002029AF">
              <w:t>127,718,558</w:t>
            </w:r>
          </w:p>
        </w:tc>
      </w:tr>
    </w:tbl>
    <w:p w14:paraId="45564B6E" w14:textId="77777777" w:rsidR="00FC6F4F" w:rsidRPr="002029AF" w:rsidRDefault="00FC6F4F" w:rsidP="00897193">
      <w:pPr>
        <w:pStyle w:val="ARbody"/>
      </w:pPr>
    </w:p>
    <w:tbl>
      <w:tblPr>
        <w:tblW w:w="9639" w:type="dxa"/>
        <w:tblBorders>
          <w:left w:val="single" w:sz="4" w:space="0" w:color="FFFFFF" w:themeColor="background1"/>
          <w:bottom w:val="single" w:sz="4" w:space="0" w:color="auto"/>
          <w:right w:val="single" w:sz="4" w:space="0" w:color="FFFFFF" w:themeColor="background1"/>
          <w:insideH w:val="single" w:sz="4" w:space="0" w:color="auto"/>
          <w:insideV w:val="single" w:sz="4" w:space="0" w:color="FFFFFF" w:themeColor="background1"/>
        </w:tblBorders>
        <w:tblLayout w:type="fixed"/>
        <w:tblCellMar>
          <w:left w:w="0" w:type="dxa"/>
        </w:tblCellMar>
        <w:tblLook w:val="00A0" w:firstRow="1" w:lastRow="0" w:firstColumn="1" w:lastColumn="0" w:noHBand="0" w:noVBand="0"/>
      </w:tblPr>
      <w:tblGrid>
        <w:gridCol w:w="2835"/>
        <w:gridCol w:w="2268"/>
        <w:gridCol w:w="2268"/>
        <w:gridCol w:w="2268"/>
      </w:tblGrid>
      <w:tr w:rsidR="00FC6F4F" w:rsidRPr="002029AF" w14:paraId="4BDCDAA1" w14:textId="77777777" w:rsidTr="00FC6F4F">
        <w:trPr>
          <w:cantSplit/>
          <w:trHeight w:val="270"/>
          <w:tblHeader/>
        </w:trPr>
        <w:tc>
          <w:tcPr>
            <w:tcW w:w="2835" w:type="dxa"/>
            <w:vAlign w:val="bottom"/>
          </w:tcPr>
          <w:p w14:paraId="1A9885E4" w14:textId="77777777" w:rsidR="00FC6F4F" w:rsidRPr="002029AF" w:rsidRDefault="00FC6F4F" w:rsidP="004330D7">
            <w:pPr>
              <w:pStyle w:val="ARtablecolhead"/>
            </w:pPr>
            <w:r w:rsidRPr="002029AF">
              <w:t>Description</w:t>
            </w:r>
          </w:p>
        </w:tc>
        <w:tc>
          <w:tcPr>
            <w:tcW w:w="2268" w:type="dxa"/>
            <w:vAlign w:val="center"/>
          </w:tcPr>
          <w:p w14:paraId="685547E1" w14:textId="77777777" w:rsidR="00FC6F4F" w:rsidRPr="002029AF" w:rsidRDefault="00FC6F4F" w:rsidP="00FC6F4F">
            <w:pPr>
              <w:pStyle w:val="ARtablecolheadright"/>
            </w:pPr>
            <w:r w:rsidRPr="002029AF">
              <w:t>20</w:t>
            </w:r>
            <w:r>
              <w:t>20</w:t>
            </w:r>
            <w:r w:rsidRPr="002029AF">
              <w:t>–2</w:t>
            </w:r>
            <w:r>
              <w:t>1</w:t>
            </w:r>
            <w:r w:rsidRPr="002029AF">
              <w:t xml:space="preserve"> estimate</w:t>
            </w:r>
          </w:p>
        </w:tc>
        <w:tc>
          <w:tcPr>
            <w:tcW w:w="2268" w:type="dxa"/>
            <w:vAlign w:val="center"/>
          </w:tcPr>
          <w:p w14:paraId="2AB36A97" w14:textId="77777777" w:rsidR="00FC6F4F" w:rsidRPr="002029AF" w:rsidRDefault="00FC6F4F" w:rsidP="00FC6F4F">
            <w:pPr>
              <w:pStyle w:val="ARtablecolheadright"/>
            </w:pPr>
            <w:r w:rsidRPr="002029AF">
              <w:t>2019–20 estimate</w:t>
            </w:r>
          </w:p>
        </w:tc>
        <w:tc>
          <w:tcPr>
            <w:tcW w:w="2268" w:type="dxa"/>
            <w:vAlign w:val="center"/>
          </w:tcPr>
          <w:p w14:paraId="400CF341" w14:textId="77777777" w:rsidR="00FC6F4F" w:rsidRPr="002029AF" w:rsidRDefault="00FC6F4F" w:rsidP="00FC6F4F">
            <w:pPr>
              <w:pStyle w:val="ARtablecolheadright"/>
            </w:pPr>
            <w:r w:rsidRPr="002029AF">
              <w:t>2018–19 estimate</w:t>
            </w:r>
          </w:p>
        </w:tc>
      </w:tr>
      <w:tr w:rsidR="00FC6F4F" w:rsidRPr="002029AF" w14:paraId="633895F3" w14:textId="77777777" w:rsidTr="00FC6F4F">
        <w:trPr>
          <w:cantSplit/>
          <w:trHeight w:val="270"/>
          <w:tblHeader/>
        </w:trPr>
        <w:tc>
          <w:tcPr>
            <w:tcW w:w="2835" w:type="dxa"/>
          </w:tcPr>
          <w:p w14:paraId="72BC4068" w14:textId="77777777" w:rsidR="00FC6F4F" w:rsidRPr="002029AF" w:rsidRDefault="00FC6F4F" w:rsidP="00FC6F4F">
            <w:pPr>
              <w:pStyle w:val="ARtablecolhead"/>
            </w:pPr>
            <w:r w:rsidRPr="002029AF">
              <w:t>Total vehicle travel</w:t>
            </w:r>
          </w:p>
        </w:tc>
        <w:tc>
          <w:tcPr>
            <w:tcW w:w="2268" w:type="dxa"/>
            <w:vAlign w:val="bottom"/>
          </w:tcPr>
          <w:p w14:paraId="3AFFC187" w14:textId="77777777" w:rsidR="00FC6F4F" w:rsidRPr="002029AF" w:rsidRDefault="00FC6F4F" w:rsidP="00FC6F4F">
            <w:pPr>
              <w:pStyle w:val="ARtablecolheadright"/>
            </w:pPr>
            <w:r w:rsidRPr="002029AF">
              <w:t>Kilometres</w:t>
            </w:r>
          </w:p>
        </w:tc>
        <w:tc>
          <w:tcPr>
            <w:tcW w:w="2268" w:type="dxa"/>
            <w:vAlign w:val="bottom"/>
          </w:tcPr>
          <w:p w14:paraId="00B039AE" w14:textId="77777777" w:rsidR="00FC6F4F" w:rsidRPr="002029AF" w:rsidRDefault="00FC6F4F" w:rsidP="00FC6F4F">
            <w:pPr>
              <w:pStyle w:val="ARtablecolheadright"/>
            </w:pPr>
            <w:r w:rsidRPr="002029AF">
              <w:t>Kilometres</w:t>
            </w:r>
          </w:p>
        </w:tc>
        <w:tc>
          <w:tcPr>
            <w:tcW w:w="2268" w:type="dxa"/>
            <w:vAlign w:val="bottom"/>
          </w:tcPr>
          <w:p w14:paraId="03A16F54" w14:textId="77777777" w:rsidR="00FC6F4F" w:rsidRPr="002029AF" w:rsidRDefault="00FC6F4F" w:rsidP="00FC6F4F">
            <w:pPr>
              <w:pStyle w:val="ARtablecolheadright"/>
            </w:pPr>
            <w:r w:rsidRPr="002029AF">
              <w:t>Kilometres</w:t>
            </w:r>
          </w:p>
        </w:tc>
      </w:tr>
      <w:tr w:rsidR="00FC6F4F" w:rsidRPr="002029AF" w14:paraId="3B3631B1" w14:textId="77777777" w:rsidTr="00FC6F4F">
        <w:trPr>
          <w:cantSplit/>
          <w:trHeight w:val="270"/>
        </w:trPr>
        <w:tc>
          <w:tcPr>
            <w:tcW w:w="2835" w:type="dxa"/>
          </w:tcPr>
          <w:p w14:paraId="0CDD659A" w14:textId="77777777" w:rsidR="00FC6F4F" w:rsidRPr="002029AF" w:rsidRDefault="00FC6F4F" w:rsidP="00FC6F4F">
            <w:pPr>
              <w:pStyle w:val="ARtabletext"/>
            </w:pPr>
            <w:r w:rsidRPr="002029AF">
              <w:t>LPG</w:t>
            </w:r>
          </w:p>
        </w:tc>
        <w:tc>
          <w:tcPr>
            <w:tcW w:w="2268" w:type="dxa"/>
            <w:vAlign w:val="center"/>
          </w:tcPr>
          <w:p w14:paraId="248F82C3" w14:textId="77777777" w:rsidR="00FC6F4F" w:rsidRPr="002029AF" w:rsidRDefault="00FC6F4F" w:rsidP="00FC6F4F">
            <w:pPr>
              <w:pStyle w:val="ARtabletextright"/>
            </w:pPr>
            <w:r w:rsidRPr="002029AF">
              <w:t>0</w:t>
            </w:r>
          </w:p>
        </w:tc>
        <w:tc>
          <w:tcPr>
            <w:tcW w:w="2268" w:type="dxa"/>
            <w:vAlign w:val="center"/>
          </w:tcPr>
          <w:p w14:paraId="3098470F" w14:textId="77777777" w:rsidR="00FC6F4F" w:rsidRPr="002029AF" w:rsidRDefault="00FC6F4F" w:rsidP="00FC6F4F">
            <w:pPr>
              <w:pStyle w:val="ARtabletextright"/>
            </w:pPr>
            <w:r w:rsidRPr="002029AF">
              <w:t>0</w:t>
            </w:r>
          </w:p>
        </w:tc>
        <w:tc>
          <w:tcPr>
            <w:tcW w:w="2268" w:type="dxa"/>
            <w:vAlign w:val="center"/>
          </w:tcPr>
          <w:p w14:paraId="5CEAEA95" w14:textId="77777777" w:rsidR="00FC6F4F" w:rsidRPr="002029AF" w:rsidRDefault="00FC6F4F" w:rsidP="00FC6F4F">
            <w:pPr>
              <w:pStyle w:val="ARtabletextright"/>
            </w:pPr>
            <w:r w:rsidRPr="002029AF">
              <w:t>95,765</w:t>
            </w:r>
          </w:p>
        </w:tc>
      </w:tr>
      <w:tr w:rsidR="00FC6F4F" w14:paraId="0D808073" w14:textId="77777777" w:rsidTr="00FC6F4F">
        <w:trPr>
          <w:cantSplit/>
          <w:trHeight w:val="270"/>
        </w:trPr>
        <w:tc>
          <w:tcPr>
            <w:tcW w:w="2835" w:type="dxa"/>
          </w:tcPr>
          <w:p w14:paraId="291D2BCB" w14:textId="77777777" w:rsidR="00FC6F4F" w:rsidRDefault="00FC6F4F" w:rsidP="00FC6F4F">
            <w:pPr>
              <w:pStyle w:val="ARtabletext"/>
            </w:pPr>
            <w:r>
              <w:t>Electric</w:t>
            </w:r>
          </w:p>
        </w:tc>
        <w:tc>
          <w:tcPr>
            <w:tcW w:w="2268" w:type="dxa"/>
            <w:vAlign w:val="center"/>
          </w:tcPr>
          <w:p w14:paraId="5F25D214" w14:textId="77777777" w:rsidR="00FC6F4F" w:rsidRDefault="00FC6F4F" w:rsidP="00FC6F4F">
            <w:pPr>
              <w:pStyle w:val="ARtabletextright"/>
            </w:pPr>
            <w:r>
              <w:t>19,708</w:t>
            </w:r>
          </w:p>
        </w:tc>
        <w:tc>
          <w:tcPr>
            <w:tcW w:w="2268" w:type="dxa"/>
            <w:vAlign w:val="center"/>
          </w:tcPr>
          <w:p w14:paraId="48F9201B" w14:textId="77777777" w:rsidR="00FC6F4F" w:rsidRDefault="00FC6F4F" w:rsidP="00FC6F4F">
            <w:pPr>
              <w:pStyle w:val="ARtabletextright"/>
            </w:pPr>
            <w:r>
              <w:t>N/A</w:t>
            </w:r>
          </w:p>
        </w:tc>
        <w:tc>
          <w:tcPr>
            <w:tcW w:w="2268" w:type="dxa"/>
            <w:vAlign w:val="center"/>
          </w:tcPr>
          <w:p w14:paraId="185199A8" w14:textId="77777777" w:rsidR="00FC6F4F" w:rsidRDefault="00FC6F4F" w:rsidP="00FC6F4F">
            <w:pPr>
              <w:pStyle w:val="ARtabletextright"/>
            </w:pPr>
            <w:r>
              <w:t>N/A</w:t>
            </w:r>
          </w:p>
        </w:tc>
      </w:tr>
      <w:tr w:rsidR="00FC6F4F" w:rsidRPr="002029AF" w14:paraId="5E425EB2" w14:textId="77777777" w:rsidTr="00FC6F4F">
        <w:trPr>
          <w:cantSplit/>
          <w:trHeight w:val="270"/>
        </w:trPr>
        <w:tc>
          <w:tcPr>
            <w:tcW w:w="2835" w:type="dxa"/>
          </w:tcPr>
          <w:p w14:paraId="15CC7B05" w14:textId="77777777" w:rsidR="00FC6F4F" w:rsidRPr="002029AF" w:rsidRDefault="00FC6F4F" w:rsidP="00FC6F4F">
            <w:pPr>
              <w:pStyle w:val="ARtabletext"/>
            </w:pPr>
            <w:r w:rsidRPr="002029AF">
              <w:t>Hybrid</w:t>
            </w:r>
          </w:p>
        </w:tc>
        <w:tc>
          <w:tcPr>
            <w:tcW w:w="2268" w:type="dxa"/>
            <w:vAlign w:val="center"/>
          </w:tcPr>
          <w:p w14:paraId="60982DFB" w14:textId="77777777" w:rsidR="00FC6F4F" w:rsidRPr="002029AF" w:rsidRDefault="00FC6F4F" w:rsidP="00FC6F4F">
            <w:pPr>
              <w:pStyle w:val="ARtabletextright"/>
            </w:pPr>
            <w:r>
              <w:t>2,172,116</w:t>
            </w:r>
          </w:p>
        </w:tc>
        <w:tc>
          <w:tcPr>
            <w:tcW w:w="2268" w:type="dxa"/>
            <w:vAlign w:val="center"/>
          </w:tcPr>
          <w:p w14:paraId="4928D4BE" w14:textId="77777777" w:rsidR="00FC6F4F" w:rsidRPr="002029AF" w:rsidRDefault="00FC6F4F" w:rsidP="00FC6F4F">
            <w:pPr>
              <w:pStyle w:val="ARtabletextright"/>
            </w:pPr>
            <w:r w:rsidRPr="002029AF">
              <w:t>7,665,511</w:t>
            </w:r>
          </w:p>
        </w:tc>
        <w:tc>
          <w:tcPr>
            <w:tcW w:w="2268" w:type="dxa"/>
            <w:vAlign w:val="center"/>
          </w:tcPr>
          <w:p w14:paraId="3E765FB4" w14:textId="77777777" w:rsidR="00FC6F4F" w:rsidRPr="002029AF" w:rsidRDefault="00FC6F4F" w:rsidP="00FC6F4F">
            <w:pPr>
              <w:pStyle w:val="ARtabletextright"/>
            </w:pPr>
            <w:r w:rsidRPr="002029AF">
              <w:t>9,995,318</w:t>
            </w:r>
          </w:p>
        </w:tc>
      </w:tr>
      <w:tr w:rsidR="00FC6F4F" w:rsidRPr="002029AF" w14:paraId="645985EC" w14:textId="77777777" w:rsidTr="00FC6F4F">
        <w:trPr>
          <w:cantSplit/>
          <w:trHeight w:val="270"/>
        </w:trPr>
        <w:tc>
          <w:tcPr>
            <w:tcW w:w="2835" w:type="dxa"/>
          </w:tcPr>
          <w:p w14:paraId="3337B87E" w14:textId="77777777" w:rsidR="00FC6F4F" w:rsidRPr="002029AF" w:rsidRDefault="00FC6F4F" w:rsidP="00FC6F4F">
            <w:pPr>
              <w:pStyle w:val="ARtabletext"/>
            </w:pPr>
            <w:r w:rsidRPr="002029AF">
              <w:t>Unleaded petrol</w:t>
            </w:r>
          </w:p>
        </w:tc>
        <w:tc>
          <w:tcPr>
            <w:tcW w:w="2268" w:type="dxa"/>
            <w:vAlign w:val="center"/>
          </w:tcPr>
          <w:p w14:paraId="7BAD8DD7" w14:textId="77777777" w:rsidR="00FC6F4F" w:rsidRPr="002029AF" w:rsidRDefault="00FC6F4F" w:rsidP="00FC6F4F">
            <w:pPr>
              <w:pStyle w:val="ARtabletextright"/>
            </w:pPr>
            <w:r>
              <w:t>7,753,581</w:t>
            </w:r>
          </w:p>
        </w:tc>
        <w:tc>
          <w:tcPr>
            <w:tcW w:w="2268" w:type="dxa"/>
            <w:vAlign w:val="center"/>
          </w:tcPr>
          <w:p w14:paraId="4C2769AA" w14:textId="77777777" w:rsidR="00FC6F4F" w:rsidRPr="002029AF" w:rsidRDefault="00FC6F4F" w:rsidP="00FC6F4F">
            <w:pPr>
              <w:pStyle w:val="ARtabletextright"/>
            </w:pPr>
            <w:r w:rsidRPr="002029AF">
              <w:t>14,280,192</w:t>
            </w:r>
          </w:p>
        </w:tc>
        <w:tc>
          <w:tcPr>
            <w:tcW w:w="2268" w:type="dxa"/>
            <w:vAlign w:val="center"/>
          </w:tcPr>
          <w:p w14:paraId="1F0D82A4" w14:textId="77777777" w:rsidR="00FC6F4F" w:rsidRPr="002029AF" w:rsidRDefault="00FC6F4F" w:rsidP="00FC6F4F">
            <w:pPr>
              <w:pStyle w:val="ARtabletextright"/>
            </w:pPr>
            <w:r w:rsidRPr="002029AF">
              <w:t>19,433,669</w:t>
            </w:r>
          </w:p>
        </w:tc>
      </w:tr>
      <w:tr w:rsidR="00FC6F4F" w:rsidRPr="002029AF" w14:paraId="2679B3E3" w14:textId="77777777" w:rsidTr="00FC6F4F">
        <w:trPr>
          <w:cantSplit/>
          <w:trHeight w:val="270"/>
        </w:trPr>
        <w:tc>
          <w:tcPr>
            <w:tcW w:w="2835" w:type="dxa"/>
          </w:tcPr>
          <w:p w14:paraId="59739F5A" w14:textId="77777777" w:rsidR="00FC6F4F" w:rsidRPr="002029AF" w:rsidRDefault="00FC6F4F" w:rsidP="00FC6F4F">
            <w:pPr>
              <w:pStyle w:val="ARtabletext"/>
            </w:pPr>
            <w:r w:rsidRPr="002029AF">
              <w:t>Diesel</w:t>
            </w:r>
          </w:p>
        </w:tc>
        <w:tc>
          <w:tcPr>
            <w:tcW w:w="2268" w:type="dxa"/>
            <w:vAlign w:val="center"/>
          </w:tcPr>
          <w:p w14:paraId="43B519C2" w14:textId="77777777" w:rsidR="00FC6F4F" w:rsidRPr="002029AF" w:rsidRDefault="00FC6F4F" w:rsidP="00FC6F4F">
            <w:pPr>
              <w:pStyle w:val="ARtabletextright"/>
            </w:pPr>
            <w:r>
              <w:t>1,803,557</w:t>
            </w:r>
          </w:p>
        </w:tc>
        <w:tc>
          <w:tcPr>
            <w:tcW w:w="2268" w:type="dxa"/>
            <w:vAlign w:val="center"/>
          </w:tcPr>
          <w:p w14:paraId="15AA0E0E" w14:textId="77777777" w:rsidR="00FC6F4F" w:rsidRPr="002029AF" w:rsidRDefault="00FC6F4F" w:rsidP="00FC6F4F">
            <w:pPr>
              <w:pStyle w:val="ARtabletextright"/>
            </w:pPr>
            <w:r w:rsidRPr="002029AF">
              <w:t>3,848,963</w:t>
            </w:r>
          </w:p>
        </w:tc>
        <w:tc>
          <w:tcPr>
            <w:tcW w:w="2268" w:type="dxa"/>
            <w:vAlign w:val="center"/>
          </w:tcPr>
          <w:p w14:paraId="37E9FC1D" w14:textId="77777777" w:rsidR="00FC6F4F" w:rsidRPr="002029AF" w:rsidRDefault="00FC6F4F" w:rsidP="00FC6F4F">
            <w:pPr>
              <w:pStyle w:val="ARtabletextright"/>
            </w:pPr>
            <w:r w:rsidRPr="002029AF">
              <w:t>7,728,698</w:t>
            </w:r>
          </w:p>
        </w:tc>
      </w:tr>
      <w:tr w:rsidR="00FC6F4F" w:rsidRPr="002029AF" w14:paraId="11331CFB" w14:textId="77777777" w:rsidTr="00FC6F4F">
        <w:trPr>
          <w:cantSplit/>
          <w:trHeight w:val="270"/>
        </w:trPr>
        <w:tc>
          <w:tcPr>
            <w:tcW w:w="2835" w:type="dxa"/>
            <w:tcBorders>
              <w:bottom w:val="single" w:sz="4" w:space="0" w:color="auto"/>
            </w:tcBorders>
          </w:tcPr>
          <w:p w14:paraId="25F6CCA8" w14:textId="77777777" w:rsidR="00FC6F4F" w:rsidRPr="002029AF" w:rsidRDefault="00FC6F4F" w:rsidP="00FC6F4F">
            <w:pPr>
              <w:pStyle w:val="ARtabletext"/>
            </w:pPr>
            <w:r w:rsidRPr="002029AF">
              <w:t>State government vehicle pool</w:t>
            </w:r>
          </w:p>
        </w:tc>
        <w:tc>
          <w:tcPr>
            <w:tcW w:w="2268" w:type="dxa"/>
            <w:tcBorders>
              <w:bottom w:val="single" w:sz="4" w:space="0" w:color="auto"/>
            </w:tcBorders>
            <w:vAlign w:val="center"/>
          </w:tcPr>
          <w:p w14:paraId="0815FD8F" w14:textId="77777777" w:rsidR="00FC6F4F" w:rsidRPr="002029AF" w:rsidRDefault="00FC6F4F" w:rsidP="00FC6F4F">
            <w:pPr>
              <w:pStyle w:val="ARtabletextright"/>
            </w:pPr>
            <w:r>
              <w:t>718,757</w:t>
            </w:r>
          </w:p>
        </w:tc>
        <w:tc>
          <w:tcPr>
            <w:tcW w:w="2268" w:type="dxa"/>
            <w:tcBorders>
              <w:bottom w:val="single" w:sz="4" w:space="0" w:color="auto"/>
            </w:tcBorders>
            <w:vAlign w:val="center"/>
          </w:tcPr>
          <w:p w14:paraId="4EAD1716" w14:textId="77777777" w:rsidR="00FC6F4F" w:rsidRPr="002029AF" w:rsidRDefault="00FC6F4F" w:rsidP="00FC6F4F">
            <w:pPr>
              <w:pStyle w:val="ARtabletextright"/>
            </w:pPr>
            <w:r w:rsidRPr="002029AF">
              <w:t>840,085</w:t>
            </w:r>
          </w:p>
        </w:tc>
        <w:tc>
          <w:tcPr>
            <w:tcW w:w="2268" w:type="dxa"/>
            <w:tcBorders>
              <w:bottom w:val="single" w:sz="4" w:space="0" w:color="auto"/>
            </w:tcBorders>
            <w:vAlign w:val="center"/>
          </w:tcPr>
          <w:p w14:paraId="615B9369" w14:textId="77777777" w:rsidR="00FC6F4F" w:rsidRPr="002029AF" w:rsidRDefault="00FC6F4F" w:rsidP="00FC6F4F">
            <w:pPr>
              <w:pStyle w:val="ARtabletextright"/>
            </w:pPr>
            <w:r w:rsidRPr="002029AF">
              <w:t>830,763</w:t>
            </w:r>
          </w:p>
        </w:tc>
      </w:tr>
      <w:tr w:rsidR="00FC6F4F" w:rsidRPr="002029AF" w14:paraId="6D32D359" w14:textId="77777777" w:rsidTr="00FC6F4F">
        <w:trPr>
          <w:cantSplit/>
          <w:trHeight w:val="270"/>
        </w:trPr>
        <w:tc>
          <w:tcPr>
            <w:tcW w:w="2835" w:type="dxa"/>
            <w:tcBorders>
              <w:top w:val="single" w:sz="4" w:space="0" w:color="auto"/>
              <w:bottom w:val="single" w:sz="4" w:space="0" w:color="auto"/>
            </w:tcBorders>
          </w:tcPr>
          <w:p w14:paraId="70EB89FE" w14:textId="77777777" w:rsidR="00FC6F4F" w:rsidRPr="002029AF" w:rsidRDefault="00FC6F4F" w:rsidP="00FC6F4F">
            <w:pPr>
              <w:pStyle w:val="ARtabletext"/>
              <w:rPr>
                <w:b/>
              </w:rPr>
            </w:pPr>
            <w:r w:rsidRPr="002029AF">
              <w:rPr>
                <w:b/>
              </w:rPr>
              <w:t>Total</w:t>
            </w:r>
          </w:p>
        </w:tc>
        <w:tc>
          <w:tcPr>
            <w:tcW w:w="2268" w:type="dxa"/>
            <w:tcBorders>
              <w:top w:val="single" w:sz="4" w:space="0" w:color="auto"/>
              <w:bottom w:val="single" w:sz="4" w:space="0" w:color="auto"/>
            </w:tcBorders>
            <w:vAlign w:val="center"/>
          </w:tcPr>
          <w:p w14:paraId="1719DA0D" w14:textId="77777777" w:rsidR="00FC6F4F" w:rsidRPr="002029AF" w:rsidRDefault="00FC6F4F" w:rsidP="00FC6F4F">
            <w:pPr>
              <w:pStyle w:val="ARtabletextrightbold"/>
            </w:pPr>
            <w:r>
              <w:t>12,467,719</w:t>
            </w:r>
          </w:p>
        </w:tc>
        <w:tc>
          <w:tcPr>
            <w:tcW w:w="2268" w:type="dxa"/>
            <w:tcBorders>
              <w:top w:val="single" w:sz="4" w:space="0" w:color="auto"/>
              <w:bottom w:val="single" w:sz="4" w:space="0" w:color="auto"/>
            </w:tcBorders>
            <w:vAlign w:val="center"/>
          </w:tcPr>
          <w:p w14:paraId="55CED31A" w14:textId="77777777" w:rsidR="00FC6F4F" w:rsidRPr="002029AF" w:rsidRDefault="00FC6F4F" w:rsidP="00FC6F4F">
            <w:pPr>
              <w:pStyle w:val="ARtabletextrightbold"/>
            </w:pPr>
            <w:r w:rsidRPr="002029AF">
              <w:t>26,634,751</w:t>
            </w:r>
          </w:p>
        </w:tc>
        <w:tc>
          <w:tcPr>
            <w:tcW w:w="2268" w:type="dxa"/>
            <w:tcBorders>
              <w:top w:val="single" w:sz="4" w:space="0" w:color="auto"/>
              <w:bottom w:val="single" w:sz="4" w:space="0" w:color="auto"/>
            </w:tcBorders>
            <w:vAlign w:val="center"/>
          </w:tcPr>
          <w:p w14:paraId="7A8576FD" w14:textId="77777777" w:rsidR="00FC6F4F" w:rsidRPr="002029AF" w:rsidRDefault="00FC6F4F" w:rsidP="00FC6F4F">
            <w:pPr>
              <w:pStyle w:val="ARtabletextrightbold"/>
            </w:pPr>
            <w:r w:rsidRPr="002029AF">
              <w:t>38,084,213</w:t>
            </w:r>
          </w:p>
        </w:tc>
      </w:tr>
    </w:tbl>
    <w:p w14:paraId="51E2FEE2" w14:textId="77777777" w:rsidR="00FC6F4F" w:rsidRPr="002029AF" w:rsidRDefault="00FC6F4F" w:rsidP="00897193">
      <w:pPr>
        <w:pStyle w:val="ARbody"/>
      </w:pPr>
    </w:p>
    <w:tbl>
      <w:tblPr>
        <w:tblW w:w="9639" w:type="dxa"/>
        <w:tblBorders>
          <w:left w:val="single" w:sz="4" w:space="0" w:color="FFFFFF" w:themeColor="background1"/>
          <w:bottom w:val="single" w:sz="4" w:space="0" w:color="auto"/>
          <w:right w:val="single" w:sz="4" w:space="0" w:color="FFFFFF" w:themeColor="background1"/>
          <w:insideH w:val="single" w:sz="4" w:space="0" w:color="auto"/>
          <w:insideV w:val="single" w:sz="4" w:space="0" w:color="FFFFFF" w:themeColor="background1"/>
        </w:tblBorders>
        <w:tblLayout w:type="fixed"/>
        <w:tblCellMar>
          <w:left w:w="0" w:type="dxa"/>
        </w:tblCellMar>
        <w:tblLook w:val="00A0" w:firstRow="1" w:lastRow="0" w:firstColumn="1" w:lastColumn="0" w:noHBand="0" w:noVBand="0"/>
      </w:tblPr>
      <w:tblGrid>
        <w:gridCol w:w="2835"/>
        <w:gridCol w:w="2268"/>
        <w:gridCol w:w="2268"/>
        <w:gridCol w:w="2268"/>
      </w:tblGrid>
      <w:tr w:rsidR="00FC6F4F" w:rsidRPr="002029AF" w14:paraId="18A0D486" w14:textId="77777777" w:rsidTr="00FC6F4F">
        <w:trPr>
          <w:cantSplit/>
          <w:trHeight w:val="270"/>
          <w:tblHeader/>
        </w:trPr>
        <w:tc>
          <w:tcPr>
            <w:tcW w:w="2835" w:type="dxa"/>
            <w:vAlign w:val="bottom"/>
          </w:tcPr>
          <w:p w14:paraId="0C590031" w14:textId="77777777" w:rsidR="00FC6F4F" w:rsidRPr="002029AF" w:rsidRDefault="00FC6F4F" w:rsidP="004330D7">
            <w:pPr>
              <w:pStyle w:val="ARtablecolhead"/>
              <w:pageBreakBefore/>
            </w:pPr>
            <w:r w:rsidRPr="002029AF">
              <w:lastRenderedPageBreak/>
              <w:t>Description</w:t>
            </w:r>
          </w:p>
        </w:tc>
        <w:tc>
          <w:tcPr>
            <w:tcW w:w="2268" w:type="dxa"/>
            <w:vAlign w:val="center"/>
          </w:tcPr>
          <w:p w14:paraId="4D691458" w14:textId="77777777" w:rsidR="00FC6F4F" w:rsidRPr="002029AF" w:rsidRDefault="00FC6F4F" w:rsidP="00FC6F4F">
            <w:pPr>
              <w:pStyle w:val="ARtablecolheadright"/>
            </w:pPr>
            <w:r w:rsidRPr="002029AF">
              <w:t>20</w:t>
            </w:r>
            <w:r>
              <w:t>20</w:t>
            </w:r>
            <w:r w:rsidRPr="002029AF">
              <w:t>–2</w:t>
            </w:r>
            <w:r>
              <w:t>1</w:t>
            </w:r>
            <w:r w:rsidRPr="002029AF">
              <w:t xml:space="preserve"> estimate</w:t>
            </w:r>
          </w:p>
        </w:tc>
        <w:tc>
          <w:tcPr>
            <w:tcW w:w="2268" w:type="dxa"/>
            <w:vAlign w:val="center"/>
          </w:tcPr>
          <w:p w14:paraId="533E44D1" w14:textId="77777777" w:rsidR="00FC6F4F" w:rsidRPr="002029AF" w:rsidRDefault="00FC6F4F" w:rsidP="00FC6F4F">
            <w:pPr>
              <w:pStyle w:val="ARtablecolheadright"/>
            </w:pPr>
            <w:r w:rsidRPr="002029AF">
              <w:t>2019–20 estimate</w:t>
            </w:r>
          </w:p>
        </w:tc>
        <w:tc>
          <w:tcPr>
            <w:tcW w:w="2268" w:type="dxa"/>
            <w:vAlign w:val="center"/>
          </w:tcPr>
          <w:p w14:paraId="16E2DF65" w14:textId="77777777" w:rsidR="00FC6F4F" w:rsidRPr="002029AF" w:rsidRDefault="00FC6F4F" w:rsidP="00FC6F4F">
            <w:pPr>
              <w:pStyle w:val="ARtablecolheadright"/>
            </w:pPr>
            <w:r w:rsidRPr="002029AF">
              <w:t>2018–19 estimate</w:t>
            </w:r>
          </w:p>
        </w:tc>
      </w:tr>
      <w:tr w:rsidR="00FC6F4F" w:rsidRPr="002029AF" w14:paraId="357CCB81" w14:textId="77777777" w:rsidTr="00FC6F4F">
        <w:trPr>
          <w:cantSplit/>
          <w:trHeight w:val="270"/>
          <w:tblHeader/>
        </w:trPr>
        <w:tc>
          <w:tcPr>
            <w:tcW w:w="2835" w:type="dxa"/>
          </w:tcPr>
          <w:p w14:paraId="6D05E04F" w14:textId="77777777" w:rsidR="00FC6F4F" w:rsidRPr="002029AF" w:rsidRDefault="00FC6F4F" w:rsidP="00FC6F4F">
            <w:pPr>
              <w:pStyle w:val="ARtablecolhead"/>
            </w:pPr>
            <w:r w:rsidRPr="002029AF">
              <w:t>Total greenhouse gas emissions</w:t>
            </w:r>
          </w:p>
        </w:tc>
        <w:tc>
          <w:tcPr>
            <w:tcW w:w="2268" w:type="dxa"/>
            <w:vAlign w:val="bottom"/>
          </w:tcPr>
          <w:p w14:paraId="157B296B" w14:textId="77777777" w:rsidR="00FC6F4F" w:rsidRPr="002029AF" w:rsidRDefault="00FC6F4F" w:rsidP="00FC6F4F">
            <w:pPr>
              <w:pStyle w:val="ARtablecolheadright"/>
            </w:pPr>
            <w:r w:rsidRPr="002029AF">
              <w:t>Tonnes CO</w:t>
            </w:r>
            <w:r w:rsidRPr="002029AF">
              <w:rPr>
                <w:vertAlign w:val="subscript"/>
              </w:rPr>
              <w:t>2</w:t>
            </w:r>
            <w:r w:rsidRPr="002029AF">
              <w:t>-e</w:t>
            </w:r>
          </w:p>
        </w:tc>
        <w:tc>
          <w:tcPr>
            <w:tcW w:w="2268" w:type="dxa"/>
            <w:vAlign w:val="bottom"/>
          </w:tcPr>
          <w:p w14:paraId="30F0A4F2" w14:textId="77777777" w:rsidR="00FC6F4F" w:rsidRPr="002029AF" w:rsidRDefault="00FC6F4F" w:rsidP="00FC6F4F">
            <w:pPr>
              <w:pStyle w:val="ARtablecolheadright"/>
            </w:pPr>
            <w:r w:rsidRPr="002029AF">
              <w:t>Tonnes CO</w:t>
            </w:r>
            <w:r w:rsidRPr="002029AF">
              <w:rPr>
                <w:vertAlign w:val="subscript"/>
              </w:rPr>
              <w:t>2</w:t>
            </w:r>
            <w:r w:rsidRPr="002029AF">
              <w:t>-e</w:t>
            </w:r>
          </w:p>
        </w:tc>
        <w:tc>
          <w:tcPr>
            <w:tcW w:w="2268" w:type="dxa"/>
            <w:vAlign w:val="bottom"/>
          </w:tcPr>
          <w:p w14:paraId="1AF49ECC" w14:textId="77777777" w:rsidR="00FC6F4F" w:rsidRPr="002029AF" w:rsidRDefault="00FC6F4F" w:rsidP="00FC6F4F">
            <w:pPr>
              <w:pStyle w:val="ARtablecolheadright"/>
            </w:pPr>
            <w:r w:rsidRPr="002029AF">
              <w:t>Tonnes CO</w:t>
            </w:r>
            <w:r w:rsidRPr="002029AF">
              <w:rPr>
                <w:vertAlign w:val="subscript"/>
              </w:rPr>
              <w:t>2</w:t>
            </w:r>
            <w:r w:rsidRPr="002029AF">
              <w:t>-e</w:t>
            </w:r>
          </w:p>
        </w:tc>
      </w:tr>
      <w:tr w:rsidR="00FC6F4F" w:rsidRPr="002029AF" w14:paraId="1FE84D05" w14:textId="77777777" w:rsidTr="00FC6F4F">
        <w:trPr>
          <w:cantSplit/>
          <w:trHeight w:val="270"/>
        </w:trPr>
        <w:tc>
          <w:tcPr>
            <w:tcW w:w="2835" w:type="dxa"/>
          </w:tcPr>
          <w:p w14:paraId="0F97F413" w14:textId="77777777" w:rsidR="00FC6F4F" w:rsidRPr="002029AF" w:rsidRDefault="00FC6F4F" w:rsidP="00FC6F4F">
            <w:pPr>
              <w:pStyle w:val="ARtabletext"/>
            </w:pPr>
            <w:r w:rsidRPr="002029AF">
              <w:t>LPG</w:t>
            </w:r>
          </w:p>
        </w:tc>
        <w:tc>
          <w:tcPr>
            <w:tcW w:w="2268" w:type="dxa"/>
            <w:vAlign w:val="center"/>
          </w:tcPr>
          <w:p w14:paraId="537B3912" w14:textId="77777777" w:rsidR="00FC6F4F" w:rsidRPr="002029AF" w:rsidRDefault="00FC6F4F" w:rsidP="00FC6F4F">
            <w:pPr>
              <w:pStyle w:val="ARtabletextright"/>
            </w:pPr>
            <w:r w:rsidRPr="002029AF">
              <w:t>0</w:t>
            </w:r>
          </w:p>
        </w:tc>
        <w:tc>
          <w:tcPr>
            <w:tcW w:w="2268" w:type="dxa"/>
            <w:vAlign w:val="center"/>
          </w:tcPr>
          <w:p w14:paraId="39493BE9" w14:textId="77777777" w:rsidR="00FC6F4F" w:rsidRPr="002029AF" w:rsidRDefault="00FC6F4F" w:rsidP="00FC6F4F">
            <w:pPr>
              <w:pStyle w:val="ARtabletextright"/>
            </w:pPr>
            <w:r w:rsidRPr="002029AF">
              <w:t>0</w:t>
            </w:r>
          </w:p>
        </w:tc>
        <w:tc>
          <w:tcPr>
            <w:tcW w:w="2268" w:type="dxa"/>
            <w:vAlign w:val="center"/>
          </w:tcPr>
          <w:p w14:paraId="498C215A" w14:textId="77777777" w:rsidR="00FC6F4F" w:rsidRPr="002029AF" w:rsidRDefault="00FC6F4F" w:rsidP="00FC6F4F">
            <w:pPr>
              <w:pStyle w:val="ARtabletextright"/>
            </w:pPr>
            <w:r w:rsidRPr="002029AF">
              <w:t>22</w:t>
            </w:r>
          </w:p>
        </w:tc>
      </w:tr>
      <w:tr w:rsidR="00FC6F4F" w14:paraId="7A2A09D8" w14:textId="77777777" w:rsidTr="00FC6F4F">
        <w:trPr>
          <w:cantSplit/>
          <w:trHeight w:val="270"/>
        </w:trPr>
        <w:tc>
          <w:tcPr>
            <w:tcW w:w="2835" w:type="dxa"/>
          </w:tcPr>
          <w:p w14:paraId="2DDF6BB2" w14:textId="77777777" w:rsidR="00FC6F4F" w:rsidRDefault="00FC6F4F" w:rsidP="00FC6F4F">
            <w:pPr>
              <w:pStyle w:val="ARtabletext"/>
            </w:pPr>
            <w:r>
              <w:t>Electric</w:t>
            </w:r>
          </w:p>
        </w:tc>
        <w:tc>
          <w:tcPr>
            <w:tcW w:w="2268" w:type="dxa"/>
            <w:vAlign w:val="center"/>
          </w:tcPr>
          <w:p w14:paraId="6F334BF3" w14:textId="77777777" w:rsidR="00FC6F4F" w:rsidRDefault="00FC6F4F" w:rsidP="00FC6F4F">
            <w:pPr>
              <w:pStyle w:val="ARtabletextright"/>
            </w:pPr>
            <w:r>
              <w:t>0.24</w:t>
            </w:r>
          </w:p>
        </w:tc>
        <w:tc>
          <w:tcPr>
            <w:tcW w:w="2268" w:type="dxa"/>
            <w:vAlign w:val="center"/>
          </w:tcPr>
          <w:p w14:paraId="1DF5A3A3" w14:textId="77777777" w:rsidR="00FC6F4F" w:rsidRDefault="00FC6F4F" w:rsidP="00FC6F4F">
            <w:pPr>
              <w:pStyle w:val="ARtabletextright"/>
            </w:pPr>
            <w:r>
              <w:t>0</w:t>
            </w:r>
          </w:p>
        </w:tc>
        <w:tc>
          <w:tcPr>
            <w:tcW w:w="2268" w:type="dxa"/>
            <w:vAlign w:val="center"/>
          </w:tcPr>
          <w:p w14:paraId="73936F84" w14:textId="77777777" w:rsidR="00FC6F4F" w:rsidRDefault="00FC6F4F" w:rsidP="00FC6F4F">
            <w:pPr>
              <w:pStyle w:val="ARtabletextright"/>
            </w:pPr>
            <w:r>
              <w:t>0</w:t>
            </w:r>
          </w:p>
        </w:tc>
      </w:tr>
      <w:tr w:rsidR="00FC6F4F" w:rsidRPr="002029AF" w14:paraId="2E7E69DA" w14:textId="77777777" w:rsidTr="00FC6F4F">
        <w:trPr>
          <w:cantSplit/>
          <w:trHeight w:val="270"/>
        </w:trPr>
        <w:tc>
          <w:tcPr>
            <w:tcW w:w="2835" w:type="dxa"/>
          </w:tcPr>
          <w:p w14:paraId="39C89D14" w14:textId="77777777" w:rsidR="00FC6F4F" w:rsidRPr="002029AF" w:rsidRDefault="00FC6F4F" w:rsidP="00FC6F4F">
            <w:pPr>
              <w:pStyle w:val="ARtabletext"/>
            </w:pPr>
            <w:r w:rsidRPr="002029AF">
              <w:t>Hybrid</w:t>
            </w:r>
          </w:p>
        </w:tc>
        <w:tc>
          <w:tcPr>
            <w:tcW w:w="2268" w:type="dxa"/>
            <w:vAlign w:val="center"/>
          </w:tcPr>
          <w:p w14:paraId="603EDA9C" w14:textId="77777777" w:rsidR="00FC6F4F" w:rsidRPr="002029AF" w:rsidRDefault="00FC6F4F" w:rsidP="00FC6F4F">
            <w:pPr>
              <w:pStyle w:val="ARtabletextright"/>
            </w:pPr>
            <w:r>
              <w:t>300</w:t>
            </w:r>
          </w:p>
        </w:tc>
        <w:tc>
          <w:tcPr>
            <w:tcW w:w="2268" w:type="dxa"/>
            <w:vAlign w:val="center"/>
          </w:tcPr>
          <w:p w14:paraId="66558469" w14:textId="77777777" w:rsidR="00FC6F4F" w:rsidRPr="002029AF" w:rsidRDefault="00FC6F4F" w:rsidP="00FC6F4F">
            <w:pPr>
              <w:pStyle w:val="ARtabletextright"/>
            </w:pPr>
            <w:r w:rsidRPr="002029AF">
              <w:t>872</w:t>
            </w:r>
          </w:p>
        </w:tc>
        <w:tc>
          <w:tcPr>
            <w:tcW w:w="2268" w:type="dxa"/>
            <w:vAlign w:val="center"/>
          </w:tcPr>
          <w:p w14:paraId="79C5A601" w14:textId="77777777" w:rsidR="00FC6F4F" w:rsidRPr="002029AF" w:rsidRDefault="00FC6F4F" w:rsidP="00FC6F4F">
            <w:pPr>
              <w:pStyle w:val="ARtabletextright"/>
            </w:pPr>
            <w:r w:rsidRPr="002029AF">
              <w:t>1,488</w:t>
            </w:r>
          </w:p>
        </w:tc>
      </w:tr>
      <w:tr w:rsidR="00FC6F4F" w:rsidRPr="002029AF" w14:paraId="6076FB9F" w14:textId="77777777" w:rsidTr="00FC6F4F">
        <w:trPr>
          <w:cantSplit/>
          <w:trHeight w:val="270"/>
        </w:trPr>
        <w:tc>
          <w:tcPr>
            <w:tcW w:w="2835" w:type="dxa"/>
          </w:tcPr>
          <w:p w14:paraId="42AFA2D7" w14:textId="77777777" w:rsidR="00FC6F4F" w:rsidRPr="002029AF" w:rsidRDefault="00FC6F4F" w:rsidP="00FC6F4F">
            <w:pPr>
              <w:pStyle w:val="ARtabletext"/>
            </w:pPr>
            <w:r w:rsidRPr="002029AF">
              <w:t>Unleaded petrol</w:t>
            </w:r>
          </w:p>
        </w:tc>
        <w:tc>
          <w:tcPr>
            <w:tcW w:w="2268" w:type="dxa"/>
            <w:vAlign w:val="center"/>
          </w:tcPr>
          <w:p w14:paraId="6706F95B" w14:textId="77777777" w:rsidR="00FC6F4F" w:rsidRPr="002029AF" w:rsidRDefault="00FC6F4F" w:rsidP="00FC6F4F">
            <w:pPr>
              <w:pStyle w:val="ARtabletextright"/>
            </w:pPr>
            <w:r>
              <w:t>1,719</w:t>
            </w:r>
          </w:p>
        </w:tc>
        <w:tc>
          <w:tcPr>
            <w:tcW w:w="2268" w:type="dxa"/>
            <w:vAlign w:val="center"/>
          </w:tcPr>
          <w:p w14:paraId="1198FD71" w14:textId="77777777" w:rsidR="00FC6F4F" w:rsidRPr="002029AF" w:rsidRDefault="00FC6F4F" w:rsidP="00FC6F4F">
            <w:pPr>
              <w:pStyle w:val="ARtabletextright"/>
            </w:pPr>
            <w:r w:rsidRPr="002029AF">
              <w:t>3,932</w:t>
            </w:r>
          </w:p>
        </w:tc>
        <w:tc>
          <w:tcPr>
            <w:tcW w:w="2268" w:type="dxa"/>
            <w:vAlign w:val="center"/>
          </w:tcPr>
          <w:p w14:paraId="353F8250" w14:textId="77777777" w:rsidR="00FC6F4F" w:rsidRPr="002029AF" w:rsidRDefault="00FC6F4F" w:rsidP="00FC6F4F">
            <w:pPr>
              <w:pStyle w:val="ARtabletextright"/>
            </w:pPr>
            <w:r w:rsidRPr="002029AF">
              <w:t>5,127</w:t>
            </w:r>
          </w:p>
        </w:tc>
      </w:tr>
      <w:tr w:rsidR="00FC6F4F" w:rsidRPr="002029AF" w14:paraId="6E90056E" w14:textId="77777777" w:rsidTr="00FC6F4F">
        <w:trPr>
          <w:cantSplit/>
          <w:trHeight w:val="270"/>
        </w:trPr>
        <w:tc>
          <w:tcPr>
            <w:tcW w:w="2835" w:type="dxa"/>
          </w:tcPr>
          <w:p w14:paraId="4F9FE451" w14:textId="77777777" w:rsidR="00FC6F4F" w:rsidRPr="002029AF" w:rsidRDefault="00FC6F4F" w:rsidP="00FC6F4F">
            <w:pPr>
              <w:pStyle w:val="ARtabletext"/>
            </w:pPr>
            <w:r w:rsidRPr="002029AF">
              <w:t>Diesel</w:t>
            </w:r>
          </w:p>
        </w:tc>
        <w:tc>
          <w:tcPr>
            <w:tcW w:w="2268" w:type="dxa"/>
            <w:vAlign w:val="center"/>
          </w:tcPr>
          <w:p w14:paraId="4406E44C" w14:textId="77777777" w:rsidR="00FC6F4F" w:rsidRPr="002029AF" w:rsidRDefault="00FC6F4F" w:rsidP="00FC6F4F">
            <w:pPr>
              <w:pStyle w:val="ARtabletextright"/>
            </w:pPr>
            <w:r>
              <w:t>451</w:t>
            </w:r>
          </w:p>
        </w:tc>
        <w:tc>
          <w:tcPr>
            <w:tcW w:w="2268" w:type="dxa"/>
            <w:vAlign w:val="center"/>
          </w:tcPr>
          <w:p w14:paraId="57710E86" w14:textId="77777777" w:rsidR="00FC6F4F" w:rsidRPr="002029AF" w:rsidRDefault="00FC6F4F" w:rsidP="00FC6F4F">
            <w:pPr>
              <w:pStyle w:val="ARtabletextright"/>
            </w:pPr>
            <w:r w:rsidRPr="002029AF">
              <w:t>1,080</w:t>
            </w:r>
          </w:p>
        </w:tc>
        <w:tc>
          <w:tcPr>
            <w:tcW w:w="2268" w:type="dxa"/>
            <w:vAlign w:val="center"/>
          </w:tcPr>
          <w:p w14:paraId="27471F7F" w14:textId="77777777" w:rsidR="00FC6F4F" w:rsidRPr="002029AF" w:rsidRDefault="00FC6F4F" w:rsidP="00FC6F4F">
            <w:pPr>
              <w:pStyle w:val="ARtabletextright"/>
            </w:pPr>
            <w:r w:rsidRPr="002029AF">
              <w:t>2,141</w:t>
            </w:r>
          </w:p>
        </w:tc>
      </w:tr>
      <w:tr w:rsidR="00FC6F4F" w:rsidRPr="002029AF" w14:paraId="2302110B" w14:textId="77777777" w:rsidTr="00FC6F4F">
        <w:trPr>
          <w:cantSplit/>
          <w:trHeight w:val="270"/>
        </w:trPr>
        <w:tc>
          <w:tcPr>
            <w:tcW w:w="2835" w:type="dxa"/>
          </w:tcPr>
          <w:p w14:paraId="262D32F1" w14:textId="77777777" w:rsidR="00FC6F4F" w:rsidRPr="002029AF" w:rsidRDefault="00FC6F4F" w:rsidP="00FC6F4F">
            <w:pPr>
              <w:pStyle w:val="ARtabletext"/>
            </w:pPr>
            <w:r w:rsidRPr="002029AF">
              <w:t>State government vehicle pool</w:t>
            </w:r>
          </w:p>
        </w:tc>
        <w:tc>
          <w:tcPr>
            <w:tcW w:w="2268" w:type="dxa"/>
            <w:vAlign w:val="center"/>
          </w:tcPr>
          <w:p w14:paraId="2F080345" w14:textId="77777777" w:rsidR="00FC6F4F" w:rsidRPr="002029AF" w:rsidRDefault="00FC6F4F" w:rsidP="00FC6F4F">
            <w:pPr>
              <w:pStyle w:val="ARtabletextright"/>
            </w:pPr>
            <w:r>
              <w:t>124.23</w:t>
            </w:r>
          </w:p>
        </w:tc>
        <w:tc>
          <w:tcPr>
            <w:tcW w:w="2268" w:type="dxa"/>
            <w:vAlign w:val="center"/>
          </w:tcPr>
          <w:p w14:paraId="61723EFD" w14:textId="77777777" w:rsidR="00FC6F4F" w:rsidRPr="002029AF" w:rsidRDefault="00FC6F4F" w:rsidP="00FC6F4F">
            <w:pPr>
              <w:pStyle w:val="ARtabletextright"/>
            </w:pPr>
            <w:r w:rsidRPr="002029AF">
              <w:t>151</w:t>
            </w:r>
          </w:p>
        </w:tc>
        <w:tc>
          <w:tcPr>
            <w:tcW w:w="2268" w:type="dxa"/>
            <w:vAlign w:val="center"/>
          </w:tcPr>
          <w:p w14:paraId="76E75057" w14:textId="77777777" w:rsidR="00FC6F4F" w:rsidRPr="002029AF" w:rsidRDefault="00FC6F4F" w:rsidP="00FC6F4F">
            <w:pPr>
              <w:pStyle w:val="ARtabletextright"/>
            </w:pPr>
            <w:r w:rsidRPr="002029AF">
              <w:t>146</w:t>
            </w:r>
          </w:p>
        </w:tc>
      </w:tr>
      <w:tr w:rsidR="00FC6F4F" w:rsidRPr="002029AF" w14:paraId="6178F853" w14:textId="77777777" w:rsidTr="00FC6F4F">
        <w:trPr>
          <w:cantSplit/>
          <w:trHeight w:val="270"/>
        </w:trPr>
        <w:tc>
          <w:tcPr>
            <w:tcW w:w="2835" w:type="dxa"/>
          </w:tcPr>
          <w:p w14:paraId="21549B27" w14:textId="77777777" w:rsidR="00FC6F4F" w:rsidRPr="002029AF" w:rsidRDefault="00FC6F4F" w:rsidP="00FC6F4F">
            <w:pPr>
              <w:pStyle w:val="ARtabletext"/>
              <w:rPr>
                <w:b/>
              </w:rPr>
            </w:pPr>
            <w:r w:rsidRPr="002029AF">
              <w:rPr>
                <w:b/>
              </w:rPr>
              <w:t>Total</w:t>
            </w:r>
          </w:p>
        </w:tc>
        <w:tc>
          <w:tcPr>
            <w:tcW w:w="2268" w:type="dxa"/>
            <w:vAlign w:val="center"/>
          </w:tcPr>
          <w:p w14:paraId="45D0FDEF" w14:textId="77777777" w:rsidR="00FC6F4F" w:rsidRPr="002029AF" w:rsidRDefault="00FC6F4F" w:rsidP="00FC6F4F">
            <w:pPr>
              <w:pStyle w:val="ARtabletextrightbold"/>
            </w:pPr>
            <w:r>
              <w:t>2,594</w:t>
            </w:r>
          </w:p>
        </w:tc>
        <w:tc>
          <w:tcPr>
            <w:tcW w:w="2268" w:type="dxa"/>
            <w:vAlign w:val="center"/>
          </w:tcPr>
          <w:p w14:paraId="7DAAA0B3" w14:textId="77777777" w:rsidR="00FC6F4F" w:rsidRPr="002029AF" w:rsidRDefault="00FC6F4F" w:rsidP="00FC6F4F">
            <w:pPr>
              <w:pStyle w:val="ARtabletextrightbold"/>
            </w:pPr>
            <w:r w:rsidRPr="002029AF">
              <w:t>6,035</w:t>
            </w:r>
          </w:p>
        </w:tc>
        <w:tc>
          <w:tcPr>
            <w:tcW w:w="2268" w:type="dxa"/>
            <w:vAlign w:val="center"/>
          </w:tcPr>
          <w:p w14:paraId="15E3DBEE" w14:textId="77777777" w:rsidR="00FC6F4F" w:rsidRPr="002029AF" w:rsidRDefault="00FC6F4F" w:rsidP="00FC6F4F">
            <w:pPr>
              <w:pStyle w:val="ARtabletextrightbold"/>
            </w:pPr>
            <w:r w:rsidRPr="002029AF">
              <w:t>8,923</w:t>
            </w:r>
          </w:p>
        </w:tc>
      </w:tr>
    </w:tbl>
    <w:p w14:paraId="78DB7133" w14:textId="77777777" w:rsidR="00FC6F4F" w:rsidRPr="002029AF" w:rsidRDefault="00FC6F4F" w:rsidP="00897193">
      <w:pPr>
        <w:pStyle w:val="ARbody"/>
        <w:rPr>
          <w:lang w:eastAsia="en-AU"/>
        </w:rPr>
      </w:pPr>
    </w:p>
    <w:tbl>
      <w:tblPr>
        <w:tblW w:w="9639" w:type="dxa"/>
        <w:tblInd w:w="5" w:type="dxa"/>
        <w:tblBorders>
          <w:left w:val="single" w:sz="4" w:space="0" w:color="FFFFFF" w:themeColor="background1"/>
          <w:bottom w:val="single" w:sz="4" w:space="0" w:color="auto"/>
          <w:right w:val="single" w:sz="4" w:space="0" w:color="FFFFFF" w:themeColor="background1"/>
          <w:insideH w:val="single" w:sz="4" w:space="0" w:color="auto"/>
          <w:insideV w:val="single" w:sz="4" w:space="0" w:color="FFFFFF" w:themeColor="background1"/>
        </w:tblBorders>
        <w:tblLayout w:type="fixed"/>
        <w:tblCellMar>
          <w:left w:w="0" w:type="dxa"/>
        </w:tblCellMar>
        <w:tblLook w:val="00A0" w:firstRow="1" w:lastRow="0" w:firstColumn="1" w:lastColumn="0" w:noHBand="0" w:noVBand="0"/>
      </w:tblPr>
      <w:tblGrid>
        <w:gridCol w:w="2835"/>
        <w:gridCol w:w="2268"/>
        <w:gridCol w:w="2268"/>
        <w:gridCol w:w="2268"/>
      </w:tblGrid>
      <w:tr w:rsidR="00FC6F4F" w:rsidRPr="002029AF" w14:paraId="6173935D" w14:textId="77777777" w:rsidTr="00FC6F4F">
        <w:trPr>
          <w:cantSplit/>
          <w:trHeight w:val="203"/>
          <w:tblHeader/>
        </w:trPr>
        <w:tc>
          <w:tcPr>
            <w:tcW w:w="2835" w:type="dxa"/>
            <w:vAlign w:val="bottom"/>
          </w:tcPr>
          <w:p w14:paraId="1592A4B2" w14:textId="77777777" w:rsidR="00FC6F4F" w:rsidRPr="002029AF" w:rsidRDefault="00FC6F4F" w:rsidP="00FC6F4F">
            <w:pPr>
              <w:pStyle w:val="ARtablecolhead"/>
            </w:pPr>
            <w:r w:rsidRPr="002029AF">
              <w:t>Description</w:t>
            </w:r>
          </w:p>
        </w:tc>
        <w:tc>
          <w:tcPr>
            <w:tcW w:w="2268" w:type="dxa"/>
            <w:vAlign w:val="center"/>
          </w:tcPr>
          <w:p w14:paraId="35C4FB2F" w14:textId="77777777" w:rsidR="00FC6F4F" w:rsidRPr="002029AF" w:rsidRDefault="00FC6F4F" w:rsidP="00FC6F4F">
            <w:pPr>
              <w:pStyle w:val="ARtablecolheadright"/>
            </w:pPr>
            <w:r w:rsidRPr="002029AF">
              <w:t>20</w:t>
            </w:r>
            <w:r>
              <w:t>20</w:t>
            </w:r>
            <w:r w:rsidRPr="002029AF">
              <w:t>–2</w:t>
            </w:r>
            <w:r>
              <w:t>1</w:t>
            </w:r>
            <w:r w:rsidRPr="002029AF">
              <w:t xml:space="preserve"> estimate</w:t>
            </w:r>
          </w:p>
        </w:tc>
        <w:tc>
          <w:tcPr>
            <w:tcW w:w="2268" w:type="dxa"/>
            <w:vAlign w:val="center"/>
          </w:tcPr>
          <w:p w14:paraId="60E50E97" w14:textId="77777777" w:rsidR="00FC6F4F" w:rsidRPr="002029AF" w:rsidRDefault="00FC6F4F" w:rsidP="00FC6F4F">
            <w:pPr>
              <w:pStyle w:val="ARtablecolheadright"/>
            </w:pPr>
            <w:r w:rsidRPr="002029AF">
              <w:t>2019–20 estimate</w:t>
            </w:r>
          </w:p>
        </w:tc>
        <w:tc>
          <w:tcPr>
            <w:tcW w:w="2268" w:type="dxa"/>
            <w:vAlign w:val="center"/>
          </w:tcPr>
          <w:p w14:paraId="4E6DB2DC" w14:textId="77777777" w:rsidR="00FC6F4F" w:rsidRPr="002029AF" w:rsidRDefault="00FC6F4F" w:rsidP="00FC6F4F">
            <w:pPr>
              <w:pStyle w:val="ARtablecolheadright"/>
            </w:pPr>
            <w:r w:rsidRPr="002029AF">
              <w:t>2018–19 estimate</w:t>
            </w:r>
          </w:p>
        </w:tc>
      </w:tr>
      <w:tr w:rsidR="00FC6F4F" w:rsidRPr="002029AF" w14:paraId="1B89EFEF" w14:textId="77777777" w:rsidTr="00FC6F4F">
        <w:trPr>
          <w:cantSplit/>
          <w:trHeight w:val="517"/>
          <w:tblHeader/>
        </w:trPr>
        <w:tc>
          <w:tcPr>
            <w:tcW w:w="2835" w:type="dxa"/>
            <w:vAlign w:val="bottom"/>
          </w:tcPr>
          <w:p w14:paraId="29E930C7" w14:textId="77777777" w:rsidR="00FC6F4F" w:rsidRPr="002029AF" w:rsidRDefault="00FC6F4F" w:rsidP="00FC6F4F">
            <w:pPr>
              <w:pStyle w:val="ARtablecolhead"/>
            </w:pPr>
            <w:r w:rsidRPr="002029AF">
              <w:t>Greenhouse gas emissions efficiency</w:t>
            </w:r>
          </w:p>
        </w:tc>
        <w:tc>
          <w:tcPr>
            <w:tcW w:w="2268" w:type="dxa"/>
            <w:vAlign w:val="bottom"/>
          </w:tcPr>
          <w:p w14:paraId="7200FB89" w14:textId="77777777" w:rsidR="00FC6F4F" w:rsidRPr="002029AF" w:rsidRDefault="00FC6F4F" w:rsidP="00FC6F4F">
            <w:pPr>
              <w:pStyle w:val="ARtablecolheadright"/>
            </w:pPr>
            <w:r w:rsidRPr="002029AF">
              <w:t>Tonnes of CO</w:t>
            </w:r>
            <w:r w:rsidRPr="002029AF">
              <w:rPr>
                <w:vertAlign w:val="subscript"/>
              </w:rPr>
              <w:t>2</w:t>
            </w:r>
            <w:r w:rsidRPr="002029AF">
              <w:t>-e per 1,000 kilometres</w:t>
            </w:r>
          </w:p>
        </w:tc>
        <w:tc>
          <w:tcPr>
            <w:tcW w:w="2268" w:type="dxa"/>
            <w:vAlign w:val="bottom"/>
          </w:tcPr>
          <w:p w14:paraId="2ABEAE48" w14:textId="77777777" w:rsidR="00FC6F4F" w:rsidRPr="002029AF" w:rsidRDefault="00FC6F4F" w:rsidP="00FC6F4F">
            <w:pPr>
              <w:pStyle w:val="ARtablecolheadright"/>
            </w:pPr>
            <w:r w:rsidRPr="002029AF">
              <w:t>Tonnes of CO</w:t>
            </w:r>
            <w:r w:rsidRPr="002029AF">
              <w:rPr>
                <w:vertAlign w:val="subscript"/>
              </w:rPr>
              <w:t>2</w:t>
            </w:r>
            <w:r w:rsidRPr="002029AF">
              <w:t>-e per 1,000 kilometres</w:t>
            </w:r>
          </w:p>
        </w:tc>
        <w:tc>
          <w:tcPr>
            <w:tcW w:w="2268" w:type="dxa"/>
            <w:vAlign w:val="bottom"/>
          </w:tcPr>
          <w:p w14:paraId="7030CF34" w14:textId="77777777" w:rsidR="00FC6F4F" w:rsidRPr="002029AF" w:rsidRDefault="00FC6F4F" w:rsidP="00FC6F4F">
            <w:pPr>
              <w:pStyle w:val="ARtablecolheadright"/>
            </w:pPr>
            <w:r w:rsidRPr="002029AF">
              <w:t>Tonnes of CO</w:t>
            </w:r>
            <w:r w:rsidRPr="002029AF">
              <w:rPr>
                <w:vertAlign w:val="subscript"/>
              </w:rPr>
              <w:t>2</w:t>
            </w:r>
            <w:r w:rsidRPr="002029AF">
              <w:t>-e per 1,000 kilometres</w:t>
            </w:r>
          </w:p>
        </w:tc>
      </w:tr>
      <w:tr w:rsidR="00FC6F4F" w:rsidRPr="002029AF" w14:paraId="18CAFA84" w14:textId="77777777" w:rsidTr="00FC6F4F">
        <w:trPr>
          <w:cantSplit/>
          <w:trHeight w:val="267"/>
        </w:trPr>
        <w:tc>
          <w:tcPr>
            <w:tcW w:w="2835" w:type="dxa"/>
          </w:tcPr>
          <w:p w14:paraId="15C668FC" w14:textId="77777777" w:rsidR="00FC6F4F" w:rsidRPr="002029AF" w:rsidRDefault="00FC6F4F" w:rsidP="00FC6F4F">
            <w:pPr>
              <w:pStyle w:val="ARtabletext"/>
            </w:pPr>
            <w:r w:rsidRPr="002029AF">
              <w:t>LPG</w:t>
            </w:r>
          </w:p>
        </w:tc>
        <w:tc>
          <w:tcPr>
            <w:tcW w:w="2268" w:type="dxa"/>
            <w:vAlign w:val="center"/>
          </w:tcPr>
          <w:p w14:paraId="77B6581F" w14:textId="77777777" w:rsidR="00FC6F4F" w:rsidRPr="002029AF" w:rsidRDefault="00FC6F4F" w:rsidP="00FC6F4F">
            <w:pPr>
              <w:pStyle w:val="ARtabletextright"/>
            </w:pPr>
            <w:r w:rsidRPr="002029AF">
              <w:t>N/A</w:t>
            </w:r>
          </w:p>
        </w:tc>
        <w:tc>
          <w:tcPr>
            <w:tcW w:w="2268" w:type="dxa"/>
            <w:vAlign w:val="center"/>
          </w:tcPr>
          <w:p w14:paraId="295F8F87" w14:textId="77777777" w:rsidR="00FC6F4F" w:rsidRPr="002029AF" w:rsidRDefault="00FC6F4F" w:rsidP="00FC6F4F">
            <w:pPr>
              <w:pStyle w:val="ARtabletextright"/>
            </w:pPr>
            <w:r w:rsidRPr="002029AF">
              <w:t>N/A</w:t>
            </w:r>
          </w:p>
        </w:tc>
        <w:tc>
          <w:tcPr>
            <w:tcW w:w="2268" w:type="dxa"/>
            <w:vAlign w:val="center"/>
          </w:tcPr>
          <w:p w14:paraId="52120808" w14:textId="77777777" w:rsidR="00FC6F4F" w:rsidRPr="002029AF" w:rsidRDefault="00FC6F4F" w:rsidP="00FC6F4F">
            <w:pPr>
              <w:pStyle w:val="ARtabletextright"/>
            </w:pPr>
            <w:r w:rsidRPr="002029AF">
              <w:t>0.227</w:t>
            </w:r>
          </w:p>
        </w:tc>
      </w:tr>
      <w:tr w:rsidR="00FC6F4F" w14:paraId="7C90ED9F" w14:textId="77777777" w:rsidTr="00FC6F4F">
        <w:trPr>
          <w:cantSplit/>
          <w:trHeight w:val="267"/>
        </w:trPr>
        <w:tc>
          <w:tcPr>
            <w:tcW w:w="2835" w:type="dxa"/>
          </w:tcPr>
          <w:p w14:paraId="3DF96B1A" w14:textId="77777777" w:rsidR="00FC6F4F" w:rsidRDefault="00FC6F4F" w:rsidP="00FC6F4F">
            <w:pPr>
              <w:pStyle w:val="ARtabletext"/>
            </w:pPr>
            <w:r>
              <w:t>Electric</w:t>
            </w:r>
          </w:p>
        </w:tc>
        <w:tc>
          <w:tcPr>
            <w:tcW w:w="2268" w:type="dxa"/>
            <w:vAlign w:val="center"/>
          </w:tcPr>
          <w:p w14:paraId="248E936C" w14:textId="77777777" w:rsidR="00FC6F4F" w:rsidRDefault="00FC6F4F" w:rsidP="00FC6F4F">
            <w:pPr>
              <w:pStyle w:val="ARtabletextright"/>
            </w:pPr>
            <w:r>
              <w:t>0.012</w:t>
            </w:r>
          </w:p>
        </w:tc>
        <w:tc>
          <w:tcPr>
            <w:tcW w:w="2268" w:type="dxa"/>
            <w:vAlign w:val="center"/>
          </w:tcPr>
          <w:p w14:paraId="0CBA5AF2" w14:textId="77777777" w:rsidR="00FC6F4F" w:rsidRDefault="00FC6F4F" w:rsidP="00FC6F4F">
            <w:pPr>
              <w:pStyle w:val="ARtabletextright"/>
            </w:pPr>
          </w:p>
        </w:tc>
        <w:tc>
          <w:tcPr>
            <w:tcW w:w="2268" w:type="dxa"/>
            <w:vAlign w:val="center"/>
          </w:tcPr>
          <w:p w14:paraId="643FBF0B" w14:textId="77777777" w:rsidR="00FC6F4F" w:rsidRDefault="00FC6F4F" w:rsidP="00FC6F4F">
            <w:pPr>
              <w:pStyle w:val="ARtabletextright"/>
            </w:pPr>
          </w:p>
        </w:tc>
      </w:tr>
      <w:tr w:rsidR="00FC6F4F" w:rsidRPr="002029AF" w14:paraId="59A5600E" w14:textId="77777777" w:rsidTr="00FC6F4F">
        <w:trPr>
          <w:cantSplit/>
          <w:trHeight w:val="267"/>
        </w:trPr>
        <w:tc>
          <w:tcPr>
            <w:tcW w:w="2835" w:type="dxa"/>
          </w:tcPr>
          <w:p w14:paraId="5EF8EACA" w14:textId="77777777" w:rsidR="00FC6F4F" w:rsidRPr="002029AF" w:rsidRDefault="00FC6F4F" w:rsidP="00FC6F4F">
            <w:pPr>
              <w:pStyle w:val="ARtabletext"/>
            </w:pPr>
            <w:r w:rsidRPr="002029AF">
              <w:t>Hybrid</w:t>
            </w:r>
          </w:p>
        </w:tc>
        <w:tc>
          <w:tcPr>
            <w:tcW w:w="2268" w:type="dxa"/>
            <w:vAlign w:val="center"/>
          </w:tcPr>
          <w:p w14:paraId="0E54354E" w14:textId="77777777" w:rsidR="00FC6F4F" w:rsidRPr="002029AF" w:rsidRDefault="00FC6F4F" w:rsidP="00FC6F4F">
            <w:pPr>
              <w:pStyle w:val="ARtabletextright"/>
            </w:pPr>
            <w:r w:rsidRPr="002029AF">
              <w:t>0.</w:t>
            </w:r>
            <w:r>
              <w:t>138</w:t>
            </w:r>
          </w:p>
        </w:tc>
        <w:tc>
          <w:tcPr>
            <w:tcW w:w="2268" w:type="dxa"/>
            <w:vAlign w:val="center"/>
          </w:tcPr>
          <w:p w14:paraId="4F8DB6B8" w14:textId="77777777" w:rsidR="00FC6F4F" w:rsidRPr="002029AF" w:rsidRDefault="00FC6F4F" w:rsidP="00FC6F4F">
            <w:pPr>
              <w:pStyle w:val="ARtabletextright"/>
            </w:pPr>
            <w:r w:rsidRPr="002029AF">
              <w:t>0.114</w:t>
            </w:r>
          </w:p>
        </w:tc>
        <w:tc>
          <w:tcPr>
            <w:tcW w:w="2268" w:type="dxa"/>
            <w:vAlign w:val="center"/>
          </w:tcPr>
          <w:p w14:paraId="0AA79254" w14:textId="77777777" w:rsidR="00FC6F4F" w:rsidRPr="002029AF" w:rsidRDefault="00FC6F4F" w:rsidP="00FC6F4F">
            <w:pPr>
              <w:pStyle w:val="ARtabletextright"/>
            </w:pPr>
            <w:r w:rsidRPr="002029AF">
              <w:t>0.149</w:t>
            </w:r>
          </w:p>
        </w:tc>
      </w:tr>
      <w:tr w:rsidR="00FC6F4F" w:rsidRPr="002029AF" w14:paraId="620D5317" w14:textId="77777777" w:rsidTr="00FC6F4F">
        <w:trPr>
          <w:cantSplit/>
          <w:trHeight w:val="267"/>
        </w:trPr>
        <w:tc>
          <w:tcPr>
            <w:tcW w:w="2835" w:type="dxa"/>
          </w:tcPr>
          <w:p w14:paraId="3862D420" w14:textId="77777777" w:rsidR="00FC6F4F" w:rsidRPr="002029AF" w:rsidRDefault="00FC6F4F" w:rsidP="00FC6F4F">
            <w:pPr>
              <w:pStyle w:val="ARtabletext"/>
            </w:pPr>
            <w:r w:rsidRPr="002029AF">
              <w:t>Unleaded petrol</w:t>
            </w:r>
          </w:p>
        </w:tc>
        <w:tc>
          <w:tcPr>
            <w:tcW w:w="2268" w:type="dxa"/>
            <w:vAlign w:val="center"/>
          </w:tcPr>
          <w:p w14:paraId="42709DB3" w14:textId="77777777" w:rsidR="00FC6F4F" w:rsidRPr="002029AF" w:rsidRDefault="00FC6F4F" w:rsidP="00FC6F4F">
            <w:pPr>
              <w:pStyle w:val="ARtabletextright"/>
            </w:pPr>
            <w:r w:rsidRPr="002029AF">
              <w:t>0.</w:t>
            </w:r>
            <w:r>
              <w:t>222</w:t>
            </w:r>
          </w:p>
        </w:tc>
        <w:tc>
          <w:tcPr>
            <w:tcW w:w="2268" w:type="dxa"/>
            <w:vAlign w:val="center"/>
          </w:tcPr>
          <w:p w14:paraId="755EC034" w14:textId="77777777" w:rsidR="00FC6F4F" w:rsidRPr="002029AF" w:rsidRDefault="00FC6F4F" w:rsidP="00FC6F4F">
            <w:pPr>
              <w:pStyle w:val="ARtabletextright"/>
            </w:pPr>
            <w:r w:rsidRPr="002029AF">
              <w:t>0.275</w:t>
            </w:r>
          </w:p>
        </w:tc>
        <w:tc>
          <w:tcPr>
            <w:tcW w:w="2268" w:type="dxa"/>
            <w:vAlign w:val="center"/>
          </w:tcPr>
          <w:p w14:paraId="4F008579" w14:textId="77777777" w:rsidR="00FC6F4F" w:rsidRPr="002029AF" w:rsidRDefault="00FC6F4F" w:rsidP="00FC6F4F">
            <w:pPr>
              <w:pStyle w:val="ARtabletextright"/>
            </w:pPr>
            <w:r w:rsidRPr="002029AF">
              <w:t>0.264</w:t>
            </w:r>
          </w:p>
        </w:tc>
      </w:tr>
      <w:tr w:rsidR="00FC6F4F" w:rsidRPr="002029AF" w14:paraId="2847D202" w14:textId="77777777" w:rsidTr="00FC6F4F">
        <w:trPr>
          <w:cantSplit/>
          <w:trHeight w:val="267"/>
        </w:trPr>
        <w:tc>
          <w:tcPr>
            <w:tcW w:w="2835" w:type="dxa"/>
          </w:tcPr>
          <w:p w14:paraId="343974EB" w14:textId="77777777" w:rsidR="00FC6F4F" w:rsidRPr="002029AF" w:rsidRDefault="00FC6F4F" w:rsidP="00FC6F4F">
            <w:pPr>
              <w:pStyle w:val="ARtabletext"/>
            </w:pPr>
            <w:r w:rsidRPr="002029AF">
              <w:t>Diesel</w:t>
            </w:r>
          </w:p>
        </w:tc>
        <w:tc>
          <w:tcPr>
            <w:tcW w:w="2268" w:type="dxa"/>
            <w:vAlign w:val="center"/>
          </w:tcPr>
          <w:p w14:paraId="1B4733DD" w14:textId="77777777" w:rsidR="00FC6F4F" w:rsidRPr="002029AF" w:rsidRDefault="00FC6F4F" w:rsidP="00FC6F4F">
            <w:pPr>
              <w:pStyle w:val="ARtabletextright"/>
            </w:pPr>
            <w:r w:rsidRPr="002029AF">
              <w:t>0.</w:t>
            </w:r>
            <w:r>
              <w:t>25</w:t>
            </w:r>
          </w:p>
        </w:tc>
        <w:tc>
          <w:tcPr>
            <w:tcW w:w="2268" w:type="dxa"/>
            <w:vAlign w:val="center"/>
          </w:tcPr>
          <w:p w14:paraId="159D6C9F" w14:textId="77777777" w:rsidR="00FC6F4F" w:rsidRPr="002029AF" w:rsidRDefault="00FC6F4F" w:rsidP="00FC6F4F">
            <w:pPr>
              <w:pStyle w:val="ARtabletextright"/>
            </w:pPr>
            <w:r w:rsidRPr="002029AF">
              <w:t>0.281</w:t>
            </w:r>
          </w:p>
        </w:tc>
        <w:tc>
          <w:tcPr>
            <w:tcW w:w="2268" w:type="dxa"/>
            <w:vAlign w:val="center"/>
          </w:tcPr>
          <w:p w14:paraId="535CC03D" w14:textId="77777777" w:rsidR="00FC6F4F" w:rsidRPr="002029AF" w:rsidRDefault="00FC6F4F" w:rsidP="00FC6F4F">
            <w:pPr>
              <w:pStyle w:val="ARtabletextright"/>
            </w:pPr>
            <w:r w:rsidRPr="002029AF">
              <w:t>0.277</w:t>
            </w:r>
          </w:p>
        </w:tc>
      </w:tr>
      <w:tr w:rsidR="00FC6F4F" w:rsidRPr="002029AF" w14:paraId="7DF6A305" w14:textId="77777777" w:rsidTr="00FC6F4F">
        <w:trPr>
          <w:cantSplit/>
          <w:trHeight w:val="267"/>
        </w:trPr>
        <w:tc>
          <w:tcPr>
            <w:tcW w:w="2835" w:type="dxa"/>
          </w:tcPr>
          <w:p w14:paraId="66505524" w14:textId="77777777" w:rsidR="00FC6F4F" w:rsidRPr="002029AF" w:rsidRDefault="00FC6F4F" w:rsidP="00FC6F4F">
            <w:pPr>
              <w:pStyle w:val="ARtabletext"/>
            </w:pPr>
            <w:r w:rsidRPr="002029AF">
              <w:t>State government vehicle pool</w:t>
            </w:r>
          </w:p>
        </w:tc>
        <w:tc>
          <w:tcPr>
            <w:tcW w:w="2268" w:type="dxa"/>
            <w:vAlign w:val="center"/>
          </w:tcPr>
          <w:p w14:paraId="32DF2BAF" w14:textId="77777777" w:rsidR="00FC6F4F" w:rsidRPr="002029AF" w:rsidRDefault="00FC6F4F" w:rsidP="00FC6F4F">
            <w:pPr>
              <w:pStyle w:val="ARtabletextright"/>
            </w:pPr>
            <w:r w:rsidRPr="002029AF">
              <w:t>0.</w:t>
            </w:r>
            <w:r>
              <w:t>172</w:t>
            </w:r>
          </w:p>
        </w:tc>
        <w:tc>
          <w:tcPr>
            <w:tcW w:w="2268" w:type="dxa"/>
            <w:vAlign w:val="center"/>
          </w:tcPr>
          <w:p w14:paraId="369B97BD" w14:textId="77777777" w:rsidR="00FC6F4F" w:rsidRPr="002029AF" w:rsidRDefault="00FC6F4F" w:rsidP="00FC6F4F">
            <w:pPr>
              <w:pStyle w:val="ARtabletextright"/>
            </w:pPr>
            <w:r w:rsidRPr="002029AF">
              <w:t>0.180</w:t>
            </w:r>
          </w:p>
        </w:tc>
        <w:tc>
          <w:tcPr>
            <w:tcW w:w="2268" w:type="dxa"/>
            <w:vAlign w:val="center"/>
          </w:tcPr>
          <w:p w14:paraId="0A190C39" w14:textId="77777777" w:rsidR="00FC6F4F" w:rsidRPr="002029AF" w:rsidRDefault="00FC6F4F" w:rsidP="00FC6F4F">
            <w:pPr>
              <w:pStyle w:val="ARtabletextright"/>
            </w:pPr>
            <w:r w:rsidRPr="002029AF">
              <w:t>0.175</w:t>
            </w:r>
          </w:p>
        </w:tc>
      </w:tr>
      <w:tr w:rsidR="00FC6F4F" w:rsidRPr="002029AF" w14:paraId="1C3E775F" w14:textId="77777777" w:rsidTr="00FC6F4F">
        <w:trPr>
          <w:cantSplit/>
          <w:trHeight w:val="267"/>
        </w:trPr>
        <w:tc>
          <w:tcPr>
            <w:tcW w:w="2835" w:type="dxa"/>
          </w:tcPr>
          <w:p w14:paraId="79D8FF7B" w14:textId="59D0F625" w:rsidR="00FC6F4F" w:rsidRPr="002029AF" w:rsidRDefault="00FC6F4F" w:rsidP="00FC6F4F">
            <w:pPr>
              <w:pStyle w:val="ARtabletext"/>
              <w:rPr>
                <w:b/>
              </w:rPr>
            </w:pPr>
            <w:r w:rsidRPr="002029AF">
              <w:rPr>
                <w:b/>
              </w:rPr>
              <w:t>Total</w:t>
            </w:r>
            <w:r w:rsidRPr="55B503E1">
              <w:rPr>
                <w:b/>
                <w:bCs/>
              </w:rPr>
              <w:t xml:space="preserve"> (Av</w:t>
            </w:r>
            <w:r w:rsidR="00245CFD">
              <w:rPr>
                <w:b/>
                <w:bCs/>
              </w:rPr>
              <w:t>era</w:t>
            </w:r>
            <w:r w:rsidRPr="55B503E1">
              <w:rPr>
                <w:b/>
                <w:bCs/>
              </w:rPr>
              <w:t>g</w:t>
            </w:r>
            <w:r w:rsidR="00245CFD">
              <w:rPr>
                <w:b/>
                <w:bCs/>
              </w:rPr>
              <w:t>e</w:t>
            </w:r>
            <w:r w:rsidRPr="55B503E1">
              <w:rPr>
                <w:b/>
                <w:bCs/>
              </w:rPr>
              <w:t>)</w:t>
            </w:r>
          </w:p>
        </w:tc>
        <w:tc>
          <w:tcPr>
            <w:tcW w:w="2268" w:type="dxa"/>
            <w:vAlign w:val="center"/>
          </w:tcPr>
          <w:p w14:paraId="14CE1DE1" w14:textId="77777777" w:rsidR="00FC6F4F" w:rsidRPr="002029AF" w:rsidRDefault="00FC6F4F" w:rsidP="00FC6F4F">
            <w:pPr>
              <w:pStyle w:val="ARtabletextrightbold"/>
            </w:pPr>
            <w:r w:rsidRPr="002029AF">
              <w:t>0.</w:t>
            </w:r>
            <w:r>
              <w:t>208</w:t>
            </w:r>
          </w:p>
        </w:tc>
        <w:tc>
          <w:tcPr>
            <w:tcW w:w="2268" w:type="dxa"/>
            <w:vAlign w:val="center"/>
          </w:tcPr>
          <w:p w14:paraId="425CEE85" w14:textId="77777777" w:rsidR="00FC6F4F" w:rsidRPr="002029AF" w:rsidRDefault="00FC6F4F" w:rsidP="00FC6F4F">
            <w:pPr>
              <w:pStyle w:val="ARtabletextrightbold"/>
            </w:pPr>
            <w:r w:rsidRPr="002029AF">
              <w:t>0.227</w:t>
            </w:r>
          </w:p>
        </w:tc>
        <w:tc>
          <w:tcPr>
            <w:tcW w:w="2268" w:type="dxa"/>
            <w:vAlign w:val="center"/>
          </w:tcPr>
          <w:p w14:paraId="02373D7C" w14:textId="77777777" w:rsidR="00FC6F4F" w:rsidRPr="002029AF" w:rsidRDefault="00FC6F4F" w:rsidP="00FC6F4F">
            <w:pPr>
              <w:pStyle w:val="ARtabletextrightbold"/>
            </w:pPr>
            <w:r w:rsidRPr="002029AF">
              <w:t>0.234</w:t>
            </w:r>
          </w:p>
        </w:tc>
      </w:tr>
    </w:tbl>
    <w:p w14:paraId="23762945" w14:textId="77777777" w:rsidR="00FC6F4F" w:rsidRPr="002029AF" w:rsidRDefault="00FC6F4F" w:rsidP="00897193">
      <w:pPr>
        <w:pStyle w:val="ARtablefootnote"/>
      </w:pPr>
      <w:r w:rsidRPr="002029AF">
        <w:t>This data represents all operational and executive fleet vehicles. Energy use, distance travelled, and greenhouse gas emissions transport data is based on a 1 April to 31 March fringe benefit year.</w:t>
      </w:r>
    </w:p>
    <w:p w14:paraId="0719F790" w14:textId="30784575" w:rsidR="00FC6F4F" w:rsidRPr="002029AF" w:rsidRDefault="00FC6F4F" w:rsidP="001C1AB1">
      <w:pPr>
        <w:pStyle w:val="Heading5"/>
      </w:pPr>
      <w:bookmarkStart w:id="662" w:name="_Toc85121330"/>
      <w:bookmarkEnd w:id="658"/>
      <w:r w:rsidRPr="002029AF">
        <w:t>Public health services</w:t>
      </w:r>
      <w:bookmarkEnd w:id="662"/>
    </w:p>
    <w:tbl>
      <w:tblPr>
        <w:tblW w:w="9639" w:type="dxa"/>
        <w:tblInd w:w="5"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156"/>
        <w:gridCol w:w="1248"/>
        <w:gridCol w:w="1247"/>
        <w:gridCol w:w="1247"/>
        <w:gridCol w:w="1247"/>
        <w:gridCol w:w="1247"/>
        <w:gridCol w:w="1247"/>
      </w:tblGrid>
      <w:tr w:rsidR="00FC6F4F" w:rsidRPr="002029AF" w14:paraId="129EBF37" w14:textId="77777777" w:rsidTr="00E62F5E">
        <w:trPr>
          <w:cantSplit/>
          <w:trHeight w:val="302"/>
          <w:tblHeader/>
        </w:trPr>
        <w:tc>
          <w:tcPr>
            <w:tcW w:w="2154" w:type="dxa"/>
            <w:vAlign w:val="bottom"/>
          </w:tcPr>
          <w:p w14:paraId="0A3B0B55" w14:textId="77777777" w:rsidR="00FC6F4F" w:rsidRPr="002029AF" w:rsidRDefault="00FC6F4F" w:rsidP="00FC6F4F">
            <w:pPr>
              <w:pStyle w:val="ARtablecolhead"/>
            </w:pPr>
            <w:r w:rsidRPr="002029AF">
              <w:t>Hospital emergency transport</w:t>
            </w:r>
          </w:p>
        </w:tc>
        <w:tc>
          <w:tcPr>
            <w:tcW w:w="1247" w:type="dxa"/>
            <w:vAlign w:val="center"/>
          </w:tcPr>
          <w:p w14:paraId="162E8250" w14:textId="77777777" w:rsidR="00FC6F4F" w:rsidRPr="002029AF" w:rsidRDefault="00FC6F4F" w:rsidP="00FC6F4F">
            <w:pPr>
              <w:pStyle w:val="ARtablecolheadright"/>
            </w:pPr>
            <w:r w:rsidRPr="002029AF">
              <w:t>20</w:t>
            </w:r>
            <w:r>
              <w:t>20</w:t>
            </w:r>
            <w:r w:rsidRPr="002029AF">
              <w:t>–2</w:t>
            </w:r>
            <w:r>
              <w:t>1</w:t>
            </w:r>
            <w:r w:rsidRPr="002029AF">
              <w:t xml:space="preserve"> </w:t>
            </w:r>
            <w:r w:rsidRPr="002029AF">
              <w:br/>
              <w:t>estimate</w:t>
            </w:r>
          </w:p>
        </w:tc>
        <w:tc>
          <w:tcPr>
            <w:tcW w:w="1247" w:type="dxa"/>
            <w:vAlign w:val="center"/>
          </w:tcPr>
          <w:p w14:paraId="114A0704" w14:textId="77777777" w:rsidR="00FC6F4F" w:rsidRPr="002029AF" w:rsidRDefault="00FC6F4F" w:rsidP="00FC6F4F">
            <w:pPr>
              <w:pStyle w:val="ARtablecolheadright"/>
            </w:pPr>
            <w:r w:rsidRPr="002029AF">
              <w:t>20</w:t>
            </w:r>
            <w:r>
              <w:t>20</w:t>
            </w:r>
            <w:r w:rsidRPr="002029AF">
              <w:t>–2</w:t>
            </w:r>
            <w:r>
              <w:t>1</w:t>
            </w:r>
            <w:r w:rsidRPr="002029AF">
              <w:t xml:space="preserve"> </w:t>
            </w:r>
            <w:r w:rsidRPr="002029AF">
              <w:br/>
              <w:t>estimate</w:t>
            </w:r>
          </w:p>
        </w:tc>
        <w:tc>
          <w:tcPr>
            <w:tcW w:w="1247" w:type="dxa"/>
            <w:vAlign w:val="center"/>
          </w:tcPr>
          <w:p w14:paraId="5FFBD0A9" w14:textId="77777777" w:rsidR="00FC6F4F" w:rsidRPr="002029AF" w:rsidRDefault="00FC6F4F" w:rsidP="00FC6F4F">
            <w:pPr>
              <w:pStyle w:val="ARtablecolheadright"/>
            </w:pPr>
            <w:r w:rsidRPr="002029AF">
              <w:t xml:space="preserve">2019–20 </w:t>
            </w:r>
            <w:r w:rsidRPr="002029AF">
              <w:br/>
              <w:t>estimate</w:t>
            </w:r>
          </w:p>
        </w:tc>
        <w:tc>
          <w:tcPr>
            <w:tcW w:w="1247" w:type="dxa"/>
            <w:vAlign w:val="center"/>
          </w:tcPr>
          <w:p w14:paraId="5A80C3AD" w14:textId="77777777" w:rsidR="00FC6F4F" w:rsidRPr="002029AF" w:rsidRDefault="00FC6F4F" w:rsidP="00FC6F4F">
            <w:pPr>
              <w:pStyle w:val="ARtablecolheadright"/>
            </w:pPr>
            <w:r w:rsidRPr="002029AF">
              <w:t xml:space="preserve">2019–20 </w:t>
            </w:r>
            <w:r w:rsidRPr="002029AF">
              <w:br/>
              <w:t>estimate</w:t>
            </w:r>
          </w:p>
        </w:tc>
        <w:tc>
          <w:tcPr>
            <w:tcW w:w="1247" w:type="dxa"/>
            <w:vAlign w:val="center"/>
          </w:tcPr>
          <w:p w14:paraId="18DFAD59" w14:textId="77777777" w:rsidR="00FC6F4F" w:rsidRPr="002029AF" w:rsidRDefault="00FC6F4F" w:rsidP="00FC6F4F">
            <w:pPr>
              <w:pStyle w:val="ARtablecolheadright"/>
            </w:pPr>
            <w:r w:rsidRPr="002029AF">
              <w:t xml:space="preserve">2018–19 </w:t>
            </w:r>
            <w:r w:rsidRPr="002029AF">
              <w:br/>
              <w:t>estimate</w:t>
            </w:r>
          </w:p>
        </w:tc>
        <w:tc>
          <w:tcPr>
            <w:tcW w:w="1247" w:type="dxa"/>
            <w:vAlign w:val="center"/>
          </w:tcPr>
          <w:p w14:paraId="5809FF94" w14:textId="77777777" w:rsidR="00FC6F4F" w:rsidRPr="002029AF" w:rsidRDefault="00FC6F4F" w:rsidP="00FC6F4F">
            <w:pPr>
              <w:pStyle w:val="ARtablecolheadright"/>
            </w:pPr>
            <w:r w:rsidRPr="002029AF">
              <w:t xml:space="preserve">2018–19 </w:t>
            </w:r>
            <w:r w:rsidRPr="002029AF">
              <w:br/>
              <w:t>estimate</w:t>
            </w:r>
          </w:p>
        </w:tc>
      </w:tr>
      <w:tr w:rsidR="00FC6F4F" w:rsidRPr="002029AF" w14:paraId="32BB1C33" w14:textId="77777777" w:rsidTr="00E62F5E">
        <w:trPr>
          <w:cantSplit/>
          <w:trHeight w:val="506"/>
          <w:tblHeader/>
        </w:trPr>
        <w:tc>
          <w:tcPr>
            <w:tcW w:w="2154" w:type="dxa"/>
            <w:vAlign w:val="bottom"/>
          </w:tcPr>
          <w:p w14:paraId="6F1A4A6A" w14:textId="77777777" w:rsidR="00FC6F4F" w:rsidRPr="002029AF" w:rsidRDefault="00FC6F4F" w:rsidP="00FC6F4F">
            <w:pPr>
              <w:pStyle w:val="ARtablecolhead"/>
              <w:rPr>
                <w:lang w:eastAsia="en-AU"/>
              </w:rPr>
            </w:pPr>
            <w:r w:rsidRPr="002029AF">
              <w:rPr>
                <w:lang w:eastAsia="en-AU"/>
              </w:rPr>
              <w:t>Total fuel usage segmented by primary source</w:t>
            </w:r>
          </w:p>
        </w:tc>
        <w:tc>
          <w:tcPr>
            <w:tcW w:w="1247" w:type="dxa"/>
            <w:vAlign w:val="bottom"/>
          </w:tcPr>
          <w:p w14:paraId="5EA5AF81" w14:textId="77777777" w:rsidR="00FC6F4F" w:rsidRPr="002029AF" w:rsidRDefault="00FC6F4F" w:rsidP="00FC6F4F">
            <w:pPr>
              <w:pStyle w:val="ARtablecolheadright"/>
              <w:rPr>
                <w:lang w:eastAsia="en-AU"/>
              </w:rPr>
            </w:pPr>
            <w:r w:rsidRPr="002029AF">
              <w:rPr>
                <w:lang w:eastAsia="en-AU"/>
              </w:rPr>
              <w:t>Fuel volume (kilolitres)</w:t>
            </w:r>
          </w:p>
        </w:tc>
        <w:tc>
          <w:tcPr>
            <w:tcW w:w="1247" w:type="dxa"/>
            <w:vAlign w:val="bottom"/>
          </w:tcPr>
          <w:p w14:paraId="154AD064" w14:textId="77777777" w:rsidR="00FC6F4F" w:rsidRPr="002029AF" w:rsidRDefault="00FC6F4F" w:rsidP="00FC6F4F">
            <w:pPr>
              <w:pStyle w:val="ARtablecolheadright"/>
              <w:rPr>
                <w:lang w:eastAsia="en-AU"/>
              </w:rPr>
            </w:pPr>
            <w:r w:rsidRPr="002029AF">
              <w:rPr>
                <w:lang w:eastAsia="en-AU"/>
              </w:rPr>
              <w:t xml:space="preserve">Emissions (tonnes </w:t>
            </w:r>
            <w:r w:rsidRPr="002029AF">
              <w:rPr>
                <w:lang w:eastAsia="en-AU"/>
              </w:rPr>
              <w:br/>
              <w:t>CO</w:t>
            </w:r>
            <w:r w:rsidRPr="002029AF">
              <w:rPr>
                <w:rFonts w:ascii="Arial Bold" w:hAnsi="Arial Bold"/>
                <w:vertAlign w:val="subscript"/>
                <w:lang w:eastAsia="en-AU"/>
              </w:rPr>
              <w:t>2</w:t>
            </w:r>
            <w:r w:rsidRPr="002029AF">
              <w:rPr>
                <w:lang w:eastAsia="en-AU"/>
              </w:rPr>
              <w:t>-e)</w:t>
            </w:r>
          </w:p>
        </w:tc>
        <w:tc>
          <w:tcPr>
            <w:tcW w:w="1247" w:type="dxa"/>
            <w:vAlign w:val="bottom"/>
          </w:tcPr>
          <w:p w14:paraId="72294EB6" w14:textId="77777777" w:rsidR="00FC6F4F" w:rsidRPr="002029AF" w:rsidRDefault="00FC6F4F" w:rsidP="00FC6F4F">
            <w:pPr>
              <w:pStyle w:val="ARtablecolheadright"/>
              <w:rPr>
                <w:lang w:eastAsia="en-AU"/>
              </w:rPr>
            </w:pPr>
            <w:r w:rsidRPr="002029AF">
              <w:rPr>
                <w:lang w:eastAsia="en-AU"/>
              </w:rPr>
              <w:t>Fuel volume (kilolitres)</w:t>
            </w:r>
          </w:p>
        </w:tc>
        <w:tc>
          <w:tcPr>
            <w:tcW w:w="1247" w:type="dxa"/>
            <w:vAlign w:val="bottom"/>
          </w:tcPr>
          <w:p w14:paraId="35BD99C6" w14:textId="77777777" w:rsidR="00FC6F4F" w:rsidRPr="002029AF" w:rsidRDefault="00FC6F4F" w:rsidP="00FC6F4F">
            <w:pPr>
              <w:pStyle w:val="ARtablecolheadright"/>
              <w:rPr>
                <w:lang w:eastAsia="en-AU"/>
              </w:rPr>
            </w:pPr>
            <w:r w:rsidRPr="002029AF">
              <w:rPr>
                <w:lang w:eastAsia="en-AU"/>
              </w:rPr>
              <w:t xml:space="preserve">Emissions (tonnes </w:t>
            </w:r>
            <w:r w:rsidRPr="002029AF">
              <w:rPr>
                <w:lang w:eastAsia="en-AU"/>
              </w:rPr>
              <w:br/>
              <w:t>CO</w:t>
            </w:r>
            <w:r w:rsidRPr="002029AF">
              <w:rPr>
                <w:rFonts w:ascii="Arial Bold" w:hAnsi="Arial Bold"/>
                <w:vertAlign w:val="subscript"/>
                <w:lang w:eastAsia="en-AU"/>
              </w:rPr>
              <w:t>2</w:t>
            </w:r>
            <w:r w:rsidRPr="002029AF">
              <w:rPr>
                <w:lang w:eastAsia="en-AU"/>
              </w:rPr>
              <w:t>-e)</w:t>
            </w:r>
          </w:p>
        </w:tc>
        <w:tc>
          <w:tcPr>
            <w:tcW w:w="1247" w:type="dxa"/>
            <w:vAlign w:val="bottom"/>
          </w:tcPr>
          <w:p w14:paraId="45C10BEF" w14:textId="77777777" w:rsidR="00FC6F4F" w:rsidRPr="002029AF" w:rsidRDefault="00FC6F4F" w:rsidP="00FC6F4F">
            <w:pPr>
              <w:pStyle w:val="ARtablecolheadright"/>
              <w:rPr>
                <w:lang w:eastAsia="en-AU"/>
              </w:rPr>
            </w:pPr>
            <w:r w:rsidRPr="002029AF">
              <w:rPr>
                <w:lang w:eastAsia="en-AU"/>
              </w:rPr>
              <w:t>Fuel volume</w:t>
            </w:r>
            <w:r w:rsidRPr="002029AF">
              <w:rPr>
                <w:lang w:eastAsia="en-AU"/>
              </w:rPr>
              <w:br/>
              <w:t>(kilolitres)</w:t>
            </w:r>
          </w:p>
        </w:tc>
        <w:tc>
          <w:tcPr>
            <w:tcW w:w="1247" w:type="dxa"/>
            <w:vAlign w:val="bottom"/>
          </w:tcPr>
          <w:p w14:paraId="19F3A2D9" w14:textId="77777777" w:rsidR="00FC6F4F" w:rsidRPr="002029AF" w:rsidRDefault="00FC6F4F" w:rsidP="00FC6F4F">
            <w:pPr>
              <w:pStyle w:val="ARtablecolheadright"/>
              <w:rPr>
                <w:lang w:eastAsia="en-AU"/>
              </w:rPr>
            </w:pPr>
            <w:r w:rsidRPr="002029AF">
              <w:rPr>
                <w:lang w:eastAsia="en-AU"/>
              </w:rPr>
              <w:t xml:space="preserve">Emissions (tonnes </w:t>
            </w:r>
            <w:r w:rsidRPr="002029AF">
              <w:rPr>
                <w:lang w:eastAsia="en-AU"/>
              </w:rPr>
              <w:br/>
              <w:t>CO</w:t>
            </w:r>
            <w:r w:rsidRPr="002029AF">
              <w:rPr>
                <w:rFonts w:ascii="Arial Bold" w:hAnsi="Arial Bold"/>
                <w:vertAlign w:val="subscript"/>
                <w:lang w:eastAsia="en-AU"/>
              </w:rPr>
              <w:t>2</w:t>
            </w:r>
            <w:r w:rsidRPr="002029AF">
              <w:rPr>
                <w:lang w:eastAsia="en-AU"/>
              </w:rPr>
              <w:t>-e)</w:t>
            </w:r>
          </w:p>
        </w:tc>
      </w:tr>
      <w:tr w:rsidR="00FC6F4F" w:rsidRPr="002029AF" w14:paraId="2ECDBDA0" w14:textId="77777777" w:rsidTr="00E62F5E">
        <w:trPr>
          <w:cantSplit/>
          <w:trHeight w:val="302"/>
        </w:trPr>
        <w:tc>
          <w:tcPr>
            <w:tcW w:w="2154" w:type="dxa"/>
          </w:tcPr>
          <w:p w14:paraId="4F35A14D" w14:textId="77777777" w:rsidR="00FC6F4F" w:rsidRPr="002029AF" w:rsidRDefault="00FC6F4F" w:rsidP="00FC6F4F">
            <w:pPr>
              <w:pStyle w:val="ARtabletext"/>
            </w:pPr>
            <w:r w:rsidRPr="002029AF">
              <w:t>Gasoline – road vehicles</w:t>
            </w:r>
          </w:p>
        </w:tc>
        <w:tc>
          <w:tcPr>
            <w:tcW w:w="1247" w:type="dxa"/>
            <w:vAlign w:val="center"/>
          </w:tcPr>
          <w:p w14:paraId="5779D978" w14:textId="77777777" w:rsidR="00FC6F4F" w:rsidRPr="002029AF" w:rsidRDefault="00FC6F4F" w:rsidP="00FC6F4F">
            <w:pPr>
              <w:pStyle w:val="ARtabletextright"/>
            </w:pPr>
            <w:r>
              <w:t>665</w:t>
            </w:r>
          </w:p>
        </w:tc>
        <w:tc>
          <w:tcPr>
            <w:tcW w:w="1247" w:type="dxa"/>
            <w:vAlign w:val="center"/>
          </w:tcPr>
          <w:p w14:paraId="7898A9E8" w14:textId="77777777" w:rsidR="00FC6F4F" w:rsidRPr="002029AF" w:rsidRDefault="00FC6F4F" w:rsidP="00FC6F4F">
            <w:pPr>
              <w:pStyle w:val="ARtabletextright"/>
            </w:pPr>
            <w:r>
              <w:t>1,539</w:t>
            </w:r>
          </w:p>
        </w:tc>
        <w:tc>
          <w:tcPr>
            <w:tcW w:w="1247" w:type="dxa"/>
            <w:vAlign w:val="center"/>
          </w:tcPr>
          <w:p w14:paraId="13BB16E8" w14:textId="77777777" w:rsidR="00FC6F4F" w:rsidRPr="002029AF" w:rsidRDefault="00FC6F4F" w:rsidP="00FC6F4F">
            <w:pPr>
              <w:pStyle w:val="ARtabletextright"/>
            </w:pPr>
            <w:r>
              <w:t>530</w:t>
            </w:r>
          </w:p>
        </w:tc>
        <w:tc>
          <w:tcPr>
            <w:tcW w:w="1247" w:type="dxa"/>
            <w:vAlign w:val="center"/>
          </w:tcPr>
          <w:p w14:paraId="0B6A6BDF" w14:textId="77777777" w:rsidR="00FC6F4F" w:rsidRPr="002029AF" w:rsidRDefault="00FC6F4F" w:rsidP="00FC6F4F">
            <w:pPr>
              <w:pStyle w:val="ARtabletextright"/>
            </w:pPr>
            <w:r>
              <w:t>1,</w:t>
            </w:r>
            <w:r w:rsidRPr="002029AF">
              <w:t>2</w:t>
            </w:r>
            <w:r>
              <w:t>26</w:t>
            </w:r>
          </w:p>
        </w:tc>
        <w:tc>
          <w:tcPr>
            <w:tcW w:w="1247" w:type="dxa"/>
            <w:vAlign w:val="center"/>
          </w:tcPr>
          <w:p w14:paraId="0CB8F639" w14:textId="77777777" w:rsidR="00FC6F4F" w:rsidRPr="002029AF" w:rsidRDefault="00FC6F4F" w:rsidP="00FC6F4F">
            <w:pPr>
              <w:pStyle w:val="ARtabletextright"/>
            </w:pPr>
            <w:r w:rsidRPr="002029AF">
              <w:t>38</w:t>
            </w:r>
            <w:r>
              <w:t>0</w:t>
            </w:r>
          </w:p>
        </w:tc>
        <w:tc>
          <w:tcPr>
            <w:tcW w:w="1247" w:type="dxa"/>
            <w:vAlign w:val="center"/>
          </w:tcPr>
          <w:p w14:paraId="2ECAA2A1" w14:textId="77777777" w:rsidR="00FC6F4F" w:rsidRPr="002029AF" w:rsidRDefault="00FC6F4F" w:rsidP="00FC6F4F">
            <w:pPr>
              <w:pStyle w:val="ARtabletextright"/>
            </w:pPr>
            <w:r w:rsidRPr="002029AF">
              <w:t>8</w:t>
            </w:r>
            <w:r>
              <w:t>7</w:t>
            </w:r>
            <w:r w:rsidRPr="002029AF">
              <w:t>9</w:t>
            </w:r>
          </w:p>
        </w:tc>
      </w:tr>
      <w:tr w:rsidR="00FC6F4F" w:rsidRPr="002029AF" w14:paraId="2FE43083" w14:textId="77777777" w:rsidTr="00E62F5E">
        <w:trPr>
          <w:cantSplit/>
          <w:trHeight w:val="302"/>
        </w:trPr>
        <w:tc>
          <w:tcPr>
            <w:tcW w:w="2154" w:type="dxa"/>
          </w:tcPr>
          <w:p w14:paraId="25F07360" w14:textId="77777777" w:rsidR="00FC6F4F" w:rsidRPr="002029AF" w:rsidRDefault="00FC6F4F" w:rsidP="00FC6F4F">
            <w:pPr>
              <w:pStyle w:val="ARtabletext"/>
            </w:pPr>
            <w:r w:rsidRPr="002029AF">
              <w:t>Diesel – road vehicles</w:t>
            </w:r>
          </w:p>
        </w:tc>
        <w:tc>
          <w:tcPr>
            <w:tcW w:w="1247" w:type="dxa"/>
            <w:vAlign w:val="center"/>
          </w:tcPr>
          <w:p w14:paraId="1486F1F6" w14:textId="77777777" w:rsidR="00FC6F4F" w:rsidRPr="002029AF" w:rsidRDefault="00FC6F4F" w:rsidP="00FC6F4F">
            <w:pPr>
              <w:pStyle w:val="ARtabletextright"/>
            </w:pPr>
            <w:r>
              <w:t>4</w:t>
            </w:r>
            <w:r w:rsidRPr="002029AF">
              <w:t>,</w:t>
            </w:r>
            <w:r>
              <w:t>113</w:t>
            </w:r>
          </w:p>
        </w:tc>
        <w:tc>
          <w:tcPr>
            <w:tcW w:w="1247" w:type="dxa"/>
            <w:vAlign w:val="center"/>
          </w:tcPr>
          <w:p w14:paraId="17FD13CE" w14:textId="77777777" w:rsidR="00FC6F4F" w:rsidRPr="002029AF" w:rsidRDefault="00FC6F4F" w:rsidP="00FC6F4F">
            <w:pPr>
              <w:pStyle w:val="ARtabletextright"/>
            </w:pPr>
            <w:r w:rsidRPr="002029AF">
              <w:t>1</w:t>
            </w:r>
            <w:r>
              <w:t>1</w:t>
            </w:r>
            <w:r w:rsidRPr="002029AF">
              <w:t>,</w:t>
            </w:r>
            <w:r>
              <w:t>17</w:t>
            </w:r>
            <w:r w:rsidRPr="002029AF">
              <w:t>7</w:t>
            </w:r>
          </w:p>
        </w:tc>
        <w:tc>
          <w:tcPr>
            <w:tcW w:w="1247" w:type="dxa"/>
            <w:vAlign w:val="center"/>
          </w:tcPr>
          <w:p w14:paraId="62ED8A78" w14:textId="77777777" w:rsidR="00FC6F4F" w:rsidRPr="002029AF" w:rsidRDefault="00FC6F4F" w:rsidP="00FC6F4F">
            <w:pPr>
              <w:pStyle w:val="ARtabletextright"/>
            </w:pPr>
            <w:r>
              <w:t>4</w:t>
            </w:r>
            <w:r w:rsidRPr="002029AF">
              <w:t>,</w:t>
            </w:r>
            <w:r>
              <w:t>047</w:t>
            </w:r>
          </w:p>
        </w:tc>
        <w:tc>
          <w:tcPr>
            <w:tcW w:w="1247" w:type="dxa"/>
            <w:vAlign w:val="center"/>
          </w:tcPr>
          <w:p w14:paraId="4DE6061E" w14:textId="77777777" w:rsidR="00FC6F4F" w:rsidRPr="002029AF" w:rsidRDefault="00FC6F4F" w:rsidP="00FC6F4F">
            <w:pPr>
              <w:pStyle w:val="ARtabletextright"/>
            </w:pPr>
            <w:r w:rsidRPr="002029AF">
              <w:t>1</w:t>
            </w:r>
            <w:r>
              <w:t>1</w:t>
            </w:r>
            <w:r w:rsidRPr="002029AF">
              <w:t>,0</w:t>
            </w:r>
            <w:r>
              <w:t>1</w:t>
            </w:r>
            <w:r w:rsidRPr="002029AF">
              <w:t>5</w:t>
            </w:r>
          </w:p>
        </w:tc>
        <w:tc>
          <w:tcPr>
            <w:tcW w:w="1247" w:type="dxa"/>
            <w:vAlign w:val="center"/>
          </w:tcPr>
          <w:p w14:paraId="0C8595A7" w14:textId="77777777" w:rsidR="00FC6F4F" w:rsidRPr="002029AF" w:rsidRDefault="00FC6F4F" w:rsidP="00FC6F4F">
            <w:pPr>
              <w:pStyle w:val="ARtabletextright"/>
            </w:pPr>
            <w:r w:rsidRPr="002029AF">
              <w:t>4,</w:t>
            </w:r>
            <w:r>
              <w:t>187</w:t>
            </w:r>
          </w:p>
        </w:tc>
        <w:tc>
          <w:tcPr>
            <w:tcW w:w="1247" w:type="dxa"/>
            <w:vAlign w:val="center"/>
          </w:tcPr>
          <w:p w14:paraId="7BCAD898" w14:textId="77777777" w:rsidR="00FC6F4F" w:rsidRPr="002029AF" w:rsidRDefault="00FC6F4F" w:rsidP="00FC6F4F">
            <w:pPr>
              <w:pStyle w:val="ARtabletextright"/>
            </w:pPr>
            <w:r w:rsidRPr="002029AF">
              <w:t>11,</w:t>
            </w:r>
            <w:r>
              <w:t>396</w:t>
            </w:r>
          </w:p>
        </w:tc>
      </w:tr>
      <w:tr w:rsidR="00FC6F4F" w:rsidRPr="002029AF" w14:paraId="526F2594" w14:textId="77777777" w:rsidTr="00E62F5E">
        <w:trPr>
          <w:cantSplit/>
          <w:trHeight w:val="302"/>
        </w:trPr>
        <w:tc>
          <w:tcPr>
            <w:tcW w:w="2154" w:type="dxa"/>
          </w:tcPr>
          <w:p w14:paraId="6025DDA4" w14:textId="77777777" w:rsidR="00FC6F4F" w:rsidRPr="002029AF" w:rsidRDefault="00FC6F4F" w:rsidP="00FC6F4F">
            <w:pPr>
              <w:pStyle w:val="ARtabletext"/>
            </w:pPr>
            <w:r w:rsidRPr="002029AF">
              <w:t>LPG – road vehicles</w:t>
            </w:r>
          </w:p>
        </w:tc>
        <w:tc>
          <w:tcPr>
            <w:tcW w:w="1247" w:type="dxa"/>
            <w:vAlign w:val="center"/>
          </w:tcPr>
          <w:p w14:paraId="27B4C46E" w14:textId="77777777" w:rsidR="00FC6F4F" w:rsidRPr="002029AF" w:rsidRDefault="00FC6F4F" w:rsidP="00FC6F4F">
            <w:pPr>
              <w:pStyle w:val="ARtabletextright"/>
            </w:pPr>
            <w:r w:rsidRPr="002029AF">
              <w:t>0</w:t>
            </w:r>
          </w:p>
        </w:tc>
        <w:tc>
          <w:tcPr>
            <w:tcW w:w="1247" w:type="dxa"/>
            <w:vAlign w:val="center"/>
          </w:tcPr>
          <w:p w14:paraId="5CE0805C" w14:textId="77777777" w:rsidR="00FC6F4F" w:rsidRPr="002029AF" w:rsidRDefault="00FC6F4F" w:rsidP="00FC6F4F">
            <w:pPr>
              <w:pStyle w:val="ARtabletextright"/>
            </w:pPr>
            <w:r w:rsidRPr="002029AF">
              <w:t>0</w:t>
            </w:r>
          </w:p>
        </w:tc>
        <w:tc>
          <w:tcPr>
            <w:tcW w:w="1247" w:type="dxa"/>
            <w:vAlign w:val="center"/>
          </w:tcPr>
          <w:p w14:paraId="2BA91F71" w14:textId="77777777" w:rsidR="00FC6F4F" w:rsidRPr="002029AF" w:rsidRDefault="00FC6F4F" w:rsidP="00FC6F4F">
            <w:pPr>
              <w:pStyle w:val="ARtabletextright"/>
            </w:pPr>
            <w:r w:rsidRPr="002029AF">
              <w:t>0</w:t>
            </w:r>
          </w:p>
        </w:tc>
        <w:tc>
          <w:tcPr>
            <w:tcW w:w="1247" w:type="dxa"/>
            <w:vAlign w:val="center"/>
          </w:tcPr>
          <w:p w14:paraId="1227F99C" w14:textId="77777777" w:rsidR="00FC6F4F" w:rsidRPr="002029AF" w:rsidRDefault="00FC6F4F" w:rsidP="00FC6F4F">
            <w:pPr>
              <w:pStyle w:val="ARtabletextright"/>
            </w:pPr>
            <w:r w:rsidRPr="002029AF">
              <w:t>0</w:t>
            </w:r>
          </w:p>
        </w:tc>
        <w:tc>
          <w:tcPr>
            <w:tcW w:w="1247" w:type="dxa"/>
            <w:vAlign w:val="center"/>
          </w:tcPr>
          <w:p w14:paraId="229F9B0F" w14:textId="77777777" w:rsidR="00FC6F4F" w:rsidRPr="002029AF" w:rsidRDefault="00FC6F4F" w:rsidP="00FC6F4F">
            <w:pPr>
              <w:pStyle w:val="ARtabletextright"/>
            </w:pPr>
            <w:r w:rsidRPr="002029AF">
              <w:t>0</w:t>
            </w:r>
          </w:p>
        </w:tc>
        <w:tc>
          <w:tcPr>
            <w:tcW w:w="1247" w:type="dxa"/>
            <w:vAlign w:val="center"/>
          </w:tcPr>
          <w:p w14:paraId="600C4991" w14:textId="77777777" w:rsidR="00FC6F4F" w:rsidRPr="002029AF" w:rsidRDefault="00FC6F4F" w:rsidP="00FC6F4F">
            <w:pPr>
              <w:pStyle w:val="ARtabletextright"/>
            </w:pPr>
            <w:r w:rsidRPr="002029AF">
              <w:t>0</w:t>
            </w:r>
          </w:p>
        </w:tc>
      </w:tr>
      <w:tr w:rsidR="00FC6F4F" w:rsidRPr="002029AF" w14:paraId="30C1B5E4" w14:textId="77777777" w:rsidTr="00E62F5E">
        <w:trPr>
          <w:cantSplit/>
          <w:trHeight w:val="176"/>
        </w:trPr>
        <w:tc>
          <w:tcPr>
            <w:tcW w:w="2154" w:type="dxa"/>
          </w:tcPr>
          <w:p w14:paraId="0D0179CF" w14:textId="77777777" w:rsidR="00FC6F4F" w:rsidRPr="002029AF" w:rsidRDefault="00FC6F4F" w:rsidP="00FC6F4F">
            <w:pPr>
              <w:pStyle w:val="ARtabletext"/>
            </w:pPr>
            <w:r w:rsidRPr="002029AF">
              <w:t>Aviation fuel</w:t>
            </w:r>
          </w:p>
        </w:tc>
        <w:tc>
          <w:tcPr>
            <w:tcW w:w="1247" w:type="dxa"/>
            <w:vAlign w:val="center"/>
          </w:tcPr>
          <w:p w14:paraId="0CAAA1EA" w14:textId="77777777" w:rsidR="00FC6F4F" w:rsidRPr="002029AF" w:rsidRDefault="00FC6F4F" w:rsidP="00FC6F4F">
            <w:pPr>
              <w:pStyle w:val="ARtabletextright"/>
            </w:pPr>
            <w:r w:rsidRPr="002029AF">
              <w:t>4,</w:t>
            </w:r>
            <w:r>
              <w:t>547</w:t>
            </w:r>
          </w:p>
        </w:tc>
        <w:tc>
          <w:tcPr>
            <w:tcW w:w="1247" w:type="dxa"/>
            <w:vAlign w:val="center"/>
          </w:tcPr>
          <w:p w14:paraId="09124BD4" w14:textId="77777777" w:rsidR="00FC6F4F" w:rsidRPr="002029AF" w:rsidRDefault="00FC6F4F" w:rsidP="00FC6F4F">
            <w:pPr>
              <w:pStyle w:val="ARtabletextright"/>
            </w:pPr>
            <w:r w:rsidRPr="002029AF">
              <w:t>1</w:t>
            </w:r>
            <w:r>
              <w:t>1</w:t>
            </w:r>
            <w:r w:rsidRPr="002029AF">
              <w:t>,</w:t>
            </w:r>
            <w:r>
              <w:t>749</w:t>
            </w:r>
          </w:p>
        </w:tc>
        <w:tc>
          <w:tcPr>
            <w:tcW w:w="1247" w:type="dxa"/>
            <w:vAlign w:val="center"/>
          </w:tcPr>
          <w:p w14:paraId="1DF3B1E0" w14:textId="77777777" w:rsidR="00FC6F4F" w:rsidRPr="002029AF" w:rsidRDefault="00FC6F4F" w:rsidP="00FC6F4F">
            <w:pPr>
              <w:pStyle w:val="ARtabletextright"/>
            </w:pPr>
            <w:r w:rsidRPr="002029AF">
              <w:t>4,</w:t>
            </w:r>
            <w:r>
              <w:t>162</w:t>
            </w:r>
          </w:p>
        </w:tc>
        <w:tc>
          <w:tcPr>
            <w:tcW w:w="1247" w:type="dxa"/>
            <w:vAlign w:val="center"/>
          </w:tcPr>
          <w:p w14:paraId="28FB9825" w14:textId="77777777" w:rsidR="00FC6F4F" w:rsidRPr="002029AF" w:rsidRDefault="00FC6F4F" w:rsidP="00FC6F4F">
            <w:pPr>
              <w:pStyle w:val="ARtabletextright"/>
            </w:pPr>
            <w:r w:rsidRPr="002029AF">
              <w:t>1</w:t>
            </w:r>
            <w:r>
              <w:t>0</w:t>
            </w:r>
            <w:r w:rsidRPr="002029AF">
              <w:t>,</w:t>
            </w:r>
            <w:r>
              <w:t>753</w:t>
            </w:r>
          </w:p>
        </w:tc>
        <w:tc>
          <w:tcPr>
            <w:tcW w:w="1247" w:type="dxa"/>
            <w:vAlign w:val="center"/>
          </w:tcPr>
          <w:p w14:paraId="57089F01" w14:textId="77777777" w:rsidR="00FC6F4F" w:rsidRPr="002029AF" w:rsidRDefault="00FC6F4F" w:rsidP="00FC6F4F">
            <w:pPr>
              <w:pStyle w:val="ARtabletextright"/>
            </w:pPr>
            <w:r w:rsidRPr="002029AF">
              <w:t>4,</w:t>
            </w:r>
            <w:r>
              <w:t>466</w:t>
            </w:r>
          </w:p>
        </w:tc>
        <w:tc>
          <w:tcPr>
            <w:tcW w:w="1247" w:type="dxa"/>
            <w:vAlign w:val="center"/>
          </w:tcPr>
          <w:p w14:paraId="00C8C1DC" w14:textId="77777777" w:rsidR="00FC6F4F" w:rsidRPr="002029AF" w:rsidRDefault="00FC6F4F" w:rsidP="00FC6F4F">
            <w:pPr>
              <w:pStyle w:val="ARtabletextright"/>
            </w:pPr>
            <w:r w:rsidRPr="002029AF">
              <w:t>11,</w:t>
            </w:r>
            <w:r>
              <w:t>538</w:t>
            </w:r>
          </w:p>
        </w:tc>
      </w:tr>
      <w:tr w:rsidR="00FC6F4F" w:rsidRPr="002029AF" w14:paraId="61F4D232" w14:textId="77777777" w:rsidTr="00E62F5E">
        <w:trPr>
          <w:cantSplit/>
          <w:trHeight w:val="268"/>
        </w:trPr>
        <w:tc>
          <w:tcPr>
            <w:tcW w:w="2154" w:type="dxa"/>
          </w:tcPr>
          <w:p w14:paraId="126BC2AD" w14:textId="77777777" w:rsidR="00FC6F4F" w:rsidRPr="002029AF" w:rsidRDefault="00FC6F4F" w:rsidP="00FC6F4F">
            <w:pPr>
              <w:pStyle w:val="ARtabletextbold"/>
            </w:pPr>
            <w:r w:rsidRPr="002029AF">
              <w:t>Total</w:t>
            </w:r>
          </w:p>
        </w:tc>
        <w:tc>
          <w:tcPr>
            <w:tcW w:w="1247" w:type="dxa"/>
            <w:vAlign w:val="center"/>
          </w:tcPr>
          <w:p w14:paraId="4B181378" w14:textId="77777777" w:rsidR="00FC6F4F" w:rsidRPr="002029AF" w:rsidRDefault="00FC6F4F" w:rsidP="00FC6F4F">
            <w:pPr>
              <w:pStyle w:val="ARtabletextrightbold"/>
            </w:pPr>
            <w:r>
              <w:t>9</w:t>
            </w:r>
            <w:r w:rsidRPr="002029AF">
              <w:t>,</w:t>
            </w:r>
            <w:r>
              <w:t>325</w:t>
            </w:r>
          </w:p>
        </w:tc>
        <w:tc>
          <w:tcPr>
            <w:tcW w:w="1247" w:type="dxa"/>
            <w:vAlign w:val="center"/>
          </w:tcPr>
          <w:p w14:paraId="75AFAFA8" w14:textId="77777777" w:rsidR="00FC6F4F" w:rsidRPr="002029AF" w:rsidRDefault="00FC6F4F" w:rsidP="00FC6F4F">
            <w:pPr>
              <w:pStyle w:val="ARtabletextrightbold"/>
            </w:pPr>
            <w:r w:rsidRPr="002029AF">
              <w:t>2</w:t>
            </w:r>
            <w:r>
              <w:t>4</w:t>
            </w:r>
            <w:r w:rsidRPr="002029AF">
              <w:t>,</w:t>
            </w:r>
            <w:r>
              <w:t>465</w:t>
            </w:r>
          </w:p>
        </w:tc>
        <w:tc>
          <w:tcPr>
            <w:tcW w:w="1247" w:type="dxa"/>
            <w:vAlign w:val="center"/>
          </w:tcPr>
          <w:p w14:paraId="6FF2A615" w14:textId="77777777" w:rsidR="00FC6F4F" w:rsidRPr="002029AF" w:rsidRDefault="00FC6F4F" w:rsidP="00FC6F4F">
            <w:pPr>
              <w:pStyle w:val="ARtabletextrightbold"/>
            </w:pPr>
            <w:r>
              <w:t>8</w:t>
            </w:r>
            <w:r w:rsidRPr="002029AF">
              <w:t>,</w:t>
            </w:r>
            <w:r>
              <w:t>739</w:t>
            </w:r>
          </w:p>
        </w:tc>
        <w:tc>
          <w:tcPr>
            <w:tcW w:w="1247" w:type="dxa"/>
            <w:vAlign w:val="center"/>
          </w:tcPr>
          <w:p w14:paraId="4ADA5CC1" w14:textId="77777777" w:rsidR="00FC6F4F" w:rsidRPr="002029AF" w:rsidRDefault="00FC6F4F" w:rsidP="00FC6F4F">
            <w:pPr>
              <w:pStyle w:val="ARtabletextrightbold"/>
            </w:pPr>
            <w:r>
              <w:t>2</w:t>
            </w:r>
            <w:r w:rsidRPr="002029AF">
              <w:t>2,</w:t>
            </w:r>
            <w:r>
              <w:t>994</w:t>
            </w:r>
          </w:p>
        </w:tc>
        <w:tc>
          <w:tcPr>
            <w:tcW w:w="1247" w:type="dxa"/>
            <w:vAlign w:val="center"/>
          </w:tcPr>
          <w:p w14:paraId="36252BF5" w14:textId="77777777" w:rsidR="00FC6F4F" w:rsidRPr="002029AF" w:rsidRDefault="00FC6F4F" w:rsidP="00FC6F4F">
            <w:pPr>
              <w:pStyle w:val="ARtabletextrightbold"/>
            </w:pPr>
            <w:r>
              <w:t>9</w:t>
            </w:r>
            <w:r w:rsidRPr="002029AF">
              <w:t>,</w:t>
            </w:r>
            <w:r>
              <w:t>033</w:t>
            </w:r>
          </w:p>
        </w:tc>
        <w:tc>
          <w:tcPr>
            <w:tcW w:w="1247" w:type="dxa"/>
            <w:vAlign w:val="center"/>
          </w:tcPr>
          <w:p w14:paraId="4B1439A8" w14:textId="77777777" w:rsidR="00FC6F4F" w:rsidRPr="002029AF" w:rsidRDefault="00FC6F4F" w:rsidP="00FC6F4F">
            <w:pPr>
              <w:pStyle w:val="ARtabletextrightbold"/>
            </w:pPr>
            <w:r w:rsidRPr="002029AF">
              <w:t>2</w:t>
            </w:r>
            <w:r>
              <w:t>3,812</w:t>
            </w:r>
          </w:p>
        </w:tc>
      </w:tr>
    </w:tbl>
    <w:p w14:paraId="0830C526" w14:textId="77777777" w:rsidR="00FC6F4F" w:rsidRPr="002029AF" w:rsidRDefault="00FC6F4F" w:rsidP="00897193">
      <w:pPr>
        <w:pStyle w:val="ARtablefootnote"/>
      </w:pPr>
      <w:r w:rsidRPr="002029AF">
        <w:t>Data includes road ambulance, air ambulance, emergency support and administrative vehicles and non-emergency patient transport managed by Ambulance Victoria.</w:t>
      </w:r>
    </w:p>
    <w:tbl>
      <w:tblPr>
        <w:tblW w:w="9639" w:type="dxa"/>
        <w:tblInd w:w="5"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2156"/>
        <w:gridCol w:w="1248"/>
        <w:gridCol w:w="1247"/>
        <w:gridCol w:w="1247"/>
        <w:gridCol w:w="1247"/>
        <w:gridCol w:w="1247"/>
        <w:gridCol w:w="1247"/>
      </w:tblGrid>
      <w:tr w:rsidR="00FC6F4F" w:rsidRPr="002029AF" w14:paraId="30DB7E50" w14:textId="77777777" w:rsidTr="00E62F5E">
        <w:trPr>
          <w:cantSplit/>
          <w:trHeight w:val="302"/>
          <w:tblHeader/>
        </w:trPr>
        <w:tc>
          <w:tcPr>
            <w:tcW w:w="2154" w:type="dxa"/>
            <w:vAlign w:val="bottom"/>
          </w:tcPr>
          <w:p w14:paraId="5207F561" w14:textId="77777777" w:rsidR="00FC6F4F" w:rsidRPr="000B3019" w:rsidRDefault="00FC6F4F" w:rsidP="00731F26">
            <w:pPr>
              <w:pStyle w:val="ARtablecolhead"/>
              <w:pageBreakBefore/>
            </w:pPr>
            <w:r w:rsidRPr="000B3019">
              <w:lastRenderedPageBreak/>
              <w:t xml:space="preserve">Health service vehicle fleet </w:t>
            </w:r>
          </w:p>
        </w:tc>
        <w:tc>
          <w:tcPr>
            <w:tcW w:w="1247" w:type="dxa"/>
            <w:vAlign w:val="center"/>
          </w:tcPr>
          <w:p w14:paraId="165D7B62" w14:textId="77777777" w:rsidR="00FC6F4F" w:rsidRPr="000B3019" w:rsidRDefault="00FC6F4F" w:rsidP="00FC6F4F">
            <w:pPr>
              <w:pStyle w:val="ARtablecolheadright"/>
            </w:pPr>
            <w:r w:rsidRPr="000B3019">
              <w:t xml:space="preserve">2020–21 </w:t>
            </w:r>
            <w:r w:rsidRPr="000B3019">
              <w:br/>
              <w:t>estimate</w:t>
            </w:r>
          </w:p>
        </w:tc>
        <w:tc>
          <w:tcPr>
            <w:tcW w:w="1247" w:type="dxa"/>
            <w:vAlign w:val="center"/>
          </w:tcPr>
          <w:p w14:paraId="1B531CB8" w14:textId="77777777" w:rsidR="00FC6F4F" w:rsidRPr="000B3019" w:rsidRDefault="00FC6F4F" w:rsidP="00FC6F4F">
            <w:pPr>
              <w:pStyle w:val="ARtablecolheadright"/>
            </w:pPr>
            <w:r w:rsidRPr="000B3019">
              <w:t xml:space="preserve">2020–21 </w:t>
            </w:r>
            <w:r w:rsidRPr="000B3019">
              <w:br/>
              <w:t>estimate</w:t>
            </w:r>
          </w:p>
        </w:tc>
        <w:tc>
          <w:tcPr>
            <w:tcW w:w="1247" w:type="dxa"/>
            <w:vAlign w:val="center"/>
          </w:tcPr>
          <w:p w14:paraId="5E818892" w14:textId="77777777" w:rsidR="00FC6F4F" w:rsidRPr="000B3019" w:rsidRDefault="00FC6F4F" w:rsidP="00FC6F4F">
            <w:pPr>
              <w:pStyle w:val="ARtablecolheadright"/>
            </w:pPr>
            <w:r w:rsidRPr="000B3019">
              <w:t xml:space="preserve">2019–20 </w:t>
            </w:r>
            <w:r w:rsidRPr="000B3019">
              <w:br/>
              <w:t>estimate</w:t>
            </w:r>
          </w:p>
        </w:tc>
        <w:tc>
          <w:tcPr>
            <w:tcW w:w="1247" w:type="dxa"/>
            <w:vAlign w:val="center"/>
          </w:tcPr>
          <w:p w14:paraId="2A613F0E" w14:textId="77777777" w:rsidR="00FC6F4F" w:rsidRPr="000B3019" w:rsidRDefault="00FC6F4F" w:rsidP="00FC6F4F">
            <w:pPr>
              <w:pStyle w:val="ARtablecolheadright"/>
            </w:pPr>
            <w:r w:rsidRPr="000B3019">
              <w:t xml:space="preserve">2019–20 </w:t>
            </w:r>
            <w:r w:rsidRPr="000B3019">
              <w:br/>
              <w:t>estimate</w:t>
            </w:r>
          </w:p>
        </w:tc>
        <w:tc>
          <w:tcPr>
            <w:tcW w:w="1247" w:type="dxa"/>
            <w:vAlign w:val="center"/>
          </w:tcPr>
          <w:p w14:paraId="6FBCB2C8" w14:textId="77777777" w:rsidR="00FC6F4F" w:rsidRPr="000B3019" w:rsidRDefault="00FC6F4F" w:rsidP="00FC6F4F">
            <w:pPr>
              <w:pStyle w:val="ARtablecolheadright"/>
            </w:pPr>
            <w:r w:rsidRPr="000B3019">
              <w:t xml:space="preserve">2018–19 </w:t>
            </w:r>
            <w:r w:rsidRPr="000B3019">
              <w:br/>
              <w:t>estimate</w:t>
            </w:r>
          </w:p>
        </w:tc>
        <w:tc>
          <w:tcPr>
            <w:tcW w:w="1247" w:type="dxa"/>
            <w:vAlign w:val="center"/>
          </w:tcPr>
          <w:p w14:paraId="3523936D" w14:textId="77777777" w:rsidR="00FC6F4F" w:rsidRPr="000B3019" w:rsidRDefault="00FC6F4F" w:rsidP="00FC6F4F">
            <w:pPr>
              <w:pStyle w:val="ARtablecolheadright"/>
            </w:pPr>
            <w:r w:rsidRPr="000B3019">
              <w:t xml:space="preserve">2018–19 </w:t>
            </w:r>
            <w:r w:rsidRPr="000B3019">
              <w:br/>
              <w:t>estimate</w:t>
            </w:r>
          </w:p>
        </w:tc>
      </w:tr>
      <w:tr w:rsidR="00FC6F4F" w:rsidRPr="002029AF" w14:paraId="7628B958" w14:textId="77777777" w:rsidTr="00E62F5E">
        <w:trPr>
          <w:cantSplit/>
          <w:trHeight w:val="506"/>
          <w:tblHeader/>
        </w:trPr>
        <w:tc>
          <w:tcPr>
            <w:tcW w:w="2154" w:type="dxa"/>
            <w:vAlign w:val="bottom"/>
          </w:tcPr>
          <w:p w14:paraId="6F898200" w14:textId="77777777" w:rsidR="00FC6F4F" w:rsidRPr="000B3019" w:rsidRDefault="00FC6F4F" w:rsidP="00FC6F4F">
            <w:pPr>
              <w:pStyle w:val="ARtablecolhead"/>
              <w:rPr>
                <w:lang w:eastAsia="en-AU"/>
              </w:rPr>
            </w:pPr>
            <w:r w:rsidRPr="000B3019">
              <w:rPr>
                <w:lang w:eastAsia="en-AU"/>
              </w:rPr>
              <w:t>Total fuel usage segmented by primary source</w:t>
            </w:r>
          </w:p>
        </w:tc>
        <w:tc>
          <w:tcPr>
            <w:tcW w:w="1247" w:type="dxa"/>
            <w:vAlign w:val="bottom"/>
          </w:tcPr>
          <w:p w14:paraId="094D2A05" w14:textId="77777777" w:rsidR="00FC6F4F" w:rsidRPr="000B3019" w:rsidRDefault="00FC6F4F" w:rsidP="00FC6F4F">
            <w:pPr>
              <w:pStyle w:val="ARtablecolheadright"/>
              <w:rPr>
                <w:lang w:eastAsia="en-AU"/>
              </w:rPr>
            </w:pPr>
            <w:r w:rsidRPr="000B3019">
              <w:rPr>
                <w:lang w:eastAsia="en-AU"/>
              </w:rPr>
              <w:t>Fuel volume (kilolitres)</w:t>
            </w:r>
          </w:p>
        </w:tc>
        <w:tc>
          <w:tcPr>
            <w:tcW w:w="1247" w:type="dxa"/>
            <w:vAlign w:val="bottom"/>
          </w:tcPr>
          <w:p w14:paraId="7051CA92" w14:textId="77777777" w:rsidR="00FC6F4F" w:rsidRPr="000B3019" w:rsidRDefault="00FC6F4F" w:rsidP="00FC6F4F">
            <w:pPr>
              <w:pStyle w:val="ARtablecolheadright"/>
              <w:rPr>
                <w:lang w:eastAsia="en-AU"/>
              </w:rPr>
            </w:pPr>
            <w:r w:rsidRPr="000B3019">
              <w:rPr>
                <w:lang w:eastAsia="en-AU"/>
              </w:rPr>
              <w:t xml:space="preserve">Emissions (tonnes </w:t>
            </w:r>
            <w:r w:rsidRPr="000B3019">
              <w:rPr>
                <w:lang w:eastAsia="en-AU"/>
              </w:rPr>
              <w:br/>
              <w:t>CO</w:t>
            </w:r>
            <w:r w:rsidRPr="000B3019">
              <w:rPr>
                <w:rFonts w:ascii="Arial Bold" w:hAnsi="Arial Bold"/>
                <w:vertAlign w:val="subscript"/>
                <w:lang w:eastAsia="en-AU"/>
              </w:rPr>
              <w:t>2</w:t>
            </w:r>
            <w:r w:rsidRPr="000B3019">
              <w:rPr>
                <w:lang w:eastAsia="en-AU"/>
              </w:rPr>
              <w:t>-e)</w:t>
            </w:r>
          </w:p>
        </w:tc>
        <w:tc>
          <w:tcPr>
            <w:tcW w:w="1247" w:type="dxa"/>
            <w:vAlign w:val="bottom"/>
          </w:tcPr>
          <w:p w14:paraId="0CD52B31" w14:textId="77777777" w:rsidR="00FC6F4F" w:rsidRPr="000B3019" w:rsidRDefault="00FC6F4F" w:rsidP="00FC6F4F">
            <w:pPr>
              <w:pStyle w:val="ARtablecolheadright"/>
              <w:rPr>
                <w:lang w:eastAsia="en-AU"/>
              </w:rPr>
            </w:pPr>
            <w:r w:rsidRPr="000B3019">
              <w:rPr>
                <w:lang w:eastAsia="en-AU"/>
              </w:rPr>
              <w:t>Fuel volume (kilolitres)</w:t>
            </w:r>
          </w:p>
        </w:tc>
        <w:tc>
          <w:tcPr>
            <w:tcW w:w="1247" w:type="dxa"/>
            <w:vAlign w:val="bottom"/>
          </w:tcPr>
          <w:p w14:paraId="68E6BCDB" w14:textId="77777777" w:rsidR="00FC6F4F" w:rsidRPr="000B3019" w:rsidRDefault="00FC6F4F" w:rsidP="00FC6F4F">
            <w:pPr>
              <w:pStyle w:val="ARtablecolheadright"/>
              <w:rPr>
                <w:lang w:eastAsia="en-AU"/>
              </w:rPr>
            </w:pPr>
            <w:r w:rsidRPr="000B3019">
              <w:rPr>
                <w:lang w:eastAsia="en-AU"/>
              </w:rPr>
              <w:t xml:space="preserve">Emissions (tonnes </w:t>
            </w:r>
            <w:r w:rsidRPr="000B3019">
              <w:rPr>
                <w:lang w:eastAsia="en-AU"/>
              </w:rPr>
              <w:br/>
              <w:t>CO</w:t>
            </w:r>
            <w:r w:rsidRPr="000B3019">
              <w:rPr>
                <w:rFonts w:ascii="Arial Bold" w:hAnsi="Arial Bold"/>
                <w:vertAlign w:val="subscript"/>
                <w:lang w:eastAsia="en-AU"/>
              </w:rPr>
              <w:t>2</w:t>
            </w:r>
            <w:r w:rsidRPr="000B3019">
              <w:rPr>
                <w:lang w:eastAsia="en-AU"/>
              </w:rPr>
              <w:t>-e)</w:t>
            </w:r>
          </w:p>
        </w:tc>
        <w:tc>
          <w:tcPr>
            <w:tcW w:w="1247" w:type="dxa"/>
            <w:vAlign w:val="bottom"/>
          </w:tcPr>
          <w:p w14:paraId="76E81764" w14:textId="77777777" w:rsidR="00FC6F4F" w:rsidRPr="000B3019" w:rsidRDefault="00FC6F4F" w:rsidP="00FC6F4F">
            <w:pPr>
              <w:pStyle w:val="ARtablecolheadright"/>
              <w:rPr>
                <w:lang w:eastAsia="en-AU"/>
              </w:rPr>
            </w:pPr>
            <w:r w:rsidRPr="000B3019">
              <w:rPr>
                <w:lang w:eastAsia="en-AU"/>
              </w:rPr>
              <w:t>Fuel volume</w:t>
            </w:r>
            <w:r w:rsidRPr="000B3019">
              <w:rPr>
                <w:lang w:eastAsia="en-AU"/>
              </w:rPr>
              <w:br/>
              <w:t>(kilolitres)</w:t>
            </w:r>
          </w:p>
        </w:tc>
        <w:tc>
          <w:tcPr>
            <w:tcW w:w="1247" w:type="dxa"/>
            <w:vAlign w:val="bottom"/>
          </w:tcPr>
          <w:p w14:paraId="40D63E81" w14:textId="77777777" w:rsidR="00FC6F4F" w:rsidRPr="000B3019" w:rsidRDefault="00FC6F4F" w:rsidP="00FC6F4F">
            <w:pPr>
              <w:pStyle w:val="ARtablecolheadright"/>
              <w:rPr>
                <w:lang w:eastAsia="en-AU"/>
              </w:rPr>
            </w:pPr>
            <w:r w:rsidRPr="000B3019">
              <w:rPr>
                <w:lang w:eastAsia="en-AU"/>
              </w:rPr>
              <w:t xml:space="preserve">Emissions (tonnes </w:t>
            </w:r>
            <w:r w:rsidRPr="000B3019">
              <w:rPr>
                <w:lang w:eastAsia="en-AU"/>
              </w:rPr>
              <w:br/>
              <w:t>CO</w:t>
            </w:r>
            <w:r w:rsidRPr="000B3019">
              <w:rPr>
                <w:rFonts w:ascii="Arial Bold" w:hAnsi="Arial Bold"/>
                <w:vertAlign w:val="subscript"/>
                <w:lang w:eastAsia="en-AU"/>
              </w:rPr>
              <w:t>2</w:t>
            </w:r>
            <w:r w:rsidRPr="000B3019">
              <w:rPr>
                <w:lang w:eastAsia="en-AU"/>
              </w:rPr>
              <w:t>-e)</w:t>
            </w:r>
          </w:p>
        </w:tc>
      </w:tr>
      <w:tr w:rsidR="00FC6F4F" w:rsidRPr="002029AF" w14:paraId="1B2FF118" w14:textId="77777777" w:rsidTr="00E62F5E">
        <w:trPr>
          <w:cantSplit/>
          <w:trHeight w:val="302"/>
        </w:trPr>
        <w:tc>
          <w:tcPr>
            <w:tcW w:w="2154" w:type="dxa"/>
          </w:tcPr>
          <w:p w14:paraId="135B670C" w14:textId="77777777" w:rsidR="00FC6F4F" w:rsidRPr="00B15359" w:rsidRDefault="00FC6F4F" w:rsidP="00FC6F4F">
            <w:pPr>
              <w:pStyle w:val="ARtabletext"/>
            </w:pPr>
            <w:r w:rsidRPr="00B15359">
              <w:t>Gasoline – road vehicles</w:t>
            </w:r>
          </w:p>
        </w:tc>
        <w:tc>
          <w:tcPr>
            <w:tcW w:w="1247" w:type="dxa"/>
            <w:vAlign w:val="center"/>
          </w:tcPr>
          <w:p w14:paraId="348CF76D" w14:textId="77777777" w:rsidR="00FC6F4F" w:rsidRPr="00B15359" w:rsidRDefault="00FC6F4F" w:rsidP="00FC6F4F">
            <w:pPr>
              <w:pStyle w:val="ARtabletextright"/>
            </w:pPr>
            <w:r>
              <w:t>1,666</w:t>
            </w:r>
          </w:p>
        </w:tc>
        <w:tc>
          <w:tcPr>
            <w:tcW w:w="1247" w:type="dxa"/>
            <w:vAlign w:val="center"/>
          </w:tcPr>
          <w:p w14:paraId="1EFCCFB1" w14:textId="77777777" w:rsidR="00FC6F4F" w:rsidRPr="00B15359" w:rsidRDefault="00FC6F4F" w:rsidP="00FC6F4F">
            <w:pPr>
              <w:pStyle w:val="ARtabletextright"/>
            </w:pPr>
            <w:r>
              <w:t>3,852</w:t>
            </w:r>
          </w:p>
        </w:tc>
        <w:tc>
          <w:tcPr>
            <w:tcW w:w="1247" w:type="dxa"/>
            <w:vAlign w:val="center"/>
          </w:tcPr>
          <w:p w14:paraId="63B86A87" w14:textId="77777777" w:rsidR="00FC6F4F" w:rsidRPr="00136660" w:rsidRDefault="00FC6F4F" w:rsidP="00FC6F4F">
            <w:pPr>
              <w:pStyle w:val="ARtabletextright"/>
            </w:pPr>
            <w:r w:rsidRPr="00136660">
              <w:t>1,</w:t>
            </w:r>
            <w:r>
              <w:t>822</w:t>
            </w:r>
          </w:p>
        </w:tc>
        <w:tc>
          <w:tcPr>
            <w:tcW w:w="1247" w:type="dxa"/>
            <w:vAlign w:val="center"/>
          </w:tcPr>
          <w:p w14:paraId="34DBA3D8" w14:textId="77777777" w:rsidR="00FC6F4F" w:rsidRPr="00136660" w:rsidRDefault="00FC6F4F" w:rsidP="00FC6F4F">
            <w:pPr>
              <w:pStyle w:val="ARtabletextright"/>
            </w:pPr>
            <w:r w:rsidRPr="00136660">
              <w:t>4,</w:t>
            </w:r>
            <w:r>
              <w:t>214</w:t>
            </w:r>
          </w:p>
        </w:tc>
        <w:tc>
          <w:tcPr>
            <w:tcW w:w="1247" w:type="dxa"/>
            <w:vAlign w:val="center"/>
          </w:tcPr>
          <w:p w14:paraId="69297766" w14:textId="77777777" w:rsidR="00FC6F4F" w:rsidRPr="00136660" w:rsidRDefault="00FC6F4F" w:rsidP="00FC6F4F">
            <w:pPr>
              <w:pStyle w:val="ARtabletextright"/>
            </w:pPr>
            <w:r w:rsidRPr="00136660">
              <w:t>2,</w:t>
            </w:r>
            <w:r>
              <w:t>104</w:t>
            </w:r>
          </w:p>
        </w:tc>
        <w:tc>
          <w:tcPr>
            <w:tcW w:w="1247" w:type="dxa"/>
            <w:vAlign w:val="center"/>
          </w:tcPr>
          <w:p w14:paraId="76D66D67" w14:textId="77777777" w:rsidR="00FC6F4F" w:rsidRPr="00136660" w:rsidRDefault="00FC6F4F" w:rsidP="00FC6F4F">
            <w:pPr>
              <w:pStyle w:val="ARtabletextright"/>
            </w:pPr>
            <w:r w:rsidRPr="00136660">
              <w:t>4,</w:t>
            </w:r>
            <w:r>
              <w:t>866</w:t>
            </w:r>
          </w:p>
        </w:tc>
      </w:tr>
      <w:tr w:rsidR="00FC6F4F" w:rsidRPr="002029AF" w14:paraId="3E8C0032" w14:textId="77777777" w:rsidTr="00E62F5E">
        <w:trPr>
          <w:cantSplit/>
          <w:trHeight w:val="302"/>
        </w:trPr>
        <w:tc>
          <w:tcPr>
            <w:tcW w:w="2154" w:type="dxa"/>
          </w:tcPr>
          <w:p w14:paraId="1940F61F" w14:textId="77777777" w:rsidR="00FC6F4F" w:rsidRPr="00B15359" w:rsidRDefault="00FC6F4F" w:rsidP="00FC6F4F">
            <w:pPr>
              <w:pStyle w:val="ARtabletext"/>
            </w:pPr>
            <w:r w:rsidRPr="00B15359">
              <w:t>E10 – road vehicles</w:t>
            </w:r>
          </w:p>
        </w:tc>
        <w:tc>
          <w:tcPr>
            <w:tcW w:w="1247" w:type="dxa"/>
            <w:vAlign w:val="center"/>
          </w:tcPr>
          <w:p w14:paraId="6C2EB2EA" w14:textId="77777777" w:rsidR="00FC6F4F" w:rsidRPr="00B15359" w:rsidRDefault="00FC6F4F" w:rsidP="00FC6F4F">
            <w:pPr>
              <w:pStyle w:val="ARtabletextright"/>
            </w:pPr>
            <w:r>
              <w:t>17</w:t>
            </w:r>
          </w:p>
        </w:tc>
        <w:tc>
          <w:tcPr>
            <w:tcW w:w="1247" w:type="dxa"/>
            <w:vAlign w:val="center"/>
          </w:tcPr>
          <w:p w14:paraId="5692A8ED" w14:textId="77777777" w:rsidR="00FC6F4F" w:rsidRPr="00B15359" w:rsidRDefault="00FC6F4F" w:rsidP="00FC6F4F">
            <w:pPr>
              <w:pStyle w:val="ARtabletextright"/>
            </w:pPr>
            <w:r>
              <w:t>0</w:t>
            </w:r>
          </w:p>
        </w:tc>
        <w:tc>
          <w:tcPr>
            <w:tcW w:w="1247" w:type="dxa"/>
            <w:vAlign w:val="center"/>
          </w:tcPr>
          <w:p w14:paraId="536777EB" w14:textId="77777777" w:rsidR="00FC6F4F" w:rsidRPr="00136660" w:rsidRDefault="00FC6F4F" w:rsidP="00FC6F4F">
            <w:pPr>
              <w:pStyle w:val="ARtabletextright"/>
            </w:pPr>
            <w:r w:rsidRPr="00136660">
              <w:t>12</w:t>
            </w:r>
          </w:p>
        </w:tc>
        <w:tc>
          <w:tcPr>
            <w:tcW w:w="1247" w:type="dxa"/>
            <w:vAlign w:val="center"/>
          </w:tcPr>
          <w:p w14:paraId="43705AD2" w14:textId="77777777" w:rsidR="00FC6F4F" w:rsidRPr="00136660" w:rsidRDefault="00FC6F4F" w:rsidP="00FC6F4F">
            <w:pPr>
              <w:pStyle w:val="ARtabletextright"/>
            </w:pPr>
            <w:r w:rsidRPr="00136660">
              <w:t>0</w:t>
            </w:r>
          </w:p>
        </w:tc>
        <w:tc>
          <w:tcPr>
            <w:tcW w:w="1247" w:type="dxa"/>
            <w:vAlign w:val="center"/>
          </w:tcPr>
          <w:p w14:paraId="48590C12" w14:textId="77777777" w:rsidR="00FC6F4F" w:rsidRPr="00136660" w:rsidRDefault="00FC6F4F" w:rsidP="00FC6F4F">
            <w:pPr>
              <w:pStyle w:val="ARtabletextright"/>
            </w:pPr>
            <w:r w:rsidRPr="00136660">
              <w:t>154</w:t>
            </w:r>
          </w:p>
        </w:tc>
        <w:tc>
          <w:tcPr>
            <w:tcW w:w="1247" w:type="dxa"/>
            <w:vAlign w:val="center"/>
          </w:tcPr>
          <w:p w14:paraId="1B30E9F4" w14:textId="77777777" w:rsidR="00FC6F4F" w:rsidRPr="00136660" w:rsidRDefault="00FC6F4F" w:rsidP="00FC6F4F">
            <w:pPr>
              <w:pStyle w:val="ARtabletextright"/>
            </w:pPr>
            <w:r w:rsidRPr="00136660">
              <w:t>1</w:t>
            </w:r>
          </w:p>
        </w:tc>
      </w:tr>
      <w:tr w:rsidR="00FC6F4F" w:rsidRPr="002029AF" w14:paraId="2A78FDCE" w14:textId="77777777" w:rsidTr="00E62F5E">
        <w:trPr>
          <w:cantSplit/>
          <w:trHeight w:val="302"/>
        </w:trPr>
        <w:tc>
          <w:tcPr>
            <w:tcW w:w="2154" w:type="dxa"/>
          </w:tcPr>
          <w:p w14:paraId="1BF04DBE" w14:textId="77777777" w:rsidR="00FC6F4F" w:rsidRPr="00B15359" w:rsidRDefault="00FC6F4F" w:rsidP="00FC6F4F">
            <w:pPr>
              <w:pStyle w:val="ARtabletext"/>
            </w:pPr>
            <w:r w:rsidRPr="00B15359">
              <w:t>Diesel – road vehicles</w:t>
            </w:r>
          </w:p>
        </w:tc>
        <w:tc>
          <w:tcPr>
            <w:tcW w:w="1247" w:type="dxa"/>
            <w:vAlign w:val="center"/>
          </w:tcPr>
          <w:p w14:paraId="6CE321C0" w14:textId="77777777" w:rsidR="00FC6F4F" w:rsidRPr="00B15359" w:rsidRDefault="00FC6F4F" w:rsidP="00FC6F4F">
            <w:pPr>
              <w:pStyle w:val="ARtabletextright"/>
            </w:pPr>
            <w:r>
              <w:t>490</w:t>
            </w:r>
          </w:p>
        </w:tc>
        <w:tc>
          <w:tcPr>
            <w:tcW w:w="1247" w:type="dxa"/>
            <w:vAlign w:val="center"/>
          </w:tcPr>
          <w:p w14:paraId="6092B7A3" w14:textId="77777777" w:rsidR="00FC6F4F" w:rsidRPr="00B15359" w:rsidRDefault="00FC6F4F" w:rsidP="00FC6F4F">
            <w:pPr>
              <w:pStyle w:val="ARtabletextright"/>
            </w:pPr>
            <w:r>
              <w:t>1,333</w:t>
            </w:r>
          </w:p>
        </w:tc>
        <w:tc>
          <w:tcPr>
            <w:tcW w:w="1247" w:type="dxa"/>
            <w:vAlign w:val="center"/>
          </w:tcPr>
          <w:p w14:paraId="779BCFD6" w14:textId="77777777" w:rsidR="00FC6F4F" w:rsidRPr="00136660" w:rsidRDefault="00FC6F4F" w:rsidP="00FC6F4F">
            <w:pPr>
              <w:pStyle w:val="ARtabletextright"/>
            </w:pPr>
            <w:r>
              <w:t>454</w:t>
            </w:r>
          </w:p>
        </w:tc>
        <w:tc>
          <w:tcPr>
            <w:tcW w:w="1247" w:type="dxa"/>
            <w:vAlign w:val="center"/>
          </w:tcPr>
          <w:p w14:paraId="2F814CF7" w14:textId="77777777" w:rsidR="00FC6F4F" w:rsidRPr="00136660" w:rsidRDefault="00FC6F4F" w:rsidP="00FC6F4F">
            <w:pPr>
              <w:pStyle w:val="ARtabletextright"/>
            </w:pPr>
            <w:r w:rsidRPr="00136660">
              <w:t>1,</w:t>
            </w:r>
            <w:r>
              <w:t>236</w:t>
            </w:r>
          </w:p>
        </w:tc>
        <w:tc>
          <w:tcPr>
            <w:tcW w:w="1247" w:type="dxa"/>
            <w:vAlign w:val="center"/>
          </w:tcPr>
          <w:p w14:paraId="0E725BE7" w14:textId="77777777" w:rsidR="00FC6F4F" w:rsidRPr="00136660" w:rsidRDefault="00FC6F4F" w:rsidP="00FC6F4F">
            <w:pPr>
              <w:pStyle w:val="ARtabletextright"/>
            </w:pPr>
            <w:r>
              <w:t>462</w:t>
            </w:r>
          </w:p>
        </w:tc>
        <w:tc>
          <w:tcPr>
            <w:tcW w:w="1247" w:type="dxa"/>
            <w:vAlign w:val="center"/>
          </w:tcPr>
          <w:p w14:paraId="543C5AEC" w14:textId="77777777" w:rsidR="00FC6F4F" w:rsidRPr="00136660" w:rsidRDefault="00FC6F4F" w:rsidP="00FC6F4F">
            <w:pPr>
              <w:pStyle w:val="ARtabletextright"/>
            </w:pPr>
            <w:r w:rsidRPr="00136660">
              <w:t>1,</w:t>
            </w:r>
            <w:r>
              <w:t>256</w:t>
            </w:r>
          </w:p>
        </w:tc>
      </w:tr>
      <w:tr w:rsidR="00FC6F4F" w:rsidRPr="002029AF" w14:paraId="24A55232" w14:textId="77777777" w:rsidTr="00E62F5E">
        <w:trPr>
          <w:cantSplit/>
          <w:trHeight w:val="302"/>
        </w:trPr>
        <w:tc>
          <w:tcPr>
            <w:tcW w:w="2154" w:type="dxa"/>
          </w:tcPr>
          <w:p w14:paraId="7EAD9B27" w14:textId="77777777" w:rsidR="00FC6F4F" w:rsidRPr="00B15359" w:rsidRDefault="00FC6F4F" w:rsidP="00FC6F4F">
            <w:pPr>
              <w:pStyle w:val="ARtabletext"/>
            </w:pPr>
            <w:r w:rsidRPr="00B15359">
              <w:t>LPG – road vehicles</w:t>
            </w:r>
          </w:p>
        </w:tc>
        <w:tc>
          <w:tcPr>
            <w:tcW w:w="1247" w:type="dxa"/>
            <w:vAlign w:val="center"/>
          </w:tcPr>
          <w:p w14:paraId="652626C5" w14:textId="77777777" w:rsidR="00FC6F4F" w:rsidRPr="00B15359" w:rsidRDefault="00FC6F4F" w:rsidP="00FC6F4F">
            <w:pPr>
              <w:pStyle w:val="ARtabletextright"/>
            </w:pPr>
            <w:r>
              <w:t>4</w:t>
            </w:r>
          </w:p>
        </w:tc>
        <w:tc>
          <w:tcPr>
            <w:tcW w:w="1247" w:type="dxa"/>
            <w:vAlign w:val="center"/>
          </w:tcPr>
          <w:p w14:paraId="03AA3A4C" w14:textId="77777777" w:rsidR="00FC6F4F" w:rsidRPr="00B15359" w:rsidRDefault="00FC6F4F" w:rsidP="00FC6F4F">
            <w:pPr>
              <w:pStyle w:val="ARtabletextright"/>
            </w:pPr>
            <w:r>
              <w:t>7</w:t>
            </w:r>
          </w:p>
        </w:tc>
        <w:tc>
          <w:tcPr>
            <w:tcW w:w="1247" w:type="dxa"/>
            <w:vAlign w:val="center"/>
          </w:tcPr>
          <w:p w14:paraId="348B2A36" w14:textId="77777777" w:rsidR="00FC6F4F" w:rsidRPr="00136660" w:rsidRDefault="00FC6F4F" w:rsidP="00FC6F4F">
            <w:pPr>
              <w:pStyle w:val="ARtabletextright"/>
            </w:pPr>
            <w:r w:rsidRPr="00136660">
              <w:t>2</w:t>
            </w:r>
          </w:p>
        </w:tc>
        <w:tc>
          <w:tcPr>
            <w:tcW w:w="1247" w:type="dxa"/>
            <w:vAlign w:val="center"/>
          </w:tcPr>
          <w:p w14:paraId="59DF20B9" w14:textId="77777777" w:rsidR="00FC6F4F" w:rsidRPr="00136660" w:rsidRDefault="00FC6F4F" w:rsidP="00FC6F4F">
            <w:pPr>
              <w:pStyle w:val="ARtabletextright"/>
            </w:pPr>
            <w:r w:rsidRPr="00136660">
              <w:t>3</w:t>
            </w:r>
          </w:p>
        </w:tc>
        <w:tc>
          <w:tcPr>
            <w:tcW w:w="1247" w:type="dxa"/>
            <w:vAlign w:val="center"/>
          </w:tcPr>
          <w:p w14:paraId="5FF74181" w14:textId="77777777" w:rsidR="00FC6F4F" w:rsidRPr="00136660" w:rsidRDefault="00FC6F4F" w:rsidP="00FC6F4F">
            <w:pPr>
              <w:pStyle w:val="ARtabletextright"/>
            </w:pPr>
            <w:r w:rsidRPr="00136660">
              <w:t>17</w:t>
            </w:r>
          </w:p>
        </w:tc>
        <w:tc>
          <w:tcPr>
            <w:tcW w:w="1247" w:type="dxa"/>
            <w:vAlign w:val="center"/>
          </w:tcPr>
          <w:p w14:paraId="2B98EC13" w14:textId="77777777" w:rsidR="00FC6F4F" w:rsidRPr="00136660" w:rsidRDefault="00FC6F4F" w:rsidP="00FC6F4F">
            <w:pPr>
              <w:pStyle w:val="ARtabletextright"/>
            </w:pPr>
            <w:r w:rsidRPr="00136660">
              <w:t>28</w:t>
            </w:r>
          </w:p>
        </w:tc>
      </w:tr>
      <w:tr w:rsidR="00FC6F4F" w:rsidRPr="002029AF" w14:paraId="55F29050" w14:textId="77777777" w:rsidTr="00E62F5E">
        <w:trPr>
          <w:cantSplit/>
          <w:trHeight w:val="268"/>
        </w:trPr>
        <w:tc>
          <w:tcPr>
            <w:tcW w:w="2154" w:type="dxa"/>
          </w:tcPr>
          <w:p w14:paraId="754F11F7" w14:textId="77777777" w:rsidR="00FC6F4F" w:rsidRPr="00B15359" w:rsidRDefault="00FC6F4F" w:rsidP="00FC6F4F">
            <w:pPr>
              <w:pStyle w:val="ARtabletextbold"/>
            </w:pPr>
            <w:r w:rsidRPr="00B15359">
              <w:t>Total</w:t>
            </w:r>
          </w:p>
        </w:tc>
        <w:tc>
          <w:tcPr>
            <w:tcW w:w="1247" w:type="dxa"/>
            <w:vAlign w:val="center"/>
          </w:tcPr>
          <w:p w14:paraId="75712DB5" w14:textId="77777777" w:rsidR="00FC6F4F" w:rsidRPr="00B15359" w:rsidRDefault="00FC6F4F" w:rsidP="00FC6F4F">
            <w:pPr>
              <w:pStyle w:val="ARtabletextrightbold"/>
            </w:pPr>
            <w:r>
              <w:t>2,178</w:t>
            </w:r>
          </w:p>
        </w:tc>
        <w:tc>
          <w:tcPr>
            <w:tcW w:w="1247" w:type="dxa"/>
            <w:vAlign w:val="center"/>
          </w:tcPr>
          <w:p w14:paraId="11F3780F" w14:textId="77777777" w:rsidR="00FC6F4F" w:rsidRPr="00B15359" w:rsidRDefault="00FC6F4F" w:rsidP="00FC6F4F">
            <w:pPr>
              <w:pStyle w:val="ARtabletextrightbold"/>
            </w:pPr>
            <w:r>
              <w:t>5,192</w:t>
            </w:r>
          </w:p>
        </w:tc>
        <w:tc>
          <w:tcPr>
            <w:tcW w:w="1247" w:type="dxa"/>
            <w:vAlign w:val="center"/>
          </w:tcPr>
          <w:p w14:paraId="4451A24D" w14:textId="77777777" w:rsidR="00FC6F4F" w:rsidRPr="00136660" w:rsidRDefault="00FC6F4F" w:rsidP="00FC6F4F">
            <w:pPr>
              <w:pStyle w:val="ARtabletextrightbold"/>
            </w:pPr>
            <w:r w:rsidRPr="00136660">
              <w:t>2,</w:t>
            </w:r>
            <w:r>
              <w:t>290</w:t>
            </w:r>
          </w:p>
        </w:tc>
        <w:tc>
          <w:tcPr>
            <w:tcW w:w="1247" w:type="dxa"/>
            <w:vAlign w:val="center"/>
          </w:tcPr>
          <w:p w14:paraId="0ACC4F6C" w14:textId="77777777" w:rsidR="00FC6F4F" w:rsidRPr="00136660" w:rsidRDefault="00FC6F4F" w:rsidP="00FC6F4F">
            <w:pPr>
              <w:pStyle w:val="ARtabletextrightbold"/>
            </w:pPr>
            <w:r w:rsidRPr="00136660">
              <w:t>5,</w:t>
            </w:r>
            <w:r>
              <w:t>453</w:t>
            </w:r>
          </w:p>
        </w:tc>
        <w:tc>
          <w:tcPr>
            <w:tcW w:w="1247" w:type="dxa"/>
            <w:vAlign w:val="center"/>
          </w:tcPr>
          <w:p w14:paraId="5B0FA7D7" w14:textId="77777777" w:rsidR="00FC6F4F" w:rsidRPr="00136660" w:rsidRDefault="00FC6F4F" w:rsidP="00FC6F4F">
            <w:pPr>
              <w:pStyle w:val="ARtabletextrightbold"/>
            </w:pPr>
            <w:r w:rsidRPr="00136660">
              <w:t>2,</w:t>
            </w:r>
            <w:r>
              <w:t>737</w:t>
            </w:r>
          </w:p>
        </w:tc>
        <w:tc>
          <w:tcPr>
            <w:tcW w:w="1247" w:type="dxa"/>
            <w:vAlign w:val="center"/>
          </w:tcPr>
          <w:p w14:paraId="02A6D97F" w14:textId="77777777" w:rsidR="00FC6F4F" w:rsidRPr="00136660" w:rsidRDefault="00FC6F4F" w:rsidP="00FC6F4F">
            <w:pPr>
              <w:pStyle w:val="ARtabletextrightbold"/>
            </w:pPr>
            <w:r w:rsidRPr="00136660">
              <w:t>6,</w:t>
            </w:r>
            <w:r>
              <w:t>151</w:t>
            </w:r>
          </w:p>
        </w:tc>
      </w:tr>
    </w:tbl>
    <w:p w14:paraId="5597293A" w14:textId="0BFA024D" w:rsidR="00FC6F4F" w:rsidRPr="002029AF" w:rsidRDefault="00FC6F4F" w:rsidP="00897193">
      <w:pPr>
        <w:pStyle w:val="ARtablefootnote"/>
      </w:pPr>
      <w:r w:rsidRPr="002029AF">
        <w:t xml:space="preserve">Data includes corporate fleet vehicles managed by Ambulance Victoria, </w:t>
      </w:r>
      <w:r>
        <w:t>Mercy Public Hospitals Inc, St Vincent</w:t>
      </w:r>
      <w:r w:rsidR="007D145B">
        <w:t>’</w:t>
      </w:r>
      <w:r>
        <w:t>s Hospital Melbourne Pty Ltd, and public hospitals and</w:t>
      </w:r>
      <w:r w:rsidRPr="002029AF">
        <w:t xml:space="preserve"> health services </w:t>
      </w:r>
      <w:r>
        <w:t>on the VicFleet vehicle fleet contract</w:t>
      </w:r>
      <w:r w:rsidRPr="002029AF">
        <w:t>.</w:t>
      </w:r>
      <w:r>
        <w:t xml:space="preserve"> Some public hospitals and health services</w:t>
      </w:r>
      <w:r w:rsidRPr="002029AF">
        <w:t xml:space="preserve"> </w:t>
      </w:r>
      <w:r>
        <w:t>have not transitioned to the VicFleet contract and are excluded from this data.</w:t>
      </w:r>
    </w:p>
    <w:p w14:paraId="23157096" w14:textId="77777777" w:rsidR="00FC6F4F" w:rsidRPr="002029AF" w:rsidRDefault="00FC6F4F" w:rsidP="001C1AB1">
      <w:pPr>
        <w:pStyle w:val="Heading5"/>
      </w:pPr>
      <w:bookmarkStart w:id="663" w:name="_Toc85121331"/>
      <w:r w:rsidRPr="002029AF">
        <w:t>Air travel</w:t>
      </w:r>
      <w:bookmarkEnd w:id="663"/>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09"/>
        <w:gridCol w:w="1710"/>
        <w:gridCol w:w="1710"/>
        <w:gridCol w:w="1710"/>
      </w:tblGrid>
      <w:tr w:rsidR="00FC6F4F" w:rsidRPr="002029AF" w14:paraId="5B5A05DE" w14:textId="77777777" w:rsidTr="00FC6F4F">
        <w:trPr>
          <w:cantSplit/>
          <w:trHeight w:val="262"/>
          <w:tblHeader/>
        </w:trPr>
        <w:tc>
          <w:tcPr>
            <w:tcW w:w="4509" w:type="dxa"/>
            <w:vAlign w:val="bottom"/>
          </w:tcPr>
          <w:p w14:paraId="088CEE28" w14:textId="77777777" w:rsidR="00FC6F4F" w:rsidRPr="002029AF" w:rsidRDefault="00FC6F4F" w:rsidP="00FC6F4F">
            <w:pPr>
              <w:pStyle w:val="ARtablecolhead"/>
            </w:pPr>
            <w:r w:rsidRPr="002029AF">
              <w:t>Description</w:t>
            </w:r>
          </w:p>
        </w:tc>
        <w:tc>
          <w:tcPr>
            <w:tcW w:w="1710" w:type="dxa"/>
            <w:vAlign w:val="center"/>
          </w:tcPr>
          <w:p w14:paraId="219928D5" w14:textId="77777777" w:rsidR="00FC6F4F" w:rsidRPr="002029AF" w:rsidRDefault="00FC6F4F" w:rsidP="00FC6F4F">
            <w:pPr>
              <w:pStyle w:val="ARtablecolheadright"/>
            </w:pPr>
            <w:r w:rsidRPr="002029AF">
              <w:rPr>
                <w:color w:val="000000"/>
              </w:rPr>
              <w:t>20</w:t>
            </w:r>
            <w:r>
              <w:rPr>
                <w:color w:val="000000"/>
              </w:rPr>
              <w:t>20</w:t>
            </w:r>
            <w:r w:rsidRPr="002029AF">
              <w:rPr>
                <w:color w:val="000000"/>
              </w:rPr>
              <w:t>–2</w:t>
            </w:r>
            <w:r>
              <w:rPr>
                <w:color w:val="000000"/>
              </w:rPr>
              <w:t>1</w:t>
            </w:r>
            <w:r w:rsidRPr="002029AF">
              <w:rPr>
                <w:color w:val="000000"/>
              </w:rPr>
              <w:t xml:space="preserve"> actual</w:t>
            </w:r>
          </w:p>
        </w:tc>
        <w:tc>
          <w:tcPr>
            <w:tcW w:w="1710" w:type="dxa"/>
            <w:vAlign w:val="center"/>
          </w:tcPr>
          <w:p w14:paraId="0BC044FB" w14:textId="77777777" w:rsidR="00FC6F4F" w:rsidRPr="002029AF" w:rsidRDefault="00FC6F4F" w:rsidP="00FC6F4F">
            <w:pPr>
              <w:pStyle w:val="ARtablecolheadright"/>
              <w:rPr>
                <w:color w:val="000000"/>
              </w:rPr>
            </w:pPr>
            <w:r w:rsidRPr="002029AF">
              <w:rPr>
                <w:color w:val="000000"/>
              </w:rPr>
              <w:t>2019–20 actual</w:t>
            </w:r>
          </w:p>
        </w:tc>
        <w:tc>
          <w:tcPr>
            <w:tcW w:w="1710" w:type="dxa"/>
            <w:vAlign w:val="center"/>
          </w:tcPr>
          <w:p w14:paraId="6A22FD3D" w14:textId="77777777" w:rsidR="00FC6F4F" w:rsidRPr="002029AF" w:rsidRDefault="00FC6F4F" w:rsidP="00FC6F4F">
            <w:pPr>
              <w:pStyle w:val="ARtablecolheadright"/>
              <w:rPr>
                <w:color w:val="000000"/>
              </w:rPr>
            </w:pPr>
            <w:r w:rsidRPr="002029AF">
              <w:rPr>
                <w:color w:val="000000"/>
              </w:rPr>
              <w:t>2018–19 actual</w:t>
            </w:r>
          </w:p>
        </w:tc>
      </w:tr>
      <w:tr w:rsidR="00FC6F4F" w:rsidRPr="002029AF" w14:paraId="7BCE7D74" w14:textId="77777777" w:rsidTr="00FC6F4F">
        <w:trPr>
          <w:cantSplit/>
          <w:trHeight w:val="262"/>
        </w:trPr>
        <w:tc>
          <w:tcPr>
            <w:tcW w:w="4509" w:type="dxa"/>
          </w:tcPr>
          <w:p w14:paraId="27A00764" w14:textId="77777777" w:rsidR="00FC6F4F" w:rsidRPr="002029AF" w:rsidRDefault="00FC6F4F" w:rsidP="00FC6F4F">
            <w:pPr>
              <w:pStyle w:val="ARtabletext"/>
            </w:pPr>
            <w:r w:rsidRPr="002029AF">
              <w:t>Total distance travelled (kilometres)</w:t>
            </w:r>
          </w:p>
        </w:tc>
        <w:tc>
          <w:tcPr>
            <w:tcW w:w="1710" w:type="dxa"/>
            <w:vAlign w:val="center"/>
          </w:tcPr>
          <w:p w14:paraId="414856D4" w14:textId="77777777" w:rsidR="00FC6F4F" w:rsidRPr="002029AF" w:rsidRDefault="00FC6F4F" w:rsidP="00FC6F4F">
            <w:pPr>
              <w:pStyle w:val="ARtabletextright"/>
            </w:pPr>
            <w:r>
              <w:t>1,378,885</w:t>
            </w:r>
          </w:p>
        </w:tc>
        <w:tc>
          <w:tcPr>
            <w:tcW w:w="1710" w:type="dxa"/>
            <w:vAlign w:val="center"/>
          </w:tcPr>
          <w:p w14:paraId="0F37D225" w14:textId="77777777" w:rsidR="00FC6F4F" w:rsidRPr="002029AF" w:rsidRDefault="00FC6F4F" w:rsidP="00FC6F4F">
            <w:pPr>
              <w:pStyle w:val="ARtabletextright"/>
            </w:pPr>
            <w:r w:rsidRPr="002029AF">
              <w:t>5,328,191</w:t>
            </w:r>
          </w:p>
        </w:tc>
        <w:tc>
          <w:tcPr>
            <w:tcW w:w="1710" w:type="dxa"/>
            <w:vAlign w:val="center"/>
          </w:tcPr>
          <w:p w14:paraId="6B8581B9" w14:textId="77777777" w:rsidR="00FC6F4F" w:rsidRPr="002029AF" w:rsidRDefault="00FC6F4F" w:rsidP="00FC6F4F">
            <w:pPr>
              <w:pStyle w:val="ARtabletextright"/>
            </w:pPr>
            <w:r w:rsidRPr="002029AF">
              <w:t>7,993,873</w:t>
            </w:r>
          </w:p>
        </w:tc>
      </w:tr>
      <w:tr w:rsidR="00FC6F4F" w:rsidRPr="002029AF" w14:paraId="79F9474E" w14:textId="77777777" w:rsidTr="00FC6F4F">
        <w:trPr>
          <w:cantSplit/>
          <w:trHeight w:val="262"/>
        </w:trPr>
        <w:tc>
          <w:tcPr>
            <w:tcW w:w="4509" w:type="dxa"/>
          </w:tcPr>
          <w:p w14:paraId="3BAFD708" w14:textId="77777777" w:rsidR="00FC6F4F" w:rsidRPr="002029AF" w:rsidRDefault="00FC6F4F" w:rsidP="00FC6F4F">
            <w:pPr>
              <w:pStyle w:val="ARtabletext"/>
            </w:pPr>
            <w:r w:rsidRPr="002029AF">
              <w:t>Base fare cost ($ million)</w:t>
            </w:r>
          </w:p>
        </w:tc>
        <w:tc>
          <w:tcPr>
            <w:tcW w:w="1710" w:type="dxa"/>
            <w:vAlign w:val="center"/>
          </w:tcPr>
          <w:p w14:paraId="63D92C8A" w14:textId="77777777" w:rsidR="00FC6F4F" w:rsidRPr="002029AF" w:rsidRDefault="00FC6F4F" w:rsidP="00FC6F4F">
            <w:pPr>
              <w:pStyle w:val="ARtabletextright"/>
            </w:pPr>
            <w:r>
              <w:t>N/A</w:t>
            </w:r>
          </w:p>
        </w:tc>
        <w:tc>
          <w:tcPr>
            <w:tcW w:w="1710" w:type="dxa"/>
            <w:vAlign w:val="center"/>
          </w:tcPr>
          <w:p w14:paraId="1D8E93C9" w14:textId="77777777" w:rsidR="00FC6F4F" w:rsidRPr="002029AF" w:rsidRDefault="00FC6F4F" w:rsidP="00FC6F4F">
            <w:pPr>
              <w:pStyle w:val="ARtabletextright"/>
            </w:pPr>
            <w:r w:rsidRPr="002029AF">
              <w:t>$1.29</w:t>
            </w:r>
          </w:p>
        </w:tc>
        <w:tc>
          <w:tcPr>
            <w:tcW w:w="1710" w:type="dxa"/>
            <w:vAlign w:val="center"/>
          </w:tcPr>
          <w:p w14:paraId="01C83DD8" w14:textId="77777777" w:rsidR="00FC6F4F" w:rsidRPr="002029AF" w:rsidRDefault="00FC6F4F" w:rsidP="00FC6F4F">
            <w:pPr>
              <w:pStyle w:val="ARtabletextright"/>
            </w:pPr>
            <w:r w:rsidRPr="002029AF">
              <w:t>$1.94</w:t>
            </w:r>
          </w:p>
        </w:tc>
      </w:tr>
      <w:tr w:rsidR="00FC6F4F" w:rsidRPr="002029AF" w14:paraId="5F90F6BF" w14:textId="77777777" w:rsidTr="00FC6F4F">
        <w:trPr>
          <w:cantSplit/>
          <w:trHeight w:val="262"/>
        </w:trPr>
        <w:tc>
          <w:tcPr>
            <w:tcW w:w="4509" w:type="dxa"/>
          </w:tcPr>
          <w:p w14:paraId="6B31723F" w14:textId="77777777" w:rsidR="00FC6F4F" w:rsidRPr="002029AF" w:rsidRDefault="00FC6F4F" w:rsidP="00FC6F4F">
            <w:pPr>
              <w:pStyle w:val="ARtabletext"/>
            </w:pPr>
            <w:r w:rsidRPr="002029AF">
              <w:t>Greenhouse gas emissions (tonnes of CO</w:t>
            </w:r>
            <w:r w:rsidRPr="002029AF">
              <w:rPr>
                <w:vertAlign w:val="subscript"/>
              </w:rPr>
              <w:t>2</w:t>
            </w:r>
            <w:r w:rsidRPr="002029AF">
              <w:t>-e)</w:t>
            </w:r>
          </w:p>
        </w:tc>
        <w:tc>
          <w:tcPr>
            <w:tcW w:w="1710" w:type="dxa"/>
            <w:vAlign w:val="center"/>
          </w:tcPr>
          <w:p w14:paraId="62F8D5D8" w14:textId="77777777" w:rsidR="00FC6F4F" w:rsidRPr="002029AF" w:rsidRDefault="00FC6F4F" w:rsidP="00FC6F4F">
            <w:pPr>
              <w:pStyle w:val="ARtabletextright"/>
            </w:pPr>
            <w:r>
              <w:t>243</w:t>
            </w:r>
          </w:p>
        </w:tc>
        <w:tc>
          <w:tcPr>
            <w:tcW w:w="1710" w:type="dxa"/>
            <w:vAlign w:val="center"/>
          </w:tcPr>
          <w:p w14:paraId="7F309C27" w14:textId="77777777" w:rsidR="00FC6F4F" w:rsidRPr="002029AF" w:rsidRDefault="00FC6F4F" w:rsidP="00FC6F4F">
            <w:pPr>
              <w:pStyle w:val="ARtabletextright"/>
            </w:pPr>
            <w:r w:rsidRPr="002029AF">
              <w:t>972</w:t>
            </w:r>
          </w:p>
        </w:tc>
        <w:tc>
          <w:tcPr>
            <w:tcW w:w="1710" w:type="dxa"/>
            <w:vAlign w:val="center"/>
          </w:tcPr>
          <w:p w14:paraId="06E37876" w14:textId="77777777" w:rsidR="00FC6F4F" w:rsidRPr="002029AF" w:rsidRDefault="00FC6F4F" w:rsidP="00FC6F4F">
            <w:pPr>
              <w:pStyle w:val="ARtabletextright"/>
            </w:pPr>
            <w:r w:rsidRPr="002029AF">
              <w:t>1,620</w:t>
            </w:r>
          </w:p>
        </w:tc>
      </w:tr>
    </w:tbl>
    <w:p w14:paraId="5756D9D9" w14:textId="649D34A9" w:rsidR="00FC6F4F" w:rsidRPr="002029AF" w:rsidRDefault="00FC6F4F" w:rsidP="00897193">
      <w:pPr>
        <w:pStyle w:val="ARtablefootnote"/>
      </w:pPr>
      <w:r>
        <w:t xml:space="preserve">Air travel data represents all operational and office-based FTE. Base fare cost excludes GST and </w:t>
      </w:r>
      <w:r w:rsidR="00FA61DE">
        <w:t xml:space="preserve">is </w:t>
      </w:r>
      <w:r>
        <w:t xml:space="preserve">not available for </w:t>
      </w:r>
      <w:r w:rsidR="00FA61DE">
        <w:t>20</w:t>
      </w:r>
      <w:r>
        <w:t>2</w:t>
      </w:r>
      <w:r w:rsidR="00177286">
        <w:t>0–</w:t>
      </w:r>
      <w:r>
        <w:t>21.</w:t>
      </w:r>
    </w:p>
    <w:p w14:paraId="39F03937" w14:textId="77777777" w:rsidR="00FC6F4F" w:rsidRPr="002029AF" w:rsidRDefault="00FC6F4F" w:rsidP="001C1AB1">
      <w:pPr>
        <w:pStyle w:val="Heading5"/>
      </w:pPr>
      <w:bookmarkStart w:id="664" w:name="_Toc85121332"/>
      <w:r w:rsidRPr="002029AF">
        <w:t>Commuter travel</w:t>
      </w:r>
      <w:bookmarkEnd w:id="664"/>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36"/>
        <w:gridCol w:w="1701"/>
        <w:gridCol w:w="1701"/>
        <w:gridCol w:w="1701"/>
      </w:tblGrid>
      <w:tr w:rsidR="00FC6F4F" w:rsidRPr="002029AF" w14:paraId="1F2B320F" w14:textId="77777777" w:rsidTr="007126D4">
        <w:trPr>
          <w:cantSplit/>
          <w:trHeight w:val="309"/>
          <w:tblHeader/>
        </w:trPr>
        <w:tc>
          <w:tcPr>
            <w:tcW w:w="4536" w:type="dxa"/>
            <w:vAlign w:val="bottom"/>
          </w:tcPr>
          <w:p w14:paraId="4FCFD596" w14:textId="77777777" w:rsidR="00FC6F4F" w:rsidRPr="002029AF" w:rsidRDefault="00FC6F4F" w:rsidP="00FC6F4F">
            <w:pPr>
              <w:pStyle w:val="ARtablecolhead"/>
            </w:pPr>
            <w:r w:rsidRPr="002029AF">
              <w:t>Percentage of employees regularly using sustainable travel (public transport, cycling, walking, car-pooling or working from home) to commute</w:t>
            </w:r>
          </w:p>
        </w:tc>
        <w:tc>
          <w:tcPr>
            <w:tcW w:w="1701" w:type="dxa"/>
            <w:vAlign w:val="bottom"/>
          </w:tcPr>
          <w:p w14:paraId="7341B6D4" w14:textId="77777777" w:rsidR="00FC6F4F" w:rsidRPr="002029AF" w:rsidRDefault="00FC6F4F" w:rsidP="00FC6F4F">
            <w:pPr>
              <w:pStyle w:val="ARtablecolheadright"/>
            </w:pPr>
            <w:r w:rsidRPr="002029AF">
              <w:rPr>
                <w:color w:val="000000"/>
              </w:rPr>
              <w:t>20</w:t>
            </w:r>
            <w:r>
              <w:rPr>
                <w:color w:val="000000"/>
              </w:rPr>
              <w:t>20</w:t>
            </w:r>
            <w:r w:rsidRPr="002029AF">
              <w:rPr>
                <w:color w:val="000000"/>
              </w:rPr>
              <w:t>–2</w:t>
            </w:r>
            <w:r>
              <w:rPr>
                <w:color w:val="000000"/>
              </w:rPr>
              <w:t>1</w:t>
            </w:r>
            <w:r w:rsidRPr="002029AF">
              <w:rPr>
                <w:color w:val="000000"/>
              </w:rPr>
              <w:t xml:space="preserve"> estimate</w:t>
            </w:r>
          </w:p>
        </w:tc>
        <w:tc>
          <w:tcPr>
            <w:tcW w:w="1701" w:type="dxa"/>
            <w:vAlign w:val="bottom"/>
          </w:tcPr>
          <w:p w14:paraId="3B0FCCF7" w14:textId="77777777" w:rsidR="00FC6F4F" w:rsidRPr="002029AF" w:rsidRDefault="00FC6F4F" w:rsidP="00FC6F4F">
            <w:pPr>
              <w:pStyle w:val="ARtablecolheadright"/>
            </w:pPr>
            <w:r w:rsidRPr="002029AF">
              <w:rPr>
                <w:color w:val="000000"/>
              </w:rPr>
              <w:t>2019–20 estimate</w:t>
            </w:r>
          </w:p>
        </w:tc>
        <w:tc>
          <w:tcPr>
            <w:tcW w:w="1701" w:type="dxa"/>
            <w:vAlign w:val="bottom"/>
          </w:tcPr>
          <w:p w14:paraId="6836F393" w14:textId="77777777" w:rsidR="00FC6F4F" w:rsidRPr="002029AF" w:rsidRDefault="00FC6F4F" w:rsidP="00FC6F4F">
            <w:pPr>
              <w:pStyle w:val="ARtablecolheadright"/>
            </w:pPr>
            <w:r w:rsidRPr="002029AF">
              <w:rPr>
                <w:color w:val="000000"/>
              </w:rPr>
              <w:t>2018–19 estimate</w:t>
            </w:r>
          </w:p>
        </w:tc>
      </w:tr>
      <w:tr w:rsidR="00FC6F4F" w:rsidRPr="002029AF" w14:paraId="0E55FB4D" w14:textId="77777777" w:rsidTr="00325283">
        <w:trPr>
          <w:cantSplit/>
          <w:trHeight w:val="107"/>
        </w:trPr>
        <w:tc>
          <w:tcPr>
            <w:tcW w:w="4536" w:type="dxa"/>
          </w:tcPr>
          <w:p w14:paraId="572C3341" w14:textId="77777777" w:rsidR="00FC6F4F" w:rsidRPr="002029AF" w:rsidRDefault="00FC6F4F" w:rsidP="00FC6F4F">
            <w:pPr>
              <w:pStyle w:val="ARtabletext"/>
            </w:pPr>
            <w:r w:rsidRPr="002029AF">
              <w:t>Central business district</w:t>
            </w:r>
          </w:p>
        </w:tc>
        <w:tc>
          <w:tcPr>
            <w:tcW w:w="1701" w:type="dxa"/>
            <w:vAlign w:val="center"/>
          </w:tcPr>
          <w:p w14:paraId="55B71B3B" w14:textId="77777777" w:rsidR="00FC6F4F" w:rsidRPr="002029AF" w:rsidRDefault="00FC6F4F" w:rsidP="00FC6F4F">
            <w:pPr>
              <w:pStyle w:val="ARtabletextright"/>
            </w:pPr>
            <w:r w:rsidRPr="002029AF">
              <w:t>N/A</w:t>
            </w:r>
          </w:p>
        </w:tc>
        <w:tc>
          <w:tcPr>
            <w:tcW w:w="1701" w:type="dxa"/>
            <w:vAlign w:val="center"/>
          </w:tcPr>
          <w:p w14:paraId="6C9C7F5F" w14:textId="77777777" w:rsidR="00FC6F4F" w:rsidRPr="002029AF" w:rsidRDefault="00FC6F4F" w:rsidP="00FC6F4F">
            <w:pPr>
              <w:pStyle w:val="ARtabletextright"/>
            </w:pPr>
            <w:r w:rsidRPr="002029AF">
              <w:t>N/A</w:t>
            </w:r>
          </w:p>
        </w:tc>
        <w:tc>
          <w:tcPr>
            <w:tcW w:w="1701" w:type="dxa"/>
            <w:vAlign w:val="center"/>
          </w:tcPr>
          <w:p w14:paraId="4ACF50A7" w14:textId="77777777" w:rsidR="00FC6F4F" w:rsidRPr="002029AF" w:rsidRDefault="00FC6F4F" w:rsidP="00FC6F4F">
            <w:pPr>
              <w:pStyle w:val="ARtabletextright"/>
            </w:pPr>
            <w:r w:rsidRPr="002029AF">
              <w:t>96%</w:t>
            </w:r>
          </w:p>
        </w:tc>
      </w:tr>
      <w:tr w:rsidR="00FC6F4F" w:rsidRPr="002029AF" w14:paraId="736CB7F5" w14:textId="77777777" w:rsidTr="00325283">
        <w:trPr>
          <w:cantSplit/>
          <w:trHeight w:val="107"/>
        </w:trPr>
        <w:tc>
          <w:tcPr>
            <w:tcW w:w="4536" w:type="dxa"/>
          </w:tcPr>
          <w:p w14:paraId="13966A47" w14:textId="77777777" w:rsidR="00FC6F4F" w:rsidRPr="002029AF" w:rsidRDefault="00FC6F4F" w:rsidP="00FC6F4F">
            <w:pPr>
              <w:pStyle w:val="ARtabletext"/>
            </w:pPr>
            <w:r w:rsidRPr="002029AF">
              <w:t>Metropolitan</w:t>
            </w:r>
          </w:p>
        </w:tc>
        <w:tc>
          <w:tcPr>
            <w:tcW w:w="1701" w:type="dxa"/>
            <w:vAlign w:val="center"/>
          </w:tcPr>
          <w:p w14:paraId="0C77ED34" w14:textId="77777777" w:rsidR="00FC6F4F" w:rsidRPr="002029AF" w:rsidRDefault="00FC6F4F" w:rsidP="00FC6F4F">
            <w:pPr>
              <w:pStyle w:val="ARtabletextright"/>
            </w:pPr>
            <w:r w:rsidRPr="002029AF">
              <w:t>N/A</w:t>
            </w:r>
          </w:p>
        </w:tc>
        <w:tc>
          <w:tcPr>
            <w:tcW w:w="1701" w:type="dxa"/>
            <w:vAlign w:val="center"/>
          </w:tcPr>
          <w:p w14:paraId="6FD39B56" w14:textId="77777777" w:rsidR="00FC6F4F" w:rsidRPr="002029AF" w:rsidRDefault="00FC6F4F" w:rsidP="00FC6F4F">
            <w:pPr>
              <w:pStyle w:val="ARtabletextright"/>
            </w:pPr>
            <w:r w:rsidRPr="002029AF">
              <w:t>N/A</w:t>
            </w:r>
          </w:p>
        </w:tc>
        <w:tc>
          <w:tcPr>
            <w:tcW w:w="1701" w:type="dxa"/>
            <w:vAlign w:val="center"/>
          </w:tcPr>
          <w:p w14:paraId="23FB1BF8" w14:textId="77777777" w:rsidR="00FC6F4F" w:rsidRPr="002029AF" w:rsidRDefault="00FC6F4F" w:rsidP="00FC6F4F">
            <w:pPr>
              <w:pStyle w:val="ARtabletextright"/>
            </w:pPr>
            <w:r w:rsidRPr="002029AF">
              <w:t>67%</w:t>
            </w:r>
          </w:p>
        </w:tc>
      </w:tr>
      <w:tr w:rsidR="00FC6F4F" w:rsidRPr="002029AF" w14:paraId="683F4A5A" w14:textId="77777777" w:rsidTr="00325283">
        <w:trPr>
          <w:cantSplit/>
          <w:trHeight w:val="107"/>
        </w:trPr>
        <w:tc>
          <w:tcPr>
            <w:tcW w:w="4536" w:type="dxa"/>
          </w:tcPr>
          <w:p w14:paraId="2CDA1B0E" w14:textId="77777777" w:rsidR="00FC6F4F" w:rsidRPr="002029AF" w:rsidRDefault="00FC6F4F" w:rsidP="00FC6F4F">
            <w:pPr>
              <w:pStyle w:val="ARtabletext"/>
            </w:pPr>
            <w:r w:rsidRPr="002029AF">
              <w:t>Regional/rural</w:t>
            </w:r>
          </w:p>
        </w:tc>
        <w:tc>
          <w:tcPr>
            <w:tcW w:w="1701" w:type="dxa"/>
            <w:vAlign w:val="center"/>
          </w:tcPr>
          <w:p w14:paraId="464CB50A" w14:textId="77777777" w:rsidR="00FC6F4F" w:rsidRPr="002029AF" w:rsidRDefault="00FC6F4F" w:rsidP="00FC6F4F">
            <w:pPr>
              <w:pStyle w:val="ARtabletextright"/>
            </w:pPr>
            <w:r w:rsidRPr="002029AF">
              <w:t>N/A</w:t>
            </w:r>
          </w:p>
        </w:tc>
        <w:tc>
          <w:tcPr>
            <w:tcW w:w="1701" w:type="dxa"/>
            <w:vAlign w:val="center"/>
          </w:tcPr>
          <w:p w14:paraId="07CA0904" w14:textId="77777777" w:rsidR="00FC6F4F" w:rsidRPr="002029AF" w:rsidRDefault="00FC6F4F" w:rsidP="00FC6F4F">
            <w:pPr>
              <w:pStyle w:val="ARtabletextright"/>
            </w:pPr>
            <w:r w:rsidRPr="002029AF">
              <w:t>N/A</w:t>
            </w:r>
          </w:p>
        </w:tc>
        <w:tc>
          <w:tcPr>
            <w:tcW w:w="1701" w:type="dxa"/>
            <w:vAlign w:val="center"/>
          </w:tcPr>
          <w:p w14:paraId="6CC8A3C2" w14:textId="77777777" w:rsidR="00FC6F4F" w:rsidRPr="002029AF" w:rsidRDefault="00FC6F4F" w:rsidP="00FC6F4F">
            <w:pPr>
              <w:pStyle w:val="ARtabletextright"/>
            </w:pPr>
            <w:r w:rsidRPr="002029AF">
              <w:t>45%</w:t>
            </w:r>
          </w:p>
        </w:tc>
      </w:tr>
      <w:tr w:rsidR="00FC6F4F" w:rsidRPr="002029AF" w14:paraId="27EB4D40" w14:textId="77777777" w:rsidTr="00325283">
        <w:trPr>
          <w:cantSplit/>
          <w:trHeight w:val="107"/>
        </w:trPr>
        <w:tc>
          <w:tcPr>
            <w:tcW w:w="4536" w:type="dxa"/>
          </w:tcPr>
          <w:p w14:paraId="5F1448B8" w14:textId="77777777" w:rsidR="00FC6F4F" w:rsidRPr="002029AF" w:rsidRDefault="00FC6F4F" w:rsidP="00FC6F4F">
            <w:pPr>
              <w:pStyle w:val="ARtabletext"/>
              <w:rPr>
                <w:b/>
              </w:rPr>
            </w:pPr>
            <w:r w:rsidRPr="002029AF">
              <w:rPr>
                <w:b/>
              </w:rPr>
              <w:t>Total</w:t>
            </w:r>
          </w:p>
        </w:tc>
        <w:tc>
          <w:tcPr>
            <w:tcW w:w="1701" w:type="dxa"/>
            <w:vAlign w:val="center"/>
          </w:tcPr>
          <w:p w14:paraId="28369582" w14:textId="77777777" w:rsidR="00FC6F4F" w:rsidRPr="002029AF" w:rsidRDefault="00FC6F4F" w:rsidP="00FC6F4F">
            <w:pPr>
              <w:pStyle w:val="ARtabletextrightbold"/>
            </w:pPr>
            <w:r w:rsidRPr="002029AF">
              <w:t>N/A</w:t>
            </w:r>
          </w:p>
        </w:tc>
        <w:tc>
          <w:tcPr>
            <w:tcW w:w="1701" w:type="dxa"/>
            <w:vAlign w:val="center"/>
          </w:tcPr>
          <w:p w14:paraId="51126DD3" w14:textId="77777777" w:rsidR="00FC6F4F" w:rsidRPr="002029AF" w:rsidRDefault="00FC6F4F" w:rsidP="00FC6F4F">
            <w:pPr>
              <w:pStyle w:val="ARtabletextrightbold"/>
            </w:pPr>
            <w:r w:rsidRPr="002029AF">
              <w:t>N/A</w:t>
            </w:r>
          </w:p>
        </w:tc>
        <w:tc>
          <w:tcPr>
            <w:tcW w:w="1701" w:type="dxa"/>
            <w:vAlign w:val="center"/>
          </w:tcPr>
          <w:p w14:paraId="4B0C0A13" w14:textId="77777777" w:rsidR="00FC6F4F" w:rsidRPr="002029AF" w:rsidRDefault="00FC6F4F" w:rsidP="00FC6F4F">
            <w:pPr>
              <w:pStyle w:val="ARtabletextrightbold"/>
            </w:pPr>
            <w:r w:rsidRPr="002029AF">
              <w:t>88%</w:t>
            </w:r>
          </w:p>
        </w:tc>
      </w:tr>
    </w:tbl>
    <w:p w14:paraId="08FF5BA2" w14:textId="04BCE895" w:rsidR="00FC6F4F" w:rsidRPr="002029AF" w:rsidRDefault="00FC6F4F" w:rsidP="00897193">
      <w:pPr>
        <w:pStyle w:val="ARtablefootnote"/>
      </w:pPr>
      <w:r>
        <w:t>Sustainable transport data is obtained from the department</w:t>
      </w:r>
      <w:r w:rsidR="007D145B">
        <w:t>’</w:t>
      </w:r>
      <w:r>
        <w:t>s annual staff travel survey. Due to the impact of COVID-19, no survey was undertaken in the 2020–21 financial year. Previous results exclude responses from surveyed staff who were on leave or did not travel to work during the survey period.</w:t>
      </w:r>
    </w:p>
    <w:p w14:paraId="476AFEFD" w14:textId="77777777" w:rsidR="00FC6F4F" w:rsidRPr="002029AF" w:rsidRDefault="00FC6F4F" w:rsidP="001C1AB1">
      <w:pPr>
        <w:pStyle w:val="Heading4"/>
      </w:pPr>
      <w:bookmarkStart w:id="665" w:name="_Toc51786528"/>
      <w:bookmarkStart w:id="666" w:name="_Toc85121333"/>
      <w:r w:rsidRPr="002029AF">
        <w:t>Procurement and paper</w:t>
      </w:r>
      <w:bookmarkEnd w:id="665"/>
      <w:bookmarkEnd w:id="666"/>
    </w:p>
    <w:p w14:paraId="6EC4FF08" w14:textId="77777777" w:rsidR="00FC6F4F" w:rsidRPr="002029AF" w:rsidRDefault="00FC6F4F" w:rsidP="001C1AB1">
      <w:pPr>
        <w:pStyle w:val="Heading5"/>
      </w:pPr>
      <w:bookmarkStart w:id="667" w:name="_Toc85121334"/>
      <w:r w:rsidRPr="002029AF">
        <w:t>Procurement of office products and stationery with environmental considerations from departmental operations</w:t>
      </w:r>
      <w:bookmarkEnd w:id="667"/>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36"/>
        <w:gridCol w:w="1701"/>
        <w:gridCol w:w="1701"/>
        <w:gridCol w:w="1701"/>
      </w:tblGrid>
      <w:tr w:rsidR="00FC6F4F" w:rsidRPr="002029AF" w14:paraId="0F9BEC57" w14:textId="77777777" w:rsidTr="00FC6F4F">
        <w:trPr>
          <w:cantSplit/>
          <w:tblHeader/>
        </w:trPr>
        <w:tc>
          <w:tcPr>
            <w:tcW w:w="4536" w:type="dxa"/>
            <w:vAlign w:val="bottom"/>
          </w:tcPr>
          <w:p w14:paraId="1678CEEB" w14:textId="77777777" w:rsidR="00FC6F4F" w:rsidRPr="002029AF" w:rsidRDefault="00FC6F4F" w:rsidP="00FC6F4F">
            <w:pPr>
              <w:pStyle w:val="ARtablecolhead"/>
            </w:pPr>
            <w:r w:rsidRPr="002029AF">
              <w:t>Percentage of expenditure incorporating environmental considerations</w:t>
            </w:r>
          </w:p>
        </w:tc>
        <w:tc>
          <w:tcPr>
            <w:tcW w:w="1701" w:type="dxa"/>
            <w:vAlign w:val="bottom"/>
          </w:tcPr>
          <w:p w14:paraId="33A6CE56" w14:textId="77777777" w:rsidR="00FC6F4F" w:rsidRPr="002029AF" w:rsidRDefault="00FC6F4F" w:rsidP="00FC6F4F">
            <w:pPr>
              <w:pStyle w:val="ARtablecolheadright"/>
            </w:pPr>
            <w:r w:rsidRPr="002029AF">
              <w:rPr>
                <w:color w:val="000000"/>
              </w:rPr>
              <w:t>20</w:t>
            </w:r>
            <w:r>
              <w:rPr>
                <w:color w:val="000000"/>
              </w:rPr>
              <w:t>20</w:t>
            </w:r>
            <w:r w:rsidRPr="002029AF">
              <w:rPr>
                <w:color w:val="000000"/>
              </w:rPr>
              <w:t>–2</w:t>
            </w:r>
            <w:r>
              <w:rPr>
                <w:color w:val="000000"/>
              </w:rPr>
              <w:t>1</w:t>
            </w:r>
            <w:r w:rsidRPr="002029AF">
              <w:rPr>
                <w:color w:val="000000"/>
              </w:rPr>
              <w:t xml:space="preserve"> actual</w:t>
            </w:r>
          </w:p>
        </w:tc>
        <w:tc>
          <w:tcPr>
            <w:tcW w:w="1701" w:type="dxa"/>
            <w:vAlign w:val="bottom"/>
          </w:tcPr>
          <w:p w14:paraId="21467F3A" w14:textId="77777777" w:rsidR="00FC6F4F" w:rsidRPr="002029AF" w:rsidRDefault="00FC6F4F" w:rsidP="00FC6F4F">
            <w:pPr>
              <w:pStyle w:val="ARtablecolheadright"/>
              <w:rPr>
                <w:color w:val="000000"/>
              </w:rPr>
            </w:pPr>
            <w:r w:rsidRPr="002029AF">
              <w:rPr>
                <w:color w:val="000000"/>
              </w:rPr>
              <w:t>2019–20 actual</w:t>
            </w:r>
          </w:p>
        </w:tc>
        <w:tc>
          <w:tcPr>
            <w:tcW w:w="1701" w:type="dxa"/>
            <w:vAlign w:val="bottom"/>
          </w:tcPr>
          <w:p w14:paraId="288BA093" w14:textId="77777777" w:rsidR="00FC6F4F" w:rsidRPr="002029AF" w:rsidRDefault="00FC6F4F" w:rsidP="00FC6F4F">
            <w:pPr>
              <w:pStyle w:val="ARtablecolheadright"/>
              <w:rPr>
                <w:color w:val="000000"/>
              </w:rPr>
            </w:pPr>
            <w:r w:rsidRPr="002029AF">
              <w:rPr>
                <w:color w:val="000000"/>
              </w:rPr>
              <w:t>2018–19 actual</w:t>
            </w:r>
          </w:p>
        </w:tc>
      </w:tr>
      <w:tr w:rsidR="00FC6F4F" w:rsidRPr="002029AF" w14:paraId="6CF08C49" w14:textId="77777777" w:rsidTr="00FC6F4F">
        <w:trPr>
          <w:cantSplit/>
        </w:trPr>
        <w:tc>
          <w:tcPr>
            <w:tcW w:w="4536" w:type="dxa"/>
          </w:tcPr>
          <w:p w14:paraId="6BC67D46" w14:textId="77777777" w:rsidR="00FC6F4F" w:rsidRPr="002029AF" w:rsidRDefault="00FC6F4F" w:rsidP="00FC6F4F">
            <w:pPr>
              <w:pStyle w:val="ARtabletext"/>
            </w:pPr>
            <w:r w:rsidRPr="002029AF">
              <w:t>Furniture</w:t>
            </w:r>
          </w:p>
        </w:tc>
        <w:tc>
          <w:tcPr>
            <w:tcW w:w="1701" w:type="dxa"/>
            <w:vAlign w:val="center"/>
          </w:tcPr>
          <w:p w14:paraId="38C0E50F" w14:textId="77777777" w:rsidR="00FC6F4F" w:rsidRPr="002029AF" w:rsidRDefault="00FC6F4F" w:rsidP="00FC6F4F">
            <w:pPr>
              <w:pStyle w:val="ARtabletextright"/>
            </w:pPr>
            <w:r>
              <w:t>43%</w:t>
            </w:r>
          </w:p>
        </w:tc>
        <w:tc>
          <w:tcPr>
            <w:tcW w:w="1701" w:type="dxa"/>
            <w:vAlign w:val="center"/>
          </w:tcPr>
          <w:p w14:paraId="5B204963" w14:textId="77777777" w:rsidR="00FC6F4F" w:rsidRPr="002029AF" w:rsidRDefault="00FC6F4F" w:rsidP="00FC6F4F">
            <w:pPr>
              <w:pStyle w:val="ARtabletextright"/>
            </w:pPr>
            <w:r w:rsidRPr="002029AF">
              <w:t>38%</w:t>
            </w:r>
          </w:p>
        </w:tc>
        <w:tc>
          <w:tcPr>
            <w:tcW w:w="1701" w:type="dxa"/>
            <w:vAlign w:val="center"/>
          </w:tcPr>
          <w:p w14:paraId="00AC4C1C" w14:textId="77777777" w:rsidR="00FC6F4F" w:rsidRPr="002029AF" w:rsidRDefault="00FC6F4F" w:rsidP="00FC6F4F">
            <w:pPr>
              <w:pStyle w:val="ARtabletextright"/>
            </w:pPr>
            <w:r w:rsidRPr="002029AF">
              <w:t>32%</w:t>
            </w:r>
          </w:p>
        </w:tc>
      </w:tr>
      <w:tr w:rsidR="00FC6F4F" w:rsidRPr="002029AF" w14:paraId="40AF3FA0" w14:textId="77777777" w:rsidTr="00FC6F4F">
        <w:trPr>
          <w:cantSplit/>
        </w:trPr>
        <w:tc>
          <w:tcPr>
            <w:tcW w:w="4536" w:type="dxa"/>
          </w:tcPr>
          <w:p w14:paraId="6342BC9D" w14:textId="77777777" w:rsidR="00FC6F4F" w:rsidRPr="002029AF" w:rsidRDefault="00FC6F4F" w:rsidP="00FC6F4F">
            <w:pPr>
              <w:pStyle w:val="ARtabletext"/>
            </w:pPr>
            <w:r w:rsidRPr="002029AF">
              <w:t>Kitchen</w:t>
            </w:r>
          </w:p>
        </w:tc>
        <w:tc>
          <w:tcPr>
            <w:tcW w:w="1701" w:type="dxa"/>
            <w:vAlign w:val="center"/>
          </w:tcPr>
          <w:p w14:paraId="124AAE3A" w14:textId="77777777" w:rsidR="00FC6F4F" w:rsidRPr="002029AF" w:rsidRDefault="00FC6F4F" w:rsidP="00FC6F4F">
            <w:pPr>
              <w:pStyle w:val="ARtabletextright"/>
            </w:pPr>
            <w:r>
              <w:t>13%</w:t>
            </w:r>
          </w:p>
        </w:tc>
        <w:tc>
          <w:tcPr>
            <w:tcW w:w="1701" w:type="dxa"/>
            <w:vAlign w:val="center"/>
          </w:tcPr>
          <w:p w14:paraId="560A9CB8" w14:textId="77777777" w:rsidR="00FC6F4F" w:rsidRPr="002029AF" w:rsidRDefault="00FC6F4F" w:rsidP="00FC6F4F">
            <w:pPr>
              <w:pStyle w:val="ARtabletextright"/>
            </w:pPr>
            <w:r w:rsidRPr="002029AF">
              <w:t>20%</w:t>
            </w:r>
          </w:p>
        </w:tc>
        <w:tc>
          <w:tcPr>
            <w:tcW w:w="1701" w:type="dxa"/>
            <w:vAlign w:val="center"/>
          </w:tcPr>
          <w:p w14:paraId="702B1AC7" w14:textId="77777777" w:rsidR="00FC6F4F" w:rsidRPr="002029AF" w:rsidRDefault="00FC6F4F" w:rsidP="00FC6F4F">
            <w:pPr>
              <w:pStyle w:val="ARtabletextright"/>
            </w:pPr>
            <w:r w:rsidRPr="002029AF">
              <w:t>19%</w:t>
            </w:r>
          </w:p>
        </w:tc>
      </w:tr>
      <w:tr w:rsidR="00FC6F4F" w:rsidRPr="002029AF" w14:paraId="6E885465" w14:textId="77777777" w:rsidTr="00FC6F4F">
        <w:trPr>
          <w:cantSplit/>
        </w:trPr>
        <w:tc>
          <w:tcPr>
            <w:tcW w:w="4536" w:type="dxa"/>
          </w:tcPr>
          <w:p w14:paraId="1E28B65E" w14:textId="77777777" w:rsidR="00FC6F4F" w:rsidRPr="002029AF" w:rsidRDefault="00FC6F4F" w:rsidP="00FC6F4F">
            <w:pPr>
              <w:pStyle w:val="ARtabletext"/>
            </w:pPr>
            <w:r w:rsidRPr="002029AF">
              <w:t>Facilities solutions</w:t>
            </w:r>
          </w:p>
        </w:tc>
        <w:tc>
          <w:tcPr>
            <w:tcW w:w="1701" w:type="dxa"/>
            <w:vAlign w:val="center"/>
          </w:tcPr>
          <w:p w14:paraId="1AE8F471" w14:textId="77777777" w:rsidR="00FC6F4F" w:rsidRPr="002029AF" w:rsidRDefault="00FC6F4F" w:rsidP="00FC6F4F">
            <w:pPr>
              <w:pStyle w:val="ARtabletextright"/>
            </w:pPr>
            <w:r>
              <w:t>10%</w:t>
            </w:r>
          </w:p>
        </w:tc>
        <w:tc>
          <w:tcPr>
            <w:tcW w:w="1701" w:type="dxa"/>
            <w:vAlign w:val="center"/>
          </w:tcPr>
          <w:p w14:paraId="75F640AE" w14:textId="77777777" w:rsidR="00FC6F4F" w:rsidRPr="002029AF" w:rsidRDefault="00FC6F4F" w:rsidP="00FC6F4F">
            <w:pPr>
              <w:pStyle w:val="ARtabletextright"/>
            </w:pPr>
            <w:r w:rsidRPr="002029AF">
              <w:t>10%</w:t>
            </w:r>
          </w:p>
        </w:tc>
        <w:tc>
          <w:tcPr>
            <w:tcW w:w="1701" w:type="dxa"/>
            <w:vAlign w:val="center"/>
          </w:tcPr>
          <w:p w14:paraId="031C44CE" w14:textId="77777777" w:rsidR="00FC6F4F" w:rsidRPr="002029AF" w:rsidRDefault="00FC6F4F" w:rsidP="00FC6F4F">
            <w:pPr>
              <w:pStyle w:val="ARtabletextright"/>
            </w:pPr>
            <w:r w:rsidRPr="002029AF">
              <w:t>27%</w:t>
            </w:r>
          </w:p>
        </w:tc>
      </w:tr>
      <w:tr w:rsidR="00FC6F4F" w:rsidRPr="002029AF" w14:paraId="70B7D7D1" w14:textId="77777777" w:rsidTr="00FC6F4F">
        <w:trPr>
          <w:cantSplit/>
        </w:trPr>
        <w:tc>
          <w:tcPr>
            <w:tcW w:w="4536" w:type="dxa"/>
          </w:tcPr>
          <w:p w14:paraId="7F1AA46B" w14:textId="77777777" w:rsidR="00FC6F4F" w:rsidRPr="002029AF" w:rsidRDefault="00FC6F4F" w:rsidP="00FC6F4F">
            <w:pPr>
              <w:pStyle w:val="ARtabletext"/>
            </w:pPr>
            <w:r w:rsidRPr="002029AF">
              <w:t>Office products</w:t>
            </w:r>
          </w:p>
        </w:tc>
        <w:tc>
          <w:tcPr>
            <w:tcW w:w="1701" w:type="dxa"/>
            <w:vAlign w:val="center"/>
          </w:tcPr>
          <w:p w14:paraId="3C22AC36" w14:textId="77777777" w:rsidR="00FC6F4F" w:rsidRPr="002029AF" w:rsidRDefault="00FC6F4F" w:rsidP="00FC6F4F">
            <w:pPr>
              <w:pStyle w:val="ARtabletextright"/>
            </w:pPr>
            <w:r>
              <w:t>23%</w:t>
            </w:r>
          </w:p>
        </w:tc>
        <w:tc>
          <w:tcPr>
            <w:tcW w:w="1701" w:type="dxa"/>
            <w:vAlign w:val="center"/>
          </w:tcPr>
          <w:p w14:paraId="19355987" w14:textId="77777777" w:rsidR="00FC6F4F" w:rsidRPr="002029AF" w:rsidRDefault="00FC6F4F" w:rsidP="00FC6F4F">
            <w:pPr>
              <w:pStyle w:val="ARtabletextright"/>
            </w:pPr>
            <w:r w:rsidRPr="002029AF">
              <w:t>11%</w:t>
            </w:r>
          </w:p>
        </w:tc>
        <w:tc>
          <w:tcPr>
            <w:tcW w:w="1701" w:type="dxa"/>
            <w:vAlign w:val="center"/>
          </w:tcPr>
          <w:p w14:paraId="2EB85594" w14:textId="77777777" w:rsidR="00FC6F4F" w:rsidRPr="002029AF" w:rsidRDefault="00FC6F4F" w:rsidP="00FC6F4F">
            <w:pPr>
              <w:pStyle w:val="ARtabletextright"/>
            </w:pPr>
            <w:r w:rsidRPr="002029AF">
              <w:t>14%</w:t>
            </w:r>
          </w:p>
        </w:tc>
      </w:tr>
      <w:tr w:rsidR="00FC6F4F" w:rsidRPr="002029AF" w14:paraId="67E835DD" w14:textId="77777777" w:rsidTr="00FC6F4F">
        <w:trPr>
          <w:cantSplit/>
        </w:trPr>
        <w:tc>
          <w:tcPr>
            <w:tcW w:w="4536" w:type="dxa"/>
          </w:tcPr>
          <w:p w14:paraId="57DF70F3" w14:textId="77777777" w:rsidR="00FC6F4F" w:rsidRPr="002029AF" w:rsidRDefault="00FC6F4F" w:rsidP="00FC6F4F">
            <w:pPr>
              <w:pStyle w:val="ARtabletext"/>
              <w:rPr>
                <w:b/>
              </w:rPr>
            </w:pPr>
            <w:r w:rsidRPr="002029AF">
              <w:rPr>
                <w:b/>
              </w:rPr>
              <w:t>Total expenditure</w:t>
            </w:r>
          </w:p>
        </w:tc>
        <w:tc>
          <w:tcPr>
            <w:tcW w:w="1701" w:type="dxa"/>
            <w:vAlign w:val="center"/>
          </w:tcPr>
          <w:p w14:paraId="31FCF637" w14:textId="77777777" w:rsidR="00FC6F4F" w:rsidRPr="002029AF" w:rsidRDefault="00FC6F4F" w:rsidP="00FC6F4F">
            <w:pPr>
              <w:pStyle w:val="ARtabletextrightbold"/>
            </w:pPr>
            <w:r>
              <w:t>25%</w:t>
            </w:r>
          </w:p>
        </w:tc>
        <w:tc>
          <w:tcPr>
            <w:tcW w:w="1701" w:type="dxa"/>
            <w:vAlign w:val="center"/>
          </w:tcPr>
          <w:p w14:paraId="507E70F3" w14:textId="77777777" w:rsidR="00FC6F4F" w:rsidRPr="002029AF" w:rsidRDefault="00FC6F4F" w:rsidP="00FC6F4F">
            <w:pPr>
              <w:pStyle w:val="ARtabletextrightbold"/>
            </w:pPr>
            <w:r w:rsidRPr="002029AF">
              <w:t>16%</w:t>
            </w:r>
          </w:p>
        </w:tc>
        <w:tc>
          <w:tcPr>
            <w:tcW w:w="1701" w:type="dxa"/>
            <w:vAlign w:val="center"/>
          </w:tcPr>
          <w:p w14:paraId="1DBFF35F" w14:textId="77777777" w:rsidR="00FC6F4F" w:rsidRPr="002029AF" w:rsidRDefault="00FC6F4F" w:rsidP="00FC6F4F">
            <w:pPr>
              <w:pStyle w:val="ARtabletextrightbold"/>
            </w:pPr>
            <w:r w:rsidRPr="002029AF">
              <w:t>19%</w:t>
            </w:r>
          </w:p>
        </w:tc>
      </w:tr>
    </w:tbl>
    <w:p w14:paraId="52673B85" w14:textId="45BB3BB6" w:rsidR="00FC6F4F" w:rsidRPr="002029AF" w:rsidRDefault="00FC6F4F" w:rsidP="00897193">
      <w:pPr>
        <w:pStyle w:val="ARtablefootnote"/>
      </w:pPr>
      <w:r w:rsidRPr="002029AF">
        <w:lastRenderedPageBreak/>
        <w:t>Office products and stationery data is obtained from the departments</w:t>
      </w:r>
      <w:r w:rsidR="007D145B">
        <w:t>’</w:t>
      </w:r>
      <w:r w:rsidRPr="002029AF">
        <w:t xml:space="preserve"> state purchase contract. Environmental consideration is based on the supplier</w:t>
      </w:r>
      <w:r w:rsidR="007D145B">
        <w:t>’</w:t>
      </w:r>
      <w:r w:rsidRPr="002029AF">
        <w:t>s Planet Friendly category criteria for procured products.</w:t>
      </w:r>
    </w:p>
    <w:p w14:paraId="5D634E28" w14:textId="77777777" w:rsidR="00FC6F4F" w:rsidRPr="002029AF" w:rsidRDefault="00FC6F4F" w:rsidP="00897193">
      <w:pPr>
        <w:pStyle w:val="ARtablefootnote"/>
      </w:pPr>
      <w:r w:rsidRPr="002029AF">
        <w:t>Results include expenditure on office furniture, coffee and catering supplies, janitorial products, packaging, workplace safety supplies, educational supplies, computer hardware, office technology products, computer consumables, general office products, office filing and storage, office machines and electronics, and writing instruments.</w:t>
      </w:r>
    </w:p>
    <w:p w14:paraId="45BA4380" w14:textId="77777777" w:rsidR="00FC6F4F" w:rsidRPr="002029AF" w:rsidRDefault="00FC6F4F" w:rsidP="001C1AB1">
      <w:pPr>
        <w:pStyle w:val="Heading5"/>
      </w:pPr>
      <w:bookmarkStart w:id="668" w:name="_Toc85121335"/>
      <w:r w:rsidRPr="002029AF">
        <w:t>Paper use from departmental operations</w:t>
      </w:r>
      <w:bookmarkEnd w:id="668"/>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36"/>
        <w:gridCol w:w="1701"/>
        <w:gridCol w:w="1701"/>
        <w:gridCol w:w="1701"/>
      </w:tblGrid>
      <w:tr w:rsidR="00FC6F4F" w:rsidRPr="002029AF" w14:paraId="09041A64" w14:textId="77777777" w:rsidTr="00FC6F4F">
        <w:trPr>
          <w:cantSplit/>
          <w:tblHeader/>
        </w:trPr>
        <w:tc>
          <w:tcPr>
            <w:tcW w:w="4536" w:type="dxa"/>
            <w:vAlign w:val="bottom"/>
          </w:tcPr>
          <w:p w14:paraId="15BC5FB7" w14:textId="77777777" w:rsidR="00FC6F4F" w:rsidRPr="002029AF" w:rsidRDefault="00FC6F4F" w:rsidP="00FC6F4F">
            <w:pPr>
              <w:pStyle w:val="ARtablecolhead"/>
              <w:spacing w:line="240" w:lineRule="auto"/>
            </w:pPr>
            <w:r w:rsidRPr="002029AF">
              <w:t>Description</w:t>
            </w:r>
          </w:p>
        </w:tc>
        <w:tc>
          <w:tcPr>
            <w:tcW w:w="1701" w:type="dxa"/>
            <w:vAlign w:val="bottom"/>
          </w:tcPr>
          <w:p w14:paraId="76B0BDA1" w14:textId="77777777" w:rsidR="00FC6F4F" w:rsidRPr="002029AF" w:rsidRDefault="00FC6F4F" w:rsidP="00FC6F4F">
            <w:pPr>
              <w:pStyle w:val="ARtablecolheadright"/>
            </w:pPr>
            <w:r w:rsidRPr="002029AF">
              <w:rPr>
                <w:color w:val="000000"/>
              </w:rPr>
              <w:t>20</w:t>
            </w:r>
            <w:r>
              <w:rPr>
                <w:color w:val="000000"/>
              </w:rPr>
              <w:t>20</w:t>
            </w:r>
            <w:r w:rsidRPr="002029AF">
              <w:rPr>
                <w:color w:val="000000"/>
              </w:rPr>
              <w:t>–2</w:t>
            </w:r>
            <w:r>
              <w:rPr>
                <w:color w:val="000000"/>
              </w:rPr>
              <w:t>1</w:t>
            </w:r>
            <w:r w:rsidRPr="002029AF">
              <w:rPr>
                <w:color w:val="000000"/>
              </w:rPr>
              <w:t xml:space="preserve"> actual</w:t>
            </w:r>
          </w:p>
        </w:tc>
        <w:tc>
          <w:tcPr>
            <w:tcW w:w="1701" w:type="dxa"/>
            <w:vAlign w:val="bottom"/>
          </w:tcPr>
          <w:p w14:paraId="7567B4A2" w14:textId="77777777" w:rsidR="00FC6F4F" w:rsidRPr="002029AF" w:rsidRDefault="00FC6F4F" w:rsidP="00FC6F4F">
            <w:pPr>
              <w:pStyle w:val="ARtablecolheadright"/>
              <w:rPr>
                <w:color w:val="000000"/>
              </w:rPr>
            </w:pPr>
            <w:r w:rsidRPr="002029AF">
              <w:rPr>
                <w:color w:val="000000"/>
              </w:rPr>
              <w:t>2019–20 actual</w:t>
            </w:r>
          </w:p>
        </w:tc>
        <w:tc>
          <w:tcPr>
            <w:tcW w:w="1701" w:type="dxa"/>
            <w:vAlign w:val="bottom"/>
          </w:tcPr>
          <w:p w14:paraId="2689A177" w14:textId="77777777" w:rsidR="00FC6F4F" w:rsidRPr="002029AF" w:rsidRDefault="00FC6F4F" w:rsidP="00FC6F4F">
            <w:pPr>
              <w:pStyle w:val="ARtablecolheadright"/>
              <w:rPr>
                <w:color w:val="000000"/>
              </w:rPr>
            </w:pPr>
            <w:r w:rsidRPr="002029AF">
              <w:rPr>
                <w:color w:val="000000"/>
              </w:rPr>
              <w:t>2018–19 actual</w:t>
            </w:r>
          </w:p>
        </w:tc>
      </w:tr>
      <w:tr w:rsidR="00FC6F4F" w:rsidRPr="002029AF" w14:paraId="7CD2B5A3" w14:textId="77777777" w:rsidTr="00206595">
        <w:trPr>
          <w:cantSplit/>
        </w:trPr>
        <w:tc>
          <w:tcPr>
            <w:tcW w:w="4536" w:type="dxa"/>
          </w:tcPr>
          <w:p w14:paraId="7D751EBA" w14:textId="77777777" w:rsidR="00FC6F4F" w:rsidRPr="002029AF" w:rsidRDefault="00FC6F4F" w:rsidP="00FC6F4F">
            <w:pPr>
              <w:pStyle w:val="ARtabletext"/>
            </w:pPr>
            <w:r w:rsidRPr="002029AF">
              <w:t>Total units of paper used – A4 equivalent (reams)</w:t>
            </w:r>
          </w:p>
        </w:tc>
        <w:tc>
          <w:tcPr>
            <w:tcW w:w="1701" w:type="dxa"/>
          </w:tcPr>
          <w:p w14:paraId="1128D2D0" w14:textId="77777777" w:rsidR="00FC6F4F" w:rsidRPr="002029AF" w:rsidRDefault="00FC6F4F" w:rsidP="00FC6F4F">
            <w:pPr>
              <w:pStyle w:val="ARtabletextright"/>
            </w:pPr>
            <w:r>
              <w:t>20</w:t>
            </w:r>
            <w:r w:rsidRPr="002029AF">
              <w:t>,</w:t>
            </w:r>
            <w:r>
              <w:t>671</w:t>
            </w:r>
          </w:p>
        </w:tc>
        <w:tc>
          <w:tcPr>
            <w:tcW w:w="1701" w:type="dxa"/>
          </w:tcPr>
          <w:p w14:paraId="662C382C" w14:textId="77777777" w:rsidR="00FC6F4F" w:rsidRPr="002029AF" w:rsidRDefault="00FC6F4F" w:rsidP="00FC6F4F">
            <w:pPr>
              <w:pStyle w:val="ARtabletextright"/>
            </w:pPr>
            <w:r w:rsidRPr="002029AF">
              <w:t>67,890</w:t>
            </w:r>
          </w:p>
        </w:tc>
        <w:tc>
          <w:tcPr>
            <w:tcW w:w="1701" w:type="dxa"/>
          </w:tcPr>
          <w:p w14:paraId="4973DC2E" w14:textId="77777777" w:rsidR="00FC6F4F" w:rsidRPr="002029AF" w:rsidRDefault="00FC6F4F" w:rsidP="00FC6F4F">
            <w:pPr>
              <w:pStyle w:val="ARtabletextright"/>
            </w:pPr>
            <w:r w:rsidRPr="002029AF">
              <w:t>106,925</w:t>
            </w:r>
          </w:p>
        </w:tc>
      </w:tr>
      <w:tr w:rsidR="00FC6F4F" w:rsidRPr="002029AF" w14:paraId="3C30B42D" w14:textId="77777777" w:rsidTr="00206595">
        <w:trPr>
          <w:cantSplit/>
        </w:trPr>
        <w:tc>
          <w:tcPr>
            <w:tcW w:w="4536" w:type="dxa"/>
          </w:tcPr>
          <w:p w14:paraId="3A8F21C1" w14:textId="77777777" w:rsidR="00FC6F4F" w:rsidRPr="002029AF" w:rsidRDefault="00FC6F4F" w:rsidP="00FC6F4F">
            <w:pPr>
              <w:pStyle w:val="ARtabletext"/>
            </w:pPr>
            <w:r w:rsidRPr="002029AF">
              <w:t>Units of paper used per FTE (reams/FTE)</w:t>
            </w:r>
          </w:p>
        </w:tc>
        <w:tc>
          <w:tcPr>
            <w:tcW w:w="1701" w:type="dxa"/>
          </w:tcPr>
          <w:p w14:paraId="200EC68D" w14:textId="77777777" w:rsidR="00FC6F4F" w:rsidRPr="002029AF" w:rsidRDefault="00FC6F4F" w:rsidP="00FC6F4F">
            <w:pPr>
              <w:pStyle w:val="ARtabletextright"/>
            </w:pPr>
            <w:r>
              <w:t>1.97</w:t>
            </w:r>
          </w:p>
        </w:tc>
        <w:tc>
          <w:tcPr>
            <w:tcW w:w="1701" w:type="dxa"/>
          </w:tcPr>
          <w:p w14:paraId="71E3D61A" w14:textId="77777777" w:rsidR="00FC6F4F" w:rsidRPr="002029AF" w:rsidRDefault="00FC6F4F" w:rsidP="00FC6F4F">
            <w:pPr>
              <w:pStyle w:val="ARtabletextright"/>
            </w:pPr>
            <w:r w:rsidRPr="002029AF">
              <w:t>7.9</w:t>
            </w:r>
          </w:p>
        </w:tc>
        <w:tc>
          <w:tcPr>
            <w:tcW w:w="1701" w:type="dxa"/>
          </w:tcPr>
          <w:p w14:paraId="4C999D34" w14:textId="77777777" w:rsidR="00FC6F4F" w:rsidRPr="002029AF" w:rsidRDefault="00FC6F4F" w:rsidP="00FC6F4F">
            <w:pPr>
              <w:pStyle w:val="ARtabletextright"/>
            </w:pPr>
            <w:r w:rsidRPr="002029AF">
              <w:t>10.1</w:t>
            </w:r>
          </w:p>
        </w:tc>
      </w:tr>
      <w:tr w:rsidR="00FC6F4F" w:rsidRPr="002029AF" w14:paraId="38769915" w14:textId="77777777" w:rsidTr="00206595">
        <w:trPr>
          <w:cantSplit/>
        </w:trPr>
        <w:tc>
          <w:tcPr>
            <w:tcW w:w="4536" w:type="dxa"/>
          </w:tcPr>
          <w:p w14:paraId="337CE57C" w14:textId="77777777" w:rsidR="00FC6F4F" w:rsidRPr="002029AF" w:rsidRDefault="00FC6F4F" w:rsidP="00FC6F4F">
            <w:pPr>
              <w:pStyle w:val="ARtabletext"/>
            </w:pPr>
            <w:r w:rsidRPr="002029AF">
              <w:t>Greenhouse gas emissions associated with paper use (tonnes of CO</w:t>
            </w:r>
            <w:r w:rsidRPr="002029AF">
              <w:rPr>
                <w:vertAlign w:val="subscript"/>
              </w:rPr>
              <w:t>2</w:t>
            </w:r>
            <w:r w:rsidRPr="002029AF">
              <w:t>-e)</w:t>
            </w:r>
          </w:p>
        </w:tc>
        <w:tc>
          <w:tcPr>
            <w:tcW w:w="1701" w:type="dxa"/>
          </w:tcPr>
          <w:p w14:paraId="597C964B" w14:textId="77777777" w:rsidR="00FC6F4F" w:rsidRPr="002029AF" w:rsidRDefault="00FC6F4F" w:rsidP="00FC6F4F">
            <w:pPr>
              <w:pStyle w:val="ARtabletextright"/>
            </w:pPr>
            <w:r>
              <w:t>78</w:t>
            </w:r>
          </w:p>
        </w:tc>
        <w:tc>
          <w:tcPr>
            <w:tcW w:w="1701" w:type="dxa"/>
          </w:tcPr>
          <w:p w14:paraId="1B9EA9B1" w14:textId="77777777" w:rsidR="00FC6F4F" w:rsidRPr="002029AF" w:rsidRDefault="00FC6F4F" w:rsidP="00FC6F4F">
            <w:pPr>
              <w:pStyle w:val="ARtabletextright"/>
            </w:pPr>
            <w:r w:rsidRPr="002029AF">
              <w:t>256</w:t>
            </w:r>
          </w:p>
        </w:tc>
        <w:tc>
          <w:tcPr>
            <w:tcW w:w="1701" w:type="dxa"/>
          </w:tcPr>
          <w:p w14:paraId="30E0BB1A" w14:textId="77777777" w:rsidR="00FC6F4F" w:rsidRPr="002029AF" w:rsidRDefault="00FC6F4F" w:rsidP="00FC6F4F">
            <w:pPr>
              <w:pStyle w:val="ARtabletextright"/>
            </w:pPr>
            <w:r w:rsidRPr="002029AF">
              <w:t>393</w:t>
            </w:r>
          </w:p>
        </w:tc>
      </w:tr>
      <w:tr w:rsidR="00FC6F4F" w:rsidRPr="002029AF" w14:paraId="40CAF410" w14:textId="77777777" w:rsidTr="00206595">
        <w:trPr>
          <w:cantSplit/>
        </w:trPr>
        <w:tc>
          <w:tcPr>
            <w:tcW w:w="4536" w:type="dxa"/>
          </w:tcPr>
          <w:p w14:paraId="38DB7CCB" w14:textId="77777777" w:rsidR="00FC6F4F" w:rsidRPr="002029AF" w:rsidRDefault="00FC6F4F" w:rsidP="00FC6F4F">
            <w:pPr>
              <w:pStyle w:val="ARtabletextbold"/>
            </w:pPr>
            <w:r w:rsidRPr="002029AF">
              <w:t>Total cost of paper used ($ million)</w:t>
            </w:r>
          </w:p>
        </w:tc>
        <w:tc>
          <w:tcPr>
            <w:tcW w:w="1701" w:type="dxa"/>
          </w:tcPr>
          <w:p w14:paraId="574F3A22" w14:textId="77777777" w:rsidR="00FC6F4F" w:rsidRPr="002029AF" w:rsidRDefault="00FC6F4F" w:rsidP="00FC6F4F">
            <w:pPr>
              <w:pStyle w:val="ARtabletextrightbold"/>
            </w:pPr>
            <w:r>
              <w:t>$0.12</w:t>
            </w:r>
          </w:p>
        </w:tc>
        <w:tc>
          <w:tcPr>
            <w:tcW w:w="1701" w:type="dxa"/>
          </w:tcPr>
          <w:p w14:paraId="157601A5" w14:textId="77777777" w:rsidR="00FC6F4F" w:rsidRPr="002029AF" w:rsidRDefault="00FC6F4F" w:rsidP="00FC6F4F">
            <w:pPr>
              <w:pStyle w:val="ARtabletextrightbold"/>
            </w:pPr>
            <w:r w:rsidRPr="002029AF">
              <w:t>$0.37</w:t>
            </w:r>
          </w:p>
        </w:tc>
        <w:tc>
          <w:tcPr>
            <w:tcW w:w="1701" w:type="dxa"/>
          </w:tcPr>
          <w:p w14:paraId="6B29E1DE" w14:textId="77777777" w:rsidR="00FC6F4F" w:rsidRPr="002029AF" w:rsidRDefault="00FC6F4F" w:rsidP="00FC6F4F">
            <w:pPr>
              <w:pStyle w:val="ARtabletextrightbold"/>
            </w:pPr>
            <w:r w:rsidRPr="002029AF">
              <w:t>$0.64</w:t>
            </w:r>
          </w:p>
        </w:tc>
      </w:tr>
    </w:tbl>
    <w:p w14:paraId="4501F1BD" w14:textId="77777777" w:rsidR="00FC6F4F" w:rsidRPr="002029AF" w:rsidRDefault="00FC6F4F" w:rsidP="00897193">
      <w:pPr>
        <w:pStyle w:val="ARbody"/>
      </w:pPr>
    </w:p>
    <w:tbl>
      <w:tblPr>
        <w:tblW w:w="9644"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0A0" w:firstRow="1" w:lastRow="0" w:firstColumn="1" w:lastColumn="0" w:noHBand="0" w:noVBand="0"/>
      </w:tblPr>
      <w:tblGrid>
        <w:gridCol w:w="4538"/>
        <w:gridCol w:w="1702"/>
        <w:gridCol w:w="1702"/>
        <w:gridCol w:w="1702"/>
      </w:tblGrid>
      <w:tr w:rsidR="00FC6F4F" w:rsidRPr="002029AF" w14:paraId="5F2BFDE7" w14:textId="77777777" w:rsidTr="00FC6F4F">
        <w:trPr>
          <w:cantSplit/>
          <w:tblHeader/>
        </w:trPr>
        <w:tc>
          <w:tcPr>
            <w:tcW w:w="4538" w:type="dxa"/>
            <w:vAlign w:val="bottom"/>
          </w:tcPr>
          <w:p w14:paraId="76A3B706" w14:textId="77777777" w:rsidR="00FC6F4F" w:rsidRPr="002029AF" w:rsidRDefault="00FC6F4F" w:rsidP="00FC6F4F">
            <w:pPr>
              <w:pStyle w:val="ARtablecolhead"/>
            </w:pPr>
            <w:r w:rsidRPr="002029AF">
              <w:t>Percentage recycled content copy paper purchased</w:t>
            </w:r>
          </w:p>
        </w:tc>
        <w:tc>
          <w:tcPr>
            <w:tcW w:w="1702" w:type="dxa"/>
            <w:vAlign w:val="bottom"/>
          </w:tcPr>
          <w:p w14:paraId="01B15972" w14:textId="77777777" w:rsidR="00FC6F4F" w:rsidRPr="002029AF" w:rsidRDefault="00FC6F4F" w:rsidP="00FC6F4F">
            <w:pPr>
              <w:pStyle w:val="ARtablecolheadright"/>
            </w:pPr>
            <w:r w:rsidRPr="002029AF">
              <w:rPr>
                <w:color w:val="000000"/>
              </w:rPr>
              <w:t>20</w:t>
            </w:r>
            <w:r>
              <w:rPr>
                <w:color w:val="000000"/>
              </w:rPr>
              <w:t>20</w:t>
            </w:r>
            <w:r w:rsidRPr="002029AF">
              <w:rPr>
                <w:color w:val="000000"/>
              </w:rPr>
              <w:t>–2</w:t>
            </w:r>
            <w:r>
              <w:rPr>
                <w:color w:val="000000"/>
              </w:rPr>
              <w:t>1</w:t>
            </w:r>
            <w:r w:rsidRPr="002029AF">
              <w:rPr>
                <w:color w:val="000000"/>
              </w:rPr>
              <w:t xml:space="preserve"> actual</w:t>
            </w:r>
          </w:p>
        </w:tc>
        <w:tc>
          <w:tcPr>
            <w:tcW w:w="1702" w:type="dxa"/>
            <w:vAlign w:val="bottom"/>
          </w:tcPr>
          <w:p w14:paraId="0BC10C0F" w14:textId="77777777" w:rsidR="00FC6F4F" w:rsidRPr="002029AF" w:rsidRDefault="00FC6F4F" w:rsidP="00FC6F4F">
            <w:pPr>
              <w:pStyle w:val="ARtablecolheadright"/>
              <w:rPr>
                <w:color w:val="000000"/>
              </w:rPr>
            </w:pPr>
            <w:r w:rsidRPr="002029AF">
              <w:rPr>
                <w:color w:val="000000"/>
              </w:rPr>
              <w:t>2019–20 actual</w:t>
            </w:r>
          </w:p>
        </w:tc>
        <w:tc>
          <w:tcPr>
            <w:tcW w:w="1702" w:type="dxa"/>
            <w:vAlign w:val="bottom"/>
          </w:tcPr>
          <w:p w14:paraId="07F86449" w14:textId="77777777" w:rsidR="00FC6F4F" w:rsidRPr="002029AF" w:rsidRDefault="00FC6F4F" w:rsidP="00FC6F4F">
            <w:pPr>
              <w:pStyle w:val="ARtablecolheadright"/>
              <w:rPr>
                <w:color w:val="000000"/>
              </w:rPr>
            </w:pPr>
            <w:r w:rsidRPr="002029AF">
              <w:rPr>
                <w:color w:val="000000"/>
              </w:rPr>
              <w:t>2018–19 actual</w:t>
            </w:r>
          </w:p>
        </w:tc>
      </w:tr>
      <w:tr w:rsidR="00FC6F4F" w:rsidRPr="002029AF" w14:paraId="106D42DB" w14:textId="77777777" w:rsidTr="00FC6F4F">
        <w:trPr>
          <w:cantSplit/>
        </w:trPr>
        <w:tc>
          <w:tcPr>
            <w:tcW w:w="4538" w:type="dxa"/>
          </w:tcPr>
          <w:p w14:paraId="35B87D1C" w14:textId="77777777" w:rsidR="00FC6F4F" w:rsidRPr="002029AF" w:rsidRDefault="00FC6F4F" w:rsidP="00FC6F4F">
            <w:pPr>
              <w:pStyle w:val="ARtabletext"/>
            </w:pPr>
            <w:r w:rsidRPr="002029AF">
              <w:t>75–100 per cent recycled</w:t>
            </w:r>
          </w:p>
        </w:tc>
        <w:tc>
          <w:tcPr>
            <w:tcW w:w="1702" w:type="dxa"/>
            <w:vAlign w:val="center"/>
          </w:tcPr>
          <w:p w14:paraId="01A4673A" w14:textId="77777777" w:rsidR="00FC6F4F" w:rsidRPr="002029AF" w:rsidRDefault="00FC6F4F" w:rsidP="00FC6F4F">
            <w:pPr>
              <w:pStyle w:val="ARtabletextright"/>
            </w:pPr>
            <w:r w:rsidRPr="002029AF">
              <w:t>9</w:t>
            </w:r>
            <w:r>
              <w:t>9</w:t>
            </w:r>
            <w:r w:rsidRPr="002029AF">
              <w:t>%</w:t>
            </w:r>
          </w:p>
        </w:tc>
        <w:tc>
          <w:tcPr>
            <w:tcW w:w="1702" w:type="dxa"/>
            <w:vAlign w:val="center"/>
          </w:tcPr>
          <w:p w14:paraId="1B18DD8F" w14:textId="77777777" w:rsidR="00FC6F4F" w:rsidRPr="002029AF" w:rsidRDefault="00FC6F4F" w:rsidP="00FC6F4F">
            <w:pPr>
              <w:pStyle w:val="ARtabletextright"/>
            </w:pPr>
            <w:r w:rsidRPr="002029AF">
              <w:t>98%</w:t>
            </w:r>
          </w:p>
        </w:tc>
        <w:tc>
          <w:tcPr>
            <w:tcW w:w="1702" w:type="dxa"/>
            <w:vAlign w:val="center"/>
          </w:tcPr>
          <w:p w14:paraId="23F8875A" w14:textId="77777777" w:rsidR="00FC6F4F" w:rsidRPr="002029AF" w:rsidRDefault="00FC6F4F" w:rsidP="00FC6F4F">
            <w:pPr>
              <w:pStyle w:val="ARtabletextright"/>
            </w:pPr>
            <w:r w:rsidRPr="002029AF">
              <w:t>98%</w:t>
            </w:r>
          </w:p>
        </w:tc>
      </w:tr>
      <w:tr w:rsidR="00FC6F4F" w:rsidRPr="002029AF" w14:paraId="73A6A1B3" w14:textId="77777777" w:rsidTr="00FC6F4F">
        <w:trPr>
          <w:cantSplit/>
        </w:trPr>
        <w:tc>
          <w:tcPr>
            <w:tcW w:w="4538" w:type="dxa"/>
          </w:tcPr>
          <w:p w14:paraId="4AAA7B66" w14:textId="77777777" w:rsidR="00FC6F4F" w:rsidRPr="002029AF" w:rsidRDefault="00FC6F4F" w:rsidP="00FC6F4F">
            <w:pPr>
              <w:pStyle w:val="ARtabletext"/>
            </w:pPr>
            <w:r w:rsidRPr="002029AF">
              <w:t>50–74 per cent recycled</w:t>
            </w:r>
          </w:p>
        </w:tc>
        <w:tc>
          <w:tcPr>
            <w:tcW w:w="1702" w:type="dxa"/>
            <w:vAlign w:val="center"/>
          </w:tcPr>
          <w:p w14:paraId="094CE438" w14:textId="77777777" w:rsidR="00FC6F4F" w:rsidRPr="002029AF" w:rsidRDefault="00FC6F4F" w:rsidP="00FC6F4F">
            <w:pPr>
              <w:pStyle w:val="ARtabletextright"/>
            </w:pPr>
            <w:r w:rsidRPr="002029AF">
              <w:t>0%</w:t>
            </w:r>
          </w:p>
        </w:tc>
        <w:tc>
          <w:tcPr>
            <w:tcW w:w="1702" w:type="dxa"/>
            <w:vAlign w:val="center"/>
          </w:tcPr>
          <w:p w14:paraId="65DBE034" w14:textId="77777777" w:rsidR="00FC6F4F" w:rsidRPr="002029AF" w:rsidRDefault="00FC6F4F" w:rsidP="00FC6F4F">
            <w:pPr>
              <w:pStyle w:val="ARtabletextright"/>
            </w:pPr>
            <w:r w:rsidRPr="002029AF">
              <w:t>0%</w:t>
            </w:r>
          </w:p>
        </w:tc>
        <w:tc>
          <w:tcPr>
            <w:tcW w:w="1702" w:type="dxa"/>
            <w:vAlign w:val="center"/>
          </w:tcPr>
          <w:p w14:paraId="3F351D02" w14:textId="77777777" w:rsidR="00FC6F4F" w:rsidRPr="002029AF" w:rsidRDefault="00FC6F4F" w:rsidP="00FC6F4F">
            <w:pPr>
              <w:pStyle w:val="ARtabletextright"/>
            </w:pPr>
            <w:r w:rsidRPr="002029AF">
              <w:t>0%</w:t>
            </w:r>
          </w:p>
        </w:tc>
      </w:tr>
      <w:tr w:rsidR="00FC6F4F" w:rsidRPr="002029AF" w14:paraId="2E8EF0D5" w14:textId="77777777" w:rsidTr="00FC6F4F">
        <w:trPr>
          <w:cantSplit/>
        </w:trPr>
        <w:tc>
          <w:tcPr>
            <w:tcW w:w="4538" w:type="dxa"/>
            <w:tcBorders>
              <w:bottom w:val="single" w:sz="4" w:space="0" w:color="auto"/>
            </w:tcBorders>
          </w:tcPr>
          <w:p w14:paraId="5A965746" w14:textId="77777777" w:rsidR="00FC6F4F" w:rsidRPr="002029AF" w:rsidRDefault="00FC6F4F" w:rsidP="00FC6F4F">
            <w:pPr>
              <w:pStyle w:val="ARtabletext"/>
            </w:pPr>
            <w:r w:rsidRPr="002029AF">
              <w:t>0–49 per cent recycled</w:t>
            </w:r>
          </w:p>
        </w:tc>
        <w:tc>
          <w:tcPr>
            <w:tcW w:w="1702" w:type="dxa"/>
            <w:tcBorders>
              <w:bottom w:val="single" w:sz="4" w:space="0" w:color="auto"/>
            </w:tcBorders>
            <w:vAlign w:val="center"/>
          </w:tcPr>
          <w:p w14:paraId="549EED06" w14:textId="77777777" w:rsidR="00FC6F4F" w:rsidRPr="002029AF" w:rsidRDefault="00FC6F4F" w:rsidP="00FC6F4F">
            <w:pPr>
              <w:pStyle w:val="ARtabletextright"/>
            </w:pPr>
            <w:r>
              <w:t>1</w:t>
            </w:r>
            <w:r w:rsidRPr="002029AF">
              <w:t>%</w:t>
            </w:r>
          </w:p>
        </w:tc>
        <w:tc>
          <w:tcPr>
            <w:tcW w:w="1702" w:type="dxa"/>
            <w:tcBorders>
              <w:bottom w:val="single" w:sz="4" w:space="0" w:color="auto"/>
            </w:tcBorders>
            <w:vAlign w:val="center"/>
          </w:tcPr>
          <w:p w14:paraId="6FF7DBCA" w14:textId="77777777" w:rsidR="00FC6F4F" w:rsidRPr="002029AF" w:rsidRDefault="00FC6F4F" w:rsidP="00FC6F4F">
            <w:pPr>
              <w:pStyle w:val="ARtabletextright"/>
            </w:pPr>
            <w:r w:rsidRPr="002029AF">
              <w:t>2%</w:t>
            </w:r>
          </w:p>
        </w:tc>
        <w:tc>
          <w:tcPr>
            <w:tcW w:w="1702" w:type="dxa"/>
            <w:tcBorders>
              <w:bottom w:val="single" w:sz="4" w:space="0" w:color="auto"/>
            </w:tcBorders>
            <w:vAlign w:val="center"/>
          </w:tcPr>
          <w:p w14:paraId="12B7C1B5" w14:textId="77777777" w:rsidR="00FC6F4F" w:rsidRPr="002029AF" w:rsidRDefault="00FC6F4F" w:rsidP="00FC6F4F">
            <w:pPr>
              <w:pStyle w:val="ARtabletextright"/>
            </w:pPr>
            <w:r w:rsidRPr="002029AF">
              <w:t>2%</w:t>
            </w:r>
          </w:p>
        </w:tc>
      </w:tr>
      <w:tr w:rsidR="00FC6F4F" w:rsidRPr="002029AF" w14:paraId="7667C6E0" w14:textId="77777777" w:rsidTr="00FC6F4F">
        <w:trPr>
          <w:cantSplit/>
        </w:trPr>
        <w:tc>
          <w:tcPr>
            <w:tcW w:w="4538" w:type="dxa"/>
            <w:tcBorders>
              <w:top w:val="single" w:sz="4" w:space="0" w:color="auto"/>
              <w:left w:val="nil"/>
              <w:bottom w:val="single" w:sz="4" w:space="0" w:color="auto"/>
              <w:right w:val="nil"/>
            </w:tcBorders>
          </w:tcPr>
          <w:p w14:paraId="3CB9D812" w14:textId="6521E232" w:rsidR="00FC6F4F" w:rsidRPr="002029AF" w:rsidRDefault="00FC6F4F" w:rsidP="00FC6F4F">
            <w:pPr>
              <w:pStyle w:val="ARtabletext"/>
            </w:pPr>
            <w:r w:rsidRPr="002029AF">
              <w:t>Certified fibre sourcing</w:t>
            </w:r>
            <w:r w:rsidR="00E17895" w:rsidRPr="00E17895">
              <w:rPr>
                <w:rStyle w:val="FootnoteReference"/>
              </w:rPr>
              <w:t>(</w:t>
            </w:r>
            <w:bookmarkStart w:id="669" w:name="_Ref85645271"/>
            <w:r w:rsidR="00206595" w:rsidRPr="00E17895">
              <w:rPr>
                <w:rStyle w:val="FootnoteReference"/>
              </w:rPr>
              <w:footnoteReference w:id="45"/>
            </w:r>
            <w:bookmarkEnd w:id="669"/>
            <w:r w:rsidR="00E17895" w:rsidRPr="00E17895">
              <w:rPr>
                <w:rStyle w:val="FootnoteReference"/>
              </w:rPr>
              <w:t>)</w:t>
            </w:r>
          </w:p>
        </w:tc>
        <w:tc>
          <w:tcPr>
            <w:tcW w:w="1702" w:type="dxa"/>
            <w:tcBorders>
              <w:top w:val="single" w:sz="4" w:space="0" w:color="auto"/>
              <w:left w:val="nil"/>
              <w:bottom w:val="single" w:sz="4" w:space="0" w:color="auto"/>
              <w:right w:val="nil"/>
            </w:tcBorders>
            <w:vAlign w:val="center"/>
          </w:tcPr>
          <w:p w14:paraId="40A30953" w14:textId="77777777" w:rsidR="00FC6F4F" w:rsidRPr="002029AF" w:rsidRDefault="00FC6F4F" w:rsidP="00FC6F4F">
            <w:pPr>
              <w:pStyle w:val="ARtabletextright"/>
            </w:pPr>
            <w:r w:rsidRPr="002029AF">
              <w:t>100%</w:t>
            </w:r>
          </w:p>
        </w:tc>
        <w:tc>
          <w:tcPr>
            <w:tcW w:w="1702" w:type="dxa"/>
            <w:tcBorders>
              <w:top w:val="single" w:sz="4" w:space="0" w:color="auto"/>
              <w:left w:val="nil"/>
              <w:bottom w:val="single" w:sz="4" w:space="0" w:color="auto"/>
              <w:right w:val="nil"/>
            </w:tcBorders>
            <w:vAlign w:val="center"/>
          </w:tcPr>
          <w:p w14:paraId="49A98660" w14:textId="77777777" w:rsidR="00FC6F4F" w:rsidRPr="002029AF" w:rsidRDefault="00FC6F4F" w:rsidP="00FC6F4F">
            <w:pPr>
              <w:pStyle w:val="ARtabletextright"/>
            </w:pPr>
            <w:r w:rsidRPr="002029AF">
              <w:t>100%</w:t>
            </w:r>
          </w:p>
        </w:tc>
        <w:tc>
          <w:tcPr>
            <w:tcW w:w="1702" w:type="dxa"/>
            <w:tcBorders>
              <w:top w:val="single" w:sz="4" w:space="0" w:color="auto"/>
              <w:left w:val="nil"/>
              <w:bottom w:val="single" w:sz="4" w:space="0" w:color="auto"/>
              <w:right w:val="nil"/>
            </w:tcBorders>
            <w:vAlign w:val="center"/>
          </w:tcPr>
          <w:p w14:paraId="0794E6D2" w14:textId="77777777" w:rsidR="00FC6F4F" w:rsidRPr="002029AF" w:rsidRDefault="00FC6F4F" w:rsidP="00FC6F4F">
            <w:pPr>
              <w:pStyle w:val="ARtabletextright"/>
            </w:pPr>
            <w:r w:rsidRPr="002029AF">
              <w:t>99%</w:t>
            </w:r>
          </w:p>
        </w:tc>
      </w:tr>
    </w:tbl>
    <w:p w14:paraId="06456F3F" w14:textId="2361174B" w:rsidR="00FC6F4F" w:rsidRPr="002029AF" w:rsidRDefault="00FC6F4F" w:rsidP="00897193">
      <w:pPr>
        <w:pStyle w:val="ARtablefootnote"/>
        <w:spacing w:before="60"/>
      </w:pPr>
      <w:bookmarkStart w:id="670" w:name="_Ref492895520"/>
      <w:r w:rsidRPr="002029AF">
        <w:t>Paper usage data provided by whole</w:t>
      </w:r>
      <w:r w:rsidR="00BA0E1E">
        <w:t xml:space="preserve"> </w:t>
      </w:r>
      <w:r w:rsidRPr="002029AF">
        <w:t>of</w:t>
      </w:r>
      <w:r w:rsidR="00BA0E1E">
        <w:t xml:space="preserve"> </w:t>
      </w:r>
      <w:r w:rsidRPr="002029AF">
        <w:t>Victorian</w:t>
      </w:r>
      <w:r w:rsidR="00BA0E1E">
        <w:t xml:space="preserve"> </w:t>
      </w:r>
      <w:r w:rsidRPr="002029AF">
        <w:t>Government supplier COS. Data represents all operational and office-based FTE. Total cost of paper used excludes GST.</w:t>
      </w:r>
    </w:p>
    <w:p w14:paraId="3D0EAFC9" w14:textId="77777777" w:rsidR="00FC6F4F" w:rsidRPr="00E61B7C" w:rsidRDefault="00FC6F4F" w:rsidP="001C1AB1">
      <w:pPr>
        <w:pStyle w:val="Heading5"/>
      </w:pPr>
      <w:bookmarkStart w:id="671" w:name="_Toc85121336"/>
      <w:r w:rsidRPr="00E61B7C">
        <w:t>Paper use from public health services</w:t>
      </w:r>
      <w:bookmarkEnd w:id="671"/>
    </w:p>
    <w:tbl>
      <w:tblPr>
        <w:tblW w:w="9644"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38"/>
        <w:gridCol w:w="1702"/>
        <w:gridCol w:w="1702"/>
        <w:gridCol w:w="1702"/>
      </w:tblGrid>
      <w:tr w:rsidR="00FC6F4F" w:rsidRPr="005209B9" w14:paraId="3A4AA33F" w14:textId="77777777" w:rsidTr="00FC6F4F">
        <w:trPr>
          <w:cantSplit/>
          <w:tblHeader/>
        </w:trPr>
        <w:tc>
          <w:tcPr>
            <w:tcW w:w="4538" w:type="dxa"/>
            <w:vAlign w:val="bottom"/>
          </w:tcPr>
          <w:p w14:paraId="777A772D" w14:textId="77777777" w:rsidR="00FC6F4F" w:rsidRPr="00E61B7C" w:rsidRDefault="00FC6F4F" w:rsidP="00FC6F4F">
            <w:pPr>
              <w:pStyle w:val="ARtablecolhead"/>
              <w:spacing w:line="240" w:lineRule="auto"/>
            </w:pPr>
            <w:r w:rsidRPr="00E61B7C">
              <w:t>Description</w:t>
            </w:r>
          </w:p>
        </w:tc>
        <w:tc>
          <w:tcPr>
            <w:tcW w:w="1702" w:type="dxa"/>
            <w:vAlign w:val="center"/>
          </w:tcPr>
          <w:p w14:paraId="303AEC4A" w14:textId="77777777" w:rsidR="00FC6F4F" w:rsidRPr="00E61B7C" w:rsidRDefault="00FC6F4F" w:rsidP="00FC6F4F">
            <w:pPr>
              <w:pStyle w:val="ARtablecolheadright"/>
            </w:pPr>
            <w:r w:rsidRPr="00E61B7C">
              <w:rPr>
                <w:color w:val="000000"/>
              </w:rPr>
              <w:t xml:space="preserve">2020–21 </w:t>
            </w:r>
            <w:r>
              <w:rPr>
                <w:color w:val="000000"/>
              </w:rPr>
              <w:t>estimate</w:t>
            </w:r>
          </w:p>
        </w:tc>
        <w:tc>
          <w:tcPr>
            <w:tcW w:w="1702" w:type="dxa"/>
            <w:vAlign w:val="center"/>
          </w:tcPr>
          <w:p w14:paraId="5F879EEF" w14:textId="77777777" w:rsidR="00FC6F4F" w:rsidRPr="00E61B7C" w:rsidRDefault="00FC6F4F" w:rsidP="00FC6F4F">
            <w:pPr>
              <w:pStyle w:val="ARtablecolheadright"/>
              <w:rPr>
                <w:color w:val="000000"/>
              </w:rPr>
            </w:pPr>
            <w:r w:rsidRPr="00E61B7C">
              <w:rPr>
                <w:color w:val="000000"/>
              </w:rPr>
              <w:t xml:space="preserve">2019–20 </w:t>
            </w:r>
            <w:r>
              <w:rPr>
                <w:color w:val="000000"/>
              </w:rPr>
              <w:t>estimate</w:t>
            </w:r>
          </w:p>
        </w:tc>
        <w:tc>
          <w:tcPr>
            <w:tcW w:w="1702" w:type="dxa"/>
            <w:vAlign w:val="center"/>
          </w:tcPr>
          <w:p w14:paraId="70E91EAC" w14:textId="77777777" w:rsidR="00FC6F4F" w:rsidRPr="00E61B7C" w:rsidRDefault="00FC6F4F" w:rsidP="00FC6F4F">
            <w:pPr>
              <w:pStyle w:val="ARtablecolheadright"/>
              <w:rPr>
                <w:color w:val="000000"/>
              </w:rPr>
            </w:pPr>
            <w:r w:rsidRPr="00E61B7C">
              <w:rPr>
                <w:color w:val="000000"/>
              </w:rPr>
              <w:t xml:space="preserve">2018–19 </w:t>
            </w:r>
            <w:r>
              <w:rPr>
                <w:color w:val="000000"/>
              </w:rPr>
              <w:t>estimate</w:t>
            </w:r>
          </w:p>
        </w:tc>
      </w:tr>
      <w:tr w:rsidR="00FC6F4F" w:rsidRPr="005209B9" w14:paraId="1F3AFD1A" w14:textId="77777777" w:rsidTr="00FC6F4F">
        <w:trPr>
          <w:cantSplit/>
        </w:trPr>
        <w:tc>
          <w:tcPr>
            <w:tcW w:w="4538" w:type="dxa"/>
          </w:tcPr>
          <w:p w14:paraId="5C657DFA" w14:textId="77777777" w:rsidR="00FC6F4F" w:rsidRPr="00E61B7C" w:rsidRDefault="00FC6F4F" w:rsidP="00FC6F4F">
            <w:pPr>
              <w:pStyle w:val="ARtabletext"/>
            </w:pPr>
            <w:r w:rsidRPr="00E61B7C">
              <w:t>Total units of paper used – A4 equivalent (reams)</w:t>
            </w:r>
          </w:p>
        </w:tc>
        <w:tc>
          <w:tcPr>
            <w:tcW w:w="1702" w:type="dxa"/>
            <w:vAlign w:val="center"/>
          </w:tcPr>
          <w:p w14:paraId="3C9ED4B5" w14:textId="77777777" w:rsidR="00FC6F4F" w:rsidRPr="00E61B7C" w:rsidRDefault="00FC6F4F" w:rsidP="00FC6F4F">
            <w:pPr>
              <w:pStyle w:val="ARtabletextright"/>
            </w:pPr>
            <w:r>
              <w:t>499</w:t>
            </w:r>
            <w:r w:rsidRPr="00E61B7C">
              <w:t>,</w:t>
            </w:r>
            <w:r>
              <w:t>187</w:t>
            </w:r>
          </w:p>
        </w:tc>
        <w:tc>
          <w:tcPr>
            <w:tcW w:w="1702" w:type="dxa"/>
            <w:vAlign w:val="center"/>
          </w:tcPr>
          <w:p w14:paraId="34530B61" w14:textId="77777777" w:rsidR="00FC6F4F" w:rsidRPr="00E61B7C" w:rsidRDefault="00FC6F4F" w:rsidP="00FC6F4F">
            <w:pPr>
              <w:pStyle w:val="ARtabletextright"/>
            </w:pPr>
            <w:r>
              <w:t>529</w:t>
            </w:r>
            <w:r w:rsidRPr="00E61B7C">
              <w:t>,</w:t>
            </w:r>
            <w:r>
              <w:t>169</w:t>
            </w:r>
          </w:p>
        </w:tc>
        <w:tc>
          <w:tcPr>
            <w:tcW w:w="1702" w:type="dxa"/>
            <w:vAlign w:val="center"/>
          </w:tcPr>
          <w:p w14:paraId="70E86A18" w14:textId="77777777" w:rsidR="00FC6F4F" w:rsidRPr="00E61B7C" w:rsidRDefault="00FC6F4F" w:rsidP="00FC6F4F">
            <w:pPr>
              <w:pStyle w:val="ARtabletextright"/>
            </w:pPr>
            <w:r>
              <w:t>567</w:t>
            </w:r>
            <w:r w:rsidRPr="00E61B7C">
              <w:t>,</w:t>
            </w:r>
            <w:r>
              <w:t>704</w:t>
            </w:r>
          </w:p>
        </w:tc>
      </w:tr>
      <w:tr w:rsidR="00FC6F4F" w:rsidRPr="005209B9" w14:paraId="5EE60418" w14:textId="77777777" w:rsidTr="00FC6F4F">
        <w:trPr>
          <w:cantSplit/>
        </w:trPr>
        <w:tc>
          <w:tcPr>
            <w:tcW w:w="4538" w:type="dxa"/>
          </w:tcPr>
          <w:p w14:paraId="350C94F4" w14:textId="77777777" w:rsidR="00FC6F4F" w:rsidRPr="00E61B7C" w:rsidRDefault="00FC6F4F" w:rsidP="00FC6F4F">
            <w:pPr>
              <w:pStyle w:val="ARtabletext"/>
            </w:pPr>
            <w:r w:rsidRPr="00E61B7C">
              <w:t>Units of paper used per FTE (reams/FTE)</w:t>
            </w:r>
          </w:p>
        </w:tc>
        <w:tc>
          <w:tcPr>
            <w:tcW w:w="1702" w:type="dxa"/>
            <w:vAlign w:val="center"/>
          </w:tcPr>
          <w:p w14:paraId="3EBB2B8F" w14:textId="77777777" w:rsidR="00FC6F4F" w:rsidRPr="00E61B7C" w:rsidRDefault="00FC6F4F" w:rsidP="00FC6F4F">
            <w:pPr>
              <w:pStyle w:val="ARtabletextright"/>
            </w:pPr>
            <w:r>
              <w:t>5</w:t>
            </w:r>
            <w:r w:rsidRPr="00E61B7C">
              <w:t>.4</w:t>
            </w:r>
          </w:p>
        </w:tc>
        <w:tc>
          <w:tcPr>
            <w:tcW w:w="1702" w:type="dxa"/>
            <w:vAlign w:val="center"/>
          </w:tcPr>
          <w:p w14:paraId="2D82DB67" w14:textId="77777777" w:rsidR="00FC6F4F" w:rsidRPr="00E61B7C" w:rsidRDefault="00FC6F4F" w:rsidP="00FC6F4F">
            <w:pPr>
              <w:pStyle w:val="ARtabletextright"/>
            </w:pPr>
            <w:r>
              <w:t>5</w:t>
            </w:r>
            <w:r w:rsidRPr="00E61B7C">
              <w:t>.</w:t>
            </w:r>
            <w:r>
              <w:t>9</w:t>
            </w:r>
          </w:p>
        </w:tc>
        <w:tc>
          <w:tcPr>
            <w:tcW w:w="1702" w:type="dxa"/>
            <w:vAlign w:val="center"/>
          </w:tcPr>
          <w:p w14:paraId="1027B8B7" w14:textId="77777777" w:rsidR="00FC6F4F" w:rsidRPr="00E61B7C" w:rsidRDefault="00FC6F4F" w:rsidP="00FC6F4F">
            <w:pPr>
              <w:pStyle w:val="ARtabletextright"/>
            </w:pPr>
            <w:r>
              <w:t>7.3</w:t>
            </w:r>
          </w:p>
        </w:tc>
      </w:tr>
      <w:tr w:rsidR="00FC6F4F" w:rsidRPr="005209B9" w14:paraId="2896C5AB" w14:textId="77777777" w:rsidTr="00FC6F4F">
        <w:trPr>
          <w:cantSplit/>
        </w:trPr>
        <w:tc>
          <w:tcPr>
            <w:tcW w:w="4538" w:type="dxa"/>
          </w:tcPr>
          <w:p w14:paraId="3937EEBA" w14:textId="77777777" w:rsidR="00FC6F4F" w:rsidRPr="00E61B7C" w:rsidRDefault="00FC6F4F" w:rsidP="00FC6F4F">
            <w:pPr>
              <w:pStyle w:val="ARtabletextbold"/>
            </w:pPr>
            <w:r w:rsidRPr="00E61B7C">
              <w:t>Total cost of paper used ($ million)</w:t>
            </w:r>
          </w:p>
        </w:tc>
        <w:tc>
          <w:tcPr>
            <w:tcW w:w="1702" w:type="dxa"/>
            <w:vAlign w:val="center"/>
          </w:tcPr>
          <w:p w14:paraId="31CE1F87" w14:textId="77777777" w:rsidR="00FC6F4F" w:rsidRPr="00E61B7C" w:rsidRDefault="00FC6F4F" w:rsidP="00FC6F4F">
            <w:pPr>
              <w:pStyle w:val="ARtabletextrightbold"/>
            </w:pPr>
            <w:r w:rsidRPr="00E61B7C">
              <w:t>$</w:t>
            </w:r>
            <w:r>
              <w:t>1</w:t>
            </w:r>
            <w:r w:rsidRPr="00E61B7C">
              <w:t>.</w:t>
            </w:r>
            <w:r>
              <w:t>88</w:t>
            </w:r>
          </w:p>
        </w:tc>
        <w:tc>
          <w:tcPr>
            <w:tcW w:w="1702" w:type="dxa"/>
            <w:vAlign w:val="center"/>
          </w:tcPr>
          <w:p w14:paraId="4B9C3C3C" w14:textId="77777777" w:rsidR="00FC6F4F" w:rsidRPr="00E61B7C" w:rsidRDefault="00FC6F4F" w:rsidP="00FC6F4F">
            <w:pPr>
              <w:pStyle w:val="ARtabletextrightbold"/>
            </w:pPr>
            <w:r w:rsidRPr="00E61B7C">
              <w:t>$2.0</w:t>
            </w:r>
            <w:r>
              <w:t>7</w:t>
            </w:r>
          </w:p>
        </w:tc>
        <w:tc>
          <w:tcPr>
            <w:tcW w:w="1702" w:type="dxa"/>
            <w:vAlign w:val="center"/>
          </w:tcPr>
          <w:p w14:paraId="43BF9A7F" w14:textId="77777777" w:rsidR="00FC6F4F" w:rsidRPr="00E61B7C" w:rsidRDefault="00FC6F4F" w:rsidP="00FC6F4F">
            <w:pPr>
              <w:pStyle w:val="ARtabletextrightbold"/>
            </w:pPr>
            <w:r w:rsidRPr="00E61B7C">
              <w:t>$2.</w:t>
            </w:r>
            <w:r>
              <w:t>06</w:t>
            </w:r>
          </w:p>
        </w:tc>
      </w:tr>
    </w:tbl>
    <w:p w14:paraId="3B29E832" w14:textId="77777777" w:rsidR="00FC6F4F" w:rsidRPr="00E61B7C" w:rsidRDefault="00FC6F4F" w:rsidP="00FC6F4F">
      <w:pPr>
        <w:pStyle w:val="ARtablefootnote"/>
        <w:spacing w:before="60"/>
      </w:pPr>
    </w:p>
    <w:tbl>
      <w:tblPr>
        <w:tblW w:w="9644"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0A0" w:firstRow="1" w:lastRow="0" w:firstColumn="1" w:lastColumn="0" w:noHBand="0" w:noVBand="0"/>
      </w:tblPr>
      <w:tblGrid>
        <w:gridCol w:w="4538"/>
        <w:gridCol w:w="1702"/>
        <w:gridCol w:w="1702"/>
        <w:gridCol w:w="1702"/>
      </w:tblGrid>
      <w:tr w:rsidR="00FC6F4F" w:rsidRPr="005209B9" w14:paraId="332F7E3C" w14:textId="77777777" w:rsidTr="00FC6F4F">
        <w:trPr>
          <w:cantSplit/>
          <w:tblHeader/>
        </w:trPr>
        <w:tc>
          <w:tcPr>
            <w:tcW w:w="4538" w:type="dxa"/>
          </w:tcPr>
          <w:p w14:paraId="51BD8D0C" w14:textId="77777777" w:rsidR="00FC6F4F" w:rsidRPr="00E61B7C" w:rsidRDefault="00FC6F4F" w:rsidP="00FC6F4F">
            <w:pPr>
              <w:pStyle w:val="ARtablecolhead"/>
            </w:pPr>
            <w:r w:rsidRPr="00E61B7C">
              <w:t>Percentage recycled content copy paper purchased</w:t>
            </w:r>
          </w:p>
        </w:tc>
        <w:tc>
          <w:tcPr>
            <w:tcW w:w="1702" w:type="dxa"/>
            <w:vAlign w:val="center"/>
          </w:tcPr>
          <w:p w14:paraId="6FD8D8C1" w14:textId="77777777" w:rsidR="00FC6F4F" w:rsidRPr="00E61B7C" w:rsidRDefault="00FC6F4F" w:rsidP="00FC6F4F">
            <w:pPr>
              <w:pStyle w:val="ARtablecolheadright"/>
            </w:pPr>
            <w:r w:rsidRPr="00E61B7C">
              <w:t xml:space="preserve">2020–21 </w:t>
            </w:r>
            <w:r>
              <w:t>estimate</w:t>
            </w:r>
          </w:p>
        </w:tc>
        <w:tc>
          <w:tcPr>
            <w:tcW w:w="1702" w:type="dxa"/>
            <w:vAlign w:val="center"/>
          </w:tcPr>
          <w:p w14:paraId="6D004452" w14:textId="77777777" w:rsidR="00FC6F4F" w:rsidRPr="00E61B7C" w:rsidRDefault="00FC6F4F" w:rsidP="00FC6F4F">
            <w:pPr>
              <w:pStyle w:val="ARtablecolheadright"/>
            </w:pPr>
            <w:r w:rsidRPr="00E61B7C">
              <w:t xml:space="preserve">2019–20 </w:t>
            </w:r>
            <w:r>
              <w:t>estimate</w:t>
            </w:r>
          </w:p>
        </w:tc>
        <w:tc>
          <w:tcPr>
            <w:tcW w:w="1702" w:type="dxa"/>
            <w:vAlign w:val="center"/>
          </w:tcPr>
          <w:p w14:paraId="3E49E052" w14:textId="77777777" w:rsidR="00FC6F4F" w:rsidRPr="00E61B7C" w:rsidRDefault="00FC6F4F" w:rsidP="00FC6F4F">
            <w:pPr>
              <w:pStyle w:val="ARtablecolheadright"/>
            </w:pPr>
            <w:r w:rsidRPr="00E61B7C">
              <w:t xml:space="preserve">2018–19 </w:t>
            </w:r>
            <w:r>
              <w:t>estimate</w:t>
            </w:r>
          </w:p>
        </w:tc>
      </w:tr>
      <w:tr w:rsidR="00FC6F4F" w:rsidRPr="005209B9" w14:paraId="20AE3BCB" w14:textId="77777777" w:rsidTr="00FC6F4F">
        <w:trPr>
          <w:cantSplit/>
        </w:trPr>
        <w:tc>
          <w:tcPr>
            <w:tcW w:w="4538" w:type="dxa"/>
          </w:tcPr>
          <w:p w14:paraId="400A9279" w14:textId="77777777" w:rsidR="00FC6F4F" w:rsidRPr="00E61B7C" w:rsidRDefault="00FC6F4F" w:rsidP="00FC6F4F">
            <w:pPr>
              <w:pStyle w:val="ARtabletext"/>
            </w:pPr>
            <w:r w:rsidRPr="00E61B7C">
              <w:t>75–100 per cent recycled</w:t>
            </w:r>
          </w:p>
        </w:tc>
        <w:tc>
          <w:tcPr>
            <w:tcW w:w="1702" w:type="dxa"/>
            <w:vAlign w:val="center"/>
          </w:tcPr>
          <w:p w14:paraId="70A1FB27" w14:textId="77777777" w:rsidR="00FC6F4F" w:rsidRPr="00E61B7C" w:rsidRDefault="00FC6F4F" w:rsidP="00FC6F4F">
            <w:pPr>
              <w:pStyle w:val="ARtabletextright"/>
            </w:pPr>
            <w:r>
              <w:t>2</w:t>
            </w:r>
            <w:r w:rsidRPr="00E61B7C">
              <w:t>%</w:t>
            </w:r>
          </w:p>
        </w:tc>
        <w:tc>
          <w:tcPr>
            <w:tcW w:w="1702" w:type="dxa"/>
            <w:vAlign w:val="center"/>
          </w:tcPr>
          <w:p w14:paraId="112D0726" w14:textId="77777777" w:rsidR="00FC6F4F" w:rsidRPr="00E61B7C" w:rsidRDefault="00FC6F4F" w:rsidP="00FC6F4F">
            <w:pPr>
              <w:pStyle w:val="ARtabletextright"/>
            </w:pPr>
            <w:r>
              <w:t>5</w:t>
            </w:r>
            <w:r w:rsidRPr="00E61B7C">
              <w:t>%</w:t>
            </w:r>
          </w:p>
        </w:tc>
        <w:tc>
          <w:tcPr>
            <w:tcW w:w="1702" w:type="dxa"/>
            <w:vAlign w:val="center"/>
          </w:tcPr>
          <w:p w14:paraId="0777F993" w14:textId="77777777" w:rsidR="00FC6F4F" w:rsidRPr="00E61B7C" w:rsidRDefault="00FC6F4F" w:rsidP="00FC6F4F">
            <w:pPr>
              <w:pStyle w:val="ARtabletextright"/>
            </w:pPr>
            <w:r w:rsidRPr="00E61B7C">
              <w:t>3%</w:t>
            </w:r>
          </w:p>
        </w:tc>
      </w:tr>
      <w:tr w:rsidR="00FC6F4F" w:rsidRPr="005209B9" w14:paraId="2D39126E" w14:textId="77777777" w:rsidTr="00FC6F4F">
        <w:trPr>
          <w:cantSplit/>
        </w:trPr>
        <w:tc>
          <w:tcPr>
            <w:tcW w:w="4538" w:type="dxa"/>
          </w:tcPr>
          <w:p w14:paraId="5738A7D9" w14:textId="77777777" w:rsidR="00FC6F4F" w:rsidRPr="00E61B7C" w:rsidRDefault="00FC6F4F" w:rsidP="00FC6F4F">
            <w:pPr>
              <w:pStyle w:val="ARtabletext"/>
            </w:pPr>
            <w:r w:rsidRPr="00E61B7C">
              <w:t>50–74 per cent recycled</w:t>
            </w:r>
          </w:p>
        </w:tc>
        <w:tc>
          <w:tcPr>
            <w:tcW w:w="1702" w:type="dxa"/>
            <w:vAlign w:val="center"/>
          </w:tcPr>
          <w:p w14:paraId="338C0627" w14:textId="77777777" w:rsidR="00FC6F4F" w:rsidRPr="00E61B7C" w:rsidRDefault="00FC6F4F" w:rsidP="00FC6F4F">
            <w:pPr>
              <w:pStyle w:val="ARtabletextright"/>
            </w:pPr>
            <w:r w:rsidRPr="00E61B7C">
              <w:t>1%</w:t>
            </w:r>
          </w:p>
        </w:tc>
        <w:tc>
          <w:tcPr>
            <w:tcW w:w="1702" w:type="dxa"/>
            <w:vAlign w:val="center"/>
          </w:tcPr>
          <w:p w14:paraId="1DD4C33D" w14:textId="77777777" w:rsidR="00FC6F4F" w:rsidRPr="00E61B7C" w:rsidRDefault="00FC6F4F" w:rsidP="00FC6F4F">
            <w:pPr>
              <w:pStyle w:val="ARtabletextright"/>
            </w:pPr>
            <w:r w:rsidRPr="00E61B7C">
              <w:t>1%</w:t>
            </w:r>
          </w:p>
        </w:tc>
        <w:tc>
          <w:tcPr>
            <w:tcW w:w="1702" w:type="dxa"/>
            <w:vAlign w:val="center"/>
          </w:tcPr>
          <w:p w14:paraId="0652B010" w14:textId="77777777" w:rsidR="00FC6F4F" w:rsidRPr="00E61B7C" w:rsidRDefault="00FC6F4F" w:rsidP="00FC6F4F">
            <w:pPr>
              <w:pStyle w:val="ARtabletextright"/>
            </w:pPr>
            <w:r w:rsidRPr="00E61B7C">
              <w:t>4%</w:t>
            </w:r>
          </w:p>
        </w:tc>
      </w:tr>
      <w:tr w:rsidR="00FC6F4F" w:rsidRPr="005209B9" w14:paraId="3ABB9576" w14:textId="77777777" w:rsidTr="00FC6F4F">
        <w:trPr>
          <w:cantSplit/>
        </w:trPr>
        <w:tc>
          <w:tcPr>
            <w:tcW w:w="4538" w:type="dxa"/>
          </w:tcPr>
          <w:p w14:paraId="0184DDC8" w14:textId="77777777" w:rsidR="00FC6F4F" w:rsidRPr="00E61B7C" w:rsidRDefault="00FC6F4F" w:rsidP="00FC6F4F">
            <w:pPr>
              <w:pStyle w:val="ARtabletext"/>
            </w:pPr>
            <w:r w:rsidRPr="00E61B7C">
              <w:t>0–49 per cent recycled</w:t>
            </w:r>
          </w:p>
        </w:tc>
        <w:tc>
          <w:tcPr>
            <w:tcW w:w="1702" w:type="dxa"/>
            <w:vAlign w:val="center"/>
          </w:tcPr>
          <w:p w14:paraId="613CF0A2" w14:textId="77777777" w:rsidR="00FC6F4F" w:rsidRPr="00E61B7C" w:rsidRDefault="00FC6F4F" w:rsidP="00FC6F4F">
            <w:pPr>
              <w:pStyle w:val="ARtabletextright"/>
            </w:pPr>
            <w:r w:rsidRPr="00E61B7C">
              <w:t>9</w:t>
            </w:r>
            <w:r>
              <w:t>7</w:t>
            </w:r>
            <w:r w:rsidRPr="00E61B7C">
              <w:t>%</w:t>
            </w:r>
          </w:p>
        </w:tc>
        <w:tc>
          <w:tcPr>
            <w:tcW w:w="1702" w:type="dxa"/>
            <w:vAlign w:val="center"/>
          </w:tcPr>
          <w:p w14:paraId="79E872C8" w14:textId="77777777" w:rsidR="00FC6F4F" w:rsidRPr="00E61B7C" w:rsidRDefault="00FC6F4F" w:rsidP="00FC6F4F">
            <w:pPr>
              <w:pStyle w:val="ARtabletextright"/>
            </w:pPr>
            <w:r w:rsidRPr="00E61B7C">
              <w:t>94%</w:t>
            </w:r>
          </w:p>
        </w:tc>
        <w:tc>
          <w:tcPr>
            <w:tcW w:w="1702" w:type="dxa"/>
            <w:vAlign w:val="center"/>
          </w:tcPr>
          <w:p w14:paraId="65885897" w14:textId="77777777" w:rsidR="00FC6F4F" w:rsidRPr="00E61B7C" w:rsidRDefault="00FC6F4F" w:rsidP="00FC6F4F">
            <w:pPr>
              <w:pStyle w:val="ARtabletextright"/>
            </w:pPr>
            <w:r w:rsidRPr="00E61B7C">
              <w:t>93%</w:t>
            </w:r>
          </w:p>
        </w:tc>
      </w:tr>
      <w:tr w:rsidR="00FC6F4F" w:rsidRPr="005209B9" w14:paraId="45752062" w14:textId="77777777" w:rsidTr="00FC6F4F">
        <w:trPr>
          <w:cantSplit/>
        </w:trPr>
        <w:tc>
          <w:tcPr>
            <w:tcW w:w="4538" w:type="dxa"/>
          </w:tcPr>
          <w:p w14:paraId="4961AC54" w14:textId="1124FDE8" w:rsidR="00FC6F4F" w:rsidRPr="00E17895" w:rsidRDefault="00FC6F4F" w:rsidP="00FC6F4F">
            <w:pPr>
              <w:pStyle w:val="ARtabletext"/>
              <w:rPr>
                <w:rStyle w:val="FootnoteReference"/>
              </w:rPr>
            </w:pPr>
            <w:r w:rsidRPr="00E61B7C">
              <w:t>Certified fibre sourcing</w:t>
            </w:r>
          </w:p>
        </w:tc>
        <w:tc>
          <w:tcPr>
            <w:tcW w:w="1702" w:type="dxa"/>
            <w:vAlign w:val="center"/>
          </w:tcPr>
          <w:p w14:paraId="431CF1E6" w14:textId="77777777" w:rsidR="00FC6F4F" w:rsidRPr="00E61B7C" w:rsidRDefault="00FC6F4F" w:rsidP="00FC6F4F">
            <w:pPr>
              <w:pStyle w:val="ARtabletextright"/>
            </w:pPr>
            <w:r w:rsidRPr="00E61B7C">
              <w:t>100%</w:t>
            </w:r>
          </w:p>
        </w:tc>
        <w:tc>
          <w:tcPr>
            <w:tcW w:w="1702" w:type="dxa"/>
            <w:vAlign w:val="center"/>
          </w:tcPr>
          <w:p w14:paraId="4878E729" w14:textId="77777777" w:rsidR="00FC6F4F" w:rsidRPr="00E61B7C" w:rsidRDefault="00FC6F4F" w:rsidP="00FC6F4F">
            <w:pPr>
              <w:pStyle w:val="ARtabletextright"/>
            </w:pPr>
            <w:r w:rsidRPr="00E61B7C">
              <w:t>100%</w:t>
            </w:r>
          </w:p>
        </w:tc>
        <w:tc>
          <w:tcPr>
            <w:tcW w:w="1702" w:type="dxa"/>
            <w:vAlign w:val="center"/>
          </w:tcPr>
          <w:p w14:paraId="6148EB3B" w14:textId="77777777" w:rsidR="00FC6F4F" w:rsidRPr="00E61B7C" w:rsidRDefault="00FC6F4F" w:rsidP="00FC6F4F">
            <w:pPr>
              <w:pStyle w:val="ARtabletextright"/>
            </w:pPr>
            <w:r w:rsidRPr="00E61B7C">
              <w:t>100%</w:t>
            </w:r>
          </w:p>
        </w:tc>
      </w:tr>
    </w:tbl>
    <w:p w14:paraId="3968234C" w14:textId="77777777" w:rsidR="00FC6F4F" w:rsidRPr="00E61B7C" w:rsidRDefault="00FC6F4F" w:rsidP="00FC6F4F">
      <w:pPr>
        <w:pStyle w:val="ARtablefootnote"/>
        <w:spacing w:before="60"/>
      </w:pPr>
      <w:bookmarkStart w:id="672" w:name="_Ref492905747"/>
      <w:bookmarkStart w:id="673" w:name="_Ref525048351"/>
      <w:bookmarkEnd w:id="670"/>
      <w:r w:rsidRPr="00E61B7C">
        <w:t>Public health services are GST-exempt organisations. Reported cost data for public health services is exclusive of GST.</w:t>
      </w:r>
    </w:p>
    <w:p w14:paraId="6B1EF053" w14:textId="77777777" w:rsidR="00FC6F4F" w:rsidRPr="00E61B7C" w:rsidRDefault="00FC6F4F" w:rsidP="00FC6F4F">
      <w:pPr>
        <w:pStyle w:val="ARtablefootnote"/>
        <w:spacing w:before="60"/>
      </w:pPr>
      <w:r w:rsidRPr="00E61B7C">
        <w:t xml:space="preserve">Paper data is sourced from the statewide stationery contract managed by </w:t>
      </w:r>
      <w:r>
        <w:t>HealthShare</w:t>
      </w:r>
      <w:r w:rsidRPr="00E61B7C">
        <w:t xml:space="preserve"> Victoria and apportioned by FTE to those health services that do not procure office paper through this contract. FTE is the full-time equivalent staff employed by a public health service as of 30 June for the financial year.</w:t>
      </w:r>
    </w:p>
    <w:p w14:paraId="3B47A242" w14:textId="77777777" w:rsidR="00FC6F4F" w:rsidRPr="002029AF" w:rsidRDefault="00FC6F4F" w:rsidP="001C1AB1">
      <w:pPr>
        <w:pStyle w:val="Heading4"/>
      </w:pPr>
      <w:bookmarkStart w:id="674" w:name="_Ref21957068"/>
      <w:bookmarkStart w:id="675" w:name="_Toc51786529"/>
      <w:bookmarkStart w:id="676" w:name="_Toc85121337"/>
      <w:r w:rsidRPr="002029AF">
        <w:lastRenderedPageBreak/>
        <w:t>National pollutant inventory</w:t>
      </w:r>
      <w:bookmarkEnd w:id="672"/>
      <w:bookmarkEnd w:id="673"/>
      <w:bookmarkEnd w:id="674"/>
      <w:bookmarkEnd w:id="675"/>
      <w:bookmarkEnd w:id="676"/>
    </w:p>
    <w:p w14:paraId="46287E91" w14:textId="1C69614B" w:rsidR="00FC6F4F" w:rsidRPr="002029AF" w:rsidRDefault="00FC6F4F" w:rsidP="00E17895">
      <w:pPr>
        <w:pStyle w:val="ARbodybeforetable"/>
        <w:keepLines/>
      </w:pPr>
      <w:r w:rsidRPr="002029AF">
        <w:t>The Commonwealth National Pollutant Inventory (NPI) provides the community, industry and government with information on substances emitted to the air, land and water. The inventory tracks the amount, in kilograms, of substances emitted by organisations that trigger the reporting threshold. The table below is an</w:t>
      </w:r>
      <w:r w:rsidR="00243691">
        <w:t> </w:t>
      </w:r>
      <w:r w:rsidRPr="002029AF">
        <w:t>aggregation of substances reported by Victorian public health services through the NPI.</w:t>
      </w:r>
    </w:p>
    <w:tbl>
      <w:tblPr>
        <w:tblW w:w="9616" w:type="dxa"/>
        <w:jc w:val="center"/>
        <w:tblBorders>
          <w:insideH w:val="single" w:sz="4" w:space="0" w:color="000000" w:themeColor="text1"/>
        </w:tblBorders>
        <w:tblLayout w:type="fixed"/>
        <w:tblCellMar>
          <w:left w:w="0" w:type="dxa"/>
        </w:tblCellMar>
        <w:tblLook w:val="00A0" w:firstRow="1" w:lastRow="0" w:firstColumn="1" w:lastColumn="0" w:noHBand="0" w:noVBand="0"/>
      </w:tblPr>
      <w:tblGrid>
        <w:gridCol w:w="4525"/>
        <w:gridCol w:w="1697"/>
        <w:gridCol w:w="1697"/>
        <w:gridCol w:w="1697"/>
      </w:tblGrid>
      <w:tr w:rsidR="00FC6F4F" w:rsidRPr="002029AF" w14:paraId="12DDEA07" w14:textId="77777777" w:rsidTr="00FC6F4F">
        <w:trPr>
          <w:cantSplit/>
          <w:tblHeader/>
          <w:jc w:val="center"/>
        </w:trPr>
        <w:tc>
          <w:tcPr>
            <w:tcW w:w="4525" w:type="dxa"/>
            <w:tcBorders>
              <w:top w:val="nil"/>
              <w:left w:val="single" w:sz="4" w:space="0" w:color="FFFFFF" w:themeColor="background1"/>
              <w:bottom w:val="single" w:sz="4" w:space="0" w:color="000000" w:themeColor="text1"/>
              <w:right w:val="single" w:sz="4" w:space="0" w:color="FFFFFF" w:themeColor="background1"/>
            </w:tcBorders>
            <w:vAlign w:val="bottom"/>
          </w:tcPr>
          <w:p w14:paraId="1A8C4A2F" w14:textId="77777777" w:rsidR="00FC6F4F" w:rsidRPr="002029AF" w:rsidRDefault="00FC6F4F" w:rsidP="00FC6F4F">
            <w:pPr>
              <w:pStyle w:val="ARtablecolhead"/>
              <w:spacing w:line="240" w:lineRule="auto"/>
            </w:pPr>
            <w:r w:rsidRPr="002029AF">
              <w:t>Description</w:t>
            </w:r>
          </w:p>
        </w:tc>
        <w:tc>
          <w:tcPr>
            <w:tcW w:w="1697" w:type="dxa"/>
            <w:tcBorders>
              <w:top w:val="nil"/>
              <w:left w:val="single" w:sz="4" w:space="0" w:color="FFFFFF" w:themeColor="background1"/>
              <w:bottom w:val="single" w:sz="4" w:space="0" w:color="000000" w:themeColor="text1"/>
              <w:right w:val="single" w:sz="4" w:space="0" w:color="FFFFFF" w:themeColor="background1"/>
            </w:tcBorders>
            <w:vAlign w:val="bottom"/>
          </w:tcPr>
          <w:p w14:paraId="1306A7D2" w14:textId="77777777" w:rsidR="00FC6F4F" w:rsidRPr="002029AF" w:rsidRDefault="00FC6F4F" w:rsidP="00FC6F4F">
            <w:pPr>
              <w:pStyle w:val="ARtablecolheadright"/>
            </w:pPr>
            <w:r w:rsidRPr="55B503E1">
              <w:rPr>
                <w:color w:val="000000" w:themeColor="text1"/>
              </w:rPr>
              <w:t>2020–21 estimate</w:t>
            </w:r>
          </w:p>
        </w:tc>
        <w:tc>
          <w:tcPr>
            <w:tcW w:w="1697" w:type="dxa"/>
            <w:tcBorders>
              <w:top w:val="nil"/>
              <w:left w:val="single" w:sz="4" w:space="0" w:color="FFFFFF" w:themeColor="background1"/>
              <w:bottom w:val="single" w:sz="4" w:space="0" w:color="000000" w:themeColor="text1"/>
              <w:right w:val="single" w:sz="4" w:space="0" w:color="FFFFFF" w:themeColor="background1"/>
            </w:tcBorders>
            <w:vAlign w:val="bottom"/>
          </w:tcPr>
          <w:p w14:paraId="0160E65B" w14:textId="77777777" w:rsidR="00FC6F4F" w:rsidRPr="002029AF" w:rsidRDefault="00FC6F4F" w:rsidP="00FC6F4F">
            <w:pPr>
              <w:pStyle w:val="ARtablecolheadright"/>
            </w:pPr>
            <w:r w:rsidRPr="55B503E1">
              <w:rPr>
                <w:color w:val="000000" w:themeColor="text1"/>
              </w:rPr>
              <w:t>2019–20 estimate</w:t>
            </w:r>
          </w:p>
        </w:tc>
        <w:tc>
          <w:tcPr>
            <w:tcW w:w="1697" w:type="dxa"/>
            <w:tcBorders>
              <w:top w:val="nil"/>
              <w:left w:val="single" w:sz="4" w:space="0" w:color="FFFFFF" w:themeColor="background1"/>
              <w:bottom w:val="single" w:sz="4" w:space="0" w:color="000000" w:themeColor="text1"/>
              <w:right w:val="single" w:sz="4" w:space="0" w:color="FFFFFF" w:themeColor="background1"/>
            </w:tcBorders>
            <w:vAlign w:val="bottom"/>
          </w:tcPr>
          <w:p w14:paraId="7D71D3F9" w14:textId="77777777" w:rsidR="00FC6F4F" w:rsidRPr="002029AF" w:rsidRDefault="00FC6F4F" w:rsidP="00FC6F4F">
            <w:pPr>
              <w:pStyle w:val="ARtablecolheadright"/>
              <w:rPr>
                <w:color w:val="000000" w:themeColor="text1"/>
              </w:rPr>
            </w:pPr>
            <w:r w:rsidRPr="6DD9571F">
              <w:rPr>
                <w:color w:val="000000" w:themeColor="text1"/>
              </w:rPr>
              <w:t>2018–19 estimate</w:t>
            </w:r>
          </w:p>
        </w:tc>
      </w:tr>
      <w:tr w:rsidR="00FC6F4F" w:rsidRPr="002029AF" w14:paraId="45CD7196" w14:textId="77777777" w:rsidTr="00FC6F4F">
        <w:tblPrEx>
          <w:tblBorders>
            <w:left w:val="single" w:sz="4" w:space="0" w:color="FFFFFF"/>
            <w:bottom w:val="single" w:sz="4" w:space="0" w:color="auto"/>
            <w:right w:val="single" w:sz="4" w:space="0" w:color="FFFFFF"/>
            <w:insideH w:val="single" w:sz="4" w:space="0" w:color="auto"/>
            <w:insideV w:val="single" w:sz="4" w:space="0" w:color="FFFFFF"/>
          </w:tblBorders>
        </w:tblPrEx>
        <w:trPr>
          <w:cantSplit/>
          <w:tblHeader/>
          <w:jc w:val="center"/>
        </w:trPr>
        <w:tc>
          <w:tcPr>
            <w:tcW w:w="4525" w:type="dxa"/>
            <w:tcBorders>
              <w:left w:val="single" w:sz="4" w:space="0" w:color="FFFFFF" w:themeColor="background1"/>
              <w:bottom w:val="single" w:sz="4" w:space="0" w:color="auto"/>
              <w:right w:val="single" w:sz="4" w:space="0" w:color="FFFFFF" w:themeColor="background1"/>
            </w:tcBorders>
            <w:vAlign w:val="bottom"/>
          </w:tcPr>
          <w:p w14:paraId="6667C337" w14:textId="77777777" w:rsidR="00FC6F4F" w:rsidRPr="002029AF" w:rsidRDefault="00FC6F4F" w:rsidP="00FC6F4F">
            <w:pPr>
              <w:pStyle w:val="ARtablecolhead"/>
            </w:pPr>
            <w:r w:rsidRPr="002029AF">
              <w:t>Total units of national pollutant inventory substances emitted</w:t>
            </w:r>
          </w:p>
        </w:tc>
        <w:tc>
          <w:tcPr>
            <w:tcW w:w="1697" w:type="dxa"/>
            <w:tcBorders>
              <w:left w:val="single" w:sz="4" w:space="0" w:color="FFFFFF" w:themeColor="background1"/>
              <w:bottom w:val="single" w:sz="4" w:space="0" w:color="auto"/>
              <w:right w:val="single" w:sz="4" w:space="0" w:color="FFFFFF" w:themeColor="background1"/>
            </w:tcBorders>
            <w:vAlign w:val="bottom"/>
          </w:tcPr>
          <w:p w14:paraId="35B9096C" w14:textId="77777777" w:rsidR="00FC6F4F" w:rsidRPr="002029AF" w:rsidRDefault="00FC6F4F" w:rsidP="00FC6F4F">
            <w:pPr>
              <w:pStyle w:val="ARtablecolheadright"/>
            </w:pPr>
            <w:r w:rsidRPr="002029AF">
              <w:t>Emissions</w:t>
            </w:r>
          </w:p>
          <w:p w14:paraId="16AB320E" w14:textId="77777777" w:rsidR="00FC6F4F" w:rsidRPr="002029AF" w:rsidRDefault="00FC6F4F" w:rsidP="00FC6F4F">
            <w:pPr>
              <w:pStyle w:val="ARtablecolheadright"/>
            </w:pPr>
            <w:r w:rsidRPr="002029AF">
              <w:t>(kilograms)</w:t>
            </w:r>
          </w:p>
        </w:tc>
        <w:tc>
          <w:tcPr>
            <w:tcW w:w="1697" w:type="dxa"/>
            <w:tcBorders>
              <w:left w:val="single" w:sz="4" w:space="0" w:color="FFFFFF" w:themeColor="background1"/>
              <w:bottom w:val="single" w:sz="4" w:space="0" w:color="auto"/>
              <w:right w:val="single" w:sz="4" w:space="0" w:color="FFFFFF" w:themeColor="background1"/>
            </w:tcBorders>
            <w:vAlign w:val="bottom"/>
          </w:tcPr>
          <w:p w14:paraId="40ABF0F1" w14:textId="77777777" w:rsidR="00FC6F4F" w:rsidRPr="002029AF" w:rsidRDefault="00FC6F4F" w:rsidP="00FC6F4F">
            <w:pPr>
              <w:pStyle w:val="ARtablecolheadright"/>
            </w:pPr>
            <w:r w:rsidRPr="002029AF">
              <w:t>Emissions</w:t>
            </w:r>
          </w:p>
          <w:p w14:paraId="1F472DB0" w14:textId="77777777" w:rsidR="00FC6F4F" w:rsidRPr="002029AF" w:rsidRDefault="00FC6F4F" w:rsidP="00FC6F4F">
            <w:pPr>
              <w:pStyle w:val="ARtablecolheadright"/>
            </w:pPr>
            <w:r w:rsidRPr="002029AF">
              <w:t>(kilograms)</w:t>
            </w:r>
          </w:p>
        </w:tc>
        <w:tc>
          <w:tcPr>
            <w:tcW w:w="1697" w:type="dxa"/>
            <w:tcBorders>
              <w:left w:val="single" w:sz="4" w:space="0" w:color="FFFFFF" w:themeColor="background1"/>
              <w:bottom w:val="single" w:sz="4" w:space="0" w:color="auto"/>
              <w:right w:val="single" w:sz="4" w:space="0" w:color="FFFFFF" w:themeColor="background1"/>
            </w:tcBorders>
            <w:vAlign w:val="bottom"/>
          </w:tcPr>
          <w:p w14:paraId="08B06E24" w14:textId="77777777" w:rsidR="00FC6F4F" w:rsidRPr="002029AF" w:rsidRDefault="00FC6F4F" w:rsidP="00FC6F4F">
            <w:pPr>
              <w:pStyle w:val="ARtablecolheadright"/>
            </w:pPr>
            <w:r w:rsidRPr="002029AF">
              <w:t>Emissions</w:t>
            </w:r>
          </w:p>
          <w:p w14:paraId="737E0D34" w14:textId="77777777" w:rsidR="00FC6F4F" w:rsidRPr="002029AF" w:rsidRDefault="00FC6F4F" w:rsidP="00FC6F4F">
            <w:pPr>
              <w:pStyle w:val="ARtablecolheadright"/>
            </w:pPr>
            <w:r w:rsidRPr="002029AF">
              <w:t>(kilograms)</w:t>
            </w:r>
          </w:p>
        </w:tc>
      </w:tr>
      <w:tr w:rsidR="00FC6F4F" w:rsidRPr="002029AF" w14:paraId="4BD604FC" w14:textId="77777777" w:rsidTr="008D70C0">
        <w:trPr>
          <w:cantSplit/>
          <w:jc w:val="center"/>
        </w:trPr>
        <w:tc>
          <w:tcPr>
            <w:tcW w:w="452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758B5E55" w14:textId="77777777" w:rsidR="00FC6F4F" w:rsidRPr="002029AF" w:rsidRDefault="00FC6F4F" w:rsidP="00FC6F4F">
            <w:pPr>
              <w:pStyle w:val="ARtabletext"/>
            </w:pPr>
            <w:r w:rsidRPr="002029AF">
              <w:t>Carbon monoxide</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7EAED0B8" w14:textId="77777777" w:rsidR="00FC6F4F" w:rsidRPr="002029AF" w:rsidRDefault="00FC6F4F" w:rsidP="00FC6F4F">
            <w:pPr>
              <w:pStyle w:val="ARtabletextright"/>
            </w:pPr>
            <w:r>
              <w:t>NA</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138A2E23" w14:textId="77777777" w:rsidR="00FC6F4F" w:rsidRPr="002029AF" w:rsidRDefault="00FC6F4F" w:rsidP="00FC6F4F">
            <w:pPr>
              <w:pStyle w:val="ARtabletextright"/>
            </w:pPr>
            <w:r>
              <w:t>62,875</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3718C1F7" w14:textId="77777777" w:rsidR="00FC6F4F" w:rsidRPr="002029AF" w:rsidRDefault="00FC6F4F" w:rsidP="00FC6F4F">
            <w:pPr>
              <w:pStyle w:val="ARtabletextright"/>
            </w:pPr>
            <w:r>
              <w:t>83,649</w:t>
            </w:r>
          </w:p>
        </w:tc>
      </w:tr>
      <w:tr w:rsidR="00FC6F4F" w:rsidRPr="002029AF" w14:paraId="673A7A29" w14:textId="77777777" w:rsidTr="00FC6F4F">
        <w:trPr>
          <w:cantSplit/>
          <w:jc w:val="center"/>
        </w:trPr>
        <w:tc>
          <w:tcPr>
            <w:tcW w:w="452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6C8A12BB" w14:textId="77777777" w:rsidR="00FC6F4F" w:rsidRPr="002029AF" w:rsidRDefault="00FC6F4F" w:rsidP="00FC6F4F">
            <w:pPr>
              <w:pStyle w:val="ARtabletext"/>
            </w:pPr>
            <w:r w:rsidRPr="002029AF">
              <w:t>Oxides of nitrogen</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07FD9250" w14:textId="77777777" w:rsidR="00FC6F4F" w:rsidRPr="002029AF" w:rsidRDefault="00FC6F4F" w:rsidP="00FC6F4F">
            <w:pPr>
              <w:pStyle w:val="ARtabletextright"/>
            </w:pPr>
            <w:r>
              <w:t>N/A</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25E2BCA3" w14:textId="77777777" w:rsidR="00FC6F4F" w:rsidRPr="002029AF" w:rsidRDefault="00FC6F4F" w:rsidP="00FC6F4F">
            <w:pPr>
              <w:pStyle w:val="ARtabletextright"/>
            </w:pPr>
            <w:r>
              <w:t xml:space="preserve">76,634 </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066B8E30" w14:textId="77777777" w:rsidR="00FC6F4F" w:rsidRPr="002029AF" w:rsidRDefault="00FC6F4F" w:rsidP="00FC6F4F">
            <w:pPr>
              <w:pStyle w:val="ARtabletextright"/>
            </w:pPr>
            <w:r>
              <w:t>126,226</w:t>
            </w:r>
          </w:p>
        </w:tc>
      </w:tr>
      <w:tr w:rsidR="00FC6F4F" w:rsidRPr="002029AF" w14:paraId="01D0FA94" w14:textId="77777777" w:rsidTr="00FC6F4F">
        <w:trPr>
          <w:cantSplit/>
          <w:jc w:val="center"/>
        </w:trPr>
        <w:tc>
          <w:tcPr>
            <w:tcW w:w="452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496D75F9" w14:textId="01D5A718" w:rsidR="00FC6F4F" w:rsidRPr="00E17895" w:rsidRDefault="00FC6F4F" w:rsidP="00FC6F4F">
            <w:pPr>
              <w:pStyle w:val="ARtabletext"/>
              <w:rPr>
                <w:rStyle w:val="FootnoteReference"/>
              </w:rPr>
            </w:pPr>
            <w:r w:rsidRPr="002029AF">
              <w:t>Particulate matter (2.5 µm and 10 µm)</w:t>
            </w:r>
            <w:r w:rsidR="00E17895">
              <w:rPr>
                <w:rStyle w:val="FootnoteReference"/>
              </w:rPr>
              <w:t>(</w:t>
            </w:r>
            <w:r w:rsidR="00E17895">
              <w:rPr>
                <w:rStyle w:val="FootnoteReference"/>
              </w:rPr>
              <w:footnoteReference w:id="46"/>
            </w:r>
            <w:r w:rsidR="00E17895">
              <w:rPr>
                <w:rStyle w:val="FootnoteReference"/>
              </w:rPr>
              <w:t>)</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0753ADB3" w14:textId="77777777" w:rsidR="00FC6F4F" w:rsidRPr="002029AF" w:rsidRDefault="00FC6F4F" w:rsidP="00FC6F4F">
            <w:pPr>
              <w:pStyle w:val="ARtabletextright"/>
            </w:pPr>
            <w:r>
              <w:t>N/A</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303B5025" w14:textId="77777777" w:rsidR="00FC6F4F" w:rsidRPr="002029AF" w:rsidRDefault="00FC6F4F" w:rsidP="00FC6F4F">
            <w:pPr>
              <w:pStyle w:val="ARtabletextright"/>
            </w:pPr>
            <w:r>
              <w:t>5,413</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6E7E640B" w14:textId="77777777" w:rsidR="00FC6F4F" w:rsidRPr="002029AF" w:rsidRDefault="00FC6F4F" w:rsidP="00FC6F4F">
            <w:pPr>
              <w:pStyle w:val="ARtabletextright"/>
            </w:pPr>
            <w:r w:rsidRPr="002029AF">
              <w:t>12,</w:t>
            </w:r>
            <w:r>
              <w:t>875</w:t>
            </w:r>
          </w:p>
        </w:tc>
      </w:tr>
      <w:tr w:rsidR="00FC6F4F" w:rsidRPr="002029AF" w14:paraId="2DAB5530" w14:textId="77777777" w:rsidTr="00FC6F4F">
        <w:trPr>
          <w:cantSplit/>
          <w:jc w:val="center"/>
        </w:trPr>
        <w:tc>
          <w:tcPr>
            <w:tcW w:w="452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4929A78D" w14:textId="77777777" w:rsidR="00FC6F4F" w:rsidRPr="002029AF" w:rsidRDefault="00FC6F4F" w:rsidP="00FC6F4F">
            <w:pPr>
              <w:pStyle w:val="ARtabletext"/>
            </w:pPr>
            <w:r w:rsidRPr="002029AF">
              <w:t>Total volatile organic compounds</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5E0DB75F" w14:textId="77777777" w:rsidR="00FC6F4F" w:rsidRPr="002029AF" w:rsidRDefault="00FC6F4F" w:rsidP="00FC6F4F">
            <w:pPr>
              <w:pStyle w:val="ARtabletextright"/>
            </w:pPr>
            <w:r>
              <w:t>N/A</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4F409E9D" w14:textId="77777777" w:rsidR="00FC6F4F" w:rsidRPr="002029AF" w:rsidRDefault="00FC6F4F" w:rsidP="00FC6F4F">
            <w:pPr>
              <w:pStyle w:val="ARtabletextright"/>
            </w:pPr>
            <w:r>
              <w:t xml:space="preserve">4,387 </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7D11C479" w14:textId="77777777" w:rsidR="00FC6F4F" w:rsidRPr="002029AF" w:rsidRDefault="00FC6F4F" w:rsidP="00FC6F4F">
            <w:pPr>
              <w:pStyle w:val="ARtabletextright"/>
            </w:pPr>
            <w:r>
              <w:t>6,536</w:t>
            </w:r>
          </w:p>
        </w:tc>
      </w:tr>
      <w:tr w:rsidR="00FC6F4F" w:rsidRPr="002029AF" w14:paraId="512F1DEA" w14:textId="77777777" w:rsidTr="00FC6F4F">
        <w:trPr>
          <w:cantSplit/>
          <w:jc w:val="center"/>
        </w:trPr>
        <w:tc>
          <w:tcPr>
            <w:tcW w:w="452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20EFD666" w14:textId="77777777" w:rsidR="00FC6F4F" w:rsidRPr="002029AF" w:rsidRDefault="00FC6F4F" w:rsidP="00FC6F4F">
            <w:pPr>
              <w:pStyle w:val="ARtabletext"/>
            </w:pPr>
            <w:r w:rsidRPr="002029AF">
              <w:t>Sulphur dioxide</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2C00D73B" w14:textId="77777777" w:rsidR="00FC6F4F" w:rsidRPr="002029AF" w:rsidRDefault="00FC6F4F" w:rsidP="00FC6F4F">
            <w:pPr>
              <w:pStyle w:val="ARtabletextright"/>
            </w:pPr>
            <w:r>
              <w:t>N/A</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374DB38C" w14:textId="77777777" w:rsidR="00FC6F4F" w:rsidRPr="002029AF" w:rsidRDefault="00FC6F4F" w:rsidP="00FC6F4F">
            <w:pPr>
              <w:pStyle w:val="ARtabletextright"/>
            </w:pPr>
            <w:r>
              <w:t xml:space="preserve">766 </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3AEDD5C8" w14:textId="77777777" w:rsidR="00FC6F4F" w:rsidRPr="002029AF" w:rsidRDefault="00FC6F4F" w:rsidP="00FC6F4F">
            <w:pPr>
              <w:pStyle w:val="ARtabletextright"/>
            </w:pPr>
            <w:r>
              <w:t>916</w:t>
            </w:r>
          </w:p>
        </w:tc>
      </w:tr>
      <w:tr w:rsidR="00FC6F4F" w:rsidRPr="002029AF" w14:paraId="7C26A098" w14:textId="77777777" w:rsidTr="008D70C0">
        <w:trPr>
          <w:cantSplit/>
          <w:jc w:val="center"/>
        </w:trPr>
        <w:tc>
          <w:tcPr>
            <w:tcW w:w="4525"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tcPr>
          <w:p w14:paraId="179B860F" w14:textId="0E36494A" w:rsidR="00FC6F4F" w:rsidRPr="00E17895" w:rsidRDefault="00FC6F4F" w:rsidP="00FC6F4F">
            <w:pPr>
              <w:pStyle w:val="ARtabletext"/>
              <w:rPr>
                <w:rStyle w:val="FootnoteReference"/>
              </w:rPr>
            </w:pPr>
            <w:r w:rsidRPr="002029AF">
              <w:t>Other substances</w:t>
            </w:r>
            <w:r w:rsidR="00E17895">
              <w:rPr>
                <w:rStyle w:val="FootnoteReference"/>
              </w:rPr>
              <w:t>(</w:t>
            </w:r>
            <w:r w:rsidR="00E17895">
              <w:rPr>
                <w:rStyle w:val="FootnoteReference"/>
              </w:rPr>
              <w:footnoteReference w:id="47"/>
            </w:r>
            <w:r w:rsidR="00E17895">
              <w:rPr>
                <w:rStyle w:val="FootnoteReference"/>
              </w:rPr>
              <w:t>)</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44729E14" w14:textId="77777777" w:rsidR="00FC6F4F" w:rsidRPr="002029AF" w:rsidRDefault="00FC6F4F" w:rsidP="00FC6F4F">
            <w:pPr>
              <w:pStyle w:val="ARtabletextright"/>
            </w:pPr>
            <w:r>
              <w:t>NA</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7C273AAE" w14:textId="77777777" w:rsidR="00FC6F4F" w:rsidRPr="002029AF" w:rsidRDefault="00FC6F4F" w:rsidP="00FC6F4F">
            <w:pPr>
              <w:pStyle w:val="ARtabletextright"/>
            </w:pPr>
            <w:r>
              <w:t xml:space="preserve">2.6 </w:t>
            </w:r>
          </w:p>
        </w:tc>
        <w:tc>
          <w:tcPr>
            <w:tcW w:w="1697" w:type="dxa"/>
            <w:tcBorders>
              <w:top w:val="single" w:sz="4" w:space="0" w:color="000000" w:themeColor="text1"/>
              <w:left w:val="single" w:sz="4" w:space="0" w:color="FFFFFF" w:themeColor="background1"/>
              <w:bottom w:val="single" w:sz="4" w:space="0" w:color="000000" w:themeColor="text1"/>
              <w:right w:val="single" w:sz="4" w:space="0" w:color="FFFFFF" w:themeColor="background1"/>
            </w:tcBorders>
            <w:vAlign w:val="center"/>
          </w:tcPr>
          <w:p w14:paraId="0803281D" w14:textId="77777777" w:rsidR="00FC6F4F" w:rsidRPr="002029AF" w:rsidRDefault="00FC6F4F" w:rsidP="00FC6F4F">
            <w:pPr>
              <w:pStyle w:val="ARtabletextright"/>
            </w:pPr>
            <w:r>
              <w:t>47</w:t>
            </w:r>
          </w:p>
        </w:tc>
      </w:tr>
    </w:tbl>
    <w:p w14:paraId="26D77803" w14:textId="3A6D92EB" w:rsidR="00FC6F4F" w:rsidRPr="002029AF" w:rsidRDefault="00FC6F4F" w:rsidP="00FC6F4F">
      <w:pPr>
        <w:pStyle w:val="ARtablefootnote"/>
        <w:spacing w:before="60"/>
      </w:pPr>
      <w:r w:rsidRPr="002029AF">
        <w:t>201</w:t>
      </w:r>
      <w:r>
        <w:t>9</w:t>
      </w:r>
      <w:r w:rsidR="001C1AB1">
        <w:t>–</w:t>
      </w:r>
      <w:r>
        <w:t>20</w:t>
      </w:r>
      <w:r w:rsidRPr="002029AF">
        <w:t xml:space="preserve"> is the most recent data available from the </w:t>
      </w:r>
      <w:r w:rsidR="00854DF8">
        <w:t>NPI</w:t>
      </w:r>
      <w:r w:rsidRPr="002029AF">
        <w:t xml:space="preserve"> at the date of this </w:t>
      </w:r>
      <w:r w:rsidR="00854DF8">
        <w:t>report</w:t>
      </w:r>
      <w:r w:rsidRPr="002029AF">
        <w:t>.</w:t>
      </w:r>
    </w:p>
    <w:p w14:paraId="74E3DC72" w14:textId="6F567F91" w:rsidR="00FC6F4F" w:rsidRPr="00EC336C" w:rsidRDefault="00FC6F4F" w:rsidP="00FC6F4F">
      <w:pPr>
        <w:pStyle w:val="ARtablefootnote"/>
        <w:spacing w:before="60"/>
      </w:pPr>
    </w:p>
    <w:p w14:paraId="5BB1A697" w14:textId="77777777" w:rsidR="00FC6F4F" w:rsidRDefault="00FC6F4F" w:rsidP="00897193">
      <w:pPr>
        <w:pStyle w:val="ARtablefootnote"/>
        <w:spacing w:before="60"/>
        <w:sectPr w:rsidR="00FC6F4F" w:rsidSect="00A36763">
          <w:headerReference w:type="first" r:id="rId104"/>
          <w:footerReference w:type="first" r:id="rId105"/>
          <w:footnotePr>
            <w:numFmt w:val="lowerLetter"/>
            <w:numRestart w:val="eachPage"/>
          </w:footnotePr>
          <w:endnotePr>
            <w:numFmt w:val="decimal"/>
          </w:endnotePr>
          <w:pgSz w:w="11900" w:h="16840" w:code="9"/>
          <w:pgMar w:top="1985" w:right="1134" w:bottom="851" w:left="1134" w:header="510" w:footer="340" w:gutter="0"/>
          <w:cols w:space="454"/>
        </w:sectPr>
      </w:pPr>
    </w:p>
    <w:p w14:paraId="3B6586BE" w14:textId="77777777" w:rsidR="00967B31" w:rsidRPr="003379F7" w:rsidRDefault="00967B31" w:rsidP="00307304">
      <w:pPr>
        <w:pStyle w:val="Heading2"/>
        <w:spacing w:before="0"/>
        <w:rPr>
          <w:rFonts w:cs="Arial"/>
        </w:rPr>
      </w:pPr>
      <w:bookmarkStart w:id="677" w:name="_Ref492915509"/>
      <w:bookmarkStart w:id="678" w:name="_Toc54690782"/>
      <w:bookmarkStart w:id="679" w:name="_Toc85121338"/>
      <w:bookmarkStart w:id="680" w:name="_Toc85121631"/>
      <w:bookmarkStart w:id="681" w:name="_Toc86075614"/>
      <w:r w:rsidRPr="003379F7">
        <w:rPr>
          <w:rFonts w:cs="Arial"/>
        </w:rPr>
        <w:lastRenderedPageBreak/>
        <w:t>Compliance with DataVic Access Policy</w:t>
      </w:r>
      <w:bookmarkEnd w:id="677"/>
      <w:bookmarkEnd w:id="678"/>
      <w:bookmarkEnd w:id="679"/>
      <w:bookmarkEnd w:id="680"/>
      <w:bookmarkEnd w:id="681"/>
    </w:p>
    <w:p w14:paraId="40EEF879" w14:textId="28A99006" w:rsidR="00967B31" w:rsidRPr="002029AF" w:rsidRDefault="00967B31" w:rsidP="00E847B7">
      <w:pPr>
        <w:pStyle w:val="ARbody"/>
      </w:pPr>
      <w:r w:rsidRPr="002029AF">
        <w:t xml:space="preserve">Consistent with the </w:t>
      </w:r>
      <w:r w:rsidRPr="002029AF">
        <w:rPr>
          <w:i/>
        </w:rPr>
        <w:t xml:space="preserve">DataVic </w:t>
      </w:r>
      <w:r>
        <w:rPr>
          <w:i/>
        </w:rPr>
        <w:t>A</w:t>
      </w:r>
      <w:r w:rsidRPr="002029AF">
        <w:rPr>
          <w:i/>
        </w:rPr>
        <w:t xml:space="preserve">ccess </w:t>
      </w:r>
      <w:r>
        <w:rPr>
          <w:i/>
        </w:rPr>
        <w:t>P</w:t>
      </w:r>
      <w:r w:rsidRPr="002029AF">
        <w:rPr>
          <w:i/>
        </w:rPr>
        <w:t>olicy</w:t>
      </w:r>
      <w:r w:rsidRPr="002029AF">
        <w:t xml:space="preserve"> issued by the Victorian Government in 2012, the information included in this annual report will be available in machine readable format at </w:t>
      </w:r>
      <w:hyperlink r:id="rId106" w:history="1">
        <w:r w:rsidRPr="00F40D89">
          <w:rPr>
            <w:rStyle w:val="Hyperlink"/>
          </w:rPr>
          <w:t>DataVic</w:t>
        </w:r>
      </w:hyperlink>
      <w:r w:rsidRPr="002029AF">
        <w:t xml:space="preserve"> &lt;http://www.data.vic.gov.au&gt;.</w:t>
      </w:r>
    </w:p>
    <w:p w14:paraId="2ABEFE71" w14:textId="6FCC1DB2" w:rsidR="00967B31" w:rsidRPr="002029AF" w:rsidRDefault="00967B31" w:rsidP="00E847B7">
      <w:pPr>
        <w:pStyle w:val="ARbody"/>
      </w:pPr>
      <w:r w:rsidRPr="002029AF">
        <w:t>Summarised data published by the department is available on numerous pages on the department</w:t>
      </w:r>
      <w:r w:rsidR="007D145B">
        <w:t>’</w:t>
      </w:r>
      <w:r w:rsidRPr="002029AF">
        <w:t>s website. A significant amount of information is accessible via:</w:t>
      </w:r>
    </w:p>
    <w:p w14:paraId="7C340FA3" w14:textId="0C0709BA" w:rsidR="00967B31" w:rsidRPr="00243691" w:rsidRDefault="00967B31" w:rsidP="00E847B7">
      <w:pPr>
        <w:pStyle w:val="ARbullet1"/>
        <w:rPr>
          <w:b/>
          <w:bCs/>
        </w:rPr>
      </w:pPr>
      <w:r w:rsidRPr="002029AF">
        <w:t xml:space="preserve">the </w:t>
      </w:r>
      <w:hyperlink r:id="rId107" w:history="1">
        <w:r w:rsidRPr="002029AF">
          <w:rPr>
            <w:rStyle w:val="Hyperlink"/>
          </w:rPr>
          <w:t>Victorian Agency for Health Information – Victorian Health Services Performance</w:t>
        </w:r>
      </w:hyperlink>
      <w:r w:rsidRPr="002029AF">
        <w:t xml:space="preserve"> &lt;</w:t>
      </w:r>
      <w:r w:rsidR="00D01D7F" w:rsidRPr="00D01D7F">
        <w:t>https://vahi.vic.gov.au/reports/victorian-health-services-performance</w:t>
      </w:r>
      <w:r w:rsidRPr="002029AF">
        <w:t>&gt;</w:t>
      </w:r>
    </w:p>
    <w:p w14:paraId="7448D134" w14:textId="050CEC5B" w:rsidR="00967B31" w:rsidRPr="002029AF" w:rsidRDefault="00E71361" w:rsidP="00E847B7">
      <w:pPr>
        <w:pStyle w:val="ARbullet1"/>
      </w:pPr>
      <w:hyperlink r:id="rId108" w:history="1">
        <w:r w:rsidR="00967B31" w:rsidRPr="002029AF">
          <w:rPr>
            <w:rStyle w:val="Hyperlink"/>
          </w:rPr>
          <w:t>health.vic – Reporting, planning and data</w:t>
        </w:r>
      </w:hyperlink>
      <w:r w:rsidR="00967B31" w:rsidRPr="002029AF">
        <w:t xml:space="preserve"> &lt;https://www2.health.vic.gov.au/about/reporting-planning-data&gt;</w:t>
      </w:r>
    </w:p>
    <w:p w14:paraId="288EB4CC" w14:textId="5BD412FC" w:rsidR="00967B31" w:rsidRPr="00BD1CA4" w:rsidRDefault="00E71361" w:rsidP="00E847B7">
      <w:pPr>
        <w:pStyle w:val="ARbullet1"/>
        <w:rPr>
          <w:rStyle w:val="Hyperlink"/>
          <w:color w:val="auto"/>
          <w:u w:val="none"/>
        </w:rPr>
      </w:pPr>
      <w:hyperlink r:id="rId109" w:history="1">
        <w:r w:rsidR="00967B31" w:rsidRPr="002029AF">
          <w:rPr>
            <w:rStyle w:val="Hyperlink"/>
          </w:rPr>
          <w:t>health.vic – Public health</w:t>
        </w:r>
      </w:hyperlink>
      <w:r w:rsidR="00967B31" w:rsidRPr="002029AF">
        <w:t xml:space="preserve"> </w:t>
      </w:r>
      <w:r w:rsidR="00967B31">
        <w:t>&lt;</w:t>
      </w:r>
      <w:r w:rsidR="00967B31" w:rsidRPr="00EE0E09">
        <w:t>https://www2.health.vic.gov.au/public-health</w:t>
      </w:r>
      <w:r w:rsidR="00967B31">
        <w:t>&gt;</w:t>
      </w:r>
    </w:p>
    <w:p w14:paraId="05BAC829" w14:textId="71E922AA" w:rsidR="00967B31" w:rsidRDefault="00E71361" w:rsidP="00E847B7">
      <w:pPr>
        <w:pStyle w:val="ARbullet1"/>
      </w:pPr>
      <w:hyperlink r:id="rId110" w:history="1">
        <w:r w:rsidR="00967B31" w:rsidRPr="008B65BD">
          <w:rPr>
            <w:rStyle w:val="Hyperlink"/>
          </w:rPr>
          <w:t xml:space="preserve">Victorian </w:t>
        </w:r>
        <w:r w:rsidR="00016BA5">
          <w:rPr>
            <w:rStyle w:val="Hyperlink"/>
          </w:rPr>
          <w:t>COVID-19</w:t>
        </w:r>
        <w:r w:rsidR="00967B31" w:rsidRPr="008B65BD">
          <w:rPr>
            <w:rStyle w:val="Hyperlink"/>
          </w:rPr>
          <w:t xml:space="preserve"> data</w:t>
        </w:r>
      </w:hyperlink>
      <w:r w:rsidR="00967B31">
        <w:t xml:space="preserve"> &lt;</w:t>
      </w:r>
      <w:r w:rsidR="009D7036" w:rsidRPr="009D7036">
        <w:t>https://www.coronavirus.vic.gov.au/victorian-coronavirus-covid-19-data</w:t>
      </w:r>
      <w:r w:rsidR="00967B31">
        <w:t>&gt;</w:t>
      </w:r>
    </w:p>
    <w:p w14:paraId="699D7C66" w14:textId="17E3BAC9" w:rsidR="00967B31" w:rsidRPr="002029AF" w:rsidRDefault="00E71361" w:rsidP="00E847B7">
      <w:pPr>
        <w:pStyle w:val="ARbullet1"/>
      </w:pPr>
      <w:hyperlink r:id="rId111" w:history="1">
        <w:r w:rsidR="004E67A8">
          <w:rPr>
            <w:rStyle w:val="Hyperlink"/>
          </w:rPr>
          <w:t>Health and Human Services – Reports, reviews and data</w:t>
        </w:r>
      </w:hyperlink>
      <w:r w:rsidR="00967B31" w:rsidRPr="002029AF">
        <w:t xml:space="preserve"> &lt;https://dhhs.vic.gov.au/publications/</w:t>
      </w:r>
      <w:r w:rsidR="00967B31">
        <w:br/>
      </w:r>
      <w:r w:rsidR="00967B31" w:rsidRPr="002029AF">
        <w:t>reports-reviews-data&gt; for corporate information.</w:t>
      </w:r>
    </w:p>
    <w:p w14:paraId="59BA3509" w14:textId="77777777" w:rsidR="00967B31" w:rsidRPr="002029AF" w:rsidRDefault="00967B31" w:rsidP="00E847B7">
      <w:pPr>
        <w:pStyle w:val="ARbodyafterbullets"/>
      </w:pPr>
      <w:r w:rsidRPr="002029AF">
        <w:t>The websites above include information about:</w:t>
      </w:r>
    </w:p>
    <w:p w14:paraId="57918E42" w14:textId="77777777" w:rsidR="00967B31" w:rsidRPr="002029AF" w:rsidRDefault="00967B31" w:rsidP="00E847B7">
      <w:pPr>
        <w:pStyle w:val="ARbullet1"/>
      </w:pPr>
      <w:r w:rsidRPr="002029AF">
        <w:t>service provision (including health service performance)</w:t>
      </w:r>
    </w:p>
    <w:p w14:paraId="060B5AB6" w14:textId="77777777" w:rsidR="00967B31" w:rsidRPr="002029AF" w:rsidRDefault="00967B31" w:rsidP="00E847B7">
      <w:pPr>
        <w:pStyle w:val="ARbullet1"/>
      </w:pPr>
      <w:r w:rsidRPr="002029AF">
        <w:t>public health indicators</w:t>
      </w:r>
    </w:p>
    <w:p w14:paraId="7CA3BEB2" w14:textId="77777777" w:rsidR="00967B31" w:rsidRPr="002029AF" w:rsidRDefault="00967B31" w:rsidP="00E847B7">
      <w:pPr>
        <w:pStyle w:val="ARbullet1"/>
      </w:pPr>
      <w:r w:rsidRPr="002029AF">
        <w:t>infectious disease surveillance</w:t>
      </w:r>
    </w:p>
    <w:p w14:paraId="30D7B6EA" w14:textId="77777777" w:rsidR="00967B31" w:rsidRPr="002029AF" w:rsidRDefault="00967B31" w:rsidP="00E847B7">
      <w:pPr>
        <w:pStyle w:val="ARbullet1"/>
      </w:pPr>
      <w:r w:rsidRPr="002029AF">
        <w:t>birth and birth defects</w:t>
      </w:r>
    </w:p>
    <w:p w14:paraId="5E90F969" w14:textId="77777777" w:rsidR="00967B31" w:rsidRPr="002029AF" w:rsidRDefault="00967B31" w:rsidP="00E847B7">
      <w:pPr>
        <w:pStyle w:val="ARbullet1"/>
      </w:pPr>
      <w:r w:rsidRPr="002029AF">
        <w:t>alcohol and drug services.</w:t>
      </w:r>
    </w:p>
    <w:p w14:paraId="7ABD1924" w14:textId="75785216" w:rsidR="00967B31" w:rsidRPr="002029AF" w:rsidRDefault="00967B31" w:rsidP="00E847B7">
      <w:pPr>
        <w:pStyle w:val="ARbodyafterbullets"/>
      </w:pPr>
      <w:r w:rsidRPr="002029AF">
        <w:t>As well as summarised data, the department maintains several de-identified datasets that researchers can access. These detailed datasets contain a wealth of information to support better understanding of Victoria</w:t>
      </w:r>
      <w:r w:rsidR="007D145B">
        <w:t>’</w:t>
      </w:r>
      <w:r w:rsidRPr="002029AF">
        <w:t xml:space="preserve">s health services. Extracts can be requested through procedures that ensure the data </w:t>
      </w:r>
      <w:r w:rsidR="00854DF8">
        <w:t>is</w:t>
      </w:r>
      <w:r w:rsidR="00854DF8" w:rsidRPr="002029AF">
        <w:t xml:space="preserve"> </w:t>
      </w:r>
      <w:r w:rsidRPr="002029AF">
        <w:t>shared to the</w:t>
      </w:r>
      <w:r w:rsidR="00E62F5E">
        <w:t xml:space="preserve"> </w:t>
      </w:r>
      <w:r w:rsidRPr="002029AF">
        <w:t>maximum extent while protecting the privacy of</w:t>
      </w:r>
      <w:r w:rsidR="00E62F5E">
        <w:t xml:space="preserve"> </w:t>
      </w:r>
      <w:r w:rsidRPr="002029AF">
        <w:t>individuals.</w:t>
      </w:r>
    </w:p>
    <w:p w14:paraId="437A7EC7" w14:textId="438CB8A0" w:rsidR="00967B31" w:rsidRPr="002029AF" w:rsidRDefault="00967B31" w:rsidP="00DD2774">
      <w:pPr>
        <w:pStyle w:val="ARbodyafterbullets"/>
      </w:pPr>
      <w:r w:rsidRPr="002029AF">
        <w:t>The</w:t>
      </w:r>
      <w:r w:rsidR="009A5430">
        <w:t xml:space="preserve"> de-identified datasets</w:t>
      </w:r>
      <w:r w:rsidRPr="002029AF">
        <w:t xml:space="preserve"> include the:</w:t>
      </w:r>
    </w:p>
    <w:p w14:paraId="4D5E6625" w14:textId="77777777" w:rsidR="00967B31" w:rsidRPr="002029AF" w:rsidRDefault="00967B31" w:rsidP="00E847B7">
      <w:pPr>
        <w:pStyle w:val="ARbullet1"/>
      </w:pPr>
      <w:r w:rsidRPr="002029AF">
        <w:t>Victorian Admitted Episodes Dataset, which contains information about all patients admitted to Victorian hospitals</w:t>
      </w:r>
    </w:p>
    <w:p w14:paraId="398168B7" w14:textId="77777777" w:rsidR="00967B31" w:rsidRPr="002029AF" w:rsidRDefault="00967B31" w:rsidP="00E847B7">
      <w:pPr>
        <w:pStyle w:val="ARbullet1"/>
      </w:pPr>
      <w:r w:rsidRPr="002029AF">
        <w:t>Victorian Emergency Minimum Dataset, which contains information about emergency presentations at Victorian public hospitals</w:t>
      </w:r>
    </w:p>
    <w:p w14:paraId="349B1510" w14:textId="77777777" w:rsidR="00967B31" w:rsidRPr="002029AF" w:rsidRDefault="00967B31" w:rsidP="00E847B7">
      <w:pPr>
        <w:pStyle w:val="ARbullet1"/>
      </w:pPr>
      <w:r w:rsidRPr="002029AF">
        <w:t>Elective Surgery Information System, which contains information about elective surgery waiting lists from the major Victorian metropolitan and rural public hospitals</w:t>
      </w:r>
    </w:p>
    <w:p w14:paraId="3C83E5D2" w14:textId="77777777" w:rsidR="00967B31" w:rsidRPr="002029AF" w:rsidRDefault="00967B31" w:rsidP="00E847B7">
      <w:pPr>
        <w:pStyle w:val="ARbullet1"/>
      </w:pPr>
      <w:r w:rsidRPr="002029AF">
        <w:t>Victorian Perinatal Data Collection, which contains information about mothers and babies born in Victoria</w:t>
      </w:r>
    </w:p>
    <w:p w14:paraId="2B148F6B" w14:textId="77777777" w:rsidR="00967B31" w:rsidRPr="002029AF" w:rsidRDefault="00967B31" w:rsidP="00E847B7">
      <w:pPr>
        <w:pStyle w:val="ARbullet1"/>
      </w:pPr>
      <w:r w:rsidRPr="002029AF">
        <w:t>Victorian Alcohol and Drug Data Collection, which contains information about the clients and activities of government-funded alcohol and drug treatment services</w:t>
      </w:r>
    </w:p>
    <w:p w14:paraId="4ECEC573" w14:textId="77777777" w:rsidR="00967B31" w:rsidRPr="002029AF" w:rsidRDefault="00967B31" w:rsidP="00E847B7">
      <w:pPr>
        <w:pStyle w:val="ARbullet1"/>
      </w:pPr>
      <w:r w:rsidRPr="002029AF">
        <w:t>Victorian Mental Health Data Collection, which contains information about inpatient, residential, and ambulatory community care provided by gazetted mental health facilities, and associated legal, diagnostic and outcome measurement information</w:t>
      </w:r>
    </w:p>
    <w:p w14:paraId="6D79B4DA" w14:textId="77777777" w:rsidR="00967B31" w:rsidRPr="002029AF" w:rsidRDefault="00967B31" w:rsidP="00E847B7">
      <w:pPr>
        <w:pStyle w:val="ARbullet1"/>
      </w:pPr>
      <w:r w:rsidRPr="002029AF">
        <w:t>Victorian Integrated Non-Admitted Health dataset, which contains information about a range of non-admitted services provided by health services, including specialist clinics (outpatients), health independence programs, community palliative care, and others</w:t>
      </w:r>
    </w:p>
    <w:p w14:paraId="711BF47F" w14:textId="77777777" w:rsidR="00967B31" w:rsidRPr="002029AF" w:rsidRDefault="00967B31" w:rsidP="00E847B7">
      <w:pPr>
        <w:pStyle w:val="ARbullet1"/>
      </w:pPr>
      <w:r w:rsidRPr="002029AF">
        <w:t>Community Health Minimum Dataset, which contains information about clients receiving government-funded community health services</w:t>
      </w:r>
    </w:p>
    <w:p w14:paraId="587F9C27" w14:textId="77777777" w:rsidR="00967B31" w:rsidRPr="002029AF" w:rsidRDefault="00967B31" w:rsidP="00E847B7">
      <w:pPr>
        <w:pStyle w:val="ARbullet1"/>
      </w:pPr>
      <w:r w:rsidRPr="002029AF">
        <w:t>Dental Health Program Dataset, which contains information about services provided by public dental agencies, including clients, treatments, referrals, and waiting lists</w:t>
      </w:r>
    </w:p>
    <w:p w14:paraId="3296734A" w14:textId="77777777" w:rsidR="00967B31" w:rsidRPr="002029AF" w:rsidRDefault="00967B31" w:rsidP="00E847B7">
      <w:pPr>
        <w:pStyle w:val="ARbullet1"/>
      </w:pPr>
      <w:r w:rsidRPr="002029AF">
        <w:t xml:space="preserve">Notifiable Infectious Diseases Data, which contains information on conditions that must be reported to the department under the </w:t>
      </w:r>
      <w:r w:rsidRPr="002029AF">
        <w:rPr>
          <w:i/>
        </w:rPr>
        <w:t>Public Health and Wellbeing Act 2008</w:t>
      </w:r>
      <w:r w:rsidRPr="002029AF">
        <w:t>.</w:t>
      </w:r>
    </w:p>
    <w:p w14:paraId="50D19FAB" w14:textId="77777777" w:rsidR="00967B31" w:rsidRPr="002029AF" w:rsidRDefault="00967B31" w:rsidP="00E847B7">
      <w:pPr>
        <w:pStyle w:val="ARbodyafterbullets"/>
      </w:pPr>
      <w:r w:rsidRPr="002029AF">
        <w:t>Researchers can request access to data via:</w:t>
      </w:r>
    </w:p>
    <w:p w14:paraId="14E74F65" w14:textId="16818192" w:rsidR="00967B31" w:rsidRPr="002029AF" w:rsidRDefault="00967B31" w:rsidP="00E847B7">
      <w:pPr>
        <w:pStyle w:val="ARbullet1"/>
      </w:pPr>
      <w:r w:rsidRPr="002029AF">
        <w:t xml:space="preserve">the </w:t>
      </w:r>
      <w:hyperlink r:id="rId112" w:history="1">
        <w:r w:rsidRPr="002029AF">
          <w:rPr>
            <w:rStyle w:val="Hyperlink"/>
          </w:rPr>
          <w:t>VAHI Data Request Hub</w:t>
        </w:r>
      </w:hyperlink>
      <w:r w:rsidRPr="002029AF">
        <w:t xml:space="preserve"> &lt;https://vahi.freshdesk.com/support/home&gt;</w:t>
      </w:r>
    </w:p>
    <w:p w14:paraId="08DD9B3B" w14:textId="01547BA2" w:rsidR="00967B31" w:rsidRPr="002029AF" w:rsidRDefault="00967B31" w:rsidP="00E847B7">
      <w:pPr>
        <w:pStyle w:val="ARbullet1"/>
      </w:pPr>
      <w:r w:rsidRPr="002029AF">
        <w:t xml:space="preserve">the </w:t>
      </w:r>
      <w:hyperlink r:id="rId113" w:history="1">
        <w:r w:rsidRPr="002029AF">
          <w:rPr>
            <w:rStyle w:val="Hyperlink"/>
          </w:rPr>
          <w:t>Centre for Victorian Data Linkages (linked data only)</w:t>
        </w:r>
      </w:hyperlink>
      <w:r w:rsidRPr="002029AF">
        <w:t xml:space="preserve"> &lt;https://www2.health.vic.gov.au/</w:t>
      </w:r>
      <w:r>
        <w:br/>
      </w:r>
      <w:r w:rsidRPr="002029AF">
        <w:t>about/reporting-planning-data/the-centre-for-victorian-data-linkage/for-researchers&gt;</w:t>
      </w:r>
    </w:p>
    <w:p w14:paraId="3898C920" w14:textId="46D35BBC" w:rsidR="00967B31" w:rsidRPr="002029AF" w:rsidRDefault="00967B31" w:rsidP="001C1AB1">
      <w:pPr>
        <w:pStyle w:val="ARbodyafterbullets"/>
        <w:keepNext/>
      </w:pPr>
      <w:r w:rsidRPr="002029AF">
        <w:t xml:space="preserve">Victorian health data </w:t>
      </w:r>
      <w:r w:rsidR="009A5430">
        <w:t>is</w:t>
      </w:r>
      <w:r w:rsidR="009A5430" w:rsidRPr="002029AF">
        <w:t xml:space="preserve"> </w:t>
      </w:r>
      <w:r w:rsidRPr="002029AF">
        <w:t>also made available by</w:t>
      </w:r>
      <w:r w:rsidR="00243691">
        <w:t> </w:t>
      </w:r>
      <w:r w:rsidRPr="002029AF">
        <w:t>other agencies, such as:</w:t>
      </w:r>
    </w:p>
    <w:p w14:paraId="5868AE49" w14:textId="2117B52B" w:rsidR="00967B31" w:rsidRPr="002029AF" w:rsidRDefault="00E71361" w:rsidP="00E847B7">
      <w:pPr>
        <w:pStyle w:val="ARbullet1"/>
      </w:pPr>
      <w:hyperlink r:id="rId114" w:history="1">
        <w:r w:rsidR="00967B31" w:rsidRPr="00492D92">
          <w:rPr>
            <w:rStyle w:val="Hyperlink"/>
          </w:rPr>
          <w:t>Cancer Council Victoria</w:t>
        </w:r>
      </w:hyperlink>
      <w:r w:rsidR="00967B31" w:rsidRPr="002029AF">
        <w:t xml:space="preserve"> &lt;</w:t>
      </w:r>
      <w:r w:rsidR="00492D92" w:rsidRPr="00492D92">
        <w:t>https://www.cancervic.org.au</w:t>
      </w:r>
      <w:r w:rsidR="00967B31" w:rsidRPr="002029AF">
        <w:t>&gt;</w:t>
      </w:r>
    </w:p>
    <w:p w14:paraId="42F3024F" w14:textId="258DF8C2" w:rsidR="00967B31" w:rsidRDefault="00E71361" w:rsidP="00E847B7">
      <w:pPr>
        <w:pStyle w:val="ARbullet1"/>
      </w:pPr>
      <w:hyperlink r:id="rId115" w:history="1">
        <w:r w:rsidR="00967B31" w:rsidRPr="002029AF">
          <w:rPr>
            <w:rStyle w:val="Hyperlink"/>
          </w:rPr>
          <w:t>Australian Institute of Health and Welfare</w:t>
        </w:r>
      </w:hyperlink>
      <w:r w:rsidR="00967B31" w:rsidRPr="002029AF">
        <w:t xml:space="preserve"> &lt;</w:t>
      </w:r>
      <w:r w:rsidR="00F1682A" w:rsidRPr="00F1682A">
        <w:t>https://www.aihw.gov.au/</w:t>
      </w:r>
      <w:r w:rsidR="00967B31" w:rsidRPr="002029AF">
        <w:t>&gt; and</w:t>
      </w:r>
    </w:p>
    <w:p w14:paraId="7FAC57BA" w14:textId="528CEA0D" w:rsidR="00967B31" w:rsidRDefault="00E71361" w:rsidP="00E847B7">
      <w:pPr>
        <w:pStyle w:val="ARbullet1"/>
      </w:pPr>
      <w:hyperlink r:id="rId116" w:history="1">
        <w:r w:rsidR="00967B31" w:rsidRPr="002029AF">
          <w:rPr>
            <w:rStyle w:val="Hyperlink"/>
          </w:rPr>
          <w:t>MyHospitals</w:t>
        </w:r>
      </w:hyperlink>
      <w:r w:rsidR="00967B31" w:rsidRPr="002029AF">
        <w:t xml:space="preserve"> &lt;</w:t>
      </w:r>
      <w:r w:rsidR="00AA59F2" w:rsidRPr="00AA59F2">
        <w:t>https://www.aihw.gov.au/reports-data/myhospitals</w:t>
      </w:r>
      <w:r w:rsidR="00967B31" w:rsidRPr="002029AF">
        <w:t>&gt;.</w:t>
      </w:r>
    </w:p>
    <w:p w14:paraId="5DE25328" w14:textId="345B0454" w:rsidR="00D63830" w:rsidRPr="003379F7" w:rsidRDefault="00A54BCE" w:rsidP="00307304">
      <w:pPr>
        <w:pStyle w:val="Heading2"/>
        <w:spacing w:before="0"/>
        <w:rPr>
          <w:rFonts w:cs="Arial"/>
        </w:rPr>
      </w:pPr>
      <w:bookmarkStart w:id="682" w:name="_Ref84252154"/>
      <w:bookmarkStart w:id="683" w:name="_Toc85121339"/>
      <w:bookmarkStart w:id="684" w:name="_Toc85121632"/>
      <w:bookmarkStart w:id="685" w:name="_Toc86075615"/>
      <w:r>
        <w:rPr>
          <w:rFonts w:cs="Arial"/>
        </w:rPr>
        <w:lastRenderedPageBreak/>
        <w:t>F</w:t>
      </w:r>
      <w:r w:rsidR="00D63830" w:rsidRPr="003379F7">
        <w:rPr>
          <w:rFonts w:cs="Arial"/>
        </w:rPr>
        <w:t xml:space="preserve">inancial </w:t>
      </w:r>
      <w:r>
        <w:rPr>
          <w:rFonts w:cs="Arial"/>
        </w:rPr>
        <w:t>M</w:t>
      </w:r>
      <w:r w:rsidR="00D63830" w:rsidRPr="003379F7">
        <w:rPr>
          <w:rFonts w:cs="Arial"/>
        </w:rPr>
        <w:t xml:space="preserve">anagement </w:t>
      </w:r>
      <w:r>
        <w:rPr>
          <w:rFonts w:cs="Arial"/>
        </w:rPr>
        <w:t>C</w:t>
      </w:r>
      <w:r w:rsidR="00D63830" w:rsidRPr="003379F7">
        <w:rPr>
          <w:rFonts w:cs="Arial"/>
        </w:rPr>
        <w:t>ompliance</w:t>
      </w:r>
      <w:bookmarkEnd w:id="682"/>
      <w:r>
        <w:rPr>
          <w:rFonts w:cs="Arial"/>
        </w:rPr>
        <w:t xml:space="preserve"> Attestation Statement</w:t>
      </w:r>
      <w:bookmarkEnd w:id="683"/>
      <w:bookmarkEnd w:id="684"/>
      <w:bookmarkEnd w:id="685"/>
    </w:p>
    <w:p w14:paraId="7A5860E2" w14:textId="06959980" w:rsidR="0082396B" w:rsidRDefault="0082396B" w:rsidP="0082396B">
      <w:pPr>
        <w:pStyle w:val="ARbody"/>
      </w:pPr>
      <w:r>
        <w:t xml:space="preserve">I, </w:t>
      </w:r>
      <w:r w:rsidRPr="0082396B">
        <w:t>Euan Wallace</w:t>
      </w:r>
      <w:r>
        <w:t xml:space="preserve">, as the Responsible Body, certify that the Department of Health has no Material Compliance Deficiency with respect to the applicable Standing Directions under the </w:t>
      </w:r>
      <w:r>
        <w:rPr>
          <w:i/>
          <w:iCs/>
        </w:rPr>
        <w:t>Financial Management Act 1994</w:t>
      </w:r>
      <w:r>
        <w:t xml:space="preserve"> and Instructions.</w:t>
      </w:r>
    </w:p>
    <w:p w14:paraId="2B89B277" w14:textId="33C09FE8" w:rsidR="0082396B" w:rsidRDefault="0082396B" w:rsidP="0082396B">
      <w:pPr>
        <w:pStyle w:val="ARbodyaftertable"/>
      </w:pPr>
      <w:r>
        <w:rPr>
          <w:noProof/>
          <w:lang w:eastAsia="en-AU" w:bidi="as-IN"/>
        </w:rPr>
        <w:drawing>
          <wp:inline distT="0" distB="0" distL="0" distR="0" wp14:anchorId="7FC36636" wp14:editId="48721E0B">
            <wp:extent cx="1463043" cy="527305"/>
            <wp:effectExtent l="0" t="0" r="3810" b="6350"/>
            <wp:docPr id="7" name="Picture 7" descr="Euan Wallac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uan Wallace signatur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463043" cy="527305"/>
                    </a:xfrm>
                    <a:prstGeom prst="rect">
                      <a:avLst/>
                    </a:prstGeom>
                  </pic:spPr>
                </pic:pic>
              </a:graphicData>
            </a:graphic>
          </wp:inline>
        </w:drawing>
      </w:r>
    </w:p>
    <w:p w14:paraId="5C905C84" w14:textId="3AE17DDA" w:rsidR="0082396B" w:rsidRDefault="0082396B" w:rsidP="0082396B">
      <w:pPr>
        <w:pStyle w:val="ARbodynospace"/>
      </w:pPr>
      <w:r>
        <w:t>Euan Wallace</w:t>
      </w:r>
    </w:p>
    <w:p w14:paraId="293A1343" w14:textId="77777777" w:rsidR="0082396B" w:rsidRDefault="0082396B" w:rsidP="0082396B">
      <w:pPr>
        <w:pStyle w:val="ARbodynospace"/>
      </w:pPr>
      <w:r>
        <w:t>Secretary</w:t>
      </w:r>
    </w:p>
    <w:p w14:paraId="3401CCFA" w14:textId="36062381" w:rsidR="0082396B" w:rsidRDefault="0082396B" w:rsidP="0082396B">
      <w:pPr>
        <w:pStyle w:val="ARbody"/>
      </w:pPr>
      <w:r>
        <w:t>Department of Heath</w:t>
      </w:r>
    </w:p>
    <w:p w14:paraId="1C05E319" w14:textId="3E526388" w:rsidR="006E7894" w:rsidRDefault="006E7894" w:rsidP="006E7894">
      <w:pPr>
        <w:pStyle w:val="Heading2"/>
        <w:rPr>
          <w:rFonts w:cs="Arial"/>
        </w:rPr>
      </w:pPr>
      <w:bookmarkStart w:id="686" w:name="_Toc85121340"/>
      <w:bookmarkStart w:id="687" w:name="_Toc85121633"/>
      <w:bookmarkStart w:id="688" w:name="_Toc86075616"/>
      <w:r w:rsidRPr="003379F7">
        <w:rPr>
          <w:rFonts w:cs="Arial"/>
        </w:rPr>
        <w:t xml:space="preserve">Asset </w:t>
      </w:r>
      <w:r w:rsidR="00EE2A45">
        <w:rPr>
          <w:rFonts w:cs="Arial"/>
        </w:rPr>
        <w:t>m</w:t>
      </w:r>
      <w:r w:rsidRPr="003379F7">
        <w:rPr>
          <w:rFonts w:cs="Arial"/>
        </w:rPr>
        <w:t xml:space="preserve">anagement </w:t>
      </w:r>
      <w:r w:rsidR="00EE2A45">
        <w:rPr>
          <w:rFonts w:cs="Arial"/>
        </w:rPr>
        <w:t>a</w:t>
      </w:r>
      <w:r w:rsidRPr="003379F7">
        <w:rPr>
          <w:rFonts w:cs="Arial"/>
        </w:rPr>
        <w:t xml:space="preserve">ccountability </w:t>
      </w:r>
      <w:r w:rsidR="00EE2A45">
        <w:rPr>
          <w:rFonts w:cs="Arial"/>
        </w:rPr>
        <w:t>f</w:t>
      </w:r>
      <w:r w:rsidRPr="003379F7">
        <w:rPr>
          <w:rFonts w:cs="Arial"/>
        </w:rPr>
        <w:t>ramework maturity</w:t>
      </w:r>
      <w:r>
        <w:rPr>
          <w:rFonts w:cs="Arial"/>
        </w:rPr>
        <w:t> </w:t>
      </w:r>
      <w:r w:rsidRPr="003379F7">
        <w:rPr>
          <w:rFonts w:cs="Arial"/>
        </w:rPr>
        <w:t>assessment</w:t>
      </w:r>
      <w:bookmarkEnd w:id="686"/>
      <w:bookmarkEnd w:id="687"/>
      <w:bookmarkEnd w:id="688"/>
    </w:p>
    <w:p w14:paraId="28E5E7E9" w14:textId="02FBE66E" w:rsidR="006E7894" w:rsidRDefault="006E7894" w:rsidP="006E7894">
      <w:pPr>
        <w:pStyle w:val="ARbody"/>
      </w:pPr>
      <w:r>
        <w:t>This disclosure summarises the department</w:t>
      </w:r>
      <w:r w:rsidR="007D145B">
        <w:t>’</w:t>
      </w:r>
      <w:r>
        <w:t xml:space="preserve">s assessment of maturity against the requirements of the </w:t>
      </w:r>
      <w:r w:rsidRPr="00EE70D1">
        <w:rPr>
          <w:i/>
          <w:iCs/>
        </w:rPr>
        <w:t xml:space="preserve">Asset </w:t>
      </w:r>
      <w:r w:rsidR="00EE2A45">
        <w:rPr>
          <w:i/>
          <w:iCs/>
        </w:rPr>
        <w:t>m</w:t>
      </w:r>
      <w:r w:rsidRPr="00EE70D1">
        <w:rPr>
          <w:i/>
          <w:iCs/>
        </w:rPr>
        <w:t xml:space="preserve">anagement </w:t>
      </w:r>
      <w:r w:rsidR="00EE2A45">
        <w:rPr>
          <w:i/>
          <w:iCs/>
        </w:rPr>
        <w:t>a</w:t>
      </w:r>
      <w:r w:rsidRPr="00EE70D1">
        <w:rPr>
          <w:i/>
          <w:iCs/>
        </w:rPr>
        <w:t xml:space="preserve">ccountability </w:t>
      </w:r>
      <w:r w:rsidR="00EE2A45">
        <w:rPr>
          <w:i/>
          <w:iCs/>
        </w:rPr>
        <w:t>f</w:t>
      </w:r>
      <w:r w:rsidRPr="00EE70D1">
        <w:rPr>
          <w:i/>
          <w:iCs/>
        </w:rPr>
        <w:t>ramework</w:t>
      </w:r>
      <w:r>
        <w:t xml:space="preserve"> (AMAF). The AMAF is a non-prescriptive, devolved accountability model of asset management that requires compliance with 41 mandatory requirements. These requirements can be found on the Department of Treasury and Finance </w:t>
      </w:r>
      <w:hyperlink r:id="rId118" w:history="1">
        <w:r w:rsidR="00E14613">
          <w:rPr>
            <w:rStyle w:val="Hyperlink"/>
          </w:rPr>
          <w:t>AMAF web</w:t>
        </w:r>
        <w:r w:rsidR="00AB236C">
          <w:rPr>
            <w:rStyle w:val="Hyperlink"/>
          </w:rPr>
          <w:t>site</w:t>
        </w:r>
      </w:hyperlink>
      <w:r>
        <w:t xml:space="preserve"> &lt;https://www.dtf.vic.gov.au/infrastructure-investment/asset-management-accountability-framework&gt;.</w:t>
      </w:r>
    </w:p>
    <w:p w14:paraId="16FEA778" w14:textId="28AB4E15" w:rsidR="006E7894" w:rsidRDefault="006E7894" w:rsidP="006E7894">
      <w:pPr>
        <w:pStyle w:val="ARbody"/>
      </w:pPr>
      <w:r>
        <w:t>The department</w:t>
      </w:r>
      <w:r w:rsidR="007D145B">
        <w:t>’</w:t>
      </w:r>
      <w:r>
        <w:t xml:space="preserve">s target maturity rating is </w:t>
      </w:r>
      <w:r w:rsidR="007D145B">
        <w:t>‘</w:t>
      </w:r>
      <w:r>
        <w:t>competence</w:t>
      </w:r>
      <w:r w:rsidR="007D145B">
        <w:t>’</w:t>
      </w:r>
      <w:r>
        <w:t>, meaning systems and processes fully in place, consistently applied and systematically meeting the AMAF requirement</w:t>
      </w:r>
      <w:r w:rsidR="00EE2A45">
        <w:t>s</w:t>
      </w:r>
      <w:r>
        <w:t>, including a continuous improvement process to expand system performance above AMAF minimum requirements.</w:t>
      </w:r>
    </w:p>
    <w:p w14:paraId="2C584C8E" w14:textId="2233D919" w:rsidR="00782B7D" w:rsidRDefault="00782B7D" w:rsidP="006E7894">
      <w:pPr>
        <w:pStyle w:val="ARbody"/>
      </w:pPr>
      <w:r>
        <w:t xml:space="preserve">The following </w:t>
      </w:r>
      <w:r w:rsidR="004675E4">
        <w:t>text</w:t>
      </w:r>
      <w:r>
        <w:t xml:space="preserve"> and the </w:t>
      </w:r>
      <w:r w:rsidR="005D5B20">
        <w:t>charts on the following page summarise the results of the department</w:t>
      </w:r>
      <w:r w:rsidR="007D145B">
        <w:t>’</w:t>
      </w:r>
      <w:r w:rsidR="005D5B20">
        <w:t>s AMAF assessment.</w:t>
      </w:r>
    </w:p>
    <w:p w14:paraId="426B678F" w14:textId="7D27A404" w:rsidR="006E7894" w:rsidRDefault="006E7894" w:rsidP="003B2EE7">
      <w:pPr>
        <w:pStyle w:val="Heading3smaller"/>
      </w:pPr>
      <w:bookmarkStart w:id="689" w:name="_Toc85121341"/>
      <w:r>
        <w:t xml:space="preserve">Leadership and Accountability </w:t>
      </w:r>
      <w:r w:rsidR="003B2EE7">
        <w:br/>
      </w:r>
      <w:r>
        <w:t>(requirements</w:t>
      </w:r>
      <w:r w:rsidR="00094EAC">
        <w:t> </w:t>
      </w:r>
      <w:r>
        <w:t>1</w:t>
      </w:r>
      <w:r w:rsidR="005C203A">
        <w:t>–</w:t>
      </w:r>
      <w:r>
        <w:t>19)</w:t>
      </w:r>
      <w:bookmarkEnd w:id="689"/>
    </w:p>
    <w:p w14:paraId="2D709EEF" w14:textId="30D3DAFC" w:rsidR="006E7894" w:rsidRDefault="00BB41E1" w:rsidP="006E7894">
      <w:pPr>
        <w:pStyle w:val="ARbody"/>
      </w:pPr>
      <w:r w:rsidRPr="00BB41E1">
        <w:t xml:space="preserve">There is no material non-compliance reported in this category. The </w:t>
      </w:r>
      <w:r w:rsidR="00D05E55">
        <w:t>d</w:t>
      </w:r>
      <w:r w:rsidRPr="00BB41E1">
        <w:t>epartment has met some of its</w:t>
      </w:r>
      <w:r w:rsidR="007D145B">
        <w:t> </w:t>
      </w:r>
      <w:r w:rsidRPr="00BB41E1">
        <w:t>target maturity level in this category but did not comply with some requirements in the category. A</w:t>
      </w:r>
      <w:r w:rsidR="00E17895">
        <w:t> </w:t>
      </w:r>
      <w:r w:rsidRPr="00BB41E1">
        <w:t xml:space="preserve">plan for improvement is in place to improve the </w:t>
      </w:r>
      <w:r w:rsidR="00D05E55">
        <w:t>d</w:t>
      </w:r>
      <w:r w:rsidRPr="00BB41E1">
        <w:t>epartment</w:t>
      </w:r>
      <w:r w:rsidR="007D145B">
        <w:t>’</w:t>
      </w:r>
      <w:r w:rsidRPr="00BB41E1">
        <w:t>s maturity rating in these areas.</w:t>
      </w:r>
    </w:p>
    <w:p w14:paraId="548E0353" w14:textId="05CAF931" w:rsidR="006E7894" w:rsidRDefault="006E7894" w:rsidP="003B2EE7">
      <w:pPr>
        <w:pStyle w:val="Heading3smaller"/>
      </w:pPr>
      <w:bookmarkStart w:id="690" w:name="_Toc85121342"/>
      <w:r>
        <w:t>Planning (requirements 2</w:t>
      </w:r>
      <w:r w:rsidR="00FA7261">
        <w:t>0–</w:t>
      </w:r>
      <w:r>
        <w:t>23)</w:t>
      </w:r>
      <w:bookmarkEnd w:id="690"/>
    </w:p>
    <w:p w14:paraId="67227273" w14:textId="33DB3926" w:rsidR="006E7894" w:rsidRDefault="00D05E55" w:rsidP="006E7894">
      <w:pPr>
        <w:pStyle w:val="ARbody"/>
      </w:pPr>
      <w:r w:rsidRPr="00D05E55">
        <w:t xml:space="preserve">There is no material non-compliance reported in this category. The </w:t>
      </w:r>
      <w:r>
        <w:t>d</w:t>
      </w:r>
      <w:r w:rsidRPr="00D05E55">
        <w:t>epartment has met some of its</w:t>
      </w:r>
      <w:r w:rsidR="007D145B">
        <w:t> </w:t>
      </w:r>
      <w:r w:rsidRPr="00D05E55">
        <w:t>target maturity level in this category but did not</w:t>
      </w:r>
      <w:r w:rsidR="007D145B">
        <w:t> </w:t>
      </w:r>
      <w:r w:rsidRPr="00D05E55">
        <w:t>comply with some other requirements. A</w:t>
      </w:r>
      <w:r w:rsidR="007D145B">
        <w:t> </w:t>
      </w:r>
      <w:r w:rsidRPr="00D05E55">
        <w:t>plan</w:t>
      </w:r>
      <w:r w:rsidR="007D145B">
        <w:t> </w:t>
      </w:r>
      <w:r w:rsidRPr="00D05E55">
        <w:t>for</w:t>
      </w:r>
      <w:r w:rsidR="007D145B">
        <w:t> </w:t>
      </w:r>
      <w:r w:rsidRPr="00D05E55">
        <w:t>improvement is in place to improve the</w:t>
      </w:r>
      <w:r w:rsidR="007D145B">
        <w:t> </w:t>
      </w:r>
      <w:r>
        <w:t>d</w:t>
      </w:r>
      <w:r w:rsidRPr="00D05E55">
        <w:t>epartment</w:t>
      </w:r>
      <w:r w:rsidR="007D145B">
        <w:t>’</w:t>
      </w:r>
      <w:r w:rsidRPr="00D05E55">
        <w:t>s maturity rating in these areas</w:t>
      </w:r>
      <w:r w:rsidR="006E7894">
        <w:t>.</w:t>
      </w:r>
    </w:p>
    <w:p w14:paraId="2F8D83D0" w14:textId="77777777" w:rsidR="006E7894" w:rsidRDefault="006E7894" w:rsidP="003B2EE7">
      <w:pPr>
        <w:pStyle w:val="Heading3smaller"/>
      </w:pPr>
      <w:bookmarkStart w:id="691" w:name="_Toc85121343"/>
      <w:r>
        <w:t>Acquisition (requirements 24 and 25)</w:t>
      </w:r>
      <w:bookmarkEnd w:id="691"/>
    </w:p>
    <w:p w14:paraId="0D68440E" w14:textId="057B5CE9" w:rsidR="00FD5B08" w:rsidRDefault="006E7894" w:rsidP="006E7894">
      <w:pPr>
        <w:pStyle w:val="ARbody"/>
      </w:pPr>
      <w:r>
        <w:t>The department has met its target maturity level in</w:t>
      </w:r>
      <w:r w:rsidR="007D145B">
        <w:t> </w:t>
      </w:r>
      <w:r>
        <w:t>this category.</w:t>
      </w:r>
    </w:p>
    <w:p w14:paraId="0F6E8FCF" w14:textId="7EEA8736" w:rsidR="006E7894" w:rsidRDefault="006E7894" w:rsidP="003B2EE7">
      <w:pPr>
        <w:pStyle w:val="Heading3smaller"/>
      </w:pPr>
      <w:bookmarkStart w:id="692" w:name="_Toc85121344"/>
      <w:r>
        <w:t>Operation (requirements 26</w:t>
      </w:r>
      <w:r w:rsidR="005C203A">
        <w:t>–</w:t>
      </w:r>
      <w:r>
        <w:t>40)</w:t>
      </w:r>
      <w:bookmarkEnd w:id="692"/>
    </w:p>
    <w:p w14:paraId="1F8FB50B" w14:textId="10E12137" w:rsidR="006E7894" w:rsidRDefault="00D05E55" w:rsidP="006E7894">
      <w:pPr>
        <w:pStyle w:val="ARbody"/>
      </w:pPr>
      <w:r w:rsidRPr="00D05E55">
        <w:t xml:space="preserve">There is no material non-compliance reported in this category. The </w:t>
      </w:r>
      <w:r>
        <w:t>d</w:t>
      </w:r>
      <w:r w:rsidRPr="00D05E55">
        <w:t>epartment did not comply with the requirements in the areas of monitoring and preventative action and information management. A</w:t>
      </w:r>
      <w:r w:rsidR="007D145B">
        <w:t> </w:t>
      </w:r>
      <w:r w:rsidRPr="00D05E55">
        <w:t xml:space="preserve">plan for improvement is in place to improve the </w:t>
      </w:r>
      <w:r>
        <w:t>d</w:t>
      </w:r>
      <w:r w:rsidRPr="00D05E55">
        <w:t>epartment</w:t>
      </w:r>
      <w:r w:rsidR="007D145B">
        <w:t>’</w:t>
      </w:r>
      <w:r w:rsidRPr="00D05E55">
        <w:t>s maturity rating in these areas.</w:t>
      </w:r>
    </w:p>
    <w:p w14:paraId="67212D5A" w14:textId="77777777" w:rsidR="006E7894" w:rsidRDefault="006E7894" w:rsidP="003B2EE7">
      <w:pPr>
        <w:pStyle w:val="Heading3smaller"/>
      </w:pPr>
      <w:bookmarkStart w:id="693" w:name="_Toc85121345"/>
      <w:r>
        <w:t>Disposal (requirement 41)</w:t>
      </w:r>
      <w:bookmarkEnd w:id="693"/>
    </w:p>
    <w:p w14:paraId="331E6098" w14:textId="3355DF1B" w:rsidR="005345D3" w:rsidRDefault="00D05E55" w:rsidP="00E847B7">
      <w:pPr>
        <w:pStyle w:val="ARbody"/>
      </w:pPr>
      <w:r w:rsidRPr="00D05E55">
        <w:t xml:space="preserve">There is no material non-compliance reported in this category, however the </w:t>
      </w:r>
      <w:r>
        <w:t>d</w:t>
      </w:r>
      <w:r w:rsidRPr="00D05E55">
        <w:t>epartment has not met</w:t>
      </w:r>
      <w:r w:rsidR="007D145B">
        <w:t> </w:t>
      </w:r>
      <w:r w:rsidRPr="00D05E55">
        <w:t>its target maturity level in this category. A</w:t>
      </w:r>
      <w:r w:rsidR="007D145B">
        <w:t> </w:t>
      </w:r>
      <w:r w:rsidRPr="00D05E55">
        <w:t>plan</w:t>
      </w:r>
      <w:r w:rsidR="007D145B">
        <w:t> </w:t>
      </w:r>
      <w:r w:rsidRPr="00D05E55">
        <w:t>for improvement is in place to improve the</w:t>
      </w:r>
      <w:r w:rsidR="007D145B">
        <w:t> </w:t>
      </w:r>
      <w:r>
        <w:t>d</w:t>
      </w:r>
      <w:r w:rsidRPr="00D05E55">
        <w:t>epartment</w:t>
      </w:r>
      <w:r w:rsidR="007D145B">
        <w:t>’</w:t>
      </w:r>
      <w:r w:rsidRPr="00D05E55">
        <w:t>s maturity rating in these areas.</w:t>
      </w:r>
    </w:p>
    <w:bookmarkEnd w:id="5"/>
    <w:p w14:paraId="005CDA1E" w14:textId="77777777" w:rsidR="00F72887" w:rsidRDefault="00F72887" w:rsidP="00F72887">
      <w:pPr>
        <w:pStyle w:val="ARbody"/>
      </w:pPr>
    </w:p>
    <w:p w14:paraId="05285312" w14:textId="77777777" w:rsidR="00F72887" w:rsidRDefault="00F72887" w:rsidP="00F72887">
      <w:pPr>
        <w:pStyle w:val="ARbody"/>
        <w:sectPr w:rsidR="00F72887" w:rsidSect="009D1AA8">
          <w:headerReference w:type="default" r:id="rId119"/>
          <w:headerReference w:type="first" r:id="rId120"/>
          <w:footerReference w:type="first" r:id="rId121"/>
          <w:footnotePr>
            <w:numFmt w:val="lowerLetter"/>
            <w:numRestart w:val="eachPage"/>
          </w:footnotePr>
          <w:endnotePr>
            <w:numFmt w:val="decimal"/>
          </w:endnotePr>
          <w:pgSz w:w="11900" w:h="16840" w:code="9"/>
          <w:pgMar w:top="1985" w:right="1134" w:bottom="851" w:left="1134" w:header="510" w:footer="340" w:gutter="0"/>
          <w:cols w:num="2" w:space="454"/>
        </w:sectPr>
      </w:pPr>
    </w:p>
    <w:p w14:paraId="7707866B" w14:textId="77777777" w:rsidR="00F72887" w:rsidRDefault="00F72887" w:rsidP="00F72887">
      <w:pPr>
        <w:pStyle w:val="ARbody"/>
      </w:pPr>
    </w:p>
    <w:p w14:paraId="76BCBDE0" w14:textId="77777777" w:rsidR="00F72887" w:rsidRDefault="00F72887" w:rsidP="00F72887">
      <w:pPr>
        <w:pStyle w:val="Heading2"/>
        <w:rPr>
          <w:rFonts w:cs="Arial"/>
        </w:rPr>
        <w:sectPr w:rsidR="00F72887" w:rsidSect="00E71552">
          <w:footnotePr>
            <w:numFmt w:val="lowerLetter"/>
            <w:numRestart w:val="eachPage"/>
          </w:footnotePr>
          <w:endnotePr>
            <w:numFmt w:val="decimal"/>
          </w:endnotePr>
          <w:type w:val="continuous"/>
          <w:pgSz w:w="11900" w:h="16840" w:code="9"/>
          <w:pgMar w:top="1985" w:right="1134" w:bottom="851" w:left="1134" w:header="510" w:footer="340" w:gutter="0"/>
          <w:cols w:num="2" w:space="454"/>
        </w:sectPr>
      </w:pPr>
    </w:p>
    <w:p w14:paraId="41CD2FF0" w14:textId="77777777" w:rsidR="00F72887" w:rsidRDefault="00F72887" w:rsidP="00F72887">
      <w:pPr>
        <w:pStyle w:val="ARbody"/>
      </w:pPr>
      <w:r>
        <w:rPr>
          <w:noProof/>
          <w:lang w:eastAsia="en-AU" w:bidi="as-IN"/>
        </w:rPr>
        <w:lastRenderedPageBreak/>
        <w:drawing>
          <wp:inline distT="0" distB="0" distL="0" distR="0" wp14:anchorId="77B4E3E0" wp14:editId="156FDF99">
            <wp:extent cx="6119922" cy="7034038"/>
            <wp:effectExtent l="0" t="0" r="0" b="0"/>
            <wp:docPr id="5" name="Graphic 5" descr="Chart showing the department’s compliance with 41 mandatory requirements. Compliance is reported on a scale from 0 to 4, where 0 is defined as innocence, 1 as awareness, 2 as developing, 3 as competence, and 4 as optimising. Ratings of 0-2 are classified as non-comply, and ratings of 3-4 are classified as comply. The department achieved a rating of comply (all with a score of 3) for 21% of the requirements and a rating of non-comply (all with a score of 2) for 79% of the requir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Chart showing the department’s compliance with 41 mandatory requirements. Compliance is reported on a scale from 0 to 4, where 0 is defined as innocence, 1 as awareness, 2 as developing, 3 as competence, and 4 as optimising. Ratings of 0-2 are classified as non-comply, and ratings of 3-4 are classified as comply. The department achieved a rating of comply (all with a score of 3) for 21% of the requirements and a rating of non-comply (all with a score of 2) for 79% of the requirements."/>
                    <pic:cNvPicPr/>
                  </pic:nvPicPr>
                  <pic:blipFill>
                    <a:blip r:embed="rId122">
                      <a:extLst>
                        <a:ext uri="{28A0092B-C50C-407E-A947-70E740481C1C}">
                          <a14:useLocalDpi xmlns:a14="http://schemas.microsoft.com/office/drawing/2010/main" val="0"/>
                        </a:ext>
                        <a:ext uri="{96DAC541-7B7A-43D3-8B79-37D633B846F1}">
                          <asvg:svgBlip xmlns:asvg="http://schemas.microsoft.com/office/drawing/2016/SVG/main" r:embed="rId123"/>
                        </a:ext>
                      </a:extLst>
                    </a:blip>
                    <a:stretch>
                      <a:fillRect/>
                    </a:stretch>
                  </pic:blipFill>
                  <pic:spPr>
                    <a:xfrm>
                      <a:off x="0" y="0"/>
                      <a:ext cx="6119922" cy="7034038"/>
                    </a:xfrm>
                    <a:prstGeom prst="rect">
                      <a:avLst/>
                    </a:prstGeom>
                  </pic:spPr>
                </pic:pic>
              </a:graphicData>
            </a:graphic>
          </wp:inline>
        </w:drawing>
      </w:r>
    </w:p>
    <w:p w14:paraId="6A164CCC" w14:textId="731D5C34" w:rsidR="00677E79" w:rsidRDefault="00677E79" w:rsidP="00E847B7">
      <w:pPr>
        <w:pStyle w:val="ARbody"/>
      </w:pPr>
    </w:p>
    <w:p w14:paraId="11CD1DA0" w14:textId="77777777" w:rsidR="00967B31" w:rsidRDefault="00967B31" w:rsidP="00DD479E">
      <w:pPr>
        <w:pStyle w:val="ARbody"/>
        <w:sectPr w:rsidR="00967B31" w:rsidSect="00C47A8C">
          <w:headerReference w:type="default" r:id="rId124"/>
          <w:headerReference w:type="first" r:id="rId125"/>
          <w:footerReference w:type="first" r:id="rId126"/>
          <w:footnotePr>
            <w:numFmt w:val="lowerLetter"/>
            <w:numRestart w:val="eachPage"/>
          </w:footnotePr>
          <w:endnotePr>
            <w:numFmt w:val="decimal"/>
          </w:endnotePr>
          <w:pgSz w:w="11900" w:h="16840" w:code="9"/>
          <w:pgMar w:top="1985" w:right="1134" w:bottom="851" w:left="1134" w:header="510" w:footer="340" w:gutter="0"/>
          <w:cols w:space="454"/>
        </w:sectPr>
      </w:pPr>
    </w:p>
    <w:p w14:paraId="7E59D8C8" w14:textId="77777777" w:rsidR="005F4A7E" w:rsidRPr="00B53E8F" w:rsidRDefault="005F4A7E" w:rsidP="00E54FBE">
      <w:pPr>
        <w:pStyle w:val="Heading1"/>
      </w:pPr>
      <w:bookmarkStart w:id="694" w:name="_Ref84596580"/>
      <w:bookmarkStart w:id="695" w:name="_Toc85121346"/>
      <w:bookmarkStart w:id="696" w:name="_Toc85121634"/>
      <w:bookmarkStart w:id="697" w:name="_Toc86075617"/>
      <w:bookmarkStart w:id="698" w:name="FinancialStatements"/>
      <w:r w:rsidRPr="00B53E8F">
        <w:lastRenderedPageBreak/>
        <w:t>Department of Health: Financial statements for the financial year ended 30 June 2021</w:t>
      </w:r>
      <w:bookmarkEnd w:id="694"/>
      <w:bookmarkEnd w:id="695"/>
      <w:bookmarkEnd w:id="696"/>
      <w:bookmarkEnd w:id="697"/>
    </w:p>
    <w:p w14:paraId="6F302B51" w14:textId="357FA0EE" w:rsidR="007F5AD6" w:rsidRDefault="005F4A7E">
      <w:pPr>
        <w:pStyle w:val="TOC1"/>
        <w:rPr>
          <w:rFonts w:asciiTheme="minorHAnsi" w:hAnsiTheme="minorHAnsi"/>
          <w:sz w:val="22"/>
          <w:szCs w:val="22"/>
          <w:lang w:eastAsia="en-AU"/>
        </w:rPr>
      </w:pPr>
      <w:r w:rsidRPr="002029AF">
        <w:rPr>
          <w:rFonts w:cs="Arial"/>
          <w:b/>
          <w:noProof w:val="0"/>
          <w:szCs w:val="24"/>
        </w:rPr>
        <w:fldChar w:fldCharType="begin"/>
      </w:r>
      <w:r w:rsidRPr="002029AF">
        <w:rPr>
          <w:rFonts w:cs="Arial"/>
          <w:b/>
          <w:noProof w:val="0"/>
          <w:szCs w:val="24"/>
        </w:rPr>
        <w:instrText xml:space="preserve"> TOC</w:instrText>
      </w:r>
      <w:r>
        <w:rPr>
          <w:rFonts w:cs="Arial"/>
          <w:b/>
          <w:noProof w:val="0"/>
          <w:szCs w:val="24"/>
        </w:rPr>
        <w:instrText xml:space="preserve"> \b</w:instrText>
      </w:r>
      <w:r w:rsidRPr="002029AF">
        <w:rPr>
          <w:rFonts w:cs="Arial"/>
          <w:b/>
          <w:noProof w:val="0"/>
          <w:szCs w:val="24"/>
        </w:rPr>
        <w:instrText xml:space="preserve"> </w:instrText>
      </w:r>
      <w:r>
        <w:rPr>
          <w:rFonts w:cs="Arial"/>
          <w:b/>
          <w:noProof w:val="0"/>
          <w:szCs w:val="24"/>
        </w:rPr>
        <w:instrText xml:space="preserve">FinancialStatements </w:instrText>
      </w:r>
      <w:r w:rsidRPr="002029AF">
        <w:rPr>
          <w:rFonts w:cs="Arial"/>
          <w:b/>
          <w:noProof w:val="0"/>
          <w:szCs w:val="24"/>
        </w:rPr>
        <w:instrText>\h \z \t "Heading 2</w:instrText>
      </w:r>
      <w:r>
        <w:rPr>
          <w:rFonts w:cs="Arial"/>
          <w:b/>
          <w:noProof w:val="0"/>
          <w:szCs w:val="24"/>
        </w:rPr>
        <w:instrText xml:space="preserve"> Financials</w:instrText>
      </w:r>
      <w:r w:rsidRPr="002029AF">
        <w:rPr>
          <w:rFonts w:cs="Arial"/>
          <w:b/>
          <w:noProof w:val="0"/>
          <w:szCs w:val="24"/>
        </w:rPr>
        <w:instrText xml:space="preserve">,1,Heading 3,2" </w:instrText>
      </w:r>
      <w:r w:rsidRPr="002029AF">
        <w:rPr>
          <w:rFonts w:cs="Arial"/>
          <w:b/>
          <w:noProof w:val="0"/>
          <w:szCs w:val="24"/>
        </w:rPr>
        <w:fldChar w:fldCharType="separate"/>
      </w:r>
      <w:hyperlink w:anchor="_Toc86075623" w:history="1">
        <w:r w:rsidR="007F5AD6" w:rsidRPr="002D7B64">
          <w:rPr>
            <w:rStyle w:val="Hyperlink"/>
          </w:rPr>
          <w:t>Declaration in the financial statements</w:t>
        </w:r>
        <w:r w:rsidR="007F5AD6">
          <w:rPr>
            <w:webHidden/>
          </w:rPr>
          <w:tab/>
        </w:r>
        <w:r w:rsidR="007F5AD6">
          <w:rPr>
            <w:webHidden/>
          </w:rPr>
          <w:fldChar w:fldCharType="begin"/>
        </w:r>
        <w:r w:rsidR="007F5AD6">
          <w:rPr>
            <w:webHidden/>
          </w:rPr>
          <w:instrText xml:space="preserve"> PAGEREF _Toc86075623 \h </w:instrText>
        </w:r>
        <w:r w:rsidR="007F5AD6">
          <w:rPr>
            <w:webHidden/>
          </w:rPr>
        </w:r>
        <w:r w:rsidR="007F5AD6">
          <w:rPr>
            <w:webHidden/>
          </w:rPr>
          <w:fldChar w:fldCharType="separate"/>
        </w:r>
        <w:r w:rsidR="00E71361">
          <w:rPr>
            <w:webHidden/>
          </w:rPr>
          <w:t>138</w:t>
        </w:r>
        <w:r w:rsidR="007F5AD6">
          <w:rPr>
            <w:webHidden/>
          </w:rPr>
          <w:fldChar w:fldCharType="end"/>
        </w:r>
      </w:hyperlink>
    </w:p>
    <w:p w14:paraId="25FAAC60" w14:textId="18FA4CCB" w:rsidR="007F5AD6" w:rsidRDefault="00E71361">
      <w:pPr>
        <w:pStyle w:val="TOC1"/>
        <w:rPr>
          <w:rFonts w:asciiTheme="minorHAnsi" w:hAnsiTheme="minorHAnsi"/>
          <w:sz w:val="22"/>
          <w:szCs w:val="22"/>
          <w:lang w:eastAsia="en-AU"/>
        </w:rPr>
      </w:pPr>
      <w:hyperlink w:anchor="_Toc86075624" w:history="1">
        <w:r w:rsidR="007F5AD6" w:rsidRPr="002D7B64">
          <w:rPr>
            <w:rStyle w:val="Hyperlink"/>
          </w:rPr>
          <w:t>Independent auditor’s report</w:t>
        </w:r>
        <w:r w:rsidR="007F5AD6">
          <w:rPr>
            <w:webHidden/>
          </w:rPr>
          <w:tab/>
        </w:r>
        <w:r w:rsidR="007F5AD6">
          <w:rPr>
            <w:webHidden/>
          </w:rPr>
          <w:fldChar w:fldCharType="begin"/>
        </w:r>
        <w:r w:rsidR="007F5AD6">
          <w:rPr>
            <w:webHidden/>
          </w:rPr>
          <w:instrText xml:space="preserve"> PAGEREF _Toc86075624 \h </w:instrText>
        </w:r>
        <w:r w:rsidR="007F5AD6">
          <w:rPr>
            <w:webHidden/>
          </w:rPr>
        </w:r>
        <w:r w:rsidR="007F5AD6">
          <w:rPr>
            <w:webHidden/>
          </w:rPr>
          <w:fldChar w:fldCharType="separate"/>
        </w:r>
        <w:r>
          <w:rPr>
            <w:webHidden/>
          </w:rPr>
          <w:t>139</w:t>
        </w:r>
        <w:r w:rsidR="007F5AD6">
          <w:rPr>
            <w:webHidden/>
          </w:rPr>
          <w:fldChar w:fldCharType="end"/>
        </w:r>
      </w:hyperlink>
    </w:p>
    <w:p w14:paraId="1CB3B2B9" w14:textId="3E905CEE" w:rsidR="007F5AD6" w:rsidRDefault="00E71361">
      <w:pPr>
        <w:pStyle w:val="TOC1"/>
        <w:rPr>
          <w:rFonts w:asciiTheme="minorHAnsi" w:hAnsiTheme="minorHAnsi"/>
          <w:sz w:val="22"/>
          <w:szCs w:val="22"/>
          <w:lang w:eastAsia="en-AU"/>
        </w:rPr>
      </w:pPr>
      <w:hyperlink w:anchor="_Toc86075625" w:history="1">
        <w:r w:rsidR="007F5AD6" w:rsidRPr="002D7B64">
          <w:rPr>
            <w:rStyle w:val="Hyperlink"/>
          </w:rPr>
          <w:t>Comprehensive operating statement for the financial year ended 30 June 2021</w:t>
        </w:r>
        <w:r w:rsidR="007F5AD6">
          <w:rPr>
            <w:webHidden/>
          </w:rPr>
          <w:tab/>
        </w:r>
        <w:r w:rsidR="007F5AD6">
          <w:rPr>
            <w:webHidden/>
          </w:rPr>
          <w:fldChar w:fldCharType="begin"/>
        </w:r>
        <w:r w:rsidR="007F5AD6">
          <w:rPr>
            <w:webHidden/>
          </w:rPr>
          <w:instrText xml:space="preserve"> PAGEREF _Toc86075625 \h </w:instrText>
        </w:r>
        <w:r w:rsidR="007F5AD6">
          <w:rPr>
            <w:webHidden/>
          </w:rPr>
        </w:r>
        <w:r w:rsidR="007F5AD6">
          <w:rPr>
            <w:webHidden/>
          </w:rPr>
          <w:fldChar w:fldCharType="separate"/>
        </w:r>
        <w:r>
          <w:rPr>
            <w:webHidden/>
          </w:rPr>
          <w:t>141</w:t>
        </w:r>
        <w:r w:rsidR="007F5AD6">
          <w:rPr>
            <w:webHidden/>
          </w:rPr>
          <w:fldChar w:fldCharType="end"/>
        </w:r>
      </w:hyperlink>
    </w:p>
    <w:p w14:paraId="34DC2080" w14:textId="0773D5C8" w:rsidR="007F5AD6" w:rsidRDefault="00E71361">
      <w:pPr>
        <w:pStyle w:val="TOC1"/>
        <w:rPr>
          <w:rFonts w:asciiTheme="minorHAnsi" w:hAnsiTheme="minorHAnsi"/>
          <w:sz w:val="22"/>
          <w:szCs w:val="22"/>
          <w:lang w:eastAsia="en-AU"/>
        </w:rPr>
      </w:pPr>
      <w:hyperlink w:anchor="_Toc86075626" w:history="1">
        <w:r w:rsidR="007F5AD6" w:rsidRPr="002D7B64">
          <w:rPr>
            <w:rStyle w:val="Hyperlink"/>
          </w:rPr>
          <w:t>Balance sheet as at 30 June 2021</w:t>
        </w:r>
        <w:r w:rsidR="007F5AD6">
          <w:rPr>
            <w:webHidden/>
          </w:rPr>
          <w:tab/>
        </w:r>
        <w:r w:rsidR="007F5AD6">
          <w:rPr>
            <w:webHidden/>
          </w:rPr>
          <w:fldChar w:fldCharType="begin"/>
        </w:r>
        <w:r w:rsidR="007F5AD6">
          <w:rPr>
            <w:webHidden/>
          </w:rPr>
          <w:instrText xml:space="preserve"> PAGEREF _Toc86075626 \h </w:instrText>
        </w:r>
        <w:r w:rsidR="007F5AD6">
          <w:rPr>
            <w:webHidden/>
          </w:rPr>
        </w:r>
        <w:r w:rsidR="007F5AD6">
          <w:rPr>
            <w:webHidden/>
          </w:rPr>
          <w:fldChar w:fldCharType="separate"/>
        </w:r>
        <w:r>
          <w:rPr>
            <w:webHidden/>
          </w:rPr>
          <w:t>142</w:t>
        </w:r>
        <w:r w:rsidR="007F5AD6">
          <w:rPr>
            <w:webHidden/>
          </w:rPr>
          <w:fldChar w:fldCharType="end"/>
        </w:r>
      </w:hyperlink>
    </w:p>
    <w:p w14:paraId="7BD7984D" w14:textId="01B71AB5" w:rsidR="007F5AD6" w:rsidRDefault="00E71361">
      <w:pPr>
        <w:pStyle w:val="TOC1"/>
        <w:rPr>
          <w:rFonts w:asciiTheme="minorHAnsi" w:hAnsiTheme="minorHAnsi"/>
          <w:sz w:val="22"/>
          <w:szCs w:val="22"/>
          <w:lang w:eastAsia="en-AU"/>
        </w:rPr>
      </w:pPr>
      <w:hyperlink w:anchor="_Toc86075627" w:history="1">
        <w:r w:rsidR="007F5AD6" w:rsidRPr="002D7B64">
          <w:rPr>
            <w:rStyle w:val="Hyperlink"/>
          </w:rPr>
          <w:t>Cash flow statement for the financial year ended 30 June 2021</w:t>
        </w:r>
        <w:r w:rsidR="007F5AD6">
          <w:rPr>
            <w:webHidden/>
          </w:rPr>
          <w:tab/>
        </w:r>
        <w:r w:rsidR="007F5AD6">
          <w:rPr>
            <w:webHidden/>
          </w:rPr>
          <w:fldChar w:fldCharType="begin"/>
        </w:r>
        <w:r w:rsidR="007F5AD6">
          <w:rPr>
            <w:webHidden/>
          </w:rPr>
          <w:instrText xml:space="preserve"> PAGEREF _Toc86075627 \h </w:instrText>
        </w:r>
        <w:r w:rsidR="007F5AD6">
          <w:rPr>
            <w:webHidden/>
          </w:rPr>
        </w:r>
        <w:r w:rsidR="007F5AD6">
          <w:rPr>
            <w:webHidden/>
          </w:rPr>
          <w:fldChar w:fldCharType="separate"/>
        </w:r>
        <w:r>
          <w:rPr>
            <w:webHidden/>
          </w:rPr>
          <w:t>143</w:t>
        </w:r>
        <w:r w:rsidR="007F5AD6">
          <w:rPr>
            <w:webHidden/>
          </w:rPr>
          <w:fldChar w:fldCharType="end"/>
        </w:r>
      </w:hyperlink>
    </w:p>
    <w:p w14:paraId="18FABEF5" w14:textId="22BAB248" w:rsidR="007F5AD6" w:rsidRDefault="00E71361">
      <w:pPr>
        <w:pStyle w:val="TOC1"/>
        <w:rPr>
          <w:rFonts w:asciiTheme="minorHAnsi" w:hAnsiTheme="minorHAnsi"/>
          <w:sz w:val="22"/>
          <w:szCs w:val="22"/>
          <w:lang w:eastAsia="en-AU"/>
        </w:rPr>
      </w:pPr>
      <w:hyperlink w:anchor="_Toc86075628" w:history="1">
        <w:r w:rsidR="007F5AD6" w:rsidRPr="002D7B64">
          <w:rPr>
            <w:rStyle w:val="Hyperlink"/>
          </w:rPr>
          <w:t>Statement of changes in equity for the financial year ended 30 June 2021</w:t>
        </w:r>
        <w:r w:rsidR="007F5AD6">
          <w:rPr>
            <w:webHidden/>
          </w:rPr>
          <w:tab/>
        </w:r>
        <w:r w:rsidR="007F5AD6">
          <w:rPr>
            <w:webHidden/>
          </w:rPr>
          <w:fldChar w:fldCharType="begin"/>
        </w:r>
        <w:r w:rsidR="007F5AD6">
          <w:rPr>
            <w:webHidden/>
          </w:rPr>
          <w:instrText xml:space="preserve"> PAGEREF _Toc86075628 \h </w:instrText>
        </w:r>
        <w:r w:rsidR="007F5AD6">
          <w:rPr>
            <w:webHidden/>
          </w:rPr>
        </w:r>
        <w:r w:rsidR="007F5AD6">
          <w:rPr>
            <w:webHidden/>
          </w:rPr>
          <w:fldChar w:fldCharType="separate"/>
        </w:r>
        <w:r>
          <w:rPr>
            <w:webHidden/>
          </w:rPr>
          <w:t>144</w:t>
        </w:r>
        <w:r w:rsidR="007F5AD6">
          <w:rPr>
            <w:webHidden/>
          </w:rPr>
          <w:fldChar w:fldCharType="end"/>
        </w:r>
      </w:hyperlink>
    </w:p>
    <w:p w14:paraId="667C6F94" w14:textId="546297BA" w:rsidR="007F5AD6" w:rsidRDefault="00E71361">
      <w:pPr>
        <w:pStyle w:val="TOC1"/>
        <w:rPr>
          <w:rFonts w:asciiTheme="minorHAnsi" w:hAnsiTheme="minorHAnsi"/>
          <w:sz w:val="22"/>
          <w:szCs w:val="22"/>
          <w:lang w:eastAsia="en-AU"/>
        </w:rPr>
      </w:pPr>
      <w:hyperlink w:anchor="_Toc86075629" w:history="1">
        <w:r w:rsidR="007F5AD6" w:rsidRPr="002D7B64">
          <w:rPr>
            <w:rStyle w:val="Hyperlink"/>
          </w:rPr>
          <w:t>Notes to and forming part of the financial statements for the financial year ended 30 June 2021</w:t>
        </w:r>
        <w:r w:rsidR="007F5AD6">
          <w:rPr>
            <w:webHidden/>
          </w:rPr>
          <w:tab/>
        </w:r>
        <w:r w:rsidR="007F5AD6">
          <w:rPr>
            <w:webHidden/>
          </w:rPr>
          <w:fldChar w:fldCharType="begin"/>
        </w:r>
        <w:r w:rsidR="007F5AD6">
          <w:rPr>
            <w:webHidden/>
          </w:rPr>
          <w:instrText xml:space="preserve"> PAGEREF _Toc86075629 \h </w:instrText>
        </w:r>
        <w:r w:rsidR="007F5AD6">
          <w:rPr>
            <w:webHidden/>
          </w:rPr>
        </w:r>
        <w:r w:rsidR="007F5AD6">
          <w:rPr>
            <w:webHidden/>
          </w:rPr>
          <w:fldChar w:fldCharType="separate"/>
        </w:r>
        <w:r>
          <w:rPr>
            <w:webHidden/>
          </w:rPr>
          <w:t>145</w:t>
        </w:r>
        <w:r w:rsidR="007F5AD6">
          <w:rPr>
            <w:webHidden/>
          </w:rPr>
          <w:fldChar w:fldCharType="end"/>
        </w:r>
      </w:hyperlink>
    </w:p>
    <w:p w14:paraId="4ED171E8" w14:textId="2AF4C7FE" w:rsidR="007F5AD6" w:rsidRDefault="00E71361">
      <w:pPr>
        <w:pStyle w:val="TOC2"/>
        <w:rPr>
          <w:rFonts w:asciiTheme="minorHAnsi" w:hAnsiTheme="minorHAnsi"/>
          <w:sz w:val="22"/>
          <w:szCs w:val="22"/>
          <w:lang w:eastAsia="en-AU"/>
        </w:rPr>
      </w:pPr>
      <w:hyperlink w:anchor="_Toc86075630" w:history="1">
        <w:r w:rsidR="007F5AD6" w:rsidRPr="002D7B64">
          <w:rPr>
            <w:rStyle w:val="Hyperlink"/>
          </w:rPr>
          <w:t>1. About this report</w:t>
        </w:r>
        <w:r w:rsidR="007F5AD6">
          <w:rPr>
            <w:webHidden/>
          </w:rPr>
          <w:tab/>
        </w:r>
        <w:r w:rsidR="007F5AD6">
          <w:rPr>
            <w:webHidden/>
          </w:rPr>
          <w:fldChar w:fldCharType="begin"/>
        </w:r>
        <w:r w:rsidR="007F5AD6">
          <w:rPr>
            <w:webHidden/>
          </w:rPr>
          <w:instrText xml:space="preserve"> PAGEREF _Toc86075630 \h </w:instrText>
        </w:r>
        <w:r w:rsidR="007F5AD6">
          <w:rPr>
            <w:webHidden/>
          </w:rPr>
        </w:r>
        <w:r w:rsidR="007F5AD6">
          <w:rPr>
            <w:webHidden/>
          </w:rPr>
          <w:fldChar w:fldCharType="separate"/>
        </w:r>
        <w:r>
          <w:rPr>
            <w:webHidden/>
          </w:rPr>
          <w:t>145</w:t>
        </w:r>
        <w:r w:rsidR="007F5AD6">
          <w:rPr>
            <w:webHidden/>
          </w:rPr>
          <w:fldChar w:fldCharType="end"/>
        </w:r>
      </w:hyperlink>
    </w:p>
    <w:p w14:paraId="540BB5C2" w14:textId="703BB2F4" w:rsidR="007F5AD6" w:rsidRDefault="00E71361">
      <w:pPr>
        <w:pStyle w:val="TOC2"/>
        <w:rPr>
          <w:rFonts w:asciiTheme="minorHAnsi" w:hAnsiTheme="minorHAnsi"/>
          <w:sz w:val="22"/>
          <w:szCs w:val="22"/>
          <w:lang w:eastAsia="en-AU"/>
        </w:rPr>
      </w:pPr>
      <w:hyperlink w:anchor="_Toc86075631" w:history="1">
        <w:r w:rsidR="007F5AD6" w:rsidRPr="002D7B64">
          <w:rPr>
            <w:rStyle w:val="Hyperlink"/>
          </w:rPr>
          <w:t>2. Funding delivery of our services</w:t>
        </w:r>
        <w:r w:rsidR="007F5AD6">
          <w:rPr>
            <w:webHidden/>
          </w:rPr>
          <w:tab/>
        </w:r>
        <w:r w:rsidR="007F5AD6">
          <w:rPr>
            <w:webHidden/>
          </w:rPr>
          <w:fldChar w:fldCharType="begin"/>
        </w:r>
        <w:r w:rsidR="007F5AD6">
          <w:rPr>
            <w:webHidden/>
          </w:rPr>
          <w:instrText xml:space="preserve"> PAGEREF _Toc86075631 \h </w:instrText>
        </w:r>
        <w:r w:rsidR="007F5AD6">
          <w:rPr>
            <w:webHidden/>
          </w:rPr>
        </w:r>
        <w:r w:rsidR="007F5AD6">
          <w:rPr>
            <w:webHidden/>
          </w:rPr>
          <w:fldChar w:fldCharType="separate"/>
        </w:r>
        <w:r>
          <w:rPr>
            <w:webHidden/>
          </w:rPr>
          <w:t>147</w:t>
        </w:r>
        <w:r w:rsidR="007F5AD6">
          <w:rPr>
            <w:webHidden/>
          </w:rPr>
          <w:fldChar w:fldCharType="end"/>
        </w:r>
      </w:hyperlink>
    </w:p>
    <w:p w14:paraId="6048C391" w14:textId="6C3793BC" w:rsidR="007F5AD6" w:rsidRDefault="00E71361">
      <w:pPr>
        <w:pStyle w:val="TOC2"/>
        <w:rPr>
          <w:rFonts w:asciiTheme="minorHAnsi" w:hAnsiTheme="minorHAnsi"/>
          <w:sz w:val="22"/>
          <w:szCs w:val="22"/>
          <w:lang w:eastAsia="en-AU"/>
        </w:rPr>
      </w:pPr>
      <w:hyperlink w:anchor="_Toc86075632" w:history="1">
        <w:r w:rsidR="007F5AD6" w:rsidRPr="002D7B64">
          <w:rPr>
            <w:rStyle w:val="Hyperlink"/>
          </w:rPr>
          <w:t>3. The cost of delivering services</w:t>
        </w:r>
        <w:r w:rsidR="007F5AD6">
          <w:rPr>
            <w:webHidden/>
          </w:rPr>
          <w:tab/>
        </w:r>
        <w:r w:rsidR="007F5AD6">
          <w:rPr>
            <w:webHidden/>
          </w:rPr>
          <w:fldChar w:fldCharType="begin"/>
        </w:r>
        <w:r w:rsidR="007F5AD6">
          <w:rPr>
            <w:webHidden/>
          </w:rPr>
          <w:instrText xml:space="preserve"> PAGEREF _Toc86075632 \h </w:instrText>
        </w:r>
        <w:r w:rsidR="007F5AD6">
          <w:rPr>
            <w:webHidden/>
          </w:rPr>
        </w:r>
        <w:r w:rsidR="007F5AD6">
          <w:rPr>
            <w:webHidden/>
          </w:rPr>
          <w:fldChar w:fldCharType="separate"/>
        </w:r>
        <w:r>
          <w:rPr>
            <w:webHidden/>
          </w:rPr>
          <w:t>155</w:t>
        </w:r>
        <w:r w:rsidR="007F5AD6">
          <w:rPr>
            <w:webHidden/>
          </w:rPr>
          <w:fldChar w:fldCharType="end"/>
        </w:r>
      </w:hyperlink>
    </w:p>
    <w:p w14:paraId="628387B0" w14:textId="2D09D83C" w:rsidR="007F5AD6" w:rsidRDefault="00E71361">
      <w:pPr>
        <w:pStyle w:val="TOC2"/>
        <w:rPr>
          <w:rFonts w:asciiTheme="minorHAnsi" w:hAnsiTheme="minorHAnsi"/>
          <w:sz w:val="22"/>
          <w:szCs w:val="22"/>
          <w:lang w:eastAsia="en-AU"/>
        </w:rPr>
      </w:pPr>
      <w:hyperlink w:anchor="_Toc86075633" w:history="1">
        <w:r w:rsidR="007F5AD6" w:rsidRPr="002D7B64">
          <w:rPr>
            <w:rStyle w:val="Hyperlink"/>
          </w:rPr>
          <w:t>4. Disaggregated financial information by output</w:t>
        </w:r>
        <w:r w:rsidR="007F5AD6">
          <w:rPr>
            <w:webHidden/>
          </w:rPr>
          <w:tab/>
        </w:r>
        <w:r w:rsidR="007F5AD6">
          <w:rPr>
            <w:webHidden/>
          </w:rPr>
          <w:fldChar w:fldCharType="begin"/>
        </w:r>
        <w:r w:rsidR="007F5AD6">
          <w:rPr>
            <w:webHidden/>
          </w:rPr>
          <w:instrText xml:space="preserve"> PAGEREF _Toc86075633 \h </w:instrText>
        </w:r>
        <w:r w:rsidR="007F5AD6">
          <w:rPr>
            <w:webHidden/>
          </w:rPr>
        </w:r>
        <w:r w:rsidR="007F5AD6">
          <w:rPr>
            <w:webHidden/>
          </w:rPr>
          <w:fldChar w:fldCharType="separate"/>
        </w:r>
        <w:r>
          <w:rPr>
            <w:webHidden/>
          </w:rPr>
          <w:t>163</w:t>
        </w:r>
        <w:r w:rsidR="007F5AD6">
          <w:rPr>
            <w:webHidden/>
          </w:rPr>
          <w:fldChar w:fldCharType="end"/>
        </w:r>
      </w:hyperlink>
    </w:p>
    <w:p w14:paraId="6AF947FF" w14:textId="366371D3" w:rsidR="007F5AD6" w:rsidRDefault="00E71361">
      <w:pPr>
        <w:pStyle w:val="TOC2"/>
        <w:rPr>
          <w:rFonts w:asciiTheme="minorHAnsi" w:hAnsiTheme="minorHAnsi"/>
          <w:sz w:val="22"/>
          <w:szCs w:val="22"/>
          <w:lang w:eastAsia="en-AU"/>
        </w:rPr>
      </w:pPr>
      <w:hyperlink w:anchor="_Toc86075634" w:history="1">
        <w:r w:rsidR="007F5AD6" w:rsidRPr="002D7B64">
          <w:rPr>
            <w:rStyle w:val="Hyperlink"/>
          </w:rPr>
          <w:t>5. Key assets available to support output delivery</w:t>
        </w:r>
        <w:r w:rsidR="007F5AD6">
          <w:rPr>
            <w:webHidden/>
          </w:rPr>
          <w:tab/>
        </w:r>
        <w:r w:rsidR="007F5AD6">
          <w:rPr>
            <w:webHidden/>
          </w:rPr>
          <w:fldChar w:fldCharType="begin"/>
        </w:r>
        <w:r w:rsidR="007F5AD6">
          <w:rPr>
            <w:webHidden/>
          </w:rPr>
          <w:instrText xml:space="preserve"> PAGEREF _Toc86075634 \h </w:instrText>
        </w:r>
        <w:r w:rsidR="007F5AD6">
          <w:rPr>
            <w:webHidden/>
          </w:rPr>
        </w:r>
        <w:r w:rsidR="007F5AD6">
          <w:rPr>
            <w:webHidden/>
          </w:rPr>
          <w:fldChar w:fldCharType="separate"/>
        </w:r>
        <w:r>
          <w:rPr>
            <w:webHidden/>
          </w:rPr>
          <w:t>175</w:t>
        </w:r>
        <w:r w:rsidR="007F5AD6">
          <w:rPr>
            <w:webHidden/>
          </w:rPr>
          <w:fldChar w:fldCharType="end"/>
        </w:r>
      </w:hyperlink>
    </w:p>
    <w:p w14:paraId="784BF267" w14:textId="7CD6D27E" w:rsidR="007F5AD6" w:rsidRDefault="00E71361">
      <w:pPr>
        <w:pStyle w:val="TOC2"/>
        <w:rPr>
          <w:rFonts w:asciiTheme="minorHAnsi" w:hAnsiTheme="minorHAnsi"/>
          <w:sz w:val="22"/>
          <w:szCs w:val="22"/>
          <w:lang w:eastAsia="en-AU"/>
        </w:rPr>
      </w:pPr>
      <w:hyperlink w:anchor="_Toc86075635" w:history="1">
        <w:r w:rsidR="007F5AD6" w:rsidRPr="002D7B64">
          <w:rPr>
            <w:rStyle w:val="Hyperlink"/>
          </w:rPr>
          <w:t>6. Other assets and liabilities</w:t>
        </w:r>
        <w:r w:rsidR="007F5AD6">
          <w:rPr>
            <w:webHidden/>
          </w:rPr>
          <w:tab/>
        </w:r>
        <w:r w:rsidR="007F5AD6">
          <w:rPr>
            <w:webHidden/>
          </w:rPr>
          <w:fldChar w:fldCharType="begin"/>
        </w:r>
        <w:r w:rsidR="007F5AD6">
          <w:rPr>
            <w:webHidden/>
          </w:rPr>
          <w:instrText xml:space="preserve"> PAGEREF _Toc86075635 \h </w:instrText>
        </w:r>
        <w:r w:rsidR="007F5AD6">
          <w:rPr>
            <w:webHidden/>
          </w:rPr>
        </w:r>
        <w:r w:rsidR="007F5AD6">
          <w:rPr>
            <w:webHidden/>
          </w:rPr>
          <w:fldChar w:fldCharType="separate"/>
        </w:r>
        <w:r>
          <w:rPr>
            <w:webHidden/>
          </w:rPr>
          <w:t>183</w:t>
        </w:r>
        <w:r w:rsidR="007F5AD6">
          <w:rPr>
            <w:webHidden/>
          </w:rPr>
          <w:fldChar w:fldCharType="end"/>
        </w:r>
      </w:hyperlink>
    </w:p>
    <w:p w14:paraId="149F417F" w14:textId="63FF47B5" w:rsidR="007F5AD6" w:rsidRDefault="00E71361">
      <w:pPr>
        <w:pStyle w:val="TOC2"/>
        <w:rPr>
          <w:rFonts w:asciiTheme="minorHAnsi" w:hAnsiTheme="minorHAnsi"/>
          <w:sz w:val="22"/>
          <w:szCs w:val="22"/>
          <w:lang w:eastAsia="en-AU"/>
        </w:rPr>
      </w:pPr>
      <w:hyperlink w:anchor="_Toc86075636" w:history="1">
        <w:r w:rsidR="007F5AD6" w:rsidRPr="002D7B64">
          <w:rPr>
            <w:rStyle w:val="Hyperlink"/>
          </w:rPr>
          <w:t>7. How we financed our operations</w:t>
        </w:r>
        <w:r w:rsidR="007F5AD6">
          <w:rPr>
            <w:webHidden/>
          </w:rPr>
          <w:tab/>
        </w:r>
        <w:r w:rsidR="007F5AD6">
          <w:rPr>
            <w:webHidden/>
          </w:rPr>
          <w:fldChar w:fldCharType="begin"/>
        </w:r>
        <w:r w:rsidR="007F5AD6">
          <w:rPr>
            <w:webHidden/>
          </w:rPr>
          <w:instrText xml:space="preserve"> PAGEREF _Toc86075636 \h </w:instrText>
        </w:r>
        <w:r w:rsidR="007F5AD6">
          <w:rPr>
            <w:webHidden/>
          </w:rPr>
        </w:r>
        <w:r w:rsidR="007F5AD6">
          <w:rPr>
            <w:webHidden/>
          </w:rPr>
          <w:fldChar w:fldCharType="separate"/>
        </w:r>
        <w:r>
          <w:rPr>
            <w:webHidden/>
          </w:rPr>
          <w:t>188</w:t>
        </w:r>
        <w:r w:rsidR="007F5AD6">
          <w:rPr>
            <w:webHidden/>
          </w:rPr>
          <w:fldChar w:fldCharType="end"/>
        </w:r>
      </w:hyperlink>
    </w:p>
    <w:p w14:paraId="3CA06427" w14:textId="76C532BB" w:rsidR="007F5AD6" w:rsidRDefault="00E71361">
      <w:pPr>
        <w:pStyle w:val="TOC2"/>
        <w:rPr>
          <w:rFonts w:asciiTheme="minorHAnsi" w:hAnsiTheme="minorHAnsi"/>
          <w:sz w:val="22"/>
          <w:szCs w:val="22"/>
          <w:lang w:eastAsia="en-AU"/>
        </w:rPr>
      </w:pPr>
      <w:hyperlink w:anchor="_Toc86075637" w:history="1">
        <w:r w:rsidR="007F5AD6" w:rsidRPr="002D7B64">
          <w:rPr>
            <w:rStyle w:val="Hyperlink"/>
          </w:rPr>
          <w:t>8. Risks, contingencies and valuation judgements</w:t>
        </w:r>
        <w:r w:rsidR="007F5AD6">
          <w:rPr>
            <w:webHidden/>
          </w:rPr>
          <w:tab/>
        </w:r>
        <w:r w:rsidR="007F5AD6">
          <w:rPr>
            <w:webHidden/>
          </w:rPr>
          <w:fldChar w:fldCharType="begin"/>
        </w:r>
        <w:r w:rsidR="007F5AD6">
          <w:rPr>
            <w:webHidden/>
          </w:rPr>
          <w:instrText xml:space="preserve"> PAGEREF _Toc86075637 \h </w:instrText>
        </w:r>
        <w:r w:rsidR="007F5AD6">
          <w:rPr>
            <w:webHidden/>
          </w:rPr>
        </w:r>
        <w:r w:rsidR="007F5AD6">
          <w:rPr>
            <w:webHidden/>
          </w:rPr>
          <w:fldChar w:fldCharType="separate"/>
        </w:r>
        <w:r>
          <w:rPr>
            <w:webHidden/>
          </w:rPr>
          <w:t>201</w:t>
        </w:r>
        <w:r w:rsidR="007F5AD6">
          <w:rPr>
            <w:webHidden/>
          </w:rPr>
          <w:fldChar w:fldCharType="end"/>
        </w:r>
      </w:hyperlink>
    </w:p>
    <w:p w14:paraId="702EFCCA" w14:textId="50C44ECD" w:rsidR="007F5AD6" w:rsidRDefault="00E71361">
      <w:pPr>
        <w:pStyle w:val="TOC2"/>
        <w:rPr>
          <w:rFonts w:asciiTheme="minorHAnsi" w:hAnsiTheme="minorHAnsi"/>
          <w:sz w:val="22"/>
          <w:szCs w:val="22"/>
          <w:lang w:eastAsia="en-AU"/>
        </w:rPr>
      </w:pPr>
      <w:hyperlink w:anchor="_Toc86075638" w:history="1">
        <w:r w:rsidR="007F5AD6" w:rsidRPr="002D7B64">
          <w:rPr>
            <w:rStyle w:val="Hyperlink"/>
          </w:rPr>
          <w:t>9. Other disclosures</w:t>
        </w:r>
        <w:r w:rsidR="007F5AD6">
          <w:rPr>
            <w:webHidden/>
          </w:rPr>
          <w:tab/>
        </w:r>
        <w:r w:rsidR="007F5AD6">
          <w:rPr>
            <w:webHidden/>
          </w:rPr>
          <w:fldChar w:fldCharType="begin"/>
        </w:r>
        <w:r w:rsidR="007F5AD6">
          <w:rPr>
            <w:webHidden/>
          </w:rPr>
          <w:instrText xml:space="preserve"> PAGEREF _Toc86075638 \h </w:instrText>
        </w:r>
        <w:r w:rsidR="007F5AD6">
          <w:rPr>
            <w:webHidden/>
          </w:rPr>
        </w:r>
        <w:r w:rsidR="007F5AD6">
          <w:rPr>
            <w:webHidden/>
          </w:rPr>
          <w:fldChar w:fldCharType="separate"/>
        </w:r>
        <w:r>
          <w:rPr>
            <w:webHidden/>
          </w:rPr>
          <w:t>215</w:t>
        </w:r>
        <w:r w:rsidR="007F5AD6">
          <w:rPr>
            <w:webHidden/>
          </w:rPr>
          <w:fldChar w:fldCharType="end"/>
        </w:r>
      </w:hyperlink>
    </w:p>
    <w:p w14:paraId="1B988F08" w14:textId="55A4BC4E" w:rsidR="005F4A7E" w:rsidRPr="002029AF" w:rsidRDefault="005F4A7E" w:rsidP="00DA4865">
      <w:pPr>
        <w:pStyle w:val="ARbody"/>
        <w:rPr>
          <w:color w:val="000000" w:themeColor="text1"/>
          <w:sz w:val="18"/>
          <w:u w:color="004C97"/>
        </w:rPr>
      </w:pPr>
      <w:r w:rsidRPr="002029AF">
        <w:rPr>
          <w:color w:val="000000" w:themeColor="text1"/>
          <w:sz w:val="18"/>
          <w:u w:color="004C97"/>
        </w:rPr>
        <w:fldChar w:fldCharType="end"/>
      </w:r>
    </w:p>
    <w:p w14:paraId="46B3E692" w14:textId="77777777" w:rsidR="005F4A7E" w:rsidRPr="002029AF" w:rsidRDefault="005F4A7E" w:rsidP="003566F1">
      <w:pPr>
        <w:pStyle w:val="ARbody"/>
      </w:pPr>
      <w:bookmarkStart w:id="699" w:name="_Toc447030685"/>
      <w:bookmarkStart w:id="700" w:name="_Toc449452834"/>
      <w:r w:rsidRPr="002029AF">
        <w:br w:type="page"/>
      </w:r>
    </w:p>
    <w:p w14:paraId="7EA13F82" w14:textId="77777777" w:rsidR="005F4A7E" w:rsidRPr="000E34F4" w:rsidRDefault="005F4A7E" w:rsidP="00130D1C">
      <w:pPr>
        <w:pStyle w:val="Heading2Financials"/>
      </w:pPr>
      <w:bookmarkStart w:id="701" w:name="Declaration_in_the_financial_statements"/>
      <w:bookmarkStart w:id="702" w:name="_Toc60682321"/>
      <w:bookmarkStart w:id="703" w:name="_Toc85121347"/>
      <w:bookmarkStart w:id="704" w:name="_Toc86075623"/>
      <w:bookmarkStart w:id="705" w:name="_Ref52283712"/>
      <w:bookmarkEnd w:id="701"/>
      <w:r w:rsidRPr="000E34F4">
        <w:lastRenderedPageBreak/>
        <w:t>Declaration in the financial statements</w:t>
      </w:r>
      <w:bookmarkEnd w:id="702"/>
      <w:bookmarkEnd w:id="703"/>
      <w:bookmarkEnd w:id="704"/>
    </w:p>
    <w:p w14:paraId="0B0E6194" w14:textId="77777777" w:rsidR="005F4A7E" w:rsidRPr="008A4550" w:rsidRDefault="005F4A7E" w:rsidP="00130D1C">
      <w:pPr>
        <w:pStyle w:val="ARbody"/>
      </w:pPr>
      <w:r w:rsidRPr="001366E5">
        <w:t>The</w:t>
      </w:r>
      <w:r w:rsidRPr="008A4550">
        <w:t xml:space="preserve"> attached financial statements for the Department of Health (the </w:t>
      </w:r>
      <w:r>
        <w:t>d</w:t>
      </w:r>
      <w:r w:rsidRPr="008A4550">
        <w:t xml:space="preserve">epartment) have been prepared in accordance with Direction 5.2 of the Standing Directions of the Assistant Treasurer under the </w:t>
      </w:r>
      <w:r w:rsidRPr="00641EB5">
        <w:rPr>
          <w:rStyle w:val="Emphasis"/>
        </w:rPr>
        <w:t>Financial Management Act 1994</w:t>
      </w:r>
      <w:r w:rsidRPr="008A4550">
        <w:t>, applicable Financial Reporting Directions, Australian Accounting Standards including Interpretations, and other mandatory professional reporting requirements.</w:t>
      </w:r>
    </w:p>
    <w:p w14:paraId="41C22E47" w14:textId="77777777" w:rsidR="005F4A7E" w:rsidRPr="008A4550" w:rsidRDefault="005F4A7E" w:rsidP="00130D1C">
      <w:pPr>
        <w:pStyle w:val="ARbody"/>
      </w:pPr>
      <w:r w:rsidRPr="008A4550">
        <w:t>We further state that, in our opinion, the information set out in the Comprehensive Operating Statement, Balance Sheet, Cash Flow Statement</w:t>
      </w:r>
      <w:r>
        <w:t>,</w:t>
      </w:r>
      <w:r w:rsidRPr="008A4550">
        <w:t xml:space="preserve"> Statement of Changes in Equity and accompanying notes, presents fairly the financial transactions during the year ended 30 June </w:t>
      </w:r>
      <w:r>
        <w:t>2021</w:t>
      </w:r>
      <w:r w:rsidRPr="008A4550">
        <w:t xml:space="preserve"> and financial position of the </w:t>
      </w:r>
      <w:r>
        <w:t>d</w:t>
      </w:r>
      <w:r w:rsidRPr="008A4550">
        <w:t xml:space="preserve">epartment at 30 June </w:t>
      </w:r>
      <w:r>
        <w:t>2021</w:t>
      </w:r>
      <w:r w:rsidRPr="008A4550">
        <w:t>.</w:t>
      </w:r>
    </w:p>
    <w:p w14:paraId="51762685" w14:textId="77777777" w:rsidR="005F4A7E" w:rsidRPr="00264D24" w:rsidRDefault="005F4A7E" w:rsidP="00130D1C">
      <w:pPr>
        <w:pStyle w:val="ARbody"/>
      </w:pPr>
      <w:r w:rsidRPr="00F6241E">
        <w:t>At the time of signing, we are not aware of any circumstance which would render any particulars included in</w:t>
      </w:r>
      <w:r>
        <w:t> </w:t>
      </w:r>
      <w:r w:rsidRPr="00F6241E">
        <w:t>the financial statements to be misleading or inaccurate.</w:t>
      </w:r>
    </w:p>
    <w:p w14:paraId="3CB09628" w14:textId="77777777" w:rsidR="005F4A7E" w:rsidRDefault="005F4A7E" w:rsidP="00130D1C">
      <w:pPr>
        <w:pStyle w:val="ARbody"/>
      </w:pPr>
      <w:r>
        <w:t>W</w:t>
      </w:r>
      <w:r w:rsidRPr="008A4550">
        <w:t xml:space="preserve">e authorise the attached financial statements for issue on </w:t>
      </w:r>
      <w:r w:rsidRPr="00BB3221">
        <w:t>30</w:t>
      </w:r>
      <w:r w:rsidRPr="006650E6">
        <w:rPr>
          <w:szCs w:val="20"/>
        </w:rPr>
        <w:t xml:space="preserve"> September</w:t>
      </w:r>
      <w:r w:rsidRPr="002F2186">
        <w:rPr>
          <w:szCs w:val="20"/>
        </w:rPr>
        <w:t xml:space="preserve"> </w:t>
      </w:r>
      <w:r>
        <w:rPr>
          <w:szCs w:val="20"/>
        </w:rPr>
        <w:t>2021</w:t>
      </w:r>
      <w:r w:rsidRPr="008A4550">
        <w:t>.</w:t>
      </w:r>
    </w:p>
    <w:p w14:paraId="5D7D4E34" w14:textId="77777777" w:rsidR="005F4A7E" w:rsidRDefault="005F4A7E" w:rsidP="00130D1C">
      <w:pPr>
        <w:pStyle w:val="ARbodyaftertable"/>
        <w:spacing w:before="400"/>
      </w:pPr>
      <w:r>
        <w:rPr>
          <w:noProof/>
          <w:lang w:eastAsia="en-AU" w:bidi="as-IN"/>
        </w:rPr>
        <w:drawing>
          <wp:inline distT="0" distB="0" distL="0" distR="0" wp14:anchorId="70FAA243" wp14:editId="5A2FC585">
            <wp:extent cx="1463043" cy="527305"/>
            <wp:effectExtent l="0" t="0" r="3810" b="6350"/>
            <wp:docPr id="1" name="Picture 1" descr="Euan Wallace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uan Wallace signature"/>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463043" cy="527305"/>
                    </a:xfrm>
                    <a:prstGeom prst="rect">
                      <a:avLst/>
                    </a:prstGeom>
                  </pic:spPr>
                </pic:pic>
              </a:graphicData>
            </a:graphic>
          </wp:inline>
        </w:drawing>
      </w:r>
    </w:p>
    <w:p w14:paraId="2B2DFA48" w14:textId="77777777" w:rsidR="005F4A7E" w:rsidRPr="008A4550" w:rsidRDefault="005F4A7E" w:rsidP="00130D1C">
      <w:pPr>
        <w:pStyle w:val="ARbody"/>
      </w:pPr>
      <w:r>
        <w:t>Euan Wallace</w:t>
      </w:r>
      <w:r>
        <w:rPr>
          <w:szCs w:val="20"/>
        </w:rPr>
        <w:br/>
      </w:r>
      <w:r w:rsidRPr="00F6241E">
        <w:t>Secretary</w:t>
      </w:r>
      <w:r>
        <w:rPr>
          <w:szCs w:val="20"/>
        </w:rPr>
        <w:br/>
      </w:r>
      <w:r w:rsidRPr="008A4550">
        <w:t>Department of Health</w:t>
      </w:r>
    </w:p>
    <w:p w14:paraId="1DE76A62" w14:textId="77777777" w:rsidR="005F4A7E" w:rsidRDefault="005F4A7E" w:rsidP="00130D1C">
      <w:pPr>
        <w:pStyle w:val="ARbody"/>
      </w:pPr>
      <w:r w:rsidRPr="00F6241E">
        <w:t>Melbourne</w:t>
      </w:r>
      <w:r>
        <w:rPr>
          <w:szCs w:val="20"/>
        </w:rPr>
        <w:br/>
      </w:r>
      <w:r w:rsidRPr="006650E6">
        <w:t>30 September</w:t>
      </w:r>
      <w:r w:rsidRPr="00BB3221">
        <w:t xml:space="preserve"> 2021</w:t>
      </w:r>
    </w:p>
    <w:p w14:paraId="51E8FD5A" w14:textId="77777777" w:rsidR="005F4A7E" w:rsidRDefault="005F4A7E" w:rsidP="00130D1C">
      <w:pPr>
        <w:pStyle w:val="ARbodyaftertable"/>
        <w:spacing w:before="600"/>
      </w:pPr>
      <w:r>
        <w:rPr>
          <w:noProof/>
          <w:lang w:eastAsia="en-AU" w:bidi="as-IN"/>
        </w:rPr>
        <w:drawing>
          <wp:inline distT="0" distB="0" distL="0" distR="0" wp14:anchorId="75B96FC8" wp14:editId="66023E25">
            <wp:extent cx="1152146" cy="387097"/>
            <wp:effectExtent l="0" t="0" r="0" b="0"/>
            <wp:docPr id="2" name="Picture 2" descr="Jenny Zahara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Jenny Zahara signatur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152146" cy="387097"/>
                    </a:xfrm>
                    <a:prstGeom prst="rect">
                      <a:avLst/>
                    </a:prstGeom>
                  </pic:spPr>
                </pic:pic>
              </a:graphicData>
            </a:graphic>
          </wp:inline>
        </w:drawing>
      </w:r>
    </w:p>
    <w:p w14:paraId="724C5808" w14:textId="77777777" w:rsidR="005F4A7E" w:rsidRPr="008A4550" w:rsidRDefault="005F4A7E" w:rsidP="00130D1C">
      <w:pPr>
        <w:pStyle w:val="ARbody"/>
      </w:pPr>
      <w:r>
        <w:t>Jenny Zahara</w:t>
      </w:r>
      <w:r>
        <w:rPr>
          <w:szCs w:val="20"/>
        </w:rPr>
        <w:br/>
      </w:r>
      <w:r w:rsidRPr="00F6241E">
        <w:t>Chief Finance Officer</w:t>
      </w:r>
      <w:r>
        <w:rPr>
          <w:szCs w:val="20"/>
        </w:rPr>
        <w:br/>
      </w:r>
      <w:r w:rsidRPr="008A4550">
        <w:t>Department of Health</w:t>
      </w:r>
    </w:p>
    <w:p w14:paraId="75DA3226" w14:textId="77777777" w:rsidR="005F4A7E" w:rsidRDefault="005F4A7E" w:rsidP="00130D1C">
      <w:pPr>
        <w:pStyle w:val="ARbody"/>
        <w:rPr>
          <w:szCs w:val="20"/>
        </w:rPr>
      </w:pPr>
      <w:r w:rsidRPr="00F6241E">
        <w:t>Melbourne</w:t>
      </w:r>
      <w:r>
        <w:rPr>
          <w:szCs w:val="20"/>
        </w:rPr>
        <w:br/>
        <w:t>30</w:t>
      </w:r>
      <w:r w:rsidRPr="006650E6">
        <w:rPr>
          <w:szCs w:val="20"/>
        </w:rPr>
        <w:t xml:space="preserve"> September</w:t>
      </w:r>
      <w:r w:rsidRPr="00BB3221">
        <w:rPr>
          <w:szCs w:val="20"/>
        </w:rPr>
        <w:t xml:space="preserve"> 2021</w:t>
      </w:r>
    </w:p>
    <w:p w14:paraId="4EC2D6C3" w14:textId="77777777" w:rsidR="005F4A7E" w:rsidRDefault="005F4A7E" w:rsidP="00130D1C">
      <w:pPr>
        <w:rPr>
          <w:rFonts w:ascii="Arial" w:hAnsi="Arial" w:cs="Arial"/>
          <w:b/>
          <w:sz w:val="24"/>
          <w:szCs w:val="24"/>
        </w:rPr>
      </w:pPr>
      <w:r>
        <w:rPr>
          <w:rFonts w:ascii="Arial" w:hAnsi="Arial" w:cs="Arial"/>
          <w:b/>
          <w:sz w:val="24"/>
          <w:szCs w:val="24"/>
        </w:rPr>
        <w:br w:type="page"/>
      </w:r>
    </w:p>
    <w:p w14:paraId="23B5D387" w14:textId="3E3F355E" w:rsidR="005F4A7E" w:rsidRDefault="005F4A7E" w:rsidP="00130D1C">
      <w:pPr>
        <w:pStyle w:val="Heading2Financials"/>
      </w:pPr>
      <w:bookmarkStart w:id="706" w:name="Independent_auditors_report"/>
      <w:bookmarkStart w:id="707" w:name="_Toc60682322"/>
      <w:bookmarkStart w:id="708" w:name="_Toc85121348"/>
      <w:bookmarkStart w:id="709" w:name="_Toc86075624"/>
      <w:bookmarkEnd w:id="706"/>
      <w:r w:rsidRPr="000E34F4">
        <w:lastRenderedPageBreak/>
        <w:t>Independent auditor</w:t>
      </w:r>
      <w:r w:rsidR="007D145B">
        <w:t>’</w:t>
      </w:r>
      <w:r w:rsidRPr="000E34F4">
        <w:t>s report</w:t>
      </w:r>
      <w:bookmarkEnd w:id="707"/>
      <w:bookmarkEnd w:id="708"/>
      <w:bookmarkEnd w:id="709"/>
    </w:p>
    <w:p w14:paraId="1180AFF9" w14:textId="77777777" w:rsidR="005F4A7E" w:rsidRDefault="005F4A7E" w:rsidP="00130D1C">
      <w:pPr>
        <w:pStyle w:val="ARbodyaftertable"/>
      </w:pPr>
      <w:r>
        <w:rPr>
          <w:noProof/>
          <w:lang w:eastAsia="en-AU" w:bidi="as-IN"/>
        </w:rPr>
        <w:drawing>
          <wp:inline distT="0" distB="0" distL="0" distR="0" wp14:anchorId="7F170042" wp14:editId="3071D69E">
            <wp:extent cx="6120396" cy="8656338"/>
            <wp:effectExtent l="19050" t="19050" r="13970" b="11430"/>
            <wp:docPr id="3" name="Picture 3" descr="Independent Auditor's Report, page 1 of 2. To request the full text of the auditor's report, email corporate.reporting@health.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ndependent Auditor's Report, page 1 of 2. To request the full text of the auditor's report, email corporate.reporting@health.vic.gov.au."/>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6120396" cy="8656338"/>
                    </a:xfrm>
                    <a:prstGeom prst="rect">
                      <a:avLst/>
                    </a:prstGeom>
                    <a:ln w="6350">
                      <a:solidFill>
                        <a:schemeClr val="bg1">
                          <a:lumMod val="50000"/>
                        </a:schemeClr>
                      </a:solidFill>
                    </a:ln>
                  </pic:spPr>
                </pic:pic>
              </a:graphicData>
            </a:graphic>
          </wp:inline>
        </w:drawing>
      </w:r>
    </w:p>
    <w:p w14:paraId="10EB9357" w14:textId="77777777" w:rsidR="005F4A7E" w:rsidRPr="00E867FC" w:rsidRDefault="005F4A7E" w:rsidP="00130D1C">
      <w:pPr>
        <w:pStyle w:val="ARbody"/>
        <w:spacing w:after="80" w:line="340" w:lineRule="atLeast"/>
        <w:rPr>
          <w:sz w:val="32"/>
          <w:szCs w:val="32"/>
        </w:rPr>
      </w:pPr>
    </w:p>
    <w:p w14:paraId="388026B4" w14:textId="77777777" w:rsidR="005F4A7E" w:rsidRDefault="005F4A7E" w:rsidP="00130D1C">
      <w:pPr>
        <w:pStyle w:val="ARbodyaftertable"/>
      </w:pPr>
      <w:r>
        <w:rPr>
          <w:noProof/>
          <w:lang w:eastAsia="en-AU" w:bidi="as-IN"/>
        </w:rPr>
        <w:drawing>
          <wp:inline distT="0" distB="0" distL="0" distR="0" wp14:anchorId="1A4341F1" wp14:editId="21458C86">
            <wp:extent cx="6120396" cy="8656338"/>
            <wp:effectExtent l="19050" t="19050" r="13970" b="11430"/>
            <wp:docPr id="4" name="Picture 4" descr="Independent Auditor's Report, page 2 of 2. To request the full text of the auditor's report, email corporate.reporting@health.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ndependent Auditor's Report, page 2 of 2. To request the full text of the auditor's report, email corporate.reporting@health.vic.gov.au."/>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6120396" cy="8656338"/>
                    </a:xfrm>
                    <a:prstGeom prst="rect">
                      <a:avLst/>
                    </a:prstGeom>
                    <a:ln w="6350">
                      <a:solidFill>
                        <a:schemeClr val="bg1">
                          <a:lumMod val="50000"/>
                        </a:schemeClr>
                      </a:solidFill>
                    </a:ln>
                  </pic:spPr>
                </pic:pic>
              </a:graphicData>
            </a:graphic>
          </wp:inline>
        </w:drawing>
      </w:r>
    </w:p>
    <w:p w14:paraId="2759A6C7" w14:textId="77777777" w:rsidR="005F4A7E" w:rsidRPr="002029AF" w:rsidRDefault="005F4A7E" w:rsidP="00130D1C">
      <w:pPr>
        <w:pStyle w:val="Heading2Financials"/>
      </w:pPr>
      <w:bookmarkStart w:id="710" w:name="Comprehensive_operating_statement"/>
      <w:bookmarkStart w:id="711" w:name="_Toc60682323"/>
      <w:bookmarkStart w:id="712" w:name="_Toc85121349"/>
      <w:bookmarkStart w:id="713" w:name="_Toc86075625"/>
      <w:bookmarkEnd w:id="705"/>
      <w:bookmarkEnd w:id="710"/>
      <w:r>
        <w:lastRenderedPageBreak/>
        <w:t>Comprehensive operating statement</w:t>
      </w:r>
      <w:r>
        <w:br/>
      </w:r>
      <w:r w:rsidRPr="00F07371">
        <w:t xml:space="preserve">for the financial year ended 30 June </w:t>
      </w:r>
      <w:r>
        <w:t>2021</w:t>
      </w:r>
      <w:bookmarkEnd w:id="711"/>
      <w:bookmarkEnd w:id="712"/>
      <w:bookmarkEnd w:id="713"/>
    </w:p>
    <w:tbl>
      <w:tblPr>
        <w:tblStyle w:val="TableGrid"/>
        <w:tblW w:w="9637" w:type="dxa"/>
        <w:tblLayout w:type="fixed"/>
        <w:tblLook w:val="06A0" w:firstRow="1" w:lastRow="0" w:firstColumn="1" w:lastColumn="0" w:noHBand="1" w:noVBand="1"/>
      </w:tblPr>
      <w:tblGrid>
        <w:gridCol w:w="6518"/>
        <w:gridCol w:w="851"/>
        <w:gridCol w:w="1134"/>
        <w:gridCol w:w="1134"/>
      </w:tblGrid>
      <w:tr w:rsidR="005F4A7E" w:rsidRPr="002029AF" w14:paraId="0013988F"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6518" w:type="dxa"/>
            <w:tcBorders>
              <w:bottom w:val="single" w:sz="4" w:space="0" w:color="auto"/>
            </w:tcBorders>
            <w:noWrap/>
            <w:hideMark/>
          </w:tcPr>
          <w:p w14:paraId="355FDC89" w14:textId="77777777" w:rsidR="005F4A7E" w:rsidRPr="002029AF" w:rsidRDefault="005F4A7E" w:rsidP="003566F1">
            <w:pPr>
              <w:pStyle w:val="ARfintablecolhead"/>
            </w:pPr>
          </w:p>
        </w:tc>
        <w:tc>
          <w:tcPr>
            <w:tcW w:w="851" w:type="dxa"/>
            <w:tcBorders>
              <w:bottom w:val="single" w:sz="4" w:space="0" w:color="auto"/>
            </w:tcBorders>
            <w:noWrap/>
            <w:hideMark/>
          </w:tcPr>
          <w:p w14:paraId="399C4F1C" w14:textId="77777777" w:rsidR="005F4A7E" w:rsidRPr="002029AF" w:rsidRDefault="005F4A7E" w:rsidP="003566F1">
            <w:pPr>
              <w:pStyle w:val="ARfintablecolheadright"/>
            </w:pPr>
            <w:r w:rsidRPr="002029AF">
              <w:t>Note</w:t>
            </w:r>
          </w:p>
        </w:tc>
        <w:tc>
          <w:tcPr>
            <w:tcW w:w="1134" w:type="dxa"/>
            <w:tcBorders>
              <w:bottom w:val="single" w:sz="4" w:space="0" w:color="auto"/>
            </w:tcBorders>
            <w:shd w:val="clear" w:color="auto" w:fill="E7E6E6"/>
            <w:hideMark/>
          </w:tcPr>
          <w:p w14:paraId="3C93A8C2" w14:textId="77777777" w:rsidR="005F4A7E" w:rsidRPr="002029AF" w:rsidRDefault="005F4A7E" w:rsidP="003566F1">
            <w:pPr>
              <w:pStyle w:val="ARfintablecolheadright"/>
            </w:pPr>
            <w:r w:rsidRPr="002029AF">
              <w:t>202</w:t>
            </w:r>
            <w:r>
              <w:t>1</w:t>
            </w:r>
          </w:p>
          <w:p w14:paraId="07BDEE2D" w14:textId="77777777" w:rsidR="005F4A7E" w:rsidRPr="002029AF" w:rsidRDefault="005F4A7E" w:rsidP="003566F1">
            <w:pPr>
              <w:pStyle w:val="ARfintablecolheadright"/>
            </w:pPr>
            <w:r w:rsidRPr="002029AF">
              <w:t>$M</w:t>
            </w:r>
          </w:p>
        </w:tc>
        <w:tc>
          <w:tcPr>
            <w:tcW w:w="1134" w:type="dxa"/>
            <w:tcBorders>
              <w:bottom w:val="single" w:sz="4" w:space="0" w:color="auto"/>
            </w:tcBorders>
            <w:hideMark/>
          </w:tcPr>
          <w:p w14:paraId="1C66E3B4" w14:textId="77777777" w:rsidR="005F4A7E" w:rsidRPr="002029AF" w:rsidRDefault="005F4A7E" w:rsidP="003566F1">
            <w:pPr>
              <w:pStyle w:val="ARfintablecolheadright"/>
            </w:pPr>
            <w:r>
              <w:t>2020</w:t>
            </w:r>
          </w:p>
          <w:p w14:paraId="323A4270" w14:textId="77777777" w:rsidR="005F4A7E" w:rsidRPr="002029AF" w:rsidRDefault="005F4A7E" w:rsidP="003566F1">
            <w:pPr>
              <w:pStyle w:val="ARfintablecolheadright"/>
            </w:pPr>
            <w:r w:rsidRPr="002029AF">
              <w:t>$M</w:t>
            </w:r>
          </w:p>
        </w:tc>
      </w:tr>
      <w:tr w:rsidR="005F4A7E" w:rsidRPr="002029AF" w14:paraId="76EF31AA" w14:textId="77777777" w:rsidTr="003566F1">
        <w:tc>
          <w:tcPr>
            <w:tcW w:w="9637" w:type="dxa"/>
            <w:gridSpan w:val="4"/>
            <w:tcBorders>
              <w:top w:val="single" w:sz="4" w:space="0" w:color="auto"/>
              <w:bottom w:val="single" w:sz="4" w:space="0" w:color="A6A6A6"/>
            </w:tcBorders>
            <w:hideMark/>
          </w:tcPr>
          <w:p w14:paraId="0AD05F93" w14:textId="77777777" w:rsidR="005F4A7E" w:rsidRPr="002029AF" w:rsidRDefault="005F4A7E" w:rsidP="00130D1C">
            <w:pPr>
              <w:pStyle w:val="ARfintablebodybold"/>
            </w:pPr>
            <w:r w:rsidRPr="0026318A">
              <w:t>Revenue and income from transactions</w:t>
            </w:r>
          </w:p>
        </w:tc>
      </w:tr>
      <w:tr w:rsidR="005F4A7E" w:rsidRPr="002029AF" w14:paraId="1EE1BFEA" w14:textId="77777777" w:rsidTr="003566F1">
        <w:tc>
          <w:tcPr>
            <w:tcW w:w="6518" w:type="dxa"/>
            <w:tcBorders>
              <w:top w:val="single" w:sz="4" w:space="0" w:color="A6A6A6"/>
              <w:bottom w:val="single" w:sz="4" w:space="0" w:color="A6A6A6"/>
            </w:tcBorders>
            <w:hideMark/>
          </w:tcPr>
          <w:p w14:paraId="51513525" w14:textId="77777777" w:rsidR="005F4A7E" w:rsidRPr="002029AF" w:rsidRDefault="005F4A7E" w:rsidP="00130D1C">
            <w:pPr>
              <w:pStyle w:val="ARfintablebody"/>
            </w:pPr>
            <w:r w:rsidRPr="0026318A">
              <w:t>Output appropriations</w:t>
            </w:r>
          </w:p>
        </w:tc>
        <w:tc>
          <w:tcPr>
            <w:tcW w:w="851" w:type="dxa"/>
            <w:tcBorders>
              <w:top w:val="single" w:sz="4" w:space="0" w:color="A6A6A6"/>
              <w:bottom w:val="single" w:sz="4" w:space="0" w:color="A6A6A6"/>
            </w:tcBorders>
            <w:noWrap/>
            <w:hideMark/>
          </w:tcPr>
          <w:p w14:paraId="3370B3EB" w14:textId="77777777" w:rsidR="005F4A7E" w:rsidRPr="002029AF" w:rsidRDefault="005F4A7E" w:rsidP="00130D1C">
            <w:pPr>
              <w:pStyle w:val="ARfintablebodyright"/>
            </w:pPr>
            <w:r w:rsidRPr="0026318A">
              <w:t>2.3</w:t>
            </w:r>
          </w:p>
        </w:tc>
        <w:tc>
          <w:tcPr>
            <w:tcW w:w="1134" w:type="dxa"/>
            <w:tcBorders>
              <w:top w:val="single" w:sz="4" w:space="0" w:color="A6A6A6"/>
              <w:bottom w:val="single" w:sz="4" w:space="0" w:color="A6A6A6"/>
            </w:tcBorders>
            <w:shd w:val="clear" w:color="auto" w:fill="E7E6E6"/>
            <w:noWrap/>
            <w:hideMark/>
          </w:tcPr>
          <w:p w14:paraId="05B3124B" w14:textId="77777777" w:rsidR="005F4A7E" w:rsidRPr="002029AF" w:rsidRDefault="005F4A7E" w:rsidP="00130D1C">
            <w:pPr>
              <w:pStyle w:val="ARfintablebodyright"/>
            </w:pPr>
            <w:r w:rsidRPr="0026318A">
              <w:t>21,551.4</w:t>
            </w:r>
          </w:p>
        </w:tc>
        <w:tc>
          <w:tcPr>
            <w:tcW w:w="1134" w:type="dxa"/>
            <w:tcBorders>
              <w:top w:val="single" w:sz="4" w:space="0" w:color="A6A6A6"/>
              <w:bottom w:val="single" w:sz="4" w:space="0" w:color="A6A6A6"/>
            </w:tcBorders>
            <w:noWrap/>
            <w:hideMark/>
          </w:tcPr>
          <w:p w14:paraId="41D18B82" w14:textId="77777777" w:rsidR="005F4A7E" w:rsidRPr="002029AF" w:rsidRDefault="005F4A7E" w:rsidP="00130D1C">
            <w:pPr>
              <w:pStyle w:val="ARfintablebodyright"/>
            </w:pPr>
            <w:r w:rsidRPr="0026318A">
              <w:t>17,600.0</w:t>
            </w:r>
          </w:p>
        </w:tc>
      </w:tr>
      <w:tr w:rsidR="005F4A7E" w:rsidRPr="002029AF" w14:paraId="2D4656DC" w14:textId="77777777" w:rsidTr="003566F1">
        <w:tc>
          <w:tcPr>
            <w:tcW w:w="6518" w:type="dxa"/>
            <w:tcBorders>
              <w:top w:val="single" w:sz="4" w:space="0" w:color="A6A6A6"/>
              <w:bottom w:val="single" w:sz="4" w:space="0" w:color="A6A6A6"/>
            </w:tcBorders>
            <w:hideMark/>
          </w:tcPr>
          <w:p w14:paraId="558C24A3" w14:textId="77777777" w:rsidR="005F4A7E" w:rsidRPr="002029AF" w:rsidRDefault="005F4A7E" w:rsidP="00130D1C">
            <w:pPr>
              <w:pStyle w:val="ARfintablebody"/>
            </w:pPr>
            <w:r w:rsidRPr="0026318A">
              <w:t>Special appropriations</w:t>
            </w:r>
          </w:p>
        </w:tc>
        <w:tc>
          <w:tcPr>
            <w:tcW w:w="851" w:type="dxa"/>
            <w:tcBorders>
              <w:top w:val="single" w:sz="4" w:space="0" w:color="A6A6A6"/>
              <w:bottom w:val="single" w:sz="4" w:space="0" w:color="A6A6A6"/>
            </w:tcBorders>
            <w:noWrap/>
            <w:hideMark/>
          </w:tcPr>
          <w:p w14:paraId="7C6656A1" w14:textId="77777777" w:rsidR="005F4A7E" w:rsidRPr="002029AF" w:rsidRDefault="005F4A7E" w:rsidP="00130D1C">
            <w:pPr>
              <w:pStyle w:val="ARfintablebodyright"/>
            </w:pPr>
            <w:r w:rsidRPr="0026318A">
              <w:t>2.3</w:t>
            </w:r>
          </w:p>
        </w:tc>
        <w:tc>
          <w:tcPr>
            <w:tcW w:w="1134" w:type="dxa"/>
            <w:tcBorders>
              <w:top w:val="single" w:sz="4" w:space="0" w:color="A6A6A6"/>
              <w:bottom w:val="single" w:sz="4" w:space="0" w:color="A6A6A6"/>
            </w:tcBorders>
            <w:shd w:val="clear" w:color="auto" w:fill="E7E6E6"/>
            <w:noWrap/>
            <w:hideMark/>
          </w:tcPr>
          <w:p w14:paraId="7D166162" w14:textId="77777777" w:rsidR="005F4A7E" w:rsidRPr="002029AF" w:rsidRDefault="005F4A7E" w:rsidP="00130D1C">
            <w:pPr>
              <w:pStyle w:val="ARfintablebodyright"/>
            </w:pPr>
            <w:r w:rsidRPr="0026318A">
              <w:t>1,098.9</w:t>
            </w:r>
          </w:p>
        </w:tc>
        <w:tc>
          <w:tcPr>
            <w:tcW w:w="1134" w:type="dxa"/>
            <w:tcBorders>
              <w:top w:val="single" w:sz="4" w:space="0" w:color="A6A6A6"/>
              <w:bottom w:val="single" w:sz="4" w:space="0" w:color="A6A6A6"/>
            </w:tcBorders>
            <w:noWrap/>
            <w:hideMark/>
          </w:tcPr>
          <w:p w14:paraId="5EA2F964" w14:textId="77777777" w:rsidR="005F4A7E" w:rsidRPr="002029AF" w:rsidRDefault="005F4A7E" w:rsidP="00130D1C">
            <w:pPr>
              <w:pStyle w:val="ARfintablebodyright"/>
            </w:pPr>
            <w:r w:rsidRPr="0026318A">
              <w:t>1,371.9</w:t>
            </w:r>
          </w:p>
        </w:tc>
      </w:tr>
      <w:tr w:rsidR="005F4A7E" w:rsidRPr="002029AF" w14:paraId="75744F1B" w14:textId="77777777" w:rsidTr="003566F1">
        <w:tc>
          <w:tcPr>
            <w:tcW w:w="6518" w:type="dxa"/>
            <w:tcBorders>
              <w:top w:val="single" w:sz="4" w:space="0" w:color="A6A6A6"/>
              <w:bottom w:val="single" w:sz="4" w:space="0" w:color="A6A6A6"/>
            </w:tcBorders>
            <w:hideMark/>
          </w:tcPr>
          <w:p w14:paraId="7E7EEE1D" w14:textId="77777777" w:rsidR="005F4A7E" w:rsidRPr="002029AF" w:rsidRDefault="005F4A7E" w:rsidP="00130D1C">
            <w:pPr>
              <w:pStyle w:val="ARfintablebody"/>
            </w:pPr>
            <w:r w:rsidRPr="0026318A">
              <w:t>Interest income</w:t>
            </w:r>
          </w:p>
        </w:tc>
        <w:tc>
          <w:tcPr>
            <w:tcW w:w="851" w:type="dxa"/>
            <w:tcBorders>
              <w:top w:val="single" w:sz="4" w:space="0" w:color="A6A6A6"/>
              <w:bottom w:val="single" w:sz="4" w:space="0" w:color="A6A6A6"/>
            </w:tcBorders>
            <w:noWrap/>
            <w:hideMark/>
          </w:tcPr>
          <w:p w14:paraId="6681D794" w14:textId="77777777" w:rsidR="005F4A7E" w:rsidRPr="002029AF" w:rsidRDefault="005F4A7E" w:rsidP="00130D1C">
            <w:pPr>
              <w:pStyle w:val="ARfintablebodyright"/>
            </w:pPr>
            <w:r w:rsidRPr="0026318A">
              <w:t>2.4.1</w:t>
            </w:r>
          </w:p>
        </w:tc>
        <w:tc>
          <w:tcPr>
            <w:tcW w:w="1134" w:type="dxa"/>
            <w:tcBorders>
              <w:top w:val="single" w:sz="4" w:space="0" w:color="A6A6A6"/>
              <w:bottom w:val="single" w:sz="4" w:space="0" w:color="A6A6A6"/>
            </w:tcBorders>
            <w:shd w:val="clear" w:color="auto" w:fill="E7E6E6"/>
            <w:noWrap/>
            <w:hideMark/>
          </w:tcPr>
          <w:p w14:paraId="1E382B26" w14:textId="77777777" w:rsidR="005F4A7E" w:rsidRPr="002029AF" w:rsidRDefault="005F4A7E" w:rsidP="00130D1C">
            <w:pPr>
              <w:pStyle w:val="ARfintablebodyright"/>
            </w:pPr>
            <w:r w:rsidRPr="0026318A">
              <w:t>2.5</w:t>
            </w:r>
          </w:p>
        </w:tc>
        <w:tc>
          <w:tcPr>
            <w:tcW w:w="1134" w:type="dxa"/>
            <w:tcBorders>
              <w:top w:val="single" w:sz="4" w:space="0" w:color="A6A6A6"/>
              <w:bottom w:val="single" w:sz="4" w:space="0" w:color="A6A6A6"/>
            </w:tcBorders>
            <w:noWrap/>
            <w:hideMark/>
          </w:tcPr>
          <w:p w14:paraId="6BDC173C" w14:textId="77777777" w:rsidR="005F4A7E" w:rsidRPr="002029AF" w:rsidRDefault="005F4A7E" w:rsidP="00130D1C">
            <w:pPr>
              <w:pStyle w:val="ARfintablebodyright"/>
            </w:pPr>
            <w:r w:rsidRPr="0026318A">
              <w:t>6.9</w:t>
            </w:r>
          </w:p>
        </w:tc>
      </w:tr>
      <w:tr w:rsidR="005F4A7E" w:rsidRPr="002029AF" w14:paraId="3EA6C1AB" w14:textId="77777777" w:rsidTr="003566F1">
        <w:tc>
          <w:tcPr>
            <w:tcW w:w="6518" w:type="dxa"/>
            <w:tcBorders>
              <w:top w:val="single" w:sz="4" w:space="0" w:color="A6A6A6"/>
              <w:bottom w:val="single" w:sz="4" w:space="0" w:color="A6A6A6"/>
            </w:tcBorders>
            <w:hideMark/>
          </w:tcPr>
          <w:p w14:paraId="0A0BB7D2" w14:textId="77777777" w:rsidR="005F4A7E" w:rsidRPr="002029AF" w:rsidRDefault="005F4A7E" w:rsidP="00130D1C">
            <w:pPr>
              <w:pStyle w:val="ARfintablebody"/>
            </w:pPr>
            <w:r w:rsidRPr="0026318A">
              <w:t>Rental income and income from services</w:t>
            </w:r>
          </w:p>
        </w:tc>
        <w:tc>
          <w:tcPr>
            <w:tcW w:w="851" w:type="dxa"/>
            <w:tcBorders>
              <w:top w:val="single" w:sz="4" w:space="0" w:color="A6A6A6"/>
              <w:bottom w:val="single" w:sz="4" w:space="0" w:color="A6A6A6"/>
            </w:tcBorders>
            <w:noWrap/>
            <w:hideMark/>
          </w:tcPr>
          <w:p w14:paraId="7E97B440" w14:textId="77777777" w:rsidR="005F4A7E" w:rsidRPr="002029AF" w:rsidRDefault="005F4A7E" w:rsidP="00130D1C">
            <w:pPr>
              <w:pStyle w:val="ARfintablebodyright"/>
            </w:pPr>
            <w:r w:rsidRPr="0026318A">
              <w:t>2.4.2</w:t>
            </w:r>
          </w:p>
        </w:tc>
        <w:tc>
          <w:tcPr>
            <w:tcW w:w="1134" w:type="dxa"/>
            <w:tcBorders>
              <w:top w:val="single" w:sz="4" w:space="0" w:color="A6A6A6"/>
              <w:bottom w:val="single" w:sz="4" w:space="0" w:color="A6A6A6"/>
            </w:tcBorders>
            <w:shd w:val="clear" w:color="auto" w:fill="E7E6E6"/>
            <w:noWrap/>
            <w:hideMark/>
          </w:tcPr>
          <w:p w14:paraId="1CEAE799" w14:textId="77777777" w:rsidR="005F4A7E" w:rsidRPr="002029AF" w:rsidRDefault="005F4A7E" w:rsidP="00130D1C">
            <w:pPr>
              <w:pStyle w:val="ARfintablebodyright"/>
            </w:pPr>
            <w:r w:rsidRPr="0026318A">
              <w:t>477.5</w:t>
            </w:r>
          </w:p>
        </w:tc>
        <w:tc>
          <w:tcPr>
            <w:tcW w:w="1134" w:type="dxa"/>
            <w:tcBorders>
              <w:top w:val="single" w:sz="4" w:space="0" w:color="A6A6A6"/>
              <w:bottom w:val="single" w:sz="4" w:space="0" w:color="A6A6A6"/>
            </w:tcBorders>
            <w:noWrap/>
            <w:hideMark/>
          </w:tcPr>
          <w:p w14:paraId="7AC3A53B" w14:textId="77777777" w:rsidR="005F4A7E" w:rsidRPr="002029AF" w:rsidRDefault="005F4A7E" w:rsidP="00130D1C">
            <w:pPr>
              <w:pStyle w:val="ARfintablebodyright"/>
            </w:pPr>
            <w:r w:rsidRPr="0026318A">
              <w:t>501.1</w:t>
            </w:r>
          </w:p>
        </w:tc>
      </w:tr>
      <w:tr w:rsidR="005F4A7E" w:rsidRPr="002029AF" w14:paraId="5B03A837" w14:textId="77777777" w:rsidTr="003566F1">
        <w:tc>
          <w:tcPr>
            <w:tcW w:w="6518" w:type="dxa"/>
            <w:tcBorders>
              <w:top w:val="single" w:sz="4" w:space="0" w:color="A6A6A6"/>
              <w:bottom w:val="single" w:sz="4" w:space="0" w:color="A6A6A6"/>
            </w:tcBorders>
            <w:hideMark/>
          </w:tcPr>
          <w:p w14:paraId="1E609311" w14:textId="77777777" w:rsidR="005F4A7E" w:rsidRPr="002029AF" w:rsidRDefault="005F4A7E" w:rsidP="00130D1C">
            <w:pPr>
              <w:pStyle w:val="ARfintablebody"/>
            </w:pPr>
            <w:r w:rsidRPr="0026318A">
              <w:t>Grants</w:t>
            </w:r>
          </w:p>
        </w:tc>
        <w:tc>
          <w:tcPr>
            <w:tcW w:w="851" w:type="dxa"/>
            <w:tcBorders>
              <w:top w:val="single" w:sz="4" w:space="0" w:color="A6A6A6"/>
              <w:bottom w:val="single" w:sz="4" w:space="0" w:color="A6A6A6"/>
            </w:tcBorders>
            <w:noWrap/>
            <w:hideMark/>
          </w:tcPr>
          <w:p w14:paraId="79F6B3C3" w14:textId="77777777" w:rsidR="005F4A7E" w:rsidRPr="002029AF" w:rsidRDefault="005F4A7E" w:rsidP="00130D1C">
            <w:pPr>
              <w:pStyle w:val="ARfintablebodyright"/>
            </w:pPr>
            <w:r w:rsidRPr="0026318A">
              <w:t>2.4.3</w:t>
            </w:r>
          </w:p>
        </w:tc>
        <w:tc>
          <w:tcPr>
            <w:tcW w:w="1134" w:type="dxa"/>
            <w:tcBorders>
              <w:top w:val="single" w:sz="4" w:space="0" w:color="A6A6A6"/>
              <w:bottom w:val="single" w:sz="4" w:space="0" w:color="A6A6A6"/>
            </w:tcBorders>
            <w:shd w:val="clear" w:color="auto" w:fill="E7E6E6"/>
            <w:noWrap/>
            <w:hideMark/>
          </w:tcPr>
          <w:p w14:paraId="085B2FB6" w14:textId="77777777" w:rsidR="005F4A7E" w:rsidRPr="002029AF" w:rsidRDefault="005F4A7E" w:rsidP="00130D1C">
            <w:pPr>
              <w:pStyle w:val="ARfintablebodyright"/>
            </w:pPr>
            <w:r w:rsidRPr="0026318A">
              <w:t>2,549.2</w:t>
            </w:r>
          </w:p>
        </w:tc>
        <w:tc>
          <w:tcPr>
            <w:tcW w:w="1134" w:type="dxa"/>
            <w:tcBorders>
              <w:top w:val="single" w:sz="4" w:space="0" w:color="A6A6A6"/>
              <w:bottom w:val="single" w:sz="4" w:space="0" w:color="A6A6A6"/>
            </w:tcBorders>
            <w:noWrap/>
            <w:hideMark/>
          </w:tcPr>
          <w:p w14:paraId="2D4213F0" w14:textId="77777777" w:rsidR="005F4A7E" w:rsidRPr="002029AF" w:rsidRDefault="005F4A7E" w:rsidP="00130D1C">
            <w:pPr>
              <w:pStyle w:val="ARfintablebodyright"/>
            </w:pPr>
            <w:r w:rsidRPr="0026318A">
              <w:t>2,514.0</w:t>
            </w:r>
          </w:p>
        </w:tc>
      </w:tr>
      <w:tr w:rsidR="005F4A7E" w:rsidRPr="002029AF" w14:paraId="0A6B523B" w14:textId="77777777" w:rsidTr="003566F1">
        <w:tc>
          <w:tcPr>
            <w:tcW w:w="6518" w:type="dxa"/>
            <w:tcBorders>
              <w:top w:val="single" w:sz="4" w:space="0" w:color="A6A6A6"/>
              <w:bottom w:val="single" w:sz="4" w:space="0" w:color="A6A6A6"/>
            </w:tcBorders>
            <w:hideMark/>
          </w:tcPr>
          <w:p w14:paraId="36593181" w14:textId="77777777" w:rsidR="005F4A7E" w:rsidRPr="002029AF" w:rsidRDefault="005F4A7E" w:rsidP="00130D1C">
            <w:pPr>
              <w:pStyle w:val="ARfintablebody"/>
            </w:pPr>
            <w:r w:rsidRPr="0026318A">
              <w:t xml:space="preserve">Fair value of assets and services received free of charge </w:t>
            </w:r>
            <w:r>
              <w:br/>
            </w:r>
            <w:r w:rsidRPr="0026318A">
              <w:t>or for nominal</w:t>
            </w:r>
            <w:r>
              <w:t> </w:t>
            </w:r>
            <w:r w:rsidRPr="0026318A">
              <w:t>consideration</w:t>
            </w:r>
          </w:p>
        </w:tc>
        <w:tc>
          <w:tcPr>
            <w:tcW w:w="851" w:type="dxa"/>
            <w:tcBorders>
              <w:top w:val="single" w:sz="4" w:space="0" w:color="A6A6A6"/>
              <w:bottom w:val="single" w:sz="4" w:space="0" w:color="A6A6A6"/>
            </w:tcBorders>
            <w:noWrap/>
            <w:hideMark/>
          </w:tcPr>
          <w:p w14:paraId="16CCEE71" w14:textId="77777777" w:rsidR="005F4A7E" w:rsidRPr="002029AF" w:rsidRDefault="005F4A7E" w:rsidP="00130D1C">
            <w:pPr>
              <w:pStyle w:val="ARfintablebodyright"/>
            </w:pPr>
            <w:r w:rsidRPr="0026318A">
              <w:t>2.4.4</w:t>
            </w:r>
          </w:p>
        </w:tc>
        <w:tc>
          <w:tcPr>
            <w:tcW w:w="1134" w:type="dxa"/>
            <w:tcBorders>
              <w:top w:val="single" w:sz="4" w:space="0" w:color="A6A6A6"/>
              <w:bottom w:val="single" w:sz="4" w:space="0" w:color="A6A6A6"/>
            </w:tcBorders>
            <w:shd w:val="clear" w:color="auto" w:fill="E7E6E6"/>
            <w:noWrap/>
            <w:hideMark/>
          </w:tcPr>
          <w:p w14:paraId="4EE430F4" w14:textId="77777777" w:rsidR="005F4A7E" w:rsidRPr="002029AF" w:rsidRDefault="005F4A7E" w:rsidP="00130D1C">
            <w:pPr>
              <w:pStyle w:val="ARfintablebodyright"/>
            </w:pPr>
            <w:r w:rsidRPr="0026318A">
              <w:t>0.6</w:t>
            </w:r>
          </w:p>
        </w:tc>
        <w:tc>
          <w:tcPr>
            <w:tcW w:w="1134" w:type="dxa"/>
            <w:tcBorders>
              <w:top w:val="single" w:sz="4" w:space="0" w:color="A6A6A6"/>
              <w:bottom w:val="single" w:sz="4" w:space="0" w:color="A6A6A6"/>
            </w:tcBorders>
            <w:noWrap/>
            <w:hideMark/>
          </w:tcPr>
          <w:p w14:paraId="2336DA8F" w14:textId="77777777" w:rsidR="005F4A7E" w:rsidRPr="002029AF" w:rsidRDefault="005F4A7E" w:rsidP="00130D1C">
            <w:pPr>
              <w:pStyle w:val="ARfintablebodyright"/>
            </w:pPr>
            <w:r w:rsidRPr="0026318A">
              <w:t>3.6</w:t>
            </w:r>
          </w:p>
        </w:tc>
      </w:tr>
      <w:tr w:rsidR="005F4A7E" w:rsidRPr="002029AF" w14:paraId="2EAE0E6A" w14:textId="77777777" w:rsidTr="003566F1">
        <w:tc>
          <w:tcPr>
            <w:tcW w:w="6518" w:type="dxa"/>
            <w:tcBorders>
              <w:top w:val="single" w:sz="4" w:space="0" w:color="A6A6A6"/>
            </w:tcBorders>
            <w:hideMark/>
          </w:tcPr>
          <w:p w14:paraId="523E5057" w14:textId="77777777" w:rsidR="005F4A7E" w:rsidRPr="002029AF" w:rsidRDefault="005F4A7E" w:rsidP="00130D1C">
            <w:pPr>
              <w:pStyle w:val="ARfintablebody"/>
            </w:pPr>
            <w:r w:rsidRPr="0026318A">
              <w:t>Other income</w:t>
            </w:r>
          </w:p>
        </w:tc>
        <w:tc>
          <w:tcPr>
            <w:tcW w:w="851" w:type="dxa"/>
            <w:tcBorders>
              <w:top w:val="single" w:sz="4" w:space="0" w:color="A6A6A6"/>
            </w:tcBorders>
            <w:noWrap/>
            <w:hideMark/>
          </w:tcPr>
          <w:p w14:paraId="3B9CE835" w14:textId="77777777" w:rsidR="005F4A7E" w:rsidRPr="002029AF" w:rsidRDefault="005F4A7E" w:rsidP="00130D1C">
            <w:pPr>
              <w:pStyle w:val="ARfintablebodyright"/>
            </w:pPr>
            <w:r w:rsidRPr="0026318A">
              <w:t>2.4.5</w:t>
            </w:r>
          </w:p>
        </w:tc>
        <w:tc>
          <w:tcPr>
            <w:tcW w:w="1134" w:type="dxa"/>
            <w:tcBorders>
              <w:top w:val="single" w:sz="4" w:space="0" w:color="A6A6A6"/>
            </w:tcBorders>
            <w:shd w:val="clear" w:color="auto" w:fill="E7E6E6"/>
            <w:noWrap/>
            <w:hideMark/>
          </w:tcPr>
          <w:p w14:paraId="0D85017D" w14:textId="77777777" w:rsidR="005F4A7E" w:rsidRPr="002029AF" w:rsidRDefault="005F4A7E" w:rsidP="00130D1C">
            <w:pPr>
              <w:pStyle w:val="ARfintablebodyright"/>
            </w:pPr>
            <w:r w:rsidRPr="0026318A">
              <w:t>18.3</w:t>
            </w:r>
          </w:p>
        </w:tc>
        <w:tc>
          <w:tcPr>
            <w:tcW w:w="1134" w:type="dxa"/>
            <w:tcBorders>
              <w:top w:val="single" w:sz="4" w:space="0" w:color="A6A6A6"/>
            </w:tcBorders>
            <w:noWrap/>
            <w:hideMark/>
          </w:tcPr>
          <w:p w14:paraId="4296CFC8" w14:textId="77777777" w:rsidR="005F4A7E" w:rsidRPr="002029AF" w:rsidRDefault="005F4A7E" w:rsidP="00130D1C">
            <w:pPr>
              <w:pStyle w:val="ARfintablebodyright"/>
            </w:pPr>
            <w:r w:rsidRPr="0026318A">
              <w:t>30.9</w:t>
            </w:r>
          </w:p>
        </w:tc>
      </w:tr>
      <w:tr w:rsidR="005F4A7E" w:rsidRPr="002029AF" w14:paraId="035B6973" w14:textId="77777777" w:rsidTr="003566F1">
        <w:tc>
          <w:tcPr>
            <w:tcW w:w="6518" w:type="dxa"/>
            <w:tcBorders>
              <w:bottom w:val="single" w:sz="4" w:space="0" w:color="auto"/>
            </w:tcBorders>
            <w:hideMark/>
          </w:tcPr>
          <w:p w14:paraId="666BBB6B" w14:textId="77777777" w:rsidR="005F4A7E" w:rsidRPr="002029AF" w:rsidRDefault="005F4A7E" w:rsidP="00130D1C">
            <w:pPr>
              <w:pStyle w:val="ARfintablebodybold"/>
            </w:pPr>
            <w:r w:rsidRPr="0026318A">
              <w:t>Total revenue and income from transactions</w:t>
            </w:r>
          </w:p>
        </w:tc>
        <w:tc>
          <w:tcPr>
            <w:tcW w:w="851" w:type="dxa"/>
            <w:tcBorders>
              <w:bottom w:val="single" w:sz="4" w:space="0" w:color="auto"/>
            </w:tcBorders>
            <w:hideMark/>
          </w:tcPr>
          <w:p w14:paraId="4E01D994" w14:textId="77777777" w:rsidR="005F4A7E" w:rsidRPr="002029AF" w:rsidRDefault="005F4A7E" w:rsidP="00130D1C">
            <w:pPr>
              <w:pStyle w:val="ARfintablecolheadright"/>
            </w:pPr>
          </w:p>
        </w:tc>
        <w:tc>
          <w:tcPr>
            <w:tcW w:w="1134" w:type="dxa"/>
            <w:tcBorders>
              <w:bottom w:val="single" w:sz="4" w:space="0" w:color="auto"/>
            </w:tcBorders>
            <w:shd w:val="clear" w:color="auto" w:fill="E7E6E6"/>
            <w:noWrap/>
            <w:hideMark/>
          </w:tcPr>
          <w:p w14:paraId="3804D736" w14:textId="77777777" w:rsidR="005F4A7E" w:rsidRPr="002029AF" w:rsidRDefault="005F4A7E" w:rsidP="00130D1C">
            <w:pPr>
              <w:pStyle w:val="ARfintablecolheadright"/>
            </w:pPr>
            <w:r w:rsidRPr="0026318A">
              <w:t>25,698.4</w:t>
            </w:r>
          </w:p>
        </w:tc>
        <w:tc>
          <w:tcPr>
            <w:tcW w:w="1134" w:type="dxa"/>
            <w:tcBorders>
              <w:bottom w:val="single" w:sz="4" w:space="0" w:color="auto"/>
            </w:tcBorders>
            <w:noWrap/>
            <w:hideMark/>
          </w:tcPr>
          <w:p w14:paraId="2CC1014B" w14:textId="77777777" w:rsidR="005F4A7E" w:rsidRPr="002029AF" w:rsidRDefault="005F4A7E" w:rsidP="00130D1C">
            <w:pPr>
              <w:pStyle w:val="ARfintablecolheadright"/>
            </w:pPr>
            <w:r w:rsidRPr="0026318A">
              <w:t>22,028.4</w:t>
            </w:r>
          </w:p>
        </w:tc>
      </w:tr>
      <w:tr w:rsidR="005F4A7E" w:rsidRPr="002029AF" w14:paraId="5CB233AC" w14:textId="77777777" w:rsidTr="003566F1">
        <w:tc>
          <w:tcPr>
            <w:tcW w:w="9637" w:type="dxa"/>
            <w:gridSpan w:val="4"/>
            <w:tcBorders>
              <w:top w:val="single" w:sz="4" w:space="0" w:color="auto"/>
              <w:bottom w:val="single" w:sz="4" w:space="0" w:color="A6A6A6"/>
            </w:tcBorders>
            <w:hideMark/>
          </w:tcPr>
          <w:p w14:paraId="64E91407" w14:textId="77777777" w:rsidR="005F4A7E" w:rsidRPr="002029AF" w:rsidRDefault="005F4A7E" w:rsidP="00130D1C">
            <w:pPr>
              <w:pStyle w:val="ARfintablebodybold"/>
            </w:pPr>
            <w:r w:rsidRPr="0026318A">
              <w:t>Expenses from transactions</w:t>
            </w:r>
          </w:p>
        </w:tc>
      </w:tr>
      <w:tr w:rsidR="005F4A7E" w:rsidRPr="002029AF" w14:paraId="47919234" w14:textId="77777777" w:rsidTr="003566F1">
        <w:tc>
          <w:tcPr>
            <w:tcW w:w="6518" w:type="dxa"/>
            <w:tcBorders>
              <w:top w:val="single" w:sz="4" w:space="0" w:color="A6A6A6"/>
              <w:bottom w:val="single" w:sz="4" w:space="0" w:color="A6A6A6"/>
            </w:tcBorders>
            <w:hideMark/>
          </w:tcPr>
          <w:p w14:paraId="3B75333D" w14:textId="77777777" w:rsidR="005F4A7E" w:rsidRPr="002029AF" w:rsidRDefault="005F4A7E" w:rsidP="00130D1C">
            <w:pPr>
              <w:pStyle w:val="ARfintablebody"/>
            </w:pPr>
            <w:r w:rsidRPr="0026318A">
              <w:t>Employee benefits</w:t>
            </w:r>
          </w:p>
        </w:tc>
        <w:tc>
          <w:tcPr>
            <w:tcW w:w="851" w:type="dxa"/>
            <w:tcBorders>
              <w:top w:val="single" w:sz="4" w:space="0" w:color="A6A6A6"/>
              <w:bottom w:val="single" w:sz="4" w:space="0" w:color="A6A6A6"/>
            </w:tcBorders>
            <w:noWrap/>
            <w:hideMark/>
          </w:tcPr>
          <w:p w14:paraId="1A3B7844" w14:textId="77777777" w:rsidR="005F4A7E" w:rsidRPr="002029AF" w:rsidRDefault="005F4A7E" w:rsidP="00130D1C">
            <w:pPr>
              <w:pStyle w:val="ARfintablebodyright"/>
            </w:pPr>
            <w:r w:rsidRPr="0026318A">
              <w:t>3.1.1(a)</w:t>
            </w:r>
          </w:p>
        </w:tc>
        <w:tc>
          <w:tcPr>
            <w:tcW w:w="1134" w:type="dxa"/>
            <w:tcBorders>
              <w:top w:val="single" w:sz="4" w:space="0" w:color="A6A6A6"/>
              <w:bottom w:val="single" w:sz="4" w:space="0" w:color="A6A6A6"/>
            </w:tcBorders>
            <w:shd w:val="clear" w:color="auto" w:fill="E7E6E6"/>
            <w:noWrap/>
            <w:hideMark/>
          </w:tcPr>
          <w:p w14:paraId="768178A7" w14:textId="77777777" w:rsidR="005F4A7E" w:rsidRPr="002029AF" w:rsidRDefault="005F4A7E" w:rsidP="00130D1C">
            <w:pPr>
              <w:pStyle w:val="ARfintablebodyright"/>
            </w:pPr>
            <w:r w:rsidRPr="0026318A">
              <w:t>1,500.3</w:t>
            </w:r>
          </w:p>
        </w:tc>
        <w:tc>
          <w:tcPr>
            <w:tcW w:w="1134" w:type="dxa"/>
            <w:tcBorders>
              <w:top w:val="single" w:sz="4" w:space="0" w:color="A6A6A6"/>
              <w:bottom w:val="single" w:sz="4" w:space="0" w:color="A6A6A6"/>
            </w:tcBorders>
            <w:noWrap/>
            <w:hideMark/>
          </w:tcPr>
          <w:p w14:paraId="5FFEA876" w14:textId="77777777" w:rsidR="005F4A7E" w:rsidRPr="002029AF" w:rsidRDefault="005F4A7E" w:rsidP="00130D1C">
            <w:pPr>
              <w:pStyle w:val="ARfintablebodyright"/>
            </w:pPr>
            <w:r w:rsidRPr="0026318A">
              <w:t>1,200.2</w:t>
            </w:r>
          </w:p>
        </w:tc>
      </w:tr>
      <w:tr w:rsidR="005F4A7E" w:rsidRPr="002029AF" w14:paraId="7D6712C5" w14:textId="77777777" w:rsidTr="003566F1">
        <w:tc>
          <w:tcPr>
            <w:tcW w:w="6518" w:type="dxa"/>
            <w:tcBorders>
              <w:top w:val="single" w:sz="4" w:space="0" w:color="A6A6A6"/>
              <w:bottom w:val="single" w:sz="4" w:space="0" w:color="A6A6A6"/>
            </w:tcBorders>
            <w:hideMark/>
          </w:tcPr>
          <w:p w14:paraId="36A2BED7" w14:textId="77777777" w:rsidR="005F4A7E" w:rsidRPr="002029AF" w:rsidRDefault="005F4A7E" w:rsidP="00130D1C">
            <w:pPr>
              <w:pStyle w:val="ARfintablebody"/>
            </w:pPr>
            <w:r w:rsidRPr="0026318A">
              <w:t>Depreciation and amortisation</w:t>
            </w:r>
          </w:p>
        </w:tc>
        <w:tc>
          <w:tcPr>
            <w:tcW w:w="851" w:type="dxa"/>
            <w:tcBorders>
              <w:top w:val="single" w:sz="4" w:space="0" w:color="A6A6A6"/>
              <w:bottom w:val="single" w:sz="4" w:space="0" w:color="A6A6A6"/>
            </w:tcBorders>
            <w:noWrap/>
            <w:hideMark/>
          </w:tcPr>
          <w:p w14:paraId="1C8011CE" w14:textId="77777777" w:rsidR="005F4A7E" w:rsidRPr="002029AF" w:rsidRDefault="005F4A7E" w:rsidP="00130D1C">
            <w:pPr>
              <w:pStyle w:val="ARfintablebodyright"/>
            </w:pPr>
            <w:r w:rsidRPr="0026318A">
              <w:t>5.1.1</w:t>
            </w:r>
          </w:p>
        </w:tc>
        <w:tc>
          <w:tcPr>
            <w:tcW w:w="1134" w:type="dxa"/>
            <w:tcBorders>
              <w:top w:val="single" w:sz="4" w:space="0" w:color="A6A6A6"/>
              <w:bottom w:val="single" w:sz="4" w:space="0" w:color="A6A6A6"/>
            </w:tcBorders>
            <w:shd w:val="clear" w:color="auto" w:fill="E7E6E6"/>
            <w:noWrap/>
            <w:hideMark/>
          </w:tcPr>
          <w:p w14:paraId="7837BB30" w14:textId="77777777" w:rsidR="005F4A7E" w:rsidRPr="002029AF" w:rsidRDefault="005F4A7E" w:rsidP="00130D1C">
            <w:pPr>
              <w:pStyle w:val="ARfintablebodyright"/>
            </w:pPr>
            <w:r w:rsidRPr="0026318A">
              <w:t>345.1</w:t>
            </w:r>
          </w:p>
        </w:tc>
        <w:tc>
          <w:tcPr>
            <w:tcW w:w="1134" w:type="dxa"/>
            <w:tcBorders>
              <w:top w:val="single" w:sz="4" w:space="0" w:color="A6A6A6"/>
              <w:bottom w:val="single" w:sz="4" w:space="0" w:color="A6A6A6"/>
            </w:tcBorders>
            <w:noWrap/>
            <w:hideMark/>
          </w:tcPr>
          <w:p w14:paraId="0D1518DA" w14:textId="77777777" w:rsidR="005F4A7E" w:rsidRPr="002029AF" w:rsidRDefault="005F4A7E" w:rsidP="00130D1C">
            <w:pPr>
              <w:pStyle w:val="ARfintablebodyright"/>
            </w:pPr>
            <w:r w:rsidRPr="0026318A">
              <w:t>428.1</w:t>
            </w:r>
          </w:p>
        </w:tc>
      </w:tr>
      <w:tr w:rsidR="005F4A7E" w:rsidRPr="002029AF" w14:paraId="7F73B566" w14:textId="77777777" w:rsidTr="003566F1">
        <w:tc>
          <w:tcPr>
            <w:tcW w:w="6518" w:type="dxa"/>
            <w:tcBorders>
              <w:top w:val="single" w:sz="4" w:space="0" w:color="A6A6A6"/>
              <w:bottom w:val="single" w:sz="4" w:space="0" w:color="A6A6A6"/>
            </w:tcBorders>
            <w:hideMark/>
          </w:tcPr>
          <w:p w14:paraId="76481CE1" w14:textId="77777777" w:rsidR="005F4A7E" w:rsidRPr="002029AF" w:rsidRDefault="005F4A7E" w:rsidP="00130D1C">
            <w:pPr>
              <w:pStyle w:val="ARfintablebody"/>
            </w:pPr>
            <w:r w:rsidRPr="0026318A">
              <w:t>Interest expense</w:t>
            </w:r>
          </w:p>
        </w:tc>
        <w:tc>
          <w:tcPr>
            <w:tcW w:w="851" w:type="dxa"/>
            <w:tcBorders>
              <w:top w:val="single" w:sz="4" w:space="0" w:color="A6A6A6"/>
              <w:bottom w:val="single" w:sz="4" w:space="0" w:color="A6A6A6"/>
            </w:tcBorders>
            <w:noWrap/>
            <w:hideMark/>
          </w:tcPr>
          <w:p w14:paraId="4788D3C2" w14:textId="77777777" w:rsidR="005F4A7E" w:rsidRPr="002029AF" w:rsidRDefault="005F4A7E" w:rsidP="00130D1C">
            <w:pPr>
              <w:pStyle w:val="ARfintablebodyright"/>
            </w:pPr>
            <w:r w:rsidRPr="0026318A">
              <w:t>7.1.2</w:t>
            </w:r>
          </w:p>
        </w:tc>
        <w:tc>
          <w:tcPr>
            <w:tcW w:w="1134" w:type="dxa"/>
            <w:tcBorders>
              <w:top w:val="single" w:sz="4" w:space="0" w:color="A6A6A6"/>
              <w:bottom w:val="single" w:sz="4" w:space="0" w:color="A6A6A6"/>
            </w:tcBorders>
            <w:shd w:val="clear" w:color="auto" w:fill="E7E6E6"/>
            <w:noWrap/>
            <w:hideMark/>
          </w:tcPr>
          <w:p w14:paraId="6730823B" w14:textId="77777777" w:rsidR="005F4A7E" w:rsidRPr="002029AF" w:rsidRDefault="005F4A7E" w:rsidP="00130D1C">
            <w:pPr>
              <w:pStyle w:val="ARfintablebodyright"/>
            </w:pPr>
            <w:r w:rsidRPr="0026318A">
              <w:t>4.0</w:t>
            </w:r>
          </w:p>
        </w:tc>
        <w:tc>
          <w:tcPr>
            <w:tcW w:w="1134" w:type="dxa"/>
            <w:tcBorders>
              <w:top w:val="single" w:sz="4" w:space="0" w:color="A6A6A6"/>
              <w:bottom w:val="single" w:sz="4" w:space="0" w:color="A6A6A6"/>
            </w:tcBorders>
            <w:noWrap/>
            <w:hideMark/>
          </w:tcPr>
          <w:p w14:paraId="4B00F995" w14:textId="77777777" w:rsidR="005F4A7E" w:rsidRPr="002029AF" w:rsidRDefault="005F4A7E" w:rsidP="00130D1C">
            <w:pPr>
              <w:pStyle w:val="ARfintablebodyright"/>
            </w:pPr>
            <w:r w:rsidRPr="0026318A">
              <w:t>7.0</w:t>
            </w:r>
          </w:p>
        </w:tc>
      </w:tr>
      <w:tr w:rsidR="005F4A7E" w:rsidRPr="002029AF" w14:paraId="15EC3F96" w14:textId="77777777" w:rsidTr="003566F1">
        <w:tc>
          <w:tcPr>
            <w:tcW w:w="6518" w:type="dxa"/>
            <w:tcBorders>
              <w:top w:val="single" w:sz="4" w:space="0" w:color="A6A6A6"/>
              <w:bottom w:val="single" w:sz="4" w:space="0" w:color="A6A6A6"/>
            </w:tcBorders>
            <w:hideMark/>
          </w:tcPr>
          <w:p w14:paraId="1502F5F4" w14:textId="77777777" w:rsidR="005F4A7E" w:rsidRPr="002029AF" w:rsidRDefault="005F4A7E" w:rsidP="00130D1C">
            <w:pPr>
              <w:pStyle w:val="ARfintablebody"/>
            </w:pPr>
            <w:r w:rsidRPr="0026318A">
              <w:t>Maintenance</w:t>
            </w:r>
          </w:p>
        </w:tc>
        <w:tc>
          <w:tcPr>
            <w:tcW w:w="851" w:type="dxa"/>
            <w:tcBorders>
              <w:top w:val="single" w:sz="4" w:space="0" w:color="A6A6A6"/>
              <w:bottom w:val="single" w:sz="4" w:space="0" w:color="A6A6A6"/>
            </w:tcBorders>
            <w:noWrap/>
            <w:hideMark/>
          </w:tcPr>
          <w:p w14:paraId="2DA25AB2" w14:textId="77777777" w:rsidR="005F4A7E" w:rsidRPr="002029AF" w:rsidRDefault="005F4A7E" w:rsidP="00130D1C">
            <w:pPr>
              <w:pStyle w:val="ARfintablebodyright"/>
            </w:pPr>
          </w:p>
        </w:tc>
        <w:tc>
          <w:tcPr>
            <w:tcW w:w="1134" w:type="dxa"/>
            <w:tcBorders>
              <w:top w:val="single" w:sz="4" w:space="0" w:color="A6A6A6"/>
              <w:bottom w:val="single" w:sz="4" w:space="0" w:color="A6A6A6"/>
            </w:tcBorders>
            <w:shd w:val="clear" w:color="auto" w:fill="E7E6E6"/>
            <w:noWrap/>
            <w:hideMark/>
          </w:tcPr>
          <w:p w14:paraId="487E3C53" w14:textId="77777777" w:rsidR="005F4A7E" w:rsidRPr="002029AF" w:rsidRDefault="005F4A7E" w:rsidP="00130D1C">
            <w:pPr>
              <w:pStyle w:val="ARfintablebodyright"/>
            </w:pPr>
            <w:r w:rsidRPr="0026318A">
              <w:t>239.6</w:t>
            </w:r>
          </w:p>
        </w:tc>
        <w:tc>
          <w:tcPr>
            <w:tcW w:w="1134" w:type="dxa"/>
            <w:tcBorders>
              <w:top w:val="single" w:sz="4" w:space="0" w:color="A6A6A6"/>
              <w:bottom w:val="single" w:sz="4" w:space="0" w:color="A6A6A6"/>
            </w:tcBorders>
            <w:noWrap/>
            <w:hideMark/>
          </w:tcPr>
          <w:p w14:paraId="2DDD17F1" w14:textId="77777777" w:rsidR="005F4A7E" w:rsidRPr="002029AF" w:rsidRDefault="005F4A7E" w:rsidP="00130D1C">
            <w:pPr>
              <w:pStyle w:val="ARfintablebodyright"/>
            </w:pPr>
            <w:r w:rsidRPr="0026318A">
              <w:t>236.1</w:t>
            </w:r>
          </w:p>
        </w:tc>
      </w:tr>
      <w:tr w:rsidR="005F4A7E" w:rsidRPr="002029AF" w14:paraId="1D5A1212" w14:textId="77777777" w:rsidTr="003566F1">
        <w:tc>
          <w:tcPr>
            <w:tcW w:w="6518" w:type="dxa"/>
            <w:tcBorders>
              <w:top w:val="single" w:sz="4" w:space="0" w:color="A6A6A6"/>
              <w:bottom w:val="single" w:sz="4" w:space="0" w:color="A6A6A6"/>
            </w:tcBorders>
            <w:hideMark/>
          </w:tcPr>
          <w:p w14:paraId="23501876" w14:textId="77777777" w:rsidR="005F4A7E" w:rsidRPr="002029AF" w:rsidRDefault="005F4A7E" w:rsidP="00130D1C">
            <w:pPr>
              <w:pStyle w:val="ARfintablebody"/>
            </w:pPr>
            <w:r w:rsidRPr="0026318A">
              <w:t>Grant and other expense transfers</w:t>
            </w:r>
          </w:p>
        </w:tc>
        <w:tc>
          <w:tcPr>
            <w:tcW w:w="851" w:type="dxa"/>
            <w:tcBorders>
              <w:top w:val="single" w:sz="4" w:space="0" w:color="A6A6A6"/>
              <w:bottom w:val="single" w:sz="4" w:space="0" w:color="A6A6A6"/>
            </w:tcBorders>
            <w:noWrap/>
            <w:hideMark/>
          </w:tcPr>
          <w:p w14:paraId="52C73ED5" w14:textId="77777777" w:rsidR="005F4A7E" w:rsidRPr="002029AF" w:rsidRDefault="005F4A7E" w:rsidP="00130D1C">
            <w:pPr>
              <w:pStyle w:val="ARfintablebodyright"/>
            </w:pPr>
            <w:r w:rsidRPr="0026318A">
              <w:t>3.1.2</w:t>
            </w:r>
          </w:p>
        </w:tc>
        <w:tc>
          <w:tcPr>
            <w:tcW w:w="1134" w:type="dxa"/>
            <w:tcBorders>
              <w:top w:val="single" w:sz="4" w:space="0" w:color="A6A6A6"/>
              <w:bottom w:val="single" w:sz="4" w:space="0" w:color="A6A6A6"/>
            </w:tcBorders>
            <w:shd w:val="clear" w:color="auto" w:fill="E7E6E6"/>
            <w:noWrap/>
            <w:hideMark/>
          </w:tcPr>
          <w:p w14:paraId="40C254A9" w14:textId="77777777" w:rsidR="005F4A7E" w:rsidRPr="002029AF" w:rsidRDefault="005F4A7E" w:rsidP="00130D1C">
            <w:pPr>
              <w:pStyle w:val="ARfintablebodyright"/>
            </w:pPr>
            <w:r w:rsidRPr="0026318A">
              <w:t>19,720.7</w:t>
            </w:r>
          </w:p>
        </w:tc>
        <w:tc>
          <w:tcPr>
            <w:tcW w:w="1134" w:type="dxa"/>
            <w:tcBorders>
              <w:top w:val="single" w:sz="4" w:space="0" w:color="A6A6A6"/>
              <w:bottom w:val="single" w:sz="4" w:space="0" w:color="A6A6A6"/>
            </w:tcBorders>
            <w:noWrap/>
            <w:hideMark/>
          </w:tcPr>
          <w:p w14:paraId="7A36A4B8" w14:textId="77777777" w:rsidR="005F4A7E" w:rsidRPr="002029AF" w:rsidRDefault="005F4A7E" w:rsidP="00130D1C">
            <w:pPr>
              <w:pStyle w:val="ARfintablebodyright"/>
            </w:pPr>
            <w:r w:rsidRPr="0026318A">
              <w:t>17,308.0</w:t>
            </w:r>
          </w:p>
        </w:tc>
      </w:tr>
      <w:tr w:rsidR="005F4A7E" w:rsidRPr="002029AF" w14:paraId="2B6E94AE" w14:textId="77777777" w:rsidTr="003566F1">
        <w:tc>
          <w:tcPr>
            <w:tcW w:w="6518" w:type="dxa"/>
            <w:tcBorders>
              <w:top w:val="single" w:sz="4" w:space="0" w:color="A6A6A6"/>
              <w:bottom w:val="single" w:sz="4" w:space="0" w:color="A6A6A6"/>
            </w:tcBorders>
            <w:hideMark/>
          </w:tcPr>
          <w:p w14:paraId="2373ED52" w14:textId="77777777" w:rsidR="005F4A7E" w:rsidRPr="002029AF" w:rsidRDefault="005F4A7E" w:rsidP="00130D1C">
            <w:pPr>
              <w:pStyle w:val="ARfintablebody"/>
            </w:pPr>
            <w:r w:rsidRPr="0026318A">
              <w:t>Capital asset charge</w:t>
            </w:r>
          </w:p>
        </w:tc>
        <w:tc>
          <w:tcPr>
            <w:tcW w:w="851" w:type="dxa"/>
            <w:tcBorders>
              <w:top w:val="single" w:sz="4" w:space="0" w:color="A6A6A6"/>
              <w:bottom w:val="single" w:sz="4" w:space="0" w:color="A6A6A6"/>
            </w:tcBorders>
            <w:noWrap/>
            <w:hideMark/>
          </w:tcPr>
          <w:p w14:paraId="31641FC8" w14:textId="77777777" w:rsidR="005F4A7E" w:rsidRPr="002029AF" w:rsidRDefault="005F4A7E" w:rsidP="00130D1C">
            <w:pPr>
              <w:pStyle w:val="ARfintablebodyright"/>
            </w:pPr>
            <w:r w:rsidRPr="0026318A">
              <w:t>3.1.3</w:t>
            </w:r>
          </w:p>
        </w:tc>
        <w:tc>
          <w:tcPr>
            <w:tcW w:w="1134" w:type="dxa"/>
            <w:tcBorders>
              <w:top w:val="single" w:sz="4" w:space="0" w:color="A6A6A6"/>
              <w:bottom w:val="single" w:sz="4" w:space="0" w:color="A6A6A6"/>
            </w:tcBorders>
            <w:shd w:val="clear" w:color="auto" w:fill="E7E6E6"/>
            <w:noWrap/>
            <w:hideMark/>
          </w:tcPr>
          <w:p w14:paraId="69240FF3" w14:textId="77777777" w:rsidR="005F4A7E" w:rsidRPr="002029AF" w:rsidRDefault="005F4A7E" w:rsidP="00130D1C">
            <w:pPr>
              <w:pStyle w:val="ARfintablebodyright"/>
            </w:pPr>
            <w:r w:rsidRPr="0026318A">
              <w:t>1,427.7</w:t>
            </w:r>
          </w:p>
        </w:tc>
        <w:tc>
          <w:tcPr>
            <w:tcW w:w="1134" w:type="dxa"/>
            <w:tcBorders>
              <w:top w:val="single" w:sz="4" w:space="0" w:color="A6A6A6"/>
              <w:bottom w:val="single" w:sz="4" w:space="0" w:color="A6A6A6"/>
            </w:tcBorders>
            <w:noWrap/>
            <w:hideMark/>
          </w:tcPr>
          <w:p w14:paraId="2784C461" w14:textId="77777777" w:rsidR="005F4A7E" w:rsidRPr="002029AF" w:rsidRDefault="005F4A7E" w:rsidP="00130D1C">
            <w:pPr>
              <w:pStyle w:val="ARfintablebodyright"/>
            </w:pPr>
            <w:r w:rsidRPr="0026318A">
              <w:t>1,319.8</w:t>
            </w:r>
          </w:p>
        </w:tc>
      </w:tr>
      <w:tr w:rsidR="005F4A7E" w:rsidRPr="002029AF" w14:paraId="00802585" w14:textId="77777777" w:rsidTr="003566F1">
        <w:tc>
          <w:tcPr>
            <w:tcW w:w="6518" w:type="dxa"/>
            <w:tcBorders>
              <w:top w:val="single" w:sz="4" w:space="0" w:color="A6A6A6"/>
              <w:bottom w:val="single" w:sz="4" w:space="0" w:color="A6A6A6"/>
            </w:tcBorders>
            <w:hideMark/>
          </w:tcPr>
          <w:p w14:paraId="4C4AB013" w14:textId="77777777" w:rsidR="005F4A7E" w:rsidRPr="002029AF" w:rsidRDefault="005F4A7E" w:rsidP="00130D1C">
            <w:pPr>
              <w:pStyle w:val="ARfintablebody"/>
            </w:pPr>
            <w:r w:rsidRPr="0026318A">
              <w:t xml:space="preserve">Fair value of assets and services provided free of charge </w:t>
            </w:r>
            <w:r>
              <w:br/>
            </w:r>
            <w:r w:rsidRPr="0026318A">
              <w:t>or for nominal</w:t>
            </w:r>
            <w:r>
              <w:t> </w:t>
            </w:r>
            <w:r w:rsidRPr="0026318A">
              <w:t>consideration</w:t>
            </w:r>
          </w:p>
        </w:tc>
        <w:tc>
          <w:tcPr>
            <w:tcW w:w="851" w:type="dxa"/>
            <w:tcBorders>
              <w:top w:val="single" w:sz="4" w:space="0" w:color="A6A6A6"/>
              <w:bottom w:val="single" w:sz="4" w:space="0" w:color="A6A6A6"/>
            </w:tcBorders>
            <w:noWrap/>
            <w:hideMark/>
          </w:tcPr>
          <w:p w14:paraId="6851B313" w14:textId="77777777" w:rsidR="005F4A7E" w:rsidRPr="002029AF" w:rsidRDefault="005F4A7E" w:rsidP="00130D1C">
            <w:pPr>
              <w:pStyle w:val="ARfintablebodyright"/>
            </w:pPr>
            <w:r w:rsidRPr="0026318A">
              <w:t>3.1.4</w:t>
            </w:r>
          </w:p>
        </w:tc>
        <w:tc>
          <w:tcPr>
            <w:tcW w:w="1134" w:type="dxa"/>
            <w:tcBorders>
              <w:top w:val="single" w:sz="4" w:space="0" w:color="A6A6A6"/>
              <w:bottom w:val="single" w:sz="4" w:space="0" w:color="A6A6A6"/>
            </w:tcBorders>
            <w:shd w:val="clear" w:color="auto" w:fill="E7E6E6"/>
            <w:noWrap/>
            <w:hideMark/>
          </w:tcPr>
          <w:p w14:paraId="214FC881" w14:textId="77777777" w:rsidR="005F4A7E" w:rsidRPr="002029AF" w:rsidRDefault="005F4A7E" w:rsidP="00130D1C">
            <w:pPr>
              <w:pStyle w:val="ARfintablebodyright"/>
            </w:pPr>
            <w:r w:rsidRPr="0026318A">
              <w:t>297.2</w:t>
            </w:r>
          </w:p>
        </w:tc>
        <w:tc>
          <w:tcPr>
            <w:tcW w:w="1134" w:type="dxa"/>
            <w:tcBorders>
              <w:top w:val="single" w:sz="4" w:space="0" w:color="A6A6A6"/>
              <w:bottom w:val="single" w:sz="4" w:space="0" w:color="A6A6A6"/>
            </w:tcBorders>
            <w:noWrap/>
            <w:hideMark/>
          </w:tcPr>
          <w:p w14:paraId="0CCBC639" w14:textId="77777777" w:rsidR="005F4A7E" w:rsidRPr="002029AF" w:rsidRDefault="005F4A7E" w:rsidP="00130D1C">
            <w:pPr>
              <w:pStyle w:val="ARfintablebodyright"/>
            </w:pPr>
            <w:r w:rsidRPr="0026318A">
              <w:t>32.3</w:t>
            </w:r>
          </w:p>
        </w:tc>
      </w:tr>
      <w:tr w:rsidR="005F4A7E" w:rsidRPr="002029AF" w14:paraId="27F16731" w14:textId="77777777" w:rsidTr="003566F1">
        <w:tc>
          <w:tcPr>
            <w:tcW w:w="6518" w:type="dxa"/>
            <w:tcBorders>
              <w:top w:val="single" w:sz="4" w:space="0" w:color="A6A6A6"/>
              <w:bottom w:val="single" w:sz="4" w:space="0" w:color="A6A6A6"/>
            </w:tcBorders>
            <w:hideMark/>
          </w:tcPr>
          <w:p w14:paraId="4F2C0441" w14:textId="77777777" w:rsidR="005F4A7E" w:rsidRPr="002029AF" w:rsidRDefault="005F4A7E" w:rsidP="00130D1C">
            <w:pPr>
              <w:pStyle w:val="ARfintablebody"/>
            </w:pPr>
            <w:r w:rsidRPr="0026318A">
              <w:t>Other operating expenses</w:t>
            </w:r>
          </w:p>
        </w:tc>
        <w:tc>
          <w:tcPr>
            <w:tcW w:w="851" w:type="dxa"/>
            <w:tcBorders>
              <w:top w:val="single" w:sz="4" w:space="0" w:color="A6A6A6"/>
              <w:bottom w:val="single" w:sz="4" w:space="0" w:color="A6A6A6"/>
            </w:tcBorders>
            <w:noWrap/>
            <w:hideMark/>
          </w:tcPr>
          <w:p w14:paraId="66AC2082" w14:textId="77777777" w:rsidR="005F4A7E" w:rsidRPr="002029AF" w:rsidRDefault="005F4A7E" w:rsidP="00130D1C">
            <w:pPr>
              <w:pStyle w:val="ARfintablebodyright"/>
            </w:pPr>
            <w:r w:rsidRPr="0026318A">
              <w:t>3.1.5</w:t>
            </w:r>
          </w:p>
        </w:tc>
        <w:tc>
          <w:tcPr>
            <w:tcW w:w="1134" w:type="dxa"/>
            <w:tcBorders>
              <w:top w:val="single" w:sz="4" w:space="0" w:color="A6A6A6"/>
              <w:bottom w:val="single" w:sz="4" w:space="0" w:color="A6A6A6"/>
            </w:tcBorders>
            <w:shd w:val="clear" w:color="auto" w:fill="E7E6E6"/>
            <w:noWrap/>
            <w:hideMark/>
          </w:tcPr>
          <w:p w14:paraId="7467F9EF" w14:textId="77777777" w:rsidR="005F4A7E" w:rsidRPr="002029AF" w:rsidRDefault="005F4A7E" w:rsidP="00130D1C">
            <w:pPr>
              <w:pStyle w:val="ARfintablebodyright"/>
            </w:pPr>
            <w:r w:rsidRPr="0026318A">
              <w:t>1,361.5</w:t>
            </w:r>
          </w:p>
        </w:tc>
        <w:tc>
          <w:tcPr>
            <w:tcW w:w="1134" w:type="dxa"/>
            <w:tcBorders>
              <w:top w:val="single" w:sz="4" w:space="0" w:color="A6A6A6"/>
              <w:bottom w:val="single" w:sz="4" w:space="0" w:color="A6A6A6"/>
            </w:tcBorders>
            <w:noWrap/>
            <w:hideMark/>
          </w:tcPr>
          <w:p w14:paraId="53EC3671" w14:textId="77777777" w:rsidR="005F4A7E" w:rsidRPr="002029AF" w:rsidRDefault="005F4A7E" w:rsidP="00130D1C">
            <w:pPr>
              <w:pStyle w:val="ARfintablebodyright"/>
            </w:pPr>
            <w:r w:rsidRPr="0026318A">
              <w:t>689.4</w:t>
            </w:r>
          </w:p>
        </w:tc>
      </w:tr>
      <w:tr w:rsidR="005F4A7E" w:rsidRPr="002029AF" w14:paraId="023F1B9A" w14:textId="77777777" w:rsidTr="003566F1">
        <w:tc>
          <w:tcPr>
            <w:tcW w:w="6518" w:type="dxa"/>
            <w:tcBorders>
              <w:top w:val="single" w:sz="4" w:space="0" w:color="A6A6A6"/>
            </w:tcBorders>
            <w:hideMark/>
          </w:tcPr>
          <w:p w14:paraId="731089FB" w14:textId="77777777" w:rsidR="005F4A7E" w:rsidRPr="002029AF" w:rsidRDefault="005F4A7E" w:rsidP="00130D1C">
            <w:pPr>
              <w:pStyle w:val="ARfintablebody"/>
            </w:pPr>
            <w:r w:rsidRPr="0026318A">
              <w:t>Other property management expenses</w:t>
            </w:r>
          </w:p>
        </w:tc>
        <w:tc>
          <w:tcPr>
            <w:tcW w:w="851" w:type="dxa"/>
            <w:tcBorders>
              <w:top w:val="single" w:sz="4" w:space="0" w:color="A6A6A6"/>
            </w:tcBorders>
            <w:noWrap/>
            <w:hideMark/>
          </w:tcPr>
          <w:p w14:paraId="5C8A5173" w14:textId="77777777" w:rsidR="005F4A7E" w:rsidRPr="002029AF" w:rsidRDefault="005F4A7E" w:rsidP="00130D1C">
            <w:pPr>
              <w:pStyle w:val="ARfintablebodyright"/>
            </w:pPr>
            <w:r w:rsidRPr="0026318A">
              <w:t>3.1.6</w:t>
            </w:r>
          </w:p>
        </w:tc>
        <w:tc>
          <w:tcPr>
            <w:tcW w:w="1134" w:type="dxa"/>
            <w:tcBorders>
              <w:top w:val="single" w:sz="4" w:space="0" w:color="A6A6A6"/>
            </w:tcBorders>
            <w:shd w:val="clear" w:color="auto" w:fill="E7E6E6"/>
            <w:noWrap/>
            <w:hideMark/>
          </w:tcPr>
          <w:p w14:paraId="41639EF1" w14:textId="77777777" w:rsidR="005F4A7E" w:rsidRPr="002029AF" w:rsidRDefault="005F4A7E" w:rsidP="00130D1C">
            <w:pPr>
              <w:pStyle w:val="ARfintablebodyright"/>
            </w:pPr>
            <w:r w:rsidRPr="0026318A">
              <w:t>274.6</w:t>
            </w:r>
          </w:p>
        </w:tc>
        <w:tc>
          <w:tcPr>
            <w:tcW w:w="1134" w:type="dxa"/>
            <w:tcBorders>
              <w:top w:val="single" w:sz="4" w:space="0" w:color="A6A6A6"/>
            </w:tcBorders>
            <w:noWrap/>
            <w:hideMark/>
          </w:tcPr>
          <w:p w14:paraId="25D54830" w14:textId="77777777" w:rsidR="005F4A7E" w:rsidRPr="002029AF" w:rsidRDefault="005F4A7E" w:rsidP="00130D1C">
            <w:pPr>
              <w:pStyle w:val="ARfintablebodyright"/>
            </w:pPr>
            <w:r w:rsidRPr="0026318A">
              <w:t>199.3</w:t>
            </w:r>
          </w:p>
        </w:tc>
      </w:tr>
      <w:tr w:rsidR="005F4A7E" w:rsidRPr="002029AF" w14:paraId="1CFEF7BC" w14:textId="77777777" w:rsidTr="003566F1">
        <w:tc>
          <w:tcPr>
            <w:tcW w:w="6518" w:type="dxa"/>
            <w:hideMark/>
          </w:tcPr>
          <w:p w14:paraId="4A12A555" w14:textId="77777777" w:rsidR="005F4A7E" w:rsidRPr="002029AF" w:rsidRDefault="005F4A7E" w:rsidP="00130D1C">
            <w:pPr>
              <w:pStyle w:val="ARfintablebodybold"/>
            </w:pPr>
            <w:r w:rsidRPr="0026318A">
              <w:t>Total expenses from transactions</w:t>
            </w:r>
          </w:p>
        </w:tc>
        <w:tc>
          <w:tcPr>
            <w:tcW w:w="851" w:type="dxa"/>
            <w:hideMark/>
          </w:tcPr>
          <w:p w14:paraId="485D852C" w14:textId="77777777" w:rsidR="005F4A7E" w:rsidRPr="002029AF" w:rsidRDefault="005F4A7E" w:rsidP="00130D1C">
            <w:pPr>
              <w:pStyle w:val="ARfintablebodyrightbold"/>
            </w:pPr>
          </w:p>
        </w:tc>
        <w:tc>
          <w:tcPr>
            <w:tcW w:w="1134" w:type="dxa"/>
            <w:shd w:val="clear" w:color="auto" w:fill="E7E6E6"/>
            <w:noWrap/>
            <w:hideMark/>
          </w:tcPr>
          <w:p w14:paraId="46CACAEA" w14:textId="77777777" w:rsidR="005F4A7E" w:rsidRPr="002029AF" w:rsidRDefault="005F4A7E" w:rsidP="00130D1C">
            <w:pPr>
              <w:pStyle w:val="ARfintablebodyrightbold"/>
            </w:pPr>
            <w:r w:rsidRPr="0026318A">
              <w:t>25,170.7</w:t>
            </w:r>
          </w:p>
        </w:tc>
        <w:tc>
          <w:tcPr>
            <w:tcW w:w="1134" w:type="dxa"/>
            <w:noWrap/>
            <w:hideMark/>
          </w:tcPr>
          <w:p w14:paraId="6CD75C5B" w14:textId="77777777" w:rsidR="005F4A7E" w:rsidRPr="002029AF" w:rsidRDefault="005F4A7E" w:rsidP="00130D1C">
            <w:pPr>
              <w:pStyle w:val="ARfintablebodyrightbold"/>
            </w:pPr>
            <w:r w:rsidRPr="0026318A">
              <w:t>21,420.3</w:t>
            </w:r>
          </w:p>
        </w:tc>
      </w:tr>
      <w:tr w:rsidR="005F4A7E" w:rsidRPr="002029AF" w14:paraId="206F10C8" w14:textId="77777777" w:rsidTr="003566F1">
        <w:tc>
          <w:tcPr>
            <w:tcW w:w="6518" w:type="dxa"/>
            <w:tcBorders>
              <w:bottom w:val="single" w:sz="4" w:space="0" w:color="auto"/>
            </w:tcBorders>
            <w:hideMark/>
          </w:tcPr>
          <w:p w14:paraId="7C72B7B1" w14:textId="77777777" w:rsidR="005F4A7E" w:rsidRPr="002029AF" w:rsidRDefault="005F4A7E" w:rsidP="00130D1C">
            <w:pPr>
              <w:pStyle w:val="ARfintablebodybold"/>
            </w:pPr>
            <w:r w:rsidRPr="0026318A">
              <w:t>Net result from transactions (net operating balance)</w:t>
            </w:r>
          </w:p>
        </w:tc>
        <w:tc>
          <w:tcPr>
            <w:tcW w:w="851" w:type="dxa"/>
            <w:tcBorders>
              <w:bottom w:val="single" w:sz="4" w:space="0" w:color="auto"/>
            </w:tcBorders>
            <w:hideMark/>
          </w:tcPr>
          <w:p w14:paraId="57FDFDAE" w14:textId="77777777" w:rsidR="005F4A7E" w:rsidRPr="002029AF" w:rsidRDefault="005F4A7E" w:rsidP="00130D1C">
            <w:pPr>
              <w:pStyle w:val="ARfintablebodyrightbold"/>
            </w:pPr>
          </w:p>
        </w:tc>
        <w:tc>
          <w:tcPr>
            <w:tcW w:w="1134" w:type="dxa"/>
            <w:tcBorders>
              <w:bottom w:val="single" w:sz="4" w:space="0" w:color="auto"/>
            </w:tcBorders>
            <w:shd w:val="clear" w:color="auto" w:fill="E7E6E6"/>
            <w:noWrap/>
            <w:hideMark/>
          </w:tcPr>
          <w:p w14:paraId="45F9EA21" w14:textId="77777777" w:rsidR="005F4A7E" w:rsidRPr="002029AF" w:rsidRDefault="005F4A7E" w:rsidP="00130D1C">
            <w:pPr>
              <w:pStyle w:val="ARfintablebodyrightbold"/>
            </w:pPr>
            <w:r w:rsidRPr="0026318A">
              <w:t>527.7</w:t>
            </w:r>
          </w:p>
        </w:tc>
        <w:tc>
          <w:tcPr>
            <w:tcW w:w="1134" w:type="dxa"/>
            <w:tcBorders>
              <w:bottom w:val="single" w:sz="4" w:space="0" w:color="auto"/>
            </w:tcBorders>
            <w:noWrap/>
            <w:hideMark/>
          </w:tcPr>
          <w:p w14:paraId="1F97DFBD" w14:textId="77777777" w:rsidR="005F4A7E" w:rsidRPr="002029AF" w:rsidRDefault="005F4A7E" w:rsidP="00130D1C">
            <w:pPr>
              <w:pStyle w:val="ARfintablebodyrightbold"/>
            </w:pPr>
            <w:r w:rsidRPr="0026318A">
              <w:t>608.1</w:t>
            </w:r>
          </w:p>
        </w:tc>
      </w:tr>
      <w:tr w:rsidR="005F4A7E" w:rsidRPr="002029AF" w14:paraId="36ECC134" w14:textId="77777777" w:rsidTr="003566F1">
        <w:tc>
          <w:tcPr>
            <w:tcW w:w="9637" w:type="dxa"/>
            <w:gridSpan w:val="4"/>
            <w:tcBorders>
              <w:top w:val="single" w:sz="4" w:space="0" w:color="auto"/>
              <w:bottom w:val="single" w:sz="4" w:space="0" w:color="A6A6A6"/>
            </w:tcBorders>
            <w:hideMark/>
          </w:tcPr>
          <w:p w14:paraId="5FE38832" w14:textId="77777777" w:rsidR="005F4A7E" w:rsidRPr="002029AF" w:rsidRDefault="005F4A7E" w:rsidP="00130D1C">
            <w:pPr>
              <w:pStyle w:val="ARfintablebodybold"/>
            </w:pPr>
            <w:r w:rsidRPr="0026318A">
              <w:t>Other economic flows included in net result</w:t>
            </w:r>
          </w:p>
        </w:tc>
      </w:tr>
      <w:tr w:rsidR="005F4A7E" w:rsidRPr="002029AF" w14:paraId="5B9CA06F" w14:textId="77777777" w:rsidTr="003566F1">
        <w:tc>
          <w:tcPr>
            <w:tcW w:w="6518" w:type="dxa"/>
            <w:tcBorders>
              <w:top w:val="single" w:sz="4" w:space="0" w:color="A6A6A6"/>
              <w:bottom w:val="single" w:sz="4" w:space="0" w:color="A6A6A6"/>
            </w:tcBorders>
            <w:hideMark/>
          </w:tcPr>
          <w:p w14:paraId="33BCB5F8" w14:textId="77777777" w:rsidR="005F4A7E" w:rsidRPr="002029AF" w:rsidRDefault="005F4A7E" w:rsidP="00130D1C">
            <w:pPr>
              <w:pStyle w:val="ARfintablebody"/>
            </w:pPr>
            <w:r w:rsidRPr="0026318A">
              <w:t xml:space="preserve">Net gain/(loss) on non-financial assets </w:t>
            </w:r>
            <w:r w:rsidRPr="00327E41">
              <w:rPr>
                <w:rStyle w:val="Superscript"/>
              </w:rPr>
              <w:t>(i)</w:t>
            </w:r>
          </w:p>
        </w:tc>
        <w:tc>
          <w:tcPr>
            <w:tcW w:w="851" w:type="dxa"/>
            <w:tcBorders>
              <w:top w:val="single" w:sz="4" w:space="0" w:color="A6A6A6"/>
              <w:bottom w:val="single" w:sz="4" w:space="0" w:color="A6A6A6"/>
            </w:tcBorders>
            <w:noWrap/>
            <w:hideMark/>
          </w:tcPr>
          <w:p w14:paraId="699DA8E8" w14:textId="77777777" w:rsidR="005F4A7E" w:rsidRPr="002029AF" w:rsidRDefault="005F4A7E" w:rsidP="00130D1C">
            <w:pPr>
              <w:pStyle w:val="ARfintablebodyright"/>
            </w:pPr>
            <w:r w:rsidRPr="0026318A">
              <w:t>9.2(a)</w:t>
            </w:r>
          </w:p>
        </w:tc>
        <w:tc>
          <w:tcPr>
            <w:tcW w:w="1134" w:type="dxa"/>
            <w:tcBorders>
              <w:top w:val="single" w:sz="4" w:space="0" w:color="A6A6A6"/>
              <w:bottom w:val="single" w:sz="4" w:space="0" w:color="A6A6A6"/>
            </w:tcBorders>
            <w:shd w:val="clear" w:color="auto" w:fill="E7E6E6"/>
            <w:noWrap/>
            <w:hideMark/>
          </w:tcPr>
          <w:p w14:paraId="6065C6DD" w14:textId="77777777" w:rsidR="005F4A7E" w:rsidRPr="002029AF" w:rsidRDefault="005F4A7E" w:rsidP="00130D1C">
            <w:pPr>
              <w:pStyle w:val="ARfintablebodyright"/>
            </w:pPr>
            <w:r w:rsidRPr="0026318A">
              <w:t>(2.9)</w:t>
            </w:r>
          </w:p>
        </w:tc>
        <w:tc>
          <w:tcPr>
            <w:tcW w:w="1134" w:type="dxa"/>
            <w:tcBorders>
              <w:top w:val="single" w:sz="4" w:space="0" w:color="A6A6A6"/>
              <w:bottom w:val="single" w:sz="4" w:space="0" w:color="A6A6A6"/>
            </w:tcBorders>
            <w:noWrap/>
            <w:hideMark/>
          </w:tcPr>
          <w:p w14:paraId="3B8AEC6B" w14:textId="77777777" w:rsidR="005F4A7E" w:rsidRPr="002029AF" w:rsidRDefault="005F4A7E" w:rsidP="00130D1C">
            <w:pPr>
              <w:pStyle w:val="ARfintablebodyright"/>
            </w:pPr>
            <w:r w:rsidRPr="0026318A">
              <w:t>(4.5)</w:t>
            </w:r>
          </w:p>
        </w:tc>
      </w:tr>
      <w:tr w:rsidR="005F4A7E" w:rsidRPr="002029AF" w14:paraId="48CC8E58" w14:textId="77777777" w:rsidTr="003566F1">
        <w:tc>
          <w:tcPr>
            <w:tcW w:w="6518" w:type="dxa"/>
            <w:tcBorders>
              <w:top w:val="single" w:sz="4" w:space="0" w:color="A6A6A6"/>
              <w:bottom w:val="single" w:sz="4" w:space="0" w:color="A6A6A6"/>
            </w:tcBorders>
            <w:hideMark/>
          </w:tcPr>
          <w:p w14:paraId="22C39AD1" w14:textId="77777777" w:rsidR="005F4A7E" w:rsidRPr="002029AF" w:rsidRDefault="005F4A7E" w:rsidP="00130D1C">
            <w:pPr>
              <w:pStyle w:val="ARfintablebody"/>
            </w:pPr>
            <w:r w:rsidRPr="0026318A">
              <w:t xml:space="preserve">Net gain/(loss) on financial instruments </w:t>
            </w:r>
            <w:r w:rsidRPr="00327E41">
              <w:rPr>
                <w:rStyle w:val="Superscript"/>
              </w:rPr>
              <w:t>(ii)</w:t>
            </w:r>
          </w:p>
        </w:tc>
        <w:tc>
          <w:tcPr>
            <w:tcW w:w="851" w:type="dxa"/>
            <w:tcBorders>
              <w:top w:val="single" w:sz="4" w:space="0" w:color="A6A6A6"/>
              <w:bottom w:val="single" w:sz="4" w:space="0" w:color="A6A6A6"/>
            </w:tcBorders>
            <w:noWrap/>
            <w:hideMark/>
          </w:tcPr>
          <w:p w14:paraId="45170B42" w14:textId="77777777" w:rsidR="005F4A7E" w:rsidRPr="002029AF" w:rsidRDefault="005F4A7E" w:rsidP="00130D1C">
            <w:pPr>
              <w:pStyle w:val="ARfintablebodyright"/>
            </w:pPr>
            <w:r w:rsidRPr="0026318A">
              <w:t>9.2(b)</w:t>
            </w:r>
          </w:p>
        </w:tc>
        <w:tc>
          <w:tcPr>
            <w:tcW w:w="1134" w:type="dxa"/>
            <w:tcBorders>
              <w:top w:val="single" w:sz="4" w:space="0" w:color="A6A6A6"/>
              <w:bottom w:val="single" w:sz="4" w:space="0" w:color="A6A6A6"/>
            </w:tcBorders>
            <w:shd w:val="clear" w:color="auto" w:fill="E7E6E6"/>
            <w:noWrap/>
            <w:hideMark/>
          </w:tcPr>
          <w:p w14:paraId="2017B9D2" w14:textId="77777777" w:rsidR="005F4A7E" w:rsidRPr="002029AF" w:rsidRDefault="005F4A7E" w:rsidP="00130D1C">
            <w:pPr>
              <w:pStyle w:val="ARfintablebodyright"/>
            </w:pPr>
            <w:r w:rsidRPr="0026318A">
              <w:t>1.6</w:t>
            </w:r>
          </w:p>
        </w:tc>
        <w:tc>
          <w:tcPr>
            <w:tcW w:w="1134" w:type="dxa"/>
            <w:tcBorders>
              <w:top w:val="single" w:sz="4" w:space="0" w:color="A6A6A6"/>
              <w:bottom w:val="single" w:sz="4" w:space="0" w:color="A6A6A6"/>
            </w:tcBorders>
            <w:noWrap/>
            <w:hideMark/>
          </w:tcPr>
          <w:p w14:paraId="494074C5" w14:textId="77777777" w:rsidR="005F4A7E" w:rsidRPr="002029AF" w:rsidRDefault="005F4A7E" w:rsidP="00130D1C">
            <w:pPr>
              <w:pStyle w:val="ARfintablebodyright"/>
            </w:pPr>
            <w:r w:rsidRPr="0026318A">
              <w:t>0.4</w:t>
            </w:r>
          </w:p>
        </w:tc>
      </w:tr>
      <w:tr w:rsidR="005F4A7E" w:rsidRPr="002029AF" w14:paraId="7639E45D" w14:textId="77777777" w:rsidTr="003566F1">
        <w:tc>
          <w:tcPr>
            <w:tcW w:w="6518" w:type="dxa"/>
            <w:tcBorders>
              <w:top w:val="single" w:sz="4" w:space="0" w:color="A6A6A6"/>
              <w:bottom w:val="single" w:sz="4" w:space="0" w:color="A6A6A6"/>
            </w:tcBorders>
            <w:hideMark/>
          </w:tcPr>
          <w:p w14:paraId="6A7DAB92" w14:textId="77777777" w:rsidR="005F4A7E" w:rsidRPr="002029AF" w:rsidRDefault="005F4A7E" w:rsidP="00130D1C">
            <w:pPr>
              <w:pStyle w:val="ARfintablebody"/>
            </w:pPr>
            <w:r w:rsidRPr="0026318A">
              <w:t>Impairment of joint venture</w:t>
            </w:r>
          </w:p>
        </w:tc>
        <w:tc>
          <w:tcPr>
            <w:tcW w:w="851" w:type="dxa"/>
            <w:tcBorders>
              <w:top w:val="single" w:sz="4" w:space="0" w:color="A6A6A6"/>
              <w:bottom w:val="single" w:sz="4" w:space="0" w:color="A6A6A6"/>
            </w:tcBorders>
            <w:noWrap/>
            <w:hideMark/>
          </w:tcPr>
          <w:p w14:paraId="722BE590" w14:textId="77777777" w:rsidR="005F4A7E" w:rsidRPr="002029AF" w:rsidRDefault="005F4A7E" w:rsidP="00130D1C">
            <w:pPr>
              <w:pStyle w:val="ARfintablebodyright"/>
            </w:pPr>
            <w:r w:rsidRPr="0026318A">
              <w:t>9.2(c)</w:t>
            </w:r>
          </w:p>
        </w:tc>
        <w:tc>
          <w:tcPr>
            <w:tcW w:w="1134" w:type="dxa"/>
            <w:tcBorders>
              <w:top w:val="single" w:sz="4" w:space="0" w:color="A6A6A6"/>
              <w:bottom w:val="single" w:sz="4" w:space="0" w:color="A6A6A6"/>
            </w:tcBorders>
            <w:shd w:val="clear" w:color="auto" w:fill="E7E6E6"/>
            <w:noWrap/>
            <w:hideMark/>
          </w:tcPr>
          <w:p w14:paraId="1912CA3D" w14:textId="77777777" w:rsidR="005F4A7E" w:rsidRPr="002029AF" w:rsidRDefault="005F4A7E" w:rsidP="00130D1C">
            <w:pPr>
              <w:pStyle w:val="ARfintablebodyright"/>
            </w:pPr>
            <w:r w:rsidRPr="0026318A">
              <w:t>-</w:t>
            </w:r>
          </w:p>
        </w:tc>
        <w:tc>
          <w:tcPr>
            <w:tcW w:w="1134" w:type="dxa"/>
            <w:tcBorders>
              <w:top w:val="single" w:sz="4" w:space="0" w:color="A6A6A6"/>
              <w:bottom w:val="single" w:sz="4" w:space="0" w:color="A6A6A6"/>
            </w:tcBorders>
            <w:noWrap/>
            <w:hideMark/>
          </w:tcPr>
          <w:p w14:paraId="00E542A2" w14:textId="77777777" w:rsidR="005F4A7E" w:rsidRPr="002029AF" w:rsidRDefault="005F4A7E" w:rsidP="00130D1C">
            <w:pPr>
              <w:pStyle w:val="ARfintablebodyright"/>
            </w:pPr>
            <w:r w:rsidRPr="0026318A">
              <w:t>(35.0)</w:t>
            </w:r>
          </w:p>
        </w:tc>
      </w:tr>
      <w:tr w:rsidR="005F4A7E" w:rsidRPr="002029AF" w14:paraId="07A7BB22" w14:textId="77777777" w:rsidTr="003566F1">
        <w:tc>
          <w:tcPr>
            <w:tcW w:w="6518" w:type="dxa"/>
            <w:tcBorders>
              <w:top w:val="single" w:sz="4" w:space="0" w:color="A6A6A6"/>
            </w:tcBorders>
            <w:hideMark/>
          </w:tcPr>
          <w:p w14:paraId="25FAC7BD" w14:textId="77777777" w:rsidR="005F4A7E" w:rsidRPr="002029AF" w:rsidRDefault="005F4A7E" w:rsidP="00130D1C">
            <w:pPr>
              <w:pStyle w:val="ARfintablebody"/>
            </w:pPr>
            <w:r w:rsidRPr="0026318A">
              <w:t>Other gains/(losses) from other economic flows</w:t>
            </w:r>
          </w:p>
        </w:tc>
        <w:tc>
          <w:tcPr>
            <w:tcW w:w="851" w:type="dxa"/>
            <w:tcBorders>
              <w:top w:val="single" w:sz="4" w:space="0" w:color="A6A6A6"/>
            </w:tcBorders>
            <w:noWrap/>
            <w:hideMark/>
          </w:tcPr>
          <w:p w14:paraId="20CD57BB" w14:textId="77777777" w:rsidR="005F4A7E" w:rsidRPr="002029AF" w:rsidRDefault="005F4A7E" w:rsidP="00130D1C">
            <w:pPr>
              <w:pStyle w:val="ARfintablebodyright"/>
            </w:pPr>
            <w:r w:rsidRPr="0026318A">
              <w:t>9.2(d)</w:t>
            </w:r>
          </w:p>
        </w:tc>
        <w:tc>
          <w:tcPr>
            <w:tcW w:w="1134" w:type="dxa"/>
            <w:tcBorders>
              <w:top w:val="single" w:sz="4" w:space="0" w:color="A6A6A6"/>
            </w:tcBorders>
            <w:shd w:val="clear" w:color="auto" w:fill="E7E6E6"/>
            <w:noWrap/>
            <w:hideMark/>
          </w:tcPr>
          <w:p w14:paraId="00AB7203" w14:textId="77777777" w:rsidR="005F4A7E" w:rsidRPr="002029AF" w:rsidRDefault="005F4A7E" w:rsidP="00130D1C">
            <w:pPr>
              <w:pStyle w:val="ARfintablebodyright"/>
            </w:pPr>
            <w:r w:rsidRPr="0026318A">
              <w:t>(12.3)</w:t>
            </w:r>
          </w:p>
        </w:tc>
        <w:tc>
          <w:tcPr>
            <w:tcW w:w="1134" w:type="dxa"/>
            <w:tcBorders>
              <w:top w:val="single" w:sz="4" w:space="0" w:color="A6A6A6"/>
            </w:tcBorders>
            <w:noWrap/>
            <w:hideMark/>
          </w:tcPr>
          <w:p w14:paraId="4C417EBB" w14:textId="77777777" w:rsidR="005F4A7E" w:rsidRPr="002029AF" w:rsidRDefault="005F4A7E" w:rsidP="00130D1C">
            <w:pPr>
              <w:pStyle w:val="ARfintablebodyright"/>
            </w:pPr>
            <w:r w:rsidRPr="0026318A">
              <w:t>(23.6)</w:t>
            </w:r>
          </w:p>
        </w:tc>
      </w:tr>
      <w:tr w:rsidR="005F4A7E" w:rsidRPr="002029AF" w14:paraId="13E0C8EC" w14:textId="77777777" w:rsidTr="003566F1">
        <w:tc>
          <w:tcPr>
            <w:tcW w:w="6518" w:type="dxa"/>
            <w:hideMark/>
          </w:tcPr>
          <w:p w14:paraId="48C2B535" w14:textId="77777777" w:rsidR="005F4A7E" w:rsidRPr="002029AF" w:rsidRDefault="005F4A7E" w:rsidP="00130D1C">
            <w:pPr>
              <w:pStyle w:val="ARfintablebodybold"/>
            </w:pPr>
            <w:r w:rsidRPr="0026318A">
              <w:t>Total other economic flows included in net result</w:t>
            </w:r>
          </w:p>
        </w:tc>
        <w:tc>
          <w:tcPr>
            <w:tcW w:w="851" w:type="dxa"/>
            <w:hideMark/>
          </w:tcPr>
          <w:p w14:paraId="70AE9262" w14:textId="77777777" w:rsidR="005F4A7E" w:rsidRPr="002029AF" w:rsidRDefault="005F4A7E" w:rsidP="00130D1C">
            <w:pPr>
              <w:pStyle w:val="ARfintablebodyrightbold"/>
            </w:pPr>
          </w:p>
        </w:tc>
        <w:tc>
          <w:tcPr>
            <w:tcW w:w="1134" w:type="dxa"/>
            <w:shd w:val="clear" w:color="auto" w:fill="E7E6E6"/>
            <w:noWrap/>
            <w:hideMark/>
          </w:tcPr>
          <w:p w14:paraId="7432BB86" w14:textId="77777777" w:rsidR="005F4A7E" w:rsidRPr="002029AF" w:rsidRDefault="005F4A7E" w:rsidP="00130D1C">
            <w:pPr>
              <w:pStyle w:val="ARfintablebodyrightbold"/>
            </w:pPr>
            <w:r w:rsidRPr="0026318A">
              <w:t>(13.6)</w:t>
            </w:r>
          </w:p>
        </w:tc>
        <w:tc>
          <w:tcPr>
            <w:tcW w:w="1134" w:type="dxa"/>
            <w:noWrap/>
            <w:hideMark/>
          </w:tcPr>
          <w:p w14:paraId="595102AF" w14:textId="77777777" w:rsidR="005F4A7E" w:rsidRPr="002029AF" w:rsidRDefault="005F4A7E" w:rsidP="00130D1C">
            <w:pPr>
              <w:pStyle w:val="ARfintablebodyrightbold"/>
            </w:pPr>
            <w:r w:rsidRPr="0026318A">
              <w:t>(62.7)</w:t>
            </w:r>
          </w:p>
        </w:tc>
      </w:tr>
      <w:tr w:rsidR="005F4A7E" w:rsidRPr="002029AF" w14:paraId="6B6849C0" w14:textId="77777777" w:rsidTr="003566F1">
        <w:tc>
          <w:tcPr>
            <w:tcW w:w="6518" w:type="dxa"/>
            <w:tcBorders>
              <w:bottom w:val="single" w:sz="4" w:space="0" w:color="auto"/>
            </w:tcBorders>
            <w:hideMark/>
          </w:tcPr>
          <w:p w14:paraId="3188B4F1" w14:textId="77777777" w:rsidR="005F4A7E" w:rsidRPr="002029AF" w:rsidRDefault="005F4A7E" w:rsidP="00130D1C">
            <w:pPr>
              <w:pStyle w:val="ARfintablebodybold"/>
            </w:pPr>
            <w:r w:rsidRPr="0026318A">
              <w:t>Net result</w:t>
            </w:r>
          </w:p>
        </w:tc>
        <w:tc>
          <w:tcPr>
            <w:tcW w:w="851" w:type="dxa"/>
            <w:tcBorders>
              <w:bottom w:val="single" w:sz="4" w:space="0" w:color="auto"/>
            </w:tcBorders>
            <w:hideMark/>
          </w:tcPr>
          <w:p w14:paraId="649245A9" w14:textId="77777777" w:rsidR="005F4A7E" w:rsidRPr="002029AF" w:rsidRDefault="005F4A7E" w:rsidP="00130D1C">
            <w:pPr>
              <w:pStyle w:val="ARfintablebodyrightbold"/>
            </w:pPr>
          </w:p>
        </w:tc>
        <w:tc>
          <w:tcPr>
            <w:tcW w:w="1134" w:type="dxa"/>
            <w:tcBorders>
              <w:bottom w:val="single" w:sz="4" w:space="0" w:color="auto"/>
            </w:tcBorders>
            <w:shd w:val="clear" w:color="auto" w:fill="E7E6E6"/>
            <w:noWrap/>
            <w:hideMark/>
          </w:tcPr>
          <w:p w14:paraId="5A874281" w14:textId="77777777" w:rsidR="005F4A7E" w:rsidRPr="002029AF" w:rsidRDefault="005F4A7E" w:rsidP="00130D1C">
            <w:pPr>
              <w:pStyle w:val="ARfintablebodyrightbold"/>
            </w:pPr>
            <w:r w:rsidRPr="0026318A">
              <w:t>513.9</w:t>
            </w:r>
          </w:p>
        </w:tc>
        <w:tc>
          <w:tcPr>
            <w:tcW w:w="1134" w:type="dxa"/>
            <w:tcBorders>
              <w:bottom w:val="single" w:sz="4" w:space="0" w:color="auto"/>
            </w:tcBorders>
            <w:noWrap/>
            <w:hideMark/>
          </w:tcPr>
          <w:p w14:paraId="120F2E1A" w14:textId="77777777" w:rsidR="005F4A7E" w:rsidRPr="002029AF" w:rsidRDefault="005F4A7E" w:rsidP="00130D1C">
            <w:pPr>
              <w:pStyle w:val="ARfintablebodyrightbold"/>
            </w:pPr>
            <w:r w:rsidRPr="0026318A">
              <w:t>545.4</w:t>
            </w:r>
          </w:p>
        </w:tc>
      </w:tr>
      <w:tr w:rsidR="005F4A7E" w:rsidRPr="002029AF" w14:paraId="721835CA" w14:textId="77777777" w:rsidTr="003566F1">
        <w:tc>
          <w:tcPr>
            <w:tcW w:w="9637" w:type="dxa"/>
            <w:gridSpan w:val="4"/>
            <w:tcBorders>
              <w:top w:val="single" w:sz="4" w:space="0" w:color="auto"/>
              <w:bottom w:val="single" w:sz="4" w:space="0" w:color="A6A6A6"/>
            </w:tcBorders>
            <w:hideMark/>
          </w:tcPr>
          <w:p w14:paraId="1AE22E55" w14:textId="77777777" w:rsidR="005F4A7E" w:rsidRPr="002029AF" w:rsidRDefault="005F4A7E" w:rsidP="00130D1C">
            <w:pPr>
              <w:pStyle w:val="ARfintablebodybold"/>
            </w:pPr>
            <w:r w:rsidRPr="0026318A">
              <w:t>Other economic flows – other comprehensive income:</w:t>
            </w:r>
            <w:r>
              <w:br/>
            </w:r>
            <w:r w:rsidRPr="0026318A">
              <w:t>Items that will not be reclassified to net result</w:t>
            </w:r>
          </w:p>
        </w:tc>
      </w:tr>
      <w:tr w:rsidR="005F4A7E" w:rsidRPr="002029AF" w14:paraId="2906220E" w14:textId="77777777" w:rsidTr="003566F1">
        <w:tc>
          <w:tcPr>
            <w:tcW w:w="6518" w:type="dxa"/>
            <w:tcBorders>
              <w:top w:val="single" w:sz="4" w:space="0" w:color="A6A6A6"/>
              <w:bottom w:val="single" w:sz="4" w:space="0" w:color="A6A6A6"/>
            </w:tcBorders>
            <w:hideMark/>
          </w:tcPr>
          <w:p w14:paraId="25D46817" w14:textId="77777777" w:rsidR="005F4A7E" w:rsidRPr="002029AF" w:rsidRDefault="005F4A7E" w:rsidP="00130D1C">
            <w:pPr>
              <w:pStyle w:val="ARfintablebody"/>
            </w:pPr>
            <w:r w:rsidRPr="0026318A">
              <w:t>Changes in physical asset revaluation surplus</w:t>
            </w:r>
          </w:p>
        </w:tc>
        <w:tc>
          <w:tcPr>
            <w:tcW w:w="851" w:type="dxa"/>
            <w:tcBorders>
              <w:top w:val="single" w:sz="4" w:space="0" w:color="A6A6A6"/>
              <w:bottom w:val="single" w:sz="4" w:space="0" w:color="A6A6A6"/>
            </w:tcBorders>
            <w:noWrap/>
            <w:hideMark/>
          </w:tcPr>
          <w:p w14:paraId="60AA0ECC" w14:textId="77777777" w:rsidR="005F4A7E" w:rsidRPr="002029AF" w:rsidRDefault="005F4A7E" w:rsidP="00130D1C">
            <w:pPr>
              <w:pStyle w:val="ARfintablebodyright"/>
            </w:pPr>
            <w:r w:rsidRPr="0026318A">
              <w:t>9.4</w:t>
            </w:r>
          </w:p>
        </w:tc>
        <w:tc>
          <w:tcPr>
            <w:tcW w:w="1134" w:type="dxa"/>
            <w:tcBorders>
              <w:top w:val="single" w:sz="4" w:space="0" w:color="A6A6A6"/>
              <w:bottom w:val="single" w:sz="4" w:space="0" w:color="A6A6A6"/>
            </w:tcBorders>
            <w:shd w:val="clear" w:color="auto" w:fill="E7E6E6"/>
            <w:noWrap/>
            <w:hideMark/>
          </w:tcPr>
          <w:p w14:paraId="77069D25" w14:textId="77777777" w:rsidR="005F4A7E" w:rsidRPr="002029AF" w:rsidRDefault="005F4A7E" w:rsidP="00130D1C">
            <w:pPr>
              <w:pStyle w:val="ARfintablebodyright"/>
            </w:pPr>
            <w:r w:rsidRPr="0026318A">
              <w:t>4,439.1</w:t>
            </w:r>
          </w:p>
        </w:tc>
        <w:tc>
          <w:tcPr>
            <w:tcW w:w="1134" w:type="dxa"/>
            <w:tcBorders>
              <w:top w:val="single" w:sz="4" w:space="0" w:color="A6A6A6"/>
              <w:bottom w:val="single" w:sz="4" w:space="0" w:color="A6A6A6"/>
            </w:tcBorders>
            <w:noWrap/>
            <w:hideMark/>
          </w:tcPr>
          <w:p w14:paraId="53C78A01" w14:textId="77777777" w:rsidR="005F4A7E" w:rsidRPr="002029AF" w:rsidRDefault="005F4A7E" w:rsidP="00130D1C">
            <w:pPr>
              <w:pStyle w:val="ARfintablebodyright"/>
            </w:pPr>
            <w:r w:rsidRPr="0026318A">
              <w:t>(19.2)</w:t>
            </w:r>
          </w:p>
        </w:tc>
      </w:tr>
      <w:tr w:rsidR="005F4A7E" w:rsidRPr="002029AF" w14:paraId="29F9B33A" w14:textId="77777777" w:rsidTr="003566F1">
        <w:tc>
          <w:tcPr>
            <w:tcW w:w="6518" w:type="dxa"/>
            <w:tcBorders>
              <w:top w:val="single" w:sz="4" w:space="0" w:color="A6A6A6"/>
            </w:tcBorders>
            <w:hideMark/>
          </w:tcPr>
          <w:p w14:paraId="6B5536D2" w14:textId="77777777" w:rsidR="005F4A7E" w:rsidRPr="002029AF" w:rsidRDefault="005F4A7E" w:rsidP="00130D1C">
            <w:pPr>
              <w:pStyle w:val="ARfintablebody"/>
            </w:pPr>
            <w:r w:rsidRPr="0026318A">
              <w:t>Remeasurement of superannuation defined benefit plans</w:t>
            </w:r>
          </w:p>
        </w:tc>
        <w:tc>
          <w:tcPr>
            <w:tcW w:w="851" w:type="dxa"/>
            <w:tcBorders>
              <w:top w:val="single" w:sz="4" w:space="0" w:color="A6A6A6"/>
            </w:tcBorders>
            <w:noWrap/>
            <w:hideMark/>
          </w:tcPr>
          <w:p w14:paraId="3F24F7EC" w14:textId="77777777" w:rsidR="005F4A7E" w:rsidRPr="002029AF" w:rsidRDefault="005F4A7E" w:rsidP="00130D1C">
            <w:pPr>
              <w:pStyle w:val="ARfintablebodyright"/>
            </w:pPr>
            <w:r w:rsidRPr="0026318A">
              <w:t>3.1.1(b)</w:t>
            </w:r>
          </w:p>
        </w:tc>
        <w:tc>
          <w:tcPr>
            <w:tcW w:w="1134" w:type="dxa"/>
            <w:tcBorders>
              <w:top w:val="single" w:sz="4" w:space="0" w:color="A6A6A6"/>
            </w:tcBorders>
            <w:shd w:val="clear" w:color="auto" w:fill="E7E6E6"/>
            <w:noWrap/>
            <w:hideMark/>
          </w:tcPr>
          <w:p w14:paraId="0847E64A" w14:textId="77777777" w:rsidR="005F4A7E" w:rsidRPr="002029AF" w:rsidRDefault="005F4A7E" w:rsidP="00130D1C">
            <w:pPr>
              <w:pStyle w:val="ARfintablebodyright"/>
            </w:pPr>
            <w:r w:rsidRPr="0026318A">
              <w:t>(1.5)</w:t>
            </w:r>
          </w:p>
        </w:tc>
        <w:tc>
          <w:tcPr>
            <w:tcW w:w="1134" w:type="dxa"/>
            <w:tcBorders>
              <w:top w:val="single" w:sz="4" w:space="0" w:color="A6A6A6"/>
            </w:tcBorders>
            <w:noWrap/>
            <w:hideMark/>
          </w:tcPr>
          <w:p w14:paraId="495A5849" w14:textId="77777777" w:rsidR="005F4A7E" w:rsidRPr="002029AF" w:rsidRDefault="005F4A7E" w:rsidP="00130D1C">
            <w:pPr>
              <w:pStyle w:val="ARfintablebodyright"/>
            </w:pPr>
            <w:r w:rsidRPr="0026318A">
              <w:t>0.3</w:t>
            </w:r>
          </w:p>
        </w:tc>
      </w:tr>
      <w:tr w:rsidR="005F4A7E" w:rsidRPr="002029AF" w14:paraId="6870F2D6" w14:textId="77777777" w:rsidTr="003566F1">
        <w:tc>
          <w:tcPr>
            <w:tcW w:w="6518" w:type="dxa"/>
            <w:hideMark/>
          </w:tcPr>
          <w:p w14:paraId="6B5D6F37" w14:textId="77777777" w:rsidR="005F4A7E" w:rsidRPr="002029AF" w:rsidRDefault="005F4A7E" w:rsidP="00130D1C">
            <w:pPr>
              <w:pStyle w:val="ARfintablebodybold"/>
            </w:pPr>
            <w:r w:rsidRPr="0026318A">
              <w:t>Total other economic flows – other comprehensive income</w:t>
            </w:r>
          </w:p>
        </w:tc>
        <w:tc>
          <w:tcPr>
            <w:tcW w:w="851" w:type="dxa"/>
            <w:hideMark/>
          </w:tcPr>
          <w:p w14:paraId="7A808531" w14:textId="77777777" w:rsidR="005F4A7E" w:rsidRPr="002029AF" w:rsidRDefault="005F4A7E" w:rsidP="00130D1C">
            <w:pPr>
              <w:pStyle w:val="ARfintablebodyrightbold"/>
            </w:pPr>
          </w:p>
        </w:tc>
        <w:tc>
          <w:tcPr>
            <w:tcW w:w="1134" w:type="dxa"/>
            <w:shd w:val="clear" w:color="auto" w:fill="E7E6E6"/>
            <w:noWrap/>
            <w:hideMark/>
          </w:tcPr>
          <w:p w14:paraId="2F829E84" w14:textId="77777777" w:rsidR="005F4A7E" w:rsidRPr="002029AF" w:rsidRDefault="005F4A7E" w:rsidP="00130D1C">
            <w:pPr>
              <w:pStyle w:val="ARfintablebodyrightbold"/>
            </w:pPr>
            <w:r w:rsidRPr="0026318A">
              <w:t>4,437.6</w:t>
            </w:r>
          </w:p>
        </w:tc>
        <w:tc>
          <w:tcPr>
            <w:tcW w:w="1134" w:type="dxa"/>
            <w:noWrap/>
            <w:hideMark/>
          </w:tcPr>
          <w:p w14:paraId="4107EF37" w14:textId="77777777" w:rsidR="005F4A7E" w:rsidRPr="002029AF" w:rsidRDefault="005F4A7E" w:rsidP="00130D1C">
            <w:pPr>
              <w:pStyle w:val="ARfintablebodyrightbold"/>
            </w:pPr>
            <w:r w:rsidRPr="0026318A">
              <w:t>(18.9)</w:t>
            </w:r>
          </w:p>
        </w:tc>
      </w:tr>
      <w:tr w:rsidR="005F4A7E" w:rsidRPr="002029AF" w14:paraId="29D18869" w14:textId="77777777" w:rsidTr="003566F1">
        <w:tc>
          <w:tcPr>
            <w:tcW w:w="6518" w:type="dxa"/>
            <w:hideMark/>
          </w:tcPr>
          <w:p w14:paraId="5020DE1F" w14:textId="77777777" w:rsidR="005F4A7E" w:rsidRPr="002029AF" w:rsidRDefault="005F4A7E" w:rsidP="00130D1C">
            <w:pPr>
              <w:pStyle w:val="ARfintablebodybold"/>
            </w:pPr>
            <w:r w:rsidRPr="0026318A">
              <w:t>Comprehensive result</w:t>
            </w:r>
          </w:p>
        </w:tc>
        <w:tc>
          <w:tcPr>
            <w:tcW w:w="851" w:type="dxa"/>
            <w:hideMark/>
          </w:tcPr>
          <w:p w14:paraId="17F6380F" w14:textId="77777777" w:rsidR="005F4A7E" w:rsidRPr="002029AF" w:rsidRDefault="005F4A7E" w:rsidP="00130D1C">
            <w:pPr>
              <w:pStyle w:val="ARfintablebodyrightbold"/>
            </w:pPr>
          </w:p>
        </w:tc>
        <w:tc>
          <w:tcPr>
            <w:tcW w:w="1134" w:type="dxa"/>
            <w:shd w:val="clear" w:color="auto" w:fill="E7E6E6"/>
            <w:noWrap/>
            <w:hideMark/>
          </w:tcPr>
          <w:p w14:paraId="5BD16765" w14:textId="77777777" w:rsidR="005F4A7E" w:rsidRPr="002029AF" w:rsidRDefault="005F4A7E" w:rsidP="00130D1C">
            <w:pPr>
              <w:pStyle w:val="ARfintablebodyrightbold"/>
            </w:pPr>
            <w:r w:rsidRPr="0026318A">
              <w:t>4,951.5</w:t>
            </w:r>
          </w:p>
        </w:tc>
        <w:tc>
          <w:tcPr>
            <w:tcW w:w="1134" w:type="dxa"/>
            <w:noWrap/>
            <w:hideMark/>
          </w:tcPr>
          <w:p w14:paraId="0B7886A1" w14:textId="77777777" w:rsidR="005F4A7E" w:rsidRPr="002029AF" w:rsidRDefault="005F4A7E" w:rsidP="00130D1C">
            <w:pPr>
              <w:pStyle w:val="ARfintablebodyrightbold"/>
            </w:pPr>
            <w:r w:rsidRPr="0026318A">
              <w:t>526.5</w:t>
            </w:r>
          </w:p>
        </w:tc>
      </w:tr>
    </w:tbl>
    <w:p w14:paraId="666AE747" w14:textId="77777777" w:rsidR="005F4A7E" w:rsidRPr="00194D78" w:rsidRDefault="005F4A7E" w:rsidP="00130D1C">
      <w:pPr>
        <w:pStyle w:val="ARfintablefootnote"/>
        <w:spacing w:line="240" w:lineRule="auto"/>
        <w:rPr>
          <w:lang w:eastAsia="en-AU"/>
        </w:rPr>
      </w:pPr>
      <w:r w:rsidRPr="00194D78">
        <w:rPr>
          <w:lang w:eastAsia="en-AU"/>
        </w:rPr>
        <w:t>The comprehensive operating statement should be read in conjunction with the notes to the financial statements.</w:t>
      </w:r>
    </w:p>
    <w:p w14:paraId="2E378568" w14:textId="77777777" w:rsidR="005F4A7E" w:rsidRPr="00194D78" w:rsidRDefault="005F4A7E" w:rsidP="00130D1C">
      <w:pPr>
        <w:pStyle w:val="ARfintablefootnote"/>
        <w:rPr>
          <w:lang w:eastAsia="en-AU"/>
        </w:rPr>
      </w:pPr>
      <w:r w:rsidRPr="00194D78">
        <w:rPr>
          <w:lang w:eastAsia="en-AU"/>
        </w:rPr>
        <w:t>Notes:</w:t>
      </w:r>
    </w:p>
    <w:p w14:paraId="2305AEDD" w14:textId="28D68444" w:rsidR="005F4A7E" w:rsidRPr="00194D78" w:rsidRDefault="005F4A7E" w:rsidP="00130D1C">
      <w:pPr>
        <w:pStyle w:val="ARfintablefootnoteindent"/>
      </w:pPr>
      <w:r w:rsidRPr="00194D78">
        <w:t>(i)</w:t>
      </w:r>
      <w:r>
        <w:tab/>
      </w:r>
      <w:r w:rsidR="007D145B">
        <w:t>‘</w:t>
      </w:r>
      <w:r w:rsidRPr="00194D78">
        <w:t>Net gain/(loss) on non-financial assets</w:t>
      </w:r>
      <w:r w:rsidR="007D145B">
        <w:t>’</w:t>
      </w:r>
      <w:r w:rsidRPr="00194D78">
        <w:t xml:space="preserve"> includes unrealised and realised gains/(losses) from revaluations, impairments, and disposals of all physical assets and intangible assets, except when these are taken through the asset revaluation surplus.</w:t>
      </w:r>
    </w:p>
    <w:p w14:paraId="2C122416" w14:textId="7C0DB8D9" w:rsidR="005F4A7E" w:rsidRPr="00194D78" w:rsidRDefault="005F4A7E" w:rsidP="00130D1C">
      <w:pPr>
        <w:pStyle w:val="ARfintablefootnoteindent"/>
      </w:pPr>
      <w:r w:rsidRPr="00194D78">
        <w:t>(ii)</w:t>
      </w:r>
      <w:r>
        <w:tab/>
      </w:r>
      <w:r w:rsidR="007D145B">
        <w:t>‘</w:t>
      </w:r>
      <w:r w:rsidRPr="00194D78">
        <w:t>Net gain/(loss) on financial instruments</w:t>
      </w:r>
      <w:r w:rsidR="007D145B">
        <w:t>’</w:t>
      </w:r>
      <w:r w:rsidRPr="00194D78">
        <w:t xml:space="preserve"> includes bad and doubtful debts from other economic flows, unrealised and realised gains/(losses) from revaluations, impairments and reversals of impairment, and gains/(losses) from disposals of financial instruments.</w:t>
      </w:r>
    </w:p>
    <w:p w14:paraId="4EFF24A0" w14:textId="77777777" w:rsidR="005F4A7E" w:rsidRDefault="005F4A7E" w:rsidP="00130D1C">
      <w:r>
        <w:br w:type="page"/>
      </w:r>
    </w:p>
    <w:p w14:paraId="2D2CF6A7" w14:textId="50F2EA6F" w:rsidR="005F4A7E" w:rsidRPr="002029AF" w:rsidRDefault="005F4A7E" w:rsidP="00130D1C">
      <w:pPr>
        <w:pStyle w:val="Heading2Financials"/>
      </w:pPr>
      <w:bookmarkStart w:id="714" w:name="Balance_sheet"/>
      <w:bookmarkStart w:id="715" w:name="_Toc85121350"/>
      <w:bookmarkStart w:id="716" w:name="_Toc86075626"/>
      <w:bookmarkEnd w:id="699"/>
      <w:bookmarkEnd w:id="700"/>
      <w:bookmarkEnd w:id="714"/>
      <w:r>
        <w:lastRenderedPageBreak/>
        <w:t>Balance sheet as at 30 June 2021</w:t>
      </w:r>
      <w:bookmarkEnd w:id="715"/>
      <w:bookmarkEnd w:id="716"/>
    </w:p>
    <w:tbl>
      <w:tblPr>
        <w:tblStyle w:val="TableGrid"/>
        <w:tblW w:w="9637" w:type="dxa"/>
        <w:tblLayout w:type="fixed"/>
        <w:tblLook w:val="06A0" w:firstRow="1" w:lastRow="0" w:firstColumn="1" w:lastColumn="0" w:noHBand="1" w:noVBand="1"/>
      </w:tblPr>
      <w:tblGrid>
        <w:gridCol w:w="6518"/>
        <w:gridCol w:w="851"/>
        <w:gridCol w:w="1134"/>
        <w:gridCol w:w="1134"/>
      </w:tblGrid>
      <w:tr w:rsidR="005F4A7E" w:rsidRPr="002029AF" w14:paraId="6CB4D2AB"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6518" w:type="dxa"/>
            <w:tcBorders>
              <w:bottom w:val="single" w:sz="4" w:space="0" w:color="auto"/>
            </w:tcBorders>
            <w:noWrap/>
            <w:hideMark/>
          </w:tcPr>
          <w:p w14:paraId="30FF270E" w14:textId="77777777" w:rsidR="005F4A7E" w:rsidRPr="002029AF" w:rsidRDefault="005F4A7E" w:rsidP="003566F1">
            <w:pPr>
              <w:pStyle w:val="ARfintablecolhead"/>
            </w:pPr>
          </w:p>
        </w:tc>
        <w:tc>
          <w:tcPr>
            <w:tcW w:w="851" w:type="dxa"/>
            <w:tcBorders>
              <w:bottom w:val="single" w:sz="4" w:space="0" w:color="auto"/>
            </w:tcBorders>
            <w:noWrap/>
            <w:hideMark/>
          </w:tcPr>
          <w:p w14:paraId="478A1B61" w14:textId="77777777" w:rsidR="005F4A7E" w:rsidRPr="002029AF" w:rsidRDefault="005F4A7E" w:rsidP="003566F1">
            <w:pPr>
              <w:pStyle w:val="ARfintablecolheadright"/>
            </w:pPr>
            <w:r w:rsidRPr="002029AF">
              <w:t>Note</w:t>
            </w:r>
          </w:p>
        </w:tc>
        <w:tc>
          <w:tcPr>
            <w:tcW w:w="1134" w:type="dxa"/>
            <w:tcBorders>
              <w:bottom w:val="single" w:sz="4" w:space="0" w:color="auto"/>
            </w:tcBorders>
            <w:shd w:val="clear" w:color="auto" w:fill="E7E6E6"/>
            <w:hideMark/>
          </w:tcPr>
          <w:p w14:paraId="1849232B" w14:textId="77777777" w:rsidR="005F4A7E" w:rsidRPr="002029AF" w:rsidRDefault="005F4A7E" w:rsidP="003566F1">
            <w:pPr>
              <w:pStyle w:val="ARfintablecolheadright"/>
            </w:pPr>
            <w:r>
              <w:t>2021</w:t>
            </w:r>
          </w:p>
          <w:p w14:paraId="48D6F4AC" w14:textId="77777777" w:rsidR="005F4A7E" w:rsidRPr="002029AF" w:rsidRDefault="005F4A7E" w:rsidP="003566F1">
            <w:pPr>
              <w:pStyle w:val="ARfintablecolheadright"/>
            </w:pPr>
            <w:r w:rsidRPr="002029AF">
              <w:t>$M</w:t>
            </w:r>
          </w:p>
        </w:tc>
        <w:tc>
          <w:tcPr>
            <w:tcW w:w="1134" w:type="dxa"/>
            <w:tcBorders>
              <w:bottom w:val="single" w:sz="4" w:space="0" w:color="auto"/>
            </w:tcBorders>
            <w:hideMark/>
          </w:tcPr>
          <w:p w14:paraId="79755255" w14:textId="77777777" w:rsidR="005F4A7E" w:rsidRPr="002029AF" w:rsidRDefault="005F4A7E" w:rsidP="003566F1">
            <w:pPr>
              <w:pStyle w:val="ARfintablecolheadright"/>
            </w:pPr>
            <w:r>
              <w:t>2020</w:t>
            </w:r>
          </w:p>
          <w:p w14:paraId="24E47DA4" w14:textId="77777777" w:rsidR="005F4A7E" w:rsidRPr="002029AF" w:rsidRDefault="005F4A7E" w:rsidP="003566F1">
            <w:pPr>
              <w:pStyle w:val="ARfintablecolheadright"/>
            </w:pPr>
            <w:r w:rsidRPr="002029AF">
              <w:t>$M</w:t>
            </w:r>
          </w:p>
        </w:tc>
      </w:tr>
      <w:tr w:rsidR="005F4A7E" w:rsidRPr="002029AF" w14:paraId="3932375A" w14:textId="77777777" w:rsidTr="003566F1">
        <w:tc>
          <w:tcPr>
            <w:tcW w:w="9637" w:type="dxa"/>
            <w:gridSpan w:val="4"/>
            <w:tcBorders>
              <w:top w:val="single" w:sz="4" w:space="0" w:color="auto"/>
              <w:bottom w:val="single" w:sz="4" w:space="0" w:color="A6A6A6"/>
            </w:tcBorders>
            <w:hideMark/>
          </w:tcPr>
          <w:p w14:paraId="7002DF02" w14:textId="77777777" w:rsidR="005F4A7E" w:rsidRPr="002029AF" w:rsidRDefault="005F4A7E" w:rsidP="00130D1C">
            <w:pPr>
              <w:pStyle w:val="ARfintablebodybold"/>
            </w:pPr>
            <w:r w:rsidRPr="00F00956">
              <w:t>Assets</w:t>
            </w:r>
          </w:p>
        </w:tc>
      </w:tr>
      <w:tr w:rsidR="005F4A7E" w:rsidRPr="002029AF" w14:paraId="61B53879" w14:textId="77777777" w:rsidTr="003566F1">
        <w:tc>
          <w:tcPr>
            <w:tcW w:w="9637" w:type="dxa"/>
            <w:gridSpan w:val="4"/>
            <w:tcBorders>
              <w:top w:val="single" w:sz="4" w:space="0" w:color="A6A6A6"/>
              <w:bottom w:val="single" w:sz="4" w:space="0" w:color="A6A6A6"/>
            </w:tcBorders>
            <w:hideMark/>
          </w:tcPr>
          <w:p w14:paraId="568259A0" w14:textId="77777777" w:rsidR="005F4A7E" w:rsidRPr="002029AF" w:rsidRDefault="005F4A7E" w:rsidP="00130D1C">
            <w:pPr>
              <w:pStyle w:val="ARfintablebodybold"/>
            </w:pPr>
            <w:r w:rsidRPr="00F00956">
              <w:t>Financial assets</w:t>
            </w:r>
          </w:p>
        </w:tc>
      </w:tr>
      <w:tr w:rsidR="005F4A7E" w:rsidRPr="002029AF" w14:paraId="77E24679" w14:textId="77777777" w:rsidTr="003566F1">
        <w:tc>
          <w:tcPr>
            <w:tcW w:w="6518" w:type="dxa"/>
            <w:tcBorders>
              <w:top w:val="single" w:sz="4" w:space="0" w:color="A6A6A6"/>
              <w:bottom w:val="single" w:sz="4" w:space="0" w:color="A6A6A6"/>
            </w:tcBorders>
            <w:hideMark/>
          </w:tcPr>
          <w:p w14:paraId="004462A3" w14:textId="77777777" w:rsidR="005F4A7E" w:rsidRPr="002029AF" w:rsidRDefault="005F4A7E" w:rsidP="00130D1C">
            <w:pPr>
              <w:pStyle w:val="ARfintablebody"/>
            </w:pPr>
            <w:r w:rsidRPr="00F00956">
              <w:t>Cash and deposits</w:t>
            </w:r>
          </w:p>
        </w:tc>
        <w:tc>
          <w:tcPr>
            <w:tcW w:w="851" w:type="dxa"/>
            <w:tcBorders>
              <w:top w:val="single" w:sz="4" w:space="0" w:color="A6A6A6"/>
              <w:bottom w:val="single" w:sz="4" w:space="0" w:color="A6A6A6"/>
            </w:tcBorders>
            <w:noWrap/>
            <w:hideMark/>
          </w:tcPr>
          <w:p w14:paraId="5A88B12C" w14:textId="77777777" w:rsidR="005F4A7E" w:rsidRPr="002029AF" w:rsidRDefault="005F4A7E" w:rsidP="00130D1C">
            <w:pPr>
              <w:pStyle w:val="ARfintablebodyright"/>
            </w:pPr>
            <w:r w:rsidRPr="00F00956">
              <w:t>7.3</w:t>
            </w:r>
          </w:p>
        </w:tc>
        <w:tc>
          <w:tcPr>
            <w:tcW w:w="1134" w:type="dxa"/>
            <w:tcBorders>
              <w:top w:val="single" w:sz="4" w:space="0" w:color="A6A6A6"/>
              <w:bottom w:val="single" w:sz="4" w:space="0" w:color="A6A6A6"/>
            </w:tcBorders>
            <w:shd w:val="clear" w:color="auto" w:fill="E7E6E6"/>
            <w:noWrap/>
            <w:hideMark/>
          </w:tcPr>
          <w:p w14:paraId="4901DA66" w14:textId="77777777" w:rsidR="005F4A7E" w:rsidRPr="002029AF" w:rsidRDefault="005F4A7E" w:rsidP="00130D1C">
            <w:pPr>
              <w:pStyle w:val="ARfintablebodyright"/>
            </w:pPr>
            <w:r w:rsidRPr="00F00956">
              <w:t>913.9</w:t>
            </w:r>
          </w:p>
        </w:tc>
        <w:tc>
          <w:tcPr>
            <w:tcW w:w="1134" w:type="dxa"/>
            <w:tcBorders>
              <w:top w:val="single" w:sz="4" w:space="0" w:color="A6A6A6"/>
              <w:bottom w:val="single" w:sz="4" w:space="0" w:color="A6A6A6"/>
            </w:tcBorders>
            <w:noWrap/>
            <w:hideMark/>
          </w:tcPr>
          <w:p w14:paraId="6724551E" w14:textId="77777777" w:rsidR="005F4A7E" w:rsidRPr="002029AF" w:rsidRDefault="005F4A7E" w:rsidP="00130D1C">
            <w:pPr>
              <w:pStyle w:val="ARfintablebodyright"/>
            </w:pPr>
            <w:r w:rsidRPr="00F00956">
              <w:t>597.7</w:t>
            </w:r>
          </w:p>
        </w:tc>
      </w:tr>
      <w:tr w:rsidR="005F4A7E" w:rsidRPr="002029AF" w14:paraId="4B9662D0" w14:textId="77777777" w:rsidTr="003566F1">
        <w:tc>
          <w:tcPr>
            <w:tcW w:w="6518" w:type="dxa"/>
            <w:tcBorders>
              <w:top w:val="single" w:sz="4" w:space="0" w:color="A6A6A6"/>
              <w:bottom w:val="single" w:sz="4" w:space="0" w:color="A6A6A6"/>
            </w:tcBorders>
            <w:hideMark/>
          </w:tcPr>
          <w:p w14:paraId="3EB68359" w14:textId="77777777" w:rsidR="005F4A7E" w:rsidRPr="002029AF" w:rsidRDefault="005F4A7E" w:rsidP="00130D1C">
            <w:pPr>
              <w:pStyle w:val="ARfintablebody"/>
            </w:pPr>
            <w:r w:rsidRPr="00F00956">
              <w:t>Receivables</w:t>
            </w:r>
          </w:p>
        </w:tc>
        <w:tc>
          <w:tcPr>
            <w:tcW w:w="851" w:type="dxa"/>
            <w:tcBorders>
              <w:top w:val="single" w:sz="4" w:space="0" w:color="A6A6A6"/>
              <w:bottom w:val="single" w:sz="4" w:space="0" w:color="A6A6A6"/>
            </w:tcBorders>
            <w:noWrap/>
            <w:hideMark/>
          </w:tcPr>
          <w:p w14:paraId="7AD9BCAE" w14:textId="77777777" w:rsidR="005F4A7E" w:rsidRPr="002029AF" w:rsidRDefault="005F4A7E" w:rsidP="00130D1C">
            <w:pPr>
              <w:pStyle w:val="ARfintablebodyright"/>
            </w:pPr>
            <w:r w:rsidRPr="00F00956">
              <w:t>6.1</w:t>
            </w:r>
          </w:p>
        </w:tc>
        <w:tc>
          <w:tcPr>
            <w:tcW w:w="1134" w:type="dxa"/>
            <w:tcBorders>
              <w:top w:val="single" w:sz="4" w:space="0" w:color="A6A6A6"/>
              <w:bottom w:val="single" w:sz="4" w:space="0" w:color="A6A6A6"/>
            </w:tcBorders>
            <w:shd w:val="clear" w:color="auto" w:fill="E7E6E6"/>
            <w:noWrap/>
            <w:hideMark/>
          </w:tcPr>
          <w:p w14:paraId="0E2846C4" w14:textId="77777777" w:rsidR="005F4A7E" w:rsidRPr="002029AF" w:rsidRDefault="005F4A7E" w:rsidP="00130D1C">
            <w:pPr>
              <w:pStyle w:val="ARfintablebodyright"/>
            </w:pPr>
            <w:r w:rsidRPr="00F00956">
              <w:t>4,654.2</w:t>
            </w:r>
          </w:p>
        </w:tc>
        <w:tc>
          <w:tcPr>
            <w:tcW w:w="1134" w:type="dxa"/>
            <w:tcBorders>
              <w:top w:val="single" w:sz="4" w:space="0" w:color="A6A6A6"/>
              <w:bottom w:val="single" w:sz="4" w:space="0" w:color="A6A6A6"/>
            </w:tcBorders>
            <w:noWrap/>
            <w:hideMark/>
          </w:tcPr>
          <w:p w14:paraId="3A2F81E1" w14:textId="77777777" w:rsidR="005F4A7E" w:rsidRPr="002029AF" w:rsidRDefault="005F4A7E" w:rsidP="00130D1C">
            <w:pPr>
              <w:pStyle w:val="ARfintablebodyright"/>
            </w:pPr>
            <w:r w:rsidRPr="00F00956">
              <w:t>4,244.6</w:t>
            </w:r>
          </w:p>
        </w:tc>
      </w:tr>
      <w:tr w:rsidR="005F4A7E" w:rsidRPr="002029AF" w14:paraId="26B612B7" w14:textId="77777777" w:rsidTr="003566F1">
        <w:tc>
          <w:tcPr>
            <w:tcW w:w="6518" w:type="dxa"/>
            <w:tcBorders>
              <w:top w:val="single" w:sz="4" w:space="0" w:color="A6A6A6"/>
            </w:tcBorders>
            <w:hideMark/>
          </w:tcPr>
          <w:p w14:paraId="6359A9BD" w14:textId="77777777" w:rsidR="005F4A7E" w:rsidRPr="002029AF" w:rsidRDefault="005F4A7E" w:rsidP="00130D1C">
            <w:pPr>
              <w:pStyle w:val="ARfintablebody"/>
            </w:pPr>
            <w:r w:rsidRPr="00F00956">
              <w:t>Loans</w:t>
            </w:r>
          </w:p>
        </w:tc>
        <w:tc>
          <w:tcPr>
            <w:tcW w:w="851" w:type="dxa"/>
            <w:tcBorders>
              <w:top w:val="single" w:sz="4" w:space="0" w:color="A6A6A6"/>
            </w:tcBorders>
            <w:noWrap/>
            <w:hideMark/>
          </w:tcPr>
          <w:p w14:paraId="01D1B23F" w14:textId="77777777" w:rsidR="005F4A7E" w:rsidRPr="002029AF" w:rsidRDefault="005F4A7E" w:rsidP="00130D1C">
            <w:pPr>
              <w:pStyle w:val="ARfintablebodyright"/>
            </w:pPr>
            <w:r w:rsidRPr="00F00956">
              <w:t>6.2</w:t>
            </w:r>
          </w:p>
        </w:tc>
        <w:tc>
          <w:tcPr>
            <w:tcW w:w="1134" w:type="dxa"/>
            <w:tcBorders>
              <w:top w:val="single" w:sz="4" w:space="0" w:color="A6A6A6"/>
            </w:tcBorders>
            <w:shd w:val="clear" w:color="auto" w:fill="E7E6E6"/>
            <w:noWrap/>
            <w:hideMark/>
          </w:tcPr>
          <w:p w14:paraId="64AFD4A8" w14:textId="77777777" w:rsidR="005F4A7E" w:rsidRPr="002029AF" w:rsidRDefault="005F4A7E" w:rsidP="00130D1C">
            <w:pPr>
              <w:pStyle w:val="ARfintablebodyright"/>
            </w:pPr>
            <w:r w:rsidRPr="00F00956">
              <w:t>118.8</w:t>
            </w:r>
          </w:p>
        </w:tc>
        <w:tc>
          <w:tcPr>
            <w:tcW w:w="1134" w:type="dxa"/>
            <w:tcBorders>
              <w:top w:val="single" w:sz="4" w:space="0" w:color="A6A6A6"/>
            </w:tcBorders>
            <w:noWrap/>
            <w:hideMark/>
          </w:tcPr>
          <w:p w14:paraId="487E0C99" w14:textId="77777777" w:rsidR="005F4A7E" w:rsidRPr="002029AF" w:rsidRDefault="005F4A7E" w:rsidP="00130D1C">
            <w:pPr>
              <w:pStyle w:val="ARfintablebodyright"/>
            </w:pPr>
            <w:r w:rsidRPr="00F00956">
              <w:t>389.5</w:t>
            </w:r>
          </w:p>
        </w:tc>
      </w:tr>
      <w:tr w:rsidR="005F4A7E" w:rsidRPr="002029AF" w14:paraId="6451C7DA" w14:textId="77777777" w:rsidTr="003566F1">
        <w:tc>
          <w:tcPr>
            <w:tcW w:w="6518" w:type="dxa"/>
            <w:tcBorders>
              <w:bottom w:val="single" w:sz="4" w:space="0" w:color="auto"/>
            </w:tcBorders>
            <w:hideMark/>
          </w:tcPr>
          <w:p w14:paraId="31F8B4BF" w14:textId="77777777" w:rsidR="005F4A7E" w:rsidRPr="002029AF" w:rsidRDefault="005F4A7E" w:rsidP="00130D1C">
            <w:pPr>
              <w:pStyle w:val="ARfintablebodybold"/>
            </w:pPr>
            <w:r w:rsidRPr="00F00956">
              <w:t>Total financial assets</w:t>
            </w:r>
          </w:p>
        </w:tc>
        <w:tc>
          <w:tcPr>
            <w:tcW w:w="851" w:type="dxa"/>
            <w:tcBorders>
              <w:bottom w:val="single" w:sz="4" w:space="0" w:color="auto"/>
            </w:tcBorders>
            <w:hideMark/>
          </w:tcPr>
          <w:p w14:paraId="2D3ADB0E" w14:textId="77777777" w:rsidR="005F4A7E" w:rsidRPr="002029AF" w:rsidRDefault="005F4A7E" w:rsidP="00130D1C">
            <w:pPr>
              <w:pStyle w:val="ARfintablebodyrightbold"/>
            </w:pPr>
          </w:p>
        </w:tc>
        <w:tc>
          <w:tcPr>
            <w:tcW w:w="1134" w:type="dxa"/>
            <w:tcBorders>
              <w:bottom w:val="single" w:sz="4" w:space="0" w:color="auto"/>
            </w:tcBorders>
            <w:shd w:val="clear" w:color="auto" w:fill="E7E6E6"/>
            <w:noWrap/>
            <w:hideMark/>
          </w:tcPr>
          <w:p w14:paraId="45F26F7E" w14:textId="77777777" w:rsidR="005F4A7E" w:rsidRPr="002029AF" w:rsidRDefault="005F4A7E" w:rsidP="00130D1C">
            <w:pPr>
              <w:pStyle w:val="ARfintablebodyrightbold"/>
            </w:pPr>
            <w:r w:rsidRPr="00F00956">
              <w:t>5,686.9</w:t>
            </w:r>
          </w:p>
        </w:tc>
        <w:tc>
          <w:tcPr>
            <w:tcW w:w="1134" w:type="dxa"/>
            <w:tcBorders>
              <w:bottom w:val="single" w:sz="4" w:space="0" w:color="auto"/>
            </w:tcBorders>
            <w:noWrap/>
            <w:hideMark/>
          </w:tcPr>
          <w:p w14:paraId="00AC1296" w14:textId="77777777" w:rsidR="005F4A7E" w:rsidRPr="002029AF" w:rsidRDefault="005F4A7E" w:rsidP="00130D1C">
            <w:pPr>
              <w:pStyle w:val="ARfintablebodyrightbold"/>
            </w:pPr>
            <w:r w:rsidRPr="00F00956">
              <w:t>5,231.8</w:t>
            </w:r>
          </w:p>
        </w:tc>
      </w:tr>
      <w:tr w:rsidR="005F4A7E" w:rsidRPr="002029AF" w14:paraId="5B27D2E0" w14:textId="77777777" w:rsidTr="003566F1">
        <w:tc>
          <w:tcPr>
            <w:tcW w:w="9637" w:type="dxa"/>
            <w:gridSpan w:val="4"/>
            <w:tcBorders>
              <w:top w:val="single" w:sz="4" w:space="0" w:color="auto"/>
              <w:bottom w:val="single" w:sz="4" w:space="0" w:color="A6A6A6"/>
            </w:tcBorders>
            <w:hideMark/>
          </w:tcPr>
          <w:p w14:paraId="306CDB5A" w14:textId="77777777" w:rsidR="005F4A7E" w:rsidRPr="002029AF" w:rsidRDefault="005F4A7E" w:rsidP="00130D1C">
            <w:pPr>
              <w:pStyle w:val="ARfintablebodybold"/>
            </w:pPr>
            <w:r w:rsidRPr="00F00956">
              <w:t>Non-financial assets</w:t>
            </w:r>
          </w:p>
        </w:tc>
      </w:tr>
      <w:tr w:rsidR="005F4A7E" w:rsidRPr="002029AF" w14:paraId="6E82FD21" w14:textId="77777777" w:rsidTr="003566F1">
        <w:tc>
          <w:tcPr>
            <w:tcW w:w="6518" w:type="dxa"/>
            <w:tcBorders>
              <w:top w:val="single" w:sz="4" w:space="0" w:color="A6A6A6"/>
              <w:bottom w:val="single" w:sz="4" w:space="0" w:color="A6A6A6"/>
            </w:tcBorders>
            <w:hideMark/>
          </w:tcPr>
          <w:p w14:paraId="21D1CAA5" w14:textId="77777777" w:rsidR="005F4A7E" w:rsidRPr="002029AF" w:rsidRDefault="005F4A7E" w:rsidP="00130D1C">
            <w:pPr>
              <w:pStyle w:val="ARfintablebody"/>
            </w:pPr>
            <w:r w:rsidRPr="00F00956">
              <w:t>Inventories</w:t>
            </w:r>
          </w:p>
        </w:tc>
        <w:tc>
          <w:tcPr>
            <w:tcW w:w="851" w:type="dxa"/>
            <w:tcBorders>
              <w:top w:val="single" w:sz="4" w:space="0" w:color="A6A6A6"/>
              <w:bottom w:val="single" w:sz="4" w:space="0" w:color="A6A6A6"/>
            </w:tcBorders>
            <w:noWrap/>
            <w:hideMark/>
          </w:tcPr>
          <w:p w14:paraId="0857EBAB" w14:textId="77777777" w:rsidR="005F4A7E" w:rsidRPr="002029AF" w:rsidRDefault="005F4A7E" w:rsidP="00130D1C">
            <w:pPr>
              <w:pStyle w:val="ARfintablebodyright"/>
            </w:pPr>
            <w:r w:rsidRPr="00F00956">
              <w:t>6.6</w:t>
            </w:r>
          </w:p>
        </w:tc>
        <w:tc>
          <w:tcPr>
            <w:tcW w:w="1134" w:type="dxa"/>
            <w:tcBorders>
              <w:top w:val="single" w:sz="4" w:space="0" w:color="A6A6A6"/>
              <w:bottom w:val="single" w:sz="4" w:space="0" w:color="A6A6A6"/>
            </w:tcBorders>
            <w:shd w:val="clear" w:color="auto" w:fill="E7E6E6"/>
            <w:noWrap/>
            <w:hideMark/>
          </w:tcPr>
          <w:p w14:paraId="2FF8BCCA" w14:textId="77777777" w:rsidR="005F4A7E" w:rsidRPr="002029AF" w:rsidRDefault="005F4A7E" w:rsidP="00130D1C">
            <w:pPr>
              <w:pStyle w:val="ARfintablebodyright"/>
            </w:pPr>
            <w:r w:rsidRPr="00F00956">
              <w:t>638.4</w:t>
            </w:r>
          </w:p>
        </w:tc>
        <w:tc>
          <w:tcPr>
            <w:tcW w:w="1134" w:type="dxa"/>
            <w:tcBorders>
              <w:top w:val="single" w:sz="4" w:space="0" w:color="A6A6A6"/>
              <w:bottom w:val="single" w:sz="4" w:space="0" w:color="A6A6A6"/>
            </w:tcBorders>
            <w:noWrap/>
            <w:hideMark/>
          </w:tcPr>
          <w:p w14:paraId="746F57AA" w14:textId="77777777" w:rsidR="005F4A7E" w:rsidRPr="002029AF" w:rsidRDefault="005F4A7E" w:rsidP="00130D1C">
            <w:pPr>
              <w:pStyle w:val="ARfintablebodyright"/>
            </w:pPr>
            <w:r w:rsidRPr="00F00956">
              <w:t>411.8</w:t>
            </w:r>
          </w:p>
        </w:tc>
      </w:tr>
      <w:tr w:rsidR="005F4A7E" w:rsidRPr="002029AF" w14:paraId="40351012" w14:textId="77777777" w:rsidTr="003566F1">
        <w:tc>
          <w:tcPr>
            <w:tcW w:w="6518" w:type="dxa"/>
            <w:tcBorders>
              <w:top w:val="single" w:sz="4" w:space="0" w:color="A6A6A6"/>
              <w:bottom w:val="single" w:sz="4" w:space="0" w:color="A6A6A6"/>
            </w:tcBorders>
            <w:hideMark/>
          </w:tcPr>
          <w:p w14:paraId="3235DC3E" w14:textId="77777777" w:rsidR="005F4A7E" w:rsidRPr="002029AF" w:rsidRDefault="005F4A7E" w:rsidP="00130D1C">
            <w:pPr>
              <w:pStyle w:val="ARfintablebody"/>
            </w:pPr>
            <w:r w:rsidRPr="00F00956">
              <w:t>Non-financial physical assets classified as held for sale</w:t>
            </w:r>
          </w:p>
        </w:tc>
        <w:tc>
          <w:tcPr>
            <w:tcW w:w="851" w:type="dxa"/>
            <w:tcBorders>
              <w:top w:val="single" w:sz="4" w:space="0" w:color="A6A6A6"/>
              <w:bottom w:val="single" w:sz="4" w:space="0" w:color="A6A6A6"/>
            </w:tcBorders>
            <w:noWrap/>
            <w:hideMark/>
          </w:tcPr>
          <w:p w14:paraId="574EF6BC" w14:textId="77777777" w:rsidR="005F4A7E" w:rsidRPr="002029AF" w:rsidRDefault="005F4A7E" w:rsidP="00130D1C">
            <w:pPr>
              <w:pStyle w:val="ARfintablebodyright"/>
            </w:pPr>
            <w:r w:rsidRPr="00F00956">
              <w:t>9.3</w:t>
            </w:r>
          </w:p>
        </w:tc>
        <w:tc>
          <w:tcPr>
            <w:tcW w:w="1134" w:type="dxa"/>
            <w:tcBorders>
              <w:top w:val="single" w:sz="4" w:space="0" w:color="A6A6A6"/>
              <w:bottom w:val="single" w:sz="4" w:space="0" w:color="A6A6A6"/>
            </w:tcBorders>
            <w:shd w:val="clear" w:color="auto" w:fill="E7E6E6"/>
            <w:noWrap/>
            <w:hideMark/>
          </w:tcPr>
          <w:p w14:paraId="0B5C7DB1" w14:textId="77777777" w:rsidR="005F4A7E" w:rsidRPr="002029AF" w:rsidRDefault="005F4A7E" w:rsidP="00130D1C">
            <w:pPr>
              <w:pStyle w:val="ARfintablebodyright"/>
            </w:pPr>
            <w:r w:rsidRPr="00F00956">
              <w:t>5.0</w:t>
            </w:r>
          </w:p>
        </w:tc>
        <w:tc>
          <w:tcPr>
            <w:tcW w:w="1134" w:type="dxa"/>
            <w:tcBorders>
              <w:top w:val="single" w:sz="4" w:space="0" w:color="A6A6A6"/>
              <w:bottom w:val="single" w:sz="4" w:space="0" w:color="A6A6A6"/>
            </w:tcBorders>
            <w:noWrap/>
            <w:hideMark/>
          </w:tcPr>
          <w:p w14:paraId="764E9849" w14:textId="77777777" w:rsidR="005F4A7E" w:rsidRPr="002029AF" w:rsidRDefault="005F4A7E" w:rsidP="00130D1C">
            <w:pPr>
              <w:pStyle w:val="ARfintablebodyright"/>
            </w:pPr>
            <w:r w:rsidRPr="00F00956">
              <w:t>9.1</w:t>
            </w:r>
          </w:p>
        </w:tc>
      </w:tr>
      <w:tr w:rsidR="005F4A7E" w:rsidRPr="002029AF" w14:paraId="010E36CC" w14:textId="77777777" w:rsidTr="003566F1">
        <w:tc>
          <w:tcPr>
            <w:tcW w:w="6518" w:type="dxa"/>
            <w:tcBorders>
              <w:top w:val="single" w:sz="4" w:space="0" w:color="A6A6A6"/>
              <w:bottom w:val="single" w:sz="4" w:space="0" w:color="A6A6A6"/>
            </w:tcBorders>
            <w:hideMark/>
          </w:tcPr>
          <w:p w14:paraId="4EB65D94" w14:textId="77777777" w:rsidR="005F4A7E" w:rsidRPr="002029AF" w:rsidRDefault="005F4A7E" w:rsidP="00130D1C">
            <w:pPr>
              <w:pStyle w:val="ARfintablebody"/>
            </w:pPr>
            <w:r w:rsidRPr="00F00956">
              <w:t>Property, plant and equipment</w:t>
            </w:r>
          </w:p>
        </w:tc>
        <w:tc>
          <w:tcPr>
            <w:tcW w:w="851" w:type="dxa"/>
            <w:tcBorders>
              <w:top w:val="single" w:sz="4" w:space="0" w:color="A6A6A6"/>
              <w:bottom w:val="single" w:sz="4" w:space="0" w:color="A6A6A6"/>
            </w:tcBorders>
            <w:noWrap/>
            <w:hideMark/>
          </w:tcPr>
          <w:p w14:paraId="4530C4D7" w14:textId="77777777" w:rsidR="005F4A7E" w:rsidRPr="002029AF" w:rsidRDefault="005F4A7E" w:rsidP="00130D1C">
            <w:pPr>
              <w:pStyle w:val="ARfintablebodyright"/>
            </w:pPr>
            <w:r w:rsidRPr="00F00956">
              <w:t>5.1</w:t>
            </w:r>
          </w:p>
        </w:tc>
        <w:tc>
          <w:tcPr>
            <w:tcW w:w="1134" w:type="dxa"/>
            <w:tcBorders>
              <w:top w:val="single" w:sz="4" w:space="0" w:color="A6A6A6"/>
              <w:bottom w:val="single" w:sz="4" w:space="0" w:color="A6A6A6"/>
            </w:tcBorders>
            <w:shd w:val="clear" w:color="auto" w:fill="E7E6E6"/>
            <w:noWrap/>
            <w:hideMark/>
          </w:tcPr>
          <w:p w14:paraId="7AFC5048" w14:textId="77777777" w:rsidR="005F4A7E" w:rsidRPr="002029AF" w:rsidRDefault="005F4A7E" w:rsidP="00130D1C">
            <w:pPr>
              <w:pStyle w:val="ARfintablebodyright"/>
            </w:pPr>
            <w:r w:rsidRPr="00F00956">
              <w:t>33,764.5</w:t>
            </w:r>
          </w:p>
        </w:tc>
        <w:tc>
          <w:tcPr>
            <w:tcW w:w="1134" w:type="dxa"/>
            <w:tcBorders>
              <w:top w:val="single" w:sz="4" w:space="0" w:color="A6A6A6"/>
              <w:bottom w:val="single" w:sz="4" w:space="0" w:color="A6A6A6"/>
            </w:tcBorders>
            <w:noWrap/>
            <w:hideMark/>
          </w:tcPr>
          <w:p w14:paraId="3CA0D4BD" w14:textId="77777777" w:rsidR="005F4A7E" w:rsidRPr="002029AF" w:rsidRDefault="005F4A7E" w:rsidP="00130D1C">
            <w:pPr>
              <w:pStyle w:val="ARfintablebodyright"/>
            </w:pPr>
            <w:r w:rsidRPr="00F00956">
              <w:t>28,792.6</w:t>
            </w:r>
          </w:p>
        </w:tc>
      </w:tr>
      <w:tr w:rsidR="005F4A7E" w:rsidRPr="002029AF" w14:paraId="1AE364E8" w14:textId="77777777" w:rsidTr="003566F1">
        <w:tc>
          <w:tcPr>
            <w:tcW w:w="6518" w:type="dxa"/>
            <w:tcBorders>
              <w:top w:val="single" w:sz="4" w:space="0" w:color="A6A6A6"/>
              <w:bottom w:val="single" w:sz="4" w:space="0" w:color="A6A6A6"/>
            </w:tcBorders>
            <w:hideMark/>
          </w:tcPr>
          <w:p w14:paraId="1958E550" w14:textId="77777777" w:rsidR="005F4A7E" w:rsidRPr="002029AF" w:rsidRDefault="005F4A7E" w:rsidP="00130D1C">
            <w:pPr>
              <w:pStyle w:val="ARfintablebody"/>
            </w:pPr>
            <w:r w:rsidRPr="00F00956">
              <w:t>Intangible assets</w:t>
            </w:r>
          </w:p>
        </w:tc>
        <w:tc>
          <w:tcPr>
            <w:tcW w:w="851" w:type="dxa"/>
            <w:tcBorders>
              <w:top w:val="single" w:sz="4" w:space="0" w:color="A6A6A6"/>
              <w:bottom w:val="single" w:sz="4" w:space="0" w:color="A6A6A6"/>
            </w:tcBorders>
            <w:noWrap/>
            <w:hideMark/>
          </w:tcPr>
          <w:p w14:paraId="0261E032" w14:textId="77777777" w:rsidR="005F4A7E" w:rsidRPr="002029AF" w:rsidRDefault="005F4A7E" w:rsidP="00130D1C">
            <w:pPr>
              <w:pStyle w:val="ARfintablebodyright"/>
            </w:pPr>
            <w:r w:rsidRPr="00F00956">
              <w:t>5.2</w:t>
            </w:r>
          </w:p>
        </w:tc>
        <w:tc>
          <w:tcPr>
            <w:tcW w:w="1134" w:type="dxa"/>
            <w:tcBorders>
              <w:top w:val="single" w:sz="4" w:space="0" w:color="A6A6A6"/>
              <w:bottom w:val="single" w:sz="4" w:space="0" w:color="A6A6A6"/>
            </w:tcBorders>
            <w:shd w:val="clear" w:color="auto" w:fill="E7E6E6"/>
            <w:noWrap/>
            <w:hideMark/>
          </w:tcPr>
          <w:p w14:paraId="7FE28AA1" w14:textId="77777777" w:rsidR="005F4A7E" w:rsidRPr="002029AF" w:rsidRDefault="005F4A7E" w:rsidP="00130D1C">
            <w:pPr>
              <w:pStyle w:val="ARfintablebodyright"/>
            </w:pPr>
            <w:r w:rsidRPr="00F00956">
              <w:t>175.9</w:t>
            </w:r>
          </w:p>
        </w:tc>
        <w:tc>
          <w:tcPr>
            <w:tcW w:w="1134" w:type="dxa"/>
            <w:tcBorders>
              <w:top w:val="single" w:sz="4" w:space="0" w:color="A6A6A6"/>
              <w:bottom w:val="single" w:sz="4" w:space="0" w:color="A6A6A6"/>
            </w:tcBorders>
            <w:noWrap/>
            <w:hideMark/>
          </w:tcPr>
          <w:p w14:paraId="30ED4E58" w14:textId="77777777" w:rsidR="005F4A7E" w:rsidRPr="002029AF" w:rsidRDefault="005F4A7E" w:rsidP="00130D1C">
            <w:pPr>
              <w:pStyle w:val="ARfintablebodyright"/>
            </w:pPr>
            <w:r w:rsidRPr="00F00956">
              <w:t>134.4</w:t>
            </w:r>
          </w:p>
        </w:tc>
      </w:tr>
      <w:tr w:rsidR="005F4A7E" w:rsidRPr="002029AF" w14:paraId="25137148" w14:textId="77777777" w:rsidTr="003566F1">
        <w:tc>
          <w:tcPr>
            <w:tcW w:w="6518" w:type="dxa"/>
            <w:tcBorders>
              <w:top w:val="single" w:sz="4" w:space="0" w:color="A6A6A6"/>
            </w:tcBorders>
            <w:hideMark/>
          </w:tcPr>
          <w:p w14:paraId="20A2D114" w14:textId="77777777" w:rsidR="005F4A7E" w:rsidRPr="002029AF" w:rsidRDefault="005F4A7E" w:rsidP="00130D1C">
            <w:pPr>
              <w:pStyle w:val="ARfintablebody"/>
            </w:pPr>
            <w:r w:rsidRPr="00F00956">
              <w:t>Other non-financial assets</w:t>
            </w:r>
          </w:p>
        </w:tc>
        <w:tc>
          <w:tcPr>
            <w:tcW w:w="851" w:type="dxa"/>
            <w:tcBorders>
              <w:top w:val="single" w:sz="4" w:space="0" w:color="A6A6A6"/>
            </w:tcBorders>
            <w:noWrap/>
            <w:hideMark/>
          </w:tcPr>
          <w:p w14:paraId="213BB9F8" w14:textId="77777777" w:rsidR="005F4A7E" w:rsidRPr="002029AF" w:rsidRDefault="005F4A7E" w:rsidP="00130D1C">
            <w:pPr>
              <w:pStyle w:val="ARfintablebodyright"/>
            </w:pPr>
            <w:r w:rsidRPr="00F00956">
              <w:t>6.3</w:t>
            </w:r>
          </w:p>
        </w:tc>
        <w:tc>
          <w:tcPr>
            <w:tcW w:w="1134" w:type="dxa"/>
            <w:tcBorders>
              <w:top w:val="single" w:sz="4" w:space="0" w:color="A6A6A6"/>
            </w:tcBorders>
            <w:shd w:val="clear" w:color="auto" w:fill="E7E6E6"/>
            <w:noWrap/>
            <w:hideMark/>
          </w:tcPr>
          <w:p w14:paraId="0B5A206F" w14:textId="77777777" w:rsidR="005F4A7E" w:rsidRPr="002029AF" w:rsidRDefault="005F4A7E" w:rsidP="00130D1C">
            <w:pPr>
              <w:pStyle w:val="ARfintablebodyright"/>
            </w:pPr>
            <w:r w:rsidRPr="00F00956">
              <w:t>162.9</w:t>
            </w:r>
          </w:p>
        </w:tc>
        <w:tc>
          <w:tcPr>
            <w:tcW w:w="1134" w:type="dxa"/>
            <w:tcBorders>
              <w:top w:val="single" w:sz="4" w:space="0" w:color="A6A6A6"/>
            </w:tcBorders>
            <w:noWrap/>
            <w:hideMark/>
          </w:tcPr>
          <w:p w14:paraId="1B9B04CA" w14:textId="77777777" w:rsidR="005F4A7E" w:rsidRPr="002029AF" w:rsidRDefault="005F4A7E" w:rsidP="00130D1C">
            <w:pPr>
              <w:pStyle w:val="ARfintablebodyright"/>
            </w:pPr>
            <w:r w:rsidRPr="00F00956">
              <w:t>286.2</w:t>
            </w:r>
          </w:p>
        </w:tc>
      </w:tr>
      <w:tr w:rsidR="005F4A7E" w:rsidRPr="002029AF" w14:paraId="7D62B827" w14:textId="77777777" w:rsidTr="003566F1">
        <w:tc>
          <w:tcPr>
            <w:tcW w:w="6518" w:type="dxa"/>
            <w:hideMark/>
          </w:tcPr>
          <w:p w14:paraId="75ED9DF6" w14:textId="77777777" w:rsidR="005F4A7E" w:rsidRPr="002029AF" w:rsidRDefault="005F4A7E" w:rsidP="00130D1C">
            <w:pPr>
              <w:pStyle w:val="ARfintablebodybold"/>
            </w:pPr>
            <w:r w:rsidRPr="00F00956">
              <w:t>Total non-financial assets</w:t>
            </w:r>
          </w:p>
        </w:tc>
        <w:tc>
          <w:tcPr>
            <w:tcW w:w="851" w:type="dxa"/>
            <w:hideMark/>
          </w:tcPr>
          <w:p w14:paraId="37D1D928" w14:textId="77777777" w:rsidR="005F4A7E" w:rsidRPr="002029AF" w:rsidRDefault="005F4A7E" w:rsidP="00130D1C">
            <w:pPr>
              <w:pStyle w:val="ARfintablebodyrightbold"/>
            </w:pPr>
          </w:p>
        </w:tc>
        <w:tc>
          <w:tcPr>
            <w:tcW w:w="1134" w:type="dxa"/>
            <w:shd w:val="clear" w:color="auto" w:fill="E7E6E6"/>
            <w:noWrap/>
            <w:hideMark/>
          </w:tcPr>
          <w:p w14:paraId="0884B7DD" w14:textId="77777777" w:rsidR="005F4A7E" w:rsidRPr="002029AF" w:rsidRDefault="005F4A7E" w:rsidP="00130D1C">
            <w:pPr>
              <w:pStyle w:val="ARfintablebodyrightbold"/>
            </w:pPr>
            <w:r w:rsidRPr="00F00956">
              <w:t>34,746.7</w:t>
            </w:r>
          </w:p>
        </w:tc>
        <w:tc>
          <w:tcPr>
            <w:tcW w:w="1134" w:type="dxa"/>
            <w:noWrap/>
            <w:hideMark/>
          </w:tcPr>
          <w:p w14:paraId="668E5513" w14:textId="77777777" w:rsidR="005F4A7E" w:rsidRPr="002029AF" w:rsidRDefault="005F4A7E" w:rsidP="00130D1C">
            <w:pPr>
              <w:pStyle w:val="ARfintablebodyrightbold"/>
            </w:pPr>
            <w:r w:rsidRPr="00F00956">
              <w:t>29,634.1</w:t>
            </w:r>
          </w:p>
        </w:tc>
      </w:tr>
      <w:tr w:rsidR="005F4A7E" w:rsidRPr="002029AF" w14:paraId="7165486E" w14:textId="77777777" w:rsidTr="00130D1C">
        <w:tc>
          <w:tcPr>
            <w:tcW w:w="6518" w:type="dxa"/>
            <w:tcBorders>
              <w:bottom w:val="single" w:sz="4" w:space="0" w:color="auto"/>
            </w:tcBorders>
            <w:hideMark/>
          </w:tcPr>
          <w:p w14:paraId="4F3FB2D8" w14:textId="77777777" w:rsidR="005F4A7E" w:rsidRPr="002029AF" w:rsidRDefault="005F4A7E" w:rsidP="00130D1C">
            <w:pPr>
              <w:pStyle w:val="ARfintablebodybold"/>
            </w:pPr>
            <w:r w:rsidRPr="00F00956">
              <w:t>Total assets</w:t>
            </w:r>
          </w:p>
        </w:tc>
        <w:tc>
          <w:tcPr>
            <w:tcW w:w="851" w:type="dxa"/>
            <w:tcBorders>
              <w:bottom w:val="single" w:sz="4" w:space="0" w:color="auto"/>
            </w:tcBorders>
            <w:hideMark/>
          </w:tcPr>
          <w:p w14:paraId="59BCD9EA" w14:textId="77777777" w:rsidR="005F4A7E" w:rsidRPr="002029AF" w:rsidRDefault="005F4A7E" w:rsidP="00130D1C">
            <w:pPr>
              <w:pStyle w:val="ARfintablebodyrightbold"/>
            </w:pPr>
          </w:p>
        </w:tc>
        <w:tc>
          <w:tcPr>
            <w:tcW w:w="1134" w:type="dxa"/>
            <w:tcBorders>
              <w:bottom w:val="single" w:sz="4" w:space="0" w:color="auto"/>
            </w:tcBorders>
            <w:shd w:val="clear" w:color="auto" w:fill="E7E6E6"/>
            <w:noWrap/>
            <w:hideMark/>
          </w:tcPr>
          <w:p w14:paraId="3D00D0DB" w14:textId="77777777" w:rsidR="005F4A7E" w:rsidRPr="002029AF" w:rsidRDefault="005F4A7E" w:rsidP="00130D1C">
            <w:pPr>
              <w:pStyle w:val="ARfintablebodyrightbold"/>
            </w:pPr>
            <w:r w:rsidRPr="00F00956">
              <w:t>40,433.6</w:t>
            </w:r>
          </w:p>
        </w:tc>
        <w:tc>
          <w:tcPr>
            <w:tcW w:w="1134" w:type="dxa"/>
            <w:tcBorders>
              <w:bottom w:val="single" w:sz="4" w:space="0" w:color="auto"/>
            </w:tcBorders>
            <w:noWrap/>
            <w:hideMark/>
          </w:tcPr>
          <w:p w14:paraId="63593C25" w14:textId="77777777" w:rsidR="005F4A7E" w:rsidRPr="002029AF" w:rsidRDefault="005F4A7E" w:rsidP="00130D1C">
            <w:pPr>
              <w:pStyle w:val="ARfintablebodyrightbold"/>
            </w:pPr>
            <w:r w:rsidRPr="00F00956">
              <w:t>34,865.9</w:t>
            </w:r>
          </w:p>
        </w:tc>
      </w:tr>
      <w:tr w:rsidR="005F4A7E" w:rsidRPr="002029AF" w14:paraId="5B6036B2" w14:textId="77777777" w:rsidTr="00130D1C">
        <w:tc>
          <w:tcPr>
            <w:tcW w:w="9637" w:type="dxa"/>
            <w:gridSpan w:val="4"/>
            <w:tcBorders>
              <w:top w:val="single" w:sz="4" w:space="0" w:color="auto"/>
              <w:bottom w:val="single" w:sz="4" w:space="0" w:color="A6A6A6"/>
            </w:tcBorders>
            <w:hideMark/>
          </w:tcPr>
          <w:p w14:paraId="5598A0DE" w14:textId="77777777" w:rsidR="005F4A7E" w:rsidRPr="002029AF" w:rsidRDefault="005F4A7E" w:rsidP="00130D1C">
            <w:pPr>
              <w:pStyle w:val="ARfintablebodybold"/>
            </w:pPr>
            <w:r w:rsidRPr="00F00956">
              <w:t>Liabilities</w:t>
            </w:r>
          </w:p>
        </w:tc>
      </w:tr>
      <w:tr w:rsidR="005F4A7E" w:rsidRPr="002029AF" w14:paraId="662FE163" w14:textId="77777777" w:rsidTr="00130D1C">
        <w:tc>
          <w:tcPr>
            <w:tcW w:w="9637" w:type="dxa"/>
            <w:gridSpan w:val="4"/>
            <w:tcBorders>
              <w:top w:val="single" w:sz="4" w:space="0" w:color="A6A6A6"/>
              <w:bottom w:val="single" w:sz="4" w:space="0" w:color="A6A6A6"/>
            </w:tcBorders>
            <w:hideMark/>
          </w:tcPr>
          <w:p w14:paraId="151F2089" w14:textId="77777777" w:rsidR="005F4A7E" w:rsidRPr="002029AF" w:rsidRDefault="005F4A7E" w:rsidP="00130D1C">
            <w:pPr>
              <w:pStyle w:val="ARfintablebodybold"/>
            </w:pPr>
            <w:r w:rsidRPr="00F00956">
              <w:t>Financial liabilities</w:t>
            </w:r>
          </w:p>
        </w:tc>
      </w:tr>
      <w:tr w:rsidR="005F4A7E" w:rsidRPr="002029AF" w14:paraId="513FA0BB" w14:textId="77777777" w:rsidTr="003566F1">
        <w:tc>
          <w:tcPr>
            <w:tcW w:w="6518" w:type="dxa"/>
            <w:tcBorders>
              <w:top w:val="single" w:sz="4" w:space="0" w:color="A6A6A6"/>
              <w:bottom w:val="single" w:sz="4" w:space="0" w:color="A6A6A6"/>
            </w:tcBorders>
            <w:hideMark/>
          </w:tcPr>
          <w:p w14:paraId="55E686F4" w14:textId="77777777" w:rsidR="005F4A7E" w:rsidRPr="002029AF" w:rsidRDefault="005F4A7E" w:rsidP="00130D1C">
            <w:pPr>
              <w:pStyle w:val="ARfintablebody"/>
            </w:pPr>
            <w:r w:rsidRPr="00F00956">
              <w:t>Payables</w:t>
            </w:r>
          </w:p>
        </w:tc>
        <w:tc>
          <w:tcPr>
            <w:tcW w:w="851" w:type="dxa"/>
            <w:tcBorders>
              <w:top w:val="single" w:sz="4" w:space="0" w:color="A6A6A6"/>
              <w:bottom w:val="single" w:sz="4" w:space="0" w:color="A6A6A6"/>
            </w:tcBorders>
            <w:noWrap/>
            <w:hideMark/>
          </w:tcPr>
          <w:p w14:paraId="07D41F60" w14:textId="77777777" w:rsidR="005F4A7E" w:rsidRPr="002029AF" w:rsidRDefault="005F4A7E" w:rsidP="00130D1C">
            <w:pPr>
              <w:pStyle w:val="ARfintablebodyright"/>
            </w:pPr>
            <w:r w:rsidRPr="00F00956">
              <w:t>6.4</w:t>
            </w:r>
          </w:p>
        </w:tc>
        <w:tc>
          <w:tcPr>
            <w:tcW w:w="1134" w:type="dxa"/>
            <w:tcBorders>
              <w:top w:val="single" w:sz="4" w:space="0" w:color="A6A6A6"/>
              <w:bottom w:val="single" w:sz="4" w:space="0" w:color="A6A6A6"/>
            </w:tcBorders>
            <w:shd w:val="clear" w:color="auto" w:fill="E7E6E6"/>
            <w:noWrap/>
            <w:hideMark/>
          </w:tcPr>
          <w:p w14:paraId="6FC46C74" w14:textId="77777777" w:rsidR="005F4A7E" w:rsidRPr="002029AF" w:rsidRDefault="005F4A7E" w:rsidP="00130D1C">
            <w:pPr>
              <w:pStyle w:val="ARfintablebodyright"/>
            </w:pPr>
            <w:r w:rsidRPr="00F00956">
              <w:t>2,130.1</w:t>
            </w:r>
          </w:p>
        </w:tc>
        <w:tc>
          <w:tcPr>
            <w:tcW w:w="1134" w:type="dxa"/>
            <w:tcBorders>
              <w:top w:val="single" w:sz="4" w:space="0" w:color="A6A6A6"/>
              <w:bottom w:val="single" w:sz="4" w:space="0" w:color="A6A6A6"/>
            </w:tcBorders>
            <w:noWrap/>
            <w:hideMark/>
          </w:tcPr>
          <w:p w14:paraId="5D81A263" w14:textId="77777777" w:rsidR="005F4A7E" w:rsidRPr="002029AF" w:rsidRDefault="005F4A7E" w:rsidP="00130D1C">
            <w:pPr>
              <w:pStyle w:val="ARfintablebodyright"/>
            </w:pPr>
            <w:r w:rsidRPr="00F00956">
              <w:t>1,847.2</w:t>
            </w:r>
          </w:p>
        </w:tc>
      </w:tr>
      <w:tr w:rsidR="005F4A7E" w:rsidRPr="002029AF" w14:paraId="40A1CA16" w14:textId="77777777" w:rsidTr="003566F1">
        <w:tc>
          <w:tcPr>
            <w:tcW w:w="6518" w:type="dxa"/>
            <w:tcBorders>
              <w:top w:val="single" w:sz="4" w:space="0" w:color="A6A6A6"/>
              <w:bottom w:val="single" w:sz="4" w:space="0" w:color="A6A6A6"/>
            </w:tcBorders>
            <w:hideMark/>
          </w:tcPr>
          <w:p w14:paraId="11060DF0" w14:textId="77777777" w:rsidR="005F4A7E" w:rsidRPr="002029AF" w:rsidRDefault="005F4A7E" w:rsidP="00130D1C">
            <w:pPr>
              <w:pStyle w:val="ARfintablebody"/>
            </w:pPr>
            <w:r w:rsidRPr="00F00956">
              <w:t>Borrowings</w:t>
            </w:r>
          </w:p>
        </w:tc>
        <w:tc>
          <w:tcPr>
            <w:tcW w:w="851" w:type="dxa"/>
            <w:tcBorders>
              <w:top w:val="single" w:sz="4" w:space="0" w:color="A6A6A6"/>
              <w:bottom w:val="single" w:sz="4" w:space="0" w:color="A6A6A6"/>
            </w:tcBorders>
            <w:noWrap/>
            <w:hideMark/>
          </w:tcPr>
          <w:p w14:paraId="30516829" w14:textId="77777777" w:rsidR="005F4A7E" w:rsidRPr="002029AF" w:rsidRDefault="005F4A7E" w:rsidP="00130D1C">
            <w:pPr>
              <w:pStyle w:val="ARfintablebodyright"/>
            </w:pPr>
            <w:r w:rsidRPr="00F00956">
              <w:t>7.1</w:t>
            </w:r>
          </w:p>
        </w:tc>
        <w:tc>
          <w:tcPr>
            <w:tcW w:w="1134" w:type="dxa"/>
            <w:tcBorders>
              <w:top w:val="single" w:sz="4" w:space="0" w:color="A6A6A6"/>
              <w:bottom w:val="single" w:sz="4" w:space="0" w:color="A6A6A6"/>
            </w:tcBorders>
            <w:shd w:val="clear" w:color="auto" w:fill="E7E6E6"/>
            <w:noWrap/>
            <w:hideMark/>
          </w:tcPr>
          <w:p w14:paraId="3E15BAAC" w14:textId="77777777" w:rsidR="005F4A7E" w:rsidRPr="002029AF" w:rsidRDefault="005F4A7E" w:rsidP="00130D1C">
            <w:pPr>
              <w:pStyle w:val="ARfintablebodyright"/>
            </w:pPr>
            <w:r w:rsidRPr="00F00956">
              <w:t>370.6</w:t>
            </w:r>
          </w:p>
        </w:tc>
        <w:tc>
          <w:tcPr>
            <w:tcW w:w="1134" w:type="dxa"/>
            <w:tcBorders>
              <w:top w:val="single" w:sz="4" w:space="0" w:color="A6A6A6"/>
              <w:bottom w:val="single" w:sz="4" w:space="0" w:color="A6A6A6"/>
            </w:tcBorders>
            <w:noWrap/>
            <w:hideMark/>
          </w:tcPr>
          <w:p w14:paraId="62A720CA" w14:textId="77777777" w:rsidR="005F4A7E" w:rsidRPr="002029AF" w:rsidRDefault="005F4A7E" w:rsidP="00130D1C">
            <w:pPr>
              <w:pStyle w:val="ARfintablebodyright"/>
            </w:pPr>
            <w:r w:rsidRPr="00F00956">
              <w:t>472.6</w:t>
            </w:r>
          </w:p>
        </w:tc>
      </w:tr>
      <w:tr w:rsidR="005F4A7E" w:rsidRPr="002029AF" w14:paraId="6F31BE35" w14:textId="77777777" w:rsidTr="003566F1">
        <w:tc>
          <w:tcPr>
            <w:tcW w:w="6518" w:type="dxa"/>
            <w:tcBorders>
              <w:top w:val="single" w:sz="4" w:space="0" w:color="A6A6A6"/>
              <w:bottom w:val="single" w:sz="4" w:space="0" w:color="A6A6A6"/>
            </w:tcBorders>
            <w:hideMark/>
          </w:tcPr>
          <w:p w14:paraId="19D28CA1" w14:textId="77777777" w:rsidR="005F4A7E" w:rsidRPr="002029AF" w:rsidRDefault="005F4A7E" w:rsidP="00130D1C">
            <w:pPr>
              <w:pStyle w:val="ARfintablebody"/>
            </w:pPr>
            <w:r w:rsidRPr="00F00956">
              <w:t>Employee related provisions</w:t>
            </w:r>
          </w:p>
        </w:tc>
        <w:tc>
          <w:tcPr>
            <w:tcW w:w="851" w:type="dxa"/>
            <w:tcBorders>
              <w:top w:val="single" w:sz="4" w:space="0" w:color="A6A6A6"/>
              <w:bottom w:val="single" w:sz="4" w:space="0" w:color="A6A6A6"/>
            </w:tcBorders>
            <w:noWrap/>
            <w:hideMark/>
          </w:tcPr>
          <w:p w14:paraId="3D69BFC6" w14:textId="77777777" w:rsidR="005F4A7E" w:rsidRPr="002029AF" w:rsidRDefault="005F4A7E" w:rsidP="00130D1C">
            <w:pPr>
              <w:pStyle w:val="ARfintablebodyright"/>
            </w:pPr>
            <w:r w:rsidRPr="00F00956">
              <w:t>3.1.1(b)</w:t>
            </w:r>
          </w:p>
        </w:tc>
        <w:tc>
          <w:tcPr>
            <w:tcW w:w="1134" w:type="dxa"/>
            <w:tcBorders>
              <w:top w:val="single" w:sz="4" w:space="0" w:color="A6A6A6"/>
              <w:bottom w:val="single" w:sz="4" w:space="0" w:color="A6A6A6"/>
            </w:tcBorders>
            <w:shd w:val="clear" w:color="auto" w:fill="E7E6E6"/>
            <w:noWrap/>
            <w:hideMark/>
          </w:tcPr>
          <w:p w14:paraId="1CEEED1E" w14:textId="77777777" w:rsidR="005F4A7E" w:rsidRPr="002029AF" w:rsidRDefault="005F4A7E" w:rsidP="00130D1C">
            <w:pPr>
              <w:pStyle w:val="ARfintablebodyright"/>
            </w:pPr>
            <w:r w:rsidRPr="00F00956">
              <w:t>412.6</w:t>
            </w:r>
          </w:p>
        </w:tc>
        <w:tc>
          <w:tcPr>
            <w:tcW w:w="1134" w:type="dxa"/>
            <w:tcBorders>
              <w:top w:val="single" w:sz="4" w:space="0" w:color="A6A6A6"/>
              <w:bottom w:val="single" w:sz="4" w:space="0" w:color="A6A6A6"/>
            </w:tcBorders>
            <w:noWrap/>
            <w:hideMark/>
          </w:tcPr>
          <w:p w14:paraId="150B57BE" w14:textId="77777777" w:rsidR="005F4A7E" w:rsidRPr="002029AF" w:rsidRDefault="005F4A7E" w:rsidP="00130D1C">
            <w:pPr>
              <w:pStyle w:val="ARfintablebodyright"/>
            </w:pPr>
            <w:r w:rsidRPr="00F00956">
              <w:t>484.0</w:t>
            </w:r>
          </w:p>
        </w:tc>
      </w:tr>
      <w:tr w:rsidR="005F4A7E" w:rsidRPr="002029AF" w14:paraId="6B03DE82" w14:textId="77777777" w:rsidTr="003566F1">
        <w:tc>
          <w:tcPr>
            <w:tcW w:w="6518" w:type="dxa"/>
            <w:tcBorders>
              <w:top w:val="single" w:sz="4" w:space="0" w:color="A6A6A6"/>
            </w:tcBorders>
            <w:hideMark/>
          </w:tcPr>
          <w:p w14:paraId="625ADB35" w14:textId="77777777" w:rsidR="005F4A7E" w:rsidRPr="002029AF" w:rsidRDefault="005F4A7E" w:rsidP="00130D1C">
            <w:pPr>
              <w:pStyle w:val="ARfintablebody"/>
            </w:pPr>
            <w:r w:rsidRPr="00F00956">
              <w:t>Other provisions</w:t>
            </w:r>
          </w:p>
        </w:tc>
        <w:tc>
          <w:tcPr>
            <w:tcW w:w="851" w:type="dxa"/>
            <w:tcBorders>
              <w:top w:val="single" w:sz="4" w:space="0" w:color="A6A6A6"/>
            </w:tcBorders>
            <w:noWrap/>
            <w:hideMark/>
          </w:tcPr>
          <w:p w14:paraId="52986615" w14:textId="77777777" w:rsidR="005F4A7E" w:rsidRPr="002029AF" w:rsidRDefault="005F4A7E" w:rsidP="00130D1C">
            <w:pPr>
              <w:pStyle w:val="ARfintablebodyright"/>
            </w:pPr>
            <w:r w:rsidRPr="00F00956">
              <w:t>6.5</w:t>
            </w:r>
          </w:p>
        </w:tc>
        <w:tc>
          <w:tcPr>
            <w:tcW w:w="1134" w:type="dxa"/>
            <w:tcBorders>
              <w:top w:val="single" w:sz="4" w:space="0" w:color="A6A6A6"/>
            </w:tcBorders>
            <w:shd w:val="clear" w:color="auto" w:fill="E7E6E6"/>
            <w:noWrap/>
            <w:hideMark/>
          </w:tcPr>
          <w:p w14:paraId="3B9107B3" w14:textId="77777777" w:rsidR="005F4A7E" w:rsidRPr="002029AF" w:rsidRDefault="005F4A7E" w:rsidP="00130D1C">
            <w:pPr>
              <w:pStyle w:val="ARfintablebodyright"/>
            </w:pPr>
            <w:r w:rsidRPr="00F00956">
              <w:t>241.8</w:t>
            </w:r>
          </w:p>
        </w:tc>
        <w:tc>
          <w:tcPr>
            <w:tcW w:w="1134" w:type="dxa"/>
            <w:tcBorders>
              <w:top w:val="single" w:sz="4" w:space="0" w:color="A6A6A6"/>
            </w:tcBorders>
            <w:noWrap/>
            <w:hideMark/>
          </w:tcPr>
          <w:p w14:paraId="45E13039" w14:textId="77777777" w:rsidR="005F4A7E" w:rsidRPr="002029AF" w:rsidRDefault="005F4A7E" w:rsidP="00130D1C">
            <w:pPr>
              <w:pStyle w:val="ARfintablebodyright"/>
            </w:pPr>
            <w:r w:rsidRPr="00F00956">
              <w:t>124.9</w:t>
            </w:r>
          </w:p>
        </w:tc>
      </w:tr>
      <w:tr w:rsidR="005F4A7E" w:rsidRPr="002029AF" w14:paraId="63939D5F" w14:textId="77777777" w:rsidTr="00130D1C">
        <w:tc>
          <w:tcPr>
            <w:tcW w:w="6518" w:type="dxa"/>
            <w:hideMark/>
          </w:tcPr>
          <w:p w14:paraId="0E7C1F56" w14:textId="77777777" w:rsidR="005F4A7E" w:rsidRPr="002029AF" w:rsidRDefault="005F4A7E" w:rsidP="00130D1C">
            <w:pPr>
              <w:pStyle w:val="ARfintablebodybold"/>
            </w:pPr>
            <w:r w:rsidRPr="00F00956">
              <w:t>Total financial liabilities</w:t>
            </w:r>
          </w:p>
        </w:tc>
        <w:tc>
          <w:tcPr>
            <w:tcW w:w="851" w:type="dxa"/>
            <w:hideMark/>
          </w:tcPr>
          <w:p w14:paraId="4ACACE54" w14:textId="77777777" w:rsidR="005F4A7E" w:rsidRPr="002029AF" w:rsidRDefault="005F4A7E" w:rsidP="00130D1C">
            <w:pPr>
              <w:pStyle w:val="ARfintablebodyrightbold"/>
            </w:pPr>
          </w:p>
        </w:tc>
        <w:tc>
          <w:tcPr>
            <w:tcW w:w="1134" w:type="dxa"/>
            <w:shd w:val="clear" w:color="auto" w:fill="E7E6E6"/>
            <w:noWrap/>
            <w:hideMark/>
          </w:tcPr>
          <w:p w14:paraId="615A4D2C" w14:textId="77777777" w:rsidR="005F4A7E" w:rsidRPr="002029AF" w:rsidRDefault="005F4A7E" w:rsidP="00130D1C">
            <w:pPr>
              <w:pStyle w:val="ARfintablebodyrightbold"/>
            </w:pPr>
            <w:r w:rsidRPr="00F00956">
              <w:t>3,155.1</w:t>
            </w:r>
          </w:p>
        </w:tc>
        <w:tc>
          <w:tcPr>
            <w:tcW w:w="1134" w:type="dxa"/>
            <w:noWrap/>
            <w:hideMark/>
          </w:tcPr>
          <w:p w14:paraId="604F76F6" w14:textId="77777777" w:rsidR="005F4A7E" w:rsidRPr="002029AF" w:rsidRDefault="005F4A7E" w:rsidP="00130D1C">
            <w:pPr>
              <w:pStyle w:val="ARfintablebodyrightbold"/>
            </w:pPr>
            <w:r w:rsidRPr="00F00956">
              <w:t>2,928.7</w:t>
            </w:r>
          </w:p>
        </w:tc>
      </w:tr>
      <w:tr w:rsidR="005F4A7E" w:rsidRPr="002029AF" w14:paraId="4962EA92" w14:textId="77777777" w:rsidTr="00130D1C">
        <w:tc>
          <w:tcPr>
            <w:tcW w:w="9637" w:type="dxa"/>
            <w:gridSpan w:val="4"/>
            <w:tcBorders>
              <w:top w:val="single" w:sz="4" w:space="0" w:color="auto"/>
              <w:bottom w:val="single" w:sz="4" w:space="0" w:color="A6A6A6"/>
            </w:tcBorders>
            <w:hideMark/>
          </w:tcPr>
          <w:p w14:paraId="310935D5" w14:textId="77777777" w:rsidR="005F4A7E" w:rsidRPr="002029AF" w:rsidRDefault="005F4A7E" w:rsidP="00130D1C">
            <w:pPr>
              <w:pStyle w:val="ARfintablebodybold"/>
            </w:pPr>
            <w:r w:rsidRPr="00F00956">
              <w:t>Non-financial liabilities</w:t>
            </w:r>
          </w:p>
        </w:tc>
      </w:tr>
      <w:tr w:rsidR="005F4A7E" w:rsidRPr="002029AF" w14:paraId="1D436660" w14:textId="77777777" w:rsidTr="00130D1C">
        <w:tc>
          <w:tcPr>
            <w:tcW w:w="6518" w:type="dxa"/>
            <w:tcBorders>
              <w:top w:val="single" w:sz="4" w:space="0" w:color="A6A6A6"/>
              <w:bottom w:val="single" w:sz="4" w:space="0" w:color="A6A6A6"/>
            </w:tcBorders>
            <w:hideMark/>
          </w:tcPr>
          <w:p w14:paraId="72CDB3BC" w14:textId="77777777" w:rsidR="005F4A7E" w:rsidRPr="002029AF" w:rsidRDefault="005F4A7E" w:rsidP="00130D1C">
            <w:pPr>
              <w:pStyle w:val="ARfintablebody"/>
            </w:pPr>
            <w:r w:rsidRPr="00F00956">
              <w:t>Other non-financial liabilities</w:t>
            </w:r>
          </w:p>
        </w:tc>
        <w:tc>
          <w:tcPr>
            <w:tcW w:w="851" w:type="dxa"/>
            <w:tcBorders>
              <w:top w:val="single" w:sz="4" w:space="0" w:color="A6A6A6"/>
              <w:bottom w:val="single" w:sz="4" w:space="0" w:color="A6A6A6"/>
            </w:tcBorders>
            <w:noWrap/>
            <w:hideMark/>
          </w:tcPr>
          <w:p w14:paraId="58752530" w14:textId="77777777" w:rsidR="005F4A7E" w:rsidRPr="002029AF" w:rsidRDefault="005F4A7E" w:rsidP="00130D1C">
            <w:pPr>
              <w:pStyle w:val="ARfintablebodyright"/>
            </w:pPr>
            <w:r w:rsidRPr="00F00956">
              <w:t>6.7</w:t>
            </w:r>
          </w:p>
        </w:tc>
        <w:tc>
          <w:tcPr>
            <w:tcW w:w="1134" w:type="dxa"/>
            <w:tcBorders>
              <w:top w:val="single" w:sz="4" w:space="0" w:color="A6A6A6"/>
              <w:bottom w:val="single" w:sz="4" w:space="0" w:color="A6A6A6"/>
            </w:tcBorders>
            <w:shd w:val="clear" w:color="auto" w:fill="E7E6E6"/>
            <w:noWrap/>
            <w:hideMark/>
          </w:tcPr>
          <w:p w14:paraId="21207FE0" w14:textId="77777777" w:rsidR="005F4A7E" w:rsidRPr="002029AF" w:rsidRDefault="005F4A7E" w:rsidP="00130D1C">
            <w:pPr>
              <w:pStyle w:val="ARfintablebodyright"/>
            </w:pPr>
            <w:r w:rsidRPr="00F00956">
              <w:t>2.6</w:t>
            </w:r>
          </w:p>
        </w:tc>
        <w:tc>
          <w:tcPr>
            <w:tcW w:w="1134" w:type="dxa"/>
            <w:tcBorders>
              <w:top w:val="single" w:sz="4" w:space="0" w:color="A6A6A6"/>
              <w:bottom w:val="single" w:sz="4" w:space="0" w:color="A6A6A6"/>
            </w:tcBorders>
            <w:noWrap/>
            <w:hideMark/>
          </w:tcPr>
          <w:p w14:paraId="76D67B41" w14:textId="77777777" w:rsidR="005F4A7E" w:rsidRPr="002029AF" w:rsidRDefault="005F4A7E" w:rsidP="00130D1C">
            <w:pPr>
              <w:pStyle w:val="ARfintablebodyright"/>
            </w:pPr>
            <w:r w:rsidRPr="00F00956">
              <w:t>–</w:t>
            </w:r>
          </w:p>
        </w:tc>
      </w:tr>
      <w:tr w:rsidR="005F4A7E" w:rsidRPr="002029AF" w14:paraId="34058BE9" w14:textId="77777777" w:rsidTr="003566F1">
        <w:tc>
          <w:tcPr>
            <w:tcW w:w="6518" w:type="dxa"/>
            <w:hideMark/>
          </w:tcPr>
          <w:p w14:paraId="3DBB2ACC" w14:textId="77777777" w:rsidR="005F4A7E" w:rsidRPr="002029AF" w:rsidRDefault="005F4A7E" w:rsidP="00130D1C">
            <w:pPr>
              <w:pStyle w:val="ARfintablebodybold"/>
            </w:pPr>
            <w:r w:rsidRPr="00F00956">
              <w:t>Total non-financial liabilities</w:t>
            </w:r>
          </w:p>
        </w:tc>
        <w:tc>
          <w:tcPr>
            <w:tcW w:w="851" w:type="dxa"/>
            <w:hideMark/>
          </w:tcPr>
          <w:p w14:paraId="5065973F" w14:textId="77777777" w:rsidR="005F4A7E" w:rsidRPr="002029AF" w:rsidRDefault="005F4A7E" w:rsidP="00130D1C">
            <w:pPr>
              <w:pStyle w:val="ARfintablebodyrightbold"/>
            </w:pPr>
          </w:p>
        </w:tc>
        <w:tc>
          <w:tcPr>
            <w:tcW w:w="1134" w:type="dxa"/>
            <w:shd w:val="clear" w:color="auto" w:fill="E7E6E6"/>
            <w:noWrap/>
            <w:hideMark/>
          </w:tcPr>
          <w:p w14:paraId="64681C22" w14:textId="77777777" w:rsidR="005F4A7E" w:rsidRPr="002029AF" w:rsidRDefault="005F4A7E" w:rsidP="00130D1C">
            <w:pPr>
              <w:pStyle w:val="ARfintablebodyrightbold"/>
            </w:pPr>
            <w:r w:rsidRPr="00F00956">
              <w:t>2.6</w:t>
            </w:r>
          </w:p>
        </w:tc>
        <w:tc>
          <w:tcPr>
            <w:tcW w:w="1134" w:type="dxa"/>
            <w:noWrap/>
            <w:hideMark/>
          </w:tcPr>
          <w:p w14:paraId="090C32CD" w14:textId="77777777" w:rsidR="005F4A7E" w:rsidRPr="002029AF" w:rsidRDefault="005F4A7E" w:rsidP="00130D1C">
            <w:pPr>
              <w:pStyle w:val="ARfintablebodyrightbold"/>
            </w:pPr>
            <w:r w:rsidRPr="00F00956">
              <w:t>–</w:t>
            </w:r>
          </w:p>
        </w:tc>
      </w:tr>
      <w:tr w:rsidR="005F4A7E" w:rsidRPr="002029AF" w14:paraId="59493595" w14:textId="77777777" w:rsidTr="00130D1C">
        <w:tc>
          <w:tcPr>
            <w:tcW w:w="6518" w:type="dxa"/>
            <w:hideMark/>
          </w:tcPr>
          <w:p w14:paraId="53D52E47" w14:textId="77777777" w:rsidR="005F4A7E" w:rsidRPr="002029AF" w:rsidRDefault="005F4A7E" w:rsidP="00130D1C">
            <w:pPr>
              <w:pStyle w:val="ARfintablebodybold"/>
            </w:pPr>
            <w:r w:rsidRPr="00F00956">
              <w:t>Total liabilities</w:t>
            </w:r>
          </w:p>
        </w:tc>
        <w:tc>
          <w:tcPr>
            <w:tcW w:w="851" w:type="dxa"/>
            <w:hideMark/>
          </w:tcPr>
          <w:p w14:paraId="345D4252" w14:textId="77777777" w:rsidR="005F4A7E" w:rsidRPr="002029AF" w:rsidRDefault="005F4A7E" w:rsidP="00130D1C">
            <w:pPr>
              <w:pStyle w:val="ARfintablebodyrightbold"/>
            </w:pPr>
          </w:p>
        </w:tc>
        <w:tc>
          <w:tcPr>
            <w:tcW w:w="1134" w:type="dxa"/>
            <w:shd w:val="clear" w:color="auto" w:fill="E7E6E6"/>
            <w:noWrap/>
            <w:hideMark/>
          </w:tcPr>
          <w:p w14:paraId="78C6062C" w14:textId="77777777" w:rsidR="005F4A7E" w:rsidRPr="002029AF" w:rsidRDefault="005F4A7E" w:rsidP="00130D1C">
            <w:pPr>
              <w:pStyle w:val="ARfintablebodyrightbold"/>
            </w:pPr>
            <w:r w:rsidRPr="00F00956">
              <w:t>3,157.7</w:t>
            </w:r>
          </w:p>
        </w:tc>
        <w:tc>
          <w:tcPr>
            <w:tcW w:w="1134" w:type="dxa"/>
            <w:noWrap/>
            <w:hideMark/>
          </w:tcPr>
          <w:p w14:paraId="5FE7C3A3" w14:textId="77777777" w:rsidR="005F4A7E" w:rsidRPr="002029AF" w:rsidRDefault="005F4A7E" w:rsidP="00130D1C">
            <w:pPr>
              <w:pStyle w:val="ARfintablebodyrightbold"/>
            </w:pPr>
            <w:r w:rsidRPr="00F00956">
              <w:t>2,928.7</w:t>
            </w:r>
          </w:p>
        </w:tc>
      </w:tr>
      <w:tr w:rsidR="005F4A7E" w:rsidRPr="002029AF" w14:paraId="01112098" w14:textId="77777777" w:rsidTr="003566F1">
        <w:tc>
          <w:tcPr>
            <w:tcW w:w="6518" w:type="dxa"/>
            <w:tcBorders>
              <w:bottom w:val="single" w:sz="4" w:space="0" w:color="auto"/>
            </w:tcBorders>
            <w:hideMark/>
          </w:tcPr>
          <w:p w14:paraId="68996826" w14:textId="77777777" w:rsidR="005F4A7E" w:rsidRPr="002029AF" w:rsidRDefault="005F4A7E" w:rsidP="00130D1C">
            <w:pPr>
              <w:pStyle w:val="ARfintablebodybold"/>
            </w:pPr>
            <w:r w:rsidRPr="00F00956">
              <w:t>Net assets</w:t>
            </w:r>
          </w:p>
        </w:tc>
        <w:tc>
          <w:tcPr>
            <w:tcW w:w="851" w:type="dxa"/>
            <w:tcBorders>
              <w:bottom w:val="single" w:sz="4" w:space="0" w:color="auto"/>
            </w:tcBorders>
            <w:hideMark/>
          </w:tcPr>
          <w:p w14:paraId="603D5D88" w14:textId="77777777" w:rsidR="005F4A7E" w:rsidRPr="002029AF" w:rsidRDefault="005F4A7E" w:rsidP="00130D1C">
            <w:pPr>
              <w:pStyle w:val="ARfintablebodyrightbold"/>
            </w:pPr>
          </w:p>
        </w:tc>
        <w:tc>
          <w:tcPr>
            <w:tcW w:w="1134" w:type="dxa"/>
            <w:tcBorders>
              <w:bottom w:val="single" w:sz="4" w:space="0" w:color="auto"/>
            </w:tcBorders>
            <w:shd w:val="clear" w:color="auto" w:fill="E7E6E6"/>
            <w:noWrap/>
            <w:hideMark/>
          </w:tcPr>
          <w:p w14:paraId="2D3A218B" w14:textId="77777777" w:rsidR="005F4A7E" w:rsidRPr="002029AF" w:rsidRDefault="005F4A7E" w:rsidP="00130D1C">
            <w:pPr>
              <w:pStyle w:val="ARfintablebodyrightbold"/>
            </w:pPr>
            <w:r w:rsidRPr="00F00956">
              <w:t>37,275.9</w:t>
            </w:r>
          </w:p>
        </w:tc>
        <w:tc>
          <w:tcPr>
            <w:tcW w:w="1134" w:type="dxa"/>
            <w:tcBorders>
              <w:bottom w:val="single" w:sz="4" w:space="0" w:color="auto"/>
            </w:tcBorders>
            <w:noWrap/>
            <w:hideMark/>
          </w:tcPr>
          <w:p w14:paraId="2A25A3FE" w14:textId="77777777" w:rsidR="005F4A7E" w:rsidRPr="002029AF" w:rsidRDefault="005F4A7E" w:rsidP="00130D1C">
            <w:pPr>
              <w:pStyle w:val="ARfintablebodyrightbold"/>
            </w:pPr>
            <w:r w:rsidRPr="00F00956">
              <w:t>31,937.2</w:t>
            </w:r>
          </w:p>
        </w:tc>
      </w:tr>
      <w:tr w:rsidR="005F4A7E" w:rsidRPr="002029AF" w14:paraId="1370106A" w14:textId="77777777" w:rsidTr="003566F1">
        <w:tc>
          <w:tcPr>
            <w:tcW w:w="9637" w:type="dxa"/>
            <w:gridSpan w:val="4"/>
            <w:tcBorders>
              <w:top w:val="single" w:sz="4" w:space="0" w:color="auto"/>
              <w:bottom w:val="single" w:sz="4" w:space="0" w:color="A6A6A6"/>
            </w:tcBorders>
            <w:hideMark/>
          </w:tcPr>
          <w:p w14:paraId="091C081E" w14:textId="77777777" w:rsidR="005F4A7E" w:rsidRPr="002029AF" w:rsidRDefault="005F4A7E" w:rsidP="00130D1C">
            <w:pPr>
              <w:pStyle w:val="ARfintablebodybold"/>
            </w:pPr>
            <w:r w:rsidRPr="00F00956">
              <w:t>Equity</w:t>
            </w:r>
          </w:p>
        </w:tc>
      </w:tr>
      <w:tr w:rsidR="005F4A7E" w:rsidRPr="002029AF" w14:paraId="21F00B98" w14:textId="77777777" w:rsidTr="003566F1">
        <w:tc>
          <w:tcPr>
            <w:tcW w:w="6518" w:type="dxa"/>
            <w:tcBorders>
              <w:top w:val="single" w:sz="4" w:space="0" w:color="A6A6A6"/>
              <w:bottom w:val="single" w:sz="4" w:space="0" w:color="A6A6A6"/>
            </w:tcBorders>
            <w:hideMark/>
          </w:tcPr>
          <w:p w14:paraId="4D326340" w14:textId="77777777" w:rsidR="005F4A7E" w:rsidRPr="002029AF" w:rsidRDefault="005F4A7E" w:rsidP="00130D1C">
            <w:pPr>
              <w:pStyle w:val="ARfintablebody"/>
            </w:pPr>
            <w:r w:rsidRPr="00F00956">
              <w:t>Accumulated surplus/(deficit)</w:t>
            </w:r>
          </w:p>
        </w:tc>
        <w:tc>
          <w:tcPr>
            <w:tcW w:w="851" w:type="dxa"/>
            <w:tcBorders>
              <w:top w:val="single" w:sz="4" w:space="0" w:color="A6A6A6"/>
              <w:bottom w:val="single" w:sz="4" w:space="0" w:color="A6A6A6"/>
            </w:tcBorders>
            <w:noWrap/>
            <w:hideMark/>
          </w:tcPr>
          <w:p w14:paraId="21165AF1" w14:textId="77777777" w:rsidR="005F4A7E" w:rsidRPr="002029AF" w:rsidRDefault="005F4A7E" w:rsidP="00130D1C">
            <w:pPr>
              <w:pStyle w:val="ARfintablebodyright"/>
            </w:pPr>
          </w:p>
        </w:tc>
        <w:tc>
          <w:tcPr>
            <w:tcW w:w="1134" w:type="dxa"/>
            <w:tcBorders>
              <w:top w:val="single" w:sz="4" w:space="0" w:color="A6A6A6"/>
              <w:bottom w:val="single" w:sz="4" w:space="0" w:color="A6A6A6"/>
            </w:tcBorders>
            <w:shd w:val="clear" w:color="auto" w:fill="E7E6E6"/>
            <w:noWrap/>
            <w:hideMark/>
          </w:tcPr>
          <w:p w14:paraId="71AB92AF" w14:textId="77777777" w:rsidR="005F4A7E" w:rsidRPr="002029AF" w:rsidRDefault="005F4A7E" w:rsidP="00130D1C">
            <w:pPr>
              <w:pStyle w:val="ARfintablebodyright"/>
            </w:pPr>
            <w:r w:rsidRPr="00F00956">
              <w:t>3,714.0</w:t>
            </w:r>
          </w:p>
        </w:tc>
        <w:tc>
          <w:tcPr>
            <w:tcW w:w="1134" w:type="dxa"/>
            <w:tcBorders>
              <w:top w:val="single" w:sz="4" w:space="0" w:color="A6A6A6"/>
              <w:bottom w:val="single" w:sz="4" w:space="0" w:color="A6A6A6"/>
            </w:tcBorders>
            <w:noWrap/>
            <w:hideMark/>
          </w:tcPr>
          <w:p w14:paraId="5E273A2F" w14:textId="77777777" w:rsidR="005F4A7E" w:rsidRPr="002029AF" w:rsidRDefault="005F4A7E" w:rsidP="00130D1C">
            <w:pPr>
              <w:pStyle w:val="ARfintablebodyright"/>
            </w:pPr>
            <w:r w:rsidRPr="00F00956">
              <w:t>2,145.0</w:t>
            </w:r>
          </w:p>
        </w:tc>
      </w:tr>
      <w:tr w:rsidR="005F4A7E" w:rsidRPr="002029AF" w14:paraId="4D2385D1" w14:textId="77777777" w:rsidTr="003566F1">
        <w:tc>
          <w:tcPr>
            <w:tcW w:w="6518" w:type="dxa"/>
            <w:tcBorders>
              <w:top w:val="single" w:sz="4" w:space="0" w:color="A6A6A6"/>
              <w:bottom w:val="single" w:sz="4" w:space="0" w:color="A6A6A6"/>
            </w:tcBorders>
            <w:hideMark/>
          </w:tcPr>
          <w:p w14:paraId="10F99CFD" w14:textId="77777777" w:rsidR="005F4A7E" w:rsidRPr="002029AF" w:rsidRDefault="005F4A7E" w:rsidP="00130D1C">
            <w:pPr>
              <w:pStyle w:val="ARfintablebody"/>
            </w:pPr>
            <w:r w:rsidRPr="00F00956">
              <w:t>Physical asset revaluations surplus</w:t>
            </w:r>
          </w:p>
        </w:tc>
        <w:tc>
          <w:tcPr>
            <w:tcW w:w="851" w:type="dxa"/>
            <w:tcBorders>
              <w:top w:val="single" w:sz="4" w:space="0" w:color="A6A6A6"/>
              <w:bottom w:val="single" w:sz="4" w:space="0" w:color="A6A6A6"/>
            </w:tcBorders>
            <w:noWrap/>
            <w:hideMark/>
          </w:tcPr>
          <w:p w14:paraId="5308566C" w14:textId="77777777" w:rsidR="005F4A7E" w:rsidRPr="002029AF" w:rsidRDefault="005F4A7E" w:rsidP="00130D1C">
            <w:pPr>
              <w:pStyle w:val="ARfintablebodyright"/>
            </w:pPr>
            <w:r w:rsidRPr="00F00956">
              <w:t>9.4</w:t>
            </w:r>
          </w:p>
        </w:tc>
        <w:tc>
          <w:tcPr>
            <w:tcW w:w="1134" w:type="dxa"/>
            <w:tcBorders>
              <w:top w:val="single" w:sz="4" w:space="0" w:color="A6A6A6"/>
              <w:bottom w:val="single" w:sz="4" w:space="0" w:color="A6A6A6"/>
            </w:tcBorders>
            <w:shd w:val="clear" w:color="auto" w:fill="E7E6E6"/>
            <w:noWrap/>
            <w:hideMark/>
          </w:tcPr>
          <w:p w14:paraId="01E85623" w14:textId="77777777" w:rsidR="005F4A7E" w:rsidRPr="002029AF" w:rsidRDefault="005F4A7E" w:rsidP="00130D1C">
            <w:pPr>
              <w:pStyle w:val="ARfintablebodyright"/>
            </w:pPr>
            <w:r w:rsidRPr="00F00956">
              <w:t>4,877.9</w:t>
            </w:r>
          </w:p>
        </w:tc>
        <w:tc>
          <w:tcPr>
            <w:tcW w:w="1134" w:type="dxa"/>
            <w:tcBorders>
              <w:top w:val="single" w:sz="4" w:space="0" w:color="A6A6A6"/>
              <w:bottom w:val="single" w:sz="4" w:space="0" w:color="A6A6A6"/>
            </w:tcBorders>
            <w:noWrap/>
            <w:hideMark/>
          </w:tcPr>
          <w:p w14:paraId="493D3B94" w14:textId="77777777" w:rsidR="005F4A7E" w:rsidRPr="002029AF" w:rsidRDefault="005F4A7E" w:rsidP="00130D1C">
            <w:pPr>
              <w:pStyle w:val="ARfintablebodyright"/>
            </w:pPr>
            <w:r w:rsidRPr="00F00956">
              <w:t>7,377.2</w:t>
            </w:r>
          </w:p>
        </w:tc>
      </w:tr>
      <w:tr w:rsidR="005F4A7E" w:rsidRPr="002029AF" w14:paraId="269DEADE" w14:textId="77777777" w:rsidTr="003566F1">
        <w:tc>
          <w:tcPr>
            <w:tcW w:w="6518" w:type="dxa"/>
            <w:tcBorders>
              <w:top w:val="single" w:sz="4" w:space="0" w:color="A6A6A6"/>
            </w:tcBorders>
            <w:hideMark/>
          </w:tcPr>
          <w:p w14:paraId="66D186BA" w14:textId="77777777" w:rsidR="005F4A7E" w:rsidRPr="002029AF" w:rsidRDefault="005F4A7E" w:rsidP="00130D1C">
            <w:pPr>
              <w:pStyle w:val="ARfintablebody"/>
            </w:pPr>
            <w:r w:rsidRPr="00F00956">
              <w:t>Contributed capital</w:t>
            </w:r>
          </w:p>
        </w:tc>
        <w:tc>
          <w:tcPr>
            <w:tcW w:w="851" w:type="dxa"/>
            <w:tcBorders>
              <w:top w:val="single" w:sz="4" w:space="0" w:color="A6A6A6"/>
            </w:tcBorders>
            <w:noWrap/>
            <w:hideMark/>
          </w:tcPr>
          <w:p w14:paraId="0F2A8BAE" w14:textId="77777777" w:rsidR="005F4A7E" w:rsidRPr="002029AF" w:rsidRDefault="005F4A7E" w:rsidP="00130D1C">
            <w:pPr>
              <w:pStyle w:val="ARfintablebodyright"/>
            </w:pPr>
          </w:p>
        </w:tc>
        <w:tc>
          <w:tcPr>
            <w:tcW w:w="1134" w:type="dxa"/>
            <w:tcBorders>
              <w:top w:val="single" w:sz="4" w:space="0" w:color="A6A6A6"/>
            </w:tcBorders>
            <w:shd w:val="clear" w:color="auto" w:fill="E7E6E6"/>
            <w:noWrap/>
            <w:hideMark/>
          </w:tcPr>
          <w:p w14:paraId="6E3D3A38" w14:textId="77777777" w:rsidR="005F4A7E" w:rsidRPr="002029AF" w:rsidRDefault="005F4A7E" w:rsidP="00130D1C">
            <w:pPr>
              <w:pStyle w:val="ARfintablebodyright"/>
            </w:pPr>
            <w:r w:rsidRPr="00F00956">
              <w:t>28,684.1</w:t>
            </w:r>
          </w:p>
        </w:tc>
        <w:tc>
          <w:tcPr>
            <w:tcW w:w="1134" w:type="dxa"/>
            <w:tcBorders>
              <w:top w:val="single" w:sz="4" w:space="0" w:color="A6A6A6"/>
            </w:tcBorders>
            <w:noWrap/>
            <w:hideMark/>
          </w:tcPr>
          <w:p w14:paraId="3DEF7666" w14:textId="77777777" w:rsidR="005F4A7E" w:rsidRPr="002029AF" w:rsidRDefault="005F4A7E" w:rsidP="00130D1C">
            <w:pPr>
              <w:pStyle w:val="ARfintablebodyright"/>
            </w:pPr>
            <w:r w:rsidRPr="00F00956">
              <w:t>22,415.0</w:t>
            </w:r>
          </w:p>
        </w:tc>
      </w:tr>
      <w:tr w:rsidR="005F4A7E" w:rsidRPr="002029AF" w14:paraId="41801E84" w14:textId="77777777" w:rsidTr="003566F1">
        <w:tc>
          <w:tcPr>
            <w:tcW w:w="6518" w:type="dxa"/>
            <w:hideMark/>
          </w:tcPr>
          <w:p w14:paraId="134808E3" w14:textId="77777777" w:rsidR="005F4A7E" w:rsidRPr="002029AF" w:rsidRDefault="005F4A7E" w:rsidP="00130D1C">
            <w:pPr>
              <w:pStyle w:val="ARfintablebodybold"/>
            </w:pPr>
            <w:r w:rsidRPr="00F00956">
              <w:t>Net worth</w:t>
            </w:r>
          </w:p>
        </w:tc>
        <w:tc>
          <w:tcPr>
            <w:tcW w:w="851" w:type="dxa"/>
            <w:hideMark/>
          </w:tcPr>
          <w:p w14:paraId="4D89B5D2" w14:textId="77777777" w:rsidR="005F4A7E" w:rsidRPr="002029AF" w:rsidRDefault="005F4A7E" w:rsidP="00130D1C">
            <w:pPr>
              <w:pStyle w:val="ARfintablebodyrightbold"/>
            </w:pPr>
          </w:p>
        </w:tc>
        <w:tc>
          <w:tcPr>
            <w:tcW w:w="1134" w:type="dxa"/>
            <w:shd w:val="clear" w:color="auto" w:fill="E7E6E6"/>
            <w:noWrap/>
            <w:hideMark/>
          </w:tcPr>
          <w:p w14:paraId="37110C76" w14:textId="77777777" w:rsidR="005F4A7E" w:rsidRPr="002029AF" w:rsidRDefault="005F4A7E" w:rsidP="00130D1C">
            <w:pPr>
              <w:pStyle w:val="ARfintablebodyrightbold"/>
            </w:pPr>
            <w:r w:rsidRPr="00F00956">
              <w:t>37,275.9</w:t>
            </w:r>
          </w:p>
        </w:tc>
        <w:tc>
          <w:tcPr>
            <w:tcW w:w="1134" w:type="dxa"/>
            <w:noWrap/>
            <w:hideMark/>
          </w:tcPr>
          <w:p w14:paraId="2417D62C" w14:textId="77777777" w:rsidR="005F4A7E" w:rsidRPr="002029AF" w:rsidRDefault="005F4A7E" w:rsidP="00130D1C">
            <w:pPr>
              <w:pStyle w:val="ARfintablebodyrightbold"/>
            </w:pPr>
            <w:r w:rsidRPr="00F00956">
              <w:t>31,937.2</w:t>
            </w:r>
          </w:p>
        </w:tc>
      </w:tr>
    </w:tbl>
    <w:p w14:paraId="6B1F8132" w14:textId="77777777" w:rsidR="005F4A7E" w:rsidRPr="00194D78" w:rsidRDefault="005F4A7E" w:rsidP="00130D1C">
      <w:pPr>
        <w:pStyle w:val="ARfintablefootnote"/>
        <w:rPr>
          <w:lang w:eastAsia="en-AU"/>
        </w:rPr>
      </w:pPr>
      <w:r w:rsidRPr="00194D78">
        <w:rPr>
          <w:lang w:eastAsia="en-AU"/>
        </w:rPr>
        <w:t>The balance sheet should be read in conjunction with the notes to the financial statements.</w:t>
      </w:r>
    </w:p>
    <w:p w14:paraId="32AC53CD" w14:textId="77777777" w:rsidR="005F4A7E" w:rsidRPr="002029AF" w:rsidRDefault="005F4A7E" w:rsidP="003566F1">
      <w:pPr>
        <w:pStyle w:val="ARbody"/>
      </w:pPr>
      <w:r w:rsidRPr="002029AF">
        <w:br w:type="page"/>
      </w:r>
    </w:p>
    <w:p w14:paraId="1817A409" w14:textId="3D26213E" w:rsidR="005F4A7E" w:rsidRPr="002029AF" w:rsidRDefault="005F4A7E" w:rsidP="00130D1C">
      <w:pPr>
        <w:pStyle w:val="Heading2Financials"/>
      </w:pPr>
      <w:bookmarkStart w:id="717" w:name="Cash_flow_statement"/>
      <w:bookmarkStart w:id="718" w:name="_Toc85121351"/>
      <w:bookmarkStart w:id="719" w:name="_Toc86075627"/>
      <w:bookmarkEnd w:id="717"/>
      <w:r>
        <w:lastRenderedPageBreak/>
        <w:t>Cash flow statement for the financial year ended 30 June 2021</w:t>
      </w:r>
      <w:bookmarkEnd w:id="718"/>
      <w:bookmarkEnd w:id="719"/>
    </w:p>
    <w:tbl>
      <w:tblPr>
        <w:tblStyle w:val="TableGrid"/>
        <w:tblW w:w="9637" w:type="dxa"/>
        <w:tblLayout w:type="fixed"/>
        <w:tblLook w:val="06A0" w:firstRow="1" w:lastRow="0" w:firstColumn="1" w:lastColumn="0" w:noHBand="1" w:noVBand="1"/>
      </w:tblPr>
      <w:tblGrid>
        <w:gridCol w:w="6511"/>
        <w:gridCol w:w="850"/>
        <w:gridCol w:w="1133"/>
        <w:gridCol w:w="1133"/>
        <w:gridCol w:w="10"/>
      </w:tblGrid>
      <w:tr w:rsidR="005F4A7E" w:rsidRPr="002029AF" w14:paraId="58AE3ACE" w14:textId="77777777" w:rsidTr="00C83719">
        <w:trPr>
          <w:gridAfter w:val="1"/>
          <w:cnfStyle w:val="100000000000" w:firstRow="1" w:lastRow="0" w:firstColumn="0" w:lastColumn="0" w:oddVBand="0" w:evenVBand="0" w:oddHBand="0" w:evenHBand="0" w:firstRowFirstColumn="0" w:firstRowLastColumn="0" w:lastRowFirstColumn="0" w:lastRowLastColumn="0"/>
          <w:wAfter w:w="10" w:type="dxa"/>
          <w:tblHeader/>
        </w:trPr>
        <w:tc>
          <w:tcPr>
            <w:tcW w:w="6518" w:type="dxa"/>
            <w:tcBorders>
              <w:bottom w:val="single" w:sz="4" w:space="0" w:color="auto"/>
            </w:tcBorders>
            <w:noWrap/>
            <w:hideMark/>
          </w:tcPr>
          <w:p w14:paraId="5DFCA876" w14:textId="77777777" w:rsidR="005F4A7E" w:rsidRPr="002029AF" w:rsidRDefault="005F4A7E" w:rsidP="003566F1">
            <w:pPr>
              <w:pStyle w:val="ARfintablecolhead"/>
            </w:pPr>
          </w:p>
        </w:tc>
        <w:tc>
          <w:tcPr>
            <w:tcW w:w="851" w:type="dxa"/>
            <w:tcBorders>
              <w:bottom w:val="single" w:sz="4" w:space="0" w:color="auto"/>
            </w:tcBorders>
            <w:noWrap/>
            <w:hideMark/>
          </w:tcPr>
          <w:p w14:paraId="40D7A3BD" w14:textId="77777777" w:rsidR="005F4A7E" w:rsidRPr="002029AF" w:rsidRDefault="005F4A7E" w:rsidP="003566F1">
            <w:pPr>
              <w:pStyle w:val="ARfintablecolheadright"/>
            </w:pPr>
            <w:r w:rsidRPr="002029AF">
              <w:t>Note</w:t>
            </w:r>
          </w:p>
        </w:tc>
        <w:tc>
          <w:tcPr>
            <w:tcW w:w="1134" w:type="dxa"/>
            <w:tcBorders>
              <w:bottom w:val="single" w:sz="4" w:space="0" w:color="auto"/>
            </w:tcBorders>
            <w:shd w:val="clear" w:color="auto" w:fill="E7E6E6"/>
            <w:hideMark/>
          </w:tcPr>
          <w:p w14:paraId="2BB16094" w14:textId="77777777" w:rsidR="005F4A7E" w:rsidRPr="002029AF" w:rsidRDefault="005F4A7E" w:rsidP="003566F1">
            <w:pPr>
              <w:pStyle w:val="ARfintablecolheadright"/>
            </w:pPr>
            <w:r w:rsidRPr="002029AF">
              <w:t>202</w:t>
            </w:r>
            <w:r>
              <w:t>1</w:t>
            </w:r>
          </w:p>
          <w:p w14:paraId="4ED2DC37" w14:textId="77777777" w:rsidR="005F4A7E" w:rsidRPr="002029AF" w:rsidRDefault="005F4A7E" w:rsidP="003566F1">
            <w:pPr>
              <w:pStyle w:val="ARfintablecolheadright"/>
            </w:pPr>
            <w:r w:rsidRPr="002029AF">
              <w:t>$M</w:t>
            </w:r>
          </w:p>
        </w:tc>
        <w:tc>
          <w:tcPr>
            <w:tcW w:w="1134" w:type="dxa"/>
            <w:tcBorders>
              <w:bottom w:val="single" w:sz="4" w:space="0" w:color="auto"/>
            </w:tcBorders>
            <w:hideMark/>
          </w:tcPr>
          <w:p w14:paraId="0A570AA4" w14:textId="77777777" w:rsidR="005F4A7E" w:rsidRPr="002029AF" w:rsidRDefault="005F4A7E" w:rsidP="003566F1">
            <w:pPr>
              <w:pStyle w:val="ARfintablecolheadright"/>
            </w:pPr>
            <w:r>
              <w:t>2020</w:t>
            </w:r>
          </w:p>
          <w:p w14:paraId="483FF531" w14:textId="77777777" w:rsidR="005F4A7E" w:rsidRPr="002029AF" w:rsidRDefault="005F4A7E" w:rsidP="003566F1">
            <w:pPr>
              <w:pStyle w:val="ARfintablecolheadright"/>
            </w:pPr>
            <w:r w:rsidRPr="002029AF">
              <w:t>$M</w:t>
            </w:r>
          </w:p>
        </w:tc>
      </w:tr>
      <w:tr w:rsidR="005F4A7E" w:rsidRPr="002029AF" w14:paraId="025479BA" w14:textId="77777777" w:rsidTr="003566F1">
        <w:trPr>
          <w:gridAfter w:val="1"/>
          <w:wAfter w:w="10" w:type="dxa"/>
        </w:trPr>
        <w:tc>
          <w:tcPr>
            <w:tcW w:w="9637" w:type="dxa"/>
            <w:gridSpan w:val="4"/>
            <w:tcBorders>
              <w:top w:val="single" w:sz="4" w:space="0" w:color="auto"/>
              <w:bottom w:val="single" w:sz="4" w:space="0" w:color="A6A6A6"/>
            </w:tcBorders>
            <w:hideMark/>
          </w:tcPr>
          <w:p w14:paraId="2F12E128" w14:textId="77777777" w:rsidR="005F4A7E" w:rsidRPr="002029AF" w:rsidRDefault="005F4A7E" w:rsidP="00130D1C">
            <w:pPr>
              <w:pStyle w:val="ARfintablebodybold"/>
            </w:pPr>
            <w:r w:rsidRPr="00800BB4">
              <w:t>Cash flows from operating activities</w:t>
            </w:r>
          </w:p>
        </w:tc>
      </w:tr>
      <w:tr w:rsidR="005F4A7E" w:rsidRPr="002029AF" w14:paraId="75E755CF" w14:textId="77777777" w:rsidTr="003566F1">
        <w:trPr>
          <w:gridAfter w:val="1"/>
          <w:wAfter w:w="10" w:type="dxa"/>
        </w:trPr>
        <w:tc>
          <w:tcPr>
            <w:tcW w:w="9637" w:type="dxa"/>
            <w:gridSpan w:val="4"/>
            <w:tcBorders>
              <w:top w:val="single" w:sz="4" w:space="0" w:color="A6A6A6"/>
              <w:bottom w:val="single" w:sz="4" w:space="0" w:color="A6A6A6"/>
            </w:tcBorders>
            <w:hideMark/>
          </w:tcPr>
          <w:p w14:paraId="7DCE7EE7" w14:textId="77777777" w:rsidR="005F4A7E" w:rsidRPr="002029AF" w:rsidRDefault="005F4A7E" w:rsidP="00130D1C">
            <w:pPr>
              <w:pStyle w:val="ARfintablebodybold"/>
            </w:pPr>
            <w:r w:rsidRPr="00800BB4">
              <w:t>Receipts</w:t>
            </w:r>
          </w:p>
        </w:tc>
      </w:tr>
      <w:tr w:rsidR="005F4A7E" w:rsidRPr="002029AF" w14:paraId="56AFEC6D" w14:textId="77777777" w:rsidTr="003566F1">
        <w:trPr>
          <w:gridAfter w:val="1"/>
          <w:wAfter w:w="10" w:type="dxa"/>
        </w:trPr>
        <w:tc>
          <w:tcPr>
            <w:tcW w:w="6518" w:type="dxa"/>
            <w:tcBorders>
              <w:top w:val="single" w:sz="4" w:space="0" w:color="A6A6A6"/>
              <w:bottom w:val="single" w:sz="4" w:space="0" w:color="A6A6A6"/>
            </w:tcBorders>
            <w:hideMark/>
          </w:tcPr>
          <w:p w14:paraId="46D3DAB6" w14:textId="77777777" w:rsidR="005F4A7E" w:rsidRPr="002029AF" w:rsidRDefault="005F4A7E" w:rsidP="00130D1C">
            <w:pPr>
              <w:pStyle w:val="ARfintablebody"/>
            </w:pPr>
            <w:r w:rsidRPr="00800BB4">
              <w:t>Receipts of output appropriations</w:t>
            </w:r>
          </w:p>
        </w:tc>
        <w:tc>
          <w:tcPr>
            <w:tcW w:w="851" w:type="dxa"/>
            <w:tcBorders>
              <w:top w:val="single" w:sz="4" w:space="0" w:color="A6A6A6"/>
              <w:bottom w:val="single" w:sz="4" w:space="0" w:color="A6A6A6"/>
            </w:tcBorders>
            <w:noWrap/>
            <w:hideMark/>
          </w:tcPr>
          <w:p w14:paraId="487A6357" w14:textId="77777777" w:rsidR="005F4A7E" w:rsidRPr="002029AF" w:rsidRDefault="005F4A7E" w:rsidP="00130D1C">
            <w:pPr>
              <w:pStyle w:val="ARfintablebodyright"/>
            </w:pPr>
          </w:p>
        </w:tc>
        <w:tc>
          <w:tcPr>
            <w:tcW w:w="1134" w:type="dxa"/>
            <w:tcBorders>
              <w:top w:val="single" w:sz="4" w:space="0" w:color="A6A6A6"/>
              <w:bottom w:val="single" w:sz="4" w:space="0" w:color="A6A6A6"/>
            </w:tcBorders>
            <w:shd w:val="clear" w:color="auto" w:fill="E7E6E6"/>
            <w:noWrap/>
            <w:hideMark/>
          </w:tcPr>
          <w:p w14:paraId="1A41D7AD" w14:textId="77777777" w:rsidR="005F4A7E" w:rsidRPr="002029AF" w:rsidRDefault="005F4A7E" w:rsidP="00130D1C">
            <w:pPr>
              <w:pStyle w:val="ARfintablebodyright"/>
            </w:pPr>
            <w:r w:rsidRPr="00800BB4">
              <w:t>21,503.2</w:t>
            </w:r>
          </w:p>
        </w:tc>
        <w:tc>
          <w:tcPr>
            <w:tcW w:w="1134" w:type="dxa"/>
            <w:tcBorders>
              <w:top w:val="single" w:sz="4" w:space="0" w:color="A6A6A6"/>
              <w:bottom w:val="single" w:sz="4" w:space="0" w:color="A6A6A6"/>
            </w:tcBorders>
            <w:noWrap/>
            <w:hideMark/>
          </w:tcPr>
          <w:p w14:paraId="6AFBBDDE" w14:textId="77777777" w:rsidR="005F4A7E" w:rsidRPr="002029AF" w:rsidRDefault="005F4A7E" w:rsidP="00130D1C">
            <w:pPr>
              <w:pStyle w:val="ARfintablebodyright"/>
            </w:pPr>
            <w:r w:rsidRPr="00800BB4">
              <w:t>16,894.8</w:t>
            </w:r>
          </w:p>
        </w:tc>
      </w:tr>
      <w:tr w:rsidR="005F4A7E" w:rsidRPr="002029AF" w14:paraId="757C489A" w14:textId="77777777" w:rsidTr="003566F1">
        <w:trPr>
          <w:gridAfter w:val="1"/>
          <w:wAfter w:w="10" w:type="dxa"/>
        </w:trPr>
        <w:tc>
          <w:tcPr>
            <w:tcW w:w="6518" w:type="dxa"/>
            <w:tcBorders>
              <w:top w:val="single" w:sz="4" w:space="0" w:color="A6A6A6"/>
              <w:bottom w:val="single" w:sz="4" w:space="0" w:color="A6A6A6"/>
            </w:tcBorders>
            <w:hideMark/>
          </w:tcPr>
          <w:p w14:paraId="360DF853" w14:textId="77777777" w:rsidR="005F4A7E" w:rsidRPr="002029AF" w:rsidRDefault="005F4A7E" w:rsidP="00130D1C">
            <w:pPr>
              <w:pStyle w:val="ARfintablebody"/>
            </w:pPr>
            <w:r w:rsidRPr="00800BB4">
              <w:t>Receipts of special appropriations</w:t>
            </w:r>
          </w:p>
        </w:tc>
        <w:tc>
          <w:tcPr>
            <w:tcW w:w="851" w:type="dxa"/>
            <w:tcBorders>
              <w:top w:val="single" w:sz="4" w:space="0" w:color="A6A6A6"/>
              <w:bottom w:val="single" w:sz="4" w:space="0" w:color="A6A6A6"/>
            </w:tcBorders>
            <w:noWrap/>
            <w:hideMark/>
          </w:tcPr>
          <w:p w14:paraId="50FC631D" w14:textId="77777777" w:rsidR="005F4A7E" w:rsidRPr="002029AF" w:rsidRDefault="005F4A7E" w:rsidP="00130D1C">
            <w:pPr>
              <w:pStyle w:val="ARfintablebodyright"/>
            </w:pPr>
          </w:p>
        </w:tc>
        <w:tc>
          <w:tcPr>
            <w:tcW w:w="1134" w:type="dxa"/>
            <w:tcBorders>
              <w:top w:val="single" w:sz="4" w:space="0" w:color="A6A6A6"/>
              <w:bottom w:val="single" w:sz="4" w:space="0" w:color="A6A6A6"/>
            </w:tcBorders>
            <w:shd w:val="clear" w:color="auto" w:fill="E7E6E6"/>
            <w:noWrap/>
            <w:hideMark/>
          </w:tcPr>
          <w:p w14:paraId="7D733D01" w14:textId="77777777" w:rsidR="005F4A7E" w:rsidRPr="002029AF" w:rsidRDefault="005F4A7E" w:rsidP="00130D1C">
            <w:pPr>
              <w:pStyle w:val="ARfintablebodyright"/>
            </w:pPr>
            <w:r w:rsidRPr="00800BB4">
              <w:t>1,098.9</w:t>
            </w:r>
          </w:p>
        </w:tc>
        <w:tc>
          <w:tcPr>
            <w:tcW w:w="1134" w:type="dxa"/>
            <w:tcBorders>
              <w:top w:val="single" w:sz="4" w:space="0" w:color="A6A6A6"/>
              <w:bottom w:val="single" w:sz="4" w:space="0" w:color="A6A6A6"/>
            </w:tcBorders>
            <w:noWrap/>
            <w:hideMark/>
          </w:tcPr>
          <w:p w14:paraId="48F837AA" w14:textId="77777777" w:rsidR="005F4A7E" w:rsidRPr="002029AF" w:rsidRDefault="005F4A7E" w:rsidP="00130D1C">
            <w:pPr>
              <w:pStyle w:val="ARfintablebodyright"/>
            </w:pPr>
            <w:r w:rsidRPr="00800BB4">
              <w:t>1,371.9</w:t>
            </w:r>
          </w:p>
        </w:tc>
      </w:tr>
      <w:tr w:rsidR="005F4A7E" w:rsidRPr="002029AF" w14:paraId="16CACC8B" w14:textId="77777777" w:rsidTr="003566F1">
        <w:trPr>
          <w:gridAfter w:val="1"/>
          <w:wAfter w:w="10" w:type="dxa"/>
        </w:trPr>
        <w:tc>
          <w:tcPr>
            <w:tcW w:w="6518" w:type="dxa"/>
            <w:tcBorders>
              <w:top w:val="single" w:sz="4" w:space="0" w:color="A6A6A6"/>
              <w:bottom w:val="single" w:sz="4" w:space="0" w:color="A6A6A6"/>
            </w:tcBorders>
            <w:hideMark/>
          </w:tcPr>
          <w:p w14:paraId="3BFA1F9A" w14:textId="77777777" w:rsidR="005F4A7E" w:rsidRPr="002029AF" w:rsidRDefault="005F4A7E" w:rsidP="00130D1C">
            <w:pPr>
              <w:pStyle w:val="ARfintablebody"/>
            </w:pPr>
            <w:r w:rsidRPr="00800BB4">
              <w:t>Receipts of funds from other authorities</w:t>
            </w:r>
          </w:p>
        </w:tc>
        <w:tc>
          <w:tcPr>
            <w:tcW w:w="851" w:type="dxa"/>
            <w:tcBorders>
              <w:top w:val="single" w:sz="4" w:space="0" w:color="A6A6A6"/>
              <w:bottom w:val="single" w:sz="4" w:space="0" w:color="A6A6A6"/>
            </w:tcBorders>
            <w:noWrap/>
            <w:hideMark/>
          </w:tcPr>
          <w:p w14:paraId="059B20E7" w14:textId="77777777" w:rsidR="005F4A7E" w:rsidRPr="002029AF" w:rsidRDefault="005F4A7E" w:rsidP="00130D1C">
            <w:pPr>
              <w:pStyle w:val="ARfintablebodyright"/>
            </w:pPr>
          </w:p>
        </w:tc>
        <w:tc>
          <w:tcPr>
            <w:tcW w:w="1134" w:type="dxa"/>
            <w:tcBorders>
              <w:top w:val="single" w:sz="4" w:space="0" w:color="A6A6A6"/>
              <w:bottom w:val="single" w:sz="4" w:space="0" w:color="A6A6A6"/>
            </w:tcBorders>
            <w:shd w:val="clear" w:color="auto" w:fill="E7E6E6"/>
            <w:noWrap/>
            <w:hideMark/>
          </w:tcPr>
          <w:p w14:paraId="2B49FC1C" w14:textId="77777777" w:rsidR="005F4A7E" w:rsidRPr="002029AF" w:rsidRDefault="005F4A7E" w:rsidP="00130D1C">
            <w:pPr>
              <w:pStyle w:val="ARfintablebodyright"/>
            </w:pPr>
            <w:r w:rsidRPr="00800BB4">
              <w:t>2,673.6</w:t>
            </w:r>
          </w:p>
        </w:tc>
        <w:tc>
          <w:tcPr>
            <w:tcW w:w="1134" w:type="dxa"/>
            <w:tcBorders>
              <w:top w:val="single" w:sz="4" w:space="0" w:color="A6A6A6"/>
              <w:bottom w:val="single" w:sz="4" w:space="0" w:color="A6A6A6"/>
            </w:tcBorders>
            <w:noWrap/>
            <w:hideMark/>
          </w:tcPr>
          <w:p w14:paraId="50598EDE" w14:textId="77777777" w:rsidR="005F4A7E" w:rsidRPr="002029AF" w:rsidRDefault="005F4A7E" w:rsidP="00130D1C">
            <w:pPr>
              <w:pStyle w:val="ARfintablebodyright"/>
            </w:pPr>
            <w:r w:rsidRPr="00800BB4">
              <w:t>2,358.8</w:t>
            </w:r>
          </w:p>
        </w:tc>
      </w:tr>
      <w:tr w:rsidR="005F4A7E" w:rsidRPr="002029AF" w14:paraId="624D9179" w14:textId="77777777" w:rsidTr="003566F1">
        <w:trPr>
          <w:gridAfter w:val="1"/>
          <w:wAfter w:w="10" w:type="dxa"/>
        </w:trPr>
        <w:tc>
          <w:tcPr>
            <w:tcW w:w="6518" w:type="dxa"/>
            <w:tcBorders>
              <w:top w:val="single" w:sz="4" w:space="0" w:color="A6A6A6"/>
              <w:bottom w:val="single" w:sz="4" w:space="0" w:color="A6A6A6"/>
            </w:tcBorders>
            <w:hideMark/>
          </w:tcPr>
          <w:p w14:paraId="7D15A791" w14:textId="77777777" w:rsidR="005F4A7E" w:rsidRPr="002029AF" w:rsidRDefault="005F4A7E" w:rsidP="00130D1C">
            <w:pPr>
              <w:pStyle w:val="ARfintablebody"/>
            </w:pPr>
            <w:r w:rsidRPr="00800BB4">
              <w:t>Rent received</w:t>
            </w:r>
          </w:p>
        </w:tc>
        <w:tc>
          <w:tcPr>
            <w:tcW w:w="851" w:type="dxa"/>
            <w:tcBorders>
              <w:top w:val="single" w:sz="4" w:space="0" w:color="A6A6A6"/>
              <w:bottom w:val="single" w:sz="4" w:space="0" w:color="A6A6A6"/>
            </w:tcBorders>
            <w:noWrap/>
            <w:hideMark/>
          </w:tcPr>
          <w:p w14:paraId="42CA52EC" w14:textId="77777777" w:rsidR="005F4A7E" w:rsidRPr="002029AF" w:rsidRDefault="005F4A7E" w:rsidP="00130D1C">
            <w:pPr>
              <w:pStyle w:val="ARfintablebodyright"/>
            </w:pPr>
          </w:p>
        </w:tc>
        <w:tc>
          <w:tcPr>
            <w:tcW w:w="1134" w:type="dxa"/>
            <w:tcBorders>
              <w:top w:val="single" w:sz="4" w:space="0" w:color="A6A6A6"/>
              <w:bottom w:val="single" w:sz="4" w:space="0" w:color="A6A6A6"/>
            </w:tcBorders>
            <w:shd w:val="clear" w:color="auto" w:fill="E7E6E6"/>
            <w:noWrap/>
            <w:hideMark/>
          </w:tcPr>
          <w:p w14:paraId="66DBFB47" w14:textId="77777777" w:rsidR="005F4A7E" w:rsidRPr="002029AF" w:rsidRDefault="005F4A7E" w:rsidP="00130D1C">
            <w:pPr>
              <w:pStyle w:val="ARfintablebodyright"/>
            </w:pPr>
            <w:r w:rsidRPr="00800BB4">
              <w:t>476.0</w:t>
            </w:r>
          </w:p>
        </w:tc>
        <w:tc>
          <w:tcPr>
            <w:tcW w:w="1134" w:type="dxa"/>
            <w:tcBorders>
              <w:top w:val="single" w:sz="4" w:space="0" w:color="A6A6A6"/>
              <w:bottom w:val="single" w:sz="4" w:space="0" w:color="A6A6A6"/>
            </w:tcBorders>
            <w:noWrap/>
            <w:hideMark/>
          </w:tcPr>
          <w:p w14:paraId="2043C0F1" w14:textId="77777777" w:rsidR="005F4A7E" w:rsidRPr="002029AF" w:rsidRDefault="005F4A7E" w:rsidP="00130D1C">
            <w:pPr>
              <w:pStyle w:val="ARfintablebodyright"/>
            </w:pPr>
            <w:r w:rsidRPr="00800BB4">
              <w:t>491.4</w:t>
            </w:r>
          </w:p>
        </w:tc>
      </w:tr>
      <w:tr w:rsidR="005F4A7E" w:rsidRPr="002029AF" w14:paraId="61D3EDEC" w14:textId="77777777" w:rsidTr="003566F1">
        <w:trPr>
          <w:gridAfter w:val="1"/>
          <w:wAfter w:w="10" w:type="dxa"/>
        </w:trPr>
        <w:tc>
          <w:tcPr>
            <w:tcW w:w="6518" w:type="dxa"/>
            <w:tcBorders>
              <w:top w:val="single" w:sz="4" w:space="0" w:color="A6A6A6"/>
              <w:bottom w:val="single" w:sz="4" w:space="0" w:color="A6A6A6"/>
            </w:tcBorders>
            <w:hideMark/>
          </w:tcPr>
          <w:p w14:paraId="54D2CA70" w14:textId="77777777" w:rsidR="005F4A7E" w:rsidRPr="002029AF" w:rsidRDefault="005F4A7E" w:rsidP="00130D1C">
            <w:pPr>
              <w:pStyle w:val="ARfintablebody"/>
            </w:pPr>
            <w:r w:rsidRPr="00800BB4">
              <w:t>User charges received – rental properties</w:t>
            </w:r>
          </w:p>
        </w:tc>
        <w:tc>
          <w:tcPr>
            <w:tcW w:w="851" w:type="dxa"/>
            <w:tcBorders>
              <w:top w:val="single" w:sz="4" w:space="0" w:color="A6A6A6"/>
              <w:bottom w:val="single" w:sz="4" w:space="0" w:color="A6A6A6"/>
            </w:tcBorders>
            <w:noWrap/>
            <w:hideMark/>
          </w:tcPr>
          <w:p w14:paraId="35AD11B7" w14:textId="77777777" w:rsidR="005F4A7E" w:rsidRPr="002029AF" w:rsidRDefault="005F4A7E" w:rsidP="00130D1C">
            <w:pPr>
              <w:pStyle w:val="ARfintablebodyright"/>
            </w:pPr>
          </w:p>
        </w:tc>
        <w:tc>
          <w:tcPr>
            <w:tcW w:w="1134" w:type="dxa"/>
            <w:tcBorders>
              <w:top w:val="single" w:sz="4" w:space="0" w:color="A6A6A6"/>
              <w:bottom w:val="single" w:sz="4" w:space="0" w:color="A6A6A6"/>
            </w:tcBorders>
            <w:shd w:val="clear" w:color="auto" w:fill="E7E6E6"/>
            <w:noWrap/>
            <w:hideMark/>
          </w:tcPr>
          <w:p w14:paraId="4B8D69F4" w14:textId="77777777" w:rsidR="005F4A7E" w:rsidRPr="002029AF" w:rsidRDefault="005F4A7E" w:rsidP="00130D1C">
            <w:pPr>
              <w:pStyle w:val="ARfintablebodyright"/>
            </w:pPr>
            <w:r w:rsidRPr="00800BB4">
              <w:t>4.5</w:t>
            </w:r>
          </w:p>
        </w:tc>
        <w:tc>
          <w:tcPr>
            <w:tcW w:w="1134" w:type="dxa"/>
            <w:tcBorders>
              <w:top w:val="single" w:sz="4" w:space="0" w:color="A6A6A6"/>
              <w:bottom w:val="single" w:sz="4" w:space="0" w:color="A6A6A6"/>
            </w:tcBorders>
            <w:noWrap/>
            <w:hideMark/>
          </w:tcPr>
          <w:p w14:paraId="0B2692A1" w14:textId="77777777" w:rsidR="005F4A7E" w:rsidRPr="002029AF" w:rsidRDefault="005F4A7E" w:rsidP="00130D1C">
            <w:pPr>
              <w:pStyle w:val="ARfintablebodyright"/>
            </w:pPr>
            <w:r w:rsidRPr="00800BB4">
              <w:t>4.8</w:t>
            </w:r>
          </w:p>
        </w:tc>
      </w:tr>
      <w:tr w:rsidR="005F4A7E" w:rsidRPr="002029AF" w14:paraId="577981BE" w14:textId="77777777" w:rsidTr="003566F1">
        <w:trPr>
          <w:gridAfter w:val="1"/>
          <w:wAfter w:w="10" w:type="dxa"/>
        </w:trPr>
        <w:tc>
          <w:tcPr>
            <w:tcW w:w="6518" w:type="dxa"/>
            <w:tcBorders>
              <w:top w:val="single" w:sz="4" w:space="0" w:color="A6A6A6"/>
              <w:bottom w:val="single" w:sz="4" w:space="0" w:color="A6A6A6"/>
            </w:tcBorders>
            <w:hideMark/>
          </w:tcPr>
          <w:p w14:paraId="1A5B62DC" w14:textId="77777777" w:rsidR="005F4A7E" w:rsidRPr="002029AF" w:rsidRDefault="005F4A7E" w:rsidP="00130D1C">
            <w:pPr>
              <w:pStyle w:val="ARfintablebody"/>
            </w:pPr>
            <w:r w:rsidRPr="00800BB4">
              <w:t>Interest received</w:t>
            </w:r>
          </w:p>
        </w:tc>
        <w:tc>
          <w:tcPr>
            <w:tcW w:w="851" w:type="dxa"/>
            <w:tcBorders>
              <w:top w:val="single" w:sz="4" w:space="0" w:color="A6A6A6"/>
              <w:bottom w:val="single" w:sz="4" w:space="0" w:color="A6A6A6"/>
            </w:tcBorders>
            <w:noWrap/>
            <w:hideMark/>
          </w:tcPr>
          <w:p w14:paraId="3EEC4985" w14:textId="77777777" w:rsidR="005F4A7E" w:rsidRPr="002029AF" w:rsidRDefault="005F4A7E" w:rsidP="00130D1C">
            <w:pPr>
              <w:pStyle w:val="ARfintablebodyright"/>
            </w:pPr>
          </w:p>
        </w:tc>
        <w:tc>
          <w:tcPr>
            <w:tcW w:w="1134" w:type="dxa"/>
            <w:tcBorders>
              <w:top w:val="single" w:sz="4" w:space="0" w:color="A6A6A6"/>
              <w:bottom w:val="single" w:sz="4" w:space="0" w:color="A6A6A6"/>
            </w:tcBorders>
            <w:shd w:val="clear" w:color="auto" w:fill="E7E6E6"/>
            <w:noWrap/>
            <w:hideMark/>
          </w:tcPr>
          <w:p w14:paraId="09CD449E" w14:textId="77777777" w:rsidR="005F4A7E" w:rsidRPr="002029AF" w:rsidRDefault="005F4A7E" w:rsidP="00130D1C">
            <w:pPr>
              <w:pStyle w:val="ARfintablebodyright"/>
            </w:pPr>
            <w:r w:rsidRPr="00800BB4">
              <w:t>2.6</w:t>
            </w:r>
          </w:p>
        </w:tc>
        <w:tc>
          <w:tcPr>
            <w:tcW w:w="1134" w:type="dxa"/>
            <w:tcBorders>
              <w:top w:val="single" w:sz="4" w:space="0" w:color="A6A6A6"/>
              <w:bottom w:val="single" w:sz="4" w:space="0" w:color="A6A6A6"/>
            </w:tcBorders>
            <w:noWrap/>
            <w:hideMark/>
          </w:tcPr>
          <w:p w14:paraId="22CE17F3" w14:textId="77777777" w:rsidR="005F4A7E" w:rsidRPr="002029AF" w:rsidRDefault="005F4A7E" w:rsidP="00130D1C">
            <w:pPr>
              <w:pStyle w:val="ARfintablebodyright"/>
            </w:pPr>
            <w:r w:rsidRPr="00800BB4">
              <w:t>7.1</w:t>
            </w:r>
          </w:p>
        </w:tc>
      </w:tr>
      <w:tr w:rsidR="005F4A7E" w:rsidRPr="002029AF" w14:paraId="7FE24257" w14:textId="77777777" w:rsidTr="003566F1">
        <w:trPr>
          <w:gridAfter w:val="1"/>
          <w:wAfter w:w="10" w:type="dxa"/>
        </w:trPr>
        <w:tc>
          <w:tcPr>
            <w:tcW w:w="6518" w:type="dxa"/>
            <w:tcBorders>
              <w:top w:val="single" w:sz="4" w:space="0" w:color="A6A6A6"/>
              <w:bottom w:val="single" w:sz="4" w:space="0" w:color="A6A6A6"/>
            </w:tcBorders>
            <w:hideMark/>
          </w:tcPr>
          <w:p w14:paraId="6B734644" w14:textId="77777777" w:rsidR="005F4A7E" w:rsidRPr="002029AF" w:rsidRDefault="005F4A7E" w:rsidP="00130D1C">
            <w:pPr>
              <w:pStyle w:val="ARfintablebody"/>
            </w:pPr>
            <w:r w:rsidRPr="00800BB4">
              <w:t>Other receipts</w:t>
            </w:r>
          </w:p>
        </w:tc>
        <w:tc>
          <w:tcPr>
            <w:tcW w:w="851" w:type="dxa"/>
            <w:tcBorders>
              <w:top w:val="single" w:sz="4" w:space="0" w:color="A6A6A6"/>
              <w:bottom w:val="single" w:sz="4" w:space="0" w:color="A6A6A6"/>
            </w:tcBorders>
            <w:noWrap/>
            <w:hideMark/>
          </w:tcPr>
          <w:p w14:paraId="405B7C4A" w14:textId="77777777" w:rsidR="005F4A7E" w:rsidRPr="002029AF" w:rsidRDefault="005F4A7E" w:rsidP="00130D1C">
            <w:pPr>
              <w:pStyle w:val="ARfintablebodyright"/>
            </w:pPr>
          </w:p>
        </w:tc>
        <w:tc>
          <w:tcPr>
            <w:tcW w:w="1134" w:type="dxa"/>
            <w:tcBorders>
              <w:top w:val="single" w:sz="4" w:space="0" w:color="A6A6A6"/>
              <w:bottom w:val="single" w:sz="4" w:space="0" w:color="A6A6A6"/>
            </w:tcBorders>
            <w:shd w:val="clear" w:color="auto" w:fill="E7E6E6"/>
            <w:noWrap/>
            <w:hideMark/>
          </w:tcPr>
          <w:p w14:paraId="10BBF7C8" w14:textId="77777777" w:rsidR="005F4A7E" w:rsidRPr="002029AF" w:rsidRDefault="005F4A7E" w:rsidP="00130D1C">
            <w:pPr>
              <w:pStyle w:val="ARfintablebodyright"/>
            </w:pPr>
            <w:r w:rsidRPr="00800BB4">
              <w:t>19.2</w:t>
            </w:r>
          </w:p>
        </w:tc>
        <w:tc>
          <w:tcPr>
            <w:tcW w:w="1134" w:type="dxa"/>
            <w:tcBorders>
              <w:top w:val="single" w:sz="4" w:space="0" w:color="A6A6A6"/>
              <w:bottom w:val="single" w:sz="4" w:space="0" w:color="A6A6A6"/>
            </w:tcBorders>
            <w:noWrap/>
            <w:hideMark/>
          </w:tcPr>
          <w:p w14:paraId="161D5F6B" w14:textId="77777777" w:rsidR="005F4A7E" w:rsidRPr="002029AF" w:rsidRDefault="005F4A7E" w:rsidP="00130D1C">
            <w:pPr>
              <w:pStyle w:val="ARfintablebodyright"/>
            </w:pPr>
            <w:r w:rsidRPr="00800BB4">
              <w:t>33.5</w:t>
            </w:r>
          </w:p>
        </w:tc>
      </w:tr>
      <w:tr w:rsidR="005F4A7E" w:rsidRPr="002029AF" w14:paraId="66672210" w14:textId="77777777" w:rsidTr="003566F1">
        <w:trPr>
          <w:gridAfter w:val="1"/>
          <w:wAfter w:w="10" w:type="dxa"/>
        </w:trPr>
        <w:tc>
          <w:tcPr>
            <w:tcW w:w="6518" w:type="dxa"/>
            <w:tcBorders>
              <w:top w:val="single" w:sz="4" w:space="0" w:color="A6A6A6"/>
            </w:tcBorders>
            <w:hideMark/>
          </w:tcPr>
          <w:p w14:paraId="261805D5" w14:textId="77777777" w:rsidR="005F4A7E" w:rsidRPr="002029AF" w:rsidRDefault="005F4A7E" w:rsidP="00130D1C">
            <w:pPr>
              <w:pStyle w:val="ARfintablebody"/>
            </w:pPr>
            <w:r w:rsidRPr="00800BB4">
              <w:t xml:space="preserve">GST recovered from Australian Taxation Office </w:t>
            </w:r>
            <w:r w:rsidRPr="004F7659">
              <w:rPr>
                <w:rStyle w:val="Superscript"/>
              </w:rPr>
              <w:t>(i)</w:t>
            </w:r>
          </w:p>
        </w:tc>
        <w:tc>
          <w:tcPr>
            <w:tcW w:w="851" w:type="dxa"/>
            <w:tcBorders>
              <w:top w:val="single" w:sz="4" w:space="0" w:color="A6A6A6"/>
            </w:tcBorders>
            <w:noWrap/>
            <w:hideMark/>
          </w:tcPr>
          <w:p w14:paraId="02A48A88" w14:textId="77777777" w:rsidR="005F4A7E" w:rsidRPr="002029AF" w:rsidRDefault="005F4A7E" w:rsidP="00130D1C">
            <w:pPr>
              <w:pStyle w:val="ARfintablebodyright"/>
            </w:pPr>
          </w:p>
        </w:tc>
        <w:tc>
          <w:tcPr>
            <w:tcW w:w="1134" w:type="dxa"/>
            <w:tcBorders>
              <w:top w:val="single" w:sz="4" w:space="0" w:color="A6A6A6"/>
            </w:tcBorders>
            <w:shd w:val="clear" w:color="auto" w:fill="E7E6E6"/>
            <w:noWrap/>
            <w:hideMark/>
          </w:tcPr>
          <w:p w14:paraId="7D634830" w14:textId="77777777" w:rsidR="005F4A7E" w:rsidRPr="002029AF" w:rsidRDefault="005F4A7E" w:rsidP="00130D1C">
            <w:pPr>
              <w:pStyle w:val="ARfintablebodyright"/>
            </w:pPr>
            <w:r w:rsidRPr="00800BB4">
              <w:t>733.3</w:t>
            </w:r>
          </w:p>
        </w:tc>
        <w:tc>
          <w:tcPr>
            <w:tcW w:w="1134" w:type="dxa"/>
            <w:tcBorders>
              <w:top w:val="single" w:sz="4" w:space="0" w:color="A6A6A6"/>
            </w:tcBorders>
            <w:noWrap/>
            <w:hideMark/>
          </w:tcPr>
          <w:p w14:paraId="64D54FE6" w14:textId="77777777" w:rsidR="005F4A7E" w:rsidRPr="002029AF" w:rsidRDefault="005F4A7E" w:rsidP="00130D1C">
            <w:pPr>
              <w:pStyle w:val="ARfintablebodyright"/>
            </w:pPr>
            <w:r w:rsidRPr="00800BB4">
              <w:t>601.6</w:t>
            </w:r>
          </w:p>
        </w:tc>
      </w:tr>
      <w:tr w:rsidR="005F4A7E" w:rsidRPr="002029AF" w14:paraId="71CAB175" w14:textId="77777777" w:rsidTr="003566F1">
        <w:trPr>
          <w:gridAfter w:val="1"/>
          <w:wAfter w:w="10" w:type="dxa"/>
        </w:trPr>
        <w:tc>
          <w:tcPr>
            <w:tcW w:w="6518" w:type="dxa"/>
            <w:tcBorders>
              <w:bottom w:val="single" w:sz="4" w:space="0" w:color="auto"/>
            </w:tcBorders>
            <w:hideMark/>
          </w:tcPr>
          <w:p w14:paraId="1D92B527" w14:textId="77777777" w:rsidR="005F4A7E" w:rsidRPr="002029AF" w:rsidRDefault="005F4A7E" w:rsidP="00130D1C">
            <w:pPr>
              <w:pStyle w:val="ARfintablebodybold"/>
            </w:pPr>
            <w:r w:rsidRPr="00800BB4">
              <w:t>Total receipts</w:t>
            </w:r>
          </w:p>
        </w:tc>
        <w:tc>
          <w:tcPr>
            <w:tcW w:w="851" w:type="dxa"/>
            <w:tcBorders>
              <w:bottom w:val="single" w:sz="4" w:space="0" w:color="auto"/>
            </w:tcBorders>
            <w:hideMark/>
          </w:tcPr>
          <w:p w14:paraId="203C5DE1" w14:textId="77777777" w:rsidR="005F4A7E" w:rsidRPr="002029AF" w:rsidRDefault="005F4A7E" w:rsidP="00130D1C">
            <w:pPr>
              <w:pStyle w:val="ARfintablebodyrightbold"/>
            </w:pPr>
          </w:p>
        </w:tc>
        <w:tc>
          <w:tcPr>
            <w:tcW w:w="1134" w:type="dxa"/>
            <w:tcBorders>
              <w:bottom w:val="single" w:sz="4" w:space="0" w:color="auto"/>
            </w:tcBorders>
            <w:shd w:val="clear" w:color="auto" w:fill="E7E6E6"/>
            <w:noWrap/>
            <w:hideMark/>
          </w:tcPr>
          <w:p w14:paraId="46EA49DE" w14:textId="77777777" w:rsidR="005F4A7E" w:rsidRPr="002029AF" w:rsidRDefault="005F4A7E" w:rsidP="00130D1C">
            <w:pPr>
              <w:pStyle w:val="ARfintablebodyrightbold"/>
            </w:pPr>
            <w:r w:rsidRPr="00800BB4">
              <w:t>26,511.4</w:t>
            </w:r>
          </w:p>
        </w:tc>
        <w:tc>
          <w:tcPr>
            <w:tcW w:w="1134" w:type="dxa"/>
            <w:tcBorders>
              <w:bottom w:val="single" w:sz="4" w:space="0" w:color="auto"/>
            </w:tcBorders>
            <w:noWrap/>
            <w:hideMark/>
          </w:tcPr>
          <w:p w14:paraId="2520AE47" w14:textId="77777777" w:rsidR="005F4A7E" w:rsidRPr="002029AF" w:rsidRDefault="005F4A7E" w:rsidP="00130D1C">
            <w:pPr>
              <w:pStyle w:val="ARfintablebodyrightbold"/>
            </w:pPr>
            <w:r w:rsidRPr="00800BB4">
              <w:t>21,764.0</w:t>
            </w:r>
          </w:p>
        </w:tc>
      </w:tr>
      <w:tr w:rsidR="005F4A7E" w:rsidRPr="002029AF" w14:paraId="067E3252" w14:textId="77777777" w:rsidTr="003566F1">
        <w:trPr>
          <w:gridAfter w:val="1"/>
          <w:wAfter w:w="10" w:type="dxa"/>
        </w:trPr>
        <w:tc>
          <w:tcPr>
            <w:tcW w:w="9637" w:type="dxa"/>
            <w:gridSpan w:val="4"/>
            <w:tcBorders>
              <w:top w:val="single" w:sz="4" w:space="0" w:color="auto"/>
              <w:bottom w:val="single" w:sz="4" w:space="0" w:color="A6A6A6"/>
            </w:tcBorders>
            <w:hideMark/>
          </w:tcPr>
          <w:p w14:paraId="0806C347" w14:textId="77777777" w:rsidR="005F4A7E" w:rsidRPr="002029AF" w:rsidRDefault="005F4A7E" w:rsidP="00130D1C">
            <w:pPr>
              <w:pStyle w:val="ARfintablebodybold"/>
            </w:pPr>
            <w:r w:rsidRPr="00800BB4">
              <w:t>Payments</w:t>
            </w:r>
          </w:p>
        </w:tc>
      </w:tr>
      <w:tr w:rsidR="005F4A7E" w:rsidRPr="002029AF" w14:paraId="479F93D5" w14:textId="77777777" w:rsidTr="003566F1">
        <w:trPr>
          <w:gridAfter w:val="1"/>
          <w:wAfter w:w="10" w:type="dxa"/>
        </w:trPr>
        <w:tc>
          <w:tcPr>
            <w:tcW w:w="6518" w:type="dxa"/>
            <w:tcBorders>
              <w:top w:val="single" w:sz="4" w:space="0" w:color="A6A6A6"/>
              <w:bottom w:val="single" w:sz="4" w:space="0" w:color="A6A6A6"/>
            </w:tcBorders>
            <w:hideMark/>
          </w:tcPr>
          <w:p w14:paraId="325D17C1" w14:textId="77777777" w:rsidR="005F4A7E" w:rsidRPr="002029AF" w:rsidRDefault="005F4A7E" w:rsidP="00130D1C">
            <w:pPr>
              <w:pStyle w:val="ARfintablebody"/>
            </w:pPr>
            <w:r w:rsidRPr="00800BB4">
              <w:t>Payments of grants and other expense transfers</w:t>
            </w:r>
          </w:p>
        </w:tc>
        <w:tc>
          <w:tcPr>
            <w:tcW w:w="851" w:type="dxa"/>
            <w:tcBorders>
              <w:top w:val="single" w:sz="4" w:space="0" w:color="A6A6A6"/>
              <w:bottom w:val="single" w:sz="4" w:space="0" w:color="A6A6A6"/>
            </w:tcBorders>
            <w:noWrap/>
            <w:hideMark/>
          </w:tcPr>
          <w:p w14:paraId="38652825" w14:textId="77777777" w:rsidR="005F4A7E" w:rsidRPr="002029AF" w:rsidRDefault="005F4A7E" w:rsidP="00130D1C">
            <w:pPr>
              <w:pStyle w:val="ARfintablebodyright"/>
            </w:pPr>
          </w:p>
        </w:tc>
        <w:tc>
          <w:tcPr>
            <w:tcW w:w="1134" w:type="dxa"/>
            <w:tcBorders>
              <w:top w:val="single" w:sz="4" w:space="0" w:color="A6A6A6"/>
              <w:bottom w:val="single" w:sz="4" w:space="0" w:color="A6A6A6"/>
            </w:tcBorders>
            <w:shd w:val="clear" w:color="auto" w:fill="E7E6E6"/>
            <w:noWrap/>
            <w:hideMark/>
          </w:tcPr>
          <w:p w14:paraId="1BC1F5E6" w14:textId="77777777" w:rsidR="005F4A7E" w:rsidRPr="002029AF" w:rsidRDefault="005F4A7E" w:rsidP="00130D1C">
            <w:pPr>
              <w:pStyle w:val="ARfintablebodyright"/>
            </w:pPr>
            <w:r w:rsidRPr="00800BB4">
              <w:t>(20,111.6)</w:t>
            </w:r>
          </w:p>
        </w:tc>
        <w:tc>
          <w:tcPr>
            <w:tcW w:w="1134" w:type="dxa"/>
            <w:tcBorders>
              <w:top w:val="single" w:sz="4" w:space="0" w:color="A6A6A6"/>
              <w:bottom w:val="single" w:sz="4" w:space="0" w:color="A6A6A6"/>
            </w:tcBorders>
            <w:noWrap/>
            <w:hideMark/>
          </w:tcPr>
          <w:p w14:paraId="7B0345F4" w14:textId="77777777" w:rsidR="005F4A7E" w:rsidRPr="002029AF" w:rsidRDefault="005F4A7E" w:rsidP="00130D1C">
            <w:pPr>
              <w:pStyle w:val="ARfintablebodyright"/>
            </w:pPr>
            <w:r w:rsidRPr="00800BB4">
              <w:t>(17,567.2)</w:t>
            </w:r>
          </w:p>
        </w:tc>
      </w:tr>
      <w:tr w:rsidR="005F4A7E" w:rsidRPr="002029AF" w14:paraId="5D1C8A78" w14:textId="77777777" w:rsidTr="003566F1">
        <w:trPr>
          <w:gridAfter w:val="1"/>
          <w:wAfter w:w="10" w:type="dxa"/>
        </w:trPr>
        <w:tc>
          <w:tcPr>
            <w:tcW w:w="6518" w:type="dxa"/>
            <w:tcBorders>
              <w:top w:val="single" w:sz="4" w:space="0" w:color="A6A6A6"/>
              <w:bottom w:val="single" w:sz="4" w:space="0" w:color="A6A6A6"/>
            </w:tcBorders>
            <w:hideMark/>
          </w:tcPr>
          <w:p w14:paraId="4FF72553" w14:textId="77777777" w:rsidR="005F4A7E" w:rsidRPr="002029AF" w:rsidRDefault="005F4A7E" w:rsidP="00130D1C">
            <w:pPr>
              <w:pStyle w:val="ARfintablebody"/>
            </w:pPr>
            <w:r w:rsidRPr="00800BB4">
              <w:t>Payments for employee benefits</w:t>
            </w:r>
          </w:p>
        </w:tc>
        <w:tc>
          <w:tcPr>
            <w:tcW w:w="851" w:type="dxa"/>
            <w:tcBorders>
              <w:top w:val="single" w:sz="4" w:space="0" w:color="A6A6A6"/>
              <w:bottom w:val="single" w:sz="4" w:space="0" w:color="A6A6A6"/>
            </w:tcBorders>
            <w:noWrap/>
            <w:hideMark/>
          </w:tcPr>
          <w:p w14:paraId="575FBDEA" w14:textId="77777777" w:rsidR="005F4A7E" w:rsidRPr="002029AF" w:rsidRDefault="005F4A7E" w:rsidP="00130D1C">
            <w:pPr>
              <w:pStyle w:val="ARfintablebodyright"/>
            </w:pPr>
          </w:p>
        </w:tc>
        <w:tc>
          <w:tcPr>
            <w:tcW w:w="1134" w:type="dxa"/>
            <w:tcBorders>
              <w:top w:val="single" w:sz="4" w:space="0" w:color="A6A6A6"/>
              <w:bottom w:val="single" w:sz="4" w:space="0" w:color="A6A6A6"/>
            </w:tcBorders>
            <w:shd w:val="clear" w:color="auto" w:fill="E7E6E6"/>
            <w:noWrap/>
            <w:hideMark/>
          </w:tcPr>
          <w:p w14:paraId="0F058EE8" w14:textId="77777777" w:rsidR="005F4A7E" w:rsidRPr="002029AF" w:rsidRDefault="005F4A7E" w:rsidP="00130D1C">
            <w:pPr>
              <w:pStyle w:val="ARfintablebodyright"/>
            </w:pPr>
            <w:r w:rsidRPr="00800BB4">
              <w:t>(1,441.9)</w:t>
            </w:r>
          </w:p>
        </w:tc>
        <w:tc>
          <w:tcPr>
            <w:tcW w:w="1134" w:type="dxa"/>
            <w:tcBorders>
              <w:top w:val="single" w:sz="4" w:space="0" w:color="A6A6A6"/>
              <w:bottom w:val="single" w:sz="4" w:space="0" w:color="A6A6A6"/>
            </w:tcBorders>
            <w:noWrap/>
            <w:hideMark/>
          </w:tcPr>
          <w:p w14:paraId="6348060A" w14:textId="77777777" w:rsidR="005F4A7E" w:rsidRPr="002029AF" w:rsidRDefault="005F4A7E" w:rsidP="00130D1C">
            <w:pPr>
              <w:pStyle w:val="ARfintablebodyright"/>
            </w:pPr>
            <w:r w:rsidRPr="00800BB4">
              <w:t>(1,216.9)</w:t>
            </w:r>
          </w:p>
        </w:tc>
      </w:tr>
      <w:tr w:rsidR="005F4A7E" w:rsidRPr="002029AF" w14:paraId="217AB049" w14:textId="77777777" w:rsidTr="003566F1">
        <w:trPr>
          <w:gridAfter w:val="1"/>
          <w:wAfter w:w="10" w:type="dxa"/>
        </w:trPr>
        <w:tc>
          <w:tcPr>
            <w:tcW w:w="6518" w:type="dxa"/>
            <w:tcBorders>
              <w:top w:val="single" w:sz="4" w:space="0" w:color="A6A6A6"/>
              <w:bottom w:val="single" w:sz="4" w:space="0" w:color="A6A6A6"/>
            </w:tcBorders>
            <w:hideMark/>
          </w:tcPr>
          <w:p w14:paraId="2AF8F975" w14:textId="77777777" w:rsidR="005F4A7E" w:rsidRPr="002029AF" w:rsidRDefault="005F4A7E" w:rsidP="00130D1C">
            <w:pPr>
              <w:pStyle w:val="ARfintablebody"/>
            </w:pPr>
            <w:r w:rsidRPr="00800BB4">
              <w:t>Payments for supplies and services</w:t>
            </w:r>
          </w:p>
        </w:tc>
        <w:tc>
          <w:tcPr>
            <w:tcW w:w="851" w:type="dxa"/>
            <w:tcBorders>
              <w:top w:val="single" w:sz="4" w:space="0" w:color="A6A6A6"/>
              <w:bottom w:val="single" w:sz="4" w:space="0" w:color="A6A6A6"/>
            </w:tcBorders>
            <w:noWrap/>
            <w:hideMark/>
          </w:tcPr>
          <w:p w14:paraId="2C86CB81" w14:textId="77777777" w:rsidR="005F4A7E" w:rsidRPr="002029AF" w:rsidRDefault="005F4A7E" w:rsidP="00130D1C">
            <w:pPr>
              <w:pStyle w:val="ARfintablebodyright"/>
            </w:pPr>
          </w:p>
        </w:tc>
        <w:tc>
          <w:tcPr>
            <w:tcW w:w="1134" w:type="dxa"/>
            <w:tcBorders>
              <w:top w:val="single" w:sz="4" w:space="0" w:color="A6A6A6"/>
              <w:bottom w:val="single" w:sz="4" w:space="0" w:color="A6A6A6"/>
            </w:tcBorders>
            <w:shd w:val="clear" w:color="auto" w:fill="E7E6E6"/>
            <w:noWrap/>
            <w:hideMark/>
          </w:tcPr>
          <w:p w14:paraId="4A39F113" w14:textId="77777777" w:rsidR="005F4A7E" w:rsidRPr="002029AF" w:rsidRDefault="005F4A7E" w:rsidP="00130D1C">
            <w:pPr>
              <w:pStyle w:val="ARfintablebodyright"/>
            </w:pPr>
            <w:r w:rsidRPr="00800BB4">
              <w:t>(2,028.0)</w:t>
            </w:r>
          </w:p>
        </w:tc>
        <w:tc>
          <w:tcPr>
            <w:tcW w:w="1134" w:type="dxa"/>
            <w:tcBorders>
              <w:top w:val="single" w:sz="4" w:space="0" w:color="A6A6A6"/>
              <w:bottom w:val="single" w:sz="4" w:space="0" w:color="A6A6A6"/>
            </w:tcBorders>
            <w:noWrap/>
            <w:hideMark/>
          </w:tcPr>
          <w:p w14:paraId="2BE23E3F" w14:textId="77777777" w:rsidR="005F4A7E" w:rsidRPr="002029AF" w:rsidRDefault="005F4A7E" w:rsidP="00130D1C">
            <w:pPr>
              <w:pStyle w:val="ARfintablebodyright"/>
            </w:pPr>
            <w:r w:rsidRPr="00800BB4">
              <w:t>(1,299.8)</w:t>
            </w:r>
          </w:p>
        </w:tc>
      </w:tr>
      <w:tr w:rsidR="005F4A7E" w:rsidRPr="002029AF" w14:paraId="30CC9EB6" w14:textId="77777777" w:rsidTr="003566F1">
        <w:trPr>
          <w:gridAfter w:val="1"/>
          <w:wAfter w:w="10" w:type="dxa"/>
        </w:trPr>
        <w:tc>
          <w:tcPr>
            <w:tcW w:w="6518" w:type="dxa"/>
            <w:tcBorders>
              <w:top w:val="single" w:sz="4" w:space="0" w:color="A6A6A6"/>
              <w:bottom w:val="single" w:sz="4" w:space="0" w:color="A6A6A6"/>
            </w:tcBorders>
            <w:hideMark/>
          </w:tcPr>
          <w:p w14:paraId="7AC9993D" w14:textId="77777777" w:rsidR="005F4A7E" w:rsidRPr="002029AF" w:rsidRDefault="005F4A7E" w:rsidP="00130D1C">
            <w:pPr>
              <w:pStyle w:val="ARfintablebody"/>
            </w:pPr>
            <w:r w:rsidRPr="00800BB4">
              <w:t>Interest and other costs of finance paid</w:t>
            </w:r>
          </w:p>
        </w:tc>
        <w:tc>
          <w:tcPr>
            <w:tcW w:w="851" w:type="dxa"/>
            <w:tcBorders>
              <w:top w:val="single" w:sz="4" w:space="0" w:color="A6A6A6"/>
              <w:bottom w:val="single" w:sz="4" w:space="0" w:color="A6A6A6"/>
            </w:tcBorders>
            <w:noWrap/>
            <w:hideMark/>
          </w:tcPr>
          <w:p w14:paraId="2308A642" w14:textId="77777777" w:rsidR="005F4A7E" w:rsidRPr="002029AF" w:rsidRDefault="005F4A7E" w:rsidP="00130D1C">
            <w:pPr>
              <w:pStyle w:val="ARfintablebodyright"/>
            </w:pPr>
          </w:p>
        </w:tc>
        <w:tc>
          <w:tcPr>
            <w:tcW w:w="1134" w:type="dxa"/>
            <w:tcBorders>
              <w:top w:val="single" w:sz="4" w:space="0" w:color="A6A6A6"/>
              <w:bottom w:val="single" w:sz="4" w:space="0" w:color="A6A6A6"/>
            </w:tcBorders>
            <w:shd w:val="clear" w:color="auto" w:fill="E7E6E6"/>
            <w:noWrap/>
            <w:hideMark/>
          </w:tcPr>
          <w:p w14:paraId="1DDEF770" w14:textId="77777777" w:rsidR="005F4A7E" w:rsidRPr="002029AF" w:rsidRDefault="005F4A7E" w:rsidP="00130D1C">
            <w:pPr>
              <w:pStyle w:val="ARfintablebodyright"/>
            </w:pPr>
            <w:r w:rsidRPr="00800BB4">
              <w:t>(5.9)</w:t>
            </w:r>
          </w:p>
        </w:tc>
        <w:tc>
          <w:tcPr>
            <w:tcW w:w="1134" w:type="dxa"/>
            <w:tcBorders>
              <w:top w:val="single" w:sz="4" w:space="0" w:color="A6A6A6"/>
              <w:bottom w:val="single" w:sz="4" w:space="0" w:color="A6A6A6"/>
            </w:tcBorders>
            <w:noWrap/>
            <w:hideMark/>
          </w:tcPr>
          <w:p w14:paraId="0DC745C7" w14:textId="77777777" w:rsidR="005F4A7E" w:rsidRPr="002029AF" w:rsidRDefault="005F4A7E" w:rsidP="00130D1C">
            <w:pPr>
              <w:pStyle w:val="ARfintablebodyright"/>
            </w:pPr>
            <w:r w:rsidRPr="00800BB4">
              <w:t>(9.2)</w:t>
            </w:r>
          </w:p>
        </w:tc>
      </w:tr>
      <w:tr w:rsidR="005F4A7E" w:rsidRPr="002029AF" w14:paraId="42B9E98B" w14:textId="77777777" w:rsidTr="003566F1">
        <w:trPr>
          <w:gridAfter w:val="1"/>
          <w:wAfter w:w="10" w:type="dxa"/>
        </w:trPr>
        <w:tc>
          <w:tcPr>
            <w:tcW w:w="6518" w:type="dxa"/>
            <w:tcBorders>
              <w:top w:val="single" w:sz="4" w:space="0" w:color="A6A6A6"/>
              <w:bottom w:val="single" w:sz="4" w:space="0" w:color="A6A6A6"/>
            </w:tcBorders>
            <w:hideMark/>
          </w:tcPr>
          <w:p w14:paraId="34F18788" w14:textId="77777777" w:rsidR="005F4A7E" w:rsidRPr="002029AF" w:rsidRDefault="005F4A7E" w:rsidP="00130D1C">
            <w:pPr>
              <w:pStyle w:val="ARfintablebody"/>
            </w:pPr>
            <w:r w:rsidRPr="00800BB4">
              <w:t>Capital asset charge payments</w:t>
            </w:r>
          </w:p>
        </w:tc>
        <w:tc>
          <w:tcPr>
            <w:tcW w:w="851" w:type="dxa"/>
            <w:tcBorders>
              <w:top w:val="single" w:sz="4" w:space="0" w:color="A6A6A6"/>
              <w:bottom w:val="single" w:sz="4" w:space="0" w:color="A6A6A6"/>
            </w:tcBorders>
            <w:noWrap/>
            <w:hideMark/>
          </w:tcPr>
          <w:p w14:paraId="30E936F6" w14:textId="77777777" w:rsidR="005F4A7E" w:rsidRPr="002029AF" w:rsidRDefault="005F4A7E" w:rsidP="00130D1C">
            <w:pPr>
              <w:pStyle w:val="ARfintablebodyright"/>
            </w:pPr>
          </w:p>
        </w:tc>
        <w:tc>
          <w:tcPr>
            <w:tcW w:w="1134" w:type="dxa"/>
            <w:tcBorders>
              <w:top w:val="single" w:sz="4" w:space="0" w:color="A6A6A6"/>
              <w:bottom w:val="single" w:sz="4" w:space="0" w:color="A6A6A6"/>
            </w:tcBorders>
            <w:shd w:val="clear" w:color="auto" w:fill="E7E6E6"/>
            <w:noWrap/>
            <w:hideMark/>
          </w:tcPr>
          <w:p w14:paraId="7DEE4AF0" w14:textId="77777777" w:rsidR="005F4A7E" w:rsidRPr="002029AF" w:rsidRDefault="005F4A7E" w:rsidP="00130D1C">
            <w:pPr>
              <w:pStyle w:val="ARfintablebodyright"/>
            </w:pPr>
            <w:r w:rsidRPr="00800BB4">
              <w:t>(1,427.7)</w:t>
            </w:r>
          </w:p>
        </w:tc>
        <w:tc>
          <w:tcPr>
            <w:tcW w:w="1134" w:type="dxa"/>
            <w:tcBorders>
              <w:top w:val="single" w:sz="4" w:space="0" w:color="A6A6A6"/>
              <w:bottom w:val="single" w:sz="4" w:space="0" w:color="A6A6A6"/>
            </w:tcBorders>
            <w:noWrap/>
            <w:hideMark/>
          </w:tcPr>
          <w:p w14:paraId="39BDD5A5" w14:textId="77777777" w:rsidR="005F4A7E" w:rsidRPr="002029AF" w:rsidRDefault="005F4A7E" w:rsidP="00130D1C">
            <w:pPr>
              <w:pStyle w:val="ARfintablebodyright"/>
            </w:pPr>
            <w:r w:rsidRPr="00800BB4">
              <w:t>(1,319.8)</w:t>
            </w:r>
          </w:p>
        </w:tc>
      </w:tr>
      <w:tr w:rsidR="005F4A7E" w:rsidRPr="002029AF" w14:paraId="5D9487F4" w14:textId="77777777" w:rsidTr="003566F1">
        <w:trPr>
          <w:gridAfter w:val="1"/>
          <w:wAfter w:w="10" w:type="dxa"/>
        </w:trPr>
        <w:tc>
          <w:tcPr>
            <w:tcW w:w="6518" w:type="dxa"/>
            <w:tcBorders>
              <w:top w:val="single" w:sz="4" w:space="0" w:color="A6A6A6"/>
              <w:bottom w:val="single" w:sz="4" w:space="0" w:color="A6A6A6"/>
            </w:tcBorders>
            <w:hideMark/>
          </w:tcPr>
          <w:p w14:paraId="714141B9" w14:textId="77777777" w:rsidR="005F4A7E" w:rsidRPr="002029AF" w:rsidRDefault="005F4A7E" w:rsidP="00130D1C">
            <w:pPr>
              <w:pStyle w:val="ARfintablebody"/>
            </w:pPr>
            <w:r w:rsidRPr="00800BB4">
              <w:t>Maintenance</w:t>
            </w:r>
          </w:p>
        </w:tc>
        <w:tc>
          <w:tcPr>
            <w:tcW w:w="851" w:type="dxa"/>
            <w:tcBorders>
              <w:top w:val="single" w:sz="4" w:space="0" w:color="A6A6A6"/>
              <w:bottom w:val="single" w:sz="4" w:space="0" w:color="A6A6A6"/>
            </w:tcBorders>
            <w:noWrap/>
            <w:hideMark/>
          </w:tcPr>
          <w:p w14:paraId="6F835A4E" w14:textId="77777777" w:rsidR="005F4A7E" w:rsidRPr="002029AF" w:rsidRDefault="005F4A7E" w:rsidP="00130D1C">
            <w:pPr>
              <w:pStyle w:val="ARfintablebodyright"/>
            </w:pPr>
          </w:p>
        </w:tc>
        <w:tc>
          <w:tcPr>
            <w:tcW w:w="1134" w:type="dxa"/>
            <w:tcBorders>
              <w:top w:val="single" w:sz="4" w:space="0" w:color="A6A6A6"/>
              <w:bottom w:val="single" w:sz="4" w:space="0" w:color="A6A6A6"/>
            </w:tcBorders>
            <w:shd w:val="clear" w:color="auto" w:fill="E7E6E6"/>
            <w:noWrap/>
            <w:hideMark/>
          </w:tcPr>
          <w:p w14:paraId="1D2C452B" w14:textId="77777777" w:rsidR="005F4A7E" w:rsidRPr="002029AF" w:rsidRDefault="005F4A7E" w:rsidP="00130D1C">
            <w:pPr>
              <w:pStyle w:val="ARfintablebodyright"/>
            </w:pPr>
            <w:r w:rsidRPr="00800BB4">
              <w:t>(237.4)</w:t>
            </w:r>
          </w:p>
        </w:tc>
        <w:tc>
          <w:tcPr>
            <w:tcW w:w="1134" w:type="dxa"/>
            <w:tcBorders>
              <w:top w:val="single" w:sz="4" w:space="0" w:color="A6A6A6"/>
              <w:bottom w:val="single" w:sz="4" w:space="0" w:color="A6A6A6"/>
            </w:tcBorders>
            <w:noWrap/>
            <w:hideMark/>
          </w:tcPr>
          <w:p w14:paraId="46664C93" w14:textId="77777777" w:rsidR="005F4A7E" w:rsidRPr="002029AF" w:rsidRDefault="005F4A7E" w:rsidP="00130D1C">
            <w:pPr>
              <w:pStyle w:val="ARfintablebodyright"/>
            </w:pPr>
            <w:r w:rsidRPr="00800BB4">
              <w:t>(244.2)</w:t>
            </w:r>
          </w:p>
        </w:tc>
      </w:tr>
      <w:tr w:rsidR="005F4A7E" w:rsidRPr="002029AF" w14:paraId="5B10CF06" w14:textId="77777777" w:rsidTr="003566F1">
        <w:trPr>
          <w:gridAfter w:val="1"/>
          <w:wAfter w:w="10" w:type="dxa"/>
        </w:trPr>
        <w:tc>
          <w:tcPr>
            <w:tcW w:w="6518" w:type="dxa"/>
            <w:tcBorders>
              <w:top w:val="single" w:sz="4" w:space="0" w:color="A6A6A6"/>
            </w:tcBorders>
            <w:hideMark/>
          </w:tcPr>
          <w:p w14:paraId="263092B4" w14:textId="77777777" w:rsidR="005F4A7E" w:rsidRPr="002029AF" w:rsidRDefault="005F4A7E" w:rsidP="00130D1C">
            <w:pPr>
              <w:pStyle w:val="ARfintablebody"/>
            </w:pPr>
            <w:r w:rsidRPr="00800BB4">
              <w:t>Other property management expenses</w:t>
            </w:r>
          </w:p>
        </w:tc>
        <w:tc>
          <w:tcPr>
            <w:tcW w:w="851" w:type="dxa"/>
            <w:tcBorders>
              <w:top w:val="single" w:sz="4" w:space="0" w:color="A6A6A6"/>
            </w:tcBorders>
            <w:noWrap/>
            <w:hideMark/>
          </w:tcPr>
          <w:p w14:paraId="3078CEEB" w14:textId="77777777" w:rsidR="005F4A7E" w:rsidRPr="002029AF" w:rsidRDefault="005F4A7E" w:rsidP="00130D1C">
            <w:pPr>
              <w:pStyle w:val="ARfintablebodyright"/>
            </w:pPr>
          </w:p>
        </w:tc>
        <w:tc>
          <w:tcPr>
            <w:tcW w:w="1134" w:type="dxa"/>
            <w:tcBorders>
              <w:top w:val="single" w:sz="4" w:space="0" w:color="A6A6A6"/>
            </w:tcBorders>
            <w:shd w:val="clear" w:color="auto" w:fill="E7E6E6"/>
            <w:noWrap/>
            <w:hideMark/>
          </w:tcPr>
          <w:p w14:paraId="25A6EACF" w14:textId="77777777" w:rsidR="005F4A7E" w:rsidRPr="002029AF" w:rsidRDefault="005F4A7E" w:rsidP="00130D1C">
            <w:pPr>
              <w:pStyle w:val="ARfintablebodyright"/>
            </w:pPr>
            <w:r w:rsidRPr="00800BB4">
              <w:t>(269.4)</w:t>
            </w:r>
          </w:p>
        </w:tc>
        <w:tc>
          <w:tcPr>
            <w:tcW w:w="1134" w:type="dxa"/>
            <w:tcBorders>
              <w:top w:val="single" w:sz="4" w:space="0" w:color="A6A6A6"/>
            </w:tcBorders>
            <w:noWrap/>
            <w:hideMark/>
          </w:tcPr>
          <w:p w14:paraId="0F8ACE16" w14:textId="77777777" w:rsidR="005F4A7E" w:rsidRPr="002029AF" w:rsidRDefault="005F4A7E" w:rsidP="00130D1C">
            <w:pPr>
              <w:pStyle w:val="ARfintablebodyright"/>
            </w:pPr>
            <w:r w:rsidRPr="00800BB4">
              <w:t>(203.7)</w:t>
            </w:r>
          </w:p>
        </w:tc>
      </w:tr>
      <w:tr w:rsidR="005F4A7E" w:rsidRPr="002029AF" w14:paraId="45EB3B25" w14:textId="77777777" w:rsidTr="003566F1">
        <w:trPr>
          <w:gridAfter w:val="1"/>
          <w:wAfter w:w="10" w:type="dxa"/>
        </w:trPr>
        <w:tc>
          <w:tcPr>
            <w:tcW w:w="6518" w:type="dxa"/>
            <w:hideMark/>
          </w:tcPr>
          <w:p w14:paraId="2EE2F964" w14:textId="77777777" w:rsidR="005F4A7E" w:rsidRPr="002029AF" w:rsidRDefault="005F4A7E" w:rsidP="00130D1C">
            <w:pPr>
              <w:pStyle w:val="ARfintablebodybold"/>
            </w:pPr>
            <w:r w:rsidRPr="00800BB4">
              <w:t>Total payments</w:t>
            </w:r>
          </w:p>
        </w:tc>
        <w:tc>
          <w:tcPr>
            <w:tcW w:w="851" w:type="dxa"/>
            <w:noWrap/>
            <w:hideMark/>
          </w:tcPr>
          <w:p w14:paraId="54862D7F" w14:textId="77777777" w:rsidR="005F4A7E" w:rsidRPr="002029AF" w:rsidRDefault="005F4A7E" w:rsidP="00130D1C">
            <w:pPr>
              <w:pStyle w:val="ARfintablebodyrightbold"/>
            </w:pPr>
          </w:p>
        </w:tc>
        <w:tc>
          <w:tcPr>
            <w:tcW w:w="1134" w:type="dxa"/>
            <w:shd w:val="clear" w:color="auto" w:fill="E7E6E6"/>
            <w:noWrap/>
            <w:hideMark/>
          </w:tcPr>
          <w:p w14:paraId="3A8C3582" w14:textId="77777777" w:rsidR="005F4A7E" w:rsidRPr="002029AF" w:rsidRDefault="005F4A7E" w:rsidP="00130D1C">
            <w:pPr>
              <w:pStyle w:val="ARfintablebodyrightbold"/>
            </w:pPr>
            <w:r w:rsidRPr="00800BB4">
              <w:t>(25,521.8)</w:t>
            </w:r>
          </w:p>
        </w:tc>
        <w:tc>
          <w:tcPr>
            <w:tcW w:w="1134" w:type="dxa"/>
            <w:noWrap/>
            <w:hideMark/>
          </w:tcPr>
          <w:p w14:paraId="2FED83EF" w14:textId="77777777" w:rsidR="005F4A7E" w:rsidRPr="002029AF" w:rsidRDefault="005F4A7E" w:rsidP="00130D1C">
            <w:pPr>
              <w:pStyle w:val="ARfintablebodyrightbold"/>
            </w:pPr>
            <w:r w:rsidRPr="00800BB4">
              <w:t>(21,860.8)</w:t>
            </w:r>
          </w:p>
        </w:tc>
      </w:tr>
      <w:tr w:rsidR="005F4A7E" w:rsidRPr="002029AF" w14:paraId="69B8AE75" w14:textId="77777777" w:rsidTr="003566F1">
        <w:trPr>
          <w:gridAfter w:val="1"/>
          <w:wAfter w:w="10" w:type="dxa"/>
        </w:trPr>
        <w:tc>
          <w:tcPr>
            <w:tcW w:w="6518" w:type="dxa"/>
            <w:tcBorders>
              <w:bottom w:val="single" w:sz="4" w:space="0" w:color="auto"/>
            </w:tcBorders>
            <w:hideMark/>
          </w:tcPr>
          <w:p w14:paraId="6C48D3AE" w14:textId="77777777" w:rsidR="005F4A7E" w:rsidRPr="002029AF" w:rsidRDefault="005F4A7E" w:rsidP="00130D1C">
            <w:pPr>
              <w:pStyle w:val="ARfintablebodybold"/>
            </w:pPr>
            <w:r w:rsidRPr="00800BB4">
              <w:t>Net cash flows from/(used in) operating activities</w:t>
            </w:r>
          </w:p>
        </w:tc>
        <w:tc>
          <w:tcPr>
            <w:tcW w:w="851" w:type="dxa"/>
            <w:tcBorders>
              <w:bottom w:val="single" w:sz="4" w:space="0" w:color="auto"/>
            </w:tcBorders>
            <w:noWrap/>
            <w:hideMark/>
          </w:tcPr>
          <w:p w14:paraId="40EDA0DD" w14:textId="77777777" w:rsidR="005F4A7E" w:rsidRPr="002029AF" w:rsidRDefault="005F4A7E" w:rsidP="00130D1C">
            <w:pPr>
              <w:pStyle w:val="ARfintablebodyright"/>
            </w:pPr>
            <w:r w:rsidRPr="00800BB4">
              <w:t>7.3.1</w:t>
            </w:r>
          </w:p>
        </w:tc>
        <w:tc>
          <w:tcPr>
            <w:tcW w:w="1134" w:type="dxa"/>
            <w:tcBorders>
              <w:bottom w:val="single" w:sz="4" w:space="0" w:color="auto"/>
            </w:tcBorders>
            <w:shd w:val="clear" w:color="auto" w:fill="E7E6E6"/>
            <w:noWrap/>
            <w:hideMark/>
          </w:tcPr>
          <w:p w14:paraId="7741126D" w14:textId="77777777" w:rsidR="005F4A7E" w:rsidRPr="002029AF" w:rsidRDefault="005F4A7E" w:rsidP="00130D1C">
            <w:pPr>
              <w:pStyle w:val="ARfintablebodyrightbold"/>
            </w:pPr>
            <w:r w:rsidRPr="00800BB4">
              <w:t>989.6</w:t>
            </w:r>
          </w:p>
        </w:tc>
        <w:tc>
          <w:tcPr>
            <w:tcW w:w="1134" w:type="dxa"/>
            <w:tcBorders>
              <w:bottom w:val="single" w:sz="4" w:space="0" w:color="auto"/>
            </w:tcBorders>
            <w:noWrap/>
            <w:hideMark/>
          </w:tcPr>
          <w:p w14:paraId="166CDF21" w14:textId="77777777" w:rsidR="005F4A7E" w:rsidRPr="002029AF" w:rsidRDefault="005F4A7E" w:rsidP="00130D1C">
            <w:pPr>
              <w:pStyle w:val="ARfintablebodyrightbold"/>
            </w:pPr>
            <w:r w:rsidRPr="00800BB4">
              <w:t>(96.9)</w:t>
            </w:r>
          </w:p>
        </w:tc>
      </w:tr>
      <w:tr w:rsidR="005F4A7E" w:rsidRPr="002029AF" w14:paraId="25FAC490" w14:textId="77777777" w:rsidTr="003566F1">
        <w:trPr>
          <w:gridAfter w:val="1"/>
          <w:wAfter w:w="10" w:type="dxa"/>
        </w:trPr>
        <w:tc>
          <w:tcPr>
            <w:tcW w:w="9637" w:type="dxa"/>
            <w:gridSpan w:val="4"/>
            <w:tcBorders>
              <w:top w:val="single" w:sz="4" w:space="0" w:color="auto"/>
              <w:bottom w:val="single" w:sz="4" w:space="0" w:color="A6A6A6"/>
            </w:tcBorders>
            <w:hideMark/>
          </w:tcPr>
          <w:p w14:paraId="6D09A48E" w14:textId="77777777" w:rsidR="005F4A7E" w:rsidRPr="002029AF" w:rsidRDefault="005F4A7E" w:rsidP="00130D1C">
            <w:pPr>
              <w:pStyle w:val="ARfintablebodybold"/>
            </w:pPr>
            <w:r w:rsidRPr="00800BB4">
              <w:t>Cash flows from investing activities</w:t>
            </w:r>
          </w:p>
        </w:tc>
      </w:tr>
      <w:tr w:rsidR="005F4A7E" w:rsidRPr="002029AF" w14:paraId="48199962" w14:textId="77777777" w:rsidTr="003566F1">
        <w:trPr>
          <w:gridAfter w:val="1"/>
          <w:wAfter w:w="10" w:type="dxa"/>
        </w:trPr>
        <w:tc>
          <w:tcPr>
            <w:tcW w:w="6518" w:type="dxa"/>
            <w:tcBorders>
              <w:top w:val="single" w:sz="4" w:space="0" w:color="A6A6A6"/>
              <w:bottom w:val="single" w:sz="4" w:space="0" w:color="A6A6A6"/>
            </w:tcBorders>
            <w:hideMark/>
          </w:tcPr>
          <w:p w14:paraId="20538E39" w14:textId="77777777" w:rsidR="005F4A7E" w:rsidRPr="002029AF" w:rsidRDefault="005F4A7E" w:rsidP="00130D1C">
            <w:pPr>
              <w:pStyle w:val="ARfintablebody"/>
            </w:pPr>
            <w:r w:rsidRPr="00800BB4">
              <w:t>Proceeds from the sale of non-financial assets</w:t>
            </w:r>
          </w:p>
        </w:tc>
        <w:tc>
          <w:tcPr>
            <w:tcW w:w="851" w:type="dxa"/>
            <w:tcBorders>
              <w:top w:val="single" w:sz="4" w:space="0" w:color="A6A6A6"/>
              <w:bottom w:val="single" w:sz="4" w:space="0" w:color="A6A6A6"/>
            </w:tcBorders>
            <w:noWrap/>
            <w:hideMark/>
          </w:tcPr>
          <w:p w14:paraId="4083E63E" w14:textId="77777777" w:rsidR="005F4A7E" w:rsidRPr="002029AF" w:rsidRDefault="005F4A7E" w:rsidP="00130D1C">
            <w:pPr>
              <w:pStyle w:val="ARfintablebodyright"/>
            </w:pPr>
          </w:p>
        </w:tc>
        <w:tc>
          <w:tcPr>
            <w:tcW w:w="1134" w:type="dxa"/>
            <w:tcBorders>
              <w:top w:val="single" w:sz="4" w:space="0" w:color="A6A6A6"/>
              <w:bottom w:val="single" w:sz="4" w:space="0" w:color="A6A6A6"/>
            </w:tcBorders>
            <w:shd w:val="clear" w:color="auto" w:fill="E7E6E6"/>
            <w:noWrap/>
            <w:hideMark/>
          </w:tcPr>
          <w:p w14:paraId="1F24A195" w14:textId="77777777" w:rsidR="005F4A7E" w:rsidRPr="002029AF" w:rsidRDefault="005F4A7E" w:rsidP="00130D1C">
            <w:pPr>
              <w:pStyle w:val="ARfintablebodyright"/>
            </w:pPr>
            <w:r w:rsidRPr="00800BB4">
              <w:t>69.7</w:t>
            </w:r>
          </w:p>
        </w:tc>
        <w:tc>
          <w:tcPr>
            <w:tcW w:w="1134" w:type="dxa"/>
            <w:tcBorders>
              <w:top w:val="single" w:sz="4" w:space="0" w:color="A6A6A6"/>
              <w:bottom w:val="single" w:sz="4" w:space="0" w:color="A6A6A6"/>
            </w:tcBorders>
            <w:noWrap/>
            <w:hideMark/>
          </w:tcPr>
          <w:p w14:paraId="5B57886D" w14:textId="77777777" w:rsidR="005F4A7E" w:rsidRPr="002029AF" w:rsidRDefault="005F4A7E" w:rsidP="00130D1C">
            <w:pPr>
              <w:pStyle w:val="ARfintablebodyright"/>
            </w:pPr>
            <w:r w:rsidRPr="00800BB4">
              <w:t>105.0</w:t>
            </w:r>
          </w:p>
        </w:tc>
      </w:tr>
      <w:tr w:rsidR="005F4A7E" w:rsidRPr="002029AF" w14:paraId="20C63343" w14:textId="77777777" w:rsidTr="003566F1">
        <w:trPr>
          <w:gridAfter w:val="1"/>
          <w:wAfter w:w="10" w:type="dxa"/>
        </w:trPr>
        <w:tc>
          <w:tcPr>
            <w:tcW w:w="6518" w:type="dxa"/>
            <w:tcBorders>
              <w:top w:val="single" w:sz="4" w:space="0" w:color="A6A6A6"/>
              <w:bottom w:val="single" w:sz="4" w:space="0" w:color="A6A6A6"/>
            </w:tcBorders>
            <w:hideMark/>
          </w:tcPr>
          <w:p w14:paraId="191E3200" w14:textId="77777777" w:rsidR="005F4A7E" w:rsidRPr="002029AF" w:rsidRDefault="005F4A7E" w:rsidP="00130D1C">
            <w:pPr>
              <w:pStyle w:val="ARfintablebody"/>
            </w:pPr>
            <w:r w:rsidRPr="00800BB4">
              <w:t>(Purchase)/redemption of short-term investments – term deposits</w:t>
            </w:r>
          </w:p>
        </w:tc>
        <w:tc>
          <w:tcPr>
            <w:tcW w:w="851" w:type="dxa"/>
            <w:tcBorders>
              <w:top w:val="single" w:sz="4" w:space="0" w:color="A6A6A6"/>
              <w:bottom w:val="single" w:sz="4" w:space="0" w:color="A6A6A6"/>
            </w:tcBorders>
            <w:noWrap/>
            <w:hideMark/>
          </w:tcPr>
          <w:p w14:paraId="3670E4F8" w14:textId="77777777" w:rsidR="005F4A7E" w:rsidRPr="002029AF" w:rsidRDefault="005F4A7E" w:rsidP="00130D1C">
            <w:pPr>
              <w:pStyle w:val="ARfintablebodyright"/>
            </w:pPr>
          </w:p>
        </w:tc>
        <w:tc>
          <w:tcPr>
            <w:tcW w:w="1134" w:type="dxa"/>
            <w:tcBorders>
              <w:top w:val="single" w:sz="4" w:space="0" w:color="A6A6A6"/>
              <w:bottom w:val="single" w:sz="4" w:space="0" w:color="A6A6A6"/>
            </w:tcBorders>
            <w:shd w:val="clear" w:color="auto" w:fill="E7E6E6"/>
            <w:noWrap/>
            <w:hideMark/>
          </w:tcPr>
          <w:p w14:paraId="240CD610" w14:textId="77777777" w:rsidR="005F4A7E" w:rsidRPr="002029AF" w:rsidRDefault="005F4A7E" w:rsidP="00130D1C">
            <w:pPr>
              <w:pStyle w:val="ARfintablebodyright"/>
            </w:pPr>
            <w:r w:rsidRPr="00800BB4">
              <w:t>–</w:t>
            </w:r>
          </w:p>
        </w:tc>
        <w:tc>
          <w:tcPr>
            <w:tcW w:w="1134" w:type="dxa"/>
            <w:tcBorders>
              <w:top w:val="single" w:sz="4" w:space="0" w:color="A6A6A6"/>
              <w:bottom w:val="single" w:sz="4" w:space="0" w:color="A6A6A6"/>
            </w:tcBorders>
            <w:noWrap/>
            <w:hideMark/>
          </w:tcPr>
          <w:p w14:paraId="1B7CE0BB" w14:textId="77777777" w:rsidR="005F4A7E" w:rsidRPr="002029AF" w:rsidRDefault="005F4A7E" w:rsidP="00130D1C">
            <w:pPr>
              <w:pStyle w:val="ARfintablebodyright"/>
            </w:pPr>
            <w:r w:rsidRPr="00800BB4">
              <w:t>100.0</w:t>
            </w:r>
          </w:p>
        </w:tc>
      </w:tr>
      <w:tr w:rsidR="005F4A7E" w:rsidRPr="002029AF" w14:paraId="0C287597" w14:textId="77777777" w:rsidTr="003566F1">
        <w:trPr>
          <w:gridAfter w:val="1"/>
          <w:wAfter w:w="10" w:type="dxa"/>
        </w:trPr>
        <w:tc>
          <w:tcPr>
            <w:tcW w:w="6518" w:type="dxa"/>
            <w:tcBorders>
              <w:top w:val="single" w:sz="4" w:space="0" w:color="A6A6A6"/>
              <w:bottom w:val="single" w:sz="4" w:space="0" w:color="A6A6A6"/>
            </w:tcBorders>
            <w:hideMark/>
          </w:tcPr>
          <w:p w14:paraId="6EA95632" w14:textId="77777777" w:rsidR="005F4A7E" w:rsidRPr="002029AF" w:rsidRDefault="005F4A7E" w:rsidP="00130D1C">
            <w:pPr>
              <w:pStyle w:val="ARfintablebody"/>
            </w:pPr>
            <w:r w:rsidRPr="00800BB4">
              <w:t>Client loans repaid</w:t>
            </w:r>
          </w:p>
        </w:tc>
        <w:tc>
          <w:tcPr>
            <w:tcW w:w="851" w:type="dxa"/>
            <w:tcBorders>
              <w:top w:val="single" w:sz="4" w:space="0" w:color="A6A6A6"/>
              <w:bottom w:val="single" w:sz="4" w:space="0" w:color="A6A6A6"/>
            </w:tcBorders>
            <w:noWrap/>
            <w:hideMark/>
          </w:tcPr>
          <w:p w14:paraId="715CB997" w14:textId="77777777" w:rsidR="005F4A7E" w:rsidRPr="002029AF" w:rsidRDefault="005F4A7E" w:rsidP="00130D1C">
            <w:pPr>
              <w:pStyle w:val="ARfintablebodyright"/>
            </w:pPr>
          </w:p>
        </w:tc>
        <w:tc>
          <w:tcPr>
            <w:tcW w:w="1134" w:type="dxa"/>
            <w:tcBorders>
              <w:top w:val="single" w:sz="4" w:space="0" w:color="A6A6A6"/>
              <w:bottom w:val="single" w:sz="4" w:space="0" w:color="A6A6A6"/>
            </w:tcBorders>
            <w:shd w:val="clear" w:color="auto" w:fill="E7E6E6"/>
            <w:noWrap/>
            <w:hideMark/>
          </w:tcPr>
          <w:p w14:paraId="0D48D8C2" w14:textId="77777777" w:rsidR="005F4A7E" w:rsidRPr="002029AF" w:rsidRDefault="005F4A7E" w:rsidP="00130D1C">
            <w:pPr>
              <w:pStyle w:val="ARfintablebodyright"/>
            </w:pPr>
            <w:r w:rsidRPr="00800BB4">
              <w:t>317.6</w:t>
            </w:r>
          </w:p>
        </w:tc>
        <w:tc>
          <w:tcPr>
            <w:tcW w:w="1134" w:type="dxa"/>
            <w:tcBorders>
              <w:top w:val="single" w:sz="4" w:space="0" w:color="A6A6A6"/>
              <w:bottom w:val="single" w:sz="4" w:space="0" w:color="A6A6A6"/>
            </w:tcBorders>
            <w:noWrap/>
            <w:hideMark/>
          </w:tcPr>
          <w:p w14:paraId="3EB04A8A" w14:textId="77777777" w:rsidR="005F4A7E" w:rsidRPr="002029AF" w:rsidRDefault="005F4A7E" w:rsidP="00130D1C">
            <w:pPr>
              <w:pStyle w:val="ARfintablebodyright"/>
            </w:pPr>
            <w:r w:rsidRPr="00800BB4">
              <w:t>14.9</w:t>
            </w:r>
          </w:p>
        </w:tc>
      </w:tr>
      <w:tr w:rsidR="005F4A7E" w:rsidRPr="002029AF" w14:paraId="62C16F05" w14:textId="77777777" w:rsidTr="003566F1">
        <w:trPr>
          <w:gridAfter w:val="1"/>
          <w:wAfter w:w="10" w:type="dxa"/>
        </w:trPr>
        <w:tc>
          <w:tcPr>
            <w:tcW w:w="6518" w:type="dxa"/>
            <w:tcBorders>
              <w:top w:val="single" w:sz="4" w:space="0" w:color="A6A6A6"/>
              <w:bottom w:val="single" w:sz="4" w:space="0" w:color="A6A6A6"/>
            </w:tcBorders>
            <w:hideMark/>
          </w:tcPr>
          <w:p w14:paraId="0733D316" w14:textId="77777777" w:rsidR="005F4A7E" w:rsidRPr="002029AF" w:rsidRDefault="005F4A7E" w:rsidP="00130D1C">
            <w:pPr>
              <w:pStyle w:val="ARfintablebody"/>
            </w:pPr>
            <w:r w:rsidRPr="00800BB4">
              <w:t>Payment for non-financial assets</w:t>
            </w:r>
          </w:p>
        </w:tc>
        <w:tc>
          <w:tcPr>
            <w:tcW w:w="851" w:type="dxa"/>
            <w:tcBorders>
              <w:top w:val="single" w:sz="4" w:space="0" w:color="A6A6A6"/>
              <w:bottom w:val="single" w:sz="4" w:space="0" w:color="A6A6A6"/>
            </w:tcBorders>
            <w:noWrap/>
            <w:hideMark/>
          </w:tcPr>
          <w:p w14:paraId="6A35B36E" w14:textId="77777777" w:rsidR="005F4A7E" w:rsidRPr="002029AF" w:rsidRDefault="005F4A7E" w:rsidP="00130D1C">
            <w:pPr>
              <w:pStyle w:val="ARfintablebodyright"/>
            </w:pPr>
          </w:p>
        </w:tc>
        <w:tc>
          <w:tcPr>
            <w:tcW w:w="1134" w:type="dxa"/>
            <w:tcBorders>
              <w:top w:val="single" w:sz="4" w:space="0" w:color="A6A6A6"/>
              <w:bottom w:val="single" w:sz="4" w:space="0" w:color="A6A6A6"/>
            </w:tcBorders>
            <w:shd w:val="clear" w:color="auto" w:fill="E7E6E6"/>
            <w:noWrap/>
            <w:hideMark/>
          </w:tcPr>
          <w:p w14:paraId="293164E5" w14:textId="77777777" w:rsidR="005F4A7E" w:rsidRPr="002029AF" w:rsidRDefault="005F4A7E" w:rsidP="00130D1C">
            <w:pPr>
              <w:pStyle w:val="ARfintablebodyright"/>
            </w:pPr>
            <w:r w:rsidRPr="00800BB4">
              <w:t>(1,153.7)</w:t>
            </w:r>
          </w:p>
        </w:tc>
        <w:tc>
          <w:tcPr>
            <w:tcW w:w="1134" w:type="dxa"/>
            <w:tcBorders>
              <w:top w:val="single" w:sz="4" w:space="0" w:color="A6A6A6"/>
              <w:bottom w:val="single" w:sz="4" w:space="0" w:color="A6A6A6"/>
            </w:tcBorders>
            <w:noWrap/>
            <w:hideMark/>
          </w:tcPr>
          <w:p w14:paraId="66F8682D" w14:textId="77777777" w:rsidR="005F4A7E" w:rsidRPr="002029AF" w:rsidRDefault="005F4A7E" w:rsidP="00130D1C">
            <w:pPr>
              <w:pStyle w:val="ARfintablebodyright"/>
            </w:pPr>
            <w:r w:rsidRPr="00800BB4">
              <w:t>(585.4)</w:t>
            </w:r>
          </w:p>
        </w:tc>
      </w:tr>
      <w:tr w:rsidR="005F4A7E" w:rsidRPr="002029AF" w14:paraId="5CBD00FE" w14:textId="77777777" w:rsidTr="003566F1">
        <w:trPr>
          <w:gridAfter w:val="1"/>
          <w:wAfter w:w="10" w:type="dxa"/>
        </w:trPr>
        <w:tc>
          <w:tcPr>
            <w:tcW w:w="6518" w:type="dxa"/>
            <w:tcBorders>
              <w:top w:val="single" w:sz="4" w:space="0" w:color="A6A6A6"/>
            </w:tcBorders>
            <w:hideMark/>
          </w:tcPr>
          <w:p w14:paraId="31CD0981" w14:textId="77777777" w:rsidR="005F4A7E" w:rsidRPr="002029AF" w:rsidRDefault="005F4A7E" w:rsidP="00130D1C">
            <w:pPr>
              <w:pStyle w:val="ARfintablebody"/>
            </w:pPr>
            <w:r w:rsidRPr="00800BB4">
              <w:t>Client loans granted</w:t>
            </w:r>
          </w:p>
        </w:tc>
        <w:tc>
          <w:tcPr>
            <w:tcW w:w="851" w:type="dxa"/>
            <w:tcBorders>
              <w:top w:val="single" w:sz="4" w:space="0" w:color="A6A6A6"/>
            </w:tcBorders>
            <w:noWrap/>
            <w:hideMark/>
          </w:tcPr>
          <w:p w14:paraId="21F268EA" w14:textId="77777777" w:rsidR="005F4A7E" w:rsidRPr="002029AF" w:rsidRDefault="005F4A7E" w:rsidP="00130D1C">
            <w:pPr>
              <w:pStyle w:val="ARfintablebodyright"/>
            </w:pPr>
          </w:p>
        </w:tc>
        <w:tc>
          <w:tcPr>
            <w:tcW w:w="1134" w:type="dxa"/>
            <w:tcBorders>
              <w:top w:val="single" w:sz="4" w:space="0" w:color="A6A6A6"/>
            </w:tcBorders>
            <w:shd w:val="clear" w:color="auto" w:fill="E7E6E6"/>
            <w:noWrap/>
            <w:hideMark/>
          </w:tcPr>
          <w:p w14:paraId="6BAFA4AF" w14:textId="77777777" w:rsidR="005F4A7E" w:rsidRPr="002029AF" w:rsidRDefault="005F4A7E" w:rsidP="00130D1C">
            <w:pPr>
              <w:pStyle w:val="ARfintablebodyright"/>
            </w:pPr>
            <w:r w:rsidRPr="00800BB4">
              <w:t>(47.1)</w:t>
            </w:r>
          </w:p>
        </w:tc>
        <w:tc>
          <w:tcPr>
            <w:tcW w:w="1134" w:type="dxa"/>
            <w:tcBorders>
              <w:top w:val="single" w:sz="4" w:space="0" w:color="A6A6A6"/>
            </w:tcBorders>
            <w:noWrap/>
            <w:hideMark/>
          </w:tcPr>
          <w:p w14:paraId="4C4DB8F2" w14:textId="77777777" w:rsidR="005F4A7E" w:rsidRPr="002029AF" w:rsidRDefault="005F4A7E" w:rsidP="00130D1C">
            <w:pPr>
              <w:pStyle w:val="ARfintablebodyright"/>
            </w:pPr>
            <w:r w:rsidRPr="00800BB4">
              <w:t>(308.1)</w:t>
            </w:r>
          </w:p>
        </w:tc>
      </w:tr>
      <w:tr w:rsidR="005F4A7E" w:rsidRPr="002029AF" w14:paraId="72DE68A5" w14:textId="77777777" w:rsidTr="003566F1">
        <w:trPr>
          <w:gridAfter w:val="1"/>
          <w:wAfter w:w="10" w:type="dxa"/>
        </w:trPr>
        <w:tc>
          <w:tcPr>
            <w:tcW w:w="6518" w:type="dxa"/>
            <w:tcBorders>
              <w:bottom w:val="single" w:sz="4" w:space="0" w:color="auto"/>
            </w:tcBorders>
            <w:hideMark/>
          </w:tcPr>
          <w:p w14:paraId="59DBEB63" w14:textId="77777777" w:rsidR="005F4A7E" w:rsidRPr="002029AF" w:rsidRDefault="005F4A7E" w:rsidP="00130D1C">
            <w:pPr>
              <w:pStyle w:val="ARfintablebodybold"/>
            </w:pPr>
            <w:r w:rsidRPr="00800BB4">
              <w:t>Net cash flows from/(used in) investing activities</w:t>
            </w:r>
          </w:p>
        </w:tc>
        <w:tc>
          <w:tcPr>
            <w:tcW w:w="851" w:type="dxa"/>
            <w:tcBorders>
              <w:bottom w:val="single" w:sz="4" w:space="0" w:color="auto"/>
            </w:tcBorders>
            <w:hideMark/>
          </w:tcPr>
          <w:p w14:paraId="64E20A02" w14:textId="77777777" w:rsidR="005F4A7E" w:rsidRPr="002029AF" w:rsidRDefault="005F4A7E" w:rsidP="00130D1C">
            <w:pPr>
              <w:pStyle w:val="ARfintablebodyrightbold"/>
            </w:pPr>
          </w:p>
        </w:tc>
        <w:tc>
          <w:tcPr>
            <w:tcW w:w="1134" w:type="dxa"/>
            <w:tcBorders>
              <w:bottom w:val="single" w:sz="4" w:space="0" w:color="auto"/>
            </w:tcBorders>
            <w:shd w:val="clear" w:color="auto" w:fill="E7E6E6"/>
            <w:noWrap/>
            <w:hideMark/>
          </w:tcPr>
          <w:p w14:paraId="4EA6CEC9" w14:textId="77777777" w:rsidR="005F4A7E" w:rsidRPr="002029AF" w:rsidRDefault="005F4A7E" w:rsidP="00130D1C">
            <w:pPr>
              <w:pStyle w:val="ARfintablebodyrightbold"/>
            </w:pPr>
            <w:r w:rsidRPr="00800BB4">
              <w:t>(813.5)</w:t>
            </w:r>
          </w:p>
        </w:tc>
        <w:tc>
          <w:tcPr>
            <w:tcW w:w="1134" w:type="dxa"/>
            <w:tcBorders>
              <w:bottom w:val="single" w:sz="4" w:space="0" w:color="auto"/>
            </w:tcBorders>
            <w:noWrap/>
            <w:hideMark/>
          </w:tcPr>
          <w:p w14:paraId="7057C99C" w14:textId="77777777" w:rsidR="005F4A7E" w:rsidRPr="002029AF" w:rsidRDefault="005F4A7E" w:rsidP="00130D1C">
            <w:pPr>
              <w:pStyle w:val="ARfintablebodyrightbold"/>
            </w:pPr>
            <w:r w:rsidRPr="00800BB4">
              <w:t>(673.5)</w:t>
            </w:r>
          </w:p>
        </w:tc>
      </w:tr>
      <w:tr w:rsidR="005F4A7E" w:rsidRPr="002029AF" w14:paraId="09F637C8" w14:textId="77777777" w:rsidTr="003566F1">
        <w:trPr>
          <w:gridAfter w:val="1"/>
          <w:wAfter w:w="10" w:type="dxa"/>
        </w:trPr>
        <w:tc>
          <w:tcPr>
            <w:tcW w:w="9637" w:type="dxa"/>
            <w:gridSpan w:val="4"/>
            <w:tcBorders>
              <w:top w:val="single" w:sz="4" w:space="0" w:color="auto"/>
              <w:bottom w:val="single" w:sz="4" w:space="0" w:color="A6A6A6"/>
            </w:tcBorders>
            <w:hideMark/>
          </w:tcPr>
          <w:p w14:paraId="59616F43" w14:textId="77777777" w:rsidR="005F4A7E" w:rsidRPr="002029AF" w:rsidRDefault="005F4A7E" w:rsidP="00130D1C">
            <w:pPr>
              <w:pStyle w:val="ARfintablebodybold"/>
            </w:pPr>
            <w:r w:rsidRPr="00800BB4">
              <w:t>Cash flows from financing activities</w:t>
            </w:r>
          </w:p>
        </w:tc>
      </w:tr>
      <w:tr w:rsidR="005F4A7E" w:rsidRPr="002029AF" w14:paraId="5948E9D7" w14:textId="77777777" w:rsidTr="003566F1">
        <w:trPr>
          <w:gridAfter w:val="1"/>
          <w:wAfter w:w="10" w:type="dxa"/>
        </w:trPr>
        <w:tc>
          <w:tcPr>
            <w:tcW w:w="6518" w:type="dxa"/>
            <w:tcBorders>
              <w:top w:val="single" w:sz="4" w:space="0" w:color="A6A6A6"/>
              <w:bottom w:val="single" w:sz="4" w:space="0" w:color="A6A6A6"/>
            </w:tcBorders>
            <w:hideMark/>
          </w:tcPr>
          <w:p w14:paraId="45C6B059" w14:textId="77777777" w:rsidR="005F4A7E" w:rsidRPr="002029AF" w:rsidRDefault="005F4A7E" w:rsidP="00130D1C">
            <w:pPr>
              <w:pStyle w:val="ARfintablebody"/>
            </w:pPr>
            <w:r w:rsidRPr="00800BB4">
              <w:t>Net receipts/(payments) for advances</w:t>
            </w:r>
          </w:p>
        </w:tc>
        <w:tc>
          <w:tcPr>
            <w:tcW w:w="851" w:type="dxa"/>
            <w:tcBorders>
              <w:top w:val="single" w:sz="4" w:space="0" w:color="A6A6A6"/>
              <w:bottom w:val="single" w:sz="4" w:space="0" w:color="A6A6A6"/>
            </w:tcBorders>
            <w:noWrap/>
            <w:hideMark/>
          </w:tcPr>
          <w:p w14:paraId="7268251D" w14:textId="77777777" w:rsidR="005F4A7E" w:rsidRPr="002029AF" w:rsidRDefault="005F4A7E" w:rsidP="00130D1C">
            <w:pPr>
              <w:pStyle w:val="ARfintablebodyright"/>
            </w:pPr>
          </w:p>
        </w:tc>
        <w:tc>
          <w:tcPr>
            <w:tcW w:w="1134" w:type="dxa"/>
            <w:tcBorders>
              <w:top w:val="single" w:sz="4" w:space="0" w:color="A6A6A6"/>
              <w:bottom w:val="single" w:sz="4" w:space="0" w:color="A6A6A6"/>
            </w:tcBorders>
            <w:shd w:val="clear" w:color="auto" w:fill="E7E6E6"/>
            <w:noWrap/>
            <w:hideMark/>
          </w:tcPr>
          <w:p w14:paraId="2064C11F" w14:textId="77777777" w:rsidR="005F4A7E" w:rsidRPr="002029AF" w:rsidRDefault="005F4A7E" w:rsidP="00130D1C">
            <w:pPr>
              <w:pStyle w:val="ARfintablebodyright"/>
            </w:pPr>
            <w:r w:rsidRPr="00800BB4">
              <w:t>(286.0)</w:t>
            </w:r>
          </w:p>
        </w:tc>
        <w:tc>
          <w:tcPr>
            <w:tcW w:w="1134" w:type="dxa"/>
            <w:tcBorders>
              <w:top w:val="single" w:sz="4" w:space="0" w:color="A6A6A6"/>
              <w:bottom w:val="single" w:sz="4" w:space="0" w:color="A6A6A6"/>
            </w:tcBorders>
            <w:noWrap/>
            <w:hideMark/>
          </w:tcPr>
          <w:p w14:paraId="54519834" w14:textId="77777777" w:rsidR="005F4A7E" w:rsidRPr="002029AF" w:rsidRDefault="005F4A7E" w:rsidP="00130D1C">
            <w:pPr>
              <w:pStyle w:val="ARfintablebodyright"/>
            </w:pPr>
            <w:r w:rsidRPr="00800BB4">
              <w:t>307.4</w:t>
            </w:r>
          </w:p>
        </w:tc>
      </w:tr>
      <w:tr w:rsidR="005F4A7E" w:rsidRPr="002029AF" w14:paraId="07EE3EB4" w14:textId="77777777" w:rsidTr="003566F1">
        <w:tc>
          <w:tcPr>
            <w:tcW w:w="6518" w:type="dxa"/>
            <w:tcBorders>
              <w:top w:val="single" w:sz="4" w:space="0" w:color="A6A6A6"/>
              <w:bottom w:val="single" w:sz="4" w:space="0" w:color="A6A6A6"/>
            </w:tcBorders>
          </w:tcPr>
          <w:p w14:paraId="5D3FCCF9" w14:textId="77777777" w:rsidR="005F4A7E" w:rsidRPr="00800BB4" w:rsidRDefault="005F4A7E" w:rsidP="00130D1C">
            <w:pPr>
              <w:pStyle w:val="ARfintablebody"/>
            </w:pPr>
            <w:r>
              <w:t>Cash received from activities transferred in – machinery of government changes</w:t>
            </w:r>
          </w:p>
        </w:tc>
        <w:tc>
          <w:tcPr>
            <w:tcW w:w="851" w:type="dxa"/>
            <w:tcBorders>
              <w:top w:val="single" w:sz="4" w:space="0" w:color="A6A6A6"/>
              <w:bottom w:val="single" w:sz="4" w:space="0" w:color="A6A6A6"/>
            </w:tcBorders>
            <w:noWrap/>
          </w:tcPr>
          <w:p w14:paraId="73A74D90" w14:textId="77777777" w:rsidR="005F4A7E" w:rsidRPr="002029AF" w:rsidRDefault="005F4A7E" w:rsidP="00130D1C">
            <w:pPr>
              <w:pStyle w:val="ARfintablebodyright"/>
            </w:pPr>
          </w:p>
        </w:tc>
        <w:tc>
          <w:tcPr>
            <w:tcW w:w="1134" w:type="dxa"/>
            <w:tcBorders>
              <w:top w:val="single" w:sz="4" w:space="0" w:color="A6A6A6"/>
              <w:bottom w:val="single" w:sz="4" w:space="0" w:color="A6A6A6"/>
            </w:tcBorders>
            <w:shd w:val="clear" w:color="auto" w:fill="E7E6E6"/>
            <w:noWrap/>
          </w:tcPr>
          <w:p w14:paraId="745776BC" w14:textId="77777777" w:rsidR="005F4A7E" w:rsidRPr="00800BB4" w:rsidRDefault="005F4A7E" w:rsidP="00130D1C">
            <w:pPr>
              <w:pStyle w:val="ARfintablebodyright"/>
            </w:pPr>
            <w:r>
              <w:t>1.5</w:t>
            </w:r>
          </w:p>
        </w:tc>
        <w:tc>
          <w:tcPr>
            <w:tcW w:w="1134" w:type="dxa"/>
            <w:gridSpan w:val="2"/>
            <w:tcBorders>
              <w:top w:val="single" w:sz="4" w:space="0" w:color="A6A6A6"/>
              <w:bottom w:val="single" w:sz="4" w:space="0" w:color="A6A6A6"/>
            </w:tcBorders>
            <w:noWrap/>
          </w:tcPr>
          <w:p w14:paraId="5A72FA04" w14:textId="77777777" w:rsidR="005F4A7E" w:rsidRPr="00800BB4" w:rsidRDefault="005F4A7E" w:rsidP="00130D1C">
            <w:pPr>
              <w:pStyle w:val="ARfintablebodyright"/>
            </w:pPr>
            <w:r>
              <w:t>–</w:t>
            </w:r>
          </w:p>
        </w:tc>
      </w:tr>
      <w:tr w:rsidR="005F4A7E" w:rsidRPr="002029AF" w14:paraId="70A82FAB" w14:textId="77777777" w:rsidTr="003566F1">
        <w:trPr>
          <w:gridAfter w:val="1"/>
          <w:wAfter w:w="10" w:type="dxa"/>
        </w:trPr>
        <w:tc>
          <w:tcPr>
            <w:tcW w:w="6518" w:type="dxa"/>
            <w:tcBorders>
              <w:top w:val="single" w:sz="4" w:space="0" w:color="A6A6A6"/>
              <w:bottom w:val="single" w:sz="4" w:space="0" w:color="A6A6A6"/>
            </w:tcBorders>
            <w:hideMark/>
          </w:tcPr>
          <w:p w14:paraId="59E82B4C" w14:textId="77777777" w:rsidR="005F4A7E" w:rsidRPr="002029AF" w:rsidRDefault="005F4A7E" w:rsidP="00130D1C">
            <w:pPr>
              <w:pStyle w:val="ARfintablebody"/>
            </w:pPr>
            <w:r w:rsidRPr="00800BB4">
              <w:t>Owner contributions by Victorian Government – appropriation for capital expenditure purposes</w:t>
            </w:r>
          </w:p>
        </w:tc>
        <w:tc>
          <w:tcPr>
            <w:tcW w:w="851" w:type="dxa"/>
            <w:tcBorders>
              <w:top w:val="single" w:sz="4" w:space="0" w:color="A6A6A6"/>
              <w:bottom w:val="single" w:sz="4" w:space="0" w:color="A6A6A6"/>
            </w:tcBorders>
            <w:noWrap/>
            <w:hideMark/>
          </w:tcPr>
          <w:p w14:paraId="3AD1ED62" w14:textId="77777777" w:rsidR="005F4A7E" w:rsidRPr="002029AF" w:rsidRDefault="005F4A7E" w:rsidP="00130D1C">
            <w:pPr>
              <w:pStyle w:val="ARfintablebodyright"/>
            </w:pPr>
          </w:p>
        </w:tc>
        <w:tc>
          <w:tcPr>
            <w:tcW w:w="1134" w:type="dxa"/>
            <w:tcBorders>
              <w:top w:val="single" w:sz="4" w:space="0" w:color="A6A6A6"/>
              <w:bottom w:val="single" w:sz="4" w:space="0" w:color="A6A6A6"/>
            </w:tcBorders>
            <w:shd w:val="clear" w:color="auto" w:fill="E7E6E6"/>
            <w:noWrap/>
            <w:hideMark/>
          </w:tcPr>
          <w:p w14:paraId="228C9C39" w14:textId="77777777" w:rsidR="005F4A7E" w:rsidRPr="002029AF" w:rsidRDefault="005F4A7E" w:rsidP="00130D1C">
            <w:pPr>
              <w:pStyle w:val="ARfintablebodyright"/>
            </w:pPr>
            <w:r>
              <w:t>427.5</w:t>
            </w:r>
          </w:p>
        </w:tc>
        <w:tc>
          <w:tcPr>
            <w:tcW w:w="1134" w:type="dxa"/>
            <w:tcBorders>
              <w:top w:val="single" w:sz="4" w:space="0" w:color="A6A6A6"/>
              <w:bottom w:val="single" w:sz="4" w:space="0" w:color="A6A6A6"/>
            </w:tcBorders>
            <w:noWrap/>
            <w:hideMark/>
          </w:tcPr>
          <w:p w14:paraId="07520576" w14:textId="77777777" w:rsidR="005F4A7E" w:rsidRPr="002029AF" w:rsidRDefault="005F4A7E" w:rsidP="00130D1C">
            <w:pPr>
              <w:pStyle w:val="ARfintablebodyright"/>
            </w:pPr>
            <w:r w:rsidRPr="00800BB4">
              <w:t>269.7</w:t>
            </w:r>
          </w:p>
        </w:tc>
      </w:tr>
      <w:tr w:rsidR="005F4A7E" w:rsidRPr="002029AF" w14:paraId="02980928" w14:textId="77777777" w:rsidTr="003566F1">
        <w:trPr>
          <w:gridAfter w:val="1"/>
          <w:wAfter w:w="10" w:type="dxa"/>
        </w:trPr>
        <w:tc>
          <w:tcPr>
            <w:tcW w:w="6518" w:type="dxa"/>
            <w:tcBorders>
              <w:top w:val="single" w:sz="4" w:space="0" w:color="A6A6A6"/>
              <w:bottom w:val="single" w:sz="4" w:space="0" w:color="A6A6A6"/>
            </w:tcBorders>
            <w:hideMark/>
          </w:tcPr>
          <w:p w14:paraId="7F39AEF9" w14:textId="77777777" w:rsidR="005F4A7E" w:rsidRPr="002029AF" w:rsidRDefault="005F4A7E" w:rsidP="00130D1C">
            <w:pPr>
              <w:pStyle w:val="ARfintablebody"/>
            </w:pPr>
            <w:r w:rsidRPr="00800BB4">
              <w:t>Payments of capital contributions</w:t>
            </w:r>
          </w:p>
        </w:tc>
        <w:tc>
          <w:tcPr>
            <w:tcW w:w="851" w:type="dxa"/>
            <w:tcBorders>
              <w:top w:val="single" w:sz="4" w:space="0" w:color="A6A6A6"/>
              <w:bottom w:val="single" w:sz="4" w:space="0" w:color="A6A6A6"/>
            </w:tcBorders>
            <w:noWrap/>
            <w:hideMark/>
          </w:tcPr>
          <w:p w14:paraId="62FA9066" w14:textId="77777777" w:rsidR="005F4A7E" w:rsidRPr="002029AF" w:rsidRDefault="005F4A7E" w:rsidP="00130D1C">
            <w:pPr>
              <w:pStyle w:val="ARfintablebodyright"/>
            </w:pPr>
          </w:p>
        </w:tc>
        <w:tc>
          <w:tcPr>
            <w:tcW w:w="1134" w:type="dxa"/>
            <w:tcBorders>
              <w:top w:val="single" w:sz="4" w:space="0" w:color="A6A6A6"/>
              <w:bottom w:val="single" w:sz="4" w:space="0" w:color="A6A6A6"/>
            </w:tcBorders>
            <w:shd w:val="clear" w:color="auto" w:fill="E7E6E6"/>
            <w:noWrap/>
            <w:hideMark/>
          </w:tcPr>
          <w:p w14:paraId="41828254" w14:textId="77777777" w:rsidR="005F4A7E" w:rsidRPr="002029AF" w:rsidRDefault="005F4A7E" w:rsidP="00130D1C">
            <w:pPr>
              <w:pStyle w:val="ARfintablebodyright"/>
            </w:pPr>
            <w:r w:rsidRPr="00800BB4">
              <w:t>(10.5)</w:t>
            </w:r>
          </w:p>
        </w:tc>
        <w:tc>
          <w:tcPr>
            <w:tcW w:w="1134" w:type="dxa"/>
            <w:tcBorders>
              <w:top w:val="single" w:sz="4" w:space="0" w:color="A6A6A6"/>
              <w:bottom w:val="single" w:sz="4" w:space="0" w:color="A6A6A6"/>
            </w:tcBorders>
            <w:noWrap/>
            <w:hideMark/>
          </w:tcPr>
          <w:p w14:paraId="46CEB239" w14:textId="77777777" w:rsidR="005F4A7E" w:rsidRPr="002029AF" w:rsidRDefault="005F4A7E" w:rsidP="00130D1C">
            <w:pPr>
              <w:pStyle w:val="ARfintablebodyright"/>
            </w:pPr>
            <w:r w:rsidRPr="00800BB4">
              <w:t>(61.2)</w:t>
            </w:r>
          </w:p>
        </w:tc>
      </w:tr>
      <w:tr w:rsidR="005F4A7E" w:rsidRPr="002029AF" w14:paraId="3FA667C9" w14:textId="77777777" w:rsidTr="003566F1">
        <w:trPr>
          <w:gridAfter w:val="1"/>
          <w:wAfter w:w="10" w:type="dxa"/>
        </w:trPr>
        <w:tc>
          <w:tcPr>
            <w:tcW w:w="6518" w:type="dxa"/>
            <w:tcBorders>
              <w:top w:val="single" w:sz="4" w:space="0" w:color="A6A6A6"/>
            </w:tcBorders>
            <w:hideMark/>
          </w:tcPr>
          <w:p w14:paraId="1DA3EBD8" w14:textId="77777777" w:rsidR="005F4A7E" w:rsidRPr="002029AF" w:rsidRDefault="005F4A7E" w:rsidP="00130D1C">
            <w:pPr>
              <w:pStyle w:val="ARfintablebody"/>
            </w:pPr>
            <w:r w:rsidRPr="00800BB4">
              <w:t xml:space="preserve">Repayment of borrowings and principal portion of lease liability </w:t>
            </w:r>
            <w:r w:rsidRPr="004F7659">
              <w:rPr>
                <w:rStyle w:val="Superscript"/>
              </w:rPr>
              <w:t>(ii)</w:t>
            </w:r>
          </w:p>
        </w:tc>
        <w:tc>
          <w:tcPr>
            <w:tcW w:w="851" w:type="dxa"/>
            <w:tcBorders>
              <w:top w:val="single" w:sz="4" w:space="0" w:color="A6A6A6"/>
            </w:tcBorders>
            <w:noWrap/>
            <w:hideMark/>
          </w:tcPr>
          <w:p w14:paraId="349B8CAC" w14:textId="77777777" w:rsidR="005F4A7E" w:rsidRPr="002029AF" w:rsidRDefault="005F4A7E" w:rsidP="00130D1C">
            <w:pPr>
              <w:pStyle w:val="ARfintablebodyright"/>
            </w:pPr>
          </w:p>
        </w:tc>
        <w:tc>
          <w:tcPr>
            <w:tcW w:w="1134" w:type="dxa"/>
            <w:tcBorders>
              <w:top w:val="single" w:sz="4" w:space="0" w:color="A6A6A6"/>
            </w:tcBorders>
            <w:shd w:val="clear" w:color="auto" w:fill="E7E6E6"/>
            <w:noWrap/>
            <w:hideMark/>
          </w:tcPr>
          <w:p w14:paraId="4E706CBD" w14:textId="77777777" w:rsidR="005F4A7E" w:rsidRPr="002029AF" w:rsidRDefault="005F4A7E" w:rsidP="00130D1C">
            <w:pPr>
              <w:pStyle w:val="ARfintablebodyright"/>
            </w:pPr>
            <w:r w:rsidRPr="00800BB4">
              <w:t>7.7</w:t>
            </w:r>
          </w:p>
        </w:tc>
        <w:tc>
          <w:tcPr>
            <w:tcW w:w="1134" w:type="dxa"/>
            <w:tcBorders>
              <w:top w:val="single" w:sz="4" w:space="0" w:color="A6A6A6"/>
            </w:tcBorders>
            <w:noWrap/>
            <w:hideMark/>
          </w:tcPr>
          <w:p w14:paraId="4A0868B9" w14:textId="77777777" w:rsidR="005F4A7E" w:rsidRPr="002029AF" w:rsidRDefault="005F4A7E" w:rsidP="00130D1C">
            <w:pPr>
              <w:pStyle w:val="ARfintablebodyright"/>
            </w:pPr>
            <w:r w:rsidRPr="00800BB4">
              <w:t>52.3</w:t>
            </w:r>
          </w:p>
        </w:tc>
      </w:tr>
      <w:tr w:rsidR="005F4A7E" w:rsidRPr="002029AF" w14:paraId="6591E719" w14:textId="77777777" w:rsidTr="003566F1">
        <w:trPr>
          <w:gridAfter w:val="1"/>
          <w:wAfter w:w="10" w:type="dxa"/>
        </w:trPr>
        <w:tc>
          <w:tcPr>
            <w:tcW w:w="6518" w:type="dxa"/>
            <w:hideMark/>
          </w:tcPr>
          <w:p w14:paraId="6DE8570B" w14:textId="77777777" w:rsidR="005F4A7E" w:rsidRPr="002029AF" w:rsidRDefault="005F4A7E" w:rsidP="00130D1C">
            <w:pPr>
              <w:pStyle w:val="ARfintablebodybold"/>
            </w:pPr>
            <w:r w:rsidRPr="00800BB4">
              <w:t>Net cash flows from/(used in) financing activities</w:t>
            </w:r>
          </w:p>
        </w:tc>
        <w:tc>
          <w:tcPr>
            <w:tcW w:w="851" w:type="dxa"/>
            <w:hideMark/>
          </w:tcPr>
          <w:p w14:paraId="056036B6" w14:textId="77777777" w:rsidR="005F4A7E" w:rsidRPr="002029AF" w:rsidRDefault="005F4A7E" w:rsidP="00130D1C">
            <w:pPr>
              <w:pStyle w:val="ARfintablebodyrightbold"/>
            </w:pPr>
          </w:p>
        </w:tc>
        <w:tc>
          <w:tcPr>
            <w:tcW w:w="1134" w:type="dxa"/>
            <w:shd w:val="clear" w:color="auto" w:fill="E7E6E6"/>
            <w:noWrap/>
            <w:hideMark/>
          </w:tcPr>
          <w:p w14:paraId="571FA561" w14:textId="77777777" w:rsidR="005F4A7E" w:rsidRPr="002029AF" w:rsidRDefault="005F4A7E" w:rsidP="00130D1C">
            <w:pPr>
              <w:pStyle w:val="ARfintablebodyrightbold"/>
            </w:pPr>
            <w:r>
              <w:t>140.2</w:t>
            </w:r>
          </w:p>
        </w:tc>
        <w:tc>
          <w:tcPr>
            <w:tcW w:w="1134" w:type="dxa"/>
            <w:noWrap/>
            <w:hideMark/>
          </w:tcPr>
          <w:p w14:paraId="74185C17" w14:textId="77777777" w:rsidR="005F4A7E" w:rsidRPr="002029AF" w:rsidRDefault="005F4A7E" w:rsidP="00130D1C">
            <w:pPr>
              <w:pStyle w:val="ARfintablebodyrightbold"/>
            </w:pPr>
            <w:r w:rsidRPr="00800BB4">
              <w:t>568.2</w:t>
            </w:r>
          </w:p>
        </w:tc>
      </w:tr>
      <w:tr w:rsidR="005F4A7E" w:rsidRPr="002029AF" w14:paraId="5D34A618" w14:textId="77777777" w:rsidTr="003566F1">
        <w:trPr>
          <w:gridAfter w:val="1"/>
          <w:wAfter w:w="10" w:type="dxa"/>
        </w:trPr>
        <w:tc>
          <w:tcPr>
            <w:tcW w:w="6518" w:type="dxa"/>
            <w:hideMark/>
          </w:tcPr>
          <w:p w14:paraId="295B96F4" w14:textId="77777777" w:rsidR="005F4A7E" w:rsidRPr="002029AF" w:rsidRDefault="005F4A7E" w:rsidP="00130D1C">
            <w:pPr>
              <w:pStyle w:val="ARfintablebodybold"/>
            </w:pPr>
            <w:r w:rsidRPr="00800BB4">
              <w:t>Net increase/(decrease) in cash and deposits</w:t>
            </w:r>
          </w:p>
        </w:tc>
        <w:tc>
          <w:tcPr>
            <w:tcW w:w="851" w:type="dxa"/>
            <w:hideMark/>
          </w:tcPr>
          <w:p w14:paraId="39BAE58F" w14:textId="77777777" w:rsidR="005F4A7E" w:rsidRPr="002029AF" w:rsidRDefault="005F4A7E" w:rsidP="00130D1C">
            <w:pPr>
              <w:pStyle w:val="ARfintablebodyrightbold"/>
            </w:pPr>
          </w:p>
        </w:tc>
        <w:tc>
          <w:tcPr>
            <w:tcW w:w="1134" w:type="dxa"/>
            <w:shd w:val="clear" w:color="auto" w:fill="E7E6E6"/>
            <w:noWrap/>
            <w:hideMark/>
          </w:tcPr>
          <w:p w14:paraId="52056D66" w14:textId="77777777" w:rsidR="005F4A7E" w:rsidRPr="002029AF" w:rsidRDefault="005F4A7E" w:rsidP="00130D1C">
            <w:pPr>
              <w:pStyle w:val="ARfintablebodyrightbold"/>
            </w:pPr>
            <w:r>
              <w:t>316.3</w:t>
            </w:r>
          </w:p>
        </w:tc>
        <w:tc>
          <w:tcPr>
            <w:tcW w:w="1134" w:type="dxa"/>
            <w:noWrap/>
            <w:hideMark/>
          </w:tcPr>
          <w:p w14:paraId="3542C2B7" w14:textId="77777777" w:rsidR="005F4A7E" w:rsidRPr="002029AF" w:rsidRDefault="005F4A7E" w:rsidP="00130D1C">
            <w:pPr>
              <w:pStyle w:val="ARfintablebodyrightbold"/>
            </w:pPr>
            <w:r w:rsidRPr="00800BB4">
              <w:t>(202.2)</w:t>
            </w:r>
          </w:p>
        </w:tc>
      </w:tr>
      <w:tr w:rsidR="005F4A7E" w:rsidRPr="002029AF" w14:paraId="725ABFA9" w14:textId="77777777" w:rsidTr="003566F1">
        <w:trPr>
          <w:gridAfter w:val="1"/>
          <w:wAfter w:w="10" w:type="dxa"/>
        </w:trPr>
        <w:tc>
          <w:tcPr>
            <w:tcW w:w="6518" w:type="dxa"/>
            <w:hideMark/>
          </w:tcPr>
          <w:p w14:paraId="47D4C8BA" w14:textId="77777777" w:rsidR="005F4A7E" w:rsidRPr="002029AF" w:rsidRDefault="005F4A7E" w:rsidP="00130D1C">
            <w:pPr>
              <w:pStyle w:val="ARfintablebody"/>
            </w:pPr>
            <w:r w:rsidRPr="00800BB4">
              <w:t>Cash and deposits at the beginning of the financial year</w:t>
            </w:r>
          </w:p>
        </w:tc>
        <w:tc>
          <w:tcPr>
            <w:tcW w:w="851" w:type="dxa"/>
            <w:noWrap/>
            <w:hideMark/>
          </w:tcPr>
          <w:p w14:paraId="49255186" w14:textId="77777777" w:rsidR="005F4A7E" w:rsidRPr="002029AF" w:rsidRDefault="005F4A7E" w:rsidP="00130D1C">
            <w:pPr>
              <w:pStyle w:val="ARfintablebodyright"/>
            </w:pPr>
          </w:p>
        </w:tc>
        <w:tc>
          <w:tcPr>
            <w:tcW w:w="1134" w:type="dxa"/>
            <w:shd w:val="clear" w:color="auto" w:fill="E7E6E6"/>
            <w:noWrap/>
            <w:hideMark/>
          </w:tcPr>
          <w:p w14:paraId="37B5663C" w14:textId="77777777" w:rsidR="005F4A7E" w:rsidRPr="002029AF" w:rsidRDefault="005F4A7E" w:rsidP="00130D1C">
            <w:pPr>
              <w:pStyle w:val="ARfintablebodyright"/>
            </w:pPr>
            <w:r>
              <w:t>597.7</w:t>
            </w:r>
          </w:p>
        </w:tc>
        <w:tc>
          <w:tcPr>
            <w:tcW w:w="1134" w:type="dxa"/>
            <w:noWrap/>
            <w:hideMark/>
          </w:tcPr>
          <w:p w14:paraId="451FDC7F" w14:textId="77777777" w:rsidR="005F4A7E" w:rsidRPr="002029AF" w:rsidRDefault="005F4A7E" w:rsidP="00130D1C">
            <w:pPr>
              <w:pStyle w:val="ARfintablebodyright"/>
            </w:pPr>
            <w:r w:rsidRPr="00800BB4">
              <w:t>799.9</w:t>
            </w:r>
          </w:p>
        </w:tc>
      </w:tr>
      <w:tr w:rsidR="005F4A7E" w:rsidRPr="002029AF" w14:paraId="63A26243" w14:textId="77777777" w:rsidTr="003566F1">
        <w:trPr>
          <w:gridAfter w:val="1"/>
          <w:wAfter w:w="10" w:type="dxa"/>
        </w:trPr>
        <w:tc>
          <w:tcPr>
            <w:tcW w:w="6518" w:type="dxa"/>
            <w:hideMark/>
          </w:tcPr>
          <w:p w14:paraId="1E77BA32" w14:textId="77777777" w:rsidR="005F4A7E" w:rsidRPr="002029AF" w:rsidRDefault="005F4A7E" w:rsidP="00130D1C">
            <w:pPr>
              <w:pStyle w:val="ARfintablebodybold"/>
            </w:pPr>
            <w:r w:rsidRPr="00800BB4">
              <w:t>Cash and deposits at the end of the financial year</w:t>
            </w:r>
          </w:p>
        </w:tc>
        <w:tc>
          <w:tcPr>
            <w:tcW w:w="851" w:type="dxa"/>
            <w:noWrap/>
            <w:hideMark/>
          </w:tcPr>
          <w:p w14:paraId="722ED71E" w14:textId="77777777" w:rsidR="005F4A7E" w:rsidRPr="002029AF" w:rsidRDefault="005F4A7E" w:rsidP="00130D1C">
            <w:pPr>
              <w:pStyle w:val="ARfintablebodyright"/>
            </w:pPr>
            <w:r w:rsidRPr="00800BB4">
              <w:t>7.3</w:t>
            </w:r>
          </w:p>
        </w:tc>
        <w:tc>
          <w:tcPr>
            <w:tcW w:w="1134" w:type="dxa"/>
            <w:shd w:val="clear" w:color="auto" w:fill="E7E6E6"/>
            <w:noWrap/>
            <w:hideMark/>
          </w:tcPr>
          <w:p w14:paraId="09FF9AA1" w14:textId="77777777" w:rsidR="005F4A7E" w:rsidRPr="002029AF" w:rsidRDefault="005F4A7E" w:rsidP="00130D1C">
            <w:pPr>
              <w:pStyle w:val="ARfintablebodyrightbold"/>
            </w:pPr>
            <w:r w:rsidRPr="00800BB4">
              <w:t>913.9</w:t>
            </w:r>
          </w:p>
        </w:tc>
        <w:tc>
          <w:tcPr>
            <w:tcW w:w="1134" w:type="dxa"/>
            <w:noWrap/>
            <w:hideMark/>
          </w:tcPr>
          <w:p w14:paraId="2DDBC85D" w14:textId="77777777" w:rsidR="005F4A7E" w:rsidRPr="002029AF" w:rsidRDefault="005F4A7E" w:rsidP="00130D1C">
            <w:pPr>
              <w:pStyle w:val="ARfintablebodyrightbold"/>
            </w:pPr>
            <w:r w:rsidRPr="00800BB4">
              <w:t>597.7</w:t>
            </w:r>
          </w:p>
        </w:tc>
      </w:tr>
    </w:tbl>
    <w:p w14:paraId="67A0934E" w14:textId="77777777" w:rsidR="005F4A7E" w:rsidRPr="00D160C6" w:rsidRDefault="005F4A7E" w:rsidP="00130D1C">
      <w:pPr>
        <w:pStyle w:val="ARfintablefootnote"/>
        <w:rPr>
          <w:rFonts w:eastAsia="Times" w:cs="Arial"/>
          <w:sz w:val="20"/>
          <w:szCs w:val="24"/>
        </w:rPr>
      </w:pPr>
      <w:r w:rsidRPr="00194D78">
        <w:rPr>
          <w:lang w:eastAsia="en-AU"/>
        </w:rPr>
        <w:t>The cash flow statement should be read in conjunction with the notes to the financial statements.</w:t>
      </w:r>
    </w:p>
    <w:p w14:paraId="164017EA" w14:textId="77777777" w:rsidR="005F4A7E" w:rsidRPr="00194D78" w:rsidRDefault="005F4A7E" w:rsidP="00130D1C">
      <w:pPr>
        <w:pStyle w:val="ARfintablefootnote"/>
        <w:rPr>
          <w:lang w:eastAsia="en-AU"/>
        </w:rPr>
      </w:pPr>
      <w:r w:rsidRPr="00194D78">
        <w:rPr>
          <w:lang w:eastAsia="en-AU"/>
        </w:rPr>
        <w:t>Note</w:t>
      </w:r>
      <w:r>
        <w:rPr>
          <w:lang w:eastAsia="en-AU"/>
        </w:rPr>
        <w:t>s</w:t>
      </w:r>
      <w:r w:rsidRPr="00194D78">
        <w:rPr>
          <w:lang w:eastAsia="en-AU"/>
        </w:rPr>
        <w:t>:</w:t>
      </w:r>
    </w:p>
    <w:p w14:paraId="33E23A29" w14:textId="77777777" w:rsidR="005F4A7E" w:rsidRDefault="005F4A7E" w:rsidP="00130D1C">
      <w:pPr>
        <w:pStyle w:val="ARfintablefootnoteindent"/>
      </w:pPr>
      <w:r>
        <w:t>(i)</w:t>
      </w:r>
      <w:r>
        <w:tab/>
      </w:r>
      <w:r w:rsidRPr="00194D78">
        <w:t>Goods and services tax (GST) recovered from the Australian Taxation Office is presented on a net basis.</w:t>
      </w:r>
    </w:p>
    <w:p w14:paraId="08DDFBAF" w14:textId="77777777" w:rsidR="005F4A7E" w:rsidRDefault="005F4A7E" w:rsidP="00130D1C">
      <w:pPr>
        <w:pStyle w:val="ARfintablefootnoteindent"/>
      </w:pPr>
      <w:r>
        <w:t>(ii)</w:t>
      </w:r>
      <w:r>
        <w:tab/>
      </w:r>
      <w:r w:rsidRPr="001F0888">
        <w:t>The department has recognised cash payments for the principal portion of lease payments as financing activities, cash payments for the interest portion as operating activities consistent with the presentation of interest payments and short-term lease payments for leases and low-value assets as operating activities.</w:t>
      </w:r>
    </w:p>
    <w:p w14:paraId="470D124F" w14:textId="77777777" w:rsidR="005F4A7E" w:rsidRPr="00D160C6" w:rsidRDefault="005F4A7E" w:rsidP="00130D1C">
      <w:pPr>
        <w:pStyle w:val="ARfinbody"/>
      </w:pPr>
      <w:r w:rsidRPr="00D160C6">
        <w:br w:type="page"/>
      </w:r>
    </w:p>
    <w:p w14:paraId="5B844135" w14:textId="4535E8E8" w:rsidR="005F4A7E" w:rsidRPr="002029AF" w:rsidRDefault="005F4A7E" w:rsidP="00130D1C">
      <w:pPr>
        <w:pStyle w:val="Heading2Financials"/>
      </w:pPr>
      <w:bookmarkStart w:id="720" w:name="Statement_of_changes_in_equity"/>
      <w:bookmarkStart w:id="721" w:name="_Toc85121352"/>
      <w:bookmarkStart w:id="722" w:name="_Toc86075628"/>
      <w:bookmarkEnd w:id="720"/>
      <w:r>
        <w:lastRenderedPageBreak/>
        <w:t>Statement of changes in equity</w:t>
      </w:r>
      <w:r>
        <w:br/>
        <w:t>for the financial year ended 30 June 2021</w:t>
      </w:r>
      <w:bookmarkEnd w:id="721"/>
      <w:bookmarkEnd w:id="722"/>
    </w:p>
    <w:tbl>
      <w:tblPr>
        <w:tblStyle w:val="TableGrid"/>
        <w:tblW w:w="9644" w:type="dxa"/>
        <w:tblLayout w:type="fixed"/>
        <w:tblLook w:val="06A0" w:firstRow="1" w:lastRow="0" w:firstColumn="1" w:lastColumn="0" w:noHBand="1" w:noVBand="1"/>
      </w:tblPr>
      <w:tblGrid>
        <w:gridCol w:w="3573"/>
        <w:gridCol w:w="851"/>
        <w:gridCol w:w="1305"/>
        <w:gridCol w:w="1305"/>
        <w:gridCol w:w="1305"/>
        <w:gridCol w:w="1305"/>
      </w:tblGrid>
      <w:tr w:rsidR="005F4A7E" w:rsidRPr="002029AF" w14:paraId="6FFC3820" w14:textId="77777777" w:rsidTr="00DE688A">
        <w:trPr>
          <w:cnfStyle w:val="100000000000" w:firstRow="1" w:lastRow="0" w:firstColumn="0" w:lastColumn="0" w:oddVBand="0" w:evenVBand="0" w:oddHBand="0" w:evenHBand="0" w:firstRowFirstColumn="0" w:firstRowLastColumn="0" w:lastRowFirstColumn="0" w:lastRowLastColumn="0"/>
          <w:tblHeader/>
        </w:trPr>
        <w:tc>
          <w:tcPr>
            <w:tcW w:w="3573" w:type="dxa"/>
            <w:tcBorders>
              <w:bottom w:val="single" w:sz="4" w:space="0" w:color="auto"/>
            </w:tcBorders>
            <w:hideMark/>
          </w:tcPr>
          <w:p w14:paraId="7BC6664B" w14:textId="77777777" w:rsidR="005F4A7E" w:rsidRPr="002029AF" w:rsidRDefault="005F4A7E" w:rsidP="003566F1">
            <w:pPr>
              <w:pStyle w:val="ARfintablecolhead"/>
            </w:pPr>
          </w:p>
        </w:tc>
        <w:tc>
          <w:tcPr>
            <w:tcW w:w="851" w:type="dxa"/>
            <w:tcBorders>
              <w:bottom w:val="single" w:sz="4" w:space="0" w:color="auto"/>
            </w:tcBorders>
            <w:hideMark/>
          </w:tcPr>
          <w:p w14:paraId="054F3580" w14:textId="77777777" w:rsidR="005F4A7E" w:rsidRPr="002029AF" w:rsidRDefault="005F4A7E" w:rsidP="003566F1">
            <w:pPr>
              <w:pStyle w:val="ARfintablecolheadright"/>
            </w:pPr>
            <w:r w:rsidRPr="002029AF">
              <w:t>Note</w:t>
            </w:r>
          </w:p>
        </w:tc>
        <w:tc>
          <w:tcPr>
            <w:tcW w:w="1305" w:type="dxa"/>
            <w:tcBorders>
              <w:bottom w:val="single" w:sz="4" w:space="0" w:color="auto"/>
            </w:tcBorders>
            <w:hideMark/>
          </w:tcPr>
          <w:p w14:paraId="4AC4127E" w14:textId="77777777" w:rsidR="005F4A7E" w:rsidRPr="002029AF" w:rsidRDefault="005F4A7E" w:rsidP="003566F1">
            <w:pPr>
              <w:pStyle w:val="ARfintablecolheadright"/>
            </w:pPr>
            <w:r w:rsidRPr="002029AF">
              <w:t>Physical</w:t>
            </w:r>
            <w:r w:rsidRPr="002029AF">
              <w:br/>
              <w:t>asset</w:t>
            </w:r>
            <w:r w:rsidRPr="002029AF">
              <w:br/>
              <w:t>revaluation</w:t>
            </w:r>
            <w:r w:rsidRPr="002029AF">
              <w:br/>
              <w:t>surplus</w:t>
            </w:r>
          </w:p>
          <w:p w14:paraId="5F063EF1" w14:textId="77777777" w:rsidR="005F4A7E" w:rsidRPr="002029AF" w:rsidRDefault="005F4A7E" w:rsidP="003566F1">
            <w:pPr>
              <w:pStyle w:val="ARfintablecolheadright"/>
            </w:pPr>
            <w:r w:rsidRPr="002029AF">
              <w:t>$M</w:t>
            </w:r>
          </w:p>
        </w:tc>
        <w:tc>
          <w:tcPr>
            <w:tcW w:w="1305" w:type="dxa"/>
            <w:tcBorders>
              <w:bottom w:val="single" w:sz="4" w:space="0" w:color="auto"/>
            </w:tcBorders>
            <w:hideMark/>
          </w:tcPr>
          <w:p w14:paraId="0DA99538" w14:textId="3A2334B0" w:rsidR="005F4A7E" w:rsidRPr="002029AF" w:rsidRDefault="005F4A7E" w:rsidP="003566F1">
            <w:pPr>
              <w:pStyle w:val="ARfintablecolheadright"/>
            </w:pPr>
            <w:r w:rsidRPr="002029AF">
              <w:t>Accumu</w:t>
            </w:r>
            <w:r w:rsidR="00D00939">
              <w:rPr>
                <w:rFonts w:ascii="Calibri" w:hAnsi="Calibri" w:cs="Calibri"/>
              </w:rPr>
              <w:t>‐</w:t>
            </w:r>
            <w:r w:rsidRPr="002029AF">
              <w:t>lated</w:t>
            </w:r>
            <w:r w:rsidRPr="002029AF">
              <w:br/>
              <w:t>surplus/</w:t>
            </w:r>
            <w:r w:rsidRPr="002029AF">
              <w:br/>
              <w:t>(deficit)</w:t>
            </w:r>
          </w:p>
          <w:p w14:paraId="3DCE4DE0" w14:textId="77777777" w:rsidR="005F4A7E" w:rsidRPr="002029AF" w:rsidRDefault="005F4A7E" w:rsidP="003566F1">
            <w:pPr>
              <w:pStyle w:val="ARfintablecolheadright"/>
            </w:pPr>
            <w:r w:rsidRPr="002029AF">
              <w:t>$M</w:t>
            </w:r>
          </w:p>
        </w:tc>
        <w:tc>
          <w:tcPr>
            <w:tcW w:w="1305" w:type="dxa"/>
            <w:tcBorders>
              <w:bottom w:val="single" w:sz="4" w:space="0" w:color="auto"/>
            </w:tcBorders>
            <w:hideMark/>
          </w:tcPr>
          <w:p w14:paraId="2E8E5D9F" w14:textId="77777777" w:rsidR="005F4A7E" w:rsidRPr="002029AF" w:rsidRDefault="005F4A7E" w:rsidP="003566F1">
            <w:pPr>
              <w:pStyle w:val="ARfintablecolheadright"/>
            </w:pPr>
            <w:r w:rsidRPr="002029AF">
              <w:t>Contributed capital</w:t>
            </w:r>
          </w:p>
          <w:p w14:paraId="26AA6F09" w14:textId="77777777" w:rsidR="005F4A7E" w:rsidRPr="002029AF" w:rsidRDefault="005F4A7E" w:rsidP="003566F1">
            <w:pPr>
              <w:pStyle w:val="ARfintablecolheadright"/>
            </w:pPr>
            <w:r w:rsidRPr="002029AF">
              <w:t>$M</w:t>
            </w:r>
          </w:p>
        </w:tc>
        <w:tc>
          <w:tcPr>
            <w:tcW w:w="1305" w:type="dxa"/>
            <w:tcBorders>
              <w:bottom w:val="single" w:sz="4" w:space="0" w:color="auto"/>
            </w:tcBorders>
            <w:hideMark/>
          </w:tcPr>
          <w:p w14:paraId="737270AD" w14:textId="77777777" w:rsidR="005F4A7E" w:rsidRPr="002029AF" w:rsidRDefault="005F4A7E" w:rsidP="003566F1">
            <w:pPr>
              <w:pStyle w:val="ARfintablecolheadright"/>
            </w:pPr>
            <w:r w:rsidRPr="002029AF">
              <w:t>Total</w:t>
            </w:r>
          </w:p>
          <w:p w14:paraId="085996D6" w14:textId="77777777" w:rsidR="005F4A7E" w:rsidRPr="002029AF" w:rsidRDefault="005F4A7E" w:rsidP="003566F1">
            <w:pPr>
              <w:pStyle w:val="ARfintablecolheadright"/>
            </w:pPr>
            <w:r w:rsidRPr="002029AF">
              <w:t>$M</w:t>
            </w:r>
          </w:p>
        </w:tc>
      </w:tr>
      <w:tr w:rsidR="005F4A7E" w:rsidRPr="002029AF" w14:paraId="28B5269A" w14:textId="77777777" w:rsidTr="00DE688A">
        <w:tc>
          <w:tcPr>
            <w:tcW w:w="3573" w:type="dxa"/>
            <w:tcBorders>
              <w:top w:val="single" w:sz="4" w:space="0" w:color="auto"/>
              <w:bottom w:val="single" w:sz="4" w:space="0" w:color="A6A6A6"/>
            </w:tcBorders>
            <w:hideMark/>
          </w:tcPr>
          <w:p w14:paraId="3A022028" w14:textId="77777777" w:rsidR="005F4A7E" w:rsidRPr="002029AF" w:rsidRDefault="005F4A7E" w:rsidP="00130D1C">
            <w:pPr>
              <w:pStyle w:val="ARfintablebodybold"/>
            </w:pPr>
            <w:r w:rsidRPr="00980A09">
              <w:t>Balance at 1 July 2019</w:t>
            </w:r>
          </w:p>
        </w:tc>
        <w:tc>
          <w:tcPr>
            <w:tcW w:w="851" w:type="dxa"/>
            <w:tcBorders>
              <w:top w:val="single" w:sz="4" w:space="0" w:color="auto"/>
              <w:bottom w:val="single" w:sz="4" w:space="0" w:color="A6A6A6"/>
            </w:tcBorders>
            <w:hideMark/>
          </w:tcPr>
          <w:p w14:paraId="7E98742C" w14:textId="77777777" w:rsidR="005F4A7E" w:rsidRPr="002029AF" w:rsidRDefault="005F4A7E" w:rsidP="00130D1C">
            <w:pPr>
              <w:pStyle w:val="ARfintablebodyright"/>
            </w:pPr>
          </w:p>
        </w:tc>
        <w:tc>
          <w:tcPr>
            <w:tcW w:w="1305" w:type="dxa"/>
            <w:tcBorders>
              <w:top w:val="single" w:sz="4" w:space="0" w:color="auto"/>
              <w:bottom w:val="single" w:sz="4" w:space="0" w:color="A6A6A6"/>
            </w:tcBorders>
            <w:noWrap/>
            <w:hideMark/>
          </w:tcPr>
          <w:p w14:paraId="39ADAD6D" w14:textId="77777777" w:rsidR="005F4A7E" w:rsidRPr="002029AF" w:rsidRDefault="005F4A7E" w:rsidP="00130D1C">
            <w:pPr>
              <w:pStyle w:val="ARfintablebodyrightbold"/>
            </w:pPr>
            <w:r w:rsidRPr="00980A09">
              <w:t>7,396.4</w:t>
            </w:r>
          </w:p>
        </w:tc>
        <w:tc>
          <w:tcPr>
            <w:tcW w:w="1305" w:type="dxa"/>
            <w:tcBorders>
              <w:top w:val="single" w:sz="4" w:space="0" w:color="auto"/>
              <w:bottom w:val="single" w:sz="4" w:space="0" w:color="A6A6A6"/>
            </w:tcBorders>
            <w:noWrap/>
            <w:hideMark/>
          </w:tcPr>
          <w:p w14:paraId="56E308BC" w14:textId="77777777" w:rsidR="005F4A7E" w:rsidRPr="002029AF" w:rsidRDefault="005F4A7E" w:rsidP="00130D1C">
            <w:pPr>
              <w:pStyle w:val="ARfintablebodyrightbold"/>
            </w:pPr>
            <w:r w:rsidRPr="00980A09">
              <w:t>1,599.3</w:t>
            </w:r>
          </w:p>
        </w:tc>
        <w:tc>
          <w:tcPr>
            <w:tcW w:w="1305" w:type="dxa"/>
            <w:tcBorders>
              <w:top w:val="single" w:sz="4" w:space="0" w:color="auto"/>
              <w:bottom w:val="single" w:sz="4" w:space="0" w:color="A6A6A6"/>
            </w:tcBorders>
            <w:noWrap/>
            <w:hideMark/>
          </w:tcPr>
          <w:p w14:paraId="5ED301D7" w14:textId="77777777" w:rsidR="005F4A7E" w:rsidRPr="002029AF" w:rsidRDefault="005F4A7E" w:rsidP="00130D1C">
            <w:pPr>
              <w:pStyle w:val="ARfintablebodyrightbold"/>
            </w:pPr>
            <w:r w:rsidRPr="00980A09">
              <w:t>22,199.3</w:t>
            </w:r>
          </w:p>
        </w:tc>
        <w:tc>
          <w:tcPr>
            <w:tcW w:w="1305" w:type="dxa"/>
            <w:tcBorders>
              <w:top w:val="single" w:sz="4" w:space="0" w:color="auto"/>
              <w:bottom w:val="single" w:sz="4" w:space="0" w:color="A6A6A6"/>
            </w:tcBorders>
            <w:noWrap/>
            <w:hideMark/>
          </w:tcPr>
          <w:p w14:paraId="5FFA845F" w14:textId="77777777" w:rsidR="005F4A7E" w:rsidRPr="002029AF" w:rsidRDefault="005F4A7E" w:rsidP="00130D1C">
            <w:pPr>
              <w:pStyle w:val="ARfintablebodyrightbold"/>
            </w:pPr>
            <w:r w:rsidRPr="00980A09">
              <w:t>31,195.0</w:t>
            </w:r>
          </w:p>
        </w:tc>
      </w:tr>
      <w:tr w:rsidR="005F4A7E" w:rsidRPr="002029AF" w14:paraId="301174CD" w14:textId="77777777" w:rsidTr="00DE688A">
        <w:tc>
          <w:tcPr>
            <w:tcW w:w="3573" w:type="dxa"/>
            <w:tcBorders>
              <w:top w:val="single" w:sz="4" w:space="0" w:color="A6A6A6"/>
              <w:bottom w:val="single" w:sz="4" w:space="0" w:color="A6A6A6"/>
            </w:tcBorders>
            <w:hideMark/>
          </w:tcPr>
          <w:p w14:paraId="48969F9C" w14:textId="77777777" w:rsidR="005F4A7E" w:rsidRPr="002029AF" w:rsidRDefault="005F4A7E" w:rsidP="00130D1C">
            <w:pPr>
              <w:pStyle w:val="ARfintablebody"/>
            </w:pPr>
            <w:r w:rsidRPr="00980A09">
              <w:t>Net result for the year</w:t>
            </w:r>
          </w:p>
        </w:tc>
        <w:tc>
          <w:tcPr>
            <w:tcW w:w="851" w:type="dxa"/>
            <w:tcBorders>
              <w:top w:val="single" w:sz="4" w:space="0" w:color="A6A6A6"/>
              <w:bottom w:val="single" w:sz="4" w:space="0" w:color="A6A6A6"/>
            </w:tcBorders>
            <w:hideMark/>
          </w:tcPr>
          <w:p w14:paraId="55761051" w14:textId="77777777" w:rsidR="005F4A7E" w:rsidRPr="002029AF" w:rsidRDefault="005F4A7E" w:rsidP="00130D1C">
            <w:pPr>
              <w:pStyle w:val="ARfintablebodyright"/>
            </w:pPr>
          </w:p>
        </w:tc>
        <w:tc>
          <w:tcPr>
            <w:tcW w:w="1305" w:type="dxa"/>
            <w:tcBorders>
              <w:top w:val="single" w:sz="4" w:space="0" w:color="A6A6A6"/>
              <w:bottom w:val="single" w:sz="4" w:space="0" w:color="A6A6A6"/>
            </w:tcBorders>
            <w:noWrap/>
            <w:hideMark/>
          </w:tcPr>
          <w:p w14:paraId="2D5CDBCD" w14:textId="77777777" w:rsidR="005F4A7E" w:rsidRPr="002029AF" w:rsidRDefault="005F4A7E" w:rsidP="00130D1C">
            <w:pPr>
              <w:pStyle w:val="ARfintablebodyright"/>
            </w:pPr>
            <w:r w:rsidRPr="00980A09">
              <w:t>–</w:t>
            </w:r>
          </w:p>
        </w:tc>
        <w:tc>
          <w:tcPr>
            <w:tcW w:w="1305" w:type="dxa"/>
            <w:tcBorders>
              <w:top w:val="single" w:sz="4" w:space="0" w:color="A6A6A6"/>
              <w:bottom w:val="single" w:sz="4" w:space="0" w:color="A6A6A6"/>
            </w:tcBorders>
            <w:noWrap/>
            <w:hideMark/>
          </w:tcPr>
          <w:p w14:paraId="5E692249" w14:textId="77777777" w:rsidR="005F4A7E" w:rsidRPr="002029AF" w:rsidRDefault="005F4A7E" w:rsidP="00130D1C">
            <w:pPr>
              <w:pStyle w:val="ARfintablebodyright"/>
            </w:pPr>
            <w:r w:rsidRPr="00980A09">
              <w:t>545.4</w:t>
            </w:r>
          </w:p>
        </w:tc>
        <w:tc>
          <w:tcPr>
            <w:tcW w:w="1305" w:type="dxa"/>
            <w:tcBorders>
              <w:top w:val="single" w:sz="4" w:space="0" w:color="A6A6A6"/>
              <w:bottom w:val="single" w:sz="4" w:space="0" w:color="A6A6A6"/>
            </w:tcBorders>
            <w:noWrap/>
            <w:hideMark/>
          </w:tcPr>
          <w:p w14:paraId="02552A0F" w14:textId="77777777" w:rsidR="005F4A7E" w:rsidRPr="002029AF" w:rsidRDefault="005F4A7E" w:rsidP="00130D1C">
            <w:pPr>
              <w:pStyle w:val="ARfintablebodyright"/>
            </w:pPr>
            <w:r w:rsidRPr="00980A09">
              <w:t>–</w:t>
            </w:r>
          </w:p>
        </w:tc>
        <w:tc>
          <w:tcPr>
            <w:tcW w:w="1305" w:type="dxa"/>
            <w:tcBorders>
              <w:top w:val="single" w:sz="4" w:space="0" w:color="A6A6A6"/>
              <w:bottom w:val="single" w:sz="4" w:space="0" w:color="A6A6A6"/>
            </w:tcBorders>
            <w:noWrap/>
            <w:hideMark/>
          </w:tcPr>
          <w:p w14:paraId="183B2545" w14:textId="77777777" w:rsidR="005F4A7E" w:rsidRPr="002029AF" w:rsidRDefault="005F4A7E" w:rsidP="00130D1C">
            <w:pPr>
              <w:pStyle w:val="ARfintablebodyright"/>
            </w:pPr>
            <w:r w:rsidRPr="00980A09">
              <w:t>545.4</w:t>
            </w:r>
          </w:p>
        </w:tc>
      </w:tr>
      <w:tr w:rsidR="005F4A7E" w:rsidRPr="002029AF" w14:paraId="6F5ED94B" w14:textId="77777777" w:rsidTr="00DE688A">
        <w:tc>
          <w:tcPr>
            <w:tcW w:w="3573" w:type="dxa"/>
            <w:tcBorders>
              <w:top w:val="single" w:sz="4" w:space="0" w:color="A6A6A6"/>
              <w:bottom w:val="single" w:sz="4" w:space="0" w:color="A6A6A6"/>
            </w:tcBorders>
            <w:hideMark/>
          </w:tcPr>
          <w:p w14:paraId="28BAB7D0" w14:textId="77777777" w:rsidR="005F4A7E" w:rsidRPr="002029AF" w:rsidRDefault="005F4A7E" w:rsidP="00130D1C">
            <w:pPr>
              <w:pStyle w:val="ARfintablebody"/>
            </w:pPr>
            <w:r w:rsidRPr="00980A09">
              <w:t>Remeasurement of superannuation defined benefit plans</w:t>
            </w:r>
          </w:p>
        </w:tc>
        <w:tc>
          <w:tcPr>
            <w:tcW w:w="851" w:type="dxa"/>
            <w:tcBorders>
              <w:top w:val="single" w:sz="4" w:space="0" w:color="A6A6A6"/>
              <w:bottom w:val="single" w:sz="4" w:space="0" w:color="A6A6A6"/>
            </w:tcBorders>
            <w:noWrap/>
            <w:hideMark/>
          </w:tcPr>
          <w:p w14:paraId="1E2A6A26" w14:textId="77777777" w:rsidR="005F4A7E" w:rsidRPr="002029AF" w:rsidRDefault="005F4A7E" w:rsidP="00130D1C">
            <w:pPr>
              <w:pStyle w:val="ARfintablebodyright"/>
            </w:pPr>
            <w:r w:rsidRPr="00980A09">
              <w:t>3.1.1(b)</w:t>
            </w:r>
          </w:p>
        </w:tc>
        <w:tc>
          <w:tcPr>
            <w:tcW w:w="1305" w:type="dxa"/>
            <w:tcBorders>
              <w:top w:val="single" w:sz="4" w:space="0" w:color="A6A6A6"/>
              <w:bottom w:val="single" w:sz="4" w:space="0" w:color="A6A6A6"/>
            </w:tcBorders>
            <w:noWrap/>
            <w:hideMark/>
          </w:tcPr>
          <w:p w14:paraId="5C370780" w14:textId="77777777" w:rsidR="005F4A7E" w:rsidRPr="002029AF" w:rsidRDefault="005F4A7E" w:rsidP="00130D1C">
            <w:pPr>
              <w:pStyle w:val="ARfintablebodyright"/>
            </w:pPr>
            <w:r w:rsidRPr="00980A09">
              <w:t>–</w:t>
            </w:r>
          </w:p>
        </w:tc>
        <w:tc>
          <w:tcPr>
            <w:tcW w:w="1305" w:type="dxa"/>
            <w:tcBorders>
              <w:top w:val="single" w:sz="4" w:space="0" w:color="A6A6A6"/>
              <w:bottom w:val="single" w:sz="4" w:space="0" w:color="A6A6A6"/>
            </w:tcBorders>
            <w:noWrap/>
            <w:hideMark/>
          </w:tcPr>
          <w:p w14:paraId="46278F38" w14:textId="77777777" w:rsidR="005F4A7E" w:rsidRPr="002029AF" w:rsidRDefault="005F4A7E" w:rsidP="00130D1C">
            <w:pPr>
              <w:pStyle w:val="ARfintablebodyright"/>
            </w:pPr>
            <w:r w:rsidRPr="00980A09">
              <w:t>0.3</w:t>
            </w:r>
          </w:p>
        </w:tc>
        <w:tc>
          <w:tcPr>
            <w:tcW w:w="1305" w:type="dxa"/>
            <w:tcBorders>
              <w:top w:val="single" w:sz="4" w:space="0" w:color="A6A6A6"/>
              <w:bottom w:val="single" w:sz="4" w:space="0" w:color="A6A6A6"/>
            </w:tcBorders>
            <w:noWrap/>
            <w:hideMark/>
          </w:tcPr>
          <w:p w14:paraId="76AE2963" w14:textId="77777777" w:rsidR="005F4A7E" w:rsidRPr="002029AF" w:rsidRDefault="005F4A7E" w:rsidP="00130D1C">
            <w:pPr>
              <w:pStyle w:val="ARfintablebodyright"/>
            </w:pPr>
            <w:r w:rsidRPr="00980A09">
              <w:t>–</w:t>
            </w:r>
          </w:p>
        </w:tc>
        <w:tc>
          <w:tcPr>
            <w:tcW w:w="1305" w:type="dxa"/>
            <w:tcBorders>
              <w:top w:val="single" w:sz="4" w:space="0" w:color="A6A6A6"/>
              <w:bottom w:val="single" w:sz="4" w:space="0" w:color="A6A6A6"/>
            </w:tcBorders>
            <w:noWrap/>
            <w:hideMark/>
          </w:tcPr>
          <w:p w14:paraId="1276B733" w14:textId="77777777" w:rsidR="005F4A7E" w:rsidRPr="002029AF" w:rsidRDefault="005F4A7E" w:rsidP="00130D1C">
            <w:pPr>
              <w:pStyle w:val="ARfintablebodyright"/>
            </w:pPr>
            <w:r w:rsidRPr="00980A09">
              <w:t>0.3</w:t>
            </w:r>
          </w:p>
        </w:tc>
      </w:tr>
      <w:tr w:rsidR="005F4A7E" w:rsidRPr="002029AF" w14:paraId="21DEAF40" w14:textId="77777777" w:rsidTr="00DE688A">
        <w:tc>
          <w:tcPr>
            <w:tcW w:w="3573" w:type="dxa"/>
            <w:tcBorders>
              <w:top w:val="single" w:sz="4" w:space="0" w:color="A6A6A6"/>
              <w:bottom w:val="single" w:sz="4" w:space="0" w:color="A6A6A6"/>
            </w:tcBorders>
            <w:hideMark/>
          </w:tcPr>
          <w:p w14:paraId="24C3142C" w14:textId="77777777" w:rsidR="005F4A7E" w:rsidRPr="002029AF" w:rsidRDefault="005F4A7E" w:rsidP="00130D1C">
            <w:pPr>
              <w:pStyle w:val="ARfintablebody"/>
            </w:pPr>
            <w:r w:rsidRPr="00980A09">
              <w:t>Changes in physical asset revaluation surplus</w:t>
            </w:r>
          </w:p>
        </w:tc>
        <w:tc>
          <w:tcPr>
            <w:tcW w:w="851" w:type="dxa"/>
            <w:tcBorders>
              <w:top w:val="single" w:sz="4" w:space="0" w:color="A6A6A6"/>
              <w:bottom w:val="single" w:sz="4" w:space="0" w:color="A6A6A6"/>
            </w:tcBorders>
            <w:noWrap/>
            <w:hideMark/>
          </w:tcPr>
          <w:p w14:paraId="6AE9B49F" w14:textId="77777777" w:rsidR="005F4A7E" w:rsidRPr="002029AF" w:rsidRDefault="005F4A7E" w:rsidP="00130D1C">
            <w:pPr>
              <w:pStyle w:val="ARfintablebodyright"/>
            </w:pPr>
            <w:r w:rsidRPr="00980A09">
              <w:t>9.4</w:t>
            </w:r>
          </w:p>
        </w:tc>
        <w:tc>
          <w:tcPr>
            <w:tcW w:w="1305" w:type="dxa"/>
            <w:tcBorders>
              <w:top w:val="single" w:sz="4" w:space="0" w:color="A6A6A6"/>
              <w:bottom w:val="single" w:sz="4" w:space="0" w:color="A6A6A6"/>
            </w:tcBorders>
            <w:noWrap/>
            <w:hideMark/>
          </w:tcPr>
          <w:p w14:paraId="22C33365" w14:textId="77777777" w:rsidR="005F4A7E" w:rsidRPr="002029AF" w:rsidRDefault="005F4A7E" w:rsidP="00130D1C">
            <w:pPr>
              <w:pStyle w:val="ARfintablebodyright"/>
            </w:pPr>
            <w:r w:rsidRPr="00980A09">
              <w:t>(19.2)</w:t>
            </w:r>
          </w:p>
        </w:tc>
        <w:tc>
          <w:tcPr>
            <w:tcW w:w="1305" w:type="dxa"/>
            <w:tcBorders>
              <w:top w:val="single" w:sz="4" w:space="0" w:color="A6A6A6"/>
              <w:bottom w:val="single" w:sz="4" w:space="0" w:color="A6A6A6"/>
            </w:tcBorders>
            <w:noWrap/>
            <w:hideMark/>
          </w:tcPr>
          <w:p w14:paraId="35977871" w14:textId="77777777" w:rsidR="005F4A7E" w:rsidRPr="002029AF" w:rsidRDefault="005F4A7E" w:rsidP="00130D1C">
            <w:pPr>
              <w:pStyle w:val="ARfintablebodyright"/>
            </w:pPr>
            <w:r w:rsidRPr="00980A09">
              <w:t>–</w:t>
            </w:r>
          </w:p>
        </w:tc>
        <w:tc>
          <w:tcPr>
            <w:tcW w:w="1305" w:type="dxa"/>
            <w:tcBorders>
              <w:top w:val="single" w:sz="4" w:space="0" w:color="A6A6A6"/>
              <w:bottom w:val="single" w:sz="4" w:space="0" w:color="A6A6A6"/>
            </w:tcBorders>
            <w:noWrap/>
            <w:hideMark/>
          </w:tcPr>
          <w:p w14:paraId="0EF45D39" w14:textId="77777777" w:rsidR="005F4A7E" w:rsidRPr="002029AF" w:rsidRDefault="005F4A7E" w:rsidP="00130D1C">
            <w:pPr>
              <w:pStyle w:val="ARfintablebodyright"/>
            </w:pPr>
            <w:r w:rsidRPr="00980A09">
              <w:t>–</w:t>
            </w:r>
          </w:p>
        </w:tc>
        <w:tc>
          <w:tcPr>
            <w:tcW w:w="1305" w:type="dxa"/>
            <w:tcBorders>
              <w:top w:val="single" w:sz="4" w:space="0" w:color="A6A6A6"/>
              <w:bottom w:val="single" w:sz="4" w:space="0" w:color="A6A6A6"/>
            </w:tcBorders>
            <w:noWrap/>
            <w:hideMark/>
          </w:tcPr>
          <w:p w14:paraId="4FA902D6" w14:textId="77777777" w:rsidR="005F4A7E" w:rsidRPr="002029AF" w:rsidRDefault="005F4A7E" w:rsidP="00130D1C">
            <w:pPr>
              <w:pStyle w:val="ARfintablebodyright"/>
            </w:pPr>
            <w:r w:rsidRPr="00980A09">
              <w:t>(19.2)</w:t>
            </w:r>
          </w:p>
        </w:tc>
      </w:tr>
      <w:tr w:rsidR="005F4A7E" w:rsidRPr="002029AF" w14:paraId="5DF48F72" w14:textId="77777777" w:rsidTr="00DE688A">
        <w:tc>
          <w:tcPr>
            <w:tcW w:w="3573" w:type="dxa"/>
            <w:tcBorders>
              <w:top w:val="single" w:sz="4" w:space="0" w:color="A6A6A6"/>
              <w:bottom w:val="single" w:sz="4" w:space="0" w:color="A6A6A6"/>
            </w:tcBorders>
            <w:hideMark/>
          </w:tcPr>
          <w:p w14:paraId="76F5E61D" w14:textId="77777777" w:rsidR="005F4A7E" w:rsidRPr="002029AF" w:rsidRDefault="005F4A7E" w:rsidP="00130D1C">
            <w:pPr>
              <w:pStyle w:val="ARfintablebody"/>
            </w:pPr>
            <w:r w:rsidRPr="00980A09">
              <w:t>Administrative restructure – net assets received</w:t>
            </w:r>
          </w:p>
        </w:tc>
        <w:tc>
          <w:tcPr>
            <w:tcW w:w="851" w:type="dxa"/>
            <w:tcBorders>
              <w:top w:val="single" w:sz="4" w:space="0" w:color="A6A6A6"/>
              <w:bottom w:val="single" w:sz="4" w:space="0" w:color="A6A6A6"/>
            </w:tcBorders>
            <w:noWrap/>
            <w:hideMark/>
          </w:tcPr>
          <w:p w14:paraId="5289EBC2" w14:textId="77777777" w:rsidR="005F4A7E" w:rsidRPr="002029AF" w:rsidRDefault="005F4A7E" w:rsidP="00130D1C">
            <w:pPr>
              <w:pStyle w:val="ARfintablebodyright"/>
            </w:pPr>
          </w:p>
        </w:tc>
        <w:tc>
          <w:tcPr>
            <w:tcW w:w="1305" w:type="dxa"/>
            <w:tcBorders>
              <w:top w:val="single" w:sz="4" w:space="0" w:color="A6A6A6"/>
              <w:bottom w:val="single" w:sz="4" w:space="0" w:color="A6A6A6"/>
            </w:tcBorders>
            <w:noWrap/>
            <w:hideMark/>
          </w:tcPr>
          <w:p w14:paraId="102649D2" w14:textId="77777777" w:rsidR="005F4A7E" w:rsidRPr="002029AF" w:rsidRDefault="005F4A7E" w:rsidP="00130D1C">
            <w:pPr>
              <w:pStyle w:val="ARfintablebodyright"/>
            </w:pPr>
            <w:r w:rsidRPr="00980A09">
              <w:t>–</w:t>
            </w:r>
          </w:p>
        </w:tc>
        <w:tc>
          <w:tcPr>
            <w:tcW w:w="1305" w:type="dxa"/>
            <w:tcBorders>
              <w:top w:val="single" w:sz="4" w:space="0" w:color="A6A6A6"/>
              <w:bottom w:val="single" w:sz="4" w:space="0" w:color="A6A6A6"/>
            </w:tcBorders>
            <w:noWrap/>
            <w:hideMark/>
          </w:tcPr>
          <w:p w14:paraId="27EAB6B0" w14:textId="77777777" w:rsidR="005F4A7E" w:rsidRPr="002029AF" w:rsidRDefault="005F4A7E" w:rsidP="00130D1C">
            <w:pPr>
              <w:pStyle w:val="ARfintablebodyright"/>
            </w:pPr>
            <w:r w:rsidRPr="00980A09">
              <w:t>–</w:t>
            </w:r>
          </w:p>
        </w:tc>
        <w:tc>
          <w:tcPr>
            <w:tcW w:w="1305" w:type="dxa"/>
            <w:tcBorders>
              <w:top w:val="single" w:sz="4" w:space="0" w:color="A6A6A6"/>
              <w:bottom w:val="single" w:sz="4" w:space="0" w:color="A6A6A6"/>
            </w:tcBorders>
            <w:noWrap/>
            <w:hideMark/>
          </w:tcPr>
          <w:p w14:paraId="726F36A8" w14:textId="77777777" w:rsidR="005F4A7E" w:rsidRPr="002029AF" w:rsidRDefault="005F4A7E" w:rsidP="00130D1C">
            <w:pPr>
              <w:pStyle w:val="ARfintablebodyright"/>
            </w:pPr>
            <w:r w:rsidRPr="00980A09">
              <w:t>15.5</w:t>
            </w:r>
          </w:p>
        </w:tc>
        <w:tc>
          <w:tcPr>
            <w:tcW w:w="1305" w:type="dxa"/>
            <w:tcBorders>
              <w:top w:val="single" w:sz="4" w:space="0" w:color="A6A6A6"/>
              <w:bottom w:val="single" w:sz="4" w:space="0" w:color="A6A6A6"/>
            </w:tcBorders>
            <w:noWrap/>
            <w:hideMark/>
          </w:tcPr>
          <w:p w14:paraId="2F90B821" w14:textId="77777777" w:rsidR="005F4A7E" w:rsidRPr="002029AF" w:rsidRDefault="005F4A7E" w:rsidP="00130D1C">
            <w:pPr>
              <w:pStyle w:val="ARfintablebodyright"/>
            </w:pPr>
            <w:r w:rsidRPr="00980A09">
              <w:t>15.5</w:t>
            </w:r>
          </w:p>
        </w:tc>
      </w:tr>
      <w:tr w:rsidR="005F4A7E" w:rsidRPr="002029AF" w14:paraId="2AEE0E75" w14:textId="77777777" w:rsidTr="00DE688A">
        <w:tc>
          <w:tcPr>
            <w:tcW w:w="3573" w:type="dxa"/>
            <w:tcBorders>
              <w:top w:val="single" w:sz="4" w:space="0" w:color="A6A6A6"/>
              <w:bottom w:val="single" w:sz="4" w:space="0" w:color="A6A6A6"/>
            </w:tcBorders>
            <w:hideMark/>
          </w:tcPr>
          <w:p w14:paraId="0A2FF0DE" w14:textId="77777777" w:rsidR="005F4A7E" w:rsidRPr="002029AF" w:rsidRDefault="005F4A7E" w:rsidP="00130D1C">
            <w:pPr>
              <w:pStyle w:val="ARfintablebody"/>
            </w:pPr>
            <w:r w:rsidRPr="00980A09">
              <w:t>Administrative restructure – net liabilities transferred</w:t>
            </w:r>
          </w:p>
        </w:tc>
        <w:tc>
          <w:tcPr>
            <w:tcW w:w="851" w:type="dxa"/>
            <w:tcBorders>
              <w:top w:val="single" w:sz="4" w:space="0" w:color="A6A6A6"/>
              <w:bottom w:val="single" w:sz="4" w:space="0" w:color="A6A6A6"/>
            </w:tcBorders>
            <w:hideMark/>
          </w:tcPr>
          <w:p w14:paraId="6C383010" w14:textId="77777777" w:rsidR="005F4A7E" w:rsidRPr="002029AF" w:rsidRDefault="005F4A7E" w:rsidP="00130D1C">
            <w:pPr>
              <w:pStyle w:val="ARfintablebodyright"/>
            </w:pPr>
          </w:p>
        </w:tc>
        <w:tc>
          <w:tcPr>
            <w:tcW w:w="1305" w:type="dxa"/>
            <w:tcBorders>
              <w:top w:val="single" w:sz="4" w:space="0" w:color="A6A6A6"/>
              <w:bottom w:val="single" w:sz="4" w:space="0" w:color="A6A6A6"/>
            </w:tcBorders>
            <w:noWrap/>
            <w:hideMark/>
          </w:tcPr>
          <w:p w14:paraId="4298D797" w14:textId="77777777" w:rsidR="005F4A7E" w:rsidRPr="002029AF" w:rsidRDefault="005F4A7E" w:rsidP="00130D1C">
            <w:pPr>
              <w:pStyle w:val="ARfintablebodyright"/>
            </w:pPr>
            <w:r w:rsidRPr="00980A09">
              <w:t>–</w:t>
            </w:r>
          </w:p>
        </w:tc>
        <w:tc>
          <w:tcPr>
            <w:tcW w:w="1305" w:type="dxa"/>
            <w:tcBorders>
              <w:top w:val="single" w:sz="4" w:space="0" w:color="A6A6A6"/>
              <w:bottom w:val="single" w:sz="4" w:space="0" w:color="A6A6A6"/>
            </w:tcBorders>
            <w:noWrap/>
            <w:hideMark/>
          </w:tcPr>
          <w:p w14:paraId="7C938668" w14:textId="77777777" w:rsidR="005F4A7E" w:rsidRPr="002029AF" w:rsidRDefault="005F4A7E" w:rsidP="00130D1C">
            <w:pPr>
              <w:pStyle w:val="ARfintablebodyright"/>
            </w:pPr>
            <w:r w:rsidRPr="00980A09">
              <w:t>–</w:t>
            </w:r>
          </w:p>
        </w:tc>
        <w:tc>
          <w:tcPr>
            <w:tcW w:w="1305" w:type="dxa"/>
            <w:tcBorders>
              <w:top w:val="single" w:sz="4" w:space="0" w:color="A6A6A6"/>
              <w:bottom w:val="single" w:sz="4" w:space="0" w:color="A6A6A6"/>
            </w:tcBorders>
            <w:noWrap/>
            <w:hideMark/>
          </w:tcPr>
          <w:p w14:paraId="429839B8" w14:textId="77777777" w:rsidR="005F4A7E" w:rsidRPr="002029AF" w:rsidRDefault="005F4A7E" w:rsidP="00130D1C">
            <w:pPr>
              <w:pStyle w:val="ARfintablebodyright"/>
            </w:pPr>
            <w:r w:rsidRPr="00980A09">
              <w:t>3.0</w:t>
            </w:r>
          </w:p>
        </w:tc>
        <w:tc>
          <w:tcPr>
            <w:tcW w:w="1305" w:type="dxa"/>
            <w:tcBorders>
              <w:top w:val="single" w:sz="4" w:space="0" w:color="A6A6A6"/>
              <w:bottom w:val="single" w:sz="4" w:space="0" w:color="A6A6A6"/>
            </w:tcBorders>
            <w:noWrap/>
            <w:hideMark/>
          </w:tcPr>
          <w:p w14:paraId="64EB1E16" w14:textId="77777777" w:rsidR="005F4A7E" w:rsidRPr="002029AF" w:rsidRDefault="005F4A7E" w:rsidP="00130D1C">
            <w:pPr>
              <w:pStyle w:val="ARfintablebodyright"/>
            </w:pPr>
            <w:r w:rsidRPr="00980A09">
              <w:t>3.0</w:t>
            </w:r>
          </w:p>
        </w:tc>
      </w:tr>
      <w:tr w:rsidR="005F4A7E" w:rsidRPr="002029AF" w14:paraId="1FC28530" w14:textId="77777777" w:rsidTr="00DE688A">
        <w:tc>
          <w:tcPr>
            <w:tcW w:w="3573" w:type="dxa"/>
            <w:tcBorders>
              <w:top w:val="single" w:sz="4" w:space="0" w:color="A6A6A6"/>
              <w:bottom w:val="single" w:sz="4" w:space="0" w:color="A6A6A6"/>
            </w:tcBorders>
            <w:hideMark/>
          </w:tcPr>
          <w:p w14:paraId="09AD5787" w14:textId="77777777" w:rsidR="005F4A7E" w:rsidRPr="002029AF" w:rsidRDefault="005F4A7E" w:rsidP="00130D1C">
            <w:pPr>
              <w:pStyle w:val="ARfintablebody"/>
            </w:pPr>
            <w:r w:rsidRPr="00980A09">
              <w:t>Capital contribution by Victorian State Government</w:t>
            </w:r>
          </w:p>
        </w:tc>
        <w:tc>
          <w:tcPr>
            <w:tcW w:w="851" w:type="dxa"/>
            <w:tcBorders>
              <w:top w:val="single" w:sz="4" w:space="0" w:color="A6A6A6"/>
              <w:bottom w:val="single" w:sz="4" w:space="0" w:color="A6A6A6"/>
            </w:tcBorders>
            <w:hideMark/>
          </w:tcPr>
          <w:p w14:paraId="5A039249" w14:textId="77777777" w:rsidR="005F4A7E" w:rsidRPr="002029AF" w:rsidRDefault="005F4A7E" w:rsidP="00130D1C">
            <w:pPr>
              <w:pStyle w:val="ARfintablebodyright"/>
            </w:pPr>
          </w:p>
        </w:tc>
        <w:tc>
          <w:tcPr>
            <w:tcW w:w="1305" w:type="dxa"/>
            <w:tcBorders>
              <w:top w:val="single" w:sz="4" w:space="0" w:color="A6A6A6"/>
              <w:bottom w:val="single" w:sz="4" w:space="0" w:color="A6A6A6"/>
            </w:tcBorders>
            <w:noWrap/>
            <w:hideMark/>
          </w:tcPr>
          <w:p w14:paraId="560FD5DB" w14:textId="77777777" w:rsidR="005F4A7E" w:rsidRPr="002029AF" w:rsidRDefault="005F4A7E" w:rsidP="00130D1C">
            <w:pPr>
              <w:pStyle w:val="ARfintablebodyright"/>
            </w:pPr>
            <w:r w:rsidRPr="00980A09">
              <w:t>–</w:t>
            </w:r>
          </w:p>
        </w:tc>
        <w:tc>
          <w:tcPr>
            <w:tcW w:w="1305" w:type="dxa"/>
            <w:tcBorders>
              <w:top w:val="single" w:sz="4" w:space="0" w:color="A6A6A6"/>
              <w:bottom w:val="single" w:sz="4" w:space="0" w:color="A6A6A6"/>
            </w:tcBorders>
            <w:noWrap/>
            <w:hideMark/>
          </w:tcPr>
          <w:p w14:paraId="388C1C82" w14:textId="77777777" w:rsidR="005F4A7E" w:rsidRPr="002029AF" w:rsidRDefault="005F4A7E" w:rsidP="00130D1C">
            <w:pPr>
              <w:pStyle w:val="ARfintablebodyright"/>
            </w:pPr>
            <w:r w:rsidRPr="00980A09">
              <w:t>–</w:t>
            </w:r>
          </w:p>
        </w:tc>
        <w:tc>
          <w:tcPr>
            <w:tcW w:w="1305" w:type="dxa"/>
            <w:tcBorders>
              <w:top w:val="single" w:sz="4" w:space="0" w:color="A6A6A6"/>
              <w:bottom w:val="single" w:sz="4" w:space="0" w:color="A6A6A6"/>
            </w:tcBorders>
            <w:noWrap/>
            <w:hideMark/>
          </w:tcPr>
          <w:p w14:paraId="722E7AEB" w14:textId="77777777" w:rsidR="005F4A7E" w:rsidRPr="002029AF" w:rsidRDefault="005F4A7E" w:rsidP="00130D1C">
            <w:pPr>
              <w:pStyle w:val="ARfintablebodyright"/>
            </w:pPr>
            <w:r w:rsidRPr="00980A09">
              <w:t>267.6</w:t>
            </w:r>
          </w:p>
        </w:tc>
        <w:tc>
          <w:tcPr>
            <w:tcW w:w="1305" w:type="dxa"/>
            <w:tcBorders>
              <w:top w:val="single" w:sz="4" w:space="0" w:color="A6A6A6"/>
              <w:bottom w:val="single" w:sz="4" w:space="0" w:color="A6A6A6"/>
            </w:tcBorders>
            <w:noWrap/>
            <w:hideMark/>
          </w:tcPr>
          <w:p w14:paraId="7C2E8573" w14:textId="77777777" w:rsidR="005F4A7E" w:rsidRPr="002029AF" w:rsidRDefault="005F4A7E" w:rsidP="00130D1C">
            <w:pPr>
              <w:pStyle w:val="ARfintablebodyright"/>
            </w:pPr>
            <w:r w:rsidRPr="00980A09">
              <w:t>267.6</w:t>
            </w:r>
          </w:p>
        </w:tc>
      </w:tr>
      <w:tr w:rsidR="005F4A7E" w:rsidRPr="002029AF" w14:paraId="2D557F5D" w14:textId="77777777" w:rsidTr="00DE688A">
        <w:tc>
          <w:tcPr>
            <w:tcW w:w="3573" w:type="dxa"/>
            <w:tcBorders>
              <w:top w:val="single" w:sz="4" w:space="0" w:color="A6A6A6"/>
              <w:bottom w:val="single" w:sz="4" w:space="0" w:color="A6A6A6"/>
            </w:tcBorders>
            <w:hideMark/>
          </w:tcPr>
          <w:p w14:paraId="047C5862" w14:textId="77777777" w:rsidR="005F4A7E" w:rsidRPr="002029AF" w:rsidRDefault="005F4A7E" w:rsidP="00130D1C">
            <w:pPr>
              <w:pStyle w:val="ARfintablebody"/>
            </w:pPr>
            <w:r w:rsidRPr="00980A09">
              <w:t>Capital contributions to agencies</w:t>
            </w:r>
          </w:p>
        </w:tc>
        <w:tc>
          <w:tcPr>
            <w:tcW w:w="851" w:type="dxa"/>
            <w:tcBorders>
              <w:top w:val="single" w:sz="4" w:space="0" w:color="A6A6A6"/>
              <w:bottom w:val="single" w:sz="4" w:space="0" w:color="A6A6A6"/>
            </w:tcBorders>
            <w:hideMark/>
          </w:tcPr>
          <w:p w14:paraId="31576831" w14:textId="77777777" w:rsidR="005F4A7E" w:rsidRPr="002029AF" w:rsidRDefault="005F4A7E" w:rsidP="00130D1C">
            <w:pPr>
              <w:pStyle w:val="ARfintablebodyright"/>
            </w:pPr>
          </w:p>
        </w:tc>
        <w:tc>
          <w:tcPr>
            <w:tcW w:w="1305" w:type="dxa"/>
            <w:tcBorders>
              <w:top w:val="single" w:sz="4" w:space="0" w:color="A6A6A6"/>
              <w:bottom w:val="single" w:sz="4" w:space="0" w:color="A6A6A6"/>
            </w:tcBorders>
            <w:noWrap/>
            <w:hideMark/>
          </w:tcPr>
          <w:p w14:paraId="0144E94F" w14:textId="77777777" w:rsidR="005F4A7E" w:rsidRPr="002029AF" w:rsidRDefault="005F4A7E" w:rsidP="00130D1C">
            <w:pPr>
              <w:pStyle w:val="ARfintablebodyright"/>
            </w:pPr>
            <w:r w:rsidRPr="00980A09">
              <w:t>–</w:t>
            </w:r>
          </w:p>
        </w:tc>
        <w:tc>
          <w:tcPr>
            <w:tcW w:w="1305" w:type="dxa"/>
            <w:tcBorders>
              <w:top w:val="single" w:sz="4" w:space="0" w:color="A6A6A6"/>
              <w:bottom w:val="single" w:sz="4" w:space="0" w:color="A6A6A6"/>
            </w:tcBorders>
            <w:noWrap/>
            <w:hideMark/>
          </w:tcPr>
          <w:p w14:paraId="4BB73671" w14:textId="77777777" w:rsidR="005F4A7E" w:rsidRPr="002029AF" w:rsidRDefault="005F4A7E" w:rsidP="00130D1C">
            <w:pPr>
              <w:pStyle w:val="ARfintablebodyright"/>
            </w:pPr>
            <w:r w:rsidRPr="00980A09">
              <w:t>–</w:t>
            </w:r>
          </w:p>
        </w:tc>
        <w:tc>
          <w:tcPr>
            <w:tcW w:w="1305" w:type="dxa"/>
            <w:tcBorders>
              <w:top w:val="single" w:sz="4" w:space="0" w:color="A6A6A6"/>
              <w:bottom w:val="single" w:sz="4" w:space="0" w:color="A6A6A6"/>
            </w:tcBorders>
            <w:noWrap/>
            <w:hideMark/>
          </w:tcPr>
          <w:p w14:paraId="4EB0767A" w14:textId="77777777" w:rsidR="005F4A7E" w:rsidRPr="002029AF" w:rsidRDefault="005F4A7E" w:rsidP="00130D1C">
            <w:pPr>
              <w:pStyle w:val="ARfintablebodyright"/>
            </w:pPr>
            <w:r w:rsidRPr="00980A09">
              <w:t>(61.2)</w:t>
            </w:r>
          </w:p>
        </w:tc>
        <w:tc>
          <w:tcPr>
            <w:tcW w:w="1305" w:type="dxa"/>
            <w:tcBorders>
              <w:top w:val="single" w:sz="4" w:space="0" w:color="A6A6A6"/>
              <w:bottom w:val="single" w:sz="4" w:space="0" w:color="A6A6A6"/>
            </w:tcBorders>
            <w:noWrap/>
            <w:hideMark/>
          </w:tcPr>
          <w:p w14:paraId="62BDFB10" w14:textId="77777777" w:rsidR="005F4A7E" w:rsidRPr="002029AF" w:rsidRDefault="005F4A7E" w:rsidP="00130D1C">
            <w:pPr>
              <w:pStyle w:val="ARfintablebodyright"/>
            </w:pPr>
            <w:r w:rsidRPr="00980A09">
              <w:t>(61.2)</w:t>
            </w:r>
          </w:p>
        </w:tc>
      </w:tr>
      <w:tr w:rsidR="005F4A7E" w:rsidRPr="002029AF" w14:paraId="643F6BF5" w14:textId="77777777" w:rsidTr="00DE688A">
        <w:tc>
          <w:tcPr>
            <w:tcW w:w="3573" w:type="dxa"/>
            <w:tcBorders>
              <w:top w:val="single" w:sz="4" w:space="0" w:color="A6A6A6"/>
            </w:tcBorders>
            <w:hideMark/>
          </w:tcPr>
          <w:p w14:paraId="4403D180" w14:textId="77777777" w:rsidR="005F4A7E" w:rsidRPr="002029AF" w:rsidRDefault="005F4A7E" w:rsidP="00130D1C">
            <w:pPr>
              <w:pStyle w:val="ARfintablebody"/>
            </w:pPr>
            <w:r w:rsidRPr="00980A09">
              <w:t>Capital transferred to administered entity</w:t>
            </w:r>
          </w:p>
        </w:tc>
        <w:tc>
          <w:tcPr>
            <w:tcW w:w="851" w:type="dxa"/>
            <w:tcBorders>
              <w:top w:val="single" w:sz="4" w:space="0" w:color="A6A6A6"/>
            </w:tcBorders>
            <w:hideMark/>
          </w:tcPr>
          <w:p w14:paraId="6188F69C" w14:textId="77777777" w:rsidR="005F4A7E" w:rsidRPr="002029AF" w:rsidRDefault="005F4A7E" w:rsidP="00130D1C">
            <w:pPr>
              <w:pStyle w:val="ARfintablebodyright"/>
            </w:pPr>
          </w:p>
        </w:tc>
        <w:tc>
          <w:tcPr>
            <w:tcW w:w="1305" w:type="dxa"/>
            <w:tcBorders>
              <w:top w:val="single" w:sz="4" w:space="0" w:color="A6A6A6"/>
            </w:tcBorders>
            <w:noWrap/>
            <w:hideMark/>
          </w:tcPr>
          <w:p w14:paraId="5E69BA14" w14:textId="77777777" w:rsidR="005F4A7E" w:rsidRPr="002029AF" w:rsidRDefault="005F4A7E" w:rsidP="00130D1C">
            <w:pPr>
              <w:pStyle w:val="ARfintablebodyright"/>
            </w:pPr>
            <w:r w:rsidRPr="00980A09">
              <w:t>–</w:t>
            </w:r>
          </w:p>
        </w:tc>
        <w:tc>
          <w:tcPr>
            <w:tcW w:w="1305" w:type="dxa"/>
            <w:tcBorders>
              <w:top w:val="single" w:sz="4" w:space="0" w:color="A6A6A6"/>
            </w:tcBorders>
            <w:noWrap/>
            <w:hideMark/>
          </w:tcPr>
          <w:p w14:paraId="19147154" w14:textId="77777777" w:rsidR="005F4A7E" w:rsidRPr="002029AF" w:rsidRDefault="005F4A7E" w:rsidP="00130D1C">
            <w:pPr>
              <w:pStyle w:val="ARfintablebodyright"/>
            </w:pPr>
            <w:r w:rsidRPr="00980A09">
              <w:t>–</w:t>
            </w:r>
          </w:p>
        </w:tc>
        <w:tc>
          <w:tcPr>
            <w:tcW w:w="1305" w:type="dxa"/>
            <w:tcBorders>
              <w:top w:val="single" w:sz="4" w:space="0" w:color="A6A6A6"/>
            </w:tcBorders>
            <w:noWrap/>
            <w:hideMark/>
          </w:tcPr>
          <w:p w14:paraId="404C51BF" w14:textId="77777777" w:rsidR="005F4A7E" w:rsidRPr="002029AF" w:rsidRDefault="005F4A7E" w:rsidP="00130D1C">
            <w:pPr>
              <w:pStyle w:val="ARfintablebodyright"/>
            </w:pPr>
            <w:r w:rsidRPr="00980A09">
              <w:t>(9.2)</w:t>
            </w:r>
          </w:p>
        </w:tc>
        <w:tc>
          <w:tcPr>
            <w:tcW w:w="1305" w:type="dxa"/>
            <w:tcBorders>
              <w:top w:val="single" w:sz="4" w:space="0" w:color="A6A6A6"/>
            </w:tcBorders>
            <w:noWrap/>
            <w:hideMark/>
          </w:tcPr>
          <w:p w14:paraId="4AE8E8FF" w14:textId="77777777" w:rsidR="005F4A7E" w:rsidRPr="002029AF" w:rsidRDefault="005F4A7E" w:rsidP="00130D1C">
            <w:pPr>
              <w:pStyle w:val="ARfintablebodyright"/>
            </w:pPr>
            <w:r w:rsidRPr="00980A09">
              <w:t>(9.2)</w:t>
            </w:r>
          </w:p>
        </w:tc>
      </w:tr>
      <w:tr w:rsidR="005F4A7E" w:rsidRPr="002029AF" w14:paraId="28FF6CA9" w14:textId="77777777" w:rsidTr="00DE688A">
        <w:tc>
          <w:tcPr>
            <w:tcW w:w="3573" w:type="dxa"/>
            <w:hideMark/>
          </w:tcPr>
          <w:p w14:paraId="701D705D" w14:textId="77777777" w:rsidR="005F4A7E" w:rsidRPr="002029AF" w:rsidRDefault="005F4A7E" w:rsidP="00130D1C">
            <w:pPr>
              <w:pStyle w:val="ARfintablebodybold"/>
            </w:pPr>
            <w:r w:rsidRPr="00980A09">
              <w:t>Balance at 30 June 2020</w:t>
            </w:r>
          </w:p>
        </w:tc>
        <w:tc>
          <w:tcPr>
            <w:tcW w:w="851" w:type="dxa"/>
            <w:hideMark/>
          </w:tcPr>
          <w:p w14:paraId="346CA23D" w14:textId="77777777" w:rsidR="005F4A7E" w:rsidRPr="002029AF" w:rsidRDefault="005F4A7E" w:rsidP="00130D1C">
            <w:pPr>
              <w:pStyle w:val="ARfintablebodyright"/>
            </w:pPr>
          </w:p>
        </w:tc>
        <w:tc>
          <w:tcPr>
            <w:tcW w:w="1305" w:type="dxa"/>
            <w:noWrap/>
            <w:hideMark/>
          </w:tcPr>
          <w:p w14:paraId="4698BAC7" w14:textId="77777777" w:rsidR="005F4A7E" w:rsidRPr="002029AF" w:rsidRDefault="005F4A7E" w:rsidP="00130D1C">
            <w:pPr>
              <w:pStyle w:val="ARfintablebodyrightbold"/>
            </w:pPr>
            <w:r w:rsidRPr="00980A09">
              <w:t>7,377.2</w:t>
            </w:r>
          </w:p>
        </w:tc>
        <w:tc>
          <w:tcPr>
            <w:tcW w:w="1305" w:type="dxa"/>
            <w:noWrap/>
            <w:hideMark/>
          </w:tcPr>
          <w:p w14:paraId="6C423C1B" w14:textId="77777777" w:rsidR="005F4A7E" w:rsidRPr="002029AF" w:rsidRDefault="005F4A7E" w:rsidP="00130D1C">
            <w:pPr>
              <w:pStyle w:val="ARfintablebodyrightbold"/>
            </w:pPr>
            <w:r w:rsidRPr="00980A09">
              <w:t>2,145.0</w:t>
            </w:r>
          </w:p>
        </w:tc>
        <w:tc>
          <w:tcPr>
            <w:tcW w:w="1305" w:type="dxa"/>
            <w:noWrap/>
            <w:hideMark/>
          </w:tcPr>
          <w:p w14:paraId="4408D384" w14:textId="77777777" w:rsidR="005F4A7E" w:rsidRPr="002029AF" w:rsidRDefault="005F4A7E" w:rsidP="00130D1C">
            <w:pPr>
              <w:pStyle w:val="ARfintablebodyrightbold"/>
            </w:pPr>
            <w:r w:rsidRPr="00980A09">
              <w:t>22,415.0</w:t>
            </w:r>
          </w:p>
        </w:tc>
        <w:tc>
          <w:tcPr>
            <w:tcW w:w="1305" w:type="dxa"/>
            <w:noWrap/>
            <w:hideMark/>
          </w:tcPr>
          <w:p w14:paraId="21A74499" w14:textId="77777777" w:rsidR="005F4A7E" w:rsidRPr="002029AF" w:rsidRDefault="005F4A7E" w:rsidP="00130D1C">
            <w:pPr>
              <w:pStyle w:val="ARfintablebodyrightbold"/>
            </w:pPr>
            <w:r w:rsidRPr="00980A09">
              <w:t>31,937.2</w:t>
            </w:r>
          </w:p>
        </w:tc>
      </w:tr>
      <w:tr w:rsidR="005F4A7E" w:rsidRPr="002029AF" w14:paraId="3E7E4982" w14:textId="77777777" w:rsidTr="00DE688A">
        <w:tc>
          <w:tcPr>
            <w:tcW w:w="3573" w:type="dxa"/>
            <w:hideMark/>
          </w:tcPr>
          <w:p w14:paraId="69F86962" w14:textId="77777777" w:rsidR="005F4A7E" w:rsidRPr="002029AF" w:rsidRDefault="005F4A7E" w:rsidP="00130D1C">
            <w:pPr>
              <w:pStyle w:val="ARfintablebody"/>
            </w:pPr>
            <w:r w:rsidRPr="00980A09">
              <w:t>Prior period error</w:t>
            </w:r>
          </w:p>
        </w:tc>
        <w:tc>
          <w:tcPr>
            <w:tcW w:w="851" w:type="dxa"/>
            <w:hideMark/>
          </w:tcPr>
          <w:p w14:paraId="79EFB435" w14:textId="77777777" w:rsidR="005F4A7E" w:rsidRPr="002029AF" w:rsidRDefault="005F4A7E" w:rsidP="00130D1C">
            <w:pPr>
              <w:pStyle w:val="ARfintablebodyright"/>
            </w:pPr>
            <w:r w:rsidRPr="00980A09">
              <w:t>9.4</w:t>
            </w:r>
          </w:p>
        </w:tc>
        <w:tc>
          <w:tcPr>
            <w:tcW w:w="1305" w:type="dxa"/>
            <w:noWrap/>
            <w:hideMark/>
          </w:tcPr>
          <w:p w14:paraId="7BE14CC3" w14:textId="77777777" w:rsidR="005F4A7E" w:rsidRPr="002029AF" w:rsidRDefault="005F4A7E" w:rsidP="00130D1C">
            <w:pPr>
              <w:pStyle w:val="ARfintablebodyright"/>
            </w:pPr>
            <w:r w:rsidRPr="00980A09">
              <w:t>–</w:t>
            </w:r>
          </w:p>
        </w:tc>
        <w:tc>
          <w:tcPr>
            <w:tcW w:w="1305" w:type="dxa"/>
            <w:noWrap/>
            <w:hideMark/>
          </w:tcPr>
          <w:p w14:paraId="0D4ACA42" w14:textId="77777777" w:rsidR="005F4A7E" w:rsidRPr="002029AF" w:rsidRDefault="005F4A7E" w:rsidP="00130D1C">
            <w:pPr>
              <w:pStyle w:val="ARfintablebodyright"/>
            </w:pPr>
            <w:r w:rsidRPr="00980A09">
              <w:t>55.7</w:t>
            </w:r>
          </w:p>
        </w:tc>
        <w:tc>
          <w:tcPr>
            <w:tcW w:w="1305" w:type="dxa"/>
            <w:noWrap/>
            <w:hideMark/>
          </w:tcPr>
          <w:p w14:paraId="093DEB5F" w14:textId="77777777" w:rsidR="005F4A7E" w:rsidRPr="002029AF" w:rsidRDefault="005F4A7E" w:rsidP="00130D1C">
            <w:pPr>
              <w:pStyle w:val="ARfintablebodyright"/>
            </w:pPr>
            <w:r w:rsidRPr="00980A09">
              <w:t>–</w:t>
            </w:r>
          </w:p>
        </w:tc>
        <w:tc>
          <w:tcPr>
            <w:tcW w:w="1305" w:type="dxa"/>
            <w:noWrap/>
            <w:hideMark/>
          </w:tcPr>
          <w:p w14:paraId="277B4121" w14:textId="77777777" w:rsidR="005F4A7E" w:rsidRPr="002029AF" w:rsidRDefault="005F4A7E" w:rsidP="00130D1C">
            <w:pPr>
              <w:pStyle w:val="ARfintablebodyright"/>
            </w:pPr>
            <w:r w:rsidRPr="00980A09">
              <w:t>55.7</w:t>
            </w:r>
          </w:p>
        </w:tc>
      </w:tr>
      <w:tr w:rsidR="005F4A7E" w:rsidRPr="002029AF" w14:paraId="4B0FD8F0" w14:textId="77777777" w:rsidTr="00DE688A">
        <w:tc>
          <w:tcPr>
            <w:tcW w:w="3573" w:type="dxa"/>
            <w:hideMark/>
          </w:tcPr>
          <w:p w14:paraId="0DD6D4C0" w14:textId="77777777" w:rsidR="005F4A7E" w:rsidRPr="002029AF" w:rsidRDefault="005F4A7E" w:rsidP="00130D1C">
            <w:pPr>
              <w:pStyle w:val="ARfintablebodybold"/>
              <w:rPr>
                <w:highlight w:val="yellow"/>
              </w:rPr>
            </w:pPr>
            <w:r w:rsidRPr="00980A09">
              <w:t>Restated balance at 1 July 2020</w:t>
            </w:r>
          </w:p>
        </w:tc>
        <w:tc>
          <w:tcPr>
            <w:tcW w:w="851" w:type="dxa"/>
            <w:hideMark/>
          </w:tcPr>
          <w:p w14:paraId="05AC7909" w14:textId="77777777" w:rsidR="005F4A7E" w:rsidRPr="002029AF" w:rsidRDefault="005F4A7E" w:rsidP="00130D1C">
            <w:pPr>
              <w:pStyle w:val="ARfintablebodyright"/>
            </w:pPr>
          </w:p>
        </w:tc>
        <w:tc>
          <w:tcPr>
            <w:tcW w:w="1305" w:type="dxa"/>
            <w:noWrap/>
            <w:hideMark/>
          </w:tcPr>
          <w:p w14:paraId="44ABF2FC" w14:textId="77777777" w:rsidR="005F4A7E" w:rsidRPr="002029AF" w:rsidRDefault="005F4A7E" w:rsidP="00130D1C">
            <w:pPr>
              <w:pStyle w:val="ARfintablebodyrightbold"/>
            </w:pPr>
            <w:r w:rsidRPr="00980A09">
              <w:t>7,377.2</w:t>
            </w:r>
          </w:p>
        </w:tc>
        <w:tc>
          <w:tcPr>
            <w:tcW w:w="1305" w:type="dxa"/>
            <w:noWrap/>
            <w:hideMark/>
          </w:tcPr>
          <w:p w14:paraId="1395878A" w14:textId="77777777" w:rsidR="005F4A7E" w:rsidRPr="002029AF" w:rsidRDefault="005F4A7E" w:rsidP="00130D1C">
            <w:pPr>
              <w:pStyle w:val="ARfintablebodyrightbold"/>
            </w:pPr>
            <w:r w:rsidRPr="00980A09">
              <w:t>2,200.7</w:t>
            </w:r>
          </w:p>
        </w:tc>
        <w:tc>
          <w:tcPr>
            <w:tcW w:w="1305" w:type="dxa"/>
            <w:noWrap/>
            <w:hideMark/>
          </w:tcPr>
          <w:p w14:paraId="6A7D7260" w14:textId="77777777" w:rsidR="005F4A7E" w:rsidRPr="002029AF" w:rsidRDefault="005F4A7E" w:rsidP="00130D1C">
            <w:pPr>
              <w:pStyle w:val="ARfintablebodyrightbold"/>
            </w:pPr>
            <w:r w:rsidRPr="00980A09">
              <w:t>22,415.0</w:t>
            </w:r>
          </w:p>
        </w:tc>
        <w:tc>
          <w:tcPr>
            <w:tcW w:w="1305" w:type="dxa"/>
            <w:noWrap/>
            <w:hideMark/>
          </w:tcPr>
          <w:p w14:paraId="6999C462" w14:textId="77777777" w:rsidR="005F4A7E" w:rsidRPr="002029AF" w:rsidRDefault="005F4A7E" w:rsidP="00130D1C">
            <w:pPr>
              <w:pStyle w:val="ARfintablebodyrightbold"/>
            </w:pPr>
            <w:r w:rsidRPr="00980A09">
              <w:t>31,992.9</w:t>
            </w:r>
          </w:p>
        </w:tc>
      </w:tr>
      <w:tr w:rsidR="005F4A7E" w:rsidRPr="002029AF" w14:paraId="4AA97D74" w14:textId="77777777" w:rsidTr="00DE688A">
        <w:tc>
          <w:tcPr>
            <w:tcW w:w="3573" w:type="dxa"/>
            <w:tcBorders>
              <w:top w:val="single" w:sz="4" w:space="0" w:color="auto"/>
              <w:bottom w:val="single" w:sz="4" w:space="0" w:color="A6A6A6"/>
            </w:tcBorders>
            <w:hideMark/>
          </w:tcPr>
          <w:p w14:paraId="3A025A43" w14:textId="77777777" w:rsidR="005F4A7E" w:rsidRPr="002029AF" w:rsidRDefault="005F4A7E" w:rsidP="00130D1C">
            <w:pPr>
              <w:pStyle w:val="ARfintablebody"/>
            </w:pPr>
            <w:r w:rsidRPr="00980A09">
              <w:t>Net result for the year</w:t>
            </w:r>
          </w:p>
        </w:tc>
        <w:tc>
          <w:tcPr>
            <w:tcW w:w="851" w:type="dxa"/>
            <w:tcBorders>
              <w:top w:val="single" w:sz="4" w:space="0" w:color="auto"/>
              <w:bottom w:val="single" w:sz="4" w:space="0" w:color="A6A6A6"/>
            </w:tcBorders>
            <w:hideMark/>
          </w:tcPr>
          <w:p w14:paraId="074D8579" w14:textId="77777777" w:rsidR="005F4A7E" w:rsidRPr="002029AF" w:rsidRDefault="005F4A7E" w:rsidP="00130D1C">
            <w:pPr>
              <w:pStyle w:val="ARfintablebodyright"/>
            </w:pPr>
          </w:p>
        </w:tc>
        <w:tc>
          <w:tcPr>
            <w:tcW w:w="1305" w:type="dxa"/>
            <w:tcBorders>
              <w:top w:val="single" w:sz="4" w:space="0" w:color="auto"/>
              <w:bottom w:val="single" w:sz="4" w:space="0" w:color="A6A6A6"/>
            </w:tcBorders>
            <w:noWrap/>
            <w:hideMark/>
          </w:tcPr>
          <w:p w14:paraId="44063139" w14:textId="77777777" w:rsidR="005F4A7E" w:rsidRPr="002029AF" w:rsidRDefault="005F4A7E" w:rsidP="00130D1C">
            <w:pPr>
              <w:pStyle w:val="ARfintablebodyright"/>
            </w:pPr>
            <w:r w:rsidRPr="00980A09">
              <w:t>–</w:t>
            </w:r>
          </w:p>
        </w:tc>
        <w:tc>
          <w:tcPr>
            <w:tcW w:w="1305" w:type="dxa"/>
            <w:tcBorders>
              <w:top w:val="single" w:sz="4" w:space="0" w:color="auto"/>
              <w:bottom w:val="single" w:sz="4" w:space="0" w:color="A6A6A6"/>
            </w:tcBorders>
            <w:noWrap/>
            <w:hideMark/>
          </w:tcPr>
          <w:p w14:paraId="3C9B2F60" w14:textId="77777777" w:rsidR="005F4A7E" w:rsidRPr="002029AF" w:rsidRDefault="005F4A7E" w:rsidP="00130D1C">
            <w:pPr>
              <w:pStyle w:val="ARfintablebodyright"/>
            </w:pPr>
            <w:r w:rsidRPr="00980A09">
              <w:t>513.9</w:t>
            </w:r>
          </w:p>
        </w:tc>
        <w:tc>
          <w:tcPr>
            <w:tcW w:w="1305" w:type="dxa"/>
            <w:tcBorders>
              <w:top w:val="single" w:sz="4" w:space="0" w:color="auto"/>
              <w:bottom w:val="single" w:sz="4" w:space="0" w:color="A6A6A6"/>
            </w:tcBorders>
            <w:noWrap/>
            <w:hideMark/>
          </w:tcPr>
          <w:p w14:paraId="28753D49" w14:textId="77777777" w:rsidR="005F4A7E" w:rsidRPr="002029AF" w:rsidRDefault="005F4A7E" w:rsidP="00130D1C">
            <w:pPr>
              <w:pStyle w:val="ARfintablebodyright"/>
            </w:pPr>
            <w:r w:rsidRPr="00980A09">
              <w:t>–</w:t>
            </w:r>
          </w:p>
        </w:tc>
        <w:tc>
          <w:tcPr>
            <w:tcW w:w="1305" w:type="dxa"/>
            <w:tcBorders>
              <w:top w:val="single" w:sz="4" w:space="0" w:color="auto"/>
              <w:bottom w:val="single" w:sz="4" w:space="0" w:color="A6A6A6"/>
            </w:tcBorders>
            <w:noWrap/>
            <w:hideMark/>
          </w:tcPr>
          <w:p w14:paraId="34BCD0F8" w14:textId="77777777" w:rsidR="005F4A7E" w:rsidRPr="002029AF" w:rsidRDefault="005F4A7E" w:rsidP="00130D1C">
            <w:pPr>
              <w:pStyle w:val="ARfintablebodyright"/>
            </w:pPr>
            <w:r w:rsidRPr="00980A09">
              <w:t>513.9</w:t>
            </w:r>
          </w:p>
        </w:tc>
      </w:tr>
      <w:tr w:rsidR="005F4A7E" w:rsidRPr="002029AF" w14:paraId="16A16C15" w14:textId="77777777" w:rsidTr="00DE688A">
        <w:tc>
          <w:tcPr>
            <w:tcW w:w="3573" w:type="dxa"/>
            <w:tcBorders>
              <w:top w:val="single" w:sz="4" w:space="0" w:color="A6A6A6"/>
              <w:bottom w:val="single" w:sz="4" w:space="0" w:color="A6A6A6"/>
            </w:tcBorders>
            <w:hideMark/>
          </w:tcPr>
          <w:p w14:paraId="633EB04B" w14:textId="77777777" w:rsidR="005F4A7E" w:rsidRPr="002029AF" w:rsidRDefault="005F4A7E" w:rsidP="00130D1C">
            <w:pPr>
              <w:pStyle w:val="ARfintablebody"/>
            </w:pPr>
            <w:r w:rsidRPr="00980A09">
              <w:t>Remeasurement of superannuation defined benefit plans</w:t>
            </w:r>
          </w:p>
        </w:tc>
        <w:tc>
          <w:tcPr>
            <w:tcW w:w="851" w:type="dxa"/>
            <w:tcBorders>
              <w:top w:val="single" w:sz="4" w:space="0" w:color="A6A6A6"/>
              <w:bottom w:val="single" w:sz="4" w:space="0" w:color="A6A6A6"/>
            </w:tcBorders>
            <w:noWrap/>
            <w:hideMark/>
          </w:tcPr>
          <w:p w14:paraId="76FE0F53" w14:textId="77777777" w:rsidR="005F4A7E" w:rsidRPr="002029AF" w:rsidRDefault="005F4A7E" w:rsidP="00130D1C">
            <w:pPr>
              <w:pStyle w:val="ARfintablebodyright"/>
            </w:pPr>
            <w:r w:rsidRPr="00980A09">
              <w:t>3.1.1(b)</w:t>
            </w:r>
          </w:p>
        </w:tc>
        <w:tc>
          <w:tcPr>
            <w:tcW w:w="1305" w:type="dxa"/>
            <w:tcBorders>
              <w:top w:val="single" w:sz="4" w:space="0" w:color="A6A6A6"/>
              <w:bottom w:val="single" w:sz="4" w:space="0" w:color="A6A6A6"/>
            </w:tcBorders>
            <w:noWrap/>
            <w:hideMark/>
          </w:tcPr>
          <w:p w14:paraId="0B9EDA71" w14:textId="77777777" w:rsidR="005F4A7E" w:rsidRPr="002029AF" w:rsidRDefault="005F4A7E" w:rsidP="00130D1C">
            <w:pPr>
              <w:pStyle w:val="ARfintablebodyright"/>
            </w:pPr>
            <w:r w:rsidRPr="00980A09">
              <w:t>–</w:t>
            </w:r>
          </w:p>
        </w:tc>
        <w:tc>
          <w:tcPr>
            <w:tcW w:w="1305" w:type="dxa"/>
            <w:tcBorders>
              <w:top w:val="single" w:sz="4" w:space="0" w:color="A6A6A6"/>
              <w:bottom w:val="single" w:sz="4" w:space="0" w:color="A6A6A6"/>
            </w:tcBorders>
            <w:noWrap/>
            <w:hideMark/>
          </w:tcPr>
          <w:p w14:paraId="682EDB1E" w14:textId="77777777" w:rsidR="005F4A7E" w:rsidRPr="002029AF" w:rsidRDefault="005F4A7E" w:rsidP="00130D1C">
            <w:pPr>
              <w:pStyle w:val="ARfintablebodyright"/>
            </w:pPr>
            <w:r w:rsidRPr="00980A09">
              <w:t>(1.5)</w:t>
            </w:r>
          </w:p>
        </w:tc>
        <w:tc>
          <w:tcPr>
            <w:tcW w:w="1305" w:type="dxa"/>
            <w:tcBorders>
              <w:top w:val="single" w:sz="4" w:space="0" w:color="A6A6A6"/>
              <w:bottom w:val="single" w:sz="4" w:space="0" w:color="A6A6A6"/>
            </w:tcBorders>
            <w:noWrap/>
            <w:hideMark/>
          </w:tcPr>
          <w:p w14:paraId="68990555" w14:textId="77777777" w:rsidR="005F4A7E" w:rsidRPr="002029AF" w:rsidRDefault="005F4A7E" w:rsidP="00130D1C">
            <w:pPr>
              <w:pStyle w:val="ARfintablebodyright"/>
            </w:pPr>
            <w:r w:rsidRPr="00980A09">
              <w:t>–</w:t>
            </w:r>
          </w:p>
        </w:tc>
        <w:tc>
          <w:tcPr>
            <w:tcW w:w="1305" w:type="dxa"/>
            <w:tcBorders>
              <w:top w:val="single" w:sz="4" w:space="0" w:color="A6A6A6"/>
              <w:bottom w:val="single" w:sz="4" w:space="0" w:color="A6A6A6"/>
            </w:tcBorders>
            <w:noWrap/>
            <w:hideMark/>
          </w:tcPr>
          <w:p w14:paraId="516E7C3F" w14:textId="77777777" w:rsidR="005F4A7E" w:rsidRPr="002029AF" w:rsidRDefault="005F4A7E" w:rsidP="00130D1C">
            <w:pPr>
              <w:pStyle w:val="ARfintablebodyright"/>
            </w:pPr>
            <w:r w:rsidRPr="00980A09">
              <w:t>(1.5)</w:t>
            </w:r>
          </w:p>
        </w:tc>
      </w:tr>
      <w:tr w:rsidR="005F4A7E" w:rsidRPr="002029AF" w14:paraId="366333C0" w14:textId="77777777" w:rsidTr="00DE688A">
        <w:tc>
          <w:tcPr>
            <w:tcW w:w="3573" w:type="dxa"/>
            <w:tcBorders>
              <w:top w:val="single" w:sz="4" w:space="0" w:color="A6A6A6"/>
              <w:bottom w:val="single" w:sz="4" w:space="0" w:color="A6A6A6"/>
            </w:tcBorders>
            <w:hideMark/>
          </w:tcPr>
          <w:p w14:paraId="49BC2A62" w14:textId="77777777" w:rsidR="005F4A7E" w:rsidRPr="002029AF" w:rsidRDefault="005F4A7E" w:rsidP="00130D1C">
            <w:pPr>
              <w:pStyle w:val="ARfintablebody"/>
            </w:pPr>
            <w:r w:rsidRPr="00980A09">
              <w:t>Transfer to contributed capital related to</w:t>
            </w:r>
            <w:r>
              <w:t> </w:t>
            </w:r>
            <w:r w:rsidRPr="00980A09">
              <w:t>machinery of government</w:t>
            </w:r>
          </w:p>
        </w:tc>
        <w:tc>
          <w:tcPr>
            <w:tcW w:w="851" w:type="dxa"/>
            <w:tcBorders>
              <w:top w:val="single" w:sz="4" w:space="0" w:color="A6A6A6"/>
              <w:bottom w:val="single" w:sz="4" w:space="0" w:color="A6A6A6"/>
            </w:tcBorders>
            <w:noWrap/>
            <w:hideMark/>
          </w:tcPr>
          <w:p w14:paraId="52B2D9C0" w14:textId="77777777" w:rsidR="005F4A7E" w:rsidRPr="002029AF" w:rsidRDefault="005F4A7E" w:rsidP="00130D1C">
            <w:pPr>
              <w:pStyle w:val="ARfintablebodyright"/>
            </w:pPr>
            <w:r w:rsidRPr="00980A09">
              <w:t>9.4</w:t>
            </w:r>
          </w:p>
        </w:tc>
        <w:tc>
          <w:tcPr>
            <w:tcW w:w="1305" w:type="dxa"/>
            <w:tcBorders>
              <w:top w:val="single" w:sz="4" w:space="0" w:color="A6A6A6"/>
              <w:bottom w:val="single" w:sz="4" w:space="0" w:color="A6A6A6"/>
            </w:tcBorders>
            <w:noWrap/>
            <w:hideMark/>
          </w:tcPr>
          <w:p w14:paraId="32588706" w14:textId="77777777" w:rsidR="005F4A7E" w:rsidRPr="002029AF" w:rsidRDefault="005F4A7E" w:rsidP="00130D1C">
            <w:pPr>
              <w:pStyle w:val="ARfintablebodyright"/>
            </w:pPr>
            <w:r w:rsidRPr="00980A09">
              <w:t>–</w:t>
            </w:r>
          </w:p>
        </w:tc>
        <w:tc>
          <w:tcPr>
            <w:tcW w:w="1305" w:type="dxa"/>
            <w:tcBorders>
              <w:top w:val="single" w:sz="4" w:space="0" w:color="A6A6A6"/>
              <w:bottom w:val="single" w:sz="4" w:space="0" w:color="A6A6A6"/>
            </w:tcBorders>
            <w:noWrap/>
            <w:hideMark/>
          </w:tcPr>
          <w:p w14:paraId="0940B6B8" w14:textId="77777777" w:rsidR="005F4A7E" w:rsidRPr="002029AF" w:rsidRDefault="005F4A7E" w:rsidP="00130D1C">
            <w:pPr>
              <w:pStyle w:val="ARfintablebodyright"/>
            </w:pPr>
            <w:r w:rsidRPr="00980A09">
              <w:t>(5,937.6)</w:t>
            </w:r>
          </w:p>
        </w:tc>
        <w:tc>
          <w:tcPr>
            <w:tcW w:w="1305" w:type="dxa"/>
            <w:tcBorders>
              <w:top w:val="single" w:sz="4" w:space="0" w:color="A6A6A6"/>
              <w:bottom w:val="single" w:sz="4" w:space="0" w:color="A6A6A6"/>
            </w:tcBorders>
            <w:noWrap/>
            <w:hideMark/>
          </w:tcPr>
          <w:p w14:paraId="12AE538A" w14:textId="77777777" w:rsidR="005F4A7E" w:rsidRPr="002029AF" w:rsidRDefault="005F4A7E" w:rsidP="00130D1C">
            <w:pPr>
              <w:pStyle w:val="ARfintablebodyright"/>
            </w:pPr>
            <w:r w:rsidRPr="00980A09">
              <w:t>5,937.6</w:t>
            </w:r>
          </w:p>
        </w:tc>
        <w:tc>
          <w:tcPr>
            <w:tcW w:w="1305" w:type="dxa"/>
            <w:tcBorders>
              <w:top w:val="single" w:sz="4" w:space="0" w:color="A6A6A6"/>
              <w:bottom w:val="single" w:sz="4" w:space="0" w:color="A6A6A6"/>
            </w:tcBorders>
            <w:noWrap/>
            <w:hideMark/>
          </w:tcPr>
          <w:p w14:paraId="44C78C6E" w14:textId="77777777" w:rsidR="005F4A7E" w:rsidRPr="002029AF" w:rsidRDefault="005F4A7E" w:rsidP="00130D1C">
            <w:pPr>
              <w:pStyle w:val="ARfintablebodyright"/>
            </w:pPr>
            <w:r w:rsidRPr="00980A09">
              <w:t>–</w:t>
            </w:r>
          </w:p>
        </w:tc>
      </w:tr>
      <w:tr w:rsidR="005F4A7E" w:rsidRPr="002029AF" w14:paraId="47891639" w14:textId="77777777" w:rsidTr="00DE688A">
        <w:tc>
          <w:tcPr>
            <w:tcW w:w="3573" w:type="dxa"/>
            <w:tcBorders>
              <w:top w:val="single" w:sz="4" w:space="0" w:color="A6A6A6"/>
              <w:bottom w:val="single" w:sz="4" w:space="0" w:color="A6A6A6"/>
            </w:tcBorders>
            <w:hideMark/>
          </w:tcPr>
          <w:p w14:paraId="16C513C9" w14:textId="77777777" w:rsidR="005F4A7E" w:rsidRPr="002029AF" w:rsidRDefault="005F4A7E" w:rsidP="00130D1C">
            <w:pPr>
              <w:pStyle w:val="ARfintablebody"/>
            </w:pPr>
            <w:r w:rsidRPr="00980A09">
              <w:t>Transfer to accumulated surplus/(deficit) related to machinery of government</w:t>
            </w:r>
          </w:p>
        </w:tc>
        <w:tc>
          <w:tcPr>
            <w:tcW w:w="851" w:type="dxa"/>
            <w:tcBorders>
              <w:top w:val="single" w:sz="4" w:space="0" w:color="A6A6A6"/>
              <w:bottom w:val="single" w:sz="4" w:space="0" w:color="A6A6A6"/>
            </w:tcBorders>
            <w:noWrap/>
            <w:hideMark/>
          </w:tcPr>
          <w:p w14:paraId="2194C0FE" w14:textId="77777777" w:rsidR="005F4A7E" w:rsidRPr="002029AF" w:rsidRDefault="005F4A7E" w:rsidP="00130D1C">
            <w:pPr>
              <w:pStyle w:val="ARfintablebodyright"/>
            </w:pPr>
            <w:r w:rsidRPr="00980A09">
              <w:t>9.4</w:t>
            </w:r>
          </w:p>
        </w:tc>
        <w:tc>
          <w:tcPr>
            <w:tcW w:w="1305" w:type="dxa"/>
            <w:tcBorders>
              <w:top w:val="single" w:sz="4" w:space="0" w:color="A6A6A6"/>
              <w:bottom w:val="single" w:sz="4" w:space="0" w:color="A6A6A6"/>
            </w:tcBorders>
            <w:noWrap/>
            <w:hideMark/>
          </w:tcPr>
          <w:p w14:paraId="62BC81E0" w14:textId="77777777" w:rsidR="005F4A7E" w:rsidRPr="002029AF" w:rsidRDefault="005F4A7E" w:rsidP="00130D1C">
            <w:pPr>
              <w:pStyle w:val="ARfintablebodyright"/>
            </w:pPr>
            <w:r w:rsidRPr="00980A09">
              <w:t>(6,938.4)</w:t>
            </w:r>
          </w:p>
        </w:tc>
        <w:tc>
          <w:tcPr>
            <w:tcW w:w="1305" w:type="dxa"/>
            <w:tcBorders>
              <w:top w:val="single" w:sz="4" w:space="0" w:color="A6A6A6"/>
              <w:bottom w:val="single" w:sz="4" w:space="0" w:color="A6A6A6"/>
            </w:tcBorders>
            <w:noWrap/>
            <w:hideMark/>
          </w:tcPr>
          <w:p w14:paraId="74CF51A7" w14:textId="77777777" w:rsidR="005F4A7E" w:rsidRPr="002029AF" w:rsidRDefault="005F4A7E" w:rsidP="00130D1C">
            <w:pPr>
              <w:pStyle w:val="ARfintablebodyright"/>
            </w:pPr>
            <w:r w:rsidRPr="00980A09">
              <w:t>6,938.4</w:t>
            </w:r>
          </w:p>
        </w:tc>
        <w:tc>
          <w:tcPr>
            <w:tcW w:w="1305" w:type="dxa"/>
            <w:tcBorders>
              <w:top w:val="single" w:sz="4" w:space="0" w:color="A6A6A6"/>
              <w:bottom w:val="single" w:sz="4" w:space="0" w:color="A6A6A6"/>
            </w:tcBorders>
            <w:noWrap/>
            <w:hideMark/>
          </w:tcPr>
          <w:p w14:paraId="507C675B" w14:textId="77777777" w:rsidR="005F4A7E" w:rsidRPr="002029AF" w:rsidRDefault="005F4A7E" w:rsidP="00130D1C">
            <w:pPr>
              <w:pStyle w:val="ARfintablebodyright"/>
            </w:pPr>
            <w:r w:rsidRPr="00980A09">
              <w:t>–</w:t>
            </w:r>
          </w:p>
        </w:tc>
        <w:tc>
          <w:tcPr>
            <w:tcW w:w="1305" w:type="dxa"/>
            <w:tcBorders>
              <w:top w:val="single" w:sz="4" w:space="0" w:color="A6A6A6"/>
              <w:bottom w:val="single" w:sz="4" w:space="0" w:color="A6A6A6"/>
            </w:tcBorders>
            <w:noWrap/>
            <w:hideMark/>
          </w:tcPr>
          <w:p w14:paraId="4F95F948" w14:textId="77777777" w:rsidR="005F4A7E" w:rsidRPr="002029AF" w:rsidRDefault="005F4A7E" w:rsidP="00130D1C">
            <w:pPr>
              <w:pStyle w:val="ARfintablebodyright"/>
            </w:pPr>
            <w:r w:rsidRPr="00980A09">
              <w:t>–</w:t>
            </w:r>
          </w:p>
        </w:tc>
      </w:tr>
      <w:tr w:rsidR="005F4A7E" w:rsidRPr="002029AF" w14:paraId="60AEC0F3" w14:textId="77777777" w:rsidTr="00DE688A">
        <w:tc>
          <w:tcPr>
            <w:tcW w:w="3573" w:type="dxa"/>
            <w:tcBorders>
              <w:top w:val="single" w:sz="4" w:space="0" w:color="A6A6A6"/>
              <w:bottom w:val="single" w:sz="4" w:space="0" w:color="A6A6A6"/>
            </w:tcBorders>
          </w:tcPr>
          <w:p w14:paraId="71266517" w14:textId="77777777" w:rsidR="005F4A7E" w:rsidRPr="002029AF" w:rsidRDefault="005F4A7E" w:rsidP="00130D1C">
            <w:pPr>
              <w:pStyle w:val="ARfintablebody"/>
            </w:pPr>
            <w:r w:rsidRPr="00980A09">
              <w:t>Changes in physical asset revaluation surplus</w:t>
            </w:r>
          </w:p>
        </w:tc>
        <w:tc>
          <w:tcPr>
            <w:tcW w:w="851" w:type="dxa"/>
            <w:tcBorders>
              <w:top w:val="single" w:sz="4" w:space="0" w:color="A6A6A6"/>
              <w:bottom w:val="single" w:sz="4" w:space="0" w:color="A6A6A6"/>
            </w:tcBorders>
            <w:noWrap/>
          </w:tcPr>
          <w:p w14:paraId="69012222" w14:textId="77777777" w:rsidR="005F4A7E" w:rsidRPr="002029AF" w:rsidRDefault="005F4A7E" w:rsidP="00130D1C">
            <w:pPr>
              <w:pStyle w:val="ARfintablebodyright"/>
            </w:pPr>
            <w:r w:rsidRPr="00980A09">
              <w:t>9.4</w:t>
            </w:r>
          </w:p>
        </w:tc>
        <w:tc>
          <w:tcPr>
            <w:tcW w:w="1305" w:type="dxa"/>
            <w:tcBorders>
              <w:top w:val="single" w:sz="4" w:space="0" w:color="A6A6A6"/>
              <w:bottom w:val="single" w:sz="4" w:space="0" w:color="A6A6A6"/>
            </w:tcBorders>
            <w:noWrap/>
          </w:tcPr>
          <w:p w14:paraId="6B875913" w14:textId="77777777" w:rsidR="005F4A7E" w:rsidRPr="002029AF" w:rsidRDefault="005F4A7E" w:rsidP="00130D1C">
            <w:pPr>
              <w:pStyle w:val="ARfintablebodyright"/>
            </w:pPr>
            <w:r w:rsidRPr="00980A09">
              <w:t>4,439.1</w:t>
            </w:r>
          </w:p>
        </w:tc>
        <w:tc>
          <w:tcPr>
            <w:tcW w:w="1305" w:type="dxa"/>
            <w:tcBorders>
              <w:top w:val="single" w:sz="4" w:space="0" w:color="A6A6A6"/>
              <w:bottom w:val="single" w:sz="4" w:space="0" w:color="A6A6A6"/>
            </w:tcBorders>
            <w:noWrap/>
          </w:tcPr>
          <w:p w14:paraId="42712F3B" w14:textId="77777777" w:rsidR="005F4A7E" w:rsidRPr="002029AF" w:rsidRDefault="005F4A7E" w:rsidP="00130D1C">
            <w:pPr>
              <w:pStyle w:val="ARfintablebodyright"/>
            </w:pPr>
            <w:r w:rsidRPr="00980A09">
              <w:t>–</w:t>
            </w:r>
          </w:p>
        </w:tc>
        <w:tc>
          <w:tcPr>
            <w:tcW w:w="1305" w:type="dxa"/>
            <w:tcBorders>
              <w:top w:val="single" w:sz="4" w:space="0" w:color="A6A6A6"/>
              <w:bottom w:val="single" w:sz="4" w:space="0" w:color="A6A6A6"/>
            </w:tcBorders>
            <w:noWrap/>
          </w:tcPr>
          <w:p w14:paraId="0B2DB1B2" w14:textId="77777777" w:rsidR="005F4A7E" w:rsidRPr="002029AF" w:rsidRDefault="005F4A7E" w:rsidP="00130D1C">
            <w:pPr>
              <w:pStyle w:val="ARfintablebodyright"/>
            </w:pPr>
            <w:r w:rsidRPr="00980A09">
              <w:t>–</w:t>
            </w:r>
          </w:p>
        </w:tc>
        <w:tc>
          <w:tcPr>
            <w:tcW w:w="1305" w:type="dxa"/>
            <w:tcBorders>
              <w:top w:val="single" w:sz="4" w:space="0" w:color="A6A6A6"/>
              <w:bottom w:val="single" w:sz="4" w:space="0" w:color="A6A6A6"/>
            </w:tcBorders>
            <w:noWrap/>
          </w:tcPr>
          <w:p w14:paraId="7306A32C" w14:textId="77777777" w:rsidR="005F4A7E" w:rsidRPr="002029AF" w:rsidRDefault="005F4A7E" w:rsidP="00130D1C">
            <w:pPr>
              <w:pStyle w:val="ARfintablebodyright"/>
            </w:pPr>
            <w:r w:rsidRPr="00980A09">
              <w:t>4,439.1</w:t>
            </w:r>
          </w:p>
        </w:tc>
      </w:tr>
      <w:tr w:rsidR="005F4A7E" w:rsidRPr="002029AF" w14:paraId="4AFB750D" w14:textId="77777777" w:rsidTr="00DE688A">
        <w:tc>
          <w:tcPr>
            <w:tcW w:w="3573" w:type="dxa"/>
            <w:tcBorders>
              <w:top w:val="single" w:sz="4" w:space="0" w:color="A6A6A6"/>
              <w:bottom w:val="single" w:sz="4" w:space="0" w:color="A6A6A6"/>
            </w:tcBorders>
            <w:hideMark/>
          </w:tcPr>
          <w:p w14:paraId="2B2D0EC2" w14:textId="77777777" w:rsidR="005F4A7E" w:rsidRPr="002029AF" w:rsidRDefault="005F4A7E" w:rsidP="00130D1C">
            <w:pPr>
              <w:pStyle w:val="ARfintablebody"/>
            </w:pPr>
            <w:r w:rsidRPr="00980A09">
              <w:t>Administrative restructure – net assets received</w:t>
            </w:r>
          </w:p>
        </w:tc>
        <w:tc>
          <w:tcPr>
            <w:tcW w:w="851" w:type="dxa"/>
            <w:tcBorders>
              <w:top w:val="single" w:sz="4" w:space="0" w:color="A6A6A6"/>
              <w:bottom w:val="single" w:sz="4" w:space="0" w:color="A6A6A6"/>
            </w:tcBorders>
            <w:noWrap/>
            <w:hideMark/>
          </w:tcPr>
          <w:p w14:paraId="7A9BF234" w14:textId="77777777" w:rsidR="005F4A7E" w:rsidRPr="002029AF" w:rsidRDefault="005F4A7E" w:rsidP="00130D1C">
            <w:pPr>
              <w:pStyle w:val="ARfintablebodyright"/>
            </w:pPr>
            <w:r w:rsidRPr="00980A09">
              <w:t>4.3</w:t>
            </w:r>
          </w:p>
        </w:tc>
        <w:tc>
          <w:tcPr>
            <w:tcW w:w="1305" w:type="dxa"/>
            <w:tcBorders>
              <w:top w:val="single" w:sz="4" w:space="0" w:color="A6A6A6"/>
              <w:bottom w:val="single" w:sz="4" w:space="0" w:color="A6A6A6"/>
            </w:tcBorders>
            <w:noWrap/>
            <w:hideMark/>
          </w:tcPr>
          <w:p w14:paraId="4BA7AAE7" w14:textId="77777777" w:rsidR="005F4A7E" w:rsidRPr="002029AF" w:rsidRDefault="005F4A7E" w:rsidP="00130D1C">
            <w:pPr>
              <w:pStyle w:val="ARfintablebodyright"/>
            </w:pPr>
            <w:r w:rsidRPr="00980A09">
              <w:t>–</w:t>
            </w:r>
          </w:p>
        </w:tc>
        <w:tc>
          <w:tcPr>
            <w:tcW w:w="1305" w:type="dxa"/>
            <w:tcBorders>
              <w:top w:val="single" w:sz="4" w:space="0" w:color="A6A6A6"/>
              <w:bottom w:val="single" w:sz="4" w:space="0" w:color="A6A6A6"/>
            </w:tcBorders>
            <w:noWrap/>
            <w:hideMark/>
          </w:tcPr>
          <w:p w14:paraId="7A543D0D" w14:textId="77777777" w:rsidR="005F4A7E" w:rsidRPr="002029AF" w:rsidRDefault="005F4A7E" w:rsidP="00130D1C">
            <w:pPr>
              <w:pStyle w:val="ARfintablebodyright"/>
            </w:pPr>
            <w:r w:rsidRPr="00980A09">
              <w:t>–</w:t>
            </w:r>
          </w:p>
        </w:tc>
        <w:tc>
          <w:tcPr>
            <w:tcW w:w="1305" w:type="dxa"/>
            <w:tcBorders>
              <w:top w:val="single" w:sz="4" w:space="0" w:color="A6A6A6"/>
              <w:bottom w:val="single" w:sz="4" w:space="0" w:color="A6A6A6"/>
            </w:tcBorders>
            <w:noWrap/>
            <w:hideMark/>
          </w:tcPr>
          <w:p w14:paraId="0CB71376" w14:textId="77777777" w:rsidR="005F4A7E" w:rsidRPr="002029AF" w:rsidRDefault="005F4A7E" w:rsidP="00130D1C">
            <w:pPr>
              <w:pStyle w:val="ARfintablebodyright"/>
            </w:pPr>
            <w:r w:rsidRPr="00980A09">
              <w:t>1,289.</w:t>
            </w:r>
            <w:r>
              <w:t>3</w:t>
            </w:r>
          </w:p>
        </w:tc>
        <w:tc>
          <w:tcPr>
            <w:tcW w:w="1305" w:type="dxa"/>
            <w:tcBorders>
              <w:top w:val="single" w:sz="4" w:space="0" w:color="A6A6A6"/>
              <w:bottom w:val="single" w:sz="4" w:space="0" w:color="A6A6A6"/>
            </w:tcBorders>
            <w:noWrap/>
            <w:hideMark/>
          </w:tcPr>
          <w:p w14:paraId="66725388" w14:textId="77777777" w:rsidR="005F4A7E" w:rsidRPr="002029AF" w:rsidRDefault="005F4A7E" w:rsidP="00130D1C">
            <w:pPr>
              <w:pStyle w:val="ARfintablebodyright"/>
            </w:pPr>
            <w:r w:rsidRPr="00980A09">
              <w:t>1,289.</w:t>
            </w:r>
            <w:r>
              <w:t>3</w:t>
            </w:r>
          </w:p>
        </w:tc>
      </w:tr>
      <w:tr w:rsidR="005F4A7E" w:rsidRPr="002029AF" w14:paraId="660B8979" w14:textId="77777777" w:rsidTr="00DE688A">
        <w:tc>
          <w:tcPr>
            <w:tcW w:w="3573" w:type="dxa"/>
            <w:tcBorders>
              <w:top w:val="single" w:sz="4" w:space="0" w:color="A6A6A6"/>
              <w:bottom w:val="single" w:sz="4" w:space="0" w:color="A6A6A6"/>
            </w:tcBorders>
            <w:hideMark/>
          </w:tcPr>
          <w:p w14:paraId="2BC65C19" w14:textId="77777777" w:rsidR="005F4A7E" w:rsidRPr="002029AF" w:rsidRDefault="005F4A7E" w:rsidP="00130D1C">
            <w:pPr>
              <w:pStyle w:val="ARfintablebody"/>
            </w:pPr>
            <w:r w:rsidRPr="00980A09">
              <w:t>Administrative restructure – net assets transferred</w:t>
            </w:r>
          </w:p>
        </w:tc>
        <w:tc>
          <w:tcPr>
            <w:tcW w:w="851" w:type="dxa"/>
            <w:tcBorders>
              <w:top w:val="single" w:sz="4" w:space="0" w:color="A6A6A6"/>
              <w:bottom w:val="single" w:sz="4" w:space="0" w:color="A6A6A6"/>
            </w:tcBorders>
            <w:hideMark/>
          </w:tcPr>
          <w:p w14:paraId="73C805E4" w14:textId="77777777" w:rsidR="005F4A7E" w:rsidRPr="002029AF" w:rsidRDefault="005F4A7E" w:rsidP="00130D1C">
            <w:pPr>
              <w:pStyle w:val="ARfintablebodyright"/>
            </w:pPr>
            <w:r w:rsidRPr="00980A09">
              <w:t>4.3</w:t>
            </w:r>
          </w:p>
        </w:tc>
        <w:tc>
          <w:tcPr>
            <w:tcW w:w="1305" w:type="dxa"/>
            <w:tcBorders>
              <w:top w:val="single" w:sz="4" w:space="0" w:color="A6A6A6"/>
              <w:bottom w:val="single" w:sz="4" w:space="0" w:color="A6A6A6"/>
            </w:tcBorders>
            <w:noWrap/>
            <w:hideMark/>
          </w:tcPr>
          <w:p w14:paraId="5B9701B9" w14:textId="77777777" w:rsidR="005F4A7E" w:rsidRPr="002029AF" w:rsidRDefault="005F4A7E" w:rsidP="00130D1C">
            <w:pPr>
              <w:pStyle w:val="ARfintablebodyright"/>
            </w:pPr>
            <w:r w:rsidRPr="00980A09">
              <w:t>–</w:t>
            </w:r>
          </w:p>
        </w:tc>
        <w:tc>
          <w:tcPr>
            <w:tcW w:w="1305" w:type="dxa"/>
            <w:tcBorders>
              <w:top w:val="single" w:sz="4" w:space="0" w:color="A6A6A6"/>
              <w:bottom w:val="single" w:sz="4" w:space="0" w:color="A6A6A6"/>
            </w:tcBorders>
            <w:noWrap/>
            <w:hideMark/>
          </w:tcPr>
          <w:p w14:paraId="4B2A06D3" w14:textId="77777777" w:rsidR="005F4A7E" w:rsidRPr="002029AF" w:rsidRDefault="005F4A7E" w:rsidP="00130D1C">
            <w:pPr>
              <w:pStyle w:val="ARfintablebodyright"/>
            </w:pPr>
            <w:r w:rsidRPr="00980A09">
              <w:t>–</w:t>
            </w:r>
          </w:p>
        </w:tc>
        <w:tc>
          <w:tcPr>
            <w:tcW w:w="1305" w:type="dxa"/>
            <w:tcBorders>
              <w:top w:val="single" w:sz="4" w:space="0" w:color="A6A6A6"/>
              <w:bottom w:val="single" w:sz="4" w:space="0" w:color="A6A6A6"/>
            </w:tcBorders>
            <w:noWrap/>
            <w:hideMark/>
          </w:tcPr>
          <w:p w14:paraId="2654A6B8" w14:textId="77777777" w:rsidR="005F4A7E" w:rsidRPr="002029AF" w:rsidRDefault="005F4A7E" w:rsidP="00130D1C">
            <w:pPr>
              <w:pStyle w:val="ARfintablebodyright"/>
            </w:pPr>
            <w:r w:rsidRPr="00980A09">
              <w:t>(1,285.2)</w:t>
            </w:r>
          </w:p>
        </w:tc>
        <w:tc>
          <w:tcPr>
            <w:tcW w:w="1305" w:type="dxa"/>
            <w:tcBorders>
              <w:top w:val="single" w:sz="4" w:space="0" w:color="A6A6A6"/>
              <w:bottom w:val="single" w:sz="4" w:space="0" w:color="A6A6A6"/>
            </w:tcBorders>
            <w:noWrap/>
            <w:hideMark/>
          </w:tcPr>
          <w:p w14:paraId="188CA10F" w14:textId="77777777" w:rsidR="005F4A7E" w:rsidRPr="002029AF" w:rsidRDefault="005F4A7E" w:rsidP="00130D1C">
            <w:pPr>
              <w:pStyle w:val="ARfintablebodyright"/>
            </w:pPr>
            <w:r w:rsidRPr="00980A09">
              <w:t>(1,285.2)</w:t>
            </w:r>
          </w:p>
        </w:tc>
      </w:tr>
      <w:tr w:rsidR="005F4A7E" w:rsidRPr="002029AF" w14:paraId="2B1825E8" w14:textId="77777777" w:rsidTr="00DE688A">
        <w:tc>
          <w:tcPr>
            <w:tcW w:w="3573" w:type="dxa"/>
            <w:tcBorders>
              <w:top w:val="single" w:sz="4" w:space="0" w:color="A6A6A6"/>
              <w:bottom w:val="single" w:sz="4" w:space="0" w:color="A6A6A6"/>
            </w:tcBorders>
            <w:hideMark/>
          </w:tcPr>
          <w:p w14:paraId="63A5DCAB" w14:textId="77777777" w:rsidR="005F4A7E" w:rsidRPr="002029AF" w:rsidRDefault="005F4A7E" w:rsidP="00130D1C">
            <w:pPr>
              <w:pStyle w:val="ARfintablebody"/>
            </w:pPr>
            <w:r w:rsidRPr="00980A09">
              <w:t>Capital contribution by Victorian State Government</w:t>
            </w:r>
          </w:p>
        </w:tc>
        <w:tc>
          <w:tcPr>
            <w:tcW w:w="851" w:type="dxa"/>
            <w:tcBorders>
              <w:top w:val="single" w:sz="4" w:space="0" w:color="A6A6A6"/>
              <w:bottom w:val="single" w:sz="4" w:space="0" w:color="A6A6A6"/>
            </w:tcBorders>
            <w:hideMark/>
          </w:tcPr>
          <w:p w14:paraId="6D0F73AB" w14:textId="77777777" w:rsidR="005F4A7E" w:rsidRPr="002029AF" w:rsidRDefault="005F4A7E" w:rsidP="00130D1C">
            <w:pPr>
              <w:pStyle w:val="ARfintablebodyright"/>
            </w:pPr>
          </w:p>
        </w:tc>
        <w:tc>
          <w:tcPr>
            <w:tcW w:w="1305" w:type="dxa"/>
            <w:tcBorders>
              <w:top w:val="single" w:sz="4" w:space="0" w:color="A6A6A6"/>
              <w:bottom w:val="single" w:sz="4" w:space="0" w:color="A6A6A6"/>
            </w:tcBorders>
            <w:noWrap/>
            <w:hideMark/>
          </w:tcPr>
          <w:p w14:paraId="04D56860" w14:textId="77777777" w:rsidR="005F4A7E" w:rsidRPr="002029AF" w:rsidRDefault="005F4A7E" w:rsidP="00130D1C">
            <w:pPr>
              <w:pStyle w:val="ARfintablebodyright"/>
            </w:pPr>
            <w:r w:rsidRPr="00980A09">
              <w:t>–</w:t>
            </w:r>
          </w:p>
        </w:tc>
        <w:tc>
          <w:tcPr>
            <w:tcW w:w="1305" w:type="dxa"/>
            <w:tcBorders>
              <w:top w:val="single" w:sz="4" w:space="0" w:color="A6A6A6"/>
              <w:bottom w:val="single" w:sz="4" w:space="0" w:color="A6A6A6"/>
            </w:tcBorders>
            <w:noWrap/>
            <w:hideMark/>
          </w:tcPr>
          <w:p w14:paraId="0A11EB18" w14:textId="77777777" w:rsidR="005F4A7E" w:rsidRPr="002029AF" w:rsidRDefault="005F4A7E" w:rsidP="00130D1C">
            <w:pPr>
              <w:pStyle w:val="ARfintablebodyright"/>
            </w:pPr>
            <w:r w:rsidRPr="00980A09">
              <w:t>–</w:t>
            </w:r>
          </w:p>
        </w:tc>
        <w:tc>
          <w:tcPr>
            <w:tcW w:w="1305" w:type="dxa"/>
            <w:tcBorders>
              <w:top w:val="single" w:sz="4" w:space="0" w:color="A6A6A6"/>
              <w:bottom w:val="single" w:sz="4" w:space="0" w:color="A6A6A6"/>
            </w:tcBorders>
            <w:noWrap/>
            <w:hideMark/>
          </w:tcPr>
          <w:p w14:paraId="6C749E61" w14:textId="77777777" w:rsidR="005F4A7E" w:rsidRPr="002029AF" w:rsidRDefault="005F4A7E" w:rsidP="00130D1C">
            <w:pPr>
              <w:pStyle w:val="ARfintablebodyright"/>
            </w:pPr>
            <w:r w:rsidRPr="00980A09">
              <w:t>427.5</w:t>
            </w:r>
          </w:p>
        </w:tc>
        <w:tc>
          <w:tcPr>
            <w:tcW w:w="1305" w:type="dxa"/>
            <w:tcBorders>
              <w:top w:val="single" w:sz="4" w:space="0" w:color="A6A6A6"/>
              <w:bottom w:val="single" w:sz="4" w:space="0" w:color="A6A6A6"/>
            </w:tcBorders>
            <w:noWrap/>
            <w:hideMark/>
          </w:tcPr>
          <w:p w14:paraId="50ECE4F3" w14:textId="77777777" w:rsidR="005F4A7E" w:rsidRPr="002029AF" w:rsidRDefault="005F4A7E" w:rsidP="00130D1C">
            <w:pPr>
              <w:pStyle w:val="ARfintablebodyright"/>
            </w:pPr>
            <w:r w:rsidRPr="00980A09">
              <w:t>427.5</w:t>
            </w:r>
          </w:p>
        </w:tc>
      </w:tr>
      <w:tr w:rsidR="005F4A7E" w:rsidRPr="002029AF" w14:paraId="229FB3B9" w14:textId="77777777" w:rsidTr="00DE688A">
        <w:tc>
          <w:tcPr>
            <w:tcW w:w="3573" w:type="dxa"/>
            <w:tcBorders>
              <w:top w:val="single" w:sz="4" w:space="0" w:color="A6A6A6"/>
              <w:bottom w:val="single" w:sz="4" w:space="0" w:color="A6A6A6"/>
            </w:tcBorders>
            <w:hideMark/>
          </w:tcPr>
          <w:p w14:paraId="5872F0C6" w14:textId="77777777" w:rsidR="005F4A7E" w:rsidRPr="002029AF" w:rsidRDefault="005F4A7E" w:rsidP="00130D1C">
            <w:pPr>
              <w:pStyle w:val="ARfintablebody"/>
            </w:pPr>
            <w:r w:rsidRPr="00980A09">
              <w:t>Capital contributions to agencies</w:t>
            </w:r>
          </w:p>
        </w:tc>
        <w:tc>
          <w:tcPr>
            <w:tcW w:w="851" w:type="dxa"/>
            <w:tcBorders>
              <w:top w:val="single" w:sz="4" w:space="0" w:color="A6A6A6"/>
              <w:bottom w:val="single" w:sz="4" w:space="0" w:color="A6A6A6"/>
            </w:tcBorders>
            <w:hideMark/>
          </w:tcPr>
          <w:p w14:paraId="4C8BBE4F" w14:textId="77777777" w:rsidR="005F4A7E" w:rsidRPr="002029AF" w:rsidRDefault="005F4A7E" w:rsidP="00130D1C">
            <w:pPr>
              <w:pStyle w:val="ARfintablebodyright"/>
            </w:pPr>
          </w:p>
        </w:tc>
        <w:tc>
          <w:tcPr>
            <w:tcW w:w="1305" w:type="dxa"/>
            <w:tcBorders>
              <w:top w:val="single" w:sz="4" w:space="0" w:color="A6A6A6"/>
              <w:bottom w:val="single" w:sz="4" w:space="0" w:color="A6A6A6"/>
            </w:tcBorders>
            <w:noWrap/>
            <w:hideMark/>
          </w:tcPr>
          <w:p w14:paraId="2810C97F" w14:textId="77777777" w:rsidR="005F4A7E" w:rsidRPr="002029AF" w:rsidRDefault="005F4A7E" w:rsidP="00130D1C">
            <w:pPr>
              <w:pStyle w:val="ARfintablebodyright"/>
            </w:pPr>
            <w:r w:rsidRPr="00980A09">
              <w:t>–</w:t>
            </w:r>
          </w:p>
        </w:tc>
        <w:tc>
          <w:tcPr>
            <w:tcW w:w="1305" w:type="dxa"/>
            <w:tcBorders>
              <w:top w:val="single" w:sz="4" w:space="0" w:color="A6A6A6"/>
              <w:bottom w:val="single" w:sz="4" w:space="0" w:color="A6A6A6"/>
            </w:tcBorders>
            <w:noWrap/>
            <w:hideMark/>
          </w:tcPr>
          <w:p w14:paraId="270EDD16" w14:textId="77777777" w:rsidR="005F4A7E" w:rsidRPr="002029AF" w:rsidRDefault="005F4A7E" w:rsidP="00130D1C">
            <w:pPr>
              <w:pStyle w:val="ARfintablebodyright"/>
            </w:pPr>
            <w:r w:rsidRPr="00980A09">
              <w:t>–</w:t>
            </w:r>
          </w:p>
        </w:tc>
        <w:tc>
          <w:tcPr>
            <w:tcW w:w="1305" w:type="dxa"/>
            <w:tcBorders>
              <w:top w:val="single" w:sz="4" w:space="0" w:color="A6A6A6"/>
              <w:bottom w:val="single" w:sz="4" w:space="0" w:color="A6A6A6"/>
            </w:tcBorders>
            <w:noWrap/>
            <w:hideMark/>
          </w:tcPr>
          <w:p w14:paraId="00446791" w14:textId="77777777" w:rsidR="005F4A7E" w:rsidRPr="002029AF" w:rsidRDefault="005F4A7E" w:rsidP="00130D1C">
            <w:pPr>
              <w:pStyle w:val="ARfintablebodyright"/>
            </w:pPr>
            <w:r w:rsidRPr="00980A09">
              <w:t>(9.6)</w:t>
            </w:r>
          </w:p>
        </w:tc>
        <w:tc>
          <w:tcPr>
            <w:tcW w:w="1305" w:type="dxa"/>
            <w:tcBorders>
              <w:top w:val="single" w:sz="4" w:space="0" w:color="A6A6A6"/>
              <w:bottom w:val="single" w:sz="4" w:space="0" w:color="A6A6A6"/>
            </w:tcBorders>
            <w:noWrap/>
            <w:hideMark/>
          </w:tcPr>
          <w:p w14:paraId="5B45DF98" w14:textId="77777777" w:rsidR="005F4A7E" w:rsidRPr="002029AF" w:rsidRDefault="005F4A7E" w:rsidP="00130D1C">
            <w:pPr>
              <w:pStyle w:val="ARfintablebodyright"/>
            </w:pPr>
            <w:r w:rsidRPr="00980A09">
              <w:t>(9.6)</w:t>
            </w:r>
          </w:p>
        </w:tc>
      </w:tr>
      <w:tr w:rsidR="005F4A7E" w:rsidRPr="002029AF" w14:paraId="7A886E17" w14:textId="77777777" w:rsidTr="00DE688A">
        <w:tc>
          <w:tcPr>
            <w:tcW w:w="3573" w:type="dxa"/>
            <w:tcBorders>
              <w:top w:val="single" w:sz="4" w:space="0" w:color="A6A6A6"/>
            </w:tcBorders>
            <w:hideMark/>
          </w:tcPr>
          <w:p w14:paraId="63BE787A" w14:textId="77777777" w:rsidR="005F4A7E" w:rsidRPr="002029AF" w:rsidRDefault="005F4A7E" w:rsidP="00130D1C">
            <w:pPr>
              <w:pStyle w:val="ARfintablebody"/>
            </w:pPr>
            <w:r w:rsidRPr="00980A09">
              <w:t>Capital transferred to administered entity</w:t>
            </w:r>
          </w:p>
        </w:tc>
        <w:tc>
          <w:tcPr>
            <w:tcW w:w="851" w:type="dxa"/>
            <w:tcBorders>
              <w:top w:val="single" w:sz="4" w:space="0" w:color="A6A6A6"/>
            </w:tcBorders>
            <w:hideMark/>
          </w:tcPr>
          <w:p w14:paraId="1D20C9F9" w14:textId="77777777" w:rsidR="005F4A7E" w:rsidRPr="002029AF" w:rsidRDefault="005F4A7E" w:rsidP="00130D1C">
            <w:pPr>
              <w:pStyle w:val="ARfintablebodyright"/>
            </w:pPr>
          </w:p>
        </w:tc>
        <w:tc>
          <w:tcPr>
            <w:tcW w:w="1305" w:type="dxa"/>
            <w:tcBorders>
              <w:top w:val="single" w:sz="4" w:space="0" w:color="A6A6A6"/>
            </w:tcBorders>
            <w:noWrap/>
            <w:hideMark/>
          </w:tcPr>
          <w:p w14:paraId="0DF10D48" w14:textId="77777777" w:rsidR="005F4A7E" w:rsidRPr="002029AF" w:rsidRDefault="005F4A7E" w:rsidP="00130D1C">
            <w:pPr>
              <w:pStyle w:val="ARfintablebodyright"/>
            </w:pPr>
            <w:r w:rsidRPr="00980A09">
              <w:t>–</w:t>
            </w:r>
          </w:p>
        </w:tc>
        <w:tc>
          <w:tcPr>
            <w:tcW w:w="1305" w:type="dxa"/>
            <w:tcBorders>
              <w:top w:val="single" w:sz="4" w:space="0" w:color="A6A6A6"/>
            </w:tcBorders>
            <w:noWrap/>
            <w:hideMark/>
          </w:tcPr>
          <w:p w14:paraId="739742FE" w14:textId="77777777" w:rsidR="005F4A7E" w:rsidRPr="002029AF" w:rsidRDefault="005F4A7E" w:rsidP="00130D1C">
            <w:pPr>
              <w:pStyle w:val="ARfintablebodyright"/>
            </w:pPr>
            <w:r w:rsidRPr="00980A09">
              <w:t>–</w:t>
            </w:r>
          </w:p>
        </w:tc>
        <w:tc>
          <w:tcPr>
            <w:tcW w:w="1305" w:type="dxa"/>
            <w:tcBorders>
              <w:top w:val="single" w:sz="4" w:space="0" w:color="A6A6A6"/>
            </w:tcBorders>
            <w:noWrap/>
            <w:hideMark/>
          </w:tcPr>
          <w:p w14:paraId="0CF20130" w14:textId="77777777" w:rsidR="005F4A7E" w:rsidRPr="002029AF" w:rsidRDefault="005F4A7E" w:rsidP="00130D1C">
            <w:pPr>
              <w:pStyle w:val="ARfintablebodyright"/>
            </w:pPr>
            <w:r w:rsidRPr="00980A09">
              <w:t>(90.4)</w:t>
            </w:r>
          </w:p>
        </w:tc>
        <w:tc>
          <w:tcPr>
            <w:tcW w:w="1305" w:type="dxa"/>
            <w:tcBorders>
              <w:top w:val="single" w:sz="4" w:space="0" w:color="A6A6A6"/>
            </w:tcBorders>
            <w:noWrap/>
            <w:hideMark/>
          </w:tcPr>
          <w:p w14:paraId="3B244C1B" w14:textId="77777777" w:rsidR="005F4A7E" w:rsidRPr="002029AF" w:rsidRDefault="005F4A7E" w:rsidP="00130D1C">
            <w:pPr>
              <w:pStyle w:val="ARfintablebodyright"/>
            </w:pPr>
            <w:r w:rsidRPr="00980A09">
              <w:t>(90.4)</w:t>
            </w:r>
          </w:p>
        </w:tc>
      </w:tr>
      <w:tr w:rsidR="005F4A7E" w:rsidRPr="002029AF" w14:paraId="31900000" w14:textId="77777777" w:rsidTr="00DE688A">
        <w:tc>
          <w:tcPr>
            <w:tcW w:w="3573" w:type="dxa"/>
            <w:hideMark/>
          </w:tcPr>
          <w:p w14:paraId="5EF450BB" w14:textId="77777777" w:rsidR="005F4A7E" w:rsidRPr="002029AF" w:rsidRDefault="005F4A7E" w:rsidP="00130D1C">
            <w:pPr>
              <w:pStyle w:val="ARfintablebodybold"/>
            </w:pPr>
            <w:r w:rsidRPr="00980A09">
              <w:t>Balance at 30 June 2021</w:t>
            </w:r>
          </w:p>
        </w:tc>
        <w:tc>
          <w:tcPr>
            <w:tcW w:w="851" w:type="dxa"/>
            <w:hideMark/>
          </w:tcPr>
          <w:p w14:paraId="5DC9F0D2" w14:textId="77777777" w:rsidR="005F4A7E" w:rsidRPr="002029AF" w:rsidRDefault="005F4A7E" w:rsidP="00130D1C">
            <w:pPr>
              <w:pStyle w:val="ARfintablebodyright"/>
            </w:pPr>
          </w:p>
        </w:tc>
        <w:tc>
          <w:tcPr>
            <w:tcW w:w="1305" w:type="dxa"/>
            <w:noWrap/>
            <w:hideMark/>
          </w:tcPr>
          <w:p w14:paraId="27288ECB" w14:textId="77777777" w:rsidR="005F4A7E" w:rsidRPr="002029AF" w:rsidRDefault="005F4A7E" w:rsidP="00130D1C">
            <w:pPr>
              <w:pStyle w:val="ARfintablebodyrightbold"/>
            </w:pPr>
            <w:r w:rsidRPr="00980A09">
              <w:t>4,877.9</w:t>
            </w:r>
          </w:p>
        </w:tc>
        <w:tc>
          <w:tcPr>
            <w:tcW w:w="1305" w:type="dxa"/>
            <w:noWrap/>
            <w:hideMark/>
          </w:tcPr>
          <w:p w14:paraId="59FAC7CE" w14:textId="77777777" w:rsidR="005F4A7E" w:rsidRPr="002029AF" w:rsidRDefault="005F4A7E" w:rsidP="00130D1C">
            <w:pPr>
              <w:pStyle w:val="ARfintablebodyrightbold"/>
            </w:pPr>
            <w:r w:rsidRPr="00980A09">
              <w:t>3,714.0</w:t>
            </w:r>
          </w:p>
        </w:tc>
        <w:tc>
          <w:tcPr>
            <w:tcW w:w="1305" w:type="dxa"/>
            <w:noWrap/>
            <w:hideMark/>
          </w:tcPr>
          <w:p w14:paraId="04CFFD4F" w14:textId="77777777" w:rsidR="005F4A7E" w:rsidRPr="002029AF" w:rsidRDefault="005F4A7E" w:rsidP="00130D1C">
            <w:pPr>
              <w:pStyle w:val="ARfintablebodyrightbold"/>
            </w:pPr>
            <w:r w:rsidRPr="00980A09">
              <w:t>28,684.1</w:t>
            </w:r>
          </w:p>
        </w:tc>
        <w:tc>
          <w:tcPr>
            <w:tcW w:w="1305" w:type="dxa"/>
            <w:noWrap/>
            <w:hideMark/>
          </w:tcPr>
          <w:p w14:paraId="3A358083" w14:textId="77777777" w:rsidR="005F4A7E" w:rsidRPr="002029AF" w:rsidRDefault="005F4A7E" w:rsidP="00130D1C">
            <w:pPr>
              <w:pStyle w:val="ARfintablebodyrightbold"/>
            </w:pPr>
            <w:r w:rsidRPr="00980A09">
              <w:t>37,275.9</w:t>
            </w:r>
          </w:p>
        </w:tc>
      </w:tr>
    </w:tbl>
    <w:p w14:paraId="7C5CD4BE" w14:textId="77777777" w:rsidR="005F4A7E" w:rsidRDefault="005F4A7E" w:rsidP="00130D1C">
      <w:pPr>
        <w:pStyle w:val="ARtablefootnote"/>
        <w:rPr>
          <w:lang w:eastAsia="en-AU"/>
        </w:rPr>
      </w:pPr>
      <w:bookmarkStart w:id="723" w:name="_Toc39136685"/>
      <w:bookmarkStart w:id="724" w:name="_Toc393360771"/>
      <w:bookmarkStart w:id="725" w:name="_Toc393784905"/>
      <w:r w:rsidRPr="00255EB5">
        <w:rPr>
          <w:lang w:eastAsia="en-AU"/>
        </w:rPr>
        <w:t>The statement of changes in equity should be read in conjunction with the notes to the financial statements.</w:t>
      </w:r>
    </w:p>
    <w:p w14:paraId="105A6793" w14:textId="77777777" w:rsidR="005F4A7E" w:rsidRPr="002029AF" w:rsidRDefault="005F4A7E" w:rsidP="003566F1">
      <w:pPr>
        <w:pStyle w:val="ARbody"/>
      </w:pPr>
      <w:r w:rsidRPr="002029AF">
        <w:br w:type="page"/>
      </w:r>
    </w:p>
    <w:p w14:paraId="77443144" w14:textId="07DED9EA" w:rsidR="005F4A7E" w:rsidRDefault="005F4A7E" w:rsidP="00130D1C">
      <w:pPr>
        <w:pStyle w:val="Heading2Financials"/>
      </w:pPr>
      <w:bookmarkStart w:id="726" w:name="_Toc60682327"/>
      <w:bookmarkStart w:id="727" w:name="_Toc85121353"/>
      <w:bookmarkStart w:id="728" w:name="_Toc86075629"/>
      <w:bookmarkEnd w:id="723"/>
      <w:bookmarkEnd w:id="724"/>
      <w:bookmarkEnd w:id="725"/>
      <w:r>
        <w:lastRenderedPageBreak/>
        <w:t>Notes to and forming part of the financial statements</w:t>
      </w:r>
      <w:r>
        <w:br/>
        <w:t>for the financial year ended 30 June 2021</w:t>
      </w:r>
      <w:bookmarkEnd w:id="726"/>
      <w:bookmarkEnd w:id="727"/>
      <w:bookmarkEnd w:id="728"/>
    </w:p>
    <w:p w14:paraId="0E22E6C2" w14:textId="22B6EA6F" w:rsidR="005F4A7E" w:rsidRDefault="005F4A7E" w:rsidP="00130D1C">
      <w:pPr>
        <w:pStyle w:val="Heading3"/>
      </w:pPr>
      <w:bookmarkStart w:id="729" w:name="_Toc39242129"/>
      <w:bookmarkStart w:id="730" w:name="_Toc60682328"/>
      <w:bookmarkStart w:id="731" w:name="_Ref84596878"/>
      <w:bookmarkStart w:id="732" w:name="_Ref84597943"/>
      <w:bookmarkStart w:id="733" w:name="_Ref84597971"/>
      <w:bookmarkStart w:id="734" w:name="_Ref84600391"/>
      <w:bookmarkStart w:id="735" w:name="_Toc85121354"/>
      <w:bookmarkStart w:id="736" w:name="_Ref85202092"/>
      <w:bookmarkStart w:id="737" w:name="_Ref85204315"/>
      <w:bookmarkStart w:id="738" w:name="_Toc86075630"/>
      <w:r>
        <w:rPr>
          <w:szCs w:val="28"/>
        </w:rPr>
        <w:t>1. About this report</w:t>
      </w:r>
      <w:bookmarkEnd w:id="729"/>
      <w:bookmarkEnd w:id="730"/>
      <w:bookmarkEnd w:id="731"/>
      <w:bookmarkEnd w:id="732"/>
      <w:bookmarkEnd w:id="733"/>
      <w:bookmarkEnd w:id="734"/>
      <w:bookmarkEnd w:id="735"/>
      <w:bookmarkEnd w:id="736"/>
      <w:bookmarkEnd w:id="737"/>
      <w:bookmarkEnd w:id="738"/>
    </w:p>
    <w:p w14:paraId="6BFB4710" w14:textId="77777777" w:rsidR="005F4A7E" w:rsidRDefault="005F4A7E" w:rsidP="00130D1C">
      <w:pPr>
        <w:pStyle w:val="ARbody"/>
        <w:rPr>
          <w:lang w:eastAsia="en-AU"/>
        </w:rPr>
      </w:pPr>
      <w:r w:rsidRPr="00F4530E">
        <w:rPr>
          <w:lang w:eastAsia="en-AU"/>
        </w:rPr>
        <w:t>On 30 November 2020, the Victorian Government announced the establishment of two new departments effective from 1 February 2021.</w:t>
      </w:r>
    </w:p>
    <w:p w14:paraId="21E21F8F" w14:textId="77777777" w:rsidR="005F4A7E" w:rsidRPr="00F4530E" w:rsidRDefault="005F4A7E" w:rsidP="00130D1C">
      <w:pPr>
        <w:pStyle w:val="ARbody"/>
        <w:rPr>
          <w:lang w:eastAsia="en-AU"/>
        </w:rPr>
      </w:pPr>
      <w:r w:rsidRPr="00F4530E">
        <w:rPr>
          <w:lang w:eastAsia="en-AU"/>
        </w:rPr>
        <w:t xml:space="preserve">The Department of Health and Human Services (DHHS) was renamed the Department of Health (DH). The functions of Child Protection, Prevention of Family Violence, Housing and Disability were transferred to form a new Department of Families, Fairness and Housing (DFFH). This new department is also responsible for the key policy areas of Multicultural Affairs, LGBTQI+ Equality, Veterans, and the offices for Women and </w:t>
      </w:r>
      <w:r w:rsidRPr="00337A98">
        <w:rPr>
          <w:lang w:eastAsia="en-AU"/>
        </w:rPr>
        <w:t>Youth</w:t>
      </w:r>
      <w:r w:rsidRPr="00F4530E">
        <w:rPr>
          <w:lang w:eastAsia="en-AU"/>
        </w:rPr>
        <w:t xml:space="preserve"> from 1 February 2021 following their transfer from the Department of Premier and Cabinet. Details of the administrative arrangement can be found in Note 4.3.</w:t>
      </w:r>
    </w:p>
    <w:p w14:paraId="7AE17668" w14:textId="77777777" w:rsidR="005F4A7E" w:rsidRPr="00F4530E" w:rsidRDefault="005F4A7E" w:rsidP="00130D1C">
      <w:pPr>
        <w:pStyle w:val="ARbody"/>
        <w:rPr>
          <w:lang w:eastAsia="en-AU"/>
        </w:rPr>
      </w:pPr>
      <w:r w:rsidRPr="00F4530E">
        <w:rPr>
          <w:lang w:eastAsia="en-AU"/>
        </w:rPr>
        <w:t xml:space="preserve">The Department of Health (the department) is a government department of the State of Victoria, established pursuant to an order made by the Premier under the </w:t>
      </w:r>
      <w:r>
        <w:rPr>
          <w:i/>
          <w:iCs/>
          <w:lang w:eastAsia="en-AU"/>
        </w:rPr>
        <w:t>Public Administration Act 2004</w:t>
      </w:r>
      <w:r w:rsidRPr="00F4530E">
        <w:rPr>
          <w:lang w:eastAsia="en-AU"/>
        </w:rPr>
        <w:t>. It is an administrative agency acting on behalf of the Crown.</w:t>
      </w:r>
    </w:p>
    <w:p w14:paraId="24AE3B84" w14:textId="77777777" w:rsidR="00864121" w:rsidRDefault="005F4A7E" w:rsidP="00130D1C">
      <w:pPr>
        <w:pStyle w:val="ARbody"/>
        <w:rPr>
          <w:lang w:eastAsia="en-AU"/>
        </w:rPr>
      </w:pPr>
      <w:r w:rsidRPr="00194D78">
        <w:rPr>
          <w:lang w:eastAsia="en-AU"/>
        </w:rPr>
        <w:t>Its principal address is:</w:t>
      </w:r>
    </w:p>
    <w:p w14:paraId="2847255E" w14:textId="33D8F14F" w:rsidR="005F4A7E" w:rsidRPr="00194D78" w:rsidRDefault="005F4A7E" w:rsidP="00130D1C">
      <w:pPr>
        <w:pStyle w:val="ARbody"/>
        <w:rPr>
          <w:lang w:eastAsia="en-AU"/>
        </w:rPr>
      </w:pPr>
      <w:r>
        <w:rPr>
          <w:lang w:eastAsia="en-AU"/>
        </w:rPr>
        <w:t>Department of Health</w:t>
      </w:r>
      <w:r w:rsidRPr="00194D78">
        <w:rPr>
          <w:lang w:eastAsia="en-AU"/>
        </w:rPr>
        <w:br/>
        <w:t>50 Lonsdale Street</w:t>
      </w:r>
      <w:r w:rsidRPr="00194D78">
        <w:rPr>
          <w:lang w:eastAsia="en-AU"/>
        </w:rPr>
        <w:br/>
        <w:t>Melbourne VIC 3000</w:t>
      </w:r>
    </w:p>
    <w:p w14:paraId="4C714A22" w14:textId="77777777" w:rsidR="005F4A7E" w:rsidRPr="00194D78" w:rsidRDefault="005F4A7E" w:rsidP="00130D1C">
      <w:pPr>
        <w:pStyle w:val="ARbody"/>
        <w:rPr>
          <w:lang w:eastAsia="en-AU"/>
        </w:rPr>
      </w:pPr>
      <w:r w:rsidRPr="00194D78">
        <w:rPr>
          <w:lang w:eastAsia="en-AU"/>
        </w:rPr>
        <w:t xml:space="preserve">A description of the nature of its operations and its principal activities is included in the </w:t>
      </w:r>
      <w:r>
        <w:rPr>
          <w:lang w:eastAsia="en-AU"/>
        </w:rPr>
        <w:t>r</w:t>
      </w:r>
      <w:r w:rsidRPr="00194D78">
        <w:rPr>
          <w:lang w:eastAsia="en-AU"/>
        </w:rPr>
        <w:t>eport of operations</w:t>
      </w:r>
      <w:r>
        <w:rPr>
          <w:lang w:eastAsia="en-AU"/>
        </w:rPr>
        <w:t>,</w:t>
      </w:r>
      <w:r w:rsidRPr="00194D78">
        <w:rPr>
          <w:lang w:eastAsia="en-AU"/>
        </w:rPr>
        <w:t xml:space="preserve"> which does not form part of these financial statements.</w:t>
      </w:r>
    </w:p>
    <w:p w14:paraId="3135E307" w14:textId="77777777" w:rsidR="005F4A7E" w:rsidRDefault="005F4A7E" w:rsidP="00130D1C">
      <w:pPr>
        <w:pStyle w:val="Heading4"/>
        <w:spacing w:before="120"/>
      </w:pPr>
      <w:bookmarkStart w:id="739" w:name="_Toc39136686"/>
      <w:bookmarkStart w:id="740" w:name="_Toc39242130"/>
      <w:bookmarkStart w:id="741" w:name="_Toc85121355"/>
      <w:r>
        <w:t>Basis of preparation</w:t>
      </w:r>
      <w:bookmarkEnd w:id="739"/>
      <w:bookmarkEnd w:id="740"/>
      <w:bookmarkEnd w:id="741"/>
    </w:p>
    <w:p w14:paraId="7B5353DD" w14:textId="77777777" w:rsidR="005F4A7E" w:rsidRDefault="005F4A7E" w:rsidP="00130D1C">
      <w:pPr>
        <w:pStyle w:val="ARbody"/>
        <w:rPr>
          <w:lang w:eastAsia="en-AU"/>
        </w:rPr>
      </w:pPr>
      <w:r>
        <w:rPr>
          <w:lang w:eastAsia="en-AU"/>
        </w:rPr>
        <w:t xml:space="preserve">These financial statements cover the </w:t>
      </w:r>
      <w:r w:rsidRPr="00C51E8E">
        <w:rPr>
          <w:lang w:eastAsia="en-AU"/>
        </w:rPr>
        <w:t>Department of Health</w:t>
      </w:r>
      <w:r>
        <w:rPr>
          <w:lang w:eastAsia="en-AU"/>
        </w:rPr>
        <w:t xml:space="preserve"> as an individual reporting entity and include all controlled activities of the department.</w:t>
      </w:r>
    </w:p>
    <w:p w14:paraId="46C53AB3" w14:textId="08C298C0" w:rsidR="005F4A7E" w:rsidRDefault="005F4A7E" w:rsidP="00130D1C">
      <w:pPr>
        <w:pStyle w:val="ARbody"/>
        <w:rPr>
          <w:lang w:eastAsia="en-AU"/>
        </w:rPr>
      </w:pPr>
      <w:r>
        <w:rPr>
          <w:lang w:eastAsia="en-AU"/>
        </w:rPr>
        <w:t>Where control of an entity is obtained during the financial year, its results are included in the comprehensive operating statement from the date on which control commenced. Where control ceases during the financial year, the entity</w:t>
      </w:r>
      <w:r w:rsidR="007D145B">
        <w:rPr>
          <w:lang w:eastAsia="en-AU"/>
        </w:rPr>
        <w:t>’</w:t>
      </w:r>
      <w:r>
        <w:rPr>
          <w:lang w:eastAsia="en-AU"/>
        </w:rPr>
        <w:t>s results are included for that part of the period in which control existed. Where entities adopt dissimilar accounting policies and their effect is considered material, adjustments are made to ensure consistent policies are adopted in these financial statements.</w:t>
      </w:r>
    </w:p>
    <w:p w14:paraId="1769B0C8" w14:textId="12438516" w:rsidR="005F4A7E" w:rsidRDefault="005F4A7E" w:rsidP="00130D1C">
      <w:pPr>
        <w:pStyle w:val="ARbody"/>
        <w:rPr>
          <w:lang w:eastAsia="en-AU"/>
        </w:rPr>
      </w:pPr>
      <w:r>
        <w:rPr>
          <w:lang w:eastAsia="en-AU"/>
        </w:rPr>
        <w:t xml:space="preserve">In accordance with determinations made by the Assistant Treasurer under s. 53(1)(b) of the </w:t>
      </w:r>
      <w:r w:rsidRPr="00641EB5">
        <w:rPr>
          <w:rStyle w:val="Emphasis"/>
        </w:rPr>
        <w:t>Financial Management Act 1994</w:t>
      </w:r>
      <w:r>
        <w:rPr>
          <w:lang w:eastAsia="en-AU"/>
        </w:rPr>
        <w:t xml:space="preserve"> (FMA) the </w:t>
      </w:r>
      <w:r w:rsidRPr="00C51E8E">
        <w:rPr>
          <w:lang w:eastAsia="en-AU"/>
        </w:rPr>
        <w:t>Department of Health</w:t>
      </w:r>
      <w:r w:rsidR="007D145B">
        <w:rPr>
          <w:lang w:eastAsia="en-AU"/>
        </w:rPr>
        <w:t>’</w:t>
      </w:r>
      <w:r w:rsidRPr="00C51E8E">
        <w:rPr>
          <w:lang w:eastAsia="en-AU"/>
        </w:rPr>
        <w:t>s</w:t>
      </w:r>
      <w:r>
        <w:rPr>
          <w:lang w:eastAsia="en-AU"/>
        </w:rPr>
        <w:t xml:space="preserve"> financial statements also include the financial information of the following entities:</w:t>
      </w:r>
    </w:p>
    <w:p w14:paraId="4CAFB4A2" w14:textId="77777777" w:rsidR="005F4A7E" w:rsidRDefault="005F4A7E" w:rsidP="00130D1C">
      <w:pPr>
        <w:pStyle w:val="ARbullet1"/>
        <w:rPr>
          <w:lang w:eastAsia="en-AU"/>
        </w:rPr>
      </w:pPr>
      <w:r>
        <w:rPr>
          <w:lang w:eastAsia="en-AU"/>
        </w:rPr>
        <w:t>Director of Housing (from 1 July 2006)</w:t>
      </w:r>
    </w:p>
    <w:p w14:paraId="0BB18BBD" w14:textId="77777777" w:rsidR="005F4A7E" w:rsidRPr="00194D78" w:rsidRDefault="005F4A7E" w:rsidP="00130D1C">
      <w:pPr>
        <w:pStyle w:val="ARbullet1"/>
        <w:rPr>
          <w:lang w:eastAsia="en-AU"/>
        </w:rPr>
      </w:pPr>
      <w:r w:rsidRPr="00194D78">
        <w:rPr>
          <w:lang w:eastAsia="en-AU"/>
        </w:rPr>
        <w:t>Mental Health Tribunal</w:t>
      </w:r>
      <w:r>
        <w:rPr>
          <w:lang w:eastAsia="en-AU"/>
        </w:rPr>
        <w:t xml:space="preserve"> (from 1 July 2014)</w:t>
      </w:r>
    </w:p>
    <w:p w14:paraId="354A7FD1" w14:textId="77777777" w:rsidR="005F4A7E" w:rsidRDefault="005F4A7E" w:rsidP="00130D1C">
      <w:pPr>
        <w:pStyle w:val="ARbullet1"/>
        <w:rPr>
          <w:lang w:eastAsia="en-AU"/>
        </w:rPr>
      </w:pPr>
      <w:r w:rsidRPr="00194D78">
        <w:rPr>
          <w:lang w:eastAsia="en-AU"/>
        </w:rPr>
        <w:t>Commission for Children and Young People</w:t>
      </w:r>
      <w:r>
        <w:rPr>
          <w:lang w:eastAsia="en-AU"/>
        </w:rPr>
        <w:t xml:space="preserve"> (from 1 July 2015)</w:t>
      </w:r>
    </w:p>
    <w:p w14:paraId="06164A93" w14:textId="77777777" w:rsidR="005F4A7E" w:rsidRPr="00194D78" w:rsidRDefault="005F4A7E" w:rsidP="00130D1C">
      <w:pPr>
        <w:pStyle w:val="ARbullet1"/>
        <w:rPr>
          <w:lang w:eastAsia="en-AU"/>
        </w:rPr>
      </w:pPr>
      <w:r>
        <w:rPr>
          <w:lang w:eastAsia="en-AU"/>
        </w:rPr>
        <w:t>Disability Worker Registration Board (from 1 June 2020)</w:t>
      </w:r>
    </w:p>
    <w:p w14:paraId="20378E1F" w14:textId="77777777" w:rsidR="005F4A7E" w:rsidRDefault="005F4A7E" w:rsidP="00130D1C">
      <w:pPr>
        <w:pStyle w:val="ARbullet1"/>
        <w:rPr>
          <w:lang w:eastAsia="en-AU"/>
        </w:rPr>
      </w:pPr>
      <w:r>
        <w:rPr>
          <w:lang w:eastAsia="en-AU"/>
        </w:rPr>
        <w:t>Victorian Disability Worker Commission (from 1 June 2020)</w:t>
      </w:r>
    </w:p>
    <w:p w14:paraId="0E53EEE4" w14:textId="77777777" w:rsidR="005F4A7E" w:rsidRDefault="005F4A7E" w:rsidP="00130D1C">
      <w:pPr>
        <w:pStyle w:val="ARbullet1"/>
        <w:rPr>
          <w:lang w:eastAsia="en-AU"/>
        </w:rPr>
      </w:pPr>
      <w:r>
        <w:rPr>
          <w:lang w:eastAsia="en-AU"/>
        </w:rPr>
        <w:t>Department of Families, Fairness and Housing (from 1 February 2021)</w:t>
      </w:r>
    </w:p>
    <w:p w14:paraId="45005A13" w14:textId="77777777" w:rsidR="005F4A7E" w:rsidRDefault="005F4A7E" w:rsidP="00130D1C">
      <w:pPr>
        <w:pStyle w:val="ARbullet1"/>
        <w:rPr>
          <w:lang w:eastAsia="en-AU"/>
        </w:rPr>
      </w:pPr>
      <w:r>
        <w:rPr>
          <w:lang w:eastAsia="en-AU"/>
        </w:rPr>
        <w:t>Respect Victoria (from 1 February 2021)</w:t>
      </w:r>
    </w:p>
    <w:p w14:paraId="398C5C0D" w14:textId="77777777" w:rsidR="005F4A7E" w:rsidRDefault="005F4A7E" w:rsidP="00130D1C">
      <w:pPr>
        <w:pStyle w:val="ARbullet1"/>
        <w:rPr>
          <w:lang w:eastAsia="en-AU"/>
        </w:rPr>
      </w:pPr>
      <w:r>
        <w:rPr>
          <w:lang w:eastAsia="en-AU"/>
        </w:rPr>
        <w:t>Victorian Multicultural Commission (from 1 February 2021)</w:t>
      </w:r>
    </w:p>
    <w:p w14:paraId="58B42DB2" w14:textId="77777777" w:rsidR="005F4A7E" w:rsidRPr="002F2186" w:rsidRDefault="005F4A7E" w:rsidP="00130D1C">
      <w:pPr>
        <w:pStyle w:val="ARbullet1"/>
        <w:rPr>
          <w:lang w:eastAsia="en-AU"/>
        </w:rPr>
      </w:pPr>
      <w:r>
        <w:rPr>
          <w:lang w:eastAsia="en-AU"/>
        </w:rPr>
        <w:t>Victorian Veterans Council (from 1 February 2021)</w:t>
      </w:r>
      <w:r w:rsidRPr="002F2186">
        <w:rPr>
          <w:lang w:eastAsia="en-AU"/>
        </w:rPr>
        <w:t>.</w:t>
      </w:r>
    </w:p>
    <w:p w14:paraId="1349F0BD" w14:textId="77777777" w:rsidR="005F4A7E" w:rsidRDefault="005F4A7E" w:rsidP="00130D1C">
      <w:pPr>
        <w:pStyle w:val="ARbodyafterbullets"/>
        <w:rPr>
          <w:lang w:eastAsia="en-AU"/>
        </w:rPr>
      </w:pPr>
      <w:r>
        <w:rPr>
          <w:lang w:eastAsia="en-AU"/>
        </w:rPr>
        <w:t>These entities are reported in aggregate and are not controlled by the department.</w:t>
      </w:r>
    </w:p>
    <w:p w14:paraId="16A54BCB" w14:textId="77777777" w:rsidR="005F4A7E" w:rsidRDefault="005F4A7E" w:rsidP="00130D1C">
      <w:pPr>
        <w:pStyle w:val="ARbodyafterbullets"/>
        <w:rPr>
          <w:lang w:eastAsia="en-AU"/>
        </w:rPr>
      </w:pPr>
      <w:r>
        <w:rPr>
          <w:lang w:eastAsia="en-AU"/>
        </w:rPr>
        <w:t>In preparing financial statements for the department, all material transactions and balances between the above entities are eliminated.</w:t>
      </w:r>
    </w:p>
    <w:p w14:paraId="5E596903" w14:textId="77777777" w:rsidR="005F4A7E" w:rsidRDefault="005F4A7E" w:rsidP="00130D1C">
      <w:pPr>
        <w:pStyle w:val="ARbodyafterbullets"/>
        <w:rPr>
          <w:lang w:eastAsia="en-AU"/>
        </w:rPr>
      </w:pPr>
      <w:r>
        <w:rPr>
          <w:lang w:eastAsia="en-AU"/>
        </w:rPr>
        <w:t>These financial statements are presented in Australian dollars and the historical cost convention is used unless a different measurement basis is specifically disclosed in the note associated with the item measured on a different basis.</w:t>
      </w:r>
    </w:p>
    <w:p w14:paraId="271E6FC2" w14:textId="77777777" w:rsidR="005F4A7E" w:rsidRDefault="005F4A7E" w:rsidP="00130D1C">
      <w:pPr>
        <w:pStyle w:val="ARbody"/>
        <w:rPr>
          <w:lang w:eastAsia="en-AU"/>
        </w:rPr>
      </w:pPr>
      <w:r>
        <w:rPr>
          <w:lang w:eastAsia="en-AU"/>
        </w:rPr>
        <w:lastRenderedPageBreak/>
        <w:t>The accrual basis of accounting has been applied in the preparation of these financial statements, except for cash flow information, whereby assets, liabilities, equity, income and expenses are recognised in the reporting period to which they relate, regardless of when cash is received or paid.</w:t>
      </w:r>
    </w:p>
    <w:p w14:paraId="55B22CE2" w14:textId="77777777" w:rsidR="005F4A7E" w:rsidRDefault="005F4A7E" w:rsidP="00130D1C">
      <w:pPr>
        <w:pStyle w:val="ARbody"/>
        <w:rPr>
          <w:lang w:eastAsia="en-AU"/>
        </w:rPr>
      </w:pPr>
      <w:r>
        <w:rPr>
          <w:lang w:eastAsia="en-AU"/>
        </w:rPr>
        <w:t xml:space="preserve">Consistent with the requirements of AASB 1004 </w:t>
      </w:r>
      <w:r w:rsidRPr="00641EB5">
        <w:rPr>
          <w:rStyle w:val="Emphasis"/>
        </w:rPr>
        <w:t>Contributions</w:t>
      </w:r>
      <w:r>
        <w:rPr>
          <w:lang w:eastAsia="en-AU"/>
        </w:rPr>
        <w:t>, contributions by owners (that is, contributed capital and its repayment) are treated as equity transactions and, therefore, do not form part of the income and expenses of the department.</w:t>
      </w:r>
    </w:p>
    <w:p w14:paraId="2F70B7EA" w14:textId="77777777" w:rsidR="005F4A7E" w:rsidRDefault="005F4A7E" w:rsidP="00130D1C">
      <w:pPr>
        <w:pStyle w:val="ARbody"/>
        <w:rPr>
          <w:lang w:eastAsia="en-AU"/>
        </w:rPr>
      </w:pPr>
      <w:r>
        <w:rPr>
          <w:lang w:eastAsia="en-AU"/>
        </w:rPr>
        <w:t>Additions to net assets which have been designated as contributions by owners are recognised as contributed capital. Other transfers that are in the nature of contributions to or distributions by owners have also been designated as contributions by owners.</w:t>
      </w:r>
    </w:p>
    <w:p w14:paraId="124C4F5F" w14:textId="77777777" w:rsidR="005F4A7E" w:rsidRDefault="005F4A7E" w:rsidP="00130D1C">
      <w:pPr>
        <w:pStyle w:val="ARbody"/>
        <w:rPr>
          <w:lang w:eastAsia="en-AU"/>
        </w:rPr>
      </w:pPr>
      <w:r>
        <w:rPr>
          <w:lang w:eastAsia="en-AU"/>
        </w:rPr>
        <w:t>Transfers of net assets arising from administrative restructurings are treated as distributions to or contribution by owners. Transfers of net liabilities arising from administrative restructurings are treated as distributions to owners.</w:t>
      </w:r>
    </w:p>
    <w:p w14:paraId="148DAE4E" w14:textId="77777777" w:rsidR="005F4A7E" w:rsidRDefault="005F4A7E" w:rsidP="00130D1C">
      <w:pPr>
        <w:pStyle w:val="ARbody"/>
        <w:rPr>
          <w:lang w:eastAsia="en-AU"/>
        </w:rPr>
      </w:pPr>
      <w:r>
        <w:rPr>
          <w:lang w:eastAsia="en-AU"/>
        </w:rPr>
        <w:t>Judgements, estimates and assumptions are required to be made about the financial information being presented. The significant judgements made in the preparation of these financial statements are disclosed in the notes where amounts affected by those judgements are disclosed. Estimates and associated assumptions are based on professional judgements derived from historical experience and various other factors that are believed to be reasonable under the circumstances. Actual results may differ from these estimates.</w:t>
      </w:r>
    </w:p>
    <w:p w14:paraId="1A64A20E" w14:textId="5BCB8023" w:rsidR="005F4A7E" w:rsidRDefault="005F4A7E" w:rsidP="00130D1C">
      <w:pPr>
        <w:pStyle w:val="ARbody"/>
        <w:rPr>
          <w:lang w:eastAsia="en-AU"/>
        </w:rPr>
      </w:pPr>
      <w:r>
        <w:rPr>
          <w:lang w:eastAsia="en-AU"/>
        </w:rPr>
        <w:t xml:space="preserve">Revisions to accounting estimates are recognised in the period in which the estimate is revised and also in future periods that are affected by the revision. Judgements and assumptions made by management in applying Australian Accounting Standards (AAS) that have significant effect on the financial statements and estimates are disclosed in the notes under the heading </w:t>
      </w:r>
      <w:r w:rsidR="007D145B">
        <w:rPr>
          <w:lang w:eastAsia="en-AU"/>
        </w:rPr>
        <w:t>‘</w:t>
      </w:r>
      <w:r>
        <w:rPr>
          <w:lang w:eastAsia="en-AU"/>
        </w:rPr>
        <w:t>Significant judgement</w:t>
      </w:r>
      <w:r w:rsidR="007D145B">
        <w:rPr>
          <w:lang w:eastAsia="en-AU"/>
        </w:rPr>
        <w:t>’</w:t>
      </w:r>
      <w:r>
        <w:rPr>
          <w:lang w:eastAsia="en-AU"/>
        </w:rPr>
        <w:t>.</w:t>
      </w:r>
    </w:p>
    <w:p w14:paraId="21A9C403" w14:textId="77777777" w:rsidR="005F4A7E" w:rsidRDefault="005F4A7E" w:rsidP="00130D1C">
      <w:pPr>
        <w:pStyle w:val="ARbody"/>
        <w:rPr>
          <w:lang w:eastAsia="en-AU"/>
        </w:rPr>
      </w:pPr>
      <w:r>
        <w:rPr>
          <w:lang w:eastAsia="en-AU"/>
        </w:rPr>
        <w:t>The financial statements have been prepared on a going-concern basis.</w:t>
      </w:r>
    </w:p>
    <w:p w14:paraId="08D1612A" w14:textId="77777777" w:rsidR="005F4A7E" w:rsidRDefault="005F4A7E" w:rsidP="00130D1C">
      <w:pPr>
        <w:pStyle w:val="ARbody"/>
        <w:rPr>
          <w:lang w:eastAsia="en-AU"/>
        </w:rPr>
      </w:pPr>
      <w:r>
        <w:rPr>
          <w:lang w:eastAsia="en-AU"/>
        </w:rPr>
        <w:t>All amounts in the financial statements have been rounded to the nearest $1,000,000 unless otherwise stated.</w:t>
      </w:r>
    </w:p>
    <w:p w14:paraId="638932F7" w14:textId="77777777" w:rsidR="005F4A7E" w:rsidRDefault="005F4A7E" w:rsidP="00130D1C">
      <w:pPr>
        <w:pStyle w:val="ARbody"/>
        <w:rPr>
          <w:lang w:eastAsia="en-AU"/>
        </w:rPr>
      </w:pPr>
      <w:r>
        <w:rPr>
          <w:lang w:eastAsia="en-AU"/>
        </w:rPr>
        <w:t>Where applicable, the comparative figures have been restated to align with the presentation in the current year.</w:t>
      </w:r>
    </w:p>
    <w:p w14:paraId="21751C1A" w14:textId="714728D9" w:rsidR="005F4A7E" w:rsidRDefault="005F4A7E" w:rsidP="00130D1C">
      <w:pPr>
        <w:pStyle w:val="ARbody"/>
        <w:rPr>
          <w:lang w:eastAsia="en-AU"/>
        </w:rPr>
      </w:pPr>
      <w:r>
        <w:rPr>
          <w:lang w:eastAsia="en-AU"/>
        </w:rPr>
        <w:t>A state of emergency was declared in Victoria on 16 March 2020 due to the COVID-19 pandemic. A state of disaster was subsequently declared on 2 August 2020. To contain the spread of the virus and to prioritise the health and safety of our communities, various restrictions were announced and implemented by the state government, which in turn has impacted the manner in which businesses operate, including the department. In response, the department implemented working from home arrangements where appropriate and started putting in place programs and initiatives as part of the state</w:t>
      </w:r>
      <w:r w:rsidR="007D145B">
        <w:rPr>
          <w:lang w:eastAsia="en-AU"/>
        </w:rPr>
        <w:t>’</w:t>
      </w:r>
      <w:r>
        <w:rPr>
          <w:lang w:eastAsia="en-AU"/>
        </w:rPr>
        <w:t>s response to the pandemic.</w:t>
      </w:r>
    </w:p>
    <w:p w14:paraId="24C3DA47" w14:textId="0DC483B5" w:rsidR="005F4A7E" w:rsidRDefault="005F4A7E" w:rsidP="00130D1C">
      <w:pPr>
        <w:pStyle w:val="ARbody"/>
        <w:rPr>
          <w:lang w:eastAsia="en-AU"/>
        </w:rPr>
      </w:pPr>
      <w:r>
        <w:rPr>
          <w:lang w:eastAsia="en-AU"/>
        </w:rPr>
        <w:t>Where the impact of programs or initiatives put in place as a result of the COVID-19 pandemic is material to the department</w:t>
      </w:r>
      <w:r w:rsidR="007D145B">
        <w:rPr>
          <w:lang w:eastAsia="en-AU"/>
        </w:rPr>
        <w:t>’</w:t>
      </w:r>
      <w:r>
        <w:rPr>
          <w:lang w:eastAsia="en-AU"/>
        </w:rPr>
        <w:t>s results or position, additional disclosures are included in the notes.</w:t>
      </w:r>
    </w:p>
    <w:p w14:paraId="08999E8D" w14:textId="77777777" w:rsidR="005F4A7E" w:rsidRDefault="005F4A7E" w:rsidP="00130D1C">
      <w:pPr>
        <w:pStyle w:val="Heading4"/>
      </w:pPr>
      <w:bookmarkStart w:id="742" w:name="_Ref84599922"/>
      <w:bookmarkStart w:id="743" w:name="_Toc85121356"/>
      <w:r w:rsidRPr="00F24AAC">
        <w:t>Compliance information</w:t>
      </w:r>
      <w:bookmarkEnd w:id="742"/>
      <w:bookmarkEnd w:id="743"/>
    </w:p>
    <w:p w14:paraId="08644903" w14:textId="77777777" w:rsidR="005F4A7E" w:rsidRDefault="005F4A7E" w:rsidP="00130D1C">
      <w:pPr>
        <w:pStyle w:val="ARbody"/>
        <w:rPr>
          <w:lang w:eastAsia="en-AU"/>
        </w:rPr>
      </w:pPr>
      <w:r w:rsidRPr="00194D78">
        <w:rPr>
          <w:lang w:eastAsia="en-AU"/>
        </w:rPr>
        <w:t xml:space="preserve">These general purpose financial statements have been prepared in accordance with </w:t>
      </w:r>
      <w:r w:rsidRPr="00C54BC1">
        <w:t>the FMA an</w:t>
      </w:r>
      <w:r w:rsidRPr="00194D78">
        <w:rPr>
          <w:lang w:eastAsia="en-AU"/>
        </w:rPr>
        <w:t xml:space="preserve">d applicable AASs which include Interpretations issued by the Australian Accounting Standards Board (AASB). In particular, they are presented in a manner consistent with the requirements of AASB 1049 </w:t>
      </w:r>
      <w:r w:rsidRPr="00641EB5">
        <w:rPr>
          <w:rStyle w:val="Emphasis"/>
        </w:rPr>
        <w:t>Whole of Government and General Government Sector Financial Reporting</w:t>
      </w:r>
      <w:r w:rsidRPr="00194D78">
        <w:rPr>
          <w:lang w:eastAsia="en-AU"/>
        </w:rPr>
        <w:t>.</w:t>
      </w:r>
    </w:p>
    <w:p w14:paraId="0A51BE00" w14:textId="77777777" w:rsidR="005F4A7E" w:rsidRDefault="005F4A7E" w:rsidP="00130D1C">
      <w:pPr>
        <w:pStyle w:val="ARbody"/>
        <w:rPr>
          <w:lang w:eastAsia="en-AU"/>
        </w:rPr>
      </w:pPr>
      <w:r w:rsidRPr="00194D78">
        <w:rPr>
          <w:lang w:eastAsia="en-AU"/>
        </w:rPr>
        <w:t>Where appropriate, those AAS paragraphs applicable to not-for-profit entities have been applied. Accounting policies selected and applied in these financial statements ensure that the resulting financial information satisfies the concepts of relevance and reliability, thereby ensuring that the substance of the underlying transactions or other events is reported.</w:t>
      </w:r>
    </w:p>
    <w:p w14:paraId="7CF2CB88" w14:textId="77777777" w:rsidR="005F4A7E" w:rsidRPr="00194D78" w:rsidRDefault="005F4A7E" w:rsidP="00130D1C">
      <w:pPr>
        <w:pStyle w:val="ARbody"/>
        <w:rPr>
          <w:lang w:eastAsia="en-AU"/>
        </w:rPr>
      </w:pPr>
      <w:r w:rsidRPr="00194D78">
        <w:rPr>
          <w:lang w:eastAsia="en-AU"/>
        </w:rPr>
        <w:t xml:space="preserve">These annual financial statements were authorised for issue by the Secretary of the </w:t>
      </w:r>
      <w:r w:rsidRPr="00C51E8E">
        <w:rPr>
          <w:lang w:eastAsia="en-AU"/>
        </w:rPr>
        <w:t>Department of Health</w:t>
      </w:r>
      <w:r>
        <w:rPr>
          <w:lang w:eastAsia="en-AU"/>
        </w:rPr>
        <w:t xml:space="preserve"> </w:t>
      </w:r>
      <w:r w:rsidRPr="00F96FF7">
        <w:rPr>
          <w:lang w:eastAsia="en-AU"/>
        </w:rPr>
        <w:t>on</w:t>
      </w:r>
      <w:r>
        <w:rPr>
          <w:lang w:eastAsia="en-AU"/>
        </w:rPr>
        <w:t> </w:t>
      </w:r>
      <w:r w:rsidRPr="00EB6801">
        <w:rPr>
          <w:lang w:eastAsia="en-AU"/>
        </w:rPr>
        <w:t>30</w:t>
      </w:r>
      <w:r w:rsidRPr="009B76F6">
        <w:rPr>
          <w:lang w:eastAsia="en-AU"/>
        </w:rPr>
        <w:t xml:space="preserve"> September</w:t>
      </w:r>
      <w:r w:rsidRPr="002F2186">
        <w:rPr>
          <w:lang w:eastAsia="en-AU"/>
        </w:rPr>
        <w:t xml:space="preserve"> </w:t>
      </w:r>
      <w:r>
        <w:rPr>
          <w:lang w:eastAsia="en-AU"/>
        </w:rPr>
        <w:t>2021</w:t>
      </w:r>
      <w:r w:rsidRPr="00F96FF7">
        <w:rPr>
          <w:lang w:eastAsia="en-AU"/>
        </w:rPr>
        <w:t>.</w:t>
      </w:r>
    </w:p>
    <w:p w14:paraId="09770FD4" w14:textId="77777777" w:rsidR="005F4A7E" w:rsidRPr="002029AF" w:rsidRDefault="005F4A7E" w:rsidP="003566F1">
      <w:pPr>
        <w:pStyle w:val="ARfinbody"/>
        <w:rPr>
          <w:highlight w:val="yellow"/>
        </w:rPr>
      </w:pPr>
      <w:r w:rsidRPr="002029AF">
        <w:rPr>
          <w:highlight w:val="yellow"/>
        </w:rPr>
        <w:br w:type="page"/>
      </w:r>
    </w:p>
    <w:p w14:paraId="37A6EF63" w14:textId="1F36240C" w:rsidR="005F4A7E" w:rsidRDefault="005F4A7E" w:rsidP="00130D1C">
      <w:pPr>
        <w:pStyle w:val="Heading3"/>
      </w:pPr>
      <w:bookmarkStart w:id="744" w:name="_Toc37777538"/>
      <w:bookmarkStart w:id="745" w:name="_Toc39136687"/>
      <w:bookmarkStart w:id="746" w:name="_Toc39242131"/>
      <w:bookmarkStart w:id="747" w:name="_Toc60682329"/>
      <w:bookmarkStart w:id="748" w:name="_Toc85121357"/>
      <w:bookmarkStart w:id="749" w:name="_Toc86075631"/>
      <w:r>
        <w:rPr>
          <w:szCs w:val="28"/>
        </w:rPr>
        <w:lastRenderedPageBreak/>
        <w:t xml:space="preserve">2. </w:t>
      </w:r>
      <w:r w:rsidRPr="00A7623E">
        <w:rPr>
          <w:szCs w:val="28"/>
        </w:rPr>
        <w:t>F</w:t>
      </w:r>
      <w:bookmarkEnd w:id="744"/>
      <w:r w:rsidRPr="00A7623E">
        <w:rPr>
          <w:szCs w:val="28"/>
        </w:rPr>
        <w:t>unding delivery of our services</w:t>
      </w:r>
      <w:bookmarkEnd w:id="745"/>
      <w:bookmarkEnd w:id="746"/>
      <w:bookmarkEnd w:id="747"/>
      <w:bookmarkEnd w:id="748"/>
      <w:bookmarkEnd w:id="749"/>
    </w:p>
    <w:p w14:paraId="1A3A8BB9" w14:textId="77777777" w:rsidR="005F4A7E" w:rsidRDefault="005F4A7E" w:rsidP="00130D1C">
      <w:pPr>
        <w:pStyle w:val="Heading4"/>
      </w:pPr>
      <w:bookmarkStart w:id="750" w:name="_Toc85121358"/>
      <w:r w:rsidRPr="00A10448">
        <w:t>Introduction</w:t>
      </w:r>
      <w:bookmarkEnd w:id="750"/>
    </w:p>
    <w:p w14:paraId="530EFB1E" w14:textId="030C492B" w:rsidR="005F4A7E" w:rsidRPr="00194D78" w:rsidRDefault="005F4A7E" w:rsidP="00130D1C">
      <w:pPr>
        <w:pStyle w:val="ARfinbody"/>
      </w:pPr>
      <w:r w:rsidRPr="00194D78">
        <w:t>The department</w:t>
      </w:r>
      <w:r w:rsidR="007D145B">
        <w:t>’</w:t>
      </w:r>
      <w:r w:rsidRPr="00194D78">
        <w:t>s overall objective is to develop and deliver policies, programs and services that support and enhance the wellbeing of</w:t>
      </w:r>
      <w:r>
        <w:t xml:space="preserve"> </w:t>
      </w:r>
      <w:r w:rsidRPr="00194D78">
        <w:t>all Victorians.</w:t>
      </w:r>
    </w:p>
    <w:p w14:paraId="00C48F9C" w14:textId="2084A982" w:rsidR="005F4A7E" w:rsidRDefault="005F4A7E" w:rsidP="00130D1C">
      <w:pPr>
        <w:pStyle w:val="ARfinbody"/>
      </w:pPr>
      <w:r w:rsidRPr="00194D78">
        <w:t xml:space="preserve">To enable the department to fulfil its objective and provide outputs as described in </w:t>
      </w:r>
      <w:r>
        <w:t>s</w:t>
      </w:r>
      <w:r w:rsidRPr="00194D78">
        <w:t>ection 4</w:t>
      </w:r>
      <w:r>
        <w:t xml:space="preserve"> </w:t>
      </w:r>
      <w:r w:rsidR="007D145B">
        <w:t>‘</w:t>
      </w:r>
      <w:r>
        <w:t xml:space="preserve">Disaggregated financial </w:t>
      </w:r>
      <w:r w:rsidRPr="00F814F1">
        <w:t>information by output</w:t>
      </w:r>
      <w:r w:rsidR="007D145B">
        <w:t>’</w:t>
      </w:r>
      <w:r w:rsidRPr="00F814F1">
        <w:t>, it receives income (predominantly accrual-based parliamentary appropriations). The department also receives income from the supply of services and tenancy agreements.</w:t>
      </w:r>
    </w:p>
    <w:p w14:paraId="0FC601C2" w14:textId="77777777" w:rsidR="005F4A7E" w:rsidRDefault="005F4A7E" w:rsidP="00130D1C">
      <w:pPr>
        <w:pStyle w:val="Heading4"/>
      </w:pPr>
      <w:bookmarkStart w:id="751" w:name="_Toc85121359"/>
      <w:r>
        <w:t>Structure</w:t>
      </w:r>
      <w:bookmarkEnd w:id="751"/>
    </w:p>
    <w:p w14:paraId="3A3E17CA" w14:textId="77777777" w:rsidR="005F4A7E" w:rsidRPr="00AB5032" w:rsidRDefault="005F4A7E" w:rsidP="00130D1C">
      <w:pPr>
        <w:pStyle w:val="ARfinstructure1"/>
      </w:pPr>
      <w:r w:rsidRPr="00AB5032">
        <w:t>2.1</w:t>
      </w:r>
      <w:r w:rsidRPr="00AB5032">
        <w:tab/>
        <w:t xml:space="preserve">Summary of </w:t>
      </w:r>
      <w:r>
        <w:t xml:space="preserve">revenue and </w:t>
      </w:r>
      <w:r w:rsidRPr="00AB5032">
        <w:t>income that funds the delivery of our services</w:t>
      </w:r>
    </w:p>
    <w:p w14:paraId="7B237B15" w14:textId="77777777" w:rsidR="005F4A7E" w:rsidRPr="00AB5032" w:rsidRDefault="005F4A7E" w:rsidP="00130D1C">
      <w:pPr>
        <w:pStyle w:val="ARfinstructure1"/>
      </w:pPr>
      <w:r w:rsidRPr="00AB5032">
        <w:t>2.2</w:t>
      </w:r>
      <w:r w:rsidRPr="00AB5032">
        <w:tab/>
        <w:t>Appropriations</w:t>
      </w:r>
    </w:p>
    <w:p w14:paraId="1B35BCEF" w14:textId="77777777" w:rsidR="005F4A7E" w:rsidRPr="00AB5032" w:rsidRDefault="005F4A7E" w:rsidP="00130D1C">
      <w:pPr>
        <w:pStyle w:val="ARfinstructure1"/>
      </w:pPr>
      <w:r w:rsidRPr="00AB5032">
        <w:t>2.3</w:t>
      </w:r>
      <w:r w:rsidRPr="00AB5032">
        <w:tab/>
        <w:t>Summary of compliance with annual parliamentary and special appropriations</w:t>
      </w:r>
    </w:p>
    <w:p w14:paraId="779DCA4D" w14:textId="77777777" w:rsidR="005F4A7E" w:rsidRPr="00AB5032" w:rsidRDefault="005F4A7E" w:rsidP="00130D1C">
      <w:pPr>
        <w:pStyle w:val="ARfinstructure1"/>
      </w:pPr>
      <w:r w:rsidRPr="00AB5032">
        <w:t>2.4</w:t>
      </w:r>
      <w:r w:rsidRPr="00AB5032">
        <w:tab/>
      </w:r>
      <w:r>
        <w:t>Revenue and i</w:t>
      </w:r>
      <w:r w:rsidRPr="00AB5032">
        <w:t>ncome from transactions</w:t>
      </w:r>
    </w:p>
    <w:p w14:paraId="7B66F5FD" w14:textId="77777777" w:rsidR="005F4A7E" w:rsidRPr="00AB5032" w:rsidRDefault="005F4A7E" w:rsidP="00130D1C">
      <w:pPr>
        <w:pStyle w:val="ARfinstructure2"/>
      </w:pPr>
      <w:r w:rsidRPr="00AB5032">
        <w:t>2.4.1</w:t>
      </w:r>
      <w:r w:rsidRPr="00AB5032">
        <w:tab/>
        <w:t>Interest income</w:t>
      </w:r>
    </w:p>
    <w:p w14:paraId="37F7DB3A" w14:textId="77777777" w:rsidR="005F4A7E" w:rsidRPr="00AB5032" w:rsidRDefault="005F4A7E" w:rsidP="00130D1C">
      <w:pPr>
        <w:pStyle w:val="ARfinstructure2"/>
      </w:pPr>
      <w:r w:rsidRPr="00AB5032">
        <w:t>2.4.2</w:t>
      </w:r>
      <w:r w:rsidRPr="00AB5032">
        <w:tab/>
        <w:t>Rental income and income from services</w:t>
      </w:r>
    </w:p>
    <w:p w14:paraId="3AA224B3" w14:textId="77777777" w:rsidR="005F4A7E" w:rsidRPr="00AB5032" w:rsidRDefault="005F4A7E" w:rsidP="00130D1C">
      <w:pPr>
        <w:pStyle w:val="ARfinstructure2"/>
      </w:pPr>
      <w:r w:rsidRPr="00AB5032">
        <w:t>2.4.3</w:t>
      </w:r>
      <w:r w:rsidRPr="00AB5032">
        <w:tab/>
        <w:t>Grants</w:t>
      </w:r>
    </w:p>
    <w:p w14:paraId="7966BEB1" w14:textId="77777777" w:rsidR="005F4A7E" w:rsidRPr="00AB5032" w:rsidRDefault="005F4A7E" w:rsidP="00130D1C">
      <w:pPr>
        <w:pStyle w:val="ARfinstructure2"/>
      </w:pPr>
      <w:r w:rsidRPr="00AB5032">
        <w:t>2.4.4</w:t>
      </w:r>
      <w:r w:rsidRPr="00AB5032">
        <w:tab/>
        <w:t>Fair value of assets and services received free of charge or for nominal consideration</w:t>
      </w:r>
    </w:p>
    <w:p w14:paraId="75AE7A11" w14:textId="77777777" w:rsidR="005F4A7E" w:rsidRPr="00AB5032" w:rsidRDefault="005F4A7E" w:rsidP="00130D1C">
      <w:pPr>
        <w:pStyle w:val="ARfinstructure2"/>
      </w:pPr>
      <w:r w:rsidRPr="00AB5032">
        <w:t>2.4.5</w:t>
      </w:r>
      <w:r w:rsidRPr="00AB5032">
        <w:tab/>
        <w:t>Other income</w:t>
      </w:r>
    </w:p>
    <w:p w14:paraId="418DE26D" w14:textId="77777777" w:rsidR="005F4A7E" w:rsidRDefault="005F4A7E" w:rsidP="00130D1C">
      <w:pPr>
        <w:pStyle w:val="ARfinstructure1"/>
        <w:rPr>
          <w:b/>
          <w:bCs/>
        </w:rPr>
      </w:pPr>
      <w:r w:rsidRPr="00AB5032">
        <w:t>2.5</w:t>
      </w:r>
      <w:r w:rsidRPr="00AB5032">
        <w:tab/>
        <w:t>Annotated income agreements</w:t>
      </w:r>
    </w:p>
    <w:p w14:paraId="7B343A00" w14:textId="77777777" w:rsidR="005F4A7E" w:rsidRPr="00FB6946" w:rsidRDefault="005F4A7E" w:rsidP="00130D1C">
      <w:pPr>
        <w:pStyle w:val="Heading5"/>
      </w:pPr>
      <w:bookmarkStart w:id="752" w:name="_Toc85121360"/>
      <w:r w:rsidRPr="00FB6946">
        <w:t>Impact of COVID-19 on revenue and income</w:t>
      </w:r>
      <w:bookmarkEnd w:id="752"/>
    </w:p>
    <w:p w14:paraId="1DA1FA01" w14:textId="77777777" w:rsidR="005F4A7E" w:rsidRDefault="005F4A7E" w:rsidP="00130D1C">
      <w:pPr>
        <w:pStyle w:val="ARfinbody"/>
      </w:pPr>
      <w:r w:rsidRPr="00FB6946">
        <w:rPr>
          <w:rFonts w:cs="Arial"/>
        </w:rPr>
        <w:t xml:space="preserve">The department has received additional funding from the Victorian and Commonwealth Governments to meet </w:t>
      </w:r>
      <w:r>
        <w:rPr>
          <w:rFonts w:cs="Arial"/>
        </w:rPr>
        <w:br/>
      </w:r>
      <w:r w:rsidRPr="00FB6946">
        <w:rPr>
          <w:rFonts w:cs="Arial"/>
        </w:rPr>
        <w:t>COVID-19-related costs and to provide additional funding to the health agencies and other organisations to assist with their COVID-19 response.</w:t>
      </w:r>
      <w:r w:rsidRPr="00FB6946">
        <w:t xml:space="preserve"> </w:t>
      </w:r>
      <w:r w:rsidRPr="00FB6946">
        <w:rPr>
          <w:rFonts w:cs="Arial"/>
        </w:rPr>
        <w:t xml:space="preserve">Rental income earned </w:t>
      </w:r>
      <w:r>
        <w:rPr>
          <w:rFonts w:cs="Arial"/>
        </w:rPr>
        <w:t xml:space="preserve">in respect of the Housing Assistance output (Note 4.1.2) </w:t>
      </w:r>
      <w:r w:rsidRPr="00FB6946">
        <w:rPr>
          <w:rFonts w:cs="Arial"/>
        </w:rPr>
        <w:t xml:space="preserve">has been impacted by the </w:t>
      </w:r>
      <w:bookmarkStart w:id="753" w:name="_Hlk82094337"/>
      <w:r w:rsidRPr="00FB6946">
        <w:rPr>
          <w:rFonts w:cs="Arial"/>
        </w:rPr>
        <w:t xml:space="preserve">COVID-19 pandemic </w:t>
      </w:r>
      <w:bookmarkEnd w:id="753"/>
      <w:r w:rsidRPr="00FB6946">
        <w:rPr>
          <w:rFonts w:cs="Arial"/>
        </w:rPr>
        <w:t>as rent reviews were deferred and rent subsidies were provided to tenants affected by the lockdowns of public housing towers</w:t>
      </w:r>
      <w:r>
        <w:rPr>
          <w:rFonts w:cs="Arial"/>
        </w:rPr>
        <w:t>.</w:t>
      </w:r>
    </w:p>
    <w:p w14:paraId="6A00B055" w14:textId="77777777" w:rsidR="005F4A7E" w:rsidRPr="00FF78A0" w:rsidRDefault="005F4A7E" w:rsidP="00130D1C">
      <w:pPr>
        <w:pStyle w:val="Heading4"/>
      </w:pPr>
      <w:bookmarkStart w:id="754" w:name="_Toc39136688"/>
      <w:bookmarkStart w:id="755" w:name="_Toc39242132"/>
      <w:bookmarkStart w:id="756" w:name="_Toc85121361"/>
      <w:r>
        <w:t xml:space="preserve">2.1 Summary of revenue and income that fund the delivery of our </w:t>
      </w:r>
      <w:r w:rsidRPr="004F04FF">
        <w:t>services</w:t>
      </w:r>
      <w:bookmarkEnd w:id="754"/>
      <w:bookmarkEnd w:id="755"/>
      <w:r w:rsidRPr="004F04FF">
        <w:t xml:space="preserve"> </w:t>
      </w:r>
      <w:r w:rsidRPr="003641F2">
        <w:rPr>
          <w:rStyle w:val="Superscript"/>
        </w:rPr>
        <w:t>(i)</w:t>
      </w:r>
      <w:bookmarkEnd w:id="756"/>
    </w:p>
    <w:tbl>
      <w:tblPr>
        <w:tblStyle w:val="TableGrid"/>
        <w:tblW w:w="9637" w:type="dxa"/>
        <w:tblLayout w:type="fixed"/>
        <w:tblLook w:val="06A0" w:firstRow="1" w:lastRow="0" w:firstColumn="1" w:lastColumn="0" w:noHBand="1" w:noVBand="1"/>
      </w:tblPr>
      <w:tblGrid>
        <w:gridCol w:w="6518"/>
        <w:gridCol w:w="851"/>
        <w:gridCol w:w="1134"/>
        <w:gridCol w:w="1134"/>
      </w:tblGrid>
      <w:tr w:rsidR="005F4A7E" w:rsidRPr="002029AF" w14:paraId="3332266E"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6518" w:type="dxa"/>
            <w:tcBorders>
              <w:bottom w:val="single" w:sz="4" w:space="0" w:color="auto"/>
            </w:tcBorders>
            <w:noWrap/>
            <w:hideMark/>
          </w:tcPr>
          <w:p w14:paraId="3779A105" w14:textId="77777777" w:rsidR="005F4A7E" w:rsidRPr="002029AF" w:rsidRDefault="005F4A7E" w:rsidP="00860E95">
            <w:pPr>
              <w:pStyle w:val="ARfintablecolhead"/>
            </w:pPr>
          </w:p>
        </w:tc>
        <w:tc>
          <w:tcPr>
            <w:tcW w:w="851" w:type="dxa"/>
            <w:tcBorders>
              <w:bottom w:val="single" w:sz="4" w:space="0" w:color="auto"/>
            </w:tcBorders>
            <w:noWrap/>
            <w:hideMark/>
          </w:tcPr>
          <w:p w14:paraId="5023051F" w14:textId="77777777" w:rsidR="005F4A7E" w:rsidRPr="002029AF" w:rsidRDefault="005F4A7E" w:rsidP="00860E95">
            <w:pPr>
              <w:pStyle w:val="ARfintablecolheadright"/>
            </w:pPr>
            <w:r w:rsidRPr="002029AF">
              <w:t>Note</w:t>
            </w:r>
          </w:p>
        </w:tc>
        <w:tc>
          <w:tcPr>
            <w:tcW w:w="1134" w:type="dxa"/>
            <w:tcBorders>
              <w:bottom w:val="single" w:sz="4" w:space="0" w:color="auto"/>
            </w:tcBorders>
            <w:shd w:val="clear" w:color="auto" w:fill="E7E6E6"/>
            <w:hideMark/>
          </w:tcPr>
          <w:p w14:paraId="6A885AF7" w14:textId="77777777" w:rsidR="005F4A7E" w:rsidRPr="002029AF" w:rsidRDefault="005F4A7E" w:rsidP="00860E95">
            <w:pPr>
              <w:pStyle w:val="ARfintablecolheadright"/>
            </w:pPr>
            <w:r>
              <w:t>2021</w:t>
            </w:r>
          </w:p>
          <w:p w14:paraId="0C16945E" w14:textId="77777777" w:rsidR="005F4A7E" w:rsidRPr="002029AF" w:rsidRDefault="005F4A7E" w:rsidP="00860E95">
            <w:pPr>
              <w:pStyle w:val="ARfintablecolheadright"/>
            </w:pPr>
            <w:r w:rsidRPr="002029AF">
              <w:t>$M</w:t>
            </w:r>
          </w:p>
        </w:tc>
        <w:tc>
          <w:tcPr>
            <w:tcW w:w="1134" w:type="dxa"/>
            <w:tcBorders>
              <w:bottom w:val="single" w:sz="4" w:space="0" w:color="auto"/>
            </w:tcBorders>
            <w:hideMark/>
          </w:tcPr>
          <w:p w14:paraId="59469D6F" w14:textId="77777777" w:rsidR="005F4A7E" w:rsidRPr="002029AF" w:rsidRDefault="005F4A7E" w:rsidP="00860E95">
            <w:pPr>
              <w:pStyle w:val="ARfintablecolheadright"/>
            </w:pPr>
            <w:r>
              <w:t>2020</w:t>
            </w:r>
          </w:p>
          <w:p w14:paraId="05128983" w14:textId="77777777" w:rsidR="005F4A7E" w:rsidRPr="002029AF" w:rsidRDefault="005F4A7E" w:rsidP="00860E95">
            <w:pPr>
              <w:pStyle w:val="ARfintablecolheadright"/>
            </w:pPr>
            <w:r w:rsidRPr="002029AF">
              <w:t>$M</w:t>
            </w:r>
          </w:p>
        </w:tc>
      </w:tr>
      <w:tr w:rsidR="005F4A7E" w:rsidRPr="002029AF" w14:paraId="4059B24E" w14:textId="77777777" w:rsidTr="00130D1C">
        <w:tc>
          <w:tcPr>
            <w:tcW w:w="6518" w:type="dxa"/>
            <w:tcBorders>
              <w:top w:val="single" w:sz="4" w:space="0" w:color="auto"/>
              <w:bottom w:val="single" w:sz="4" w:space="0" w:color="A6A6A6"/>
            </w:tcBorders>
            <w:hideMark/>
          </w:tcPr>
          <w:p w14:paraId="25F91A83" w14:textId="77777777" w:rsidR="005F4A7E" w:rsidRPr="002029AF" w:rsidRDefault="005F4A7E" w:rsidP="00130D1C">
            <w:pPr>
              <w:pStyle w:val="ARfintablebody"/>
            </w:pPr>
            <w:r w:rsidRPr="00FB4C7B">
              <w:t>Output appropriations</w:t>
            </w:r>
          </w:p>
        </w:tc>
        <w:tc>
          <w:tcPr>
            <w:tcW w:w="851" w:type="dxa"/>
            <w:tcBorders>
              <w:top w:val="single" w:sz="4" w:space="0" w:color="auto"/>
              <w:bottom w:val="single" w:sz="4" w:space="0" w:color="A6A6A6"/>
            </w:tcBorders>
            <w:noWrap/>
            <w:hideMark/>
          </w:tcPr>
          <w:p w14:paraId="607AD12E" w14:textId="77777777" w:rsidR="005F4A7E" w:rsidRPr="002029AF" w:rsidRDefault="005F4A7E" w:rsidP="00130D1C">
            <w:pPr>
              <w:pStyle w:val="ARfintablebodyright"/>
            </w:pPr>
            <w:r w:rsidRPr="00FB4C7B">
              <w:t>2.2, 2.3</w:t>
            </w:r>
          </w:p>
        </w:tc>
        <w:tc>
          <w:tcPr>
            <w:tcW w:w="1134" w:type="dxa"/>
            <w:tcBorders>
              <w:top w:val="single" w:sz="4" w:space="0" w:color="auto"/>
              <w:bottom w:val="single" w:sz="4" w:space="0" w:color="A6A6A6"/>
            </w:tcBorders>
            <w:shd w:val="clear" w:color="auto" w:fill="E7E6E6"/>
            <w:noWrap/>
            <w:hideMark/>
          </w:tcPr>
          <w:p w14:paraId="62B7B763" w14:textId="77777777" w:rsidR="005F4A7E" w:rsidRPr="002029AF" w:rsidRDefault="005F4A7E" w:rsidP="00130D1C">
            <w:pPr>
              <w:pStyle w:val="ARfintablebodyright"/>
            </w:pPr>
            <w:r w:rsidRPr="00FB4C7B">
              <w:t>21,551.4</w:t>
            </w:r>
          </w:p>
        </w:tc>
        <w:tc>
          <w:tcPr>
            <w:tcW w:w="1134" w:type="dxa"/>
            <w:tcBorders>
              <w:top w:val="single" w:sz="4" w:space="0" w:color="auto"/>
              <w:bottom w:val="single" w:sz="4" w:space="0" w:color="A6A6A6"/>
            </w:tcBorders>
            <w:noWrap/>
            <w:hideMark/>
          </w:tcPr>
          <w:p w14:paraId="3D033D76" w14:textId="77777777" w:rsidR="005F4A7E" w:rsidRPr="002029AF" w:rsidRDefault="005F4A7E" w:rsidP="00130D1C">
            <w:pPr>
              <w:pStyle w:val="ARfintablebodyright"/>
            </w:pPr>
            <w:r w:rsidRPr="00FB4C7B">
              <w:t>17,600.0</w:t>
            </w:r>
          </w:p>
        </w:tc>
      </w:tr>
      <w:tr w:rsidR="005F4A7E" w:rsidRPr="002029AF" w14:paraId="501E7CD2" w14:textId="77777777" w:rsidTr="00130D1C">
        <w:tc>
          <w:tcPr>
            <w:tcW w:w="6518" w:type="dxa"/>
            <w:tcBorders>
              <w:top w:val="single" w:sz="4" w:space="0" w:color="A6A6A6"/>
              <w:bottom w:val="single" w:sz="4" w:space="0" w:color="A6A6A6"/>
            </w:tcBorders>
            <w:hideMark/>
          </w:tcPr>
          <w:p w14:paraId="4C1A3D64" w14:textId="77777777" w:rsidR="005F4A7E" w:rsidRPr="002029AF" w:rsidRDefault="005F4A7E" w:rsidP="00130D1C">
            <w:pPr>
              <w:pStyle w:val="ARfintablebody"/>
            </w:pPr>
            <w:r w:rsidRPr="00FB4C7B">
              <w:t>Special appropriations</w:t>
            </w:r>
          </w:p>
        </w:tc>
        <w:tc>
          <w:tcPr>
            <w:tcW w:w="851" w:type="dxa"/>
            <w:tcBorders>
              <w:top w:val="single" w:sz="4" w:space="0" w:color="A6A6A6"/>
              <w:bottom w:val="single" w:sz="4" w:space="0" w:color="A6A6A6"/>
            </w:tcBorders>
            <w:noWrap/>
            <w:hideMark/>
          </w:tcPr>
          <w:p w14:paraId="25B2041D" w14:textId="77777777" w:rsidR="005F4A7E" w:rsidRPr="002029AF" w:rsidRDefault="005F4A7E" w:rsidP="00130D1C">
            <w:pPr>
              <w:pStyle w:val="ARfintablebodyright"/>
            </w:pPr>
            <w:r w:rsidRPr="00FB4C7B">
              <w:t>2.2, 2.3</w:t>
            </w:r>
          </w:p>
        </w:tc>
        <w:tc>
          <w:tcPr>
            <w:tcW w:w="1134" w:type="dxa"/>
            <w:tcBorders>
              <w:top w:val="single" w:sz="4" w:space="0" w:color="A6A6A6"/>
              <w:bottom w:val="single" w:sz="4" w:space="0" w:color="A6A6A6"/>
            </w:tcBorders>
            <w:shd w:val="clear" w:color="auto" w:fill="E7E6E6"/>
            <w:noWrap/>
            <w:hideMark/>
          </w:tcPr>
          <w:p w14:paraId="39549DC2" w14:textId="77777777" w:rsidR="005F4A7E" w:rsidRPr="002029AF" w:rsidRDefault="005F4A7E" w:rsidP="00130D1C">
            <w:pPr>
              <w:pStyle w:val="ARfintablebodyright"/>
            </w:pPr>
            <w:r w:rsidRPr="00FB4C7B">
              <w:t>1,098.9</w:t>
            </w:r>
          </w:p>
        </w:tc>
        <w:tc>
          <w:tcPr>
            <w:tcW w:w="1134" w:type="dxa"/>
            <w:tcBorders>
              <w:top w:val="single" w:sz="4" w:space="0" w:color="A6A6A6"/>
              <w:bottom w:val="single" w:sz="4" w:space="0" w:color="A6A6A6"/>
            </w:tcBorders>
            <w:noWrap/>
            <w:hideMark/>
          </w:tcPr>
          <w:p w14:paraId="7E34F16A" w14:textId="77777777" w:rsidR="005F4A7E" w:rsidRPr="002029AF" w:rsidRDefault="005F4A7E" w:rsidP="00130D1C">
            <w:pPr>
              <w:pStyle w:val="ARfintablebodyright"/>
            </w:pPr>
            <w:r w:rsidRPr="00FB4C7B">
              <w:t>1,371.9</w:t>
            </w:r>
          </w:p>
        </w:tc>
      </w:tr>
      <w:tr w:rsidR="005F4A7E" w:rsidRPr="002029AF" w14:paraId="127353BC" w14:textId="77777777" w:rsidTr="00130D1C">
        <w:tc>
          <w:tcPr>
            <w:tcW w:w="6518" w:type="dxa"/>
            <w:tcBorders>
              <w:top w:val="single" w:sz="4" w:space="0" w:color="A6A6A6"/>
              <w:bottom w:val="single" w:sz="4" w:space="0" w:color="A6A6A6"/>
            </w:tcBorders>
            <w:hideMark/>
          </w:tcPr>
          <w:p w14:paraId="3CA7744F" w14:textId="77777777" w:rsidR="005F4A7E" w:rsidRPr="002029AF" w:rsidRDefault="005F4A7E" w:rsidP="00130D1C">
            <w:pPr>
              <w:pStyle w:val="ARfintablebody"/>
            </w:pPr>
            <w:r w:rsidRPr="00FB4C7B">
              <w:t>Interest income</w:t>
            </w:r>
          </w:p>
        </w:tc>
        <w:tc>
          <w:tcPr>
            <w:tcW w:w="851" w:type="dxa"/>
            <w:tcBorders>
              <w:top w:val="single" w:sz="4" w:space="0" w:color="A6A6A6"/>
              <w:bottom w:val="single" w:sz="4" w:space="0" w:color="A6A6A6"/>
            </w:tcBorders>
            <w:noWrap/>
            <w:hideMark/>
          </w:tcPr>
          <w:p w14:paraId="7F25C360" w14:textId="77777777" w:rsidR="005F4A7E" w:rsidRPr="002029AF" w:rsidRDefault="005F4A7E" w:rsidP="00130D1C">
            <w:pPr>
              <w:pStyle w:val="ARfintablebodyright"/>
            </w:pPr>
            <w:r w:rsidRPr="00FB4C7B">
              <w:t>2.4.1</w:t>
            </w:r>
          </w:p>
        </w:tc>
        <w:tc>
          <w:tcPr>
            <w:tcW w:w="1134" w:type="dxa"/>
            <w:tcBorders>
              <w:top w:val="single" w:sz="4" w:space="0" w:color="A6A6A6"/>
              <w:bottom w:val="single" w:sz="4" w:space="0" w:color="A6A6A6"/>
            </w:tcBorders>
            <w:shd w:val="clear" w:color="auto" w:fill="E7E6E6"/>
            <w:noWrap/>
            <w:hideMark/>
          </w:tcPr>
          <w:p w14:paraId="66C5416B" w14:textId="77777777" w:rsidR="005F4A7E" w:rsidRPr="002029AF" w:rsidRDefault="005F4A7E" w:rsidP="00130D1C">
            <w:pPr>
              <w:pStyle w:val="ARfintablebodyright"/>
            </w:pPr>
            <w:r w:rsidRPr="00FB4C7B">
              <w:t>2.5</w:t>
            </w:r>
          </w:p>
        </w:tc>
        <w:tc>
          <w:tcPr>
            <w:tcW w:w="1134" w:type="dxa"/>
            <w:tcBorders>
              <w:top w:val="single" w:sz="4" w:space="0" w:color="A6A6A6"/>
              <w:bottom w:val="single" w:sz="4" w:space="0" w:color="A6A6A6"/>
            </w:tcBorders>
            <w:noWrap/>
            <w:hideMark/>
          </w:tcPr>
          <w:p w14:paraId="386B9657" w14:textId="77777777" w:rsidR="005F4A7E" w:rsidRPr="002029AF" w:rsidRDefault="005F4A7E" w:rsidP="00130D1C">
            <w:pPr>
              <w:pStyle w:val="ARfintablebodyright"/>
            </w:pPr>
            <w:r w:rsidRPr="00FB4C7B">
              <w:t>6.9</w:t>
            </w:r>
          </w:p>
        </w:tc>
      </w:tr>
      <w:tr w:rsidR="005F4A7E" w:rsidRPr="002029AF" w14:paraId="76ABE372" w14:textId="77777777" w:rsidTr="00130D1C">
        <w:tc>
          <w:tcPr>
            <w:tcW w:w="6518" w:type="dxa"/>
            <w:tcBorders>
              <w:top w:val="single" w:sz="4" w:space="0" w:color="A6A6A6"/>
              <w:bottom w:val="single" w:sz="4" w:space="0" w:color="A6A6A6"/>
            </w:tcBorders>
            <w:hideMark/>
          </w:tcPr>
          <w:p w14:paraId="6D601BC0" w14:textId="77777777" w:rsidR="005F4A7E" w:rsidRPr="002029AF" w:rsidRDefault="005F4A7E" w:rsidP="00130D1C">
            <w:pPr>
              <w:pStyle w:val="ARfintablebody"/>
            </w:pPr>
            <w:r w:rsidRPr="00FB4C7B">
              <w:t>Rental income and income from services</w:t>
            </w:r>
          </w:p>
        </w:tc>
        <w:tc>
          <w:tcPr>
            <w:tcW w:w="851" w:type="dxa"/>
            <w:tcBorders>
              <w:top w:val="single" w:sz="4" w:space="0" w:color="A6A6A6"/>
              <w:bottom w:val="single" w:sz="4" w:space="0" w:color="A6A6A6"/>
            </w:tcBorders>
            <w:noWrap/>
            <w:hideMark/>
          </w:tcPr>
          <w:p w14:paraId="1B158765" w14:textId="77777777" w:rsidR="005F4A7E" w:rsidRPr="002029AF" w:rsidRDefault="005F4A7E" w:rsidP="00130D1C">
            <w:pPr>
              <w:pStyle w:val="ARfintablebodyright"/>
            </w:pPr>
            <w:r w:rsidRPr="00FB4C7B">
              <w:t>2.4.2</w:t>
            </w:r>
          </w:p>
        </w:tc>
        <w:tc>
          <w:tcPr>
            <w:tcW w:w="1134" w:type="dxa"/>
            <w:tcBorders>
              <w:top w:val="single" w:sz="4" w:space="0" w:color="A6A6A6"/>
              <w:bottom w:val="single" w:sz="4" w:space="0" w:color="A6A6A6"/>
            </w:tcBorders>
            <w:shd w:val="clear" w:color="auto" w:fill="E7E6E6"/>
            <w:noWrap/>
            <w:hideMark/>
          </w:tcPr>
          <w:p w14:paraId="23F7DDDF" w14:textId="77777777" w:rsidR="005F4A7E" w:rsidRPr="002029AF" w:rsidRDefault="005F4A7E" w:rsidP="00130D1C">
            <w:pPr>
              <w:pStyle w:val="ARfintablebodyright"/>
            </w:pPr>
            <w:r w:rsidRPr="00FB4C7B">
              <w:t>477.5</w:t>
            </w:r>
          </w:p>
        </w:tc>
        <w:tc>
          <w:tcPr>
            <w:tcW w:w="1134" w:type="dxa"/>
            <w:tcBorders>
              <w:top w:val="single" w:sz="4" w:space="0" w:color="A6A6A6"/>
              <w:bottom w:val="single" w:sz="4" w:space="0" w:color="A6A6A6"/>
            </w:tcBorders>
            <w:noWrap/>
            <w:hideMark/>
          </w:tcPr>
          <w:p w14:paraId="770785FB" w14:textId="77777777" w:rsidR="005F4A7E" w:rsidRPr="002029AF" w:rsidRDefault="005F4A7E" w:rsidP="00130D1C">
            <w:pPr>
              <w:pStyle w:val="ARfintablebodyright"/>
            </w:pPr>
            <w:r w:rsidRPr="00FB4C7B">
              <w:t>501.1</w:t>
            </w:r>
          </w:p>
        </w:tc>
      </w:tr>
      <w:tr w:rsidR="005F4A7E" w:rsidRPr="002029AF" w14:paraId="677D59E3" w14:textId="77777777" w:rsidTr="00130D1C">
        <w:tc>
          <w:tcPr>
            <w:tcW w:w="6518" w:type="dxa"/>
            <w:tcBorders>
              <w:top w:val="single" w:sz="4" w:space="0" w:color="A6A6A6"/>
              <w:bottom w:val="single" w:sz="4" w:space="0" w:color="A6A6A6"/>
            </w:tcBorders>
            <w:hideMark/>
          </w:tcPr>
          <w:p w14:paraId="3B417098" w14:textId="77777777" w:rsidR="005F4A7E" w:rsidRPr="002029AF" w:rsidRDefault="005F4A7E" w:rsidP="00130D1C">
            <w:pPr>
              <w:pStyle w:val="ARfintablebody"/>
            </w:pPr>
            <w:r w:rsidRPr="00FB4C7B">
              <w:t>Grants</w:t>
            </w:r>
          </w:p>
        </w:tc>
        <w:tc>
          <w:tcPr>
            <w:tcW w:w="851" w:type="dxa"/>
            <w:tcBorders>
              <w:top w:val="single" w:sz="4" w:space="0" w:color="A6A6A6"/>
              <w:bottom w:val="single" w:sz="4" w:space="0" w:color="A6A6A6"/>
            </w:tcBorders>
            <w:noWrap/>
            <w:hideMark/>
          </w:tcPr>
          <w:p w14:paraId="58894B83" w14:textId="77777777" w:rsidR="005F4A7E" w:rsidRPr="002029AF" w:rsidRDefault="005F4A7E" w:rsidP="00130D1C">
            <w:pPr>
              <w:pStyle w:val="ARfintablebodyright"/>
            </w:pPr>
            <w:r w:rsidRPr="00FB4C7B">
              <w:t>2.4.3</w:t>
            </w:r>
          </w:p>
        </w:tc>
        <w:tc>
          <w:tcPr>
            <w:tcW w:w="1134" w:type="dxa"/>
            <w:tcBorders>
              <w:top w:val="single" w:sz="4" w:space="0" w:color="A6A6A6"/>
              <w:bottom w:val="single" w:sz="4" w:space="0" w:color="A6A6A6"/>
            </w:tcBorders>
            <w:shd w:val="clear" w:color="auto" w:fill="E7E6E6"/>
            <w:noWrap/>
            <w:hideMark/>
          </w:tcPr>
          <w:p w14:paraId="2622C7B1" w14:textId="77777777" w:rsidR="005F4A7E" w:rsidRPr="002029AF" w:rsidRDefault="005F4A7E" w:rsidP="00130D1C">
            <w:pPr>
              <w:pStyle w:val="ARfintablebodyright"/>
            </w:pPr>
            <w:r w:rsidRPr="00FB4C7B">
              <w:t>2,549.2</w:t>
            </w:r>
          </w:p>
        </w:tc>
        <w:tc>
          <w:tcPr>
            <w:tcW w:w="1134" w:type="dxa"/>
            <w:tcBorders>
              <w:top w:val="single" w:sz="4" w:space="0" w:color="A6A6A6"/>
              <w:bottom w:val="single" w:sz="4" w:space="0" w:color="A6A6A6"/>
            </w:tcBorders>
            <w:noWrap/>
            <w:hideMark/>
          </w:tcPr>
          <w:p w14:paraId="1F53A8BF" w14:textId="77777777" w:rsidR="005F4A7E" w:rsidRPr="002029AF" w:rsidRDefault="005F4A7E" w:rsidP="00130D1C">
            <w:pPr>
              <w:pStyle w:val="ARfintablebodyright"/>
            </w:pPr>
            <w:r w:rsidRPr="00FB4C7B">
              <w:t>2,514.0</w:t>
            </w:r>
          </w:p>
        </w:tc>
      </w:tr>
      <w:tr w:rsidR="005F4A7E" w:rsidRPr="002029AF" w14:paraId="6D27F9D1" w14:textId="77777777" w:rsidTr="00130D1C">
        <w:tc>
          <w:tcPr>
            <w:tcW w:w="6518" w:type="dxa"/>
            <w:tcBorders>
              <w:top w:val="single" w:sz="4" w:space="0" w:color="A6A6A6"/>
              <w:bottom w:val="single" w:sz="4" w:space="0" w:color="A6A6A6"/>
            </w:tcBorders>
            <w:hideMark/>
          </w:tcPr>
          <w:p w14:paraId="4EEE43A3" w14:textId="77777777" w:rsidR="005F4A7E" w:rsidRPr="002029AF" w:rsidRDefault="005F4A7E" w:rsidP="00130D1C">
            <w:pPr>
              <w:pStyle w:val="ARfintablebody"/>
            </w:pPr>
            <w:r w:rsidRPr="00FB4C7B">
              <w:t xml:space="preserve">Fair value of assets and services received free of charge </w:t>
            </w:r>
            <w:r>
              <w:br/>
            </w:r>
            <w:r w:rsidRPr="00FB4C7B">
              <w:t>or for nominal</w:t>
            </w:r>
            <w:r>
              <w:t> </w:t>
            </w:r>
            <w:r w:rsidRPr="00FB4C7B">
              <w:t>consideration</w:t>
            </w:r>
          </w:p>
        </w:tc>
        <w:tc>
          <w:tcPr>
            <w:tcW w:w="851" w:type="dxa"/>
            <w:tcBorders>
              <w:top w:val="single" w:sz="4" w:space="0" w:color="A6A6A6"/>
              <w:bottom w:val="single" w:sz="4" w:space="0" w:color="A6A6A6"/>
            </w:tcBorders>
            <w:noWrap/>
            <w:hideMark/>
          </w:tcPr>
          <w:p w14:paraId="25A5ACD1" w14:textId="77777777" w:rsidR="005F4A7E" w:rsidRPr="002029AF" w:rsidRDefault="005F4A7E" w:rsidP="00130D1C">
            <w:pPr>
              <w:pStyle w:val="ARfintablebodyright"/>
            </w:pPr>
            <w:r w:rsidRPr="00FB4C7B">
              <w:t>2.4.4</w:t>
            </w:r>
          </w:p>
        </w:tc>
        <w:tc>
          <w:tcPr>
            <w:tcW w:w="1134" w:type="dxa"/>
            <w:tcBorders>
              <w:top w:val="single" w:sz="4" w:space="0" w:color="A6A6A6"/>
              <w:bottom w:val="single" w:sz="4" w:space="0" w:color="A6A6A6"/>
            </w:tcBorders>
            <w:shd w:val="clear" w:color="auto" w:fill="E7E6E6"/>
            <w:noWrap/>
            <w:hideMark/>
          </w:tcPr>
          <w:p w14:paraId="5FE39747" w14:textId="77777777" w:rsidR="005F4A7E" w:rsidRPr="002029AF" w:rsidRDefault="005F4A7E" w:rsidP="00130D1C">
            <w:pPr>
              <w:pStyle w:val="ARfintablebodyright"/>
            </w:pPr>
            <w:r w:rsidRPr="00FB4C7B">
              <w:t>0.6</w:t>
            </w:r>
          </w:p>
        </w:tc>
        <w:tc>
          <w:tcPr>
            <w:tcW w:w="1134" w:type="dxa"/>
            <w:tcBorders>
              <w:top w:val="single" w:sz="4" w:space="0" w:color="A6A6A6"/>
              <w:bottom w:val="single" w:sz="4" w:space="0" w:color="A6A6A6"/>
            </w:tcBorders>
            <w:noWrap/>
            <w:hideMark/>
          </w:tcPr>
          <w:p w14:paraId="392F7854" w14:textId="77777777" w:rsidR="005F4A7E" w:rsidRPr="002029AF" w:rsidRDefault="005F4A7E" w:rsidP="00130D1C">
            <w:pPr>
              <w:pStyle w:val="ARfintablebodyright"/>
            </w:pPr>
            <w:r w:rsidRPr="00FB4C7B">
              <w:t>3.6</w:t>
            </w:r>
          </w:p>
        </w:tc>
      </w:tr>
      <w:tr w:rsidR="005F4A7E" w:rsidRPr="002029AF" w14:paraId="3CE9D167" w14:textId="77777777" w:rsidTr="00130D1C">
        <w:tc>
          <w:tcPr>
            <w:tcW w:w="6518" w:type="dxa"/>
            <w:tcBorders>
              <w:top w:val="single" w:sz="4" w:space="0" w:color="A6A6A6"/>
            </w:tcBorders>
            <w:hideMark/>
          </w:tcPr>
          <w:p w14:paraId="31A7B5D2" w14:textId="77777777" w:rsidR="005F4A7E" w:rsidRPr="002029AF" w:rsidRDefault="005F4A7E" w:rsidP="00130D1C">
            <w:pPr>
              <w:pStyle w:val="ARfintablebody"/>
            </w:pPr>
            <w:r w:rsidRPr="00FB4C7B">
              <w:t>Other income</w:t>
            </w:r>
          </w:p>
        </w:tc>
        <w:tc>
          <w:tcPr>
            <w:tcW w:w="851" w:type="dxa"/>
            <w:tcBorders>
              <w:top w:val="single" w:sz="4" w:space="0" w:color="A6A6A6"/>
            </w:tcBorders>
            <w:noWrap/>
            <w:hideMark/>
          </w:tcPr>
          <w:p w14:paraId="09F70C8A" w14:textId="77777777" w:rsidR="005F4A7E" w:rsidRPr="002029AF" w:rsidRDefault="005F4A7E" w:rsidP="00130D1C">
            <w:pPr>
              <w:pStyle w:val="ARfintablebodyright"/>
            </w:pPr>
            <w:r w:rsidRPr="00FB4C7B">
              <w:t>2.4.5</w:t>
            </w:r>
          </w:p>
        </w:tc>
        <w:tc>
          <w:tcPr>
            <w:tcW w:w="1134" w:type="dxa"/>
            <w:tcBorders>
              <w:top w:val="single" w:sz="4" w:space="0" w:color="A6A6A6"/>
            </w:tcBorders>
            <w:shd w:val="clear" w:color="auto" w:fill="E7E6E6"/>
            <w:noWrap/>
            <w:hideMark/>
          </w:tcPr>
          <w:p w14:paraId="65A8B60A" w14:textId="77777777" w:rsidR="005F4A7E" w:rsidRPr="002029AF" w:rsidRDefault="005F4A7E" w:rsidP="00130D1C">
            <w:pPr>
              <w:pStyle w:val="ARfintablebodyright"/>
            </w:pPr>
            <w:r w:rsidRPr="00FB4C7B">
              <w:t>18.3</w:t>
            </w:r>
          </w:p>
        </w:tc>
        <w:tc>
          <w:tcPr>
            <w:tcW w:w="1134" w:type="dxa"/>
            <w:tcBorders>
              <w:top w:val="single" w:sz="4" w:space="0" w:color="A6A6A6"/>
            </w:tcBorders>
            <w:noWrap/>
            <w:hideMark/>
          </w:tcPr>
          <w:p w14:paraId="145C8869" w14:textId="77777777" w:rsidR="005F4A7E" w:rsidRPr="002029AF" w:rsidRDefault="005F4A7E" w:rsidP="00130D1C">
            <w:pPr>
              <w:pStyle w:val="ARfintablebodyright"/>
            </w:pPr>
            <w:r w:rsidRPr="00FB4C7B">
              <w:t>30.9</w:t>
            </w:r>
          </w:p>
        </w:tc>
      </w:tr>
      <w:tr w:rsidR="005F4A7E" w:rsidRPr="002029AF" w14:paraId="4CA879C0" w14:textId="77777777" w:rsidTr="00130D1C">
        <w:tc>
          <w:tcPr>
            <w:tcW w:w="6518" w:type="dxa"/>
            <w:hideMark/>
          </w:tcPr>
          <w:p w14:paraId="71132B2A" w14:textId="77777777" w:rsidR="005F4A7E" w:rsidRPr="002029AF" w:rsidRDefault="005F4A7E" w:rsidP="00130D1C">
            <w:pPr>
              <w:pStyle w:val="ARfintablebodybold"/>
            </w:pPr>
            <w:r w:rsidRPr="00FB4C7B">
              <w:t>Total revenue and income from transactions</w:t>
            </w:r>
          </w:p>
        </w:tc>
        <w:tc>
          <w:tcPr>
            <w:tcW w:w="851" w:type="dxa"/>
            <w:hideMark/>
          </w:tcPr>
          <w:p w14:paraId="076BE6CB" w14:textId="77777777" w:rsidR="005F4A7E" w:rsidRPr="002029AF" w:rsidRDefault="005F4A7E" w:rsidP="00130D1C">
            <w:pPr>
              <w:pStyle w:val="ARfintablebodyrightbold"/>
            </w:pPr>
          </w:p>
        </w:tc>
        <w:tc>
          <w:tcPr>
            <w:tcW w:w="1134" w:type="dxa"/>
            <w:shd w:val="clear" w:color="auto" w:fill="E7E6E6"/>
            <w:noWrap/>
            <w:hideMark/>
          </w:tcPr>
          <w:p w14:paraId="5181A906" w14:textId="77777777" w:rsidR="005F4A7E" w:rsidRPr="002029AF" w:rsidRDefault="005F4A7E" w:rsidP="00130D1C">
            <w:pPr>
              <w:pStyle w:val="ARfintablebodyrightbold"/>
            </w:pPr>
            <w:r w:rsidRPr="00FB4C7B">
              <w:t>25,698.4</w:t>
            </w:r>
          </w:p>
        </w:tc>
        <w:tc>
          <w:tcPr>
            <w:tcW w:w="1134" w:type="dxa"/>
            <w:noWrap/>
            <w:hideMark/>
          </w:tcPr>
          <w:p w14:paraId="763E3C9E" w14:textId="77777777" w:rsidR="005F4A7E" w:rsidRPr="002029AF" w:rsidRDefault="005F4A7E" w:rsidP="00130D1C">
            <w:pPr>
              <w:pStyle w:val="ARfintablebodyrightbold"/>
            </w:pPr>
            <w:r w:rsidRPr="00FB4C7B">
              <w:t>22,028.4</w:t>
            </w:r>
          </w:p>
        </w:tc>
      </w:tr>
    </w:tbl>
    <w:p w14:paraId="76539A6E" w14:textId="77777777" w:rsidR="005F4A7E" w:rsidRPr="009141DB" w:rsidRDefault="005F4A7E" w:rsidP="00130D1C">
      <w:pPr>
        <w:pStyle w:val="ARfintablefootnote"/>
      </w:pPr>
      <w:bookmarkStart w:id="757" w:name="_Toc39136689"/>
      <w:bookmarkStart w:id="758" w:name="_Toc39242133"/>
      <w:r w:rsidRPr="009141DB">
        <w:t>Note</w:t>
      </w:r>
      <w:r>
        <w:t>:</w:t>
      </w:r>
    </w:p>
    <w:p w14:paraId="00586C72" w14:textId="77777777" w:rsidR="005F4A7E" w:rsidRDefault="005F4A7E" w:rsidP="003B1F81">
      <w:pPr>
        <w:pStyle w:val="ARfintablefootnoteindent"/>
        <w:numPr>
          <w:ilvl w:val="5"/>
          <w:numId w:val="35"/>
        </w:numPr>
        <w:spacing w:before="30" w:after="30" w:line="240" w:lineRule="auto"/>
        <w:ind w:left="284" w:hanging="284"/>
      </w:pPr>
      <w:r w:rsidRPr="00C606D4">
        <w:rPr>
          <w:color w:val="auto"/>
        </w:rPr>
        <w:t>Includes COVID-19-related funding from the Victorian and Commonwealth Governments</w:t>
      </w:r>
      <w:r w:rsidRPr="00C606D4">
        <w:t>.</w:t>
      </w:r>
    </w:p>
    <w:p w14:paraId="5B44F5E7" w14:textId="51AD779B" w:rsidR="005F4A7E" w:rsidRDefault="005F4A7E" w:rsidP="00130D1C">
      <w:pPr>
        <w:pStyle w:val="ARfinbodyaftertable"/>
      </w:pPr>
      <w:r w:rsidRPr="00EB7338">
        <w:t>Revenue and income that fund delivery of the department</w:t>
      </w:r>
      <w:r w:rsidR="007D145B">
        <w:t>’</w:t>
      </w:r>
      <w:r w:rsidRPr="00EB7338">
        <w:t>s services are accounted for consistently with the requirements of the relevant accounting standards in the following notes.</w:t>
      </w:r>
    </w:p>
    <w:bookmarkEnd w:id="757"/>
    <w:bookmarkEnd w:id="758"/>
    <w:p w14:paraId="7F9A8A5D" w14:textId="77777777" w:rsidR="005F4A7E" w:rsidRPr="00300CE1" w:rsidRDefault="005F4A7E" w:rsidP="00130D1C">
      <w:pPr>
        <w:pStyle w:val="ARfinbody"/>
      </w:pPr>
      <w:r w:rsidRPr="00300CE1">
        <w:br w:type="page"/>
      </w:r>
    </w:p>
    <w:p w14:paraId="66BB0C24" w14:textId="77777777" w:rsidR="005F4A7E" w:rsidRDefault="005F4A7E" w:rsidP="00130D1C">
      <w:pPr>
        <w:pStyle w:val="Heading4"/>
      </w:pPr>
      <w:bookmarkStart w:id="759" w:name="_Toc85121362"/>
      <w:r>
        <w:lastRenderedPageBreak/>
        <w:t>2.2 Appropriations</w:t>
      </w:r>
      <w:bookmarkEnd w:id="759"/>
    </w:p>
    <w:p w14:paraId="30CDB2BF" w14:textId="77777777" w:rsidR="005F4A7E" w:rsidRDefault="005F4A7E" w:rsidP="00130D1C">
      <w:pPr>
        <w:pStyle w:val="ARfinbody"/>
      </w:pPr>
      <w:r w:rsidRPr="00194D78">
        <w:t>Once annual parliamentary appropriations are applied by the Treasurer, they become controlled by the department and are recognised as income when applied to the purposes defined under the relevant Appropriations Act.</w:t>
      </w:r>
    </w:p>
    <w:p w14:paraId="5E4F11EA" w14:textId="77777777" w:rsidR="005F4A7E" w:rsidRDefault="005F4A7E" w:rsidP="00130D1C">
      <w:pPr>
        <w:pStyle w:val="ARfinbody"/>
      </w:pPr>
      <w:r w:rsidRPr="00C93990">
        <w:rPr>
          <w:rStyle w:val="Strong"/>
        </w:rPr>
        <w:t>Output appropriations:</w:t>
      </w:r>
      <w:r w:rsidRPr="00194D78">
        <w:t xml:space="preserve"> Income from the outputs the department provides to the government is recognised when those outputs have been delivered and the relevant </w:t>
      </w:r>
      <w:r>
        <w:t>m</w:t>
      </w:r>
      <w:r w:rsidRPr="00194D78">
        <w:t>inister has certified delivery of those outputs in accordance with specified performance criteria.</w:t>
      </w:r>
    </w:p>
    <w:p w14:paraId="1A6F379E" w14:textId="77777777" w:rsidR="005F4A7E" w:rsidRDefault="005F4A7E" w:rsidP="00130D1C">
      <w:pPr>
        <w:pStyle w:val="ARfinbody"/>
      </w:pPr>
      <w:r w:rsidRPr="00C93990">
        <w:rPr>
          <w:rStyle w:val="Strong"/>
        </w:rPr>
        <w:t>Special appropriations:</w:t>
      </w:r>
      <w:r w:rsidRPr="00194D78">
        <w:t xml:space="preserve"> Under ss</w:t>
      </w:r>
      <w:r>
        <w:t>.</w:t>
      </w:r>
      <w:r w:rsidRPr="00194D78">
        <w:t xml:space="preserve"> 3.6.11, 4.4.11, 4.6.8, 5.4.6, and 6A.4.4(1) of the </w:t>
      </w:r>
      <w:r w:rsidRPr="00641EB5">
        <w:rPr>
          <w:rStyle w:val="Emphasis"/>
        </w:rPr>
        <w:t>Gambling Regulation Act 2003</w:t>
      </w:r>
      <w:r w:rsidRPr="00194D78">
        <w:t>, and</w:t>
      </w:r>
      <w:r w:rsidRPr="00743D91">
        <w:t xml:space="preserve"> s</w:t>
      </w:r>
      <w:r>
        <w:t>.</w:t>
      </w:r>
      <w:r w:rsidRPr="00743D91">
        <w:t xml:space="preserve"> 114 of the </w:t>
      </w:r>
      <w:r w:rsidRPr="00641EB5">
        <w:rPr>
          <w:rStyle w:val="Emphasis"/>
        </w:rPr>
        <w:t>Casino Control Act 1991</w:t>
      </w:r>
      <w:r w:rsidRPr="00194D78">
        <w:t>, income related to the Hospitals and Charities Fund and Mental Health Fund is recognised when the amounts appropriated for that purpose are due and payable by the department. The department also receives special appropriations for various purposes approved under s</w:t>
      </w:r>
      <w:r>
        <w:t>.</w:t>
      </w:r>
      <w:r w:rsidRPr="00194D78">
        <w:t xml:space="preserve"> 10 of the </w:t>
      </w:r>
      <w:r w:rsidRPr="00641EB5">
        <w:rPr>
          <w:rStyle w:val="Emphasis"/>
        </w:rPr>
        <w:t>Financial Management Act 1994</w:t>
      </w:r>
      <w:r w:rsidRPr="00194D78">
        <w:t>.</w:t>
      </w:r>
    </w:p>
    <w:p w14:paraId="37B57AAC" w14:textId="77777777" w:rsidR="005F4A7E" w:rsidRPr="002029AF" w:rsidRDefault="005F4A7E" w:rsidP="00087B91">
      <w:pPr>
        <w:pStyle w:val="ARfinbody"/>
        <w:sectPr w:rsidR="005F4A7E" w:rsidRPr="002029AF" w:rsidSect="005F4A7E">
          <w:headerReference w:type="default" r:id="rId130"/>
          <w:footerReference w:type="even" r:id="rId131"/>
          <w:footnotePr>
            <w:numFmt w:val="lowerLetter"/>
            <w:numRestart w:val="eachPage"/>
          </w:footnotePr>
          <w:endnotePr>
            <w:numFmt w:val="decimal"/>
          </w:endnotePr>
          <w:pgSz w:w="11900" w:h="16840" w:code="9"/>
          <w:pgMar w:top="1531" w:right="1134" w:bottom="851" w:left="1134" w:header="510" w:footer="340" w:gutter="0"/>
          <w:cols w:space="454"/>
        </w:sectPr>
      </w:pPr>
    </w:p>
    <w:p w14:paraId="482FDCE5" w14:textId="77777777" w:rsidR="005F4A7E" w:rsidRDefault="005F4A7E" w:rsidP="00130D1C">
      <w:pPr>
        <w:pStyle w:val="Heading4"/>
        <w:spacing w:before="0"/>
      </w:pPr>
      <w:bookmarkStart w:id="760" w:name="_Ref84598290"/>
      <w:bookmarkStart w:id="761" w:name="_Toc85121363"/>
      <w:r>
        <w:lastRenderedPageBreak/>
        <w:t xml:space="preserve">2.3 </w:t>
      </w:r>
      <w:bookmarkStart w:id="762" w:name="_Toc39136690"/>
      <w:bookmarkStart w:id="763" w:name="_Toc39242134"/>
      <w:r>
        <w:t>S</w:t>
      </w:r>
      <w:r w:rsidRPr="00336B8D">
        <w:t>ummary of compliance with annual parliamentary and special appropriations</w:t>
      </w:r>
      <w:bookmarkEnd w:id="760"/>
      <w:bookmarkEnd w:id="761"/>
      <w:bookmarkEnd w:id="762"/>
      <w:bookmarkEnd w:id="763"/>
    </w:p>
    <w:p w14:paraId="6F3A10CF" w14:textId="77777777" w:rsidR="005F4A7E" w:rsidRDefault="005F4A7E" w:rsidP="00130D1C">
      <w:pPr>
        <w:pStyle w:val="ARfinbody"/>
        <w:spacing w:before="60"/>
      </w:pPr>
      <w:r w:rsidRPr="00194D78">
        <w:t>The following table discloses the details of the various annual parliamentary appropriations received by the department for the year.</w:t>
      </w:r>
    </w:p>
    <w:p w14:paraId="21A3CA50" w14:textId="275DBA47" w:rsidR="005F4A7E" w:rsidRDefault="005F4A7E" w:rsidP="00130D1C">
      <w:pPr>
        <w:pStyle w:val="ARfinbodylargespace"/>
      </w:pPr>
      <w:r w:rsidRPr="00194D78">
        <w:t xml:space="preserve">In accordance with accrual output-based management procedures </w:t>
      </w:r>
      <w:r w:rsidR="007D145B">
        <w:t>‘</w:t>
      </w:r>
      <w:r w:rsidRPr="00194D78">
        <w:t>provision of outputs</w:t>
      </w:r>
      <w:r w:rsidR="007D145B">
        <w:t>’</w:t>
      </w:r>
      <w:r w:rsidRPr="00194D78">
        <w:t xml:space="preserve"> and </w:t>
      </w:r>
      <w:r w:rsidR="007D145B">
        <w:t>‘</w:t>
      </w:r>
      <w:r w:rsidRPr="00194D78">
        <w:t>additions to net assets</w:t>
      </w:r>
      <w:r w:rsidR="007D145B">
        <w:t>’</w:t>
      </w:r>
      <w:r w:rsidRPr="00194D78">
        <w:t xml:space="preserve"> are disclosed as </w:t>
      </w:r>
      <w:r w:rsidR="007D145B">
        <w:t>‘</w:t>
      </w:r>
      <w:r w:rsidRPr="00194D78">
        <w:t>controlled</w:t>
      </w:r>
      <w:r w:rsidR="007D145B">
        <w:t>’</w:t>
      </w:r>
      <w:r w:rsidRPr="00194D78">
        <w:t xml:space="preserve"> activities of the department. Administered transactions are those that are undertaken on behalf of the state over which the department has no control or discretion (refer to Note 4.2).</w:t>
      </w:r>
    </w:p>
    <w:tbl>
      <w:tblPr>
        <w:tblStyle w:val="TableGrid"/>
        <w:tblW w:w="14459" w:type="dxa"/>
        <w:tblLayout w:type="fixed"/>
        <w:tblLook w:val="06A0" w:firstRow="1" w:lastRow="0" w:firstColumn="1" w:lastColumn="0" w:noHBand="1" w:noVBand="1"/>
      </w:tblPr>
      <w:tblGrid>
        <w:gridCol w:w="3340"/>
        <w:gridCol w:w="1085"/>
        <w:gridCol w:w="1075"/>
        <w:gridCol w:w="1040"/>
        <w:gridCol w:w="1040"/>
        <w:gridCol w:w="1072"/>
        <w:gridCol w:w="1072"/>
        <w:gridCol w:w="1072"/>
        <w:gridCol w:w="1085"/>
        <w:gridCol w:w="1078"/>
        <w:gridCol w:w="1067"/>
        <w:gridCol w:w="433"/>
      </w:tblGrid>
      <w:tr w:rsidR="005F4A7E" w:rsidRPr="002029AF" w14:paraId="2A62364A"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3340" w:type="dxa"/>
            <w:vMerge w:val="restart"/>
            <w:noWrap/>
          </w:tcPr>
          <w:p w14:paraId="2395354F" w14:textId="77777777" w:rsidR="005F4A7E" w:rsidRPr="002029AF" w:rsidRDefault="005F4A7E" w:rsidP="00860E95">
            <w:pPr>
              <w:pStyle w:val="ARfintablecolhead"/>
            </w:pPr>
          </w:p>
        </w:tc>
        <w:tc>
          <w:tcPr>
            <w:tcW w:w="3200" w:type="dxa"/>
            <w:gridSpan w:val="3"/>
          </w:tcPr>
          <w:p w14:paraId="2E2ACDCD" w14:textId="77777777" w:rsidR="005F4A7E" w:rsidRPr="002029AF" w:rsidRDefault="005F4A7E" w:rsidP="00860E95">
            <w:pPr>
              <w:pStyle w:val="ARfintablecolheadcentre"/>
            </w:pPr>
            <w:r w:rsidRPr="002029AF">
              <w:t>Appropriations Act</w:t>
            </w:r>
          </w:p>
        </w:tc>
        <w:tc>
          <w:tcPr>
            <w:tcW w:w="4256" w:type="dxa"/>
            <w:gridSpan w:val="4"/>
            <w:tcBorders>
              <w:top w:val="nil"/>
            </w:tcBorders>
            <w:shd w:val="clear" w:color="auto" w:fill="E7E6E6"/>
          </w:tcPr>
          <w:p w14:paraId="3B25EA7E" w14:textId="77777777" w:rsidR="005F4A7E" w:rsidRPr="002029AF" w:rsidRDefault="005F4A7E" w:rsidP="00860E95">
            <w:pPr>
              <w:pStyle w:val="ARfintablecolheadcentre"/>
            </w:pPr>
            <w:r w:rsidRPr="002029AF">
              <w:t>Financial Management Act 1994</w:t>
            </w:r>
          </w:p>
        </w:tc>
        <w:tc>
          <w:tcPr>
            <w:tcW w:w="1085" w:type="dxa"/>
            <w:vMerge w:val="restart"/>
          </w:tcPr>
          <w:p w14:paraId="38A1C661" w14:textId="77777777" w:rsidR="005F4A7E" w:rsidRPr="002029AF" w:rsidRDefault="005F4A7E" w:rsidP="00860E95">
            <w:pPr>
              <w:pStyle w:val="ARfintablecolheadright"/>
            </w:pPr>
            <w:r w:rsidRPr="002029AF">
              <w:t>Total parlia-</w:t>
            </w:r>
            <w:r w:rsidRPr="002029AF">
              <w:br/>
              <w:t xml:space="preserve">mentary </w:t>
            </w:r>
            <w:r w:rsidRPr="002029AF">
              <w:br/>
              <w:t>authority</w:t>
            </w:r>
          </w:p>
          <w:p w14:paraId="31445294" w14:textId="77777777" w:rsidR="005F4A7E" w:rsidRPr="002029AF" w:rsidRDefault="005F4A7E" w:rsidP="00860E95">
            <w:pPr>
              <w:pStyle w:val="ARfintablecolheadright"/>
            </w:pPr>
            <w:r w:rsidRPr="002029AF">
              <w:t>$M</w:t>
            </w:r>
          </w:p>
        </w:tc>
        <w:tc>
          <w:tcPr>
            <w:tcW w:w="1078" w:type="dxa"/>
            <w:vMerge w:val="restart"/>
          </w:tcPr>
          <w:p w14:paraId="2520BB5A" w14:textId="77777777" w:rsidR="005F4A7E" w:rsidRPr="002029AF" w:rsidRDefault="005F4A7E" w:rsidP="00860E95">
            <w:pPr>
              <w:pStyle w:val="ARfintablecolheadright"/>
            </w:pPr>
            <w:r w:rsidRPr="002029AF">
              <w:t>Appro-</w:t>
            </w:r>
            <w:r w:rsidRPr="002029AF">
              <w:br/>
              <w:t xml:space="preserve">priations </w:t>
            </w:r>
            <w:r w:rsidRPr="002029AF">
              <w:br/>
              <w:t>applied</w:t>
            </w:r>
          </w:p>
          <w:p w14:paraId="73C03F63" w14:textId="77777777" w:rsidR="005F4A7E" w:rsidRPr="002029AF" w:rsidRDefault="005F4A7E" w:rsidP="00860E95">
            <w:pPr>
              <w:pStyle w:val="ARfintablecolheadright"/>
            </w:pPr>
            <w:r w:rsidRPr="002029AF">
              <w:t>$M</w:t>
            </w:r>
          </w:p>
        </w:tc>
        <w:tc>
          <w:tcPr>
            <w:tcW w:w="1067" w:type="dxa"/>
            <w:vMerge w:val="restart"/>
          </w:tcPr>
          <w:p w14:paraId="314CB50C" w14:textId="77777777" w:rsidR="005F4A7E" w:rsidRPr="002029AF" w:rsidRDefault="005F4A7E" w:rsidP="00860E95">
            <w:pPr>
              <w:pStyle w:val="ARfintablecolheadright"/>
            </w:pPr>
            <w:r w:rsidRPr="002029AF">
              <w:t>Variance</w:t>
            </w:r>
          </w:p>
          <w:p w14:paraId="66CA5F67" w14:textId="77777777" w:rsidR="005F4A7E" w:rsidRPr="002029AF" w:rsidRDefault="005F4A7E" w:rsidP="00860E95">
            <w:pPr>
              <w:pStyle w:val="ARfintablecolheadright"/>
            </w:pPr>
            <w:r w:rsidRPr="002029AF">
              <w:t>$M</w:t>
            </w:r>
          </w:p>
        </w:tc>
        <w:tc>
          <w:tcPr>
            <w:tcW w:w="433" w:type="dxa"/>
            <w:vMerge w:val="restart"/>
          </w:tcPr>
          <w:p w14:paraId="7CBAEEA5" w14:textId="77777777" w:rsidR="005F4A7E" w:rsidRPr="002029AF" w:rsidRDefault="005F4A7E" w:rsidP="00860E95">
            <w:pPr>
              <w:pStyle w:val="ARfintablecolheadright"/>
            </w:pPr>
          </w:p>
        </w:tc>
      </w:tr>
      <w:tr w:rsidR="005F4A7E" w:rsidRPr="002029AF" w14:paraId="7CC255B8"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3340" w:type="dxa"/>
            <w:vMerge/>
            <w:noWrap/>
            <w:hideMark/>
          </w:tcPr>
          <w:p w14:paraId="14C98296" w14:textId="77777777" w:rsidR="005F4A7E" w:rsidRPr="002029AF" w:rsidRDefault="005F4A7E" w:rsidP="00860E95">
            <w:pPr>
              <w:pStyle w:val="ARfintablecolhead"/>
            </w:pPr>
          </w:p>
        </w:tc>
        <w:tc>
          <w:tcPr>
            <w:tcW w:w="1085" w:type="dxa"/>
            <w:hideMark/>
          </w:tcPr>
          <w:p w14:paraId="11A375D5" w14:textId="77777777" w:rsidR="005F4A7E" w:rsidRPr="002029AF" w:rsidRDefault="005F4A7E" w:rsidP="00860E95">
            <w:pPr>
              <w:pStyle w:val="ARfintablecolheadright"/>
            </w:pPr>
            <w:r w:rsidRPr="002029AF">
              <w:t>Annual appro-</w:t>
            </w:r>
            <w:r w:rsidRPr="002029AF">
              <w:br/>
              <w:t>priation</w:t>
            </w:r>
          </w:p>
          <w:p w14:paraId="46EC2ED7" w14:textId="77777777" w:rsidR="005F4A7E" w:rsidRPr="002029AF" w:rsidRDefault="005F4A7E" w:rsidP="00860E95">
            <w:pPr>
              <w:pStyle w:val="ARfintablecolheadright"/>
            </w:pPr>
            <w:r w:rsidRPr="002029AF">
              <w:t>$M</w:t>
            </w:r>
          </w:p>
        </w:tc>
        <w:tc>
          <w:tcPr>
            <w:tcW w:w="1075" w:type="dxa"/>
            <w:hideMark/>
          </w:tcPr>
          <w:p w14:paraId="6DCDCC5D" w14:textId="77777777" w:rsidR="005F4A7E" w:rsidRPr="002029AF" w:rsidRDefault="005F4A7E" w:rsidP="00860E95">
            <w:pPr>
              <w:pStyle w:val="ARfintablecolheadright"/>
            </w:pPr>
            <w:r w:rsidRPr="002029AF">
              <w:t>Advance from Treasurer</w:t>
            </w:r>
          </w:p>
          <w:p w14:paraId="0B25F8F6" w14:textId="77777777" w:rsidR="005F4A7E" w:rsidRPr="002029AF" w:rsidRDefault="005F4A7E" w:rsidP="00860E95">
            <w:pPr>
              <w:pStyle w:val="ARfintablecolheadright"/>
            </w:pPr>
            <w:r w:rsidRPr="002029AF">
              <w:t>$M</w:t>
            </w:r>
          </w:p>
        </w:tc>
        <w:tc>
          <w:tcPr>
            <w:tcW w:w="1040" w:type="dxa"/>
            <w:hideMark/>
          </w:tcPr>
          <w:p w14:paraId="4ACC9B81" w14:textId="77777777" w:rsidR="005F4A7E" w:rsidRPr="002029AF" w:rsidRDefault="005F4A7E" w:rsidP="00860E95">
            <w:pPr>
              <w:pStyle w:val="ARfintablecolheadright"/>
            </w:pPr>
            <w:r w:rsidRPr="002029AF">
              <w:t xml:space="preserve">Section </w:t>
            </w:r>
            <w:r w:rsidRPr="002029AF">
              <w:br/>
              <w:t>3(2)</w:t>
            </w:r>
          </w:p>
          <w:p w14:paraId="26768F2A" w14:textId="77777777" w:rsidR="005F4A7E" w:rsidRPr="002029AF" w:rsidRDefault="005F4A7E" w:rsidP="00860E95">
            <w:pPr>
              <w:pStyle w:val="ARfintablecolheadright"/>
            </w:pPr>
            <w:r w:rsidRPr="002029AF">
              <w:t>$M</w:t>
            </w:r>
          </w:p>
        </w:tc>
        <w:tc>
          <w:tcPr>
            <w:tcW w:w="1040" w:type="dxa"/>
            <w:tcBorders>
              <w:top w:val="single" w:sz="4" w:space="0" w:color="auto"/>
              <w:right w:val="nil"/>
            </w:tcBorders>
            <w:shd w:val="clear" w:color="auto" w:fill="E7E6E6"/>
            <w:hideMark/>
          </w:tcPr>
          <w:p w14:paraId="2D5EF5EE" w14:textId="77777777" w:rsidR="005F4A7E" w:rsidRPr="002029AF" w:rsidRDefault="005F4A7E" w:rsidP="00860E95">
            <w:pPr>
              <w:pStyle w:val="ARfintablecolheadright"/>
              <w:rPr>
                <w:rStyle w:val="Superscript"/>
              </w:rPr>
            </w:pPr>
            <w:r w:rsidRPr="002029AF">
              <w:t xml:space="preserve">Section </w:t>
            </w:r>
            <w:r w:rsidRPr="002029AF">
              <w:br/>
              <w:t xml:space="preserve">29 </w:t>
            </w:r>
            <w:r w:rsidRPr="002029AF">
              <w:rPr>
                <w:rStyle w:val="Superscript"/>
              </w:rPr>
              <w:t>(i)</w:t>
            </w:r>
          </w:p>
          <w:p w14:paraId="2F0D83BA" w14:textId="77777777" w:rsidR="005F4A7E" w:rsidRPr="002029AF" w:rsidRDefault="005F4A7E" w:rsidP="00860E95">
            <w:pPr>
              <w:pStyle w:val="ARfintablecolheadright"/>
            </w:pPr>
            <w:r w:rsidRPr="002029AF">
              <w:t>$M</w:t>
            </w:r>
          </w:p>
        </w:tc>
        <w:tc>
          <w:tcPr>
            <w:tcW w:w="1072" w:type="dxa"/>
            <w:tcBorders>
              <w:top w:val="single" w:sz="4" w:space="0" w:color="auto"/>
              <w:left w:val="nil"/>
              <w:right w:val="nil"/>
            </w:tcBorders>
            <w:shd w:val="clear" w:color="auto" w:fill="E7E6E6"/>
            <w:hideMark/>
          </w:tcPr>
          <w:p w14:paraId="34834F5D" w14:textId="77777777" w:rsidR="005F4A7E" w:rsidRPr="002029AF" w:rsidRDefault="005F4A7E" w:rsidP="00860E95">
            <w:pPr>
              <w:pStyle w:val="ARfintablecolheadright"/>
            </w:pPr>
            <w:r w:rsidRPr="002029AF">
              <w:t xml:space="preserve">Section </w:t>
            </w:r>
            <w:r w:rsidRPr="002029AF">
              <w:br/>
              <w:t xml:space="preserve">30 </w:t>
            </w:r>
            <w:r w:rsidRPr="002029AF">
              <w:rPr>
                <w:rStyle w:val="Superscript"/>
              </w:rPr>
              <w:t>(ii)</w:t>
            </w:r>
          </w:p>
          <w:p w14:paraId="2C885FA1" w14:textId="77777777" w:rsidR="005F4A7E" w:rsidRPr="002029AF" w:rsidRDefault="005F4A7E" w:rsidP="00860E95">
            <w:pPr>
              <w:pStyle w:val="ARfintablecolheadright"/>
            </w:pPr>
            <w:r w:rsidRPr="002029AF">
              <w:t>$M</w:t>
            </w:r>
          </w:p>
        </w:tc>
        <w:tc>
          <w:tcPr>
            <w:tcW w:w="1072" w:type="dxa"/>
            <w:tcBorders>
              <w:top w:val="single" w:sz="4" w:space="0" w:color="auto"/>
              <w:left w:val="nil"/>
              <w:right w:val="nil"/>
            </w:tcBorders>
            <w:shd w:val="clear" w:color="auto" w:fill="E7E6E6"/>
            <w:hideMark/>
          </w:tcPr>
          <w:p w14:paraId="06C969DA" w14:textId="77777777" w:rsidR="005F4A7E" w:rsidRPr="002029AF" w:rsidRDefault="005F4A7E" w:rsidP="00860E95">
            <w:pPr>
              <w:pStyle w:val="ARfintablecolheadright"/>
            </w:pPr>
            <w:r w:rsidRPr="002029AF">
              <w:t xml:space="preserve">Section </w:t>
            </w:r>
            <w:r w:rsidRPr="002029AF">
              <w:br/>
              <w:t>32</w:t>
            </w:r>
          </w:p>
          <w:p w14:paraId="77EE72CF" w14:textId="77777777" w:rsidR="005F4A7E" w:rsidRPr="002029AF" w:rsidRDefault="005F4A7E" w:rsidP="00860E95">
            <w:pPr>
              <w:pStyle w:val="ARfintablecolheadright"/>
            </w:pPr>
            <w:r w:rsidRPr="002029AF">
              <w:t>$M</w:t>
            </w:r>
          </w:p>
        </w:tc>
        <w:tc>
          <w:tcPr>
            <w:tcW w:w="1072" w:type="dxa"/>
            <w:tcBorders>
              <w:top w:val="single" w:sz="4" w:space="0" w:color="auto"/>
              <w:left w:val="nil"/>
            </w:tcBorders>
            <w:shd w:val="clear" w:color="auto" w:fill="E7E6E6"/>
            <w:hideMark/>
          </w:tcPr>
          <w:p w14:paraId="11B76C42" w14:textId="77777777" w:rsidR="005F4A7E" w:rsidRPr="002029AF" w:rsidRDefault="005F4A7E" w:rsidP="00860E95">
            <w:pPr>
              <w:pStyle w:val="ARfintablecolheadright"/>
            </w:pPr>
            <w:r w:rsidRPr="002029AF">
              <w:t xml:space="preserve">Section </w:t>
            </w:r>
            <w:r w:rsidRPr="002029AF">
              <w:br/>
              <w:t xml:space="preserve">35 </w:t>
            </w:r>
            <w:r w:rsidRPr="002029AF">
              <w:br/>
              <w:t>advances</w:t>
            </w:r>
          </w:p>
          <w:p w14:paraId="44C0D999" w14:textId="77777777" w:rsidR="005F4A7E" w:rsidRPr="002029AF" w:rsidRDefault="005F4A7E" w:rsidP="00860E95">
            <w:pPr>
              <w:pStyle w:val="ARfintablecolheadright"/>
            </w:pPr>
            <w:r w:rsidRPr="002029AF">
              <w:t>$M</w:t>
            </w:r>
          </w:p>
        </w:tc>
        <w:tc>
          <w:tcPr>
            <w:tcW w:w="1085" w:type="dxa"/>
            <w:vMerge/>
            <w:hideMark/>
          </w:tcPr>
          <w:p w14:paraId="35689035" w14:textId="77777777" w:rsidR="005F4A7E" w:rsidRPr="002029AF" w:rsidRDefault="005F4A7E" w:rsidP="00860E95">
            <w:pPr>
              <w:pStyle w:val="ARfintablecolheadright"/>
            </w:pPr>
          </w:p>
        </w:tc>
        <w:tc>
          <w:tcPr>
            <w:tcW w:w="1078" w:type="dxa"/>
            <w:vMerge/>
            <w:hideMark/>
          </w:tcPr>
          <w:p w14:paraId="077121FD" w14:textId="77777777" w:rsidR="005F4A7E" w:rsidRPr="002029AF" w:rsidRDefault="005F4A7E" w:rsidP="00860E95">
            <w:pPr>
              <w:pStyle w:val="ARfintablecolheadright"/>
            </w:pPr>
          </w:p>
        </w:tc>
        <w:tc>
          <w:tcPr>
            <w:tcW w:w="1067" w:type="dxa"/>
            <w:vMerge/>
            <w:hideMark/>
          </w:tcPr>
          <w:p w14:paraId="1A31AD7F" w14:textId="77777777" w:rsidR="005F4A7E" w:rsidRPr="002029AF" w:rsidRDefault="005F4A7E" w:rsidP="00860E95">
            <w:pPr>
              <w:pStyle w:val="ARfintablecolheadright"/>
            </w:pPr>
          </w:p>
        </w:tc>
        <w:tc>
          <w:tcPr>
            <w:tcW w:w="433" w:type="dxa"/>
            <w:vMerge/>
            <w:hideMark/>
          </w:tcPr>
          <w:p w14:paraId="7ED998A8" w14:textId="77777777" w:rsidR="005F4A7E" w:rsidRPr="002029AF" w:rsidRDefault="005F4A7E" w:rsidP="00860E95">
            <w:pPr>
              <w:pStyle w:val="ARfintablecolheadright"/>
            </w:pPr>
          </w:p>
        </w:tc>
      </w:tr>
      <w:tr w:rsidR="005F4A7E" w:rsidRPr="002029AF" w14:paraId="5807B5B1" w14:textId="77777777" w:rsidTr="00860E95">
        <w:tc>
          <w:tcPr>
            <w:tcW w:w="14459" w:type="dxa"/>
            <w:gridSpan w:val="12"/>
            <w:tcBorders>
              <w:bottom w:val="single" w:sz="4" w:space="0" w:color="auto"/>
            </w:tcBorders>
            <w:hideMark/>
          </w:tcPr>
          <w:p w14:paraId="465F7B3D" w14:textId="77777777" w:rsidR="005F4A7E" w:rsidRPr="002029AF" w:rsidRDefault="005F4A7E" w:rsidP="00130D1C">
            <w:pPr>
              <w:pStyle w:val="ARfintablebodybold"/>
            </w:pPr>
            <w:r w:rsidRPr="006C72B3">
              <w:t>2021</w:t>
            </w:r>
          </w:p>
        </w:tc>
      </w:tr>
      <w:tr w:rsidR="005F4A7E" w:rsidRPr="002029AF" w14:paraId="297C5D31" w14:textId="77777777" w:rsidTr="00860E95">
        <w:tc>
          <w:tcPr>
            <w:tcW w:w="14459" w:type="dxa"/>
            <w:gridSpan w:val="12"/>
            <w:tcBorders>
              <w:top w:val="single" w:sz="4" w:space="0" w:color="auto"/>
              <w:bottom w:val="single" w:sz="4" w:space="0" w:color="A6A6A6"/>
            </w:tcBorders>
            <w:hideMark/>
          </w:tcPr>
          <w:p w14:paraId="3AD21BAC" w14:textId="77777777" w:rsidR="005F4A7E" w:rsidRPr="002029AF" w:rsidRDefault="005F4A7E" w:rsidP="00130D1C">
            <w:pPr>
              <w:pStyle w:val="ARfintablebodybold"/>
            </w:pPr>
            <w:r w:rsidRPr="006C72B3">
              <w:t>Controlled</w:t>
            </w:r>
          </w:p>
        </w:tc>
      </w:tr>
      <w:tr w:rsidR="005F4A7E" w:rsidRPr="002029AF" w14:paraId="3094ACA2" w14:textId="77777777" w:rsidTr="00860E95">
        <w:tc>
          <w:tcPr>
            <w:tcW w:w="3340" w:type="dxa"/>
            <w:tcBorders>
              <w:top w:val="single" w:sz="4" w:space="0" w:color="A6A6A6"/>
              <w:bottom w:val="single" w:sz="4" w:space="0" w:color="A6A6A6"/>
            </w:tcBorders>
            <w:hideMark/>
          </w:tcPr>
          <w:p w14:paraId="230FF420" w14:textId="77777777" w:rsidR="005F4A7E" w:rsidRPr="002029AF" w:rsidRDefault="005F4A7E" w:rsidP="00130D1C">
            <w:pPr>
              <w:pStyle w:val="ARfintablebody"/>
            </w:pPr>
            <w:r w:rsidRPr="006C72B3">
              <w:t>Provision of outputs</w:t>
            </w:r>
          </w:p>
        </w:tc>
        <w:tc>
          <w:tcPr>
            <w:tcW w:w="1085" w:type="dxa"/>
            <w:tcBorders>
              <w:top w:val="single" w:sz="4" w:space="0" w:color="A6A6A6"/>
              <w:bottom w:val="single" w:sz="4" w:space="0" w:color="A6A6A6"/>
            </w:tcBorders>
            <w:noWrap/>
            <w:hideMark/>
          </w:tcPr>
          <w:p w14:paraId="36152281" w14:textId="77777777" w:rsidR="005F4A7E" w:rsidRPr="002029AF" w:rsidRDefault="005F4A7E" w:rsidP="00130D1C">
            <w:pPr>
              <w:pStyle w:val="ARfintablebodyright"/>
            </w:pPr>
            <w:r w:rsidRPr="006C72B3">
              <w:t>19,377.1</w:t>
            </w:r>
          </w:p>
        </w:tc>
        <w:tc>
          <w:tcPr>
            <w:tcW w:w="1075" w:type="dxa"/>
            <w:tcBorders>
              <w:top w:val="single" w:sz="4" w:space="0" w:color="A6A6A6"/>
              <w:bottom w:val="single" w:sz="4" w:space="0" w:color="A6A6A6"/>
            </w:tcBorders>
            <w:noWrap/>
            <w:hideMark/>
          </w:tcPr>
          <w:p w14:paraId="63D96F26" w14:textId="77777777" w:rsidR="005F4A7E" w:rsidRPr="002029AF" w:rsidRDefault="005F4A7E" w:rsidP="00130D1C">
            <w:pPr>
              <w:pStyle w:val="ARfintablebodyright"/>
            </w:pPr>
            <w:r w:rsidRPr="006C72B3">
              <w:t>1,606.4</w:t>
            </w:r>
          </w:p>
        </w:tc>
        <w:tc>
          <w:tcPr>
            <w:tcW w:w="1040" w:type="dxa"/>
            <w:tcBorders>
              <w:top w:val="single" w:sz="4" w:space="0" w:color="A6A6A6"/>
              <w:bottom w:val="single" w:sz="4" w:space="0" w:color="A6A6A6"/>
            </w:tcBorders>
            <w:noWrap/>
            <w:hideMark/>
          </w:tcPr>
          <w:p w14:paraId="2789FF2A" w14:textId="77777777" w:rsidR="005F4A7E" w:rsidRPr="002029AF" w:rsidRDefault="005F4A7E" w:rsidP="00130D1C">
            <w:pPr>
              <w:pStyle w:val="ARfintablebodyright"/>
            </w:pPr>
            <w:r w:rsidRPr="006C72B3">
              <w:t>–</w:t>
            </w:r>
          </w:p>
        </w:tc>
        <w:tc>
          <w:tcPr>
            <w:tcW w:w="1040" w:type="dxa"/>
            <w:tcBorders>
              <w:top w:val="single" w:sz="4" w:space="0" w:color="A6A6A6"/>
              <w:bottom w:val="single" w:sz="4" w:space="0" w:color="A6A6A6"/>
              <w:right w:val="nil"/>
            </w:tcBorders>
            <w:shd w:val="clear" w:color="auto" w:fill="E7E6E6"/>
            <w:noWrap/>
            <w:hideMark/>
          </w:tcPr>
          <w:p w14:paraId="740EB97C" w14:textId="77777777" w:rsidR="005F4A7E" w:rsidRPr="002029AF" w:rsidRDefault="005F4A7E" w:rsidP="00130D1C">
            <w:pPr>
              <w:pStyle w:val="ARfintablebodyright"/>
            </w:pPr>
            <w:r w:rsidRPr="006C72B3">
              <w:t>979.3</w:t>
            </w:r>
          </w:p>
        </w:tc>
        <w:tc>
          <w:tcPr>
            <w:tcW w:w="1072" w:type="dxa"/>
            <w:tcBorders>
              <w:top w:val="single" w:sz="4" w:space="0" w:color="A6A6A6"/>
              <w:left w:val="nil"/>
              <w:bottom w:val="single" w:sz="4" w:space="0" w:color="A6A6A6"/>
              <w:right w:val="nil"/>
            </w:tcBorders>
            <w:shd w:val="clear" w:color="auto" w:fill="E7E6E6"/>
            <w:noWrap/>
            <w:hideMark/>
          </w:tcPr>
          <w:p w14:paraId="73EEB1F8" w14:textId="77777777" w:rsidR="005F4A7E" w:rsidRPr="002029AF" w:rsidRDefault="005F4A7E" w:rsidP="00130D1C">
            <w:pPr>
              <w:pStyle w:val="ARfintablebodyright"/>
            </w:pPr>
            <w:r w:rsidRPr="006C72B3">
              <w:t>28.8</w:t>
            </w:r>
          </w:p>
        </w:tc>
        <w:tc>
          <w:tcPr>
            <w:tcW w:w="1072" w:type="dxa"/>
            <w:tcBorders>
              <w:top w:val="single" w:sz="4" w:space="0" w:color="A6A6A6"/>
              <w:left w:val="nil"/>
              <w:bottom w:val="single" w:sz="4" w:space="0" w:color="A6A6A6"/>
              <w:right w:val="nil"/>
            </w:tcBorders>
            <w:shd w:val="clear" w:color="auto" w:fill="E7E6E6"/>
            <w:noWrap/>
            <w:hideMark/>
          </w:tcPr>
          <w:p w14:paraId="272E74E6" w14:textId="77777777" w:rsidR="005F4A7E" w:rsidRPr="002029AF" w:rsidRDefault="005F4A7E" w:rsidP="00130D1C">
            <w:pPr>
              <w:pStyle w:val="ARfintablebodyright"/>
            </w:pPr>
            <w:r w:rsidRPr="006C72B3">
              <w:t>44.9</w:t>
            </w:r>
          </w:p>
        </w:tc>
        <w:tc>
          <w:tcPr>
            <w:tcW w:w="1072" w:type="dxa"/>
            <w:tcBorders>
              <w:top w:val="single" w:sz="4" w:space="0" w:color="A6A6A6"/>
              <w:left w:val="nil"/>
              <w:bottom w:val="single" w:sz="4" w:space="0" w:color="A6A6A6"/>
            </w:tcBorders>
            <w:shd w:val="clear" w:color="auto" w:fill="E7E6E6"/>
            <w:noWrap/>
            <w:hideMark/>
          </w:tcPr>
          <w:p w14:paraId="3C47747F" w14:textId="77777777" w:rsidR="005F4A7E" w:rsidRPr="002029AF" w:rsidRDefault="005F4A7E" w:rsidP="00130D1C">
            <w:pPr>
              <w:pStyle w:val="ARfintablebodyright"/>
            </w:pPr>
            <w:r w:rsidRPr="006C72B3">
              <w:t>–</w:t>
            </w:r>
          </w:p>
        </w:tc>
        <w:tc>
          <w:tcPr>
            <w:tcW w:w="1085" w:type="dxa"/>
            <w:tcBorders>
              <w:top w:val="single" w:sz="4" w:space="0" w:color="A6A6A6"/>
              <w:bottom w:val="single" w:sz="4" w:space="0" w:color="A6A6A6"/>
            </w:tcBorders>
            <w:noWrap/>
            <w:hideMark/>
          </w:tcPr>
          <w:p w14:paraId="1C4CF6EB" w14:textId="77777777" w:rsidR="005F4A7E" w:rsidRPr="002029AF" w:rsidRDefault="005F4A7E" w:rsidP="00130D1C">
            <w:pPr>
              <w:pStyle w:val="ARfintablebodyright"/>
            </w:pPr>
            <w:r w:rsidRPr="006C72B3">
              <w:t>22,036.5</w:t>
            </w:r>
          </w:p>
        </w:tc>
        <w:tc>
          <w:tcPr>
            <w:tcW w:w="1078" w:type="dxa"/>
            <w:tcBorders>
              <w:top w:val="single" w:sz="4" w:space="0" w:color="A6A6A6"/>
              <w:bottom w:val="single" w:sz="4" w:space="0" w:color="A6A6A6"/>
            </w:tcBorders>
            <w:noWrap/>
            <w:hideMark/>
          </w:tcPr>
          <w:p w14:paraId="4FA9537C" w14:textId="77777777" w:rsidR="005F4A7E" w:rsidRPr="002029AF" w:rsidRDefault="005F4A7E" w:rsidP="00130D1C">
            <w:pPr>
              <w:pStyle w:val="ARfintablebodyright"/>
            </w:pPr>
            <w:r w:rsidRPr="006C72B3">
              <w:t>21,551.4</w:t>
            </w:r>
          </w:p>
        </w:tc>
        <w:tc>
          <w:tcPr>
            <w:tcW w:w="1067" w:type="dxa"/>
            <w:tcBorders>
              <w:top w:val="single" w:sz="4" w:space="0" w:color="A6A6A6"/>
              <w:bottom w:val="single" w:sz="4" w:space="0" w:color="A6A6A6"/>
            </w:tcBorders>
            <w:noWrap/>
            <w:hideMark/>
          </w:tcPr>
          <w:p w14:paraId="2DF4AC24" w14:textId="77777777" w:rsidR="005F4A7E" w:rsidRPr="002029AF" w:rsidRDefault="005F4A7E" w:rsidP="00130D1C">
            <w:pPr>
              <w:pStyle w:val="ARfintablebodyright"/>
            </w:pPr>
            <w:r w:rsidRPr="006C72B3">
              <w:t>485.1</w:t>
            </w:r>
          </w:p>
        </w:tc>
        <w:tc>
          <w:tcPr>
            <w:tcW w:w="433" w:type="dxa"/>
            <w:tcBorders>
              <w:top w:val="single" w:sz="4" w:space="0" w:color="A6A6A6"/>
              <w:bottom w:val="single" w:sz="4" w:space="0" w:color="A6A6A6"/>
            </w:tcBorders>
            <w:noWrap/>
            <w:hideMark/>
          </w:tcPr>
          <w:p w14:paraId="1E7CB0BB" w14:textId="77777777" w:rsidR="005F4A7E" w:rsidRPr="00327E41" w:rsidRDefault="005F4A7E" w:rsidP="00130D1C">
            <w:pPr>
              <w:pStyle w:val="ARfintablebodyright"/>
              <w:rPr>
                <w:rStyle w:val="Superscript"/>
              </w:rPr>
            </w:pPr>
            <w:r w:rsidRPr="00327E41">
              <w:rPr>
                <w:rStyle w:val="Superscript"/>
              </w:rPr>
              <w:t>(iii)</w:t>
            </w:r>
          </w:p>
        </w:tc>
      </w:tr>
      <w:tr w:rsidR="005F4A7E" w:rsidRPr="002029AF" w14:paraId="5A9D0628" w14:textId="77777777" w:rsidTr="00860E95">
        <w:tc>
          <w:tcPr>
            <w:tcW w:w="3340" w:type="dxa"/>
            <w:tcBorders>
              <w:top w:val="single" w:sz="4" w:space="0" w:color="A6A6A6"/>
              <w:bottom w:val="single" w:sz="4" w:space="0" w:color="A6A6A6"/>
            </w:tcBorders>
            <w:hideMark/>
          </w:tcPr>
          <w:p w14:paraId="52AF8D41" w14:textId="77777777" w:rsidR="005F4A7E" w:rsidRPr="002029AF" w:rsidRDefault="005F4A7E" w:rsidP="00130D1C">
            <w:pPr>
              <w:pStyle w:val="ARfintablebody"/>
            </w:pPr>
            <w:r w:rsidRPr="006C72B3">
              <w:t>Additions to net assets</w:t>
            </w:r>
          </w:p>
        </w:tc>
        <w:tc>
          <w:tcPr>
            <w:tcW w:w="1085" w:type="dxa"/>
            <w:tcBorders>
              <w:top w:val="single" w:sz="4" w:space="0" w:color="A6A6A6"/>
              <w:bottom w:val="single" w:sz="4" w:space="0" w:color="A6A6A6"/>
            </w:tcBorders>
            <w:noWrap/>
            <w:hideMark/>
          </w:tcPr>
          <w:p w14:paraId="33CADE9D" w14:textId="77777777" w:rsidR="005F4A7E" w:rsidRPr="002029AF" w:rsidRDefault="005F4A7E" w:rsidP="00130D1C">
            <w:pPr>
              <w:pStyle w:val="ARfintablebodyright"/>
            </w:pPr>
            <w:r w:rsidRPr="006C72B3">
              <w:t>613.2</w:t>
            </w:r>
          </w:p>
        </w:tc>
        <w:tc>
          <w:tcPr>
            <w:tcW w:w="1075" w:type="dxa"/>
            <w:tcBorders>
              <w:top w:val="single" w:sz="4" w:space="0" w:color="A6A6A6"/>
              <w:bottom w:val="single" w:sz="4" w:space="0" w:color="A6A6A6"/>
            </w:tcBorders>
            <w:noWrap/>
            <w:hideMark/>
          </w:tcPr>
          <w:p w14:paraId="08CB0B60" w14:textId="77777777" w:rsidR="005F4A7E" w:rsidRPr="002029AF" w:rsidRDefault="005F4A7E" w:rsidP="00130D1C">
            <w:pPr>
              <w:pStyle w:val="ARfintablebodyright"/>
            </w:pPr>
            <w:r w:rsidRPr="006C72B3">
              <w:t>2.0</w:t>
            </w:r>
          </w:p>
        </w:tc>
        <w:tc>
          <w:tcPr>
            <w:tcW w:w="1040" w:type="dxa"/>
            <w:tcBorders>
              <w:top w:val="single" w:sz="4" w:space="0" w:color="A6A6A6"/>
              <w:bottom w:val="single" w:sz="4" w:space="0" w:color="A6A6A6"/>
            </w:tcBorders>
            <w:noWrap/>
            <w:hideMark/>
          </w:tcPr>
          <w:p w14:paraId="70800949" w14:textId="77777777" w:rsidR="005F4A7E" w:rsidRPr="002029AF" w:rsidRDefault="005F4A7E" w:rsidP="00130D1C">
            <w:pPr>
              <w:pStyle w:val="ARfintablebodyright"/>
            </w:pPr>
            <w:r w:rsidRPr="006C72B3">
              <w:t>–</w:t>
            </w:r>
          </w:p>
        </w:tc>
        <w:tc>
          <w:tcPr>
            <w:tcW w:w="1040" w:type="dxa"/>
            <w:tcBorders>
              <w:top w:val="single" w:sz="4" w:space="0" w:color="A6A6A6"/>
              <w:bottom w:val="single" w:sz="4" w:space="0" w:color="A6A6A6"/>
              <w:right w:val="nil"/>
            </w:tcBorders>
            <w:shd w:val="clear" w:color="auto" w:fill="E7E6E6"/>
            <w:noWrap/>
            <w:hideMark/>
          </w:tcPr>
          <w:p w14:paraId="7AF1242F" w14:textId="77777777" w:rsidR="005F4A7E" w:rsidRPr="002029AF" w:rsidRDefault="005F4A7E" w:rsidP="00130D1C">
            <w:pPr>
              <w:pStyle w:val="ARfintablebodyright"/>
            </w:pPr>
            <w:r w:rsidRPr="006C72B3">
              <w:t>19.8</w:t>
            </w:r>
          </w:p>
        </w:tc>
        <w:tc>
          <w:tcPr>
            <w:tcW w:w="1072" w:type="dxa"/>
            <w:tcBorders>
              <w:top w:val="single" w:sz="4" w:space="0" w:color="A6A6A6"/>
              <w:left w:val="nil"/>
              <w:bottom w:val="single" w:sz="4" w:space="0" w:color="A6A6A6"/>
              <w:right w:val="nil"/>
            </w:tcBorders>
            <w:shd w:val="clear" w:color="auto" w:fill="E7E6E6"/>
            <w:noWrap/>
            <w:hideMark/>
          </w:tcPr>
          <w:p w14:paraId="10062A38" w14:textId="77777777" w:rsidR="005F4A7E" w:rsidRPr="002029AF" w:rsidRDefault="005F4A7E" w:rsidP="00130D1C">
            <w:pPr>
              <w:pStyle w:val="ARfintablebodyright"/>
            </w:pPr>
            <w:r w:rsidRPr="006C72B3">
              <w:t>(28.8)</w:t>
            </w:r>
          </w:p>
        </w:tc>
        <w:tc>
          <w:tcPr>
            <w:tcW w:w="1072" w:type="dxa"/>
            <w:tcBorders>
              <w:top w:val="single" w:sz="4" w:space="0" w:color="A6A6A6"/>
              <w:left w:val="nil"/>
              <w:bottom w:val="single" w:sz="4" w:space="0" w:color="A6A6A6"/>
              <w:right w:val="nil"/>
            </w:tcBorders>
            <w:shd w:val="clear" w:color="auto" w:fill="E7E6E6"/>
            <w:noWrap/>
            <w:hideMark/>
          </w:tcPr>
          <w:p w14:paraId="578E65A8" w14:textId="77777777" w:rsidR="005F4A7E" w:rsidRPr="002029AF" w:rsidRDefault="005F4A7E" w:rsidP="00130D1C">
            <w:pPr>
              <w:pStyle w:val="ARfintablebodyright"/>
            </w:pPr>
            <w:r w:rsidRPr="006C72B3">
              <w:t>–</w:t>
            </w:r>
          </w:p>
        </w:tc>
        <w:tc>
          <w:tcPr>
            <w:tcW w:w="1072" w:type="dxa"/>
            <w:tcBorders>
              <w:top w:val="single" w:sz="4" w:space="0" w:color="A6A6A6"/>
              <w:left w:val="nil"/>
              <w:bottom w:val="single" w:sz="4" w:space="0" w:color="A6A6A6"/>
            </w:tcBorders>
            <w:shd w:val="clear" w:color="auto" w:fill="E7E6E6"/>
            <w:noWrap/>
            <w:hideMark/>
          </w:tcPr>
          <w:p w14:paraId="0CDECA88" w14:textId="77777777" w:rsidR="005F4A7E" w:rsidRPr="002029AF" w:rsidRDefault="005F4A7E" w:rsidP="00130D1C">
            <w:pPr>
              <w:pStyle w:val="ARfintablebodyright"/>
            </w:pPr>
            <w:r w:rsidRPr="006C72B3">
              <w:t>–</w:t>
            </w:r>
          </w:p>
        </w:tc>
        <w:tc>
          <w:tcPr>
            <w:tcW w:w="1085" w:type="dxa"/>
            <w:tcBorders>
              <w:top w:val="single" w:sz="4" w:space="0" w:color="A6A6A6"/>
              <w:bottom w:val="single" w:sz="4" w:space="0" w:color="A6A6A6"/>
            </w:tcBorders>
            <w:noWrap/>
            <w:hideMark/>
          </w:tcPr>
          <w:p w14:paraId="5A0C777B" w14:textId="77777777" w:rsidR="005F4A7E" w:rsidRPr="002029AF" w:rsidRDefault="005F4A7E" w:rsidP="00130D1C">
            <w:pPr>
              <w:pStyle w:val="ARfintablebodyright"/>
            </w:pPr>
            <w:r w:rsidRPr="006C72B3">
              <w:t>606.2</w:t>
            </w:r>
          </w:p>
        </w:tc>
        <w:tc>
          <w:tcPr>
            <w:tcW w:w="1078" w:type="dxa"/>
            <w:tcBorders>
              <w:top w:val="single" w:sz="4" w:space="0" w:color="A6A6A6"/>
              <w:bottom w:val="single" w:sz="4" w:space="0" w:color="A6A6A6"/>
            </w:tcBorders>
            <w:noWrap/>
            <w:hideMark/>
          </w:tcPr>
          <w:p w14:paraId="2B508CBE" w14:textId="77777777" w:rsidR="005F4A7E" w:rsidRPr="002029AF" w:rsidRDefault="005F4A7E" w:rsidP="00130D1C">
            <w:pPr>
              <w:pStyle w:val="ARfintablebodyright"/>
            </w:pPr>
            <w:r w:rsidRPr="006C72B3">
              <w:t>424.6</w:t>
            </w:r>
          </w:p>
        </w:tc>
        <w:tc>
          <w:tcPr>
            <w:tcW w:w="1067" w:type="dxa"/>
            <w:tcBorders>
              <w:top w:val="single" w:sz="4" w:space="0" w:color="A6A6A6"/>
              <w:bottom w:val="single" w:sz="4" w:space="0" w:color="A6A6A6"/>
            </w:tcBorders>
            <w:noWrap/>
            <w:hideMark/>
          </w:tcPr>
          <w:p w14:paraId="4C340D72" w14:textId="77777777" w:rsidR="005F4A7E" w:rsidRPr="002029AF" w:rsidRDefault="005F4A7E" w:rsidP="00130D1C">
            <w:pPr>
              <w:pStyle w:val="ARfintablebodyright"/>
            </w:pPr>
            <w:r w:rsidRPr="006C72B3">
              <w:t>181.6</w:t>
            </w:r>
          </w:p>
        </w:tc>
        <w:tc>
          <w:tcPr>
            <w:tcW w:w="433" w:type="dxa"/>
            <w:tcBorders>
              <w:top w:val="single" w:sz="4" w:space="0" w:color="A6A6A6"/>
              <w:bottom w:val="single" w:sz="4" w:space="0" w:color="A6A6A6"/>
            </w:tcBorders>
            <w:noWrap/>
            <w:hideMark/>
          </w:tcPr>
          <w:p w14:paraId="03F49FA4" w14:textId="77777777" w:rsidR="005F4A7E" w:rsidRPr="00327E41" w:rsidRDefault="005F4A7E" w:rsidP="00130D1C">
            <w:pPr>
              <w:pStyle w:val="ARfintablebodyright"/>
              <w:rPr>
                <w:rStyle w:val="Superscript"/>
              </w:rPr>
            </w:pPr>
            <w:r w:rsidRPr="00327E41">
              <w:rPr>
                <w:rStyle w:val="Superscript"/>
              </w:rPr>
              <w:t>(iv)</w:t>
            </w:r>
          </w:p>
        </w:tc>
      </w:tr>
      <w:tr w:rsidR="005F4A7E" w:rsidRPr="002029AF" w14:paraId="4BB2458D" w14:textId="77777777" w:rsidTr="00860E95">
        <w:tc>
          <w:tcPr>
            <w:tcW w:w="14459" w:type="dxa"/>
            <w:gridSpan w:val="12"/>
            <w:tcBorders>
              <w:top w:val="single" w:sz="4" w:space="0" w:color="A6A6A6"/>
              <w:bottom w:val="single" w:sz="4" w:space="0" w:color="A6A6A6"/>
            </w:tcBorders>
            <w:hideMark/>
          </w:tcPr>
          <w:p w14:paraId="5502137B" w14:textId="77777777" w:rsidR="005F4A7E" w:rsidRPr="002029AF" w:rsidRDefault="005F4A7E" w:rsidP="00130D1C">
            <w:pPr>
              <w:pStyle w:val="ARfintablebodybold"/>
            </w:pPr>
            <w:r w:rsidRPr="006C72B3">
              <w:t>Administered</w:t>
            </w:r>
          </w:p>
        </w:tc>
      </w:tr>
      <w:tr w:rsidR="005F4A7E" w:rsidRPr="002029AF" w14:paraId="5AE76DDD" w14:textId="77777777" w:rsidTr="00860E95">
        <w:tc>
          <w:tcPr>
            <w:tcW w:w="3340" w:type="dxa"/>
            <w:tcBorders>
              <w:top w:val="single" w:sz="4" w:space="0" w:color="A6A6A6"/>
            </w:tcBorders>
            <w:hideMark/>
          </w:tcPr>
          <w:p w14:paraId="11231355" w14:textId="77777777" w:rsidR="005F4A7E" w:rsidRPr="002029AF" w:rsidRDefault="005F4A7E" w:rsidP="00130D1C">
            <w:pPr>
              <w:pStyle w:val="ARfintablebody"/>
            </w:pPr>
            <w:r w:rsidRPr="006C72B3">
              <w:t>Payments made on behalf of the state</w:t>
            </w:r>
          </w:p>
        </w:tc>
        <w:tc>
          <w:tcPr>
            <w:tcW w:w="1085" w:type="dxa"/>
            <w:tcBorders>
              <w:top w:val="single" w:sz="4" w:space="0" w:color="A6A6A6"/>
            </w:tcBorders>
            <w:noWrap/>
            <w:hideMark/>
          </w:tcPr>
          <w:p w14:paraId="09A966F2" w14:textId="77777777" w:rsidR="005F4A7E" w:rsidRPr="002029AF" w:rsidRDefault="005F4A7E" w:rsidP="00130D1C">
            <w:pPr>
              <w:pStyle w:val="ARfintablebodyright"/>
            </w:pPr>
            <w:r w:rsidRPr="006C72B3">
              <w:t>66.8</w:t>
            </w:r>
          </w:p>
        </w:tc>
        <w:tc>
          <w:tcPr>
            <w:tcW w:w="1075" w:type="dxa"/>
            <w:tcBorders>
              <w:top w:val="single" w:sz="4" w:space="0" w:color="A6A6A6"/>
            </w:tcBorders>
            <w:noWrap/>
            <w:hideMark/>
          </w:tcPr>
          <w:p w14:paraId="42DEF4D5" w14:textId="77777777" w:rsidR="005F4A7E" w:rsidRPr="002029AF" w:rsidRDefault="005F4A7E" w:rsidP="00130D1C">
            <w:pPr>
              <w:pStyle w:val="ARfintablebodyright"/>
            </w:pPr>
            <w:r w:rsidRPr="006C72B3">
              <w:t>–</w:t>
            </w:r>
          </w:p>
        </w:tc>
        <w:tc>
          <w:tcPr>
            <w:tcW w:w="1040" w:type="dxa"/>
            <w:tcBorders>
              <w:top w:val="single" w:sz="4" w:space="0" w:color="A6A6A6"/>
            </w:tcBorders>
            <w:noWrap/>
            <w:hideMark/>
          </w:tcPr>
          <w:p w14:paraId="7E635B94" w14:textId="77777777" w:rsidR="005F4A7E" w:rsidRPr="002029AF" w:rsidRDefault="005F4A7E" w:rsidP="00130D1C">
            <w:pPr>
              <w:pStyle w:val="ARfintablebodyright"/>
            </w:pPr>
            <w:r w:rsidRPr="006C72B3">
              <w:t>–</w:t>
            </w:r>
          </w:p>
        </w:tc>
        <w:tc>
          <w:tcPr>
            <w:tcW w:w="1040" w:type="dxa"/>
            <w:tcBorders>
              <w:top w:val="single" w:sz="4" w:space="0" w:color="A6A6A6"/>
              <w:right w:val="nil"/>
            </w:tcBorders>
            <w:shd w:val="clear" w:color="auto" w:fill="E7E6E6"/>
            <w:noWrap/>
            <w:hideMark/>
          </w:tcPr>
          <w:p w14:paraId="44BD328E" w14:textId="77777777" w:rsidR="005F4A7E" w:rsidRPr="002029AF" w:rsidRDefault="005F4A7E" w:rsidP="00130D1C">
            <w:pPr>
              <w:pStyle w:val="ARfintablebodyright"/>
            </w:pPr>
            <w:r w:rsidRPr="006C72B3">
              <w:t>–</w:t>
            </w:r>
          </w:p>
        </w:tc>
        <w:tc>
          <w:tcPr>
            <w:tcW w:w="1072" w:type="dxa"/>
            <w:tcBorders>
              <w:top w:val="single" w:sz="4" w:space="0" w:color="A6A6A6"/>
              <w:left w:val="nil"/>
              <w:right w:val="nil"/>
            </w:tcBorders>
            <w:shd w:val="clear" w:color="auto" w:fill="E7E6E6"/>
            <w:noWrap/>
            <w:hideMark/>
          </w:tcPr>
          <w:p w14:paraId="294939BE" w14:textId="77777777" w:rsidR="005F4A7E" w:rsidRPr="002029AF" w:rsidRDefault="005F4A7E" w:rsidP="00130D1C">
            <w:pPr>
              <w:pStyle w:val="ARfintablebodyright"/>
            </w:pPr>
            <w:r w:rsidRPr="006C72B3">
              <w:t>–</w:t>
            </w:r>
          </w:p>
        </w:tc>
        <w:tc>
          <w:tcPr>
            <w:tcW w:w="1072" w:type="dxa"/>
            <w:tcBorders>
              <w:top w:val="single" w:sz="4" w:space="0" w:color="A6A6A6"/>
              <w:left w:val="nil"/>
              <w:right w:val="nil"/>
            </w:tcBorders>
            <w:shd w:val="clear" w:color="auto" w:fill="E7E6E6"/>
            <w:noWrap/>
            <w:hideMark/>
          </w:tcPr>
          <w:p w14:paraId="793904CA" w14:textId="77777777" w:rsidR="005F4A7E" w:rsidRPr="002029AF" w:rsidRDefault="005F4A7E" w:rsidP="00130D1C">
            <w:pPr>
              <w:pStyle w:val="ARfintablebodyright"/>
            </w:pPr>
            <w:r w:rsidRPr="006C72B3">
              <w:t>–</w:t>
            </w:r>
          </w:p>
        </w:tc>
        <w:tc>
          <w:tcPr>
            <w:tcW w:w="1072" w:type="dxa"/>
            <w:tcBorders>
              <w:top w:val="single" w:sz="4" w:space="0" w:color="A6A6A6"/>
              <w:left w:val="nil"/>
            </w:tcBorders>
            <w:shd w:val="clear" w:color="auto" w:fill="E7E6E6"/>
            <w:noWrap/>
            <w:hideMark/>
          </w:tcPr>
          <w:p w14:paraId="1B79A043" w14:textId="77777777" w:rsidR="005F4A7E" w:rsidRPr="002029AF" w:rsidRDefault="005F4A7E" w:rsidP="00130D1C">
            <w:pPr>
              <w:pStyle w:val="ARfintablebodyright"/>
            </w:pPr>
            <w:r w:rsidRPr="006C72B3">
              <w:t>–</w:t>
            </w:r>
          </w:p>
        </w:tc>
        <w:tc>
          <w:tcPr>
            <w:tcW w:w="1085" w:type="dxa"/>
            <w:tcBorders>
              <w:top w:val="single" w:sz="4" w:space="0" w:color="A6A6A6"/>
            </w:tcBorders>
            <w:noWrap/>
            <w:hideMark/>
          </w:tcPr>
          <w:p w14:paraId="2405ECF4" w14:textId="77777777" w:rsidR="005F4A7E" w:rsidRPr="002029AF" w:rsidRDefault="005F4A7E" w:rsidP="00130D1C">
            <w:pPr>
              <w:pStyle w:val="ARfintablebodyright"/>
            </w:pPr>
            <w:r w:rsidRPr="006C72B3">
              <w:t>66.8</w:t>
            </w:r>
          </w:p>
        </w:tc>
        <w:tc>
          <w:tcPr>
            <w:tcW w:w="1078" w:type="dxa"/>
            <w:tcBorders>
              <w:top w:val="single" w:sz="4" w:space="0" w:color="A6A6A6"/>
            </w:tcBorders>
            <w:noWrap/>
            <w:hideMark/>
          </w:tcPr>
          <w:p w14:paraId="1260127A" w14:textId="77777777" w:rsidR="005F4A7E" w:rsidRPr="002029AF" w:rsidRDefault="005F4A7E" w:rsidP="00130D1C">
            <w:pPr>
              <w:pStyle w:val="ARfintablebodyright"/>
            </w:pPr>
            <w:r w:rsidRPr="006C72B3">
              <w:t>66.8</w:t>
            </w:r>
          </w:p>
        </w:tc>
        <w:tc>
          <w:tcPr>
            <w:tcW w:w="1067" w:type="dxa"/>
            <w:tcBorders>
              <w:top w:val="single" w:sz="4" w:space="0" w:color="A6A6A6"/>
            </w:tcBorders>
            <w:noWrap/>
            <w:hideMark/>
          </w:tcPr>
          <w:p w14:paraId="0AB190E4" w14:textId="77777777" w:rsidR="005F4A7E" w:rsidRPr="002029AF" w:rsidRDefault="005F4A7E" w:rsidP="00130D1C">
            <w:pPr>
              <w:pStyle w:val="ARfintablebodyright"/>
            </w:pPr>
            <w:r w:rsidRPr="006C72B3">
              <w:t>–</w:t>
            </w:r>
          </w:p>
        </w:tc>
        <w:tc>
          <w:tcPr>
            <w:tcW w:w="433" w:type="dxa"/>
            <w:tcBorders>
              <w:top w:val="single" w:sz="4" w:space="0" w:color="A6A6A6"/>
            </w:tcBorders>
            <w:noWrap/>
            <w:hideMark/>
          </w:tcPr>
          <w:p w14:paraId="591021A4" w14:textId="77777777" w:rsidR="005F4A7E" w:rsidRPr="002029AF" w:rsidRDefault="005F4A7E" w:rsidP="00130D1C">
            <w:pPr>
              <w:pStyle w:val="ARfintablebodyright"/>
            </w:pPr>
          </w:p>
        </w:tc>
      </w:tr>
      <w:tr w:rsidR="005F4A7E" w:rsidRPr="002029AF" w14:paraId="0EF3C658" w14:textId="77777777" w:rsidTr="00860E95">
        <w:tc>
          <w:tcPr>
            <w:tcW w:w="3340" w:type="dxa"/>
            <w:hideMark/>
          </w:tcPr>
          <w:p w14:paraId="7B6E9697" w14:textId="77777777" w:rsidR="005F4A7E" w:rsidRPr="002029AF" w:rsidRDefault="005F4A7E" w:rsidP="00130D1C">
            <w:pPr>
              <w:pStyle w:val="ARfintablebodybold"/>
            </w:pPr>
            <w:r w:rsidRPr="006C72B3">
              <w:t>Total</w:t>
            </w:r>
          </w:p>
        </w:tc>
        <w:tc>
          <w:tcPr>
            <w:tcW w:w="1085" w:type="dxa"/>
            <w:noWrap/>
            <w:hideMark/>
          </w:tcPr>
          <w:p w14:paraId="5C9420DB" w14:textId="77777777" w:rsidR="005F4A7E" w:rsidRPr="002029AF" w:rsidRDefault="005F4A7E" w:rsidP="00130D1C">
            <w:pPr>
              <w:pStyle w:val="ARfintablebodyrightbold"/>
            </w:pPr>
            <w:r w:rsidRPr="006C72B3">
              <w:t>20,057.1</w:t>
            </w:r>
          </w:p>
        </w:tc>
        <w:tc>
          <w:tcPr>
            <w:tcW w:w="1075" w:type="dxa"/>
            <w:noWrap/>
            <w:hideMark/>
          </w:tcPr>
          <w:p w14:paraId="39BD5118" w14:textId="77777777" w:rsidR="005F4A7E" w:rsidRPr="002029AF" w:rsidRDefault="005F4A7E" w:rsidP="00130D1C">
            <w:pPr>
              <w:pStyle w:val="ARfintablebodyrightbold"/>
            </w:pPr>
            <w:r w:rsidRPr="006C72B3">
              <w:t>1,608.4</w:t>
            </w:r>
          </w:p>
        </w:tc>
        <w:tc>
          <w:tcPr>
            <w:tcW w:w="1040" w:type="dxa"/>
            <w:noWrap/>
            <w:hideMark/>
          </w:tcPr>
          <w:p w14:paraId="2EDCCFE6" w14:textId="77777777" w:rsidR="005F4A7E" w:rsidRPr="002029AF" w:rsidRDefault="005F4A7E" w:rsidP="00130D1C">
            <w:pPr>
              <w:pStyle w:val="ARfintablebodyrightbold"/>
            </w:pPr>
            <w:r w:rsidRPr="006C72B3">
              <w:t>–</w:t>
            </w:r>
          </w:p>
        </w:tc>
        <w:tc>
          <w:tcPr>
            <w:tcW w:w="1040" w:type="dxa"/>
            <w:tcBorders>
              <w:top w:val="single" w:sz="4" w:space="0" w:color="auto"/>
              <w:right w:val="nil"/>
            </w:tcBorders>
            <w:shd w:val="clear" w:color="auto" w:fill="E7E6E6"/>
            <w:noWrap/>
            <w:hideMark/>
          </w:tcPr>
          <w:p w14:paraId="68207DA6" w14:textId="77777777" w:rsidR="005F4A7E" w:rsidRPr="002029AF" w:rsidRDefault="005F4A7E" w:rsidP="00130D1C">
            <w:pPr>
              <w:pStyle w:val="ARfintablebodyrightbold"/>
            </w:pPr>
            <w:r w:rsidRPr="006C72B3">
              <w:t>999.1</w:t>
            </w:r>
          </w:p>
        </w:tc>
        <w:tc>
          <w:tcPr>
            <w:tcW w:w="1072" w:type="dxa"/>
            <w:tcBorders>
              <w:top w:val="single" w:sz="4" w:space="0" w:color="auto"/>
              <w:left w:val="nil"/>
              <w:right w:val="nil"/>
            </w:tcBorders>
            <w:shd w:val="clear" w:color="auto" w:fill="E7E6E6"/>
            <w:noWrap/>
            <w:hideMark/>
          </w:tcPr>
          <w:p w14:paraId="41813401" w14:textId="77777777" w:rsidR="005F4A7E" w:rsidRPr="002029AF" w:rsidRDefault="005F4A7E" w:rsidP="00130D1C">
            <w:pPr>
              <w:pStyle w:val="ARfintablebodyrightbold"/>
            </w:pPr>
            <w:r w:rsidRPr="006C72B3">
              <w:t>–</w:t>
            </w:r>
          </w:p>
        </w:tc>
        <w:tc>
          <w:tcPr>
            <w:tcW w:w="1072" w:type="dxa"/>
            <w:tcBorders>
              <w:left w:val="nil"/>
              <w:right w:val="nil"/>
            </w:tcBorders>
            <w:shd w:val="clear" w:color="auto" w:fill="E7E6E6"/>
            <w:noWrap/>
            <w:hideMark/>
          </w:tcPr>
          <w:p w14:paraId="14B4D705" w14:textId="77777777" w:rsidR="005F4A7E" w:rsidRPr="002029AF" w:rsidRDefault="005F4A7E" w:rsidP="00130D1C">
            <w:pPr>
              <w:pStyle w:val="ARfintablebodyrightbold"/>
            </w:pPr>
            <w:r w:rsidRPr="006C72B3">
              <w:t>44.9</w:t>
            </w:r>
          </w:p>
        </w:tc>
        <w:tc>
          <w:tcPr>
            <w:tcW w:w="1072" w:type="dxa"/>
            <w:tcBorders>
              <w:left w:val="nil"/>
            </w:tcBorders>
            <w:shd w:val="clear" w:color="auto" w:fill="E7E6E6"/>
            <w:noWrap/>
            <w:hideMark/>
          </w:tcPr>
          <w:p w14:paraId="78A98752" w14:textId="77777777" w:rsidR="005F4A7E" w:rsidRPr="002029AF" w:rsidRDefault="005F4A7E" w:rsidP="00130D1C">
            <w:pPr>
              <w:pStyle w:val="ARfintablebodyrightbold"/>
            </w:pPr>
            <w:r w:rsidRPr="006C72B3">
              <w:t>–</w:t>
            </w:r>
          </w:p>
        </w:tc>
        <w:tc>
          <w:tcPr>
            <w:tcW w:w="1085" w:type="dxa"/>
            <w:noWrap/>
            <w:hideMark/>
          </w:tcPr>
          <w:p w14:paraId="1AB950F3" w14:textId="77777777" w:rsidR="005F4A7E" w:rsidRPr="002029AF" w:rsidRDefault="005F4A7E" w:rsidP="00130D1C">
            <w:pPr>
              <w:pStyle w:val="ARfintablebodyrightbold"/>
            </w:pPr>
            <w:r w:rsidRPr="006C72B3">
              <w:t>22,709.5</w:t>
            </w:r>
          </w:p>
        </w:tc>
        <w:tc>
          <w:tcPr>
            <w:tcW w:w="1078" w:type="dxa"/>
            <w:noWrap/>
            <w:hideMark/>
          </w:tcPr>
          <w:p w14:paraId="52632D01" w14:textId="77777777" w:rsidR="005F4A7E" w:rsidRPr="002029AF" w:rsidRDefault="005F4A7E" w:rsidP="00130D1C">
            <w:pPr>
              <w:pStyle w:val="ARfintablebodyrightbold"/>
            </w:pPr>
            <w:r w:rsidRPr="006C72B3">
              <w:t>22,042.8</w:t>
            </w:r>
          </w:p>
        </w:tc>
        <w:tc>
          <w:tcPr>
            <w:tcW w:w="1067" w:type="dxa"/>
            <w:noWrap/>
            <w:hideMark/>
          </w:tcPr>
          <w:p w14:paraId="41C25814" w14:textId="77777777" w:rsidR="005F4A7E" w:rsidRPr="002029AF" w:rsidRDefault="005F4A7E" w:rsidP="00130D1C">
            <w:pPr>
              <w:pStyle w:val="ARfintablebodyrightbold"/>
            </w:pPr>
            <w:r w:rsidRPr="006C72B3">
              <w:t>666.7</w:t>
            </w:r>
          </w:p>
        </w:tc>
        <w:tc>
          <w:tcPr>
            <w:tcW w:w="433" w:type="dxa"/>
            <w:noWrap/>
            <w:hideMark/>
          </w:tcPr>
          <w:p w14:paraId="57B9D380" w14:textId="77777777" w:rsidR="005F4A7E" w:rsidRPr="002029AF" w:rsidRDefault="005F4A7E" w:rsidP="00130D1C">
            <w:pPr>
              <w:pStyle w:val="ARfintablebodyrightbold"/>
            </w:pPr>
          </w:p>
        </w:tc>
      </w:tr>
      <w:tr w:rsidR="005F4A7E" w:rsidRPr="002029AF" w14:paraId="3EF66F9E" w14:textId="77777777" w:rsidTr="00860E95">
        <w:tc>
          <w:tcPr>
            <w:tcW w:w="14459" w:type="dxa"/>
            <w:gridSpan w:val="12"/>
            <w:tcBorders>
              <w:bottom w:val="single" w:sz="4" w:space="0" w:color="auto"/>
            </w:tcBorders>
            <w:hideMark/>
          </w:tcPr>
          <w:p w14:paraId="390CE693" w14:textId="77777777" w:rsidR="005F4A7E" w:rsidRPr="002029AF" w:rsidRDefault="005F4A7E" w:rsidP="00130D1C">
            <w:pPr>
              <w:pStyle w:val="ARfintablebodybold"/>
            </w:pPr>
            <w:r w:rsidRPr="006C72B3">
              <w:t>2020</w:t>
            </w:r>
          </w:p>
        </w:tc>
      </w:tr>
      <w:tr w:rsidR="005F4A7E" w:rsidRPr="002029AF" w14:paraId="1214BC03" w14:textId="77777777" w:rsidTr="00860E95">
        <w:tc>
          <w:tcPr>
            <w:tcW w:w="14459" w:type="dxa"/>
            <w:gridSpan w:val="12"/>
            <w:tcBorders>
              <w:top w:val="single" w:sz="4" w:space="0" w:color="auto"/>
              <w:bottom w:val="single" w:sz="4" w:space="0" w:color="A6A6A6"/>
            </w:tcBorders>
            <w:hideMark/>
          </w:tcPr>
          <w:p w14:paraId="0F24CE8D" w14:textId="77777777" w:rsidR="005F4A7E" w:rsidRPr="002029AF" w:rsidRDefault="005F4A7E" w:rsidP="00130D1C">
            <w:pPr>
              <w:pStyle w:val="ARfintablebodybold"/>
            </w:pPr>
            <w:r w:rsidRPr="006C72B3">
              <w:t>Controlled</w:t>
            </w:r>
          </w:p>
        </w:tc>
      </w:tr>
      <w:tr w:rsidR="005F4A7E" w:rsidRPr="002029AF" w14:paraId="6761D389" w14:textId="77777777" w:rsidTr="00860E95">
        <w:tc>
          <w:tcPr>
            <w:tcW w:w="3340" w:type="dxa"/>
            <w:tcBorders>
              <w:top w:val="single" w:sz="4" w:space="0" w:color="A6A6A6"/>
              <w:bottom w:val="single" w:sz="4" w:space="0" w:color="A6A6A6"/>
            </w:tcBorders>
            <w:hideMark/>
          </w:tcPr>
          <w:p w14:paraId="407D68D3" w14:textId="77777777" w:rsidR="005F4A7E" w:rsidRPr="002029AF" w:rsidRDefault="005F4A7E" w:rsidP="00130D1C">
            <w:pPr>
              <w:pStyle w:val="ARfintablebody"/>
            </w:pPr>
            <w:r w:rsidRPr="006C72B3">
              <w:t>Provision of outputs</w:t>
            </w:r>
          </w:p>
        </w:tc>
        <w:tc>
          <w:tcPr>
            <w:tcW w:w="1085" w:type="dxa"/>
            <w:tcBorders>
              <w:top w:val="single" w:sz="4" w:space="0" w:color="A6A6A6"/>
              <w:bottom w:val="single" w:sz="4" w:space="0" w:color="A6A6A6"/>
            </w:tcBorders>
            <w:noWrap/>
            <w:hideMark/>
          </w:tcPr>
          <w:p w14:paraId="262B4729" w14:textId="77777777" w:rsidR="005F4A7E" w:rsidRPr="002029AF" w:rsidRDefault="005F4A7E" w:rsidP="00130D1C">
            <w:pPr>
              <w:pStyle w:val="ARfintablebodyright"/>
            </w:pPr>
            <w:r w:rsidRPr="006C72B3">
              <w:t>15,590.5</w:t>
            </w:r>
          </w:p>
        </w:tc>
        <w:tc>
          <w:tcPr>
            <w:tcW w:w="1075" w:type="dxa"/>
            <w:tcBorders>
              <w:top w:val="single" w:sz="4" w:space="0" w:color="A6A6A6"/>
              <w:bottom w:val="single" w:sz="4" w:space="0" w:color="A6A6A6"/>
            </w:tcBorders>
            <w:noWrap/>
            <w:hideMark/>
          </w:tcPr>
          <w:p w14:paraId="6555C7EF" w14:textId="77777777" w:rsidR="005F4A7E" w:rsidRPr="002029AF" w:rsidRDefault="005F4A7E" w:rsidP="00130D1C">
            <w:pPr>
              <w:pStyle w:val="ARfintablebodyright"/>
            </w:pPr>
            <w:r w:rsidRPr="006C72B3">
              <w:t>1,431.8</w:t>
            </w:r>
          </w:p>
        </w:tc>
        <w:tc>
          <w:tcPr>
            <w:tcW w:w="1040" w:type="dxa"/>
            <w:tcBorders>
              <w:top w:val="single" w:sz="4" w:space="0" w:color="A6A6A6"/>
              <w:bottom w:val="single" w:sz="4" w:space="0" w:color="A6A6A6"/>
            </w:tcBorders>
            <w:noWrap/>
            <w:hideMark/>
          </w:tcPr>
          <w:p w14:paraId="26E40613" w14:textId="77777777" w:rsidR="005F4A7E" w:rsidRPr="002029AF" w:rsidRDefault="005F4A7E" w:rsidP="00130D1C">
            <w:pPr>
              <w:pStyle w:val="ARfintablebodyright"/>
            </w:pPr>
            <w:r w:rsidRPr="006C72B3">
              <w:t>–</w:t>
            </w:r>
          </w:p>
        </w:tc>
        <w:tc>
          <w:tcPr>
            <w:tcW w:w="1040" w:type="dxa"/>
            <w:tcBorders>
              <w:top w:val="single" w:sz="4" w:space="0" w:color="A6A6A6"/>
              <w:bottom w:val="single" w:sz="4" w:space="0" w:color="A6A6A6"/>
              <w:right w:val="nil"/>
            </w:tcBorders>
            <w:shd w:val="clear" w:color="auto" w:fill="E7E6E6"/>
            <w:noWrap/>
            <w:hideMark/>
          </w:tcPr>
          <w:p w14:paraId="14C9D01C" w14:textId="77777777" w:rsidR="005F4A7E" w:rsidRPr="002029AF" w:rsidRDefault="005F4A7E" w:rsidP="00130D1C">
            <w:pPr>
              <w:pStyle w:val="ARfintablebodyright"/>
            </w:pPr>
            <w:r w:rsidRPr="006C72B3">
              <w:t>847.4</w:t>
            </w:r>
          </w:p>
        </w:tc>
        <w:tc>
          <w:tcPr>
            <w:tcW w:w="1072" w:type="dxa"/>
            <w:tcBorders>
              <w:top w:val="single" w:sz="4" w:space="0" w:color="A6A6A6"/>
              <w:left w:val="nil"/>
              <w:bottom w:val="single" w:sz="4" w:space="0" w:color="A6A6A6"/>
              <w:right w:val="nil"/>
            </w:tcBorders>
            <w:shd w:val="clear" w:color="auto" w:fill="E7E6E6"/>
            <w:noWrap/>
            <w:hideMark/>
          </w:tcPr>
          <w:p w14:paraId="1D418768" w14:textId="77777777" w:rsidR="005F4A7E" w:rsidRPr="002029AF" w:rsidRDefault="005F4A7E" w:rsidP="00130D1C">
            <w:pPr>
              <w:pStyle w:val="ARfintablebodyright"/>
            </w:pPr>
            <w:r w:rsidRPr="006C72B3">
              <w:t>42.1</w:t>
            </w:r>
          </w:p>
        </w:tc>
        <w:tc>
          <w:tcPr>
            <w:tcW w:w="1072" w:type="dxa"/>
            <w:tcBorders>
              <w:top w:val="single" w:sz="4" w:space="0" w:color="A6A6A6"/>
              <w:left w:val="nil"/>
              <w:bottom w:val="single" w:sz="4" w:space="0" w:color="A6A6A6"/>
              <w:right w:val="nil"/>
            </w:tcBorders>
            <w:shd w:val="clear" w:color="auto" w:fill="E7E6E6"/>
            <w:noWrap/>
            <w:hideMark/>
          </w:tcPr>
          <w:p w14:paraId="75F47453" w14:textId="77777777" w:rsidR="005F4A7E" w:rsidRPr="002029AF" w:rsidRDefault="005F4A7E" w:rsidP="00130D1C">
            <w:pPr>
              <w:pStyle w:val="ARfintablebodyright"/>
            </w:pPr>
            <w:r w:rsidRPr="006C72B3">
              <w:t>51.8</w:t>
            </w:r>
          </w:p>
        </w:tc>
        <w:tc>
          <w:tcPr>
            <w:tcW w:w="1072" w:type="dxa"/>
            <w:tcBorders>
              <w:top w:val="single" w:sz="4" w:space="0" w:color="A6A6A6"/>
              <w:left w:val="nil"/>
              <w:bottom w:val="single" w:sz="4" w:space="0" w:color="A6A6A6"/>
            </w:tcBorders>
            <w:shd w:val="clear" w:color="auto" w:fill="E7E6E6"/>
            <w:noWrap/>
            <w:hideMark/>
          </w:tcPr>
          <w:p w14:paraId="3E1F824C" w14:textId="77777777" w:rsidR="005F4A7E" w:rsidRPr="002029AF" w:rsidRDefault="005F4A7E" w:rsidP="00130D1C">
            <w:pPr>
              <w:pStyle w:val="ARfintablebodyright"/>
            </w:pPr>
            <w:r w:rsidRPr="006C72B3">
              <w:t>–</w:t>
            </w:r>
          </w:p>
        </w:tc>
        <w:tc>
          <w:tcPr>
            <w:tcW w:w="1085" w:type="dxa"/>
            <w:tcBorders>
              <w:top w:val="single" w:sz="4" w:space="0" w:color="A6A6A6"/>
              <w:bottom w:val="single" w:sz="4" w:space="0" w:color="A6A6A6"/>
            </w:tcBorders>
            <w:noWrap/>
            <w:hideMark/>
          </w:tcPr>
          <w:p w14:paraId="59D6780C" w14:textId="77777777" w:rsidR="005F4A7E" w:rsidRPr="002029AF" w:rsidRDefault="005F4A7E" w:rsidP="00130D1C">
            <w:pPr>
              <w:pStyle w:val="ARfintablebodyright"/>
            </w:pPr>
            <w:r w:rsidRPr="006C72B3">
              <w:t>17,963.6</w:t>
            </w:r>
          </w:p>
        </w:tc>
        <w:tc>
          <w:tcPr>
            <w:tcW w:w="1078" w:type="dxa"/>
            <w:tcBorders>
              <w:top w:val="single" w:sz="4" w:space="0" w:color="A6A6A6"/>
              <w:bottom w:val="single" w:sz="4" w:space="0" w:color="A6A6A6"/>
            </w:tcBorders>
            <w:noWrap/>
            <w:hideMark/>
          </w:tcPr>
          <w:p w14:paraId="13C8476B" w14:textId="77777777" w:rsidR="005F4A7E" w:rsidRPr="002029AF" w:rsidRDefault="005F4A7E" w:rsidP="00130D1C">
            <w:pPr>
              <w:pStyle w:val="ARfintablebodyright"/>
            </w:pPr>
            <w:r w:rsidRPr="006C72B3">
              <w:t>17,600.0</w:t>
            </w:r>
          </w:p>
        </w:tc>
        <w:tc>
          <w:tcPr>
            <w:tcW w:w="1067" w:type="dxa"/>
            <w:tcBorders>
              <w:top w:val="single" w:sz="4" w:space="0" w:color="A6A6A6"/>
              <w:bottom w:val="single" w:sz="4" w:space="0" w:color="A6A6A6"/>
            </w:tcBorders>
            <w:noWrap/>
            <w:hideMark/>
          </w:tcPr>
          <w:p w14:paraId="05688C4C" w14:textId="77777777" w:rsidR="005F4A7E" w:rsidRPr="002029AF" w:rsidRDefault="005F4A7E" w:rsidP="00130D1C">
            <w:pPr>
              <w:pStyle w:val="ARfintablebodyright"/>
            </w:pPr>
            <w:r w:rsidRPr="006C72B3">
              <w:t>363.6</w:t>
            </w:r>
          </w:p>
        </w:tc>
        <w:tc>
          <w:tcPr>
            <w:tcW w:w="433" w:type="dxa"/>
            <w:tcBorders>
              <w:top w:val="single" w:sz="4" w:space="0" w:color="A6A6A6"/>
              <w:bottom w:val="single" w:sz="4" w:space="0" w:color="A6A6A6"/>
            </w:tcBorders>
            <w:noWrap/>
            <w:hideMark/>
          </w:tcPr>
          <w:p w14:paraId="16DAEA79" w14:textId="77777777" w:rsidR="005F4A7E" w:rsidRPr="00327E41" w:rsidRDefault="005F4A7E" w:rsidP="00130D1C">
            <w:pPr>
              <w:pStyle w:val="ARfintablebodyright"/>
              <w:rPr>
                <w:rStyle w:val="Superscript"/>
              </w:rPr>
            </w:pPr>
            <w:r w:rsidRPr="00327E41">
              <w:rPr>
                <w:rStyle w:val="Superscript"/>
              </w:rPr>
              <w:t>(v)</w:t>
            </w:r>
          </w:p>
        </w:tc>
      </w:tr>
      <w:tr w:rsidR="005F4A7E" w:rsidRPr="002029AF" w14:paraId="06BBBDED" w14:textId="77777777" w:rsidTr="00860E95">
        <w:tc>
          <w:tcPr>
            <w:tcW w:w="3340" w:type="dxa"/>
            <w:tcBorders>
              <w:top w:val="single" w:sz="4" w:space="0" w:color="A6A6A6"/>
              <w:bottom w:val="single" w:sz="4" w:space="0" w:color="A6A6A6"/>
            </w:tcBorders>
            <w:hideMark/>
          </w:tcPr>
          <w:p w14:paraId="2EFD15B9" w14:textId="77777777" w:rsidR="005F4A7E" w:rsidRPr="002029AF" w:rsidRDefault="005F4A7E" w:rsidP="00130D1C">
            <w:pPr>
              <w:pStyle w:val="ARfintablebody"/>
            </w:pPr>
            <w:r w:rsidRPr="006C72B3">
              <w:t>Additions to net assets</w:t>
            </w:r>
          </w:p>
        </w:tc>
        <w:tc>
          <w:tcPr>
            <w:tcW w:w="1085" w:type="dxa"/>
            <w:tcBorders>
              <w:top w:val="single" w:sz="4" w:space="0" w:color="A6A6A6"/>
              <w:bottom w:val="single" w:sz="4" w:space="0" w:color="A6A6A6"/>
            </w:tcBorders>
            <w:noWrap/>
            <w:hideMark/>
          </w:tcPr>
          <w:p w14:paraId="3E3723B6" w14:textId="77777777" w:rsidR="005F4A7E" w:rsidRPr="002029AF" w:rsidRDefault="005F4A7E" w:rsidP="00130D1C">
            <w:pPr>
              <w:pStyle w:val="ARfintablebodyright"/>
            </w:pPr>
            <w:r w:rsidRPr="006C72B3">
              <w:t>261.6</w:t>
            </w:r>
          </w:p>
        </w:tc>
        <w:tc>
          <w:tcPr>
            <w:tcW w:w="1075" w:type="dxa"/>
            <w:tcBorders>
              <w:top w:val="single" w:sz="4" w:space="0" w:color="A6A6A6"/>
              <w:bottom w:val="single" w:sz="4" w:space="0" w:color="A6A6A6"/>
            </w:tcBorders>
            <w:noWrap/>
            <w:hideMark/>
          </w:tcPr>
          <w:p w14:paraId="6461DE39" w14:textId="77777777" w:rsidR="005F4A7E" w:rsidRPr="002029AF" w:rsidRDefault="005F4A7E" w:rsidP="00130D1C">
            <w:pPr>
              <w:pStyle w:val="ARfintablebodyright"/>
            </w:pPr>
            <w:r w:rsidRPr="006C72B3">
              <w:t>243.5</w:t>
            </w:r>
          </w:p>
        </w:tc>
        <w:tc>
          <w:tcPr>
            <w:tcW w:w="1040" w:type="dxa"/>
            <w:tcBorders>
              <w:top w:val="single" w:sz="4" w:space="0" w:color="A6A6A6"/>
              <w:bottom w:val="single" w:sz="4" w:space="0" w:color="A6A6A6"/>
            </w:tcBorders>
            <w:noWrap/>
            <w:hideMark/>
          </w:tcPr>
          <w:p w14:paraId="19971A22" w14:textId="77777777" w:rsidR="005F4A7E" w:rsidRPr="002029AF" w:rsidRDefault="005F4A7E" w:rsidP="00130D1C">
            <w:pPr>
              <w:pStyle w:val="ARfintablebodyright"/>
            </w:pPr>
            <w:r w:rsidRPr="006C72B3">
              <w:t>–</w:t>
            </w:r>
          </w:p>
        </w:tc>
        <w:tc>
          <w:tcPr>
            <w:tcW w:w="1040" w:type="dxa"/>
            <w:tcBorders>
              <w:top w:val="single" w:sz="4" w:space="0" w:color="A6A6A6"/>
              <w:bottom w:val="single" w:sz="4" w:space="0" w:color="A6A6A6"/>
              <w:right w:val="nil"/>
            </w:tcBorders>
            <w:shd w:val="clear" w:color="auto" w:fill="E7E6E6"/>
            <w:noWrap/>
            <w:hideMark/>
          </w:tcPr>
          <w:p w14:paraId="54D253A1" w14:textId="77777777" w:rsidR="005F4A7E" w:rsidRPr="002029AF" w:rsidRDefault="005F4A7E" w:rsidP="00130D1C">
            <w:pPr>
              <w:pStyle w:val="ARfintablebodyright"/>
            </w:pPr>
            <w:r w:rsidRPr="006C72B3">
              <w:t>3.6</w:t>
            </w:r>
          </w:p>
        </w:tc>
        <w:tc>
          <w:tcPr>
            <w:tcW w:w="1072" w:type="dxa"/>
            <w:tcBorders>
              <w:top w:val="single" w:sz="4" w:space="0" w:color="A6A6A6"/>
              <w:left w:val="nil"/>
              <w:bottom w:val="single" w:sz="4" w:space="0" w:color="A6A6A6"/>
              <w:right w:val="nil"/>
            </w:tcBorders>
            <w:shd w:val="clear" w:color="auto" w:fill="E7E6E6"/>
            <w:noWrap/>
            <w:hideMark/>
          </w:tcPr>
          <w:p w14:paraId="23DF3A0E" w14:textId="77777777" w:rsidR="005F4A7E" w:rsidRPr="002029AF" w:rsidRDefault="005F4A7E" w:rsidP="00130D1C">
            <w:pPr>
              <w:pStyle w:val="ARfintablebodyright"/>
            </w:pPr>
            <w:r w:rsidRPr="006C72B3">
              <w:t>(42.1)</w:t>
            </w:r>
          </w:p>
        </w:tc>
        <w:tc>
          <w:tcPr>
            <w:tcW w:w="1072" w:type="dxa"/>
            <w:tcBorders>
              <w:top w:val="single" w:sz="4" w:space="0" w:color="A6A6A6"/>
              <w:left w:val="nil"/>
              <w:bottom w:val="single" w:sz="4" w:space="0" w:color="A6A6A6"/>
              <w:right w:val="nil"/>
            </w:tcBorders>
            <w:shd w:val="clear" w:color="auto" w:fill="E7E6E6"/>
            <w:noWrap/>
            <w:hideMark/>
          </w:tcPr>
          <w:p w14:paraId="45C2FA83" w14:textId="77777777" w:rsidR="005F4A7E" w:rsidRPr="002029AF" w:rsidRDefault="005F4A7E" w:rsidP="00130D1C">
            <w:pPr>
              <w:pStyle w:val="ARfintablebodyright"/>
            </w:pPr>
            <w:r w:rsidRPr="006C72B3">
              <w:t>–</w:t>
            </w:r>
          </w:p>
        </w:tc>
        <w:tc>
          <w:tcPr>
            <w:tcW w:w="1072" w:type="dxa"/>
            <w:tcBorders>
              <w:top w:val="single" w:sz="4" w:space="0" w:color="A6A6A6"/>
              <w:left w:val="nil"/>
              <w:bottom w:val="single" w:sz="4" w:space="0" w:color="A6A6A6"/>
            </w:tcBorders>
            <w:shd w:val="clear" w:color="auto" w:fill="E7E6E6"/>
            <w:noWrap/>
            <w:hideMark/>
          </w:tcPr>
          <w:p w14:paraId="64113BBE" w14:textId="77777777" w:rsidR="005F4A7E" w:rsidRPr="002029AF" w:rsidRDefault="005F4A7E" w:rsidP="00130D1C">
            <w:pPr>
              <w:pStyle w:val="ARfintablebodyright"/>
            </w:pPr>
            <w:r w:rsidRPr="006C72B3">
              <w:t>–</w:t>
            </w:r>
          </w:p>
        </w:tc>
        <w:tc>
          <w:tcPr>
            <w:tcW w:w="1085" w:type="dxa"/>
            <w:tcBorders>
              <w:top w:val="single" w:sz="4" w:space="0" w:color="A6A6A6"/>
              <w:bottom w:val="single" w:sz="4" w:space="0" w:color="A6A6A6"/>
            </w:tcBorders>
            <w:noWrap/>
            <w:hideMark/>
          </w:tcPr>
          <w:p w14:paraId="042DE528" w14:textId="77777777" w:rsidR="005F4A7E" w:rsidRPr="002029AF" w:rsidRDefault="005F4A7E" w:rsidP="00130D1C">
            <w:pPr>
              <w:pStyle w:val="ARfintablebodyright"/>
            </w:pPr>
            <w:r w:rsidRPr="006C72B3">
              <w:t>466.6</w:t>
            </w:r>
          </w:p>
        </w:tc>
        <w:tc>
          <w:tcPr>
            <w:tcW w:w="1078" w:type="dxa"/>
            <w:tcBorders>
              <w:top w:val="single" w:sz="4" w:space="0" w:color="A6A6A6"/>
              <w:bottom w:val="single" w:sz="4" w:space="0" w:color="A6A6A6"/>
            </w:tcBorders>
            <w:noWrap/>
            <w:hideMark/>
          </w:tcPr>
          <w:p w14:paraId="6FBCF00B" w14:textId="77777777" w:rsidR="005F4A7E" w:rsidRPr="002029AF" w:rsidRDefault="005F4A7E" w:rsidP="00130D1C">
            <w:pPr>
              <w:pStyle w:val="ARfintablebodyright"/>
            </w:pPr>
            <w:r w:rsidRPr="006C72B3">
              <w:t>266.6</w:t>
            </w:r>
          </w:p>
        </w:tc>
        <w:tc>
          <w:tcPr>
            <w:tcW w:w="1067" w:type="dxa"/>
            <w:tcBorders>
              <w:top w:val="single" w:sz="4" w:space="0" w:color="A6A6A6"/>
              <w:bottom w:val="single" w:sz="4" w:space="0" w:color="A6A6A6"/>
            </w:tcBorders>
            <w:noWrap/>
            <w:hideMark/>
          </w:tcPr>
          <w:p w14:paraId="3E51BEE5" w14:textId="77777777" w:rsidR="005F4A7E" w:rsidRPr="002029AF" w:rsidRDefault="005F4A7E" w:rsidP="00130D1C">
            <w:pPr>
              <w:pStyle w:val="ARfintablebodyright"/>
            </w:pPr>
            <w:r w:rsidRPr="006C72B3">
              <w:t>200.0</w:t>
            </w:r>
          </w:p>
        </w:tc>
        <w:tc>
          <w:tcPr>
            <w:tcW w:w="433" w:type="dxa"/>
            <w:tcBorders>
              <w:top w:val="single" w:sz="4" w:space="0" w:color="A6A6A6"/>
              <w:bottom w:val="single" w:sz="4" w:space="0" w:color="A6A6A6"/>
            </w:tcBorders>
            <w:noWrap/>
            <w:hideMark/>
          </w:tcPr>
          <w:p w14:paraId="61153C6B" w14:textId="77777777" w:rsidR="005F4A7E" w:rsidRPr="00327E41" w:rsidRDefault="005F4A7E" w:rsidP="00130D1C">
            <w:pPr>
              <w:pStyle w:val="ARfintablebodyright"/>
              <w:rPr>
                <w:rStyle w:val="Superscript"/>
              </w:rPr>
            </w:pPr>
            <w:r w:rsidRPr="00327E41">
              <w:rPr>
                <w:rStyle w:val="Superscript"/>
              </w:rPr>
              <w:t>(vi)</w:t>
            </w:r>
          </w:p>
        </w:tc>
      </w:tr>
      <w:tr w:rsidR="005F4A7E" w:rsidRPr="002029AF" w14:paraId="08CD0F95" w14:textId="77777777" w:rsidTr="00860E95">
        <w:tc>
          <w:tcPr>
            <w:tcW w:w="14459" w:type="dxa"/>
            <w:gridSpan w:val="12"/>
            <w:tcBorders>
              <w:top w:val="single" w:sz="4" w:space="0" w:color="A6A6A6"/>
              <w:bottom w:val="single" w:sz="4" w:space="0" w:color="A6A6A6"/>
            </w:tcBorders>
            <w:hideMark/>
          </w:tcPr>
          <w:p w14:paraId="6B71D389" w14:textId="77777777" w:rsidR="005F4A7E" w:rsidRPr="002029AF" w:rsidRDefault="005F4A7E" w:rsidP="00130D1C">
            <w:pPr>
              <w:pStyle w:val="ARfintablebodybold"/>
            </w:pPr>
            <w:r w:rsidRPr="006C72B3">
              <w:t>Administered</w:t>
            </w:r>
          </w:p>
        </w:tc>
      </w:tr>
      <w:tr w:rsidR="005F4A7E" w:rsidRPr="002029AF" w14:paraId="4EF416BB" w14:textId="77777777" w:rsidTr="00860E95">
        <w:tc>
          <w:tcPr>
            <w:tcW w:w="3340" w:type="dxa"/>
            <w:tcBorders>
              <w:top w:val="single" w:sz="4" w:space="0" w:color="A6A6A6"/>
            </w:tcBorders>
            <w:hideMark/>
          </w:tcPr>
          <w:p w14:paraId="3DDB6E51" w14:textId="77777777" w:rsidR="005F4A7E" w:rsidRPr="002029AF" w:rsidRDefault="005F4A7E" w:rsidP="00130D1C">
            <w:pPr>
              <w:pStyle w:val="ARfintablebody"/>
            </w:pPr>
            <w:r w:rsidRPr="006C72B3">
              <w:t>Payments made on behalf of the state</w:t>
            </w:r>
          </w:p>
        </w:tc>
        <w:tc>
          <w:tcPr>
            <w:tcW w:w="1085" w:type="dxa"/>
            <w:tcBorders>
              <w:top w:val="single" w:sz="4" w:space="0" w:color="A6A6A6"/>
            </w:tcBorders>
            <w:noWrap/>
            <w:hideMark/>
          </w:tcPr>
          <w:p w14:paraId="2623F331" w14:textId="77777777" w:rsidR="005F4A7E" w:rsidRPr="002029AF" w:rsidRDefault="005F4A7E" w:rsidP="00130D1C">
            <w:pPr>
              <w:pStyle w:val="ARfintablebodyright"/>
            </w:pPr>
            <w:r w:rsidRPr="006C72B3">
              <w:t>63.8</w:t>
            </w:r>
          </w:p>
        </w:tc>
        <w:tc>
          <w:tcPr>
            <w:tcW w:w="1075" w:type="dxa"/>
            <w:tcBorders>
              <w:top w:val="single" w:sz="4" w:space="0" w:color="A6A6A6"/>
            </w:tcBorders>
            <w:noWrap/>
            <w:hideMark/>
          </w:tcPr>
          <w:p w14:paraId="4C356981" w14:textId="77777777" w:rsidR="005F4A7E" w:rsidRPr="002029AF" w:rsidRDefault="005F4A7E" w:rsidP="00130D1C">
            <w:pPr>
              <w:pStyle w:val="ARfintablebodyright"/>
            </w:pPr>
            <w:r w:rsidRPr="006C72B3">
              <w:t>0.7</w:t>
            </w:r>
          </w:p>
        </w:tc>
        <w:tc>
          <w:tcPr>
            <w:tcW w:w="1040" w:type="dxa"/>
            <w:tcBorders>
              <w:top w:val="single" w:sz="4" w:space="0" w:color="A6A6A6"/>
            </w:tcBorders>
            <w:noWrap/>
            <w:hideMark/>
          </w:tcPr>
          <w:p w14:paraId="381D5760" w14:textId="77777777" w:rsidR="005F4A7E" w:rsidRPr="002029AF" w:rsidRDefault="005F4A7E" w:rsidP="00130D1C">
            <w:pPr>
              <w:pStyle w:val="ARfintablebodyright"/>
            </w:pPr>
            <w:r w:rsidRPr="006C72B3">
              <w:t>–</w:t>
            </w:r>
          </w:p>
        </w:tc>
        <w:tc>
          <w:tcPr>
            <w:tcW w:w="1040" w:type="dxa"/>
            <w:tcBorders>
              <w:top w:val="single" w:sz="4" w:space="0" w:color="A6A6A6"/>
              <w:right w:val="nil"/>
            </w:tcBorders>
            <w:shd w:val="clear" w:color="auto" w:fill="E7E6E6"/>
            <w:noWrap/>
            <w:hideMark/>
          </w:tcPr>
          <w:p w14:paraId="58ADCBB9" w14:textId="77777777" w:rsidR="005F4A7E" w:rsidRPr="002029AF" w:rsidRDefault="005F4A7E" w:rsidP="00130D1C">
            <w:pPr>
              <w:pStyle w:val="ARfintablebodyright"/>
            </w:pPr>
            <w:r w:rsidRPr="006C72B3">
              <w:t>–</w:t>
            </w:r>
          </w:p>
        </w:tc>
        <w:tc>
          <w:tcPr>
            <w:tcW w:w="1072" w:type="dxa"/>
            <w:tcBorders>
              <w:top w:val="single" w:sz="4" w:space="0" w:color="A6A6A6"/>
              <w:left w:val="nil"/>
              <w:right w:val="nil"/>
            </w:tcBorders>
            <w:shd w:val="clear" w:color="auto" w:fill="E7E6E6"/>
            <w:noWrap/>
            <w:hideMark/>
          </w:tcPr>
          <w:p w14:paraId="1E6D6DD9" w14:textId="77777777" w:rsidR="005F4A7E" w:rsidRPr="002029AF" w:rsidRDefault="005F4A7E" w:rsidP="00130D1C">
            <w:pPr>
              <w:pStyle w:val="ARfintablebodyright"/>
            </w:pPr>
            <w:r w:rsidRPr="006C72B3">
              <w:t>–</w:t>
            </w:r>
          </w:p>
        </w:tc>
        <w:tc>
          <w:tcPr>
            <w:tcW w:w="1072" w:type="dxa"/>
            <w:tcBorders>
              <w:top w:val="single" w:sz="4" w:space="0" w:color="A6A6A6"/>
              <w:left w:val="nil"/>
              <w:right w:val="nil"/>
            </w:tcBorders>
            <w:shd w:val="clear" w:color="auto" w:fill="E7E6E6"/>
            <w:noWrap/>
            <w:hideMark/>
          </w:tcPr>
          <w:p w14:paraId="671BD80D" w14:textId="77777777" w:rsidR="005F4A7E" w:rsidRPr="002029AF" w:rsidRDefault="005F4A7E" w:rsidP="00130D1C">
            <w:pPr>
              <w:pStyle w:val="ARfintablebodyright"/>
            </w:pPr>
            <w:r w:rsidRPr="006C72B3">
              <w:t>–</w:t>
            </w:r>
          </w:p>
        </w:tc>
        <w:tc>
          <w:tcPr>
            <w:tcW w:w="1072" w:type="dxa"/>
            <w:tcBorders>
              <w:top w:val="single" w:sz="4" w:space="0" w:color="A6A6A6"/>
              <w:left w:val="nil"/>
            </w:tcBorders>
            <w:shd w:val="clear" w:color="auto" w:fill="E7E6E6"/>
            <w:noWrap/>
            <w:hideMark/>
          </w:tcPr>
          <w:p w14:paraId="323C49BC" w14:textId="77777777" w:rsidR="005F4A7E" w:rsidRPr="002029AF" w:rsidRDefault="005F4A7E" w:rsidP="00130D1C">
            <w:pPr>
              <w:pStyle w:val="ARfintablebodyright"/>
            </w:pPr>
            <w:r w:rsidRPr="006C72B3">
              <w:t>–</w:t>
            </w:r>
          </w:p>
        </w:tc>
        <w:tc>
          <w:tcPr>
            <w:tcW w:w="1085" w:type="dxa"/>
            <w:tcBorders>
              <w:top w:val="single" w:sz="4" w:space="0" w:color="A6A6A6"/>
            </w:tcBorders>
            <w:noWrap/>
            <w:hideMark/>
          </w:tcPr>
          <w:p w14:paraId="4DE5710F" w14:textId="77777777" w:rsidR="005F4A7E" w:rsidRPr="002029AF" w:rsidRDefault="005F4A7E" w:rsidP="00130D1C">
            <w:pPr>
              <w:pStyle w:val="ARfintablebodyright"/>
            </w:pPr>
            <w:r w:rsidRPr="006C72B3">
              <w:t>64.5</w:t>
            </w:r>
          </w:p>
        </w:tc>
        <w:tc>
          <w:tcPr>
            <w:tcW w:w="1078" w:type="dxa"/>
            <w:tcBorders>
              <w:top w:val="single" w:sz="4" w:space="0" w:color="A6A6A6"/>
            </w:tcBorders>
            <w:noWrap/>
            <w:hideMark/>
          </w:tcPr>
          <w:p w14:paraId="762F3C64" w14:textId="77777777" w:rsidR="005F4A7E" w:rsidRPr="002029AF" w:rsidRDefault="005F4A7E" w:rsidP="00130D1C">
            <w:pPr>
              <w:pStyle w:val="ARfintablebodyright"/>
            </w:pPr>
            <w:r w:rsidRPr="006C72B3">
              <w:t>64.5</w:t>
            </w:r>
          </w:p>
        </w:tc>
        <w:tc>
          <w:tcPr>
            <w:tcW w:w="1067" w:type="dxa"/>
            <w:tcBorders>
              <w:top w:val="single" w:sz="4" w:space="0" w:color="A6A6A6"/>
            </w:tcBorders>
            <w:noWrap/>
            <w:hideMark/>
          </w:tcPr>
          <w:p w14:paraId="0D2CB068" w14:textId="77777777" w:rsidR="005F4A7E" w:rsidRPr="002029AF" w:rsidRDefault="005F4A7E" w:rsidP="00130D1C">
            <w:pPr>
              <w:pStyle w:val="ARfintablebodyright"/>
            </w:pPr>
            <w:r w:rsidRPr="006C72B3">
              <w:t>–</w:t>
            </w:r>
          </w:p>
        </w:tc>
        <w:tc>
          <w:tcPr>
            <w:tcW w:w="433" w:type="dxa"/>
            <w:tcBorders>
              <w:top w:val="single" w:sz="4" w:space="0" w:color="A6A6A6"/>
            </w:tcBorders>
            <w:noWrap/>
            <w:hideMark/>
          </w:tcPr>
          <w:p w14:paraId="067844CD" w14:textId="77777777" w:rsidR="005F4A7E" w:rsidRPr="002029AF" w:rsidRDefault="005F4A7E" w:rsidP="00130D1C">
            <w:pPr>
              <w:pStyle w:val="ARfintablebodyright"/>
            </w:pPr>
          </w:p>
        </w:tc>
      </w:tr>
      <w:tr w:rsidR="005F4A7E" w:rsidRPr="002029AF" w14:paraId="46C550C5" w14:textId="77777777" w:rsidTr="00860E95">
        <w:tc>
          <w:tcPr>
            <w:tcW w:w="3340" w:type="dxa"/>
            <w:hideMark/>
          </w:tcPr>
          <w:p w14:paraId="0518EEDC" w14:textId="77777777" w:rsidR="005F4A7E" w:rsidRPr="002029AF" w:rsidRDefault="005F4A7E" w:rsidP="00130D1C">
            <w:pPr>
              <w:pStyle w:val="ARfintablebodybold"/>
            </w:pPr>
            <w:r w:rsidRPr="006C72B3">
              <w:t>Total</w:t>
            </w:r>
          </w:p>
        </w:tc>
        <w:tc>
          <w:tcPr>
            <w:tcW w:w="1085" w:type="dxa"/>
            <w:noWrap/>
            <w:hideMark/>
          </w:tcPr>
          <w:p w14:paraId="2890291E" w14:textId="77777777" w:rsidR="005F4A7E" w:rsidRPr="002029AF" w:rsidRDefault="005F4A7E" w:rsidP="00130D1C">
            <w:pPr>
              <w:pStyle w:val="ARfintablebodyrightbold"/>
            </w:pPr>
            <w:r w:rsidRPr="006C72B3">
              <w:t>15,915.9</w:t>
            </w:r>
          </w:p>
        </w:tc>
        <w:tc>
          <w:tcPr>
            <w:tcW w:w="1075" w:type="dxa"/>
            <w:noWrap/>
            <w:hideMark/>
          </w:tcPr>
          <w:p w14:paraId="3D862A68" w14:textId="77777777" w:rsidR="005F4A7E" w:rsidRPr="002029AF" w:rsidRDefault="005F4A7E" w:rsidP="00130D1C">
            <w:pPr>
              <w:pStyle w:val="ARfintablebodyrightbold"/>
            </w:pPr>
            <w:r w:rsidRPr="006C72B3">
              <w:t>1,675.9</w:t>
            </w:r>
          </w:p>
        </w:tc>
        <w:tc>
          <w:tcPr>
            <w:tcW w:w="1040" w:type="dxa"/>
            <w:noWrap/>
            <w:hideMark/>
          </w:tcPr>
          <w:p w14:paraId="5F15AEB2" w14:textId="77777777" w:rsidR="005F4A7E" w:rsidRPr="002029AF" w:rsidRDefault="005F4A7E" w:rsidP="00130D1C">
            <w:pPr>
              <w:pStyle w:val="ARfintablebodyrightbold"/>
            </w:pPr>
            <w:r w:rsidRPr="006C72B3">
              <w:t>–</w:t>
            </w:r>
          </w:p>
        </w:tc>
        <w:tc>
          <w:tcPr>
            <w:tcW w:w="1040" w:type="dxa"/>
            <w:tcBorders>
              <w:top w:val="single" w:sz="4" w:space="0" w:color="auto"/>
              <w:right w:val="nil"/>
            </w:tcBorders>
            <w:shd w:val="clear" w:color="auto" w:fill="E7E6E6"/>
            <w:noWrap/>
            <w:hideMark/>
          </w:tcPr>
          <w:p w14:paraId="5DDBD77A" w14:textId="77777777" w:rsidR="005F4A7E" w:rsidRPr="002029AF" w:rsidRDefault="005F4A7E" w:rsidP="00130D1C">
            <w:pPr>
              <w:pStyle w:val="ARfintablebodyrightbold"/>
            </w:pPr>
            <w:r w:rsidRPr="006C72B3">
              <w:t>851.0</w:t>
            </w:r>
          </w:p>
        </w:tc>
        <w:tc>
          <w:tcPr>
            <w:tcW w:w="1072" w:type="dxa"/>
            <w:tcBorders>
              <w:top w:val="single" w:sz="4" w:space="0" w:color="auto"/>
              <w:left w:val="nil"/>
              <w:right w:val="nil"/>
            </w:tcBorders>
            <w:shd w:val="clear" w:color="auto" w:fill="E7E6E6"/>
            <w:noWrap/>
            <w:hideMark/>
          </w:tcPr>
          <w:p w14:paraId="55E643FA" w14:textId="77777777" w:rsidR="005F4A7E" w:rsidRPr="002029AF" w:rsidRDefault="005F4A7E" w:rsidP="00130D1C">
            <w:pPr>
              <w:pStyle w:val="ARfintablebodyrightbold"/>
            </w:pPr>
            <w:r w:rsidRPr="006C72B3">
              <w:t>–</w:t>
            </w:r>
          </w:p>
        </w:tc>
        <w:tc>
          <w:tcPr>
            <w:tcW w:w="1072" w:type="dxa"/>
            <w:tcBorders>
              <w:left w:val="nil"/>
              <w:right w:val="nil"/>
            </w:tcBorders>
            <w:shd w:val="clear" w:color="auto" w:fill="E7E6E6"/>
            <w:noWrap/>
            <w:hideMark/>
          </w:tcPr>
          <w:p w14:paraId="7DCAB3CB" w14:textId="77777777" w:rsidR="005F4A7E" w:rsidRPr="002029AF" w:rsidRDefault="005F4A7E" w:rsidP="00130D1C">
            <w:pPr>
              <w:pStyle w:val="ARfintablebodyrightbold"/>
            </w:pPr>
            <w:r w:rsidRPr="006C72B3">
              <w:t>51.8</w:t>
            </w:r>
          </w:p>
        </w:tc>
        <w:tc>
          <w:tcPr>
            <w:tcW w:w="1072" w:type="dxa"/>
            <w:tcBorders>
              <w:left w:val="nil"/>
            </w:tcBorders>
            <w:shd w:val="clear" w:color="auto" w:fill="E7E6E6"/>
            <w:noWrap/>
            <w:hideMark/>
          </w:tcPr>
          <w:p w14:paraId="64607B1D" w14:textId="77777777" w:rsidR="005F4A7E" w:rsidRPr="002029AF" w:rsidRDefault="005F4A7E" w:rsidP="00130D1C">
            <w:pPr>
              <w:pStyle w:val="ARfintablebodyrightbold"/>
            </w:pPr>
            <w:r w:rsidRPr="006C72B3">
              <w:t>–</w:t>
            </w:r>
          </w:p>
        </w:tc>
        <w:tc>
          <w:tcPr>
            <w:tcW w:w="1085" w:type="dxa"/>
            <w:noWrap/>
            <w:hideMark/>
          </w:tcPr>
          <w:p w14:paraId="645FF7DA" w14:textId="77777777" w:rsidR="005F4A7E" w:rsidRPr="002029AF" w:rsidRDefault="005F4A7E" w:rsidP="00130D1C">
            <w:pPr>
              <w:pStyle w:val="ARfintablebodyrightbold"/>
            </w:pPr>
            <w:r w:rsidRPr="006C72B3">
              <w:t>18,494.6</w:t>
            </w:r>
          </w:p>
        </w:tc>
        <w:tc>
          <w:tcPr>
            <w:tcW w:w="1078" w:type="dxa"/>
            <w:noWrap/>
            <w:hideMark/>
          </w:tcPr>
          <w:p w14:paraId="50B44AC0" w14:textId="77777777" w:rsidR="005F4A7E" w:rsidRPr="002029AF" w:rsidRDefault="005F4A7E" w:rsidP="00130D1C">
            <w:pPr>
              <w:pStyle w:val="ARfintablebodyrightbold"/>
            </w:pPr>
            <w:r w:rsidRPr="006C72B3">
              <w:t>17,931.1</w:t>
            </w:r>
          </w:p>
        </w:tc>
        <w:tc>
          <w:tcPr>
            <w:tcW w:w="1067" w:type="dxa"/>
            <w:noWrap/>
            <w:hideMark/>
          </w:tcPr>
          <w:p w14:paraId="2FA47873" w14:textId="77777777" w:rsidR="005F4A7E" w:rsidRPr="002029AF" w:rsidRDefault="005F4A7E" w:rsidP="00130D1C">
            <w:pPr>
              <w:pStyle w:val="ARfintablebodyrightbold"/>
            </w:pPr>
            <w:r w:rsidRPr="006C72B3">
              <w:t>563.5</w:t>
            </w:r>
          </w:p>
        </w:tc>
        <w:tc>
          <w:tcPr>
            <w:tcW w:w="433" w:type="dxa"/>
            <w:noWrap/>
            <w:hideMark/>
          </w:tcPr>
          <w:p w14:paraId="53AD9F4E" w14:textId="77777777" w:rsidR="005F4A7E" w:rsidRPr="002029AF" w:rsidRDefault="005F4A7E" w:rsidP="00130D1C">
            <w:pPr>
              <w:pStyle w:val="ARfintablebodyrightbold"/>
            </w:pPr>
          </w:p>
        </w:tc>
      </w:tr>
    </w:tbl>
    <w:p w14:paraId="1AB882D1" w14:textId="77777777" w:rsidR="005F4A7E" w:rsidRPr="009141DB" w:rsidRDefault="005F4A7E" w:rsidP="00130D1C">
      <w:pPr>
        <w:pStyle w:val="ARfintablefootnote"/>
      </w:pPr>
      <w:r w:rsidRPr="009141DB">
        <w:t>Notes</w:t>
      </w:r>
      <w:r>
        <w:t>:</w:t>
      </w:r>
    </w:p>
    <w:p w14:paraId="337F38F5" w14:textId="77777777" w:rsidR="005F4A7E" w:rsidRPr="009141DB" w:rsidRDefault="005F4A7E" w:rsidP="00130D1C">
      <w:pPr>
        <w:pStyle w:val="ARfintablefootnoteindent"/>
        <w:spacing w:before="30" w:after="30"/>
        <w:ind w:left="340" w:hanging="340"/>
      </w:pPr>
      <w:r w:rsidRPr="009141DB">
        <w:t>(i)</w:t>
      </w:r>
      <w:r w:rsidRPr="009141DB">
        <w:tab/>
        <w:t>Refer to Note 2.5 for further detail.</w:t>
      </w:r>
    </w:p>
    <w:p w14:paraId="32B8EF37" w14:textId="77777777" w:rsidR="005F4A7E" w:rsidRPr="009141DB" w:rsidRDefault="005F4A7E" w:rsidP="00130D1C">
      <w:pPr>
        <w:pStyle w:val="ARfintablefootnoteindent"/>
        <w:spacing w:before="30" w:after="30"/>
        <w:ind w:left="340" w:hanging="340"/>
      </w:pPr>
      <w:r w:rsidRPr="009141DB">
        <w:t>(ii)</w:t>
      </w:r>
      <w:r w:rsidRPr="009141DB">
        <w:tab/>
        <w:t xml:space="preserve">Transfer from the additions to net assets authority to appropriation for provision of outputs mainly relates to capital projects that are delivered via non-portfolio agencies and result in output appropriation costs to the </w:t>
      </w:r>
      <w:r>
        <w:t>d</w:t>
      </w:r>
      <w:r w:rsidRPr="009141DB">
        <w:t>epartment.</w:t>
      </w:r>
    </w:p>
    <w:p w14:paraId="7BBDCD25" w14:textId="77777777" w:rsidR="005F4A7E" w:rsidRPr="00614725" w:rsidRDefault="005F4A7E" w:rsidP="00130D1C">
      <w:pPr>
        <w:pStyle w:val="ARfintablefootnoteindent"/>
        <w:spacing w:before="30" w:after="30"/>
        <w:ind w:left="340" w:hanging="340"/>
      </w:pPr>
      <w:r w:rsidRPr="00D208C1">
        <w:t>(iii)</w:t>
      </w:r>
      <w:r w:rsidRPr="00D208C1">
        <w:tab/>
      </w:r>
      <w:bookmarkStart w:id="764" w:name="_Hlk60661096"/>
      <w:r w:rsidRPr="00614725">
        <w:t>The provision of outputs variance of $4</w:t>
      </w:r>
      <w:r>
        <w:t>85.1</w:t>
      </w:r>
      <w:r w:rsidRPr="00614725">
        <w:t xml:space="preserve"> million comprises $293.8 million relating to funding for services and projects that will be </w:t>
      </w:r>
      <w:r>
        <w:t xml:space="preserve">requested </w:t>
      </w:r>
      <w:r w:rsidRPr="00614725">
        <w:t>in 202</w:t>
      </w:r>
      <w:r>
        <w:t>1–</w:t>
      </w:r>
      <w:r w:rsidRPr="00614725">
        <w:t>22</w:t>
      </w:r>
      <w:r>
        <w:t xml:space="preserve"> for delivery of these services and projects in that year</w:t>
      </w:r>
      <w:r w:rsidRPr="00614725">
        <w:t>, and $191.3 million relating to output appropriation authority not applied in 202</w:t>
      </w:r>
      <w:r>
        <w:t>0–</w:t>
      </w:r>
      <w:r w:rsidRPr="00614725">
        <w:t>21. The unapplied authority primarily reflects the change in nature of expenditure from operating to capital that will be funded by depreciation equivalent and funding re-cashflowed to deliver outputs in 202</w:t>
      </w:r>
      <w:r>
        <w:t>1–</w:t>
      </w:r>
      <w:r w:rsidRPr="00614725">
        <w:t>22 and outyears.</w:t>
      </w:r>
      <w:bookmarkEnd w:id="764"/>
    </w:p>
    <w:p w14:paraId="3B73FF2D" w14:textId="77777777" w:rsidR="005F4A7E" w:rsidRPr="009141DB" w:rsidRDefault="005F4A7E" w:rsidP="00130D1C">
      <w:pPr>
        <w:pStyle w:val="ARfintablefootnoteindent"/>
        <w:spacing w:before="30" w:after="30"/>
        <w:ind w:left="340" w:hanging="340"/>
      </w:pPr>
      <w:r w:rsidRPr="00614725">
        <w:t>(iv)</w:t>
      </w:r>
      <w:r w:rsidRPr="00614725">
        <w:tab/>
        <w:t xml:space="preserve">The additions to net assets variance of $181.6 million comprises $117.7 million relating to funding for capital projects that will be </w:t>
      </w:r>
      <w:r>
        <w:t xml:space="preserve">requested </w:t>
      </w:r>
      <w:r w:rsidRPr="00614725">
        <w:t>in 202</w:t>
      </w:r>
      <w:r>
        <w:t>1–</w:t>
      </w:r>
      <w:r w:rsidRPr="00614725">
        <w:t>22 and outyears</w:t>
      </w:r>
      <w:r>
        <w:t xml:space="preserve"> for delivery of these capital projects in those years,</w:t>
      </w:r>
      <w:r w:rsidRPr="00614725">
        <w:t xml:space="preserve"> and $63.9 million relating to appropriation authority not applied in 202</w:t>
      </w:r>
      <w:r>
        <w:t>0–</w:t>
      </w:r>
      <w:r w:rsidRPr="00614725">
        <w:t>21. The unapplied authority reflects utilisation of current year depreciation equivalent instead of additions to net assets</w:t>
      </w:r>
      <w:r>
        <w:t>.</w:t>
      </w:r>
    </w:p>
    <w:p w14:paraId="6C112934" w14:textId="77777777" w:rsidR="005F4A7E" w:rsidRPr="00A51071" w:rsidRDefault="005F4A7E" w:rsidP="00130D1C">
      <w:pPr>
        <w:pStyle w:val="ARfintablefootnoteindent"/>
        <w:spacing w:before="30" w:after="30"/>
        <w:ind w:left="340" w:hanging="340"/>
      </w:pPr>
      <w:r w:rsidRPr="009141DB">
        <w:t>(v)</w:t>
      </w:r>
      <w:r w:rsidRPr="009141DB">
        <w:tab/>
      </w:r>
      <w:r w:rsidRPr="00A51071">
        <w:t xml:space="preserve">The provision of outputs variance of $363.6 million comprises $44.9 million relating to funding for services and projects that </w:t>
      </w:r>
      <w:r>
        <w:t>were</w:t>
      </w:r>
      <w:r w:rsidRPr="00A51071">
        <w:t xml:space="preserve"> sought in 202</w:t>
      </w:r>
      <w:r>
        <w:t>0–</w:t>
      </w:r>
      <w:r w:rsidRPr="00A51071">
        <w:t xml:space="preserve">21, and $318.7 million relating to output appropriation authority not applied in </w:t>
      </w:r>
      <w:r>
        <w:t>2019–20</w:t>
      </w:r>
      <w:r w:rsidRPr="00A51071">
        <w:t>. The unapplied authority primarily reflects unutilised Advance to Treasurer, savings and funding re-cashflowed to deliver outputs in 202</w:t>
      </w:r>
      <w:r>
        <w:t>0–</w:t>
      </w:r>
      <w:r w:rsidRPr="00A51071">
        <w:t>21 and outyears.</w:t>
      </w:r>
    </w:p>
    <w:p w14:paraId="69669125" w14:textId="77777777" w:rsidR="005F4A7E" w:rsidRDefault="005F4A7E" w:rsidP="00130D1C">
      <w:pPr>
        <w:pStyle w:val="ARfintablefootnoteindent"/>
      </w:pPr>
      <w:r w:rsidRPr="00A51071">
        <w:t>(vi)</w:t>
      </w:r>
      <w:r w:rsidRPr="00A51071">
        <w:tab/>
        <w:t>The additions to net assets variance of $200 million comprises $40.3 million relating to funding for capital projects that w</w:t>
      </w:r>
      <w:r>
        <w:t>ere</w:t>
      </w:r>
      <w:r w:rsidRPr="00A51071">
        <w:t xml:space="preserve"> sought in 202</w:t>
      </w:r>
      <w:r>
        <w:t>0–</w:t>
      </w:r>
      <w:r w:rsidRPr="00A51071">
        <w:t xml:space="preserve">21 and outyears and $159.7 million relating to appropriation authority not applied in </w:t>
      </w:r>
      <w:r>
        <w:t>2019–20</w:t>
      </w:r>
      <w:r w:rsidRPr="00A51071">
        <w:t>. The unapplied authority reflects utilisation of current year depreciation equivalent instead of additions to net assets and unutilised Advance from Treasurer.</w:t>
      </w:r>
    </w:p>
    <w:p w14:paraId="1EDB2FF4" w14:textId="77777777" w:rsidR="005F4A7E" w:rsidRPr="002029AF" w:rsidRDefault="005F4A7E" w:rsidP="002A5CF0">
      <w:pPr>
        <w:pStyle w:val="ARfintablefootnoteindent"/>
        <w:rPr>
          <w:rFonts w:cs="Arial"/>
          <w:szCs w:val="16"/>
        </w:rPr>
        <w:sectPr w:rsidR="005F4A7E" w:rsidRPr="002029AF" w:rsidSect="00130D1C">
          <w:footerReference w:type="even" r:id="rId132"/>
          <w:footnotePr>
            <w:numFmt w:val="lowerLetter"/>
            <w:numRestart w:val="eachPage"/>
          </w:footnotePr>
          <w:pgSz w:w="16838" w:h="11906" w:orient="landscape" w:code="9"/>
          <w:pgMar w:top="1134" w:right="1531" w:bottom="1134" w:left="851" w:header="510" w:footer="340" w:gutter="0"/>
          <w:cols w:space="708"/>
          <w:docGrid w:linePitch="360"/>
        </w:sectPr>
      </w:pPr>
    </w:p>
    <w:p w14:paraId="59CB729D" w14:textId="77777777" w:rsidR="005F4A7E" w:rsidRPr="002029AF" w:rsidRDefault="005F4A7E" w:rsidP="00087B91">
      <w:pPr>
        <w:pStyle w:val="ARfinbodylargespace"/>
      </w:pPr>
      <w:r>
        <w:lastRenderedPageBreak/>
        <w:t>The following table discloses the details of compliance with special appropriations:</w:t>
      </w:r>
    </w:p>
    <w:tbl>
      <w:tblPr>
        <w:tblStyle w:val="TableGrid"/>
        <w:tblW w:w="9637" w:type="dxa"/>
        <w:tblLayout w:type="fixed"/>
        <w:tblLook w:val="06A0" w:firstRow="1" w:lastRow="0" w:firstColumn="1" w:lastColumn="0" w:noHBand="1" w:noVBand="1"/>
      </w:tblPr>
      <w:tblGrid>
        <w:gridCol w:w="3684"/>
        <w:gridCol w:w="3685"/>
        <w:gridCol w:w="1134"/>
        <w:gridCol w:w="1134"/>
      </w:tblGrid>
      <w:tr w:rsidR="005F4A7E" w:rsidRPr="002029AF" w14:paraId="02B8409E"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3684" w:type="dxa"/>
            <w:vMerge w:val="restart"/>
            <w:noWrap/>
            <w:hideMark/>
          </w:tcPr>
          <w:p w14:paraId="6CF8DC1B" w14:textId="77777777" w:rsidR="005F4A7E" w:rsidRPr="002029AF" w:rsidRDefault="005F4A7E" w:rsidP="00860E95">
            <w:pPr>
              <w:pStyle w:val="ARfintablecolhead"/>
            </w:pPr>
            <w:r w:rsidRPr="002029AF">
              <w:t>Authority</w:t>
            </w:r>
          </w:p>
        </w:tc>
        <w:tc>
          <w:tcPr>
            <w:tcW w:w="3685" w:type="dxa"/>
            <w:vMerge w:val="restart"/>
            <w:noWrap/>
            <w:hideMark/>
          </w:tcPr>
          <w:p w14:paraId="2220E74E" w14:textId="77777777" w:rsidR="005F4A7E" w:rsidRPr="002029AF" w:rsidRDefault="005F4A7E" w:rsidP="00860E95">
            <w:pPr>
              <w:pStyle w:val="ARfintablecolhead"/>
            </w:pPr>
            <w:r w:rsidRPr="002029AF">
              <w:t>Purpose</w:t>
            </w:r>
          </w:p>
        </w:tc>
        <w:tc>
          <w:tcPr>
            <w:tcW w:w="2268" w:type="dxa"/>
            <w:gridSpan w:val="2"/>
            <w:hideMark/>
          </w:tcPr>
          <w:p w14:paraId="63565999" w14:textId="77777777" w:rsidR="005F4A7E" w:rsidRPr="002029AF" w:rsidRDefault="005F4A7E" w:rsidP="00860E95">
            <w:pPr>
              <w:pStyle w:val="ARfintablecolheadright"/>
            </w:pPr>
            <w:r w:rsidRPr="002029AF">
              <w:t>Appropriation applied</w:t>
            </w:r>
          </w:p>
        </w:tc>
      </w:tr>
      <w:tr w:rsidR="005F4A7E" w:rsidRPr="002029AF" w14:paraId="5A73098E"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3684" w:type="dxa"/>
            <w:vMerge/>
            <w:tcBorders>
              <w:bottom w:val="single" w:sz="4" w:space="0" w:color="auto"/>
            </w:tcBorders>
            <w:noWrap/>
            <w:hideMark/>
          </w:tcPr>
          <w:p w14:paraId="71938E70" w14:textId="77777777" w:rsidR="005F4A7E" w:rsidRPr="002029AF" w:rsidRDefault="005F4A7E" w:rsidP="00860E95">
            <w:pPr>
              <w:pStyle w:val="ARfintablecolhead"/>
            </w:pPr>
          </w:p>
        </w:tc>
        <w:tc>
          <w:tcPr>
            <w:tcW w:w="3685" w:type="dxa"/>
            <w:vMerge/>
            <w:tcBorders>
              <w:bottom w:val="single" w:sz="4" w:space="0" w:color="auto"/>
            </w:tcBorders>
            <w:noWrap/>
            <w:hideMark/>
          </w:tcPr>
          <w:p w14:paraId="44CC62DD" w14:textId="77777777" w:rsidR="005F4A7E" w:rsidRPr="002029AF" w:rsidRDefault="005F4A7E" w:rsidP="00860E95">
            <w:pPr>
              <w:pStyle w:val="ARfintablecolhead"/>
            </w:pPr>
          </w:p>
        </w:tc>
        <w:tc>
          <w:tcPr>
            <w:tcW w:w="1134" w:type="dxa"/>
            <w:tcBorders>
              <w:bottom w:val="single" w:sz="4" w:space="0" w:color="auto"/>
            </w:tcBorders>
            <w:shd w:val="clear" w:color="auto" w:fill="E7E6E6"/>
            <w:hideMark/>
          </w:tcPr>
          <w:p w14:paraId="6FF992B9" w14:textId="77777777" w:rsidR="005F4A7E" w:rsidRPr="002029AF" w:rsidRDefault="005F4A7E" w:rsidP="00860E95">
            <w:pPr>
              <w:pStyle w:val="ARfintablecolheadright"/>
            </w:pPr>
            <w:r>
              <w:t>2021</w:t>
            </w:r>
          </w:p>
          <w:p w14:paraId="547EA643" w14:textId="77777777" w:rsidR="005F4A7E" w:rsidRPr="002029AF" w:rsidRDefault="005F4A7E" w:rsidP="00860E95">
            <w:pPr>
              <w:pStyle w:val="ARfintablecolheadright"/>
            </w:pPr>
            <w:r w:rsidRPr="002029AF">
              <w:t>$M</w:t>
            </w:r>
          </w:p>
        </w:tc>
        <w:tc>
          <w:tcPr>
            <w:tcW w:w="1134" w:type="dxa"/>
            <w:tcBorders>
              <w:bottom w:val="single" w:sz="4" w:space="0" w:color="auto"/>
            </w:tcBorders>
            <w:hideMark/>
          </w:tcPr>
          <w:p w14:paraId="19BD3747" w14:textId="77777777" w:rsidR="005F4A7E" w:rsidRPr="002029AF" w:rsidRDefault="005F4A7E" w:rsidP="00860E95">
            <w:pPr>
              <w:pStyle w:val="ARfintablecolheadright"/>
            </w:pPr>
            <w:r>
              <w:t>2020</w:t>
            </w:r>
          </w:p>
          <w:p w14:paraId="0AFE5798" w14:textId="77777777" w:rsidR="005F4A7E" w:rsidRPr="002029AF" w:rsidRDefault="005F4A7E" w:rsidP="00860E95">
            <w:pPr>
              <w:pStyle w:val="ARfintablecolheadright"/>
            </w:pPr>
            <w:r w:rsidRPr="002029AF">
              <w:t>$M</w:t>
            </w:r>
          </w:p>
        </w:tc>
      </w:tr>
      <w:tr w:rsidR="005F4A7E" w:rsidRPr="002029AF" w14:paraId="3E1B6BF3" w14:textId="77777777" w:rsidTr="00130D1C">
        <w:tc>
          <w:tcPr>
            <w:tcW w:w="3684" w:type="dxa"/>
            <w:tcBorders>
              <w:top w:val="single" w:sz="4" w:space="0" w:color="auto"/>
              <w:bottom w:val="single" w:sz="4" w:space="0" w:color="A6A6A6"/>
            </w:tcBorders>
            <w:hideMark/>
          </w:tcPr>
          <w:p w14:paraId="0A42744A" w14:textId="77777777" w:rsidR="005F4A7E" w:rsidRPr="002029AF" w:rsidRDefault="005F4A7E" w:rsidP="00130D1C">
            <w:pPr>
              <w:pStyle w:val="ARfintablebody"/>
            </w:pPr>
            <w:r w:rsidRPr="006515FB">
              <w:t xml:space="preserve">Section 4.4.11 and 4.6.8 of the </w:t>
            </w:r>
            <w:r w:rsidRPr="00A23120">
              <w:rPr>
                <w:rStyle w:val="Emphasis"/>
              </w:rPr>
              <w:t>Gambling Regulation Act 2003</w:t>
            </w:r>
          </w:p>
        </w:tc>
        <w:tc>
          <w:tcPr>
            <w:tcW w:w="3685" w:type="dxa"/>
            <w:tcBorders>
              <w:top w:val="single" w:sz="4" w:space="0" w:color="auto"/>
              <w:bottom w:val="single" w:sz="4" w:space="0" w:color="A6A6A6"/>
            </w:tcBorders>
            <w:hideMark/>
          </w:tcPr>
          <w:p w14:paraId="3273FD58" w14:textId="77777777" w:rsidR="005F4A7E" w:rsidRPr="002029AF" w:rsidRDefault="005F4A7E" w:rsidP="00130D1C">
            <w:pPr>
              <w:pStyle w:val="ARfintablebody"/>
            </w:pPr>
            <w:r w:rsidRPr="006515FB">
              <w:t>Contribution to the Hospitals and Charities</w:t>
            </w:r>
            <w:r>
              <w:t> </w:t>
            </w:r>
            <w:r w:rsidRPr="006515FB">
              <w:t>Fund</w:t>
            </w:r>
          </w:p>
        </w:tc>
        <w:tc>
          <w:tcPr>
            <w:tcW w:w="1134" w:type="dxa"/>
            <w:tcBorders>
              <w:top w:val="single" w:sz="4" w:space="0" w:color="auto"/>
              <w:bottom w:val="single" w:sz="4" w:space="0" w:color="A6A6A6"/>
            </w:tcBorders>
            <w:shd w:val="clear" w:color="auto" w:fill="E7E6E6"/>
            <w:noWrap/>
            <w:hideMark/>
          </w:tcPr>
          <w:p w14:paraId="26CAF73B" w14:textId="77777777" w:rsidR="005F4A7E" w:rsidRPr="002029AF" w:rsidRDefault="005F4A7E" w:rsidP="00130D1C">
            <w:pPr>
              <w:pStyle w:val="ARfintablebodyright"/>
            </w:pPr>
            <w:r w:rsidRPr="006515FB">
              <w:t>152.2</w:t>
            </w:r>
          </w:p>
        </w:tc>
        <w:tc>
          <w:tcPr>
            <w:tcW w:w="1134" w:type="dxa"/>
            <w:tcBorders>
              <w:top w:val="single" w:sz="4" w:space="0" w:color="auto"/>
              <w:bottom w:val="single" w:sz="4" w:space="0" w:color="A6A6A6"/>
            </w:tcBorders>
            <w:noWrap/>
            <w:hideMark/>
          </w:tcPr>
          <w:p w14:paraId="537B593D" w14:textId="77777777" w:rsidR="005F4A7E" w:rsidRPr="002029AF" w:rsidRDefault="005F4A7E" w:rsidP="00130D1C">
            <w:pPr>
              <w:pStyle w:val="ARfintablebodyright"/>
            </w:pPr>
            <w:r w:rsidRPr="006515FB">
              <w:t>108.7</w:t>
            </w:r>
          </w:p>
        </w:tc>
      </w:tr>
      <w:tr w:rsidR="005F4A7E" w:rsidRPr="002029AF" w14:paraId="04A0D3DA" w14:textId="77777777" w:rsidTr="00130D1C">
        <w:tc>
          <w:tcPr>
            <w:tcW w:w="3684" w:type="dxa"/>
            <w:tcBorders>
              <w:top w:val="single" w:sz="4" w:space="0" w:color="A6A6A6"/>
              <w:bottom w:val="single" w:sz="4" w:space="0" w:color="A6A6A6"/>
            </w:tcBorders>
            <w:hideMark/>
          </w:tcPr>
          <w:p w14:paraId="3D092D9B" w14:textId="77777777" w:rsidR="005F4A7E" w:rsidRPr="002029AF" w:rsidRDefault="005F4A7E" w:rsidP="00130D1C">
            <w:pPr>
              <w:pStyle w:val="ARfintablebody"/>
            </w:pPr>
            <w:r w:rsidRPr="006515FB">
              <w:t xml:space="preserve">Section 5.4.6 of the </w:t>
            </w:r>
            <w:r w:rsidRPr="00A23120">
              <w:rPr>
                <w:rStyle w:val="Emphasis"/>
              </w:rPr>
              <w:t>Gambling Regulation Act 2003</w:t>
            </w:r>
          </w:p>
        </w:tc>
        <w:tc>
          <w:tcPr>
            <w:tcW w:w="3685" w:type="dxa"/>
            <w:tcBorders>
              <w:top w:val="single" w:sz="4" w:space="0" w:color="A6A6A6"/>
              <w:bottom w:val="single" w:sz="4" w:space="0" w:color="A6A6A6"/>
            </w:tcBorders>
            <w:hideMark/>
          </w:tcPr>
          <w:p w14:paraId="24277577" w14:textId="77777777" w:rsidR="005F4A7E" w:rsidRPr="002029AF" w:rsidRDefault="005F4A7E" w:rsidP="00130D1C">
            <w:pPr>
              <w:pStyle w:val="ARfintablebody"/>
            </w:pPr>
            <w:r w:rsidRPr="006515FB">
              <w:t>Contribution to the Hospitals and Charities</w:t>
            </w:r>
            <w:r>
              <w:t> </w:t>
            </w:r>
            <w:r w:rsidRPr="006515FB">
              <w:t>Fund and Mental Health Fund</w:t>
            </w:r>
          </w:p>
        </w:tc>
        <w:tc>
          <w:tcPr>
            <w:tcW w:w="1134" w:type="dxa"/>
            <w:tcBorders>
              <w:top w:val="single" w:sz="4" w:space="0" w:color="A6A6A6"/>
              <w:bottom w:val="single" w:sz="4" w:space="0" w:color="A6A6A6"/>
            </w:tcBorders>
            <w:shd w:val="clear" w:color="auto" w:fill="E7E6E6"/>
            <w:noWrap/>
            <w:hideMark/>
          </w:tcPr>
          <w:p w14:paraId="18D22E20" w14:textId="77777777" w:rsidR="005F4A7E" w:rsidRPr="002029AF" w:rsidRDefault="005F4A7E" w:rsidP="00130D1C">
            <w:pPr>
              <w:pStyle w:val="ARfintablebodyright"/>
            </w:pPr>
            <w:r w:rsidRPr="006515FB">
              <w:t>464.4</w:t>
            </w:r>
          </w:p>
        </w:tc>
        <w:tc>
          <w:tcPr>
            <w:tcW w:w="1134" w:type="dxa"/>
            <w:tcBorders>
              <w:top w:val="single" w:sz="4" w:space="0" w:color="A6A6A6"/>
              <w:bottom w:val="single" w:sz="4" w:space="0" w:color="A6A6A6"/>
            </w:tcBorders>
            <w:noWrap/>
            <w:hideMark/>
          </w:tcPr>
          <w:p w14:paraId="52403793" w14:textId="77777777" w:rsidR="005F4A7E" w:rsidRPr="002029AF" w:rsidRDefault="005F4A7E" w:rsidP="00130D1C">
            <w:pPr>
              <w:pStyle w:val="ARfintablebodyright"/>
            </w:pPr>
            <w:r w:rsidRPr="006515FB">
              <w:t>563.8</w:t>
            </w:r>
          </w:p>
        </w:tc>
      </w:tr>
      <w:tr w:rsidR="005F4A7E" w:rsidRPr="002029AF" w14:paraId="0B6C1CE3" w14:textId="77777777" w:rsidTr="00130D1C">
        <w:tc>
          <w:tcPr>
            <w:tcW w:w="3684" w:type="dxa"/>
            <w:tcBorders>
              <w:top w:val="single" w:sz="4" w:space="0" w:color="A6A6A6"/>
              <w:bottom w:val="single" w:sz="4" w:space="0" w:color="A6A6A6"/>
            </w:tcBorders>
            <w:hideMark/>
          </w:tcPr>
          <w:p w14:paraId="28EC16AE" w14:textId="77777777" w:rsidR="005F4A7E" w:rsidRPr="002029AF" w:rsidRDefault="005F4A7E" w:rsidP="00130D1C">
            <w:pPr>
              <w:pStyle w:val="ARfintablebody"/>
            </w:pPr>
            <w:r w:rsidRPr="006515FB">
              <w:t xml:space="preserve">Section 114 of the </w:t>
            </w:r>
            <w:r w:rsidRPr="00A23120">
              <w:rPr>
                <w:rStyle w:val="Emphasis"/>
              </w:rPr>
              <w:t>Casino Control Act 1991</w:t>
            </w:r>
          </w:p>
        </w:tc>
        <w:tc>
          <w:tcPr>
            <w:tcW w:w="3685" w:type="dxa"/>
            <w:tcBorders>
              <w:top w:val="single" w:sz="4" w:space="0" w:color="A6A6A6"/>
              <w:bottom w:val="single" w:sz="4" w:space="0" w:color="A6A6A6"/>
            </w:tcBorders>
            <w:hideMark/>
          </w:tcPr>
          <w:p w14:paraId="042EEBCE" w14:textId="77777777" w:rsidR="005F4A7E" w:rsidRPr="002029AF" w:rsidRDefault="005F4A7E" w:rsidP="00130D1C">
            <w:pPr>
              <w:pStyle w:val="ARfintablebody"/>
            </w:pPr>
            <w:r w:rsidRPr="006515FB">
              <w:t>Contribution to the Hospitals and Charities</w:t>
            </w:r>
            <w:r>
              <w:t> </w:t>
            </w:r>
            <w:r w:rsidRPr="006515FB">
              <w:t>Fund</w:t>
            </w:r>
          </w:p>
        </w:tc>
        <w:tc>
          <w:tcPr>
            <w:tcW w:w="1134" w:type="dxa"/>
            <w:tcBorders>
              <w:top w:val="single" w:sz="4" w:space="0" w:color="A6A6A6"/>
              <w:bottom w:val="single" w:sz="4" w:space="0" w:color="A6A6A6"/>
            </w:tcBorders>
            <w:shd w:val="clear" w:color="auto" w:fill="E7E6E6"/>
            <w:noWrap/>
            <w:hideMark/>
          </w:tcPr>
          <w:p w14:paraId="1718E21B" w14:textId="77777777" w:rsidR="005F4A7E" w:rsidRPr="002029AF" w:rsidRDefault="005F4A7E" w:rsidP="00130D1C">
            <w:pPr>
              <w:pStyle w:val="ARfintablebodyright"/>
            </w:pPr>
            <w:r w:rsidRPr="006515FB">
              <w:t>3.9</w:t>
            </w:r>
          </w:p>
        </w:tc>
        <w:tc>
          <w:tcPr>
            <w:tcW w:w="1134" w:type="dxa"/>
            <w:tcBorders>
              <w:top w:val="single" w:sz="4" w:space="0" w:color="A6A6A6"/>
              <w:bottom w:val="single" w:sz="4" w:space="0" w:color="A6A6A6"/>
            </w:tcBorders>
            <w:noWrap/>
            <w:hideMark/>
          </w:tcPr>
          <w:p w14:paraId="30A6D5FD" w14:textId="77777777" w:rsidR="005F4A7E" w:rsidRPr="002029AF" w:rsidRDefault="005F4A7E" w:rsidP="00130D1C">
            <w:pPr>
              <w:pStyle w:val="ARfintablebodyright"/>
            </w:pPr>
            <w:r w:rsidRPr="006515FB">
              <w:t>13.9</w:t>
            </w:r>
          </w:p>
        </w:tc>
      </w:tr>
      <w:tr w:rsidR="005F4A7E" w:rsidRPr="002029AF" w14:paraId="640589BA" w14:textId="77777777" w:rsidTr="00130D1C">
        <w:tc>
          <w:tcPr>
            <w:tcW w:w="3684" w:type="dxa"/>
            <w:tcBorders>
              <w:top w:val="single" w:sz="4" w:space="0" w:color="A6A6A6"/>
              <w:bottom w:val="single" w:sz="4" w:space="0" w:color="A6A6A6"/>
            </w:tcBorders>
            <w:hideMark/>
          </w:tcPr>
          <w:p w14:paraId="4D9CD900" w14:textId="77777777" w:rsidR="005F4A7E" w:rsidRPr="002029AF" w:rsidRDefault="005F4A7E" w:rsidP="00130D1C">
            <w:pPr>
              <w:pStyle w:val="ARfintablebody"/>
            </w:pPr>
            <w:r w:rsidRPr="006515FB">
              <w:t xml:space="preserve">Section 3.6.11 of the </w:t>
            </w:r>
            <w:r w:rsidRPr="00A23120">
              <w:rPr>
                <w:rStyle w:val="Emphasis"/>
              </w:rPr>
              <w:t>Gambling Regulation Act 2003</w:t>
            </w:r>
          </w:p>
        </w:tc>
        <w:tc>
          <w:tcPr>
            <w:tcW w:w="3685" w:type="dxa"/>
            <w:tcBorders>
              <w:top w:val="single" w:sz="4" w:space="0" w:color="A6A6A6"/>
              <w:bottom w:val="single" w:sz="4" w:space="0" w:color="A6A6A6"/>
            </w:tcBorders>
            <w:hideMark/>
          </w:tcPr>
          <w:p w14:paraId="153DB91B" w14:textId="77777777" w:rsidR="005F4A7E" w:rsidRPr="002029AF" w:rsidRDefault="005F4A7E" w:rsidP="00130D1C">
            <w:pPr>
              <w:pStyle w:val="ARfintablebody"/>
            </w:pPr>
            <w:r w:rsidRPr="006515FB">
              <w:t>Contribution to the Hospitals and Charities</w:t>
            </w:r>
            <w:r>
              <w:t> </w:t>
            </w:r>
            <w:r w:rsidRPr="006515FB">
              <w:t>Fund</w:t>
            </w:r>
          </w:p>
        </w:tc>
        <w:tc>
          <w:tcPr>
            <w:tcW w:w="1134" w:type="dxa"/>
            <w:tcBorders>
              <w:top w:val="single" w:sz="4" w:space="0" w:color="A6A6A6"/>
              <w:bottom w:val="single" w:sz="4" w:space="0" w:color="A6A6A6"/>
            </w:tcBorders>
            <w:shd w:val="clear" w:color="auto" w:fill="E7E6E6"/>
            <w:noWrap/>
            <w:hideMark/>
          </w:tcPr>
          <w:p w14:paraId="7BF30E0E" w14:textId="77777777" w:rsidR="005F4A7E" w:rsidRPr="002029AF" w:rsidRDefault="005F4A7E" w:rsidP="00130D1C">
            <w:pPr>
              <w:pStyle w:val="ARfintablebodyright"/>
            </w:pPr>
            <w:r w:rsidRPr="006515FB">
              <w:t>463.5</w:t>
            </w:r>
          </w:p>
        </w:tc>
        <w:tc>
          <w:tcPr>
            <w:tcW w:w="1134" w:type="dxa"/>
            <w:tcBorders>
              <w:top w:val="single" w:sz="4" w:space="0" w:color="A6A6A6"/>
              <w:bottom w:val="single" w:sz="4" w:space="0" w:color="A6A6A6"/>
            </w:tcBorders>
            <w:noWrap/>
            <w:hideMark/>
          </w:tcPr>
          <w:p w14:paraId="366F39B4" w14:textId="77777777" w:rsidR="005F4A7E" w:rsidRPr="002029AF" w:rsidRDefault="005F4A7E" w:rsidP="00130D1C">
            <w:pPr>
              <w:pStyle w:val="ARfintablebodyright"/>
            </w:pPr>
            <w:r w:rsidRPr="006515FB">
              <w:t>675.4</w:t>
            </w:r>
          </w:p>
        </w:tc>
      </w:tr>
      <w:tr w:rsidR="005F4A7E" w:rsidRPr="002029AF" w14:paraId="419DA1D4" w14:textId="77777777" w:rsidTr="00130D1C">
        <w:tc>
          <w:tcPr>
            <w:tcW w:w="3684" w:type="dxa"/>
            <w:tcBorders>
              <w:top w:val="single" w:sz="4" w:space="0" w:color="A6A6A6"/>
              <w:bottom w:val="single" w:sz="4" w:space="0" w:color="A6A6A6"/>
            </w:tcBorders>
            <w:hideMark/>
          </w:tcPr>
          <w:p w14:paraId="43818E85" w14:textId="77777777" w:rsidR="005F4A7E" w:rsidRPr="002029AF" w:rsidRDefault="005F4A7E" w:rsidP="00130D1C">
            <w:pPr>
              <w:pStyle w:val="ARfintablebody"/>
            </w:pPr>
            <w:r w:rsidRPr="006515FB">
              <w:t xml:space="preserve">Section 6A.4.4(1) of the </w:t>
            </w:r>
            <w:r w:rsidRPr="00A23120">
              <w:rPr>
                <w:rStyle w:val="Emphasis"/>
              </w:rPr>
              <w:t>Gambling Regulation Act 2003</w:t>
            </w:r>
          </w:p>
        </w:tc>
        <w:tc>
          <w:tcPr>
            <w:tcW w:w="3685" w:type="dxa"/>
            <w:tcBorders>
              <w:top w:val="single" w:sz="4" w:space="0" w:color="A6A6A6"/>
              <w:bottom w:val="single" w:sz="4" w:space="0" w:color="A6A6A6"/>
            </w:tcBorders>
            <w:hideMark/>
          </w:tcPr>
          <w:p w14:paraId="5C455803" w14:textId="77777777" w:rsidR="005F4A7E" w:rsidRPr="002029AF" w:rsidRDefault="005F4A7E" w:rsidP="00130D1C">
            <w:pPr>
              <w:pStyle w:val="ARfintablebody"/>
            </w:pPr>
            <w:r w:rsidRPr="006515FB">
              <w:t>Contribution to the Hospitals and Charities</w:t>
            </w:r>
            <w:r>
              <w:t> </w:t>
            </w:r>
            <w:r w:rsidRPr="006515FB">
              <w:t>Fund</w:t>
            </w:r>
          </w:p>
        </w:tc>
        <w:tc>
          <w:tcPr>
            <w:tcW w:w="1134" w:type="dxa"/>
            <w:tcBorders>
              <w:top w:val="single" w:sz="4" w:space="0" w:color="A6A6A6"/>
              <w:bottom w:val="single" w:sz="4" w:space="0" w:color="A6A6A6"/>
            </w:tcBorders>
            <w:shd w:val="clear" w:color="auto" w:fill="E7E6E6"/>
            <w:noWrap/>
            <w:hideMark/>
          </w:tcPr>
          <w:p w14:paraId="6B4E40CE" w14:textId="77777777" w:rsidR="005F4A7E" w:rsidRPr="002029AF" w:rsidRDefault="005F4A7E" w:rsidP="00130D1C">
            <w:pPr>
              <w:pStyle w:val="ARfintablebodyright"/>
            </w:pPr>
            <w:r w:rsidRPr="006515FB">
              <w:t>3.2</w:t>
            </w:r>
          </w:p>
        </w:tc>
        <w:tc>
          <w:tcPr>
            <w:tcW w:w="1134" w:type="dxa"/>
            <w:tcBorders>
              <w:top w:val="single" w:sz="4" w:space="0" w:color="A6A6A6"/>
              <w:bottom w:val="single" w:sz="4" w:space="0" w:color="A6A6A6"/>
            </w:tcBorders>
            <w:noWrap/>
            <w:hideMark/>
          </w:tcPr>
          <w:p w14:paraId="3419173F" w14:textId="77777777" w:rsidR="005F4A7E" w:rsidRPr="002029AF" w:rsidRDefault="005F4A7E" w:rsidP="00130D1C">
            <w:pPr>
              <w:pStyle w:val="ARfintablebodyright"/>
            </w:pPr>
            <w:r w:rsidRPr="006515FB">
              <w:t>3.9</w:t>
            </w:r>
          </w:p>
        </w:tc>
      </w:tr>
      <w:tr w:rsidR="005F4A7E" w:rsidRPr="002029AF" w14:paraId="0BA96325" w14:textId="77777777" w:rsidTr="00130D1C">
        <w:tc>
          <w:tcPr>
            <w:tcW w:w="3684" w:type="dxa"/>
            <w:tcBorders>
              <w:top w:val="single" w:sz="4" w:space="0" w:color="A6A6A6"/>
            </w:tcBorders>
            <w:hideMark/>
          </w:tcPr>
          <w:p w14:paraId="575628F7" w14:textId="77777777" w:rsidR="005F4A7E" w:rsidRPr="002029AF" w:rsidRDefault="005F4A7E" w:rsidP="00130D1C">
            <w:pPr>
              <w:pStyle w:val="ARfintablebody"/>
            </w:pPr>
            <w:r w:rsidRPr="006515FB">
              <w:t xml:space="preserve">Section 10 of the </w:t>
            </w:r>
            <w:r w:rsidRPr="0018204C">
              <w:rPr>
                <w:rStyle w:val="Emphasis"/>
              </w:rPr>
              <w:t>Financial Management Act 1994</w:t>
            </w:r>
          </w:p>
        </w:tc>
        <w:tc>
          <w:tcPr>
            <w:tcW w:w="3685" w:type="dxa"/>
            <w:tcBorders>
              <w:top w:val="single" w:sz="4" w:space="0" w:color="A6A6A6"/>
            </w:tcBorders>
            <w:hideMark/>
          </w:tcPr>
          <w:p w14:paraId="1F6E7B9A" w14:textId="77777777" w:rsidR="005F4A7E" w:rsidRPr="002029AF" w:rsidRDefault="005F4A7E" w:rsidP="00130D1C">
            <w:pPr>
              <w:pStyle w:val="ARfintablebody"/>
            </w:pPr>
            <w:r w:rsidRPr="006515FB">
              <w:t xml:space="preserve">Access to various Commonwealth grants </w:t>
            </w:r>
            <w:r>
              <w:br/>
            </w:r>
            <w:r w:rsidRPr="006515FB">
              <w:t>– provision of outputs</w:t>
            </w:r>
          </w:p>
        </w:tc>
        <w:tc>
          <w:tcPr>
            <w:tcW w:w="1134" w:type="dxa"/>
            <w:tcBorders>
              <w:top w:val="single" w:sz="4" w:space="0" w:color="A6A6A6"/>
            </w:tcBorders>
            <w:shd w:val="clear" w:color="auto" w:fill="E7E6E6"/>
            <w:noWrap/>
            <w:hideMark/>
          </w:tcPr>
          <w:p w14:paraId="6C887DB0" w14:textId="77777777" w:rsidR="005F4A7E" w:rsidRPr="002029AF" w:rsidRDefault="005F4A7E" w:rsidP="00130D1C">
            <w:pPr>
              <w:pStyle w:val="ARfintablebodyright"/>
            </w:pPr>
            <w:r w:rsidRPr="006515FB">
              <w:t>11.7</w:t>
            </w:r>
          </w:p>
        </w:tc>
        <w:tc>
          <w:tcPr>
            <w:tcW w:w="1134" w:type="dxa"/>
            <w:tcBorders>
              <w:top w:val="single" w:sz="4" w:space="0" w:color="A6A6A6"/>
            </w:tcBorders>
            <w:noWrap/>
            <w:hideMark/>
          </w:tcPr>
          <w:p w14:paraId="4B4AB25C" w14:textId="77777777" w:rsidR="005F4A7E" w:rsidRPr="002029AF" w:rsidRDefault="005F4A7E" w:rsidP="00130D1C">
            <w:pPr>
              <w:pStyle w:val="ARfintablebodyright"/>
            </w:pPr>
            <w:r w:rsidRPr="006515FB">
              <w:t>6.1</w:t>
            </w:r>
          </w:p>
        </w:tc>
      </w:tr>
      <w:tr w:rsidR="005F4A7E" w:rsidRPr="002029AF" w14:paraId="074A6A9B" w14:textId="77777777" w:rsidTr="00130D1C">
        <w:tc>
          <w:tcPr>
            <w:tcW w:w="3684" w:type="dxa"/>
            <w:hideMark/>
          </w:tcPr>
          <w:p w14:paraId="7C4D2F3F" w14:textId="77777777" w:rsidR="005F4A7E" w:rsidRPr="002029AF" w:rsidRDefault="005F4A7E" w:rsidP="00130D1C">
            <w:pPr>
              <w:pStyle w:val="ARfintablebodybold"/>
            </w:pPr>
            <w:r w:rsidRPr="006515FB">
              <w:t xml:space="preserve">Total special appropriations </w:t>
            </w:r>
            <w:r>
              <w:br/>
            </w:r>
            <w:r w:rsidRPr="006515FB">
              <w:t>– Provision of outputs</w:t>
            </w:r>
          </w:p>
        </w:tc>
        <w:tc>
          <w:tcPr>
            <w:tcW w:w="3685" w:type="dxa"/>
            <w:hideMark/>
          </w:tcPr>
          <w:p w14:paraId="381A758E" w14:textId="77777777" w:rsidR="005F4A7E" w:rsidRPr="002029AF" w:rsidRDefault="005F4A7E" w:rsidP="00130D1C">
            <w:pPr>
              <w:pStyle w:val="ARfintablebody"/>
            </w:pPr>
          </w:p>
        </w:tc>
        <w:tc>
          <w:tcPr>
            <w:tcW w:w="1134" w:type="dxa"/>
            <w:shd w:val="clear" w:color="auto" w:fill="E7E6E6"/>
            <w:noWrap/>
            <w:hideMark/>
          </w:tcPr>
          <w:p w14:paraId="6A1C9130" w14:textId="77777777" w:rsidR="005F4A7E" w:rsidRPr="002029AF" w:rsidRDefault="005F4A7E" w:rsidP="00130D1C">
            <w:pPr>
              <w:pStyle w:val="ARfintablebodyrightbold"/>
            </w:pPr>
            <w:r w:rsidRPr="006515FB">
              <w:t>1,098.9</w:t>
            </w:r>
          </w:p>
        </w:tc>
        <w:tc>
          <w:tcPr>
            <w:tcW w:w="1134" w:type="dxa"/>
            <w:noWrap/>
            <w:hideMark/>
          </w:tcPr>
          <w:p w14:paraId="64FADF03" w14:textId="77777777" w:rsidR="005F4A7E" w:rsidRPr="002029AF" w:rsidRDefault="005F4A7E" w:rsidP="00130D1C">
            <w:pPr>
              <w:pStyle w:val="ARfintablebodyrightbold"/>
            </w:pPr>
            <w:r w:rsidRPr="006515FB">
              <w:t>1,371.9</w:t>
            </w:r>
          </w:p>
        </w:tc>
      </w:tr>
      <w:tr w:rsidR="005F4A7E" w:rsidRPr="002029AF" w14:paraId="1FD3C709" w14:textId="77777777" w:rsidTr="00130D1C">
        <w:tc>
          <w:tcPr>
            <w:tcW w:w="3684" w:type="dxa"/>
            <w:hideMark/>
          </w:tcPr>
          <w:p w14:paraId="4CE88118" w14:textId="77777777" w:rsidR="005F4A7E" w:rsidRPr="002029AF" w:rsidRDefault="005F4A7E" w:rsidP="00130D1C">
            <w:pPr>
              <w:pStyle w:val="ARfintablebody"/>
            </w:pPr>
            <w:r w:rsidRPr="006515FB">
              <w:t xml:space="preserve">Section 10 of the </w:t>
            </w:r>
            <w:r w:rsidRPr="0018204C">
              <w:rPr>
                <w:rStyle w:val="Emphasis"/>
              </w:rPr>
              <w:t>Financial Management Act 1994</w:t>
            </w:r>
          </w:p>
        </w:tc>
        <w:tc>
          <w:tcPr>
            <w:tcW w:w="3685" w:type="dxa"/>
            <w:hideMark/>
          </w:tcPr>
          <w:p w14:paraId="0EAD45D2" w14:textId="77777777" w:rsidR="005F4A7E" w:rsidRPr="0018204C" w:rsidRDefault="005F4A7E" w:rsidP="00130D1C">
            <w:pPr>
              <w:pStyle w:val="ARfintablebody"/>
            </w:pPr>
            <w:r w:rsidRPr="006515FB">
              <w:t xml:space="preserve">Access to various Commonwealth grants </w:t>
            </w:r>
            <w:r>
              <w:br/>
            </w:r>
            <w:r w:rsidRPr="006515FB">
              <w:t xml:space="preserve">– </w:t>
            </w:r>
            <w:r>
              <w:t xml:space="preserve">additions to the net assets </w:t>
            </w:r>
          </w:p>
        </w:tc>
        <w:tc>
          <w:tcPr>
            <w:tcW w:w="1134" w:type="dxa"/>
            <w:shd w:val="clear" w:color="auto" w:fill="E7E6E6"/>
            <w:noWrap/>
            <w:hideMark/>
          </w:tcPr>
          <w:p w14:paraId="285C436F" w14:textId="77777777" w:rsidR="005F4A7E" w:rsidRPr="002029AF" w:rsidRDefault="005F4A7E" w:rsidP="00130D1C">
            <w:pPr>
              <w:pStyle w:val="ARfintablebodyright"/>
            </w:pPr>
            <w:r w:rsidRPr="006515FB">
              <w:t>2.9</w:t>
            </w:r>
          </w:p>
        </w:tc>
        <w:tc>
          <w:tcPr>
            <w:tcW w:w="1134" w:type="dxa"/>
            <w:noWrap/>
            <w:hideMark/>
          </w:tcPr>
          <w:p w14:paraId="7693D15D" w14:textId="77777777" w:rsidR="005F4A7E" w:rsidRPr="002029AF" w:rsidRDefault="005F4A7E" w:rsidP="00130D1C">
            <w:pPr>
              <w:pStyle w:val="ARfintablebodyright"/>
            </w:pPr>
            <w:r w:rsidRPr="006515FB">
              <w:t>1.0</w:t>
            </w:r>
          </w:p>
        </w:tc>
      </w:tr>
      <w:tr w:rsidR="005F4A7E" w:rsidRPr="002029AF" w14:paraId="0BF67262" w14:textId="77777777" w:rsidTr="00130D1C">
        <w:tc>
          <w:tcPr>
            <w:tcW w:w="3684" w:type="dxa"/>
            <w:hideMark/>
          </w:tcPr>
          <w:p w14:paraId="1A876DA0" w14:textId="77777777" w:rsidR="005F4A7E" w:rsidRPr="002029AF" w:rsidRDefault="005F4A7E" w:rsidP="00130D1C">
            <w:pPr>
              <w:pStyle w:val="ARfintablebodybold"/>
            </w:pPr>
            <w:r w:rsidRPr="006515FB">
              <w:t xml:space="preserve">Total special appropriations </w:t>
            </w:r>
            <w:r>
              <w:br/>
            </w:r>
            <w:r w:rsidRPr="006515FB">
              <w:t>– Additions to net assets</w:t>
            </w:r>
          </w:p>
        </w:tc>
        <w:tc>
          <w:tcPr>
            <w:tcW w:w="3685" w:type="dxa"/>
            <w:hideMark/>
          </w:tcPr>
          <w:p w14:paraId="5885664B" w14:textId="77777777" w:rsidR="005F4A7E" w:rsidRPr="002029AF" w:rsidRDefault="005F4A7E" w:rsidP="00130D1C">
            <w:pPr>
              <w:pStyle w:val="ARfintablebody"/>
            </w:pPr>
          </w:p>
        </w:tc>
        <w:tc>
          <w:tcPr>
            <w:tcW w:w="1134" w:type="dxa"/>
            <w:shd w:val="clear" w:color="auto" w:fill="E7E6E6"/>
            <w:noWrap/>
            <w:hideMark/>
          </w:tcPr>
          <w:p w14:paraId="10B23CEA" w14:textId="77777777" w:rsidR="005F4A7E" w:rsidRPr="002029AF" w:rsidRDefault="005F4A7E" w:rsidP="00130D1C">
            <w:pPr>
              <w:pStyle w:val="ARfintablebodyrightbold"/>
            </w:pPr>
            <w:r w:rsidRPr="006515FB">
              <w:t>2.9</w:t>
            </w:r>
          </w:p>
        </w:tc>
        <w:tc>
          <w:tcPr>
            <w:tcW w:w="1134" w:type="dxa"/>
            <w:noWrap/>
            <w:hideMark/>
          </w:tcPr>
          <w:p w14:paraId="20D7A58A" w14:textId="77777777" w:rsidR="005F4A7E" w:rsidRPr="002029AF" w:rsidRDefault="005F4A7E" w:rsidP="00130D1C">
            <w:pPr>
              <w:pStyle w:val="ARfintablebodyrightbold"/>
            </w:pPr>
            <w:r w:rsidRPr="006515FB">
              <w:t>1.0</w:t>
            </w:r>
          </w:p>
        </w:tc>
      </w:tr>
      <w:tr w:rsidR="005F4A7E" w:rsidRPr="002029AF" w14:paraId="0077CFC3" w14:textId="77777777" w:rsidTr="00130D1C">
        <w:tc>
          <w:tcPr>
            <w:tcW w:w="3684" w:type="dxa"/>
            <w:hideMark/>
          </w:tcPr>
          <w:p w14:paraId="088EC583" w14:textId="77777777" w:rsidR="005F4A7E" w:rsidRPr="002029AF" w:rsidRDefault="005F4A7E" w:rsidP="00130D1C">
            <w:pPr>
              <w:pStyle w:val="ARfintablebodybold"/>
            </w:pPr>
            <w:r w:rsidRPr="006515FB">
              <w:t>Total special appropriations</w:t>
            </w:r>
          </w:p>
        </w:tc>
        <w:tc>
          <w:tcPr>
            <w:tcW w:w="3685" w:type="dxa"/>
            <w:hideMark/>
          </w:tcPr>
          <w:p w14:paraId="683BF6FF" w14:textId="77777777" w:rsidR="005F4A7E" w:rsidRPr="002029AF" w:rsidRDefault="005F4A7E" w:rsidP="00130D1C">
            <w:pPr>
              <w:pStyle w:val="ARfintablebody"/>
            </w:pPr>
          </w:p>
        </w:tc>
        <w:tc>
          <w:tcPr>
            <w:tcW w:w="1134" w:type="dxa"/>
            <w:shd w:val="clear" w:color="auto" w:fill="E7E6E6"/>
            <w:noWrap/>
            <w:hideMark/>
          </w:tcPr>
          <w:p w14:paraId="5F7F8E9E" w14:textId="77777777" w:rsidR="005F4A7E" w:rsidRPr="002029AF" w:rsidRDefault="005F4A7E" w:rsidP="00130D1C">
            <w:pPr>
              <w:pStyle w:val="ARfintablebodyrightbold"/>
            </w:pPr>
            <w:r w:rsidRPr="006515FB">
              <w:t>1,101.8</w:t>
            </w:r>
          </w:p>
        </w:tc>
        <w:tc>
          <w:tcPr>
            <w:tcW w:w="1134" w:type="dxa"/>
            <w:noWrap/>
            <w:hideMark/>
          </w:tcPr>
          <w:p w14:paraId="3B8F3883" w14:textId="77777777" w:rsidR="005F4A7E" w:rsidRPr="002029AF" w:rsidRDefault="005F4A7E" w:rsidP="00130D1C">
            <w:pPr>
              <w:pStyle w:val="ARfintablebodyrightbold"/>
            </w:pPr>
            <w:r w:rsidRPr="006515FB">
              <w:t>1,372.9</w:t>
            </w:r>
          </w:p>
        </w:tc>
      </w:tr>
    </w:tbl>
    <w:p w14:paraId="0F6A1AF9" w14:textId="77777777" w:rsidR="005F4A7E" w:rsidRPr="002029AF" w:rsidRDefault="005F4A7E" w:rsidP="00130D1C">
      <w:pPr>
        <w:pStyle w:val="Heading4"/>
        <w:spacing w:before="320"/>
      </w:pPr>
      <w:bookmarkStart w:id="765" w:name="_Toc39136691"/>
      <w:bookmarkStart w:id="766" w:name="_Toc39242135"/>
      <w:bookmarkStart w:id="767" w:name="_Ref51926821"/>
      <w:bookmarkStart w:id="768" w:name="_Ref52454736"/>
      <w:bookmarkStart w:id="769" w:name="_Toc85121364"/>
      <w:r w:rsidRPr="002029AF">
        <w:t>2.4 Revenue and income from transactions</w:t>
      </w:r>
      <w:bookmarkEnd w:id="765"/>
      <w:bookmarkEnd w:id="766"/>
      <w:bookmarkEnd w:id="767"/>
      <w:bookmarkEnd w:id="768"/>
      <w:bookmarkEnd w:id="769"/>
    </w:p>
    <w:p w14:paraId="74997F99" w14:textId="77777777" w:rsidR="005F4A7E" w:rsidRPr="002029AF" w:rsidRDefault="005F4A7E" w:rsidP="00087B91">
      <w:pPr>
        <w:pStyle w:val="Heading5"/>
      </w:pPr>
      <w:bookmarkStart w:id="770" w:name="_Toc39136692"/>
      <w:bookmarkStart w:id="771" w:name="_Toc85121365"/>
      <w:r w:rsidRPr="002029AF">
        <w:t>2.4.1 Interest income</w:t>
      </w:r>
      <w:bookmarkEnd w:id="770"/>
      <w:bookmarkEnd w:id="771"/>
    </w:p>
    <w:tbl>
      <w:tblPr>
        <w:tblStyle w:val="TableGrid"/>
        <w:tblW w:w="9637" w:type="dxa"/>
        <w:tblLayout w:type="fixed"/>
        <w:tblLook w:val="06A0" w:firstRow="1" w:lastRow="0" w:firstColumn="1" w:lastColumn="0" w:noHBand="1" w:noVBand="1"/>
      </w:tblPr>
      <w:tblGrid>
        <w:gridCol w:w="7371"/>
        <w:gridCol w:w="1133"/>
        <w:gridCol w:w="1133"/>
      </w:tblGrid>
      <w:tr w:rsidR="005F4A7E" w:rsidRPr="002029AF" w14:paraId="7083F1B3"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3FC0FE51" w14:textId="77777777" w:rsidR="005F4A7E" w:rsidRPr="002029AF" w:rsidRDefault="005F4A7E" w:rsidP="00860E95">
            <w:pPr>
              <w:pStyle w:val="ARfintablecolhead"/>
            </w:pPr>
          </w:p>
        </w:tc>
        <w:tc>
          <w:tcPr>
            <w:tcW w:w="1133" w:type="dxa"/>
            <w:tcBorders>
              <w:bottom w:val="single" w:sz="4" w:space="0" w:color="auto"/>
            </w:tcBorders>
            <w:shd w:val="clear" w:color="auto" w:fill="E7E6E6"/>
            <w:hideMark/>
          </w:tcPr>
          <w:p w14:paraId="69E930AE" w14:textId="77777777" w:rsidR="005F4A7E" w:rsidRPr="002029AF" w:rsidRDefault="005F4A7E" w:rsidP="00860E95">
            <w:pPr>
              <w:pStyle w:val="ARfintablecolheadright"/>
            </w:pPr>
            <w:r>
              <w:t>2021</w:t>
            </w:r>
          </w:p>
          <w:p w14:paraId="31FD7973" w14:textId="77777777" w:rsidR="005F4A7E" w:rsidRPr="002029AF" w:rsidRDefault="005F4A7E" w:rsidP="00860E95">
            <w:pPr>
              <w:pStyle w:val="ARfintablecolheadright"/>
            </w:pPr>
            <w:r w:rsidRPr="002029AF">
              <w:t>$M</w:t>
            </w:r>
          </w:p>
        </w:tc>
        <w:tc>
          <w:tcPr>
            <w:tcW w:w="1133" w:type="dxa"/>
            <w:tcBorders>
              <w:bottom w:val="single" w:sz="4" w:space="0" w:color="auto"/>
            </w:tcBorders>
            <w:hideMark/>
          </w:tcPr>
          <w:p w14:paraId="6428FC61" w14:textId="77777777" w:rsidR="005F4A7E" w:rsidRPr="002029AF" w:rsidRDefault="005F4A7E" w:rsidP="00860E95">
            <w:pPr>
              <w:pStyle w:val="ARfintablecolheadright"/>
            </w:pPr>
            <w:r>
              <w:t>2020</w:t>
            </w:r>
          </w:p>
          <w:p w14:paraId="1366F9A5" w14:textId="77777777" w:rsidR="005F4A7E" w:rsidRPr="002029AF" w:rsidRDefault="005F4A7E" w:rsidP="00860E95">
            <w:pPr>
              <w:pStyle w:val="ARfintablecolheadright"/>
            </w:pPr>
            <w:r w:rsidRPr="002029AF">
              <w:t>$M</w:t>
            </w:r>
          </w:p>
        </w:tc>
      </w:tr>
      <w:tr w:rsidR="005F4A7E" w:rsidRPr="002029AF" w14:paraId="707BB3BA" w14:textId="77777777" w:rsidTr="00860E95">
        <w:tc>
          <w:tcPr>
            <w:tcW w:w="9637" w:type="dxa"/>
            <w:gridSpan w:val="3"/>
            <w:tcBorders>
              <w:top w:val="single" w:sz="4" w:space="0" w:color="auto"/>
              <w:bottom w:val="single" w:sz="4" w:space="0" w:color="A6A6A6"/>
            </w:tcBorders>
            <w:hideMark/>
          </w:tcPr>
          <w:p w14:paraId="10DC5A2A" w14:textId="77777777" w:rsidR="005F4A7E" w:rsidRPr="002029AF" w:rsidRDefault="005F4A7E" w:rsidP="00130D1C">
            <w:pPr>
              <w:pStyle w:val="ARfintablebodybold"/>
            </w:pPr>
            <w:r w:rsidRPr="00145293">
              <w:t>Interest from financial assets</w:t>
            </w:r>
          </w:p>
        </w:tc>
      </w:tr>
      <w:tr w:rsidR="005F4A7E" w:rsidRPr="002029AF" w14:paraId="3499B6B9" w14:textId="77777777" w:rsidTr="00860E95">
        <w:tc>
          <w:tcPr>
            <w:tcW w:w="7371" w:type="dxa"/>
            <w:tcBorders>
              <w:top w:val="single" w:sz="4" w:space="0" w:color="A6A6A6"/>
              <w:bottom w:val="single" w:sz="4" w:space="0" w:color="A6A6A6"/>
            </w:tcBorders>
            <w:hideMark/>
          </w:tcPr>
          <w:p w14:paraId="54AAE8CB" w14:textId="77777777" w:rsidR="005F4A7E" w:rsidRPr="002029AF" w:rsidRDefault="005F4A7E" w:rsidP="00130D1C">
            <w:pPr>
              <w:pStyle w:val="ARfintablebody"/>
            </w:pPr>
            <w:r w:rsidRPr="00145293">
              <w:t>– Interest on short-term deposits</w:t>
            </w:r>
          </w:p>
        </w:tc>
        <w:tc>
          <w:tcPr>
            <w:tcW w:w="1133" w:type="dxa"/>
            <w:tcBorders>
              <w:top w:val="single" w:sz="4" w:space="0" w:color="A6A6A6"/>
              <w:bottom w:val="single" w:sz="4" w:space="0" w:color="A6A6A6"/>
            </w:tcBorders>
            <w:shd w:val="clear" w:color="auto" w:fill="E7E6E6"/>
            <w:noWrap/>
            <w:hideMark/>
          </w:tcPr>
          <w:p w14:paraId="3BB1A843" w14:textId="77777777" w:rsidR="005F4A7E" w:rsidRPr="002029AF" w:rsidRDefault="005F4A7E" w:rsidP="00130D1C">
            <w:pPr>
              <w:pStyle w:val="ARfintablebodyright"/>
            </w:pPr>
            <w:r w:rsidRPr="00145293">
              <w:t>2.1</w:t>
            </w:r>
          </w:p>
        </w:tc>
        <w:tc>
          <w:tcPr>
            <w:tcW w:w="1133" w:type="dxa"/>
            <w:tcBorders>
              <w:top w:val="single" w:sz="4" w:space="0" w:color="A6A6A6"/>
              <w:bottom w:val="single" w:sz="4" w:space="0" w:color="A6A6A6"/>
            </w:tcBorders>
            <w:noWrap/>
            <w:hideMark/>
          </w:tcPr>
          <w:p w14:paraId="2990D720" w14:textId="77777777" w:rsidR="005F4A7E" w:rsidRPr="002029AF" w:rsidRDefault="005F4A7E" w:rsidP="00130D1C">
            <w:pPr>
              <w:pStyle w:val="ARfintablebodyright"/>
            </w:pPr>
            <w:r w:rsidRPr="00145293">
              <w:t>6.4</w:t>
            </w:r>
          </w:p>
        </w:tc>
      </w:tr>
      <w:tr w:rsidR="005F4A7E" w:rsidRPr="002029AF" w14:paraId="02FCF2E3" w14:textId="77777777" w:rsidTr="00860E95">
        <w:tc>
          <w:tcPr>
            <w:tcW w:w="7371" w:type="dxa"/>
            <w:tcBorders>
              <w:top w:val="single" w:sz="4" w:space="0" w:color="A6A6A6"/>
            </w:tcBorders>
            <w:hideMark/>
          </w:tcPr>
          <w:p w14:paraId="0803B7B8" w14:textId="77777777" w:rsidR="005F4A7E" w:rsidRPr="002029AF" w:rsidRDefault="005F4A7E" w:rsidP="00130D1C">
            <w:pPr>
              <w:pStyle w:val="ARfintablebody"/>
            </w:pPr>
            <w:r w:rsidRPr="00145293">
              <w:t>– Interest from loans</w:t>
            </w:r>
          </w:p>
        </w:tc>
        <w:tc>
          <w:tcPr>
            <w:tcW w:w="1133" w:type="dxa"/>
            <w:tcBorders>
              <w:top w:val="single" w:sz="4" w:space="0" w:color="A6A6A6"/>
            </w:tcBorders>
            <w:shd w:val="clear" w:color="auto" w:fill="E7E6E6"/>
            <w:noWrap/>
            <w:hideMark/>
          </w:tcPr>
          <w:p w14:paraId="11ABBF86" w14:textId="77777777" w:rsidR="005F4A7E" w:rsidRPr="002029AF" w:rsidRDefault="005F4A7E" w:rsidP="00130D1C">
            <w:pPr>
              <w:pStyle w:val="ARfintablebodyright"/>
            </w:pPr>
            <w:r w:rsidRPr="00145293">
              <w:t>0.4</w:t>
            </w:r>
          </w:p>
        </w:tc>
        <w:tc>
          <w:tcPr>
            <w:tcW w:w="1133" w:type="dxa"/>
            <w:tcBorders>
              <w:top w:val="single" w:sz="4" w:space="0" w:color="A6A6A6"/>
            </w:tcBorders>
            <w:noWrap/>
            <w:hideMark/>
          </w:tcPr>
          <w:p w14:paraId="04DF3B92" w14:textId="77777777" w:rsidR="005F4A7E" w:rsidRPr="002029AF" w:rsidRDefault="005F4A7E" w:rsidP="00130D1C">
            <w:pPr>
              <w:pStyle w:val="ARfintablebodyright"/>
            </w:pPr>
            <w:r w:rsidRPr="00145293">
              <w:t>0.5</w:t>
            </w:r>
          </w:p>
        </w:tc>
      </w:tr>
      <w:tr w:rsidR="005F4A7E" w:rsidRPr="002029AF" w14:paraId="33C5FDD8" w14:textId="77777777" w:rsidTr="00860E95">
        <w:tc>
          <w:tcPr>
            <w:tcW w:w="7371" w:type="dxa"/>
            <w:hideMark/>
          </w:tcPr>
          <w:p w14:paraId="3CFE8D56" w14:textId="77777777" w:rsidR="005F4A7E" w:rsidRPr="002029AF" w:rsidRDefault="005F4A7E" w:rsidP="00130D1C">
            <w:pPr>
              <w:pStyle w:val="ARfintablebodybold"/>
            </w:pPr>
            <w:r w:rsidRPr="00145293">
              <w:t>Total interest</w:t>
            </w:r>
          </w:p>
        </w:tc>
        <w:tc>
          <w:tcPr>
            <w:tcW w:w="1133" w:type="dxa"/>
            <w:shd w:val="clear" w:color="auto" w:fill="E7E6E6"/>
            <w:noWrap/>
            <w:hideMark/>
          </w:tcPr>
          <w:p w14:paraId="0C80EFCB" w14:textId="77777777" w:rsidR="005F4A7E" w:rsidRPr="002029AF" w:rsidRDefault="005F4A7E" w:rsidP="00130D1C">
            <w:pPr>
              <w:pStyle w:val="ARfintablebodyrightbold"/>
            </w:pPr>
            <w:r w:rsidRPr="00145293">
              <w:t>2.5</w:t>
            </w:r>
          </w:p>
        </w:tc>
        <w:tc>
          <w:tcPr>
            <w:tcW w:w="1133" w:type="dxa"/>
            <w:noWrap/>
            <w:hideMark/>
          </w:tcPr>
          <w:p w14:paraId="497BF72B" w14:textId="77777777" w:rsidR="005F4A7E" w:rsidRPr="002029AF" w:rsidRDefault="005F4A7E" w:rsidP="00130D1C">
            <w:pPr>
              <w:pStyle w:val="ARfintablebodyrightbold"/>
            </w:pPr>
            <w:r w:rsidRPr="00145293">
              <w:t>6.9</w:t>
            </w:r>
          </w:p>
        </w:tc>
      </w:tr>
    </w:tbl>
    <w:p w14:paraId="4DA81D69" w14:textId="77777777" w:rsidR="005F4A7E" w:rsidRPr="00194D78" w:rsidRDefault="005F4A7E" w:rsidP="00130D1C">
      <w:pPr>
        <w:pStyle w:val="ARfinbodyaftertable"/>
      </w:pPr>
      <w:bookmarkStart w:id="772" w:name="_Toc39136693"/>
      <w:r w:rsidRPr="00194D78">
        <w:t>Interest income includes interest received on bank</w:t>
      </w:r>
      <w:r>
        <w:t>,</w:t>
      </w:r>
      <w:r w:rsidRPr="00194D78">
        <w:t xml:space="preserve"> term deposits and other investments. Interest income is recognised using the </w:t>
      </w:r>
      <w:r>
        <w:t>effective interest</w:t>
      </w:r>
      <w:r w:rsidRPr="00194D78">
        <w:t xml:space="preserve"> method which allocates the interest over the relevant period.</w:t>
      </w:r>
    </w:p>
    <w:p w14:paraId="457D2C19" w14:textId="77777777" w:rsidR="005F4A7E" w:rsidRPr="002029AF" w:rsidRDefault="005F4A7E" w:rsidP="00087B91">
      <w:pPr>
        <w:pStyle w:val="Heading5"/>
      </w:pPr>
      <w:bookmarkStart w:id="773" w:name="_Toc85121366"/>
      <w:r w:rsidRPr="002029AF">
        <w:t>2.4.2 Rental income and income from services</w:t>
      </w:r>
      <w:bookmarkEnd w:id="772"/>
      <w:bookmarkEnd w:id="773"/>
    </w:p>
    <w:tbl>
      <w:tblPr>
        <w:tblStyle w:val="TableGrid"/>
        <w:tblW w:w="9637" w:type="dxa"/>
        <w:tblLayout w:type="fixed"/>
        <w:tblLook w:val="06A0" w:firstRow="1" w:lastRow="0" w:firstColumn="1" w:lastColumn="0" w:noHBand="1" w:noVBand="1"/>
      </w:tblPr>
      <w:tblGrid>
        <w:gridCol w:w="7369"/>
        <w:gridCol w:w="1134"/>
        <w:gridCol w:w="1134"/>
      </w:tblGrid>
      <w:tr w:rsidR="005F4A7E" w:rsidRPr="002029AF" w14:paraId="2A5329E3"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6E118496" w14:textId="77777777" w:rsidR="005F4A7E" w:rsidRPr="002029AF" w:rsidRDefault="005F4A7E" w:rsidP="00860E95">
            <w:pPr>
              <w:pStyle w:val="ARfintablecolhead"/>
            </w:pPr>
          </w:p>
        </w:tc>
        <w:tc>
          <w:tcPr>
            <w:tcW w:w="1134" w:type="dxa"/>
            <w:tcBorders>
              <w:bottom w:val="single" w:sz="4" w:space="0" w:color="auto"/>
            </w:tcBorders>
            <w:shd w:val="clear" w:color="auto" w:fill="E7E6E6"/>
            <w:hideMark/>
          </w:tcPr>
          <w:p w14:paraId="31184F9A" w14:textId="77777777" w:rsidR="005F4A7E" w:rsidRPr="002029AF" w:rsidRDefault="005F4A7E" w:rsidP="00860E95">
            <w:pPr>
              <w:pStyle w:val="ARfintablecolheadright"/>
            </w:pPr>
            <w:r>
              <w:t>2021</w:t>
            </w:r>
          </w:p>
          <w:p w14:paraId="0CB28A02" w14:textId="77777777" w:rsidR="005F4A7E" w:rsidRPr="002029AF" w:rsidRDefault="005F4A7E" w:rsidP="00860E95">
            <w:pPr>
              <w:pStyle w:val="ARfintablecolheadright"/>
            </w:pPr>
            <w:r w:rsidRPr="002029AF">
              <w:t>$M</w:t>
            </w:r>
          </w:p>
        </w:tc>
        <w:tc>
          <w:tcPr>
            <w:tcW w:w="1134" w:type="dxa"/>
            <w:tcBorders>
              <w:bottom w:val="single" w:sz="4" w:space="0" w:color="auto"/>
            </w:tcBorders>
            <w:hideMark/>
          </w:tcPr>
          <w:p w14:paraId="38653802" w14:textId="77777777" w:rsidR="005F4A7E" w:rsidRPr="002029AF" w:rsidRDefault="005F4A7E" w:rsidP="00860E95">
            <w:pPr>
              <w:pStyle w:val="ARfintablecolheadright"/>
            </w:pPr>
            <w:r>
              <w:t>2020</w:t>
            </w:r>
          </w:p>
          <w:p w14:paraId="1E2270EE" w14:textId="77777777" w:rsidR="005F4A7E" w:rsidRPr="002029AF" w:rsidRDefault="005F4A7E" w:rsidP="00860E95">
            <w:pPr>
              <w:pStyle w:val="ARfintablecolheadright"/>
            </w:pPr>
            <w:r w:rsidRPr="002029AF">
              <w:t>$M</w:t>
            </w:r>
          </w:p>
        </w:tc>
      </w:tr>
      <w:tr w:rsidR="005F4A7E" w:rsidRPr="002029AF" w14:paraId="77180C45" w14:textId="77777777" w:rsidTr="00130D1C">
        <w:tc>
          <w:tcPr>
            <w:tcW w:w="7369" w:type="dxa"/>
            <w:tcBorders>
              <w:top w:val="single" w:sz="4" w:space="0" w:color="auto"/>
              <w:bottom w:val="single" w:sz="4" w:space="0" w:color="A6A6A6"/>
            </w:tcBorders>
            <w:hideMark/>
          </w:tcPr>
          <w:p w14:paraId="537AB19F" w14:textId="77777777" w:rsidR="005F4A7E" w:rsidRPr="002029AF" w:rsidRDefault="005F4A7E" w:rsidP="00130D1C">
            <w:pPr>
              <w:pStyle w:val="ARfintablebody"/>
            </w:pPr>
            <w:r w:rsidRPr="00625E7C">
              <w:t>Rental income raised</w:t>
            </w:r>
          </w:p>
        </w:tc>
        <w:tc>
          <w:tcPr>
            <w:tcW w:w="1134" w:type="dxa"/>
            <w:tcBorders>
              <w:top w:val="single" w:sz="4" w:space="0" w:color="auto"/>
              <w:bottom w:val="single" w:sz="4" w:space="0" w:color="A6A6A6"/>
            </w:tcBorders>
            <w:shd w:val="clear" w:color="auto" w:fill="E7E6E6"/>
            <w:noWrap/>
            <w:hideMark/>
          </w:tcPr>
          <w:p w14:paraId="24FCF788" w14:textId="77777777" w:rsidR="005F4A7E" w:rsidRPr="002029AF" w:rsidRDefault="005F4A7E" w:rsidP="00130D1C">
            <w:pPr>
              <w:pStyle w:val="ARfintablebodyright"/>
            </w:pPr>
            <w:r w:rsidRPr="00625E7C">
              <w:t>1,013.9</w:t>
            </w:r>
          </w:p>
        </w:tc>
        <w:tc>
          <w:tcPr>
            <w:tcW w:w="1134" w:type="dxa"/>
            <w:tcBorders>
              <w:top w:val="single" w:sz="4" w:space="0" w:color="auto"/>
              <w:bottom w:val="single" w:sz="4" w:space="0" w:color="A6A6A6"/>
            </w:tcBorders>
            <w:noWrap/>
            <w:hideMark/>
          </w:tcPr>
          <w:p w14:paraId="17B0DCEC" w14:textId="77777777" w:rsidR="005F4A7E" w:rsidRPr="002029AF" w:rsidRDefault="005F4A7E" w:rsidP="00130D1C">
            <w:pPr>
              <w:pStyle w:val="ARfintablebodyright"/>
            </w:pPr>
            <w:r w:rsidRPr="00625E7C">
              <w:t>1,025.3</w:t>
            </w:r>
          </w:p>
        </w:tc>
      </w:tr>
      <w:tr w:rsidR="005F4A7E" w:rsidRPr="002029AF" w14:paraId="761D24B6" w14:textId="77777777" w:rsidTr="00130D1C">
        <w:tc>
          <w:tcPr>
            <w:tcW w:w="7369" w:type="dxa"/>
            <w:tcBorders>
              <w:top w:val="single" w:sz="4" w:space="0" w:color="A6A6A6"/>
              <w:bottom w:val="single" w:sz="4" w:space="0" w:color="A6A6A6"/>
            </w:tcBorders>
            <w:hideMark/>
          </w:tcPr>
          <w:p w14:paraId="709B984B" w14:textId="77777777" w:rsidR="005F4A7E" w:rsidRPr="002029AF" w:rsidRDefault="005F4A7E" w:rsidP="00130D1C">
            <w:pPr>
              <w:pStyle w:val="ARfintablebody"/>
            </w:pPr>
            <w:r w:rsidRPr="00625E7C">
              <w:t>Rental rebates</w:t>
            </w:r>
          </w:p>
        </w:tc>
        <w:tc>
          <w:tcPr>
            <w:tcW w:w="1134" w:type="dxa"/>
            <w:tcBorders>
              <w:top w:val="single" w:sz="4" w:space="0" w:color="A6A6A6"/>
              <w:bottom w:val="single" w:sz="4" w:space="0" w:color="A6A6A6"/>
            </w:tcBorders>
            <w:shd w:val="clear" w:color="auto" w:fill="E7E6E6"/>
            <w:noWrap/>
            <w:hideMark/>
          </w:tcPr>
          <w:p w14:paraId="1C2E5E5F" w14:textId="77777777" w:rsidR="005F4A7E" w:rsidRPr="002029AF" w:rsidRDefault="005F4A7E" w:rsidP="00130D1C">
            <w:pPr>
              <w:pStyle w:val="ARfintablebodyright"/>
            </w:pPr>
            <w:r w:rsidRPr="00625E7C">
              <w:t>(532.3)</w:t>
            </w:r>
          </w:p>
        </w:tc>
        <w:tc>
          <w:tcPr>
            <w:tcW w:w="1134" w:type="dxa"/>
            <w:tcBorders>
              <w:top w:val="single" w:sz="4" w:space="0" w:color="A6A6A6"/>
              <w:bottom w:val="single" w:sz="4" w:space="0" w:color="A6A6A6"/>
            </w:tcBorders>
            <w:noWrap/>
            <w:hideMark/>
          </w:tcPr>
          <w:p w14:paraId="39E7365B" w14:textId="77777777" w:rsidR="005F4A7E" w:rsidRPr="002029AF" w:rsidRDefault="005F4A7E" w:rsidP="00130D1C">
            <w:pPr>
              <w:pStyle w:val="ARfintablebodyright"/>
            </w:pPr>
            <w:r w:rsidRPr="00625E7C">
              <w:t>(521.0)</w:t>
            </w:r>
          </w:p>
        </w:tc>
      </w:tr>
      <w:tr w:rsidR="005F4A7E" w:rsidRPr="002029AF" w14:paraId="763E6DB3" w14:textId="77777777" w:rsidTr="00130D1C">
        <w:tc>
          <w:tcPr>
            <w:tcW w:w="7369" w:type="dxa"/>
            <w:tcBorders>
              <w:top w:val="single" w:sz="4" w:space="0" w:color="A6A6A6"/>
              <w:bottom w:val="single" w:sz="4" w:space="0" w:color="A6A6A6"/>
            </w:tcBorders>
            <w:hideMark/>
          </w:tcPr>
          <w:p w14:paraId="57164A49" w14:textId="77777777" w:rsidR="005F4A7E" w:rsidRPr="002029AF" w:rsidRDefault="005F4A7E" w:rsidP="00130D1C">
            <w:pPr>
              <w:pStyle w:val="ARfintablebody"/>
            </w:pPr>
            <w:r w:rsidRPr="00625E7C">
              <w:t>Rental subsidies – welfare organisations</w:t>
            </w:r>
          </w:p>
        </w:tc>
        <w:tc>
          <w:tcPr>
            <w:tcW w:w="1134" w:type="dxa"/>
            <w:tcBorders>
              <w:top w:val="single" w:sz="4" w:space="0" w:color="A6A6A6"/>
              <w:bottom w:val="single" w:sz="4" w:space="0" w:color="A6A6A6"/>
            </w:tcBorders>
            <w:shd w:val="clear" w:color="auto" w:fill="E7E6E6"/>
            <w:noWrap/>
            <w:hideMark/>
          </w:tcPr>
          <w:p w14:paraId="0D2CA937" w14:textId="77777777" w:rsidR="005F4A7E" w:rsidRPr="002029AF" w:rsidRDefault="005F4A7E" w:rsidP="00130D1C">
            <w:pPr>
              <w:pStyle w:val="ARfintablebodyright"/>
            </w:pPr>
            <w:r w:rsidRPr="00625E7C">
              <w:t>(10.6)</w:t>
            </w:r>
          </w:p>
        </w:tc>
        <w:tc>
          <w:tcPr>
            <w:tcW w:w="1134" w:type="dxa"/>
            <w:tcBorders>
              <w:top w:val="single" w:sz="4" w:space="0" w:color="A6A6A6"/>
              <w:bottom w:val="single" w:sz="4" w:space="0" w:color="A6A6A6"/>
            </w:tcBorders>
            <w:noWrap/>
            <w:hideMark/>
          </w:tcPr>
          <w:p w14:paraId="05645C88" w14:textId="77777777" w:rsidR="005F4A7E" w:rsidRPr="002029AF" w:rsidRDefault="005F4A7E" w:rsidP="00130D1C">
            <w:pPr>
              <w:pStyle w:val="ARfintablebodyright"/>
            </w:pPr>
            <w:r w:rsidRPr="00625E7C">
              <w:t>(10.1)</w:t>
            </w:r>
          </w:p>
        </w:tc>
      </w:tr>
      <w:tr w:rsidR="005F4A7E" w:rsidRPr="002029AF" w14:paraId="482BEA86" w14:textId="77777777" w:rsidTr="00130D1C">
        <w:tc>
          <w:tcPr>
            <w:tcW w:w="7369" w:type="dxa"/>
            <w:tcBorders>
              <w:top w:val="single" w:sz="4" w:space="0" w:color="A6A6A6"/>
            </w:tcBorders>
            <w:hideMark/>
          </w:tcPr>
          <w:p w14:paraId="540350E1" w14:textId="77777777" w:rsidR="005F4A7E" w:rsidRPr="002029AF" w:rsidRDefault="005F4A7E" w:rsidP="00130D1C">
            <w:pPr>
              <w:pStyle w:val="ARfintablebody"/>
            </w:pPr>
            <w:r w:rsidRPr="00625E7C">
              <w:t>Shared Home Ownership Scheme – rent raised</w:t>
            </w:r>
          </w:p>
        </w:tc>
        <w:tc>
          <w:tcPr>
            <w:tcW w:w="1134" w:type="dxa"/>
            <w:tcBorders>
              <w:top w:val="single" w:sz="4" w:space="0" w:color="A6A6A6"/>
            </w:tcBorders>
            <w:shd w:val="clear" w:color="auto" w:fill="E7E6E6"/>
            <w:noWrap/>
            <w:hideMark/>
          </w:tcPr>
          <w:p w14:paraId="1E42B476" w14:textId="77777777" w:rsidR="005F4A7E" w:rsidRPr="002029AF" w:rsidRDefault="005F4A7E" w:rsidP="00130D1C">
            <w:pPr>
              <w:pStyle w:val="ARfintablebodyright"/>
            </w:pPr>
            <w:r w:rsidRPr="00625E7C">
              <w:t>1.9</w:t>
            </w:r>
          </w:p>
        </w:tc>
        <w:tc>
          <w:tcPr>
            <w:tcW w:w="1134" w:type="dxa"/>
            <w:tcBorders>
              <w:top w:val="single" w:sz="4" w:space="0" w:color="A6A6A6"/>
            </w:tcBorders>
            <w:noWrap/>
            <w:hideMark/>
          </w:tcPr>
          <w:p w14:paraId="0011DBDA" w14:textId="77777777" w:rsidR="005F4A7E" w:rsidRPr="002029AF" w:rsidRDefault="005F4A7E" w:rsidP="00130D1C">
            <w:pPr>
              <w:pStyle w:val="ARfintablebodyright"/>
            </w:pPr>
            <w:r w:rsidRPr="00625E7C">
              <w:t>2.0</w:t>
            </w:r>
          </w:p>
        </w:tc>
      </w:tr>
      <w:tr w:rsidR="005F4A7E" w:rsidRPr="002029AF" w14:paraId="33FD7EB9" w14:textId="77777777" w:rsidTr="00130D1C">
        <w:tc>
          <w:tcPr>
            <w:tcW w:w="7369" w:type="dxa"/>
            <w:tcBorders>
              <w:bottom w:val="single" w:sz="4" w:space="0" w:color="auto"/>
            </w:tcBorders>
            <w:hideMark/>
          </w:tcPr>
          <w:p w14:paraId="57D0F697" w14:textId="77777777" w:rsidR="005F4A7E" w:rsidRPr="002029AF" w:rsidRDefault="005F4A7E" w:rsidP="00130D1C">
            <w:pPr>
              <w:pStyle w:val="ARfintablebodybold"/>
            </w:pPr>
            <w:r w:rsidRPr="00625E7C">
              <w:t>Total net rent receivable</w:t>
            </w:r>
          </w:p>
        </w:tc>
        <w:tc>
          <w:tcPr>
            <w:tcW w:w="1134" w:type="dxa"/>
            <w:tcBorders>
              <w:bottom w:val="single" w:sz="4" w:space="0" w:color="auto"/>
            </w:tcBorders>
            <w:shd w:val="clear" w:color="auto" w:fill="E7E6E6"/>
            <w:noWrap/>
            <w:hideMark/>
          </w:tcPr>
          <w:p w14:paraId="0690D327" w14:textId="77777777" w:rsidR="005F4A7E" w:rsidRPr="002029AF" w:rsidRDefault="005F4A7E" w:rsidP="00130D1C">
            <w:pPr>
              <w:pStyle w:val="ARfintablebodyrightbold"/>
            </w:pPr>
            <w:r w:rsidRPr="00625E7C">
              <w:t>472.9</w:t>
            </w:r>
          </w:p>
        </w:tc>
        <w:tc>
          <w:tcPr>
            <w:tcW w:w="1134" w:type="dxa"/>
            <w:tcBorders>
              <w:bottom w:val="single" w:sz="4" w:space="0" w:color="auto"/>
            </w:tcBorders>
            <w:noWrap/>
            <w:hideMark/>
          </w:tcPr>
          <w:p w14:paraId="7D013FE7" w14:textId="77777777" w:rsidR="005F4A7E" w:rsidRPr="002029AF" w:rsidRDefault="005F4A7E" w:rsidP="00130D1C">
            <w:pPr>
              <w:pStyle w:val="ARfintablebodyrightbold"/>
            </w:pPr>
            <w:r w:rsidRPr="00625E7C">
              <w:t>496.2</w:t>
            </w:r>
          </w:p>
        </w:tc>
      </w:tr>
      <w:tr w:rsidR="005F4A7E" w:rsidRPr="002029AF" w14:paraId="5BCF967A" w14:textId="77777777" w:rsidTr="00130D1C">
        <w:tc>
          <w:tcPr>
            <w:tcW w:w="7369" w:type="dxa"/>
            <w:tcBorders>
              <w:top w:val="single" w:sz="4" w:space="0" w:color="auto"/>
              <w:bottom w:val="single" w:sz="4" w:space="0" w:color="A6A6A6"/>
            </w:tcBorders>
            <w:hideMark/>
          </w:tcPr>
          <w:p w14:paraId="1EF35826" w14:textId="77777777" w:rsidR="005F4A7E" w:rsidRPr="002029AF" w:rsidRDefault="005F4A7E" w:rsidP="00130D1C">
            <w:pPr>
              <w:pStyle w:val="ARfintablebody"/>
            </w:pPr>
            <w:r w:rsidRPr="00625E7C">
              <w:t>Total user charges – rental properties</w:t>
            </w:r>
          </w:p>
        </w:tc>
        <w:tc>
          <w:tcPr>
            <w:tcW w:w="1134" w:type="dxa"/>
            <w:tcBorders>
              <w:top w:val="single" w:sz="4" w:space="0" w:color="auto"/>
              <w:bottom w:val="single" w:sz="4" w:space="0" w:color="A6A6A6"/>
            </w:tcBorders>
            <w:shd w:val="clear" w:color="auto" w:fill="E7E6E6"/>
            <w:noWrap/>
            <w:hideMark/>
          </w:tcPr>
          <w:p w14:paraId="78897494" w14:textId="77777777" w:rsidR="005F4A7E" w:rsidRPr="002029AF" w:rsidRDefault="005F4A7E" w:rsidP="00130D1C">
            <w:pPr>
              <w:pStyle w:val="ARfintablebodyright"/>
            </w:pPr>
            <w:r w:rsidRPr="00625E7C">
              <w:t>4.6</w:t>
            </w:r>
          </w:p>
        </w:tc>
        <w:tc>
          <w:tcPr>
            <w:tcW w:w="1134" w:type="dxa"/>
            <w:tcBorders>
              <w:top w:val="single" w:sz="4" w:space="0" w:color="auto"/>
              <w:bottom w:val="single" w:sz="4" w:space="0" w:color="A6A6A6"/>
            </w:tcBorders>
            <w:noWrap/>
            <w:hideMark/>
          </w:tcPr>
          <w:p w14:paraId="4C4A5C9B" w14:textId="77777777" w:rsidR="005F4A7E" w:rsidRPr="002029AF" w:rsidRDefault="005F4A7E" w:rsidP="00130D1C">
            <w:pPr>
              <w:pStyle w:val="ARfintablebodyright"/>
            </w:pPr>
            <w:r w:rsidRPr="00625E7C">
              <w:t>4.8</w:t>
            </w:r>
          </w:p>
        </w:tc>
      </w:tr>
      <w:tr w:rsidR="005F4A7E" w:rsidRPr="002029AF" w14:paraId="7045EBAE" w14:textId="77777777" w:rsidTr="00130D1C">
        <w:tc>
          <w:tcPr>
            <w:tcW w:w="7369" w:type="dxa"/>
            <w:tcBorders>
              <w:top w:val="single" w:sz="4" w:space="0" w:color="A6A6A6"/>
            </w:tcBorders>
            <w:hideMark/>
          </w:tcPr>
          <w:p w14:paraId="45CC9CF0" w14:textId="77777777" w:rsidR="005F4A7E" w:rsidRPr="002029AF" w:rsidRDefault="005F4A7E" w:rsidP="00130D1C">
            <w:pPr>
              <w:pStyle w:val="ARfintablebody"/>
            </w:pPr>
            <w:r w:rsidRPr="00625E7C">
              <w:t>Rendering of services</w:t>
            </w:r>
          </w:p>
        </w:tc>
        <w:tc>
          <w:tcPr>
            <w:tcW w:w="1134" w:type="dxa"/>
            <w:tcBorders>
              <w:top w:val="single" w:sz="4" w:space="0" w:color="A6A6A6"/>
            </w:tcBorders>
            <w:shd w:val="clear" w:color="auto" w:fill="E7E6E6"/>
            <w:noWrap/>
            <w:hideMark/>
          </w:tcPr>
          <w:p w14:paraId="55AD7C20" w14:textId="77777777" w:rsidR="005F4A7E" w:rsidRPr="002029AF" w:rsidRDefault="005F4A7E" w:rsidP="00130D1C">
            <w:pPr>
              <w:pStyle w:val="ARfintablebodyright"/>
            </w:pPr>
            <w:r w:rsidRPr="00625E7C">
              <w:t>–</w:t>
            </w:r>
          </w:p>
        </w:tc>
        <w:tc>
          <w:tcPr>
            <w:tcW w:w="1134" w:type="dxa"/>
            <w:tcBorders>
              <w:top w:val="single" w:sz="4" w:space="0" w:color="A6A6A6"/>
            </w:tcBorders>
            <w:noWrap/>
            <w:hideMark/>
          </w:tcPr>
          <w:p w14:paraId="7B7FC8C3" w14:textId="77777777" w:rsidR="005F4A7E" w:rsidRPr="002029AF" w:rsidRDefault="005F4A7E" w:rsidP="00130D1C">
            <w:pPr>
              <w:pStyle w:val="ARfintablebodyright"/>
            </w:pPr>
            <w:r w:rsidRPr="00625E7C">
              <w:t>0.1</w:t>
            </w:r>
          </w:p>
        </w:tc>
      </w:tr>
      <w:tr w:rsidR="005F4A7E" w:rsidRPr="002029AF" w14:paraId="3496A62C" w14:textId="77777777" w:rsidTr="00130D1C">
        <w:tc>
          <w:tcPr>
            <w:tcW w:w="7369" w:type="dxa"/>
            <w:hideMark/>
          </w:tcPr>
          <w:p w14:paraId="456F6261" w14:textId="77777777" w:rsidR="005F4A7E" w:rsidRPr="002029AF" w:rsidRDefault="005F4A7E" w:rsidP="00130D1C">
            <w:pPr>
              <w:pStyle w:val="ARfintablebodybold"/>
            </w:pPr>
            <w:r w:rsidRPr="00625E7C">
              <w:t>Total rental income and income from services</w:t>
            </w:r>
          </w:p>
        </w:tc>
        <w:tc>
          <w:tcPr>
            <w:tcW w:w="1134" w:type="dxa"/>
            <w:shd w:val="clear" w:color="auto" w:fill="E7E6E6"/>
            <w:noWrap/>
            <w:hideMark/>
          </w:tcPr>
          <w:p w14:paraId="5D1DF9EE" w14:textId="77777777" w:rsidR="005F4A7E" w:rsidRPr="002029AF" w:rsidRDefault="005F4A7E" w:rsidP="00130D1C">
            <w:pPr>
              <w:pStyle w:val="ARfintablebodyrightbold"/>
            </w:pPr>
            <w:r w:rsidRPr="00625E7C">
              <w:t>477.5</w:t>
            </w:r>
          </w:p>
        </w:tc>
        <w:tc>
          <w:tcPr>
            <w:tcW w:w="1134" w:type="dxa"/>
            <w:noWrap/>
            <w:hideMark/>
          </w:tcPr>
          <w:p w14:paraId="6209FF5E" w14:textId="77777777" w:rsidR="005F4A7E" w:rsidRPr="002029AF" w:rsidRDefault="005F4A7E" w:rsidP="00130D1C">
            <w:pPr>
              <w:pStyle w:val="ARfintablebodyrightbold"/>
            </w:pPr>
            <w:r w:rsidRPr="00625E7C">
              <w:t>501.1</w:t>
            </w:r>
          </w:p>
        </w:tc>
      </w:tr>
    </w:tbl>
    <w:p w14:paraId="1271A47A" w14:textId="77777777" w:rsidR="005F4A7E" w:rsidRDefault="005F4A7E" w:rsidP="00130D1C">
      <w:pPr>
        <w:pStyle w:val="ARfinbodyaftertable"/>
      </w:pPr>
      <w:bookmarkStart w:id="774" w:name="_Toc39136694"/>
      <w:r w:rsidRPr="00AE19F6">
        <w:rPr>
          <w:rStyle w:val="Strong"/>
        </w:rPr>
        <w:t>Rental income</w:t>
      </w:r>
      <w:r w:rsidRPr="00194D78">
        <w:t xml:space="preserve"> arising from tenancy operating agreements is recognised on a straight</w:t>
      </w:r>
      <w:r>
        <w:t>-</w:t>
      </w:r>
      <w:r w:rsidRPr="00194D78">
        <w:t>line basis over the terms of the ongoing agreements. This is subject to annual review. Rental rebates or subsidies provided to tenants are recognised on a straight</w:t>
      </w:r>
      <w:r>
        <w:t>-</w:t>
      </w:r>
      <w:r w:rsidRPr="00194D78">
        <w:t>line basis over the term of the agreements. These are subject to bi-annual review.</w:t>
      </w:r>
    </w:p>
    <w:p w14:paraId="2CBFA288" w14:textId="77777777" w:rsidR="005F4A7E" w:rsidRPr="00C85FD4" w:rsidRDefault="005F4A7E" w:rsidP="00130D1C">
      <w:pPr>
        <w:pStyle w:val="Heading6"/>
        <w:rPr>
          <w:lang w:eastAsia="en-AU"/>
        </w:rPr>
      </w:pPr>
      <w:bookmarkStart w:id="775" w:name="_Toc85121367"/>
      <w:r>
        <w:rPr>
          <w:lang w:eastAsia="en-AU"/>
        </w:rPr>
        <w:lastRenderedPageBreak/>
        <w:t>Operating leases – lessors</w:t>
      </w:r>
      <w:bookmarkEnd w:id="775"/>
    </w:p>
    <w:p w14:paraId="4ECAF673" w14:textId="77777777" w:rsidR="005F4A7E" w:rsidRDefault="005F4A7E" w:rsidP="00130D1C">
      <w:pPr>
        <w:pStyle w:val="ARfinbody"/>
      </w:pPr>
      <w:r w:rsidRPr="00194D78">
        <w:t xml:space="preserve">The </w:t>
      </w:r>
      <w:r>
        <w:t>d</w:t>
      </w:r>
      <w:r w:rsidRPr="00194D78">
        <w:t>epartment provides rental accommodation for a range of clients. These are public rental units that are owned and operated by the Director of Housing which have week-to-week tenancy agreements.</w:t>
      </w:r>
      <w:r>
        <w:t xml:space="preserve"> These agreements are subject to the </w:t>
      </w:r>
      <w:r w:rsidRPr="009B76F6">
        <w:rPr>
          <w:i/>
          <w:iCs/>
        </w:rPr>
        <w:t>Residential Tenancy Act 1997</w:t>
      </w:r>
      <w:r>
        <w:t xml:space="preserve"> provisions which allow termination of a lease under certain circumstances. Accordingly the future revenue streams from the lease agreements are not required to be reported under AASB 16.97.</w:t>
      </w:r>
    </w:p>
    <w:p w14:paraId="5B5D78B6" w14:textId="77777777" w:rsidR="005F4A7E" w:rsidRPr="002029AF" w:rsidRDefault="005F4A7E" w:rsidP="00087B91">
      <w:pPr>
        <w:pStyle w:val="Heading5"/>
      </w:pPr>
      <w:bookmarkStart w:id="776" w:name="_Toc85121368"/>
      <w:r w:rsidRPr="002029AF">
        <w:t>2.4.3 Grants</w:t>
      </w:r>
      <w:bookmarkEnd w:id="774"/>
      <w:bookmarkEnd w:id="776"/>
    </w:p>
    <w:tbl>
      <w:tblPr>
        <w:tblStyle w:val="TableGrid"/>
        <w:tblW w:w="9637" w:type="dxa"/>
        <w:tblLayout w:type="fixed"/>
        <w:tblLook w:val="06A0" w:firstRow="1" w:lastRow="0" w:firstColumn="1" w:lastColumn="0" w:noHBand="1" w:noVBand="1"/>
      </w:tblPr>
      <w:tblGrid>
        <w:gridCol w:w="7371"/>
        <w:gridCol w:w="1133"/>
        <w:gridCol w:w="1133"/>
      </w:tblGrid>
      <w:tr w:rsidR="005F4A7E" w:rsidRPr="002029AF" w14:paraId="307CBD2E"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2BECBD47" w14:textId="77777777" w:rsidR="005F4A7E" w:rsidRPr="002029AF" w:rsidRDefault="005F4A7E" w:rsidP="00860E95">
            <w:pPr>
              <w:pStyle w:val="ARfintablecolhead"/>
            </w:pPr>
          </w:p>
        </w:tc>
        <w:tc>
          <w:tcPr>
            <w:tcW w:w="1133" w:type="dxa"/>
            <w:tcBorders>
              <w:bottom w:val="single" w:sz="4" w:space="0" w:color="auto"/>
            </w:tcBorders>
            <w:shd w:val="clear" w:color="auto" w:fill="E7E6E6"/>
            <w:hideMark/>
          </w:tcPr>
          <w:p w14:paraId="34261A7F" w14:textId="77777777" w:rsidR="005F4A7E" w:rsidRPr="002029AF" w:rsidRDefault="005F4A7E" w:rsidP="00860E95">
            <w:pPr>
              <w:pStyle w:val="ARfintablecolheadright"/>
            </w:pPr>
            <w:r>
              <w:t>2021</w:t>
            </w:r>
          </w:p>
          <w:p w14:paraId="34D33B7A" w14:textId="77777777" w:rsidR="005F4A7E" w:rsidRPr="002029AF" w:rsidRDefault="005F4A7E" w:rsidP="00860E95">
            <w:pPr>
              <w:pStyle w:val="ARfintablecolheadright"/>
            </w:pPr>
            <w:r w:rsidRPr="002029AF">
              <w:t>$M</w:t>
            </w:r>
          </w:p>
        </w:tc>
        <w:tc>
          <w:tcPr>
            <w:tcW w:w="1133" w:type="dxa"/>
            <w:tcBorders>
              <w:bottom w:val="single" w:sz="4" w:space="0" w:color="auto"/>
            </w:tcBorders>
            <w:hideMark/>
          </w:tcPr>
          <w:p w14:paraId="269D79C9" w14:textId="77777777" w:rsidR="005F4A7E" w:rsidRPr="002029AF" w:rsidRDefault="005F4A7E" w:rsidP="00860E95">
            <w:pPr>
              <w:pStyle w:val="ARfintablecolheadright"/>
            </w:pPr>
            <w:r>
              <w:t>2020</w:t>
            </w:r>
          </w:p>
          <w:p w14:paraId="0255CBEC" w14:textId="77777777" w:rsidR="005F4A7E" w:rsidRPr="002029AF" w:rsidRDefault="005F4A7E" w:rsidP="00860E95">
            <w:pPr>
              <w:pStyle w:val="ARfintablecolheadright"/>
            </w:pPr>
            <w:r w:rsidRPr="002029AF">
              <w:t>$M</w:t>
            </w:r>
          </w:p>
        </w:tc>
      </w:tr>
      <w:tr w:rsidR="005F4A7E" w:rsidRPr="002029AF" w14:paraId="4A9B517E" w14:textId="77777777" w:rsidTr="00860E95">
        <w:tc>
          <w:tcPr>
            <w:tcW w:w="7371" w:type="dxa"/>
            <w:tcBorders>
              <w:top w:val="single" w:sz="4" w:space="0" w:color="auto"/>
              <w:bottom w:val="single" w:sz="4" w:space="0" w:color="A6A6A6"/>
            </w:tcBorders>
            <w:hideMark/>
          </w:tcPr>
          <w:p w14:paraId="3C725A24" w14:textId="77777777" w:rsidR="005F4A7E" w:rsidRPr="002029AF" w:rsidRDefault="005F4A7E" w:rsidP="00130D1C">
            <w:pPr>
              <w:pStyle w:val="ARfintablebody"/>
            </w:pPr>
            <w:r w:rsidRPr="008E057E">
              <w:t>Income recognised under AASB 1058</w:t>
            </w:r>
          </w:p>
        </w:tc>
        <w:tc>
          <w:tcPr>
            <w:tcW w:w="1133" w:type="dxa"/>
            <w:tcBorders>
              <w:top w:val="single" w:sz="4" w:space="0" w:color="auto"/>
              <w:bottom w:val="single" w:sz="4" w:space="0" w:color="A6A6A6"/>
            </w:tcBorders>
            <w:shd w:val="clear" w:color="auto" w:fill="E7E6E6"/>
            <w:noWrap/>
            <w:hideMark/>
          </w:tcPr>
          <w:p w14:paraId="09F8EC0D" w14:textId="77777777" w:rsidR="005F4A7E" w:rsidRPr="002029AF" w:rsidRDefault="005F4A7E" w:rsidP="00130D1C">
            <w:pPr>
              <w:pStyle w:val="ARfintablebodyright"/>
            </w:pPr>
            <w:r w:rsidRPr="008E057E">
              <w:t>2,537.0</w:t>
            </w:r>
          </w:p>
        </w:tc>
        <w:tc>
          <w:tcPr>
            <w:tcW w:w="1133" w:type="dxa"/>
            <w:tcBorders>
              <w:top w:val="single" w:sz="4" w:space="0" w:color="auto"/>
              <w:bottom w:val="single" w:sz="4" w:space="0" w:color="A6A6A6"/>
            </w:tcBorders>
            <w:noWrap/>
            <w:hideMark/>
          </w:tcPr>
          <w:p w14:paraId="2D846173" w14:textId="77777777" w:rsidR="005F4A7E" w:rsidRPr="002029AF" w:rsidRDefault="005F4A7E" w:rsidP="00130D1C">
            <w:pPr>
              <w:pStyle w:val="ARfintablebodyright"/>
            </w:pPr>
            <w:r w:rsidRPr="008E057E">
              <w:t>2,507.9</w:t>
            </w:r>
          </w:p>
        </w:tc>
      </w:tr>
      <w:tr w:rsidR="005F4A7E" w:rsidRPr="002029AF" w14:paraId="16B3B528" w14:textId="77777777" w:rsidTr="00130D1C">
        <w:tc>
          <w:tcPr>
            <w:tcW w:w="7371" w:type="dxa"/>
            <w:tcBorders>
              <w:top w:val="single" w:sz="4" w:space="0" w:color="A6A6A6"/>
              <w:bottom w:val="single" w:sz="4" w:space="0" w:color="auto"/>
            </w:tcBorders>
            <w:hideMark/>
          </w:tcPr>
          <w:p w14:paraId="43922B03" w14:textId="77777777" w:rsidR="005F4A7E" w:rsidRPr="002029AF" w:rsidRDefault="005F4A7E" w:rsidP="00130D1C">
            <w:pPr>
              <w:pStyle w:val="ARfintablebody"/>
            </w:pPr>
            <w:r w:rsidRPr="008E057E">
              <w:t>Revenue recognised under AASB 15</w:t>
            </w:r>
          </w:p>
        </w:tc>
        <w:tc>
          <w:tcPr>
            <w:tcW w:w="1133" w:type="dxa"/>
            <w:tcBorders>
              <w:top w:val="single" w:sz="4" w:space="0" w:color="A6A6A6"/>
              <w:bottom w:val="single" w:sz="4" w:space="0" w:color="auto"/>
            </w:tcBorders>
            <w:shd w:val="clear" w:color="auto" w:fill="E7E6E6"/>
            <w:noWrap/>
            <w:hideMark/>
          </w:tcPr>
          <w:p w14:paraId="5988DC91" w14:textId="77777777" w:rsidR="005F4A7E" w:rsidRPr="002029AF" w:rsidRDefault="005F4A7E" w:rsidP="00130D1C">
            <w:pPr>
              <w:pStyle w:val="ARfintablebodyright"/>
            </w:pPr>
            <w:r w:rsidRPr="008E057E">
              <w:t>12.2</w:t>
            </w:r>
          </w:p>
        </w:tc>
        <w:tc>
          <w:tcPr>
            <w:tcW w:w="1133" w:type="dxa"/>
            <w:tcBorders>
              <w:top w:val="single" w:sz="4" w:space="0" w:color="A6A6A6"/>
              <w:bottom w:val="single" w:sz="4" w:space="0" w:color="auto"/>
            </w:tcBorders>
            <w:noWrap/>
            <w:hideMark/>
          </w:tcPr>
          <w:p w14:paraId="728295A4" w14:textId="77777777" w:rsidR="005F4A7E" w:rsidRPr="002029AF" w:rsidRDefault="005F4A7E" w:rsidP="00130D1C">
            <w:pPr>
              <w:pStyle w:val="ARfintablebodyright"/>
            </w:pPr>
            <w:r w:rsidRPr="008E057E">
              <w:t>6.1</w:t>
            </w:r>
          </w:p>
        </w:tc>
      </w:tr>
      <w:tr w:rsidR="005F4A7E" w:rsidRPr="002029AF" w14:paraId="54EB92D3" w14:textId="77777777" w:rsidTr="00130D1C">
        <w:tc>
          <w:tcPr>
            <w:tcW w:w="7371" w:type="dxa"/>
            <w:tcBorders>
              <w:top w:val="single" w:sz="4" w:space="0" w:color="auto"/>
              <w:bottom w:val="single" w:sz="4" w:space="0" w:color="auto"/>
            </w:tcBorders>
            <w:hideMark/>
          </w:tcPr>
          <w:p w14:paraId="07398DAF" w14:textId="77777777" w:rsidR="005F4A7E" w:rsidRPr="002029AF" w:rsidRDefault="005F4A7E" w:rsidP="00130D1C">
            <w:pPr>
              <w:pStyle w:val="ARfintablebodybold"/>
            </w:pPr>
            <w:r w:rsidRPr="008E057E">
              <w:t>Total grants</w:t>
            </w:r>
          </w:p>
        </w:tc>
        <w:tc>
          <w:tcPr>
            <w:tcW w:w="1133" w:type="dxa"/>
            <w:tcBorders>
              <w:top w:val="single" w:sz="4" w:space="0" w:color="auto"/>
              <w:bottom w:val="single" w:sz="4" w:space="0" w:color="auto"/>
            </w:tcBorders>
            <w:shd w:val="clear" w:color="auto" w:fill="E7E6E6"/>
            <w:noWrap/>
            <w:hideMark/>
          </w:tcPr>
          <w:p w14:paraId="45FD375C" w14:textId="77777777" w:rsidR="005F4A7E" w:rsidRPr="002029AF" w:rsidRDefault="005F4A7E" w:rsidP="00130D1C">
            <w:pPr>
              <w:pStyle w:val="ARfintablebodyrightbold"/>
            </w:pPr>
            <w:r w:rsidRPr="008E057E">
              <w:t>2,549.2</w:t>
            </w:r>
          </w:p>
        </w:tc>
        <w:tc>
          <w:tcPr>
            <w:tcW w:w="1133" w:type="dxa"/>
            <w:tcBorders>
              <w:top w:val="single" w:sz="4" w:space="0" w:color="auto"/>
              <w:bottom w:val="single" w:sz="4" w:space="0" w:color="auto"/>
            </w:tcBorders>
            <w:noWrap/>
            <w:hideMark/>
          </w:tcPr>
          <w:p w14:paraId="1E419486" w14:textId="77777777" w:rsidR="005F4A7E" w:rsidRPr="002029AF" w:rsidRDefault="005F4A7E" w:rsidP="00130D1C">
            <w:pPr>
              <w:pStyle w:val="ARfintablebodyrightbold"/>
            </w:pPr>
            <w:r w:rsidRPr="008E057E">
              <w:t>2,514.0</w:t>
            </w:r>
          </w:p>
        </w:tc>
      </w:tr>
      <w:tr w:rsidR="005F4A7E" w:rsidRPr="002029AF" w14:paraId="1991F08D" w14:textId="77777777" w:rsidTr="00130D1C">
        <w:tc>
          <w:tcPr>
            <w:tcW w:w="9637" w:type="dxa"/>
            <w:gridSpan w:val="3"/>
            <w:tcBorders>
              <w:top w:val="single" w:sz="4" w:space="0" w:color="auto"/>
              <w:bottom w:val="single" w:sz="4" w:space="0" w:color="A6A6A6"/>
            </w:tcBorders>
            <w:hideMark/>
          </w:tcPr>
          <w:p w14:paraId="6C6C80B1" w14:textId="77777777" w:rsidR="005F4A7E" w:rsidRPr="002029AF" w:rsidRDefault="005F4A7E" w:rsidP="00130D1C">
            <w:pPr>
              <w:pStyle w:val="ARfintablebodybold"/>
            </w:pPr>
            <w:r w:rsidRPr="008E057E">
              <w:t>Represented by:</w:t>
            </w:r>
          </w:p>
        </w:tc>
      </w:tr>
      <w:tr w:rsidR="005F4A7E" w:rsidRPr="002029AF" w14:paraId="60F672EF" w14:textId="77777777" w:rsidTr="00130D1C">
        <w:tc>
          <w:tcPr>
            <w:tcW w:w="9637" w:type="dxa"/>
            <w:gridSpan w:val="3"/>
            <w:tcBorders>
              <w:top w:val="single" w:sz="4" w:space="0" w:color="A6A6A6"/>
              <w:bottom w:val="single" w:sz="4" w:space="0" w:color="A6A6A6"/>
            </w:tcBorders>
            <w:hideMark/>
          </w:tcPr>
          <w:p w14:paraId="0EC61A95" w14:textId="77777777" w:rsidR="005F4A7E" w:rsidRPr="002029AF" w:rsidRDefault="005F4A7E" w:rsidP="00130D1C">
            <w:pPr>
              <w:pStyle w:val="ARfintablebodybold"/>
            </w:pPr>
            <w:r w:rsidRPr="008E057E">
              <w:t>Victorian Government</w:t>
            </w:r>
          </w:p>
        </w:tc>
      </w:tr>
      <w:tr w:rsidR="005F4A7E" w:rsidRPr="002029AF" w14:paraId="2F701367" w14:textId="77777777" w:rsidTr="00860E95">
        <w:tc>
          <w:tcPr>
            <w:tcW w:w="7371" w:type="dxa"/>
            <w:tcBorders>
              <w:top w:val="single" w:sz="4" w:space="0" w:color="A6A6A6"/>
              <w:bottom w:val="single" w:sz="4" w:space="0" w:color="A6A6A6"/>
            </w:tcBorders>
          </w:tcPr>
          <w:p w14:paraId="69A42C7D" w14:textId="77777777" w:rsidR="005F4A7E" w:rsidRPr="002029AF" w:rsidRDefault="005F4A7E" w:rsidP="00130D1C">
            <w:pPr>
              <w:pStyle w:val="ARfintablebody"/>
            </w:pPr>
            <w:r w:rsidRPr="008E057E">
              <w:t>Department of Treasury and Finance</w:t>
            </w:r>
          </w:p>
        </w:tc>
        <w:tc>
          <w:tcPr>
            <w:tcW w:w="1133" w:type="dxa"/>
            <w:tcBorders>
              <w:top w:val="single" w:sz="4" w:space="0" w:color="A6A6A6"/>
              <w:bottom w:val="single" w:sz="4" w:space="0" w:color="A6A6A6"/>
            </w:tcBorders>
            <w:shd w:val="clear" w:color="auto" w:fill="E7E6E6"/>
            <w:noWrap/>
          </w:tcPr>
          <w:p w14:paraId="5A4BA64E" w14:textId="77777777" w:rsidR="005F4A7E" w:rsidRPr="002029AF" w:rsidRDefault="005F4A7E" w:rsidP="00130D1C">
            <w:pPr>
              <w:pStyle w:val="ARfintablebodyright"/>
            </w:pPr>
            <w:r w:rsidRPr="008E057E">
              <w:t>93.0</w:t>
            </w:r>
          </w:p>
        </w:tc>
        <w:tc>
          <w:tcPr>
            <w:tcW w:w="1133" w:type="dxa"/>
            <w:tcBorders>
              <w:top w:val="single" w:sz="4" w:space="0" w:color="A6A6A6"/>
              <w:bottom w:val="single" w:sz="4" w:space="0" w:color="A6A6A6"/>
            </w:tcBorders>
            <w:noWrap/>
          </w:tcPr>
          <w:p w14:paraId="2337D195" w14:textId="77777777" w:rsidR="005F4A7E" w:rsidRPr="002029AF" w:rsidRDefault="005F4A7E" w:rsidP="00130D1C">
            <w:pPr>
              <w:pStyle w:val="ARfintablebodyright"/>
            </w:pPr>
            <w:r w:rsidRPr="008E057E">
              <w:t>101.2</w:t>
            </w:r>
          </w:p>
        </w:tc>
      </w:tr>
      <w:tr w:rsidR="005F4A7E" w:rsidRPr="002029AF" w14:paraId="733F22E5" w14:textId="77777777" w:rsidTr="00860E95">
        <w:tc>
          <w:tcPr>
            <w:tcW w:w="7371" w:type="dxa"/>
            <w:tcBorders>
              <w:top w:val="single" w:sz="4" w:space="0" w:color="A6A6A6"/>
              <w:bottom w:val="single" w:sz="4" w:space="0" w:color="A6A6A6"/>
            </w:tcBorders>
          </w:tcPr>
          <w:p w14:paraId="79A51AD3" w14:textId="77777777" w:rsidR="005F4A7E" w:rsidRPr="002029AF" w:rsidRDefault="005F4A7E" w:rsidP="00130D1C">
            <w:pPr>
              <w:pStyle w:val="ARfintablebody"/>
            </w:pPr>
            <w:r w:rsidRPr="008E057E">
              <w:t>Department of Education and Training</w:t>
            </w:r>
          </w:p>
        </w:tc>
        <w:tc>
          <w:tcPr>
            <w:tcW w:w="1133" w:type="dxa"/>
            <w:tcBorders>
              <w:top w:val="single" w:sz="4" w:space="0" w:color="A6A6A6"/>
              <w:bottom w:val="single" w:sz="4" w:space="0" w:color="A6A6A6"/>
            </w:tcBorders>
            <w:shd w:val="clear" w:color="auto" w:fill="E7E6E6"/>
            <w:noWrap/>
          </w:tcPr>
          <w:p w14:paraId="4E030AA3" w14:textId="77777777" w:rsidR="005F4A7E" w:rsidRPr="002029AF" w:rsidRDefault="005F4A7E" w:rsidP="00130D1C">
            <w:pPr>
              <w:pStyle w:val="ARfintablebodyright"/>
            </w:pPr>
            <w:r w:rsidRPr="008E057E">
              <w:t>141.0</w:t>
            </w:r>
          </w:p>
        </w:tc>
        <w:tc>
          <w:tcPr>
            <w:tcW w:w="1133" w:type="dxa"/>
            <w:tcBorders>
              <w:top w:val="single" w:sz="4" w:space="0" w:color="A6A6A6"/>
              <w:bottom w:val="single" w:sz="4" w:space="0" w:color="A6A6A6"/>
            </w:tcBorders>
            <w:noWrap/>
          </w:tcPr>
          <w:p w14:paraId="65BBDDF6" w14:textId="77777777" w:rsidR="005F4A7E" w:rsidRPr="002029AF" w:rsidRDefault="005F4A7E" w:rsidP="00130D1C">
            <w:pPr>
              <w:pStyle w:val="ARfintablebodyright"/>
            </w:pPr>
            <w:r w:rsidRPr="008E057E">
              <w:t>141.6</w:t>
            </w:r>
          </w:p>
        </w:tc>
      </w:tr>
      <w:tr w:rsidR="005F4A7E" w:rsidRPr="002029AF" w14:paraId="1424BAB5" w14:textId="77777777" w:rsidTr="00860E95">
        <w:tc>
          <w:tcPr>
            <w:tcW w:w="7371" w:type="dxa"/>
            <w:tcBorders>
              <w:top w:val="single" w:sz="4" w:space="0" w:color="A6A6A6"/>
              <w:bottom w:val="single" w:sz="4" w:space="0" w:color="A6A6A6"/>
            </w:tcBorders>
          </w:tcPr>
          <w:p w14:paraId="582AA70C" w14:textId="77777777" w:rsidR="005F4A7E" w:rsidRPr="002029AF" w:rsidRDefault="005F4A7E" w:rsidP="00130D1C">
            <w:pPr>
              <w:pStyle w:val="ARfintablebody"/>
            </w:pPr>
            <w:r w:rsidRPr="008E057E">
              <w:t>Department of Environment, Land, Water and Planning</w:t>
            </w:r>
          </w:p>
        </w:tc>
        <w:tc>
          <w:tcPr>
            <w:tcW w:w="1133" w:type="dxa"/>
            <w:tcBorders>
              <w:top w:val="single" w:sz="4" w:space="0" w:color="A6A6A6"/>
              <w:bottom w:val="single" w:sz="4" w:space="0" w:color="A6A6A6"/>
            </w:tcBorders>
            <w:shd w:val="clear" w:color="auto" w:fill="E7E6E6"/>
            <w:noWrap/>
          </w:tcPr>
          <w:p w14:paraId="77575AF0" w14:textId="77777777" w:rsidR="005F4A7E" w:rsidRPr="002029AF" w:rsidRDefault="005F4A7E" w:rsidP="00130D1C">
            <w:pPr>
              <w:pStyle w:val="ARfintablebodyright"/>
            </w:pPr>
            <w:r w:rsidRPr="008E057E">
              <w:t>43.7</w:t>
            </w:r>
          </w:p>
        </w:tc>
        <w:tc>
          <w:tcPr>
            <w:tcW w:w="1133" w:type="dxa"/>
            <w:tcBorders>
              <w:top w:val="single" w:sz="4" w:space="0" w:color="A6A6A6"/>
              <w:bottom w:val="single" w:sz="4" w:space="0" w:color="A6A6A6"/>
            </w:tcBorders>
            <w:noWrap/>
          </w:tcPr>
          <w:p w14:paraId="6D489262" w14:textId="77777777" w:rsidR="005F4A7E" w:rsidRPr="002029AF" w:rsidRDefault="005F4A7E" w:rsidP="00130D1C">
            <w:pPr>
              <w:pStyle w:val="ARfintablebodyright"/>
            </w:pPr>
            <w:r w:rsidRPr="008E057E">
              <w:t>3.7</w:t>
            </w:r>
          </w:p>
        </w:tc>
      </w:tr>
      <w:tr w:rsidR="005F4A7E" w:rsidRPr="002029AF" w14:paraId="1CA84A83" w14:textId="77777777" w:rsidTr="00860E95">
        <w:tc>
          <w:tcPr>
            <w:tcW w:w="7371" w:type="dxa"/>
            <w:tcBorders>
              <w:top w:val="single" w:sz="4" w:space="0" w:color="A6A6A6"/>
              <w:bottom w:val="single" w:sz="4" w:space="0" w:color="A6A6A6"/>
            </w:tcBorders>
          </w:tcPr>
          <w:p w14:paraId="601B6407" w14:textId="77777777" w:rsidR="005F4A7E" w:rsidRPr="002029AF" w:rsidRDefault="005F4A7E" w:rsidP="00130D1C">
            <w:pPr>
              <w:pStyle w:val="ARfintablebody"/>
            </w:pPr>
            <w:r w:rsidRPr="008E057E">
              <w:t xml:space="preserve">Department of Justice and </w:t>
            </w:r>
            <w:r>
              <w:t>Community Safety</w:t>
            </w:r>
          </w:p>
        </w:tc>
        <w:tc>
          <w:tcPr>
            <w:tcW w:w="1133" w:type="dxa"/>
            <w:tcBorders>
              <w:top w:val="single" w:sz="4" w:space="0" w:color="A6A6A6"/>
              <w:bottom w:val="single" w:sz="4" w:space="0" w:color="A6A6A6"/>
            </w:tcBorders>
            <w:shd w:val="clear" w:color="auto" w:fill="E7E6E6"/>
            <w:noWrap/>
          </w:tcPr>
          <w:p w14:paraId="15D95C2D" w14:textId="77777777" w:rsidR="005F4A7E" w:rsidRPr="002029AF" w:rsidRDefault="005F4A7E" w:rsidP="00130D1C">
            <w:pPr>
              <w:pStyle w:val="ARfintablebodyright"/>
            </w:pPr>
            <w:r w:rsidRPr="008E057E">
              <w:t>24.5</w:t>
            </w:r>
          </w:p>
        </w:tc>
        <w:tc>
          <w:tcPr>
            <w:tcW w:w="1133" w:type="dxa"/>
            <w:tcBorders>
              <w:top w:val="single" w:sz="4" w:space="0" w:color="A6A6A6"/>
              <w:bottom w:val="single" w:sz="4" w:space="0" w:color="A6A6A6"/>
            </w:tcBorders>
            <w:noWrap/>
          </w:tcPr>
          <w:p w14:paraId="4EB1F8F2" w14:textId="77777777" w:rsidR="005F4A7E" w:rsidRPr="002029AF" w:rsidRDefault="005F4A7E" w:rsidP="00130D1C">
            <w:pPr>
              <w:pStyle w:val="ARfintablebodyright"/>
            </w:pPr>
            <w:r w:rsidRPr="008E057E">
              <w:t>11.8</w:t>
            </w:r>
          </w:p>
        </w:tc>
      </w:tr>
      <w:tr w:rsidR="005F4A7E" w:rsidRPr="002029AF" w14:paraId="0FF7A138" w14:textId="77777777" w:rsidTr="00860E95">
        <w:tc>
          <w:tcPr>
            <w:tcW w:w="7371" w:type="dxa"/>
            <w:tcBorders>
              <w:top w:val="single" w:sz="4" w:space="0" w:color="A6A6A6"/>
              <w:bottom w:val="single" w:sz="4" w:space="0" w:color="A6A6A6"/>
            </w:tcBorders>
          </w:tcPr>
          <w:p w14:paraId="7F3F3AF5" w14:textId="77777777" w:rsidR="005F4A7E" w:rsidRPr="002029AF" w:rsidRDefault="005F4A7E" w:rsidP="00130D1C">
            <w:pPr>
              <w:pStyle w:val="ARfintablebody"/>
            </w:pPr>
            <w:r w:rsidRPr="008E057E">
              <w:t>Department of Jobs, Precincts and Regions</w:t>
            </w:r>
          </w:p>
        </w:tc>
        <w:tc>
          <w:tcPr>
            <w:tcW w:w="1133" w:type="dxa"/>
            <w:tcBorders>
              <w:top w:val="single" w:sz="4" w:space="0" w:color="A6A6A6"/>
              <w:bottom w:val="single" w:sz="4" w:space="0" w:color="A6A6A6"/>
            </w:tcBorders>
            <w:shd w:val="clear" w:color="auto" w:fill="E7E6E6"/>
            <w:noWrap/>
          </w:tcPr>
          <w:p w14:paraId="37C5D220" w14:textId="77777777" w:rsidR="005F4A7E" w:rsidRPr="002029AF" w:rsidRDefault="005F4A7E" w:rsidP="00130D1C">
            <w:pPr>
              <w:pStyle w:val="ARfintablebodyright"/>
            </w:pPr>
            <w:r w:rsidRPr="008E057E">
              <w:t>43.4</w:t>
            </w:r>
          </w:p>
        </w:tc>
        <w:tc>
          <w:tcPr>
            <w:tcW w:w="1133" w:type="dxa"/>
            <w:tcBorders>
              <w:top w:val="single" w:sz="4" w:space="0" w:color="A6A6A6"/>
              <w:bottom w:val="single" w:sz="4" w:space="0" w:color="A6A6A6"/>
            </w:tcBorders>
            <w:noWrap/>
          </w:tcPr>
          <w:p w14:paraId="3B1AD8B0" w14:textId="77777777" w:rsidR="005F4A7E" w:rsidRPr="002029AF" w:rsidRDefault="005F4A7E" w:rsidP="00130D1C">
            <w:pPr>
              <w:pStyle w:val="ARfintablebodyright"/>
            </w:pPr>
            <w:r w:rsidRPr="008E057E">
              <w:t>28.9</w:t>
            </w:r>
          </w:p>
        </w:tc>
      </w:tr>
      <w:tr w:rsidR="005F4A7E" w:rsidRPr="002029AF" w14:paraId="5D99969D" w14:textId="77777777" w:rsidTr="00860E95">
        <w:tc>
          <w:tcPr>
            <w:tcW w:w="7371" w:type="dxa"/>
            <w:tcBorders>
              <w:top w:val="single" w:sz="4" w:space="0" w:color="A6A6A6"/>
              <w:bottom w:val="single" w:sz="4" w:space="0" w:color="A6A6A6"/>
            </w:tcBorders>
          </w:tcPr>
          <w:p w14:paraId="29F0AD8C" w14:textId="77777777" w:rsidR="005F4A7E" w:rsidRPr="002029AF" w:rsidRDefault="005F4A7E" w:rsidP="00130D1C">
            <w:pPr>
              <w:pStyle w:val="ARfintablebody"/>
            </w:pPr>
            <w:r w:rsidRPr="008E057E">
              <w:t>Department of Premier and Cabinet</w:t>
            </w:r>
          </w:p>
        </w:tc>
        <w:tc>
          <w:tcPr>
            <w:tcW w:w="1133" w:type="dxa"/>
            <w:tcBorders>
              <w:top w:val="single" w:sz="4" w:space="0" w:color="A6A6A6"/>
              <w:bottom w:val="single" w:sz="4" w:space="0" w:color="A6A6A6"/>
            </w:tcBorders>
            <w:shd w:val="clear" w:color="auto" w:fill="E7E6E6"/>
            <w:noWrap/>
          </w:tcPr>
          <w:p w14:paraId="113EA349" w14:textId="77777777" w:rsidR="005F4A7E" w:rsidRPr="002029AF" w:rsidRDefault="005F4A7E" w:rsidP="00130D1C">
            <w:pPr>
              <w:pStyle w:val="ARfintablebodyright"/>
            </w:pPr>
            <w:r w:rsidRPr="008E057E">
              <w:t>9.1</w:t>
            </w:r>
          </w:p>
        </w:tc>
        <w:tc>
          <w:tcPr>
            <w:tcW w:w="1133" w:type="dxa"/>
            <w:tcBorders>
              <w:top w:val="single" w:sz="4" w:space="0" w:color="A6A6A6"/>
              <w:bottom w:val="single" w:sz="4" w:space="0" w:color="A6A6A6"/>
            </w:tcBorders>
            <w:noWrap/>
          </w:tcPr>
          <w:p w14:paraId="2B0AEFAD" w14:textId="77777777" w:rsidR="005F4A7E" w:rsidRPr="002029AF" w:rsidRDefault="005F4A7E" w:rsidP="00130D1C">
            <w:pPr>
              <w:pStyle w:val="ARfintablebodyright"/>
            </w:pPr>
            <w:r w:rsidRPr="008E057E">
              <w:t>19.2</w:t>
            </w:r>
          </w:p>
        </w:tc>
      </w:tr>
      <w:tr w:rsidR="005F4A7E" w:rsidRPr="002029AF" w14:paraId="55CE1941" w14:textId="77777777" w:rsidTr="00860E95">
        <w:tc>
          <w:tcPr>
            <w:tcW w:w="7371" w:type="dxa"/>
            <w:tcBorders>
              <w:top w:val="single" w:sz="4" w:space="0" w:color="A6A6A6"/>
              <w:bottom w:val="single" w:sz="4" w:space="0" w:color="A6A6A6"/>
            </w:tcBorders>
          </w:tcPr>
          <w:p w14:paraId="6833EBE9" w14:textId="77777777" w:rsidR="005F4A7E" w:rsidRPr="002029AF" w:rsidRDefault="005F4A7E" w:rsidP="00130D1C">
            <w:pPr>
              <w:pStyle w:val="ARfintablebody"/>
            </w:pPr>
            <w:r w:rsidRPr="008E057E">
              <w:t>Department of Transport</w:t>
            </w:r>
          </w:p>
        </w:tc>
        <w:tc>
          <w:tcPr>
            <w:tcW w:w="1133" w:type="dxa"/>
            <w:tcBorders>
              <w:top w:val="single" w:sz="4" w:space="0" w:color="A6A6A6"/>
              <w:bottom w:val="single" w:sz="4" w:space="0" w:color="A6A6A6"/>
            </w:tcBorders>
            <w:shd w:val="clear" w:color="auto" w:fill="E7E6E6"/>
            <w:noWrap/>
          </w:tcPr>
          <w:p w14:paraId="2AEE328C" w14:textId="77777777" w:rsidR="005F4A7E" w:rsidRPr="002029AF" w:rsidRDefault="005F4A7E" w:rsidP="00130D1C">
            <w:pPr>
              <w:pStyle w:val="ARfintablebodyright"/>
            </w:pPr>
            <w:r w:rsidRPr="008E057E">
              <w:t>(0.1)</w:t>
            </w:r>
          </w:p>
        </w:tc>
        <w:tc>
          <w:tcPr>
            <w:tcW w:w="1133" w:type="dxa"/>
            <w:tcBorders>
              <w:top w:val="single" w:sz="4" w:space="0" w:color="A6A6A6"/>
              <w:bottom w:val="single" w:sz="4" w:space="0" w:color="A6A6A6"/>
            </w:tcBorders>
            <w:noWrap/>
          </w:tcPr>
          <w:p w14:paraId="0F15E3BA" w14:textId="77777777" w:rsidR="005F4A7E" w:rsidRPr="002029AF" w:rsidRDefault="005F4A7E" w:rsidP="00130D1C">
            <w:pPr>
              <w:pStyle w:val="ARfintablebodyright"/>
            </w:pPr>
            <w:r w:rsidRPr="008E057E">
              <w:t>0.6</w:t>
            </w:r>
          </w:p>
        </w:tc>
      </w:tr>
      <w:tr w:rsidR="005F4A7E" w:rsidRPr="002029AF" w14:paraId="3CA01E7A" w14:textId="77777777" w:rsidTr="00860E95">
        <w:tc>
          <w:tcPr>
            <w:tcW w:w="7371" w:type="dxa"/>
            <w:tcBorders>
              <w:top w:val="single" w:sz="4" w:space="0" w:color="A6A6A6"/>
              <w:bottom w:val="single" w:sz="4" w:space="0" w:color="A6A6A6"/>
            </w:tcBorders>
            <w:hideMark/>
          </w:tcPr>
          <w:p w14:paraId="5EABC5C7" w14:textId="77777777" w:rsidR="005F4A7E" w:rsidRPr="002029AF" w:rsidRDefault="005F4A7E" w:rsidP="00130D1C">
            <w:pPr>
              <w:pStyle w:val="ARfintablebody"/>
            </w:pPr>
            <w:r w:rsidRPr="008E057E">
              <w:t>Court Services Victoria</w:t>
            </w:r>
          </w:p>
        </w:tc>
        <w:tc>
          <w:tcPr>
            <w:tcW w:w="1133" w:type="dxa"/>
            <w:tcBorders>
              <w:top w:val="single" w:sz="4" w:space="0" w:color="A6A6A6"/>
              <w:bottom w:val="single" w:sz="4" w:space="0" w:color="A6A6A6"/>
            </w:tcBorders>
            <w:shd w:val="clear" w:color="auto" w:fill="E7E6E6"/>
            <w:noWrap/>
            <w:hideMark/>
          </w:tcPr>
          <w:p w14:paraId="7ECF4419" w14:textId="77777777" w:rsidR="005F4A7E" w:rsidRPr="002029AF" w:rsidRDefault="005F4A7E" w:rsidP="00130D1C">
            <w:pPr>
              <w:pStyle w:val="ARfintablebodyright"/>
            </w:pPr>
            <w:r w:rsidRPr="008E057E">
              <w:t>2.9</w:t>
            </w:r>
          </w:p>
        </w:tc>
        <w:tc>
          <w:tcPr>
            <w:tcW w:w="1133" w:type="dxa"/>
            <w:tcBorders>
              <w:top w:val="single" w:sz="4" w:space="0" w:color="A6A6A6"/>
              <w:bottom w:val="single" w:sz="4" w:space="0" w:color="A6A6A6"/>
            </w:tcBorders>
            <w:noWrap/>
            <w:hideMark/>
          </w:tcPr>
          <w:p w14:paraId="707466FE" w14:textId="77777777" w:rsidR="005F4A7E" w:rsidRPr="002029AF" w:rsidRDefault="005F4A7E" w:rsidP="00130D1C">
            <w:pPr>
              <w:pStyle w:val="ARfintablebodyright"/>
            </w:pPr>
            <w:r w:rsidRPr="008E057E">
              <w:t>2.9</w:t>
            </w:r>
          </w:p>
        </w:tc>
      </w:tr>
      <w:tr w:rsidR="005F4A7E" w:rsidRPr="002029AF" w14:paraId="0ADC9681" w14:textId="77777777" w:rsidTr="00860E95">
        <w:tc>
          <w:tcPr>
            <w:tcW w:w="7371" w:type="dxa"/>
            <w:tcBorders>
              <w:top w:val="single" w:sz="4" w:space="0" w:color="A6A6A6"/>
              <w:bottom w:val="single" w:sz="4" w:space="0" w:color="A6A6A6"/>
            </w:tcBorders>
            <w:hideMark/>
          </w:tcPr>
          <w:p w14:paraId="65BE0011" w14:textId="77777777" w:rsidR="005F4A7E" w:rsidRPr="002029AF" w:rsidRDefault="005F4A7E" w:rsidP="00130D1C">
            <w:pPr>
              <w:pStyle w:val="ARfintablebody"/>
            </w:pPr>
            <w:r w:rsidRPr="008E057E">
              <w:t>Development Victoria</w:t>
            </w:r>
          </w:p>
        </w:tc>
        <w:tc>
          <w:tcPr>
            <w:tcW w:w="1133" w:type="dxa"/>
            <w:tcBorders>
              <w:top w:val="single" w:sz="4" w:space="0" w:color="A6A6A6"/>
              <w:bottom w:val="single" w:sz="4" w:space="0" w:color="A6A6A6"/>
            </w:tcBorders>
            <w:shd w:val="clear" w:color="auto" w:fill="E7E6E6"/>
            <w:noWrap/>
            <w:hideMark/>
          </w:tcPr>
          <w:p w14:paraId="45156C89" w14:textId="77777777" w:rsidR="005F4A7E" w:rsidRPr="002029AF" w:rsidRDefault="005F4A7E" w:rsidP="00130D1C">
            <w:pPr>
              <w:pStyle w:val="ARfintablebodyright"/>
            </w:pPr>
            <w:r w:rsidRPr="008E057E">
              <w:t>–</w:t>
            </w:r>
          </w:p>
        </w:tc>
        <w:tc>
          <w:tcPr>
            <w:tcW w:w="1133" w:type="dxa"/>
            <w:tcBorders>
              <w:top w:val="single" w:sz="4" w:space="0" w:color="A6A6A6"/>
              <w:bottom w:val="single" w:sz="4" w:space="0" w:color="A6A6A6"/>
            </w:tcBorders>
            <w:noWrap/>
            <w:hideMark/>
          </w:tcPr>
          <w:p w14:paraId="61F18DDF" w14:textId="77777777" w:rsidR="005F4A7E" w:rsidRPr="002029AF" w:rsidRDefault="005F4A7E" w:rsidP="00130D1C">
            <w:pPr>
              <w:pStyle w:val="ARfintablebodyright"/>
            </w:pPr>
            <w:r w:rsidRPr="008E057E">
              <w:t>6.3</w:t>
            </w:r>
          </w:p>
        </w:tc>
      </w:tr>
      <w:tr w:rsidR="005F4A7E" w:rsidRPr="002029AF" w14:paraId="51EE8C13" w14:textId="77777777" w:rsidTr="00860E95">
        <w:tc>
          <w:tcPr>
            <w:tcW w:w="7371" w:type="dxa"/>
            <w:tcBorders>
              <w:top w:val="single" w:sz="4" w:space="0" w:color="A6A6A6"/>
              <w:bottom w:val="single" w:sz="4" w:space="0" w:color="A6A6A6"/>
            </w:tcBorders>
            <w:hideMark/>
          </w:tcPr>
          <w:p w14:paraId="4B869B52" w14:textId="77777777" w:rsidR="005F4A7E" w:rsidRPr="002029AF" w:rsidRDefault="005F4A7E" w:rsidP="00130D1C">
            <w:pPr>
              <w:pStyle w:val="ARfintablebody"/>
            </w:pPr>
            <w:r w:rsidRPr="008E057E">
              <w:t>Global Victoria</w:t>
            </w:r>
          </w:p>
        </w:tc>
        <w:tc>
          <w:tcPr>
            <w:tcW w:w="1133" w:type="dxa"/>
            <w:tcBorders>
              <w:top w:val="single" w:sz="4" w:space="0" w:color="A6A6A6"/>
              <w:bottom w:val="single" w:sz="4" w:space="0" w:color="A6A6A6"/>
            </w:tcBorders>
            <w:shd w:val="clear" w:color="auto" w:fill="E7E6E6"/>
            <w:noWrap/>
            <w:hideMark/>
          </w:tcPr>
          <w:p w14:paraId="06016512" w14:textId="77777777" w:rsidR="005F4A7E" w:rsidRPr="002029AF" w:rsidRDefault="005F4A7E" w:rsidP="00130D1C">
            <w:pPr>
              <w:pStyle w:val="ARfintablebodyright"/>
            </w:pPr>
            <w:r w:rsidRPr="008E057E">
              <w:t>8.5</w:t>
            </w:r>
          </w:p>
        </w:tc>
        <w:tc>
          <w:tcPr>
            <w:tcW w:w="1133" w:type="dxa"/>
            <w:tcBorders>
              <w:top w:val="single" w:sz="4" w:space="0" w:color="A6A6A6"/>
              <w:bottom w:val="single" w:sz="4" w:space="0" w:color="A6A6A6"/>
            </w:tcBorders>
            <w:noWrap/>
            <w:hideMark/>
          </w:tcPr>
          <w:p w14:paraId="7E8F1391" w14:textId="77777777" w:rsidR="005F4A7E" w:rsidRPr="002029AF" w:rsidRDefault="005F4A7E" w:rsidP="00130D1C">
            <w:pPr>
              <w:pStyle w:val="ARfintablebodyright"/>
            </w:pPr>
            <w:r w:rsidRPr="008E057E">
              <w:t>–</w:t>
            </w:r>
          </w:p>
        </w:tc>
      </w:tr>
      <w:tr w:rsidR="005F4A7E" w:rsidRPr="002029AF" w14:paraId="43132E03" w14:textId="77777777" w:rsidTr="00860E95">
        <w:tc>
          <w:tcPr>
            <w:tcW w:w="7371" w:type="dxa"/>
            <w:tcBorders>
              <w:top w:val="single" w:sz="4" w:space="0" w:color="A6A6A6"/>
              <w:bottom w:val="single" w:sz="4" w:space="0" w:color="A6A6A6"/>
            </w:tcBorders>
            <w:hideMark/>
          </w:tcPr>
          <w:p w14:paraId="47808C0B" w14:textId="77777777" w:rsidR="005F4A7E" w:rsidRPr="002029AF" w:rsidRDefault="005F4A7E" w:rsidP="00130D1C">
            <w:pPr>
              <w:pStyle w:val="ARfintablebody"/>
            </w:pPr>
            <w:r w:rsidRPr="008E057E">
              <w:t>Other public bodies</w:t>
            </w:r>
          </w:p>
        </w:tc>
        <w:tc>
          <w:tcPr>
            <w:tcW w:w="1133" w:type="dxa"/>
            <w:tcBorders>
              <w:top w:val="single" w:sz="4" w:space="0" w:color="A6A6A6"/>
              <w:bottom w:val="single" w:sz="4" w:space="0" w:color="A6A6A6"/>
            </w:tcBorders>
            <w:shd w:val="clear" w:color="auto" w:fill="E7E6E6"/>
            <w:noWrap/>
            <w:hideMark/>
          </w:tcPr>
          <w:p w14:paraId="2989655A" w14:textId="77777777" w:rsidR="005F4A7E" w:rsidRPr="002029AF" w:rsidRDefault="005F4A7E" w:rsidP="00130D1C">
            <w:pPr>
              <w:pStyle w:val="ARfintablebodyright"/>
            </w:pPr>
            <w:r w:rsidRPr="008E057E">
              <w:t>0.2</w:t>
            </w:r>
          </w:p>
        </w:tc>
        <w:tc>
          <w:tcPr>
            <w:tcW w:w="1133" w:type="dxa"/>
            <w:tcBorders>
              <w:top w:val="single" w:sz="4" w:space="0" w:color="A6A6A6"/>
              <w:bottom w:val="single" w:sz="4" w:space="0" w:color="A6A6A6"/>
            </w:tcBorders>
            <w:noWrap/>
            <w:hideMark/>
          </w:tcPr>
          <w:p w14:paraId="170201FE" w14:textId="77777777" w:rsidR="005F4A7E" w:rsidRPr="002029AF" w:rsidRDefault="005F4A7E" w:rsidP="00130D1C">
            <w:pPr>
              <w:pStyle w:val="ARfintablebodyright"/>
            </w:pPr>
            <w:r w:rsidRPr="008E057E">
              <w:t>0.4</w:t>
            </w:r>
          </w:p>
        </w:tc>
      </w:tr>
      <w:tr w:rsidR="005F4A7E" w:rsidRPr="002029AF" w14:paraId="0CF63A46" w14:textId="77777777" w:rsidTr="00130D1C">
        <w:tc>
          <w:tcPr>
            <w:tcW w:w="9637" w:type="dxa"/>
            <w:gridSpan w:val="3"/>
            <w:tcBorders>
              <w:top w:val="single" w:sz="4" w:space="0" w:color="A6A6A6"/>
              <w:bottom w:val="single" w:sz="4" w:space="0" w:color="A6A6A6"/>
            </w:tcBorders>
            <w:hideMark/>
          </w:tcPr>
          <w:p w14:paraId="51D90088" w14:textId="77777777" w:rsidR="005F4A7E" w:rsidRPr="002029AF" w:rsidRDefault="005F4A7E" w:rsidP="00130D1C">
            <w:pPr>
              <w:pStyle w:val="ARfintablebodybold"/>
            </w:pPr>
            <w:r w:rsidRPr="008E057E">
              <w:t>Commonwealth Government</w:t>
            </w:r>
          </w:p>
        </w:tc>
      </w:tr>
      <w:tr w:rsidR="005F4A7E" w:rsidRPr="002029AF" w14:paraId="60661655" w14:textId="77777777" w:rsidTr="00860E95">
        <w:tc>
          <w:tcPr>
            <w:tcW w:w="7371" w:type="dxa"/>
            <w:tcBorders>
              <w:top w:val="single" w:sz="4" w:space="0" w:color="A6A6A6"/>
              <w:bottom w:val="single" w:sz="4" w:space="0" w:color="A6A6A6"/>
            </w:tcBorders>
            <w:hideMark/>
          </w:tcPr>
          <w:p w14:paraId="5D26533D" w14:textId="77777777" w:rsidR="005F4A7E" w:rsidRPr="002029AF" w:rsidRDefault="005F4A7E" w:rsidP="00130D1C">
            <w:pPr>
              <w:pStyle w:val="ARfintablebody"/>
            </w:pPr>
            <w:r w:rsidRPr="008E057E">
              <w:t>National Health Funding Body</w:t>
            </w:r>
          </w:p>
        </w:tc>
        <w:tc>
          <w:tcPr>
            <w:tcW w:w="1133" w:type="dxa"/>
            <w:tcBorders>
              <w:top w:val="single" w:sz="4" w:space="0" w:color="A6A6A6"/>
              <w:bottom w:val="single" w:sz="4" w:space="0" w:color="A6A6A6"/>
            </w:tcBorders>
            <w:shd w:val="clear" w:color="auto" w:fill="E7E6E6"/>
            <w:noWrap/>
            <w:hideMark/>
          </w:tcPr>
          <w:p w14:paraId="225433C3" w14:textId="77777777" w:rsidR="005F4A7E" w:rsidRPr="002029AF" w:rsidRDefault="005F4A7E" w:rsidP="00130D1C">
            <w:pPr>
              <w:pStyle w:val="ARfintablebodyright"/>
            </w:pPr>
            <w:r w:rsidRPr="008E057E">
              <w:t>2,170.6</w:t>
            </w:r>
          </w:p>
        </w:tc>
        <w:tc>
          <w:tcPr>
            <w:tcW w:w="1133" w:type="dxa"/>
            <w:tcBorders>
              <w:top w:val="single" w:sz="4" w:space="0" w:color="A6A6A6"/>
              <w:bottom w:val="single" w:sz="4" w:space="0" w:color="A6A6A6"/>
            </w:tcBorders>
            <w:noWrap/>
            <w:hideMark/>
          </w:tcPr>
          <w:p w14:paraId="13528933" w14:textId="77777777" w:rsidR="005F4A7E" w:rsidRPr="002029AF" w:rsidRDefault="005F4A7E" w:rsidP="00130D1C">
            <w:pPr>
              <w:pStyle w:val="ARfintablebodyright"/>
            </w:pPr>
            <w:r w:rsidRPr="008E057E">
              <w:t>2,190.7</w:t>
            </w:r>
          </w:p>
        </w:tc>
      </w:tr>
      <w:tr w:rsidR="005F4A7E" w:rsidRPr="002029AF" w14:paraId="3BAF3F64" w14:textId="77777777" w:rsidTr="00130D1C">
        <w:tc>
          <w:tcPr>
            <w:tcW w:w="9637" w:type="dxa"/>
            <w:gridSpan w:val="3"/>
            <w:tcBorders>
              <w:top w:val="single" w:sz="4" w:space="0" w:color="A6A6A6"/>
              <w:bottom w:val="single" w:sz="4" w:space="0" w:color="A6A6A6"/>
            </w:tcBorders>
            <w:hideMark/>
          </w:tcPr>
          <w:p w14:paraId="4773AC8C" w14:textId="77777777" w:rsidR="005F4A7E" w:rsidRPr="002029AF" w:rsidRDefault="005F4A7E" w:rsidP="00130D1C">
            <w:pPr>
              <w:pStyle w:val="ARfintablebodybold"/>
            </w:pPr>
            <w:r w:rsidRPr="008E057E">
              <w:t>Other Australian jurisdictions</w:t>
            </w:r>
          </w:p>
        </w:tc>
      </w:tr>
      <w:tr w:rsidR="005F4A7E" w:rsidRPr="002029AF" w14:paraId="20AADF99" w14:textId="77777777" w:rsidTr="00860E95">
        <w:tc>
          <w:tcPr>
            <w:tcW w:w="7371" w:type="dxa"/>
            <w:tcBorders>
              <w:top w:val="single" w:sz="4" w:space="0" w:color="A6A6A6"/>
            </w:tcBorders>
            <w:hideMark/>
          </w:tcPr>
          <w:p w14:paraId="4D1FB293" w14:textId="77777777" w:rsidR="005F4A7E" w:rsidRPr="002029AF" w:rsidRDefault="005F4A7E" w:rsidP="00130D1C">
            <w:pPr>
              <w:pStyle w:val="ARfintablebody"/>
            </w:pPr>
            <w:r w:rsidRPr="008E057E">
              <w:t>Departments and agencies from other Australian jurisdictions</w:t>
            </w:r>
          </w:p>
        </w:tc>
        <w:tc>
          <w:tcPr>
            <w:tcW w:w="1133" w:type="dxa"/>
            <w:tcBorders>
              <w:top w:val="single" w:sz="4" w:space="0" w:color="A6A6A6"/>
            </w:tcBorders>
            <w:shd w:val="clear" w:color="auto" w:fill="E7E6E6"/>
            <w:noWrap/>
            <w:hideMark/>
          </w:tcPr>
          <w:p w14:paraId="541283AC" w14:textId="77777777" w:rsidR="005F4A7E" w:rsidRPr="002029AF" w:rsidRDefault="005F4A7E" w:rsidP="00130D1C">
            <w:pPr>
              <w:pStyle w:val="ARfintablebodyright"/>
            </w:pPr>
            <w:r w:rsidRPr="008E057E">
              <w:t>12.4</w:t>
            </w:r>
          </w:p>
        </w:tc>
        <w:tc>
          <w:tcPr>
            <w:tcW w:w="1133" w:type="dxa"/>
            <w:tcBorders>
              <w:top w:val="single" w:sz="4" w:space="0" w:color="A6A6A6"/>
            </w:tcBorders>
            <w:noWrap/>
            <w:hideMark/>
          </w:tcPr>
          <w:p w14:paraId="65524841" w14:textId="77777777" w:rsidR="005F4A7E" w:rsidRPr="002029AF" w:rsidRDefault="005F4A7E" w:rsidP="00130D1C">
            <w:pPr>
              <w:pStyle w:val="ARfintablebodyright"/>
            </w:pPr>
            <w:r w:rsidRPr="008E057E">
              <w:t>6.4</w:t>
            </w:r>
          </w:p>
        </w:tc>
      </w:tr>
      <w:tr w:rsidR="005F4A7E" w:rsidRPr="002029AF" w14:paraId="22CB31C7" w14:textId="77777777" w:rsidTr="00860E95">
        <w:tc>
          <w:tcPr>
            <w:tcW w:w="7371" w:type="dxa"/>
            <w:hideMark/>
          </w:tcPr>
          <w:p w14:paraId="5650BF55" w14:textId="77777777" w:rsidR="005F4A7E" w:rsidRPr="002029AF" w:rsidRDefault="005F4A7E" w:rsidP="00130D1C">
            <w:pPr>
              <w:pStyle w:val="ARfintablebodybold"/>
            </w:pPr>
            <w:r w:rsidRPr="008E057E">
              <w:t>Total grants</w:t>
            </w:r>
          </w:p>
        </w:tc>
        <w:tc>
          <w:tcPr>
            <w:tcW w:w="1133" w:type="dxa"/>
            <w:shd w:val="clear" w:color="auto" w:fill="E7E6E6"/>
            <w:noWrap/>
            <w:hideMark/>
          </w:tcPr>
          <w:p w14:paraId="72C8F60B" w14:textId="77777777" w:rsidR="005F4A7E" w:rsidRPr="002029AF" w:rsidRDefault="005F4A7E" w:rsidP="00130D1C">
            <w:pPr>
              <w:pStyle w:val="ARfintablebodyrightbold"/>
            </w:pPr>
            <w:r w:rsidRPr="008E057E">
              <w:t>2,549.2</w:t>
            </w:r>
          </w:p>
        </w:tc>
        <w:tc>
          <w:tcPr>
            <w:tcW w:w="1133" w:type="dxa"/>
            <w:noWrap/>
            <w:hideMark/>
          </w:tcPr>
          <w:p w14:paraId="2293FFDB" w14:textId="77777777" w:rsidR="005F4A7E" w:rsidRPr="002029AF" w:rsidRDefault="005F4A7E" w:rsidP="00130D1C">
            <w:pPr>
              <w:pStyle w:val="ARfintablebodyrightbold"/>
            </w:pPr>
            <w:r w:rsidRPr="008E057E">
              <w:t>2,514.0</w:t>
            </w:r>
          </w:p>
        </w:tc>
      </w:tr>
    </w:tbl>
    <w:p w14:paraId="68416220" w14:textId="77777777" w:rsidR="005F4A7E" w:rsidRPr="007D1E94" w:rsidRDefault="005F4A7E" w:rsidP="00130D1C">
      <w:pPr>
        <w:pStyle w:val="Heading6"/>
        <w:rPr>
          <w:lang w:eastAsia="en-AU"/>
        </w:rPr>
      </w:pPr>
      <w:bookmarkStart w:id="777" w:name="_Toc85121369"/>
      <w:bookmarkStart w:id="778" w:name="_Toc39136695"/>
      <w:r w:rsidRPr="007D1E94">
        <w:rPr>
          <w:lang w:eastAsia="en-AU"/>
        </w:rPr>
        <w:t>Significant judgement: Grants revenue</w:t>
      </w:r>
      <w:r>
        <w:rPr>
          <w:lang w:eastAsia="en-AU"/>
        </w:rPr>
        <w:t xml:space="preserve"> and income</w:t>
      </w:r>
      <w:bookmarkEnd w:id="777"/>
    </w:p>
    <w:p w14:paraId="2F5E66BA" w14:textId="77777777" w:rsidR="005F4A7E" w:rsidRDefault="005F4A7E" w:rsidP="00130D1C">
      <w:pPr>
        <w:pStyle w:val="ARfinbody"/>
      </w:pPr>
      <w:r w:rsidRPr="004368DF">
        <w:t xml:space="preserve">The department has made judgement on the recognition of grants revenue </w:t>
      </w:r>
      <w:r>
        <w:t xml:space="preserve">and income </w:t>
      </w:r>
      <w:r w:rsidRPr="004368DF">
        <w:t>as income of not-for-profit entities</w:t>
      </w:r>
      <w:r>
        <w:t> </w:t>
      </w:r>
      <w:r w:rsidRPr="004368DF">
        <w:t xml:space="preserve">where they do not contain sufficiently specific performance obligations. </w:t>
      </w:r>
      <w:r>
        <w:t xml:space="preserve">Revenue </w:t>
      </w:r>
      <w:r w:rsidRPr="004368DF">
        <w:t>from grants that are</w:t>
      </w:r>
      <w:r>
        <w:t> </w:t>
      </w:r>
      <w:r w:rsidRPr="004368DF">
        <w:t xml:space="preserve">enforceable and with sufficiently specific performance obligations and accounted for as revenue from contracts with customers is recognised when the department satisfies the performance obligation by providing the relevant services to the agencies. Income from grants to construct the capital assets that are controlled by the department is recognised progressively as the asset is constructed. The progressive percentage costs incurred </w:t>
      </w:r>
      <w:r>
        <w:t>are</w:t>
      </w:r>
      <w:r w:rsidRPr="004368DF">
        <w:t xml:space="preserve"> used to recognise income because </w:t>
      </w:r>
      <w:r>
        <w:t xml:space="preserve">these </w:t>
      </w:r>
      <w:r w:rsidRPr="004368DF">
        <w:t>most closely reflect the progress to completion as costs are incurred as the works are done.</w:t>
      </w:r>
    </w:p>
    <w:p w14:paraId="5397C622" w14:textId="77777777" w:rsidR="005F4A7E" w:rsidRDefault="005F4A7E" w:rsidP="00130D1C">
      <w:pPr>
        <w:pStyle w:val="Heading7"/>
      </w:pPr>
      <w:bookmarkStart w:id="779" w:name="_Toc85121370"/>
      <w:r w:rsidRPr="00006EE7">
        <w:t>Grants recognised under AASB 1058</w:t>
      </w:r>
      <w:bookmarkEnd w:id="779"/>
    </w:p>
    <w:p w14:paraId="0098FB05" w14:textId="77777777" w:rsidR="005F4A7E" w:rsidRPr="001E121A" w:rsidRDefault="005F4A7E" w:rsidP="00130D1C">
      <w:pPr>
        <w:pStyle w:val="ARfinbody"/>
      </w:pPr>
      <w:r w:rsidRPr="00006EE7">
        <w:t>The department has determined that the grant income included in the table above under AASB 1058 has been earned under arrangements that are either not enforceable and/or linked to sufficiently specific performance obligations.</w:t>
      </w:r>
    </w:p>
    <w:p w14:paraId="07E29B2D" w14:textId="7715C23E" w:rsidR="005F4A7E" w:rsidRDefault="005F4A7E" w:rsidP="00130D1C">
      <w:pPr>
        <w:pStyle w:val="ARfinbody"/>
      </w:pPr>
      <w:r w:rsidRPr="00B97705">
        <w:t>Income from grants without any sufficiently specific performance obligations, or that are not enforceable, is recognised when the department has an unconditional right to receive the cash</w:t>
      </w:r>
      <w:r>
        <w:t>,</w:t>
      </w:r>
      <w:r w:rsidRPr="00B97705">
        <w:t xml:space="preserve"> which usually coincides with receipt of cash. On initial recognition of the asset, the department recognises any related contributions by owners, increases in liabilities, decreases in assets, and revenue (</w:t>
      </w:r>
      <w:r w:rsidR="007D145B">
        <w:t>‘</w:t>
      </w:r>
      <w:r w:rsidRPr="00B97705">
        <w:t>related amounts</w:t>
      </w:r>
      <w:r w:rsidR="007D145B">
        <w:t>’</w:t>
      </w:r>
      <w:r w:rsidRPr="00B97705">
        <w:t>) in accordance with other Australian Accounting Standards. Related</w:t>
      </w:r>
      <w:r>
        <w:t> </w:t>
      </w:r>
      <w:r w:rsidRPr="00B97705">
        <w:t>amounts may take the form of:</w:t>
      </w:r>
    </w:p>
    <w:p w14:paraId="1B67D535" w14:textId="77777777" w:rsidR="005F4A7E" w:rsidRPr="00B97705" w:rsidRDefault="005F4A7E" w:rsidP="005F4A7E">
      <w:pPr>
        <w:pStyle w:val="ARfinbullet1"/>
        <w:numPr>
          <w:ilvl w:val="0"/>
          <w:numId w:val="2"/>
        </w:numPr>
      </w:pPr>
      <w:r w:rsidRPr="00B97705">
        <w:t>contributions by owners, in accordance with AASB 1004</w:t>
      </w:r>
    </w:p>
    <w:p w14:paraId="796B18A5" w14:textId="77777777" w:rsidR="005F4A7E" w:rsidRPr="00B97705" w:rsidRDefault="005F4A7E" w:rsidP="005F4A7E">
      <w:pPr>
        <w:pStyle w:val="ARfinbullet1"/>
        <w:numPr>
          <w:ilvl w:val="0"/>
          <w:numId w:val="2"/>
        </w:numPr>
      </w:pPr>
      <w:r w:rsidRPr="00B97705">
        <w:t>revenue or a contract liability arising from a contract with a customer, in accordance with AASB 15</w:t>
      </w:r>
    </w:p>
    <w:p w14:paraId="1C9D77F4" w14:textId="77777777" w:rsidR="005F4A7E" w:rsidRDefault="005F4A7E" w:rsidP="005F4A7E">
      <w:pPr>
        <w:pStyle w:val="ARfinbullet1"/>
        <w:numPr>
          <w:ilvl w:val="0"/>
          <w:numId w:val="2"/>
        </w:numPr>
      </w:pPr>
      <w:r w:rsidRPr="00B97705">
        <w:t>a lease liability, in accordance with AASB 16</w:t>
      </w:r>
    </w:p>
    <w:p w14:paraId="600F8D34" w14:textId="77777777" w:rsidR="005F4A7E" w:rsidRPr="00B97705" w:rsidRDefault="005F4A7E" w:rsidP="005F4A7E">
      <w:pPr>
        <w:pStyle w:val="ARfinbullet1"/>
        <w:numPr>
          <w:ilvl w:val="0"/>
          <w:numId w:val="2"/>
        </w:numPr>
      </w:pPr>
      <w:r w:rsidRPr="00B97705">
        <w:t>a financial instrument, in accordance with AASB 9, or</w:t>
      </w:r>
    </w:p>
    <w:p w14:paraId="4FA8DB42" w14:textId="77777777" w:rsidR="005F4A7E" w:rsidRDefault="005F4A7E" w:rsidP="005F4A7E">
      <w:pPr>
        <w:pStyle w:val="ARfinbullet1"/>
        <w:numPr>
          <w:ilvl w:val="0"/>
          <w:numId w:val="2"/>
        </w:numPr>
      </w:pPr>
      <w:r w:rsidRPr="00B97705">
        <w:t>a provision, in accordance with AASB 137</w:t>
      </w:r>
      <w:r w:rsidRPr="00641EB5">
        <w:t>.</w:t>
      </w:r>
    </w:p>
    <w:p w14:paraId="1BF044E0" w14:textId="77777777" w:rsidR="005F4A7E" w:rsidRDefault="005F4A7E" w:rsidP="00130D1C">
      <w:pPr>
        <w:pStyle w:val="Heading7"/>
      </w:pPr>
      <w:bookmarkStart w:id="780" w:name="_Toc85121371"/>
      <w:r w:rsidRPr="00006EE7">
        <w:lastRenderedPageBreak/>
        <w:t>Grants recognised under AASB 15</w:t>
      </w:r>
      <w:bookmarkEnd w:id="780"/>
    </w:p>
    <w:p w14:paraId="6B8F0D4E" w14:textId="77777777" w:rsidR="005F4A7E" w:rsidRDefault="005F4A7E" w:rsidP="00130D1C">
      <w:pPr>
        <w:pStyle w:val="ARfinbody"/>
        <w:rPr>
          <w:rFonts w:eastAsia="MS Mincho" w:cs="Arial"/>
        </w:rPr>
      </w:pPr>
      <w:r>
        <w:rPr>
          <w:rFonts w:eastAsia="MS Mincho" w:cs="Arial"/>
        </w:rPr>
        <w:t>Revenue</w:t>
      </w:r>
      <w:r w:rsidRPr="00006EE7">
        <w:rPr>
          <w:rFonts w:eastAsia="MS Mincho" w:cs="Arial"/>
        </w:rPr>
        <w:t xml:space="preserve"> from grants that are enforceable and with sufficiently specific performance obligations are accounted for as</w:t>
      </w:r>
      <w:r>
        <w:rPr>
          <w:rFonts w:eastAsia="MS Mincho" w:cs="Arial"/>
        </w:rPr>
        <w:t> </w:t>
      </w:r>
      <w:r w:rsidRPr="00006EE7">
        <w:rPr>
          <w:rFonts w:eastAsia="MS Mincho" w:cs="Arial"/>
        </w:rPr>
        <w:t>revenue from contracts with customers under AASB 15. Revenue is recognised when the department satisfies the performance obligation by providing the relevant services to the relevant organisations. This is recognised based on the consideration specified in the funding agreement and to the extent that it is highly probable a significant reversal of the revenue will not occur. The funding payments are normally received in advance or shortly after the relevant obligation is</w:t>
      </w:r>
      <w:r>
        <w:rPr>
          <w:rFonts w:eastAsia="MS Mincho" w:cs="Arial"/>
        </w:rPr>
        <w:t> </w:t>
      </w:r>
      <w:r w:rsidRPr="00006EE7">
        <w:rPr>
          <w:rFonts w:eastAsia="MS Mincho" w:cs="Arial"/>
        </w:rPr>
        <w:t>satisfied.</w:t>
      </w:r>
    </w:p>
    <w:p w14:paraId="69FE518F" w14:textId="77777777" w:rsidR="005F4A7E" w:rsidRPr="002029AF" w:rsidRDefault="005F4A7E" w:rsidP="00087B91">
      <w:pPr>
        <w:pStyle w:val="Heading5"/>
      </w:pPr>
      <w:bookmarkStart w:id="781" w:name="_Toc85121372"/>
      <w:bookmarkEnd w:id="778"/>
      <w:r>
        <w:t xml:space="preserve">2.4.4 </w:t>
      </w:r>
      <w:r w:rsidRPr="00836535">
        <w:t>Fair value of assets and services received free of charge or for nominal consideration</w:t>
      </w:r>
      <w:bookmarkEnd w:id="781"/>
    </w:p>
    <w:tbl>
      <w:tblPr>
        <w:tblStyle w:val="TableGrid"/>
        <w:tblW w:w="9637" w:type="dxa"/>
        <w:tblLayout w:type="fixed"/>
        <w:tblLook w:val="06A0" w:firstRow="1" w:lastRow="0" w:firstColumn="1" w:lastColumn="0" w:noHBand="1" w:noVBand="1"/>
      </w:tblPr>
      <w:tblGrid>
        <w:gridCol w:w="7369"/>
        <w:gridCol w:w="1134"/>
        <w:gridCol w:w="1134"/>
      </w:tblGrid>
      <w:tr w:rsidR="005F4A7E" w:rsidRPr="002029AF" w14:paraId="64DCD1F6"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5C8BCE43" w14:textId="77777777" w:rsidR="005F4A7E" w:rsidRPr="002029AF" w:rsidRDefault="005F4A7E" w:rsidP="00860E95">
            <w:pPr>
              <w:pStyle w:val="ARfintablecolhead"/>
            </w:pPr>
          </w:p>
        </w:tc>
        <w:tc>
          <w:tcPr>
            <w:tcW w:w="1134" w:type="dxa"/>
            <w:tcBorders>
              <w:bottom w:val="single" w:sz="4" w:space="0" w:color="auto"/>
            </w:tcBorders>
            <w:shd w:val="clear" w:color="auto" w:fill="E7E6E6"/>
            <w:hideMark/>
          </w:tcPr>
          <w:p w14:paraId="7A74CF15" w14:textId="77777777" w:rsidR="005F4A7E" w:rsidRPr="002029AF" w:rsidRDefault="005F4A7E" w:rsidP="00860E95">
            <w:pPr>
              <w:pStyle w:val="ARfintablecolheadright"/>
            </w:pPr>
            <w:r>
              <w:t>2021</w:t>
            </w:r>
          </w:p>
          <w:p w14:paraId="6E39444C" w14:textId="77777777" w:rsidR="005F4A7E" w:rsidRPr="002029AF" w:rsidRDefault="005F4A7E" w:rsidP="00860E95">
            <w:pPr>
              <w:pStyle w:val="ARfintablecolheadright"/>
            </w:pPr>
            <w:r w:rsidRPr="002029AF">
              <w:t>$M</w:t>
            </w:r>
          </w:p>
        </w:tc>
        <w:tc>
          <w:tcPr>
            <w:tcW w:w="1134" w:type="dxa"/>
            <w:tcBorders>
              <w:bottom w:val="single" w:sz="4" w:space="0" w:color="auto"/>
            </w:tcBorders>
            <w:hideMark/>
          </w:tcPr>
          <w:p w14:paraId="25FE1890" w14:textId="77777777" w:rsidR="005F4A7E" w:rsidRPr="002029AF" w:rsidRDefault="005F4A7E" w:rsidP="00860E95">
            <w:pPr>
              <w:pStyle w:val="ARfintablecolheadright"/>
            </w:pPr>
            <w:r>
              <w:t>2020</w:t>
            </w:r>
          </w:p>
          <w:p w14:paraId="20011705" w14:textId="77777777" w:rsidR="005F4A7E" w:rsidRPr="002029AF" w:rsidRDefault="005F4A7E" w:rsidP="00860E95">
            <w:pPr>
              <w:pStyle w:val="ARfintablecolheadright"/>
            </w:pPr>
            <w:r w:rsidRPr="002029AF">
              <w:t>$M</w:t>
            </w:r>
          </w:p>
        </w:tc>
      </w:tr>
      <w:tr w:rsidR="005F4A7E" w:rsidRPr="002029AF" w14:paraId="0B422003" w14:textId="77777777" w:rsidTr="00130D1C">
        <w:tc>
          <w:tcPr>
            <w:tcW w:w="7369" w:type="dxa"/>
            <w:tcBorders>
              <w:top w:val="single" w:sz="4" w:space="0" w:color="auto"/>
              <w:bottom w:val="single" w:sz="4" w:space="0" w:color="A6A6A6"/>
            </w:tcBorders>
            <w:hideMark/>
          </w:tcPr>
          <w:p w14:paraId="066FBE96" w14:textId="77777777" w:rsidR="005F4A7E" w:rsidRPr="002029AF" w:rsidRDefault="005F4A7E" w:rsidP="00130D1C">
            <w:pPr>
              <w:pStyle w:val="ARfintablebody"/>
            </w:pPr>
            <w:r w:rsidRPr="00F61A8F">
              <w:t>Land received at fair value</w:t>
            </w:r>
          </w:p>
        </w:tc>
        <w:tc>
          <w:tcPr>
            <w:tcW w:w="1134" w:type="dxa"/>
            <w:tcBorders>
              <w:top w:val="single" w:sz="4" w:space="0" w:color="auto"/>
              <w:bottom w:val="single" w:sz="4" w:space="0" w:color="A6A6A6"/>
            </w:tcBorders>
            <w:shd w:val="clear" w:color="auto" w:fill="E7E6E6"/>
            <w:noWrap/>
            <w:hideMark/>
          </w:tcPr>
          <w:p w14:paraId="07EF2968" w14:textId="77777777" w:rsidR="005F4A7E" w:rsidRPr="002029AF" w:rsidRDefault="005F4A7E" w:rsidP="00130D1C">
            <w:pPr>
              <w:pStyle w:val="ARfintablebodyright"/>
            </w:pPr>
            <w:r w:rsidRPr="00F61A8F">
              <w:t>–</w:t>
            </w:r>
          </w:p>
        </w:tc>
        <w:tc>
          <w:tcPr>
            <w:tcW w:w="1134" w:type="dxa"/>
            <w:tcBorders>
              <w:top w:val="single" w:sz="4" w:space="0" w:color="auto"/>
              <w:bottom w:val="single" w:sz="4" w:space="0" w:color="A6A6A6"/>
            </w:tcBorders>
            <w:noWrap/>
            <w:hideMark/>
          </w:tcPr>
          <w:p w14:paraId="7D1434FF" w14:textId="77777777" w:rsidR="005F4A7E" w:rsidRPr="002029AF" w:rsidRDefault="005F4A7E" w:rsidP="00130D1C">
            <w:pPr>
              <w:pStyle w:val="ARfintablebodyright"/>
            </w:pPr>
            <w:r w:rsidRPr="00F61A8F">
              <w:t>2.6</w:t>
            </w:r>
          </w:p>
        </w:tc>
      </w:tr>
      <w:tr w:rsidR="005F4A7E" w:rsidRPr="002029AF" w14:paraId="21D2DCB1" w14:textId="77777777" w:rsidTr="00130D1C">
        <w:tc>
          <w:tcPr>
            <w:tcW w:w="7369" w:type="dxa"/>
            <w:tcBorders>
              <w:top w:val="single" w:sz="4" w:space="0" w:color="A6A6A6"/>
              <w:bottom w:val="single" w:sz="4" w:space="0" w:color="A6A6A6"/>
            </w:tcBorders>
            <w:hideMark/>
          </w:tcPr>
          <w:p w14:paraId="02D2D2DC" w14:textId="77777777" w:rsidR="005F4A7E" w:rsidRPr="002029AF" w:rsidRDefault="005F4A7E" w:rsidP="00130D1C">
            <w:pPr>
              <w:pStyle w:val="ARfintablebody"/>
            </w:pPr>
            <w:r w:rsidRPr="00F61A8F">
              <w:t>Buildings received at fair value</w:t>
            </w:r>
          </w:p>
        </w:tc>
        <w:tc>
          <w:tcPr>
            <w:tcW w:w="1134" w:type="dxa"/>
            <w:tcBorders>
              <w:top w:val="single" w:sz="4" w:space="0" w:color="A6A6A6"/>
              <w:bottom w:val="single" w:sz="4" w:space="0" w:color="A6A6A6"/>
            </w:tcBorders>
            <w:shd w:val="clear" w:color="auto" w:fill="E7E6E6"/>
            <w:noWrap/>
            <w:hideMark/>
          </w:tcPr>
          <w:p w14:paraId="6CEFE523" w14:textId="77777777" w:rsidR="005F4A7E" w:rsidRPr="002029AF" w:rsidRDefault="005F4A7E" w:rsidP="00130D1C">
            <w:pPr>
              <w:pStyle w:val="ARfintablebodyright"/>
            </w:pPr>
            <w:r w:rsidRPr="00F61A8F">
              <w:t>–</w:t>
            </w:r>
          </w:p>
        </w:tc>
        <w:tc>
          <w:tcPr>
            <w:tcW w:w="1134" w:type="dxa"/>
            <w:tcBorders>
              <w:top w:val="single" w:sz="4" w:space="0" w:color="A6A6A6"/>
              <w:bottom w:val="single" w:sz="4" w:space="0" w:color="A6A6A6"/>
            </w:tcBorders>
            <w:noWrap/>
            <w:hideMark/>
          </w:tcPr>
          <w:p w14:paraId="4A3657CB" w14:textId="77777777" w:rsidR="005F4A7E" w:rsidRPr="002029AF" w:rsidRDefault="005F4A7E" w:rsidP="00130D1C">
            <w:pPr>
              <w:pStyle w:val="ARfintablebodyright"/>
            </w:pPr>
            <w:r w:rsidRPr="00F61A8F">
              <w:t>0.2</w:t>
            </w:r>
          </w:p>
        </w:tc>
      </w:tr>
      <w:tr w:rsidR="005F4A7E" w:rsidRPr="002029AF" w14:paraId="2AEE43F9" w14:textId="77777777" w:rsidTr="00130D1C">
        <w:tc>
          <w:tcPr>
            <w:tcW w:w="7369" w:type="dxa"/>
            <w:tcBorders>
              <w:top w:val="single" w:sz="4" w:space="0" w:color="A6A6A6"/>
              <w:bottom w:val="single" w:sz="4" w:space="0" w:color="A6A6A6"/>
            </w:tcBorders>
            <w:hideMark/>
          </w:tcPr>
          <w:p w14:paraId="316932E4" w14:textId="77777777" w:rsidR="005F4A7E" w:rsidRPr="002029AF" w:rsidRDefault="005F4A7E" w:rsidP="00130D1C">
            <w:pPr>
              <w:pStyle w:val="ARfintablebody"/>
            </w:pPr>
            <w:r w:rsidRPr="00F61A8F">
              <w:t>Plant and equipment received at fair value</w:t>
            </w:r>
          </w:p>
        </w:tc>
        <w:tc>
          <w:tcPr>
            <w:tcW w:w="1134" w:type="dxa"/>
            <w:tcBorders>
              <w:top w:val="single" w:sz="4" w:space="0" w:color="A6A6A6"/>
              <w:bottom w:val="single" w:sz="4" w:space="0" w:color="A6A6A6"/>
            </w:tcBorders>
            <w:shd w:val="clear" w:color="auto" w:fill="E7E6E6"/>
            <w:noWrap/>
            <w:hideMark/>
          </w:tcPr>
          <w:p w14:paraId="2BD21E56" w14:textId="77777777" w:rsidR="005F4A7E" w:rsidRPr="002029AF" w:rsidRDefault="005F4A7E" w:rsidP="00130D1C">
            <w:pPr>
              <w:pStyle w:val="ARfintablebodyright"/>
            </w:pPr>
            <w:r w:rsidRPr="00F61A8F">
              <w:t>0.3</w:t>
            </w:r>
          </w:p>
        </w:tc>
        <w:tc>
          <w:tcPr>
            <w:tcW w:w="1134" w:type="dxa"/>
            <w:tcBorders>
              <w:top w:val="single" w:sz="4" w:space="0" w:color="A6A6A6"/>
              <w:bottom w:val="single" w:sz="4" w:space="0" w:color="A6A6A6"/>
            </w:tcBorders>
            <w:noWrap/>
            <w:hideMark/>
          </w:tcPr>
          <w:p w14:paraId="36E283FD" w14:textId="77777777" w:rsidR="005F4A7E" w:rsidRPr="002029AF" w:rsidRDefault="005F4A7E" w:rsidP="00130D1C">
            <w:pPr>
              <w:pStyle w:val="ARfintablebodyright"/>
            </w:pPr>
            <w:r w:rsidRPr="00F61A8F">
              <w:t>0.5</w:t>
            </w:r>
          </w:p>
        </w:tc>
      </w:tr>
      <w:tr w:rsidR="005F4A7E" w:rsidRPr="002029AF" w14:paraId="6C6FE545" w14:textId="77777777" w:rsidTr="00130D1C">
        <w:tc>
          <w:tcPr>
            <w:tcW w:w="7369" w:type="dxa"/>
            <w:tcBorders>
              <w:top w:val="single" w:sz="4" w:space="0" w:color="A6A6A6"/>
            </w:tcBorders>
            <w:hideMark/>
          </w:tcPr>
          <w:p w14:paraId="11B270BD" w14:textId="77777777" w:rsidR="005F4A7E" w:rsidRPr="002029AF" w:rsidRDefault="005F4A7E" w:rsidP="00130D1C">
            <w:pPr>
              <w:pStyle w:val="ARfintablebody"/>
            </w:pPr>
            <w:r w:rsidRPr="00F61A8F">
              <w:t>Resources received free of charge</w:t>
            </w:r>
          </w:p>
        </w:tc>
        <w:tc>
          <w:tcPr>
            <w:tcW w:w="1134" w:type="dxa"/>
            <w:tcBorders>
              <w:top w:val="single" w:sz="4" w:space="0" w:color="A6A6A6"/>
            </w:tcBorders>
            <w:shd w:val="clear" w:color="auto" w:fill="E7E6E6"/>
            <w:noWrap/>
            <w:hideMark/>
          </w:tcPr>
          <w:p w14:paraId="059BCEDE" w14:textId="77777777" w:rsidR="005F4A7E" w:rsidRPr="002029AF" w:rsidRDefault="005F4A7E" w:rsidP="00130D1C">
            <w:pPr>
              <w:pStyle w:val="ARfintablebodyright"/>
            </w:pPr>
            <w:r w:rsidRPr="00F61A8F">
              <w:t>0.3</w:t>
            </w:r>
          </w:p>
        </w:tc>
        <w:tc>
          <w:tcPr>
            <w:tcW w:w="1134" w:type="dxa"/>
            <w:tcBorders>
              <w:top w:val="single" w:sz="4" w:space="0" w:color="A6A6A6"/>
            </w:tcBorders>
            <w:noWrap/>
            <w:hideMark/>
          </w:tcPr>
          <w:p w14:paraId="455BC3B6" w14:textId="77777777" w:rsidR="005F4A7E" w:rsidRPr="002029AF" w:rsidRDefault="005F4A7E" w:rsidP="00130D1C">
            <w:pPr>
              <w:pStyle w:val="ARfintablebodyright"/>
            </w:pPr>
            <w:r w:rsidRPr="00F61A8F">
              <w:t>0.3</w:t>
            </w:r>
          </w:p>
        </w:tc>
      </w:tr>
      <w:tr w:rsidR="005F4A7E" w:rsidRPr="002029AF" w14:paraId="457FC86A" w14:textId="77777777" w:rsidTr="00130D1C">
        <w:tc>
          <w:tcPr>
            <w:tcW w:w="7369" w:type="dxa"/>
            <w:hideMark/>
          </w:tcPr>
          <w:p w14:paraId="1BBB8533" w14:textId="77777777" w:rsidR="005F4A7E" w:rsidRPr="002029AF" w:rsidRDefault="005F4A7E" w:rsidP="00130D1C">
            <w:pPr>
              <w:pStyle w:val="ARfintablebodybold"/>
            </w:pPr>
            <w:r w:rsidRPr="00F61A8F">
              <w:t>Total fair value of assets and services received free of charge or for nominal consideration</w:t>
            </w:r>
          </w:p>
        </w:tc>
        <w:tc>
          <w:tcPr>
            <w:tcW w:w="1134" w:type="dxa"/>
            <w:shd w:val="clear" w:color="auto" w:fill="E7E6E6"/>
            <w:noWrap/>
            <w:hideMark/>
          </w:tcPr>
          <w:p w14:paraId="03F1B632" w14:textId="77777777" w:rsidR="005F4A7E" w:rsidRPr="002029AF" w:rsidRDefault="005F4A7E" w:rsidP="00130D1C">
            <w:pPr>
              <w:pStyle w:val="ARfintablebodyrightbold"/>
            </w:pPr>
            <w:r w:rsidRPr="00F61A8F">
              <w:t>0.6</w:t>
            </w:r>
          </w:p>
        </w:tc>
        <w:tc>
          <w:tcPr>
            <w:tcW w:w="1134" w:type="dxa"/>
            <w:noWrap/>
            <w:hideMark/>
          </w:tcPr>
          <w:p w14:paraId="6AE74645" w14:textId="77777777" w:rsidR="005F4A7E" w:rsidRPr="002029AF" w:rsidRDefault="005F4A7E" w:rsidP="00130D1C">
            <w:pPr>
              <w:pStyle w:val="ARfintablebodyrightbold"/>
            </w:pPr>
            <w:r w:rsidRPr="00F61A8F">
              <w:t>3.6</w:t>
            </w:r>
          </w:p>
        </w:tc>
      </w:tr>
    </w:tbl>
    <w:p w14:paraId="52387461" w14:textId="77777777" w:rsidR="005F4A7E" w:rsidRDefault="005F4A7E" w:rsidP="00130D1C">
      <w:pPr>
        <w:pStyle w:val="ARfinbodyaftertable"/>
      </w:pPr>
      <w:bookmarkStart w:id="782" w:name="_Toc39136696"/>
      <w:r w:rsidRPr="00AE19F6">
        <w:rPr>
          <w:rStyle w:val="Strong"/>
        </w:rPr>
        <w:t>Contributions of resources received free of charge or for nominal consideration</w:t>
      </w:r>
      <w:r w:rsidRPr="00194D78">
        <w:t xml:space="preserve"> are recognised at their fair value when control is obtained over them, irrespective of whether these contributions are subject to restrictions or conditions over their use, unless received from another government department or agency as a consequence of a restructuring of administrative arrangements. In the latter case, such a transfer is recognised at its carrying value.</w:t>
      </w:r>
    </w:p>
    <w:p w14:paraId="5AD5A054" w14:textId="77777777" w:rsidR="005F4A7E" w:rsidRDefault="005F4A7E" w:rsidP="00130D1C">
      <w:pPr>
        <w:pStyle w:val="ARfinbody"/>
      </w:pPr>
      <w:r w:rsidRPr="00AE19F6">
        <w:rPr>
          <w:rStyle w:val="Strong"/>
        </w:rPr>
        <w:t>Voluntary services:</w:t>
      </w:r>
      <w:r>
        <w:rPr>
          <w:b/>
          <w:bCs/>
        </w:rPr>
        <w:t xml:space="preserve"> </w:t>
      </w:r>
      <w:r w:rsidRPr="00194D78">
        <w:t>Contributions in the form of services are only recognised when a fair value can be reliably determined and the services would have been purchased if not received as a donation.</w:t>
      </w:r>
      <w:r>
        <w:t xml:space="preserve"> The department did not receive any voluntary services and does not depend on volunteers to deliver its services.</w:t>
      </w:r>
    </w:p>
    <w:p w14:paraId="5074905B" w14:textId="77777777" w:rsidR="005F4A7E" w:rsidRPr="002029AF" w:rsidRDefault="005F4A7E" w:rsidP="00087B91">
      <w:pPr>
        <w:pStyle w:val="Heading5"/>
      </w:pPr>
      <w:bookmarkStart w:id="783" w:name="_Toc85121373"/>
      <w:r w:rsidRPr="002029AF">
        <w:t>2.4.5 Other income</w:t>
      </w:r>
      <w:bookmarkEnd w:id="782"/>
      <w:bookmarkEnd w:id="783"/>
    </w:p>
    <w:tbl>
      <w:tblPr>
        <w:tblStyle w:val="TableGrid"/>
        <w:tblW w:w="9637" w:type="dxa"/>
        <w:tblLayout w:type="fixed"/>
        <w:tblLook w:val="06A0" w:firstRow="1" w:lastRow="0" w:firstColumn="1" w:lastColumn="0" w:noHBand="1" w:noVBand="1"/>
      </w:tblPr>
      <w:tblGrid>
        <w:gridCol w:w="7371"/>
        <w:gridCol w:w="1133"/>
        <w:gridCol w:w="1133"/>
      </w:tblGrid>
      <w:tr w:rsidR="005F4A7E" w:rsidRPr="002029AF" w14:paraId="3FC61148"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22D2C4BC" w14:textId="77777777" w:rsidR="005F4A7E" w:rsidRPr="002029AF" w:rsidRDefault="005F4A7E" w:rsidP="00860E95">
            <w:pPr>
              <w:pStyle w:val="ARfintablecolhead"/>
            </w:pPr>
          </w:p>
        </w:tc>
        <w:tc>
          <w:tcPr>
            <w:tcW w:w="1133" w:type="dxa"/>
            <w:tcBorders>
              <w:bottom w:val="single" w:sz="4" w:space="0" w:color="auto"/>
            </w:tcBorders>
            <w:shd w:val="clear" w:color="auto" w:fill="E7E6E6"/>
            <w:hideMark/>
          </w:tcPr>
          <w:p w14:paraId="0AD21354" w14:textId="77777777" w:rsidR="005F4A7E" w:rsidRPr="002029AF" w:rsidRDefault="005F4A7E" w:rsidP="00860E95">
            <w:pPr>
              <w:pStyle w:val="ARfintablecolheadright"/>
            </w:pPr>
            <w:r>
              <w:t>2021</w:t>
            </w:r>
          </w:p>
          <w:p w14:paraId="383C2561" w14:textId="77777777" w:rsidR="005F4A7E" w:rsidRPr="002029AF" w:rsidRDefault="005F4A7E" w:rsidP="00860E95">
            <w:pPr>
              <w:pStyle w:val="ARfintablecolheadright"/>
            </w:pPr>
            <w:r w:rsidRPr="002029AF">
              <w:t>$M</w:t>
            </w:r>
          </w:p>
        </w:tc>
        <w:tc>
          <w:tcPr>
            <w:tcW w:w="1133" w:type="dxa"/>
            <w:tcBorders>
              <w:bottom w:val="single" w:sz="4" w:space="0" w:color="auto"/>
            </w:tcBorders>
            <w:hideMark/>
          </w:tcPr>
          <w:p w14:paraId="7672C5FD" w14:textId="77777777" w:rsidR="005F4A7E" w:rsidRPr="002029AF" w:rsidRDefault="005F4A7E" w:rsidP="00860E95">
            <w:pPr>
              <w:pStyle w:val="ARfintablecolheadright"/>
            </w:pPr>
            <w:r>
              <w:t>2020</w:t>
            </w:r>
          </w:p>
          <w:p w14:paraId="2C226D41" w14:textId="77777777" w:rsidR="005F4A7E" w:rsidRPr="002029AF" w:rsidRDefault="005F4A7E" w:rsidP="00860E95">
            <w:pPr>
              <w:pStyle w:val="ARfintablecolheadright"/>
            </w:pPr>
            <w:r w:rsidRPr="002029AF">
              <w:t>$M</w:t>
            </w:r>
          </w:p>
        </w:tc>
      </w:tr>
      <w:tr w:rsidR="005F4A7E" w:rsidRPr="002029AF" w14:paraId="51C28FE6" w14:textId="77777777" w:rsidTr="00860E95">
        <w:trPr>
          <w:trHeight w:val="255"/>
        </w:trPr>
        <w:tc>
          <w:tcPr>
            <w:tcW w:w="7371" w:type="dxa"/>
            <w:tcBorders>
              <w:top w:val="single" w:sz="4" w:space="0" w:color="auto"/>
              <w:bottom w:val="single" w:sz="4" w:space="0" w:color="A6A6A6"/>
            </w:tcBorders>
            <w:hideMark/>
          </w:tcPr>
          <w:p w14:paraId="2C91D99D" w14:textId="77777777" w:rsidR="005F4A7E" w:rsidRPr="002029AF" w:rsidRDefault="005F4A7E" w:rsidP="00130D1C">
            <w:pPr>
              <w:pStyle w:val="ARfintablebody"/>
            </w:pPr>
            <w:r w:rsidRPr="007206E3">
              <w:t>State trust accounts</w:t>
            </w:r>
          </w:p>
        </w:tc>
        <w:tc>
          <w:tcPr>
            <w:tcW w:w="1133" w:type="dxa"/>
            <w:tcBorders>
              <w:top w:val="single" w:sz="4" w:space="0" w:color="auto"/>
              <w:bottom w:val="single" w:sz="4" w:space="0" w:color="A6A6A6"/>
            </w:tcBorders>
            <w:shd w:val="clear" w:color="auto" w:fill="E7E6E6"/>
            <w:noWrap/>
            <w:hideMark/>
          </w:tcPr>
          <w:p w14:paraId="7256296F" w14:textId="77777777" w:rsidR="005F4A7E" w:rsidRPr="002029AF" w:rsidRDefault="005F4A7E" w:rsidP="00130D1C">
            <w:pPr>
              <w:pStyle w:val="ARfintablebodyright"/>
            </w:pPr>
            <w:r w:rsidRPr="007206E3">
              <w:t>14.5</w:t>
            </w:r>
          </w:p>
        </w:tc>
        <w:tc>
          <w:tcPr>
            <w:tcW w:w="1133" w:type="dxa"/>
            <w:tcBorders>
              <w:top w:val="single" w:sz="4" w:space="0" w:color="auto"/>
              <w:bottom w:val="single" w:sz="4" w:space="0" w:color="A6A6A6"/>
            </w:tcBorders>
            <w:noWrap/>
            <w:hideMark/>
          </w:tcPr>
          <w:p w14:paraId="6E807983" w14:textId="77777777" w:rsidR="005F4A7E" w:rsidRPr="002029AF" w:rsidRDefault="005F4A7E" w:rsidP="00130D1C">
            <w:pPr>
              <w:pStyle w:val="ARfintablebodyright"/>
            </w:pPr>
            <w:r w:rsidRPr="007206E3">
              <w:t>29.1</w:t>
            </w:r>
          </w:p>
        </w:tc>
      </w:tr>
      <w:tr w:rsidR="005F4A7E" w:rsidRPr="002029AF" w14:paraId="133C01B0" w14:textId="77777777" w:rsidTr="00860E95">
        <w:trPr>
          <w:trHeight w:val="255"/>
        </w:trPr>
        <w:tc>
          <w:tcPr>
            <w:tcW w:w="7371" w:type="dxa"/>
            <w:tcBorders>
              <w:top w:val="single" w:sz="4" w:space="0" w:color="A6A6A6"/>
            </w:tcBorders>
            <w:hideMark/>
          </w:tcPr>
          <w:p w14:paraId="30174764" w14:textId="77777777" w:rsidR="005F4A7E" w:rsidRPr="002029AF" w:rsidRDefault="005F4A7E" w:rsidP="00130D1C">
            <w:pPr>
              <w:pStyle w:val="ARfintablebody"/>
            </w:pPr>
            <w:r w:rsidRPr="007206E3">
              <w:t>Other miscellaneous income</w:t>
            </w:r>
          </w:p>
        </w:tc>
        <w:tc>
          <w:tcPr>
            <w:tcW w:w="1133" w:type="dxa"/>
            <w:tcBorders>
              <w:top w:val="single" w:sz="4" w:space="0" w:color="A6A6A6"/>
            </w:tcBorders>
            <w:shd w:val="clear" w:color="auto" w:fill="E7E6E6"/>
            <w:noWrap/>
            <w:hideMark/>
          </w:tcPr>
          <w:p w14:paraId="081AA332" w14:textId="77777777" w:rsidR="005F4A7E" w:rsidRPr="002029AF" w:rsidRDefault="005F4A7E" w:rsidP="00130D1C">
            <w:pPr>
              <w:pStyle w:val="ARfintablebodyright"/>
            </w:pPr>
            <w:r w:rsidRPr="007206E3">
              <w:t>3.8</w:t>
            </w:r>
          </w:p>
        </w:tc>
        <w:tc>
          <w:tcPr>
            <w:tcW w:w="1133" w:type="dxa"/>
            <w:tcBorders>
              <w:top w:val="single" w:sz="4" w:space="0" w:color="A6A6A6"/>
            </w:tcBorders>
            <w:noWrap/>
            <w:hideMark/>
          </w:tcPr>
          <w:p w14:paraId="00F35CCE" w14:textId="77777777" w:rsidR="005F4A7E" w:rsidRPr="002029AF" w:rsidRDefault="005F4A7E" w:rsidP="00130D1C">
            <w:pPr>
              <w:pStyle w:val="ARfintablebodyright"/>
            </w:pPr>
            <w:r w:rsidRPr="007206E3">
              <w:t>1.8</w:t>
            </w:r>
          </w:p>
        </w:tc>
      </w:tr>
      <w:tr w:rsidR="005F4A7E" w:rsidRPr="002029AF" w14:paraId="331F8582" w14:textId="77777777" w:rsidTr="00860E95">
        <w:trPr>
          <w:trHeight w:val="255"/>
        </w:trPr>
        <w:tc>
          <w:tcPr>
            <w:tcW w:w="7371" w:type="dxa"/>
            <w:hideMark/>
          </w:tcPr>
          <w:p w14:paraId="00196EEC" w14:textId="77777777" w:rsidR="005F4A7E" w:rsidRPr="002029AF" w:rsidRDefault="005F4A7E" w:rsidP="00130D1C">
            <w:pPr>
              <w:pStyle w:val="ARfintablebodybold"/>
            </w:pPr>
            <w:r w:rsidRPr="007206E3">
              <w:t>Total other income</w:t>
            </w:r>
          </w:p>
        </w:tc>
        <w:tc>
          <w:tcPr>
            <w:tcW w:w="1133" w:type="dxa"/>
            <w:shd w:val="clear" w:color="auto" w:fill="E7E6E6"/>
            <w:noWrap/>
            <w:hideMark/>
          </w:tcPr>
          <w:p w14:paraId="6AC0F244" w14:textId="77777777" w:rsidR="005F4A7E" w:rsidRPr="002029AF" w:rsidRDefault="005F4A7E" w:rsidP="00130D1C">
            <w:pPr>
              <w:pStyle w:val="ARfintablebodyrightbold"/>
            </w:pPr>
            <w:r w:rsidRPr="007206E3">
              <w:t>18.3</w:t>
            </w:r>
          </w:p>
        </w:tc>
        <w:tc>
          <w:tcPr>
            <w:tcW w:w="1133" w:type="dxa"/>
            <w:noWrap/>
            <w:hideMark/>
          </w:tcPr>
          <w:p w14:paraId="071B0871" w14:textId="77777777" w:rsidR="005F4A7E" w:rsidRPr="002029AF" w:rsidRDefault="005F4A7E" w:rsidP="00130D1C">
            <w:pPr>
              <w:pStyle w:val="ARfintablebodyrightbold"/>
            </w:pPr>
            <w:r w:rsidRPr="007206E3">
              <w:t>30.9</w:t>
            </w:r>
          </w:p>
        </w:tc>
      </w:tr>
    </w:tbl>
    <w:p w14:paraId="5B519761" w14:textId="77777777" w:rsidR="005F4A7E" w:rsidRDefault="005F4A7E" w:rsidP="00130D1C">
      <w:pPr>
        <w:pStyle w:val="ARfinbodyaftertable"/>
      </w:pPr>
      <w:bookmarkStart w:id="784" w:name="_Toc39136697"/>
      <w:bookmarkStart w:id="785" w:name="_Toc39242136"/>
      <w:r w:rsidRPr="00AE19F6">
        <w:rPr>
          <w:rStyle w:val="Strong"/>
        </w:rPr>
        <w:t>Other income</w:t>
      </w:r>
      <w:r w:rsidRPr="00194D78">
        <w:t xml:space="preserve"> includes income received from departmental controlled trust funds and is recognised when the department gains control over the funds</w:t>
      </w:r>
      <w:r>
        <w:t>. It also</w:t>
      </w:r>
      <w:r w:rsidRPr="00194D78">
        <w:t xml:space="preserve"> includes income received from treasury trusts</w:t>
      </w:r>
      <w:r>
        <w:t>.</w:t>
      </w:r>
    </w:p>
    <w:p w14:paraId="64294532" w14:textId="77777777" w:rsidR="005F4A7E" w:rsidRPr="002029AF" w:rsidRDefault="005F4A7E" w:rsidP="00087B91">
      <w:pPr>
        <w:pStyle w:val="ARfinbody"/>
      </w:pPr>
      <w:r w:rsidRPr="002029AF">
        <w:br w:type="page"/>
      </w:r>
    </w:p>
    <w:p w14:paraId="1E506AA7" w14:textId="77777777" w:rsidR="005F4A7E" w:rsidRPr="002029AF" w:rsidRDefault="005F4A7E" w:rsidP="00087B91">
      <w:pPr>
        <w:pStyle w:val="Heading4"/>
      </w:pPr>
      <w:bookmarkStart w:id="786" w:name="_Toc85121374"/>
      <w:r w:rsidRPr="002029AF">
        <w:lastRenderedPageBreak/>
        <w:t>2.5 Annotated income agreements</w:t>
      </w:r>
      <w:bookmarkEnd w:id="784"/>
      <w:bookmarkEnd w:id="785"/>
      <w:bookmarkEnd w:id="786"/>
    </w:p>
    <w:p w14:paraId="0E185A31" w14:textId="77777777" w:rsidR="005F4A7E" w:rsidRPr="00194D78" w:rsidRDefault="005F4A7E" w:rsidP="00130D1C">
      <w:pPr>
        <w:pStyle w:val="ARfinbody"/>
      </w:pPr>
      <w:r w:rsidRPr="00194D78">
        <w:t>The department is permitted under s</w:t>
      </w:r>
      <w:r>
        <w:t>.</w:t>
      </w:r>
      <w:r w:rsidRPr="00194D78">
        <w:t xml:space="preserve"> 29 of the </w:t>
      </w:r>
      <w:r w:rsidRPr="00641EB5">
        <w:rPr>
          <w:rStyle w:val="Emphasis"/>
        </w:rPr>
        <w:t>Financial Management Act 1994</w:t>
      </w:r>
      <w:r w:rsidRPr="00194D78">
        <w:t xml:space="preserve"> to have certain income annotated to the</w:t>
      </w:r>
      <w:r>
        <w:t> </w:t>
      </w:r>
      <w:r w:rsidRPr="00194D78">
        <w:t>annual appropriation. The income which forms part of a s</w:t>
      </w:r>
      <w:r>
        <w:t>.</w:t>
      </w:r>
      <w:r w:rsidRPr="00194D78">
        <w:t xml:space="preserve"> 29 agreement is recognised by the department and the receipts paid into the consolidated fund as an administered item. At the point of income recognition, s</w:t>
      </w:r>
      <w:r>
        <w:t>.</w:t>
      </w:r>
      <w:r w:rsidRPr="00194D78">
        <w:t xml:space="preserve"> 29 provides for an</w:t>
      </w:r>
      <w:r>
        <w:t> </w:t>
      </w:r>
      <w:r w:rsidRPr="00194D78">
        <w:t>equivalent amount to be added to the annual appropriation.</w:t>
      </w:r>
    </w:p>
    <w:p w14:paraId="5748D541" w14:textId="77777777" w:rsidR="005F4A7E" w:rsidRPr="002029AF" w:rsidRDefault="005F4A7E" w:rsidP="00130D1C">
      <w:pPr>
        <w:pStyle w:val="ARfinbodylargespace"/>
      </w:pPr>
      <w:r w:rsidRPr="00194D78">
        <w:t>The following is a listing of annotated income agreements under s</w:t>
      </w:r>
      <w:r>
        <w:t>.</w:t>
      </w:r>
      <w:r w:rsidRPr="00194D78">
        <w:t xml:space="preserve"> 29 of the </w:t>
      </w:r>
      <w:r w:rsidRPr="00641EB5">
        <w:rPr>
          <w:rStyle w:val="Emphasis"/>
        </w:rPr>
        <w:t>Financial Management Act 1994</w:t>
      </w:r>
      <w:r w:rsidRPr="00194D78">
        <w:t xml:space="preserve"> approved by the Treasurer:</w:t>
      </w:r>
    </w:p>
    <w:tbl>
      <w:tblPr>
        <w:tblStyle w:val="TableGrid"/>
        <w:tblW w:w="9637" w:type="dxa"/>
        <w:tblLayout w:type="fixed"/>
        <w:tblLook w:val="06A0" w:firstRow="1" w:lastRow="0" w:firstColumn="1" w:lastColumn="0" w:noHBand="1" w:noVBand="1"/>
      </w:tblPr>
      <w:tblGrid>
        <w:gridCol w:w="7371"/>
        <w:gridCol w:w="1133"/>
        <w:gridCol w:w="1133"/>
      </w:tblGrid>
      <w:tr w:rsidR="005F4A7E" w:rsidRPr="002029AF" w14:paraId="0F8A659C"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2029F515" w14:textId="77777777" w:rsidR="005F4A7E" w:rsidRPr="002029AF" w:rsidRDefault="005F4A7E" w:rsidP="00860E95">
            <w:pPr>
              <w:pStyle w:val="ARfintablecolhead"/>
              <w:spacing w:before="30"/>
            </w:pPr>
          </w:p>
        </w:tc>
        <w:tc>
          <w:tcPr>
            <w:tcW w:w="1133" w:type="dxa"/>
            <w:tcBorders>
              <w:bottom w:val="single" w:sz="4" w:space="0" w:color="auto"/>
            </w:tcBorders>
            <w:shd w:val="clear" w:color="auto" w:fill="E7E6E6"/>
            <w:hideMark/>
          </w:tcPr>
          <w:p w14:paraId="04ABF1A3" w14:textId="77777777" w:rsidR="005F4A7E" w:rsidRPr="002029AF" w:rsidRDefault="005F4A7E" w:rsidP="00860E95">
            <w:pPr>
              <w:pStyle w:val="ARfintablecolheadright"/>
              <w:spacing w:before="30"/>
            </w:pPr>
            <w:r>
              <w:t>2021</w:t>
            </w:r>
          </w:p>
          <w:p w14:paraId="5361A6DF" w14:textId="77777777" w:rsidR="005F4A7E" w:rsidRPr="002029AF" w:rsidRDefault="005F4A7E" w:rsidP="00860E95">
            <w:pPr>
              <w:pStyle w:val="ARfintablecolheadright"/>
              <w:spacing w:before="30"/>
            </w:pPr>
            <w:r w:rsidRPr="002029AF">
              <w:t>$M</w:t>
            </w:r>
          </w:p>
        </w:tc>
        <w:tc>
          <w:tcPr>
            <w:tcW w:w="1133" w:type="dxa"/>
            <w:tcBorders>
              <w:bottom w:val="single" w:sz="4" w:space="0" w:color="auto"/>
            </w:tcBorders>
            <w:hideMark/>
          </w:tcPr>
          <w:p w14:paraId="644B9CBD" w14:textId="77777777" w:rsidR="005F4A7E" w:rsidRPr="002029AF" w:rsidRDefault="005F4A7E" w:rsidP="00860E95">
            <w:pPr>
              <w:pStyle w:val="ARfintablecolheadright"/>
              <w:spacing w:before="30"/>
            </w:pPr>
            <w:r>
              <w:t>2020</w:t>
            </w:r>
          </w:p>
          <w:p w14:paraId="43C8F5CC" w14:textId="77777777" w:rsidR="005F4A7E" w:rsidRPr="002029AF" w:rsidRDefault="005F4A7E" w:rsidP="00860E95">
            <w:pPr>
              <w:pStyle w:val="ARfintablecolheadright"/>
              <w:spacing w:before="30"/>
            </w:pPr>
            <w:r w:rsidRPr="002029AF">
              <w:t>$M</w:t>
            </w:r>
          </w:p>
        </w:tc>
      </w:tr>
      <w:tr w:rsidR="005F4A7E" w:rsidRPr="002029AF" w14:paraId="0D4BF563" w14:textId="77777777" w:rsidTr="00860E95">
        <w:tc>
          <w:tcPr>
            <w:tcW w:w="9637" w:type="dxa"/>
            <w:gridSpan w:val="3"/>
            <w:tcBorders>
              <w:top w:val="single" w:sz="4" w:space="0" w:color="auto"/>
              <w:bottom w:val="single" w:sz="4" w:space="0" w:color="A6A6A6"/>
            </w:tcBorders>
            <w:hideMark/>
          </w:tcPr>
          <w:p w14:paraId="4B68C49F" w14:textId="77777777" w:rsidR="005F4A7E" w:rsidRPr="002029AF" w:rsidRDefault="005F4A7E" w:rsidP="00130D1C">
            <w:pPr>
              <w:pStyle w:val="ARfintablebodybold"/>
            </w:pPr>
            <w:r w:rsidRPr="004456FE">
              <w:t>User charges, or sales of goods and services</w:t>
            </w:r>
          </w:p>
        </w:tc>
      </w:tr>
      <w:tr w:rsidR="005F4A7E" w:rsidRPr="002029AF" w14:paraId="492A8CD7" w14:textId="77777777" w:rsidTr="00860E95">
        <w:tc>
          <w:tcPr>
            <w:tcW w:w="7371" w:type="dxa"/>
            <w:tcBorders>
              <w:top w:val="single" w:sz="4" w:space="0" w:color="A6A6A6"/>
              <w:bottom w:val="single" w:sz="4" w:space="0" w:color="A6A6A6"/>
            </w:tcBorders>
            <w:hideMark/>
          </w:tcPr>
          <w:p w14:paraId="3611807A" w14:textId="77777777" w:rsidR="005F4A7E" w:rsidRPr="002029AF" w:rsidRDefault="005F4A7E" w:rsidP="00130D1C">
            <w:pPr>
              <w:pStyle w:val="ARfintablebody"/>
            </w:pPr>
            <w:r w:rsidRPr="004456FE">
              <w:t>Albury Wodonga Health (Capital)</w:t>
            </w:r>
          </w:p>
        </w:tc>
        <w:tc>
          <w:tcPr>
            <w:tcW w:w="1133" w:type="dxa"/>
            <w:tcBorders>
              <w:top w:val="single" w:sz="4" w:space="0" w:color="A6A6A6"/>
              <w:bottom w:val="single" w:sz="4" w:space="0" w:color="A6A6A6"/>
            </w:tcBorders>
            <w:shd w:val="clear" w:color="auto" w:fill="E7E6E6"/>
            <w:noWrap/>
            <w:hideMark/>
          </w:tcPr>
          <w:p w14:paraId="587A93EC" w14:textId="77777777" w:rsidR="005F4A7E" w:rsidRPr="002029AF" w:rsidRDefault="005F4A7E" w:rsidP="00130D1C">
            <w:pPr>
              <w:pStyle w:val="ARfintablebodyright"/>
            </w:pPr>
            <w:r w:rsidRPr="004456FE">
              <w:t>1.6</w:t>
            </w:r>
          </w:p>
        </w:tc>
        <w:tc>
          <w:tcPr>
            <w:tcW w:w="1133" w:type="dxa"/>
            <w:tcBorders>
              <w:top w:val="single" w:sz="4" w:space="0" w:color="A6A6A6"/>
              <w:bottom w:val="single" w:sz="4" w:space="0" w:color="A6A6A6"/>
            </w:tcBorders>
            <w:noWrap/>
            <w:hideMark/>
          </w:tcPr>
          <w:p w14:paraId="7189A923" w14:textId="77777777" w:rsidR="005F4A7E" w:rsidRPr="002029AF" w:rsidRDefault="005F4A7E" w:rsidP="00130D1C">
            <w:pPr>
              <w:pStyle w:val="ARfintablebodyright"/>
            </w:pPr>
            <w:r w:rsidRPr="004456FE">
              <w:t>1.6</w:t>
            </w:r>
          </w:p>
        </w:tc>
      </w:tr>
      <w:tr w:rsidR="005F4A7E" w:rsidRPr="002029AF" w14:paraId="08C0EF92" w14:textId="77777777" w:rsidTr="00860E95">
        <w:tc>
          <w:tcPr>
            <w:tcW w:w="7371" w:type="dxa"/>
            <w:tcBorders>
              <w:top w:val="single" w:sz="4" w:space="0" w:color="A6A6A6"/>
              <w:bottom w:val="single" w:sz="4" w:space="0" w:color="A6A6A6"/>
            </w:tcBorders>
            <w:hideMark/>
          </w:tcPr>
          <w:p w14:paraId="0069E7F4" w14:textId="77777777" w:rsidR="005F4A7E" w:rsidRPr="002029AF" w:rsidRDefault="005F4A7E" w:rsidP="00130D1C">
            <w:pPr>
              <w:pStyle w:val="ARfintablebody"/>
            </w:pPr>
            <w:r w:rsidRPr="004456FE">
              <w:t>Albury Wodonga Health (Output)</w:t>
            </w:r>
          </w:p>
        </w:tc>
        <w:tc>
          <w:tcPr>
            <w:tcW w:w="1133" w:type="dxa"/>
            <w:tcBorders>
              <w:top w:val="single" w:sz="4" w:space="0" w:color="A6A6A6"/>
              <w:bottom w:val="single" w:sz="4" w:space="0" w:color="A6A6A6"/>
            </w:tcBorders>
            <w:shd w:val="clear" w:color="auto" w:fill="E7E6E6"/>
            <w:noWrap/>
            <w:hideMark/>
          </w:tcPr>
          <w:p w14:paraId="79F438EE" w14:textId="77777777" w:rsidR="005F4A7E" w:rsidRPr="002029AF" w:rsidRDefault="005F4A7E" w:rsidP="00130D1C">
            <w:pPr>
              <w:pStyle w:val="ARfintablebodyright"/>
            </w:pPr>
            <w:r w:rsidRPr="004456FE">
              <w:t>118.0</w:t>
            </w:r>
          </w:p>
        </w:tc>
        <w:tc>
          <w:tcPr>
            <w:tcW w:w="1133" w:type="dxa"/>
            <w:tcBorders>
              <w:top w:val="single" w:sz="4" w:space="0" w:color="A6A6A6"/>
              <w:bottom w:val="single" w:sz="4" w:space="0" w:color="A6A6A6"/>
            </w:tcBorders>
            <w:noWrap/>
            <w:hideMark/>
          </w:tcPr>
          <w:p w14:paraId="2938F2A2" w14:textId="77777777" w:rsidR="005F4A7E" w:rsidRPr="002029AF" w:rsidRDefault="005F4A7E" w:rsidP="00130D1C">
            <w:pPr>
              <w:pStyle w:val="ARfintablebodyright"/>
            </w:pPr>
            <w:r w:rsidRPr="004456FE">
              <w:t>113.7</w:t>
            </w:r>
          </w:p>
        </w:tc>
      </w:tr>
      <w:tr w:rsidR="005F4A7E" w:rsidRPr="002029AF" w14:paraId="586D947F" w14:textId="77777777" w:rsidTr="00860E95">
        <w:tc>
          <w:tcPr>
            <w:tcW w:w="7371" w:type="dxa"/>
            <w:tcBorders>
              <w:top w:val="single" w:sz="4" w:space="0" w:color="A6A6A6"/>
              <w:bottom w:val="single" w:sz="4" w:space="0" w:color="A6A6A6"/>
            </w:tcBorders>
            <w:hideMark/>
          </w:tcPr>
          <w:p w14:paraId="6CB368C9" w14:textId="5EC96A9C" w:rsidR="005F4A7E" w:rsidRPr="002029AF" w:rsidRDefault="005F4A7E" w:rsidP="00C51E8E">
            <w:pPr>
              <w:pStyle w:val="ARfintablebody"/>
            </w:pPr>
            <w:r w:rsidRPr="00C51E8E">
              <w:t>Community Residential Units Accommodation charges; includes full Board and Lodging Model (Output)</w:t>
            </w:r>
          </w:p>
        </w:tc>
        <w:tc>
          <w:tcPr>
            <w:tcW w:w="1133" w:type="dxa"/>
            <w:tcBorders>
              <w:top w:val="single" w:sz="4" w:space="0" w:color="A6A6A6"/>
              <w:bottom w:val="single" w:sz="4" w:space="0" w:color="A6A6A6"/>
            </w:tcBorders>
            <w:shd w:val="clear" w:color="auto" w:fill="E7E6E6"/>
            <w:noWrap/>
            <w:hideMark/>
          </w:tcPr>
          <w:p w14:paraId="39C7E26D" w14:textId="77777777" w:rsidR="005F4A7E" w:rsidRPr="002029AF" w:rsidRDefault="005F4A7E" w:rsidP="00130D1C">
            <w:pPr>
              <w:pStyle w:val="ARfintablebodyright"/>
            </w:pPr>
            <w:r w:rsidRPr="004456FE">
              <w:t>8.5</w:t>
            </w:r>
          </w:p>
        </w:tc>
        <w:tc>
          <w:tcPr>
            <w:tcW w:w="1133" w:type="dxa"/>
            <w:tcBorders>
              <w:top w:val="single" w:sz="4" w:space="0" w:color="A6A6A6"/>
              <w:bottom w:val="single" w:sz="4" w:space="0" w:color="A6A6A6"/>
            </w:tcBorders>
            <w:noWrap/>
            <w:hideMark/>
          </w:tcPr>
          <w:p w14:paraId="44464FBB" w14:textId="77777777" w:rsidR="005F4A7E" w:rsidRPr="002029AF" w:rsidRDefault="005F4A7E" w:rsidP="00130D1C">
            <w:pPr>
              <w:pStyle w:val="ARfintablebodyright"/>
            </w:pPr>
            <w:r w:rsidRPr="004456FE">
              <w:t>9.2</w:t>
            </w:r>
          </w:p>
        </w:tc>
      </w:tr>
      <w:tr w:rsidR="005F4A7E" w:rsidRPr="002029AF" w14:paraId="4C0A25E8" w14:textId="77777777" w:rsidTr="00860E95">
        <w:tc>
          <w:tcPr>
            <w:tcW w:w="7371" w:type="dxa"/>
            <w:tcBorders>
              <w:top w:val="single" w:sz="4" w:space="0" w:color="A6A6A6"/>
              <w:bottom w:val="single" w:sz="4" w:space="0" w:color="A6A6A6"/>
            </w:tcBorders>
            <w:hideMark/>
          </w:tcPr>
          <w:p w14:paraId="7EE6A4A0" w14:textId="77777777" w:rsidR="005F4A7E" w:rsidRPr="002029AF" w:rsidRDefault="005F4A7E" w:rsidP="00130D1C">
            <w:pPr>
              <w:pStyle w:val="ARfintablebody"/>
            </w:pPr>
            <w:r w:rsidRPr="004456FE">
              <w:t>Department of Veteran Affairs Hospital Services (Output)</w:t>
            </w:r>
          </w:p>
        </w:tc>
        <w:tc>
          <w:tcPr>
            <w:tcW w:w="1133" w:type="dxa"/>
            <w:tcBorders>
              <w:top w:val="single" w:sz="4" w:space="0" w:color="A6A6A6"/>
              <w:bottom w:val="single" w:sz="4" w:space="0" w:color="A6A6A6"/>
            </w:tcBorders>
            <w:shd w:val="clear" w:color="auto" w:fill="E7E6E6"/>
            <w:noWrap/>
            <w:hideMark/>
          </w:tcPr>
          <w:p w14:paraId="71467BD1" w14:textId="77777777" w:rsidR="005F4A7E" w:rsidRPr="002029AF" w:rsidRDefault="005F4A7E" w:rsidP="00130D1C">
            <w:pPr>
              <w:pStyle w:val="ARfintablebodyright"/>
            </w:pPr>
            <w:r w:rsidRPr="004456FE">
              <w:t>63.5</w:t>
            </w:r>
          </w:p>
        </w:tc>
        <w:tc>
          <w:tcPr>
            <w:tcW w:w="1133" w:type="dxa"/>
            <w:tcBorders>
              <w:top w:val="single" w:sz="4" w:space="0" w:color="A6A6A6"/>
              <w:bottom w:val="single" w:sz="4" w:space="0" w:color="A6A6A6"/>
            </w:tcBorders>
            <w:noWrap/>
            <w:hideMark/>
          </w:tcPr>
          <w:p w14:paraId="3808FE22" w14:textId="77777777" w:rsidR="005F4A7E" w:rsidRPr="002029AF" w:rsidRDefault="005F4A7E" w:rsidP="00130D1C">
            <w:pPr>
              <w:pStyle w:val="ARfintablebodyright"/>
            </w:pPr>
            <w:r w:rsidRPr="004456FE">
              <w:t>89.5</w:t>
            </w:r>
          </w:p>
        </w:tc>
      </w:tr>
      <w:tr w:rsidR="005F4A7E" w:rsidRPr="002029AF" w14:paraId="369A9FAB" w14:textId="77777777" w:rsidTr="00860E95">
        <w:tc>
          <w:tcPr>
            <w:tcW w:w="7371" w:type="dxa"/>
            <w:tcBorders>
              <w:top w:val="single" w:sz="4" w:space="0" w:color="A6A6A6"/>
              <w:bottom w:val="single" w:sz="4" w:space="0" w:color="A6A6A6"/>
            </w:tcBorders>
            <w:hideMark/>
          </w:tcPr>
          <w:p w14:paraId="3C5D2107" w14:textId="77777777" w:rsidR="005F4A7E" w:rsidRPr="002029AF" w:rsidRDefault="005F4A7E" w:rsidP="00130D1C">
            <w:pPr>
              <w:pStyle w:val="ARfintablebody"/>
            </w:pPr>
            <w:r w:rsidRPr="004456FE">
              <w:t>Health Technology Services (Output)</w:t>
            </w:r>
          </w:p>
        </w:tc>
        <w:tc>
          <w:tcPr>
            <w:tcW w:w="1133" w:type="dxa"/>
            <w:tcBorders>
              <w:top w:val="single" w:sz="4" w:space="0" w:color="A6A6A6"/>
              <w:bottom w:val="single" w:sz="4" w:space="0" w:color="A6A6A6"/>
            </w:tcBorders>
            <w:shd w:val="clear" w:color="auto" w:fill="E7E6E6"/>
            <w:noWrap/>
            <w:hideMark/>
          </w:tcPr>
          <w:p w14:paraId="5BC8EB06" w14:textId="77777777" w:rsidR="005F4A7E" w:rsidRPr="002029AF" w:rsidRDefault="005F4A7E" w:rsidP="00130D1C">
            <w:pPr>
              <w:pStyle w:val="ARfintablebodyright"/>
            </w:pPr>
            <w:r w:rsidRPr="004456FE">
              <w:t>7.7</w:t>
            </w:r>
          </w:p>
        </w:tc>
        <w:tc>
          <w:tcPr>
            <w:tcW w:w="1133" w:type="dxa"/>
            <w:tcBorders>
              <w:top w:val="single" w:sz="4" w:space="0" w:color="A6A6A6"/>
              <w:bottom w:val="single" w:sz="4" w:space="0" w:color="A6A6A6"/>
            </w:tcBorders>
            <w:noWrap/>
            <w:hideMark/>
          </w:tcPr>
          <w:p w14:paraId="45ED2B15" w14:textId="77777777" w:rsidR="005F4A7E" w:rsidRPr="002029AF" w:rsidRDefault="005F4A7E" w:rsidP="00130D1C">
            <w:pPr>
              <w:pStyle w:val="ARfintablebodyright"/>
            </w:pPr>
            <w:r w:rsidRPr="004456FE">
              <w:t>5.1</w:t>
            </w:r>
          </w:p>
        </w:tc>
      </w:tr>
      <w:tr w:rsidR="005F4A7E" w:rsidRPr="002029AF" w14:paraId="1F5F6C93" w14:textId="77777777" w:rsidTr="00860E95">
        <w:tc>
          <w:tcPr>
            <w:tcW w:w="7371" w:type="dxa"/>
            <w:tcBorders>
              <w:top w:val="single" w:sz="4" w:space="0" w:color="A6A6A6"/>
              <w:bottom w:val="single" w:sz="4" w:space="0" w:color="A6A6A6"/>
            </w:tcBorders>
            <w:hideMark/>
          </w:tcPr>
          <w:p w14:paraId="64EC3132" w14:textId="77777777" w:rsidR="005F4A7E" w:rsidRPr="002029AF" w:rsidRDefault="005F4A7E" w:rsidP="00130D1C">
            <w:pPr>
              <w:pStyle w:val="ARfintablebody"/>
            </w:pPr>
            <w:r w:rsidRPr="004456FE">
              <w:t>Revenue for Services Provided for the National Disability Insurance Agency (Output)</w:t>
            </w:r>
          </w:p>
        </w:tc>
        <w:tc>
          <w:tcPr>
            <w:tcW w:w="1133" w:type="dxa"/>
            <w:tcBorders>
              <w:top w:val="single" w:sz="4" w:space="0" w:color="A6A6A6"/>
              <w:bottom w:val="single" w:sz="4" w:space="0" w:color="A6A6A6"/>
            </w:tcBorders>
            <w:shd w:val="clear" w:color="auto" w:fill="E7E6E6"/>
            <w:noWrap/>
            <w:hideMark/>
          </w:tcPr>
          <w:p w14:paraId="54282F58" w14:textId="77777777" w:rsidR="005F4A7E" w:rsidRPr="002029AF" w:rsidRDefault="005F4A7E" w:rsidP="00130D1C">
            <w:pPr>
              <w:pStyle w:val="ARfintablebodyright"/>
            </w:pPr>
            <w:r w:rsidRPr="004456FE">
              <w:t>6.4</w:t>
            </w:r>
          </w:p>
        </w:tc>
        <w:tc>
          <w:tcPr>
            <w:tcW w:w="1133" w:type="dxa"/>
            <w:tcBorders>
              <w:top w:val="single" w:sz="4" w:space="0" w:color="A6A6A6"/>
              <w:bottom w:val="single" w:sz="4" w:space="0" w:color="A6A6A6"/>
            </w:tcBorders>
            <w:noWrap/>
            <w:hideMark/>
          </w:tcPr>
          <w:p w14:paraId="24AD1731" w14:textId="77777777" w:rsidR="005F4A7E" w:rsidRPr="002029AF" w:rsidRDefault="005F4A7E" w:rsidP="00130D1C">
            <w:pPr>
              <w:pStyle w:val="ARfintablebodyright"/>
            </w:pPr>
            <w:r w:rsidRPr="004456FE">
              <w:t>8.9</w:t>
            </w:r>
          </w:p>
        </w:tc>
      </w:tr>
      <w:tr w:rsidR="005F4A7E" w:rsidRPr="002029AF" w14:paraId="60840AA8" w14:textId="77777777" w:rsidTr="00860E95">
        <w:tc>
          <w:tcPr>
            <w:tcW w:w="7371" w:type="dxa"/>
            <w:tcBorders>
              <w:top w:val="single" w:sz="4" w:space="0" w:color="A6A6A6"/>
              <w:bottom w:val="single" w:sz="4" w:space="0" w:color="A6A6A6"/>
            </w:tcBorders>
            <w:hideMark/>
          </w:tcPr>
          <w:p w14:paraId="2AD4F89A" w14:textId="77777777" w:rsidR="005F4A7E" w:rsidRPr="002029AF" w:rsidRDefault="005F4A7E" w:rsidP="00130D1C">
            <w:pPr>
              <w:pStyle w:val="ARfintablebody"/>
            </w:pPr>
            <w:r w:rsidRPr="004456FE">
              <w:t>Seniors Card Directory Advertising (Output)</w:t>
            </w:r>
          </w:p>
        </w:tc>
        <w:tc>
          <w:tcPr>
            <w:tcW w:w="1133" w:type="dxa"/>
            <w:tcBorders>
              <w:top w:val="single" w:sz="4" w:space="0" w:color="A6A6A6"/>
              <w:bottom w:val="single" w:sz="4" w:space="0" w:color="A6A6A6"/>
            </w:tcBorders>
            <w:shd w:val="clear" w:color="auto" w:fill="E7E6E6"/>
            <w:noWrap/>
            <w:hideMark/>
          </w:tcPr>
          <w:p w14:paraId="4752046F" w14:textId="77777777" w:rsidR="005F4A7E" w:rsidRPr="002029AF" w:rsidRDefault="005F4A7E" w:rsidP="00130D1C">
            <w:pPr>
              <w:pStyle w:val="ARfintablebodyright"/>
            </w:pPr>
            <w:r w:rsidRPr="004456FE">
              <w:t>0.3</w:t>
            </w:r>
          </w:p>
        </w:tc>
        <w:tc>
          <w:tcPr>
            <w:tcW w:w="1133" w:type="dxa"/>
            <w:tcBorders>
              <w:top w:val="single" w:sz="4" w:space="0" w:color="A6A6A6"/>
              <w:bottom w:val="single" w:sz="4" w:space="0" w:color="A6A6A6"/>
            </w:tcBorders>
            <w:noWrap/>
            <w:hideMark/>
          </w:tcPr>
          <w:p w14:paraId="30810405" w14:textId="77777777" w:rsidR="005F4A7E" w:rsidRPr="002029AF" w:rsidRDefault="005F4A7E" w:rsidP="00130D1C">
            <w:pPr>
              <w:pStyle w:val="ARfintablebodyright"/>
            </w:pPr>
            <w:r w:rsidRPr="004456FE">
              <w:t>0.3</w:t>
            </w:r>
          </w:p>
        </w:tc>
      </w:tr>
      <w:tr w:rsidR="005F4A7E" w:rsidRPr="002029AF" w14:paraId="4D806618" w14:textId="77777777" w:rsidTr="00860E95">
        <w:tc>
          <w:tcPr>
            <w:tcW w:w="7371" w:type="dxa"/>
            <w:tcBorders>
              <w:top w:val="single" w:sz="4" w:space="0" w:color="A6A6A6"/>
            </w:tcBorders>
            <w:hideMark/>
          </w:tcPr>
          <w:p w14:paraId="4499BCE0" w14:textId="77777777" w:rsidR="005F4A7E" w:rsidRPr="002029AF" w:rsidRDefault="005F4A7E" w:rsidP="00130D1C">
            <w:pPr>
              <w:pStyle w:val="ARfintablebody"/>
            </w:pPr>
            <w:r w:rsidRPr="004456FE">
              <w:t>Transport Accident Commission Agreement (Output)</w:t>
            </w:r>
          </w:p>
        </w:tc>
        <w:tc>
          <w:tcPr>
            <w:tcW w:w="1133" w:type="dxa"/>
            <w:tcBorders>
              <w:top w:val="single" w:sz="4" w:space="0" w:color="A6A6A6"/>
            </w:tcBorders>
            <w:shd w:val="clear" w:color="auto" w:fill="E7E6E6"/>
            <w:noWrap/>
            <w:hideMark/>
          </w:tcPr>
          <w:p w14:paraId="58EFC227" w14:textId="77777777" w:rsidR="005F4A7E" w:rsidRPr="002029AF" w:rsidRDefault="005F4A7E" w:rsidP="00130D1C">
            <w:pPr>
              <w:pStyle w:val="ARfintablebodyright"/>
            </w:pPr>
            <w:r w:rsidRPr="004456FE">
              <w:t>174.2</w:t>
            </w:r>
          </w:p>
        </w:tc>
        <w:tc>
          <w:tcPr>
            <w:tcW w:w="1133" w:type="dxa"/>
            <w:tcBorders>
              <w:top w:val="single" w:sz="4" w:space="0" w:color="A6A6A6"/>
            </w:tcBorders>
            <w:noWrap/>
            <w:hideMark/>
          </w:tcPr>
          <w:p w14:paraId="00F837C6" w14:textId="77777777" w:rsidR="005F4A7E" w:rsidRPr="002029AF" w:rsidRDefault="005F4A7E" w:rsidP="00130D1C">
            <w:pPr>
              <w:pStyle w:val="ARfintablebodyright"/>
            </w:pPr>
            <w:r w:rsidRPr="004456FE">
              <w:t>28.9</w:t>
            </w:r>
          </w:p>
        </w:tc>
      </w:tr>
      <w:tr w:rsidR="005F4A7E" w:rsidRPr="002029AF" w14:paraId="3D967C70" w14:textId="77777777" w:rsidTr="00860E95">
        <w:tc>
          <w:tcPr>
            <w:tcW w:w="7371" w:type="dxa"/>
            <w:tcBorders>
              <w:bottom w:val="single" w:sz="4" w:space="0" w:color="auto"/>
            </w:tcBorders>
            <w:hideMark/>
          </w:tcPr>
          <w:p w14:paraId="51D98547" w14:textId="77777777" w:rsidR="005F4A7E" w:rsidRPr="002029AF" w:rsidRDefault="005F4A7E" w:rsidP="00130D1C">
            <w:pPr>
              <w:pStyle w:val="ARfintablebodybold"/>
            </w:pPr>
          </w:p>
        </w:tc>
        <w:tc>
          <w:tcPr>
            <w:tcW w:w="1133" w:type="dxa"/>
            <w:tcBorders>
              <w:bottom w:val="single" w:sz="4" w:space="0" w:color="auto"/>
            </w:tcBorders>
            <w:shd w:val="clear" w:color="auto" w:fill="E7E6E6"/>
            <w:noWrap/>
            <w:hideMark/>
          </w:tcPr>
          <w:p w14:paraId="20DAE2F1" w14:textId="77777777" w:rsidR="005F4A7E" w:rsidRPr="002029AF" w:rsidRDefault="005F4A7E" w:rsidP="00130D1C">
            <w:pPr>
              <w:pStyle w:val="ARfintablebodyrightbold"/>
            </w:pPr>
            <w:r w:rsidRPr="004456FE">
              <w:t>380.2</w:t>
            </w:r>
          </w:p>
        </w:tc>
        <w:tc>
          <w:tcPr>
            <w:tcW w:w="1133" w:type="dxa"/>
            <w:tcBorders>
              <w:bottom w:val="single" w:sz="4" w:space="0" w:color="auto"/>
            </w:tcBorders>
            <w:noWrap/>
            <w:hideMark/>
          </w:tcPr>
          <w:p w14:paraId="0840EB7B" w14:textId="77777777" w:rsidR="005F4A7E" w:rsidRPr="002029AF" w:rsidRDefault="005F4A7E" w:rsidP="00130D1C">
            <w:pPr>
              <w:pStyle w:val="ARfintablebodyrightbold"/>
            </w:pPr>
            <w:r w:rsidRPr="004456FE">
              <w:t>257.1</w:t>
            </w:r>
          </w:p>
        </w:tc>
      </w:tr>
      <w:tr w:rsidR="005F4A7E" w:rsidRPr="002029AF" w14:paraId="559E2BF4" w14:textId="77777777" w:rsidTr="00860E95">
        <w:tc>
          <w:tcPr>
            <w:tcW w:w="9637" w:type="dxa"/>
            <w:gridSpan w:val="3"/>
            <w:tcBorders>
              <w:top w:val="single" w:sz="4" w:space="0" w:color="auto"/>
              <w:bottom w:val="single" w:sz="4" w:space="0" w:color="A6A6A6"/>
            </w:tcBorders>
            <w:hideMark/>
          </w:tcPr>
          <w:p w14:paraId="5130BBB7" w14:textId="77777777" w:rsidR="005F4A7E" w:rsidRPr="002029AF" w:rsidRDefault="005F4A7E" w:rsidP="00130D1C">
            <w:pPr>
              <w:pStyle w:val="ARfintablebodybold"/>
            </w:pPr>
            <w:r w:rsidRPr="004456FE">
              <w:t>Asset sales</w:t>
            </w:r>
          </w:p>
        </w:tc>
      </w:tr>
      <w:tr w:rsidR="005F4A7E" w:rsidRPr="002029AF" w14:paraId="74A8AB84" w14:textId="77777777" w:rsidTr="00860E95">
        <w:tc>
          <w:tcPr>
            <w:tcW w:w="7371" w:type="dxa"/>
            <w:tcBorders>
              <w:top w:val="single" w:sz="4" w:space="0" w:color="A6A6A6"/>
            </w:tcBorders>
            <w:hideMark/>
          </w:tcPr>
          <w:p w14:paraId="30090CA1" w14:textId="77777777" w:rsidR="005F4A7E" w:rsidRPr="002029AF" w:rsidRDefault="005F4A7E" w:rsidP="00130D1C">
            <w:pPr>
              <w:pStyle w:val="ARfintablebody"/>
            </w:pPr>
            <w:r w:rsidRPr="004456FE">
              <w:t>Proceeds from sale of land and buildings (Capital)</w:t>
            </w:r>
          </w:p>
        </w:tc>
        <w:tc>
          <w:tcPr>
            <w:tcW w:w="1133" w:type="dxa"/>
            <w:tcBorders>
              <w:top w:val="single" w:sz="4" w:space="0" w:color="A6A6A6"/>
            </w:tcBorders>
            <w:shd w:val="clear" w:color="auto" w:fill="E7E6E6"/>
            <w:noWrap/>
            <w:hideMark/>
          </w:tcPr>
          <w:p w14:paraId="66363FEC" w14:textId="77777777" w:rsidR="005F4A7E" w:rsidRPr="002029AF" w:rsidRDefault="005F4A7E" w:rsidP="00130D1C">
            <w:pPr>
              <w:pStyle w:val="ARfintablebodyright"/>
            </w:pPr>
            <w:r w:rsidRPr="004456FE">
              <w:t>1.2</w:t>
            </w:r>
          </w:p>
        </w:tc>
        <w:tc>
          <w:tcPr>
            <w:tcW w:w="1133" w:type="dxa"/>
            <w:tcBorders>
              <w:top w:val="single" w:sz="4" w:space="0" w:color="A6A6A6"/>
            </w:tcBorders>
            <w:noWrap/>
            <w:hideMark/>
          </w:tcPr>
          <w:p w14:paraId="4A3F2CDB" w14:textId="77777777" w:rsidR="005F4A7E" w:rsidRPr="002029AF" w:rsidRDefault="005F4A7E" w:rsidP="00130D1C">
            <w:pPr>
              <w:pStyle w:val="ARfintablebodyright"/>
            </w:pPr>
            <w:r w:rsidRPr="004456FE">
              <w:t>1.6</w:t>
            </w:r>
          </w:p>
        </w:tc>
      </w:tr>
      <w:tr w:rsidR="005F4A7E" w:rsidRPr="002029AF" w14:paraId="43F3B228" w14:textId="77777777" w:rsidTr="00860E95">
        <w:tc>
          <w:tcPr>
            <w:tcW w:w="7371" w:type="dxa"/>
            <w:tcBorders>
              <w:bottom w:val="single" w:sz="4" w:space="0" w:color="auto"/>
            </w:tcBorders>
            <w:hideMark/>
          </w:tcPr>
          <w:p w14:paraId="05C8DE9E" w14:textId="77777777" w:rsidR="005F4A7E" w:rsidRPr="002029AF" w:rsidRDefault="005F4A7E" w:rsidP="00130D1C">
            <w:pPr>
              <w:pStyle w:val="ARfintablebodybold"/>
            </w:pPr>
          </w:p>
        </w:tc>
        <w:tc>
          <w:tcPr>
            <w:tcW w:w="1133" w:type="dxa"/>
            <w:tcBorders>
              <w:bottom w:val="single" w:sz="4" w:space="0" w:color="auto"/>
            </w:tcBorders>
            <w:shd w:val="clear" w:color="auto" w:fill="E7E6E6"/>
            <w:noWrap/>
            <w:hideMark/>
          </w:tcPr>
          <w:p w14:paraId="06110A06" w14:textId="77777777" w:rsidR="005F4A7E" w:rsidRPr="002029AF" w:rsidRDefault="005F4A7E" w:rsidP="00130D1C">
            <w:pPr>
              <w:pStyle w:val="ARfintablebodyrightbold"/>
            </w:pPr>
            <w:r w:rsidRPr="004456FE">
              <w:t>1.2</w:t>
            </w:r>
          </w:p>
        </w:tc>
        <w:tc>
          <w:tcPr>
            <w:tcW w:w="1133" w:type="dxa"/>
            <w:tcBorders>
              <w:bottom w:val="single" w:sz="4" w:space="0" w:color="auto"/>
            </w:tcBorders>
            <w:noWrap/>
            <w:hideMark/>
          </w:tcPr>
          <w:p w14:paraId="56BA4B9D" w14:textId="77777777" w:rsidR="005F4A7E" w:rsidRPr="002029AF" w:rsidRDefault="005F4A7E" w:rsidP="00130D1C">
            <w:pPr>
              <w:pStyle w:val="ARfintablebodyrightbold"/>
            </w:pPr>
            <w:r w:rsidRPr="004456FE">
              <w:t>1.6</w:t>
            </w:r>
          </w:p>
        </w:tc>
      </w:tr>
      <w:tr w:rsidR="005F4A7E" w:rsidRPr="002029AF" w14:paraId="50626112" w14:textId="77777777" w:rsidTr="00860E95">
        <w:tc>
          <w:tcPr>
            <w:tcW w:w="9637" w:type="dxa"/>
            <w:gridSpan w:val="3"/>
            <w:tcBorders>
              <w:top w:val="single" w:sz="4" w:space="0" w:color="auto"/>
              <w:bottom w:val="single" w:sz="4" w:space="0" w:color="A6A6A6"/>
            </w:tcBorders>
            <w:hideMark/>
          </w:tcPr>
          <w:p w14:paraId="7706867D" w14:textId="77777777" w:rsidR="005F4A7E" w:rsidRPr="002029AF" w:rsidRDefault="005F4A7E" w:rsidP="00130D1C">
            <w:pPr>
              <w:pStyle w:val="ARfintablebodybold"/>
              <w:rPr>
                <w:rFonts w:ascii="Calibri Light" w:hAnsi="Calibri Light"/>
              </w:rPr>
            </w:pPr>
            <w:r w:rsidRPr="004456FE">
              <w:t>Commonwealth specific purpose payments</w:t>
            </w:r>
          </w:p>
        </w:tc>
      </w:tr>
      <w:tr w:rsidR="005F4A7E" w:rsidRPr="002029AF" w14:paraId="5CDD1A7A" w14:textId="77777777" w:rsidTr="00860E95">
        <w:tc>
          <w:tcPr>
            <w:tcW w:w="9637" w:type="dxa"/>
            <w:gridSpan w:val="3"/>
            <w:tcBorders>
              <w:top w:val="single" w:sz="4" w:space="0" w:color="A6A6A6"/>
              <w:bottom w:val="single" w:sz="4" w:space="0" w:color="A6A6A6"/>
            </w:tcBorders>
            <w:hideMark/>
          </w:tcPr>
          <w:p w14:paraId="6932CC86" w14:textId="77777777" w:rsidR="005F4A7E" w:rsidRPr="002029AF" w:rsidRDefault="005F4A7E" w:rsidP="00130D1C">
            <w:pPr>
              <w:pStyle w:val="ARfintablebody"/>
            </w:pPr>
            <w:r w:rsidRPr="004456FE">
              <w:t>National Partnership Agreements</w:t>
            </w:r>
          </w:p>
        </w:tc>
      </w:tr>
      <w:tr w:rsidR="005F4A7E" w:rsidRPr="002029AF" w14:paraId="6EF899E0" w14:textId="77777777" w:rsidTr="00860E95">
        <w:tc>
          <w:tcPr>
            <w:tcW w:w="7371" w:type="dxa"/>
            <w:tcBorders>
              <w:top w:val="single" w:sz="4" w:space="0" w:color="A6A6A6"/>
              <w:bottom w:val="single" w:sz="4" w:space="0" w:color="A6A6A6"/>
            </w:tcBorders>
            <w:hideMark/>
          </w:tcPr>
          <w:p w14:paraId="294DA672" w14:textId="77777777" w:rsidR="005F4A7E" w:rsidRPr="002029AF" w:rsidRDefault="005F4A7E" w:rsidP="00130D1C">
            <w:pPr>
              <w:pStyle w:val="ARfintablebodyindent"/>
            </w:pPr>
            <w:r w:rsidRPr="004456FE">
              <w:t>Adult Public Dental Services (Output)</w:t>
            </w:r>
          </w:p>
        </w:tc>
        <w:tc>
          <w:tcPr>
            <w:tcW w:w="1133" w:type="dxa"/>
            <w:tcBorders>
              <w:top w:val="single" w:sz="4" w:space="0" w:color="A6A6A6"/>
              <w:bottom w:val="single" w:sz="4" w:space="0" w:color="A6A6A6"/>
            </w:tcBorders>
            <w:shd w:val="clear" w:color="auto" w:fill="E7E6E6"/>
            <w:noWrap/>
            <w:hideMark/>
          </w:tcPr>
          <w:p w14:paraId="22F71B03" w14:textId="77777777" w:rsidR="005F4A7E" w:rsidRPr="002029AF" w:rsidRDefault="005F4A7E" w:rsidP="00130D1C">
            <w:pPr>
              <w:pStyle w:val="ARfintablebodyright"/>
            </w:pPr>
            <w:r w:rsidRPr="004456FE">
              <w:t>26.9</w:t>
            </w:r>
          </w:p>
        </w:tc>
        <w:tc>
          <w:tcPr>
            <w:tcW w:w="1133" w:type="dxa"/>
            <w:tcBorders>
              <w:top w:val="single" w:sz="4" w:space="0" w:color="A6A6A6"/>
              <w:bottom w:val="single" w:sz="4" w:space="0" w:color="A6A6A6"/>
            </w:tcBorders>
            <w:noWrap/>
            <w:hideMark/>
          </w:tcPr>
          <w:p w14:paraId="7CD41362" w14:textId="77777777" w:rsidR="005F4A7E" w:rsidRPr="002029AF" w:rsidRDefault="005F4A7E" w:rsidP="00130D1C">
            <w:pPr>
              <w:pStyle w:val="ARfintablebodyright"/>
            </w:pPr>
            <w:r w:rsidRPr="004456FE">
              <w:t>26.9</w:t>
            </w:r>
          </w:p>
        </w:tc>
      </w:tr>
      <w:tr w:rsidR="005F4A7E" w:rsidRPr="002029AF" w14:paraId="4CBD36E6" w14:textId="77777777" w:rsidTr="00860E95">
        <w:tc>
          <w:tcPr>
            <w:tcW w:w="7371" w:type="dxa"/>
            <w:tcBorders>
              <w:top w:val="single" w:sz="4" w:space="0" w:color="A6A6A6"/>
              <w:bottom w:val="single" w:sz="4" w:space="0" w:color="A6A6A6"/>
            </w:tcBorders>
            <w:hideMark/>
          </w:tcPr>
          <w:p w14:paraId="52340934" w14:textId="77777777" w:rsidR="005F4A7E" w:rsidRPr="002029AF" w:rsidRDefault="005F4A7E" w:rsidP="00130D1C">
            <w:pPr>
              <w:pStyle w:val="ARfintablebodyindent"/>
            </w:pPr>
            <w:r w:rsidRPr="004456FE">
              <w:t>COVID-19 Domestic and Family Violence Response (Output)</w:t>
            </w:r>
          </w:p>
        </w:tc>
        <w:tc>
          <w:tcPr>
            <w:tcW w:w="1133" w:type="dxa"/>
            <w:tcBorders>
              <w:top w:val="single" w:sz="4" w:space="0" w:color="A6A6A6"/>
              <w:bottom w:val="single" w:sz="4" w:space="0" w:color="A6A6A6"/>
            </w:tcBorders>
            <w:shd w:val="clear" w:color="auto" w:fill="E7E6E6"/>
            <w:noWrap/>
            <w:hideMark/>
          </w:tcPr>
          <w:p w14:paraId="31520036" w14:textId="77777777" w:rsidR="005F4A7E" w:rsidRPr="002029AF" w:rsidRDefault="005F4A7E" w:rsidP="00130D1C">
            <w:pPr>
              <w:pStyle w:val="ARfintablebodyright"/>
            </w:pPr>
            <w:r w:rsidRPr="004456FE">
              <w:t>24.3</w:t>
            </w:r>
          </w:p>
        </w:tc>
        <w:tc>
          <w:tcPr>
            <w:tcW w:w="1133" w:type="dxa"/>
            <w:tcBorders>
              <w:top w:val="single" w:sz="4" w:space="0" w:color="A6A6A6"/>
              <w:bottom w:val="single" w:sz="4" w:space="0" w:color="A6A6A6"/>
            </w:tcBorders>
            <w:noWrap/>
            <w:hideMark/>
          </w:tcPr>
          <w:p w14:paraId="31DED5CF" w14:textId="77777777" w:rsidR="005F4A7E" w:rsidRPr="002029AF" w:rsidRDefault="005F4A7E" w:rsidP="00130D1C">
            <w:pPr>
              <w:pStyle w:val="ARfintablebodyright"/>
            </w:pPr>
            <w:r w:rsidRPr="004456FE">
              <w:t>7.2</w:t>
            </w:r>
          </w:p>
        </w:tc>
      </w:tr>
      <w:tr w:rsidR="005F4A7E" w:rsidRPr="002029AF" w14:paraId="3932F9D8" w14:textId="77777777" w:rsidTr="00860E95">
        <w:tc>
          <w:tcPr>
            <w:tcW w:w="7371" w:type="dxa"/>
            <w:tcBorders>
              <w:top w:val="single" w:sz="4" w:space="0" w:color="A6A6A6"/>
              <w:bottom w:val="single" w:sz="4" w:space="0" w:color="A6A6A6"/>
            </w:tcBorders>
            <w:hideMark/>
          </w:tcPr>
          <w:p w14:paraId="11EFE116" w14:textId="0B6B14EA" w:rsidR="005F4A7E" w:rsidRPr="002029AF" w:rsidRDefault="005F4A7E" w:rsidP="00130D1C">
            <w:pPr>
              <w:pStyle w:val="ARfintablebodyindent"/>
            </w:pPr>
            <w:r w:rsidRPr="004456FE">
              <w:t>Community Health and Hospitals Program – Victorian Children</w:t>
            </w:r>
            <w:r w:rsidR="007D145B">
              <w:t>’</w:t>
            </w:r>
            <w:r w:rsidRPr="004456FE">
              <w:t>s Colorectal Service (Output)</w:t>
            </w:r>
          </w:p>
        </w:tc>
        <w:tc>
          <w:tcPr>
            <w:tcW w:w="1133" w:type="dxa"/>
            <w:tcBorders>
              <w:top w:val="single" w:sz="4" w:space="0" w:color="A6A6A6"/>
              <w:bottom w:val="single" w:sz="4" w:space="0" w:color="A6A6A6"/>
            </w:tcBorders>
            <w:shd w:val="clear" w:color="auto" w:fill="E7E6E6"/>
            <w:noWrap/>
            <w:hideMark/>
          </w:tcPr>
          <w:p w14:paraId="3A9AC011" w14:textId="77777777" w:rsidR="005F4A7E" w:rsidRPr="002029AF" w:rsidRDefault="005F4A7E" w:rsidP="00130D1C">
            <w:pPr>
              <w:pStyle w:val="ARfintablebodyright"/>
            </w:pPr>
            <w:r w:rsidRPr="004456FE">
              <w:t>2.4</w:t>
            </w:r>
          </w:p>
        </w:tc>
        <w:tc>
          <w:tcPr>
            <w:tcW w:w="1133" w:type="dxa"/>
            <w:tcBorders>
              <w:top w:val="single" w:sz="4" w:space="0" w:color="A6A6A6"/>
              <w:bottom w:val="single" w:sz="4" w:space="0" w:color="A6A6A6"/>
            </w:tcBorders>
            <w:noWrap/>
            <w:hideMark/>
          </w:tcPr>
          <w:p w14:paraId="5DC7130E" w14:textId="77777777" w:rsidR="005F4A7E" w:rsidRPr="002029AF" w:rsidRDefault="005F4A7E" w:rsidP="00130D1C">
            <w:pPr>
              <w:pStyle w:val="ARfintablebodyright"/>
            </w:pPr>
            <w:r w:rsidRPr="004456FE">
              <w:t>–</w:t>
            </w:r>
          </w:p>
        </w:tc>
      </w:tr>
      <w:tr w:rsidR="005F4A7E" w:rsidRPr="002029AF" w14:paraId="3C4FD740" w14:textId="77777777" w:rsidTr="00860E95">
        <w:tc>
          <w:tcPr>
            <w:tcW w:w="7371" w:type="dxa"/>
            <w:tcBorders>
              <w:top w:val="single" w:sz="4" w:space="0" w:color="A6A6A6"/>
              <w:bottom w:val="single" w:sz="4" w:space="0" w:color="A6A6A6"/>
            </w:tcBorders>
            <w:hideMark/>
          </w:tcPr>
          <w:p w14:paraId="73A7B3AD" w14:textId="60AC5700" w:rsidR="005F4A7E" w:rsidRPr="002029AF" w:rsidRDefault="005F4A7E" w:rsidP="00130D1C">
            <w:pPr>
              <w:pStyle w:val="ARfintablebodyindent"/>
            </w:pPr>
            <w:r w:rsidRPr="004456FE">
              <w:t>Community Health and Hospitals Program – Geelong Women</w:t>
            </w:r>
            <w:r w:rsidR="007D145B">
              <w:t>’</w:t>
            </w:r>
            <w:r w:rsidRPr="004456FE">
              <w:t>s and Children</w:t>
            </w:r>
            <w:r w:rsidR="007D145B">
              <w:t>’</w:t>
            </w:r>
            <w:r w:rsidRPr="004456FE">
              <w:t>s Hospital (Capital)</w:t>
            </w:r>
          </w:p>
        </w:tc>
        <w:tc>
          <w:tcPr>
            <w:tcW w:w="1133" w:type="dxa"/>
            <w:tcBorders>
              <w:top w:val="single" w:sz="4" w:space="0" w:color="A6A6A6"/>
              <w:bottom w:val="single" w:sz="4" w:space="0" w:color="A6A6A6"/>
            </w:tcBorders>
            <w:shd w:val="clear" w:color="auto" w:fill="E7E6E6"/>
            <w:noWrap/>
            <w:hideMark/>
          </w:tcPr>
          <w:p w14:paraId="03A4D662" w14:textId="77777777" w:rsidR="005F4A7E" w:rsidRPr="002029AF" w:rsidRDefault="005F4A7E" w:rsidP="00130D1C">
            <w:pPr>
              <w:pStyle w:val="ARfintablebodyright"/>
            </w:pPr>
            <w:r w:rsidRPr="004456FE">
              <w:t>5.0</w:t>
            </w:r>
          </w:p>
        </w:tc>
        <w:tc>
          <w:tcPr>
            <w:tcW w:w="1133" w:type="dxa"/>
            <w:tcBorders>
              <w:top w:val="single" w:sz="4" w:space="0" w:color="A6A6A6"/>
              <w:bottom w:val="single" w:sz="4" w:space="0" w:color="A6A6A6"/>
            </w:tcBorders>
            <w:noWrap/>
            <w:hideMark/>
          </w:tcPr>
          <w:p w14:paraId="65C11BAE" w14:textId="77777777" w:rsidR="005F4A7E" w:rsidRPr="002029AF" w:rsidRDefault="005F4A7E" w:rsidP="00130D1C">
            <w:pPr>
              <w:pStyle w:val="ARfintablebodyright"/>
            </w:pPr>
            <w:r w:rsidRPr="004456FE">
              <w:t>–</w:t>
            </w:r>
          </w:p>
        </w:tc>
      </w:tr>
      <w:tr w:rsidR="005F4A7E" w:rsidRPr="002029AF" w14:paraId="18477356" w14:textId="77777777" w:rsidTr="00860E95">
        <w:tc>
          <w:tcPr>
            <w:tcW w:w="7371" w:type="dxa"/>
            <w:tcBorders>
              <w:top w:val="single" w:sz="4" w:space="0" w:color="A6A6A6"/>
              <w:bottom w:val="single" w:sz="4" w:space="0" w:color="A6A6A6"/>
            </w:tcBorders>
            <w:hideMark/>
          </w:tcPr>
          <w:p w14:paraId="5E018173" w14:textId="77777777" w:rsidR="005F4A7E" w:rsidRPr="002029AF" w:rsidRDefault="005F4A7E" w:rsidP="00130D1C">
            <w:pPr>
              <w:pStyle w:val="ARfintablebodyindent"/>
            </w:pPr>
            <w:r w:rsidRPr="004456FE">
              <w:t>Community Health and Hospitals Program – Wodonga Hospital (Capital)</w:t>
            </w:r>
          </w:p>
        </w:tc>
        <w:tc>
          <w:tcPr>
            <w:tcW w:w="1133" w:type="dxa"/>
            <w:tcBorders>
              <w:top w:val="single" w:sz="4" w:space="0" w:color="A6A6A6"/>
              <w:bottom w:val="single" w:sz="4" w:space="0" w:color="A6A6A6"/>
            </w:tcBorders>
            <w:shd w:val="clear" w:color="auto" w:fill="E7E6E6"/>
            <w:noWrap/>
            <w:hideMark/>
          </w:tcPr>
          <w:p w14:paraId="7ACFF263" w14:textId="77777777" w:rsidR="005F4A7E" w:rsidRPr="002029AF" w:rsidRDefault="005F4A7E" w:rsidP="00130D1C">
            <w:pPr>
              <w:pStyle w:val="ARfintablebodyright"/>
            </w:pPr>
            <w:r w:rsidRPr="004456FE">
              <w:t>2.5</w:t>
            </w:r>
          </w:p>
        </w:tc>
        <w:tc>
          <w:tcPr>
            <w:tcW w:w="1133" w:type="dxa"/>
            <w:tcBorders>
              <w:top w:val="single" w:sz="4" w:space="0" w:color="A6A6A6"/>
              <w:bottom w:val="single" w:sz="4" w:space="0" w:color="A6A6A6"/>
            </w:tcBorders>
            <w:noWrap/>
            <w:hideMark/>
          </w:tcPr>
          <w:p w14:paraId="1692C976" w14:textId="77777777" w:rsidR="005F4A7E" w:rsidRPr="002029AF" w:rsidRDefault="005F4A7E" w:rsidP="00130D1C">
            <w:pPr>
              <w:pStyle w:val="ARfintablebodyright"/>
            </w:pPr>
            <w:r w:rsidRPr="004456FE">
              <w:t>–</w:t>
            </w:r>
          </w:p>
        </w:tc>
      </w:tr>
      <w:tr w:rsidR="005F4A7E" w:rsidRPr="002029AF" w14:paraId="28BAB095" w14:textId="77777777" w:rsidTr="00860E95">
        <w:tc>
          <w:tcPr>
            <w:tcW w:w="7371" w:type="dxa"/>
            <w:tcBorders>
              <w:top w:val="single" w:sz="4" w:space="0" w:color="A6A6A6"/>
              <w:bottom w:val="single" w:sz="4" w:space="0" w:color="A6A6A6"/>
            </w:tcBorders>
            <w:hideMark/>
          </w:tcPr>
          <w:p w14:paraId="082057F4" w14:textId="77777777" w:rsidR="005F4A7E" w:rsidRPr="002029AF" w:rsidRDefault="005F4A7E" w:rsidP="00130D1C">
            <w:pPr>
              <w:pStyle w:val="ARfintablebodyindent"/>
            </w:pPr>
            <w:r w:rsidRPr="004456FE">
              <w:t>Community Health and Hospitals Program – Redevelopment of Rosebud Hospital (Capital)</w:t>
            </w:r>
          </w:p>
        </w:tc>
        <w:tc>
          <w:tcPr>
            <w:tcW w:w="1133" w:type="dxa"/>
            <w:tcBorders>
              <w:top w:val="single" w:sz="4" w:space="0" w:color="A6A6A6"/>
              <w:bottom w:val="single" w:sz="4" w:space="0" w:color="A6A6A6"/>
            </w:tcBorders>
            <w:shd w:val="clear" w:color="auto" w:fill="E7E6E6"/>
            <w:noWrap/>
            <w:hideMark/>
          </w:tcPr>
          <w:p w14:paraId="5BDAD779" w14:textId="77777777" w:rsidR="005F4A7E" w:rsidRPr="002029AF" w:rsidRDefault="005F4A7E" w:rsidP="00130D1C">
            <w:pPr>
              <w:pStyle w:val="ARfintablebodyright"/>
            </w:pPr>
            <w:r w:rsidRPr="004456FE">
              <w:t>5.0</w:t>
            </w:r>
          </w:p>
        </w:tc>
        <w:tc>
          <w:tcPr>
            <w:tcW w:w="1133" w:type="dxa"/>
            <w:tcBorders>
              <w:top w:val="single" w:sz="4" w:space="0" w:color="A6A6A6"/>
              <w:bottom w:val="single" w:sz="4" w:space="0" w:color="A6A6A6"/>
            </w:tcBorders>
            <w:noWrap/>
            <w:hideMark/>
          </w:tcPr>
          <w:p w14:paraId="758920C2" w14:textId="77777777" w:rsidR="005F4A7E" w:rsidRPr="002029AF" w:rsidRDefault="005F4A7E" w:rsidP="00130D1C">
            <w:pPr>
              <w:pStyle w:val="ARfintablebodyright"/>
            </w:pPr>
            <w:r w:rsidRPr="004456FE">
              <w:t>–</w:t>
            </w:r>
          </w:p>
        </w:tc>
      </w:tr>
      <w:tr w:rsidR="005F4A7E" w:rsidRPr="002029AF" w14:paraId="4518F2A0" w14:textId="77777777" w:rsidTr="00860E95">
        <w:tc>
          <w:tcPr>
            <w:tcW w:w="7371" w:type="dxa"/>
            <w:tcBorders>
              <w:top w:val="single" w:sz="4" w:space="0" w:color="A6A6A6"/>
              <w:bottom w:val="single" w:sz="4" w:space="0" w:color="A6A6A6"/>
            </w:tcBorders>
            <w:hideMark/>
          </w:tcPr>
          <w:p w14:paraId="1D151295" w14:textId="77777777" w:rsidR="005F4A7E" w:rsidRPr="002029AF" w:rsidRDefault="005F4A7E" w:rsidP="00130D1C">
            <w:pPr>
              <w:pStyle w:val="ARfintablebodyindent"/>
            </w:pPr>
            <w:r w:rsidRPr="004456FE">
              <w:t>Community Health and Hospitals Program – Expand Cancer Infrastructure in the West Gippsland Region (Capital)</w:t>
            </w:r>
          </w:p>
        </w:tc>
        <w:tc>
          <w:tcPr>
            <w:tcW w:w="1133" w:type="dxa"/>
            <w:tcBorders>
              <w:top w:val="single" w:sz="4" w:space="0" w:color="A6A6A6"/>
              <w:bottom w:val="single" w:sz="4" w:space="0" w:color="A6A6A6"/>
            </w:tcBorders>
            <w:shd w:val="clear" w:color="auto" w:fill="E7E6E6"/>
            <w:noWrap/>
            <w:hideMark/>
          </w:tcPr>
          <w:p w14:paraId="4C76986C" w14:textId="77777777" w:rsidR="005F4A7E" w:rsidRPr="002029AF" w:rsidRDefault="005F4A7E" w:rsidP="00130D1C">
            <w:pPr>
              <w:pStyle w:val="ARfintablebodyright"/>
            </w:pPr>
            <w:r w:rsidRPr="004456FE">
              <w:t>4.5</w:t>
            </w:r>
          </w:p>
        </w:tc>
        <w:tc>
          <w:tcPr>
            <w:tcW w:w="1133" w:type="dxa"/>
            <w:tcBorders>
              <w:top w:val="single" w:sz="4" w:space="0" w:color="A6A6A6"/>
              <w:bottom w:val="single" w:sz="4" w:space="0" w:color="A6A6A6"/>
            </w:tcBorders>
            <w:noWrap/>
            <w:hideMark/>
          </w:tcPr>
          <w:p w14:paraId="7CC24D35" w14:textId="77777777" w:rsidR="005F4A7E" w:rsidRPr="002029AF" w:rsidRDefault="005F4A7E" w:rsidP="00130D1C">
            <w:pPr>
              <w:pStyle w:val="ARfintablebodyright"/>
            </w:pPr>
            <w:r w:rsidRPr="004456FE">
              <w:t>–</w:t>
            </w:r>
          </w:p>
        </w:tc>
      </w:tr>
      <w:tr w:rsidR="005F4A7E" w:rsidRPr="002029AF" w14:paraId="639C7E70" w14:textId="77777777" w:rsidTr="00860E95">
        <w:tc>
          <w:tcPr>
            <w:tcW w:w="7371" w:type="dxa"/>
            <w:tcBorders>
              <w:top w:val="single" w:sz="4" w:space="0" w:color="A6A6A6"/>
              <w:bottom w:val="single" w:sz="4" w:space="0" w:color="A6A6A6"/>
            </w:tcBorders>
            <w:hideMark/>
          </w:tcPr>
          <w:p w14:paraId="6920AE14" w14:textId="77777777" w:rsidR="005F4A7E" w:rsidRPr="002029AF" w:rsidRDefault="005F4A7E" w:rsidP="00130D1C">
            <w:pPr>
              <w:pStyle w:val="ARfintablebodyindent"/>
            </w:pPr>
            <w:r w:rsidRPr="004456FE">
              <w:t>Encouraging More Clinical Trials in Australia (Output)</w:t>
            </w:r>
          </w:p>
        </w:tc>
        <w:tc>
          <w:tcPr>
            <w:tcW w:w="1133" w:type="dxa"/>
            <w:tcBorders>
              <w:top w:val="single" w:sz="4" w:space="0" w:color="A6A6A6"/>
              <w:bottom w:val="single" w:sz="4" w:space="0" w:color="A6A6A6"/>
            </w:tcBorders>
            <w:shd w:val="clear" w:color="auto" w:fill="E7E6E6"/>
            <w:noWrap/>
            <w:hideMark/>
          </w:tcPr>
          <w:p w14:paraId="25C319D2" w14:textId="77777777" w:rsidR="005F4A7E" w:rsidRPr="002029AF" w:rsidRDefault="005F4A7E" w:rsidP="00130D1C">
            <w:pPr>
              <w:pStyle w:val="ARfintablebodyright"/>
            </w:pPr>
            <w:r w:rsidRPr="004456FE">
              <w:t>–</w:t>
            </w:r>
          </w:p>
        </w:tc>
        <w:tc>
          <w:tcPr>
            <w:tcW w:w="1133" w:type="dxa"/>
            <w:tcBorders>
              <w:top w:val="single" w:sz="4" w:space="0" w:color="A6A6A6"/>
              <w:bottom w:val="single" w:sz="4" w:space="0" w:color="A6A6A6"/>
            </w:tcBorders>
            <w:noWrap/>
            <w:hideMark/>
          </w:tcPr>
          <w:p w14:paraId="48C25DFD" w14:textId="77777777" w:rsidR="005F4A7E" w:rsidRPr="002029AF" w:rsidRDefault="005F4A7E" w:rsidP="00130D1C">
            <w:pPr>
              <w:pStyle w:val="ARfintablebodyright"/>
            </w:pPr>
            <w:r w:rsidRPr="004456FE">
              <w:t>0.2</w:t>
            </w:r>
          </w:p>
        </w:tc>
      </w:tr>
      <w:tr w:rsidR="005F4A7E" w:rsidRPr="002029AF" w14:paraId="75C3C7F7" w14:textId="77777777" w:rsidTr="00860E95">
        <w:tc>
          <w:tcPr>
            <w:tcW w:w="7371" w:type="dxa"/>
            <w:tcBorders>
              <w:top w:val="single" w:sz="4" w:space="0" w:color="A6A6A6"/>
              <w:bottom w:val="single" w:sz="4" w:space="0" w:color="A6A6A6"/>
            </w:tcBorders>
            <w:hideMark/>
          </w:tcPr>
          <w:p w14:paraId="05AB6C21" w14:textId="77777777" w:rsidR="005F4A7E" w:rsidRPr="002029AF" w:rsidRDefault="005F4A7E" w:rsidP="00130D1C">
            <w:pPr>
              <w:pStyle w:val="ARfintablebodyindent"/>
            </w:pPr>
            <w:r w:rsidRPr="004456FE">
              <w:t>Essential Vaccines (Output)</w:t>
            </w:r>
          </w:p>
        </w:tc>
        <w:tc>
          <w:tcPr>
            <w:tcW w:w="1133" w:type="dxa"/>
            <w:tcBorders>
              <w:top w:val="single" w:sz="4" w:space="0" w:color="A6A6A6"/>
              <w:bottom w:val="single" w:sz="4" w:space="0" w:color="A6A6A6"/>
            </w:tcBorders>
            <w:shd w:val="clear" w:color="auto" w:fill="E7E6E6"/>
            <w:noWrap/>
            <w:hideMark/>
          </w:tcPr>
          <w:p w14:paraId="1C5FCE82" w14:textId="77777777" w:rsidR="005F4A7E" w:rsidRPr="002029AF" w:rsidRDefault="005F4A7E" w:rsidP="00130D1C">
            <w:pPr>
              <w:pStyle w:val="ARfintablebodyright"/>
            </w:pPr>
            <w:r w:rsidRPr="004456FE">
              <w:t>3.9</w:t>
            </w:r>
          </w:p>
        </w:tc>
        <w:tc>
          <w:tcPr>
            <w:tcW w:w="1133" w:type="dxa"/>
            <w:tcBorders>
              <w:top w:val="single" w:sz="4" w:space="0" w:color="A6A6A6"/>
              <w:bottom w:val="single" w:sz="4" w:space="0" w:color="A6A6A6"/>
            </w:tcBorders>
            <w:noWrap/>
            <w:hideMark/>
          </w:tcPr>
          <w:p w14:paraId="228224A0" w14:textId="77777777" w:rsidR="005F4A7E" w:rsidRPr="002029AF" w:rsidRDefault="005F4A7E" w:rsidP="00130D1C">
            <w:pPr>
              <w:pStyle w:val="ARfintablebodyright"/>
            </w:pPr>
            <w:r w:rsidRPr="004456FE">
              <w:t>3.5</w:t>
            </w:r>
          </w:p>
        </w:tc>
      </w:tr>
      <w:tr w:rsidR="005F4A7E" w:rsidRPr="002029AF" w14:paraId="19FB1F8E" w14:textId="77777777" w:rsidTr="00860E95">
        <w:tc>
          <w:tcPr>
            <w:tcW w:w="7371" w:type="dxa"/>
            <w:tcBorders>
              <w:top w:val="single" w:sz="4" w:space="0" w:color="A6A6A6"/>
              <w:bottom w:val="single" w:sz="4" w:space="0" w:color="A6A6A6"/>
            </w:tcBorders>
            <w:hideMark/>
          </w:tcPr>
          <w:p w14:paraId="72DB579F" w14:textId="77777777" w:rsidR="005F4A7E" w:rsidRPr="002029AF" w:rsidRDefault="005F4A7E" w:rsidP="00130D1C">
            <w:pPr>
              <w:pStyle w:val="ARfintablebodyindent"/>
            </w:pPr>
            <w:r w:rsidRPr="004456FE">
              <w:t>Expansion of the BreastScreen Australia Program (Output)</w:t>
            </w:r>
          </w:p>
        </w:tc>
        <w:tc>
          <w:tcPr>
            <w:tcW w:w="1133" w:type="dxa"/>
            <w:tcBorders>
              <w:top w:val="single" w:sz="4" w:space="0" w:color="A6A6A6"/>
              <w:bottom w:val="single" w:sz="4" w:space="0" w:color="A6A6A6"/>
            </w:tcBorders>
            <w:shd w:val="clear" w:color="auto" w:fill="E7E6E6"/>
            <w:noWrap/>
            <w:hideMark/>
          </w:tcPr>
          <w:p w14:paraId="63BD6991" w14:textId="77777777" w:rsidR="005F4A7E" w:rsidRPr="002029AF" w:rsidRDefault="005F4A7E" w:rsidP="00130D1C">
            <w:pPr>
              <w:pStyle w:val="ARfintablebodyright"/>
            </w:pPr>
            <w:r w:rsidRPr="004456FE">
              <w:t>3.9</w:t>
            </w:r>
          </w:p>
        </w:tc>
        <w:tc>
          <w:tcPr>
            <w:tcW w:w="1133" w:type="dxa"/>
            <w:tcBorders>
              <w:top w:val="single" w:sz="4" w:space="0" w:color="A6A6A6"/>
              <w:bottom w:val="single" w:sz="4" w:space="0" w:color="A6A6A6"/>
            </w:tcBorders>
            <w:noWrap/>
            <w:hideMark/>
          </w:tcPr>
          <w:p w14:paraId="7487D4C9" w14:textId="77777777" w:rsidR="005F4A7E" w:rsidRPr="002029AF" w:rsidRDefault="005F4A7E" w:rsidP="00130D1C">
            <w:pPr>
              <w:pStyle w:val="ARfintablebodyright"/>
            </w:pPr>
            <w:r w:rsidRPr="004456FE">
              <w:t>3.8</w:t>
            </w:r>
          </w:p>
        </w:tc>
      </w:tr>
      <w:tr w:rsidR="005F4A7E" w:rsidRPr="002029AF" w14:paraId="7EF766A1" w14:textId="77777777" w:rsidTr="00860E95">
        <w:tc>
          <w:tcPr>
            <w:tcW w:w="7371" w:type="dxa"/>
            <w:tcBorders>
              <w:top w:val="single" w:sz="4" w:space="0" w:color="A6A6A6"/>
              <w:bottom w:val="single" w:sz="4" w:space="0" w:color="A6A6A6"/>
            </w:tcBorders>
            <w:hideMark/>
          </w:tcPr>
          <w:p w14:paraId="51F639DD" w14:textId="77777777" w:rsidR="005F4A7E" w:rsidRPr="002029AF" w:rsidRDefault="005F4A7E" w:rsidP="00130D1C">
            <w:pPr>
              <w:pStyle w:val="ARfintablebodyindent"/>
            </w:pPr>
            <w:r w:rsidRPr="004456FE">
              <w:t>Family Law Information Sharing (Output)</w:t>
            </w:r>
          </w:p>
        </w:tc>
        <w:tc>
          <w:tcPr>
            <w:tcW w:w="1133" w:type="dxa"/>
            <w:tcBorders>
              <w:top w:val="single" w:sz="4" w:space="0" w:color="A6A6A6"/>
              <w:bottom w:val="single" w:sz="4" w:space="0" w:color="A6A6A6"/>
            </w:tcBorders>
            <w:shd w:val="clear" w:color="auto" w:fill="E7E6E6"/>
            <w:noWrap/>
            <w:hideMark/>
          </w:tcPr>
          <w:p w14:paraId="6E16C4B9" w14:textId="77777777" w:rsidR="005F4A7E" w:rsidRPr="002029AF" w:rsidRDefault="005F4A7E" w:rsidP="00130D1C">
            <w:pPr>
              <w:pStyle w:val="ARfintablebodyright"/>
            </w:pPr>
            <w:r w:rsidRPr="004456FE">
              <w:t>0.3</w:t>
            </w:r>
          </w:p>
        </w:tc>
        <w:tc>
          <w:tcPr>
            <w:tcW w:w="1133" w:type="dxa"/>
            <w:tcBorders>
              <w:top w:val="single" w:sz="4" w:space="0" w:color="A6A6A6"/>
              <w:bottom w:val="single" w:sz="4" w:space="0" w:color="A6A6A6"/>
            </w:tcBorders>
            <w:noWrap/>
            <w:hideMark/>
          </w:tcPr>
          <w:p w14:paraId="7A85ED8E" w14:textId="77777777" w:rsidR="005F4A7E" w:rsidRPr="002029AF" w:rsidRDefault="005F4A7E" w:rsidP="00130D1C">
            <w:pPr>
              <w:pStyle w:val="ARfintablebodyright"/>
            </w:pPr>
            <w:r w:rsidRPr="004456FE">
              <w:t>0.3</w:t>
            </w:r>
          </w:p>
        </w:tc>
      </w:tr>
      <w:tr w:rsidR="005F4A7E" w:rsidRPr="002029AF" w14:paraId="3512D25C" w14:textId="77777777" w:rsidTr="00860E95">
        <w:tc>
          <w:tcPr>
            <w:tcW w:w="7371" w:type="dxa"/>
            <w:tcBorders>
              <w:top w:val="single" w:sz="4" w:space="0" w:color="A6A6A6"/>
              <w:bottom w:val="single" w:sz="4" w:space="0" w:color="A6A6A6"/>
            </w:tcBorders>
          </w:tcPr>
          <w:p w14:paraId="74292D0A" w14:textId="77777777" w:rsidR="005F4A7E" w:rsidRPr="002029AF" w:rsidRDefault="005F4A7E" w:rsidP="00130D1C">
            <w:pPr>
              <w:pStyle w:val="ARfintablebodyindent"/>
            </w:pPr>
            <w:r w:rsidRPr="004456FE">
              <w:t>Health Services – National Bowel Cancer Screening Program (Output)</w:t>
            </w:r>
          </w:p>
        </w:tc>
        <w:tc>
          <w:tcPr>
            <w:tcW w:w="1133" w:type="dxa"/>
            <w:tcBorders>
              <w:top w:val="single" w:sz="4" w:space="0" w:color="A6A6A6"/>
              <w:bottom w:val="single" w:sz="4" w:space="0" w:color="A6A6A6"/>
            </w:tcBorders>
            <w:shd w:val="clear" w:color="auto" w:fill="E7E6E6"/>
            <w:noWrap/>
          </w:tcPr>
          <w:p w14:paraId="6AB1D0E4" w14:textId="77777777" w:rsidR="005F4A7E" w:rsidRPr="002029AF" w:rsidRDefault="005F4A7E" w:rsidP="00130D1C">
            <w:pPr>
              <w:pStyle w:val="ARfintablebodyright"/>
            </w:pPr>
            <w:r w:rsidRPr="004456FE">
              <w:t>2.2</w:t>
            </w:r>
          </w:p>
        </w:tc>
        <w:tc>
          <w:tcPr>
            <w:tcW w:w="1133" w:type="dxa"/>
            <w:tcBorders>
              <w:top w:val="single" w:sz="4" w:space="0" w:color="A6A6A6"/>
              <w:bottom w:val="single" w:sz="4" w:space="0" w:color="A6A6A6"/>
            </w:tcBorders>
            <w:noWrap/>
          </w:tcPr>
          <w:p w14:paraId="42A7A933" w14:textId="77777777" w:rsidR="005F4A7E" w:rsidRPr="002029AF" w:rsidRDefault="005F4A7E" w:rsidP="00130D1C">
            <w:pPr>
              <w:pStyle w:val="ARfintablebodyright"/>
            </w:pPr>
            <w:r w:rsidRPr="004456FE">
              <w:t>2.2</w:t>
            </w:r>
          </w:p>
        </w:tc>
      </w:tr>
      <w:tr w:rsidR="005F4A7E" w:rsidRPr="002029AF" w14:paraId="185BC7AE" w14:textId="77777777" w:rsidTr="00860E95">
        <w:tc>
          <w:tcPr>
            <w:tcW w:w="7371" w:type="dxa"/>
            <w:tcBorders>
              <w:top w:val="single" w:sz="4" w:space="0" w:color="A6A6A6"/>
              <w:bottom w:val="single" w:sz="4" w:space="0" w:color="A6A6A6"/>
            </w:tcBorders>
          </w:tcPr>
          <w:p w14:paraId="2E1CDC2E" w14:textId="77777777" w:rsidR="005F4A7E" w:rsidRPr="002029AF" w:rsidRDefault="005F4A7E" w:rsidP="00130D1C">
            <w:pPr>
              <w:pStyle w:val="ARfintablebodyindent"/>
            </w:pPr>
            <w:r w:rsidRPr="004456FE">
              <w:t>Health Services – OzFoodNet (Output)</w:t>
            </w:r>
          </w:p>
        </w:tc>
        <w:tc>
          <w:tcPr>
            <w:tcW w:w="1133" w:type="dxa"/>
            <w:tcBorders>
              <w:top w:val="single" w:sz="4" w:space="0" w:color="A6A6A6"/>
              <w:bottom w:val="single" w:sz="4" w:space="0" w:color="A6A6A6"/>
            </w:tcBorders>
            <w:shd w:val="clear" w:color="auto" w:fill="E7E6E6"/>
            <w:noWrap/>
          </w:tcPr>
          <w:p w14:paraId="24379280" w14:textId="77777777" w:rsidR="005F4A7E" w:rsidRPr="002029AF" w:rsidRDefault="005F4A7E" w:rsidP="00130D1C">
            <w:pPr>
              <w:pStyle w:val="ARfintablebodyright"/>
            </w:pPr>
            <w:r w:rsidRPr="004456FE">
              <w:t>0.3</w:t>
            </w:r>
          </w:p>
        </w:tc>
        <w:tc>
          <w:tcPr>
            <w:tcW w:w="1133" w:type="dxa"/>
            <w:tcBorders>
              <w:top w:val="single" w:sz="4" w:space="0" w:color="A6A6A6"/>
              <w:bottom w:val="single" w:sz="4" w:space="0" w:color="A6A6A6"/>
            </w:tcBorders>
            <w:noWrap/>
          </w:tcPr>
          <w:p w14:paraId="02FBFE6A" w14:textId="77777777" w:rsidR="005F4A7E" w:rsidRPr="002029AF" w:rsidRDefault="005F4A7E" w:rsidP="00130D1C">
            <w:pPr>
              <w:pStyle w:val="ARfintablebodyright"/>
            </w:pPr>
            <w:r w:rsidRPr="004456FE">
              <w:t>0.3</w:t>
            </w:r>
          </w:p>
        </w:tc>
      </w:tr>
      <w:tr w:rsidR="005F4A7E" w:rsidRPr="002029AF" w14:paraId="50824ADE" w14:textId="77777777" w:rsidTr="00860E95">
        <w:tc>
          <w:tcPr>
            <w:tcW w:w="7371" w:type="dxa"/>
            <w:tcBorders>
              <w:top w:val="single" w:sz="4" w:space="0" w:color="A6A6A6"/>
              <w:bottom w:val="single" w:sz="4" w:space="0" w:color="A6A6A6"/>
            </w:tcBorders>
          </w:tcPr>
          <w:p w14:paraId="14082745" w14:textId="77777777" w:rsidR="005F4A7E" w:rsidRPr="002029AF" w:rsidRDefault="005F4A7E" w:rsidP="00130D1C">
            <w:pPr>
              <w:pStyle w:val="ARfintablebodyindent"/>
            </w:pPr>
            <w:r w:rsidRPr="004456FE">
              <w:t>Health Services – Vaccine-Preventable Diseases Surveillance Program (Output)</w:t>
            </w:r>
          </w:p>
        </w:tc>
        <w:tc>
          <w:tcPr>
            <w:tcW w:w="1133" w:type="dxa"/>
            <w:tcBorders>
              <w:top w:val="single" w:sz="4" w:space="0" w:color="A6A6A6"/>
              <w:bottom w:val="single" w:sz="4" w:space="0" w:color="A6A6A6"/>
            </w:tcBorders>
            <w:shd w:val="clear" w:color="auto" w:fill="E7E6E6"/>
            <w:noWrap/>
          </w:tcPr>
          <w:p w14:paraId="17D7505F" w14:textId="77777777" w:rsidR="005F4A7E" w:rsidRPr="002029AF" w:rsidRDefault="005F4A7E" w:rsidP="00130D1C">
            <w:pPr>
              <w:pStyle w:val="ARfintablebodyright"/>
            </w:pPr>
            <w:r w:rsidRPr="004456FE">
              <w:t>0.2</w:t>
            </w:r>
          </w:p>
        </w:tc>
        <w:tc>
          <w:tcPr>
            <w:tcW w:w="1133" w:type="dxa"/>
            <w:tcBorders>
              <w:top w:val="single" w:sz="4" w:space="0" w:color="A6A6A6"/>
              <w:bottom w:val="single" w:sz="4" w:space="0" w:color="A6A6A6"/>
            </w:tcBorders>
            <w:noWrap/>
          </w:tcPr>
          <w:p w14:paraId="3A32F8DF" w14:textId="77777777" w:rsidR="005F4A7E" w:rsidRPr="002029AF" w:rsidRDefault="005F4A7E" w:rsidP="00130D1C">
            <w:pPr>
              <w:pStyle w:val="ARfintablebodyright"/>
            </w:pPr>
            <w:r w:rsidRPr="004456FE">
              <w:t>0.2</w:t>
            </w:r>
          </w:p>
        </w:tc>
      </w:tr>
      <w:tr w:rsidR="005F4A7E" w:rsidRPr="002029AF" w14:paraId="0F93EA1E" w14:textId="77777777" w:rsidTr="00860E95">
        <w:tc>
          <w:tcPr>
            <w:tcW w:w="7371" w:type="dxa"/>
            <w:tcBorders>
              <w:top w:val="single" w:sz="4" w:space="0" w:color="A6A6A6"/>
              <w:bottom w:val="single" w:sz="4" w:space="0" w:color="A6A6A6"/>
            </w:tcBorders>
            <w:hideMark/>
          </w:tcPr>
          <w:p w14:paraId="317F07E8" w14:textId="77777777" w:rsidR="005F4A7E" w:rsidRPr="002029AF" w:rsidRDefault="005F4A7E" w:rsidP="00130D1C">
            <w:pPr>
              <w:pStyle w:val="ARfintablebodyindent"/>
            </w:pPr>
            <w:r w:rsidRPr="004456FE">
              <w:t>Health Services – Victorian Cytology Service (Output)</w:t>
            </w:r>
          </w:p>
        </w:tc>
        <w:tc>
          <w:tcPr>
            <w:tcW w:w="1133" w:type="dxa"/>
            <w:tcBorders>
              <w:top w:val="single" w:sz="4" w:space="0" w:color="A6A6A6"/>
              <w:bottom w:val="single" w:sz="4" w:space="0" w:color="A6A6A6"/>
            </w:tcBorders>
            <w:shd w:val="clear" w:color="auto" w:fill="E7E6E6"/>
            <w:noWrap/>
            <w:hideMark/>
          </w:tcPr>
          <w:p w14:paraId="715F2047" w14:textId="77777777" w:rsidR="005F4A7E" w:rsidRPr="002029AF" w:rsidRDefault="005F4A7E" w:rsidP="00130D1C">
            <w:pPr>
              <w:pStyle w:val="ARfintablebodyright"/>
            </w:pPr>
            <w:r w:rsidRPr="004456FE">
              <w:t>10.6</w:t>
            </w:r>
          </w:p>
        </w:tc>
        <w:tc>
          <w:tcPr>
            <w:tcW w:w="1133" w:type="dxa"/>
            <w:tcBorders>
              <w:top w:val="single" w:sz="4" w:space="0" w:color="A6A6A6"/>
              <w:bottom w:val="single" w:sz="4" w:space="0" w:color="A6A6A6"/>
            </w:tcBorders>
            <w:noWrap/>
            <w:hideMark/>
          </w:tcPr>
          <w:p w14:paraId="69662B31" w14:textId="77777777" w:rsidR="005F4A7E" w:rsidRPr="002029AF" w:rsidRDefault="005F4A7E" w:rsidP="00130D1C">
            <w:pPr>
              <w:pStyle w:val="ARfintablebodyright"/>
            </w:pPr>
            <w:r w:rsidRPr="004456FE">
              <w:t>10.5</w:t>
            </w:r>
          </w:p>
        </w:tc>
      </w:tr>
      <w:tr w:rsidR="005F4A7E" w:rsidRPr="002029AF" w14:paraId="6511AA0C" w14:textId="77777777" w:rsidTr="00860E95">
        <w:tc>
          <w:tcPr>
            <w:tcW w:w="7371" w:type="dxa"/>
            <w:tcBorders>
              <w:top w:val="single" w:sz="4" w:space="0" w:color="A6A6A6"/>
              <w:bottom w:val="single" w:sz="4" w:space="0" w:color="A6A6A6"/>
            </w:tcBorders>
            <w:hideMark/>
          </w:tcPr>
          <w:p w14:paraId="38894948" w14:textId="77777777" w:rsidR="005F4A7E" w:rsidRPr="002029AF" w:rsidRDefault="005F4A7E" w:rsidP="00130D1C">
            <w:pPr>
              <w:pStyle w:val="ARfintablebodyindent"/>
            </w:pPr>
            <w:r w:rsidRPr="004456FE">
              <w:t>Statewide Enhancements to Regional Cancer Services (Capital)</w:t>
            </w:r>
          </w:p>
        </w:tc>
        <w:tc>
          <w:tcPr>
            <w:tcW w:w="1133" w:type="dxa"/>
            <w:tcBorders>
              <w:top w:val="single" w:sz="4" w:space="0" w:color="A6A6A6"/>
              <w:bottom w:val="single" w:sz="4" w:space="0" w:color="A6A6A6"/>
            </w:tcBorders>
            <w:shd w:val="clear" w:color="auto" w:fill="E7E6E6"/>
            <w:noWrap/>
            <w:hideMark/>
          </w:tcPr>
          <w:p w14:paraId="05CD1478" w14:textId="77777777" w:rsidR="005F4A7E" w:rsidRPr="002029AF" w:rsidRDefault="005F4A7E" w:rsidP="00130D1C">
            <w:pPr>
              <w:pStyle w:val="ARfintablebodyright"/>
            </w:pPr>
            <w:r w:rsidRPr="004456FE">
              <w:t>–</w:t>
            </w:r>
          </w:p>
        </w:tc>
        <w:tc>
          <w:tcPr>
            <w:tcW w:w="1133" w:type="dxa"/>
            <w:tcBorders>
              <w:top w:val="single" w:sz="4" w:space="0" w:color="A6A6A6"/>
              <w:bottom w:val="single" w:sz="4" w:space="0" w:color="A6A6A6"/>
            </w:tcBorders>
            <w:noWrap/>
            <w:hideMark/>
          </w:tcPr>
          <w:p w14:paraId="2796F3BF" w14:textId="77777777" w:rsidR="005F4A7E" w:rsidRPr="002029AF" w:rsidRDefault="005F4A7E" w:rsidP="00130D1C">
            <w:pPr>
              <w:pStyle w:val="ARfintablebodyright"/>
            </w:pPr>
            <w:r w:rsidRPr="004456FE">
              <w:t>0.5</w:t>
            </w:r>
          </w:p>
        </w:tc>
      </w:tr>
      <w:tr w:rsidR="005F4A7E" w:rsidRPr="002029AF" w14:paraId="32736EB3" w14:textId="77777777" w:rsidTr="00860E95">
        <w:tc>
          <w:tcPr>
            <w:tcW w:w="7371" w:type="dxa"/>
            <w:tcBorders>
              <w:top w:val="single" w:sz="4" w:space="0" w:color="A6A6A6"/>
              <w:bottom w:val="single" w:sz="4" w:space="0" w:color="A6A6A6"/>
            </w:tcBorders>
            <w:hideMark/>
          </w:tcPr>
          <w:p w14:paraId="71B56905" w14:textId="77777777" w:rsidR="005F4A7E" w:rsidRPr="002029AF" w:rsidRDefault="005F4A7E" w:rsidP="00130D1C">
            <w:pPr>
              <w:pStyle w:val="ARfintablebodyindent"/>
            </w:pPr>
            <w:r w:rsidRPr="004456FE">
              <w:t>National Housing and Homelessness Agreement (Output)</w:t>
            </w:r>
          </w:p>
        </w:tc>
        <w:tc>
          <w:tcPr>
            <w:tcW w:w="1133" w:type="dxa"/>
            <w:tcBorders>
              <w:top w:val="single" w:sz="4" w:space="0" w:color="A6A6A6"/>
              <w:bottom w:val="single" w:sz="4" w:space="0" w:color="A6A6A6"/>
            </w:tcBorders>
            <w:shd w:val="clear" w:color="auto" w:fill="E7E6E6"/>
            <w:noWrap/>
            <w:hideMark/>
          </w:tcPr>
          <w:p w14:paraId="578ADCC7" w14:textId="77777777" w:rsidR="005F4A7E" w:rsidRPr="002029AF" w:rsidRDefault="005F4A7E" w:rsidP="00130D1C">
            <w:pPr>
              <w:pStyle w:val="ARfintablebodyright"/>
            </w:pPr>
            <w:r w:rsidRPr="004456FE">
              <w:t>413.1</w:t>
            </w:r>
          </w:p>
        </w:tc>
        <w:tc>
          <w:tcPr>
            <w:tcW w:w="1133" w:type="dxa"/>
            <w:tcBorders>
              <w:top w:val="single" w:sz="4" w:space="0" w:color="A6A6A6"/>
              <w:bottom w:val="single" w:sz="4" w:space="0" w:color="A6A6A6"/>
            </w:tcBorders>
            <w:noWrap/>
            <w:hideMark/>
          </w:tcPr>
          <w:p w14:paraId="054490CB" w14:textId="77777777" w:rsidR="005F4A7E" w:rsidRPr="002029AF" w:rsidRDefault="005F4A7E" w:rsidP="00130D1C">
            <w:pPr>
              <w:pStyle w:val="ARfintablebodyright"/>
            </w:pPr>
            <w:r w:rsidRPr="004456FE">
              <w:t>405.4</w:t>
            </w:r>
          </w:p>
        </w:tc>
      </w:tr>
      <w:tr w:rsidR="005F4A7E" w:rsidRPr="002029AF" w14:paraId="6F8C27A6" w14:textId="77777777" w:rsidTr="00860E95">
        <w:tc>
          <w:tcPr>
            <w:tcW w:w="7371" w:type="dxa"/>
            <w:tcBorders>
              <w:top w:val="single" w:sz="4" w:space="0" w:color="A6A6A6"/>
              <w:bottom w:val="single" w:sz="4" w:space="0" w:color="A6A6A6"/>
            </w:tcBorders>
            <w:hideMark/>
          </w:tcPr>
          <w:p w14:paraId="116A904A" w14:textId="77777777" w:rsidR="005F4A7E" w:rsidRPr="002029AF" w:rsidRDefault="005F4A7E" w:rsidP="00130D1C">
            <w:pPr>
              <w:pStyle w:val="ARfintablebodyindent"/>
            </w:pPr>
            <w:r w:rsidRPr="004456FE">
              <w:t>Lymphoedema Compression Garment Scheme (Output)</w:t>
            </w:r>
          </w:p>
        </w:tc>
        <w:tc>
          <w:tcPr>
            <w:tcW w:w="1133" w:type="dxa"/>
            <w:tcBorders>
              <w:top w:val="single" w:sz="4" w:space="0" w:color="A6A6A6"/>
              <w:bottom w:val="single" w:sz="4" w:space="0" w:color="A6A6A6"/>
            </w:tcBorders>
            <w:shd w:val="clear" w:color="auto" w:fill="E7E6E6"/>
            <w:noWrap/>
            <w:hideMark/>
          </w:tcPr>
          <w:p w14:paraId="402E1065" w14:textId="77777777" w:rsidR="005F4A7E" w:rsidRPr="002029AF" w:rsidRDefault="005F4A7E" w:rsidP="00130D1C">
            <w:pPr>
              <w:pStyle w:val="ARfintablebodyright"/>
            </w:pPr>
            <w:r w:rsidRPr="004456FE">
              <w:t>1.0</w:t>
            </w:r>
          </w:p>
        </w:tc>
        <w:tc>
          <w:tcPr>
            <w:tcW w:w="1133" w:type="dxa"/>
            <w:tcBorders>
              <w:top w:val="single" w:sz="4" w:space="0" w:color="A6A6A6"/>
              <w:bottom w:val="single" w:sz="4" w:space="0" w:color="A6A6A6"/>
            </w:tcBorders>
            <w:noWrap/>
            <w:hideMark/>
          </w:tcPr>
          <w:p w14:paraId="4237BE4B" w14:textId="77777777" w:rsidR="005F4A7E" w:rsidRPr="002029AF" w:rsidRDefault="005F4A7E" w:rsidP="00130D1C">
            <w:pPr>
              <w:pStyle w:val="ARfintablebodyright"/>
            </w:pPr>
            <w:r w:rsidRPr="004456FE">
              <w:t>–</w:t>
            </w:r>
          </w:p>
        </w:tc>
      </w:tr>
      <w:tr w:rsidR="005F4A7E" w:rsidRPr="002029AF" w14:paraId="640BD072" w14:textId="77777777" w:rsidTr="00860E95">
        <w:tc>
          <w:tcPr>
            <w:tcW w:w="7371" w:type="dxa"/>
            <w:tcBorders>
              <w:top w:val="single" w:sz="4" w:space="0" w:color="A6A6A6"/>
              <w:bottom w:val="single" w:sz="4" w:space="0" w:color="A6A6A6"/>
            </w:tcBorders>
            <w:hideMark/>
          </w:tcPr>
          <w:p w14:paraId="6ED9F46D" w14:textId="77777777" w:rsidR="005F4A7E" w:rsidRPr="002029AF" w:rsidRDefault="005F4A7E" w:rsidP="00130D1C">
            <w:pPr>
              <w:pStyle w:val="ARfintablebodyindent"/>
            </w:pPr>
            <w:r w:rsidRPr="004456FE">
              <w:t>Specialist Dementia Care Program (Output)</w:t>
            </w:r>
          </w:p>
        </w:tc>
        <w:tc>
          <w:tcPr>
            <w:tcW w:w="1133" w:type="dxa"/>
            <w:tcBorders>
              <w:top w:val="single" w:sz="4" w:space="0" w:color="A6A6A6"/>
              <w:bottom w:val="single" w:sz="4" w:space="0" w:color="A6A6A6"/>
            </w:tcBorders>
            <w:shd w:val="clear" w:color="auto" w:fill="E7E6E6"/>
            <w:noWrap/>
            <w:hideMark/>
          </w:tcPr>
          <w:p w14:paraId="3A82F3CE" w14:textId="77777777" w:rsidR="005F4A7E" w:rsidRPr="002029AF" w:rsidRDefault="005F4A7E" w:rsidP="00130D1C">
            <w:pPr>
              <w:pStyle w:val="ARfintablebodyright"/>
            </w:pPr>
            <w:r w:rsidRPr="004456FE">
              <w:t>0.7</w:t>
            </w:r>
          </w:p>
        </w:tc>
        <w:tc>
          <w:tcPr>
            <w:tcW w:w="1133" w:type="dxa"/>
            <w:tcBorders>
              <w:top w:val="single" w:sz="4" w:space="0" w:color="A6A6A6"/>
              <w:bottom w:val="single" w:sz="4" w:space="0" w:color="A6A6A6"/>
            </w:tcBorders>
            <w:noWrap/>
            <w:hideMark/>
          </w:tcPr>
          <w:p w14:paraId="4CD00991" w14:textId="77777777" w:rsidR="005F4A7E" w:rsidRPr="002029AF" w:rsidRDefault="005F4A7E" w:rsidP="00130D1C">
            <w:pPr>
              <w:pStyle w:val="ARfintablebodyright"/>
            </w:pPr>
            <w:r w:rsidRPr="004456FE">
              <w:t>0.4</w:t>
            </w:r>
          </w:p>
        </w:tc>
      </w:tr>
      <w:tr w:rsidR="005F4A7E" w:rsidRPr="002029AF" w14:paraId="60ECBCBE" w14:textId="77777777" w:rsidTr="00860E95">
        <w:tc>
          <w:tcPr>
            <w:tcW w:w="9637" w:type="dxa"/>
            <w:gridSpan w:val="3"/>
            <w:tcBorders>
              <w:top w:val="single" w:sz="4" w:space="0" w:color="A6A6A6"/>
              <w:bottom w:val="single" w:sz="4" w:space="0" w:color="A6A6A6"/>
            </w:tcBorders>
            <w:hideMark/>
          </w:tcPr>
          <w:p w14:paraId="34489E46" w14:textId="77777777" w:rsidR="005F4A7E" w:rsidRPr="002029AF" w:rsidRDefault="005F4A7E" w:rsidP="00130D1C">
            <w:pPr>
              <w:pStyle w:val="ARfintablebody"/>
              <w:keepNext/>
            </w:pPr>
            <w:r w:rsidRPr="004456FE">
              <w:lastRenderedPageBreak/>
              <w:t>Other</w:t>
            </w:r>
          </w:p>
        </w:tc>
      </w:tr>
      <w:tr w:rsidR="005F4A7E" w:rsidRPr="002029AF" w14:paraId="16817331" w14:textId="77777777" w:rsidTr="00860E95">
        <w:tc>
          <w:tcPr>
            <w:tcW w:w="7371" w:type="dxa"/>
            <w:tcBorders>
              <w:top w:val="single" w:sz="4" w:space="0" w:color="A6A6A6"/>
              <w:bottom w:val="single" w:sz="4" w:space="0" w:color="A6A6A6"/>
            </w:tcBorders>
            <w:hideMark/>
          </w:tcPr>
          <w:p w14:paraId="7511B2A4" w14:textId="77777777" w:rsidR="005F4A7E" w:rsidRPr="002029AF" w:rsidRDefault="005F4A7E" w:rsidP="00130D1C">
            <w:pPr>
              <w:pStyle w:val="ARfintablebodyindent"/>
              <w:keepNext/>
            </w:pPr>
            <w:r w:rsidRPr="004456FE">
              <w:t>Aged Care Assessment (Output)</w:t>
            </w:r>
          </w:p>
        </w:tc>
        <w:tc>
          <w:tcPr>
            <w:tcW w:w="1133" w:type="dxa"/>
            <w:tcBorders>
              <w:top w:val="single" w:sz="4" w:space="0" w:color="A6A6A6"/>
              <w:bottom w:val="single" w:sz="4" w:space="0" w:color="A6A6A6"/>
            </w:tcBorders>
            <w:shd w:val="clear" w:color="auto" w:fill="E7E6E6"/>
            <w:noWrap/>
            <w:hideMark/>
          </w:tcPr>
          <w:p w14:paraId="42FF33D1" w14:textId="77777777" w:rsidR="005F4A7E" w:rsidRPr="002029AF" w:rsidRDefault="005F4A7E" w:rsidP="00130D1C">
            <w:pPr>
              <w:pStyle w:val="ARfintablebodyright"/>
            </w:pPr>
            <w:r w:rsidRPr="004456FE">
              <w:t>31.9</w:t>
            </w:r>
          </w:p>
        </w:tc>
        <w:tc>
          <w:tcPr>
            <w:tcW w:w="1133" w:type="dxa"/>
            <w:tcBorders>
              <w:top w:val="single" w:sz="4" w:space="0" w:color="A6A6A6"/>
              <w:bottom w:val="single" w:sz="4" w:space="0" w:color="A6A6A6"/>
            </w:tcBorders>
            <w:noWrap/>
            <w:hideMark/>
          </w:tcPr>
          <w:p w14:paraId="5373A4AD" w14:textId="77777777" w:rsidR="005F4A7E" w:rsidRPr="002029AF" w:rsidRDefault="005F4A7E" w:rsidP="00130D1C">
            <w:pPr>
              <w:pStyle w:val="ARfintablebodyright"/>
            </w:pPr>
            <w:r w:rsidRPr="004456FE">
              <w:t>31.4</w:t>
            </w:r>
          </w:p>
        </w:tc>
      </w:tr>
      <w:tr w:rsidR="005F4A7E" w:rsidRPr="002029AF" w14:paraId="30DF4220" w14:textId="77777777" w:rsidTr="00860E95">
        <w:tc>
          <w:tcPr>
            <w:tcW w:w="7371" w:type="dxa"/>
            <w:tcBorders>
              <w:top w:val="single" w:sz="4" w:space="0" w:color="A6A6A6"/>
              <w:bottom w:val="single" w:sz="4" w:space="0" w:color="A6A6A6"/>
            </w:tcBorders>
            <w:hideMark/>
          </w:tcPr>
          <w:p w14:paraId="7F2CD951" w14:textId="77777777" w:rsidR="005F4A7E" w:rsidRPr="002029AF" w:rsidRDefault="005F4A7E" w:rsidP="00130D1C">
            <w:pPr>
              <w:pStyle w:val="ARfintablebodyindent"/>
            </w:pPr>
            <w:r w:rsidRPr="004456FE">
              <w:t>National Rural Generalist Pathway (Output)</w:t>
            </w:r>
          </w:p>
        </w:tc>
        <w:tc>
          <w:tcPr>
            <w:tcW w:w="1133" w:type="dxa"/>
            <w:tcBorders>
              <w:top w:val="single" w:sz="4" w:space="0" w:color="A6A6A6"/>
              <w:bottom w:val="single" w:sz="4" w:space="0" w:color="A6A6A6"/>
            </w:tcBorders>
            <w:shd w:val="clear" w:color="auto" w:fill="E7E6E6"/>
            <w:noWrap/>
            <w:hideMark/>
          </w:tcPr>
          <w:p w14:paraId="7699F34E" w14:textId="77777777" w:rsidR="005F4A7E" w:rsidRPr="002029AF" w:rsidRDefault="005F4A7E" w:rsidP="00130D1C">
            <w:pPr>
              <w:pStyle w:val="ARfintablebodyright"/>
            </w:pPr>
            <w:r w:rsidRPr="004456FE">
              <w:t>0.7</w:t>
            </w:r>
          </w:p>
        </w:tc>
        <w:tc>
          <w:tcPr>
            <w:tcW w:w="1133" w:type="dxa"/>
            <w:tcBorders>
              <w:top w:val="single" w:sz="4" w:space="0" w:color="A6A6A6"/>
              <w:bottom w:val="single" w:sz="4" w:space="0" w:color="A6A6A6"/>
            </w:tcBorders>
            <w:noWrap/>
            <w:hideMark/>
          </w:tcPr>
          <w:p w14:paraId="0B17F359" w14:textId="77777777" w:rsidR="005F4A7E" w:rsidRPr="002029AF" w:rsidRDefault="005F4A7E" w:rsidP="00130D1C">
            <w:pPr>
              <w:pStyle w:val="ARfintablebodyright"/>
            </w:pPr>
            <w:r w:rsidRPr="004456FE">
              <w:t>–</w:t>
            </w:r>
          </w:p>
        </w:tc>
      </w:tr>
      <w:tr w:rsidR="005F4A7E" w:rsidRPr="002029AF" w14:paraId="36668C51" w14:textId="77777777" w:rsidTr="00860E95">
        <w:tc>
          <w:tcPr>
            <w:tcW w:w="7371" w:type="dxa"/>
            <w:tcBorders>
              <w:top w:val="single" w:sz="4" w:space="0" w:color="A6A6A6"/>
              <w:bottom w:val="single" w:sz="4" w:space="0" w:color="A6A6A6"/>
            </w:tcBorders>
            <w:hideMark/>
          </w:tcPr>
          <w:p w14:paraId="7FF88037" w14:textId="77777777" w:rsidR="005F4A7E" w:rsidRPr="002029AF" w:rsidRDefault="005F4A7E" w:rsidP="00130D1C">
            <w:pPr>
              <w:pStyle w:val="ARfintablebodyindent"/>
            </w:pPr>
            <w:r w:rsidRPr="004456FE">
              <w:t>Regional Assessment Services (Output)</w:t>
            </w:r>
          </w:p>
        </w:tc>
        <w:tc>
          <w:tcPr>
            <w:tcW w:w="1133" w:type="dxa"/>
            <w:tcBorders>
              <w:top w:val="single" w:sz="4" w:space="0" w:color="A6A6A6"/>
              <w:bottom w:val="single" w:sz="4" w:space="0" w:color="A6A6A6"/>
            </w:tcBorders>
            <w:shd w:val="clear" w:color="auto" w:fill="E7E6E6"/>
            <w:noWrap/>
            <w:hideMark/>
          </w:tcPr>
          <w:p w14:paraId="7B5BBFD4" w14:textId="77777777" w:rsidR="005F4A7E" w:rsidRPr="002029AF" w:rsidRDefault="005F4A7E" w:rsidP="00130D1C">
            <w:pPr>
              <w:pStyle w:val="ARfintablebodyright"/>
            </w:pPr>
            <w:r w:rsidRPr="004456FE">
              <w:t>34.8</w:t>
            </w:r>
          </w:p>
        </w:tc>
        <w:tc>
          <w:tcPr>
            <w:tcW w:w="1133" w:type="dxa"/>
            <w:tcBorders>
              <w:top w:val="single" w:sz="4" w:space="0" w:color="A6A6A6"/>
              <w:bottom w:val="single" w:sz="4" w:space="0" w:color="A6A6A6"/>
            </w:tcBorders>
            <w:noWrap/>
            <w:hideMark/>
          </w:tcPr>
          <w:p w14:paraId="09DB1FFB" w14:textId="77777777" w:rsidR="005F4A7E" w:rsidRPr="002029AF" w:rsidRDefault="005F4A7E" w:rsidP="00130D1C">
            <w:pPr>
              <w:pStyle w:val="ARfintablebodyright"/>
            </w:pPr>
            <w:r w:rsidRPr="004456FE">
              <w:t>34.3</w:t>
            </w:r>
          </w:p>
        </w:tc>
      </w:tr>
      <w:tr w:rsidR="005F4A7E" w:rsidRPr="002029AF" w14:paraId="67896882" w14:textId="77777777" w:rsidTr="00860E95">
        <w:tc>
          <w:tcPr>
            <w:tcW w:w="7371" w:type="dxa"/>
            <w:tcBorders>
              <w:top w:val="single" w:sz="4" w:space="0" w:color="A6A6A6"/>
              <w:bottom w:val="single" w:sz="4" w:space="0" w:color="A6A6A6"/>
            </w:tcBorders>
            <w:hideMark/>
          </w:tcPr>
          <w:p w14:paraId="1721D8BE" w14:textId="77777777" w:rsidR="005F4A7E" w:rsidRPr="002029AF" w:rsidRDefault="005F4A7E" w:rsidP="00130D1C">
            <w:pPr>
              <w:pStyle w:val="ARfintablebodyindent"/>
            </w:pPr>
            <w:r w:rsidRPr="004456FE">
              <w:t>Human Quarantine Services (Output)</w:t>
            </w:r>
          </w:p>
        </w:tc>
        <w:tc>
          <w:tcPr>
            <w:tcW w:w="1133" w:type="dxa"/>
            <w:tcBorders>
              <w:top w:val="single" w:sz="4" w:space="0" w:color="A6A6A6"/>
              <w:bottom w:val="single" w:sz="4" w:space="0" w:color="A6A6A6"/>
            </w:tcBorders>
            <w:shd w:val="clear" w:color="auto" w:fill="E7E6E6"/>
            <w:noWrap/>
            <w:hideMark/>
          </w:tcPr>
          <w:p w14:paraId="0884B849" w14:textId="77777777" w:rsidR="005F4A7E" w:rsidRPr="002029AF" w:rsidRDefault="005F4A7E" w:rsidP="00130D1C">
            <w:pPr>
              <w:pStyle w:val="ARfintablebodyright"/>
            </w:pPr>
            <w:r w:rsidRPr="004456FE">
              <w:t>0.1</w:t>
            </w:r>
          </w:p>
        </w:tc>
        <w:tc>
          <w:tcPr>
            <w:tcW w:w="1133" w:type="dxa"/>
            <w:tcBorders>
              <w:top w:val="single" w:sz="4" w:space="0" w:color="A6A6A6"/>
              <w:bottom w:val="single" w:sz="4" w:space="0" w:color="A6A6A6"/>
            </w:tcBorders>
            <w:noWrap/>
            <w:hideMark/>
          </w:tcPr>
          <w:p w14:paraId="669E7207" w14:textId="77777777" w:rsidR="005F4A7E" w:rsidRPr="002029AF" w:rsidRDefault="005F4A7E" w:rsidP="00130D1C">
            <w:pPr>
              <w:pStyle w:val="ARfintablebodyright"/>
            </w:pPr>
            <w:r w:rsidRPr="004456FE">
              <w:t>0.1</w:t>
            </w:r>
          </w:p>
        </w:tc>
      </w:tr>
      <w:tr w:rsidR="005F4A7E" w:rsidRPr="002029AF" w14:paraId="2A554186" w14:textId="77777777" w:rsidTr="00860E95">
        <w:tc>
          <w:tcPr>
            <w:tcW w:w="7371" w:type="dxa"/>
            <w:tcBorders>
              <w:top w:val="single" w:sz="4" w:space="0" w:color="A6A6A6"/>
              <w:bottom w:val="single" w:sz="4" w:space="0" w:color="A6A6A6"/>
            </w:tcBorders>
            <w:hideMark/>
          </w:tcPr>
          <w:p w14:paraId="1D7B27A2" w14:textId="77777777" w:rsidR="005F4A7E" w:rsidRPr="002029AF" w:rsidRDefault="005F4A7E" w:rsidP="00130D1C">
            <w:pPr>
              <w:pStyle w:val="ARfintablebodyindent"/>
            </w:pPr>
            <w:r w:rsidRPr="004456FE">
              <w:t>Mental Health Professional Online Development</w:t>
            </w:r>
          </w:p>
        </w:tc>
        <w:tc>
          <w:tcPr>
            <w:tcW w:w="1133" w:type="dxa"/>
            <w:tcBorders>
              <w:top w:val="single" w:sz="4" w:space="0" w:color="A6A6A6"/>
              <w:bottom w:val="single" w:sz="4" w:space="0" w:color="A6A6A6"/>
            </w:tcBorders>
            <w:shd w:val="clear" w:color="auto" w:fill="E7E6E6"/>
            <w:noWrap/>
            <w:hideMark/>
          </w:tcPr>
          <w:p w14:paraId="18AC349E" w14:textId="77777777" w:rsidR="005F4A7E" w:rsidRPr="002029AF" w:rsidRDefault="005F4A7E" w:rsidP="00130D1C">
            <w:pPr>
              <w:pStyle w:val="ARfintablebodyright"/>
            </w:pPr>
            <w:r w:rsidRPr="004456FE">
              <w:t>0.2</w:t>
            </w:r>
          </w:p>
        </w:tc>
        <w:tc>
          <w:tcPr>
            <w:tcW w:w="1133" w:type="dxa"/>
            <w:tcBorders>
              <w:top w:val="single" w:sz="4" w:space="0" w:color="A6A6A6"/>
              <w:bottom w:val="single" w:sz="4" w:space="0" w:color="A6A6A6"/>
            </w:tcBorders>
            <w:noWrap/>
            <w:hideMark/>
          </w:tcPr>
          <w:p w14:paraId="216B3ECF" w14:textId="77777777" w:rsidR="005F4A7E" w:rsidRPr="002029AF" w:rsidRDefault="005F4A7E" w:rsidP="00130D1C">
            <w:pPr>
              <w:pStyle w:val="ARfintablebodyright"/>
            </w:pPr>
            <w:r w:rsidRPr="004456FE">
              <w:t>0.2</w:t>
            </w:r>
          </w:p>
        </w:tc>
      </w:tr>
      <w:tr w:rsidR="005F4A7E" w:rsidRPr="002029AF" w14:paraId="5C240CF5" w14:textId="77777777" w:rsidTr="00860E95">
        <w:tc>
          <w:tcPr>
            <w:tcW w:w="7371" w:type="dxa"/>
            <w:tcBorders>
              <w:top w:val="single" w:sz="4" w:space="0" w:color="A6A6A6"/>
              <w:bottom w:val="single" w:sz="4" w:space="0" w:color="A6A6A6"/>
            </w:tcBorders>
            <w:hideMark/>
          </w:tcPr>
          <w:p w14:paraId="23BF7F9B" w14:textId="77777777" w:rsidR="005F4A7E" w:rsidRPr="002029AF" w:rsidRDefault="005F4A7E" w:rsidP="00130D1C">
            <w:pPr>
              <w:pStyle w:val="ARfintablebodyindent"/>
            </w:pPr>
            <w:r w:rsidRPr="004456FE">
              <w:t>National Reform Agenda for Organ and Tissue Donation (Output)</w:t>
            </w:r>
          </w:p>
        </w:tc>
        <w:tc>
          <w:tcPr>
            <w:tcW w:w="1133" w:type="dxa"/>
            <w:tcBorders>
              <w:top w:val="single" w:sz="4" w:space="0" w:color="A6A6A6"/>
              <w:bottom w:val="single" w:sz="4" w:space="0" w:color="A6A6A6"/>
            </w:tcBorders>
            <w:shd w:val="clear" w:color="auto" w:fill="E7E6E6"/>
            <w:noWrap/>
            <w:hideMark/>
          </w:tcPr>
          <w:p w14:paraId="048F338E" w14:textId="77777777" w:rsidR="005F4A7E" w:rsidRPr="002029AF" w:rsidRDefault="005F4A7E" w:rsidP="00130D1C">
            <w:pPr>
              <w:pStyle w:val="ARfintablebodyright"/>
            </w:pPr>
            <w:r w:rsidRPr="004456FE">
              <w:t>7.8</w:t>
            </w:r>
          </w:p>
        </w:tc>
        <w:tc>
          <w:tcPr>
            <w:tcW w:w="1133" w:type="dxa"/>
            <w:tcBorders>
              <w:top w:val="single" w:sz="4" w:space="0" w:color="A6A6A6"/>
              <w:bottom w:val="single" w:sz="4" w:space="0" w:color="A6A6A6"/>
            </w:tcBorders>
            <w:noWrap/>
            <w:hideMark/>
          </w:tcPr>
          <w:p w14:paraId="04B984B0" w14:textId="77777777" w:rsidR="005F4A7E" w:rsidRPr="002029AF" w:rsidRDefault="005F4A7E" w:rsidP="00130D1C">
            <w:pPr>
              <w:pStyle w:val="ARfintablebodyright"/>
            </w:pPr>
            <w:r w:rsidRPr="004456FE">
              <w:t>9.9</w:t>
            </w:r>
          </w:p>
        </w:tc>
      </w:tr>
      <w:tr w:rsidR="005F4A7E" w:rsidRPr="002029AF" w14:paraId="557B236A" w14:textId="77777777" w:rsidTr="00860E95">
        <w:tc>
          <w:tcPr>
            <w:tcW w:w="7371" w:type="dxa"/>
            <w:tcBorders>
              <w:top w:val="single" w:sz="4" w:space="0" w:color="A6A6A6"/>
              <w:bottom w:val="single" w:sz="4" w:space="0" w:color="A6A6A6"/>
            </w:tcBorders>
            <w:hideMark/>
          </w:tcPr>
          <w:p w14:paraId="6E11F59B" w14:textId="77777777" w:rsidR="005F4A7E" w:rsidRPr="002029AF" w:rsidRDefault="005F4A7E" w:rsidP="00130D1C">
            <w:pPr>
              <w:pStyle w:val="ARfintablebodyindent"/>
            </w:pPr>
            <w:r w:rsidRPr="004456FE">
              <w:t>Continuity of Support Services for Clients Over 65 (Output)</w:t>
            </w:r>
          </w:p>
        </w:tc>
        <w:tc>
          <w:tcPr>
            <w:tcW w:w="1133" w:type="dxa"/>
            <w:tcBorders>
              <w:top w:val="single" w:sz="4" w:space="0" w:color="A6A6A6"/>
              <w:bottom w:val="single" w:sz="4" w:space="0" w:color="A6A6A6"/>
            </w:tcBorders>
            <w:shd w:val="clear" w:color="auto" w:fill="E7E6E6"/>
            <w:noWrap/>
            <w:hideMark/>
          </w:tcPr>
          <w:p w14:paraId="42083D02" w14:textId="77777777" w:rsidR="005F4A7E" w:rsidRPr="002029AF" w:rsidRDefault="005F4A7E" w:rsidP="00130D1C">
            <w:pPr>
              <w:pStyle w:val="ARfintablebodyright"/>
            </w:pPr>
            <w:r w:rsidRPr="004456FE">
              <w:t>33.3</w:t>
            </w:r>
          </w:p>
        </w:tc>
        <w:tc>
          <w:tcPr>
            <w:tcW w:w="1133" w:type="dxa"/>
            <w:tcBorders>
              <w:top w:val="single" w:sz="4" w:space="0" w:color="A6A6A6"/>
              <w:bottom w:val="single" w:sz="4" w:space="0" w:color="A6A6A6"/>
            </w:tcBorders>
            <w:noWrap/>
            <w:hideMark/>
          </w:tcPr>
          <w:p w14:paraId="51195FC0" w14:textId="77777777" w:rsidR="005F4A7E" w:rsidRPr="002029AF" w:rsidRDefault="005F4A7E" w:rsidP="00130D1C">
            <w:pPr>
              <w:pStyle w:val="ARfintablebodyright"/>
            </w:pPr>
            <w:r w:rsidRPr="004456FE">
              <w:t>53.1</w:t>
            </w:r>
          </w:p>
        </w:tc>
      </w:tr>
      <w:tr w:rsidR="005F4A7E" w:rsidRPr="002029AF" w14:paraId="040F8E0A" w14:textId="77777777" w:rsidTr="00860E95">
        <w:tc>
          <w:tcPr>
            <w:tcW w:w="7371" w:type="dxa"/>
            <w:tcBorders>
              <w:top w:val="single" w:sz="4" w:space="0" w:color="A6A6A6"/>
              <w:bottom w:val="single" w:sz="4" w:space="0" w:color="A6A6A6"/>
            </w:tcBorders>
            <w:hideMark/>
          </w:tcPr>
          <w:p w14:paraId="700A6B1A" w14:textId="77777777" w:rsidR="005F4A7E" w:rsidRPr="002029AF" w:rsidRDefault="005F4A7E" w:rsidP="00130D1C">
            <w:pPr>
              <w:pStyle w:val="ARfintablebodyindent"/>
            </w:pPr>
            <w:r w:rsidRPr="004456FE">
              <w:t>Unattached Refugee Children (Output)</w:t>
            </w:r>
          </w:p>
        </w:tc>
        <w:tc>
          <w:tcPr>
            <w:tcW w:w="1133" w:type="dxa"/>
            <w:tcBorders>
              <w:top w:val="single" w:sz="4" w:space="0" w:color="A6A6A6"/>
              <w:bottom w:val="single" w:sz="4" w:space="0" w:color="A6A6A6"/>
            </w:tcBorders>
            <w:shd w:val="clear" w:color="auto" w:fill="E7E6E6"/>
            <w:noWrap/>
            <w:hideMark/>
          </w:tcPr>
          <w:p w14:paraId="5ABBBD3A" w14:textId="77777777" w:rsidR="005F4A7E" w:rsidRPr="002029AF" w:rsidRDefault="005F4A7E" w:rsidP="00130D1C">
            <w:pPr>
              <w:pStyle w:val="ARfintablebodyright"/>
            </w:pPr>
            <w:r w:rsidRPr="004456FE">
              <w:t>0.8</w:t>
            </w:r>
          </w:p>
        </w:tc>
        <w:tc>
          <w:tcPr>
            <w:tcW w:w="1133" w:type="dxa"/>
            <w:tcBorders>
              <w:top w:val="single" w:sz="4" w:space="0" w:color="A6A6A6"/>
              <w:bottom w:val="single" w:sz="4" w:space="0" w:color="A6A6A6"/>
            </w:tcBorders>
            <w:noWrap/>
            <w:hideMark/>
          </w:tcPr>
          <w:p w14:paraId="6F5752C7" w14:textId="77777777" w:rsidR="005F4A7E" w:rsidRPr="002029AF" w:rsidRDefault="005F4A7E" w:rsidP="00130D1C">
            <w:pPr>
              <w:pStyle w:val="ARfintablebodyright"/>
            </w:pPr>
            <w:r w:rsidRPr="004456FE">
              <w:t>1.0</w:t>
            </w:r>
          </w:p>
        </w:tc>
      </w:tr>
      <w:tr w:rsidR="005F4A7E" w:rsidRPr="002029AF" w14:paraId="77C06D91" w14:textId="77777777" w:rsidTr="00860E95">
        <w:tc>
          <w:tcPr>
            <w:tcW w:w="7371" w:type="dxa"/>
            <w:tcBorders>
              <w:top w:val="single" w:sz="4" w:space="0" w:color="A6A6A6"/>
              <w:bottom w:val="single" w:sz="4" w:space="0" w:color="A6A6A6"/>
            </w:tcBorders>
            <w:hideMark/>
          </w:tcPr>
          <w:p w14:paraId="63C8BEEB" w14:textId="65315B69" w:rsidR="005F4A7E" w:rsidRPr="002029AF" w:rsidRDefault="005F4A7E" w:rsidP="00130D1C">
            <w:pPr>
              <w:pStyle w:val="ARfintablebodyindent"/>
            </w:pPr>
            <w:r w:rsidRPr="004456FE">
              <w:t>Women</w:t>
            </w:r>
            <w:r w:rsidR="007D145B">
              <w:t>’</w:t>
            </w:r>
            <w:r w:rsidRPr="004456FE">
              <w:t>s Safety Measures – Keeping Women Safe in Their Homes (Output)</w:t>
            </w:r>
          </w:p>
        </w:tc>
        <w:tc>
          <w:tcPr>
            <w:tcW w:w="1133" w:type="dxa"/>
            <w:tcBorders>
              <w:top w:val="single" w:sz="4" w:space="0" w:color="A6A6A6"/>
              <w:bottom w:val="single" w:sz="4" w:space="0" w:color="A6A6A6"/>
            </w:tcBorders>
            <w:shd w:val="clear" w:color="auto" w:fill="E7E6E6"/>
            <w:noWrap/>
            <w:hideMark/>
          </w:tcPr>
          <w:p w14:paraId="27511A6F" w14:textId="77777777" w:rsidR="005F4A7E" w:rsidRPr="002029AF" w:rsidRDefault="005F4A7E" w:rsidP="00130D1C">
            <w:pPr>
              <w:pStyle w:val="ARfintablebodyright"/>
            </w:pPr>
            <w:r w:rsidRPr="004456FE">
              <w:t>0.9</w:t>
            </w:r>
          </w:p>
        </w:tc>
        <w:tc>
          <w:tcPr>
            <w:tcW w:w="1133" w:type="dxa"/>
            <w:tcBorders>
              <w:top w:val="single" w:sz="4" w:space="0" w:color="A6A6A6"/>
              <w:bottom w:val="single" w:sz="4" w:space="0" w:color="A6A6A6"/>
            </w:tcBorders>
            <w:noWrap/>
            <w:hideMark/>
          </w:tcPr>
          <w:p w14:paraId="6D6FDEBA" w14:textId="77777777" w:rsidR="005F4A7E" w:rsidRPr="002029AF" w:rsidRDefault="005F4A7E" w:rsidP="00130D1C">
            <w:pPr>
              <w:pStyle w:val="ARfintablebodyright"/>
            </w:pPr>
            <w:r w:rsidRPr="004456FE">
              <w:t>1.0</w:t>
            </w:r>
          </w:p>
        </w:tc>
      </w:tr>
      <w:tr w:rsidR="005F4A7E" w:rsidRPr="002029AF" w14:paraId="176ADD0E" w14:textId="77777777" w:rsidTr="00860E95">
        <w:tc>
          <w:tcPr>
            <w:tcW w:w="7371" w:type="dxa"/>
            <w:tcBorders>
              <w:top w:val="single" w:sz="4" w:space="0" w:color="A6A6A6"/>
            </w:tcBorders>
            <w:hideMark/>
          </w:tcPr>
          <w:p w14:paraId="2C385860" w14:textId="7FDAF897" w:rsidR="005F4A7E" w:rsidRPr="002029AF" w:rsidRDefault="005F4A7E" w:rsidP="00130D1C">
            <w:pPr>
              <w:pStyle w:val="ARfintablebodyindent"/>
            </w:pPr>
            <w:r w:rsidRPr="004456FE">
              <w:t>Women</w:t>
            </w:r>
            <w:r w:rsidR="007D145B">
              <w:t>’</w:t>
            </w:r>
            <w:r w:rsidRPr="004456FE">
              <w:t>s Safety Measures – Local Support Coordinator (Output)</w:t>
            </w:r>
          </w:p>
        </w:tc>
        <w:tc>
          <w:tcPr>
            <w:tcW w:w="1133" w:type="dxa"/>
            <w:tcBorders>
              <w:top w:val="single" w:sz="4" w:space="0" w:color="A6A6A6"/>
            </w:tcBorders>
            <w:shd w:val="clear" w:color="auto" w:fill="E7E6E6"/>
            <w:noWrap/>
            <w:hideMark/>
          </w:tcPr>
          <w:p w14:paraId="08A328BB" w14:textId="77777777" w:rsidR="005F4A7E" w:rsidRPr="002029AF" w:rsidRDefault="005F4A7E" w:rsidP="00130D1C">
            <w:pPr>
              <w:pStyle w:val="ARfintablebodyright"/>
            </w:pPr>
            <w:r w:rsidRPr="004456FE">
              <w:t>0.2</w:t>
            </w:r>
          </w:p>
        </w:tc>
        <w:tc>
          <w:tcPr>
            <w:tcW w:w="1133" w:type="dxa"/>
            <w:tcBorders>
              <w:top w:val="single" w:sz="4" w:space="0" w:color="A6A6A6"/>
            </w:tcBorders>
            <w:noWrap/>
            <w:hideMark/>
          </w:tcPr>
          <w:p w14:paraId="765E36D7" w14:textId="77777777" w:rsidR="005F4A7E" w:rsidRPr="002029AF" w:rsidRDefault="005F4A7E" w:rsidP="00130D1C">
            <w:pPr>
              <w:pStyle w:val="ARfintablebodyright"/>
            </w:pPr>
            <w:r w:rsidRPr="004456FE">
              <w:t>0.1</w:t>
            </w:r>
          </w:p>
        </w:tc>
      </w:tr>
      <w:tr w:rsidR="005F4A7E" w:rsidRPr="002029AF" w14:paraId="6BFF159B" w14:textId="77777777" w:rsidTr="00860E95">
        <w:tc>
          <w:tcPr>
            <w:tcW w:w="7371" w:type="dxa"/>
            <w:hideMark/>
          </w:tcPr>
          <w:p w14:paraId="79AF1ACE" w14:textId="77777777" w:rsidR="005F4A7E" w:rsidRPr="002029AF" w:rsidRDefault="005F4A7E" w:rsidP="00130D1C">
            <w:pPr>
              <w:pStyle w:val="ARfintablebodybold"/>
            </w:pPr>
          </w:p>
        </w:tc>
        <w:tc>
          <w:tcPr>
            <w:tcW w:w="1133" w:type="dxa"/>
            <w:shd w:val="clear" w:color="auto" w:fill="E7E6E6"/>
            <w:noWrap/>
            <w:hideMark/>
          </w:tcPr>
          <w:p w14:paraId="4DA43DEE" w14:textId="77777777" w:rsidR="005F4A7E" w:rsidRPr="002029AF" w:rsidRDefault="005F4A7E" w:rsidP="00130D1C">
            <w:pPr>
              <w:pStyle w:val="ARfintablebodyrightbold"/>
            </w:pPr>
            <w:r w:rsidRPr="004456FE">
              <w:t>617.7</w:t>
            </w:r>
          </w:p>
        </w:tc>
        <w:tc>
          <w:tcPr>
            <w:tcW w:w="1133" w:type="dxa"/>
            <w:noWrap/>
            <w:hideMark/>
          </w:tcPr>
          <w:p w14:paraId="30E8BF49" w14:textId="77777777" w:rsidR="005F4A7E" w:rsidRPr="002029AF" w:rsidRDefault="005F4A7E" w:rsidP="00130D1C">
            <w:pPr>
              <w:pStyle w:val="ARfintablebodyrightbold"/>
            </w:pPr>
            <w:r w:rsidRPr="004456FE">
              <w:t>592.3</w:t>
            </w:r>
          </w:p>
        </w:tc>
      </w:tr>
      <w:tr w:rsidR="005F4A7E" w:rsidRPr="002029AF" w14:paraId="298414BA" w14:textId="77777777" w:rsidTr="00860E95">
        <w:tc>
          <w:tcPr>
            <w:tcW w:w="7371" w:type="dxa"/>
            <w:hideMark/>
          </w:tcPr>
          <w:p w14:paraId="33ECBD17" w14:textId="77777777" w:rsidR="005F4A7E" w:rsidRPr="002029AF" w:rsidRDefault="005F4A7E" w:rsidP="00130D1C">
            <w:pPr>
              <w:pStyle w:val="ARfintablebodybold"/>
            </w:pPr>
            <w:r w:rsidRPr="004456FE">
              <w:t>Total annotated income agreements</w:t>
            </w:r>
          </w:p>
        </w:tc>
        <w:tc>
          <w:tcPr>
            <w:tcW w:w="1133" w:type="dxa"/>
            <w:shd w:val="clear" w:color="auto" w:fill="E7E6E6"/>
            <w:noWrap/>
            <w:hideMark/>
          </w:tcPr>
          <w:p w14:paraId="1C1EF6D8" w14:textId="77777777" w:rsidR="005F4A7E" w:rsidRPr="002029AF" w:rsidRDefault="005F4A7E" w:rsidP="00130D1C">
            <w:pPr>
              <w:pStyle w:val="ARfintablebodyrightbold"/>
            </w:pPr>
            <w:r w:rsidRPr="004456FE">
              <w:t>999.1</w:t>
            </w:r>
          </w:p>
        </w:tc>
        <w:tc>
          <w:tcPr>
            <w:tcW w:w="1133" w:type="dxa"/>
            <w:noWrap/>
            <w:hideMark/>
          </w:tcPr>
          <w:p w14:paraId="6AF08DFD" w14:textId="77777777" w:rsidR="005F4A7E" w:rsidRPr="002029AF" w:rsidRDefault="005F4A7E" w:rsidP="00130D1C">
            <w:pPr>
              <w:pStyle w:val="ARfintablebodyrightbold"/>
            </w:pPr>
            <w:r w:rsidRPr="004456FE">
              <w:t>851.0</w:t>
            </w:r>
          </w:p>
        </w:tc>
      </w:tr>
    </w:tbl>
    <w:p w14:paraId="4B1BFA1D" w14:textId="77777777" w:rsidR="005F4A7E" w:rsidRPr="00817CD3" w:rsidRDefault="005F4A7E" w:rsidP="00130D1C">
      <w:pPr>
        <w:pStyle w:val="ARfinbody"/>
      </w:pPr>
      <w:bookmarkStart w:id="787" w:name="_Toc39136698"/>
      <w:bookmarkStart w:id="788" w:name="_Toc39242137"/>
      <w:bookmarkStart w:id="789" w:name="_Toc51235514"/>
      <w:bookmarkStart w:id="790" w:name="_Ref52284174"/>
      <w:bookmarkStart w:id="791" w:name="_Ref52455262"/>
      <w:bookmarkStart w:id="792" w:name="_Toc443469540"/>
      <w:bookmarkStart w:id="793" w:name="_Toc444065794"/>
      <w:bookmarkStart w:id="794" w:name="_Toc444079991"/>
      <w:r w:rsidRPr="00817CD3">
        <w:br w:type="page"/>
      </w:r>
    </w:p>
    <w:p w14:paraId="0B56FC83" w14:textId="77777777" w:rsidR="005F4A7E" w:rsidRDefault="005F4A7E" w:rsidP="00130D1C">
      <w:pPr>
        <w:pStyle w:val="Heading3"/>
      </w:pPr>
      <w:bookmarkStart w:id="795" w:name="_Toc85121375"/>
      <w:bookmarkStart w:id="796" w:name="_Toc86075632"/>
      <w:bookmarkEnd w:id="787"/>
      <w:bookmarkEnd w:id="788"/>
      <w:bookmarkEnd w:id="789"/>
      <w:bookmarkEnd w:id="790"/>
      <w:bookmarkEnd w:id="791"/>
      <w:r>
        <w:lastRenderedPageBreak/>
        <w:t>3. The cost of delivering services</w:t>
      </w:r>
      <w:bookmarkEnd w:id="795"/>
      <w:bookmarkEnd w:id="796"/>
    </w:p>
    <w:p w14:paraId="2321D621" w14:textId="77777777" w:rsidR="005F4A7E" w:rsidRDefault="005F4A7E" w:rsidP="00130D1C">
      <w:pPr>
        <w:pStyle w:val="Heading4"/>
      </w:pPr>
      <w:bookmarkStart w:id="797" w:name="_Toc85121376"/>
      <w:r w:rsidRPr="00A10448">
        <w:t>Introduction</w:t>
      </w:r>
      <w:bookmarkEnd w:id="797"/>
    </w:p>
    <w:p w14:paraId="64206DBA" w14:textId="777D96A1" w:rsidR="005F4A7E" w:rsidRDefault="005F4A7E" w:rsidP="00130D1C">
      <w:pPr>
        <w:pStyle w:val="ARfinbody"/>
      </w:pPr>
      <w:r w:rsidRPr="00194D78">
        <w:t xml:space="preserve">This section provides an account of the expenses incurred by the department in delivering services and outputs. In </w:t>
      </w:r>
      <w:r>
        <w:t>s</w:t>
      </w:r>
      <w:r w:rsidRPr="00194D78">
        <w:t>ection 2</w:t>
      </w:r>
      <w:r>
        <w:t xml:space="preserve"> </w:t>
      </w:r>
      <w:r w:rsidR="007D145B">
        <w:t>‘</w:t>
      </w:r>
      <w:r>
        <w:t>Funding delivery of our services</w:t>
      </w:r>
      <w:r w:rsidR="007D145B">
        <w:t>’</w:t>
      </w:r>
      <w:r w:rsidRPr="00194D78">
        <w:t>, the funds that enable the provision of services were disclosed and in this note the cost</w:t>
      </w:r>
      <w:r>
        <w:t>s</w:t>
      </w:r>
      <w:r w:rsidRPr="00194D78">
        <w:t xml:space="preserve"> associated with </w:t>
      </w:r>
      <w:r>
        <w:t xml:space="preserve">the </w:t>
      </w:r>
      <w:r w:rsidRPr="00194D78">
        <w:t xml:space="preserve">provision of services are recorded. Section 4 </w:t>
      </w:r>
      <w:r w:rsidR="007D145B">
        <w:t>‘</w:t>
      </w:r>
      <w:r>
        <w:t>Disaggregated financial information by output</w:t>
      </w:r>
      <w:r w:rsidR="007D145B">
        <w:t>’</w:t>
      </w:r>
      <w:r>
        <w:t xml:space="preserve"> </w:t>
      </w:r>
      <w:r w:rsidRPr="00194D78">
        <w:t>discloses aggregated information in relation to the income and expenses by output.</w:t>
      </w:r>
    </w:p>
    <w:p w14:paraId="4B1E6C2F" w14:textId="77777777" w:rsidR="005F4A7E" w:rsidRDefault="005F4A7E" w:rsidP="00130D1C">
      <w:pPr>
        <w:pStyle w:val="Heading4"/>
      </w:pPr>
      <w:bookmarkStart w:id="798" w:name="_Toc85121377"/>
      <w:r>
        <w:t>Structure</w:t>
      </w:r>
      <w:bookmarkEnd w:id="798"/>
    </w:p>
    <w:p w14:paraId="69292B53" w14:textId="77777777" w:rsidR="005F4A7E" w:rsidRPr="00D40863" w:rsidRDefault="005F4A7E" w:rsidP="00130D1C">
      <w:pPr>
        <w:pStyle w:val="ARfinstructure1"/>
      </w:pPr>
      <w:r w:rsidRPr="00D40863">
        <w:t>3.1</w:t>
      </w:r>
      <w:r w:rsidRPr="00D40863">
        <w:tab/>
        <w:t>Expenses incurred in delivery of services</w:t>
      </w:r>
    </w:p>
    <w:p w14:paraId="6B7010B3" w14:textId="77777777" w:rsidR="005F4A7E" w:rsidRPr="00D40863" w:rsidRDefault="005F4A7E" w:rsidP="00130D1C">
      <w:pPr>
        <w:pStyle w:val="ARfinstructure2"/>
      </w:pPr>
      <w:r w:rsidRPr="00D40863">
        <w:t>3.1.1</w:t>
      </w:r>
      <w:r w:rsidRPr="00D40863">
        <w:tab/>
        <w:t>Employee benefits</w:t>
      </w:r>
    </w:p>
    <w:p w14:paraId="453DA567" w14:textId="77777777" w:rsidR="005F4A7E" w:rsidRPr="00D40863" w:rsidRDefault="005F4A7E" w:rsidP="00130D1C">
      <w:pPr>
        <w:pStyle w:val="ARfinstructure2"/>
      </w:pPr>
      <w:r w:rsidRPr="00D40863">
        <w:t>3.1.2</w:t>
      </w:r>
      <w:r w:rsidRPr="00D40863">
        <w:tab/>
        <w:t>Grants and other expense transfers</w:t>
      </w:r>
    </w:p>
    <w:p w14:paraId="68FF3C5A" w14:textId="77777777" w:rsidR="005F4A7E" w:rsidRPr="00D40863" w:rsidRDefault="005F4A7E" w:rsidP="00130D1C">
      <w:pPr>
        <w:pStyle w:val="ARfinstructure2"/>
      </w:pPr>
      <w:r w:rsidRPr="00D40863">
        <w:t>3.1.3</w:t>
      </w:r>
      <w:r w:rsidRPr="00D40863">
        <w:tab/>
        <w:t>Capital asset charge</w:t>
      </w:r>
    </w:p>
    <w:p w14:paraId="22BB4408" w14:textId="77777777" w:rsidR="005F4A7E" w:rsidRPr="00D40863" w:rsidRDefault="005F4A7E" w:rsidP="00130D1C">
      <w:pPr>
        <w:pStyle w:val="ARfinstructure2"/>
      </w:pPr>
      <w:r w:rsidRPr="00D40863">
        <w:t>3.1.4</w:t>
      </w:r>
      <w:r w:rsidRPr="00D40863">
        <w:tab/>
        <w:t>Fair value of assets and services provided free of charge or for nominal consideration</w:t>
      </w:r>
    </w:p>
    <w:p w14:paraId="052D99A3" w14:textId="77777777" w:rsidR="005F4A7E" w:rsidRPr="00D40863" w:rsidRDefault="005F4A7E" w:rsidP="00130D1C">
      <w:pPr>
        <w:pStyle w:val="ARfinstructure2"/>
      </w:pPr>
      <w:r w:rsidRPr="00D40863">
        <w:t>3.1.5</w:t>
      </w:r>
      <w:r w:rsidRPr="00D40863">
        <w:tab/>
        <w:t>Other operating expenses</w:t>
      </w:r>
    </w:p>
    <w:p w14:paraId="416BB491" w14:textId="77777777" w:rsidR="005F4A7E" w:rsidRPr="00D40863" w:rsidRDefault="005F4A7E" w:rsidP="00130D1C">
      <w:pPr>
        <w:pStyle w:val="ARfinstructure2"/>
        <w:rPr>
          <w:b/>
          <w:bCs/>
        </w:rPr>
      </w:pPr>
      <w:r w:rsidRPr="00D40863">
        <w:t>3.1.6</w:t>
      </w:r>
      <w:r w:rsidRPr="00D40863">
        <w:tab/>
        <w:t>Other property management expenses</w:t>
      </w:r>
    </w:p>
    <w:p w14:paraId="5BFAFAE9" w14:textId="77777777" w:rsidR="005F4A7E" w:rsidRPr="00BB0009" w:rsidRDefault="005F4A7E" w:rsidP="00130D1C">
      <w:pPr>
        <w:pStyle w:val="Heading5"/>
      </w:pPr>
      <w:bookmarkStart w:id="799" w:name="_Toc85121378"/>
      <w:r w:rsidRPr="00BB0009">
        <w:t>Impact of COVID-19</w:t>
      </w:r>
      <w:r>
        <w:t xml:space="preserve"> </w:t>
      </w:r>
      <w:r w:rsidRPr="00BB0009">
        <w:t>on expenses</w:t>
      </w:r>
      <w:bookmarkEnd w:id="799"/>
    </w:p>
    <w:p w14:paraId="4678AD7D" w14:textId="77777777" w:rsidR="005F4A7E" w:rsidRDefault="005F4A7E" w:rsidP="00130D1C">
      <w:pPr>
        <w:pStyle w:val="ARfinbody"/>
      </w:pPr>
      <w:r w:rsidRPr="00BB0009">
        <w:t xml:space="preserve">The department has provided additional funding to the health agencies and other organisations to assist with the </w:t>
      </w:r>
      <w:r>
        <w:br/>
      </w:r>
      <w:r w:rsidRPr="00BB0009">
        <w:t>COVID-19</w:t>
      </w:r>
      <w:r>
        <w:t xml:space="preserve"> </w:t>
      </w:r>
      <w:r w:rsidRPr="00BB0009">
        <w:t>response, allocated additional resources to attend to COVID-19</w:t>
      </w:r>
      <w:r>
        <w:t xml:space="preserve"> </w:t>
      </w:r>
      <w:r w:rsidRPr="00BB0009">
        <w:t>public queries and contact tracing and also implemented work from home arrangements where appropriate.</w:t>
      </w:r>
    </w:p>
    <w:p w14:paraId="1EA45D05" w14:textId="77777777" w:rsidR="005F4A7E" w:rsidRPr="00FF78A0" w:rsidRDefault="005F4A7E" w:rsidP="00130D1C">
      <w:pPr>
        <w:pStyle w:val="Heading4"/>
      </w:pPr>
      <w:bookmarkStart w:id="800" w:name="_Toc39136699"/>
      <w:bookmarkStart w:id="801" w:name="_Toc39242138"/>
      <w:bookmarkStart w:id="802" w:name="_Toc85121379"/>
      <w:r>
        <w:t>3.1 Expenses incurred in the delivery of services</w:t>
      </w:r>
      <w:bookmarkEnd w:id="800"/>
      <w:bookmarkEnd w:id="801"/>
      <w:bookmarkEnd w:id="802"/>
    </w:p>
    <w:tbl>
      <w:tblPr>
        <w:tblStyle w:val="TableGrid"/>
        <w:tblW w:w="9637" w:type="dxa"/>
        <w:tblLayout w:type="fixed"/>
        <w:tblLook w:val="06A0" w:firstRow="1" w:lastRow="0" w:firstColumn="1" w:lastColumn="0" w:noHBand="1" w:noVBand="1"/>
      </w:tblPr>
      <w:tblGrid>
        <w:gridCol w:w="6518"/>
        <w:gridCol w:w="851"/>
        <w:gridCol w:w="1134"/>
        <w:gridCol w:w="1134"/>
      </w:tblGrid>
      <w:tr w:rsidR="005F4A7E" w:rsidRPr="002029AF" w14:paraId="0B5D9C58"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6518" w:type="dxa"/>
            <w:tcBorders>
              <w:bottom w:val="single" w:sz="4" w:space="0" w:color="auto"/>
            </w:tcBorders>
            <w:noWrap/>
            <w:hideMark/>
          </w:tcPr>
          <w:p w14:paraId="22913CAB" w14:textId="77777777" w:rsidR="005F4A7E" w:rsidRPr="002029AF" w:rsidRDefault="005F4A7E" w:rsidP="00860E95">
            <w:pPr>
              <w:pStyle w:val="ARfintablecolhead"/>
            </w:pPr>
          </w:p>
        </w:tc>
        <w:tc>
          <w:tcPr>
            <w:tcW w:w="851" w:type="dxa"/>
            <w:tcBorders>
              <w:bottom w:val="single" w:sz="4" w:space="0" w:color="auto"/>
            </w:tcBorders>
            <w:noWrap/>
            <w:hideMark/>
          </w:tcPr>
          <w:p w14:paraId="38D13A46" w14:textId="77777777" w:rsidR="005F4A7E" w:rsidRPr="002029AF" w:rsidRDefault="005F4A7E" w:rsidP="00860E95">
            <w:pPr>
              <w:pStyle w:val="ARfintablecolheadright"/>
            </w:pPr>
            <w:r w:rsidRPr="002029AF">
              <w:t>Note</w:t>
            </w:r>
          </w:p>
        </w:tc>
        <w:tc>
          <w:tcPr>
            <w:tcW w:w="1134" w:type="dxa"/>
            <w:tcBorders>
              <w:bottom w:val="single" w:sz="4" w:space="0" w:color="auto"/>
            </w:tcBorders>
            <w:shd w:val="clear" w:color="auto" w:fill="E7E6E6"/>
            <w:hideMark/>
          </w:tcPr>
          <w:p w14:paraId="4DB55437" w14:textId="77777777" w:rsidR="005F4A7E" w:rsidRPr="002029AF" w:rsidRDefault="005F4A7E" w:rsidP="00860E95">
            <w:pPr>
              <w:pStyle w:val="ARfintablecolheadright"/>
            </w:pPr>
            <w:r>
              <w:t>2021</w:t>
            </w:r>
          </w:p>
          <w:p w14:paraId="406C9214" w14:textId="77777777" w:rsidR="005F4A7E" w:rsidRPr="002029AF" w:rsidRDefault="005F4A7E" w:rsidP="00860E95">
            <w:pPr>
              <w:pStyle w:val="ARfintablecolheadright"/>
            </w:pPr>
            <w:r w:rsidRPr="002029AF">
              <w:t>$M</w:t>
            </w:r>
          </w:p>
        </w:tc>
        <w:tc>
          <w:tcPr>
            <w:tcW w:w="1134" w:type="dxa"/>
            <w:tcBorders>
              <w:bottom w:val="single" w:sz="4" w:space="0" w:color="auto"/>
            </w:tcBorders>
            <w:hideMark/>
          </w:tcPr>
          <w:p w14:paraId="202CE9C7" w14:textId="77777777" w:rsidR="005F4A7E" w:rsidRPr="002029AF" w:rsidRDefault="005F4A7E" w:rsidP="00860E95">
            <w:pPr>
              <w:pStyle w:val="ARfintablecolheadright"/>
            </w:pPr>
            <w:r>
              <w:t>2020</w:t>
            </w:r>
          </w:p>
          <w:p w14:paraId="761128F8" w14:textId="77777777" w:rsidR="005F4A7E" w:rsidRPr="002029AF" w:rsidRDefault="005F4A7E" w:rsidP="00860E95">
            <w:pPr>
              <w:pStyle w:val="ARfintablecolheadright"/>
            </w:pPr>
            <w:r w:rsidRPr="002029AF">
              <w:t>$M</w:t>
            </w:r>
          </w:p>
        </w:tc>
      </w:tr>
      <w:tr w:rsidR="005F4A7E" w:rsidRPr="002029AF" w14:paraId="5DE8F083" w14:textId="77777777" w:rsidTr="00130D1C">
        <w:tc>
          <w:tcPr>
            <w:tcW w:w="6518" w:type="dxa"/>
            <w:tcBorders>
              <w:top w:val="single" w:sz="4" w:space="0" w:color="auto"/>
              <w:bottom w:val="single" w:sz="4" w:space="0" w:color="A6A6A6"/>
            </w:tcBorders>
            <w:hideMark/>
          </w:tcPr>
          <w:p w14:paraId="2143A553" w14:textId="77777777" w:rsidR="005F4A7E" w:rsidRPr="002029AF" w:rsidRDefault="005F4A7E" w:rsidP="00130D1C">
            <w:pPr>
              <w:pStyle w:val="ARfintablebody"/>
            </w:pPr>
            <w:r w:rsidRPr="001C24CE">
              <w:t>Employee benefits</w:t>
            </w:r>
          </w:p>
        </w:tc>
        <w:tc>
          <w:tcPr>
            <w:tcW w:w="851" w:type="dxa"/>
            <w:tcBorders>
              <w:top w:val="single" w:sz="4" w:space="0" w:color="auto"/>
              <w:bottom w:val="single" w:sz="4" w:space="0" w:color="A6A6A6"/>
            </w:tcBorders>
            <w:noWrap/>
            <w:hideMark/>
          </w:tcPr>
          <w:p w14:paraId="3B2A3453" w14:textId="77777777" w:rsidR="005F4A7E" w:rsidRPr="002029AF" w:rsidRDefault="005F4A7E" w:rsidP="00130D1C">
            <w:pPr>
              <w:pStyle w:val="ARfintablebodyright"/>
            </w:pPr>
            <w:r w:rsidRPr="001C24CE">
              <w:t>3.1.1(a)</w:t>
            </w:r>
          </w:p>
        </w:tc>
        <w:tc>
          <w:tcPr>
            <w:tcW w:w="1134" w:type="dxa"/>
            <w:tcBorders>
              <w:top w:val="single" w:sz="4" w:space="0" w:color="auto"/>
              <w:bottom w:val="single" w:sz="4" w:space="0" w:color="A6A6A6"/>
            </w:tcBorders>
            <w:shd w:val="clear" w:color="auto" w:fill="E7E6E6"/>
            <w:noWrap/>
            <w:hideMark/>
          </w:tcPr>
          <w:p w14:paraId="5D261F74" w14:textId="77777777" w:rsidR="005F4A7E" w:rsidRPr="002029AF" w:rsidRDefault="005F4A7E" w:rsidP="00130D1C">
            <w:pPr>
              <w:pStyle w:val="ARfintablebodyright"/>
            </w:pPr>
            <w:r w:rsidRPr="001C24CE">
              <w:t>1,500.3</w:t>
            </w:r>
          </w:p>
        </w:tc>
        <w:tc>
          <w:tcPr>
            <w:tcW w:w="1134" w:type="dxa"/>
            <w:tcBorders>
              <w:top w:val="single" w:sz="4" w:space="0" w:color="auto"/>
              <w:bottom w:val="single" w:sz="4" w:space="0" w:color="A6A6A6"/>
            </w:tcBorders>
            <w:noWrap/>
            <w:hideMark/>
          </w:tcPr>
          <w:p w14:paraId="1A919409" w14:textId="77777777" w:rsidR="005F4A7E" w:rsidRPr="002029AF" w:rsidRDefault="005F4A7E" w:rsidP="00130D1C">
            <w:pPr>
              <w:pStyle w:val="ARfintablebodyright"/>
            </w:pPr>
            <w:r w:rsidRPr="001C24CE">
              <w:t>1,200.2</w:t>
            </w:r>
          </w:p>
        </w:tc>
      </w:tr>
      <w:tr w:rsidR="005F4A7E" w:rsidRPr="002029AF" w14:paraId="11624A2A" w14:textId="77777777" w:rsidTr="00130D1C">
        <w:tc>
          <w:tcPr>
            <w:tcW w:w="6518" w:type="dxa"/>
            <w:tcBorders>
              <w:top w:val="single" w:sz="4" w:space="0" w:color="A6A6A6"/>
              <w:bottom w:val="single" w:sz="4" w:space="0" w:color="A6A6A6"/>
            </w:tcBorders>
            <w:hideMark/>
          </w:tcPr>
          <w:p w14:paraId="4C5FCA39" w14:textId="77777777" w:rsidR="005F4A7E" w:rsidRPr="002029AF" w:rsidRDefault="005F4A7E" w:rsidP="00130D1C">
            <w:pPr>
              <w:pStyle w:val="ARfintablebody"/>
            </w:pPr>
            <w:r w:rsidRPr="001C24CE">
              <w:t>Grant and other expense transfers</w:t>
            </w:r>
          </w:p>
        </w:tc>
        <w:tc>
          <w:tcPr>
            <w:tcW w:w="851" w:type="dxa"/>
            <w:tcBorders>
              <w:top w:val="single" w:sz="4" w:space="0" w:color="A6A6A6"/>
              <w:bottom w:val="single" w:sz="4" w:space="0" w:color="A6A6A6"/>
            </w:tcBorders>
            <w:noWrap/>
            <w:hideMark/>
          </w:tcPr>
          <w:p w14:paraId="11DDD77C" w14:textId="77777777" w:rsidR="005F4A7E" w:rsidRPr="002029AF" w:rsidRDefault="005F4A7E" w:rsidP="00130D1C">
            <w:pPr>
              <w:pStyle w:val="ARfintablebodyright"/>
            </w:pPr>
            <w:r w:rsidRPr="001C24CE">
              <w:t>3.1.2</w:t>
            </w:r>
          </w:p>
        </w:tc>
        <w:tc>
          <w:tcPr>
            <w:tcW w:w="1134" w:type="dxa"/>
            <w:tcBorders>
              <w:top w:val="single" w:sz="4" w:space="0" w:color="A6A6A6"/>
              <w:bottom w:val="single" w:sz="4" w:space="0" w:color="A6A6A6"/>
            </w:tcBorders>
            <w:shd w:val="clear" w:color="auto" w:fill="E7E6E6"/>
            <w:noWrap/>
            <w:hideMark/>
          </w:tcPr>
          <w:p w14:paraId="06A05D4F" w14:textId="77777777" w:rsidR="005F4A7E" w:rsidRPr="002029AF" w:rsidRDefault="005F4A7E" w:rsidP="00130D1C">
            <w:pPr>
              <w:pStyle w:val="ARfintablebodyright"/>
            </w:pPr>
            <w:r w:rsidRPr="001C24CE">
              <w:t>19,720.7</w:t>
            </w:r>
          </w:p>
        </w:tc>
        <w:tc>
          <w:tcPr>
            <w:tcW w:w="1134" w:type="dxa"/>
            <w:tcBorders>
              <w:top w:val="single" w:sz="4" w:space="0" w:color="A6A6A6"/>
              <w:bottom w:val="single" w:sz="4" w:space="0" w:color="A6A6A6"/>
            </w:tcBorders>
            <w:noWrap/>
            <w:hideMark/>
          </w:tcPr>
          <w:p w14:paraId="51284816" w14:textId="77777777" w:rsidR="005F4A7E" w:rsidRPr="002029AF" w:rsidRDefault="005F4A7E" w:rsidP="00130D1C">
            <w:pPr>
              <w:pStyle w:val="ARfintablebodyright"/>
            </w:pPr>
            <w:r w:rsidRPr="001C24CE">
              <w:t>17,308.0</w:t>
            </w:r>
          </w:p>
        </w:tc>
      </w:tr>
      <w:tr w:rsidR="005F4A7E" w:rsidRPr="002029AF" w14:paraId="4A2C1927" w14:textId="77777777" w:rsidTr="00130D1C">
        <w:tc>
          <w:tcPr>
            <w:tcW w:w="6518" w:type="dxa"/>
            <w:tcBorders>
              <w:top w:val="single" w:sz="4" w:space="0" w:color="A6A6A6"/>
              <w:bottom w:val="single" w:sz="4" w:space="0" w:color="A6A6A6"/>
            </w:tcBorders>
            <w:hideMark/>
          </w:tcPr>
          <w:p w14:paraId="02C3DC64" w14:textId="77777777" w:rsidR="005F4A7E" w:rsidRPr="002029AF" w:rsidRDefault="005F4A7E" w:rsidP="00130D1C">
            <w:pPr>
              <w:pStyle w:val="ARfintablebody"/>
            </w:pPr>
            <w:r w:rsidRPr="001C24CE">
              <w:t>Capital asset charge</w:t>
            </w:r>
          </w:p>
        </w:tc>
        <w:tc>
          <w:tcPr>
            <w:tcW w:w="851" w:type="dxa"/>
            <w:tcBorders>
              <w:top w:val="single" w:sz="4" w:space="0" w:color="A6A6A6"/>
              <w:bottom w:val="single" w:sz="4" w:space="0" w:color="A6A6A6"/>
            </w:tcBorders>
            <w:noWrap/>
            <w:hideMark/>
          </w:tcPr>
          <w:p w14:paraId="2EEAA579" w14:textId="77777777" w:rsidR="005F4A7E" w:rsidRPr="002029AF" w:rsidRDefault="005F4A7E" w:rsidP="00130D1C">
            <w:pPr>
              <w:pStyle w:val="ARfintablebodyright"/>
            </w:pPr>
            <w:r w:rsidRPr="001C24CE">
              <w:t>3.1.3</w:t>
            </w:r>
          </w:p>
        </w:tc>
        <w:tc>
          <w:tcPr>
            <w:tcW w:w="1134" w:type="dxa"/>
            <w:tcBorders>
              <w:top w:val="single" w:sz="4" w:space="0" w:color="A6A6A6"/>
              <w:bottom w:val="single" w:sz="4" w:space="0" w:color="A6A6A6"/>
            </w:tcBorders>
            <w:shd w:val="clear" w:color="auto" w:fill="E7E6E6"/>
            <w:noWrap/>
            <w:hideMark/>
          </w:tcPr>
          <w:p w14:paraId="7ADACED3" w14:textId="77777777" w:rsidR="005F4A7E" w:rsidRPr="002029AF" w:rsidRDefault="005F4A7E" w:rsidP="00130D1C">
            <w:pPr>
              <w:pStyle w:val="ARfintablebodyright"/>
            </w:pPr>
            <w:r w:rsidRPr="001C24CE">
              <w:t>1,427.7</w:t>
            </w:r>
          </w:p>
        </w:tc>
        <w:tc>
          <w:tcPr>
            <w:tcW w:w="1134" w:type="dxa"/>
            <w:tcBorders>
              <w:top w:val="single" w:sz="4" w:space="0" w:color="A6A6A6"/>
              <w:bottom w:val="single" w:sz="4" w:space="0" w:color="A6A6A6"/>
            </w:tcBorders>
            <w:noWrap/>
            <w:hideMark/>
          </w:tcPr>
          <w:p w14:paraId="373D6A84" w14:textId="77777777" w:rsidR="005F4A7E" w:rsidRPr="002029AF" w:rsidRDefault="005F4A7E" w:rsidP="00130D1C">
            <w:pPr>
              <w:pStyle w:val="ARfintablebodyright"/>
            </w:pPr>
            <w:r w:rsidRPr="001C24CE">
              <w:t>1,319.8</w:t>
            </w:r>
          </w:p>
        </w:tc>
      </w:tr>
      <w:tr w:rsidR="005F4A7E" w:rsidRPr="002029AF" w14:paraId="28C30F4D" w14:textId="77777777" w:rsidTr="00130D1C">
        <w:tc>
          <w:tcPr>
            <w:tcW w:w="6518" w:type="dxa"/>
            <w:tcBorders>
              <w:top w:val="single" w:sz="4" w:space="0" w:color="A6A6A6"/>
              <w:bottom w:val="single" w:sz="4" w:space="0" w:color="A6A6A6"/>
            </w:tcBorders>
            <w:hideMark/>
          </w:tcPr>
          <w:p w14:paraId="18CDC6C9" w14:textId="77777777" w:rsidR="005F4A7E" w:rsidRPr="002029AF" w:rsidRDefault="005F4A7E" w:rsidP="00130D1C">
            <w:pPr>
              <w:pStyle w:val="ARfintablebody"/>
            </w:pPr>
            <w:r w:rsidRPr="001C24CE">
              <w:t>Maintenance</w:t>
            </w:r>
          </w:p>
        </w:tc>
        <w:tc>
          <w:tcPr>
            <w:tcW w:w="851" w:type="dxa"/>
            <w:tcBorders>
              <w:top w:val="single" w:sz="4" w:space="0" w:color="A6A6A6"/>
              <w:bottom w:val="single" w:sz="4" w:space="0" w:color="A6A6A6"/>
            </w:tcBorders>
            <w:noWrap/>
            <w:hideMark/>
          </w:tcPr>
          <w:p w14:paraId="294FC9CA" w14:textId="77777777" w:rsidR="005F4A7E" w:rsidRPr="002029AF" w:rsidRDefault="005F4A7E" w:rsidP="00130D1C">
            <w:pPr>
              <w:pStyle w:val="ARfintablebodyright"/>
            </w:pPr>
          </w:p>
        </w:tc>
        <w:tc>
          <w:tcPr>
            <w:tcW w:w="1134" w:type="dxa"/>
            <w:tcBorders>
              <w:top w:val="single" w:sz="4" w:space="0" w:color="A6A6A6"/>
              <w:bottom w:val="single" w:sz="4" w:space="0" w:color="A6A6A6"/>
            </w:tcBorders>
            <w:shd w:val="clear" w:color="auto" w:fill="E7E6E6"/>
            <w:noWrap/>
            <w:hideMark/>
          </w:tcPr>
          <w:p w14:paraId="74FD09C5" w14:textId="77777777" w:rsidR="005F4A7E" w:rsidRPr="002029AF" w:rsidRDefault="005F4A7E" w:rsidP="00130D1C">
            <w:pPr>
              <w:pStyle w:val="ARfintablebodyright"/>
            </w:pPr>
            <w:r w:rsidRPr="001C24CE">
              <w:t>239.6</w:t>
            </w:r>
          </w:p>
        </w:tc>
        <w:tc>
          <w:tcPr>
            <w:tcW w:w="1134" w:type="dxa"/>
            <w:tcBorders>
              <w:top w:val="single" w:sz="4" w:space="0" w:color="A6A6A6"/>
              <w:bottom w:val="single" w:sz="4" w:space="0" w:color="A6A6A6"/>
            </w:tcBorders>
            <w:noWrap/>
            <w:hideMark/>
          </w:tcPr>
          <w:p w14:paraId="2A6CBE08" w14:textId="77777777" w:rsidR="005F4A7E" w:rsidRPr="002029AF" w:rsidRDefault="005F4A7E" w:rsidP="00130D1C">
            <w:pPr>
              <w:pStyle w:val="ARfintablebodyright"/>
            </w:pPr>
            <w:r w:rsidRPr="001C24CE">
              <w:t>236.1</w:t>
            </w:r>
          </w:p>
        </w:tc>
      </w:tr>
      <w:tr w:rsidR="005F4A7E" w:rsidRPr="002029AF" w14:paraId="162A8E23" w14:textId="77777777" w:rsidTr="00130D1C">
        <w:tc>
          <w:tcPr>
            <w:tcW w:w="6518" w:type="dxa"/>
            <w:tcBorders>
              <w:top w:val="single" w:sz="4" w:space="0" w:color="A6A6A6"/>
              <w:bottom w:val="single" w:sz="4" w:space="0" w:color="A6A6A6"/>
            </w:tcBorders>
            <w:hideMark/>
          </w:tcPr>
          <w:p w14:paraId="5E2EC102" w14:textId="77777777" w:rsidR="005F4A7E" w:rsidRPr="002029AF" w:rsidRDefault="005F4A7E" w:rsidP="00130D1C">
            <w:pPr>
              <w:pStyle w:val="ARfintablebody"/>
            </w:pPr>
            <w:r w:rsidRPr="001C24CE">
              <w:t xml:space="preserve">Fair value of assets and services provided free of charge </w:t>
            </w:r>
            <w:r>
              <w:br/>
            </w:r>
            <w:r w:rsidRPr="001C24CE">
              <w:t>or for nominal consideration</w:t>
            </w:r>
          </w:p>
        </w:tc>
        <w:tc>
          <w:tcPr>
            <w:tcW w:w="851" w:type="dxa"/>
            <w:tcBorders>
              <w:top w:val="single" w:sz="4" w:space="0" w:color="A6A6A6"/>
              <w:bottom w:val="single" w:sz="4" w:space="0" w:color="A6A6A6"/>
            </w:tcBorders>
            <w:noWrap/>
            <w:hideMark/>
          </w:tcPr>
          <w:p w14:paraId="42AF40DE" w14:textId="77777777" w:rsidR="005F4A7E" w:rsidRPr="002029AF" w:rsidRDefault="005F4A7E" w:rsidP="00130D1C">
            <w:pPr>
              <w:pStyle w:val="ARfintablebodyright"/>
            </w:pPr>
            <w:r w:rsidRPr="001C24CE">
              <w:t>3.1.4</w:t>
            </w:r>
          </w:p>
        </w:tc>
        <w:tc>
          <w:tcPr>
            <w:tcW w:w="1134" w:type="dxa"/>
            <w:tcBorders>
              <w:top w:val="single" w:sz="4" w:space="0" w:color="A6A6A6"/>
              <w:bottom w:val="single" w:sz="4" w:space="0" w:color="A6A6A6"/>
            </w:tcBorders>
            <w:shd w:val="clear" w:color="auto" w:fill="E7E6E6"/>
            <w:noWrap/>
            <w:hideMark/>
          </w:tcPr>
          <w:p w14:paraId="58586801" w14:textId="77777777" w:rsidR="005F4A7E" w:rsidRPr="002029AF" w:rsidRDefault="005F4A7E" w:rsidP="00130D1C">
            <w:pPr>
              <w:pStyle w:val="ARfintablebodyright"/>
            </w:pPr>
            <w:r w:rsidRPr="001C24CE">
              <w:t>297.2</w:t>
            </w:r>
          </w:p>
        </w:tc>
        <w:tc>
          <w:tcPr>
            <w:tcW w:w="1134" w:type="dxa"/>
            <w:tcBorders>
              <w:top w:val="single" w:sz="4" w:space="0" w:color="A6A6A6"/>
              <w:bottom w:val="single" w:sz="4" w:space="0" w:color="A6A6A6"/>
            </w:tcBorders>
            <w:noWrap/>
            <w:hideMark/>
          </w:tcPr>
          <w:p w14:paraId="529AC2A8" w14:textId="77777777" w:rsidR="005F4A7E" w:rsidRPr="002029AF" w:rsidRDefault="005F4A7E" w:rsidP="00130D1C">
            <w:pPr>
              <w:pStyle w:val="ARfintablebodyright"/>
            </w:pPr>
            <w:r w:rsidRPr="001C24CE">
              <w:t>32.3</w:t>
            </w:r>
          </w:p>
        </w:tc>
      </w:tr>
      <w:tr w:rsidR="005F4A7E" w:rsidRPr="002029AF" w14:paraId="3B2C1DD3" w14:textId="77777777" w:rsidTr="00130D1C">
        <w:tc>
          <w:tcPr>
            <w:tcW w:w="6518" w:type="dxa"/>
            <w:tcBorders>
              <w:top w:val="single" w:sz="4" w:space="0" w:color="A6A6A6"/>
              <w:bottom w:val="single" w:sz="4" w:space="0" w:color="A6A6A6"/>
            </w:tcBorders>
            <w:hideMark/>
          </w:tcPr>
          <w:p w14:paraId="799B85CA" w14:textId="77777777" w:rsidR="005F4A7E" w:rsidRPr="002029AF" w:rsidRDefault="005F4A7E" w:rsidP="00130D1C">
            <w:pPr>
              <w:pStyle w:val="ARfintablebody"/>
            </w:pPr>
            <w:r w:rsidRPr="001C24CE">
              <w:t>Other operating expenses</w:t>
            </w:r>
          </w:p>
        </w:tc>
        <w:tc>
          <w:tcPr>
            <w:tcW w:w="851" w:type="dxa"/>
            <w:tcBorders>
              <w:top w:val="single" w:sz="4" w:space="0" w:color="A6A6A6"/>
              <w:bottom w:val="single" w:sz="4" w:space="0" w:color="A6A6A6"/>
            </w:tcBorders>
            <w:noWrap/>
            <w:hideMark/>
          </w:tcPr>
          <w:p w14:paraId="5E68959C" w14:textId="77777777" w:rsidR="005F4A7E" w:rsidRPr="002029AF" w:rsidRDefault="005F4A7E" w:rsidP="00130D1C">
            <w:pPr>
              <w:pStyle w:val="ARfintablebodyright"/>
            </w:pPr>
            <w:r w:rsidRPr="001C24CE">
              <w:t>3.1.5</w:t>
            </w:r>
          </w:p>
        </w:tc>
        <w:tc>
          <w:tcPr>
            <w:tcW w:w="1134" w:type="dxa"/>
            <w:tcBorders>
              <w:top w:val="single" w:sz="4" w:space="0" w:color="A6A6A6"/>
              <w:bottom w:val="single" w:sz="4" w:space="0" w:color="A6A6A6"/>
            </w:tcBorders>
            <w:shd w:val="clear" w:color="auto" w:fill="E7E6E6"/>
            <w:noWrap/>
            <w:hideMark/>
          </w:tcPr>
          <w:p w14:paraId="6D406BFE" w14:textId="77777777" w:rsidR="005F4A7E" w:rsidRPr="002029AF" w:rsidRDefault="005F4A7E" w:rsidP="00130D1C">
            <w:pPr>
              <w:pStyle w:val="ARfintablebodyright"/>
            </w:pPr>
            <w:r w:rsidRPr="001C24CE">
              <w:t>1,361.5</w:t>
            </w:r>
          </w:p>
        </w:tc>
        <w:tc>
          <w:tcPr>
            <w:tcW w:w="1134" w:type="dxa"/>
            <w:tcBorders>
              <w:top w:val="single" w:sz="4" w:space="0" w:color="A6A6A6"/>
              <w:bottom w:val="single" w:sz="4" w:space="0" w:color="A6A6A6"/>
            </w:tcBorders>
            <w:noWrap/>
            <w:hideMark/>
          </w:tcPr>
          <w:p w14:paraId="5B7BE5CF" w14:textId="77777777" w:rsidR="005F4A7E" w:rsidRPr="002029AF" w:rsidRDefault="005F4A7E" w:rsidP="00130D1C">
            <w:pPr>
              <w:pStyle w:val="ARfintablebodyright"/>
            </w:pPr>
            <w:r w:rsidRPr="001C24CE">
              <w:t>689.4</w:t>
            </w:r>
          </w:p>
        </w:tc>
      </w:tr>
      <w:tr w:rsidR="005F4A7E" w:rsidRPr="002029AF" w14:paraId="7B3A3D1F" w14:textId="77777777" w:rsidTr="00130D1C">
        <w:tc>
          <w:tcPr>
            <w:tcW w:w="6518" w:type="dxa"/>
            <w:tcBorders>
              <w:top w:val="single" w:sz="4" w:space="0" w:color="A6A6A6"/>
            </w:tcBorders>
            <w:hideMark/>
          </w:tcPr>
          <w:p w14:paraId="26810983" w14:textId="77777777" w:rsidR="005F4A7E" w:rsidRPr="002029AF" w:rsidRDefault="005F4A7E" w:rsidP="00130D1C">
            <w:pPr>
              <w:pStyle w:val="ARfintablebody"/>
            </w:pPr>
            <w:r w:rsidRPr="001C24CE">
              <w:t>Other property management expenses</w:t>
            </w:r>
          </w:p>
        </w:tc>
        <w:tc>
          <w:tcPr>
            <w:tcW w:w="851" w:type="dxa"/>
            <w:tcBorders>
              <w:top w:val="single" w:sz="4" w:space="0" w:color="A6A6A6"/>
            </w:tcBorders>
            <w:noWrap/>
            <w:hideMark/>
          </w:tcPr>
          <w:p w14:paraId="3F56A29C" w14:textId="77777777" w:rsidR="005F4A7E" w:rsidRPr="002029AF" w:rsidRDefault="005F4A7E" w:rsidP="00130D1C">
            <w:pPr>
              <w:pStyle w:val="ARfintablebodyright"/>
            </w:pPr>
            <w:r w:rsidRPr="001C24CE">
              <w:t>3.1.6</w:t>
            </w:r>
          </w:p>
        </w:tc>
        <w:tc>
          <w:tcPr>
            <w:tcW w:w="1134" w:type="dxa"/>
            <w:tcBorders>
              <w:top w:val="single" w:sz="4" w:space="0" w:color="A6A6A6"/>
            </w:tcBorders>
            <w:shd w:val="clear" w:color="auto" w:fill="E7E6E6"/>
            <w:noWrap/>
            <w:hideMark/>
          </w:tcPr>
          <w:p w14:paraId="79A9011A" w14:textId="77777777" w:rsidR="005F4A7E" w:rsidRPr="002029AF" w:rsidRDefault="005F4A7E" w:rsidP="00130D1C">
            <w:pPr>
              <w:pStyle w:val="ARfintablebodyright"/>
            </w:pPr>
            <w:r w:rsidRPr="001C24CE">
              <w:t>274.6</w:t>
            </w:r>
          </w:p>
        </w:tc>
        <w:tc>
          <w:tcPr>
            <w:tcW w:w="1134" w:type="dxa"/>
            <w:tcBorders>
              <w:top w:val="single" w:sz="4" w:space="0" w:color="A6A6A6"/>
            </w:tcBorders>
            <w:noWrap/>
            <w:hideMark/>
          </w:tcPr>
          <w:p w14:paraId="639C38C1" w14:textId="77777777" w:rsidR="005F4A7E" w:rsidRPr="002029AF" w:rsidRDefault="005F4A7E" w:rsidP="00130D1C">
            <w:pPr>
              <w:pStyle w:val="ARfintablebodyright"/>
            </w:pPr>
            <w:r w:rsidRPr="001C24CE">
              <w:t>199.3</w:t>
            </w:r>
          </w:p>
        </w:tc>
      </w:tr>
      <w:tr w:rsidR="005F4A7E" w:rsidRPr="002029AF" w14:paraId="1CC63962" w14:textId="77777777" w:rsidTr="00130D1C">
        <w:tc>
          <w:tcPr>
            <w:tcW w:w="6518" w:type="dxa"/>
            <w:hideMark/>
          </w:tcPr>
          <w:p w14:paraId="0447B584" w14:textId="77777777" w:rsidR="005F4A7E" w:rsidRPr="002029AF" w:rsidRDefault="005F4A7E" w:rsidP="00130D1C">
            <w:pPr>
              <w:pStyle w:val="ARfintablebodybold"/>
            </w:pPr>
            <w:r w:rsidRPr="001C24CE">
              <w:t>Total expenses incurred in delivery of services</w:t>
            </w:r>
          </w:p>
        </w:tc>
        <w:tc>
          <w:tcPr>
            <w:tcW w:w="851" w:type="dxa"/>
            <w:hideMark/>
          </w:tcPr>
          <w:p w14:paraId="4E0B481E" w14:textId="77777777" w:rsidR="005F4A7E" w:rsidRPr="002029AF" w:rsidRDefault="005F4A7E" w:rsidP="00130D1C">
            <w:pPr>
              <w:pStyle w:val="ARfintablebodyrightbold"/>
            </w:pPr>
          </w:p>
        </w:tc>
        <w:tc>
          <w:tcPr>
            <w:tcW w:w="1134" w:type="dxa"/>
            <w:shd w:val="clear" w:color="auto" w:fill="E7E6E6"/>
            <w:noWrap/>
            <w:hideMark/>
          </w:tcPr>
          <w:p w14:paraId="21DA8576" w14:textId="77777777" w:rsidR="005F4A7E" w:rsidRPr="002029AF" w:rsidRDefault="005F4A7E" w:rsidP="00130D1C">
            <w:pPr>
              <w:pStyle w:val="ARfintablebodyrightbold"/>
            </w:pPr>
            <w:r w:rsidRPr="001C24CE">
              <w:t>24,821.6</w:t>
            </w:r>
          </w:p>
        </w:tc>
        <w:tc>
          <w:tcPr>
            <w:tcW w:w="1134" w:type="dxa"/>
            <w:noWrap/>
            <w:hideMark/>
          </w:tcPr>
          <w:p w14:paraId="573EBC2F" w14:textId="77777777" w:rsidR="005F4A7E" w:rsidRPr="002029AF" w:rsidRDefault="005F4A7E" w:rsidP="00130D1C">
            <w:pPr>
              <w:pStyle w:val="ARfintablebodyrightbold"/>
            </w:pPr>
            <w:r w:rsidRPr="001C24CE">
              <w:t>20,985.1</w:t>
            </w:r>
          </w:p>
        </w:tc>
      </w:tr>
    </w:tbl>
    <w:p w14:paraId="7B942410" w14:textId="77777777" w:rsidR="005F4A7E" w:rsidRDefault="005F4A7E" w:rsidP="00130D1C">
      <w:pPr>
        <w:pStyle w:val="Heading5"/>
      </w:pPr>
      <w:bookmarkStart w:id="803" w:name="_Toc39136700"/>
      <w:bookmarkStart w:id="804" w:name="_Toc85121380"/>
      <w:r>
        <w:t>3.1.1 Employee benefits</w:t>
      </w:r>
      <w:bookmarkEnd w:id="803"/>
      <w:bookmarkEnd w:id="804"/>
    </w:p>
    <w:p w14:paraId="7D38743E" w14:textId="77777777" w:rsidR="005F4A7E" w:rsidRPr="008C1A64" w:rsidRDefault="005F4A7E" w:rsidP="00130D1C">
      <w:pPr>
        <w:pStyle w:val="Heading6"/>
      </w:pPr>
      <w:bookmarkStart w:id="805" w:name="_Toc85121381"/>
      <w:r w:rsidRPr="008C1A64">
        <w:t>3.1.1(a) Employee benefits</w:t>
      </w:r>
      <w:r>
        <w:t xml:space="preserve"> in the </w:t>
      </w:r>
      <w:r w:rsidRPr="008C1A64">
        <w:t>comprehensive operating statement</w:t>
      </w:r>
      <w:bookmarkEnd w:id="805"/>
    </w:p>
    <w:tbl>
      <w:tblPr>
        <w:tblStyle w:val="TableGrid"/>
        <w:tblW w:w="9637" w:type="dxa"/>
        <w:tblLayout w:type="fixed"/>
        <w:tblLook w:val="06A0" w:firstRow="1" w:lastRow="0" w:firstColumn="1" w:lastColumn="0" w:noHBand="1" w:noVBand="1"/>
      </w:tblPr>
      <w:tblGrid>
        <w:gridCol w:w="7369"/>
        <w:gridCol w:w="1134"/>
        <w:gridCol w:w="1134"/>
      </w:tblGrid>
      <w:tr w:rsidR="005F4A7E" w:rsidRPr="002029AF" w14:paraId="730A1420"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79D0673B" w14:textId="77777777" w:rsidR="005F4A7E" w:rsidRPr="002029AF" w:rsidRDefault="005F4A7E" w:rsidP="00860E95">
            <w:pPr>
              <w:pStyle w:val="ARfintablecolhead"/>
            </w:pPr>
          </w:p>
        </w:tc>
        <w:tc>
          <w:tcPr>
            <w:tcW w:w="1134" w:type="dxa"/>
            <w:tcBorders>
              <w:bottom w:val="single" w:sz="4" w:space="0" w:color="auto"/>
            </w:tcBorders>
            <w:shd w:val="clear" w:color="auto" w:fill="E7E6E6"/>
            <w:hideMark/>
          </w:tcPr>
          <w:p w14:paraId="4B153440" w14:textId="77777777" w:rsidR="005F4A7E" w:rsidRPr="002029AF" w:rsidRDefault="005F4A7E" w:rsidP="00860E95">
            <w:pPr>
              <w:pStyle w:val="ARfintablecolheadright"/>
            </w:pPr>
            <w:r>
              <w:t>2021</w:t>
            </w:r>
          </w:p>
          <w:p w14:paraId="078251CC" w14:textId="77777777" w:rsidR="005F4A7E" w:rsidRPr="002029AF" w:rsidRDefault="005F4A7E" w:rsidP="00860E95">
            <w:pPr>
              <w:pStyle w:val="ARfintablecolheadright"/>
            </w:pPr>
            <w:r w:rsidRPr="002029AF">
              <w:t>$M</w:t>
            </w:r>
          </w:p>
        </w:tc>
        <w:tc>
          <w:tcPr>
            <w:tcW w:w="1134" w:type="dxa"/>
            <w:tcBorders>
              <w:bottom w:val="single" w:sz="4" w:space="0" w:color="auto"/>
            </w:tcBorders>
            <w:hideMark/>
          </w:tcPr>
          <w:p w14:paraId="2D88AAB8" w14:textId="77777777" w:rsidR="005F4A7E" w:rsidRPr="002029AF" w:rsidRDefault="005F4A7E" w:rsidP="00860E95">
            <w:pPr>
              <w:pStyle w:val="ARfintablecolheadright"/>
            </w:pPr>
            <w:r>
              <w:t>2020</w:t>
            </w:r>
          </w:p>
          <w:p w14:paraId="6F0A23BE" w14:textId="77777777" w:rsidR="005F4A7E" w:rsidRPr="002029AF" w:rsidRDefault="005F4A7E" w:rsidP="00860E95">
            <w:pPr>
              <w:pStyle w:val="ARfintablecolheadright"/>
            </w:pPr>
            <w:r w:rsidRPr="002029AF">
              <w:t>$M</w:t>
            </w:r>
          </w:p>
        </w:tc>
      </w:tr>
      <w:tr w:rsidR="005F4A7E" w:rsidRPr="002029AF" w14:paraId="71F7F290" w14:textId="77777777" w:rsidTr="00130D1C">
        <w:tc>
          <w:tcPr>
            <w:tcW w:w="7369" w:type="dxa"/>
            <w:tcBorders>
              <w:top w:val="single" w:sz="4" w:space="0" w:color="auto"/>
              <w:bottom w:val="single" w:sz="4" w:space="0" w:color="A6A6A6"/>
            </w:tcBorders>
            <w:hideMark/>
          </w:tcPr>
          <w:p w14:paraId="64B3033D" w14:textId="77777777" w:rsidR="005F4A7E" w:rsidRPr="002029AF" w:rsidRDefault="005F4A7E" w:rsidP="00130D1C">
            <w:pPr>
              <w:pStyle w:val="ARfintablebody"/>
            </w:pPr>
            <w:r w:rsidRPr="00BB6C2B">
              <w:t>Defined contribution superannuation expense</w:t>
            </w:r>
          </w:p>
        </w:tc>
        <w:tc>
          <w:tcPr>
            <w:tcW w:w="1134" w:type="dxa"/>
            <w:tcBorders>
              <w:top w:val="single" w:sz="4" w:space="0" w:color="auto"/>
              <w:bottom w:val="single" w:sz="4" w:space="0" w:color="A6A6A6"/>
            </w:tcBorders>
            <w:shd w:val="clear" w:color="auto" w:fill="E7E6E6"/>
            <w:noWrap/>
            <w:hideMark/>
          </w:tcPr>
          <w:p w14:paraId="42901F7D" w14:textId="77777777" w:rsidR="005F4A7E" w:rsidRPr="002029AF" w:rsidRDefault="005F4A7E" w:rsidP="00130D1C">
            <w:pPr>
              <w:pStyle w:val="ARfintablebodyright"/>
            </w:pPr>
            <w:r w:rsidRPr="00BB6C2B">
              <w:t>93.0</w:t>
            </w:r>
          </w:p>
        </w:tc>
        <w:tc>
          <w:tcPr>
            <w:tcW w:w="1134" w:type="dxa"/>
            <w:tcBorders>
              <w:top w:val="single" w:sz="4" w:space="0" w:color="auto"/>
              <w:bottom w:val="single" w:sz="4" w:space="0" w:color="A6A6A6"/>
            </w:tcBorders>
            <w:noWrap/>
            <w:hideMark/>
          </w:tcPr>
          <w:p w14:paraId="2E14E091" w14:textId="77777777" w:rsidR="005F4A7E" w:rsidRPr="002029AF" w:rsidRDefault="005F4A7E" w:rsidP="00130D1C">
            <w:pPr>
              <w:pStyle w:val="ARfintablebodyright"/>
            </w:pPr>
            <w:r w:rsidRPr="00BB6C2B">
              <w:t>77.0</w:t>
            </w:r>
          </w:p>
        </w:tc>
      </w:tr>
      <w:tr w:rsidR="005F4A7E" w:rsidRPr="002029AF" w14:paraId="754E2ADE" w14:textId="77777777" w:rsidTr="00130D1C">
        <w:tc>
          <w:tcPr>
            <w:tcW w:w="7369" w:type="dxa"/>
            <w:tcBorders>
              <w:top w:val="single" w:sz="4" w:space="0" w:color="A6A6A6"/>
              <w:bottom w:val="single" w:sz="4" w:space="0" w:color="A6A6A6"/>
            </w:tcBorders>
            <w:hideMark/>
          </w:tcPr>
          <w:p w14:paraId="502180FD" w14:textId="77777777" w:rsidR="005F4A7E" w:rsidRPr="002029AF" w:rsidRDefault="005F4A7E" w:rsidP="00130D1C">
            <w:pPr>
              <w:pStyle w:val="ARfintablebody"/>
            </w:pPr>
            <w:r w:rsidRPr="00BB6C2B">
              <w:t>Defined benefit superannuation expense</w:t>
            </w:r>
          </w:p>
        </w:tc>
        <w:tc>
          <w:tcPr>
            <w:tcW w:w="1134" w:type="dxa"/>
            <w:tcBorders>
              <w:top w:val="single" w:sz="4" w:space="0" w:color="A6A6A6"/>
              <w:bottom w:val="single" w:sz="4" w:space="0" w:color="A6A6A6"/>
            </w:tcBorders>
            <w:shd w:val="clear" w:color="auto" w:fill="E7E6E6"/>
            <w:noWrap/>
            <w:hideMark/>
          </w:tcPr>
          <w:p w14:paraId="305E3B5C" w14:textId="77777777" w:rsidR="005F4A7E" w:rsidRPr="002029AF" w:rsidRDefault="005F4A7E" w:rsidP="00130D1C">
            <w:pPr>
              <w:pStyle w:val="ARfintablebodyright"/>
            </w:pPr>
            <w:r w:rsidRPr="00BB6C2B">
              <w:t>6.5</w:t>
            </w:r>
          </w:p>
        </w:tc>
        <w:tc>
          <w:tcPr>
            <w:tcW w:w="1134" w:type="dxa"/>
            <w:tcBorders>
              <w:top w:val="single" w:sz="4" w:space="0" w:color="A6A6A6"/>
              <w:bottom w:val="single" w:sz="4" w:space="0" w:color="A6A6A6"/>
            </w:tcBorders>
            <w:noWrap/>
            <w:hideMark/>
          </w:tcPr>
          <w:p w14:paraId="2A17FCE8" w14:textId="77777777" w:rsidR="005F4A7E" w:rsidRPr="002029AF" w:rsidRDefault="005F4A7E" w:rsidP="00130D1C">
            <w:pPr>
              <w:pStyle w:val="ARfintablebodyright"/>
            </w:pPr>
            <w:r w:rsidRPr="00BB6C2B">
              <w:t>7.5</w:t>
            </w:r>
          </w:p>
        </w:tc>
      </w:tr>
      <w:tr w:rsidR="005F4A7E" w:rsidRPr="002029AF" w14:paraId="55BF94D8" w14:textId="77777777" w:rsidTr="00130D1C">
        <w:tc>
          <w:tcPr>
            <w:tcW w:w="7369" w:type="dxa"/>
            <w:tcBorders>
              <w:top w:val="single" w:sz="4" w:space="0" w:color="A6A6A6"/>
              <w:bottom w:val="single" w:sz="4" w:space="0" w:color="A6A6A6"/>
            </w:tcBorders>
            <w:hideMark/>
          </w:tcPr>
          <w:p w14:paraId="52CF77A4" w14:textId="77777777" w:rsidR="005F4A7E" w:rsidRPr="002029AF" w:rsidRDefault="005F4A7E" w:rsidP="00130D1C">
            <w:pPr>
              <w:pStyle w:val="ARfintablebody"/>
            </w:pPr>
            <w:r w:rsidRPr="00BB6C2B">
              <w:t>Termination benefits</w:t>
            </w:r>
          </w:p>
        </w:tc>
        <w:tc>
          <w:tcPr>
            <w:tcW w:w="1134" w:type="dxa"/>
            <w:tcBorders>
              <w:top w:val="single" w:sz="4" w:space="0" w:color="A6A6A6"/>
              <w:bottom w:val="single" w:sz="4" w:space="0" w:color="A6A6A6"/>
            </w:tcBorders>
            <w:shd w:val="clear" w:color="auto" w:fill="E7E6E6"/>
            <w:noWrap/>
            <w:hideMark/>
          </w:tcPr>
          <w:p w14:paraId="7C2DA51E" w14:textId="77777777" w:rsidR="005F4A7E" w:rsidRPr="002029AF" w:rsidRDefault="005F4A7E" w:rsidP="00130D1C">
            <w:pPr>
              <w:pStyle w:val="ARfintablebodyright"/>
            </w:pPr>
            <w:r w:rsidRPr="00BB6C2B">
              <w:t>23.7</w:t>
            </w:r>
          </w:p>
        </w:tc>
        <w:tc>
          <w:tcPr>
            <w:tcW w:w="1134" w:type="dxa"/>
            <w:tcBorders>
              <w:top w:val="single" w:sz="4" w:space="0" w:color="A6A6A6"/>
              <w:bottom w:val="single" w:sz="4" w:space="0" w:color="A6A6A6"/>
            </w:tcBorders>
            <w:noWrap/>
            <w:hideMark/>
          </w:tcPr>
          <w:p w14:paraId="7E24683B" w14:textId="77777777" w:rsidR="005F4A7E" w:rsidRPr="002029AF" w:rsidRDefault="005F4A7E" w:rsidP="00130D1C">
            <w:pPr>
              <w:pStyle w:val="ARfintablebodyright"/>
            </w:pPr>
            <w:r w:rsidRPr="00BB6C2B">
              <w:t>18.1</w:t>
            </w:r>
          </w:p>
        </w:tc>
      </w:tr>
      <w:tr w:rsidR="005F4A7E" w:rsidRPr="002029AF" w14:paraId="11B362D8" w14:textId="77777777" w:rsidTr="00130D1C">
        <w:tc>
          <w:tcPr>
            <w:tcW w:w="7369" w:type="dxa"/>
            <w:tcBorders>
              <w:top w:val="single" w:sz="4" w:space="0" w:color="A6A6A6"/>
            </w:tcBorders>
            <w:hideMark/>
          </w:tcPr>
          <w:p w14:paraId="31BE1496" w14:textId="77777777" w:rsidR="005F4A7E" w:rsidRPr="002029AF" w:rsidRDefault="005F4A7E" w:rsidP="00130D1C">
            <w:pPr>
              <w:pStyle w:val="ARfintablebody"/>
            </w:pPr>
            <w:r w:rsidRPr="00BB6C2B">
              <w:t>Salaries and wages, annual leave and long service leave</w:t>
            </w:r>
          </w:p>
        </w:tc>
        <w:tc>
          <w:tcPr>
            <w:tcW w:w="1134" w:type="dxa"/>
            <w:tcBorders>
              <w:top w:val="single" w:sz="4" w:space="0" w:color="A6A6A6"/>
            </w:tcBorders>
            <w:shd w:val="clear" w:color="auto" w:fill="E7E6E6"/>
            <w:noWrap/>
            <w:hideMark/>
          </w:tcPr>
          <w:p w14:paraId="64288A78" w14:textId="77777777" w:rsidR="005F4A7E" w:rsidRPr="002029AF" w:rsidRDefault="005F4A7E" w:rsidP="00130D1C">
            <w:pPr>
              <w:pStyle w:val="ARfintablebodyright"/>
            </w:pPr>
            <w:r w:rsidRPr="00BB6C2B">
              <w:t>1,377.1</w:t>
            </w:r>
          </w:p>
        </w:tc>
        <w:tc>
          <w:tcPr>
            <w:tcW w:w="1134" w:type="dxa"/>
            <w:tcBorders>
              <w:top w:val="single" w:sz="4" w:space="0" w:color="A6A6A6"/>
            </w:tcBorders>
            <w:noWrap/>
            <w:hideMark/>
          </w:tcPr>
          <w:p w14:paraId="0254FE7B" w14:textId="77777777" w:rsidR="005F4A7E" w:rsidRPr="002029AF" w:rsidRDefault="005F4A7E" w:rsidP="00130D1C">
            <w:pPr>
              <w:pStyle w:val="ARfintablebodyright"/>
            </w:pPr>
            <w:r w:rsidRPr="00BB6C2B">
              <w:t>1,097.6</w:t>
            </w:r>
          </w:p>
        </w:tc>
      </w:tr>
      <w:tr w:rsidR="005F4A7E" w:rsidRPr="002029AF" w14:paraId="1C2A1868" w14:textId="77777777" w:rsidTr="00130D1C">
        <w:tc>
          <w:tcPr>
            <w:tcW w:w="7369" w:type="dxa"/>
            <w:hideMark/>
          </w:tcPr>
          <w:p w14:paraId="29E3A7C1" w14:textId="77777777" w:rsidR="005F4A7E" w:rsidRPr="002029AF" w:rsidRDefault="005F4A7E" w:rsidP="00130D1C">
            <w:pPr>
              <w:pStyle w:val="ARfintablebodybold"/>
            </w:pPr>
            <w:r w:rsidRPr="00BB6C2B">
              <w:t>Total employee benefits</w:t>
            </w:r>
          </w:p>
        </w:tc>
        <w:tc>
          <w:tcPr>
            <w:tcW w:w="1134" w:type="dxa"/>
            <w:shd w:val="clear" w:color="auto" w:fill="E7E6E6"/>
            <w:noWrap/>
            <w:hideMark/>
          </w:tcPr>
          <w:p w14:paraId="1DA752D5" w14:textId="77777777" w:rsidR="005F4A7E" w:rsidRPr="002029AF" w:rsidRDefault="005F4A7E" w:rsidP="00130D1C">
            <w:pPr>
              <w:pStyle w:val="ARfintablebodyrightbold"/>
            </w:pPr>
            <w:r w:rsidRPr="00BB6C2B">
              <w:t>1,500.3</w:t>
            </w:r>
          </w:p>
        </w:tc>
        <w:tc>
          <w:tcPr>
            <w:tcW w:w="1134" w:type="dxa"/>
            <w:noWrap/>
            <w:hideMark/>
          </w:tcPr>
          <w:p w14:paraId="3721864D" w14:textId="77777777" w:rsidR="005F4A7E" w:rsidRPr="002029AF" w:rsidRDefault="005F4A7E" w:rsidP="00130D1C">
            <w:pPr>
              <w:pStyle w:val="ARfintablebodyrightbold"/>
            </w:pPr>
            <w:r w:rsidRPr="00BB6C2B">
              <w:t>1,200.2</w:t>
            </w:r>
          </w:p>
        </w:tc>
      </w:tr>
    </w:tbl>
    <w:p w14:paraId="15F71EDB" w14:textId="77777777" w:rsidR="005F4A7E" w:rsidRPr="00194D78" w:rsidRDefault="005F4A7E" w:rsidP="00130D1C">
      <w:pPr>
        <w:pStyle w:val="ARfinbodyaftertable"/>
        <w:rPr>
          <w:strike/>
        </w:rPr>
      </w:pPr>
      <w:r w:rsidRPr="00194D78">
        <w:t xml:space="preserve">Employee </w:t>
      </w:r>
      <w:r>
        <w:t>benefits</w:t>
      </w:r>
      <w:r w:rsidRPr="00194D78">
        <w:t xml:space="preserve"> include all costs related to employment</w:t>
      </w:r>
      <w:r>
        <w:t>,</w:t>
      </w:r>
      <w:r w:rsidRPr="00194D78">
        <w:t xml:space="preserve"> including salaries and wages, leave entitlements, fringe benefits tax, </w:t>
      </w:r>
      <w:r>
        <w:t>termination benefits</w:t>
      </w:r>
      <w:r w:rsidRPr="00194D78">
        <w:t>, payroll tax and WorkCover premiums.</w:t>
      </w:r>
    </w:p>
    <w:p w14:paraId="44677F91" w14:textId="77777777" w:rsidR="005F4A7E" w:rsidRPr="00194D78" w:rsidRDefault="005F4A7E" w:rsidP="00130D1C">
      <w:pPr>
        <w:pStyle w:val="ARfinbody"/>
      </w:pPr>
      <w:r w:rsidRPr="00194D78">
        <w:t xml:space="preserve">The amount recognised in the comprehensive operating statement in relation to superannuation is employer contributions for members of both defined benefit and defined contribution superannuation plans that are paid or payable during the reporting period. Excluding former employees of the Director of Housing, the department does not recognise any defined benefit liabilities because it has no legal or constructive obligation to pay future benefits relating to its employees. Instead, the Department of Treasury and Finance discloses in its annual financial statements the net defined </w:t>
      </w:r>
      <w:r w:rsidRPr="00194D78">
        <w:lastRenderedPageBreak/>
        <w:t>benefit cost related to the members of these plans as an administered liability (on behalf of the state as the sponsoring employer).</w:t>
      </w:r>
    </w:p>
    <w:p w14:paraId="5195A681" w14:textId="77777777" w:rsidR="005F4A7E" w:rsidRPr="00194D78" w:rsidRDefault="005F4A7E" w:rsidP="00130D1C">
      <w:pPr>
        <w:pStyle w:val="ARfinbody"/>
      </w:pPr>
      <w:r w:rsidRPr="00194D78">
        <w:t>Termination benefits are payable when employment is terminated before normal retirement date, or when an employee accepts an offer of benefits in exchange for the termination of employment. Termination benefits are recognised when the department is demonstrably committed to terminating the employment of current employees according to a detailed formal plan without possibility of withdrawal or providing termination benefits as a result of an offer made to encourage voluntary redundancy.</w:t>
      </w:r>
    </w:p>
    <w:p w14:paraId="752191FB" w14:textId="77777777" w:rsidR="005F4A7E" w:rsidRDefault="005F4A7E" w:rsidP="00130D1C">
      <w:pPr>
        <w:pStyle w:val="Heading6"/>
      </w:pPr>
      <w:bookmarkStart w:id="806" w:name="_Toc85121382"/>
      <w:r>
        <w:t>3.1.1(b) Employee benefits in the balance sheet</w:t>
      </w:r>
      <w:bookmarkEnd w:id="806"/>
    </w:p>
    <w:p w14:paraId="23EA3256" w14:textId="77777777" w:rsidR="005F4A7E" w:rsidRDefault="005F4A7E" w:rsidP="00130D1C">
      <w:pPr>
        <w:pStyle w:val="ARfinbodylargespace"/>
      </w:pPr>
      <w:r w:rsidRPr="00194D78">
        <w:t xml:space="preserve">Provision is made for benefits accruing to employees in respect of annual leave and long service </w:t>
      </w:r>
      <w:r w:rsidRPr="003C0A19">
        <w:t xml:space="preserve">leave </w:t>
      </w:r>
      <w:r w:rsidRPr="00CA39EB">
        <w:t>(LSL)</w:t>
      </w:r>
      <w:r w:rsidRPr="00194D78">
        <w:t xml:space="preserve"> for services rendered to the reporting date and recorded as an expense during the period the services are delivered.</w:t>
      </w:r>
    </w:p>
    <w:tbl>
      <w:tblPr>
        <w:tblStyle w:val="TableGrid"/>
        <w:tblW w:w="9637" w:type="dxa"/>
        <w:tblLayout w:type="fixed"/>
        <w:tblLook w:val="06A0" w:firstRow="1" w:lastRow="0" w:firstColumn="1" w:lastColumn="0" w:noHBand="1" w:noVBand="1"/>
      </w:tblPr>
      <w:tblGrid>
        <w:gridCol w:w="7371"/>
        <w:gridCol w:w="1133"/>
        <w:gridCol w:w="1133"/>
      </w:tblGrid>
      <w:tr w:rsidR="005F4A7E" w:rsidRPr="002029AF" w14:paraId="4F5B5025"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6A99D34C" w14:textId="77777777" w:rsidR="005F4A7E" w:rsidRPr="002029AF" w:rsidRDefault="005F4A7E" w:rsidP="00860E95">
            <w:pPr>
              <w:pStyle w:val="ARfintablecolhead"/>
            </w:pPr>
          </w:p>
        </w:tc>
        <w:tc>
          <w:tcPr>
            <w:tcW w:w="1133" w:type="dxa"/>
            <w:tcBorders>
              <w:bottom w:val="single" w:sz="4" w:space="0" w:color="auto"/>
            </w:tcBorders>
            <w:shd w:val="clear" w:color="auto" w:fill="E7E6E6"/>
            <w:hideMark/>
          </w:tcPr>
          <w:p w14:paraId="2A4C0472" w14:textId="77777777" w:rsidR="005F4A7E" w:rsidRPr="002029AF" w:rsidRDefault="005F4A7E" w:rsidP="00860E95">
            <w:pPr>
              <w:pStyle w:val="ARfintablecolheadright"/>
            </w:pPr>
            <w:r>
              <w:t>2021</w:t>
            </w:r>
          </w:p>
          <w:p w14:paraId="41534A3A" w14:textId="77777777" w:rsidR="005F4A7E" w:rsidRPr="002029AF" w:rsidRDefault="005F4A7E" w:rsidP="00860E95">
            <w:pPr>
              <w:pStyle w:val="ARfintablecolheadright"/>
            </w:pPr>
            <w:r w:rsidRPr="002029AF">
              <w:t>$M</w:t>
            </w:r>
          </w:p>
        </w:tc>
        <w:tc>
          <w:tcPr>
            <w:tcW w:w="1133" w:type="dxa"/>
            <w:tcBorders>
              <w:bottom w:val="single" w:sz="4" w:space="0" w:color="auto"/>
            </w:tcBorders>
            <w:hideMark/>
          </w:tcPr>
          <w:p w14:paraId="3353717B" w14:textId="77777777" w:rsidR="005F4A7E" w:rsidRPr="002029AF" w:rsidRDefault="005F4A7E" w:rsidP="00860E95">
            <w:pPr>
              <w:pStyle w:val="ARfintablecolheadright"/>
            </w:pPr>
            <w:r>
              <w:t>2020</w:t>
            </w:r>
          </w:p>
          <w:p w14:paraId="2335506E" w14:textId="77777777" w:rsidR="005F4A7E" w:rsidRPr="002029AF" w:rsidRDefault="005F4A7E" w:rsidP="00860E95">
            <w:pPr>
              <w:pStyle w:val="ARfintablecolheadright"/>
            </w:pPr>
            <w:r w:rsidRPr="002029AF">
              <w:t>$M</w:t>
            </w:r>
          </w:p>
        </w:tc>
      </w:tr>
      <w:tr w:rsidR="005F4A7E" w:rsidRPr="002029AF" w14:paraId="1635496F" w14:textId="77777777" w:rsidTr="00860E95">
        <w:tc>
          <w:tcPr>
            <w:tcW w:w="9637" w:type="dxa"/>
            <w:gridSpan w:val="3"/>
            <w:tcBorders>
              <w:top w:val="single" w:sz="4" w:space="0" w:color="auto"/>
              <w:bottom w:val="single" w:sz="4" w:space="0" w:color="A6A6A6"/>
            </w:tcBorders>
            <w:hideMark/>
          </w:tcPr>
          <w:p w14:paraId="7D1E8084" w14:textId="77777777" w:rsidR="005F4A7E" w:rsidRPr="002029AF" w:rsidRDefault="005F4A7E" w:rsidP="00130D1C">
            <w:pPr>
              <w:pStyle w:val="ARfintablebodybold"/>
            </w:pPr>
            <w:r w:rsidRPr="00085FB8">
              <w:t>Current provisions</w:t>
            </w:r>
          </w:p>
        </w:tc>
      </w:tr>
      <w:tr w:rsidR="005F4A7E" w:rsidRPr="002029AF" w14:paraId="0C74C46D" w14:textId="77777777" w:rsidTr="00860E95">
        <w:tc>
          <w:tcPr>
            <w:tcW w:w="9637" w:type="dxa"/>
            <w:gridSpan w:val="3"/>
            <w:tcBorders>
              <w:top w:val="single" w:sz="4" w:space="0" w:color="A6A6A6"/>
              <w:bottom w:val="single" w:sz="4" w:space="0" w:color="A6A6A6"/>
            </w:tcBorders>
            <w:hideMark/>
          </w:tcPr>
          <w:p w14:paraId="154ED602" w14:textId="77777777" w:rsidR="005F4A7E" w:rsidRPr="002029AF" w:rsidRDefault="005F4A7E" w:rsidP="00130D1C">
            <w:pPr>
              <w:pStyle w:val="ARfintablebody"/>
            </w:pPr>
            <w:r w:rsidRPr="00085FB8">
              <w:t>Annual leave</w:t>
            </w:r>
          </w:p>
        </w:tc>
      </w:tr>
      <w:tr w:rsidR="005F4A7E" w:rsidRPr="002029AF" w14:paraId="2AD056DB" w14:textId="77777777" w:rsidTr="00860E95">
        <w:tc>
          <w:tcPr>
            <w:tcW w:w="7371" w:type="dxa"/>
            <w:tcBorders>
              <w:top w:val="single" w:sz="4" w:space="0" w:color="A6A6A6"/>
              <w:bottom w:val="single" w:sz="4" w:space="0" w:color="A6A6A6"/>
            </w:tcBorders>
            <w:hideMark/>
          </w:tcPr>
          <w:p w14:paraId="76A037D3" w14:textId="77777777" w:rsidR="005F4A7E" w:rsidRPr="002029AF" w:rsidRDefault="005F4A7E" w:rsidP="00130D1C">
            <w:pPr>
              <w:pStyle w:val="ARfintablebodyindent"/>
            </w:pPr>
            <w:r w:rsidRPr="00085FB8">
              <w:t>Unconditional and expected to be settled within 12 months</w:t>
            </w:r>
          </w:p>
        </w:tc>
        <w:tc>
          <w:tcPr>
            <w:tcW w:w="1133" w:type="dxa"/>
            <w:tcBorders>
              <w:top w:val="single" w:sz="4" w:space="0" w:color="A6A6A6"/>
              <w:bottom w:val="single" w:sz="4" w:space="0" w:color="A6A6A6"/>
            </w:tcBorders>
            <w:shd w:val="clear" w:color="auto" w:fill="E7E6E6"/>
            <w:noWrap/>
            <w:hideMark/>
          </w:tcPr>
          <w:p w14:paraId="7B8A9CA0" w14:textId="77777777" w:rsidR="005F4A7E" w:rsidRPr="002029AF" w:rsidRDefault="005F4A7E" w:rsidP="00130D1C">
            <w:pPr>
              <w:pStyle w:val="ARfintablebodyright"/>
            </w:pPr>
            <w:r w:rsidRPr="00085FB8">
              <w:t>84.9</w:t>
            </w:r>
          </w:p>
        </w:tc>
        <w:tc>
          <w:tcPr>
            <w:tcW w:w="1133" w:type="dxa"/>
            <w:tcBorders>
              <w:top w:val="single" w:sz="4" w:space="0" w:color="A6A6A6"/>
              <w:bottom w:val="single" w:sz="4" w:space="0" w:color="A6A6A6"/>
            </w:tcBorders>
            <w:noWrap/>
            <w:hideMark/>
          </w:tcPr>
          <w:p w14:paraId="0FA79373" w14:textId="77777777" w:rsidR="005F4A7E" w:rsidRPr="002029AF" w:rsidRDefault="005F4A7E" w:rsidP="00130D1C">
            <w:pPr>
              <w:pStyle w:val="ARfintablebodyright"/>
            </w:pPr>
            <w:r w:rsidRPr="00085FB8">
              <w:t>91.2</w:t>
            </w:r>
          </w:p>
        </w:tc>
      </w:tr>
      <w:tr w:rsidR="005F4A7E" w:rsidRPr="002029AF" w14:paraId="1CC59BB8" w14:textId="77777777" w:rsidTr="00860E95">
        <w:tc>
          <w:tcPr>
            <w:tcW w:w="7371" w:type="dxa"/>
            <w:tcBorders>
              <w:top w:val="single" w:sz="4" w:space="0" w:color="A6A6A6"/>
              <w:bottom w:val="single" w:sz="4" w:space="0" w:color="A6A6A6"/>
            </w:tcBorders>
            <w:hideMark/>
          </w:tcPr>
          <w:p w14:paraId="15A0CC41" w14:textId="77777777" w:rsidR="005F4A7E" w:rsidRPr="002029AF" w:rsidRDefault="005F4A7E" w:rsidP="00130D1C">
            <w:pPr>
              <w:pStyle w:val="ARfintablebodyindent"/>
            </w:pPr>
            <w:r w:rsidRPr="00085FB8">
              <w:t>Unconditional and expected to be settled after 12 months</w:t>
            </w:r>
          </w:p>
        </w:tc>
        <w:tc>
          <w:tcPr>
            <w:tcW w:w="1133" w:type="dxa"/>
            <w:tcBorders>
              <w:top w:val="single" w:sz="4" w:space="0" w:color="A6A6A6"/>
              <w:bottom w:val="single" w:sz="4" w:space="0" w:color="A6A6A6"/>
            </w:tcBorders>
            <w:shd w:val="clear" w:color="auto" w:fill="E7E6E6"/>
            <w:noWrap/>
            <w:hideMark/>
          </w:tcPr>
          <w:p w14:paraId="54C89209" w14:textId="77777777" w:rsidR="005F4A7E" w:rsidRPr="002029AF" w:rsidRDefault="005F4A7E" w:rsidP="00130D1C">
            <w:pPr>
              <w:pStyle w:val="ARfintablebodyright"/>
            </w:pPr>
            <w:r w:rsidRPr="00085FB8">
              <w:t>42.4</w:t>
            </w:r>
          </w:p>
        </w:tc>
        <w:tc>
          <w:tcPr>
            <w:tcW w:w="1133" w:type="dxa"/>
            <w:tcBorders>
              <w:top w:val="single" w:sz="4" w:space="0" w:color="A6A6A6"/>
              <w:bottom w:val="single" w:sz="4" w:space="0" w:color="A6A6A6"/>
            </w:tcBorders>
            <w:noWrap/>
            <w:hideMark/>
          </w:tcPr>
          <w:p w14:paraId="2D97347E" w14:textId="77777777" w:rsidR="005F4A7E" w:rsidRPr="002029AF" w:rsidRDefault="005F4A7E" w:rsidP="00130D1C">
            <w:pPr>
              <w:pStyle w:val="ARfintablebodyright"/>
            </w:pPr>
            <w:r w:rsidRPr="00085FB8">
              <w:t>49.5</w:t>
            </w:r>
          </w:p>
        </w:tc>
      </w:tr>
      <w:tr w:rsidR="005F4A7E" w:rsidRPr="002029AF" w14:paraId="14AB45D5" w14:textId="77777777" w:rsidTr="00860E95">
        <w:tc>
          <w:tcPr>
            <w:tcW w:w="9637" w:type="dxa"/>
            <w:gridSpan w:val="3"/>
            <w:tcBorders>
              <w:top w:val="single" w:sz="4" w:space="0" w:color="A6A6A6"/>
              <w:bottom w:val="single" w:sz="4" w:space="0" w:color="A6A6A6"/>
            </w:tcBorders>
            <w:hideMark/>
          </w:tcPr>
          <w:p w14:paraId="63F3A26E" w14:textId="77777777" w:rsidR="005F4A7E" w:rsidRPr="00EC6F46" w:rsidRDefault="005F4A7E" w:rsidP="00130D1C">
            <w:pPr>
              <w:pStyle w:val="ARfintablebody"/>
            </w:pPr>
            <w:r w:rsidRPr="00085FB8">
              <w:t>Maternity leave</w:t>
            </w:r>
          </w:p>
        </w:tc>
      </w:tr>
      <w:tr w:rsidR="005F4A7E" w:rsidRPr="002029AF" w14:paraId="1529268C" w14:textId="77777777" w:rsidTr="00860E95">
        <w:tc>
          <w:tcPr>
            <w:tcW w:w="7371" w:type="dxa"/>
            <w:tcBorders>
              <w:top w:val="single" w:sz="4" w:space="0" w:color="A6A6A6"/>
              <w:bottom w:val="single" w:sz="4" w:space="0" w:color="A6A6A6"/>
            </w:tcBorders>
            <w:hideMark/>
          </w:tcPr>
          <w:p w14:paraId="09A2B720" w14:textId="77777777" w:rsidR="005F4A7E" w:rsidRPr="002029AF" w:rsidRDefault="005F4A7E" w:rsidP="00130D1C">
            <w:pPr>
              <w:pStyle w:val="ARfintablebodyindent"/>
            </w:pPr>
            <w:r w:rsidRPr="00085FB8">
              <w:t>Unconditional and expected to be settled within 12 months</w:t>
            </w:r>
          </w:p>
        </w:tc>
        <w:tc>
          <w:tcPr>
            <w:tcW w:w="1133" w:type="dxa"/>
            <w:tcBorders>
              <w:top w:val="single" w:sz="4" w:space="0" w:color="A6A6A6"/>
              <w:bottom w:val="single" w:sz="4" w:space="0" w:color="A6A6A6"/>
            </w:tcBorders>
            <w:shd w:val="clear" w:color="auto" w:fill="E7E6E6"/>
            <w:noWrap/>
            <w:hideMark/>
          </w:tcPr>
          <w:p w14:paraId="425809B0" w14:textId="77777777" w:rsidR="005F4A7E" w:rsidRPr="002029AF" w:rsidRDefault="005F4A7E" w:rsidP="00130D1C">
            <w:pPr>
              <w:pStyle w:val="ARfintablebodyright"/>
            </w:pPr>
            <w:r w:rsidRPr="00085FB8">
              <w:t>11.1</w:t>
            </w:r>
          </w:p>
        </w:tc>
        <w:tc>
          <w:tcPr>
            <w:tcW w:w="1133" w:type="dxa"/>
            <w:tcBorders>
              <w:top w:val="single" w:sz="4" w:space="0" w:color="A6A6A6"/>
              <w:bottom w:val="single" w:sz="4" w:space="0" w:color="A6A6A6"/>
            </w:tcBorders>
            <w:noWrap/>
            <w:hideMark/>
          </w:tcPr>
          <w:p w14:paraId="46786E38" w14:textId="77777777" w:rsidR="005F4A7E" w:rsidRPr="002029AF" w:rsidRDefault="005F4A7E" w:rsidP="00130D1C">
            <w:pPr>
              <w:pStyle w:val="ARfintablebodyright"/>
            </w:pPr>
            <w:r w:rsidRPr="00085FB8">
              <w:t>5.2</w:t>
            </w:r>
          </w:p>
        </w:tc>
      </w:tr>
      <w:tr w:rsidR="005F4A7E" w:rsidRPr="002029AF" w14:paraId="52B6F0AD" w14:textId="77777777" w:rsidTr="00860E95">
        <w:tc>
          <w:tcPr>
            <w:tcW w:w="9637" w:type="dxa"/>
            <w:gridSpan w:val="3"/>
            <w:tcBorders>
              <w:top w:val="single" w:sz="4" w:space="0" w:color="A6A6A6"/>
              <w:bottom w:val="single" w:sz="4" w:space="0" w:color="A6A6A6"/>
            </w:tcBorders>
            <w:hideMark/>
          </w:tcPr>
          <w:p w14:paraId="66B89848" w14:textId="77777777" w:rsidR="005F4A7E" w:rsidRPr="00EC6F46" w:rsidRDefault="005F4A7E" w:rsidP="00130D1C">
            <w:pPr>
              <w:pStyle w:val="ARfintablebody"/>
            </w:pPr>
            <w:r w:rsidRPr="00085FB8">
              <w:t>Long service leave</w:t>
            </w:r>
          </w:p>
        </w:tc>
      </w:tr>
      <w:tr w:rsidR="005F4A7E" w:rsidRPr="002029AF" w14:paraId="46E9B4B9" w14:textId="77777777" w:rsidTr="00860E95">
        <w:tc>
          <w:tcPr>
            <w:tcW w:w="7371" w:type="dxa"/>
            <w:tcBorders>
              <w:top w:val="single" w:sz="4" w:space="0" w:color="A6A6A6"/>
              <w:bottom w:val="single" w:sz="4" w:space="0" w:color="A6A6A6"/>
            </w:tcBorders>
            <w:hideMark/>
          </w:tcPr>
          <w:p w14:paraId="4F3BF39D" w14:textId="77777777" w:rsidR="005F4A7E" w:rsidRPr="002029AF" w:rsidRDefault="005F4A7E" w:rsidP="00130D1C">
            <w:pPr>
              <w:pStyle w:val="ARfintablebodyindent"/>
            </w:pPr>
            <w:r w:rsidRPr="00085FB8">
              <w:t>Unconditional and expected to be settled within 12 months</w:t>
            </w:r>
          </w:p>
        </w:tc>
        <w:tc>
          <w:tcPr>
            <w:tcW w:w="1133" w:type="dxa"/>
            <w:tcBorders>
              <w:top w:val="single" w:sz="4" w:space="0" w:color="A6A6A6"/>
              <w:bottom w:val="single" w:sz="4" w:space="0" w:color="A6A6A6"/>
            </w:tcBorders>
            <w:shd w:val="clear" w:color="auto" w:fill="E7E6E6"/>
            <w:noWrap/>
            <w:hideMark/>
          </w:tcPr>
          <w:p w14:paraId="49FDB4E9" w14:textId="77777777" w:rsidR="005F4A7E" w:rsidRPr="002029AF" w:rsidRDefault="005F4A7E" w:rsidP="00130D1C">
            <w:pPr>
              <w:pStyle w:val="ARfintablebodyright"/>
            </w:pPr>
            <w:r w:rsidRPr="00085FB8">
              <w:t>16.6</w:t>
            </w:r>
          </w:p>
        </w:tc>
        <w:tc>
          <w:tcPr>
            <w:tcW w:w="1133" w:type="dxa"/>
            <w:tcBorders>
              <w:top w:val="single" w:sz="4" w:space="0" w:color="A6A6A6"/>
              <w:bottom w:val="single" w:sz="4" w:space="0" w:color="A6A6A6"/>
            </w:tcBorders>
            <w:noWrap/>
            <w:hideMark/>
          </w:tcPr>
          <w:p w14:paraId="2512378C" w14:textId="77777777" w:rsidR="005F4A7E" w:rsidRPr="002029AF" w:rsidRDefault="005F4A7E" w:rsidP="00130D1C">
            <w:pPr>
              <w:pStyle w:val="ARfintablebodyright"/>
            </w:pPr>
            <w:r w:rsidRPr="00085FB8">
              <w:t>21.4</w:t>
            </w:r>
          </w:p>
        </w:tc>
      </w:tr>
      <w:tr w:rsidR="005F4A7E" w:rsidRPr="002029AF" w14:paraId="5D7907FF" w14:textId="77777777" w:rsidTr="00860E95">
        <w:tc>
          <w:tcPr>
            <w:tcW w:w="7371" w:type="dxa"/>
            <w:tcBorders>
              <w:top w:val="single" w:sz="4" w:space="0" w:color="A6A6A6"/>
              <w:bottom w:val="single" w:sz="4" w:space="0" w:color="A6A6A6"/>
            </w:tcBorders>
            <w:hideMark/>
          </w:tcPr>
          <w:p w14:paraId="0EC70643" w14:textId="77777777" w:rsidR="005F4A7E" w:rsidRPr="002029AF" w:rsidRDefault="005F4A7E" w:rsidP="00130D1C">
            <w:pPr>
              <w:pStyle w:val="ARfintablebodyindent"/>
            </w:pPr>
            <w:r w:rsidRPr="00085FB8">
              <w:t>Unconditional and expected to be settled after 12 months</w:t>
            </w:r>
          </w:p>
        </w:tc>
        <w:tc>
          <w:tcPr>
            <w:tcW w:w="1133" w:type="dxa"/>
            <w:tcBorders>
              <w:top w:val="single" w:sz="4" w:space="0" w:color="A6A6A6"/>
              <w:bottom w:val="single" w:sz="4" w:space="0" w:color="A6A6A6"/>
            </w:tcBorders>
            <w:shd w:val="clear" w:color="auto" w:fill="E7E6E6"/>
            <w:noWrap/>
            <w:hideMark/>
          </w:tcPr>
          <w:p w14:paraId="0447DEC8" w14:textId="77777777" w:rsidR="005F4A7E" w:rsidRPr="002029AF" w:rsidRDefault="005F4A7E" w:rsidP="00130D1C">
            <w:pPr>
              <w:pStyle w:val="ARfintablebodyright"/>
            </w:pPr>
            <w:r w:rsidRPr="00085FB8">
              <w:t>147.4</w:t>
            </w:r>
          </w:p>
        </w:tc>
        <w:tc>
          <w:tcPr>
            <w:tcW w:w="1133" w:type="dxa"/>
            <w:tcBorders>
              <w:top w:val="single" w:sz="4" w:space="0" w:color="A6A6A6"/>
              <w:bottom w:val="single" w:sz="4" w:space="0" w:color="A6A6A6"/>
            </w:tcBorders>
            <w:noWrap/>
            <w:hideMark/>
          </w:tcPr>
          <w:p w14:paraId="543A5919" w14:textId="77777777" w:rsidR="005F4A7E" w:rsidRPr="002029AF" w:rsidRDefault="005F4A7E" w:rsidP="00130D1C">
            <w:pPr>
              <w:pStyle w:val="ARfintablebodyright"/>
            </w:pPr>
            <w:r w:rsidRPr="00085FB8">
              <w:t>193.1</w:t>
            </w:r>
          </w:p>
        </w:tc>
      </w:tr>
      <w:tr w:rsidR="005F4A7E" w:rsidRPr="002029AF" w14:paraId="083A8920" w14:textId="77777777" w:rsidTr="00860E95">
        <w:tc>
          <w:tcPr>
            <w:tcW w:w="9637" w:type="dxa"/>
            <w:gridSpan w:val="3"/>
            <w:tcBorders>
              <w:top w:val="single" w:sz="4" w:space="0" w:color="A6A6A6"/>
              <w:bottom w:val="single" w:sz="4" w:space="0" w:color="A6A6A6"/>
            </w:tcBorders>
            <w:hideMark/>
          </w:tcPr>
          <w:p w14:paraId="07349B68" w14:textId="77777777" w:rsidR="005F4A7E" w:rsidRPr="00EC6F46" w:rsidRDefault="005F4A7E" w:rsidP="00130D1C">
            <w:pPr>
              <w:pStyle w:val="ARfintablebody"/>
            </w:pPr>
            <w:r w:rsidRPr="00085FB8">
              <w:t>Superannuation</w:t>
            </w:r>
          </w:p>
        </w:tc>
      </w:tr>
      <w:tr w:rsidR="005F4A7E" w:rsidRPr="002029AF" w14:paraId="09C33A32" w14:textId="77777777" w:rsidTr="00860E95">
        <w:tc>
          <w:tcPr>
            <w:tcW w:w="7371" w:type="dxa"/>
            <w:tcBorders>
              <w:top w:val="single" w:sz="4" w:space="0" w:color="A6A6A6"/>
              <w:bottom w:val="single" w:sz="4" w:space="0" w:color="A6A6A6"/>
            </w:tcBorders>
            <w:hideMark/>
          </w:tcPr>
          <w:p w14:paraId="48AB47C6" w14:textId="77777777" w:rsidR="005F4A7E" w:rsidRPr="002029AF" w:rsidRDefault="005F4A7E" w:rsidP="00130D1C">
            <w:pPr>
              <w:pStyle w:val="ARfintablebodyindent"/>
            </w:pPr>
            <w:r w:rsidRPr="00085FB8">
              <w:t>Unconditional and expected to be settled within 12 months</w:t>
            </w:r>
          </w:p>
        </w:tc>
        <w:tc>
          <w:tcPr>
            <w:tcW w:w="1133" w:type="dxa"/>
            <w:tcBorders>
              <w:top w:val="single" w:sz="4" w:space="0" w:color="A6A6A6"/>
              <w:bottom w:val="single" w:sz="4" w:space="0" w:color="A6A6A6"/>
            </w:tcBorders>
            <w:shd w:val="clear" w:color="auto" w:fill="E7E6E6"/>
            <w:noWrap/>
            <w:hideMark/>
          </w:tcPr>
          <w:p w14:paraId="6DED44C7" w14:textId="77777777" w:rsidR="005F4A7E" w:rsidRPr="002029AF" w:rsidRDefault="005F4A7E" w:rsidP="00130D1C">
            <w:pPr>
              <w:pStyle w:val="ARfintablebodyright"/>
            </w:pPr>
            <w:r w:rsidRPr="00085FB8">
              <w:t>2.5</w:t>
            </w:r>
          </w:p>
        </w:tc>
        <w:tc>
          <w:tcPr>
            <w:tcW w:w="1133" w:type="dxa"/>
            <w:tcBorders>
              <w:top w:val="single" w:sz="4" w:space="0" w:color="A6A6A6"/>
              <w:bottom w:val="single" w:sz="4" w:space="0" w:color="A6A6A6"/>
            </w:tcBorders>
            <w:noWrap/>
            <w:hideMark/>
          </w:tcPr>
          <w:p w14:paraId="42747BEE" w14:textId="77777777" w:rsidR="005F4A7E" w:rsidRPr="002029AF" w:rsidRDefault="005F4A7E" w:rsidP="00130D1C">
            <w:pPr>
              <w:pStyle w:val="ARfintablebodyright"/>
            </w:pPr>
            <w:r w:rsidRPr="00085FB8">
              <w:t>2.6</w:t>
            </w:r>
          </w:p>
        </w:tc>
      </w:tr>
      <w:tr w:rsidR="005F4A7E" w:rsidRPr="002029AF" w14:paraId="05B8BB47" w14:textId="77777777" w:rsidTr="00860E95">
        <w:tc>
          <w:tcPr>
            <w:tcW w:w="9637" w:type="dxa"/>
            <w:gridSpan w:val="3"/>
            <w:tcBorders>
              <w:top w:val="single" w:sz="4" w:space="0" w:color="A6A6A6"/>
              <w:bottom w:val="single" w:sz="4" w:space="0" w:color="A6A6A6"/>
            </w:tcBorders>
            <w:hideMark/>
          </w:tcPr>
          <w:p w14:paraId="219C56C0" w14:textId="77777777" w:rsidR="005F4A7E" w:rsidRPr="00EC6F46" w:rsidRDefault="005F4A7E" w:rsidP="00130D1C">
            <w:pPr>
              <w:pStyle w:val="ARfintablebody"/>
            </w:pPr>
            <w:r w:rsidRPr="00085FB8">
              <w:t>Provisions for on-costs</w:t>
            </w:r>
          </w:p>
        </w:tc>
      </w:tr>
      <w:tr w:rsidR="005F4A7E" w:rsidRPr="002029AF" w14:paraId="7807A8F9" w14:textId="77777777" w:rsidTr="00860E95">
        <w:tc>
          <w:tcPr>
            <w:tcW w:w="7371" w:type="dxa"/>
            <w:tcBorders>
              <w:top w:val="single" w:sz="4" w:space="0" w:color="A6A6A6"/>
              <w:bottom w:val="single" w:sz="4" w:space="0" w:color="A6A6A6"/>
            </w:tcBorders>
            <w:hideMark/>
          </w:tcPr>
          <w:p w14:paraId="1AF536C3" w14:textId="77777777" w:rsidR="005F4A7E" w:rsidRPr="002029AF" w:rsidRDefault="005F4A7E" w:rsidP="00130D1C">
            <w:pPr>
              <w:pStyle w:val="ARfintablebodyindent"/>
            </w:pPr>
            <w:r w:rsidRPr="00085FB8">
              <w:t>Unconditional and expected to be settled within 12 months</w:t>
            </w:r>
          </w:p>
        </w:tc>
        <w:tc>
          <w:tcPr>
            <w:tcW w:w="1133" w:type="dxa"/>
            <w:tcBorders>
              <w:top w:val="single" w:sz="4" w:space="0" w:color="A6A6A6"/>
              <w:bottom w:val="single" w:sz="4" w:space="0" w:color="A6A6A6"/>
            </w:tcBorders>
            <w:shd w:val="clear" w:color="auto" w:fill="E7E6E6"/>
            <w:noWrap/>
            <w:hideMark/>
          </w:tcPr>
          <w:p w14:paraId="4C429182" w14:textId="77777777" w:rsidR="005F4A7E" w:rsidRPr="002029AF" w:rsidRDefault="005F4A7E" w:rsidP="00130D1C">
            <w:pPr>
              <w:pStyle w:val="ARfintablebodyright"/>
            </w:pPr>
            <w:r w:rsidRPr="00085FB8">
              <w:t>15.7</w:t>
            </w:r>
          </w:p>
        </w:tc>
        <w:tc>
          <w:tcPr>
            <w:tcW w:w="1133" w:type="dxa"/>
            <w:tcBorders>
              <w:top w:val="single" w:sz="4" w:space="0" w:color="A6A6A6"/>
              <w:bottom w:val="single" w:sz="4" w:space="0" w:color="A6A6A6"/>
            </w:tcBorders>
            <w:noWrap/>
            <w:hideMark/>
          </w:tcPr>
          <w:p w14:paraId="30D50AAF" w14:textId="77777777" w:rsidR="005F4A7E" w:rsidRPr="002029AF" w:rsidRDefault="005F4A7E" w:rsidP="00130D1C">
            <w:pPr>
              <w:pStyle w:val="ARfintablebodyright"/>
            </w:pPr>
            <w:r w:rsidRPr="00085FB8">
              <w:t>17.3</w:t>
            </w:r>
          </w:p>
        </w:tc>
      </w:tr>
      <w:tr w:rsidR="005F4A7E" w:rsidRPr="002029AF" w14:paraId="3E9168FC" w14:textId="77777777" w:rsidTr="00860E95">
        <w:tc>
          <w:tcPr>
            <w:tcW w:w="7371" w:type="dxa"/>
            <w:tcBorders>
              <w:top w:val="single" w:sz="4" w:space="0" w:color="A6A6A6"/>
            </w:tcBorders>
            <w:hideMark/>
          </w:tcPr>
          <w:p w14:paraId="58EA4AA6" w14:textId="77777777" w:rsidR="005F4A7E" w:rsidRPr="002029AF" w:rsidRDefault="005F4A7E" w:rsidP="00130D1C">
            <w:pPr>
              <w:pStyle w:val="ARfintablebodyindent"/>
            </w:pPr>
            <w:r w:rsidRPr="00085FB8">
              <w:t>Unconditional and expected to be settled after 12 months</w:t>
            </w:r>
          </w:p>
        </w:tc>
        <w:tc>
          <w:tcPr>
            <w:tcW w:w="1133" w:type="dxa"/>
            <w:tcBorders>
              <w:top w:val="single" w:sz="4" w:space="0" w:color="A6A6A6"/>
            </w:tcBorders>
            <w:shd w:val="clear" w:color="auto" w:fill="E7E6E6"/>
            <w:noWrap/>
            <w:hideMark/>
          </w:tcPr>
          <w:p w14:paraId="2F3E9540" w14:textId="77777777" w:rsidR="005F4A7E" w:rsidRPr="002029AF" w:rsidRDefault="005F4A7E" w:rsidP="00130D1C">
            <w:pPr>
              <w:pStyle w:val="ARfintablebodyright"/>
            </w:pPr>
            <w:r w:rsidRPr="00085FB8">
              <w:t>30.4</w:t>
            </w:r>
          </w:p>
        </w:tc>
        <w:tc>
          <w:tcPr>
            <w:tcW w:w="1133" w:type="dxa"/>
            <w:tcBorders>
              <w:top w:val="single" w:sz="4" w:space="0" w:color="A6A6A6"/>
            </w:tcBorders>
            <w:noWrap/>
            <w:hideMark/>
          </w:tcPr>
          <w:p w14:paraId="0EF09504" w14:textId="77777777" w:rsidR="005F4A7E" w:rsidRPr="002029AF" w:rsidRDefault="005F4A7E" w:rsidP="00130D1C">
            <w:pPr>
              <w:pStyle w:val="ARfintablebodyright"/>
            </w:pPr>
            <w:r w:rsidRPr="00085FB8">
              <w:t>38.1</w:t>
            </w:r>
          </w:p>
        </w:tc>
      </w:tr>
      <w:tr w:rsidR="005F4A7E" w:rsidRPr="002029AF" w14:paraId="07952986" w14:textId="77777777" w:rsidTr="00860E95">
        <w:tc>
          <w:tcPr>
            <w:tcW w:w="7371" w:type="dxa"/>
            <w:tcBorders>
              <w:bottom w:val="single" w:sz="4" w:space="0" w:color="auto"/>
            </w:tcBorders>
            <w:hideMark/>
          </w:tcPr>
          <w:p w14:paraId="6B755DAA" w14:textId="77777777" w:rsidR="005F4A7E" w:rsidRPr="002029AF" w:rsidRDefault="005F4A7E" w:rsidP="00130D1C">
            <w:pPr>
              <w:pStyle w:val="ARfintablebodybold"/>
            </w:pPr>
            <w:r w:rsidRPr="00085FB8">
              <w:t>Total current provisions for employee benefits</w:t>
            </w:r>
          </w:p>
        </w:tc>
        <w:tc>
          <w:tcPr>
            <w:tcW w:w="1133" w:type="dxa"/>
            <w:tcBorders>
              <w:bottom w:val="single" w:sz="4" w:space="0" w:color="auto"/>
            </w:tcBorders>
            <w:shd w:val="clear" w:color="auto" w:fill="E7E6E6"/>
            <w:noWrap/>
            <w:hideMark/>
          </w:tcPr>
          <w:p w14:paraId="109745F6" w14:textId="77777777" w:rsidR="005F4A7E" w:rsidRPr="002029AF" w:rsidRDefault="005F4A7E" w:rsidP="00130D1C">
            <w:pPr>
              <w:pStyle w:val="ARfintablebodyrightbold"/>
            </w:pPr>
            <w:r w:rsidRPr="00085FB8">
              <w:t>351.0</w:t>
            </w:r>
          </w:p>
        </w:tc>
        <w:tc>
          <w:tcPr>
            <w:tcW w:w="1133" w:type="dxa"/>
            <w:tcBorders>
              <w:bottom w:val="single" w:sz="4" w:space="0" w:color="auto"/>
            </w:tcBorders>
            <w:noWrap/>
            <w:hideMark/>
          </w:tcPr>
          <w:p w14:paraId="1663A3F2" w14:textId="77777777" w:rsidR="005F4A7E" w:rsidRPr="002029AF" w:rsidRDefault="005F4A7E" w:rsidP="00130D1C">
            <w:pPr>
              <w:pStyle w:val="ARfintablebodyrightbold"/>
            </w:pPr>
            <w:r w:rsidRPr="00085FB8">
              <w:t>418.4</w:t>
            </w:r>
          </w:p>
        </w:tc>
      </w:tr>
      <w:tr w:rsidR="005F4A7E" w:rsidRPr="002029AF" w14:paraId="7DF0EA7E" w14:textId="77777777" w:rsidTr="00860E95">
        <w:tc>
          <w:tcPr>
            <w:tcW w:w="9637" w:type="dxa"/>
            <w:gridSpan w:val="3"/>
            <w:tcBorders>
              <w:top w:val="single" w:sz="4" w:space="0" w:color="auto"/>
              <w:bottom w:val="single" w:sz="4" w:space="0" w:color="A6A6A6"/>
            </w:tcBorders>
            <w:hideMark/>
          </w:tcPr>
          <w:p w14:paraId="0066AC69" w14:textId="77777777" w:rsidR="005F4A7E" w:rsidRPr="002029AF" w:rsidRDefault="005F4A7E" w:rsidP="00130D1C">
            <w:pPr>
              <w:pStyle w:val="ARfintablebodybold"/>
            </w:pPr>
            <w:r w:rsidRPr="00085FB8">
              <w:t>Non-current provisions</w:t>
            </w:r>
          </w:p>
        </w:tc>
      </w:tr>
      <w:tr w:rsidR="005F4A7E" w:rsidRPr="002029AF" w14:paraId="4BDADADE" w14:textId="77777777" w:rsidTr="00860E95">
        <w:tc>
          <w:tcPr>
            <w:tcW w:w="7371" w:type="dxa"/>
            <w:tcBorders>
              <w:top w:val="single" w:sz="4" w:space="0" w:color="A6A6A6"/>
              <w:bottom w:val="single" w:sz="4" w:space="0" w:color="A6A6A6"/>
            </w:tcBorders>
            <w:hideMark/>
          </w:tcPr>
          <w:p w14:paraId="1E60E661" w14:textId="77777777" w:rsidR="005F4A7E" w:rsidRPr="002029AF" w:rsidRDefault="005F4A7E" w:rsidP="00130D1C">
            <w:pPr>
              <w:pStyle w:val="ARfintablebody"/>
            </w:pPr>
            <w:r w:rsidRPr="00085FB8">
              <w:t xml:space="preserve">Conditional </w:t>
            </w:r>
            <w:r w:rsidRPr="00D109FD">
              <w:t>long service leave</w:t>
            </w:r>
            <w:r w:rsidRPr="00085FB8">
              <w:t xml:space="preserve"> entitlements</w:t>
            </w:r>
          </w:p>
        </w:tc>
        <w:tc>
          <w:tcPr>
            <w:tcW w:w="1133" w:type="dxa"/>
            <w:tcBorders>
              <w:top w:val="single" w:sz="4" w:space="0" w:color="A6A6A6"/>
              <w:bottom w:val="single" w:sz="4" w:space="0" w:color="A6A6A6"/>
            </w:tcBorders>
            <w:shd w:val="clear" w:color="auto" w:fill="E7E6E6"/>
            <w:noWrap/>
            <w:hideMark/>
          </w:tcPr>
          <w:p w14:paraId="0672C9D2" w14:textId="77777777" w:rsidR="005F4A7E" w:rsidRPr="002029AF" w:rsidRDefault="005F4A7E" w:rsidP="00130D1C">
            <w:pPr>
              <w:pStyle w:val="ARfintablebodyright"/>
            </w:pPr>
            <w:r w:rsidRPr="00085FB8">
              <w:t>28.2</w:t>
            </w:r>
          </w:p>
        </w:tc>
        <w:tc>
          <w:tcPr>
            <w:tcW w:w="1133" w:type="dxa"/>
            <w:tcBorders>
              <w:top w:val="single" w:sz="4" w:space="0" w:color="A6A6A6"/>
              <w:bottom w:val="single" w:sz="4" w:space="0" w:color="A6A6A6"/>
            </w:tcBorders>
            <w:noWrap/>
            <w:hideMark/>
          </w:tcPr>
          <w:p w14:paraId="7CB521B3" w14:textId="77777777" w:rsidR="005F4A7E" w:rsidRPr="002029AF" w:rsidRDefault="005F4A7E" w:rsidP="00130D1C">
            <w:pPr>
              <w:pStyle w:val="ARfintablebodyright"/>
            </w:pPr>
            <w:r w:rsidRPr="00085FB8">
              <w:t>31.1</w:t>
            </w:r>
          </w:p>
        </w:tc>
      </w:tr>
      <w:tr w:rsidR="005F4A7E" w:rsidRPr="002029AF" w14:paraId="7523D277" w14:textId="77777777" w:rsidTr="00860E95">
        <w:tc>
          <w:tcPr>
            <w:tcW w:w="7371" w:type="dxa"/>
            <w:tcBorders>
              <w:top w:val="single" w:sz="4" w:space="0" w:color="A6A6A6"/>
              <w:bottom w:val="single" w:sz="4" w:space="0" w:color="A6A6A6"/>
            </w:tcBorders>
            <w:hideMark/>
          </w:tcPr>
          <w:p w14:paraId="260B66D1" w14:textId="77777777" w:rsidR="005F4A7E" w:rsidRPr="002029AF" w:rsidRDefault="005F4A7E" w:rsidP="00130D1C">
            <w:pPr>
              <w:pStyle w:val="ARfintablebody"/>
            </w:pPr>
            <w:r w:rsidRPr="00085FB8">
              <w:t>Superannuation</w:t>
            </w:r>
          </w:p>
        </w:tc>
        <w:tc>
          <w:tcPr>
            <w:tcW w:w="1133" w:type="dxa"/>
            <w:tcBorders>
              <w:top w:val="single" w:sz="4" w:space="0" w:color="A6A6A6"/>
              <w:bottom w:val="single" w:sz="4" w:space="0" w:color="A6A6A6"/>
            </w:tcBorders>
            <w:shd w:val="clear" w:color="auto" w:fill="E7E6E6"/>
            <w:noWrap/>
            <w:hideMark/>
          </w:tcPr>
          <w:p w14:paraId="1E74368C" w14:textId="77777777" w:rsidR="005F4A7E" w:rsidRPr="002029AF" w:rsidRDefault="005F4A7E" w:rsidP="00130D1C">
            <w:pPr>
              <w:pStyle w:val="ARfintablebodyright"/>
            </w:pPr>
            <w:r w:rsidRPr="00085FB8">
              <w:t>28.9</w:t>
            </w:r>
          </w:p>
        </w:tc>
        <w:tc>
          <w:tcPr>
            <w:tcW w:w="1133" w:type="dxa"/>
            <w:tcBorders>
              <w:top w:val="single" w:sz="4" w:space="0" w:color="A6A6A6"/>
              <w:bottom w:val="single" w:sz="4" w:space="0" w:color="A6A6A6"/>
            </w:tcBorders>
            <w:noWrap/>
            <w:hideMark/>
          </w:tcPr>
          <w:p w14:paraId="6B5D4B6F" w14:textId="77777777" w:rsidR="005F4A7E" w:rsidRPr="002029AF" w:rsidRDefault="005F4A7E" w:rsidP="00130D1C">
            <w:pPr>
              <w:pStyle w:val="ARfintablebodyright"/>
            </w:pPr>
            <w:r w:rsidRPr="00085FB8">
              <w:t>29.6</w:t>
            </w:r>
          </w:p>
        </w:tc>
      </w:tr>
      <w:tr w:rsidR="005F4A7E" w:rsidRPr="002029AF" w14:paraId="0F558FEA" w14:textId="77777777" w:rsidTr="00860E95">
        <w:tc>
          <w:tcPr>
            <w:tcW w:w="7371" w:type="dxa"/>
            <w:tcBorders>
              <w:top w:val="single" w:sz="4" w:space="0" w:color="A6A6A6"/>
            </w:tcBorders>
            <w:hideMark/>
          </w:tcPr>
          <w:p w14:paraId="7A4E03DB" w14:textId="77777777" w:rsidR="005F4A7E" w:rsidRPr="002029AF" w:rsidRDefault="005F4A7E" w:rsidP="00130D1C">
            <w:pPr>
              <w:pStyle w:val="ARfintablebody"/>
            </w:pPr>
            <w:r w:rsidRPr="00085FB8">
              <w:t>Provisions for on-costs</w:t>
            </w:r>
          </w:p>
        </w:tc>
        <w:tc>
          <w:tcPr>
            <w:tcW w:w="1133" w:type="dxa"/>
            <w:tcBorders>
              <w:top w:val="single" w:sz="4" w:space="0" w:color="A6A6A6"/>
            </w:tcBorders>
            <w:shd w:val="clear" w:color="auto" w:fill="E7E6E6"/>
            <w:noWrap/>
            <w:hideMark/>
          </w:tcPr>
          <w:p w14:paraId="1DF6E6AA" w14:textId="77777777" w:rsidR="005F4A7E" w:rsidRPr="002029AF" w:rsidRDefault="005F4A7E" w:rsidP="00130D1C">
            <w:pPr>
              <w:pStyle w:val="ARfintablebodyright"/>
            </w:pPr>
            <w:r w:rsidRPr="00085FB8">
              <w:t>4.5</w:t>
            </w:r>
          </w:p>
        </w:tc>
        <w:tc>
          <w:tcPr>
            <w:tcW w:w="1133" w:type="dxa"/>
            <w:tcBorders>
              <w:top w:val="single" w:sz="4" w:space="0" w:color="A6A6A6"/>
            </w:tcBorders>
            <w:noWrap/>
            <w:hideMark/>
          </w:tcPr>
          <w:p w14:paraId="23FBD636" w14:textId="77777777" w:rsidR="005F4A7E" w:rsidRPr="002029AF" w:rsidRDefault="005F4A7E" w:rsidP="00130D1C">
            <w:pPr>
              <w:pStyle w:val="ARfintablebodyright"/>
            </w:pPr>
            <w:r w:rsidRPr="00085FB8">
              <w:t>4.9</w:t>
            </w:r>
          </w:p>
        </w:tc>
      </w:tr>
      <w:tr w:rsidR="005F4A7E" w:rsidRPr="002029AF" w14:paraId="597E71F2" w14:textId="77777777" w:rsidTr="00860E95">
        <w:tc>
          <w:tcPr>
            <w:tcW w:w="7371" w:type="dxa"/>
            <w:hideMark/>
          </w:tcPr>
          <w:p w14:paraId="607EC39F" w14:textId="77777777" w:rsidR="005F4A7E" w:rsidRPr="002029AF" w:rsidRDefault="005F4A7E" w:rsidP="00130D1C">
            <w:pPr>
              <w:pStyle w:val="ARfintablebodybold"/>
            </w:pPr>
            <w:r w:rsidRPr="00085FB8">
              <w:t>Total non-current provisions for employee benefits</w:t>
            </w:r>
          </w:p>
        </w:tc>
        <w:tc>
          <w:tcPr>
            <w:tcW w:w="1133" w:type="dxa"/>
            <w:shd w:val="clear" w:color="auto" w:fill="E7E6E6"/>
            <w:noWrap/>
            <w:hideMark/>
          </w:tcPr>
          <w:p w14:paraId="7A238CC4" w14:textId="77777777" w:rsidR="005F4A7E" w:rsidRPr="002029AF" w:rsidRDefault="005F4A7E" w:rsidP="00130D1C">
            <w:pPr>
              <w:pStyle w:val="ARfintablebodyrightbold"/>
            </w:pPr>
            <w:r w:rsidRPr="00085FB8">
              <w:t>61.6</w:t>
            </w:r>
          </w:p>
        </w:tc>
        <w:tc>
          <w:tcPr>
            <w:tcW w:w="1133" w:type="dxa"/>
            <w:noWrap/>
            <w:hideMark/>
          </w:tcPr>
          <w:p w14:paraId="40DC2B85" w14:textId="77777777" w:rsidR="005F4A7E" w:rsidRPr="002029AF" w:rsidRDefault="005F4A7E" w:rsidP="00130D1C">
            <w:pPr>
              <w:pStyle w:val="ARfintablebodyrightbold"/>
            </w:pPr>
            <w:r w:rsidRPr="00085FB8">
              <w:t>65.6</w:t>
            </w:r>
          </w:p>
        </w:tc>
      </w:tr>
      <w:tr w:rsidR="005F4A7E" w:rsidRPr="002029AF" w14:paraId="7F80C37C" w14:textId="77777777" w:rsidTr="00860E95">
        <w:tc>
          <w:tcPr>
            <w:tcW w:w="7371" w:type="dxa"/>
            <w:hideMark/>
          </w:tcPr>
          <w:p w14:paraId="62E62894" w14:textId="77777777" w:rsidR="005F4A7E" w:rsidRPr="002029AF" w:rsidRDefault="005F4A7E" w:rsidP="00130D1C">
            <w:pPr>
              <w:pStyle w:val="ARfintablebodybold"/>
            </w:pPr>
            <w:r w:rsidRPr="00085FB8">
              <w:t>Total provisions for employee benefits</w:t>
            </w:r>
          </w:p>
        </w:tc>
        <w:tc>
          <w:tcPr>
            <w:tcW w:w="1133" w:type="dxa"/>
            <w:shd w:val="clear" w:color="auto" w:fill="E7E6E6"/>
            <w:noWrap/>
            <w:hideMark/>
          </w:tcPr>
          <w:p w14:paraId="32AFA389" w14:textId="77777777" w:rsidR="005F4A7E" w:rsidRPr="002029AF" w:rsidRDefault="005F4A7E" w:rsidP="00130D1C">
            <w:pPr>
              <w:pStyle w:val="ARfintablebodyrightbold"/>
            </w:pPr>
            <w:r w:rsidRPr="00085FB8">
              <w:t>412.6</w:t>
            </w:r>
          </w:p>
        </w:tc>
        <w:tc>
          <w:tcPr>
            <w:tcW w:w="1133" w:type="dxa"/>
            <w:noWrap/>
            <w:hideMark/>
          </w:tcPr>
          <w:p w14:paraId="17219C95" w14:textId="77777777" w:rsidR="005F4A7E" w:rsidRPr="002029AF" w:rsidRDefault="005F4A7E" w:rsidP="00130D1C">
            <w:pPr>
              <w:pStyle w:val="ARfintablebodyrightbold"/>
            </w:pPr>
            <w:r w:rsidRPr="00085FB8">
              <w:t>484.0</w:t>
            </w:r>
          </w:p>
        </w:tc>
      </w:tr>
    </w:tbl>
    <w:p w14:paraId="09D87791" w14:textId="77777777" w:rsidR="005F4A7E" w:rsidRPr="002029AF" w:rsidRDefault="005F4A7E" w:rsidP="00087B91">
      <w:pPr>
        <w:pStyle w:val="Heading7"/>
      </w:pPr>
      <w:bookmarkStart w:id="807" w:name="_Toc85121383"/>
      <w:r w:rsidRPr="009373AD">
        <w:t>Reconciliation of movement in on-cost provision</w:t>
      </w:r>
      <w:bookmarkEnd w:id="807"/>
    </w:p>
    <w:tbl>
      <w:tblPr>
        <w:tblStyle w:val="TableGrid"/>
        <w:tblW w:w="8505" w:type="dxa"/>
        <w:tblLayout w:type="fixed"/>
        <w:tblLook w:val="06A0" w:firstRow="1" w:lastRow="0" w:firstColumn="1" w:lastColumn="0" w:noHBand="1" w:noVBand="1"/>
      </w:tblPr>
      <w:tblGrid>
        <w:gridCol w:w="7371"/>
        <w:gridCol w:w="1134"/>
      </w:tblGrid>
      <w:tr w:rsidR="005F4A7E" w:rsidRPr="002029AF" w14:paraId="550A1812"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506FB18B" w14:textId="77777777" w:rsidR="005F4A7E" w:rsidRPr="002029AF" w:rsidRDefault="005F4A7E" w:rsidP="00860E95">
            <w:pPr>
              <w:pStyle w:val="ARfintablecolhead"/>
            </w:pPr>
          </w:p>
        </w:tc>
        <w:tc>
          <w:tcPr>
            <w:tcW w:w="1134" w:type="dxa"/>
            <w:tcBorders>
              <w:bottom w:val="single" w:sz="4" w:space="0" w:color="auto"/>
            </w:tcBorders>
            <w:hideMark/>
          </w:tcPr>
          <w:p w14:paraId="67FB005A" w14:textId="77777777" w:rsidR="005F4A7E" w:rsidRPr="002029AF" w:rsidRDefault="005F4A7E" w:rsidP="00860E95">
            <w:pPr>
              <w:pStyle w:val="ARfintablecolheadright"/>
            </w:pPr>
            <w:r>
              <w:t>2021</w:t>
            </w:r>
          </w:p>
          <w:p w14:paraId="23497B40" w14:textId="77777777" w:rsidR="005F4A7E" w:rsidRPr="002029AF" w:rsidRDefault="005F4A7E" w:rsidP="00860E95">
            <w:pPr>
              <w:pStyle w:val="ARfintablecolheadright"/>
            </w:pPr>
            <w:r w:rsidRPr="002029AF">
              <w:t>$M</w:t>
            </w:r>
          </w:p>
        </w:tc>
      </w:tr>
      <w:tr w:rsidR="005F4A7E" w:rsidRPr="002029AF" w14:paraId="0E814E82" w14:textId="77777777" w:rsidTr="00860E95">
        <w:tc>
          <w:tcPr>
            <w:tcW w:w="7371" w:type="dxa"/>
            <w:tcBorders>
              <w:top w:val="single" w:sz="4" w:space="0" w:color="auto"/>
              <w:bottom w:val="single" w:sz="4" w:space="0" w:color="A6A6A6"/>
            </w:tcBorders>
            <w:hideMark/>
          </w:tcPr>
          <w:p w14:paraId="7F4A51DD" w14:textId="77777777" w:rsidR="005F4A7E" w:rsidRPr="002029AF" w:rsidRDefault="005F4A7E" w:rsidP="00130D1C">
            <w:pPr>
              <w:pStyle w:val="ARfintablebodybold"/>
            </w:pPr>
            <w:r w:rsidRPr="002A7CA9">
              <w:t>Opening balance</w:t>
            </w:r>
          </w:p>
        </w:tc>
        <w:tc>
          <w:tcPr>
            <w:tcW w:w="1134" w:type="dxa"/>
            <w:tcBorders>
              <w:top w:val="single" w:sz="4" w:space="0" w:color="auto"/>
              <w:bottom w:val="single" w:sz="4" w:space="0" w:color="A6A6A6"/>
            </w:tcBorders>
            <w:noWrap/>
            <w:hideMark/>
          </w:tcPr>
          <w:p w14:paraId="613377A1" w14:textId="77777777" w:rsidR="005F4A7E" w:rsidRPr="002029AF" w:rsidRDefault="005F4A7E" w:rsidP="00130D1C">
            <w:pPr>
              <w:pStyle w:val="ARfintablebodyrightbold"/>
            </w:pPr>
            <w:r w:rsidRPr="002A7CA9">
              <w:t>60.3</w:t>
            </w:r>
          </w:p>
        </w:tc>
      </w:tr>
      <w:tr w:rsidR="005F4A7E" w:rsidRPr="002029AF" w14:paraId="48C22A5F" w14:textId="77777777" w:rsidTr="00860E95">
        <w:tc>
          <w:tcPr>
            <w:tcW w:w="7371" w:type="dxa"/>
            <w:tcBorders>
              <w:top w:val="single" w:sz="4" w:space="0" w:color="A6A6A6"/>
              <w:bottom w:val="single" w:sz="4" w:space="0" w:color="A6A6A6"/>
            </w:tcBorders>
            <w:hideMark/>
          </w:tcPr>
          <w:p w14:paraId="11AD7DBD" w14:textId="77777777" w:rsidR="005F4A7E" w:rsidRPr="002029AF" w:rsidRDefault="005F4A7E" w:rsidP="00130D1C">
            <w:pPr>
              <w:pStyle w:val="ARfintablebody"/>
            </w:pPr>
            <w:r w:rsidRPr="002A7CA9">
              <w:t>Net movement in provisions recognised</w:t>
            </w:r>
          </w:p>
        </w:tc>
        <w:tc>
          <w:tcPr>
            <w:tcW w:w="1134" w:type="dxa"/>
            <w:tcBorders>
              <w:top w:val="single" w:sz="4" w:space="0" w:color="A6A6A6"/>
              <w:bottom w:val="single" w:sz="4" w:space="0" w:color="A6A6A6"/>
            </w:tcBorders>
            <w:noWrap/>
            <w:hideMark/>
          </w:tcPr>
          <w:p w14:paraId="47BD6B17" w14:textId="77777777" w:rsidR="005F4A7E" w:rsidRPr="002029AF" w:rsidRDefault="005F4A7E" w:rsidP="00130D1C">
            <w:pPr>
              <w:pStyle w:val="ARfintablebodyright"/>
            </w:pPr>
            <w:r w:rsidRPr="002A7CA9">
              <w:t>(7.4)</w:t>
            </w:r>
          </w:p>
        </w:tc>
      </w:tr>
      <w:tr w:rsidR="005F4A7E" w:rsidRPr="002029AF" w14:paraId="41A5B159" w14:textId="77777777" w:rsidTr="00860E95">
        <w:tc>
          <w:tcPr>
            <w:tcW w:w="7371" w:type="dxa"/>
            <w:tcBorders>
              <w:top w:val="single" w:sz="4" w:space="0" w:color="A6A6A6"/>
            </w:tcBorders>
            <w:hideMark/>
          </w:tcPr>
          <w:p w14:paraId="5BE05042" w14:textId="77777777" w:rsidR="005F4A7E" w:rsidRPr="002029AF" w:rsidRDefault="005F4A7E" w:rsidP="00130D1C">
            <w:pPr>
              <w:pStyle w:val="ARfintablebody"/>
            </w:pPr>
            <w:r w:rsidRPr="002A7CA9">
              <w:t>Unwind of discount and effect of changes in the discount rate</w:t>
            </w:r>
          </w:p>
        </w:tc>
        <w:tc>
          <w:tcPr>
            <w:tcW w:w="1134" w:type="dxa"/>
            <w:tcBorders>
              <w:top w:val="single" w:sz="4" w:space="0" w:color="A6A6A6"/>
            </w:tcBorders>
            <w:noWrap/>
            <w:hideMark/>
          </w:tcPr>
          <w:p w14:paraId="4773D456" w14:textId="77777777" w:rsidR="005F4A7E" w:rsidRPr="002029AF" w:rsidRDefault="005F4A7E" w:rsidP="00130D1C">
            <w:pPr>
              <w:pStyle w:val="ARfintablebodyright"/>
            </w:pPr>
            <w:r w:rsidRPr="002A7CA9">
              <w:t>(2.3)</w:t>
            </w:r>
          </w:p>
        </w:tc>
      </w:tr>
      <w:tr w:rsidR="005F4A7E" w:rsidRPr="002029AF" w14:paraId="08F79E6F" w14:textId="77777777" w:rsidTr="00860E95">
        <w:tc>
          <w:tcPr>
            <w:tcW w:w="7371" w:type="dxa"/>
            <w:tcBorders>
              <w:bottom w:val="single" w:sz="4" w:space="0" w:color="auto"/>
            </w:tcBorders>
            <w:hideMark/>
          </w:tcPr>
          <w:p w14:paraId="0C916F76" w14:textId="77777777" w:rsidR="005F4A7E" w:rsidRPr="002029AF" w:rsidRDefault="005F4A7E" w:rsidP="00130D1C">
            <w:pPr>
              <w:pStyle w:val="ARfintablebodybold"/>
            </w:pPr>
            <w:r w:rsidRPr="002A7CA9">
              <w:t>Closing balance</w:t>
            </w:r>
          </w:p>
        </w:tc>
        <w:tc>
          <w:tcPr>
            <w:tcW w:w="1134" w:type="dxa"/>
            <w:tcBorders>
              <w:bottom w:val="single" w:sz="4" w:space="0" w:color="auto"/>
            </w:tcBorders>
            <w:noWrap/>
            <w:hideMark/>
          </w:tcPr>
          <w:p w14:paraId="426DCA53" w14:textId="77777777" w:rsidR="005F4A7E" w:rsidRPr="002029AF" w:rsidRDefault="005F4A7E" w:rsidP="00130D1C">
            <w:pPr>
              <w:pStyle w:val="ARfintablebodyrightbold"/>
            </w:pPr>
            <w:r w:rsidRPr="002A7CA9">
              <w:t>50.6</w:t>
            </w:r>
          </w:p>
        </w:tc>
      </w:tr>
      <w:tr w:rsidR="005F4A7E" w:rsidRPr="002029AF" w14:paraId="56C752DC" w14:textId="77777777" w:rsidTr="00860E95">
        <w:tc>
          <w:tcPr>
            <w:tcW w:w="7371" w:type="dxa"/>
            <w:tcBorders>
              <w:top w:val="single" w:sz="4" w:space="0" w:color="auto"/>
              <w:bottom w:val="single" w:sz="4" w:space="0" w:color="A6A6A6"/>
            </w:tcBorders>
            <w:hideMark/>
          </w:tcPr>
          <w:p w14:paraId="1E85B85B" w14:textId="77777777" w:rsidR="005F4A7E" w:rsidRPr="002029AF" w:rsidRDefault="005F4A7E" w:rsidP="00130D1C">
            <w:pPr>
              <w:pStyle w:val="ARfintablebody"/>
            </w:pPr>
            <w:r w:rsidRPr="002A7CA9">
              <w:t>Current</w:t>
            </w:r>
          </w:p>
        </w:tc>
        <w:tc>
          <w:tcPr>
            <w:tcW w:w="1134" w:type="dxa"/>
            <w:tcBorders>
              <w:top w:val="single" w:sz="4" w:space="0" w:color="auto"/>
              <w:bottom w:val="single" w:sz="4" w:space="0" w:color="A6A6A6"/>
            </w:tcBorders>
            <w:noWrap/>
            <w:hideMark/>
          </w:tcPr>
          <w:p w14:paraId="0AFE3F19" w14:textId="77777777" w:rsidR="005F4A7E" w:rsidRPr="002029AF" w:rsidRDefault="005F4A7E" w:rsidP="00130D1C">
            <w:pPr>
              <w:pStyle w:val="ARfintablebodyright"/>
            </w:pPr>
            <w:r w:rsidRPr="002A7CA9">
              <w:t>46.1</w:t>
            </w:r>
          </w:p>
        </w:tc>
      </w:tr>
      <w:tr w:rsidR="005F4A7E" w:rsidRPr="002029AF" w14:paraId="050B5819" w14:textId="77777777" w:rsidTr="00860E95">
        <w:tc>
          <w:tcPr>
            <w:tcW w:w="7371" w:type="dxa"/>
            <w:tcBorders>
              <w:top w:val="single" w:sz="4" w:space="0" w:color="A6A6A6"/>
            </w:tcBorders>
            <w:hideMark/>
          </w:tcPr>
          <w:p w14:paraId="37C2A547" w14:textId="77777777" w:rsidR="005F4A7E" w:rsidRPr="002029AF" w:rsidRDefault="005F4A7E" w:rsidP="00130D1C">
            <w:pPr>
              <w:pStyle w:val="ARfintablebody"/>
            </w:pPr>
            <w:r w:rsidRPr="002A7CA9">
              <w:t>Non-current</w:t>
            </w:r>
          </w:p>
        </w:tc>
        <w:tc>
          <w:tcPr>
            <w:tcW w:w="1134" w:type="dxa"/>
            <w:tcBorders>
              <w:top w:val="single" w:sz="4" w:space="0" w:color="A6A6A6"/>
            </w:tcBorders>
            <w:noWrap/>
            <w:hideMark/>
          </w:tcPr>
          <w:p w14:paraId="414B6916" w14:textId="77777777" w:rsidR="005F4A7E" w:rsidRPr="002029AF" w:rsidRDefault="005F4A7E" w:rsidP="00130D1C">
            <w:pPr>
              <w:pStyle w:val="ARfintablebodyright"/>
            </w:pPr>
            <w:r w:rsidRPr="002A7CA9">
              <w:t>4.5</w:t>
            </w:r>
          </w:p>
        </w:tc>
      </w:tr>
    </w:tbl>
    <w:p w14:paraId="1F3F682A" w14:textId="06FEFD1A" w:rsidR="005F4A7E" w:rsidRPr="00194D78" w:rsidRDefault="005F4A7E" w:rsidP="00130D1C">
      <w:pPr>
        <w:pStyle w:val="ARfinbodyaftertable"/>
      </w:pPr>
      <w:r w:rsidRPr="00AE19F6">
        <w:rPr>
          <w:rStyle w:val="Strong"/>
        </w:rPr>
        <w:t>Annual leave and sick leave:</w:t>
      </w:r>
      <w:r w:rsidRPr="00194D78">
        <w:t xml:space="preserve"> Liabilities for annual leave and on-costs are recognised as part of the provisions for</w:t>
      </w:r>
      <w:r>
        <w:t> </w:t>
      </w:r>
      <w:r w:rsidRPr="00194D78">
        <w:t xml:space="preserve">employee benefits as </w:t>
      </w:r>
      <w:r w:rsidR="007D145B">
        <w:t>‘</w:t>
      </w:r>
      <w:r w:rsidRPr="00194D78">
        <w:t>current liabilities</w:t>
      </w:r>
      <w:r w:rsidR="007D145B">
        <w:t>’</w:t>
      </w:r>
      <w:r w:rsidRPr="00194D78">
        <w:t xml:space="preserve">, because the </w:t>
      </w:r>
      <w:r>
        <w:t>department</w:t>
      </w:r>
      <w:r w:rsidRPr="00194D78">
        <w:t xml:space="preserve"> does not have an unconditional right to defer settlements of these liabilities.</w:t>
      </w:r>
    </w:p>
    <w:p w14:paraId="5E8BC5C2" w14:textId="77777777" w:rsidR="005F4A7E" w:rsidRDefault="005F4A7E" w:rsidP="00130D1C">
      <w:pPr>
        <w:pStyle w:val="ARfinbody"/>
      </w:pPr>
      <w:r w:rsidRPr="00194D78">
        <w:t>The annual leave liability is classified as a current liability and measured at the undiscounted amount expected to be paid, as the department does not have an unconditional right to defer settlement of the liability for at least 12 months after the end of the reporting period.</w:t>
      </w:r>
    </w:p>
    <w:p w14:paraId="332E8DA7" w14:textId="77777777" w:rsidR="005F4A7E" w:rsidRDefault="005F4A7E" w:rsidP="00130D1C">
      <w:pPr>
        <w:pStyle w:val="ARfinbody"/>
      </w:pPr>
      <w:r w:rsidRPr="00194D78">
        <w:lastRenderedPageBreak/>
        <w:t xml:space="preserve">No provision has been made for sick leave as all sick leave is non-vesting and it is not considered probable that the average sick leave taken in the future will be greater than the benefits accrued in the future. As sick leave is non-vesting, an expense is recognised in the </w:t>
      </w:r>
      <w:r>
        <w:t>c</w:t>
      </w:r>
      <w:r w:rsidRPr="00194D78">
        <w:t xml:space="preserve">omprehensive </w:t>
      </w:r>
      <w:r>
        <w:t>o</w:t>
      </w:r>
      <w:r w:rsidRPr="00194D78">
        <w:t xml:space="preserve">perating </w:t>
      </w:r>
      <w:r>
        <w:t>s</w:t>
      </w:r>
      <w:r w:rsidRPr="00194D78">
        <w:t>tatement as it is taken.</w:t>
      </w:r>
    </w:p>
    <w:p w14:paraId="1BFD01E8" w14:textId="6A491AF2" w:rsidR="005F4A7E" w:rsidRDefault="005F4A7E" w:rsidP="00130D1C">
      <w:pPr>
        <w:pStyle w:val="ARfinbody"/>
      </w:pPr>
      <w:r w:rsidRPr="00194D78">
        <w:t>Employment on-costs such as payroll tax, workers</w:t>
      </w:r>
      <w:r w:rsidR="007D145B">
        <w:t>’</w:t>
      </w:r>
      <w:r w:rsidRPr="00194D78">
        <w:t xml:space="preserve"> compensation and superannuation are not employee benefits. They are disclosed separately as a component of the provision for employee benefits when the employment to which they relate has occurred.</w:t>
      </w:r>
    </w:p>
    <w:p w14:paraId="543EEAA3" w14:textId="7F7197AA" w:rsidR="005F4A7E" w:rsidRDefault="005F4A7E" w:rsidP="00130D1C">
      <w:pPr>
        <w:pStyle w:val="ARfinbody"/>
      </w:pPr>
      <w:r w:rsidRPr="00AE19F6">
        <w:rPr>
          <w:rStyle w:val="Strong"/>
        </w:rPr>
        <w:t>Unconditional LSL</w:t>
      </w:r>
      <w:r w:rsidRPr="00194D78">
        <w:rPr>
          <w:b/>
          <w:bCs/>
        </w:rPr>
        <w:t xml:space="preserve"> </w:t>
      </w:r>
      <w:r w:rsidRPr="00194D78">
        <w:t>is disclosed as a current liability; even where the department does not expect to settle the liability within 12 months because it will not have the unconditional right to defer the settlement of the entitlement should an employee take leave within 12</w:t>
      </w:r>
      <w:r>
        <w:t> </w:t>
      </w:r>
      <w:r w:rsidRPr="00194D78">
        <w:t>months.</w:t>
      </w:r>
    </w:p>
    <w:p w14:paraId="0CBC4264" w14:textId="77777777" w:rsidR="005F4A7E" w:rsidRPr="00194D78" w:rsidRDefault="005F4A7E" w:rsidP="00130D1C">
      <w:pPr>
        <w:pStyle w:val="ARfinbody"/>
      </w:pPr>
      <w:r w:rsidRPr="00194D78">
        <w:t xml:space="preserve">The components of this current LSL liability are measured at present value </w:t>
      </w:r>
      <w:r>
        <w:t>where</w:t>
      </w:r>
      <w:r w:rsidRPr="00194D78">
        <w:t xml:space="preserve"> the department does not expect to</w:t>
      </w:r>
      <w:r>
        <w:t> </w:t>
      </w:r>
      <w:r w:rsidRPr="00194D78">
        <w:t>wholly settle within 12 months. The component</w:t>
      </w:r>
      <w:r>
        <w:t>s</w:t>
      </w:r>
      <w:r w:rsidRPr="00194D78">
        <w:t xml:space="preserve"> of current LSL liability are measured at nominal value where the department expect</w:t>
      </w:r>
      <w:r>
        <w:t>s</w:t>
      </w:r>
      <w:r w:rsidRPr="00194D78">
        <w:t xml:space="preserve"> to settle within 12</w:t>
      </w:r>
      <w:r>
        <w:t> </w:t>
      </w:r>
      <w:r w:rsidRPr="00194D78">
        <w:t>months.</w:t>
      </w:r>
    </w:p>
    <w:p w14:paraId="2D4B9B45" w14:textId="77777777" w:rsidR="005F4A7E" w:rsidRPr="00194D78" w:rsidRDefault="005F4A7E" w:rsidP="00130D1C">
      <w:pPr>
        <w:pStyle w:val="ARfinbody"/>
      </w:pPr>
      <w:r w:rsidRPr="00AE19F6">
        <w:rPr>
          <w:rStyle w:val="Strong"/>
        </w:rPr>
        <w:t>Conditional LSL</w:t>
      </w:r>
      <w:r w:rsidRPr="00194D78">
        <w:t xml:space="preserve"> is disclosed as a non-current liability. There is an unconditional right to defer the settlement of the entitlement until the employee has completed the requisite years of service. This non-current LSL liability is measured at</w:t>
      </w:r>
      <w:r>
        <w:t> </w:t>
      </w:r>
      <w:r w:rsidRPr="00194D78">
        <w:t>present value.</w:t>
      </w:r>
    </w:p>
    <w:p w14:paraId="48906E99" w14:textId="771F250F" w:rsidR="005F4A7E" w:rsidRDefault="005F4A7E" w:rsidP="00130D1C">
      <w:pPr>
        <w:pStyle w:val="ARfinbody"/>
      </w:pPr>
      <w:r w:rsidRPr="00194D78">
        <w:t xml:space="preserve">Any gain or loss following the revaluation of the present value of non-current LSL liability is recognised as a transaction, except to the extent that a gain or loss arises due to changes in bond interest rates for which it is then recognised as an </w:t>
      </w:r>
      <w:r w:rsidR="007D145B">
        <w:t>‘</w:t>
      </w:r>
      <w:r w:rsidRPr="00194D78">
        <w:t>other economic flow</w:t>
      </w:r>
      <w:r w:rsidR="007D145B">
        <w:t>’</w:t>
      </w:r>
      <w:r w:rsidRPr="00194D78">
        <w:t xml:space="preserve"> in the net result.</w:t>
      </w:r>
    </w:p>
    <w:p w14:paraId="67EFB6D3" w14:textId="77777777" w:rsidR="005F4A7E" w:rsidRPr="00997D2C" w:rsidRDefault="005F4A7E" w:rsidP="00130D1C">
      <w:pPr>
        <w:pStyle w:val="Heading7"/>
      </w:pPr>
      <w:bookmarkStart w:id="808" w:name="_Ref84598431"/>
      <w:bookmarkStart w:id="809" w:name="_Toc85121384"/>
      <w:r w:rsidRPr="00C91E4F">
        <w:t>Provisions for superannuation</w:t>
      </w:r>
      <w:r>
        <w:t xml:space="preserve"> – </w:t>
      </w:r>
      <w:r w:rsidRPr="00C91E4F">
        <w:t>Defined benefit obligation</w:t>
      </w:r>
      <w:bookmarkEnd w:id="808"/>
      <w:bookmarkEnd w:id="809"/>
    </w:p>
    <w:p w14:paraId="7245B549" w14:textId="77777777" w:rsidR="005F4A7E" w:rsidRDefault="005F4A7E" w:rsidP="00130D1C">
      <w:pPr>
        <w:pStyle w:val="ARfinbody"/>
      </w:pPr>
      <w:r w:rsidRPr="00997D2C">
        <w:rPr>
          <w:rFonts w:eastAsia="Times New Roman"/>
          <w:bCs/>
        </w:rPr>
        <w:t>The</w:t>
      </w:r>
      <w:r w:rsidRPr="00997D2C">
        <w:rPr>
          <w:bCs/>
        </w:rPr>
        <w:t xml:space="preserve"> </w:t>
      </w:r>
      <w:r w:rsidRPr="00194D78">
        <w:t>department reports a liability for unfunded superannuation in respect of former employees of the Director of Housing for the shortfall of superannuation benefits paid to former housing staff who retired or resigned on or before 14 December 1987 or were employed by the Director of Housing as at 14 December 1987 and retired or resigned prior to or on 30</w:t>
      </w:r>
      <w:r>
        <w:t> </w:t>
      </w:r>
      <w:r w:rsidRPr="00194D78">
        <w:t>June 1994.</w:t>
      </w:r>
    </w:p>
    <w:p w14:paraId="77489C4A" w14:textId="77777777" w:rsidR="005F4A7E" w:rsidRDefault="005F4A7E" w:rsidP="00130D1C">
      <w:pPr>
        <w:pStyle w:val="ARfinbodylargespace"/>
      </w:pPr>
      <w:r w:rsidRPr="00194D78">
        <w:t xml:space="preserve">This liability represents the shortfall between the total net assets of the superannuation fund at 30 June </w:t>
      </w:r>
      <w:r>
        <w:t xml:space="preserve">2021 </w:t>
      </w:r>
      <w:r w:rsidRPr="00194D78">
        <w:t xml:space="preserve">and the total benefits that members have accrued up to that date, determined by an actuarial assessment. Information relating to the fund based on the latest actuarial assessment for 30 June </w:t>
      </w:r>
      <w:r>
        <w:t>2021</w:t>
      </w:r>
      <w:r w:rsidRPr="00194D78">
        <w:t xml:space="preserve"> is set out below. The amount expensed in respect of unfunded superannuation represents the contributions made by the department to the superannuation fund, adjusted by the movement in the liability or asset.</w:t>
      </w:r>
    </w:p>
    <w:tbl>
      <w:tblPr>
        <w:tblStyle w:val="TableGrid"/>
        <w:tblW w:w="9637" w:type="dxa"/>
        <w:tblLayout w:type="fixed"/>
        <w:tblLook w:val="06A0" w:firstRow="1" w:lastRow="0" w:firstColumn="1" w:lastColumn="0" w:noHBand="1" w:noVBand="1"/>
      </w:tblPr>
      <w:tblGrid>
        <w:gridCol w:w="7371"/>
        <w:gridCol w:w="1133"/>
        <w:gridCol w:w="1133"/>
      </w:tblGrid>
      <w:tr w:rsidR="005F4A7E" w:rsidRPr="002029AF" w14:paraId="71482169"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37A0BCF1" w14:textId="77777777" w:rsidR="005F4A7E" w:rsidRPr="002029AF" w:rsidRDefault="005F4A7E" w:rsidP="00860E95">
            <w:pPr>
              <w:pStyle w:val="ARfintablecolhead"/>
            </w:pPr>
          </w:p>
        </w:tc>
        <w:tc>
          <w:tcPr>
            <w:tcW w:w="1133" w:type="dxa"/>
            <w:tcBorders>
              <w:bottom w:val="single" w:sz="4" w:space="0" w:color="auto"/>
            </w:tcBorders>
            <w:shd w:val="clear" w:color="auto" w:fill="E7E6E6"/>
            <w:hideMark/>
          </w:tcPr>
          <w:p w14:paraId="2C7D3F58" w14:textId="77777777" w:rsidR="005F4A7E" w:rsidRPr="002029AF" w:rsidRDefault="005F4A7E" w:rsidP="00860E95">
            <w:pPr>
              <w:pStyle w:val="ARfintablecolheadright"/>
            </w:pPr>
            <w:r>
              <w:t>2021</w:t>
            </w:r>
          </w:p>
          <w:p w14:paraId="5BF3EBFB" w14:textId="77777777" w:rsidR="005F4A7E" w:rsidRPr="002029AF" w:rsidRDefault="005F4A7E" w:rsidP="00860E95">
            <w:pPr>
              <w:pStyle w:val="ARfintablecolheadright"/>
            </w:pPr>
            <w:r w:rsidRPr="002029AF">
              <w:t>$M</w:t>
            </w:r>
          </w:p>
        </w:tc>
        <w:tc>
          <w:tcPr>
            <w:tcW w:w="1133" w:type="dxa"/>
            <w:tcBorders>
              <w:bottom w:val="single" w:sz="4" w:space="0" w:color="auto"/>
            </w:tcBorders>
            <w:hideMark/>
          </w:tcPr>
          <w:p w14:paraId="37B0F44B" w14:textId="77777777" w:rsidR="005F4A7E" w:rsidRPr="002029AF" w:rsidRDefault="005F4A7E" w:rsidP="00860E95">
            <w:pPr>
              <w:pStyle w:val="ARfintablecolheadright"/>
            </w:pPr>
            <w:r>
              <w:t>2020</w:t>
            </w:r>
          </w:p>
          <w:p w14:paraId="1A98C19B" w14:textId="77777777" w:rsidR="005F4A7E" w:rsidRPr="002029AF" w:rsidRDefault="005F4A7E" w:rsidP="00860E95">
            <w:pPr>
              <w:pStyle w:val="ARfintablecolheadright"/>
            </w:pPr>
            <w:r w:rsidRPr="002029AF">
              <w:t>$M</w:t>
            </w:r>
          </w:p>
        </w:tc>
      </w:tr>
      <w:tr w:rsidR="005F4A7E" w:rsidRPr="002029AF" w14:paraId="076354AD" w14:textId="77777777" w:rsidTr="00860E95">
        <w:tc>
          <w:tcPr>
            <w:tcW w:w="9637" w:type="dxa"/>
            <w:gridSpan w:val="3"/>
            <w:tcBorders>
              <w:top w:val="single" w:sz="4" w:space="0" w:color="auto"/>
              <w:bottom w:val="single" w:sz="4" w:space="0" w:color="A6A6A6"/>
            </w:tcBorders>
            <w:hideMark/>
          </w:tcPr>
          <w:p w14:paraId="7736ABA2" w14:textId="77777777" w:rsidR="005F4A7E" w:rsidRPr="002029AF" w:rsidRDefault="005F4A7E" w:rsidP="00130D1C">
            <w:pPr>
              <w:pStyle w:val="ARfintablebodybold"/>
            </w:pPr>
            <w:r w:rsidRPr="00FE00B8">
              <w:t>Reconciliation of the superannuation liability in the balance sheet</w:t>
            </w:r>
          </w:p>
        </w:tc>
      </w:tr>
      <w:tr w:rsidR="005F4A7E" w:rsidRPr="002029AF" w14:paraId="40D364CC" w14:textId="77777777" w:rsidTr="00860E95">
        <w:tc>
          <w:tcPr>
            <w:tcW w:w="7371" w:type="dxa"/>
            <w:tcBorders>
              <w:top w:val="single" w:sz="4" w:space="0" w:color="A6A6A6"/>
            </w:tcBorders>
            <w:hideMark/>
          </w:tcPr>
          <w:p w14:paraId="08B416D7" w14:textId="77777777" w:rsidR="005F4A7E" w:rsidRPr="002029AF" w:rsidRDefault="005F4A7E" w:rsidP="00130D1C">
            <w:pPr>
              <w:pStyle w:val="ARfintablebody"/>
            </w:pPr>
            <w:r w:rsidRPr="00FE00B8">
              <w:t>Defined benefit obligation</w:t>
            </w:r>
          </w:p>
        </w:tc>
        <w:tc>
          <w:tcPr>
            <w:tcW w:w="1133" w:type="dxa"/>
            <w:tcBorders>
              <w:top w:val="single" w:sz="4" w:space="0" w:color="A6A6A6"/>
            </w:tcBorders>
            <w:shd w:val="clear" w:color="auto" w:fill="E7E6E6"/>
            <w:noWrap/>
            <w:hideMark/>
          </w:tcPr>
          <w:p w14:paraId="7FDCED19" w14:textId="77777777" w:rsidR="005F4A7E" w:rsidRPr="002029AF" w:rsidRDefault="005F4A7E" w:rsidP="00130D1C">
            <w:pPr>
              <w:pStyle w:val="ARfintablebodyright"/>
            </w:pPr>
            <w:r w:rsidRPr="00FE00B8">
              <w:t>31.4</w:t>
            </w:r>
          </w:p>
        </w:tc>
        <w:tc>
          <w:tcPr>
            <w:tcW w:w="1133" w:type="dxa"/>
            <w:tcBorders>
              <w:top w:val="single" w:sz="4" w:space="0" w:color="A6A6A6"/>
            </w:tcBorders>
            <w:noWrap/>
            <w:hideMark/>
          </w:tcPr>
          <w:p w14:paraId="5980E4B9" w14:textId="77777777" w:rsidR="005F4A7E" w:rsidRPr="002029AF" w:rsidRDefault="005F4A7E" w:rsidP="00130D1C">
            <w:pPr>
              <w:pStyle w:val="ARfintablebodyright"/>
            </w:pPr>
            <w:r w:rsidRPr="00FE00B8">
              <w:t>32.2</w:t>
            </w:r>
          </w:p>
        </w:tc>
      </w:tr>
      <w:tr w:rsidR="005F4A7E" w:rsidRPr="002029AF" w14:paraId="5C08066D" w14:textId="77777777" w:rsidTr="00860E95">
        <w:tc>
          <w:tcPr>
            <w:tcW w:w="7371" w:type="dxa"/>
            <w:hideMark/>
          </w:tcPr>
          <w:p w14:paraId="08CECCEA" w14:textId="77777777" w:rsidR="005F4A7E" w:rsidRPr="002029AF" w:rsidRDefault="005F4A7E" w:rsidP="00130D1C">
            <w:pPr>
              <w:pStyle w:val="ARfintablebodybold"/>
            </w:pPr>
            <w:r w:rsidRPr="00FE00B8">
              <w:t>Net liability/(asset)</w:t>
            </w:r>
          </w:p>
        </w:tc>
        <w:tc>
          <w:tcPr>
            <w:tcW w:w="1133" w:type="dxa"/>
            <w:shd w:val="clear" w:color="auto" w:fill="E7E6E6"/>
            <w:noWrap/>
            <w:hideMark/>
          </w:tcPr>
          <w:p w14:paraId="0097E894" w14:textId="77777777" w:rsidR="005F4A7E" w:rsidRPr="002029AF" w:rsidRDefault="005F4A7E" w:rsidP="00130D1C">
            <w:pPr>
              <w:pStyle w:val="ARfintablebodyrightbold"/>
            </w:pPr>
            <w:r w:rsidRPr="00FE00B8">
              <w:t>31.4</w:t>
            </w:r>
          </w:p>
        </w:tc>
        <w:tc>
          <w:tcPr>
            <w:tcW w:w="1133" w:type="dxa"/>
            <w:noWrap/>
            <w:hideMark/>
          </w:tcPr>
          <w:p w14:paraId="5EC238C0" w14:textId="77777777" w:rsidR="005F4A7E" w:rsidRPr="002029AF" w:rsidRDefault="005F4A7E" w:rsidP="00130D1C">
            <w:pPr>
              <w:pStyle w:val="ARfintablebodyrightbold"/>
            </w:pPr>
            <w:r w:rsidRPr="00FE00B8">
              <w:t>32.2</w:t>
            </w:r>
          </w:p>
        </w:tc>
      </w:tr>
      <w:tr w:rsidR="005F4A7E" w:rsidRPr="002029AF" w14:paraId="76D5B422" w14:textId="77777777" w:rsidTr="00860E95">
        <w:tc>
          <w:tcPr>
            <w:tcW w:w="7371" w:type="dxa"/>
            <w:tcBorders>
              <w:bottom w:val="single" w:sz="4" w:space="0" w:color="auto"/>
            </w:tcBorders>
            <w:hideMark/>
          </w:tcPr>
          <w:p w14:paraId="3AEB5F63" w14:textId="77777777" w:rsidR="005F4A7E" w:rsidRPr="002029AF" w:rsidRDefault="005F4A7E" w:rsidP="00130D1C">
            <w:pPr>
              <w:pStyle w:val="ARfintablebodybold"/>
            </w:pPr>
            <w:r w:rsidRPr="00FE00B8">
              <w:t>Total obligation and liability in the balance sheet</w:t>
            </w:r>
          </w:p>
        </w:tc>
        <w:tc>
          <w:tcPr>
            <w:tcW w:w="1133" w:type="dxa"/>
            <w:tcBorders>
              <w:bottom w:val="single" w:sz="4" w:space="0" w:color="auto"/>
            </w:tcBorders>
            <w:shd w:val="clear" w:color="auto" w:fill="E7E6E6"/>
            <w:noWrap/>
            <w:hideMark/>
          </w:tcPr>
          <w:p w14:paraId="72B71FFE" w14:textId="77777777" w:rsidR="005F4A7E" w:rsidRPr="002029AF" w:rsidRDefault="005F4A7E" w:rsidP="00130D1C">
            <w:pPr>
              <w:pStyle w:val="ARfintablebodyrightbold"/>
            </w:pPr>
            <w:r w:rsidRPr="00FE00B8">
              <w:t>31.4</w:t>
            </w:r>
          </w:p>
        </w:tc>
        <w:tc>
          <w:tcPr>
            <w:tcW w:w="1133" w:type="dxa"/>
            <w:tcBorders>
              <w:bottom w:val="single" w:sz="4" w:space="0" w:color="auto"/>
            </w:tcBorders>
            <w:noWrap/>
            <w:hideMark/>
          </w:tcPr>
          <w:p w14:paraId="76535AF7" w14:textId="77777777" w:rsidR="005F4A7E" w:rsidRPr="002029AF" w:rsidRDefault="005F4A7E" w:rsidP="00130D1C">
            <w:pPr>
              <w:pStyle w:val="ARfintablebodyrightbold"/>
            </w:pPr>
            <w:r w:rsidRPr="00FE00B8">
              <w:t>32.2</w:t>
            </w:r>
          </w:p>
        </w:tc>
      </w:tr>
      <w:tr w:rsidR="005F4A7E" w:rsidRPr="002029AF" w14:paraId="7CABCB18" w14:textId="77777777" w:rsidTr="00860E95">
        <w:tc>
          <w:tcPr>
            <w:tcW w:w="9637" w:type="dxa"/>
            <w:gridSpan w:val="3"/>
            <w:tcBorders>
              <w:top w:val="single" w:sz="4" w:space="0" w:color="auto"/>
              <w:bottom w:val="single" w:sz="4" w:space="0" w:color="A6A6A6"/>
            </w:tcBorders>
            <w:hideMark/>
          </w:tcPr>
          <w:p w14:paraId="7F6C66AC" w14:textId="77777777" w:rsidR="005F4A7E" w:rsidRPr="002029AF" w:rsidRDefault="005F4A7E" w:rsidP="00130D1C">
            <w:pPr>
              <w:pStyle w:val="ARfintablebodybold"/>
            </w:pPr>
            <w:r w:rsidRPr="00FE00B8">
              <w:t>Represented by:</w:t>
            </w:r>
          </w:p>
        </w:tc>
      </w:tr>
      <w:tr w:rsidR="005F4A7E" w:rsidRPr="002029AF" w14:paraId="1A56CD40" w14:textId="77777777" w:rsidTr="00860E95">
        <w:tc>
          <w:tcPr>
            <w:tcW w:w="7371" w:type="dxa"/>
            <w:tcBorders>
              <w:top w:val="single" w:sz="4" w:space="0" w:color="A6A6A6"/>
              <w:bottom w:val="single" w:sz="4" w:space="0" w:color="A6A6A6"/>
            </w:tcBorders>
            <w:hideMark/>
          </w:tcPr>
          <w:p w14:paraId="659B463C" w14:textId="77777777" w:rsidR="005F4A7E" w:rsidRPr="002029AF" w:rsidRDefault="005F4A7E" w:rsidP="00130D1C">
            <w:pPr>
              <w:pStyle w:val="ARfintablebody"/>
            </w:pPr>
            <w:r w:rsidRPr="00FE00B8">
              <w:t>Current liability</w:t>
            </w:r>
          </w:p>
        </w:tc>
        <w:tc>
          <w:tcPr>
            <w:tcW w:w="1133" w:type="dxa"/>
            <w:tcBorders>
              <w:top w:val="single" w:sz="4" w:space="0" w:color="A6A6A6"/>
              <w:bottom w:val="single" w:sz="4" w:space="0" w:color="A6A6A6"/>
            </w:tcBorders>
            <w:shd w:val="clear" w:color="auto" w:fill="E7E6E6"/>
            <w:noWrap/>
            <w:hideMark/>
          </w:tcPr>
          <w:p w14:paraId="10E26901" w14:textId="77777777" w:rsidR="005F4A7E" w:rsidRPr="002029AF" w:rsidRDefault="005F4A7E" w:rsidP="00130D1C">
            <w:pPr>
              <w:pStyle w:val="ARfintablebodyright"/>
            </w:pPr>
            <w:r w:rsidRPr="00FE00B8">
              <w:t>2.5</w:t>
            </w:r>
          </w:p>
        </w:tc>
        <w:tc>
          <w:tcPr>
            <w:tcW w:w="1133" w:type="dxa"/>
            <w:tcBorders>
              <w:top w:val="single" w:sz="4" w:space="0" w:color="A6A6A6"/>
              <w:bottom w:val="single" w:sz="4" w:space="0" w:color="A6A6A6"/>
            </w:tcBorders>
            <w:noWrap/>
            <w:hideMark/>
          </w:tcPr>
          <w:p w14:paraId="58E312D8" w14:textId="77777777" w:rsidR="005F4A7E" w:rsidRPr="002029AF" w:rsidRDefault="005F4A7E" w:rsidP="00130D1C">
            <w:pPr>
              <w:pStyle w:val="ARfintablebodyright"/>
            </w:pPr>
            <w:r w:rsidRPr="00FE00B8">
              <w:t>2.6</w:t>
            </w:r>
          </w:p>
        </w:tc>
      </w:tr>
      <w:tr w:rsidR="005F4A7E" w:rsidRPr="002029AF" w14:paraId="2A718E38" w14:textId="77777777" w:rsidTr="00860E95">
        <w:tc>
          <w:tcPr>
            <w:tcW w:w="7371" w:type="dxa"/>
            <w:tcBorders>
              <w:top w:val="single" w:sz="4" w:space="0" w:color="A6A6A6"/>
            </w:tcBorders>
            <w:hideMark/>
          </w:tcPr>
          <w:p w14:paraId="0F0CCF7E" w14:textId="77777777" w:rsidR="005F4A7E" w:rsidRPr="002029AF" w:rsidRDefault="005F4A7E" w:rsidP="00130D1C">
            <w:pPr>
              <w:pStyle w:val="ARfintablebody"/>
            </w:pPr>
            <w:r w:rsidRPr="00FE00B8">
              <w:t>Non-current liability</w:t>
            </w:r>
          </w:p>
        </w:tc>
        <w:tc>
          <w:tcPr>
            <w:tcW w:w="1133" w:type="dxa"/>
            <w:tcBorders>
              <w:top w:val="single" w:sz="4" w:space="0" w:color="A6A6A6"/>
            </w:tcBorders>
            <w:shd w:val="clear" w:color="auto" w:fill="E7E6E6"/>
            <w:noWrap/>
            <w:hideMark/>
          </w:tcPr>
          <w:p w14:paraId="7980D3EF" w14:textId="77777777" w:rsidR="005F4A7E" w:rsidRPr="002029AF" w:rsidRDefault="005F4A7E" w:rsidP="00130D1C">
            <w:pPr>
              <w:pStyle w:val="ARfintablebodyright"/>
            </w:pPr>
            <w:r w:rsidRPr="00FE00B8">
              <w:t>28.9</w:t>
            </w:r>
          </w:p>
        </w:tc>
        <w:tc>
          <w:tcPr>
            <w:tcW w:w="1133" w:type="dxa"/>
            <w:tcBorders>
              <w:top w:val="single" w:sz="4" w:space="0" w:color="A6A6A6"/>
            </w:tcBorders>
            <w:noWrap/>
            <w:hideMark/>
          </w:tcPr>
          <w:p w14:paraId="5E4F7CBF" w14:textId="77777777" w:rsidR="005F4A7E" w:rsidRPr="002029AF" w:rsidRDefault="005F4A7E" w:rsidP="00130D1C">
            <w:pPr>
              <w:pStyle w:val="ARfintablebodyright"/>
            </w:pPr>
            <w:r w:rsidRPr="00FE00B8">
              <w:t>29.6</w:t>
            </w:r>
          </w:p>
        </w:tc>
      </w:tr>
      <w:tr w:rsidR="005F4A7E" w:rsidRPr="002029AF" w14:paraId="43415D54" w14:textId="77777777" w:rsidTr="00860E95">
        <w:tc>
          <w:tcPr>
            <w:tcW w:w="7371" w:type="dxa"/>
            <w:tcBorders>
              <w:bottom w:val="single" w:sz="4" w:space="0" w:color="auto"/>
            </w:tcBorders>
            <w:hideMark/>
          </w:tcPr>
          <w:p w14:paraId="6169C439" w14:textId="77777777" w:rsidR="005F4A7E" w:rsidRPr="002029AF" w:rsidRDefault="005F4A7E" w:rsidP="00130D1C">
            <w:pPr>
              <w:pStyle w:val="ARfintablebodybold"/>
            </w:pPr>
            <w:r w:rsidRPr="00FE00B8">
              <w:t>Total liability</w:t>
            </w:r>
          </w:p>
        </w:tc>
        <w:tc>
          <w:tcPr>
            <w:tcW w:w="1133" w:type="dxa"/>
            <w:tcBorders>
              <w:bottom w:val="single" w:sz="4" w:space="0" w:color="auto"/>
            </w:tcBorders>
            <w:shd w:val="clear" w:color="auto" w:fill="E7E6E6"/>
            <w:noWrap/>
            <w:hideMark/>
          </w:tcPr>
          <w:p w14:paraId="31999C4B" w14:textId="77777777" w:rsidR="005F4A7E" w:rsidRPr="002029AF" w:rsidRDefault="005F4A7E" w:rsidP="00130D1C">
            <w:pPr>
              <w:pStyle w:val="ARfintablebodyrightbold"/>
            </w:pPr>
            <w:r w:rsidRPr="00FE00B8">
              <w:t>31.4</w:t>
            </w:r>
          </w:p>
        </w:tc>
        <w:tc>
          <w:tcPr>
            <w:tcW w:w="1133" w:type="dxa"/>
            <w:tcBorders>
              <w:bottom w:val="single" w:sz="4" w:space="0" w:color="auto"/>
            </w:tcBorders>
            <w:noWrap/>
            <w:hideMark/>
          </w:tcPr>
          <w:p w14:paraId="6D0DBE10" w14:textId="77777777" w:rsidR="005F4A7E" w:rsidRPr="002029AF" w:rsidRDefault="005F4A7E" w:rsidP="00130D1C">
            <w:pPr>
              <w:pStyle w:val="ARfintablebodyrightbold"/>
            </w:pPr>
            <w:r w:rsidRPr="00FE00B8">
              <w:t>32.2</w:t>
            </w:r>
          </w:p>
        </w:tc>
      </w:tr>
      <w:tr w:rsidR="005F4A7E" w:rsidRPr="002029AF" w14:paraId="2E071D51" w14:textId="77777777" w:rsidTr="00860E95">
        <w:tc>
          <w:tcPr>
            <w:tcW w:w="9637" w:type="dxa"/>
            <w:gridSpan w:val="3"/>
            <w:tcBorders>
              <w:top w:val="single" w:sz="4" w:space="0" w:color="auto"/>
              <w:bottom w:val="single" w:sz="4" w:space="0" w:color="A6A6A6"/>
            </w:tcBorders>
            <w:hideMark/>
          </w:tcPr>
          <w:p w14:paraId="3DA6408C" w14:textId="77777777" w:rsidR="005F4A7E" w:rsidRPr="002029AF" w:rsidRDefault="005F4A7E" w:rsidP="00130D1C">
            <w:pPr>
              <w:pStyle w:val="ARfintablebodybold"/>
            </w:pPr>
            <w:r w:rsidRPr="00FE00B8">
              <w:t>Principal actuarial assumptions</w:t>
            </w:r>
          </w:p>
        </w:tc>
      </w:tr>
      <w:tr w:rsidR="005F4A7E" w:rsidRPr="002029AF" w14:paraId="3F90F945" w14:textId="77777777" w:rsidTr="00860E95">
        <w:tc>
          <w:tcPr>
            <w:tcW w:w="7371" w:type="dxa"/>
            <w:tcBorders>
              <w:top w:val="single" w:sz="4" w:space="0" w:color="A6A6A6"/>
              <w:bottom w:val="single" w:sz="4" w:space="0" w:color="A6A6A6"/>
            </w:tcBorders>
            <w:hideMark/>
          </w:tcPr>
          <w:p w14:paraId="61FC79D3" w14:textId="77777777" w:rsidR="005F4A7E" w:rsidRPr="002029AF" w:rsidRDefault="005F4A7E" w:rsidP="00130D1C">
            <w:pPr>
              <w:pStyle w:val="ARfintablebody"/>
            </w:pPr>
            <w:r w:rsidRPr="00FE00B8">
              <w:t>Discount rate</w:t>
            </w:r>
          </w:p>
        </w:tc>
        <w:tc>
          <w:tcPr>
            <w:tcW w:w="1133" w:type="dxa"/>
            <w:tcBorders>
              <w:top w:val="single" w:sz="4" w:space="0" w:color="A6A6A6"/>
              <w:bottom w:val="single" w:sz="4" w:space="0" w:color="A6A6A6"/>
            </w:tcBorders>
            <w:shd w:val="clear" w:color="auto" w:fill="E7E6E6"/>
            <w:noWrap/>
            <w:hideMark/>
          </w:tcPr>
          <w:p w14:paraId="2DDA85D8" w14:textId="77777777" w:rsidR="005F4A7E" w:rsidRPr="002029AF" w:rsidRDefault="005F4A7E" w:rsidP="00130D1C">
            <w:pPr>
              <w:pStyle w:val="ARfintablebodyright"/>
            </w:pPr>
            <w:r w:rsidRPr="00FE00B8">
              <w:t>2.0%</w:t>
            </w:r>
          </w:p>
        </w:tc>
        <w:tc>
          <w:tcPr>
            <w:tcW w:w="1133" w:type="dxa"/>
            <w:tcBorders>
              <w:top w:val="single" w:sz="4" w:space="0" w:color="A6A6A6"/>
              <w:bottom w:val="single" w:sz="4" w:space="0" w:color="A6A6A6"/>
            </w:tcBorders>
            <w:noWrap/>
            <w:hideMark/>
          </w:tcPr>
          <w:p w14:paraId="334D826A" w14:textId="77777777" w:rsidR="005F4A7E" w:rsidRPr="002029AF" w:rsidRDefault="005F4A7E" w:rsidP="00130D1C">
            <w:pPr>
              <w:pStyle w:val="ARfintablebodyright"/>
            </w:pPr>
            <w:r w:rsidRPr="00FE00B8">
              <w:t>1.0%</w:t>
            </w:r>
          </w:p>
        </w:tc>
      </w:tr>
      <w:tr w:rsidR="005F4A7E" w:rsidRPr="002029AF" w14:paraId="2AEC0BC0" w14:textId="77777777" w:rsidTr="00860E95">
        <w:tc>
          <w:tcPr>
            <w:tcW w:w="7371" w:type="dxa"/>
            <w:tcBorders>
              <w:top w:val="single" w:sz="4" w:space="0" w:color="A6A6A6"/>
              <w:bottom w:val="single" w:sz="4" w:space="0" w:color="A6A6A6"/>
            </w:tcBorders>
            <w:hideMark/>
          </w:tcPr>
          <w:p w14:paraId="37B7A0F6" w14:textId="77777777" w:rsidR="005F4A7E" w:rsidRPr="002029AF" w:rsidRDefault="005F4A7E" w:rsidP="00130D1C">
            <w:pPr>
              <w:pStyle w:val="ARfintablebody"/>
            </w:pPr>
            <w:r w:rsidRPr="00FE00B8">
              <w:t>Expected return on plan assets</w:t>
            </w:r>
          </w:p>
        </w:tc>
        <w:tc>
          <w:tcPr>
            <w:tcW w:w="1133" w:type="dxa"/>
            <w:tcBorders>
              <w:top w:val="single" w:sz="4" w:space="0" w:color="A6A6A6"/>
              <w:bottom w:val="single" w:sz="4" w:space="0" w:color="A6A6A6"/>
            </w:tcBorders>
            <w:shd w:val="clear" w:color="auto" w:fill="E7E6E6"/>
            <w:noWrap/>
            <w:hideMark/>
          </w:tcPr>
          <w:p w14:paraId="1AA6CF7E" w14:textId="77777777" w:rsidR="005F4A7E" w:rsidRPr="002029AF" w:rsidRDefault="005F4A7E" w:rsidP="00130D1C">
            <w:pPr>
              <w:pStyle w:val="ARfintablebodyright"/>
            </w:pPr>
            <w:r w:rsidRPr="00FE00B8">
              <w:t>6.8%</w:t>
            </w:r>
          </w:p>
        </w:tc>
        <w:tc>
          <w:tcPr>
            <w:tcW w:w="1133" w:type="dxa"/>
            <w:tcBorders>
              <w:top w:val="single" w:sz="4" w:space="0" w:color="A6A6A6"/>
              <w:bottom w:val="single" w:sz="4" w:space="0" w:color="A6A6A6"/>
            </w:tcBorders>
            <w:noWrap/>
            <w:hideMark/>
          </w:tcPr>
          <w:p w14:paraId="0C72CB40" w14:textId="77777777" w:rsidR="005F4A7E" w:rsidRPr="002029AF" w:rsidRDefault="005F4A7E" w:rsidP="00130D1C">
            <w:pPr>
              <w:pStyle w:val="ARfintablebodyright"/>
            </w:pPr>
            <w:r w:rsidRPr="00FE00B8">
              <w:t>6.8%</w:t>
            </w:r>
          </w:p>
        </w:tc>
      </w:tr>
      <w:tr w:rsidR="005F4A7E" w:rsidRPr="002029AF" w14:paraId="5A28CC83" w14:textId="77777777" w:rsidTr="00860E95">
        <w:tc>
          <w:tcPr>
            <w:tcW w:w="7371" w:type="dxa"/>
            <w:tcBorders>
              <w:top w:val="single" w:sz="4" w:space="0" w:color="A6A6A6"/>
              <w:bottom w:val="single" w:sz="4" w:space="0" w:color="A6A6A6"/>
            </w:tcBorders>
            <w:hideMark/>
          </w:tcPr>
          <w:p w14:paraId="3C8B92C0" w14:textId="77777777" w:rsidR="005F4A7E" w:rsidRPr="002029AF" w:rsidRDefault="005F4A7E" w:rsidP="00130D1C">
            <w:pPr>
              <w:pStyle w:val="ARfintablebody"/>
            </w:pPr>
            <w:r w:rsidRPr="00FE00B8">
              <w:t>Expected rate of salary increase</w:t>
            </w:r>
          </w:p>
        </w:tc>
        <w:tc>
          <w:tcPr>
            <w:tcW w:w="1133" w:type="dxa"/>
            <w:tcBorders>
              <w:top w:val="single" w:sz="4" w:space="0" w:color="A6A6A6"/>
              <w:bottom w:val="single" w:sz="4" w:space="0" w:color="A6A6A6"/>
            </w:tcBorders>
            <w:shd w:val="clear" w:color="auto" w:fill="E7E6E6"/>
            <w:noWrap/>
            <w:hideMark/>
          </w:tcPr>
          <w:p w14:paraId="5189ACF6" w14:textId="77777777" w:rsidR="005F4A7E" w:rsidRPr="002029AF" w:rsidRDefault="005F4A7E" w:rsidP="00130D1C">
            <w:pPr>
              <w:pStyle w:val="ARfintablebodyright"/>
            </w:pPr>
            <w:r w:rsidRPr="00FE00B8">
              <w:t>3.4%</w:t>
            </w:r>
          </w:p>
        </w:tc>
        <w:tc>
          <w:tcPr>
            <w:tcW w:w="1133" w:type="dxa"/>
            <w:tcBorders>
              <w:top w:val="single" w:sz="4" w:space="0" w:color="A6A6A6"/>
              <w:bottom w:val="single" w:sz="4" w:space="0" w:color="A6A6A6"/>
            </w:tcBorders>
            <w:noWrap/>
            <w:hideMark/>
          </w:tcPr>
          <w:p w14:paraId="29BD31B6" w14:textId="77777777" w:rsidR="005F4A7E" w:rsidRPr="002029AF" w:rsidRDefault="005F4A7E" w:rsidP="00130D1C">
            <w:pPr>
              <w:pStyle w:val="ARfintablebodyright"/>
            </w:pPr>
            <w:r w:rsidRPr="00FE00B8">
              <w:t>2.3%</w:t>
            </w:r>
          </w:p>
        </w:tc>
      </w:tr>
      <w:tr w:rsidR="005F4A7E" w:rsidRPr="002029AF" w14:paraId="0E280EF2" w14:textId="77777777" w:rsidTr="00860E95">
        <w:tc>
          <w:tcPr>
            <w:tcW w:w="7371" w:type="dxa"/>
            <w:tcBorders>
              <w:top w:val="single" w:sz="4" w:space="0" w:color="A6A6A6"/>
            </w:tcBorders>
            <w:hideMark/>
          </w:tcPr>
          <w:p w14:paraId="6A3A9CAC" w14:textId="77777777" w:rsidR="005F4A7E" w:rsidRPr="002029AF" w:rsidRDefault="005F4A7E" w:rsidP="00130D1C">
            <w:pPr>
              <w:pStyle w:val="ARfintablebody"/>
            </w:pPr>
            <w:r w:rsidRPr="00FE00B8">
              <w:t>Inflation</w:t>
            </w:r>
          </w:p>
        </w:tc>
        <w:tc>
          <w:tcPr>
            <w:tcW w:w="1133" w:type="dxa"/>
            <w:tcBorders>
              <w:top w:val="single" w:sz="4" w:space="0" w:color="A6A6A6"/>
            </w:tcBorders>
            <w:shd w:val="clear" w:color="auto" w:fill="E7E6E6"/>
            <w:noWrap/>
            <w:hideMark/>
          </w:tcPr>
          <w:p w14:paraId="65995F94" w14:textId="77777777" w:rsidR="005F4A7E" w:rsidRPr="002029AF" w:rsidRDefault="005F4A7E" w:rsidP="00130D1C">
            <w:pPr>
              <w:pStyle w:val="ARfintablebodyright"/>
            </w:pPr>
            <w:r w:rsidRPr="00FE00B8">
              <w:t>1.9%</w:t>
            </w:r>
          </w:p>
        </w:tc>
        <w:tc>
          <w:tcPr>
            <w:tcW w:w="1133" w:type="dxa"/>
            <w:tcBorders>
              <w:top w:val="single" w:sz="4" w:space="0" w:color="A6A6A6"/>
            </w:tcBorders>
            <w:noWrap/>
            <w:hideMark/>
          </w:tcPr>
          <w:p w14:paraId="47F49C96" w14:textId="77777777" w:rsidR="005F4A7E" w:rsidRPr="002029AF" w:rsidRDefault="005F4A7E" w:rsidP="00130D1C">
            <w:pPr>
              <w:pStyle w:val="ARfintablebodyright"/>
            </w:pPr>
            <w:r w:rsidRPr="00FE00B8">
              <w:t>0.8%</w:t>
            </w:r>
          </w:p>
        </w:tc>
      </w:tr>
    </w:tbl>
    <w:p w14:paraId="31D21555" w14:textId="77777777" w:rsidR="005F4A7E" w:rsidRDefault="005F4A7E" w:rsidP="00130D1C">
      <w:pPr>
        <w:pStyle w:val="ARfinbodyaftertable"/>
      </w:pPr>
      <w:r w:rsidRPr="00194D78">
        <w:t>The expected return on assets assumption is determined by weighting the expected long-term return for each asset class by the target allocation of assets to each asset class and allowing for the correlations of the investment returns between asset classes. The returns used for each asset class are net of investment tax (where applicable) and investment fees.</w:t>
      </w:r>
    </w:p>
    <w:p w14:paraId="6389394A" w14:textId="77777777" w:rsidR="005F4A7E" w:rsidRPr="00EE6C62" w:rsidRDefault="005F4A7E" w:rsidP="00130D1C">
      <w:pPr>
        <w:pStyle w:val="ARfinbody"/>
      </w:pPr>
      <w:r w:rsidRPr="00EE6C62">
        <w:br w:type="page"/>
      </w:r>
    </w:p>
    <w:p w14:paraId="2267BCCD" w14:textId="77777777" w:rsidR="005F4A7E" w:rsidRPr="00D86CC2" w:rsidRDefault="005F4A7E" w:rsidP="00130D1C">
      <w:pPr>
        <w:pStyle w:val="Heading7"/>
      </w:pPr>
      <w:bookmarkStart w:id="810" w:name="_Toc85121385"/>
      <w:r w:rsidRPr="00D86CC2">
        <w:lastRenderedPageBreak/>
        <w:t>Reconciliation of opening and closing balances of the present value of the defined benefit obligation</w:t>
      </w:r>
      <w:bookmarkEnd w:id="810"/>
    </w:p>
    <w:p w14:paraId="00C2D40D" w14:textId="77777777" w:rsidR="005F4A7E" w:rsidRDefault="005F4A7E" w:rsidP="00130D1C">
      <w:pPr>
        <w:pStyle w:val="ARfinbodylargespace"/>
      </w:pPr>
      <w:r w:rsidRPr="00194D78">
        <w:t>Movements in the present value of the defined benefit obligation in the current period were as follows:</w:t>
      </w:r>
    </w:p>
    <w:tbl>
      <w:tblPr>
        <w:tblStyle w:val="TableGrid"/>
        <w:tblW w:w="9637" w:type="dxa"/>
        <w:tblLayout w:type="fixed"/>
        <w:tblLook w:val="06A0" w:firstRow="1" w:lastRow="0" w:firstColumn="1" w:lastColumn="0" w:noHBand="1" w:noVBand="1"/>
      </w:tblPr>
      <w:tblGrid>
        <w:gridCol w:w="7371"/>
        <w:gridCol w:w="1133"/>
        <w:gridCol w:w="1133"/>
      </w:tblGrid>
      <w:tr w:rsidR="005F4A7E" w:rsidRPr="002029AF" w14:paraId="6D8CD7EB"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4D4DA674" w14:textId="77777777" w:rsidR="005F4A7E" w:rsidRPr="002029AF" w:rsidRDefault="005F4A7E" w:rsidP="00860E95">
            <w:pPr>
              <w:pStyle w:val="ARfintablecolhead"/>
            </w:pPr>
          </w:p>
        </w:tc>
        <w:tc>
          <w:tcPr>
            <w:tcW w:w="1133" w:type="dxa"/>
            <w:tcBorders>
              <w:bottom w:val="single" w:sz="4" w:space="0" w:color="auto"/>
            </w:tcBorders>
            <w:shd w:val="clear" w:color="auto" w:fill="E7E6E6"/>
            <w:hideMark/>
          </w:tcPr>
          <w:p w14:paraId="36F77EAB" w14:textId="77777777" w:rsidR="005F4A7E" w:rsidRPr="002029AF" w:rsidRDefault="005F4A7E" w:rsidP="00860E95">
            <w:pPr>
              <w:pStyle w:val="ARfintablecolheadright"/>
            </w:pPr>
            <w:r>
              <w:t>2021</w:t>
            </w:r>
          </w:p>
          <w:p w14:paraId="4FC332D9" w14:textId="77777777" w:rsidR="005F4A7E" w:rsidRPr="002029AF" w:rsidRDefault="005F4A7E" w:rsidP="00860E95">
            <w:pPr>
              <w:pStyle w:val="ARfintablecolheadright"/>
            </w:pPr>
            <w:r w:rsidRPr="002029AF">
              <w:t>$M</w:t>
            </w:r>
          </w:p>
        </w:tc>
        <w:tc>
          <w:tcPr>
            <w:tcW w:w="1133" w:type="dxa"/>
            <w:tcBorders>
              <w:bottom w:val="single" w:sz="4" w:space="0" w:color="auto"/>
            </w:tcBorders>
            <w:hideMark/>
          </w:tcPr>
          <w:p w14:paraId="0E8288AD" w14:textId="77777777" w:rsidR="005F4A7E" w:rsidRPr="002029AF" w:rsidRDefault="005F4A7E" w:rsidP="00860E95">
            <w:pPr>
              <w:pStyle w:val="ARfintablecolheadright"/>
            </w:pPr>
            <w:r>
              <w:t>2020</w:t>
            </w:r>
          </w:p>
          <w:p w14:paraId="40C20028" w14:textId="77777777" w:rsidR="005F4A7E" w:rsidRPr="002029AF" w:rsidRDefault="005F4A7E" w:rsidP="00860E95">
            <w:pPr>
              <w:pStyle w:val="ARfintablecolheadright"/>
            </w:pPr>
            <w:r w:rsidRPr="002029AF">
              <w:t>$M</w:t>
            </w:r>
          </w:p>
        </w:tc>
      </w:tr>
      <w:tr w:rsidR="005F4A7E" w:rsidRPr="002029AF" w14:paraId="36FA210B" w14:textId="77777777" w:rsidTr="00860E95">
        <w:tc>
          <w:tcPr>
            <w:tcW w:w="7371" w:type="dxa"/>
            <w:tcBorders>
              <w:top w:val="single" w:sz="4" w:space="0" w:color="auto"/>
              <w:bottom w:val="single" w:sz="4" w:space="0" w:color="A6A6A6"/>
            </w:tcBorders>
            <w:hideMark/>
          </w:tcPr>
          <w:p w14:paraId="4F4446F5" w14:textId="77777777" w:rsidR="005F4A7E" w:rsidRPr="002029AF" w:rsidRDefault="005F4A7E" w:rsidP="00130D1C">
            <w:pPr>
              <w:pStyle w:val="ARfintablebodybold"/>
            </w:pPr>
            <w:r w:rsidRPr="006764B1">
              <w:t>Opening balance of defined benefit obligation</w:t>
            </w:r>
          </w:p>
        </w:tc>
        <w:tc>
          <w:tcPr>
            <w:tcW w:w="1133" w:type="dxa"/>
            <w:tcBorders>
              <w:top w:val="single" w:sz="4" w:space="0" w:color="auto"/>
              <w:bottom w:val="single" w:sz="4" w:space="0" w:color="A6A6A6"/>
            </w:tcBorders>
            <w:shd w:val="clear" w:color="auto" w:fill="E7E6E6"/>
            <w:noWrap/>
            <w:hideMark/>
          </w:tcPr>
          <w:p w14:paraId="09631720" w14:textId="77777777" w:rsidR="005F4A7E" w:rsidRPr="002029AF" w:rsidRDefault="005F4A7E" w:rsidP="00130D1C">
            <w:pPr>
              <w:pStyle w:val="ARfintablebodyrightbold"/>
            </w:pPr>
            <w:r w:rsidRPr="006764B1">
              <w:t>32.2</w:t>
            </w:r>
          </w:p>
        </w:tc>
        <w:tc>
          <w:tcPr>
            <w:tcW w:w="1133" w:type="dxa"/>
            <w:tcBorders>
              <w:top w:val="single" w:sz="4" w:space="0" w:color="auto"/>
              <w:bottom w:val="single" w:sz="4" w:space="0" w:color="A6A6A6"/>
            </w:tcBorders>
            <w:noWrap/>
            <w:hideMark/>
          </w:tcPr>
          <w:p w14:paraId="397ACC3D" w14:textId="77777777" w:rsidR="005F4A7E" w:rsidRPr="002029AF" w:rsidRDefault="005F4A7E" w:rsidP="00130D1C">
            <w:pPr>
              <w:pStyle w:val="ARfintablebodyrightbold"/>
            </w:pPr>
            <w:r w:rsidRPr="006764B1">
              <w:t>34.7</w:t>
            </w:r>
          </w:p>
        </w:tc>
      </w:tr>
      <w:tr w:rsidR="005F4A7E" w:rsidRPr="002029AF" w14:paraId="52089D62" w14:textId="77777777" w:rsidTr="00860E95">
        <w:tc>
          <w:tcPr>
            <w:tcW w:w="7371" w:type="dxa"/>
            <w:tcBorders>
              <w:top w:val="single" w:sz="4" w:space="0" w:color="A6A6A6"/>
              <w:bottom w:val="single" w:sz="4" w:space="0" w:color="A6A6A6"/>
            </w:tcBorders>
            <w:hideMark/>
          </w:tcPr>
          <w:p w14:paraId="34D27784" w14:textId="77777777" w:rsidR="005F4A7E" w:rsidRPr="002029AF" w:rsidRDefault="005F4A7E" w:rsidP="00130D1C">
            <w:pPr>
              <w:pStyle w:val="ARfintablebody"/>
            </w:pPr>
            <w:r w:rsidRPr="006764B1">
              <w:t>Interest cost</w:t>
            </w:r>
          </w:p>
        </w:tc>
        <w:tc>
          <w:tcPr>
            <w:tcW w:w="1133" w:type="dxa"/>
            <w:tcBorders>
              <w:top w:val="single" w:sz="4" w:space="0" w:color="A6A6A6"/>
              <w:bottom w:val="single" w:sz="4" w:space="0" w:color="A6A6A6"/>
            </w:tcBorders>
            <w:shd w:val="clear" w:color="auto" w:fill="E7E6E6"/>
            <w:noWrap/>
            <w:hideMark/>
          </w:tcPr>
          <w:p w14:paraId="093FD89A" w14:textId="77777777" w:rsidR="005F4A7E" w:rsidRPr="002029AF" w:rsidRDefault="005F4A7E" w:rsidP="00130D1C">
            <w:pPr>
              <w:pStyle w:val="ARfintablebodyright"/>
            </w:pPr>
            <w:r w:rsidRPr="006764B1">
              <w:t>0.3</w:t>
            </w:r>
          </w:p>
        </w:tc>
        <w:tc>
          <w:tcPr>
            <w:tcW w:w="1133" w:type="dxa"/>
            <w:tcBorders>
              <w:top w:val="single" w:sz="4" w:space="0" w:color="A6A6A6"/>
              <w:bottom w:val="single" w:sz="4" w:space="0" w:color="A6A6A6"/>
            </w:tcBorders>
            <w:noWrap/>
            <w:hideMark/>
          </w:tcPr>
          <w:p w14:paraId="716530A8" w14:textId="77777777" w:rsidR="005F4A7E" w:rsidRPr="002029AF" w:rsidRDefault="005F4A7E" w:rsidP="00130D1C">
            <w:pPr>
              <w:pStyle w:val="ARfintablebodyright"/>
            </w:pPr>
            <w:r w:rsidRPr="006764B1">
              <w:t>0.5</w:t>
            </w:r>
          </w:p>
        </w:tc>
      </w:tr>
      <w:tr w:rsidR="005F4A7E" w:rsidRPr="002029AF" w14:paraId="06ADCFB4" w14:textId="77777777" w:rsidTr="00860E95">
        <w:tc>
          <w:tcPr>
            <w:tcW w:w="7371" w:type="dxa"/>
            <w:tcBorders>
              <w:top w:val="single" w:sz="4" w:space="0" w:color="A6A6A6"/>
              <w:bottom w:val="single" w:sz="4" w:space="0" w:color="A6A6A6"/>
            </w:tcBorders>
            <w:hideMark/>
          </w:tcPr>
          <w:p w14:paraId="2F8A9849" w14:textId="77777777" w:rsidR="005F4A7E" w:rsidRPr="002029AF" w:rsidRDefault="005F4A7E" w:rsidP="00130D1C">
            <w:pPr>
              <w:pStyle w:val="ARfintablebody"/>
            </w:pPr>
            <w:r w:rsidRPr="006764B1">
              <w:t>Actuarial losses/(gains)</w:t>
            </w:r>
          </w:p>
        </w:tc>
        <w:tc>
          <w:tcPr>
            <w:tcW w:w="1133" w:type="dxa"/>
            <w:tcBorders>
              <w:top w:val="single" w:sz="4" w:space="0" w:color="A6A6A6"/>
              <w:bottom w:val="single" w:sz="4" w:space="0" w:color="A6A6A6"/>
            </w:tcBorders>
            <w:shd w:val="clear" w:color="auto" w:fill="E7E6E6"/>
            <w:noWrap/>
            <w:hideMark/>
          </w:tcPr>
          <w:p w14:paraId="730100A2" w14:textId="77777777" w:rsidR="005F4A7E" w:rsidRPr="002029AF" w:rsidRDefault="005F4A7E" w:rsidP="00130D1C">
            <w:pPr>
              <w:pStyle w:val="ARfintablebodyright"/>
            </w:pPr>
            <w:r w:rsidRPr="006764B1">
              <w:t>1.5</w:t>
            </w:r>
          </w:p>
        </w:tc>
        <w:tc>
          <w:tcPr>
            <w:tcW w:w="1133" w:type="dxa"/>
            <w:tcBorders>
              <w:top w:val="single" w:sz="4" w:space="0" w:color="A6A6A6"/>
              <w:bottom w:val="single" w:sz="4" w:space="0" w:color="A6A6A6"/>
            </w:tcBorders>
            <w:noWrap/>
            <w:hideMark/>
          </w:tcPr>
          <w:p w14:paraId="08823812" w14:textId="77777777" w:rsidR="005F4A7E" w:rsidRPr="002029AF" w:rsidRDefault="005F4A7E" w:rsidP="00130D1C">
            <w:pPr>
              <w:pStyle w:val="ARfintablebodyright"/>
            </w:pPr>
            <w:r w:rsidRPr="006764B1">
              <w:t>(0.3)</w:t>
            </w:r>
          </w:p>
        </w:tc>
      </w:tr>
      <w:tr w:rsidR="005F4A7E" w:rsidRPr="002029AF" w14:paraId="3A66970C" w14:textId="77777777" w:rsidTr="00860E95">
        <w:tc>
          <w:tcPr>
            <w:tcW w:w="7371" w:type="dxa"/>
            <w:tcBorders>
              <w:top w:val="single" w:sz="4" w:space="0" w:color="A6A6A6"/>
            </w:tcBorders>
            <w:hideMark/>
          </w:tcPr>
          <w:p w14:paraId="5505D29A" w14:textId="77777777" w:rsidR="005F4A7E" w:rsidRPr="002029AF" w:rsidRDefault="005F4A7E" w:rsidP="00130D1C">
            <w:pPr>
              <w:pStyle w:val="ARfintablebody"/>
            </w:pPr>
            <w:r w:rsidRPr="006764B1">
              <w:t>Benefits paid</w:t>
            </w:r>
          </w:p>
        </w:tc>
        <w:tc>
          <w:tcPr>
            <w:tcW w:w="1133" w:type="dxa"/>
            <w:tcBorders>
              <w:top w:val="single" w:sz="4" w:space="0" w:color="A6A6A6"/>
            </w:tcBorders>
            <w:shd w:val="clear" w:color="auto" w:fill="E7E6E6"/>
            <w:noWrap/>
            <w:hideMark/>
          </w:tcPr>
          <w:p w14:paraId="5B6D5036" w14:textId="77777777" w:rsidR="005F4A7E" w:rsidRPr="002029AF" w:rsidRDefault="005F4A7E" w:rsidP="00130D1C">
            <w:pPr>
              <w:pStyle w:val="ARfintablebodyright"/>
            </w:pPr>
            <w:r w:rsidRPr="006764B1">
              <w:t>(2.6)</w:t>
            </w:r>
          </w:p>
        </w:tc>
        <w:tc>
          <w:tcPr>
            <w:tcW w:w="1133" w:type="dxa"/>
            <w:tcBorders>
              <w:top w:val="single" w:sz="4" w:space="0" w:color="A6A6A6"/>
            </w:tcBorders>
            <w:noWrap/>
            <w:hideMark/>
          </w:tcPr>
          <w:p w14:paraId="0BAB0189" w14:textId="77777777" w:rsidR="005F4A7E" w:rsidRPr="002029AF" w:rsidRDefault="005F4A7E" w:rsidP="00130D1C">
            <w:pPr>
              <w:pStyle w:val="ARfintablebodyright"/>
            </w:pPr>
            <w:r w:rsidRPr="006764B1">
              <w:t>(2.7)</w:t>
            </w:r>
          </w:p>
        </w:tc>
      </w:tr>
      <w:tr w:rsidR="005F4A7E" w:rsidRPr="002029AF" w14:paraId="3AAA7D3A" w14:textId="77777777" w:rsidTr="00860E95">
        <w:tc>
          <w:tcPr>
            <w:tcW w:w="7371" w:type="dxa"/>
            <w:hideMark/>
          </w:tcPr>
          <w:p w14:paraId="0CBD7CA2" w14:textId="77777777" w:rsidR="005F4A7E" w:rsidRPr="002029AF" w:rsidRDefault="005F4A7E" w:rsidP="00130D1C">
            <w:pPr>
              <w:pStyle w:val="ARfintablebodybold"/>
            </w:pPr>
            <w:r w:rsidRPr="006764B1">
              <w:t>Closing balance of defined benefit obligation</w:t>
            </w:r>
          </w:p>
        </w:tc>
        <w:tc>
          <w:tcPr>
            <w:tcW w:w="1133" w:type="dxa"/>
            <w:shd w:val="clear" w:color="auto" w:fill="E7E6E6"/>
            <w:noWrap/>
            <w:hideMark/>
          </w:tcPr>
          <w:p w14:paraId="5C62FB16" w14:textId="77777777" w:rsidR="005F4A7E" w:rsidRPr="002029AF" w:rsidRDefault="005F4A7E" w:rsidP="00130D1C">
            <w:pPr>
              <w:pStyle w:val="ARfintablebodyrightbold"/>
            </w:pPr>
            <w:r w:rsidRPr="006764B1">
              <w:t>31.4</w:t>
            </w:r>
          </w:p>
        </w:tc>
        <w:tc>
          <w:tcPr>
            <w:tcW w:w="1133" w:type="dxa"/>
            <w:noWrap/>
            <w:hideMark/>
          </w:tcPr>
          <w:p w14:paraId="5C476996" w14:textId="77777777" w:rsidR="005F4A7E" w:rsidRPr="002029AF" w:rsidRDefault="005F4A7E" w:rsidP="00130D1C">
            <w:pPr>
              <w:pStyle w:val="ARfintablebodyrightbold"/>
            </w:pPr>
            <w:r w:rsidRPr="006764B1">
              <w:t>32.2</w:t>
            </w:r>
          </w:p>
        </w:tc>
      </w:tr>
    </w:tbl>
    <w:p w14:paraId="3992FCD4" w14:textId="77777777" w:rsidR="005F4A7E" w:rsidRPr="00D86CC2" w:rsidRDefault="005F4A7E" w:rsidP="00130D1C">
      <w:pPr>
        <w:pStyle w:val="Heading7"/>
      </w:pPr>
      <w:bookmarkStart w:id="811" w:name="_Toc85121386"/>
      <w:r w:rsidRPr="00D86CC2">
        <w:t xml:space="preserve">Reconciliation </w:t>
      </w:r>
      <w:r w:rsidRPr="00C94661">
        <w:t>of opening and closing balances of the fair value of plan assets</w:t>
      </w:r>
      <w:bookmarkEnd w:id="811"/>
    </w:p>
    <w:p w14:paraId="56FA13ED" w14:textId="77777777" w:rsidR="005F4A7E" w:rsidRDefault="005F4A7E" w:rsidP="00130D1C">
      <w:pPr>
        <w:pStyle w:val="ARfinbodylargespace"/>
      </w:pPr>
      <w:r w:rsidRPr="00194D78">
        <w:t>Movements in the present value of the plan assets in the current period were as follows:</w:t>
      </w:r>
    </w:p>
    <w:tbl>
      <w:tblPr>
        <w:tblStyle w:val="TableGrid"/>
        <w:tblW w:w="9637" w:type="dxa"/>
        <w:tblLayout w:type="fixed"/>
        <w:tblLook w:val="06A0" w:firstRow="1" w:lastRow="0" w:firstColumn="1" w:lastColumn="0" w:noHBand="1" w:noVBand="1"/>
      </w:tblPr>
      <w:tblGrid>
        <w:gridCol w:w="7371"/>
        <w:gridCol w:w="1133"/>
        <w:gridCol w:w="1133"/>
      </w:tblGrid>
      <w:tr w:rsidR="005F4A7E" w:rsidRPr="002029AF" w14:paraId="160C785F"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52DB4CCE" w14:textId="77777777" w:rsidR="005F4A7E" w:rsidRPr="002029AF" w:rsidRDefault="005F4A7E" w:rsidP="00860E95">
            <w:pPr>
              <w:pStyle w:val="ARfintablecolhead"/>
            </w:pPr>
          </w:p>
        </w:tc>
        <w:tc>
          <w:tcPr>
            <w:tcW w:w="1133" w:type="dxa"/>
            <w:tcBorders>
              <w:bottom w:val="single" w:sz="4" w:space="0" w:color="auto"/>
            </w:tcBorders>
            <w:shd w:val="clear" w:color="auto" w:fill="E7E6E6"/>
            <w:hideMark/>
          </w:tcPr>
          <w:p w14:paraId="421E4F48" w14:textId="77777777" w:rsidR="005F4A7E" w:rsidRPr="002029AF" w:rsidRDefault="005F4A7E" w:rsidP="00860E95">
            <w:pPr>
              <w:pStyle w:val="ARfintablecolheadright"/>
            </w:pPr>
            <w:r>
              <w:t>2021</w:t>
            </w:r>
          </w:p>
          <w:p w14:paraId="1FD44BD5" w14:textId="77777777" w:rsidR="005F4A7E" w:rsidRPr="002029AF" w:rsidRDefault="005F4A7E" w:rsidP="00860E95">
            <w:pPr>
              <w:pStyle w:val="ARfintablecolheadright"/>
            </w:pPr>
            <w:r w:rsidRPr="002029AF">
              <w:t>$M</w:t>
            </w:r>
          </w:p>
        </w:tc>
        <w:tc>
          <w:tcPr>
            <w:tcW w:w="1133" w:type="dxa"/>
            <w:tcBorders>
              <w:bottom w:val="single" w:sz="4" w:space="0" w:color="auto"/>
            </w:tcBorders>
            <w:hideMark/>
          </w:tcPr>
          <w:p w14:paraId="2E6DF994" w14:textId="77777777" w:rsidR="005F4A7E" w:rsidRPr="002029AF" w:rsidRDefault="005F4A7E" w:rsidP="00860E95">
            <w:pPr>
              <w:pStyle w:val="ARfintablecolheadright"/>
            </w:pPr>
            <w:r>
              <w:t>2020</w:t>
            </w:r>
          </w:p>
          <w:p w14:paraId="4C0C7C61" w14:textId="77777777" w:rsidR="005F4A7E" w:rsidRPr="002029AF" w:rsidRDefault="005F4A7E" w:rsidP="00860E95">
            <w:pPr>
              <w:pStyle w:val="ARfintablecolheadright"/>
            </w:pPr>
            <w:r w:rsidRPr="002029AF">
              <w:t>$M</w:t>
            </w:r>
          </w:p>
        </w:tc>
      </w:tr>
      <w:tr w:rsidR="005F4A7E" w:rsidRPr="002029AF" w14:paraId="23973BA8" w14:textId="77777777" w:rsidTr="00130D1C">
        <w:tc>
          <w:tcPr>
            <w:tcW w:w="7371" w:type="dxa"/>
            <w:tcBorders>
              <w:top w:val="single" w:sz="4" w:space="0" w:color="auto"/>
              <w:bottom w:val="single" w:sz="4" w:space="0" w:color="A6A6A6"/>
            </w:tcBorders>
            <w:vAlign w:val="center"/>
            <w:hideMark/>
          </w:tcPr>
          <w:p w14:paraId="777293E6" w14:textId="77777777" w:rsidR="005F4A7E" w:rsidRPr="002029AF" w:rsidRDefault="005F4A7E" w:rsidP="00130D1C">
            <w:pPr>
              <w:pStyle w:val="ARfintablebody"/>
            </w:pPr>
            <w:r>
              <w:rPr>
                <w:sz w:val="16"/>
              </w:rPr>
              <w:t>Contributions from the employer</w:t>
            </w:r>
          </w:p>
        </w:tc>
        <w:tc>
          <w:tcPr>
            <w:tcW w:w="1133" w:type="dxa"/>
            <w:tcBorders>
              <w:top w:val="single" w:sz="4" w:space="0" w:color="auto"/>
              <w:bottom w:val="single" w:sz="4" w:space="0" w:color="A6A6A6"/>
            </w:tcBorders>
            <w:shd w:val="clear" w:color="auto" w:fill="E7E6E6"/>
            <w:noWrap/>
            <w:vAlign w:val="center"/>
            <w:hideMark/>
          </w:tcPr>
          <w:p w14:paraId="01A0D206" w14:textId="77777777" w:rsidR="005F4A7E" w:rsidRPr="002029AF" w:rsidRDefault="005F4A7E" w:rsidP="00130D1C">
            <w:pPr>
              <w:pStyle w:val="ARfintablebodyright"/>
            </w:pPr>
            <w:r>
              <w:rPr>
                <w:sz w:val="16"/>
              </w:rPr>
              <w:t>2.6</w:t>
            </w:r>
          </w:p>
        </w:tc>
        <w:tc>
          <w:tcPr>
            <w:tcW w:w="1133" w:type="dxa"/>
            <w:tcBorders>
              <w:top w:val="single" w:sz="4" w:space="0" w:color="auto"/>
              <w:bottom w:val="single" w:sz="4" w:space="0" w:color="A6A6A6"/>
            </w:tcBorders>
            <w:noWrap/>
            <w:vAlign w:val="center"/>
            <w:hideMark/>
          </w:tcPr>
          <w:p w14:paraId="11A5E036" w14:textId="77777777" w:rsidR="005F4A7E" w:rsidRPr="002029AF" w:rsidRDefault="005F4A7E" w:rsidP="00130D1C">
            <w:pPr>
              <w:pStyle w:val="ARfintablebodyright"/>
            </w:pPr>
            <w:r>
              <w:rPr>
                <w:sz w:val="16"/>
              </w:rPr>
              <w:t>2.7</w:t>
            </w:r>
          </w:p>
        </w:tc>
      </w:tr>
      <w:tr w:rsidR="005F4A7E" w:rsidRPr="002029AF" w14:paraId="233298E7" w14:textId="77777777" w:rsidTr="00130D1C">
        <w:tc>
          <w:tcPr>
            <w:tcW w:w="7371" w:type="dxa"/>
            <w:tcBorders>
              <w:top w:val="single" w:sz="4" w:space="0" w:color="A6A6A6"/>
            </w:tcBorders>
            <w:vAlign w:val="center"/>
            <w:hideMark/>
          </w:tcPr>
          <w:p w14:paraId="7BD8584F" w14:textId="77777777" w:rsidR="005F4A7E" w:rsidRPr="002029AF" w:rsidRDefault="005F4A7E" w:rsidP="00130D1C">
            <w:pPr>
              <w:pStyle w:val="ARfintablebody"/>
            </w:pPr>
            <w:r>
              <w:rPr>
                <w:sz w:val="16"/>
              </w:rPr>
              <w:t>Benefits paid</w:t>
            </w:r>
          </w:p>
        </w:tc>
        <w:tc>
          <w:tcPr>
            <w:tcW w:w="1133" w:type="dxa"/>
            <w:tcBorders>
              <w:top w:val="single" w:sz="4" w:space="0" w:color="A6A6A6"/>
            </w:tcBorders>
            <w:shd w:val="clear" w:color="auto" w:fill="E7E6E6"/>
            <w:noWrap/>
            <w:vAlign w:val="center"/>
            <w:hideMark/>
          </w:tcPr>
          <w:p w14:paraId="35C0C0B4" w14:textId="77777777" w:rsidR="005F4A7E" w:rsidRPr="002029AF" w:rsidRDefault="005F4A7E" w:rsidP="00130D1C">
            <w:pPr>
              <w:pStyle w:val="ARfintablebodyright"/>
            </w:pPr>
            <w:r>
              <w:rPr>
                <w:sz w:val="16"/>
              </w:rPr>
              <w:t>(2.6)</w:t>
            </w:r>
          </w:p>
        </w:tc>
        <w:tc>
          <w:tcPr>
            <w:tcW w:w="1133" w:type="dxa"/>
            <w:tcBorders>
              <w:top w:val="single" w:sz="4" w:space="0" w:color="A6A6A6"/>
            </w:tcBorders>
            <w:noWrap/>
            <w:vAlign w:val="center"/>
            <w:hideMark/>
          </w:tcPr>
          <w:p w14:paraId="3EAD8E23" w14:textId="77777777" w:rsidR="005F4A7E" w:rsidRPr="002029AF" w:rsidRDefault="005F4A7E" w:rsidP="00130D1C">
            <w:pPr>
              <w:pStyle w:val="ARfintablebodyright"/>
            </w:pPr>
            <w:r>
              <w:rPr>
                <w:sz w:val="16"/>
              </w:rPr>
              <w:t>(2.7)</w:t>
            </w:r>
          </w:p>
        </w:tc>
      </w:tr>
      <w:tr w:rsidR="005F4A7E" w:rsidRPr="002029AF" w14:paraId="2E1CD0FD" w14:textId="77777777" w:rsidTr="00130D1C">
        <w:tc>
          <w:tcPr>
            <w:tcW w:w="7371" w:type="dxa"/>
            <w:vAlign w:val="center"/>
            <w:hideMark/>
          </w:tcPr>
          <w:p w14:paraId="672094A2" w14:textId="77777777" w:rsidR="005F4A7E" w:rsidRPr="002029AF" w:rsidRDefault="005F4A7E" w:rsidP="00130D1C">
            <w:pPr>
              <w:pStyle w:val="ARfintablebodybold"/>
            </w:pPr>
            <w:r>
              <w:rPr>
                <w:rFonts w:cs="Arial"/>
                <w:sz w:val="16"/>
              </w:rPr>
              <w:t>Closing balance of plan assets</w:t>
            </w:r>
          </w:p>
        </w:tc>
        <w:tc>
          <w:tcPr>
            <w:tcW w:w="1133" w:type="dxa"/>
            <w:shd w:val="clear" w:color="auto" w:fill="E7E6E6"/>
            <w:noWrap/>
            <w:vAlign w:val="center"/>
            <w:hideMark/>
          </w:tcPr>
          <w:p w14:paraId="67F2E5F6" w14:textId="77777777" w:rsidR="005F4A7E" w:rsidRPr="002029AF" w:rsidRDefault="005F4A7E" w:rsidP="00130D1C">
            <w:pPr>
              <w:pStyle w:val="ARfintablebodyrightbold"/>
            </w:pPr>
            <w:r>
              <w:rPr>
                <w:bCs/>
                <w:sz w:val="16"/>
              </w:rPr>
              <w:t>–</w:t>
            </w:r>
          </w:p>
        </w:tc>
        <w:tc>
          <w:tcPr>
            <w:tcW w:w="1133" w:type="dxa"/>
            <w:noWrap/>
            <w:vAlign w:val="center"/>
            <w:hideMark/>
          </w:tcPr>
          <w:p w14:paraId="6C6D09C6" w14:textId="77777777" w:rsidR="005F4A7E" w:rsidRPr="002029AF" w:rsidRDefault="005F4A7E" w:rsidP="00130D1C">
            <w:pPr>
              <w:pStyle w:val="ARfintablebodyrightbold"/>
            </w:pPr>
            <w:r>
              <w:rPr>
                <w:bCs/>
                <w:sz w:val="16"/>
              </w:rPr>
              <w:t>–</w:t>
            </w:r>
          </w:p>
        </w:tc>
      </w:tr>
    </w:tbl>
    <w:p w14:paraId="228A4EA8" w14:textId="77777777" w:rsidR="005F4A7E" w:rsidRPr="002029AF" w:rsidRDefault="005F4A7E" w:rsidP="00087B91">
      <w:pPr>
        <w:pStyle w:val="Heading7"/>
      </w:pPr>
      <w:bookmarkStart w:id="812" w:name="_Toc85121387"/>
      <w:r>
        <w:t>Superannuation</w:t>
      </w:r>
      <w:r w:rsidRPr="009D1213">
        <w:t xml:space="preserve"> expense recognised in the comprehensive operating statement</w:t>
      </w:r>
      <w:bookmarkEnd w:id="812"/>
    </w:p>
    <w:tbl>
      <w:tblPr>
        <w:tblStyle w:val="TableGrid"/>
        <w:tblW w:w="9637" w:type="dxa"/>
        <w:tblLayout w:type="fixed"/>
        <w:tblLook w:val="06A0" w:firstRow="1" w:lastRow="0" w:firstColumn="1" w:lastColumn="0" w:noHBand="1" w:noVBand="1"/>
      </w:tblPr>
      <w:tblGrid>
        <w:gridCol w:w="7371"/>
        <w:gridCol w:w="1133"/>
        <w:gridCol w:w="1133"/>
      </w:tblGrid>
      <w:tr w:rsidR="005F4A7E" w:rsidRPr="002029AF" w14:paraId="409E2B7E" w14:textId="77777777" w:rsidTr="00C8371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2EF84738" w14:textId="77777777" w:rsidR="005F4A7E" w:rsidRPr="002029AF" w:rsidRDefault="005F4A7E" w:rsidP="00860E95">
            <w:pPr>
              <w:pStyle w:val="ARfintablecolhead"/>
            </w:pPr>
          </w:p>
        </w:tc>
        <w:tc>
          <w:tcPr>
            <w:tcW w:w="1133" w:type="dxa"/>
            <w:tcBorders>
              <w:bottom w:val="single" w:sz="4" w:space="0" w:color="auto"/>
            </w:tcBorders>
            <w:shd w:val="clear" w:color="auto" w:fill="E7E6E6"/>
            <w:hideMark/>
          </w:tcPr>
          <w:p w14:paraId="05D0EE10" w14:textId="77777777" w:rsidR="005F4A7E" w:rsidRPr="002029AF" w:rsidRDefault="005F4A7E" w:rsidP="00860E95">
            <w:pPr>
              <w:pStyle w:val="ARfintablecolheadright"/>
            </w:pPr>
            <w:r>
              <w:t>2021</w:t>
            </w:r>
          </w:p>
          <w:p w14:paraId="3B499090" w14:textId="77777777" w:rsidR="005F4A7E" w:rsidRPr="002029AF" w:rsidRDefault="005F4A7E" w:rsidP="00860E95">
            <w:pPr>
              <w:pStyle w:val="ARfintablecolheadright"/>
            </w:pPr>
            <w:r w:rsidRPr="002029AF">
              <w:t>$M</w:t>
            </w:r>
          </w:p>
        </w:tc>
        <w:tc>
          <w:tcPr>
            <w:tcW w:w="1133" w:type="dxa"/>
            <w:tcBorders>
              <w:bottom w:val="single" w:sz="4" w:space="0" w:color="auto"/>
            </w:tcBorders>
            <w:hideMark/>
          </w:tcPr>
          <w:p w14:paraId="103BB95C" w14:textId="77777777" w:rsidR="005F4A7E" w:rsidRPr="002029AF" w:rsidRDefault="005F4A7E" w:rsidP="00860E95">
            <w:pPr>
              <w:pStyle w:val="ARfintablecolheadright"/>
            </w:pPr>
            <w:r>
              <w:t>2020</w:t>
            </w:r>
          </w:p>
          <w:p w14:paraId="5E42B81D" w14:textId="77777777" w:rsidR="005F4A7E" w:rsidRPr="002029AF" w:rsidRDefault="005F4A7E" w:rsidP="00860E95">
            <w:pPr>
              <w:pStyle w:val="ARfintablecolheadright"/>
            </w:pPr>
            <w:r w:rsidRPr="002029AF">
              <w:t>$M</w:t>
            </w:r>
          </w:p>
        </w:tc>
      </w:tr>
      <w:tr w:rsidR="005F4A7E" w:rsidRPr="002029AF" w14:paraId="653B402B" w14:textId="77777777" w:rsidTr="00860E95">
        <w:trPr>
          <w:trHeight w:val="255"/>
        </w:trPr>
        <w:tc>
          <w:tcPr>
            <w:tcW w:w="7371" w:type="dxa"/>
            <w:tcBorders>
              <w:top w:val="single" w:sz="4" w:space="0" w:color="auto"/>
              <w:bottom w:val="single" w:sz="4" w:space="0" w:color="A6A6A6"/>
            </w:tcBorders>
            <w:hideMark/>
          </w:tcPr>
          <w:p w14:paraId="0EF75D63" w14:textId="77777777" w:rsidR="005F4A7E" w:rsidRPr="002029AF" w:rsidRDefault="005F4A7E" w:rsidP="00130D1C">
            <w:pPr>
              <w:pStyle w:val="ARfintablebody"/>
            </w:pPr>
            <w:r w:rsidRPr="001C4160">
              <w:t>Interest cost</w:t>
            </w:r>
          </w:p>
        </w:tc>
        <w:tc>
          <w:tcPr>
            <w:tcW w:w="1133" w:type="dxa"/>
            <w:tcBorders>
              <w:top w:val="single" w:sz="4" w:space="0" w:color="auto"/>
              <w:bottom w:val="single" w:sz="4" w:space="0" w:color="A6A6A6"/>
            </w:tcBorders>
            <w:shd w:val="clear" w:color="auto" w:fill="E7E6E6"/>
            <w:noWrap/>
            <w:hideMark/>
          </w:tcPr>
          <w:p w14:paraId="42C665EC" w14:textId="77777777" w:rsidR="005F4A7E" w:rsidRPr="002029AF" w:rsidRDefault="005F4A7E" w:rsidP="00130D1C">
            <w:pPr>
              <w:pStyle w:val="ARfintablebodyright"/>
            </w:pPr>
            <w:r w:rsidRPr="001C4160">
              <w:t>0.3</w:t>
            </w:r>
          </w:p>
        </w:tc>
        <w:tc>
          <w:tcPr>
            <w:tcW w:w="1133" w:type="dxa"/>
            <w:tcBorders>
              <w:top w:val="single" w:sz="4" w:space="0" w:color="auto"/>
              <w:bottom w:val="single" w:sz="4" w:space="0" w:color="A6A6A6"/>
            </w:tcBorders>
            <w:noWrap/>
            <w:hideMark/>
          </w:tcPr>
          <w:p w14:paraId="5040E919" w14:textId="77777777" w:rsidR="005F4A7E" w:rsidRPr="002029AF" w:rsidRDefault="005F4A7E" w:rsidP="00130D1C">
            <w:pPr>
              <w:pStyle w:val="ARfintablebodyright"/>
            </w:pPr>
            <w:r w:rsidRPr="001C4160">
              <w:t>0.5</w:t>
            </w:r>
          </w:p>
        </w:tc>
      </w:tr>
      <w:tr w:rsidR="005F4A7E" w:rsidRPr="002029AF" w14:paraId="35F50D71" w14:textId="77777777" w:rsidTr="00860E95">
        <w:trPr>
          <w:trHeight w:val="255"/>
        </w:trPr>
        <w:tc>
          <w:tcPr>
            <w:tcW w:w="7371" w:type="dxa"/>
            <w:tcBorders>
              <w:top w:val="single" w:sz="4" w:space="0" w:color="A6A6A6"/>
            </w:tcBorders>
            <w:hideMark/>
          </w:tcPr>
          <w:p w14:paraId="2D199487" w14:textId="77777777" w:rsidR="005F4A7E" w:rsidRPr="002029AF" w:rsidRDefault="005F4A7E" w:rsidP="00130D1C">
            <w:pPr>
              <w:pStyle w:val="ARfintablebody"/>
            </w:pPr>
            <w:r w:rsidRPr="001C4160">
              <w:t>Actuarial losses/(gains)</w:t>
            </w:r>
          </w:p>
        </w:tc>
        <w:tc>
          <w:tcPr>
            <w:tcW w:w="1133" w:type="dxa"/>
            <w:tcBorders>
              <w:top w:val="single" w:sz="4" w:space="0" w:color="A6A6A6"/>
            </w:tcBorders>
            <w:shd w:val="clear" w:color="auto" w:fill="E7E6E6"/>
            <w:noWrap/>
            <w:hideMark/>
          </w:tcPr>
          <w:p w14:paraId="4963CFE4" w14:textId="77777777" w:rsidR="005F4A7E" w:rsidRPr="002029AF" w:rsidRDefault="005F4A7E" w:rsidP="00130D1C">
            <w:pPr>
              <w:pStyle w:val="ARfintablebodyright"/>
            </w:pPr>
            <w:r w:rsidRPr="001C4160">
              <w:t>1.5</w:t>
            </w:r>
          </w:p>
        </w:tc>
        <w:tc>
          <w:tcPr>
            <w:tcW w:w="1133" w:type="dxa"/>
            <w:tcBorders>
              <w:top w:val="single" w:sz="4" w:space="0" w:color="A6A6A6"/>
            </w:tcBorders>
            <w:noWrap/>
            <w:hideMark/>
          </w:tcPr>
          <w:p w14:paraId="152B374C" w14:textId="77777777" w:rsidR="005F4A7E" w:rsidRPr="002029AF" w:rsidRDefault="005F4A7E" w:rsidP="00130D1C">
            <w:pPr>
              <w:pStyle w:val="ARfintablebodyright"/>
            </w:pPr>
            <w:r w:rsidRPr="001C4160">
              <w:t>(0.3)</w:t>
            </w:r>
          </w:p>
        </w:tc>
      </w:tr>
      <w:tr w:rsidR="005F4A7E" w:rsidRPr="002029AF" w14:paraId="0A7AC3C9" w14:textId="77777777" w:rsidTr="00860E95">
        <w:trPr>
          <w:trHeight w:val="255"/>
        </w:trPr>
        <w:tc>
          <w:tcPr>
            <w:tcW w:w="7371" w:type="dxa"/>
            <w:hideMark/>
          </w:tcPr>
          <w:p w14:paraId="15116FAF" w14:textId="77777777" w:rsidR="005F4A7E" w:rsidRPr="002029AF" w:rsidRDefault="005F4A7E" w:rsidP="00130D1C">
            <w:pPr>
              <w:pStyle w:val="ARfintablebodybold"/>
            </w:pPr>
            <w:r w:rsidRPr="001C4160">
              <w:t>Total expense recognised in respect of defined benefit plans</w:t>
            </w:r>
          </w:p>
        </w:tc>
        <w:tc>
          <w:tcPr>
            <w:tcW w:w="1133" w:type="dxa"/>
            <w:shd w:val="clear" w:color="auto" w:fill="E7E6E6"/>
            <w:noWrap/>
            <w:hideMark/>
          </w:tcPr>
          <w:p w14:paraId="58F658ED" w14:textId="77777777" w:rsidR="005F4A7E" w:rsidRPr="002029AF" w:rsidRDefault="005F4A7E" w:rsidP="00130D1C">
            <w:pPr>
              <w:pStyle w:val="ARfintablebodyrightbold"/>
            </w:pPr>
            <w:r w:rsidRPr="001C4160">
              <w:t>1.8</w:t>
            </w:r>
          </w:p>
        </w:tc>
        <w:tc>
          <w:tcPr>
            <w:tcW w:w="1133" w:type="dxa"/>
            <w:noWrap/>
            <w:hideMark/>
          </w:tcPr>
          <w:p w14:paraId="7DBE5974" w14:textId="77777777" w:rsidR="005F4A7E" w:rsidRPr="002029AF" w:rsidRDefault="005F4A7E" w:rsidP="00130D1C">
            <w:pPr>
              <w:pStyle w:val="ARfintablebodyrightbold"/>
            </w:pPr>
            <w:r w:rsidRPr="001C4160">
              <w:t>0.2</w:t>
            </w:r>
          </w:p>
        </w:tc>
      </w:tr>
    </w:tbl>
    <w:p w14:paraId="22B5A740" w14:textId="77777777" w:rsidR="005F4A7E" w:rsidRDefault="005F4A7E" w:rsidP="00130D1C">
      <w:pPr>
        <w:pStyle w:val="ARfinbodyaftertable"/>
      </w:pPr>
      <w:r w:rsidRPr="00194D78">
        <w:t>Net actuarial gains or losses reflect the change in superannuation liability that arises due to differences between the assumptions used to calculate the superannuation expense from transactions and actual outcomes. The effect of any change in actuarial assumptions during the period is also included. Net actuarial gains or losses are recognised in the period in which they occur.</w:t>
      </w:r>
    </w:p>
    <w:p w14:paraId="2DDE02B1" w14:textId="77777777" w:rsidR="005F4A7E" w:rsidRDefault="005F4A7E" w:rsidP="00130D1C">
      <w:pPr>
        <w:pStyle w:val="Heading6"/>
      </w:pPr>
      <w:bookmarkStart w:id="813" w:name="_Toc85121388"/>
      <w:r>
        <w:t>3.1.1(c) Superannuation contributions</w:t>
      </w:r>
      <w:bookmarkEnd w:id="813"/>
    </w:p>
    <w:p w14:paraId="3919FBDF" w14:textId="77777777" w:rsidR="005F4A7E" w:rsidRDefault="005F4A7E" w:rsidP="00130D1C">
      <w:pPr>
        <w:pStyle w:val="ARfinbody"/>
      </w:pPr>
      <w:r>
        <w:t>Employees of the department are entitled to receive superannuation benefits and the department contributes to both defined benefit and defined contribution plans. The defined benefit plan(s) provide benefits based on years of service and final average salary.</w:t>
      </w:r>
    </w:p>
    <w:p w14:paraId="34E05D00" w14:textId="77777777" w:rsidR="005F4A7E" w:rsidRDefault="005F4A7E" w:rsidP="00130D1C">
      <w:pPr>
        <w:pStyle w:val="ARfinbodylargespace"/>
      </w:pPr>
      <w:r>
        <w:t>As noted in note 3.1.1(a), other than former employees of the Director of Housing, the defined benefit liability is recognised in the Department of Treasury and Finance as an administered liability. However, superannuation contributions paid or payable for the reporting period are included as part of employee benefits in the comprehensive operating statement of the department.</w:t>
      </w:r>
    </w:p>
    <w:tbl>
      <w:tblPr>
        <w:tblStyle w:val="TableGrid"/>
        <w:tblW w:w="9637" w:type="dxa"/>
        <w:tblLayout w:type="fixed"/>
        <w:tblLook w:val="06A0" w:firstRow="1" w:lastRow="0" w:firstColumn="1" w:lastColumn="0" w:noHBand="1" w:noVBand="1"/>
      </w:tblPr>
      <w:tblGrid>
        <w:gridCol w:w="5101"/>
        <w:gridCol w:w="1134"/>
        <w:gridCol w:w="1134"/>
        <w:gridCol w:w="1134"/>
        <w:gridCol w:w="1134"/>
      </w:tblGrid>
      <w:tr w:rsidR="005F4A7E" w:rsidRPr="002029AF" w14:paraId="0CCF0222"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5101" w:type="dxa"/>
            <w:vMerge w:val="restart"/>
            <w:noWrap/>
            <w:hideMark/>
          </w:tcPr>
          <w:p w14:paraId="1E5C8B50" w14:textId="77777777" w:rsidR="005F4A7E" w:rsidRPr="002029AF" w:rsidRDefault="005F4A7E" w:rsidP="00860E95">
            <w:pPr>
              <w:pStyle w:val="ARfintablecolhead"/>
            </w:pPr>
          </w:p>
        </w:tc>
        <w:tc>
          <w:tcPr>
            <w:tcW w:w="2268" w:type="dxa"/>
            <w:gridSpan w:val="2"/>
            <w:hideMark/>
          </w:tcPr>
          <w:p w14:paraId="5F594C62" w14:textId="77777777" w:rsidR="005F4A7E" w:rsidRPr="002029AF" w:rsidRDefault="005F4A7E" w:rsidP="00860E95">
            <w:pPr>
              <w:pStyle w:val="ARfintablecolheadcentre"/>
            </w:pPr>
            <w:r w:rsidRPr="002029AF">
              <w:t xml:space="preserve">Paid contribution </w:t>
            </w:r>
            <w:r w:rsidRPr="002029AF">
              <w:br/>
              <w:t>for the year</w:t>
            </w:r>
          </w:p>
        </w:tc>
        <w:tc>
          <w:tcPr>
            <w:tcW w:w="2268" w:type="dxa"/>
            <w:gridSpan w:val="2"/>
            <w:hideMark/>
          </w:tcPr>
          <w:p w14:paraId="7FD44103" w14:textId="77777777" w:rsidR="005F4A7E" w:rsidRPr="002029AF" w:rsidRDefault="005F4A7E" w:rsidP="00860E95">
            <w:pPr>
              <w:pStyle w:val="ARfintablecolheadcentre"/>
            </w:pPr>
            <w:r w:rsidRPr="002029AF">
              <w:t xml:space="preserve">Contribution outstanding </w:t>
            </w:r>
            <w:r w:rsidRPr="002029AF">
              <w:br/>
              <w:t>at year end</w:t>
            </w:r>
          </w:p>
        </w:tc>
      </w:tr>
      <w:tr w:rsidR="005F4A7E" w:rsidRPr="002029AF" w14:paraId="5B932763"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5101" w:type="dxa"/>
            <w:vMerge/>
            <w:tcBorders>
              <w:bottom w:val="single" w:sz="4" w:space="0" w:color="auto"/>
            </w:tcBorders>
            <w:noWrap/>
            <w:hideMark/>
          </w:tcPr>
          <w:p w14:paraId="7C919782" w14:textId="77777777" w:rsidR="005F4A7E" w:rsidRPr="002029AF" w:rsidRDefault="005F4A7E" w:rsidP="00860E95">
            <w:pPr>
              <w:pStyle w:val="ARfintablecolhead"/>
            </w:pPr>
          </w:p>
        </w:tc>
        <w:tc>
          <w:tcPr>
            <w:tcW w:w="1134" w:type="dxa"/>
            <w:tcBorders>
              <w:bottom w:val="single" w:sz="4" w:space="0" w:color="auto"/>
            </w:tcBorders>
            <w:shd w:val="clear" w:color="auto" w:fill="E7E6E6"/>
            <w:hideMark/>
          </w:tcPr>
          <w:p w14:paraId="786E492A" w14:textId="77777777" w:rsidR="005F4A7E" w:rsidRPr="002029AF" w:rsidRDefault="005F4A7E" w:rsidP="00860E95">
            <w:pPr>
              <w:pStyle w:val="ARfintablecolheadright"/>
            </w:pPr>
            <w:r>
              <w:t>2021</w:t>
            </w:r>
          </w:p>
          <w:p w14:paraId="39F9C2AD" w14:textId="77777777" w:rsidR="005F4A7E" w:rsidRPr="002029AF" w:rsidRDefault="005F4A7E" w:rsidP="00860E95">
            <w:pPr>
              <w:pStyle w:val="ARfintablecolheadright"/>
            </w:pPr>
            <w:r w:rsidRPr="002029AF">
              <w:t>$M</w:t>
            </w:r>
          </w:p>
        </w:tc>
        <w:tc>
          <w:tcPr>
            <w:tcW w:w="1134" w:type="dxa"/>
            <w:tcBorders>
              <w:bottom w:val="single" w:sz="4" w:space="0" w:color="auto"/>
            </w:tcBorders>
            <w:hideMark/>
          </w:tcPr>
          <w:p w14:paraId="3DAE2869" w14:textId="77777777" w:rsidR="005F4A7E" w:rsidRPr="002029AF" w:rsidRDefault="005F4A7E" w:rsidP="00860E95">
            <w:pPr>
              <w:pStyle w:val="ARfintablecolheadright"/>
            </w:pPr>
            <w:r>
              <w:t>2020</w:t>
            </w:r>
          </w:p>
          <w:p w14:paraId="5D511B82" w14:textId="77777777" w:rsidR="005F4A7E" w:rsidRPr="002029AF" w:rsidRDefault="005F4A7E" w:rsidP="00860E95">
            <w:pPr>
              <w:pStyle w:val="ARfintablecolheadright"/>
            </w:pPr>
            <w:r w:rsidRPr="002029AF">
              <w:t>$M</w:t>
            </w:r>
          </w:p>
        </w:tc>
        <w:tc>
          <w:tcPr>
            <w:tcW w:w="1134" w:type="dxa"/>
            <w:tcBorders>
              <w:bottom w:val="single" w:sz="4" w:space="0" w:color="auto"/>
            </w:tcBorders>
            <w:shd w:val="clear" w:color="auto" w:fill="E7E6E6"/>
            <w:hideMark/>
          </w:tcPr>
          <w:p w14:paraId="0B99427D" w14:textId="77777777" w:rsidR="005F4A7E" w:rsidRPr="002029AF" w:rsidRDefault="005F4A7E" w:rsidP="00860E95">
            <w:pPr>
              <w:pStyle w:val="ARfintablecolheadright"/>
            </w:pPr>
            <w:r>
              <w:t>2021</w:t>
            </w:r>
          </w:p>
          <w:p w14:paraId="11987D58" w14:textId="77777777" w:rsidR="005F4A7E" w:rsidRPr="002029AF" w:rsidRDefault="005F4A7E" w:rsidP="00860E95">
            <w:pPr>
              <w:pStyle w:val="ARfintablecolheadright"/>
            </w:pPr>
            <w:r w:rsidRPr="002029AF">
              <w:t>$M</w:t>
            </w:r>
          </w:p>
        </w:tc>
        <w:tc>
          <w:tcPr>
            <w:tcW w:w="1134" w:type="dxa"/>
            <w:tcBorders>
              <w:bottom w:val="single" w:sz="4" w:space="0" w:color="auto"/>
            </w:tcBorders>
            <w:hideMark/>
          </w:tcPr>
          <w:p w14:paraId="220D5AD5" w14:textId="77777777" w:rsidR="005F4A7E" w:rsidRPr="002029AF" w:rsidRDefault="005F4A7E" w:rsidP="00860E95">
            <w:pPr>
              <w:pStyle w:val="ARfintablecolheadright"/>
            </w:pPr>
            <w:r>
              <w:t>2020</w:t>
            </w:r>
          </w:p>
          <w:p w14:paraId="75626A41" w14:textId="77777777" w:rsidR="005F4A7E" w:rsidRPr="002029AF" w:rsidRDefault="005F4A7E" w:rsidP="00860E95">
            <w:pPr>
              <w:pStyle w:val="ARfintablecolheadright"/>
            </w:pPr>
            <w:r w:rsidRPr="002029AF">
              <w:t>$M</w:t>
            </w:r>
          </w:p>
        </w:tc>
      </w:tr>
      <w:tr w:rsidR="005F4A7E" w:rsidRPr="002029AF" w14:paraId="36D5FC7D" w14:textId="77777777" w:rsidTr="00860E95">
        <w:tc>
          <w:tcPr>
            <w:tcW w:w="9637" w:type="dxa"/>
            <w:gridSpan w:val="5"/>
            <w:tcBorders>
              <w:top w:val="single" w:sz="4" w:space="0" w:color="auto"/>
              <w:bottom w:val="single" w:sz="4" w:space="0" w:color="A6A6A6"/>
            </w:tcBorders>
            <w:hideMark/>
          </w:tcPr>
          <w:p w14:paraId="375AF0D5" w14:textId="77777777" w:rsidR="005F4A7E" w:rsidRPr="002029AF" w:rsidRDefault="005F4A7E" w:rsidP="00130D1C">
            <w:pPr>
              <w:pStyle w:val="ARfintablebodybold"/>
            </w:pPr>
            <w:r w:rsidRPr="00A21BDD">
              <w:t>Defined benefit plans</w:t>
            </w:r>
          </w:p>
        </w:tc>
      </w:tr>
      <w:tr w:rsidR="005F4A7E" w:rsidRPr="002029AF" w14:paraId="06EA49B4" w14:textId="77777777" w:rsidTr="00860E95">
        <w:tc>
          <w:tcPr>
            <w:tcW w:w="5101" w:type="dxa"/>
            <w:tcBorders>
              <w:top w:val="single" w:sz="4" w:space="0" w:color="A6A6A6"/>
              <w:bottom w:val="single" w:sz="4" w:space="0" w:color="A6A6A6"/>
            </w:tcBorders>
            <w:hideMark/>
          </w:tcPr>
          <w:p w14:paraId="4A440A78" w14:textId="77777777" w:rsidR="005F4A7E" w:rsidRPr="002029AF" w:rsidRDefault="005F4A7E" w:rsidP="00130D1C">
            <w:pPr>
              <w:pStyle w:val="ARfintablebody"/>
            </w:pPr>
            <w:r w:rsidRPr="00A21BDD">
              <w:t>State superannuation fund</w:t>
            </w:r>
          </w:p>
        </w:tc>
        <w:tc>
          <w:tcPr>
            <w:tcW w:w="1134" w:type="dxa"/>
            <w:tcBorders>
              <w:top w:val="single" w:sz="4" w:space="0" w:color="A6A6A6"/>
              <w:bottom w:val="single" w:sz="4" w:space="0" w:color="A6A6A6"/>
            </w:tcBorders>
            <w:shd w:val="clear" w:color="auto" w:fill="E7E6E6"/>
            <w:noWrap/>
            <w:hideMark/>
          </w:tcPr>
          <w:p w14:paraId="2F528D3D" w14:textId="77777777" w:rsidR="005F4A7E" w:rsidRPr="002029AF" w:rsidRDefault="005F4A7E" w:rsidP="00130D1C">
            <w:pPr>
              <w:pStyle w:val="ARfintablebodyright"/>
            </w:pPr>
            <w:r w:rsidRPr="00A21BDD">
              <w:t>6.5</w:t>
            </w:r>
          </w:p>
        </w:tc>
        <w:tc>
          <w:tcPr>
            <w:tcW w:w="1134" w:type="dxa"/>
            <w:tcBorders>
              <w:top w:val="single" w:sz="4" w:space="0" w:color="A6A6A6"/>
              <w:bottom w:val="single" w:sz="4" w:space="0" w:color="A6A6A6"/>
            </w:tcBorders>
            <w:noWrap/>
            <w:hideMark/>
          </w:tcPr>
          <w:p w14:paraId="0D01295E" w14:textId="77777777" w:rsidR="005F4A7E" w:rsidRPr="002029AF" w:rsidRDefault="005F4A7E" w:rsidP="00130D1C">
            <w:pPr>
              <w:pStyle w:val="ARfintablebodyright"/>
            </w:pPr>
            <w:r w:rsidRPr="00A21BDD">
              <w:t>6.4</w:t>
            </w:r>
          </w:p>
        </w:tc>
        <w:tc>
          <w:tcPr>
            <w:tcW w:w="1134" w:type="dxa"/>
            <w:tcBorders>
              <w:top w:val="single" w:sz="4" w:space="0" w:color="A6A6A6"/>
              <w:bottom w:val="single" w:sz="4" w:space="0" w:color="A6A6A6"/>
            </w:tcBorders>
            <w:shd w:val="clear" w:color="auto" w:fill="E7E6E6"/>
            <w:noWrap/>
            <w:hideMark/>
          </w:tcPr>
          <w:p w14:paraId="009CA437" w14:textId="77777777" w:rsidR="005F4A7E" w:rsidRPr="002029AF" w:rsidRDefault="005F4A7E" w:rsidP="00130D1C">
            <w:pPr>
              <w:pStyle w:val="ARfintablebodyright"/>
            </w:pPr>
            <w:r w:rsidRPr="00A21BDD">
              <w:t>0.2</w:t>
            </w:r>
          </w:p>
        </w:tc>
        <w:tc>
          <w:tcPr>
            <w:tcW w:w="1134" w:type="dxa"/>
            <w:tcBorders>
              <w:top w:val="single" w:sz="4" w:space="0" w:color="A6A6A6"/>
              <w:bottom w:val="single" w:sz="4" w:space="0" w:color="A6A6A6"/>
            </w:tcBorders>
            <w:noWrap/>
            <w:hideMark/>
          </w:tcPr>
          <w:p w14:paraId="145473C7" w14:textId="77777777" w:rsidR="005F4A7E" w:rsidRPr="002029AF" w:rsidRDefault="005F4A7E" w:rsidP="00130D1C">
            <w:pPr>
              <w:pStyle w:val="ARfintablebodyright"/>
            </w:pPr>
            <w:r w:rsidRPr="00A21BDD">
              <w:t>0.8</w:t>
            </w:r>
          </w:p>
        </w:tc>
      </w:tr>
      <w:tr w:rsidR="005F4A7E" w:rsidRPr="002029AF" w14:paraId="06C5C731" w14:textId="77777777" w:rsidTr="00860E95">
        <w:tc>
          <w:tcPr>
            <w:tcW w:w="5101" w:type="dxa"/>
            <w:tcBorders>
              <w:top w:val="single" w:sz="4" w:space="0" w:color="A6A6A6"/>
              <w:bottom w:val="single" w:sz="4" w:space="0" w:color="A6A6A6"/>
            </w:tcBorders>
            <w:hideMark/>
          </w:tcPr>
          <w:p w14:paraId="651A240A" w14:textId="77777777" w:rsidR="005F4A7E" w:rsidRPr="002029AF" w:rsidRDefault="005F4A7E" w:rsidP="00130D1C">
            <w:pPr>
              <w:pStyle w:val="ARfintablebody"/>
            </w:pPr>
            <w:r w:rsidRPr="00A21BDD">
              <w:t>Other</w:t>
            </w:r>
          </w:p>
        </w:tc>
        <w:tc>
          <w:tcPr>
            <w:tcW w:w="1134" w:type="dxa"/>
            <w:tcBorders>
              <w:top w:val="single" w:sz="4" w:space="0" w:color="A6A6A6"/>
              <w:bottom w:val="single" w:sz="4" w:space="0" w:color="A6A6A6"/>
            </w:tcBorders>
            <w:shd w:val="clear" w:color="auto" w:fill="E7E6E6"/>
            <w:noWrap/>
            <w:hideMark/>
          </w:tcPr>
          <w:p w14:paraId="36E58B2F" w14:textId="77777777" w:rsidR="005F4A7E" w:rsidRPr="002029AF" w:rsidRDefault="005F4A7E" w:rsidP="00130D1C">
            <w:pPr>
              <w:pStyle w:val="ARfintablebodyright"/>
            </w:pPr>
            <w:r w:rsidRPr="00A21BDD">
              <w:t>–</w:t>
            </w:r>
          </w:p>
        </w:tc>
        <w:tc>
          <w:tcPr>
            <w:tcW w:w="1134" w:type="dxa"/>
            <w:tcBorders>
              <w:top w:val="single" w:sz="4" w:space="0" w:color="A6A6A6"/>
              <w:bottom w:val="single" w:sz="4" w:space="0" w:color="A6A6A6"/>
            </w:tcBorders>
            <w:noWrap/>
            <w:hideMark/>
          </w:tcPr>
          <w:p w14:paraId="1F194951" w14:textId="77777777" w:rsidR="005F4A7E" w:rsidRPr="002029AF" w:rsidRDefault="005F4A7E" w:rsidP="00130D1C">
            <w:pPr>
              <w:pStyle w:val="ARfintablebodyright"/>
            </w:pPr>
            <w:r w:rsidRPr="00A21BDD">
              <w:t>0.3</w:t>
            </w:r>
          </w:p>
        </w:tc>
        <w:tc>
          <w:tcPr>
            <w:tcW w:w="1134" w:type="dxa"/>
            <w:tcBorders>
              <w:top w:val="single" w:sz="4" w:space="0" w:color="A6A6A6"/>
              <w:bottom w:val="single" w:sz="4" w:space="0" w:color="A6A6A6"/>
            </w:tcBorders>
            <w:shd w:val="clear" w:color="auto" w:fill="E7E6E6"/>
            <w:noWrap/>
            <w:hideMark/>
          </w:tcPr>
          <w:p w14:paraId="281E6798" w14:textId="77777777" w:rsidR="005F4A7E" w:rsidRPr="002029AF" w:rsidRDefault="005F4A7E" w:rsidP="00130D1C">
            <w:pPr>
              <w:pStyle w:val="ARfintablebodyright"/>
            </w:pPr>
            <w:r w:rsidRPr="00A21BDD">
              <w:t>–</w:t>
            </w:r>
          </w:p>
        </w:tc>
        <w:tc>
          <w:tcPr>
            <w:tcW w:w="1134" w:type="dxa"/>
            <w:tcBorders>
              <w:top w:val="single" w:sz="4" w:space="0" w:color="A6A6A6"/>
              <w:bottom w:val="single" w:sz="4" w:space="0" w:color="A6A6A6"/>
            </w:tcBorders>
            <w:noWrap/>
            <w:hideMark/>
          </w:tcPr>
          <w:p w14:paraId="3178EA6B" w14:textId="77777777" w:rsidR="005F4A7E" w:rsidRPr="002029AF" w:rsidRDefault="005F4A7E" w:rsidP="00130D1C">
            <w:pPr>
              <w:pStyle w:val="ARfintablebodyright"/>
            </w:pPr>
            <w:r w:rsidRPr="00A21BDD">
              <w:t>–</w:t>
            </w:r>
          </w:p>
        </w:tc>
      </w:tr>
      <w:tr w:rsidR="005F4A7E" w:rsidRPr="002029AF" w14:paraId="3A7A84DA" w14:textId="77777777" w:rsidTr="00860E95">
        <w:tc>
          <w:tcPr>
            <w:tcW w:w="9637" w:type="dxa"/>
            <w:gridSpan w:val="5"/>
            <w:tcBorders>
              <w:top w:val="single" w:sz="4" w:space="0" w:color="A6A6A6"/>
              <w:bottom w:val="single" w:sz="4" w:space="0" w:color="A6A6A6"/>
            </w:tcBorders>
            <w:hideMark/>
          </w:tcPr>
          <w:p w14:paraId="6C775EBE" w14:textId="77777777" w:rsidR="005F4A7E" w:rsidRPr="002029AF" w:rsidRDefault="005F4A7E" w:rsidP="00130D1C">
            <w:pPr>
              <w:pStyle w:val="ARfintablebodybold"/>
            </w:pPr>
            <w:r w:rsidRPr="00A21BDD">
              <w:t>Defined contribution plans</w:t>
            </w:r>
          </w:p>
        </w:tc>
      </w:tr>
      <w:tr w:rsidR="005F4A7E" w:rsidRPr="002029AF" w14:paraId="002BC174" w14:textId="77777777" w:rsidTr="00860E95">
        <w:tc>
          <w:tcPr>
            <w:tcW w:w="5101" w:type="dxa"/>
            <w:tcBorders>
              <w:top w:val="single" w:sz="4" w:space="0" w:color="A6A6A6"/>
              <w:bottom w:val="single" w:sz="4" w:space="0" w:color="A6A6A6"/>
            </w:tcBorders>
            <w:hideMark/>
          </w:tcPr>
          <w:p w14:paraId="09477358" w14:textId="77777777" w:rsidR="005F4A7E" w:rsidRPr="002029AF" w:rsidRDefault="005F4A7E" w:rsidP="00130D1C">
            <w:pPr>
              <w:pStyle w:val="ARfintablebody"/>
            </w:pPr>
            <w:r w:rsidRPr="00A21BDD">
              <w:t>VicSuper</w:t>
            </w:r>
          </w:p>
        </w:tc>
        <w:tc>
          <w:tcPr>
            <w:tcW w:w="1134" w:type="dxa"/>
            <w:tcBorders>
              <w:top w:val="single" w:sz="4" w:space="0" w:color="A6A6A6"/>
              <w:bottom w:val="single" w:sz="4" w:space="0" w:color="A6A6A6"/>
            </w:tcBorders>
            <w:shd w:val="clear" w:color="auto" w:fill="E7E6E6"/>
            <w:noWrap/>
            <w:hideMark/>
          </w:tcPr>
          <w:p w14:paraId="1520A9C6" w14:textId="77777777" w:rsidR="005F4A7E" w:rsidRPr="002029AF" w:rsidRDefault="005F4A7E" w:rsidP="00130D1C">
            <w:pPr>
              <w:pStyle w:val="ARfintablebodyright"/>
            </w:pPr>
            <w:r w:rsidRPr="00A21BDD">
              <w:t>52.3</w:t>
            </w:r>
          </w:p>
        </w:tc>
        <w:tc>
          <w:tcPr>
            <w:tcW w:w="1134" w:type="dxa"/>
            <w:tcBorders>
              <w:top w:val="single" w:sz="4" w:space="0" w:color="A6A6A6"/>
              <w:bottom w:val="single" w:sz="4" w:space="0" w:color="A6A6A6"/>
            </w:tcBorders>
            <w:noWrap/>
            <w:hideMark/>
          </w:tcPr>
          <w:p w14:paraId="211DCA41" w14:textId="77777777" w:rsidR="005F4A7E" w:rsidRPr="002029AF" w:rsidRDefault="005F4A7E" w:rsidP="00130D1C">
            <w:pPr>
              <w:pStyle w:val="ARfintablebodyright"/>
            </w:pPr>
            <w:r w:rsidRPr="00A21BDD">
              <w:t>44.1</w:t>
            </w:r>
          </w:p>
        </w:tc>
        <w:tc>
          <w:tcPr>
            <w:tcW w:w="1134" w:type="dxa"/>
            <w:tcBorders>
              <w:top w:val="single" w:sz="4" w:space="0" w:color="A6A6A6"/>
              <w:bottom w:val="single" w:sz="4" w:space="0" w:color="A6A6A6"/>
            </w:tcBorders>
            <w:shd w:val="clear" w:color="auto" w:fill="E7E6E6"/>
            <w:noWrap/>
            <w:hideMark/>
          </w:tcPr>
          <w:p w14:paraId="0EE4D15E" w14:textId="77777777" w:rsidR="005F4A7E" w:rsidRPr="002029AF" w:rsidRDefault="005F4A7E" w:rsidP="00130D1C">
            <w:pPr>
              <w:pStyle w:val="ARfintablebodyright"/>
            </w:pPr>
            <w:r w:rsidRPr="00A21BDD">
              <w:t>2.9</w:t>
            </w:r>
          </w:p>
        </w:tc>
        <w:tc>
          <w:tcPr>
            <w:tcW w:w="1134" w:type="dxa"/>
            <w:tcBorders>
              <w:top w:val="single" w:sz="4" w:space="0" w:color="A6A6A6"/>
              <w:bottom w:val="single" w:sz="4" w:space="0" w:color="A6A6A6"/>
            </w:tcBorders>
            <w:noWrap/>
            <w:hideMark/>
          </w:tcPr>
          <w:p w14:paraId="7B40CE00" w14:textId="77777777" w:rsidR="005F4A7E" w:rsidRPr="002029AF" w:rsidRDefault="005F4A7E" w:rsidP="00130D1C">
            <w:pPr>
              <w:pStyle w:val="ARfintablebodyright"/>
            </w:pPr>
            <w:r w:rsidRPr="00A21BDD">
              <w:t>–</w:t>
            </w:r>
          </w:p>
        </w:tc>
      </w:tr>
      <w:tr w:rsidR="005F4A7E" w:rsidRPr="002029AF" w14:paraId="63BDF548" w14:textId="77777777" w:rsidTr="00860E95">
        <w:tc>
          <w:tcPr>
            <w:tcW w:w="5101" w:type="dxa"/>
            <w:tcBorders>
              <w:top w:val="single" w:sz="4" w:space="0" w:color="A6A6A6"/>
            </w:tcBorders>
            <w:hideMark/>
          </w:tcPr>
          <w:p w14:paraId="29A91E8A" w14:textId="77777777" w:rsidR="005F4A7E" w:rsidRPr="002029AF" w:rsidRDefault="005F4A7E" w:rsidP="00130D1C">
            <w:pPr>
              <w:pStyle w:val="ARfintablebody"/>
            </w:pPr>
            <w:r w:rsidRPr="00A21BDD">
              <w:t>Other</w:t>
            </w:r>
          </w:p>
        </w:tc>
        <w:tc>
          <w:tcPr>
            <w:tcW w:w="1134" w:type="dxa"/>
            <w:tcBorders>
              <w:top w:val="single" w:sz="4" w:space="0" w:color="A6A6A6"/>
            </w:tcBorders>
            <w:shd w:val="clear" w:color="auto" w:fill="E7E6E6"/>
            <w:noWrap/>
            <w:hideMark/>
          </w:tcPr>
          <w:p w14:paraId="58054BBB" w14:textId="77777777" w:rsidR="005F4A7E" w:rsidRPr="002029AF" w:rsidRDefault="005F4A7E" w:rsidP="00130D1C">
            <w:pPr>
              <w:pStyle w:val="ARfintablebodyright"/>
            </w:pPr>
            <w:r w:rsidRPr="00A21BDD">
              <w:t>37.7</w:t>
            </w:r>
          </w:p>
        </w:tc>
        <w:tc>
          <w:tcPr>
            <w:tcW w:w="1134" w:type="dxa"/>
            <w:tcBorders>
              <w:top w:val="single" w:sz="4" w:space="0" w:color="A6A6A6"/>
            </w:tcBorders>
            <w:noWrap/>
            <w:hideMark/>
          </w:tcPr>
          <w:p w14:paraId="5E37249E" w14:textId="77777777" w:rsidR="005F4A7E" w:rsidRPr="002029AF" w:rsidRDefault="005F4A7E" w:rsidP="00130D1C">
            <w:pPr>
              <w:pStyle w:val="ARfintablebodyright"/>
            </w:pPr>
            <w:r w:rsidRPr="00A21BDD">
              <w:t>32.9</w:t>
            </w:r>
          </w:p>
        </w:tc>
        <w:tc>
          <w:tcPr>
            <w:tcW w:w="1134" w:type="dxa"/>
            <w:tcBorders>
              <w:top w:val="single" w:sz="4" w:space="0" w:color="A6A6A6"/>
            </w:tcBorders>
            <w:shd w:val="clear" w:color="auto" w:fill="E7E6E6"/>
            <w:noWrap/>
            <w:hideMark/>
          </w:tcPr>
          <w:p w14:paraId="04849985" w14:textId="77777777" w:rsidR="005F4A7E" w:rsidRPr="002029AF" w:rsidRDefault="005F4A7E" w:rsidP="00130D1C">
            <w:pPr>
              <w:pStyle w:val="ARfintablebodyright"/>
            </w:pPr>
            <w:r w:rsidRPr="00A21BDD">
              <w:t>–</w:t>
            </w:r>
          </w:p>
        </w:tc>
        <w:tc>
          <w:tcPr>
            <w:tcW w:w="1134" w:type="dxa"/>
            <w:tcBorders>
              <w:top w:val="single" w:sz="4" w:space="0" w:color="A6A6A6"/>
            </w:tcBorders>
            <w:noWrap/>
            <w:hideMark/>
          </w:tcPr>
          <w:p w14:paraId="6E0227CE" w14:textId="77777777" w:rsidR="005F4A7E" w:rsidRPr="002029AF" w:rsidRDefault="005F4A7E" w:rsidP="00130D1C">
            <w:pPr>
              <w:pStyle w:val="ARfintablebodyright"/>
            </w:pPr>
            <w:r w:rsidRPr="00A21BDD">
              <w:t>–</w:t>
            </w:r>
          </w:p>
        </w:tc>
      </w:tr>
      <w:tr w:rsidR="005F4A7E" w:rsidRPr="002029AF" w14:paraId="6414BE40" w14:textId="77777777" w:rsidTr="00860E95">
        <w:tc>
          <w:tcPr>
            <w:tcW w:w="5101" w:type="dxa"/>
            <w:hideMark/>
          </w:tcPr>
          <w:p w14:paraId="0977B748" w14:textId="77777777" w:rsidR="005F4A7E" w:rsidRPr="002029AF" w:rsidRDefault="005F4A7E" w:rsidP="00130D1C">
            <w:pPr>
              <w:pStyle w:val="ARfintablebodybold"/>
            </w:pPr>
            <w:r w:rsidRPr="00A21BDD">
              <w:t>Total</w:t>
            </w:r>
          </w:p>
        </w:tc>
        <w:tc>
          <w:tcPr>
            <w:tcW w:w="1134" w:type="dxa"/>
            <w:shd w:val="clear" w:color="auto" w:fill="E7E6E6"/>
            <w:noWrap/>
            <w:hideMark/>
          </w:tcPr>
          <w:p w14:paraId="50BEFCC1" w14:textId="77777777" w:rsidR="005F4A7E" w:rsidRPr="002029AF" w:rsidRDefault="005F4A7E" w:rsidP="00130D1C">
            <w:pPr>
              <w:pStyle w:val="ARfintablebodyrightbold"/>
            </w:pPr>
            <w:r w:rsidRPr="00A21BDD">
              <w:t>96.5</w:t>
            </w:r>
          </w:p>
        </w:tc>
        <w:tc>
          <w:tcPr>
            <w:tcW w:w="1134" w:type="dxa"/>
            <w:noWrap/>
            <w:hideMark/>
          </w:tcPr>
          <w:p w14:paraId="49F34969" w14:textId="77777777" w:rsidR="005F4A7E" w:rsidRPr="002029AF" w:rsidRDefault="005F4A7E" w:rsidP="00130D1C">
            <w:pPr>
              <w:pStyle w:val="ARfintablebodyrightbold"/>
            </w:pPr>
            <w:r w:rsidRPr="00A21BDD">
              <w:t>83.7</w:t>
            </w:r>
          </w:p>
        </w:tc>
        <w:tc>
          <w:tcPr>
            <w:tcW w:w="1134" w:type="dxa"/>
            <w:shd w:val="clear" w:color="auto" w:fill="E7E6E6"/>
            <w:noWrap/>
            <w:hideMark/>
          </w:tcPr>
          <w:p w14:paraId="15541E0F" w14:textId="77777777" w:rsidR="005F4A7E" w:rsidRPr="002029AF" w:rsidRDefault="005F4A7E" w:rsidP="00130D1C">
            <w:pPr>
              <w:pStyle w:val="ARfintablebodyrightbold"/>
            </w:pPr>
            <w:r w:rsidRPr="00A21BDD">
              <w:t>3.1</w:t>
            </w:r>
          </w:p>
        </w:tc>
        <w:tc>
          <w:tcPr>
            <w:tcW w:w="1134" w:type="dxa"/>
            <w:noWrap/>
            <w:hideMark/>
          </w:tcPr>
          <w:p w14:paraId="5711E1EA" w14:textId="77777777" w:rsidR="005F4A7E" w:rsidRPr="002029AF" w:rsidRDefault="005F4A7E" w:rsidP="00130D1C">
            <w:pPr>
              <w:pStyle w:val="ARfintablebodyrightbold"/>
            </w:pPr>
            <w:r w:rsidRPr="00A21BDD">
              <w:t>0.8</w:t>
            </w:r>
          </w:p>
        </w:tc>
      </w:tr>
    </w:tbl>
    <w:p w14:paraId="0AD37AD7" w14:textId="77777777" w:rsidR="005F4A7E" w:rsidRPr="002029AF" w:rsidRDefault="005F4A7E" w:rsidP="00087B91">
      <w:pPr>
        <w:pStyle w:val="Heading5"/>
      </w:pPr>
      <w:bookmarkStart w:id="814" w:name="_Toc39136701"/>
      <w:bookmarkStart w:id="815" w:name="_Toc85121389"/>
      <w:r>
        <w:lastRenderedPageBreak/>
        <w:t>3.1.2 Grants and other expense transfers</w:t>
      </w:r>
      <w:bookmarkEnd w:id="814"/>
      <w:bookmarkEnd w:id="815"/>
    </w:p>
    <w:tbl>
      <w:tblPr>
        <w:tblStyle w:val="TableGrid"/>
        <w:tblW w:w="9637" w:type="dxa"/>
        <w:tblLayout w:type="fixed"/>
        <w:tblLook w:val="06A0" w:firstRow="1" w:lastRow="0" w:firstColumn="1" w:lastColumn="0" w:noHBand="1" w:noVBand="1"/>
      </w:tblPr>
      <w:tblGrid>
        <w:gridCol w:w="7369"/>
        <w:gridCol w:w="1134"/>
        <w:gridCol w:w="1134"/>
      </w:tblGrid>
      <w:tr w:rsidR="005F4A7E" w:rsidRPr="002029AF" w14:paraId="4B89317E"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69" w:type="dxa"/>
            <w:noWrap/>
            <w:hideMark/>
          </w:tcPr>
          <w:p w14:paraId="6E1C388F" w14:textId="77777777" w:rsidR="005F4A7E" w:rsidRPr="002029AF" w:rsidRDefault="005F4A7E" w:rsidP="00860E95">
            <w:pPr>
              <w:pStyle w:val="ARfintablecolhead"/>
            </w:pPr>
          </w:p>
        </w:tc>
        <w:tc>
          <w:tcPr>
            <w:tcW w:w="1134" w:type="dxa"/>
            <w:shd w:val="clear" w:color="auto" w:fill="E7E6E6"/>
            <w:hideMark/>
          </w:tcPr>
          <w:p w14:paraId="4BB2B777" w14:textId="77777777" w:rsidR="005F4A7E" w:rsidRPr="002029AF" w:rsidRDefault="005F4A7E" w:rsidP="00860E95">
            <w:pPr>
              <w:pStyle w:val="ARfintablecolheadright"/>
            </w:pPr>
            <w:r>
              <w:t>2021</w:t>
            </w:r>
          </w:p>
          <w:p w14:paraId="22353144" w14:textId="77777777" w:rsidR="005F4A7E" w:rsidRPr="002029AF" w:rsidRDefault="005F4A7E" w:rsidP="00860E95">
            <w:pPr>
              <w:pStyle w:val="ARfintablecolheadright"/>
            </w:pPr>
            <w:r w:rsidRPr="002029AF">
              <w:t>$M</w:t>
            </w:r>
          </w:p>
        </w:tc>
        <w:tc>
          <w:tcPr>
            <w:tcW w:w="1134" w:type="dxa"/>
            <w:hideMark/>
          </w:tcPr>
          <w:p w14:paraId="6DAFB9CB" w14:textId="77777777" w:rsidR="005F4A7E" w:rsidRPr="002029AF" w:rsidRDefault="005F4A7E" w:rsidP="00860E95">
            <w:pPr>
              <w:pStyle w:val="ARfintablecolheadright"/>
            </w:pPr>
            <w:r>
              <w:t>2020</w:t>
            </w:r>
          </w:p>
          <w:p w14:paraId="09779484" w14:textId="77777777" w:rsidR="005F4A7E" w:rsidRPr="002029AF" w:rsidRDefault="005F4A7E" w:rsidP="00860E95">
            <w:pPr>
              <w:pStyle w:val="ARfintablecolheadright"/>
            </w:pPr>
            <w:r w:rsidRPr="002029AF">
              <w:t>$M</w:t>
            </w:r>
          </w:p>
        </w:tc>
      </w:tr>
      <w:tr w:rsidR="005F4A7E" w:rsidRPr="002029AF" w14:paraId="27C9DEDF" w14:textId="77777777" w:rsidTr="00860E95">
        <w:tc>
          <w:tcPr>
            <w:tcW w:w="7369" w:type="dxa"/>
            <w:tcBorders>
              <w:bottom w:val="single" w:sz="4" w:space="0" w:color="auto"/>
            </w:tcBorders>
            <w:hideMark/>
          </w:tcPr>
          <w:p w14:paraId="693C88AF" w14:textId="77777777" w:rsidR="005F4A7E" w:rsidRPr="002029AF" w:rsidRDefault="005F4A7E" w:rsidP="00130D1C">
            <w:pPr>
              <w:pStyle w:val="ARfintablebody"/>
              <w:spacing w:before="30" w:after="10" w:line="252" w:lineRule="auto"/>
            </w:pPr>
            <w:r w:rsidRPr="000B5F7A">
              <w:t>State contributions to the Administrator of the Victoria Health Funding Pool</w:t>
            </w:r>
          </w:p>
        </w:tc>
        <w:tc>
          <w:tcPr>
            <w:tcW w:w="1134" w:type="dxa"/>
            <w:tcBorders>
              <w:bottom w:val="single" w:sz="4" w:space="0" w:color="auto"/>
            </w:tcBorders>
            <w:shd w:val="clear" w:color="auto" w:fill="E7E6E6"/>
            <w:noWrap/>
            <w:hideMark/>
          </w:tcPr>
          <w:p w14:paraId="5254A094" w14:textId="77777777" w:rsidR="005F4A7E" w:rsidRPr="002029AF" w:rsidRDefault="005F4A7E" w:rsidP="00130D1C">
            <w:pPr>
              <w:pStyle w:val="ARfintablebodyright"/>
              <w:spacing w:before="30" w:after="10" w:line="252" w:lineRule="auto"/>
            </w:pPr>
            <w:r w:rsidRPr="000B5F7A">
              <w:t>5,628.4</w:t>
            </w:r>
          </w:p>
        </w:tc>
        <w:tc>
          <w:tcPr>
            <w:tcW w:w="1134" w:type="dxa"/>
            <w:tcBorders>
              <w:bottom w:val="single" w:sz="4" w:space="0" w:color="auto"/>
            </w:tcBorders>
            <w:noWrap/>
            <w:hideMark/>
          </w:tcPr>
          <w:p w14:paraId="13A12309" w14:textId="77777777" w:rsidR="005F4A7E" w:rsidRPr="002029AF" w:rsidRDefault="005F4A7E" w:rsidP="00130D1C">
            <w:pPr>
              <w:pStyle w:val="ARfintablebodyright"/>
              <w:spacing w:before="30" w:after="10" w:line="252" w:lineRule="auto"/>
            </w:pPr>
            <w:r w:rsidRPr="000B5F7A">
              <w:t>6,239.3</w:t>
            </w:r>
          </w:p>
        </w:tc>
      </w:tr>
      <w:tr w:rsidR="005F4A7E" w:rsidRPr="002029AF" w14:paraId="3ED5FD42" w14:textId="77777777" w:rsidTr="00860E95">
        <w:tc>
          <w:tcPr>
            <w:tcW w:w="9637" w:type="dxa"/>
            <w:gridSpan w:val="3"/>
            <w:tcBorders>
              <w:top w:val="single" w:sz="4" w:space="0" w:color="auto"/>
              <w:bottom w:val="single" w:sz="4" w:space="0" w:color="A6A6A6"/>
            </w:tcBorders>
            <w:hideMark/>
          </w:tcPr>
          <w:p w14:paraId="0677D93F" w14:textId="77777777" w:rsidR="005F4A7E" w:rsidRPr="002029AF" w:rsidRDefault="005F4A7E" w:rsidP="00130D1C">
            <w:pPr>
              <w:pStyle w:val="ARfintablebodybold"/>
              <w:spacing w:before="30" w:after="10" w:line="252" w:lineRule="auto"/>
            </w:pPr>
            <w:r w:rsidRPr="000B5F7A">
              <w:t xml:space="preserve">Public health services and hospitals </w:t>
            </w:r>
            <w:r w:rsidRPr="00387B97">
              <w:rPr>
                <w:rStyle w:val="Superscript"/>
              </w:rPr>
              <w:t>(i)</w:t>
            </w:r>
          </w:p>
        </w:tc>
      </w:tr>
      <w:tr w:rsidR="005F4A7E" w:rsidRPr="002029AF" w14:paraId="6F250DCF" w14:textId="77777777" w:rsidTr="00860E95">
        <w:tc>
          <w:tcPr>
            <w:tcW w:w="7369" w:type="dxa"/>
            <w:tcBorders>
              <w:top w:val="single" w:sz="4" w:space="0" w:color="A6A6A6"/>
              <w:bottom w:val="single" w:sz="4" w:space="0" w:color="A6A6A6"/>
            </w:tcBorders>
            <w:hideMark/>
          </w:tcPr>
          <w:p w14:paraId="3261AFBC" w14:textId="77777777" w:rsidR="005F4A7E" w:rsidRPr="002029AF" w:rsidRDefault="005F4A7E" w:rsidP="00130D1C">
            <w:pPr>
              <w:pStyle w:val="ARfintablebody"/>
              <w:spacing w:before="30" w:after="10" w:line="252" w:lineRule="auto"/>
            </w:pPr>
            <w:r w:rsidRPr="000B5F7A">
              <w:t>Monash Health</w:t>
            </w:r>
          </w:p>
        </w:tc>
        <w:tc>
          <w:tcPr>
            <w:tcW w:w="1134" w:type="dxa"/>
            <w:tcBorders>
              <w:top w:val="single" w:sz="4" w:space="0" w:color="A6A6A6"/>
              <w:bottom w:val="single" w:sz="4" w:space="0" w:color="A6A6A6"/>
            </w:tcBorders>
            <w:shd w:val="clear" w:color="auto" w:fill="E7E6E6"/>
            <w:noWrap/>
            <w:hideMark/>
          </w:tcPr>
          <w:p w14:paraId="689F8235" w14:textId="77777777" w:rsidR="005F4A7E" w:rsidRPr="002029AF" w:rsidRDefault="005F4A7E" w:rsidP="00130D1C">
            <w:pPr>
              <w:pStyle w:val="ARfintablebodyright"/>
              <w:spacing w:before="30" w:after="10" w:line="252" w:lineRule="auto"/>
            </w:pPr>
            <w:r w:rsidRPr="000B5F7A">
              <w:t>785.7</w:t>
            </w:r>
          </w:p>
        </w:tc>
        <w:tc>
          <w:tcPr>
            <w:tcW w:w="1134" w:type="dxa"/>
            <w:tcBorders>
              <w:top w:val="single" w:sz="4" w:space="0" w:color="A6A6A6"/>
              <w:bottom w:val="single" w:sz="4" w:space="0" w:color="A6A6A6"/>
            </w:tcBorders>
            <w:noWrap/>
            <w:hideMark/>
          </w:tcPr>
          <w:p w14:paraId="4A530CF6" w14:textId="77777777" w:rsidR="005F4A7E" w:rsidRPr="002029AF" w:rsidRDefault="005F4A7E" w:rsidP="00130D1C">
            <w:pPr>
              <w:pStyle w:val="ARfintablebodyright"/>
              <w:spacing w:before="30" w:after="10" w:line="252" w:lineRule="auto"/>
            </w:pPr>
            <w:r w:rsidRPr="000B5F7A">
              <w:t>532.1</w:t>
            </w:r>
          </w:p>
        </w:tc>
      </w:tr>
      <w:tr w:rsidR="005F4A7E" w:rsidRPr="002029AF" w14:paraId="40C6710D" w14:textId="77777777" w:rsidTr="00860E95">
        <w:tc>
          <w:tcPr>
            <w:tcW w:w="7369" w:type="dxa"/>
            <w:tcBorders>
              <w:top w:val="single" w:sz="4" w:space="0" w:color="A6A6A6"/>
              <w:bottom w:val="single" w:sz="4" w:space="0" w:color="A6A6A6"/>
            </w:tcBorders>
            <w:hideMark/>
          </w:tcPr>
          <w:p w14:paraId="7B8FB33C" w14:textId="77777777" w:rsidR="005F4A7E" w:rsidRPr="002029AF" w:rsidRDefault="005F4A7E" w:rsidP="00130D1C">
            <w:pPr>
              <w:pStyle w:val="ARfintablebody"/>
              <w:spacing w:before="30" w:after="10" w:line="252" w:lineRule="auto"/>
            </w:pPr>
            <w:r w:rsidRPr="000B5F7A">
              <w:t>Melbourne Health</w:t>
            </w:r>
          </w:p>
        </w:tc>
        <w:tc>
          <w:tcPr>
            <w:tcW w:w="1134" w:type="dxa"/>
            <w:tcBorders>
              <w:top w:val="single" w:sz="4" w:space="0" w:color="A6A6A6"/>
              <w:bottom w:val="single" w:sz="4" w:space="0" w:color="A6A6A6"/>
            </w:tcBorders>
            <w:shd w:val="clear" w:color="auto" w:fill="E7E6E6"/>
            <w:noWrap/>
            <w:hideMark/>
          </w:tcPr>
          <w:p w14:paraId="52DBFA82" w14:textId="77777777" w:rsidR="005F4A7E" w:rsidRPr="002029AF" w:rsidRDefault="005F4A7E" w:rsidP="00130D1C">
            <w:pPr>
              <w:pStyle w:val="ARfintablebodyright"/>
              <w:spacing w:before="30" w:after="10" w:line="252" w:lineRule="auto"/>
            </w:pPr>
            <w:r w:rsidRPr="000B5F7A">
              <w:t>519.3</w:t>
            </w:r>
          </w:p>
        </w:tc>
        <w:tc>
          <w:tcPr>
            <w:tcW w:w="1134" w:type="dxa"/>
            <w:tcBorders>
              <w:top w:val="single" w:sz="4" w:space="0" w:color="A6A6A6"/>
              <w:bottom w:val="single" w:sz="4" w:space="0" w:color="A6A6A6"/>
            </w:tcBorders>
            <w:noWrap/>
            <w:hideMark/>
          </w:tcPr>
          <w:p w14:paraId="5C2634DA" w14:textId="77777777" w:rsidR="005F4A7E" w:rsidRPr="002029AF" w:rsidRDefault="005F4A7E" w:rsidP="00130D1C">
            <w:pPr>
              <w:pStyle w:val="ARfintablebodyright"/>
              <w:spacing w:before="30" w:after="10" w:line="252" w:lineRule="auto"/>
            </w:pPr>
            <w:r w:rsidRPr="000B5F7A">
              <w:t>386.7</w:t>
            </w:r>
          </w:p>
        </w:tc>
      </w:tr>
      <w:tr w:rsidR="005F4A7E" w:rsidRPr="002029AF" w14:paraId="196CB288" w14:textId="77777777" w:rsidTr="00860E95">
        <w:tc>
          <w:tcPr>
            <w:tcW w:w="7369" w:type="dxa"/>
            <w:tcBorders>
              <w:top w:val="single" w:sz="4" w:space="0" w:color="A6A6A6"/>
              <w:bottom w:val="single" w:sz="4" w:space="0" w:color="A6A6A6"/>
            </w:tcBorders>
            <w:hideMark/>
          </w:tcPr>
          <w:p w14:paraId="17EBE21B" w14:textId="77777777" w:rsidR="005F4A7E" w:rsidRPr="002029AF" w:rsidRDefault="005F4A7E" w:rsidP="00130D1C">
            <w:pPr>
              <w:pStyle w:val="ARfintablebody"/>
              <w:spacing w:before="30" w:after="10" w:line="252" w:lineRule="auto"/>
            </w:pPr>
            <w:r w:rsidRPr="000B5F7A">
              <w:t>Alfred Health</w:t>
            </w:r>
          </w:p>
        </w:tc>
        <w:tc>
          <w:tcPr>
            <w:tcW w:w="1134" w:type="dxa"/>
            <w:tcBorders>
              <w:top w:val="single" w:sz="4" w:space="0" w:color="A6A6A6"/>
              <w:bottom w:val="single" w:sz="4" w:space="0" w:color="A6A6A6"/>
            </w:tcBorders>
            <w:shd w:val="clear" w:color="auto" w:fill="E7E6E6"/>
            <w:noWrap/>
            <w:hideMark/>
          </w:tcPr>
          <w:p w14:paraId="4F4DEC3E" w14:textId="77777777" w:rsidR="005F4A7E" w:rsidRPr="002029AF" w:rsidRDefault="005F4A7E" w:rsidP="00130D1C">
            <w:pPr>
              <w:pStyle w:val="ARfintablebodyright"/>
              <w:spacing w:before="30" w:after="10" w:line="252" w:lineRule="auto"/>
            </w:pPr>
            <w:r w:rsidRPr="000B5F7A">
              <w:t>432.8</w:t>
            </w:r>
          </w:p>
        </w:tc>
        <w:tc>
          <w:tcPr>
            <w:tcW w:w="1134" w:type="dxa"/>
            <w:tcBorders>
              <w:top w:val="single" w:sz="4" w:space="0" w:color="A6A6A6"/>
              <w:bottom w:val="single" w:sz="4" w:space="0" w:color="A6A6A6"/>
            </w:tcBorders>
            <w:noWrap/>
            <w:hideMark/>
          </w:tcPr>
          <w:p w14:paraId="7B6CD678" w14:textId="77777777" w:rsidR="005F4A7E" w:rsidRPr="002029AF" w:rsidRDefault="005F4A7E" w:rsidP="00130D1C">
            <w:pPr>
              <w:pStyle w:val="ARfintablebodyright"/>
              <w:spacing w:before="30" w:after="10" w:line="252" w:lineRule="auto"/>
            </w:pPr>
            <w:r w:rsidRPr="000B5F7A">
              <w:t>266.2</w:t>
            </w:r>
          </w:p>
        </w:tc>
      </w:tr>
      <w:tr w:rsidR="005F4A7E" w:rsidRPr="002029AF" w14:paraId="6405D799" w14:textId="77777777" w:rsidTr="00860E95">
        <w:tc>
          <w:tcPr>
            <w:tcW w:w="7369" w:type="dxa"/>
            <w:tcBorders>
              <w:top w:val="single" w:sz="4" w:space="0" w:color="A6A6A6"/>
              <w:bottom w:val="single" w:sz="4" w:space="0" w:color="A6A6A6"/>
            </w:tcBorders>
            <w:hideMark/>
          </w:tcPr>
          <w:p w14:paraId="7A09C579" w14:textId="77777777" w:rsidR="005F4A7E" w:rsidRPr="002029AF" w:rsidRDefault="005F4A7E" w:rsidP="00130D1C">
            <w:pPr>
              <w:pStyle w:val="ARfintablebody"/>
              <w:spacing w:before="30" w:after="10" w:line="252" w:lineRule="auto"/>
            </w:pPr>
            <w:r w:rsidRPr="000B5F7A">
              <w:t>Austin Health</w:t>
            </w:r>
          </w:p>
        </w:tc>
        <w:tc>
          <w:tcPr>
            <w:tcW w:w="1134" w:type="dxa"/>
            <w:tcBorders>
              <w:top w:val="single" w:sz="4" w:space="0" w:color="A6A6A6"/>
              <w:bottom w:val="single" w:sz="4" w:space="0" w:color="A6A6A6"/>
            </w:tcBorders>
            <w:shd w:val="clear" w:color="auto" w:fill="E7E6E6"/>
            <w:noWrap/>
            <w:hideMark/>
          </w:tcPr>
          <w:p w14:paraId="63E9AA64" w14:textId="77777777" w:rsidR="005F4A7E" w:rsidRPr="002029AF" w:rsidRDefault="005F4A7E" w:rsidP="00130D1C">
            <w:pPr>
              <w:pStyle w:val="ARfintablebodyright"/>
              <w:spacing w:before="30" w:after="10" w:line="252" w:lineRule="auto"/>
            </w:pPr>
            <w:r w:rsidRPr="000B5F7A">
              <w:t>350.8</w:t>
            </w:r>
          </w:p>
        </w:tc>
        <w:tc>
          <w:tcPr>
            <w:tcW w:w="1134" w:type="dxa"/>
            <w:tcBorders>
              <w:top w:val="single" w:sz="4" w:space="0" w:color="A6A6A6"/>
              <w:bottom w:val="single" w:sz="4" w:space="0" w:color="A6A6A6"/>
            </w:tcBorders>
            <w:noWrap/>
            <w:hideMark/>
          </w:tcPr>
          <w:p w14:paraId="163AACDA" w14:textId="77777777" w:rsidR="005F4A7E" w:rsidRPr="002029AF" w:rsidRDefault="005F4A7E" w:rsidP="00130D1C">
            <w:pPr>
              <w:pStyle w:val="ARfintablebodyright"/>
              <w:spacing w:before="30" w:after="10" w:line="252" w:lineRule="auto"/>
            </w:pPr>
            <w:r w:rsidRPr="000B5F7A">
              <w:t>184.9</w:t>
            </w:r>
          </w:p>
        </w:tc>
      </w:tr>
      <w:tr w:rsidR="005F4A7E" w:rsidRPr="002029AF" w14:paraId="5FD48AFD" w14:textId="77777777" w:rsidTr="00860E95">
        <w:tc>
          <w:tcPr>
            <w:tcW w:w="7369" w:type="dxa"/>
            <w:tcBorders>
              <w:top w:val="single" w:sz="4" w:space="0" w:color="A6A6A6"/>
              <w:bottom w:val="single" w:sz="4" w:space="0" w:color="A6A6A6"/>
            </w:tcBorders>
            <w:hideMark/>
          </w:tcPr>
          <w:p w14:paraId="4F2CEF75" w14:textId="77777777" w:rsidR="005F4A7E" w:rsidRPr="002029AF" w:rsidRDefault="005F4A7E" w:rsidP="00130D1C">
            <w:pPr>
              <w:pStyle w:val="ARfintablebody"/>
              <w:spacing w:before="30" w:after="10" w:line="252" w:lineRule="auto"/>
            </w:pPr>
            <w:r w:rsidRPr="000B5F7A">
              <w:t>Western Health</w:t>
            </w:r>
          </w:p>
        </w:tc>
        <w:tc>
          <w:tcPr>
            <w:tcW w:w="1134" w:type="dxa"/>
            <w:tcBorders>
              <w:top w:val="single" w:sz="4" w:space="0" w:color="A6A6A6"/>
              <w:bottom w:val="single" w:sz="4" w:space="0" w:color="A6A6A6"/>
            </w:tcBorders>
            <w:shd w:val="clear" w:color="auto" w:fill="E7E6E6"/>
            <w:noWrap/>
            <w:hideMark/>
          </w:tcPr>
          <w:p w14:paraId="09EB4468" w14:textId="77777777" w:rsidR="005F4A7E" w:rsidRPr="002029AF" w:rsidRDefault="005F4A7E" w:rsidP="00130D1C">
            <w:pPr>
              <w:pStyle w:val="ARfintablebodyright"/>
              <w:spacing w:before="30" w:after="10" w:line="252" w:lineRule="auto"/>
            </w:pPr>
            <w:r w:rsidRPr="000B5F7A">
              <w:t>324.7</w:t>
            </w:r>
          </w:p>
        </w:tc>
        <w:tc>
          <w:tcPr>
            <w:tcW w:w="1134" w:type="dxa"/>
            <w:tcBorders>
              <w:top w:val="single" w:sz="4" w:space="0" w:color="A6A6A6"/>
              <w:bottom w:val="single" w:sz="4" w:space="0" w:color="A6A6A6"/>
            </w:tcBorders>
            <w:noWrap/>
            <w:hideMark/>
          </w:tcPr>
          <w:p w14:paraId="21AC08A6" w14:textId="77777777" w:rsidR="005F4A7E" w:rsidRPr="002029AF" w:rsidRDefault="005F4A7E" w:rsidP="00130D1C">
            <w:pPr>
              <w:pStyle w:val="ARfintablebodyright"/>
              <w:spacing w:before="30" w:after="10" w:line="252" w:lineRule="auto"/>
            </w:pPr>
            <w:r w:rsidRPr="000B5F7A">
              <w:t>228.1</w:t>
            </w:r>
          </w:p>
        </w:tc>
      </w:tr>
      <w:tr w:rsidR="005F4A7E" w:rsidRPr="002029AF" w14:paraId="39259CE3" w14:textId="77777777" w:rsidTr="00860E95">
        <w:tc>
          <w:tcPr>
            <w:tcW w:w="7369" w:type="dxa"/>
            <w:tcBorders>
              <w:top w:val="single" w:sz="4" w:space="0" w:color="A6A6A6"/>
              <w:bottom w:val="single" w:sz="4" w:space="0" w:color="A6A6A6"/>
            </w:tcBorders>
            <w:hideMark/>
          </w:tcPr>
          <w:p w14:paraId="77E4FF12" w14:textId="77777777" w:rsidR="005F4A7E" w:rsidRPr="002029AF" w:rsidRDefault="005F4A7E" w:rsidP="00130D1C">
            <w:pPr>
              <w:pStyle w:val="ARfintablebody"/>
              <w:spacing w:before="30" w:after="10" w:line="252" w:lineRule="auto"/>
            </w:pPr>
            <w:r w:rsidRPr="000B5F7A">
              <w:t>Eastern Health</w:t>
            </w:r>
          </w:p>
        </w:tc>
        <w:tc>
          <w:tcPr>
            <w:tcW w:w="1134" w:type="dxa"/>
            <w:tcBorders>
              <w:top w:val="single" w:sz="4" w:space="0" w:color="A6A6A6"/>
              <w:bottom w:val="single" w:sz="4" w:space="0" w:color="A6A6A6"/>
            </w:tcBorders>
            <w:shd w:val="clear" w:color="auto" w:fill="E7E6E6"/>
            <w:noWrap/>
            <w:hideMark/>
          </w:tcPr>
          <w:p w14:paraId="271A5CB6" w14:textId="77777777" w:rsidR="005F4A7E" w:rsidRPr="002029AF" w:rsidRDefault="005F4A7E" w:rsidP="00130D1C">
            <w:pPr>
              <w:pStyle w:val="ARfintablebodyright"/>
              <w:spacing w:before="30" w:after="10" w:line="252" w:lineRule="auto"/>
            </w:pPr>
            <w:r w:rsidRPr="000B5F7A">
              <w:t>328.2</w:t>
            </w:r>
          </w:p>
        </w:tc>
        <w:tc>
          <w:tcPr>
            <w:tcW w:w="1134" w:type="dxa"/>
            <w:tcBorders>
              <w:top w:val="single" w:sz="4" w:space="0" w:color="A6A6A6"/>
              <w:bottom w:val="single" w:sz="4" w:space="0" w:color="A6A6A6"/>
            </w:tcBorders>
            <w:noWrap/>
            <w:hideMark/>
          </w:tcPr>
          <w:p w14:paraId="39637FAB" w14:textId="77777777" w:rsidR="005F4A7E" w:rsidRPr="002029AF" w:rsidRDefault="005F4A7E" w:rsidP="00130D1C">
            <w:pPr>
              <w:pStyle w:val="ARfintablebodyright"/>
              <w:spacing w:before="30" w:after="10" w:line="252" w:lineRule="auto"/>
            </w:pPr>
            <w:r w:rsidRPr="000B5F7A">
              <w:t>193.9</w:t>
            </w:r>
          </w:p>
        </w:tc>
      </w:tr>
      <w:tr w:rsidR="005F4A7E" w:rsidRPr="002029AF" w14:paraId="0D4F963E" w14:textId="77777777" w:rsidTr="00860E95">
        <w:tc>
          <w:tcPr>
            <w:tcW w:w="7369" w:type="dxa"/>
            <w:tcBorders>
              <w:top w:val="single" w:sz="4" w:space="0" w:color="A6A6A6"/>
              <w:bottom w:val="single" w:sz="4" w:space="0" w:color="A6A6A6"/>
            </w:tcBorders>
            <w:hideMark/>
          </w:tcPr>
          <w:p w14:paraId="73007B2A" w14:textId="77777777" w:rsidR="005F4A7E" w:rsidRPr="002029AF" w:rsidRDefault="005F4A7E" w:rsidP="00130D1C">
            <w:pPr>
              <w:pStyle w:val="ARfintablebody"/>
              <w:spacing w:before="30" w:after="10" w:line="252" w:lineRule="auto"/>
            </w:pPr>
            <w:r w:rsidRPr="000B5F7A">
              <w:t>Peter MacCallum Cancer Centre</w:t>
            </w:r>
          </w:p>
        </w:tc>
        <w:tc>
          <w:tcPr>
            <w:tcW w:w="1134" w:type="dxa"/>
            <w:tcBorders>
              <w:top w:val="single" w:sz="4" w:space="0" w:color="A6A6A6"/>
              <w:bottom w:val="single" w:sz="4" w:space="0" w:color="A6A6A6"/>
            </w:tcBorders>
            <w:shd w:val="clear" w:color="auto" w:fill="E7E6E6"/>
            <w:noWrap/>
            <w:hideMark/>
          </w:tcPr>
          <w:p w14:paraId="7481FE21" w14:textId="77777777" w:rsidR="005F4A7E" w:rsidRPr="002029AF" w:rsidRDefault="005F4A7E" w:rsidP="00130D1C">
            <w:pPr>
              <w:pStyle w:val="ARfintablebodyright"/>
              <w:spacing w:before="30" w:after="10" w:line="252" w:lineRule="auto"/>
            </w:pPr>
            <w:r w:rsidRPr="000B5F7A">
              <w:t>316.9</w:t>
            </w:r>
          </w:p>
        </w:tc>
        <w:tc>
          <w:tcPr>
            <w:tcW w:w="1134" w:type="dxa"/>
            <w:tcBorders>
              <w:top w:val="single" w:sz="4" w:space="0" w:color="A6A6A6"/>
              <w:bottom w:val="single" w:sz="4" w:space="0" w:color="A6A6A6"/>
            </w:tcBorders>
            <w:noWrap/>
            <w:hideMark/>
          </w:tcPr>
          <w:p w14:paraId="39FF2C34" w14:textId="77777777" w:rsidR="005F4A7E" w:rsidRPr="002029AF" w:rsidRDefault="005F4A7E" w:rsidP="00130D1C">
            <w:pPr>
              <w:pStyle w:val="ARfintablebodyright"/>
              <w:spacing w:before="30" w:after="10" w:line="252" w:lineRule="auto"/>
            </w:pPr>
            <w:r w:rsidRPr="000B5F7A">
              <w:t>227.1</w:t>
            </w:r>
          </w:p>
        </w:tc>
      </w:tr>
      <w:tr w:rsidR="005F4A7E" w:rsidRPr="002029AF" w14:paraId="64EBFCB4" w14:textId="77777777" w:rsidTr="00860E95">
        <w:tc>
          <w:tcPr>
            <w:tcW w:w="7369" w:type="dxa"/>
            <w:tcBorders>
              <w:top w:val="single" w:sz="4" w:space="0" w:color="A6A6A6"/>
              <w:bottom w:val="single" w:sz="4" w:space="0" w:color="A6A6A6"/>
            </w:tcBorders>
            <w:hideMark/>
          </w:tcPr>
          <w:p w14:paraId="414389B6" w14:textId="51FD1D5D" w:rsidR="005F4A7E" w:rsidRPr="002029AF" w:rsidRDefault="005F4A7E" w:rsidP="00130D1C">
            <w:pPr>
              <w:pStyle w:val="ARfintablebody"/>
              <w:spacing w:before="30" w:after="10" w:line="252" w:lineRule="auto"/>
            </w:pPr>
            <w:r w:rsidRPr="000B5F7A">
              <w:t>The Royal Children</w:t>
            </w:r>
            <w:r w:rsidR="007D145B">
              <w:t>’</w:t>
            </w:r>
            <w:r w:rsidRPr="000B5F7A">
              <w:t>s Hospital</w:t>
            </w:r>
          </w:p>
        </w:tc>
        <w:tc>
          <w:tcPr>
            <w:tcW w:w="1134" w:type="dxa"/>
            <w:tcBorders>
              <w:top w:val="single" w:sz="4" w:space="0" w:color="A6A6A6"/>
              <w:bottom w:val="single" w:sz="4" w:space="0" w:color="A6A6A6"/>
            </w:tcBorders>
            <w:shd w:val="clear" w:color="auto" w:fill="E7E6E6"/>
            <w:noWrap/>
            <w:hideMark/>
          </w:tcPr>
          <w:p w14:paraId="5706E601" w14:textId="77777777" w:rsidR="005F4A7E" w:rsidRPr="002029AF" w:rsidRDefault="005F4A7E" w:rsidP="00130D1C">
            <w:pPr>
              <w:pStyle w:val="ARfintablebodyright"/>
              <w:spacing w:before="30" w:after="10" w:line="252" w:lineRule="auto"/>
            </w:pPr>
            <w:r w:rsidRPr="000B5F7A">
              <w:t>281.8</w:t>
            </w:r>
          </w:p>
        </w:tc>
        <w:tc>
          <w:tcPr>
            <w:tcW w:w="1134" w:type="dxa"/>
            <w:tcBorders>
              <w:top w:val="single" w:sz="4" w:space="0" w:color="A6A6A6"/>
              <w:bottom w:val="single" w:sz="4" w:space="0" w:color="A6A6A6"/>
            </w:tcBorders>
            <w:noWrap/>
            <w:hideMark/>
          </w:tcPr>
          <w:p w14:paraId="3EB29ADE" w14:textId="77777777" w:rsidR="005F4A7E" w:rsidRPr="002029AF" w:rsidRDefault="005F4A7E" w:rsidP="00130D1C">
            <w:pPr>
              <w:pStyle w:val="ARfintablebodyright"/>
              <w:spacing w:before="30" w:after="10" w:line="252" w:lineRule="auto"/>
            </w:pPr>
            <w:r w:rsidRPr="000B5F7A">
              <w:t>210.3</w:t>
            </w:r>
          </w:p>
        </w:tc>
      </w:tr>
      <w:tr w:rsidR="005F4A7E" w:rsidRPr="002029AF" w14:paraId="2FF1F656" w14:textId="77777777" w:rsidTr="00860E95">
        <w:tc>
          <w:tcPr>
            <w:tcW w:w="7369" w:type="dxa"/>
            <w:tcBorders>
              <w:top w:val="single" w:sz="4" w:space="0" w:color="A6A6A6"/>
              <w:bottom w:val="single" w:sz="4" w:space="0" w:color="A6A6A6"/>
            </w:tcBorders>
            <w:hideMark/>
          </w:tcPr>
          <w:p w14:paraId="4C4A7F39" w14:textId="77777777" w:rsidR="005F4A7E" w:rsidRPr="002029AF" w:rsidRDefault="005F4A7E" w:rsidP="00130D1C">
            <w:pPr>
              <w:pStyle w:val="ARfintablebody"/>
              <w:spacing w:before="30" w:after="10" w:line="252" w:lineRule="auto"/>
            </w:pPr>
            <w:r w:rsidRPr="000B5F7A">
              <w:t>Barwon Health</w:t>
            </w:r>
          </w:p>
        </w:tc>
        <w:tc>
          <w:tcPr>
            <w:tcW w:w="1134" w:type="dxa"/>
            <w:tcBorders>
              <w:top w:val="single" w:sz="4" w:space="0" w:color="A6A6A6"/>
              <w:bottom w:val="single" w:sz="4" w:space="0" w:color="A6A6A6"/>
            </w:tcBorders>
            <w:shd w:val="clear" w:color="auto" w:fill="E7E6E6"/>
            <w:noWrap/>
            <w:hideMark/>
          </w:tcPr>
          <w:p w14:paraId="60FF94E2" w14:textId="77777777" w:rsidR="005F4A7E" w:rsidRPr="002029AF" w:rsidRDefault="005F4A7E" w:rsidP="00130D1C">
            <w:pPr>
              <w:pStyle w:val="ARfintablebodyright"/>
              <w:spacing w:before="30" w:after="10" w:line="252" w:lineRule="auto"/>
            </w:pPr>
            <w:r w:rsidRPr="000B5F7A">
              <w:t>260.2</w:t>
            </w:r>
          </w:p>
        </w:tc>
        <w:tc>
          <w:tcPr>
            <w:tcW w:w="1134" w:type="dxa"/>
            <w:tcBorders>
              <w:top w:val="single" w:sz="4" w:space="0" w:color="A6A6A6"/>
              <w:bottom w:val="single" w:sz="4" w:space="0" w:color="A6A6A6"/>
            </w:tcBorders>
            <w:noWrap/>
            <w:hideMark/>
          </w:tcPr>
          <w:p w14:paraId="47FF8083" w14:textId="77777777" w:rsidR="005F4A7E" w:rsidRPr="002029AF" w:rsidRDefault="005F4A7E" w:rsidP="00130D1C">
            <w:pPr>
              <w:pStyle w:val="ARfintablebodyright"/>
              <w:spacing w:before="30" w:after="10" w:line="252" w:lineRule="auto"/>
            </w:pPr>
            <w:r w:rsidRPr="000B5F7A">
              <w:t>168.2</w:t>
            </w:r>
          </w:p>
        </w:tc>
      </w:tr>
      <w:tr w:rsidR="005F4A7E" w:rsidRPr="002029AF" w14:paraId="53158048" w14:textId="77777777" w:rsidTr="00860E95">
        <w:tc>
          <w:tcPr>
            <w:tcW w:w="7369" w:type="dxa"/>
            <w:tcBorders>
              <w:top w:val="single" w:sz="4" w:space="0" w:color="A6A6A6"/>
              <w:bottom w:val="single" w:sz="4" w:space="0" w:color="A6A6A6"/>
            </w:tcBorders>
            <w:hideMark/>
          </w:tcPr>
          <w:p w14:paraId="7084056D" w14:textId="77777777" w:rsidR="005F4A7E" w:rsidRPr="002029AF" w:rsidRDefault="005F4A7E" w:rsidP="00130D1C">
            <w:pPr>
              <w:pStyle w:val="ARfintablebody"/>
              <w:spacing w:before="30" w:after="10" w:line="252" w:lineRule="auto"/>
            </w:pPr>
            <w:r w:rsidRPr="000B5F7A">
              <w:t>Dental Health Services Victoria</w:t>
            </w:r>
          </w:p>
        </w:tc>
        <w:tc>
          <w:tcPr>
            <w:tcW w:w="1134" w:type="dxa"/>
            <w:tcBorders>
              <w:top w:val="single" w:sz="4" w:space="0" w:color="A6A6A6"/>
              <w:bottom w:val="single" w:sz="4" w:space="0" w:color="A6A6A6"/>
            </w:tcBorders>
            <w:shd w:val="clear" w:color="auto" w:fill="E7E6E6"/>
            <w:noWrap/>
            <w:hideMark/>
          </w:tcPr>
          <w:p w14:paraId="13D10BAE" w14:textId="77777777" w:rsidR="005F4A7E" w:rsidRPr="002029AF" w:rsidRDefault="005F4A7E" w:rsidP="00130D1C">
            <w:pPr>
              <w:pStyle w:val="ARfintablebodyright"/>
              <w:spacing w:before="30" w:after="10" w:line="252" w:lineRule="auto"/>
            </w:pPr>
            <w:r w:rsidRPr="000B5F7A">
              <w:t>250.7</w:t>
            </w:r>
          </w:p>
        </w:tc>
        <w:tc>
          <w:tcPr>
            <w:tcW w:w="1134" w:type="dxa"/>
            <w:tcBorders>
              <w:top w:val="single" w:sz="4" w:space="0" w:color="A6A6A6"/>
              <w:bottom w:val="single" w:sz="4" w:space="0" w:color="A6A6A6"/>
            </w:tcBorders>
            <w:noWrap/>
            <w:hideMark/>
          </w:tcPr>
          <w:p w14:paraId="55B9C709" w14:textId="77777777" w:rsidR="005F4A7E" w:rsidRPr="002029AF" w:rsidRDefault="005F4A7E" w:rsidP="00130D1C">
            <w:pPr>
              <w:pStyle w:val="ARfintablebodyright"/>
              <w:spacing w:before="30" w:after="10" w:line="252" w:lineRule="auto"/>
            </w:pPr>
            <w:r w:rsidRPr="000B5F7A">
              <w:t>211.1</w:t>
            </w:r>
          </w:p>
        </w:tc>
      </w:tr>
      <w:tr w:rsidR="005F4A7E" w:rsidRPr="002029AF" w14:paraId="4C5BAD00" w14:textId="77777777" w:rsidTr="00860E95">
        <w:tc>
          <w:tcPr>
            <w:tcW w:w="7369" w:type="dxa"/>
            <w:tcBorders>
              <w:top w:val="single" w:sz="4" w:space="0" w:color="A6A6A6"/>
              <w:bottom w:val="single" w:sz="4" w:space="0" w:color="A6A6A6"/>
            </w:tcBorders>
            <w:hideMark/>
          </w:tcPr>
          <w:p w14:paraId="7AE72617" w14:textId="77777777" w:rsidR="005F4A7E" w:rsidRPr="002029AF" w:rsidRDefault="005F4A7E" w:rsidP="00130D1C">
            <w:pPr>
              <w:pStyle w:val="ARfintablebody"/>
              <w:spacing w:before="30" w:after="10" w:line="252" w:lineRule="auto"/>
            </w:pPr>
            <w:r w:rsidRPr="000B5F7A">
              <w:t>Northern Health</w:t>
            </w:r>
          </w:p>
        </w:tc>
        <w:tc>
          <w:tcPr>
            <w:tcW w:w="1134" w:type="dxa"/>
            <w:tcBorders>
              <w:top w:val="single" w:sz="4" w:space="0" w:color="A6A6A6"/>
              <w:bottom w:val="single" w:sz="4" w:space="0" w:color="A6A6A6"/>
            </w:tcBorders>
            <w:shd w:val="clear" w:color="auto" w:fill="E7E6E6"/>
            <w:noWrap/>
            <w:hideMark/>
          </w:tcPr>
          <w:p w14:paraId="10AD3BB1" w14:textId="77777777" w:rsidR="005F4A7E" w:rsidRPr="002029AF" w:rsidRDefault="005F4A7E" w:rsidP="00130D1C">
            <w:pPr>
              <w:pStyle w:val="ARfintablebodyright"/>
              <w:spacing w:before="30" w:after="10" w:line="252" w:lineRule="auto"/>
            </w:pPr>
            <w:r w:rsidRPr="000B5F7A">
              <w:t>219.8</w:t>
            </w:r>
          </w:p>
        </w:tc>
        <w:tc>
          <w:tcPr>
            <w:tcW w:w="1134" w:type="dxa"/>
            <w:tcBorders>
              <w:top w:val="single" w:sz="4" w:space="0" w:color="A6A6A6"/>
              <w:bottom w:val="single" w:sz="4" w:space="0" w:color="A6A6A6"/>
            </w:tcBorders>
            <w:noWrap/>
            <w:hideMark/>
          </w:tcPr>
          <w:p w14:paraId="60D7A82D" w14:textId="77777777" w:rsidR="005F4A7E" w:rsidRPr="002029AF" w:rsidRDefault="005F4A7E" w:rsidP="00130D1C">
            <w:pPr>
              <w:pStyle w:val="ARfintablebodyright"/>
              <w:spacing w:before="30" w:after="10" w:line="252" w:lineRule="auto"/>
            </w:pPr>
            <w:r w:rsidRPr="000B5F7A">
              <w:t>102.3</w:t>
            </w:r>
          </w:p>
        </w:tc>
      </w:tr>
      <w:tr w:rsidR="005F4A7E" w:rsidRPr="002029AF" w14:paraId="600541FB" w14:textId="77777777" w:rsidTr="00860E95">
        <w:tc>
          <w:tcPr>
            <w:tcW w:w="7369" w:type="dxa"/>
            <w:tcBorders>
              <w:top w:val="single" w:sz="4" w:space="0" w:color="A6A6A6"/>
              <w:bottom w:val="single" w:sz="4" w:space="0" w:color="A6A6A6"/>
            </w:tcBorders>
            <w:hideMark/>
          </w:tcPr>
          <w:p w14:paraId="7408ACFE" w14:textId="77777777" w:rsidR="005F4A7E" w:rsidRPr="002029AF" w:rsidRDefault="005F4A7E" w:rsidP="00130D1C">
            <w:pPr>
              <w:pStyle w:val="ARfintablebody"/>
              <w:spacing w:before="30" w:after="10" w:line="252" w:lineRule="auto"/>
            </w:pPr>
            <w:r w:rsidRPr="000B5F7A">
              <w:t>Peninsula Health</w:t>
            </w:r>
          </w:p>
        </w:tc>
        <w:tc>
          <w:tcPr>
            <w:tcW w:w="1134" w:type="dxa"/>
            <w:tcBorders>
              <w:top w:val="single" w:sz="4" w:space="0" w:color="A6A6A6"/>
              <w:bottom w:val="single" w:sz="4" w:space="0" w:color="A6A6A6"/>
            </w:tcBorders>
            <w:shd w:val="clear" w:color="auto" w:fill="E7E6E6"/>
            <w:noWrap/>
            <w:hideMark/>
          </w:tcPr>
          <w:p w14:paraId="0BE17DDE" w14:textId="77777777" w:rsidR="005F4A7E" w:rsidRPr="002029AF" w:rsidRDefault="005F4A7E" w:rsidP="00130D1C">
            <w:pPr>
              <w:pStyle w:val="ARfintablebodyright"/>
              <w:spacing w:before="30" w:after="10" w:line="252" w:lineRule="auto"/>
            </w:pPr>
            <w:r w:rsidRPr="000B5F7A">
              <w:t>214.1</w:t>
            </w:r>
          </w:p>
        </w:tc>
        <w:tc>
          <w:tcPr>
            <w:tcW w:w="1134" w:type="dxa"/>
            <w:tcBorders>
              <w:top w:val="single" w:sz="4" w:space="0" w:color="A6A6A6"/>
              <w:bottom w:val="single" w:sz="4" w:space="0" w:color="A6A6A6"/>
            </w:tcBorders>
            <w:noWrap/>
            <w:hideMark/>
          </w:tcPr>
          <w:p w14:paraId="64A66F35" w14:textId="77777777" w:rsidR="005F4A7E" w:rsidRPr="002029AF" w:rsidRDefault="005F4A7E" w:rsidP="00130D1C">
            <w:pPr>
              <w:pStyle w:val="ARfintablebodyright"/>
              <w:spacing w:before="30" w:after="10" w:line="252" w:lineRule="auto"/>
            </w:pPr>
            <w:r w:rsidRPr="000B5F7A">
              <w:t>112.8</w:t>
            </w:r>
          </w:p>
        </w:tc>
      </w:tr>
      <w:tr w:rsidR="005F4A7E" w:rsidRPr="002029AF" w14:paraId="0990820B" w14:textId="77777777" w:rsidTr="00860E95">
        <w:tc>
          <w:tcPr>
            <w:tcW w:w="7369" w:type="dxa"/>
            <w:tcBorders>
              <w:top w:val="single" w:sz="4" w:space="0" w:color="A6A6A6"/>
              <w:bottom w:val="single" w:sz="4" w:space="0" w:color="A6A6A6"/>
            </w:tcBorders>
            <w:hideMark/>
          </w:tcPr>
          <w:p w14:paraId="44C13272" w14:textId="77777777" w:rsidR="005F4A7E" w:rsidRPr="002029AF" w:rsidRDefault="005F4A7E" w:rsidP="00130D1C">
            <w:pPr>
              <w:pStyle w:val="ARfintablebody"/>
              <w:spacing w:before="30" w:after="10" w:line="252" w:lineRule="auto"/>
            </w:pPr>
            <w:r w:rsidRPr="000B5F7A">
              <w:t>Bendigo Health</w:t>
            </w:r>
          </w:p>
        </w:tc>
        <w:tc>
          <w:tcPr>
            <w:tcW w:w="1134" w:type="dxa"/>
            <w:tcBorders>
              <w:top w:val="single" w:sz="4" w:space="0" w:color="A6A6A6"/>
              <w:bottom w:val="single" w:sz="4" w:space="0" w:color="A6A6A6"/>
            </w:tcBorders>
            <w:shd w:val="clear" w:color="auto" w:fill="E7E6E6"/>
            <w:noWrap/>
            <w:hideMark/>
          </w:tcPr>
          <w:p w14:paraId="42B90758" w14:textId="77777777" w:rsidR="005F4A7E" w:rsidRPr="002029AF" w:rsidRDefault="005F4A7E" w:rsidP="00130D1C">
            <w:pPr>
              <w:pStyle w:val="ARfintablebodyright"/>
              <w:spacing w:before="30" w:after="10" w:line="252" w:lineRule="auto"/>
            </w:pPr>
            <w:r w:rsidRPr="000B5F7A">
              <w:t>211.8</w:t>
            </w:r>
          </w:p>
        </w:tc>
        <w:tc>
          <w:tcPr>
            <w:tcW w:w="1134" w:type="dxa"/>
            <w:tcBorders>
              <w:top w:val="single" w:sz="4" w:space="0" w:color="A6A6A6"/>
              <w:bottom w:val="single" w:sz="4" w:space="0" w:color="A6A6A6"/>
            </w:tcBorders>
            <w:noWrap/>
            <w:hideMark/>
          </w:tcPr>
          <w:p w14:paraId="4F5BA332" w14:textId="77777777" w:rsidR="005F4A7E" w:rsidRPr="002029AF" w:rsidRDefault="005F4A7E" w:rsidP="00130D1C">
            <w:pPr>
              <w:pStyle w:val="ARfintablebodyright"/>
              <w:spacing w:before="30" w:after="10" w:line="252" w:lineRule="auto"/>
            </w:pPr>
            <w:r w:rsidRPr="000B5F7A">
              <w:t>150.5</w:t>
            </w:r>
          </w:p>
        </w:tc>
      </w:tr>
      <w:tr w:rsidR="005F4A7E" w:rsidRPr="002029AF" w14:paraId="16D0EAAE" w14:textId="77777777" w:rsidTr="00860E95">
        <w:tc>
          <w:tcPr>
            <w:tcW w:w="7369" w:type="dxa"/>
            <w:tcBorders>
              <w:top w:val="single" w:sz="4" w:space="0" w:color="A6A6A6"/>
              <w:bottom w:val="single" w:sz="4" w:space="0" w:color="A6A6A6"/>
            </w:tcBorders>
            <w:hideMark/>
          </w:tcPr>
          <w:p w14:paraId="07D9A16A" w14:textId="77777777" w:rsidR="005F4A7E" w:rsidRPr="002029AF" w:rsidRDefault="005F4A7E" w:rsidP="00130D1C">
            <w:pPr>
              <w:pStyle w:val="ARfintablebody"/>
              <w:spacing w:before="30" w:after="10" w:line="252" w:lineRule="auto"/>
            </w:pPr>
            <w:r w:rsidRPr="000B5F7A">
              <w:t>Albury Wodonga Health</w:t>
            </w:r>
          </w:p>
        </w:tc>
        <w:tc>
          <w:tcPr>
            <w:tcW w:w="1134" w:type="dxa"/>
            <w:tcBorders>
              <w:top w:val="single" w:sz="4" w:space="0" w:color="A6A6A6"/>
              <w:bottom w:val="single" w:sz="4" w:space="0" w:color="A6A6A6"/>
            </w:tcBorders>
            <w:shd w:val="clear" w:color="auto" w:fill="E7E6E6"/>
            <w:noWrap/>
            <w:hideMark/>
          </w:tcPr>
          <w:p w14:paraId="43120293" w14:textId="77777777" w:rsidR="005F4A7E" w:rsidRPr="002029AF" w:rsidRDefault="005F4A7E" w:rsidP="00130D1C">
            <w:pPr>
              <w:pStyle w:val="ARfintablebodyright"/>
              <w:spacing w:before="30" w:after="10" w:line="252" w:lineRule="auto"/>
            </w:pPr>
            <w:r w:rsidRPr="000B5F7A">
              <w:t>176.6</w:t>
            </w:r>
          </w:p>
        </w:tc>
        <w:tc>
          <w:tcPr>
            <w:tcW w:w="1134" w:type="dxa"/>
            <w:tcBorders>
              <w:top w:val="single" w:sz="4" w:space="0" w:color="A6A6A6"/>
              <w:bottom w:val="single" w:sz="4" w:space="0" w:color="A6A6A6"/>
            </w:tcBorders>
            <w:noWrap/>
            <w:hideMark/>
          </w:tcPr>
          <w:p w14:paraId="24F99B8B" w14:textId="77777777" w:rsidR="005F4A7E" w:rsidRPr="002029AF" w:rsidRDefault="005F4A7E" w:rsidP="00130D1C">
            <w:pPr>
              <w:pStyle w:val="ARfintablebodyright"/>
              <w:spacing w:before="30" w:after="10" w:line="252" w:lineRule="auto"/>
            </w:pPr>
            <w:r w:rsidRPr="000B5F7A">
              <w:t>164.5</w:t>
            </w:r>
          </w:p>
        </w:tc>
      </w:tr>
      <w:tr w:rsidR="005F4A7E" w:rsidRPr="002029AF" w14:paraId="4A2F411A" w14:textId="77777777" w:rsidTr="00860E95">
        <w:tc>
          <w:tcPr>
            <w:tcW w:w="7369" w:type="dxa"/>
            <w:tcBorders>
              <w:top w:val="single" w:sz="4" w:space="0" w:color="A6A6A6"/>
              <w:bottom w:val="single" w:sz="4" w:space="0" w:color="A6A6A6"/>
            </w:tcBorders>
          </w:tcPr>
          <w:p w14:paraId="67C7DE1D" w14:textId="77777777" w:rsidR="005F4A7E" w:rsidRPr="002029AF" w:rsidRDefault="005F4A7E" w:rsidP="00130D1C">
            <w:pPr>
              <w:pStyle w:val="ARfintablebody"/>
              <w:spacing w:before="30" w:after="10" w:line="252" w:lineRule="auto"/>
            </w:pPr>
            <w:r w:rsidRPr="000B5F7A">
              <w:t>Ballarat Health Services</w:t>
            </w:r>
          </w:p>
        </w:tc>
        <w:tc>
          <w:tcPr>
            <w:tcW w:w="1134" w:type="dxa"/>
            <w:tcBorders>
              <w:top w:val="single" w:sz="4" w:space="0" w:color="A6A6A6"/>
              <w:bottom w:val="single" w:sz="4" w:space="0" w:color="A6A6A6"/>
            </w:tcBorders>
            <w:shd w:val="clear" w:color="auto" w:fill="E7E6E6"/>
            <w:noWrap/>
          </w:tcPr>
          <w:p w14:paraId="79A0F49E" w14:textId="77777777" w:rsidR="005F4A7E" w:rsidRPr="002029AF" w:rsidRDefault="005F4A7E" w:rsidP="00130D1C">
            <w:pPr>
              <w:pStyle w:val="ARfintablebodyright"/>
              <w:spacing w:before="30" w:after="10" w:line="252" w:lineRule="auto"/>
            </w:pPr>
            <w:r w:rsidRPr="000B5F7A">
              <w:t>143.9</w:t>
            </w:r>
          </w:p>
        </w:tc>
        <w:tc>
          <w:tcPr>
            <w:tcW w:w="1134" w:type="dxa"/>
            <w:tcBorders>
              <w:top w:val="single" w:sz="4" w:space="0" w:color="A6A6A6"/>
              <w:bottom w:val="single" w:sz="4" w:space="0" w:color="A6A6A6"/>
            </w:tcBorders>
            <w:noWrap/>
          </w:tcPr>
          <w:p w14:paraId="2ED55BCB" w14:textId="77777777" w:rsidR="005F4A7E" w:rsidRPr="002029AF" w:rsidRDefault="005F4A7E" w:rsidP="00130D1C">
            <w:pPr>
              <w:pStyle w:val="ARfintablebodyright"/>
              <w:spacing w:before="30" w:after="10" w:line="252" w:lineRule="auto"/>
            </w:pPr>
            <w:r w:rsidRPr="000B5F7A">
              <w:t>123.7</w:t>
            </w:r>
          </w:p>
        </w:tc>
      </w:tr>
      <w:tr w:rsidR="005F4A7E" w:rsidRPr="002029AF" w14:paraId="6E65FB38" w14:textId="77777777" w:rsidTr="00860E95">
        <w:tc>
          <w:tcPr>
            <w:tcW w:w="7369" w:type="dxa"/>
            <w:tcBorders>
              <w:top w:val="single" w:sz="4" w:space="0" w:color="A6A6A6"/>
              <w:bottom w:val="single" w:sz="4" w:space="0" w:color="A6A6A6"/>
            </w:tcBorders>
          </w:tcPr>
          <w:p w14:paraId="11E171CB" w14:textId="77777777" w:rsidR="005F4A7E" w:rsidRPr="002029AF" w:rsidRDefault="005F4A7E" w:rsidP="00130D1C">
            <w:pPr>
              <w:pStyle w:val="ARfintablebody"/>
              <w:spacing w:before="30" w:after="10" w:line="252" w:lineRule="auto"/>
            </w:pPr>
            <w:r w:rsidRPr="000B5F7A">
              <w:t>Goulburn Valley Health</w:t>
            </w:r>
          </w:p>
        </w:tc>
        <w:tc>
          <w:tcPr>
            <w:tcW w:w="1134" w:type="dxa"/>
            <w:tcBorders>
              <w:top w:val="single" w:sz="4" w:space="0" w:color="A6A6A6"/>
              <w:bottom w:val="single" w:sz="4" w:space="0" w:color="A6A6A6"/>
            </w:tcBorders>
            <w:shd w:val="clear" w:color="auto" w:fill="E7E6E6"/>
            <w:noWrap/>
          </w:tcPr>
          <w:p w14:paraId="10D72914" w14:textId="77777777" w:rsidR="005F4A7E" w:rsidRPr="002029AF" w:rsidRDefault="005F4A7E" w:rsidP="00130D1C">
            <w:pPr>
              <w:pStyle w:val="ARfintablebodyright"/>
              <w:spacing w:before="30" w:after="10" w:line="252" w:lineRule="auto"/>
            </w:pPr>
            <w:r w:rsidRPr="000B5F7A">
              <w:t>113.7</w:t>
            </w:r>
          </w:p>
        </w:tc>
        <w:tc>
          <w:tcPr>
            <w:tcW w:w="1134" w:type="dxa"/>
            <w:tcBorders>
              <w:top w:val="single" w:sz="4" w:space="0" w:color="A6A6A6"/>
              <w:bottom w:val="single" w:sz="4" w:space="0" w:color="A6A6A6"/>
            </w:tcBorders>
            <w:noWrap/>
          </w:tcPr>
          <w:p w14:paraId="294F9DD0" w14:textId="77777777" w:rsidR="005F4A7E" w:rsidRPr="002029AF" w:rsidRDefault="005F4A7E" w:rsidP="00130D1C">
            <w:pPr>
              <w:pStyle w:val="ARfintablebodyright"/>
              <w:spacing w:before="30" w:after="10" w:line="252" w:lineRule="auto"/>
            </w:pPr>
            <w:r w:rsidRPr="000B5F7A">
              <w:t>151.6</w:t>
            </w:r>
          </w:p>
        </w:tc>
      </w:tr>
      <w:tr w:rsidR="005F4A7E" w:rsidRPr="002029AF" w14:paraId="3586F71B" w14:textId="77777777" w:rsidTr="00860E95">
        <w:tc>
          <w:tcPr>
            <w:tcW w:w="7369" w:type="dxa"/>
            <w:tcBorders>
              <w:top w:val="single" w:sz="4" w:space="0" w:color="A6A6A6"/>
              <w:bottom w:val="single" w:sz="4" w:space="0" w:color="A6A6A6"/>
            </w:tcBorders>
          </w:tcPr>
          <w:p w14:paraId="59637832" w14:textId="77777777" w:rsidR="005F4A7E" w:rsidRPr="002029AF" w:rsidRDefault="005F4A7E" w:rsidP="00130D1C">
            <w:pPr>
              <w:pStyle w:val="ARfintablebody"/>
              <w:spacing w:before="30" w:after="10" w:line="252" w:lineRule="auto"/>
            </w:pPr>
            <w:r w:rsidRPr="000B5F7A">
              <w:t>Latrobe Regional Hospital</w:t>
            </w:r>
          </w:p>
        </w:tc>
        <w:tc>
          <w:tcPr>
            <w:tcW w:w="1134" w:type="dxa"/>
            <w:tcBorders>
              <w:top w:val="single" w:sz="4" w:space="0" w:color="A6A6A6"/>
              <w:bottom w:val="single" w:sz="4" w:space="0" w:color="A6A6A6"/>
            </w:tcBorders>
            <w:shd w:val="clear" w:color="auto" w:fill="E7E6E6"/>
            <w:noWrap/>
          </w:tcPr>
          <w:p w14:paraId="580702E2" w14:textId="77777777" w:rsidR="005F4A7E" w:rsidRPr="002029AF" w:rsidRDefault="005F4A7E" w:rsidP="00130D1C">
            <w:pPr>
              <w:pStyle w:val="ARfintablebodyright"/>
              <w:spacing w:before="30" w:after="10" w:line="252" w:lineRule="auto"/>
            </w:pPr>
            <w:r w:rsidRPr="000B5F7A">
              <w:t>78.4</w:t>
            </w:r>
          </w:p>
        </w:tc>
        <w:tc>
          <w:tcPr>
            <w:tcW w:w="1134" w:type="dxa"/>
            <w:tcBorders>
              <w:top w:val="single" w:sz="4" w:space="0" w:color="A6A6A6"/>
              <w:bottom w:val="single" w:sz="4" w:space="0" w:color="A6A6A6"/>
            </w:tcBorders>
            <w:noWrap/>
          </w:tcPr>
          <w:p w14:paraId="20068773" w14:textId="77777777" w:rsidR="005F4A7E" w:rsidRPr="002029AF" w:rsidRDefault="005F4A7E" w:rsidP="00130D1C">
            <w:pPr>
              <w:pStyle w:val="ARfintablebodyright"/>
              <w:spacing w:before="30" w:after="10" w:line="252" w:lineRule="auto"/>
            </w:pPr>
            <w:r w:rsidRPr="000B5F7A">
              <w:t>60.3</w:t>
            </w:r>
          </w:p>
        </w:tc>
      </w:tr>
      <w:tr w:rsidR="005F4A7E" w:rsidRPr="002029AF" w14:paraId="0C736F45" w14:textId="77777777" w:rsidTr="00860E95">
        <w:tc>
          <w:tcPr>
            <w:tcW w:w="7369" w:type="dxa"/>
            <w:tcBorders>
              <w:top w:val="single" w:sz="4" w:space="0" w:color="A6A6A6"/>
              <w:bottom w:val="single" w:sz="4" w:space="0" w:color="A6A6A6"/>
            </w:tcBorders>
          </w:tcPr>
          <w:p w14:paraId="15C2A6B8" w14:textId="5224DB5E" w:rsidR="005F4A7E" w:rsidRPr="002029AF" w:rsidRDefault="005F4A7E" w:rsidP="00130D1C">
            <w:pPr>
              <w:pStyle w:val="ARfintablebody"/>
              <w:spacing w:before="30" w:after="10" w:line="252" w:lineRule="auto"/>
            </w:pPr>
            <w:r w:rsidRPr="000B5F7A">
              <w:t>The Royal Women</w:t>
            </w:r>
            <w:r w:rsidR="007D145B">
              <w:t>’</w:t>
            </w:r>
            <w:r w:rsidRPr="000B5F7A">
              <w:t>s Hospital</w:t>
            </w:r>
          </w:p>
        </w:tc>
        <w:tc>
          <w:tcPr>
            <w:tcW w:w="1134" w:type="dxa"/>
            <w:tcBorders>
              <w:top w:val="single" w:sz="4" w:space="0" w:color="A6A6A6"/>
              <w:bottom w:val="single" w:sz="4" w:space="0" w:color="A6A6A6"/>
            </w:tcBorders>
            <w:shd w:val="clear" w:color="auto" w:fill="E7E6E6"/>
            <w:noWrap/>
          </w:tcPr>
          <w:p w14:paraId="6782A780" w14:textId="77777777" w:rsidR="005F4A7E" w:rsidRPr="002029AF" w:rsidRDefault="005F4A7E" w:rsidP="00130D1C">
            <w:pPr>
              <w:pStyle w:val="ARfintablebodyright"/>
              <w:spacing w:before="30" w:after="10" w:line="252" w:lineRule="auto"/>
            </w:pPr>
            <w:r w:rsidRPr="000B5F7A">
              <w:t>77.8</w:t>
            </w:r>
          </w:p>
        </w:tc>
        <w:tc>
          <w:tcPr>
            <w:tcW w:w="1134" w:type="dxa"/>
            <w:tcBorders>
              <w:top w:val="single" w:sz="4" w:space="0" w:color="A6A6A6"/>
              <w:bottom w:val="single" w:sz="4" w:space="0" w:color="A6A6A6"/>
            </w:tcBorders>
            <w:noWrap/>
          </w:tcPr>
          <w:p w14:paraId="1A60BE5B" w14:textId="77777777" w:rsidR="005F4A7E" w:rsidRPr="002029AF" w:rsidRDefault="005F4A7E" w:rsidP="00130D1C">
            <w:pPr>
              <w:pStyle w:val="ARfintablebodyright"/>
              <w:spacing w:before="30" w:after="10" w:line="252" w:lineRule="auto"/>
            </w:pPr>
            <w:r w:rsidRPr="000B5F7A">
              <w:t>59.9</w:t>
            </w:r>
          </w:p>
        </w:tc>
      </w:tr>
      <w:tr w:rsidR="005F4A7E" w:rsidRPr="002029AF" w14:paraId="5B704BCB" w14:textId="77777777" w:rsidTr="00860E95">
        <w:tc>
          <w:tcPr>
            <w:tcW w:w="7369" w:type="dxa"/>
            <w:tcBorders>
              <w:top w:val="single" w:sz="4" w:space="0" w:color="A6A6A6"/>
              <w:bottom w:val="single" w:sz="4" w:space="0" w:color="A6A6A6"/>
            </w:tcBorders>
          </w:tcPr>
          <w:p w14:paraId="4380651C" w14:textId="77777777" w:rsidR="005F4A7E" w:rsidRPr="002029AF" w:rsidRDefault="005F4A7E" w:rsidP="00130D1C">
            <w:pPr>
              <w:pStyle w:val="ARfintablebody"/>
              <w:spacing w:before="30" w:after="10" w:line="252" w:lineRule="auto"/>
            </w:pPr>
            <w:r w:rsidRPr="000B5F7A">
              <w:t>Northeast Health Wangaratta</w:t>
            </w:r>
          </w:p>
        </w:tc>
        <w:tc>
          <w:tcPr>
            <w:tcW w:w="1134" w:type="dxa"/>
            <w:tcBorders>
              <w:top w:val="single" w:sz="4" w:space="0" w:color="A6A6A6"/>
              <w:bottom w:val="single" w:sz="4" w:space="0" w:color="A6A6A6"/>
            </w:tcBorders>
            <w:shd w:val="clear" w:color="auto" w:fill="E7E6E6"/>
            <w:noWrap/>
          </w:tcPr>
          <w:p w14:paraId="2FB3C21B" w14:textId="77777777" w:rsidR="005F4A7E" w:rsidRPr="002029AF" w:rsidRDefault="005F4A7E" w:rsidP="00130D1C">
            <w:pPr>
              <w:pStyle w:val="ARfintablebodyright"/>
              <w:spacing w:before="30" w:after="10" w:line="252" w:lineRule="auto"/>
            </w:pPr>
            <w:r w:rsidRPr="000B5F7A">
              <w:t>56.1</w:t>
            </w:r>
          </w:p>
        </w:tc>
        <w:tc>
          <w:tcPr>
            <w:tcW w:w="1134" w:type="dxa"/>
            <w:tcBorders>
              <w:top w:val="single" w:sz="4" w:space="0" w:color="A6A6A6"/>
              <w:bottom w:val="single" w:sz="4" w:space="0" w:color="A6A6A6"/>
            </w:tcBorders>
            <w:noWrap/>
          </w:tcPr>
          <w:p w14:paraId="1E2A64F8" w14:textId="77777777" w:rsidR="005F4A7E" w:rsidRPr="002029AF" w:rsidRDefault="005F4A7E" w:rsidP="00130D1C">
            <w:pPr>
              <w:pStyle w:val="ARfintablebodyright"/>
              <w:spacing w:before="30" w:after="10" w:line="252" w:lineRule="auto"/>
            </w:pPr>
            <w:r w:rsidRPr="000B5F7A">
              <w:t>20.6</w:t>
            </w:r>
          </w:p>
        </w:tc>
      </w:tr>
      <w:tr w:rsidR="005F4A7E" w:rsidRPr="002029AF" w14:paraId="2607D7EA" w14:textId="77777777" w:rsidTr="00860E95">
        <w:tc>
          <w:tcPr>
            <w:tcW w:w="7369" w:type="dxa"/>
            <w:tcBorders>
              <w:top w:val="single" w:sz="4" w:space="0" w:color="A6A6A6"/>
              <w:bottom w:val="single" w:sz="4" w:space="0" w:color="A6A6A6"/>
            </w:tcBorders>
            <w:hideMark/>
          </w:tcPr>
          <w:p w14:paraId="7E189272" w14:textId="77777777" w:rsidR="005F4A7E" w:rsidRPr="002029AF" w:rsidRDefault="005F4A7E" w:rsidP="00130D1C">
            <w:pPr>
              <w:pStyle w:val="ARfintablebody"/>
              <w:spacing w:before="30" w:after="10" w:line="252" w:lineRule="auto"/>
            </w:pPr>
            <w:r w:rsidRPr="000B5F7A">
              <w:t>South West Healthcare</w:t>
            </w:r>
          </w:p>
        </w:tc>
        <w:tc>
          <w:tcPr>
            <w:tcW w:w="1134" w:type="dxa"/>
            <w:tcBorders>
              <w:top w:val="single" w:sz="4" w:space="0" w:color="A6A6A6"/>
              <w:bottom w:val="single" w:sz="4" w:space="0" w:color="A6A6A6"/>
            </w:tcBorders>
            <w:shd w:val="clear" w:color="auto" w:fill="E7E6E6"/>
            <w:noWrap/>
            <w:hideMark/>
          </w:tcPr>
          <w:p w14:paraId="0FB7083E" w14:textId="77777777" w:rsidR="005F4A7E" w:rsidRPr="002029AF" w:rsidRDefault="005F4A7E" w:rsidP="00130D1C">
            <w:pPr>
              <w:pStyle w:val="ARfintablebodyright"/>
              <w:spacing w:before="30" w:after="10" w:line="252" w:lineRule="auto"/>
            </w:pPr>
            <w:r w:rsidRPr="000B5F7A">
              <w:t>49.1</w:t>
            </w:r>
          </w:p>
        </w:tc>
        <w:tc>
          <w:tcPr>
            <w:tcW w:w="1134" w:type="dxa"/>
            <w:tcBorders>
              <w:top w:val="single" w:sz="4" w:space="0" w:color="A6A6A6"/>
              <w:bottom w:val="single" w:sz="4" w:space="0" w:color="A6A6A6"/>
            </w:tcBorders>
            <w:noWrap/>
            <w:hideMark/>
          </w:tcPr>
          <w:p w14:paraId="7BC3EA7E" w14:textId="77777777" w:rsidR="005F4A7E" w:rsidRPr="002029AF" w:rsidRDefault="005F4A7E" w:rsidP="00130D1C">
            <w:pPr>
              <w:pStyle w:val="ARfintablebodyright"/>
              <w:spacing w:before="30" w:after="10" w:line="252" w:lineRule="auto"/>
            </w:pPr>
            <w:r w:rsidRPr="000B5F7A">
              <w:t>36.8</w:t>
            </w:r>
          </w:p>
        </w:tc>
      </w:tr>
      <w:tr w:rsidR="005F4A7E" w:rsidRPr="002029AF" w14:paraId="213031CC" w14:textId="77777777" w:rsidTr="00860E95">
        <w:tc>
          <w:tcPr>
            <w:tcW w:w="7369" w:type="dxa"/>
            <w:tcBorders>
              <w:top w:val="single" w:sz="4" w:space="0" w:color="A6A6A6"/>
              <w:bottom w:val="single" w:sz="4" w:space="0" w:color="A6A6A6"/>
            </w:tcBorders>
            <w:hideMark/>
          </w:tcPr>
          <w:p w14:paraId="15F2F477" w14:textId="77777777" w:rsidR="005F4A7E" w:rsidRPr="002029AF" w:rsidRDefault="005F4A7E" w:rsidP="00130D1C">
            <w:pPr>
              <w:pStyle w:val="ARfintablebody"/>
              <w:spacing w:before="30" w:after="10" w:line="252" w:lineRule="auto"/>
            </w:pPr>
            <w:r>
              <w:t>Central Highlands Rural Health</w:t>
            </w:r>
          </w:p>
        </w:tc>
        <w:tc>
          <w:tcPr>
            <w:tcW w:w="1134" w:type="dxa"/>
            <w:tcBorders>
              <w:top w:val="single" w:sz="4" w:space="0" w:color="A6A6A6"/>
              <w:bottom w:val="single" w:sz="4" w:space="0" w:color="A6A6A6"/>
            </w:tcBorders>
            <w:shd w:val="clear" w:color="auto" w:fill="E7E6E6"/>
            <w:noWrap/>
            <w:hideMark/>
          </w:tcPr>
          <w:p w14:paraId="24994582" w14:textId="77777777" w:rsidR="005F4A7E" w:rsidRPr="002029AF" w:rsidRDefault="005F4A7E" w:rsidP="00130D1C">
            <w:pPr>
              <w:pStyle w:val="ARfintablebodyright"/>
              <w:spacing w:before="30" w:after="10" w:line="252" w:lineRule="auto"/>
            </w:pPr>
            <w:r w:rsidRPr="000B5F7A">
              <w:t>33.3</w:t>
            </w:r>
          </w:p>
        </w:tc>
        <w:tc>
          <w:tcPr>
            <w:tcW w:w="1134" w:type="dxa"/>
            <w:tcBorders>
              <w:top w:val="single" w:sz="4" w:space="0" w:color="A6A6A6"/>
              <w:bottom w:val="single" w:sz="4" w:space="0" w:color="A6A6A6"/>
            </w:tcBorders>
            <w:noWrap/>
            <w:hideMark/>
          </w:tcPr>
          <w:p w14:paraId="270C629F" w14:textId="77777777" w:rsidR="005F4A7E" w:rsidRPr="002029AF" w:rsidRDefault="005F4A7E" w:rsidP="00130D1C">
            <w:pPr>
              <w:pStyle w:val="ARfintablebodyright"/>
              <w:spacing w:before="30" w:after="10" w:line="252" w:lineRule="auto"/>
            </w:pPr>
            <w:r w:rsidRPr="000B5F7A">
              <w:t>26.3</w:t>
            </w:r>
          </w:p>
        </w:tc>
      </w:tr>
      <w:tr w:rsidR="005F4A7E" w:rsidRPr="002029AF" w14:paraId="4CF8E90C" w14:textId="77777777" w:rsidTr="00860E95">
        <w:tc>
          <w:tcPr>
            <w:tcW w:w="7369" w:type="dxa"/>
            <w:tcBorders>
              <w:top w:val="single" w:sz="4" w:space="0" w:color="A6A6A6"/>
              <w:bottom w:val="single" w:sz="4" w:space="0" w:color="A6A6A6"/>
            </w:tcBorders>
            <w:hideMark/>
          </w:tcPr>
          <w:p w14:paraId="50F33640" w14:textId="77777777" w:rsidR="005F4A7E" w:rsidRPr="002029AF" w:rsidRDefault="005F4A7E" w:rsidP="00130D1C">
            <w:pPr>
              <w:pStyle w:val="ARfintablebody"/>
              <w:spacing w:before="30" w:after="10" w:line="252" w:lineRule="auto"/>
            </w:pPr>
            <w:r w:rsidRPr="000B5F7A">
              <w:t>Mildura Base Public Hospital</w:t>
            </w:r>
          </w:p>
        </w:tc>
        <w:tc>
          <w:tcPr>
            <w:tcW w:w="1134" w:type="dxa"/>
            <w:tcBorders>
              <w:top w:val="single" w:sz="4" w:space="0" w:color="A6A6A6"/>
              <w:bottom w:val="single" w:sz="4" w:space="0" w:color="A6A6A6"/>
            </w:tcBorders>
            <w:shd w:val="clear" w:color="auto" w:fill="E7E6E6"/>
            <w:noWrap/>
            <w:hideMark/>
          </w:tcPr>
          <w:p w14:paraId="1D75189B" w14:textId="77777777" w:rsidR="005F4A7E" w:rsidRPr="002029AF" w:rsidRDefault="005F4A7E" w:rsidP="00130D1C">
            <w:pPr>
              <w:pStyle w:val="ARfintablebodyright"/>
              <w:spacing w:before="30" w:after="10" w:line="252" w:lineRule="auto"/>
            </w:pPr>
            <w:r w:rsidRPr="000B5F7A">
              <w:t>37.6</w:t>
            </w:r>
          </w:p>
        </w:tc>
        <w:tc>
          <w:tcPr>
            <w:tcW w:w="1134" w:type="dxa"/>
            <w:tcBorders>
              <w:top w:val="single" w:sz="4" w:space="0" w:color="A6A6A6"/>
              <w:bottom w:val="single" w:sz="4" w:space="0" w:color="A6A6A6"/>
            </w:tcBorders>
            <w:noWrap/>
            <w:hideMark/>
          </w:tcPr>
          <w:p w14:paraId="303DC69B" w14:textId="77777777" w:rsidR="005F4A7E" w:rsidRPr="002029AF" w:rsidRDefault="005F4A7E" w:rsidP="00130D1C">
            <w:pPr>
              <w:pStyle w:val="ARfintablebodyright"/>
              <w:spacing w:before="30" w:after="10" w:line="252" w:lineRule="auto"/>
            </w:pPr>
            <w:r w:rsidRPr="000B5F7A">
              <w:t>–</w:t>
            </w:r>
          </w:p>
        </w:tc>
      </w:tr>
      <w:tr w:rsidR="005F4A7E" w:rsidRPr="002029AF" w14:paraId="62C2851B" w14:textId="77777777" w:rsidTr="00860E95">
        <w:tc>
          <w:tcPr>
            <w:tcW w:w="7369" w:type="dxa"/>
            <w:tcBorders>
              <w:top w:val="single" w:sz="4" w:space="0" w:color="A6A6A6"/>
              <w:bottom w:val="single" w:sz="4" w:space="0" w:color="A6A6A6"/>
            </w:tcBorders>
            <w:hideMark/>
          </w:tcPr>
          <w:p w14:paraId="041148CE" w14:textId="77777777" w:rsidR="005F4A7E" w:rsidRPr="002029AF" w:rsidRDefault="005F4A7E" w:rsidP="00130D1C">
            <w:pPr>
              <w:pStyle w:val="ARfintablebody"/>
              <w:spacing w:before="30" w:after="10" w:line="252" w:lineRule="auto"/>
            </w:pPr>
            <w:r w:rsidRPr="000B5F7A">
              <w:t>Wimmera Health Care Group</w:t>
            </w:r>
          </w:p>
        </w:tc>
        <w:tc>
          <w:tcPr>
            <w:tcW w:w="1134" w:type="dxa"/>
            <w:tcBorders>
              <w:top w:val="single" w:sz="4" w:space="0" w:color="A6A6A6"/>
              <w:bottom w:val="single" w:sz="4" w:space="0" w:color="A6A6A6"/>
            </w:tcBorders>
            <w:shd w:val="clear" w:color="auto" w:fill="E7E6E6"/>
            <w:noWrap/>
            <w:hideMark/>
          </w:tcPr>
          <w:p w14:paraId="2622B957" w14:textId="77777777" w:rsidR="005F4A7E" w:rsidRPr="002029AF" w:rsidRDefault="005F4A7E" w:rsidP="00130D1C">
            <w:pPr>
              <w:pStyle w:val="ARfintablebodyright"/>
              <w:spacing w:before="30" w:after="10" w:line="252" w:lineRule="auto"/>
            </w:pPr>
            <w:r w:rsidRPr="000B5F7A">
              <w:t>32.2</w:t>
            </w:r>
          </w:p>
        </w:tc>
        <w:tc>
          <w:tcPr>
            <w:tcW w:w="1134" w:type="dxa"/>
            <w:tcBorders>
              <w:top w:val="single" w:sz="4" w:space="0" w:color="A6A6A6"/>
              <w:bottom w:val="single" w:sz="4" w:space="0" w:color="A6A6A6"/>
            </w:tcBorders>
            <w:noWrap/>
            <w:hideMark/>
          </w:tcPr>
          <w:p w14:paraId="1D2D026B" w14:textId="77777777" w:rsidR="005F4A7E" w:rsidRPr="002029AF" w:rsidRDefault="005F4A7E" w:rsidP="00130D1C">
            <w:pPr>
              <w:pStyle w:val="ARfintablebodyright"/>
              <w:spacing w:before="30" w:after="10" w:line="252" w:lineRule="auto"/>
            </w:pPr>
            <w:r w:rsidRPr="000B5F7A">
              <w:t>13.4</w:t>
            </w:r>
          </w:p>
        </w:tc>
      </w:tr>
      <w:tr w:rsidR="005F4A7E" w:rsidRPr="002029AF" w14:paraId="681A780C" w14:textId="77777777" w:rsidTr="00860E95">
        <w:tc>
          <w:tcPr>
            <w:tcW w:w="7369" w:type="dxa"/>
            <w:tcBorders>
              <w:top w:val="single" w:sz="4" w:space="0" w:color="A6A6A6"/>
              <w:bottom w:val="single" w:sz="4" w:space="0" w:color="A6A6A6"/>
            </w:tcBorders>
            <w:hideMark/>
          </w:tcPr>
          <w:p w14:paraId="5B794C86" w14:textId="77777777" w:rsidR="005F4A7E" w:rsidRPr="002029AF" w:rsidRDefault="005F4A7E" w:rsidP="00130D1C">
            <w:pPr>
              <w:pStyle w:val="ARfintablebody"/>
              <w:keepNext/>
              <w:spacing w:before="30" w:after="10" w:line="252" w:lineRule="auto"/>
            </w:pPr>
            <w:r w:rsidRPr="000B5F7A">
              <w:t>The Royal Victorian Eye and Ear Hospital</w:t>
            </w:r>
          </w:p>
        </w:tc>
        <w:tc>
          <w:tcPr>
            <w:tcW w:w="1134" w:type="dxa"/>
            <w:tcBorders>
              <w:top w:val="single" w:sz="4" w:space="0" w:color="A6A6A6"/>
              <w:bottom w:val="single" w:sz="4" w:space="0" w:color="A6A6A6"/>
            </w:tcBorders>
            <w:shd w:val="clear" w:color="auto" w:fill="E7E6E6"/>
            <w:noWrap/>
            <w:hideMark/>
          </w:tcPr>
          <w:p w14:paraId="5779AA36" w14:textId="77777777" w:rsidR="005F4A7E" w:rsidRPr="002029AF" w:rsidRDefault="005F4A7E" w:rsidP="00130D1C">
            <w:pPr>
              <w:pStyle w:val="ARfintablebodyright"/>
              <w:spacing w:before="30" w:after="10" w:line="252" w:lineRule="auto"/>
            </w:pPr>
            <w:r w:rsidRPr="000B5F7A">
              <w:t>47.1</w:t>
            </w:r>
          </w:p>
        </w:tc>
        <w:tc>
          <w:tcPr>
            <w:tcW w:w="1134" w:type="dxa"/>
            <w:tcBorders>
              <w:top w:val="single" w:sz="4" w:space="0" w:color="A6A6A6"/>
              <w:bottom w:val="single" w:sz="4" w:space="0" w:color="A6A6A6"/>
            </w:tcBorders>
            <w:noWrap/>
            <w:hideMark/>
          </w:tcPr>
          <w:p w14:paraId="7183CB48" w14:textId="77777777" w:rsidR="005F4A7E" w:rsidRPr="002029AF" w:rsidRDefault="005F4A7E" w:rsidP="00130D1C">
            <w:pPr>
              <w:pStyle w:val="ARfintablebodyright"/>
              <w:spacing w:before="30" w:after="10" w:line="252" w:lineRule="auto"/>
            </w:pPr>
            <w:r w:rsidRPr="000B5F7A">
              <w:t>32.8</w:t>
            </w:r>
          </w:p>
        </w:tc>
      </w:tr>
      <w:tr w:rsidR="005F4A7E" w:rsidRPr="002029AF" w14:paraId="49A020A5" w14:textId="77777777" w:rsidTr="00860E95">
        <w:tc>
          <w:tcPr>
            <w:tcW w:w="7369" w:type="dxa"/>
            <w:tcBorders>
              <w:top w:val="single" w:sz="4" w:space="0" w:color="A6A6A6"/>
            </w:tcBorders>
            <w:hideMark/>
          </w:tcPr>
          <w:p w14:paraId="5A7C5DF7" w14:textId="77777777" w:rsidR="005F4A7E" w:rsidRPr="002029AF" w:rsidRDefault="005F4A7E" w:rsidP="00130D1C">
            <w:pPr>
              <w:pStyle w:val="ARfintablebody"/>
              <w:spacing w:before="30" w:after="10" w:line="252" w:lineRule="auto"/>
            </w:pPr>
            <w:r w:rsidRPr="000B5F7A">
              <w:t>Other public health services and hospitals with payments totalling less than $30 million</w:t>
            </w:r>
          </w:p>
        </w:tc>
        <w:tc>
          <w:tcPr>
            <w:tcW w:w="1134" w:type="dxa"/>
            <w:tcBorders>
              <w:top w:val="single" w:sz="4" w:space="0" w:color="A6A6A6"/>
            </w:tcBorders>
            <w:shd w:val="clear" w:color="auto" w:fill="E7E6E6"/>
            <w:noWrap/>
            <w:hideMark/>
          </w:tcPr>
          <w:p w14:paraId="702DC55D" w14:textId="77777777" w:rsidR="005F4A7E" w:rsidRPr="002029AF" w:rsidRDefault="005F4A7E" w:rsidP="00130D1C">
            <w:pPr>
              <w:pStyle w:val="ARfintablebodyright"/>
              <w:spacing w:before="30" w:after="10" w:line="252" w:lineRule="auto"/>
            </w:pPr>
            <w:r w:rsidRPr="000B5F7A">
              <w:t>681.9</w:t>
            </w:r>
          </w:p>
        </w:tc>
        <w:tc>
          <w:tcPr>
            <w:tcW w:w="1134" w:type="dxa"/>
            <w:tcBorders>
              <w:top w:val="single" w:sz="4" w:space="0" w:color="A6A6A6"/>
            </w:tcBorders>
            <w:noWrap/>
            <w:hideMark/>
          </w:tcPr>
          <w:p w14:paraId="26F96B8F" w14:textId="77777777" w:rsidR="005F4A7E" w:rsidRPr="002029AF" w:rsidRDefault="005F4A7E" w:rsidP="00130D1C">
            <w:pPr>
              <w:pStyle w:val="ARfintablebodyright"/>
              <w:spacing w:before="30" w:after="10" w:line="252" w:lineRule="auto"/>
            </w:pPr>
            <w:r w:rsidRPr="000B5F7A">
              <w:t>509.8</w:t>
            </w:r>
          </w:p>
        </w:tc>
      </w:tr>
      <w:tr w:rsidR="005F4A7E" w:rsidRPr="002029AF" w14:paraId="3A6A4381" w14:textId="77777777" w:rsidTr="00860E95">
        <w:tc>
          <w:tcPr>
            <w:tcW w:w="7369" w:type="dxa"/>
            <w:tcBorders>
              <w:bottom w:val="single" w:sz="4" w:space="0" w:color="auto"/>
            </w:tcBorders>
            <w:hideMark/>
          </w:tcPr>
          <w:p w14:paraId="1F112FA9" w14:textId="77777777" w:rsidR="005F4A7E" w:rsidRPr="002029AF" w:rsidRDefault="005F4A7E" w:rsidP="00130D1C">
            <w:pPr>
              <w:pStyle w:val="ARfintablebodybold"/>
              <w:spacing w:before="30" w:after="10" w:line="252" w:lineRule="auto"/>
            </w:pPr>
          </w:p>
        </w:tc>
        <w:tc>
          <w:tcPr>
            <w:tcW w:w="1134" w:type="dxa"/>
            <w:tcBorders>
              <w:bottom w:val="single" w:sz="4" w:space="0" w:color="auto"/>
            </w:tcBorders>
            <w:shd w:val="clear" w:color="auto" w:fill="E7E6E6"/>
            <w:noWrap/>
            <w:hideMark/>
          </w:tcPr>
          <w:p w14:paraId="715E3870" w14:textId="77777777" w:rsidR="005F4A7E" w:rsidRPr="002029AF" w:rsidRDefault="005F4A7E" w:rsidP="00130D1C">
            <w:pPr>
              <w:pStyle w:val="ARfintablebodyrightbold"/>
              <w:spacing w:before="30" w:after="10" w:line="252" w:lineRule="auto"/>
            </w:pPr>
            <w:r w:rsidRPr="000B5F7A">
              <w:t>11,652.9</w:t>
            </w:r>
          </w:p>
        </w:tc>
        <w:tc>
          <w:tcPr>
            <w:tcW w:w="1134" w:type="dxa"/>
            <w:tcBorders>
              <w:bottom w:val="single" w:sz="4" w:space="0" w:color="auto"/>
            </w:tcBorders>
            <w:noWrap/>
            <w:hideMark/>
          </w:tcPr>
          <w:p w14:paraId="46A81CEB" w14:textId="77777777" w:rsidR="005F4A7E" w:rsidRPr="002029AF" w:rsidRDefault="005F4A7E" w:rsidP="00130D1C">
            <w:pPr>
              <w:pStyle w:val="ARfintablebodyrightbold"/>
              <w:spacing w:before="30" w:after="10" w:line="252" w:lineRule="auto"/>
            </w:pPr>
            <w:r w:rsidRPr="000B5F7A">
              <w:t>10,413.4</w:t>
            </w:r>
          </w:p>
        </w:tc>
      </w:tr>
      <w:tr w:rsidR="005F4A7E" w:rsidRPr="002029AF" w14:paraId="0AD43917" w14:textId="77777777" w:rsidTr="00860E95">
        <w:tc>
          <w:tcPr>
            <w:tcW w:w="9637" w:type="dxa"/>
            <w:gridSpan w:val="3"/>
            <w:tcBorders>
              <w:top w:val="single" w:sz="4" w:space="0" w:color="auto"/>
              <w:bottom w:val="single" w:sz="4" w:space="0" w:color="A6A6A6"/>
            </w:tcBorders>
            <w:hideMark/>
          </w:tcPr>
          <w:p w14:paraId="19AC876E" w14:textId="77777777" w:rsidR="005F4A7E" w:rsidRPr="002029AF" w:rsidRDefault="005F4A7E" w:rsidP="00130D1C">
            <w:pPr>
              <w:pStyle w:val="ARfintablebodybold"/>
              <w:spacing w:before="30" w:after="10" w:line="252" w:lineRule="auto"/>
            </w:pPr>
            <w:r w:rsidRPr="000B5F7A">
              <w:t xml:space="preserve">Denominational hospitals </w:t>
            </w:r>
            <w:r w:rsidRPr="00387B97">
              <w:rPr>
                <w:rStyle w:val="Superscript"/>
              </w:rPr>
              <w:t>(ii)</w:t>
            </w:r>
          </w:p>
        </w:tc>
      </w:tr>
      <w:tr w:rsidR="005F4A7E" w:rsidRPr="002029AF" w14:paraId="69CBEF7E" w14:textId="77777777" w:rsidTr="00860E95">
        <w:tc>
          <w:tcPr>
            <w:tcW w:w="7369" w:type="dxa"/>
            <w:tcBorders>
              <w:top w:val="single" w:sz="4" w:space="0" w:color="A6A6A6"/>
              <w:bottom w:val="single" w:sz="4" w:space="0" w:color="A6A6A6"/>
            </w:tcBorders>
            <w:hideMark/>
          </w:tcPr>
          <w:p w14:paraId="0A9EEEB1" w14:textId="0ED4ED69" w:rsidR="005F4A7E" w:rsidRPr="002029AF" w:rsidRDefault="005F4A7E" w:rsidP="00130D1C">
            <w:pPr>
              <w:pStyle w:val="ARfintablebody"/>
              <w:spacing w:before="30" w:after="10" w:line="252" w:lineRule="auto"/>
            </w:pPr>
            <w:r w:rsidRPr="000B5F7A">
              <w:t>St Vincent</w:t>
            </w:r>
            <w:r w:rsidR="007D145B">
              <w:t>’</w:t>
            </w:r>
            <w:r w:rsidRPr="000B5F7A">
              <w:t>s Hospital (Melbourne) Limited</w:t>
            </w:r>
          </w:p>
        </w:tc>
        <w:tc>
          <w:tcPr>
            <w:tcW w:w="1134" w:type="dxa"/>
            <w:tcBorders>
              <w:top w:val="single" w:sz="4" w:space="0" w:color="A6A6A6"/>
              <w:bottom w:val="single" w:sz="4" w:space="0" w:color="A6A6A6"/>
            </w:tcBorders>
            <w:shd w:val="clear" w:color="auto" w:fill="E7E6E6"/>
            <w:noWrap/>
            <w:hideMark/>
          </w:tcPr>
          <w:p w14:paraId="0E37ACC8" w14:textId="77777777" w:rsidR="005F4A7E" w:rsidRPr="002029AF" w:rsidRDefault="005F4A7E" w:rsidP="00130D1C">
            <w:pPr>
              <w:pStyle w:val="ARfintablebodyright"/>
              <w:spacing w:before="30" w:after="10" w:line="252" w:lineRule="auto"/>
            </w:pPr>
            <w:r w:rsidRPr="000B5F7A">
              <w:t>223.8</w:t>
            </w:r>
          </w:p>
        </w:tc>
        <w:tc>
          <w:tcPr>
            <w:tcW w:w="1134" w:type="dxa"/>
            <w:tcBorders>
              <w:top w:val="single" w:sz="4" w:space="0" w:color="A6A6A6"/>
              <w:bottom w:val="single" w:sz="4" w:space="0" w:color="A6A6A6"/>
            </w:tcBorders>
            <w:noWrap/>
            <w:hideMark/>
          </w:tcPr>
          <w:p w14:paraId="08EC3C24" w14:textId="77777777" w:rsidR="005F4A7E" w:rsidRPr="002029AF" w:rsidRDefault="005F4A7E" w:rsidP="00130D1C">
            <w:pPr>
              <w:pStyle w:val="ARfintablebodyright"/>
              <w:spacing w:before="30" w:after="10" w:line="252" w:lineRule="auto"/>
            </w:pPr>
            <w:r w:rsidRPr="000B5F7A">
              <w:t>144.7</w:t>
            </w:r>
          </w:p>
        </w:tc>
      </w:tr>
      <w:tr w:rsidR="005F4A7E" w:rsidRPr="002029AF" w14:paraId="7939DC7F" w14:textId="77777777" w:rsidTr="00860E95">
        <w:tc>
          <w:tcPr>
            <w:tcW w:w="7369" w:type="dxa"/>
            <w:tcBorders>
              <w:top w:val="single" w:sz="4" w:space="0" w:color="A6A6A6"/>
              <w:bottom w:val="single" w:sz="4" w:space="0" w:color="A6A6A6"/>
            </w:tcBorders>
            <w:hideMark/>
          </w:tcPr>
          <w:p w14:paraId="4FAF9A60" w14:textId="77777777" w:rsidR="005F4A7E" w:rsidRPr="002029AF" w:rsidRDefault="005F4A7E" w:rsidP="00130D1C">
            <w:pPr>
              <w:pStyle w:val="ARfintablebody"/>
              <w:spacing w:before="30" w:after="10" w:line="252" w:lineRule="auto"/>
            </w:pPr>
            <w:r w:rsidRPr="000B5F7A">
              <w:t>Mercy Hospitals Victoria Limited</w:t>
            </w:r>
          </w:p>
        </w:tc>
        <w:tc>
          <w:tcPr>
            <w:tcW w:w="1134" w:type="dxa"/>
            <w:tcBorders>
              <w:top w:val="single" w:sz="4" w:space="0" w:color="A6A6A6"/>
              <w:bottom w:val="single" w:sz="4" w:space="0" w:color="A6A6A6"/>
            </w:tcBorders>
            <w:shd w:val="clear" w:color="auto" w:fill="E7E6E6"/>
            <w:noWrap/>
            <w:hideMark/>
          </w:tcPr>
          <w:p w14:paraId="1EC23A68" w14:textId="77777777" w:rsidR="005F4A7E" w:rsidRPr="002029AF" w:rsidRDefault="005F4A7E" w:rsidP="00130D1C">
            <w:pPr>
              <w:pStyle w:val="ARfintablebodyright"/>
              <w:spacing w:before="30" w:after="10" w:line="252" w:lineRule="auto"/>
            </w:pPr>
            <w:r w:rsidRPr="000B5F7A">
              <w:t>105.3</w:t>
            </w:r>
          </w:p>
        </w:tc>
        <w:tc>
          <w:tcPr>
            <w:tcW w:w="1134" w:type="dxa"/>
            <w:tcBorders>
              <w:top w:val="single" w:sz="4" w:space="0" w:color="A6A6A6"/>
              <w:bottom w:val="single" w:sz="4" w:space="0" w:color="A6A6A6"/>
            </w:tcBorders>
            <w:noWrap/>
            <w:hideMark/>
          </w:tcPr>
          <w:p w14:paraId="1C475FFB" w14:textId="77777777" w:rsidR="005F4A7E" w:rsidRPr="002029AF" w:rsidRDefault="005F4A7E" w:rsidP="00130D1C">
            <w:pPr>
              <w:pStyle w:val="ARfintablebodyright"/>
              <w:spacing w:before="30" w:after="10" w:line="252" w:lineRule="auto"/>
            </w:pPr>
            <w:r w:rsidRPr="000B5F7A">
              <w:t>67.3</w:t>
            </w:r>
          </w:p>
        </w:tc>
      </w:tr>
      <w:tr w:rsidR="005F4A7E" w:rsidRPr="002029AF" w14:paraId="0C766037" w14:textId="77777777" w:rsidTr="00860E95">
        <w:tc>
          <w:tcPr>
            <w:tcW w:w="7369" w:type="dxa"/>
            <w:tcBorders>
              <w:top w:val="single" w:sz="4" w:space="0" w:color="A6A6A6"/>
            </w:tcBorders>
            <w:hideMark/>
          </w:tcPr>
          <w:p w14:paraId="3BCCFCCE" w14:textId="77777777" w:rsidR="005F4A7E" w:rsidRPr="002029AF" w:rsidRDefault="005F4A7E" w:rsidP="00130D1C">
            <w:pPr>
              <w:pStyle w:val="ARfintablebody"/>
              <w:spacing w:before="30" w:after="10" w:line="252" w:lineRule="auto"/>
            </w:pPr>
            <w:r w:rsidRPr="000B5F7A">
              <w:t>Other denominational hospitals with payments totalling less than $30 million</w:t>
            </w:r>
          </w:p>
        </w:tc>
        <w:tc>
          <w:tcPr>
            <w:tcW w:w="1134" w:type="dxa"/>
            <w:tcBorders>
              <w:top w:val="single" w:sz="4" w:space="0" w:color="A6A6A6"/>
            </w:tcBorders>
            <w:shd w:val="clear" w:color="auto" w:fill="E7E6E6"/>
            <w:noWrap/>
            <w:hideMark/>
          </w:tcPr>
          <w:p w14:paraId="420B50AA" w14:textId="77777777" w:rsidR="005F4A7E" w:rsidRPr="002029AF" w:rsidRDefault="005F4A7E" w:rsidP="00130D1C">
            <w:pPr>
              <w:pStyle w:val="ARfintablebodyright"/>
              <w:spacing w:before="30" w:after="10" w:line="252" w:lineRule="auto"/>
            </w:pPr>
            <w:r w:rsidRPr="000B5F7A">
              <w:t>3.6</w:t>
            </w:r>
          </w:p>
        </w:tc>
        <w:tc>
          <w:tcPr>
            <w:tcW w:w="1134" w:type="dxa"/>
            <w:tcBorders>
              <w:top w:val="single" w:sz="4" w:space="0" w:color="A6A6A6"/>
            </w:tcBorders>
            <w:noWrap/>
            <w:hideMark/>
          </w:tcPr>
          <w:p w14:paraId="47225DD4" w14:textId="77777777" w:rsidR="005F4A7E" w:rsidRPr="002029AF" w:rsidRDefault="005F4A7E" w:rsidP="00130D1C">
            <w:pPr>
              <w:pStyle w:val="ARfintablebodyright"/>
              <w:spacing w:before="30" w:after="10" w:line="252" w:lineRule="auto"/>
            </w:pPr>
            <w:r w:rsidRPr="000B5F7A">
              <w:t>2.7</w:t>
            </w:r>
          </w:p>
        </w:tc>
      </w:tr>
      <w:tr w:rsidR="005F4A7E" w:rsidRPr="002029AF" w14:paraId="3D9265DB" w14:textId="77777777" w:rsidTr="00860E95">
        <w:tc>
          <w:tcPr>
            <w:tcW w:w="7369" w:type="dxa"/>
            <w:tcBorders>
              <w:bottom w:val="single" w:sz="4" w:space="0" w:color="auto"/>
            </w:tcBorders>
            <w:hideMark/>
          </w:tcPr>
          <w:p w14:paraId="3455DB6C" w14:textId="77777777" w:rsidR="005F4A7E" w:rsidRPr="002029AF" w:rsidRDefault="005F4A7E" w:rsidP="00130D1C">
            <w:pPr>
              <w:pStyle w:val="ARfintablebodybold"/>
              <w:spacing w:before="30" w:after="10" w:line="252" w:lineRule="auto"/>
            </w:pPr>
          </w:p>
        </w:tc>
        <w:tc>
          <w:tcPr>
            <w:tcW w:w="1134" w:type="dxa"/>
            <w:tcBorders>
              <w:bottom w:val="single" w:sz="4" w:space="0" w:color="auto"/>
            </w:tcBorders>
            <w:shd w:val="clear" w:color="auto" w:fill="E7E6E6"/>
            <w:noWrap/>
            <w:hideMark/>
          </w:tcPr>
          <w:p w14:paraId="5CCF95F9" w14:textId="77777777" w:rsidR="005F4A7E" w:rsidRPr="002029AF" w:rsidRDefault="005F4A7E" w:rsidP="00130D1C">
            <w:pPr>
              <w:pStyle w:val="ARfintablebodyrightbold"/>
              <w:spacing w:before="30" w:after="10" w:line="252" w:lineRule="auto"/>
            </w:pPr>
            <w:r w:rsidRPr="000B5F7A">
              <w:t>332.7</w:t>
            </w:r>
          </w:p>
        </w:tc>
        <w:tc>
          <w:tcPr>
            <w:tcW w:w="1134" w:type="dxa"/>
            <w:tcBorders>
              <w:bottom w:val="single" w:sz="4" w:space="0" w:color="auto"/>
            </w:tcBorders>
            <w:noWrap/>
            <w:hideMark/>
          </w:tcPr>
          <w:p w14:paraId="22B96633" w14:textId="77777777" w:rsidR="005F4A7E" w:rsidRPr="002029AF" w:rsidRDefault="005F4A7E" w:rsidP="00130D1C">
            <w:pPr>
              <w:pStyle w:val="ARfintablebodyrightbold"/>
              <w:spacing w:before="30" w:after="10" w:line="252" w:lineRule="auto"/>
            </w:pPr>
            <w:r w:rsidRPr="000B5F7A">
              <w:t>214.7</w:t>
            </w:r>
          </w:p>
        </w:tc>
      </w:tr>
      <w:tr w:rsidR="005F4A7E" w:rsidRPr="002029AF" w14:paraId="06478CE2" w14:textId="77777777" w:rsidTr="00860E95">
        <w:tc>
          <w:tcPr>
            <w:tcW w:w="9637" w:type="dxa"/>
            <w:gridSpan w:val="3"/>
            <w:tcBorders>
              <w:top w:val="single" w:sz="4" w:space="0" w:color="auto"/>
              <w:bottom w:val="single" w:sz="4" w:space="0" w:color="A6A6A6"/>
            </w:tcBorders>
            <w:hideMark/>
          </w:tcPr>
          <w:p w14:paraId="345A464B" w14:textId="77777777" w:rsidR="005F4A7E" w:rsidRPr="002029AF" w:rsidRDefault="005F4A7E" w:rsidP="00130D1C">
            <w:pPr>
              <w:pStyle w:val="ARfintablebodybold"/>
              <w:spacing w:before="30" w:after="10" w:line="252" w:lineRule="auto"/>
            </w:pPr>
            <w:r w:rsidRPr="000B5F7A">
              <w:t>Ambulance services</w:t>
            </w:r>
          </w:p>
        </w:tc>
      </w:tr>
      <w:tr w:rsidR="005F4A7E" w:rsidRPr="002029AF" w14:paraId="765B6509" w14:textId="77777777" w:rsidTr="00860E95">
        <w:tc>
          <w:tcPr>
            <w:tcW w:w="7369" w:type="dxa"/>
            <w:tcBorders>
              <w:top w:val="single" w:sz="4" w:space="0" w:color="A6A6A6"/>
            </w:tcBorders>
            <w:hideMark/>
          </w:tcPr>
          <w:p w14:paraId="01F46138" w14:textId="77777777" w:rsidR="005F4A7E" w:rsidRPr="002029AF" w:rsidRDefault="005F4A7E" w:rsidP="00130D1C">
            <w:pPr>
              <w:pStyle w:val="ARfintablebody"/>
              <w:spacing w:before="30" w:after="10" w:line="252" w:lineRule="auto"/>
            </w:pPr>
            <w:r w:rsidRPr="000B5F7A">
              <w:t>Ambulance Victoria</w:t>
            </w:r>
          </w:p>
        </w:tc>
        <w:tc>
          <w:tcPr>
            <w:tcW w:w="1134" w:type="dxa"/>
            <w:tcBorders>
              <w:top w:val="single" w:sz="4" w:space="0" w:color="A6A6A6"/>
            </w:tcBorders>
            <w:shd w:val="clear" w:color="auto" w:fill="E7E6E6"/>
            <w:noWrap/>
            <w:hideMark/>
          </w:tcPr>
          <w:p w14:paraId="17424DC7" w14:textId="77777777" w:rsidR="005F4A7E" w:rsidRPr="002029AF" w:rsidRDefault="005F4A7E" w:rsidP="00130D1C">
            <w:pPr>
              <w:pStyle w:val="ARfintablebodyright"/>
              <w:spacing w:before="30" w:after="10" w:line="252" w:lineRule="auto"/>
            </w:pPr>
            <w:r w:rsidRPr="000B5F7A">
              <w:t>939.6</w:t>
            </w:r>
          </w:p>
        </w:tc>
        <w:tc>
          <w:tcPr>
            <w:tcW w:w="1134" w:type="dxa"/>
            <w:tcBorders>
              <w:top w:val="single" w:sz="4" w:space="0" w:color="A6A6A6"/>
            </w:tcBorders>
            <w:noWrap/>
            <w:hideMark/>
          </w:tcPr>
          <w:p w14:paraId="65AE9A1E" w14:textId="77777777" w:rsidR="005F4A7E" w:rsidRPr="002029AF" w:rsidRDefault="005F4A7E" w:rsidP="00130D1C">
            <w:pPr>
              <w:pStyle w:val="ARfintablebodyright"/>
              <w:spacing w:before="30" w:after="10" w:line="252" w:lineRule="auto"/>
            </w:pPr>
            <w:r w:rsidRPr="000B5F7A">
              <w:t>857.6</w:t>
            </w:r>
          </w:p>
        </w:tc>
      </w:tr>
      <w:tr w:rsidR="005F4A7E" w:rsidRPr="002029AF" w14:paraId="6EDC1267" w14:textId="77777777" w:rsidTr="00860E95">
        <w:tc>
          <w:tcPr>
            <w:tcW w:w="7369" w:type="dxa"/>
            <w:hideMark/>
          </w:tcPr>
          <w:p w14:paraId="2B3FF8F1" w14:textId="77777777" w:rsidR="005F4A7E" w:rsidRPr="002029AF" w:rsidRDefault="005F4A7E" w:rsidP="00130D1C">
            <w:pPr>
              <w:pStyle w:val="ARfintablebodybold"/>
              <w:spacing w:before="30" w:after="10" w:line="252" w:lineRule="auto"/>
            </w:pPr>
          </w:p>
        </w:tc>
        <w:tc>
          <w:tcPr>
            <w:tcW w:w="1134" w:type="dxa"/>
            <w:shd w:val="clear" w:color="auto" w:fill="E7E6E6"/>
            <w:noWrap/>
            <w:hideMark/>
          </w:tcPr>
          <w:p w14:paraId="503DF3F7" w14:textId="77777777" w:rsidR="005F4A7E" w:rsidRPr="002029AF" w:rsidRDefault="005F4A7E" w:rsidP="00130D1C">
            <w:pPr>
              <w:pStyle w:val="ARfintablebodyrightbold"/>
              <w:spacing w:before="30" w:after="10" w:line="252" w:lineRule="auto"/>
            </w:pPr>
            <w:r w:rsidRPr="000B5F7A">
              <w:t>939.6</w:t>
            </w:r>
          </w:p>
        </w:tc>
        <w:tc>
          <w:tcPr>
            <w:tcW w:w="1134" w:type="dxa"/>
            <w:noWrap/>
            <w:hideMark/>
          </w:tcPr>
          <w:p w14:paraId="73C53055" w14:textId="77777777" w:rsidR="005F4A7E" w:rsidRPr="002029AF" w:rsidRDefault="005F4A7E" w:rsidP="00130D1C">
            <w:pPr>
              <w:pStyle w:val="ARfintablebodyrightbold"/>
              <w:spacing w:before="30" w:after="10" w:line="252" w:lineRule="auto"/>
            </w:pPr>
            <w:r w:rsidRPr="000B5F7A">
              <w:t>857.6</w:t>
            </w:r>
          </w:p>
        </w:tc>
      </w:tr>
      <w:tr w:rsidR="005F4A7E" w:rsidRPr="002029AF" w14:paraId="1FBF123C" w14:textId="77777777" w:rsidTr="00860E95">
        <w:tc>
          <w:tcPr>
            <w:tcW w:w="9637" w:type="dxa"/>
            <w:gridSpan w:val="3"/>
            <w:tcBorders>
              <w:top w:val="single" w:sz="4" w:space="0" w:color="auto"/>
              <w:bottom w:val="single" w:sz="4" w:space="0" w:color="A6A6A6"/>
            </w:tcBorders>
            <w:hideMark/>
          </w:tcPr>
          <w:p w14:paraId="0BBAFE6B" w14:textId="77777777" w:rsidR="005F4A7E" w:rsidRPr="002029AF" w:rsidRDefault="005F4A7E" w:rsidP="00130D1C">
            <w:pPr>
              <w:pStyle w:val="ARfintablebodybold"/>
              <w:spacing w:before="30" w:after="10" w:line="252" w:lineRule="auto"/>
            </w:pPr>
            <w:r w:rsidRPr="000B5F7A">
              <w:t>Other state government agencies</w:t>
            </w:r>
          </w:p>
        </w:tc>
      </w:tr>
      <w:tr w:rsidR="005F4A7E" w:rsidRPr="002029AF" w14:paraId="320970F4" w14:textId="77777777" w:rsidTr="00860E95">
        <w:tc>
          <w:tcPr>
            <w:tcW w:w="7369" w:type="dxa"/>
            <w:tcBorders>
              <w:top w:val="single" w:sz="4" w:space="0" w:color="A6A6A6"/>
              <w:bottom w:val="single" w:sz="4" w:space="0" w:color="A6A6A6"/>
            </w:tcBorders>
            <w:hideMark/>
          </w:tcPr>
          <w:p w14:paraId="002B4697" w14:textId="77777777" w:rsidR="005F4A7E" w:rsidRPr="002029AF" w:rsidRDefault="005F4A7E" w:rsidP="00130D1C">
            <w:pPr>
              <w:pStyle w:val="ARfintablebody"/>
              <w:spacing w:before="30" w:after="10" w:line="252" w:lineRule="auto"/>
            </w:pPr>
            <w:r w:rsidRPr="000B5F7A">
              <w:t>Victorian Institute of Forensic Mental Health</w:t>
            </w:r>
          </w:p>
        </w:tc>
        <w:tc>
          <w:tcPr>
            <w:tcW w:w="1134" w:type="dxa"/>
            <w:tcBorders>
              <w:top w:val="single" w:sz="4" w:space="0" w:color="A6A6A6"/>
              <w:bottom w:val="single" w:sz="4" w:space="0" w:color="A6A6A6"/>
            </w:tcBorders>
            <w:shd w:val="clear" w:color="auto" w:fill="E7E6E6"/>
            <w:noWrap/>
            <w:hideMark/>
          </w:tcPr>
          <w:p w14:paraId="173FCA93" w14:textId="77777777" w:rsidR="005F4A7E" w:rsidRPr="002029AF" w:rsidRDefault="005F4A7E" w:rsidP="00130D1C">
            <w:pPr>
              <w:pStyle w:val="ARfintablebodyright"/>
              <w:spacing w:before="30" w:after="10" w:line="252" w:lineRule="auto"/>
            </w:pPr>
            <w:r w:rsidRPr="000B5F7A">
              <w:t>86.0</w:t>
            </w:r>
          </w:p>
        </w:tc>
        <w:tc>
          <w:tcPr>
            <w:tcW w:w="1134" w:type="dxa"/>
            <w:tcBorders>
              <w:top w:val="single" w:sz="4" w:space="0" w:color="A6A6A6"/>
              <w:bottom w:val="single" w:sz="4" w:space="0" w:color="A6A6A6"/>
            </w:tcBorders>
            <w:noWrap/>
            <w:hideMark/>
          </w:tcPr>
          <w:p w14:paraId="054B3A55" w14:textId="77777777" w:rsidR="005F4A7E" w:rsidRPr="002029AF" w:rsidRDefault="005F4A7E" w:rsidP="00130D1C">
            <w:pPr>
              <w:pStyle w:val="ARfintablebodyright"/>
              <w:spacing w:before="30" w:after="10" w:line="252" w:lineRule="auto"/>
            </w:pPr>
            <w:r w:rsidRPr="000B5F7A">
              <w:t>69.8</w:t>
            </w:r>
          </w:p>
        </w:tc>
      </w:tr>
      <w:tr w:rsidR="005F4A7E" w:rsidRPr="002029AF" w14:paraId="26908F04" w14:textId="77777777" w:rsidTr="00860E95">
        <w:tc>
          <w:tcPr>
            <w:tcW w:w="7369" w:type="dxa"/>
            <w:tcBorders>
              <w:top w:val="single" w:sz="4" w:space="0" w:color="A6A6A6"/>
              <w:bottom w:val="single" w:sz="4" w:space="0" w:color="A6A6A6"/>
            </w:tcBorders>
            <w:hideMark/>
          </w:tcPr>
          <w:p w14:paraId="2F3F14C5" w14:textId="77777777" w:rsidR="005F4A7E" w:rsidRPr="002029AF" w:rsidRDefault="005F4A7E" w:rsidP="00130D1C">
            <w:pPr>
              <w:pStyle w:val="ARfintablebody"/>
              <w:spacing w:before="30" w:after="10" w:line="252" w:lineRule="auto"/>
            </w:pPr>
            <w:r w:rsidRPr="000B5F7A">
              <w:t>Victorian Health Promotion Foundation</w:t>
            </w:r>
          </w:p>
        </w:tc>
        <w:tc>
          <w:tcPr>
            <w:tcW w:w="1134" w:type="dxa"/>
            <w:tcBorders>
              <w:top w:val="single" w:sz="4" w:space="0" w:color="A6A6A6"/>
              <w:bottom w:val="single" w:sz="4" w:space="0" w:color="A6A6A6"/>
            </w:tcBorders>
            <w:shd w:val="clear" w:color="auto" w:fill="E7E6E6"/>
            <w:noWrap/>
            <w:hideMark/>
          </w:tcPr>
          <w:p w14:paraId="220C843D" w14:textId="77777777" w:rsidR="005F4A7E" w:rsidRPr="002029AF" w:rsidRDefault="005F4A7E" w:rsidP="00130D1C">
            <w:pPr>
              <w:pStyle w:val="ARfintablebodyright"/>
              <w:spacing w:before="30" w:after="10" w:line="252" w:lineRule="auto"/>
            </w:pPr>
            <w:r w:rsidRPr="000B5F7A">
              <w:t>41.3</w:t>
            </w:r>
          </w:p>
        </w:tc>
        <w:tc>
          <w:tcPr>
            <w:tcW w:w="1134" w:type="dxa"/>
            <w:tcBorders>
              <w:top w:val="single" w:sz="4" w:space="0" w:color="A6A6A6"/>
              <w:bottom w:val="single" w:sz="4" w:space="0" w:color="A6A6A6"/>
            </w:tcBorders>
            <w:noWrap/>
            <w:hideMark/>
          </w:tcPr>
          <w:p w14:paraId="5539D440" w14:textId="77777777" w:rsidR="005F4A7E" w:rsidRPr="002029AF" w:rsidRDefault="005F4A7E" w:rsidP="00130D1C">
            <w:pPr>
              <w:pStyle w:val="ARfintablebodyright"/>
              <w:spacing w:before="30" w:after="10" w:line="252" w:lineRule="auto"/>
            </w:pPr>
            <w:r w:rsidRPr="000B5F7A">
              <w:t>41.2</w:t>
            </w:r>
          </w:p>
        </w:tc>
      </w:tr>
      <w:tr w:rsidR="005F4A7E" w:rsidRPr="002029AF" w14:paraId="07233D27" w14:textId="77777777" w:rsidTr="00860E95">
        <w:tc>
          <w:tcPr>
            <w:tcW w:w="7369" w:type="dxa"/>
            <w:tcBorders>
              <w:top w:val="single" w:sz="4" w:space="0" w:color="A6A6A6"/>
            </w:tcBorders>
            <w:hideMark/>
          </w:tcPr>
          <w:p w14:paraId="12CB5849" w14:textId="77777777" w:rsidR="005F4A7E" w:rsidRPr="002029AF" w:rsidRDefault="005F4A7E" w:rsidP="00130D1C">
            <w:pPr>
              <w:pStyle w:val="ARfintablebody"/>
              <w:spacing w:before="30" w:after="10" w:line="252" w:lineRule="auto"/>
            </w:pPr>
            <w:r w:rsidRPr="000B5F7A">
              <w:t>Other state government agencies with payments totalling less than $30 million</w:t>
            </w:r>
          </w:p>
        </w:tc>
        <w:tc>
          <w:tcPr>
            <w:tcW w:w="1134" w:type="dxa"/>
            <w:tcBorders>
              <w:top w:val="single" w:sz="4" w:space="0" w:color="A6A6A6"/>
            </w:tcBorders>
            <w:shd w:val="clear" w:color="auto" w:fill="E7E6E6"/>
            <w:noWrap/>
            <w:hideMark/>
          </w:tcPr>
          <w:p w14:paraId="1E06951B" w14:textId="77777777" w:rsidR="005F4A7E" w:rsidRPr="002029AF" w:rsidRDefault="005F4A7E" w:rsidP="00130D1C">
            <w:pPr>
              <w:pStyle w:val="ARfintablebodyright"/>
              <w:spacing w:before="30" w:after="10" w:line="252" w:lineRule="auto"/>
            </w:pPr>
            <w:r w:rsidRPr="000B5F7A">
              <w:t>111.8</w:t>
            </w:r>
          </w:p>
        </w:tc>
        <w:tc>
          <w:tcPr>
            <w:tcW w:w="1134" w:type="dxa"/>
            <w:tcBorders>
              <w:top w:val="single" w:sz="4" w:space="0" w:color="A6A6A6"/>
            </w:tcBorders>
            <w:noWrap/>
            <w:hideMark/>
          </w:tcPr>
          <w:p w14:paraId="7D92E334" w14:textId="77777777" w:rsidR="005F4A7E" w:rsidRPr="002029AF" w:rsidRDefault="005F4A7E" w:rsidP="00130D1C">
            <w:pPr>
              <w:pStyle w:val="ARfintablebodyright"/>
              <w:spacing w:before="30" w:after="10" w:line="252" w:lineRule="auto"/>
            </w:pPr>
            <w:r w:rsidRPr="000B5F7A">
              <w:t>2.2</w:t>
            </w:r>
          </w:p>
        </w:tc>
      </w:tr>
      <w:tr w:rsidR="005F4A7E" w:rsidRPr="002029AF" w14:paraId="0089B625" w14:textId="77777777" w:rsidTr="00860E95">
        <w:tc>
          <w:tcPr>
            <w:tcW w:w="7369" w:type="dxa"/>
            <w:tcBorders>
              <w:bottom w:val="single" w:sz="4" w:space="0" w:color="auto"/>
            </w:tcBorders>
            <w:hideMark/>
          </w:tcPr>
          <w:p w14:paraId="6DEDAD00" w14:textId="77777777" w:rsidR="005F4A7E" w:rsidRPr="002029AF" w:rsidRDefault="005F4A7E" w:rsidP="00130D1C">
            <w:pPr>
              <w:pStyle w:val="ARfintablebodybold"/>
              <w:spacing w:before="30" w:after="10" w:line="252" w:lineRule="auto"/>
            </w:pPr>
          </w:p>
        </w:tc>
        <w:tc>
          <w:tcPr>
            <w:tcW w:w="1134" w:type="dxa"/>
            <w:tcBorders>
              <w:bottom w:val="single" w:sz="4" w:space="0" w:color="auto"/>
            </w:tcBorders>
            <w:shd w:val="clear" w:color="auto" w:fill="E7E6E6"/>
            <w:noWrap/>
            <w:hideMark/>
          </w:tcPr>
          <w:p w14:paraId="5212BCCE" w14:textId="77777777" w:rsidR="005F4A7E" w:rsidRPr="002029AF" w:rsidRDefault="005F4A7E" w:rsidP="00130D1C">
            <w:pPr>
              <w:pStyle w:val="ARfintablebodyrightbold"/>
              <w:spacing w:before="30" w:after="10" w:line="252" w:lineRule="auto"/>
            </w:pPr>
            <w:r w:rsidRPr="000B5F7A">
              <w:t>239.1</w:t>
            </w:r>
          </w:p>
        </w:tc>
        <w:tc>
          <w:tcPr>
            <w:tcW w:w="1134" w:type="dxa"/>
            <w:tcBorders>
              <w:bottom w:val="single" w:sz="4" w:space="0" w:color="auto"/>
            </w:tcBorders>
            <w:noWrap/>
            <w:hideMark/>
          </w:tcPr>
          <w:p w14:paraId="33E20294" w14:textId="77777777" w:rsidR="005F4A7E" w:rsidRPr="002029AF" w:rsidRDefault="005F4A7E" w:rsidP="00130D1C">
            <w:pPr>
              <w:pStyle w:val="ARfintablebodyrightbold"/>
              <w:spacing w:before="30" w:after="10" w:line="252" w:lineRule="auto"/>
            </w:pPr>
            <w:r w:rsidRPr="000B5F7A">
              <w:t>113.2</w:t>
            </w:r>
          </w:p>
        </w:tc>
      </w:tr>
      <w:tr w:rsidR="005F4A7E" w:rsidRPr="002029AF" w14:paraId="077CB54E" w14:textId="77777777" w:rsidTr="00860E95">
        <w:tc>
          <w:tcPr>
            <w:tcW w:w="9637" w:type="dxa"/>
            <w:gridSpan w:val="3"/>
            <w:tcBorders>
              <w:top w:val="single" w:sz="4" w:space="0" w:color="auto"/>
              <w:bottom w:val="single" w:sz="4" w:space="0" w:color="A6A6A6"/>
            </w:tcBorders>
            <w:hideMark/>
          </w:tcPr>
          <w:p w14:paraId="3E1D5CC5" w14:textId="77777777" w:rsidR="005F4A7E" w:rsidRPr="002029AF" w:rsidRDefault="005F4A7E" w:rsidP="00130D1C">
            <w:pPr>
              <w:pStyle w:val="ARfintablebodybold"/>
              <w:spacing w:before="30" w:after="10" w:line="252" w:lineRule="auto"/>
            </w:pPr>
            <w:r w:rsidRPr="000B5F7A">
              <w:t>Local councils</w:t>
            </w:r>
          </w:p>
        </w:tc>
      </w:tr>
      <w:tr w:rsidR="005F4A7E" w:rsidRPr="002029AF" w14:paraId="2950F7C6" w14:textId="77777777" w:rsidTr="00860E95">
        <w:tc>
          <w:tcPr>
            <w:tcW w:w="7369" w:type="dxa"/>
            <w:tcBorders>
              <w:top w:val="single" w:sz="4" w:space="0" w:color="A6A6A6"/>
              <w:bottom w:val="single" w:sz="4" w:space="0" w:color="A6A6A6"/>
            </w:tcBorders>
            <w:hideMark/>
          </w:tcPr>
          <w:p w14:paraId="56443811" w14:textId="77777777" w:rsidR="005F4A7E" w:rsidRPr="002029AF" w:rsidRDefault="005F4A7E" w:rsidP="00130D1C">
            <w:pPr>
              <w:pStyle w:val="ARfintablebody"/>
              <w:spacing w:before="30" w:after="10" w:line="252" w:lineRule="auto"/>
            </w:pPr>
            <w:r w:rsidRPr="000B5F7A">
              <w:t>Casey City Council</w:t>
            </w:r>
          </w:p>
        </w:tc>
        <w:tc>
          <w:tcPr>
            <w:tcW w:w="1134" w:type="dxa"/>
            <w:tcBorders>
              <w:top w:val="single" w:sz="4" w:space="0" w:color="A6A6A6"/>
              <w:bottom w:val="single" w:sz="4" w:space="0" w:color="A6A6A6"/>
            </w:tcBorders>
            <w:shd w:val="clear" w:color="auto" w:fill="E7E6E6"/>
            <w:noWrap/>
            <w:hideMark/>
          </w:tcPr>
          <w:p w14:paraId="1227D000" w14:textId="77777777" w:rsidR="005F4A7E" w:rsidRPr="002029AF" w:rsidRDefault="005F4A7E" w:rsidP="00130D1C">
            <w:pPr>
              <w:pStyle w:val="ARfintablebodyright"/>
              <w:spacing w:before="30" w:after="10" w:line="252" w:lineRule="auto"/>
            </w:pPr>
            <w:r w:rsidRPr="000B5F7A">
              <w:t>10.8</w:t>
            </w:r>
          </w:p>
        </w:tc>
        <w:tc>
          <w:tcPr>
            <w:tcW w:w="1134" w:type="dxa"/>
            <w:tcBorders>
              <w:top w:val="single" w:sz="4" w:space="0" w:color="A6A6A6"/>
              <w:bottom w:val="single" w:sz="4" w:space="0" w:color="A6A6A6"/>
            </w:tcBorders>
            <w:noWrap/>
            <w:hideMark/>
          </w:tcPr>
          <w:p w14:paraId="1C635217" w14:textId="77777777" w:rsidR="005F4A7E" w:rsidRPr="002029AF" w:rsidRDefault="005F4A7E" w:rsidP="00130D1C">
            <w:pPr>
              <w:pStyle w:val="ARfintablebodyright"/>
              <w:spacing w:before="30" w:after="10" w:line="252" w:lineRule="auto"/>
            </w:pPr>
            <w:r w:rsidRPr="000B5F7A">
              <w:t>9.8</w:t>
            </w:r>
          </w:p>
        </w:tc>
      </w:tr>
      <w:tr w:rsidR="005F4A7E" w:rsidRPr="002029AF" w14:paraId="079FFBB6" w14:textId="77777777" w:rsidTr="00860E95">
        <w:tc>
          <w:tcPr>
            <w:tcW w:w="7369" w:type="dxa"/>
            <w:tcBorders>
              <w:top w:val="single" w:sz="4" w:space="0" w:color="A6A6A6"/>
              <w:bottom w:val="single" w:sz="4" w:space="0" w:color="A6A6A6"/>
            </w:tcBorders>
            <w:hideMark/>
          </w:tcPr>
          <w:p w14:paraId="223E4258" w14:textId="77777777" w:rsidR="005F4A7E" w:rsidRPr="002029AF" w:rsidRDefault="005F4A7E" w:rsidP="00130D1C">
            <w:pPr>
              <w:pStyle w:val="ARfintablebody"/>
              <w:spacing w:before="30" w:after="10" w:line="252" w:lineRule="auto"/>
            </w:pPr>
            <w:r w:rsidRPr="000B5F7A">
              <w:t>Wyndham City Council</w:t>
            </w:r>
          </w:p>
        </w:tc>
        <w:tc>
          <w:tcPr>
            <w:tcW w:w="1134" w:type="dxa"/>
            <w:tcBorders>
              <w:top w:val="single" w:sz="4" w:space="0" w:color="A6A6A6"/>
              <w:bottom w:val="single" w:sz="4" w:space="0" w:color="A6A6A6"/>
            </w:tcBorders>
            <w:shd w:val="clear" w:color="auto" w:fill="E7E6E6"/>
            <w:noWrap/>
            <w:hideMark/>
          </w:tcPr>
          <w:p w14:paraId="4983F486" w14:textId="77777777" w:rsidR="005F4A7E" w:rsidRPr="002029AF" w:rsidRDefault="005F4A7E" w:rsidP="00130D1C">
            <w:pPr>
              <w:pStyle w:val="ARfintablebodyright"/>
              <w:spacing w:before="30" w:after="10" w:line="252" w:lineRule="auto"/>
            </w:pPr>
            <w:r w:rsidRPr="000B5F7A">
              <w:t>8.2</w:t>
            </w:r>
          </w:p>
        </w:tc>
        <w:tc>
          <w:tcPr>
            <w:tcW w:w="1134" w:type="dxa"/>
            <w:tcBorders>
              <w:top w:val="single" w:sz="4" w:space="0" w:color="A6A6A6"/>
              <w:bottom w:val="single" w:sz="4" w:space="0" w:color="A6A6A6"/>
            </w:tcBorders>
            <w:noWrap/>
            <w:hideMark/>
          </w:tcPr>
          <w:p w14:paraId="66488840" w14:textId="77777777" w:rsidR="005F4A7E" w:rsidRPr="002029AF" w:rsidRDefault="005F4A7E" w:rsidP="00130D1C">
            <w:pPr>
              <w:pStyle w:val="ARfintablebodyright"/>
              <w:spacing w:before="30" w:after="10" w:line="252" w:lineRule="auto"/>
            </w:pPr>
            <w:r w:rsidRPr="000B5F7A">
              <w:t>7.5</w:t>
            </w:r>
          </w:p>
        </w:tc>
      </w:tr>
      <w:tr w:rsidR="005F4A7E" w:rsidRPr="002029AF" w14:paraId="76D177F3" w14:textId="77777777" w:rsidTr="00860E95">
        <w:tc>
          <w:tcPr>
            <w:tcW w:w="7369" w:type="dxa"/>
            <w:tcBorders>
              <w:top w:val="single" w:sz="4" w:space="0" w:color="A6A6A6"/>
              <w:bottom w:val="single" w:sz="4" w:space="0" w:color="A6A6A6"/>
            </w:tcBorders>
            <w:hideMark/>
          </w:tcPr>
          <w:p w14:paraId="1F881D48" w14:textId="77777777" w:rsidR="005F4A7E" w:rsidRPr="002029AF" w:rsidRDefault="005F4A7E" w:rsidP="00130D1C">
            <w:pPr>
              <w:pStyle w:val="ARfintablebody"/>
              <w:spacing w:before="30" w:after="10" w:line="252" w:lineRule="auto"/>
            </w:pPr>
            <w:r w:rsidRPr="000B5F7A">
              <w:t>City of Greater Dandenong</w:t>
            </w:r>
          </w:p>
        </w:tc>
        <w:tc>
          <w:tcPr>
            <w:tcW w:w="1134" w:type="dxa"/>
            <w:tcBorders>
              <w:top w:val="single" w:sz="4" w:space="0" w:color="A6A6A6"/>
              <w:bottom w:val="single" w:sz="4" w:space="0" w:color="A6A6A6"/>
            </w:tcBorders>
            <w:shd w:val="clear" w:color="auto" w:fill="E7E6E6"/>
            <w:noWrap/>
            <w:hideMark/>
          </w:tcPr>
          <w:p w14:paraId="43D8146B" w14:textId="77777777" w:rsidR="005F4A7E" w:rsidRPr="002029AF" w:rsidRDefault="005F4A7E" w:rsidP="00130D1C">
            <w:pPr>
              <w:pStyle w:val="ARfintablebodyright"/>
              <w:spacing w:before="30" w:after="10" w:line="252" w:lineRule="auto"/>
            </w:pPr>
            <w:r w:rsidRPr="000B5F7A">
              <w:t>7.2</w:t>
            </w:r>
          </w:p>
        </w:tc>
        <w:tc>
          <w:tcPr>
            <w:tcW w:w="1134" w:type="dxa"/>
            <w:tcBorders>
              <w:top w:val="single" w:sz="4" w:space="0" w:color="A6A6A6"/>
              <w:bottom w:val="single" w:sz="4" w:space="0" w:color="A6A6A6"/>
            </w:tcBorders>
            <w:noWrap/>
            <w:hideMark/>
          </w:tcPr>
          <w:p w14:paraId="53942EBA" w14:textId="77777777" w:rsidR="005F4A7E" w:rsidRPr="002029AF" w:rsidRDefault="005F4A7E" w:rsidP="00130D1C">
            <w:pPr>
              <w:pStyle w:val="ARfintablebodyright"/>
              <w:spacing w:before="30" w:after="10" w:line="252" w:lineRule="auto"/>
            </w:pPr>
            <w:r w:rsidRPr="000B5F7A">
              <w:t>6.5</w:t>
            </w:r>
          </w:p>
        </w:tc>
      </w:tr>
      <w:tr w:rsidR="005F4A7E" w:rsidRPr="002029AF" w14:paraId="52636A7C" w14:textId="77777777" w:rsidTr="00860E95">
        <w:tc>
          <w:tcPr>
            <w:tcW w:w="7369" w:type="dxa"/>
            <w:tcBorders>
              <w:top w:val="single" w:sz="4" w:space="0" w:color="A6A6A6"/>
              <w:bottom w:val="single" w:sz="4" w:space="0" w:color="A6A6A6"/>
            </w:tcBorders>
            <w:hideMark/>
          </w:tcPr>
          <w:p w14:paraId="5CF39212" w14:textId="77777777" w:rsidR="005F4A7E" w:rsidRPr="002029AF" w:rsidRDefault="005F4A7E" w:rsidP="00130D1C">
            <w:pPr>
              <w:pStyle w:val="ARfintablebody"/>
              <w:spacing w:before="30" w:after="10" w:line="252" w:lineRule="auto"/>
            </w:pPr>
            <w:r w:rsidRPr="000B5F7A">
              <w:t>City of Greater Geelong</w:t>
            </w:r>
          </w:p>
        </w:tc>
        <w:tc>
          <w:tcPr>
            <w:tcW w:w="1134" w:type="dxa"/>
            <w:tcBorders>
              <w:top w:val="single" w:sz="4" w:space="0" w:color="A6A6A6"/>
              <w:bottom w:val="single" w:sz="4" w:space="0" w:color="A6A6A6"/>
            </w:tcBorders>
            <w:shd w:val="clear" w:color="auto" w:fill="E7E6E6"/>
            <w:noWrap/>
            <w:hideMark/>
          </w:tcPr>
          <w:p w14:paraId="0737B2DB" w14:textId="77777777" w:rsidR="005F4A7E" w:rsidRPr="002029AF" w:rsidRDefault="005F4A7E" w:rsidP="00130D1C">
            <w:pPr>
              <w:pStyle w:val="ARfintablebodyright"/>
              <w:spacing w:before="30" w:after="10" w:line="252" w:lineRule="auto"/>
            </w:pPr>
            <w:r w:rsidRPr="000B5F7A">
              <w:t>6.9</w:t>
            </w:r>
          </w:p>
        </w:tc>
        <w:tc>
          <w:tcPr>
            <w:tcW w:w="1134" w:type="dxa"/>
            <w:tcBorders>
              <w:top w:val="single" w:sz="4" w:space="0" w:color="A6A6A6"/>
              <w:bottom w:val="single" w:sz="4" w:space="0" w:color="A6A6A6"/>
            </w:tcBorders>
            <w:noWrap/>
            <w:hideMark/>
          </w:tcPr>
          <w:p w14:paraId="7ED527C3" w14:textId="77777777" w:rsidR="005F4A7E" w:rsidRPr="002029AF" w:rsidRDefault="005F4A7E" w:rsidP="00130D1C">
            <w:pPr>
              <w:pStyle w:val="ARfintablebodyright"/>
              <w:spacing w:before="30" w:after="10" w:line="252" w:lineRule="auto"/>
            </w:pPr>
            <w:r w:rsidRPr="000B5F7A">
              <w:t>6.7</w:t>
            </w:r>
          </w:p>
        </w:tc>
      </w:tr>
      <w:tr w:rsidR="005F4A7E" w:rsidRPr="002029AF" w14:paraId="2CEE129E" w14:textId="77777777" w:rsidTr="00860E95">
        <w:tc>
          <w:tcPr>
            <w:tcW w:w="7369" w:type="dxa"/>
            <w:tcBorders>
              <w:top w:val="single" w:sz="4" w:space="0" w:color="A6A6A6"/>
              <w:bottom w:val="single" w:sz="4" w:space="0" w:color="A6A6A6"/>
            </w:tcBorders>
            <w:hideMark/>
          </w:tcPr>
          <w:p w14:paraId="4AF9009F" w14:textId="77777777" w:rsidR="005F4A7E" w:rsidRPr="002029AF" w:rsidRDefault="005F4A7E" w:rsidP="00130D1C">
            <w:pPr>
              <w:pStyle w:val="ARfintablebody"/>
              <w:spacing w:before="30" w:after="10" w:line="252" w:lineRule="auto"/>
            </w:pPr>
            <w:r w:rsidRPr="000B5F7A">
              <w:t>Hume City Council</w:t>
            </w:r>
          </w:p>
        </w:tc>
        <w:tc>
          <w:tcPr>
            <w:tcW w:w="1134" w:type="dxa"/>
            <w:tcBorders>
              <w:top w:val="single" w:sz="4" w:space="0" w:color="A6A6A6"/>
              <w:bottom w:val="single" w:sz="4" w:space="0" w:color="A6A6A6"/>
            </w:tcBorders>
            <w:shd w:val="clear" w:color="auto" w:fill="E7E6E6"/>
            <w:noWrap/>
            <w:hideMark/>
          </w:tcPr>
          <w:p w14:paraId="4D99AAFA" w14:textId="77777777" w:rsidR="005F4A7E" w:rsidRPr="002029AF" w:rsidRDefault="005F4A7E" w:rsidP="00130D1C">
            <w:pPr>
              <w:pStyle w:val="ARfintablebodyright"/>
              <w:spacing w:before="30" w:after="10" w:line="252" w:lineRule="auto"/>
            </w:pPr>
            <w:r w:rsidRPr="000B5F7A">
              <w:t>6.5</w:t>
            </w:r>
          </w:p>
        </w:tc>
        <w:tc>
          <w:tcPr>
            <w:tcW w:w="1134" w:type="dxa"/>
            <w:tcBorders>
              <w:top w:val="single" w:sz="4" w:space="0" w:color="A6A6A6"/>
              <w:bottom w:val="single" w:sz="4" w:space="0" w:color="A6A6A6"/>
            </w:tcBorders>
            <w:noWrap/>
            <w:hideMark/>
          </w:tcPr>
          <w:p w14:paraId="1B412325" w14:textId="77777777" w:rsidR="005F4A7E" w:rsidRPr="002029AF" w:rsidRDefault="005F4A7E" w:rsidP="00130D1C">
            <w:pPr>
              <w:pStyle w:val="ARfintablebodyright"/>
              <w:spacing w:before="30" w:after="10" w:line="252" w:lineRule="auto"/>
            </w:pPr>
            <w:r w:rsidRPr="000B5F7A">
              <w:t>6.4</w:t>
            </w:r>
          </w:p>
        </w:tc>
      </w:tr>
      <w:tr w:rsidR="005F4A7E" w:rsidRPr="002029AF" w14:paraId="320DD6E1" w14:textId="77777777" w:rsidTr="00860E95">
        <w:tc>
          <w:tcPr>
            <w:tcW w:w="7369" w:type="dxa"/>
            <w:tcBorders>
              <w:top w:val="single" w:sz="4" w:space="0" w:color="A6A6A6"/>
              <w:bottom w:val="single" w:sz="4" w:space="0" w:color="A6A6A6"/>
            </w:tcBorders>
          </w:tcPr>
          <w:p w14:paraId="444CF883" w14:textId="77777777" w:rsidR="005F4A7E" w:rsidRPr="002029AF" w:rsidRDefault="005F4A7E" w:rsidP="00130D1C">
            <w:pPr>
              <w:pStyle w:val="ARfintablebody"/>
              <w:spacing w:before="30" w:after="10" w:line="252" w:lineRule="auto"/>
            </w:pPr>
            <w:r w:rsidRPr="000B5F7A">
              <w:t>Whittlesea City Council</w:t>
            </w:r>
          </w:p>
        </w:tc>
        <w:tc>
          <w:tcPr>
            <w:tcW w:w="1134" w:type="dxa"/>
            <w:tcBorders>
              <w:top w:val="single" w:sz="4" w:space="0" w:color="A6A6A6"/>
              <w:bottom w:val="single" w:sz="4" w:space="0" w:color="A6A6A6"/>
            </w:tcBorders>
            <w:shd w:val="clear" w:color="auto" w:fill="E7E6E6"/>
            <w:noWrap/>
          </w:tcPr>
          <w:p w14:paraId="57E68D82" w14:textId="77777777" w:rsidR="005F4A7E" w:rsidRPr="002029AF" w:rsidRDefault="005F4A7E" w:rsidP="00130D1C">
            <w:pPr>
              <w:pStyle w:val="ARfintablebodyright"/>
              <w:spacing w:before="30" w:after="10" w:line="252" w:lineRule="auto"/>
            </w:pPr>
            <w:r w:rsidRPr="000B5F7A">
              <w:t>6.3</w:t>
            </w:r>
          </w:p>
        </w:tc>
        <w:tc>
          <w:tcPr>
            <w:tcW w:w="1134" w:type="dxa"/>
            <w:tcBorders>
              <w:top w:val="single" w:sz="4" w:space="0" w:color="A6A6A6"/>
              <w:bottom w:val="single" w:sz="4" w:space="0" w:color="A6A6A6"/>
            </w:tcBorders>
            <w:noWrap/>
          </w:tcPr>
          <w:p w14:paraId="42CF9EDA" w14:textId="77777777" w:rsidR="005F4A7E" w:rsidRPr="002029AF" w:rsidRDefault="005F4A7E" w:rsidP="00130D1C">
            <w:pPr>
              <w:pStyle w:val="ARfintablebodyright"/>
              <w:spacing w:before="30" w:after="10" w:line="252" w:lineRule="auto"/>
            </w:pPr>
            <w:r w:rsidRPr="000B5F7A">
              <w:t>6.6</w:t>
            </w:r>
          </w:p>
        </w:tc>
      </w:tr>
      <w:tr w:rsidR="005F4A7E" w:rsidRPr="002029AF" w14:paraId="5DDF81C9" w14:textId="77777777" w:rsidTr="00860E95">
        <w:tc>
          <w:tcPr>
            <w:tcW w:w="7369" w:type="dxa"/>
            <w:tcBorders>
              <w:top w:val="single" w:sz="4" w:space="0" w:color="A6A6A6"/>
              <w:bottom w:val="single" w:sz="4" w:space="0" w:color="A6A6A6"/>
            </w:tcBorders>
            <w:hideMark/>
          </w:tcPr>
          <w:p w14:paraId="57F94CBB" w14:textId="77777777" w:rsidR="005F4A7E" w:rsidRPr="002029AF" w:rsidRDefault="005F4A7E" w:rsidP="00130D1C">
            <w:pPr>
              <w:pStyle w:val="ARfintablebody"/>
              <w:spacing w:before="30" w:after="10" w:line="252" w:lineRule="auto"/>
            </w:pPr>
            <w:r w:rsidRPr="000B5F7A">
              <w:t>Brimbank City Council</w:t>
            </w:r>
          </w:p>
        </w:tc>
        <w:tc>
          <w:tcPr>
            <w:tcW w:w="1134" w:type="dxa"/>
            <w:tcBorders>
              <w:top w:val="single" w:sz="4" w:space="0" w:color="A6A6A6"/>
              <w:bottom w:val="single" w:sz="4" w:space="0" w:color="A6A6A6"/>
            </w:tcBorders>
            <w:shd w:val="clear" w:color="auto" w:fill="E7E6E6"/>
            <w:noWrap/>
            <w:hideMark/>
          </w:tcPr>
          <w:p w14:paraId="1201775B" w14:textId="77777777" w:rsidR="005F4A7E" w:rsidRPr="002029AF" w:rsidRDefault="005F4A7E" w:rsidP="00130D1C">
            <w:pPr>
              <w:pStyle w:val="ARfintablebodyright"/>
              <w:spacing w:before="30" w:after="10" w:line="252" w:lineRule="auto"/>
            </w:pPr>
            <w:r w:rsidRPr="000B5F7A">
              <w:t>6.0</w:t>
            </w:r>
          </w:p>
        </w:tc>
        <w:tc>
          <w:tcPr>
            <w:tcW w:w="1134" w:type="dxa"/>
            <w:tcBorders>
              <w:top w:val="single" w:sz="4" w:space="0" w:color="A6A6A6"/>
              <w:bottom w:val="single" w:sz="4" w:space="0" w:color="A6A6A6"/>
            </w:tcBorders>
            <w:noWrap/>
            <w:hideMark/>
          </w:tcPr>
          <w:p w14:paraId="5D4C943B" w14:textId="77777777" w:rsidR="005F4A7E" w:rsidRPr="002029AF" w:rsidRDefault="005F4A7E" w:rsidP="00130D1C">
            <w:pPr>
              <w:pStyle w:val="ARfintablebodyright"/>
              <w:spacing w:before="30" w:after="10" w:line="252" w:lineRule="auto"/>
            </w:pPr>
            <w:r w:rsidRPr="000B5F7A">
              <w:t>5.5</w:t>
            </w:r>
          </w:p>
        </w:tc>
      </w:tr>
      <w:tr w:rsidR="005F4A7E" w:rsidRPr="002029AF" w14:paraId="5A9EB578" w14:textId="77777777" w:rsidTr="00860E95">
        <w:tc>
          <w:tcPr>
            <w:tcW w:w="7369" w:type="dxa"/>
            <w:tcBorders>
              <w:top w:val="single" w:sz="4" w:space="0" w:color="A6A6A6"/>
              <w:bottom w:val="single" w:sz="4" w:space="0" w:color="A6A6A6"/>
            </w:tcBorders>
            <w:hideMark/>
          </w:tcPr>
          <w:p w14:paraId="6282DA81" w14:textId="77777777" w:rsidR="005F4A7E" w:rsidRPr="002029AF" w:rsidRDefault="005F4A7E" w:rsidP="00130D1C">
            <w:pPr>
              <w:pStyle w:val="ARfintablebody"/>
              <w:spacing w:before="30" w:after="10" w:line="252" w:lineRule="auto"/>
            </w:pPr>
            <w:r w:rsidRPr="000B5F7A">
              <w:t>Melton Shire Council</w:t>
            </w:r>
          </w:p>
        </w:tc>
        <w:tc>
          <w:tcPr>
            <w:tcW w:w="1134" w:type="dxa"/>
            <w:tcBorders>
              <w:top w:val="single" w:sz="4" w:space="0" w:color="A6A6A6"/>
              <w:bottom w:val="single" w:sz="4" w:space="0" w:color="A6A6A6"/>
            </w:tcBorders>
            <w:shd w:val="clear" w:color="auto" w:fill="E7E6E6"/>
            <w:noWrap/>
            <w:hideMark/>
          </w:tcPr>
          <w:p w14:paraId="51056293" w14:textId="77777777" w:rsidR="005F4A7E" w:rsidRPr="002029AF" w:rsidRDefault="005F4A7E" w:rsidP="00130D1C">
            <w:pPr>
              <w:pStyle w:val="ARfintablebodyright"/>
              <w:spacing w:before="30" w:after="10" w:line="252" w:lineRule="auto"/>
            </w:pPr>
            <w:r w:rsidRPr="000B5F7A">
              <w:t>5.5</w:t>
            </w:r>
          </w:p>
        </w:tc>
        <w:tc>
          <w:tcPr>
            <w:tcW w:w="1134" w:type="dxa"/>
            <w:tcBorders>
              <w:top w:val="single" w:sz="4" w:space="0" w:color="A6A6A6"/>
              <w:bottom w:val="single" w:sz="4" w:space="0" w:color="A6A6A6"/>
            </w:tcBorders>
            <w:noWrap/>
            <w:hideMark/>
          </w:tcPr>
          <w:p w14:paraId="56A387D4" w14:textId="77777777" w:rsidR="005F4A7E" w:rsidRPr="002029AF" w:rsidRDefault="005F4A7E" w:rsidP="00130D1C">
            <w:pPr>
              <w:pStyle w:val="ARfintablebodyright"/>
              <w:spacing w:before="30" w:after="10" w:line="252" w:lineRule="auto"/>
            </w:pPr>
            <w:r w:rsidRPr="000B5F7A">
              <w:t>5.6</w:t>
            </w:r>
          </w:p>
        </w:tc>
      </w:tr>
      <w:tr w:rsidR="005F4A7E" w:rsidRPr="002029AF" w14:paraId="26767DB0" w14:textId="77777777" w:rsidTr="00860E95">
        <w:tc>
          <w:tcPr>
            <w:tcW w:w="7369" w:type="dxa"/>
            <w:tcBorders>
              <w:top w:val="single" w:sz="4" w:space="0" w:color="A6A6A6"/>
              <w:bottom w:val="single" w:sz="4" w:space="0" w:color="A6A6A6"/>
            </w:tcBorders>
            <w:hideMark/>
          </w:tcPr>
          <w:p w14:paraId="15A49430" w14:textId="77777777" w:rsidR="005F4A7E" w:rsidRPr="002029AF" w:rsidRDefault="005F4A7E" w:rsidP="00130D1C">
            <w:pPr>
              <w:pStyle w:val="ARfintablebody"/>
              <w:spacing w:before="30" w:after="10" w:line="252" w:lineRule="auto"/>
            </w:pPr>
            <w:r w:rsidRPr="000B5F7A">
              <w:lastRenderedPageBreak/>
              <w:t>City of Kingston</w:t>
            </w:r>
          </w:p>
        </w:tc>
        <w:tc>
          <w:tcPr>
            <w:tcW w:w="1134" w:type="dxa"/>
            <w:tcBorders>
              <w:top w:val="single" w:sz="4" w:space="0" w:color="A6A6A6"/>
              <w:bottom w:val="single" w:sz="4" w:space="0" w:color="A6A6A6"/>
            </w:tcBorders>
            <w:shd w:val="clear" w:color="auto" w:fill="E7E6E6"/>
            <w:noWrap/>
            <w:hideMark/>
          </w:tcPr>
          <w:p w14:paraId="65D5B5E0" w14:textId="77777777" w:rsidR="005F4A7E" w:rsidRPr="002029AF" w:rsidRDefault="005F4A7E" w:rsidP="00130D1C">
            <w:pPr>
              <w:pStyle w:val="ARfintablebodyright"/>
              <w:spacing w:before="30" w:after="10" w:line="252" w:lineRule="auto"/>
            </w:pPr>
            <w:r w:rsidRPr="000B5F7A">
              <w:t>5.3</w:t>
            </w:r>
          </w:p>
        </w:tc>
        <w:tc>
          <w:tcPr>
            <w:tcW w:w="1134" w:type="dxa"/>
            <w:tcBorders>
              <w:top w:val="single" w:sz="4" w:space="0" w:color="A6A6A6"/>
              <w:bottom w:val="single" w:sz="4" w:space="0" w:color="A6A6A6"/>
            </w:tcBorders>
            <w:noWrap/>
            <w:hideMark/>
          </w:tcPr>
          <w:p w14:paraId="52AF344E" w14:textId="77777777" w:rsidR="005F4A7E" w:rsidRPr="002029AF" w:rsidRDefault="005F4A7E" w:rsidP="00130D1C">
            <w:pPr>
              <w:pStyle w:val="ARfintablebodyright"/>
              <w:spacing w:before="30" w:after="10" w:line="252" w:lineRule="auto"/>
            </w:pPr>
            <w:r w:rsidRPr="000B5F7A">
              <w:t>4.7</w:t>
            </w:r>
          </w:p>
        </w:tc>
      </w:tr>
      <w:tr w:rsidR="005F4A7E" w:rsidRPr="002029AF" w14:paraId="1D8681D2" w14:textId="77777777" w:rsidTr="00860E95">
        <w:tc>
          <w:tcPr>
            <w:tcW w:w="7369" w:type="dxa"/>
            <w:tcBorders>
              <w:top w:val="single" w:sz="4" w:space="0" w:color="A6A6A6"/>
            </w:tcBorders>
            <w:hideMark/>
          </w:tcPr>
          <w:p w14:paraId="2AC08B40" w14:textId="77777777" w:rsidR="005F4A7E" w:rsidRPr="002029AF" w:rsidRDefault="005F4A7E" w:rsidP="00130D1C">
            <w:pPr>
              <w:pStyle w:val="ARfintablebody"/>
              <w:spacing w:before="30" w:after="10" w:line="252" w:lineRule="auto"/>
            </w:pPr>
            <w:r w:rsidRPr="000B5F7A">
              <w:t>Other local councils with payments totalling less than $5 million</w:t>
            </w:r>
          </w:p>
        </w:tc>
        <w:tc>
          <w:tcPr>
            <w:tcW w:w="1134" w:type="dxa"/>
            <w:tcBorders>
              <w:top w:val="single" w:sz="4" w:space="0" w:color="A6A6A6"/>
            </w:tcBorders>
            <w:shd w:val="clear" w:color="auto" w:fill="E7E6E6"/>
            <w:noWrap/>
            <w:hideMark/>
          </w:tcPr>
          <w:p w14:paraId="37AAE693" w14:textId="77777777" w:rsidR="005F4A7E" w:rsidRPr="002029AF" w:rsidRDefault="005F4A7E" w:rsidP="00130D1C">
            <w:pPr>
              <w:pStyle w:val="ARfintablebodyright"/>
              <w:spacing w:before="30" w:after="10" w:line="252" w:lineRule="auto"/>
            </w:pPr>
            <w:r w:rsidRPr="000B5F7A">
              <w:t>116.7</w:t>
            </w:r>
          </w:p>
        </w:tc>
        <w:tc>
          <w:tcPr>
            <w:tcW w:w="1134" w:type="dxa"/>
            <w:tcBorders>
              <w:top w:val="single" w:sz="4" w:space="0" w:color="A6A6A6"/>
            </w:tcBorders>
            <w:noWrap/>
            <w:hideMark/>
          </w:tcPr>
          <w:p w14:paraId="325C6474" w14:textId="77777777" w:rsidR="005F4A7E" w:rsidRPr="002029AF" w:rsidRDefault="005F4A7E" w:rsidP="00130D1C">
            <w:pPr>
              <w:pStyle w:val="ARfintablebodyright"/>
              <w:spacing w:before="30" w:after="10" w:line="252" w:lineRule="auto"/>
            </w:pPr>
            <w:r w:rsidRPr="000B5F7A">
              <w:t>107.7</w:t>
            </w:r>
          </w:p>
        </w:tc>
      </w:tr>
      <w:tr w:rsidR="005F4A7E" w:rsidRPr="002029AF" w14:paraId="7F3ED6DF" w14:textId="77777777" w:rsidTr="00860E95">
        <w:tc>
          <w:tcPr>
            <w:tcW w:w="7369" w:type="dxa"/>
            <w:tcBorders>
              <w:bottom w:val="single" w:sz="4" w:space="0" w:color="auto"/>
            </w:tcBorders>
            <w:hideMark/>
          </w:tcPr>
          <w:p w14:paraId="4C2F1A4C" w14:textId="77777777" w:rsidR="005F4A7E" w:rsidRPr="002029AF" w:rsidRDefault="005F4A7E" w:rsidP="00130D1C">
            <w:pPr>
              <w:pStyle w:val="ARfintablebodybold"/>
              <w:spacing w:before="30" w:after="10" w:line="252" w:lineRule="auto"/>
            </w:pPr>
          </w:p>
        </w:tc>
        <w:tc>
          <w:tcPr>
            <w:tcW w:w="1134" w:type="dxa"/>
            <w:tcBorders>
              <w:bottom w:val="single" w:sz="4" w:space="0" w:color="auto"/>
            </w:tcBorders>
            <w:shd w:val="clear" w:color="auto" w:fill="E7E6E6"/>
            <w:noWrap/>
            <w:hideMark/>
          </w:tcPr>
          <w:p w14:paraId="4610BA9D" w14:textId="77777777" w:rsidR="005F4A7E" w:rsidRPr="002029AF" w:rsidRDefault="005F4A7E" w:rsidP="00130D1C">
            <w:pPr>
              <w:pStyle w:val="ARfintablebodyrightbold"/>
              <w:spacing w:before="30" w:after="10" w:line="252" w:lineRule="auto"/>
            </w:pPr>
            <w:r w:rsidRPr="000B5F7A">
              <w:t>179.4</w:t>
            </w:r>
          </w:p>
        </w:tc>
        <w:tc>
          <w:tcPr>
            <w:tcW w:w="1134" w:type="dxa"/>
            <w:tcBorders>
              <w:bottom w:val="single" w:sz="4" w:space="0" w:color="auto"/>
            </w:tcBorders>
            <w:noWrap/>
            <w:hideMark/>
          </w:tcPr>
          <w:p w14:paraId="0AD3ED2F" w14:textId="77777777" w:rsidR="005F4A7E" w:rsidRPr="002029AF" w:rsidRDefault="005F4A7E" w:rsidP="00130D1C">
            <w:pPr>
              <w:pStyle w:val="ARfintablebodyrightbold"/>
              <w:spacing w:before="30" w:after="10" w:line="252" w:lineRule="auto"/>
            </w:pPr>
            <w:r w:rsidRPr="000B5F7A">
              <w:t>167.0</w:t>
            </w:r>
          </w:p>
        </w:tc>
      </w:tr>
      <w:tr w:rsidR="005F4A7E" w:rsidRPr="002029AF" w14:paraId="56082AA4" w14:textId="77777777" w:rsidTr="00860E95">
        <w:tc>
          <w:tcPr>
            <w:tcW w:w="9637" w:type="dxa"/>
            <w:gridSpan w:val="3"/>
            <w:tcBorders>
              <w:top w:val="single" w:sz="4" w:space="0" w:color="auto"/>
              <w:bottom w:val="single" w:sz="4" w:space="0" w:color="A6A6A6"/>
            </w:tcBorders>
            <w:hideMark/>
          </w:tcPr>
          <w:p w14:paraId="28C62F0F" w14:textId="77777777" w:rsidR="005F4A7E" w:rsidRPr="002029AF" w:rsidRDefault="005F4A7E" w:rsidP="00130D1C">
            <w:pPr>
              <w:pStyle w:val="ARfintablebodybold"/>
              <w:spacing w:before="30" w:after="10" w:line="252" w:lineRule="auto"/>
            </w:pPr>
            <w:r w:rsidRPr="000B5F7A">
              <w:t>Commonwealth Government</w:t>
            </w:r>
          </w:p>
        </w:tc>
      </w:tr>
      <w:tr w:rsidR="005F4A7E" w:rsidRPr="002029AF" w14:paraId="333FBB25" w14:textId="77777777" w:rsidTr="00860E95">
        <w:tc>
          <w:tcPr>
            <w:tcW w:w="7369" w:type="dxa"/>
            <w:tcBorders>
              <w:top w:val="single" w:sz="4" w:space="0" w:color="A6A6A6"/>
              <w:bottom w:val="single" w:sz="4" w:space="0" w:color="A6A6A6"/>
            </w:tcBorders>
            <w:hideMark/>
          </w:tcPr>
          <w:p w14:paraId="1258A767" w14:textId="77777777" w:rsidR="005F4A7E" w:rsidRPr="002029AF" w:rsidRDefault="005F4A7E" w:rsidP="00130D1C">
            <w:pPr>
              <w:pStyle w:val="ARfintablebody"/>
              <w:spacing w:before="30" w:after="10" w:line="252" w:lineRule="auto"/>
            </w:pPr>
            <w:r w:rsidRPr="000B5F7A">
              <w:t>National Blood Authority</w:t>
            </w:r>
          </w:p>
        </w:tc>
        <w:tc>
          <w:tcPr>
            <w:tcW w:w="1134" w:type="dxa"/>
            <w:tcBorders>
              <w:top w:val="single" w:sz="4" w:space="0" w:color="A6A6A6"/>
              <w:bottom w:val="single" w:sz="4" w:space="0" w:color="A6A6A6"/>
            </w:tcBorders>
            <w:shd w:val="clear" w:color="auto" w:fill="E7E6E6"/>
            <w:noWrap/>
            <w:hideMark/>
          </w:tcPr>
          <w:p w14:paraId="6E1ADB61" w14:textId="77777777" w:rsidR="005F4A7E" w:rsidRPr="002029AF" w:rsidRDefault="005F4A7E" w:rsidP="00130D1C">
            <w:pPr>
              <w:pStyle w:val="ARfintablebodyright"/>
              <w:spacing w:before="30" w:after="10" w:line="252" w:lineRule="auto"/>
            </w:pPr>
            <w:r w:rsidRPr="000B5F7A">
              <w:t>117.0</w:t>
            </w:r>
          </w:p>
        </w:tc>
        <w:tc>
          <w:tcPr>
            <w:tcW w:w="1134" w:type="dxa"/>
            <w:tcBorders>
              <w:top w:val="single" w:sz="4" w:space="0" w:color="A6A6A6"/>
              <w:bottom w:val="single" w:sz="4" w:space="0" w:color="A6A6A6"/>
            </w:tcBorders>
            <w:noWrap/>
            <w:hideMark/>
          </w:tcPr>
          <w:p w14:paraId="175F0496" w14:textId="77777777" w:rsidR="005F4A7E" w:rsidRPr="002029AF" w:rsidRDefault="005F4A7E" w:rsidP="00130D1C">
            <w:pPr>
              <w:pStyle w:val="ARfintablebodyright"/>
              <w:spacing w:before="30" w:after="10" w:line="252" w:lineRule="auto"/>
            </w:pPr>
            <w:r w:rsidRPr="000B5F7A">
              <w:t>115.0</w:t>
            </w:r>
          </w:p>
        </w:tc>
      </w:tr>
      <w:tr w:rsidR="005F4A7E" w:rsidRPr="002029AF" w14:paraId="3F8CFE26" w14:textId="77777777" w:rsidTr="00860E95">
        <w:tc>
          <w:tcPr>
            <w:tcW w:w="7369" w:type="dxa"/>
            <w:tcBorders>
              <w:top w:val="single" w:sz="4" w:space="0" w:color="A6A6A6"/>
            </w:tcBorders>
            <w:hideMark/>
          </w:tcPr>
          <w:p w14:paraId="2EFB4D50" w14:textId="43D44467" w:rsidR="005F4A7E" w:rsidRPr="002029AF" w:rsidRDefault="005F4A7E" w:rsidP="00130D1C">
            <w:pPr>
              <w:pStyle w:val="ARfintablebody"/>
              <w:spacing w:before="30" w:after="10" w:line="252" w:lineRule="auto"/>
            </w:pPr>
            <w:r w:rsidRPr="000B5F7A">
              <w:t>Other Commonwealth Government with payments totalling less than $30 million</w:t>
            </w:r>
          </w:p>
        </w:tc>
        <w:tc>
          <w:tcPr>
            <w:tcW w:w="1134" w:type="dxa"/>
            <w:tcBorders>
              <w:top w:val="single" w:sz="4" w:space="0" w:color="A6A6A6"/>
            </w:tcBorders>
            <w:shd w:val="clear" w:color="auto" w:fill="E7E6E6"/>
            <w:noWrap/>
            <w:hideMark/>
          </w:tcPr>
          <w:p w14:paraId="79D1CBDA" w14:textId="77777777" w:rsidR="005F4A7E" w:rsidRPr="002029AF" w:rsidRDefault="005F4A7E" w:rsidP="00130D1C">
            <w:pPr>
              <w:pStyle w:val="ARfintablebodyright"/>
              <w:spacing w:before="30" w:after="10" w:line="252" w:lineRule="auto"/>
            </w:pPr>
            <w:r w:rsidRPr="000B5F7A">
              <w:t>(0.7)</w:t>
            </w:r>
          </w:p>
        </w:tc>
        <w:tc>
          <w:tcPr>
            <w:tcW w:w="1134" w:type="dxa"/>
            <w:tcBorders>
              <w:top w:val="single" w:sz="4" w:space="0" w:color="A6A6A6"/>
            </w:tcBorders>
            <w:noWrap/>
            <w:hideMark/>
          </w:tcPr>
          <w:p w14:paraId="00866994" w14:textId="77777777" w:rsidR="005F4A7E" w:rsidRPr="002029AF" w:rsidRDefault="005F4A7E" w:rsidP="00130D1C">
            <w:pPr>
              <w:pStyle w:val="ARfintablebodyright"/>
              <w:spacing w:before="30" w:after="10" w:line="252" w:lineRule="auto"/>
            </w:pPr>
            <w:r w:rsidRPr="000B5F7A">
              <w:t>50.1</w:t>
            </w:r>
          </w:p>
        </w:tc>
      </w:tr>
      <w:tr w:rsidR="005F4A7E" w:rsidRPr="002029AF" w14:paraId="12F3C6BD" w14:textId="77777777" w:rsidTr="00860E95">
        <w:tc>
          <w:tcPr>
            <w:tcW w:w="7369" w:type="dxa"/>
            <w:tcBorders>
              <w:bottom w:val="single" w:sz="4" w:space="0" w:color="auto"/>
            </w:tcBorders>
            <w:hideMark/>
          </w:tcPr>
          <w:p w14:paraId="1EFED82A" w14:textId="77777777" w:rsidR="005F4A7E" w:rsidRPr="002029AF" w:rsidRDefault="005F4A7E" w:rsidP="00130D1C">
            <w:pPr>
              <w:pStyle w:val="ARfintablebodybold"/>
              <w:spacing w:before="30" w:after="10" w:line="252" w:lineRule="auto"/>
            </w:pPr>
          </w:p>
        </w:tc>
        <w:tc>
          <w:tcPr>
            <w:tcW w:w="1134" w:type="dxa"/>
            <w:tcBorders>
              <w:bottom w:val="single" w:sz="4" w:space="0" w:color="auto"/>
            </w:tcBorders>
            <w:shd w:val="clear" w:color="auto" w:fill="E7E6E6"/>
            <w:noWrap/>
            <w:hideMark/>
          </w:tcPr>
          <w:p w14:paraId="31B798D4" w14:textId="77777777" w:rsidR="005F4A7E" w:rsidRPr="002029AF" w:rsidRDefault="005F4A7E" w:rsidP="00130D1C">
            <w:pPr>
              <w:pStyle w:val="ARfintablebodyrightbold"/>
              <w:spacing w:before="30" w:after="10" w:line="252" w:lineRule="auto"/>
            </w:pPr>
            <w:r w:rsidRPr="000B5F7A">
              <w:t>116.3</w:t>
            </w:r>
          </w:p>
        </w:tc>
        <w:tc>
          <w:tcPr>
            <w:tcW w:w="1134" w:type="dxa"/>
            <w:tcBorders>
              <w:bottom w:val="single" w:sz="4" w:space="0" w:color="auto"/>
            </w:tcBorders>
            <w:noWrap/>
            <w:hideMark/>
          </w:tcPr>
          <w:p w14:paraId="6B6EC120" w14:textId="77777777" w:rsidR="005F4A7E" w:rsidRPr="002029AF" w:rsidRDefault="005F4A7E" w:rsidP="00130D1C">
            <w:pPr>
              <w:pStyle w:val="ARfintablebodyrightbold"/>
              <w:spacing w:before="30" w:after="10" w:line="252" w:lineRule="auto"/>
            </w:pPr>
            <w:r w:rsidRPr="000B5F7A">
              <w:t>165.1</w:t>
            </w:r>
          </w:p>
        </w:tc>
      </w:tr>
      <w:tr w:rsidR="005F4A7E" w:rsidRPr="002029AF" w14:paraId="2540AB14" w14:textId="77777777" w:rsidTr="00860E95">
        <w:tc>
          <w:tcPr>
            <w:tcW w:w="9637" w:type="dxa"/>
            <w:gridSpan w:val="3"/>
            <w:tcBorders>
              <w:top w:val="single" w:sz="4" w:space="0" w:color="auto"/>
              <w:bottom w:val="single" w:sz="4" w:space="0" w:color="A6A6A6"/>
            </w:tcBorders>
            <w:hideMark/>
          </w:tcPr>
          <w:p w14:paraId="2D1BF988" w14:textId="77777777" w:rsidR="005F4A7E" w:rsidRPr="002029AF" w:rsidRDefault="005F4A7E" w:rsidP="00130D1C">
            <w:pPr>
              <w:pStyle w:val="ARfintablebodybold"/>
              <w:spacing w:before="30" w:after="10" w:line="252" w:lineRule="auto"/>
            </w:pPr>
            <w:r w:rsidRPr="000B5F7A">
              <w:t>Non-government agencies and individuals</w:t>
            </w:r>
          </w:p>
        </w:tc>
      </w:tr>
      <w:tr w:rsidR="005F4A7E" w:rsidRPr="002029AF" w14:paraId="57137EAB" w14:textId="77777777" w:rsidTr="00860E95">
        <w:tc>
          <w:tcPr>
            <w:tcW w:w="7369" w:type="dxa"/>
            <w:tcBorders>
              <w:top w:val="single" w:sz="4" w:space="0" w:color="A6A6A6"/>
              <w:bottom w:val="single" w:sz="4" w:space="0" w:color="A6A6A6"/>
            </w:tcBorders>
            <w:hideMark/>
          </w:tcPr>
          <w:p w14:paraId="3CEFDB7C" w14:textId="77777777" w:rsidR="005F4A7E" w:rsidRPr="002029AF" w:rsidRDefault="005F4A7E" w:rsidP="00130D1C">
            <w:pPr>
              <w:pStyle w:val="ARfintablebody"/>
              <w:spacing w:before="30" w:after="10" w:line="252" w:lineRule="auto"/>
            </w:pPr>
            <w:r w:rsidRPr="000B5F7A">
              <w:t>Home@Scope Pty Ltd</w:t>
            </w:r>
          </w:p>
        </w:tc>
        <w:tc>
          <w:tcPr>
            <w:tcW w:w="1134" w:type="dxa"/>
            <w:tcBorders>
              <w:top w:val="single" w:sz="4" w:space="0" w:color="A6A6A6"/>
              <w:bottom w:val="single" w:sz="4" w:space="0" w:color="A6A6A6"/>
            </w:tcBorders>
            <w:shd w:val="clear" w:color="auto" w:fill="E7E6E6"/>
            <w:noWrap/>
            <w:hideMark/>
          </w:tcPr>
          <w:p w14:paraId="58C3E6E2" w14:textId="77777777" w:rsidR="005F4A7E" w:rsidRPr="002029AF" w:rsidRDefault="005F4A7E" w:rsidP="00130D1C">
            <w:pPr>
              <w:pStyle w:val="ARfintablebodyright"/>
              <w:spacing w:before="30" w:after="10" w:line="252" w:lineRule="auto"/>
            </w:pPr>
            <w:r w:rsidRPr="000B5F7A">
              <w:t>236.6</w:t>
            </w:r>
          </w:p>
        </w:tc>
        <w:tc>
          <w:tcPr>
            <w:tcW w:w="1134" w:type="dxa"/>
            <w:tcBorders>
              <w:top w:val="single" w:sz="4" w:space="0" w:color="A6A6A6"/>
              <w:bottom w:val="single" w:sz="4" w:space="0" w:color="A6A6A6"/>
            </w:tcBorders>
            <w:noWrap/>
            <w:hideMark/>
          </w:tcPr>
          <w:p w14:paraId="6E7D46D6" w14:textId="77777777" w:rsidR="005F4A7E" w:rsidRPr="002029AF" w:rsidRDefault="005F4A7E" w:rsidP="00130D1C">
            <w:pPr>
              <w:pStyle w:val="ARfintablebodyright"/>
              <w:spacing w:before="30" w:after="10" w:line="252" w:lineRule="auto"/>
            </w:pPr>
            <w:r w:rsidRPr="000B5F7A">
              <w:t>238.9</w:t>
            </w:r>
          </w:p>
        </w:tc>
      </w:tr>
      <w:tr w:rsidR="005F4A7E" w:rsidRPr="002029AF" w14:paraId="4CE4747A" w14:textId="77777777" w:rsidTr="00860E95">
        <w:tc>
          <w:tcPr>
            <w:tcW w:w="7369" w:type="dxa"/>
            <w:tcBorders>
              <w:top w:val="single" w:sz="4" w:space="0" w:color="A6A6A6"/>
              <w:bottom w:val="single" w:sz="4" w:space="0" w:color="A6A6A6"/>
            </w:tcBorders>
            <w:hideMark/>
          </w:tcPr>
          <w:p w14:paraId="21EF5AF0" w14:textId="77777777" w:rsidR="005F4A7E" w:rsidRPr="002029AF" w:rsidRDefault="005F4A7E" w:rsidP="00130D1C">
            <w:pPr>
              <w:pStyle w:val="ARfintablebody"/>
              <w:spacing w:before="30" w:after="10" w:line="252" w:lineRule="auto"/>
            </w:pPr>
            <w:r w:rsidRPr="000B5F7A">
              <w:t>Anglicare Victoria</w:t>
            </w:r>
          </w:p>
        </w:tc>
        <w:tc>
          <w:tcPr>
            <w:tcW w:w="1134" w:type="dxa"/>
            <w:tcBorders>
              <w:top w:val="single" w:sz="4" w:space="0" w:color="A6A6A6"/>
              <w:bottom w:val="single" w:sz="4" w:space="0" w:color="A6A6A6"/>
            </w:tcBorders>
            <w:shd w:val="clear" w:color="auto" w:fill="E7E6E6"/>
            <w:noWrap/>
            <w:hideMark/>
          </w:tcPr>
          <w:p w14:paraId="7680637B" w14:textId="77777777" w:rsidR="005F4A7E" w:rsidRPr="002029AF" w:rsidRDefault="005F4A7E" w:rsidP="00130D1C">
            <w:pPr>
              <w:pStyle w:val="ARfintablebodyright"/>
              <w:spacing w:before="30" w:after="10" w:line="252" w:lineRule="auto"/>
            </w:pPr>
            <w:r w:rsidRPr="000B5F7A">
              <w:t>143.9</w:t>
            </w:r>
          </w:p>
        </w:tc>
        <w:tc>
          <w:tcPr>
            <w:tcW w:w="1134" w:type="dxa"/>
            <w:tcBorders>
              <w:top w:val="single" w:sz="4" w:space="0" w:color="A6A6A6"/>
              <w:bottom w:val="single" w:sz="4" w:space="0" w:color="A6A6A6"/>
            </w:tcBorders>
            <w:noWrap/>
            <w:hideMark/>
          </w:tcPr>
          <w:p w14:paraId="36754BA9" w14:textId="77777777" w:rsidR="005F4A7E" w:rsidRPr="002029AF" w:rsidRDefault="005F4A7E" w:rsidP="00130D1C">
            <w:pPr>
              <w:pStyle w:val="ARfintablebodyright"/>
              <w:spacing w:before="30" w:after="10" w:line="252" w:lineRule="auto"/>
            </w:pPr>
            <w:r w:rsidRPr="000B5F7A">
              <w:t>137.0</w:t>
            </w:r>
          </w:p>
        </w:tc>
      </w:tr>
      <w:tr w:rsidR="005F4A7E" w:rsidRPr="002029AF" w14:paraId="6CFC3A24" w14:textId="77777777" w:rsidTr="00860E95">
        <w:tc>
          <w:tcPr>
            <w:tcW w:w="7369" w:type="dxa"/>
            <w:tcBorders>
              <w:top w:val="single" w:sz="4" w:space="0" w:color="A6A6A6"/>
              <w:bottom w:val="single" w:sz="4" w:space="0" w:color="A6A6A6"/>
            </w:tcBorders>
            <w:hideMark/>
          </w:tcPr>
          <w:p w14:paraId="73553D3D" w14:textId="77777777" w:rsidR="005F4A7E" w:rsidRPr="002029AF" w:rsidRDefault="005F4A7E" w:rsidP="00130D1C">
            <w:pPr>
              <w:pStyle w:val="ARfintablebody"/>
              <w:spacing w:before="30" w:after="10" w:line="252" w:lineRule="auto"/>
            </w:pPr>
            <w:r w:rsidRPr="000B5F7A">
              <w:t>Wesley Mission Victoria</w:t>
            </w:r>
          </w:p>
        </w:tc>
        <w:tc>
          <w:tcPr>
            <w:tcW w:w="1134" w:type="dxa"/>
            <w:tcBorders>
              <w:top w:val="single" w:sz="4" w:space="0" w:color="A6A6A6"/>
              <w:bottom w:val="single" w:sz="4" w:space="0" w:color="A6A6A6"/>
            </w:tcBorders>
            <w:shd w:val="clear" w:color="auto" w:fill="E7E6E6"/>
            <w:noWrap/>
            <w:hideMark/>
          </w:tcPr>
          <w:p w14:paraId="281B53F5" w14:textId="77777777" w:rsidR="005F4A7E" w:rsidRPr="002029AF" w:rsidRDefault="005F4A7E" w:rsidP="00130D1C">
            <w:pPr>
              <w:pStyle w:val="ARfintablebodyright"/>
              <w:spacing w:before="30" w:after="10" w:line="252" w:lineRule="auto"/>
            </w:pPr>
            <w:r w:rsidRPr="000B5F7A">
              <w:t>141.5</w:t>
            </w:r>
          </w:p>
        </w:tc>
        <w:tc>
          <w:tcPr>
            <w:tcW w:w="1134" w:type="dxa"/>
            <w:tcBorders>
              <w:top w:val="single" w:sz="4" w:space="0" w:color="A6A6A6"/>
              <w:bottom w:val="single" w:sz="4" w:space="0" w:color="A6A6A6"/>
            </w:tcBorders>
            <w:noWrap/>
            <w:hideMark/>
          </w:tcPr>
          <w:p w14:paraId="3B70AF27" w14:textId="77777777" w:rsidR="005F4A7E" w:rsidRPr="002029AF" w:rsidRDefault="005F4A7E" w:rsidP="00130D1C">
            <w:pPr>
              <w:pStyle w:val="ARfintablebodyright"/>
              <w:spacing w:before="30" w:after="10" w:line="252" w:lineRule="auto"/>
            </w:pPr>
            <w:r w:rsidRPr="000B5F7A">
              <w:t>126.3</w:t>
            </w:r>
          </w:p>
        </w:tc>
      </w:tr>
      <w:tr w:rsidR="005F4A7E" w:rsidRPr="002029AF" w14:paraId="1878E0B8" w14:textId="77777777" w:rsidTr="00860E95">
        <w:tc>
          <w:tcPr>
            <w:tcW w:w="7369" w:type="dxa"/>
            <w:tcBorders>
              <w:top w:val="single" w:sz="4" w:space="0" w:color="A6A6A6"/>
              <w:bottom w:val="single" w:sz="4" w:space="0" w:color="A6A6A6"/>
            </w:tcBorders>
            <w:hideMark/>
          </w:tcPr>
          <w:p w14:paraId="234F6227" w14:textId="77777777" w:rsidR="005F4A7E" w:rsidRPr="002029AF" w:rsidRDefault="005F4A7E" w:rsidP="00130D1C">
            <w:pPr>
              <w:pStyle w:val="ARfintablebody"/>
              <w:spacing w:before="30" w:after="10" w:line="252" w:lineRule="auto"/>
            </w:pPr>
            <w:r w:rsidRPr="000B5F7A">
              <w:t>Epworth Healthcare</w:t>
            </w:r>
          </w:p>
        </w:tc>
        <w:tc>
          <w:tcPr>
            <w:tcW w:w="1134" w:type="dxa"/>
            <w:tcBorders>
              <w:top w:val="single" w:sz="4" w:space="0" w:color="A6A6A6"/>
              <w:bottom w:val="single" w:sz="4" w:space="0" w:color="A6A6A6"/>
            </w:tcBorders>
            <w:shd w:val="clear" w:color="auto" w:fill="E7E6E6"/>
            <w:noWrap/>
            <w:hideMark/>
          </w:tcPr>
          <w:p w14:paraId="37753B60" w14:textId="77777777" w:rsidR="005F4A7E" w:rsidRPr="002029AF" w:rsidRDefault="005F4A7E" w:rsidP="00130D1C">
            <w:pPr>
              <w:pStyle w:val="ARfintablebodyright"/>
              <w:spacing w:before="30" w:after="10" w:line="252" w:lineRule="auto"/>
            </w:pPr>
            <w:r w:rsidRPr="000B5F7A">
              <w:t>106.7</w:t>
            </w:r>
          </w:p>
        </w:tc>
        <w:tc>
          <w:tcPr>
            <w:tcW w:w="1134" w:type="dxa"/>
            <w:tcBorders>
              <w:top w:val="single" w:sz="4" w:space="0" w:color="A6A6A6"/>
              <w:bottom w:val="single" w:sz="4" w:space="0" w:color="A6A6A6"/>
            </w:tcBorders>
            <w:noWrap/>
            <w:hideMark/>
          </w:tcPr>
          <w:p w14:paraId="2773971C" w14:textId="77777777" w:rsidR="005F4A7E" w:rsidRPr="002029AF" w:rsidRDefault="005F4A7E" w:rsidP="00130D1C">
            <w:pPr>
              <w:pStyle w:val="ARfintablebodyright"/>
              <w:spacing w:before="30" w:after="10" w:line="252" w:lineRule="auto"/>
            </w:pPr>
            <w:r w:rsidRPr="000B5F7A">
              <w:t>61.3</w:t>
            </w:r>
          </w:p>
        </w:tc>
      </w:tr>
      <w:tr w:rsidR="005F4A7E" w:rsidRPr="002029AF" w14:paraId="3D175206" w14:textId="77777777" w:rsidTr="00860E95">
        <w:tc>
          <w:tcPr>
            <w:tcW w:w="7369" w:type="dxa"/>
            <w:tcBorders>
              <w:top w:val="single" w:sz="4" w:space="0" w:color="A6A6A6"/>
              <w:bottom w:val="single" w:sz="4" w:space="0" w:color="A6A6A6"/>
            </w:tcBorders>
            <w:hideMark/>
          </w:tcPr>
          <w:p w14:paraId="7051BA9F" w14:textId="77777777" w:rsidR="005F4A7E" w:rsidRPr="002029AF" w:rsidRDefault="005F4A7E" w:rsidP="00130D1C">
            <w:pPr>
              <w:pStyle w:val="ARfintablebody"/>
              <w:spacing w:before="30" w:after="10" w:line="252" w:lineRule="auto"/>
            </w:pPr>
            <w:r w:rsidRPr="000B5F7A">
              <w:t>Life Without Barriers</w:t>
            </w:r>
          </w:p>
        </w:tc>
        <w:tc>
          <w:tcPr>
            <w:tcW w:w="1134" w:type="dxa"/>
            <w:tcBorders>
              <w:top w:val="single" w:sz="4" w:space="0" w:color="A6A6A6"/>
              <w:bottom w:val="single" w:sz="4" w:space="0" w:color="A6A6A6"/>
            </w:tcBorders>
            <w:shd w:val="clear" w:color="auto" w:fill="E7E6E6"/>
            <w:noWrap/>
            <w:hideMark/>
          </w:tcPr>
          <w:p w14:paraId="0A71666B" w14:textId="77777777" w:rsidR="005F4A7E" w:rsidRPr="002029AF" w:rsidRDefault="005F4A7E" w:rsidP="00130D1C">
            <w:pPr>
              <w:pStyle w:val="ARfintablebodyright"/>
              <w:spacing w:before="30" w:after="10" w:line="252" w:lineRule="auto"/>
            </w:pPr>
            <w:r w:rsidRPr="000B5F7A">
              <w:t>124.1</w:t>
            </w:r>
          </w:p>
        </w:tc>
        <w:tc>
          <w:tcPr>
            <w:tcW w:w="1134" w:type="dxa"/>
            <w:tcBorders>
              <w:top w:val="single" w:sz="4" w:space="0" w:color="A6A6A6"/>
              <w:bottom w:val="single" w:sz="4" w:space="0" w:color="A6A6A6"/>
            </w:tcBorders>
            <w:noWrap/>
            <w:hideMark/>
          </w:tcPr>
          <w:p w14:paraId="3B72C5B4" w14:textId="77777777" w:rsidR="005F4A7E" w:rsidRPr="002029AF" w:rsidRDefault="005F4A7E" w:rsidP="00130D1C">
            <w:pPr>
              <w:pStyle w:val="ARfintablebodyright"/>
              <w:spacing w:before="30" w:after="10" w:line="252" w:lineRule="auto"/>
            </w:pPr>
            <w:r w:rsidRPr="000B5F7A">
              <w:t>137.8</w:t>
            </w:r>
          </w:p>
        </w:tc>
      </w:tr>
      <w:tr w:rsidR="005F4A7E" w:rsidRPr="002029AF" w14:paraId="4BF47133" w14:textId="77777777" w:rsidTr="00860E95">
        <w:tc>
          <w:tcPr>
            <w:tcW w:w="7369" w:type="dxa"/>
            <w:tcBorders>
              <w:top w:val="single" w:sz="4" w:space="0" w:color="A6A6A6"/>
              <w:bottom w:val="single" w:sz="4" w:space="0" w:color="A6A6A6"/>
            </w:tcBorders>
            <w:hideMark/>
          </w:tcPr>
          <w:p w14:paraId="42B27C88" w14:textId="77777777" w:rsidR="005F4A7E" w:rsidRPr="002029AF" w:rsidRDefault="005F4A7E" w:rsidP="00130D1C">
            <w:pPr>
              <w:pStyle w:val="ARfintablebody"/>
              <w:spacing w:before="30" w:after="10" w:line="252" w:lineRule="auto"/>
            </w:pPr>
            <w:r w:rsidRPr="000B5F7A">
              <w:t>Berry Street Victoria Incorporated</w:t>
            </w:r>
          </w:p>
        </w:tc>
        <w:tc>
          <w:tcPr>
            <w:tcW w:w="1134" w:type="dxa"/>
            <w:tcBorders>
              <w:top w:val="single" w:sz="4" w:space="0" w:color="A6A6A6"/>
              <w:bottom w:val="single" w:sz="4" w:space="0" w:color="A6A6A6"/>
            </w:tcBorders>
            <w:shd w:val="clear" w:color="auto" w:fill="E7E6E6"/>
            <w:noWrap/>
            <w:hideMark/>
          </w:tcPr>
          <w:p w14:paraId="54604AC4" w14:textId="77777777" w:rsidR="005F4A7E" w:rsidRPr="002029AF" w:rsidRDefault="005F4A7E" w:rsidP="00130D1C">
            <w:pPr>
              <w:pStyle w:val="ARfintablebodyright"/>
              <w:spacing w:before="30" w:after="10" w:line="252" w:lineRule="auto"/>
            </w:pPr>
            <w:r w:rsidRPr="000B5F7A">
              <w:t>106.3</w:t>
            </w:r>
          </w:p>
        </w:tc>
        <w:tc>
          <w:tcPr>
            <w:tcW w:w="1134" w:type="dxa"/>
            <w:tcBorders>
              <w:top w:val="single" w:sz="4" w:space="0" w:color="A6A6A6"/>
              <w:bottom w:val="single" w:sz="4" w:space="0" w:color="A6A6A6"/>
            </w:tcBorders>
            <w:noWrap/>
            <w:hideMark/>
          </w:tcPr>
          <w:p w14:paraId="0D21277C" w14:textId="77777777" w:rsidR="005F4A7E" w:rsidRPr="002029AF" w:rsidRDefault="005F4A7E" w:rsidP="00130D1C">
            <w:pPr>
              <w:pStyle w:val="ARfintablebodyright"/>
              <w:spacing w:before="30" w:after="10" w:line="252" w:lineRule="auto"/>
            </w:pPr>
            <w:r w:rsidRPr="000B5F7A">
              <w:t>104.2</w:t>
            </w:r>
          </w:p>
        </w:tc>
      </w:tr>
      <w:tr w:rsidR="005F4A7E" w:rsidRPr="002029AF" w14:paraId="73AD3465" w14:textId="77777777" w:rsidTr="00860E95">
        <w:tc>
          <w:tcPr>
            <w:tcW w:w="7369" w:type="dxa"/>
            <w:tcBorders>
              <w:top w:val="single" w:sz="4" w:space="0" w:color="A6A6A6"/>
              <w:bottom w:val="single" w:sz="4" w:space="0" w:color="A6A6A6"/>
            </w:tcBorders>
            <w:hideMark/>
          </w:tcPr>
          <w:p w14:paraId="7BA7915B" w14:textId="77777777" w:rsidR="005F4A7E" w:rsidRPr="002029AF" w:rsidRDefault="005F4A7E" w:rsidP="00130D1C">
            <w:pPr>
              <w:pStyle w:val="ARfintablebody"/>
              <w:spacing w:before="30" w:after="10" w:line="252" w:lineRule="auto"/>
            </w:pPr>
            <w:r w:rsidRPr="000B5F7A">
              <w:t>Salvation Army Property Trust</w:t>
            </w:r>
          </w:p>
        </w:tc>
        <w:tc>
          <w:tcPr>
            <w:tcW w:w="1134" w:type="dxa"/>
            <w:tcBorders>
              <w:top w:val="single" w:sz="4" w:space="0" w:color="A6A6A6"/>
              <w:bottom w:val="single" w:sz="4" w:space="0" w:color="A6A6A6"/>
            </w:tcBorders>
            <w:shd w:val="clear" w:color="auto" w:fill="E7E6E6"/>
            <w:noWrap/>
            <w:hideMark/>
          </w:tcPr>
          <w:p w14:paraId="66805C79" w14:textId="77777777" w:rsidR="005F4A7E" w:rsidRPr="002029AF" w:rsidRDefault="005F4A7E" w:rsidP="00130D1C">
            <w:pPr>
              <w:pStyle w:val="ARfintablebodyright"/>
              <w:spacing w:before="30" w:after="10" w:line="252" w:lineRule="auto"/>
            </w:pPr>
            <w:r w:rsidRPr="000B5F7A">
              <w:t>104.2</w:t>
            </w:r>
          </w:p>
        </w:tc>
        <w:tc>
          <w:tcPr>
            <w:tcW w:w="1134" w:type="dxa"/>
            <w:tcBorders>
              <w:top w:val="single" w:sz="4" w:space="0" w:color="A6A6A6"/>
              <w:bottom w:val="single" w:sz="4" w:space="0" w:color="A6A6A6"/>
            </w:tcBorders>
            <w:noWrap/>
            <w:hideMark/>
          </w:tcPr>
          <w:p w14:paraId="65687714" w14:textId="77777777" w:rsidR="005F4A7E" w:rsidRPr="002029AF" w:rsidRDefault="005F4A7E" w:rsidP="00130D1C">
            <w:pPr>
              <w:pStyle w:val="ARfintablebodyright"/>
              <w:spacing w:before="30" w:after="10" w:line="252" w:lineRule="auto"/>
            </w:pPr>
            <w:r w:rsidRPr="000B5F7A">
              <w:t>78.8</w:t>
            </w:r>
          </w:p>
        </w:tc>
      </w:tr>
      <w:tr w:rsidR="005F4A7E" w:rsidRPr="002029AF" w14:paraId="63A997AB" w14:textId="77777777" w:rsidTr="00860E95">
        <w:tc>
          <w:tcPr>
            <w:tcW w:w="7369" w:type="dxa"/>
            <w:tcBorders>
              <w:top w:val="single" w:sz="4" w:space="0" w:color="A6A6A6"/>
              <w:bottom w:val="single" w:sz="4" w:space="0" w:color="A6A6A6"/>
            </w:tcBorders>
            <w:hideMark/>
          </w:tcPr>
          <w:p w14:paraId="56C009BD" w14:textId="77777777" w:rsidR="005F4A7E" w:rsidRPr="002029AF" w:rsidRDefault="005F4A7E" w:rsidP="00130D1C">
            <w:pPr>
              <w:pStyle w:val="ARfintablebody"/>
              <w:spacing w:before="30" w:after="10" w:line="252" w:lineRule="auto"/>
            </w:pPr>
            <w:r w:rsidRPr="000B5F7A">
              <w:t>Mackillop Family Services Limited</w:t>
            </w:r>
          </w:p>
        </w:tc>
        <w:tc>
          <w:tcPr>
            <w:tcW w:w="1134" w:type="dxa"/>
            <w:tcBorders>
              <w:top w:val="single" w:sz="4" w:space="0" w:color="A6A6A6"/>
              <w:bottom w:val="single" w:sz="4" w:space="0" w:color="A6A6A6"/>
            </w:tcBorders>
            <w:shd w:val="clear" w:color="auto" w:fill="E7E6E6"/>
            <w:noWrap/>
            <w:hideMark/>
          </w:tcPr>
          <w:p w14:paraId="20428C07" w14:textId="77777777" w:rsidR="005F4A7E" w:rsidRPr="002029AF" w:rsidRDefault="005F4A7E" w:rsidP="00130D1C">
            <w:pPr>
              <w:pStyle w:val="ARfintablebodyright"/>
              <w:spacing w:before="30" w:after="10" w:line="252" w:lineRule="auto"/>
            </w:pPr>
            <w:r w:rsidRPr="000B5F7A">
              <w:t>102.0</w:t>
            </w:r>
          </w:p>
        </w:tc>
        <w:tc>
          <w:tcPr>
            <w:tcW w:w="1134" w:type="dxa"/>
            <w:tcBorders>
              <w:top w:val="single" w:sz="4" w:space="0" w:color="A6A6A6"/>
              <w:bottom w:val="single" w:sz="4" w:space="0" w:color="A6A6A6"/>
            </w:tcBorders>
            <w:noWrap/>
            <w:hideMark/>
          </w:tcPr>
          <w:p w14:paraId="34029F64" w14:textId="77777777" w:rsidR="005F4A7E" w:rsidRPr="002029AF" w:rsidRDefault="005F4A7E" w:rsidP="00130D1C">
            <w:pPr>
              <w:pStyle w:val="ARfintablebodyright"/>
              <w:spacing w:before="30" w:after="10" w:line="252" w:lineRule="auto"/>
            </w:pPr>
            <w:r w:rsidRPr="000B5F7A">
              <w:t>81.7</w:t>
            </w:r>
          </w:p>
        </w:tc>
      </w:tr>
      <w:tr w:rsidR="005F4A7E" w:rsidRPr="002029AF" w14:paraId="78BCB44A" w14:textId="77777777" w:rsidTr="00860E95">
        <w:tc>
          <w:tcPr>
            <w:tcW w:w="7369" w:type="dxa"/>
            <w:tcBorders>
              <w:top w:val="single" w:sz="4" w:space="0" w:color="A6A6A6"/>
              <w:bottom w:val="single" w:sz="4" w:space="0" w:color="A6A6A6"/>
            </w:tcBorders>
          </w:tcPr>
          <w:p w14:paraId="7C2C5AE0" w14:textId="77777777" w:rsidR="005F4A7E" w:rsidRPr="002029AF" w:rsidRDefault="005F4A7E" w:rsidP="00130D1C">
            <w:pPr>
              <w:pStyle w:val="ARfintablebody"/>
              <w:spacing w:before="30" w:after="10" w:line="252" w:lineRule="auto"/>
            </w:pPr>
            <w:r w:rsidRPr="000B5F7A">
              <w:t>Launch Housing Limited</w:t>
            </w:r>
          </w:p>
        </w:tc>
        <w:tc>
          <w:tcPr>
            <w:tcW w:w="1134" w:type="dxa"/>
            <w:tcBorders>
              <w:top w:val="single" w:sz="4" w:space="0" w:color="A6A6A6"/>
              <w:bottom w:val="single" w:sz="4" w:space="0" w:color="A6A6A6"/>
            </w:tcBorders>
            <w:shd w:val="clear" w:color="auto" w:fill="E7E6E6"/>
            <w:noWrap/>
          </w:tcPr>
          <w:p w14:paraId="4CA748D2" w14:textId="77777777" w:rsidR="005F4A7E" w:rsidRPr="002029AF" w:rsidRDefault="005F4A7E" w:rsidP="00130D1C">
            <w:pPr>
              <w:pStyle w:val="ARfintablebodyright"/>
              <w:spacing w:before="30" w:after="10" w:line="252" w:lineRule="auto"/>
            </w:pPr>
            <w:r w:rsidRPr="000B5F7A">
              <w:t>95.9</w:t>
            </w:r>
          </w:p>
        </w:tc>
        <w:tc>
          <w:tcPr>
            <w:tcW w:w="1134" w:type="dxa"/>
            <w:tcBorders>
              <w:top w:val="single" w:sz="4" w:space="0" w:color="A6A6A6"/>
              <w:bottom w:val="single" w:sz="4" w:space="0" w:color="A6A6A6"/>
            </w:tcBorders>
            <w:noWrap/>
          </w:tcPr>
          <w:p w14:paraId="48A18D76" w14:textId="77777777" w:rsidR="005F4A7E" w:rsidRPr="002029AF" w:rsidRDefault="005F4A7E" w:rsidP="00130D1C">
            <w:pPr>
              <w:pStyle w:val="ARfintablebodyright"/>
              <w:spacing w:before="30" w:after="10" w:line="252" w:lineRule="auto"/>
            </w:pPr>
            <w:r w:rsidRPr="000B5F7A">
              <w:t>45.6</w:t>
            </w:r>
          </w:p>
        </w:tc>
      </w:tr>
      <w:tr w:rsidR="005F4A7E" w:rsidRPr="002029AF" w14:paraId="7950F940" w14:textId="77777777" w:rsidTr="00860E95">
        <w:tc>
          <w:tcPr>
            <w:tcW w:w="7369" w:type="dxa"/>
            <w:tcBorders>
              <w:top w:val="single" w:sz="4" w:space="0" w:color="A6A6A6"/>
              <w:bottom w:val="single" w:sz="4" w:space="0" w:color="A6A6A6"/>
            </w:tcBorders>
          </w:tcPr>
          <w:p w14:paraId="7A5D8592" w14:textId="77777777" w:rsidR="005F4A7E" w:rsidRPr="002029AF" w:rsidRDefault="005F4A7E" w:rsidP="00130D1C">
            <w:pPr>
              <w:pStyle w:val="ARfintablebody"/>
              <w:spacing w:before="30" w:after="10" w:line="252" w:lineRule="auto"/>
            </w:pPr>
            <w:r w:rsidRPr="000B5F7A">
              <w:t>Victorian Aboriginal Child Care Agency</w:t>
            </w:r>
          </w:p>
        </w:tc>
        <w:tc>
          <w:tcPr>
            <w:tcW w:w="1134" w:type="dxa"/>
            <w:tcBorders>
              <w:top w:val="single" w:sz="4" w:space="0" w:color="A6A6A6"/>
              <w:bottom w:val="single" w:sz="4" w:space="0" w:color="A6A6A6"/>
            </w:tcBorders>
            <w:shd w:val="clear" w:color="auto" w:fill="E7E6E6"/>
            <w:noWrap/>
          </w:tcPr>
          <w:p w14:paraId="70DA3AA1" w14:textId="77777777" w:rsidR="005F4A7E" w:rsidRPr="002029AF" w:rsidRDefault="005F4A7E" w:rsidP="00130D1C">
            <w:pPr>
              <w:pStyle w:val="ARfintablebodyright"/>
              <w:spacing w:before="30" w:after="10" w:line="252" w:lineRule="auto"/>
            </w:pPr>
            <w:r w:rsidRPr="000B5F7A">
              <w:t>77.0</w:t>
            </w:r>
          </w:p>
        </w:tc>
        <w:tc>
          <w:tcPr>
            <w:tcW w:w="1134" w:type="dxa"/>
            <w:tcBorders>
              <w:top w:val="single" w:sz="4" w:space="0" w:color="A6A6A6"/>
              <w:bottom w:val="single" w:sz="4" w:space="0" w:color="A6A6A6"/>
            </w:tcBorders>
            <w:noWrap/>
          </w:tcPr>
          <w:p w14:paraId="7F0837C8" w14:textId="77777777" w:rsidR="005F4A7E" w:rsidRPr="002029AF" w:rsidRDefault="005F4A7E" w:rsidP="00130D1C">
            <w:pPr>
              <w:pStyle w:val="ARfintablebodyright"/>
              <w:spacing w:before="30" w:after="10" w:line="252" w:lineRule="auto"/>
            </w:pPr>
            <w:r w:rsidRPr="000B5F7A">
              <w:t>56.8</w:t>
            </w:r>
          </w:p>
        </w:tc>
      </w:tr>
      <w:tr w:rsidR="005F4A7E" w:rsidRPr="002029AF" w14:paraId="15D835F9" w14:textId="77777777" w:rsidTr="00860E95">
        <w:tc>
          <w:tcPr>
            <w:tcW w:w="7369" w:type="dxa"/>
            <w:tcBorders>
              <w:top w:val="single" w:sz="4" w:space="0" w:color="A6A6A6"/>
              <w:bottom w:val="single" w:sz="4" w:space="0" w:color="A6A6A6"/>
            </w:tcBorders>
          </w:tcPr>
          <w:p w14:paraId="3277075C" w14:textId="77777777" w:rsidR="005F4A7E" w:rsidRPr="002029AF" w:rsidRDefault="005F4A7E" w:rsidP="00130D1C">
            <w:pPr>
              <w:pStyle w:val="ARfintablebody"/>
              <w:spacing w:before="30" w:after="10" w:line="252" w:lineRule="auto"/>
            </w:pPr>
            <w:r w:rsidRPr="000B5F7A">
              <w:t>Cohealth Ltd</w:t>
            </w:r>
          </w:p>
        </w:tc>
        <w:tc>
          <w:tcPr>
            <w:tcW w:w="1134" w:type="dxa"/>
            <w:tcBorders>
              <w:top w:val="single" w:sz="4" w:space="0" w:color="A6A6A6"/>
              <w:bottom w:val="single" w:sz="4" w:space="0" w:color="A6A6A6"/>
            </w:tcBorders>
            <w:shd w:val="clear" w:color="auto" w:fill="E7E6E6"/>
            <w:noWrap/>
          </w:tcPr>
          <w:p w14:paraId="1B6218AF" w14:textId="77777777" w:rsidR="005F4A7E" w:rsidRPr="002029AF" w:rsidRDefault="005F4A7E" w:rsidP="00130D1C">
            <w:pPr>
              <w:pStyle w:val="ARfintablebodyright"/>
              <w:spacing w:before="30" w:after="10" w:line="252" w:lineRule="auto"/>
            </w:pPr>
            <w:r w:rsidRPr="000B5F7A">
              <w:t>65.9</w:t>
            </w:r>
          </w:p>
        </w:tc>
        <w:tc>
          <w:tcPr>
            <w:tcW w:w="1134" w:type="dxa"/>
            <w:tcBorders>
              <w:top w:val="single" w:sz="4" w:space="0" w:color="A6A6A6"/>
              <w:bottom w:val="single" w:sz="4" w:space="0" w:color="A6A6A6"/>
            </w:tcBorders>
            <w:noWrap/>
          </w:tcPr>
          <w:p w14:paraId="1D59B743" w14:textId="77777777" w:rsidR="005F4A7E" w:rsidRPr="002029AF" w:rsidRDefault="005F4A7E" w:rsidP="00130D1C">
            <w:pPr>
              <w:pStyle w:val="ARfintablebodyright"/>
              <w:spacing w:before="30" w:after="10" w:line="252" w:lineRule="auto"/>
            </w:pPr>
            <w:r w:rsidRPr="000B5F7A">
              <w:t>38.7</w:t>
            </w:r>
          </w:p>
        </w:tc>
      </w:tr>
      <w:tr w:rsidR="005F4A7E" w:rsidRPr="002029AF" w14:paraId="1376D04F" w14:textId="77777777" w:rsidTr="00860E95">
        <w:tc>
          <w:tcPr>
            <w:tcW w:w="7369" w:type="dxa"/>
            <w:tcBorders>
              <w:top w:val="single" w:sz="4" w:space="0" w:color="A6A6A6"/>
              <w:bottom w:val="single" w:sz="4" w:space="0" w:color="A6A6A6"/>
            </w:tcBorders>
          </w:tcPr>
          <w:p w14:paraId="229B4084" w14:textId="77777777" w:rsidR="005F4A7E" w:rsidRPr="002029AF" w:rsidRDefault="005F4A7E" w:rsidP="00130D1C">
            <w:pPr>
              <w:pStyle w:val="ARfintablebody"/>
              <w:spacing w:before="30" w:after="10" w:line="252" w:lineRule="auto"/>
            </w:pPr>
            <w:r w:rsidRPr="000B5F7A">
              <w:t>Melba Support Services</w:t>
            </w:r>
          </w:p>
        </w:tc>
        <w:tc>
          <w:tcPr>
            <w:tcW w:w="1134" w:type="dxa"/>
            <w:tcBorders>
              <w:top w:val="single" w:sz="4" w:space="0" w:color="A6A6A6"/>
              <w:bottom w:val="single" w:sz="4" w:space="0" w:color="A6A6A6"/>
            </w:tcBorders>
            <w:shd w:val="clear" w:color="auto" w:fill="E7E6E6"/>
            <w:noWrap/>
          </w:tcPr>
          <w:p w14:paraId="3906BE21" w14:textId="77777777" w:rsidR="005F4A7E" w:rsidRPr="002029AF" w:rsidRDefault="005F4A7E" w:rsidP="00130D1C">
            <w:pPr>
              <w:pStyle w:val="ARfintablebodyright"/>
              <w:spacing w:before="30" w:after="10" w:line="252" w:lineRule="auto"/>
            </w:pPr>
            <w:r w:rsidRPr="000B5F7A">
              <w:t>70.9</w:t>
            </w:r>
          </w:p>
        </w:tc>
        <w:tc>
          <w:tcPr>
            <w:tcW w:w="1134" w:type="dxa"/>
            <w:tcBorders>
              <w:top w:val="single" w:sz="4" w:space="0" w:color="A6A6A6"/>
              <w:bottom w:val="single" w:sz="4" w:space="0" w:color="A6A6A6"/>
            </w:tcBorders>
            <w:noWrap/>
          </w:tcPr>
          <w:p w14:paraId="52B8B7FA" w14:textId="77777777" w:rsidR="005F4A7E" w:rsidRPr="002029AF" w:rsidRDefault="005F4A7E" w:rsidP="00130D1C">
            <w:pPr>
              <w:pStyle w:val="ARfintablebodyright"/>
              <w:spacing w:before="30" w:after="10" w:line="252" w:lineRule="auto"/>
            </w:pPr>
            <w:r w:rsidRPr="000B5F7A">
              <w:t>81.2</w:t>
            </w:r>
          </w:p>
        </w:tc>
      </w:tr>
      <w:tr w:rsidR="005F4A7E" w:rsidRPr="002029AF" w14:paraId="0CD5BB8D" w14:textId="77777777" w:rsidTr="00860E95">
        <w:tc>
          <w:tcPr>
            <w:tcW w:w="7369" w:type="dxa"/>
            <w:tcBorders>
              <w:top w:val="single" w:sz="4" w:space="0" w:color="A6A6A6"/>
              <w:bottom w:val="single" w:sz="4" w:space="0" w:color="A6A6A6"/>
            </w:tcBorders>
          </w:tcPr>
          <w:p w14:paraId="50221C0C" w14:textId="77777777" w:rsidR="005F4A7E" w:rsidRPr="002029AF" w:rsidRDefault="005F4A7E" w:rsidP="00130D1C">
            <w:pPr>
              <w:pStyle w:val="ARfintablebody"/>
              <w:spacing w:before="30" w:after="10" w:line="252" w:lineRule="auto"/>
            </w:pPr>
            <w:r w:rsidRPr="000B5F7A">
              <w:t>Cabrini Health Limited</w:t>
            </w:r>
          </w:p>
        </w:tc>
        <w:tc>
          <w:tcPr>
            <w:tcW w:w="1134" w:type="dxa"/>
            <w:tcBorders>
              <w:top w:val="single" w:sz="4" w:space="0" w:color="A6A6A6"/>
              <w:bottom w:val="single" w:sz="4" w:space="0" w:color="A6A6A6"/>
            </w:tcBorders>
            <w:shd w:val="clear" w:color="auto" w:fill="E7E6E6"/>
            <w:noWrap/>
          </w:tcPr>
          <w:p w14:paraId="479ADEC9" w14:textId="77777777" w:rsidR="005F4A7E" w:rsidRPr="002029AF" w:rsidRDefault="005F4A7E" w:rsidP="00130D1C">
            <w:pPr>
              <w:pStyle w:val="ARfintablebodyright"/>
              <w:spacing w:before="30" w:after="10" w:line="252" w:lineRule="auto"/>
            </w:pPr>
            <w:r w:rsidRPr="000B5F7A">
              <w:t>44.6</w:t>
            </w:r>
          </w:p>
        </w:tc>
        <w:tc>
          <w:tcPr>
            <w:tcW w:w="1134" w:type="dxa"/>
            <w:tcBorders>
              <w:top w:val="single" w:sz="4" w:space="0" w:color="A6A6A6"/>
              <w:bottom w:val="single" w:sz="4" w:space="0" w:color="A6A6A6"/>
            </w:tcBorders>
            <w:noWrap/>
          </w:tcPr>
          <w:p w14:paraId="1B61AA7A" w14:textId="77777777" w:rsidR="005F4A7E" w:rsidRPr="002029AF" w:rsidRDefault="005F4A7E" w:rsidP="00130D1C">
            <w:pPr>
              <w:pStyle w:val="ARfintablebodyright"/>
              <w:spacing w:before="30" w:after="10" w:line="252" w:lineRule="auto"/>
            </w:pPr>
            <w:r w:rsidRPr="000B5F7A">
              <w:t>48.2</w:t>
            </w:r>
          </w:p>
        </w:tc>
      </w:tr>
      <w:tr w:rsidR="005F4A7E" w:rsidRPr="002029AF" w14:paraId="12DAF90C" w14:textId="77777777" w:rsidTr="00860E95">
        <w:tc>
          <w:tcPr>
            <w:tcW w:w="7369" w:type="dxa"/>
            <w:tcBorders>
              <w:top w:val="single" w:sz="4" w:space="0" w:color="A6A6A6"/>
              <w:bottom w:val="single" w:sz="4" w:space="0" w:color="A6A6A6"/>
            </w:tcBorders>
          </w:tcPr>
          <w:p w14:paraId="7E88D0A8" w14:textId="77777777" w:rsidR="005F4A7E" w:rsidRPr="002029AF" w:rsidRDefault="005F4A7E" w:rsidP="00130D1C">
            <w:pPr>
              <w:pStyle w:val="ARfintablebody"/>
              <w:spacing w:before="30" w:after="10" w:line="252" w:lineRule="auto"/>
            </w:pPr>
            <w:r w:rsidRPr="000B5F7A">
              <w:t>Australian Red Cross Society Victoria</w:t>
            </w:r>
          </w:p>
        </w:tc>
        <w:tc>
          <w:tcPr>
            <w:tcW w:w="1134" w:type="dxa"/>
            <w:tcBorders>
              <w:top w:val="single" w:sz="4" w:space="0" w:color="A6A6A6"/>
              <w:bottom w:val="single" w:sz="4" w:space="0" w:color="A6A6A6"/>
            </w:tcBorders>
            <w:shd w:val="clear" w:color="auto" w:fill="E7E6E6"/>
            <w:noWrap/>
          </w:tcPr>
          <w:p w14:paraId="61B9C553" w14:textId="77777777" w:rsidR="005F4A7E" w:rsidRPr="002029AF" w:rsidRDefault="005F4A7E" w:rsidP="00130D1C">
            <w:pPr>
              <w:pStyle w:val="ARfintablebodyright"/>
              <w:spacing w:before="30" w:after="10" w:line="252" w:lineRule="auto"/>
            </w:pPr>
            <w:r w:rsidRPr="000B5F7A">
              <w:t>54.5</w:t>
            </w:r>
          </w:p>
        </w:tc>
        <w:tc>
          <w:tcPr>
            <w:tcW w:w="1134" w:type="dxa"/>
            <w:tcBorders>
              <w:top w:val="single" w:sz="4" w:space="0" w:color="A6A6A6"/>
              <w:bottom w:val="single" w:sz="4" w:space="0" w:color="A6A6A6"/>
            </w:tcBorders>
            <w:noWrap/>
          </w:tcPr>
          <w:p w14:paraId="2ED3EA94" w14:textId="77777777" w:rsidR="005F4A7E" w:rsidRPr="002029AF" w:rsidRDefault="005F4A7E" w:rsidP="00130D1C">
            <w:pPr>
              <w:pStyle w:val="ARfintablebodyright"/>
              <w:spacing w:before="30" w:after="10" w:line="252" w:lineRule="auto"/>
            </w:pPr>
            <w:r w:rsidRPr="000B5F7A">
              <w:t>3.0</w:t>
            </w:r>
          </w:p>
        </w:tc>
      </w:tr>
      <w:tr w:rsidR="005F4A7E" w:rsidRPr="002029AF" w14:paraId="760A96B1" w14:textId="77777777" w:rsidTr="00860E95">
        <w:tc>
          <w:tcPr>
            <w:tcW w:w="7369" w:type="dxa"/>
            <w:tcBorders>
              <w:top w:val="single" w:sz="4" w:space="0" w:color="A6A6A6"/>
              <w:bottom w:val="single" w:sz="4" w:space="0" w:color="A6A6A6"/>
            </w:tcBorders>
          </w:tcPr>
          <w:p w14:paraId="75910D8F" w14:textId="77777777" w:rsidR="005F4A7E" w:rsidRPr="002029AF" w:rsidRDefault="005F4A7E" w:rsidP="00130D1C">
            <w:pPr>
              <w:pStyle w:val="ARfintablebody"/>
              <w:spacing w:before="30" w:after="10" w:line="252" w:lineRule="auto"/>
            </w:pPr>
            <w:r w:rsidRPr="000B5F7A">
              <w:t>Ramsay Health Care</w:t>
            </w:r>
          </w:p>
        </w:tc>
        <w:tc>
          <w:tcPr>
            <w:tcW w:w="1134" w:type="dxa"/>
            <w:tcBorders>
              <w:top w:val="single" w:sz="4" w:space="0" w:color="A6A6A6"/>
              <w:bottom w:val="single" w:sz="4" w:space="0" w:color="A6A6A6"/>
            </w:tcBorders>
            <w:shd w:val="clear" w:color="auto" w:fill="E7E6E6"/>
            <w:noWrap/>
          </w:tcPr>
          <w:p w14:paraId="58C21CBC" w14:textId="77777777" w:rsidR="005F4A7E" w:rsidRPr="002029AF" w:rsidRDefault="005F4A7E" w:rsidP="00130D1C">
            <w:pPr>
              <w:pStyle w:val="ARfintablebodyright"/>
              <w:spacing w:before="30" w:after="10" w:line="252" w:lineRule="auto"/>
            </w:pPr>
            <w:r w:rsidRPr="000B5F7A">
              <w:t>32.3</w:t>
            </w:r>
          </w:p>
        </w:tc>
        <w:tc>
          <w:tcPr>
            <w:tcW w:w="1134" w:type="dxa"/>
            <w:tcBorders>
              <w:top w:val="single" w:sz="4" w:space="0" w:color="A6A6A6"/>
              <w:bottom w:val="single" w:sz="4" w:space="0" w:color="A6A6A6"/>
            </w:tcBorders>
            <w:noWrap/>
          </w:tcPr>
          <w:p w14:paraId="29D546D1" w14:textId="77777777" w:rsidR="005F4A7E" w:rsidRPr="002029AF" w:rsidRDefault="005F4A7E" w:rsidP="00130D1C">
            <w:pPr>
              <w:pStyle w:val="ARfintablebodyright"/>
              <w:spacing w:before="30" w:after="10" w:line="252" w:lineRule="auto"/>
            </w:pPr>
            <w:r w:rsidRPr="000B5F7A">
              <w:t>48.5</w:t>
            </w:r>
          </w:p>
        </w:tc>
      </w:tr>
      <w:tr w:rsidR="005F4A7E" w:rsidRPr="002029AF" w14:paraId="1BDD9F7A" w14:textId="77777777" w:rsidTr="00860E95">
        <w:tc>
          <w:tcPr>
            <w:tcW w:w="7369" w:type="dxa"/>
            <w:tcBorders>
              <w:top w:val="single" w:sz="4" w:space="0" w:color="A6A6A6"/>
              <w:bottom w:val="single" w:sz="4" w:space="0" w:color="A6A6A6"/>
            </w:tcBorders>
          </w:tcPr>
          <w:p w14:paraId="0F43EB2E" w14:textId="77777777" w:rsidR="005F4A7E" w:rsidRPr="002029AF" w:rsidRDefault="005F4A7E" w:rsidP="00130D1C">
            <w:pPr>
              <w:pStyle w:val="ARfintablebody"/>
              <w:spacing w:before="30" w:after="10" w:line="252" w:lineRule="auto"/>
            </w:pPr>
            <w:r w:rsidRPr="000B5F7A">
              <w:t>Optia Ltd</w:t>
            </w:r>
          </w:p>
        </w:tc>
        <w:tc>
          <w:tcPr>
            <w:tcW w:w="1134" w:type="dxa"/>
            <w:tcBorders>
              <w:top w:val="single" w:sz="4" w:space="0" w:color="A6A6A6"/>
              <w:bottom w:val="single" w:sz="4" w:space="0" w:color="A6A6A6"/>
            </w:tcBorders>
            <w:shd w:val="clear" w:color="auto" w:fill="E7E6E6"/>
            <w:noWrap/>
          </w:tcPr>
          <w:p w14:paraId="3BA20653" w14:textId="77777777" w:rsidR="005F4A7E" w:rsidRPr="002029AF" w:rsidRDefault="005F4A7E" w:rsidP="00130D1C">
            <w:pPr>
              <w:pStyle w:val="ARfintablebodyright"/>
              <w:spacing w:before="30" w:after="10" w:line="252" w:lineRule="auto"/>
            </w:pPr>
            <w:r w:rsidRPr="000B5F7A">
              <w:t>55.6</w:t>
            </w:r>
          </w:p>
        </w:tc>
        <w:tc>
          <w:tcPr>
            <w:tcW w:w="1134" w:type="dxa"/>
            <w:tcBorders>
              <w:top w:val="single" w:sz="4" w:space="0" w:color="A6A6A6"/>
              <w:bottom w:val="single" w:sz="4" w:space="0" w:color="A6A6A6"/>
            </w:tcBorders>
            <w:noWrap/>
          </w:tcPr>
          <w:p w14:paraId="51D963FC" w14:textId="77777777" w:rsidR="005F4A7E" w:rsidRPr="002029AF" w:rsidRDefault="005F4A7E" w:rsidP="00130D1C">
            <w:pPr>
              <w:pStyle w:val="ARfintablebodyright"/>
              <w:spacing w:before="30" w:after="10" w:line="252" w:lineRule="auto"/>
            </w:pPr>
            <w:r w:rsidRPr="000B5F7A">
              <w:t>64.9</w:t>
            </w:r>
          </w:p>
        </w:tc>
      </w:tr>
      <w:tr w:rsidR="005F4A7E" w:rsidRPr="002029AF" w14:paraId="61CACB22" w14:textId="77777777" w:rsidTr="00860E95">
        <w:tc>
          <w:tcPr>
            <w:tcW w:w="7369" w:type="dxa"/>
            <w:tcBorders>
              <w:top w:val="single" w:sz="4" w:space="0" w:color="A6A6A6"/>
              <w:bottom w:val="single" w:sz="4" w:space="0" w:color="A6A6A6"/>
            </w:tcBorders>
            <w:hideMark/>
          </w:tcPr>
          <w:p w14:paraId="203BD880" w14:textId="77777777" w:rsidR="005F4A7E" w:rsidRPr="002029AF" w:rsidRDefault="005F4A7E" w:rsidP="00130D1C">
            <w:pPr>
              <w:pStyle w:val="ARfintablebody"/>
              <w:spacing w:before="30" w:after="10" w:line="252" w:lineRule="auto"/>
            </w:pPr>
            <w:r w:rsidRPr="000B5F7A">
              <w:t>BreastScreen Victoria Inc</w:t>
            </w:r>
          </w:p>
        </w:tc>
        <w:tc>
          <w:tcPr>
            <w:tcW w:w="1134" w:type="dxa"/>
            <w:tcBorders>
              <w:top w:val="single" w:sz="4" w:space="0" w:color="A6A6A6"/>
              <w:bottom w:val="single" w:sz="4" w:space="0" w:color="A6A6A6"/>
            </w:tcBorders>
            <w:shd w:val="clear" w:color="auto" w:fill="E7E6E6"/>
            <w:noWrap/>
            <w:hideMark/>
          </w:tcPr>
          <w:p w14:paraId="32ED5D6C" w14:textId="77777777" w:rsidR="005F4A7E" w:rsidRPr="002029AF" w:rsidRDefault="005F4A7E" w:rsidP="00130D1C">
            <w:pPr>
              <w:pStyle w:val="ARfintablebodyright"/>
              <w:spacing w:before="30" w:after="10" w:line="252" w:lineRule="auto"/>
            </w:pPr>
            <w:r w:rsidRPr="000B5F7A">
              <w:t>53.4</w:t>
            </w:r>
          </w:p>
        </w:tc>
        <w:tc>
          <w:tcPr>
            <w:tcW w:w="1134" w:type="dxa"/>
            <w:tcBorders>
              <w:top w:val="single" w:sz="4" w:space="0" w:color="A6A6A6"/>
              <w:bottom w:val="single" w:sz="4" w:space="0" w:color="A6A6A6"/>
            </w:tcBorders>
            <w:noWrap/>
            <w:hideMark/>
          </w:tcPr>
          <w:p w14:paraId="5725D78B" w14:textId="77777777" w:rsidR="005F4A7E" w:rsidRPr="002029AF" w:rsidRDefault="005F4A7E" w:rsidP="00130D1C">
            <w:pPr>
              <w:pStyle w:val="ARfintablebodyright"/>
              <w:spacing w:before="30" w:after="10" w:line="252" w:lineRule="auto"/>
            </w:pPr>
            <w:r w:rsidRPr="000B5F7A">
              <w:t>51.6</w:t>
            </w:r>
          </w:p>
        </w:tc>
      </w:tr>
      <w:tr w:rsidR="005F4A7E" w:rsidRPr="002029AF" w14:paraId="12B878C5" w14:textId="77777777" w:rsidTr="00860E95">
        <w:tc>
          <w:tcPr>
            <w:tcW w:w="7369" w:type="dxa"/>
            <w:tcBorders>
              <w:top w:val="single" w:sz="4" w:space="0" w:color="A6A6A6"/>
              <w:bottom w:val="single" w:sz="4" w:space="0" w:color="A6A6A6"/>
            </w:tcBorders>
            <w:hideMark/>
          </w:tcPr>
          <w:p w14:paraId="3BDFB6D0" w14:textId="77777777" w:rsidR="005F4A7E" w:rsidRPr="002029AF" w:rsidRDefault="005F4A7E" w:rsidP="00130D1C">
            <w:pPr>
              <w:pStyle w:val="ARfintablebody"/>
              <w:spacing w:before="30" w:after="10" w:line="252" w:lineRule="auto"/>
            </w:pPr>
            <w:r w:rsidRPr="000B5F7A">
              <w:t>Aruma</w:t>
            </w:r>
          </w:p>
        </w:tc>
        <w:tc>
          <w:tcPr>
            <w:tcW w:w="1134" w:type="dxa"/>
            <w:tcBorders>
              <w:top w:val="single" w:sz="4" w:space="0" w:color="A6A6A6"/>
              <w:bottom w:val="single" w:sz="4" w:space="0" w:color="A6A6A6"/>
            </w:tcBorders>
            <w:shd w:val="clear" w:color="auto" w:fill="E7E6E6"/>
            <w:noWrap/>
            <w:hideMark/>
          </w:tcPr>
          <w:p w14:paraId="10750CC7" w14:textId="77777777" w:rsidR="005F4A7E" w:rsidRPr="002029AF" w:rsidRDefault="005F4A7E" w:rsidP="00130D1C">
            <w:pPr>
              <w:pStyle w:val="ARfintablebodyright"/>
              <w:spacing w:before="30" w:after="10" w:line="252" w:lineRule="auto"/>
            </w:pPr>
            <w:r w:rsidRPr="000B5F7A">
              <w:t>43.4</w:t>
            </w:r>
          </w:p>
        </w:tc>
        <w:tc>
          <w:tcPr>
            <w:tcW w:w="1134" w:type="dxa"/>
            <w:tcBorders>
              <w:top w:val="single" w:sz="4" w:space="0" w:color="A6A6A6"/>
              <w:bottom w:val="single" w:sz="4" w:space="0" w:color="A6A6A6"/>
            </w:tcBorders>
            <w:noWrap/>
            <w:hideMark/>
          </w:tcPr>
          <w:p w14:paraId="7577DF25" w14:textId="77777777" w:rsidR="005F4A7E" w:rsidRPr="002029AF" w:rsidRDefault="005F4A7E" w:rsidP="00130D1C">
            <w:pPr>
              <w:pStyle w:val="ARfintablebodyright"/>
              <w:spacing w:before="30" w:after="10" w:line="252" w:lineRule="auto"/>
            </w:pPr>
            <w:r w:rsidRPr="000B5F7A">
              <w:t>59.5</w:t>
            </w:r>
          </w:p>
        </w:tc>
      </w:tr>
      <w:tr w:rsidR="005F4A7E" w:rsidRPr="002029AF" w14:paraId="3D5BCEDD" w14:textId="77777777" w:rsidTr="00860E95">
        <w:tc>
          <w:tcPr>
            <w:tcW w:w="7369" w:type="dxa"/>
            <w:tcBorders>
              <w:top w:val="single" w:sz="4" w:space="0" w:color="A6A6A6"/>
              <w:bottom w:val="single" w:sz="4" w:space="0" w:color="A6A6A6"/>
            </w:tcBorders>
            <w:hideMark/>
          </w:tcPr>
          <w:p w14:paraId="49FDC773" w14:textId="77777777" w:rsidR="005F4A7E" w:rsidRPr="002029AF" w:rsidRDefault="005F4A7E" w:rsidP="00130D1C">
            <w:pPr>
              <w:pStyle w:val="ARfintablebody"/>
              <w:spacing w:before="30" w:after="10" w:line="252" w:lineRule="auto"/>
            </w:pPr>
            <w:r w:rsidRPr="000B5F7A">
              <w:t>Eastern Access Community Health Inc</w:t>
            </w:r>
          </w:p>
        </w:tc>
        <w:tc>
          <w:tcPr>
            <w:tcW w:w="1134" w:type="dxa"/>
            <w:tcBorders>
              <w:top w:val="single" w:sz="4" w:space="0" w:color="A6A6A6"/>
              <w:bottom w:val="single" w:sz="4" w:space="0" w:color="A6A6A6"/>
            </w:tcBorders>
            <w:shd w:val="clear" w:color="auto" w:fill="E7E6E6"/>
            <w:noWrap/>
            <w:hideMark/>
          </w:tcPr>
          <w:p w14:paraId="27D97539" w14:textId="77777777" w:rsidR="005F4A7E" w:rsidRPr="002029AF" w:rsidRDefault="005F4A7E" w:rsidP="00130D1C">
            <w:pPr>
              <w:pStyle w:val="ARfintablebodyright"/>
              <w:spacing w:before="30" w:after="10" w:line="252" w:lineRule="auto"/>
            </w:pPr>
            <w:r w:rsidRPr="000B5F7A">
              <w:t>42.6</w:t>
            </w:r>
          </w:p>
        </w:tc>
        <w:tc>
          <w:tcPr>
            <w:tcW w:w="1134" w:type="dxa"/>
            <w:tcBorders>
              <w:top w:val="single" w:sz="4" w:space="0" w:color="A6A6A6"/>
              <w:bottom w:val="single" w:sz="4" w:space="0" w:color="A6A6A6"/>
            </w:tcBorders>
            <w:noWrap/>
            <w:hideMark/>
          </w:tcPr>
          <w:p w14:paraId="5C72DB81" w14:textId="77777777" w:rsidR="005F4A7E" w:rsidRPr="002029AF" w:rsidRDefault="005F4A7E" w:rsidP="00130D1C">
            <w:pPr>
              <w:pStyle w:val="ARfintablebodyright"/>
              <w:spacing w:before="30" w:after="10" w:line="252" w:lineRule="auto"/>
            </w:pPr>
            <w:r w:rsidRPr="000B5F7A">
              <w:t>28.8</w:t>
            </w:r>
          </w:p>
        </w:tc>
      </w:tr>
      <w:tr w:rsidR="005F4A7E" w:rsidRPr="002029AF" w14:paraId="7FEE4239" w14:textId="77777777" w:rsidTr="00860E95">
        <w:tc>
          <w:tcPr>
            <w:tcW w:w="7369" w:type="dxa"/>
            <w:tcBorders>
              <w:top w:val="single" w:sz="4" w:space="0" w:color="A6A6A6"/>
              <w:bottom w:val="single" w:sz="4" w:space="0" w:color="A6A6A6"/>
            </w:tcBorders>
            <w:hideMark/>
          </w:tcPr>
          <w:p w14:paraId="061BB673" w14:textId="77777777" w:rsidR="005F4A7E" w:rsidRPr="002029AF" w:rsidRDefault="005F4A7E" w:rsidP="00130D1C">
            <w:pPr>
              <w:pStyle w:val="ARfintablebody"/>
              <w:spacing w:before="30" w:after="10" w:line="252" w:lineRule="auto"/>
            </w:pPr>
            <w:r w:rsidRPr="000B5F7A">
              <w:t>The University of Melbourne</w:t>
            </w:r>
          </w:p>
        </w:tc>
        <w:tc>
          <w:tcPr>
            <w:tcW w:w="1134" w:type="dxa"/>
            <w:tcBorders>
              <w:top w:val="single" w:sz="4" w:space="0" w:color="A6A6A6"/>
              <w:bottom w:val="single" w:sz="4" w:space="0" w:color="A6A6A6"/>
            </w:tcBorders>
            <w:shd w:val="clear" w:color="auto" w:fill="E7E6E6"/>
            <w:noWrap/>
            <w:hideMark/>
          </w:tcPr>
          <w:p w14:paraId="70331C29" w14:textId="77777777" w:rsidR="005F4A7E" w:rsidRPr="002029AF" w:rsidRDefault="005F4A7E" w:rsidP="00130D1C">
            <w:pPr>
              <w:pStyle w:val="ARfintablebodyright"/>
              <w:spacing w:before="30" w:after="10" w:line="252" w:lineRule="auto"/>
            </w:pPr>
            <w:r w:rsidRPr="000B5F7A">
              <w:t>37.6</w:t>
            </w:r>
          </w:p>
        </w:tc>
        <w:tc>
          <w:tcPr>
            <w:tcW w:w="1134" w:type="dxa"/>
            <w:tcBorders>
              <w:top w:val="single" w:sz="4" w:space="0" w:color="A6A6A6"/>
              <w:bottom w:val="single" w:sz="4" w:space="0" w:color="A6A6A6"/>
            </w:tcBorders>
            <w:noWrap/>
            <w:hideMark/>
          </w:tcPr>
          <w:p w14:paraId="73CC4E8C" w14:textId="77777777" w:rsidR="005F4A7E" w:rsidRPr="002029AF" w:rsidRDefault="005F4A7E" w:rsidP="00130D1C">
            <w:pPr>
              <w:pStyle w:val="ARfintablebodyright"/>
              <w:spacing w:before="30" w:after="10" w:line="252" w:lineRule="auto"/>
            </w:pPr>
            <w:r w:rsidRPr="000B5F7A">
              <w:t>32.1</w:t>
            </w:r>
          </w:p>
        </w:tc>
      </w:tr>
      <w:tr w:rsidR="005F4A7E" w:rsidRPr="002029AF" w14:paraId="6FB0F3A9" w14:textId="77777777" w:rsidTr="00860E95">
        <w:tc>
          <w:tcPr>
            <w:tcW w:w="7369" w:type="dxa"/>
            <w:tcBorders>
              <w:top w:val="single" w:sz="4" w:space="0" w:color="A6A6A6"/>
              <w:bottom w:val="single" w:sz="4" w:space="0" w:color="A6A6A6"/>
            </w:tcBorders>
            <w:hideMark/>
          </w:tcPr>
          <w:p w14:paraId="726F7E2A" w14:textId="77777777" w:rsidR="005F4A7E" w:rsidRPr="002029AF" w:rsidRDefault="005F4A7E" w:rsidP="00130D1C">
            <w:pPr>
              <w:pStyle w:val="ARfintablebody"/>
              <w:spacing w:before="30" w:after="10" w:line="252" w:lineRule="auto"/>
            </w:pPr>
            <w:r w:rsidRPr="000B5F7A">
              <w:t>Melbourne City Mission Inc</w:t>
            </w:r>
          </w:p>
        </w:tc>
        <w:tc>
          <w:tcPr>
            <w:tcW w:w="1134" w:type="dxa"/>
            <w:tcBorders>
              <w:top w:val="single" w:sz="4" w:space="0" w:color="A6A6A6"/>
              <w:bottom w:val="single" w:sz="4" w:space="0" w:color="A6A6A6"/>
            </w:tcBorders>
            <w:shd w:val="clear" w:color="auto" w:fill="E7E6E6"/>
            <w:noWrap/>
            <w:hideMark/>
          </w:tcPr>
          <w:p w14:paraId="3A47FC08" w14:textId="77777777" w:rsidR="005F4A7E" w:rsidRPr="002029AF" w:rsidRDefault="005F4A7E" w:rsidP="00130D1C">
            <w:pPr>
              <w:pStyle w:val="ARfintablebodyright"/>
              <w:spacing w:before="30" w:after="10" w:line="252" w:lineRule="auto"/>
            </w:pPr>
            <w:r w:rsidRPr="000B5F7A">
              <w:t>35.4</w:t>
            </w:r>
          </w:p>
        </w:tc>
        <w:tc>
          <w:tcPr>
            <w:tcW w:w="1134" w:type="dxa"/>
            <w:tcBorders>
              <w:top w:val="single" w:sz="4" w:space="0" w:color="A6A6A6"/>
              <w:bottom w:val="single" w:sz="4" w:space="0" w:color="A6A6A6"/>
            </w:tcBorders>
            <w:noWrap/>
            <w:hideMark/>
          </w:tcPr>
          <w:p w14:paraId="769C9299" w14:textId="77777777" w:rsidR="005F4A7E" w:rsidRPr="002029AF" w:rsidRDefault="005F4A7E" w:rsidP="00130D1C">
            <w:pPr>
              <w:pStyle w:val="ARfintablebodyright"/>
              <w:spacing w:before="30" w:after="10" w:line="252" w:lineRule="auto"/>
            </w:pPr>
            <w:r w:rsidRPr="000B5F7A">
              <w:t>32.5</w:t>
            </w:r>
          </w:p>
        </w:tc>
      </w:tr>
      <w:tr w:rsidR="005F4A7E" w:rsidRPr="002029AF" w14:paraId="3ADB7D43" w14:textId="77777777" w:rsidTr="00860E95">
        <w:tc>
          <w:tcPr>
            <w:tcW w:w="7369" w:type="dxa"/>
            <w:tcBorders>
              <w:top w:val="single" w:sz="4" w:space="0" w:color="A6A6A6"/>
              <w:bottom w:val="single" w:sz="4" w:space="0" w:color="A6A6A6"/>
            </w:tcBorders>
            <w:hideMark/>
          </w:tcPr>
          <w:p w14:paraId="728092CD" w14:textId="4150EFC5" w:rsidR="005F4A7E" w:rsidRPr="002029AF" w:rsidRDefault="005F4A7E" w:rsidP="00130D1C">
            <w:pPr>
              <w:pStyle w:val="ARfintablebody"/>
              <w:spacing w:before="30" w:after="10" w:line="252" w:lineRule="auto"/>
            </w:pPr>
            <w:r w:rsidRPr="000B5F7A">
              <w:t>Yarra Community Housing Ltd</w:t>
            </w:r>
          </w:p>
        </w:tc>
        <w:tc>
          <w:tcPr>
            <w:tcW w:w="1134" w:type="dxa"/>
            <w:tcBorders>
              <w:top w:val="single" w:sz="4" w:space="0" w:color="A6A6A6"/>
              <w:bottom w:val="single" w:sz="4" w:space="0" w:color="A6A6A6"/>
            </w:tcBorders>
            <w:shd w:val="clear" w:color="auto" w:fill="E7E6E6"/>
            <w:noWrap/>
            <w:hideMark/>
          </w:tcPr>
          <w:p w14:paraId="498CBEC7" w14:textId="77777777" w:rsidR="005F4A7E" w:rsidRPr="002029AF" w:rsidRDefault="005F4A7E" w:rsidP="00130D1C">
            <w:pPr>
              <w:pStyle w:val="ARfintablebodyright"/>
              <w:spacing w:before="30" w:after="10" w:line="252" w:lineRule="auto"/>
            </w:pPr>
            <w:r w:rsidRPr="000B5F7A">
              <w:t>32.9</w:t>
            </w:r>
          </w:p>
        </w:tc>
        <w:tc>
          <w:tcPr>
            <w:tcW w:w="1134" w:type="dxa"/>
            <w:tcBorders>
              <w:top w:val="single" w:sz="4" w:space="0" w:color="A6A6A6"/>
              <w:bottom w:val="single" w:sz="4" w:space="0" w:color="A6A6A6"/>
            </w:tcBorders>
            <w:noWrap/>
            <w:hideMark/>
          </w:tcPr>
          <w:p w14:paraId="377FBF52" w14:textId="77777777" w:rsidR="005F4A7E" w:rsidRPr="002029AF" w:rsidRDefault="005F4A7E" w:rsidP="00130D1C">
            <w:pPr>
              <w:pStyle w:val="ARfintablebodyright"/>
              <w:spacing w:before="30" w:after="10" w:line="252" w:lineRule="auto"/>
            </w:pPr>
            <w:r w:rsidRPr="000B5F7A">
              <w:t>10.4</w:t>
            </w:r>
          </w:p>
        </w:tc>
      </w:tr>
      <w:tr w:rsidR="005F4A7E" w:rsidRPr="002029AF" w14:paraId="00CED605" w14:textId="77777777" w:rsidTr="00860E95">
        <w:tc>
          <w:tcPr>
            <w:tcW w:w="7369" w:type="dxa"/>
            <w:tcBorders>
              <w:top w:val="single" w:sz="4" w:space="0" w:color="A6A6A6"/>
              <w:bottom w:val="single" w:sz="4" w:space="0" w:color="A6A6A6"/>
            </w:tcBorders>
            <w:hideMark/>
          </w:tcPr>
          <w:p w14:paraId="11615054" w14:textId="77777777" w:rsidR="005F4A7E" w:rsidRPr="002029AF" w:rsidRDefault="005F4A7E" w:rsidP="00130D1C">
            <w:pPr>
              <w:pStyle w:val="ARfintablebody"/>
              <w:spacing w:before="30" w:after="10" w:line="252" w:lineRule="auto"/>
            </w:pPr>
            <w:r w:rsidRPr="000B5F7A">
              <w:t>Latrobe Community Health Service</w:t>
            </w:r>
          </w:p>
        </w:tc>
        <w:tc>
          <w:tcPr>
            <w:tcW w:w="1134" w:type="dxa"/>
            <w:tcBorders>
              <w:top w:val="single" w:sz="4" w:space="0" w:color="A6A6A6"/>
              <w:bottom w:val="single" w:sz="4" w:space="0" w:color="A6A6A6"/>
            </w:tcBorders>
            <w:shd w:val="clear" w:color="auto" w:fill="E7E6E6"/>
            <w:noWrap/>
            <w:hideMark/>
          </w:tcPr>
          <w:p w14:paraId="5D5369F3" w14:textId="77777777" w:rsidR="005F4A7E" w:rsidRPr="002029AF" w:rsidRDefault="005F4A7E" w:rsidP="00130D1C">
            <w:pPr>
              <w:pStyle w:val="ARfintablebodyright"/>
              <w:spacing w:before="30" w:after="10" w:line="252" w:lineRule="auto"/>
            </w:pPr>
            <w:r w:rsidRPr="000B5F7A">
              <w:t>32.8</w:t>
            </w:r>
          </w:p>
        </w:tc>
        <w:tc>
          <w:tcPr>
            <w:tcW w:w="1134" w:type="dxa"/>
            <w:tcBorders>
              <w:top w:val="single" w:sz="4" w:space="0" w:color="A6A6A6"/>
              <w:bottom w:val="single" w:sz="4" w:space="0" w:color="A6A6A6"/>
            </w:tcBorders>
            <w:noWrap/>
            <w:hideMark/>
          </w:tcPr>
          <w:p w14:paraId="64147B66" w14:textId="77777777" w:rsidR="005F4A7E" w:rsidRPr="002029AF" w:rsidRDefault="005F4A7E" w:rsidP="00130D1C">
            <w:pPr>
              <w:pStyle w:val="ARfintablebodyright"/>
              <w:spacing w:before="30" w:after="10" w:line="252" w:lineRule="auto"/>
            </w:pPr>
            <w:r w:rsidRPr="000B5F7A">
              <w:t>25.3</w:t>
            </w:r>
          </w:p>
        </w:tc>
      </w:tr>
      <w:tr w:rsidR="005F4A7E" w:rsidRPr="002029AF" w14:paraId="15084F37" w14:textId="77777777" w:rsidTr="00860E95">
        <w:tc>
          <w:tcPr>
            <w:tcW w:w="7369" w:type="dxa"/>
            <w:tcBorders>
              <w:top w:val="single" w:sz="4" w:space="0" w:color="A6A6A6"/>
              <w:bottom w:val="single" w:sz="4" w:space="0" w:color="A6A6A6"/>
            </w:tcBorders>
            <w:hideMark/>
          </w:tcPr>
          <w:p w14:paraId="19F528C1" w14:textId="77777777" w:rsidR="005F4A7E" w:rsidRPr="002029AF" w:rsidRDefault="005F4A7E" w:rsidP="00130D1C">
            <w:pPr>
              <w:pStyle w:val="ARfintablebody"/>
              <w:spacing w:before="30" w:after="10" w:line="252" w:lineRule="auto"/>
            </w:pPr>
            <w:r w:rsidRPr="000B5F7A">
              <w:t>IPC Health</w:t>
            </w:r>
          </w:p>
        </w:tc>
        <w:tc>
          <w:tcPr>
            <w:tcW w:w="1134" w:type="dxa"/>
            <w:tcBorders>
              <w:top w:val="single" w:sz="4" w:space="0" w:color="A6A6A6"/>
              <w:bottom w:val="single" w:sz="4" w:space="0" w:color="A6A6A6"/>
            </w:tcBorders>
            <w:shd w:val="clear" w:color="auto" w:fill="E7E6E6"/>
            <w:noWrap/>
            <w:hideMark/>
          </w:tcPr>
          <w:p w14:paraId="6D292AA9" w14:textId="77777777" w:rsidR="005F4A7E" w:rsidRPr="002029AF" w:rsidRDefault="005F4A7E" w:rsidP="00130D1C">
            <w:pPr>
              <w:pStyle w:val="ARfintablebodyright"/>
              <w:spacing w:before="30" w:after="10" w:line="252" w:lineRule="auto"/>
            </w:pPr>
            <w:r w:rsidRPr="000B5F7A">
              <w:t>45.2</w:t>
            </w:r>
          </w:p>
        </w:tc>
        <w:tc>
          <w:tcPr>
            <w:tcW w:w="1134" w:type="dxa"/>
            <w:tcBorders>
              <w:top w:val="single" w:sz="4" w:space="0" w:color="A6A6A6"/>
              <w:bottom w:val="single" w:sz="4" w:space="0" w:color="A6A6A6"/>
            </w:tcBorders>
            <w:noWrap/>
            <w:hideMark/>
          </w:tcPr>
          <w:p w14:paraId="5F5683BA" w14:textId="77777777" w:rsidR="005F4A7E" w:rsidRPr="002029AF" w:rsidRDefault="005F4A7E" w:rsidP="00130D1C">
            <w:pPr>
              <w:pStyle w:val="ARfintablebodyright"/>
              <w:spacing w:before="30" w:after="10" w:line="252" w:lineRule="auto"/>
            </w:pPr>
            <w:r w:rsidRPr="000B5F7A">
              <w:t>17.0</w:t>
            </w:r>
          </w:p>
        </w:tc>
      </w:tr>
      <w:tr w:rsidR="005F4A7E" w:rsidRPr="002029AF" w14:paraId="540D9D63" w14:textId="77777777" w:rsidTr="00860E95">
        <w:tc>
          <w:tcPr>
            <w:tcW w:w="7369" w:type="dxa"/>
            <w:tcBorders>
              <w:top w:val="single" w:sz="4" w:space="0" w:color="A6A6A6"/>
              <w:bottom w:val="single" w:sz="4" w:space="0" w:color="A6A6A6"/>
            </w:tcBorders>
            <w:hideMark/>
          </w:tcPr>
          <w:p w14:paraId="7AD39FE2" w14:textId="5972FDEA" w:rsidR="005F4A7E" w:rsidRPr="002029AF" w:rsidRDefault="005F4A7E" w:rsidP="00130D1C">
            <w:pPr>
              <w:pStyle w:val="ARfintablebody"/>
              <w:spacing w:before="30" w:after="10" w:line="252" w:lineRule="auto"/>
            </w:pPr>
            <w:r w:rsidRPr="000B5F7A">
              <w:t>St Vincent</w:t>
            </w:r>
            <w:r w:rsidR="007D145B">
              <w:t>’</w:t>
            </w:r>
            <w:r w:rsidRPr="000B5F7A">
              <w:t>s Private Hospital</w:t>
            </w:r>
          </w:p>
        </w:tc>
        <w:tc>
          <w:tcPr>
            <w:tcW w:w="1134" w:type="dxa"/>
            <w:tcBorders>
              <w:top w:val="single" w:sz="4" w:space="0" w:color="A6A6A6"/>
              <w:bottom w:val="single" w:sz="4" w:space="0" w:color="A6A6A6"/>
            </w:tcBorders>
            <w:shd w:val="clear" w:color="auto" w:fill="E7E6E6"/>
            <w:noWrap/>
            <w:hideMark/>
          </w:tcPr>
          <w:p w14:paraId="23A99611" w14:textId="77777777" w:rsidR="005F4A7E" w:rsidRPr="002029AF" w:rsidRDefault="005F4A7E" w:rsidP="00130D1C">
            <w:pPr>
              <w:pStyle w:val="ARfintablebodyright"/>
              <w:spacing w:before="30" w:after="10" w:line="252" w:lineRule="auto"/>
            </w:pPr>
            <w:r w:rsidRPr="000B5F7A">
              <w:t>41.8</w:t>
            </w:r>
          </w:p>
        </w:tc>
        <w:tc>
          <w:tcPr>
            <w:tcW w:w="1134" w:type="dxa"/>
            <w:tcBorders>
              <w:top w:val="single" w:sz="4" w:space="0" w:color="A6A6A6"/>
              <w:bottom w:val="single" w:sz="4" w:space="0" w:color="A6A6A6"/>
            </w:tcBorders>
            <w:noWrap/>
            <w:hideMark/>
          </w:tcPr>
          <w:p w14:paraId="3BEED27B" w14:textId="77777777" w:rsidR="005F4A7E" w:rsidRPr="002029AF" w:rsidRDefault="005F4A7E" w:rsidP="00130D1C">
            <w:pPr>
              <w:pStyle w:val="ARfintablebodyright"/>
              <w:spacing w:before="30" w:after="10" w:line="252" w:lineRule="auto"/>
            </w:pPr>
            <w:r w:rsidRPr="000B5F7A">
              <w:t>37.4</w:t>
            </w:r>
          </w:p>
        </w:tc>
      </w:tr>
      <w:tr w:rsidR="005F4A7E" w:rsidRPr="002029AF" w14:paraId="1A36D49A" w14:textId="77777777" w:rsidTr="00860E95">
        <w:tc>
          <w:tcPr>
            <w:tcW w:w="7369" w:type="dxa"/>
            <w:tcBorders>
              <w:top w:val="single" w:sz="4" w:space="0" w:color="A6A6A6"/>
              <w:bottom w:val="single" w:sz="4" w:space="0" w:color="A6A6A6"/>
            </w:tcBorders>
            <w:hideMark/>
          </w:tcPr>
          <w:p w14:paraId="295BBD9A" w14:textId="77777777" w:rsidR="005F4A7E" w:rsidRPr="002029AF" w:rsidRDefault="005F4A7E" w:rsidP="00130D1C">
            <w:pPr>
              <w:pStyle w:val="ARfintablebody"/>
              <w:spacing w:before="30" w:after="10" w:line="252" w:lineRule="auto"/>
            </w:pPr>
            <w:r w:rsidRPr="000B5F7A">
              <w:t>Client/assistance payments</w:t>
            </w:r>
          </w:p>
        </w:tc>
        <w:tc>
          <w:tcPr>
            <w:tcW w:w="1134" w:type="dxa"/>
            <w:tcBorders>
              <w:top w:val="single" w:sz="4" w:space="0" w:color="A6A6A6"/>
              <w:bottom w:val="single" w:sz="4" w:space="0" w:color="A6A6A6"/>
            </w:tcBorders>
            <w:shd w:val="clear" w:color="auto" w:fill="E7E6E6"/>
            <w:noWrap/>
            <w:hideMark/>
          </w:tcPr>
          <w:p w14:paraId="3F85803B" w14:textId="77777777" w:rsidR="005F4A7E" w:rsidRPr="002029AF" w:rsidRDefault="005F4A7E" w:rsidP="00130D1C">
            <w:pPr>
              <w:pStyle w:val="ARfintablebodyright"/>
              <w:spacing w:before="30" w:after="10" w:line="252" w:lineRule="auto"/>
            </w:pPr>
            <w:r w:rsidRPr="000B5F7A">
              <w:t>807.1</w:t>
            </w:r>
          </w:p>
        </w:tc>
        <w:tc>
          <w:tcPr>
            <w:tcW w:w="1134" w:type="dxa"/>
            <w:tcBorders>
              <w:top w:val="single" w:sz="4" w:space="0" w:color="A6A6A6"/>
              <w:bottom w:val="single" w:sz="4" w:space="0" w:color="A6A6A6"/>
            </w:tcBorders>
            <w:noWrap/>
            <w:hideMark/>
          </w:tcPr>
          <w:p w14:paraId="7F95359D" w14:textId="77777777" w:rsidR="005F4A7E" w:rsidRPr="002029AF" w:rsidRDefault="005F4A7E" w:rsidP="00130D1C">
            <w:pPr>
              <w:pStyle w:val="ARfintablebodyright"/>
              <w:spacing w:before="30" w:after="10" w:line="252" w:lineRule="auto"/>
            </w:pPr>
            <w:r w:rsidRPr="000B5F7A">
              <w:t>727.6</w:t>
            </w:r>
          </w:p>
        </w:tc>
      </w:tr>
      <w:tr w:rsidR="005F4A7E" w:rsidRPr="002029AF" w14:paraId="35692362" w14:textId="77777777" w:rsidTr="00860E95">
        <w:tc>
          <w:tcPr>
            <w:tcW w:w="7369" w:type="dxa"/>
            <w:tcBorders>
              <w:top w:val="single" w:sz="4" w:space="0" w:color="A6A6A6"/>
            </w:tcBorders>
            <w:hideMark/>
          </w:tcPr>
          <w:p w14:paraId="4486E87E" w14:textId="77777777" w:rsidR="005F4A7E" w:rsidRPr="002029AF" w:rsidRDefault="005F4A7E" w:rsidP="00130D1C">
            <w:pPr>
              <w:pStyle w:val="ARfintablebody"/>
              <w:spacing w:before="30" w:after="10" w:line="252" w:lineRule="auto"/>
            </w:pPr>
            <w:r w:rsidRPr="000B5F7A">
              <w:t>Other non-government agencies with payments totalling less than $30 million</w:t>
            </w:r>
          </w:p>
        </w:tc>
        <w:tc>
          <w:tcPr>
            <w:tcW w:w="1134" w:type="dxa"/>
            <w:tcBorders>
              <w:top w:val="single" w:sz="4" w:space="0" w:color="A6A6A6"/>
            </w:tcBorders>
            <w:shd w:val="clear" w:color="auto" w:fill="E7E6E6"/>
            <w:noWrap/>
            <w:hideMark/>
          </w:tcPr>
          <w:p w14:paraId="06920DBB" w14:textId="77777777" w:rsidR="005F4A7E" w:rsidRPr="002029AF" w:rsidRDefault="005F4A7E" w:rsidP="00130D1C">
            <w:pPr>
              <w:pStyle w:val="ARfintablebodyright"/>
              <w:spacing w:before="30" w:after="10" w:line="252" w:lineRule="auto"/>
            </w:pPr>
            <w:r w:rsidRPr="000B5F7A">
              <w:t>3,526.5</w:t>
            </w:r>
          </w:p>
        </w:tc>
        <w:tc>
          <w:tcPr>
            <w:tcW w:w="1134" w:type="dxa"/>
            <w:tcBorders>
              <w:top w:val="single" w:sz="4" w:space="0" w:color="A6A6A6"/>
            </w:tcBorders>
            <w:noWrap/>
            <w:hideMark/>
          </w:tcPr>
          <w:p w14:paraId="2C257E40" w14:textId="77777777" w:rsidR="005F4A7E" w:rsidRPr="002029AF" w:rsidRDefault="005F4A7E" w:rsidP="00130D1C">
            <w:pPr>
              <w:pStyle w:val="ARfintablebodyright"/>
              <w:spacing w:before="30" w:after="10" w:line="252" w:lineRule="auto"/>
            </w:pPr>
            <w:r w:rsidRPr="000B5F7A">
              <w:t>3,001.9</w:t>
            </w:r>
          </w:p>
        </w:tc>
      </w:tr>
      <w:tr w:rsidR="005F4A7E" w:rsidRPr="002029AF" w14:paraId="5787476E" w14:textId="77777777" w:rsidTr="00860E95">
        <w:tc>
          <w:tcPr>
            <w:tcW w:w="7369" w:type="dxa"/>
            <w:hideMark/>
          </w:tcPr>
          <w:p w14:paraId="1D7F410B" w14:textId="77777777" w:rsidR="005F4A7E" w:rsidRPr="002029AF" w:rsidRDefault="005F4A7E" w:rsidP="00130D1C">
            <w:pPr>
              <w:pStyle w:val="ARfintablebodybold"/>
              <w:spacing w:before="30" w:after="10" w:line="252" w:lineRule="auto"/>
            </w:pPr>
          </w:p>
        </w:tc>
        <w:tc>
          <w:tcPr>
            <w:tcW w:w="1134" w:type="dxa"/>
            <w:shd w:val="clear" w:color="auto" w:fill="E7E6E6"/>
            <w:noWrap/>
            <w:hideMark/>
          </w:tcPr>
          <w:p w14:paraId="35EEFFB0" w14:textId="77777777" w:rsidR="005F4A7E" w:rsidRPr="002029AF" w:rsidRDefault="005F4A7E" w:rsidP="00130D1C">
            <w:pPr>
              <w:pStyle w:val="ARfintablebodyrightbold"/>
              <w:spacing w:before="30" w:after="10" w:line="252" w:lineRule="auto"/>
            </w:pPr>
            <w:r w:rsidRPr="000B5F7A">
              <w:t>6,260.7</w:t>
            </w:r>
          </w:p>
        </w:tc>
        <w:tc>
          <w:tcPr>
            <w:tcW w:w="1134" w:type="dxa"/>
            <w:noWrap/>
            <w:hideMark/>
          </w:tcPr>
          <w:p w14:paraId="2CD3E1B9" w14:textId="77777777" w:rsidR="005F4A7E" w:rsidRPr="002029AF" w:rsidRDefault="005F4A7E" w:rsidP="00130D1C">
            <w:pPr>
              <w:pStyle w:val="ARfintablebodyrightbold"/>
              <w:spacing w:before="30" w:after="10" w:line="252" w:lineRule="auto"/>
            </w:pPr>
            <w:r w:rsidRPr="000B5F7A">
              <w:t>5,377.1</w:t>
            </w:r>
          </w:p>
        </w:tc>
      </w:tr>
      <w:tr w:rsidR="005F4A7E" w:rsidRPr="002029AF" w14:paraId="34467CCD" w14:textId="77777777" w:rsidTr="00860E95">
        <w:tc>
          <w:tcPr>
            <w:tcW w:w="7369" w:type="dxa"/>
            <w:hideMark/>
          </w:tcPr>
          <w:p w14:paraId="7BCC1CE6" w14:textId="77777777" w:rsidR="005F4A7E" w:rsidRPr="002029AF" w:rsidRDefault="005F4A7E" w:rsidP="00130D1C">
            <w:pPr>
              <w:pStyle w:val="ARfintablebodybold"/>
              <w:spacing w:before="30" w:after="10" w:line="252" w:lineRule="auto"/>
            </w:pPr>
            <w:r w:rsidRPr="000B5F7A">
              <w:t>Total grants and other expense transfers</w:t>
            </w:r>
          </w:p>
        </w:tc>
        <w:tc>
          <w:tcPr>
            <w:tcW w:w="1134" w:type="dxa"/>
            <w:shd w:val="clear" w:color="auto" w:fill="E7E6E6"/>
            <w:noWrap/>
            <w:hideMark/>
          </w:tcPr>
          <w:p w14:paraId="607DB0DE" w14:textId="77777777" w:rsidR="005F4A7E" w:rsidRPr="002029AF" w:rsidRDefault="005F4A7E" w:rsidP="00130D1C">
            <w:pPr>
              <w:pStyle w:val="ARfintablebodyrightbold"/>
              <w:spacing w:before="30" w:after="10" w:line="252" w:lineRule="auto"/>
            </w:pPr>
            <w:r w:rsidRPr="000B5F7A">
              <w:t>19,720.7</w:t>
            </w:r>
          </w:p>
        </w:tc>
        <w:tc>
          <w:tcPr>
            <w:tcW w:w="1134" w:type="dxa"/>
            <w:noWrap/>
            <w:hideMark/>
          </w:tcPr>
          <w:p w14:paraId="50F724AA" w14:textId="77777777" w:rsidR="005F4A7E" w:rsidRPr="002029AF" w:rsidRDefault="005F4A7E" w:rsidP="00130D1C">
            <w:pPr>
              <w:pStyle w:val="ARfintablebodyrightbold"/>
              <w:spacing w:before="30" w:after="10" w:line="252" w:lineRule="auto"/>
            </w:pPr>
            <w:r w:rsidRPr="000B5F7A">
              <w:t>17,308.0</w:t>
            </w:r>
          </w:p>
        </w:tc>
      </w:tr>
    </w:tbl>
    <w:p w14:paraId="0F2EA5A8" w14:textId="77777777" w:rsidR="005F4A7E" w:rsidRDefault="005F4A7E" w:rsidP="00130D1C">
      <w:pPr>
        <w:pStyle w:val="ARfintablefootnote"/>
        <w:spacing w:line="240" w:lineRule="auto"/>
        <w:rPr>
          <w:lang w:eastAsia="en-AU"/>
        </w:rPr>
      </w:pPr>
      <w:bookmarkStart w:id="816" w:name="_Hlk82091973"/>
      <w:bookmarkStart w:id="817" w:name="_Toc39136702"/>
      <w:r>
        <w:rPr>
          <w:lang w:eastAsia="en-AU"/>
        </w:rPr>
        <w:t>Notes:</w:t>
      </w:r>
    </w:p>
    <w:p w14:paraId="0B95E810" w14:textId="77777777" w:rsidR="005F4A7E" w:rsidRDefault="005F4A7E" w:rsidP="00130D1C">
      <w:pPr>
        <w:pStyle w:val="ARfintablefootnoteindent"/>
      </w:pPr>
      <w:r>
        <w:t>(i)</w:t>
      </w:r>
      <w:r>
        <w:tab/>
        <w:t xml:space="preserve">As defined in schedules 1 and 5 of the </w:t>
      </w:r>
      <w:r>
        <w:rPr>
          <w:rStyle w:val="Emphasis"/>
        </w:rPr>
        <w:t>Health Services Act 1988</w:t>
      </w:r>
      <w:r>
        <w:t>.</w:t>
      </w:r>
    </w:p>
    <w:p w14:paraId="10F472F9" w14:textId="77777777" w:rsidR="005F4A7E" w:rsidRDefault="005F4A7E" w:rsidP="00130D1C">
      <w:pPr>
        <w:pStyle w:val="ARfintablefootnoteindent"/>
      </w:pPr>
      <w:r>
        <w:t>(ii)</w:t>
      </w:r>
      <w:r>
        <w:tab/>
        <w:t xml:space="preserve">As defined in schedule 2 of the </w:t>
      </w:r>
      <w:r>
        <w:rPr>
          <w:rStyle w:val="Emphasis"/>
        </w:rPr>
        <w:t>Health Services Act 1988</w:t>
      </w:r>
      <w:bookmarkEnd w:id="816"/>
      <w:r>
        <w:t>.</w:t>
      </w:r>
    </w:p>
    <w:p w14:paraId="0CEB870A" w14:textId="1A04910E" w:rsidR="005F4A7E" w:rsidRDefault="005F4A7E" w:rsidP="00130D1C">
      <w:pPr>
        <w:pStyle w:val="ARfinbodyaftertable"/>
      </w:pPr>
      <w:r>
        <w:t xml:space="preserve">Transactions in which the department provides goods, services, assets (or extinguishes a liability) or labour to another party without receiving approximately equal value in return are categorised as </w:t>
      </w:r>
      <w:r w:rsidR="007D145B">
        <w:t>‘</w:t>
      </w:r>
      <w:r>
        <w:t>Grant and other expense transfers</w:t>
      </w:r>
      <w:r w:rsidR="007D145B">
        <w:t>’</w:t>
      </w:r>
      <w:r>
        <w:t>. Grants can either be operating or capital in nature.</w:t>
      </w:r>
    </w:p>
    <w:p w14:paraId="42A8302C" w14:textId="77777777" w:rsidR="005F4A7E" w:rsidRDefault="005F4A7E" w:rsidP="00130D1C">
      <w:pPr>
        <w:pStyle w:val="ARfinbody"/>
      </w:pPr>
      <w:r>
        <w:t>Grants and other transfers to third parties (other than contribution to owners) are recognised as an expense in the reporting period in which they are paid or payable. They include transactions such as grants, subsidies and other transfer payments to public health services, public and denominational hospitals, other state government agencies, local councils and non-government agencies and individuals and the state contribution to the National Health Funding Pool.</w:t>
      </w:r>
    </w:p>
    <w:p w14:paraId="494CE1E6" w14:textId="77777777" w:rsidR="005F4A7E" w:rsidRDefault="005F4A7E" w:rsidP="00130D1C">
      <w:pPr>
        <w:pStyle w:val="ARfinbody"/>
      </w:pPr>
      <w:r>
        <w:t>State funds in the National Health Funding Pool are paid to health agencies for Activity Based Funding initiatives. There are, however, a range of grant payments that remain out of scope for National Health Reform, such as aged care subsidies, home and community care payments and community-based drug and alcohol services that continue to be paid directly to health agencies.</w:t>
      </w:r>
    </w:p>
    <w:p w14:paraId="25830D32" w14:textId="77777777" w:rsidR="005F4A7E" w:rsidRPr="002029AF" w:rsidRDefault="005F4A7E" w:rsidP="00087B91">
      <w:pPr>
        <w:pStyle w:val="Heading5"/>
      </w:pPr>
      <w:bookmarkStart w:id="818" w:name="_Toc85121390"/>
      <w:r w:rsidRPr="002029AF">
        <w:lastRenderedPageBreak/>
        <w:t>3.1.3 Capital asset charge</w:t>
      </w:r>
      <w:bookmarkEnd w:id="817"/>
      <w:bookmarkEnd w:id="818"/>
    </w:p>
    <w:tbl>
      <w:tblPr>
        <w:tblStyle w:val="TableGrid"/>
        <w:tblW w:w="9637" w:type="dxa"/>
        <w:tblLayout w:type="fixed"/>
        <w:tblLook w:val="06A0" w:firstRow="1" w:lastRow="0" w:firstColumn="1" w:lastColumn="0" w:noHBand="1" w:noVBand="1"/>
      </w:tblPr>
      <w:tblGrid>
        <w:gridCol w:w="7371"/>
        <w:gridCol w:w="1133"/>
        <w:gridCol w:w="1133"/>
      </w:tblGrid>
      <w:tr w:rsidR="005F4A7E" w:rsidRPr="002029AF" w14:paraId="167E7DA4"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71" w:type="dxa"/>
            <w:noWrap/>
            <w:hideMark/>
          </w:tcPr>
          <w:p w14:paraId="2F9E0C6F" w14:textId="77777777" w:rsidR="005F4A7E" w:rsidRPr="002029AF" w:rsidRDefault="005F4A7E" w:rsidP="00860E95">
            <w:pPr>
              <w:pStyle w:val="ARfintablecolhead"/>
            </w:pPr>
          </w:p>
        </w:tc>
        <w:tc>
          <w:tcPr>
            <w:tcW w:w="1133" w:type="dxa"/>
            <w:shd w:val="clear" w:color="auto" w:fill="E7E6E6"/>
            <w:hideMark/>
          </w:tcPr>
          <w:p w14:paraId="5D4FCCEC" w14:textId="77777777" w:rsidR="005F4A7E" w:rsidRPr="002029AF" w:rsidRDefault="005F4A7E" w:rsidP="00860E95">
            <w:pPr>
              <w:pStyle w:val="ARfintablecolheadright"/>
            </w:pPr>
            <w:r>
              <w:t>2021</w:t>
            </w:r>
          </w:p>
          <w:p w14:paraId="59756854" w14:textId="77777777" w:rsidR="005F4A7E" w:rsidRPr="002029AF" w:rsidRDefault="005F4A7E" w:rsidP="00860E95">
            <w:pPr>
              <w:pStyle w:val="ARfintablecolheadright"/>
            </w:pPr>
            <w:r w:rsidRPr="002029AF">
              <w:t>$M</w:t>
            </w:r>
          </w:p>
        </w:tc>
        <w:tc>
          <w:tcPr>
            <w:tcW w:w="1133" w:type="dxa"/>
            <w:hideMark/>
          </w:tcPr>
          <w:p w14:paraId="08303C41" w14:textId="77777777" w:rsidR="005F4A7E" w:rsidRPr="002029AF" w:rsidRDefault="005F4A7E" w:rsidP="00860E95">
            <w:pPr>
              <w:pStyle w:val="ARfintablecolheadright"/>
            </w:pPr>
            <w:r>
              <w:t>2020</w:t>
            </w:r>
          </w:p>
          <w:p w14:paraId="3D844602" w14:textId="77777777" w:rsidR="005F4A7E" w:rsidRPr="002029AF" w:rsidRDefault="005F4A7E" w:rsidP="00860E95">
            <w:pPr>
              <w:pStyle w:val="ARfintablecolheadright"/>
            </w:pPr>
            <w:r w:rsidRPr="002029AF">
              <w:t>$M</w:t>
            </w:r>
          </w:p>
        </w:tc>
      </w:tr>
      <w:tr w:rsidR="005F4A7E" w:rsidRPr="002029AF" w14:paraId="71D08129" w14:textId="77777777" w:rsidTr="00860E95">
        <w:tc>
          <w:tcPr>
            <w:tcW w:w="7371" w:type="dxa"/>
            <w:hideMark/>
          </w:tcPr>
          <w:p w14:paraId="0DA6B7ED" w14:textId="77777777" w:rsidR="005F4A7E" w:rsidRPr="002029AF" w:rsidRDefault="005F4A7E" w:rsidP="00130D1C">
            <w:pPr>
              <w:pStyle w:val="ARfintablebody"/>
            </w:pPr>
            <w:r w:rsidRPr="00811132">
              <w:t>Capital asset charge</w:t>
            </w:r>
          </w:p>
        </w:tc>
        <w:tc>
          <w:tcPr>
            <w:tcW w:w="1133" w:type="dxa"/>
            <w:shd w:val="clear" w:color="auto" w:fill="E7E6E6"/>
            <w:noWrap/>
            <w:hideMark/>
          </w:tcPr>
          <w:p w14:paraId="4FEAAD2E" w14:textId="77777777" w:rsidR="005F4A7E" w:rsidRPr="002029AF" w:rsidRDefault="005F4A7E" w:rsidP="00130D1C">
            <w:pPr>
              <w:pStyle w:val="ARfintablebodyright"/>
            </w:pPr>
            <w:r w:rsidRPr="00811132">
              <w:t>1,427.7</w:t>
            </w:r>
          </w:p>
        </w:tc>
        <w:tc>
          <w:tcPr>
            <w:tcW w:w="1133" w:type="dxa"/>
            <w:noWrap/>
            <w:hideMark/>
          </w:tcPr>
          <w:p w14:paraId="79028C62" w14:textId="77777777" w:rsidR="005F4A7E" w:rsidRPr="002029AF" w:rsidRDefault="005F4A7E" w:rsidP="00130D1C">
            <w:pPr>
              <w:pStyle w:val="ARfintablebodyright"/>
            </w:pPr>
            <w:r w:rsidRPr="00811132">
              <w:t>1,319.8</w:t>
            </w:r>
          </w:p>
        </w:tc>
      </w:tr>
    </w:tbl>
    <w:p w14:paraId="66F801F2" w14:textId="1EB7EC1D" w:rsidR="005F4A7E" w:rsidRDefault="005F4A7E" w:rsidP="00130D1C">
      <w:pPr>
        <w:pStyle w:val="ARfinbodyaftertable"/>
      </w:pPr>
      <w:bookmarkStart w:id="819" w:name="_Toc39136703"/>
      <w:r>
        <w:t xml:space="preserve">A </w:t>
      </w:r>
      <w:r>
        <w:rPr>
          <w:rStyle w:val="Strong"/>
        </w:rPr>
        <w:t>capital asset charge</w:t>
      </w:r>
      <w:r>
        <w:rPr>
          <w:b/>
          <w:bCs/>
        </w:rPr>
        <w:t xml:space="preserve"> </w:t>
      </w:r>
      <w:r>
        <w:t>is a charge levied on the written down value of controlled non-current physical assets in a department</w:t>
      </w:r>
      <w:r w:rsidR="007D145B">
        <w:t>’</w:t>
      </w:r>
      <w:r>
        <w:t>s balance sheet. It aims to attribute a cost of capital used in service delivery to the department outputs. Imposing this charge provides incentives for the department to identify and dispose of underutilised or surplus non-current physical assets.</w:t>
      </w:r>
    </w:p>
    <w:p w14:paraId="536F8B16" w14:textId="77777777" w:rsidR="005F4A7E" w:rsidRDefault="005F4A7E" w:rsidP="00130D1C">
      <w:pPr>
        <w:pStyle w:val="ARfinbody"/>
      </w:pPr>
      <w:r>
        <w:t>The capital asset charge is calculated on the budgeted carrying amount of applicable non-financial physical assets.</w:t>
      </w:r>
    </w:p>
    <w:p w14:paraId="7937B397" w14:textId="77777777" w:rsidR="005F4A7E" w:rsidRPr="002029AF" w:rsidRDefault="005F4A7E" w:rsidP="00130D1C">
      <w:pPr>
        <w:pStyle w:val="Heading5"/>
        <w:spacing w:before="160"/>
      </w:pPr>
      <w:bookmarkStart w:id="820" w:name="_Toc85121391"/>
      <w:bookmarkEnd w:id="819"/>
      <w:r>
        <w:t>3.1.4 Fair value of assets and services provided free of charge or for nominal consideration</w:t>
      </w:r>
      <w:bookmarkEnd w:id="820"/>
    </w:p>
    <w:tbl>
      <w:tblPr>
        <w:tblStyle w:val="TableGrid"/>
        <w:tblW w:w="9637" w:type="dxa"/>
        <w:tblLayout w:type="fixed"/>
        <w:tblLook w:val="06A0" w:firstRow="1" w:lastRow="0" w:firstColumn="1" w:lastColumn="0" w:noHBand="1" w:noVBand="1"/>
      </w:tblPr>
      <w:tblGrid>
        <w:gridCol w:w="7369"/>
        <w:gridCol w:w="1134"/>
        <w:gridCol w:w="1134"/>
      </w:tblGrid>
      <w:tr w:rsidR="005F4A7E" w:rsidRPr="002029AF" w14:paraId="5470E6D8"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68F19792" w14:textId="77777777" w:rsidR="005F4A7E" w:rsidRPr="002029AF" w:rsidRDefault="005F4A7E" w:rsidP="00860E95">
            <w:pPr>
              <w:pStyle w:val="ARfintablecolhead"/>
            </w:pPr>
          </w:p>
        </w:tc>
        <w:tc>
          <w:tcPr>
            <w:tcW w:w="1134" w:type="dxa"/>
            <w:tcBorders>
              <w:bottom w:val="single" w:sz="4" w:space="0" w:color="auto"/>
            </w:tcBorders>
            <w:shd w:val="clear" w:color="auto" w:fill="E7E6E6"/>
            <w:hideMark/>
          </w:tcPr>
          <w:p w14:paraId="1750B5A7" w14:textId="77777777" w:rsidR="005F4A7E" w:rsidRPr="002029AF" w:rsidRDefault="005F4A7E" w:rsidP="00860E95">
            <w:pPr>
              <w:pStyle w:val="ARfintablecolheadright"/>
            </w:pPr>
            <w:r>
              <w:t>2021</w:t>
            </w:r>
          </w:p>
          <w:p w14:paraId="0E557394" w14:textId="77777777" w:rsidR="005F4A7E" w:rsidRPr="002029AF" w:rsidRDefault="005F4A7E" w:rsidP="00860E95">
            <w:pPr>
              <w:pStyle w:val="ARfintablecolheadright"/>
            </w:pPr>
            <w:r w:rsidRPr="002029AF">
              <w:t>$M</w:t>
            </w:r>
          </w:p>
        </w:tc>
        <w:tc>
          <w:tcPr>
            <w:tcW w:w="1134" w:type="dxa"/>
            <w:tcBorders>
              <w:bottom w:val="single" w:sz="4" w:space="0" w:color="auto"/>
            </w:tcBorders>
            <w:hideMark/>
          </w:tcPr>
          <w:p w14:paraId="7F3FB92C" w14:textId="77777777" w:rsidR="005F4A7E" w:rsidRPr="002029AF" w:rsidRDefault="005F4A7E" w:rsidP="00860E95">
            <w:pPr>
              <w:pStyle w:val="ARfintablecolheadright"/>
            </w:pPr>
            <w:r>
              <w:t>2020</w:t>
            </w:r>
          </w:p>
          <w:p w14:paraId="4AAFC6F8" w14:textId="77777777" w:rsidR="005F4A7E" w:rsidRPr="002029AF" w:rsidRDefault="005F4A7E" w:rsidP="00860E95">
            <w:pPr>
              <w:pStyle w:val="ARfintablecolheadright"/>
            </w:pPr>
            <w:r w:rsidRPr="002029AF">
              <w:t>$M</w:t>
            </w:r>
          </w:p>
        </w:tc>
      </w:tr>
      <w:tr w:rsidR="005F4A7E" w:rsidRPr="002029AF" w14:paraId="4A447935" w14:textId="77777777" w:rsidTr="00130D1C">
        <w:tc>
          <w:tcPr>
            <w:tcW w:w="7369" w:type="dxa"/>
            <w:tcBorders>
              <w:top w:val="single" w:sz="4" w:space="0" w:color="auto"/>
              <w:bottom w:val="single" w:sz="4" w:space="0" w:color="A6A6A6"/>
            </w:tcBorders>
            <w:hideMark/>
          </w:tcPr>
          <w:p w14:paraId="0A54C2A4" w14:textId="77777777" w:rsidR="005F4A7E" w:rsidRPr="002029AF" w:rsidRDefault="005F4A7E" w:rsidP="00130D1C">
            <w:pPr>
              <w:pStyle w:val="ARfintablebody"/>
            </w:pPr>
            <w:r w:rsidRPr="00F70034">
              <w:t>Land at fair value</w:t>
            </w:r>
          </w:p>
        </w:tc>
        <w:tc>
          <w:tcPr>
            <w:tcW w:w="1134" w:type="dxa"/>
            <w:tcBorders>
              <w:top w:val="single" w:sz="4" w:space="0" w:color="auto"/>
              <w:bottom w:val="single" w:sz="4" w:space="0" w:color="A6A6A6"/>
            </w:tcBorders>
            <w:shd w:val="clear" w:color="auto" w:fill="E7E6E6"/>
            <w:noWrap/>
            <w:hideMark/>
          </w:tcPr>
          <w:p w14:paraId="70BBBCB5" w14:textId="77777777" w:rsidR="005F4A7E" w:rsidRPr="002029AF" w:rsidRDefault="005F4A7E" w:rsidP="00130D1C">
            <w:pPr>
              <w:pStyle w:val="ARfintablebodyright"/>
            </w:pPr>
            <w:r w:rsidRPr="00F70034">
              <w:t>1.6</w:t>
            </w:r>
          </w:p>
        </w:tc>
        <w:tc>
          <w:tcPr>
            <w:tcW w:w="1134" w:type="dxa"/>
            <w:tcBorders>
              <w:top w:val="single" w:sz="4" w:space="0" w:color="auto"/>
              <w:bottom w:val="single" w:sz="4" w:space="0" w:color="A6A6A6"/>
            </w:tcBorders>
            <w:noWrap/>
            <w:hideMark/>
          </w:tcPr>
          <w:p w14:paraId="6D434F42" w14:textId="77777777" w:rsidR="005F4A7E" w:rsidRPr="002029AF" w:rsidRDefault="005F4A7E" w:rsidP="00130D1C">
            <w:pPr>
              <w:pStyle w:val="ARfintablebodyright"/>
            </w:pPr>
            <w:r w:rsidRPr="00F70034">
              <w:t>–</w:t>
            </w:r>
          </w:p>
        </w:tc>
      </w:tr>
      <w:tr w:rsidR="005F4A7E" w:rsidRPr="002029AF" w14:paraId="4FE309DB" w14:textId="77777777" w:rsidTr="00130D1C">
        <w:tc>
          <w:tcPr>
            <w:tcW w:w="7369" w:type="dxa"/>
            <w:tcBorders>
              <w:top w:val="single" w:sz="4" w:space="0" w:color="A6A6A6"/>
              <w:bottom w:val="single" w:sz="4" w:space="0" w:color="A6A6A6"/>
            </w:tcBorders>
            <w:hideMark/>
          </w:tcPr>
          <w:p w14:paraId="3FEAC530" w14:textId="77777777" w:rsidR="005F4A7E" w:rsidRPr="002029AF" w:rsidRDefault="005F4A7E" w:rsidP="00130D1C">
            <w:pPr>
              <w:pStyle w:val="ARfintablebody"/>
            </w:pPr>
            <w:r w:rsidRPr="00F70034">
              <w:t>Buildings at fair value</w:t>
            </w:r>
          </w:p>
        </w:tc>
        <w:tc>
          <w:tcPr>
            <w:tcW w:w="1134" w:type="dxa"/>
            <w:tcBorders>
              <w:top w:val="single" w:sz="4" w:space="0" w:color="A6A6A6"/>
              <w:bottom w:val="single" w:sz="4" w:space="0" w:color="A6A6A6"/>
            </w:tcBorders>
            <w:shd w:val="clear" w:color="auto" w:fill="E7E6E6"/>
            <w:noWrap/>
            <w:hideMark/>
          </w:tcPr>
          <w:p w14:paraId="2C9BA199" w14:textId="77777777" w:rsidR="005F4A7E" w:rsidRPr="002029AF" w:rsidRDefault="005F4A7E" w:rsidP="00130D1C">
            <w:pPr>
              <w:pStyle w:val="ARfintablebodyright"/>
            </w:pPr>
            <w:r w:rsidRPr="00F70034">
              <w:t>0.4</w:t>
            </w:r>
          </w:p>
        </w:tc>
        <w:tc>
          <w:tcPr>
            <w:tcW w:w="1134" w:type="dxa"/>
            <w:tcBorders>
              <w:top w:val="single" w:sz="4" w:space="0" w:color="A6A6A6"/>
              <w:bottom w:val="single" w:sz="4" w:space="0" w:color="A6A6A6"/>
            </w:tcBorders>
            <w:noWrap/>
            <w:hideMark/>
          </w:tcPr>
          <w:p w14:paraId="69933848" w14:textId="77777777" w:rsidR="005F4A7E" w:rsidRPr="002029AF" w:rsidRDefault="005F4A7E" w:rsidP="00130D1C">
            <w:pPr>
              <w:pStyle w:val="ARfintablebodyright"/>
            </w:pPr>
            <w:r w:rsidRPr="00F70034">
              <w:t>–</w:t>
            </w:r>
          </w:p>
        </w:tc>
      </w:tr>
      <w:tr w:rsidR="005F4A7E" w:rsidRPr="002029AF" w14:paraId="5DA34625" w14:textId="77777777" w:rsidTr="00130D1C">
        <w:tc>
          <w:tcPr>
            <w:tcW w:w="7369" w:type="dxa"/>
            <w:tcBorders>
              <w:top w:val="single" w:sz="4" w:space="0" w:color="A6A6A6"/>
            </w:tcBorders>
            <w:hideMark/>
          </w:tcPr>
          <w:p w14:paraId="53FDFF62" w14:textId="77777777" w:rsidR="005F4A7E" w:rsidRPr="002029AF" w:rsidRDefault="005F4A7E" w:rsidP="00130D1C">
            <w:pPr>
              <w:pStyle w:val="ARfintablebody"/>
            </w:pPr>
            <w:r w:rsidRPr="00F70034">
              <w:t xml:space="preserve">Resources provided free of charge </w:t>
            </w:r>
            <w:r w:rsidRPr="00660B55">
              <w:rPr>
                <w:rStyle w:val="Superscript"/>
              </w:rPr>
              <w:t>(i)</w:t>
            </w:r>
          </w:p>
        </w:tc>
        <w:tc>
          <w:tcPr>
            <w:tcW w:w="1134" w:type="dxa"/>
            <w:tcBorders>
              <w:top w:val="single" w:sz="4" w:space="0" w:color="A6A6A6"/>
            </w:tcBorders>
            <w:shd w:val="clear" w:color="auto" w:fill="E7E6E6"/>
            <w:noWrap/>
            <w:hideMark/>
          </w:tcPr>
          <w:p w14:paraId="523B30DC" w14:textId="77777777" w:rsidR="005F4A7E" w:rsidRPr="002029AF" w:rsidRDefault="005F4A7E" w:rsidP="00130D1C">
            <w:pPr>
              <w:pStyle w:val="ARfintablebodyright"/>
            </w:pPr>
            <w:r w:rsidRPr="00F70034">
              <w:t>295.2</w:t>
            </w:r>
          </w:p>
        </w:tc>
        <w:tc>
          <w:tcPr>
            <w:tcW w:w="1134" w:type="dxa"/>
            <w:tcBorders>
              <w:top w:val="single" w:sz="4" w:space="0" w:color="A6A6A6"/>
            </w:tcBorders>
            <w:noWrap/>
            <w:hideMark/>
          </w:tcPr>
          <w:p w14:paraId="43CE5518" w14:textId="77777777" w:rsidR="005F4A7E" w:rsidRPr="002029AF" w:rsidRDefault="005F4A7E" w:rsidP="00130D1C">
            <w:pPr>
              <w:pStyle w:val="ARfintablebodyright"/>
            </w:pPr>
            <w:r w:rsidRPr="00F70034">
              <w:t>32.3</w:t>
            </w:r>
          </w:p>
        </w:tc>
      </w:tr>
      <w:tr w:rsidR="005F4A7E" w:rsidRPr="002029AF" w14:paraId="48337878" w14:textId="77777777" w:rsidTr="00130D1C">
        <w:tc>
          <w:tcPr>
            <w:tcW w:w="7369" w:type="dxa"/>
            <w:hideMark/>
          </w:tcPr>
          <w:p w14:paraId="5BC6DDC5" w14:textId="77777777" w:rsidR="005F4A7E" w:rsidRPr="002029AF" w:rsidRDefault="005F4A7E" w:rsidP="00130D1C">
            <w:pPr>
              <w:pStyle w:val="ARfintablebodybold"/>
            </w:pPr>
            <w:r w:rsidRPr="00F70034">
              <w:t>Total fair value of assets and services provided free of charge or for nominal consideration</w:t>
            </w:r>
          </w:p>
        </w:tc>
        <w:tc>
          <w:tcPr>
            <w:tcW w:w="1134" w:type="dxa"/>
            <w:shd w:val="clear" w:color="auto" w:fill="E7E6E6"/>
            <w:noWrap/>
            <w:hideMark/>
          </w:tcPr>
          <w:p w14:paraId="7736B0B8" w14:textId="77777777" w:rsidR="005F4A7E" w:rsidRPr="002029AF" w:rsidRDefault="005F4A7E" w:rsidP="00130D1C">
            <w:pPr>
              <w:pStyle w:val="ARfintablebodyrightbold"/>
            </w:pPr>
            <w:r w:rsidRPr="00F70034">
              <w:t>297.2</w:t>
            </w:r>
          </w:p>
        </w:tc>
        <w:tc>
          <w:tcPr>
            <w:tcW w:w="1134" w:type="dxa"/>
            <w:noWrap/>
            <w:hideMark/>
          </w:tcPr>
          <w:p w14:paraId="0826811A" w14:textId="77777777" w:rsidR="005F4A7E" w:rsidRPr="002029AF" w:rsidRDefault="005F4A7E" w:rsidP="00130D1C">
            <w:pPr>
              <w:pStyle w:val="ARfintablebodyrightbold"/>
            </w:pPr>
            <w:r w:rsidRPr="00F70034">
              <w:t>32.3</w:t>
            </w:r>
          </w:p>
        </w:tc>
      </w:tr>
    </w:tbl>
    <w:p w14:paraId="79A16C02" w14:textId="77777777" w:rsidR="005F4A7E" w:rsidRDefault="005F4A7E" w:rsidP="00130D1C">
      <w:pPr>
        <w:pStyle w:val="ARfintablefootnote"/>
        <w:spacing w:line="240" w:lineRule="auto"/>
        <w:rPr>
          <w:lang w:eastAsia="en-AU"/>
        </w:rPr>
      </w:pPr>
      <w:bookmarkStart w:id="821" w:name="_Toc39136704"/>
      <w:r>
        <w:rPr>
          <w:lang w:eastAsia="en-AU"/>
        </w:rPr>
        <w:t>Note:</w:t>
      </w:r>
    </w:p>
    <w:p w14:paraId="40B96F74" w14:textId="77777777" w:rsidR="005F4A7E" w:rsidRDefault="005F4A7E" w:rsidP="00130D1C">
      <w:pPr>
        <w:pStyle w:val="ARfintablefootnoteindent"/>
      </w:pPr>
      <w:r>
        <w:t>(i)</w:t>
      </w:r>
      <w:r>
        <w:tab/>
        <w:t>Figures include the transfers of personal protective equipment to health services and other agencies under the State Supply Arrangement set up in response to the COVID-19 pandemic.</w:t>
      </w:r>
    </w:p>
    <w:p w14:paraId="24F5902E" w14:textId="77777777" w:rsidR="005F4A7E" w:rsidRDefault="005F4A7E" w:rsidP="00130D1C">
      <w:pPr>
        <w:pStyle w:val="ARfinbodyaftertable"/>
      </w:pPr>
      <w:r>
        <w:rPr>
          <w:rStyle w:val="Strong"/>
        </w:rPr>
        <w:t>Contributions of resources provided free of charge or for nominal consideration</w:t>
      </w:r>
      <w:r>
        <w:t xml:space="preserve"> are recognised at their fair value when the recipient obtains control over the resources, irrespective of whether restrictions or conditions are imposed over the use of the contributions. The exception to this would be when the resource is provided to another government department (or agency) as a consequence of a restructuring of administrative arrangements, in which case such a transfer will be recognised at carrying value.</w:t>
      </w:r>
    </w:p>
    <w:p w14:paraId="7BA902C8" w14:textId="77777777" w:rsidR="005F4A7E" w:rsidRDefault="005F4A7E" w:rsidP="00130D1C">
      <w:pPr>
        <w:pStyle w:val="ARfinbody"/>
      </w:pPr>
      <w:r>
        <w:rPr>
          <w:rStyle w:val="Strong"/>
        </w:rPr>
        <w:t>Voluntary services:</w:t>
      </w:r>
      <w:r>
        <w:t xml:space="preserve"> Contributions in the form of services are only recognised when a fair value can be reliably determined and the services would have been sold if not donated.</w:t>
      </w:r>
    </w:p>
    <w:p w14:paraId="1DDCBD33" w14:textId="77777777" w:rsidR="005F4A7E" w:rsidRPr="002029AF" w:rsidRDefault="005F4A7E" w:rsidP="00130D1C">
      <w:pPr>
        <w:pStyle w:val="Heading5"/>
        <w:spacing w:before="160"/>
      </w:pPr>
      <w:bookmarkStart w:id="822" w:name="_Toc85121392"/>
      <w:bookmarkEnd w:id="821"/>
      <w:r>
        <w:t>3.1.5 Other operating expenses</w:t>
      </w:r>
      <w:bookmarkEnd w:id="822"/>
    </w:p>
    <w:tbl>
      <w:tblPr>
        <w:tblStyle w:val="TableGrid"/>
        <w:tblW w:w="9637" w:type="dxa"/>
        <w:tblLayout w:type="fixed"/>
        <w:tblLook w:val="06A0" w:firstRow="1" w:lastRow="0" w:firstColumn="1" w:lastColumn="0" w:noHBand="1" w:noVBand="1"/>
      </w:tblPr>
      <w:tblGrid>
        <w:gridCol w:w="7371"/>
        <w:gridCol w:w="1133"/>
        <w:gridCol w:w="1133"/>
      </w:tblGrid>
      <w:tr w:rsidR="005F4A7E" w:rsidRPr="002029AF" w14:paraId="459517F4"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385321D3" w14:textId="77777777" w:rsidR="005F4A7E" w:rsidRPr="002029AF" w:rsidRDefault="005F4A7E" w:rsidP="00860E95">
            <w:pPr>
              <w:pStyle w:val="ARfintablecolhead"/>
            </w:pPr>
          </w:p>
        </w:tc>
        <w:tc>
          <w:tcPr>
            <w:tcW w:w="1133" w:type="dxa"/>
            <w:tcBorders>
              <w:bottom w:val="single" w:sz="4" w:space="0" w:color="auto"/>
            </w:tcBorders>
            <w:shd w:val="clear" w:color="auto" w:fill="E7E6E6"/>
            <w:hideMark/>
          </w:tcPr>
          <w:p w14:paraId="68455C63" w14:textId="77777777" w:rsidR="005F4A7E" w:rsidRPr="002029AF" w:rsidRDefault="005F4A7E" w:rsidP="00860E95">
            <w:pPr>
              <w:pStyle w:val="ARfintablecolheadright"/>
            </w:pPr>
            <w:r>
              <w:t>2021</w:t>
            </w:r>
          </w:p>
          <w:p w14:paraId="47F63FC5" w14:textId="77777777" w:rsidR="005F4A7E" w:rsidRPr="002029AF" w:rsidRDefault="005F4A7E" w:rsidP="00860E95">
            <w:pPr>
              <w:pStyle w:val="ARfintablecolheadright"/>
            </w:pPr>
            <w:r w:rsidRPr="002029AF">
              <w:t>$M</w:t>
            </w:r>
          </w:p>
        </w:tc>
        <w:tc>
          <w:tcPr>
            <w:tcW w:w="1133" w:type="dxa"/>
            <w:tcBorders>
              <w:bottom w:val="single" w:sz="4" w:space="0" w:color="auto"/>
            </w:tcBorders>
            <w:hideMark/>
          </w:tcPr>
          <w:p w14:paraId="4CF9416E" w14:textId="77777777" w:rsidR="005F4A7E" w:rsidRPr="002029AF" w:rsidRDefault="005F4A7E" w:rsidP="00860E95">
            <w:pPr>
              <w:pStyle w:val="ARfintablecolheadright"/>
            </w:pPr>
            <w:r>
              <w:t>2020</w:t>
            </w:r>
          </w:p>
          <w:p w14:paraId="11500323" w14:textId="77777777" w:rsidR="005F4A7E" w:rsidRPr="002029AF" w:rsidRDefault="005F4A7E" w:rsidP="00860E95">
            <w:pPr>
              <w:pStyle w:val="ARfintablecolheadright"/>
            </w:pPr>
            <w:r w:rsidRPr="002029AF">
              <w:t>$M</w:t>
            </w:r>
          </w:p>
        </w:tc>
      </w:tr>
      <w:tr w:rsidR="005F4A7E" w:rsidRPr="002029AF" w14:paraId="56194265" w14:textId="77777777" w:rsidTr="00860E95">
        <w:tc>
          <w:tcPr>
            <w:tcW w:w="7371" w:type="dxa"/>
            <w:tcBorders>
              <w:top w:val="single" w:sz="4" w:space="0" w:color="auto"/>
              <w:bottom w:val="single" w:sz="4" w:space="0" w:color="A6A6A6"/>
            </w:tcBorders>
            <w:hideMark/>
          </w:tcPr>
          <w:p w14:paraId="03C4B500" w14:textId="77777777" w:rsidR="005F4A7E" w:rsidRPr="002029AF" w:rsidRDefault="005F4A7E" w:rsidP="00130D1C">
            <w:pPr>
              <w:pStyle w:val="ARfintablebody"/>
            </w:pPr>
            <w:r w:rsidRPr="00316CA0">
              <w:t xml:space="preserve">Accommodation and property services </w:t>
            </w:r>
            <w:r w:rsidRPr="00521A28">
              <w:rPr>
                <w:rStyle w:val="Superscript"/>
              </w:rPr>
              <w:t>(i)</w:t>
            </w:r>
          </w:p>
        </w:tc>
        <w:tc>
          <w:tcPr>
            <w:tcW w:w="1133" w:type="dxa"/>
            <w:tcBorders>
              <w:top w:val="single" w:sz="4" w:space="0" w:color="auto"/>
              <w:bottom w:val="single" w:sz="4" w:space="0" w:color="A6A6A6"/>
            </w:tcBorders>
            <w:shd w:val="clear" w:color="auto" w:fill="E7E6E6"/>
            <w:noWrap/>
            <w:hideMark/>
          </w:tcPr>
          <w:p w14:paraId="2C606DCF" w14:textId="77777777" w:rsidR="005F4A7E" w:rsidRPr="002029AF" w:rsidRDefault="005F4A7E" w:rsidP="00130D1C">
            <w:pPr>
              <w:pStyle w:val="ARfintablebodyright"/>
            </w:pPr>
            <w:r w:rsidRPr="00316CA0">
              <w:t>129.5</w:t>
            </w:r>
          </w:p>
        </w:tc>
        <w:tc>
          <w:tcPr>
            <w:tcW w:w="1133" w:type="dxa"/>
            <w:tcBorders>
              <w:top w:val="single" w:sz="4" w:space="0" w:color="auto"/>
              <w:bottom w:val="single" w:sz="4" w:space="0" w:color="A6A6A6"/>
            </w:tcBorders>
            <w:noWrap/>
            <w:hideMark/>
          </w:tcPr>
          <w:p w14:paraId="0A616981" w14:textId="77777777" w:rsidR="005F4A7E" w:rsidRPr="002029AF" w:rsidRDefault="005F4A7E" w:rsidP="00130D1C">
            <w:pPr>
              <w:pStyle w:val="ARfintablebodyright"/>
            </w:pPr>
            <w:r w:rsidRPr="00316CA0">
              <w:t>63.7</w:t>
            </w:r>
          </w:p>
        </w:tc>
      </w:tr>
      <w:tr w:rsidR="005F4A7E" w:rsidRPr="002029AF" w14:paraId="510CBA6A" w14:textId="77777777" w:rsidTr="00860E95">
        <w:tc>
          <w:tcPr>
            <w:tcW w:w="7371" w:type="dxa"/>
            <w:tcBorders>
              <w:top w:val="single" w:sz="4" w:space="0" w:color="A6A6A6"/>
              <w:bottom w:val="single" w:sz="4" w:space="0" w:color="A6A6A6"/>
            </w:tcBorders>
            <w:hideMark/>
          </w:tcPr>
          <w:p w14:paraId="2214EFF0" w14:textId="77777777" w:rsidR="005F4A7E" w:rsidRPr="002029AF" w:rsidRDefault="005F4A7E" w:rsidP="00130D1C">
            <w:pPr>
              <w:pStyle w:val="ARfintablebody"/>
            </w:pPr>
            <w:r w:rsidRPr="00316CA0">
              <w:t>Administrative costs</w:t>
            </w:r>
          </w:p>
        </w:tc>
        <w:tc>
          <w:tcPr>
            <w:tcW w:w="1133" w:type="dxa"/>
            <w:tcBorders>
              <w:top w:val="single" w:sz="4" w:space="0" w:color="A6A6A6"/>
              <w:bottom w:val="single" w:sz="4" w:space="0" w:color="A6A6A6"/>
            </w:tcBorders>
            <w:shd w:val="clear" w:color="auto" w:fill="E7E6E6"/>
            <w:noWrap/>
            <w:hideMark/>
          </w:tcPr>
          <w:p w14:paraId="18459C76" w14:textId="77777777" w:rsidR="005F4A7E" w:rsidRPr="002029AF" w:rsidRDefault="005F4A7E" w:rsidP="00130D1C">
            <w:pPr>
              <w:pStyle w:val="ARfintablebodyright"/>
            </w:pPr>
            <w:r w:rsidRPr="00316CA0">
              <w:t>843.5</w:t>
            </w:r>
          </w:p>
        </w:tc>
        <w:tc>
          <w:tcPr>
            <w:tcW w:w="1133" w:type="dxa"/>
            <w:tcBorders>
              <w:top w:val="single" w:sz="4" w:space="0" w:color="A6A6A6"/>
              <w:bottom w:val="single" w:sz="4" w:space="0" w:color="A6A6A6"/>
            </w:tcBorders>
            <w:noWrap/>
            <w:hideMark/>
          </w:tcPr>
          <w:p w14:paraId="41901F47" w14:textId="77777777" w:rsidR="005F4A7E" w:rsidRPr="002029AF" w:rsidRDefault="005F4A7E" w:rsidP="00130D1C">
            <w:pPr>
              <w:pStyle w:val="ARfintablebodyright"/>
            </w:pPr>
            <w:r w:rsidRPr="00316CA0">
              <w:t>372.4</w:t>
            </w:r>
          </w:p>
        </w:tc>
      </w:tr>
      <w:tr w:rsidR="005F4A7E" w:rsidRPr="002029AF" w14:paraId="5C5EAD12" w14:textId="77777777" w:rsidTr="00860E95">
        <w:tc>
          <w:tcPr>
            <w:tcW w:w="7371" w:type="dxa"/>
            <w:tcBorders>
              <w:top w:val="single" w:sz="4" w:space="0" w:color="A6A6A6"/>
              <w:bottom w:val="single" w:sz="4" w:space="0" w:color="A6A6A6"/>
            </w:tcBorders>
            <w:hideMark/>
          </w:tcPr>
          <w:p w14:paraId="70584341" w14:textId="77777777" w:rsidR="005F4A7E" w:rsidRPr="002029AF" w:rsidRDefault="005F4A7E" w:rsidP="00130D1C">
            <w:pPr>
              <w:pStyle w:val="ARfintablebody"/>
            </w:pPr>
            <w:r w:rsidRPr="00316CA0">
              <w:t>Short-term lease expenses</w:t>
            </w:r>
          </w:p>
        </w:tc>
        <w:tc>
          <w:tcPr>
            <w:tcW w:w="1133" w:type="dxa"/>
            <w:tcBorders>
              <w:top w:val="single" w:sz="4" w:space="0" w:color="A6A6A6"/>
              <w:bottom w:val="single" w:sz="4" w:space="0" w:color="A6A6A6"/>
            </w:tcBorders>
            <w:shd w:val="clear" w:color="auto" w:fill="E7E6E6"/>
            <w:noWrap/>
            <w:hideMark/>
          </w:tcPr>
          <w:p w14:paraId="05191126" w14:textId="77777777" w:rsidR="005F4A7E" w:rsidRPr="002029AF" w:rsidRDefault="005F4A7E" w:rsidP="00130D1C">
            <w:pPr>
              <w:pStyle w:val="ARfintablebodyright"/>
            </w:pPr>
            <w:r w:rsidRPr="00316CA0">
              <w:t>13.4</w:t>
            </w:r>
          </w:p>
        </w:tc>
        <w:tc>
          <w:tcPr>
            <w:tcW w:w="1133" w:type="dxa"/>
            <w:tcBorders>
              <w:top w:val="single" w:sz="4" w:space="0" w:color="A6A6A6"/>
              <w:bottom w:val="single" w:sz="4" w:space="0" w:color="A6A6A6"/>
            </w:tcBorders>
            <w:noWrap/>
            <w:hideMark/>
          </w:tcPr>
          <w:p w14:paraId="2DB38E16" w14:textId="77777777" w:rsidR="005F4A7E" w:rsidRPr="002029AF" w:rsidRDefault="005F4A7E" w:rsidP="00130D1C">
            <w:pPr>
              <w:pStyle w:val="ARfintablebodyright"/>
            </w:pPr>
            <w:r w:rsidRPr="00316CA0">
              <w:t>6.9</w:t>
            </w:r>
          </w:p>
        </w:tc>
      </w:tr>
      <w:tr w:rsidR="005F4A7E" w:rsidRPr="002029AF" w14:paraId="6A989EE6" w14:textId="77777777" w:rsidTr="00860E95">
        <w:tc>
          <w:tcPr>
            <w:tcW w:w="7371" w:type="dxa"/>
            <w:tcBorders>
              <w:top w:val="single" w:sz="4" w:space="0" w:color="A6A6A6"/>
              <w:bottom w:val="single" w:sz="4" w:space="0" w:color="A6A6A6"/>
            </w:tcBorders>
            <w:hideMark/>
          </w:tcPr>
          <w:p w14:paraId="37226587" w14:textId="77777777" w:rsidR="005F4A7E" w:rsidRPr="002029AF" w:rsidRDefault="005F4A7E" w:rsidP="00130D1C">
            <w:pPr>
              <w:pStyle w:val="ARfintablebody"/>
            </w:pPr>
            <w:r w:rsidRPr="00316CA0">
              <w:t>Variable lease expenses</w:t>
            </w:r>
          </w:p>
        </w:tc>
        <w:tc>
          <w:tcPr>
            <w:tcW w:w="1133" w:type="dxa"/>
            <w:tcBorders>
              <w:top w:val="single" w:sz="4" w:space="0" w:color="A6A6A6"/>
              <w:bottom w:val="single" w:sz="4" w:space="0" w:color="A6A6A6"/>
            </w:tcBorders>
            <w:shd w:val="clear" w:color="auto" w:fill="E7E6E6"/>
            <w:noWrap/>
            <w:hideMark/>
          </w:tcPr>
          <w:p w14:paraId="3D9DCBA7" w14:textId="77777777" w:rsidR="005F4A7E" w:rsidRPr="002029AF" w:rsidRDefault="005F4A7E" w:rsidP="00130D1C">
            <w:pPr>
              <w:pStyle w:val="ARfintablebodyright"/>
            </w:pPr>
            <w:r w:rsidRPr="00316CA0">
              <w:t>0.4</w:t>
            </w:r>
          </w:p>
        </w:tc>
        <w:tc>
          <w:tcPr>
            <w:tcW w:w="1133" w:type="dxa"/>
            <w:tcBorders>
              <w:top w:val="single" w:sz="4" w:space="0" w:color="A6A6A6"/>
              <w:bottom w:val="single" w:sz="4" w:space="0" w:color="A6A6A6"/>
            </w:tcBorders>
            <w:noWrap/>
            <w:hideMark/>
          </w:tcPr>
          <w:p w14:paraId="699A96D0" w14:textId="77777777" w:rsidR="005F4A7E" w:rsidRPr="002029AF" w:rsidRDefault="005F4A7E" w:rsidP="00130D1C">
            <w:pPr>
              <w:pStyle w:val="ARfintablebodyright"/>
            </w:pPr>
            <w:r w:rsidRPr="00316CA0">
              <w:t>2.3</w:t>
            </w:r>
          </w:p>
        </w:tc>
      </w:tr>
      <w:tr w:rsidR="005F4A7E" w:rsidRPr="002029AF" w14:paraId="4CAAC735" w14:textId="77777777" w:rsidTr="00860E95">
        <w:tc>
          <w:tcPr>
            <w:tcW w:w="7371" w:type="dxa"/>
            <w:tcBorders>
              <w:top w:val="single" w:sz="4" w:space="0" w:color="A6A6A6"/>
              <w:bottom w:val="single" w:sz="4" w:space="0" w:color="A6A6A6"/>
            </w:tcBorders>
            <w:hideMark/>
          </w:tcPr>
          <w:p w14:paraId="7C14C8A0" w14:textId="77777777" w:rsidR="005F4A7E" w:rsidRPr="002029AF" w:rsidRDefault="005F4A7E" w:rsidP="00130D1C">
            <w:pPr>
              <w:pStyle w:val="ARfintablebody"/>
            </w:pPr>
            <w:r w:rsidRPr="00316CA0">
              <w:t>Information, communications and technology costs</w:t>
            </w:r>
          </w:p>
        </w:tc>
        <w:tc>
          <w:tcPr>
            <w:tcW w:w="1133" w:type="dxa"/>
            <w:tcBorders>
              <w:top w:val="single" w:sz="4" w:space="0" w:color="A6A6A6"/>
              <w:bottom w:val="single" w:sz="4" w:space="0" w:color="A6A6A6"/>
            </w:tcBorders>
            <w:shd w:val="clear" w:color="auto" w:fill="E7E6E6"/>
            <w:noWrap/>
            <w:hideMark/>
          </w:tcPr>
          <w:p w14:paraId="4461919E" w14:textId="77777777" w:rsidR="005F4A7E" w:rsidRPr="002029AF" w:rsidRDefault="005F4A7E" w:rsidP="00130D1C">
            <w:pPr>
              <w:pStyle w:val="ARfintablebodyright"/>
            </w:pPr>
            <w:r w:rsidRPr="00316CA0">
              <w:t>298.9</w:t>
            </w:r>
          </w:p>
        </w:tc>
        <w:tc>
          <w:tcPr>
            <w:tcW w:w="1133" w:type="dxa"/>
            <w:tcBorders>
              <w:top w:val="single" w:sz="4" w:space="0" w:color="A6A6A6"/>
              <w:bottom w:val="single" w:sz="4" w:space="0" w:color="A6A6A6"/>
            </w:tcBorders>
            <w:noWrap/>
            <w:hideMark/>
          </w:tcPr>
          <w:p w14:paraId="6E1C3F06" w14:textId="77777777" w:rsidR="005F4A7E" w:rsidRPr="002029AF" w:rsidRDefault="005F4A7E" w:rsidP="00130D1C">
            <w:pPr>
              <w:pStyle w:val="ARfintablebodyright"/>
            </w:pPr>
            <w:r w:rsidRPr="00316CA0">
              <w:t>199.9</w:t>
            </w:r>
          </w:p>
        </w:tc>
      </w:tr>
      <w:tr w:rsidR="005F4A7E" w:rsidRPr="002029AF" w14:paraId="42696069" w14:textId="77777777" w:rsidTr="00860E95">
        <w:tc>
          <w:tcPr>
            <w:tcW w:w="7371" w:type="dxa"/>
            <w:tcBorders>
              <w:top w:val="single" w:sz="4" w:space="0" w:color="A6A6A6"/>
              <w:bottom w:val="single" w:sz="4" w:space="0" w:color="A6A6A6"/>
            </w:tcBorders>
            <w:hideMark/>
          </w:tcPr>
          <w:p w14:paraId="4EA92A2C" w14:textId="77777777" w:rsidR="005F4A7E" w:rsidRPr="002029AF" w:rsidRDefault="005F4A7E" w:rsidP="00130D1C">
            <w:pPr>
              <w:pStyle w:val="ARfintablebody"/>
            </w:pPr>
            <w:r w:rsidRPr="00316CA0">
              <w:t>Medicines and drugs / pharmacy supplies</w:t>
            </w:r>
          </w:p>
        </w:tc>
        <w:tc>
          <w:tcPr>
            <w:tcW w:w="1133" w:type="dxa"/>
            <w:tcBorders>
              <w:top w:val="single" w:sz="4" w:space="0" w:color="A6A6A6"/>
              <w:bottom w:val="single" w:sz="4" w:space="0" w:color="A6A6A6"/>
            </w:tcBorders>
            <w:shd w:val="clear" w:color="auto" w:fill="E7E6E6"/>
            <w:noWrap/>
            <w:hideMark/>
          </w:tcPr>
          <w:p w14:paraId="4AC3C5BB" w14:textId="77777777" w:rsidR="005F4A7E" w:rsidRPr="002029AF" w:rsidRDefault="005F4A7E" w:rsidP="00130D1C">
            <w:pPr>
              <w:pStyle w:val="ARfintablebodyright"/>
            </w:pPr>
            <w:r w:rsidRPr="00316CA0">
              <w:t>10.2</w:t>
            </w:r>
          </w:p>
        </w:tc>
        <w:tc>
          <w:tcPr>
            <w:tcW w:w="1133" w:type="dxa"/>
            <w:tcBorders>
              <w:top w:val="single" w:sz="4" w:space="0" w:color="A6A6A6"/>
              <w:bottom w:val="single" w:sz="4" w:space="0" w:color="A6A6A6"/>
            </w:tcBorders>
            <w:noWrap/>
            <w:hideMark/>
          </w:tcPr>
          <w:p w14:paraId="5385786A" w14:textId="77777777" w:rsidR="005F4A7E" w:rsidRPr="002029AF" w:rsidRDefault="005F4A7E" w:rsidP="00130D1C">
            <w:pPr>
              <w:pStyle w:val="ARfintablebodyright"/>
            </w:pPr>
            <w:r w:rsidRPr="00316CA0">
              <w:t>9.9</w:t>
            </w:r>
          </w:p>
        </w:tc>
      </w:tr>
      <w:tr w:rsidR="005F4A7E" w:rsidRPr="002029AF" w14:paraId="74096CC3" w14:textId="77777777" w:rsidTr="00860E95">
        <w:tc>
          <w:tcPr>
            <w:tcW w:w="7371" w:type="dxa"/>
            <w:tcBorders>
              <w:top w:val="single" w:sz="4" w:space="0" w:color="A6A6A6"/>
            </w:tcBorders>
            <w:hideMark/>
          </w:tcPr>
          <w:p w14:paraId="5FA4772E" w14:textId="77777777" w:rsidR="005F4A7E" w:rsidRPr="002029AF" w:rsidRDefault="005F4A7E" w:rsidP="00130D1C">
            <w:pPr>
              <w:pStyle w:val="ARfintablebody"/>
            </w:pPr>
            <w:r w:rsidRPr="00316CA0">
              <w:t>Direct care operating costs</w:t>
            </w:r>
          </w:p>
        </w:tc>
        <w:tc>
          <w:tcPr>
            <w:tcW w:w="1133" w:type="dxa"/>
            <w:tcBorders>
              <w:top w:val="single" w:sz="4" w:space="0" w:color="A6A6A6"/>
            </w:tcBorders>
            <w:shd w:val="clear" w:color="auto" w:fill="E7E6E6"/>
            <w:noWrap/>
            <w:hideMark/>
          </w:tcPr>
          <w:p w14:paraId="437D1426" w14:textId="77777777" w:rsidR="005F4A7E" w:rsidRPr="002029AF" w:rsidRDefault="005F4A7E" w:rsidP="00130D1C">
            <w:pPr>
              <w:pStyle w:val="ARfintablebodyright"/>
            </w:pPr>
            <w:r w:rsidRPr="00316CA0">
              <w:t>65.5</w:t>
            </w:r>
          </w:p>
        </w:tc>
        <w:tc>
          <w:tcPr>
            <w:tcW w:w="1133" w:type="dxa"/>
            <w:tcBorders>
              <w:top w:val="single" w:sz="4" w:space="0" w:color="A6A6A6"/>
            </w:tcBorders>
            <w:noWrap/>
            <w:hideMark/>
          </w:tcPr>
          <w:p w14:paraId="307AD9FC" w14:textId="77777777" w:rsidR="005F4A7E" w:rsidRPr="002029AF" w:rsidRDefault="005F4A7E" w:rsidP="00130D1C">
            <w:pPr>
              <w:pStyle w:val="ARfintablebodyright"/>
            </w:pPr>
            <w:r w:rsidRPr="00316CA0">
              <w:t>34.3</w:t>
            </w:r>
          </w:p>
        </w:tc>
      </w:tr>
      <w:tr w:rsidR="005F4A7E" w:rsidRPr="002029AF" w14:paraId="6C17D7BC" w14:textId="77777777" w:rsidTr="00860E95">
        <w:tc>
          <w:tcPr>
            <w:tcW w:w="7371" w:type="dxa"/>
            <w:hideMark/>
          </w:tcPr>
          <w:p w14:paraId="289E7B56" w14:textId="77777777" w:rsidR="005F4A7E" w:rsidRPr="002029AF" w:rsidRDefault="005F4A7E" w:rsidP="00130D1C">
            <w:pPr>
              <w:pStyle w:val="ARfintablebodybold"/>
            </w:pPr>
            <w:r w:rsidRPr="00316CA0">
              <w:t>Total other operating expenses</w:t>
            </w:r>
          </w:p>
        </w:tc>
        <w:tc>
          <w:tcPr>
            <w:tcW w:w="1133" w:type="dxa"/>
            <w:shd w:val="clear" w:color="auto" w:fill="E7E6E6"/>
            <w:noWrap/>
            <w:hideMark/>
          </w:tcPr>
          <w:p w14:paraId="62EE6DE1" w14:textId="77777777" w:rsidR="005F4A7E" w:rsidRPr="002029AF" w:rsidRDefault="005F4A7E" w:rsidP="00130D1C">
            <w:pPr>
              <w:pStyle w:val="ARfintablebodyrightbold"/>
            </w:pPr>
            <w:r w:rsidRPr="00316CA0">
              <w:t>1,361.5</w:t>
            </w:r>
          </w:p>
        </w:tc>
        <w:tc>
          <w:tcPr>
            <w:tcW w:w="1133" w:type="dxa"/>
            <w:noWrap/>
            <w:hideMark/>
          </w:tcPr>
          <w:p w14:paraId="6FFA3032" w14:textId="77777777" w:rsidR="005F4A7E" w:rsidRPr="002029AF" w:rsidRDefault="005F4A7E" w:rsidP="00130D1C">
            <w:pPr>
              <w:pStyle w:val="ARfintablebodyrightbold"/>
            </w:pPr>
            <w:r w:rsidRPr="00316CA0">
              <w:t>689.4</w:t>
            </w:r>
          </w:p>
        </w:tc>
      </w:tr>
    </w:tbl>
    <w:p w14:paraId="69BC44F3" w14:textId="77777777" w:rsidR="005F4A7E" w:rsidRDefault="005F4A7E" w:rsidP="00130D1C">
      <w:pPr>
        <w:pStyle w:val="ARfintablefootnote"/>
        <w:rPr>
          <w:lang w:eastAsia="en-AU"/>
        </w:rPr>
      </w:pPr>
      <w:bookmarkStart w:id="823" w:name="_Toc39136705"/>
      <w:r>
        <w:rPr>
          <w:lang w:eastAsia="en-AU"/>
        </w:rPr>
        <w:t>Note:</w:t>
      </w:r>
    </w:p>
    <w:p w14:paraId="76AE0FA4" w14:textId="77777777" w:rsidR="005F4A7E" w:rsidRDefault="005F4A7E" w:rsidP="00130D1C">
      <w:pPr>
        <w:pStyle w:val="ARfintablefootnoteindent"/>
        <w:rPr>
          <w:rStyle w:val="Strong"/>
        </w:rPr>
      </w:pPr>
      <w:r>
        <w:t>(i)</w:t>
      </w:r>
      <w:r>
        <w:tab/>
        <w:t>Figures relate to the office accommodation–related costs.</w:t>
      </w:r>
    </w:p>
    <w:p w14:paraId="0E9AFFF7" w14:textId="77777777" w:rsidR="005F4A7E" w:rsidRDefault="005F4A7E" w:rsidP="00130D1C">
      <w:pPr>
        <w:pStyle w:val="ARfinbodyaftertable"/>
      </w:pPr>
      <w:r>
        <w:rPr>
          <w:rStyle w:val="Strong"/>
        </w:rPr>
        <w:t>Other operating expenses</w:t>
      </w:r>
      <w:r>
        <w:t xml:space="preserve"> generally represent the day-to-day running costs incurred in normal operations. They also include bad debts expense from transactions that are mutually agreed.</w:t>
      </w:r>
    </w:p>
    <w:p w14:paraId="6B5A6418" w14:textId="77777777" w:rsidR="005F4A7E" w:rsidRDefault="005F4A7E" w:rsidP="00130D1C">
      <w:pPr>
        <w:pStyle w:val="ARfinbodyaftertable"/>
      </w:pPr>
      <w:r>
        <w:t>The following lease payments are recognised on a straight-line basis:</w:t>
      </w:r>
    </w:p>
    <w:p w14:paraId="05BEE3DC" w14:textId="2D9C93EC" w:rsidR="005F4A7E" w:rsidRPr="00521A28" w:rsidRDefault="005F4A7E" w:rsidP="005F4A7E">
      <w:pPr>
        <w:pStyle w:val="ARfinbullet1"/>
        <w:numPr>
          <w:ilvl w:val="0"/>
          <w:numId w:val="2"/>
        </w:numPr>
      </w:pPr>
      <w:r w:rsidRPr="009A2639">
        <w:rPr>
          <w:rStyle w:val="Strong"/>
          <w:b w:val="0"/>
          <w:bCs w:val="0"/>
        </w:rPr>
        <w:t>Short-term leases</w:t>
      </w:r>
      <w:r w:rsidRPr="00521A28">
        <w:t xml:space="preserve"> – leases with a term 12 months or less</w:t>
      </w:r>
    </w:p>
    <w:p w14:paraId="07381B35" w14:textId="775122BA" w:rsidR="005F4A7E" w:rsidRDefault="005F4A7E" w:rsidP="005F4A7E">
      <w:pPr>
        <w:pStyle w:val="ARfinbullet1"/>
        <w:numPr>
          <w:ilvl w:val="0"/>
          <w:numId w:val="2"/>
        </w:numPr>
        <w:rPr>
          <w:rStyle w:val="Strong"/>
          <w:b w:val="0"/>
          <w:bCs w:val="0"/>
        </w:rPr>
      </w:pPr>
      <w:r w:rsidRPr="009A2639">
        <w:rPr>
          <w:rStyle w:val="Strong"/>
          <w:b w:val="0"/>
          <w:bCs w:val="0"/>
        </w:rPr>
        <w:t>Low-value leases</w:t>
      </w:r>
      <w:r>
        <w:t xml:space="preserve"> – leases where the underlying asset</w:t>
      </w:r>
      <w:r w:rsidR="007D145B">
        <w:t>’</w:t>
      </w:r>
      <w:r>
        <w:t>s fair value (when new, regardless of the age of the asset being leased) is no more than $10,000.</w:t>
      </w:r>
    </w:p>
    <w:p w14:paraId="0E788125" w14:textId="6E7D570C" w:rsidR="005F4A7E" w:rsidRDefault="005F4A7E" w:rsidP="00130D1C">
      <w:pPr>
        <w:pStyle w:val="ARfinbody"/>
      </w:pPr>
      <w:r>
        <w:t>Variable lease payments that are not included in the measurement of the lease liability (i.e. variable lease payments that do not depend on an index or a rate and which are not, in substance fixed) such as those based on performance or usage of the underlying asset, are recognised in the comprehensive operating statement (except for payments which have been included in the carrying amount of another asset) in the period in which the event or condition that triggers those payments occurs.</w:t>
      </w:r>
    </w:p>
    <w:p w14:paraId="3FFF2775" w14:textId="77777777" w:rsidR="005F4A7E" w:rsidRPr="002029AF" w:rsidRDefault="005F4A7E" w:rsidP="00087B91">
      <w:pPr>
        <w:pStyle w:val="Heading5"/>
      </w:pPr>
      <w:bookmarkStart w:id="824" w:name="_Toc85121393"/>
      <w:bookmarkEnd w:id="823"/>
      <w:r>
        <w:lastRenderedPageBreak/>
        <w:t xml:space="preserve">3.1.6 Other </w:t>
      </w:r>
      <w:r>
        <w:rPr>
          <w:lang w:eastAsia="en-AU"/>
        </w:rPr>
        <w:t>property management expenses</w:t>
      </w:r>
      <w:bookmarkEnd w:id="824"/>
    </w:p>
    <w:tbl>
      <w:tblPr>
        <w:tblStyle w:val="TableGrid"/>
        <w:tblW w:w="9637" w:type="dxa"/>
        <w:tblLayout w:type="fixed"/>
        <w:tblLook w:val="06A0" w:firstRow="1" w:lastRow="0" w:firstColumn="1" w:lastColumn="0" w:noHBand="1" w:noVBand="1"/>
      </w:tblPr>
      <w:tblGrid>
        <w:gridCol w:w="7369"/>
        <w:gridCol w:w="1134"/>
        <w:gridCol w:w="1134"/>
      </w:tblGrid>
      <w:tr w:rsidR="005F4A7E" w:rsidRPr="002029AF" w14:paraId="01FE49FC"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3A998421" w14:textId="77777777" w:rsidR="005F4A7E" w:rsidRPr="002029AF" w:rsidRDefault="005F4A7E" w:rsidP="00860E95">
            <w:pPr>
              <w:pStyle w:val="ARfintablecolhead"/>
            </w:pPr>
          </w:p>
        </w:tc>
        <w:tc>
          <w:tcPr>
            <w:tcW w:w="1134" w:type="dxa"/>
            <w:tcBorders>
              <w:bottom w:val="single" w:sz="4" w:space="0" w:color="auto"/>
            </w:tcBorders>
            <w:shd w:val="clear" w:color="auto" w:fill="E7E6E6"/>
            <w:hideMark/>
          </w:tcPr>
          <w:p w14:paraId="2E6EAA8D" w14:textId="77777777" w:rsidR="005F4A7E" w:rsidRPr="002029AF" w:rsidRDefault="005F4A7E" w:rsidP="00860E95">
            <w:pPr>
              <w:pStyle w:val="ARfintablecolheadright"/>
            </w:pPr>
            <w:r>
              <w:t>2021</w:t>
            </w:r>
          </w:p>
          <w:p w14:paraId="66919E6A" w14:textId="77777777" w:rsidR="005F4A7E" w:rsidRPr="002029AF" w:rsidRDefault="005F4A7E" w:rsidP="00860E95">
            <w:pPr>
              <w:pStyle w:val="ARfintablecolheadright"/>
            </w:pPr>
            <w:r w:rsidRPr="002029AF">
              <w:t>$M</w:t>
            </w:r>
          </w:p>
        </w:tc>
        <w:tc>
          <w:tcPr>
            <w:tcW w:w="1134" w:type="dxa"/>
            <w:tcBorders>
              <w:bottom w:val="single" w:sz="4" w:space="0" w:color="auto"/>
            </w:tcBorders>
            <w:hideMark/>
          </w:tcPr>
          <w:p w14:paraId="7B773560" w14:textId="77777777" w:rsidR="005F4A7E" w:rsidRPr="002029AF" w:rsidRDefault="005F4A7E" w:rsidP="00860E95">
            <w:pPr>
              <w:pStyle w:val="ARfintablecolheadright"/>
            </w:pPr>
            <w:r>
              <w:t>2020</w:t>
            </w:r>
          </w:p>
          <w:p w14:paraId="2747A128" w14:textId="77777777" w:rsidR="005F4A7E" w:rsidRPr="002029AF" w:rsidRDefault="005F4A7E" w:rsidP="00860E95">
            <w:pPr>
              <w:pStyle w:val="ARfintablecolheadright"/>
            </w:pPr>
            <w:r w:rsidRPr="002029AF">
              <w:t>$M</w:t>
            </w:r>
          </w:p>
        </w:tc>
      </w:tr>
      <w:tr w:rsidR="005F4A7E" w:rsidRPr="002029AF" w14:paraId="6CA3D277" w14:textId="77777777" w:rsidTr="00130D1C">
        <w:trPr>
          <w:trHeight w:val="255"/>
        </w:trPr>
        <w:tc>
          <w:tcPr>
            <w:tcW w:w="7369" w:type="dxa"/>
            <w:tcBorders>
              <w:top w:val="single" w:sz="4" w:space="0" w:color="auto"/>
              <w:bottom w:val="single" w:sz="4" w:space="0" w:color="A6A6A6"/>
            </w:tcBorders>
            <w:hideMark/>
          </w:tcPr>
          <w:p w14:paraId="136902D8" w14:textId="77777777" w:rsidR="005F4A7E" w:rsidRPr="002029AF" w:rsidRDefault="005F4A7E" w:rsidP="00130D1C">
            <w:pPr>
              <w:pStyle w:val="ARfintablebody"/>
            </w:pPr>
            <w:r w:rsidRPr="007655C5">
              <w:t>Rates to local authorities</w:t>
            </w:r>
          </w:p>
        </w:tc>
        <w:tc>
          <w:tcPr>
            <w:tcW w:w="1134" w:type="dxa"/>
            <w:tcBorders>
              <w:top w:val="single" w:sz="4" w:space="0" w:color="auto"/>
              <w:bottom w:val="single" w:sz="4" w:space="0" w:color="A6A6A6"/>
            </w:tcBorders>
            <w:shd w:val="clear" w:color="auto" w:fill="E7E6E6"/>
            <w:noWrap/>
            <w:hideMark/>
          </w:tcPr>
          <w:p w14:paraId="3E9ED816" w14:textId="77777777" w:rsidR="005F4A7E" w:rsidRPr="002029AF" w:rsidRDefault="005F4A7E" w:rsidP="00130D1C">
            <w:pPr>
              <w:pStyle w:val="ARfintablebodyright"/>
            </w:pPr>
            <w:r w:rsidRPr="007655C5">
              <w:t>116.1</w:t>
            </w:r>
          </w:p>
        </w:tc>
        <w:tc>
          <w:tcPr>
            <w:tcW w:w="1134" w:type="dxa"/>
            <w:tcBorders>
              <w:top w:val="single" w:sz="4" w:space="0" w:color="auto"/>
              <w:bottom w:val="single" w:sz="4" w:space="0" w:color="A6A6A6"/>
            </w:tcBorders>
            <w:noWrap/>
            <w:hideMark/>
          </w:tcPr>
          <w:p w14:paraId="6ED496A3" w14:textId="77777777" w:rsidR="005F4A7E" w:rsidRPr="002029AF" w:rsidRDefault="005F4A7E" w:rsidP="00130D1C">
            <w:pPr>
              <w:pStyle w:val="ARfintablebodyright"/>
            </w:pPr>
            <w:r w:rsidRPr="007655C5">
              <w:t>118.8</w:t>
            </w:r>
          </w:p>
        </w:tc>
      </w:tr>
      <w:tr w:rsidR="005F4A7E" w:rsidRPr="002029AF" w14:paraId="466672A0" w14:textId="77777777" w:rsidTr="00130D1C">
        <w:trPr>
          <w:trHeight w:val="255"/>
        </w:trPr>
        <w:tc>
          <w:tcPr>
            <w:tcW w:w="7369" w:type="dxa"/>
            <w:tcBorders>
              <w:top w:val="single" w:sz="4" w:space="0" w:color="A6A6A6"/>
            </w:tcBorders>
            <w:hideMark/>
          </w:tcPr>
          <w:p w14:paraId="63CE04C2" w14:textId="77777777" w:rsidR="005F4A7E" w:rsidRPr="002029AF" w:rsidRDefault="005F4A7E" w:rsidP="00130D1C">
            <w:pPr>
              <w:pStyle w:val="ARfintablebody"/>
            </w:pPr>
            <w:r w:rsidRPr="007655C5">
              <w:t>Tenant utilities and other expenses</w:t>
            </w:r>
          </w:p>
        </w:tc>
        <w:tc>
          <w:tcPr>
            <w:tcW w:w="1134" w:type="dxa"/>
            <w:tcBorders>
              <w:top w:val="single" w:sz="4" w:space="0" w:color="A6A6A6"/>
            </w:tcBorders>
            <w:shd w:val="clear" w:color="auto" w:fill="E7E6E6"/>
            <w:noWrap/>
            <w:hideMark/>
          </w:tcPr>
          <w:p w14:paraId="7199651C" w14:textId="77777777" w:rsidR="005F4A7E" w:rsidRPr="002029AF" w:rsidRDefault="005F4A7E" w:rsidP="00130D1C">
            <w:pPr>
              <w:pStyle w:val="ARfintablebodyright"/>
            </w:pPr>
            <w:r w:rsidRPr="007655C5">
              <w:t>158.5</w:t>
            </w:r>
          </w:p>
        </w:tc>
        <w:tc>
          <w:tcPr>
            <w:tcW w:w="1134" w:type="dxa"/>
            <w:tcBorders>
              <w:top w:val="single" w:sz="4" w:space="0" w:color="A6A6A6"/>
            </w:tcBorders>
            <w:noWrap/>
            <w:hideMark/>
          </w:tcPr>
          <w:p w14:paraId="24C8CCD3" w14:textId="77777777" w:rsidR="005F4A7E" w:rsidRPr="002029AF" w:rsidRDefault="005F4A7E" w:rsidP="00130D1C">
            <w:pPr>
              <w:pStyle w:val="ARfintablebodyright"/>
            </w:pPr>
            <w:r w:rsidRPr="007655C5">
              <w:t>80.5</w:t>
            </w:r>
          </w:p>
        </w:tc>
      </w:tr>
      <w:tr w:rsidR="005F4A7E" w:rsidRPr="002029AF" w14:paraId="4A95F8C7" w14:textId="77777777" w:rsidTr="00130D1C">
        <w:trPr>
          <w:trHeight w:val="255"/>
        </w:trPr>
        <w:tc>
          <w:tcPr>
            <w:tcW w:w="7369" w:type="dxa"/>
            <w:hideMark/>
          </w:tcPr>
          <w:p w14:paraId="634831E6" w14:textId="77777777" w:rsidR="005F4A7E" w:rsidRPr="002029AF" w:rsidRDefault="005F4A7E" w:rsidP="00130D1C">
            <w:pPr>
              <w:pStyle w:val="ARfintablebodybold"/>
            </w:pPr>
            <w:r w:rsidRPr="007655C5">
              <w:t>Total other property management expenses</w:t>
            </w:r>
          </w:p>
        </w:tc>
        <w:tc>
          <w:tcPr>
            <w:tcW w:w="1134" w:type="dxa"/>
            <w:shd w:val="clear" w:color="auto" w:fill="E7E6E6"/>
            <w:noWrap/>
            <w:hideMark/>
          </w:tcPr>
          <w:p w14:paraId="63AF3339" w14:textId="77777777" w:rsidR="005F4A7E" w:rsidRPr="002029AF" w:rsidRDefault="005F4A7E" w:rsidP="00130D1C">
            <w:pPr>
              <w:pStyle w:val="ARfintablebodyrightbold"/>
            </w:pPr>
            <w:r w:rsidRPr="007655C5">
              <w:t>274.6</w:t>
            </w:r>
          </w:p>
        </w:tc>
        <w:tc>
          <w:tcPr>
            <w:tcW w:w="1134" w:type="dxa"/>
            <w:noWrap/>
            <w:hideMark/>
          </w:tcPr>
          <w:p w14:paraId="534CF669" w14:textId="77777777" w:rsidR="005F4A7E" w:rsidRPr="002029AF" w:rsidRDefault="005F4A7E" w:rsidP="00130D1C">
            <w:pPr>
              <w:pStyle w:val="ARfintablebodyrightbold"/>
            </w:pPr>
            <w:r w:rsidRPr="007655C5">
              <w:t>199.3</w:t>
            </w:r>
          </w:p>
        </w:tc>
      </w:tr>
    </w:tbl>
    <w:p w14:paraId="7675D3F0" w14:textId="77777777" w:rsidR="005F4A7E" w:rsidRDefault="005F4A7E" w:rsidP="00130D1C">
      <w:pPr>
        <w:pStyle w:val="ARfinbodyaftertable"/>
      </w:pPr>
      <w:bookmarkStart w:id="825" w:name="_Toc443469546"/>
      <w:bookmarkStart w:id="826" w:name="_Toc444065801"/>
      <w:bookmarkStart w:id="827" w:name="_Toc444079997"/>
      <w:r>
        <w:rPr>
          <w:rStyle w:val="Strong"/>
        </w:rPr>
        <w:t>Other property management expenses</w:t>
      </w:r>
      <w:r>
        <w:t xml:space="preserve"> generally include all costs and incidental expenses associated with the management of Director of Housing properties.</w:t>
      </w:r>
    </w:p>
    <w:p w14:paraId="2150A2BD" w14:textId="77777777" w:rsidR="005F4A7E" w:rsidRPr="002029AF" w:rsidRDefault="005F4A7E" w:rsidP="00087B91">
      <w:pPr>
        <w:pStyle w:val="ARfinbody"/>
      </w:pPr>
      <w:r w:rsidRPr="002029AF">
        <w:br w:type="page"/>
      </w:r>
    </w:p>
    <w:p w14:paraId="2D7FEC93" w14:textId="77777777" w:rsidR="005F4A7E" w:rsidRDefault="005F4A7E" w:rsidP="00130D1C">
      <w:pPr>
        <w:pStyle w:val="Heading3"/>
      </w:pPr>
      <w:bookmarkStart w:id="828" w:name="_Toc85121394"/>
      <w:bookmarkStart w:id="829" w:name="_Toc86075633"/>
      <w:bookmarkStart w:id="830" w:name="_Ref338146507"/>
      <w:bookmarkEnd w:id="792"/>
      <w:bookmarkEnd w:id="793"/>
      <w:bookmarkEnd w:id="794"/>
      <w:bookmarkEnd w:id="825"/>
      <w:bookmarkEnd w:id="826"/>
      <w:bookmarkEnd w:id="827"/>
      <w:r>
        <w:lastRenderedPageBreak/>
        <w:t>4. Disaggregated financial information by output</w:t>
      </w:r>
      <w:bookmarkEnd w:id="828"/>
      <w:bookmarkEnd w:id="829"/>
    </w:p>
    <w:p w14:paraId="1FA39AEC" w14:textId="77777777" w:rsidR="005F4A7E" w:rsidRDefault="005F4A7E" w:rsidP="00130D1C">
      <w:pPr>
        <w:pStyle w:val="Heading4"/>
      </w:pPr>
      <w:bookmarkStart w:id="831" w:name="_Toc85121395"/>
      <w:r>
        <w:t>Introduction</w:t>
      </w:r>
      <w:bookmarkEnd w:id="831"/>
    </w:p>
    <w:p w14:paraId="627B0934" w14:textId="77777777" w:rsidR="005F4A7E" w:rsidRDefault="005F4A7E" w:rsidP="00130D1C">
      <w:pPr>
        <w:pStyle w:val="ARfinbody"/>
      </w:pPr>
      <w:r>
        <w:t>The department is predominantly funded by accrual-based parliamentary appropriations for the provision of outputs. This section provides a description of the departmental outputs delivered during the year ended 30 June 2021 along with the objectives of those outputs.</w:t>
      </w:r>
    </w:p>
    <w:p w14:paraId="251CF5F2" w14:textId="4FA2F73C" w:rsidR="005F4A7E" w:rsidRDefault="005F4A7E" w:rsidP="00130D1C">
      <w:pPr>
        <w:pStyle w:val="ARfinbody"/>
      </w:pPr>
      <w:r w:rsidRPr="00E2348F">
        <w:t xml:space="preserve">This section disaggregates revenue and expenses that enables the delivery of services (described in section 2 </w:t>
      </w:r>
      <w:r w:rsidR="007D145B">
        <w:t>‘</w:t>
      </w:r>
      <w:r w:rsidRPr="00E2348F">
        <w:t>Funding delivery of our services</w:t>
      </w:r>
      <w:r w:rsidR="007D145B">
        <w:t>’</w:t>
      </w:r>
      <w:r w:rsidRPr="00E2348F">
        <w:t xml:space="preserve">) by output and records the allocation of expenses incurred (described in section 3 </w:t>
      </w:r>
      <w:r w:rsidR="007D145B">
        <w:t>‘</w:t>
      </w:r>
      <w:r w:rsidRPr="00E2348F">
        <w:t>The cost of delivering services</w:t>
      </w:r>
      <w:r w:rsidR="007D145B">
        <w:t>’</w:t>
      </w:r>
      <w:r w:rsidRPr="00E2348F">
        <w:t>) also by output, which form part of controlled balances of the department.</w:t>
      </w:r>
    </w:p>
    <w:p w14:paraId="63140786" w14:textId="77777777" w:rsidR="005F4A7E" w:rsidRDefault="005F4A7E" w:rsidP="00130D1C">
      <w:pPr>
        <w:pStyle w:val="ARfinbody"/>
      </w:pPr>
      <w:r>
        <w:t>It also provides information on items administered in connection with these outputs.</w:t>
      </w:r>
    </w:p>
    <w:p w14:paraId="12718BE1" w14:textId="77777777" w:rsidR="005F4A7E" w:rsidRDefault="005F4A7E" w:rsidP="00130D1C">
      <w:pPr>
        <w:pStyle w:val="ARfinbody"/>
      </w:pPr>
      <w:r>
        <w:t>Judgement is required in allocating income and expenditure to specific outputs. For the period under review there were no amounts unallocated.</w:t>
      </w:r>
    </w:p>
    <w:p w14:paraId="290FF54E" w14:textId="77777777" w:rsidR="005F4A7E" w:rsidRDefault="005F4A7E" w:rsidP="00130D1C">
      <w:pPr>
        <w:pStyle w:val="ARfinbody"/>
      </w:pPr>
      <w:r>
        <w:t>The distinction between controlled and administered items is based on whether the department has the ability to deploy the resources in question for its own benefit (controlled items) or whether it does so on behalf of the state (administered). The department remains accountable for transactions involving administered items, but it does not recognise these items in its financial statements.</w:t>
      </w:r>
    </w:p>
    <w:p w14:paraId="64427E83" w14:textId="77777777" w:rsidR="005F4A7E" w:rsidRDefault="005F4A7E" w:rsidP="00130D1C">
      <w:pPr>
        <w:pStyle w:val="Heading4"/>
      </w:pPr>
      <w:bookmarkStart w:id="832" w:name="_Toc85121396"/>
      <w:r>
        <w:t>Structure</w:t>
      </w:r>
      <w:bookmarkEnd w:id="832"/>
    </w:p>
    <w:p w14:paraId="65FC44E0" w14:textId="77777777" w:rsidR="005F4A7E" w:rsidRDefault="005F4A7E" w:rsidP="00130D1C">
      <w:pPr>
        <w:pStyle w:val="ARfinstructure1"/>
      </w:pPr>
      <w:r>
        <w:t>4.1</w:t>
      </w:r>
      <w:r>
        <w:tab/>
        <w:t>Departmental outputs</w:t>
      </w:r>
    </w:p>
    <w:p w14:paraId="19EB24B0" w14:textId="77777777" w:rsidR="005F4A7E" w:rsidRDefault="005F4A7E" w:rsidP="00130D1C">
      <w:pPr>
        <w:pStyle w:val="ARfinstructure2"/>
      </w:pPr>
      <w:r>
        <w:t>4.1.1</w:t>
      </w:r>
      <w:r>
        <w:tab/>
        <w:t>Departmental outputs – Descriptions and objectives</w:t>
      </w:r>
    </w:p>
    <w:p w14:paraId="6CEB2936" w14:textId="77777777" w:rsidR="005F4A7E" w:rsidRDefault="005F4A7E" w:rsidP="00130D1C">
      <w:pPr>
        <w:pStyle w:val="ARfinstructure2"/>
      </w:pPr>
      <w:r>
        <w:t>4.1.2</w:t>
      </w:r>
      <w:r>
        <w:tab/>
        <w:t>Departmental outputs – Controlled income and expenses</w:t>
      </w:r>
    </w:p>
    <w:p w14:paraId="1498DC14" w14:textId="77777777" w:rsidR="005F4A7E" w:rsidRDefault="005F4A7E" w:rsidP="00130D1C">
      <w:pPr>
        <w:pStyle w:val="ARfinstructure1"/>
      </w:pPr>
      <w:r>
        <w:t>4.2</w:t>
      </w:r>
      <w:r>
        <w:tab/>
        <w:t>Administered (non-controlled) items</w:t>
      </w:r>
    </w:p>
    <w:p w14:paraId="473FAEA0" w14:textId="77777777" w:rsidR="005F4A7E" w:rsidRDefault="005F4A7E" w:rsidP="00130D1C">
      <w:pPr>
        <w:pStyle w:val="ARfinstructure2"/>
      </w:pPr>
      <w:r>
        <w:t>4.2.1</w:t>
      </w:r>
      <w:r>
        <w:tab/>
        <w:t>Administered income and expenses</w:t>
      </w:r>
    </w:p>
    <w:p w14:paraId="711B1547" w14:textId="77777777" w:rsidR="005F4A7E" w:rsidRDefault="005F4A7E" w:rsidP="00130D1C">
      <w:pPr>
        <w:pStyle w:val="ARfinstructure2"/>
      </w:pPr>
      <w:r>
        <w:t>4.2.2</w:t>
      </w:r>
      <w:r>
        <w:tab/>
        <w:t>Administered assets and liabilities</w:t>
      </w:r>
    </w:p>
    <w:p w14:paraId="370C26E0" w14:textId="77777777" w:rsidR="005F4A7E" w:rsidRDefault="005F4A7E" w:rsidP="00130D1C">
      <w:pPr>
        <w:pStyle w:val="ARfinstructure2"/>
      </w:pPr>
      <w:r>
        <w:t>4.2.3</w:t>
      </w:r>
      <w:r>
        <w:tab/>
        <w:t>Administered grants and other expense transfers</w:t>
      </w:r>
    </w:p>
    <w:p w14:paraId="683C305F" w14:textId="77777777" w:rsidR="005F4A7E" w:rsidRDefault="005F4A7E" w:rsidP="00130D1C">
      <w:pPr>
        <w:pStyle w:val="ARfinstructure1"/>
        <w:rPr>
          <w:b/>
          <w:bCs/>
        </w:rPr>
      </w:pPr>
      <w:r>
        <w:t>4.3</w:t>
      </w:r>
      <w:r>
        <w:tab/>
        <w:t>Restructuring of administrative arrangements</w:t>
      </w:r>
    </w:p>
    <w:p w14:paraId="681893E9" w14:textId="77777777" w:rsidR="005F4A7E" w:rsidRDefault="005F4A7E" w:rsidP="00130D1C">
      <w:pPr>
        <w:pStyle w:val="Heading4"/>
      </w:pPr>
      <w:bookmarkStart w:id="833" w:name="_Toc39136707"/>
      <w:bookmarkStart w:id="834" w:name="_Toc39242140"/>
      <w:bookmarkStart w:id="835" w:name="_Toc85121397"/>
      <w:r>
        <w:t>4.1 Departmental outputs</w:t>
      </w:r>
      <w:bookmarkEnd w:id="833"/>
      <w:bookmarkEnd w:id="834"/>
      <w:bookmarkEnd w:id="835"/>
    </w:p>
    <w:p w14:paraId="11EF44F6" w14:textId="77777777" w:rsidR="005F4A7E" w:rsidRDefault="005F4A7E" w:rsidP="00130D1C">
      <w:pPr>
        <w:pStyle w:val="Heading5"/>
      </w:pPr>
      <w:bookmarkStart w:id="836" w:name="_Toc39136708"/>
      <w:bookmarkStart w:id="837" w:name="_Toc85121398"/>
      <w:r>
        <w:rPr>
          <w:lang w:eastAsia="en-AU"/>
        </w:rPr>
        <w:t>4.1.1 Departmental outputs – Descriptions and objectives</w:t>
      </w:r>
      <w:bookmarkEnd w:id="836"/>
      <w:bookmarkEnd w:id="837"/>
    </w:p>
    <w:p w14:paraId="233559C0" w14:textId="77777777" w:rsidR="005F4A7E" w:rsidRDefault="005F4A7E" w:rsidP="00130D1C">
      <w:pPr>
        <w:pStyle w:val="Heading6"/>
      </w:pPr>
      <w:bookmarkStart w:id="838" w:name="_Toc85121399"/>
      <w:r>
        <w:t>Department of Health output groups</w:t>
      </w:r>
      <w:bookmarkEnd w:id="838"/>
    </w:p>
    <w:p w14:paraId="50C0E00F" w14:textId="77777777" w:rsidR="005F4A7E" w:rsidRDefault="005F4A7E" w:rsidP="00130D1C">
      <w:pPr>
        <w:pStyle w:val="Heading7"/>
      </w:pPr>
      <w:bookmarkStart w:id="839" w:name="_Toc85121400"/>
      <w:r>
        <w:t>Output group 1: Acute Health Services</w:t>
      </w:r>
      <w:bookmarkEnd w:id="839"/>
    </w:p>
    <w:p w14:paraId="126079F7" w14:textId="77777777" w:rsidR="005F4A7E" w:rsidRDefault="005F4A7E" w:rsidP="00130D1C">
      <w:pPr>
        <w:pStyle w:val="ARfinbody"/>
      </w:pPr>
      <w:r>
        <w:t>The Acute Health Services output group includes a range of timely and high-quality acute hospital inpatient, ambulatory, emergency, community-based and specialist services.</w:t>
      </w:r>
    </w:p>
    <w:p w14:paraId="1A33BC65" w14:textId="77777777" w:rsidR="005F4A7E" w:rsidRDefault="005F4A7E" w:rsidP="00130D1C">
      <w:pPr>
        <w:pStyle w:val="Heading7"/>
      </w:pPr>
      <w:bookmarkStart w:id="840" w:name="_Toc85121401"/>
      <w:r>
        <w:t>Output group 2: Ambulance Services</w:t>
      </w:r>
      <w:bookmarkEnd w:id="840"/>
    </w:p>
    <w:p w14:paraId="4DCF22FE" w14:textId="77777777" w:rsidR="005F4A7E" w:rsidRDefault="005F4A7E" w:rsidP="00130D1C">
      <w:pPr>
        <w:pStyle w:val="ARfinbody"/>
      </w:pPr>
      <w:r>
        <w:t>The Ambulance Services output group includes emergency and non-emergency ambulance services.</w:t>
      </w:r>
    </w:p>
    <w:p w14:paraId="1E7E3BDF" w14:textId="77777777" w:rsidR="005F4A7E" w:rsidRDefault="005F4A7E" w:rsidP="00130D1C">
      <w:pPr>
        <w:pStyle w:val="Heading7"/>
      </w:pPr>
      <w:bookmarkStart w:id="841" w:name="_Toc85121402"/>
      <w:r>
        <w:t>Output group 3: Mental Health</w:t>
      </w:r>
      <w:bookmarkEnd w:id="841"/>
    </w:p>
    <w:p w14:paraId="6BCBAC6E" w14:textId="77777777" w:rsidR="005F4A7E" w:rsidRDefault="005F4A7E" w:rsidP="00130D1C">
      <w:pPr>
        <w:pStyle w:val="ARfinbody"/>
      </w:pPr>
      <w:r>
        <w:t>The Mental Health output group includes the provision of a range of inpatient, community-based residential and ambulatory services which treat and support people with a mental illness and their families and carers, identify mental illness early, and seek to reduce its impact through providing timely acute care services and appropriate longer-term accommodation and support for those living with a mental illness.</w:t>
      </w:r>
    </w:p>
    <w:p w14:paraId="7FA2F0AB" w14:textId="77777777" w:rsidR="005F4A7E" w:rsidRDefault="005F4A7E" w:rsidP="00130D1C">
      <w:pPr>
        <w:pStyle w:val="Heading7"/>
      </w:pPr>
      <w:bookmarkStart w:id="842" w:name="_Toc85121403"/>
      <w:r>
        <w:t>Output group 4: Ageing, Aged and Home Care</w:t>
      </w:r>
      <w:bookmarkEnd w:id="842"/>
    </w:p>
    <w:p w14:paraId="28F7C1F0" w14:textId="59377470" w:rsidR="005F4A7E" w:rsidRDefault="005F4A7E" w:rsidP="00130D1C">
      <w:pPr>
        <w:pStyle w:val="ARfinbody"/>
      </w:pPr>
      <w:r>
        <w:t>The Ageing, Aged and Home Care output group encompasses leading and coordinating the whole of government policy on issues affecting our ageing community. It includes a range of in-home, specialist geriatric, residential care and community-based programs, such as Home and Community Care (HACC), that are targeted to older people, people with a disability, and their carers.</w:t>
      </w:r>
    </w:p>
    <w:p w14:paraId="43D7EABB" w14:textId="77777777" w:rsidR="005F4A7E" w:rsidRDefault="005F4A7E" w:rsidP="00130D1C">
      <w:pPr>
        <w:pStyle w:val="Heading7"/>
      </w:pPr>
      <w:bookmarkStart w:id="843" w:name="_Toc85121404"/>
      <w:r>
        <w:t>Output group 5: Primary, Community and Dental Health</w:t>
      </w:r>
      <w:bookmarkEnd w:id="843"/>
    </w:p>
    <w:p w14:paraId="4D54D9E8" w14:textId="77777777" w:rsidR="005F4A7E" w:rsidRDefault="005F4A7E" w:rsidP="00130D1C">
      <w:pPr>
        <w:pStyle w:val="ARfinbody"/>
      </w:pPr>
      <w:r>
        <w:t>The Primary, Community and Dental Health output group includes a range of in-home, community-based (including maternal and child health services), community, primary health and dental services designed to promote health and wellbeing and prevent the onset of more serious illnesses.</w:t>
      </w:r>
    </w:p>
    <w:p w14:paraId="4B38682E" w14:textId="77777777" w:rsidR="005F4A7E" w:rsidRDefault="005F4A7E" w:rsidP="00130D1C">
      <w:pPr>
        <w:pStyle w:val="Heading7"/>
      </w:pPr>
      <w:bookmarkStart w:id="844" w:name="_Toc85121405"/>
      <w:r>
        <w:lastRenderedPageBreak/>
        <w:t>Output group 6: Small Rural Services</w:t>
      </w:r>
      <w:bookmarkEnd w:id="844"/>
    </w:p>
    <w:p w14:paraId="4E0190D1" w14:textId="77777777" w:rsidR="005F4A7E" w:rsidRDefault="005F4A7E" w:rsidP="00130D1C">
      <w:pPr>
        <w:pStyle w:val="ARfinbody"/>
      </w:pPr>
      <w:r>
        <w:t>The Small Rural Services output group includes a range of health and aged care services delivered in small rural towns. The funding and service delivery approach focuses on achieving a sustainable, flexible service mix that is responsive to local needs. Service providers include small rural hospitals, community health services, bush nursing centres, multipurpose services and public sector residential aged care services.</w:t>
      </w:r>
    </w:p>
    <w:p w14:paraId="2D1D6F2E" w14:textId="77777777" w:rsidR="005F4A7E" w:rsidRDefault="005F4A7E" w:rsidP="00130D1C">
      <w:pPr>
        <w:pStyle w:val="Heading7"/>
      </w:pPr>
      <w:bookmarkStart w:id="845" w:name="_Toc85121406"/>
      <w:r>
        <w:t>Output group 7: Public Health</w:t>
      </w:r>
      <w:bookmarkEnd w:id="845"/>
    </w:p>
    <w:p w14:paraId="5D3EF59A" w14:textId="77777777" w:rsidR="005F4A7E" w:rsidRDefault="005F4A7E" w:rsidP="00130D1C">
      <w:pPr>
        <w:pStyle w:val="ARfinbody"/>
      </w:pPr>
      <w:r>
        <w:t>The Public Health output group encompasses services and support, including screening for health conditions and safety inspections that promote and protect the health and wellbeing of all Victorians.</w:t>
      </w:r>
    </w:p>
    <w:p w14:paraId="5360F022" w14:textId="77777777" w:rsidR="005F4A7E" w:rsidRDefault="005F4A7E" w:rsidP="00130D1C">
      <w:pPr>
        <w:pStyle w:val="Heading7"/>
      </w:pPr>
      <w:bookmarkStart w:id="846" w:name="_Toc85121407"/>
      <w:r>
        <w:t>Output group 8: Drug Services</w:t>
      </w:r>
      <w:bookmarkEnd w:id="846"/>
    </w:p>
    <w:p w14:paraId="48E9245D" w14:textId="77777777" w:rsidR="005F4A7E" w:rsidRDefault="005F4A7E" w:rsidP="00130D1C">
      <w:pPr>
        <w:pStyle w:val="ARfinbody"/>
      </w:pPr>
      <w:r>
        <w:t>The Drug Services output group includes programs and services aimed at promoting and protecting health by reducing death, disease and social harm caused by the use and misuse of licit and illicit drugs.</w:t>
      </w:r>
    </w:p>
    <w:p w14:paraId="3324DFB9" w14:textId="77777777" w:rsidR="005F4A7E" w:rsidRDefault="005F4A7E" w:rsidP="00130D1C">
      <w:pPr>
        <w:pStyle w:val="Heading6"/>
      </w:pPr>
      <w:bookmarkStart w:id="847" w:name="_Toc85121408"/>
      <w:r>
        <w:t>Department of Families, Fairness and Housing output groups</w:t>
      </w:r>
      <w:bookmarkEnd w:id="847"/>
    </w:p>
    <w:p w14:paraId="28A7912D" w14:textId="77777777" w:rsidR="005F4A7E" w:rsidRDefault="005F4A7E" w:rsidP="00130D1C">
      <w:pPr>
        <w:pStyle w:val="Heading7"/>
      </w:pPr>
      <w:bookmarkStart w:id="848" w:name="_Toc85121409"/>
      <w:r>
        <w:t>Output group 9: Disability Services</w:t>
      </w:r>
      <w:bookmarkEnd w:id="848"/>
    </w:p>
    <w:p w14:paraId="3F794470" w14:textId="4EDA7992" w:rsidR="005F4A7E" w:rsidRDefault="005F4A7E" w:rsidP="00130D1C">
      <w:pPr>
        <w:pStyle w:val="ARfinbody"/>
      </w:pPr>
      <w:r>
        <w:t>The Disability Services output group includes provision of continuing care and support services for people with disabilities, their carers and their families, and aims to make a positive difference for Victorians experiencing disadvantage and provide excellent community services to meet clients</w:t>
      </w:r>
      <w:r w:rsidR="007D145B">
        <w:t>’</w:t>
      </w:r>
      <w:r>
        <w:t xml:space="preserve"> needs.</w:t>
      </w:r>
    </w:p>
    <w:p w14:paraId="2A435567" w14:textId="77777777" w:rsidR="005F4A7E" w:rsidRDefault="005F4A7E" w:rsidP="00130D1C">
      <w:pPr>
        <w:pStyle w:val="Heading7"/>
      </w:pPr>
      <w:bookmarkStart w:id="849" w:name="_Toc85121410"/>
      <w:r>
        <w:t>Output group 10: Child Protection and Family Services</w:t>
      </w:r>
      <w:bookmarkEnd w:id="849"/>
    </w:p>
    <w:p w14:paraId="74302CA7" w14:textId="77777777" w:rsidR="005F4A7E" w:rsidRDefault="005F4A7E" w:rsidP="00130D1C">
      <w:pPr>
        <w:pStyle w:val="ARfinbody"/>
      </w:pPr>
      <w:r>
        <w:t>The Child Protection and Family Services output group funds statutory child protection services, family support and early parenting services, family violence and sexual assault services, placement care services and specialist support services to ensure the safety and wellbeing of adolescents and children at risk of harm, abuse and neglect.</w:t>
      </w:r>
    </w:p>
    <w:p w14:paraId="772DF382" w14:textId="77777777" w:rsidR="005F4A7E" w:rsidRDefault="005F4A7E" w:rsidP="00130D1C">
      <w:pPr>
        <w:pStyle w:val="Heading7"/>
      </w:pPr>
      <w:bookmarkStart w:id="850" w:name="_Toc85121411"/>
      <w:r>
        <w:t>Output group 11: Concessions to Pensioners and Beneficiaries</w:t>
      </w:r>
      <w:bookmarkEnd w:id="850"/>
    </w:p>
    <w:p w14:paraId="38E3B159" w14:textId="77777777" w:rsidR="005F4A7E" w:rsidRDefault="005F4A7E" w:rsidP="00130D1C">
      <w:pPr>
        <w:pStyle w:val="ARfinbody"/>
      </w:pPr>
      <w:r>
        <w:t>Concessions to Pensioners and Beneficiaries output group includes the development and coordination of the delivery of concessions and relief grants to eligible consumers and concession card holders.</w:t>
      </w:r>
    </w:p>
    <w:p w14:paraId="12176532" w14:textId="77777777" w:rsidR="005F4A7E" w:rsidRDefault="005F4A7E" w:rsidP="00130D1C">
      <w:pPr>
        <w:pStyle w:val="ARfinbody"/>
        <w:rPr>
          <w:b/>
        </w:rPr>
      </w:pPr>
      <w:r>
        <w:t>This output provides reductions in the price of energy, water, and municipal rates to eligible consumers and concession card holders. It also provides trustee services for people on a low income or those who are subject to an order by the Victorian Civil and Administrative Tribunal, and other social and community services, including the provision of emergency relief for individuals or families who are experiencing immediate and personal distress due to a financial or domestic crisis.</w:t>
      </w:r>
    </w:p>
    <w:p w14:paraId="2691FC0B" w14:textId="77777777" w:rsidR="005F4A7E" w:rsidRDefault="005F4A7E" w:rsidP="00130D1C">
      <w:pPr>
        <w:pStyle w:val="Heading7"/>
      </w:pPr>
      <w:bookmarkStart w:id="851" w:name="_Toc85121412"/>
      <w:r>
        <w:t>Output group 12: Empowering Individuals and Communities</w:t>
      </w:r>
      <w:bookmarkEnd w:id="851"/>
    </w:p>
    <w:p w14:paraId="497EF369" w14:textId="77777777" w:rsidR="005F4A7E" w:rsidRDefault="005F4A7E" w:rsidP="00130D1C">
      <w:pPr>
        <w:pStyle w:val="ARfinbody"/>
      </w:pPr>
      <w:r>
        <w:t>The Empowering Individuals and Communities output group comprises:</w:t>
      </w:r>
    </w:p>
    <w:p w14:paraId="264CCC93" w14:textId="196306A1" w:rsidR="005F4A7E" w:rsidRPr="00F6698E" w:rsidRDefault="005F4A7E" w:rsidP="005F4A7E">
      <w:pPr>
        <w:pStyle w:val="ARfinbullet1"/>
        <w:numPr>
          <w:ilvl w:val="0"/>
          <w:numId w:val="2"/>
        </w:numPr>
      </w:pPr>
      <w:r>
        <w:t>The Co</w:t>
      </w:r>
      <w:r w:rsidRPr="00F6698E">
        <w:t>mmunity Participation output</w:t>
      </w:r>
      <w:r>
        <w:t>,</w:t>
      </w:r>
      <w:r w:rsidRPr="00F6698E">
        <w:t xml:space="preserve"> which funds programs that support community participation, including neighbourhood houses, Men</w:t>
      </w:r>
      <w:r w:rsidR="007D145B">
        <w:t>’</w:t>
      </w:r>
      <w:r w:rsidRPr="00F6698E">
        <w:t>s Sheds, community support projects and programs for people with a disability.</w:t>
      </w:r>
    </w:p>
    <w:p w14:paraId="6B50FD8A" w14:textId="77777777" w:rsidR="005F4A7E" w:rsidRPr="00F6698E" w:rsidRDefault="005F4A7E" w:rsidP="005F4A7E">
      <w:pPr>
        <w:pStyle w:val="ARfinbullet1"/>
        <w:numPr>
          <w:ilvl w:val="0"/>
          <w:numId w:val="2"/>
        </w:numPr>
      </w:pPr>
      <w:r w:rsidRPr="00F6698E">
        <w:t>The Senior Programs and Participation output</w:t>
      </w:r>
      <w:r>
        <w:t>,</w:t>
      </w:r>
      <w:r w:rsidRPr="00F6698E">
        <w:t xml:space="preserve"> which supports broader community planning processes to facilitate community planning and response approach aimed at enabling older Victorians to fully participate and engage in the community.</w:t>
      </w:r>
    </w:p>
    <w:p w14:paraId="1D1B84AE" w14:textId="77777777" w:rsidR="005F4A7E" w:rsidRPr="00F6698E" w:rsidRDefault="005F4A7E" w:rsidP="005F4A7E">
      <w:pPr>
        <w:pStyle w:val="ARfinbullet1"/>
        <w:numPr>
          <w:ilvl w:val="0"/>
          <w:numId w:val="2"/>
        </w:numPr>
      </w:pPr>
      <w:r w:rsidRPr="00F6698E">
        <w:t>The Support to Veterans in Victoria output</w:t>
      </w:r>
      <w:r>
        <w:t>,</w:t>
      </w:r>
      <w:r w:rsidRPr="00F6698E">
        <w:t xml:space="preserve"> which provides coordination of veteran-related issues at a state level, especially in relation to commemoration, education programs, grant programs, research and veteran welfare.</w:t>
      </w:r>
    </w:p>
    <w:p w14:paraId="43BDD044" w14:textId="75CCB2F9" w:rsidR="005F4A7E" w:rsidRPr="00F6698E" w:rsidRDefault="005F4A7E" w:rsidP="005F4A7E">
      <w:pPr>
        <w:pStyle w:val="ARfinbullet1"/>
        <w:numPr>
          <w:ilvl w:val="0"/>
          <w:numId w:val="2"/>
        </w:numPr>
      </w:pPr>
      <w:r w:rsidRPr="00F6698E">
        <w:t>The LGBTIQ+ Equality Policy and Programs output</w:t>
      </w:r>
      <w:r>
        <w:t>,</w:t>
      </w:r>
      <w:r w:rsidRPr="00F6698E">
        <w:t xml:space="preserve"> which provides programs and services to promote equality for LGBTIQ+ Victorians and to support these communities</w:t>
      </w:r>
      <w:r w:rsidR="007D145B">
        <w:t>’</w:t>
      </w:r>
      <w:r w:rsidRPr="00F6698E">
        <w:t xml:space="preserve"> economic, social and civic participation.</w:t>
      </w:r>
    </w:p>
    <w:p w14:paraId="63EB9E5D" w14:textId="5EC55EB2" w:rsidR="005F4A7E" w:rsidRPr="00F6698E" w:rsidRDefault="005F4A7E" w:rsidP="005F4A7E">
      <w:pPr>
        <w:pStyle w:val="ARfinbullet1"/>
        <w:numPr>
          <w:ilvl w:val="0"/>
          <w:numId w:val="2"/>
        </w:numPr>
      </w:pPr>
      <w:r w:rsidRPr="00F6698E">
        <w:t>The Women</w:t>
      </w:r>
      <w:r w:rsidR="007D145B">
        <w:t>’</w:t>
      </w:r>
      <w:r w:rsidRPr="00F6698E">
        <w:t>s Policy output</w:t>
      </w:r>
      <w:r>
        <w:t>,</w:t>
      </w:r>
      <w:r w:rsidRPr="00F6698E">
        <w:t xml:space="preserve"> which provides initiatives that support gender equality and better outcomes for women across all areas of their lives including economic security, safety, leadership, health and wellbeing.</w:t>
      </w:r>
    </w:p>
    <w:p w14:paraId="61273192" w14:textId="77777777" w:rsidR="005F4A7E" w:rsidRPr="00F6698E" w:rsidRDefault="005F4A7E" w:rsidP="005F4A7E">
      <w:pPr>
        <w:pStyle w:val="ARfinbullet1"/>
        <w:numPr>
          <w:ilvl w:val="0"/>
          <w:numId w:val="2"/>
        </w:numPr>
      </w:pPr>
      <w:r w:rsidRPr="00F6698E">
        <w:t>The Primary Prevention of Family Violence output</w:t>
      </w:r>
      <w:r>
        <w:t>,</w:t>
      </w:r>
      <w:r w:rsidRPr="00F6698E">
        <w:t xml:space="preserve"> which provides initiatives that support primary prevention of family violence and violence against women.</w:t>
      </w:r>
    </w:p>
    <w:p w14:paraId="37A59B6F" w14:textId="77777777" w:rsidR="005F4A7E" w:rsidRPr="00F6698E" w:rsidRDefault="005F4A7E" w:rsidP="005F4A7E">
      <w:pPr>
        <w:pStyle w:val="ARfinbullet1"/>
        <w:numPr>
          <w:ilvl w:val="0"/>
          <w:numId w:val="2"/>
        </w:numPr>
      </w:pPr>
      <w:r w:rsidRPr="00F6698E">
        <w:t>The Youth output</w:t>
      </w:r>
      <w:r>
        <w:t>,</w:t>
      </w:r>
      <w:r w:rsidRPr="00F6698E">
        <w:t xml:space="preserve"> which leads and coordinates whole of government policy advice and delivers a range of initiatives for young people aged between 12 and 25 years to</w:t>
      </w:r>
      <w:r>
        <w:t xml:space="preserve"> enable them to</w:t>
      </w:r>
      <w:r w:rsidRPr="00F6698E">
        <w:t xml:space="preserve"> gain a range of skills and experience and to actively participate in their local communities.</w:t>
      </w:r>
    </w:p>
    <w:p w14:paraId="6748D2A7" w14:textId="199CACF1" w:rsidR="005F4A7E" w:rsidRDefault="005F4A7E" w:rsidP="005F4A7E">
      <w:pPr>
        <w:pStyle w:val="ARfinbullet1"/>
        <w:numPr>
          <w:ilvl w:val="0"/>
          <w:numId w:val="2"/>
        </w:numPr>
      </w:pPr>
      <w:r w:rsidRPr="00F6698E">
        <w:t>The Multicultural Affair</w:t>
      </w:r>
      <w:r w:rsidRPr="00E67CD5">
        <w:t>s Policy and Pro</w:t>
      </w:r>
      <w:r>
        <w:t>gram output, which provides policy advice on multicultural affairs and social cohesion in Victoria, including settlement coordination for newly arrived migrants and refugees, and delivers a range of programs to directly support Victoria</w:t>
      </w:r>
      <w:r w:rsidR="007D145B">
        <w:t>’</w:t>
      </w:r>
      <w:r>
        <w:t>s multicultural communities.</w:t>
      </w:r>
    </w:p>
    <w:p w14:paraId="6FC64EFF" w14:textId="77777777" w:rsidR="005F4A7E" w:rsidRDefault="005F4A7E" w:rsidP="00130D1C">
      <w:pPr>
        <w:pStyle w:val="Heading7"/>
      </w:pPr>
      <w:bookmarkStart w:id="852" w:name="_Toc85121413"/>
      <w:r>
        <w:lastRenderedPageBreak/>
        <w:t>Output group 13: Family Violence Service Delivery</w:t>
      </w:r>
      <w:bookmarkEnd w:id="852"/>
    </w:p>
    <w:p w14:paraId="25D16FEB" w14:textId="5616B3FB" w:rsidR="005F4A7E" w:rsidRDefault="005F4A7E" w:rsidP="00130D1C">
      <w:pPr>
        <w:pStyle w:val="ARfinbody"/>
        <w:keepLines/>
      </w:pPr>
      <w:r>
        <w:t>The Family Violence Service Delivery output group leads and coordinates whole of government family violence policy, and implements and delivers the government</w:t>
      </w:r>
      <w:r w:rsidR="007D145B">
        <w:t>’</w:t>
      </w:r>
      <w:r>
        <w:t>s family violence reform agenda. This includes establishing and operating Support and Safety Hubs, implementing information-sharing legislation, and delivering risk assessment and management programs.</w:t>
      </w:r>
    </w:p>
    <w:p w14:paraId="6EBF57C5" w14:textId="77777777" w:rsidR="005F4A7E" w:rsidRDefault="005F4A7E" w:rsidP="00130D1C">
      <w:pPr>
        <w:pStyle w:val="Heading7"/>
      </w:pPr>
      <w:bookmarkStart w:id="853" w:name="_Toc85121414"/>
      <w:r>
        <w:t>Output group 14: Housing Assistance</w:t>
      </w:r>
      <w:bookmarkEnd w:id="853"/>
    </w:p>
    <w:p w14:paraId="3D9712C2" w14:textId="62C409CE" w:rsidR="005F4A7E" w:rsidRDefault="005F4A7E" w:rsidP="00130D1C">
      <w:pPr>
        <w:pStyle w:val="ARfinbody"/>
      </w:pPr>
      <w:r>
        <w:t>The Housing Assistance output group, through the provision of homelessness services, crisis and transitional accommodation and long-term, adequate, affordable and accessible housing assistance, coordinated with support services where required, home renovation assistance and the management of the home loan portfolio, aims to make a positive difference for Victorians experiencing disadvantage by providing excellent housing and community services to meet clients</w:t>
      </w:r>
      <w:r w:rsidR="007D145B">
        <w:t>’</w:t>
      </w:r>
      <w:r>
        <w:t xml:space="preserve"> needs. This output provides:</w:t>
      </w:r>
    </w:p>
    <w:p w14:paraId="67B76F6C" w14:textId="77777777" w:rsidR="005F4A7E" w:rsidRPr="00624A63" w:rsidRDefault="005F4A7E" w:rsidP="005F4A7E">
      <w:pPr>
        <w:pStyle w:val="ARfinbullet1"/>
        <w:numPr>
          <w:ilvl w:val="0"/>
          <w:numId w:val="2"/>
        </w:numPr>
      </w:pPr>
      <w:r>
        <w:t>housing assistance for low-income families, older people, singles, youth and other households. It responds to the needs of clients through the provision of</w:t>
      </w:r>
      <w:r w:rsidRPr="00624A63">
        <w:t xml:space="preserve"> appropriate accommodation, including short-term and long-term properties that assist in reducing and preventing homelessness, and</w:t>
      </w:r>
    </w:p>
    <w:p w14:paraId="033A5F00" w14:textId="77777777" w:rsidR="005F4A7E" w:rsidRDefault="005F4A7E" w:rsidP="005F4A7E">
      <w:pPr>
        <w:pStyle w:val="ARfinbullet1"/>
        <w:numPr>
          <w:ilvl w:val="0"/>
          <w:numId w:val="2"/>
        </w:numPr>
      </w:pPr>
      <w:r>
        <w:t>h</w:t>
      </w:r>
      <w:r w:rsidRPr="00624A63">
        <w:t>ousing support services to people who are homeless or at risk of homelessness, in short-term housing or crisis situations. Support will assist clients in accessi</w:t>
      </w:r>
      <w:r>
        <w:t>ng and maintaining tenancies in appropriate accommodation. Services provided will assist in the prevention and overall reduction of homelessness.</w:t>
      </w:r>
    </w:p>
    <w:p w14:paraId="715B3187" w14:textId="77777777" w:rsidR="005F4A7E" w:rsidRDefault="005F4A7E" w:rsidP="00130D1C">
      <w:pPr>
        <w:pStyle w:val="Heading7"/>
      </w:pPr>
      <w:bookmarkStart w:id="854" w:name="_Toc85121415"/>
      <w:r>
        <w:t>Output group 15: Shared Services</w:t>
      </w:r>
      <w:bookmarkEnd w:id="854"/>
    </w:p>
    <w:p w14:paraId="52880087" w14:textId="77777777" w:rsidR="005F4A7E" w:rsidRDefault="005F4A7E" w:rsidP="00130D1C">
      <w:pPr>
        <w:pStyle w:val="ARfinbody"/>
      </w:pPr>
      <w:r>
        <w:t>Shared Services output group reflects the range of corporate services that the department provides to the Department of Education and Training. These costs are include</w:t>
      </w:r>
      <w:r w:rsidRPr="00624A63">
        <w:t xml:space="preserve">d across the outputs of the Department of Education and Training. This output group is shared between the Department of </w:t>
      </w:r>
      <w:r>
        <w:t>Health and the Department of Families, Fairness and Housing.</w:t>
      </w:r>
    </w:p>
    <w:p w14:paraId="46892EF5" w14:textId="77777777" w:rsidR="005F4A7E" w:rsidRDefault="005F4A7E" w:rsidP="00130D1C">
      <w:pPr>
        <w:pStyle w:val="ARfinbody"/>
      </w:pPr>
      <w:r>
        <w:t xml:space="preserve">Further details on the objectives of each output can be found in </w:t>
      </w:r>
      <w:bookmarkStart w:id="855" w:name="_Hlk39681152"/>
      <w:r>
        <w:t>Budget Paper No. 3 Service Delivery</w:t>
      </w:r>
      <w:bookmarkEnd w:id="855"/>
      <w:r>
        <w:t>.</w:t>
      </w:r>
    </w:p>
    <w:p w14:paraId="17DB46C5" w14:textId="77777777" w:rsidR="005F4A7E" w:rsidRPr="002029AF" w:rsidRDefault="005F4A7E" w:rsidP="00087B91">
      <w:pPr>
        <w:pStyle w:val="ARfinbody"/>
      </w:pPr>
    </w:p>
    <w:p w14:paraId="5236BE45" w14:textId="77777777" w:rsidR="005F4A7E" w:rsidRPr="002029AF" w:rsidRDefault="005F4A7E" w:rsidP="00087B91">
      <w:pPr>
        <w:pStyle w:val="ARfinbody"/>
        <w:sectPr w:rsidR="005F4A7E" w:rsidRPr="002029AF" w:rsidSect="00130D1C">
          <w:footerReference w:type="even" r:id="rId133"/>
          <w:footnotePr>
            <w:numFmt w:val="lowerLetter"/>
            <w:numRestart w:val="eachPage"/>
          </w:footnotePr>
          <w:pgSz w:w="11906" w:h="16838" w:code="9"/>
          <w:pgMar w:top="1531" w:right="1134" w:bottom="851" w:left="1134" w:header="510" w:footer="340" w:gutter="0"/>
          <w:cols w:space="708"/>
          <w:docGrid w:linePitch="360"/>
        </w:sectPr>
      </w:pPr>
    </w:p>
    <w:p w14:paraId="192E3A94" w14:textId="77777777" w:rsidR="005F4A7E" w:rsidRPr="002029AF" w:rsidRDefault="005F4A7E" w:rsidP="00130D1C">
      <w:pPr>
        <w:pStyle w:val="Heading5"/>
        <w:spacing w:before="0" w:after="0"/>
      </w:pPr>
      <w:bookmarkStart w:id="856" w:name="_Toc39136709"/>
      <w:bookmarkStart w:id="857" w:name="_Toc85121416"/>
      <w:r>
        <w:rPr>
          <w:lang w:eastAsia="en-AU"/>
        </w:rPr>
        <w:lastRenderedPageBreak/>
        <w:t>4.1.2 Departmental outputs – Controlled income and expenses</w:t>
      </w:r>
      <w:bookmarkEnd w:id="856"/>
      <w:bookmarkEnd w:id="857"/>
    </w:p>
    <w:tbl>
      <w:tblPr>
        <w:tblStyle w:val="TableGrid"/>
        <w:tblW w:w="14459" w:type="dxa"/>
        <w:tblLayout w:type="fixed"/>
        <w:tblCellMar>
          <w:right w:w="0" w:type="dxa"/>
        </w:tblCellMar>
        <w:tblLook w:val="06A0" w:firstRow="1" w:lastRow="0" w:firstColumn="1" w:lastColumn="0" w:noHBand="1" w:noVBand="1"/>
      </w:tblPr>
      <w:tblGrid>
        <w:gridCol w:w="2303"/>
        <w:gridCol w:w="938"/>
        <w:gridCol w:w="737"/>
        <w:gridCol w:w="598"/>
        <w:gridCol w:w="709"/>
        <w:gridCol w:w="757"/>
        <w:gridCol w:w="639"/>
        <w:gridCol w:w="708"/>
        <w:gridCol w:w="708"/>
        <w:gridCol w:w="749"/>
        <w:gridCol w:w="738"/>
        <w:gridCol w:w="738"/>
        <w:gridCol w:w="738"/>
        <w:gridCol w:w="590"/>
        <w:gridCol w:w="737"/>
        <w:gridCol w:w="738"/>
        <w:gridCol w:w="590"/>
        <w:gridCol w:w="744"/>
      </w:tblGrid>
      <w:tr w:rsidR="005F4A7E" w:rsidRPr="00624A63" w14:paraId="613DECE3" w14:textId="77777777" w:rsidTr="00130D1C">
        <w:trPr>
          <w:cnfStyle w:val="100000000000" w:firstRow="1" w:lastRow="0" w:firstColumn="0" w:lastColumn="0" w:oddVBand="0" w:evenVBand="0" w:oddHBand="0" w:evenHBand="0" w:firstRowFirstColumn="0" w:firstRowLastColumn="0" w:lastRowFirstColumn="0" w:lastRowLastColumn="0"/>
          <w:trHeight w:val="170"/>
          <w:tblHeader/>
        </w:trPr>
        <w:tc>
          <w:tcPr>
            <w:tcW w:w="2303" w:type="dxa"/>
            <w:tcBorders>
              <w:bottom w:val="single" w:sz="4" w:space="0" w:color="auto"/>
            </w:tcBorders>
            <w:hideMark/>
          </w:tcPr>
          <w:p w14:paraId="1D8A0D9E" w14:textId="77777777" w:rsidR="005F4A7E" w:rsidRPr="00C340B4" w:rsidRDefault="005F4A7E" w:rsidP="00130D1C">
            <w:pPr>
              <w:pStyle w:val="ARfintablecolhead"/>
              <w:spacing w:before="20" w:after="16" w:line="228" w:lineRule="auto"/>
              <w:rPr>
                <w:sz w:val="15"/>
                <w:szCs w:val="15"/>
              </w:rPr>
            </w:pPr>
            <w:r w:rsidRPr="00C340B4">
              <w:rPr>
                <w:sz w:val="15"/>
                <w:szCs w:val="15"/>
              </w:rPr>
              <w:t>Year ended 30 June 2021</w:t>
            </w:r>
          </w:p>
          <w:p w14:paraId="543935AC" w14:textId="77777777" w:rsidR="005F4A7E" w:rsidRPr="00C340B4" w:rsidRDefault="005F4A7E" w:rsidP="00130D1C">
            <w:pPr>
              <w:pStyle w:val="ARfintablecolhead"/>
              <w:spacing w:before="20" w:after="16" w:line="228" w:lineRule="auto"/>
              <w:rPr>
                <w:sz w:val="15"/>
                <w:szCs w:val="15"/>
              </w:rPr>
            </w:pPr>
            <w:r w:rsidRPr="00C340B4">
              <w:rPr>
                <w:sz w:val="15"/>
                <w:szCs w:val="15"/>
              </w:rPr>
              <w:t xml:space="preserve">Output group </w:t>
            </w:r>
            <w:r w:rsidRPr="00C340B4">
              <w:rPr>
                <w:rStyle w:val="Superscript"/>
                <w:sz w:val="15"/>
                <w:szCs w:val="15"/>
              </w:rPr>
              <w:t>(i)</w:t>
            </w:r>
          </w:p>
        </w:tc>
        <w:tc>
          <w:tcPr>
            <w:tcW w:w="938" w:type="dxa"/>
            <w:tcBorders>
              <w:bottom w:val="single" w:sz="4" w:space="0" w:color="auto"/>
            </w:tcBorders>
            <w:hideMark/>
          </w:tcPr>
          <w:p w14:paraId="31CCE811"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1</w:t>
            </w:r>
          </w:p>
          <w:p w14:paraId="1CEFB330"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$M</w:t>
            </w:r>
          </w:p>
        </w:tc>
        <w:tc>
          <w:tcPr>
            <w:tcW w:w="737" w:type="dxa"/>
            <w:tcBorders>
              <w:bottom w:val="single" w:sz="4" w:space="0" w:color="auto"/>
            </w:tcBorders>
            <w:hideMark/>
          </w:tcPr>
          <w:p w14:paraId="32B9F834"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2</w:t>
            </w:r>
          </w:p>
          <w:p w14:paraId="2373AC79"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$M</w:t>
            </w:r>
          </w:p>
        </w:tc>
        <w:tc>
          <w:tcPr>
            <w:tcW w:w="598" w:type="dxa"/>
            <w:tcBorders>
              <w:bottom w:val="single" w:sz="4" w:space="0" w:color="auto"/>
            </w:tcBorders>
            <w:hideMark/>
          </w:tcPr>
          <w:p w14:paraId="27AC5FAC"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3</w:t>
            </w:r>
          </w:p>
          <w:p w14:paraId="1ADF086D"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$M</w:t>
            </w:r>
          </w:p>
        </w:tc>
        <w:tc>
          <w:tcPr>
            <w:tcW w:w="709" w:type="dxa"/>
            <w:tcBorders>
              <w:bottom w:val="single" w:sz="4" w:space="0" w:color="auto"/>
            </w:tcBorders>
            <w:hideMark/>
          </w:tcPr>
          <w:p w14:paraId="79530740"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4</w:t>
            </w:r>
          </w:p>
          <w:p w14:paraId="014A114C"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$M</w:t>
            </w:r>
          </w:p>
        </w:tc>
        <w:tc>
          <w:tcPr>
            <w:tcW w:w="757" w:type="dxa"/>
            <w:tcBorders>
              <w:bottom w:val="single" w:sz="4" w:space="0" w:color="auto"/>
            </w:tcBorders>
            <w:hideMark/>
          </w:tcPr>
          <w:p w14:paraId="11864B95"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5</w:t>
            </w:r>
          </w:p>
          <w:p w14:paraId="680E44BB"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$M</w:t>
            </w:r>
          </w:p>
        </w:tc>
        <w:tc>
          <w:tcPr>
            <w:tcW w:w="639" w:type="dxa"/>
            <w:tcBorders>
              <w:bottom w:val="single" w:sz="4" w:space="0" w:color="auto"/>
            </w:tcBorders>
            <w:hideMark/>
          </w:tcPr>
          <w:p w14:paraId="066FA8B8"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6</w:t>
            </w:r>
          </w:p>
          <w:p w14:paraId="04A8507F"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$M</w:t>
            </w:r>
          </w:p>
        </w:tc>
        <w:tc>
          <w:tcPr>
            <w:tcW w:w="708" w:type="dxa"/>
            <w:tcBorders>
              <w:bottom w:val="single" w:sz="4" w:space="0" w:color="auto"/>
            </w:tcBorders>
            <w:hideMark/>
          </w:tcPr>
          <w:p w14:paraId="4824CDB6"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7</w:t>
            </w:r>
          </w:p>
          <w:p w14:paraId="46F49416"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$M</w:t>
            </w:r>
          </w:p>
        </w:tc>
        <w:tc>
          <w:tcPr>
            <w:tcW w:w="708" w:type="dxa"/>
            <w:tcBorders>
              <w:bottom w:val="single" w:sz="4" w:space="0" w:color="auto"/>
            </w:tcBorders>
            <w:hideMark/>
          </w:tcPr>
          <w:p w14:paraId="2FE1E915"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8</w:t>
            </w:r>
          </w:p>
          <w:p w14:paraId="08B7A359"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$M</w:t>
            </w:r>
          </w:p>
        </w:tc>
        <w:tc>
          <w:tcPr>
            <w:tcW w:w="749" w:type="dxa"/>
            <w:tcBorders>
              <w:bottom w:val="single" w:sz="4" w:space="0" w:color="auto"/>
            </w:tcBorders>
            <w:hideMark/>
          </w:tcPr>
          <w:p w14:paraId="08024336"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9</w:t>
            </w:r>
          </w:p>
          <w:p w14:paraId="59D912BB"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$M</w:t>
            </w:r>
          </w:p>
        </w:tc>
        <w:tc>
          <w:tcPr>
            <w:tcW w:w="738" w:type="dxa"/>
            <w:tcBorders>
              <w:bottom w:val="single" w:sz="4" w:space="0" w:color="auto"/>
            </w:tcBorders>
            <w:hideMark/>
          </w:tcPr>
          <w:p w14:paraId="77B07EE6"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10</w:t>
            </w:r>
          </w:p>
          <w:p w14:paraId="49013E22"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$M</w:t>
            </w:r>
          </w:p>
        </w:tc>
        <w:tc>
          <w:tcPr>
            <w:tcW w:w="738" w:type="dxa"/>
            <w:tcBorders>
              <w:bottom w:val="single" w:sz="4" w:space="0" w:color="auto"/>
            </w:tcBorders>
            <w:hideMark/>
          </w:tcPr>
          <w:p w14:paraId="4FB96C80"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11</w:t>
            </w:r>
          </w:p>
          <w:p w14:paraId="178455A6"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$M</w:t>
            </w:r>
          </w:p>
        </w:tc>
        <w:tc>
          <w:tcPr>
            <w:tcW w:w="738" w:type="dxa"/>
            <w:tcBorders>
              <w:bottom w:val="single" w:sz="4" w:space="0" w:color="auto"/>
            </w:tcBorders>
            <w:hideMark/>
          </w:tcPr>
          <w:p w14:paraId="4AD69167"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12</w:t>
            </w:r>
          </w:p>
          <w:p w14:paraId="2494FCED"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$M</w:t>
            </w:r>
          </w:p>
        </w:tc>
        <w:tc>
          <w:tcPr>
            <w:tcW w:w="590" w:type="dxa"/>
            <w:tcBorders>
              <w:bottom w:val="single" w:sz="4" w:space="0" w:color="auto"/>
            </w:tcBorders>
            <w:hideMark/>
          </w:tcPr>
          <w:p w14:paraId="02B7E824"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13</w:t>
            </w:r>
          </w:p>
          <w:p w14:paraId="645170F6"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$M</w:t>
            </w:r>
          </w:p>
        </w:tc>
        <w:tc>
          <w:tcPr>
            <w:tcW w:w="737" w:type="dxa"/>
            <w:tcBorders>
              <w:bottom w:val="single" w:sz="4" w:space="0" w:color="auto"/>
            </w:tcBorders>
            <w:hideMark/>
          </w:tcPr>
          <w:p w14:paraId="23677CF1"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14</w:t>
            </w:r>
          </w:p>
          <w:p w14:paraId="5430DF6C"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$M</w:t>
            </w:r>
          </w:p>
        </w:tc>
        <w:tc>
          <w:tcPr>
            <w:tcW w:w="738" w:type="dxa"/>
            <w:tcBorders>
              <w:bottom w:val="single" w:sz="4" w:space="0" w:color="auto"/>
            </w:tcBorders>
            <w:hideMark/>
          </w:tcPr>
          <w:p w14:paraId="71F82313"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15</w:t>
            </w:r>
          </w:p>
          <w:p w14:paraId="57667EDF"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$M</w:t>
            </w:r>
          </w:p>
        </w:tc>
        <w:tc>
          <w:tcPr>
            <w:tcW w:w="590" w:type="dxa"/>
            <w:tcBorders>
              <w:bottom w:val="single" w:sz="4" w:space="0" w:color="auto"/>
            </w:tcBorders>
            <w:hideMark/>
          </w:tcPr>
          <w:p w14:paraId="121E0B4E"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Elimin-</w:t>
            </w:r>
            <w:r w:rsidRPr="00C340B4">
              <w:rPr>
                <w:sz w:val="15"/>
                <w:szCs w:val="15"/>
              </w:rPr>
              <w:br/>
              <w:t>ation</w:t>
            </w:r>
          </w:p>
          <w:p w14:paraId="25A45E18"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$M</w:t>
            </w:r>
          </w:p>
        </w:tc>
        <w:tc>
          <w:tcPr>
            <w:tcW w:w="744" w:type="dxa"/>
            <w:tcBorders>
              <w:bottom w:val="single" w:sz="4" w:space="0" w:color="auto"/>
            </w:tcBorders>
            <w:hideMark/>
          </w:tcPr>
          <w:p w14:paraId="2DBA7F62"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Total</w:t>
            </w:r>
          </w:p>
          <w:p w14:paraId="66B5A313"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$M</w:t>
            </w:r>
          </w:p>
        </w:tc>
      </w:tr>
      <w:tr w:rsidR="005F4A7E" w:rsidRPr="00624A63" w14:paraId="1751B877" w14:textId="77777777" w:rsidTr="00130D1C">
        <w:trPr>
          <w:trHeight w:val="170"/>
        </w:trPr>
        <w:tc>
          <w:tcPr>
            <w:tcW w:w="14459" w:type="dxa"/>
            <w:gridSpan w:val="18"/>
            <w:tcBorders>
              <w:top w:val="single" w:sz="4" w:space="0" w:color="auto"/>
              <w:bottom w:val="single" w:sz="4" w:space="0" w:color="A6A6A6"/>
            </w:tcBorders>
            <w:hideMark/>
          </w:tcPr>
          <w:p w14:paraId="1FB5AA44" w14:textId="77777777" w:rsidR="005F4A7E" w:rsidRPr="00C340B4" w:rsidRDefault="005F4A7E" w:rsidP="00130D1C">
            <w:pPr>
              <w:pStyle w:val="ARfintablebodybold"/>
              <w:spacing w:before="20" w:after="16" w:line="228" w:lineRule="auto"/>
              <w:rPr>
                <w:sz w:val="15"/>
                <w:szCs w:val="15"/>
              </w:rPr>
            </w:pPr>
            <w:r w:rsidRPr="00C340B4">
              <w:rPr>
                <w:sz w:val="15"/>
                <w:szCs w:val="15"/>
              </w:rPr>
              <w:t>Income from transactions</w:t>
            </w:r>
          </w:p>
        </w:tc>
      </w:tr>
      <w:tr w:rsidR="005F4A7E" w:rsidRPr="00624A63" w14:paraId="788C0015" w14:textId="77777777" w:rsidTr="00130D1C">
        <w:trPr>
          <w:trHeight w:val="170"/>
        </w:trPr>
        <w:tc>
          <w:tcPr>
            <w:tcW w:w="2303" w:type="dxa"/>
            <w:tcBorders>
              <w:top w:val="single" w:sz="4" w:space="0" w:color="A6A6A6"/>
              <w:bottom w:val="single" w:sz="4" w:space="0" w:color="A6A6A6"/>
            </w:tcBorders>
            <w:hideMark/>
          </w:tcPr>
          <w:p w14:paraId="351E64D4" w14:textId="77777777" w:rsidR="005F4A7E" w:rsidRPr="00C340B4" w:rsidRDefault="005F4A7E" w:rsidP="00130D1C">
            <w:pPr>
              <w:pStyle w:val="ARfintablebody"/>
              <w:spacing w:before="20" w:after="16" w:line="228" w:lineRule="auto"/>
              <w:rPr>
                <w:sz w:val="15"/>
                <w:szCs w:val="15"/>
              </w:rPr>
            </w:pPr>
            <w:r w:rsidRPr="00C340B4">
              <w:rPr>
                <w:sz w:val="15"/>
                <w:szCs w:val="15"/>
              </w:rPr>
              <w:t>Output appropriations</w:t>
            </w:r>
          </w:p>
        </w:tc>
        <w:tc>
          <w:tcPr>
            <w:tcW w:w="938" w:type="dxa"/>
            <w:tcBorders>
              <w:top w:val="single" w:sz="4" w:space="0" w:color="A6A6A6"/>
              <w:bottom w:val="single" w:sz="4" w:space="0" w:color="A6A6A6"/>
            </w:tcBorders>
            <w:noWrap/>
            <w:hideMark/>
          </w:tcPr>
          <w:p w14:paraId="6A0EEA5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9,622.9</w:t>
            </w:r>
          </w:p>
        </w:tc>
        <w:tc>
          <w:tcPr>
            <w:tcW w:w="737" w:type="dxa"/>
            <w:tcBorders>
              <w:top w:val="single" w:sz="4" w:space="0" w:color="A6A6A6"/>
              <w:bottom w:val="single" w:sz="4" w:space="0" w:color="A6A6A6"/>
            </w:tcBorders>
            <w:noWrap/>
            <w:hideMark/>
          </w:tcPr>
          <w:p w14:paraId="593FDBF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869.0</w:t>
            </w:r>
          </w:p>
        </w:tc>
        <w:tc>
          <w:tcPr>
            <w:tcW w:w="598" w:type="dxa"/>
            <w:tcBorders>
              <w:top w:val="single" w:sz="4" w:space="0" w:color="A6A6A6"/>
              <w:bottom w:val="single" w:sz="4" w:space="0" w:color="A6A6A6"/>
            </w:tcBorders>
            <w:noWrap/>
            <w:hideMark/>
          </w:tcPr>
          <w:p w14:paraId="01E6C24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1,224.9</w:t>
            </w:r>
          </w:p>
        </w:tc>
        <w:tc>
          <w:tcPr>
            <w:tcW w:w="709" w:type="dxa"/>
            <w:tcBorders>
              <w:top w:val="single" w:sz="4" w:space="0" w:color="A6A6A6"/>
              <w:bottom w:val="single" w:sz="4" w:space="0" w:color="A6A6A6"/>
            </w:tcBorders>
            <w:noWrap/>
            <w:hideMark/>
          </w:tcPr>
          <w:p w14:paraId="0CB85AC4"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558.4</w:t>
            </w:r>
          </w:p>
        </w:tc>
        <w:tc>
          <w:tcPr>
            <w:tcW w:w="757" w:type="dxa"/>
            <w:tcBorders>
              <w:top w:val="single" w:sz="4" w:space="0" w:color="A6A6A6"/>
              <w:bottom w:val="single" w:sz="4" w:space="0" w:color="A6A6A6"/>
            </w:tcBorders>
            <w:noWrap/>
            <w:hideMark/>
          </w:tcPr>
          <w:p w14:paraId="177EC86E"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709.8</w:t>
            </w:r>
          </w:p>
        </w:tc>
        <w:tc>
          <w:tcPr>
            <w:tcW w:w="639" w:type="dxa"/>
            <w:tcBorders>
              <w:top w:val="single" w:sz="4" w:space="0" w:color="A6A6A6"/>
              <w:bottom w:val="single" w:sz="4" w:space="0" w:color="A6A6A6"/>
            </w:tcBorders>
            <w:noWrap/>
            <w:hideMark/>
          </w:tcPr>
          <w:p w14:paraId="75DBE968"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356.1</w:t>
            </w:r>
          </w:p>
        </w:tc>
        <w:tc>
          <w:tcPr>
            <w:tcW w:w="708" w:type="dxa"/>
            <w:tcBorders>
              <w:top w:val="single" w:sz="4" w:space="0" w:color="A6A6A6"/>
              <w:bottom w:val="single" w:sz="4" w:space="0" w:color="A6A6A6"/>
            </w:tcBorders>
            <w:noWrap/>
            <w:hideMark/>
          </w:tcPr>
          <w:p w14:paraId="10963A5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1,363.6</w:t>
            </w:r>
          </w:p>
        </w:tc>
        <w:tc>
          <w:tcPr>
            <w:tcW w:w="708" w:type="dxa"/>
            <w:tcBorders>
              <w:top w:val="single" w:sz="4" w:space="0" w:color="A6A6A6"/>
              <w:bottom w:val="single" w:sz="4" w:space="0" w:color="A6A6A6"/>
            </w:tcBorders>
            <w:noWrap/>
            <w:hideMark/>
          </w:tcPr>
          <w:p w14:paraId="6E49386E"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198.4</w:t>
            </w:r>
          </w:p>
        </w:tc>
        <w:tc>
          <w:tcPr>
            <w:tcW w:w="749" w:type="dxa"/>
            <w:tcBorders>
              <w:top w:val="single" w:sz="4" w:space="0" w:color="A6A6A6"/>
              <w:bottom w:val="single" w:sz="4" w:space="0" w:color="A6A6A6"/>
            </w:tcBorders>
            <w:noWrap/>
            <w:hideMark/>
          </w:tcPr>
          <w:p w14:paraId="0A06B47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2,150.1</w:t>
            </w:r>
          </w:p>
        </w:tc>
        <w:tc>
          <w:tcPr>
            <w:tcW w:w="738" w:type="dxa"/>
            <w:tcBorders>
              <w:top w:val="single" w:sz="4" w:space="0" w:color="A6A6A6"/>
              <w:bottom w:val="single" w:sz="4" w:space="0" w:color="A6A6A6"/>
            </w:tcBorders>
            <w:noWrap/>
            <w:hideMark/>
          </w:tcPr>
          <w:p w14:paraId="3E4637A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1,708.0</w:t>
            </w:r>
          </w:p>
        </w:tc>
        <w:tc>
          <w:tcPr>
            <w:tcW w:w="738" w:type="dxa"/>
            <w:tcBorders>
              <w:top w:val="single" w:sz="4" w:space="0" w:color="A6A6A6"/>
              <w:bottom w:val="single" w:sz="4" w:space="0" w:color="A6A6A6"/>
            </w:tcBorders>
            <w:noWrap/>
            <w:hideMark/>
          </w:tcPr>
          <w:p w14:paraId="26D12C1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820.2</w:t>
            </w:r>
          </w:p>
        </w:tc>
        <w:tc>
          <w:tcPr>
            <w:tcW w:w="738" w:type="dxa"/>
            <w:tcBorders>
              <w:top w:val="single" w:sz="4" w:space="0" w:color="A6A6A6"/>
              <w:bottom w:val="single" w:sz="4" w:space="0" w:color="A6A6A6"/>
            </w:tcBorders>
            <w:noWrap/>
            <w:hideMark/>
          </w:tcPr>
          <w:p w14:paraId="4195AAA7"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290.2</w:t>
            </w:r>
          </w:p>
        </w:tc>
        <w:tc>
          <w:tcPr>
            <w:tcW w:w="590" w:type="dxa"/>
            <w:tcBorders>
              <w:top w:val="single" w:sz="4" w:space="0" w:color="A6A6A6"/>
              <w:bottom w:val="single" w:sz="4" w:space="0" w:color="A6A6A6"/>
            </w:tcBorders>
            <w:noWrap/>
            <w:hideMark/>
          </w:tcPr>
          <w:p w14:paraId="25C08DE7"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345.9</w:t>
            </w:r>
          </w:p>
        </w:tc>
        <w:tc>
          <w:tcPr>
            <w:tcW w:w="737" w:type="dxa"/>
            <w:tcBorders>
              <w:top w:val="single" w:sz="4" w:space="0" w:color="A6A6A6"/>
              <w:bottom w:val="single" w:sz="4" w:space="0" w:color="A6A6A6"/>
            </w:tcBorders>
            <w:noWrap/>
            <w:hideMark/>
          </w:tcPr>
          <w:p w14:paraId="6710AA76"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1,333.9</w:t>
            </w:r>
          </w:p>
        </w:tc>
        <w:tc>
          <w:tcPr>
            <w:tcW w:w="738" w:type="dxa"/>
            <w:tcBorders>
              <w:top w:val="single" w:sz="4" w:space="0" w:color="A6A6A6"/>
              <w:bottom w:val="single" w:sz="4" w:space="0" w:color="A6A6A6"/>
            </w:tcBorders>
            <w:noWrap/>
            <w:hideMark/>
          </w:tcPr>
          <w:p w14:paraId="05685F04"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1011D062"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1673EE5C"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21,551.4</w:t>
            </w:r>
          </w:p>
        </w:tc>
      </w:tr>
      <w:tr w:rsidR="005F4A7E" w:rsidRPr="00624A63" w14:paraId="4CA8E272" w14:textId="77777777" w:rsidTr="00130D1C">
        <w:trPr>
          <w:trHeight w:val="170"/>
        </w:trPr>
        <w:tc>
          <w:tcPr>
            <w:tcW w:w="2303" w:type="dxa"/>
            <w:tcBorders>
              <w:top w:val="single" w:sz="4" w:space="0" w:color="A6A6A6"/>
              <w:bottom w:val="single" w:sz="4" w:space="0" w:color="A6A6A6"/>
            </w:tcBorders>
            <w:hideMark/>
          </w:tcPr>
          <w:p w14:paraId="2DEC1C77" w14:textId="77777777" w:rsidR="005F4A7E" w:rsidRPr="00C340B4" w:rsidRDefault="005F4A7E" w:rsidP="00130D1C">
            <w:pPr>
              <w:pStyle w:val="ARfintablebody"/>
              <w:spacing w:before="20" w:after="16" w:line="228" w:lineRule="auto"/>
              <w:rPr>
                <w:sz w:val="15"/>
                <w:szCs w:val="15"/>
              </w:rPr>
            </w:pPr>
            <w:r w:rsidRPr="00C340B4">
              <w:rPr>
                <w:sz w:val="15"/>
                <w:szCs w:val="15"/>
              </w:rPr>
              <w:t>Special appropriations</w:t>
            </w:r>
          </w:p>
        </w:tc>
        <w:tc>
          <w:tcPr>
            <w:tcW w:w="938" w:type="dxa"/>
            <w:tcBorders>
              <w:top w:val="single" w:sz="4" w:space="0" w:color="A6A6A6"/>
              <w:bottom w:val="single" w:sz="4" w:space="0" w:color="A6A6A6"/>
            </w:tcBorders>
            <w:noWrap/>
            <w:hideMark/>
          </w:tcPr>
          <w:p w14:paraId="560CDE5E"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919.5</w:t>
            </w:r>
          </w:p>
        </w:tc>
        <w:tc>
          <w:tcPr>
            <w:tcW w:w="737" w:type="dxa"/>
            <w:tcBorders>
              <w:top w:val="single" w:sz="4" w:space="0" w:color="A6A6A6"/>
              <w:bottom w:val="single" w:sz="4" w:space="0" w:color="A6A6A6"/>
            </w:tcBorders>
            <w:noWrap/>
            <w:hideMark/>
          </w:tcPr>
          <w:p w14:paraId="46BB8D85"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33.0</w:t>
            </w:r>
          </w:p>
        </w:tc>
        <w:tc>
          <w:tcPr>
            <w:tcW w:w="598" w:type="dxa"/>
            <w:tcBorders>
              <w:top w:val="single" w:sz="4" w:space="0" w:color="A6A6A6"/>
              <w:bottom w:val="single" w:sz="4" w:space="0" w:color="A6A6A6"/>
            </w:tcBorders>
            <w:noWrap/>
            <w:hideMark/>
          </w:tcPr>
          <w:p w14:paraId="24310B3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23.8</w:t>
            </w:r>
          </w:p>
        </w:tc>
        <w:tc>
          <w:tcPr>
            <w:tcW w:w="709" w:type="dxa"/>
            <w:tcBorders>
              <w:top w:val="single" w:sz="4" w:space="0" w:color="A6A6A6"/>
              <w:bottom w:val="single" w:sz="4" w:space="0" w:color="A6A6A6"/>
            </w:tcBorders>
            <w:noWrap/>
            <w:hideMark/>
          </w:tcPr>
          <w:p w14:paraId="08875BE1"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13.5</w:t>
            </w:r>
          </w:p>
        </w:tc>
        <w:tc>
          <w:tcPr>
            <w:tcW w:w="757" w:type="dxa"/>
            <w:tcBorders>
              <w:top w:val="single" w:sz="4" w:space="0" w:color="A6A6A6"/>
              <w:bottom w:val="single" w:sz="4" w:space="0" w:color="A6A6A6"/>
            </w:tcBorders>
            <w:noWrap/>
            <w:hideMark/>
          </w:tcPr>
          <w:p w14:paraId="4BDC6AA1"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27.4</w:t>
            </w:r>
          </w:p>
        </w:tc>
        <w:tc>
          <w:tcPr>
            <w:tcW w:w="639" w:type="dxa"/>
            <w:tcBorders>
              <w:top w:val="single" w:sz="4" w:space="0" w:color="A6A6A6"/>
              <w:bottom w:val="single" w:sz="4" w:space="0" w:color="A6A6A6"/>
            </w:tcBorders>
            <w:noWrap/>
            <w:hideMark/>
          </w:tcPr>
          <w:p w14:paraId="61F37C8D"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5.0</w:t>
            </w:r>
          </w:p>
        </w:tc>
        <w:tc>
          <w:tcPr>
            <w:tcW w:w="708" w:type="dxa"/>
            <w:tcBorders>
              <w:top w:val="single" w:sz="4" w:space="0" w:color="A6A6A6"/>
              <w:bottom w:val="single" w:sz="4" w:space="0" w:color="A6A6A6"/>
            </w:tcBorders>
            <w:noWrap/>
            <w:hideMark/>
          </w:tcPr>
          <w:p w14:paraId="54FE13CC"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7.9</w:t>
            </w:r>
          </w:p>
        </w:tc>
        <w:tc>
          <w:tcPr>
            <w:tcW w:w="708" w:type="dxa"/>
            <w:tcBorders>
              <w:top w:val="single" w:sz="4" w:space="0" w:color="A6A6A6"/>
              <w:bottom w:val="single" w:sz="4" w:space="0" w:color="A6A6A6"/>
            </w:tcBorders>
            <w:noWrap/>
            <w:hideMark/>
          </w:tcPr>
          <w:p w14:paraId="324A6C8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4.4</w:t>
            </w:r>
          </w:p>
        </w:tc>
        <w:tc>
          <w:tcPr>
            <w:tcW w:w="749" w:type="dxa"/>
            <w:tcBorders>
              <w:top w:val="single" w:sz="4" w:space="0" w:color="A6A6A6"/>
              <w:bottom w:val="single" w:sz="4" w:space="0" w:color="A6A6A6"/>
            </w:tcBorders>
            <w:noWrap/>
            <w:hideMark/>
          </w:tcPr>
          <w:p w14:paraId="6C3139D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63.9</w:t>
            </w:r>
          </w:p>
        </w:tc>
        <w:tc>
          <w:tcPr>
            <w:tcW w:w="738" w:type="dxa"/>
            <w:tcBorders>
              <w:top w:val="single" w:sz="4" w:space="0" w:color="A6A6A6"/>
              <w:bottom w:val="single" w:sz="4" w:space="0" w:color="A6A6A6"/>
            </w:tcBorders>
            <w:noWrap/>
            <w:hideMark/>
          </w:tcPr>
          <w:p w14:paraId="37852162"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095E87A5"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0A866CA8"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0.5</w:t>
            </w:r>
          </w:p>
        </w:tc>
        <w:tc>
          <w:tcPr>
            <w:tcW w:w="590" w:type="dxa"/>
            <w:tcBorders>
              <w:top w:val="single" w:sz="4" w:space="0" w:color="A6A6A6"/>
              <w:bottom w:val="single" w:sz="4" w:space="0" w:color="A6A6A6"/>
            </w:tcBorders>
            <w:noWrap/>
            <w:hideMark/>
          </w:tcPr>
          <w:p w14:paraId="620326D8"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2DF6270E"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5744FDD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0CCB962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794AFBC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1,098.9</w:t>
            </w:r>
          </w:p>
        </w:tc>
      </w:tr>
      <w:tr w:rsidR="005F4A7E" w:rsidRPr="00624A63" w14:paraId="668A528B" w14:textId="77777777" w:rsidTr="00130D1C">
        <w:trPr>
          <w:trHeight w:val="170"/>
        </w:trPr>
        <w:tc>
          <w:tcPr>
            <w:tcW w:w="2303" w:type="dxa"/>
            <w:tcBorders>
              <w:top w:val="single" w:sz="4" w:space="0" w:color="A6A6A6"/>
              <w:bottom w:val="single" w:sz="4" w:space="0" w:color="A6A6A6"/>
            </w:tcBorders>
            <w:hideMark/>
          </w:tcPr>
          <w:p w14:paraId="06040643" w14:textId="77777777" w:rsidR="005F4A7E" w:rsidRPr="00C340B4" w:rsidRDefault="005F4A7E" w:rsidP="00130D1C">
            <w:pPr>
              <w:pStyle w:val="ARfintablebody"/>
              <w:spacing w:before="20" w:after="16" w:line="228" w:lineRule="auto"/>
              <w:rPr>
                <w:sz w:val="15"/>
                <w:szCs w:val="15"/>
              </w:rPr>
            </w:pPr>
            <w:r w:rsidRPr="00C340B4">
              <w:rPr>
                <w:sz w:val="15"/>
                <w:szCs w:val="15"/>
              </w:rPr>
              <w:t>Interest income</w:t>
            </w:r>
          </w:p>
        </w:tc>
        <w:tc>
          <w:tcPr>
            <w:tcW w:w="938" w:type="dxa"/>
            <w:tcBorders>
              <w:top w:val="single" w:sz="4" w:space="0" w:color="A6A6A6"/>
              <w:bottom w:val="single" w:sz="4" w:space="0" w:color="A6A6A6"/>
            </w:tcBorders>
            <w:noWrap/>
            <w:hideMark/>
          </w:tcPr>
          <w:p w14:paraId="6370D975"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7B534247"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bottom w:val="single" w:sz="4" w:space="0" w:color="A6A6A6"/>
            </w:tcBorders>
            <w:noWrap/>
            <w:hideMark/>
          </w:tcPr>
          <w:p w14:paraId="4422A9C2"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9" w:type="dxa"/>
            <w:tcBorders>
              <w:top w:val="single" w:sz="4" w:space="0" w:color="A6A6A6"/>
              <w:bottom w:val="single" w:sz="4" w:space="0" w:color="A6A6A6"/>
            </w:tcBorders>
            <w:noWrap/>
            <w:hideMark/>
          </w:tcPr>
          <w:p w14:paraId="00D75D02"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57" w:type="dxa"/>
            <w:tcBorders>
              <w:top w:val="single" w:sz="4" w:space="0" w:color="A6A6A6"/>
              <w:bottom w:val="single" w:sz="4" w:space="0" w:color="A6A6A6"/>
            </w:tcBorders>
            <w:noWrap/>
            <w:hideMark/>
          </w:tcPr>
          <w:p w14:paraId="6117CDEC"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639" w:type="dxa"/>
            <w:tcBorders>
              <w:top w:val="single" w:sz="4" w:space="0" w:color="A6A6A6"/>
              <w:bottom w:val="single" w:sz="4" w:space="0" w:color="A6A6A6"/>
            </w:tcBorders>
            <w:noWrap/>
            <w:hideMark/>
          </w:tcPr>
          <w:p w14:paraId="6943B96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662D0547"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6830529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9" w:type="dxa"/>
            <w:tcBorders>
              <w:top w:val="single" w:sz="4" w:space="0" w:color="A6A6A6"/>
              <w:bottom w:val="single" w:sz="4" w:space="0" w:color="A6A6A6"/>
            </w:tcBorders>
            <w:noWrap/>
            <w:hideMark/>
          </w:tcPr>
          <w:p w14:paraId="20DDC7AC"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7741D045"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32DFEF8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53F44596"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5D1E72E4"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742A8824"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2.5</w:t>
            </w:r>
          </w:p>
        </w:tc>
        <w:tc>
          <w:tcPr>
            <w:tcW w:w="738" w:type="dxa"/>
            <w:tcBorders>
              <w:top w:val="single" w:sz="4" w:space="0" w:color="A6A6A6"/>
              <w:bottom w:val="single" w:sz="4" w:space="0" w:color="A6A6A6"/>
            </w:tcBorders>
            <w:noWrap/>
            <w:hideMark/>
          </w:tcPr>
          <w:p w14:paraId="1EB5BBD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3CF3531D"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5DC8419F"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2.5</w:t>
            </w:r>
          </w:p>
        </w:tc>
      </w:tr>
      <w:tr w:rsidR="005F4A7E" w:rsidRPr="00624A63" w14:paraId="2C409A85" w14:textId="77777777" w:rsidTr="00130D1C">
        <w:trPr>
          <w:trHeight w:val="170"/>
        </w:trPr>
        <w:tc>
          <w:tcPr>
            <w:tcW w:w="2303" w:type="dxa"/>
            <w:tcBorders>
              <w:top w:val="single" w:sz="4" w:space="0" w:color="A6A6A6"/>
              <w:bottom w:val="single" w:sz="4" w:space="0" w:color="A6A6A6"/>
            </w:tcBorders>
            <w:hideMark/>
          </w:tcPr>
          <w:p w14:paraId="638D79E8" w14:textId="77777777" w:rsidR="005F4A7E" w:rsidRPr="00C340B4" w:rsidRDefault="005F4A7E" w:rsidP="00130D1C">
            <w:pPr>
              <w:pStyle w:val="ARfintablebody"/>
              <w:spacing w:before="20" w:after="16" w:line="228" w:lineRule="auto"/>
              <w:rPr>
                <w:sz w:val="15"/>
                <w:szCs w:val="15"/>
              </w:rPr>
            </w:pPr>
            <w:r w:rsidRPr="00C340B4">
              <w:rPr>
                <w:sz w:val="15"/>
                <w:szCs w:val="15"/>
              </w:rPr>
              <w:t>Rental income and income from services</w:t>
            </w:r>
          </w:p>
        </w:tc>
        <w:tc>
          <w:tcPr>
            <w:tcW w:w="938" w:type="dxa"/>
            <w:tcBorders>
              <w:top w:val="single" w:sz="4" w:space="0" w:color="A6A6A6"/>
              <w:bottom w:val="single" w:sz="4" w:space="0" w:color="A6A6A6"/>
            </w:tcBorders>
            <w:noWrap/>
            <w:hideMark/>
          </w:tcPr>
          <w:p w14:paraId="458AAA3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73B0361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bottom w:val="single" w:sz="4" w:space="0" w:color="A6A6A6"/>
            </w:tcBorders>
            <w:noWrap/>
            <w:hideMark/>
          </w:tcPr>
          <w:p w14:paraId="4A18598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9" w:type="dxa"/>
            <w:tcBorders>
              <w:top w:val="single" w:sz="4" w:space="0" w:color="A6A6A6"/>
              <w:bottom w:val="single" w:sz="4" w:space="0" w:color="A6A6A6"/>
            </w:tcBorders>
            <w:noWrap/>
            <w:hideMark/>
          </w:tcPr>
          <w:p w14:paraId="232FD1BC"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57" w:type="dxa"/>
            <w:tcBorders>
              <w:top w:val="single" w:sz="4" w:space="0" w:color="A6A6A6"/>
              <w:bottom w:val="single" w:sz="4" w:space="0" w:color="A6A6A6"/>
            </w:tcBorders>
            <w:noWrap/>
            <w:hideMark/>
          </w:tcPr>
          <w:p w14:paraId="7C8DE186"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639" w:type="dxa"/>
            <w:tcBorders>
              <w:top w:val="single" w:sz="4" w:space="0" w:color="A6A6A6"/>
              <w:bottom w:val="single" w:sz="4" w:space="0" w:color="A6A6A6"/>
            </w:tcBorders>
            <w:noWrap/>
            <w:hideMark/>
          </w:tcPr>
          <w:p w14:paraId="6A11D5C7"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4943162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2DB49381"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9" w:type="dxa"/>
            <w:tcBorders>
              <w:top w:val="single" w:sz="4" w:space="0" w:color="A6A6A6"/>
              <w:bottom w:val="single" w:sz="4" w:space="0" w:color="A6A6A6"/>
            </w:tcBorders>
            <w:noWrap/>
            <w:hideMark/>
          </w:tcPr>
          <w:p w14:paraId="038B9974"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1D8AA59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6AFFA9BC"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6D1F724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6A6F034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3FDC8DC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477.5</w:t>
            </w:r>
          </w:p>
        </w:tc>
        <w:tc>
          <w:tcPr>
            <w:tcW w:w="738" w:type="dxa"/>
            <w:tcBorders>
              <w:top w:val="single" w:sz="4" w:space="0" w:color="A6A6A6"/>
              <w:bottom w:val="single" w:sz="4" w:space="0" w:color="A6A6A6"/>
            </w:tcBorders>
            <w:noWrap/>
            <w:hideMark/>
          </w:tcPr>
          <w:p w14:paraId="0B382234"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0384D1A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196AAB76"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477.5</w:t>
            </w:r>
          </w:p>
        </w:tc>
      </w:tr>
      <w:tr w:rsidR="005F4A7E" w:rsidRPr="00624A63" w14:paraId="6492A4A8" w14:textId="77777777" w:rsidTr="00130D1C">
        <w:trPr>
          <w:trHeight w:val="170"/>
        </w:trPr>
        <w:tc>
          <w:tcPr>
            <w:tcW w:w="2303" w:type="dxa"/>
            <w:tcBorders>
              <w:top w:val="single" w:sz="4" w:space="0" w:color="A6A6A6"/>
              <w:bottom w:val="single" w:sz="4" w:space="0" w:color="A6A6A6"/>
            </w:tcBorders>
            <w:hideMark/>
          </w:tcPr>
          <w:p w14:paraId="4574B330" w14:textId="77777777" w:rsidR="005F4A7E" w:rsidRPr="00C340B4" w:rsidRDefault="005F4A7E" w:rsidP="00130D1C">
            <w:pPr>
              <w:pStyle w:val="ARfintablebody"/>
              <w:spacing w:before="20" w:after="16" w:line="228" w:lineRule="auto"/>
              <w:rPr>
                <w:sz w:val="15"/>
                <w:szCs w:val="15"/>
              </w:rPr>
            </w:pPr>
            <w:r w:rsidRPr="00C340B4">
              <w:rPr>
                <w:sz w:val="15"/>
                <w:szCs w:val="15"/>
              </w:rPr>
              <w:t>Grants</w:t>
            </w:r>
          </w:p>
        </w:tc>
        <w:tc>
          <w:tcPr>
            <w:tcW w:w="938" w:type="dxa"/>
            <w:tcBorders>
              <w:top w:val="single" w:sz="4" w:space="0" w:color="A6A6A6"/>
              <w:bottom w:val="single" w:sz="4" w:space="0" w:color="A6A6A6"/>
            </w:tcBorders>
            <w:noWrap/>
            <w:hideMark/>
          </w:tcPr>
          <w:p w14:paraId="290B0E3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1,707.1</w:t>
            </w:r>
          </w:p>
        </w:tc>
        <w:tc>
          <w:tcPr>
            <w:tcW w:w="737" w:type="dxa"/>
            <w:tcBorders>
              <w:top w:val="single" w:sz="4" w:space="0" w:color="A6A6A6"/>
              <w:bottom w:val="single" w:sz="4" w:space="0" w:color="A6A6A6"/>
            </w:tcBorders>
            <w:noWrap/>
            <w:hideMark/>
          </w:tcPr>
          <w:p w14:paraId="282DC67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bottom w:val="single" w:sz="4" w:space="0" w:color="A6A6A6"/>
            </w:tcBorders>
            <w:noWrap/>
            <w:hideMark/>
          </w:tcPr>
          <w:p w14:paraId="7F22FB85"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453.5</w:t>
            </w:r>
          </w:p>
        </w:tc>
        <w:tc>
          <w:tcPr>
            <w:tcW w:w="709" w:type="dxa"/>
            <w:tcBorders>
              <w:top w:val="single" w:sz="4" w:space="0" w:color="A6A6A6"/>
              <w:bottom w:val="single" w:sz="4" w:space="0" w:color="A6A6A6"/>
            </w:tcBorders>
            <w:noWrap/>
            <w:hideMark/>
          </w:tcPr>
          <w:p w14:paraId="7C18240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57" w:type="dxa"/>
            <w:tcBorders>
              <w:top w:val="single" w:sz="4" w:space="0" w:color="A6A6A6"/>
              <w:bottom w:val="single" w:sz="4" w:space="0" w:color="A6A6A6"/>
            </w:tcBorders>
            <w:noWrap/>
            <w:hideMark/>
          </w:tcPr>
          <w:p w14:paraId="452B5DE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4.0</w:t>
            </w:r>
          </w:p>
        </w:tc>
        <w:tc>
          <w:tcPr>
            <w:tcW w:w="639" w:type="dxa"/>
            <w:tcBorders>
              <w:top w:val="single" w:sz="4" w:space="0" w:color="A6A6A6"/>
              <w:bottom w:val="single" w:sz="4" w:space="0" w:color="A6A6A6"/>
            </w:tcBorders>
            <w:noWrap/>
            <w:hideMark/>
          </w:tcPr>
          <w:p w14:paraId="2BBDA79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131.4</w:t>
            </w:r>
          </w:p>
        </w:tc>
        <w:tc>
          <w:tcPr>
            <w:tcW w:w="708" w:type="dxa"/>
            <w:tcBorders>
              <w:top w:val="single" w:sz="4" w:space="0" w:color="A6A6A6"/>
              <w:bottom w:val="single" w:sz="4" w:space="0" w:color="A6A6A6"/>
            </w:tcBorders>
            <w:noWrap/>
            <w:hideMark/>
          </w:tcPr>
          <w:p w14:paraId="25D3AC7E"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78.8</w:t>
            </w:r>
          </w:p>
        </w:tc>
        <w:tc>
          <w:tcPr>
            <w:tcW w:w="708" w:type="dxa"/>
            <w:tcBorders>
              <w:top w:val="single" w:sz="4" w:space="0" w:color="A6A6A6"/>
              <w:bottom w:val="single" w:sz="4" w:space="0" w:color="A6A6A6"/>
            </w:tcBorders>
            <w:noWrap/>
            <w:hideMark/>
          </w:tcPr>
          <w:p w14:paraId="448D26AE"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103.1</w:t>
            </w:r>
          </w:p>
        </w:tc>
        <w:tc>
          <w:tcPr>
            <w:tcW w:w="749" w:type="dxa"/>
            <w:tcBorders>
              <w:top w:val="single" w:sz="4" w:space="0" w:color="A6A6A6"/>
              <w:bottom w:val="single" w:sz="4" w:space="0" w:color="A6A6A6"/>
            </w:tcBorders>
            <w:noWrap/>
            <w:hideMark/>
          </w:tcPr>
          <w:p w14:paraId="7611B0EF"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10.4</w:t>
            </w:r>
          </w:p>
        </w:tc>
        <w:tc>
          <w:tcPr>
            <w:tcW w:w="738" w:type="dxa"/>
            <w:tcBorders>
              <w:top w:val="single" w:sz="4" w:space="0" w:color="A6A6A6"/>
              <w:bottom w:val="single" w:sz="4" w:space="0" w:color="A6A6A6"/>
            </w:tcBorders>
            <w:noWrap/>
            <w:hideMark/>
          </w:tcPr>
          <w:p w14:paraId="1FBDA4D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12.8</w:t>
            </w:r>
          </w:p>
        </w:tc>
        <w:tc>
          <w:tcPr>
            <w:tcW w:w="738" w:type="dxa"/>
            <w:tcBorders>
              <w:top w:val="single" w:sz="4" w:space="0" w:color="A6A6A6"/>
              <w:bottom w:val="single" w:sz="4" w:space="0" w:color="A6A6A6"/>
            </w:tcBorders>
            <w:noWrap/>
            <w:hideMark/>
          </w:tcPr>
          <w:p w14:paraId="496A2BE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09239F5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10.4</w:t>
            </w:r>
          </w:p>
        </w:tc>
        <w:tc>
          <w:tcPr>
            <w:tcW w:w="590" w:type="dxa"/>
            <w:tcBorders>
              <w:top w:val="single" w:sz="4" w:space="0" w:color="A6A6A6"/>
              <w:bottom w:val="single" w:sz="4" w:space="0" w:color="A6A6A6"/>
            </w:tcBorders>
            <w:noWrap/>
            <w:hideMark/>
          </w:tcPr>
          <w:p w14:paraId="36A5166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1.0</w:t>
            </w:r>
          </w:p>
        </w:tc>
        <w:tc>
          <w:tcPr>
            <w:tcW w:w="737" w:type="dxa"/>
            <w:tcBorders>
              <w:top w:val="single" w:sz="4" w:space="0" w:color="A6A6A6"/>
              <w:bottom w:val="single" w:sz="4" w:space="0" w:color="A6A6A6"/>
            </w:tcBorders>
            <w:noWrap/>
            <w:hideMark/>
          </w:tcPr>
          <w:p w14:paraId="7658B3DF"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53.8</w:t>
            </w:r>
          </w:p>
        </w:tc>
        <w:tc>
          <w:tcPr>
            <w:tcW w:w="738" w:type="dxa"/>
            <w:tcBorders>
              <w:top w:val="single" w:sz="4" w:space="0" w:color="A6A6A6"/>
              <w:bottom w:val="single" w:sz="4" w:space="0" w:color="A6A6A6"/>
            </w:tcBorders>
            <w:noWrap/>
            <w:hideMark/>
          </w:tcPr>
          <w:p w14:paraId="43F95F08"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1.8</w:t>
            </w:r>
          </w:p>
        </w:tc>
        <w:tc>
          <w:tcPr>
            <w:tcW w:w="590" w:type="dxa"/>
            <w:tcBorders>
              <w:top w:val="single" w:sz="4" w:space="0" w:color="A6A6A6"/>
              <w:bottom w:val="single" w:sz="4" w:space="0" w:color="A6A6A6"/>
            </w:tcBorders>
            <w:noWrap/>
            <w:hideMark/>
          </w:tcPr>
          <w:p w14:paraId="50BF9AD5"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(18.9)</w:t>
            </w:r>
          </w:p>
        </w:tc>
        <w:tc>
          <w:tcPr>
            <w:tcW w:w="744" w:type="dxa"/>
            <w:tcBorders>
              <w:top w:val="single" w:sz="4" w:space="0" w:color="A6A6A6"/>
              <w:bottom w:val="single" w:sz="4" w:space="0" w:color="A6A6A6"/>
            </w:tcBorders>
            <w:noWrap/>
            <w:hideMark/>
          </w:tcPr>
          <w:p w14:paraId="61A3D0E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2,549.2</w:t>
            </w:r>
          </w:p>
        </w:tc>
      </w:tr>
      <w:tr w:rsidR="005F4A7E" w:rsidRPr="00624A63" w14:paraId="70097D89" w14:textId="77777777" w:rsidTr="00130D1C">
        <w:trPr>
          <w:trHeight w:val="170"/>
        </w:trPr>
        <w:tc>
          <w:tcPr>
            <w:tcW w:w="2303" w:type="dxa"/>
            <w:tcBorders>
              <w:top w:val="single" w:sz="4" w:space="0" w:color="A6A6A6"/>
              <w:bottom w:val="single" w:sz="4" w:space="0" w:color="A6A6A6"/>
            </w:tcBorders>
            <w:hideMark/>
          </w:tcPr>
          <w:p w14:paraId="68C3A056" w14:textId="77777777" w:rsidR="005F4A7E" w:rsidRPr="00C340B4" w:rsidRDefault="005F4A7E" w:rsidP="00130D1C">
            <w:pPr>
              <w:pStyle w:val="ARfintablebody"/>
              <w:spacing w:before="20" w:after="16" w:line="228" w:lineRule="auto"/>
              <w:rPr>
                <w:sz w:val="15"/>
                <w:szCs w:val="15"/>
              </w:rPr>
            </w:pPr>
            <w:r w:rsidRPr="00C340B4">
              <w:rPr>
                <w:sz w:val="15"/>
                <w:szCs w:val="15"/>
              </w:rPr>
              <w:t>Other income</w:t>
            </w:r>
          </w:p>
        </w:tc>
        <w:tc>
          <w:tcPr>
            <w:tcW w:w="938" w:type="dxa"/>
            <w:tcBorders>
              <w:top w:val="single" w:sz="4" w:space="0" w:color="A6A6A6"/>
              <w:bottom w:val="single" w:sz="4" w:space="0" w:color="A6A6A6"/>
            </w:tcBorders>
            <w:noWrap/>
            <w:hideMark/>
          </w:tcPr>
          <w:p w14:paraId="33EB053E"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7.7</w:t>
            </w:r>
          </w:p>
        </w:tc>
        <w:tc>
          <w:tcPr>
            <w:tcW w:w="737" w:type="dxa"/>
            <w:tcBorders>
              <w:top w:val="single" w:sz="4" w:space="0" w:color="A6A6A6"/>
              <w:bottom w:val="single" w:sz="4" w:space="0" w:color="A6A6A6"/>
            </w:tcBorders>
            <w:noWrap/>
            <w:hideMark/>
          </w:tcPr>
          <w:p w14:paraId="5A34FAF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bottom w:val="single" w:sz="4" w:space="0" w:color="A6A6A6"/>
            </w:tcBorders>
            <w:noWrap/>
            <w:hideMark/>
          </w:tcPr>
          <w:p w14:paraId="3D8D58C2"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3.5</w:t>
            </w:r>
          </w:p>
        </w:tc>
        <w:tc>
          <w:tcPr>
            <w:tcW w:w="709" w:type="dxa"/>
            <w:tcBorders>
              <w:top w:val="single" w:sz="4" w:space="0" w:color="A6A6A6"/>
              <w:bottom w:val="single" w:sz="4" w:space="0" w:color="A6A6A6"/>
            </w:tcBorders>
            <w:noWrap/>
            <w:hideMark/>
          </w:tcPr>
          <w:p w14:paraId="7292E1B1"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0.7</w:t>
            </w:r>
          </w:p>
        </w:tc>
        <w:tc>
          <w:tcPr>
            <w:tcW w:w="757" w:type="dxa"/>
            <w:tcBorders>
              <w:top w:val="single" w:sz="4" w:space="0" w:color="A6A6A6"/>
              <w:bottom w:val="single" w:sz="4" w:space="0" w:color="A6A6A6"/>
            </w:tcBorders>
            <w:noWrap/>
            <w:hideMark/>
          </w:tcPr>
          <w:p w14:paraId="07E92DA1"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639" w:type="dxa"/>
            <w:tcBorders>
              <w:top w:val="single" w:sz="4" w:space="0" w:color="A6A6A6"/>
              <w:bottom w:val="single" w:sz="4" w:space="0" w:color="A6A6A6"/>
            </w:tcBorders>
            <w:noWrap/>
            <w:hideMark/>
          </w:tcPr>
          <w:p w14:paraId="1788236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(0.3)</w:t>
            </w:r>
          </w:p>
        </w:tc>
        <w:tc>
          <w:tcPr>
            <w:tcW w:w="708" w:type="dxa"/>
            <w:tcBorders>
              <w:top w:val="single" w:sz="4" w:space="0" w:color="A6A6A6"/>
              <w:bottom w:val="single" w:sz="4" w:space="0" w:color="A6A6A6"/>
            </w:tcBorders>
            <w:noWrap/>
            <w:hideMark/>
          </w:tcPr>
          <w:p w14:paraId="5CC1E1F4"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2.6</w:t>
            </w:r>
          </w:p>
        </w:tc>
        <w:tc>
          <w:tcPr>
            <w:tcW w:w="708" w:type="dxa"/>
            <w:tcBorders>
              <w:top w:val="single" w:sz="4" w:space="0" w:color="A6A6A6"/>
              <w:bottom w:val="single" w:sz="4" w:space="0" w:color="A6A6A6"/>
            </w:tcBorders>
            <w:noWrap/>
            <w:hideMark/>
          </w:tcPr>
          <w:p w14:paraId="150643CE"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9" w:type="dxa"/>
            <w:tcBorders>
              <w:top w:val="single" w:sz="4" w:space="0" w:color="A6A6A6"/>
              <w:bottom w:val="single" w:sz="4" w:space="0" w:color="A6A6A6"/>
            </w:tcBorders>
            <w:noWrap/>
            <w:hideMark/>
          </w:tcPr>
          <w:p w14:paraId="2C63FA7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0.3</w:t>
            </w:r>
          </w:p>
        </w:tc>
        <w:tc>
          <w:tcPr>
            <w:tcW w:w="738" w:type="dxa"/>
            <w:tcBorders>
              <w:top w:val="single" w:sz="4" w:space="0" w:color="A6A6A6"/>
              <w:bottom w:val="single" w:sz="4" w:space="0" w:color="A6A6A6"/>
            </w:tcBorders>
            <w:noWrap/>
            <w:hideMark/>
          </w:tcPr>
          <w:p w14:paraId="128CB61F"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3B3385A6"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0.2</w:t>
            </w:r>
          </w:p>
        </w:tc>
        <w:tc>
          <w:tcPr>
            <w:tcW w:w="738" w:type="dxa"/>
            <w:tcBorders>
              <w:top w:val="single" w:sz="4" w:space="0" w:color="A6A6A6"/>
              <w:bottom w:val="single" w:sz="4" w:space="0" w:color="A6A6A6"/>
            </w:tcBorders>
            <w:noWrap/>
            <w:hideMark/>
          </w:tcPr>
          <w:p w14:paraId="429B089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0.6</w:t>
            </w:r>
          </w:p>
        </w:tc>
        <w:tc>
          <w:tcPr>
            <w:tcW w:w="590" w:type="dxa"/>
            <w:tcBorders>
              <w:top w:val="single" w:sz="4" w:space="0" w:color="A6A6A6"/>
              <w:bottom w:val="single" w:sz="4" w:space="0" w:color="A6A6A6"/>
            </w:tcBorders>
            <w:noWrap/>
            <w:hideMark/>
          </w:tcPr>
          <w:p w14:paraId="50A5A082"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7D0B8DA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3.9</w:t>
            </w:r>
          </w:p>
        </w:tc>
        <w:tc>
          <w:tcPr>
            <w:tcW w:w="738" w:type="dxa"/>
            <w:tcBorders>
              <w:top w:val="single" w:sz="4" w:space="0" w:color="A6A6A6"/>
              <w:bottom w:val="single" w:sz="4" w:space="0" w:color="A6A6A6"/>
            </w:tcBorders>
            <w:noWrap/>
            <w:hideMark/>
          </w:tcPr>
          <w:p w14:paraId="3F45B46E"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75.5</w:t>
            </w:r>
          </w:p>
        </w:tc>
        <w:tc>
          <w:tcPr>
            <w:tcW w:w="590" w:type="dxa"/>
            <w:tcBorders>
              <w:top w:val="single" w:sz="4" w:space="0" w:color="A6A6A6"/>
              <w:bottom w:val="single" w:sz="4" w:space="0" w:color="A6A6A6"/>
            </w:tcBorders>
            <w:noWrap/>
            <w:hideMark/>
          </w:tcPr>
          <w:p w14:paraId="7027B082"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(76.4)</w:t>
            </w:r>
          </w:p>
        </w:tc>
        <w:tc>
          <w:tcPr>
            <w:tcW w:w="744" w:type="dxa"/>
            <w:tcBorders>
              <w:top w:val="single" w:sz="4" w:space="0" w:color="A6A6A6"/>
              <w:bottom w:val="single" w:sz="4" w:space="0" w:color="A6A6A6"/>
            </w:tcBorders>
            <w:noWrap/>
            <w:hideMark/>
          </w:tcPr>
          <w:p w14:paraId="3DAB4F2E"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18.3</w:t>
            </w:r>
          </w:p>
        </w:tc>
      </w:tr>
      <w:tr w:rsidR="005F4A7E" w:rsidRPr="00624A63" w14:paraId="39CEB239" w14:textId="77777777" w:rsidTr="00130D1C">
        <w:trPr>
          <w:trHeight w:val="170"/>
        </w:trPr>
        <w:tc>
          <w:tcPr>
            <w:tcW w:w="2303" w:type="dxa"/>
            <w:tcBorders>
              <w:top w:val="single" w:sz="4" w:space="0" w:color="A6A6A6"/>
            </w:tcBorders>
            <w:hideMark/>
          </w:tcPr>
          <w:p w14:paraId="3721EB34" w14:textId="77777777" w:rsidR="005F4A7E" w:rsidRPr="00C340B4" w:rsidRDefault="005F4A7E" w:rsidP="00130D1C">
            <w:pPr>
              <w:pStyle w:val="ARfintablebody"/>
              <w:spacing w:before="20" w:after="16" w:line="228" w:lineRule="auto"/>
              <w:rPr>
                <w:sz w:val="15"/>
                <w:szCs w:val="15"/>
              </w:rPr>
            </w:pPr>
            <w:r w:rsidRPr="00C340B4">
              <w:rPr>
                <w:sz w:val="15"/>
                <w:szCs w:val="15"/>
              </w:rPr>
              <w:t>Fair value of assets and services received free of charge or for nominal consideration</w:t>
            </w:r>
          </w:p>
        </w:tc>
        <w:tc>
          <w:tcPr>
            <w:tcW w:w="938" w:type="dxa"/>
            <w:tcBorders>
              <w:top w:val="single" w:sz="4" w:space="0" w:color="A6A6A6"/>
            </w:tcBorders>
            <w:noWrap/>
            <w:hideMark/>
          </w:tcPr>
          <w:p w14:paraId="2B48FC3D"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tcBorders>
            <w:noWrap/>
            <w:hideMark/>
          </w:tcPr>
          <w:p w14:paraId="2A017B8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tcBorders>
            <w:noWrap/>
            <w:hideMark/>
          </w:tcPr>
          <w:p w14:paraId="15ED2CA2"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9" w:type="dxa"/>
            <w:tcBorders>
              <w:top w:val="single" w:sz="4" w:space="0" w:color="A6A6A6"/>
            </w:tcBorders>
            <w:noWrap/>
            <w:hideMark/>
          </w:tcPr>
          <w:p w14:paraId="46D611F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57" w:type="dxa"/>
            <w:tcBorders>
              <w:top w:val="single" w:sz="4" w:space="0" w:color="A6A6A6"/>
            </w:tcBorders>
            <w:noWrap/>
            <w:hideMark/>
          </w:tcPr>
          <w:p w14:paraId="1D7C7678"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639" w:type="dxa"/>
            <w:tcBorders>
              <w:top w:val="single" w:sz="4" w:space="0" w:color="A6A6A6"/>
            </w:tcBorders>
            <w:noWrap/>
            <w:hideMark/>
          </w:tcPr>
          <w:p w14:paraId="4AD99A7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tcBorders>
            <w:noWrap/>
            <w:hideMark/>
          </w:tcPr>
          <w:p w14:paraId="1908461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1.5</w:t>
            </w:r>
          </w:p>
        </w:tc>
        <w:tc>
          <w:tcPr>
            <w:tcW w:w="708" w:type="dxa"/>
            <w:tcBorders>
              <w:top w:val="single" w:sz="4" w:space="0" w:color="A6A6A6"/>
            </w:tcBorders>
            <w:noWrap/>
            <w:hideMark/>
          </w:tcPr>
          <w:p w14:paraId="6D74A46F"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9" w:type="dxa"/>
            <w:tcBorders>
              <w:top w:val="single" w:sz="4" w:space="0" w:color="A6A6A6"/>
            </w:tcBorders>
            <w:noWrap/>
            <w:hideMark/>
          </w:tcPr>
          <w:p w14:paraId="2ED5214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0.7</w:t>
            </w:r>
          </w:p>
        </w:tc>
        <w:tc>
          <w:tcPr>
            <w:tcW w:w="738" w:type="dxa"/>
            <w:tcBorders>
              <w:top w:val="single" w:sz="4" w:space="0" w:color="A6A6A6"/>
            </w:tcBorders>
            <w:noWrap/>
            <w:hideMark/>
          </w:tcPr>
          <w:p w14:paraId="41694F85"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tcBorders>
            <w:noWrap/>
            <w:hideMark/>
          </w:tcPr>
          <w:p w14:paraId="001C6ECC"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tcBorders>
            <w:noWrap/>
            <w:hideMark/>
          </w:tcPr>
          <w:p w14:paraId="5DD3348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tcBorders>
            <w:noWrap/>
            <w:hideMark/>
          </w:tcPr>
          <w:p w14:paraId="0A93875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tcBorders>
            <w:noWrap/>
            <w:hideMark/>
          </w:tcPr>
          <w:p w14:paraId="58BB404F"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0.3</w:t>
            </w:r>
          </w:p>
        </w:tc>
        <w:tc>
          <w:tcPr>
            <w:tcW w:w="738" w:type="dxa"/>
            <w:tcBorders>
              <w:top w:val="single" w:sz="4" w:space="0" w:color="A6A6A6"/>
            </w:tcBorders>
            <w:noWrap/>
            <w:hideMark/>
          </w:tcPr>
          <w:p w14:paraId="229F09A4"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tcBorders>
            <w:noWrap/>
            <w:hideMark/>
          </w:tcPr>
          <w:p w14:paraId="4A41A47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(2.0)</w:t>
            </w:r>
          </w:p>
        </w:tc>
        <w:tc>
          <w:tcPr>
            <w:tcW w:w="744" w:type="dxa"/>
            <w:tcBorders>
              <w:top w:val="single" w:sz="4" w:space="0" w:color="A6A6A6"/>
            </w:tcBorders>
            <w:noWrap/>
            <w:hideMark/>
          </w:tcPr>
          <w:p w14:paraId="534FDC9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0.6</w:t>
            </w:r>
          </w:p>
        </w:tc>
      </w:tr>
      <w:tr w:rsidR="005F4A7E" w:rsidRPr="00624A63" w14:paraId="01501576" w14:textId="77777777" w:rsidTr="00130D1C">
        <w:trPr>
          <w:trHeight w:val="170"/>
        </w:trPr>
        <w:tc>
          <w:tcPr>
            <w:tcW w:w="2303" w:type="dxa"/>
            <w:tcBorders>
              <w:bottom w:val="single" w:sz="4" w:space="0" w:color="auto"/>
            </w:tcBorders>
            <w:hideMark/>
          </w:tcPr>
          <w:p w14:paraId="499809FA" w14:textId="77777777" w:rsidR="005F4A7E" w:rsidRPr="00C340B4" w:rsidRDefault="005F4A7E" w:rsidP="00130D1C">
            <w:pPr>
              <w:pStyle w:val="ARfintablebodybold"/>
              <w:spacing w:before="20" w:after="16" w:line="228" w:lineRule="auto"/>
              <w:rPr>
                <w:sz w:val="15"/>
                <w:szCs w:val="15"/>
              </w:rPr>
            </w:pPr>
            <w:r w:rsidRPr="00C340B4">
              <w:rPr>
                <w:sz w:val="15"/>
                <w:szCs w:val="15"/>
              </w:rPr>
              <w:t>Total revenue and income from transactions</w:t>
            </w:r>
          </w:p>
        </w:tc>
        <w:tc>
          <w:tcPr>
            <w:tcW w:w="938" w:type="dxa"/>
            <w:tcBorders>
              <w:bottom w:val="single" w:sz="4" w:space="0" w:color="auto"/>
            </w:tcBorders>
            <w:noWrap/>
            <w:hideMark/>
          </w:tcPr>
          <w:p w14:paraId="68C38A6B"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12,257.2</w:t>
            </w:r>
          </w:p>
        </w:tc>
        <w:tc>
          <w:tcPr>
            <w:tcW w:w="737" w:type="dxa"/>
            <w:tcBorders>
              <w:bottom w:val="single" w:sz="4" w:space="0" w:color="auto"/>
            </w:tcBorders>
            <w:noWrap/>
            <w:hideMark/>
          </w:tcPr>
          <w:p w14:paraId="30A21977"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902.0</w:t>
            </w:r>
          </w:p>
        </w:tc>
        <w:tc>
          <w:tcPr>
            <w:tcW w:w="598" w:type="dxa"/>
            <w:tcBorders>
              <w:bottom w:val="single" w:sz="4" w:space="0" w:color="auto"/>
            </w:tcBorders>
            <w:noWrap/>
            <w:hideMark/>
          </w:tcPr>
          <w:p w14:paraId="55B7C7F7"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1,705.7</w:t>
            </w:r>
          </w:p>
        </w:tc>
        <w:tc>
          <w:tcPr>
            <w:tcW w:w="709" w:type="dxa"/>
            <w:tcBorders>
              <w:bottom w:val="single" w:sz="4" w:space="0" w:color="auto"/>
            </w:tcBorders>
            <w:noWrap/>
            <w:hideMark/>
          </w:tcPr>
          <w:p w14:paraId="067F317D"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572.6</w:t>
            </w:r>
          </w:p>
        </w:tc>
        <w:tc>
          <w:tcPr>
            <w:tcW w:w="757" w:type="dxa"/>
            <w:tcBorders>
              <w:bottom w:val="single" w:sz="4" w:space="0" w:color="auto"/>
            </w:tcBorders>
            <w:noWrap/>
            <w:hideMark/>
          </w:tcPr>
          <w:p w14:paraId="589A4B52"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741.2</w:t>
            </w:r>
          </w:p>
        </w:tc>
        <w:tc>
          <w:tcPr>
            <w:tcW w:w="639" w:type="dxa"/>
            <w:tcBorders>
              <w:bottom w:val="single" w:sz="4" w:space="0" w:color="auto"/>
            </w:tcBorders>
            <w:noWrap/>
            <w:hideMark/>
          </w:tcPr>
          <w:p w14:paraId="32486A7F"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492.2</w:t>
            </w:r>
          </w:p>
        </w:tc>
        <w:tc>
          <w:tcPr>
            <w:tcW w:w="708" w:type="dxa"/>
            <w:tcBorders>
              <w:bottom w:val="single" w:sz="4" w:space="0" w:color="auto"/>
            </w:tcBorders>
            <w:noWrap/>
            <w:hideMark/>
          </w:tcPr>
          <w:p w14:paraId="1F2A5E95"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1,454.4</w:t>
            </w:r>
          </w:p>
        </w:tc>
        <w:tc>
          <w:tcPr>
            <w:tcW w:w="708" w:type="dxa"/>
            <w:tcBorders>
              <w:bottom w:val="single" w:sz="4" w:space="0" w:color="auto"/>
            </w:tcBorders>
            <w:noWrap/>
            <w:hideMark/>
          </w:tcPr>
          <w:p w14:paraId="377B48CE"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305.9</w:t>
            </w:r>
          </w:p>
        </w:tc>
        <w:tc>
          <w:tcPr>
            <w:tcW w:w="749" w:type="dxa"/>
            <w:tcBorders>
              <w:bottom w:val="single" w:sz="4" w:space="0" w:color="auto"/>
            </w:tcBorders>
            <w:noWrap/>
            <w:hideMark/>
          </w:tcPr>
          <w:p w14:paraId="0FA4D60A"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2,225.4</w:t>
            </w:r>
          </w:p>
        </w:tc>
        <w:tc>
          <w:tcPr>
            <w:tcW w:w="738" w:type="dxa"/>
            <w:tcBorders>
              <w:bottom w:val="single" w:sz="4" w:space="0" w:color="auto"/>
            </w:tcBorders>
            <w:noWrap/>
            <w:hideMark/>
          </w:tcPr>
          <w:p w14:paraId="41B3F0E2"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1,720.8</w:t>
            </w:r>
          </w:p>
        </w:tc>
        <w:tc>
          <w:tcPr>
            <w:tcW w:w="738" w:type="dxa"/>
            <w:tcBorders>
              <w:bottom w:val="single" w:sz="4" w:space="0" w:color="auto"/>
            </w:tcBorders>
            <w:noWrap/>
            <w:hideMark/>
          </w:tcPr>
          <w:p w14:paraId="2F2CF13C"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820.4</w:t>
            </w:r>
          </w:p>
        </w:tc>
        <w:tc>
          <w:tcPr>
            <w:tcW w:w="738" w:type="dxa"/>
            <w:tcBorders>
              <w:bottom w:val="single" w:sz="4" w:space="0" w:color="auto"/>
            </w:tcBorders>
            <w:noWrap/>
            <w:hideMark/>
          </w:tcPr>
          <w:p w14:paraId="6A2F4A2F"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301.7</w:t>
            </w:r>
          </w:p>
        </w:tc>
        <w:tc>
          <w:tcPr>
            <w:tcW w:w="590" w:type="dxa"/>
            <w:tcBorders>
              <w:bottom w:val="single" w:sz="4" w:space="0" w:color="auto"/>
            </w:tcBorders>
            <w:noWrap/>
            <w:hideMark/>
          </w:tcPr>
          <w:p w14:paraId="333DE08A"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346.9</w:t>
            </w:r>
          </w:p>
        </w:tc>
        <w:tc>
          <w:tcPr>
            <w:tcW w:w="737" w:type="dxa"/>
            <w:tcBorders>
              <w:bottom w:val="single" w:sz="4" w:space="0" w:color="auto"/>
            </w:tcBorders>
            <w:noWrap/>
            <w:hideMark/>
          </w:tcPr>
          <w:p w14:paraId="67DBE473"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1,871.9</w:t>
            </w:r>
          </w:p>
        </w:tc>
        <w:tc>
          <w:tcPr>
            <w:tcW w:w="738" w:type="dxa"/>
            <w:tcBorders>
              <w:bottom w:val="single" w:sz="4" w:space="0" w:color="auto"/>
            </w:tcBorders>
            <w:noWrap/>
            <w:hideMark/>
          </w:tcPr>
          <w:p w14:paraId="79D7F334"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77.3</w:t>
            </w:r>
          </w:p>
        </w:tc>
        <w:tc>
          <w:tcPr>
            <w:tcW w:w="590" w:type="dxa"/>
            <w:tcBorders>
              <w:bottom w:val="single" w:sz="4" w:space="0" w:color="auto"/>
            </w:tcBorders>
            <w:noWrap/>
            <w:hideMark/>
          </w:tcPr>
          <w:p w14:paraId="6C9A1384"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(97.3)</w:t>
            </w:r>
          </w:p>
        </w:tc>
        <w:tc>
          <w:tcPr>
            <w:tcW w:w="744" w:type="dxa"/>
            <w:tcBorders>
              <w:bottom w:val="single" w:sz="4" w:space="0" w:color="auto"/>
            </w:tcBorders>
            <w:noWrap/>
            <w:hideMark/>
          </w:tcPr>
          <w:p w14:paraId="6DEB9215"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25,698.4</w:t>
            </w:r>
          </w:p>
        </w:tc>
      </w:tr>
      <w:tr w:rsidR="005F4A7E" w:rsidRPr="00624A63" w14:paraId="4936A278" w14:textId="77777777" w:rsidTr="00130D1C">
        <w:trPr>
          <w:trHeight w:val="170"/>
        </w:trPr>
        <w:tc>
          <w:tcPr>
            <w:tcW w:w="14459" w:type="dxa"/>
            <w:gridSpan w:val="18"/>
            <w:tcBorders>
              <w:top w:val="single" w:sz="4" w:space="0" w:color="auto"/>
              <w:bottom w:val="single" w:sz="4" w:space="0" w:color="A6A6A6"/>
            </w:tcBorders>
            <w:hideMark/>
          </w:tcPr>
          <w:p w14:paraId="7853FDA5" w14:textId="77777777" w:rsidR="005F4A7E" w:rsidRPr="00C340B4" w:rsidRDefault="005F4A7E" w:rsidP="00130D1C">
            <w:pPr>
              <w:pStyle w:val="ARfintablebodybold"/>
              <w:spacing w:before="20" w:after="16" w:line="228" w:lineRule="auto"/>
              <w:ind w:right="0"/>
              <w:rPr>
                <w:sz w:val="15"/>
                <w:szCs w:val="15"/>
              </w:rPr>
            </w:pPr>
            <w:r w:rsidRPr="00C340B4">
              <w:rPr>
                <w:sz w:val="15"/>
                <w:szCs w:val="15"/>
              </w:rPr>
              <w:t>Expenses from transactions</w:t>
            </w:r>
          </w:p>
        </w:tc>
      </w:tr>
      <w:tr w:rsidR="005F4A7E" w:rsidRPr="00624A63" w14:paraId="7A4732F4" w14:textId="77777777" w:rsidTr="00130D1C">
        <w:trPr>
          <w:trHeight w:val="170"/>
        </w:trPr>
        <w:tc>
          <w:tcPr>
            <w:tcW w:w="2303" w:type="dxa"/>
            <w:tcBorders>
              <w:top w:val="single" w:sz="4" w:space="0" w:color="A6A6A6"/>
              <w:bottom w:val="single" w:sz="4" w:space="0" w:color="A6A6A6"/>
            </w:tcBorders>
            <w:hideMark/>
          </w:tcPr>
          <w:p w14:paraId="5003C0D1" w14:textId="77777777" w:rsidR="005F4A7E" w:rsidRPr="00C340B4" w:rsidRDefault="005F4A7E" w:rsidP="00130D1C">
            <w:pPr>
              <w:pStyle w:val="ARfintablebody"/>
              <w:spacing w:before="20" w:after="16" w:line="228" w:lineRule="auto"/>
              <w:rPr>
                <w:sz w:val="15"/>
                <w:szCs w:val="15"/>
              </w:rPr>
            </w:pPr>
            <w:r w:rsidRPr="00C340B4">
              <w:rPr>
                <w:sz w:val="15"/>
                <w:szCs w:val="15"/>
              </w:rPr>
              <w:t>Employee benefits</w:t>
            </w:r>
          </w:p>
        </w:tc>
        <w:tc>
          <w:tcPr>
            <w:tcW w:w="938" w:type="dxa"/>
            <w:tcBorders>
              <w:top w:val="single" w:sz="4" w:space="0" w:color="A6A6A6"/>
              <w:bottom w:val="single" w:sz="4" w:space="0" w:color="A6A6A6"/>
            </w:tcBorders>
            <w:noWrap/>
            <w:hideMark/>
          </w:tcPr>
          <w:p w14:paraId="3B08E8FE"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179.9</w:t>
            </w:r>
          </w:p>
        </w:tc>
        <w:tc>
          <w:tcPr>
            <w:tcW w:w="737" w:type="dxa"/>
            <w:tcBorders>
              <w:top w:val="single" w:sz="4" w:space="0" w:color="A6A6A6"/>
              <w:bottom w:val="single" w:sz="4" w:space="0" w:color="A6A6A6"/>
            </w:tcBorders>
            <w:noWrap/>
            <w:hideMark/>
          </w:tcPr>
          <w:p w14:paraId="5FDF34A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1.6</w:t>
            </w:r>
          </w:p>
        </w:tc>
        <w:tc>
          <w:tcPr>
            <w:tcW w:w="598" w:type="dxa"/>
            <w:tcBorders>
              <w:top w:val="single" w:sz="4" w:space="0" w:color="A6A6A6"/>
              <w:bottom w:val="single" w:sz="4" w:space="0" w:color="A6A6A6"/>
            </w:tcBorders>
            <w:noWrap/>
            <w:hideMark/>
          </w:tcPr>
          <w:p w14:paraId="10F40FD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43.0</w:t>
            </w:r>
          </w:p>
        </w:tc>
        <w:tc>
          <w:tcPr>
            <w:tcW w:w="709" w:type="dxa"/>
            <w:tcBorders>
              <w:top w:val="single" w:sz="4" w:space="0" w:color="A6A6A6"/>
              <w:bottom w:val="single" w:sz="4" w:space="0" w:color="A6A6A6"/>
            </w:tcBorders>
            <w:noWrap/>
            <w:hideMark/>
          </w:tcPr>
          <w:p w14:paraId="7E0F5EEC"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21.3</w:t>
            </w:r>
          </w:p>
        </w:tc>
        <w:tc>
          <w:tcPr>
            <w:tcW w:w="757" w:type="dxa"/>
            <w:tcBorders>
              <w:top w:val="single" w:sz="4" w:space="0" w:color="A6A6A6"/>
              <w:bottom w:val="single" w:sz="4" w:space="0" w:color="A6A6A6"/>
            </w:tcBorders>
            <w:noWrap/>
            <w:hideMark/>
          </w:tcPr>
          <w:p w14:paraId="2EB9851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28.6</w:t>
            </w:r>
          </w:p>
        </w:tc>
        <w:tc>
          <w:tcPr>
            <w:tcW w:w="639" w:type="dxa"/>
            <w:tcBorders>
              <w:top w:val="single" w:sz="4" w:space="0" w:color="A6A6A6"/>
              <w:bottom w:val="single" w:sz="4" w:space="0" w:color="A6A6A6"/>
            </w:tcBorders>
            <w:noWrap/>
            <w:hideMark/>
          </w:tcPr>
          <w:p w14:paraId="1E327E12"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6.2</w:t>
            </w:r>
          </w:p>
        </w:tc>
        <w:tc>
          <w:tcPr>
            <w:tcW w:w="708" w:type="dxa"/>
            <w:tcBorders>
              <w:top w:val="single" w:sz="4" w:space="0" w:color="A6A6A6"/>
              <w:bottom w:val="single" w:sz="4" w:space="0" w:color="A6A6A6"/>
            </w:tcBorders>
            <w:noWrap/>
            <w:hideMark/>
          </w:tcPr>
          <w:p w14:paraId="121B486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285.7</w:t>
            </w:r>
          </w:p>
        </w:tc>
        <w:tc>
          <w:tcPr>
            <w:tcW w:w="708" w:type="dxa"/>
            <w:tcBorders>
              <w:top w:val="single" w:sz="4" w:space="0" w:color="A6A6A6"/>
              <w:bottom w:val="single" w:sz="4" w:space="0" w:color="A6A6A6"/>
            </w:tcBorders>
            <w:noWrap/>
            <w:hideMark/>
          </w:tcPr>
          <w:p w14:paraId="3BB5D61C"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11.3</w:t>
            </w:r>
          </w:p>
        </w:tc>
        <w:tc>
          <w:tcPr>
            <w:tcW w:w="749" w:type="dxa"/>
            <w:tcBorders>
              <w:top w:val="single" w:sz="4" w:space="0" w:color="A6A6A6"/>
              <w:bottom w:val="single" w:sz="4" w:space="0" w:color="A6A6A6"/>
            </w:tcBorders>
            <w:noWrap/>
            <w:hideMark/>
          </w:tcPr>
          <w:p w14:paraId="49E3D49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244.9</w:t>
            </w:r>
          </w:p>
        </w:tc>
        <w:tc>
          <w:tcPr>
            <w:tcW w:w="738" w:type="dxa"/>
            <w:tcBorders>
              <w:top w:val="single" w:sz="4" w:space="0" w:color="A6A6A6"/>
              <w:bottom w:val="single" w:sz="4" w:space="0" w:color="A6A6A6"/>
            </w:tcBorders>
            <w:noWrap/>
            <w:hideMark/>
          </w:tcPr>
          <w:p w14:paraId="445EF487"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430.7</w:t>
            </w:r>
          </w:p>
        </w:tc>
        <w:tc>
          <w:tcPr>
            <w:tcW w:w="738" w:type="dxa"/>
            <w:tcBorders>
              <w:top w:val="single" w:sz="4" w:space="0" w:color="A6A6A6"/>
              <w:bottom w:val="single" w:sz="4" w:space="0" w:color="A6A6A6"/>
            </w:tcBorders>
            <w:noWrap/>
            <w:hideMark/>
          </w:tcPr>
          <w:p w14:paraId="09D7B2D1"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11.1</w:t>
            </w:r>
          </w:p>
        </w:tc>
        <w:tc>
          <w:tcPr>
            <w:tcW w:w="738" w:type="dxa"/>
            <w:tcBorders>
              <w:top w:val="single" w:sz="4" w:space="0" w:color="A6A6A6"/>
              <w:bottom w:val="single" w:sz="4" w:space="0" w:color="A6A6A6"/>
            </w:tcBorders>
            <w:noWrap/>
            <w:hideMark/>
          </w:tcPr>
          <w:p w14:paraId="32F3B24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26.5</w:t>
            </w:r>
          </w:p>
        </w:tc>
        <w:tc>
          <w:tcPr>
            <w:tcW w:w="590" w:type="dxa"/>
            <w:tcBorders>
              <w:top w:val="single" w:sz="4" w:space="0" w:color="A6A6A6"/>
              <w:bottom w:val="single" w:sz="4" w:space="0" w:color="A6A6A6"/>
            </w:tcBorders>
            <w:noWrap/>
            <w:hideMark/>
          </w:tcPr>
          <w:p w14:paraId="4A0A0F2D"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40.7</w:t>
            </w:r>
          </w:p>
        </w:tc>
        <w:tc>
          <w:tcPr>
            <w:tcW w:w="737" w:type="dxa"/>
            <w:tcBorders>
              <w:top w:val="single" w:sz="4" w:space="0" w:color="A6A6A6"/>
              <w:bottom w:val="single" w:sz="4" w:space="0" w:color="A6A6A6"/>
            </w:tcBorders>
            <w:noWrap/>
            <w:hideMark/>
          </w:tcPr>
          <w:p w14:paraId="7EF50796"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142.6</w:t>
            </w:r>
          </w:p>
        </w:tc>
        <w:tc>
          <w:tcPr>
            <w:tcW w:w="738" w:type="dxa"/>
            <w:tcBorders>
              <w:top w:val="single" w:sz="4" w:space="0" w:color="A6A6A6"/>
              <w:bottom w:val="single" w:sz="4" w:space="0" w:color="A6A6A6"/>
            </w:tcBorders>
            <w:noWrap/>
            <w:hideMark/>
          </w:tcPr>
          <w:p w14:paraId="19310852"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26.2</w:t>
            </w:r>
          </w:p>
        </w:tc>
        <w:tc>
          <w:tcPr>
            <w:tcW w:w="590" w:type="dxa"/>
            <w:tcBorders>
              <w:top w:val="single" w:sz="4" w:space="0" w:color="A6A6A6"/>
              <w:bottom w:val="single" w:sz="4" w:space="0" w:color="A6A6A6"/>
            </w:tcBorders>
            <w:noWrap/>
            <w:hideMark/>
          </w:tcPr>
          <w:p w14:paraId="0918EAF7"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1BFAA98C"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1,500.3</w:t>
            </w:r>
          </w:p>
        </w:tc>
      </w:tr>
      <w:tr w:rsidR="005F4A7E" w:rsidRPr="00624A63" w14:paraId="1EDD2222" w14:textId="77777777" w:rsidTr="00130D1C">
        <w:trPr>
          <w:trHeight w:val="170"/>
        </w:trPr>
        <w:tc>
          <w:tcPr>
            <w:tcW w:w="2303" w:type="dxa"/>
            <w:tcBorders>
              <w:top w:val="single" w:sz="4" w:space="0" w:color="A6A6A6"/>
              <w:bottom w:val="single" w:sz="4" w:space="0" w:color="A6A6A6"/>
            </w:tcBorders>
            <w:hideMark/>
          </w:tcPr>
          <w:p w14:paraId="187AA557" w14:textId="77777777" w:rsidR="005F4A7E" w:rsidRPr="00C340B4" w:rsidRDefault="005F4A7E" w:rsidP="00130D1C">
            <w:pPr>
              <w:pStyle w:val="ARfintablebody"/>
              <w:spacing w:before="20" w:after="16" w:line="228" w:lineRule="auto"/>
              <w:rPr>
                <w:sz w:val="15"/>
                <w:szCs w:val="15"/>
              </w:rPr>
            </w:pPr>
            <w:r w:rsidRPr="00C340B4">
              <w:rPr>
                <w:sz w:val="15"/>
                <w:szCs w:val="15"/>
              </w:rPr>
              <w:t>Depreciation and amortisation</w:t>
            </w:r>
          </w:p>
        </w:tc>
        <w:tc>
          <w:tcPr>
            <w:tcW w:w="938" w:type="dxa"/>
            <w:tcBorders>
              <w:top w:val="single" w:sz="4" w:space="0" w:color="A6A6A6"/>
              <w:bottom w:val="single" w:sz="4" w:space="0" w:color="A6A6A6"/>
            </w:tcBorders>
            <w:noWrap/>
            <w:hideMark/>
          </w:tcPr>
          <w:p w14:paraId="3425C742"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22.0</w:t>
            </w:r>
          </w:p>
        </w:tc>
        <w:tc>
          <w:tcPr>
            <w:tcW w:w="737" w:type="dxa"/>
            <w:tcBorders>
              <w:top w:val="single" w:sz="4" w:space="0" w:color="A6A6A6"/>
              <w:bottom w:val="single" w:sz="4" w:space="0" w:color="A6A6A6"/>
            </w:tcBorders>
            <w:noWrap/>
            <w:hideMark/>
          </w:tcPr>
          <w:p w14:paraId="285A01D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0.1</w:t>
            </w:r>
          </w:p>
        </w:tc>
        <w:tc>
          <w:tcPr>
            <w:tcW w:w="598" w:type="dxa"/>
            <w:tcBorders>
              <w:top w:val="single" w:sz="4" w:space="0" w:color="A6A6A6"/>
              <w:bottom w:val="single" w:sz="4" w:space="0" w:color="A6A6A6"/>
            </w:tcBorders>
            <w:noWrap/>
            <w:hideMark/>
          </w:tcPr>
          <w:p w14:paraId="2005B7A1"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12.4</w:t>
            </w:r>
          </w:p>
        </w:tc>
        <w:tc>
          <w:tcPr>
            <w:tcW w:w="709" w:type="dxa"/>
            <w:tcBorders>
              <w:top w:val="single" w:sz="4" w:space="0" w:color="A6A6A6"/>
              <w:bottom w:val="single" w:sz="4" w:space="0" w:color="A6A6A6"/>
            </w:tcBorders>
            <w:noWrap/>
            <w:hideMark/>
          </w:tcPr>
          <w:p w14:paraId="16624E25"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0.9</w:t>
            </w:r>
          </w:p>
        </w:tc>
        <w:tc>
          <w:tcPr>
            <w:tcW w:w="757" w:type="dxa"/>
            <w:tcBorders>
              <w:top w:val="single" w:sz="4" w:space="0" w:color="A6A6A6"/>
              <w:bottom w:val="single" w:sz="4" w:space="0" w:color="A6A6A6"/>
            </w:tcBorders>
            <w:noWrap/>
            <w:hideMark/>
          </w:tcPr>
          <w:p w14:paraId="545C8CD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5.0</w:t>
            </w:r>
          </w:p>
        </w:tc>
        <w:tc>
          <w:tcPr>
            <w:tcW w:w="639" w:type="dxa"/>
            <w:tcBorders>
              <w:top w:val="single" w:sz="4" w:space="0" w:color="A6A6A6"/>
              <w:bottom w:val="single" w:sz="4" w:space="0" w:color="A6A6A6"/>
            </w:tcBorders>
            <w:noWrap/>
            <w:hideMark/>
          </w:tcPr>
          <w:p w14:paraId="7D935B02"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19174C32"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2.7</w:t>
            </w:r>
          </w:p>
        </w:tc>
        <w:tc>
          <w:tcPr>
            <w:tcW w:w="708" w:type="dxa"/>
            <w:tcBorders>
              <w:top w:val="single" w:sz="4" w:space="0" w:color="A6A6A6"/>
              <w:bottom w:val="single" w:sz="4" w:space="0" w:color="A6A6A6"/>
            </w:tcBorders>
            <w:noWrap/>
            <w:hideMark/>
          </w:tcPr>
          <w:p w14:paraId="2DD2E65E"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0.3</w:t>
            </w:r>
          </w:p>
        </w:tc>
        <w:tc>
          <w:tcPr>
            <w:tcW w:w="749" w:type="dxa"/>
            <w:tcBorders>
              <w:top w:val="single" w:sz="4" w:space="0" w:color="A6A6A6"/>
              <w:bottom w:val="single" w:sz="4" w:space="0" w:color="A6A6A6"/>
            </w:tcBorders>
            <w:noWrap/>
            <w:hideMark/>
          </w:tcPr>
          <w:p w14:paraId="0EDC739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8.4</w:t>
            </w:r>
          </w:p>
        </w:tc>
        <w:tc>
          <w:tcPr>
            <w:tcW w:w="738" w:type="dxa"/>
            <w:tcBorders>
              <w:top w:val="single" w:sz="4" w:space="0" w:color="A6A6A6"/>
              <w:bottom w:val="single" w:sz="4" w:space="0" w:color="A6A6A6"/>
            </w:tcBorders>
            <w:noWrap/>
            <w:hideMark/>
          </w:tcPr>
          <w:p w14:paraId="3A4A968F"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12.9</w:t>
            </w:r>
          </w:p>
        </w:tc>
        <w:tc>
          <w:tcPr>
            <w:tcW w:w="738" w:type="dxa"/>
            <w:tcBorders>
              <w:top w:val="single" w:sz="4" w:space="0" w:color="A6A6A6"/>
              <w:bottom w:val="single" w:sz="4" w:space="0" w:color="A6A6A6"/>
            </w:tcBorders>
            <w:noWrap/>
            <w:hideMark/>
          </w:tcPr>
          <w:p w14:paraId="5A7EC2B7"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0.4</w:t>
            </w:r>
          </w:p>
        </w:tc>
        <w:tc>
          <w:tcPr>
            <w:tcW w:w="738" w:type="dxa"/>
            <w:tcBorders>
              <w:top w:val="single" w:sz="4" w:space="0" w:color="A6A6A6"/>
              <w:bottom w:val="single" w:sz="4" w:space="0" w:color="A6A6A6"/>
            </w:tcBorders>
            <w:noWrap/>
            <w:hideMark/>
          </w:tcPr>
          <w:p w14:paraId="4C00CD5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0.4</w:t>
            </w:r>
          </w:p>
        </w:tc>
        <w:tc>
          <w:tcPr>
            <w:tcW w:w="590" w:type="dxa"/>
            <w:tcBorders>
              <w:top w:val="single" w:sz="4" w:space="0" w:color="A6A6A6"/>
              <w:bottom w:val="single" w:sz="4" w:space="0" w:color="A6A6A6"/>
            </w:tcBorders>
            <w:noWrap/>
            <w:hideMark/>
          </w:tcPr>
          <w:p w14:paraId="55D304F5"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13.7</w:t>
            </w:r>
          </w:p>
        </w:tc>
        <w:tc>
          <w:tcPr>
            <w:tcW w:w="737" w:type="dxa"/>
            <w:tcBorders>
              <w:top w:val="single" w:sz="4" w:space="0" w:color="A6A6A6"/>
              <w:bottom w:val="single" w:sz="4" w:space="0" w:color="A6A6A6"/>
            </w:tcBorders>
            <w:noWrap/>
            <w:hideMark/>
          </w:tcPr>
          <w:p w14:paraId="1B72103C"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265.8</w:t>
            </w:r>
          </w:p>
        </w:tc>
        <w:tc>
          <w:tcPr>
            <w:tcW w:w="738" w:type="dxa"/>
            <w:tcBorders>
              <w:top w:val="single" w:sz="4" w:space="0" w:color="A6A6A6"/>
              <w:bottom w:val="single" w:sz="4" w:space="0" w:color="A6A6A6"/>
            </w:tcBorders>
            <w:noWrap/>
            <w:hideMark/>
          </w:tcPr>
          <w:p w14:paraId="01E5907D"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0.1</w:t>
            </w:r>
          </w:p>
        </w:tc>
        <w:tc>
          <w:tcPr>
            <w:tcW w:w="590" w:type="dxa"/>
            <w:tcBorders>
              <w:top w:val="single" w:sz="4" w:space="0" w:color="A6A6A6"/>
              <w:bottom w:val="single" w:sz="4" w:space="0" w:color="A6A6A6"/>
            </w:tcBorders>
            <w:noWrap/>
            <w:hideMark/>
          </w:tcPr>
          <w:p w14:paraId="5EE4B1D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0687B2A5"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345.1</w:t>
            </w:r>
          </w:p>
        </w:tc>
      </w:tr>
      <w:tr w:rsidR="005F4A7E" w:rsidRPr="00624A63" w14:paraId="34F42DAD" w14:textId="77777777" w:rsidTr="00130D1C">
        <w:trPr>
          <w:trHeight w:val="170"/>
        </w:trPr>
        <w:tc>
          <w:tcPr>
            <w:tcW w:w="2303" w:type="dxa"/>
            <w:tcBorders>
              <w:top w:val="single" w:sz="4" w:space="0" w:color="A6A6A6"/>
              <w:bottom w:val="single" w:sz="4" w:space="0" w:color="A6A6A6"/>
            </w:tcBorders>
            <w:hideMark/>
          </w:tcPr>
          <w:p w14:paraId="2473430D" w14:textId="77777777" w:rsidR="005F4A7E" w:rsidRPr="00C340B4" w:rsidRDefault="005F4A7E" w:rsidP="00130D1C">
            <w:pPr>
              <w:pStyle w:val="ARfintablebody"/>
              <w:spacing w:before="20" w:after="16" w:line="228" w:lineRule="auto"/>
              <w:rPr>
                <w:sz w:val="15"/>
                <w:szCs w:val="15"/>
              </w:rPr>
            </w:pPr>
            <w:r w:rsidRPr="00C340B4">
              <w:rPr>
                <w:sz w:val="15"/>
                <w:szCs w:val="15"/>
              </w:rPr>
              <w:t>Interest expense</w:t>
            </w:r>
          </w:p>
        </w:tc>
        <w:tc>
          <w:tcPr>
            <w:tcW w:w="938" w:type="dxa"/>
            <w:tcBorders>
              <w:top w:val="single" w:sz="4" w:space="0" w:color="A6A6A6"/>
              <w:bottom w:val="single" w:sz="4" w:space="0" w:color="A6A6A6"/>
            </w:tcBorders>
            <w:noWrap/>
            <w:hideMark/>
          </w:tcPr>
          <w:p w14:paraId="74E0153F"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2.6</w:t>
            </w:r>
          </w:p>
        </w:tc>
        <w:tc>
          <w:tcPr>
            <w:tcW w:w="737" w:type="dxa"/>
            <w:tcBorders>
              <w:top w:val="single" w:sz="4" w:space="0" w:color="A6A6A6"/>
              <w:bottom w:val="single" w:sz="4" w:space="0" w:color="A6A6A6"/>
            </w:tcBorders>
            <w:noWrap/>
            <w:hideMark/>
          </w:tcPr>
          <w:p w14:paraId="539C15AF"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bottom w:val="single" w:sz="4" w:space="0" w:color="A6A6A6"/>
            </w:tcBorders>
            <w:noWrap/>
            <w:hideMark/>
          </w:tcPr>
          <w:p w14:paraId="25F8C7E6"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9" w:type="dxa"/>
            <w:tcBorders>
              <w:top w:val="single" w:sz="4" w:space="0" w:color="A6A6A6"/>
              <w:bottom w:val="single" w:sz="4" w:space="0" w:color="A6A6A6"/>
            </w:tcBorders>
            <w:noWrap/>
            <w:hideMark/>
          </w:tcPr>
          <w:p w14:paraId="5419768E"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57" w:type="dxa"/>
            <w:tcBorders>
              <w:top w:val="single" w:sz="4" w:space="0" w:color="A6A6A6"/>
              <w:bottom w:val="single" w:sz="4" w:space="0" w:color="A6A6A6"/>
            </w:tcBorders>
            <w:noWrap/>
            <w:hideMark/>
          </w:tcPr>
          <w:p w14:paraId="6FE601AC"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639" w:type="dxa"/>
            <w:tcBorders>
              <w:top w:val="single" w:sz="4" w:space="0" w:color="A6A6A6"/>
              <w:bottom w:val="single" w:sz="4" w:space="0" w:color="A6A6A6"/>
            </w:tcBorders>
            <w:noWrap/>
            <w:hideMark/>
          </w:tcPr>
          <w:p w14:paraId="65DB066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1E90FB2E"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3B00C6D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9" w:type="dxa"/>
            <w:tcBorders>
              <w:top w:val="single" w:sz="4" w:space="0" w:color="A6A6A6"/>
              <w:bottom w:val="single" w:sz="4" w:space="0" w:color="A6A6A6"/>
            </w:tcBorders>
            <w:noWrap/>
            <w:hideMark/>
          </w:tcPr>
          <w:p w14:paraId="27D7EEC2"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21EF501C"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0.5</w:t>
            </w:r>
          </w:p>
        </w:tc>
        <w:tc>
          <w:tcPr>
            <w:tcW w:w="738" w:type="dxa"/>
            <w:tcBorders>
              <w:top w:val="single" w:sz="4" w:space="0" w:color="A6A6A6"/>
              <w:bottom w:val="single" w:sz="4" w:space="0" w:color="A6A6A6"/>
            </w:tcBorders>
            <w:noWrap/>
            <w:hideMark/>
          </w:tcPr>
          <w:p w14:paraId="74E10E85"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78F7080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37FC4E1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654B7AF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0.9</w:t>
            </w:r>
          </w:p>
        </w:tc>
        <w:tc>
          <w:tcPr>
            <w:tcW w:w="738" w:type="dxa"/>
            <w:tcBorders>
              <w:top w:val="single" w:sz="4" w:space="0" w:color="A6A6A6"/>
              <w:bottom w:val="single" w:sz="4" w:space="0" w:color="A6A6A6"/>
            </w:tcBorders>
            <w:noWrap/>
            <w:hideMark/>
          </w:tcPr>
          <w:p w14:paraId="1BB9A762"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3C5716E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741717AD"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4.0</w:t>
            </w:r>
          </w:p>
        </w:tc>
      </w:tr>
      <w:tr w:rsidR="005F4A7E" w:rsidRPr="00624A63" w14:paraId="0E5FEB3C" w14:textId="77777777" w:rsidTr="00130D1C">
        <w:trPr>
          <w:trHeight w:val="170"/>
        </w:trPr>
        <w:tc>
          <w:tcPr>
            <w:tcW w:w="2303" w:type="dxa"/>
            <w:tcBorders>
              <w:top w:val="single" w:sz="4" w:space="0" w:color="A6A6A6"/>
              <w:bottom w:val="single" w:sz="4" w:space="0" w:color="A6A6A6"/>
            </w:tcBorders>
            <w:hideMark/>
          </w:tcPr>
          <w:p w14:paraId="168919FF" w14:textId="77777777" w:rsidR="005F4A7E" w:rsidRPr="00C340B4" w:rsidRDefault="005F4A7E" w:rsidP="00130D1C">
            <w:pPr>
              <w:pStyle w:val="ARfintablebody"/>
              <w:spacing w:before="20" w:after="16" w:line="228" w:lineRule="auto"/>
              <w:rPr>
                <w:sz w:val="15"/>
                <w:szCs w:val="15"/>
              </w:rPr>
            </w:pPr>
            <w:r w:rsidRPr="00C340B4">
              <w:rPr>
                <w:sz w:val="15"/>
                <w:szCs w:val="15"/>
              </w:rPr>
              <w:t>Maintenance</w:t>
            </w:r>
          </w:p>
        </w:tc>
        <w:tc>
          <w:tcPr>
            <w:tcW w:w="938" w:type="dxa"/>
            <w:tcBorders>
              <w:top w:val="single" w:sz="4" w:space="0" w:color="A6A6A6"/>
              <w:bottom w:val="single" w:sz="4" w:space="0" w:color="A6A6A6"/>
            </w:tcBorders>
            <w:noWrap/>
            <w:hideMark/>
          </w:tcPr>
          <w:p w14:paraId="24B6FE71"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0.8</w:t>
            </w:r>
          </w:p>
        </w:tc>
        <w:tc>
          <w:tcPr>
            <w:tcW w:w="737" w:type="dxa"/>
            <w:tcBorders>
              <w:top w:val="single" w:sz="4" w:space="0" w:color="A6A6A6"/>
              <w:bottom w:val="single" w:sz="4" w:space="0" w:color="A6A6A6"/>
            </w:tcBorders>
            <w:noWrap/>
            <w:hideMark/>
          </w:tcPr>
          <w:p w14:paraId="1B4BEE6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bottom w:val="single" w:sz="4" w:space="0" w:color="A6A6A6"/>
            </w:tcBorders>
            <w:noWrap/>
            <w:hideMark/>
          </w:tcPr>
          <w:p w14:paraId="4B048AA1"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9" w:type="dxa"/>
            <w:tcBorders>
              <w:top w:val="single" w:sz="4" w:space="0" w:color="A6A6A6"/>
              <w:bottom w:val="single" w:sz="4" w:space="0" w:color="A6A6A6"/>
            </w:tcBorders>
            <w:noWrap/>
            <w:hideMark/>
          </w:tcPr>
          <w:p w14:paraId="08470D58"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57" w:type="dxa"/>
            <w:tcBorders>
              <w:top w:val="single" w:sz="4" w:space="0" w:color="A6A6A6"/>
              <w:bottom w:val="single" w:sz="4" w:space="0" w:color="A6A6A6"/>
            </w:tcBorders>
            <w:noWrap/>
            <w:hideMark/>
          </w:tcPr>
          <w:p w14:paraId="28D7AE0E"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639" w:type="dxa"/>
            <w:tcBorders>
              <w:top w:val="single" w:sz="4" w:space="0" w:color="A6A6A6"/>
              <w:bottom w:val="single" w:sz="4" w:space="0" w:color="A6A6A6"/>
            </w:tcBorders>
            <w:noWrap/>
            <w:hideMark/>
          </w:tcPr>
          <w:p w14:paraId="753D14B1"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434FC0B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659FF97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9" w:type="dxa"/>
            <w:tcBorders>
              <w:top w:val="single" w:sz="4" w:space="0" w:color="A6A6A6"/>
              <w:bottom w:val="single" w:sz="4" w:space="0" w:color="A6A6A6"/>
            </w:tcBorders>
            <w:noWrap/>
            <w:hideMark/>
          </w:tcPr>
          <w:p w14:paraId="4532997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12.5</w:t>
            </w:r>
          </w:p>
        </w:tc>
        <w:tc>
          <w:tcPr>
            <w:tcW w:w="738" w:type="dxa"/>
            <w:tcBorders>
              <w:top w:val="single" w:sz="4" w:space="0" w:color="A6A6A6"/>
              <w:bottom w:val="single" w:sz="4" w:space="0" w:color="A6A6A6"/>
            </w:tcBorders>
            <w:noWrap/>
            <w:hideMark/>
          </w:tcPr>
          <w:p w14:paraId="4136ED8F"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5.9</w:t>
            </w:r>
          </w:p>
        </w:tc>
        <w:tc>
          <w:tcPr>
            <w:tcW w:w="738" w:type="dxa"/>
            <w:tcBorders>
              <w:top w:val="single" w:sz="4" w:space="0" w:color="A6A6A6"/>
              <w:bottom w:val="single" w:sz="4" w:space="0" w:color="A6A6A6"/>
            </w:tcBorders>
            <w:noWrap/>
            <w:hideMark/>
          </w:tcPr>
          <w:p w14:paraId="734453AC"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1F4AEDB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0.2</w:t>
            </w:r>
          </w:p>
        </w:tc>
        <w:tc>
          <w:tcPr>
            <w:tcW w:w="590" w:type="dxa"/>
            <w:tcBorders>
              <w:top w:val="single" w:sz="4" w:space="0" w:color="A6A6A6"/>
              <w:bottom w:val="single" w:sz="4" w:space="0" w:color="A6A6A6"/>
            </w:tcBorders>
            <w:noWrap/>
            <w:hideMark/>
          </w:tcPr>
          <w:p w14:paraId="188D4AB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7F76FBEE"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220.2</w:t>
            </w:r>
          </w:p>
        </w:tc>
        <w:tc>
          <w:tcPr>
            <w:tcW w:w="738" w:type="dxa"/>
            <w:tcBorders>
              <w:top w:val="single" w:sz="4" w:space="0" w:color="A6A6A6"/>
              <w:bottom w:val="single" w:sz="4" w:space="0" w:color="A6A6A6"/>
            </w:tcBorders>
            <w:noWrap/>
            <w:hideMark/>
          </w:tcPr>
          <w:p w14:paraId="12ABC9EE"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636E7BA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208AF82F"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239.6</w:t>
            </w:r>
          </w:p>
        </w:tc>
      </w:tr>
      <w:tr w:rsidR="005F4A7E" w:rsidRPr="00624A63" w14:paraId="27A436B0" w14:textId="77777777" w:rsidTr="00130D1C">
        <w:trPr>
          <w:trHeight w:val="170"/>
        </w:trPr>
        <w:tc>
          <w:tcPr>
            <w:tcW w:w="2303" w:type="dxa"/>
            <w:tcBorders>
              <w:top w:val="single" w:sz="4" w:space="0" w:color="A6A6A6"/>
              <w:bottom w:val="single" w:sz="4" w:space="0" w:color="A6A6A6"/>
            </w:tcBorders>
            <w:hideMark/>
          </w:tcPr>
          <w:p w14:paraId="10D00D34" w14:textId="77777777" w:rsidR="005F4A7E" w:rsidRPr="00C340B4" w:rsidRDefault="005F4A7E" w:rsidP="00130D1C">
            <w:pPr>
              <w:pStyle w:val="ARfintablebody"/>
              <w:spacing w:before="20" w:after="16" w:line="228" w:lineRule="auto"/>
              <w:rPr>
                <w:sz w:val="15"/>
                <w:szCs w:val="15"/>
              </w:rPr>
            </w:pPr>
            <w:r w:rsidRPr="00C340B4">
              <w:rPr>
                <w:sz w:val="15"/>
                <w:szCs w:val="15"/>
              </w:rPr>
              <w:t>Fair value of assets and services provided free of charge or for nominal consideration</w:t>
            </w:r>
          </w:p>
        </w:tc>
        <w:tc>
          <w:tcPr>
            <w:tcW w:w="938" w:type="dxa"/>
            <w:tcBorders>
              <w:top w:val="single" w:sz="4" w:space="0" w:color="A6A6A6"/>
              <w:bottom w:val="single" w:sz="4" w:space="0" w:color="A6A6A6"/>
            </w:tcBorders>
            <w:noWrap/>
            <w:hideMark/>
          </w:tcPr>
          <w:p w14:paraId="18974468"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294.8</w:t>
            </w:r>
          </w:p>
        </w:tc>
        <w:tc>
          <w:tcPr>
            <w:tcW w:w="737" w:type="dxa"/>
            <w:tcBorders>
              <w:top w:val="single" w:sz="4" w:space="0" w:color="A6A6A6"/>
              <w:bottom w:val="single" w:sz="4" w:space="0" w:color="A6A6A6"/>
            </w:tcBorders>
            <w:noWrap/>
            <w:hideMark/>
          </w:tcPr>
          <w:p w14:paraId="7E280C5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bottom w:val="single" w:sz="4" w:space="0" w:color="A6A6A6"/>
            </w:tcBorders>
            <w:noWrap/>
            <w:hideMark/>
          </w:tcPr>
          <w:p w14:paraId="616D64A7"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9" w:type="dxa"/>
            <w:tcBorders>
              <w:top w:val="single" w:sz="4" w:space="0" w:color="A6A6A6"/>
              <w:bottom w:val="single" w:sz="4" w:space="0" w:color="A6A6A6"/>
            </w:tcBorders>
            <w:noWrap/>
            <w:hideMark/>
          </w:tcPr>
          <w:p w14:paraId="3CBB43C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57" w:type="dxa"/>
            <w:tcBorders>
              <w:top w:val="single" w:sz="4" w:space="0" w:color="A6A6A6"/>
              <w:bottom w:val="single" w:sz="4" w:space="0" w:color="A6A6A6"/>
            </w:tcBorders>
            <w:noWrap/>
            <w:hideMark/>
          </w:tcPr>
          <w:p w14:paraId="7724968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639" w:type="dxa"/>
            <w:tcBorders>
              <w:top w:val="single" w:sz="4" w:space="0" w:color="A6A6A6"/>
              <w:bottom w:val="single" w:sz="4" w:space="0" w:color="A6A6A6"/>
            </w:tcBorders>
            <w:noWrap/>
            <w:hideMark/>
          </w:tcPr>
          <w:p w14:paraId="51AF22A4"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46D0BB94"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50B8F9F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9" w:type="dxa"/>
            <w:tcBorders>
              <w:top w:val="single" w:sz="4" w:space="0" w:color="A6A6A6"/>
              <w:bottom w:val="single" w:sz="4" w:space="0" w:color="A6A6A6"/>
            </w:tcBorders>
            <w:noWrap/>
            <w:hideMark/>
          </w:tcPr>
          <w:p w14:paraId="635AC42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0.7</w:t>
            </w:r>
          </w:p>
        </w:tc>
        <w:tc>
          <w:tcPr>
            <w:tcW w:w="738" w:type="dxa"/>
            <w:tcBorders>
              <w:top w:val="single" w:sz="4" w:space="0" w:color="A6A6A6"/>
              <w:bottom w:val="single" w:sz="4" w:space="0" w:color="A6A6A6"/>
            </w:tcBorders>
            <w:noWrap/>
            <w:hideMark/>
          </w:tcPr>
          <w:p w14:paraId="2C2438A8"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1.7</w:t>
            </w:r>
          </w:p>
        </w:tc>
        <w:tc>
          <w:tcPr>
            <w:tcW w:w="738" w:type="dxa"/>
            <w:tcBorders>
              <w:top w:val="single" w:sz="4" w:space="0" w:color="A6A6A6"/>
              <w:bottom w:val="single" w:sz="4" w:space="0" w:color="A6A6A6"/>
            </w:tcBorders>
            <w:noWrap/>
            <w:hideMark/>
          </w:tcPr>
          <w:p w14:paraId="049E3DC2"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45B3DBD8"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2005D94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1B6DD456"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2.0</w:t>
            </w:r>
          </w:p>
        </w:tc>
        <w:tc>
          <w:tcPr>
            <w:tcW w:w="738" w:type="dxa"/>
            <w:tcBorders>
              <w:top w:val="single" w:sz="4" w:space="0" w:color="A6A6A6"/>
              <w:bottom w:val="single" w:sz="4" w:space="0" w:color="A6A6A6"/>
            </w:tcBorders>
            <w:noWrap/>
            <w:hideMark/>
          </w:tcPr>
          <w:p w14:paraId="5F77A2A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0BA808D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(2.0)</w:t>
            </w:r>
          </w:p>
        </w:tc>
        <w:tc>
          <w:tcPr>
            <w:tcW w:w="744" w:type="dxa"/>
            <w:tcBorders>
              <w:top w:val="single" w:sz="4" w:space="0" w:color="A6A6A6"/>
              <w:bottom w:val="single" w:sz="4" w:space="0" w:color="A6A6A6"/>
            </w:tcBorders>
            <w:noWrap/>
            <w:hideMark/>
          </w:tcPr>
          <w:p w14:paraId="4866B7C1"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297.2</w:t>
            </w:r>
          </w:p>
        </w:tc>
      </w:tr>
      <w:tr w:rsidR="005F4A7E" w:rsidRPr="00624A63" w14:paraId="70CDD5B1" w14:textId="77777777" w:rsidTr="00130D1C">
        <w:trPr>
          <w:trHeight w:val="170"/>
        </w:trPr>
        <w:tc>
          <w:tcPr>
            <w:tcW w:w="2303" w:type="dxa"/>
            <w:tcBorders>
              <w:top w:val="single" w:sz="4" w:space="0" w:color="A6A6A6"/>
              <w:bottom w:val="single" w:sz="4" w:space="0" w:color="A6A6A6"/>
            </w:tcBorders>
            <w:hideMark/>
          </w:tcPr>
          <w:p w14:paraId="61D2D407" w14:textId="77777777" w:rsidR="005F4A7E" w:rsidRPr="00C340B4" w:rsidRDefault="005F4A7E" w:rsidP="00130D1C">
            <w:pPr>
              <w:pStyle w:val="ARfintablebody"/>
              <w:spacing w:before="20" w:after="16" w:line="228" w:lineRule="auto"/>
              <w:rPr>
                <w:sz w:val="15"/>
                <w:szCs w:val="15"/>
              </w:rPr>
            </w:pPr>
            <w:r w:rsidRPr="00C340B4">
              <w:rPr>
                <w:sz w:val="15"/>
                <w:szCs w:val="15"/>
              </w:rPr>
              <w:t>Other operating expenses</w:t>
            </w:r>
          </w:p>
        </w:tc>
        <w:tc>
          <w:tcPr>
            <w:tcW w:w="938" w:type="dxa"/>
            <w:tcBorders>
              <w:top w:val="single" w:sz="4" w:space="0" w:color="A6A6A6"/>
              <w:bottom w:val="single" w:sz="4" w:space="0" w:color="A6A6A6"/>
            </w:tcBorders>
            <w:noWrap/>
            <w:hideMark/>
          </w:tcPr>
          <w:p w14:paraId="701D056E"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203.9</w:t>
            </w:r>
          </w:p>
        </w:tc>
        <w:tc>
          <w:tcPr>
            <w:tcW w:w="737" w:type="dxa"/>
            <w:tcBorders>
              <w:top w:val="single" w:sz="4" w:space="0" w:color="A6A6A6"/>
              <w:bottom w:val="single" w:sz="4" w:space="0" w:color="A6A6A6"/>
            </w:tcBorders>
            <w:noWrap/>
            <w:hideMark/>
          </w:tcPr>
          <w:p w14:paraId="24663497"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0.4</w:t>
            </w:r>
          </w:p>
        </w:tc>
        <w:tc>
          <w:tcPr>
            <w:tcW w:w="598" w:type="dxa"/>
            <w:tcBorders>
              <w:top w:val="single" w:sz="4" w:space="0" w:color="A6A6A6"/>
              <w:bottom w:val="single" w:sz="4" w:space="0" w:color="A6A6A6"/>
            </w:tcBorders>
            <w:noWrap/>
            <w:hideMark/>
          </w:tcPr>
          <w:p w14:paraId="7FFC406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40.3</w:t>
            </w:r>
          </w:p>
        </w:tc>
        <w:tc>
          <w:tcPr>
            <w:tcW w:w="709" w:type="dxa"/>
            <w:tcBorders>
              <w:top w:val="single" w:sz="4" w:space="0" w:color="A6A6A6"/>
              <w:bottom w:val="single" w:sz="4" w:space="0" w:color="A6A6A6"/>
            </w:tcBorders>
            <w:noWrap/>
            <w:hideMark/>
          </w:tcPr>
          <w:p w14:paraId="0B405896"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9.0</w:t>
            </w:r>
          </w:p>
        </w:tc>
        <w:tc>
          <w:tcPr>
            <w:tcW w:w="757" w:type="dxa"/>
            <w:tcBorders>
              <w:top w:val="single" w:sz="4" w:space="0" w:color="A6A6A6"/>
              <w:bottom w:val="single" w:sz="4" w:space="0" w:color="A6A6A6"/>
            </w:tcBorders>
            <w:noWrap/>
            <w:hideMark/>
          </w:tcPr>
          <w:p w14:paraId="3E9334F4"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30.3</w:t>
            </w:r>
          </w:p>
        </w:tc>
        <w:tc>
          <w:tcPr>
            <w:tcW w:w="639" w:type="dxa"/>
            <w:tcBorders>
              <w:top w:val="single" w:sz="4" w:space="0" w:color="A6A6A6"/>
              <w:bottom w:val="single" w:sz="4" w:space="0" w:color="A6A6A6"/>
            </w:tcBorders>
            <w:noWrap/>
            <w:hideMark/>
          </w:tcPr>
          <w:p w14:paraId="306352E7"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0.8</w:t>
            </w:r>
          </w:p>
        </w:tc>
        <w:tc>
          <w:tcPr>
            <w:tcW w:w="708" w:type="dxa"/>
            <w:tcBorders>
              <w:top w:val="single" w:sz="4" w:space="0" w:color="A6A6A6"/>
              <w:bottom w:val="single" w:sz="4" w:space="0" w:color="A6A6A6"/>
            </w:tcBorders>
            <w:noWrap/>
            <w:hideMark/>
          </w:tcPr>
          <w:p w14:paraId="6D702EB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666.4</w:t>
            </w:r>
          </w:p>
        </w:tc>
        <w:tc>
          <w:tcPr>
            <w:tcW w:w="708" w:type="dxa"/>
            <w:tcBorders>
              <w:top w:val="single" w:sz="4" w:space="0" w:color="A6A6A6"/>
              <w:bottom w:val="single" w:sz="4" w:space="0" w:color="A6A6A6"/>
            </w:tcBorders>
            <w:noWrap/>
            <w:hideMark/>
          </w:tcPr>
          <w:p w14:paraId="03BD620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15.3</w:t>
            </w:r>
          </w:p>
        </w:tc>
        <w:tc>
          <w:tcPr>
            <w:tcW w:w="749" w:type="dxa"/>
            <w:tcBorders>
              <w:top w:val="single" w:sz="4" w:space="0" w:color="A6A6A6"/>
              <w:bottom w:val="single" w:sz="4" w:space="0" w:color="A6A6A6"/>
            </w:tcBorders>
            <w:noWrap/>
            <w:hideMark/>
          </w:tcPr>
          <w:p w14:paraId="136557F8"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97.7</w:t>
            </w:r>
          </w:p>
        </w:tc>
        <w:tc>
          <w:tcPr>
            <w:tcW w:w="738" w:type="dxa"/>
            <w:tcBorders>
              <w:top w:val="single" w:sz="4" w:space="0" w:color="A6A6A6"/>
              <w:bottom w:val="single" w:sz="4" w:space="0" w:color="A6A6A6"/>
            </w:tcBorders>
            <w:noWrap/>
            <w:hideMark/>
          </w:tcPr>
          <w:p w14:paraId="31EC80E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197.7</w:t>
            </w:r>
          </w:p>
        </w:tc>
        <w:tc>
          <w:tcPr>
            <w:tcW w:w="738" w:type="dxa"/>
            <w:tcBorders>
              <w:top w:val="single" w:sz="4" w:space="0" w:color="A6A6A6"/>
              <w:bottom w:val="single" w:sz="4" w:space="0" w:color="A6A6A6"/>
            </w:tcBorders>
            <w:noWrap/>
            <w:hideMark/>
          </w:tcPr>
          <w:p w14:paraId="59195C5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6.1</w:t>
            </w:r>
          </w:p>
        </w:tc>
        <w:tc>
          <w:tcPr>
            <w:tcW w:w="738" w:type="dxa"/>
            <w:tcBorders>
              <w:top w:val="single" w:sz="4" w:space="0" w:color="A6A6A6"/>
              <w:bottom w:val="single" w:sz="4" w:space="0" w:color="A6A6A6"/>
            </w:tcBorders>
            <w:noWrap/>
            <w:hideMark/>
          </w:tcPr>
          <w:p w14:paraId="3CF8EB5F"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15.0</w:t>
            </w:r>
          </w:p>
        </w:tc>
        <w:tc>
          <w:tcPr>
            <w:tcW w:w="590" w:type="dxa"/>
            <w:tcBorders>
              <w:top w:val="single" w:sz="4" w:space="0" w:color="A6A6A6"/>
              <w:bottom w:val="single" w:sz="4" w:space="0" w:color="A6A6A6"/>
            </w:tcBorders>
            <w:noWrap/>
            <w:hideMark/>
          </w:tcPr>
          <w:p w14:paraId="346A6CF6"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31.6</w:t>
            </w:r>
          </w:p>
        </w:tc>
        <w:tc>
          <w:tcPr>
            <w:tcW w:w="737" w:type="dxa"/>
            <w:tcBorders>
              <w:top w:val="single" w:sz="4" w:space="0" w:color="A6A6A6"/>
              <w:bottom w:val="single" w:sz="4" w:space="0" w:color="A6A6A6"/>
            </w:tcBorders>
            <w:noWrap/>
            <w:hideMark/>
          </w:tcPr>
          <w:p w14:paraId="71E2DDD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72.0</w:t>
            </w:r>
          </w:p>
        </w:tc>
        <w:tc>
          <w:tcPr>
            <w:tcW w:w="738" w:type="dxa"/>
            <w:tcBorders>
              <w:top w:val="single" w:sz="4" w:space="0" w:color="A6A6A6"/>
              <w:bottom w:val="single" w:sz="4" w:space="0" w:color="A6A6A6"/>
            </w:tcBorders>
            <w:noWrap/>
            <w:hideMark/>
          </w:tcPr>
          <w:p w14:paraId="2765CEC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51.4</w:t>
            </w:r>
          </w:p>
        </w:tc>
        <w:tc>
          <w:tcPr>
            <w:tcW w:w="590" w:type="dxa"/>
            <w:tcBorders>
              <w:top w:val="single" w:sz="4" w:space="0" w:color="A6A6A6"/>
              <w:bottom w:val="single" w:sz="4" w:space="0" w:color="A6A6A6"/>
            </w:tcBorders>
            <w:noWrap/>
            <w:hideMark/>
          </w:tcPr>
          <w:p w14:paraId="07BABFB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(76.4)</w:t>
            </w:r>
          </w:p>
        </w:tc>
        <w:tc>
          <w:tcPr>
            <w:tcW w:w="744" w:type="dxa"/>
            <w:tcBorders>
              <w:top w:val="single" w:sz="4" w:space="0" w:color="A6A6A6"/>
              <w:bottom w:val="single" w:sz="4" w:space="0" w:color="A6A6A6"/>
            </w:tcBorders>
            <w:noWrap/>
            <w:hideMark/>
          </w:tcPr>
          <w:p w14:paraId="2259F9B8"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1,361.5</w:t>
            </w:r>
          </w:p>
        </w:tc>
      </w:tr>
      <w:tr w:rsidR="005F4A7E" w:rsidRPr="00624A63" w14:paraId="5644D213" w14:textId="77777777" w:rsidTr="00130D1C">
        <w:trPr>
          <w:trHeight w:val="170"/>
        </w:trPr>
        <w:tc>
          <w:tcPr>
            <w:tcW w:w="2303" w:type="dxa"/>
            <w:tcBorders>
              <w:top w:val="single" w:sz="4" w:space="0" w:color="A6A6A6"/>
              <w:bottom w:val="single" w:sz="4" w:space="0" w:color="A6A6A6"/>
            </w:tcBorders>
            <w:hideMark/>
          </w:tcPr>
          <w:p w14:paraId="238BDCF1" w14:textId="77777777" w:rsidR="005F4A7E" w:rsidRPr="00C340B4" w:rsidRDefault="005F4A7E" w:rsidP="00130D1C">
            <w:pPr>
              <w:pStyle w:val="ARfintablebody"/>
              <w:spacing w:before="20" w:after="16" w:line="228" w:lineRule="auto"/>
              <w:rPr>
                <w:sz w:val="15"/>
                <w:szCs w:val="15"/>
              </w:rPr>
            </w:pPr>
            <w:r w:rsidRPr="00C340B4">
              <w:rPr>
                <w:sz w:val="15"/>
                <w:szCs w:val="15"/>
              </w:rPr>
              <w:t>Grants and other expense transfers</w:t>
            </w:r>
          </w:p>
        </w:tc>
        <w:tc>
          <w:tcPr>
            <w:tcW w:w="938" w:type="dxa"/>
            <w:tcBorders>
              <w:top w:val="single" w:sz="4" w:space="0" w:color="A6A6A6"/>
              <w:bottom w:val="single" w:sz="4" w:space="0" w:color="A6A6A6"/>
            </w:tcBorders>
            <w:noWrap/>
            <w:hideMark/>
          </w:tcPr>
          <w:p w14:paraId="47A7C3E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10,191.6</w:t>
            </w:r>
          </w:p>
        </w:tc>
        <w:tc>
          <w:tcPr>
            <w:tcW w:w="737" w:type="dxa"/>
            <w:tcBorders>
              <w:top w:val="single" w:sz="4" w:space="0" w:color="A6A6A6"/>
              <w:bottom w:val="single" w:sz="4" w:space="0" w:color="A6A6A6"/>
            </w:tcBorders>
            <w:noWrap/>
            <w:hideMark/>
          </w:tcPr>
          <w:p w14:paraId="0A13FB52"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841.2</w:t>
            </w:r>
          </w:p>
        </w:tc>
        <w:tc>
          <w:tcPr>
            <w:tcW w:w="598" w:type="dxa"/>
            <w:tcBorders>
              <w:top w:val="single" w:sz="4" w:space="0" w:color="A6A6A6"/>
              <w:bottom w:val="single" w:sz="4" w:space="0" w:color="A6A6A6"/>
            </w:tcBorders>
            <w:noWrap/>
            <w:hideMark/>
          </w:tcPr>
          <w:p w14:paraId="3B9D305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1,484.2</w:t>
            </w:r>
          </w:p>
        </w:tc>
        <w:tc>
          <w:tcPr>
            <w:tcW w:w="709" w:type="dxa"/>
            <w:tcBorders>
              <w:top w:val="single" w:sz="4" w:space="0" w:color="A6A6A6"/>
              <w:bottom w:val="single" w:sz="4" w:space="0" w:color="A6A6A6"/>
            </w:tcBorders>
            <w:noWrap/>
            <w:hideMark/>
          </w:tcPr>
          <w:p w14:paraId="18533765"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429.5</w:t>
            </w:r>
          </w:p>
        </w:tc>
        <w:tc>
          <w:tcPr>
            <w:tcW w:w="757" w:type="dxa"/>
            <w:tcBorders>
              <w:top w:val="single" w:sz="4" w:space="0" w:color="A6A6A6"/>
              <w:bottom w:val="single" w:sz="4" w:space="0" w:color="A6A6A6"/>
            </w:tcBorders>
            <w:noWrap/>
            <w:hideMark/>
          </w:tcPr>
          <w:p w14:paraId="4B80D85C"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614.6</w:t>
            </w:r>
          </w:p>
        </w:tc>
        <w:tc>
          <w:tcPr>
            <w:tcW w:w="639" w:type="dxa"/>
            <w:tcBorders>
              <w:top w:val="single" w:sz="4" w:space="0" w:color="A6A6A6"/>
              <w:bottom w:val="single" w:sz="4" w:space="0" w:color="A6A6A6"/>
            </w:tcBorders>
            <w:noWrap/>
            <w:hideMark/>
          </w:tcPr>
          <w:p w14:paraId="28F923E1"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402.7</w:t>
            </w:r>
          </w:p>
        </w:tc>
        <w:tc>
          <w:tcPr>
            <w:tcW w:w="708" w:type="dxa"/>
            <w:tcBorders>
              <w:top w:val="single" w:sz="4" w:space="0" w:color="A6A6A6"/>
              <w:bottom w:val="single" w:sz="4" w:space="0" w:color="A6A6A6"/>
            </w:tcBorders>
            <w:noWrap/>
            <w:hideMark/>
          </w:tcPr>
          <w:p w14:paraId="78E23C2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550.1</w:t>
            </w:r>
          </w:p>
        </w:tc>
        <w:tc>
          <w:tcPr>
            <w:tcW w:w="708" w:type="dxa"/>
            <w:tcBorders>
              <w:top w:val="single" w:sz="4" w:space="0" w:color="A6A6A6"/>
              <w:bottom w:val="single" w:sz="4" w:space="0" w:color="A6A6A6"/>
            </w:tcBorders>
            <w:noWrap/>
            <w:hideMark/>
          </w:tcPr>
          <w:p w14:paraId="1A29FCE8"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267.3</w:t>
            </w:r>
          </w:p>
        </w:tc>
        <w:tc>
          <w:tcPr>
            <w:tcW w:w="749" w:type="dxa"/>
            <w:tcBorders>
              <w:top w:val="single" w:sz="4" w:space="0" w:color="A6A6A6"/>
              <w:bottom w:val="single" w:sz="4" w:space="0" w:color="A6A6A6"/>
            </w:tcBorders>
            <w:noWrap/>
            <w:hideMark/>
          </w:tcPr>
          <w:p w14:paraId="57D8233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1,815.0</w:t>
            </w:r>
          </w:p>
        </w:tc>
        <w:tc>
          <w:tcPr>
            <w:tcW w:w="738" w:type="dxa"/>
            <w:tcBorders>
              <w:top w:val="single" w:sz="4" w:space="0" w:color="A6A6A6"/>
              <w:bottom w:val="single" w:sz="4" w:space="0" w:color="A6A6A6"/>
            </w:tcBorders>
            <w:noWrap/>
            <w:hideMark/>
          </w:tcPr>
          <w:p w14:paraId="19CC44D6"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1,058.8</w:t>
            </w:r>
          </w:p>
        </w:tc>
        <w:tc>
          <w:tcPr>
            <w:tcW w:w="738" w:type="dxa"/>
            <w:tcBorders>
              <w:top w:val="single" w:sz="4" w:space="0" w:color="A6A6A6"/>
              <w:bottom w:val="single" w:sz="4" w:space="0" w:color="A6A6A6"/>
            </w:tcBorders>
            <w:noWrap/>
            <w:hideMark/>
          </w:tcPr>
          <w:p w14:paraId="4C797446"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803.1</w:t>
            </w:r>
          </w:p>
        </w:tc>
        <w:tc>
          <w:tcPr>
            <w:tcW w:w="738" w:type="dxa"/>
            <w:tcBorders>
              <w:top w:val="single" w:sz="4" w:space="0" w:color="A6A6A6"/>
              <w:bottom w:val="single" w:sz="4" w:space="0" w:color="A6A6A6"/>
            </w:tcBorders>
            <w:noWrap/>
            <w:hideMark/>
          </w:tcPr>
          <w:p w14:paraId="6A6E738D"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256.4</w:t>
            </w:r>
          </w:p>
        </w:tc>
        <w:tc>
          <w:tcPr>
            <w:tcW w:w="590" w:type="dxa"/>
            <w:tcBorders>
              <w:top w:val="single" w:sz="4" w:space="0" w:color="A6A6A6"/>
              <w:bottom w:val="single" w:sz="4" w:space="0" w:color="A6A6A6"/>
            </w:tcBorders>
            <w:noWrap/>
            <w:hideMark/>
          </w:tcPr>
          <w:p w14:paraId="2A53C50F"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277.7</w:t>
            </w:r>
          </w:p>
        </w:tc>
        <w:tc>
          <w:tcPr>
            <w:tcW w:w="737" w:type="dxa"/>
            <w:tcBorders>
              <w:top w:val="single" w:sz="4" w:space="0" w:color="A6A6A6"/>
              <w:bottom w:val="single" w:sz="4" w:space="0" w:color="A6A6A6"/>
            </w:tcBorders>
            <w:noWrap/>
            <w:hideMark/>
          </w:tcPr>
          <w:p w14:paraId="6ABBAC4F"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747.1</w:t>
            </w:r>
          </w:p>
        </w:tc>
        <w:tc>
          <w:tcPr>
            <w:tcW w:w="738" w:type="dxa"/>
            <w:tcBorders>
              <w:top w:val="single" w:sz="4" w:space="0" w:color="A6A6A6"/>
              <w:bottom w:val="single" w:sz="4" w:space="0" w:color="A6A6A6"/>
            </w:tcBorders>
            <w:noWrap/>
            <w:hideMark/>
          </w:tcPr>
          <w:p w14:paraId="3CCE471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0.2</w:t>
            </w:r>
          </w:p>
        </w:tc>
        <w:tc>
          <w:tcPr>
            <w:tcW w:w="590" w:type="dxa"/>
            <w:tcBorders>
              <w:top w:val="single" w:sz="4" w:space="0" w:color="A6A6A6"/>
              <w:bottom w:val="single" w:sz="4" w:space="0" w:color="A6A6A6"/>
            </w:tcBorders>
            <w:noWrap/>
            <w:hideMark/>
          </w:tcPr>
          <w:p w14:paraId="50890E06"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(18.9)</w:t>
            </w:r>
          </w:p>
        </w:tc>
        <w:tc>
          <w:tcPr>
            <w:tcW w:w="744" w:type="dxa"/>
            <w:tcBorders>
              <w:top w:val="single" w:sz="4" w:space="0" w:color="A6A6A6"/>
              <w:bottom w:val="single" w:sz="4" w:space="0" w:color="A6A6A6"/>
            </w:tcBorders>
            <w:noWrap/>
            <w:hideMark/>
          </w:tcPr>
          <w:p w14:paraId="34EBD485"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19,720.7</w:t>
            </w:r>
          </w:p>
        </w:tc>
      </w:tr>
      <w:tr w:rsidR="005F4A7E" w:rsidRPr="00624A63" w14:paraId="5BCE3D87" w14:textId="77777777" w:rsidTr="00130D1C">
        <w:trPr>
          <w:trHeight w:val="170"/>
        </w:trPr>
        <w:tc>
          <w:tcPr>
            <w:tcW w:w="2303" w:type="dxa"/>
            <w:tcBorders>
              <w:top w:val="single" w:sz="4" w:space="0" w:color="A6A6A6"/>
              <w:bottom w:val="single" w:sz="4" w:space="0" w:color="A6A6A6"/>
            </w:tcBorders>
            <w:hideMark/>
          </w:tcPr>
          <w:p w14:paraId="293C01FD" w14:textId="77777777" w:rsidR="005F4A7E" w:rsidRPr="00C340B4" w:rsidRDefault="005F4A7E" w:rsidP="00130D1C">
            <w:pPr>
              <w:pStyle w:val="ARfintablebody"/>
              <w:spacing w:before="20" w:after="16" w:line="228" w:lineRule="auto"/>
              <w:rPr>
                <w:sz w:val="15"/>
                <w:szCs w:val="15"/>
              </w:rPr>
            </w:pPr>
            <w:r w:rsidRPr="00C340B4">
              <w:rPr>
                <w:sz w:val="15"/>
                <w:szCs w:val="15"/>
              </w:rPr>
              <w:t>Capital asset charge</w:t>
            </w:r>
          </w:p>
        </w:tc>
        <w:tc>
          <w:tcPr>
            <w:tcW w:w="938" w:type="dxa"/>
            <w:tcBorders>
              <w:top w:val="single" w:sz="4" w:space="0" w:color="A6A6A6"/>
              <w:bottom w:val="single" w:sz="4" w:space="0" w:color="A6A6A6"/>
            </w:tcBorders>
            <w:noWrap/>
            <w:hideMark/>
          </w:tcPr>
          <w:p w14:paraId="7E250DA4"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1,121.9</w:t>
            </w:r>
          </w:p>
        </w:tc>
        <w:tc>
          <w:tcPr>
            <w:tcW w:w="737" w:type="dxa"/>
            <w:tcBorders>
              <w:top w:val="single" w:sz="4" w:space="0" w:color="A6A6A6"/>
              <w:bottom w:val="single" w:sz="4" w:space="0" w:color="A6A6A6"/>
            </w:tcBorders>
            <w:noWrap/>
            <w:hideMark/>
          </w:tcPr>
          <w:p w14:paraId="6E893866"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27.4</w:t>
            </w:r>
          </w:p>
        </w:tc>
        <w:tc>
          <w:tcPr>
            <w:tcW w:w="598" w:type="dxa"/>
            <w:tcBorders>
              <w:top w:val="single" w:sz="4" w:space="0" w:color="A6A6A6"/>
              <w:bottom w:val="single" w:sz="4" w:space="0" w:color="A6A6A6"/>
            </w:tcBorders>
            <w:noWrap/>
            <w:hideMark/>
          </w:tcPr>
          <w:p w14:paraId="21458995"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84.8</w:t>
            </w:r>
          </w:p>
        </w:tc>
        <w:tc>
          <w:tcPr>
            <w:tcW w:w="709" w:type="dxa"/>
            <w:tcBorders>
              <w:top w:val="single" w:sz="4" w:space="0" w:color="A6A6A6"/>
              <w:bottom w:val="single" w:sz="4" w:space="0" w:color="A6A6A6"/>
            </w:tcBorders>
            <w:noWrap/>
            <w:hideMark/>
          </w:tcPr>
          <w:p w14:paraId="03BBDB98"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61.0</w:t>
            </w:r>
          </w:p>
        </w:tc>
        <w:tc>
          <w:tcPr>
            <w:tcW w:w="757" w:type="dxa"/>
            <w:tcBorders>
              <w:top w:val="single" w:sz="4" w:space="0" w:color="A6A6A6"/>
              <w:bottom w:val="single" w:sz="4" w:space="0" w:color="A6A6A6"/>
            </w:tcBorders>
            <w:noWrap/>
            <w:hideMark/>
          </w:tcPr>
          <w:p w14:paraId="58E40E1D"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29.1</w:t>
            </w:r>
          </w:p>
        </w:tc>
        <w:tc>
          <w:tcPr>
            <w:tcW w:w="639" w:type="dxa"/>
            <w:tcBorders>
              <w:top w:val="single" w:sz="4" w:space="0" w:color="A6A6A6"/>
              <w:bottom w:val="single" w:sz="4" w:space="0" w:color="A6A6A6"/>
            </w:tcBorders>
            <w:noWrap/>
            <w:hideMark/>
          </w:tcPr>
          <w:p w14:paraId="3FFE5BB5"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35.8</w:t>
            </w:r>
          </w:p>
        </w:tc>
        <w:tc>
          <w:tcPr>
            <w:tcW w:w="708" w:type="dxa"/>
            <w:tcBorders>
              <w:top w:val="single" w:sz="4" w:space="0" w:color="A6A6A6"/>
              <w:bottom w:val="single" w:sz="4" w:space="0" w:color="A6A6A6"/>
            </w:tcBorders>
            <w:noWrap/>
            <w:hideMark/>
          </w:tcPr>
          <w:p w14:paraId="1C10FB2F"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2.5</w:t>
            </w:r>
          </w:p>
        </w:tc>
        <w:tc>
          <w:tcPr>
            <w:tcW w:w="708" w:type="dxa"/>
            <w:tcBorders>
              <w:top w:val="single" w:sz="4" w:space="0" w:color="A6A6A6"/>
              <w:bottom w:val="single" w:sz="4" w:space="0" w:color="A6A6A6"/>
            </w:tcBorders>
            <w:noWrap/>
            <w:hideMark/>
          </w:tcPr>
          <w:p w14:paraId="5280F80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6.8</w:t>
            </w:r>
          </w:p>
        </w:tc>
        <w:tc>
          <w:tcPr>
            <w:tcW w:w="749" w:type="dxa"/>
            <w:tcBorders>
              <w:top w:val="single" w:sz="4" w:space="0" w:color="A6A6A6"/>
              <w:bottom w:val="single" w:sz="4" w:space="0" w:color="A6A6A6"/>
            </w:tcBorders>
            <w:noWrap/>
            <w:hideMark/>
          </w:tcPr>
          <w:p w14:paraId="38B879C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40.3</w:t>
            </w:r>
          </w:p>
        </w:tc>
        <w:tc>
          <w:tcPr>
            <w:tcW w:w="738" w:type="dxa"/>
            <w:tcBorders>
              <w:top w:val="single" w:sz="4" w:space="0" w:color="A6A6A6"/>
              <w:bottom w:val="single" w:sz="4" w:space="0" w:color="A6A6A6"/>
            </w:tcBorders>
            <w:noWrap/>
            <w:hideMark/>
          </w:tcPr>
          <w:p w14:paraId="18251247"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14.6</w:t>
            </w:r>
          </w:p>
        </w:tc>
        <w:tc>
          <w:tcPr>
            <w:tcW w:w="738" w:type="dxa"/>
            <w:tcBorders>
              <w:top w:val="single" w:sz="4" w:space="0" w:color="A6A6A6"/>
              <w:bottom w:val="single" w:sz="4" w:space="0" w:color="A6A6A6"/>
            </w:tcBorders>
            <w:noWrap/>
            <w:hideMark/>
          </w:tcPr>
          <w:p w14:paraId="613AE3BD"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2B3FC17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47EE0371"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3.5</w:t>
            </w:r>
          </w:p>
        </w:tc>
        <w:tc>
          <w:tcPr>
            <w:tcW w:w="737" w:type="dxa"/>
            <w:tcBorders>
              <w:top w:val="single" w:sz="4" w:space="0" w:color="A6A6A6"/>
              <w:bottom w:val="single" w:sz="4" w:space="0" w:color="A6A6A6"/>
            </w:tcBorders>
            <w:noWrap/>
            <w:hideMark/>
          </w:tcPr>
          <w:p w14:paraId="1106E0A4"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4FE4BE35"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1561CDCD"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6420DD14"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1,427.7</w:t>
            </w:r>
          </w:p>
        </w:tc>
      </w:tr>
      <w:tr w:rsidR="005F4A7E" w:rsidRPr="00624A63" w14:paraId="11B0A977" w14:textId="77777777" w:rsidTr="00130D1C">
        <w:trPr>
          <w:trHeight w:val="170"/>
        </w:trPr>
        <w:tc>
          <w:tcPr>
            <w:tcW w:w="2303" w:type="dxa"/>
            <w:tcBorders>
              <w:top w:val="single" w:sz="4" w:space="0" w:color="A6A6A6"/>
            </w:tcBorders>
            <w:hideMark/>
          </w:tcPr>
          <w:p w14:paraId="121B4826" w14:textId="77777777" w:rsidR="005F4A7E" w:rsidRPr="00C340B4" w:rsidRDefault="005F4A7E" w:rsidP="00130D1C">
            <w:pPr>
              <w:pStyle w:val="ARfintablebody"/>
              <w:spacing w:before="20" w:after="16" w:line="228" w:lineRule="auto"/>
              <w:rPr>
                <w:sz w:val="15"/>
                <w:szCs w:val="15"/>
              </w:rPr>
            </w:pPr>
            <w:r w:rsidRPr="00C340B4">
              <w:rPr>
                <w:sz w:val="15"/>
                <w:szCs w:val="15"/>
              </w:rPr>
              <w:t>Other property management expenses</w:t>
            </w:r>
          </w:p>
        </w:tc>
        <w:tc>
          <w:tcPr>
            <w:tcW w:w="938" w:type="dxa"/>
            <w:tcBorders>
              <w:top w:val="single" w:sz="4" w:space="0" w:color="A6A6A6"/>
            </w:tcBorders>
            <w:noWrap/>
            <w:hideMark/>
          </w:tcPr>
          <w:p w14:paraId="3BABA70E"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tcBorders>
            <w:noWrap/>
            <w:hideMark/>
          </w:tcPr>
          <w:p w14:paraId="4334A857"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tcBorders>
            <w:noWrap/>
            <w:hideMark/>
          </w:tcPr>
          <w:p w14:paraId="562AECC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9" w:type="dxa"/>
            <w:tcBorders>
              <w:top w:val="single" w:sz="4" w:space="0" w:color="A6A6A6"/>
            </w:tcBorders>
            <w:noWrap/>
            <w:hideMark/>
          </w:tcPr>
          <w:p w14:paraId="47CB03C2"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57" w:type="dxa"/>
            <w:tcBorders>
              <w:top w:val="single" w:sz="4" w:space="0" w:color="A6A6A6"/>
            </w:tcBorders>
            <w:noWrap/>
            <w:hideMark/>
          </w:tcPr>
          <w:p w14:paraId="525C056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639" w:type="dxa"/>
            <w:tcBorders>
              <w:top w:val="single" w:sz="4" w:space="0" w:color="A6A6A6"/>
            </w:tcBorders>
            <w:noWrap/>
            <w:hideMark/>
          </w:tcPr>
          <w:p w14:paraId="2F48887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tcBorders>
            <w:noWrap/>
            <w:hideMark/>
          </w:tcPr>
          <w:p w14:paraId="0CA8896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0.1</w:t>
            </w:r>
          </w:p>
        </w:tc>
        <w:tc>
          <w:tcPr>
            <w:tcW w:w="708" w:type="dxa"/>
            <w:tcBorders>
              <w:top w:val="single" w:sz="4" w:space="0" w:color="A6A6A6"/>
            </w:tcBorders>
            <w:noWrap/>
            <w:hideMark/>
          </w:tcPr>
          <w:p w14:paraId="38AC59DC"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9" w:type="dxa"/>
            <w:tcBorders>
              <w:top w:val="single" w:sz="4" w:space="0" w:color="A6A6A6"/>
            </w:tcBorders>
            <w:noWrap/>
            <w:hideMark/>
          </w:tcPr>
          <w:p w14:paraId="4700292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0.3</w:t>
            </w:r>
          </w:p>
        </w:tc>
        <w:tc>
          <w:tcPr>
            <w:tcW w:w="738" w:type="dxa"/>
            <w:tcBorders>
              <w:top w:val="single" w:sz="4" w:space="0" w:color="A6A6A6"/>
            </w:tcBorders>
            <w:noWrap/>
            <w:hideMark/>
          </w:tcPr>
          <w:p w14:paraId="6C37D45F"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0.2</w:t>
            </w:r>
          </w:p>
        </w:tc>
        <w:tc>
          <w:tcPr>
            <w:tcW w:w="738" w:type="dxa"/>
            <w:tcBorders>
              <w:top w:val="single" w:sz="4" w:space="0" w:color="A6A6A6"/>
            </w:tcBorders>
            <w:noWrap/>
            <w:hideMark/>
          </w:tcPr>
          <w:p w14:paraId="34DB2F7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tcBorders>
            <w:noWrap/>
            <w:hideMark/>
          </w:tcPr>
          <w:p w14:paraId="57B95BF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tcBorders>
            <w:noWrap/>
            <w:hideMark/>
          </w:tcPr>
          <w:p w14:paraId="7D0A3492"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tcBorders>
            <w:noWrap/>
            <w:hideMark/>
          </w:tcPr>
          <w:p w14:paraId="0B8FD26F"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274.0</w:t>
            </w:r>
          </w:p>
        </w:tc>
        <w:tc>
          <w:tcPr>
            <w:tcW w:w="738" w:type="dxa"/>
            <w:tcBorders>
              <w:top w:val="single" w:sz="4" w:space="0" w:color="A6A6A6"/>
            </w:tcBorders>
            <w:noWrap/>
            <w:hideMark/>
          </w:tcPr>
          <w:p w14:paraId="2788968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tcBorders>
            <w:noWrap/>
            <w:hideMark/>
          </w:tcPr>
          <w:p w14:paraId="3E02DD2E"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tcBorders>
            <w:noWrap/>
            <w:hideMark/>
          </w:tcPr>
          <w:p w14:paraId="0EEC1364"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274.6</w:t>
            </w:r>
          </w:p>
        </w:tc>
      </w:tr>
      <w:tr w:rsidR="005F4A7E" w:rsidRPr="00624A63" w14:paraId="45A44166" w14:textId="77777777" w:rsidTr="00130D1C">
        <w:trPr>
          <w:trHeight w:val="170"/>
        </w:trPr>
        <w:tc>
          <w:tcPr>
            <w:tcW w:w="2303" w:type="dxa"/>
            <w:hideMark/>
          </w:tcPr>
          <w:p w14:paraId="4161EE4E" w14:textId="77777777" w:rsidR="005F4A7E" w:rsidRPr="00C340B4" w:rsidRDefault="005F4A7E" w:rsidP="00130D1C">
            <w:pPr>
              <w:pStyle w:val="ARfintablebodybold"/>
              <w:spacing w:before="20" w:after="16" w:line="228" w:lineRule="auto"/>
              <w:rPr>
                <w:sz w:val="15"/>
                <w:szCs w:val="15"/>
              </w:rPr>
            </w:pPr>
            <w:r w:rsidRPr="00C340B4">
              <w:rPr>
                <w:sz w:val="15"/>
                <w:szCs w:val="15"/>
              </w:rPr>
              <w:t>Total expenses from transactions</w:t>
            </w:r>
          </w:p>
        </w:tc>
        <w:tc>
          <w:tcPr>
            <w:tcW w:w="938" w:type="dxa"/>
            <w:noWrap/>
            <w:hideMark/>
          </w:tcPr>
          <w:p w14:paraId="65000964"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12,017.5</w:t>
            </w:r>
          </w:p>
        </w:tc>
        <w:tc>
          <w:tcPr>
            <w:tcW w:w="737" w:type="dxa"/>
            <w:noWrap/>
            <w:hideMark/>
          </w:tcPr>
          <w:p w14:paraId="4D75201D"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870.7</w:t>
            </w:r>
          </w:p>
        </w:tc>
        <w:tc>
          <w:tcPr>
            <w:tcW w:w="598" w:type="dxa"/>
            <w:noWrap/>
            <w:hideMark/>
          </w:tcPr>
          <w:p w14:paraId="215DC9C2"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1,664.7</w:t>
            </w:r>
          </w:p>
        </w:tc>
        <w:tc>
          <w:tcPr>
            <w:tcW w:w="709" w:type="dxa"/>
            <w:noWrap/>
            <w:hideMark/>
          </w:tcPr>
          <w:p w14:paraId="2611ED6C"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521.7</w:t>
            </w:r>
          </w:p>
        </w:tc>
        <w:tc>
          <w:tcPr>
            <w:tcW w:w="757" w:type="dxa"/>
            <w:noWrap/>
            <w:hideMark/>
          </w:tcPr>
          <w:p w14:paraId="18CE08D3"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707.6</w:t>
            </w:r>
          </w:p>
        </w:tc>
        <w:tc>
          <w:tcPr>
            <w:tcW w:w="639" w:type="dxa"/>
            <w:noWrap/>
            <w:hideMark/>
          </w:tcPr>
          <w:p w14:paraId="33355028"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445.5</w:t>
            </w:r>
          </w:p>
        </w:tc>
        <w:tc>
          <w:tcPr>
            <w:tcW w:w="708" w:type="dxa"/>
            <w:noWrap/>
            <w:hideMark/>
          </w:tcPr>
          <w:p w14:paraId="1F50EFA4"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1,507.5</w:t>
            </w:r>
          </w:p>
        </w:tc>
        <w:tc>
          <w:tcPr>
            <w:tcW w:w="708" w:type="dxa"/>
            <w:noWrap/>
            <w:hideMark/>
          </w:tcPr>
          <w:p w14:paraId="7F0629A3"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301.0</w:t>
            </w:r>
          </w:p>
        </w:tc>
        <w:tc>
          <w:tcPr>
            <w:tcW w:w="749" w:type="dxa"/>
            <w:noWrap/>
            <w:hideMark/>
          </w:tcPr>
          <w:p w14:paraId="2A7841DC"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2,219.8</w:t>
            </w:r>
          </w:p>
        </w:tc>
        <w:tc>
          <w:tcPr>
            <w:tcW w:w="738" w:type="dxa"/>
            <w:noWrap/>
            <w:hideMark/>
          </w:tcPr>
          <w:p w14:paraId="62836146"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1,723.0</w:t>
            </w:r>
          </w:p>
        </w:tc>
        <w:tc>
          <w:tcPr>
            <w:tcW w:w="738" w:type="dxa"/>
            <w:noWrap/>
            <w:hideMark/>
          </w:tcPr>
          <w:p w14:paraId="653797CA"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820.7</w:t>
            </w:r>
          </w:p>
        </w:tc>
        <w:tc>
          <w:tcPr>
            <w:tcW w:w="738" w:type="dxa"/>
            <w:noWrap/>
            <w:hideMark/>
          </w:tcPr>
          <w:p w14:paraId="20C706AA"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298.5</w:t>
            </w:r>
          </w:p>
        </w:tc>
        <w:tc>
          <w:tcPr>
            <w:tcW w:w="590" w:type="dxa"/>
            <w:noWrap/>
            <w:hideMark/>
          </w:tcPr>
          <w:p w14:paraId="0E5758EA"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367.2</w:t>
            </w:r>
          </w:p>
        </w:tc>
        <w:tc>
          <w:tcPr>
            <w:tcW w:w="737" w:type="dxa"/>
            <w:noWrap/>
            <w:hideMark/>
          </w:tcPr>
          <w:p w14:paraId="47FAC27A"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1,724.6</w:t>
            </w:r>
          </w:p>
        </w:tc>
        <w:tc>
          <w:tcPr>
            <w:tcW w:w="738" w:type="dxa"/>
            <w:noWrap/>
            <w:hideMark/>
          </w:tcPr>
          <w:p w14:paraId="7A03A85F"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77.9</w:t>
            </w:r>
          </w:p>
        </w:tc>
        <w:tc>
          <w:tcPr>
            <w:tcW w:w="590" w:type="dxa"/>
            <w:noWrap/>
            <w:hideMark/>
          </w:tcPr>
          <w:p w14:paraId="795F2D7C"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(97.3)</w:t>
            </w:r>
          </w:p>
        </w:tc>
        <w:tc>
          <w:tcPr>
            <w:tcW w:w="744" w:type="dxa"/>
            <w:noWrap/>
            <w:hideMark/>
          </w:tcPr>
          <w:p w14:paraId="5360DA51"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25,170.7</w:t>
            </w:r>
          </w:p>
        </w:tc>
      </w:tr>
      <w:tr w:rsidR="005F4A7E" w:rsidRPr="00624A63" w14:paraId="6A7ADAD9" w14:textId="77777777" w:rsidTr="00130D1C">
        <w:trPr>
          <w:trHeight w:val="170"/>
        </w:trPr>
        <w:tc>
          <w:tcPr>
            <w:tcW w:w="2303" w:type="dxa"/>
            <w:tcBorders>
              <w:bottom w:val="single" w:sz="4" w:space="0" w:color="auto"/>
            </w:tcBorders>
            <w:hideMark/>
          </w:tcPr>
          <w:p w14:paraId="496DB614" w14:textId="77777777" w:rsidR="005F4A7E" w:rsidRPr="00C340B4" w:rsidRDefault="005F4A7E" w:rsidP="00130D1C">
            <w:pPr>
              <w:pStyle w:val="ARfintablebodybold"/>
              <w:spacing w:before="20" w:after="16" w:line="228" w:lineRule="auto"/>
              <w:rPr>
                <w:sz w:val="15"/>
                <w:szCs w:val="15"/>
              </w:rPr>
            </w:pPr>
            <w:r w:rsidRPr="00C340B4">
              <w:rPr>
                <w:sz w:val="15"/>
                <w:szCs w:val="15"/>
              </w:rPr>
              <w:t>Net result from transactions (net operating balance)</w:t>
            </w:r>
          </w:p>
        </w:tc>
        <w:tc>
          <w:tcPr>
            <w:tcW w:w="938" w:type="dxa"/>
            <w:tcBorders>
              <w:bottom w:val="single" w:sz="4" w:space="0" w:color="auto"/>
            </w:tcBorders>
            <w:noWrap/>
            <w:hideMark/>
          </w:tcPr>
          <w:p w14:paraId="10EEF6CF"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239.7</w:t>
            </w:r>
          </w:p>
        </w:tc>
        <w:tc>
          <w:tcPr>
            <w:tcW w:w="737" w:type="dxa"/>
            <w:tcBorders>
              <w:bottom w:val="single" w:sz="4" w:space="0" w:color="auto"/>
            </w:tcBorders>
            <w:noWrap/>
            <w:hideMark/>
          </w:tcPr>
          <w:p w14:paraId="3A7F1900"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31.3</w:t>
            </w:r>
          </w:p>
        </w:tc>
        <w:tc>
          <w:tcPr>
            <w:tcW w:w="598" w:type="dxa"/>
            <w:tcBorders>
              <w:bottom w:val="single" w:sz="4" w:space="0" w:color="auto"/>
            </w:tcBorders>
            <w:noWrap/>
            <w:hideMark/>
          </w:tcPr>
          <w:p w14:paraId="38EED883"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41.0</w:t>
            </w:r>
          </w:p>
        </w:tc>
        <w:tc>
          <w:tcPr>
            <w:tcW w:w="709" w:type="dxa"/>
            <w:tcBorders>
              <w:bottom w:val="single" w:sz="4" w:space="0" w:color="auto"/>
            </w:tcBorders>
            <w:noWrap/>
            <w:hideMark/>
          </w:tcPr>
          <w:p w14:paraId="3DF4E651"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50.9</w:t>
            </w:r>
          </w:p>
        </w:tc>
        <w:tc>
          <w:tcPr>
            <w:tcW w:w="757" w:type="dxa"/>
            <w:tcBorders>
              <w:bottom w:val="single" w:sz="4" w:space="0" w:color="auto"/>
            </w:tcBorders>
            <w:noWrap/>
            <w:hideMark/>
          </w:tcPr>
          <w:p w14:paraId="77348B43"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33.6</w:t>
            </w:r>
          </w:p>
        </w:tc>
        <w:tc>
          <w:tcPr>
            <w:tcW w:w="639" w:type="dxa"/>
            <w:tcBorders>
              <w:bottom w:val="single" w:sz="4" w:space="0" w:color="auto"/>
            </w:tcBorders>
            <w:noWrap/>
            <w:hideMark/>
          </w:tcPr>
          <w:p w14:paraId="35CF8160"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46.7</w:t>
            </w:r>
          </w:p>
        </w:tc>
        <w:tc>
          <w:tcPr>
            <w:tcW w:w="708" w:type="dxa"/>
            <w:tcBorders>
              <w:bottom w:val="single" w:sz="4" w:space="0" w:color="auto"/>
            </w:tcBorders>
            <w:noWrap/>
            <w:hideMark/>
          </w:tcPr>
          <w:p w14:paraId="74A31969"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(53.1)</w:t>
            </w:r>
          </w:p>
        </w:tc>
        <w:tc>
          <w:tcPr>
            <w:tcW w:w="708" w:type="dxa"/>
            <w:tcBorders>
              <w:bottom w:val="single" w:sz="4" w:space="0" w:color="auto"/>
            </w:tcBorders>
            <w:noWrap/>
            <w:hideMark/>
          </w:tcPr>
          <w:p w14:paraId="3012D3AC"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4.9</w:t>
            </w:r>
          </w:p>
        </w:tc>
        <w:tc>
          <w:tcPr>
            <w:tcW w:w="749" w:type="dxa"/>
            <w:tcBorders>
              <w:bottom w:val="single" w:sz="4" w:space="0" w:color="auto"/>
            </w:tcBorders>
            <w:noWrap/>
            <w:hideMark/>
          </w:tcPr>
          <w:p w14:paraId="5D4F3125"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5.6</w:t>
            </w:r>
          </w:p>
        </w:tc>
        <w:tc>
          <w:tcPr>
            <w:tcW w:w="738" w:type="dxa"/>
            <w:tcBorders>
              <w:bottom w:val="single" w:sz="4" w:space="0" w:color="auto"/>
            </w:tcBorders>
            <w:noWrap/>
            <w:hideMark/>
          </w:tcPr>
          <w:p w14:paraId="421D331B"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(2.2)</w:t>
            </w:r>
          </w:p>
        </w:tc>
        <w:tc>
          <w:tcPr>
            <w:tcW w:w="738" w:type="dxa"/>
            <w:tcBorders>
              <w:bottom w:val="single" w:sz="4" w:space="0" w:color="auto"/>
            </w:tcBorders>
            <w:noWrap/>
            <w:hideMark/>
          </w:tcPr>
          <w:p w14:paraId="753E6467"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(0.3)</w:t>
            </w:r>
          </w:p>
        </w:tc>
        <w:tc>
          <w:tcPr>
            <w:tcW w:w="738" w:type="dxa"/>
            <w:tcBorders>
              <w:bottom w:val="single" w:sz="4" w:space="0" w:color="auto"/>
            </w:tcBorders>
            <w:noWrap/>
            <w:hideMark/>
          </w:tcPr>
          <w:p w14:paraId="759EBC33"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3.2</w:t>
            </w:r>
          </w:p>
        </w:tc>
        <w:tc>
          <w:tcPr>
            <w:tcW w:w="590" w:type="dxa"/>
            <w:tcBorders>
              <w:bottom w:val="single" w:sz="4" w:space="0" w:color="auto"/>
            </w:tcBorders>
            <w:noWrap/>
            <w:hideMark/>
          </w:tcPr>
          <w:p w14:paraId="65A6E93C"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(20.3)</w:t>
            </w:r>
          </w:p>
        </w:tc>
        <w:tc>
          <w:tcPr>
            <w:tcW w:w="737" w:type="dxa"/>
            <w:tcBorders>
              <w:bottom w:val="single" w:sz="4" w:space="0" w:color="auto"/>
            </w:tcBorders>
            <w:noWrap/>
            <w:hideMark/>
          </w:tcPr>
          <w:p w14:paraId="4F4E949D"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147.3</w:t>
            </w:r>
          </w:p>
        </w:tc>
        <w:tc>
          <w:tcPr>
            <w:tcW w:w="738" w:type="dxa"/>
            <w:tcBorders>
              <w:bottom w:val="single" w:sz="4" w:space="0" w:color="auto"/>
            </w:tcBorders>
            <w:noWrap/>
            <w:hideMark/>
          </w:tcPr>
          <w:p w14:paraId="14A82181"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(0.6)</w:t>
            </w:r>
          </w:p>
        </w:tc>
        <w:tc>
          <w:tcPr>
            <w:tcW w:w="590" w:type="dxa"/>
            <w:tcBorders>
              <w:bottom w:val="single" w:sz="4" w:space="0" w:color="auto"/>
            </w:tcBorders>
            <w:noWrap/>
            <w:hideMark/>
          </w:tcPr>
          <w:p w14:paraId="111A1CDF"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w:t>
            </w:r>
          </w:p>
        </w:tc>
        <w:tc>
          <w:tcPr>
            <w:tcW w:w="744" w:type="dxa"/>
            <w:tcBorders>
              <w:bottom w:val="single" w:sz="4" w:space="0" w:color="auto"/>
            </w:tcBorders>
            <w:noWrap/>
            <w:hideMark/>
          </w:tcPr>
          <w:p w14:paraId="31D243AC"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527.7</w:t>
            </w:r>
          </w:p>
        </w:tc>
      </w:tr>
      <w:tr w:rsidR="005F4A7E" w:rsidRPr="00624A63" w14:paraId="2E60D597" w14:textId="77777777" w:rsidTr="00130D1C">
        <w:trPr>
          <w:trHeight w:val="170"/>
        </w:trPr>
        <w:tc>
          <w:tcPr>
            <w:tcW w:w="14459" w:type="dxa"/>
            <w:gridSpan w:val="18"/>
            <w:tcBorders>
              <w:top w:val="single" w:sz="4" w:space="0" w:color="auto"/>
              <w:bottom w:val="single" w:sz="4" w:space="0" w:color="A6A6A6"/>
            </w:tcBorders>
            <w:hideMark/>
          </w:tcPr>
          <w:p w14:paraId="062AADF9" w14:textId="77777777" w:rsidR="005F4A7E" w:rsidRPr="00C340B4" w:rsidRDefault="005F4A7E" w:rsidP="00130D1C">
            <w:pPr>
              <w:pStyle w:val="ARfintablebodybold"/>
              <w:spacing w:before="20" w:after="16" w:line="228" w:lineRule="auto"/>
              <w:ind w:right="0"/>
              <w:rPr>
                <w:sz w:val="15"/>
                <w:szCs w:val="15"/>
              </w:rPr>
            </w:pPr>
            <w:r w:rsidRPr="00C340B4">
              <w:rPr>
                <w:sz w:val="15"/>
                <w:szCs w:val="15"/>
              </w:rPr>
              <w:t xml:space="preserve">Other economic flows included </w:t>
            </w:r>
            <w:r w:rsidRPr="00C340B4">
              <w:rPr>
                <w:sz w:val="15"/>
                <w:szCs w:val="15"/>
              </w:rPr>
              <w:br/>
              <w:t>in net result</w:t>
            </w:r>
          </w:p>
        </w:tc>
      </w:tr>
      <w:tr w:rsidR="005F4A7E" w:rsidRPr="00624A63" w14:paraId="53657584" w14:textId="77777777" w:rsidTr="00130D1C">
        <w:trPr>
          <w:trHeight w:val="170"/>
        </w:trPr>
        <w:tc>
          <w:tcPr>
            <w:tcW w:w="2303" w:type="dxa"/>
            <w:tcBorders>
              <w:top w:val="single" w:sz="4" w:space="0" w:color="A6A6A6"/>
              <w:bottom w:val="single" w:sz="4" w:space="0" w:color="A6A6A6"/>
            </w:tcBorders>
            <w:hideMark/>
          </w:tcPr>
          <w:p w14:paraId="53EEDB2B" w14:textId="77777777" w:rsidR="005F4A7E" w:rsidRPr="00C340B4" w:rsidRDefault="005F4A7E" w:rsidP="00130D1C">
            <w:pPr>
              <w:pStyle w:val="ARfintablebody"/>
              <w:spacing w:before="20" w:after="16" w:line="228" w:lineRule="auto"/>
              <w:rPr>
                <w:sz w:val="15"/>
                <w:szCs w:val="15"/>
              </w:rPr>
            </w:pPr>
            <w:r w:rsidRPr="00C340B4">
              <w:rPr>
                <w:sz w:val="15"/>
                <w:szCs w:val="15"/>
              </w:rPr>
              <w:t>Net gain/(loss) on non-financial assets</w:t>
            </w:r>
          </w:p>
        </w:tc>
        <w:tc>
          <w:tcPr>
            <w:tcW w:w="938" w:type="dxa"/>
            <w:tcBorders>
              <w:top w:val="single" w:sz="4" w:space="0" w:color="A6A6A6"/>
              <w:bottom w:val="single" w:sz="4" w:space="0" w:color="A6A6A6"/>
            </w:tcBorders>
            <w:noWrap/>
            <w:hideMark/>
          </w:tcPr>
          <w:p w14:paraId="0D5AEE3F"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(0.1)</w:t>
            </w:r>
          </w:p>
        </w:tc>
        <w:tc>
          <w:tcPr>
            <w:tcW w:w="737" w:type="dxa"/>
            <w:tcBorders>
              <w:top w:val="single" w:sz="4" w:space="0" w:color="A6A6A6"/>
              <w:bottom w:val="single" w:sz="4" w:space="0" w:color="A6A6A6"/>
            </w:tcBorders>
            <w:noWrap/>
            <w:hideMark/>
          </w:tcPr>
          <w:p w14:paraId="74729065"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bottom w:val="single" w:sz="4" w:space="0" w:color="A6A6A6"/>
            </w:tcBorders>
            <w:noWrap/>
            <w:hideMark/>
          </w:tcPr>
          <w:p w14:paraId="6A1A64A8"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9" w:type="dxa"/>
            <w:tcBorders>
              <w:top w:val="single" w:sz="4" w:space="0" w:color="A6A6A6"/>
              <w:bottom w:val="single" w:sz="4" w:space="0" w:color="A6A6A6"/>
            </w:tcBorders>
            <w:noWrap/>
            <w:hideMark/>
          </w:tcPr>
          <w:p w14:paraId="1194658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57" w:type="dxa"/>
            <w:tcBorders>
              <w:top w:val="single" w:sz="4" w:space="0" w:color="A6A6A6"/>
              <w:bottom w:val="single" w:sz="4" w:space="0" w:color="A6A6A6"/>
            </w:tcBorders>
            <w:noWrap/>
            <w:hideMark/>
          </w:tcPr>
          <w:p w14:paraId="05071C5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639" w:type="dxa"/>
            <w:tcBorders>
              <w:top w:val="single" w:sz="4" w:space="0" w:color="A6A6A6"/>
              <w:bottom w:val="single" w:sz="4" w:space="0" w:color="A6A6A6"/>
            </w:tcBorders>
            <w:noWrap/>
            <w:hideMark/>
          </w:tcPr>
          <w:p w14:paraId="7CD6456F"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4332B6C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0.1</w:t>
            </w:r>
          </w:p>
        </w:tc>
        <w:tc>
          <w:tcPr>
            <w:tcW w:w="708" w:type="dxa"/>
            <w:tcBorders>
              <w:top w:val="single" w:sz="4" w:space="0" w:color="A6A6A6"/>
              <w:bottom w:val="single" w:sz="4" w:space="0" w:color="A6A6A6"/>
            </w:tcBorders>
            <w:noWrap/>
            <w:hideMark/>
          </w:tcPr>
          <w:p w14:paraId="0B99AE4F"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9" w:type="dxa"/>
            <w:tcBorders>
              <w:top w:val="single" w:sz="4" w:space="0" w:color="A6A6A6"/>
              <w:bottom w:val="single" w:sz="4" w:space="0" w:color="A6A6A6"/>
            </w:tcBorders>
            <w:noWrap/>
            <w:hideMark/>
          </w:tcPr>
          <w:p w14:paraId="21C0B5E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(0.5)</w:t>
            </w:r>
          </w:p>
        </w:tc>
        <w:tc>
          <w:tcPr>
            <w:tcW w:w="738" w:type="dxa"/>
            <w:tcBorders>
              <w:top w:val="single" w:sz="4" w:space="0" w:color="A6A6A6"/>
              <w:bottom w:val="single" w:sz="4" w:space="0" w:color="A6A6A6"/>
            </w:tcBorders>
            <w:noWrap/>
            <w:hideMark/>
          </w:tcPr>
          <w:p w14:paraId="790F81BC"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1.2</w:t>
            </w:r>
          </w:p>
        </w:tc>
        <w:tc>
          <w:tcPr>
            <w:tcW w:w="738" w:type="dxa"/>
            <w:tcBorders>
              <w:top w:val="single" w:sz="4" w:space="0" w:color="A6A6A6"/>
              <w:bottom w:val="single" w:sz="4" w:space="0" w:color="A6A6A6"/>
            </w:tcBorders>
            <w:noWrap/>
            <w:hideMark/>
          </w:tcPr>
          <w:p w14:paraId="62F0FE2F"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525438B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04100CE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76CB1C7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(3.6)</w:t>
            </w:r>
          </w:p>
        </w:tc>
        <w:tc>
          <w:tcPr>
            <w:tcW w:w="738" w:type="dxa"/>
            <w:tcBorders>
              <w:top w:val="single" w:sz="4" w:space="0" w:color="A6A6A6"/>
              <w:bottom w:val="single" w:sz="4" w:space="0" w:color="A6A6A6"/>
            </w:tcBorders>
            <w:noWrap/>
            <w:hideMark/>
          </w:tcPr>
          <w:p w14:paraId="6910877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3A2A49A2"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03579E6D"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(2.9)</w:t>
            </w:r>
          </w:p>
        </w:tc>
      </w:tr>
      <w:tr w:rsidR="005F4A7E" w:rsidRPr="00624A63" w14:paraId="56EC250F" w14:textId="77777777" w:rsidTr="00130D1C">
        <w:trPr>
          <w:trHeight w:val="170"/>
        </w:trPr>
        <w:tc>
          <w:tcPr>
            <w:tcW w:w="2303" w:type="dxa"/>
            <w:tcBorders>
              <w:top w:val="single" w:sz="4" w:space="0" w:color="A6A6A6"/>
              <w:bottom w:val="single" w:sz="4" w:space="0" w:color="A6A6A6"/>
            </w:tcBorders>
            <w:hideMark/>
          </w:tcPr>
          <w:p w14:paraId="765A3273" w14:textId="77777777" w:rsidR="005F4A7E" w:rsidRPr="00C340B4" w:rsidRDefault="005F4A7E" w:rsidP="00130D1C">
            <w:pPr>
              <w:pStyle w:val="ARfintablebody"/>
              <w:spacing w:before="20" w:after="16" w:line="228" w:lineRule="auto"/>
              <w:rPr>
                <w:sz w:val="15"/>
                <w:szCs w:val="15"/>
              </w:rPr>
            </w:pPr>
            <w:r w:rsidRPr="00C340B4">
              <w:rPr>
                <w:sz w:val="15"/>
                <w:szCs w:val="15"/>
              </w:rPr>
              <w:t>Net gain/(loss) on financial instruments</w:t>
            </w:r>
          </w:p>
        </w:tc>
        <w:tc>
          <w:tcPr>
            <w:tcW w:w="938" w:type="dxa"/>
            <w:tcBorders>
              <w:top w:val="single" w:sz="4" w:space="0" w:color="A6A6A6"/>
              <w:bottom w:val="single" w:sz="4" w:space="0" w:color="A6A6A6"/>
            </w:tcBorders>
            <w:noWrap/>
            <w:hideMark/>
          </w:tcPr>
          <w:p w14:paraId="7D4E5C6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0.5</w:t>
            </w:r>
          </w:p>
        </w:tc>
        <w:tc>
          <w:tcPr>
            <w:tcW w:w="737" w:type="dxa"/>
            <w:tcBorders>
              <w:top w:val="single" w:sz="4" w:space="0" w:color="A6A6A6"/>
              <w:bottom w:val="single" w:sz="4" w:space="0" w:color="A6A6A6"/>
            </w:tcBorders>
            <w:noWrap/>
            <w:hideMark/>
          </w:tcPr>
          <w:p w14:paraId="423B307C"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bottom w:val="single" w:sz="4" w:space="0" w:color="A6A6A6"/>
            </w:tcBorders>
            <w:noWrap/>
            <w:hideMark/>
          </w:tcPr>
          <w:p w14:paraId="73BFDBE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9" w:type="dxa"/>
            <w:tcBorders>
              <w:top w:val="single" w:sz="4" w:space="0" w:color="A6A6A6"/>
              <w:bottom w:val="single" w:sz="4" w:space="0" w:color="A6A6A6"/>
            </w:tcBorders>
            <w:noWrap/>
            <w:hideMark/>
          </w:tcPr>
          <w:p w14:paraId="2263815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57" w:type="dxa"/>
            <w:tcBorders>
              <w:top w:val="single" w:sz="4" w:space="0" w:color="A6A6A6"/>
              <w:bottom w:val="single" w:sz="4" w:space="0" w:color="A6A6A6"/>
            </w:tcBorders>
            <w:noWrap/>
            <w:hideMark/>
          </w:tcPr>
          <w:p w14:paraId="5E6498A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639" w:type="dxa"/>
            <w:tcBorders>
              <w:top w:val="single" w:sz="4" w:space="0" w:color="A6A6A6"/>
              <w:bottom w:val="single" w:sz="4" w:space="0" w:color="A6A6A6"/>
            </w:tcBorders>
            <w:noWrap/>
            <w:hideMark/>
          </w:tcPr>
          <w:p w14:paraId="544025A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3BF1C80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45942D4E"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9" w:type="dxa"/>
            <w:tcBorders>
              <w:top w:val="single" w:sz="4" w:space="0" w:color="A6A6A6"/>
              <w:bottom w:val="single" w:sz="4" w:space="0" w:color="A6A6A6"/>
            </w:tcBorders>
            <w:noWrap/>
            <w:hideMark/>
          </w:tcPr>
          <w:p w14:paraId="609AE4F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0.8</w:t>
            </w:r>
          </w:p>
        </w:tc>
        <w:tc>
          <w:tcPr>
            <w:tcW w:w="738" w:type="dxa"/>
            <w:tcBorders>
              <w:top w:val="single" w:sz="4" w:space="0" w:color="A6A6A6"/>
              <w:bottom w:val="single" w:sz="4" w:space="0" w:color="A6A6A6"/>
            </w:tcBorders>
            <w:noWrap/>
            <w:hideMark/>
          </w:tcPr>
          <w:p w14:paraId="314F03E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0.3</w:t>
            </w:r>
          </w:p>
        </w:tc>
        <w:tc>
          <w:tcPr>
            <w:tcW w:w="738" w:type="dxa"/>
            <w:tcBorders>
              <w:top w:val="single" w:sz="4" w:space="0" w:color="A6A6A6"/>
              <w:bottom w:val="single" w:sz="4" w:space="0" w:color="A6A6A6"/>
            </w:tcBorders>
            <w:noWrap/>
            <w:hideMark/>
          </w:tcPr>
          <w:p w14:paraId="3F561195"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63ED5858"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2363124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2AC1976C"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5FDACB58"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67B7E94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157C26E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1.6</w:t>
            </w:r>
          </w:p>
        </w:tc>
      </w:tr>
      <w:tr w:rsidR="005F4A7E" w:rsidRPr="00624A63" w14:paraId="33FAAD97" w14:textId="77777777" w:rsidTr="00130D1C">
        <w:trPr>
          <w:trHeight w:val="170"/>
        </w:trPr>
        <w:tc>
          <w:tcPr>
            <w:tcW w:w="2303" w:type="dxa"/>
            <w:tcBorders>
              <w:top w:val="single" w:sz="4" w:space="0" w:color="A6A6A6"/>
              <w:bottom w:val="single" w:sz="4" w:space="0" w:color="A6A6A6"/>
            </w:tcBorders>
            <w:hideMark/>
          </w:tcPr>
          <w:p w14:paraId="3C568771" w14:textId="77777777" w:rsidR="005F4A7E" w:rsidRPr="00C340B4" w:rsidRDefault="005F4A7E" w:rsidP="00130D1C">
            <w:pPr>
              <w:pStyle w:val="ARfintablebody"/>
              <w:spacing w:before="20" w:after="16" w:line="228" w:lineRule="auto"/>
              <w:rPr>
                <w:sz w:val="15"/>
                <w:szCs w:val="15"/>
              </w:rPr>
            </w:pPr>
            <w:r w:rsidRPr="00C340B4">
              <w:rPr>
                <w:sz w:val="15"/>
                <w:szCs w:val="15"/>
              </w:rPr>
              <w:t>Impairment of joint venture</w:t>
            </w:r>
          </w:p>
        </w:tc>
        <w:tc>
          <w:tcPr>
            <w:tcW w:w="938" w:type="dxa"/>
            <w:tcBorders>
              <w:top w:val="single" w:sz="4" w:space="0" w:color="A6A6A6"/>
              <w:bottom w:val="single" w:sz="4" w:space="0" w:color="A6A6A6"/>
            </w:tcBorders>
            <w:noWrap/>
            <w:hideMark/>
          </w:tcPr>
          <w:p w14:paraId="5E96CF78"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5AA20B21"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bottom w:val="single" w:sz="4" w:space="0" w:color="A6A6A6"/>
            </w:tcBorders>
            <w:noWrap/>
            <w:hideMark/>
          </w:tcPr>
          <w:p w14:paraId="1591D758"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9" w:type="dxa"/>
            <w:tcBorders>
              <w:top w:val="single" w:sz="4" w:space="0" w:color="A6A6A6"/>
              <w:bottom w:val="single" w:sz="4" w:space="0" w:color="A6A6A6"/>
            </w:tcBorders>
            <w:noWrap/>
            <w:hideMark/>
          </w:tcPr>
          <w:p w14:paraId="16FF0318"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57" w:type="dxa"/>
            <w:tcBorders>
              <w:top w:val="single" w:sz="4" w:space="0" w:color="A6A6A6"/>
              <w:bottom w:val="single" w:sz="4" w:space="0" w:color="A6A6A6"/>
            </w:tcBorders>
            <w:noWrap/>
            <w:hideMark/>
          </w:tcPr>
          <w:p w14:paraId="50266511"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639" w:type="dxa"/>
            <w:tcBorders>
              <w:top w:val="single" w:sz="4" w:space="0" w:color="A6A6A6"/>
              <w:bottom w:val="single" w:sz="4" w:space="0" w:color="A6A6A6"/>
            </w:tcBorders>
            <w:noWrap/>
            <w:hideMark/>
          </w:tcPr>
          <w:p w14:paraId="6C00239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5C62B066"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511610CC"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9" w:type="dxa"/>
            <w:tcBorders>
              <w:top w:val="single" w:sz="4" w:space="0" w:color="A6A6A6"/>
              <w:bottom w:val="single" w:sz="4" w:space="0" w:color="A6A6A6"/>
            </w:tcBorders>
            <w:noWrap/>
            <w:hideMark/>
          </w:tcPr>
          <w:p w14:paraId="568F307C"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4E43DEBC"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1CC4BC66"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427C505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36224DA1"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5D08EC48"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3A5D7B58"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2F51BC1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6DAA292E"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r>
      <w:tr w:rsidR="005F4A7E" w:rsidRPr="00624A63" w14:paraId="045B53C4" w14:textId="77777777" w:rsidTr="00130D1C">
        <w:trPr>
          <w:trHeight w:val="170"/>
        </w:trPr>
        <w:tc>
          <w:tcPr>
            <w:tcW w:w="2303" w:type="dxa"/>
            <w:tcBorders>
              <w:top w:val="single" w:sz="4" w:space="0" w:color="A6A6A6"/>
            </w:tcBorders>
            <w:hideMark/>
          </w:tcPr>
          <w:p w14:paraId="32E258A4" w14:textId="77777777" w:rsidR="005F4A7E" w:rsidRPr="00C340B4" w:rsidRDefault="005F4A7E" w:rsidP="00130D1C">
            <w:pPr>
              <w:pStyle w:val="ARfintablebody"/>
              <w:spacing w:before="20" w:after="16" w:line="228" w:lineRule="auto"/>
              <w:rPr>
                <w:sz w:val="15"/>
                <w:szCs w:val="15"/>
              </w:rPr>
            </w:pPr>
            <w:r w:rsidRPr="00C340B4">
              <w:rPr>
                <w:sz w:val="15"/>
                <w:szCs w:val="15"/>
              </w:rPr>
              <w:t>Other gains/(losses) from other economic flows</w:t>
            </w:r>
          </w:p>
        </w:tc>
        <w:tc>
          <w:tcPr>
            <w:tcW w:w="938" w:type="dxa"/>
            <w:tcBorders>
              <w:top w:val="single" w:sz="4" w:space="0" w:color="A6A6A6"/>
            </w:tcBorders>
            <w:noWrap/>
            <w:hideMark/>
          </w:tcPr>
          <w:p w14:paraId="306F5CCD"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(16.3)</w:t>
            </w:r>
          </w:p>
        </w:tc>
        <w:tc>
          <w:tcPr>
            <w:tcW w:w="737" w:type="dxa"/>
            <w:tcBorders>
              <w:top w:val="single" w:sz="4" w:space="0" w:color="A6A6A6"/>
            </w:tcBorders>
            <w:noWrap/>
            <w:hideMark/>
          </w:tcPr>
          <w:p w14:paraId="3B47FA6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0.1</w:t>
            </w:r>
          </w:p>
        </w:tc>
        <w:tc>
          <w:tcPr>
            <w:tcW w:w="598" w:type="dxa"/>
            <w:tcBorders>
              <w:top w:val="single" w:sz="4" w:space="0" w:color="A6A6A6"/>
            </w:tcBorders>
            <w:noWrap/>
            <w:hideMark/>
          </w:tcPr>
          <w:p w14:paraId="535E9B75"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0.7</w:t>
            </w:r>
          </w:p>
        </w:tc>
        <w:tc>
          <w:tcPr>
            <w:tcW w:w="709" w:type="dxa"/>
            <w:tcBorders>
              <w:top w:val="single" w:sz="4" w:space="0" w:color="A6A6A6"/>
            </w:tcBorders>
            <w:noWrap/>
            <w:hideMark/>
          </w:tcPr>
          <w:p w14:paraId="6F7EC75F"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0.5</w:t>
            </w:r>
          </w:p>
        </w:tc>
        <w:tc>
          <w:tcPr>
            <w:tcW w:w="757" w:type="dxa"/>
            <w:tcBorders>
              <w:top w:val="single" w:sz="4" w:space="0" w:color="A6A6A6"/>
            </w:tcBorders>
            <w:noWrap/>
            <w:hideMark/>
          </w:tcPr>
          <w:p w14:paraId="6DB3689E"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0.3</w:t>
            </w:r>
          </w:p>
        </w:tc>
        <w:tc>
          <w:tcPr>
            <w:tcW w:w="639" w:type="dxa"/>
            <w:tcBorders>
              <w:top w:val="single" w:sz="4" w:space="0" w:color="A6A6A6"/>
            </w:tcBorders>
            <w:noWrap/>
            <w:hideMark/>
          </w:tcPr>
          <w:p w14:paraId="16C15ED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0.2</w:t>
            </w:r>
          </w:p>
        </w:tc>
        <w:tc>
          <w:tcPr>
            <w:tcW w:w="708" w:type="dxa"/>
            <w:tcBorders>
              <w:top w:val="single" w:sz="4" w:space="0" w:color="A6A6A6"/>
            </w:tcBorders>
            <w:noWrap/>
            <w:hideMark/>
          </w:tcPr>
          <w:p w14:paraId="135F8E0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1.0</w:t>
            </w:r>
          </w:p>
        </w:tc>
        <w:tc>
          <w:tcPr>
            <w:tcW w:w="708" w:type="dxa"/>
            <w:tcBorders>
              <w:top w:val="single" w:sz="4" w:space="0" w:color="A6A6A6"/>
            </w:tcBorders>
            <w:noWrap/>
            <w:hideMark/>
          </w:tcPr>
          <w:p w14:paraId="53D7B5E5"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0.1</w:t>
            </w:r>
          </w:p>
        </w:tc>
        <w:tc>
          <w:tcPr>
            <w:tcW w:w="749" w:type="dxa"/>
            <w:tcBorders>
              <w:top w:val="single" w:sz="4" w:space="0" w:color="A6A6A6"/>
            </w:tcBorders>
            <w:noWrap/>
            <w:hideMark/>
          </w:tcPr>
          <w:p w14:paraId="156A03DC"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(3.1)</w:t>
            </w:r>
          </w:p>
        </w:tc>
        <w:tc>
          <w:tcPr>
            <w:tcW w:w="738" w:type="dxa"/>
            <w:tcBorders>
              <w:top w:val="single" w:sz="4" w:space="0" w:color="A6A6A6"/>
            </w:tcBorders>
            <w:noWrap/>
            <w:hideMark/>
          </w:tcPr>
          <w:p w14:paraId="1F22D774"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2.6</w:t>
            </w:r>
          </w:p>
        </w:tc>
        <w:tc>
          <w:tcPr>
            <w:tcW w:w="738" w:type="dxa"/>
            <w:tcBorders>
              <w:top w:val="single" w:sz="4" w:space="0" w:color="A6A6A6"/>
            </w:tcBorders>
            <w:noWrap/>
            <w:hideMark/>
          </w:tcPr>
          <w:p w14:paraId="16B05064"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tcBorders>
            <w:noWrap/>
            <w:hideMark/>
          </w:tcPr>
          <w:p w14:paraId="0508B83D"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0.3</w:t>
            </w:r>
          </w:p>
        </w:tc>
        <w:tc>
          <w:tcPr>
            <w:tcW w:w="590" w:type="dxa"/>
            <w:tcBorders>
              <w:top w:val="single" w:sz="4" w:space="0" w:color="A6A6A6"/>
            </w:tcBorders>
            <w:noWrap/>
            <w:hideMark/>
          </w:tcPr>
          <w:p w14:paraId="3A90C092"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0.4</w:t>
            </w:r>
          </w:p>
        </w:tc>
        <w:tc>
          <w:tcPr>
            <w:tcW w:w="737" w:type="dxa"/>
            <w:tcBorders>
              <w:top w:val="single" w:sz="4" w:space="0" w:color="A6A6A6"/>
            </w:tcBorders>
            <w:noWrap/>
            <w:hideMark/>
          </w:tcPr>
          <w:p w14:paraId="5E3874A8"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0.9</w:t>
            </w:r>
          </w:p>
        </w:tc>
        <w:tc>
          <w:tcPr>
            <w:tcW w:w="738" w:type="dxa"/>
            <w:tcBorders>
              <w:top w:val="single" w:sz="4" w:space="0" w:color="A6A6A6"/>
            </w:tcBorders>
            <w:noWrap/>
            <w:hideMark/>
          </w:tcPr>
          <w:p w14:paraId="36E04625"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tcBorders>
            <w:noWrap/>
            <w:hideMark/>
          </w:tcPr>
          <w:p w14:paraId="54EFCF9C"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tcBorders>
            <w:noWrap/>
            <w:hideMark/>
          </w:tcPr>
          <w:p w14:paraId="0EFC692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(12.3)</w:t>
            </w:r>
          </w:p>
        </w:tc>
      </w:tr>
      <w:tr w:rsidR="005F4A7E" w:rsidRPr="00624A63" w14:paraId="47CADBA0" w14:textId="77777777" w:rsidTr="00130D1C">
        <w:trPr>
          <w:trHeight w:val="170"/>
        </w:trPr>
        <w:tc>
          <w:tcPr>
            <w:tcW w:w="2303" w:type="dxa"/>
            <w:hideMark/>
          </w:tcPr>
          <w:p w14:paraId="3EA94212" w14:textId="77777777" w:rsidR="005F4A7E" w:rsidRPr="00C340B4" w:rsidRDefault="005F4A7E" w:rsidP="00130D1C">
            <w:pPr>
              <w:pStyle w:val="ARfintablebodybold"/>
              <w:spacing w:before="20" w:after="16" w:line="228" w:lineRule="auto"/>
              <w:rPr>
                <w:sz w:val="15"/>
                <w:szCs w:val="15"/>
              </w:rPr>
            </w:pPr>
            <w:r w:rsidRPr="00C340B4">
              <w:rPr>
                <w:sz w:val="15"/>
                <w:szCs w:val="15"/>
              </w:rPr>
              <w:t>Total other economic flows included in net result</w:t>
            </w:r>
          </w:p>
        </w:tc>
        <w:tc>
          <w:tcPr>
            <w:tcW w:w="938" w:type="dxa"/>
            <w:noWrap/>
            <w:hideMark/>
          </w:tcPr>
          <w:p w14:paraId="7E588B65"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(15.9)</w:t>
            </w:r>
          </w:p>
        </w:tc>
        <w:tc>
          <w:tcPr>
            <w:tcW w:w="737" w:type="dxa"/>
            <w:noWrap/>
            <w:hideMark/>
          </w:tcPr>
          <w:p w14:paraId="25E8A03F"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0.1</w:t>
            </w:r>
          </w:p>
        </w:tc>
        <w:tc>
          <w:tcPr>
            <w:tcW w:w="598" w:type="dxa"/>
            <w:noWrap/>
            <w:hideMark/>
          </w:tcPr>
          <w:p w14:paraId="685862C8"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0.7</w:t>
            </w:r>
          </w:p>
        </w:tc>
        <w:tc>
          <w:tcPr>
            <w:tcW w:w="709" w:type="dxa"/>
            <w:noWrap/>
            <w:hideMark/>
          </w:tcPr>
          <w:p w14:paraId="21D280F4"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0.5</w:t>
            </w:r>
          </w:p>
        </w:tc>
        <w:tc>
          <w:tcPr>
            <w:tcW w:w="757" w:type="dxa"/>
            <w:noWrap/>
            <w:hideMark/>
          </w:tcPr>
          <w:p w14:paraId="23A9D281"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0.3</w:t>
            </w:r>
          </w:p>
        </w:tc>
        <w:tc>
          <w:tcPr>
            <w:tcW w:w="639" w:type="dxa"/>
            <w:noWrap/>
            <w:hideMark/>
          </w:tcPr>
          <w:p w14:paraId="44FD6BBD"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0.2</w:t>
            </w:r>
          </w:p>
        </w:tc>
        <w:tc>
          <w:tcPr>
            <w:tcW w:w="708" w:type="dxa"/>
            <w:noWrap/>
            <w:hideMark/>
          </w:tcPr>
          <w:p w14:paraId="491B1970"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1.1</w:t>
            </w:r>
          </w:p>
        </w:tc>
        <w:tc>
          <w:tcPr>
            <w:tcW w:w="708" w:type="dxa"/>
            <w:noWrap/>
            <w:hideMark/>
          </w:tcPr>
          <w:p w14:paraId="2FABA71E"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0.1</w:t>
            </w:r>
          </w:p>
        </w:tc>
        <w:tc>
          <w:tcPr>
            <w:tcW w:w="749" w:type="dxa"/>
            <w:noWrap/>
            <w:hideMark/>
          </w:tcPr>
          <w:p w14:paraId="67370409"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(2.8)</w:t>
            </w:r>
          </w:p>
        </w:tc>
        <w:tc>
          <w:tcPr>
            <w:tcW w:w="738" w:type="dxa"/>
            <w:noWrap/>
            <w:hideMark/>
          </w:tcPr>
          <w:p w14:paraId="44A2BAD1"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4.1</w:t>
            </w:r>
          </w:p>
        </w:tc>
        <w:tc>
          <w:tcPr>
            <w:tcW w:w="738" w:type="dxa"/>
            <w:noWrap/>
            <w:hideMark/>
          </w:tcPr>
          <w:p w14:paraId="31E5ACD5"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w:t>
            </w:r>
          </w:p>
        </w:tc>
        <w:tc>
          <w:tcPr>
            <w:tcW w:w="738" w:type="dxa"/>
            <w:noWrap/>
            <w:hideMark/>
          </w:tcPr>
          <w:p w14:paraId="5324371A"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0.3</w:t>
            </w:r>
          </w:p>
        </w:tc>
        <w:tc>
          <w:tcPr>
            <w:tcW w:w="590" w:type="dxa"/>
            <w:noWrap/>
            <w:hideMark/>
          </w:tcPr>
          <w:p w14:paraId="2F62C47A"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0.4</w:t>
            </w:r>
          </w:p>
        </w:tc>
        <w:tc>
          <w:tcPr>
            <w:tcW w:w="737" w:type="dxa"/>
            <w:noWrap/>
            <w:hideMark/>
          </w:tcPr>
          <w:p w14:paraId="7B18429A"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(2.7)</w:t>
            </w:r>
          </w:p>
        </w:tc>
        <w:tc>
          <w:tcPr>
            <w:tcW w:w="738" w:type="dxa"/>
            <w:noWrap/>
            <w:hideMark/>
          </w:tcPr>
          <w:p w14:paraId="6CBFF651"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w:t>
            </w:r>
          </w:p>
        </w:tc>
        <w:tc>
          <w:tcPr>
            <w:tcW w:w="590" w:type="dxa"/>
            <w:noWrap/>
            <w:hideMark/>
          </w:tcPr>
          <w:p w14:paraId="1B5982AE"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w:t>
            </w:r>
          </w:p>
        </w:tc>
        <w:tc>
          <w:tcPr>
            <w:tcW w:w="744" w:type="dxa"/>
            <w:noWrap/>
            <w:hideMark/>
          </w:tcPr>
          <w:p w14:paraId="53F70D6C"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(13.6)</w:t>
            </w:r>
          </w:p>
        </w:tc>
      </w:tr>
      <w:tr w:rsidR="005F4A7E" w:rsidRPr="00624A63" w14:paraId="354E090F" w14:textId="77777777" w:rsidTr="00130D1C">
        <w:trPr>
          <w:trHeight w:val="170"/>
        </w:trPr>
        <w:tc>
          <w:tcPr>
            <w:tcW w:w="2303" w:type="dxa"/>
            <w:hideMark/>
          </w:tcPr>
          <w:p w14:paraId="4C585879" w14:textId="77777777" w:rsidR="005F4A7E" w:rsidRPr="00C340B4" w:rsidRDefault="005F4A7E" w:rsidP="00130D1C">
            <w:pPr>
              <w:pStyle w:val="ARfintablebodybold"/>
              <w:spacing w:before="20" w:after="16" w:line="228" w:lineRule="auto"/>
              <w:rPr>
                <w:sz w:val="15"/>
                <w:szCs w:val="15"/>
              </w:rPr>
            </w:pPr>
            <w:r w:rsidRPr="00C340B4">
              <w:rPr>
                <w:sz w:val="15"/>
                <w:szCs w:val="15"/>
              </w:rPr>
              <w:t>Net result</w:t>
            </w:r>
          </w:p>
        </w:tc>
        <w:tc>
          <w:tcPr>
            <w:tcW w:w="938" w:type="dxa"/>
            <w:noWrap/>
            <w:hideMark/>
          </w:tcPr>
          <w:p w14:paraId="74470181"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223.8</w:t>
            </w:r>
          </w:p>
        </w:tc>
        <w:tc>
          <w:tcPr>
            <w:tcW w:w="737" w:type="dxa"/>
            <w:noWrap/>
            <w:hideMark/>
          </w:tcPr>
          <w:p w14:paraId="6311B31D"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31.4</w:t>
            </w:r>
          </w:p>
        </w:tc>
        <w:tc>
          <w:tcPr>
            <w:tcW w:w="598" w:type="dxa"/>
            <w:noWrap/>
            <w:hideMark/>
          </w:tcPr>
          <w:p w14:paraId="3911461D"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41.7</w:t>
            </w:r>
          </w:p>
        </w:tc>
        <w:tc>
          <w:tcPr>
            <w:tcW w:w="709" w:type="dxa"/>
            <w:noWrap/>
            <w:hideMark/>
          </w:tcPr>
          <w:p w14:paraId="66BB938F"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51.4</w:t>
            </w:r>
          </w:p>
        </w:tc>
        <w:tc>
          <w:tcPr>
            <w:tcW w:w="757" w:type="dxa"/>
            <w:noWrap/>
            <w:hideMark/>
          </w:tcPr>
          <w:p w14:paraId="4518CAA9"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33.9</w:t>
            </w:r>
          </w:p>
        </w:tc>
        <w:tc>
          <w:tcPr>
            <w:tcW w:w="639" w:type="dxa"/>
            <w:noWrap/>
            <w:hideMark/>
          </w:tcPr>
          <w:p w14:paraId="63239CF2"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46.9</w:t>
            </w:r>
          </w:p>
        </w:tc>
        <w:tc>
          <w:tcPr>
            <w:tcW w:w="708" w:type="dxa"/>
            <w:noWrap/>
            <w:hideMark/>
          </w:tcPr>
          <w:p w14:paraId="6848CACD"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(52.0)</w:t>
            </w:r>
          </w:p>
        </w:tc>
        <w:tc>
          <w:tcPr>
            <w:tcW w:w="708" w:type="dxa"/>
            <w:noWrap/>
            <w:hideMark/>
          </w:tcPr>
          <w:p w14:paraId="4B9900F9"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5.0</w:t>
            </w:r>
          </w:p>
        </w:tc>
        <w:tc>
          <w:tcPr>
            <w:tcW w:w="749" w:type="dxa"/>
            <w:noWrap/>
            <w:hideMark/>
          </w:tcPr>
          <w:p w14:paraId="47C73CE1"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2.8</w:t>
            </w:r>
          </w:p>
        </w:tc>
        <w:tc>
          <w:tcPr>
            <w:tcW w:w="738" w:type="dxa"/>
            <w:noWrap/>
            <w:hideMark/>
          </w:tcPr>
          <w:p w14:paraId="41775735"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1.9</w:t>
            </w:r>
          </w:p>
        </w:tc>
        <w:tc>
          <w:tcPr>
            <w:tcW w:w="738" w:type="dxa"/>
            <w:noWrap/>
            <w:hideMark/>
          </w:tcPr>
          <w:p w14:paraId="1A59736F"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(0.3)</w:t>
            </w:r>
          </w:p>
        </w:tc>
        <w:tc>
          <w:tcPr>
            <w:tcW w:w="738" w:type="dxa"/>
            <w:noWrap/>
            <w:hideMark/>
          </w:tcPr>
          <w:p w14:paraId="74AE215E"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3.5</w:t>
            </w:r>
          </w:p>
        </w:tc>
        <w:tc>
          <w:tcPr>
            <w:tcW w:w="590" w:type="dxa"/>
            <w:noWrap/>
            <w:hideMark/>
          </w:tcPr>
          <w:p w14:paraId="57430E41"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(19.9)</w:t>
            </w:r>
          </w:p>
        </w:tc>
        <w:tc>
          <w:tcPr>
            <w:tcW w:w="737" w:type="dxa"/>
            <w:noWrap/>
            <w:hideMark/>
          </w:tcPr>
          <w:p w14:paraId="4286BE3D"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144.6</w:t>
            </w:r>
          </w:p>
        </w:tc>
        <w:tc>
          <w:tcPr>
            <w:tcW w:w="738" w:type="dxa"/>
            <w:noWrap/>
            <w:hideMark/>
          </w:tcPr>
          <w:p w14:paraId="463CEFD8"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(0.6)</w:t>
            </w:r>
          </w:p>
        </w:tc>
        <w:tc>
          <w:tcPr>
            <w:tcW w:w="590" w:type="dxa"/>
            <w:noWrap/>
            <w:hideMark/>
          </w:tcPr>
          <w:p w14:paraId="2ACA0876"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w:t>
            </w:r>
          </w:p>
        </w:tc>
        <w:tc>
          <w:tcPr>
            <w:tcW w:w="744" w:type="dxa"/>
            <w:noWrap/>
            <w:hideMark/>
          </w:tcPr>
          <w:p w14:paraId="23B36C4A"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513.9</w:t>
            </w:r>
          </w:p>
        </w:tc>
      </w:tr>
    </w:tbl>
    <w:p w14:paraId="0DBE4471" w14:textId="77777777" w:rsidR="005F4A7E" w:rsidRPr="00F6698E" w:rsidRDefault="005F4A7E" w:rsidP="00130D1C">
      <w:pPr>
        <w:pStyle w:val="ARfintablefootnote"/>
        <w:spacing w:before="20" w:after="20"/>
        <w:rPr>
          <w:sz w:val="14"/>
        </w:rPr>
      </w:pPr>
      <w:r w:rsidRPr="00F6698E">
        <w:rPr>
          <w:sz w:val="14"/>
        </w:rPr>
        <w:t>Note:</w:t>
      </w:r>
    </w:p>
    <w:p w14:paraId="57545B2C" w14:textId="77777777" w:rsidR="005F4A7E" w:rsidRPr="00F6698E" w:rsidRDefault="005F4A7E" w:rsidP="00130D1C">
      <w:pPr>
        <w:pStyle w:val="ARfintablefootnoteindent"/>
        <w:spacing w:before="20" w:after="20"/>
        <w:rPr>
          <w:sz w:val="14"/>
        </w:rPr>
      </w:pPr>
      <w:r w:rsidRPr="00F6698E">
        <w:rPr>
          <w:sz w:val="14"/>
        </w:rPr>
        <w:t>(i)</w:t>
      </w:r>
      <w:r w:rsidRPr="00F6698E">
        <w:rPr>
          <w:sz w:val="14"/>
        </w:rPr>
        <w:tab/>
        <w:t>Refer to Note 4.1.1 for output definitions.</w:t>
      </w:r>
    </w:p>
    <w:tbl>
      <w:tblPr>
        <w:tblStyle w:val="TableGrid"/>
        <w:tblW w:w="14459" w:type="dxa"/>
        <w:tblLayout w:type="fixed"/>
        <w:tblCellMar>
          <w:right w:w="0" w:type="dxa"/>
        </w:tblCellMar>
        <w:tblLook w:val="06A0" w:firstRow="1" w:lastRow="0" w:firstColumn="1" w:lastColumn="0" w:noHBand="1" w:noVBand="1"/>
      </w:tblPr>
      <w:tblGrid>
        <w:gridCol w:w="2303"/>
        <w:gridCol w:w="938"/>
        <w:gridCol w:w="737"/>
        <w:gridCol w:w="598"/>
        <w:gridCol w:w="709"/>
        <w:gridCol w:w="757"/>
        <w:gridCol w:w="639"/>
        <w:gridCol w:w="708"/>
        <w:gridCol w:w="708"/>
        <w:gridCol w:w="749"/>
        <w:gridCol w:w="738"/>
        <w:gridCol w:w="738"/>
        <w:gridCol w:w="738"/>
        <w:gridCol w:w="590"/>
        <w:gridCol w:w="737"/>
        <w:gridCol w:w="738"/>
        <w:gridCol w:w="590"/>
        <w:gridCol w:w="744"/>
      </w:tblGrid>
      <w:tr w:rsidR="005F4A7E" w:rsidRPr="00624A63" w14:paraId="3B5A33D3" w14:textId="77777777" w:rsidTr="00130D1C">
        <w:trPr>
          <w:cnfStyle w:val="100000000000" w:firstRow="1" w:lastRow="0" w:firstColumn="0" w:lastColumn="0" w:oddVBand="0" w:evenVBand="0" w:oddHBand="0" w:evenHBand="0" w:firstRowFirstColumn="0" w:firstRowLastColumn="0" w:lastRowFirstColumn="0" w:lastRowLastColumn="0"/>
          <w:trHeight w:val="170"/>
          <w:tblHeader/>
        </w:trPr>
        <w:tc>
          <w:tcPr>
            <w:tcW w:w="2303" w:type="dxa"/>
            <w:tcBorders>
              <w:bottom w:val="single" w:sz="4" w:space="0" w:color="auto"/>
            </w:tcBorders>
            <w:hideMark/>
          </w:tcPr>
          <w:p w14:paraId="5A3A82B2" w14:textId="77777777" w:rsidR="005F4A7E" w:rsidRPr="00C340B4" w:rsidRDefault="005F4A7E" w:rsidP="00130D1C">
            <w:pPr>
              <w:pStyle w:val="ARfintablecolhead"/>
              <w:spacing w:before="20" w:after="16" w:line="228" w:lineRule="auto"/>
              <w:ind w:right="0"/>
              <w:rPr>
                <w:sz w:val="15"/>
                <w:szCs w:val="15"/>
              </w:rPr>
            </w:pPr>
            <w:bookmarkStart w:id="858" w:name="_Toc39136710"/>
            <w:bookmarkStart w:id="859" w:name="_Toc39242141"/>
            <w:r w:rsidRPr="00C340B4">
              <w:rPr>
                <w:sz w:val="15"/>
                <w:szCs w:val="15"/>
              </w:rPr>
              <w:lastRenderedPageBreak/>
              <w:t>Year ended 30 June 2020</w:t>
            </w:r>
          </w:p>
          <w:p w14:paraId="11B4CD18" w14:textId="77777777" w:rsidR="005F4A7E" w:rsidRPr="00C340B4" w:rsidRDefault="005F4A7E" w:rsidP="00130D1C">
            <w:pPr>
              <w:pStyle w:val="ARfintablecolhead"/>
              <w:spacing w:before="20" w:after="16" w:line="228" w:lineRule="auto"/>
              <w:ind w:right="0"/>
              <w:rPr>
                <w:sz w:val="15"/>
                <w:szCs w:val="15"/>
              </w:rPr>
            </w:pPr>
            <w:r w:rsidRPr="00C340B4">
              <w:rPr>
                <w:sz w:val="15"/>
                <w:szCs w:val="15"/>
              </w:rPr>
              <w:t xml:space="preserve">Output group </w:t>
            </w:r>
            <w:r w:rsidRPr="00C340B4">
              <w:rPr>
                <w:rStyle w:val="Superscript"/>
                <w:sz w:val="15"/>
                <w:szCs w:val="15"/>
              </w:rPr>
              <w:t>(i)</w:t>
            </w:r>
          </w:p>
        </w:tc>
        <w:tc>
          <w:tcPr>
            <w:tcW w:w="938" w:type="dxa"/>
            <w:tcBorders>
              <w:bottom w:val="single" w:sz="4" w:space="0" w:color="auto"/>
            </w:tcBorders>
            <w:hideMark/>
          </w:tcPr>
          <w:p w14:paraId="602CD0CF"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1</w:t>
            </w:r>
          </w:p>
          <w:p w14:paraId="32536CCB"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$M</w:t>
            </w:r>
          </w:p>
        </w:tc>
        <w:tc>
          <w:tcPr>
            <w:tcW w:w="737" w:type="dxa"/>
            <w:tcBorders>
              <w:bottom w:val="single" w:sz="4" w:space="0" w:color="auto"/>
            </w:tcBorders>
            <w:hideMark/>
          </w:tcPr>
          <w:p w14:paraId="4581682F"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2</w:t>
            </w:r>
          </w:p>
          <w:p w14:paraId="1086B502"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$M</w:t>
            </w:r>
          </w:p>
        </w:tc>
        <w:tc>
          <w:tcPr>
            <w:tcW w:w="598" w:type="dxa"/>
            <w:tcBorders>
              <w:bottom w:val="single" w:sz="4" w:space="0" w:color="auto"/>
            </w:tcBorders>
            <w:hideMark/>
          </w:tcPr>
          <w:p w14:paraId="1ADAD0B7"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3</w:t>
            </w:r>
          </w:p>
          <w:p w14:paraId="5785BECA"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$M</w:t>
            </w:r>
          </w:p>
        </w:tc>
        <w:tc>
          <w:tcPr>
            <w:tcW w:w="709" w:type="dxa"/>
            <w:tcBorders>
              <w:bottom w:val="single" w:sz="4" w:space="0" w:color="auto"/>
            </w:tcBorders>
            <w:hideMark/>
          </w:tcPr>
          <w:p w14:paraId="40F54212"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4</w:t>
            </w:r>
          </w:p>
          <w:p w14:paraId="1BF47B97"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$M</w:t>
            </w:r>
          </w:p>
        </w:tc>
        <w:tc>
          <w:tcPr>
            <w:tcW w:w="757" w:type="dxa"/>
            <w:tcBorders>
              <w:bottom w:val="single" w:sz="4" w:space="0" w:color="auto"/>
            </w:tcBorders>
            <w:hideMark/>
          </w:tcPr>
          <w:p w14:paraId="0D361B89"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5</w:t>
            </w:r>
          </w:p>
          <w:p w14:paraId="6FCB1BC7"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$M</w:t>
            </w:r>
          </w:p>
        </w:tc>
        <w:tc>
          <w:tcPr>
            <w:tcW w:w="639" w:type="dxa"/>
            <w:tcBorders>
              <w:bottom w:val="single" w:sz="4" w:space="0" w:color="auto"/>
            </w:tcBorders>
            <w:hideMark/>
          </w:tcPr>
          <w:p w14:paraId="5DF5864B"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6</w:t>
            </w:r>
          </w:p>
          <w:p w14:paraId="2F2DE5C1"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$M</w:t>
            </w:r>
          </w:p>
        </w:tc>
        <w:tc>
          <w:tcPr>
            <w:tcW w:w="708" w:type="dxa"/>
            <w:tcBorders>
              <w:bottom w:val="single" w:sz="4" w:space="0" w:color="auto"/>
            </w:tcBorders>
            <w:hideMark/>
          </w:tcPr>
          <w:p w14:paraId="0ED3F648"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7</w:t>
            </w:r>
          </w:p>
          <w:p w14:paraId="749BE179"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$M</w:t>
            </w:r>
          </w:p>
        </w:tc>
        <w:tc>
          <w:tcPr>
            <w:tcW w:w="708" w:type="dxa"/>
            <w:tcBorders>
              <w:bottom w:val="single" w:sz="4" w:space="0" w:color="auto"/>
            </w:tcBorders>
            <w:hideMark/>
          </w:tcPr>
          <w:p w14:paraId="1B25DD70"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8</w:t>
            </w:r>
          </w:p>
          <w:p w14:paraId="16ACDC8B"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$M</w:t>
            </w:r>
          </w:p>
        </w:tc>
        <w:tc>
          <w:tcPr>
            <w:tcW w:w="749" w:type="dxa"/>
            <w:tcBorders>
              <w:bottom w:val="single" w:sz="4" w:space="0" w:color="auto"/>
            </w:tcBorders>
            <w:hideMark/>
          </w:tcPr>
          <w:p w14:paraId="00958596"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9</w:t>
            </w:r>
          </w:p>
          <w:p w14:paraId="03326ABE"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$M</w:t>
            </w:r>
          </w:p>
        </w:tc>
        <w:tc>
          <w:tcPr>
            <w:tcW w:w="738" w:type="dxa"/>
            <w:tcBorders>
              <w:bottom w:val="single" w:sz="4" w:space="0" w:color="auto"/>
            </w:tcBorders>
            <w:hideMark/>
          </w:tcPr>
          <w:p w14:paraId="4035A4AF"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10</w:t>
            </w:r>
          </w:p>
          <w:p w14:paraId="64FBB29C"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$M</w:t>
            </w:r>
          </w:p>
        </w:tc>
        <w:tc>
          <w:tcPr>
            <w:tcW w:w="738" w:type="dxa"/>
            <w:tcBorders>
              <w:bottom w:val="single" w:sz="4" w:space="0" w:color="auto"/>
            </w:tcBorders>
            <w:hideMark/>
          </w:tcPr>
          <w:p w14:paraId="270004E2"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11</w:t>
            </w:r>
          </w:p>
          <w:p w14:paraId="46C80F65"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$M</w:t>
            </w:r>
          </w:p>
        </w:tc>
        <w:tc>
          <w:tcPr>
            <w:tcW w:w="738" w:type="dxa"/>
            <w:tcBorders>
              <w:bottom w:val="single" w:sz="4" w:space="0" w:color="auto"/>
            </w:tcBorders>
            <w:hideMark/>
          </w:tcPr>
          <w:p w14:paraId="04035F80"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12</w:t>
            </w:r>
          </w:p>
          <w:p w14:paraId="107361C2"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$M</w:t>
            </w:r>
          </w:p>
        </w:tc>
        <w:tc>
          <w:tcPr>
            <w:tcW w:w="590" w:type="dxa"/>
            <w:tcBorders>
              <w:bottom w:val="single" w:sz="4" w:space="0" w:color="auto"/>
            </w:tcBorders>
            <w:hideMark/>
          </w:tcPr>
          <w:p w14:paraId="357A020E"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13</w:t>
            </w:r>
          </w:p>
          <w:p w14:paraId="24AD9DDE"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$M</w:t>
            </w:r>
          </w:p>
        </w:tc>
        <w:tc>
          <w:tcPr>
            <w:tcW w:w="737" w:type="dxa"/>
            <w:tcBorders>
              <w:bottom w:val="single" w:sz="4" w:space="0" w:color="auto"/>
            </w:tcBorders>
            <w:hideMark/>
          </w:tcPr>
          <w:p w14:paraId="338E0BC4"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14</w:t>
            </w:r>
          </w:p>
          <w:p w14:paraId="6B6627EE"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$M</w:t>
            </w:r>
          </w:p>
        </w:tc>
        <w:tc>
          <w:tcPr>
            <w:tcW w:w="738" w:type="dxa"/>
            <w:tcBorders>
              <w:bottom w:val="single" w:sz="4" w:space="0" w:color="auto"/>
            </w:tcBorders>
            <w:hideMark/>
          </w:tcPr>
          <w:p w14:paraId="4916CB79"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15</w:t>
            </w:r>
          </w:p>
          <w:p w14:paraId="0A88BE19"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$M</w:t>
            </w:r>
          </w:p>
        </w:tc>
        <w:tc>
          <w:tcPr>
            <w:tcW w:w="590" w:type="dxa"/>
            <w:tcBorders>
              <w:bottom w:val="single" w:sz="4" w:space="0" w:color="auto"/>
            </w:tcBorders>
            <w:hideMark/>
          </w:tcPr>
          <w:p w14:paraId="3AF17017"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Elimin-</w:t>
            </w:r>
            <w:r w:rsidRPr="00C340B4">
              <w:rPr>
                <w:sz w:val="15"/>
                <w:szCs w:val="15"/>
              </w:rPr>
              <w:br/>
              <w:t>ation</w:t>
            </w:r>
          </w:p>
          <w:p w14:paraId="5B66063C"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$M</w:t>
            </w:r>
          </w:p>
        </w:tc>
        <w:tc>
          <w:tcPr>
            <w:tcW w:w="744" w:type="dxa"/>
            <w:tcBorders>
              <w:bottom w:val="single" w:sz="4" w:space="0" w:color="auto"/>
            </w:tcBorders>
            <w:hideMark/>
          </w:tcPr>
          <w:p w14:paraId="740A0A81"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Total</w:t>
            </w:r>
          </w:p>
          <w:p w14:paraId="4041E77B" w14:textId="77777777" w:rsidR="005F4A7E" w:rsidRPr="00C340B4" w:rsidRDefault="005F4A7E" w:rsidP="00130D1C">
            <w:pPr>
              <w:pStyle w:val="ARfintablecolheadright"/>
              <w:spacing w:before="20" w:after="16" w:line="228" w:lineRule="auto"/>
              <w:ind w:right="0"/>
              <w:rPr>
                <w:sz w:val="15"/>
                <w:szCs w:val="15"/>
              </w:rPr>
            </w:pPr>
            <w:r w:rsidRPr="00C340B4">
              <w:rPr>
                <w:sz w:val="15"/>
                <w:szCs w:val="15"/>
              </w:rPr>
              <w:t>$M</w:t>
            </w:r>
          </w:p>
        </w:tc>
      </w:tr>
      <w:tr w:rsidR="005F4A7E" w:rsidRPr="00624A63" w14:paraId="4FC496A6" w14:textId="77777777" w:rsidTr="00130D1C">
        <w:trPr>
          <w:trHeight w:val="170"/>
        </w:trPr>
        <w:tc>
          <w:tcPr>
            <w:tcW w:w="14459" w:type="dxa"/>
            <w:gridSpan w:val="18"/>
            <w:tcBorders>
              <w:top w:val="single" w:sz="4" w:space="0" w:color="auto"/>
              <w:bottom w:val="single" w:sz="4" w:space="0" w:color="A6A6A6"/>
            </w:tcBorders>
            <w:hideMark/>
          </w:tcPr>
          <w:p w14:paraId="0E82ECD6" w14:textId="77777777" w:rsidR="005F4A7E" w:rsidRPr="00C340B4" w:rsidRDefault="005F4A7E" w:rsidP="00130D1C">
            <w:pPr>
              <w:pStyle w:val="ARfintablebodybold"/>
              <w:spacing w:before="20" w:after="16" w:line="228" w:lineRule="auto"/>
              <w:ind w:right="0"/>
              <w:rPr>
                <w:sz w:val="15"/>
                <w:szCs w:val="15"/>
              </w:rPr>
            </w:pPr>
            <w:r w:rsidRPr="00C340B4">
              <w:rPr>
                <w:sz w:val="15"/>
                <w:szCs w:val="15"/>
              </w:rPr>
              <w:t>Income from transactions</w:t>
            </w:r>
          </w:p>
        </w:tc>
      </w:tr>
      <w:tr w:rsidR="005F4A7E" w:rsidRPr="00624A63" w14:paraId="50C60B65" w14:textId="77777777" w:rsidTr="00130D1C">
        <w:trPr>
          <w:trHeight w:val="170"/>
        </w:trPr>
        <w:tc>
          <w:tcPr>
            <w:tcW w:w="2303" w:type="dxa"/>
            <w:tcBorders>
              <w:top w:val="single" w:sz="4" w:space="0" w:color="A6A6A6"/>
              <w:bottom w:val="single" w:sz="4" w:space="0" w:color="A6A6A6"/>
            </w:tcBorders>
            <w:hideMark/>
          </w:tcPr>
          <w:p w14:paraId="43D42E07" w14:textId="77777777" w:rsidR="005F4A7E" w:rsidRPr="00C340B4" w:rsidRDefault="005F4A7E" w:rsidP="00130D1C">
            <w:pPr>
              <w:pStyle w:val="ARfintablebody"/>
              <w:spacing w:before="20" w:after="16" w:line="228" w:lineRule="auto"/>
              <w:ind w:right="0"/>
              <w:rPr>
                <w:sz w:val="15"/>
                <w:szCs w:val="15"/>
              </w:rPr>
            </w:pPr>
            <w:r w:rsidRPr="00C340B4">
              <w:rPr>
                <w:sz w:val="15"/>
                <w:szCs w:val="15"/>
              </w:rPr>
              <w:t>Output appropriations</w:t>
            </w:r>
          </w:p>
        </w:tc>
        <w:tc>
          <w:tcPr>
            <w:tcW w:w="938" w:type="dxa"/>
            <w:tcBorders>
              <w:top w:val="single" w:sz="4" w:space="0" w:color="A6A6A6"/>
              <w:bottom w:val="single" w:sz="4" w:space="0" w:color="A6A6A6"/>
            </w:tcBorders>
            <w:noWrap/>
            <w:hideMark/>
          </w:tcPr>
          <w:p w14:paraId="3DF6A693" w14:textId="77777777" w:rsidR="005F4A7E" w:rsidRPr="00C340B4" w:rsidRDefault="005F4A7E" w:rsidP="00130D1C">
            <w:pPr>
              <w:pStyle w:val="ARfintablebodyright"/>
              <w:spacing w:before="20" w:after="16" w:line="228" w:lineRule="auto"/>
              <w:ind w:right="0"/>
              <w:rPr>
                <w:sz w:val="15"/>
                <w:szCs w:val="15"/>
              </w:rPr>
            </w:pPr>
            <w:r>
              <w:rPr>
                <w:sz w:val="15"/>
                <w:szCs w:val="15"/>
              </w:rPr>
              <w:t>8,305.1</w:t>
            </w:r>
          </w:p>
        </w:tc>
        <w:tc>
          <w:tcPr>
            <w:tcW w:w="737" w:type="dxa"/>
            <w:tcBorders>
              <w:top w:val="single" w:sz="4" w:space="0" w:color="A6A6A6"/>
              <w:bottom w:val="single" w:sz="4" w:space="0" w:color="A6A6A6"/>
            </w:tcBorders>
            <w:noWrap/>
            <w:hideMark/>
          </w:tcPr>
          <w:p w14:paraId="3A611BB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854.5</w:t>
            </w:r>
          </w:p>
        </w:tc>
        <w:tc>
          <w:tcPr>
            <w:tcW w:w="598" w:type="dxa"/>
            <w:tcBorders>
              <w:top w:val="single" w:sz="4" w:space="0" w:color="A6A6A6"/>
              <w:bottom w:val="single" w:sz="4" w:space="0" w:color="A6A6A6"/>
            </w:tcBorders>
            <w:noWrap/>
            <w:hideMark/>
          </w:tcPr>
          <w:p w14:paraId="3A6FF0F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1,142.7</w:t>
            </w:r>
          </w:p>
        </w:tc>
        <w:tc>
          <w:tcPr>
            <w:tcW w:w="709" w:type="dxa"/>
            <w:tcBorders>
              <w:top w:val="single" w:sz="4" w:space="0" w:color="A6A6A6"/>
              <w:bottom w:val="single" w:sz="4" w:space="0" w:color="A6A6A6"/>
            </w:tcBorders>
            <w:noWrap/>
            <w:hideMark/>
          </w:tcPr>
          <w:p w14:paraId="737B7516"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536.3</w:t>
            </w:r>
          </w:p>
        </w:tc>
        <w:tc>
          <w:tcPr>
            <w:tcW w:w="757" w:type="dxa"/>
            <w:tcBorders>
              <w:top w:val="single" w:sz="4" w:space="0" w:color="A6A6A6"/>
              <w:bottom w:val="single" w:sz="4" w:space="0" w:color="A6A6A6"/>
            </w:tcBorders>
            <w:noWrap/>
            <w:hideMark/>
          </w:tcPr>
          <w:p w14:paraId="6247D2E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618.3</w:t>
            </w:r>
          </w:p>
        </w:tc>
        <w:tc>
          <w:tcPr>
            <w:tcW w:w="639" w:type="dxa"/>
            <w:tcBorders>
              <w:top w:val="single" w:sz="4" w:space="0" w:color="A6A6A6"/>
              <w:bottom w:val="single" w:sz="4" w:space="0" w:color="A6A6A6"/>
            </w:tcBorders>
            <w:noWrap/>
            <w:hideMark/>
          </w:tcPr>
          <w:p w14:paraId="78723F14"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334.2</w:t>
            </w:r>
          </w:p>
        </w:tc>
        <w:tc>
          <w:tcPr>
            <w:tcW w:w="708" w:type="dxa"/>
            <w:tcBorders>
              <w:top w:val="single" w:sz="4" w:space="0" w:color="A6A6A6"/>
              <w:bottom w:val="single" w:sz="4" w:space="0" w:color="A6A6A6"/>
            </w:tcBorders>
            <w:noWrap/>
            <w:hideMark/>
          </w:tcPr>
          <w:p w14:paraId="51EAE2B1"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335.7</w:t>
            </w:r>
          </w:p>
        </w:tc>
        <w:tc>
          <w:tcPr>
            <w:tcW w:w="708" w:type="dxa"/>
            <w:tcBorders>
              <w:top w:val="single" w:sz="4" w:space="0" w:color="A6A6A6"/>
              <w:bottom w:val="single" w:sz="4" w:space="0" w:color="A6A6A6"/>
            </w:tcBorders>
            <w:noWrap/>
            <w:hideMark/>
          </w:tcPr>
          <w:p w14:paraId="3B078707"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173.8</w:t>
            </w:r>
          </w:p>
        </w:tc>
        <w:tc>
          <w:tcPr>
            <w:tcW w:w="749" w:type="dxa"/>
            <w:tcBorders>
              <w:top w:val="single" w:sz="4" w:space="0" w:color="A6A6A6"/>
              <w:bottom w:val="single" w:sz="4" w:space="0" w:color="A6A6A6"/>
            </w:tcBorders>
            <w:noWrap/>
            <w:hideMark/>
          </w:tcPr>
          <w:p w14:paraId="2AD3F282"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2,056.2</w:t>
            </w:r>
          </w:p>
        </w:tc>
        <w:tc>
          <w:tcPr>
            <w:tcW w:w="738" w:type="dxa"/>
            <w:tcBorders>
              <w:top w:val="single" w:sz="4" w:space="0" w:color="A6A6A6"/>
              <w:bottom w:val="single" w:sz="4" w:space="0" w:color="A6A6A6"/>
            </w:tcBorders>
            <w:noWrap/>
            <w:hideMark/>
          </w:tcPr>
          <w:p w14:paraId="200B2C56"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1,505.5</w:t>
            </w:r>
          </w:p>
        </w:tc>
        <w:tc>
          <w:tcPr>
            <w:tcW w:w="738" w:type="dxa"/>
            <w:tcBorders>
              <w:top w:val="single" w:sz="4" w:space="0" w:color="A6A6A6"/>
              <w:bottom w:val="single" w:sz="4" w:space="0" w:color="A6A6A6"/>
            </w:tcBorders>
            <w:noWrap/>
            <w:hideMark/>
          </w:tcPr>
          <w:p w14:paraId="67B0A12D"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752.8</w:t>
            </w:r>
          </w:p>
        </w:tc>
        <w:tc>
          <w:tcPr>
            <w:tcW w:w="738" w:type="dxa"/>
            <w:tcBorders>
              <w:top w:val="single" w:sz="4" w:space="0" w:color="A6A6A6"/>
              <w:bottom w:val="single" w:sz="4" w:space="0" w:color="A6A6A6"/>
            </w:tcBorders>
            <w:noWrap/>
            <w:hideMark/>
          </w:tcPr>
          <w:p w14:paraId="7E24358D"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61.9</w:t>
            </w:r>
          </w:p>
        </w:tc>
        <w:tc>
          <w:tcPr>
            <w:tcW w:w="590" w:type="dxa"/>
            <w:tcBorders>
              <w:top w:val="single" w:sz="4" w:space="0" w:color="A6A6A6"/>
              <w:bottom w:val="single" w:sz="4" w:space="0" w:color="A6A6A6"/>
            </w:tcBorders>
            <w:noWrap/>
            <w:hideMark/>
          </w:tcPr>
          <w:p w14:paraId="4E276C3D" w14:textId="77777777" w:rsidR="005F4A7E" w:rsidRPr="00C340B4" w:rsidRDefault="005F4A7E" w:rsidP="00130D1C">
            <w:pPr>
              <w:pStyle w:val="ARfintablebodyright"/>
              <w:spacing w:before="20" w:after="16" w:line="228" w:lineRule="auto"/>
              <w:ind w:right="0"/>
              <w:rPr>
                <w:sz w:val="15"/>
                <w:szCs w:val="15"/>
              </w:rPr>
            </w:pPr>
            <w:r>
              <w:rPr>
                <w:sz w:val="15"/>
                <w:szCs w:val="15"/>
              </w:rPr>
              <w:t>276.7</w:t>
            </w:r>
          </w:p>
        </w:tc>
        <w:tc>
          <w:tcPr>
            <w:tcW w:w="737" w:type="dxa"/>
            <w:tcBorders>
              <w:top w:val="single" w:sz="4" w:space="0" w:color="A6A6A6"/>
              <w:bottom w:val="single" w:sz="4" w:space="0" w:color="A6A6A6"/>
            </w:tcBorders>
            <w:noWrap/>
            <w:hideMark/>
          </w:tcPr>
          <w:p w14:paraId="5970507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646.2</w:t>
            </w:r>
          </w:p>
        </w:tc>
        <w:tc>
          <w:tcPr>
            <w:tcW w:w="738" w:type="dxa"/>
            <w:tcBorders>
              <w:top w:val="single" w:sz="4" w:space="0" w:color="A6A6A6"/>
              <w:bottom w:val="single" w:sz="4" w:space="0" w:color="A6A6A6"/>
            </w:tcBorders>
            <w:noWrap/>
            <w:hideMark/>
          </w:tcPr>
          <w:p w14:paraId="44CC3CE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6A482E12"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6E1C5A6D"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17,600.0</w:t>
            </w:r>
          </w:p>
        </w:tc>
      </w:tr>
      <w:tr w:rsidR="005F4A7E" w:rsidRPr="00624A63" w14:paraId="4F983336" w14:textId="77777777" w:rsidTr="00130D1C">
        <w:trPr>
          <w:trHeight w:val="170"/>
        </w:trPr>
        <w:tc>
          <w:tcPr>
            <w:tcW w:w="2303" w:type="dxa"/>
            <w:tcBorders>
              <w:top w:val="single" w:sz="4" w:space="0" w:color="A6A6A6"/>
              <w:bottom w:val="single" w:sz="4" w:space="0" w:color="A6A6A6"/>
            </w:tcBorders>
            <w:hideMark/>
          </w:tcPr>
          <w:p w14:paraId="58B00F03" w14:textId="77777777" w:rsidR="005F4A7E" w:rsidRPr="00C340B4" w:rsidRDefault="005F4A7E" w:rsidP="00130D1C">
            <w:pPr>
              <w:pStyle w:val="ARfintablebody"/>
              <w:spacing w:before="20" w:after="16" w:line="228" w:lineRule="auto"/>
              <w:ind w:right="0"/>
              <w:rPr>
                <w:sz w:val="15"/>
                <w:szCs w:val="15"/>
              </w:rPr>
            </w:pPr>
            <w:r w:rsidRPr="00C340B4">
              <w:rPr>
                <w:sz w:val="15"/>
                <w:szCs w:val="15"/>
              </w:rPr>
              <w:t>Special appropriations</w:t>
            </w:r>
          </w:p>
        </w:tc>
        <w:tc>
          <w:tcPr>
            <w:tcW w:w="938" w:type="dxa"/>
            <w:tcBorders>
              <w:top w:val="single" w:sz="4" w:space="0" w:color="A6A6A6"/>
              <w:bottom w:val="single" w:sz="4" w:space="0" w:color="A6A6A6"/>
            </w:tcBorders>
            <w:noWrap/>
            <w:hideMark/>
          </w:tcPr>
          <w:p w14:paraId="753CC073" w14:textId="77777777" w:rsidR="005F4A7E" w:rsidRPr="00C340B4" w:rsidRDefault="005F4A7E" w:rsidP="00130D1C">
            <w:pPr>
              <w:pStyle w:val="ARfintablebodyright"/>
              <w:spacing w:before="20" w:after="16" w:line="228" w:lineRule="auto"/>
              <w:ind w:right="0"/>
              <w:rPr>
                <w:sz w:val="15"/>
                <w:szCs w:val="15"/>
              </w:rPr>
            </w:pPr>
            <w:r>
              <w:rPr>
                <w:sz w:val="15"/>
                <w:szCs w:val="15"/>
              </w:rPr>
              <w:t>1,135.7</w:t>
            </w:r>
          </w:p>
        </w:tc>
        <w:tc>
          <w:tcPr>
            <w:tcW w:w="737" w:type="dxa"/>
            <w:tcBorders>
              <w:top w:val="single" w:sz="4" w:space="0" w:color="A6A6A6"/>
              <w:bottom w:val="single" w:sz="4" w:space="0" w:color="A6A6A6"/>
            </w:tcBorders>
            <w:noWrap/>
            <w:hideMark/>
          </w:tcPr>
          <w:p w14:paraId="36AFFE3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48.0</w:t>
            </w:r>
          </w:p>
        </w:tc>
        <w:tc>
          <w:tcPr>
            <w:tcW w:w="598" w:type="dxa"/>
            <w:tcBorders>
              <w:top w:val="single" w:sz="4" w:space="0" w:color="A6A6A6"/>
              <w:bottom w:val="single" w:sz="4" w:space="0" w:color="A6A6A6"/>
            </w:tcBorders>
            <w:noWrap/>
            <w:hideMark/>
          </w:tcPr>
          <w:p w14:paraId="18B8DA0E"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34.7</w:t>
            </w:r>
          </w:p>
        </w:tc>
        <w:tc>
          <w:tcPr>
            <w:tcW w:w="709" w:type="dxa"/>
            <w:tcBorders>
              <w:top w:val="single" w:sz="4" w:space="0" w:color="A6A6A6"/>
              <w:bottom w:val="single" w:sz="4" w:space="0" w:color="A6A6A6"/>
            </w:tcBorders>
            <w:noWrap/>
            <w:hideMark/>
          </w:tcPr>
          <w:p w14:paraId="0691FC8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20.4</w:t>
            </w:r>
          </w:p>
        </w:tc>
        <w:tc>
          <w:tcPr>
            <w:tcW w:w="757" w:type="dxa"/>
            <w:tcBorders>
              <w:top w:val="single" w:sz="4" w:space="0" w:color="A6A6A6"/>
              <w:bottom w:val="single" w:sz="4" w:space="0" w:color="A6A6A6"/>
            </w:tcBorders>
            <w:noWrap/>
            <w:hideMark/>
          </w:tcPr>
          <w:p w14:paraId="29920F7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39.9</w:t>
            </w:r>
          </w:p>
        </w:tc>
        <w:tc>
          <w:tcPr>
            <w:tcW w:w="639" w:type="dxa"/>
            <w:tcBorders>
              <w:top w:val="single" w:sz="4" w:space="0" w:color="A6A6A6"/>
              <w:bottom w:val="single" w:sz="4" w:space="0" w:color="A6A6A6"/>
            </w:tcBorders>
            <w:noWrap/>
            <w:hideMark/>
          </w:tcPr>
          <w:p w14:paraId="636890E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7.3</w:t>
            </w:r>
          </w:p>
        </w:tc>
        <w:tc>
          <w:tcPr>
            <w:tcW w:w="708" w:type="dxa"/>
            <w:tcBorders>
              <w:top w:val="single" w:sz="4" w:space="0" w:color="A6A6A6"/>
              <w:bottom w:val="single" w:sz="4" w:space="0" w:color="A6A6A6"/>
            </w:tcBorders>
            <w:noWrap/>
            <w:hideMark/>
          </w:tcPr>
          <w:p w14:paraId="3D8B3EF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10.8</w:t>
            </w:r>
          </w:p>
        </w:tc>
        <w:tc>
          <w:tcPr>
            <w:tcW w:w="708" w:type="dxa"/>
            <w:tcBorders>
              <w:top w:val="single" w:sz="4" w:space="0" w:color="A6A6A6"/>
              <w:bottom w:val="single" w:sz="4" w:space="0" w:color="A6A6A6"/>
            </w:tcBorders>
            <w:noWrap/>
            <w:hideMark/>
          </w:tcPr>
          <w:p w14:paraId="21FA5B4D"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6.3</w:t>
            </w:r>
          </w:p>
        </w:tc>
        <w:tc>
          <w:tcPr>
            <w:tcW w:w="749" w:type="dxa"/>
            <w:tcBorders>
              <w:top w:val="single" w:sz="4" w:space="0" w:color="A6A6A6"/>
              <w:bottom w:val="single" w:sz="4" w:space="0" w:color="A6A6A6"/>
            </w:tcBorders>
            <w:noWrap/>
            <w:hideMark/>
          </w:tcPr>
          <w:p w14:paraId="1C8D51D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68.8</w:t>
            </w:r>
          </w:p>
        </w:tc>
        <w:tc>
          <w:tcPr>
            <w:tcW w:w="738" w:type="dxa"/>
            <w:tcBorders>
              <w:top w:val="single" w:sz="4" w:space="0" w:color="A6A6A6"/>
              <w:bottom w:val="single" w:sz="4" w:space="0" w:color="A6A6A6"/>
            </w:tcBorders>
            <w:noWrap/>
            <w:hideMark/>
          </w:tcPr>
          <w:p w14:paraId="7489A02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5ED1424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1CE92086"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36917006"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04836AA1"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409E4ACD"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13A869AD"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3EEAC51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1,371.9</w:t>
            </w:r>
          </w:p>
        </w:tc>
      </w:tr>
      <w:tr w:rsidR="005F4A7E" w:rsidRPr="00624A63" w14:paraId="336405CF" w14:textId="77777777" w:rsidTr="00130D1C">
        <w:trPr>
          <w:trHeight w:val="170"/>
        </w:trPr>
        <w:tc>
          <w:tcPr>
            <w:tcW w:w="2303" w:type="dxa"/>
            <w:tcBorders>
              <w:top w:val="single" w:sz="4" w:space="0" w:color="A6A6A6"/>
              <w:bottom w:val="single" w:sz="4" w:space="0" w:color="A6A6A6"/>
            </w:tcBorders>
            <w:hideMark/>
          </w:tcPr>
          <w:p w14:paraId="1CF1845F" w14:textId="77777777" w:rsidR="005F4A7E" w:rsidRPr="00C340B4" w:rsidRDefault="005F4A7E" w:rsidP="00130D1C">
            <w:pPr>
              <w:pStyle w:val="ARfintablebody"/>
              <w:spacing w:before="20" w:after="16" w:line="228" w:lineRule="auto"/>
              <w:ind w:right="0"/>
              <w:rPr>
                <w:sz w:val="15"/>
                <w:szCs w:val="15"/>
              </w:rPr>
            </w:pPr>
            <w:r w:rsidRPr="00C340B4">
              <w:rPr>
                <w:sz w:val="15"/>
                <w:szCs w:val="15"/>
              </w:rPr>
              <w:t>Interest income</w:t>
            </w:r>
          </w:p>
        </w:tc>
        <w:tc>
          <w:tcPr>
            <w:tcW w:w="938" w:type="dxa"/>
            <w:tcBorders>
              <w:top w:val="single" w:sz="4" w:space="0" w:color="A6A6A6"/>
              <w:bottom w:val="single" w:sz="4" w:space="0" w:color="A6A6A6"/>
            </w:tcBorders>
            <w:noWrap/>
            <w:hideMark/>
          </w:tcPr>
          <w:p w14:paraId="786FFD9C"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7B61465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bottom w:val="single" w:sz="4" w:space="0" w:color="A6A6A6"/>
            </w:tcBorders>
            <w:noWrap/>
            <w:hideMark/>
          </w:tcPr>
          <w:p w14:paraId="5DD4CE2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9" w:type="dxa"/>
            <w:tcBorders>
              <w:top w:val="single" w:sz="4" w:space="0" w:color="A6A6A6"/>
              <w:bottom w:val="single" w:sz="4" w:space="0" w:color="A6A6A6"/>
            </w:tcBorders>
            <w:noWrap/>
            <w:hideMark/>
          </w:tcPr>
          <w:p w14:paraId="47F47CF6"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57" w:type="dxa"/>
            <w:tcBorders>
              <w:top w:val="single" w:sz="4" w:space="0" w:color="A6A6A6"/>
              <w:bottom w:val="single" w:sz="4" w:space="0" w:color="A6A6A6"/>
            </w:tcBorders>
            <w:noWrap/>
            <w:hideMark/>
          </w:tcPr>
          <w:p w14:paraId="096AD352"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639" w:type="dxa"/>
            <w:tcBorders>
              <w:top w:val="single" w:sz="4" w:space="0" w:color="A6A6A6"/>
              <w:bottom w:val="single" w:sz="4" w:space="0" w:color="A6A6A6"/>
            </w:tcBorders>
            <w:noWrap/>
            <w:hideMark/>
          </w:tcPr>
          <w:p w14:paraId="62399E1E"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5773E0F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138ACF3C"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9" w:type="dxa"/>
            <w:tcBorders>
              <w:top w:val="single" w:sz="4" w:space="0" w:color="A6A6A6"/>
              <w:bottom w:val="single" w:sz="4" w:space="0" w:color="A6A6A6"/>
            </w:tcBorders>
            <w:noWrap/>
            <w:hideMark/>
          </w:tcPr>
          <w:p w14:paraId="4F3CE04D"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6D75C9F4"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5AD189A1"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3399C63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2D563F4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60C6D7C4"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6.9</w:t>
            </w:r>
          </w:p>
        </w:tc>
        <w:tc>
          <w:tcPr>
            <w:tcW w:w="738" w:type="dxa"/>
            <w:tcBorders>
              <w:top w:val="single" w:sz="4" w:space="0" w:color="A6A6A6"/>
              <w:bottom w:val="single" w:sz="4" w:space="0" w:color="A6A6A6"/>
            </w:tcBorders>
            <w:noWrap/>
            <w:hideMark/>
          </w:tcPr>
          <w:p w14:paraId="47506AE5"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7321B43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6F0BD12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6.9</w:t>
            </w:r>
          </w:p>
        </w:tc>
      </w:tr>
      <w:tr w:rsidR="005F4A7E" w:rsidRPr="00624A63" w14:paraId="0ED4A9CD" w14:textId="77777777" w:rsidTr="00130D1C">
        <w:trPr>
          <w:trHeight w:val="170"/>
        </w:trPr>
        <w:tc>
          <w:tcPr>
            <w:tcW w:w="2303" w:type="dxa"/>
            <w:tcBorders>
              <w:top w:val="single" w:sz="4" w:space="0" w:color="A6A6A6"/>
              <w:bottom w:val="single" w:sz="4" w:space="0" w:color="A6A6A6"/>
            </w:tcBorders>
            <w:hideMark/>
          </w:tcPr>
          <w:p w14:paraId="1F3FB00A" w14:textId="77777777" w:rsidR="005F4A7E" w:rsidRPr="00C340B4" w:rsidRDefault="005F4A7E" w:rsidP="00130D1C">
            <w:pPr>
              <w:pStyle w:val="ARfintablebody"/>
              <w:spacing w:before="20" w:after="16" w:line="228" w:lineRule="auto"/>
              <w:ind w:right="0"/>
              <w:rPr>
                <w:sz w:val="15"/>
                <w:szCs w:val="15"/>
              </w:rPr>
            </w:pPr>
            <w:r w:rsidRPr="00C340B4">
              <w:rPr>
                <w:sz w:val="15"/>
                <w:szCs w:val="15"/>
              </w:rPr>
              <w:t>Rental income and income from services</w:t>
            </w:r>
          </w:p>
        </w:tc>
        <w:tc>
          <w:tcPr>
            <w:tcW w:w="938" w:type="dxa"/>
            <w:tcBorders>
              <w:top w:val="single" w:sz="4" w:space="0" w:color="A6A6A6"/>
              <w:bottom w:val="single" w:sz="4" w:space="0" w:color="A6A6A6"/>
            </w:tcBorders>
            <w:noWrap/>
            <w:hideMark/>
          </w:tcPr>
          <w:p w14:paraId="6951414D"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6D4326B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bottom w:val="single" w:sz="4" w:space="0" w:color="A6A6A6"/>
            </w:tcBorders>
            <w:noWrap/>
            <w:hideMark/>
          </w:tcPr>
          <w:p w14:paraId="44317BCC"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9" w:type="dxa"/>
            <w:tcBorders>
              <w:top w:val="single" w:sz="4" w:space="0" w:color="A6A6A6"/>
              <w:bottom w:val="single" w:sz="4" w:space="0" w:color="A6A6A6"/>
            </w:tcBorders>
            <w:noWrap/>
            <w:hideMark/>
          </w:tcPr>
          <w:p w14:paraId="39670CDD"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57" w:type="dxa"/>
            <w:tcBorders>
              <w:top w:val="single" w:sz="4" w:space="0" w:color="A6A6A6"/>
              <w:bottom w:val="single" w:sz="4" w:space="0" w:color="A6A6A6"/>
            </w:tcBorders>
            <w:noWrap/>
            <w:hideMark/>
          </w:tcPr>
          <w:p w14:paraId="4165464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639" w:type="dxa"/>
            <w:tcBorders>
              <w:top w:val="single" w:sz="4" w:space="0" w:color="A6A6A6"/>
              <w:bottom w:val="single" w:sz="4" w:space="0" w:color="A6A6A6"/>
            </w:tcBorders>
            <w:noWrap/>
            <w:hideMark/>
          </w:tcPr>
          <w:p w14:paraId="65455938"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307CB43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3B1AEAB7"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9" w:type="dxa"/>
            <w:tcBorders>
              <w:top w:val="single" w:sz="4" w:space="0" w:color="A6A6A6"/>
              <w:bottom w:val="single" w:sz="4" w:space="0" w:color="A6A6A6"/>
            </w:tcBorders>
            <w:noWrap/>
            <w:hideMark/>
          </w:tcPr>
          <w:p w14:paraId="12AB399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4DCBFCF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25B362CC"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6DE1FD41"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11BD9BF4"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3214A48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501.1</w:t>
            </w:r>
          </w:p>
        </w:tc>
        <w:tc>
          <w:tcPr>
            <w:tcW w:w="738" w:type="dxa"/>
            <w:tcBorders>
              <w:top w:val="single" w:sz="4" w:space="0" w:color="A6A6A6"/>
              <w:bottom w:val="single" w:sz="4" w:space="0" w:color="A6A6A6"/>
            </w:tcBorders>
            <w:noWrap/>
            <w:hideMark/>
          </w:tcPr>
          <w:p w14:paraId="5CF79991"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21CB2C11"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0A663A3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501.1</w:t>
            </w:r>
          </w:p>
        </w:tc>
      </w:tr>
      <w:tr w:rsidR="005F4A7E" w:rsidRPr="00624A63" w14:paraId="3A1DAE15" w14:textId="77777777" w:rsidTr="00130D1C">
        <w:trPr>
          <w:trHeight w:val="170"/>
        </w:trPr>
        <w:tc>
          <w:tcPr>
            <w:tcW w:w="2303" w:type="dxa"/>
            <w:tcBorders>
              <w:top w:val="single" w:sz="4" w:space="0" w:color="A6A6A6"/>
              <w:bottom w:val="single" w:sz="4" w:space="0" w:color="A6A6A6"/>
            </w:tcBorders>
            <w:hideMark/>
          </w:tcPr>
          <w:p w14:paraId="0F82D213" w14:textId="77777777" w:rsidR="005F4A7E" w:rsidRPr="00C340B4" w:rsidRDefault="005F4A7E" w:rsidP="00130D1C">
            <w:pPr>
              <w:pStyle w:val="ARfintablebody"/>
              <w:spacing w:before="20" w:after="16" w:line="228" w:lineRule="auto"/>
              <w:ind w:right="0"/>
              <w:rPr>
                <w:sz w:val="15"/>
                <w:szCs w:val="15"/>
              </w:rPr>
            </w:pPr>
            <w:r w:rsidRPr="00C340B4">
              <w:rPr>
                <w:sz w:val="15"/>
                <w:szCs w:val="15"/>
              </w:rPr>
              <w:t>Grants</w:t>
            </w:r>
          </w:p>
        </w:tc>
        <w:tc>
          <w:tcPr>
            <w:tcW w:w="938" w:type="dxa"/>
            <w:tcBorders>
              <w:top w:val="single" w:sz="4" w:space="0" w:color="A6A6A6"/>
              <w:bottom w:val="single" w:sz="4" w:space="0" w:color="A6A6A6"/>
            </w:tcBorders>
            <w:noWrap/>
            <w:hideMark/>
          </w:tcPr>
          <w:p w14:paraId="28C1EA03" w14:textId="77777777" w:rsidR="005F4A7E" w:rsidRPr="00C340B4" w:rsidRDefault="005F4A7E" w:rsidP="00130D1C">
            <w:pPr>
              <w:pStyle w:val="ARfintablebodyright"/>
              <w:spacing w:before="20" w:after="16" w:line="228" w:lineRule="auto"/>
              <w:ind w:right="0"/>
              <w:rPr>
                <w:sz w:val="15"/>
                <w:szCs w:val="15"/>
              </w:rPr>
            </w:pPr>
            <w:r>
              <w:rPr>
                <w:sz w:val="15"/>
                <w:szCs w:val="15"/>
              </w:rPr>
              <w:t>1,733.7</w:t>
            </w:r>
          </w:p>
        </w:tc>
        <w:tc>
          <w:tcPr>
            <w:tcW w:w="737" w:type="dxa"/>
            <w:tcBorders>
              <w:top w:val="single" w:sz="4" w:space="0" w:color="A6A6A6"/>
              <w:bottom w:val="single" w:sz="4" w:space="0" w:color="A6A6A6"/>
            </w:tcBorders>
            <w:noWrap/>
            <w:hideMark/>
          </w:tcPr>
          <w:p w14:paraId="323B3707"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bottom w:val="single" w:sz="4" w:space="0" w:color="A6A6A6"/>
            </w:tcBorders>
            <w:noWrap/>
            <w:hideMark/>
          </w:tcPr>
          <w:p w14:paraId="24BADB64"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368.7</w:t>
            </w:r>
          </w:p>
        </w:tc>
        <w:tc>
          <w:tcPr>
            <w:tcW w:w="709" w:type="dxa"/>
            <w:tcBorders>
              <w:top w:val="single" w:sz="4" w:space="0" w:color="A6A6A6"/>
              <w:bottom w:val="single" w:sz="4" w:space="0" w:color="A6A6A6"/>
            </w:tcBorders>
            <w:noWrap/>
            <w:hideMark/>
          </w:tcPr>
          <w:p w14:paraId="2F7F489F"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0.5</w:t>
            </w:r>
          </w:p>
        </w:tc>
        <w:tc>
          <w:tcPr>
            <w:tcW w:w="757" w:type="dxa"/>
            <w:tcBorders>
              <w:top w:val="single" w:sz="4" w:space="0" w:color="A6A6A6"/>
              <w:bottom w:val="single" w:sz="4" w:space="0" w:color="A6A6A6"/>
            </w:tcBorders>
            <w:noWrap/>
            <w:hideMark/>
          </w:tcPr>
          <w:p w14:paraId="4111C591"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0.4</w:t>
            </w:r>
          </w:p>
        </w:tc>
        <w:tc>
          <w:tcPr>
            <w:tcW w:w="639" w:type="dxa"/>
            <w:tcBorders>
              <w:top w:val="single" w:sz="4" w:space="0" w:color="A6A6A6"/>
              <w:bottom w:val="single" w:sz="4" w:space="0" w:color="A6A6A6"/>
            </w:tcBorders>
            <w:noWrap/>
            <w:hideMark/>
          </w:tcPr>
          <w:p w14:paraId="61D5224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128.7</w:t>
            </w:r>
          </w:p>
        </w:tc>
        <w:tc>
          <w:tcPr>
            <w:tcW w:w="708" w:type="dxa"/>
            <w:tcBorders>
              <w:top w:val="single" w:sz="4" w:space="0" w:color="A6A6A6"/>
              <w:bottom w:val="single" w:sz="4" w:space="0" w:color="A6A6A6"/>
            </w:tcBorders>
            <w:noWrap/>
            <w:hideMark/>
          </w:tcPr>
          <w:p w14:paraId="4891703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123.2</w:t>
            </w:r>
          </w:p>
        </w:tc>
        <w:tc>
          <w:tcPr>
            <w:tcW w:w="708" w:type="dxa"/>
            <w:tcBorders>
              <w:top w:val="single" w:sz="4" w:space="0" w:color="A6A6A6"/>
              <w:bottom w:val="single" w:sz="4" w:space="0" w:color="A6A6A6"/>
            </w:tcBorders>
            <w:noWrap/>
            <w:hideMark/>
          </w:tcPr>
          <w:p w14:paraId="0E89AC38"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88.5</w:t>
            </w:r>
          </w:p>
        </w:tc>
        <w:tc>
          <w:tcPr>
            <w:tcW w:w="749" w:type="dxa"/>
            <w:tcBorders>
              <w:top w:val="single" w:sz="4" w:space="0" w:color="A6A6A6"/>
              <w:bottom w:val="single" w:sz="4" w:space="0" w:color="A6A6A6"/>
            </w:tcBorders>
            <w:noWrap/>
            <w:hideMark/>
          </w:tcPr>
          <w:p w14:paraId="52A09E75"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8.8</w:t>
            </w:r>
          </w:p>
        </w:tc>
        <w:tc>
          <w:tcPr>
            <w:tcW w:w="738" w:type="dxa"/>
            <w:tcBorders>
              <w:top w:val="single" w:sz="4" w:space="0" w:color="A6A6A6"/>
              <w:bottom w:val="single" w:sz="4" w:space="0" w:color="A6A6A6"/>
            </w:tcBorders>
            <w:noWrap/>
            <w:hideMark/>
          </w:tcPr>
          <w:p w14:paraId="76EBDE98"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6.8</w:t>
            </w:r>
          </w:p>
        </w:tc>
        <w:tc>
          <w:tcPr>
            <w:tcW w:w="738" w:type="dxa"/>
            <w:tcBorders>
              <w:top w:val="single" w:sz="4" w:space="0" w:color="A6A6A6"/>
              <w:bottom w:val="single" w:sz="4" w:space="0" w:color="A6A6A6"/>
            </w:tcBorders>
            <w:noWrap/>
            <w:hideMark/>
          </w:tcPr>
          <w:p w14:paraId="51C7633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6936AB91"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0.5</w:t>
            </w:r>
          </w:p>
        </w:tc>
        <w:tc>
          <w:tcPr>
            <w:tcW w:w="590" w:type="dxa"/>
            <w:tcBorders>
              <w:top w:val="single" w:sz="4" w:space="0" w:color="A6A6A6"/>
              <w:bottom w:val="single" w:sz="4" w:space="0" w:color="A6A6A6"/>
            </w:tcBorders>
            <w:noWrap/>
            <w:hideMark/>
          </w:tcPr>
          <w:p w14:paraId="7160D169" w14:textId="77777777" w:rsidR="005F4A7E" w:rsidRPr="00C340B4" w:rsidRDefault="005F4A7E" w:rsidP="00130D1C">
            <w:pPr>
              <w:pStyle w:val="ARfintablebodyright"/>
              <w:spacing w:before="20" w:after="16" w:line="228" w:lineRule="auto"/>
              <w:ind w:right="0"/>
              <w:rPr>
                <w:sz w:val="15"/>
                <w:szCs w:val="15"/>
              </w:rPr>
            </w:pPr>
            <w:r>
              <w:rPr>
                <w:sz w:val="15"/>
                <w:szCs w:val="15"/>
              </w:rPr>
              <w:t>13.0</w:t>
            </w:r>
          </w:p>
        </w:tc>
        <w:tc>
          <w:tcPr>
            <w:tcW w:w="737" w:type="dxa"/>
            <w:tcBorders>
              <w:top w:val="single" w:sz="4" w:space="0" w:color="A6A6A6"/>
              <w:bottom w:val="single" w:sz="4" w:space="0" w:color="A6A6A6"/>
            </w:tcBorders>
            <w:noWrap/>
            <w:hideMark/>
          </w:tcPr>
          <w:p w14:paraId="2A4E8D07"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49.8</w:t>
            </w:r>
          </w:p>
        </w:tc>
        <w:tc>
          <w:tcPr>
            <w:tcW w:w="738" w:type="dxa"/>
            <w:tcBorders>
              <w:top w:val="single" w:sz="4" w:space="0" w:color="A6A6A6"/>
              <w:bottom w:val="single" w:sz="4" w:space="0" w:color="A6A6A6"/>
            </w:tcBorders>
            <w:noWrap/>
            <w:hideMark/>
          </w:tcPr>
          <w:p w14:paraId="2284FDF7" w14:textId="77777777" w:rsidR="005F4A7E" w:rsidRPr="00C340B4" w:rsidRDefault="005F4A7E" w:rsidP="00130D1C">
            <w:pPr>
              <w:pStyle w:val="ARfintablebodyright"/>
              <w:spacing w:before="20" w:after="16" w:line="228" w:lineRule="auto"/>
              <w:ind w:right="0"/>
              <w:rPr>
                <w:sz w:val="15"/>
                <w:szCs w:val="15"/>
              </w:rPr>
            </w:pPr>
            <w:r>
              <w:rPr>
                <w:sz w:val="15"/>
                <w:szCs w:val="15"/>
              </w:rPr>
              <w:t>2.6</w:t>
            </w:r>
          </w:p>
        </w:tc>
        <w:tc>
          <w:tcPr>
            <w:tcW w:w="590" w:type="dxa"/>
            <w:tcBorders>
              <w:top w:val="single" w:sz="4" w:space="0" w:color="A6A6A6"/>
              <w:bottom w:val="single" w:sz="4" w:space="0" w:color="A6A6A6"/>
            </w:tcBorders>
            <w:noWrap/>
            <w:hideMark/>
          </w:tcPr>
          <w:p w14:paraId="630FBDF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(11.2)</w:t>
            </w:r>
          </w:p>
        </w:tc>
        <w:tc>
          <w:tcPr>
            <w:tcW w:w="744" w:type="dxa"/>
            <w:tcBorders>
              <w:top w:val="single" w:sz="4" w:space="0" w:color="A6A6A6"/>
              <w:bottom w:val="single" w:sz="4" w:space="0" w:color="A6A6A6"/>
            </w:tcBorders>
            <w:noWrap/>
            <w:hideMark/>
          </w:tcPr>
          <w:p w14:paraId="6DF70F95"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2,514.0</w:t>
            </w:r>
          </w:p>
        </w:tc>
      </w:tr>
      <w:tr w:rsidR="005F4A7E" w:rsidRPr="00624A63" w14:paraId="3CB44CB8" w14:textId="77777777" w:rsidTr="00130D1C">
        <w:trPr>
          <w:trHeight w:val="170"/>
        </w:trPr>
        <w:tc>
          <w:tcPr>
            <w:tcW w:w="2303" w:type="dxa"/>
            <w:tcBorders>
              <w:top w:val="single" w:sz="4" w:space="0" w:color="A6A6A6"/>
              <w:bottom w:val="single" w:sz="4" w:space="0" w:color="A6A6A6"/>
            </w:tcBorders>
            <w:hideMark/>
          </w:tcPr>
          <w:p w14:paraId="1FAC2549" w14:textId="77777777" w:rsidR="005F4A7E" w:rsidRPr="00C340B4" w:rsidRDefault="005F4A7E" w:rsidP="00130D1C">
            <w:pPr>
              <w:pStyle w:val="ARfintablebody"/>
              <w:spacing w:before="20" w:after="16" w:line="228" w:lineRule="auto"/>
              <w:ind w:right="0"/>
              <w:rPr>
                <w:sz w:val="15"/>
                <w:szCs w:val="15"/>
              </w:rPr>
            </w:pPr>
            <w:r w:rsidRPr="00C340B4">
              <w:rPr>
                <w:sz w:val="15"/>
                <w:szCs w:val="15"/>
              </w:rPr>
              <w:t>Other income</w:t>
            </w:r>
          </w:p>
        </w:tc>
        <w:tc>
          <w:tcPr>
            <w:tcW w:w="938" w:type="dxa"/>
            <w:tcBorders>
              <w:top w:val="single" w:sz="4" w:space="0" w:color="A6A6A6"/>
              <w:bottom w:val="single" w:sz="4" w:space="0" w:color="A6A6A6"/>
            </w:tcBorders>
            <w:noWrap/>
            <w:hideMark/>
          </w:tcPr>
          <w:p w14:paraId="2A1F2A34" w14:textId="77777777" w:rsidR="005F4A7E" w:rsidRPr="00C340B4" w:rsidRDefault="005F4A7E" w:rsidP="00130D1C">
            <w:pPr>
              <w:pStyle w:val="ARfintablebodyright"/>
              <w:spacing w:before="20" w:after="16" w:line="228" w:lineRule="auto"/>
              <w:ind w:right="0"/>
              <w:rPr>
                <w:sz w:val="15"/>
                <w:szCs w:val="15"/>
              </w:rPr>
            </w:pPr>
            <w:r>
              <w:rPr>
                <w:sz w:val="15"/>
                <w:szCs w:val="15"/>
              </w:rPr>
              <w:t>22.7</w:t>
            </w:r>
          </w:p>
        </w:tc>
        <w:tc>
          <w:tcPr>
            <w:tcW w:w="737" w:type="dxa"/>
            <w:tcBorders>
              <w:top w:val="single" w:sz="4" w:space="0" w:color="A6A6A6"/>
              <w:bottom w:val="single" w:sz="4" w:space="0" w:color="A6A6A6"/>
            </w:tcBorders>
            <w:noWrap/>
            <w:hideMark/>
          </w:tcPr>
          <w:p w14:paraId="08A2C7B7"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bottom w:val="single" w:sz="4" w:space="0" w:color="A6A6A6"/>
            </w:tcBorders>
            <w:noWrap/>
            <w:hideMark/>
          </w:tcPr>
          <w:p w14:paraId="67D45B25"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2.3</w:t>
            </w:r>
          </w:p>
        </w:tc>
        <w:tc>
          <w:tcPr>
            <w:tcW w:w="709" w:type="dxa"/>
            <w:tcBorders>
              <w:top w:val="single" w:sz="4" w:space="0" w:color="A6A6A6"/>
              <w:bottom w:val="single" w:sz="4" w:space="0" w:color="A6A6A6"/>
            </w:tcBorders>
            <w:noWrap/>
            <w:hideMark/>
          </w:tcPr>
          <w:p w14:paraId="58B985F6"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0.8</w:t>
            </w:r>
          </w:p>
        </w:tc>
        <w:tc>
          <w:tcPr>
            <w:tcW w:w="757" w:type="dxa"/>
            <w:tcBorders>
              <w:top w:val="single" w:sz="4" w:space="0" w:color="A6A6A6"/>
              <w:bottom w:val="single" w:sz="4" w:space="0" w:color="A6A6A6"/>
            </w:tcBorders>
            <w:noWrap/>
            <w:hideMark/>
          </w:tcPr>
          <w:p w14:paraId="6055214E"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639" w:type="dxa"/>
            <w:tcBorders>
              <w:top w:val="single" w:sz="4" w:space="0" w:color="A6A6A6"/>
              <w:bottom w:val="single" w:sz="4" w:space="0" w:color="A6A6A6"/>
            </w:tcBorders>
            <w:noWrap/>
            <w:hideMark/>
          </w:tcPr>
          <w:p w14:paraId="3CEB9F9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3656B0DC"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2.2</w:t>
            </w:r>
          </w:p>
        </w:tc>
        <w:tc>
          <w:tcPr>
            <w:tcW w:w="708" w:type="dxa"/>
            <w:tcBorders>
              <w:top w:val="single" w:sz="4" w:space="0" w:color="A6A6A6"/>
              <w:bottom w:val="single" w:sz="4" w:space="0" w:color="A6A6A6"/>
            </w:tcBorders>
            <w:noWrap/>
            <w:hideMark/>
          </w:tcPr>
          <w:p w14:paraId="36CBC09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9" w:type="dxa"/>
            <w:tcBorders>
              <w:top w:val="single" w:sz="4" w:space="0" w:color="A6A6A6"/>
              <w:bottom w:val="single" w:sz="4" w:space="0" w:color="A6A6A6"/>
            </w:tcBorders>
            <w:noWrap/>
            <w:hideMark/>
          </w:tcPr>
          <w:p w14:paraId="41A72995"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1.6</w:t>
            </w:r>
          </w:p>
        </w:tc>
        <w:tc>
          <w:tcPr>
            <w:tcW w:w="738" w:type="dxa"/>
            <w:tcBorders>
              <w:top w:val="single" w:sz="4" w:space="0" w:color="A6A6A6"/>
              <w:bottom w:val="single" w:sz="4" w:space="0" w:color="A6A6A6"/>
            </w:tcBorders>
            <w:noWrap/>
            <w:hideMark/>
          </w:tcPr>
          <w:p w14:paraId="44F307B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3A7C592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0.2</w:t>
            </w:r>
          </w:p>
        </w:tc>
        <w:tc>
          <w:tcPr>
            <w:tcW w:w="738" w:type="dxa"/>
            <w:tcBorders>
              <w:top w:val="single" w:sz="4" w:space="0" w:color="A6A6A6"/>
              <w:bottom w:val="single" w:sz="4" w:space="0" w:color="A6A6A6"/>
            </w:tcBorders>
            <w:noWrap/>
            <w:hideMark/>
          </w:tcPr>
          <w:p w14:paraId="4F757DFE"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696F5C07"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702A61D1"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0.4</w:t>
            </w:r>
          </w:p>
        </w:tc>
        <w:tc>
          <w:tcPr>
            <w:tcW w:w="738" w:type="dxa"/>
            <w:tcBorders>
              <w:top w:val="single" w:sz="4" w:space="0" w:color="A6A6A6"/>
              <w:bottom w:val="single" w:sz="4" w:space="0" w:color="A6A6A6"/>
            </w:tcBorders>
            <w:noWrap/>
            <w:hideMark/>
          </w:tcPr>
          <w:p w14:paraId="24F770A2"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w:t>
            </w:r>
            <w:r>
              <w:rPr>
                <w:sz w:val="15"/>
                <w:szCs w:val="15"/>
              </w:rPr>
              <w:t>7</w:t>
            </w:r>
          </w:p>
        </w:tc>
        <w:tc>
          <w:tcPr>
            <w:tcW w:w="590" w:type="dxa"/>
            <w:tcBorders>
              <w:top w:val="single" w:sz="4" w:space="0" w:color="A6A6A6"/>
              <w:bottom w:val="single" w:sz="4" w:space="0" w:color="A6A6A6"/>
            </w:tcBorders>
            <w:noWrap/>
            <w:hideMark/>
          </w:tcPr>
          <w:p w14:paraId="43A8CB4C"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3D8BF14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30.9</w:t>
            </w:r>
          </w:p>
        </w:tc>
      </w:tr>
      <w:tr w:rsidR="005F4A7E" w:rsidRPr="00624A63" w14:paraId="6A5FF102" w14:textId="77777777" w:rsidTr="00130D1C">
        <w:trPr>
          <w:trHeight w:val="170"/>
        </w:trPr>
        <w:tc>
          <w:tcPr>
            <w:tcW w:w="2303" w:type="dxa"/>
            <w:tcBorders>
              <w:top w:val="single" w:sz="4" w:space="0" w:color="A6A6A6"/>
            </w:tcBorders>
            <w:hideMark/>
          </w:tcPr>
          <w:p w14:paraId="6BF00875" w14:textId="77777777" w:rsidR="005F4A7E" w:rsidRPr="00C340B4" w:rsidRDefault="005F4A7E" w:rsidP="00130D1C">
            <w:pPr>
              <w:pStyle w:val="ARfintablebody"/>
              <w:spacing w:before="20" w:after="16" w:line="228" w:lineRule="auto"/>
              <w:ind w:right="0"/>
              <w:rPr>
                <w:sz w:val="15"/>
                <w:szCs w:val="15"/>
              </w:rPr>
            </w:pPr>
            <w:r w:rsidRPr="00C340B4">
              <w:rPr>
                <w:sz w:val="15"/>
                <w:szCs w:val="15"/>
              </w:rPr>
              <w:t>Fair value of assets and services received free of charge or for nominal consideration</w:t>
            </w:r>
          </w:p>
        </w:tc>
        <w:tc>
          <w:tcPr>
            <w:tcW w:w="938" w:type="dxa"/>
            <w:tcBorders>
              <w:top w:val="single" w:sz="4" w:space="0" w:color="A6A6A6"/>
            </w:tcBorders>
            <w:noWrap/>
            <w:hideMark/>
          </w:tcPr>
          <w:p w14:paraId="728153A2"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tcBorders>
            <w:noWrap/>
            <w:hideMark/>
          </w:tcPr>
          <w:p w14:paraId="667253AD"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tcBorders>
            <w:noWrap/>
            <w:hideMark/>
          </w:tcPr>
          <w:p w14:paraId="4B010E5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9" w:type="dxa"/>
            <w:tcBorders>
              <w:top w:val="single" w:sz="4" w:space="0" w:color="A6A6A6"/>
            </w:tcBorders>
            <w:noWrap/>
            <w:hideMark/>
          </w:tcPr>
          <w:p w14:paraId="0290923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57" w:type="dxa"/>
            <w:tcBorders>
              <w:top w:val="single" w:sz="4" w:space="0" w:color="A6A6A6"/>
            </w:tcBorders>
            <w:noWrap/>
            <w:hideMark/>
          </w:tcPr>
          <w:p w14:paraId="7F46746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639" w:type="dxa"/>
            <w:tcBorders>
              <w:top w:val="single" w:sz="4" w:space="0" w:color="A6A6A6"/>
            </w:tcBorders>
            <w:noWrap/>
            <w:hideMark/>
          </w:tcPr>
          <w:p w14:paraId="4CEBF872"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tcBorders>
            <w:noWrap/>
            <w:hideMark/>
          </w:tcPr>
          <w:p w14:paraId="13A70F5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tcBorders>
            <w:noWrap/>
            <w:hideMark/>
          </w:tcPr>
          <w:p w14:paraId="0B048C52"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9" w:type="dxa"/>
            <w:tcBorders>
              <w:top w:val="single" w:sz="4" w:space="0" w:color="A6A6A6"/>
            </w:tcBorders>
            <w:noWrap/>
            <w:hideMark/>
          </w:tcPr>
          <w:p w14:paraId="4887E81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0.5</w:t>
            </w:r>
          </w:p>
        </w:tc>
        <w:tc>
          <w:tcPr>
            <w:tcW w:w="738" w:type="dxa"/>
            <w:tcBorders>
              <w:top w:val="single" w:sz="4" w:space="0" w:color="A6A6A6"/>
            </w:tcBorders>
            <w:noWrap/>
            <w:hideMark/>
          </w:tcPr>
          <w:p w14:paraId="20DFFDC5"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tcBorders>
            <w:noWrap/>
            <w:hideMark/>
          </w:tcPr>
          <w:p w14:paraId="4C173D9E"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tcBorders>
            <w:noWrap/>
            <w:hideMark/>
          </w:tcPr>
          <w:p w14:paraId="32A3A214"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tcBorders>
            <w:noWrap/>
            <w:hideMark/>
          </w:tcPr>
          <w:p w14:paraId="4A8D9E46"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tcBorders>
            <w:noWrap/>
            <w:hideMark/>
          </w:tcPr>
          <w:p w14:paraId="35FDC86F"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3.1</w:t>
            </w:r>
          </w:p>
        </w:tc>
        <w:tc>
          <w:tcPr>
            <w:tcW w:w="738" w:type="dxa"/>
            <w:tcBorders>
              <w:top w:val="single" w:sz="4" w:space="0" w:color="A6A6A6"/>
            </w:tcBorders>
            <w:noWrap/>
            <w:hideMark/>
          </w:tcPr>
          <w:p w14:paraId="63FF1E78"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tcBorders>
            <w:noWrap/>
            <w:hideMark/>
          </w:tcPr>
          <w:p w14:paraId="4D40BAC2"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tcBorders>
            <w:noWrap/>
            <w:hideMark/>
          </w:tcPr>
          <w:p w14:paraId="4749842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3.6</w:t>
            </w:r>
          </w:p>
        </w:tc>
      </w:tr>
      <w:tr w:rsidR="005F4A7E" w:rsidRPr="00624A63" w14:paraId="1E88C677" w14:textId="77777777" w:rsidTr="00130D1C">
        <w:trPr>
          <w:trHeight w:val="170"/>
        </w:trPr>
        <w:tc>
          <w:tcPr>
            <w:tcW w:w="2303" w:type="dxa"/>
            <w:tcBorders>
              <w:bottom w:val="single" w:sz="4" w:space="0" w:color="auto"/>
            </w:tcBorders>
            <w:hideMark/>
          </w:tcPr>
          <w:p w14:paraId="7DADCAF1" w14:textId="77777777" w:rsidR="005F4A7E" w:rsidRPr="00C340B4" w:rsidRDefault="005F4A7E" w:rsidP="00130D1C">
            <w:pPr>
              <w:pStyle w:val="ARfintablebodybold"/>
              <w:spacing w:before="20" w:after="16" w:line="228" w:lineRule="auto"/>
              <w:ind w:right="0"/>
              <w:rPr>
                <w:sz w:val="15"/>
                <w:szCs w:val="15"/>
              </w:rPr>
            </w:pPr>
            <w:r w:rsidRPr="00C340B4">
              <w:rPr>
                <w:sz w:val="15"/>
                <w:szCs w:val="15"/>
              </w:rPr>
              <w:t>Total revenue and income from transactions</w:t>
            </w:r>
          </w:p>
        </w:tc>
        <w:tc>
          <w:tcPr>
            <w:tcW w:w="938" w:type="dxa"/>
            <w:tcBorders>
              <w:bottom w:val="single" w:sz="4" w:space="0" w:color="auto"/>
            </w:tcBorders>
            <w:noWrap/>
            <w:hideMark/>
          </w:tcPr>
          <w:p w14:paraId="0F4F6B00" w14:textId="77777777" w:rsidR="005F4A7E" w:rsidRPr="00C340B4" w:rsidRDefault="005F4A7E" w:rsidP="00130D1C">
            <w:pPr>
              <w:pStyle w:val="ARfintablebodyrightbold"/>
              <w:spacing w:before="20" w:after="16" w:line="228" w:lineRule="auto"/>
              <w:ind w:right="0"/>
              <w:rPr>
                <w:sz w:val="15"/>
                <w:szCs w:val="15"/>
              </w:rPr>
            </w:pPr>
            <w:r>
              <w:rPr>
                <w:sz w:val="15"/>
                <w:szCs w:val="15"/>
              </w:rPr>
              <w:t>11,197.2</w:t>
            </w:r>
          </w:p>
        </w:tc>
        <w:tc>
          <w:tcPr>
            <w:tcW w:w="737" w:type="dxa"/>
            <w:tcBorders>
              <w:bottom w:val="single" w:sz="4" w:space="0" w:color="auto"/>
            </w:tcBorders>
            <w:noWrap/>
            <w:hideMark/>
          </w:tcPr>
          <w:p w14:paraId="74C8A4C1"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902.5</w:t>
            </w:r>
          </w:p>
        </w:tc>
        <w:tc>
          <w:tcPr>
            <w:tcW w:w="598" w:type="dxa"/>
            <w:tcBorders>
              <w:bottom w:val="single" w:sz="4" w:space="0" w:color="auto"/>
            </w:tcBorders>
            <w:noWrap/>
            <w:hideMark/>
          </w:tcPr>
          <w:p w14:paraId="50658470"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1,548.4</w:t>
            </w:r>
          </w:p>
        </w:tc>
        <w:tc>
          <w:tcPr>
            <w:tcW w:w="709" w:type="dxa"/>
            <w:tcBorders>
              <w:bottom w:val="single" w:sz="4" w:space="0" w:color="auto"/>
            </w:tcBorders>
            <w:noWrap/>
            <w:hideMark/>
          </w:tcPr>
          <w:p w14:paraId="61968E22"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558.0</w:t>
            </w:r>
          </w:p>
        </w:tc>
        <w:tc>
          <w:tcPr>
            <w:tcW w:w="757" w:type="dxa"/>
            <w:tcBorders>
              <w:bottom w:val="single" w:sz="4" w:space="0" w:color="auto"/>
            </w:tcBorders>
            <w:noWrap/>
            <w:hideMark/>
          </w:tcPr>
          <w:p w14:paraId="67D79932"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658.6</w:t>
            </w:r>
          </w:p>
        </w:tc>
        <w:tc>
          <w:tcPr>
            <w:tcW w:w="639" w:type="dxa"/>
            <w:tcBorders>
              <w:bottom w:val="single" w:sz="4" w:space="0" w:color="auto"/>
            </w:tcBorders>
            <w:noWrap/>
            <w:hideMark/>
          </w:tcPr>
          <w:p w14:paraId="551D141D"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470.2</w:t>
            </w:r>
          </w:p>
        </w:tc>
        <w:tc>
          <w:tcPr>
            <w:tcW w:w="708" w:type="dxa"/>
            <w:tcBorders>
              <w:bottom w:val="single" w:sz="4" w:space="0" w:color="auto"/>
            </w:tcBorders>
            <w:noWrap/>
            <w:hideMark/>
          </w:tcPr>
          <w:p w14:paraId="57998D87"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471.9</w:t>
            </w:r>
          </w:p>
        </w:tc>
        <w:tc>
          <w:tcPr>
            <w:tcW w:w="708" w:type="dxa"/>
            <w:tcBorders>
              <w:bottom w:val="single" w:sz="4" w:space="0" w:color="auto"/>
            </w:tcBorders>
            <w:noWrap/>
            <w:hideMark/>
          </w:tcPr>
          <w:p w14:paraId="38D74A96"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268.6</w:t>
            </w:r>
          </w:p>
        </w:tc>
        <w:tc>
          <w:tcPr>
            <w:tcW w:w="749" w:type="dxa"/>
            <w:tcBorders>
              <w:bottom w:val="single" w:sz="4" w:space="0" w:color="auto"/>
            </w:tcBorders>
            <w:noWrap/>
            <w:hideMark/>
          </w:tcPr>
          <w:p w14:paraId="36552E77"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2,135.9</w:t>
            </w:r>
          </w:p>
        </w:tc>
        <w:tc>
          <w:tcPr>
            <w:tcW w:w="738" w:type="dxa"/>
            <w:tcBorders>
              <w:bottom w:val="single" w:sz="4" w:space="0" w:color="auto"/>
            </w:tcBorders>
            <w:noWrap/>
            <w:hideMark/>
          </w:tcPr>
          <w:p w14:paraId="7CE45A20"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1,512.3</w:t>
            </w:r>
          </w:p>
        </w:tc>
        <w:tc>
          <w:tcPr>
            <w:tcW w:w="738" w:type="dxa"/>
            <w:tcBorders>
              <w:bottom w:val="single" w:sz="4" w:space="0" w:color="auto"/>
            </w:tcBorders>
            <w:noWrap/>
            <w:hideMark/>
          </w:tcPr>
          <w:p w14:paraId="5F628817"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753.0</w:t>
            </w:r>
          </w:p>
        </w:tc>
        <w:tc>
          <w:tcPr>
            <w:tcW w:w="738" w:type="dxa"/>
            <w:tcBorders>
              <w:bottom w:val="single" w:sz="4" w:space="0" w:color="auto"/>
            </w:tcBorders>
            <w:noWrap/>
            <w:hideMark/>
          </w:tcPr>
          <w:p w14:paraId="620BCDF8"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62.4</w:t>
            </w:r>
          </w:p>
        </w:tc>
        <w:tc>
          <w:tcPr>
            <w:tcW w:w="590" w:type="dxa"/>
            <w:tcBorders>
              <w:bottom w:val="single" w:sz="4" w:space="0" w:color="auto"/>
            </w:tcBorders>
            <w:noWrap/>
            <w:hideMark/>
          </w:tcPr>
          <w:p w14:paraId="79E98758" w14:textId="77777777" w:rsidR="005F4A7E" w:rsidRPr="00C340B4" w:rsidRDefault="005F4A7E" w:rsidP="00130D1C">
            <w:pPr>
              <w:pStyle w:val="ARfintablebodyrightbold"/>
              <w:spacing w:before="20" w:after="16" w:line="228" w:lineRule="auto"/>
              <w:ind w:right="0"/>
              <w:rPr>
                <w:sz w:val="15"/>
                <w:szCs w:val="15"/>
              </w:rPr>
            </w:pPr>
            <w:r>
              <w:rPr>
                <w:sz w:val="15"/>
                <w:szCs w:val="15"/>
              </w:rPr>
              <w:t>289.7</w:t>
            </w:r>
          </w:p>
        </w:tc>
        <w:tc>
          <w:tcPr>
            <w:tcW w:w="737" w:type="dxa"/>
            <w:tcBorders>
              <w:bottom w:val="single" w:sz="4" w:space="0" w:color="auto"/>
            </w:tcBorders>
            <w:noWrap/>
            <w:hideMark/>
          </w:tcPr>
          <w:p w14:paraId="0EFA3C86"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1,207.5</w:t>
            </w:r>
          </w:p>
        </w:tc>
        <w:tc>
          <w:tcPr>
            <w:tcW w:w="738" w:type="dxa"/>
            <w:tcBorders>
              <w:bottom w:val="single" w:sz="4" w:space="0" w:color="auto"/>
            </w:tcBorders>
            <w:noWrap/>
            <w:hideMark/>
          </w:tcPr>
          <w:p w14:paraId="30F09668" w14:textId="77777777" w:rsidR="005F4A7E" w:rsidRPr="00C340B4" w:rsidRDefault="005F4A7E" w:rsidP="00130D1C">
            <w:pPr>
              <w:pStyle w:val="ARfintablebodyrightbold"/>
              <w:spacing w:before="20" w:after="16" w:line="228" w:lineRule="auto"/>
              <w:ind w:right="0"/>
              <w:rPr>
                <w:sz w:val="15"/>
                <w:szCs w:val="15"/>
              </w:rPr>
            </w:pPr>
            <w:r>
              <w:rPr>
                <w:sz w:val="15"/>
                <w:szCs w:val="15"/>
              </w:rPr>
              <w:t>3.3</w:t>
            </w:r>
          </w:p>
        </w:tc>
        <w:tc>
          <w:tcPr>
            <w:tcW w:w="590" w:type="dxa"/>
            <w:tcBorders>
              <w:bottom w:val="single" w:sz="4" w:space="0" w:color="auto"/>
            </w:tcBorders>
            <w:noWrap/>
            <w:hideMark/>
          </w:tcPr>
          <w:p w14:paraId="18C6D053"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(11.2)</w:t>
            </w:r>
          </w:p>
        </w:tc>
        <w:tc>
          <w:tcPr>
            <w:tcW w:w="744" w:type="dxa"/>
            <w:tcBorders>
              <w:bottom w:val="single" w:sz="4" w:space="0" w:color="auto"/>
            </w:tcBorders>
            <w:noWrap/>
            <w:hideMark/>
          </w:tcPr>
          <w:p w14:paraId="1E32D101"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22,028.4</w:t>
            </w:r>
          </w:p>
        </w:tc>
      </w:tr>
      <w:tr w:rsidR="005F4A7E" w:rsidRPr="00624A63" w14:paraId="300E553B" w14:textId="77777777" w:rsidTr="00130D1C">
        <w:trPr>
          <w:trHeight w:val="170"/>
        </w:trPr>
        <w:tc>
          <w:tcPr>
            <w:tcW w:w="14459" w:type="dxa"/>
            <w:gridSpan w:val="18"/>
            <w:tcBorders>
              <w:top w:val="single" w:sz="4" w:space="0" w:color="auto"/>
              <w:bottom w:val="single" w:sz="4" w:space="0" w:color="A6A6A6"/>
            </w:tcBorders>
            <w:hideMark/>
          </w:tcPr>
          <w:p w14:paraId="0032986E" w14:textId="77777777" w:rsidR="005F4A7E" w:rsidRPr="00C340B4" w:rsidRDefault="005F4A7E" w:rsidP="00130D1C">
            <w:pPr>
              <w:pStyle w:val="ARfintablebodybold"/>
              <w:spacing w:before="20" w:after="16" w:line="228" w:lineRule="auto"/>
              <w:ind w:right="0"/>
              <w:rPr>
                <w:sz w:val="15"/>
                <w:szCs w:val="15"/>
              </w:rPr>
            </w:pPr>
            <w:r w:rsidRPr="00C340B4">
              <w:rPr>
                <w:sz w:val="15"/>
                <w:szCs w:val="15"/>
              </w:rPr>
              <w:t>Expenses from transactions</w:t>
            </w:r>
          </w:p>
        </w:tc>
      </w:tr>
      <w:tr w:rsidR="005F4A7E" w:rsidRPr="00624A63" w14:paraId="2B6EEE63" w14:textId="77777777" w:rsidTr="00130D1C">
        <w:trPr>
          <w:trHeight w:val="170"/>
        </w:trPr>
        <w:tc>
          <w:tcPr>
            <w:tcW w:w="2303" w:type="dxa"/>
            <w:tcBorders>
              <w:top w:val="single" w:sz="4" w:space="0" w:color="A6A6A6"/>
              <w:bottom w:val="single" w:sz="4" w:space="0" w:color="A6A6A6"/>
            </w:tcBorders>
            <w:hideMark/>
          </w:tcPr>
          <w:p w14:paraId="30E884CA" w14:textId="77777777" w:rsidR="005F4A7E" w:rsidRPr="00C340B4" w:rsidRDefault="005F4A7E" w:rsidP="00130D1C">
            <w:pPr>
              <w:pStyle w:val="ARfintablebody"/>
              <w:spacing w:before="20" w:after="16" w:line="228" w:lineRule="auto"/>
              <w:ind w:right="0"/>
              <w:rPr>
                <w:sz w:val="15"/>
                <w:szCs w:val="15"/>
              </w:rPr>
            </w:pPr>
            <w:r w:rsidRPr="00C340B4">
              <w:rPr>
                <w:sz w:val="15"/>
                <w:szCs w:val="15"/>
              </w:rPr>
              <w:t>Employee benefits</w:t>
            </w:r>
          </w:p>
        </w:tc>
        <w:tc>
          <w:tcPr>
            <w:tcW w:w="938" w:type="dxa"/>
            <w:tcBorders>
              <w:top w:val="single" w:sz="4" w:space="0" w:color="A6A6A6"/>
              <w:bottom w:val="single" w:sz="4" w:space="0" w:color="A6A6A6"/>
            </w:tcBorders>
            <w:noWrap/>
            <w:hideMark/>
          </w:tcPr>
          <w:p w14:paraId="633AFEC4" w14:textId="77777777" w:rsidR="005F4A7E" w:rsidRPr="00C340B4" w:rsidRDefault="005F4A7E" w:rsidP="00130D1C">
            <w:pPr>
              <w:pStyle w:val="ARfintablebodyright"/>
              <w:spacing w:before="20" w:after="16" w:line="228" w:lineRule="auto"/>
              <w:ind w:right="0"/>
              <w:rPr>
                <w:sz w:val="15"/>
                <w:szCs w:val="15"/>
              </w:rPr>
            </w:pPr>
            <w:r>
              <w:rPr>
                <w:sz w:val="15"/>
                <w:szCs w:val="15"/>
              </w:rPr>
              <w:t>154.8</w:t>
            </w:r>
          </w:p>
        </w:tc>
        <w:tc>
          <w:tcPr>
            <w:tcW w:w="737" w:type="dxa"/>
            <w:tcBorders>
              <w:top w:val="single" w:sz="4" w:space="0" w:color="A6A6A6"/>
              <w:bottom w:val="single" w:sz="4" w:space="0" w:color="A6A6A6"/>
            </w:tcBorders>
            <w:noWrap/>
            <w:hideMark/>
          </w:tcPr>
          <w:p w14:paraId="694C86AF"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1.6</w:t>
            </w:r>
          </w:p>
        </w:tc>
        <w:tc>
          <w:tcPr>
            <w:tcW w:w="598" w:type="dxa"/>
            <w:tcBorders>
              <w:top w:val="single" w:sz="4" w:space="0" w:color="A6A6A6"/>
              <w:bottom w:val="single" w:sz="4" w:space="0" w:color="A6A6A6"/>
            </w:tcBorders>
            <w:noWrap/>
            <w:hideMark/>
          </w:tcPr>
          <w:p w14:paraId="37D7CD7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41.6</w:t>
            </w:r>
          </w:p>
        </w:tc>
        <w:tc>
          <w:tcPr>
            <w:tcW w:w="709" w:type="dxa"/>
            <w:tcBorders>
              <w:top w:val="single" w:sz="4" w:space="0" w:color="A6A6A6"/>
              <w:bottom w:val="single" w:sz="4" w:space="0" w:color="A6A6A6"/>
            </w:tcBorders>
            <w:noWrap/>
            <w:hideMark/>
          </w:tcPr>
          <w:p w14:paraId="6CF29C5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7.6</w:t>
            </w:r>
          </w:p>
        </w:tc>
        <w:tc>
          <w:tcPr>
            <w:tcW w:w="757" w:type="dxa"/>
            <w:tcBorders>
              <w:top w:val="single" w:sz="4" w:space="0" w:color="A6A6A6"/>
              <w:bottom w:val="single" w:sz="4" w:space="0" w:color="A6A6A6"/>
            </w:tcBorders>
            <w:noWrap/>
            <w:hideMark/>
          </w:tcPr>
          <w:p w14:paraId="3265438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22.8</w:t>
            </w:r>
          </w:p>
        </w:tc>
        <w:tc>
          <w:tcPr>
            <w:tcW w:w="639" w:type="dxa"/>
            <w:tcBorders>
              <w:top w:val="single" w:sz="4" w:space="0" w:color="A6A6A6"/>
              <w:bottom w:val="single" w:sz="4" w:space="0" w:color="A6A6A6"/>
            </w:tcBorders>
            <w:noWrap/>
            <w:hideMark/>
          </w:tcPr>
          <w:p w14:paraId="71DB4377"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7.2</w:t>
            </w:r>
          </w:p>
        </w:tc>
        <w:tc>
          <w:tcPr>
            <w:tcW w:w="708" w:type="dxa"/>
            <w:tcBorders>
              <w:top w:val="single" w:sz="4" w:space="0" w:color="A6A6A6"/>
              <w:bottom w:val="single" w:sz="4" w:space="0" w:color="A6A6A6"/>
            </w:tcBorders>
            <w:noWrap/>
            <w:hideMark/>
          </w:tcPr>
          <w:p w14:paraId="03B80E64"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80.5</w:t>
            </w:r>
          </w:p>
        </w:tc>
        <w:tc>
          <w:tcPr>
            <w:tcW w:w="708" w:type="dxa"/>
            <w:tcBorders>
              <w:top w:val="single" w:sz="4" w:space="0" w:color="A6A6A6"/>
              <w:bottom w:val="single" w:sz="4" w:space="0" w:color="A6A6A6"/>
            </w:tcBorders>
            <w:noWrap/>
            <w:hideMark/>
          </w:tcPr>
          <w:p w14:paraId="470CC401"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11.0</w:t>
            </w:r>
          </w:p>
        </w:tc>
        <w:tc>
          <w:tcPr>
            <w:tcW w:w="749" w:type="dxa"/>
            <w:tcBorders>
              <w:top w:val="single" w:sz="4" w:space="0" w:color="A6A6A6"/>
              <w:bottom w:val="single" w:sz="4" w:space="0" w:color="A6A6A6"/>
            </w:tcBorders>
            <w:noWrap/>
            <w:hideMark/>
          </w:tcPr>
          <w:p w14:paraId="4FC8449C"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298.5</w:t>
            </w:r>
          </w:p>
        </w:tc>
        <w:tc>
          <w:tcPr>
            <w:tcW w:w="738" w:type="dxa"/>
            <w:tcBorders>
              <w:top w:val="single" w:sz="4" w:space="0" w:color="A6A6A6"/>
              <w:bottom w:val="single" w:sz="4" w:space="0" w:color="A6A6A6"/>
            </w:tcBorders>
            <w:noWrap/>
            <w:hideMark/>
          </w:tcPr>
          <w:p w14:paraId="50FD043D"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397.4</w:t>
            </w:r>
          </w:p>
        </w:tc>
        <w:tc>
          <w:tcPr>
            <w:tcW w:w="738" w:type="dxa"/>
            <w:tcBorders>
              <w:top w:val="single" w:sz="4" w:space="0" w:color="A6A6A6"/>
              <w:bottom w:val="single" w:sz="4" w:space="0" w:color="A6A6A6"/>
            </w:tcBorders>
            <w:noWrap/>
            <w:hideMark/>
          </w:tcPr>
          <w:p w14:paraId="159883C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10.7</w:t>
            </w:r>
          </w:p>
        </w:tc>
        <w:tc>
          <w:tcPr>
            <w:tcW w:w="738" w:type="dxa"/>
            <w:tcBorders>
              <w:top w:val="single" w:sz="4" w:space="0" w:color="A6A6A6"/>
              <w:bottom w:val="single" w:sz="4" w:space="0" w:color="A6A6A6"/>
            </w:tcBorders>
            <w:noWrap/>
            <w:hideMark/>
          </w:tcPr>
          <w:p w14:paraId="17037D06"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7.1</w:t>
            </w:r>
          </w:p>
        </w:tc>
        <w:tc>
          <w:tcPr>
            <w:tcW w:w="590" w:type="dxa"/>
            <w:tcBorders>
              <w:top w:val="single" w:sz="4" w:space="0" w:color="A6A6A6"/>
              <w:bottom w:val="single" w:sz="4" w:space="0" w:color="A6A6A6"/>
            </w:tcBorders>
            <w:noWrap/>
            <w:hideMark/>
          </w:tcPr>
          <w:p w14:paraId="7BE016F5"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39.0</w:t>
            </w:r>
          </w:p>
        </w:tc>
        <w:tc>
          <w:tcPr>
            <w:tcW w:w="737" w:type="dxa"/>
            <w:tcBorders>
              <w:top w:val="single" w:sz="4" w:space="0" w:color="A6A6A6"/>
              <w:bottom w:val="single" w:sz="4" w:space="0" w:color="A6A6A6"/>
            </w:tcBorders>
            <w:noWrap/>
            <w:hideMark/>
          </w:tcPr>
          <w:p w14:paraId="5EDDB5A7"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118.4</w:t>
            </w:r>
          </w:p>
        </w:tc>
        <w:tc>
          <w:tcPr>
            <w:tcW w:w="738" w:type="dxa"/>
            <w:tcBorders>
              <w:top w:val="single" w:sz="4" w:space="0" w:color="A6A6A6"/>
              <w:bottom w:val="single" w:sz="4" w:space="0" w:color="A6A6A6"/>
            </w:tcBorders>
            <w:noWrap/>
            <w:hideMark/>
          </w:tcPr>
          <w:p w14:paraId="7A8EC339" w14:textId="77777777" w:rsidR="005F4A7E" w:rsidRPr="00C340B4" w:rsidRDefault="005F4A7E" w:rsidP="00130D1C">
            <w:pPr>
              <w:pStyle w:val="ARfintablebodyright"/>
              <w:spacing w:before="20" w:after="16" w:line="228" w:lineRule="auto"/>
              <w:ind w:right="0"/>
              <w:rPr>
                <w:sz w:val="15"/>
                <w:szCs w:val="15"/>
              </w:rPr>
            </w:pPr>
            <w:r>
              <w:rPr>
                <w:sz w:val="15"/>
                <w:szCs w:val="15"/>
              </w:rPr>
              <w:t>2.0</w:t>
            </w:r>
          </w:p>
        </w:tc>
        <w:tc>
          <w:tcPr>
            <w:tcW w:w="590" w:type="dxa"/>
            <w:tcBorders>
              <w:top w:val="single" w:sz="4" w:space="0" w:color="A6A6A6"/>
              <w:bottom w:val="single" w:sz="4" w:space="0" w:color="A6A6A6"/>
            </w:tcBorders>
            <w:noWrap/>
            <w:hideMark/>
          </w:tcPr>
          <w:p w14:paraId="51E44FB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3ED278BE"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1,200.2</w:t>
            </w:r>
          </w:p>
        </w:tc>
      </w:tr>
      <w:tr w:rsidR="005F4A7E" w:rsidRPr="00624A63" w14:paraId="3C94C76B" w14:textId="77777777" w:rsidTr="00130D1C">
        <w:trPr>
          <w:trHeight w:val="170"/>
        </w:trPr>
        <w:tc>
          <w:tcPr>
            <w:tcW w:w="2303" w:type="dxa"/>
            <w:tcBorders>
              <w:top w:val="single" w:sz="4" w:space="0" w:color="A6A6A6"/>
              <w:bottom w:val="single" w:sz="4" w:space="0" w:color="A6A6A6"/>
            </w:tcBorders>
            <w:hideMark/>
          </w:tcPr>
          <w:p w14:paraId="59BC0BE1" w14:textId="77777777" w:rsidR="005F4A7E" w:rsidRPr="00C340B4" w:rsidRDefault="005F4A7E" w:rsidP="00130D1C">
            <w:pPr>
              <w:pStyle w:val="ARfintablebody"/>
              <w:spacing w:before="20" w:after="16" w:line="228" w:lineRule="auto"/>
              <w:ind w:right="0"/>
              <w:rPr>
                <w:sz w:val="15"/>
                <w:szCs w:val="15"/>
              </w:rPr>
            </w:pPr>
            <w:r w:rsidRPr="00C340B4">
              <w:rPr>
                <w:sz w:val="15"/>
                <w:szCs w:val="15"/>
              </w:rPr>
              <w:t>Depreciation and amortisation</w:t>
            </w:r>
          </w:p>
        </w:tc>
        <w:tc>
          <w:tcPr>
            <w:tcW w:w="938" w:type="dxa"/>
            <w:tcBorders>
              <w:top w:val="single" w:sz="4" w:space="0" w:color="A6A6A6"/>
              <w:bottom w:val="single" w:sz="4" w:space="0" w:color="A6A6A6"/>
            </w:tcBorders>
            <w:noWrap/>
            <w:hideMark/>
          </w:tcPr>
          <w:p w14:paraId="1E208E42" w14:textId="77777777" w:rsidR="005F4A7E" w:rsidRPr="00C340B4" w:rsidRDefault="005F4A7E" w:rsidP="00130D1C">
            <w:pPr>
              <w:pStyle w:val="ARfintablebodyright"/>
              <w:spacing w:before="20" w:after="16" w:line="228" w:lineRule="auto"/>
              <w:ind w:right="0"/>
              <w:rPr>
                <w:sz w:val="15"/>
                <w:szCs w:val="15"/>
              </w:rPr>
            </w:pPr>
            <w:r>
              <w:rPr>
                <w:sz w:val="15"/>
                <w:szCs w:val="15"/>
              </w:rPr>
              <w:t>23.1</w:t>
            </w:r>
          </w:p>
        </w:tc>
        <w:tc>
          <w:tcPr>
            <w:tcW w:w="737" w:type="dxa"/>
            <w:tcBorders>
              <w:top w:val="single" w:sz="4" w:space="0" w:color="A6A6A6"/>
              <w:bottom w:val="single" w:sz="4" w:space="0" w:color="A6A6A6"/>
            </w:tcBorders>
            <w:noWrap/>
            <w:hideMark/>
          </w:tcPr>
          <w:p w14:paraId="61FE3372"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0.4</w:t>
            </w:r>
          </w:p>
        </w:tc>
        <w:tc>
          <w:tcPr>
            <w:tcW w:w="598" w:type="dxa"/>
            <w:tcBorders>
              <w:top w:val="single" w:sz="4" w:space="0" w:color="A6A6A6"/>
              <w:bottom w:val="single" w:sz="4" w:space="0" w:color="A6A6A6"/>
            </w:tcBorders>
            <w:noWrap/>
            <w:hideMark/>
          </w:tcPr>
          <w:p w14:paraId="70088277"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13.0</w:t>
            </w:r>
          </w:p>
        </w:tc>
        <w:tc>
          <w:tcPr>
            <w:tcW w:w="709" w:type="dxa"/>
            <w:tcBorders>
              <w:top w:val="single" w:sz="4" w:space="0" w:color="A6A6A6"/>
              <w:bottom w:val="single" w:sz="4" w:space="0" w:color="A6A6A6"/>
            </w:tcBorders>
            <w:noWrap/>
            <w:hideMark/>
          </w:tcPr>
          <w:p w14:paraId="1181F835"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2.1</w:t>
            </w:r>
          </w:p>
        </w:tc>
        <w:tc>
          <w:tcPr>
            <w:tcW w:w="757" w:type="dxa"/>
            <w:tcBorders>
              <w:top w:val="single" w:sz="4" w:space="0" w:color="A6A6A6"/>
              <w:bottom w:val="single" w:sz="4" w:space="0" w:color="A6A6A6"/>
            </w:tcBorders>
            <w:noWrap/>
            <w:hideMark/>
          </w:tcPr>
          <w:p w14:paraId="421BCF2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5.5</w:t>
            </w:r>
          </w:p>
        </w:tc>
        <w:tc>
          <w:tcPr>
            <w:tcW w:w="639" w:type="dxa"/>
            <w:tcBorders>
              <w:top w:val="single" w:sz="4" w:space="0" w:color="A6A6A6"/>
              <w:bottom w:val="single" w:sz="4" w:space="0" w:color="A6A6A6"/>
            </w:tcBorders>
            <w:noWrap/>
            <w:hideMark/>
          </w:tcPr>
          <w:p w14:paraId="3FE743C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0.1</w:t>
            </w:r>
          </w:p>
        </w:tc>
        <w:tc>
          <w:tcPr>
            <w:tcW w:w="708" w:type="dxa"/>
            <w:tcBorders>
              <w:top w:val="single" w:sz="4" w:space="0" w:color="A6A6A6"/>
              <w:bottom w:val="single" w:sz="4" w:space="0" w:color="A6A6A6"/>
            </w:tcBorders>
            <w:noWrap/>
            <w:hideMark/>
          </w:tcPr>
          <w:p w14:paraId="26208BCE"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3.6</w:t>
            </w:r>
          </w:p>
        </w:tc>
        <w:tc>
          <w:tcPr>
            <w:tcW w:w="708" w:type="dxa"/>
            <w:tcBorders>
              <w:top w:val="single" w:sz="4" w:space="0" w:color="A6A6A6"/>
              <w:bottom w:val="single" w:sz="4" w:space="0" w:color="A6A6A6"/>
            </w:tcBorders>
            <w:noWrap/>
            <w:hideMark/>
          </w:tcPr>
          <w:p w14:paraId="49A01522"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0.7</w:t>
            </w:r>
          </w:p>
        </w:tc>
        <w:tc>
          <w:tcPr>
            <w:tcW w:w="749" w:type="dxa"/>
            <w:tcBorders>
              <w:top w:val="single" w:sz="4" w:space="0" w:color="A6A6A6"/>
              <w:bottom w:val="single" w:sz="4" w:space="0" w:color="A6A6A6"/>
            </w:tcBorders>
            <w:noWrap/>
            <w:hideMark/>
          </w:tcPr>
          <w:p w14:paraId="1D579524"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18.1</w:t>
            </w:r>
          </w:p>
        </w:tc>
        <w:tc>
          <w:tcPr>
            <w:tcW w:w="738" w:type="dxa"/>
            <w:tcBorders>
              <w:top w:val="single" w:sz="4" w:space="0" w:color="A6A6A6"/>
              <w:bottom w:val="single" w:sz="4" w:space="0" w:color="A6A6A6"/>
            </w:tcBorders>
            <w:noWrap/>
            <w:hideMark/>
          </w:tcPr>
          <w:p w14:paraId="44014D1C"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18.4</w:t>
            </w:r>
          </w:p>
        </w:tc>
        <w:tc>
          <w:tcPr>
            <w:tcW w:w="738" w:type="dxa"/>
            <w:tcBorders>
              <w:top w:val="single" w:sz="4" w:space="0" w:color="A6A6A6"/>
              <w:bottom w:val="single" w:sz="4" w:space="0" w:color="A6A6A6"/>
            </w:tcBorders>
            <w:noWrap/>
            <w:hideMark/>
          </w:tcPr>
          <w:p w14:paraId="00F80C82"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0.4</w:t>
            </w:r>
          </w:p>
        </w:tc>
        <w:tc>
          <w:tcPr>
            <w:tcW w:w="738" w:type="dxa"/>
            <w:tcBorders>
              <w:top w:val="single" w:sz="4" w:space="0" w:color="A6A6A6"/>
              <w:bottom w:val="single" w:sz="4" w:space="0" w:color="A6A6A6"/>
            </w:tcBorders>
            <w:noWrap/>
            <w:hideMark/>
          </w:tcPr>
          <w:p w14:paraId="470488D4"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0.2</w:t>
            </w:r>
          </w:p>
        </w:tc>
        <w:tc>
          <w:tcPr>
            <w:tcW w:w="590" w:type="dxa"/>
            <w:tcBorders>
              <w:top w:val="single" w:sz="4" w:space="0" w:color="A6A6A6"/>
              <w:bottom w:val="single" w:sz="4" w:space="0" w:color="A6A6A6"/>
            </w:tcBorders>
            <w:noWrap/>
            <w:hideMark/>
          </w:tcPr>
          <w:p w14:paraId="1402104D"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8.6</w:t>
            </w:r>
          </w:p>
        </w:tc>
        <w:tc>
          <w:tcPr>
            <w:tcW w:w="737" w:type="dxa"/>
            <w:tcBorders>
              <w:top w:val="single" w:sz="4" w:space="0" w:color="A6A6A6"/>
              <w:bottom w:val="single" w:sz="4" w:space="0" w:color="A6A6A6"/>
            </w:tcBorders>
            <w:noWrap/>
            <w:hideMark/>
          </w:tcPr>
          <w:p w14:paraId="2E380C67"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333.8</w:t>
            </w:r>
          </w:p>
        </w:tc>
        <w:tc>
          <w:tcPr>
            <w:tcW w:w="738" w:type="dxa"/>
            <w:tcBorders>
              <w:top w:val="single" w:sz="4" w:space="0" w:color="A6A6A6"/>
              <w:bottom w:val="single" w:sz="4" w:space="0" w:color="A6A6A6"/>
            </w:tcBorders>
            <w:noWrap/>
            <w:hideMark/>
          </w:tcPr>
          <w:p w14:paraId="37408843" w14:textId="77777777" w:rsidR="005F4A7E" w:rsidRPr="00C340B4" w:rsidRDefault="005F4A7E" w:rsidP="00130D1C">
            <w:pPr>
              <w:pStyle w:val="ARfintablebodyright"/>
              <w:spacing w:before="20" w:after="16" w:line="228" w:lineRule="auto"/>
              <w:ind w:right="0"/>
              <w:rPr>
                <w:sz w:val="15"/>
                <w:szCs w:val="15"/>
              </w:rPr>
            </w:pPr>
            <w:r>
              <w:rPr>
                <w:sz w:val="15"/>
                <w:szCs w:val="15"/>
              </w:rPr>
              <w:t>0.1</w:t>
            </w:r>
          </w:p>
        </w:tc>
        <w:tc>
          <w:tcPr>
            <w:tcW w:w="590" w:type="dxa"/>
            <w:tcBorders>
              <w:top w:val="single" w:sz="4" w:space="0" w:color="A6A6A6"/>
              <w:bottom w:val="single" w:sz="4" w:space="0" w:color="A6A6A6"/>
            </w:tcBorders>
            <w:noWrap/>
            <w:hideMark/>
          </w:tcPr>
          <w:p w14:paraId="41B838B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5363F402"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428.1</w:t>
            </w:r>
          </w:p>
        </w:tc>
      </w:tr>
      <w:tr w:rsidR="005F4A7E" w:rsidRPr="00624A63" w14:paraId="55DFD611" w14:textId="77777777" w:rsidTr="00130D1C">
        <w:trPr>
          <w:trHeight w:val="170"/>
        </w:trPr>
        <w:tc>
          <w:tcPr>
            <w:tcW w:w="2303" w:type="dxa"/>
            <w:tcBorders>
              <w:top w:val="single" w:sz="4" w:space="0" w:color="A6A6A6"/>
              <w:bottom w:val="single" w:sz="4" w:space="0" w:color="A6A6A6"/>
            </w:tcBorders>
            <w:hideMark/>
          </w:tcPr>
          <w:p w14:paraId="32B333C8" w14:textId="77777777" w:rsidR="005F4A7E" w:rsidRPr="00C340B4" w:rsidRDefault="005F4A7E" w:rsidP="00130D1C">
            <w:pPr>
              <w:pStyle w:val="ARfintablebody"/>
              <w:spacing w:before="20" w:after="16" w:line="228" w:lineRule="auto"/>
              <w:ind w:right="0"/>
              <w:rPr>
                <w:sz w:val="15"/>
                <w:szCs w:val="15"/>
              </w:rPr>
            </w:pPr>
            <w:r w:rsidRPr="00C340B4">
              <w:rPr>
                <w:sz w:val="15"/>
                <w:szCs w:val="15"/>
              </w:rPr>
              <w:t>Interest expense</w:t>
            </w:r>
          </w:p>
        </w:tc>
        <w:tc>
          <w:tcPr>
            <w:tcW w:w="938" w:type="dxa"/>
            <w:tcBorders>
              <w:top w:val="single" w:sz="4" w:space="0" w:color="A6A6A6"/>
              <w:bottom w:val="single" w:sz="4" w:space="0" w:color="A6A6A6"/>
            </w:tcBorders>
            <w:noWrap/>
            <w:hideMark/>
          </w:tcPr>
          <w:p w14:paraId="1FD64651" w14:textId="77777777" w:rsidR="005F4A7E" w:rsidRPr="00C340B4" w:rsidRDefault="005F4A7E" w:rsidP="00130D1C">
            <w:pPr>
              <w:pStyle w:val="ARfintablebodyright"/>
              <w:spacing w:before="20" w:after="16" w:line="228" w:lineRule="auto"/>
              <w:ind w:right="0"/>
              <w:rPr>
                <w:sz w:val="15"/>
                <w:szCs w:val="15"/>
              </w:rPr>
            </w:pPr>
            <w:r>
              <w:rPr>
                <w:sz w:val="15"/>
                <w:szCs w:val="15"/>
              </w:rPr>
              <w:t>0.7</w:t>
            </w:r>
          </w:p>
        </w:tc>
        <w:tc>
          <w:tcPr>
            <w:tcW w:w="737" w:type="dxa"/>
            <w:tcBorders>
              <w:top w:val="single" w:sz="4" w:space="0" w:color="A6A6A6"/>
              <w:bottom w:val="single" w:sz="4" w:space="0" w:color="A6A6A6"/>
            </w:tcBorders>
            <w:noWrap/>
            <w:hideMark/>
          </w:tcPr>
          <w:p w14:paraId="7A544FE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bottom w:val="single" w:sz="4" w:space="0" w:color="A6A6A6"/>
            </w:tcBorders>
            <w:noWrap/>
            <w:hideMark/>
          </w:tcPr>
          <w:p w14:paraId="0F8AB095"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0.2</w:t>
            </w:r>
          </w:p>
        </w:tc>
        <w:tc>
          <w:tcPr>
            <w:tcW w:w="709" w:type="dxa"/>
            <w:tcBorders>
              <w:top w:val="single" w:sz="4" w:space="0" w:color="A6A6A6"/>
              <w:bottom w:val="single" w:sz="4" w:space="0" w:color="A6A6A6"/>
            </w:tcBorders>
            <w:noWrap/>
            <w:hideMark/>
          </w:tcPr>
          <w:p w14:paraId="56A4FF3F"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0.3</w:t>
            </w:r>
          </w:p>
        </w:tc>
        <w:tc>
          <w:tcPr>
            <w:tcW w:w="757" w:type="dxa"/>
            <w:tcBorders>
              <w:top w:val="single" w:sz="4" w:space="0" w:color="A6A6A6"/>
              <w:bottom w:val="single" w:sz="4" w:space="0" w:color="A6A6A6"/>
            </w:tcBorders>
            <w:noWrap/>
            <w:hideMark/>
          </w:tcPr>
          <w:p w14:paraId="12E0F9C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0.1</w:t>
            </w:r>
          </w:p>
        </w:tc>
        <w:tc>
          <w:tcPr>
            <w:tcW w:w="639" w:type="dxa"/>
            <w:tcBorders>
              <w:top w:val="single" w:sz="4" w:space="0" w:color="A6A6A6"/>
              <w:bottom w:val="single" w:sz="4" w:space="0" w:color="A6A6A6"/>
            </w:tcBorders>
            <w:noWrap/>
            <w:hideMark/>
          </w:tcPr>
          <w:p w14:paraId="5BDB956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12001E5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0.5</w:t>
            </w:r>
          </w:p>
        </w:tc>
        <w:tc>
          <w:tcPr>
            <w:tcW w:w="708" w:type="dxa"/>
            <w:tcBorders>
              <w:top w:val="single" w:sz="4" w:space="0" w:color="A6A6A6"/>
              <w:bottom w:val="single" w:sz="4" w:space="0" w:color="A6A6A6"/>
            </w:tcBorders>
            <w:noWrap/>
            <w:hideMark/>
          </w:tcPr>
          <w:p w14:paraId="2997A0E1"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0.1</w:t>
            </w:r>
          </w:p>
        </w:tc>
        <w:tc>
          <w:tcPr>
            <w:tcW w:w="749" w:type="dxa"/>
            <w:tcBorders>
              <w:top w:val="single" w:sz="4" w:space="0" w:color="A6A6A6"/>
              <w:bottom w:val="single" w:sz="4" w:space="0" w:color="A6A6A6"/>
            </w:tcBorders>
            <w:noWrap/>
            <w:hideMark/>
          </w:tcPr>
          <w:p w14:paraId="3903ABF5"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1.3</w:t>
            </w:r>
          </w:p>
        </w:tc>
        <w:tc>
          <w:tcPr>
            <w:tcW w:w="738" w:type="dxa"/>
            <w:tcBorders>
              <w:top w:val="single" w:sz="4" w:space="0" w:color="A6A6A6"/>
              <w:bottom w:val="single" w:sz="4" w:space="0" w:color="A6A6A6"/>
            </w:tcBorders>
            <w:noWrap/>
            <w:hideMark/>
          </w:tcPr>
          <w:p w14:paraId="5CE8B62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2.5</w:t>
            </w:r>
          </w:p>
        </w:tc>
        <w:tc>
          <w:tcPr>
            <w:tcW w:w="738" w:type="dxa"/>
            <w:tcBorders>
              <w:top w:val="single" w:sz="4" w:space="0" w:color="A6A6A6"/>
              <w:bottom w:val="single" w:sz="4" w:space="0" w:color="A6A6A6"/>
            </w:tcBorders>
            <w:noWrap/>
            <w:hideMark/>
          </w:tcPr>
          <w:p w14:paraId="66A03846"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2B9BD44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142BBBD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0.1</w:t>
            </w:r>
          </w:p>
        </w:tc>
        <w:tc>
          <w:tcPr>
            <w:tcW w:w="737" w:type="dxa"/>
            <w:tcBorders>
              <w:top w:val="single" w:sz="4" w:space="0" w:color="A6A6A6"/>
              <w:bottom w:val="single" w:sz="4" w:space="0" w:color="A6A6A6"/>
            </w:tcBorders>
            <w:noWrap/>
            <w:hideMark/>
          </w:tcPr>
          <w:p w14:paraId="6CD2710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1.2</w:t>
            </w:r>
          </w:p>
        </w:tc>
        <w:tc>
          <w:tcPr>
            <w:tcW w:w="738" w:type="dxa"/>
            <w:tcBorders>
              <w:top w:val="single" w:sz="4" w:space="0" w:color="A6A6A6"/>
              <w:bottom w:val="single" w:sz="4" w:space="0" w:color="A6A6A6"/>
            </w:tcBorders>
            <w:noWrap/>
            <w:hideMark/>
          </w:tcPr>
          <w:p w14:paraId="6047541D"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2B72C177"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6C74BF67"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7.0</w:t>
            </w:r>
          </w:p>
        </w:tc>
      </w:tr>
      <w:tr w:rsidR="005F4A7E" w:rsidRPr="00624A63" w14:paraId="452A03CE" w14:textId="77777777" w:rsidTr="00130D1C">
        <w:trPr>
          <w:trHeight w:val="170"/>
        </w:trPr>
        <w:tc>
          <w:tcPr>
            <w:tcW w:w="2303" w:type="dxa"/>
            <w:tcBorders>
              <w:top w:val="single" w:sz="4" w:space="0" w:color="A6A6A6"/>
              <w:bottom w:val="single" w:sz="4" w:space="0" w:color="A6A6A6"/>
            </w:tcBorders>
            <w:hideMark/>
          </w:tcPr>
          <w:p w14:paraId="07242990" w14:textId="77777777" w:rsidR="005F4A7E" w:rsidRPr="00C340B4" w:rsidRDefault="005F4A7E" w:rsidP="00130D1C">
            <w:pPr>
              <w:pStyle w:val="ARfintablebody"/>
              <w:spacing w:before="20" w:after="16" w:line="228" w:lineRule="auto"/>
              <w:ind w:right="0"/>
              <w:rPr>
                <w:sz w:val="15"/>
                <w:szCs w:val="15"/>
              </w:rPr>
            </w:pPr>
            <w:r w:rsidRPr="00C340B4">
              <w:rPr>
                <w:sz w:val="15"/>
                <w:szCs w:val="15"/>
              </w:rPr>
              <w:t>Maintenance</w:t>
            </w:r>
          </w:p>
        </w:tc>
        <w:tc>
          <w:tcPr>
            <w:tcW w:w="938" w:type="dxa"/>
            <w:tcBorders>
              <w:top w:val="single" w:sz="4" w:space="0" w:color="A6A6A6"/>
              <w:bottom w:val="single" w:sz="4" w:space="0" w:color="A6A6A6"/>
            </w:tcBorders>
            <w:noWrap/>
            <w:hideMark/>
          </w:tcPr>
          <w:p w14:paraId="115B358F" w14:textId="77777777" w:rsidR="005F4A7E" w:rsidRPr="00C340B4" w:rsidRDefault="005F4A7E" w:rsidP="00130D1C">
            <w:pPr>
              <w:pStyle w:val="ARfintablebodyright"/>
              <w:spacing w:before="20" w:after="16" w:line="228" w:lineRule="auto"/>
              <w:ind w:right="0"/>
              <w:rPr>
                <w:sz w:val="15"/>
                <w:szCs w:val="15"/>
              </w:rPr>
            </w:pPr>
            <w:r>
              <w:rPr>
                <w:sz w:val="15"/>
                <w:szCs w:val="15"/>
              </w:rPr>
              <w:t>0.2</w:t>
            </w:r>
          </w:p>
        </w:tc>
        <w:tc>
          <w:tcPr>
            <w:tcW w:w="737" w:type="dxa"/>
            <w:tcBorders>
              <w:top w:val="single" w:sz="4" w:space="0" w:color="A6A6A6"/>
              <w:bottom w:val="single" w:sz="4" w:space="0" w:color="A6A6A6"/>
            </w:tcBorders>
            <w:noWrap/>
            <w:hideMark/>
          </w:tcPr>
          <w:p w14:paraId="732263EC"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bottom w:val="single" w:sz="4" w:space="0" w:color="A6A6A6"/>
            </w:tcBorders>
            <w:noWrap/>
            <w:hideMark/>
          </w:tcPr>
          <w:p w14:paraId="09603EB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0.4</w:t>
            </w:r>
          </w:p>
        </w:tc>
        <w:tc>
          <w:tcPr>
            <w:tcW w:w="709" w:type="dxa"/>
            <w:tcBorders>
              <w:top w:val="single" w:sz="4" w:space="0" w:color="A6A6A6"/>
              <w:bottom w:val="single" w:sz="4" w:space="0" w:color="A6A6A6"/>
            </w:tcBorders>
            <w:noWrap/>
            <w:hideMark/>
          </w:tcPr>
          <w:p w14:paraId="4C51936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57" w:type="dxa"/>
            <w:tcBorders>
              <w:top w:val="single" w:sz="4" w:space="0" w:color="A6A6A6"/>
              <w:bottom w:val="single" w:sz="4" w:space="0" w:color="A6A6A6"/>
            </w:tcBorders>
            <w:noWrap/>
            <w:hideMark/>
          </w:tcPr>
          <w:p w14:paraId="70915386"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0.1</w:t>
            </w:r>
          </w:p>
        </w:tc>
        <w:tc>
          <w:tcPr>
            <w:tcW w:w="639" w:type="dxa"/>
            <w:tcBorders>
              <w:top w:val="single" w:sz="4" w:space="0" w:color="A6A6A6"/>
              <w:bottom w:val="single" w:sz="4" w:space="0" w:color="A6A6A6"/>
            </w:tcBorders>
            <w:noWrap/>
            <w:hideMark/>
          </w:tcPr>
          <w:p w14:paraId="123E2BD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7624FA85"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03ABC698"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9" w:type="dxa"/>
            <w:tcBorders>
              <w:top w:val="single" w:sz="4" w:space="0" w:color="A6A6A6"/>
              <w:bottom w:val="single" w:sz="4" w:space="0" w:color="A6A6A6"/>
            </w:tcBorders>
            <w:noWrap/>
            <w:hideMark/>
          </w:tcPr>
          <w:p w14:paraId="6FEE558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11.1</w:t>
            </w:r>
          </w:p>
        </w:tc>
        <w:tc>
          <w:tcPr>
            <w:tcW w:w="738" w:type="dxa"/>
            <w:tcBorders>
              <w:top w:val="single" w:sz="4" w:space="0" w:color="A6A6A6"/>
              <w:bottom w:val="single" w:sz="4" w:space="0" w:color="A6A6A6"/>
            </w:tcBorders>
            <w:noWrap/>
            <w:hideMark/>
          </w:tcPr>
          <w:p w14:paraId="25536772"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6.0</w:t>
            </w:r>
          </w:p>
        </w:tc>
        <w:tc>
          <w:tcPr>
            <w:tcW w:w="738" w:type="dxa"/>
            <w:tcBorders>
              <w:top w:val="single" w:sz="4" w:space="0" w:color="A6A6A6"/>
              <w:bottom w:val="single" w:sz="4" w:space="0" w:color="A6A6A6"/>
            </w:tcBorders>
            <w:noWrap/>
            <w:hideMark/>
          </w:tcPr>
          <w:p w14:paraId="0BB446C6"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1E0BE2E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490CDB56"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0D475227"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218.3</w:t>
            </w:r>
          </w:p>
        </w:tc>
        <w:tc>
          <w:tcPr>
            <w:tcW w:w="738" w:type="dxa"/>
            <w:tcBorders>
              <w:top w:val="single" w:sz="4" w:space="0" w:color="A6A6A6"/>
              <w:bottom w:val="single" w:sz="4" w:space="0" w:color="A6A6A6"/>
            </w:tcBorders>
            <w:noWrap/>
            <w:hideMark/>
          </w:tcPr>
          <w:p w14:paraId="042768D4"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76ED4B81"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0876807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236.1</w:t>
            </w:r>
          </w:p>
        </w:tc>
      </w:tr>
      <w:tr w:rsidR="005F4A7E" w:rsidRPr="00624A63" w14:paraId="3BC87310" w14:textId="77777777" w:rsidTr="00130D1C">
        <w:trPr>
          <w:trHeight w:val="170"/>
        </w:trPr>
        <w:tc>
          <w:tcPr>
            <w:tcW w:w="2303" w:type="dxa"/>
            <w:tcBorders>
              <w:top w:val="single" w:sz="4" w:space="0" w:color="A6A6A6"/>
              <w:bottom w:val="single" w:sz="4" w:space="0" w:color="A6A6A6"/>
            </w:tcBorders>
            <w:hideMark/>
          </w:tcPr>
          <w:p w14:paraId="77E0DBBC" w14:textId="77777777" w:rsidR="005F4A7E" w:rsidRPr="00C340B4" w:rsidRDefault="005F4A7E" w:rsidP="00130D1C">
            <w:pPr>
              <w:pStyle w:val="ARfintablebody"/>
              <w:spacing w:before="20" w:after="16" w:line="228" w:lineRule="auto"/>
              <w:ind w:right="0"/>
              <w:rPr>
                <w:sz w:val="15"/>
                <w:szCs w:val="15"/>
              </w:rPr>
            </w:pPr>
            <w:r w:rsidRPr="00C340B4">
              <w:rPr>
                <w:sz w:val="15"/>
                <w:szCs w:val="15"/>
              </w:rPr>
              <w:t>Fair value of assets and services provided free of charge or for nominal consideration</w:t>
            </w:r>
          </w:p>
        </w:tc>
        <w:tc>
          <w:tcPr>
            <w:tcW w:w="938" w:type="dxa"/>
            <w:tcBorders>
              <w:top w:val="single" w:sz="4" w:space="0" w:color="A6A6A6"/>
              <w:bottom w:val="single" w:sz="4" w:space="0" w:color="A6A6A6"/>
            </w:tcBorders>
            <w:noWrap/>
            <w:hideMark/>
          </w:tcPr>
          <w:p w14:paraId="085ABCB4" w14:textId="77777777" w:rsidR="005F4A7E" w:rsidRPr="00C340B4" w:rsidRDefault="005F4A7E" w:rsidP="00130D1C">
            <w:pPr>
              <w:pStyle w:val="ARfintablebodyright"/>
              <w:spacing w:before="20" w:after="16" w:line="228" w:lineRule="auto"/>
              <w:ind w:right="0"/>
              <w:rPr>
                <w:sz w:val="15"/>
                <w:szCs w:val="15"/>
              </w:rPr>
            </w:pPr>
            <w:r>
              <w:rPr>
                <w:sz w:val="15"/>
                <w:szCs w:val="15"/>
              </w:rPr>
              <w:t>31.6</w:t>
            </w:r>
          </w:p>
        </w:tc>
        <w:tc>
          <w:tcPr>
            <w:tcW w:w="737" w:type="dxa"/>
            <w:tcBorders>
              <w:top w:val="single" w:sz="4" w:space="0" w:color="A6A6A6"/>
              <w:bottom w:val="single" w:sz="4" w:space="0" w:color="A6A6A6"/>
            </w:tcBorders>
            <w:noWrap/>
            <w:hideMark/>
          </w:tcPr>
          <w:p w14:paraId="1C05ED2E"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bottom w:val="single" w:sz="4" w:space="0" w:color="A6A6A6"/>
            </w:tcBorders>
            <w:noWrap/>
            <w:hideMark/>
          </w:tcPr>
          <w:p w14:paraId="2A68C27F"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9" w:type="dxa"/>
            <w:tcBorders>
              <w:top w:val="single" w:sz="4" w:space="0" w:color="A6A6A6"/>
              <w:bottom w:val="single" w:sz="4" w:space="0" w:color="A6A6A6"/>
            </w:tcBorders>
            <w:noWrap/>
            <w:hideMark/>
          </w:tcPr>
          <w:p w14:paraId="0FFA523D"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57" w:type="dxa"/>
            <w:tcBorders>
              <w:top w:val="single" w:sz="4" w:space="0" w:color="A6A6A6"/>
              <w:bottom w:val="single" w:sz="4" w:space="0" w:color="A6A6A6"/>
            </w:tcBorders>
            <w:noWrap/>
            <w:hideMark/>
          </w:tcPr>
          <w:p w14:paraId="1131A84F"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639" w:type="dxa"/>
            <w:tcBorders>
              <w:top w:val="single" w:sz="4" w:space="0" w:color="A6A6A6"/>
              <w:bottom w:val="single" w:sz="4" w:space="0" w:color="A6A6A6"/>
            </w:tcBorders>
            <w:noWrap/>
            <w:hideMark/>
          </w:tcPr>
          <w:p w14:paraId="39129061"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18399D2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754D9DD4"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9" w:type="dxa"/>
            <w:tcBorders>
              <w:top w:val="single" w:sz="4" w:space="0" w:color="A6A6A6"/>
              <w:bottom w:val="single" w:sz="4" w:space="0" w:color="A6A6A6"/>
            </w:tcBorders>
            <w:noWrap/>
            <w:hideMark/>
          </w:tcPr>
          <w:p w14:paraId="3DACB99D"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0.6</w:t>
            </w:r>
          </w:p>
        </w:tc>
        <w:tc>
          <w:tcPr>
            <w:tcW w:w="738" w:type="dxa"/>
            <w:tcBorders>
              <w:top w:val="single" w:sz="4" w:space="0" w:color="A6A6A6"/>
              <w:bottom w:val="single" w:sz="4" w:space="0" w:color="A6A6A6"/>
            </w:tcBorders>
            <w:noWrap/>
            <w:hideMark/>
          </w:tcPr>
          <w:p w14:paraId="26598F95"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0.1</w:t>
            </w:r>
          </w:p>
        </w:tc>
        <w:tc>
          <w:tcPr>
            <w:tcW w:w="738" w:type="dxa"/>
            <w:tcBorders>
              <w:top w:val="single" w:sz="4" w:space="0" w:color="A6A6A6"/>
              <w:bottom w:val="single" w:sz="4" w:space="0" w:color="A6A6A6"/>
            </w:tcBorders>
            <w:noWrap/>
            <w:hideMark/>
          </w:tcPr>
          <w:p w14:paraId="54E60EE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18D6DAF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0599D7F2"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79FE1F9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250E413E"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2EE99E4C"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536A9AF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32.3</w:t>
            </w:r>
          </w:p>
        </w:tc>
      </w:tr>
      <w:tr w:rsidR="005F4A7E" w:rsidRPr="00624A63" w14:paraId="3DEAE3C9" w14:textId="77777777" w:rsidTr="00130D1C">
        <w:trPr>
          <w:trHeight w:val="170"/>
        </w:trPr>
        <w:tc>
          <w:tcPr>
            <w:tcW w:w="2303" w:type="dxa"/>
            <w:tcBorders>
              <w:top w:val="single" w:sz="4" w:space="0" w:color="A6A6A6"/>
              <w:bottom w:val="single" w:sz="4" w:space="0" w:color="A6A6A6"/>
            </w:tcBorders>
            <w:hideMark/>
          </w:tcPr>
          <w:p w14:paraId="13F30B86" w14:textId="77777777" w:rsidR="005F4A7E" w:rsidRPr="00C340B4" w:rsidRDefault="005F4A7E" w:rsidP="00130D1C">
            <w:pPr>
              <w:pStyle w:val="ARfintablebody"/>
              <w:spacing w:before="20" w:after="16" w:line="228" w:lineRule="auto"/>
              <w:ind w:right="0"/>
              <w:rPr>
                <w:sz w:val="15"/>
                <w:szCs w:val="15"/>
              </w:rPr>
            </w:pPr>
            <w:r w:rsidRPr="00C340B4">
              <w:rPr>
                <w:sz w:val="15"/>
                <w:szCs w:val="15"/>
              </w:rPr>
              <w:t>Other operating expenses</w:t>
            </w:r>
          </w:p>
        </w:tc>
        <w:tc>
          <w:tcPr>
            <w:tcW w:w="938" w:type="dxa"/>
            <w:tcBorders>
              <w:top w:val="single" w:sz="4" w:space="0" w:color="A6A6A6"/>
              <w:bottom w:val="single" w:sz="4" w:space="0" w:color="A6A6A6"/>
            </w:tcBorders>
            <w:noWrap/>
            <w:hideMark/>
          </w:tcPr>
          <w:p w14:paraId="6E0DDDEE" w14:textId="77777777" w:rsidR="005F4A7E" w:rsidRPr="00C340B4" w:rsidRDefault="005F4A7E" w:rsidP="00130D1C">
            <w:pPr>
              <w:pStyle w:val="ARfintablebodyright"/>
              <w:spacing w:before="20" w:after="16" w:line="228" w:lineRule="auto"/>
              <w:ind w:right="0"/>
              <w:rPr>
                <w:sz w:val="15"/>
                <w:szCs w:val="15"/>
              </w:rPr>
            </w:pPr>
            <w:r>
              <w:rPr>
                <w:sz w:val="15"/>
                <w:szCs w:val="15"/>
              </w:rPr>
              <w:t>176.1</w:t>
            </w:r>
          </w:p>
        </w:tc>
        <w:tc>
          <w:tcPr>
            <w:tcW w:w="737" w:type="dxa"/>
            <w:tcBorders>
              <w:top w:val="single" w:sz="4" w:space="0" w:color="A6A6A6"/>
              <w:bottom w:val="single" w:sz="4" w:space="0" w:color="A6A6A6"/>
            </w:tcBorders>
            <w:noWrap/>
            <w:hideMark/>
          </w:tcPr>
          <w:p w14:paraId="2507F3E4"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0.8</w:t>
            </w:r>
          </w:p>
        </w:tc>
        <w:tc>
          <w:tcPr>
            <w:tcW w:w="598" w:type="dxa"/>
            <w:tcBorders>
              <w:top w:val="single" w:sz="4" w:space="0" w:color="A6A6A6"/>
              <w:bottom w:val="single" w:sz="4" w:space="0" w:color="A6A6A6"/>
            </w:tcBorders>
            <w:noWrap/>
            <w:hideMark/>
          </w:tcPr>
          <w:p w14:paraId="3D243231"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19.4</w:t>
            </w:r>
          </w:p>
        </w:tc>
        <w:tc>
          <w:tcPr>
            <w:tcW w:w="709" w:type="dxa"/>
            <w:tcBorders>
              <w:top w:val="single" w:sz="4" w:space="0" w:color="A6A6A6"/>
              <w:bottom w:val="single" w:sz="4" w:space="0" w:color="A6A6A6"/>
            </w:tcBorders>
            <w:noWrap/>
            <w:hideMark/>
          </w:tcPr>
          <w:p w14:paraId="30A65CC4"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19.4</w:t>
            </w:r>
          </w:p>
        </w:tc>
        <w:tc>
          <w:tcPr>
            <w:tcW w:w="757" w:type="dxa"/>
            <w:tcBorders>
              <w:top w:val="single" w:sz="4" w:space="0" w:color="A6A6A6"/>
              <w:bottom w:val="single" w:sz="4" w:space="0" w:color="A6A6A6"/>
            </w:tcBorders>
            <w:noWrap/>
            <w:hideMark/>
          </w:tcPr>
          <w:p w14:paraId="7941924F"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95.3</w:t>
            </w:r>
          </w:p>
        </w:tc>
        <w:tc>
          <w:tcPr>
            <w:tcW w:w="639" w:type="dxa"/>
            <w:tcBorders>
              <w:top w:val="single" w:sz="4" w:space="0" w:color="A6A6A6"/>
              <w:bottom w:val="single" w:sz="4" w:space="0" w:color="A6A6A6"/>
            </w:tcBorders>
            <w:noWrap/>
            <w:hideMark/>
          </w:tcPr>
          <w:p w14:paraId="6396C8FF"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3.6</w:t>
            </w:r>
          </w:p>
        </w:tc>
        <w:tc>
          <w:tcPr>
            <w:tcW w:w="708" w:type="dxa"/>
            <w:tcBorders>
              <w:top w:val="single" w:sz="4" w:space="0" w:color="A6A6A6"/>
              <w:bottom w:val="single" w:sz="4" w:space="0" w:color="A6A6A6"/>
            </w:tcBorders>
            <w:noWrap/>
            <w:hideMark/>
          </w:tcPr>
          <w:p w14:paraId="2AA9D8D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74.1</w:t>
            </w:r>
          </w:p>
        </w:tc>
        <w:tc>
          <w:tcPr>
            <w:tcW w:w="708" w:type="dxa"/>
            <w:tcBorders>
              <w:top w:val="single" w:sz="4" w:space="0" w:color="A6A6A6"/>
              <w:bottom w:val="single" w:sz="4" w:space="0" w:color="A6A6A6"/>
            </w:tcBorders>
            <w:noWrap/>
            <w:hideMark/>
          </w:tcPr>
          <w:p w14:paraId="50F0BA1F"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7.3</w:t>
            </w:r>
          </w:p>
        </w:tc>
        <w:tc>
          <w:tcPr>
            <w:tcW w:w="749" w:type="dxa"/>
            <w:tcBorders>
              <w:top w:val="single" w:sz="4" w:space="0" w:color="A6A6A6"/>
              <w:bottom w:val="single" w:sz="4" w:space="0" w:color="A6A6A6"/>
            </w:tcBorders>
            <w:noWrap/>
            <w:hideMark/>
          </w:tcPr>
          <w:p w14:paraId="3E21276E"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74.4</w:t>
            </w:r>
          </w:p>
        </w:tc>
        <w:tc>
          <w:tcPr>
            <w:tcW w:w="738" w:type="dxa"/>
            <w:tcBorders>
              <w:top w:val="single" w:sz="4" w:space="0" w:color="A6A6A6"/>
              <w:bottom w:val="single" w:sz="4" w:space="0" w:color="A6A6A6"/>
            </w:tcBorders>
            <w:noWrap/>
            <w:hideMark/>
          </w:tcPr>
          <w:p w14:paraId="18F27D95"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132.9</w:t>
            </w:r>
          </w:p>
        </w:tc>
        <w:tc>
          <w:tcPr>
            <w:tcW w:w="738" w:type="dxa"/>
            <w:tcBorders>
              <w:top w:val="single" w:sz="4" w:space="0" w:color="A6A6A6"/>
              <w:bottom w:val="single" w:sz="4" w:space="0" w:color="A6A6A6"/>
            </w:tcBorders>
            <w:noWrap/>
            <w:hideMark/>
          </w:tcPr>
          <w:p w14:paraId="29C86FB5"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4.1</w:t>
            </w:r>
          </w:p>
        </w:tc>
        <w:tc>
          <w:tcPr>
            <w:tcW w:w="738" w:type="dxa"/>
            <w:tcBorders>
              <w:top w:val="single" w:sz="4" w:space="0" w:color="A6A6A6"/>
              <w:bottom w:val="single" w:sz="4" w:space="0" w:color="A6A6A6"/>
            </w:tcBorders>
            <w:noWrap/>
            <w:hideMark/>
          </w:tcPr>
          <w:p w14:paraId="09723D8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1.1</w:t>
            </w:r>
          </w:p>
        </w:tc>
        <w:tc>
          <w:tcPr>
            <w:tcW w:w="590" w:type="dxa"/>
            <w:tcBorders>
              <w:top w:val="single" w:sz="4" w:space="0" w:color="A6A6A6"/>
              <w:bottom w:val="single" w:sz="4" w:space="0" w:color="A6A6A6"/>
            </w:tcBorders>
            <w:noWrap/>
            <w:hideMark/>
          </w:tcPr>
          <w:p w14:paraId="7EAF6EE2"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27.1</w:t>
            </w:r>
          </w:p>
        </w:tc>
        <w:tc>
          <w:tcPr>
            <w:tcW w:w="737" w:type="dxa"/>
            <w:tcBorders>
              <w:top w:val="single" w:sz="4" w:space="0" w:color="A6A6A6"/>
              <w:bottom w:val="single" w:sz="4" w:space="0" w:color="A6A6A6"/>
            </w:tcBorders>
            <w:noWrap/>
            <w:hideMark/>
          </w:tcPr>
          <w:p w14:paraId="2B3DC432"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52.0</w:t>
            </w:r>
          </w:p>
        </w:tc>
        <w:tc>
          <w:tcPr>
            <w:tcW w:w="738" w:type="dxa"/>
            <w:tcBorders>
              <w:top w:val="single" w:sz="4" w:space="0" w:color="A6A6A6"/>
              <w:bottom w:val="single" w:sz="4" w:space="0" w:color="A6A6A6"/>
            </w:tcBorders>
            <w:noWrap/>
            <w:hideMark/>
          </w:tcPr>
          <w:p w14:paraId="7B9C81CF" w14:textId="77777777" w:rsidR="005F4A7E" w:rsidRPr="00C340B4" w:rsidRDefault="005F4A7E" w:rsidP="00130D1C">
            <w:pPr>
              <w:pStyle w:val="ARfintablebodyright"/>
              <w:spacing w:before="20" w:after="16" w:line="228" w:lineRule="auto"/>
              <w:ind w:right="0"/>
              <w:rPr>
                <w:sz w:val="15"/>
                <w:szCs w:val="15"/>
              </w:rPr>
            </w:pPr>
            <w:r>
              <w:rPr>
                <w:sz w:val="15"/>
                <w:szCs w:val="15"/>
              </w:rPr>
              <w:t>1.8</w:t>
            </w:r>
          </w:p>
        </w:tc>
        <w:tc>
          <w:tcPr>
            <w:tcW w:w="590" w:type="dxa"/>
            <w:tcBorders>
              <w:top w:val="single" w:sz="4" w:space="0" w:color="A6A6A6"/>
              <w:bottom w:val="single" w:sz="4" w:space="0" w:color="A6A6A6"/>
            </w:tcBorders>
            <w:noWrap/>
            <w:hideMark/>
          </w:tcPr>
          <w:p w14:paraId="3E2CE5A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5B71F5AD"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689.4</w:t>
            </w:r>
          </w:p>
        </w:tc>
      </w:tr>
      <w:tr w:rsidR="005F4A7E" w:rsidRPr="00624A63" w14:paraId="0288E689" w14:textId="77777777" w:rsidTr="00130D1C">
        <w:trPr>
          <w:trHeight w:val="170"/>
        </w:trPr>
        <w:tc>
          <w:tcPr>
            <w:tcW w:w="2303" w:type="dxa"/>
            <w:tcBorders>
              <w:top w:val="single" w:sz="4" w:space="0" w:color="A6A6A6"/>
              <w:bottom w:val="single" w:sz="4" w:space="0" w:color="A6A6A6"/>
            </w:tcBorders>
            <w:hideMark/>
          </w:tcPr>
          <w:p w14:paraId="77316C1C" w14:textId="77777777" w:rsidR="005F4A7E" w:rsidRPr="00C340B4" w:rsidRDefault="005F4A7E" w:rsidP="00130D1C">
            <w:pPr>
              <w:pStyle w:val="ARfintablebody"/>
              <w:spacing w:before="20" w:after="16" w:line="228" w:lineRule="auto"/>
              <w:ind w:right="0"/>
              <w:rPr>
                <w:sz w:val="15"/>
                <w:szCs w:val="15"/>
              </w:rPr>
            </w:pPr>
            <w:r w:rsidRPr="00C340B4">
              <w:rPr>
                <w:sz w:val="15"/>
                <w:szCs w:val="15"/>
              </w:rPr>
              <w:t>Grants and other expense transfers</w:t>
            </w:r>
          </w:p>
        </w:tc>
        <w:tc>
          <w:tcPr>
            <w:tcW w:w="938" w:type="dxa"/>
            <w:tcBorders>
              <w:top w:val="single" w:sz="4" w:space="0" w:color="A6A6A6"/>
              <w:bottom w:val="single" w:sz="4" w:space="0" w:color="A6A6A6"/>
            </w:tcBorders>
            <w:noWrap/>
            <w:hideMark/>
          </w:tcPr>
          <w:p w14:paraId="3E0D630F" w14:textId="77777777" w:rsidR="005F4A7E" w:rsidRPr="00C340B4" w:rsidRDefault="005F4A7E" w:rsidP="00130D1C">
            <w:pPr>
              <w:pStyle w:val="ARfintablebodyright"/>
              <w:spacing w:before="20" w:after="16" w:line="228" w:lineRule="auto"/>
              <w:ind w:right="0"/>
              <w:rPr>
                <w:sz w:val="15"/>
                <w:szCs w:val="15"/>
              </w:rPr>
            </w:pPr>
            <w:r>
              <w:rPr>
                <w:sz w:val="15"/>
                <w:szCs w:val="15"/>
              </w:rPr>
              <w:t>9,163.4</w:t>
            </w:r>
          </w:p>
        </w:tc>
        <w:tc>
          <w:tcPr>
            <w:tcW w:w="737" w:type="dxa"/>
            <w:tcBorders>
              <w:top w:val="single" w:sz="4" w:space="0" w:color="A6A6A6"/>
              <w:bottom w:val="single" w:sz="4" w:space="0" w:color="A6A6A6"/>
            </w:tcBorders>
            <w:noWrap/>
            <w:hideMark/>
          </w:tcPr>
          <w:p w14:paraId="229E1E14"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807.1</w:t>
            </w:r>
          </w:p>
        </w:tc>
        <w:tc>
          <w:tcPr>
            <w:tcW w:w="598" w:type="dxa"/>
            <w:tcBorders>
              <w:top w:val="single" w:sz="4" w:space="0" w:color="A6A6A6"/>
              <w:bottom w:val="single" w:sz="4" w:space="0" w:color="A6A6A6"/>
            </w:tcBorders>
            <w:noWrap/>
            <w:hideMark/>
          </w:tcPr>
          <w:p w14:paraId="26F4A0C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1,344.9</w:t>
            </w:r>
          </w:p>
        </w:tc>
        <w:tc>
          <w:tcPr>
            <w:tcW w:w="709" w:type="dxa"/>
            <w:tcBorders>
              <w:top w:val="single" w:sz="4" w:space="0" w:color="A6A6A6"/>
              <w:bottom w:val="single" w:sz="4" w:space="0" w:color="A6A6A6"/>
            </w:tcBorders>
            <w:noWrap/>
            <w:hideMark/>
          </w:tcPr>
          <w:p w14:paraId="11C814DC"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416.6</w:t>
            </w:r>
          </w:p>
        </w:tc>
        <w:tc>
          <w:tcPr>
            <w:tcW w:w="757" w:type="dxa"/>
            <w:tcBorders>
              <w:top w:val="single" w:sz="4" w:space="0" w:color="A6A6A6"/>
              <w:bottom w:val="single" w:sz="4" w:space="0" w:color="A6A6A6"/>
            </w:tcBorders>
            <w:noWrap/>
            <w:hideMark/>
          </w:tcPr>
          <w:p w14:paraId="43D5025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512.5</w:t>
            </w:r>
          </w:p>
        </w:tc>
        <w:tc>
          <w:tcPr>
            <w:tcW w:w="639" w:type="dxa"/>
            <w:tcBorders>
              <w:top w:val="single" w:sz="4" w:space="0" w:color="A6A6A6"/>
              <w:bottom w:val="single" w:sz="4" w:space="0" w:color="A6A6A6"/>
            </w:tcBorders>
            <w:noWrap/>
            <w:hideMark/>
          </w:tcPr>
          <w:p w14:paraId="5DC82D01"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380.4</w:t>
            </w:r>
          </w:p>
        </w:tc>
        <w:tc>
          <w:tcPr>
            <w:tcW w:w="708" w:type="dxa"/>
            <w:tcBorders>
              <w:top w:val="single" w:sz="4" w:space="0" w:color="A6A6A6"/>
              <w:bottom w:val="single" w:sz="4" w:space="0" w:color="A6A6A6"/>
            </w:tcBorders>
            <w:noWrap/>
            <w:hideMark/>
          </w:tcPr>
          <w:p w14:paraId="6373784C"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326.5</w:t>
            </w:r>
          </w:p>
        </w:tc>
        <w:tc>
          <w:tcPr>
            <w:tcW w:w="708" w:type="dxa"/>
            <w:tcBorders>
              <w:top w:val="single" w:sz="4" w:space="0" w:color="A6A6A6"/>
              <w:bottom w:val="single" w:sz="4" w:space="0" w:color="A6A6A6"/>
            </w:tcBorders>
            <w:noWrap/>
            <w:hideMark/>
          </w:tcPr>
          <w:p w14:paraId="5FDADBE4"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246.3</w:t>
            </w:r>
          </w:p>
        </w:tc>
        <w:tc>
          <w:tcPr>
            <w:tcW w:w="749" w:type="dxa"/>
            <w:tcBorders>
              <w:top w:val="single" w:sz="4" w:space="0" w:color="A6A6A6"/>
              <w:bottom w:val="single" w:sz="4" w:space="0" w:color="A6A6A6"/>
            </w:tcBorders>
            <w:noWrap/>
            <w:hideMark/>
          </w:tcPr>
          <w:p w14:paraId="6A32A35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1,698.5</w:t>
            </w:r>
          </w:p>
        </w:tc>
        <w:tc>
          <w:tcPr>
            <w:tcW w:w="738" w:type="dxa"/>
            <w:tcBorders>
              <w:top w:val="single" w:sz="4" w:space="0" w:color="A6A6A6"/>
              <w:bottom w:val="single" w:sz="4" w:space="0" w:color="A6A6A6"/>
            </w:tcBorders>
            <w:noWrap/>
            <w:hideMark/>
          </w:tcPr>
          <w:p w14:paraId="33B09DC4"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947.1</w:t>
            </w:r>
          </w:p>
        </w:tc>
        <w:tc>
          <w:tcPr>
            <w:tcW w:w="738" w:type="dxa"/>
            <w:tcBorders>
              <w:top w:val="single" w:sz="4" w:space="0" w:color="A6A6A6"/>
              <w:bottom w:val="single" w:sz="4" w:space="0" w:color="A6A6A6"/>
            </w:tcBorders>
            <w:noWrap/>
            <w:hideMark/>
          </w:tcPr>
          <w:p w14:paraId="19A1304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737.6</w:t>
            </w:r>
          </w:p>
        </w:tc>
        <w:tc>
          <w:tcPr>
            <w:tcW w:w="738" w:type="dxa"/>
            <w:tcBorders>
              <w:top w:val="single" w:sz="4" w:space="0" w:color="A6A6A6"/>
              <w:bottom w:val="single" w:sz="4" w:space="0" w:color="A6A6A6"/>
            </w:tcBorders>
            <w:noWrap/>
            <w:hideMark/>
          </w:tcPr>
          <w:p w14:paraId="57C63051"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53.9</w:t>
            </w:r>
          </w:p>
        </w:tc>
        <w:tc>
          <w:tcPr>
            <w:tcW w:w="590" w:type="dxa"/>
            <w:tcBorders>
              <w:top w:val="single" w:sz="4" w:space="0" w:color="A6A6A6"/>
              <w:bottom w:val="single" w:sz="4" w:space="0" w:color="A6A6A6"/>
            </w:tcBorders>
            <w:noWrap/>
            <w:hideMark/>
          </w:tcPr>
          <w:p w14:paraId="69387E6C"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210.0</w:t>
            </w:r>
          </w:p>
        </w:tc>
        <w:tc>
          <w:tcPr>
            <w:tcW w:w="737" w:type="dxa"/>
            <w:tcBorders>
              <w:top w:val="single" w:sz="4" w:space="0" w:color="A6A6A6"/>
              <w:bottom w:val="single" w:sz="4" w:space="0" w:color="A6A6A6"/>
            </w:tcBorders>
            <w:noWrap/>
            <w:hideMark/>
          </w:tcPr>
          <w:p w14:paraId="3756DDC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474.4</w:t>
            </w:r>
          </w:p>
        </w:tc>
        <w:tc>
          <w:tcPr>
            <w:tcW w:w="738" w:type="dxa"/>
            <w:tcBorders>
              <w:top w:val="single" w:sz="4" w:space="0" w:color="A6A6A6"/>
              <w:bottom w:val="single" w:sz="4" w:space="0" w:color="A6A6A6"/>
            </w:tcBorders>
            <w:noWrap/>
            <w:hideMark/>
          </w:tcPr>
          <w:p w14:paraId="1A86443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2BF43C5D"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(11.2)</w:t>
            </w:r>
          </w:p>
        </w:tc>
        <w:tc>
          <w:tcPr>
            <w:tcW w:w="744" w:type="dxa"/>
            <w:tcBorders>
              <w:top w:val="single" w:sz="4" w:space="0" w:color="A6A6A6"/>
              <w:bottom w:val="single" w:sz="4" w:space="0" w:color="A6A6A6"/>
            </w:tcBorders>
            <w:noWrap/>
            <w:hideMark/>
          </w:tcPr>
          <w:p w14:paraId="53BC86B6"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17,308.0</w:t>
            </w:r>
          </w:p>
        </w:tc>
      </w:tr>
      <w:tr w:rsidR="005F4A7E" w:rsidRPr="00624A63" w14:paraId="6B809A92" w14:textId="77777777" w:rsidTr="00130D1C">
        <w:trPr>
          <w:trHeight w:val="170"/>
        </w:trPr>
        <w:tc>
          <w:tcPr>
            <w:tcW w:w="2303" w:type="dxa"/>
            <w:tcBorders>
              <w:top w:val="single" w:sz="4" w:space="0" w:color="A6A6A6"/>
              <w:bottom w:val="single" w:sz="4" w:space="0" w:color="A6A6A6"/>
            </w:tcBorders>
            <w:hideMark/>
          </w:tcPr>
          <w:p w14:paraId="5900D741" w14:textId="77777777" w:rsidR="005F4A7E" w:rsidRPr="00C340B4" w:rsidRDefault="005F4A7E" w:rsidP="00130D1C">
            <w:pPr>
              <w:pStyle w:val="ARfintablebody"/>
              <w:spacing w:before="20" w:after="16" w:line="228" w:lineRule="auto"/>
              <w:ind w:right="0"/>
              <w:rPr>
                <w:sz w:val="15"/>
                <w:szCs w:val="15"/>
              </w:rPr>
            </w:pPr>
            <w:r w:rsidRPr="00C340B4">
              <w:rPr>
                <w:sz w:val="15"/>
                <w:szCs w:val="15"/>
              </w:rPr>
              <w:t>Capital asset charge</w:t>
            </w:r>
          </w:p>
        </w:tc>
        <w:tc>
          <w:tcPr>
            <w:tcW w:w="938" w:type="dxa"/>
            <w:tcBorders>
              <w:top w:val="single" w:sz="4" w:space="0" w:color="A6A6A6"/>
              <w:bottom w:val="single" w:sz="4" w:space="0" w:color="A6A6A6"/>
            </w:tcBorders>
            <w:noWrap/>
            <w:hideMark/>
          </w:tcPr>
          <w:p w14:paraId="104ECF61" w14:textId="77777777" w:rsidR="005F4A7E" w:rsidRPr="00C340B4" w:rsidRDefault="005F4A7E" w:rsidP="00130D1C">
            <w:pPr>
              <w:pStyle w:val="ARfintablebodyright"/>
              <w:spacing w:before="20" w:after="16" w:line="228" w:lineRule="auto"/>
              <w:ind w:right="0"/>
              <w:rPr>
                <w:sz w:val="15"/>
                <w:szCs w:val="15"/>
              </w:rPr>
            </w:pPr>
            <w:r>
              <w:rPr>
                <w:sz w:val="15"/>
                <w:szCs w:val="15"/>
              </w:rPr>
              <w:t>1,028.1</w:t>
            </w:r>
          </w:p>
        </w:tc>
        <w:tc>
          <w:tcPr>
            <w:tcW w:w="737" w:type="dxa"/>
            <w:tcBorders>
              <w:top w:val="single" w:sz="4" w:space="0" w:color="A6A6A6"/>
              <w:bottom w:val="single" w:sz="4" w:space="0" w:color="A6A6A6"/>
            </w:tcBorders>
            <w:noWrap/>
            <w:hideMark/>
          </w:tcPr>
          <w:p w14:paraId="3A7682E5"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26.4</w:t>
            </w:r>
          </w:p>
        </w:tc>
        <w:tc>
          <w:tcPr>
            <w:tcW w:w="598" w:type="dxa"/>
            <w:tcBorders>
              <w:top w:val="single" w:sz="4" w:space="0" w:color="A6A6A6"/>
              <w:bottom w:val="single" w:sz="4" w:space="0" w:color="A6A6A6"/>
            </w:tcBorders>
            <w:noWrap/>
            <w:hideMark/>
          </w:tcPr>
          <w:p w14:paraId="6F88700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83.6</w:t>
            </w:r>
          </w:p>
        </w:tc>
        <w:tc>
          <w:tcPr>
            <w:tcW w:w="709" w:type="dxa"/>
            <w:tcBorders>
              <w:top w:val="single" w:sz="4" w:space="0" w:color="A6A6A6"/>
              <w:bottom w:val="single" w:sz="4" w:space="0" w:color="A6A6A6"/>
            </w:tcBorders>
            <w:noWrap/>
            <w:hideMark/>
          </w:tcPr>
          <w:p w14:paraId="603F4291"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55.4</w:t>
            </w:r>
          </w:p>
        </w:tc>
        <w:tc>
          <w:tcPr>
            <w:tcW w:w="757" w:type="dxa"/>
            <w:tcBorders>
              <w:top w:val="single" w:sz="4" w:space="0" w:color="A6A6A6"/>
              <w:bottom w:val="single" w:sz="4" w:space="0" w:color="A6A6A6"/>
            </w:tcBorders>
            <w:noWrap/>
            <w:hideMark/>
          </w:tcPr>
          <w:p w14:paraId="75E99628"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26.4</w:t>
            </w:r>
          </w:p>
        </w:tc>
        <w:tc>
          <w:tcPr>
            <w:tcW w:w="639" w:type="dxa"/>
            <w:tcBorders>
              <w:top w:val="single" w:sz="4" w:space="0" w:color="A6A6A6"/>
              <w:bottom w:val="single" w:sz="4" w:space="0" w:color="A6A6A6"/>
            </w:tcBorders>
            <w:noWrap/>
            <w:hideMark/>
          </w:tcPr>
          <w:p w14:paraId="1D32627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35.8</w:t>
            </w:r>
          </w:p>
        </w:tc>
        <w:tc>
          <w:tcPr>
            <w:tcW w:w="708" w:type="dxa"/>
            <w:tcBorders>
              <w:top w:val="single" w:sz="4" w:space="0" w:color="A6A6A6"/>
              <w:bottom w:val="single" w:sz="4" w:space="0" w:color="A6A6A6"/>
            </w:tcBorders>
            <w:noWrap/>
            <w:hideMark/>
          </w:tcPr>
          <w:p w14:paraId="30F7175D"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2.5</w:t>
            </w:r>
          </w:p>
        </w:tc>
        <w:tc>
          <w:tcPr>
            <w:tcW w:w="708" w:type="dxa"/>
            <w:tcBorders>
              <w:top w:val="single" w:sz="4" w:space="0" w:color="A6A6A6"/>
              <w:bottom w:val="single" w:sz="4" w:space="0" w:color="A6A6A6"/>
            </w:tcBorders>
            <w:noWrap/>
            <w:hideMark/>
          </w:tcPr>
          <w:p w14:paraId="124818DD"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4.3</w:t>
            </w:r>
          </w:p>
        </w:tc>
        <w:tc>
          <w:tcPr>
            <w:tcW w:w="749" w:type="dxa"/>
            <w:tcBorders>
              <w:top w:val="single" w:sz="4" w:space="0" w:color="A6A6A6"/>
              <w:bottom w:val="single" w:sz="4" w:space="0" w:color="A6A6A6"/>
            </w:tcBorders>
            <w:noWrap/>
            <w:hideMark/>
          </w:tcPr>
          <w:p w14:paraId="72EE941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39.9</w:t>
            </w:r>
          </w:p>
        </w:tc>
        <w:tc>
          <w:tcPr>
            <w:tcW w:w="738" w:type="dxa"/>
            <w:tcBorders>
              <w:top w:val="single" w:sz="4" w:space="0" w:color="A6A6A6"/>
              <w:bottom w:val="single" w:sz="4" w:space="0" w:color="A6A6A6"/>
            </w:tcBorders>
            <w:noWrap/>
            <w:hideMark/>
          </w:tcPr>
          <w:p w14:paraId="45B47DA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14.6</w:t>
            </w:r>
          </w:p>
        </w:tc>
        <w:tc>
          <w:tcPr>
            <w:tcW w:w="738" w:type="dxa"/>
            <w:tcBorders>
              <w:top w:val="single" w:sz="4" w:space="0" w:color="A6A6A6"/>
              <w:bottom w:val="single" w:sz="4" w:space="0" w:color="A6A6A6"/>
            </w:tcBorders>
            <w:noWrap/>
            <w:hideMark/>
          </w:tcPr>
          <w:p w14:paraId="3845C2E4"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6752806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631454D1"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2.8</w:t>
            </w:r>
          </w:p>
        </w:tc>
        <w:tc>
          <w:tcPr>
            <w:tcW w:w="737" w:type="dxa"/>
            <w:tcBorders>
              <w:top w:val="single" w:sz="4" w:space="0" w:color="A6A6A6"/>
              <w:bottom w:val="single" w:sz="4" w:space="0" w:color="A6A6A6"/>
            </w:tcBorders>
            <w:noWrap/>
            <w:hideMark/>
          </w:tcPr>
          <w:p w14:paraId="1E06C3A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048B819C"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76F7DEC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1E2AD02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1,319.8</w:t>
            </w:r>
          </w:p>
        </w:tc>
      </w:tr>
      <w:tr w:rsidR="005F4A7E" w:rsidRPr="00624A63" w14:paraId="511E916B" w14:textId="77777777" w:rsidTr="00130D1C">
        <w:trPr>
          <w:trHeight w:val="170"/>
        </w:trPr>
        <w:tc>
          <w:tcPr>
            <w:tcW w:w="2303" w:type="dxa"/>
            <w:tcBorders>
              <w:top w:val="single" w:sz="4" w:space="0" w:color="A6A6A6"/>
            </w:tcBorders>
            <w:hideMark/>
          </w:tcPr>
          <w:p w14:paraId="3FB6BF89" w14:textId="77777777" w:rsidR="005F4A7E" w:rsidRPr="00C340B4" w:rsidRDefault="005F4A7E" w:rsidP="00130D1C">
            <w:pPr>
              <w:pStyle w:val="ARfintablebody"/>
              <w:spacing w:before="20" w:after="16" w:line="228" w:lineRule="auto"/>
              <w:ind w:right="0"/>
              <w:rPr>
                <w:sz w:val="15"/>
                <w:szCs w:val="15"/>
              </w:rPr>
            </w:pPr>
            <w:r w:rsidRPr="00C340B4">
              <w:rPr>
                <w:sz w:val="15"/>
                <w:szCs w:val="15"/>
              </w:rPr>
              <w:t>Other property management expenses</w:t>
            </w:r>
          </w:p>
        </w:tc>
        <w:tc>
          <w:tcPr>
            <w:tcW w:w="938" w:type="dxa"/>
            <w:tcBorders>
              <w:top w:val="single" w:sz="4" w:space="0" w:color="A6A6A6"/>
            </w:tcBorders>
            <w:noWrap/>
            <w:hideMark/>
          </w:tcPr>
          <w:p w14:paraId="60DEC535"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tcBorders>
            <w:noWrap/>
            <w:hideMark/>
          </w:tcPr>
          <w:p w14:paraId="5D40654F"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tcBorders>
            <w:noWrap/>
            <w:hideMark/>
          </w:tcPr>
          <w:p w14:paraId="0A7B667D"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9" w:type="dxa"/>
            <w:tcBorders>
              <w:top w:val="single" w:sz="4" w:space="0" w:color="A6A6A6"/>
            </w:tcBorders>
            <w:noWrap/>
            <w:hideMark/>
          </w:tcPr>
          <w:p w14:paraId="3B177445"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57" w:type="dxa"/>
            <w:tcBorders>
              <w:top w:val="single" w:sz="4" w:space="0" w:color="A6A6A6"/>
            </w:tcBorders>
            <w:noWrap/>
            <w:hideMark/>
          </w:tcPr>
          <w:p w14:paraId="0DD4510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639" w:type="dxa"/>
            <w:tcBorders>
              <w:top w:val="single" w:sz="4" w:space="0" w:color="A6A6A6"/>
            </w:tcBorders>
            <w:noWrap/>
            <w:hideMark/>
          </w:tcPr>
          <w:p w14:paraId="2534A0AE"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tcBorders>
            <w:noWrap/>
            <w:hideMark/>
          </w:tcPr>
          <w:p w14:paraId="6F04FCB7"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tcBorders>
            <w:noWrap/>
            <w:hideMark/>
          </w:tcPr>
          <w:p w14:paraId="2D5FD997"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9" w:type="dxa"/>
            <w:tcBorders>
              <w:top w:val="single" w:sz="4" w:space="0" w:color="A6A6A6"/>
            </w:tcBorders>
            <w:noWrap/>
            <w:hideMark/>
          </w:tcPr>
          <w:p w14:paraId="512B38E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0.4</w:t>
            </w:r>
          </w:p>
        </w:tc>
        <w:tc>
          <w:tcPr>
            <w:tcW w:w="738" w:type="dxa"/>
            <w:tcBorders>
              <w:top w:val="single" w:sz="4" w:space="0" w:color="A6A6A6"/>
            </w:tcBorders>
            <w:noWrap/>
            <w:hideMark/>
          </w:tcPr>
          <w:p w14:paraId="023358A8"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0.2</w:t>
            </w:r>
          </w:p>
        </w:tc>
        <w:tc>
          <w:tcPr>
            <w:tcW w:w="738" w:type="dxa"/>
            <w:tcBorders>
              <w:top w:val="single" w:sz="4" w:space="0" w:color="A6A6A6"/>
            </w:tcBorders>
            <w:noWrap/>
            <w:hideMark/>
          </w:tcPr>
          <w:p w14:paraId="06DCCAE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tcBorders>
            <w:noWrap/>
            <w:hideMark/>
          </w:tcPr>
          <w:p w14:paraId="5F5F9C7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tcBorders>
            <w:noWrap/>
            <w:hideMark/>
          </w:tcPr>
          <w:p w14:paraId="720153D6"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tcBorders>
            <w:noWrap/>
            <w:hideMark/>
          </w:tcPr>
          <w:p w14:paraId="37FA1D86"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198.7</w:t>
            </w:r>
          </w:p>
        </w:tc>
        <w:tc>
          <w:tcPr>
            <w:tcW w:w="738" w:type="dxa"/>
            <w:tcBorders>
              <w:top w:val="single" w:sz="4" w:space="0" w:color="A6A6A6"/>
            </w:tcBorders>
            <w:noWrap/>
            <w:hideMark/>
          </w:tcPr>
          <w:p w14:paraId="114B5CFF"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tcBorders>
            <w:noWrap/>
            <w:hideMark/>
          </w:tcPr>
          <w:p w14:paraId="133B68C6"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tcBorders>
            <w:noWrap/>
            <w:hideMark/>
          </w:tcPr>
          <w:p w14:paraId="692F2801"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199.3</w:t>
            </w:r>
          </w:p>
        </w:tc>
      </w:tr>
      <w:tr w:rsidR="005F4A7E" w:rsidRPr="00624A63" w14:paraId="4094B1AD" w14:textId="77777777" w:rsidTr="00130D1C">
        <w:trPr>
          <w:trHeight w:val="170"/>
        </w:trPr>
        <w:tc>
          <w:tcPr>
            <w:tcW w:w="2303" w:type="dxa"/>
            <w:hideMark/>
          </w:tcPr>
          <w:p w14:paraId="1CBD94A8" w14:textId="77777777" w:rsidR="005F4A7E" w:rsidRPr="00C340B4" w:rsidRDefault="005F4A7E" w:rsidP="00130D1C">
            <w:pPr>
              <w:pStyle w:val="ARfintablebodybold"/>
              <w:spacing w:before="20" w:after="16" w:line="228" w:lineRule="auto"/>
              <w:ind w:right="0"/>
              <w:rPr>
                <w:sz w:val="15"/>
                <w:szCs w:val="15"/>
              </w:rPr>
            </w:pPr>
            <w:r w:rsidRPr="00C340B4">
              <w:rPr>
                <w:sz w:val="15"/>
                <w:szCs w:val="15"/>
              </w:rPr>
              <w:t>Total expenses from transactions</w:t>
            </w:r>
          </w:p>
        </w:tc>
        <w:tc>
          <w:tcPr>
            <w:tcW w:w="938" w:type="dxa"/>
            <w:noWrap/>
            <w:hideMark/>
          </w:tcPr>
          <w:p w14:paraId="2FFCC241" w14:textId="77777777" w:rsidR="005F4A7E" w:rsidRPr="00C340B4" w:rsidRDefault="005F4A7E" w:rsidP="00130D1C">
            <w:pPr>
              <w:pStyle w:val="ARfintablebodyrightbold"/>
              <w:spacing w:before="20" w:after="16" w:line="228" w:lineRule="auto"/>
              <w:ind w:right="0"/>
              <w:rPr>
                <w:sz w:val="15"/>
                <w:szCs w:val="15"/>
              </w:rPr>
            </w:pPr>
            <w:r>
              <w:rPr>
                <w:sz w:val="15"/>
                <w:szCs w:val="15"/>
              </w:rPr>
              <w:t>10,578.0</w:t>
            </w:r>
          </w:p>
        </w:tc>
        <w:tc>
          <w:tcPr>
            <w:tcW w:w="737" w:type="dxa"/>
            <w:noWrap/>
            <w:hideMark/>
          </w:tcPr>
          <w:p w14:paraId="0EB50D8F"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836.3</w:t>
            </w:r>
          </w:p>
        </w:tc>
        <w:tc>
          <w:tcPr>
            <w:tcW w:w="598" w:type="dxa"/>
            <w:noWrap/>
            <w:hideMark/>
          </w:tcPr>
          <w:p w14:paraId="52D5E789"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1,503.1</w:t>
            </w:r>
          </w:p>
        </w:tc>
        <w:tc>
          <w:tcPr>
            <w:tcW w:w="709" w:type="dxa"/>
            <w:noWrap/>
            <w:hideMark/>
          </w:tcPr>
          <w:p w14:paraId="732062A2"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501.4</w:t>
            </w:r>
          </w:p>
        </w:tc>
        <w:tc>
          <w:tcPr>
            <w:tcW w:w="757" w:type="dxa"/>
            <w:noWrap/>
            <w:hideMark/>
          </w:tcPr>
          <w:p w14:paraId="3C74E853"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662.7</w:t>
            </w:r>
          </w:p>
        </w:tc>
        <w:tc>
          <w:tcPr>
            <w:tcW w:w="639" w:type="dxa"/>
            <w:noWrap/>
            <w:hideMark/>
          </w:tcPr>
          <w:p w14:paraId="6C017B36"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427.1</w:t>
            </w:r>
          </w:p>
        </w:tc>
        <w:tc>
          <w:tcPr>
            <w:tcW w:w="708" w:type="dxa"/>
            <w:noWrap/>
            <w:hideMark/>
          </w:tcPr>
          <w:p w14:paraId="0FE0B643"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487.7</w:t>
            </w:r>
          </w:p>
        </w:tc>
        <w:tc>
          <w:tcPr>
            <w:tcW w:w="708" w:type="dxa"/>
            <w:noWrap/>
            <w:hideMark/>
          </w:tcPr>
          <w:p w14:paraId="3ABCF4B1"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269.7</w:t>
            </w:r>
          </w:p>
        </w:tc>
        <w:tc>
          <w:tcPr>
            <w:tcW w:w="749" w:type="dxa"/>
            <w:noWrap/>
            <w:hideMark/>
          </w:tcPr>
          <w:p w14:paraId="7E0407A8"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2,142.8</w:t>
            </w:r>
          </w:p>
        </w:tc>
        <w:tc>
          <w:tcPr>
            <w:tcW w:w="738" w:type="dxa"/>
            <w:noWrap/>
            <w:hideMark/>
          </w:tcPr>
          <w:p w14:paraId="7BA6C4AB"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1,519.2</w:t>
            </w:r>
          </w:p>
        </w:tc>
        <w:tc>
          <w:tcPr>
            <w:tcW w:w="738" w:type="dxa"/>
            <w:noWrap/>
            <w:hideMark/>
          </w:tcPr>
          <w:p w14:paraId="47D3D213"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752.8</w:t>
            </w:r>
          </w:p>
        </w:tc>
        <w:tc>
          <w:tcPr>
            <w:tcW w:w="738" w:type="dxa"/>
            <w:noWrap/>
            <w:hideMark/>
          </w:tcPr>
          <w:p w14:paraId="242F09C8"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62.3</w:t>
            </w:r>
          </w:p>
        </w:tc>
        <w:tc>
          <w:tcPr>
            <w:tcW w:w="590" w:type="dxa"/>
            <w:noWrap/>
            <w:hideMark/>
          </w:tcPr>
          <w:p w14:paraId="3B970031"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287.6</w:t>
            </w:r>
          </w:p>
        </w:tc>
        <w:tc>
          <w:tcPr>
            <w:tcW w:w="737" w:type="dxa"/>
            <w:noWrap/>
            <w:hideMark/>
          </w:tcPr>
          <w:p w14:paraId="2AEF3D08"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1,396.8</w:t>
            </w:r>
          </w:p>
        </w:tc>
        <w:tc>
          <w:tcPr>
            <w:tcW w:w="738" w:type="dxa"/>
            <w:noWrap/>
            <w:hideMark/>
          </w:tcPr>
          <w:p w14:paraId="37051E98" w14:textId="77777777" w:rsidR="005F4A7E" w:rsidRPr="00C340B4" w:rsidRDefault="005F4A7E" w:rsidP="00130D1C">
            <w:pPr>
              <w:pStyle w:val="ARfintablebodyrightbold"/>
              <w:spacing w:before="20" w:after="16" w:line="228" w:lineRule="auto"/>
              <w:ind w:right="0"/>
              <w:rPr>
                <w:sz w:val="15"/>
                <w:szCs w:val="15"/>
              </w:rPr>
            </w:pPr>
            <w:r>
              <w:rPr>
                <w:sz w:val="15"/>
                <w:szCs w:val="15"/>
              </w:rPr>
              <w:t>3.9</w:t>
            </w:r>
          </w:p>
        </w:tc>
        <w:tc>
          <w:tcPr>
            <w:tcW w:w="590" w:type="dxa"/>
            <w:noWrap/>
            <w:hideMark/>
          </w:tcPr>
          <w:p w14:paraId="5A737A05"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(11.2)</w:t>
            </w:r>
          </w:p>
        </w:tc>
        <w:tc>
          <w:tcPr>
            <w:tcW w:w="744" w:type="dxa"/>
            <w:noWrap/>
            <w:hideMark/>
          </w:tcPr>
          <w:p w14:paraId="1B1CF2A0"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21,420.3</w:t>
            </w:r>
          </w:p>
        </w:tc>
      </w:tr>
      <w:tr w:rsidR="005F4A7E" w:rsidRPr="00624A63" w14:paraId="6A467C86" w14:textId="77777777" w:rsidTr="00130D1C">
        <w:trPr>
          <w:trHeight w:val="170"/>
        </w:trPr>
        <w:tc>
          <w:tcPr>
            <w:tcW w:w="2303" w:type="dxa"/>
            <w:tcBorders>
              <w:bottom w:val="single" w:sz="4" w:space="0" w:color="auto"/>
            </w:tcBorders>
            <w:hideMark/>
          </w:tcPr>
          <w:p w14:paraId="2371139D" w14:textId="77777777" w:rsidR="005F4A7E" w:rsidRPr="00C340B4" w:rsidRDefault="005F4A7E" w:rsidP="00130D1C">
            <w:pPr>
              <w:pStyle w:val="ARfintablebodybold"/>
              <w:spacing w:before="20" w:after="16" w:line="228" w:lineRule="auto"/>
              <w:ind w:right="0"/>
              <w:rPr>
                <w:sz w:val="15"/>
                <w:szCs w:val="15"/>
              </w:rPr>
            </w:pPr>
            <w:r w:rsidRPr="00C340B4">
              <w:rPr>
                <w:sz w:val="15"/>
                <w:szCs w:val="15"/>
              </w:rPr>
              <w:t>Net result from transactions (net operating balance)</w:t>
            </w:r>
          </w:p>
        </w:tc>
        <w:tc>
          <w:tcPr>
            <w:tcW w:w="938" w:type="dxa"/>
            <w:tcBorders>
              <w:bottom w:val="single" w:sz="4" w:space="0" w:color="auto"/>
            </w:tcBorders>
            <w:noWrap/>
            <w:hideMark/>
          </w:tcPr>
          <w:p w14:paraId="440A38BD" w14:textId="77777777" w:rsidR="005F4A7E" w:rsidRPr="00C340B4" w:rsidRDefault="005F4A7E" w:rsidP="00130D1C">
            <w:pPr>
              <w:pStyle w:val="ARfintablebodyrightbold"/>
              <w:spacing w:before="20" w:after="16" w:line="228" w:lineRule="auto"/>
              <w:ind w:right="0"/>
              <w:rPr>
                <w:sz w:val="15"/>
                <w:szCs w:val="15"/>
              </w:rPr>
            </w:pPr>
            <w:r>
              <w:rPr>
                <w:sz w:val="15"/>
                <w:szCs w:val="15"/>
              </w:rPr>
              <w:t>619.2</w:t>
            </w:r>
          </w:p>
        </w:tc>
        <w:tc>
          <w:tcPr>
            <w:tcW w:w="737" w:type="dxa"/>
            <w:tcBorders>
              <w:bottom w:val="single" w:sz="4" w:space="0" w:color="auto"/>
            </w:tcBorders>
            <w:noWrap/>
            <w:hideMark/>
          </w:tcPr>
          <w:p w14:paraId="572F882B"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66.2</w:t>
            </w:r>
          </w:p>
        </w:tc>
        <w:tc>
          <w:tcPr>
            <w:tcW w:w="598" w:type="dxa"/>
            <w:tcBorders>
              <w:bottom w:val="single" w:sz="4" w:space="0" w:color="auto"/>
            </w:tcBorders>
            <w:noWrap/>
            <w:hideMark/>
          </w:tcPr>
          <w:p w14:paraId="5587CDD5"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45.3</w:t>
            </w:r>
          </w:p>
        </w:tc>
        <w:tc>
          <w:tcPr>
            <w:tcW w:w="709" w:type="dxa"/>
            <w:tcBorders>
              <w:bottom w:val="single" w:sz="4" w:space="0" w:color="auto"/>
            </w:tcBorders>
            <w:noWrap/>
            <w:hideMark/>
          </w:tcPr>
          <w:p w14:paraId="55F05A04"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56.6</w:t>
            </w:r>
          </w:p>
        </w:tc>
        <w:tc>
          <w:tcPr>
            <w:tcW w:w="757" w:type="dxa"/>
            <w:tcBorders>
              <w:bottom w:val="single" w:sz="4" w:space="0" w:color="auto"/>
            </w:tcBorders>
            <w:noWrap/>
            <w:hideMark/>
          </w:tcPr>
          <w:p w14:paraId="00BA2C0A"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(4.1)</w:t>
            </w:r>
          </w:p>
        </w:tc>
        <w:tc>
          <w:tcPr>
            <w:tcW w:w="639" w:type="dxa"/>
            <w:tcBorders>
              <w:bottom w:val="single" w:sz="4" w:space="0" w:color="auto"/>
            </w:tcBorders>
            <w:noWrap/>
            <w:hideMark/>
          </w:tcPr>
          <w:p w14:paraId="01383448"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43.1</w:t>
            </w:r>
          </w:p>
        </w:tc>
        <w:tc>
          <w:tcPr>
            <w:tcW w:w="708" w:type="dxa"/>
            <w:tcBorders>
              <w:bottom w:val="single" w:sz="4" w:space="0" w:color="auto"/>
            </w:tcBorders>
            <w:noWrap/>
            <w:hideMark/>
          </w:tcPr>
          <w:p w14:paraId="643A6DEB"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(15.8)</w:t>
            </w:r>
          </w:p>
        </w:tc>
        <w:tc>
          <w:tcPr>
            <w:tcW w:w="708" w:type="dxa"/>
            <w:tcBorders>
              <w:bottom w:val="single" w:sz="4" w:space="0" w:color="auto"/>
            </w:tcBorders>
            <w:noWrap/>
            <w:hideMark/>
          </w:tcPr>
          <w:p w14:paraId="3097CBD0"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(1.1)</w:t>
            </w:r>
          </w:p>
        </w:tc>
        <w:tc>
          <w:tcPr>
            <w:tcW w:w="749" w:type="dxa"/>
            <w:tcBorders>
              <w:bottom w:val="single" w:sz="4" w:space="0" w:color="auto"/>
            </w:tcBorders>
            <w:noWrap/>
            <w:hideMark/>
          </w:tcPr>
          <w:p w14:paraId="4A72CA52"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(6.9)</w:t>
            </w:r>
          </w:p>
        </w:tc>
        <w:tc>
          <w:tcPr>
            <w:tcW w:w="738" w:type="dxa"/>
            <w:tcBorders>
              <w:bottom w:val="single" w:sz="4" w:space="0" w:color="auto"/>
            </w:tcBorders>
            <w:noWrap/>
            <w:hideMark/>
          </w:tcPr>
          <w:p w14:paraId="30C88AE0"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(6.8)</w:t>
            </w:r>
          </w:p>
        </w:tc>
        <w:tc>
          <w:tcPr>
            <w:tcW w:w="738" w:type="dxa"/>
            <w:tcBorders>
              <w:bottom w:val="single" w:sz="4" w:space="0" w:color="auto"/>
            </w:tcBorders>
            <w:noWrap/>
            <w:hideMark/>
          </w:tcPr>
          <w:p w14:paraId="18847A1C"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0.2</w:t>
            </w:r>
          </w:p>
        </w:tc>
        <w:tc>
          <w:tcPr>
            <w:tcW w:w="738" w:type="dxa"/>
            <w:tcBorders>
              <w:bottom w:val="single" w:sz="4" w:space="0" w:color="auto"/>
            </w:tcBorders>
            <w:noWrap/>
            <w:hideMark/>
          </w:tcPr>
          <w:p w14:paraId="2D4D49A2"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0.1</w:t>
            </w:r>
          </w:p>
        </w:tc>
        <w:tc>
          <w:tcPr>
            <w:tcW w:w="590" w:type="dxa"/>
            <w:tcBorders>
              <w:bottom w:val="single" w:sz="4" w:space="0" w:color="auto"/>
            </w:tcBorders>
            <w:noWrap/>
            <w:hideMark/>
          </w:tcPr>
          <w:p w14:paraId="090E8DF1" w14:textId="77777777" w:rsidR="005F4A7E" w:rsidRPr="00C340B4" w:rsidRDefault="005F4A7E" w:rsidP="00130D1C">
            <w:pPr>
              <w:pStyle w:val="ARfintablebodyrightbold"/>
              <w:spacing w:before="20" w:after="16" w:line="228" w:lineRule="auto"/>
              <w:ind w:right="0"/>
              <w:rPr>
                <w:sz w:val="15"/>
                <w:szCs w:val="15"/>
              </w:rPr>
            </w:pPr>
            <w:r>
              <w:rPr>
                <w:sz w:val="15"/>
                <w:szCs w:val="15"/>
              </w:rPr>
              <w:t>2.1</w:t>
            </w:r>
          </w:p>
        </w:tc>
        <w:tc>
          <w:tcPr>
            <w:tcW w:w="737" w:type="dxa"/>
            <w:tcBorders>
              <w:bottom w:val="single" w:sz="4" w:space="0" w:color="auto"/>
            </w:tcBorders>
            <w:noWrap/>
            <w:hideMark/>
          </w:tcPr>
          <w:p w14:paraId="0E6811F9"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(189.3)</w:t>
            </w:r>
          </w:p>
        </w:tc>
        <w:tc>
          <w:tcPr>
            <w:tcW w:w="738" w:type="dxa"/>
            <w:tcBorders>
              <w:bottom w:val="single" w:sz="4" w:space="0" w:color="auto"/>
            </w:tcBorders>
            <w:noWrap/>
            <w:hideMark/>
          </w:tcPr>
          <w:p w14:paraId="49863282"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w:t>
            </w:r>
            <w:r>
              <w:rPr>
                <w:sz w:val="15"/>
                <w:szCs w:val="15"/>
              </w:rPr>
              <w:t>0.6</w:t>
            </w:r>
            <w:r w:rsidRPr="00C340B4">
              <w:rPr>
                <w:sz w:val="15"/>
                <w:szCs w:val="15"/>
              </w:rPr>
              <w:t>)</w:t>
            </w:r>
          </w:p>
        </w:tc>
        <w:tc>
          <w:tcPr>
            <w:tcW w:w="590" w:type="dxa"/>
            <w:tcBorders>
              <w:bottom w:val="single" w:sz="4" w:space="0" w:color="auto"/>
            </w:tcBorders>
            <w:noWrap/>
            <w:hideMark/>
          </w:tcPr>
          <w:p w14:paraId="3C4C6FC8"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w:t>
            </w:r>
          </w:p>
        </w:tc>
        <w:tc>
          <w:tcPr>
            <w:tcW w:w="744" w:type="dxa"/>
            <w:tcBorders>
              <w:bottom w:val="single" w:sz="4" w:space="0" w:color="auto"/>
            </w:tcBorders>
            <w:noWrap/>
            <w:hideMark/>
          </w:tcPr>
          <w:p w14:paraId="5B691B3B"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608.1</w:t>
            </w:r>
          </w:p>
        </w:tc>
      </w:tr>
      <w:tr w:rsidR="005F4A7E" w:rsidRPr="00624A63" w14:paraId="5C5C434D" w14:textId="77777777" w:rsidTr="00130D1C">
        <w:trPr>
          <w:trHeight w:val="170"/>
        </w:trPr>
        <w:tc>
          <w:tcPr>
            <w:tcW w:w="14459" w:type="dxa"/>
            <w:gridSpan w:val="18"/>
            <w:tcBorders>
              <w:top w:val="single" w:sz="4" w:space="0" w:color="auto"/>
              <w:bottom w:val="single" w:sz="4" w:space="0" w:color="A6A6A6"/>
            </w:tcBorders>
            <w:hideMark/>
          </w:tcPr>
          <w:p w14:paraId="2D241592" w14:textId="77777777" w:rsidR="005F4A7E" w:rsidRPr="00C340B4" w:rsidRDefault="005F4A7E" w:rsidP="00130D1C">
            <w:pPr>
              <w:pStyle w:val="ARfintablebodybold"/>
              <w:spacing w:before="20" w:after="16" w:line="228" w:lineRule="auto"/>
              <w:ind w:right="0"/>
              <w:rPr>
                <w:sz w:val="15"/>
                <w:szCs w:val="15"/>
              </w:rPr>
            </w:pPr>
            <w:r w:rsidRPr="00C340B4">
              <w:rPr>
                <w:sz w:val="15"/>
                <w:szCs w:val="15"/>
              </w:rPr>
              <w:t xml:space="preserve">Other economic flows included </w:t>
            </w:r>
            <w:r w:rsidRPr="00C340B4">
              <w:rPr>
                <w:sz w:val="15"/>
                <w:szCs w:val="15"/>
              </w:rPr>
              <w:br/>
              <w:t>in net result</w:t>
            </w:r>
          </w:p>
        </w:tc>
      </w:tr>
      <w:tr w:rsidR="005F4A7E" w:rsidRPr="00624A63" w14:paraId="0913484C" w14:textId="77777777" w:rsidTr="00130D1C">
        <w:trPr>
          <w:trHeight w:val="170"/>
        </w:trPr>
        <w:tc>
          <w:tcPr>
            <w:tcW w:w="2303" w:type="dxa"/>
            <w:tcBorders>
              <w:top w:val="single" w:sz="4" w:space="0" w:color="A6A6A6"/>
              <w:bottom w:val="single" w:sz="4" w:space="0" w:color="A6A6A6"/>
            </w:tcBorders>
            <w:hideMark/>
          </w:tcPr>
          <w:p w14:paraId="5A8EC2D4" w14:textId="77777777" w:rsidR="005F4A7E" w:rsidRPr="00C340B4" w:rsidRDefault="005F4A7E" w:rsidP="00130D1C">
            <w:pPr>
              <w:pStyle w:val="ARfintablebody"/>
              <w:spacing w:before="20" w:after="16" w:line="228" w:lineRule="auto"/>
              <w:ind w:right="0"/>
              <w:rPr>
                <w:sz w:val="15"/>
                <w:szCs w:val="15"/>
              </w:rPr>
            </w:pPr>
            <w:r w:rsidRPr="00C340B4">
              <w:rPr>
                <w:sz w:val="15"/>
                <w:szCs w:val="15"/>
              </w:rPr>
              <w:t>Net gain/(loss) on non-financial assets</w:t>
            </w:r>
          </w:p>
        </w:tc>
        <w:tc>
          <w:tcPr>
            <w:tcW w:w="938" w:type="dxa"/>
            <w:tcBorders>
              <w:top w:val="single" w:sz="4" w:space="0" w:color="A6A6A6"/>
              <w:bottom w:val="single" w:sz="4" w:space="0" w:color="A6A6A6"/>
            </w:tcBorders>
            <w:noWrap/>
            <w:hideMark/>
          </w:tcPr>
          <w:p w14:paraId="31D52166"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0.1</w:t>
            </w:r>
          </w:p>
        </w:tc>
        <w:tc>
          <w:tcPr>
            <w:tcW w:w="737" w:type="dxa"/>
            <w:tcBorders>
              <w:top w:val="single" w:sz="4" w:space="0" w:color="A6A6A6"/>
              <w:bottom w:val="single" w:sz="4" w:space="0" w:color="A6A6A6"/>
            </w:tcBorders>
            <w:noWrap/>
            <w:hideMark/>
          </w:tcPr>
          <w:p w14:paraId="586F0C7C"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bottom w:val="single" w:sz="4" w:space="0" w:color="A6A6A6"/>
            </w:tcBorders>
            <w:noWrap/>
            <w:hideMark/>
          </w:tcPr>
          <w:p w14:paraId="373EE75C"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9" w:type="dxa"/>
            <w:tcBorders>
              <w:top w:val="single" w:sz="4" w:space="0" w:color="A6A6A6"/>
              <w:bottom w:val="single" w:sz="4" w:space="0" w:color="A6A6A6"/>
            </w:tcBorders>
            <w:noWrap/>
            <w:hideMark/>
          </w:tcPr>
          <w:p w14:paraId="033E86FF"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57" w:type="dxa"/>
            <w:tcBorders>
              <w:top w:val="single" w:sz="4" w:space="0" w:color="A6A6A6"/>
              <w:bottom w:val="single" w:sz="4" w:space="0" w:color="A6A6A6"/>
            </w:tcBorders>
            <w:noWrap/>
            <w:hideMark/>
          </w:tcPr>
          <w:p w14:paraId="10CD9E8F"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639" w:type="dxa"/>
            <w:tcBorders>
              <w:top w:val="single" w:sz="4" w:space="0" w:color="A6A6A6"/>
              <w:bottom w:val="single" w:sz="4" w:space="0" w:color="A6A6A6"/>
            </w:tcBorders>
            <w:noWrap/>
            <w:hideMark/>
          </w:tcPr>
          <w:p w14:paraId="3B489717"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6AD90E3E"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0.1</w:t>
            </w:r>
          </w:p>
        </w:tc>
        <w:tc>
          <w:tcPr>
            <w:tcW w:w="708" w:type="dxa"/>
            <w:tcBorders>
              <w:top w:val="single" w:sz="4" w:space="0" w:color="A6A6A6"/>
              <w:bottom w:val="single" w:sz="4" w:space="0" w:color="A6A6A6"/>
            </w:tcBorders>
            <w:noWrap/>
            <w:hideMark/>
          </w:tcPr>
          <w:p w14:paraId="240445E7"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9" w:type="dxa"/>
            <w:tcBorders>
              <w:top w:val="single" w:sz="4" w:space="0" w:color="A6A6A6"/>
              <w:bottom w:val="single" w:sz="4" w:space="0" w:color="A6A6A6"/>
            </w:tcBorders>
            <w:noWrap/>
            <w:hideMark/>
          </w:tcPr>
          <w:p w14:paraId="52FA7F9D"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(0.1)</w:t>
            </w:r>
          </w:p>
        </w:tc>
        <w:tc>
          <w:tcPr>
            <w:tcW w:w="738" w:type="dxa"/>
            <w:tcBorders>
              <w:top w:val="single" w:sz="4" w:space="0" w:color="A6A6A6"/>
              <w:bottom w:val="single" w:sz="4" w:space="0" w:color="A6A6A6"/>
            </w:tcBorders>
            <w:noWrap/>
            <w:hideMark/>
          </w:tcPr>
          <w:p w14:paraId="6EFE9BEC"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1.0</w:t>
            </w:r>
          </w:p>
        </w:tc>
        <w:tc>
          <w:tcPr>
            <w:tcW w:w="738" w:type="dxa"/>
            <w:tcBorders>
              <w:top w:val="single" w:sz="4" w:space="0" w:color="A6A6A6"/>
              <w:bottom w:val="single" w:sz="4" w:space="0" w:color="A6A6A6"/>
            </w:tcBorders>
            <w:noWrap/>
            <w:hideMark/>
          </w:tcPr>
          <w:p w14:paraId="38B0B08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6D713EB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2C803FEF"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4F21900F" w14:textId="77777777" w:rsidR="005F4A7E" w:rsidRPr="00C340B4" w:rsidRDefault="005F4A7E" w:rsidP="00130D1C">
            <w:pPr>
              <w:pStyle w:val="ARfintablebodyright"/>
              <w:spacing w:before="20" w:after="16" w:line="228" w:lineRule="auto"/>
              <w:ind w:right="0"/>
              <w:rPr>
                <w:sz w:val="15"/>
                <w:szCs w:val="15"/>
              </w:rPr>
            </w:pPr>
            <w:r>
              <w:rPr>
                <w:sz w:val="15"/>
                <w:szCs w:val="15"/>
              </w:rPr>
              <w:t>(5.6)</w:t>
            </w:r>
          </w:p>
        </w:tc>
        <w:tc>
          <w:tcPr>
            <w:tcW w:w="738" w:type="dxa"/>
            <w:tcBorders>
              <w:top w:val="single" w:sz="4" w:space="0" w:color="A6A6A6"/>
              <w:bottom w:val="single" w:sz="4" w:space="0" w:color="A6A6A6"/>
            </w:tcBorders>
            <w:noWrap/>
            <w:hideMark/>
          </w:tcPr>
          <w:p w14:paraId="55A0804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096685D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3D29D66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(4.5)</w:t>
            </w:r>
          </w:p>
        </w:tc>
      </w:tr>
      <w:tr w:rsidR="005F4A7E" w:rsidRPr="00624A63" w14:paraId="0D0DBEF6" w14:textId="77777777" w:rsidTr="00130D1C">
        <w:trPr>
          <w:trHeight w:val="170"/>
        </w:trPr>
        <w:tc>
          <w:tcPr>
            <w:tcW w:w="2303" w:type="dxa"/>
            <w:tcBorders>
              <w:top w:val="single" w:sz="4" w:space="0" w:color="A6A6A6"/>
              <w:bottom w:val="single" w:sz="4" w:space="0" w:color="A6A6A6"/>
            </w:tcBorders>
            <w:hideMark/>
          </w:tcPr>
          <w:p w14:paraId="43C95065" w14:textId="77777777" w:rsidR="005F4A7E" w:rsidRPr="00C340B4" w:rsidRDefault="005F4A7E" w:rsidP="00130D1C">
            <w:pPr>
              <w:pStyle w:val="ARfintablebody"/>
              <w:spacing w:before="20" w:after="16" w:line="228" w:lineRule="auto"/>
              <w:ind w:right="0"/>
              <w:rPr>
                <w:sz w:val="15"/>
                <w:szCs w:val="15"/>
              </w:rPr>
            </w:pPr>
            <w:r w:rsidRPr="00C340B4">
              <w:rPr>
                <w:sz w:val="15"/>
                <w:szCs w:val="15"/>
              </w:rPr>
              <w:t>Net gain/(loss) on financial instruments</w:t>
            </w:r>
          </w:p>
        </w:tc>
        <w:tc>
          <w:tcPr>
            <w:tcW w:w="938" w:type="dxa"/>
            <w:tcBorders>
              <w:top w:val="single" w:sz="4" w:space="0" w:color="A6A6A6"/>
              <w:bottom w:val="single" w:sz="4" w:space="0" w:color="A6A6A6"/>
            </w:tcBorders>
            <w:noWrap/>
            <w:hideMark/>
          </w:tcPr>
          <w:p w14:paraId="1D1E02C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w:t>
            </w:r>
            <w:r>
              <w:rPr>
                <w:sz w:val="15"/>
                <w:szCs w:val="15"/>
              </w:rPr>
              <w:t>3</w:t>
            </w:r>
          </w:p>
        </w:tc>
        <w:tc>
          <w:tcPr>
            <w:tcW w:w="737" w:type="dxa"/>
            <w:tcBorders>
              <w:top w:val="single" w:sz="4" w:space="0" w:color="A6A6A6"/>
              <w:bottom w:val="single" w:sz="4" w:space="0" w:color="A6A6A6"/>
            </w:tcBorders>
            <w:noWrap/>
            <w:hideMark/>
          </w:tcPr>
          <w:p w14:paraId="235DDFE4"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bottom w:val="single" w:sz="4" w:space="0" w:color="A6A6A6"/>
            </w:tcBorders>
            <w:noWrap/>
            <w:hideMark/>
          </w:tcPr>
          <w:p w14:paraId="636305DE"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0.1</w:t>
            </w:r>
          </w:p>
        </w:tc>
        <w:tc>
          <w:tcPr>
            <w:tcW w:w="709" w:type="dxa"/>
            <w:tcBorders>
              <w:top w:val="single" w:sz="4" w:space="0" w:color="A6A6A6"/>
              <w:bottom w:val="single" w:sz="4" w:space="0" w:color="A6A6A6"/>
            </w:tcBorders>
            <w:noWrap/>
            <w:hideMark/>
          </w:tcPr>
          <w:p w14:paraId="68E4FFE5"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0.1</w:t>
            </w:r>
          </w:p>
        </w:tc>
        <w:tc>
          <w:tcPr>
            <w:tcW w:w="757" w:type="dxa"/>
            <w:tcBorders>
              <w:top w:val="single" w:sz="4" w:space="0" w:color="A6A6A6"/>
              <w:bottom w:val="single" w:sz="4" w:space="0" w:color="A6A6A6"/>
            </w:tcBorders>
            <w:noWrap/>
            <w:hideMark/>
          </w:tcPr>
          <w:p w14:paraId="3439E3C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639" w:type="dxa"/>
            <w:tcBorders>
              <w:top w:val="single" w:sz="4" w:space="0" w:color="A6A6A6"/>
              <w:bottom w:val="single" w:sz="4" w:space="0" w:color="A6A6A6"/>
            </w:tcBorders>
            <w:noWrap/>
            <w:hideMark/>
          </w:tcPr>
          <w:p w14:paraId="2BE3751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500F2D72"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714F5C8E"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9" w:type="dxa"/>
            <w:tcBorders>
              <w:top w:val="single" w:sz="4" w:space="0" w:color="A6A6A6"/>
              <w:bottom w:val="single" w:sz="4" w:space="0" w:color="A6A6A6"/>
            </w:tcBorders>
            <w:noWrap/>
            <w:hideMark/>
          </w:tcPr>
          <w:p w14:paraId="0C9EB43E"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(0.1)</w:t>
            </w:r>
          </w:p>
        </w:tc>
        <w:tc>
          <w:tcPr>
            <w:tcW w:w="738" w:type="dxa"/>
            <w:tcBorders>
              <w:top w:val="single" w:sz="4" w:space="0" w:color="A6A6A6"/>
              <w:bottom w:val="single" w:sz="4" w:space="0" w:color="A6A6A6"/>
            </w:tcBorders>
            <w:noWrap/>
            <w:hideMark/>
          </w:tcPr>
          <w:p w14:paraId="3F755D5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148B33B1"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3B4AD9A7"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418CB907"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4EA327D2"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643B7ACE"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58E310A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1A03562D"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0.4</w:t>
            </w:r>
          </w:p>
        </w:tc>
      </w:tr>
      <w:tr w:rsidR="005F4A7E" w:rsidRPr="00624A63" w14:paraId="6C2DC928" w14:textId="77777777" w:rsidTr="00130D1C">
        <w:trPr>
          <w:trHeight w:val="170"/>
        </w:trPr>
        <w:tc>
          <w:tcPr>
            <w:tcW w:w="2303" w:type="dxa"/>
            <w:tcBorders>
              <w:top w:val="single" w:sz="4" w:space="0" w:color="A6A6A6"/>
              <w:bottom w:val="single" w:sz="4" w:space="0" w:color="A6A6A6"/>
            </w:tcBorders>
            <w:hideMark/>
          </w:tcPr>
          <w:p w14:paraId="6363A933" w14:textId="77777777" w:rsidR="005F4A7E" w:rsidRPr="00C340B4" w:rsidRDefault="005F4A7E" w:rsidP="00130D1C">
            <w:pPr>
              <w:pStyle w:val="ARfintablebody"/>
              <w:spacing w:before="20" w:after="16" w:line="228" w:lineRule="auto"/>
              <w:ind w:right="0"/>
              <w:rPr>
                <w:sz w:val="15"/>
                <w:szCs w:val="15"/>
              </w:rPr>
            </w:pPr>
            <w:r w:rsidRPr="00C340B4">
              <w:rPr>
                <w:sz w:val="15"/>
                <w:szCs w:val="15"/>
              </w:rPr>
              <w:t>Impairment of joint venture</w:t>
            </w:r>
          </w:p>
        </w:tc>
        <w:tc>
          <w:tcPr>
            <w:tcW w:w="938" w:type="dxa"/>
            <w:tcBorders>
              <w:top w:val="single" w:sz="4" w:space="0" w:color="A6A6A6"/>
              <w:bottom w:val="single" w:sz="4" w:space="0" w:color="A6A6A6"/>
            </w:tcBorders>
            <w:noWrap/>
            <w:hideMark/>
          </w:tcPr>
          <w:p w14:paraId="015EEE76" w14:textId="77777777" w:rsidR="005F4A7E" w:rsidRPr="00C340B4" w:rsidRDefault="005F4A7E" w:rsidP="00130D1C">
            <w:pPr>
              <w:pStyle w:val="ARfintablebodyright"/>
              <w:spacing w:before="20" w:after="16" w:line="228" w:lineRule="auto"/>
              <w:ind w:right="0"/>
              <w:rPr>
                <w:sz w:val="15"/>
                <w:szCs w:val="15"/>
              </w:rPr>
            </w:pPr>
            <w:r>
              <w:rPr>
                <w:sz w:val="15"/>
                <w:szCs w:val="15"/>
              </w:rPr>
              <w:t>(35.0)</w:t>
            </w:r>
          </w:p>
        </w:tc>
        <w:tc>
          <w:tcPr>
            <w:tcW w:w="737" w:type="dxa"/>
            <w:tcBorders>
              <w:top w:val="single" w:sz="4" w:space="0" w:color="A6A6A6"/>
              <w:bottom w:val="single" w:sz="4" w:space="0" w:color="A6A6A6"/>
            </w:tcBorders>
            <w:noWrap/>
            <w:hideMark/>
          </w:tcPr>
          <w:p w14:paraId="31EECBAE"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8" w:type="dxa"/>
            <w:tcBorders>
              <w:top w:val="single" w:sz="4" w:space="0" w:color="A6A6A6"/>
              <w:bottom w:val="single" w:sz="4" w:space="0" w:color="A6A6A6"/>
            </w:tcBorders>
            <w:noWrap/>
            <w:hideMark/>
          </w:tcPr>
          <w:p w14:paraId="3108AF8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9" w:type="dxa"/>
            <w:tcBorders>
              <w:top w:val="single" w:sz="4" w:space="0" w:color="A6A6A6"/>
              <w:bottom w:val="single" w:sz="4" w:space="0" w:color="A6A6A6"/>
            </w:tcBorders>
            <w:noWrap/>
            <w:hideMark/>
          </w:tcPr>
          <w:p w14:paraId="354185F3"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57" w:type="dxa"/>
            <w:tcBorders>
              <w:top w:val="single" w:sz="4" w:space="0" w:color="A6A6A6"/>
              <w:bottom w:val="single" w:sz="4" w:space="0" w:color="A6A6A6"/>
            </w:tcBorders>
            <w:noWrap/>
            <w:hideMark/>
          </w:tcPr>
          <w:p w14:paraId="2DBC7F34"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639" w:type="dxa"/>
            <w:tcBorders>
              <w:top w:val="single" w:sz="4" w:space="0" w:color="A6A6A6"/>
              <w:bottom w:val="single" w:sz="4" w:space="0" w:color="A6A6A6"/>
            </w:tcBorders>
            <w:noWrap/>
            <w:hideMark/>
          </w:tcPr>
          <w:p w14:paraId="3368A766"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50EACA6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08" w:type="dxa"/>
            <w:tcBorders>
              <w:top w:val="single" w:sz="4" w:space="0" w:color="A6A6A6"/>
              <w:bottom w:val="single" w:sz="4" w:space="0" w:color="A6A6A6"/>
            </w:tcBorders>
            <w:noWrap/>
            <w:hideMark/>
          </w:tcPr>
          <w:p w14:paraId="5A63F1E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9" w:type="dxa"/>
            <w:tcBorders>
              <w:top w:val="single" w:sz="4" w:space="0" w:color="A6A6A6"/>
              <w:bottom w:val="single" w:sz="4" w:space="0" w:color="A6A6A6"/>
            </w:tcBorders>
            <w:noWrap/>
            <w:hideMark/>
          </w:tcPr>
          <w:p w14:paraId="47430AB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71FF27B5"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64A3360D"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645D6EC1"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6F6EE0BD"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7" w:type="dxa"/>
            <w:tcBorders>
              <w:top w:val="single" w:sz="4" w:space="0" w:color="A6A6A6"/>
              <w:bottom w:val="single" w:sz="4" w:space="0" w:color="A6A6A6"/>
            </w:tcBorders>
            <w:noWrap/>
            <w:hideMark/>
          </w:tcPr>
          <w:p w14:paraId="0BB0B1D1"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38" w:type="dxa"/>
            <w:tcBorders>
              <w:top w:val="single" w:sz="4" w:space="0" w:color="A6A6A6"/>
              <w:bottom w:val="single" w:sz="4" w:space="0" w:color="A6A6A6"/>
            </w:tcBorders>
            <w:noWrap/>
            <w:hideMark/>
          </w:tcPr>
          <w:p w14:paraId="14A25BD8"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bottom w:val="single" w:sz="4" w:space="0" w:color="A6A6A6"/>
            </w:tcBorders>
            <w:noWrap/>
            <w:hideMark/>
          </w:tcPr>
          <w:p w14:paraId="33AA3ACC"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bottom w:val="single" w:sz="4" w:space="0" w:color="A6A6A6"/>
            </w:tcBorders>
            <w:noWrap/>
            <w:hideMark/>
          </w:tcPr>
          <w:p w14:paraId="249E68F8"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(35.0)</w:t>
            </w:r>
          </w:p>
        </w:tc>
      </w:tr>
      <w:tr w:rsidR="005F4A7E" w:rsidRPr="00624A63" w14:paraId="5D5C93E2" w14:textId="77777777" w:rsidTr="00130D1C">
        <w:trPr>
          <w:trHeight w:val="170"/>
        </w:trPr>
        <w:tc>
          <w:tcPr>
            <w:tcW w:w="2303" w:type="dxa"/>
            <w:tcBorders>
              <w:top w:val="single" w:sz="4" w:space="0" w:color="A6A6A6"/>
            </w:tcBorders>
            <w:hideMark/>
          </w:tcPr>
          <w:p w14:paraId="338B0648" w14:textId="77777777" w:rsidR="005F4A7E" w:rsidRPr="00C340B4" w:rsidRDefault="005F4A7E" w:rsidP="00130D1C">
            <w:pPr>
              <w:pStyle w:val="ARfintablebody"/>
              <w:spacing w:before="20" w:after="16" w:line="228" w:lineRule="auto"/>
              <w:ind w:right="0"/>
              <w:rPr>
                <w:sz w:val="15"/>
                <w:szCs w:val="15"/>
              </w:rPr>
            </w:pPr>
            <w:r w:rsidRPr="00C340B4">
              <w:rPr>
                <w:sz w:val="15"/>
                <w:szCs w:val="15"/>
              </w:rPr>
              <w:t>Other gains/(losses) from other economic flows</w:t>
            </w:r>
          </w:p>
        </w:tc>
        <w:tc>
          <w:tcPr>
            <w:tcW w:w="938" w:type="dxa"/>
            <w:tcBorders>
              <w:top w:val="single" w:sz="4" w:space="0" w:color="A6A6A6"/>
            </w:tcBorders>
            <w:noWrap/>
            <w:hideMark/>
          </w:tcPr>
          <w:p w14:paraId="777CD0A5"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r>
              <w:rPr>
                <w:sz w:val="15"/>
                <w:szCs w:val="15"/>
              </w:rPr>
              <w:t>7.2</w:t>
            </w:r>
            <w:r w:rsidRPr="00C340B4">
              <w:rPr>
                <w:sz w:val="15"/>
                <w:szCs w:val="15"/>
              </w:rPr>
              <w:t>)</w:t>
            </w:r>
          </w:p>
        </w:tc>
        <w:tc>
          <w:tcPr>
            <w:tcW w:w="737" w:type="dxa"/>
            <w:tcBorders>
              <w:top w:val="single" w:sz="4" w:space="0" w:color="A6A6A6"/>
            </w:tcBorders>
            <w:noWrap/>
            <w:hideMark/>
          </w:tcPr>
          <w:p w14:paraId="0A5D37A4"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(0.1)</w:t>
            </w:r>
          </w:p>
        </w:tc>
        <w:tc>
          <w:tcPr>
            <w:tcW w:w="598" w:type="dxa"/>
            <w:tcBorders>
              <w:top w:val="single" w:sz="4" w:space="0" w:color="A6A6A6"/>
            </w:tcBorders>
            <w:noWrap/>
            <w:hideMark/>
          </w:tcPr>
          <w:p w14:paraId="352C3F0F"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(0.8)</w:t>
            </w:r>
          </w:p>
        </w:tc>
        <w:tc>
          <w:tcPr>
            <w:tcW w:w="709" w:type="dxa"/>
            <w:tcBorders>
              <w:top w:val="single" w:sz="4" w:space="0" w:color="A6A6A6"/>
            </w:tcBorders>
            <w:noWrap/>
            <w:hideMark/>
          </w:tcPr>
          <w:p w14:paraId="7D7BE9ED"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(0.8)</w:t>
            </w:r>
          </w:p>
        </w:tc>
        <w:tc>
          <w:tcPr>
            <w:tcW w:w="757" w:type="dxa"/>
            <w:tcBorders>
              <w:top w:val="single" w:sz="4" w:space="0" w:color="A6A6A6"/>
            </w:tcBorders>
            <w:noWrap/>
            <w:hideMark/>
          </w:tcPr>
          <w:p w14:paraId="15CA343E"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(0.4)</w:t>
            </w:r>
          </w:p>
        </w:tc>
        <w:tc>
          <w:tcPr>
            <w:tcW w:w="639" w:type="dxa"/>
            <w:tcBorders>
              <w:top w:val="single" w:sz="4" w:space="0" w:color="A6A6A6"/>
            </w:tcBorders>
            <w:noWrap/>
            <w:hideMark/>
          </w:tcPr>
          <w:p w14:paraId="0942EDD7"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(0.3)</w:t>
            </w:r>
          </w:p>
        </w:tc>
        <w:tc>
          <w:tcPr>
            <w:tcW w:w="708" w:type="dxa"/>
            <w:tcBorders>
              <w:top w:val="single" w:sz="4" w:space="0" w:color="A6A6A6"/>
            </w:tcBorders>
            <w:noWrap/>
            <w:hideMark/>
          </w:tcPr>
          <w:p w14:paraId="67AB173C"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(0.5)</w:t>
            </w:r>
          </w:p>
        </w:tc>
        <w:tc>
          <w:tcPr>
            <w:tcW w:w="708" w:type="dxa"/>
            <w:tcBorders>
              <w:top w:val="single" w:sz="4" w:space="0" w:color="A6A6A6"/>
            </w:tcBorders>
            <w:noWrap/>
            <w:hideMark/>
          </w:tcPr>
          <w:p w14:paraId="29A7599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(0.2)</w:t>
            </w:r>
          </w:p>
        </w:tc>
        <w:tc>
          <w:tcPr>
            <w:tcW w:w="749" w:type="dxa"/>
            <w:tcBorders>
              <w:top w:val="single" w:sz="4" w:space="0" w:color="A6A6A6"/>
            </w:tcBorders>
            <w:noWrap/>
            <w:hideMark/>
          </w:tcPr>
          <w:p w14:paraId="142525A4"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(5.2)</w:t>
            </w:r>
          </w:p>
        </w:tc>
        <w:tc>
          <w:tcPr>
            <w:tcW w:w="738" w:type="dxa"/>
            <w:tcBorders>
              <w:top w:val="single" w:sz="4" w:space="0" w:color="A6A6A6"/>
            </w:tcBorders>
            <w:noWrap/>
            <w:hideMark/>
          </w:tcPr>
          <w:p w14:paraId="7021BCFF"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(3.5)</w:t>
            </w:r>
          </w:p>
        </w:tc>
        <w:tc>
          <w:tcPr>
            <w:tcW w:w="738" w:type="dxa"/>
            <w:tcBorders>
              <w:top w:val="single" w:sz="4" w:space="0" w:color="A6A6A6"/>
            </w:tcBorders>
            <w:noWrap/>
            <w:hideMark/>
          </w:tcPr>
          <w:p w14:paraId="595C7A39"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(0.1)</w:t>
            </w:r>
          </w:p>
        </w:tc>
        <w:tc>
          <w:tcPr>
            <w:tcW w:w="738" w:type="dxa"/>
            <w:tcBorders>
              <w:top w:val="single" w:sz="4" w:space="0" w:color="A6A6A6"/>
            </w:tcBorders>
            <w:noWrap/>
            <w:hideMark/>
          </w:tcPr>
          <w:p w14:paraId="4BC9B2A6"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tcBorders>
            <w:noWrap/>
            <w:hideMark/>
          </w:tcPr>
          <w:p w14:paraId="13D77142"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(0.2)</w:t>
            </w:r>
          </w:p>
        </w:tc>
        <w:tc>
          <w:tcPr>
            <w:tcW w:w="737" w:type="dxa"/>
            <w:tcBorders>
              <w:top w:val="single" w:sz="4" w:space="0" w:color="A6A6A6"/>
            </w:tcBorders>
            <w:noWrap/>
            <w:hideMark/>
          </w:tcPr>
          <w:p w14:paraId="4B20BA7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r>
              <w:rPr>
                <w:sz w:val="15"/>
                <w:szCs w:val="15"/>
              </w:rPr>
              <w:t>4.3</w:t>
            </w:r>
            <w:r w:rsidRPr="00C340B4">
              <w:rPr>
                <w:sz w:val="15"/>
                <w:szCs w:val="15"/>
              </w:rPr>
              <w:t>)</w:t>
            </w:r>
          </w:p>
        </w:tc>
        <w:tc>
          <w:tcPr>
            <w:tcW w:w="738" w:type="dxa"/>
            <w:tcBorders>
              <w:top w:val="single" w:sz="4" w:space="0" w:color="A6A6A6"/>
            </w:tcBorders>
            <w:noWrap/>
            <w:hideMark/>
          </w:tcPr>
          <w:p w14:paraId="419EE1CA"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590" w:type="dxa"/>
            <w:tcBorders>
              <w:top w:val="single" w:sz="4" w:space="0" w:color="A6A6A6"/>
            </w:tcBorders>
            <w:noWrap/>
            <w:hideMark/>
          </w:tcPr>
          <w:p w14:paraId="0748EBD0"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w:t>
            </w:r>
          </w:p>
        </w:tc>
        <w:tc>
          <w:tcPr>
            <w:tcW w:w="744" w:type="dxa"/>
            <w:tcBorders>
              <w:top w:val="single" w:sz="4" w:space="0" w:color="A6A6A6"/>
            </w:tcBorders>
            <w:noWrap/>
            <w:hideMark/>
          </w:tcPr>
          <w:p w14:paraId="138B2D7B" w14:textId="77777777" w:rsidR="005F4A7E" w:rsidRPr="00C340B4" w:rsidRDefault="005F4A7E" w:rsidP="00130D1C">
            <w:pPr>
              <w:pStyle w:val="ARfintablebodyright"/>
              <w:spacing w:before="20" w:after="16" w:line="228" w:lineRule="auto"/>
              <w:ind w:right="0"/>
              <w:rPr>
                <w:sz w:val="15"/>
                <w:szCs w:val="15"/>
              </w:rPr>
            </w:pPr>
            <w:r w:rsidRPr="00C340B4">
              <w:rPr>
                <w:sz w:val="15"/>
                <w:szCs w:val="15"/>
              </w:rPr>
              <w:t>(23.6)</w:t>
            </w:r>
          </w:p>
        </w:tc>
      </w:tr>
      <w:tr w:rsidR="005F4A7E" w:rsidRPr="00624A63" w14:paraId="6A9245AD" w14:textId="77777777" w:rsidTr="00130D1C">
        <w:trPr>
          <w:trHeight w:val="170"/>
        </w:trPr>
        <w:tc>
          <w:tcPr>
            <w:tcW w:w="2303" w:type="dxa"/>
            <w:hideMark/>
          </w:tcPr>
          <w:p w14:paraId="43A23AE4" w14:textId="77777777" w:rsidR="005F4A7E" w:rsidRPr="00C340B4" w:rsidRDefault="005F4A7E" w:rsidP="00130D1C">
            <w:pPr>
              <w:pStyle w:val="ARfintablebodybold"/>
              <w:spacing w:before="20" w:after="16" w:line="228" w:lineRule="auto"/>
              <w:ind w:right="0"/>
              <w:rPr>
                <w:sz w:val="15"/>
                <w:szCs w:val="15"/>
              </w:rPr>
            </w:pPr>
            <w:r w:rsidRPr="00C340B4">
              <w:rPr>
                <w:sz w:val="15"/>
                <w:szCs w:val="15"/>
              </w:rPr>
              <w:t>Total other economic flows included in net result</w:t>
            </w:r>
          </w:p>
        </w:tc>
        <w:tc>
          <w:tcPr>
            <w:tcW w:w="938" w:type="dxa"/>
            <w:noWrap/>
            <w:hideMark/>
          </w:tcPr>
          <w:p w14:paraId="41BA04FC"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w:t>
            </w:r>
            <w:r>
              <w:rPr>
                <w:sz w:val="15"/>
                <w:szCs w:val="15"/>
              </w:rPr>
              <w:t>41.8</w:t>
            </w:r>
            <w:r w:rsidRPr="00C340B4">
              <w:rPr>
                <w:sz w:val="15"/>
                <w:szCs w:val="15"/>
              </w:rPr>
              <w:t>)</w:t>
            </w:r>
          </w:p>
        </w:tc>
        <w:tc>
          <w:tcPr>
            <w:tcW w:w="737" w:type="dxa"/>
            <w:noWrap/>
            <w:hideMark/>
          </w:tcPr>
          <w:p w14:paraId="185E0E51"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(0.1)</w:t>
            </w:r>
          </w:p>
        </w:tc>
        <w:tc>
          <w:tcPr>
            <w:tcW w:w="598" w:type="dxa"/>
            <w:noWrap/>
            <w:hideMark/>
          </w:tcPr>
          <w:p w14:paraId="6B57F9F0"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(0.7)</w:t>
            </w:r>
          </w:p>
        </w:tc>
        <w:tc>
          <w:tcPr>
            <w:tcW w:w="709" w:type="dxa"/>
            <w:noWrap/>
            <w:hideMark/>
          </w:tcPr>
          <w:p w14:paraId="291C5517"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(0.7)</w:t>
            </w:r>
          </w:p>
        </w:tc>
        <w:tc>
          <w:tcPr>
            <w:tcW w:w="757" w:type="dxa"/>
            <w:noWrap/>
            <w:hideMark/>
          </w:tcPr>
          <w:p w14:paraId="3EF91238"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(0.4)</w:t>
            </w:r>
          </w:p>
        </w:tc>
        <w:tc>
          <w:tcPr>
            <w:tcW w:w="639" w:type="dxa"/>
            <w:noWrap/>
            <w:hideMark/>
          </w:tcPr>
          <w:p w14:paraId="743CD764"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(0.3)</w:t>
            </w:r>
          </w:p>
        </w:tc>
        <w:tc>
          <w:tcPr>
            <w:tcW w:w="708" w:type="dxa"/>
            <w:noWrap/>
            <w:hideMark/>
          </w:tcPr>
          <w:p w14:paraId="5D200A7E"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(0.4)</w:t>
            </w:r>
          </w:p>
        </w:tc>
        <w:tc>
          <w:tcPr>
            <w:tcW w:w="708" w:type="dxa"/>
            <w:noWrap/>
            <w:hideMark/>
          </w:tcPr>
          <w:p w14:paraId="313F64A8"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(0.2)</w:t>
            </w:r>
          </w:p>
        </w:tc>
        <w:tc>
          <w:tcPr>
            <w:tcW w:w="749" w:type="dxa"/>
            <w:noWrap/>
            <w:hideMark/>
          </w:tcPr>
          <w:p w14:paraId="6805558C"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(5.4)</w:t>
            </w:r>
          </w:p>
        </w:tc>
        <w:tc>
          <w:tcPr>
            <w:tcW w:w="738" w:type="dxa"/>
            <w:noWrap/>
            <w:hideMark/>
          </w:tcPr>
          <w:p w14:paraId="2FAFD7DE"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(2.5)</w:t>
            </w:r>
          </w:p>
        </w:tc>
        <w:tc>
          <w:tcPr>
            <w:tcW w:w="738" w:type="dxa"/>
            <w:noWrap/>
            <w:hideMark/>
          </w:tcPr>
          <w:p w14:paraId="07F92ABB"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(0.1)</w:t>
            </w:r>
          </w:p>
        </w:tc>
        <w:tc>
          <w:tcPr>
            <w:tcW w:w="738" w:type="dxa"/>
            <w:noWrap/>
            <w:hideMark/>
          </w:tcPr>
          <w:p w14:paraId="7CE8FB8E"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w:t>
            </w:r>
          </w:p>
        </w:tc>
        <w:tc>
          <w:tcPr>
            <w:tcW w:w="590" w:type="dxa"/>
            <w:noWrap/>
            <w:hideMark/>
          </w:tcPr>
          <w:p w14:paraId="11077C90"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(0.2)</w:t>
            </w:r>
          </w:p>
        </w:tc>
        <w:tc>
          <w:tcPr>
            <w:tcW w:w="737" w:type="dxa"/>
            <w:noWrap/>
            <w:hideMark/>
          </w:tcPr>
          <w:p w14:paraId="67424B18"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w:t>
            </w:r>
            <w:r>
              <w:rPr>
                <w:sz w:val="15"/>
                <w:szCs w:val="15"/>
              </w:rPr>
              <w:t>9.9</w:t>
            </w:r>
            <w:r w:rsidRPr="00C340B4">
              <w:rPr>
                <w:sz w:val="15"/>
                <w:szCs w:val="15"/>
              </w:rPr>
              <w:t>)</w:t>
            </w:r>
          </w:p>
        </w:tc>
        <w:tc>
          <w:tcPr>
            <w:tcW w:w="738" w:type="dxa"/>
            <w:noWrap/>
            <w:hideMark/>
          </w:tcPr>
          <w:p w14:paraId="7547CD0E"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w:t>
            </w:r>
          </w:p>
        </w:tc>
        <w:tc>
          <w:tcPr>
            <w:tcW w:w="590" w:type="dxa"/>
            <w:noWrap/>
            <w:hideMark/>
          </w:tcPr>
          <w:p w14:paraId="5E927D28"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w:t>
            </w:r>
          </w:p>
        </w:tc>
        <w:tc>
          <w:tcPr>
            <w:tcW w:w="744" w:type="dxa"/>
            <w:noWrap/>
            <w:hideMark/>
          </w:tcPr>
          <w:p w14:paraId="34D8571A"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(62.7)</w:t>
            </w:r>
          </w:p>
        </w:tc>
      </w:tr>
      <w:tr w:rsidR="005F4A7E" w:rsidRPr="00624A63" w14:paraId="42CF8DF9" w14:textId="77777777" w:rsidTr="00130D1C">
        <w:trPr>
          <w:trHeight w:val="170"/>
        </w:trPr>
        <w:tc>
          <w:tcPr>
            <w:tcW w:w="2303" w:type="dxa"/>
            <w:hideMark/>
          </w:tcPr>
          <w:p w14:paraId="0887F7C2" w14:textId="77777777" w:rsidR="005F4A7E" w:rsidRPr="00C340B4" w:rsidRDefault="005F4A7E" w:rsidP="00130D1C">
            <w:pPr>
              <w:pStyle w:val="ARfintablebodybold"/>
              <w:spacing w:before="20" w:after="16" w:line="228" w:lineRule="auto"/>
              <w:ind w:right="0"/>
              <w:rPr>
                <w:sz w:val="15"/>
                <w:szCs w:val="15"/>
              </w:rPr>
            </w:pPr>
            <w:r w:rsidRPr="00C340B4">
              <w:rPr>
                <w:sz w:val="15"/>
                <w:szCs w:val="15"/>
              </w:rPr>
              <w:t>Net result</w:t>
            </w:r>
          </w:p>
        </w:tc>
        <w:tc>
          <w:tcPr>
            <w:tcW w:w="938" w:type="dxa"/>
            <w:noWrap/>
            <w:hideMark/>
          </w:tcPr>
          <w:p w14:paraId="63389542" w14:textId="77777777" w:rsidR="005F4A7E" w:rsidRPr="00C340B4" w:rsidRDefault="005F4A7E" w:rsidP="00130D1C">
            <w:pPr>
              <w:pStyle w:val="ARfintablebodyrightbold"/>
              <w:spacing w:before="20" w:after="16" w:line="228" w:lineRule="auto"/>
              <w:ind w:right="0"/>
              <w:rPr>
                <w:sz w:val="15"/>
                <w:szCs w:val="15"/>
              </w:rPr>
            </w:pPr>
            <w:r>
              <w:rPr>
                <w:sz w:val="15"/>
                <w:szCs w:val="15"/>
              </w:rPr>
              <w:t>577.4</w:t>
            </w:r>
          </w:p>
        </w:tc>
        <w:tc>
          <w:tcPr>
            <w:tcW w:w="737" w:type="dxa"/>
            <w:noWrap/>
            <w:hideMark/>
          </w:tcPr>
          <w:p w14:paraId="0CC2DF45"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66.1</w:t>
            </w:r>
          </w:p>
        </w:tc>
        <w:tc>
          <w:tcPr>
            <w:tcW w:w="598" w:type="dxa"/>
            <w:noWrap/>
            <w:hideMark/>
          </w:tcPr>
          <w:p w14:paraId="2AFC08D3"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44.6</w:t>
            </w:r>
          </w:p>
        </w:tc>
        <w:tc>
          <w:tcPr>
            <w:tcW w:w="709" w:type="dxa"/>
            <w:noWrap/>
            <w:hideMark/>
          </w:tcPr>
          <w:p w14:paraId="21EB4751"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55.9</w:t>
            </w:r>
          </w:p>
        </w:tc>
        <w:tc>
          <w:tcPr>
            <w:tcW w:w="757" w:type="dxa"/>
            <w:noWrap/>
            <w:hideMark/>
          </w:tcPr>
          <w:p w14:paraId="5A1BBEE6"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(4.5)</w:t>
            </w:r>
          </w:p>
        </w:tc>
        <w:tc>
          <w:tcPr>
            <w:tcW w:w="639" w:type="dxa"/>
            <w:noWrap/>
            <w:hideMark/>
          </w:tcPr>
          <w:p w14:paraId="75775A8A"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42.8</w:t>
            </w:r>
          </w:p>
        </w:tc>
        <w:tc>
          <w:tcPr>
            <w:tcW w:w="708" w:type="dxa"/>
            <w:noWrap/>
            <w:hideMark/>
          </w:tcPr>
          <w:p w14:paraId="7ED949EE"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(16.2)</w:t>
            </w:r>
          </w:p>
        </w:tc>
        <w:tc>
          <w:tcPr>
            <w:tcW w:w="708" w:type="dxa"/>
            <w:noWrap/>
            <w:hideMark/>
          </w:tcPr>
          <w:p w14:paraId="70F61B94"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(1.3)</w:t>
            </w:r>
          </w:p>
        </w:tc>
        <w:tc>
          <w:tcPr>
            <w:tcW w:w="749" w:type="dxa"/>
            <w:noWrap/>
            <w:hideMark/>
          </w:tcPr>
          <w:p w14:paraId="2C8D012A"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(12.3)</w:t>
            </w:r>
          </w:p>
        </w:tc>
        <w:tc>
          <w:tcPr>
            <w:tcW w:w="738" w:type="dxa"/>
            <w:noWrap/>
            <w:hideMark/>
          </w:tcPr>
          <w:p w14:paraId="38728099"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(9.3)</w:t>
            </w:r>
          </w:p>
        </w:tc>
        <w:tc>
          <w:tcPr>
            <w:tcW w:w="738" w:type="dxa"/>
            <w:noWrap/>
            <w:hideMark/>
          </w:tcPr>
          <w:p w14:paraId="1BBC4D58"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0.1</w:t>
            </w:r>
          </w:p>
        </w:tc>
        <w:tc>
          <w:tcPr>
            <w:tcW w:w="738" w:type="dxa"/>
            <w:noWrap/>
            <w:hideMark/>
          </w:tcPr>
          <w:p w14:paraId="21EFE1B1"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0.1</w:t>
            </w:r>
          </w:p>
        </w:tc>
        <w:tc>
          <w:tcPr>
            <w:tcW w:w="590" w:type="dxa"/>
            <w:noWrap/>
            <w:hideMark/>
          </w:tcPr>
          <w:p w14:paraId="0AB20A09"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1.9</w:t>
            </w:r>
          </w:p>
        </w:tc>
        <w:tc>
          <w:tcPr>
            <w:tcW w:w="737" w:type="dxa"/>
            <w:noWrap/>
            <w:hideMark/>
          </w:tcPr>
          <w:p w14:paraId="6B37C0BA" w14:textId="77777777" w:rsidR="005F4A7E" w:rsidRPr="00C340B4" w:rsidRDefault="005F4A7E" w:rsidP="00130D1C">
            <w:pPr>
              <w:pStyle w:val="ARfintablebodyrightbold"/>
              <w:spacing w:before="20" w:after="16" w:line="228" w:lineRule="auto"/>
              <w:ind w:right="0"/>
              <w:rPr>
                <w:sz w:val="15"/>
                <w:szCs w:val="15"/>
              </w:rPr>
            </w:pPr>
            <w:r>
              <w:rPr>
                <w:sz w:val="15"/>
                <w:szCs w:val="15"/>
              </w:rPr>
              <w:t>(199.2)</w:t>
            </w:r>
          </w:p>
        </w:tc>
        <w:tc>
          <w:tcPr>
            <w:tcW w:w="738" w:type="dxa"/>
            <w:noWrap/>
            <w:hideMark/>
          </w:tcPr>
          <w:p w14:paraId="54E98805"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w:t>
            </w:r>
            <w:r>
              <w:rPr>
                <w:sz w:val="15"/>
                <w:szCs w:val="15"/>
              </w:rPr>
              <w:t>0.6</w:t>
            </w:r>
            <w:r w:rsidRPr="00C340B4">
              <w:rPr>
                <w:sz w:val="15"/>
                <w:szCs w:val="15"/>
              </w:rPr>
              <w:t>)</w:t>
            </w:r>
          </w:p>
        </w:tc>
        <w:tc>
          <w:tcPr>
            <w:tcW w:w="590" w:type="dxa"/>
            <w:noWrap/>
            <w:hideMark/>
          </w:tcPr>
          <w:p w14:paraId="1E1409C0"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w:t>
            </w:r>
          </w:p>
        </w:tc>
        <w:tc>
          <w:tcPr>
            <w:tcW w:w="744" w:type="dxa"/>
            <w:noWrap/>
            <w:hideMark/>
          </w:tcPr>
          <w:p w14:paraId="01C6CDBD" w14:textId="77777777" w:rsidR="005F4A7E" w:rsidRPr="00C340B4" w:rsidRDefault="005F4A7E" w:rsidP="00130D1C">
            <w:pPr>
              <w:pStyle w:val="ARfintablebodyrightbold"/>
              <w:spacing w:before="20" w:after="16" w:line="228" w:lineRule="auto"/>
              <w:ind w:right="0"/>
              <w:rPr>
                <w:sz w:val="15"/>
                <w:szCs w:val="15"/>
              </w:rPr>
            </w:pPr>
            <w:r w:rsidRPr="00C340B4">
              <w:rPr>
                <w:sz w:val="15"/>
                <w:szCs w:val="15"/>
              </w:rPr>
              <w:t>545.4</w:t>
            </w:r>
          </w:p>
        </w:tc>
      </w:tr>
    </w:tbl>
    <w:p w14:paraId="2F8659C9" w14:textId="77777777" w:rsidR="005F4A7E" w:rsidRPr="00F6698E" w:rsidRDefault="005F4A7E" w:rsidP="00130D1C">
      <w:pPr>
        <w:pStyle w:val="ARfintablefootnote"/>
        <w:spacing w:before="20" w:after="20"/>
        <w:rPr>
          <w:sz w:val="14"/>
        </w:rPr>
      </w:pPr>
      <w:r w:rsidRPr="00F6698E">
        <w:rPr>
          <w:sz w:val="14"/>
        </w:rPr>
        <w:t>Note:</w:t>
      </w:r>
    </w:p>
    <w:p w14:paraId="502F33B5" w14:textId="77777777" w:rsidR="005F4A7E" w:rsidRPr="00241AE4" w:rsidRDefault="005F4A7E" w:rsidP="00130D1C">
      <w:pPr>
        <w:pStyle w:val="ARfintablefootnoteindent"/>
        <w:spacing w:before="20" w:after="20"/>
      </w:pPr>
      <w:r w:rsidRPr="00F6698E">
        <w:rPr>
          <w:sz w:val="14"/>
        </w:rPr>
        <w:t>(i)</w:t>
      </w:r>
      <w:r w:rsidRPr="00F6698E">
        <w:rPr>
          <w:sz w:val="14"/>
        </w:rPr>
        <w:tab/>
        <w:t>Refer to Note 4.1.1 for output definitions.</w:t>
      </w:r>
    </w:p>
    <w:p w14:paraId="3DDF8FBB" w14:textId="2110A2E9" w:rsidR="005F4A7E" w:rsidRDefault="005F4A7E" w:rsidP="00130D1C">
      <w:pPr>
        <w:pStyle w:val="Heading4"/>
      </w:pPr>
      <w:bookmarkStart w:id="860" w:name="_Toc85121417"/>
      <w:bookmarkEnd w:id="858"/>
      <w:bookmarkEnd w:id="859"/>
      <w:r>
        <w:lastRenderedPageBreak/>
        <w:t>4.2 Administered (non-controlled</w:t>
      </w:r>
      <w:r w:rsidR="00C54BC1">
        <w:t>)</w:t>
      </w:r>
      <w:r>
        <w:t xml:space="preserve"> items</w:t>
      </w:r>
      <w:bookmarkEnd w:id="860"/>
    </w:p>
    <w:p w14:paraId="4499BEC4" w14:textId="77777777" w:rsidR="005F4A7E" w:rsidRDefault="005F4A7E" w:rsidP="00130D1C">
      <w:pPr>
        <w:pStyle w:val="ARfinbody"/>
      </w:pPr>
      <w:bookmarkStart w:id="861" w:name="_Toc39136711"/>
      <w:r>
        <w:t>Administered income includes taxes, fees and fines and the proceeds from the sale of administered surplus land and buildings. Administered expenses include payments made on behalf of the state and payments into the consolidated fund. Administered assets include government income earned but yet to be collected. Administered liabilities include government expenses incurred but yet to be paid. Except as otherwise disclosed, administered resources are accounted for on an accrual basis using the same accounting policies adopted for recognition of the departmental items in the financial statements. Both the controlled department financial statements and these administered items are consolidated into the financial statements of the state.</w:t>
      </w:r>
    </w:p>
    <w:p w14:paraId="59384A21" w14:textId="76D9F125" w:rsidR="005F4A7E" w:rsidRDefault="005F4A7E" w:rsidP="00130D1C">
      <w:pPr>
        <w:pStyle w:val="ARfinbody"/>
      </w:pPr>
      <w:r>
        <w:t>The department does not gain control over assets arising from taxes, fines and regulatory fees, consequently no income is recognised in the department</w:t>
      </w:r>
      <w:r w:rsidR="007D145B">
        <w:t>’</w:t>
      </w:r>
      <w:r>
        <w:t>s financial statements. The department collects these amounts on behalf of the state. Accordingly, the amounts are disclosed as income in the schedule of Administered Items.</w:t>
      </w:r>
    </w:p>
    <w:p w14:paraId="5F80C787" w14:textId="77777777" w:rsidR="005F4A7E" w:rsidRPr="002029AF" w:rsidRDefault="005F4A7E" w:rsidP="00130D1C">
      <w:pPr>
        <w:pStyle w:val="Heading5"/>
      </w:pPr>
      <w:bookmarkStart w:id="862" w:name="_Toc85121418"/>
      <w:bookmarkEnd w:id="861"/>
      <w:r w:rsidRPr="002029AF">
        <w:t>4.2.1 Administered income and expenses</w:t>
      </w:r>
      <w:bookmarkEnd w:id="862"/>
    </w:p>
    <w:tbl>
      <w:tblPr>
        <w:tblStyle w:val="TableGrid"/>
        <w:tblW w:w="14459" w:type="dxa"/>
        <w:tblLayout w:type="fixed"/>
        <w:tblCellMar>
          <w:right w:w="0" w:type="dxa"/>
        </w:tblCellMar>
        <w:tblLook w:val="06A0" w:firstRow="1" w:lastRow="0" w:firstColumn="1" w:lastColumn="0" w:noHBand="1" w:noVBand="1"/>
      </w:tblPr>
      <w:tblGrid>
        <w:gridCol w:w="3334"/>
        <w:gridCol w:w="835"/>
        <w:gridCol w:w="656"/>
        <w:gridCol w:w="656"/>
        <w:gridCol w:w="655"/>
        <w:gridCol w:w="655"/>
        <w:gridCol w:w="654"/>
        <w:gridCol w:w="654"/>
        <w:gridCol w:w="721"/>
        <w:gridCol w:w="882"/>
        <w:gridCol w:w="654"/>
        <w:gridCol w:w="654"/>
        <w:gridCol w:w="654"/>
        <w:gridCol w:w="654"/>
        <w:gridCol w:w="654"/>
        <w:gridCol w:w="654"/>
        <w:gridCol w:w="833"/>
      </w:tblGrid>
      <w:tr w:rsidR="005F4A7E" w:rsidRPr="002029AF" w14:paraId="7C724997"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3334" w:type="dxa"/>
            <w:tcBorders>
              <w:bottom w:val="single" w:sz="4" w:space="0" w:color="auto"/>
            </w:tcBorders>
            <w:hideMark/>
          </w:tcPr>
          <w:p w14:paraId="6A736354" w14:textId="77777777" w:rsidR="005F4A7E" w:rsidRDefault="005F4A7E" w:rsidP="00130D1C">
            <w:pPr>
              <w:pStyle w:val="ARfintablecolhead"/>
            </w:pPr>
            <w:bookmarkStart w:id="863" w:name="_Hlk82959212"/>
            <w:r w:rsidRPr="002E1506">
              <w:t>Year ended 30 June 2021</w:t>
            </w:r>
          </w:p>
          <w:p w14:paraId="67B66CD3" w14:textId="77777777" w:rsidR="005F4A7E" w:rsidRPr="002029AF" w:rsidRDefault="005F4A7E" w:rsidP="00130D1C">
            <w:pPr>
              <w:pStyle w:val="ARfintablecolhead"/>
            </w:pPr>
            <w:r w:rsidRPr="002029AF">
              <w:t xml:space="preserve">Output group </w:t>
            </w:r>
            <w:r w:rsidRPr="002029AF">
              <w:rPr>
                <w:rStyle w:val="Superscript"/>
              </w:rPr>
              <w:t>(i)(ii)</w:t>
            </w:r>
          </w:p>
        </w:tc>
        <w:tc>
          <w:tcPr>
            <w:tcW w:w="835" w:type="dxa"/>
            <w:tcBorders>
              <w:bottom w:val="single" w:sz="4" w:space="0" w:color="auto"/>
            </w:tcBorders>
            <w:hideMark/>
          </w:tcPr>
          <w:p w14:paraId="5C79B64A" w14:textId="77777777" w:rsidR="005F4A7E" w:rsidRPr="00593BF7" w:rsidRDefault="005F4A7E" w:rsidP="00130D1C">
            <w:pPr>
              <w:pStyle w:val="ARfintablecolheadright"/>
            </w:pPr>
            <w:r w:rsidRPr="00593BF7">
              <w:t>1</w:t>
            </w:r>
          </w:p>
          <w:p w14:paraId="44531457" w14:textId="77777777" w:rsidR="005F4A7E" w:rsidRPr="00593BF7" w:rsidRDefault="005F4A7E" w:rsidP="00130D1C">
            <w:pPr>
              <w:pStyle w:val="ARfintablecolheadright"/>
            </w:pPr>
            <w:r w:rsidRPr="00593BF7">
              <w:t>$M</w:t>
            </w:r>
          </w:p>
        </w:tc>
        <w:tc>
          <w:tcPr>
            <w:tcW w:w="656" w:type="dxa"/>
            <w:tcBorders>
              <w:bottom w:val="single" w:sz="4" w:space="0" w:color="auto"/>
            </w:tcBorders>
            <w:hideMark/>
          </w:tcPr>
          <w:p w14:paraId="4240372E" w14:textId="77777777" w:rsidR="005F4A7E" w:rsidRPr="00593BF7" w:rsidRDefault="005F4A7E" w:rsidP="00130D1C">
            <w:pPr>
              <w:pStyle w:val="ARfintablecolheadright"/>
            </w:pPr>
            <w:r w:rsidRPr="00593BF7">
              <w:t>2</w:t>
            </w:r>
          </w:p>
          <w:p w14:paraId="3491B6EE" w14:textId="77777777" w:rsidR="005F4A7E" w:rsidRPr="00593BF7" w:rsidRDefault="005F4A7E" w:rsidP="00130D1C">
            <w:pPr>
              <w:pStyle w:val="ARfintablecolheadright"/>
            </w:pPr>
            <w:r w:rsidRPr="00593BF7">
              <w:t>$M</w:t>
            </w:r>
          </w:p>
        </w:tc>
        <w:tc>
          <w:tcPr>
            <w:tcW w:w="656" w:type="dxa"/>
            <w:tcBorders>
              <w:bottom w:val="single" w:sz="4" w:space="0" w:color="auto"/>
            </w:tcBorders>
            <w:hideMark/>
          </w:tcPr>
          <w:p w14:paraId="55238C6C" w14:textId="77777777" w:rsidR="005F4A7E" w:rsidRPr="00593BF7" w:rsidRDefault="005F4A7E" w:rsidP="00130D1C">
            <w:pPr>
              <w:pStyle w:val="ARfintablecolheadright"/>
            </w:pPr>
            <w:r w:rsidRPr="00593BF7">
              <w:t>3</w:t>
            </w:r>
          </w:p>
          <w:p w14:paraId="4FCEDB68" w14:textId="77777777" w:rsidR="005F4A7E" w:rsidRPr="00593BF7" w:rsidRDefault="005F4A7E" w:rsidP="00130D1C">
            <w:pPr>
              <w:pStyle w:val="ARfintablecolheadright"/>
            </w:pPr>
            <w:r w:rsidRPr="00593BF7">
              <w:t>$M</w:t>
            </w:r>
          </w:p>
        </w:tc>
        <w:tc>
          <w:tcPr>
            <w:tcW w:w="655" w:type="dxa"/>
            <w:tcBorders>
              <w:bottom w:val="single" w:sz="4" w:space="0" w:color="auto"/>
            </w:tcBorders>
            <w:hideMark/>
          </w:tcPr>
          <w:p w14:paraId="4DC40C42" w14:textId="77777777" w:rsidR="005F4A7E" w:rsidRPr="00593BF7" w:rsidRDefault="005F4A7E" w:rsidP="00130D1C">
            <w:pPr>
              <w:pStyle w:val="ARfintablecolheadright"/>
            </w:pPr>
            <w:r w:rsidRPr="00593BF7">
              <w:t>4</w:t>
            </w:r>
          </w:p>
          <w:p w14:paraId="751713E5" w14:textId="77777777" w:rsidR="005F4A7E" w:rsidRPr="00593BF7" w:rsidRDefault="005F4A7E" w:rsidP="00130D1C">
            <w:pPr>
              <w:pStyle w:val="ARfintablecolheadright"/>
            </w:pPr>
            <w:r w:rsidRPr="00593BF7">
              <w:t>$M</w:t>
            </w:r>
          </w:p>
        </w:tc>
        <w:tc>
          <w:tcPr>
            <w:tcW w:w="655" w:type="dxa"/>
            <w:tcBorders>
              <w:bottom w:val="single" w:sz="4" w:space="0" w:color="auto"/>
            </w:tcBorders>
            <w:hideMark/>
          </w:tcPr>
          <w:p w14:paraId="116322D1" w14:textId="77777777" w:rsidR="005F4A7E" w:rsidRPr="00593BF7" w:rsidRDefault="005F4A7E" w:rsidP="00130D1C">
            <w:pPr>
              <w:pStyle w:val="ARfintablecolheadright"/>
            </w:pPr>
            <w:r w:rsidRPr="00593BF7">
              <w:t>5</w:t>
            </w:r>
          </w:p>
          <w:p w14:paraId="233B71B0" w14:textId="77777777" w:rsidR="005F4A7E" w:rsidRPr="00593BF7" w:rsidRDefault="005F4A7E" w:rsidP="00130D1C">
            <w:pPr>
              <w:pStyle w:val="ARfintablecolheadright"/>
            </w:pPr>
            <w:r w:rsidRPr="00593BF7">
              <w:t>$M</w:t>
            </w:r>
          </w:p>
        </w:tc>
        <w:tc>
          <w:tcPr>
            <w:tcW w:w="654" w:type="dxa"/>
            <w:tcBorders>
              <w:bottom w:val="single" w:sz="4" w:space="0" w:color="auto"/>
            </w:tcBorders>
            <w:hideMark/>
          </w:tcPr>
          <w:p w14:paraId="3A852489" w14:textId="77777777" w:rsidR="005F4A7E" w:rsidRPr="00593BF7" w:rsidRDefault="005F4A7E" w:rsidP="00130D1C">
            <w:pPr>
              <w:pStyle w:val="ARfintablecolheadright"/>
            </w:pPr>
            <w:r w:rsidRPr="00593BF7">
              <w:t>6</w:t>
            </w:r>
          </w:p>
          <w:p w14:paraId="20D76D12" w14:textId="77777777" w:rsidR="005F4A7E" w:rsidRPr="00593BF7" w:rsidRDefault="005F4A7E" w:rsidP="00130D1C">
            <w:pPr>
              <w:pStyle w:val="ARfintablecolheadright"/>
            </w:pPr>
            <w:r w:rsidRPr="00593BF7">
              <w:t>$M</w:t>
            </w:r>
          </w:p>
        </w:tc>
        <w:tc>
          <w:tcPr>
            <w:tcW w:w="654" w:type="dxa"/>
            <w:tcBorders>
              <w:bottom w:val="single" w:sz="4" w:space="0" w:color="auto"/>
            </w:tcBorders>
            <w:hideMark/>
          </w:tcPr>
          <w:p w14:paraId="03800217" w14:textId="77777777" w:rsidR="005F4A7E" w:rsidRPr="00593BF7" w:rsidRDefault="005F4A7E" w:rsidP="00130D1C">
            <w:pPr>
              <w:pStyle w:val="ARfintablecolheadright"/>
            </w:pPr>
            <w:r w:rsidRPr="00593BF7">
              <w:t>7</w:t>
            </w:r>
          </w:p>
          <w:p w14:paraId="60DCE8D2" w14:textId="77777777" w:rsidR="005F4A7E" w:rsidRPr="00593BF7" w:rsidRDefault="005F4A7E" w:rsidP="00130D1C">
            <w:pPr>
              <w:pStyle w:val="ARfintablecolheadright"/>
            </w:pPr>
            <w:r w:rsidRPr="00593BF7">
              <w:t>$M</w:t>
            </w:r>
          </w:p>
        </w:tc>
        <w:tc>
          <w:tcPr>
            <w:tcW w:w="721" w:type="dxa"/>
            <w:tcBorders>
              <w:bottom w:val="single" w:sz="4" w:space="0" w:color="auto"/>
            </w:tcBorders>
            <w:hideMark/>
          </w:tcPr>
          <w:p w14:paraId="15DCB089" w14:textId="77777777" w:rsidR="005F4A7E" w:rsidRPr="00593BF7" w:rsidRDefault="005F4A7E" w:rsidP="00130D1C">
            <w:pPr>
              <w:pStyle w:val="ARfintablecolheadright"/>
            </w:pPr>
            <w:r w:rsidRPr="00593BF7">
              <w:t>8</w:t>
            </w:r>
          </w:p>
          <w:p w14:paraId="4E6D2EFE" w14:textId="77777777" w:rsidR="005F4A7E" w:rsidRPr="00593BF7" w:rsidRDefault="005F4A7E" w:rsidP="00130D1C">
            <w:pPr>
              <w:pStyle w:val="ARfintablecolheadright"/>
            </w:pPr>
            <w:r w:rsidRPr="00593BF7">
              <w:t>$M</w:t>
            </w:r>
          </w:p>
        </w:tc>
        <w:tc>
          <w:tcPr>
            <w:tcW w:w="882" w:type="dxa"/>
            <w:tcBorders>
              <w:bottom w:val="single" w:sz="4" w:space="0" w:color="auto"/>
            </w:tcBorders>
            <w:hideMark/>
          </w:tcPr>
          <w:p w14:paraId="4DB09B17" w14:textId="77777777" w:rsidR="005F4A7E" w:rsidRPr="00593BF7" w:rsidRDefault="005F4A7E" w:rsidP="00130D1C">
            <w:pPr>
              <w:pStyle w:val="ARfintablecolheadright"/>
            </w:pPr>
            <w:r w:rsidRPr="00593BF7">
              <w:t>9</w:t>
            </w:r>
          </w:p>
          <w:p w14:paraId="0B3AB2E0" w14:textId="77777777" w:rsidR="005F4A7E" w:rsidRPr="00593BF7" w:rsidRDefault="005F4A7E" w:rsidP="00130D1C">
            <w:pPr>
              <w:pStyle w:val="ARfintablecolheadright"/>
            </w:pPr>
            <w:r w:rsidRPr="00593BF7">
              <w:t>$M</w:t>
            </w:r>
          </w:p>
        </w:tc>
        <w:tc>
          <w:tcPr>
            <w:tcW w:w="654" w:type="dxa"/>
            <w:tcBorders>
              <w:bottom w:val="single" w:sz="4" w:space="0" w:color="auto"/>
            </w:tcBorders>
            <w:hideMark/>
          </w:tcPr>
          <w:p w14:paraId="65ECF5F8" w14:textId="77777777" w:rsidR="005F4A7E" w:rsidRPr="00593BF7" w:rsidRDefault="005F4A7E" w:rsidP="00130D1C">
            <w:pPr>
              <w:pStyle w:val="ARfintablecolheadright"/>
            </w:pPr>
            <w:r w:rsidRPr="00593BF7">
              <w:t>10</w:t>
            </w:r>
          </w:p>
          <w:p w14:paraId="4EA50695" w14:textId="77777777" w:rsidR="005F4A7E" w:rsidRPr="00593BF7" w:rsidRDefault="005F4A7E" w:rsidP="00130D1C">
            <w:pPr>
              <w:pStyle w:val="ARfintablecolheadright"/>
            </w:pPr>
            <w:r w:rsidRPr="00593BF7">
              <w:t>$M</w:t>
            </w:r>
          </w:p>
        </w:tc>
        <w:tc>
          <w:tcPr>
            <w:tcW w:w="654" w:type="dxa"/>
            <w:tcBorders>
              <w:bottom w:val="single" w:sz="4" w:space="0" w:color="auto"/>
            </w:tcBorders>
            <w:hideMark/>
          </w:tcPr>
          <w:p w14:paraId="2BFA53A7" w14:textId="77777777" w:rsidR="005F4A7E" w:rsidRPr="00593BF7" w:rsidRDefault="005F4A7E" w:rsidP="00130D1C">
            <w:pPr>
              <w:pStyle w:val="ARfintablecolheadright"/>
            </w:pPr>
            <w:r w:rsidRPr="00593BF7">
              <w:t>11</w:t>
            </w:r>
          </w:p>
          <w:p w14:paraId="3D67F91F" w14:textId="77777777" w:rsidR="005F4A7E" w:rsidRPr="00593BF7" w:rsidRDefault="005F4A7E" w:rsidP="00130D1C">
            <w:pPr>
              <w:pStyle w:val="ARfintablecolheadright"/>
            </w:pPr>
            <w:r w:rsidRPr="00593BF7">
              <w:t>$M</w:t>
            </w:r>
          </w:p>
        </w:tc>
        <w:tc>
          <w:tcPr>
            <w:tcW w:w="654" w:type="dxa"/>
            <w:tcBorders>
              <w:bottom w:val="single" w:sz="4" w:space="0" w:color="auto"/>
            </w:tcBorders>
            <w:hideMark/>
          </w:tcPr>
          <w:p w14:paraId="58CCF0BA" w14:textId="77777777" w:rsidR="005F4A7E" w:rsidRPr="00593BF7" w:rsidRDefault="005F4A7E" w:rsidP="00130D1C">
            <w:pPr>
              <w:pStyle w:val="ARfintablecolheadright"/>
            </w:pPr>
            <w:r w:rsidRPr="00593BF7">
              <w:t>12</w:t>
            </w:r>
          </w:p>
          <w:p w14:paraId="493C00F0" w14:textId="77777777" w:rsidR="005F4A7E" w:rsidRPr="00593BF7" w:rsidRDefault="005F4A7E" w:rsidP="00130D1C">
            <w:pPr>
              <w:pStyle w:val="ARfintablecolheadright"/>
            </w:pPr>
            <w:r w:rsidRPr="00593BF7">
              <w:t>$M</w:t>
            </w:r>
          </w:p>
        </w:tc>
        <w:tc>
          <w:tcPr>
            <w:tcW w:w="654" w:type="dxa"/>
            <w:tcBorders>
              <w:bottom w:val="single" w:sz="4" w:space="0" w:color="auto"/>
            </w:tcBorders>
            <w:hideMark/>
          </w:tcPr>
          <w:p w14:paraId="1DFCCA36" w14:textId="77777777" w:rsidR="005F4A7E" w:rsidRPr="00593BF7" w:rsidRDefault="005F4A7E" w:rsidP="00130D1C">
            <w:pPr>
              <w:pStyle w:val="ARfintablecolheadright"/>
            </w:pPr>
            <w:r w:rsidRPr="00593BF7">
              <w:t>13</w:t>
            </w:r>
          </w:p>
          <w:p w14:paraId="05E636FD" w14:textId="77777777" w:rsidR="005F4A7E" w:rsidRPr="00593BF7" w:rsidRDefault="005F4A7E" w:rsidP="00130D1C">
            <w:pPr>
              <w:pStyle w:val="ARfintablecolheadright"/>
            </w:pPr>
            <w:r w:rsidRPr="00593BF7">
              <w:t>$M</w:t>
            </w:r>
          </w:p>
        </w:tc>
        <w:tc>
          <w:tcPr>
            <w:tcW w:w="654" w:type="dxa"/>
            <w:tcBorders>
              <w:bottom w:val="single" w:sz="4" w:space="0" w:color="auto"/>
            </w:tcBorders>
            <w:hideMark/>
          </w:tcPr>
          <w:p w14:paraId="6BD83251" w14:textId="77777777" w:rsidR="005F4A7E" w:rsidRPr="00593BF7" w:rsidRDefault="005F4A7E" w:rsidP="00130D1C">
            <w:pPr>
              <w:pStyle w:val="ARfintablecolheadright"/>
            </w:pPr>
            <w:r w:rsidRPr="00593BF7">
              <w:t>14</w:t>
            </w:r>
          </w:p>
          <w:p w14:paraId="600F4649" w14:textId="77777777" w:rsidR="005F4A7E" w:rsidRPr="00593BF7" w:rsidRDefault="005F4A7E" w:rsidP="00130D1C">
            <w:pPr>
              <w:pStyle w:val="ARfintablecolheadright"/>
            </w:pPr>
            <w:r w:rsidRPr="00593BF7">
              <w:t>$M</w:t>
            </w:r>
          </w:p>
        </w:tc>
        <w:tc>
          <w:tcPr>
            <w:tcW w:w="654" w:type="dxa"/>
            <w:tcBorders>
              <w:bottom w:val="single" w:sz="4" w:space="0" w:color="auto"/>
            </w:tcBorders>
            <w:hideMark/>
          </w:tcPr>
          <w:p w14:paraId="450837E9" w14:textId="77777777" w:rsidR="005F4A7E" w:rsidRPr="00593BF7" w:rsidRDefault="005F4A7E" w:rsidP="00130D1C">
            <w:pPr>
              <w:pStyle w:val="ARfintablecolheadright"/>
            </w:pPr>
            <w:r w:rsidRPr="00593BF7">
              <w:t>15</w:t>
            </w:r>
          </w:p>
          <w:p w14:paraId="6755B3DE" w14:textId="77777777" w:rsidR="005F4A7E" w:rsidRPr="00593BF7" w:rsidRDefault="005F4A7E" w:rsidP="00130D1C">
            <w:pPr>
              <w:pStyle w:val="ARfintablecolheadright"/>
            </w:pPr>
            <w:r w:rsidRPr="00593BF7">
              <w:t>$M</w:t>
            </w:r>
          </w:p>
        </w:tc>
        <w:tc>
          <w:tcPr>
            <w:tcW w:w="833" w:type="dxa"/>
            <w:tcBorders>
              <w:bottom w:val="single" w:sz="4" w:space="0" w:color="auto"/>
            </w:tcBorders>
            <w:hideMark/>
          </w:tcPr>
          <w:p w14:paraId="5DE23DC3" w14:textId="77777777" w:rsidR="005F4A7E" w:rsidRPr="00593BF7" w:rsidRDefault="005F4A7E" w:rsidP="00130D1C">
            <w:pPr>
              <w:pStyle w:val="ARfintablecolheadright"/>
            </w:pPr>
            <w:r w:rsidRPr="00593BF7">
              <w:t>Total</w:t>
            </w:r>
          </w:p>
          <w:p w14:paraId="4B68542E" w14:textId="77777777" w:rsidR="005F4A7E" w:rsidRPr="00593BF7" w:rsidRDefault="005F4A7E" w:rsidP="00130D1C">
            <w:pPr>
              <w:pStyle w:val="ARfintablecolheadright"/>
            </w:pPr>
            <w:r w:rsidRPr="00593BF7">
              <w:t>$M</w:t>
            </w:r>
          </w:p>
        </w:tc>
      </w:tr>
      <w:tr w:rsidR="005F4A7E" w:rsidRPr="002029AF" w14:paraId="4CBAC84E" w14:textId="77777777" w:rsidTr="00130D1C">
        <w:tc>
          <w:tcPr>
            <w:tcW w:w="14459" w:type="dxa"/>
            <w:gridSpan w:val="17"/>
            <w:tcBorders>
              <w:top w:val="single" w:sz="4" w:space="0" w:color="auto"/>
              <w:bottom w:val="single" w:sz="4" w:space="0" w:color="A6A6A6"/>
            </w:tcBorders>
            <w:hideMark/>
          </w:tcPr>
          <w:p w14:paraId="477E20BD" w14:textId="77777777" w:rsidR="005F4A7E" w:rsidRPr="002029AF" w:rsidRDefault="005F4A7E" w:rsidP="00130D1C">
            <w:pPr>
              <w:pStyle w:val="ARfintablebodybold"/>
            </w:pPr>
            <w:r w:rsidRPr="00997B0D">
              <w:t>Administered income from transactions</w:t>
            </w:r>
          </w:p>
        </w:tc>
      </w:tr>
      <w:tr w:rsidR="005F4A7E" w:rsidRPr="002029AF" w14:paraId="716D93B5" w14:textId="77777777" w:rsidTr="00130D1C">
        <w:tc>
          <w:tcPr>
            <w:tcW w:w="3334" w:type="dxa"/>
            <w:tcBorders>
              <w:top w:val="single" w:sz="4" w:space="0" w:color="A6A6A6"/>
              <w:bottom w:val="single" w:sz="4" w:space="0" w:color="A6A6A6"/>
            </w:tcBorders>
            <w:hideMark/>
          </w:tcPr>
          <w:p w14:paraId="34A3236A" w14:textId="39678A37" w:rsidR="005F4A7E" w:rsidRPr="002029AF" w:rsidRDefault="005F4A7E" w:rsidP="00C51E8E">
            <w:pPr>
              <w:pStyle w:val="ARfintablebody"/>
            </w:pPr>
            <w:r w:rsidRPr="00997B0D">
              <w:t>Commonwealth contribution to the national health reform</w:t>
            </w:r>
          </w:p>
        </w:tc>
        <w:tc>
          <w:tcPr>
            <w:tcW w:w="835" w:type="dxa"/>
            <w:tcBorders>
              <w:top w:val="single" w:sz="4" w:space="0" w:color="A6A6A6"/>
              <w:bottom w:val="single" w:sz="4" w:space="0" w:color="A6A6A6"/>
            </w:tcBorders>
            <w:noWrap/>
            <w:hideMark/>
          </w:tcPr>
          <w:p w14:paraId="7192737E" w14:textId="77777777" w:rsidR="005F4A7E" w:rsidRPr="002029AF" w:rsidRDefault="005F4A7E" w:rsidP="00130D1C">
            <w:pPr>
              <w:pStyle w:val="ARfintablebodyright"/>
            </w:pPr>
            <w:r w:rsidRPr="00997B0D">
              <w:t>4,750.2</w:t>
            </w:r>
          </w:p>
        </w:tc>
        <w:tc>
          <w:tcPr>
            <w:tcW w:w="656" w:type="dxa"/>
            <w:tcBorders>
              <w:top w:val="single" w:sz="4" w:space="0" w:color="A6A6A6"/>
              <w:bottom w:val="single" w:sz="4" w:space="0" w:color="A6A6A6"/>
            </w:tcBorders>
            <w:noWrap/>
            <w:hideMark/>
          </w:tcPr>
          <w:p w14:paraId="1A65AEBF" w14:textId="77777777" w:rsidR="005F4A7E" w:rsidRPr="002029AF" w:rsidRDefault="005F4A7E" w:rsidP="00130D1C">
            <w:pPr>
              <w:pStyle w:val="ARfintablebodyright"/>
            </w:pPr>
            <w:r w:rsidRPr="00997B0D">
              <w:t>–</w:t>
            </w:r>
          </w:p>
        </w:tc>
        <w:tc>
          <w:tcPr>
            <w:tcW w:w="656" w:type="dxa"/>
            <w:tcBorders>
              <w:top w:val="single" w:sz="4" w:space="0" w:color="A6A6A6"/>
              <w:bottom w:val="single" w:sz="4" w:space="0" w:color="A6A6A6"/>
            </w:tcBorders>
            <w:noWrap/>
            <w:hideMark/>
          </w:tcPr>
          <w:p w14:paraId="49EDA689" w14:textId="77777777" w:rsidR="005F4A7E" w:rsidRPr="002029AF" w:rsidRDefault="005F4A7E" w:rsidP="00130D1C">
            <w:pPr>
              <w:pStyle w:val="ARfintablebodyright"/>
            </w:pPr>
            <w:r w:rsidRPr="00997B0D">
              <w:t>690.0</w:t>
            </w:r>
          </w:p>
        </w:tc>
        <w:tc>
          <w:tcPr>
            <w:tcW w:w="655" w:type="dxa"/>
            <w:tcBorders>
              <w:top w:val="single" w:sz="4" w:space="0" w:color="A6A6A6"/>
              <w:bottom w:val="single" w:sz="4" w:space="0" w:color="A6A6A6"/>
            </w:tcBorders>
            <w:noWrap/>
            <w:hideMark/>
          </w:tcPr>
          <w:p w14:paraId="3D1AA4BF" w14:textId="77777777" w:rsidR="005F4A7E" w:rsidRPr="002029AF" w:rsidRDefault="005F4A7E" w:rsidP="00130D1C">
            <w:pPr>
              <w:pStyle w:val="ARfintablebodyright"/>
            </w:pPr>
            <w:r w:rsidRPr="00997B0D">
              <w:t>–</w:t>
            </w:r>
          </w:p>
        </w:tc>
        <w:tc>
          <w:tcPr>
            <w:tcW w:w="655" w:type="dxa"/>
            <w:tcBorders>
              <w:top w:val="single" w:sz="4" w:space="0" w:color="A6A6A6"/>
              <w:bottom w:val="single" w:sz="4" w:space="0" w:color="A6A6A6"/>
            </w:tcBorders>
            <w:noWrap/>
            <w:hideMark/>
          </w:tcPr>
          <w:p w14:paraId="422EF819" w14:textId="77777777" w:rsidR="005F4A7E" w:rsidRPr="002029AF" w:rsidRDefault="005F4A7E" w:rsidP="00130D1C">
            <w:pPr>
              <w:pStyle w:val="ARfintablebodyright"/>
            </w:pPr>
            <w:r w:rsidRPr="00997B0D">
              <w:t>0.3</w:t>
            </w:r>
          </w:p>
        </w:tc>
        <w:tc>
          <w:tcPr>
            <w:tcW w:w="654" w:type="dxa"/>
            <w:tcBorders>
              <w:top w:val="single" w:sz="4" w:space="0" w:color="A6A6A6"/>
              <w:bottom w:val="single" w:sz="4" w:space="0" w:color="A6A6A6"/>
            </w:tcBorders>
            <w:noWrap/>
            <w:hideMark/>
          </w:tcPr>
          <w:p w14:paraId="1EF0A037" w14:textId="77777777" w:rsidR="005F4A7E" w:rsidRPr="002029AF" w:rsidRDefault="005F4A7E" w:rsidP="00130D1C">
            <w:pPr>
              <w:pStyle w:val="ARfintablebodyright"/>
            </w:pPr>
            <w:r w:rsidRPr="00997B0D">
              <w:t>131.4</w:t>
            </w:r>
          </w:p>
        </w:tc>
        <w:tc>
          <w:tcPr>
            <w:tcW w:w="654" w:type="dxa"/>
            <w:tcBorders>
              <w:top w:val="single" w:sz="4" w:space="0" w:color="A6A6A6"/>
              <w:bottom w:val="single" w:sz="4" w:space="0" w:color="A6A6A6"/>
            </w:tcBorders>
            <w:noWrap/>
            <w:hideMark/>
          </w:tcPr>
          <w:p w14:paraId="103F1C40" w14:textId="77777777" w:rsidR="005F4A7E" w:rsidRPr="002029AF" w:rsidRDefault="005F4A7E" w:rsidP="00130D1C">
            <w:pPr>
              <w:pStyle w:val="ARfintablebodyright"/>
            </w:pPr>
            <w:r w:rsidRPr="00997B0D">
              <w:t>115.6</w:t>
            </w:r>
          </w:p>
        </w:tc>
        <w:tc>
          <w:tcPr>
            <w:tcW w:w="721" w:type="dxa"/>
            <w:tcBorders>
              <w:top w:val="single" w:sz="4" w:space="0" w:color="A6A6A6"/>
              <w:bottom w:val="single" w:sz="4" w:space="0" w:color="A6A6A6"/>
            </w:tcBorders>
            <w:noWrap/>
            <w:hideMark/>
          </w:tcPr>
          <w:p w14:paraId="602B748D" w14:textId="77777777" w:rsidR="005F4A7E" w:rsidRPr="002029AF" w:rsidRDefault="005F4A7E" w:rsidP="00130D1C">
            <w:pPr>
              <w:pStyle w:val="ARfintablebodyright"/>
            </w:pPr>
            <w:r w:rsidRPr="00997B0D">
              <w:t>13.5</w:t>
            </w:r>
          </w:p>
        </w:tc>
        <w:tc>
          <w:tcPr>
            <w:tcW w:w="882" w:type="dxa"/>
            <w:tcBorders>
              <w:top w:val="single" w:sz="4" w:space="0" w:color="A6A6A6"/>
              <w:bottom w:val="single" w:sz="4" w:space="0" w:color="A6A6A6"/>
            </w:tcBorders>
            <w:noWrap/>
            <w:hideMark/>
          </w:tcPr>
          <w:p w14:paraId="7E2332FD"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27681816"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5F70C75A"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049CACDA"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099FE2EB"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55D0FBEE"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4D5DB9E5" w14:textId="77777777" w:rsidR="005F4A7E" w:rsidRPr="002029AF" w:rsidRDefault="005F4A7E" w:rsidP="00130D1C">
            <w:pPr>
              <w:pStyle w:val="ARfintablebodyright"/>
            </w:pPr>
            <w:r w:rsidRPr="00997B0D">
              <w:t>–</w:t>
            </w:r>
          </w:p>
        </w:tc>
        <w:tc>
          <w:tcPr>
            <w:tcW w:w="833" w:type="dxa"/>
            <w:tcBorders>
              <w:top w:val="single" w:sz="4" w:space="0" w:color="A6A6A6"/>
              <w:bottom w:val="single" w:sz="4" w:space="0" w:color="A6A6A6"/>
            </w:tcBorders>
            <w:noWrap/>
            <w:hideMark/>
          </w:tcPr>
          <w:p w14:paraId="1FB15744" w14:textId="77777777" w:rsidR="005F4A7E" w:rsidRPr="002029AF" w:rsidRDefault="005F4A7E" w:rsidP="00130D1C">
            <w:pPr>
              <w:pStyle w:val="ARfintablebodyright"/>
            </w:pPr>
            <w:r w:rsidRPr="00997B0D">
              <w:t>5,701.0</w:t>
            </w:r>
          </w:p>
        </w:tc>
      </w:tr>
      <w:tr w:rsidR="005F4A7E" w:rsidRPr="002029AF" w14:paraId="06A5EA3B" w14:textId="77777777" w:rsidTr="00130D1C">
        <w:tc>
          <w:tcPr>
            <w:tcW w:w="3334" w:type="dxa"/>
            <w:tcBorders>
              <w:top w:val="single" w:sz="4" w:space="0" w:color="A6A6A6"/>
              <w:bottom w:val="single" w:sz="4" w:space="0" w:color="A6A6A6"/>
            </w:tcBorders>
            <w:hideMark/>
          </w:tcPr>
          <w:p w14:paraId="13C875F3" w14:textId="542E2FA1" w:rsidR="005F4A7E" w:rsidRPr="002029AF" w:rsidRDefault="005F4A7E" w:rsidP="00C51E8E">
            <w:pPr>
              <w:pStyle w:val="ARfintablebody"/>
            </w:pPr>
            <w:r w:rsidRPr="00997B0D">
              <w:t>State contribution to the national health</w:t>
            </w:r>
            <w:r>
              <w:t> </w:t>
            </w:r>
            <w:r w:rsidRPr="00997B0D">
              <w:t>reform</w:t>
            </w:r>
          </w:p>
        </w:tc>
        <w:tc>
          <w:tcPr>
            <w:tcW w:w="835" w:type="dxa"/>
            <w:tcBorders>
              <w:top w:val="single" w:sz="4" w:space="0" w:color="A6A6A6"/>
              <w:bottom w:val="single" w:sz="4" w:space="0" w:color="A6A6A6"/>
            </w:tcBorders>
            <w:noWrap/>
            <w:hideMark/>
          </w:tcPr>
          <w:p w14:paraId="0C61B409" w14:textId="77777777" w:rsidR="005F4A7E" w:rsidRPr="002029AF" w:rsidRDefault="005F4A7E" w:rsidP="00130D1C">
            <w:pPr>
              <w:pStyle w:val="ARfintablebodyright"/>
            </w:pPr>
            <w:r w:rsidRPr="00997B0D">
              <w:t>5,450.2</w:t>
            </w:r>
          </w:p>
        </w:tc>
        <w:tc>
          <w:tcPr>
            <w:tcW w:w="656" w:type="dxa"/>
            <w:tcBorders>
              <w:top w:val="single" w:sz="4" w:space="0" w:color="A6A6A6"/>
              <w:bottom w:val="single" w:sz="4" w:space="0" w:color="A6A6A6"/>
            </w:tcBorders>
            <w:noWrap/>
            <w:hideMark/>
          </w:tcPr>
          <w:p w14:paraId="1B447F0F" w14:textId="77777777" w:rsidR="005F4A7E" w:rsidRPr="002029AF" w:rsidRDefault="005F4A7E" w:rsidP="00130D1C">
            <w:pPr>
              <w:pStyle w:val="ARfintablebodyright"/>
            </w:pPr>
            <w:r w:rsidRPr="00997B0D">
              <w:t>–</w:t>
            </w:r>
          </w:p>
        </w:tc>
        <w:tc>
          <w:tcPr>
            <w:tcW w:w="656" w:type="dxa"/>
            <w:tcBorders>
              <w:top w:val="single" w:sz="4" w:space="0" w:color="A6A6A6"/>
              <w:bottom w:val="single" w:sz="4" w:space="0" w:color="A6A6A6"/>
            </w:tcBorders>
            <w:noWrap/>
            <w:hideMark/>
          </w:tcPr>
          <w:p w14:paraId="2DCB285C" w14:textId="77777777" w:rsidR="005F4A7E" w:rsidRPr="002029AF" w:rsidRDefault="005F4A7E" w:rsidP="00130D1C">
            <w:pPr>
              <w:pStyle w:val="ARfintablebodyright"/>
            </w:pPr>
            <w:r w:rsidRPr="00997B0D">
              <w:t>178.2</w:t>
            </w:r>
          </w:p>
        </w:tc>
        <w:tc>
          <w:tcPr>
            <w:tcW w:w="655" w:type="dxa"/>
            <w:tcBorders>
              <w:top w:val="single" w:sz="4" w:space="0" w:color="A6A6A6"/>
              <w:bottom w:val="single" w:sz="4" w:space="0" w:color="A6A6A6"/>
            </w:tcBorders>
            <w:noWrap/>
            <w:hideMark/>
          </w:tcPr>
          <w:p w14:paraId="65D816F4" w14:textId="77777777" w:rsidR="005F4A7E" w:rsidRPr="002029AF" w:rsidRDefault="005F4A7E" w:rsidP="00130D1C">
            <w:pPr>
              <w:pStyle w:val="ARfintablebodyright"/>
            </w:pPr>
            <w:r w:rsidRPr="00997B0D">
              <w:t>–</w:t>
            </w:r>
          </w:p>
        </w:tc>
        <w:tc>
          <w:tcPr>
            <w:tcW w:w="655" w:type="dxa"/>
            <w:tcBorders>
              <w:top w:val="single" w:sz="4" w:space="0" w:color="A6A6A6"/>
              <w:bottom w:val="single" w:sz="4" w:space="0" w:color="A6A6A6"/>
            </w:tcBorders>
            <w:noWrap/>
            <w:hideMark/>
          </w:tcPr>
          <w:p w14:paraId="2DF57E0F"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3DF1E31C"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03A284F7" w14:textId="77777777" w:rsidR="005F4A7E" w:rsidRPr="002029AF" w:rsidRDefault="005F4A7E" w:rsidP="00130D1C">
            <w:pPr>
              <w:pStyle w:val="ARfintablebodyright"/>
            </w:pPr>
            <w:r w:rsidRPr="00997B0D">
              <w:t>–</w:t>
            </w:r>
          </w:p>
        </w:tc>
        <w:tc>
          <w:tcPr>
            <w:tcW w:w="721" w:type="dxa"/>
            <w:tcBorders>
              <w:top w:val="single" w:sz="4" w:space="0" w:color="A6A6A6"/>
              <w:bottom w:val="single" w:sz="4" w:space="0" w:color="A6A6A6"/>
            </w:tcBorders>
            <w:noWrap/>
            <w:hideMark/>
          </w:tcPr>
          <w:p w14:paraId="0CD39867" w14:textId="77777777" w:rsidR="005F4A7E" w:rsidRPr="002029AF" w:rsidRDefault="005F4A7E" w:rsidP="00130D1C">
            <w:pPr>
              <w:pStyle w:val="ARfintablebodyright"/>
            </w:pPr>
            <w:r w:rsidRPr="00997B0D">
              <w:t>–</w:t>
            </w:r>
          </w:p>
        </w:tc>
        <w:tc>
          <w:tcPr>
            <w:tcW w:w="882" w:type="dxa"/>
            <w:tcBorders>
              <w:top w:val="single" w:sz="4" w:space="0" w:color="A6A6A6"/>
              <w:bottom w:val="single" w:sz="4" w:space="0" w:color="A6A6A6"/>
            </w:tcBorders>
            <w:noWrap/>
            <w:hideMark/>
          </w:tcPr>
          <w:p w14:paraId="2C8A6263"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53ED47EE"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50ED58BD"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3C723E5A"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05CEC78F"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68CA69A7"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3844080E" w14:textId="77777777" w:rsidR="005F4A7E" w:rsidRPr="002029AF" w:rsidRDefault="005F4A7E" w:rsidP="00130D1C">
            <w:pPr>
              <w:pStyle w:val="ARfintablebodyright"/>
            </w:pPr>
            <w:r w:rsidRPr="00997B0D">
              <w:t>–</w:t>
            </w:r>
          </w:p>
        </w:tc>
        <w:tc>
          <w:tcPr>
            <w:tcW w:w="833" w:type="dxa"/>
            <w:tcBorders>
              <w:top w:val="single" w:sz="4" w:space="0" w:color="A6A6A6"/>
              <w:bottom w:val="single" w:sz="4" w:space="0" w:color="A6A6A6"/>
            </w:tcBorders>
            <w:noWrap/>
            <w:hideMark/>
          </w:tcPr>
          <w:p w14:paraId="24F5D981" w14:textId="77777777" w:rsidR="005F4A7E" w:rsidRPr="002029AF" w:rsidRDefault="005F4A7E" w:rsidP="00130D1C">
            <w:pPr>
              <w:pStyle w:val="ARfintablebodyright"/>
            </w:pPr>
            <w:r w:rsidRPr="00997B0D">
              <w:t>5,628.4</w:t>
            </w:r>
          </w:p>
        </w:tc>
      </w:tr>
      <w:tr w:rsidR="005F4A7E" w:rsidRPr="002029AF" w14:paraId="7D98DAB2" w14:textId="77777777" w:rsidTr="00130D1C">
        <w:tc>
          <w:tcPr>
            <w:tcW w:w="3334" w:type="dxa"/>
            <w:tcBorders>
              <w:top w:val="single" w:sz="4" w:space="0" w:color="A6A6A6"/>
              <w:bottom w:val="single" w:sz="4" w:space="0" w:color="A6A6A6"/>
            </w:tcBorders>
            <w:hideMark/>
          </w:tcPr>
          <w:p w14:paraId="26178E09" w14:textId="77777777" w:rsidR="005F4A7E" w:rsidRPr="002029AF" w:rsidRDefault="005F4A7E" w:rsidP="00130D1C">
            <w:pPr>
              <w:pStyle w:val="ARfintablebody"/>
            </w:pPr>
            <w:r w:rsidRPr="00997B0D">
              <w:t>State contribution to the National Disability Insurance Agency</w:t>
            </w:r>
          </w:p>
        </w:tc>
        <w:tc>
          <w:tcPr>
            <w:tcW w:w="835" w:type="dxa"/>
            <w:tcBorders>
              <w:top w:val="single" w:sz="4" w:space="0" w:color="A6A6A6"/>
              <w:bottom w:val="single" w:sz="4" w:space="0" w:color="A6A6A6"/>
            </w:tcBorders>
            <w:noWrap/>
            <w:hideMark/>
          </w:tcPr>
          <w:p w14:paraId="70B0B660" w14:textId="77777777" w:rsidR="005F4A7E" w:rsidRPr="002029AF" w:rsidRDefault="005F4A7E" w:rsidP="00130D1C">
            <w:pPr>
              <w:pStyle w:val="ARfintablebodyright"/>
            </w:pPr>
            <w:r w:rsidRPr="00997B0D">
              <w:t>–</w:t>
            </w:r>
          </w:p>
        </w:tc>
        <w:tc>
          <w:tcPr>
            <w:tcW w:w="656" w:type="dxa"/>
            <w:tcBorders>
              <w:top w:val="single" w:sz="4" w:space="0" w:color="A6A6A6"/>
              <w:bottom w:val="single" w:sz="4" w:space="0" w:color="A6A6A6"/>
            </w:tcBorders>
            <w:noWrap/>
            <w:hideMark/>
          </w:tcPr>
          <w:p w14:paraId="4651692D" w14:textId="77777777" w:rsidR="005F4A7E" w:rsidRPr="002029AF" w:rsidRDefault="005F4A7E" w:rsidP="00130D1C">
            <w:pPr>
              <w:pStyle w:val="ARfintablebodyright"/>
            </w:pPr>
            <w:r w:rsidRPr="00997B0D">
              <w:t>–</w:t>
            </w:r>
          </w:p>
        </w:tc>
        <w:tc>
          <w:tcPr>
            <w:tcW w:w="656" w:type="dxa"/>
            <w:tcBorders>
              <w:top w:val="single" w:sz="4" w:space="0" w:color="A6A6A6"/>
              <w:bottom w:val="single" w:sz="4" w:space="0" w:color="A6A6A6"/>
            </w:tcBorders>
            <w:noWrap/>
            <w:hideMark/>
          </w:tcPr>
          <w:p w14:paraId="3C3CB731" w14:textId="77777777" w:rsidR="005F4A7E" w:rsidRPr="002029AF" w:rsidRDefault="005F4A7E" w:rsidP="00130D1C">
            <w:pPr>
              <w:pStyle w:val="ARfintablebodyright"/>
            </w:pPr>
            <w:r w:rsidRPr="00997B0D">
              <w:t>–</w:t>
            </w:r>
          </w:p>
        </w:tc>
        <w:tc>
          <w:tcPr>
            <w:tcW w:w="655" w:type="dxa"/>
            <w:tcBorders>
              <w:top w:val="single" w:sz="4" w:space="0" w:color="A6A6A6"/>
              <w:bottom w:val="single" w:sz="4" w:space="0" w:color="A6A6A6"/>
            </w:tcBorders>
            <w:noWrap/>
            <w:hideMark/>
          </w:tcPr>
          <w:p w14:paraId="004CB676" w14:textId="77777777" w:rsidR="005F4A7E" w:rsidRPr="002029AF" w:rsidRDefault="005F4A7E" w:rsidP="00130D1C">
            <w:pPr>
              <w:pStyle w:val="ARfintablebodyright"/>
            </w:pPr>
            <w:r w:rsidRPr="00997B0D">
              <w:t>–</w:t>
            </w:r>
          </w:p>
        </w:tc>
        <w:tc>
          <w:tcPr>
            <w:tcW w:w="655" w:type="dxa"/>
            <w:tcBorders>
              <w:top w:val="single" w:sz="4" w:space="0" w:color="A6A6A6"/>
              <w:bottom w:val="single" w:sz="4" w:space="0" w:color="A6A6A6"/>
            </w:tcBorders>
            <w:noWrap/>
            <w:hideMark/>
          </w:tcPr>
          <w:p w14:paraId="1A007050"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1DE15D52"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69C5D3BB" w14:textId="77777777" w:rsidR="005F4A7E" w:rsidRPr="002029AF" w:rsidRDefault="005F4A7E" w:rsidP="00130D1C">
            <w:pPr>
              <w:pStyle w:val="ARfintablebodyright"/>
            </w:pPr>
            <w:r w:rsidRPr="00997B0D">
              <w:t>–</w:t>
            </w:r>
          </w:p>
        </w:tc>
        <w:tc>
          <w:tcPr>
            <w:tcW w:w="721" w:type="dxa"/>
            <w:tcBorders>
              <w:top w:val="single" w:sz="4" w:space="0" w:color="A6A6A6"/>
              <w:bottom w:val="single" w:sz="4" w:space="0" w:color="A6A6A6"/>
            </w:tcBorders>
            <w:noWrap/>
            <w:hideMark/>
          </w:tcPr>
          <w:p w14:paraId="6558A125" w14:textId="77777777" w:rsidR="005F4A7E" w:rsidRPr="002029AF" w:rsidRDefault="005F4A7E" w:rsidP="00130D1C">
            <w:pPr>
              <w:pStyle w:val="ARfintablebodyright"/>
            </w:pPr>
            <w:r w:rsidRPr="00997B0D">
              <w:t>–</w:t>
            </w:r>
          </w:p>
        </w:tc>
        <w:tc>
          <w:tcPr>
            <w:tcW w:w="882" w:type="dxa"/>
            <w:tcBorders>
              <w:top w:val="single" w:sz="4" w:space="0" w:color="A6A6A6"/>
              <w:bottom w:val="single" w:sz="4" w:space="0" w:color="A6A6A6"/>
            </w:tcBorders>
            <w:noWrap/>
            <w:hideMark/>
          </w:tcPr>
          <w:p w14:paraId="142AFE15" w14:textId="77777777" w:rsidR="005F4A7E" w:rsidRPr="002029AF" w:rsidRDefault="005F4A7E" w:rsidP="00130D1C">
            <w:pPr>
              <w:pStyle w:val="ARfintablebodyright"/>
            </w:pPr>
            <w:r w:rsidRPr="00997B0D">
              <w:t>1,260.3</w:t>
            </w:r>
          </w:p>
        </w:tc>
        <w:tc>
          <w:tcPr>
            <w:tcW w:w="654" w:type="dxa"/>
            <w:tcBorders>
              <w:top w:val="single" w:sz="4" w:space="0" w:color="A6A6A6"/>
              <w:bottom w:val="single" w:sz="4" w:space="0" w:color="A6A6A6"/>
            </w:tcBorders>
            <w:noWrap/>
            <w:hideMark/>
          </w:tcPr>
          <w:p w14:paraId="506225D9"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6052D4D7"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64BC223B"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207A2161"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085F47F4"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4A581A95" w14:textId="77777777" w:rsidR="005F4A7E" w:rsidRPr="002029AF" w:rsidRDefault="005F4A7E" w:rsidP="00130D1C">
            <w:pPr>
              <w:pStyle w:val="ARfintablebodyright"/>
            </w:pPr>
            <w:r w:rsidRPr="00997B0D">
              <w:t>–</w:t>
            </w:r>
          </w:p>
        </w:tc>
        <w:tc>
          <w:tcPr>
            <w:tcW w:w="833" w:type="dxa"/>
            <w:tcBorders>
              <w:top w:val="single" w:sz="4" w:space="0" w:color="A6A6A6"/>
              <w:bottom w:val="single" w:sz="4" w:space="0" w:color="A6A6A6"/>
            </w:tcBorders>
            <w:noWrap/>
            <w:hideMark/>
          </w:tcPr>
          <w:p w14:paraId="31008FC9" w14:textId="77777777" w:rsidR="005F4A7E" w:rsidRPr="002029AF" w:rsidRDefault="005F4A7E" w:rsidP="00130D1C">
            <w:pPr>
              <w:pStyle w:val="ARfintablebodyright"/>
            </w:pPr>
            <w:r w:rsidRPr="00997B0D">
              <w:t>1,260.3</w:t>
            </w:r>
          </w:p>
        </w:tc>
      </w:tr>
      <w:tr w:rsidR="005F4A7E" w:rsidRPr="002029AF" w14:paraId="71BF4EE9" w14:textId="77777777" w:rsidTr="00130D1C">
        <w:tc>
          <w:tcPr>
            <w:tcW w:w="3334" w:type="dxa"/>
            <w:tcBorders>
              <w:top w:val="single" w:sz="4" w:space="0" w:color="A6A6A6"/>
              <w:bottom w:val="single" w:sz="4" w:space="0" w:color="A6A6A6"/>
            </w:tcBorders>
            <w:hideMark/>
          </w:tcPr>
          <w:p w14:paraId="6C0AE635" w14:textId="77777777" w:rsidR="005F4A7E" w:rsidRPr="002029AF" w:rsidRDefault="005F4A7E" w:rsidP="00130D1C">
            <w:pPr>
              <w:pStyle w:val="ARfintablebody"/>
            </w:pPr>
            <w:r w:rsidRPr="00997B0D">
              <w:t>Commonwealth grants</w:t>
            </w:r>
          </w:p>
        </w:tc>
        <w:tc>
          <w:tcPr>
            <w:tcW w:w="835" w:type="dxa"/>
            <w:tcBorders>
              <w:top w:val="single" w:sz="4" w:space="0" w:color="A6A6A6"/>
              <w:bottom w:val="single" w:sz="4" w:space="0" w:color="A6A6A6"/>
            </w:tcBorders>
            <w:noWrap/>
            <w:hideMark/>
          </w:tcPr>
          <w:p w14:paraId="792E6FB8" w14:textId="77777777" w:rsidR="005F4A7E" w:rsidRPr="002029AF" w:rsidRDefault="005F4A7E" w:rsidP="00130D1C">
            <w:pPr>
              <w:pStyle w:val="ARfintablebodyright"/>
            </w:pPr>
            <w:r w:rsidRPr="00997B0D">
              <w:t>1,047.6</w:t>
            </w:r>
          </w:p>
        </w:tc>
        <w:tc>
          <w:tcPr>
            <w:tcW w:w="656" w:type="dxa"/>
            <w:tcBorders>
              <w:top w:val="single" w:sz="4" w:space="0" w:color="A6A6A6"/>
              <w:bottom w:val="single" w:sz="4" w:space="0" w:color="A6A6A6"/>
            </w:tcBorders>
            <w:noWrap/>
            <w:hideMark/>
          </w:tcPr>
          <w:p w14:paraId="0580D86A" w14:textId="77777777" w:rsidR="005F4A7E" w:rsidRPr="002029AF" w:rsidRDefault="005F4A7E" w:rsidP="00130D1C">
            <w:pPr>
              <w:pStyle w:val="ARfintablebodyright"/>
            </w:pPr>
            <w:r w:rsidRPr="00997B0D">
              <w:t>–</w:t>
            </w:r>
          </w:p>
        </w:tc>
        <w:tc>
          <w:tcPr>
            <w:tcW w:w="656" w:type="dxa"/>
            <w:tcBorders>
              <w:top w:val="single" w:sz="4" w:space="0" w:color="A6A6A6"/>
              <w:bottom w:val="single" w:sz="4" w:space="0" w:color="A6A6A6"/>
            </w:tcBorders>
            <w:noWrap/>
            <w:hideMark/>
          </w:tcPr>
          <w:p w14:paraId="3AFB03A5" w14:textId="77777777" w:rsidR="005F4A7E" w:rsidRPr="002029AF" w:rsidRDefault="005F4A7E" w:rsidP="00130D1C">
            <w:pPr>
              <w:pStyle w:val="ARfintablebodyright"/>
            </w:pPr>
            <w:r w:rsidRPr="00997B0D">
              <w:t>0.2</w:t>
            </w:r>
          </w:p>
        </w:tc>
        <w:tc>
          <w:tcPr>
            <w:tcW w:w="655" w:type="dxa"/>
            <w:tcBorders>
              <w:top w:val="single" w:sz="4" w:space="0" w:color="A6A6A6"/>
              <w:bottom w:val="single" w:sz="4" w:space="0" w:color="A6A6A6"/>
            </w:tcBorders>
            <w:noWrap/>
            <w:hideMark/>
          </w:tcPr>
          <w:p w14:paraId="4AC7A011" w14:textId="77777777" w:rsidR="005F4A7E" w:rsidRPr="002029AF" w:rsidRDefault="005F4A7E" w:rsidP="00130D1C">
            <w:pPr>
              <w:pStyle w:val="ARfintablebodyright"/>
            </w:pPr>
            <w:r w:rsidRPr="00997B0D">
              <w:t>66.7</w:t>
            </w:r>
          </w:p>
        </w:tc>
        <w:tc>
          <w:tcPr>
            <w:tcW w:w="655" w:type="dxa"/>
            <w:tcBorders>
              <w:top w:val="single" w:sz="4" w:space="0" w:color="A6A6A6"/>
              <w:bottom w:val="single" w:sz="4" w:space="0" w:color="A6A6A6"/>
            </w:tcBorders>
            <w:noWrap/>
            <w:hideMark/>
          </w:tcPr>
          <w:p w14:paraId="67547ED2"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2F92258B"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14B70484" w14:textId="77777777" w:rsidR="005F4A7E" w:rsidRPr="002029AF" w:rsidRDefault="005F4A7E" w:rsidP="00130D1C">
            <w:pPr>
              <w:pStyle w:val="ARfintablebodyright"/>
            </w:pPr>
            <w:r w:rsidRPr="00997B0D">
              <w:t>5.1</w:t>
            </w:r>
          </w:p>
        </w:tc>
        <w:tc>
          <w:tcPr>
            <w:tcW w:w="721" w:type="dxa"/>
            <w:tcBorders>
              <w:top w:val="single" w:sz="4" w:space="0" w:color="A6A6A6"/>
              <w:bottom w:val="single" w:sz="4" w:space="0" w:color="A6A6A6"/>
            </w:tcBorders>
            <w:noWrap/>
            <w:hideMark/>
          </w:tcPr>
          <w:p w14:paraId="4C34E636" w14:textId="77777777" w:rsidR="005F4A7E" w:rsidRPr="002029AF" w:rsidRDefault="005F4A7E" w:rsidP="00130D1C">
            <w:pPr>
              <w:pStyle w:val="ARfintablebodyright"/>
            </w:pPr>
            <w:r w:rsidRPr="00997B0D">
              <w:t>–</w:t>
            </w:r>
          </w:p>
        </w:tc>
        <w:tc>
          <w:tcPr>
            <w:tcW w:w="882" w:type="dxa"/>
            <w:tcBorders>
              <w:top w:val="single" w:sz="4" w:space="0" w:color="A6A6A6"/>
              <w:bottom w:val="single" w:sz="4" w:space="0" w:color="A6A6A6"/>
            </w:tcBorders>
            <w:noWrap/>
            <w:hideMark/>
          </w:tcPr>
          <w:p w14:paraId="2470908B" w14:textId="77777777" w:rsidR="005F4A7E" w:rsidRPr="002029AF" w:rsidRDefault="005F4A7E" w:rsidP="00130D1C">
            <w:pPr>
              <w:pStyle w:val="ARfintablebodyright"/>
            </w:pPr>
            <w:r w:rsidRPr="00997B0D">
              <w:t>35.6</w:t>
            </w:r>
          </w:p>
        </w:tc>
        <w:tc>
          <w:tcPr>
            <w:tcW w:w="654" w:type="dxa"/>
            <w:tcBorders>
              <w:top w:val="single" w:sz="4" w:space="0" w:color="A6A6A6"/>
              <w:bottom w:val="single" w:sz="4" w:space="0" w:color="A6A6A6"/>
            </w:tcBorders>
            <w:noWrap/>
            <w:hideMark/>
          </w:tcPr>
          <w:p w14:paraId="0D65DFB1" w14:textId="77777777" w:rsidR="005F4A7E" w:rsidRPr="002029AF" w:rsidRDefault="005F4A7E" w:rsidP="00130D1C">
            <w:pPr>
              <w:pStyle w:val="ARfintablebodyright"/>
            </w:pPr>
            <w:r w:rsidRPr="00997B0D">
              <w:t>0.8</w:t>
            </w:r>
          </w:p>
        </w:tc>
        <w:tc>
          <w:tcPr>
            <w:tcW w:w="654" w:type="dxa"/>
            <w:tcBorders>
              <w:top w:val="single" w:sz="4" w:space="0" w:color="A6A6A6"/>
              <w:bottom w:val="single" w:sz="4" w:space="0" w:color="A6A6A6"/>
            </w:tcBorders>
            <w:noWrap/>
            <w:hideMark/>
          </w:tcPr>
          <w:p w14:paraId="18434FD0"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69598F1D"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2BD4405A" w14:textId="77777777" w:rsidR="005F4A7E" w:rsidRPr="002029AF" w:rsidRDefault="005F4A7E" w:rsidP="00130D1C">
            <w:pPr>
              <w:pStyle w:val="ARfintablebodyright"/>
            </w:pPr>
            <w:r w:rsidRPr="00997B0D">
              <w:t>1.1</w:t>
            </w:r>
          </w:p>
        </w:tc>
        <w:tc>
          <w:tcPr>
            <w:tcW w:w="654" w:type="dxa"/>
            <w:tcBorders>
              <w:top w:val="single" w:sz="4" w:space="0" w:color="A6A6A6"/>
              <w:bottom w:val="single" w:sz="4" w:space="0" w:color="A6A6A6"/>
            </w:tcBorders>
            <w:noWrap/>
            <w:hideMark/>
          </w:tcPr>
          <w:p w14:paraId="08B576FE"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34A2ADE3" w14:textId="77777777" w:rsidR="005F4A7E" w:rsidRPr="002029AF" w:rsidRDefault="005F4A7E" w:rsidP="00130D1C">
            <w:pPr>
              <w:pStyle w:val="ARfintablebodyright"/>
            </w:pPr>
            <w:r w:rsidRPr="00997B0D">
              <w:t>–</w:t>
            </w:r>
          </w:p>
        </w:tc>
        <w:tc>
          <w:tcPr>
            <w:tcW w:w="833" w:type="dxa"/>
            <w:tcBorders>
              <w:top w:val="single" w:sz="4" w:space="0" w:color="A6A6A6"/>
              <w:bottom w:val="single" w:sz="4" w:space="0" w:color="A6A6A6"/>
            </w:tcBorders>
            <w:noWrap/>
            <w:hideMark/>
          </w:tcPr>
          <w:p w14:paraId="5FF5BF78" w14:textId="77777777" w:rsidR="005F4A7E" w:rsidRPr="002029AF" w:rsidRDefault="005F4A7E" w:rsidP="00130D1C">
            <w:pPr>
              <w:pStyle w:val="ARfintablebodyright"/>
            </w:pPr>
            <w:r w:rsidRPr="00997B0D">
              <w:t>1,157.1</w:t>
            </w:r>
          </w:p>
        </w:tc>
      </w:tr>
      <w:tr w:rsidR="005F4A7E" w:rsidRPr="002029AF" w14:paraId="13E1FBBA" w14:textId="77777777" w:rsidTr="00130D1C">
        <w:tc>
          <w:tcPr>
            <w:tcW w:w="3334" w:type="dxa"/>
            <w:tcBorders>
              <w:top w:val="single" w:sz="4" w:space="0" w:color="A6A6A6"/>
              <w:bottom w:val="single" w:sz="4" w:space="0" w:color="A6A6A6"/>
            </w:tcBorders>
            <w:hideMark/>
          </w:tcPr>
          <w:p w14:paraId="53432533" w14:textId="77777777" w:rsidR="005F4A7E" w:rsidRPr="002029AF" w:rsidRDefault="005F4A7E" w:rsidP="00130D1C">
            <w:pPr>
              <w:pStyle w:val="ARfintablebody"/>
            </w:pPr>
            <w:r w:rsidRPr="00997B0D">
              <w:t>Sales of goods and services</w:t>
            </w:r>
          </w:p>
        </w:tc>
        <w:tc>
          <w:tcPr>
            <w:tcW w:w="835" w:type="dxa"/>
            <w:tcBorders>
              <w:top w:val="single" w:sz="4" w:space="0" w:color="A6A6A6"/>
              <w:bottom w:val="single" w:sz="4" w:space="0" w:color="A6A6A6"/>
            </w:tcBorders>
            <w:noWrap/>
            <w:hideMark/>
          </w:tcPr>
          <w:p w14:paraId="51F6E660" w14:textId="77777777" w:rsidR="005F4A7E" w:rsidRPr="002029AF" w:rsidRDefault="005F4A7E" w:rsidP="00130D1C">
            <w:pPr>
              <w:pStyle w:val="ARfintablebodyright"/>
            </w:pPr>
            <w:r w:rsidRPr="00997B0D">
              <w:t>344.9</w:t>
            </w:r>
          </w:p>
        </w:tc>
        <w:tc>
          <w:tcPr>
            <w:tcW w:w="656" w:type="dxa"/>
            <w:tcBorders>
              <w:top w:val="single" w:sz="4" w:space="0" w:color="A6A6A6"/>
              <w:bottom w:val="single" w:sz="4" w:space="0" w:color="A6A6A6"/>
            </w:tcBorders>
            <w:noWrap/>
            <w:hideMark/>
          </w:tcPr>
          <w:p w14:paraId="07F0CA58" w14:textId="77777777" w:rsidR="005F4A7E" w:rsidRPr="002029AF" w:rsidRDefault="005F4A7E" w:rsidP="00130D1C">
            <w:pPr>
              <w:pStyle w:val="ARfintablebodyright"/>
            </w:pPr>
            <w:r w:rsidRPr="00997B0D">
              <w:t>–</w:t>
            </w:r>
          </w:p>
        </w:tc>
        <w:tc>
          <w:tcPr>
            <w:tcW w:w="656" w:type="dxa"/>
            <w:tcBorders>
              <w:top w:val="single" w:sz="4" w:space="0" w:color="A6A6A6"/>
              <w:bottom w:val="single" w:sz="4" w:space="0" w:color="A6A6A6"/>
            </w:tcBorders>
            <w:noWrap/>
            <w:hideMark/>
          </w:tcPr>
          <w:p w14:paraId="3B8F40CD" w14:textId="77777777" w:rsidR="005F4A7E" w:rsidRPr="002029AF" w:rsidRDefault="005F4A7E" w:rsidP="00130D1C">
            <w:pPr>
              <w:pStyle w:val="ARfintablebodyright"/>
            </w:pPr>
            <w:r w:rsidRPr="00997B0D">
              <w:t>12.5</w:t>
            </w:r>
          </w:p>
        </w:tc>
        <w:tc>
          <w:tcPr>
            <w:tcW w:w="655" w:type="dxa"/>
            <w:tcBorders>
              <w:top w:val="single" w:sz="4" w:space="0" w:color="A6A6A6"/>
              <w:bottom w:val="single" w:sz="4" w:space="0" w:color="A6A6A6"/>
            </w:tcBorders>
            <w:noWrap/>
            <w:hideMark/>
          </w:tcPr>
          <w:p w14:paraId="01B5C01C" w14:textId="77777777" w:rsidR="005F4A7E" w:rsidRPr="002029AF" w:rsidRDefault="005F4A7E" w:rsidP="00130D1C">
            <w:pPr>
              <w:pStyle w:val="ARfintablebodyright"/>
            </w:pPr>
            <w:r w:rsidRPr="00997B0D">
              <w:t>–</w:t>
            </w:r>
          </w:p>
        </w:tc>
        <w:tc>
          <w:tcPr>
            <w:tcW w:w="655" w:type="dxa"/>
            <w:tcBorders>
              <w:top w:val="single" w:sz="4" w:space="0" w:color="A6A6A6"/>
              <w:bottom w:val="single" w:sz="4" w:space="0" w:color="A6A6A6"/>
            </w:tcBorders>
            <w:noWrap/>
            <w:hideMark/>
          </w:tcPr>
          <w:p w14:paraId="34979829" w14:textId="77777777" w:rsidR="005F4A7E" w:rsidRPr="002029AF" w:rsidRDefault="005F4A7E" w:rsidP="00130D1C">
            <w:pPr>
              <w:pStyle w:val="ARfintablebodyright"/>
            </w:pPr>
            <w:r w:rsidRPr="00997B0D">
              <w:t>3.8</w:t>
            </w:r>
          </w:p>
        </w:tc>
        <w:tc>
          <w:tcPr>
            <w:tcW w:w="654" w:type="dxa"/>
            <w:tcBorders>
              <w:top w:val="single" w:sz="4" w:space="0" w:color="A6A6A6"/>
              <w:bottom w:val="single" w:sz="4" w:space="0" w:color="A6A6A6"/>
            </w:tcBorders>
            <w:noWrap/>
            <w:hideMark/>
          </w:tcPr>
          <w:p w14:paraId="36B53A42" w14:textId="77777777" w:rsidR="005F4A7E" w:rsidRPr="002029AF" w:rsidRDefault="005F4A7E" w:rsidP="00130D1C">
            <w:pPr>
              <w:pStyle w:val="ARfintablebodyright"/>
            </w:pPr>
            <w:r w:rsidRPr="00997B0D">
              <w:t>2.5</w:t>
            </w:r>
          </w:p>
        </w:tc>
        <w:tc>
          <w:tcPr>
            <w:tcW w:w="654" w:type="dxa"/>
            <w:tcBorders>
              <w:top w:val="single" w:sz="4" w:space="0" w:color="A6A6A6"/>
              <w:bottom w:val="single" w:sz="4" w:space="0" w:color="A6A6A6"/>
            </w:tcBorders>
            <w:noWrap/>
            <w:hideMark/>
          </w:tcPr>
          <w:p w14:paraId="6188CCE4" w14:textId="77777777" w:rsidR="005F4A7E" w:rsidRPr="002029AF" w:rsidRDefault="005F4A7E" w:rsidP="00130D1C">
            <w:pPr>
              <w:pStyle w:val="ARfintablebodyright"/>
            </w:pPr>
            <w:r w:rsidRPr="00997B0D">
              <w:t>–</w:t>
            </w:r>
          </w:p>
        </w:tc>
        <w:tc>
          <w:tcPr>
            <w:tcW w:w="721" w:type="dxa"/>
            <w:tcBorders>
              <w:top w:val="single" w:sz="4" w:space="0" w:color="A6A6A6"/>
              <w:bottom w:val="single" w:sz="4" w:space="0" w:color="A6A6A6"/>
            </w:tcBorders>
            <w:noWrap/>
            <w:hideMark/>
          </w:tcPr>
          <w:p w14:paraId="58293BA4" w14:textId="77777777" w:rsidR="005F4A7E" w:rsidRPr="002029AF" w:rsidRDefault="005F4A7E" w:rsidP="00130D1C">
            <w:pPr>
              <w:pStyle w:val="ARfintablebodyright"/>
            </w:pPr>
            <w:r w:rsidRPr="00997B0D">
              <w:t>0.6</w:t>
            </w:r>
          </w:p>
        </w:tc>
        <w:tc>
          <w:tcPr>
            <w:tcW w:w="882" w:type="dxa"/>
            <w:tcBorders>
              <w:top w:val="single" w:sz="4" w:space="0" w:color="A6A6A6"/>
              <w:bottom w:val="single" w:sz="4" w:space="0" w:color="A6A6A6"/>
            </w:tcBorders>
            <w:noWrap/>
            <w:hideMark/>
          </w:tcPr>
          <w:p w14:paraId="40E1E33C" w14:textId="77777777" w:rsidR="005F4A7E" w:rsidRPr="002029AF" w:rsidRDefault="005F4A7E" w:rsidP="00130D1C">
            <w:pPr>
              <w:pStyle w:val="ARfintablebodyright"/>
            </w:pPr>
            <w:r w:rsidRPr="00997B0D">
              <w:t>14.9</w:t>
            </w:r>
          </w:p>
        </w:tc>
        <w:tc>
          <w:tcPr>
            <w:tcW w:w="654" w:type="dxa"/>
            <w:tcBorders>
              <w:top w:val="single" w:sz="4" w:space="0" w:color="A6A6A6"/>
              <w:bottom w:val="single" w:sz="4" w:space="0" w:color="A6A6A6"/>
            </w:tcBorders>
            <w:noWrap/>
            <w:hideMark/>
          </w:tcPr>
          <w:p w14:paraId="34D75AC6" w14:textId="77777777" w:rsidR="005F4A7E" w:rsidRPr="002029AF" w:rsidRDefault="005F4A7E" w:rsidP="00130D1C">
            <w:pPr>
              <w:pStyle w:val="ARfintablebodyright"/>
            </w:pPr>
            <w:r w:rsidRPr="00997B0D">
              <w:t>0.3</w:t>
            </w:r>
          </w:p>
        </w:tc>
        <w:tc>
          <w:tcPr>
            <w:tcW w:w="654" w:type="dxa"/>
            <w:tcBorders>
              <w:top w:val="single" w:sz="4" w:space="0" w:color="A6A6A6"/>
              <w:bottom w:val="single" w:sz="4" w:space="0" w:color="A6A6A6"/>
            </w:tcBorders>
            <w:noWrap/>
            <w:hideMark/>
          </w:tcPr>
          <w:p w14:paraId="44C23FF0"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6B1BA424" w14:textId="77777777" w:rsidR="005F4A7E" w:rsidRPr="002029AF" w:rsidRDefault="005F4A7E" w:rsidP="00130D1C">
            <w:pPr>
              <w:pStyle w:val="ARfintablebodyright"/>
            </w:pPr>
            <w:r w:rsidRPr="00997B0D">
              <w:t>0.1</w:t>
            </w:r>
          </w:p>
        </w:tc>
        <w:tc>
          <w:tcPr>
            <w:tcW w:w="654" w:type="dxa"/>
            <w:tcBorders>
              <w:top w:val="single" w:sz="4" w:space="0" w:color="A6A6A6"/>
              <w:bottom w:val="single" w:sz="4" w:space="0" w:color="A6A6A6"/>
            </w:tcBorders>
            <w:noWrap/>
            <w:hideMark/>
          </w:tcPr>
          <w:p w14:paraId="1E74DDA2"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046760B4"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0CF58C7F" w14:textId="77777777" w:rsidR="005F4A7E" w:rsidRPr="002029AF" w:rsidRDefault="005F4A7E" w:rsidP="00130D1C">
            <w:pPr>
              <w:pStyle w:val="ARfintablebodyright"/>
            </w:pPr>
            <w:r w:rsidRPr="00997B0D">
              <w:t>–</w:t>
            </w:r>
          </w:p>
        </w:tc>
        <w:tc>
          <w:tcPr>
            <w:tcW w:w="833" w:type="dxa"/>
            <w:tcBorders>
              <w:top w:val="single" w:sz="4" w:space="0" w:color="A6A6A6"/>
              <w:bottom w:val="single" w:sz="4" w:space="0" w:color="A6A6A6"/>
            </w:tcBorders>
            <w:noWrap/>
            <w:hideMark/>
          </w:tcPr>
          <w:p w14:paraId="431B92F8" w14:textId="77777777" w:rsidR="005F4A7E" w:rsidRPr="002029AF" w:rsidRDefault="005F4A7E" w:rsidP="00130D1C">
            <w:pPr>
              <w:pStyle w:val="ARfintablebodyright"/>
            </w:pPr>
            <w:r w:rsidRPr="00997B0D">
              <w:t>379.6</w:t>
            </w:r>
          </w:p>
        </w:tc>
      </w:tr>
      <w:tr w:rsidR="005F4A7E" w:rsidRPr="002029AF" w14:paraId="4D0A90F0" w14:textId="77777777" w:rsidTr="00130D1C">
        <w:tc>
          <w:tcPr>
            <w:tcW w:w="3334" w:type="dxa"/>
            <w:tcBorders>
              <w:top w:val="single" w:sz="4" w:space="0" w:color="A6A6A6"/>
              <w:bottom w:val="single" w:sz="4" w:space="0" w:color="A6A6A6"/>
            </w:tcBorders>
            <w:hideMark/>
          </w:tcPr>
          <w:p w14:paraId="5F82DAEC" w14:textId="77777777" w:rsidR="005F4A7E" w:rsidRPr="002029AF" w:rsidRDefault="005F4A7E" w:rsidP="00130D1C">
            <w:pPr>
              <w:pStyle w:val="ARfintablebody"/>
            </w:pPr>
            <w:r w:rsidRPr="00997B0D">
              <w:t>Appropriations – payments made on</w:t>
            </w:r>
            <w:r>
              <w:t> </w:t>
            </w:r>
            <w:r w:rsidRPr="00997B0D">
              <w:t>behalf of the state</w:t>
            </w:r>
          </w:p>
        </w:tc>
        <w:tc>
          <w:tcPr>
            <w:tcW w:w="835" w:type="dxa"/>
            <w:tcBorders>
              <w:top w:val="single" w:sz="4" w:space="0" w:color="A6A6A6"/>
              <w:bottom w:val="single" w:sz="4" w:space="0" w:color="A6A6A6"/>
            </w:tcBorders>
            <w:noWrap/>
            <w:hideMark/>
          </w:tcPr>
          <w:p w14:paraId="3A156D19" w14:textId="77777777" w:rsidR="005F4A7E" w:rsidRPr="002029AF" w:rsidRDefault="005F4A7E" w:rsidP="00130D1C">
            <w:pPr>
              <w:pStyle w:val="ARfintablebodyright"/>
            </w:pPr>
            <w:r w:rsidRPr="00997B0D">
              <w:t>–</w:t>
            </w:r>
          </w:p>
        </w:tc>
        <w:tc>
          <w:tcPr>
            <w:tcW w:w="656" w:type="dxa"/>
            <w:tcBorders>
              <w:top w:val="single" w:sz="4" w:space="0" w:color="A6A6A6"/>
              <w:bottom w:val="single" w:sz="4" w:space="0" w:color="A6A6A6"/>
            </w:tcBorders>
            <w:noWrap/>
            <w:hideMark/>
          </w:tcPr>
          <w:p w14:paraId="630717FE" w14:textId="77777777" w:rsidR="005F4A7E" w:rsidRPr="002029AF" w:rsidRDefault="005F4A7E" w:rsidP="00130D1C">
            <w:pPr>
              <w:pStyle w:val="ARfintablebodyright"/>
            </w:pPr>
            <w:r w:rsidRPr="00997B0D">
              <w:t>–</w:t>
            </w:r>
          </w:p>
        </w:tc>
        <w:tc>
          <w:tcPr>
            <w:tcW w:w="656" w:type="dxa"/>
            <w:tcBorders>
              <w:top w:val="single" w:sz="4" w:space="0" w:color="A6A6A6"/>
              <w:bottom w:val="single" w:sz="4" w:space="0" w:color="A6A6A6"/>
            </w:tcBorders>
            <w:noWrap/>
            <w:hideMark/>
          </w:tcPr>
          <w:p w14:paraId="22306928" w14:textId="77777777" w:rsidR="005F4A7E" w:rsidRPr="002029AF" w:rsidRDefault="005F4A7E" w:rsidP="00130D1C">
            <w:pPr>
              <w:pStyle w:val="ARfintablebodyright"/>
            </w:pPr>
            <w:r w:rsidRPr="00997B0D">
              <w:t>–</w:t>
            </w:r>
          </w:p>
        </w:tc>
        <w:tc>
          <w:tcPr>
            <w:tcW w:w="655" w:type="dxa"/>
            <w:tcBorders>
              <w:top w:val="single" w:sz="4" w:space="0" w:color="A6A6A6"/>
              <w:bottom w:val="single" w:sz="4" w:space="0" w:color="A6A6A6"/>
            </w:tcBorders>
            <w:noWrap/>
            <w:hideMark/>
          </w:tcPr>
          <w:p w14:paraId="363EDD01" w14:textId="77777777" w:rsidR="005F4A7E" w:rsidRPr="002029AF" w:rsidRDefault="005F4A7E" w:rsidP="00130D1C">
            <w:pPr>
              <w:pStyle w:val="ARfintablebodyright"/>
            </w:pPr>
            <w:r w:rsidRPr="00997B0D">
              <w:t>50.1</w:t>
            </w:r>
          </w:p>
        </w:tc>
        <w:tc>
          <w:tcPr>
            <w:tcW w:w="655" w:type="dxa"/>
            <w:tcBorders>
              <w:top w:val="single" w:sz="4" w:space="0" w:color="A6A6A6"/>
              <w:bottom w:val="single" w:sz="4" w:space="0" w:color="A6A6A6"/>
            </w:tcBorders>
            <w:noWrap/>
            <w:hideMark/>
          </w:tcPr>
          <w:p w14:paraId="24B12F0E"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3C66EEB3"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53E00EDC" w14:textId="77777777" w:rsidR="005F4A7E" w:rsidRPr="002029AF" w:rsidRDefault="005F4A7E" w:rsidP="00130D1C">
            <w:pPr>
              <w:pStyle w:val="ARfintablebodyright"/>
            </w:pPr>
            <w:r w:rsidRPr="00997B0D">
              <w:t>–</w:t>
            </w:r>
          </w:p>
        </w:tc>
        <w:tc>
          <w:tcPr>
            <w:tcW w:w="721" w:type="dxa"/>
            <w:tcBorders>
              <w:top w:val="single" w:sz="4" w:space="0" w:color="A6A6A6"/>
              <w:bottom w:val="single" w:sz="4" w:space="0" w:color="A6A6A6"/>
            </w:tcBorders>
            <w:noWrap/>
            <w:hideMark/>
          </w:tcPr>
          <w:p w14:paraId="55A6F2D9" w14:textId="77777777" w:rsidR="005F4A7E" w:rsidRPr="002029AF" w:rsidRDefault="005F4A7E" w:rsidP="00130D1C">
            <w:pPr>
              <w:pStyle w:val="ARfintablebodyright"/>
            </w:pPr>
            <w:r w:rsidRPr="00997B0D">
              <w:t>–</w:t>
            </w:r>
          </w:p>
        </w:tc>
        <w:tc>
          <w:tcPr>
            <w:tcW w:w="882" w:type="dxa"/>
            <w:tcBorders>
              <w:top w:val="single" w:sz="4" w:space="0" w:color="A6A6A6"/>
              <w:bottom w:val="single" w:sz="4" w:space="0" w:color="A6A6A6"/>
            </w:tcBorders>
            <w:noWrap/>
            <w:hideMark/>
          </w:tcPr>
          <w:p w14:paraId="00BF6260" w14:textId="77777777" w:rsidR="005F4A7E" w:rsidRPr="002029AF" w:rsidRDefault="005F4A7E" w:rsidP="00130D1C">
            <w:pPr>
              <w:pStyle w:val="ARfintablebodyright"/>
            </w:pPr>
            <w:r w:rsidRPr="00997B0D">
              <w:t>16.7</w:t>
            </w:r>
          </w:p>
        </w:tc>
        <w:tc>
          <w:tcPr>
            <w:tcW w:w="654" w:type="dxa"/>
            <w:tcBorders>
              <w:top w:val="single" w:sz="4" w:space="0" w:color="A6A6A6"/>
              <w:bottom w:val="single" w:sz="4" w:space="0" w:color="A6A6A6"/>
            </w:tcBorders>
            <w:noWrap/>
            <w:hideMark/>
          </w:tcPr>
          <w:p w14:paraId="492DB3CC"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7957786B"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2BB387F9"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217432E7"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01D17A6C"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5C52450B" w14:textId="77777777" w:rsidR="005F4A7E" w:rsidRPr="002029AF" w:rsidRDefault="005F4A7E" w:rsidP="00130D1C">
            <w:pPr>
              <w:pStyle w:val="ARfintablebodyright"/>
            </w:pPr>
            <w:r w:rsidRPr="00997B0D">
              <w:t>–</w:t>
            </w:r>
          </w:p>
        </w:tc>
        <w:tc>
          <w:tcPr>
            <w:tcW w:w="833" w:type="dxa"/>
            <w:tcBorders>
              <w:top w:val="single" w:sz="4" w:space="0" w:color="A6A6A6"/>
              <w:bottom w:val="single" w:sz="4" w:space="0" w:color="A6A6A6"/>
            </w:tcBorders>
            <w:noWrap/>
            <w:hideMark/>
          </w:tcPr>
          <w:p w14:paraId="5B2F9F99" w14:textId="77777777" w:rsidR="005F4A7E" w:rsidRPr="002029AF" w:rsidRDefault="005F4A7E" w:rsidP="00130D1C">
            <w:pPr>
              <w:pStyle w:val="ARfintablebodyright"/>
            </w:pPr>
            <w:r w:rsidRPr="00997B0D">
              <w:t>66.8</w:t>
            </w:r>
          </w:p>
        </w:tc>
      </w:tr>
      <w:tr w:rsidR="005F4A7E" w:rsidRPr="002029AF" w14:paraId="00C677C1" w14:textId="77777777" w:rsidTr="00130D1C">
        <w:tc>
          <w:tcPr>
            <w:tcW w:w="3334" w:type="dxa"/>
            <w:tcBorders>
              <w:top w:val="single" w:sz="4" w:space="0" w:color="A6A6A6"/>
              <w:bottom w:val="single" w:sz="4" w:space="0" w:color="A6A6A6"/>
            </w:tcBorders>
            <w:hideMark/>
          </w:tcPr>
          <w:p w14:paraId="296737A8" w14:textId="77777777" w:rsidR="005F4A7E" w:rsidRPr="002029AF" w:rsidRDefault="005F4A7E" w:rsidP="00130D1C">
            <w:pPr>
              <w:pStyle w:val="ARfintablebody"/>
            </w:pPr>
            <w:r w:rsidRPr="00997B0D">
              <w:t>Interest income</w:t>
            </w:r>
          </w:p>
        </w:tc>
        <w:tc>
          <w:tcPr>
            <w:tcW w:w="835" w:type="dxa"/>
            <w:tcBorders>
              <w:top w:val="single" w:sz="4" w:space="0" w:color="A6A6A6"/>
              <w:bottom w:val="single" w:sz="4" w:space="0" w:color="A6A6A6"/>
            </w:tcBorders>
            <w:noWrap/>
            <w:hideMark/>
          </w:tcPr>
          <w:p w14:paraId="77CEF428" w14:textId="77777777" w:rsidR="005F4A7E" w:rsidRPr="002029AF" w:rsidRDefault="005F4A7E" w:rsidP="00130D1C">
            <w:pPr>
              <w:pStyle w:val="ARfintablebodyright"/>
            </w:pPr>
            <w:r w:rsidRPr="00997B0D">
              <w:t>0.1</w:t>
            </w:r>
          </w:p>
        </w:tc>
        <w:tc>
          <w:tcPr>
            <w:tcW w:w="656" w:type="dxa"/>
            <w:tcBorders>
              <w:top w:val="single" w:sz="4" w:space="0" w:color="A6A6A6"/>
              <w:bottom w:val="single" w:sz="4" w:space="0" w:color="A6A6A6"/>
            </w:tcBorders>
            <w:noWrap/>
            <w:hideMark/>
          </w:tcPr>
          <w:p w14:paraId="59799159" w14:textId="77777777" w:rsidR="005F4A7E" w:rsidRPr="002029AF" w:rsidRDefault="005F4A7E" w:rsidP="00130D1C">
            <w:pPr>
              <w:pStyle w:val="ARfintablebodyright"/>
            </w:pPr>
            <w:r w:rsidRPr="00997B0D">
              <w:t>–</w:t>
            </w:r>
          </w:p>
        </w:tc>
        <w:tc>
          <w:tcPr>
            <w:tcW w:w="656" w:type="dxa"/>
            <w:tcBorders>
              <w:top w:val="single" w:sz="4" w:space="0" w:color="A6A6A6"/>
              <w:bottom w:val="single" w:sz="4" w:space="0" w:color="A6A6A6"/>
            </w:tcBorders>
            <w:noWrap/>
            <w:hideMark/>
          </w:tcPr>
          <w:p w14:paraId="27C9F60D" w14:textId="77777777" w:rsidR="005F4A7E" w:rsidRPr="002029AF" w:rsidRDefault="005F4A7E" w:rsidP="00130D1C">
            <w:pPr>
              <w:pStyle w:val="ARfintablebodyright"/>
            </w:pPr>
            <w:r w:rsidRPr="00997B0D">
              <w:t>–</w:t>
            </w:r>
          </w:p>
        </w:tc>
        <w:tc>
          <w:tcPr>
            <w:tcW w:w="655" w:type="dxa"/>
            <w:tcBorders>
              <w:top w:val="single" w:sz="4" w:space="0" w:color="A6A6A6"/>
              <w:bottom w:val="single" w:sz="4" w:space="0" w:color="A6A6A6"/>
            </w:tcBorders>
            <w:noWrap/>
            <w:hideMark/>
          </w:tcPr>
          <w:p w14:paraId="09F107B9" w14:textId="77777777" w:rsidR="005F4A7E" w:rsidRPr="002029AF" w:rsidRDefault="005F4A7E" w:rsidP="00130D1C">
            <w:pPr>
              <w:pStyle w:val="ARfintablebodyright"/>
            </w:pPr>
            <w:r w:rsidRPr="00997B0D">
              <w:t>–</w:t>
            </w:r>
          </w:p>
        </w:tc>
        <w:tc>
          <w:tcPr>
            <w:tcW w:w="655" w:type="dxa"/>
            <w:tcBorders>
              <w:top w:val="single" w:sz="4" w:space="0" w:color="A6A6A6"/>
              <w:bottom w:val="single" w:sz="4" w:space="0" w:color="A6A6A6"/>
            </w:tcBorders>
            <w:noWrap/>
            <w:hideMark/>
          </w:tcPr>
          <w:p w14:paraId="7EC2041E"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7424F0C6"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4835E220" w14:textId="77777777" w:rsidR="005F4A7E" w:rsidRPr="002029AF" w:rsidRDefault="005F4A7E" w:rsidP="00130D1C">
            <w:pPr>
              <w:pStyle w:val="ARfintablebodyright"/>
            </w:pPr>
            <w:r w:rsidRPr="00997B0D">
              <w:t>–</w:t>
            </w:r>
          </w:p>
        </w:tc>
        <w:tc>
          <w:tcPr>
            <w:tcW w:w="721" w:type="dxa"/>
            <w:tcBorders>
              <w:top w:val="single" w:sz="4" w:space="0" w:color="A6A6A6"/>
              <w:bottom w:val="single" w:sz="4" w:space="0" w:color="A6A6A6"/>
            </w:tcBorders>
            <w:noWrap/>
            <w:hideMark/>
          </w:tcPr>
          <w:p w14:paraId="5630CBC0" w14:textId="77777777" w:rsidR="005F4A7E" w:rsidRPr="002029AF" w:rsidRDefault="005F4A7E" w:rsidP="00130D1C">
            <w:pPr>
              <w:pStyle w:val="ARfintablebodyright"/>
            </w:pPr>
            <w:r w:rsidRPr="00997B0D">
              <w:t>–</w:t>
            </w:r>
          </w:p>
        </w:tc>
        <w:tc>
          <w:tcPr>
            <w:tcW w:w="882" w:type="dxa"/>
            <w:tcBorders>
              <w:top w:val="single" w:sz="4" w:space="0" w:color="A6A6A6"/>
              <w:bottom w:val="single" w:sz="4" w:space="0" w:color="A6A6A6"/>
            </w:tcBorders>
            <w:noWrap/>
            <w:hideMark/>
          </w:tcPr>
          <w:p w14:paraId="290574B2"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515A9260"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1AAE522E"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2C93785E"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307D76D5"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58448432"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5790628E" w14:textId="77777777" w:rsidR="005F4A7E" w:rsidRPr="002029AF" w:rsidRDefault="005F4A7E" w:rsidP="00130D1C">
            <w:pPr>
              <w:pStyle w:val="ARfintablebodyright"/>
            </w:pPr>
            <w:r w:rsidRPr="00997B0D">
              <w:t>–</w:t>
            </w:r>
          </w:p>
        </w:tc>
        <w:tc>
          <w:tcPr>
            <w:tcW w:w="833" w:type="dxa"/>
            <w:tcBorders>
              <w:top w:val="single" w:sz="4" w:space="0" w:color="A6A6A6"/>
              <w:bottom w:val="single" w:sz="4" w:space="0" w:color="A6A6A6"/>
            </w:tcBorders>
            <w:noWrap/>
            <w:hideMark/>
          </w:tcPr>
          <w:p w14:paraId="5921CD1B" w14:textId="77777777" w:rsidR="005F4A7E" w:rsidRPr="002029AF" w:rsidRDefault="005F4A7E" w:rsidP="00130D1C">
            <w:pPr>
              <w:pStyle w:val="ARfintablebodyright"/>
            </w:pPr>
            <w:r w:rsidRPr="00997B0D">
              <w:t>0.1</w:t>
            </w:r>
          </w:p>
        </w:tc>
      </w:tr>
      <w:tr w:rsidR="005F4A7E" w:rsidRPr="002029AF" w14:paraId="5621ACE9" w14:textId="77777777" w:rsidTr="00130D1C">
        <w:tc>
          <w:tcPr>
            <w:tcW w:w="3334" w:type="dxa"/>
            <w:tcBorders>
              <w:top w:val="single" w:sz="4" w:space="0" w:color="A6A6A6"/>
              <w:bottom w:val="single" w:sz="4" w:space="0" w:color="A6A6A6"/>
            </w:tcBorders>
            <w:hideMark/>
          </w:tcPr>
          <w:p w14:paraId="58ECCCA7" w14:textId="77777777" w:rsidR="005F4A7E" w:rsidRPr="002029AF" w:rsidRDefault="005F4A7E" w:rsidP="00130D1C">
            <w:pPr>
              <w:pStyle w:val="ARfintablebody"/>
            </w:pPr>
            <w:r w:rsidRPr="00997B0D">
              <w:t>Fees</w:t>
            </w:r>
          </w:p>
        </w:tc>
        <w:tc>
          <w:tcPr>
            <w:tcW w:w="835" w:type="dxa"/>
            <w:tcBorders>
              <w:top w:val="single" w:sz="4" w:space="0" w:color="A6A6A6"/>
              <w:bottom w:val="single" w:sz="4" w:space="0" w:color="A6A6A6"/>
            </w:tcBorders>
            <w:noWrap/>
            <w:hideMark/>
          </w:tcPr>
          <w:p w14:paraId="0F73FC96" w14:textId="77777777" w:rsidR="005F4A7E" w:rsidRPr="002029AF" w:rsidRDefault="005F4A7E" w:rsidP="00130D1C">
            <w:pPr>
              <w:pStyle w:val="ARfintablebodyright"/>
            </w:pPr>
            <w:r w:rsidRPr="00997B0D">
              <w:t>–</w:t>
            </w:r>
          </w:p>
        </w:tc>
        <w:tc>
          <w:tcPr>
            <w:tcW w:w="656" w:type="dxa"/>
            <w:tcBorders>
              <w:top w:val="single" w:sz="4" w:space="0" w:color="A6A6A6"/>
              <w:bottom w:val="single" w:sz="4" w:space="0" w:color="A6A6A6"/>
            </w:tcBorders>
            <w:noWrap/>
            <w:hideMark/>
          </w:tcPr>
          <w:p w14:paraId="6FADC43B" w14:textId="77777777" w:rsidR="005F4A7E" w:rsidRPr="002029AF" w:rsidRDefault="005F4A7E" w:rsidP="00130D1C">
            <w:pPr>
              <w:pStyle w:val="ARfintablebodyright"/>
            </w:pPr>
            <w:r w:rsidRPr="00997B0D">
              <w:t>–</w:t>
            </w:r>
          </w:p>
        </w:tc>
        <w:tc>
          <w:tcPr>
            <w:tcW w:w="656" w:type="dxa"/>
            <w:tcBorders>
              <w:top w:val="single" w:sz="4" w:space="0" w:color="A6A6A6"/>
              <w:bottom w:val="single" w:sz="4" w:space="0" w:color="A6A6A6"/>
            </w:tcBorders>
            <w:noWrap/>
            <w:hideMark/>
          </w:tcPr>
          <w:p w14:paraId="784DFF0B" w14:textId="77777777" w:rsidR="005F4A7E" w:rsidRPr="002029AF" w:rsidRDefault="005F4A7E" w:rsidP="00130D1C">
            <w:pPr>
              <w:pStyle w:val="ARfintablebodyright"/>
            </w:pPr>
            <w:r w:rsidRPr="00997B0D">
              <w:t>–</w:t>
            </w:r>
          </w:p>
        </w:tc>
        <w:tc>
          <w:tcPr>
            <w:tcW w:w="655" w:type="dxa"/>
            <w:tcBorders>
              <w:top w:val="single" w:sz="4" w:space="0" w:color="A6A6A6"/>
              <w:bottom w:val="single" w:sz="4" w:space="0" w:color="A6A6A6"/>
            </w:tcBorders>
            <w:noWrap/>
            <w:hideMark/>
          </w:tcPr>
          <w:p w14:paraId="633E53B0" w14:textId="77777777" w:rsidR="005F4A7E" w:rsidRPr="002029AF" w:rsidRDefault="005F4A7E" w:rsidP="00130D1C">
            <w:pPr>
              <w:pStyle w:val="ARfintablebodyright"/>
            </w:pPr>
            <w:r w:rsidRPr="00997B0D">
              <w:t>–</w:t>
            </w:r>
          </w:p>
        </w:tc>
        <w:tc>
          <w:tcPr>
            <w:tcW w:w="655" w:type="dxa"/>
            <w:tcBorders>
              <w:top w:val="single" w:sz="4" w:space="0" w:color="A6A6A6"/>
              <w:bottom w:val="single" w:sz="4" w:space="0" w:color="A6A6A6"/>
            </w:tcBorders>
            <w:noWrap/>
            <w:hideMark/>
          </w:tcPr>
          <w:p w14:paraId="691D692B"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2858757B"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649FC7DF" w14:textId="77777777" w:rsidR="005F4A7E" w:rsidRPr="002029AF" w:rsidRDefault="005F4A7E" w:rsidP="00130D1C">
            <w:pPr>
              <w:pStyle w:val="ARfintablebodyright"/>
            </w:pPr>
            <w:r w:rsidRPr="00997B0D">
              <w:t>10.5</w:t>
            </w:r>
          </w:p>
        </w:tc>
        <w:tc>
          <w:tcPr>
            <w:tcW w:w="721" w:type="dxa"/>
            <w:tcBorders>
              <w:top w:val="single" w:sz="4" w:space="0" w:color="A6A6A6"/>
              <w:bottom w:val="single" w:sz="4" w:space="0" w:color="A6A6A6"/>
            </w:tcBorders>
            <w:noWrap/>
            <w:hideMark/>
          </w:tcPr>
          <w:p w14:paraId="60C3AE32" w14:textId="77777777" w:rsidR="005F4A7E" w:rsidRPr="002029AF" w:rsidRDefault="005F4A7E" w:rsidP="00130D1C">
            <w:pPr>
              <w:pStyle w:val="ARfintablebodyright"/>
            </w:pPr>
            <w:r w:rsidRPr="00997B0D">
              <w:t>0.8</w:t>
            </w:r>
          </w:p>
        </w:tc>
        <w:tc>
          <w:tcPr>
            <w:tcW w:w="882" w:type="dxa"/>
            <w:tcBorders>
              <w:top w:val="single" w:sz="4" w:space="0" w:color="A6A6A6"/>
              <w:bottom w:val="single" w:sz="4" w:space="0" w:color="A6A6A6"/>
            </w:tcBorders>
            <w:noWrap/>
            <w:hideMark/>
          </w:tcPr>
          <w:p w14:paraId="4DFE9B7D"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3B9FF6C2"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02CA3CFB"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23922E1F"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3A0012F0"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2FE34A18"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3D9E4A71" w14:textId="77777777" w:rsidR="005F4A7E" w:rsidRPr="002029AF" w:rsidRDefault="005F4A7E" w:rsidP="00130D1C">
            <w:pPr>
              <w:pStyle w:val="ARfintablebodyright"/>
            </w:pPr>
            <w:r w:rsidRPr="00997B0D">
              <w:t>–</w:t>
            </w:r>
          </w:p>
        </w:tc>
        <w:tc>
          <w:tcPr>
            <w:tcW w:w="833" w:type="dxa"/>
            <w:tcBorders>
              <w:top w:val="single" w:sz="4" w:space="0" w:color="A6A6A6"/>
              <w:bottom w:val="single" w:sz="4" w:space="0" w:color="A6A6A6"/>
            </w:tcBorders>
            <w:noWrap/>
            <w:hideMark/>
          </w:tcPr>
          <w:p w14:paraId="7C9AB514" w14:textId="77777777" w:rsidR="005F4A7E" w:rsidRPr="002029AF" w:rsidRDefault="005F4A7E" w:rsidP="00130D1C">
            <w:pPr>
              <w:pStyle w:val="ARfintablebodyright"/>
            </w:pPr>
            <w:r w:rsidRPr="00997B0D">
              <w:t>11.3</w:t>
            </w:r>
          </w:p>
        </w:tc>
      </w:tr>
      <w:tr w:rsidR="005F4A7E" w:rsidRPr="002029AF" w14:paraId="361631FA" w14:textId="77777777" w:rsidTr="00130D1C">
        <w:tc>
          <w:tcPr>
            <w:tcW w:w="3334" w:type="dxa"/>
            <w:tcBorders>
              <w:top w:val="single" w:sz="4" w:space="0" w:color="A6A6A6"/>
              <w:bottom w:val="single" w:sz="4" w:space="0" w:color="A6A6A6"/>
            </w:tcBorders>
            <w:hideMark/>
          </w:tcPr>
          <w:p w14:paraId="64F34F2B" w14:textId="77777777" w:rsidR="005F4A7E" w:rsidRPr="002029AF" w:rsidRDefault="005F4A7E" w:rsidP="00130D1C">
            <w:pPr>
              <w:pStyle w:val="ARfintablebody"/>
            </w:pPr>
            <w:r w:rsidRPr="00997B0D">
              <w:t>Grants</w:t>
            </w:r>
          </w:p>
        </w:tc>
        <w:tc>
          <w:tcPr>
            <w:tcW w:w="835" w:type="dxa"/>
            <w:tcBorders>
              <w:top w:val="single" w:sz="4" w:space="0" w:color="A6A6A6"/>
              <w:bottom w:val="single" w:sz="4" w:space="0" w:color="A6A6A6"/>
            </w:tcBorders>
            <w:noWrap/>
            <w:hideMark/>
          </w:tcPr>
          <w:p w14:paraId="65310D5E" w14:textId="77777777" w:rsidR="005F4A7E" w:rsidRPr="002029AF" w:rsidRDefault="005F4A7E" w:rsidP="00130D1C">
            <w:pPr>
              <w:pStyle w:val="ARfintablebodyright"/>
            </w:pPr>
            <w:r w:rsidRPr="00997B0D">
              <w:t>137.4</w:t>
            </w:r>
          </w:p>
        </w:tc>
        <w:tc>
          <w:tcPr>
            <w:tcW w:w="656" w:type="dxa"/>
            <w:tcBorders>
              <w:top w:val="single" w:sz="4" w:space="0" w:color="A6A6A6"/>
              <w:bottom w:val="single" w:sz="4" w:space="0" w:color="A6A6A6"/>
            </w:tcBorders>
            <w:noWrap/>
            <w:hideMark/>
          </w:tcPr>
          <w:p w14:paraId="25DACCCE" w14:textId="77777777" w:rsidR="005F4A7E" w:rsidRPr="002029AF" w:rsidRDefault="005F4A7E" w:rsidP="00130D1C">
            <w:pPr>
              <w:pStyle w:val="ARfintablebodyright"/>
            </w:pPr>
            <w:r w:rsidRPr="00997B0D">
              <w:t>–</w:t>
            </w:r>
          </w:p>
        </w:tc>
        <w:tc>
          <w:tcPr>
            <w:tcW w:w="656" w:type="dxa"/>
            <w:tcBorders>
              <w:top w:val="single" w:sz="4" w:space="0" w:color="A6A6A6"/>
              <w:bottom w:val="single" w:sz="4" w:space="0" w:color="A6A6A6"/>
            </w:tcBorders>
            <w:noWrap/>
            <w:hideMark/>
          </w:tcPr>
          <w:p w14:paraId="55EFC5C3" w14:textId="77777777" w:rsidR="005F4A7E" w:rsidRPr="002029AF" w:rsidRDefault="005F4A7E" w:rsidP="00130D1C">
            <w:pPr>
              <w:pStyle w:val="ARfintablebodyright"/>
            </w:pPr>
            <w:r w:rsidRPr="00997B0D">
              <w:t>–</w:t>
            </w:r>
          </w:p>
        </w:tc>
        <w:tc>
          <w:tcPr>
            <w:tcW w:w="655" w:type="dxa"/>
            <w:tcBorders>
              <w:top w:val="single" w:sz="4" w:space="0" w:color="A6A6A6"/>
              <w:bottom w:val="single" w:sz="4" w:space="0" w:color="A6A6A6"/>
            </w:tcBorders>
            <w:noWrap/>
            <w:hideMark/>
          </w:tcPr>
          <w:p w14:paraId="6A82BC41" w14:textId="77777777" w:rsidR="005F4A7E" w:rsidRPr="002029AF" w:rsidRDefault="005F4A7E" w:rsidP="00130D1C">
            <w:pPr>
              <w:pStyle w:val="ARfintablebodyright"/>
            </w:pPr>
            <w:r w:rsidRPr="00997B0D">
              <w:t>–</w:t>
            </w:r>
          </w:p>
        </w:tc>
        <w:tc>
          <w:tcPr>
            <w:tcW w:w="655" w:type="dxa"/>
            <w:tcBorders>
              <w:top w:val="single" w:sz="4" w:space="0" w:color="A6A6A6"/>
              <w:bottom w:val="single" w:sz="4" w:space="0" w:color="A6A6A6"/>
            </w:tcBorders>
            <w:noWrap/>
            <w:hideMark/>
          </w:tcPr>
          <w:p w14:paraId="347CF177"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384832A1"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44CB2082" w14:textId="77777777" w:rsidR="005F4A7E" w:rsidRPr="002029AF" w:rsidRDefault="005F4A7E" w:rsidP="00130D1C">
            <w:pPr>
              <w:pStyle w:val="ARfintablebodyright"/>
            </w:pPr>
            <w:r w:rsidRPr="00997B0D">
              <w:t>–</w:t>
            </w:r>
          </w:p>
        </w:tc>
        <w:tc>
          <w:tcPr>
            <w:tcW w:w="721" w:type="dxa"/>
            <w:tcBorders>
              <w:top w:val="single" w:sz="4" w:space="0" w:color="A6A6A6"/>
              <w:bottom w:val="single" w:sz="4" w:space="0" w:color="A6A6A6"/>
            </w:tcBorders>
            <w:noWrap/>
            <w:hideMark/>
          </w:tcPr>
          <w:p w14:paraId="3FAAE2C9" w14:textId="77777777" w:rsidR="005F4A7E" w:rsidRPr="002029AF" w:rsidRDefault="005F4A7E" w:rsidP="00130D1C">
            <w:pPr>
              <w:pStyle w:val="ARfintablebodyright"/>
            </w:pPr>
            <w:r w:rsidRPr="00997B0D">
              <w:t>–</w:t>
            </w:r>
          </w:p>
        </w:tc>
        <w:tc>
          <w:tcPr>
            <w:tcW w:w="882" w:type="dxa"/>
            <w:tcBorders>
              <w:top w:val="single" w:sz="4" w:space="0" w:color="A6A6A6"/>
              <w:bottom w:val="single" w:sz="4" w:space="0" w:color="A6A6A6"/>
            </w:tcBorders>
            <w:noWrap/>
            <w:hideMark/>
          </w:tcPr>
          <w:p w14:paraId="19CAFE68" w14:textId="77777777" w:rsidR="005F4A7E" w:rsidRPr="002029AF" w:rsidRDefault="005F4A7E" w:rsidP="00130D1C">
            <w:pPr>
              <w:pStyle w:val="ARfintablebodyright"/>
            </w:pPr>
            <w:r w:rsidRPr="00997B0D">
              <w:t>611.0</w:t>
            </w:r>
          </w:p>
        </w:tc>
        <w:tc>
          <w:tcPr>
            <w:tcW w:w="654" w:type="dxa"/>
            <w:tcBorders>
              <w:top w:val="single" w:sz="4" w:space="0" w:color="A6A6A6"/>
              <w:bottom w:val="single" w:sz="4" w:space="0" w:color="A6A6A6"/>
            </w:tcBorders>
            <w:noWrap/>
            <w:hideMark/>
          </w:tcPr>
          <w:p w14:paraId="1B8E96E7" w14:textId="77777777" w:rsidR="005F4A7E" w:rsidRPr="002029AF" w:rsidRDefault="005F4A7E" w:rsidP="00130D1C">
            <w:pPr>
              <w:pStyle w:val="ARfintablebodyright"/>
            </w:pPr>
            <w:r w:rsidRPr="00997B0D">
              <w:t>7.1</w:t>
            </w:r>
          </w:p>
        </w:tc>
        <w:tc>
          <w:tcPr>
            <w:tcW w:w="654" w:type="dxa"/>
            <w:tcBorders>
              <w:top w:val="single" w:sz="4" w:space="0" w:color="A6A6A6"/>
              <w:bottom w:val="single" w:sz="4" w:space="0" w:color="A6A6A6"/>
            </w:tcBorders>
            <w:noWrap/>
            <w:hideMark/>
          </w:tcPr>
          <w:p w14:paraId="483FDB75" w14:textId="77777777" w:rsidR="005F4A7E" w:rsidRPr="002029AF" w:rsidRDefault="005F4A7E" w:rsidP="00130D1C">
            <w:pPr>
              <w:pStyle w:val="ARfintablebodyright"/>
            </w:pPr>
            <w:r w:rsidRPr="00997B0D">
              <w:t>0.3</w:t>
            </w:r>
          </w:p>
        </w:tc>
        <w:tc>
          <w:tcPr>
            <w:tcW w:w="654" w:type="dxa"/>
            <w:tcBorders>
              <w:top w:val="single" w:sz="4" w:space="0" w:color="A6A6A6"/>
              <w:bottom w:val="single" w:sz="4" w:space="0" w:color="A6A6A6"/>
            </w:tcBorders>
            <w:noWrap/>
            <w:hideMark/>
          </w:tcPr>
          <w:p w14:paraId="54D2F28A"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3BAF8C92"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58B0A138"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0B25B591" w14:textId="77777777" w:rsidR="005F4A7E" w:rsidRPr="002029AF" w:rsidRDefault="005F4A7E" w:rsidP="00130D1C">
            <w:pPr>
              <w:pStyle w:val="ARfintablebodyright"/>
            </w:pPr>
            <w:r w:rsidRPr="00997B0D">
              <w:t>–</w:t>
            </w:r>
          </w:p>
        </w:tc>
        <w:tc>
          <w:tcPr>
            <w:tcW w:w="833" w:type="dxa"/>
            <w:tcBorders>
              <w:top w:val="single" w:sz="4" w:space="0" w:color="A6A6A6"/>
              <w:bottom w:val="single" w:sz="4" w:space="0" w:color="A6A6A6"/>
            </w:tcBorders>
            <w:noWrap/>
            <w:hideMark/>
          </w:tcPr>
          <w:p w14:paraId="40B33572" w14:textId="77777777" w:rsidR="005F4A7E" w:rsidRPr="002029AF" w:rsidRDefault="005F4A7E" w:rsidP="00130D1C">
            <w:pPr>
              <w:pStyle w:val="ARfintablebodyright"/>
            </w:pPr>
            <w:r w:rsidRPr="00997B0D">
              <w:t>755.8</w:t>
            </w:r>
          </w:p>
        </w:tc>
      </w:tr>
      <w:tr w:rsidR="005F4A7E" w:rsidRPr="002029AF" w14:paraId="190D5FC9" w14:textId="77777777" w:rsidTr="00130D1C">
        <w:tc>
          <w:tcPr>
            <w:tcW w:w="3334" w:type="dxa"/>
            <w:tcBorders>
              <w:top w:val="single" w:sz="4" w:space="0" w:color="A6A6A6"/>
              <w:bottom w:val="single" w:sz="4" w:space="0" w:color="A6A6A6"/>
            </w:tcBorders>
            <w:hideMark/>
          </w:tcPr>
          <w:p w14:paraId="0C881C50" w14:textId="77777777" w:rsidR="005F4A7E" w:rsidRPr="002029AF" w:rsidRDefault="005F4A7E" w:rsidP="00130D1C">
            <w:pPr>
              <w:pStyle w:val="ARfintablebody"/>
            </w:pPr>
            <w:r w:rsidRPr="00997B0D">
              <w:t>Other</w:t>
            </w:r>
          </w:p>
        </w:tc>
        <w:tc>
          <w:tcPr>
            <w:tcW w:w="835" w:type="dxa"/>
            <w:tcBorders>
              <w:top w:val="single" w:sz="4" w:space="0" w:color="A6A6A6"/>
              <w:bottom w:val="single" w:sz="4" w:space="0" w:color="A6A6A6"/>
            </w:tcBorders>
            <w:noWrap/>
            <w:hideMark/>
          </w:tcPr>
          <w:p w14:paraId="5CB2F065" w14:textId="77777777" w:rsidR="005F4A7E" w:rsidRPr="002029AF" w:rsidRDefault="005F4A7E" w:rsidP="00130D1C">
            <w:pPr>
              <w:pStyle w:val="ARfintablebodyright"/>
            </w:pPr>
            <w:r w:rsidRPr="00997B0D">
              <w:t>8.4</w:t>
            </w:r>
          </w:p>
        </w:tc>
        <w:tc>
          <w:tcPr>
            <w:tcW w:w="656" w:type="dxa"/>
            <w:tcBorders>
              <w:top w:val="single" w:sz="4" w:space="0" w:color="A6A6A6"/>
              <w:bottom w:val="single" w:sz="4" w:space="0" w:color="A6A6A6"/>
            </w:tcBorders>
            <w:noWrap/>
            <w:hideMark/>
          </w:tcPr>
          <w:p w14:paraId="57BD2988" w14:textId="77777777" w:rsidR="005F4A7E" w:rsidRPr="002029AF" w:rsidRDefault="005F4A7E" w:rsidP="00130D1C">
            <w:pPr>
              <w:pStyle w:val="ARfintablebodyright"/>
            </w:pPr>
            <w:r w:rsidRPr="00997B0D">
              <w:t>8.7</w:t>
            </w:r>
          </w:p>
        </w:tc>
        <w:tc>
          <w:tcPr>
            <w:tcW w:w="656" w:type="dxa"/>
            <w:tcBorders>
              <w:top w:val="single" w:sz="4" w:space="0" w:color="A6A6A6"/>
              <w:bottom w:val="single" w:sz="4" w:space="0" w:color="A6A6A6"/>
            </w:tcBorders>
            <w:noWrap/>
            <w:hideMark/>
          </w:tcPr>
          <w:p w14:paraId="0EEF3441" w14:textId="77777777" w:rsidR="005F4A7E" w:rsidRPr="002029AF" w:rsidRDefault="005F4A7E" w:rsidP="00130D1C">
            <w:pPr>
              <w:pStyle w:val="ARfintablebodyright"/>
            </w:pPr>
            <w:r w:rsidRPr="00997B0D">
              <w:t>–</w:t>
            </w:r>
          </w:p>
        </w:tc>
        <w:tc>
          <w:tcPr>
            <w:tcW w:w="655" w:type="dxa"/>
            <w:tcBorders>
              <w:top w:val="single" w:sz="4" w:space="0" w:color="A6A6A6"/>
              <w:bottom w:val="single" w:sz="4" w:space="0" w:color="A6A6A6"/>
            </w:tcBorders>
            <w:noWrap/>
            <w:hideMark/>
          </w:tcPr>
          <w:p w14:paraId="09B46008" w14:textId="77777777" w:rsidR="005F4A7E" w:rsidRPr="002029AF" w:rsidRDefault="005F4A7E" w:rsidP="00130D1C">
            <w:pPr>
              <w:pStyle w:val="ARfintablebodyright"/>
            </w:pPr>
            <w:r w:rsidRPr="00997B0D">
              <w:t>–</w:t>
            </w:r>
          </w:p>
        </w:tc>
        <w:tc>
          <w:tcPr>
            <w:tcW w:w="655" w:type="dxa"/>
            <w:tcBorders>
              <w:top w:val="single" w:sz="4" w:space="0" w:color="A6A6A6"/>
              <w:bottom w:val="single" w:sz="4" w:space="0" w:color="A6A6A6"/>
            </w:tcBorders>
            <w:noWrap/>
            <w:hideMark/>
          </w:tcPr>
          <w:p w14:paraId="67D4D225" w14:textId="77777777" w:rsidR="005F4A7E" w:rsidRPr="002029AF" w:rsidRDefault="005F4A7E" w:rsidP="00130D1C">
            <w:pPr>
              <w:pStyle w:val="ARfintablebodyright"/>
            </w:pPr>
            <w:r w:rsidRPr="00997B0D">
              <w:t>0.4</w:t>
            </w:r>
          </w:p>
        </w:tc>
        <w:tc>
          <w:tcPr>
            <w:tcW w:w="654" w:type="dxa"/>
            <w:tcBorders>
              <w:top w:val="single" w:sz="4" w:space="0" w:color="A6A6A6"/>
              <w:bottom w:val="single" w:sz="4" w:space="0" w:color="A6A6A6"/>
            </w:tcBorders>
            <w:noWrap/>
            <w:hideMark/>
          </w:tcPr>
          <w:p w14:paraId="6A8EBAF8"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00A79AA8" w14:textId="77777777" w:rsidR="005F4A7E" w:rsidRPr="002029AF" w:rsidRDefault="005F4A7E" w:rsidP="00130D1C">
            <w:pPr>
              <w:pStyle w:val="ARfintablebodyright"/>
            </w:pPr>
            <w:r w:rsidRPr="00997B0D">
              <w:t>0.1</w:t>
            </w:r>
          </w:p>
        </w:tc>
        <w:tc>
          <w:tcPr>
            <w:tcW w:w="721" w:type="dxa"/>
            <w:tcBorders>
              <w:top w:val="single" w:sz="4" w:space="0" w:color="A6A6A6"/>
              <w:bottom w:val="single" w:sz="4" w:space="0" w:color="A6A6A6"/>
            </w:tcBorders>
            <w:noWrap/>
            <w:hideMark/>
          </w:tcPr>
          <w:p w14:paraId="38E4DB59" w14:textId="77777777" w:rsidR="005F4A7E" w:rsidRPr="002029AF" w:rsidRDefault="005F4A7E" w:rsidP="00130D1C">
            <w:pPr>
              <w:pStyle w:val="ARfintablebodyright"/>
            </w:pPr>
            <w:r w:rsidRPr="00997B0D">
              <w:t>–</w:t>
            </w:r>
          </w:p>
        </w:tc>
        <w:tc>
          <w:tcPr>
            <w:tcW w:w="882" w:type="dxa"/>
            <w:tcBorders>
              <w:top w:val="single" w:sz="4" w:space="0" w:color="A6A6A6"/>
              <w:bottom w:val="single" w:sz="4" w:space="0" w:color="A6A6A6"/>
            </w:tcBorders>
            <w:noWrap/>
            <w:hideMark/>
          </w:tcPr>
          <w:p w14:paraId="3EBFC7A4" w14:textId="77777777" w:rsidR="005F4A7E" w:rsidRPr="002029AF" w:rsidRDefault="005F4A7E" w:rsidP="00130D1C">
            <w:pPr>
              <w:pStyle w:val="ARfintablebodyright"/>
            </w:pPr>
            <w:r w:rsidRPr="00997B0D">
              <w:t>0.1</w:t>
            </w:r>
          </w:p>
        </w:tc>
        <w:tc>
          <w:tcPr>
            <w:tcW w:w="654" w:type="dxa"/>
            <w:tcBorders>
              <w:top w:val="single" w:sz="4" w:space="0" w:color="A6A6A6"/>
              <w:bottom w:val="single" w:sz="4" w:space="0" w:color="A6A6A6"/>
            </w:tcBorders>
            <w:noWrap/>
            <w:hideMark/>
          </w:tcPr>
          <w:p w14:paraId="5E5AA981" w14:textId="77777777" w:rsidR="005F4A7E" w:rsidRPr="002029AF" w:rsidRDefault="005F4A7E" w:rsidP="00130D1C">
            <w:pPr>
              <w:pStyle w:val="ARfintablebodyright"/>
            </w:pPr>
            <w:r w:rsidRPr="00997B0D">
              <w:t>15.1</w:t>
            </w:r>
          </w:p>
        </w:tc>
        <w:tc>
          <w:tcPr>
            <w:tcW w:w="654" w:type="dxa"/>
            <w:tcBorders>
              <w:top w:val="single" w:sz="4" w:space="0" w:color="A6A6A6"/>
              <w:bottom w:val="single" w:sz="4" w:space="0" w:color="A6A6A6"/>
            </w:tcBorders>
            <w:noWrap/>
            <w:hideMark/>
          </w:tcPr>
          <w:p w14:paraId="5725AC47"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5B4F07A4"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01E51558" w14:textId="77777777" w:rsidR="005F4A7E" w:rsidRPr="002029AF" w:rsidRDefault="005F4A7E" w:rsidP="00130D1C">
            <w:pPr>
              <w:pStyle w:val="ARfintablebodyright"/>
            </w:pPr>
            <w:r w:rsidRPr="00997B0D">
              <w:t>4.0</w:t>
            </w:r>
          </w:p>
        </w:tc>
        <w:tc>
          <w:tcPr>
            <w:tcW w:w="654" w:type="dxa"/>
            <w:tcBorders>
              <w:top w:val="single" w:sz="4" w:space="0" w:color="A6A6A6"/>
              <w:bottom w:val="single" w:sz="4" w:space="0" w:color="A6A6A6"/>
            </w:tcBorders>
            <w:noWrap/>
            <w:hideMark/>
          </w:tcPr>
          <w:p w14:paraId="4C70809F" w14:textId="77777777" w:rsidR="005F4A7E" w:rsidRPr="002029AF" w:rsidRDefault="005F4A7E" w:rsidP="00130D1C">
            <w:pPr>
              <w:pStyle w:val="ARfintablebodyright"/>
            </w:pPr>
            <w:r w:rsidRPr="00997B0D">
              <w:t>–</w:t>
            </w:r>
          </w:p>
        </w:tc>
        <w:tc>
          <w:tcPr>
            <w:tcW w:w="654" w:type="dxa"/>
            <w:tcBorders>
              <w:top w:val="single" w:sz="4" w:space="0" w:color="A6A6A6"/>
              <w:bottom w:val="single" w:sz="4" w:space="0" w:color="A6A6A6"/>
            </w:tcBorders>
            <w:noWrap/>
            <w:hideMark/>
          </w:tcPr>
          <w:p w14:paraId="130341B0" w14:textId="77777777" w:rsidR="005F4A7E" w:rsidRPr="002029AF" w:rsidRDefault="005F4A7E" w:rsidP="00130D1C">
            <w:pPr>
              <w:pStyle w:val="ARfintablebodyright"/>
            </w:pPr>
            <w:r w:rsidRPr="00997B0D">
              <w:t>–</w:t>
            </w:r>
          </w:p>
        </w:tc>
        <w:tc>
          <w:tcPr>
            <w:tcW w:w="833" w:type="dxa"/>
            <w:tcBorders>
              <w:top w:val="single" w:sz="4" w:space="0" w:color="A6A6A6"/>
              <w:bottom w:val="single" w:sz="4" w:space="0" w:color="A6A6A6"/>
            </w:tcBorders>
            <w:noWrap/>
            <w:hideMark/>
          </w:tcPr>
          <w:p w14:paraId="7EFBB2F5" w14:textId="77777777" w:rsidR="005F4A7E" w:rsidRPr="002029AF" w:rsidRDefault="005F4A7E" w:rsidP="00130D1C">
            <w:pPr>
              <w:pStyle w:val="ARfintablebodyright"/>
            </w:pPr>
            <w:r w:rsidRPr="00997B0D">
              <w:t>36.8</w:t>
            </w:r>
          </w:p>
        </w:tc>
      </w:tr>
      <w:tr w:rsidR="005F4A7E" w:rsidRPr="002029AF" w14:paraId="7C967659" w14:textId="77777777" w:rsidTr="00130D1C">
        <w:tc>
          <w:tcPr>
            <w:tcW w:w="3334" w:type="dxa"/>
            <w:tcBorders>
              <w:top w:val="single" w:sz="4" w:space="0" w:color="A6A6A6"/>
            </w:tcBorders>
            <w:hideMark/>
          </w:tcPr>
          <w:p w14:paraId="31206262" w14:textId="77777777" w:rsidR="005F4A7E" w:rsidRPr="002029AF" w:rsidRDefault="005F4A7E" w:rsidP="00130D1C">
            <w:pPr>
              <w:pStyle w:val="ARfintablebody"/>
            </w:pPr>
            <w:r w:rsidRPr="00997B0D">
              <w:t>Fair value of assets and services received free of charge or for nominal consideration</w:t>
            </w:r>
          </w:p>
        </w:tc>
        <w:tc>
          <w:tcPr>
            <w:tcW w:w="835" w:type="dxa"/>
            <w:tcBorders>
              <w:top w:val="single" w:sz="4" w:space="0" w:color="A6A6A6"/>
            </w:tcBorders>
            <w:noWrap/>
            <w:hideMark/>
          </w:tcPr>
          <w:p w14:paraId="426B2491" w14:textId="77777777" w:rsidR="005F4A7E" w:rsidRPr="002029AF" w:rsidRDefault="005F4A7E" w:rsidP="00130D1C">
            <w:pPr>
              <w:pStyle w:val="ARfintablebodyright"/>
            </w:pPr>
            <w:r w:rsidRPr="00997B0D">
              <w:t>–</w:t>
            </w:r>
          </w:p>
        </w:tc>
        <w:tc>
          <w:tcPr>
            <w:tcW w:w="656" w:type="dxa"/>
            <w:tcBorders>
              <w:top w:val="single" w:sz="4" w:space="0" w:color="A6A6A6"/>
            </w:tcBorders>
            <w:noWrap/>
            <w:hideMark/>
          </w:tcPr>
          <w:p w14:paraId="236695C9" w14:textId="77777777" w:rsidR="005F4A7E" w:rsidRPr="002029AF" w:rsidRDefault="005F4A7E" w:rsidP="00130D1C">
            <w:pPr>
              <w:pStyle w:val="ARfintablebodyright"/>
            </w:pPr>
            <w:r w:rsidRPr="00997B0D">
              <w:t>–</w:t>
            </w:r>
          </w:p>
        </w:tc>
        <w:tc>
          <w:tcPr>
            <w:tcW w:w="656" w:type="dxa"/>
            <w:tcBorders>
              <w:top w:val="single" w:sz="4" w:space="0" w:color="A6A6A6"/>
            </w:tcBorders>
            <w:noWrap/>
            <w:hideMark/>
          </w:tcPr>
          <w:p w14:paraId="318D01F5" w14:textId="77777777" w:rsidR="005F4A7E" w:rsidRPr="002029AF" w:rsidRDefault="005F4A7E" w:rsidP="00130D1C">
            <w:pPr>
              <w:pStyle w:val="ARfintablebodyright"/>
            </w:pPr>
            <w:r w:rsidRPr="00997B0D">
              <w:t>–</w:t>
            </w:r>
          </w:p>
        </w:tc>
        <w:tc>
          <w:tcPr>
            <w:tcW w:w="655" w:type="dxa"/>
            <w:tcBorders>
              <w:top w:val="single" w:sz="4" w:space="0" w:color="A6A6A6"/>
            </w:tcBorders>
            <w:noWrap/>
            <w:hideMark/>
          </w:tcPr>
          <w:p w14:paraId="0990E7DA" w14:textId="77777777" w:rsidR="005F4A7E" w:rsidRPr="002029AF" w:rsidRDefault="005F4A7E" w:rsidP="00130D1C">
            <w:pPr>
              <w:pStyle w:val="ARfintablebodyright"/>
            </w:pPr>
            <w:r w:rsidRPr="00997B0D">
              <w:t>–</w:t>
            </w:r>
          </w:p>
        </w:tc>
        <w:tc>
          <w:tcPr>
            <w:tcW w:w="655" w:type="dxa"/>
            <w:tcBorders>
              <w:top w:val="single" w:sz="4" w:space="0" w:color="A6A6A6"/>
            </w:tcBorders>
            <w:noWrap/>
            <w:hideMark/>
          </w:tcPr>
          <w:p w14:paraId="171B537D" w14:textId="77777777" w:rsidR="005F4A7E" w:rsidRPr="002029AF" w:rsidRDefault="005F4A7E" w:rsidP="00130D1C">
            <w:pPr>
              <w:pStyle w:val="ARfintablebodyright"/>
            </w:pPr>
            <w:r w:rsidRPr="00997B0D">
              <w:t>–</w:t>
            </w:r>
          </w:p>
        </w:tc>
        <w:tc>
          <w:tcPr>
            <w:tcW w:w="654" w:type="dxa"/>
            <w:tcBorders>
              <w:top w:val="single" w:sz="4" w:space="0" w:color="A6A6A6"/>
            </w:tcBorders>
            <w:noWrap/>
            <w:hideMark/>
          </w:tcPr>
          <w:p w14:paraId="0E5EAC38" w14:textId="77777777" w:rsidR="005F4A7E" w:rsidRPr="002029AF" w:rsidRDefault="005F4A7E" w:rsidP="00130D1C">
            <w:pPr>
              <w:pStyle w:val="ARfintablebodyright"/>
            </w:pPr>
            <w:r w:rsidRPr="00997B0D">
              <w:t>–</w:t>
            </w:r>
          </w:p>
        </w:tc>
        <w:tc>
          <w:tcPr>
            <w:tcW w:w="654" w:type="dxa"/>
            <w:tcBorders>
              <w:top w:val="single" w:sz="4" w:space="0" w:color="A6A6A6"/>
            </w:tcBorders>
            <w:noWrap/>
            <w:hideMark/>
          </w:tcPr>
          <w:p w14:paraId="61019099" w14:textId="77777777" w:rsidR="005F4A7E" w:rsidRPr="002029AF" w:rsidRDefault="005F4A7E" w:rsidP="00130D1C">
            <w:pPr>
              <w:pStyle w:val="ARfintablebodyright"/>
            </w:pPr>
            <w:r w:rsidRPr="00997B0D">
              <w:t>–</w:t>
            </w:r>
          </w:p>
        </w:tc>
        <w:tc>
          <w:tcPr>
            <w:tcW w:w="721" w:type="dxa"/>
            <w:tcBorders>
              <w:top w:val="single" w:sz="4" w:space="0" w:color="A6A6A6"/>
            </w:tcBorders>
            <w:noWrap/>
            <w:hideMark/>
          </w:tcPr>
          <w:p w14:paraId="14151686" w14:textId="77777777" w:rsidR="005F4A7E" w:rsidRPr="002029AF" w:rsidRDefault="005F4A7E" w:rsidP="00130D1C">
            <w:pPr>
              <w:pStyle w:val="ARfintablebodyright"/>
            </w:pPr>
            <w:r w:rsidRPr="00997B0D">
              <w:t>–</w:t>
            </w:r>
          </w:p>
        </w:tc>
        <w:tc>
          <w:tcPr>
            <w:tcW w:w="882" w:type="dxa"/>
            <w:tcBorders>
              <w:top w:val="single" w:sz="4" w:space="0" w:color="A6A6A6"/>
            </w:tcBorders>
            <w:noWrap/>
            <w:hideMark/>
          </w:tcPr>
          <w:p w14:paraId="080DDD76" w14:textId="77777777" w:rsidR="005F4A7E" w:rsidRPr="002029AF" w:rsidRDefault="005F4A7E" w:rsidP="00130D1C">
            <w:pPr>
              <w:pStyle w:val="ARfintablebodyright"/>
            </w:pPr>
            <w:r w:rsidRPr="00997B0D">
              <w:t>3.2</w:t>
            </w:r>
          </w:p>
        </w:tc>
        <w:tc>
          <w:tcPr>
            <w:tcW w:w="654" w:type="dxa"/>
            <w:tcBorders>
              <w:top w:val="single" w:sz="4" w:space="0" w:color="A6A6A6"/>
            </w:tcBorders>
            <w:noWrap/>
            <w:hideMark/>
          </w:tcPr>
          <w:p w14:paraId="16F5B5FC" w14:textId="77777777" w:rsidR="005F4A7E" w:rsidRPr="002029AF" w:rsidRDefault="005F4A7E" w:rsidP="00130D1C">
            <w:pPr>
              <w:pStyle w:val="ARfintablebodyright"/>
            </w:pPr>
            <w:r w:rsidRPr="00997B0D">
              <w:t>–</w:t>
            </w:r>
          </w:p>
        </w:tc>
        <w:tc>
          <w:tcPr>
            <w:tcW w:w="654" w:type="dxa"/>
            <w:tcBorders>
              <w:top w:val="single" w:sz="4" w:space="0" w:color="A6A6A6"/>
            </w:tcBorders>
            <w:noWrap/>
            <w:hideMark/>
          </w:tcPr>
          <w:p w14:paraId="6B534E46" w14:textId="77777777" w:rsidR="005F4A7E" w:rsidRPr="002029AF" w:rsidRDefault="005F4A7E" w:rsidP="00130D1C">
            <w:pPr>
              <w:pStyle w:val="ARfintablebodyright"/>
            </w:pPr>
            <w:r w:rsidRPr="00997B0D">
              <w:t>–</w:t>
            </w:r>
          </w:p>
        </w:tc>
        <w:tc>
          <w:tcPr>
            <w:tcW w:w="654" w:type="dxa"/>
            <w:tcBorders>
              <w:top w:val="single" w:sz="4" w:space="0" w:color="A6A6A6"/>
            </w:tcBorders>
            <w:noWrap/>
            <w:hideMark/>
          </w:tcPr>
          <w:p w14:paraId="75EEC970" w14:textId="77777777" w:rsidR="005F4A7E" w:rsidRPr="002029AF" w:rsidRDefault="005F4A7E" w:rsidP="00130D1C">
            <w:pPr>
              <w:pStyle w:val="ARfintablebodyright"/>
            </w:pPr>
            <w:r w:rsidRPr="00997B0D">
              <w:t>0.1</w:t>
            </w:r>
          </w:p>
        </w:tc>
        <w:tc>
          <w:tcPr>
            <w:tcW w:w="654" w:type="dxa"/>
            <w:tcBorders>
              <w:top w:val="single" w:sz="4" w:space="0" w:color="A6A6A6"/>
            </w:tcBorders>
            <w:noWrap/>
            <w:hideMark/>
          </w:tcPr>
          <w:p w14:paraId="64B2D12F" w14:textId="77777777" w:rsidR="005F4A7E" w:rsidRPr="002029AF" w:rsidRDefault="005F4A7E" w:rsidP="00130D1C">
            <w:pPr>
              <w:pStyle w:val="ARfintablebodyright"/>
            </w:pPr>
            <w:r w:rsidRPr="00997B0D">
              <w:t>–</w:t>
            </w:r>
          </w:p>
        </w:tc>
        <w:tc>
          <w:tcPr>
            <w:tcW w:w="654" w:type="dxa"/>
            <w:tcBorders>
              <w:top w:val="single" w:sz="4" w:space="0" w:color="A6A6A6"/>
            </w:tcBorders>
            <w:noWrap/>
            <w:hideMark/>
          </w:tcPr>
          <w:p w14:paraId="3B0FEFE3" w14:textId="77777777" w:rsidR="005F4A7E" w:rsidRPr="002029AF" w:rsidRDefault="005F4A7E" w:rsidP="00130D1C">
            <w:pPr>
              <w:pStyle w:val="ARfintablebodyright"/>
            </w:pPr>
            <w:r w:rsidRPr="00997B0D">
              <w:t>–</w:t>
            </w:r>
          </w:p>
        </w:tc>
        <w:tc>
          <w:tcPr>
            <w:tcW w:w="654" w:type="dxa"/>
            <w:tcBorders>
              <w:top w:val="single" w:sz="4" w:space="0" w:color="A6A6A6"/>
            </w:tcBorders>
            <w:noWrap/>
            <w:hideMark/>
          </w:tcPr>
          <w:p w14:paraId="6D729BF2" w14:textId="77777777" w:rsidR="005F4A7E" w:rsidRPr="002029AF" w:rsidRDefault="005F4A7E" w:rsidP="00130D1C">
            <w:pPr>
              <w:pStyle w:val="ARfintablebodyright"/>
            </w:pPr>
            <w:r w:rsidRPr="00997B0D">
              <w:t>–</w:t>
            </w:r>
          </w:p>
        </w:tc>
        <w:tc>
          <w:tcPr>
            <w:tcW w:w="833" w:type="dxa"/>
            <w:tcBorders>
              <w:top w:val="single" w:sz="4" w:space="0" w:color="A6A6A6"/>
            </w:tcBorders>
            <w:noWrap/>
            <w:hideMark/>
          </w:tcPr>
          <w:p w14:paraId="60D593DD" w14:textId="77777777" w:rsidR="005F4A7E" w:rsidRPr="002029AF" w:rsidRDefault="005F4A7E" w:rsidP="00130D1C">
            <w:pPr>
              <w:pStyle w:val="ARfintablebodyright"/>
            </w:pPr>
            <w:r w:rsidRPr="00997B0D">
              <w:t>3.3</w:t>
            </w:r>
          </w:p>
        </w:tc>
      </w:tr>
      <w:tr w:rsidR="005F4A7E" w:rsidRPr="002029AF" w14:paraId="62457948" w14:textId="77777777" w:rsidTr="00130D1C">
        <w:tc>
          <w:tcPr>
            <w:tcW w:w="3334" w:type="dxa"/>
            <w:tcBorders>
              <w:bottom w:val="single" w:sz="4" w:space="0" w:color="auto"/>
            </w:tcBorders>
            <w:hideMark/>
          </w:tcPr>
          <w:p w14:paraId="33473835" w14:textId="77777777" w:rsidR="005F4A7E" w:rsidRPr="002029AF" w:rsidRDefault="005F4A7E" w:rsidP="00130D1C">
            <w:pPr>
              <w:pStyle w:val="ARfintablebodybold"/>
            </w:pPr>
            <w:r w:rsidRPr="00997B0D">
              <w:t>Total administered revenue and income from transactions</w:t>
            </w:r>
          </w:p>
        </w:tc>
        <w:tc>
          <w:tcPr>
            <w:tcW w:w="835" w:type="dxa"/>
            <w:tcBorders>
              <w:bottom w:val="single" w:sz="4" w:space="0" w:color="auto"/>
            </w:tcBorders>
            <w:noWrap/>
            <w:hideMark/>
          </w:tcPr>
          <w:p w14:paraId="4E44171B" w14:textId="77777777" w:rsidR="005F4A7E" w:rsidRPr="002029AF" w:rsidRDefault="005F4A7E" w:rsidP="00130D1C">
            <w:pPr>
              <w:pStyle w:val="ARfintablebodyrightbold"/>
            </w:pPr>
            <w:r w:rsidRPr="00997B0D">
              <w:t>11,738.8</w:t>
            </w:r>
          </w:p>
        </w:tc>
        <w:tc>
          <w:tcPr>
            <w:tcW w:w="656" w:type="dxa"/>
            <w:tcBorders>
              <w:bottom w:val="single" w:sz="4" w:space="0" w:color="auto"/>
            </w:tcBorders>
            <w:noWrap/>
            <w:hideMark/>
          </w:tcPr>
          <w:p w14:paraId="25373616" w14:textId="77777777" w:rsidR="005F4A7E" w:rsidRPr="002029AF" w:rsidRDefault="005F4A7E" w:rsidP="00130D1C">
            <w:pPr>
              <w:pStyle w:val="ARfintablebodyrightbold"/>
            </w:pPr>
            <w:r w:rsidRPr="00997B0D">
              <w:t>8.7</w:t>
            </w:r>
          </w:p>
        </w:tc>
        <w:tc>
          <w:tcPr>
            <w:tcW w:w="656" w:type="dxa"/>
            <w:tcBorders>
              <w:bottom w:val="single" w:sz="4" w:space="0" w:color="auto"/>
            </w:tcBorders>
            <w:noWrap/>
            <w:hideMark/>
          </w:tcPr>
          <w:p w14:paraId="5222A436" w14:textId="77777777" w:rsidR="005F4A7E" w:rsidRPr="002029AF" w:rsidRDefault="005F4A7E" w:rsidP="00130D1C">
            <w:pPr>
              <w:pStyle w:val="ARfintablebodyrightbold"/>
            </w:pPr>
            <w:r w:rsidRPr="00997B0D">
              <w:t>880.9</w:t>
            </w:r>
          </w:p>
        </w:tc>
        <w:tc>
          <w:tcPr>
            <w:tcW w:w="655" w:type="dxa"/>
            <w:tcBorders>
              <w:bottom w:val="single" w:sz="4" w:space="0" w:color="auto"/>
            </w:tcBorders>
            <w:noWrap/>
            <w:hideMark/>
          </w:tcPr>
          <w:p w14:paraId="16028AA1" w14:textId="77777777" w:rsidR="005F4A7E" w:rsidRPr="002029AF" w:rsidRDefault="005F4A7E" w:rsidP="00130D1C">
            <w:pPr>
              <w:pStyle w:val="ARfintablebodyrightbold"/>
            </w:pPr>
            <w:r w:rsidRPr="00997B0D">
              <w:t>116.8</w:t>
            </w:r>
          </w:p>
        </w:tc>
        <w:tc>
          <w:tcPr>
            <w:tcW w:w="655" w:type="dxa"/>
            <w:tcBorders>
              <w:bottom w:val="single" w:sz="4" w:space="0" w:color="auto"/>
            </w:tcBorders>
            <w:noWrap/>
            <w:hideMark/>
          </w:tcPr>
          <w:p w14:paraId="7A8D0240" w14:textId="77777777" w:rsidR="005F4A7E" w:rsidRPr="002029AF" w:rsidRDefault="005F4A7E" w:rsidP="00130D1C">
            <w:pPr>
              <w:pStyle w:val="ARfintablebodyrightbold"/>
            </w:pPr>
            <w:r w:rsidRPr="00997B0D">
              <w:t>4.5</w:t>
            </w:r>
          </w:p>
        </w:tc>
        <w:tc>
          <w:tcPr>
            <w:tcW w:w="654" w:type="dxa"/>
            <w:tcBorders>
              <w:bottom w:val="single" w:sz="4" w:space="0" w:color="auto"/>
            </w:tcBorders>
            <w:noWrap/>
            <w:hideMark/>
          </w:tcPr>
          <w:p w14:paraId="0E9C4132" w14:textId="77777777" w:rsidR="005F4A7E" w:rsidRPr="002029AF" w:rsidRDefault="005F4A7E" w:rsidP="00130D1C">
            <w:pPr>
              <w:pStyle w:val="ARfintablebodyrightbold"/>
            </w:pPr>
            <w:r w:rsidRPr="00997B0D">
              <w:t>133.9</w:t>
            </w:r>
          </w:p>
        </w:tc>
        <w:tc>
          <w:tcPr>
            <w:tcW w:w="654" w:type="dxa"/>
            <w:tcBorders>
              <w:bottom w:val="single" w:sz="4" w:space="0" w:color="auto"/>
            </w:tcBorders>
            <w:noWrap/>
            <w:hideMark/>
          </w:tcPr>
          <w:p w14:paraId="1B7DDD07" w14:textId="77777777" w:rsidR="005F4A7E" w:rsidRPr="002029AF" w:rsidRDefault="005F4A7E" w:rsidP="00130D1C">
            <w:pPr>
              <w:pStyle w:val="ARfintablebodyrightbold"/>
            </w:pPr>
            <w:r w:rsidRPr="00997B0D">
              <w:t>131.3</w:t>
            </w:r>
          </w:p>
        </w:tc>
        <w:tc>
          <w:tcPr>
            <w:tcW w:w="721" w:type="dxa"/>
            <w:tcBorders>
              <w:bottom w:val="single" w:sz="4" w:space="0" w:color="auto"/>
            </w:tcBorders>
            <w:noWrap/>
            <w:hideMark/>
          </w:tcPr>
          <w:p w14:paraId="4695226B" w14:textId="77777777" w:rsidR="005F4A7E" w:rsidRPr="002029AF" w:rsidRDefault="005F4A7E" w:rsidP="00130D1C">
            <w:pPr>
              <w:pStyle w:val="ARfintablebodyrightbold"/>
            </w:pPr>
            <w:r w:rsidRPr="00997B0D">
              <w:t>14.9</w:t>
            </w:r>
          </w:p>
        </w:tc>
        <w:tc>
          <w:tcPr>
            <w:tcW w:w="882" w:type="dxa"/>
            <w:tcBorders>
              <w:bottom w:val="single" w:sz="4" w:space="0" w:color="auto"/>
            </w:tcBorders>
            <w:noWrap/>
            <w:hideMark/>
          </w:tcPr>
          <w:p w14:paraId="62564AA5" w14:textId="77777777" w:rsidR="005F4A7E" w:rsidRPr="002029AF" w:rsidRDefault="005F4A7E" w:rsidP="00130D1C">
            <w:pPr>
              <w:pStyle w:val="ARfintablebodyrightbold"/>
            </w:pPr>
            <w:r w:rsidRPr="00997B0D">
              <w:t>1,941.8</w:t>
            </w:r>
          </w:p>
        </w:tc>
        <w:tc>
          <w:tcPr>
            <w:tcW w:w="654" w:type="dxa"/>
            <w:tcBorders>
              <w:bottom w:val="single" w:sz="4" w:space="0" w:color="auto"/>
            </w:tcBorders>
            <w:noWrap/>
            <w:hideMark/>
          </w:tcPr>
          <w:p w14:paraId="237A8BBD" w14:textId="77777777" w:rsidR="005F4A7E" w:rsidRPr="002029AF" w:rsidRDefault="005F4A7E" w:rsidP="00130D1C">
            <w:pPr>
              <w:pStyle w:val="ARfintablebodyrightbold"/>
            </w:pPr>
            <w:r w:rsidRPr="00997B0D">
              <w:t>23.3</w:t>
            </w:r>
          </w:p>
        </w:tc>
        <w:tc>
          <w:tcPr>
            <w:tcW w:w="654" w:type="dxa"/>
            <w:tcBorders>
              <w:bottom w:val="single" w:sz="4" w:space="0" w:color="auto"/>
            </w:tcBorders>
            <w:noWrap/>
            <w:hideMark/>
          </w:tcPr>
          <w:p w14:paraId="2F4F8570" w14:textId="77777777" w:rsidR="005F4A7E" w:rsidRPr="002029AF" w:rsidRDefault="005F4A7E" w:rsidP="00130D1C">
            <w:pPr>
              <w:pStyle w:val="ARfintablebodyrightbold"/>
            </w:pPr>
            <w:r w:rsidRPr="00997B0D">
              <w:t>0.3</w:t>
            </w:r>
          </w:p>
        </w:tc>
        <w:tc>
          <w:tcPr>
            <w:tcW w:w="654" w:type="dxa"/>
            <w:tcBorders>
              <w:bottom w:val="single" w:sz="4" w:space="0" w:color="auto"/>
            </w:tcBorders>
            <w:noWrap/>
            <w:hideMark/>
          </w:tcPr>
          <w:p w14:paraId="18BEE0DF" w14:textId="77777777" w:rsidR="005F4A7E" w:rsidRPr="002029AF" w:rsidRDefault="005F4A7E" w:rsidP="00130D1C">
            <w:pPr>
              <w:pStyle w:val="ARfintablebodyrightbold"/>
            </w:pPr>
            <w:r w:rsidRPr="00997B0D">
              <w:t>0.2</w:t>
            </w:r>
          </w:p>
        </w:tc>
        <w:tc>
          <w:tcPr>
            <w:tcW w:w="654" w:type="dxa"/>
            <w:tcBorders>
              <w:bottom w:val="single" w:sz="4" w:space="0" w:color="auto"/>
            </w:tcBorders>
            <w:noWrap/>
            <w:hideMark/>
          </w:tcPr>
          <w:p w14:paraId="6DC593EA" w14:textId="77777777" w:rsidR="005F4A7E" w:rsidRPr="002029AF" w:rsidRDefault="005F4A7E" w:rsidP="00130D1C">
            <w:pPr>
              <w:pStyle w:val="ARfintablebodyrightbold"/>
            </w:pPr>
            <w:r w:rsidRPr="00997B0D">
              <w:t>5.1</w:t>
            </w:r>
          </w:p>
        </w:tc>
        <w:tc>
          <w:tcPr>
            <w:tcW w:w="654" w:type="dxa"/>
            <w:tcBorders>
              <w:bottom w:val="single" w:sz="4" w:space="0" w:color="auto"/>
            </w:tcBorders>
            <w:noWrap/>
            <w:hideMark/>
          </w:tcPr>
          <w:p w14:paraId="4FC86E18" w14:textId="77777777" w:rsidR="005F4A7E" w:rsidRPr="002029AF" w:rsidRDefault="005F4A7E" w:rsidP="00130D1C">
            <w:pPr>
              <w:pStyle w:val="ARfintablebodyrightbold"/>
            </w:pPr>
            <w:r w:rsidRPr="00997B0D">
              <w:t>–</w:t>
            </w:r>
          </w:p>
        </w:tc>
        <w:tc>
          <w:tcPr>
            <w:tcW w:w="654" w:type="dxa"/>
            <w:tcBorders>
              <w:bottom w:val="single" w:sz="4" w:space="0" w:color="auto"/>
            </w:tcBorders>
            <w:noWrap/>
            <w:hideMark/>
          </w:tcPr>
          <w:p w14:paraId="573472BF" w14:textId="77777777" w:rsidR="005F4A7E" w:rsidRPr="002029AF" w:rsidRDefault="005F4A7E" w:rsidP="00130D1C">
            <w:pPr>
              <w:pStyle w:val="ARfintablebodyrightbold"/>
            </w:pPr>
            <w:r w:rsidRPr="00997B0D">
              <w:t>–</w:t>
            </w:r>
          </w:p>
        </w:tc>
        <w:tc>
          <w:tcPr>
            <w:tcW w:w="833" w:type="dxa"/>
            <w:tcBorders>
              <w:bottom w:val="single" w:sz="4" w:space="0" w:color="auto"/>
            </w:tcBorders>
            <w:noWrap/>
            <w:hideMark/>
          </w:tcPr>
          <w:p w14:paraId="1222F609" w14:textId="77777777" w:rsidR="005F4A7E" w:rsidRPr="002029AF" w:rsidRDefault="005F4A7E" w:rsidP="00130D1C">
            <w:pPr>
              <w:pStyle w:val="ARfintablebodyrightbold"/>
            </w:pPr>
            <w:r w:rsidRPr="00997B0D">
              <w:t>15,000.5</w:t>
            </w:r>
          </w:p>
        </w:tc>
      </w:tr>
      <w:tr w:rsidR="005F4A7E" w:rsidRPr="002029AF" w14:paraId="2F019EA1" w14:textId="77777777" w:rsidTr="00130D1C">
        <w:tc>
          <w:tcPr>
            <w:tcW w:w="14459" w:type="dxa"/>
            <w:gridSpan w:val="17"/>
            <w:tcBorders>
              <w:top w:val="single" w:sz="4" w:space="0" w:color="auto"/>
              <w:bottom w:val="single" w:sz="4" w:space="0" w:color="A6A6A6"/>
            </w:tcBorders>
            <w:hideMark/>
          </w:tcPr>
          <w:p w14:paraId="1E4A99F9" w14:textId="77777777" w:rsidR="005F4A7E" w:rsidRPr="002029AF" w:rsidRDefault="005F4A7E" w:rsidP="00130D1C">
            <w:pPr>
              <w:pStyle w:val="ARfintablebodybold"/>
              <w:pageBreakBefore/>
            </w:pPr>
            <w:r w:rsidRPr="00BA3AE3">
              <w:lastRenderedPageBreak/>
              <w:t xml:space="preserve">Administered expenses </w:t>
            </w:r>
            <w:r>
              <w:br/>
            </w:r>
            <w:r w:rsidRPr="00BA3AE3">
              <w:t>from transactions</w:t>
            </w:r>
          </w:p>
        </w:tc>
      </w:tr>
      <w:tr w:rsidR="005F4A7E" w:rsidRPr="002029AF" w14:paraId="07A342BE" w14:textId="77777777" w:rsidTr="00130D1C">
        <w:tc>
          <w:tcPr>
            <w:tcW w:w="3334" w:type="dxa"/>
            <w:tcBorders>
              <w:top w:val="single" w:sz="4" w:space="0" w:color="A6A6A6"/>
              <w:bottom w:val="single" w:sz="4" w:space="0" w:color="A6A6A6"/>
            </w:tcBorders>
            <w:hideMark/>
          </w:tcPr>
          <w:p w14:paraId="6C2F50AA" w14:textId="77777777" w:rsidR="005F4A7E" w:rsidRPr="002029AF" w:rsidRDefault="005F4A7E" w:rsidP="00130D1C">
            <w:pPr>
              <w:pStyle w:val="ARfintablebody"/>
            </w:pPr>
            <w:r w:rsidRPr="00BA3AE3">
              <w:t>Grants and other expense transfers</w:t>
            </w:r>
          </w:p>
        </w:tc>
        <w:tc>
          <w:tcPr>
            <w:tcW w:w="835" w:type="dxa"/>
            <w:tcBorders>
              <w:top w:val="single" w:sz="4" w:space="0" w:color="A6A6A6"/>
              <w:bottom w:val="single" w:sz="4" w:space="0" w:color="A6A6A6"/>
            </w:tcBorders>
            <w:noWrap/>
            <w:hideMark/>
          </w:tcPr>
          <w:p w14:paraId="6E368337" w14:textId="77777777" w:rsidR="005F4A7E" w:rsidRPr="002029AF" w:rsidRDefault="005F4A7E" w:rsidP="00130D1C">
            <w:pPr>
              <w:pStyle w:val="ARfintablebodyright"/>
            </w:pPr>
            <w:r w:rsidRPr="00BA3AE3">
              <w:t>9,885.9</w:t>
            </w:r>
          </w:p>
        </w:tc>
        <w:tc>
          <w:tcPr>
            <w:tcW w:w="656" w:type="dxa"/>
            <w:tcBorders>
              <w:top w:val="single" w:sz="4" w:space="0" w:color="A6A6A6"/>
              <w:bottom w:val="single" w:sz="4" w:space="0" w:color="A6A6A6"/>
            </w:tcBorders>
            <w:noWrap/>
            <w:hideMark/>
          </w:tcPr>
          <w:p w14:paraId="3C54BFC1" w14:textId="77777777" w:rsidR="005F4A7E" w:rsidRPr="002029AF" w:rsidRDefault="005F4A7E" w:rsidP="00130D1C">
            <w:pPr>
              <w:pStyle w:val="ARfintablebodyright"/>
            </w:pPr>
            <w:r w:rsidRPr="00BA3AE3">
              <w:t>–</w:t>
            </w:r>
          </w:p>
        </w:tc>
        <w:tc>
          <w:tcPr>
            <w:tcW w:w="656" w:type="dxa"/>
            <w:tcBorders>
              <w:top w:val="single" w:sz="4" w:space="0" w:color="A6A6A6"/>
              <w:bottom w:val="single" w:sz="4" w:space="0" w:color="A6A6A6"/>
            </w:tcBorders>
            <w:noWrap/>
            <w:hideMark/>
          </w:tcPr>
          <w:p w14:paraId="1A4D22D0" w14:textId="77777777" w:rsidR="005F4A7E" w:rsidRPr="002029AF" w:rsidRDefault="005F4A7E" w:rsidP="00130D1C">
            <w:pPr>
              <w:pStyle w:val="ARfintablebodyright"/>
            </w:pPr>
            <w:r w:rsidRPr="00BA3AE3">
              <w:t>449.5</w:t>
            </w:r>
          </w:p>
        </w:tc>
        <w:tc>
          <w:tcPr>
            <w:tcW w:w="655" w:type="dxa"/>
            <w:tcBorders>
              <w:top w:val="single" w:sz="4" w:space="0" w:color="A6A6A6"/>
              <w:bottom w:val="single" w:sz="4" w:space="0" w:color="A6A6A6"/>
            </w:tcBorders>
            <w:noWrap/>
            <w:hideMark/>
          </w:tcPr>
          <w:p w14:paraId="1C3D34EB" w14:textId="77777777" w:rsidR="005F4A7E" w:rsidRPr="002029AF" w:rsidRDefault="005F4A7E" w:rsidP="00130D1C">
            <w:pPr>
              <w:pStyle w:val="ARfintablebodyright"/>
            </w:pPr>
            <w:r w:rsidRPr="00BA3AE3">
              <w:t>50.1</w:t>
            </w:r>
          </w:p>
        </w:tc>
        <w:tc>
          <w:tcPr>
            <w:tcW w:w="655" w:type="dxa"/>
            <w:tcBorders>
              <w:top w:val="single" w:sz="4" w:space="0" w:color="A6A6A6"/>
              <w:bottom w:val="single" w:sz="4" w:space="0" w:color="A6A6A6"/>
            </w:tcBorders>
            <w:noWrap/>
            <w:hideMark/>
          </w:tcPr>
          <w:p w14:paraId="7323ED6A" w14:textId="77777777" w:rsidR="005F4A7E" w:rsidRPr="002029AF" w:rsidRDefault="005F4A7E" w:rsidP="00130D1C">
            <w:pPr>
              <w:pStyle w:val="ARfintablebodyright"/>
            </w:pPr>
            <w:r w:rsidRPr="00BA3AE3">
              <w:t>–</w:t>
            </w:r>
          </w:p>
        </w:tc>
        <w:tc>
          <w:tcPr>
            <w:tcW w:w="654" w:type="dxa"/>
            <w:tcBorders>
              <w:top w:val="single" w:sz="4" w:space="0" w:color="A6A6A6"/>
              <w:bottom w:val="single" w:sz="4" w:space="0" w:color="A6A6A6"/>
            </w:tcBorders>
            <w:noWrap/>
            <w:hideMark/>
          </w:tcPr>
          <w:p w14:paraId="4457F7BD" w14:textId="77777777" w:rsidR="005F4A7E" w:rsidRPr="002029AF" w:rsidRDefault="005F4A7E" w:rsidP="00130D1C">
            <w:pPr>
              <w:pStyle w:val="ARfintablebodyright"/>
            </w:pPr>
            <w:r w:rsidRPr="00BA3AE3">
              <w:t>–</w:t>
            </w:r>
          </w:p>
        </w:tc>
        <w:tc>
          <w:tcPr>
            <w:tcW w:w="654" w:type="dxa"/>
            <w:tcBorders>
              <w:top w:val="single" w:sz="4" w:space="0" w:color="A6A6A6"/>
              <w:bottom w:val="single" w:sz="4" w:space="0" w:color="A6A6A6"/>
            </w:tcBorders>
            <w:noWrap/>
            <w:hideMark/>
          </w:tcPr>
          <w:p w14:paraId="7DC7EDCA" w14:textId="77777777" w:rsidR="005F4A7E" w:rsidRPr="002029AF" w:rsidRDefault="005F4A7E" w:rsidP="00130D1C">
            <w:pPr>
              <w:pStyle w:val="ARfintablebodyright"/>
            </w:pPr>
            <w:r w:rsidRPr="00BA3AE3">
              <w:t>–</w:t>
            </w:r>
          </w:p>
        </w:tc>
        <w:tc>
          <w:tcPr>
            <w:tcW w:w="721" w:type="dxa"/>
            <w:tcBorders>
              <w:top w:val="single" w:sz="4" w:space="0" w:color="A6A6A6"/>
              <w:bottom w:val="single" w:sz="4" w:space="0" w:color="A6A6A6"/>
            </w:tcBorders>
            <w:noWrap/>
            <w:hideMark/>
          </w:tcPr>
          <w:p w14:paraId="79FA604E" w14:textId="77777777" w:rsidR="005F4A7E" w:rsidRPr="002029AF" w:rsidRDefault="005F4A7E" w:rsidP="00130D1C">
            <w:pPr>
              <w:pStyle w:val="ARfintablebodyright"/>
            </w:pPr>
            <w:r w:rsidRPr="00BA3AE3">
              <w:t>–</w:t>
            </w:r>
          </w:p>
        </w:tc>
        <w:tc>
          <w:tcPr>
            <w:tcW w:w="882" w:type="dxa"/>
            <w:tcBorders>
              <w:top w:val="single" w:sz="4" w:space="0" w:color="A6A6A6"/>
              <w:bottom w:val="single" w:sz="4" w:space="0" w:color="A6A6A6"/>
            </w:tcBorders>
            <w:noWrap/>
            <w:hideMark/>
          </w:tcPr>
          <w:p w14:paraId="154D8F58" w14:textId="77777777" w:rsidR="005F4A7E" w:rsidRPr="002029AF" w:rsidRDefault="005F4A7E" w:rsidP="00130D1C">
            <w:pPr>
              <w:pStyle w:val="ARfintablebodyright"/>
            </w:pPr>
            <w:r w:rsidRPr="00BA3AE3">
              <w:t>2,032.9</w:t>
            </w:r>
          </w:p>
        </w:tc>
        <w:tc>
          <w:tcPr>
            <w:tcW w:w="654" w:type="dxa"/>
            <w:tcBorders>
              <w:top w:val="single" w:sz="4" w:space="0" w:color="A6A6A6"/>
              <w:bottom w:val="single" w:sz="4" w:space="0" w:color="A6A6A6"/>
            </w:tcBorders>
            <w:noWrap/>
            <w:hideMark/>
          </w:tcPr>
          <w:p w14:paraId="5B80D1F3" w14:textId="77777777" w:rsidR="005F4A7E" w:rsidRPr="002029AF" w:rsidRDefault="005F4A7E" w:rsidP="00130D1C">
            <w:pPr>
              <w:pStyle w:val="ARfintablebodyright"/>
            </w:pPr>
            <w:r w:rsidRPr="00BA3AE3">
              <w:t>7.1</w:t>
            </w:r>
          </w:p>
        </w:tc>
        <w:tc>
          <w:tcPr>
            <w:tcW w:w="654" w:type="dxa"/>
            <w:tcBorders>
              <w:top w:val="single" w:sz="4" w:space="0" w:color="A6A6A6"/>
              <w:bottom w:val="single" w:sz="4" w:space="0" w:color="A6A6A6"/>
            </w:tcBorders>
            <w:noWrap/>
            <w:hideMark/>
          </w:tcPr>
          <w:p w14:paraId="78032CD8" w14:textId="77777777" w:rsidR="005F4A7E" w:rsidRPr="002029AF" w:rsidRDefault="005F4A7E" w:rsidP="00130D1C">
            <w:pPr>
              <w:pStyle w:val="ARfintablebodyright"/>
            </w:pPr>
            <w:r w:rsidRPr="00BA3AE3">
              <w:t>0.9</w:t>
            </w:r>
          </w:p>
        </w:tc>
        <w:tc>
          <w:tcPr>
            <w:tcW w:w="654" w:type="dxa"/>
            <w:tcBorders>
              <w:top w:val="single" w:sz="4" w:space="0" w:color="A6A6A6"/>
              <w:bottom w:val="single" w:sz="4" w:space="0" w:color="A6A6A6"/>
            </w:tcBorders>
            <w:noWrap/>
            <w:hideMark/>
          </w:tcPr>
          <w:p w14:paraId="2CDC44F1" w14:textId="77777777" w:rsidR="005F4A7E" w:rsidRPr="002029AF" w:rsidRDefault="005F4A7E" w:rsidP="00130D1C">
            <w:pPr>
              <w:pStyle w:val="ARfintablebodyright"/>
            </w:pPr>
            <w:r w:rsidRPr="00BA3AE3">
              <w:t>–</w:t>
            </w:r>
          </w:p>
        </w:tc>
        <w:tc>
          <w:tcPr>
            <w:tcW w:w="654" w:type="dxa"/>
            <w:tcBorders>
              <w:top w:val="single" w:sz="4" w:space="0" w:color="A6A6A6"/>
              <w:bottom w:val="single" w:sz="4" w:space="0" w:color="A6A6A6"/>
            </w:tcBorders>
            <w:noWrap/>
            <w:hideMark/>
          </w:tcPr>
          <w:p w14:paraId="194DAFBD" w14:textId="77777777" w:rsidR="005F4A7E" w:rsidRPr="002029AF" w:rsidRDefault="005F4A7E" w:rsidP="00130D1C">
            <w:pPr>
              <w:pStyle w:val="ARfintablebodyright"/>
            </w:pPr>
            <w:r w:rsidRPr="00BA3AE3">
              <w:t>–</w:t>
            </w:r>
          </w:p>
        </w:tc>
        <w:tc>
          <w:tcPr>
            <w:tcW w:w="654" w:type="dxa"/>
            <w:tcBorders>
              <w:top w:val="single" w:sz="4" w:space="0" w:color="A6A6A6"/>
              <w:bottom w:val="single" w:sz="4" w:space="0" w:color="A6A6A6"/>
            </w:tcBorders>
            <w:noWrap/>
            <w:hideMark/>
          </w:tcPr>
          <w:p w14:paraId="545BA580" w14:textId="77777777" w:rsidR="005F4A7E" w:rsidRPr="002029AF" w:rsidRDefault="005F4A7E" w:rsidP="00130D1C">
            <w:pPr>
              <w:pStyle w:val="ARfintablebodyright"/>
            </w:pPr>
            <w:r w:rsidRPr="00BA3AE3">
              <w:t>–</w:t>
            </w:r>
          </w:p>
        </w:tc>
        <w:tc>
          <w:tcPr>
            <w:tcW w:w="654" w:type="dxa"/>
            <w:tcBorders>
              <w:top w:val="single" w:sz="4" w:space="0" w:color="A6A6A6"/>
              <w:bottom w:val="single" w:sz="4" w:space="0" w:color="A6A6A6"/>
            </w:tcBorders>
            <w:noWrap/>
            <w:hideMark/>
          </w:tcPr>
          <w:p w14:paraId="5AE8F00C" w14:textId="77777777" w:rsidR="005F4A7E" w:rsidRPr="002029AF" w:rsidRDefault="005F4A7E" w:rsidP="00130D1C">
            <w:pPr>
              <w:pStyle w:val="ARfintablebodyright"/>
            </w:pPr>
            <w:r w:rsidRPr="00BA3AE3">
              <w:t>–</w:t>
            </w:r>
          </w:p>
        </w:tc>
        <w:tc>
          <w:tcPr>
            <w:tcW w:w="833" w:type="dxa"/>
            <w:tcBorders>
              <w:top w:val="single" w:sz="4" w:space="0" w:color="A6A6A6"/>
              <w:bottom w:val="single" w:sz="4" w:space="0" w:color="A6A6A6"/>
            </w:tcBorders>
            <w:noWrap/>
            <w:hideMark/>
          </w:tcPr>
          <w:p w14:paraId="354DE051" w14:textId="77777777" w:rsidR="005F4A7E" w:rsidRPr="002029AF" w:rsidRDefault="005F4A7E" w:rsidP="00130D1C">
            <w:pPr>
              <w:pStyle w:val="ARfintablebodyright"/>
            </w:pPr>
            <w:r w:rsidRPr="00BA3AE3">
              <w:t>12,426.4</w:t>
            </w:r>
          </w:p>
        </w:tc>
      </w:tr>
      <w:tr w:rsidR="005F4A7E" w:rsidRPr="002029AF" w14:paraId="3BD7BAA9" w14:textId="77777777" w:rsidTr="00130D1C">
        <w:tc>
          <w:tcPr>
            <w:tcW w:w="3334" w:type="dxa"/>
            <w:tcBorders>
              <w:top w:val="single" w:sz="4" w:space="0" w:color="A6A6A6"/>
              <w:bottom w:val="single" w:sz="4" w:space="0" w:color="A6A6A6"/>
            </w:tcBorders>
            <w:hideMark/>
          </w:tcPr>
          <w:p w14:paraId="1D443929" w14:textId="77777777" w:rsidR="005F4A7E" w:rsidRPr="002029AF" w:rsidRDefault="005F4A7E" w:rsidP="00130D1C">
            <w:pPr>
              <w:pStyle w:val="ARfintablebody"/>
            </w:pPr>
            <w:r w:rsidRPr="00BA3AE3">
              <w:t>Employee benefits</w:t>
            </w:r>
          </w:p>
        </w:tc>
        <w:tc>
          <w:tcPr>
            <w:tcW w:w="835" w:type="dxa"/>
            <w:tcBorders>
              <w:top w:val="single" w:sz="4" w:space="0" w:color="A6A6A6"/>
              <w:bottom w:val="single" w:sz="4" w:space="0" w:color="A6A6A6"/>
            </w:tcBorders>
            <w:noWrap/>
            <w:hideMark/>
          </w:tcPr>
          <w:p w14:paraId="5D518DF8" w14:textId="77777777" w:rsidR="005F4A7E" w:rsidRPr="002029AF" w:rsidRDefault="005F4A7E" w:rsidP="00130D1C">
            <w:pPr>
              <w:pStyle w:val="ARfintablebodyright"/>
            </w:pPr>
            <w:r w:rsidRPr="00BA3AE3">
              <w:t>–</w:t>
            </w:r>
          </w:p>
        </w:tc>
        <w:tc>
          <w:tcPr>
            <w:tcW w:w="656" w:type="dxa"/>
            <w:tcBorders>
              <w:top w:val="single" w:sz="4" w:space="0" w:color="A6A6A6"/>
              <w:bottom w:val="single" w:sz="4" w:space="0" w:color="A6A6A6"/>
            </w:tcBorders>
            <w:noWrap/>
            <w:hideMark/>
          </w:tcPr>
          <w:p w14:paraId="1CC04627" w14:textId="77777777" w:rsidR="005F4A7E" w:rsidRPr="002029AF" w:rsidRDefault="005F4A7E" w:rsidP="00130D1C">
            <w:pPr>
              <w:pStyle w:val="ARfintablebodyright"/>
            </w:pPr>
            <w:r w:rsidRPr="00BA3AE3">
              <w:t>–</w:t>
            </w:r>
          </w:p>
        </w:tc>
        <w:tc>
          <w:tcPr>
            <w:tcW w:w="656" w:type="dxa"/>
            <w:tcBorders>
              <w:top w:val="single" w:sz="4" w:space="0" w:color="A6A6A6"/>
              <w:bottom w:val="single" w:sz="4" w:space="0" w:color="A6A6A6"/>
            </w:tcBorders>
            <w:noWrap/>
            <w:hideMark/>
          </w:tcPr>
          <w:p w14:paraId="174FFE97" w14:textId="77777777" w:rsidR="005F4A7E" w:rsidRPr="002029AF" w:rsidRDefault="005F4A7E" w:rsidP="00130D1C">
            <w:pPr>
              <w:pStyle w:val="ARfintablebodyright"/>
            </w:pPr>
            <w:r w:rsidRPr="00BA3AE3">
              <w:t>–</w:t>
            </w:r>
          </w:p>
        </w:tc>
        <w:tc>
          <w:tcPr>
            <w:tcW w:w="655" w:type="dxa"/>
            <w:tcBorders>
              <w:top w:val="single" w:sz="4" w:space="0" w:color="A6A6A6"/>
              <w:bottom w:val="single" w:sz="4" w:space="0" w:color="A6A6A6"/>
            </w:tcBorders>
            <w:noWrap/>
            <w:hideMark/>
          </w:tcPr>
          <w:p w14:paraId="72E6B813" w14:textId="77777777" w:rsidR="005F4A7E" w:rsidRPr="002029AF" w:rsidRDefault="005F4A7E" w:rsidP="00130D1C">
            <w:pPr>
              <w:pStyle w:val="ARfintablebodyright"/>
            </w:pPr>
            <w:r w:rsidRPr="00BA3AE3">
              <w:t>–</w:t>
            </w:r>
          </w:p>
        </w:tc>
        <w:tc>
          <w:tcPr>
            <w:tcW w:w="655" w:type="dxa"/>
            <w:tcBorders>
              <w:top w:val="single" w:sz="4" w:space="0" w:color="A6A6A6"/>
              <w:bottom w:val="single" w:sz="4" w:space="0" w:color="A6A6A6"/>
            </w:tcBorders>
            <w:noWrap/>
            <w:hideMark/>
          </w:tcPr>
          <w:p w14:paraId="1830AD36" w14:textId="77777777" w:rsidR="005F4A7E" w:rsidRPr="002029AF" w:rsidRDefault="005F4A7E" w:rsidP="00130D1C">
            <w:pPr>
              <w:pStyle w:val="ARfintablebodyright"/>
            </w:pPr>
            <w:r w:rsidRPr="00BA3AE3">
              <w:t>–</w:t>
            </w:r>
          </w:p>
        </w:tc>
        <w:tc>
          <w:tcPr>
            <w:tcW w:w="654" w:type="dxa"/>
            <w:tcBorders>
              <w:top w:val="single" w:sz="4" w:space="0" w:color="A6A6A6"/>
              <w:bottom w:val="single" w:sz="4" w:space="0" w:color="A6A6A6"/>
            </w:tcBorders>
            <w:noWrap/>
            <w:hideMark/>
          </w:tcPr>
          <w:p w14:paraId="1E71B148" w14:textId="77777777" w:rsidR="005F4A7E" w:rsidRPr="002029AF" w:rsidRDefault="005F4A7E" w:rsidP="00130D1C">
            <w:pPr>
              <w:pStyle w:val="ARfintablebodyright"/>
            </w:pPr>
            <w:r w:rsidRPr="00BA3AE3">
              <w:t>–</w:t>
            </w:r>
          </w:p>
        </w:tc>
        <w:tc>
          <w:tcPr>
            <w:tcW w:w="654" w:type="dxa"/>
            <w:tcBorders>
              <w:top w:val="single" w:sz="4" w:space="0" w:color="A6A6A6"/>
              <w:bottom w:val="single" w:sz="4" w:space="0" w:color="A6A6A6"/>
            </w:tcBorders>
            <w:noWrap/>
            <w:hideMark/>
          </w:tcPr>
          <w:p w14:paraId="0AAAE7A2" w14:textId="77777777" w:rsidR="005F4A7E" w:rsidRPr="002029AF" w:rsidRDefault="005F4A7E" w:rsidP="00130D1C">
            <w:pPr>
              <w:pStyle w:val="ARfintablebodyright"/>
            </w:pPr>
            <w:r w:rsidRPr="00BA3AE3">
              <w:t>–</w:t>
            </w:r>
          </w:p>
        </w:tc>
        <w:tc>
          <w:tcPr>
            <w:tcW w:w="721" w:type="dxa"/>
            <w:tcBorders>
              <w:top w:val="single" w:sz="4" w:space="0" w:color="A6A6A6"/>
              <w:bottom w:val="single" w:sz="4" w:space="0" w:color="A6A6A6"/>
            </w:tcBorders>
            <w:noWrap/>
            <w:hideMark/>
          </w:tcPr>
          <w:p w14:paraId="5984E879" w14:textId="77777777" w:rsidR="005F4A7E" w:rsidRPr="002029AF" w:rsidRDefault="005F4A7E" w:rsidP="00130D1C">
            <w:pPr>
              <w:pStyle w:val="ARfintablebodyright"/>
            </w:pPr>
            <w:r w:rsidRPr="00BA3AE3">
              <w:t>–</w:t>
            </w:r>
          </w:p>
        </w:tc>
        <w:tc>
          <w:tcPr>
            <w:tcW w:w="882" w:type="dxa"/>
            <w:tcBorders>
              <w:top w:val="single" w:sz="4" w:space="0" w:color="A6A6A6"/>
              <w:bottom w:val="single" w:sz="4" w:space="0" w:color="A6A6A6"/>
            </w:tcBorders>
            <w:noWrap/>
            <w:hideMark/>
          </w:tcPr>
          <w:p w14:paraId="5AD753C1" w14:textId="77777777" w:rsidR="005F4A7E" w:rsidRPr="002029AF" w:rsidRDefault="005F4A7E" w:rsidP="00130D1C">
            <w:pPr>
              <w:pStyle w:val="ARfintablebodyright"/>
            </w:pPr>
            <w:r w:rsidRPr="00BA3AE3">
              <w:t>–</w:t>
            </w:r>
          </w:p>
        </w:tc>
        <w:tc>
          <w:tcPr>
            <w:tcW w:w="654" w:type="dxa"/>
            <w:tcBorders>
              <w:top w:val="single" w:sz="4" w:space="0" w:color="A6A6A6"/>
              <w:bottom w:val="single" w:sz="4" w:space="0" w:color="A6A6A6"/>
            </w:tcBorders>
            <w:noWrap/>
            <w:hideMark/>
          </w:tcPr>
          <w:p w14:paraId="11B4FF3D" w14:textId="77777777" w:rsidR="005F4A7E" w:rsidRPr="002029AF" w:rsidRDefault="005F4A7E" w:rsidP="00130D1C">
            <w:pPr>
              <w:pStyle w:val="ARfintablebodyright"/>
            </w:pPr>
            <w:r w:rsidRPr="00BA3AE3">
              <w:t>–</w:t>
            </w:r>
          </w:p>
        </w:tc>
        <w:tc>
          <w:tcPr>
            <w:tcW w:w="654" w:type="dxa"/>
            <w:tcBorders>
              <w:top w:val="single" w:sz="4" w:space="0" w:color="A6A6A6"/>
              <w:bottom w:val="single" w:sz="4" w:space="0" w:color="A6A6A6"/>
            </w:tcBorders>
            <w:noWrap/>
            <w:hideMark/>
          </w:tcPr>
          <w:p w14:paraId="67B07EC1" w14:textId="77777777" w:rsidR="005F4A7E" w:rsidRPr="002029AF" w:rsidRDefault="005F4A7E" w:rsidP="00130D1C">
            <w:pPr>
              <w:pStyle w:val="ARfintablebodyright"/>
            </w:pPr>
            <w:r w:rsidRPr="00BA3AE3">
              <w:t>–</w:t>
            </w:r>
          </w:p>
        </w:tc>
        <w:tc>
          <w:tcPr>
            <w:tcW w:w="654" w:type="dxa"/>
            <w:tcBorders>
              <w:top w:val="single" w:sz="4" w:space="0" w:color="A6A6A6"/>
              <w:bottom w:val="single" w:sz="4" w:space="0" w:color="A6A6A6"/>
            </w:tcBorders>
            <w:noWrap/>
            <w:hideMark/>
          </w:tcPr>
          <w:p w14:paraId="78FBA9C5" w14:textId="77777777" w:rsidR="005F4A7E" w:rsidRPr="002029AF" w:rsidRDefault="005F4A7E" w:rsidP="00130D1C">
            <w:pPr>
              <w:pStyle w:val="ARfintablebodyright"/>
            </w:pPr>
            <w:r w:rsidRPr="00BA3AE3">
              <w:t>–</w:t>
            </w:r>
          </w:p>
        </w:tc>
        <w:tc>
          <w:tcPr>
            <w:tcW w:w="654" w:type="dxa"/>
            <w:tcBorders>
              <w:top w:val="single" w:sz="4" w:space="0" w:color="A6A6A6"/>
              <w:bottom w:val="single" w:sz="4" w:space="0" w:color="A6A6A6"/>
            </w:tcBorders>
            <w:noWrap/>
            <w:hideMark/>
          </w:tcPr>
          <w:p w14:paraId="69ACEDD7" w14:textId="77777777" w:rsidR="005F4A7E" w:rsidRPr="002029AF" w:rsidRDefault="005F4A7E" w:rsidP="00130D1C">
            <w:pPr>
              <w:pStyle w:val="ARfintablebodyright"/>
            </w:pPr>
            <w:r w:rsidRPr="00BA3AE3">
              <w:t>–</w:t>
            </w:r>
          </w:p>
        </w:tc>
        <w:tc>
          <w:tcPr>
            <w:tcW w:w="654" w:type="dxa"/>
            <w:tcBorders>
              <w:top w:val="single" w:sz="4" w:space="0" w:color="A6A6A6"/>
              <w:bottom w:val="single" w:sz="4" w:space="0" w:color="A6A6A6"/>
            </w:tcBorders>
            <w:noWrap/>
            <w:hideMark/>
          </w:tcPr>
          <w:p w14:paraId="2A2D33F0" w14:textId="77777777" w:rsidR="005F4A7E" w:rsidRPr="002029AF" w:rsidRDefault="005F4A7E" w:rsidP="00130D1C">
            <w:pPr>
              <w:pStyle w:val="ARfintablebodyright"/>
            </w:pPr>
            <w:r w:rsidRPr="00BA3AE3">
              <w:t>–</w:t>
            </w:r>
          </w:p>
        </w:tc>
        <w:tc>
          <w:tcPr>
            <w:tcW w:w="654" w:type="dxa"/>
            <w:tcBorders>
              <w:top w:val="single" w:sz="4" w:space="0" w:color="A6A6A6"/>
              <w:bottom w:val="single" w:sz="4" w:space="0" w:color="A6A6A6"/>
            </w:tcBorders>
            <w:noWrap/>
            <w:hideMark/>
          </w:tcPr>
          <w:p w14:paraId="232E4812" w14:textId="77777777" w:rsidR="005F4A7E" w:rsidRPr="002029AF" w:rsidRDefault="005F4A7E" w:rsidP="00130D1C">
            <w:pPr>
              <w:pStyle w:val="ARfintablebodyright"/>
            </w:pPr>
            <w:r w:rsidRPr="00BA3AE3">
              <w:t>–</w:t>
            </w:r>
          </w:p>
        </w:tc>
        <w:tc>
          <w:tcPr>
            <w:tcW w:w="833" w:type="dxa"/>
            <w:tcBorders>
              <w:top w:val="single" w:sz="4" w:space="0" w:color="A6A6A6"/>
              <w:bottom w:val="single" w:sz="4" w:space="0" w:color="A6A6A6"/>
            </w:tcBorders>
            <w:noWrap/>
            <w:hideMark/>
          </w:tcPr>
          <w:p w14:paraId="418F91C3" w14:textId="77777777" w:rsidR="005F4A7E" w:rsidRPr="002029AF" w:rsidRDefault="005F4A7E" w:rsidP="00130D1C">
            <w:pPr>
              <w:pStyle w:val="ARfintablebodyright"/>
            </w:pPr>
            <w:r w:rsidRPr="00BA3AE3">
              <w:t>–</w:t>
            </w:r>
          </w:p>
        </w:tc>
      </w:tr>
      <w:tr w:rsidR="005F4A7E" w:rsidRPr="002029AF" w14:paraId="455609B1" w14:textId="77777777" w:rsidTr="00130D1C">
        <w:tc>
          <w:tcPr>
            <w:tcW w:w="3334" w:type="dxa"/>
            <w:tcBorders>
              <w:top w:val="single" w:sz="4" w:space="0" w:color="A6A6A6"/>
              <w:bottom w:val="single" w:sz="4" w:space="0" w:color="A6A6A6"/>
            </w:tcBorders>
            <w:hideMark/>
          </w:tcPr>
          <w:p w14:paraId="5E20B08C" w14:textId="77777777" w:rsidR="005F4A7E" w:rsidRPr="002029AF" w:rsidRDefault="005F4A7E" w:rsidP="00130D1C">
            <w:pPr>
              <w:pStyle w:val="ARfintablebody"/>
            </w:pPr>
            <w:r w:rsidRPr="00BA3AE3">
              <w:t>Other operating expenses</w:t>
            </w:r>
          </w:p>
        </w:tc>
        <w:tc>
          <w:tcPr>
            <w:tcW w:w="835" w:type="dxa"/>
            <w:tcBorders>
              <w:top w:val="single" w:sz="4" w:space="0" w:color="A6A6A6"/>
              <w:bottom w:val="single" w:sz="4" w:space="0" w:color="A6A6A6"/>
            </w:tcBorders>
            <w:noWrap/>
            <w:hideMark/>
          </w:tcPr>
          <w:p w14:paraId="2721CBD2" w14:textId="77777777" w:rsidR="005F4A7E" w:rsidRPr="002029AF" w:rsidRDefault="005F4A7E" w:rsidP="00130D1C">
            <w:pPr>
              <w:pStyle w:val="ARfintablebodyright"/>
            </w:pPr>
            <w:r w:rsidRPr="00BA3AE3">
              <w:t>0.1</w:t>
            </w:r>
          </w:p>
        </w:tc>
        <w:tc>
          <w:tcPr>
            <w:tcW w:w="656" w:type="dxa"/>
            <w:tcBorders>
              <w:top w:val="single" w:sz="4" w:space="0" w:color="A6A6A6"/>
              <w:bottom w:val="single" w:sz="4" w:space="0" w:color="A6A6A6"/>
            </w:tcBorders>
            <w:noWrap/>
            <w:hideMark/>
          </w:tcPr>
          <w:p w14:paraId="5694EC6A" w14:textId="77777777" w:rsidR="005F4A7E" w:rsidRPr="002029AF" w:rsidRDefault="005F4A7E" w:rsidP="00130D1C">
            <w:pPr>
              <w:pStyle w:val="ARfintablebodyright"/>
            </w:pPr>
            <w:r w:rsidRPr="00BA3AE3">
              <w:t>–</w:t>
            </w:r>
          </w:p>
        </w:tc>
        <w:tc>
          <w:tcPr>
            <w:tcW w:w="656" w:type="dxa"/>
            <w:tcBorders>
              <w:top w:val="single" w:sz="4" w:space="0" w:color="A6A6A6"/>
              <w:bottom w:val="single" w:sz="4" w:space="0" w:color="A6A6A6"/>
            </w:tcBorders>
            <w:noWrap/>
            <w:hideMark/>
          </w:tcPr>
          <w:p w14:paraId="2A3E7008" w14:textId="77777777" w:rsidR="005F4A7E" w:rsidRPr="002029AF" w:rsidRDefault="005F4A7E" w:rsidP="00130D1C">
            <w:pPr>
              <w:pStyle w:val="ARfintablebodyright"/>
            </w:pPr>
            <w:r w:rsidRPr="00BA3AE3">
              <w:t>–</w:t>
            </w:r>
          </w:p>
        </w:tc>
        <w:tc>
          <w:tcPr>
            <w:tcW w:w="655" w:type="dxa"/>
            <w:tcBorders>
              <w:top w:val="single" w:sz="4" w:space="0" w:color="A6A6A6"/>
              <w:bottom w:val="single" w:sz="4" w:space="0" w:color="A6A6A6"/>
            </w:tcBorders>
            <w:noWrap/>
            <w:hideMark/>
          </w:tcPr>
          <w:p w14:paraId="385CAE5C" w14:textId="77777777" w:rsidR="005F4A7E" w:rsidRPr="002029AF" w:rsidRDefault="005F4A7E" w:rsidP="00130D1C">
            <w:pPr>
              <w:pStyle w:val="ARfintablebodyright"/>
            </w:pPr>
            <w:r w:rsidRPr="00BA3AE3">
              <w:t>–</w:t>
            </w:r>
          </w:p>
        </w:tc>
        <w:tc>
          <w:tcPr>
            <w:tcW w:w="655" w:type="dxa"/>
            <w:tcBorders>
              <w:top w:val="single" w:sz="4" w:space="0" w:color="A6A6A6"/>
              <w:bottom w:val="single" w:sz="4" w:space="0" w:color="A6A6A6"/>
            </w:tcBorders>
            <w:noWrap/>
            <w:hideMark/>
          </w:tcPr>
          <w:p w14:paraId="5699D5E3" w14:textId="77777777" w:rsidR="005F4A7E" w:rsidRPr="002029AF" w:rsidRDefault="005F4A7E" w:rsidP="00130D1C">
            <w:pPr>
              <w:pStyle w:val="ARfintablebodyright"/>
            </w:pPr>
            <w:r w:rsidRPr="00BA3AE3">
              <w:t>–</w:t>
            </w:r>
          </w:p>
        </w:tc>
        <w:tc>
          <w:tcPr>
            <w:tcW w:w="654" w:type="dxa"/>
            <w:tcBorders>
              <w:top w:val="single" w:sz="4" w:space="0" w:color="A6A6A6"/>
              <w:bottom w:val="single" w:sz="4" w:space="0" w:color="A6A6A6"/>
            </w:tcBorders>
            <w:noWrap/>
            <w:hideMark/>
          </w:tcPr>
          <w:p w14:paraId="66AF56D4" w14:textId="77777777" w:rsidR="005F4A7E" w:rsidRPr="002029AF" w:rsidRDefault="005F4A7E" w:rsidP="00130D1C">
            <w:pPr>
              <w:pStyle w:val="ARfintablebodyright"/>
            </w:pPr>
            <w:r w:rsidRPr="00BA3AE3">
              <w:t>–</w:t>
            </w:r>
          </w:p>
        </w:tc>
        <w:tc>
          <w:tcPr>
            <w:tcW w:w="654" w:type="dxa"/>
            <w:tcBorders>
              <w:top w:val="single" w:sz="4" w:space="0" w:color="A6A6A6"/>
              <w:bottom w:val="single" w:sz="4" w:space="0" w:color="A6A6A6"/>
            </w:tcBorders>
            <w:noWrap/>
            <w:hideMark/>
          </w:tcPr>
          <w:p w14:paraId="6FA2FC66" w14:textId="77777777" w:rsidR="005F4A7E" w:rsidRPr="002029AF" w:rsidRDefault="005F4A7E" w:rsidP="00130D1C">
            <w:pPr>
              <w:pStyle w:val="ARfintablebodyright"/>
            </w:pPr>
            <w:r w:rsidRPr="00BA3AE3">
              <w:t>–</w:t>
            </w:r>
          </w:p>
        </w:tc>
        <w:tc>
          <w:tcPr>
            <w:tcW w:w="721" w:type="dxa"/>
            <w:tcBorders>
              <w:top w:val="single" w:sz="4" w:space="0" w:color="A6A6A6"/>
              <w:bottom w:val="single" w:sz="4" w:space="0" w:color="A6A6A6"/>
            </w:tcBorders>
            <w:noWrap/>
            <w:hideMark/>
          </w:tcPr>
          <w:p w14:paraId="5AB9B8C8" w14:textId="77777777" w:rsidR="005F4A7E" w:rsidRPr="002029AF" w:rsidRDefault="005F4A7E" w:rsidP="00130D1C">
            <w:pPr>
              <w:pStyle w:val="ARfintablebodyright"/>
            </w:pPr>
            <w:r w:rsidRPr="00BA3AE3">
              <w:t>–</w:t>
            </w:r>
          </w:p>
        </w:tc>
        <w:tc>
          <w:tcPr>
            <w:tcW w:w="882" w:type="dxa"/>
            <w:tcBorders>
              <w:top w:val="single" w:sz="4" w:space="0" w:color="A6A6A6"/>
              <w:bottom w:val="single" w:sz="4" w:space="0" w:color="A6A6A6"/>
            </w:tcBorders>
            <w:noWrap/>
            <w:hideMark/>
          </w:tcPr>
          <w:p w14:paraId="21F2C7DF" w14:textId="77777777" w:rsidR="005F4A7E" w:rsidRPr="002029AF" w:rsidRDefault="005F4A7E" w:rsidP="00130D1C">
            <w:pPr>
              <w:pStyle w:val="ARfintablebodyright"/>
            </w:pPr>
            <w:r w:rsidRPr="00BA3AE3">
              <w:t>–</w:t>
            </w:r>
          </w:p>
        </w:tc>
        <w:tc>
          <w:tcPr>
            <w:tcW w:w="654" w:type="dxa"/>
            <w:tcBorders>
              <w:top w:val="single" w:sz="4" w:space="0" w:color="A6A6A6"/>
              <w:bottom w:val="single" w:sz="4" w:space="0" w:color="A6A6A6"/>
            </w:tcBorders>
            <w:noWrap/>
            <w:hideMark/>
          </w:tcPr>
          <w:p w14:paraId="79EA691C" w14:textId="77777777" w:rsidR="005F4A7E" w:rsidRPr="002029AF" w:rsidRDefault="005F4A7E" w:rsidP="00130D1C">
            <w:pPr>
              <w:pStyle w:val="ARfintablebodyright"/>
            </w:pPr>
            <w:r w:rsidRPr="00BA3AE3">
              <w:t>–</w:t>
            </w:r>
          </w:p>
        </w:tc>
        <w:tc>
          <w:tcPr>
            <w:tcW w:w="654" w:type="dxa"/>
            <w:tcBorders>
              <w:top w:val="single" w:sz="4" w:space="0" w:color="A6A6A6"/>
              <w:bottom w:val="single" w:sz="4" w:space="0" w:color="A6A6A6"/>
            </w:tcBorders>
            <w:noWrap/>
            <w:hideMark/>
          </w:tcPr>
          <w:p w14:paraId="30CF52BB" w14:textId="77777777" w:rsidR="005F4A7E" w:rsidRPr="002029AF" w:rsidRDefault="005F4A7E" w:rsidP="00130D1C">
            <w:pPr>
              <w:pStyle w:val="ARfintablebodyright"/>
            </w:pPr>
            <w:r w:rsidRPr="00BA3AE3">
              <w:t>–</w:t>
            </w:r>
          </w:p>
        </w:tc>
        <w:tc>
          <w:tcPr>
            <w:tcW w:w="654" w:type="dxa"/>
            <w:tcBorders>
              <w:top w:val="single" w:sz="4" w:space="0" w:color="A6A6A6"/>
              <w:bottom w:val="single" w:sz="4" w:space="0" w:color="A6A6A6"/>
            </w:tcBorders>
            <w:noWrap/>
            <w:hideMark/>
          </w:tcPr>
          <w:p w14:paraId="1CA597A4" w14:textId="77777777" w:rsidR="005F4A7E" w:rsidRPr="002029AF" w:rsidRDefault="005F4A7E" w:rsidP="00130D1C">
            <w:pPr>
              <w:pStyle w:val="ARfintablebodyright"/>
            </w:pPr>
            <w:r w:rsidRPr="00BA3AE3">
              <w:t>–</w:t>
            </w:r>
          </w:p>
        </w:tc>
        <w:tc>
          <w:tcPr>
            <w:tcW w:w="654" w:type="dxa"/>
            <w:tcBorders>
              <w:top w:val="single" w:sz="4" w:space="0" w:color="A6A6A6"/>
              <w:bottom w:val="single" w:sz="4" w:space="0" w:color="A6A6A6"/>
            </w:tcBorders>
            <w:noWrap/>
            <w:hideMark/>
          </w:tcPr>
          <w:p w14:paraId="17B741E7" w14:textId="77777777" w:rsidR="005F4A7E" w:rsidRPr="002029AF" w:rsidRDefault="005F4A7E" w:rsidP="00130D1C">
            <w:pPr>
              <w:pStyle w:val="ARfintablebodyright"/>
            </w:pPr>
            <w:r w:rsidRPr="00BA3AE3">
              <w:t>–</w:t>
            </w:r>
          </w:p>
        </w:tc>
        <w:tc>
          <w:tcPr>
            <w:tcW w:w="654" w:type="dxa"/>
            <w:tcBorders>
              <w:top w:val="single" w:sz="4" w:space="0" w:color="A6A6A6"/>
              <w:bottom w:val="single" w:sz="4" w:space="0" w:color="A6A6A6"/>
            </w:tcBorders>
            <w:noWrap/>
            <w:hideMark/>
          </w:tcPr>
          <w:p w14:paraId="6C67EDCB" w14:textId="77777777" w:rsidR="005F4A7E" w:rsidRPr="002029AF" w:rsidRDefault="005F4A7E" w:rsidP="00130D1C">
            <w:pPr>
              <w:pStyle w:val="ARfintablebodyright"/>
            </w:pPr>
            <w:r w:rsidRPr="00BA3AE3">
              <w:t>–</w:t>
            </w:r>
          </w:p>
        </w:tc>
        <w:tc>
          <w:tcPr>
            <w:tcW w:w="654" w:type="dxa"/>
            <w:tcBorders>
              <w:top w:val="single" w:sz="4" w:space="0" w:color="A6A6A6"/>
              <w:bottom w:val="single" w:sz="4" w:space="0" w:color="A6A6A6"/>
            </w:tcBorders>
            <w:noWrap/>
            <w:hideMark/>
          </w:tcPr>
          <w:p w14:paraId="6A1A6B65" w14:textId="77777777" w:rsidR="005F4A7E" w:rsidRPr="002029AF" w:rsidRDefault="005F4A7E" w:rsidP="00130D1C">
            <w:pPr>
              <w:pStyle w:val="ARfintablebodyright"/>
            </w:pPr>
            <w:r w:rsidRPr="00BA3AE3">
              <w:t>–</w:t>
            </w:r>
          </w:p>
        </w:tc>
        <w:tc>
          <w:tcPr>
            <w:tcW w:w="833" w:type="dxa"/>
            <w:tcBorders>
              <w:top w:val="single" w:sz="4" w:space="0" w:color="A6A6A6"/>
              <w:bottom w:val="single" w:sz="4" w:space="0" w:color="A6A6A6"/>
            </w:tcBorders>
            <w:noWrap/>
            <w:hideMark/>
          </w:tcPr>
          <w:p w14:paraId="1296FC34" w14:textId="77777777" w:rsidR="005F4A7E" w:rsidRPr="002029AF" w:rsidRDefault="005F4A7E" w:rsidP="00130D1C">
            <w:pPr>
              <w:pStyle w:val="ARfintablebodyright"/>
            </w:pPr>
            <w:r w:rsidRPr="00BA3AE3">
              <w:t>0.1</w:t>
            </w:r>
          </w:p>
        </w:tc>
      </w:tr>
      <w:tr w:rsidR="005F4A7E" w:rsidRPr="002029AF" w14:paraId="40E62B5B" w14:textId="77777777" w:rsidTr="00130D1C">
        <w:tc>
          <w:tcPr>
            <w:tcW w:w="3334" w:type="dxa"/>
            <w:tcBorders>
              <w:top w:val="single" w:sz="4" w:space="0" w:color="A6A6A6"/>
              <w:bottom w:val="single" w:sz="4" w:space="0" w:color="A6A6A6"/>
            </w:tcBorders>
            <w:hideMark/>
          </w:tcPr>
          <w:p w14:paraId="10BEAAFD" w14:textId="77777777" w:rsidR="005F4A7E" w:rsidRPr="002029AF" w:rsidRDefault="005F4A7E" w:rsidP="00130D1C">
            <w:pPr>
              <w:pStyle w:val="ARfintablebody"/>
            </w:pPr>
            <w:r w:rsidRPr="00BA3AE3">
              <w:t>Payments into the consolidated fund</w:t>
            </w:r>
          </w:p>
        </w:tc>
        <w:tc>
          <w:tcPr>
            <w:tcW w:w="835" w:type="dxa"/>
            <w:tcBorders>
              <w:top w:val="single" w:sz="4" w:space="0" w:color="A6A6A6"/>
              <w:bottom w:val="single" w:sz="4" w:space="0" w:color="A6A6A6"/>
            </w:tcBorders>
            <w:noWrap/>
            <w:hideMark/>
          </w:tcPr>
          <w:p w14:paraId="7DB25DA9" w14:textId="77777777" w:rsidR="005F4A7E" w:rsidRPr="002029AF" w:rsidRDefault="005F4A7E" w:rsidP="00130D1C">
            <w:pPr>
              <w:pStyle w:val="ARfintablebodyright"/>
            </w:pPr>
            <w:r w:rsidRPr="00BA3AE3">
              <w:t>409.9</w:t>
            </w:r>
          </w:p>
        </w:tc>
        <w:tc>
          <w:tcPr>
            <w:tcW w:w="656" w:type="dxa"/>
            <w:tcBorders>
              <w:top w:val="single" w:sz="4" w:space="0" w:color="A6A6A6"/>
              <w:bottom w:val="single" w:sz="4" w:space="0" w:color="A6A6A6"/>
            </w:tcBorders>
            <w:noWrap/>
            <w:hideMark/>
          </w:tcPr>
          <w:p w14:paraId="3EC00D9D" w14:textId="77777777" w:rsidR="005F4A7E" w:rsidRPr="002029AF" w:rsidRDefault="005F4A7E" w:rsidP="00130D1C">
            <w:pPr>
              <w:pStyle w:val="ARfintablebodyright"/>
            </w:pPr>
            <w:r w:rsidRPr="00BA3AE3">
              <w:t>9.4</w:t>
            </w:r>
          </w:p>
        </w:tc>
        <w:tc>
          <w:tcPr>
            <w:tcW w:w="656" w:type="dxa"/>
            <w:tcBorders>
              <w:top w:val="single" w:sz="4" w:space="0" w:color="A6A6A6"/>
              <w:bottom w:val="single" w:sz="4" w:space="0" w:color="A6A6A6"/>
            </w:tcBorders>
            <w:noWrap/>
            <w:hideMark/>
          </w:tcPr>
          <w:p w14:paraId="68D70531" w14:textId="77777777" w:rsidR="005F4A7E" w:rsidRPr="002029AF" w:rsidRDefault="005F4A7E" w:rsidP="00130D1C">
            <w:pPr>
              <w:pStyle w:val="ARfintablebodyright"/>
            </w:pPr>
            <w:r w:rsidRPr="00BA3AE3">
              <w:t>9.1</w:t>
            </w:r>
          </w:p>
        </w:tc>
        <w:tc>
          <w:tcPr>
            <w:tcW w:w="655" w:type="dxa"/>
            <w:tcBorders>
              <w:top w:val="single" w:sz="4" w:space="0" w:color="A6A6A6"/>
              <w:bottom w:val="single" w:sz="4" w:space="0" w:color="A6A6A6"/>
            </w:tcBorders>
            <w:noWrap/>
            <w:hideMark/>
          </w:tcPr>
          <w:p w14:paraId="1BEF1BBE" w14:textId="77777777" w:rsidR="005F4A7E" w:rsidRPr="002029AF" w:rsidRDefault="005F4A7E" w:rsidP="00130D1C">
            <w:pPr>
              <w:pStyle w:val="ARfintablebodyright"/>
            </w:pPr>
            <w:r w:rsidRPr="00BA3AE3">
              <w:t>30.6</w:t>
            </w:r>
          </w:p>
        </w:tc>
        <w:tc>
          <w:tcPr>
            <w:tcW w:w="655" w:type="dxa"/>
            <w:tcBorders>
              <w:top w:val="single" w:sz="4" w:space="0" w:color="A6A6A6"/>
              <w:bottom w:val="single" w:sz="4" w:space="0" w:color="A6A6A6"/>
            </w:tcBorders>
            <w:noWrap/>
            <w:hideMark/>
          </w:tcPr>
          <w:p w14:paraId="3F0813ED" w14:textId="77777777" w:rsidR="005F4A7E" w:rsidRPr="002029AF" w:rsidRDefault="005F4A7E" w:rsidP="00130D1C">
            <w:pPr>
              <w:pStyle w:val="ARfintablebodyright"/>
            </w:pPr>
            <w:r w:rsidRPr="00BA3AE3">
              <w:t>2.8</w:t>
            </w:r>
          </w:p>
        </w:tc>
        <w:tc>
          <w:tcPr>
            <w:tcW w:w="654" w:type="dxa"/>
            <w:tcBorders>
              <w:top w:val="single" w:sz="4" w:space="0" w:color="A6A6A6"/>
              <w:bottom w:val="single" w:sz="4" w:space="0" w:color="A6A6A6"/>
            </w:tcBorders>
            <w:noWrap/>
            <w:hideMark/>
          </w:tcPr>
          <w:p w14:paraId="33F14503" w14:textId="77777777" w:rsidR="005F4A7E" w:rsidRPr="002029AF" w:rsidRDefault="005F4A7E" w:rsidP="00130D1C">
            <w:pPr>
              <w:pStyle w:val="ARfintablebodyright"/>
            </w:pPr>
            <w:r w:rsidRPr="00BA3AE3">
              <w:t>2.2</w:t>
            </w:r>
          </w:p>
        </w:tc>
        <w:tc>
          <w:tcPr>
            <w:tcW w:w="654" w:type="dxa"/>
            <w:tcBorders>
              <w:top w:val="single" w:sz="4" w:space="0" w:color="A6A6A6"/>
              <w:bottom w:val="single" w:sz="4" w:space="0" w:color="A6A6A6"/>
            </w:tcBorders>
            <w:noWrap/>
            <w:hideMark/>
          </w:tcPr>
          <w:p w14:paraId="49F15CBB" w14:textId="77777777" w:rsidR="005F4A7E" w:rsidRPr="002029AF" w:rsidRDefault="005F4A7E" w:rsidP="00130D1C">
            <w:pPr>
              <w:pStyle w:val="ARfintablebodyright"/>
            </w:pPr>
            <w:r w:rsidRPr="00BA3AE3">
              <w:t>2.7</w:t>
            </w:r>
          </w:p>
        </w:tc>
        <w:tc>
          <w:tcPr>
            <w:tcW w:w="721" w:type="dxa"/>
            <w:tcBorders>
              <w:top w:val="single" w:sz="4" w:space="0" w:color="A6A6A6"/>
              <w:bottom w:val="single" w:sz="4" w:space="0" w:color="A6A6A6"/>
            </w:tcBorders>
            <w:noWrap/>
            <w:hideMark/>
          </w:tcPr>
          <w:p w14:paraId="4B7F4734" w14:textId="77777777" w:rsidR="005F4A7E" w:rsidRPr="002029AF" w:rsidRDefault="005F4A7E" w:rsidP="00130D1C">
            <w:pPr>
              <w:pStyle w:val="ARfintablebodyright"/>
            </w:pPr>
            <w:r w:rsidRPr="00BA3AE3">
              <w:t>0.8</w:t>
            </w:r>
          </w:p>
        </w:tc>
        <w:tc>
          <w:tcPr>
            <w:tcW w:w="882" w:type="dxa"/>
            <w:tcBorders>
              <w:top w:val="single" w:sz="4" w:space="0" w:color="A6A6A6"/>
              <w:bottom w:val="single" w:sz="4" w:space="0" w:color="A6A6A6"/>
            </w:tcBorders>
            <w:noWrap/>
            <w:hideMark/>
          </w:tcPr>
          <w:p w14:paraId="6CDB647D" w14:textId="77777777" w:rsidR="005F4A7E" w:rsidRPr="002029AF" w:rsidRDefault="005F4A7E" w:rsidP="00130D1C">
            <w:pPr>
              <w:pStyle w:val="ARfintablebodyright"/>
            </w:pPr>
            <w:r w:rsidRPr="00BA3AE3">
              <w:t>51.3</w:t>
            </w:r>
          </w:p>
        </w:tc>
        <w:tc>
          <w:tcPr>
            <w:tcW w:w="654" w:type="dxa"/>
            <w:tcBorders>
              <w:top w:val="single" w:sz="4" w:space="0" w:color="A6A6A6"/>
              <w:bottom w:val="single" w:sz="4" w:space="0" w:color="A6A6A6"/>
            </w:tcBorders>
            <w:noWrap/>
            <w:hideMark/>
          </w:tcPr>
          <w:p w14:paraId="37AAFE01" w14:textId="77777777" w:rsidR="005F4A7E" w:rsidRPr="002029AF" w:rsidRDefault="005F4A7E" w:rsidP="00130D1C">
            <w:pPr>
              <w:pStyle w:val="ARfintablebodyright"/>
            </w:pPr>
            <w:r w:rsidRPr="00BA3AE3">
              <w:t>15.7</w:t>
            </w:r>
          </w:p>
        </w:tc>
        <w:tc>
          <w:tcPr>
            <w:tcW w:w="654" w:type="dxa"/>
            <w:tcBorders>
              <w:top w:val="single" w:sz="4" w:space="0" w:color="A6A6A6"/>
              <w:bottom w:val="single" w:sz="4" w:space="0" w:color="A6A6A6"/>
            </w:tcBorders>
            <w:noWrap/>
            <w:hideMark/>
          </w:tcPr>
          <w:p w14:paraId="35DF4A19" w14:textId="77777777" w:rsidR="005F4A7E" w:rsidRPr="002029AF" w:rsidRDefault="005F4A7E" w:rsidP="00130D1C">
            <w:pPr>
              <w:pStyle w:val="ARfintablebodyright"/>
            </w:pPr>
            <w:r w:rsidRPr="00BA3AE3">
              <w:t>–</w:t>
            </w:r>
          </w:p>
        </w:tc>
        <w:tc>
          <w:tcPr>
            <w:tcW w:w="654" w:type="dxa"/>
            <w:tcBorders>
              <w:top w:val="single" w:sz="4" w:space="0" w:color="A6A6A6"/>
              <w:bottom w:val="single" w:sz="4" w:space="0" w:color="A6A6A6"/>
            </w:tcBorders>
            <w:noWrap/>
            <w:hideMark/>
          </w:tcPr>
          <w:p w14:paraId="522A83D6" w14:textId="77777777" w:rsidR="005F4A7E" w:rsidRPr="002029AF" w:rsidRDefault="005F4A7E" w:rsidP="00130D1C">
            <w:pPr>
              <w:pStyle w:val="ARfintablebodyright"/>
            </w:pPr>
            <w:r w:rsidRPr="00BA3AE3">
              <w:t>0.1</w:t>
            </w:r>
          </w:p>
        </w:tc>
        <w:tc>
          <w:tcPr>
            <w:tcW w:w="654" w:type="dxa"/>
            <w:tcBorders>
              <w:top w:val="single" w:sz="4" w:space="0" w:color="A6A6A6"/>
              <w:bottom w:val="single" w:sz="4" w:space="0" w:color="A6A6A6"/>
            </w:tcBorders>
            <w:noWrap/>
            <w:hideMark/>
          </w:tcPr>
          <w:p w14:paraId="44109204" w14:textId="77777777" w:rsidR="005F4A7E" w:rsidRPr="002029AF" w:rsidRDefault="005F4A7E" w:rsidP="00130D1C">
            <w:pPr>
              <w:pStyle w:val="ARfintablebodyright"/>
            </w:pPr>
            <w:r w:rsidRPr="00BA3AE3">
              <w:t>5.1</w:t>
            </w:r>
          </w:p>
        </w:tc>
        <w:tc>
          <w:tcPr>
            <w:tcW w:w="654" w:type="dxa"/>
            <w:tcBorders>
              <w:top w:val="single" w:sz="4" w:space="0" w:color="A6A6A6"/>
              <w:bottom w:val="single" w:sz="4" w:space="0" w:color="A6A6A6"/>
            </w:tcBorders>
            <w:noWrap/>
            <w:hideMark/>
          </w:tcPr>
          <w:p w14:paraId="4ABE8529" w14:textId="77777777" w:rsidR="005F4A7E" w:rsidRPr="002029AF" w:rsidRDefault="005F4A7E" w:rsidP="00130D1C">
            <w:pPr>
              <w:pStyle w:val="ARfintablebodyright"/>
            </w:pPr>
            <w:r w:rsidRPr="00BA3AE3">
              <w:t>–</w:t>
            </w:r>
          </w:p>
        </w:tc>
        <w:tc>
          <w:tcPr>
            <w:tcW w:w="654" w:type="dxa"/>
            <w:tcBorders>
              <w:top w:val="single" w:sz="4" w:space="0" w:color="A6A6A6"/>
              <w:bottom w:val="single" w:sz="4" w:space="0" w:color="A6A6A6"/>
            </w:tcBorders>
            <w:noWrap/>
            <w:hideMark/>
          </w:tcPr>
          <w:p w14:paraId="0A074A58" w14:textId="77777777" w:rsidR="005F4A7E" w:rsidRPr="002029AF" w:rsidRDefault="005F4A7E" w:rsidP="00130D1C">
            <w:pPr>
              <w:pStyle w:val="ARfintablebodyright"/>
            </w:pPr>
            <w:r w:rsidRPr="00BA3AE3">
              <w:t>–</w:t>
            </w:r>
          </w:p>
        </w:tc>
        <w:tc>
          <w:tcPr>
            <w:tcW w:w="833" w:type="dxa"/>
            <w:tcBorders>
              <w:top w:val="single" w:sz="4" w:space="0" w:color="A6A6A6"/>
              <w:bottom w:val="single" w:sz="4" w:space="0" w:color="A6A6A6"/>
            </w:tcBorders>
            <w:noWrap/>
            <w:hideMark/>
          </w:tcPr>
          <w:p w14:paraId="54BBBA47" w14:textId="77777777" w:rsidR="005F4A7E" w:rsidRPr="002029AF" w:rsidRDefault="005F4A7E" w:rsidP="00130D1C">
            <w:pPr>
              <w:pStyle w:val="ARfintablebodyright"/>
            </w:pPr>
            <w:r w:rsidRPr="00BA3AE3">
              <w:t>539.7</w:t>
            </w:r>
          </w:p>
        </w:tc>
      </w:tr>
      <w:tr w:rsidR="005F4A7E" w:rsidRPr="002029AF" w14:paraId="36D39F73" w14:textId="77777777" w:rsidTr="00130D1C">
        <w:tc>
          <w:tcPr>
            <w:tcW w:w="3334" w:type="dxa"/>
            <w:tcBorders>
              <w:top w:val="single" w:sz="4" w:space="0" w:color="A6A6A6"/>
              <w:bottom w:val="single" w:sz="4" w:space="0" w:color="A6A6A6"/>
            </w:tcBorders>
            <w:hideMark/>
          </w:tcPr>
          <w:p w14:paraId="591A1BAC" w14:textId="77777777" w:rsidR="005F4A7E" w:rsidRPr="002029AF" w:rsidRDefault="005F4A7E" w:rsidP="00130D1C">
            <w:pPr>
              <w:pStyle w:val="ARfintablebody"/>
            </w:pPr>
            <w:r w:rsidRPr="00BA3AE3">
              <w:t>Payment from the national health funding pool to the departmental controlled entity</w:t>
            </w:r>
          </w:p>
        </w:tc>
        <w:tc>
          <w:tcPr>
            <w:tcW w:w="835" w:type="dxa"/>
            <w:tcBorders>
              <w:top w:val="single" w:sz="4" w:space="0" w:color="A6A6A6"/>
              <w:bottom w:val="single" w:sz="4" w:space="0" w:color="A6A6A6"/>
            </w:tcBorders>
            <w:noWrap/>
            <w:hideMark/>
          </w:tcPr>
          <w:p w14:paraId="59A4789D" w14:textId="77777777" w:rsidR="005F4A7E" w:rsidRPr="002029AF" w:rsidRDefault="005F4A7E" w:rsidP="00130D1C">
            <w:pPr>
              <w:pStyle w:val="ARfintablebodyright"/>
            </w:pPr>
            <w:r w:rsidRPr="00BA3AE3">
              <w:t>1,486.1</w:t>
            </w:r>
          </w:p>
        </w:tc>
        <w:tc>
          <w:tcPr>
            <w:tcW w:w="656" w:type="dxa"/>
            <w:tcBorders>
              <w:top w:val="single" w:sz="4" w:space="0" w:color="A6A6A6"/>
              <w:bottom w:val="single" w:sz="4" w:space="0" w:color="A6A6A6"/>
            </w:tcBorders>
            <w:noWrap/>
            <w:hideMark/>
          </w:tcPr>
          <w:p w14:paraId="15B404CA" w14:textId="77777777" w:rsidR="005F4A7E" w:rsidRPr="002029AF" w:rsidRDefault="005F4A7E" w:rsidP="00130D1C">
            <w:pPr>
              <w:pStyle w:val="ARfintablebodyright"/>
            </w:pPr>
            <w:r w:rsidRPr="00BA3AE3">
              <w:t>–</w:t>
            </w:r>
          </w:p>
        </w:tc>
        <w:tc>
          <w:tcPr>
            <w:tcW w:w="656" w:type="dxa"/>
            <w:tcBorders>
              <w:top w:val="single" w:sz="4" w:space="0" w:color="A6A6A6"/>
              <w:bottom w:val="single" w:sz="4" w:space="0" w:color="A6A6A6"/>
            </w:tcBorders>
            <w:noWrap/>
            <w:hideMark/>
          </w:tcPr>
          <w:p w14:paraId="3628867C" w14:textId="77777777" w:rsidR="005F4A7E" w:rsidRPr="002029AF" w:rsidRDefault="005F4A7E" w:rsidP="00130D1C">
            <w:pPr>
              <w:pStyle w:val="ARfintablebodyright"/>
            </w:pPr>
            <w:r w:rsidRPr="00BA3AE3">
              <w:t>418.7</w:t>
            </w:r>
          </w:p>
        </w:tc>
        <w:tc>
          <w:tcPr>
            <w:tcW w:w="655" w:type="dxa"/>
            <w:tcBorders>
              <w:top w:val="single" w:sz="4" w:space="0" w:color="A6A6A6"/>
              <w:bottom w:val="single" w:sz="4" w:space="0" w:color="A6A6A6"/>
            </w:tcBorders>
            <w:noWrap/>
            <w:hideMark/>
          </w:tcPr>
          <w:p w14:paraId="4BBC195D" w14:textId="77777777" w:rsidR="005F4A7E" w:rsidRPr="002029AF" w:rsidRDefault="005F4A7E" w:rsidP="00130D1C">
            <w:pPr>
              <w:pStyle w:val="ARfintablebodyright"/>
            </w:pPr>
            <w:r w:rsidRPr="00BA3AE3">
              <w:t>–</w:t>
            </w:r>
          </w:p>
        </w:tc>
        <w:tc>
          <w:tcPr>
            <w:tcW w:w="655" w:type="dxa"/>
            <w:tcBorders>
              <w:top w:val="single" w:sz="4" w:space="0" w:color="A6A6A6"/>
              <w:bottom w:val="single" w:sz="4" w:space="0" w:color="A6A6A6"/>
            </w:tcBorders>
            <w:noWrap/>
            <w:hideMark/>
          </w:tcPr>
          <w:p w14:paraId="0A25E838" w14:textId="77777777" w:rsidR="005F4A7E" w:rsidRPr="002029AF" w:rsidRDefault="005F4A7E" w:rsidP="00130D1C">
            <w:pPr>
              <w:pStyle w:val="ARfintablebodyright"/>
            </w:pPr>
            <w:r w:rsidRPr="00BA3AE3">
              <w:t>0.3</w:t>
            </w:r>
          </w:p>
        </w:tc>
        <w:tc>
          <w:tcPr>
            <w:tcW w:w="654" w:type="dxa"/>
            <w:tcBorders>
              <w:top w:val="single" w:sz="4" w:space="0" w:color="A6A6A6"/>
              <w:bottom w:val="single" w:sz="4" w:space="0" w:color="A6A6A6"/>
            </w:tcBorders>
            <w:noWrap/>
            <w:hideMark/>
          </w:tcPr>
          <w:p w14:paraId="6B4A613E" w14:textId="77777777" w:rsidR="005F4A7E" w:rsidRPr="002029AF" w:rsidRDefault="005F4A7E" w:rsidP="00130D1C">
            <w:pPr>
              <w:pStyle w:val="ARfintablebodyright"/>
            </w:pPr>
            <w:r w:rsidRPr="00BA3AE3">
              <w:t>131.4</w:t>
            </w:r>
          </w:p>
        </w:tc>
        <w:tc>
          <w:tcPr>
            <w:tcW w:w="654" w:type="dxa"/>
            <w:tcBorders>
              <w:top w:val="single" w:sz="4" w:space="0" w:color="A6A6A6"/>
              <w:bottom w:val="single" w:sz="4" w:space="0" w:color="A6A6A6"/>
            </w:tcBorders>
            <w:noWrap/>
            <w:hideMark/>
          </w:tcPr>
          <w:p w14:paraId="1F816A82" w14:textId="77777777" w:rsidR="005F4A7E" w:rsidRPr="002029AF" w:rsidRDefault="005F4A7E" w:rsidP="00130D1C">
            <w:pPr>
              <w:pStyle w:val="ARfintablebodyright"/>
            </w:pPr>
            <w:r w:rsidRPr="00BA3AE3">
              <w:t>120.7</w:t>
            </w:r>
          </w:p>
        </w:tc>
        <w:tc>
          <w:tcPr>
            <w:tcW w:w="721" w:type="dxa"/>
            <w:tcBorders>
              <w:top w:val="single" w:sz="4" w:space="0" w:color="A6A6A6"/>
              <w:bottom w:val="single" w:sz="4" w:space="0" w:color="A6A6A6"/>
            </w:tcBorders>
            <w:noWrap/>
            <w:hideMark/>
          </w:tcPr>
          <w:p w14:paraId="42DFAEC1" w14:textId="77777777" w:rsidR="005F4A7E" w:rsidRPr="002029AF" w:rsidRDefault="005F4A7E" w:rsidP="00130D1C">
            <w:pPr>
              <w:pStyle w:val="ARfintablebodyright"/>
            </w:pPr>
            <w:r w:rsidRPr="00BA3AE3">
              <w:t>13.5</w:t>
            </w:r>
          </w:p>
        </w:tc>
        <w:tc>
          <w:tcPr>
            <w:tcW w:w="882" w:type="dxa"/>
            <w:tcBorders>
              <w:top w:val="single" w:sz="4" w:space="0" w:color="A6A6A6"/>
              <w:bottom w:val="single" w:sz="4" w:space="0" w:color="A6A6A6"/>
            </w:tcBorders>
            <w:noWrap/>
            <w:hideMark/>
          </w:tcPr>
          <w:p w14:paraId="1A3FFE6D" w14:textId="77777777" w:rsidR="005F4A7E" w:rsidRPr="002029AF" w:rsidRDefault="005F4A7E" w:rsidP="00130D1C">
            <w:pPr>
              <w:pStyle w:val="ARfintablebodyright"/>
            </w:pPr>
            <w:r w:rsidRPr="00BA3AE3">
              <w:t>–</w:t>
            </w:r>
          </w:p>
        </w:tc>
        <w:tc>
          <w:tcPr>
            <w:tcW w:w="654" w:type="dxa"/>
            <w:tcBorders>
              <w:top w:val="single" w:sz="4" w:space="0" w:color="A6A6A6"/>
              <w:bottom w:val="single" w:sz="4" w:space="0" w:color="A6A6A6"/>
            </w:tcBorders>
            <w:noWrap/>
            <w:hideMark/>
          </w:tcPr>
          <w:p w14:paraId="24106D0C" w14:textId="77777777" w:rsidR="005F4A7E" w:rsidRPr="002029AF" w:rsidRDefault="005F4A7E" w:rsidP="00130D1C">
            <w:pPr>
              <w:pStyle w:val="ARfintablebodyright"/>
            </w:pPr>
            <w:r w:rsidRPr="00BA3AE3">
              <w:t>–</w:t>
            </w:r>
          </w:p>
        </w:tc>
        <w:tc>
          <w:tcPr>
            <w:tcW w:w="654" w:type="dxa"/>
            <w:tcBorders>
              <w:top w:val="single" w:sz="4" w:space="0" w:color="A6A6A6"/>
              <w:bottom w:val="single" w:sz="4" w:space="0" w:color="A6A6A6"/>
            </w:tcBorders>
            <w:noWrap/>
            <w:hideMark/>
          </w:tcPr>
          <w:p w14:paraId="253429D9" w14:textId="77777777" w:rsidR="005F4A7E" w:rsidRPr="002029AF" w:rsidRDefault="005F4A7E" w:rsidP="00130D1C">
            <w:pPr>
              <w:pStyle w:val="ARfintablebodyright"/>
            </w:pPr>
            <w:r w:rsidRPr="00BA3AE3">
              <w:t>–</w:t>
            </w:r>
          </w:p>
        </w:tc>
        <w:tc>
          <w:tcPr>
            <w:tcW w:w="654" w:type="dxa"/>
            <w:tcBorders>
              <w:top w:val="single" w:sz="4" w:space="0" w:color="A6A6A6"/>
              <w:bottom w:val="single" w:sz="4" w:space="0" w:color="A6A6A6"/>
            </w:tcBorders>
            <w:noWrap/>
            <w:hideMark/>
          </w:tcPr>
          <w:p w14:paraId="5D361E0E" w14:textId="77777777" w:rsidR="005F4A7E" w:rsidRPr="002029AF" w:rsidRDefault="005F4A7E" w:rsidP="00130D1C">
            <w:pPr>
              <w:pStyle w:val="ARfintablebodyright"/>
            </w:pPr>
            <w:r w:rsidRPr="00BA3AE3">
              <w:t>–</w:t>
            </w:r>
          </w:p>
        </w:tc>
        <w:tc>
          <w:tcPr>
            <w:tcW w:w="654" w:type="dxa"/>
            <w:tcBorders>
              <w:top w:val="single" w:sz="4" w:space="0" w:color="A6A6A6"/>
              <w:bottom w:val="single" w:sz="4" w:space="0" w:color="A6A6A6"/>
            </w:tcBorders>
            <w:noWrap/>
            <w:hideMark/>
          </w:tcPr>
          <w:p w14:paraId="002BF015" w14:textId="77777777" w:rsidR="005F4A7E" w:rsidRPr="002029AF" w:rsidRDefault="005F4A7E" w:rsidP="00130D1C">
            <w:pPr>
              <w:pStyle w:val="ARfintablebodyright"/>
            </w:pPr>
            <w:r w:rsidRPr="00BA3AE3">
              <w:t>–</w:t>
            </w:r>
          </w:p>
        </w:tc>
        <w:tc>
          <w:tcPr>
            <w:tcW w:w="654" w:type="dxa"/>
            <w:tcBorders>
              <w:top w:val="single" w:sz="4" w:space="0" w:color="A6A6A6"/>
              <w:bottom w:val="single" w:sz="4" w:space="0" w:color="A6A6A6"/>
            </w:tcBorders>
            <w:noWrap/>
            <w:hideMark/>
          </w:tcPr>
          <w:p w14:paraId="30A605CF" w14:textId="77777777" w:rsidR="005F4A7E" w:rsidRPr="002029AF" w:rsidRDefault="005F4A7E" w:rsidP="00130D1C">
            <w:pPr>
              <w:pStyle w:val="ARfintablebodyright"/>
            </w:pPr>
            <w:r w:rsidRPr="00BA3AE3">
              <w:t>–</w:t>
            </w:r>
          </w:p>
        </w:tc>
        <w:tc>
          <w:tcPr>
            <w:tcW w:w="654" w:type="dxa"/>
            <w:tcBorders>
              <w:top w:val="single" w:sz="4" w:space="0" w:color="A6A6A6"/>
              <w:bottom w:val="single" w:sz="4" w:space="0" w:color="A6A6A6"/>
            </w:tcBorders>
            <w:noWrap/>
            <w:hideMark/>
          </w:tcPr>
          <w:p w14:paraId="6C39A82B" w14:textId="77777777" w:rsidR="005F4A7E" w:rsidRPr="002029AF" w:rsidRDefault="005F4A7E" w:rsidP="00130D1C">
            <w:pPr>
              <w:pStyle w:val="ARfintablebodyright"/>
            </w:pPr>
            <w:r w:rsidRPr="00BA3AE3">
              <w:t>–</w:t>
            </w:r>
          </w:p>
        </w:tc>
        <w:tc>
          <w:tcPr>
            <w:tcW w:w="833" w:type="dxa"/>
            <w:tcBorders>
              <w:top w:val="single" w:sz="4" w:space="0" w:color="A6A6A6"/>
              <w:bottom w:val="single" w:sz="4" w:space="0" w:color="A6A6A6"/>
            </w:tcBorders>
            <w:noWrap/>
            <w:hideMark/>
          </w:tcPr>
          <w:p w14:paraId="7AF57D44" w14:textId="77777777" w:rsidR="005F4A7E" w:rsidRPr="002029AF" w:rsidRDefault="005F4A7E" w:rsidP="00130D1C">
            <w:pPr>
              <w:pStyle w:val="ARfintablebodyright"/>
            </w:pPr>
            <w:r w:rsidRPr="00BA3AE3">
              <w:t>2,170.7</w:t>
            </w:r>
          </w:p>
        </w:tc>
      </w:tr>
      <w:tr w:rsidR="005F4A7E" w:rsidRPr="002029AF" w14:paraId="764ABB6A" w14:textId="77777777" w:rsidTr="00130D1C">
        <w:tc>
          <w:tcPr>
            <w:tcW w:w="3334" w:type="dxa"/>
            <w:tcBorders>
              <w:top w:val="single" w:sz="4" w:space="0" w:color="A6A6A6"/>
            </w:tcBorders>
            <w:hideMark/>
          </w:tcPr>
          <w:p w14:paraId="6F98E175" w14:textId="77777777" w:rsidR="005F4A7E" w:rsidRPr="002029AF" w:rsidRDefault="005F4A7E" w:rsidP="00130D1C">
            <w:pPr>
              <w:pStyle w:val="ARfintablebody"/>
            </w:pPr>
            <w:r w:rsidRPr="00BA3AE3">
              <w:t>Fair value of assets and services provided free of charge or for nominal consideration</w:t>
            </w:r>
          </w:p>
        </w:tc>
        <w:tc>
          <w:tcPr>
            <w:tcW w:w="835" w:type="dxa"/>
            <w:tcBorders>
              <w:top w:val="single" w:sz="4" w:space="0" w:color="A6A6A6"/>
            </w:tcBorders>
            <w:noWrap/>
            <w:hideMark/>
          </w:tcPr>
          <w:p w14:paraId="570E27CF" w14:textId="77777777" w:rsidR="005F4A7E" w:rsidRPr="002029AF" w:rsidRDefault="005F4A7E" w:rsidP="00130D1C">
            <w:pPr>
              <w:pStyle w:val="ARfintablebodyright"/>
            </w:pPr>
            <w:r w:rsidRPr="00BA3AE3">
              <w:t>–</w:t>
            </w:r>
          </w:p>
        </w:tc>
        <w:tc>
          <w:tcPr>
            <w:tcW w:w="656" w:type="dxa"/>
            <w:tcBorders>
              <w:top w:val="single" w:sz="4" w:space="0" w:color="A6A6A6"/>
            </w:tcBorders>
            <w:noWrap/>
            <w:hideMark/>
          </w:tcPr>
          <w:p w14:paraId="551A1607" w14:textId="77777777" w:rsidR="005F4A7E" w:rsidRPr="002029AF" w:rsidRDefault="005F4A7E" w:rsidP="00130D1C">
            <w:pPr>
              <w:pStyle w:val="ARfintablebodyright"/>
            </w:pPr>
            <w:r w:rsidRPr="00BA3AE3">
              <w:t>–</w:t>
            </w:r>
          </w:p>
        </w:tc>
        <w:tc>
          <w:tcPr>
            <w:tcW w:w="656" w:type="dxa"/>
            <w:tcBorders>
              <w:top w:val="single" w:sz="4" w:space="0" w:color="A6A6A6"/>
            </w:tcBorders>
            <w:noWrap/>
            <w:hideMark/>
          </w:tcPr>
          <w:p w14:paraId="64CBDE9C" w14:textId="77777777" w:rsidR="005F4A7E" w:rsidRPr="002029AF" w:rsidRDefault="005F4A7E" w:rsidP="00130D1C">
            <w:pPr>
              <w:pStyle w:val="ARfintablebodyright"/>
            </w:pPr>
            <w:r w:rsidRPr="00BA3AE3">
              <w:t>–</w:t>
            </w:r>
          </w:p>
        </w:tc>
        <w:tc>
          <w:tcPr>
            <w:tcW w:w="655" w:type="dxa"/>
            <w:tcBorders>
              <w:top w:val="single" w:sz="4" w:space="0" w:color="A6A6A6"/>
            </w:tcBorders>
            <w:noWrap/>
            <w:hideMark/>
          </w:tcPr>
          <w:p w14:paraId="7C27FF3A" w14:textId="77777777" w:rsidR="005F4A7E" w:rsidRPr="002029AF" w:rsidRDefault="005F4A7E" w:rsidP="00130D1C">
            <w:pPr>
              <w:pStyle w:val="ARfintablebodyright"/>
            </w:pPr>
            <w:r w:rsidRPr="00BA3AE3">
              <w:t>–</w:t>
            </w:r>
          </w:p>
        </w:tc>
        <w:tc>
          <w:tcPr>
            <w:tcW w:w="655" w:type="dxa"/>
            <w:tcBorders>
              <w:top w:val="single" w:sz="4" w:space="0" w:color="A6A6A6"/>
            </w:tcBorders>
            <w:noWrap/>
            <w:hideMark/>
          </w:tcPr>
          <w:p w14:paraId="25775E3D" w14:textId="77777777" w:rsidR="005F4A7E" w:rsidRPr="002029AF" w:rsidRDefault="005F4A7E" w:rsidP="00130D1C">
            <w:pPr>
              <w:pStyle w:val="ARfintablebodyright"/>
            </w:pPr>
            <w:r w:rsidRPr="00BA3AE3">
              <w:t>–</w:t>
            </w:r>
          </w:p>
        </w:tc>
        <w:tc>
          <w:tcPr>
            <w:tcW w:w="654" w:type="dxa"/>
            <w:tcBorders>
              <w:top w:val="single" w:sz="4" w:space="0" w:color="A6A6A6"/>
            </w:tcBorders>
            <w:noWrap/>
            <w:hideMark/>
          </w:tcPr>
          <w:p w14:paraId="6F6721E6" w14:textId="77777777" w:rsidR="005F4A7E" w:rsidRPr="002029AF" w:rsidRDefault="005F4A7E" w:rsidP="00130D1C">
            <w:pPr>
              <w:pStyle w:val="ARfintablebodyright"/>
            </w:pPr>
            <w:r w:rsidRPr="00BA3AE3">
              <w:t>–</w:t>
            </w:r>
          </w:p>
        </w:tc>
        <w:tc>
          <w:tcPr>
            <w:tcW w:w="654" w:type="dxa"/>
            <w:tcBorders>
              <w:top w:val="single" w:sz="4" w:space="0" w:color="A6A6A6"/>
            </w:tcBorders>
            <w:noWrap/>
            <w:hideMark/>
          </w:tcPr>
          <w:p w14:paraId="628C694B" w14:textId="77777777" w:rsidR="005F4A7E" w:rsidRPr="002029AF" w:rsidRDefault="005F4A7E" w:rsidP="00130D1C">
            <w:pPr>
              <w:pStyle w:val="ARfintablebodyright"/>
            </w:pPr>
            <w:r w:rsidRPr="00BA3AE3">
              <w:t>–</w:t>
            </w:r>
          </w:p>
        </w:tc>
        <w:tc>
          <w:tcPr>
            <w:tcW w:w="721" w:type="dxa"/>
            <w:tcBorders>
              <w:top w:val="single" w:sz="4" w:space="0" w:color="A6A6A6"/>
            </w:tcBorders>
            <w:noWrap/>
            <w:hideMark/>
          </w:tcPr>
          <w:p w14:paraId="3FB03C16" w14:textId="77777777" w:rsidR="005F4A7E" w:rsidRPr="002029AF" w:rsidRDefault="005F4A7E" w:rsidP="00130D1C">
            <w:pPr>
              <w:pStyle w:val="ARfintablebodyright"/>
            </w:pPr>
            <w:r w:rsidRPr="00BA3AE3">
              <w:t>–</w:t>
            </w:r>
          </w:p>
        </w:tc>
        <w:tc>
          <w:tcPr>
            <w:tcW w:w="882" w:type="dxa"/>
            <w:tcBorders>
              <w:top w:val="single" w:sz="4" w:space="0" w:color="A6A6A6"/>
            </w:tcBorders>
            <w:noWrap/>
            <w:hideMark/>
          </w:tcPr>
          <w:p w14:paraId="66FDE9A9" w14:textId="77777777" w:rsidR="005F4A7E" w:rsidRPr="002029AF" w:rsidRDefault="005F4A7E" w:rsidP="00130D1C">
            <w:pPr>
              <w:pStyle w:val="ARfintablebodyright"/>
            </w:pPr>
            <w:r w:rsidRPr="00BA3AE3">
              <w:t>3.3</w:t>
            </w:r>
          </w:p>
        </w:tc>
        <w:tc>
          <w:tcPr>
            <w:tcW w:w="654" w:type="dxa"/>
            <w:tcBorders>
              <w:top w:val="single" w:sz="4" w:space="0" w:color="A6A6A6"/>
            </w:tcBorders>
            <w:noWrap/>
            <w:hideMark/>
          </w:tcPr>
          <w:p w14:paraId="35F9F826" w14:textId="77777777" w:rsidR="005F4A7E" w:rsidRPr="002029AF" w:rsidRDefault="005F4A7E" w:rsidP="00130D1C">
            <w:pPr>
              <w:pStyle w:val="ARfintablebodyright"/>
            </w:pPr>
            <w:r w:rsidRPr="00BA3AE3">
              <w:t>0.1</w:t>
            </w:r>
          </w:p>
        </w:tc>
        <w:tc>
          <w:tcPr>
            <w:tcW w:w="654" w:type="dxa"/>
            <w:tcBorders>
              <w:top w:val="single" w:sz="4" w:space="0" w:color="A6A6A6"/>
            </w:tcBorders>
            <w:noWrap/>
            <w:hideMark/>
          </w:tcPr>
          <w:p w14:paraId="51B19807" w14:textId="77777777" w:rsidR="005F4A7E" w:rsidRPr="002029AF" w:rsidRDefault="005F4A7E" w:rsidP="00130D1C">
            <w:pPr>
              <w:pStyle w:val="ARfintablebodyright"/>
            </w:pPr>
            <w:r w:rsidRPr="00BA3AE3">
              <w:t>–</w:t>
            </w:r>
          </w:p>
        </w:tc>
        <w:tc>
          <w:tcPr>
            <w:tcW w:w="654" w:type="dxa"/>
            <w:tcBorders>
              <w:top w:val="single" w:sz="4" w:space="0" w:color="A6A6A6"/>
            </w:tcBorders>
            <w:noWrap/>
            <w:hideMark/>
          </w:tcPr>
          <w:p w14:paraId="252236A9" w14:textId="77777777" w:rsidR="005F4A7E" w:rsidRPr="002029AF" w:rsidRDefault="005F4A7E" w:rsidP="00130D1C">
            <w:pPr>
              <w:pStyle w:val="ARfintablebodyright"/>
            </w:pPr>
            <w:r w:rsidRPr="00BA3AE3">
              <w:t>–</w:t>
            </w:r>
          </w:p>
        </w:tc>
        <w:tc>
          <w:tcPr>
            <w:tcW w:w="654" w:type="dxa"/>
            <w:tcBorders>
              <w:top w:val="single" w:sz="4" w:space="0" w:color="A6A6A6"/>
            </w:tcBorders>
            <w:noWrap/>
            <w:hideMark/>
          </w:tcPr>
          <w:p w14:paraId="2C97BD60" w14:textId="77777777" w:rsidR="005F4A7E" w:rsidRPr="002029AF" w:rsidRDefault="005F4A7E" w:rsidP="00130D1C">
            <w:pPr>
              <w:pStyle w:val="ARfintablebodyright"/>
            </w:pPr>
            <w:r w:rsidRPr="00BA3AE3">
              <w:t>–</w:t>
            </w:r>
          </w:p>
        </w:tc>
        <w:tc>
          <w:tcPr>
            <w:tcW w:w="654" w:type="dxa"/>
            <w:tcBorders>
              <w:top w:val="single" w:sz="4" w:space="0" w:color="A6A6A6"/>
            </w:tcBorders>
            <w:noWrap/>
            <w:hideMark/>
          </w:tcPr>
          <w:p w14:paraId="5448C665" w14:textId="77777777" w:rsidR="005F4A7E" w:rsidRPr="002029AF" w:rsidRDefault="005F4A7E" w:rsidP="00130D1C">
            <w:pPr>
              <w:pStyle w:val="ARfintablebodyright"/>
            </w:pPr>
            <w:r w:rsidRPr="00BA3AE3">
              <w:t>–</w:t>
            </w:r>
          </w:p>
        </w:tc>
        <w:tc>
          <w:tcPr>
            <w:tcW w:w="654" w:type="dxa"/>
            <w:tcBorders>
              <w:top w:val="single" w:sz="4" w:space="0" w:color="A6A6A6"/>
            </w:tcBorders>
            <w:noWrap/>
            <w:hideMark/>
          </w:tcPr>
          <w:p w14:paraId="06EFE537" w14:textId="77777777" w:rsidR="005F4A7E" w:rsidRPr="002029AF" w:rsidRDefault="005F4A7E" w:rsidP="00130D1C">
            <w:pPr>
              <w:pStyle w:val="ARfintablebodyright"/>
            </w:pPr>
            <w:r w:rsidRPr="00BA3AE3">
              <w:t>–</w:t>
            </w:r>
          </w:p>
        </w:tc>
        <w:tc>
          <w:tcPr>
            <w:tcW w:w="833" w:type="dxa"/>
            <w:tcBorders>
              <w:top w:val="single" w:sz="4" w:space="0" w:color="A6A6A6"/>
            </w:tcBorders>
            <w:noWrap/>
            <w:hideMark/>
          </w:tcPr>
          <w:p w14:paraId="3C391E43" w14:textId="77777777" w:rsidR="005F4A7E" w:rsidRPr="002029AF" w:rsidRDefault="005F4A7E" w:rsidP="00130D1C">
            <w:pPr>
              <w:pStyle w:val="ARfintablebodyright"/>
            </w:pPr>
            <w:r w:rsidRPr="00BA3AE3">
              <w:t>3.4</w:t>
            </w:r>
          </w:p>
        </w:tc>
      </w:tr>
      <w:tr w:rsidR="005F4A7E" w:rsidRPr="002029AF" w14:paraId="225E6F8A" w14:textId="77777777" w:rsidTr="00130D1C">
        <w:tc>
          <w:tcPr>
            <w:tcW w:w="3334" w:type="dxa"/>
            <w:hideMark/>
          </w:tcPr>
          <w:p w14:paraId="2C04D1DD" w14:textId="77777777" w:rsidR="005F4A7E" w:rsidRPr="002029AF" w:rsidRDefault="005F4A7E" w:rsidP="00130D1C">
            <w:pPr>
              <w:pStyle w:val="ARfintablebodybold"/>
            </w:pPr>
            <w:r w:rsidRPr="00BA3AE3">
              <w:t>Total administered expenses from transactions</w:t>
            </w:r>
          </w:p>
        </w:tc>
        <w:tc>
          <w:tcPr>
            <w:tcW w:w="835" w:type="dxa"/>
            <w:noWrap/>
            <w:hideMark/>
          </w:tcPr>
          <w:p w14:paraId="4FF3C49B" w14:textId="77777777" w:rsidR="005F4A7E" w:rsidRPr="002029AF" w:rsidRDefault="005F4A7E" w:rsidP="00130D1C">
            <w:pPr>
              <w:pStyle w:val="ARfintablebodyrightbold"/>
            </w:pPr>
            <w:r w:rsidRPr="00BA3AE3">
              <w:t>11,782.0</w:t>
            </w:r>
          </w:p>
        </w:tc>
        <w:tc>
          <w:tcPr>
            <w:tcW w:w="656" w:type="dxa"/>
            <w:noWrap/>
            <w:hideMark/>
          </w:tcPr>
          <w:p w14:paraId="55CA466C" w14:textId="77777777" w:rsidR="005F4A7E" w:rsidRPr="002029AF" w:rsidRDefault="005F4A7E" w:rsidP="00130D1C">
            <w:pPr>
              <w:pStyle w:val="ARfintablebodyrightbold"/>
            </w:pPr>
            <w:r w:rsidRPr="00BA3AE3">
              <w:t>9.4</w:t>
            </w:r>
          </w:p>
        </w:tc>
        <w:tc>
          <w:tcPr>
            <w:tcW w:w="656" w:type="dxa"/>
            <w:noWrap/>
            <w:hideMark/>
          </w:tcPr>
          <w:p w14:paraId="4BFC8E73" w14:textId="77777777" w:rsidR="005F4A7E" w:rsidRPr="002029AF" w:rsidRDefault="005F4A7E" w:rsidP="00130D1C">
            <w:pPr>
              <w:pStyle w:val="ARfintablebodyrightbold"/>
            </w:pPr>
            <w:r w:rsidRPr="00BA3AE3">
              <w:t>877.3</w:t>
            </w:r>
          </w:p>
        </w:tc>
        <w:tc>
          <w:tcPr>
            <w:tcW w:w="655" w:type="dxa"/>
            <w:noWrap/>
            <w:hideMark/>
          </w:tcPr>
          <w:p w14:paraId="32F1BD3A" w14:textId="77777777" w:rsidR="005F4A7E" w:rsidRPr="002029AF" w:rsidRDefault="005F4A7E" w:rsidP="00130D1C">
            <w:pPr>
              <w:pStyle w:val="ARfintablebodyrightbold"/>
            </w:pPr>
            <w:r w:rsidRPr="00BA3AE3">
              <w:t>80.7</w:t>
            </w:r>
          </w:p>
        </w:tc>
        <w:tc>
          <w:tcPr>
            <w:tcW w:w="655" w:type="dxa"/>
            <w:noWrap/>
            <w:hideMark/>
          </w:tcPr>
          <w:p w14:paraId="7EF51FAD" w14:textId="77777777" w:rsidR="005F4A7E" w:rsidRPr="002029AF" w:rsidRDefault="005F4A7E" w:rsidP="00130D1C">
            <w:pPr>
              <w:pStyle w:val="ARfintablebodyrightbold"/>
            </w:pPr>
            <w:r w:rsidRPr="00BA3AE3">
              <w:t>3.1</w:t>
            </w:r>
          </w:p>
        </w:tc>
        <w:tc>
          <w:tcPr>
            <w:tcW w:w="654" w:type="dxa"/>
            <w:noWrap/>
            <w:hideMark/>
          </w:tcPr>
          <w:p w14:paraId="1CCD263D" w14:textId="77777777" w:rsidR="005F4A7E" w:rsidRPr="002029AF" w:rsidRDefault="005F4A7E" w:rsidP="00130D1C">
            <w:pPr>
              <w:pStyle w:val="ARfintablebodyrightbold"/>
            </w:pPr>
            <w:r w:rsidRPr="00BA3AE3">
              <w:t>133.6</w:t>
            </w:r>
          </w:p>
        </w:tc>
        <w:tc>
          <w:tcPr>
            <w:tcW w:w="654" w:type="dxa"/>
            <w:noWrap/>
            <w:hideMark/>
          </w:tcPr>
          <w:p w14:paraId="0540A557" w14:textId="77777777" w:rsidR="005F4A7E" w:rsidRPr="002029AF" w:rsidRDefault="005F4A7E" w:rsidP="00130D1C">
            <w:pPr>
              <w:pStyle w:val="ARfintablebodyrightbold"/>
            </w:pPr>
            <w:r w:rsidRPr="00BA3AE3">
              <w:t>123.4</w:t>
            </w:r>
          </w:p>
        </w:tc>
        <w:tc>
          <w:tcPr>
            <w:tcW w:w="721" w:type="dxa"/>
            <w:noWrap/>
            <w:hideMark/>
          </w:tcPr>
          <w:p w14:paraId="1C13B068" w14:textId="77777777" w:rsidR="005F4A7E" w:rsidRPr="002029AF" w:rsidRDefault="005F4A7E" w:rsidP="00130D1C">
            <w:pPr>
              <w:pStyle w:val="ARfintablebodyrightbold"/>
            </w:pPr>
            <w:r w:rsidRPr="00BA3AE3">
              <w:t>14.3</w:t>
            </w:r>
          </w:p>
        </w:tc>
        <w:tc>
          <w:tcPr>
            <w:tcW w:w="882" w:type="dxa"/>
            <w:noWrap/>
            <w:hideMark/>
          </w:tcPr>
          <w:p w14:paraId="3A63494B" w14:textId="77777777" w:rsidR="005F4A7E" w:rsidRPr="002029AF" w:rsidRDefault="005F4A7E" w:rsidP="00130D1C">
            <w:pPr>
              <w:pStyle w:val="ARfintablebodyrightbold"/>
            </w:pPr>
            <w:r w:rsidRPr="00BA3AE3">
              <w:t>2,087.5</w:t>
            </w:r>
          </w:p>
        </w:tc>
        <w:tc>
          <w:tcPr>
            <w:tcW w:w="654" w:type="dxa"/>
            <w:noWrap/>
            <w:hideMark/>
          </w:tcPr>
          <w:p w14:paraId="0DFF8EFA" w14:textId="77777777" w:rsidR="005F4A7E" w:rsidRPr="002029AF" w:rsidRDefault="005F4A7E" w:rsidP="00130D1C">
            <w:pPr>
              <w:pStyle w:val="ARfintablebodyrightbold"/>
            </w:pPr>
            <w:r w:rsidRPr="00BA3AE3">
              <w:t>22.9</w:t>
            </w:r>
          </w:p>
        </w:tc>
        <w:tc>
          <w:tcPr>
            <w:tcW w:w="654" w:type="dxa"/>
            <w:noWrap/>
            <w:hideMark/>
          </w:tcPr>
          <w:p w14:paraId="201CC04C" w14:textId="77777777" w:rsidR="005F4A7E" w:rsidRPr="002029AF" w:rsidRDefault="005F4A7E" w:rsidP="00130D1C">
            <w:pPr>
              <w:pStyle w:val="ARfintablebodyrightbold"/>
            </w:pPr>
            <w:r w:rsidRPr="00BA3AE3">
              <w:t>0.9</w:t>
            </w:r>
          </w:p>
        </w:tc>
        <w:tc>
          <w:tcPr>
            <w:tcW w:w="654" w:type="dxa"/>
            <w:noWrap/>
            <w:hideMark/>
          </w:tcPr>
          <w:p w14:paraId="0A09F549" w14:textId="77777777" w:rsidR="005F4A7E" w:rsidRPr="002029AF" w:rsidRDefault="005F4A7E" w:rsidP="00130D1C">
            <w:pPr>
              <w:pStyle w:val="ARfintablebodyrightbold"/>
            </w:pPr>
            <w:r w:rsidRPr="00BA3AE3">
              <w:t>0.1</w:t>
            </w:r>
          </w:p>
        </w:tc>
        <w:tc>
          <w:tcPr>
            <w:tcW w:w="654" w:type="dxa"/>
            <w:noWrap/>
            <w:hideMark/>
          </w:tcPr>
          <w:p w14:paraId="3B13A48C" w14:textId="77777777" w:rsidR="005F4A7E" w:rsidRPr="002029AF" w:rsidRDefault="005F4A7E" w:rsidP="00130D1C">
            <w:pPr>
              <w:pStyle w:val="ARfintablebodyrightbold"/>
            </w:pPr>
            <w:r w:rsidRPr="00BA3AE3">
              <w:t>5.1</w:t>
            </w:r>
          </w:p>
        </w:tc>
        <w:tc>
          <w:tcPr>
            <w:tcW w:w="654" w:type="dxa"/>
            <w:noWrap/>
            <w:hideMark/>
          </w:tcPr>
          <w:p w14:paraId="7B9C5D15" w14:textId="77777777" w:rsidR="005F4A7E" w:rsidRPr="002029AF" w:rsidRDefault="005F4A7E" w:rsidP="00130D1C">
            <w:pPr>
              <w:pStyle w:val="ARfintablebodyrightbold"/>
            </w:pPr>
            <w:r w:rsidRPr="00BA3AE3">
              <w:t>–</w:t>
            </w:r>
          </w:p>
        </w:tc>
        <w:tc>
          <w:tcPr>
            <w:tcW w:w="654" w:type="dxa"/>
            <w:noWrap/>
            <w:hideMark/>
          </w:tcPr>
          <w:p w14:paraId="38ABE0BF" w14:textId="77777777" w:rsidR="005F4A7E" w:rsidRPr="002029AF" w:rsidRDefault="005F4A7E" w:rsidP="00130D1C">
            <w:pPr>
              <w:pStyle w:val="ARfintablebodyrightbold"/>
            </w:pPr>
            <w:r w:rsidRPr="00BA3AE3">
              <w:t>–</w:t>
            </w:r>
          </w:p>
        </w:tc>
        <w:tc>
          <w:tcPr>
            <w:tcW w:w="833" w:type="dxa"/>
            <w:noWrap/>
            <w:hideMark/>
          </w:tcPr>
          <w:p w14:paraId="34D9CB71" w14:textId="77777777" w:rsidR="005F4A7E" w:rsidRPr="002029AF" w:rsidRDefault="005F4A7E" w:rsidP="00130D1C">
            <w:pPr>
              <w:pStyle w:val="ARfintablebodyrightbold"/>
            </w:pPr>
            <w:r w:rsidRPr="00BA3AE3">
              <w:t>15,140.3</w:t>
            </w:r>
          </w:p>
        </w:tc>
      </w:tr>
      <w:tr w:rsidR="005F4A7E" w:rsidRPr="002029AF" w14:paraId="4ADB855C" w14:textId="77777777" w:rsidTr="00130D1C">
        <w:tc>
          <w:tcPr>
            <w:tcW w:w="3334" w:type="dxa"/>
            <w:tcBorders>
              <w:bottom w:val="single" w:sz="4" w:space="0" w:color="auto"/>
            </w:tcBorders>
            <w:hideMark/>
          </w:tcPr>
          <w:p w14:paraId="1BE9D189" w14:textId="77777777" w:rsidR="005F4A7E" w:rsidRPr="002029AF" w:rsidRDefault="005F4A7E" w:rsidP="00130D1C">
            <w:pPr>
              <w:pStyle w:val="ARfintablebodybold"/>
            </w:pPr>
            <w:r w:rsidRPr="00BA3AE3">
              <w:t>Total administered net result from transactions</w:t>
            </w:r>
          </w:p>
        </w:tc>
        <w:tc>
          <w:tcPr>
            <w:tcW w:w="835" w:type="dxa"/>
            <w:tcBorders>
              <w:bottom w:val="single" w:sz="4" w:space="0" w:color="auto"/>
            </w:tcBorders>
            <w:noWrap/>
            <w:hideMark/>
          </w:tcPr>
          <w:p w14:paraId="7418246C" w14:textId="77777777" w:rsidR="005F4A7E" w:rsidRPr="002029AF" w:rsidRDefault="005F4A7E" w:rsidP="00130D1C">
            <w:pPr>
              <w:pStyle w:val="ARfintablebodyrightbold"/>
            </w:pPr>
            <w:r w:rsidRPr="00BA3AE3">
              <w:t>(43.2)</w:t>
            </w:r>
          </w:p>
        </w:tc>
        <w:tc>
          <w:tcPr>
            <w:tcW w:w="656" w:type="dxa"/>
            <w:tcBorders>
              <w:bottom w:val="single" w:sz="4" w:space="0" w:color="auto"/>
            </w:tcBorders>
            <w:noWrap/>
            <w:hideMark/>
          </w:tcPr>
          <w:p w14:paraId="5D3A3127" w14:textId="77777777" w:rsidR="005F4A7E" w:rsidRPr="002029AF" w:rsidRDefault="005F4A7E" w:rsidP="00130D1C">
            <w:pPr>
              <w:pStyle w:val="ARfintablebodyrightbold"/>
            </w:pPr>
            <w:r w:rsidRPr="00BA3AE3">
              <w:t>(0.7)</w:t>
            </w:r>
          </w:p>
        </w:tc>
        <w:tc>
          <w:tcPr>
            <w:tcW w:w="656" w:type="dxa"/>
            <w:tcBorders>
              <w:bottom w:val="single" w:sz="4" w:space="0" w:color="auto"/>
            </w:tcBorders>
            <w:noWrap/>
            <w:hideMark/>
          </w:tcPr>
          <w:p w14:paraId="1C7C90FE" w14:textId="77777777" w:rsidR="005F4A7E" w:rsidRPr="002029AF" w:rsidRDefault="005F4A7E" w:rsidP="00130D1C">
            <w:pPr>
              <w:pStyle w:val="ARfintablebodyrightbold"/>
            </w:pPr>
            <w:r w:rsidRPr="00BA3AE3">
              <w:t>3.6</w:t>
            </w:r>
          </w:p>
        </w:tc>
        <w:tc>
          <w:tcPr>
            <w:tcW w:w="655" w:type="dxa"/>
            <w:tcBorders>
              <w:bottom w:val="single" w:sz="4" w:space="0" w:color="auto"/>
            </w:tcBorders>
            <w:noWrap/>
            <w:hideMark/>
          </w:tcPr>
          <w:p w14:paraId="71D3225C" w14:textId="77777777" w:rsidR="005F4A7E" w:rsidRPr="002029AF" w:rsidRDefault="005F4A7E" w:rsidP="00130D1C">
            <w:pPr>
              <w:pStyle w:val="ARfintablebodyrightbold"/>
            </w:pPr>
            <w:r w:rsidRPr="00BA3AE3">
              <w:t>36.1</w:t>
            </w:r>
          </w:p>
        </w:tc>
        <w:tc>
          <w:tcPr>
            <w:tcW w:w="655" w:type="dxa"/>
            <w:tcBorders>
              <w:bottom w:val="single" w:sz="4" w:space="0" w:color="auto"/>
            </w:tcBorders>
            <w:noWrap/>
            <w:hideMark/>
          </w:tcPr>
          <w:p w14:paraId="4BDA0534" w14:textId="77777777" w:rsidR="005F4A7E" w:rsidRPr="002029AF" w:rsidRDefault="005F4A7E" w:rsidP="00130D1C">
            <w:pPr>
              <w:pStyle w:val="ARfintablebodyrightbold"/>
            </w:pPr>
            <w:r w:rsidRPr="00BA3AE3">
              <w:t>1.4</w:t>
            </w:r>
          </w:p>
        </w:tc>
        <w:tc>
          <w:tcPr>
            <w:tcW w:w="654" w:type="dxa"/>
            <w:tcBorders>
              <w:bottom w:val="single" w:sz="4" w:space="0" w:color="auto"/>
            </w:tcBorders>
            <w:noWrap/>
            <w:hideMark/>
          </w:tcPr>
          <w:p w14:paraId="06067762" w14:textId="77777777" w:rsidR="005F4A7E" w:rsidRPr="002029AF" w:rsidRDefault="005F4A7E" w:rsidP="00130D1C">
            <w:pPr>
              <w:pStyle w:val="ARfintablebodyrightbold"/>
            </w:pPr>
            <w:r w:rsidRPr="00BA3AE3">
              <w:t>0.3</w:t>
            </w:r>
          </w:p>
        </w:tc>
        <w:tc>
          <w:tcPr>
            <w:tcW w:w="654" w:type="dxa"/>
            <w:tcBorders>
              <w:bottom w:val="single" w:sz="4" w:space="0" w:color="auto"/>
            </w:tcBorders>
            <w:noWrap/>
            <w:hideMark/>
          </w:tcPr>
          <w:p w14:paraId="411E95C3" w14:textId="77777777" w:rsidR="005F4A7E" w:rsidRPr="002029AF" w:rsidRDefault="005F4A7E" w:rsidP="00130D1C">
            <w:pPr>
              <w:pStyle w:val="ARfintablebodyrightbold"/>
            </w:pPr>
            <w:r w:rsidRPr="00BA3AE3">
              <w:t>7.9</w:t>
            </w:r>
          </w:p>
        </w:tc>
        <w:tc>
          <w:tcPr>
            <w:tcW w:w="721" w:type="dxa"/>
            <w:tcBorders>
              <w:bottom w:val="single" w:sz="4" w:space="0" w:color="auto"/>
            </w:tcBorders>
            <w:noWrap/>
            <w:hideMark/>
          </w:tcPr>
          <w:p w14:paraId="4D64254B" w14:textId="77777777" w:rsidR="005F4A7E" w:rsidRPr="002029AF" w:rsidRDefault="005F4A7E" w:rsidP="00130D1C">
            <w:pPr>
              <w:pStyle w:val="ARfintablebodyrightbold"/>
            </w:pPr>
            <w:r w:rsidRPr="00BA3AE3">
              <w:t>0.6</w:t>
            </w:r>
          </w:p>
        </w:tc>
        <w:tc>
          <w:tcPr>
            <w:tcW w:w="882" w:type="dxa"/>
            <w:tcBorders>
              <w:bottom w:val="single" w:sz="4" w:space="0" w:color="auto"/>
            </w:tcBorders>
            <w:noWrap/>
            <w:hideMark/>
          </w:tcPr>
          <w:p w14:paraId="15F784B7" w14:textId="77777777" w:rsidR="005F4A7E" w:rsidRPr="002029AF" w:rsidRDefault="005F4A7E" w:rsidP="00130D1C">
            <w:pPr>
              <w:pStyle w:val="ARfintablebodyrightbold"/>
            </w:pPr>
            <w:r w:rsidRPr="00BA3AE3">
              <w:t>(145.7)</w:t>
            </w:r>
          </w:p>
        </w:tc>
        <w:tc>
          <w:tcPr>
            <w:tcW w:w="654" w:type="dxa"/>
            <w:tcBorders>
              <w:bottom w:val="single" w:sz="4" w:space="0" w:color="auto"/>
            </w:tcBorders>
            <w:noWrap/>
            <w:hideMark/>
          </w:tcPr>
          <w:p w14:paraId="53AB2B7C" w14:textId="77777777" w:rsidR="005F4A7E" w:rsidRPr="002029AF" w:rsidRDefault="005F4A7E" w:rsidP="00130D1C">
            <w:pPr>
              <w:pStyle w:val="ARfintablebodyrightbold"/>
            </w:pPr>
            <w:r w:rsidRPr="00BA3AE3">
              <w:t>0.4</w:t>
            </w:r>
          </w:p>
        </w:tc>
        <w:tc>
          <w:tcPr>
            <w:tcW w:w="654" w:type="dxa"/>
            <w:tcBorders>
              <w:bottom w:val="single" w:sz="4" w:space="0" w:color="auto"/>
            </w:tcBorders>
            <w:noWrap/>
            <w:hideMark/>
          </w:tcPr>
          <w:p w14:paraId="68B00711" w14:textId="77777777" w:rsidR="005F4A7E" w:rsidRPr="002029AF" w:rsidRDefault="005F4A7E" w:rsidP="00130D1C">
            <w:pPr>
              <w:pStyle w:val="ARfintablebodyrightbold"/>
            </w:pPr>
            <w:r w:rsidRPr="00BA3AE3">
              <w:t>(0.6)</w:t>
            </w:r>
          </w:p>
        </w:tc>
        <w:tc>
          <w:tcPr>
            <w:tcW w:w="654" w:type="dxa"/>
            <w:tcBorders>
              <w:bottom w:val="single" w:sz="4" w:space="0" w:color="auto"/>
            </w:tcBorders>
            <w:noWrap/>
            <w:hideMark/>
          </w:tcPr>
          <w:p w14:paraId="440BFAE8" w14:textId="77777777" w:rsidR="005F4A7E" w:rsidRPr="002029AF" w:rsidRDefault="005F4A7E" w:rsidP="00130D1C">
            <w:pPr>
              <w:pStyle w:val="ARfintablebodyrightbold"/>
            </w:pPr>
            <w:r w:rsidRPr="00BA3AE3">
              <w:t>0.1</w:t>
            </w:r>
          </w:p>
        </w:tc>
        <w:tc>
          <w:tcPr>
            <w:tcW w:w="654" w:type="dxa"/>
            <w:tcBorders>
              <w:bottom w:val="single" w:sz="4" w:space="0" w:color="auto"/>
            </w:tcBorders>
            <w:noWrap/>
            <w:hideMark/>
          </w:tcPr>
          <w:p w14:paraId="1AA5670E" w14:textId="77777777" w:rsidR="005F4A7E" w:rsidRPr="002029AF" w:rsidRDefault="005F4A7E" w:rsidP="00130D1C">
            <w:pPr>
              <w:pStyle w:val="ARfintablebodyrightbold"/>
            </w:pPr>
            <w:r w:rsidRPr="00BA3AE3">
              <w:t>–</w:t>
            </w:r>
          </w:p>
        </w:tc>
        <w:tc>
          <w:tcPr>
            <w:tcW w:w="654" w:type="dxa"/>
            <w:tcBorders>
              <w:bottom w:val="single" w:sz="4" w:space="0" w:color="auto"/>
            </w:tcBorders>
            <w:noWrap/>
            <w:hideMark/>
          </w:tcPr>
          <w:p w14:paraId="566F5695" w14:textId="77777777" w:rsidR="005F4A7E" w:rsidRPr="002029AF" w:rsidRDefault="005F4A7E" w:rsidP="00130D1C">
            <w:pPr>
              <w:pStyle w:val="ARfintablebodyrightbold"/>
            </w:pPr>
            <w:r w:rsidRPr="00BA3AE3">
              <w:t>–</w:t>
            </w:r>
          </w:p>
        </w:tc>
        <w:tc>
          <w:tcPr>
            <w:tcW w:w="654" w:type="dxa"/>
            <w:tcBorders>
              <w:bottom w:val="single" w:sz="4" w:space="0" w:color="auto"/>
            </w:tcBorders>
            <w:noWrap/>
            <w:hideMark/>
          </w:tcPr>
          <w:p w14:paraId="08596B72" w14:textId="77777777" w:rsidR="005F4A7E" w:rsidRPr="002029AF" w:rsidRDefault="005F4A7E" w:rsidP="00130D1C">
            <w:pPr>
              <w:pStyle w:val="ARfintablebodyrightbold"/>
            </w:pPr>
            <w:r w:rsidRPr="00BA3AE3">
              <w:t>–</w:t>
            </w:r>
          </w:p>
        </w:tc>
        <w:tc>
          <w:tcPr>
            <w:tcW w:w="833" w:type="dxa"/>
            <w:tcBorders>
              <w:bottom w:val="single" w:sz="4" w:space="0" w:color="auto"/>
            </w:tcBorders>
            <w:noWrap/>
            <w:hideMark/>
          </w:tcPr>
          <w:p w14:paraId="697BBBAB" w14:textId="77777777" w:rsidR="005F4A7E" w:rsidRPr="002029AF" w:rsidRDefault="005F4A7E" w:rsidP="00130D1C">
            <w:pPr>
              <w:pStyle w:val="ARfintablebodyrightbold"/>
            </w:pPr>
            <w:r w:rsidRPr="00BA3AE3">
              <w:t>(139.8)</w:t>
            </w:r>
          </w:p>
        </w:tc>
      </w:tr>
      <w:tr w:rsidR="005F4A7E" w:rsidRPr="002029AF" w14:paraId="78605895" w14:textId="77777777" w:rsidTr="00130D1C">
        <w:tc>
          <w:tcPr>
            <w:tcW w:w="14459" w:type="dxa"/>
            <w:gridSpan w:val="17"/>
            <w:tcBorders>
              <w:top w:val="single" w:sz="4" w:space="0" w:color="auto"/>
              <w:bottom w:val="single" w:sz="4" w:space="0" w:color="A6A6A6"/>
            </w:tcBorders>
            <w:hideMark/>
          </w:tcPr>
          <w:p w14:paraId="6297E606" w14:textId="77777777" w:rsidR="005F4A7E" w:rsidRPr="002029AF" w:rsidRDefault="005F4A7E" w:rsidP="00130D1C">
            <w:pPr>
              <w:pStyle w:val="ARfintablebodybold"/>
            </w:pPr>
            <w:r w:rsidRPr="00BA3AE3">
              <w:t xml:space="preserve">Administered other economic flows </w:t>
            </w:r>
            <w:r>
              <w:br/>
            </w:r>
            <w:r w:rsidRPr="00BA3AE3">
              <w:t>included in net result</w:t>
            </w:r>
          </w:p>
        </w:tc>
      </w:tr>
      <w:tr w:rsidR="005F4A7E" w:rsidRPr="002029AF" w14:paraId="3E3B40A7" w14:textId="77777777" w:rsidTr="00130D1C">
        <w:tc>
          <w:tcPr>
            <w:tcW w:w="3334" w:type="dxa"/>
            <w:tcBorders>
              <w:top w:val="single" w:sz="4" w:space="0" w:color="A6A6A6"/>
              <w:bottom w:val="single" w:sz="4" w:space="0" w:color="A6A6A6"/>
            </w:tcBorders>
            <w:hideMark/>
          </w:tcPr>
          <w:p w14:paraId="23333541" w14:textId="77777777" w:rsidR="005F4A7E" w:rsidRPr="002029AF" w:rsidRDefault="005F4A7E" w:rsidP="00130D1C">
            <w:pPr>
              <w:pStyle w:val="ARfintablebody"/>
            </w:pPr>
            <w:r w:rsidRPr="00BA3AE3">
              <w:t>Net gain/(loss) on non-financial assets</w:t>
            </w:r>
          </w:p>
        </w:tc>
        <w:tc>
          <w:tcPr>
            <w:tcW w:w="835" w:type="dxa"/>
            <w:tcBorders>
              <w:top w:val="single" w:sz="4" w:space="0" w:color="A6A6A6"/>
              <w:bottom w:val="single" w:sz="4" w:space="0" w:color="A6A6A6"/>
            </w:tcBorders>
            <w:noWrap/>
            <w:hideMark/>
          </w:tcPr>
          <w:p w14:paraId="7E8ED274" w14:textId="77777777" w:rsidR="005F4A7E" w:rsidRPr="002029AF" w:rsidRDefault="005F4A7E" w:rsidP="00130D1C">
            <w:pPr>
              <w:pStyle w:val="ARfintablebodyright"/>
            </w:pPr>
            <w:r w:rsidRPr="00BA3AE3">
              <w:t>0.1</w:t>
            </w:r>
          </w:p>
        </w:tc>
        <w:tc>
          <w:tcPr>
            <w:tcW w:w="656" w:type="dxa"/>
            <w:tcBorders>
              <w:top w:val="single" w:sz="4" w:space="0" w:color="A6A6A6"/>
              <w:bottom w:val="single" w:sz="4" w:space="0" w:color="A6A6A6"/>
            </w:tcBorders>
            <w:noWrap/>
            <w:hideMark/>
          </w:tcPr>
          <w:p w14:paraId="482CB629" w14:textId="77777777" w:rsidR="005F4A7E" w:rsidRPr="002029AF" w:rsidRDefault="005F4A7E" w:rsidP="00130D1C">
            <w:pPr>
              <w:pStyle w:val="ARfintablebodyright"/>
            </w:pPr>
            <w:r w:rsidRPr="00BA3AE3">
              <w:t>0.1</w:t>
            </w:r>
          </w:p>
        </w:tc>
        <w:tc>
          <w:tcPr>
            <w:tcW w:w="656" w:type="dxa"/>
            <w:tcBorders>
              <w:top w:val="single" w:sz="4" w:space="0" w:color="A6A6A6"/>
              <w:bottom w:val="single" w:sz="4" w:space="0" w:color="A6A6A6"/>
            </w:tcBorders>
            <w:noWrap/>
            <w:hideMark/>
          </w:tcPr>
          <w:p w14:paraId="76550CD9" w14:textId="77777777" w:rsidR="005F4A7E" w:rsidRPr="002029AF" w:rsidRDefault="005F4A7E" w:rsidP="00130D1C">
            <w:pPr>
              <w:pStyle w:val="ARfintablebodyright"/>
            </w:pPr>
            <w:r w:rsidRPr="00BA3AE3">
              <w:t>–</w:t>
            </w:r>
          </w:p>
        </w:tc>
        <w:tc>
          <w:tcPr>
            <w:tcW w:w="655" w:type="dxa"/>
            <w:tcBorders>
              <w:top w:val="single" w:sz="4" w:space="0" w:color="A6A6A6"/>
              <w:bottom w:val="single" w:sz="4" w:space="0" w:color="A6A6A6"/>
            </w:tcBorders>
            <w:noWrap/>
            <w:hideMark/>
          </w:tcPr>
          <w:p w14:paraId="37DAC563" w14:textId="77777777" w:rsidR="005F4A7E" w:rsidRPr="002029AF" w:rsidRDefault="005F4A7E" w:rsidP="00130D1C">
            <w:pPr>
              <w:pStyle w:val="ARfintablebodyright"/>
            </w:pPr>
            <w:r w:rsidRPr="00BA3AE3">
              <w:t>–</w:t>
            </w:r>
          </w:p>
        </w:tc>
        <w:tc>
          <w:tcPr>
            <w:tcW w:w="655" w:type="dxa"/>
            <w:tcBorders>
              <w:top w:val="single" w:sz="4" w:space="0" w:color="A6A6A6"/>
              <w:bottom w:val="single" w:sz="4" w:space="0" w:color="A6A6A6"/>
            </w:tcBorders>
            <w:noWrap/>
            <w:hideMark/>
          </w:tcPr>
          <w:p w14:paraId="5ED337D0" w14:textId="77777777" w:rsidR="005F4A7E" w:rsidRPr="002029AF" w:rsidRDefault="005F4A7E" w:rsidP="00130D1C">
            <w:pPr>
              <w:pStyle w:val="ARfintablebodyright"/>
            </w:pPr>
            <w:r w:rsidRPr="00BA3AE3">
              <w:t>–</w:t>
            </w:r>
          </w:p>
        </w:tc>
        <w:tc>
          <w:tcPr>
            <w:tcW w:w="654" w:type="dxa"/>
            <w:tcBorders>
              <w:top w:val="single" w:sz="4" w:space="0" w:color="A6A6A6"/>
              <w:bottom w:val="single" w:sz="4" w:space="0" w:color="A6A6A6"/>
            </w:tcBorders>
            <w:noWrap/>
            <w:hideMark/>
          </w:tcPr>
          <w:p w14:paraId="68110006" w14:textId="77777777" w:rsidR="005F4A7E" w:rsidRPr="002029AF" w:rsidRDefault="005F4A7E" w:rsidP="00130D1C">
            <w:pPr>
              <w:pStyle w:val="ARfintablebodyright"/>
            </w:pPr>
            <w:r w:rsidRPr="00BA3AE3">
              <w:t>–</w:t>
            </w:r>
          </w:p>
        </w:tc>
        <w:tc>
          <w:tcPr>
            <w:tcW w:w="654" w:type="dxa"/>
            <w:tcBorders>
              <w:top w:val="single" w:sz="4" w:space="0" w:color="A6A6A6"/>
              <w:bottom w:val="single" w:sz="4" w:space="0" w:color="A6A6A6"/>
            </w:tcBorders>
            <w:noWrap/>
            <w:hideMark/>
          </w:tcPr>
          <w:p w14:paraId="6F3AE1BC" w14:textId="77777777" w:rsidR="005F4A7E" w:rsidRPr="002029AF" w:rsidRDefault="005F4A7E" w:rsidP="00130D1C">
            <w:pPr>
              <w:pStyle w:val="ARfintablebodyright"/>
            </w:pPr>
            <w:r w:rsidRPr="00BA3AE3">
              <w:t>–</w:t>
            </w:r>
          </w:p>
        </w:tc>
        <w:tc>
          <w:tcPr>
            <w:tcW w:w="721" w:type="dxa"/>
            <w:tcBorders>
              <w:top w:val="single" w:sz="4" w:space="0" w:color="A6A6A6"/>
              <w:bottom w:val="single" w:sz="4" w:space="0" w:color="A6A6A6"/>
            </w:tcBorders>
            <w:noWrap/>
            <w:hideMark/>
          </w:tcPr>
          <w:p w14:paraId="40F2D74B" w14:textId="77777777" w:rsidR="005F4A7E" w:rsidRPr="002029AF" w:rsidRDefault="005F4A7E" w:rsidP="00130D1C">
            <w:pPr>
              <w:pStyle w:val="ARfintablebodyright"/>
            </w:pPr>
            <w:r w:rsidRPr="00BA3AE3">
              <w:t>–</w:t>
            </w:r>
          </w:p>
        </w:tc>
        <w:tc>
          <w:tcPr>
            <w:tcW w:w="882" w:type="dxa"/>
            <w:tcBorders>
              <w:top w:val="single" w:sz="4" w:space="0" w:color="A6A6A6"/>
              <w:bottom w:val="single" w:sz="4" w:space="0" w:color="A6A6A6"/>
            </w:tcBorders>
            <w:noWrap/>
            <w:hideMark/>
          </w:tcPr>
          <w:p w14:paraId="3F3A2499" w14:textId="77777777" w:rsidR="005F4A7E" w:rsidRPr="002029AF" w:rsidRDefault="005F4A7E" w:rsidP="00130D1C">
            <w:pPr>
              <w:pStyle w:val="ARfintablebodyright"/>
            </w:pPr>
            <w:r w:rsidRPr="00BA3AE3">
              <w:t>–</w:t>
            </w:r>
          </w:p>
        </w:tc>
        <w:tc>
          <w:tcPr>
            <w:tcW w:w="654" w:type="dxa"/>
            <w:tcBorders>
              <w:top w:val="single" w:sz="4" w:space="0" w:color="A6A6A6"/>
              <w:bottom w:val="single" w:sz="4" w:space="0" w:color="A6A6A6"/>
            </w:tcBorders>
            <w:noWrap/>
            <w:hideMark/>
          </w:tcPr>
          <w:p w14:paraId="349ADEF2" w14:textId="77777777" w:rsidR="005F4A7E" w:rsidRPr="002029AF" w:rsidRDefault="005F4A7E" w:rsidP="00130D1C">
            <w:pPr>
              <w:pStyle w:val="ARfintablebodyright"/>
            </w:pPr>
            <w:r w:rsidRPr="00BA3AE3">
              <w:t>(0.1)</w:t>
            </w:r>
          </w:p>
        </w:tc>
        <w:tc>
          <w:tcPr>
            <w:tcW w:w="654" w:type="dxa"/>
            <w:tcBorders>
              <w:top w:val="single" w:sz="4" w:space="0" w:color="A6A6A6"/>
              <w:bottom w:val="single" w:sz="4" w:space="0" w:color="A6A6A6"/>
            </w:tcBorders>
            <w:noWrap/>
            <w:hideMark/>
          </w:tcPr>
          <w:p w14:paraId="3467A9D4" w14:textId="77777777" w:rsidR="005F4A7E" w:rsidRPr="002029AF" w:rsidRDefault="005F4A7E" w:rsidP="00130D1C">
            <w:pPr>
              <w:pStyle w:val="ARfintablebodyright"/>
            </w:pPr>
            <w:r w:rsidRPr="00BA3AE3">
              <w:t>–</w:t>
            </w:r>
          </w:p>
        </w:tc>
        <w:tc>
          <w:tcPr>
            <w:tcW w:w="654" w:type="dxa"/>
            <w:tcBorders>
              <w:top w:val="single" w:sz="4" w:space="0" w:color="A6A6A6"/>
              <w:bottom w:val="single" w:sz="4" w:space="0" w:color="A6A6A6"/>
            </w:tcBorders>
            <w:noWrap/>
            <w:hideMark/>
          </w:tcPr>
          <w:p w14:paraId="07EB0189" w14:textId="77777777" w:rsidR="005F4A7E" w:rsidRPr="002029AF" w:rsidRDefault="005F4A7E" w:rsidP="00130D1C">
            <w:pPr>
              <w:pStyle w:val="ARfintablebodyright"/>
            </w:pPr>
            <w:r w:rsidRPr="00BA3AE3">
              <w:t>–</w:t>
            </w:r>
          </w:p>
        </w:tc>
        <w:tc>
          <w:tcPr>
            <w:tcW w:w="654" w:type="dxa"/>
            <w:tcBorders>
              <w:top w:val="single" w:sz="4" w:space="0" w:color="A6A6A6"/>
              <w:bottom w:val="single" w:sz="4" w:space="0" w:color="A6A6A6"/>
            </w:tcBorders>
            <w:noWrap/>
            <w:hideMark/>
          </w:tcPr>
          <w:p w14:paraId="5DA69E3D" w14:textId="77777777" w:rsidR="005F4A7E" w:rsidRPr="002029AF" w:rsidRDefault="005F4A7E" w:rsidP="00130D1C">
            <w:pPr>
              <w:pStyle w:val="ARfintablebodyright"/>
            </w:pPr>
            <w:r w:rsidRPr="00BA3AE3">
              <w:t>0.3</w:t>
            </w:r>
          </w:p>
        </w:tc>
        <w:tc>
          <w:tcPr>
            <w:tcW w:w="654" w:type="dxa"/>
            <w:tcBorders>
              <w:top w:val="single" w:sz="4" w:space="0" w:color="A6A6A6"/>
              <w:bottom w:val="single" w:sz="4" w:space="0" w:color="A6A6A6"/>
            </w:tcBorders>
            <w:noWrap/>
            <w:hideMark/>
          </w:tcPr>
          <w:p w14:paraId="5C117036" w14:textId="77777777" w:rsidR="005F4A7E" w:rsidRPr="002029AF" w:rsidRDefault="005F4A7E" w:rsidP="00130D1C">
            <w:pPr>
              <w:pStyle w:val="ARfintablebodyright"/>
            </w:pPr>
            <w:r w:rsidRPr="00BA3AE3">
              <w:t>–</w:t>
            </w:r>
          </w:p>
        </w:tc>
        <w:tc>
          <w:tcPr>
            <w:tcW w:w="654" w:type="dxa"/>
            <w:tcBorders>
              <w:top w:val="single" w:sz="4" w:space="0" w:color="A6A6A6"/>
              <w:bottom w:val="single" w:sz="4" w:space="0" w:color="A6A6A6"/>
            </w:tcBorders>
            <w:noWrap/>
            <w:hideMark/>
          </w:tcPr>
          <w:p w14:paraId="240AB098" w14:textId="77777777" w:rsidR="005F4A7E" w:rsidRPr="002029AF" w:rsidRDefault="005F4A7E" w:rsidP="00130D1C">
            <w:pPr>
              <w:pStyle w:val="ARfintablebodyright"/>
            </w:pPr>
            <w:r w:rsidRPr="00BA3AE3">
              <w:t>–</w:t>
            </w:r>
          </w:p>
        </w:tc>
        <w:tc>
          <w:tcPr>
            <w:tcW w:w="833" w:type="dxa"/>
            <w:tcBorders>
              <w:top w:val="single" w:sz="4" w:space="0" w:color="A6A6A6"/>
              <w:bottom w:val="single" w:sz="4" w:space="0" w:color="A6A6A6"/>
            </w:tcBorders>
            <w:noWrap/>
            <w:hideMark/>
          </w:tcPr>
          <w:p w14:paraId="49257D0D" w14:textId="77777777" w:rsidR="005F4A7E" w:rsidRPr="002029AF" w:rsidRDefault="005F4A7E" w:rsidP="00130D1C">
            <w:pPr>
              <w:pStyle w:val="ARfintablebodyright"/>
            </w:pPr>
            <w:r w:rsidRPr="00BA3AE3">
              <w:t>0.4</w:t>
            </w:r>
          </w:p>
        </w:tc>
      </w:tr>
      <w:tr w:rsidR="005F4A7E" w:rsidRPr="002029AF" w14:paraId="144787E6" w14:textId="77777777" w:rsidTr="00130D1C">
        <w:tc>
          <w:tcPr>
            <w:tcW w:w="3334" w:type="dxa"/>
            <w:tcBorders>
              <w:top w:val="single" w:sz="4" w:space="0" w:color="A6A6A6"/>
            </w:tcBorders>
            <w:hideMark/>
          </w:tcPr>
          <w:p w14:paraId="022C13D9" w14:textId="77777777" w:rsidR="005F4A7E" w:rsidRPr="002029AF" w:rsidRDefault="005F4A7E" w:rsidP="00130D1C">
            <w:pPr>
              <w:pStyle w:val="ARfintablebody"/>
            </w:pPr>
            <w:r w:rsidRPr="00BA3AE3">
              <w:t>Other gains/(losses) from other economic flows</w:t>
            </w:r>
          </w:p>
        </w:tc>
        <w:tc>
          <w:tcPr>
            <w:tcW w:w="835" w:type="dxa"/>
            <w:tcBorders>
              <w:top w:val="single" w:sz="4" w:space="0" w:color="A6A6A6"/>
            </w:tcBorders>
            <w:noWrap/>
            <w:hideMark/>
          </w:tcPr>
          <w:p w14:paraId="700222C0" w14:textId="77777777" w:rsidR="005F4A7E" w:rsidRPr="002029AF" w:rsidRDefault="005F4A7E" w:rsidP="00130D1C">
            <w:pPr>
              <w:pStyle w:val="ARfintablebodyright"/>
            </w:pPr>
            <w:r w:rsidRPr="00BA3AE3">
              <w:t>(9.3)</w:t>
            </w:r>
          </w:p>
        </w:tc>
        <w:tc>
          <w:tcPr>
            <w:tcW w:w="656" w:type="dxa"/>
            <w:tcBorders>
              <w:top w:val="single" w:sz="4" w:space="0" w:color="A6A6A6"/>
            </w:tcBorders>
            <w:noWrap/>
            <w:hideMark/>
          </w:tcPr>
          <w:p w14:paraId="1CFC256D" w14:textId="77777777" w:rsidR="005F4A7E" w:rsidRPr="002029AF" w:rsidRDefault="005F4A7E" w:rsidP="00130D1C">
            <w:pPr>
              <w:pStyle w:val="ARfintablebodyright"/>
            </w:pPr>
            <w:r w:rsidRPr="00BA3AE3">
              <w:t>–</w:t>
            </w:r>
          </w:p>
        </w:tc>
        <w:tc>
          <w:tcPr>
            <w:tcW w:w="656" w:type="dxa"/>
            <w:tcBorders>
              <w:top w:val="single" w:sz="4" w:space="0" w:color="A6A6A6"/>
            </w:tcBorders>
            <w:noWrap/>
            <w:hideMark/>
          </w:tcPr>
          <w:p w14:paraId="103492F4" w14:textId="77777777" w:rsidR="005F4A7E" w:rsidRPr="002029AF" w:rsidRDefault="005F4A7E" w:rsidP="00130D1C">
            <w:pPr>
              <w:pStyle w:val="ARfintablebodyright"/>
            </w:pPr>
            <w:r w:rsidRPr="00BA3AE3">
              <w:t>–</w:t>
            </w:r>
          </w:p>
        </w:tc>
        <w:tc>
          <w:tcPr>
            <w:tcW w:w="655" w:type="dxa"/>
            <w:tcBorders>
              <w:top w:val="single" w:sz="4" w:space="0" w:color="A6A6A6"/>
            </w:tcBorders>
            <w:noWrap/>
            <w:hideMark/>
          </w:tcPr>
          <w:p w14:paraId="4BF651A3" w14:textId="77777777" w:rsidR="005F4A7E" w:rsidRPr="002029AF" w:rsidRDefault="005F4A7E" w:rsidP="00130D1C">
            <w:pPr>
              <w:pStyle w:val="ARfintablebodyright"/>
            </w:pPr>
            <w:r w:rsidRPr="00BA3AE3">
              <w:t>–</w:t>
            </w:r>
          </w:p>
        </w:tc>
        <w:tc>
          <w:tcPr>
            <w:tcW w:w="655" w:type="dxa"/>
            <w:tcBorders>
              <w:top w:val="single" w:sz="4" w:space="0" w:color="A6A6A6"/>
            </w:tcBorders>
            <w:noWrap/>
            <w:hideMark/>
          </w:tcPr>
          <w:p w14:paraId="43A6C07E" w14:textId="77777777" w:rsidR="005F4A7E" w:rsidRPr="002029AF" w:rsidRDefault="005F4A7E" w:rsidP="00130D1C">
            <w:pPr>
              <w:pStyle w:val="ARfintablebodyright"/>
            </w:pPr>
            <w:r w:rsidRPr="00BA3AE3">
              <w:t>–</w:t>
            </w:r>
          </w:p>
        </w:tc>
        <w:tc>
          <w:tcPr>
            <w:tcW w:w="654" w:type="dxa"/>
            <w:tcBorders>
              <w:top w:val="single" w:sz="4" w:space="0" w:color="A6A6A6"/>
            </w:tcBorders>
            <w:noWrap/>
            <w:hideMark/>
          </w:tcPr>
          <w:p w14:paraId="6F33794A" w14:textId="77777777" w:rsidR="005F4A7E" w:rsidRPr="002029AF" w:rsidRDefault="005F4A7E" w:rsidP="00130D1C">
            <w:pPr>
              <w:pStyle w:val="ARfintablebodyright"/>
            </w:pPr>
            <w:r w:rsidRPr="00BA3AE3">
              <w:t>–</w:t>
            </w:r>
          </w:p>
        </w:tc>
        <w:tc>
          <w:tcPr>
            <w:tcW w:w="654" w:type="dxa"/>
            <w:tcBorders>
              <w:top w:val="single" w:sz="4" w:space="0" w:color="A6A6A6"/>
            </w:tcBorders>
            <w:noWrap/>
            <w:hideMark/>
          </w:tcPr>
          <w:p w14:paraId="24C0EBB8" w14:textId="77777777" w:rsidR="005F4A7E" w:rsidRPr="002029AF" w:rsidRDefault="005F4A7E" w:rsidP="00130D1C">
            <w:pPr>
              <w:pStyle w:val="ARfintablebodyright"/>
            </w:pPr>
            <w:r w:rsidRPr="00BA3AE3">
              <w:t>–</w:t>
            </w:r>
          </w:p>
        </w:tc>
        <w:tc>
          <w:tcPr>
            <w:tcW w:w="721" w:type="dxa"/>
            <w:tcBorders>
              <w:top w:val="single" w:sz="4" w:space="0" w:color="A6A6A6"/>
            </w:tcBorders>
            <w:noWrap/>
            <w:hideMark/>
          </w:tcPr>
          <w:p w14:paraId="181FB19C" w14:textId="77777777" w:rsidR="005F4A7E" w:rsidRPr="002029AF" w:rsidRDefault="005F4A7E" w:rsidP="00130D1C">
            <w:pPr>
              <w:pStyle w:val="ARfintablebodyright"/>
            </w:pPr>
            <w:r w:rsidRPr="00BA3AE3">
              <w:t>–</w:t>
            </w:r>
          </w:p>
        </w:tc>
        <w:tc>
          <w:tcPr>
            <w:tcW w:w="882" w:type="dxa"/>
            <w:tcBorders>
              <w:top w:val="single" w:sz="4" w:space="0" w:color="A6A6A6"/>
            </w:tcBorders>
            <w:noWrap/>
            <w:hideMark/>
          </w:tcPr>
          <w:p w14:paraId="12ED7741" w14:textId="77777777" w:rsidR="005F4A7E" w:rsidRPr="002029AF" w:rsidRDefault="005F4A7E" w:rsidP="00130D1C">
            <w:pPr>
              <w:pStyle w:val="ARfintablebodyright"/>
            </w:pPr>
            <w:r w:rsidRPr="00BA3AE3">
              <w:t>–</w:t>
            </w:r>
          </w:p>
        </w:tc>
        <w:tc>
          <w:tcPr>
            <w:tcW w:w="654" w:type="dxa"/>
            <w:tcBorders>
              <w:top w:val="single" w:sz="4" w:space="0" w:color="A6A6A6"/>
            </w:tcBorders>
            <w:noWrap/>
            <w:hideMark/>
          </w:tcPr>
          <w:p w14:paraId="3B04BA53" w14:textId="77777777" w:rsidR="005F4A7E" w:rsidRPr="002029AF" w:rsidRDefault="005F4A7E" w:rsidP="00130D1C">
            <w:pPr>
              <w:pStyle w:val="ARfintablebodyright"/>
            </w:pPr>
            <w:r w:rsidRPr="00BA3AE3">
              <w:t>–</w:t>
            </w:r>
          </w:p>
        </w:tc>
        <w:tc>
          <w:tcPr>
            <w:tcW w:w="654" w:type="dxa"/>
            <w:tcBorders>
              <w:top w:val="single" w:sz="4" w:space="0" w:color="A6A6A6"/>
            </w:tcBorders>
            <w:noWrap/>
            <w:hideMark/>
          </w:tcPr>
          <w:p w14:paraId="3F6CE775" w14:textId="77777777" w:rsidR="005F4A7E" w:rsidRPr="002029AF" w:rsidRDefault="005F4A7E" w:rsidP="00130D1C">
            <w:pPr>
              <w:pStyle w:val="ARfintablebodyright"/>
            </w:pPr>
            <w:r w:rsidRPr="00BA3AE3">
              <w:t>–</w:t>
            </w:r>
          </w:p>
        </w:tc>
        <w:tc>
          <w:tcPr>
            <w:tcW w:w="654" w:type="dxa"/>
            <w:tcBorders>
              <w:top w:val="single" w:sz="4" w:space="0" w:color="A6A6A6"/>
            </w:tcBorders>
            <w:noWrap/>
            <w:hideMark/>
          </w:tcPr>
          <w:p w14:paraId="4FF83D28" w14:textId="77777777" w:rsidR="005F4A7E" w:rsidRPr="002029AF" w:rsidRDefault="005F4A7E" w:rsidP="00130D1C">
            <w:pPr>
              <w:pStyle w:val="ARfintablebodyright"/>
            </w:pPr>
            <w:r w:rsidRPr="00BA3AE3">
              <w:t>–</w:t>
            </w:r>
          </w:p>
        </w:tc>
        <w:tc>
          <w:tcPr>
            <w:tcW w:w="654" w:type="dxa"/>
            <w:tcBorders>
              <w:top w:val="single" w:sz="4" w:space="0" w:color="A6A6A6"/>
            </w:tcBorders>
            <w:noWrap/>
            <w:hideMark/>
          </w:tcPr>
          <w:p w14:paraId="014F1694" w14:textId="77777777" w:rsidR="005F4A7E" w:rsidRPr="002029AF" w:rsidRDefault="005F4A7E" w:rsidP="00130D1C">
            <w:pPr>
              <w:pStyle w:val="ARfintablebodyright"/>
            </w:pPr>
            <w:r w:rsidRPr="00BA3AE3">
              <w:t>–</w:t>
            </w:r>
          </w:p>
        </w:tc>
        <w:tc>
          <w:tcPr>
            <w:tcW w:w="654" w:type="dxa"/>
            <w:tcBorders>
              <w:top w:val="single" w:sz="4" w:space="0" w:color="A6A6A6"/>
            </w:tcBorders>
            <w:noWrap/>
            <w:hideMark/>
          </w:tcPr>
          <w:p w14:paraId="5221E695" w14:textId="77777777" w:rsidR="005F4A7E" w:rsidRPr="002029AF" w:rsidRDefault="005F4A7E" w:rsidP="00130D1C">
            <w:pPr>
              <w:pStyle w:val="ARfintablebodyright"/>
            </w:pPr>
            <w:r w:rsidRPr="00BA3AE3">
              <w:t>–</w:t>
            </w:r>
          </w:p>
        </w:tc>
        <w:tc>
          <w:tcPr>
            <w:tcW w:w="654" w:type="dxa"/>
            <w:tcBorders>
              <w:top w:val="single" w:sz="4" w:space="0" w:color="A6A6A6"/>
            </w:tcBorders>
            <w:noWrap/>
            <w:hideMark/>
          </w:tcPr>
          <w:p w14:paraId="7997D285" w14:textId="77777777" w:rsidR="005F4A7E" w:rsidRPr="002029AF" w:rsidRDefault="005F4A7E" w:rsidP="00130D1C">
            <w:pPr>
              <w:pStyle w:val="ARfintablebodyright"/>
            </w:pPr>
            <w:r w:rsidRPr="00BA3AE3">
              <w:t>–</w:t>
            </w:r>
          </w:p>
        </w:tc>
        <w:tc>
          <w:tcPr>
            <w:tcW w:w="833" w:type="dxa"/>
            <w:tcBorders>
              <w:top w:val="single" w:sz="4" w:space="0" w:color="A6A6A6"/>
            </w:tcBorders>
            <w:noWrap/>
            <w:hideMark/>
          </w:tcPr>
          <w:p w14:paraId="50742F4D" w14:textId="77777777" w:rsidR="005F4A7E" w:rsidRPr="002029AF" w:rsidRDefault="005F4A7E" w:rsidP="00130D1C">
            <w:pPr>
              <w:pStyle w:val="ARfintablebodyright"/>
            </w:pPr>
            <w:r w:rsidRPr="00BA3AE3">
              <w:t>(9.3)</w:t>
            </w:r>
          </w:p>
        </w:tc>
      </w:tr>
      <w:tr w:rsidR="005F4A7E" w:rsidRPr="002029AF" w14:paraId="0DE3F955" w14:textId="77777777" w:rsidTr="00130D1C">
        <w:tc>
          <w:tcPr>
            <w:tcW w:w="3334" w:type="dxa"/>
            <w:hideMark/>
          </w:tcPr>
          <w:p w14:paraId="17353DC0" w14:textId="77777777" w:rsidR="005F4A7E" w:rsidRPr="002029AF" w:rsidRDefault="005F4A7E" w:rsidP="00130D1C">
            <w:pPr>
              <w:pStyle w:val="ARfintablebodybold"/>
            </w:pPr>
            <w:r w:rsidRPr="00BA3AE3">
              <w:t>Total administered other economic flows</w:t>
            </w:r>
          </w:p>
        </w:tc>
        <w:tc>
          <w:tcPr>
            <w:tcW w:w="835" w:type="dxa"/>
            <w:noWrap/>
            <w:hideMark/>
          </w:tcPr>
          <w:p w14:paraId="708EB541" w14:textId="77777777" w:rsidR="005F4A7E" w:rsidRPr="002029AF" w:rsidRDefault="005F4A7E" w:rsidP="00130D1C">
            <w:pPr>
              <w:pStyle w:val="ARfintablebodyrightbold"/>
            </w:pPr>
            <w:r w:rsidRPr="00BA3AE3">
              <w:t>(9.2)</w:t>
            </w:r>
          </w:p>
        </w:tc>
        <w:tc>
          <w:tcPr>
            <w:tcW w:w="656" w:type="dxa"/>
            <w:noWrap/>
            <w:hideMark/>
          </w:tcPr>
          <w:p w14:paraId="2DCC7BE5" w14:textId="77777777" w:rsidR="005F4A7E" w:rsidRPr="002029AF" w:rsidRDefault="005F4A7E" w:rsidP="00130D1C">
            <w:pPr>
              <w:pStyle w:val="ARfintablebodyrightbold"/>
            </w:pPr>
            <w:r w:rsidRPr="00BA3AE3">
              <w:t>0.1</w:t>
            </w:r>
          </w:p>
        </w:tc>
        <w:tc>
          <w:tcPr>
            <w:tcW w:w="656" w:type="dxa"/>
            <w:noWrap/>
            <w:hideMark/>
          </w:tcPr>
          <w:p w14:paraId="18B9CEA5" w14:textId="77777777" w:rsidR="005F4A7E" w:rsidRPr="002029AF" w:rsidRDefault="005F4A7E" w:rsidP="00130D1C">
            <w:pPr>
              <w:pStyle w:val="ARfintablebodyrightbold"/>
            </w:pPr>
            <w:r w:rsidRPr="00BA3AE3">
              <w:t>–</w:t>
            </w:r>
          </w:p>
        </w:tc>
        <w:tc>
          <w:tcPr>
            <w:tcW w:w="655" w:type="dxa"/>
            <w:noWrap/>
            <w:hideMark/>
          </w:tcPr>
          <w:p w14:paraId="2B394A3D" w14:textId="77777777" w:rsidR="005F4A7E" w:rsidRPr="002029AF" w:rsidRDefault="005F4A7E" w:rsidP="00130D1C">
            <w:pPr>
              <w:pStyle w:val="ARfintablebodyrightbold"/>
            </w:pPr>
            <w:r w:rsidRPr="00BA3AE3">
              <w:t>–</w:t>
            </w:r>
          </w:p>
        </w:tc>
        <w:tc>
          <w:tcPr>
            <w:tcW w:w="655" w:type="dxa"/>
            <w:noWrap/>
            <w:hideMark/>
          </w:tcPr>
          <w:p w14:paraId="4FE1C5C6" w14:textId="77777777" w:rsidR="005F4A7E" w:rsidRPr="002029AF" w:rsidRDefault="005F4A7E" w:rsidP="00130D1C">
            <w:pPr>
              <w:pStyle w:val="ARfintablebodyrightbold"/>
            </w:pPr>
            <w:r w:rsidRPr="00BA3AE3">
              <w:t>–</w:t>
            </w:r>
          </w:p>
        </w:tc>
        <w:tc>
          <w:tcPr>
            <w:tcW w:w="654" w:type="dxa"/>
            <w:noWrap/>
            <w:hideMark/>
          </w:tcPr>
          <w:p w14:paraId="236D1EF0" w14:textId="77777777" w:rsidR="005F4A7E" w:rsidRPr="002029AF" w:rsidRDefault="005F4A7E" w:rsidP="00130D1C">
            <w:pPr>
              <w:pStyle w:val="ARfintablebodyrightbold"/>
            </w:pPr>
            <w:r w:rsidRPr="00BA3AE3">
              <w:t>–</w:t>
            </w:r>
          </w:p>
        </w:tc>
        <w:tc>
          <w:tcPr>
            <w:tcW w:w="654" w:type="dxa"/>
            <w:noWrap/>
            <w:hideMark/>
          </w:tcPr>
          <w:p w14:paraId="2C48A725" w14:textId="77777777" w:rsidR="005F4A7E" w:rsidRPr="002029AF" w:rsidRDefault="005F4A7E" w:rsidP="00130D1C">
            <w:pPr>
              <w:pStyle w:val="ARfintablebodyrightbold"/>
            </w:pPr>
            <w:r w:rsidRPr="00BA3AE3">
              <w:t>–</w:t>
            </w:r>
          </w:p>
        </w:tc>
        <w:tc>
          <w:tcPr>
            <w:tcW w:w="721" w:type="dxa"/>
            <w:noWrap/>
            <w:hideMark/>
          </w:tcPr>
          <w:p w14:paraId="7A40F4A1" w14:textId="77777777" w:rsidR="005F4A7E" w:rsidRPr="002029AF" w:rsidRDefault="005F4A7E" w:rsidP="00130D1C">
            <w:pPr>
              <w:pStyle w:val="ARfintablebodyrightbold"/>
            </w:pPr>
            <w:r w:rsidRPr="00BA3AE3">
              <w:t>–</w:t>
            </w:r>
          </w:p>
        </w:tc>
        <w:tc>
          <w:tcPr>
            <w:tcW w:w="882" w:type="dxa"/>
            <w:noWrap/>
            <w:hideMark/>
          </w:tcPr>
          <w:p w14:paraId="28F5BB8D" w14:textId="77777777" w:rsidR="005F4A7E" w:rsidRPr="002029AF" w:rsidRDefault="005F4A7E" w:rsidP="00130D1C">
            <w:pPr>
              <w:pStyle w:val="ARfintablebodyrightbold"/>
            </w:pPr>
            <w:r w:rsidRPr="00BA3AE3">
              <w:t>–</w:t>
            </w:r>
          </w:p>
        </w:tc>
        <w:tc>
          <w:tcPr>
            <w:tcW w:w="654" w:type="dxa"/>
            <w:noWrap/>
            <w:hideMark/>
          </w:tcPr>
          <w:p w14:paraId="7628DBD3" w14:textId="77777777" w:rsidR="005F4A7E" w:rsidRPr="002029AF" w:rsidRDefault="005F4A7E" w:rsidP="00130D1C">
            <w:pPr>
              <w:pStyle w:val="ARfintablebodyrightbold"/>
            </w:pPr>
            <w:r w:rsidRPr="00BA3AE3">
              <w:t>(0.1)</w:t>
            </w:r>
          </w:p>
        </w:tc>
        <w:tc>
          <w:tcPr>
            <w:tcW w:w="654" w:type="dxa"/>
            <w:noWrap/>
            <w:hideMark/>
          </w:tcPr>
          <w:p w14:paraId="1886120F" w14:textId="77777777" w:rsidR="005F4A7E" w:rsidRPr="002029AF" w:rsidRDefault="005F4A7E" w:rsidP="00130D1C">
            <w:pPr>
              <w:pStyle w:val="ARfintablebodyrightbold"/>
            </w:pPr>
            <w:r w:rsidRPr="00BA3AE3">
              <w:t>–</w:t>
            </w:r>
          </w:p>
        </w:tc>
        <w:tc>
          <w:tcPr>
            <w:tcW w:w="654" w:type="dxa"/>
            <w:noWrap/>
            <w:hideMark/>
          </w:tcPr>
          <w:p w14:paraId="6A6F8C35" w14:textId="77777777" w:rsidR="005F4A7E" w:rsidRPr="002029AF" w:rsidRDefault="005F4A7E" w:rsidP="00130D1C">
            <w:pPr>
              <w:pStyle w:val="ARfintablebodyrightbold"/>
            </w:pPr>
            <w:r w:rsidRPr="00BA3AE3">
              <w:t>–</w:t>
            </w:r>
          </w:p>
        </w:tc>
        <w:tc>
          <w:tcPr>
            <w:tcW w:w="654" w:type="dxa"/>
            <w:noWrap/>
            <w:hideMark/>
          </w:tcPr>
          <w:p w14:paraId="5462C763" w14:textId="77777777" w:rsidR="005F4A7E" w:rsidRPr="002029AF" w:rsidRDefault="005F4A7E" w:rsidP="00130D1C">
            <w:pPr>
              <w:pStyle w:val="ARfintablebodyrightbold"/>
            </w:pPr>
            <w:r w:rsidRPr="00BA3AE3">
              <w:t>0.3</w:t>
            </w:r>
          </w:p>
        </w:tc>
        <w:tc>
          <w:tcPr>
            <w:tcW w:w="654" w:type="dxa"/>
            <w:noWrap/>
            <w:hideMark/>
          </w:tcPr>
          <w:p w14:paraId="6C87FDA6" w14:textId="77777777" w:rsidR="005F4A7E" w:rsidRPr="002029AF" w:rsidRDefault="005F4A7E" w:rsidP="00130D1C">
            <w:pPr>
              <w:pStyle w:val="ARfintablebodyrightbold"/>
            </w:pPr>
            <w:r w:rsidRPr="00BA3AE3">
              <w:t>–</w:t>
            </w:r>
          </w:p>
        </w:tc>
        <w:tc>
          <w:tcPr>
            <w:tcW w:w="654" w:type="dxa"/>
            <w:noWrap/>
            <w:hideMark/>
          </w:tcPr>
          <w:p w14:paraId="381ABD98" w14:textId="77777777" w:rsidR="005F4A7E" w:rsidRPr="002029AF" w:rsidRDefault="005F4A7E" w:rsidP="00130D1C">
            <w:pPr>
              <w:pStyle w:val="ARfintablebodyrightbold"/>
            </w:pPr>
            <w:r w:rsidRPr="00BA3AE3">
              <w:t>–</w:t>
            </w:r>
          </w:p>
        </w:tc>
        <w:tc>
          <w:tcPr>
            <w:tcW w:w="833" w:type="dxa"/>
            <w:noWrap/>
            <w:hideMark/>
          </w:tcPr>
          <w:p w14:paraId="74E84675" w14:textId="77777777" w:rsidR="005F4A7E" w:rsidRPr="002029AF" w:rsidRDefault="005F4A7E" w:rsidP="00130D1C">
            <w:pPr>
              <w:pStyle w:val="ARfintablebodyrightbold"/>
            </w:pPr>
            <w:r w:rsidRPr="00BA3AE3">
              <w:t>(8.9)</w:t>
            </w:r>
          </w:p>
        </w:tc>
      </w:tr>
      <w:tr w:rsidR="005F4A7E" w:rsidRPr="002029AF" w14:paraId="246A8296" w14:textId="77777777" w:rsidTr="00130D1C">
        <w:tc>
          <w:tcPr>
            <w:tcW w:w="3334" w:type="dxa"/>
            <w:hideMark/>
          </w:tcPr>
          <w:p w14:paraId="7DE0EB0C" w14:textId="77777777" w:rsidR="005F4A7E" w:rsidRPr="002029AF" w:rsidRDefault="005F4A7E" w:rsidP="00130D1C">
            <w:pPr>
              <w:pStyle w:val="ARfintablebodybold"/>
            </w:pPr>
            <w:r w:rsidRPr="00BA3AE3">
              <w:t>Administered net result</w:t>
            </w:r>
          </w:p>
        </w:tc>
        <w:tc>
          <w:tcPr>
            <w:tcW w:w="835" w:type="dxa"/>
            <w:noWrap/>
            <w:hideMark/>
          </w:tcPr>
          <w:p w14:paraId="38A61BE7" w14:textId="77777777" w:rsidR="005F4A7E" w:rsidRPr="002029AF" w:rsidRDefault="005F4A7E" w:rsidP="00130D1C">
            <w:pPr>
              <w:pStyle w:val="ARfintablebodyrightbold"/>
            </w:pPr>
            <w:r w:rsidRPr="00BA3AE3">
              <w:t>(52.4)</w:t>
            </w:r>
          </w:p>
        </w:tc>
        <w:tc>
          <w:tcPr>
            <w:tcW w:w="656" w:type="dxa"/>
            <w:noWrap/>
            <w:hideMark/>
          </w:tcPr>
          <w:p w14:paraId="5789402A" w14:textId="77777777" w:rsidR="005F4A7E" w:rsidRPr="002029AF" w:rsidRDefault="005F4A7E" w:rsidP="00130D1C">
            <w:pPr>
              <w:pStyle w:val="ARfintablebodyrightbold"/>
            </w:pPr>
            <w:r w:rsidRPr="00BA3AE3">
              <w:t>(0.6)</w:t>
            </w:r>
          </w:p>
        </w:tc>
        <w:tc>
          <w:tcPr>
            <w:tcW w:w="656" w:type="dxa"/>
            <w:noWrap/>
            <w:hideMark/>
          </w:tcPr>
          <w:p w14:paraId="476F5D87" w14:textId="77777777" w:rsidR="005F4A7E" w:rsidRPr="002029AF" w:rsidRDefault="005F4A7E" w:rsidP="00130D1C">
            <w:pPr>
              <w:pStyle w:val="ARfintablebodyrightbold"/>
            </w:pPr>
            <w:r w:rsidRPr="00BA3AE3">
              <w:t>3.6</w:t>
            </w:r>
          </w:p>
        </w:tc>
        <w:tc>
          <w:tcPr>
            <w:tcW w:w="655" w:type="dxa"/>
            <w:noWrap/>
            <w:hideMark/>
          </w:tcPr>
          <w:p w14:paraId="1663EED2" w14:textId="77777777" w:rsidR="005F4A7E" w:rsidRPr="002029AF" w:rsidRDefault="005F4A7E" w:rsidP="00130D1C">
            <w:pPr>
              <w:pStyle w:val="ARfintablebodyrightbold"/>
            </w:pPr>
            <w:r w:rsidRPr="00BA3AE3">
              <w:t>36.1</w:t>
            </w:r>
          </w:p>
        </w:tc>
        <w:tc>
          <w:tcPr>
            <w:tcW w:w="655" w:type="dxa"/>
            <w:noWrap/>
            <w:hideMark/>
          </w:tcPr>
          <w:p w14:paraId="12CD9B8D" w14:textId="77777777" w:rsidR="005F4A7E" w:rsidRPr="002029AF" w:rsidRDefault="005F4A7E" w:rsidP="00130D1C">
            <w:pPr>
              <w:pStyle w:val="ARfintablebodyrightbold"/>
            </w:pPr>
            <w:r w:rsidRPr="00BA3AE3">
              <w:t>1.4</w:t>
            </w:r>
          </w:p>
        </w:tc>
        <w:tc>
          <w:tcPr>
            <w:tcW w:w="654" w:type="dxa"/>
            <w:noWrap/>
            <w:hideMark/>
          </w:tcPr>
          <w:p w14:paraId="74D5189B" w14:textId="77777777" w:rsidR="005F4A7E" w:rsidRPr="002029AF" w:rsidRDefault="005F4A7E" w:rsidP="00130D1C">
            <w:pPr>
              <w:pStyle w:val="ARfintablebodyrightbold"/>
            </w:pPr>
            <w:r w:rsidRPr="00BA3AE3">
              <w:t>0.3</w:t>
            </w:r>
          </w:p>
        </w:tc>
        <w:tc>
          <w:tcPr>
            <w:tcW w:w="654" w:type="dxa"/>
            <w:noWrap/>
            <w:hideMark/>
          </w:tcPr>
          <w:p w14:paraId="2E1DEED7" w14:textId="77777777" w:rsidR="005F4A7E" w:rsidRPr="002029AF" w:rsidRDefault="005F4A7E" w:rsidP="00130D1C">
            <w:pPr>
              <w:pStyle w:val="ARfintablebodyrightbold"/>
            </w:pPr>
            <w:r w:rsidRPr="00BA3AE3">
              <w:t>7.9</w:t>
            </w:r>
          </w:p>
        </w:tc>
        <w:tc>
          <w:tcPr>
            <w:tcW w:w="721" w:type="dxa"/>
            <w:noWrap/>
            <w:hideMark/>
          </w:tcPr>
          <w:p w14:paraId="4D6083BF" w14:textId="77777777" w:rsidR="005F4A7E" w:rsidRPr="002029AF" w:rsidRDefault="005F4A7E" w:rsidP="00130D1C">
            <w:pPr>
              <w:pStyle w:val="ARfintablebodyrightbold"/>
            </w:pPr>
            <w:r w:rsidRPr="00BA3AE3">
              <w:t>0.6</w:t>
            </w:r>
          </w:p>
        </w:tc>
        <w:tc>
          <w:tcPr>
            <w:tcW w:w="882" w:type="dxa"/>
            <w:noWrap/>
            <w:hideMark/>
          </w:tcPr>
          <w:p w14:paraId="0AAB27D5" w14:textId="77777777" w:rsidR="005F4A7E" w:rsidRPr="002029AF" w:rsidRDefault="005F4A7E" w:rsidP="00130D1C">
            <w:pPr>
              <w:pStyle w:val="ARfintablebodyrightbold"/>
            </w:pPr>
            <w:r w:rsidRPr="00BA3AE3">
              <w:t>(145.7)</w:t>
            </w:r>
          </w:p>
        </w:tc>
        <w:tc>
          <w:tcPr>
            <w:tcW w:w="654" w:type="dxa"/>
            <w:noWrap/>
            <w:hideMark/>
          </w:tcPr>
          <w:p w14:paraId="6323CA01" w14:textId="77777777" w:rsidR="005F4A7E" w:rsidRPr="002029AF" w:rsidRDefault="005F4A7E" w:rsidP="00130D1C">
            <w:pPr>
              <w:pStyle w:val="ARfintablebodyrightbold"/>
            </w:pPr>
            <w:r w:rsidRPr="00BA3AE3">
              <w:t>0.3</w:t>
            </w:r>
          </w:p>
        </w:tc>
        <w:tc>
          <w:tcPr>
            <w:tcW w:w="654" w:type="dxa"/>
            <w:noWrap/>
            <w:hideMark/>
          </w:tcPr>
          <w:p w14:paraId="6F0967F8" w14:textId="77777777" w:rsidR="005F4A7E" w:rsidRPr="002029AF" w:rsidRDefault="005F4A7E" w:rsidP="00130D1C">
            <w:pPr>
              <w:pStyle w:val="ARfintablebodyrightbold"/>
            </w:pPr>
            <w:r w:rsidRPr="00BA3AE3">
              <w:t>(0.6)</w:t>
            </w:r>
          </w:p>
        </w:tc>
        <w:tc>
          <w:tcPr>
            <w:tcW w:w="654" w:type="dxa"/>
            <w:noWrap/>
            <w:hideMark/>
          </w:tcPr>
          <w:p w14:paraId="56E68C9A" w14:textId="77777777" w:rsidR="005F4A7E" w:rsidRPr="002029AF" w:rsidRDefault="005F4A7E" w:rsidP="00130D1C">
            <w:pPr>
              <w:pStyle w:val="ARfintablebodyrightbold"/>
            </w:pPr>
            <w:r w:rsidRPr="00BA3AE3">
              <w:t>0.1</w:t>
            </w:r>
          </w:p>
        </w:tc>
        <w:tc>
          <w:tcPr>
            <w:tcW w:w="654" w:type="dxa"/>
            <w:noWrap/>
            <w:hideMark/>
          </w:tcPr>
          <w:p w14:paraId="65ACE55B" w14:textId="77777777" w:rsidR="005F4A7E" w:rsidRPr="002029AF" w:rsidRDefault="005F4A7E" w:rsidP="00130D1C">
            <w:pPr>
              <w:pStyle w:val="ARfintablebodyrightbold"/>
            </w:pPr>
            <w:r w:rsidRPr="00BA3AE3">
              <w:t>0.3</w:t>
            </w:r>
          </w:p>
        </w:tc>
        <w:tc>
          <w:tcPr>
            <w:tcW w:w="654" w:type="dxa"/>
            <w:noWrap/>
            <w:hideMark/>
          </w:tcPr>
          <w:p w14:paraId="34E7C61A" w14:textId="77777777" w:rsidR="005F4A7E" w:rsidRPr="002029AF" w:rsidRDefault="005F4A7E" w:rsidP="00130D1C">
            <w:pPr>
              <w:pStyle w:val="ARfintablebodyrightbold"/>
            </w:pPr>
            <w:r w:rsidRPr="00BA3AE3">
              <w:t>–</w:t>
            </w:r>
          </w:p>
        </w:tc>
        <w:tc>
          <w:tcPr>
            <w:tcW w:w="654" w:type="dxa"/>
            <w:noWrap/>
            <w:hideMark/>
          </w:tcPr>
          <w:p w14:paraId="3AA79874" w14:textId="77777777" w:rsidR="005F4A7E" w:rsidRPr="002029AF" w:rsidRDefault="005F4A7E" w:rsidP="00130D1C">
            <w:pPr>
              <w:pStyle w:val="ARfintablebodyrightbold"/>
            </w:pPr>
            <w:r w:rsidRPr="00BA3AE3">
              <w:t>–</w:t>
            </w:r>
          </w:p>
        </w:tc>
        <w:tc>
          <w:tcPr>
            <w:tcW w:w="833" w:type="dxa"/>
            <w:noWrap/>
            <w:hideMark/>
          </w:tcPr>
          <w:p w14:paraId="4A907F25" w14:textId="77777777" w:rsidR="005F4A7E" w:rsidRPr="002029AF" w:rsidRDefault="005F4A7E" w:rsidP="00130D1C">
            <w:pPr>
              <w:pStyle w:val="ARfintablebodyrightbold"/>
            </w:pPr>
            <w:r w:rsidRPr="00BA3AE3">
              <w:t>(148.7)</w:t>
            </w:r>
          </w:p>
        </w:tc>
      </w:tr>
    </w:tbl>
    <w:p w14:paraId="25208DA9" w14:textId="77777777" w:rsidR="005F4A7E" w:rsidRDefault="005F4A7E" w:rsidP="00130D1C">
      <w:pPr>
        <w:pStyle w:val="ARfintablefootnote"/>
      </w:pPr>
      <w:bookmarkStart w:id="864" w:name="_Hlk82950432"/>
      <w:bookmarkEnd w:id="863"/>
      <w:r>
        <w:t>Notes:</w:t>
      </w:r>
    </w:p>
    <w:p w14:paraId="6CE745B6" w14:textId="77777777" w:rsidR="005F4A7E" w:rsidRDefault="005F4A7E" w:rsidP="00130D1C">
      <w:pPr>
        <w:pStyle w:val="ARfintablefootnoteindent"/>
      </w:pPr>
      <w:r>
        <w:t>(i)</w:t>
      </w:r>
      <w:r>
        <w:tab/>
        <w:t>Refer to Note 4.1.1 for output group definitions.</w:t>
      </w:r>
    </w:p>
    <w:p w14:paraId="7F6A5598" w14:textId="77777777" w:rsidR="005F4A7E" w:rsidRDefault="005F4A7E" w:rsidP="00130D1C">
      <w:pPr>
        <w:pStyle w:val="ARfintablefootnoteindent"/>
      </w:pPr>
      <w:r>
        <w:t>(ii)</w:t>
      </w:r>
      <w:r>
        <w:tab/>
        <w:t>Output group 14 Housing Assistance and output group 15 Shared Services are not applicable for administered activities.</w:t>
      </w:r>
      <w:bookmarkEnd w:id="864"/>
    </w:p>
    <w:tbl>
      <w:tblPr>
        <w:tblStyle w:val="TableGrid"/>
        <w:tblW w:w="14459" w:type="dxa"/>
        <w:tblLayout w:type="fixed"/>
        <w:tblCellMar>
          <w:right w:w="0" w:type="dxa"/>
        </w:tblCellMar>
        <w:tblLook w:val="06A0" w:firstRow="1" w:lastRow="0" w:firstColumn="1" w:lastColumn="0" w:noHBand="1" w:noVBand="1"/>
      </w:tblPr>
      <w:tblGrid>
        <w:gridCol w:w="3334"/>
        <w:gridCol w:w="835"/>
        <w:gridCol w:w="656"/>
        <w:gridCol w:w="656"/>
        <w:gridCol w:w="655"/>
        <w:gridCol w:w="655"/>
        <w:gridCol w:w="654"/>
        <w:gridCol w:w="654"/>
        <w:gridCol w:w="721"/>
        <w:gridCol w:w="882"/>
        <w:gridCol w:w="654"/>
        <w:gridCol w:w="654"/>
        <w:gridCol w:w="654"/>
        <w:gridCol w:w="654"/>
        <w:gridCol w:w="654"/>
        <w:gridCol w:w="654"/>
        <w:gridCol w:w="833"/>
      </w:tblGrid>
      <w:tr w:rsidR="005F4A7E" w:rsidRPr="002029AF" w14:paraId="29E407D5"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3334" w:type="dxa"/>
            <w:tcBorders>
              <w:bottom w:val="single" w:sz="4" w:space="0" w:color="auto"/>
            </w:tcBorders>
            <w:hideMark/>
          </w:tcPr>
          <w:p w14:paraId="2D629970" w14:textId="77777777" w:rsidR="005F4A7E" w:rsidRDefault="005F4A7E" w:rsidP="00130D1C">
            <w:pPr>
              <w:pStyle w:val="ARfintablecolhead"/>
              <w:pageBreakBefore/>
            </w:pPr>
            <w:r w:rsidRPr="002E1506">
              <w:lastRenderedPageBreak/>
              <w:t xml:space="preserve">Year ended 30 June </w:t>
            </w:r>
            <w:r>
              <w:t>2020</w:t>
            </w:r>
          </w:p>
          <w:p w14:paraId="3AA522D9" w14:textId="77777777" w:rsidR="005F4A7E" w:rsidRPr="002029AF" w:rsidRDefault="005F4A7E" w:rsidP="00130D1C">
            <w:pPr>
              <w:pStyle w:val="ARfintablecolhead"/>
            </w:pPr>
            <w:r w:rsidRPr="002029AF">
              <w:t xml:space="preserve">Output group </w:t>
            </w:r>
            <w:r w:rsidRPr="002029AF">
              <w:rPr>
                <w:rStyle w:val="Superscript"/>
              </w:rPr>
              <w:t>(i)(ii)</w:t>
            </w:r>
          </w:p>
        </w:tc>
        <w:tc>
          <w:tcPr>
            <w:tcW w:w="835" w:type="dxa"/>
            <w:tcBorders>
              <w:bottom w:val="single" w:sz="4" w:space="0" w:color="auto"/>
            </w:tcBorders>
            <w:hideMark/>
          </w:tcPr>
          <w:p w14:paraId="6C36AB68" w14:textId="77777777" w:rsidR="005F4A7E" w:rsidRPr="00593BF7" w:rsidRDefault="005F4A7E" w:rsidP="00130D1C">
            <w:pPr>
              <w:pStyle w:val="ARfintablecolheadright"/>
            </w:pPr>
            <w:r w:rsidRPr="00593BF7">
              <w:t>1</w:t>
            </w:r>
          </w:p>
          <w:p w14:paraId="085AA70D" w14:textId="77777777" w:rsidR="005F4A7E" w:rsidRPr="00593BF7" w:rsidRDefault="005F4A7E" w:rsidP="00130D1C">
            <w:pPr>
              <w:pStyle w:val="ARfintablecolheadright"/>
            </w:pPr>
            <w:r w:rsidRPr="00593BF7">
              <w:t>$M</w:t>
            </w:r>
          </w:p>
        </w:tc>
        <w:tc>
          <w:tcPr>
            <w:tcW w:w="656" w:type="dxa"/>
            <w:tcBorders>
              <w:bottom w:val="single" w:sz="4" w:space="0" w:color="auto"/>
            </w:tcBorders>
            <w:hideMark/>
          </w:tcPr>
          <w:p w14:paraId="18C7515A" w14:textId="77777777" w:rsidR="005F4A7E" w:rsidRPr="00593BF7" w:rsidRDefault="005F4A7E" w:rsidP="00130D1C">
            <w:pPr>
              <w:pStyle w:val="ARfintablecolheadright"/>
            </w:pPr>
            <w:r w:rsidRPr="00593BF7">
              <w:t>2</w:t>
            </w:r>
          </w:p>
          <w:p w14:paraId="3188A2F1" w14:textId="77777777" w:rsidR="005F4A7E" w:rsidRPr="00593BF7" w:rsidRDefault="005F4A7E" w:rsidP="00130D1C">
            <w:pPr>
              <w:pStyle w:val="ARfintablecolheadright"/>
            </w:pPr>
            <w:r w:rsidRPr="00593BF7">
              <w:t>$M</w:t>
            </w:r>
          </w:p>
        </w:tc>
        <w:tc>
          <w:tcPr>
            <w:tcW w:w="656" w:type="dxa"/>
            <w:tcBorders>
              <w:bottom w:val="single" w:sz="4" w:space="0" w:color="auto"/>
            </w:tcBorders>
            <w:hideMark/>
          </w:tcPr>
          <w:p w14:paraId="61DFC8B2" w14:textId="77777777" w:rsidR="005F4A7E" w:rsidRPr="00593BF7" w:rsidRDefault="005F4A7E" w:rsidP="00130D1C">
            <w:pPr>
              <w:pStyle w:val="ARfintablecolheadright"/>
            </w:pPr>
            <w:r w:rsidRPr="00593BF7">
              <w:t>3</w:t>
            </w:r>
          </w:p>
          <w:p w14:paraId="61234A00" w14:textId="77777777" w:rsidR="005F4A7E" w:rsidRPr="00593BF7" w:rsidRDefault="005F4A7E" w:rsidP="00130D1C">
            <w:pPr>
              <w:pStyle w:val="ARfintablecolheadright"/>
            </w:pPr>
            <w:r w:rsidRPr="00593BF7">
              <w:t>$M</w:t>
            </w:r>
          </w:p>
        </w:tc>
        <w:tc>
          <w:tcPr>
            <w:tcW w:w="655" w:type="dxa"/>
            <w:tcBorders>
              <w:bottom w:val="single" w:sz="4" w:space="0" w:color="auto"/>
            </w:tcBorders>
            <w:hideMark/>
          </w:tcPr>
          <w:p w14:paraId="21DACD13" w14:textId="77777777" w:rsidR="005F4A7E" w:rsidRPr="00593BF7" w:rsidRDefault="005F4A7E" w:rsidP="00130D1C">
            <w:pPr>
              <w:pStyle w:val="ARfintablecolheadright"/>
            </w:pPr>
            <w:r w:rsidRPr="00593BF7">
              <w:t>4</w:t>
            </w:r>
          </w:p>
          <w:p w14:paraId="61FA1B08" w14:textId="77777777" w:rsidR="005F4A7E" w:rsidRPr="00593BF7" w:rsidRDefault="005F4A7E" w:rsidP="00130D1C">
            <w:pPr>
              <w:pStyle w:val="ARfintablecolheadright"/>
            </w:pPr>
            <w:r w:rsidRPr="00593BF7">
              <w:t>$M</w:t>
            </w:r>
          </w:p>
        </w:tc>
        <w:tc>
          <w:tcPr>
            <w:tcW w:w="655" w:type="dxa"/>
            <w:tcBorders>
              <w:bottom w:val="single" w:sz="4" w:space="0" w:color="auto"/>
            </w:tcBorders>
            <w:hideMark/>
          </w:tcPr>
          <w:p w14:paraId="52EBE689" w14:textId="77777777" w:rsidR="005F4A7E" w:rsidRPr="00593BF7" w:rsidRDefault="005F4A7E" w:rsidP="00130D1C">
            <w:pPr>
              <w:pStyle w:val="ARfintablecolheadright"/>
            </w:pPr>
            <w:r w:rsidRPr="00593BF7">
              <w:t>5</w:t>
            </w:r>
          </w:p>
          <w:p w14:paraId="3EF7ED70" w14:textId="77777777" w:rsidR="005F4A7E" w:rsidRPr="00593BF7" w:rsidRDefault="005F4A7E" w:rsidP="00130D1C">
            <w:pPr>
              <w:pStyle w:val="ARfintablecolheadright"/>
            </w:pPr>
            <w:r w:rsidRPr="00593BF7">
              <w:t>$M</w:t>
            </w:r>
          </w:p>
        </w:tc>
        <w:tc>
          <w:tcPr>
            <w:tcW w:w="654" w:type="dxa"/>
            <w:tcBorders>
              <w:bottom w:val="single" w:sz="4" w:space="0" w:color="auto"/>
            </w:tcBorders>
            <w:hideMark/>
          </w:tcPr>
          <w:p w14:paraId="485CA918" w14:textId="77777777" w:rsidR="005F4A7E" w:rsidRPr="00593BF7" w:rsidRDefault="005F4A7E" w:rsidP="00130D1C">
            <w:pPr>
              <w:pStyle w:val="ARfintablecolheadright"/>
            </w:pPr>
            <w:r w:rsidRPr="00593BF7">
              <w:t>6</w:t>
            </w:r>
          </w:p>
          <w:p w14:paraId="25CFDB88" w14:textId="77777777" w:rsidR="005F4A7E" w:rsidRPr="00593BF7" w:rsidRDefault="005F4A7E" w:rsidP="00130D1C">
            <w:pPr>
              <w:pStyle w:val="ARfintablecolheadright"/>
            </w:pPr>
            <w:r w:rsidRPr="00593BF7">
              <w:t>$M</w:t>
            </w:r>
          </w:p>
        </w:tc>
        <w:tc>
          <w:tcPr>
            <w:tcW w:w="654" w:type="dxa"/>
            <w:tcBorders>
              <w:bottom w:val="single" w:sz="4" w:space="0" w:color="auto"/>
            </w:tcBorders>
            <w:hideMark/>
          </w:tcPr>
          <w:p w14:paraId="3225B3C5" w14:textId="77777777" w:rsidR="005F4A7E" w:rsidRPr="00593BF7" w:rsidRDefault="005F4A7E" w:rsidP="00130D1C">
            <w:pPr>
              <w:pStyle w:val="ARfintablecolheadright"/>
            </w:pPr>
            <w:r w:rsidRPr="00593BF7">
              <w:t>7</w:t>
            </w:r>
          </w:p>
          <w:p w14:paraId="6B6E4B5B" w14:textId="77777777" w:rsidR="005F4A7E" w:rsidRPr="00593BF7" w:rsidRDefault="005F4A7E" w:rsidP="00130D1C">
            <w:pPr>
              <w:pStyle w:val="ARfintablecolheadright"/>
            </w:pPr>
            <w:r w:rsidRPr="00593BF7">
              <w:t>$M</w:t>
            </w:r>
          </w:p>
        </w:tc>
        <w:tc>
          <w:tcPr>
            <w:tcW w:w="721" w:type="dxa"/>
            <w:tcBorders>
              <w:bottom w:val="single" w:sz="4" w:space="0" w:color="auto"/>
            </w:tcBorders>
            <w:hideMark/>
          </w:tcPr>
          <w:p w14:paraId="014DC425" w14:textId="77777777" w:rsidR="005F4A7E" w:rsidRPr="00593BF7" w:rsidRDefault="005F4A7E" w:rsidP="00130D1C">
            <w:pPr>
              <w:pStyle w:val="ARfintablecolheadright"/>
            </w:pPr>
            <w:r w:rsidRPr="00593BF7">
              <w:t>8</w:t>
            </w:r>
          </w:p>
          <w:p w14:paraId="1F6A6A14" w14:textId="77777777" w:rsidR="005F4A7E" w:rsidRPr="00593BF7" w:rsidRDefault="005F4A7E" w:rsidP="00130D1C">
            <w:pPr>
              <w:pStyle w:val="ARfintablecolheadright"/>
            </w:pPr>
            <w:r w:rsidRPr="00593BF7">
              <w:t>$M</w:t>
            </w:r>
          </w:p>
        </w:tc>
        <w:tc>
          <w:tcPr>
            <w:tcW w:w="882" w:type="dxa"/>
            <w:tcBorders>
              <w:bottom w:val="single" w:sz="4" w:space="0" w:color="auto"/>
            </w:tcBorders>
            <w:hideMark/>
          </w:tcPr>
          <w:p w14:paraId="5074424E" w14:textId="77777777" w:rsidR="005F4A7E" w:rsidRPr="00593BF7" w:rsidRDefault="005F4A7E" w:rsidP="00130D1C">
            <w:pPr>
              <w:pStyle w:val="ARfintablecolheadright"/>
            </w:pPr>
            <w:r w:rsidRPr="00593BF7">
              <w:t>9</w:t>
            </w:r>
          </w:p>
          <w:p w14:paraId="172082CB" w14:textId="77777777" w:rsidR="005F4A7E" w:rsidRPr="00593BF7" w:rsidRDefault="005F4A7E" w:rsidP="00130D1C">
            <w:pPr>
              <w:pStyle w:val="ARfintablecolheadright"/>
            </w:pPr>
            <w:r w:rsidRPr="00593BF7">
              <w:t>$M</w:t>
            </w:r>
          </w:p>
        </w:tc>
        <w:tc>
          <w:tcPr>
            <w:tcW w:w="654" w:type="dxa"/>
            <w:tcBorders>
              <w:bottom w:val="single" w:sz="4" w:space="0" w:color="auto"/>
            </w:tcBorders>
            <w:hideMark/>
          </w:tcPr>
          <w:p w14:paraId="55465673" w14:textId="77777777" w:rsidR="005F4A7E" w:rsidRPr="00593BF7" w:rsidRDefault="005F4A7E" w:rsidP="00130D1C">
            <w:pPr>
              <w:pStyle w:val="ARfintablecolheadright"/>
            </w:pPr>
            <w:r w:rsidRPr="00593BF7">
              <w:t>10</w:t>
            </w:r>
          </w:p>
          <w:p w14:paraId="066F562B" w14:textId="77777777" w:rsidR="005F4A7E" w:rsidRPr="00593BF7" w:rsidRDefault="005F4A7E" w:rsidP="00130D1C">
            <w:pPr>
              <w:pStyle w:val="ARfintablecolheadright"/>
            </w:pPr>
            <w:r w:rsidRPr="00593BF7">
              <w:t>$M</w:t>
            </w:r>
          </w:p>
        </w:tc>
        <w:tc>
          <w:tcPr>
            <w:tcW w:w="654" w:type="dxa"/>
            <w:tcBorders>
              <w:bottom w:val="single" w:sz="4" w:space="0" w:color="auto"/>
            </w:tcBorders>
            <w:hideMark/>
          </w:tcPr>
          <w:p w14:paraId="784961AC" w14:textId="77777777" w:rsidR="005F4A7E" w:rsidRPr="00593BF7" w:rsidRDefault="005F4A7E" w:rsidP="00130D1C">
            <w:pPr>
              <w:pStyle w:val="ARfintablecolheadright"/>
            </w:pPr>
            <w:r w:rsidRPr="00593BF7">
              <w:t>11</w:t>
            </w:r>
          </w:p>
          <w:p w14:paraId="3234EA36" w14:textId="77777777" w:rsidR="005F4A7E" w:rsidRPr="00593BF7" w:rsidRDefault="005F4A7E" w:rsidP="00130D1C">
            <w:pPr>
              <w:pStyle w:val="ARfintablecolheadright"/>
            </w:pPr>
            <w:r w:rsidRPr="00593BF7">
              <w:t>$M</w:t>
            </w:r>
          </w:p>
        </w:tc>
        <w:tc>
          <w:tcPr>
            <w:tcW w:w="654" w:type="dxa"/>
            <w:tcBorders>
              <w:bottom w:val="single" w:sz="4" w:space="0" w:color="auto"/>
            </w:tcBorders>
            <w:hideMark/>
          </w:tcPr>
          <w:p w14:paraId="3309F4A8" w14:textId="77777777" w:rsidR="005F4A7E" w:rsidRPr="00593BF7" w:rsidRDefault="005F4A7E" w:rsidP="00130D1C">
            <w:pPr>
              <w:pStyle w:val="ARfintablecolheadright"/>
            </w:pPr>
            <w:r w:rsidRPr="00593BF7">
              <w:t>12</w:t>
            </w:r>
          </w:p>
          <w:p w14:paraId="1FFB9F1C" w14:textId="77777777" w:rsidR="005F4A7E" w:rsidRPr="00593BF7" w:rsidRDefault="005F4A7E" w:rsidP="00130D1C">
            <w:pPr>
              <w:pStyle w:val="ARfintablecolheadright"/>
            </w:pPr>
            <w:r w:rsidRPr="00593BF7">
              <w:t>$M</w:t>
            </w:r>
          </w:p>
        </w:tc>
        <w:tc>
          <w:tcPr>
            <w:tcW w:w="654" w:type="dxa"/>
            <w:tcBorders>
              <w:bottom w:val="single" w:sz="4" w:space="0" w:color="auto"/>
            </w:tcBorders>
            <w:hideMark/>
          </w:tcPr>
          <w:p w14:paraId="1313B2FE" w14:textId="77777777" w:rsidR="005F4A7E" w:rsidRPr="00593BF7" w:rsidRDefault="005F4A7E" w:rsidP="00130D1C">
            <w:pPr>
              <w:pStyle w:val="ARfintablecolheadright"/>
            </w:pPr>
            <w:r w:rsidRPr="00593BF7">
              <w:t>13</w:t>
            </w:r>
          </w:p>
          <w:p w14:paraId="75C66820" w14:textId="77777777" w:rsidR="005F4A7E" w:rsidRPr="00593BF7" w:rsidRDefault="005F4A7E" w:rsidP="00130D1C">
            <w:pPr>
              <w:pStyle w:val="ARfintablecolheadright"/>
            </w:pPr>
            <w:r w:rsidRPr="00593BF7">
              <w:t>$M</w:t>
            </w:r>
          </w:p>
        </w:tc>
        <w:tc>
          <w:tcPr>
            <w:tcW w:w="654" w:type="dxa"/>
            <w:tcBorders>
              <w:bottom w:val="single" w:sz="4" w:space="0" w:color="auto"/>
            </w:tcBorders>
            <w:hideMark/>
          </w:tcPr>
          <w:p w14:paraId="57959A1F" w14:textId="77777777" w:rsidR="005F4A7E" w:rsidRPr="00593BF7" w:rsidRDefault="005F4A7E" w:rsidP="00130D1C">
            <w:pPr>
              <w:pStyle w:val="ARfintablecolheadright"/>
            </w:pPr>
            <w:r w:rsidRPr="00593BF7">
              <w:t>14</w:t>
            </w:r>
          </w:p>
          <w:p w14:paraId="214672E7" w14:textId="77777777" w:rsidR="005F4A7E" w:rsidRPr="00593BF7" w:rsidRDefault="005F4A7E" w:rsidP="00130D1C">
            <w:pPr>
              <w:pStyle w:val="ARfintablecolheadright"/>
            </w:pPr>
            <w:r w:rsidRPr="00593BF7">
              <w:t>$M</w:t>
            </w:r>
          </w:p>
        </w:tc>
        <w:tc>
          <w:tcPr>
            <w:tcW w:w="654" w:type="dxa"/>
            <w:tcBorders>
              <w:bottom w:val="single" w:sz="4" w:space="0" w:color="auto"/>
            </w:tcBorders>
            <w:hideMark/>
          </w:tcPr>
          <w:p w14:paraId="26B2C104" w14:textId="77777777" w:rsidR="005F4A7E" w:rsidRPr="00593BF7" w:rsidRDefault="005F4A7E" w:rsidP="00130D1C">
            <w:pPr>
              <w:pStyle w:val="ARfintablecolheadright"/>
            </w:pPr>
            <w:r w:rsidRPr="00593BF7">
              <w:t>15</w:t>
            </w:r>
          </w:p>
          <w:p w14:paraId="32A379AA" w14:textId="77777777" w:rsidR="005F4A7E" w:rsidRPr="00593BF7" w:rsidRDefault="005F4A7E" w:rsidP="00130D1C">
            <w:pPr>
              <w:pStyle w:val="ARfintablecolheadright"/>
            </w:pPr>
            <w:r w:rsidRPr="00593BF7">
              <w:t>$M</w:t>
            </w:r>
          </w:p>
        </w:tc>
        <w:tc>
          <w:tcPr>
            <w:tcW w:w="833" w:type="dxa"/>
            <w:tcBorders>
              <w:bottom w:val="single" w:sz="4" w:space="0" w:color="auto"/>
            </w:tcBorders>
            <w:hideMark/>
          </w:tcPr>
          <w:p w14:paraId="447F45F9" w14:textId="77777777" w:rsidR="005F4A7E" w:rsidRPr="00593BF7" w:rsidRDefault="005F4A7E" w:rsidP="00130D1C">
            <w:pPr>
              <w:pStyle w:val="ARfintablecolheadright"/>
            </w:pPr>
            <w:r w:rsidRPr="00593BF7">
              <w:t>Total</w:t>
            </w:r>
          </w:p>
          <w:p w14:paraId="61AC4BC7" w14:textId="77777777" w:rsidR="005F4A7E" w:rsidRPr="00593BF7" w:rsidRDefault="005F4A7E" w:rsidP="00130D1C">
            <w:pPr>
              <w:pStyle w:val="ARfintablecolheadright"/>
            </w:pPr>
            <w:r w:rsidRPr="00593BF7">
              <w:t>$M</w:t>
            </w:r>
          </w:p>
        </w:tc>
      </w:tr>
      <w:tr w:rsidR="005F4A7E" w:rsidRPr="002029AF" w14:paraId="1216B0B2" w14:textId="77777777" w:rsidTr="00130D1C">
        <w:tc>
          <w:tcPr>
            <w:tcW w:w="14459" w:type="dxa"/>
            <w:gridSpan w:val="17"/>
            <w:tcBorders>
              <w:top w:val="single" w:sz="4" w:space="0" w:color="auto"/>
              <w:bottom w:val="single" w:sz="4" w:space="0" w:color="A6A6A6"/>
            </w:tcBorders>
            <w:hideMark/>
          </w:tcPr>
          <w:p w14:paraId="2C0D377E" w14:textId="77777777" w:rsidR="005F4A7E" w:rsidRPr="002029AF" w:rsidRDefault="005F4A7E" w:rsidP="00130D1C">
            <w:pPr>
              <w:pStyle w:val="ARfintablebodybold"/>
            </w:pPr>
            <w:r w:rsidRPr="00324BA1">
              <w:t>Administered income from transactions</w:t>
            </w:r>
          </w:p>
        </w:tc>
      </w:tr>
      <w:tr w:rsidR="005F4A7E" w:rsidRPr="002029AF" w14:paraId="316489E7" w14:textId="77777777" w:rsidTr="00130D1C">
        <w:tc>
          <w:tcPr>
            <w:tcW w:w="3334" w:type="dxa"/>
            <w:tcBorders>
              <w:top w:val="single" w:sz="4" w:space="0" w:color="A6A6A6"/>
              <w:bottom w:val="single" w:sz="4" w:space="0" w:color="A6A6A6"/>
            </w:tcBorders>
            <w:hideMark/>
          </w:tcPr>
          <w:p w14:paraId="0B8560ED" w14:textId="37B0094B" w:rsidR="005F4A7E" w:rsidRPr="002029AF" w:rsidRDefault="005F4A7E" w:rsidP="001B0A83">
            <w:pPr>
              <w:pStyle w:val="ARfintablebody"/>
            </w:pPr>
            <w:r w:rsidRPr="00324BA1">
              <w:t>Commonwealth contribution to the national health reform</w:t>
            </w:r>
          </w:p>
        </w:tc>
        <w:tc>
          <w:tcPr>
            <w:tcW w:w="835" w:type="dxa"/>
            <w:tcBorders>
              <w:top w:val="single" w:sz="4" w:space="0" w:color="A6A6A6"/>
              <w:bottom w:val="single" w:sz="4" w:space="0" w:color="A6A6A6"/>
            </w:tcBorders>
            <w:noWrap/>
            <w:hideMark/>
          </w:tcPr>
          <w:p w14:paraId="16E429C9" w14:textId="77777777" w:rsidR="005F4A7E" w:rsidRPr="002029AF" w:rsidRDefault="005F4A7E" w:rsidP="00130D1C">
            <w:pPr>
              <w:pStyle w:val="ARfintablebodyright"/>
            </w:pPr>
            <w:r w:rsidRPr="00324BA1">
              <w:t>4,763.0</w:t>
            </w:r>
          </w:p>
        </w:tc>
        <w:tc>
          <w:tcPr>
            <w:tcW w:w="656" w:type="dxa"/>
            <w:tcBorders>
              <w:top w:val="single" w:sz="4" w:space="0" w:color="A6A6A6"/>
              <w:bottom w:val="single" w:sz="4" w:space="0" w:color="A6A6A6"/>
            </w:tcBorders>
            <w:noWrap/>
            <w:hideMark/>
          </w:tcPr>
          <w:p w14:paraId="4A23B4A6" w14:textId="77777777" w:rsidR="005F4A7E" w:rsidRPr="002029AF" w:rsidRDefault="005F4A7E" w:rsidP="00130D1C">
            <w:pPr>
              <w:pStyle w:val="ARfintablebodyright"/>
            </w:pPr>
            <w:r w:rsidRPr="00324BA1">
              <w:t>–</w:t>
            </w:r>
          </w:p>
        </w:tc>
        <w:tc>
          <w:tcPr>
            <w:tcW w:w="656" w:type="dxa"/>
            <w:tcBorders>
              <w:top w:val="single" w:sz="4" w:space="0" w:color="A6A6A6"/>
              <w:bottom w:val="single" w:sz="4" w:space="0" w:color="A6A6A6"/>
            </w:tcBorders>
            <w:noWrap/>
            <w:hideMark/>
          </w:tcPr>
          <w:p w14:paraId="56D619B9" w14:textId="77777777" w:rsidR="005F4A7E" w:rsidRPr="002029AF" w:rsidRDefault="005F4A7E" w:rsidP="00130D1C">
            <w:pPr>
              <w:pStyle w:val="ARfintablebodyright"/>
            </w:pPr>
            <w:r w:rsidRPr="00324BA1">
              <w:t>493.1</w:t>
            </w:r>
          </w:p>
        </w:tc>
        <w:tc>
          <w:tcPr>
            <w:tcW w:w="655" w:type="dxa"/>
            <w:tcBorders>
              <w:top w:val="single" w:sz="4" w:space="0" w:color="A6A6A6"/>
              <w:bottom w:val="single" w:sz="4" w:space="0" w:color="A6A6A6"/>
            </w:tcBorders>
            <w:noWrap/>
            <w:hideMark/>
          </w:tcPr>
          <w:p w14:paraId="6EA5AABE" w14:textId="77777777" w:rsidR="005F4A7E" w:rsidRPr="002029AF" w:rsidRDefault="005F4A7E" w:rsidP="00130D1C">
            <w:pPr>
              <w:pStyle w:val="ARfintablebodyright"/>
            </w:pPr>
            <w:r w:rsidRPr="00324BA1">
              <w:t>–</w:t>
            </w:r>
          </w:p>
        </w:tc>
        <w:tc>
          <w:tcPr>
            <w:tcW w:w="655" w:type="dxa"/>
            <w:tcBorders>
              <w:top w:val="single" w:sz="4" w:space="0" w:color="A6A6A6"/>
              <w:bottom w:val="single" w:sz="4" w:space="0" w:color="A6A6A6"/>
            </w:tcBorders>
            <w:noWrap/>
            <w:hideMark/>
          </w:tcPr>
          <w:p w14:paraId="64942160" w14:textId="77777777" w:rsidR="005F4A7E" w:rsidRPr="002029AF" w:rsidRDefault="005F4A7E" w:rsidP="00130D1C">
            <w:pPr>
              <w:pStyle w:val="ARfintablebodyright"/>
            </w:pPr>
            <w:r w:rsidRPr="00324BA1">
              <w:t>0.3</w:t>
            </w:r>
          </w:p>
        </w:tc>
        <w:tc>
          <w:tcPr>
            <w:tcW w:w="654" w:type="dxa"/>
            <w:tcBorders>
              <w:top w:val="single" w:sz="4" w:space="0" w:color="A6A6A6"/>
              <w:bottom w:val="single" w:sz="4" w:space="0" w:color="A6A6A6"/>
            </w:tcBorders>
            <w:noWrap/>
            <w:hideMark/>
          </w:tcPr>
          <w:p w14:paraId="21D13E83" w14:textId="77777777" w:rsidR="005F4A7E" w:rsidRPr="002029AF" w:rsidRDefault="005F4A7E" w:rsidP="00130D1C">
            <w:pPr>
              <w:pStyle w:val="ARfintablebodyright"/>
            </w:pPr>
            <w:r w:rsidRPr="00324BA1">
              <w:t>136.9</w:t>
            </w:r>
          </w:p>
        </w:tc>
        <w:tc>
          <w:tcPr>
            <w:tcW w:w="654" w:type="dxa"/>
            <w:tcBorders>
              <w:top w:val="single" w:sz="4" w:space="0" w:color="A6A6A6"/>
              <w:bottom w:val="single" w:sz="4" w:space="0" w:color="A6A6A6"/>
            </w:tcBorders>
            <w:noWrap/>
            <w:hideMark/>
          </w:tcPr>
          <w:p w14:paraId="7357EADF" w14:textId="77777777" w:rsidR="005F4A7E" w:rsidRPr="002029AF" w:rsidRDefault="005F4A7E" w:rsidP="00130D1C">
            <w:pPr>
              <w:pStyle w:val="ARfintablebodyright"/>
            </w:pPr>
            <w:r w:rsidRPr="00324BA1">
              <w:t>112.4</w:t>
            </w:r>
          </w:p>
        </w:tc>
        <w:tc>
          <w:tcPr>
            <w:tcW w:w="721" w:type="dxa"/>
            <w:tcBorders>
              <w:top w:val="single" w:sz="4" w:space="0" w:color="A6A6A6"/>
              <w:bottom w:val="single" w:sz="4" w:space="0" w:color="A6A6A6"/>
            </w:tcBorders>
            <w:noWrap/>
            <w:hideMark/>
          </w:tcPr>
          <w:p w14:paraId="0EDA7190" w14:textId="77777777" w:rsidR="005F4A7E" w:rsidRPr="002029AF" w:rsidRDefault="005F4A7E" w:rsidP="00130D1C">
            <w:pPr>
              <w:pStyle w:val="ARfintablebodyright"/>
            </w:pPr>
            <w:r w:rsidRPr="00324BA1">
              <w:t>12.6</w:t>
            </w:r>
          </w:p>
        </w:tc>
        <w:tc>
          <w:tcPr>
            <w:tcW w:w="882" w:type="dxa"/>
            <w:tcBorders>
              <w:top w:val="single" w:sz="4" w:space="0" w:color="A6A6A6"/>
              <w:bottom w:val="single" w:sz="4" w:space="0" w:color="A6A6A6"/>
            </w:tcBorders>
            <w:noWrap/>
            <w:hideMark/>
          </w:tcPr>
          <w:p w14:paraId="6D436139"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4CF5C596"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0BA9EB54"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10B5B535"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25F574DE"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54912E7B"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60B1099C" w14:textId="77777777" w:rsidR="005F4A7E" w:rsidRPr="002029AF" w:rsidRDefault="005F4A7E" w:rsidP="00130D1C">
            <w:pPr>
              <w:pStyle w:val="ARfintablebodyright"/>
            </w:pPr>
            <w:r w:rsidRPr="00324BA1">
              <w:t>–</w:t>
            </w:r>
          </w:p>
        </w:tc>
        <w:tc>
          <w:tcPr>
            <w:tcW w:w="833" w:type="dxa"/>
            <w:tcBorders>
              <w:top w:val="single" w:sz="4" w:space="0" w:color="A6A6A6"/>
              <w:bottom w:val="single" w:sz="4" w:space="0" w:color="A6A6A6"/>
            </w:tcBorders>
            <w:noWrap/>
            <w:hideMark/>
          </w:tcPr>
          <w:p w14:paraId="02CA9937" w14:textId="77777777" w:rsidR="005F4A7E" w:rsidRPr="002029AF" w:rsidRDefault="005F4A7E" w:rsidP="00130D1C">
            <w:pPr>
              <w:pStyle w:val="ARfintablebodyright"/>
            </w:pPr>
            <w:r w:rsidRPr="00324BA1">
              <w:t>5,518.2</w:t>
            </w:r>
          </w:p>
        </w:tc>
      </w:tr>
      <w:tr w:rsidR="005F4A7E" w:rsidRPr="002029AF" w14:paraId="68FD8805" w14:textId="77777777" w:rsidTr="00130D1C">
        <w:tc>
          <w:tcPr>
            <w:tcW w:w="3334" w:type="dxa"/>
            <w:tcBorders>
              <w:top w:val="single" w:sz="4" w:space="0" w:color="A6A6A6"/>
              <w:bottom w:val="single" w:sz="4" w:space="0" w:color="A6A6A6"/>
            </w:tcBorders>
            <w:hideMark/>
          </w:tcPr>
          <w:p w14:paraId="790B423A" w14:textId="776146E1" w:rsidR="005F4A7E" w:rsidRPr="002029AF" w:rsidRDefault="005F4A7E" w:rsidP="001B0A83">
            <w:pPr>
              <w:pStyle w:val="ARfintablebody"/>
            </w:pPr>
            <w:r w:rsidRPr="00324BA1">
              <w:t>State contribution to the national health</w:t>
            </w:r>
            <w:r>
              <w:t> </w:t>
            </w:r>
            <w:r w:rsidRPr="00324BA1">
              <w:t>reform</w:t>
            </w:r>
          </w:p>
        </w:tc>
        <w:tc>
          <w:tcPr>
            <w:tcW w:w="835" w:type="dxa"/>
            <w:tcBorders>
              <w:top w:val="single" w:sz="4" w:space="0" w:color="A6A6A6"/>
              <w:bottom w:val="single" w:sz="4" w:space="0" w:color="A6A6A6"/>
            </w:tcBorders>
            <w:noWrap/>
            <w:hideMark/>
          </w:tcPr>
          <w:p w14:paraId="3FF89DB6" w14:textId="77777777" w:rsidR="005F4A7E" w:rsidRPr="002029AF" w:rsidRDefault="005F4A7E" w:rsidP="00130D1C">
            <w:pPr>
              <w:pStyle w:val="ARfintablebodyright"/>
            </w:pPr>
            <w:r w:rsidRPr="00324BA1">
              <w:t>5,968.9</w:t>
            </w:r>
          </w:p>
        </w:tc>
        <w:tc>
          <w:tcPr>
            <w:tcW w:w="656" w:type="dxa"/>
            <w:tcBorders>
              <w:top w:val="single" w:sz="4" w:space="0" w:color="A6A6A6"/>
              <w:bottom w:val="single" w:sz="4" w:space="0" w:color="A6A6A6"/>
            </w:tcBorders>
            <w:noWrap/>
            <w:hideMark/>
          </w:tcPr>
          <w:p w14:paraId="3FC725A9" w14:textId="77777777" w:rsidR="005F4A7E" w:rsidRPr="002029AF" w:rsidRDefault="005F4A7E" w:rsidP="00130D1C">
            <w:pPr>
              <w:pStyle w:val="ARfintablebodyright"/>
            </w:pPr>
            <w:r w:rsidRPr="00324BA1">
              <w:t>–</w:t>
            </w:r>
          </w:p>
        </w:tc>
        <w:tc>
          <w:tcPr>
            <w:tcW w:w="656" w:type="dxa"/>
            <w:tcBorders>
              <w:top w:val="single" w:sz="4" w:space="0" w:color="A6A6A6"/>
              <w:bottom w:val="single" w:sz="4" w:space="0" w:color="A6A6A6"/>
            </w:tcBorders>
            <w:noWrap/>
            <w:hideMark/>
          </w:tcPr>
          <w:p w14:paraId="55FC965D" w14:textId="77777777" w:rsidR="005F4A7E" w:rsidRPr="002029AF" w:rsidRDefault="005F4A7E" w:rsidP="00130D1C">
            <w:pPr>
              <w:pStyle w:val="ARfintablebodyright"/>
            </w:pPr>
            <w:r w:rsidRPr="00324BA1">
              <w:t>270.5</w:t>
            </w:r>
          </w:p>
        </w:tc>
        <w:tc>
          <w:tcPr>
            <w:tcW w:w="655" w:type="dxa"/>
            <w:tcBorders>
              <w:top w:val="single" w:sz="4" w:space="0" w:color="A6A6A6"/>
              <w:bottom w:val="single" w:sz="4" w:space="0" w:color="A6A6A6"/>
            </w:tcBorders>
            <w:noWrap/>
            <w:hideMark/>
          </w:tcPr>
          <w:p w14:paraId="5621630C" w14:textId="77777777" w:rsidR="005F4A7E" w:rsidRPr="002029AF" w:rsidRDefault="005F4A7E" w:rsidP="00130D1C">
            <w:pPr>
              <w:pStyle w:val="ARfintablebodyright"/>
            </w:pPr>
            <w:r w:rsidRPr="00324BA1">
              <w:t>–</w:t>
            </w:r>
          </w:p>
        </w:tc>
        <w:tc>
          <w:tcPr>
            <w:tcW w:w="655" w:type="dxa"/>
            <w:tcBorders>
              <w:top w:val="single" w:sz="4" w:space="0" w:color="A6A6A6"/>
              <w:bottom w:val="single" w:sz="4" w:space="0" w:color="A6A6A6"/>
            </w:tcBorders>
            <w:noWrap/>
            <w:hideMark/>
          </w:tcPr>
          <w:p w14:paraId="59E1A776"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40E24D7B"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44C34BF0" w14:textId="77777777" w:rsidR="005F4A7E" w:rsidRPr="002029AF" w:rsidRDefault="005F4A7E" w:rsidP="00130D1C">
            <w:pPr>
              <w:pStyle w:val="ARfintablebodyright"/>
            </w:pPr>
            <w:r w:rsidRPr="00324BA1">
              <w:t>–</w:t>
            </w:r>
          </w:p>
        </w:tc>
        <w:tc>
          <w:tcPr>
            <w:tcW w:w="721" w:type="dxa"/>
            <w:tcBorders>
              <w:top w:val="single" w:sz="4" w:space="0" w:color="A6A6A6"/>
              <w:bottom w:val="single" w:sz="4" w:space="0" w:color="A6A6A6"/>
            </w:tcBorders>
            <w:noWrap/>
            <w:hideMark/>
          </w:tcPr>
          <w:p w14:paraId="13451161" w14:textId="77777777" w:rsidR="005F4A7E" w:rsidRPr="002029AF" w:rsidRDefault="005F4A7E" w:rsidP="00130D1C">
            <w:pPr>
              <w:pStyle w:val="ARfintablebodyright"/>
            </w:pPr>
            <w:r w:rsidRPr="00324BA1">
              <w:t>–</w:t>
            </w:r>
          </w:p>
        </w:tc>
        <w:tc>
          <w:tcPr>
            <w:tcW w:w="882" w:type="dxa"/>
            <w:tcBorders>
              <w:top w:val="single" w:sz="4" w:space="0" w:color="A6A6A6"/>
              <w:bottom w:val="single" w:sz="4" w:space="0" w:color="A6A6A6"/>
            </w:tcBorders>
            <w:noWrap/>
            <w:hideMark/>
          </w:tcPr>
          <w:p w14:paraId="5BB86BE3"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4D0FBF67"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702EA762"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48D85A0E"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2F03A3E1"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39B2AB95"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166D397D" w14:textId="77777777" w:rsidR="005F4A7E" w:rsidRPr="002029AF" w:rsidRDefault="005F4A7E" w:rsidP="00130D1C">
            <w:pPr>
              <w:pStyle w:val="ARfintablebodyright"/>
            </w:pPr>
            <w:r w:rsidRPr="00324BA1">
              <w:t>–</w:t>
            </w:r>
          </w:p>
        </w:tc>
        <w:tc>
          <w:tcPr>
            <w:tcW w:w="833" w:type="dxa"/>
            <w:tcBorders>
              <w:top w:val="single" w:sz="4" w:space="0" w:color="A6A6A6"/>
              <w:bottom w:val="single" w:sz="4" w:space="0" w:color="A6A6A6"/>
            </w:tcBorders>
            <w:noWrap/>
            <w:hideMark/>
          </w:tcPr>
          <w:p w14:paraId="77433963" w14:textId="77777777" w:rsidR="005F4A7E" w:rsidRPr="002029AF" w:rsidRDefault="005F4A7E" w:rsidP="00130D1C">
            <w:pPr>
              <w:pStyle w:val="ARfintablebodyright"/>
            </w:pPr>
            <w:r w:rsidRPr="00324BA1">
              <w:t>6,239.3</w:t>
            </w:r>
          </w:p>
        </w:tc>
      </w:tr>
      <w:tr w:rsidR="005F4A7E" w:rsidRPr="002029AF" w14:paraId="3E81069E" w14:textId="77777777" w:rsidTr="00130D1C">
        <w:tc>
          <w:tcPr>
            <w:tcW w:w="3334" w:type="dxa"/>
            <w:tcBorders>
              <w:top w:val="single" w:sz="4" w:space="0" w:color="A6A6A6"/>
              <w:bottom w:val="single" w:sz="4" w:space="0" w:color="A6A6A6"/>
            </w:tcBorders>
            <w:hideMark/>
          </w:tcPr>
          <w:p w14:paraId="615807CC" w14:textId="77777777" w:rsidR="005F4A7E" w:rsidRPr="002029AF" w:rsidRDefault="005F4A7E" w:rsidP="00130D1C">
            <w:pPr>
              <w:pStyle w:val="ARfintablebody"/>
            </w:pPr>
            <w:r w:rsidRPr="00324BA1">
              <w:t>State contribution to the National Disability Insurance Agency</w:t>
            </w:r>
          </w:p>
        </w:tc>
        <w:tc>
          <w:tcPr>
            <w:tcW w:w="835" w:type="dxa"/>
            <w:tcBorders>
              <w:top w:val="single" w:sz="4" w:space="0" w:color="A6A6A6"/>
              <w:bottom w:val="single" w:sz="4" w:space="0" w:color="A6A6A6"/>
            </w:tcBorders>
            <w:noWrap/>
            <w:hideMark/>
          </w:tcPr>
          <w:p w14:paraId="0930111A" w14:textId="77777777" w:rsidR="005F4A7E" w:rsidRPr="002029AF" w:rsidRDefault="005F4A7E" w:rsidP="00130D1C">
            <w:pPr>
              <w:pStyle w:val="ARfintablebodyright"/>
            </w:pPr>
            <w:r w:rsidRPr="00324BA1">
              <w:t>–</w:t>
            </w:r>
          </w:p>
        </w:tc>
        <w:tc>
          <w:tcPr>
            <w:tcW w:w="656" w:type="dxa"/>
            <w:tcBorders>
              <w:top w:val="single" w:sz="4" w:space="0" w:color="A6A6A6"/>
              <w:bottom w:val="single" w:sz="4" w:space="0" w:color="A6A6A6"/>
            </w:tcBorders>
            <w:noWrap/>
            <w:hideMark/>
          </w:tcPr>
          <w:p w14:paraId="140CCCD1" w14:textId="77777777" w:rsidR="005F4A7E" w:rsidRPr="002029AF" w:rsidRDefault="005F4A7E" w:rsidP="00130D1C">
            <w:pPr>
              <w:pStyle w:val="ARfintablebodyright"/>
            </w:pPr>
            <w:r w:rsidRPr="00324BA1">
              <w:t>–</w:t>
            </w:r>
          </w:p>
        </w:tc>
        <w:tc>
          <w:tcPr>
            <w:tcW w:w="656" w:type="dxa"/>
            <w:tcBorders>
              <w:top w:val="single" w:sz="4" w:space="0" w:color="A6A6A6"/>
              <w:bottom w:val="single" w:sz="4" w:space="0" w:color="A6A6A6"/>
            </w:tcBorders>
            <w:noWrap/>
            <w:hideMark/>
          </w:tcPr>
          <w:p w14:paraId="4A1A3482" w14:textId="77777777" w:rsidR="005F4A7E" w:rsidRPr="002029AF" w:rsidRDefault="005F4A7E" w:rsidP="00130D1C">
            <w:pPr>
              <w:pStyle w:val="ARfintablebodyright"/>
            </w:pPr>
            <w:r w:rsidRPr="00324BA1">
              <w:t>–</w:t>
            </w:r>
          </w:p>
        </w:tc>
        <w:tc>
          <w:tcPr>
            <w:tcW w:w="655" w:type="dxa"/>
            <w:tcBorders>
              <w:top w:val="single" w:sz="4" w:space="0" w:color="A6A6A6"/>
              <w:bottom w:val="single" w:sz="4" w:space="0" w:color="A6A6A6"/>
            </w:tcBorders>
            <w:noWrap/>
            <w:hideMark/>
          </w:tcPr>
          <w:p w14:paraId="6A5D3D1C" w14:textId="77777777" w:rsidR="005F4A7E" w:rsidRPr="002029AF" w:rsidRDefault="005F4A7E" w:rsidP="00130D1C">
            <w:pPr>
              <w:pStyle w:val="ARfintablebodyright"/>
            </w:pPr>
            <w:r w:rsidRPr="00324BA1">
              <w:t>–</w:t>
            </w:r>
          </w:p>
        </w:tc>
        <w:tc>
          <w:tcPr>
            <w:tcW w:w="655" w:type="dxa"/>
            <w:tcBorders>
              <w:top w:val="single" w:sz="4" w:space="0" w:color="A6A6A6"/>
              <w:bottom w:val="single" w:sz="4" w:space="0" w:color="A6A6A6"/>
            </w:tcBorders>
            <w:noWrap/>
            <w:hideMark/>
          </w:tcPr>
          <w:p w14:paraId="15FE4BDE"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57B13E51"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45B08BE2" w14:textId="77777777" w:rsidR="005F4A7E" w:rsidRPr="002029AF" w:rsidRDefault="005F4A7E" w:rsidP="00130D1C">
            <w:pPr>
              <w:pStyle w:val="ARfintablebodyright"/>
            </w:pPr>
            <w:r w:rsidRPr="00324BA1">
              <w:t>–</w:t>
            </w:r>
          </w:p>
        </w:tc>
        <w:tc>
          <w:tcPr>
            <w:tcW w:w="721" w:type="dxa"/>
            <w:tcBorders>
              <w:top w:val="single" w:sz="4" w:space="0" w:color="A6A6A6"/>
              <w:bottom w:val="single" w:sz="4" w:space="0" w:color="A6A6A6"/>
            </w:tcBorders>
            <w:noWrap/>
            <w:hideMark/>
          </w:tcPr>
          <w:p w14:paraId="20F32A81" w14:textId="77777777" w:rsidR="005F4A7E" w:rsidRPr="002029AF" w:rsidRDefault="005F4A7E" w:rsidP="00130D1C">
            <w:pPr>
              <w:pStyle w:val="ARfintablebodyright"/>
            </w:pPr>
            <w:r w:rsidRPr="00324BA1">
              <w:t>–</w:t>
            </w:r>
          </w:p>
        </w:tc>
        <w:tc>
          <w:tcPr>
            <w:tcW w:w="882" w:type="dxa"/>
            <w:tcBorders>
              <w:top w:val="single" w:sz="4" w:space="0" w:color="A6A6A6"/>
              <w:bottom w:val="single" w:sz="4" w:space="0" w:color="A6A6A6"/>
            </w:tcBorders>
            <w:noWrap/>
            <w:hideMark/>
          </w:tcPr>
          <w:p w14:paraId="2BB262B1" w14:textId="77777777" w:rsidR="005F4A7E" w:rsidRPr="002029AF" w:rsidRDefault="005F4A7E" w:rsidP="00130D1C">
            <w:pPr>
              <w:pStyle w:val="ARfintablebodyright"/>
            </w:pPr>
            <w:r w:rsidRPr="00324BA1">
              <w:t>1,019.6</w:t>
            </w:r>
          </w:p>
        </w:tc>
        <w:tc>
          <w:tcPr>
            <w:tcW w:w="654" w:type="dxa"/>
            <w:tcBorders>
              <w:top w:val="single" w:sz="4" w:space="0" w:color="A6A6A6"/>
              <w:bottom w:val="single" w:sz="4" w:space="0" w:color="A6A6A6"/>
            </w:tcBorders>
            <w:noWrap/>
            <w:hideMark/>
          </w:tcPr>
          <w:p w14:paraId="7580F33E"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6F0094A5"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0453795A"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11632B78"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24874FCB"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760CF73C" w14:textId="77777777" w:rsidR="005F4A7E" w:rsidRPr="002029AF" w:rsidRDefault="005F4A7E" w:rsidP="00130D1C">
            <w:pPr>
              <w:pStyle w:val="ARfintablebodyright"/>
            </w:pPr>
            <w:r w:rsidRPr="00324BA1">
              <w:t>–</w:t>
            </w:r>
          </w:p>
        </w:tc>
        <w:tc>
          <w:tcPr>
            <w:tcW w:w="833" w:type="dxa"/>
            <w:tcBorders>
              <w:top w:val="single" w:sz="4" w:space="0" w:color="A6A6A6"/>
              <w:bottom w:val="single" w:sz="4" w:space="0" w:color="A6A6A6"/>
            </w:tcBorders>
            <w:noWrap/>
            <w:hideMark/>
          </w:tcPr>
          <w:p w14:paraId="6A75A67D" w14:textId="77777777" w:rsidR="005F4A7E" w:rsidRPr="002029AF" w:rsidRDefault="005F4A7E" w:rsidP="00130D1C">
            <w:pPr>
              <w:pStyle w:val="ARfintablebodyright"/>
            </w:pPr>
            <w:r w:rsidRPr="00324BA1">
              <w:t>1,019.6</w:t>
            </w:r>
          </w:p>
        </w:tc>
      </w:tr>
      <w:tr w:rsidR="005F4A7E" w:rsidRPr="002029AF" w14:paraId="046D17EC" w14:textId="77777777" w:rsidTr="00130D1C">
        <w:tc>
          <w:tcPr>
            <w:tcW w:w="3334" w:type="dxa"/>
            <w:tcBorders>
              <w:top w:val="single" w:sz="4" w:space="0" w:color="A6A6A6"/>
              <w:bottom w:val="single" w:sz="4" w:space="0" w:color="A6A6A6"/>
            </w:tcBorders>
            <w:hideMark/>
          </w:tcPr>
          <w:p w14:paraId="76E7A2E1" w14:textId="77777777" w:rsidR="005F4A7E" w:rsidRPr="002029AF" w:rsidRDefault="005F4A7E" w:rsidP="00130D1C">
            <w:pPr>
              <w:pStyle w:val="ARfintablebody"/>
            </w:pPr>
            <w:r w:rsidRPr="00324BA1">
              <w:t>Commonwealth grants</w:t>
            </w:r>
          </w:p>
        </w:tc>
        <w:tc>
          <w:tcPr>
            <w:tcW w:w="835" w:type="dxa"/>
            <w:tcBorders>
              <w:top w:val="single" w:sz="4" w:space="0" w:color="A6A6A6"/>
              <w:bottom w:val="single" w:sz="4" w:space="0" w:color="A6A6A6"/>
            </w:tcBorders>
            <w:noWrap/>
            <w:hideMark/>
          </w:tcPr>
          <w:p w14:paraId="2F607685" w14:textId="77777777" w:rsidR="005F4A7E" w:rsidRPr="002029AF" w:rsidRDefault="005F4A7E" w:rsidP="00130D1C">
            <w:pPr>
              <w:pStyle w:val="ARfintablebodyright"/>
            </w:pPr>
            <w:r w:rsidRPr="00324BA1">
              <w:t>986.5</w:t>
            </w:r>
          </w:p>
        </w:tc>
        <w:tc>
          <w:tcPr>
            <w:tcW w:w="656" w:type="dxa"/>
            <w:tcBorders>
              <w:top w:val="single" w:sz="4" w:space="0" w:color="A6A6A6"/>
              <w:bottom w:val="single" w:sz="4" w:space="0" w:color="A6A6A6"/>
            </w:tcBorders>
            <w:noWrap/>
            <w:hideMark/>
          </w:tcPr>
          <w:p w14:paraId="22AF8BA2" w14:textId="77777777" w:rsidR="005F4A7E" w:rsidRPr="002029AF" w:rsidRDefault="005F4A7E" w:rsidP="00130D1C">
            <w:pPr>
              <w:pStyle w:val="ARfintablebodyright"/>
            </w:pPr>
            <w:r w:rsidRPr="00324BA1">
              <w:t>–</w:t>
            </w:r>
          </w:p>
        </w:tc>
        <w:tc>
          <w:tcPr>
            <w:tcW w:w="656" w:type="dxa"/>
            <w:tcBorders>
              <w:top w:val="single" w:sz="4" w:space="0" w:color="A6A6A6"/>
              <w:bottom w:val="single" w:sz="4" w:space="0" w:color="A6A6A6"/>
            </w:tcBorders>
            <w:noWrap/>
            <w:hideMark/>
          </w:tcPr>
          <w:p w14:paraId="438C8BFC" w14:textId="77777777" w:rsidR="005F4A7E" w:rsidRPr="002029AF" w:rsidRDefault="005F4A7E" w:rsidP="00130D1C">
            <w:pPr>
              <w:pStyle w:val="ARfintablebodyright"/>
            </w:pPr>
            <w:r w:rsidRPr="00324BA1">
              <w:t>0.2</w:t>
            </w:r>
          </w:p>
        </w:tc>
        <w:tc>
          <w:tcPr>
            <w:tcW w:w="655" w:type="dxa"/>
            <w:tcBorders>
              <w:top w:val="single" w:sz="4" w:space="0" w:color="A6A6A6"/>
              <w:bottom w:val="single" w:sz="4" w:space="0" w:color="A6A6A6"/>
            </w:tcBorders>
            <w:noWrap/>
            <w:hideMark/>
          </w:tcPr>
          <w:p w14:paraId="01E31CFD" w14:textId="77777777" w:rsidR="005F4A7E" w:rsidRPr="002029AF" w:rsidRDefault="005F4A7E" w:rsidP="00130D1C">
            <w:pPr>
              <w:pStyle w:val="ARfintablebodyright"/>
            </w:pPr>
            <w:r w:rsidRPr="00324BA1">
              <w:t>65.7</w:t>
            </w:r>
          </w:p>
        </w:tc>
        <w:tc>
          <w:tcPr>
            <w:tcW w:w="655" w:type="dxa"/>
            <w:tcBorders>
              <w:top w:val="single" w:sz="4" w:space="0" w:color="A6A6A6"/>
              <w:bottom w:val="single" w:sz="4" w:space="0" w:color="A6A6A6"/>
            </w:tcBorders>
            <w:noWrap/>
            <w:hideMark/>
          </w:tcPr>
          <w:p w14:paraId="00DBD29B"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0C2B3CBC"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71C5BA26" w14:textId="77777777" w:rsidR="005F4A7E" w:rsidRPr="002029AF" w:rsidRDefault="005F4A7E" w:rsidP="00130D1C">
            <w:pPr>
              <w:pStyle w:val="ARfintablebodyright"/>
            </w:pPr>
            <w:r w:rsidRPr="00324BA1">
              <w:t>0.1</w:t>
            </w:r>
          </w:p>
        </w:tc>
        <w:tc>
          <w:tcPr>
            <w:tcW w:w="721" w:type="dxa"/>
            <w:tcBorders>
              <w:top w:val="single" w:sz="4" w:space="0" w:color="A6A6A6"/>
              <w:bottom w:val="single" w:sz="4" w:space="0" w:color="A6A6A6"/>
            </w:tcBorders>
            <w:noWrap/>
            <w:hideMark/>
          </w:tcPr>
          <w:p w14:paraId="49834A48" w14:textId="77777777" w:rsidR="005F4A7E" w:rsidRPr="002029AF" w:rsidRDefault="005F4A7E" w:rsidP="00130D1C">
            <w:pPr>
              <w:pStyle w:val="ARfintablebodyright"/>
            </w:pPr>
            <w:r w:rsidRPr="00324BA1">
              <w:t>–</w:t>
            </w:r>
          </w:p>
        </w:tc>
        <w:tc>
          <w:tcPr>
            <w:tcW w:w="882" w:type="dxa"/>
            <w:tcBorders>
              <w:top w:val="single" w:sz="4" w:space="0" w:color="A6A6A6"/>
              <w:bottom w:val="single" w:sz="4" w:space="0" w:color="A6A6A6"/>
            </w:tcBorders>
            <w:noWrap/>
            <w:hideMark/>
          </w:tcPr>
          <w:p w14:paraId="4CC58F96" w14:textId="77777777" w:rsidR="005F4A7E" w:rsidRPr="002029AF" w:rsidRDefault="005F4A7E" w:rsidP="00130D1C">
            <w:pPr>
              <w:pStyle w:val="ARfintablebodyright"/>
            </w:pPr>
            <w:r w:rsidRPr="00324BA1">
              <w:t>53.1</w:t>
            </w:r>
          </w:p>
        </w:tc>
        <w:tc>
          <w:tcPr>
            <w:tcW w:w="654" w:type="dxa"/>
            <w:tcBorders>
              <w:top w:val="single" w:sz="4" w:space="0" w:color="A6A6A6"/>
              <w:bottom w:val="single" w:sz="4" w:space="0" w:color="A6A6A6"/>
            </w:tcBorders>
            <w:noWrap/>
            <w:hideMark/>
          </w:tcPr>
          <w:p w14:paraId="522248C1" w14:textId="77777777" w:rsidR="005F4A7E" w:rsidRPr="002029AF" w:rsidRDefault="005F4A7E" w:rsidP="00130D1C">
            <w:pPr>
              <w:pStyle w:val="ARfintablebodyright"/>
            </w:pPr>
            <w:r w:rsidRPr="00324BA1">
              <w:t>2.0</w:t>
            </w:r>
          </w:p>
        </w:tc>
        <w:tc>
          <w:tcPr>
            <w:tcW w:w="654" w:type="dxa"/>
            <w:tcBorders>
              <w:top w:val="single" w:sz="4" w:space="0" w:color="A6A6A6"/>
              <w:bottom w:val="single" w:sz="4" w:space="0" w:color="A6A6A6"/>
            </w:tcBorders>
            <w:noWrap/>
            <w:hideMark/>
          </w:tcPr>
          <w:p w14:paraId="084DF719"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320D2B89"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3E4BFC1D"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0413BA1B"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03D761EC" w14:textId="77777777" w:rsidR="005F4A7E" w:rsidRPr="002029AF" w:rsidRDefault="005F4A7E" w:rsidP="00130D1C">
            <w:pPr>
              <w:pStyle w:val="ARfintablebodyright"/>
            </w:pPr>
            <w:r w:rsidRPr="00324BA1">
              <w:t>–</w:t>
            </w:r>
          </w:p>
        </w:tc>
        <w:tc>
          <w:tcPr>
            <w:tcW w:w="833" w:type="dxa"/>
            <w:tcBorders>
              <w:top w:val="single" w:sz="4" w:space="0" w:color="A6A6A6"/>
              <w:bottom w:val="single" w:sz="4" w:space="0" w:color="A6A6A6"/>
            </w:tcBorders>
            <w:noWrap/>
            <w:hideMark/>
          </w:tcPr>
          <w:p w14:paraId="78D4527A" w14:textId="77777777" w:rsidR="005F4A7E" w:rsidRPr="002029AF" w:rsidRDefault="005F4A7E" w:rsidP="00130D1C">
            <w:pPr>
              <w:pStyle w:val="ARfintablebodyright"/>
            </w:pPr>
            <w:r w:rsidRPr="00324BA1">
              <w:t>1,107.5</w:t>
            </w:r>
          </w:p>
        </w:tc>
      </w:tr>
      <w:tr w:rsidR="005F4A7E" w:rsidRPr="002029AF" w14:paraId="5D3BADD3" w14:textId="77777777" w:rsidTr="00130D1C">
        <w:tc>
          <w:tcPr>
            <w:tcW w:w="3334" w:type="dxa"/>
            <w:tcBorders>
              <w:top w:val="single" w:sz="4" w:space="0" w:color="A6A6A6"/>
              <w:bottom w:val="single" w:sz="4" w:space="0" w:color="A6A6A6"/>
            </w:tcBorders>
            <w:hideMark/>
          </w:tcPr>
          <w:p w14:paraId="683B671D" w14:textId="77777777" w:rsidR="005F4A7E" w:rsidRPr="002029AF" w:rsidRDefault="005F4A7E" w:rsidP="00130D1C">
            <w:pPr>
              <w:pStyle w:val="ARfintablebody"/>
            </w:pPr>
            <w:r w:rsidRPr="00324BA1">
              <w:t>Sales of goods and services</w:t>
            </w:r>
          </w:p>
        </w:tc>
        <w:tc>
          <w:tcPr>
            <w:tcW w:w="835" w:type="dxa"/>
            <w:tcBorders>
              <w:top w:val="single" w:sz="4" w:space="0" w:color="A6A6A6"/>
              <w:bottom w:val="single" w:sz="4" w:space="0" w:color="A6A6A6"/>
            </w:tcBorders>
            <w:noWrap/>
            <w:hideMark/>
          </w:tcPr>
          <w:p w14:paraId="49EFAE15" w14:textId="77777777" w:rsidR="005F4A7E" w:rsidRPr="002029AF" w:rsidRDefault="005F4A7E" w:rsidP="00130D1C">
            <w:pPr>
              <w:pStyle w:val="ARfintablebodyright"/>
            </w:pPr>
            <w:r w:rsidRPr="00324BA1">
              <w:t>211.9</w:t>
            </w:r>
          </w:p>
        </w:tc>
        <w:tc>
          <w:tcPr>
            <w:tcW w:w="656" w:type="dxa"/>
            <w:tcBorders>
              <w:top w:val="single" w:sz="4" w:space="0" w:color="A6A6A6"/>
              <w:bottom w:val="single" w:sz="4" w:space="0" w:color="A6A6A6"/>
            </w:tcBorders>
            <w:noWrap/>
            <w:hideMark/>
          </w:tcPr>
          <w:p w14:paraId="0AF640B6" w14:textId="77777777" w:rsidR="005F4A7E" w:rsidRPr="002029AF" w:rsidRDefault="005F4A7E" w:rsidP="00130D1C">
            <w:pPr>
              <w:pStyle w:val="ARfintablebodyright"/>
            </w:pPr>
            <w:r w:rsidRPr="00324BA1">
              <w:t>–</w:t>
            </w:r>
          </w:p>
        </w:tc>
        <w:tc>
          <w:tcPr>
            <w:tcW w:w="656" w:type="dxa"/>
            <w:tcBorders>
              <w:top w:val="single" w:sz="4" w:space="0" w:color="A6A6A6"/>
              <w:bottom w:val="single" w:sz="4" w:space="0" w:color="A6A6A6"/>
            </w:tcBorders>
            <w:noWrap/>
            <w:hideMark/>
          </w:tcPr>
          <w:p w14:paraId="241D3ADE" w14:textId="77777777" w:rsidR="005F4A7E" w:rsidRPr="002029AF" w:rsidRDefault="005F4A7E" w:rsidP="00130D1C">
            <w:pPr>
              <w:pStyle w:val="ARfintablebodyright"/>
            </w:pPr>
            <w:r w:rsidRPr="00324BA1">
              <w:t>17.0</w:t>
            </w:r>
          </w:p>
        </w:tc>
        <w:tc>
          <w:tcPr>
            <w:tcW w:w="655" w:type="dxa"/>
            <w:tcBorders>
              <w:top w:val="single" w:sz="4" w:space="0" w:color="A6A6A6"/>
              <w:bottom w:val="single" w:sz="4" w:space="0" w:color="A6A6A6"/>
            </w:tcBorders>
            <w:noWrap/>
            <w:hideMark/>
          </w:tcPr>
          <w:p w14:paraId="10682BB2" w14:textId="77777777" w:rsidR="005F4A7E" w:rsidRPr="002029AF" w:rsidRDefault="005F4A7E" w:rsidP="00130D1C">
            <w:pPr>
              <w:pStyle w:val="ARfintablebodyright"/>
            </w:pPr>
            <w:r w:rsidRPr="00324BA1">
              <w:t>1.5</w:t>
            </w:r>
          </w:p>
        </w:tc>
        <w:tc>
          <w:tcPr>
            <w:tcW w:w="655" w:type="dxa"/>
            <w:tcBorders>
              <w:top w:val="single" w:sz="4" w:space="0" w:color="A6A6A6"/>
              <w:bottom w:val="single" w:sz="4" w:space="0" w:color="A6A6A6"/>
            </w:tcBorders>
            <w:noWrap/>
            <w:hideMark/>
          </w:tcPr>
          <w:p w14:paraId="0761055D" w14:textId="77777777" w:rsidR="005F4A7E" w:rsidRPr="002029AF" w:rsidRDefault="005F4A7E" w:rsidP="00130D1C">
            <w:pPr>
              <w:pStyle w:val="ARfintablebodyright"/>
            </w:pPr>
            <w:r w:rsidRPr="00324BA1">
              <w:t>4.0</w:t>
            </w:r>
          </w:p>
        </w:tc>
        <w:tc>
          <w:tcPr>
            <w:tcW w:w="654" w:type="dxa"/>
            <w:tcBorders>
              <w:top w:val="single" w:sz="4" w:space="0" w:color="A6A6A6"/>
              <w:bottom w:val="single" w:sz="4" w:space="0" w:color="A6A6A6"/>
            </w:tcBorders>
            <w:noWrap/>
            <w:hideMark/>
          </w:tcPr>
          <w:p w14:paraId="30176F04" w14:textId="77777777" w:rsidR="005F4A7E" w:rsidRPr="002029AF" w:rsidRDefault="005F4A7E" w:rsidP="00130D1C">
            <w:pPr>
              <w:pStyle w:val="ARfintablebodyright"/>
            </w:pPr>
            <w:r w:rsidRPr="00324BA1">
              <w:t>4.5</w:t>
            </w:r>
          </w:p>
        </w:tc>
        <w:tc>
          <w:tcPr>
            <w:tcW w:w="654" w:type="dxa"/>
            <w:tcBorders>
              <w:top w:val="single" w:sz="4" w:space="0" w:color="A6A6A6"/>
              <w:bottom w:val="single" w:sz="4" w:space="0" w:color="A6A6A6"/>
            </w:tcBorders>
            <w:noWrap/>
            <w:hideMark/>
          </w:tcPr>
          <w:p w14:paraId="0E0AC911" w14:textId="77777777" w:rsidR="005F4A7E" w:rsidRPr="002029AF" w:rsidRDefault="005F4A7E" w:rsidP="00130D1C">
            <w:pPr>
              <w:pStyle w:val="ARfintablebodyright"/>
            </w:pPr>
            <w:r w:rsidRPr="00324BA1">
              <w:t>–</w:t>
            </w:r>
          </w:p>
        </w:tc>
        <w:tc>
          <w:tcPr>
            <w:tcW w:w="721" w:type="dxa"/>
            <w:tcBorders>
              <w:top w:val="single" w:sz="4" w:space="0" w:color="A6A6A6"/>
              <w:bottom w:val="single" w:sz="4" w:space="0" w:color="A6A6A6"/>
            </w:tcBorders>
            <w:noWrap/>
            <w:hideMark/>
          </w:tcPr>
          <w:p w14:paraId="4ED05822" w14:textId="77777777" w:rsidR="005F4A7E" w:rsidRPr="002029AF" w:rsidRDefault="005F4A7E" w:rsidP="00130D1C">
            <w:pPr>
              <w:pStyle w:val="ARfintablebodyright"/>
            </w:pPr>
            <w:r w:rsidRPr="00324BA1">
              <w:t>0.7</w:t>
            </w:r>
          </w:p>
        </w:tc>
        <w:tc>
          <w:tcPr>
            <w:tcW w:w="882" w:type="dxa"/>
            <w:tcBorders>
              <w:top w:val="single" w:sz="4" w:space="0" w:color="A6A6A6"/>
              <w:bottom w:val="single" w:sz="4" w:space="0" w:color="A6A6A6"/>
            </w:tcBorders>
            <w:noWrap/>
            <w:hideMark/>
          </w:tcPr>
          <w:p w14:paraId="29D1EAB7" w14:textId="77777777" w:rsidR="005F4A7E" w:rsidRPr="002029AF" w:rsidRDefault="005F4A7E" w:rsidP="00130D1C">
            <w:pPr>
              <w:pStyle w:val="ARfintablebodyright"/>
            </w:pPr>
            <w:r w:rsidRPr="00324BA1">
              <w:t>18.2</w:t>
            </w:r>
          </w:p>
        </w:tc>
        <w:tc>
          <w:tcPr>
            <w:tcW w:w="654" w:type="dxa"/>
            <w:tcBorders>
              <w:top w:val="single" w:sz="4" w:space="0" w:color="A6A6A6"/>
              <w:bottom w:val="single" w:sz="4" w:space="0" w:color="A6A6A6"/>
            </w:tcBorders>
            <w:noWrap/>
            <w:hideMark/>
          </w:tcPr>
          <w:p w14:paraId="75264A90"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59077F94"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0FB647FB"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5EF41B48"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55C794B6"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64A0F81C" w14:textId="77777777" w:rsidR="005F4A7E" w:rsidRPr="002029AF" w:rsidRDefault="005F4A7E" w:rsidP="00130D1C">
            <w:pPr>
              <w:pStyle w:val="ARfintablebodyright"/>
            </w:pPr>
            <w:r w:rsidRPr="00324BA1">
              <w:t>–</w:t>
            </w:r>
          </w:p>
        </w:tc>
        <w:tc>
          <w:tcPr>
            <w:tcW w:w="833" w:type="dxa"/>
            <w:tcBorders>
              <w:top w:val="single" w:sz="4" w:space="0" w:color="A6A6A6"/>
              <w:bottom w:val="single" w:sz="4" w:space="0" w:color="A6A6A6"/>
            </w:tcBorders>
            <w:noWrap/>
            <w:hideMark/>
          </w:tcPr>
          <w:p w14:paraId="0E5B3CE4" w14:textId="77777777" w:rsidR="005F4A7E" w:rsidRPr="002029AF" w:rsidRDefault="005F4A7E" w:rsidP="00130D1C">
            <w:pPr>
              <w:pStyle w:val="ARfintablebodyright"/>
            </w:pPr>
            <w:r w:rsidRPr="00324BA1">
              <w:t>257.7</w:t>
            </w:r>
          </w:p>
        </w:tc>
      </w:tr>
      <w:tr w:rsidR="005F4A7E" w:rsidRPr="002029AF" w14:paraId="14D16693" w14:textId="77777777" w:rsidTr="00130D1C">
        <w:tc>
          <w:tcPr>
            <w:tcW w:w="3334" w:type="dxa"/>
            <w:tcBorders>
              <w:top w:val="single" w:sz="4" w:space="0" w:color="A6A6A6"/>
              <w:bottom w:val="single" w:sz="4" w:space="0" w:color="A6A6A6"/>
            </w:tcBorders>
            <w:hideMark/>
          </w:tcPr>
          <w:p w14:paraId="55885DEE" w14:textId="77777777" w:rsidR="005F4A7E" w:rsidRPr="002029AF" w:rsidRDefault="005F4A7E" w:rsidP="00130D1C">
            <w:pPr>
              <w:pStyle w:val="ARfintablebody"/>
            </w:pPr>
            <w:r w:rsidRPr="00324BA1">
              <w:t>Appropriations – payments made on</w:t>
            </w:r>
            <w:r>
              <w:t> </w:t>
            </w:r>
            <w:r w:rsidRPr="00324BA1">
              <w:t>behalf of the state</w:t>
            </w:r>
          </w:p>
        </w:tc>
        <w:tc>
          <w:tcPr>
            <w:tcW w:w="835" w:type="dxa"/>
            <w:tcBorders>
              <w:top w:val="single" w:sz="4" w:space="0" w:color="A6A6A6"/>
              <w:bottom w:val="single" w:sz="4" w:space="0" w:color="A6A6A6"/>
            </w:tcBorders>
            <w:noWrap/>
            <w:hideMark/>
          </w:tcPr>
          <w:p w14:paraId="6B884AFA" w14:textId="77777777" w:rsidR="005F4A7E" w:rsidRPr="002029AF" w:rsidRDefault="005F4A7E" w:rsidP="00130D1C">
            <w:pPr>
              <w:pStyle w:val="ARfintablebodyright"/>
            </w:pPr>
            <w:r w:rsidRPr="00324BA1">
              <w:t>–</w:t>
            </w:r>
          </w:p>
        </w:tc>
        <w:tc>
          <w:tcPr>
            <w:tcW w:w="656" w:type="dxa"/>
            <w:tcBorders>
              <w:top w:val="single" w:sz="4" w:space="0" w:color="A6A6A6"/>
              <w:bottom w:val="single" w:sz="4" w:space="0" w:color="A6A6A6"/>
            </w:tcBorders>
            <w:noWrap/>
            <w:hideMark/>
          </w:tcPr>
          <w:p w14:paraId="66B138A7" w14:textId="77777777" w:rsidR="005F4A7E" w:rsidRPr="002029AF" w:rsidRDefault="005F4A7E" w:rsidP="00130D1C">
            <w:pPr>
              <w:pStyle w:val="ARfintablebodyright"/>
            </w:pPr>
            <w:r w:rsidRPr="00324BA1">
              <w:t>–</w:t>
            </w:r>
          </w:p>
        </w:tc>
        <w:tc>
          <w:tcPr>
            <w:tcW w:w="656" w:type="dxa"/>
            <w:tcBorders>
              <w:top w:val="single" w:sz="4" w:space="0" w:color="A6A6A6"/>
              <w:bottom w:val="single" w:sz="4" w:space="0" w:color="A6A6A6"/>
            </w:tcBorders>
            <w:noWrap/>
            <w:hideMark/>
          </w:tcPr>
          <w:p w14:paraId="37D744CC" w14:textId="77777777" w:rsidR="005F4A7E" w:rsidRPr="002029AF" w:rsidRDefault="005F4A7E" w:rsidP="00130D1C">
            <w:pPr>
              <w:pStyle w:val="ARfintablebodyright"/>
            </w:pPr>
            <w:r w:rsidRPr="00324BA1">
              <w:t>–</w:t>
            </w:r>
          </w:p>
        </w:tc>
        <w:tc>
          <w:tcPr>
            <w:tcW w:w="655" w:type="dxa"/>
            <w:tcBorders>
              <w:top w:val="single" w:sz="4" w:space="0" w:color="A6A6A6"/>
              <w:bottom w:val="single" w:sz="4" w:space="0" w:color="A6A6A6"/>
            </w:tcBorders>
            <w:noWrap/>
            <w:hideMark/>
          </w:tcPr>
          <w:p w14:paraId="58770FB0" w14:textId="77777777" w:rsidR="005F4A7E" w:rsidRPr="002029AF" w:rsidRDefault="005F4A7E" w:rsidP="00130D1C">
            <w:pPr>
              <w:pStyle w:val="ARfintablebodyright"/>
            </w:pPr>
            <w:r w:rsidRPr="00324BA1">
              <w:t>64.5</w:t>
            </w:r>
          </w:p>
        </w:tc>
        <w:tc>
          <w:tcPr>
            <w:tcW w:w="655" w:type="dxa"/>
            <w:tcBorders>
              <w:top w:val="single" w:sz="4" w:space="0" w:color="A6A6A6"/>
              <w:bottom w:val="single" w:sz="4" w:space="0" w:color="A6A6A6"/>
            </w:tcBorders>
            <w:noWrap/>
            <w:hideMark/>
          </w:tcPr>
          <w:p w14:paraId="6AA1BB03"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59904764"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0F0FB759" w14:textId="77777777" w:rsidR="005F4A7E" w:rsidRPr="002029AF" w:rsidRDefault="005F4A7E" w:rsidP="00130D1C">
            <w:pPr>
              <w:pStyle w:val="ARfintablebodyright"/>
            </w:pPr>
            <w:r w:rsidRPr="00324BA1">
              <w:t>–</w:t>
            </w:r>
          </w:p>
        </w:tc>
        <w:tc>
          <w:tcPr>
            <w:tcW w:w="721" w:type="dxa"/>
            <w:tcBorders>
              <w:top w:val="single" w:sz="4" w:space="0" w:color="A6A6A6"/>
              <w:bottom w:val="single" w:sz="4" w:space="0" w:color="A6A6A6"/>
            </w:tcBorders>
            <w:noWrap/>
            <w:hideMark/>
          </w:tcPr>
          <w:p w14:paraId="68F99A03" w14:textId="77777777" w:rsidR="005F4A7E" w:rsidRPr="002029AF" w:rsidRDefault="005F4A7E" w:rsidP="00130D1C">
            <w:pPr>
              <w:pStyle w:val="ARfintablebodyright"/>
            </w:pPr>
            <w:r w:rsidRPr="00324BA1">
              <w:t>–</w:t>
            </w:r>
          </w:p>
        </w:tc>
        <w:tc>
          <w:tcPr>
            <w:tcW w:w="882" w:type="dxa"/>
            <w:tcBorders>
              <w:top w:val="single" w:sz="4" w:space="0" w:color="A6A6A6"/>
              <w:bottom w:val="single" w:sz="4" w:space="0" w:color="A6A6A6"/>
            </w:tcBorders>
            <w:noWrap/>
            <w:hideMark/>
          </w:tcPr>
          <w:p w14:paraId="4A964646"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0212B577"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22C83507"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75A71A1E"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26A1FA2B"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2F071478"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3DA9190F" w14:textId="77777777" w:rsidR="005F4A7E" w:rsidRPr="002029AF" w:rsidRDefault="005F4A7E" w:rsidP="00130D1C">
            <w:pPr>
              <w:pStyle w:val="ARfintablebodyright"/>
            </w:pPr>
            <w:r w:rsidRPr="00324BA1">
              <w:t>–</w:t>
            </w:r>
          </w:p>
        </w:tc>
        <w:tc>
          <w:tcPr>
            <w:tcW w:w="833" w:type="dxa"/>
            <w:tcBorders>
              <w:top w:val="single" w:sz="4" w:space="0" w:color="A6A6A6"/>
              <w:bottom w:val="single" w:sz="4" w:space="0" w:color="A6A6A6"/>
            </w:tcBorders>
            <w:noWrap/>
            <w:hideMark/>
          </w:tcPr>
          <w:p w14:paraId="1B3329A5" w14:textId="77777777" w:rsidR="005F4A7E" w:rsidRPr="002029AF" w:rsidRDefault="005F4A7E" w:rsidP="00130D1C">
            <w:pPr>
              <w:pStyle w:val="ARfintablebodyright"/>
            </w:pPr>
            <w:r w:rsidRPr="00324BA1">
              <w:t>64.5</w:t>
            </w:r>
          </w:p>
        </w:tc>
      </w:tr>
      <w:tr w:rsidR="005F4A7E" w:rsidRPr="002029AF" w14:paraId="28B9C39E" w14:textId="77777777" w:rsidTr="00130D1C">
        <w:tc>
          <w:tcPr>
            <w:tcW w:w="3334" w:type="dxa"/>
            <w:tcBorders>
              <w:top w:val="single" w:sz="4" w:space="0" w:color="A6A6A6"/>
              <w:bottom w:val="single" w:sz="4" w:space="0" w:color="A6A6A6"/>
            </w:tcBorders>
            <w:hideMark/>
          </w:tcPr>
          <w:p w14:paraId="4058E1C1" w14:textId="77777777" w:rsidR="005F4A7E" w:rsidRPr="002029AF" w:rsidRDefault="005F4A7E" w:rsidP="00130D1C">
            <w:pPr>
              <w:pStyle w:val="ARfintablebody"/>
            </w:pPr>
            <w:r w:rsidRPr="00324BA1">
              <w:t>Interest income</w:t>
            </w:r>
          </w:p>
        </w:tc>
        <w:tc>
          <w:tcPr>
            <w:tcW w:w="835" w:type="dxa"/>
            <w:tcBorders>
              <w:top w:val="single" w:sz="4" w:space="0" w:color="A6A6A6"/>
              <w:bottom w:val="single" w:sz="4" w:space="0" w:color="A6A6A6"/>
            </w:tcBorders>
            <w:noWrap/>
            <w:hideMark/>
          </w:tcPr>
          <w:p w14:paraId="2CD9867A" w14:textId="77777777" w:rsidR="005F4A7E" w:rsidRPr="002029AF" w:rsidRDefault="005F4A7E" w:rsidP="00130D1C">
            <w:pPr>
              <w:pStyle w:val="ARfintablebodyright"/>
            </w:pPr>
            <w:r w:rsidRPr="00324BA1">
              <w:t>0.6</w:t>
            </w:r>
          </w:p>
        </w:tc>
        <w:tc>
          <w:tcPr>
            <w:tcW w:w="656" w:type="dxa"/>
            <w:tcBorders>
              <w:top w:val="single" w:sz="4" w:space="0" w:color="A6A6A6"/>
              <w:bottom w:val="single" w:sz="4" w:space="0" w:color="A6A6A6"/>
            </w:tcBorders>
            <w:noWrap/>
            <w:hideMark/>
          </w:tcPr>
          <w:p w14:paraId="3008B63C" w14:textId="77777777" w:rsidR="005F4A7E" w:rsidRPr="002029AF" w:rsidRDefault="005F4A7E" w:rsidP="00130D1C">
            <w:pPr>
              <w:pStyle w:val="ARfintablebodyright"/>
            </w:pPr>
            <w:r w:rsidRPr="00324BA1">
              <w:t>–</w:t>
            </w:r>
          </w:p>
        </w:tc>
        <w:tc>
          <w:tcPr>
            <w:tcW w:w="656" w:type="dxa"/>
            <w:tcBorders>
              <w:top w:val="single" w:sz="4" w:space="0" w:color="A6A6A6"/>
              <w:bottom w:val="single" w:sz="4" w:space="0" w:color="A6A6A6"/>
            </w:tcBorders>
            <w:noWrap/>
            <w:hideMark/>
          </w:tcPr>
          <w:p w14:paraId="5943F350" w14:textId="77777777" w:rsidR="005F4A7E" w:rsidRPr="002029AF" w:rsidRDefault="005F4A7E" w:rsidP="00130D1C">
            <w:pPr>
              <w:pStyle w:val="ARfintablebodyright"/>
            </w:pPr>
            <w:r w:rsidRPr="00324BA1">
              <w:t>–</w:t>
            </w:r>
          </w:p>
        </w:tc>
        <w:tc>
          <w:tcPr>
            <w:tcW w:w="655" w:type="dxa"/>
            <w:tcBorders>
              <w:top w:val="single" w:sz="4" w:space="0" w:color="A6A6A6"/>
              <w:bottom w:val="single" w:sz="4" w:space="0" w:color="A6A6A6"/>
            </w:tcBorders>
            <w:noWrap/>
            <w:hideMark/>
          </w:tcPr>
          <w:p w14:paraId="1EDA23E6" w14:textId="77777777" w:rsidR="005F4A7E" w:rsidRPr="002029AF" w:rsidRDefault="005F4A7E" w:rsidP="00130D1C">
            <w:pPr>
              <w:pStyle w:val="ARfintablebodyright"/>
            </w:pPr>
            <w:r w:rsidRPr="00324BA1">
              <w:t>–</w:t>
            </w:r>
          </w:p>
        </w:tc>
        <w:tc>
          <w:tcPr>
            <w:tcW w:w="655" w:type="dxa"/>
            <w:tcBorders>
              <w:top w:val="single" w:sz="4" w:space="0" w:color="A6A6A6"/>
              <w:bottom w:val="single" w:sz="4" w:space="0" w:color="A6A6A6"/>
            </w:tcBorders>
            <w:noWrap/>
            <w:hideMark/>
          </w:tcPr>
          <w:p w14:paraId="319FEE3F"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5F83A97F"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590A5955" w14:textId="77777777" w:rsidR="005F4A7E" w:rsidRPr="002029AF" w:rsidRDefault="005F4A7E" w:rsidP="00130D1C">
            <w:pPr>
              <w:pStyle w:val="ARfintablebodyright"/>
            </w:pPr>
            <w:r w:rsidRPr="00324BA1">
              <w:t>–</w:t>
            </w:r>
          </w:p>
        </w:tc>
        <w:tc>
          <w:tcPr>
            <w:tcW w:w="721" w:type="dxa"/>
            <w:tcBorders>
              <w:top w:val="single" w:sz="4" w:space="0" w:color="A6A6A6"/>
              <w:bottom w:val="single" w:sz="4" w:space="0" w:color="A6A6A6"/>
            </w:tcBorders>
            <w:noWrap/>
            <w:hideMark/>
          </w:tcPr>
          <w:p w14:paraId="7D11F6CE" w14:textId="77777777" w:rsidR="005F4A7E" w:rsidRPr="002029AF" w:rsidRDefault="005F4A7E" w:rsidP="00130D1C">
            <w:pPr>
              <w:pStyle w:val="ARfintablebodyright"/>
            </w:pPr>
            <w:r w:rsidRPr="00324BA1">
              <w:t>–</w:t>
            </w:r>
          </w:p>
        </w:tc>
        <w:tc>
          <w:tcPr>
            <w:tcW w:w="882" w:type="dxa"/>
            <w:tcBorders>
              <w:top w:val="single" w:sz="4" w:space="0" w:color="A6A6A6"/>
              <w:bottom w:val="single" w:sz="4" w:space="0" w:color="A6A6A6"/>
            </w:tcBorders>
            <w:noWrap/>
            <w:hideMark/>
          </w:tcPr>
          <w:p w14:paraId="35363060"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7AEAB04F"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187AB3F3"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36561E76"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20DB5CA7"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1A7E2699"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749B6A56" w14:textId="77777777" w:rsidR="005F4A7E" w:rsidRPr="002029AF" w:rsidRDefault="005F4A7E" w:rsidP="00130D1C">
            <w:pPr>
              <w:pStyle w:val="ARfintablebodyright"/>
            </w:pPr>
            <w:r w:rsidRPr="00324BA1">
              <w:t>–</w:t>
            </w:r>
          </w:p>
        </w:tc>
        <w:tc>
          <w:tcPr>
            <w:tcW w:w="833" w:type="dxa"/>
            <w:tcBorders>
              <w:top w:val="single" w:sz="4" w:space="0" w:color="A6A6A6"/>
              <w:bottom w:val="single" w:sz="4" w:space="0" w:color="A6A6A6"/>
            </w:tcBorders>
            <w:noWrap/>
            <w:hideMark/>
          </w:tcPr>
          <w:p w14:paraId="094B4C46" w14:textId="77777777" w:rsidR="005F4A7E" w:rsidRPr="002029AF" w:rsidRDefault="005F4A7E" w:rsidP="00130D1C">
            <w:pPr>
              <w:pStyle w:val="ARfintablebodyright"/>
            </w:pPr>
            <w:r w:rsidRPr="00324BA1">
              <w:t>0.6</w:t>
            </w:r>
          </w:p>
        </w:tc>
      </w:tr>
      <w:tr w:rsidR="005F4A7E" w:rsidRPr="002029AF" w14:paraId="73552CFF" w14:textId="77777777" w:rsidTr="00130D1C">
        <w:tc>
          <w:tcPr>
            <w:tcW w:w="3334" w:type="dxa"/>
            <w:tcBorders>
              <w:top w:val="single" w:sz="4" w:space="0" w:color="A6A6A6"/>
              <w:bottom w:val="single" w:sz="4" w:space="0" w:color="A6A6A6"/>
            </w:tcBorders>
            <w:hideMark/>
          </w:tcPr>
          <w:p w14:paraId="799241FC" w14:textId="77777777" w:rsidR="005F4A7E" w:rsidRPr="002029AF" w:rsidRDefault="005F4A7E" w:rsidP="00130D1C">
            <w:pPr>
              <w:pStyle w:val="ARfintablebody"/>
            </w:pPr>
            <w:r w:rsidRPr="00324BA1">
              <w:t>Fees</w:t>
            </w:r>
          </w:p>
        </w:tc>
        <w:tc>
          <w:tcPr>
            <w:tcW w:w="835" w:type="dxa"/>
            <w:tcBorders>
              <w:top w:val="single" w:sz="4" w:space="0" w:color="A6A6A6"/>
              <w:bottom w:val="single" w:sz="4" w:space="0" w:color="A6A6A6"/>
            </w:tcBorders>
            <w:noWrap/>
            <w:hideMark/>
          </w:tcPr>
          <w:p w14:paraId="7AFA6C96" w14:textId="77777777" w:rsidR="005F4A7E" w:rsidRPr="002029AF" w:rsidRDefault="005F4A7E" w:rsidP="00130D1C">
            <w:pPr>
              <w:pStyle w:val="ARfintablebodyright"/>
            </w:pPr>
            <w:r w:rsidRPr="00324BA1">
              <w:t>–</w:t>
            </w:r>
          </w:p>
        </w:tc>
        <w:tc>
          <w:tcPr>
            <w:tcW w:w="656" w:type="dxa"/>
            <w:tcBorders>
              <w:top w:val="single" w:sz="4" w:space="0" w:color="A6A6A6"/>
              <w:bottom w:val="single" w:sz="4" w:space="0" w:color="A6A6A6"/>
            </w:tcBorders>
            <w:noWrap/>
            <w:hideMark/>
          </w:tcPr>
          <w:p w14:paraId="7424A30F" w14:textId="77777777" w:rsidR="005F4A7E" w:rsidRPr="002029AF" w:rsidRDefault="005F4A7E" w:rsidP="00130D1C">
            <w:pPr>
              <w:pStyle w:val="ARfintablebodyright"/>
            </w:pPr>
            <w:r w:rsidRPr="00324BA1">
              <w:t>–</w:t>
            </w:r>
          </w:p>
        </w:tc>
        <w:tc>
          <w:tcPr>
            <w:tcW w:w="656" w:type="dxa"/>
            <w:tcBorders>
              <w:top w:val="single" w:sz="4" w:space="0" w:color="A6A6A6"/>
              <w:bottom w:val="single" w:sz="4" w:space="0" w:color="A6A6A6"/>
            </w:tcBorders>
            <w:noWrap/>
            <w:hideMark/>
          </w:tcPr>
          <w:p w14:paraId="3C907E4B" w14:textId="77777777" w:rsidR="005F4A7E" w:rsidRPr="002029AF" w:rsidRDefault="005F4A7E" w:rsidP="00130D1C">
            <w:pPr>
              <w:pStyle w:val="ARfintablebodyright"/>
            </w:pPr>
            <w:r w:rsidRPr="00324BA1">
              <w:t>–</w:t>
            </w:r>
          </w:p>
        </w:tc>
        <w:tc>
          <w:tcPr>
            <w:tcW w:w="655" w:type="dxa"/>
            <w:tcBorders>
              <w:top w:val="single" w:sz="4" w:space="0" w:color="A6A6A6"/>
              <w:bottom w:val="single" w:sz="4" w:space="0" w:color="A6A6A6"/>
            </w:tcBorders>
            <w:noWrap/>
            <w:hideMark/>
          </w:tcPr>
          <w:p w14:paraId="0E49E93A" w14:textId="77777777" w:rsidR="005F4A7E" w:rsidRPr="002029AF" w:rsidRDefault="005F4A7E" w:rsidP="00130D1C">
            <w:pPr>
              <w:pStyle w:val="ARfintablebodyright"/>
            </w:pPr>
            <w:r w:rsidRPr="00324BA1">
              <w:t>–</w:t>
            </w:r>
          </w:p>
        </w:tc>
        <w:tc>
          <w:tcPr>
            <w:tcW w:w="655" w:type="dxa"/>
            <w:tcBorders>
              <w:top w:val="single" w:sz="4" w:space="0" w:color="A6A6A6"/>
              <w:bottom w:val="single" w:sz="4" w:space="0" w:color="A6A6A6"/>
            </w:tcBorders>
            <w:noWrap/>
            <w:hideMark/>
          </w:tcPr>
          <w:p w14:paraId="448511B7"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4005636F"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29C47DE1" w14:textId="77777777" w:rsidR="005F4A7E" w:rsidRPr="002029AF" w:rsidRDefault="005F4A7E" w:rsidP="00130D1C">
            <w:pPr>
              <w:pStyle w:val="ARfintablebodyright"/>
            </w:pPr>
            <w:r w:rsidRPr="00324BA1">
              <w:t>10.3</w:t>
            </w:r>
          </w:p>
        </w:tc>
        <w:tc>
          <w:tcPr>
            <w:tcW w:w="721" w:type="dxa"/>
            <w:tcBorders>
              <w:top w:val="single" w:sz="4" w:space="0" w:color="A6A6A6"/>
              <w:bottom w:val="single" w:sz="4" w:space="0" w:color="A6A6A6"/>
            </w:tcBorders>
            <w:noWrap/>
            <w:hideMark/>
          </w:tcPr>
          <w:p w14:paraId="721DF16F" w14:textId="77777777" w:rsidR="005F4A7E" w:rsidRPr="002029AF" w:rsidRDefault="005F4A7E" w:rsidP="00130D1C">
            <w:pPr>
              <w:pStyle w:val="ARfintablebodyright"/>
            </w:pPr>
            <w:r w:rsidRPr="00324BA1">
              <w:t>0.8</w:t>
            </w:r>
          </w:p>
        </w:tc>
        <w:tc>
          <w:tcPr>
            <w:tcW w:w="882" w:type="dxa"/>
            <w:tcBorders>
              <w:top w:val="single" w:sz="4" w:space="0" w:color="A6A6A6"/>
              <w:bottom w:val="single" w:sz="4" w:space="0" w:color="A6A6A6"/>
            </w:tcBorders>
            <w:noWrap/>
            <w:hideMark/>
          </w:tcPr>
          <w:p w14:paraId="01C42138"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5C3B186A"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622487C1"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2E78E183"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6E7035BB"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61CA2A49"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23C52D54" w14:textId="77777777" w:rsidR="005F4A7E" w:rsidRPr="002029AF" w:rsidRDefault="005F4A7E" w:rsidP="00130D1C">
            <w:pPr>
              <w:pStyle w:val="ARfintablebodyright"/>
            </w:pPr>
            <w:r w:rsidRPr="00324BA1">
              <w:t>–</w:t>
            </w:r>
          </w:p>
        </w:tc>
        <w:tc>
          <w:tcPr>
            <w:tcW w:w="833" w:type="dxa"/>
            <w:tcBorders>
              <w:top w:val="single" w:sz="4" w:space="0" w:color="A6A6A6"/>
              <w:bottom w:val="single" w:sz="4" w:space="0" w:color="A6A6A6"/>
            </w:tcBorders>
            <w:noWrap/>
            <w:hideMark/>
          </w:tcPr>
          <w:p w14:paraId="5E68BE30" w14:textId="77777777" w:rsidR="005F4A7E" w:rsidRPr="002029AF" w:rsidRDefault="005F4A7E" w:rsidP="00130D1C">
            <w:pPr>
              <w:pStyle w:val="ARfintablebodyright"/>
            </w:pPr>
            <w:r w:rsidRPr="00324BA1">
              <w:t>11.0</w:t>
            </w:r>
          </w:p>
        </w:tc>
      </w:tr>
      <w:tr w:rsidR="005F4A7E" w:rsidRPr="002029AF" w14:paraId="7B15DC47" w14:textId="77777777" w:rsidTr="00130D1C">
        <w:tc>
          <w:tcPr>
            <w:tcW w:w="3334" w:type="dxa"/>
            <w:tcBorders>
              <w:top w:val="single" w:sz="4" w:space="0" w:color="A6A6A6"/>
              <w:bottom w:val="single" w:sz="4" w:space="0" w:color="A6A6A6"/>
            </w:tcBorders>
            <w:hideMark/>
          </w:tcPr>
          <w:p w14:paraId="25AC329E" w14:textId="77777777" w:rsidR="005F4A7E" w:rsidRPr="002029AF" w:rsidRDefault="005F4A7E" w:rsidP="00130D1C">
            <w:pPr>
              <w:pStyle w:val="ARfintablebody"/>
            </w:pPr>
            <w:r w:rsidRPr="00324BA1">
              <w:t>Grants</w:t>
            </w:r>
          </w:p>
        </w:tc>
        <w:tc>
          <w:tcPr>
            <w:tcW w:w="835" w:type="dxa"/>
            <w:tcBorders>
              <w:top w:val="single" w:sz="4" w:space="0" w:color="A6A6A6"/>
              <w:bottom w:val="single" w:sz="4" w:space="0" w:color="A6A6A6"/>
            </w:tcBorders>
            <w:noWrap/>
            <w:hideMark/>
          </w:tcPr>
          <w:p w14:paraId="5A1E942A" w14:textId="77777777" w:rsidR="005F4A7E" w:rsidRPr="002029AF" w:rsidRDefault="005F4A7E" w:rsidP="00130D1C">
            <w:pPr>
              <w:pStyle w:val="ARfintablebodyright"/>
            </w:pPr>
            <w:r w:rsidRPr="00324BA1">
              <w:t>244.4</w:t>
            </w:r>
          </w:p>
        </w:tc>
        <w:tc>
          <w:tcPr>
            <w:tcW w:w="656" w:type="dxa"/>
            <w:tcBorders>
              <w:top w:val="single" w:sz="4" w:space="0" w:color="A6A6A6"/>
              <w:bottom w:val="single" w:sz="4" w:space="0" w:color="A6A6A6"/>
            </w:tcBorders>
            <w:noWrap/>
            <w:hideMark/>
          </w:tcPr>
          <w:p w14:paraId="6226F502" w14:textId="77777777" w:rsidR="005F4A7E" w:rsidRPr="002029AF" w:rsidRDefault="005F4A7E" w:rsidP="00130D1C">
            <w:pPr>
              <w:pStyle w:val="ARfintablebodyright"/>
            </w:pPr>
            <w:r w:rsidRPr="00324BA1">
              <w:t>–</w:t>
            </w:r>
          </w:p>
        </w:tc>
        <w:tc>
          <w:tcPr>
            <w:tcW w:w="656" w:type="dxa"/>
            <w:tcBorders>
              <w:top w:val="single" w:sz="4" w:space="0" w:color="A6A6A6"/>
              <w:bottom w:val="single" w:sz="4" w:space="0" w:color="A6A6A6"/>
            </w:tcBorders>
            <w:noWrap/>
            <w:hideMark/>
          </w:tcPr>
          <w:p w14:paraId="0B924132" w14:textId="77777777" w:rsidR="005F4A7E" w:rsidRPr="002029AF" w:rsidRDefault="005F4A7E" w:rsidP="00130D1C">
            <w:pPr>
              <w:pStyle w:val="ARfintablebodyright"/>
            </w:pPr>
            <w:r w:rsidRPr="00324BA1">
              <w:t>–</w:t>
            </w:r>
          </w:p>
        </w:tc>
        <w:tc>
          <w:tcPr>
            <w:tcW w:w="655" w:type="dxa"/>
            <w:tcBorders>
              <w:top w:val="single" w:sz="4" w:space="0" w:color="A6A6A6"/>
              <w:bottom w:val="single" w:sz="4" w:space="0" w:color="A6A6A6"/>
            </w:tcBorders>
            <w:noWrap/>
            <w:hideMark/>
          </w:tcPr>
          <w:p w14:paraId="04DBCB1F" w14:textId="77777777" w:rsidR="005F4A7E" w:rsidRPr="002029AF" w:rsidRDefault="005F4A7E" w:rsidP="00130D1C">
            <w:pPr>
              <w:pStyle w:val="ARfintablebodyright"/>
            </w:pPr>
            <w:r w:rsidRPr="00324BA1">
              <w:t>–</w:t>
            </w:r>
          </w:p>
        </w:tc>
        <w:tc>
          <w:tcPr>
            <w:tcW w:w="655" w:type="dxa"/>
            <w:tcBorders>
              <w:top w:val="single" w:sz="4" w:space="0" w:color="A6A6A6"/>
              <w:bottom w:val="single" w:sz="4" w:space="0" w:color="A6A6A6"/>
            </w:tcBorders>
            <w:noWrap/>
            <w:hideMark/>
          </w:tcPr>
          <w:p w14:paraId="7F0C2153" w14:textId="77777777" w:rsidR="005F4A7E" w:rsidRPr="002029AF" w:rsidRDefault="005F4A7E" w:rsidP="00130D1C">
            <w:pPr>
              <w:pStyle w:val="ARfintablebodyright"/>
            </w:pPr>
            <w:r w:rsidRPr="00324BA1">
              <w:t>0.3</w:t>
            </w:r>
          </w:p>
        </w:tc>
        <w:tc>
          <w:tcPr>
            <w:tcW w:w="654" w:type="dxa"/>
            <w:tcBorders>
              <w:top w:val="single" w:sz="4" w:space="0" w:color="A6A6A6"/>
              <w:bottom w:val="single" w:sz="4" w:space="0" w:color="A6A6A6"/>
            </w:tcBorders>
            <w:noWrap/>
            <w:hideMark/>
          </w:tcPr>
          <w:p w14:paraId="0F676EC8"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0E11AB6D" w14:textId="77777777" w:rsidR="005F4A7E" w:rsidRPr="002029AF" w:rsidRDefault="005F4A7E" w:rsidP="00130D1C">
            <w:pPr>
              <w:pStyle w:val="ARfintablebodyright"/>
            </w:pPr>
            <w:r w:rsidRPr="00324BA1">
              <w:t>–</w:t>
            </w:r>
          </w:p>
        </w:tc>
        <w:tc>
          <w:tcPr>
            <w:tcW w:w="721" w:type="dxa"/>
            <w:tcBorders>
              <w:top w:val="single" w:sz="4" w:space="0" w:color="A6A6A6"/>
              <w:bottom w:val="single" w:sz="4" w:space="0" w:color="A6A6A6"/>
            </w:tcBorders>
            <w:noWrap/>
            <w:hideMark/>
          </w:tcPr>
          <w:p w14:paraId="56EA33FC" w14:textId="77777777" w:rsidR="005F4A7E" w:rsidRPr="002029AF" w:rsidRDefault="005F4A7E" w:rsidP="00130D1C">
            <w:pPr>
              <w:pStyle w:val="ARfintablebodyright"/>
            </w:pPr>
            <w:r w:rsidRPr="00324BA1">
              <w:t>–</w:t>
            </w:r>
          </w:p>
        </w:tc>
        <w:tc>
          <w:tcPr>
            <w:tcW w:w="882" w:type="dxa"/>
            <w:tcBorders>
              <w:top w:val="single" w:sz="4" w:space="0" w:color="A6A6A6"/>
              <w:bottom w:val="single" w:sz="4" w:space="0" w:color="A6A6A6"/>
            </w:tcBorders>
            <w:noWrap/>
            <w:hideMark/>
          </w:tcPr>
          <w:p w14:paraId="71D93E02" w14:textId="77777777" w:rsidR="005F4A7E" w:rsidRPr="002029AF" w:rsidRDefault="005F4A7E" w:rsidP="00130D1C">
            <w:pPr>
              <w:pStyle w:val="ARfintablebodyright"/>
            </w:pPr>
            <w:r w:rsidRPr="00324BA1">
              <w:t>558.2</w:t>
            </w:r>
          </w:p>
        </w:tc>
        <w:tc>
          <w:tcPr>
            <w:tcW w:w="654" w:type="dxa"/>
            <w:tcBorders>
              <w:top w:val="single" w:sz="4" w:space="0" w:color="A6A6A6"/>
              <w:bottom w:val="single" w:sz="4" w:space="0" w:color="A6A6A6"/>
            </w:tcBorders>
            <w:noWrap/>
            <w:hideMark/>
          </w:tcPr>
          <w:p w14:paraId="362CCF68" w14:textId="77777777" w:rsidR="005F4A7E" w:rsidRPr="002029AF" w:rsidRDefault="005F4A7E" w:rsidP="00130D1C">
            <w:pPr>
              <w:pStyle w:val="ARfintablebodyright"/>
            </w:pPr>
            <w:r w:rsidRPr="00324BA1">
              <w:t>7.8</w:t>
            </w:r>
          </w:p>
        </w:tc>
        <w:tc>
          <w:tcPr>
            <w:tcW w:w="654" w:type="dxa"/>
            <w:tcBorders>
              <w:top w:val="single" w:sz="4" w:space="0" w:color="A6A6A6"/>
              <w:bottom w:val="single" w:sz="4" w:space="0" w:color="A6A6A6"/>
            </w:tcBorders>
            <w:noWrap/>
            <w:hideMark/>
          </w:tcPr>
          <w:p w14:paraId="701DAC35" w14:textId="77777777" w:rsidR="005F4A7E" w:rsidRPr="002029AF" w:rsidRDefault="005F4A7E" w:rsidP="00130D1C">
            <w:pPr>
              <w:pStyle w:val="ARfintablebodyright"/>
            </w:pPr>
            <w:r w:rsidRPr="00324BA1">
              <w:t>17.3</w:t>
            </w:r>
          </w:p>
        </w:tc>
        <w:tc>
          <w:tcPr>
            <w:tcW w:w="654" w:type="dxa"/>
            <w:tcBorders>
              <w:top w:val="single" w:sz="4" w:space="0" w:color="A6A6A6"/>
              <w:bottom w:val="single" w:sz="4" w:space="0" w:color="A6A6A6"/>
            </w:tcBorders>
            <w:noWrap/>
            <w:hideMark/>
          </w:tcPr>
          <w:p w14:paraId="3D646EE1"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50FE90DE"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51087A66"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4D4C8E85" w14:textId="77777777" w:rsidR="005F4A7E" w:rsidRPr="002029AF" w:rsidRDefault="005F4A7E" w:rsidP="00130D1C">
            <w:pPr>
              <w:pStyle w:val="ARfintablebodyright"/>
            </w:pPr>
            <w:r w:rsidRPr="00324BA1">
              <w:t>–</w:t>
            </w:r>
          </w:p>
        </w:tc>
        <w:tc>
          <w:tcPr>
            <w:tcW w:w="833" w:type="dxa"/>
            <w:tcBorders>
              <w:top w:val="single" w:sz="4" w:space="0" w:color="A6A6A6"/>
              <w:bottom w:val="single" w:sz="4" w:space="0" w:color="A6A6A6"/>
            </w:tcBorders>
            <w:noWrap/>
            <w:hideMark/>
          </w:tcPr>
          <w:p w14:paraId="0D045AA3" w14:textId="77777777" w:rsidR="005F4A7E" w:rsidRPr="002029AF" w:rsidRDefault="005F4A7E" w:rsidP="00130D1C">
            <w:pPr>
              <w:pStyle w:val="ARfintablebodyright"/>
            </w:pPr>
            <w:r w:rsidRPr="00324BA1">
              <w:t>828.0</w:t>
            </w:r>
          </w:p>
        </w:tc>
      </w:tr>
      <w:tr w:rsidR="005F4A7E" w:rsidRPr="002029AF" w14:paraId="19D9D080" w14:textId="77777777" w:rsidTr="00130D1C">
        <w:tc>
          <w:tcPr>
            <w:tcW w:w="3334" w:type="dxa"/>
            <w:tcBorders>
              <w:top w:val="single" w:sz="4" w:space="0" w:color="A6A6A6"/>
              <w:bottom w:val="single" w:sz="4" w:space="0" w:color="A6A6A6"/>
            </w:tcBorders>
            <w:hideMark/>
          </w:tcPr>
          <w:p w14:paraId="10B0916C" w14:textId="77777777" w:rsidR="005F4A7E" w:rsidRPr="002029AF" w:rsidRDefault="005F4A7E" w:rsidP="00130D1C">
            <w:pPr>
              <w:pStyle w:val="ARfintablebody"/>
            </w:pPr>
            <w:r w:rsidRPr="00324BA1">
              <w:t>Other</w:t>
            </w:r>
          </w:p>
        </w:tc>
        <w:tc>
          <w:tcPr>
            <w:tcW w:w="835" w:type="dxa"/>
            <w:tcBorders>
              <w:top w:val="single" w:sz="4" w:space="0" w:color="A6A6A6"/>
              <w:bottom w:val="single" w:sz="4" w:space="0" w:color="A6A6A6"/>
            </w:tcBorders>
            <w:noWrap/>
            <w:hideMark/>
          </w:tcPr>
          <w:p w14:paraId="60C79900" w14:textId="77777777" w:rsidR="005F4A7E" w:rsidRPr="002029AF" w:rsidRDefault="005F4A7E" w:rsidP="00130D1C">
            <w:pPr>
              <w:pStyle w:val="ARfintablebodyright"/>
            </w:pPr>
            <w:r w:rsidRPr="00324BA1">
              <w:t>103.4</w:t>
            </w:r>
          </w:p>
        </w:tc>
        <w:tc>
          <w:tcPr>
            <w:tcW w:w="656" w:type="dxa"/>
            <w:tcBorders>
              <w:top w:val="single" w:sz="4" w:space="0" w:color="A6A6A6"/>
              <w:bottom w:val="single" w:sz="4" w:space="0" w:color="A6A6A6"/>
            </w:tcBorders>
            <w:noWrap/>
            <w:hideMark/>
          </w:tcPr>
          <w:p w14:paraId="64457AC0" w14:textId="77777777" w:rsidR="005F4A7E" w:rsidRPr="002029AF" w:rsidRDefault="005F4A7E" w:rsidP="00130D1C">
            <w:pPr>
              <w:pStyle w:val="ARfintablebodyright"/>
            </w:pPr>
            <w:r w:rsidRPr="00324BA1">
              <w:t>–</w:t>
            </w:r>
          </w:p>
        </w:tc>
        <w:tc>
          <w:tcPr>
            <w:tcW w:w="656" w:type="dxa"/>
            <w:tcBorders>
              <w:top w:val="single" w:sz="4" w:space="0" w:color="A6A6A6"/>
              <w:bottom w:val="single" w:sz="4" w:space="0" w:color="A6A6A6"/>
            </w:tcBorders>
            <w:noWrap/>
            <w:hideMark/>
          </w:tcPr>
          <w:p w14:paraId="58830B37" w14:textId="77777777" w:rsidR="005F4A7E" w:rsidRPr="002029AF" w:rsidRDefault="005F4A7E" w:rsidP="00130D1C">
            <w:pPr>
              <w:pStyle w:val="ARfintablebodyright"/>
            </w:pPr>
            <w:r w:rsidRPr="00324BA1">
              <w:t>0.1</w:t>
            </w:r>
          </w:p>
        </w:tc>
        <w:tc>
          <w:tcPr>
            <w:tcW w:w="655" w:type="dxa"/>
            <w:tcBorders>
              <w:top w:val="single" w:sz="4" w:space="0" w:color="A6A6A6"/>
              <w:bottom w:val="single" w:sz="4" w:space="0" w:color="A6A6A6"/>
            </w:tcBorders>
            <w:noWrap/>
            <w:hideMark/>
          </w:tcPr>
          <w:p w14:paraId="3652134C" w14:textId="77777777" w:rsidR="005F4A7E" w:rsidRPr="002029AF" w:rsidRDefault="005F4A7E" w:rsidP="00130D1C">
            <w:pPr>
              <w:pStyle w:val="ARfintablebodyright"/>
            </w:pPr>
            <w:r w:rsidRPr="00324BA1">
              <w:t>–</w:t>
            </w:r>
          </w:p>
        </w:tc>
        <w:tc>
          <w:tcPr>
            <w:tcW w:w="655" w:type="dxa"/>
            <w:tcBorders>
              <w:top w:val="single" w:sz="4" w:space="0" w:color="A6A6A6"/>
              <w:bottom w:val="single" w:sz="4" w:space="0" w:color="A6A6A6"/>
            </w:tcBorders>
            <w:noWrap/>
            <w:hideMark/>
          </w:tcPr>
          <w:p w14:paraId="05BB2E0B" w14:textId="77777777" w:rsidR="005F4A7E" w:rsidRPr="002029AF" w:rsidRDefault="005F4A7E" w:rsidP="00130D1C">
            <w:pPr>
              <w:pStyle w:val="ARfintablebodyright"/>
            </w:pPr>
            <w:r w:rsidRPr="00324BA1">
              <w:t>0.1</w:t>
            </w:r>
          </w:p>
        </w:tc>
        <w:tc>
          <w:tcPr>
            <w:tcW w:w="654" w:type="dxa"/>
            <w:tcBorders>
              <w:top w:val="single" w:sz="4" w:space="0" w:color="A6A6A6"/>
              <w:bottom w:val="single" w:sz="4" w:space="0" w:color="A6A6A6"/>
            </w:tcBorders>
            <w:noWrap/>
            <w:hideMark/>
          </w:tcPr>
          <w:p w14:paraId="78E210E4"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13AF042D" w14:textId="77777777" w:rsidR="005F4A7E" w:rsidRPr="002029AF" w:rsidRDefault="005F4A7E" w:rsidP="00130D1C">
            <w:pPr>
              <w:pStyle w:val="ARfintablebodyright"/>
            </w:pPr>
            <w:r w:rsidRPr="00324BA1">
              <w:t>0.3</w:t>
            </w:r>
          </w:p>
        </w:tc>
        <w:tc>
          <w:tcPr>
            <w:tcW w:w="721" w:type="dxa"/>
            <w:tcBorders>
              <w:top w:val="single" w:sz="4" w:space="0" w:color="A6A6A6"/>
              <w:bottom w:val="single" w:sz="4" w:space="0" w:color="A6A6A6"/>
            </w:tcBorders>
            <w:noWrap/>
            <w:hideMark/>
          </w:tcPr>
          <w:p w14:paraId="3C3FE3E0" w14:textId="77777777" w:rsidR="005F4A7E" w:rsidRPr="002029AF" w:rsidRDefault="005F4A7E" w:rsidP="00130D1C">
            <w:pPr>
              <w:pStyle w:val="ARfintablebodyright"/>
            </w:pPr>
            <w:r w:rsidRPr="00324BA1">
              <w:t>–</w:t>
            </w:r>
          </w:p>
        </w:tc>
        <w:tc>
          <w:tcPr>
            <w:tcW w:w="882" w:type="dxa"/>
            <w:tcBorders>
              <w:top w:val="single" w:sz="4" w:space="0" w:color="A6A6A6"/>
              <w:bottom w:val="single" w:sz="4" w:space="0" w:color="A6A6A6"/>
            </w:tcBorders>
            <w:noWrap/>
            <w:hideMark/>
          </w:tcPr>
          <w:p w14:paraId="7A15E4AF" w14:textId="77777777" w:rsidR="005F4A7E" w:rsidRPr="002029AF" w:rsidRDefault="005F4A7E" w:rsidP="00130D1C">
            <w:pPr>
              <w:pStyle w:val="ARfintablebodyright"/>
            </w:pPr>
            <w:r w:rsidRPr="00324BA1">
              <w:t>0.4</w:t>
            </w:r>
          </w:p>
        </w:tc>
        <w:tc>
          <w:tcPr>
            <w:tcW w:w="654" w:type="dxa"/>
            <w:tcBorders>
              <w:top w:val="single" w:sz="4" w:space="0" w:color="A6A6A6"/>
              <w:bottom w:val="single" w:sz="4" w:space="0" w:color="A6A6A6"/>
            </w:tcBorders>
            <w:noWrap/>
            <w:hideMark/>
          </w:tcPr>
          <w:p w14:paraId="34F30563" w14:textId="77777777" w:rsidR="005F4A7E" w:rsidRPr="002029AF" w:rsidRDefault="005F4A7E" w:rsidP="00130D1C">
            <w:pPr>
              <w:pStyle w:val="ARfintablebodyright"/>
            </w:pPr>
            <w:r w:rsidRPr="00324BA1">
              <w:t>0.5</w:t>
            </w:r>
          </w:p>
        </w:tc>
        <w:tc>
          <w:tcPr>
            <w:tcW w:w="654" w:type="dxa"/>
            <w:tcBorders>
              <w:top w:val="single" w:sz="4" w:space="0" w:color="A6A6A6"/>
              <w:bottom w:val="single" w:sz="4" w:space="0" w:color="A6A6A6"/>
            </w:tcBorders>
            <w:noWrap/>
            <w:hideMark/>
          </w:tcPr>
          <w:p w14:paraId="6A226B86"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4583D53C" w14:textId="77777777" w:rsidR="005F4A7E" w:rsidRPr="002029AF" w:rsidRDefault="005F4A7E" w:rsidP="00130D1C">
            <w:pPr>
              <w:pStyle w:val="ARfintablebodyright"/>
            </w:pPr>
            <w:r w:rsidRPr="00324BA1">
              <w:t>0.1</w:t>
            </w:r>
          </w:p>
        </w:tc>
        <w:tc>
          <w:tcPr>
            <w:tcW w:w="654" w:type="dxa"/>
            <w:tcBorders>
              <w:top w:val="single" w:sz="4" w:space="0" w:color="A6A6A6"/>
              <w:bottom w:val="single" w:sz="4" w:space="0" w:color="A6A6A6"/>
            </w:tcBorders>
            <w:noWrap/>
            <w:hideMark/>
          </w:tcPr>
          <w:p w14:paraId="6D984BAA"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069BB60B"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1EA36C16" w14:textId="77777777" w:rsidR="005F4A7E" w:rsidRPr="002029AF" w:rsidRDefault="005F4A7E" w:rsidP="00130D1C">
            <w:pPr>
              <w:pStyle w:val="ARfintablebodyright"/>
            </w:pPr>
            <w:r w:rsidRPr="00324BA1">
              <w:t>–</w:t>
            </w:r>
          </w:p>
        </w:tc>
        <w:tc>
          <w:tcPr>
            <w:tcW w:w="833" w:type="dxa"/>
            <w:tcBorders>
              <w:top w:val="single" w:sz="4" w:space="0" w:color="A6A6A6"/>
              <w:bottom w:val="single" w:sz="4" w:space="0" w:color="A6A6A6"/>
            </w:tcBorders>
            <w:noWrap/>
            <w:hideMark/>
          </w:tcPr>
          <w:p w14:paraId="7E764248" w14:textId="77777777" w:rsidR="005F4A7E" w:rsidRPr="002029AF" w:rsidRDefault="005F4A7E" w:rsidP="00130D1C">
            <w:pPr>
              <w:pStyle w:val="ARfintablebodyright"/>
            </w:pPr>
            <w:r w:rsidRPr="00324BA1">
              <w:t>104.9</w:t>
            </w:r>
          </w:p>
        </w:tc>
      </w:tr>
      <w:tr w:rsidR="005F4A7E" w:rsidRPr="002029AF" w14:paraId="7FCD51E9" w14:textId="77777777" w:rsidTr="00130D1C">
        <w:tc>
          <w:tcPr>
            <w:tcW w:w="3334" w:type="dxa"/>
            <w:tcBorders>
              <w:top w:val="single" w:sz="4" w:space="0" w:color="A6A6A6"/>
            </w:tcBorders>
            <w:hideMark/>
          </w:tcPr>
          <w:p w14:paraId="54207A38" w14:textId="77777777" w:rsidR="005F4A7E" w:rsidRPr="002029AF" w:rsidRDefault="005F4A7E" w:rsidP="00130D1C">
            <w:pPr>
              <w:pStyle w:val="ARfintablebody"/>
            </w:pPr>
            <w:r w:rsidRPr="00324BA1">
              <w:t>Fair value of assets and services received free of charge or for nominal consideration</w:t>
            </w:r>
          </w:p>
        </w:tc>
        <w:tc>
          <w:tcPr>
            <w:tcW w:w="835" w:type="dxa"/>
            <w:tcBorders>
              <w:top w:val="single" w:sz="4" w:space="0" w:color="A6A6A6"/>
            </w:tcBorders>
            <w:noWrap/>
            <w:hideMark/>
          </w:tcPr>
          <w:p w14:paraId="7CFD8743" w14:textId="77777777" w:rsidR="005F4A7E" w:rsidRPr="002029AF" w:rsidRDefault="005F4A7E" w:rsidP="00130D1C">
            <w:pPr>
              <w:pStyle w:val="ARfintablebodyright"/>
            </w:pPr>
            <w:r w:rsidRPr="00324BA1">
              <w:t>–</w:t>
            </w:r>
          </w:p>
        </w:tc>
        <w:tc>
          <w:tcPr>
            <w:tcW w:w="656" w:type="dxa"/>
            <w:tcBorders>
              <w:top w:val="single" w:sz="4" w:space="0" w:color="A6A6A6"/>
            </w:tcBorders>
            <w:noWrap/>
            <w:hideMark/>
          </w:tcPr>
          <w:p w14:paraId="253B1C23" w14:textId="77777777" w:rsidR="005F4A7E" w:rsidRPr="002029AF" w:rsidRDefault="005F4A7E" w:rsidP="00130D1C">
            <w:pPr>
              <w:pStyle w:val="ARfintablebodyright"/>
            </w:pPr>
            <w:r w:rsidRPr="00324BA1">
              <w:t>–</w:t>
            </w:r>
          </w:p>
        </w:tc>
        <w:tc>
          <w:tcPr>
            <w:tcW w:w="656" w:type="dxa"/>
            <w:tcBorders>
              <w:top w:val="single" w:sz="4" w:space="0" w:color="A6A6A6"/>
            </w:tcBorders>
            <w:noWrap/>
            <w:hideMark/>
          </w:tcPr>
          <w:p w14:paraId="67B33BDC" w14:textId="77777777" w:rsidR="005F4A7E" w:rsidRPr="002029AF" w:rsidRDefault="005F4A7E" w:rsidP="00130D1C">
            <w:pPr>
              <w:pStyle w:val="ARfintablebodyright"/>
            </w:pPr>
            <w:r w:rsidRPr="00324BA1">
              <w:t>–</w:t>
            </w:r>
          </w:p>
        </w:tc>
        <w:tc>
          <w:tcPr>
            <w:tcW w:w="655" w:type="dxa"/>
            <w:tcBorders>
              <w:top w:val="single" w:sz="4" w:space="0" w:color="A6A6A6"/>
            </w:tcBorders>
            <w:noWrap/>
            <w:hideMark/>
          </w:tcPr>
          <w:p w14:paraId="620C5C42" w14:textId="77777777" w:rsidR="005F4A7E" w:rsidRPr="002029AF" w:rsidRDefault="005F4A7E" w:rsidP="00130D1C">
            <w:pPr>
              <w:pStyle w:val="ARfintablebodyright"/>
            </w:pPr>
            <w:r w:rsidRPr="00324BA1">
              <w:t>–</w:t>
            </w:r>
          </w:p>
        </w:tc>
        <w:tc>
          <w:tcPr>
            <w:tcW w:w="655" w:type="dxa"/>
            <w:tcBorders>
              <w:top w:val="single" w:sz="4" w:space="0" w:color="A6A6A6"/>
            </w:tcBorders>
            <w:noWrap/>
            <w:hideMark/>
          </w:tcPr>
          <w:p w14:paraId="0F3C3B0D" w14:textId="77777777" w:rsidR="005F4A7E" w:rsidRPr="002029AF" w:rsidRDefault="005F4A7E" w:rsidP="00130D1C">
            <w:pPr>
              <w:pStyle w:val="ARfintablebodyright"/>
            </w:pPr>
            <w:r w:rsidRPr="00324BA1">
              <w:t>–</w:t>
            </w:r>
          </w:p>
        </w:tc>
        <w:tc>
          <w:tcPr>
            <w:tcW w:w="654" w:type="dxa"/>
            <w:tcBorders>
              <w:top w:val="single" w:sz="4" w:space="0" w:color="A6A6A6"/>
            </w:tcBorders>
            <w:noWrap/>
            <w:hideMark/>
          </w:tcPr>
          <w:p w14:paraId="14B22ADB" w14:textId="77777777" w:rsidR="005F4A7E" w:rsidRPr="002029AF" w:rsidRDefault="005F4A7E" w:rsidP="00130D1C">
            <w:pPr>
              <w:pStyle w:val="ARfintablebodyright"/>
            </w:pPr>
            <w:r w:rsidRPr="00324BA1">
              <w:t>–</w:t>
            </w:r>
          </w:p>
        </w:tc>
        <w:tc>
          <w:tcPr>
            <w:tcW w:w="654" w:type="dxa"/>
            <w:tcBorders>
              <w:top w:val="single" w:sz="4" w:space="0" w:color="A6A6A6"/>
            </w:tcBorders>
            <w:noWrap/>
            <w:hideMark/>
          </w:tcPr>
          <w:p w14:paraId="1222D1D4" w14:textId="77777777" w:rsidR="005F4A7E" w:rsidRPr="002029AF" w:rsidRDefault="005F4A7E" w:rsidP="00130D1C">
            <w:pPr>
              <w:pStyle w:val="ARfintablebodyright"/>
            </w:pPr>
            <w:r w:rsidRPr="00324BA1">
              <w:t>–</w:t>
            </w:r>
          </w:p>
        </w:tc>
        <w:tc>
          <w:tcPr>
            <w:tcW w:w="721" w:type="dxa"/>
            <w:tcBorders>
              <w:top w:val="single" w:sz="4" w:space="0" w:color="A6A6A6"/>
            </w:tcBorders>
            <w:noWrap/>
            <w:hideMark/>
          </w:tcPr>
          <w:p w14:paraId="5CD86351" w14:textId="77777777" w:rsidR="005F4A7E" w:rsidRPr="002029AF" w:rsidRDefault="005F4A7E" w:rsidP="00130D1C">
            <w:pPr>
              <w:pStyle w:val="ARfintablebodyright"/>
            </w:pPr>
            <w:r w:rsidRPr="00324BA1">
              <w:t>–</w:t>
            </w:r>
          </w:p>
        </w:tc>
        <w:tc>
          <w:tcPr>
            <w:tcW w:w="882" w:type="dxa"/>
            <w:tcBorders>
              <w:top w:val="single" w:sz="4" w:space="0" w:color="A6A6A6"/>
            </w:tcBorders>
            <w:noWrap/>
            <w:hideMark/>
          </w:tcPr>
          <w:p w14:paraId="74670831" w14:textId="77777777" w:rsidR="005F4A7E" w:rsidRPr="002029AF" w:rsidRDefault="005F4A7E" w:rsidP="00130D1C">
            <w:pPr>
              <w:pStyle w:val="ARfintablebodyright"/>
            </w:pPr>
            <w:r w:rsidRPr="00324BA1">
              <w:t>–</w:t>
            </w:r>
          </w:p>
        </w:tc>
        <w:tc>
          <w:tcPr>
            <w:tcW w:w="654" w:type="dxa"/>
            <w:tcBorders>
              <w:top w:val="single" w:sz="4" w:space="0" w:color="A6A6A6"/>
            </w:tcBorders>
            <w:noWrap/>
            <w:hideMark/>
          </w:tcPr>
          <w:p w14:paraId="2FB243FA" w14:textId="77777777" w:rsidR="005F4A7E" w:rsidRPr="002029AF" w:rsidRDefault="005F4A7E" w:rsidP="00130D1C">
            <w:pPr>
              <w:pStyle w:val="ARfintablebodyright"/>
            </w:pPr>
            <w:r w:rsidRPr="00324BA1">
              <w:t>–</w:t>
            </w:r>
          </w:p>
        </w:tc>
        <w:tc>
          <w:tcPr>
            <w:tcW w:w="654" w:type="dxa"/>
            <w:tcBorders>
              <w:top w:val="single" w:sz="4" w:space="0" w:color="A6A6A6"/>
            </w:tcBorders>
            <w:noWrap/>
            <w:hideMark/>
          </w:tcPr>
          <w:p w14:paraId="64E6912E" w14:textId="77777777" w:rsidR="005F4A7E" w:rsidRPr="002029AF" w:rsidRDefault="005F4A7E" w:rsidP="00130D1C">
            <w:pPr>
              <w:pStyle w:val="ARfintablebodyright"/>
            </w:pPr>
            <w:r w:rsidRPr="00324BA1">
              <w:t>–</w:t>
            </w:r>
          </w:p>
        </w:tc>
        <w:tc>
          <w:tcPr>
            <w:tcW w:w="654" w:type="dxa"/>
            <w:tcBorders>
              <w:top w:val="single" w:sz="4" w:space="0" w:color="A6A6A6"/>
            </w:tcBorders>
            <w:noWrap/>
            <w:hideMark/>
          </w:tcPr>
          <w:p w14:paraId="7C5C76DC" w14:textId="77777777" w:rsidR="005F4A7E" w:rsidRPr="002029AF" w:rsidRDefault="005F4A7E" w:rsidP="00130D1C">
            <w:pPr>
              <w:pStyle w:val="ARfintablebodyright"/>
            </w:pPr>
            <w:r w:rsidRPr="00324BA1">
              <w:t>–</w:t>
            </w:r>
          </w:p>
        </w:tc>
        <w:tc>
          <w:tcPr>
            <w:tcW w:w="654" w:type="dxa"/>
            <w:tcBorders>
              <w:top w:val="single" w:sz="4" w:space="0" w:color="A6A6A6"/>
            </w:tcBorders>
            <w:noWrap/>
            <w:hideMark/>
          </w:tcPr>
          <w:p w14:paraId="0248DE5F" w14:textId="77777777" w:rsidR="005F4A7E" w:rsidRPr="002029AF" w:rsidRDefault="005F4A7E" w:rsidP="00130D1C">
            <w:pPr>
              <w:pStyle w:val="ARfintablebodyright"/>
            </w:pPr>
            <w:r w:rsidRPr="00324BA1">
              <w:t>–</w:t>
            </w:r>
          </w:p>
        </w:tc>
        <w:tc>
          <w:tcPr>
            <w:tcW w:w="654" w:type="dxa"/>
            <w:tcBorders>
              <w:top w:val="single" w:sz="4" w:space="0" w:color="A6A6A6"/>
            </w:tcBorders>
            <w:noWrap/>
            <w:hideMark/>
          </w:tcPr>
          <w:p w14:paraId="40878D25" w14:textId="77777777" w:rsidR="005F4A7E" w:rsidRPr="002029AF" w:rsidRDefault="005F4A7E" w:rsidP="00130D1C">
            <w:pPr>
              <w:pStyle w:val="ARfintablebodyright"/>
            </w:pPr>
            <w:r w:rsidRPr="00324BA1">
              <w:t>–</w:t>
            </w:r>
          </w:p>
        </w:tc>
        <w:tc>
          <w:tcPr>
            <w:tcW w:w="654" w:type="dxa"/>
            <w:tcBorders>
              <w:top w:val="single" w:sz="4" w:space="0" w:color="A6A6A6"/>
            </w:tcBorders>
            <w:noWrap/>
            <w:hideMark/>
          </w:tcPr>
          <w:p w14:paraId="2B3EABD9" w14:textId="77777777" w:rsidR="005F4A7E" w:rsidRPr="002029AF" w:rsidRDefault="005F4A7E" w:rsidP="00130D1C">
            <w:pPr>
              <w:pStyle w:val="ARfintablebodyright"/>
            </w:pPr>
            <w:r w:rsidRPr="00324BA1">
              <w:t>–</w:t>
            </w:r>
          </w:p>
        </w:tc>
        <w:tc>
          <w:tcPr>
            <w:tcW w:w="833" w:type="dxa"/>
            <w:tcBorders>
              <w:top w:val="single" w:sz="4" w:space="0" w:color="A6A6A6"/>
            </w:tcBorders>
            <w:noWrap/>
            <w:hideMark/>
          </w:tcPr>
          <w:p w14:paraId="1E53616D" w14:textId="77777777" w:rsidR="005F4A7E" w:rsidRPr="002029AF" w:rsidRDefault="005F4A7E" w:rsidP="00130D1C">
            <w:pPr>
              <w:pStyle w:val="ARfintablebodyright"/>
            </w:pPr>
            <w:r w:rsidRPr="00324BA1">
              <w:t>–</w:t>
            </w:r>
          </w:p>
        </w:tc>
      </w:tr>
      <w:tr w:rsidR="005F4A7E" w:rsidRPr="002029AF" w14:paraId="3A7F0D27" w14:textId="77777777" w:rsidTr="00130D1C">
        <w:tc>
          <w:tcPr>
            <w:tcW w:w="3334" w:type="dxa"/>
            <w:tcBorders>
              <w:bottom w:val="single" w:sz="4" w:space="0" w:color="auto"/>
            </w:tcBorders>
            <w:hideMark/>
          </w:tcPr>
          <w:p w14:paraId="02CC4425" w14:textId="77777777" w:rsidR="005F4A7E" w:rsidRPr="002029AF" w:rsidRDefault="005F4A7E" w:rsidP="00130D1C">
            <w:pPr>
              <w:pStyle w:val="ARfintablebodybold"/>
            </w:pPr>
            <w:r w:rsidRPr="00324BA1">
              <w:t>Total administered revenue and income from transactions</w:t>
            </w:r>
          </w:p>
        </w:tc>
        <w:tc>
          <w:tcPr>
            <w:tcW w:w="835" w:type="dxa"/>
            <w:tcBorders>
              <w:bottom w:val="single" w:sz="4" w:space="0" w:color="auto"/>
            </w:tcBorders>
            <w:noWrap/>
            <w:hideMark/>
          </w:tcPr>
          <w:p w14:paraId="715EF384" w14:textId="77777777" w:rsidR="005F4A7E" w:rsidRPr="002029AF" w:rsidRDefault="005F4A7E" w:rsidP="00130D1C">
            <w:pPr>
              <w:pStyle w:val="ARfintablebodyrightbold"/>
            </w:pPr>
            <w:r w:rsidRPr="00324BA1">
              <w:t>12,278.6</w:t>
            </w:r>
          </w:p>
        </w:tc>
        <w:tc>
          <w:tcPr>
            <w:tcW w:w="656" w:type="dxa"/>
            <w:tcBorders>
              <w:bottom w:val="single" w:sz="4" w:space="0" w:color="auto"/>
            </w:tcBorders>
            <w:noWrap/>
            <w:hideMark/>
          </w:tcPr>
          <w:p w14:paraId="62B0F202" w14:textId="77777777" w:rsidR="005F4A7E" w:rsidRPr="002029AF" w:rsidRDefault="005F4A7E" w:rsidP="00130D1C">
            <w:pPr>
              <w:pStyle w:val="ARfintablebodyrightbold"/>
            </w:pPr>
            <w:r w:rsidRPr="00324BA1">
              <w:t>–</w:t>
            </w:r>
          </w:p>
        </w:tc>
        <w:tc>
          <w:tcPr>
            <w:tcW w:w="656" w:type="dxa"/>
            <w:tcBorders>
              <w:bottom w:val="single" w:sz="4" w:space="0" w:color="auto"/>
            </w:tcBorders>
            <w:noWrap/>
            <w:hideMark/>
          </w:tcPr>
          <w:p w14:paraId="39412C97" w14:textId="77777777" w:rsidR="005F4A7E" w:rsidRPr="002029AF" w:rsidRDefault="005F4A7E" w:rsidP="00130D1C">
            <w:pPr>
              <w:pStyle w:val="ARfintablebodyrightbold"/>
            </w:pPr>
            <w:r w:rsidRPr="00324BA1">
              <w:t>780.8</w:t>
            </w:r>
          </w:p>
        </w:tc>
        <w:tc>
          <w:tcPr>
            <w:tcW w:w="655" w:type="dxa"/>
            <w:tcBorders>
              <w:bottom w:val="single" w:sz="4" w:space="0" w:color="auto"/>
            </w:tcBorders>
            <w:noWrap/>
            <w:hideMark/>
          </w:tcPr>
          <w:p w14:paraId="14586BFC" w14:textId="77777777" w:rsidR="005F4A7E" w:rsidRPr="002029AF" w:rsidRDefault="005F4A7E" w:rsidP="00130D1C">
            <w:pPr>
              <w:pStyle w:val="ARfintablebodyrightbold"/>
            </w:pPr>
            <w:r w:rsidRPr="00324BA1">
              <w:t>131.7</w:t>
            </w:r>
          </w:p>
        </w:tc>
        <w:tc>
          <w:tcPr>
            <w:tcW w:w="655" w:type="dxa"/>
            <w:tcBorders>
              <w:bottom w:val="single" w:sz="4" w:space="0" w:color="auto"/>
            </w:tcBorders>
            <w:noWrap/>
            <w:hideMark/>
          </w:tcPr>
          <w:p w14:paraId="1F334ED5" w14:textId="77777777" w:rsidR="005F4A7E" w:rsidRPr="002029AF" w:rsidRDefault="005F4A7E" w:rsidP="00130D1C">
            <w:pPr>
              <w:pStyle w:val="ARfintablebodyrightbold"/>
            </w:pPr>
            <w:r w:rsidRPr="00324BA1">
              <w:t>4.7</w:t>
            </w:r>
          </w:p>
        </w:tc>
        <w:tc>
          <w:tcPr>
            <w:tcW w:w="654" w:type="dxa"/>
            <w:tcBorders>
              <w:bottom w:val="single" w:sz="4" w:space="0" w:color="auto"/>
            </w:tcBorders>
            <w:noWrap/>
            <w:hideMark/>
          </w:tcPr>
          <w:p w14:paraId="0E640245" w14:textId="77777777" w:rsidR="005F4A7E" w:rsidRPr="002029AF" w:rsidRDefault="005F4A7E" w:rsidP="00130D1C">
            <w:pPr>
              <w:pStyle w:val="ARfintablebodyrightbold"/>
            </w:pPr>
            <w:r w:rsidRPr="00324BA1">
              <w:t>141.4</w:t>
            </w:r>
          </w:p>
        </w:tc>
        <w:tc>
          <w:tcPr>
            <w:tcW w:w="654" w:type="dxa"/>
            <w:tcBorders>
              <w:bottom w:val="single" w:sz="4" w:space="0" w:color="auto"/>
            </w:tcBorders>
            <w:noWrap/>
            <w:hideMark/>
          </w:tcPr>
          <w:p w14:paraId="2DB7D015" w14:textId="77777777" w:rsidR="005F4A7E" w:rsidRPr="002029AF" w:rsidRDefault="005F4A7E" w:rsidP="00130D1C">
            <w:pPr>
              <w:pStyle w:val="ARfintablebodyrightbold"/>
            </w:pPr>
            <w:r w:rsidRPr="00324BA1">
              <w:t>123.0</w:t>
            </w:r>
          </w:p>
        </w:tc>
        <w:tc>
          <w:tcPr>
            <w:tcW w:w="721" w:type="dxa"/>
            <w:tcBorders>
              <w:bottom w:val="single" w:sz="4" w:space="0" w:color="auto"/>
            </w:tcBorders>
            <w:noWrap/>
            <w:hideMark/>
          </w:tcPr>
          <w:p w14:paraId="7FB68640" w14:textId="77777777" w:rsidR="005F4A7E" w:rsidRPr="002029AF" w:rsidRDefault="005F4A7E" w:rsidP="00130D1C">
            <w:pPr>
              <w:pStyle w:val="ARfintablebodyrightbold"/>
            </w:pPr>
            <w:r w:rsidRPr="00324BA1">
              <w:t>14.1</w:t>
            </w:r>
          </w:p>
        </w:tc>
        <w:tc>
          <w:tcPr>
            <w:tcW w:w="882" w:type="dxa"/>
            <w:tcBorders>
              <w:bottom w:val="single" w:sz="4" w:space="0" w:color="auto"/>
            </w:tcBorders>
            <w:noWrap/>
            <w:hideMark/>
          </w:tcPr>
          <w:p w14:paraId="1849302D" w14:textId="77777777" w:rsidR="005F4A7E" w:rsidRPr="002029AF" w:rsidRDefault="005F4A7E" w:rsidP="00130D1C">
            <w:pPr>
              <w:pStyle w:val="ARfintablebodyrightbold"/>
            </w:pPr>
            <w:r w:rsidRPr="00324BA1">
              <w:t>1,649.4</w:t>
            </w:r>
          </w:p>
        </w:tc>
        <w:tc>
          <w:tcPr>
            <w:tcW w:w="654" w:type="dxa"/>
            <w:tcBorders>
              <w:bottom w:val="single" w:sz="4" w:space="0" w:color="auto"/>
            </w:tcBorders>
            <w:noWrap/>
            <w:hideMark/>
          </w:tcPr>
          <w:p w14:paraId="4AC9E99E" w14:textId="77777777" w:rsidR="005F4A7E" w:rsidRPr="002029AF" w:rsidRDefault="005F4A7E" w:rsidP="00130D1C">
            <w:pPr>
              <w:pStyle w:val="ARfintablebodyrightbold"/>
            </w:pPr>
            <w:r w:rsidRPr="00324BA1">
              <w:t>10.4</w:t>
            </w:r>
          </w:p>
        </w:tc>
        <w:tc>
          <w:tcPr>
            <w:tcW w:w="654" w:type="dxa"/>
            <w:tcBorders>
              <w:bottom w:val="single" w:sz="4" w:space="0" w:color="auto"/>
            </w:tcBorders>
            <w:noWrap/>
            <w:hideMark/>
          </w:tcPr>
          <w:p w14:paraId="3F141FE0" w14:textId="77777777" w:rsidR="005F4A7E" w:rsidRPr="002029AF" w:rsidRDefault="005F4A7E" w:rsidP="00130D1C">
            <w:pPr>
              <w:pStyle w:val="ARfintablebodyrightbold"/>
            </w:pPr>
            <w:r w:rsidRPr="00324BA1">
              <w:t>17.3</w:t>
            </w:r>
          </w:p>
        </w:tc>
        <w:tc>
          <w:tcPr>
            <w:tcW w:w="654" w:type="dxa"/>
            <w:tcBorders>
              <w:bottom w:val="single" w:sz="4" w:space="0" w:color="auto"/>
            </w:tcBorders>
            <w:noWrap/>
            <w:hideMark/>
          </w:tcPr>
          <w:p w14:paraId="0217A72D" w14:textId="77777777" w:rsidR="005F4A7E" w:rsidRPr="002029AF" w:rsidRDefault="005F4A7E" w:rsidP="00130D1C">
            <w:pPr>
              <w:pStyle w:val="ARfintablebodyrightbold"/>
            </w:pPr>
            <w:r w:rsidRPr="00324BA1">
              <w:t>0.1</w:t>
            </w:r>
          </w:p>
        </w:tc>
        <w:tc>
          <w:tcPr>
            <w:tcW w:w="654" w:type="dxa"/>
            <w:tcBorders>
              <w:bottom w:val="single" w:sz="4" w:space="0" w:color="auto"/>
            </w:tcBorders>
            <w:noWrap/>
            <w:hideMark/>
          </w:tcPr>
          <w:p w14:paraId="607511CF" w14:textId="77777777" w:rsidR="005F4A7E" w:rsidRPr="002029AF" w:rsidRDefault="005F4A7E" w:rsidP="00130D1C">
            <w:pPr>
              <w:pStyle w:val="ARfintablebodyrightbold"/>
            </w:pPr>
            <w:r w:rsidRPr="00324BA1">
              <w:t>–</w:t>
            </w:r>
          </w:p>
        </w:tc>
        <w:tc>
          <w:tcPr>
            <w:tcW w:w="654" w:type="dxa"/>
            <w:tcBorders>
              <w:bottom w:val="single" w:sz="4" w:space="0" w:color="auto"/>
            </w:tcBorders>
            <w:noWrap/>
            <w:hideMark/>
          </w:tcPr>
          <w:p w14:paraId="06390F57" w14:textId="77777777" w:rsidR="005F4A7E" w:rsidRPr="002029AF" w:rsidRDefault="005F4A7E" w:rsidP="00130D1C">
            <w:pPr>
              <w:pStyle w:val="ARfintablebodyrightbold"/>
            </w:pPr>
            <w:r w:rsidRPr="00324BA1">
              <w:t>–</w:t>
            </w:r>
          </w:p>
        </w:tc>
        <w:tc>
          <w:tcPr>
            <w:tcW w:w="654" w:type="dxa"/>
            <w:tcBorders>
              <w:bottom w:val="single" w:sz="4" w:space="0" w:color="auto"/>
            </w:tcBorders>
            <w:noWrap/>
            <w:hideMark/>
          </w:tcPr>
          <w:p w14:paraId="560E3E9E" w14:textId="77777777" w:rsidR="005F4A7E" w:rsidRPr="002029AF" w:rsidRDefault="005F4A7E" w:rsidP="00130D1C">
            <w:pPr>
              <w:pStyle w:val="ARfintablebodyrightbold"/>
            </w:pPr>
            <w:r w:rsidRPr="00324BA1">
              <w:t>–</w:t>
            </w:r>
          </w:p>
        </w:tc>
        <w:tc>
          <w:tcPr>
            <w:tcW w:w="833" w:type="dxa"/>
            <w:tcBorders>
              <w:bottom w:val="single" w:sz="4" w:space="0" w:color="auto"/>
            </w:tcBorders>
            <w:noWrap/>
            <w:hideMark/>
          </w:tcPr>
          <w:p w14:paraId="7B850E35" w14:textId="77777777" w:rsidR="005F4A7E" w:rsidRPr="002029AF" w:rsidRDefault="005F4A7E" w:rsidP="00130D1C">
            <w:pPr>
              <w:pStyle w:val="ARfintablebodyrightbold"/>
            </w:pPr>
            <w:r w:rsidRPr="00324BA1">
              <w:t>15,151.3</w:t>
            </w:r>
          </w:p>
        </w:tc>
      </w:tr>
      <w:tr w:rsidR="005F4A7E" w:rsidRPr="002029AF" w14:paraId="2248184D" w14:textId="77777777" w:rsidTr="00130D1C">
        <w:tc>
          <w:tcPr>
            <w:tcW w:w="14459" w:type="dxa"/>
            <w:gridSpan w:val="17"/>
            <w:tcBorders>
              <w:top w:val="single" w:sz="4" w:space="0" w:color="auto"/>
              <w:bottom w:val="single" w:sz="4" w:space="0" w:color="A6A6A6"/>
            </w:tcBorders>
            <w:hideMark/>
          </w:tcPr>
          <w:p w14:paraId="37285B6C" w14:textId="77777777" w:rsidR="005F4A7E" w:rsidRPr="002029AF" w:rsidRDefault="005F4A7E" w:rsidP="00130D1C">
            <w:pPr>
              <w:pStyle w:val="ARfintablebodybold"/>
            </w:pPr>
            <w:r w:rsidRPr="00324BA1">
              <w:t xml:space="preserve">Administered expenses </w:t>
            </w:r>
            <w:r>
              <w:br/>
            </w:r>
            <w:r w:rsidRPr="00324BA1">
              <w:t>from transactions</w:t>
            </w:r>
          </w:p>
        </w:tc>
      </w:tr>
      <w:tr w:rsidR="005F4A7E" w:rsidRPr="002029AF" w14:paraId="29D7ECAC" w14:textId="77777777" w:rsidTr="00130D1C">
        <w:tc>
          <w:tcPr>
            <w:tcW w:w="3334" w:type="dxa"/>
            <w:tcBorders>
              <w:top w:val="single" w:sz="4" w:space="0" w:color="A6A6A6"/>
              <w:bottom w:val="single" w:sz="4" w:space="0" w:color="A6A6A6"/>
            </w:tcBorders>
            <w:hideMark/>
          </w:tcPr>
          <w:p w14:paraId="42D90230" w14:textId="77777777" w:rsidR="005F4A7E" w:rsidRPr="002029AF" w:rsidRDefault="005F4A7E" w:rsidP="00130D1C">
            <w:pPr>
              <w:pStyle w:val="ARfintablebody"/>
            </w:pPr>
            <w:r w:rsidRPr="00324BA1">
              <w:t>Grants and other expense transfers</w:t>
            </w:r>
          </w:p>
        </w:tc>
        <w:tc>
          <w:tcPr>
            <w:tcW w:w="835" w:type="dxa"/>
            <w:tcBorders>
              <w:top w:val="single" w:sz="4" w:space="0" w:color="A6A6A6"/>
              <w:bottom w:val="single" w:sz="4" w:space="0" w:color="A6A6A6"/>
            </w:tcBorders>
            <w:noWrap/>
            <w:hideMark/>
          </w:tcPr>
          <w:p w14:paraId="1A35B877" w14:textId="77777777" w:rsidR="005F4A7E" w:rsidRPr="002029AF" w:rsidRDefault="005F4A7E" w:rsidP="00130D1C">
            <w:pPr>
              <w:pStyle w:val="ARfintablebodyright"/>
            </w:pPr>
            <w:r w:rsidRPr="00324BA1">
              <w:t>10,357.1</w:t>
            </w:r>
          </w:p>
        </w:tc>
        <w:tc>
          <w:tcPr>
            <w:tcW w:w="656" w:type="dxa"/>
            <w:tcBorders>
              <w:top w:val="single" w:sz="4" w:space="0" w:color="A6A6A6"/>
              <w:bottom w:val="single" w:sz="4" w:space="0" w:color="A6A6A6"/>
            </w:tcBorders>
            <w:noWrap/>
            <w:hideMark/>
          </w:tcPr>
          <w:p w14:paraId="19F27C95" w14:textId="77777777" w:rsidR="005F4A7E" w:rsidRPr="002029AF" w:rsidRDefault="005F4A7E" w:rsidP="00130D1C">
            <w:pPr>
              <w:pStyle w:val="ARfintablebodyright"/>
            </w:pPr>
            <w:r w:rsidRPr="00324BA1">
              <w:t>–</w:t>
            </w:r>
          </w:p>
        </w:tc>
        <w:tc>
          <w:tcPr>
            <w:tcW w:w="656" w:type="dxa"/>
            <w:tcBorders>
              <w:top w:val="single" w:sz="4" w:space="0" w:color="A6A6A6"/>
              <w:bottom w:val="single" w:sz="4" w:space="0" w:color="A6A6A6"/>
            </w:tcBorders>
            <w:noWrap/>
            <w:hideMark/>
          </w:tcPr>
          <w:p w14:paraId="06A22152" w14:textId="77777777" w:rsidR="005F4A7E" w:rsidRPr="002029AF" w:rsidRDefault="005F4A7E" w:rsidP="00130D1C">
            <w:pPr>
              <w:pStyle w:val="ARfintablebodyright"/>
            </w:pPr>
            <w:r w:rsidRPr="00324BA1">
              <w:t>428.1</w:t>
            </w:r>
          </w:p>
        </w:tc>
        <w:tc>
          <w:tcPr>
            <w:tcW w:w="655" w:type="dxa"/>
            <w:tcBorders>
              <w:top w:val="single" w:sz="4" w:space="0" w:color="A6A6A6"/>
              <w:bottom w:val="single" w:sz="4" w:space="0" w:color="A6A6A6"/>
            </w:tcBorders>
            <w:noWrap/>
            <w:hideMark/>
          </w:tcPr>
          <w:p w14:paraId="14E4FB51" w14:textId="77777777" w:rsidR="005F4A7E" w:rsidRPr="002029AF" w:rsidRDefault="005F4A7E" w:rsidP="00130D1C">
            <w:pPr>
              <w:pStyle w:val="ARfintablebodyright"/>
            </w:pPr>
            <w:r w:rsidRPr="00324BA1">
              <w:t>64.5</w:t>
            </w:r>
          </w:p>
        </w:tc>
        <w:tc>
          <w:tcPr>
            <w:tcW w:w="655" w:type="dxa"/>
            <w:tcBorders>
              <w:top w:val="single" w:sz="4" w:space="0" w:color="A6A6A6"/>
              <w:bottom w:val="single" w:sz="4" w:space="0" w:color="A6A6A6"/>
            </w:tcBorders>
            <w:noWrap/>
            <w:hideMark/>
          </w:tcPr>
          <w:p w14:paraId="2F8A1291"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5EF70ABB"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4663A1C4" w14:textId="77777777" w:rsidR="005F4A7E" w:rsidRPr="002029AF" w:rsidRDefault="005F4A7E" w:rsidP="00130D1C">
            <w:pPr>
              <w:pStyle w:val="ARfintablebodyright"/>
            </w:pPr>
            <w:r w:rsidRPr="00324BA1">
              <w:t>–</w:t>
            </w:r>
          </w:p>
        </w:tc>
        <w:tc>
          <w:tcPr>
            <w:tcW w:w="721" w:type="dxa"/>
            <w:tcBorders>
              <w:top w:val="single" w:sz="4" w:space="0" w:color="A6A6A6"/>
              <w:bottom w:val="single" w:sz="4" w:space="0" w:color="A6A6A6"/>
            </w:tcBorders>
            <w:noWrap/>
            <w:hideMark/>
          </w:tcPr>
          <w:p w14:paraId="7741C360" w14:textId="77777777" w:rsidR="005F4A7E" w:rsidRPr="002029AF" w:rsidRDefault="005F4A7E" w:rsidP="00130D1C">
            <w:pPr>
              <w:pStyle w:val="ARfintablebodyright"/>
            </w:pPr>
            <w:r w:rsidRPr="00324BA1">
              <w:t>–</w:t>
            </w:r>
          </w:p>
        </w:tc>
        <w:tc>
          <w:tcPr>
            <w:tcW w:w="882" w:type="dxa"/>
            <w:tcBorders>
              <w:top w:val="single" w:sz="4" w:space="0" w:color="A6A6A6"/>
              <w:bottom w:val="single" w:sz="4" w:space="0" w:color="A6A6A6"/>
            </w:tcBorders>
            <w:noWrap/>
            <w:hideMark/>
          </w:tcPr>
          <w:p w14:paraId="30F13EA6" w14:textId="77777777" w:rsidR="005F4A7E" w:rsidRPr="002029AF" w:rsidRDefault="005F4A7E" w:rsidP="00130D1C">
            <w:pPr>
              <w:pStyle w:val="ARfintablebodyright"/>
            </w:pPr>
            <w:r w:rsidRPr="00324BA1">
              <w:t>1,236.1</w:t>
            </w:r>
          </w:p>
        </w:tc>
        <w:tc>
          <w:tcPr>
            <w:tcW w:w="654" w:type="dxa"/>
            <w:tcBorders>
              <w:top w:val="single" w:sz="4" w:space="0" w:color="A6A6A6"/>
              <w:bottom w:val="single" w:sz="4" w:space="0" w:color="A6A6A6"/>
            </w:tcBorders>
            <w:noWrap/>
            <w:hideMark/>
          </w:tcPr>
          <w:p w14:paraId="31FD3B0D" w14:textId="77777777" w:rsidR="005F4A7E" w:rsidRPr="002029AF" w:rsidRDefault="005F4A7E" w:rsidP="00130D1C">
            <w:pPr>
              <w:pStyle w:val="ARfintablebodyright"/>
            </w:pPr>
            <w:r w:rsidRPr="00324BA1">
              <w:t>7.8</w:t>
            </w:r>
          </w:p>
        </w:tc>
        <w:tc>
          <w:tcPr>
            <w:tcW w:w="654" w:type="dxa"/>
            <w:tcBorders>
              <w:top w:val="single" w:sz="4" w:space="0" w:color="A6A6A6"/>
              <w:bottom w:val="single" w:sz="4" w:space="0" w:color="A6A6A6"/>
            </w:tcBorders>
            <w:noWrap/>
            <w:hideMark/>
          </w:tcPr>
          <w:p w14:paraId="5ACF25E8" w14:textId="77777777" w:rsidR="005F4A7E" w:rsidRPr="002029AF" w:rsidRDefault="005F4A7E" w:rsidP="00130D1C">
            <w:pPr>
              <w:pStyle w:val="ARfintablebodyright"/>
            </w:pPr>
            <w:r w:rsidRPr="00324BA1">
              <w:t>17.6</w:t>
            </w:r>
          </w:p>
        </w:tc>
        <w:tc>
          <w:tcPr>
            <w:tcW w:w="654" w:type="dxa"/>
            <w:tcBorders>
              <w:top w:val="single" w:sz="4" w:space="0" w:color="A6A6A6"/>
              <w:bottom w:val="single" w:sz="4" w:space="0" w:color="A6A6A6"/>
            </w:tcBorders>
            <w:noWrap/>
            <w:hideMark/>
          </w:tcPr>
          <w:p w14:paraId="57EE1A5C"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64761688"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214B5AD1"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62E7BD9E" w14:textId="77777777" w:rsidR="005F4A7E" w:rsidRPr="002029AF" w:rsidRDefault="005F4A7E" w:rsidP="00130D1C">
            <w:pPr>
              <w:pStyle w:val="ARfintablebodyright"/>
            </w:pPr>
            <w:r w:rsidRPr="00324BA1">
              <w:t>–</w:t>
            </w:r>
          </w:p>
        </w:tc>
        <w:tc>
          <w:tcPr>
            <w:tcW w:w="833" w:type="dxa"/>
            <w:tcBorders>
              <w:top w:val="single" w:sz="4" w:space="0" w:color="A6A6A6"/>
              <w:bottom w:val="single" w:sz="4" w:space="0" w:color="A6A6A6"/>
            </w:tcBorders>
            <w:noWrap/>
            <w:hideMark/>
          </w:tcPr>
          <w:p w14:paraId="6F62515A" w14:textId="77777777" w:rsidR="005F4A7E" w:rsidRPr="002029AF" w:rsidRDefault="005F4A7E" w:rsidP="00130D1C">
            <w:pPr>
              <w:pStyle w:val="ARfintablebodyright"/>
            </w:pPr>
            <w:r w:rsidRPr="00324BA1">
              <w:t>12,111.2</w:t>
            </w:r>
          </w:p>
        </w:tc>
      </w:tr>
      <w:tr w:rsidR="005F4A7E" w:rsidRPr="002029AF" w14:paraId="2B4B115E" w14:textId="77777777" w:rsidTr="00130D1C">
        <w:tc>
          <w:tcPr>
            <w:tcW w:w="3334" w:type="dxa"/>
            <w:tcBorders>
              <w:top w:val="single" w:sz="4" w:space="0" w:color="A6A6A6"/>
              <w:bottom w:val="single" w:sz="4" w:space="0" w:color="A6A6A6"/>
            </w:tcBorders>
            <w:hideMark/>
          </w:tcPr>
          <w:p w14:paraId="5B9F4971" w14:textId="77777777" w:rsidR="005F4A7E" w:rsidRPr="002029AF" w:rsidRDefault="005F4A7E" w:rsidP="00130D1C">
            <w:pPr>
              <w:pStyle w:val="ARfintablebody"/>
            </w:pPr>
            <w:r w:rsidRPr="00324BA1">
              <w:t>Employee benefits</w:t>
            </w:r>
          </w:p>
        </w:tc>
        <w:tc>
          <w:tcPr>
            <w:tcW w:w="835" w:type="dxa"/>
            <w:tcBorders>
              <w:top w:val="single" w:sz="4" w:space="0" w:color="A6A6A6"/>
              <w:bottom w:val="single" w:sz="4" w:space="0" w:color="A6A6A6"/>
            </w:tcBorders>
            <w:noWrap/>
            <w:hideMark/>
          </w:tcPr>
          <w:p w14:paraId="08D14E6B" w14:textId="77777777" w:rsidR="005F4A7E" w:rsidRPr="002029AF" w:rsidRDefault="005F4A7E" w:rsidP="00130D1C">
            <w:pPr>
              <w:pStyle w:val="ARfintablebodyright"/>
            </w:pPr>
            <w:r w:rsidRPr="00324BA1">
              <w:t>–</w:t>
            </w:r>
          </w:p>
        </w:tc>
        <w:tc>
          <w:tcPr>
            <w:tcW w:w="656" w:type="dxa"/>
            <w:tcBorders>
              <w:top w:val="single" w:sz="4" w:space="0" w:color="A6A6A6"/>
              <w:bottom w:val="single" w:sz="4" w:space="0" w:color="A6A6A6"/>
            </w:tcBorders>
            <w:noWrap/>
            <w:hideMark/>
          </w:tcPr>
          <w:p w14:paraId="60BA1498" w14:textId="77777777" w:rsidR="005F4A7E" w:rsidRPr="002029AF" w:rsidRDefault="005F4A7E" w:rsidP="00130D1C">
            <w:pPr>
              <w:pStyle w:val="ARfintablebodyright"/>
            </w:pPr>
            <w:r w:rsidRPr="00324BA1">
              <w:t>–</w:t>
            </w:r>
          </w:p>
        </w:tc>
        <w:tc>
          <w:tcPr>
            <w:tcW w:w="656" w:type="dxa"/>
            <w:tcBorders>
              <w:top w:val="single" w:sz="4" w:space="0" w:color="A6A6A6"/>
              <w:bottom w:val="single" w:sz="4" w:space="0" w:color="A6A6A6"/>
            </w:tcBorders>
            <w:noWrap/>
            <w:hideMark/>
          </w:tcPr>
          <w:p w14:paraId="5DB4EE1F" w14:textId="77777777" w:rsidR="005F4A7E" w:rsidRPr="002029AF" w:rsidRDefault="005F4A7E" w:rsidP="00130D1C">
            <w:pPr>
              <w:pStyle w:val="ARfintablebodyright"/>
            </w:pPr>
            <w:r w:rsidRPr="00324BA1">
              <w:t>–</w:t>
            </w:r>
          </w:p>
        </w:tc>
        <w:tc>
          <w:tcPr>
            <w:tcW w:w="655" w:type="dxa"/>
            <w:tcBorders>
              <w:top w:val="single" w:sz="4" w:space="0" w:color="A6A6A6"/>
              <w:bottom w:val="single" w:sz="4" w:space="0" w:color="A6A6A6"/>
            </w:tcBorders>
            <w:noWrap/>
            <w:hideMark/>
          </w:tcPr>
          <w:p w14:paraId="0120127A" w14:textId="77777777" w:rsidR="005F4A7E" w:rsidRPr="002029AF" w:rsidRDefault="005F4A7E" w:rsidP="00130D1C">
            <w:pPr>
              <w:pStyle w:val="ARfintablebodyright"/>
            </w:pPr>
            <w:r w:rsidRPr="00324BA1">
              <w:t>–</w:t>
            </w:r>
          </w:p>
        </w:tc>
        <w:tc>
          <w:tcPr>
            <w:tcW w:w="655" w:type="dxa"/>
            <w:tcBorders>
              <w:top w:val="single" w:sz="4" w:space="0" w:color="A6A6A6"/>
              <w:bottom w:val="single" w:sz="4" w:space="0" w:color="A6A6A6"/>
            </w:tcBorders>
            <w:noWrap/>
            <w:hideMark/>
          </w:tcPr>
          <w:p w14:paraId="4671856C"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0C18556F"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1C92300F" w14:textId="77777777" w:rsidR="005F4A7E" w:rsidRPr="002029AF" w:rsidRDefault="005F4A7E" w:rsidP="00130D1C">
            <w:pPr>
              <w:pStyle w:val="ARfintablebodyright"/>
            </w:pPr>
            <w:r w:rsidRPr="00324BA1">
              <w:t>–</w:t>
            </w:r>
          </w:p>
        </w:tc>
        <w:tc>
          <w:tcPr>
            <w:tcW w:w="721" w:type="dxa"/>
            <w:tcBorders>
              <w:top w:val="single" w:sz="4" w:space="0" w:color="A6A6A6"/>
              <w:bottom w:val="single" w:sz="4" w:space="0" w:color="A6A6A6"/>
            </w:tcBorders>
            <w:noWrap/>
            <w:hideMark/>
          </w:tcPr>
          <w:p w14:paraId="2F4A73C9" w14:textId="77777777" w:rsidR="005F4A7E" w:rsidRPr="002029AF" w:rsidRDefault="005F4A7E" w:rsidP="00130D1C">
            <w:pPr>
              <w:pStyle w:val="ARfintablebodyright"/>
            </w:pPr>
            <w:r w:rsidRPr="00324BA1">
              <w:t>–</w:t>
            </w:r>
          </w:p>
        </w:tc>
        <w:tc>
          <w:tcPr>
            <w:tcW w:w="882" w:type="dxa"/>
            <w:tcBorders>
              <w:top w:val="single" w:sz="4" w:space="0" w:color="A6A6A6"/>
              <w:bottom w:val="single" w:sz="4" w:space="0" w:color="A6A6A6"/>
            </w:tcBorders>
            <w:noWrap/>
            <w:hideMark/>
          </w:tcPr>
          <w:p w14:paraId="5648B2AC"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3DFB435B"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6B53CFD9"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0959B737"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51D6645D"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28D52425"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13D8698C" w14:textId="77777777" w:rsidR="005F4A7E" w:rsidRPr="002029AF" w:rsidRDefault="005F4A7E" w:rsidP="00130D1C">
            <w:pPr>
              <w:pStyle w:val="ARfintablebodyright"/>
            </w:pPr>
            <w:r w:rsidRPr="00324BA1">
              <w:t>–</w:t>
            </w:r>
          </w:p>
        </w:tc>
        <w:tc>
          <w:tcPr>
            <w:tcW w:w="833" w:type="dxa"/>
            <w:tcBorders>
              <w:top w:val="single" w:sz="4" w:space="0" w:color="A6A6A6"/>
              <w:bottom w:val="single" w:sz="4" w:space="0" w:color="A6A6A6"/>
            </w:tcBorders>
            <w:noWrap/>
            <w:hideMark/>
          </w:tcPr>
          <w:p w14:paraId="7055EBFC" w14:textId="77777777" w:rsidR="005F4A7E" w:rsidRPr="002029AF" w:rsidRDefault="005F4A7E" w:rsidP="00130D1C">
            <w:pPr>
              <w:pStyle w:val="ARfintablebodyright"/>
            </w:pPr>
            <w:r w:rsidRPr="00324BA1">
              <w:t>–</w:t>
            </w:r>
          </w:p>
        </w:tc>
      </w:tr>
      <w:tr w:rsidR="005F4A7E" w:rsidRPr="002029AF" w14:paraId="7E5EED29" w14:textId="77777777" w:rsidTr="00130D1C">
        <w:tc>
          <w:tcPr>
            <w:tcW w:w="3334" w:type="dxa"/>
            <w:tcBorders>
              <w:top w:val="single" w:sz="4" w:space="0" w:color="A6A6A6"/>
              <w:bottom w:val="single" w:sz="4" w:space="0" w:color="A6A6A6"/>
            </w:tcBorders>
            <w:hideMark/>
          </w:tcPr>
          <w:p w14:paraId="79E60F7F" w14:textId="77777777" w:rsidR="005F4A7E" w:rsidRPr="002029AF" w:rsidRDefault="005F4A7E" w:rsidP="00130D1C">
            <w:pPr>
              <w:pStyle w:val="ARfintablebody"/>
            </w:pPr>
            <w:r w:rsidRPr="00324BA1">
              <w:t>Other operating expenses</w:t>
            </w:r>
          </w:p>
        </w:tc>
        <w:tc>
          <w:tcPr>
            <w:tcW w:w="835" w:type="dxa"/>
            <w:tcBorders>
              <w:top w:val="single" w:sz="4" w:space="0" w:color="A6A6A6"/>
              <w:bottom w:val="single" w:sz="4" w:space="0" w:color="A6A6A6"/>
            </w:tcBorders>
            <w:noWrap/>
            <w:hideMark/>
          </w:tcPr>
          <w:p w14:paraId="09ED7EDD" w14:textId="77777777" w:rsidR="005F4A7E" w:rsidRPr="002029AF" w:rsidRDefault="005F4A7E" w:rsidP="00130D1C">
            <w:pPr>
              <w:pStyle w:val="ARfintablebodyright"/>
            </w:pPr>
            <w:r w:rsidRPr="00324BA1">
              <w:t>0.3</w:t>
            </w:r>
          </w:p>
        </w:tc>
        <w:tc>
          <w:tcPr>
            <w:tcW w:w="656" w:type="dxa"/>
            <w:tcBorders>
              <w:top w:val="single" w:sz="4" w:space="0" w:color="A6A6A6"/>
              <w:bottom w:val="single" w:sz="4" w:space="0" w:color="A6A6A6"/>
            </w:tcBorders>
            <w:noWrap/>
            <w:hideMark/>
          </w:tcPr>
          <w:p w14:paraId="7728A459" w14:textId="77777777" w:rsidR="005F4A7E" w:rsidRPr="002029AF" w:rsidRDefault="005F4A7E" w:rsidP="00130D1C">
            <w:pPr>
              <w:pStyle w:val="ARfintablebodyright"/>
            </w:pPr>
            <w:r w:rsidRPr="00324BA1">
              <w:t>–</w:t>
            </w:r>
          </w:p>
        </w:tc>
        <w:tc>
          <w:tcPr>
            <w:tcW w:w="656" w:type="dxa"/>
            <w:tcBorders>
              <w:top w:val="single" w:sz="4" w:space="0" w:color="A6A6A6"/>
              <w:bottom w:val="single" w:sz="4" w:space="0" w:color="A6A6A6"/>
            </w:tcBorders>
            <w:noWrap/>
            <w:hideMark/>
          </w:tcPr>
          <w:p w14:paraId="6D35CFC8" w14:textId="77777777" w:rsidR="005F4A7E" w:rsidRPr="002029AF" w:rsidRDefault="005F4A7E" w:rsidP="00130D1C">
            <w:pPr>
              <w:pStyle w:val="ARfintablebodyright"/>
            </w:pPr>
            <w:r w:rsidRPr="00324BA1">
              <w:t>0.1</w:t>
            </w:r>
          </w:p>
        </w:tc>
        <w:tc>
          <w:tcPr>
            <w:tcW w:w="655" w:type="dxa"/>
            <w:tcBorders>
              <w:top w:val="single" w:sz="4" w:space="0" w:color="A6A6A6"/>
              <w:bottom w:val="single" w:sz="4" w:space="0" w:color="A6A6A6"/>
            </w:tcBorders>
            <w:noWrap/>
            <w:hideMark/>
          </w:tcPr>
          <w:p w14:paraId="447129C3" w14:textId="77777777" w:rsidR="005F4A7E" w:rsidRPr="002029AF" w:rsidRDefault="005F4A7E" w:rsidP="00130D1C">
            <w:pPr>
              <w:pStyle w:val="ARfintablebodyright"/>
            </w:pPr>
            <w:r w:rsidRPr="00324BA1">
              <w:t>–</w:t>
            </w:r>
          </w:p>
        </w:tc>
        <w:tc>
          <w:tcPr>
            <w:tcW w:w="655" w:type="dxa"/>
            <w:tcBorders>
              <w:top w:val="single" w:sz="4" w:space="0" w:color="A6A6A6"/>
              <w:bottom w:val="single" w:sz="4" w:space="0" w:color="A6A6A6"/>
            </w:tcBorders>
            <w:noWrap/>
            <w:hideMark/>
          </w:tcPr>
          <w:p w14:paraId="445BEC4A"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1584B38B"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1EE89B1D" w14:textId="77777777" w:rsidR="005F4A7E" w:rsidRPr="002029AF" w:rsidRDefault="005F4A7E" w:rsidP="00130D1C">
            <w:pPr>
              <w:pStyle w:val="ARfintablebodyright"/>
            </w:pPr>
            <w:r w:rsidRPr="00324BA1">
              <w:t>0.2</w:t>
            </w:r>
          </w:p>
        </w:tc>
        <w:tc>
          <w:tcPr>
            <w:tcW w:w="721" w:type="dxa"/>
            <w:tcBorders>
              <w:top w:val="single" w:sz="4" w:space="0" w:color="A6A6A6"/>
              <w:bottom w:val="single" w:sz="4" w:space="0" w:color="A6A6A6"/>
            </w:tcBorders>
            <w:noWrap/>
            <w:hideMark/>
          </w:tcPr>
          <w:p w14:paraId="5C93632D" w14:textId="77777777" w:rsidR="005F4A7E" w:rsidRPr="002029AF" w:rsidRDefault="005F4A7E" w:rsidP="00130D1C">
            <w:pPr>
              <w:pStyle w:val="ARfintablebodyright"/>
            </w:pPr>
            <w:r w:rsidRPr="00324BA1">
              <w:t>–</w:t>
            </w:r>
          </w:p>
        </w:tc>
        <w:tc>
          <w:tcPr>
            <w:tcW w:w="882" w:type="dxa"/>
            <w:tcBorders>
              <w:top w:val="single" w:sz="4" w:space="0" w:color="A6A6A6"/>
              <w:bottom w:val="single" w:sz="4" w:space="0" w:color="A6A6A6"/>
            </w:tcBorders>
            <w:noWrap/>
            <w:hideMark/>
          </w:tcPr>
          <w:p w14:paraId="1D50A5AB" w14:textId="77777777" w:rsidR="005F4A7E" w:rsidRPr="002029AF" w:rsidRDefault="005F4A7E" w:rsidP="00130D1C">
            <w:pPr>
              <w:pStyle w:val="ARfintablebodyright"/>
            </w:pPr>
            <w:r w:rsidRPr="00324BA1">
              <w:t>0.3</w:t>
            </w:r>
          </w:p>
        </w:tc>
        <w:tc>
          <w:tcPr>
            <w:tcW w:w="654" w:type="dxa"/>
            <w:tcBorders>
              <w:top w:val="single" w:sz="4" w:space="0" w:color="A6A6A6"/>
              <w:bottom w:val="single" w:sz="4" w:space="0" w:color="A6A6A6"/>
            </w:tcBorders>
            <w:noWrap/>
            <w:hideMark/>
          </w:tcPr>
          <w:p w14:paraId="39F04F50" w14:textId="77777777" w:rsidR="005F4A7E" w:rsidRPr="002029AF" w:rsidRDefault="005F4A7E" w:rsidP="00130D1C">
            <w:pPr>
              <w:pStyle w:val="ARfintablebodyright"/>
            </w:pPr>
            <w:r w:rsidRPr="00324BA1">
              <w:t>0.4</w:t>
            </w:r>
          </w:p>
        </w:tc>
        <w:tc>
          <w:tcPr>
            <w:tcW w:w="654" w:type="dxa"/>
            <w:tcBorders>
              <w:top w:val="single" w:sz="4" w:space="0" w:color="A6A6A6"/>
              <w:bottom w:val="single" w:sz="4" w:space="0" w:color="A6A6A6"/>
            </w:tcBorders>
            <w:noWrap/>
            <w:hideMark/>
          </w:tcPr>
          <w:p w14:paraId="531F80C2"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7A9B845D" w14:textId="77777777" w:rsidR="005F4A7E" w:rsidRPr="002029AF" w:rsidRDefault="005F4A7E" w:rsidP="00130D1C">
            <w:pPr>
              <w:pStyle w:val="ARfintablebodyright"/>
            </w:pPr>
            <w:r w:rsidRPr="00324BA1">
              <w:t>0.1</w:t>
            </w:r>
          </w:p>
        </w:tc>
        <w:tc>
          <w:tcPr>
            <w:tcW w:w="654" w:type="dxa"/>
            <w:tcBorders>
              <w:top w:val="single" w:sz="4" w:space="0" w:color="A6A6A6"/>
              <w:bottom w:val="single" w:sz="4" w:space="0" w:color="A6A6A6"/>
            </w:tcBorders>
            <w:noWrap/>
            <w:hideMark/>
          </w:tcPr>
          <w:p w14:paraId="3B31E796"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048E2C74"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5D4C1224" w14:textId="77777777" w:rsidR="005F4A7E" w:rsidRPr="002029AF" w:rsidRDefault="005F4A7E" w:rsidP="00130D1C">
            <w:pPr>
              <w:pStyle w:val="ARfintablebodyright"/>
            </w:pPr>
            <w:r w:rsidRPr="00324BA1">
              <w:t>–</w:t>
            </w:r>
          </w:p>
        </w:tc>
        <w:tc>
          <w:tcPr>
            <w:tcW w:w="833" w:type="dxa"/>
            <w:tcBorders>
              <w:top w:val="single" w:sz="4" w:space="0" w:color="A6A6A6"/>
              <w:bottom w:val="single" w:sz="4" w:space="0" w:color="A6A6A6"/>
            </w:tcBorders>
            <w:noWrap/>
            <w:hideMark/>
          </w:tcPr>
          <w:p w14:paraId="4A60CB2A" w14:textId="77777777" w:rsidR="005F4A7E" w:rsidRPr="002029AF" w:rsidRDefault="005F4A7E" w:rsidP="00130D1C">
            <w:pPr>
              <w:pStyle w:val="ARfintablebodyright"/>
            </w:pPr>
            <w:r w:rsidRPr="00324BA1">
              <w:t>1.4</w:t>
            </w:r>
          </w:p>
        </w:tc>
      </w:tr>
      <w:tr w:rsidR="005F4A7E" w:rsidRPr="002029AF" w14:paraId="5655F1CC" w14:textId="77777777" w:rsidTr="00130D1C">
        <w:tc>
          <w:tcPr>
            <w:tcW w:w="3334" w:type="dxa"/>
            <w:tcBorders>
              <w:top w:val="single" w:sz="4" w:space="0" w:color="A6A6A6"/>
              <w:bottom w:val="single" w:sz="4" w:space="0" w:color="A6A6A6"/>
            </w:tcBorders>
            <w:hideMark/>
          </w:tcPr>
          <w:p w14:paraId="1ABD351C" w14:textId="77777777" w:rsidR="005F4A7E" w:rsidRPr="002029AF" w:rsidRDefault="005F4A7E" w:rsidP="00130D1C">
            <w:pPr>
              <w:pStyle w:val="ARfintablebody"/>
            </w:pPr>
            <w:r w:rsidRPr="00324BA1">
              <w:t>Payments into the consolidated fund</w:t>
            </w:r>
          </w:p>
        </w:tc>
        <w:tc>
          <w:tcPr>
            <w:tcW w:w="835" w:type="dxa"/>
            <w:tcBorders>
              <w:top w:val="single" w:sz="4" w:space="0" w:color="A6A6A6"/>
              <w:bottom w:val="single" w:sz="4" w:space="0" w:color="A6A6A6"/>
            </w:tcBorders>
            <w:noWrap/>
            <w:hideMark/>
          </w:tcPr>
          <w:p w14:paraId="67AB2659" w14:textId="77777777" w:rsidR="005F4A7E" w:rsidRPr="002029AF" w:rsidRDefault="005F4A7E" w:rsidP="00130D1C">
            <w:pPr>
              <w:pStyle w:val="ARfintablebodyright"/>
            </w:pPr>
            <w:r w:rsidRPr="00324BA1">
              <w:t>224.9</w:t>
            </w:r>
          </w:p>
        </w:tc>
        <w:tc>
          <w:tcPr>
            <w:tcW w:w="656" w:type="dxa"/>
            <w:tcBorders>
              <w:top w:val="single" w:sz="4" w:space="0" w:color="A6A6A6"/>
              <w:bottom w:val="single" w:sz="4" w:space="0" w:color="A6A6A6"/>
            </w:tcBorders>
            <w:noWrap/>
            <w:hideMark/>
          </w:tcPr>
          <w:p w14:paraId="2BEB007F" w14:textId="77777777" w:rsidR="005F4A7E" w:rsidRPr="002029AF" w:rsidRDefault="005F4A7E" w:rsidP="00130D1C">
            <w:pPr>
              <w:pStyle w:val="ARfintablebodyright"/>
            </w:pPr>
            <w:r w:rsidRPr="00324BA1">
              <w:t>–</w:t>
            </w:r>
          </w:p>
        </w:tc>
        <w:tc>
          <w:tcPr>
            <w:tcW w:w="656" w:type="dxa"/>
            <w:tcBorders>
              <w:top w:val="single" w:sz="4" w:space="0" w:color="A6A6A6"/>
              <w:bottom w:val="single" w:sz="4" w:space="0" w:color="A6A6A6"/>
            </w:tcBorders>
            <w:noWrap/>
            <w:hideMark/>
          </w:tcPr>
          <w:p w14:paraId="717ECBA5" w14:textId="77777777" w:rsidR="005F4A7E" w:rsidRPr="002029AF" w:rsidRDefault="005F4A7E" w:rsidP="00130D1C">
            <w:pPr>
              <w:pStyle w:val="ARfintablebodyright"/>
            </w:pPr>
            <w:r w:rsidRPr="00324BA1">
              <w:t>17.2</w:t>
            </w:r>
          </w:p>
        </w:tc>
        <w:tc>
          <w:tcPr>
            <w:tcW w:w="655" w:type="dxa"/>
            <w:tcBorders>
              <w:top w:val="single" w:sz="4" w:space="0" w:color="A6A6A6"/>
              <w:bottom w:val="single" w:sz="4" w:space="0" w:color="A6A6A6"/>
            </w:tcBorders>
            <w:noWrap/>
            <w:hideMark/>
          </w:tcPr>
          <w:p w14:paraId="28576C08" w14:textId="77777777" w:rsidR="005F4A7E" w:rsidRPr="002029AF" w:rsidRDefault="005F4A7E" w:rsidP="00130D1C">
            <w:pPr>
              <w:pStyle w:val="ARfintablebodyright"/>
            </w:pPr>
            <w:r w:rsidRPr="00324BA1">
              <w:t>67.2</w:t>
            </w:r>
          </w:p>
        </w:tc>
        <w:tc>
          <w:tcPr>
            <w:tcW w:w="655" w:type="dxa"/>
            <w:tcBorders>
              <w:top w:val="single" w:sz="4" w:space="0" w:color="A6A6A6"/>
              <w:bottom w:val="single" w:sz="4" w:space="0" w:color="A6A6A6"/>
            </w:tcBorders>
            <w:noWrap/>
            <w:hideMark/>
          </w:tcPr>
          <w:p w14:paraId="3CD848BF" w14:textId="77777777" w:rsidR="005F4A7E" w:rsidRPr="002029AF" w:rsidRDefault="005F4A7E" w:rsidP="00130D1C">
            <w:pPr>
              <w:pStyle w:val="ARfintablebodyright"/>
            </w:pPr>
            <w:r w:rsidRPr="00324BA1">
              <w:t>4.0</w:t>
            </w:r>
          </w:p>
        </w:tc>
        <w:tc>
          <w:tcPr>
            <w:tcW w:w="654" w:type="dxa"/>
            <w:tcBorders>
              <w:top w:val="single" w:sz="4" w:space="0" w:color="A6A6A6"/>
              <w:bottom w:val="single" w:sz="4" w:space="0" w:color="A6A6A6"/>
            </w:tcBorders>
            <w:noWrap/>
            <w:hideMark/>
          </w:tcPr>
          <w:p w14:paraId="506B990F" w14:textId="77777777" w:rsidR="005F4A7E" w:rsidRPr="002029AF" w:rsidRDefault="005F4A7E" w:rsidP="00130D1C">
            <w:pPr>
              <w:pStyle w:val="ARfintablebodyright"/>
            </w:pPr>
            <w:r w:rsidRPr="00324BA1">
              <w:t>4.5</w:t>
            </w:r>
          </w:p>
        </w:tc>
        <w:tc>
          <w:tcPr>
            <w:tcW w:w="654" w:type="dxa"/>
            <w:tcBorders>
              <w:top w:val="single" w:sz="4" w:space="0" w:color="A6A6A6"/>
              <w:bottom w:val="single" w:sz="4" w:space="0" w:color="A6A6A6"/>
            </w:tcBorders>
            <w:noWrap/>
            <w:hideMark/>
          </w:tcPr>
          <w:p w14:paraId="4ADBADD7" w14:textId="77777777" w:rsidR="005F4A7E" w:rsidRPr="002029AF" w:rsidRDefault="005F4A7E" w:rsidP="00130D1C">
            <w:pPr>
              <w:pStyle w:val="ARfintablebodyright"/>
            </w:pPr>
            <w:r w:rsidRPr="00324BA1">
              <w:t>10.3</w:t>
            </w:r>
          </w:p>
        </w:tc>
        <w:tc>
          <w:tcPr>
            <w:tcW w:w="721" w:type="dxa"/>
            <w:tcBorders>
              <w:top w:val="single" w:sz="4" w:space="0" w:color="A6A6A6"/>
              <w:bottom w:val="single" w:sz="4" w:space="0" w:color="A6A6A6"/>
            </w:tcBorders>
            <w:noWrap/>
            <w:hideMark/>
          </w:tcPr>
          <w:p w14:paraId="68A8DF54" w14:textId="77777777" w:rsidR="005F4A7E" w:rsidRPr="002029AF" w:rsidRDefault="005F4A7E" w:rsidP="00130D1C">
            <w:pPr>
              <w:pStyle w:val="ARfintablebodyright"/>
            </w:pPr>
            <w:r w:rsidRPr="00324BA1">
              <w:t>1.5</w:t>
            </w:r>
          </w:p>
        </w:tc>
        <w:tc>
          <w:tcPr>
            <w:tcW w:w="882" w:type="dxa"/>
            <w:tcBorders>
              <w:top w:val="single" w:sz="4" w:space="0" w:color="A6A6A6"/>
              <w:bottom w:val="single" w:sz="4" w:space="0" w:color="A6A6A6"/>
            </w:tcBorders>
            <w:noWrap/>
            <w:hideMark/>
          </w:tcPr>
          <w:p w14:paraId="318C8BA2" w14:textId="77777777" w:rsidR="005F4A7E" w:rsidRPr="002029AF" w:rsidRDefault="005F4A7E" w:rsidP="00130D1C">
            <w:pPr>
              <w:pStyle w:val="ARfintablebodyright"/>
            </w:pPr>
            <w:r w:rsidRPr="00324BA1">
              <w:t>72.8</w:t>
            </w:r>
          </w:p>
        </w:tc>
        <w:tc>
          <w:tcPr>
            <w:tcW w:w="654" w:type="dxa"/>
            <w:tcBorders>
              <w:top w:val="single" w:sz="4" w:space="0" w:color="A6A6A6"/>
              <w:bottom w:val="single" w:sz="4" w:space="0" w:color="A6A6A6"/>
            </w:tcBorders>
            <w:noWrap/>
            <w:hideMark/>
          </w:tcPr>
          <w:p w14:paraId="77D591D3" w14:textId="77777777" w:rsidR="005F4A7E" w:rsidRPr="002029AF" w:rsidRDefault="005F4A7E" w:rsidP="00130D1C">
            <w:pPr>
              <w:pStyle w:val="ARfintablebodyright"/>
            </w:pPr>
            <w:r w:rsidRPr="00324BA1">
              <w:t>2.6</w:t>
            </w:r>
          </w:p>
        </w:tc>
        <w:tc>
          <w:tcPr>
            <w:tcW w:w="654" w:type="dxa"/>
            <w:tcBorders>
              <w:top w:val="single" w:sz="4" w:space="0" w:color="A6A6A6"/>
              <w:bottom w:val="single" w:sz="4" w:space="0" w:color="A6A6A6"/>
            </w:tcBorders>
            <w:noWrap/>
            <w:hideMark/>
          </w:tcPr>
          <w:p w14:paraId="574852E6"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0CA11627"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1ADB8C6B"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73A6ABD3"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5C1ABE61" w14:textId="77777777" w:rsidR="005F4A7E" w:rsidRPr="002029AF" w:rsidRDefault="005F4A7E" w:rsidP="00130D1C">
            <w:pPr>
              <w:pStyle w:val="ARfintablebodyright"/>
            </w:pPr>
            <w:r w:rsidRPr="00324BA1">
              <w:t>–</w:t>
            </w:r>
          </w:p>
        </w:tc>
        <w:tc>
          <w:tcPr>
            <w:tcW w:w="833" w:type="dxa"/>
            <w:tcBorders>
              <w:top w:val="single" w:sz="4" w:space="0" w:color="A6A6A6"/>
              <w:bottom w:val="single" w:sz="4" w:space="0" w:color="A6A6A6"/>
            </w:tcBorders>
            <w:noWrap/>
            <w:hideMark/>
          </w:tcPr>
          <w:p w14:paraId="09066B7B" w14:textId="77777777" w:rsidR="005F4A7E" w:rsidRPr="002029AF" w:rsidRDefault="005F4A7E" w:rsidP="00130D1C">
            <w:pPr>
              <w:pStyle w:val="ARfintablebodyright"/>
            </w:pPr>
            <w:r w:rsidRPr="00324BA1">
              <w:t>405.0</w:t>
            </w:r>
          </w:p>
        </w:tc>
      </w:tr>
      <w:tr w:rsidR="005F4A7E" w:rsidRPr="002029AF" w14:paraId="107217D8" w14:textId="77777777" w:rsidTr="00130D1C">
        <w:tc>
          <w:tcPr>
            <w:tcW w:w="3334" w:type="dxa"/>
            <w:tcBorders>
              <w:top w:val="single" w:sz="4" w:space="0" w:color="A6A6A6"/>
              <w:bottom w:val="single" w:sz="4" w:space="0" w:color="A6A6A6"/>
            </w:tcBorders>
            <w:hideMark/>
          </w:tcPr>
          <w:p w14:paraId="3A2A0E14" w14:textId="77777777" w:rsidR="005F4A7E" w:rsidRPr="002029AF" w:rsidRDefault="005F4A7E" w:rsidP="00130D1C">
            <w:pPr>
              <w:pStyle w:val="ARfintablebody"/>
            </w:pPr>
            <w:r w:rsidRPr="00324BA1">
              <w:t>Payment from the national health funding pool to the departmental controlled entity</w:t>
            </w:r>
          </w:p>
        </w:tc>
        <w:tc>
          <w:tcPr>
            <w:tcW w:w="835" w:type="dxa"/>
            <w:tcBorders>
              <w:top w:val="single" w:sz="4" w:space="0" w:color="A6A6A6"/>
              <w:bottom w:val="single" w:sz="4" w:space="0" w:color="A6A6A6"/>
            </w:tcBorders>
            <w:noWrap/>
            <w:hideMark/>
          </w:tcPr>
          <w:p w14:paraId="7A6AEF7A" w14:textId="77777777" w:rsidR="005F4A7E" w:rsidRPr="002029AF" w:rsidRDefault="005F4A7E" w:rsidP="00130D1C">
            <w:pPr>
              <w:pStyle w:val="ARfintablebodyright"/>
            </w:pPr>
            <w:r w:rsidRPr="00324BA1">
              <w:t>1,688.3</w:t>
            </w:r>
          </w:p>
        </w:tc>
        <w:tc>
          <w:tcPr>
            <w:tcW w:w="656" w:type="dxa"/>
            <w:tcBorders>
              <w:top w:val="single" w:sz="4" w:space="0" w:color="A6A6A6"/>
              <w:bottom w:val="single" w:sz="4" w:space="0" w:color="A6A6A6"/>
            </w:tcBorders>
            <w:noWrap/>
            <w:hideMark/>
          </w:tcPr>
          <w:p w14:paraId="73720FD5" w14:textId="77777777" w:rsidR="005F4A7E" w:rsidRPr="002029AF" w:rsidRDefault="005F4A7E" w:rsidP="00130D1C">
            <w:pPr>
              <w:pStyle w:val="ARfintablebodyright"/>
            </w:pPr>
            <w:r w:rsidRPr="00324BA1">
              <w:t>–</w:t>
            </w:r>
          </w:p>
        </w:tc>
        <w:tc>
          <w:tcPr>
            <w:tcW w:w="656" w:type="dxa"/>
            <w:tcBorders>
              <w:top w:val="single" w:sz="4" w:space="0" w:color="A6A6A6"/>
              <w:bottom w:val="single" w:sz="4" w:space="0" w:color="A6A6A6"/>
            </w:tcBorders>
            <w:noWrap/>
            <w:hideMark/>
          </w:tcPr>
          <w:p w14:paraId="79D64999" w14:textId="77777777" w:rsidR="005F4A7E" w:rsidRPr="002029AF" w:rsidRDefault="005F4A7E" w:rsidP="00130D1C">
            <w:pPr>
              <w:pStyle w:val="ARfintablebodyright"/>
            </w:pPr>
            <w:r w:rsidRPr="00324BA1">
              <w:t>335.4</w:t>
            </w:r>
          </w:p>
        </w:tc>
        <w:tc>
          <w:tcPr>
            <w:tcW w:w="655" w:type="dxa"/>
            <w:tcBorders>
              <w:top w:val="single" w:sz="4" w:space="0" w:color="A6A6A6"/>
              <w:bottom w:val="single" w:sz="4" w:space="0" w:color="A6A6A6"/>
            </w:tcBorders>
            <w:noWrap/>
            <w:hideMark/>
          </w:tcPr>
          <w:p w14:paraId="2CD27017" w14:textId="77777777" w:rsidR="005F4A7E" w:rsidRPr="002029AF" w:rsidRDefault="005F4A7E" w:rsidP="00130D1C">
            <w:pPr>
              <w:pStyle w:val="ARfintablebodyright"/>
            </w:pPr>
            <w:r w:rsidRPr="00324BA1">
              <w:t>–</w:t>
            </w:r>
          </w:p>
        </w:tc>
        <w:tc>
          <w:tcPr>
            <w:tcW w:w="655" w:type="dxa"/>
            <w:tcBorders>
              <w:top w:val="single" w:sz="4" w:space="0" w:color="A6A6A6"/>
              <w:bottom w:val="single" w:sz="4" w:space="0" w:color="A6A6A6"/>
            </w:tcBorders>
            <w:noWrap/>
            <w:hideMark/>
          </w:tcPr>
          <w:p w14:paraId="2022DF6D" w14:textId="77777777" w:rsidR="005F4A7E" w:rsidRPr="002029AF" w:rsidRDefault="005F4A7E" w:rsidP="00130D1C">
            <w:pPr>
              <w:pStyle w:val="ARfintablebodyright"/>
            </w:pPr>
            <w:r w:rsidRPr="00324BA1">
              <w:t>0.3</w:t>
            </w:r>
          </w:p>
        </w:tc>
        <w:tc>
          <w:tcPr>
            <w:tcW w:w="654" w:type="dxa"/>
            <w:tcBorders>
              <w:top w:val="single" w:sz="4" w:space="0" w:color="A6A6A6"/>
              <w:bottom w:val="single" w:sz="4" w:space="0" w:color="A6A6A6"/>
            </w:tcBorders>
            <w:noWrap/>
            <w:hideMark/>
          </w:tcPr>
          <w:p w14:paraId="74E20D7E" w14:textId="77777777" w:rsidR="005F4A7E" w:rsidRPr="002029AF" w:rsidRDefault="005F4A7E" w:rsidP="00130D1C">
            <w:pPr>
              <w:pStyle w:val="ARfintablebodyright"/>
            </w:pPr>
            <w:r w:rsidRPr="00324BA1">
              <w:t>136.9</w:t>
            </w:r>
          </w:p>
        </w:tc>
        <w:tc>
          <w:tcPr>
            <w:tcW w:w="654" w:type="dxa"/>
            <w:tcBorders>
              <w:top w:val="single" w:sz="4" w:space="0" w:color="A6A6A6"/>
              <w:bottom w:val="single" w:sz="4" w:space="0" w:color="A6A6A6"/>
            </w:tcBorders>
            <w:noWrap/>
            <w:hideMark/>
          </w:tcPr>
          <w:p w14:paraId="1F2CA41F" w14:textId="77777777" w:rsidR="005F4A7E" w:rsidRPr="002029AF" w:rsidRDefault="005F4A7E" w:rsidP="00130D1C">
            <w:pPr>
              <w:pStyle w:val="ARfintablebodyright"/>
            </w:pPr>
            <w:r w:rsidRPr="00324BA1">
              <w:t>112.4</w:t>
            </w:r>
          </w:p>
        </w:tc>
        <w:tc>
          <w:tcPr>
            <w:tcW w:w="721" w:type="dxa"/>
            <w:tcBorders>
              <w:top w:val="single" w:sz="4" w:space="0" w:color="A6A6A6"/>
              <w:bottom w:val="single" w:sz="4" w:space="0" w:color="A6A6A6"/>
            </w:tcBorders>
            <w:noWrap/>
            <w:hideMark/>
          </w:tcPr>
          <w:p w14:paraId="0EA0EACB" w14:textId="77777777" w:rsidR="005F4A7E" w:rsidRPr="002029AF" w:rsidRDefault="005F4A7E" w:rsidP="00130D1C">
            <w:pPr>
              <w:pStyle w:val="ARfintablebodyright"/>
            </w:pPr>
            <w:r w:rsidRPr="00324BA1">
              <w:t>12.6</w:t>
            </w:r>
          </w:p>
        </w:tc>
        <w:tc>
          <w:tcPr>
            <w:tcW w:w="882" w:type="dxa"/>
            <w:tcBorders>
              <w:top w:val="single" w:sz="4" w:space="0" w:color="A6A6A6"/>
              <w:bottom w:val="single" w:sz="4" w:space="0" w:color="A6A6A6"/>
            </w:tcBorders>
            <w:noWrap/>
            <w:hideMark/>
          </w:tcPr>
          <w:p w14:paraId="4E5C23B2"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3FD2351D"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7E4C5E04"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52BFC067"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2145207D"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73FC128E"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2860C5CD" w14:textId="77777777" w:rsidR="005F4A7E" w:rsidRPr="002029AF" w:rsidRDefault="005F4A7E" w:rsidP="00130D1C">
            <w:pPr>
              <w:pStyle w:val="ARfintablebodyright"/>
            </w:pPr>
            <w:r w:rsidRPr="00324BA1">
              <w:t>–</w:t>
            </w:r>
          </w:p>
        </w:tc>
        <w:tc>
          <w:tcPr>
            <w:tcW w:w="833" w:type="dxa"/>
            <w:tcBorders>
              <w:top w:val="single" w:sz="4" w:space="0" w:color="A6A6A6"/>
              <w:bottom w:val="single" w:sz="4" w:space="0" w:color="A6A6A6"/>
            </w:tcBorders>
            <w:noWrap/>
            <w:hideMark/>
          </w:tcPr>
          <w:p w14:paraId="239118D3" w14:textId="77777777" w:rsidR="005F4A7E" w:rsidRPr="002029AF" w:rsidRDefault="005F4A7E" w:rsidP="00130D1C">
            <w:pPr>
              <w:pStyle w:val="ARfintablebodyright"/>
            </w:pPr>
            <w:r w:rsidRPr="00324BA1">
              <w:t>2,285.9</w:t>
            </w:r>
          </w:p>
        </w:tc>
      </w:tr>
      <w:tr w:rsidR="005F4A7E" w:rsidRPr="002029AF" w14:paraId="3227FC98" w14:textId="77777777" w:rsidTr="00130D1C">
        <w:tc>
          <w:tcPr>
            <w:tcW w:w="3334" w:type="dxa"/>
            <w:tcBorders>
              <w:top w:val="single" w:sz="4" w:space="0" w:color="A6A6A6"/>
            </w:tcBorders>
            <w:hideMark/>
          </w:tcPr>
          <w:p w14:paraId="04096DFF" w14:textId="77777777" w:rsidR="005F4A7E" w:rsidRPr="002029AF" w:rsidRDefault="005F4A7E" w:rsidP="00130D1C">
            <w:pPr>
              <w:pStyle w:val="ARfintablebody"/>
              <w:keepNext/>
            </w:pPr>
            <w:r w:rsidRPr="00324BA1">
              <w:lastRenderedPageBreak/>
              <w:t>Fair value of assets and services provided free of charge or for nominal consideration</w:t>
            </w:r>
          </w:p>
        </w:tc>
        <w:tc>
          <w:tcPr>
            <w:tcW w:w="835" w:type="dxa"/>
            <w:tcBorders>
              <w:top w:val="single" w:sz="4" w:space="0" w:color="A6A6A6"/>
            </w:tcBorders>
            <w:noWrap/>
            <w:hideMark/>
          </w:tcPr>
          <w:p w14:paraId="78CD8FC6" w14:textId="77777777" w:rsidR="005F4A7E" w:rsidRPr="002029AF" w:rsidRDefault="005F4A7E" w:rsidP="00130D1C">
            <w:pPr>
              <w:pStyle w:val="ARfintablebodyright"/>
            </w:pPr>
            <w:r w:rsidRPr="00324BA1">
              <w:t>–</w:t>
            </w:r>
          </w:p>
        </w:tc>
        <w:tc>
          <w:tcPr>
            <w:tcW w:w="656" w:type="dxa"/>
            <w:tcBorders>
              <w:top w:val="single" w:sz="4" w:space="0" w:color="A6A6A6"/>
            </w:tcBorders>
            <w:noWrap/>
            <w:hideMark/>
          </w:tcPr>
          <w:p w14:paraId="01118B5B" w14:textId="77777777" w:rsidR="005F4A7E" w:rsidRPr="002029AF" w:rsidRDefault="005F4A7E" w:rsidP="00130D1C">
            <w:pPr>
              <w:pStyle w:val="ARfintablebodyright"/>
            </w:pPr>
            <w:r w:rsidRPr="00324BA1">
              <w:t>–</w:t>
            </w:r>
          </w:p>
        </w:tc>
        <w:tc>
          <w:tcPr>
            <w:tcW w:w="656" w:type="dxa"/>
            <w:tcBorders>
              <w:top w:val="single" w:sz="4" w:space="0" w:color="A6A6A6"/>
            </w:tcBorders>
            <w:noWrap/>
            <w:hideMark/>
          </w:tcPr>
          <w:p w14:paraId="191BCF3E" w14:textId="77777777" w:rsidR="005F4A7E" w:rsidRPr="002029AF" w:rsidRDefault="005F4A7E" w:rsidP="00130D1C">
            <w:pPr>
              <w:pStyle w:val="ARfintablebodyright"/>
            </w:pPr>
            <w:r w:rsidRPr="00324BA1">
              <w:t>1.8</w:t>
            </w:r>
          </w:p>
        </w:tc>
        <w:tc>
          <w:tcPr>
            <w:tcW w:w="655" w:type="dxa"/>
            <w:tcBorders>
              <w:top w:val="single" w:sz="4" w:space="0" w:color="A6A6A6"/>
            </w:tcBorders>
            <w:noWrap/>
            <w:hideMark/>
          </w:tcPr>
          <w:p w14:paraId="5AEA454E" w14:textId="77777777" w:rsidR="005F4A7E" w:rsidRPr="002029AF" w:rsidRDefault="005F4A7E" w:rsidP="00130D1C">
            <w:pPr>
              <w:pStyle w:val="ARfintablebodyright"/>
            </w:pPr>
            <w:r w:rsidRPr="00324BA1">
              <w:t>–</w:t>
            </w:r>
          </w:p>
        </w:tc>
        <w:tc>
          <w:tcPr>
            <w:tcW w:w="655" w:type="dxa"/>
            <w:tcBorders>
              <w:top w:val="single" w:sz="4" w:space="0" w:color="A6A6A6"/>
            </w:tcBorders>
            <w:noWrap/>
            <w:hideMark/>
          </w:tcPr>
          <w:p w14:paraId="6871A720" w14:textId="77777777" w:rsidR="005F4A7E" w:rsidRPr="002029AF" w:rsidRDefault="005F4A7E" w:rsidP="00130D1C">
            <w:pPr>
              <w:pStyle w:val="ARfintablebodyright"/>
            </w:pPr>
            <w:r w:rsidRPr="00324BA1">
              <w:t>–</w:t>
            </w:r>
          </w:p>
        </w:tc>
        <w:tc>
          <w:tcPr>
            <w:tcW w:w="654" w:type="dxa"/>
            <w:tcBorders>
              <w:top w:val="single" w:sz="4" w:space="0" w:color="A6A6A6"/>
            </w:tcBorders>
            <w:noWrap/>
            <w:hideMark/>
          </w:tcPr>
          <w:p w14:paraId="6B255A6D" w14:textId="77777777" w:rsidR="005F4A7E" w:rsidRPr="002029AF" w:rsidRDefault="005F4A7E" w:rsidP="00130D1C">
            <w:pPr>
              <w:pStyle w:val="ARfintablebodyright"/>
            </w:pPr>
            <w:r w:rsidRPr="00324BA1">
              <w:t>–</w:t>
            </w:r>
          </w:p>
        </w:tc>
        <w:tc>
          <w:tcPr>
            <w:tcW w:w="654" w:type="dxa"/>
            <w:tcBorders>
              <w:top w:val="single" w:sz="4" w:space="0" w:color="A6A6A6"/>
            </w:tcBorders>
            <w:noWrap/>
            <w:hideMark/>
          </w:tcPr>
          <w:p w14:paraId="130B05B4" w14:textId="77777777" w:rsidR="005F4A7E" w:rsidRPr="002029AF" w:rsidRDefault="005F4A7E" w:rsidP="00130D1C">
            <w:pPr>
              <w:pStyle w:val="ARfintablebodyright"/>
            </w:pPr>
            <w:r w:rsidRPr="00324BA1">
              <w:t>–</w:t>
            </w:r>
          </w:p>
        </w:tc>
        <w:tc>
          <w:tcPr>
            <w:tcW w:w="721" w:type="dxa"/>
            <w:tcBorders>
              <w:top w:val="single" w:sz="4" w:space="0" w:color="A6A6A6"/>
            </w:tcBorders>
            <w:noWrap/>
            <w:hideMark/>
          </w:tcPr>
          <w:p w14:paraId="28E698D8" w14:textId="77777777" w:rsidR="005F4A7E" w:rsidRPr="002029AF" w:rsidRDefault="005F4A7E" w:rsidP="00130D1C">
            <w:pPr>
              <w:pStyle w:val="ARfintablebodyright"/>
            </w:pPr>
            <w:r w:rsidRPr="00324BA1">
              <w:t>–</w:t>
            </w:r>
          </w:p>
        </w:tc>
        <w:tc>
          <w:tcPr>
            <w:tcW w:w="882" w:type="dxa"/>
            <w:tcBorders>
              <w:top w:val="single" w:sz="4" w:space="0" w:color="A6A6A6"/>
            </w:tcBorders>
            <w:noWrap/>
            <w:hideMark/>
          </w:tcPr>
          <w:p w14:paraId="318250C4" w14:textId="77777777" w:rsidR="005F4A7E" w:rsidRPr="002029AF" w:rsidRDefault="005F4A7E" w:rsidP="00130D1C">
            <w:pPr>
              <w:pStyle w:val="ARfintablebodyright"/>
            </w:pPr>
            <w:r w:rsidRPr="00324BA1">
              <w:t>7.1</w:t>
            </w:r>
          </w:p>
        </w:tc>
        <w:tc>
          <w:tcPr>
            <w:tcW w:w="654" w:type="dxa"/>
            <w:tcBorders>
              <w:top w:val="single" w:sz="4" w:space="0" w:color="A6A6A6"/>
            </w:tcBorders>
            <w:noWrap/>
            <w:hideMark/>
          </w:tcPr>
          <w:p w14:paraId="6F612ED1" w14:textId="77777777" w:rsidR="005F4A7E" w:rsidRPr="002029AF" w:rsidRDefault="005F4A7E" w:rsidP="00130D1C">
            <w:pPr>
              <w:pStyle w:val="ARfintablebodyright"/>
            </w:pPr>
            <w:r w:rsidRPr="00324BA1">
              <w:t>–</w:t>
            </w:r>
          </w:p>
        </w:tc>
        <w:tc>
          <w:tcPr>
            <w:tcW w:w="654" w:type="dxa"/>
            <w:tcBorders>
              <w:top w:val="single" w:sz="4" w:space="0" w:color="A6A6A6"/>
            </w:tcBorders>
            <w:noWrap/>
            <w:hideMark/>
          </w:tcPr>
          <w:p w14:paraId="7E4DE9EE" w14:textId="77777777" w:rsidR="005F4A7E" w:rsidRPr="002029AF" w:rsidRDefault="005F4A7E" w:rsidP="00130D1C">
            <w:pPr>
              <w:pStyle w:val="ARfintablebodyright"/>
            </w:pPr>
            <w:r w:rsidRPr="00324BA1">
              <w:t>–</w:t>
            </w:r>
          </w:p>
        </w:tc>
        <w:tc>
          <w:tcPr>
            <w:tcW w:w="654" w:type="dxa"/>
            <w:tcBorders>
              <w:top w:val="single" w:sz="4" w:space="0" w:color="A6A6A6"/>
            </w:tcBorders>
            <w:noWrap/>
            <w:hideMark/>
          </w:tcPr>
          <w:p w14:paraId="0E143FC8" w14:textId="77777777" w:rsidR="005F4A7E" w:rsidRPr="002029AF" w:rsidRDefault="005F4A7E" w:rsidP="00130D1C">
            <w:pPr>
              <w:pStyle w:val="ARfintablebodyright"/>
            </w:pPr>
            <w:r w:rsidRPr="00324BA1">
              <w:t>–</w:t>
            </w:r>
          </w:p>
        </w:tc>
        <w:tc>
          <w:tcPr>
            <w:tcW w:w="654" w:type="dxa"/>
            <w:tcBorders>
              <w:top w:val="single" w:sz="4" w:space="0" w:color="A6A6A6"/>
            </w:tcBorders>
            <w:noWrap/>
            <w:hideMark/>
          </w:tcPr>
          <w:p w14:paraId="39DF99EC" w14:textId="77777777" w:rsidR="005F4A7E" w:rsidRPr="002029AF" w:rsidRDefault="005F4A7E" w:rsidP="00130D1C">
            <w:pPr>
              <w:pStyle w:val="ARfintablebodyright"/>
            </w:pPr>
            <w:r w:rsidRPr="00324BA1">
              <w:t>–</w:t>
            </w:r>
          </w:p>
        </w:tc>
        <w:tc>
          <w:tcPr>
            <w:tcW w:w="654" w:type="dxa"/>
            <w:tcBorders>
              <w:top w:val="single" w:sz="4" w:space="0" w:color="A6A6A6"/>
            </w:tcBorders>
            <w:noWrap/>
            <w:hideMark/>
          </w:tcPr>
          <w:p w14:paraId="5220CA66" w14:textId="77777777" w:rsidR="005F4A7E" w:rsidRPr="002029AF" w:rsidRDefault="005F4A7E" w:rsidP="00130D1C">
            <w:pPr>
              <w:pStyle w:val="ARfintablebodyright"/>
            </w:pPr>
            <w:r w:rsidRPr="00324BA1">
              <w:t>–</w:t>
            </w:r>
          </w:p>
        </w:tc>
        <w:tc>
          <w:tcPr>
            <w:tcW w:w="654" w:type="dxa"/>
            <w:tcBorders>
              <w:top w:val="single" w:sz="4" w:space="0" w:color="A6A6A6"/>
            </w:tcBorders>
            <w:noWrap/>
            <w:hideMark/>
          </w:tcPr>
          <w:p w14:paraId="4F0198D3" w14:textId="77777777" w:rsidR="005F4A7E" w:rsidRPr="002029AF" w:rsidRDefault="005F4A7E" w:rsidP="00130D1C">
            <w:pPr>
              <w:pStyle w:val="ARfintablebodyright"/>
            </w:pPr>
            <w:r w:rsidRPr="00324BA1">
              <w:t>–</w:t>
            </w:r>
          </w:p>
        </w:tc>
        <w:tc>
          <w:tcPr>
            <w:tcW w:w="833" w:type="dxa"/>
            <w:tcBorders>
              <w:top w:val="single" w:sz="4" w:space="0" w:color="A6A6A6"/>
            </w:tcBorders>
            <w:noWrap/>
            <w:hideMark/>
          </w:tcPr>
          <w:p w14:paraId="0B50B477" w14:textId="77777777" w:rsidR="005F4A7E" w:rsidRPr="002029AF" w:rsidRDefault="005F4A7E" w:rsidP="00130D1C">
            <w:pPr>
              <w:pStyle w:val="ARfintablebodyright"/>
            </w:pPr>
            <w:r w:rsidRPr="00324BA1">
              <w:t>8.9</w:t>
            </w:r>
          </w:p>
        </w:tc>
      </w:tr>
      <w:tr w:rsidR="005F4A7E" w:rsidRPr="002029AF" w14:paraId="537993ED" w14:textId="77777777" w:rsidTr="00130D1C">
        <w:tc>
          <w:tcPr>
            <w:tcW w:w="3334" w:type="dxa"/>
            <w:hideMark/>
          </w:tcPr>
          <w:p w14:paraId="43121202" w14:textId="77777777" w:rsidR="005F4A7E" w:rsidRPr="002029AF" w:rsidRDefault="005F4A7E" w:rsidP="00130D1C">
            <w:pPr>
              <w:pStyle w:val="ARfintablebodybold"/>
            </w:pPr>
            <w:r w:rsidRPr="00324BA1">
              <w:t>Total administered expenses from</w:t>
            </w:r>
            <w:r>
              <w:t> </w:t>
            </w:r>
            <w:r w:rsidRPr="00324BA1">
              <w:t>transactions</w:t>
            </w:r>
          </w:p>
        </w:tc>
        <w:tc>
          <w:tcPr>
            <w:tcW w:w="835" w:type="dxa"/>
            <w:noWrap/>
            <w:hideMark/>
          </w:tcPr>
          <w:p w14:paraId="2749B8CF" w14:textId="77777777" w:rsidR="005F4A7E" w:rsidRPr="002029AF" w:rsidRDefault="005F4A7E" w:rsidP="00130D1C">
            <w:pPr>
              <w:pStyle w:val="ARfintablebodyrightbold"/>
            </w:pPr>
            <w:r w:rsidRPr="00324BA1">
              <w:t>12,270.6</w:t>
            </w:r>
          </w:p>
        </w:tc>
        <w:tc>
          <w:tcPr>
            <w:tcW w:w="656" w:type="dxa"/>
            <w:noWrap/>
            <w:hideMark/>
          </w:tcPr>
          <w:p w14:paraId="5243AE1F" w14:textId="77777777" w:rsidR="005F4A7E" w:rsidRPr="002029AF" w:rsidRDefault="005F4A7E" w:rsidP="00130D1C">
            <w:pPr>
              <w:pStyle w:val="ARfintablebodyrightbold"/>
            </w:pPr>
            <w:r w:rsidRPr="00324BA1">
              <w:t>–</w:t>
            </w:r>
          </w:p>
        </w:tc>
        <w:tc>
          <w:tcPr>
            <w:tcW w:w="656" w:type="dxa"/>
            <w:noWrap/>
            <w:hideMark/>
          </w:tcPr>
          <w:p w14:paraId="097BBBB3" w14:textId="77777777" w:rsidR="005F4A7E" w:rsidRPr="002029AF" w:rsidRDefault="005F4A7E" w:rsidP="00130D1C">
            <w:pPr>
              <w:pStyle w:val="ARfintablebodyrightbold"/>
            </w:pPr>
            <w:r w:rsidRPr="00324BA1">
              <w:t>782.6</w:t>
            </w:r>
          </w:p>
        </w:tc>
        <w:tc>
          <w:tcPr>
            <w:tcW w:w="655" w:type="dxa"/>
            <w:noWrap/>
            <w:hideMark/>
          </w:tcPr>
          <w:p w14:paraId="6ADC6CBC" w14:textId="77777777" w:rsidR="005F4A7E" w:rsidRPr="002029AF" w:rsidRDefault="005F4A7E" w:rsidP="00130D1C">
            <w:pPr>
              <w:pStyle w:val="ARfintablebodyrightbold"/>
            </w:pPr>
            <w:r w:rsidRPr="00324BA1">
              <w:t>131.7</w:t>
            </w:r>
          </w:p>
        </w:tc>
        <w:tc>
          <w:tcPr>
            <w:tcW w:w="655" w:type="dxa"/>
            <w:noWrap/>
            <w:hideMark/>
          </w:tcPr>
          <w:p w14:paraId="254456AB" w14:textId="77777777" w:rsidR="005F4A7E" w:rsidRPr="002029AF" w:rsidRDefault="005F4A7E" w:rsidP="00130D1C">
            <w:pPr>
              <w:pStyle w:val="ARfintablebodyrightbold"/>
            </w:pPr>
            <w:r w:rsidRPr="00324BA1">
              <w:t>4.4</w:t>
            </w:r>
          </w:p>
        </w:tc>
        <w:tc>
          <w:tcPr>
            <w:tcW w:w="654" w:type="dxa"/>
            <w:noWrap/>
            <w:hideMark/>
          </w:tcPr>
          <w:p w14:paraId="49BDA707" w14:textId="77777777" w:rsidR="005F4A7E" w:rsidRPr="002029AF" w:rsidRDefault="005F4A7E" w:rsidP="00130D1C">
            <w:pPr>
              <w:pStyle w:val="ARfintablebodyrightbold"/>
            </w:pPr>
            <w:r w:rsidRPr="00324BA1">
              <w:t>141.4</w:t>
            </w:r>
          </w:p>
        </w:tc>
        <w:tc>
          <w:tcPr>
            <w:tcW w:w="654" w:type="dxa"/>
            <w:noWrap/>
            <w:hideMark/>
          </w:tcPr>
          <w:p w14:paraId="0BBD8745" w14:textId="77777777" w:rsidR="005F4A7E" w:rsidRPr="002029AF" w:rsidRDefault="005F4A7E" w:rsidP="00130D1C">
            <w:pPr>
              <w:pStyle w:val="ARfintablebodyrightbold"/>
            </w:pPr>
            <w:r w:rsidRPr="00324BA1">
              <w:t>122.9</w:t>
            </w:r>
          </w:p>
        </w:tc>
        <w:tc>
          <w:tcPr>
            <w:tcW w:w="721" w:type="dxa"/>
            <w:noWrap/>
            <w:hideMark/>
          </w:tcPr>
          <w:p w14:paraId="00FB1FBD" w14:textId="77777777" w:rsidR="005F4A7E" w:rsidRPr="002029AF" w:rsidRDefault="005F4A7E" w:rsidP="00130D1C">
            <w:pPr>
              <w:pStyle w:val="ARfintablebodyrightbold"/>
            </w:pPr>
            <w:r w:rsidRPr="00324BA1">
              <w:t>14.1</w:t>
            </w:r>
          </w:p>
        </w:tc>
        <w:tc>
          <w:tcPr>
            <w:tcW w:w="882" w:type="dxa"/>
            <w:noWrap/>
            <w:hideMark/>
          </w:tcPr>
          <w:p w14:paraId="3CFD3595" w14:textId="77777777" w:rsidR="005F4A7E" w:rsidRPr="002029AF" w:rsidRDefault="005F4A7E" w:rsidP="00130D1C">
            <w:pPr>
              <w:pStyle w:val="ARfintablebodyrightbold"/>
            </w:pPr>
            <w:r w:rsidRPr="00324BA1">
              <w:t>1,316.2</w:t>
            </w:r>
          </w:p>
        </w:tc>
        <w:tc>
          <w:tcPr>
            <w:tcW w:w="654" w:type="dxa"/>
            <w:noWrap/>
            <w:hideMark/>
          </w:tcPr>
          <w:p w14:paraId="58FD5724" w14:textId="77777777" w:rsidR="005F4A7E" w:rsidRPr="002029AF" w:rsidRDefault="005F4A7E" w:rsidP="00130D1C">
            <w:pPr>
              <w:pStyle w:val="ARfintablebodyrightbold"/>
            </w:pPr>
            <w:r w:rsidRPr="00324BA1">
              <w:t>10.9</w:t>
            </w:r>
          </w:p>
        </w:tc>
        <w:tc>
          <w:tcPr>
            <w:tcW w:w="654" w:type="dxa"/>
            <w:noWrap/>
            <w:hideMark/>
          </w:tcPr>
          <w:p w14:paraId="0A04E65C" w14:textId="77777777" w:rsidR="005F4A7E" w:rsidRPr="002029AF" w:rsidRDefault="005F4A7E" w:rsidP="00130D1C">
            <w:pPr>
              <w:pStyle w:val="ARfintablebodyrightbold"/>
            </w:pPr>
            <w:r w:rsidRPr="00324BA1">
              <w:t>17.6</w:t>
            </w:r>
          </w:p>
        </w:tc>
        <w:tc>
          <w:tcPr>
            <w:tcW w:w="654" w:type="dxa"/>
            <w:noWrap/>
            <w:hideMark/>
          </w:tcPr>
          <w:p w14:paraId="79060892" w14:textId="77777777" w:rsidR="005F4A7E" w:rsidRPr="002029AF" w:rsidRDefault="005F4A7E" w:rsidP="00130D1C">
            <w:pPr>
              <w:pStyle w:val="ARfintablebodyrightbold"/>
            </w:pPr>
            <w:r w:rsidRPr="00324BA1">
              <w:t>0.1</w:t>
            </w:r>
          </w:p>
        </w:tc>
        <w:tc>
          <w:tcPr>
            <w:tcW w:w="654" w:type="dxa"/>
            <w:noWrap/>
            <w:hideMark/>
          </w:tcPr>
          <w:p w14:paraId="7783CF3C" w14:textId="77777777" w:rsidR="005F4A7E" w:rsidRPr="002029AF" w:rsidRDefault="005F4A7E" w:rsidP="00130D1C">
            <w:pPr>
              <w:pStyle w:val="ARfintablebodyrightbold"/>
            </w:pPr>
            <w:r w:rsidRPr="00324BA1">
              <w:t>–</w:t>
            </w:r>
          </w:p>
        </w:tc>
        <w:tc>
          <w:tcPr>
            <w:tcW w:w="654" w:type="dxa"/>
            <w:noWrap/>
            <w:hideMark/>
          </w:tcPr>
          <w:p w14:paraId="16B216ED" w14:textId="77777777" w:rsidR="005F4A7E" w:rsidRPr="002029AF" w:rsidRDefault="005F4A7E" w:rsidP="00130D1C">
            <w:pPr>
              <w:pStyle w:val="ARfintablebodyrightbold"/>
            </w:pPr>
            <w:r w:rsidRPr="00324BA1">
              <w:t>–</w:t>
            </w:r>
          </w:p>
        </w:tc>
        <w:tc>
          <w:tcPr>
            <w:tcW w:w="654" w:type="dxa"/>
            <w:noWrap/>
            <w:hideMark/>
          </w:tcPr>
          <w:p w14:paraId="49264BC0" w14:textId="77777777" w:rsidR="005F4A7E" w:rsidRPr="002029AF" w:rsidRDefault="005F4A7E" w:rsidP="00130D1C">
            <w:pPr>
              <w:pStyle w:val="ARfintablebodyrightbold"/>
            </w:pPr>
            <w:r w:rsidRPr="00324BA1">
              <w:t>–</w:t>
            </w:r>
          </w:p>
        </w:tc>
        <w:tc>
          <w:tcPr>
            <w:tcW w:w="833" w:type="dxa"/>
            <w:noWrap/>
            <w:hideMark/>
          </w:tcPr>
          <w:p w14:paraId="5D34F3CB" w14:textId="77777777" w:rsidR="005F4A7E" w:rsidRPr="002029AF" w:rsidRDefault="005F4A7E" w:rsidP="00130D1C">
            <w:pPr>
              <w:pStyle w:val="ARfintablebodyrightbold"/>
            </w:pPr>
            <w:r w:rsidRPr="00324BA1">
              <w:t>14,812.5</w:t>
            </w:r>
          </w:p>
        </w:tc>
      </w:tr>
      <w:tr w:rsidR="005F4A7E" w:rsidRPr="002029AF" w14:paraId="50BFBACC" w14:textId="77777777" w:rsidTr="00130D1C">
        <w:tc>
          <w:tcPr>
            <w:tcW w:w="3334" w:type="dxa"/>
            <w:tcBorders>
              <w:bottom w:val="single" w:sz="4" w:space="0" w:color="auto"/>
            </w:tcBorders>
            <w:hideMark/>
          </w:tcPr>
          <w:p w14:paraId="7A2CDB7D" w14:textId="77777777" w:rsidR="005F4A7E" w:rsidRPr="002029AF" w:rsidRDefault="005F4A7E" w:rsidP="00130D1C">
            <w:pPr>
              <w:pStyle w:val="ARfintablebodybold"/>
            </w:pPr>
            <w:r w:rsidRPr="00324BA1">
              <w:t>Total administered net result from</w:t>
            </w:r>
            <w:r>
              <w:t> </w:t>
            </w:r>
            <w:r w:rsidRPr="00324BA1">
              <w:t>transactions</w:t>
            </w:r>
          </w:p>
        </w:tc>
        <w:tc>
          <w:tcPr>
            <w:tcW w:w="835" w:type="dxa"/>
            <w:tcBorders>
              <w:bottom w:val="single" w:sz="4" w:space="0" w:color="auto"/>
            </w:tcBorders>
            <w:noWrap/>
            <w:hideMark/>
          </w:tcPr>
          <w:p w14:paraId="25ED35EF" w14:textId="77777777" w:rsidR="005F4A7E" w:rsidRPr="002029AF" w:rsidRDefault="005F4A7E" w:rsidP="00130D1C">
            <w:pPr>
              <w:pStyle w:val="ARfintablebodyrightbold"/>
            </w:pPr>
            <w:r w:rsidRPr="00324BA1">
              <w:t>8.0</w:t>
            </w:r>
          </w:p>
        </w:tc>
        <w:tc>
          <w:tcPr>
            <w:tcW w:w="656" w:type="dxa"/>
            <w:tcBorders>
              <w:bottom w:val="single" w:sz="4" w:space="0" w:color="auto"/>
            </w:tcBorders>
            <w:noWrap/>
            <w:hideMark/>
          </w:tcPr>
          <w:p w14:paraId="183ADE7B" w14:textId="77777777" w:rsidR="005F4A7E" w:rsidRPr="002029AF" w:rsidRDefault="005F4A7E" w:rsidP="00130D1C">
            <w:pPr>
              <w:pStyle w:val="ARfintablebodyrightbold"/>
            </w:pPr>
            <w:r w:rsidRPr="00324BA1">
              <w:t>–</w:t>
            </w:r>
          </w:p>
        </w:tc>
        <w:tc>
          <w:tcPr>
            <w:tcW w:w="656" w:type="dxa"/>
            <w:tcBorders>
              <w:bottom w:val="single" w:sz="4" w:space="0" w:color="auto"/>
            </w:tcBorders>
            <w:noWrap/>
            <w:hideMark/>
          </w:tcPr>
          <w:p w14:paraId="2575C131" w14:textId="77777777" w:rsidR="005F4A7E" w:rsidRPr="002029AF" w:rsidRDefault="005F4A7E" w:rsidP="00130D1C">
            <w:pPr>
              <w:pStyle w:val="ARfintablebodyrightbold"/>
            </w:pPr>
            <w:r w:rsidRPr="00324BA1">
              <w:t>(1.8)</w:t>
            </w:r>
          </w:p>
        </w:tc>
        <w:tc>
          <w:tcPr>
            <w:tcW w:w="655" w:type="dxa"/>
            <w:tcBorders>
              <w:bottom w:val="single" w:sz="4" w:space="0" w:color="auto"/>
            </w:tcBorders>
            <w:noWrap/>
            <w:hideMark/>
          </w:tcPr>
          <w:p w14:paraId="31814A98" w14:textId="77777777" w:rsidR="005F4A7E" w:rsidRPr="002029AF" w:rsidRDefault="005F4A7E" w:rsidP="00130D1C">
            <w:pPr>
              <w:pStyle w:val="ARfintablebodyrightbold"/>
            </w:pPr>
            <w:r w:rsidRPr="00324BA1">
              <w:t>–</w:t>
            </w:r>
          </w:p>
        </w:tc>
        <w:tc>
          <w:tcPr>
            <w:tcW w:w="655" w:type="dxa"/>
            <w:tcBorders>
              <w:bottom w:val="single" w:sz="4" w:space="0" w:color="auto"/>
            </w:tcBorders>
            <w:noWrap/>
            <w:hideMark/>
          </w:tcPr>
          <w:p w14:paraId="4817823C" w14:textId="77777777" w:rsidR="005F4A7E" w:rsidRPr="002029AF" w:rsidRDefault="005F4A7E" w:rsidP="00130D1C">
            <w:pPr>
              <w:pStyle w:val="ARfintablebodyrightbold"/>
            </w:pPr>
            <w:r w:rsidRPr="00324BA1">
              <w:t>0.3</w:t>
            </w:r>
          </w:p>
        </w:tc>
        <w:tc>
          <w:tcPr>
            <w:tcW w:w="654" w:type="dxa"/>
            <w:tcBorders>
              <w:bottom w:val="single" w:sz="4" w:space="0" w:color="auto"/>
            </w:tcBorders>
            <w:noWrap/>
            <w:hideMark/>
          </w:tcPr>
          <w:p w14:paraId="48EC098B" w14:textId="77777777" w:rsidR="005F4A7E" w:rsidRPr="002029AF" w:rsidRDefault="005F4A7E" w:rsidP="00130D1C">
            <w:pPr>
              <w:pStyle w:val="ARfintablebodyrightbold"/>
            </w:pPr>
            <w:r w:rsidRPr="00324BA1">
              <w:t>–</w:t>
            </w:r>
          </w:p>
        </w:tc>
        <w:tc>
          <w:tcPr>
            <w:tcW w:w="654" w:type="dxa"/>
            <w:tcBorders>
              <w:bottom w:val="single" w:sz="4" w:space="0" w:color="auto"/>
            </w:tcBorders>
            <w:noWrap/>
            <w:hideMark/>
          </w:tcPr>
          <w:p w14:paraId="2236F9DB" w14:textId="77777777" w:rsidR="005F4A7E" w:rsidRPr="002029AF" w:rsidRDefault="005F4A7E" w:rsidP="00130D1C">
            <w:pPr>
              <w:pStyle w:val="ARfintablebodyrightbold"/>
            </w:pPr>
            <w:r w:rsidRPr="00324BA1">
              <w:t>0.1</w:t>
            </w:r>
          </w:p>
        </w:tc>
        <w:tc>
          <w:tcPr>
            <w:tcW w:w="721" w:type="dxa"/>
            <w:tcBorders>
              <w:bottom w:val="single" w:sz="4" w:space="0" w:color="auto"/>
            </w:tcBorders>
            <w:noWrap/>
            <w:hideMark/>
          </w:tcPr>
          <w:p w14:paraId="321C10AA" w14:textId="77777777" w:rsidR="005F4A7E" w:rsidRPr="002029AF" w:rsidRDefault="005F4A7E" w:rsidP="00130D1C">
            <w:pPr>
              <w:pStyle w:val="ARfintablebodyrightbold"/>
            </w:pPr>
            <w:r w:rsidRPr="00324BA1">
              <w:t>–</w:t>
            </w:r>
          </w:p>
        </w:tc>
        <w:tc>
          <w:tcPr>
            <w:tcW w:w="882" w:type="dxa"/>
            <w:tcBorders>
              <w:bottom w:val="single" w:sz="4" w:space="0" w:color="auto"/>
            </w:tcBorders>
            <w:noWrap/>
            <w:hideMark/>
          </w:tcPr>
          <w:p w14:paraId="79B815E2" w14:textId="77777777" w:rsidR="005F4A7E" w:rsidRPr="002029AF" w:rsidRDefault="005F4A7E" w:rsidP="00130D1C">
            <w:pPr>
              <w:pStyle w:val="ARfintablebodyrightbold"/>
            </w:pPr>
            <w:r w:rsidRPr="00324BA1">
              <w:t>333.2</w:t>
            </w:r>
          </w:p>
        </w:tc>
        <w:tc>
          <w:tcPr>
            <w:tcW w:w="654" w:type="dxa"/>
            <w:tcBorders>
              <w:bottom w:val="single" w:sz="4" w:space="0" w:color="auto"/>
            </w:tcBorders>
            <w:noWrap/>
            <w:hideMark/>
          </w:tcPr>
          <w:p w14:paraId="262C6DEC" w14:textId="77777777" w:rsidR="005F4A7E" w:rsidRPr="002029AF" w:rsidRDefault="005F4A7E" w:rsidP="00130D1C">
            <w:pPr>
              <w:pStyle w:val="ARfintablebodyrightbold"/>
            </w:pPr>
            <w:r w:rsidRPr="00324BA1">
              <w:t>(0.5)</w:t>
            </w:r>
          </w:p>
        </w:tc>
        <w:tc>
          <w:tcPr>
            <w:tcW w:w="654" w:type="dxa"/>
            <w:tcBorders>
              <w:bottom w:val="single" w:sz="4" w:space="0" w:color="auto"/>
            </w:tcBorders>
            <w:noWrap/>
            <w:hideMark/>
          </w:tcPr>
          <w:p w14:paraId="1181C317" w14:textId="77777777" w:rsidR="005F4A7E" w:rsidRPr="002029AF" w:rsidRDefault="005F4A7E" w:rsidP="00130D1C">
            <w:pPr>
              <w:pStyle w:val="ARfintablebodyrightbold"/>
            </w:pPr>
            <w:r w:rsidRPr="00324BA1">
              <w:t>(0.3)</w:t>
            </w:r>
          </w:p>
        </w:tc>
        <w:tc>
          <w:tcPr>
            <w:tcW w:w="654" w:type="dxa"/>
            <w:tcBorders>
              <w:bottom w:val="single" w:sz="4" w:space="0" w:color="auto"/>
            </w:tcBorders>
            <w:noWrap/>
            <w:hideMark/>
          </w:tcPr>
          <w:p w14:paraId="3A26005B" w14:textId="77777777" w:rsidR="005F4A7E" w:rsidRPr="002029AF" w:rsidRDefault="005F4A7E" w:rsidP="00130D1C">
            <w:pPr>
              <w:pStyle w:val="ARfintablebodyrightbold"/>
            </w:pPr>
            <w:r w:rsidRPr="00324BA1">
              <w:t>–</w:t>
            </w:r>
          </w:p>
        </w:tc>
        <w:tc>
          <w:tcPr>
            <w:tcW w:w="654" w:type="dxa"/>
            <w:tcBorders>
              <w:bottom w:val="single" w:sz="4" w:space="0" w:color="auto"/>
            </w:tcBorders>
            <w:noWrap/>
            <w:hideMark/>
          </w:tcPr>
          <w:p w14:paraId="5EE862F9" w14:textId="77777777" w:rsidR="005F4A7E" w:rsidRPr="002029AF" w:rsidRDefault="005F4A7E" w:rsidP="00130D1C">
            <w:pPr>
              <w:pStyle w:val="ARfintablebodyrightbold"/>
            </w:pPr>
            <w:r w:rsidRPr="00324BA1">
              <w:t>–</w:t>
            </w:r>
          </w:p>
        </w:tc>
        <w:tc>
          <w:tcPr>
            <w:tcW w:w="654" w:type="dxa"/>
            <w:tcBorders>
              <w:bottom w:val="single" w:sz="4" w:space="0" w:color="auto"/>
            </w:tcBorders>
            <w:noWrap/>
            <w:hideMark/>
          </w:tcPr>
          <w:p w14:paraId="1429C1FA" w14:textId="77777777" w:rsidR="005F4A7E" w:rsidRPr="002029AF" w:rsidRDefault="005F4A7E" w:rsidP="00130D1C">
            <w:pPr>
              <w:pStyle w:val="ARfintablebodyrightbold"/>
            </w:pPr>
            <w:r w:rsidRPr="00324BA1">
              <w:t>–</w:t>
            </w:r>
          </w:p>
        </w:tc>
        <w:tc>
          <w:tcPr>
            <w:tcW w:w="654" w:type="dxa"/>
            <w:tcBorders>
              <w:bottom w:val="single" w:sz="4" w:space="0" w:color="auto"/>
            </w:tcBorders>
            <w:noWrap/>
            <w:hideMark/>
          </w:tcPr>
          <w:p w14:paraId="21034D4B" w14:textId="77777777" w:rsidR="005F4A7E" w:rsidRPr="002029AF" w:rsidRDefault="005F4A7E" w:rsidP="00130D1C">
            <w:pPr>
              <w:pStyle w:val="ARfintablebodyrightbold"/>
            </w:pPr>
            <w:r w:rsidRPr="00324BA1">
              <w:t>–</w:t>
            </w:r>
          </w:p>
        </w:tc>
        <w:tc>
          <w:tcPr>
            <w:tcW w:w="833" w:type="dxa"/>
            <w:tcBorders>
              <w:bottom w:val="single" w:sz="4" w:space="0" w:color="auto"/>
            </w:tcBorders>
            <w:noWrap/>
            <w:hideMark/>
          </w:tcPr>
          <w:p w14:paraId="16B8F5F0" w14:textId="77777777" w:rsidR="005F4A7E" w:rsidRPr="002029AF" w:rsidRDefault="005F4A7E" w:rsidP="00130D1C">
            <w:pPr>
              <w:pStyle w:val="ARfintablebodyrightbold"/>
            </w:pPr>
            <w:r w:rsidRPr="00324BA1">
              <w:t>338.9</w:t>
            </w:r>
          </w:p>
        </w:tc>
      </w:tr>
      <w:tr w:rsidR="005F4A7E" w:rsidRPr="002029AF" w14:paraId="27746544" w14:textId="77777777" w:rsidTr="00130D1C">
        <w:tc>
          <w:tcPr>
            <w:tcW w:w="14459" w:type="dxa"/>
            <w:gridSpan w:val="17"/>
            <w:tcBorders>
              <w:top w:val="single" w:sz="4" w:space="0" w:color="auto"/>
              <w:bottom w:val="single" w:sz="4" w:space="0" w:color="A6A6A6"/>
            </w:tcBorders>
            <w:hideMark/>
          </w:tcPr>
          <w:p w14:paraId="666E104E" w14:textId="77777777" w:rsidR="005F4A7E" w:rsidRPr="002029AF" w:rsidRDefault="005F4A7E" w:rsidP="00130D1C">
            <w:pPr>
              <w:pStyle w:val="ARfintablebodybold"/>
            </w:pPr>
            <w:r w:rsidRPr="00324BA1">
              <w:t xml:space="preserve">Administered other economic </w:t>
            </w:r>
            <w:r>
              <w:br/>
            </w:r>
            <w:r w:rsidRPr="00324BA1">
              <w:t>flows included in net result</w:t>
            </w:r>
          </w:p>
        </w:tc>
      </w:tr>
      <w:tr w:rsidR="005F4A7E" w:rsidRPr="002029AF" w14:paraId="2A4D5BD2" w14:textId="77777777" w:rsidTr="00130D1C">
        <w:tc>
          <w:tcPr>
            <w:tcW w:w="3334" w:type="dxa"/>
            <w:tcBorders>
              <w:top w:val="single" w:sz="4" w:space="0" w:color="A6A6A6"/>
              <w:bottom w:val="single" w:sz="4" w:space="0" w:color="A6A6A6"/>
            </w:tcBorders>
            <w:hideMark/>
          </w:tcPr>
          <w:p w14:paraId="375DAEE1" w14:textId="77777777" w:rsidR="005F4A7E" w:rsidRPr="002029AF" w:rsidRDefault="005F4A7E" w:rsidP="00130D1C">
            <w:pPr>
              <w:pStyle w:val="ARfintablebody"/>
            </w:pPr>
            <w:r w:rsidRPr="00324BA1">
              <w:t>Net gain/(loss) on non-financial assets</w:t>
            </w:r>
          </w:p>
        </w:tc>
        <w:tc>
          <w:tcPr>
            <w:tcW w:w="835" w:type="dxa"/>
            <w:tcBorders>
              <w:top w:val="single" w:sz="4" w:space="0" w:color="A6A6A6"/>
              <w:bottom w:val="single" w:sz="4" w:space="0" w:color="A6A6A6"/>
            </w:tcBorders>
            <w:noWrap/>
            <w:hideMark/>
          </w:tcPr>
          <w:p w14:paraId="200ACB07" w14:textId="77777777" w:rsidR="005F4A7E" w:rsidRPr="002029AF" w:rsidRDefault="005F4A7E" w:rsidP="00130D1C">
            <w:pPr>
              <w:pStyle w:val="ARfintablebodyright"/>
            </w:pPr>
            <w:r w:rsidRPr="00324BA1">
              <w:t>(0.1)</w:t>
            </w:r>
          </w:p>
        </w:tc>
        <w:tc>
          <w:tcPr>
            <w:tcW w:w="656" w:type="dxa"/>
            <w:tcBorders>
              <w:top w:val="single" w:sz="4" w:space="0" w:color="A6A6A6"/>
              <w:bottom w:val="single" w:sz="4" w:space="0" w:color="A6A6A6"/>
            </w:tcBorders>
            <w:noWrap/>
            <w:hideMark/>
          </w:tcPr>
          <w:p w14:paraId="591B847D" w14:textId="77777777" w:rsidR="005F4A7E" w:rsidRPr="002029AF" w:rsidRDefault="005F4A7E" w:rsidP="00130D1C">
            <w:pPr>
              <w:pStyle w:val="ARfintablebodyright"/>
            </w:pPr>
            <w:r w:rsidRPr="00324BA1">
              <w:t>–</w:t>
            </w:r>
          </w:p>
        </w:tc>
        <w:tc>
          <w:tcPr>
            <w:tcW w:w="656" w:type="dxa"/>
            <w:tcBorders>
              <w:top w:val="single" w:sz="4" w:space="0" w:color="A6A6A6"/>
              <w:bottom w:val="single" w:sz="4" w:space="0" w:color="A6A6A6"/>
            </w:tcBorders>
            <w:noWrap/>
            <w:hideMark/>
          </w:tcPr>
          <w:p w14:paraId="0FB68B0D" w14:textId="77777777" w:rsidR="005F4A7E" w:rsidRPr="002029AF" w:rsidRDefault="005F4A7E" w:rsidP="00130D1C">
            <w:pPr>
              <w:pStyle w:val="ARfintablebodyright"/>
            </w:pPr>
            <w:r w:rsidRPr="00324BA1">
              <w:t>–</w:t>
            </w:r>
          </w:p>
        </w:tc>
        <w:tc>
          <w:tcPr>
            <w:tcW w:w="655" w:type="dxa"/>
            <w:tcBorders>
              <w:top w:val="single" w:sz="4" w:space="0" w:color="A6A6A6"/>
              <w:bottom w:val="single" w:sz="4" w:space="0" w:color="A6A6A6"/>
            </w:tcBorders>
            <w:noWrap/>
            <w:hideMark/>
          </w:tcPr>
          <w:p w14:paraId="69012AD1" w14:textId="77777777" w:rsidR="005F4A7E" w:rsidRPr="002029AF" w:rsidRDefault="005F4A7E" w:rsidP="00130D1C">
            <w:pPr>
              <w:pStyle w:val="ARfintablebodyright"/>
            </w:pPr>
            <w:r w:rsidRPr="00324BA1">
              <w:t>–</w:t>
            </w:r>
          </w:p>
        </w:tc>
        <w:tc>
          <w:tcPr>
            <w:tcW w:w="655" w:type="dxa"/>
            <w:tcBorders>
              <w:top w:val="single" w:sz="4" w:space="0" w:color="A6A6A6"/>
              <w:bottom w:val="single" w:sz="4" w:space="0" w:color="A6A6A6"/>
            </w:tcBorders>
            <w:noWrap/>
            <w:hideMark/>
          </w:tcPr>
          <w:p w14:paraId="6CD47D7F"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2EDF6EB8"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4CA74CCE" w14:textId="77777777" w:rsidR="005F4A7E" w:rsidRPr="002029AF" w:rsidRDefault="005F4A7E" w:rsidP="00130D1C">
            <w:pPr>
              <w:pStyle w:val="ARfintablebodyright"/>
            </w:pPr>
            <w:r w:rsidRPr="00324BA1">
              <w:t>–</w:t>
            </w:r>
          </w:p>
        </w:tc>
        <w:tc>
          <w:tcPr>
            <w:tcW w:w="721" w:type="dxa"/>
            <w:tcBorders>
              <w:top w:val="single" w:sz="4" w:space="0" w:color="A6A6A6"/>
              <w:bottom w:val="single" w:sz="4" w:space="0" w:color="A6A6A6"/>
            </w:tcBorders>
            <w:noWrap/>
            <w:hideMark/>
          </w:tcPr>
          <w:p w14:paraId="493A4B02" w14:textId="77777777" w:rsidR="005F4A7E" w:rsidRPr="002029AF" w:rsidRDefault="005F4A7E" w:rsidP="00130D1C">
            <w:pPr>
              <w:pStyle w:val="ARfintablebodyright"/>
            </w:pPr>
            <w:r w:rsidRPr="00324BA1">
              <w:t>–</w:t>
            </w:r>
          </w:p>
        </w:tc>
        <w:tc>
          <w:tcPr>
            <w:tcW w:w="882" w:type="dxa"/>
            <w:tcBorders>
              <w:top w:val="single" w:sz="4" w:space="0" w:color="A6A6A6"/>
              <w:bottom w:val="single" w:sz="4" w:space="0" w:color="A6A6A6"/>
            </w:tcBorders>
            <w:noWrap/>
            <w:hideMark/>
          </w:tcPr>
          <w:p w14:paraId="5C5C7333"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61BC65CF"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139AA0D3"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2E188456"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7D99AE3B"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0BBE0938" w14:textId="77777777" w:rsidR="005F4A7E" w:rsidRPr="002029AF" w:rsidRDefault="005F4A7E" w:rsidP="00130D1C">
            <w:pPr>
              <w:pStyle w:val="ARfintablebodyright"/>
            </w:pPr>
            <w:r w:rsidRPr="00324BA1">
              <w:t>–</w:t>
            </w:r>
          </w:p>
        </w:tc>
        <w:tc>
          <w:tcPr>
            <w:tcW w:w="654" w:type="dxa"/>
            <w:tcBorders>
              <w:top w:val="single" w:sz="4" w:space="0" w:color="A6A6A6"/>
              <w:bottom w:val="single" w:sz="4" w:space="0" w:color="A6A6A6"/>
            </w:tcBorders>
            <w:noWrap/>
            <w:hideMark/>
          </w:tcPr>
          <w:p w14:paraId="14745F85" w14:textId="77777777" w:rsidR="005F4A7E" w:rsidRPr="002029AF" w:rsidRDefault="005F4A7E" w:rsidP="00130D1C">
            <w:pPr>
              <w:pStyle w:val="ARfintablebodyright"/>
            </w:pPr>
            <w:r w:rsidRPr="00324BA1">
              <w:t>–</w:t>
            </w:r>
          </w:p>
        </w:tc>
        <w:tc>
          <w:tcPr>
            <w:tcW w:w="833" w:type="dxa"/>
            <w:tcBorders>
              <w:top w:val="single" w:sz="4" w:space="0" w:color="A6A6A6"/>
              <w:bottom w:val="single" w:sz="4" w:space="0" w:color="A6A6A6"/>
            </w:tcBorders>
            <w:noWrap/>
            <w:hideMark/>
          </w:tcPr>
          <w:p w14:paraId="4F81314E" w14:textId="77777777" w:rsidR="005F4A7E" w:rsidRPr="002029AF" w:rsidRDefault="005F4A7E" w:rsidP="00130D1C">
            <w:pPr>
              <w:pStyle w:val="ARfintablebodyright"/>
            </w:pPr>
            <w:r w:rsidRPr="00324BA1">
              <w:t>(0.1)</w:t>
            </w:r>
          </w:p>
        </w:tc>
      </w:tr>
      <w:tr w:rsidR="005F4A7E" w:rsidRPr="002029AF" w14:paraId="2A34B16C" w14:textId="77777777" w:rsidTr="00130D1C">
        <w:tc>
          <w:tcPr>
            <w:tcW w:w="3334" w:type="dxa"/>
            <w:tcBorders>
              <w:top w:val="single" w:sz="4" w:space="0" w:color="A6A6A6"/>
            </w:tcBorders>
            <w:hideMark/>
          </w:tcPr>
          <w:p w14:paraId="74C86300" w14:textId="77777777" w:rsidR="005F4A7E" w:rsidRPr="002029AF" w:rsidRDefault="005F4A7E" w:rsidP="00130D1C">
            <w:pPr>
              <w:pStyle w:val="ARfintablebody"/>
            </w:pPr>
            <w:r w:rsidRPr="00324BA1">
              <w:t>Other gains/(losses) from other economic flows</w:t>
            </w:r>
          </w:p>
        </w:tc>
        <w:tc>
          <w:tcPr>
            <w:tcW w:w="835" w:type="dxa"/>
            <w:tcBorders>
              <w:top w:val="single" w:sz="4" w:space="0" w:color="A6A6A6"/>
            </w:tcBorders>
            <w:noWrap/>
            <w:hideMark/>
          </w:tcPr>
          <w:p w14:paraId="468ADD6D" w14:textId="77777777" w:rsidR="005F4A7E" w:rsidRPr="002029AF" w:rsidRDefault="005F4A7E" w:rsidP="00130D1C">
            <w:pPr>
              <w:pStyle w:val="ARfintablebodyright"/>
            </w:pPr>
            <w:r w:rsidRPr="00324BA1">
              <w:t>–</w:t>
            </w:r>
          </w:p>
        </w:tc>
        <w:tc>
          <w:tcPr>
            <w:tcW w:w="656" w:type="dxa"/>
            <w:tcBorders>
              <w:top w:val="single" w:sz="4" w:space="0" w:color="A6A6A6"/>
            </w:tcBorders>
            <w:noWrap/>
            <w:hideMark/>
          </w:tcPr>
          <w:p w14:paraId="585D8420" w14:textId="77777777" w:rsidR="005F4A7E" w:rsidRPr="002029AF" w:rsidRDefault="005F4A7E" w:rsidP="00130D1C">
            <w:pPr>
              <w:pStyle w:val="ARfintablebodyright"/>
            </w:pPr>
            <w:r w:rsidRPr="00324BA1">
              <w:t>–</w:t>
            </w:r>
          </w:p>
        </w:tc>
        <w:tc>
          <w:tcPr>
            <w:tcW w:w="656" w:type="dxa"/>
            <w:tcBorders>
              <w:top w:val="single" w:sz="4" w:space="0" w:color="A6A6A6"/>
            </w:tcBorders>
            <w:noWrap/>
            <w:hideMark/>
          </w:tcPr>
          <w:p w14:paraId="16A29E30" w14:textId="77777777" w:rsidR="005F4A7E" w:rsidRPr="002029AF" w:rsidRDefault="005F4A7E" w:rsidP="00130D1C">
            <w:pPr>
              <w:pStyle w:val="ARfintablebodyright"/>
            </w:pPr>
            <w:r w:rsidRPr="00324BA1">
              <w:t>–</w:t>
            </w:r>
          </w:p>
        </w:tc>
        <w:tc>
          <w:tcPr>
            <w:tcW w:w="655" w:type="dxa"/>
            <w:tcBorders>
              <w:top w:val="single" w:sz="4" w:space="0" w:color="A6A6A6"/>
            </w:tcBorders>
            <w:noWrap/>
            <w:hideMark/>
          </w:tcPr>
          <w:p w14:paraId="779B53C0" w14:textId="77777777" w:rsidR="005F4A7E" w:rsidRPr="002029AF" w:rsidRDefault="005F4A7E" w:rsidP="00130D1C">
            <w:pPr>
              <w:pStyle w:val="ARfintablebodyright"/>
            </w:pPr>
            <w:r w:rsidRPr="00324BA1">
              <w:t>–</w:t>
            </w:r>
          </w:p>
        </w:tc>
        <w:tc>
          <w:tcPr>
            <w:tcW w:w="655" w:type="dxa"/>
            <w:tcBorders>
              <w:top w:val="single" w:sz="4" w:space="0" w:color="A6A6A6"/>
            </w:tcBorders>
            <w:noWrap/>
            <w:hideMark/>
          </w:tcPr>
          <w:p w14:paraId="1CE8F56C" w14:textId="77777777" w:rsidR="005F4A7E" w:rsidRPr="002029AF" w:rsidRDefault="005F4A7E" w:rsidP="00130D1C">
            <w:pPr>
              <w:pStyle w:val="ARfintablebodyright"/>
            </w:pPr>
            <w:r w:rsidRPr="00324BA1">
              <w:t>–</w:t>
            </w:r>
          </w:p>
        </w:tc>
        <w:tc>
          <w:tcPr>
            <w:tcW w:w="654" w:type="dxa"/>
            <w:tcBorders>
              <w:top w:val="single" w:sz="4" w:space="0" w:color="A6A6A6"/>
            </w:tcBorders>
            <w:noWrap/>
            <w:hideMark/>
          </w:tcPr>
          <w:p w14:paraId="301BEFB3" w14:textId="77777777" w:rsidR="005F4A7E" w:rsidRPr="002029AF" w:rsidRDefault="005F4A7E" w:rsidP="00130D1C">
            <w:pPr>
              <w:pStyle w:val="ARfintablebodyright"/>
            </w:pPr>
            <w:r w:rsidRPr="00324BA1">
              <w:t>–</w:t>
            </w:r>
          </w:p>
        </w:tc>
        <w:tc>
          <w:tcPr>
            <w:tcW w:w="654" w:type="dxa"/>
            <w:tcBorders>
              <w:top w:val="single" w:sz="4" w:space="0" w:color="A6A6A6"/>
            </w:tcBorders>
            <w:noWrap/>
            <w:hideMark/>
          </w:tcPr>
          <w:p w14:paraId="3AC77A19" w14:textId="77777777" w:rsidR="005F4A7E" w:rsidRPr="002029AF" w:rsidRDefault="005F4A7E" w:rsidP="00130D1C">
            <w:pPr>
              <w:pStyle w:val="ARfintablebodyright"/>
            </w:pPr>
            <w:r w:rsidRPr="00324BA1">
              <w:t>–</w:t>
            </w:r>
          </w:p>
        </w:tc>
        <w:tc>
          <w:tcPr>
            <w:tcW w:w="721" w:type="dxa"/>
            <w:tcBorders>
              <w:top w:val="single" w:sz="4" w:space="0" w:color="A6A6A6"/>
            </w:tcBorders>
            <w:noWrap/>
            <w:hideMark/>
          </w:tcPr>
          <w:p w14:paraId="11A3E348" w14:textId="77777777" w:rsidR="005F4A7E" w:rsidRPr="002029AF" w:rsidRDefault="005F4A7E" w:rsidP="00130D1C">
            <w:pPr>
              <w:pStyle w:val="ARfintablebodyright"/>
            </w:pPr>
            <w:r w:rsidRPr="00324BA1">
              <w:t>–</w:t>
            </w:r>
          </w:p>
        </w:tc>
        <w:tc>
          <w:tcPr>
            <w:tcW w:w="882" w:type="dxa"/>
            <w:tcBorders>
              <w:top w:val="single" w:sz="4" w:space="0" w:color="A6A6A6"/>
            </w:tcBorders>
            <w:noWrap/>
            <w:hideMark/>
          </w:tcPr>
          <w:p w14:paraId="5752FE99" w14:textId="77777777" w:rsidR="005F4A7E" w:rsidRPr="002029AF" w:rsidRDefault="005F4A7E" w:rsidP="00130D1C">
            <w:pPr>
              <w:pStyle w:val="ARfintablebodyright"/>
            </w:pPr>
            <w:r w:rsidRPr="00324BA1">
              <w:t>4.5</w:t>
            </w:r>
          </w:p>
        </w:tc>
        <w:tc>
          <w:tcPr>
            <w:tcW w:w="654" w:type="dxa"/>
            <w:tcBorders>
              <w:top w:val="single" w:sz="4" w:space="0" w:color="A6A6A6"/>
            </w:tcBorders>
            <w:noWrap/>
            <w:hideMark/>
          </w:tcPr>
          <w:p w14:paraId="25FE0B53" w14:textId="77777777" w:rsidR="005F4A7E" w:rsidRPr="002029AF" w:rsidRDefault="005F4A7E" w:rsidP="00130D1C">
            <w:pPr>
              <w:pStyle w:val="ARfintablebodyright"/>
            </w:pPr>
            <w:r w:rsidRPr="00324BA1">
              <w:t>–</w:t>
            </w:r>
          </w:p>
        </w:tc>
        <w:tc>
          <w:tcPr>
            <w:tcW w:w="654" w:type="dxa"/>
            <w:tcBorders>
              <w:top w:val="single" w:sz="4" w:space="0" w:color="A6A6A6"/>
            </w:tcBorders>
            <w:noWrap/>
            <w:hideMark/>
          </w:tcPr>
          <w:p w14:paraId="1E053D88" w14:textId="77777777" w:rsidR="005F4A7E" w:rsidRPr="002029AF" w:rsidRDefault="005F4A7E" w:rsidP="00130D1C">
            <w:pPr>
              <w:pStyle w:val="ARfintablebodyright"/>
            </w:pPr>
            <w:r w:rsidRPr="00324BA1">
              <w:t>–</w:t>
            </w:r>
          </w:p>
        </w:tc>
        <w:tc>
          <w:tcPr>
            <w:tcW w:w="654" w:type="dxa"/>
            <w:tcBorders>
              <w:top w:val="single" w:sz="4" w:space="0" w:color="A6A6A6"/>
            </w:tcBorders>
            <w:noWrap/>
            <w:hideMark/>
          </w:tcPr>
          <w:p w14:paraId="4A163DBB" w14:textId="77777777" w:rsidR="005F4A7E" w:rsidRPr="002029AF" w:rsidRDefault="005F4A7E" w:rsidP="00130D1C">
            <w:pPr>
              <w:pStyle w:val="ARfintablebodyright"/>
            </w:pPr>
            <w:r w:rsidRPr="00324BA1">
              <w:t>–</w:t>
            </w:r>
          </w:p>
        </w:tc>
        <w:tc>
          <w:tcPr>
            <w:tcW w:w="654" w:type="dxa"/>
            <w:tcBorders>
              <w:top w:val="single" w:sz="4" w:space="0" w:color="A6A6A6"/>
            </w:tcBorders>
            <w:noWrap/>
            <w:hideMark/>
          </w:tcPr>
          <w:p w14:paraId="524B1908" w14:textId="77777777" w:rsidR="005F4A7E" w:rsidRPr="002029AF" w:rsidRDefault="005F4A7E" w:rsidP="00130D1C">
            <w:pPr>
              <w:pStyle w:val="ARfintablebodyright"/>
            </w:pPr>
            <w:r w:rsidRPr="00324BA1">
              <w:t>–</w:t>
            </w:r>
          </w:p>
        </w:tc>
        <w:tc>
          <w:tcPr>
            <w:tcW w:w="654" w:type="dxa"/>
            <w:tcBorders>
              <w:top w:val="single" w:sz="4" w:space="0" w:color="A6A6A6"/>
            </w:tcBorders>
            <w:noWrap/>
            <w:hideMark/>
          </w:tcPr>
          <w:p w14:paraId="260C298A" w14:textId="77777777" w:rsidR="005F4A7E" w:rsidRPr="002029AF" w:rsidRDefault="005F4A7E" w:rsidP="00130D1C">
            <w:pPr>
              <w:pStyle w:val="ARfintablebodyright"/>
            </w:pPr>
            <w:r w:rsidRPr="00324BA1">
              <w:t>–</w:t>
            </w:r>
          </w:p>
        </w:tc>
        <w:tc>
          <w:tcPr>
            <w:tcW w:w="654" w:type="dxa"/>
            <w:tcBorders>
              <w:top w:val="single" w:sz="4" w:space="0" w:color="A6A6A6"/>
            </w:tcBorders>
            <w:noWrap/>
            <w:hideMark/>
          </w:tcPr>
          <w:p w14:paraId="3BA2609C" w14:textId="77777777" w:rsidR="005F4A7E" w:rsidRPr="002029AF" w:rsidRDefault="005F4A7E" w:rsidP="00130D1C">
            <w:pPr>
              <w:pStyle w:val="ARfintablebodyright"/>
            </w:pPr>
            <w:r w:rsidRPr="00324BA1">
              <w:t>–</w:t>
            </w:r>
          </w:p>
        </w:tc>
        <w:tc>
          <w:tcPr>
            <w:tcW w:w="833" w:type="dxa"/>
            <w:tcBorders>
              <w:top w:val="single" w:sz="4" w:space="0" w:color="A6A6A6"/>
            </w:tcBorders>
            <w:noWrap/>
            <w:hideMark/>
          </w:tcPr>
          <w:p w14:paraId="5F611377" w14:textId="77777777" w:rsidR="005F4A7E" w:rsidRPr="002029AF" w:rsidRDefault="005F4A7E" w:rsidP="00130D1C">
            <w:pPr>
              <w:pStyle w:val="ARfintablebodyright"/>
            </w:pPr>
            <w:r w:rsidRPr="00324BA1">
              <w:t>4.5</w:t>
            </w:r>
          </w:p>
        </w:tc>
      </w:tr>
      <w:tr w:rsidR="005F4A7E" w:rsidRPr="002029AF" w14:paraId="656E0F6E" w14:textId="77777777" w:rsidTr="00130D1C">
        <w:tc>
          <w:tcPr>
            <w:tcW w:w="3334" w:type="dxa"/>
            <w:hideMark/>
          </w:tcPr>
          <w:p w14:paraId="42873302" w14:textId="77777777" w:rsidR="005F4A7E" w:rsidRPr="002029AF" w:rsidRDefault="005F4A7E" w:rsidP="00130D1C">
            <w:pPr>
              <w:pStyle w:val="ARfintablebodybold"/>
            </w:pPr>
            <w:r w:rsidRPr="00324BA1">
              <w:t>Total administered other economic</w:t>
            </w:r>
            <w:r>
              <w:t> </w:t>
            </w:r>
            <w:r w:rsidRPr="00324BA1">
              <w:t>flows</w:t>
            </w:r>
          </w:p>
        </w:tc>
        <w:tc>
          <w:tcPr>
            <w:tcW w:w="835" w:type="dxa"/>
            <w:noWrap/>
            <w:hideMark/>
          </w:tcPr>
          <w:p w14:paraId="57BCA519" w14:textId="77777777" w:rsidR="005F4A7E" w:rsidRPr="002029AF" w:rsidRDefault="005F4A7E" w:rsidP="00130D1C">
            <w:pPr>
              <w:pStyle w:val="ARfintablebodyrightbold"/>
            </w:pPr>
            <w:r w:rsidRPr="00324BA1">
              <w:t>(0.1)</w:t>
            </w:r>
          </w:p>
        </w:tc>
        <w:tc>
          <w:tcPr>
            <w:tcW w:w="656" w:type="dxa"/>
            <w:noWrap/>
            <w:hideMark/>
          </w:tcPr>
          <w:p w14:paraId="7B1693F5" w14:textId="77777777" w:rsidR="005F4A7E" w:rsidRPr="002029AF" w:rsidRDefault="005F4A7E" w:rsidP="00130D1C">
            <w:pPr>
              <w:pStyle w:val="ARfintablebodyrightbold"/>
            </w:pPr>
            <w:r w:rsidRPr="00324BA1">
              <w:t>–</w:t>
            </w:r>
          </w:p>
        </w:tc>
        <w:tc>
          <w:tcPr>
            <w:tcW w:w="656" w:type="dxa"/>
            <w:noWrap/>
            <w:hideMark/>
          </w:tcPr>
          <w:p w14:paraId="2C372314" w14:textId="77777777" w:rsidR="005F4A7E" w:rsidRPr="002029AF" w:rsidRDefault="005F4A7E" w:rsidP="00130D1C">
            <w:pPr>
              <w:pStyle w:val="ARfintablebodyrightbold"/>
            </w:pPr>
            <w:r w:rsidRPr="00324BA1">
              <w:t>–</w:t>
            </w:r>
          </w:p>
        </w:tc>
        <w:tc>
          <w:tcPr>
            <w:tcW w:w="655" w:type="dxa"/>
            <w:noWrap/>
            <w:hideMark/>
          </w:tcPr>
          <w:p w14:paraId="5A498085" w14:textId="77777777" w:rsidR="005F4A7E" w:rsidRPr="002029AF" w:rsidRDefault="005F4A7E" w:rsidP="00130D1C">
            <w:pPr>
              <w:pStyle w:val="ARfintablebodyrightbold"/>
            </w:pPr>
            <w:r w:rsidRPr="00324BA1">
              <w:t>–</w:t>
            </w:r>
          </w:p>
        </w:tc>
        <w:tc>
          <w:tcPr>
            <w:tcW w:w="655" w:type="dxa"/>
            <w:noWrap/>
            <w:hideMark/>
          </w:tcPr>
          <w:p w14:paraId="50D44861" w14:textId="77777777" w:rsidR="005F4A7E" w:rsidRPr="002029AF" w:rsidRDefault="005F4A7E" w:rsidP="00130D1C">
            <w:pPr>
              <w:pStyle w:val="ARfintablebodyrightbold"/>
            </w:pPr>
            <w:r w:rsidRPr="00324BA1">
              <w:t>–</w:t>
            </w:r>
          </w:p>
        </w:tc>
        <w:tc>
          <w:tcPr>
            <w:tcW w:w="654" w:type="dxa"/>
            <w:noWrap/>
            <w:hideMark/>
          </w:tcPr>
          <w:p w14:paraId="7AE997D0" w14:textId="77777777" w:rsidR="005F4A7E" w:rsidRPr="002029AF" w:rsidRDefault="005F4A7E" w:rsidP="00130D1C">
            <w:pPr>
              <w:pStyle w:val="ARfintablebodyrightbold"/>
            </w:pPr>
            <w:r w:rsidRPr="00324BA1">
              <w:t>–</w:t>
            </w:r>
          </w:p>
        </w:tc>
        <w:tc>
          <w:tcPr>
            <w:tcW w:w="654" w:type="dxa"/>
            <w:noWrap/>
            <w:hideMark/>
          </w:tcPr>
          <w:p w14:paraId="6E71F9F3" w14:textId="77777777" w:rsidR="005F4A7E" w:rsidRPr="002029AF" w:rsidRDefault="005F4A7E" w:rsidP="00130D1C">
            <w:pPr>
              <w:pStyle w:val="ARfintablebodyrightbold"/>
            </w:pPr>
            <w:r w:rsidRPr="00324BA1">
              <w:t>–</w:t>
            </w:r>
          </w:p>
        </w:tc>
        <w:tc>
          <w:tcPr>
            <w:tcW w:w="721" w:type="dxa"/>
            <w:noWrap/>
            <w:hideMark/>
          </w:tcPr>
          <w:p w14:paraId="258ED4FE" w14:textId="77777777" w:rsidR="005F4A7E" w:rsidRPr="002029AF" w:rsidRDefault="005F4A7E" w:rsidP="00130D1C">
            <w:pPr>
              <w:pStyle w:val="ARfintablebodyrightbold"/>
            </w:pPr>
            <w:r w:rsidRPr="00324BA1">
              <w:t>–</w:t>
            </w:r>
          </w:p>
        </w:tc>
        <w:tc>
          <w:tcPr>
            <w:tcW w:w="882" w:type="dxa"/>
            <w:noWrap/>
            <w:hideMark/>
          </w:tcPr>
          <w:p w14:paraId="738DD588" w14:textId="77777777" w:rsidR="005F4A7E" w:rsidRPr="002029AF" w:rsidRDefault="005F4A7E" w:rsidP="00130D1C">
            <w:pPr>
              <w:pStyle w:val="ARfintablebodyrightbold"/>
            </w:pPr>
            <w:r w:rsidRPr="00324BA1">
              <w:t>4.5</w:t>
            </w:r>
          </w:p>
        </w:tc>
        <w:tc>
          <w:tcPr>
            <w:tcW w:w="654" w:type="dxa"/>
            <w:noWrap/>
            <w:hideMark/>
          </w:tcPr>
          <w:p w14:paraId="2345CAA1" w14:textId="77777777" w:rsidR="005F4A7E" w:rsidRPr="002029AF" w:rsidRDefault="005F4A7E" w:rsidP="00130D1C">
            <w:pPr>
              <w:pStyle w:val="ARfintablebodyrightbold"/>
            </w:pPr>
            <w:r w:rsidRPr="00324BA1">
              <w:t>–</w:t>
            </w:r>
          </w:p>
        </w:tc>
        <w:tc>
          <w:tcPr>
            <w:tcW w:w="654" w:type="dxa"/>
            <w:noWrap/>
            <w:hideMark/>
          </w:tcPr>
          <w:p w14:paraId="477B3EA8" w14:textId="77777777" w:rsidR="005F4A7E" w:rsidRPr="002029AF" w:rsidRDefault="005F4A7E" w:rsidP="00130D1C">
            <w:pPr>
              <w:pStyle w:val="ARfintablebodyrightbold"/>
            </w:pPr>
            <w:r w:rsidRPr="00324BA1">
              <w:t>–</w:t>
            </w:r>
          </w:p>
        </w:tc>
        <w:tc>
          <w:tcPr>
            <w:tcW w:w="654" w:type="dxa"/>
            <w:noWrap/>
            <w:hideMark/>
          </w:tcPr>
          <w:p w14:paraId="5E1F8766" w14:textId="77777777" w:rsidR="005F4A7E" w:rsidRPr="002029AF" w:rsidRDefault="005F4A7E" w:rsidP="00130D1C">
            <w:pPr>
              <w:pStyle w:val="ARfintablebodyrightbold"/>
            </w:pPr>
            <w:r w:rsidRPr="00324BA1">
              <w:t>–</w:t>
            </w:r>
          </w:p>
        </w:tc>
        <w:tc>
          <w:tcPr>
            <w:tcW w:w="654" w:type="dxa"/>
            <w:noWrap/>
            <w:hideMark/>
          </w:tcPr>
          <w:p w14:paraId="7A9A421F" w14:textId="77777777" w:rsidR="005F4A7E" w:rsidRPr="002029AF" w:rsidRDefault="005F4A7E" w:rsidP="00130D1C">
            <w:pPr>
              <w:pStyle w:val="ARfintablebodyrightbold"/>
            </w:pPr>
            <w:r w:rsidRPr="00324BA1">
              <w:t>–</w:t>
            </w:r>
          </w:p>
        </w:tc>
        <w:tc>
          <w:tcPr>
            <w:tcW w:w="654" w:type="dxa"/>
            <w:noWrap/>
            <w:hideMark/>
          </w:tcPr>
          <w:p w14:paraId="0AE798F3" w14:textId="77777777" w:rsidR="005F4A7E" w:rsidRPr="002029AF" w:rsidRDefault="005F4A7E" w:rsidP="00130D1C">
            <w:pPr>
              <w:pStyle w:val="ARfintablebodyrightbold"/>
            </w:pPr>
            <w:r w:rsidRPr="00324BA1">
              <w:t>–</w:t>
            </w:r>
          </w:p>
        </w:tc>
        <w:tc>
          <w:tcPr>
            <w:tcW w:w="654" w:type="dxa"/>
            <w:noWrap/>
            <w:hideMark/>
          </w:tcPr>
          <w:p w14:paraId="71E35527" w14:textId="77777777" w:rsidR="005F4A7E" w:rsidRPr="002029AF" w:rsidRDefault="005F4A7E" w:rsidP="00130D1C">
            <w:pPr>
              <w:pStyle w:val="ARfintablebodyrightbold"/>
            </w:pPr>
            <w:r w:rsidRPr="00324BA1">
              <w:t>–</w:t>
            </w:r>
          </w:p>
        </w:tc>
        <w:tc>
          <w:tcPr>
            <w:tcW w:w="833" w:type="dxa"/>
            <w:noWrap/>
            <w:hideMark/>
          </w:tcPr>
          <w:p w14:paraId="39469FD2" w14:textId="77777777" w:rsidR="005F4A7E" w:rsidRPr="002029AF" w:rsidRDefault="005F4A7E" w:rsidP="00130D1C">
            <w:pPr>
              <w:pStyle w:val="ARfintablebodyrightbold"/>
            </w:pPr>
            <w:r w:rsidRPr="00324BA1">
              <w:t>4.4</w:t>
            </w:r>
          </w:p>
        </w:tc>
      </w:tr>
      <w:tr w:rsidR="005F4A7E" w:rsidRPr="002029AF" w14:paraId="51D0EB25" w14:textId="77777777" w:rsidTr="00130D1C">
        <w:tc>
          <w:tcPr>
            <w:tcW w:w="3334" w:type="dxa"/>
            <w:hideMark/>
          </w:tcPr>
          <w:p w14:paraId="4A52EE7D" w14:textId="77777777" w:rsidR="005F4A7E" w:rsidRPr="002029AF" w:rsidRDefault="005F4A7E" w:rsidP="00130D1C">
            <w:pPr>
              <w:pStyle w:val="ARfintablebodybold"/>
            </w:pPr>
            <w:r w:rsidRPr="00324BA1">
              <w:t>Administered net result</w:t>
            </w:r>
          </w:p>
        </w:tc>
        <w:tc>
          <w:tcPr>
            <w:tcW w:w="835" w:type="dxa"/>
            <w:noWrap/>
            <w:hideMark/>
          </w:tcPr>
          <w:p w14:paraId="6A941117" w14:textId="77777777" w:rsidR="005F4A7E" w:rsidRPr="002029AF" w:rsidRDefault="005F4A7E" w:rsidP="00130D1C">
            <w:pPr>
              <w:pStyle w:val="ARfintablebodyrightbold"/>
            </w:pPr>
            <w:r w:rsidRPr="00324BA1">
              <w:t>7.9</w:t>
            </w:r>
          </w:p>
        </w:tc>
        <w:tc>
          <w:tcPr>
            <w:tcW w:w="656" w:type="dxa"/>
            <w:noWrap/>
            <w:hideMark/>
          </w:tcPr>
          <w:p w14:paraId="4D609DD5" w14:textId="77777777" w:rsidR="005F4A7E" w:rsidRPr="002029AF" w:rsidRDefault="005F4A7E" w:rsidP="00130D1C">
            <w:pPr>
              <w:pStyle w:val="ARfintablebodyrightbold"/>
            </w:pPr>
            <w:r w:rsidRPr="00324BA1">
              <w:t>–</w:t>
            </w:r>
          </w:p>
        </w:tc>
        <w:tc>
          <w:tcPr>
            <w:tcW w:w="656" w:type="dxa"/>
            <w:noWrap/>
            <w:hideMark/>
          </w:tcPr>
          <w:p w14:paraId="0E93E599" w14:textId="77777777" w:rsidR="005F4A7E" w:rsidRPr="002029AF" w:rsidRDefault="005F4A7E" w:rsidP="00130D1C">
            <w:pPr>
              <w:pStyle w:val="ARfintablebodyrightbold"/>
            </w:pPr>
            <w:r w:rsidRPr="00324BA1">
              <w:t>(1.8)</w:t>
            </w:r>
          </w:p>
        </w:tc>
        <w:tc>
          <w:tcPr>
            <w:tcW w:w="655" w:type="dxa"/>
            <w:noWrap/>
            <w:hideMark/>
          </w:tcPr>
          <w:p w14:paraId="5ADBE3AA" w14:textId="77777777" w:rsidR="005F4A7E" w:rsidRPr="002029AF" w:rsidRDefault="005F4A7E" w:rsidP="00130D1C">
            <w:pPr>
              <w:pStyle w:val="ARfintablebodyrightbold"/>
            </w:pPr>
            <w:r w:rsidRPr="00324BA1">
              <w:t>–</w:t>
            </w:r>
          </w:p>
        </w:tc>
        <w:tc>
          <w:tcPr>
            <w:tcW w:w="655" w:type="dxa"/>
            <w:noWrap/>
            <w:hideMark/>
          </w:tcPr>
          <w:p w14:paraId="40B9DCBB" w14:textId="77777777" w:rsidR="005F4A7E" w:rsidRPr="002029AF" w:rsidRDefault="005F4A7E" w:rsidP="00130D1C">
            <w:pPr>
              <w:pStyle w:val="ARfintablebodyrightbold"/>
            </w:pPr>
            <w:r w:rsidRPr="00324BA1">
              <w:t>0.3</w:t>
            </w:r>
          </w:p>
        </w:tc>
        <w:tc>
          <w:tcPr>
            <w:tcW w:w="654" w:type="dxa"/>
            <w:noWrap/>
            <w:hideMark/>
          </w:tcPr>
          <w:p w14:paraId="3555C1F5" w14:textId="77777777" w:rsidR="005F4A7E" w:rsidRPr="002029AF" w:rsidRDefault="005F4A7E" w:rsidP="00130D1C">
            <w:pPr>
              <w:pStyle w:val="ARfintablebodyrightbold"/>
            </w:pPr>
            <w:r w:rsidRPr="00324BA1">
              <w:t>–</w:t>
            </w:r>
          </w:p>
        </w:tc>
        <w:tc>
          <w:tcPr>
            <w:tcW w:w="654" w:type="dxa"/>
            <w:noWrap/>
            <w:hideMark/>
          </w:tcPr>
          <w:p w14:paraId="35FEAD8B" w14:textId="77777777" w:rsidR="005F4A7E" w:rsidRPr="002029AF" w:rsidRDefault="005F4A7E" w:rsidP="00130D1C">
            <w:pPr>
              <w:pStyle w:val="ARfintablebodyrightbold"/>
            </w:pPr>
            <w:r w:rsidRPr="00324BA1">
              <w:t>0.1</w:t>
            </w:r>
          </w:p>
        </w:tc>
        <w:tc>
          <w:tcPr>
            <w:tcW w:w="721" w:type="dxa"/>
            <w:noWrap/>
            <w:hideMark/>
          </w:tcPr>
          <w:p w14:paraId="065489A9" w14:textId="77777777" w:rsidR="005F4A7E" w:rsidRPr="002029AF" w:rsidRDefault="005F4A7E" w:rsidP="00130D1C">
            <w:pPr>
              <w:pStyle w:val="ARfintablebodyrightbold"/>
            </w:pPr>
            <w:r w:rsidRPr="00324BA1">
              <w:t>–</w:t>
            </w:r>
          </w:p>
        </w:tc>
        <w:tc>
          <w:tcPr>
            <w:tcW w:w="882" w:type="dxa"/>
            <w:noWrap/>
            <w:hideMark/>
          </w:tcPr>
          <w:p w14:paraId="7431DBE7" w14:textId="77777777" w:rsidR="005F4A7E" w:rsidRPr="002029AF" w:rsidRDefault="005F4A7E" w:rsidP="00130D1C">
            <w:pPr>
              <w:pStyle w:val="ARfintablebodyrightbold"/>
            </w:pPr>
            <w:r w:rsidRPr="00324BA1">
              <w:t>337.7</w:t>
            </w:r>
          </w:p>
        </w:tc>
        <w:tc>
          <w:tcPr>
            <w:tcW w:w="654" w:type="dxa"/>
            <w:noWrap/>
            <w:hideMark/>
          </w:tcPr>
          <w:p w14:paraId="37CE2002" w14:textId="77777777" w:rsidR="005F4A7E" w:rsidRPr="002029AF" w:rsidRDefault="005F4A7E" w:rsidP="00130D1C">
            <w:pPr>
              <w:pStyle w:val="ARfintablebodyrightbold"/>
            </w:pPr>
            <w:r w:rsidRPr="00324BA1">
              <w:t>(0.5)</w:t>
            </w:r>
          </w:p>
        </w:tc>
        <w:tc>
          <w:tcPr>
            <w:tcW w:w="654" w:type="dxa"/>
            <w:noWrap/>
            <w:hideMark/>
          </w:tcPr>
          <w:p w14:paraId="79AEC690" w14:textId="77777777" w:rsidR="005F4A7E" w:rsidRPr="002029AF" w:rsidRDefault="005F4A7E" w:rsidP="00130D1C">
            <w:pPr>
              <w:pStyle w:val="ARfintablebodyrightbold"/>
            </w:pPr>
            <w:r w:rsidRPr="00324BA1">
              <w:t>(0.3)</w:t>
            </w:r>
          </w:p>
        </w:tc>
        <w:tc>
          <w:tcPr>
            <w:tcW w:w="654" w:type="dxa"/>
            <w:noWrap/>
            <w:hideMark/>
          </w:tcPr>
          <w:p w14:paraId="41047A59" w14:textId="77777777" w:rsidR="005F4A7E" w:rsidRPr="002029AF" w:rsidRDefault="005F4A7E" w:rsidP="00130D1C">
            <w:pPr>
              <w:pStyle w:val="ARfintablebodyrightbold"/>
            </w:pPr>
            <w:r w:rsidRPr="00324BA1">
              <w:t>–</w:t>
            </w:r>
          </w:p>
        </w:tc>
        <w:tc>
          <w:tcPr>
            <w:tcW w:w="654" w:type="dxa"/>
            <w:noWrap/>
            <w:hideMark/>
          </w:tcPr>
          <w:p w14:paraId="63D681DF" w14:textId="77777777" w:rsidR="005F4A7E" w:rsidRPr="002029AF" w:rsidRDefault="005F4A7E" w:rsidP="00130D1C">
            <w:pPr>
              <w:pStyle w:val="ARfintablebodyrightbold"/>
            </w:pPr>
            <w:r w:rsidRPr="00324BA1">
              <w:t>–</w:t>
            </w:r>
          </w:p>
        </w:tc>
        <w:tc>
          <w:tcPr>
            <w:tcW w:w="654" w:type="dxa"/>
            <w:noWrap/>
            <w:hideMark/>
          </w:tcPr>
          <w:p w14:paraId="3741242D" w14:textId="77777777" w:rsidR="005F4A7E" w:rsidRPr="002029AF" w:rsidRDefault="005F4A7E" w:rsidP="00130D1C">
            <w:pPr>
              <w:pStyle w:val="ARfintablebodyrightbold"/>
            </w:pPr>
            <w:r w:rsidRPr="00324BA1">
              <w:t>–</w:t>
            </w:r>
          </w:p>
        </w:tc>
        <w:tc>
          <w:tcPr>
            <w:tcW w:w="654" w:type="dxa"/>
            <w:noWrap/>
            <w:hideMark/>
          </w:tcPr>
          <w:p w14:paraId="591595DB" w14:textId="77777777" w:rsidR="005F4A7E" w:rsidRPr="002029AF" w:rsidRDefault="005F4A7E" w:rsidP="00130D1C">
            <w:pPr>
              <w:pStyle w:val="ARfintablebodyrightbold"/>
            </w:pPr>
            <w:r w:rsidRPr="00324BA1">
              <w:t>–</w:t>
            </w:r>
          </w:p>
        </w:tc>
        <w:tc>
          <w:tcPr>
            <w:tcW w:w="833" w:type="dxa"/>
            <w:noWrap/>
            <w:hideMark/>
          </w:tcPr>
          <w:p w14:paraId="2C22E5A6" w14:textId="77777777" w:rsidR="005F4A7E" w:rsidRPr="002029AF" w:rsidRDefault="005F4A7E" w:rsidP="00130D1C">
            <w:pPr>
              <w:pStyle w:val="ARfintablebodyrightbold"/>
            </w:pPr>
            <w:r w:rsidRPr="00324BA1">
              <w:t>343.3</w:t>
            </w:r>
          </w:p>
        </w:tc>
      </w:tr>
    </w:tbl>
    <w:p w14:paraId="56D9BC1D" w14:textId="77777777" w:rsidR="005F4A7E" w:rsidRDefault="005F4A7E" w:rsidP="00130D1C">
      <w:pPr>
        <w:pStyle w:val="ARfintablefootnote"/>
      </w:pPr>
      <w:r>
        <w:t>Notes:</w:t>
      </w:r>
    </w:p>
    <w:p w14:paraId="7A127DEC" w14:textId="77777777" w:rsidR="005F4A7E" w:rsidRDefault="005F4A7E" w:rsidP="00130D1C">
      <w:pPr>
        <w:pStyle w:val="ARfintablefootnoteindent"/>
      </w:pPr>
      <w:r>
        <w:t>(i)</w:t>
      </w:r>
      <w:r>
        <w:tab/>
        <w:t>Refer to Note 4.1.1 for output group definitions.</w:t>
      </w:r>
    </w:p>
    <w:p w14:paraId="3275BB53" w14:textId="77777777" w:rsidR="005F4A7E" w:rsidRDefault="005F4A7E" w:rsidP="00130D1C">
      <w:pPr>
        <w:pStyle w:val="ARfintablefootnoteindent"/>
      </w:pPr>
      <w:r>
        <w:t>(ii)</w:t>
      </w:r>
      <w:r>
        <w:tab/>
        <w:t>Output group 14 Housing Assistance and output group 15 Shared Services are not applicable for administered activities.</w:t>
      </w:r>
    </w:p>
    <w:p w14:paraId="69A02AE7" w14:textId="77777777" w:rsidR="005F4A7E" w:rsidRPr="002029AF" w:rsidRDefault="005F4A7E" w:rsidP="00087B91">
      <w:pPr>
        <w:pStyle w:val="ARfinbody"/>
      </w:pPr>
    </w:p>
    <w:p w14:paraId="409AD242" w14:textId="77777777" w:rsidR="005F4A7E" w:rsidRPr="002029AF" w:rsidRDefault="005F4A7E" w:rsidP="00087B91">
      <w:pPr>
        <w:pStyle w:val="ARfinbody"/>
        <w:sectPr w:rsidR="005F4A7E" w:rsidRPr="002029AF" w:rsidSect="00130D1C">
          <w:footerReference w:type="even" r:id="rId134"/>
          <w:footnotePr>
            <w:numFmt w:val="lowerLetter"/>
            <w:numRestart w:val="eachPage"/>
          </w:footnotePr>
          <w:pgSz w:w="16838" w:h="11906" w:orient="landscape" w:code="9"/>
          <w:pgMar w:top="1134" w:right="1531" w:bottom="1134" w:left="851" w:header="510" w:footer="340" w:gutter="0"/>
          <w:cols w:space="708"/>
          <w:docGrid w:linePitch="360"/>
        </w:sectPr>
      </w:pPr>
    </w:p>
    <w:p w14:paraId="0E810EDD" w14:textId="77777777" w:rsidR="005F4A7E" w:rsidRPr="002029AF" w:rsidRDefault="005F4A7E" w:rsidP="00087B91">
      <w:pPr>
        <w:pStyle w:val="Heading5"/>
        <w:spacing w:before="0"/>
      </w:pPr>
      <w:bookmarkStart w:id="865" w:name="_Ref84598229"/>
      <w:bookmarkStart w:id="866" w:name="_Toc85121419"/>
      <w:r>
        <w:rPr>
          <w:lang w:eastAsia="en-AU"/>
        </w:rPr>
        <w:lastRenderedPageBreak/>
        <w:t>4.2.2 Administered assets and liabilities</w:t>
      </w:r>
      <w:bookmarkEnd w:id="865"/>
      <w:bookmarkEnd w:id="866"/>
    </w:p>
    <w:tbl>
      <w:tblPr>
        <w:tblStyle w:val="TableGrid"/>
        <w:tblW w:w="9637" w:type="dxa"/>
        <w:tblLayout w:type="fixed"/>
        <w:tblLook w:val="06A0" w:firstRow="1" w:lastRow="0" w:firstColumn="1" w:lastColumn="0" w:noHBand="1" w:noVBand="1"/>
      </w:tblPr>
      <w:tblGrid>
        <w:gridCol w:w="7369"/>
        <w:gridCol w:w="1134"/>
        <w:gridCol w:w="1134"/>
      </w:tblGrid>
      <w:tr w:rsidR="005F4A7E" w:rsidRPr="002029AF" w14:paraId="39FA2A2D"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hideMark/>
          </w:tcPr>
          <w:p w14:paraId="0823E272" w14:textId="77777777" w:rsidR="005F4A7E" w:rsidRPr="002029AF" w:rsidRDefault="005F4A7E" w:rsidP="00860E95">
            <w:pPr>
              <w:pStyle w:val="ARfintablecolhead"/>
            </w:pPr>
          </w:p>
        </w:tc>
        <w:tc>
          <w:tcPr>
            <w:tcW w:w="1134" w:type="dxa"/>
            <w:tcBorders>
              <w:bottom w:val="single" w:sz="4" w:space="0" w:color="auto"/>
            </w:tcBorders>
            <w:shd w:val="clear" w:color="auto" w:fill="E7E6E6"/>
            <w:hideMark/>
          </w:tcPr>
          <w:p w14:paraId="63B2DEB1" w14:textId="77777777" w:rsidR="005F4A7E" w:rsidRPr="002029AF" w:rsidRDefault="005F4A7E" w:rsidP="00860E95">
            <w:pPr>
              <w:pStyle w:val="ARfintablecolheadright"/>
            </w:pPr>
            <w:r>
              <w:t>2021</w:t>
            </w:r>
          </w:p>
          <w:p w14:paraId="60161DBE" w14:textId="77777777" w:rsidR="005F4A7E" w:rsidRPr="002029AF" w:rsidRDefault="005F4A7E" w:rsidP="00860E95">
            <w:pPr>
              <w:pStyle w:val="ARfintablecolheadright"/>
            </w:pPr>
            <w:r w:rsidRPr="002029AF">
              <w:t>$M</w:t>
            </w:r>
          </w:p>
        </w:tc>
        <w:tc>
          <w:tcPr>
            <w:tcW w:w="1134" w:type="dxa"/>
            <w:tcBorders>
              <w:bottom w:val="single" w:sz="4" w:space="0" w:color="auto"/>
            </w:tcBorders>
            <w:hideMark/>
          </w:tcPr>
          <w:p w14:paraId="4B7FDC03" w14:textId="77777777" w:rsidR="005F4A7E" w:rsidRPr="002029AF" w:rsidRDefault="005F4A7E" w:rsidP="00860E95">
            <w:pPr>
              <w:pStyle w:val="ARfintablecolheadright"/>
            </w:pPr>
            <w:r>
              <w:t>2020</w:t>
            </w:r>
          </w:p>
          <w:p w14:paraId="03283EB4" w14:textId="77777777" w:rsidR="005F4A7E" w:rsidRPr="002029AF" w:rsidRDefault="005F4A7E" w:rsidP="00860E95">
            <w:pPr>
              <w:pStyle w:val="ARfintablecolheadright"/>
            </w:pPr>
            <w:r w:rsidRPr="002029AF">
              <w:t>$M</w:t>
            </w:r>
          </w:p>
        </w:tc>
      </w:tr>
      <w:tr w:rsidR="005F4A7E" w:rsidRPr="002029AF" w14:paraId="648E7EDD" w14:textId="77777777" w:rsidTr="00860E95">
        <w:tc>
          <w:tcPr>
            <w:tcW w:w="9637" w:type="dxa"/>
            <w:gridSpan w:val="3"/>
            <w:tcBorders>
              <w:top w:val="single" w:sz="4" w:space="0" w:color="auto"/>
              <w:bottom w:val="single" w:sz="4" w:space="0" w:color="A6A6A6"/>
            </w:tcBorders>
            <w:hideMark/>
          </w:tcPr>
          <w:p w14:paraId="4D30CF53" w14:textId="77777777" w:rsidR="005F4A7E" w:rsidRPr="002029AF" w:rsidRDefault="005F4A7E" w:rsidP="00130D1C">
            <w:pPr>
              <w:pStyle w:val="ARfintablebodybold"/>
            </w:pPr>
            <w:r w:rsidRPr="004C7670">
              <w:t>Administered assets</w:t>
            </w:r>
          </w:p>
        </w:tc>
      </w:tr>
      <w:tr w:rsidR="005F4A7E" w:rsidRPr="002029AF" w14:paraId="785E8D91" w14:textId="77777777" w:rsidTr="00860E95">
        <w:tc>
          <w:tcPr>
            <w:tcW w:w="9637" w:type="dxa"/>
            <w:gridSpan w:val="3"/>
            <w:tcBorders>
              <w:top w:val="single" w:sz="4" w:space="0" w:color="A6A6A6"/>
              <w:bottom w:val="single" w:sz="4" w:space="0" w:color="A6A6A6"/>
            </w:tcBorders>
            <w:hideMark/>
          </w:tcPr>
          <w:p w14:paraId="49A5CAB6" w14:textId="77777777" w:rsidR="005F4A7E" w:rsidRPr="002029AF" w:rsidRDefault="005F4A7E" w:rsidP="00130D1C">
            <w:pPr>
              <w:pStyle w:val="ARfintablebodybold"/>
            </w:pPr>
            <w:r w:rsidRPr="004C7670">
              <w:t>Financial assets</w:t>
            </w:r>
          </w:p>
        </w:tc>
      </w:tr>
      <w:tr w:rsidR="005F4A7E" w:rsidRPr="002029AF" w14:paraId="0E8ECACE" w14:textId="77777777" w:rsidTr="00860E95">
        <w:tc>
          <w:tcPr>
            <w:tcW w:w="7369" w:type="dxa"/>
            <w:tcBorders>
              <w:top w:val="single" w:sz="4" w:space="0" w:color="A6A6A6"/>
              <w:bottom w:val="single" w:sz="4" w:space="0" w:color="A6A6A6"/>
            </w:tcBorders>
            <w:hideMark/>
          </w:tcPr>
          <w:p w14:paraId="5E69F1A1" w14:textId="77777777" w:rsidR="005F4A7E" w:rsidRPr="002029AF" w:rsidRDefault="005F4A7E" w:rsidP="00130D1C">
            <w:pPr>
              <w:pStyle w:val="ARfintablebody"/>
            </w:pPr>
            <w:r w:rsidRPr="004C7670">
              <w:t>Cash and deposits</w:t>
            </w:r>
          </w:p>
        </w:tc>
        <w:tc>
          <w:tcPr>
            <w:tcW w:w="1134" w:type="dxa"/>
            <w:tcBorders>
              <w:top w:val="single" w:sz="4" w:space="0" w:color="A6A6A6"/>
              <w:bottom w:val="single" w:sz="4" w:space="0" w:color="A6A6A6"/>
            </w:tcBorders>
            <w:shd w:val="clear" w:color="auto" w:fill="E7E6E6"/>
            <w:noWrap/>
            <w:hideMark/>
          </w:tcPr>
          <w:p w14:paraId="2167945E" w14:textId="77777777" w:rsidR="005F4A7E" w:rsidRPr="002029AF" w:rsidRDefault="005F4A7E" w:rsidP="00130D1C">
            <w:pPr>
              <w:pStyle w:val="ARfintablebodyright"/>
            </w:pPr>
            <w:r w:rsidRPr="004C7670">
              <w:t>–</w:t>
            </w:r>
          </w:p>
        </w:tc>
        <w:tc>
          <w:tcPr>
            <w:tcW w:w="1134" w:type="dxa"/>
            <w:tcBorders>
              <w:top w:val="single" w:sz="4" w:space="0" w:color="A6A6A6"/>
              <w:bottom w:val="single" w:sz="4" w:space="0" w:color="A6A6A6"/>
            </w:tcBorders>
            <w:noWrap/>
            <w:hideMark/>
          </w:tcPr>
          <w:p w14:paraId="1DB39CB0" w14:textId="77777777" w:rsidR="005F4A7E" w:rsidRPr="002029AF" w:rsidRDefault="005F4A7E" w:rsidP="00130D1C">
            <w:pPr>
              <w:pStyle w:val="ARfintablebodyright"/>
            </w:pPr>
            <w:r>
              <w:t>51.6</w:t>
            </w:r>
          </w:p>
        </w:tc>
      </w:tr>
      <w:tr w:rsidR="005F4A7E" w:rsidRPr="002029AF" w14:paraId="73A21A53" w14:textId="77777777" w:rsidTr="00860E95">
        <w:tc>
          <w:tcPr>
            <w:tcW w:w="7369" w:type="dxa"/>
            <w:tcBorders>
              <w:top w:val="single" w:sz="4" w:space="0" w:color="A6A6A6"/>
              <w:bottom w:val="single" w:sz="4" w:space="0" w:color="A6A6A6"/>
            </w:tcBorders>
            <w:hideMark/>
          </w:tcPr>
          <w:p w14:paraId="17070386" w14:textId="77777777" w:rsidR="005F4A7E" w:rsidRPr="002029AF" w:rsidRDefault="005F4A7E" w:rsidP="00130D1C">
            <w:pPr>
              <w:pStyle w:val="ARfintablebody"/>
            </w:pPr>
            <w:r w:rsidRPr="004C7670">
              <w:t>Trust funds</w:t>
            </w:r>
          </w:p>
        </w:tc>
        <w:tc>
          <w:tcPr>
            <w:tcW w:w="1134" w:type="dxa"/>
            <w:tcBorders>
              <w:top w:val="single" w:sz="4" w:space="0" w:color="A6A6A6"/>
              <w:bottom w:val="single" w:sz="4" w:space="0" w:color="A6A6A6"/>
            </w:tcBorders>
            <w:shd w:val="clear" w:color="auto" w:fill="E7E6E6"/>
            <w:noWrap/>
            <w:hideMark/>
          </w:tcPr>
          <w:p w14:paraId="031EF87C" w14:textId="77777777" w:rsidR="005F4A7E" w:rsidRPr="002029AF" w:rsidRDefault="005F4A7E" w:rsidP="00130D1C">
            <w:pPr>
              <w:pStyle w:val="ARfintablebodyright"/>
            </w:pPr>
            <w:r w:rsidRPr="004C7670">
              <w:t>3.4</w:t>
            </w:r>
          </w:p>
        </w:tc>
        <w:tc>
          <w:tcPr>
            <w:tcW w:w="1134" w:type="dxa"/>
            <w:tcBorders>
              <w:top w:val="single" w:sz="4" w:space="0" w:color="A6A6A6"/>
              <w:bottom w:val="single" w:sz="4" w:space="0" w:color="A6A6A6"/>
            </w:tcBorders>
            <w:noWrap/>
            <w:hideMark/>
          </w:tcPr>
          <w:p w14:paraId="562F677D" w14:textId="77777777" w:rsidR="005F4A7E" w:rsidRPr="002029AF" w:rsidRDefault="005F4A7E" w:rsidP="00130D1C">
            <w:pPr>
              <w:pStyle w:val="ARfintablebodyright"/>
            </w:pPr>
            <w:r>
              <w:t>3</w:t>
            </w:r>
            <w:r w:rsidRPr="002029AF">
              <w:t>.4</w:t>
            </w:r>
          </w:p>
        </w:tc>
      </w:tr>
      <w:tr w:rsidR="005F4A7E" w:rsidRPr="002029AF" w14:paraId="431F9F80" w14:textId="77777777" w:rsidTr="00860E95">
        <w:tc>
          <w:tcPr>
            <w:tcW w:w="7369" w:type="dxa"/>
            <w:tcBorders>
              <w:top w:val="single" w:sz="4" w:space="0" w:color="A6A6A6"/>
              <w:bottom w:val="single" w:sz="4" w:space="0" w:color="A6A6A6"/>
            </w:tcBorders>
            <w:hideMark/>
          </w:tcPr>
          <w:p w14:paraId="2CD8D2EC" w14:textId="77777777" w:rsidR="005F4A7E" w:rsidRPr="002029AF" w:rsidRDefault="005F4A7E" w:rsidP="00130D1C">
            <w:pPr>
              <w:pStyle w:val="ARfintablebody"/>
            </w:pPr>
            <w:r w:rsidRPr="004C7670">
              <w:t>Receivables</w:t>
            </w:r>
          </w:p>
        </w:tc>
        <w:tc>
          <w:tcPr>
            <w:tcW w:w="1134" w:type="dxa"/>
            <w:tcBorders>
              <w:top w:val="single" w:sz="4" w:space="0" w:color="A6A6A6"/>
              <w:bottom w:val="single" w:sz="4" w:space="0" w:color="A6A6A6"/>
            </w:tcBorders>
            <w:shd w:val="clear" w:color="auto" w:fill="E7E6E6"/>
            <w:noWrap/>
            <w:hideMark/>
          </w:tcPr>
          <w:p w14:paraId="15206973" w14:textId="77777777" w:rsidR="005F4A7E" w:rsidRPr="002029AF" w:rsidRDefault="005F4A7E" w:rsidP="00130D1C">
            <w:pPr>
              <w:pStyle w:val="ARfintablebodyright"/>
            </w:pPr>
            <w:r w:rsidRPr="004C7670">
              <w:t>713.9</w:t>
            </w:r>
          </w:p>
        </w:tc>
        <w:tc>
          <w:tcPr>
            <w:tcW w:w="1134" w:type="dxa"/>
            <w:tcBorders>
              <w:top w:val="single" w:sz="4" w:space="0" w:color="A6A6A6"/>
              <w:bottom w:val="single" w:sz="4" w:space="0" w:color="A6A6A6"/>
            </w:tcBorders>
            <w:noWrap/>
            <w:hideMark/>
          </w:tcPr>
          <w:p w14:paraId="177A1FB8" w14:textId="77777777" w:rsidR="005F4A7E" w:rsidRPr="002029AF" w:rsidRDefault="005F4A7E" w:rsidP="00130D1C">
            <w:pPr>
              <w:pStyle w:val="ARfintablebodyright"/>
            </w:pPr>
            <w:r>
              <w:t>912.2</w:t>
            </w:r>
          </w:p>
        </w:tc>
      </w:tr>
      <w:tr w:rsidR="005F4A7E" w:rsidRPr="002029AF" w14:paraId="4A8C6DDE" w14:textId="77777777" w:rsidTr="00860E95">
        <w:tc>
          <w:tcPr>
            <w:tcW w:w="7369" w:type="dxa"/>
            <w:tcBorders>
              <w:top w:val="single" w:sz="4" w:space="0" w:color="A6A6A6"/>
            </w:tcBorders>
            <w:hideMark/>
          </w:tcPr>
          <w:p w14:paraId="2F36BA2F" w14:textId="77777777" w:rsidR="005F4A7E" w:rsidRPr="002029AF" w:rsidRDefault="005F4A7E" w:rsidP="00130D1C">
            <w:pPr>
              <w:pStyle w:val="ARfintablebody"/>
            </w:pPr>
            <w:r w:rsidRPr="004C7670">
              <w:t>Loans</w:t>
            </w:r>
          </w:p>
        </w:tc>
        <w:tc>
          <w:tcPr>
            <w:tcW w:w="1134" w:type="dxa"/>
            <w:tcBorders>
              <w:top w:val="single" w:sz="4" w:space="0" w:color="A6A6A6"/>
            </w:tcBorders>
            <w:shd w:val="clear" w:color="auto" w:fill="E7E6E6"/>
            <w:noWrap/>
            <w:hideMark/>
          </w:tcPr>
          <w:p w14:paraId="619157E4" w14:textId="77777777" w:rsidR="005F4A7E" w:rsidRPr="002029AF" w:rsidRDefault="005F4A7E" w:rsidP="00130D1C">
            <w:pPr>
              <w:pStyle w:val="ARfintablebodyright"/>
            </w:pPr>
            <w:r w:rsidRPr="004C7670">
              <w:t>–</w:t>
            </w:r>
          </w:p>
        </w:tc>
        <w:tc>
          <w:tcPr>
            <w:tcW w:w="1134" w:type="dxa"/>
            <w:tcBorders>
              <w:top w:val="single" w:sz="4" w:space="0" w:color="A6A6A6"/>
            </w:tcBorders>
            <w:noWrap/>
            <w:hideMark/>
          </w:tcPr>
          <w:p w14:paraId="1FE5B639" w14:textId="77777777" w:rsidR="005F4A7E" w:rsidRPr="002029AF" w:rsidRDefault="005F4A7E" w:rsidP="00130D1C">
            <w:pPr>
              <w:pStyle w:val="ARfintablebodyright"/>
            </w:pPr>
            <w:r w:rsidRPr="002029AF">
              <w:t>3.3</w:t>
            </w:r>
          </w:p>
        </w:tc>
      </w:tr>
      <w:tr w:rsidR="005F4A7E" w:rsidRPr="002029AF" w14:paraId="17A90528" w14:textId="77777777" w:rsidTr="00860E95">
        <w:tc>
          <w:tcPr>
            <w:tcW w:w="7369" w:type="dxa"/>
            <w:tcBorders>
              <w:bottom w:val="single" w:sz="4" w:space="0" w:color="auto"/>
            </w:tcBorders>
            <w:hideMark/>
          </w:tcPr>
          <w:p w14:paraId="085FAA3B" w14:textId="77777777" w:rsidR="005F4A7E" w:rsidRPr="002029AF" w:rsidRDefault="005F4A7E" w:rsidP="00130D1C">
            <w:pPr>
              <w:pStyle w:val="ARfintablebodybold"/>
            </w:pPr>
            <w:r w:rsidRPr="004C7670">
              <w:t>Total administered assets</w:t>
            </w:r>
          </w:p>
        </w:tc>
        <w:tc>
          <w:tcPr>
            <w:tcW w:w="1134" w:type="dxa"/>
            <w:tcBorders>
              <w:bottom w:val="single" w:sz="4" w:space="0" w:color="auto"/>
            </w:tcBorders>
            <w:shd w:val="clear" w:color="auto" w:fill="E7E6E6"/>
            <w:noWrap/>
            <w:hideMark/>
          </w:tcPr>
          <w:p w14:paraId="59123EF9" w14:textId="77777777" w:rsidR="005F4A7E" w:rsidRPr="002029AF" w:rsidRDefault="005F4A7E" w:rsidP="00130D1C">
            <w:pPr>
              <w:pStyle w:val="ARfintablebodyrightbold"/>
            </w:pPr>
            <w:r w:rsidRPr="004C7670">
              <w:t>717.3</w:t>
            </w:r>
          </w:p>
        </w:tc>
        <w:tc>
          <w:tcPr>
            <w:tcW w:w="1134" w:type="dxa"/>
            <w:tcBorders>
              <w:bottom w:val="single" w:sz="4" w:space="0" w:color="auto"/>
            </w:tcBorders>
            <w:noWrap/>
            <w:hideMark/>
          </w:tcPr>
          <w:p w14:paraId="2C06B05F" w14:textId="77777777" w:rsidR="005F4A7E" w:rsidRPr="002029AF" w:rsidRDefault="005F4A7E" w:rsidP="00130D1C">
            <w:pPr>
              <w:pStyle w:val="ARfintablebodyrightbold"/>
            </w:pPr>
            <w:r>
              <w:t>970.5</w:t>
            </w:r>
          </w:p>
        </w:tc>
      </w:tr>
      <w:tr w:rsidR="005F4A7E" w:rsidRPr="002029AF" w14:paraId="4DFA5D49" w14:textId="77777777" w:rsidTr="00860E95">
        <w:tc>
          <w:tcPr>
            <w:tcW w:w="9637" w:type="dxa"/>
            <w:gridSpan w:val="3"/>
            <w:tcBorders>
              <w:top w:val="single" w:sz="4" w:space="0" w:color="auto"/>
              <w:bottom w:val="single" w:sz="4" w:space="0" w:color="A6A6A6"/>
            </w:tcBorders>
            <w:hideMark/>
          </w:tcPr>
          <w:p w14:paraId="4A377E70" w14:textId="77777777" w:rsidR="005F4A7E" w:rsidRPr="002029AF" w:rsidRDefault="005F4A7E" w:rsidP="00130D1C">
            <w:pPr>
              <w:pStyle w:val="ARfintablebodybold"/>
            </w:pPr>
            <w:r w:rsidRPr="004C7670">
              <w:t>Administered liabilities</w:t>
            </w:r>
          </w:p>
        </w:tc>
      </w:tr>
      <w:tr w:rsidR="005F4A7E" w:rsidRPr="002029AF" w14:paraId="71133E45" w14:textId="77777777" w:rsidTr="00860E95">
        <w:tc>
          <w:tcPr>
            <w:tcW w:w="9637" w:type="dxa"/>
            <w:gridSpan w:val="3"/>
            <w:tcBorders>
              <w:top w:val="single" w:sz="4" w:space="0" w:color="A6A6A6"/>
              <w:bottom w:val="single" w:sz="4" w:space="0" w:color="A6A6A6"/>
            </w:tcBorders>
            <w:hideMark/>
          </w:tcPr>
          <w:p w14:paraId="18D9A81E" w14:textId="77777777" w:rsidR="005F4A7E" w:rsidRPr="002029AF" w:rsidRDefault="005F4A7E" w:rsidP="00130D1C">
            <w:pPr>
              <w:pStyle w:val="ARfintablebodybold"/>
            </w:pPr>
            <w:r w:rsidRPr="004C7670">
              <w:t>Financial liabilities</w:t>
            </w:r>
          </w:p>
        </w:tc>
      </w:tr>
      <w:tr w:rsidR="005F4A7E" w:rsidRPr="002029AF" w14:paraId="5EBC2A0A" w14:textId="77777777" w:rsidTr="00860E95">
        <w:tc>
          <w:tcPr>
            <w:tcW w:w="7369" w:type="dxa"/>
            <w:tcBorders>
              <w:top w:val="single" w:sz="4" w:space="0" w:color="A6A6A6"/>
              <w:bottom w:val="single" w:sz="4" w:space="0" w:color="A6A6A6"/>
            </w:tcBorders>
            <w:hideMark/>
          </w:tcPr>
          <w:p w14:paraId="0A48BFD3" w14:textId="77777777" w:rsidR="005F4A7E" w:rsidRPr="002029AF" w:rsidRDefault="005F4A7E" w:rsidP="00130D1C">
            <w:pPr>
              <w:pStyle w:val="ARfintablebody"/>
            </w:pPr>
            <w:r w:rsidRPr="004C7670">
              <w:t>Amounts payable to the consolidated fund</w:t>
            </w:r>
          </w:p>
        </w:tc>
        <w:tc>
          <w:tcPr>
            <w:tcW w:w="1134" w:type="dxa"/>
            <w:tcBorders>
              <w:top w:val="single" w:sz="4" w:space="0" w:color="A6A6A6"/>
              <w:bottom w:val="single" w:sz="4" w:space="0" w:color="A6A6A6"/>
            </w:tcBorders>
            <w:shd w:val="clear" w:color="auto" w:fill="E7E6E6"/>
            <w:noWrap/>
            <w:hideMark/>
          </w:tcPr>
          <w:p w14:paraId="23F3C4B7" w14:textId="77777777" w:rsidR="005F4A7E" w:rsidRPr="002029AF" w:rsidRDefault="005F4A7E" w:rsidP="00130D1C">
            <w:pPr>
              <w:pStyle w:val="ARfintablebodyright"/>
            </w:pPr>
            <w:r w:rsidRPr="004C7670">
              <w:t>203.1</w:t>
            </w:r>
          </w:p>
        </w:tc>
        <w:tc>
          <w:tcPr>
            <w:tcW w:w="1134" w:type="dxa"/>
            <w:tcBorders>
              <w:top w:val="single" w:sz="4" w:space="0" w:color="A6A6A6"/>
              <w:bottom w:val="single" w:sz="4" w:space="0" w:color="A6A6A6"/>
            </w:tcBorders>
            <w:noWrap/>
            <w:hideMark/>
          </w:tcPr>
          <w:p w14:paraId="59CE69C2" w14:textId="77777777" w:rsidR="005F4A7E" w:rsidRPr="002029AF" w:rsidRDefault="005F4A7E" w:rsidP="00130D1C">
            <w:pPr>
              <w:pStyle w:val="ARfintablebodyright"/>
            </w:pPr>
            <w:r>
              <w:t>354.4</w:t>
            </w:r>
          </w:p>
        </w:tc>
      </w:tr>
      <w:tr w:rsidR="005F4A7E" w:rsidRPr="002029AF" w14:paraId="18CE8878" w14:textId="77777777" w:rsidTr="00860E95">
        <w:tc>
          <w:tcPr>
            <w:tcW w:w="7369" w:type="dxa"/>
            <w:tcBorders>
              <w:top w:val="single" w:sz="4" w:space="0" w:color="A6A6A6"/>
              <w:bottom w:val="single" w:sz="4" w:space="0" w:color="A6A6A6"/>
            </w:tcBorders>
            <w:hideMark/>
          </w:tcPr>
          <w:p w14:paraId="73A5B76B" w14:textId="77777777" w:rsidR="005F4A7E" w:rsidRPr="002029AF" w:rsidRDefault="005F4A7E" w:rsidP="00130D1C">
            <w:pPr>
              <w:pStyle w:val="ARfintablebody"/>
            </w:pPr>
            <w:r w:rsidRPr="004C7670">
              <w:t>Payables</w:t>
            </w:r>
          </w:p>
        </w:tc>
        <w:tc>
          <w:tcPr>
            <w:tcW w:w="1134" w:type="dxa"/>
            <w:tcBorders>
              <w:top w:val="single" w:sz="4" w:space="0" w:color="A6A6A6"/>
              <w:bottom w:val="single" w:sz="4" w:space="0" w:color="A6A6A6"/>
            </w:tcBorders>
            <w:shd w:val="clear" w:color="auto" w:fill="E7E6E6"/>
            <w:noWrap/>
            <w:hideMark/>
          </w:tcPr>
          <w:p w14:paraId="377A7264" w14:textId="77777777" w:rsidR="005F4A7E" w:rsidRPr="002029AF" w:rsidRDefault="005F4A7E" w:rsidP="00130D1C">
            <w:pPr>
              <w:pStyle w:val="ARfintablebodyright"/>
            </w:pPr>
            <w:r w:rsidRPr="004C7670">
              <w:t>510.8</w:t>
            </w:r>
          </w:p>
        </w:tc>
        <w:tc>
          <w:tcPr>
            <w:tcW w:w="1134" w:type="dxa"/>
            <w:tcBorders>
              <w:top w:val="single" w:sz="4" w:space="0" w:color="A6A6A6"/>
              <w:bottom w:val="single" w:sz="4" w:space="0" w:color="A6A6A6"/>
            </w:tcBorders>
            <w:noWrap/>
            <w:hideMark/>
          </w:tcPr>
          <w:p w14:paraId="6F833D2B" w14:textId="77777777" w:rsidR="005F4A7E" w:rsidRPr="002029AF" w:rsidRDefault="005F4A7E" w:rsidP="00130D1C">
            <w:pPr>
              <w:pStyle w:val="ARfintablebodyright"/>
            </w:pPr>
            <w:r>
              <w:t>609.4</w:t>
            </w:r>
          </w:p>
        </w:tc>
      </w:tr>
      <w:tr w:rsidR="005F4A7E" w:rsidRPr="002029AF" w14:paraId="3BD61D09" w14:textId="77777777" w:rsidTr="00860E95">
        <w:tc>
          <w:tcPr>
            <w:tcW w:w="7369" w:type="dxa"/>
            <w:tcBorders>
              <w:top w:val="single" w:sz="4" w:space="0" w:color="A6A6A6"/>
            </w:tcBorders>
            <w:hideMark/>
          </w:tcPr>
          <w:p w14:paraId="46562229" w14:textId="77777777" w:rsidR="005F4A7E" w:rsidRPr="002029AF" w:rsidRDefault="005F4A7E" w:rsidP="00130D1C">
            <w:pPr>
              <w:pStyle w:val="ARfintablebody"/>
            </w:pPr>
            <w:r w:rsidRPr="004C7670">
              <w:t>Other</w:t>
            </w:r>
          </w:p>
        </w:tc>
        <w:tc>
          <w:tcPr>
            <w:tcW w:w="1134" w:type="dxa"/>
            <w:tcBorders>
              <w:top w:val="single" w:sz="4" w:space="0" w:color="A6A6A6"/>
            </w:tcBorders>
            <w:shd w:val="clear" w:color="auto" w:fill="E7E6E6"/>
            <w:noWrap/>
            <w:hideMark/>
          </w:tcPr>
          <w:p w14:paraId="71694C11" w14:textId="77777777" w:rsidR="005F4A7E" w:rsidRPr="002029AF" w:rsidRDefault="005F4A7E" w:rsidP="00130D1C">
            <w:pPr>
              <w:pStyle w:val="ARfintablebodyright"/>
            </w:pPr>
            <w:r w:rsidRPr="004C7670">
              <w:t>3.4</w:t>
            </w:r>
          </w:p>
        </w:tc>
        <w:tc>
          <w:tcPr>
            <w:tcW w:w="1134" w:type="dxa"/>
            <w:tcBorders>
              <w:top w:val="single" w:sz="4" w:space="0" w:color="A6A6A6"/>
            </w:tcBorders>
            <w:noWrap/>
            <w:hideMark/>
          </w:tcPr>
          <w:p w14:paraId="6F982BD2" w14:textId="77777777" w:rsidR="005F4A7E" w:rsidRPr="002029AF" w:rsidRDefault="005F4A7E" w:rsidP="00130D1C">
            <w:pPr>
              <w:pStyle w:val="ARfintablebodyright"/>
            </w:pPr>
            <w:r>
              <w:t>6</w:t>
            </w:r>
            <w:r w:rsidRPr="002029AF">
              <w:t>.7</w:t>
            </w:r>
          </w:p>
        </w:tc>
      </w:tr>
      <w:tr w:rsidR="005F4A7E" w:rsidRPr="002029AF" w14:paraId="0A1BC014" w14:textId="77777777" w:rsidTr="00860E95">
        <w:tc>
          <w:tcPr>
            <w:tcW w:w="7369" w:type="dxa"/>
            <w:hideMark/>
          </w:tcPr>
          <w:p w14:paraId="2024C4F4" w14:textId="77777777" w:rsidR="005F4A7E" w:rsidRPr="002029AF" w:rsidRDefault="005F4A7E" w:rsidP="00130D1C">
            <w:pPr>
              <w:pStyle w:val="ARfintablebodybold"/>
            </w:pPr>
            <w:r w:rsidRPr="004C7670">
              <w:t>Total administered liabilities</w:t>
            </w:r>
          </w:p>
        </w:tc>
        <w:tc>
          <w:tcPr>
            <w:tcW w:w="1134" w:type="dxa"/>
            <w:shd w:val="clear" w:color="auto" w:fill="E7E6E6"/>
            <w:noWrap/>
            <w:hideMark/>
          </w:tcPr>
          <w:p w14:paraId="3DA48095" w14:textId="77777777" w:rsidR="005F4A7E" w:rsidRPr="002029AF" w:rsidRDefault="005F4A7E" w:rsidP="00130D1C">
            <w:pPr>
              <w:pStyle w:val="ARfintablebodyrightbold"/>
            </w:pPr>
            <w:r w:rsidRPr="004C7670">
              <w:t>717.3</w:t>
            </w:r>
          </w:p>
        </w:tc>
        <w:tc>
          <w:tcPr>
            <w:tcW w:w="1134" w:type="dxa"/>
            <w:noWrap/>
            <w:hideMark/>
          </w:tcPr>
          <w:p w14:paraId="6AE5B9F4" w14:textId="77777777" w:rsidR="005F4A7E" w:rsidRPr="002029AF" w:rsidRDefault="005F4A7E" w:rsidP="00130D1C">
            <w:pPr>
              <w:pStyle w:val="ARfintablebodyrightbold"/>
            </w:pPr>
            <w:r>
              <w:t>970.5</w:t>
            </w:r>
          </w:p>
        </w:tc>
      </w:tr>
      <w:tr w:rsidR="005F4A7E" w:rsidRPr="002029AF" w14:paraId="7CD2951B" w14:textId="77777777" w:rsidTr="00860E95">
        <w:tc>
          <w:tcPr>
            <w:tcW w:w="7369" w:type="dxa"/>
            <w:hideMark/>
          </w:tcPr>
          <w:p w14:paraId="65A46B3F" w14:textId="77777777" w:rsidR="005F4A7E" w:rsidRPr="002029AF" w:rsidRDefault="005F4A7E" w:rsidP="00130D1C">
            <w:pPr>
              <w:pStyle w:val="ARfintablebodybold"/>
            </w:pPr>
            <w:r w:rsidRPr="004C7670">
              <w:t>Total administered net assets</w:t>
            </w:r>
          </w:p>
        </w:tc>
        <w:tc>
          <w:tcPr>
            <w:tcW w:w="1134" w:type="dxa"/>
            <w:shd w:val="clear" w:color="auto" w:fill="E7E6E6"/>
            <w:noWrap/>
            <w:hideMark/>
          </w:tcPr>
          <w:p w14:paraId="6FB341A0" w14:textId="77777777" w:rsidR="005F4A7E" w:rsidRPr="002029AF" w:rsidRDefault="005F4A7E" w:rsidP="00130D1C">
            <w:pPr>
              <w:pStyle w:val="ARfintablebodyrightbold"/>
            </w:pPr>
            <w:r w:rsidRPr="004C7670">
              <w:t>–</w:t>
            </w:r>
          </w:p>
        </w:tc>
        <w:tc>
          <w:tcPr>
            <w:tcW w:w="1134" w:type="dxa"/>
            <w:noWrap/>
            <w:hideMark/>
          </w:tcPr>
          <w:p w14:paraId="4AE98CFD" w14:textId="77777777" w:rsidR="005F4A7E" w:rsidRPr="002029AF" w:rsidRDefault="005F4A7E" w:rsidP="00130D1C">
            <w:pPr>
              <w:pStyle w:val="ARfintablebodyrightbold"/>
            </w:pPr>
            <w:r w:rsidRPr="002029AF">
              <w:t>–</w:t>
            </w:r>
          </w:p>
        </w:tc>
      </w:tr>
    </w:tbl>
    <w:p w14:paraId="35AF2CC9" w14:textId="77777777" w:rsidR="005F4A7E" w:rsidRPr="002029AF" w:rsidRDefault="005F4A7E" w:rsidP="00087B91">
      <w:pPr>
        <w:pStyle w:val="Heading5"/>
      </w:pPr>
      <w:bookmarkStart w:id="867" w:name="_Toc85121420"/>
      <w:r>
        <w:rPr>
          <w:lang w:eastAsia="en-AU"/>
        </w:rPr>
        <w:t>4.2.3 Administered grants and other expense transfers</w:t>
      </w:r>
      <w:bookmarkEnd w:id="867"/>
    </w:p>
    <w:tbl>
      <w:tblPr>
        <w:tblStyle w:val="TableGrid"/>
        <w:tblW w:w="9637" w:type="dxa"/>
        <w:tblLayout w:type="fixed"/>
        <w:tblLook w:val="06A0" w:firstRow="1" w:lastRow="0" w:firstColumn="1" w:lastColumn="0" w:noHBand="1" w:noVBand="1"/>
      </w:tblPr>
      <w:tblGrid>
        <w:gridCol w:w="7369"/>
        <w:gridCol w:w="1134"/>
        <w:gridCol w:w="1134"/>
      </w:tblGrid>
      <w:tr w:rsidR="005F4A7E" w:rsidRPr="002029AF" w14:paraId="13D19D14"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hideMark/>
          </w:tcPr>
          <w:p w14:paraId="1C55FE27" w14:textId="77777777" w:rsidR="005F4A7E" w:rsidRPr="002029AF" w:rsidRDefault="005F4A7E" w:rsidP="00860E95">
            <w:pPr>
              <w:pStyle w:val="ARfintablecolhead"/>
            </w:pPr>
          </w:p>
        </w:tc>
        <w:tc>
          <w:tcPr>
            <w:tcW w:w="1134" w:type="dxa"/>
            <w:tcBorders>
              <w:bottom w:val="single" w:sz="4" w:space="0" w:color="auto"/>
            </w:tcBorders>
            <w:shd w:val="clear" w:color="auto" w:fill="E7E6E6"/>
            <w:hideMark/>
          </w:tcPr>
          <w:p w14:paraId="2A03DD8F" w14:textId="77777777" w:rsidR="005F4A7E" w:rsidRPr="002029AF" w:rsidRDefault="005F4A7E" w:rsidP="00860E95">
            <w:pPr>
              <w:pStyle w:val="ARfintablecolheadright"/>
            </w:pPr>
            <w:r>
              <w:t>2021</w:t>
            </w:r>
          </w:p>
          <w:p w14:paraId="7157840C" w14:textId="77777777" w:rsidR="005F4A7E" w:rsidRPr="002029AF" w:rsidRDefault="005F4A7E" w:rsidP="00860E95">
            <w:pPr>
              <w:pStyle w:val="ARfintablecolheadright"/>
            </w:pPr>
            <w:r w:rsidRPr="002029AF">
              <w:t>$M</w:t>
            </w:r>
          </w:p>
        </w:tc>
        <w:tc>
          <w:tcPr>
            <w:tcW w:w="1134" w:type="dxa"/>
            <w:tcBorders>
              <w:bottom w:val="single" w:sz="4" w:space="0" w:color="auto"/>
            </w:tcBorders>
            <w:hideMark/>
          </w:tcPr>
          <w:p w14:paraId="4571BD0A" w14:textId="77777777" w:rsidR="005F4A7E" w:rsidRPr="002029AF" w:rsidRDefault="005F4A7E" w:rsidP="00860E95">
            <w:pPr>
              <w:pStyle w:val="ARfintablecolheadright"/>
            </w:pPr>
            <w:r>
              <w:t>2020</w:t>
            </w:r>
          </w:p>
          <w:p w14:paraId="376E0C10" w14:textId="77777777" w:rsidR="005F4A7E" w:rsidRPr="002029AF" w:rsidRDefault="005F4A7E" w:rsidP="00860E95">
            <w:pPr>
              <w:pStyle w:val="ARfintablecolheadright"/>
            </w:pPr>
            <w:r w:rsidRPr="002029AF">
              <w:t>$M</w:t>
            </w:r>
          </w:p>
        </w:tc>
      </w:tr>
      <w:tr w:rsidR="005F4A7E" w:rsidRPr="002029AF" w14:paraId="3924E9EB" w14:textId="77777777" w:rsidTr="00860E95">
        <w:tc>
          <w:tcPr>
            <w:tcW w:w="9637" w:type="dxa"/>
            <w:gridSpan w:val="3"/>
            <w:tcBorders>
              <w:top w:val="single" w:sz="4" w:space="0" w:color="auto"/>
              <w:bottom w:val="single" w:sz="4" w:space="0" w:color="A6A6A6"/>
            </w:tcBorders>
            <w:hideMark/>
          </w:tcPr>
          <w:p w14:paraId="6B83C4E1" w14:textId="77777777" w:rsidR="005F4A7E" w:rsidRPr="002029AF" w:rsidRDefault="005F4A7E" w:rsidP="00130D1C">
            <w:pPr>
              <w:pStyle w:val="ARfintablebodybold"/>
            </w:pPr>
            <w:r w:rsidRPr="00E412CD">
              <w:t xml:space="preserve">Public health services, public and denominational hospitals </w:t>
            </w:r>
            <w:r w:rsidRPr="008964C9">
              <w:rPr>
                <w:rStyle w:val="Superscript"/>
              </w:rPr>
              <w:t>(i)</w:t>
            </w:r>
          </w:p>
        </w:tc>
      </w:tr>
      <w:tr w:rsidR="005F4A7E" w:rsidRPr="002029AF" w14:paraId="7E102E7C" w14:textId="77777777" w:rsidTr="00860E95">
        <w:tc>
          <w:tcPr>
            <w:tcW w:w="7369" w:type="dxa"/>
            <w:tcBorders>
              <w:top w:val="single" w:sz="4" w:space="0" w:color="A6A6A6"/>
              <w:bottom w:val="single" w:sz="4" w:space="0" w:color="A6A6A6"/>
            </w:tcBorders>
            <w:hideMark/>
          </w:tcPr>
          <w:p w14:paraId="582EB1B7" w14:textId="77777777" w:rsidR="005F4A7E" w:rsidRPr="002029AF" w:rsidRDefault="005F4A7E" w:rsidP="00130D1C">
            <w:pPr>
              <w:pStyle w:val="ARfintablebody"/>
            </w:pPr>
            <w:bookmarkStart w:id="868" w:name="_Hlk47956742"/>
            <w:r w:rsidRPr="00E412CD">
              <w:t>Monash Health</w:t>
            </w:r>
          </w:p>
        </w:tc>
        <w:tc>
          <w:tcPr>
            <w:tcW w:w="1134" w:type="dxa"/>
            <w:tcBorders>
              <w:top w:val="single" w:sz="4" w:space="0" w:color="A6A6A6"/>
              <w:bottom w:val="single" w:sz="4" w:space="0" w:color="A6A6A6"/>
            </w:tcBorders>
            <w:shd w:val="clear" w:color="auto" w:fill="E7E6E6"/>
            <w:noWrap/>
            <w:hideMark/>
          </w:tcPr>
          <w:p w14:paraId="12648F0D" w14:textId="77777777" w:rsidR="005F4A7E" w:rsidRPr="002029AF" w:rsidRDefault="005F4A7E" w:rsidP="00130D1C">
            <w:pPr>
              <w:pStyle w:val="ARfintablebodyright"/>
            </w:pPr>
            <w:r w:rsidRPr="00E412CD">
              <w:t>1,398.1</w:t>
            </w:r>
          </w:p>
        </w:tc>
        <w:tc>
          <w:tcPr>
            <w:tcW w:w="1134" w:type="dxa"/>
            <w:tcBorders>
              <w:top w:val="single" w:sz="4" w:space="0" w:color="A6A6A6"/>
              <w:bottom w:val="single" w:sz="4" w:space="0" w:color="A6A6A6"/>
            </w:tcBorders>
            <w:noWrap/>
            <w:hideMark/>
          </w:tcPr>
          <w:p w14:paraId="36D0A9D5" w14:textId="77777777" w:rsidR="005F4A7E" w:rsidRPr="002029AF" w:rsidRDefault="005F4A7E" w:rsidP="00130D1C">
            <w:pPr>
              <w:pStyle w:val="ARfintablebodyright"/>
            </w:pPr>
            <w:r w:rsidRPr="00E412CD">
              <w:t>1,377.8</w:t>
            </w:r>
          </w:p>
        </w:tc>
      </w:tr>
      <w:tr w:rsidR="005F4A7E" w:rsidRPr="002029AF" w14:paraId="1799AC58" w14:textId="77777777" w:rsidTr="00860E95">
        <w:tc>
          <w:tcPr>
            <w:tcW w:w="7369" w:type="dxa"/>
            <w:tcBorders>
              <w:top w:val="single" w:sz="4" w:space="0" w:color="A6A6A6"/>
              <w:bottom w:val="single" w:sz="4" w:space="0" w:color="A6A6A6"/>
            </w:tcBorders>
            <w:hideMark/>
          </w:tcPr>
          <w:p w14:paraId="4DD450A5" w14:textId="77777777" w:rsidR="005F4A7E" w:rsidRPr="002029AF" w:rsidRDefault="005F4A7E" w:rsidP="00130D1C">
            <w:pPr>
              <w:pStyle w:val="ARfintablebody"/>
            </w:pPr>
            <w:r w:rsidRPr="00E412CD">
              <w:t>Alfred Health</w:t>
            </w:r>
          </w:p>
        </w:tc>
        <w:tc>
          <w:tcPr>
            <w:tcW w:w="1134" w:type="dxa"/>
            <w:tcBorders>
              <w:top w:val="single" w:sz="4" w:space="0" w:color="A6A6A6"/>
              <w:bottom w:val="single" w:sz="4" w:space="0" w:color="A6A6A6"/>
            </w:tcBorders>
            <w:shd w:val="clear" w:color="auto" w:fill="E7E6E6"/>
            <w:noWrap/>
            <w:hideMark/>
          </w:tcPr>
          <w:p w14:paraId="65269EAF" w14:textId="77777777" w:rsidR="005F4A7E" w:rsidRPr="002029AF" w:rsidRDefault="005F4A7E" w:rsidP="00130D1C">
            <w:pPr>
              <w:pStyle w:val="ARfintablebodyright"/>
            </w:pPr>
            <w:r w:rsidRPr="00E412CD">
              <w:t>723.7</w:t>
            </w:r>
          </w:p>
        </w:tc>
        <w:tc>
          <w:tcPr>
            <w:tcW w:w="1134" w:type="dxa"/>
            <w:tcBorders>
              <w:top w:val="single" w:sz="4" w:space="0" w:color="A6A6A6"/>
              <w:bottom w:val="single" w:sz="4" w:space="0" w:color="A6A6A6"/>
            </w:tcBorders>
            <w:noWrap/>
            <w:hideMark/>
          </w:tcPr>
          <w:p w14:paraId="15A28A20" w14:textId="77777777" w:rsidR="005F4A7E" w:rsidRPr="002029AF" w:rsidRDefault="005F4A7E" w:rsidP="00130D1C">
            <w:pPr>
              <w:pStyle w:val="ARfintablebodyright"/>
            </w:pPr>
            <w:r w:rsidRPr="00E412CD">
              <w:t>814.1</w:t>
            </w:r>
          </w:p>
        </w:tc>
      </w:tr>
      <w:tr w:rsidR="005F4A7E" w:rsidRPr="002029AF" w14:paraId="37135C25" w14:textId="77777777" w:rsidTr="00860E95">
        <w:tc>
          <w:tcPr>
            <w:tcW w:w="7369" w:type="dxa"/>
            <w:tcBorders>
              <w:top w:val="single" w:sz="4" w:space="0" w:color="A6A6A6"/>
              <w:bottom w:val="single" w:sz="4" w:space="0" w:color="A6A6A6"/>
            </w:tcBorders>
            <w:hideMark/>
          </w:tcPr>
          <w:p w14:paraId="7D7560B7" w14:textId="77777777" w:rsidR="005F4A7E" w:rsidRPr="002029AF" w:rsidRDefault="005F4A7E" w:rsidP="00130D1C">
            <w:pPr>
              <w:pStyle w:val="ARfintablebody"/>
            </w:pPr>
            <w:r w:rsidRPr="00E412CD">
              <w:t>Eastern Health</w:t>
            </w:r>
          </w:p>
        </w:tc>
        <w:tc>
          <w:tcPr>
            <w:tcW w:w="1134" w:type="dxa"/>
            <w:tcBorders>
              <w:top w:val="single" w:sz="4" w:space="0" w:color="A6A6A6"/>
              <w:bottom w:val="single" w:sz="4" w:space="0" w:color="A6A6A6"/>
            </w:tcBorders>
            <w:shd w:val="clear" w:color="auto" w:fill="E7E6E6"/>
            <w:noWrap/>
            <w:hideMark/>
          </w:tcPr>
          <w:p w14:paraId="1B0C47E4" w14:textId="77777777" w:rsidR="005F4A7E" w:rsidRPr="002029AF" w:rsidRDefault="005F4A7E" w:rsidP="00130D1C">
            <w:pPr>
              <w:pStyle w:val="ARfintablebodyright"/>
            </w:pPr>
            <w:r w:rsidRPr="00E412CD">
              <w:t>780.3</w:t>
            </w:r>
          </w:p>
        </w:tc>
        <w:tc>
          <w:tcPr>
            <w:tcW w:w="1134" w:type="dxa"/>
            <w:tcBorders>
              <w:top w:val="single" w:sz="4" w:space="0" w:color="A6A6A6"/>
              <w:bottom w:val="single" w:sz="4" w:space="0" w:color="A6A6A6"/>
            </w:tcBorders>
            <w:noWrap/>
            <w:hideMark/>
          </w:tcPr>
          <w:p w14:paraId="412EAF99" w14:textId="77777777" w:rsidR="005F4A7E" w:rsidRPr="002029AF" w:rsidRDefault="005F4A7E" w:rsidP="00130D1C">
            <w:pPr>
              <w:pStyle w:val="ARfintablebodyright"/>
            </w:pPr>
            <w:r w:rsidRPr="00E412CD">
              <w:t>798.8</w:t>
            </w:r>
          </w:p>
        </w:tc>
      </w:tr>
      <w:tr w:rsidR="005F4A7E" w:rsidRPr="002029AF" w14:paraId="1C75EE5C" w14:textId="77777777" w:rsidTr="00860E95">
        <w:tc>
          <w:tcPr>
            <w:tcW w:w="7369" w:type="dxa"/>
            <w:tcBorders>
              <w:top w:val="single" w:sz="4" w:space="0" w:color="A6A6A6"/>
              <w:bottom w:val="single" w:sz="4" w:space="0" w:color="A6A6A6"/>
            </w:tcBorders>
            <w:hideMark/>
          </w:tcPr>
          <w:p w14:paraId="7CC2CFEE" w14:textId="77777777" w:rsidR="005F4A7E" w:rsidRPr="002029AF" w:rsidRDefault="005F4A7E" w:rsidP="00130D1C">
            <w:pPr>
              <w:pStyle w:val="ARfintablebody"/>
            </w:pPr>
            <w:r w:rsidRPr="00E412CD">
              <w:t>Melbourne Health</w:t>
            </w:r>
          </w:p>
        </w:tc>
        <w:tc>
          <w:tcPr>
            <w:tcW w:w="1134" w:type="dxa"/>
            <w:tcBorders>
              <w:top w:val="single" w:sz="4" w:space="0" w:color="A6A6A6"/>
              <w:bottom w:val="single" w:sz="4" w:space="0" w:color="A6A6A6"/>
            </w:tcBorders>
            <w:shd w:val="clear" w:color="auto" w:fill="E7E6E6"/>
            <w:noWrap/>
            <w:hideMark/>
          </w:tcPr>
          <w:p w14:paraId="58AFCB28" w14:textId="77777777" w:rsidR="005F4A7E" w:rsidRPr="002029AF" w:rsidRDefault="005F4A7E" w:rsidP="00130D1C">
            <w:pPr>
              <w:pStyle w:val="ARfintablebodyright"/>
            </w:pPr>
            <w:r w:rsidRPr="00E412CD">
              <w:t>715.4</w:t>
            </w:r>
          </w:p>
        </w:tc>
        <w:tc>
          <w:tcPr>
            <w:tcW w:w="1134" w:type="dxa"/>
            <w:tcBorders>
              <w:top w:val="single" w:sz="4" w:space="0" w:color="A6A6A6"/>
              <w:bottom w:val="single" w:sz="4" w:space="0" w:color="A6A6A6"/>
            </w:tcBorders>
            <w:noWrap/>
            <w:hideMark/>
          </w:tcPr>
          <w:p w14:paraId="6B11945F" w14:textId="77777777" w:rsidR="005F4A7E" w:rsidRPr="002029AF" w:rsidRDefault="005F4A7E" w:rsidP="00130D1C">
            <w:pPr>
              <w:pStyle w:val="ARfintablebodyright"/>
            </w:pPr>
            <w:r w:rsidRPr="00E412CD">
              <w:t>742.4</w:t>
            </w:r>
          </w:p>
        </w:tc>
      </w:tr>
      <w:tr w:rsidR="005F4A7E" w:rsidRPr="002029AF" w14:paraId="2004C7D8" w14:textId="77777777" w:rsidTr="00860E95">
        <w:tc>
          <w:tcPr>
            <w:tcW w:w="7369" w:type="dxa"/>
            <w:tcBorders>
              <w:top w:val="single" w:sz="4" w:space="0" w:color="A6A6A6"/>
              <w:bottom w:val="single" w:sz="4" w:space="0" w:color="A6A6A6"/>
            </w:tcBorders>
            <w:hideMark/>
          </w:tcPr>
          <w:p w14:paraId="7345FDFC" w14:textId="77777777" w:rsidR="005F4A7E" w:rsidRPr="002029AF" w:rsidRDefault="005F4A7E" w:rsidP="00130D1C">
            <w:pPr>
              <w:pStyle w:val="ARfintablebody"/>
            </w:pPr>
            <w:r w:rsidRPr="00E412CD">
              <w:t>Austin Health</w:t>
            </w:r>
          </w:p>
        </w:tc>
        <w:tc>
          <w:tcPr>
            <w:tcW w:w="1134" w:type="dxa"/>
            <w:tcBorders>
              <w:top w:val="single" w:sz="4" w:space="0" w:color="A6A6A6"/>
              <w:bottom w:val="single" w:sz="4" w:space="0" w:color="A6A6A6"/>
            </w:tcBorders>
            <w:shd w:val="clear" w:color="auto" w:fill="E7E6E6"/>
            <w:noWrap/>
            <w:hideMark/>
          </w:tcPr>
          <w:p w14:paraId="5F2DA016" w14:textId="77777777" w:rsidR="005F4A7E" w:rsidRPr="002029AF" w:rsidRDefault="005F4A7E" w:rsidP="00130D1C">
            <w:pPr>
              <w:pStyle w:val="ARfintablebodyright"/>
            </w:pPr>
            <w:r w:rsidRPr="00E412CD">
              <w:t>647.7</w:t>
            </w:r>
          </w:p>
        </w:tc>
        <w:tc>
          <w:tcPr>
            <w:tcW w:w="1134" w:type="dxa"/>
            <w:tcBorders>
              <w:top w:val="single" w:sz="4" w:space="0" w:color="A6A6A6"/>
              <w:bottom w:val="single" w:sz="4" w:space="0" w:color="A6A6A6"/>
            </w:tcBorders>
            <w:noWrap/>
            <w:hideMark/>
          </w:tcPr>
          <w:p w14:paraId="7463496D" w14:textId="77777777" w:rsidR="005F4A7E" w:rsidRPr="002029AF" w:rsidRDefault="005F4A7E" w:rsidP="00130D1C">
            <w:pPr>
              <w:pStyle w:val="ARfintablebodyright"/>
            </w:pPr>
            <w:r w:rsidRPr="00E412CD">
              <w:t>674.8</w:t>
            </w:r>
          </w:p>
        </w:tc>
      </w:tr>
      <w:tr w:rsidR="005F4A7E" w:rsidRPr="002029AF" w14:paraId="2A1CF2DB" w14:textId="77777777" w:rsidTr="00860E95">
        <w:tc>
          <w:tcPr>
            <w:tcW w:w="7369" w:type="dxa"/>
            <w:tcBorders>
              <w:top w:val="single" w:sz="4" w:space="0" w:color="A6A6A6"/>
              <w:bottom w:val="single" w:sz="4" w:space="0" w:color="A6A6A6"/>
            </w:tcBorders>
            <w:hideMark/>
          </w:tcPr>
          <w:p w14:paraId="72737D03" w14:textId="77777777" w:rsidR="005F4A7E" w:rsidRPr="002029AF" w:rsidRDefault="005F4A7E" w:rsidP="00130D1C">
            <w:pPr>
              <w:pStyle w:val="ARfintablebody"/>
            </w:pPr>
            <w:bookmarkStart w:id="869" w:name="_Hlk47956782"/>
            <w:bookmarkEnd w:id="868"/>
            <w:r w:rsidRPr="00E412CD">
              <w:t>Western Health</w:t>
            </w:r>
          </w:p>
        </w:tc>
        <w:tc>
          <w:tcPr>
            <w:tcW w:w="1134" w:type="dxa"/>
            <w:tcBorders>
              <w:top w:val="single" w:sz="4" w:space="0" w:color="A6A6A6"/>
              <w:bottom w:val="single" w:sz="4" w:space="0" w:color="A6A6A6"/>
            </w:tcBorders>
            <w:shd w:val="clear" w:color="auto" w:fill="E7E6E6"/>
            <w:noWrap/>
            <w:hideMark/>
          </w:tcPr>
          <w:p w14:paraId="538FCA3C" w14:textId="77777777" w:rsidR="005F4A7E" w:rsidRPr="002029AF" w:rsidRDefault="005F4A7E" w:rsidP="00130D1C">
            <w:pPr>
              <w:pStyle w:val="ARfintablebodyright"/>
            </w:pPr>
            <w:r w:rsidRPr="00E412CD">
              <w:t>661.5</w:t>
            </w:r>
          </w:p>
        </w:tc>
        <w:tc>
          <w:tcPr>
            <w:tcW w:w="1134" w:type="dxa"/>
            <w:tcBorders>
              <w:top w:val="single" w:sz="4" w:space="0" w:color="A6A6A6"/>
              <w:bottom w:val="single" w:sz="4" w:space="0" w:color="A6A6A6"/>
            </w:tcBorders>
            <w:noWrap/>
            <w:hideMark/>
          </w:tcPr>
          <w:p w14:paraId="4E4E3A3C" w14:textId="77777777" w:rsidR="005F4A7E" w:rsidRPr="002029AF" w:rsidRDefault="005F4A7E" w:rsidP="00130D1C">
            <w:pPr>
              <w:pStyle w:val="ARfintablebodyright"/>
            </w:pPr>
            <w:r w:rsidRPr="00E412CD">
              <w:t>649.4</w:t>
            </w:r>
          </w:p>
        </w:tc>
      </w:tr>
      <w:tr w:rsidR="005F4A7E" w:rsidRPr="002029AF" w14:paraId="21171C29" w14:textId="77777777" w:rsidTr="00860E95">
        <w:tc>
          <w:tcPr>
            <w:tcW w:w="7369" w:type="dxa"/>
            <w:tcBorders>
              <w:top w:val="single" w:sz="4" w:space="0" w:color="A6A6A6"/>
              <w:bottom w:val="single" w:sz="4" w:space="0" w:color="A6A6A6"/>
            </w:tcBorders>
            <w:hideMark/>
          </w:tcPr>
          <w:p w14:paraId="339D73FB" w14:textId="77777777" w:rsidR="005F4A7E" w:rsidRPr="002029AF" w:rsidRDefault="005F4A7E" w:rsidP="00130D1C">
            <w:pPr>
              <w:pStyle w:val="ARfintablebody"/>
            </w:pPr>
            <w:r w:rsidRPr="00E412CD">
              <w:t>Northern Health</w:t>
            </w:r>
          </w:p>
        </w:tc>
        <w:tc>
          <w:tcPr>
            <w:tcW w:w="1134" w:type="dxa"/>
            <w:tcBorders>
              <w:top w:val="single" w:sz="4" w:space="0" w:color="A6A6A6"/>
              <w:bottom w:val="single" w:sz="4" w:space="0" w:color="A6A6A6"/>
            </w:tcBorders>
            <w:shd w:val="clear" w:color="auto" w:fill="E7E6E6"/>
            <w:noWrap/>
            <w:hideMark/>
          </w:tcPr>
          <w:p w14:paraId="3A773568" w14:textId="77777777" w:rsidR="005F4A7E" w:rsidRPr="002029AF" w:rsidRDefault="005F4A7E" w:rsidP="00130D1C">
            <w:pPr>
              <w:pStyle w:val="ARfintablebodyright"/>
            </w:pPr>
            <w:r w:rsidRPr="00E412CD">
              <w:t>487.4</w:t>
            </w:r>
          </w:p>
        </w:tc>
        <w:tc>
          <w:tcPr>
            <w:tcW w:w="1134" w:type="dxa"/>
            <w:tcBorders>
              <w:top w:val="single" w:sz="4" w:space="0" w:color="A6A6A6"/>
              <w:bottom w:val="single" w:sz="4" w:space="0" w:color="A6A6A6"/>
            </w:tcBorders>
            <w:noWrap/>
            <w:hideMark/>
          </w:tcPr>
          <w:p w14:paraId="0A48ACBA" w14:textId="77777777" w:rsidR="005F4A7E" w:rsidRPr="002029AF" w:rsidRDefault="005F4A7E" w:rsidP="00130D1C">
            <w:pPr>
              <w:pStyle w:val="ARfintablebodyright"/>
            </w:pPr>
            <w:r w:rsidRPr="00E412CD">
              <w:t>521.3</w:t>
            </w:r>
          </w:p>
        </w:tc>
      </w:tr>
      <w:tr w:rsidR="005F4A7E" w:rsidRPr="002029AF" w14:paraId="7AA8A511" w14:textId="77777777" w:rsidTr="00860E95">
        <w:tc>
          <w:tcPr>
            <w:tcW w:w="7369" w:type="dxa"/>
            <w:tcBorders>
              <w:top w:val="single" w:sz="4" w:space="0" w:color="A6A6A6"/>
              <w:bottom w:val="single" w:sz="4" w:space="0" w:color="A6A6A6"/>
            </w:tcBorders>
            <w:hideMark/>
          </w:tcPr>
          <w:p w14:paraId="0EA01A67" w14:textId="35228B35" w:rsidR="005F4A7E" w:rsidRPr="002029AF" w:rsidRDefault="005F4A7E" w:rsidP="00130D1C">
            <w:pPr>
              <w:pStyle w:val="ARfintablebody"/>
            </w:pPr>
            <w:r w:rsidRPr="00E412CD">
              <w:t>St Vincent</w:t>
            </w:r>
            <w:r w:rsidR="007D145B">
              <w:t>’</w:t>
            </w:r>
            <w:r w:rsidRPr="00E412CD">
              <w:t>s Hospital (Melbourne) Limited</w:t>
            </w:r>
          </w:p>
        </w:tc>
        <w:tc>
          <w:tcPr>
            <w:tcW w:w="1134" w:type="dxa"/>
            <w:tcBorders>
              <w:top w:val="single" w:sz="4" w:space="0" w:color="A6A6A6"/>
              <w:bottom w:val="single" w:sz="4" w:space="0" w:color="A6A6A6"/>
            </w:tcBorders>
            <w:shd w:val="clear" w:color="auto" w:fill="E7E6E6"/>
            <w:noWrap/>
            <w:hideMark/>
          </w:tcPr>
          <w:p w14:paraId="2F219C2A" w14:textId="77777777" w:rsidR="005F4A7E" w:rsidRPr="002029AF" w:rsidRDefault="005F4A7E" w:rsidP="00130D1C">
            <w:pPr>
              <w:pStyle w:val="ARfintablebodyright"/>
            </w:pPr>
            <w:r w:rsidRPr="00E412CD">
              <w:t>458.4</w:t>
            </w:r>
          </w:p>
        </w:tc>
        <w:tc>
          <w:tcPr>
            <w:tcW w:w="1134" w:type="dxa"/>
            <w:tcBorders>
              <w:top w:val="single" w:sz="4" w:space="0" w:color="A6A6A6"/>
              <w:bottom w:val="single" w:sz="4" w:space="0" w:color="A6A6A6"/>
            </w:tcBorders>
            <w:noWrap/>
            <w:hideMark/>
          </w:tcPr>
          <w:p w14:paraId="3770BA52" w14:textId="77777777" w:rsidR="005F4A7E" w:rsidRPr="002029AF" w:rsidRDefault="005F4A7E" w:rsidP="00130D1C">
            <w:pPr>
              <w:pStyle w:val="ARfintablebodyright"/>
            </w:pPr>
            <w:r w:rsidRPr="00E412CD">
              <w:t>470.3</w:t>
            </w:r>
          </w:p>
        </w:tc>
      </w:tr>
      <w:tr w:rsidR="005F4A7E" w:rsidRPr="002029AF" w14:paraId="7730DB7B" w14:textId="77777777" w:rsidTr="00860E95">
        <w:tc>
          <w:tcPr>
            <w:tcW w:w="7369" w:type="dxa"/>
            <w:tcBorders>
              <w:top w:val="single" w:sz="4" w:space="0" w:color="A6A6A6"/>
              <w:bottom w:val="single" w:sz="4" w:space="0" w:color="A6A6A6"/>
            </w:tcBorders>
            <w:hideMark/>
          </w:tcPr>
          <w:p w14:paraId="32D16FBE" w14:textId="77777777" w:rsidR="005F4A7E" w:rsidRPr="002029AF" w:rsidRDefault="005F4A7E" w:rsidP="00130D1C">
            <w:pPr>
              <w:pStyle w:val="ARfintablebody"/>
            </w:pPr>
            <w:r w:rsidRPr="00E412CD">
              <w:t>Peninsula Health</w:t>
            </w:r>
          </w:p>
        </w:tc>
        <w:tc>
          <w:tcPr>
            <w:tcW w:w="1134" w:type="dxa"/>
            <w:tcBorders>
              <w:top w:val="single" w:sz="4" w:space="0" w:color="A6A6A6"/>
              <w:bottom w:val="single" w:sz="4" w:space="0" w:color="A6A6A6"/>
            </w:tcBorders>
            <w:shd w:val="clear" w:color="auto" w:fill="E7E6E6"/>
            <w:noWrap/>
            <w:hideMark/>
          </w:tcPr>
          <w:p w14:paraId="27B89B86" w14:textId="77777777" w:rsidR="005F4A7E" w:rsidRPr="002029AF" w:rsidRDefault="005F4A7E" w:rsidP="00130D1C">
            <w:pPr>
              <w:pStyle w:val="ARfintablebodyright"/>
            </w:pPr>
            <w:r w:rsidRPr="00E412CD">
              <w:t>472.1</w:t>
            </w:r>
          </w:p>
        </w:tc>
        <w:tc>
          <w:tcPr>
            <w:tcW w:w="1134" w:type="dxa"/>
            <w:tcBorders>
              <w:top w:val="single" w:sz="4" w:space="0" w:color="A6A6A6"/>
              <w:bottom w:val="single" w:sz="4" w:space="0" w:color="A6A6A6"/>
            </w:tcBorders>
            <w:noWrap/>
            <w:hideMark/>
          </w:tcPr>
          <w:p w14:paraId="703332CD" w14:textId="77777777" w:rsidR="005F4A7E" w:rsidRPr="002029AF" w:rsidRDefault="005F4A7E" w:rsidP="00130D1C">
            <w:pPr>
              <w:pStyle w:val="ARfintablebodyright"/>
            </w:pPr>
            <w:r w:rsidRPr="00E412CD">
              <w:t>466.2</w:t>
            </w:r>
          </w:p>
        </w:tc>
      </w:tr>
      <w:tr w:rsidR="005F4A7E" w:rsidRPr="002029AF" w14:paraId="73D2EF9A" w14:textId="77777777" w:rsidTr="00860E95">
        <w:tc>
          <w:tcPr>
            <w:tcW w:w="7369" w:type="dxa"/>
            <w:tcBorders>
              <w:top w:val="single" w:sz="4" w:space="0" w:color="A6A6A6"/>
              <w:bottom w:val="single" w:sz="4" w:space="0" w:color="A6A6A6"/>
            </w:tcBorders>
            <w:hideMark/>
          </w:tcPr>
          <w:p w14:paraId="2860E503" w14:textId="77777777" w:rsidR="005F4A7E" w:rsidRPr="002029AF" w:rsidRDefault="005F4A7E" w:rsidP="00130D1C">
            <w:pPr>
              <w:pStyle w:val="ARfintablebody"/>
            </w:pPr>
            <w:r w:rsidRPr="00E412CD">
              <w:t>Barwon Health</w:t>
            </w:r>
          </w:p>
        </w:tc>
        <w:tc>
          <w:tcPr>
            <w:tcW w:w="1134" w:type="dxa"/>
            <w:tcBorders>
              <w:top w:val="single" w:sz="4" w:space="0" w:color="A6A6A6"/>
              <w:bottom w:val="single" w:sz="4" w:space="0" w:color="A6A6A6"/>
            </w:tcBorders>
            <w:shd w:val="clear" w:color="auto" w:fill="E7E6E6"/>
            <w:noWrap/>
            <w:hideMark/>
          </w:tcPr>
          <w:p w14:paraId="283E6A26" w14:textId="77777777" w:rsidR="005F4A7E" w:rsidRPr="002029AF" w:rsidRDefault="005F4A7E" w:rsidP="00130D1C">
            <w:pPr>
              <w:pStyle w:val="ARfintablebodyright"/>
            </w:pPr>
            <w:r w:rsidRPr="00E412CD">
              <w:t>467.9</w:t>
            </w:r>
          </w:p>
        </w:tc>
        <w:tc>
          <w:tcPr>
            <w:tcW w:w="1134" w:type="dxa"/>
            <w:tcBorders>
              <w:top w:val="single" w:sz="4" w:space="0" w:color="A6A6A6"/>
              <w:bottom w:val="single" w:sz="4" w:space="0" w:color="A6A6A6"/>
            </w:tcBorders>
            <w:noWrap/>
            <w:hideMark/>
          </w:tcPr>
          <w:p w14:paraId="7D7B0745" w14:textId="77777777" w:rsidR="005F4A7E" w:rsidRPr="002029AF" w:rsidRDefault="005F4A7E" w:rsidP="00130D1C">
            <w:pPr>
              <w:pStyle w:val="ARfintablebodyright"/>
            </w:pPr>
            <w:r w:rsidRPr="00E412CD">
              <w:t>470.6</w:t>
            </w:r>
          </w:p>
        </w:tc>
      </w:tr>
      <w:tr w:rsidR="005F4A7E" w:rsidRPr="002029AF" w14:paraId="791425AC" w14:textId="77777777" w:rsidTr="00860E95">
        <w:tc>
          <w:tcPr>
            <w:tcW w:w="7369" w:type="dxa"/>
            <w:tcBorders>
              <w:top w:val="single" w:sz="4" w:space="0" w:color="A6A6A6"/>
              <w:bottom w:val="single" w:sz="4" w:space="0" w:color="A6A6A6"/>
            </w:tcBorders>
            <w:hideMark/>
          </w:tcPr>
          <w:p w14:paraId="7E3EEBCA" w14:textId="7627E4C2" w:rsidR="005F4A7E" w:rsidRPr="002029AF" w:rsidRDefault="005F4A7E" w:rsidP="00130D1C">
            <w:pPr>
              <w:pStyle w:val="ARfintablebody"/>
            </w:pPr>
            <w:r w:rsidRPr="00E412CD">
              <w:t>The Royal Children</w:t>
            </w:r>
            <w:r w:rsidR="007D145B">
              <w:t>’</w:t>
            </w:r>
            <w:r w:rsidRPr="00E412CD">
              <w:t>s Hospital</w:t>
            </w:r>
          </w:p>
        </w:tc>
        <w:tc>
          <w:tcPr>
            <w:tcW w:w="1134" w:type="dxa"/>
            <w:tcBorders>
              <w:top w:val="single" w:sz="4" w:space="0" w:color="A6A6A6"/>
              <w:bottom w:val="single" w:sz="4" w:space="0" w:color="A6A6A6"/>
            </w:tcBorders>
            <w:shd w:val="clear" w:color="auto" w:fill="E7E6E6"/>
            <w:noWrap/>
            <w:hideMark/>
          </w:tcPr>
          <w:p w14:paraId="4EE8A688" w14:textId="77777777" w:rsidR="005F4A7E" w:rsidRPr="002029AF" w:rsidRDefault="005F4A7E" w:rsidP="00130D1C">
            <w:pPr>
              <w:pStyle w:val="ARfintablebodyright"/>
            </w:pPr>
            <w:r w:rsidRPr="00E412CD">
              <w:t>458.2</w:t>
            </w:r>
          </w:p>
        </w:tc>
        <w:tc>
          <w:tcPr>
            <w:tcW w:w="1134" w:type="dxa"/>
            <w:tcBorders>
              <w:top w:val="single" w:sz="4" w:space="0" w:color="A6A6A6"/>
              <w:bottom w:val="single" w:sz="4" w:space="0" w:color="A6A6A6"/>
            </w:tcBorders>
            <w:noWrap/>
            <w:hideMark/>
          </w:tcPr>
          <w:p w14:paraId="4E499CE0" w14:textId="77777777" w:rsidR="005F4A7E" w:rsidRPr="002029AF" w:rsidRDefault="005F4A7E" w:rsidP="00130D1C">
            <w:pPr>
              <w:pStyle w:val="ARfintablebodyright"/>
            </w:pPr>
            <w:r w:rsidRPr="00E412CD">
              <w:t>460.4</w:t>
            </w:r>
          </w:p>
        </w:tc>
      </w:tr>
      <w:tr w:rsidR="005F4A7E" w:rsidRPr="002029AF" w14:paraId="26FB2BB5" w14:textId="77777777" w:rsidTr="00860E95">
        <w:tc>
          <w:tcPr>
            <w:tcW w:w="7369" w:type="dxa"/>
            <w:tcBorders>
              <w:top w:val="single" w:sz="4" w:space="0" w:color="A6A6A6"/>
              <w:bottom w:val="single" w:sz="4" w:space="0" w:color="A6A6A6"/>
            </w:tcBorders>
            <w:hideMark/>
          </w:tcPr>
          <w:p w14:paraId="14F631B2" w14:textId="77777777" w:rsidR="005F4A7E" w:rsidRPr="002029AF" w:rsidRDefault="005F4A7E" w:rsidP="00130D1C">
            <w:pPr>
              <w:pStyle w:val="ARfintablebody"/>
            </w:pPr>
            <w:r w:rsidRPr="00E412CD">
              <w:t>Mercy Hospitals Victoria Limited</w:t>
            </w:r>
          </w:p>
        </w:tc>
        <w:tc>
          <w:tcPr>
            <w:tcW w:w="1134" w:type="dxa"/>
            <w:tcBorders>
              <w:top w:val="single" w:sz="4" w:space="0" w:color="A6A6A6"/>
              <w:bottom w:val="single" w:sz="4" w:space="0" w:color="A6A6A6"/>
            </w:tcBorders>
            <w:shd w:val="clear" w:color="auto" w:fill="E7E6E6"/>
            <w:noWrap/>
            <w:hideMark/>
          </w:tcPr>
          <w:p w14:paraId="43DD3708" w14:textId="77777777" w:rsidR="005F4A7E" w:rsidRPr="002029AF" w:rsidRDefault="005F4A7E" w:rsidP="00130D1C">
            <w:pPr>
              <w:pStyle w:val="ARfintablebodyright"/>
            </w:pPr>
            <w:r w:rsidRPr="00E412CD">
              <w:t>353.3</w:t>
            </w:r>
          </w:p>
        </w:tc>
        <w:tc>
          <w:tcPr>
            <w:tcW w:w="1134" w:type="dxa"/>
            <w:tcBorders>
              <w:top w:val="single" w:sz="4" w:space="0" w:color="A6A6A6"/>
              <w:bottom w:val="single" w:sz="4" w:space="0" w:color="A6A6A6"/>
            </w:tcBorders>
            <w:noWrap/>
            <w:hideMark/>
          </w:tcPr>
          <w:p w14:paraId="1894FEAF" w14:textId="77777777" w:rsidR="005F4A7E" w:rsidRPr="002029AF" w:rsidRDefault="005F4A7E" w:rsidP="00130D1C">
            <w:pPr>
              <w:pStyle w:val="ARfintablebodyright"/>
            </w:pPr>
            <w:r w:rsidRPr="00E412CD">
              <w:t>355.1</w:t>
            </w:r>
          </w:p>
        </w:tc>
      </w:tr>
      <w:tr w:rsidR="005F4A7E" w:rsidRPr="002029AF" w14:paraId="1B80C527" w14:textId="77777777" w:rsidTr="00860E95">
        <w:tc>
          <w:tcPr>
            <w:tcW w:w="7369" w:type="dxa"/>
            <w:tcBorders>
              <w:top w:val="single" w:sz="4" w:space="0" w:color="A6A6A6"/>
              <w:bottom w:val="single" w:sz="4" w:space="0" w:color="A6A6A6"/>
            </w:tcBorders>
            <w:hideMark/>
          </w:tcPr>
          <w:p w14:paraId="0CC89812" w14:textId="77777777" w:rsidR="005F4A7E" w:rsidRPr="002029AF" w:rsidRDefault="005F4A7E" w:rsidP="00130D1C">
            <w:pPr>
              <w:pStyle w:val="ARfintablebody"/>
            </w:pPr>
            <w:r w:rsidRPr="00E412CD">
              <w:t>Bendigo Health</w:t>
            </w:r>
          </w:p>
        </w:tc>
        <w:tc>
          <w:tcPr>
            <w:tcW w:w="1134" w:type="dxa"/>
            <w:tcBorders>
              <w:top w:val="single" w:sz="4" w:space="0" w:color="A6A6A6"/>
              <w:bottom w:val="single" w:sz="4" w:space="0" w:color="A6A6A6"/>
            </w:tcBorders>
            <w:shd w:val="clear" w:color="auto" w:fill="E7E6E6"/>
            <w:noWrap/>
            <w:hideMark/>
          </w:tcPr>
          <w:p w14:paraId="067EB1CD" w14:textId="77777777" w:rsidR="005F4A7E" w:rsidRPr="002029AF" w:rsidRDefault="005F4A7E" w:rsidP="00130D1C">
            <w:pPr>
              <w:pStyle w:val="ARfintablebodyright"/>
            </w:pPr>
            <w:r w:rsidRPr="00E412CD">
              <w:t>297.8</w:t>
            </w:r>
          </w:p>
        </w:tc>
        <w:tc>
          <w:tcPr>
            <w:tcW w:w="1134" w:type="dxa"/>
            <w:tcBorders>
              <w:top w:val="single" w:sz="4" w:space="0" w:color="A6A6A6"/>
              <w:bottom w:val="single" w:sz="4" w:space="0" w:color="A6A6A6"/>
            </w:tcBorders>
            <w:noWrap/>
            <w:hideMark/>
          </w:tcPr>
          <w:p w14:paraId="4577AEFC" w14:textId="77777777" w:rsidR="005F4A7E" w:rsidRPr="002029AF" w:rsidRDefault="005F4A7E" w:rsidP="00130D1C">
            <w:pPr>
              <w:pStyle w:val="ARfintablebodyright"/>
            </w:pPr>
            <w:r w:rsidRPr="00E412CD">
              <w:t>293.3</w:t>
            </w:r>
          </w:p>
        </w:tc>
      </w:tr>
      <w:tr w:rsidR="005F4A7E" w:rsidRPr="002029AF" w14:paraId="640DDF69" w14:textId="77777777" w:rsidTr="00860E95">
        <w:tc>
          <w:tcPr>
            <w:tcW w:w="7369" w:type="dxa"/>
            <w:tcBorders>
              <w:top w:val="single" w:sz="4" w:space="0" w:color="A6A6A6"/>
              <w:bottom w:val="single" w:sz="4" w:space="0" w:color="A6A6A6"/>
            </w:tcBorders>
            <w:hideMark/>
          </w:tcPr>
          <w:p w14:paraId="36182736" w14:textId="77777777" w:rsidR="005F4A7E" w:rsidRPr="002029AF" w:rsidRDefault="005F4A7E" w:rsidP="00130D1C">
            <w:pPr>
              <w:pStyle w:val="ARfintablebody"/>
            </w:pPr>
            <w:r w:rsidRPr="00E412CD">
              <w:t>Ballarat Health Services</w:t>
            </w:r>
          </w:p>
        </w:tc>
        <w:tc>
          <w:tcPr>
            <w:tcW w:w="1134" w:type="dxa"/>
            <w:tcBorders>
              <w:top w:val="single" w:sz="4" w:space="0" w:color="A6A6A6"/>
              <w:bottom w:val="single" w:sz="4" w:space="0" w:color="A6A6A6"/>
            </w:tcBorders>
            <w:shd w:val="clear" w:color="auto" w:fill="E7E6E6"/>
            <w:noWrap/>
            <w:hideMark/>
          </w:tcPr>
          <w:p w14:paraId="57A50561" w14:textId="77777777" w:rsidR="005F4A7E" w:rsidRPr="002029AF" w:rsidRDefault="005F4A7E" w:rsidP="00130D1C">
            <w:pPr>
              <w:pStyle w:val="ARfintablebodyright"/>
            </w:pPr>
            <w:r w:rsidRPr="00E412CD">
              <w:t>268.6</w:t>
            </w:r>
          </w:p>
        </w:tc>
        <w:tc>
          <w:tcPr>
            <w:tcW w:w="1134" w:type="dxa"/>
            <w:tcBorders>
              <w:top w:val="single" w:sz="4" w:space="0" w:color="A6A6A6"/>
              <w:bottom w:val="single" w:sz="4" w:space="0" w:color="A6A6A6"/>
            </w:tcBorders>
            <w:noWrap/>
            <w:hideMark/>
          </w:tcPr>
          <w:p w14:paraId="70CC2E01" w14:textId="77777777" w:rsidR="005F4A7E" w:rsidRPr="002029AF" w:rsidRDefault="005F4A7E" w:rsidP="00130D1C">
            <w:pPr>
              <w:pStyle w:val="ARfintablebodyright"/>
            </w:pPr>
            <w:r w:rsidRPr="00E412CD">
              <w:t>277.1</w:t>
            </w:r>
          </w:p>
        </w:tc>
      </w:tr>
      <w:tr w:rsidR="005F4A7E" w:rsidRPr="002029AF" w14:paraId="5530174E" w14:textId="77777777" w:rsidTr="00860E95">
        <w:tc>
          <w:tcPr>
            <w:tcW w:w="7369" w:type="dxa"/>
            <w:tcBorders>
              <w:top w:val="single" w:sz="4" w:space="0" w:color="A6A6A6"/>
              <w:bottom w:val="single" w:sz="4" w:space="0" w:color="A6A6A6"/>
            </w:tcBorders>
            <w:hideMark/>
          </w:tcPr>
          <w:p w14:paraId="0340B383" w14:textId="0ABEEA09" w:rsidR="005F4A7E" w:rsidRPr="002029AF" w:rsidRDefault="005F4A7E" w:rsidP="00130D1C">
            <w:pPr>
              <w:pStyle w:val="ARfintablebody"/>
            </w:pPr>
            <w:r w:rsidRPr="00E412CD">
              <w:t>The Royal Women</w:t>
            </w:r>
            <w:r w:rsidR="007D145B">
              <w:t>’</w:t>
            </w:r>
            <w:r w:rsidRPr="00E412CD">
              <w:t>s Hospital</w:t>
            </w:r>
          </w:p>
        </w:tc>
        <w:tc>
          <w:tcPr>
            <w:tcW w:w="1134" w:type="dxa"/>
            <w:tcBorders>
              <w:top w:val="single" w:sz="4" w:space="0" w:color="A6A6A6"/>
              <w:bottom w:val="single" w:sz="4" w:space="0" w:color="A6A6A6"/>
            </w:tcBorders>
            <w:shd w:val="clear" w:color="auto" w:fill="E7E6E6"/>
            <w:noWrap/>
            <w:hideMark/>
          </w:tcPr>
          <w:p w14:paraId="64335F6F" w14:textId="77777777" w:rsidR="005F4A7E" w:rsidRPr="002029AF" w:rsidRDefault="005F4A7E" w:rsidP="00130D1C">
            <w:pPr>
              <w:pStyle w:val="ARfintablebodyright"/>
            </w:pPr>
            <w:r w:rsidRPr="00E412CD">
              <w:t>223.2</w:t>
            </w:r>
          </w:p>
        </w:tc>
        <w:tc>
          <w:tcPr>
            <w:tcW w:w="1134" w:type="dxa"/>
            <w:tcBorders>
              <w:top w:val="single" w:sz="4" w:space="0" w:color="A6A6A6"/>
              <w:bottom w:val="single" w:sz="4" w:space="0" w:color="A6A6A6"/>
            </w:tcBorders>
            <w:noWrap/>
            <w:hideMark/>
          </w:tcPr>
          <w:p w14:paraId="21E12408" w14:textId="77777777" w:rsidR="005F4A7E" w:rsidRPr="002029AF" w:rsidRDefault="005F4A7E" w:rsidP="00130D1C">
            <w:pPr>
              <w:pStyle w:val="ARfintablebodyright"/>
            </w:pPr>
            <w:r w:rsidRPr="00E412CD">
              <w:t>219.0</w:t>
            </w:r>
          </w:p>
        </w:tc>
      </w:tr>
      <w:tr w:rsidR="005F4A7E" w:rsidRPr="002029AF" w14:paraId="2601E324" w14:textId="77777777" w:rsidTr="00860E95">
        <w:tc>
          <w:tcPr>
            <w:tcW w:w="7369" w:type="dxa"/>
            <w:tcBorders>
              <w:top w:val="single" w:sz="4" w:space="0" w:color="A6A6A6"/>
              <w:bottom w:val="single" w:sz="4" w:space="0" w:color="A6A6A6"/>
            </w:tcBorders>
            <w:hideMark/>
          </w:tcPr>
          <w:p w14:paraId="30FAE15B" w14:textId="77777777" w:rsidR="005F4A7E" w:rsidRPr="002029AF" w:rsidRDefault="005F4A7E" w:rsidP="00130D1C">
            <w:pPr>
              <w:pStyle w:val="ARfintablebody"/>
            </w:pPr>
            <w:r w:rsidRPr="00E412CD">
              <w:t>Latrobe Regional Hospital</w:t>
            </w:r>
          </w:p>
        </w:tc>
        <w:tc>
          <w:tcPr>
            <w:tcW w:w="1134" w:type="dxa"/>
            <w:tcBorders>
              <w:top w:val="single" w:sz="4" w:space="0" w:color="A6A6A6"/>
              <w:bottom w:val="single" w:sz="4" w:space="0" w:color="A6A6A6"/>
            </w:tcBorders>
            <w:shd w:val="clear" w:color="auto" w:fill="E7E6E6"/>
            <w:noWrap/>
            <w:hideMark/>
          </w:tcPr>
          <w:p w14:paraId="23A4279E" w14:textId="77777777" w:rsidR="005F4A7E" w:rsidRPr="002029AF" w:rsidRDefault="005F4A7E" w:rsidP="00130D1C">
            <w:pPr>
              <w:pStyle w:val="ARfintablebodyright"/>
            </w:pPr>
            <w:r w:rsidRPr="00E412CD">
              <w:t>195.6</w:t>
            </w:r>
          </w:p>
        </w:tc>
        <w:tc>
          <w:tcPr>
            <w:tcW w:w="1134" w:type="dxa"/>
            <w:tcBorders>
              <w:top w:val="single" w:sz="4" w:space="0" w:color="A6A6A6"/>
              <w:bottom w:val="single" w:sz="4" w:space="0" w:color="A6A6A6"/>
            </w:tcBorders>
            <w:noWrap/>
            <w:hideMark/>
          </w:tcPr>
          <w:p w14:paraId="6B909DC8" w14:textId="77777777" w:rsidR="005F4A7E" w:rsidRPr="002029AF" w:rsidRDefault="005F4A7E" w:rsidP="00130D1C">
            <w:pPr>
              <w:pStyle w:val="ARfintablebodyright"/>
            </w:pPr>
            <w:r w:rsidRPr="00E412CD">
              <w:t>185.3</w:t>
            </w:r>
          </w:p>
        </w:tc>
      </w:tr>
      <w:tr w:rsidR="005F4A7E" w:rsidRPr="002029AF" w14:paraId="25EABA39" w14:textId="77777777" w:rsidTr="00860E95">
        <w:tc>
          <w:tcPr>
            <w:tcW w:w="7369" w:type="dxa"/>
            <w:tcBorders>
              <w:top w:val="single" w:sz="4" w:space="0" w:color="A6A6A6"/>
              <w:bottom w:val="single" w:sz="4" w:space="0" w:color="A6A6A6"/>
            </w:tcBorders>
            <w:hideMark/>
          </w:tcPr>
          <w:p w14:paraId="31739BB2" w14:textId="77777777" w:rsidR="005F4A7E" w:rsidRPr="002029AF" w:rsidRDefault="005F4A7E" w:rsidP="00130D1C">
            <w:pPr>
              <w:pStyle w:val="ARfintablebody"/>
            </w:pPr>
            <w:r w:rsidRPr="00E412CD">
              <w:t>Goulburn Valley Health</w:t>
            </w:r>
          </w:p>
        </w:tc>
        <w:tc>
          <w:tcPr>
            <w:tcW w:w="1134" w:type="dxa"/>
            <w:tcBorders>
              <w:top w:val="single" w:sz="4" w:space="0" w:color="A6A6A6"/>
              <w:bottom w:val="single" w:sz="4" w:space="0" w:color="A6A6A6"/>
            </w:tcBorders>
            <w:shd w:val="clear" w:color="auto" w:fill="E7E6E6"/>
            <w:noWrap/>
            <w:hideMark/>
          </w:tcPr>
          <w:p w14:paraId="3B28B74F" w14:textId="77777777" w:rsidR="005F4A7E" w:rsidRPr="002029AF" w:rsidRDefault="005F4A7E" w:rsidP="00130D1C">
            <w:pPr>
              <w:pStyle w:val="ARfintablebodyright"/>
            </w:pPr>
            <w:r w:rsidRPr="00E412CD">
              <w:t>194.0</w:t>
            </w:r>
          </w:p>
        </w:tc>
        <w:tc>
          <w:tcPr>
            <w:tcW w:w="1134" w:type="dxa"/>
            <w:tcBorders>
              <w:top w:val="single" w:sz="4" w:space="0" w:color="A6A6A6"/>
              <w:bottom w:val="single" w:sz="4" w:space="0" w:color="A6A6A6"/>
            </w:tcBorders>
            <w:noWrap/>
            <w:hideMark/>
          </w:tcPr>
          <w:p w14:paraId="240D1BA8" w14:textId="77777777" w:rsidR="005F4A7E" w:rsidRPr="002029AF" w:rsidRDefault="005F4A7E" w:rsidP="00130D1C">
            <w:pPr>
              <w:pStyle w:val="ARfintablebodyright"/>
            </w:pPr>
            <w:r w:rsidRPr="00E412CD">
              <w:t>177.5</w:t>
            </w:r>
          </w:p>
        </w:tc>
      </w:tr>
      <w:tr w:rsidR="005F4A7E" w:rsidRPr="002029AF" w14:paraId="16A333AD" w14:textId="77777777" w:rsidTr="00860E95">
        <w:tc>
          <w:tcPr>
            <w:tcW w:w="7369" w:type="dxa"/>
            <w:tcBorders>
              <w:top w:val="single" w:sz="4" w:space="0" w:color="A6A6A6"/>
              <w:bottom w:val="single" w:sz="4" w:space="0" w:color="A6A6A6"/>
            </w:tcBorders>
            <w:hideMark/>
          </w:tcPr>
          <w:p w14:paraId="38F6ED68" w14:textId="77777777" w:rsidR="005F4A7E" w:rsidRPr="002029AF" w:rsidRDefault="005F4A7E" w:rsidP="00130D1C">
            <w:pPr>
              <w:pStyle w:val="ARfintablebody"/>
            </w:pPr>
            <w:r w:rsidRPr="00E412CD">
              <w:t>Peter MacCallum Cancer Centre</w:t>
            </w:r>
          </w:p>
        </w:tc>
        <w:tc>
          <w:tcPr>
            <w:tcW w:w="1134" w:type="dxa"/>
            <w:tcBorders>
              <w:top w:val="single" w:sz="4" w:space="0" w:color="A6A6A6"/>
              <w:bottom w:val="single" w:sz="4" w:space="0" w:color="A6A6A6"/>
            </w:tcBorders>
            <w:shd w:val="clear" w:color="auto" w:fill="E7E6E6"/>
            <w:noWrap/>
            <w:hideMark/>
          </w:tcPr>
          <w:p w14:paraId="73FE7A4E" w14:textId="77777777" w:rsidR="005F4A7E" w:rsidRPr="002029AF" w:rsidRDefault="005F4A7E" w:rsidP="00130D1C">
            <w:pPr>
              <w:pStyle w:val="ARfintablebodyright"/>
            </w:pPr>
            <w:r w:rsidRPr="00E412CD">
              <w:t>149.5</w:t>
            </w:r>
          </w:p>
        </w:tc>
        <w:tc>
          <w:tcPr>
            <w:tcW w:w="1134" w:type="dxa"/>
            <w:tcBorders>
              <w:top w:val="single" w:sz="4" w:space="0" w:color="A6A6A6"/>
              <w:bottom w:val="single" w:sz="4" w:space="0" w:color="A6A6A6"/>
            </w:tcBorders>
            <w:noWrap/>
            <w:hideMark/>
          </w:tcPr>
          <w:p w14:paraId="04A70624" w14:textId="77777777" w:rsidR="005F4A7E" w:rsidRPr="002029AF" w:rsidRDefault="005F4A7E" w:rsidP="00130D1C">
            <w:pPr>
              <w:pStyle w:val="ARfintablebodyright"/>
            </w:pPr>
            <w:r w:rsidRPr="00E412CD">
              <w:t>169.7</w:t>
            </w:r>
          </w:p>
        </w:tc>
      </w:tr>
      <w:tr w:rsidR="005F4A7E" w:rsidRPr="002029AF" w14:paraId="2F7009A4" w14:textId="77777777" w:rsidTr="00860E95">
        <w:tc>
          <w:tcPr>
            <w:tcW w:w="7369" w:type="dxa"/>
            <w:tcBorders>
              <w:top w:val="single" w:sz="4" w:space="0" w:color="A6A6A6"/>
              <w:bottom w:val="single" w:sz="4" w:space="0" w:color="A6A6A6"/>
            </w:tcBorders>
            <w:hideMark/>
          </w:tcPr>
          <w:p w14:paraId="0E0227DA" w14:textId="77777777" w:rsidR="005F4A7E" w:rsidRPr="002029AF" w:rsidRDefault="005F4A7E" w:rsidP="00130D1C">
            <w:pPr>
              <w:pStyle w:val="ARfintablebody"/>
            </w:pPr>
            <w:r w:rsidRPr="00E412CD">
              <w:t>South West Healthcare</w:t>
            </w:r>
          </w:p>
        </w:tc>
        <w:tc>
          <w:tcPr>
            <w:tcW w:w="1134" w:type="dxa"/>
            <w:tcBorders>
              <w:top w:val="single" w:sz="4" w:space="0" w:color="A6A6A6"/>
              <w:bottom w:val="single" w:sz="4" w:space="0" w:color="A6A6A6"/>
            </w:tcBorders>
            <w:shd w:val="clear" w:color="auto" w:fill="E7E6E6"/>
            <w:noWrap/>
            <w:hideMark/>
          </w:tcPr>
          <w:p w14:paraId="03BF8BEC" w14:textId="77777777" w:rsidR="005F4A7E" w:rsidRPr="002029AF" w:rsidRDefault="005F4A7E" w:rsidP="00130D1C">
            <w:pPr>
              <w:pStyle w:val="ARfintablebodyright"/>
            </w:pPr>
            <w:r w:rsidRPr="00E412CD">
              <w:t>140.0</w:t>
            </w:r>
          </w:p>
        </w:tc>
        <w:tc>
          <w:tcPr>
            <w:tcW w:w="1134" w:type="dxa"/>
            <w:tcBorders>
              <w:top w:val="single" w:sz="4" w:space="0" w:color="A6A6A6"/>
              <w:bottom w:val="single" w:sz="4" w:space="0" w:color="A6A6A6"/>
            </w:tcBorders>
            <w:noWrap/>
            <w:hideMark/>
          </w:tcPr>
          <w:p w14:paraId="66679946" w14:textId="77777777" w:rsidR="005F4A7E" w:rsidRPr="002029AF" w:rsidRDefault="005F4A7E" w:rsidP="00130D1C">
            <w:pPr>
              <w:pStyle w:val="ARfintablebodyright"/>
            </w:pPr>
            <w:r w:rsidRPr="00E412CD">
              <w:t>136.1</w:t>
            </w:r>
          </w:p>
        </w:tc>
      </w:tr>
      <w:tr w:rsidR="005F4A7E" w:rsidRPr="002029AF" w14:paraId="2C309E8C" w14:textId="77777777" w:rsidTr="00860E95">
        <w:tc>
          <w:tcPr>
            <w:tcW w:w="7369" w:type="dxa"/>
            <w:tcBorders>
              <w:top w:val="single" w:sz="4" w:space="0" w:color="A6A6A6"/>
              <w:bottom w:val="single" w:sz="4" w:space="0" w:color="A6A6A6"/>
            </w:tcBorders>
            <w:hideMark/>
          </w:tcPr>
          <w:p w14:paraId="782EB20A" w14:textId="77777777" w:rsidR="005F4A7E" w:rsidRPr="002029AF" w:rsidRDefault="005F4A7E" w:rsidP="00130D1C">
            <w:pPr>
              <w:pStyle w:val="ARfintablebody"/>
            </w:pPr>
            <w:r w:rsidRPr="00E412CD">
              <w:t>Albury Wodonga Health</w:t>
            </w:r>
          </w:p>
        </w:tc>
        <w:tc>
          <w:tcPr>
            <w:tcW w:w="1134" w:type="dxa"/>
            <w:tcBorders>
              <w:top w:val="single" w:sz="4" w:space="0" w:color="A6A6A6"/>
              <w:bottom w:val="single" w:sz="4" w:space="0" w:color="A6A6A6"/>
            </w:tcBorders>
            <w:shd w:val="clear" w:color="auto" w:fill="E7E6E6"/>
            <w:noWrap/>
            <w:hideMark/>
          </w:tcPr>
          <w:p w14:paraId="32712531" w14:textId="77777777" w:rsidR="005F4A7E" w:rsidRPr="002029AF" w:rsidRDefault="005F4A7E" w:rsidP="00130D1C">
            <w:pPr>
              <w:pStyle w:val="ARfintablebodyright"/>
            </w:pPr>
            <w:r w:rsidRPr="00E412CD">
              <w:t>136.7</w:t>
            </w:r>
          </w:p>
        </w:tc>
        <w:tc>
          <w:tcPr>
            <w:tcW w:w="1134" w:type="dxa"/>
            <w:tcBorders>
              <w:top w:val="single" w:sz="4" w:space="0" w:color="A6A6A6"/>
              <w:bottom w:val="single" w:sz="4" w:space="0" w:color="A6A6A6"/>
            </w:tcBorders>
            <w:noWrap/>
            <w:hideMark/>
          </w:tcPr>
          <w:p w14:paraId="39AC9082" w14:textId="77777777" w:rsidR="005F4A7E" w:rsidRPr="002029AF" w:rsidRDefault="005F4A7E" w:rsidP="00130D1C">
            <w:pPr>
              <w:pStyle w:val="ARfintablebodyright"/>
            </w:pPr>
            <w:r w:rsidRPr="00E412CD">
              <w:t>130.3</w:t>
            </w:r>
          </w:p>
        </w:tc>
      </w:tr>
      <w:tr w:rsidR="005F4A7E" w:rsidRPr="002029AF" w14:paraId="486BB78D" w14:textId="77777777" w:rsidTr="00860E95">
        <w:tc>
          <w:tcPr>
            <w:tcW w:w="7369" w:type="dxa"/>
            <w:tcBorders>
              <w:top w:val="single" w:sz="4" w:space="0" w:color="A6A6A6"/>
              <w:bottom w:val="single" w:sz="4" w:space="0" w:color="A6A6A6"/>
            </w:tcBorders>
            <w:hideMark/>
          </w:tcPr>
          <w:p w14:paraId="603F3A19" w14:textId="77777777" w:rsidR="005F4A7E" w:rsidRPr="002029AF" w:rsidRDefault="005F4A7E" w:rsidP="00130D1C">
            <w:pPr>
              <w:pStyle w:val="ARfintablebody"/>
            </w:pPr>
            <w:r w:rsidRPr="00E412CD">
              <w:t>Northeast Health Wangaratta</w:t>
            </w:r>
          </w:p>
        </w:tc>
        <w:tc>
          <w:tcPr>
            <w:tcW w:w="1134" w:type="dxa"/>
            <w:tcBorders>
              <w:top w:val="single" w:sz="4" w:space="0" w:color="A6A6A6"/>
              <w:bottom w:val="single" w:sz="4" w:space="0" w:color="A6A6A6"/>
            </w:tcBorders>
            <w:shd w:val="clear" w:color="auto" w:fill="E7E6E6"/>
            <w:noWrap/>
            <w:hideMark/>
          </w:tcPr>
          <w:p w14:paraId="74A4B7BB" w14:textId="77777777" w:rsidR="005F4A7E" w:rsidRPr="002029AF" w:rsidRDefault="005F4A7E" w:rsidP="00130D1C">
            <w:pPr>
              <w:pStyle w:val="ARfintablebodyright"/>
            </w:pPr>
            <w:r w:rsidRPr="00E412CD">
              <w:t>110.5</w:t>
            </w:r>
          </w:p>
        </w:tc>
        <w:tc>
          <w:tcPr>
            <w:tcW w:w="1134" w:type="dxa"/>
            <w:tcBorders>
              <w:top w:val="single" w:sz="4" w:space="0" w:color="A6A6A6"/>
              <w:bottom w:val="single" w:sz="4" w:space="0" w:color="A6A6A6"/>
            </w:tcBorders>
            <w:noWrap/>
            <w:hideMark/>
          </w:tcPr>
          <w:p w14:paraId="6E297B4A" w14:textId="77777777" w:rsidR="005F4A7E" w:rsidRPr="002029AF" w:rsidRDefault="005F4A7E" w:rsidP="00130D1C">
            <w:pPr>
              <w:pStyle w:val="ARfintablebodyright"/>
            </w:pPr>
            <w:r w:rsidRPr="00E412CD">
              <w:t>119.0</w:t>
            </w:r>
          </w:p>
        </w:tc>
      </w:tr>
      <w:tr w:rsidR="005F4A7E" w:rsidRPr="002029AF" w14:paraId="782CFB46" w14:textId="77777777" w:rsidTr="00860E95">
        <w:tc>
          <w:tcPr>
            <w:tcW w:w="7369" w:type="dxa"/>
            <w:tcBorders>
              <w:top w:val="single" w:sz="4" w:space="0" w:color="A6A6A6"/>
              <w:bottom w:val="single" w:sz="4" w:space="0" w:color="A6A6A6"/>
            </w:tcBorders>
            <w:hideMark/>
          </w:tcPr>
          <w:p w14:paraId="676D64D3" w14:textId="77777777" w:rsidR="005F4A7E" w:rsidRPr="002029AF" w:rsidRDefault="005F4A7E" w:rsidP="00130D1C">
            <w:pPr>
              <w:pStyle w:val="ARfintablebody"/>
            </w:pPr>
            <w:r w:rsidRPr="00E412CD">
              <w:t>The Royal Victorian Eye and Ear Hospital</w:t>
            </w:r>
          </w:p>
        </w:tc>
        <w:tc>
          <w:tcPr>
            <w:tcW w:w="1134" w:type="dxa"/>
            <w:tcBorders>
              <w:top w:val="single" w:sz="4" w:space="0" w:color="A6A6A6"/>
              <w:bottom w:val="single" w:sz="4" w:space="0" w:color="A6A6A6"/>
            </w:tcBorders>
            <w:shd w:val="clear" w:color="auto" w:fill="E7E6E6"/>
            <w:noWrap/>
            <w:hideMark/>
          </w:tcPr>
          <w:p w14:paraId="6AC1F33A" w14:textId="77777777" w:rsidR="005F4A7E" w:rsidRPr="002029AF" w:rsidRDefault="005F4A7E" w:rsidP="00130D1C">
            <w:pPr>
              <w:pStyle w:val="ARfintablebodyright"/>
            </w:pPr>
            <w:r w:rsidRPr="00E412CD">
              <w:t>99.6</w:t>
            </w:r>
          </w:p>
        </w:tc>
        <w:tc>
          <w:tcPr>
            <w:tcW w:w="1134" w:type="dxa"/>
            <w:tcBorders>
              <w:top w:val="single" w:sz="4" w:space="0" w:color="A6A6A6"/>
              <w:bottom w:val="single" w:sz="4" w:space="0" w:color="A6A6A6"/>
            </w:tcBorders>
            <w:noWrap/>
            <w:hideMark/>
          </w:tcPr>
          <w:p w14:paraId="2D9CEC96" w14:textId="77777777" w:rsidR="005F4A7E" w:rsidRPr="002029AF" w:rsidRDefault="005F4A7E" w:rsidP="00130D1C">
            <w:pPr>
              <w:pStyle w:val="ARfintablebodyright"/>
            </w:pPr>
            <w:r w:rsidRPr="00E412CD">
              <w:t>94.0</w:t>
            </w:r>
          </w:p>
        </w:tc>
      </w:tr>
      <w:tr w:rsidR="005F4A7E" w:rsidRPr="002029AF" w14:paraId="338DBA2B" w14:textId="77777777" w:rsidTr="00860E95">
        <w:tc>
          <w:tcPr>
            <w:tcW w:w="7369" w:type="dxa"/>
            <w:tcBorders>
              <w:top w:val="single" w:sz="4" w:space="0" w:color="A6A6A6"/>
              <w:bottom w:val="single" w:sz="4" w:space="0" w:color="A6A6A6"/>
            </w:tcBorders>
            <w:hideMark/>
          </w:tcPr>
          <w:p w14:paraId="70B0A2E4" w14:textId="77777777" w:rsidR="005F4A7E" w:rsidRPr="002029AF" w:rsidRDefault="005F4A7E" w:rsidP="00130D1C">
            <w:pPr>
              <w:pStyle w:val="ARfintablebody"/>
            </w:pPr>
            <w:r w:rsidRPr="00E412CD">
              <w:t>Mildura Base Public Hospital</w:t>
            </w:r>
          </w:p>
        </w:tc>
        <w:tc>
          <w:tcPr>
            <w:tcW w:w="1134" w:type="dxa"/>
            <w:tcBorders>
              <w:top w:val="single" w:sz="4" w:space="0" w:color="A6A6A6"/>
              <w:bottom w:val="single" w:sz="4" w:space="0" w:color="A6A6A6"/>
            </w:tcBorders>
            <w:shd w:val="clear" w:color="auto" w:fill="E7E6E6"/>
            <w:noWrap/>
            <w:hideMark/>
          </w:tcPr>
          <w:p w14:paraId="4365E569" w14:textId="77777777" w:rsidR="005F4A7E" w:rsidRPr="002029AF" w:rsidRDefault="005F4A7E" w:rsidP="00130D1C">
            <w:pPr>
              <w:pStyle w:val="ARfintablebodyright"/>
            </w:pPr>
            <w:r w:rsidRPr="00E412CD">
              <w:t>86.6</w:t>
            </w:r>
          </w:p>
        </w:tc>
        <w:tc>
          <w:tcPr>
            <w:tcW w:w="1134" w:type="dxa"/>
            <w:tcBorders>
              <w:top w:val="single" w:sz="4" w:space="0" w:color="A6A6A6"/>
              <w:bottom w:val="single" w:sz="4" w:space="0" w:color="A6A6A6"/>
            </w:tcBorders>
            <w:noWrap/>
            <w:hideMark/>
          </w:tcPr>
          <w:p w14:paraId="371ECC3B" w14:textId="77777777" w:rsidR="005F4A7E" w:rsidRPr="002029AF" w:rsidRDefault="005F4A7E" w:rsidP="00130D1C">
            <w:pPr>
              <w:pStyle w:val="ARfintablebodyright"/>
            </w:pPr>
            <w:r w:rsidRPr="00E412CD">
              <w:t>–</w:t>
            </w:r>
          </w:p>
        </w:tc>
      </w:tr>
      <w:tr w:rsidR="005F4A7E" w:rsidRPr="002029AF" w14:paraId="063987C2" w14:textId="77777777" w:rsidTr="00860E95">
        <w:tc>
          <w:tcPr>
            <w:tcW w:w="7369" w:type="dxa"/>
            <w:tcBorders>
              <w:top w:val="single" w:sz="4" w:space="0" w:color="A6A6A6"/>
              <w:bottom w:val="single" w:sz="4" w:space="0" w:color="A6A6A6"/>
            </w:tcBorders>
          </w:tcPr>
          <w:p w14:paraId="5F2BC914" w14:textId="77777777" w:rsidR="005F4A7E" w:rsidRPr="002029AF" w:rsidRDefault="005F4A7E" w:rsidP="00130D1C">
            <w:pPr>
              <w:pStyle w:val="ARfintablebody"/>
            </w:pPr>
            <w:r w:rsidRPr="00E412CD">
              <w:t>West Gippsland Health Care Group</w:t>
            </w:r>
          </w:p>
        </w:tc>
        <w:tc>
          <w:tcPr>
            <w:tcW w:w="1134" w:type="dxa"/>
            <w:tcBorders>
              <w:top w:val="single" w:sz="4" w:space="0" w:color="A6A6A6"/>
              <w:bottom w:val="single" w:sz="4" w:space="0" w:color="A6A6A6"/>
            </w:tcBorders>
            <w:shd w:val="clear" w:color="auto" w:fill="E7E6E6"/>
            <w:noWrap/>
          </w:tcPr>
          <w:p w14:paraId="2DCDECB8" w14:textId="77777777" w:rsidR="005F4A7E" w:rsidRPr="002029AF" w:rsidRDefault="005F4A7E" w:rsidP="00130D1C">
            <w:pPr>
              <w:pStyle w:val="ARfintablebodyright"/>
            </w:pPr>
            <w:r w:rsidRPr="00E412CD">
              <w:t>82.3</w:t>
            </w:r>
          </w:p>
        </w:tc>
        <w:tc>
          <w:tcPr>
            <w:tcW w:w="1134" w:type="dxa"/>
            <w:tcBorders>
              <w:top w:val="single" w:sz="4" w:space="0" w:color="A6A6A6"/>
              <w:bottom w:val="single" w:sz="4" w:space="0" w:color="A6A6A6"/>
            </w:tcBorders>
            <w:noWrap/>
          </w:tcPr>
          <w:p w14:paraId="4FFF0A43" w14:textId="77777777" w:rsidR="005F4A7E" w:rsidRPr="002029AF" w:rsidRDefault="005F4A7E" w:rsidP="00130D1C">
            <w:pPr>
              <w:pStyle w:val="ARfintablebodyright"/>
            </w:pPr>
            <w:r w:rsidRPr="00E412CD">
              <w:t>77.6</w:t>
            </w:r>
          </w:p>
        </w:tc>
      </w:tr>
      <w:tr w:rsidR="005F4A7E" w:rsidRPr="002029AF" w14:paraId="12390701" w14:textId="77777777" w:rsidTr="00860E95">
        <w:tc>
          <w:tcPr>
            <w:tcW w:w="7369" w:type="dxa"/>
            <w:tcBorders>
              <w:top w:val="single" w:sz="4" w:space="0" w:color="A6A6A6"/>
              <w:bottom w:val="single" w:sz="4" w:space="0" w:color="A6A6A6"/>
            </w:tcBorders>
          </w:tcPr>
          <w:p w14:paraId="6819C1AA" w14:textId="77777777" w:rsidR="005F4A7E" w:rsidRPr="002029AF" w:rsidRDefault="005F4A7E" w:rsidP="00130D1C">
            <w:pPr>
              <w:pStyle w:val="ARfintablebody"/>
            </w:pPr>
            <w:r w:rsidRPr="00E412CD">
              <w:t>Wimmera Health Care Group</w:t>
            </w:r>
          </w:p>
        </w:tc>
        <w:tc>
          <w:tcPr>
            <w:tcW w:w="1134" w:type="dxa"/>
            <w:tcBorders>
              <w:top w:val="single" w:sz="4" w:space="0" w:color="A6A6A6"/>
              <w:bottom w:val="single" w:sz="4" w:space="0" w:color="A6A6A6"/>
            </w:tcBorders>
            <w:shd w:val="clear" w:color="auto" w:fill="E7E6E6"/>
            <w:noWrap/>
          </w:tcPr>
          <w:p w14:paraId="3F278CB2" w14:textId="77777777" w:rsidR="005F4A7E" w:rsidRPr="002029AF" w:rsidRDefault="005F4A7E" w:rsidP="00130D1C">
            <w:pPr>
              <w:pStyle w:val="ARfintablebodyright"/>
            </w:pPr>
            <w:r w:rsidRPr="00E412CD">
              <w:t>62.0</w:t>
            </w:r>
          </w:p>
        </w:tc>
        <w:tc>
          <w:tcPr>
            <w:tcW w:w="1134" w:type="dxa"/>
            <w:tcBorders>
              <w:top w:val="single" w:sz="4" w:space="0" w:color="A6A6A6"/>
              <w:bottom w:val="single" w:sz="4" w:space="0" w:color="A6A6A6"/>
            </w:tcBorders>
            <w:noWrap/>
          </w:tcPr>
          <w:p w14:paraId="6B4D5EC1" w14:textId="77777777" w:rsidR="005F4A7E" w:rsidRPr="002029AF" w:rsidRDefault="005F4A7E" w:rsidP="00130D1C">
            <w:pPr>
              <w:pStyle w:val="ARfintablebodyright"/>
            </w:pPr>
            <w:r w:rsidRPr="00E412CD">
              <w:t>67.7</w:t>
            </w:r>
          </w:p>
        </w:tc>
      </w:tr>
      <w:tr w:rsidR="005F4A7E" w:rsidRPr="002029AF" w14:paraId="190BD130" w14:textId="77777777" w:rsidTr="00860E95">
        <w:tc>
          <w:tcPr>
            <w:tcW w:w="7369" w:type="dxa"/>
            <w:tcBorders>
              <w:top w:val="single" w:sz="4" w:space="0" w:color="A6A6A6"/>
              <w:bottom w:val="single" w:sz="4" w:space="0" w:color="A6A6A6"/>
            </w:tcBorders>
            <w:hideMark/>
          </w:tcPr>
          <w:p w14:paraId="30CE72A1" w14:textId="77777777" w:rsidR="005F4A7E" w:rsidRPr="002029AF" w:rsidRDefault="005F4A7E" w:rsidP="00130D1C">
            <w:pPr>
              <w:pStyle w:val="ARfintablebody"/>
            </w:pPr>
            <w:r w:rsidRPr="00E412CD">
              <w:t>Bairnsdale Regional Health Service</w:t>
            </w:r>
          </w:p>
        </w:tc>
        <w:tc>
          <w:tcPr>
            <w:tcW w:w="1134" w:type="dxa"/>
            <w:tcBorders>
              <w:top w:val="single" w:sz="4" w:space="0" w:color="A6A6A6"/>
              <w:bottom w:val="single" w:sz="4" w:space="0" w:color="A6A6A6"/>
            </w:tcBorders>
            <w:shd w:val="clear" w:color="auto" w:fill="E7E6E6"/>
            <w:noWrap/>
            <w:hideMark/>
          </w:tcPr>
          <w:p w14:paraId="7B1045FA" w14:textId="77777777" w:rsidR="005F4A7E" w:rsidRPr="002029AF" w:rsidRDefault="005F4A7E" w:rsidP="00130D1C">
            <w:pPr>
              <w:pStyle w:val="ARfintablebodyright"/>
            </w:pPr>
            <w:r w:rsidRPr="00E412CD">
              <w:t>65.9</w:t>
            </w:r>
          </w:p>
        </w:tc>
        <w:tc>
          <w:tcPr>
            <w:tcW w:w="1134" w:type="dxa"/>
            <w:tcBorders>
              <w:top w:val="single" w:sz="4" w:space="0" w:color="A6A6A6"/>
              <w:bottom w:val="single" w:sz="4" w:space="0" w:color="A6A6A6"/>
            </w:tcBorders>
            <w:noWrap/>
            <w:hideMark/>
          </w:tcPr>
          <w:p w14:paraId="3A599091" w14:textId="77777777" w:rsidR="005F4A7E" w:rsidRPr="002029AF" w:rsidRDefault="005F4A7E" w:rsidP="00130D1C">
            <w:pPr>
              <w:pStyle w:val="ARfintablebodyright"/>
            </w:pPr>
            <w:r w:rsidRPr="00E412CD">
              <w:t>64.0</w:t>
            </w:r>
          </w:p>
        </w:tc>
      </w:tr>
      <w:tr w:rsidR="005F4A7E" w:rsidRPr="002029AF" w14:paraId="6064CD22" w14:textId="77777777" w:rsidTr="00860E95">
        <w:tc>
          <w:tcPr>
            <w:tcW w:w="7369" w:type="dxa"/>
            <w:tcBorders>
              <w:top w:val="single" w:sz="4" w:space="0" w:color="A6A6A6"/>
              <w:bottom w:val="single" w:sz="4" w:space="0" w:color="A6A6A6"/>
            </w:tcBorders>
          </w:tcPr>
          <w:p w14:paraId="7564CEFD" w14:textId="77777777" w:rsidR="005F4A7E" w:rsidRPr="002029AF" w:rsidRDefault="005F4A7E" w:rsidP="00130D1C">
            <w:pPr>
              <w:pStyle w:val="ARfintablebody"/>
            </w:pPr>
            <w:r w:rsidRPr="00E412CD">
              <w:lastRenderedPageBreak/>
              <w:t>Echuca Regional Health</w:t>
            </w:r>
          </w:p>
        </w:tc>
        <w:tc>
          <w:tcPr>
            <w:tcW w:w="1134" w:type="dxa"/>
            <w:tcBorders>
              <w:top w:val="single" w:sz="4" w:space="0" w:color="A6A6A6"/>
              <w:bottom w:val="single" w:sz="4" w:space="0" w:color="A6A6A6"/>
            </w:tcBorders>
            <w:shd w:val="clear" w:color="auto" w:fill="E7E6E6"/>
            <w:noWrap/>
          </w:tcPr>
          <w:p w14:paraId="3765B4B9" w14:textId="77777777" w:rsidR="005F4A7E" w:rsidRPr="002029AF" w:rsidRDefault="005F4A7E" w:rsidP="00130D1C">
            <w:pPr>
              <w:pStyle w:val="ARfintablebodyright"/>
            </w:pPr>
            <w:r w:rsidRPr="00E412CD">
              <w:t>61.4</w:t>
            </w:r>
          </w:p>
        </w:tc>
        <w:tc>
          <w:tcPr>
            <w:tcW w:w="1134" w:type="dxa"/>
            <w:tcBorders>
              <w:top w:val="single" w:sz="4" w:space="0" w:color="A6A6A6"/>
              <w:bottom w:val="single" w:sz="4" w:space="0" w:color="A6A6A6"/>
            </w:tcBorders>
            <w:noWrap/>
          </w:tcPr>
          <w:p w14:paraId="53D2FDF0" w14:textId="77777777" w:rsidR="005F4A7E" w:rsidRPr="002029AF" w:rsidRDefault="005F4A7E" w:rsidP="00130D1C">
            <w:pPr>
              <w:pStyle w:val="ARfintablebodyright"/>
            </w:pPr>
            <w:r w:rsidRPr="00E412CD">
              <w:t>60.9</w:t>
            </w:r>
          </w:p>
        </w:tc>
      </w:tr>
      <w:tr w:rsidR="005F4A7E" w:rsidRPr="002029AF" w14:paraId="5FFF8681" w14:textId="77777777" w:rsidTr="00860E95">
        <w:tc>
          <w:tcPr>
            <w:tcW w:w="7369" w:type="dxa"/>
            <w:tcBorders>
              <w:top w:val="single" w:sz="4" w:space="0" w:color="A6A6A6"/>
              <w:bottom w:val="single" w:sz="4" w:space="0" w:color="A6A6A6"/>
            </w:tcBorders>
            <w:hideMark/>
          </w:tcPr>
          <w:p w14:paraId="161E6F3D" w14:textId="77777777" w:rsidR="005F4A7E" w:rsidRPr="002029AF" w:rsidRDefault="005F4A7E" w:rsidP="00130D1C">
            <w:pPr>
              <w:pStyle w:val="ARfintablebody"/>
            </w:pPr>
            <w:r w:rsidRPr="00E412CD">
              <w:t>Central Gippsland Health Service</w:t>
            </w:r>
          </w:p>
        </w:tc>
        <w:tc>
          <w:tcPr>
            <w:tcW w:w="1134" w:type="dxa"/>
            <w:tcBorders>
              <w:top w:val="single" w:sz="4" w:space="0" w:color="A6A6A6"/>
              <w:bottom w:val="single" w:sz="4" w:space="0" w:color="A6A6A6"/>
            </w:tcBorders>
            <w:shd w:val="clear" w:color="auto" w:fill="E7E6E6"/>
            <w:noWrap/>
            <w:hideMark/>
          </w:tcPr>
          <w:p w14:paraId="289E417E" w14:textId="77777777" w:rsidR="005F4A7E" w:rsidRPr="002029AF" w:rsidRDefault="005F4A7E" w:rsidP="00130D1C">
            <w:pPr>
              <w:pStyle w:val="ARfintablebodyright"/>
            </w:pPr>
            <w:r w:rsidRPr="00E412CD">
              <w:t>62.3</w:t>
            </w:r>
          </w:p>
        </w:tc>
        <w:tc>
          <w:tcPr>
            <w:tcW w:w="1134" w:type="dxa"/>
            <w:tcBorders>
              <w:top w:val="single" w:sz="4" w:space="0" w:color="A6A6A6"/>
              <w:bottom w:val="single" w:sz="4" w:space="0" w:color="A6A6A6"/>
            </w:tcBorders>
            <w:noWrap/>
            <w:hideMark/>
          </w:tcPr>
          <w:p w14:paraId="5A433971" w14:textId="77777777" w:rsidR="005F4A7E" w:rsidRPr="002029AF" w:rsidRDefault="005F4A7E" w:rsidP="00130D1C">
            <w:pPr>
              <w:pStyle w:val="ARfintablebodyright"/>
            </w:pPr>
            <w:r w:rsidRPr="00E412CD">
              <w:t>59.9</w:t>
            </w:r>
          </w:p>
        </w:tc>
      </w:tr>
      <w:tr w:rsidR="005F4A7E" w:rsidRPr="002029AF" w14:paraId="54519146" w14:textId="77777777" w:rsidTr="00860E95">
        <w:tc>
          <w:tcPr>
            <w:tcW w:w="7369" w:type="dxa"/>
            <w:tcBorders>
              <w:top w:val="single" w:sz="4" w:space="0" w:color="A6A6A6"/>
              <w:bottom w:val="single" w:sz="4" w:space="0" w:color="A6A6A6"/>
            </w:tcBorders>
          </w:tcPr>
          <w:p w14:paraId="68D7F6A0" w14:textId="77777777" w:rsidR="005F4A7E" w:rsidRPr="002029AF" w:rsidRDefault="005F4A7E" w:rsidP="00130D1C">
            <w:pPr>
              <w:pStyle w:val="ARfintablebody"/>
            </w:pPr>
            <w:r w:rsidRPr="00E412CD">
              <w:t>Bass Coast Health</w:t>
            </w:r>
          </w:p>
        </w:tc>
        <w:tc>
          <w:tcPr>
            <w:tcW w:w="1134" w:type="dxa"/>
            <w:tcBorders>
              <w:top w:val="single" w:sz="4" w:space="0" w:color="A6A6A6"/>
              <w:bottom w:val="single" w:sz="4" w:space="0" w:color="A6A6A6"/>
            </w:tcBorders>
            <w:shd w:val="clear" w:color="auto" w:fill="E7E6E6"/>
            <w:noWrap/>
          </w:tcPr>
          <w:p w14:paraId="401D4A51" w14:textId="77777777" w:rsidR="005F4A7E" w:rsidRPr="002029AF" w:rsidRDefault="005F4A7E" w:rsidP="00130D1C">
            <w:pPr>
              <w:pStyle w:val="ARfintablebodyright"/>
            </w:pPr>
            <w:r w:rsidRPr="00E412CD">
              <w:t>52.9</w:t>
            </w:r>
          </w:p>
        </w:tc>
        <w:tc>
          <w:tcPr>
            <w:tcW w:w="1134" w:type="dxa"/>
            <w:tcBorders>
              <w:top w:val="single" w:sz="4" w:space="0" w:color="A6A6A6"/>
              <w:bottom w:val="single" w:sz="4" w:space="0" w:color="A6A6A6"/>
            </w:tcBorders>
            <w:noWrap/>
          </w:tcPr>
          <w:p w14:paraId="3EB8D85F" w14:textId="77777777" w:rsidR="005F4A7E" w:rsidRPr="002029AF" w:rsidRDefault="005F4A7E" w:rsidP="00130D1C">
            <w:pPr>
              <w:pStyle w:val="ARfintablebodyright"/>
            </w:pPr>
            <w:r w:rsidRPr="00E412CD">
              <w:t>54.5</w:t>
            </w:r>
          </w:p>
        </w:tc>
      </w:tr>
      <w:tr w:rsidR="005F4A7E" w:rsidRPr="002029AF" w14:paraId="31F08B91" w14:textId="77777777" w:rsidTr="00860E95">
        <w:tc>
          <w:tcPr>
            <w:tcW w:w="7369" w:type="dxa"/>
            <w:tcBorders>
              <w:top w:val="single" w:sz="4" w:space="0" w:color="A6A6A6"/>
              <w:bottom w:val="single" w:sz="4" w:space="0" w:color="A6A6A6"/>
            </w:tcBorders>
          </w:tcPr>
          <w:p w14:paraId="583EFF53" w14:textId="77777777" w:rsidR="005F4A7E" w:rsidRPr="002029AF" w:rsidRDefault="005F4A7E" w:rsidP="00130D1C">
            <w:pPr>
              <w:pStyle w:val="ARfintablebody"/>
            </w:pPr>
            <w:r w:rsidRPr="00E412CD">
              <w:t>Djerriwarrh Health Services</w:t>
            </w:r>
          </w:p>
        </w:tc>
        <w:tc>
          <w:tcPr>
            <w:tcW w:w="1134" w:type="dxa"/>
            <w:tcBorders>
              <w:top w:val="single" w:sz="4" w:space="0" w:color="A6A6A6"/>
              <w:bottom w:val="single" w:sz="4" w:space="0" w:color="A6A6A6"/>
            </w:tcBorders>
            <w:shd w:val="clear" w:color="auto" w:fill="E7E6E6"/>
            <w:noWrap/>
          </w:tcPr>
          <w:p w14:paraId="03D5E547" w14:textId="77777777" w:rsidR="005F4A7E" w:rsidRPr="002029AF" w:rsidRDefault="005F4A7E" w:rsidP="00130D1C">
            <w:pPr>
              <w:pStyle w:val="ARfintablebodyright"/>
            </w:pPr>
            <w:r w:rsidRPr="00E412CD">
              <w:t>45.7</w:t>
            </w:r>
          </w:p>
        </w:tc>
        <w:tc>
          <w:tcPr>
            <w:tcW w:w="1134" w:type="dxa"/>
            <w:tcBorders>
              <w:top w:val="single" w:sz="4" w:space="0" w:color="A6A6A6"/>
              <w:bottom w:val="single" w:sz="4" w:space="0" w:color="A6A6A6"/>
            </w:tcBorders>
            <w:noWrap/>
          </w:tcPr>
          <w:p w14:paraId="3FC98B44" w14:textId="77777777" w:rsidR="005F4A7E" w:rsidRPr="002029AF" w:rsidRDefault="005F4A7E" w:rsidP="00130D1C">
            <w:pPr>
              <w:pStyle w:val="ARfintablebodyright"/>
            </w:pPr>
            <w:r w:rsidRPr="00E412CD">
              <w:t>49.3</w:t>
            </w:r>
          </w:p>
        </w:tc>
      </w:tr>
      <w:tr w:rsidR="005F4A7E" w:rsidRPr="002029AF" w14:paraId="5EE23D24" w14:textId="77777777" w:rsidTr="00860E95">
        <w:tc>
          <w:tcPr>
            <w:tcW w:w="7369" w:type="dxa"/>
            <w:tcBorders>
              <w:top w:val="single" w:sz="4" w:space="0" w:color="A6A6A6"/>
              <w:bottom w:val="single" w:sz="4" w:space="0" w:color="A6A6A6"/>
            </w:tcBorders>
          </w:tcPr>
          <w:p w14:paraId="742707AC" w14:textId="77777777" w:rsidR="005F4A7E" w:rsidRPr="002029AF" w:rsidRDefault="005F4A7E" w:rsidP="00130D1C">
            <w:pPr>
              <w:pStyle w:val="ARfintablebody"/>
            </w:pPr>
            <w:r w:rsidRPr="00E412CD">
              <w:t>Western District Health Service</w:t>
            </w:r>
          </w:p>
        </w:tc>
        <w:tc>
          <w:tcPr>
            <w:tcW w:w="1134" w:type="dxa"/>
            <w:tcBorders>
              <w:top w:val="single" w:sz="4" w:space="0" w:color="A6A6A6"/>
              <w:bottom w:val="single" w:sz="4" w:space="0" w:color="A6A6A6"/>
            </w:tcBorders>
            <w:shd w:val="clear" w:color="auto" w:fill="E7E6E6"/>
            <w:noWrap/>
          </w:tcPr>
          <w:p w14:paraId="185E5510" w14:textId="77777777" w:rsidR="005F4A7E" w:rsidRPr="002029AF" w:rsidRDefault="005F4A7E" w:rsidP="00130D1C">
            <w:pPr>
              <w:pStyle w:val="ARfintablebodyright"/>
            </w:pPr>
            <w:r w:rsidRPr="00E412CD">
              <w:t>45.1</w:t>
            </w:r>
          </w:p>
        </w:tc>
        <w:tc>
          <w:tcPr>
            <w:tcW w:w="1134" w:type="dxa"/>
            <w:tcBorders>
              <w:top w:val="single" w:sz="4" w:space="0" w:color="A6A6A6"/>
              <w:bottom w:val="single" w:sz="4" w:space="0" w:color="A6A6A6"/>
            </w:tcBorders>
            <w:noWrap/>
          </w:tcPr>
          <w:p w14:paraId="75F1F8C9" w14:textId="77777777" w:rsidR="005F4A7E" w:rsidRPr="002029AF" w:rsidRDefault="005F4A7E" w:rsidP="00130D1C">
            <w:pPr>
              <w:pStyle w:val="ARfintablebodyright"/>
            </w:pPr>
            <w:r w:rsidRPr="00E412CD">
              <w:t>45.6</w:t>
            </w:r>
          </w:p>
        </w:tc>
      </w:tr>
      <w:tr w:rsidR="005F4A7E" w:rsidRPr="002029AF" w14:paraId="091669CB" w14:textId="77777777" w:rsidTr="00860E95">
        <w:tc>
          <w:tcPr>
            <w:tcW w:w="7369" w:type="dxa"/>
            <w:tcBorders>
              <w:top w:val="single" w:sz="4" w:space="0" w:color="A6A6A6"/>
              <w:bottom w:val="single" w:sz="4" w:space="0" w:color="A6A6A6"/>
            </w:tcBorders>
            <w:hideMark/>
          </w:tcPr>
          <w:p w14:paraId="28506D50" w14:textId="77777777" w:rsidR="005F4A7E" w:rsidRPr="002029AF" w:rsidRDefault="005F4A7E" w:rsidP="00130D1C">
            <w:pPr>
              <w:pStyle w:val="ARfintablebody"/>
            </w:pPr>
            <w:r w:rsidRPr="00E412CD">
              <w:t>Swan Hill District Health</w:t>
            </w:r>
          </w:p>
        </w:tc>
        <w:tc>
          <w:tcPr>
            <w:tcW w:w="1134" w:type="dxa"/>
            <w:tcBorders>
              <w:top w:val="single" w:sz="4" w:space="0" w:color="A6A6A6"/>
              <w:bottom w:val="single" w:sz="4" w:space="0" w:color="A6A6A6"/>
            </w:tcBorders>
            <w:shd w:val="clear" w:color="auto" w:fill="E7E6E6"/>
            <w:noWrap/>
            <w:hideMark/>
          </w:tcPr>
          <w:p w14:paraId="307E6ABC" w14:textId="77777777" w:rsidR="005F4A7E" w:rsidRPr="002029AF" w:rsidRDefault="005F4A7E" w:rsidP="00130D1C">
            <w:pPr>
              <w:pStyle w:val="ARfintablebodyright"/>
            </w:pPr>
            <w:r w:rsidRPr="00E412CD">
              <w:t>41.4</w:t>
            </w:r>
          </w:p>
        </w:tc>
        <w:tc>
          <w:tcPr>
            <w:tcW w:w="1134" w:type="dxa"/>
            <w:tcBorders>
              <w:top w:val="single" w:sz="4" w:space="0" w:color="A6A6A6"/>
              <w:bottom w:val="single" w:sz="4" w:space="0" w:color="A6A6A6"/>
            </w:tcBorders>
            <w:noWrap/>
            <w:hideMark/>
          </w:tcPr>
          <w:p w14:paraId="7CD16B83" w14:textId="77777777" w:rsidR="005F4A7E" w:rsidRPr="002029AF" w:rsidRDefault="005F4A7E" w:rsidP="00130D1C">
            <w:pPr>
              <w:pStyle w:val="ARfintablebodyright"/>
            </w:pPr>
            <w:r w:rsidRPr="00E412CD">
              <w:t>43.6</w:t>
            </w:r>
          </w:p>
        </w:tc>
      </w:tr>
      <w:tr w:rsidR="005F4A7E" w:rsidRPr="002029AF" w14:paraId="2D82DB26" w14:textId="77777777" w:rsidTr="00860E95">
        <w:tc>
          <w:tcPr>
            <w:tcW w:w="7369" w:type="dxa"/>
            <w:tcBorders>
              <w:top w:val="single" w:sz="4" w:space="0" w:color="A6A6A6"/>
            </w:tcBorders>
            <w:hideMark/>
          </w:tcPr>
          <w:p w14:paraId="3BE5451F" w14:textId="77777777" w:rsidR="005F4A7E" w:rsidRPr="002029AF" w:rsidRDefault="005F4A7E" w:rsidP="00130D1C">
            <w:pPr>
              <w:pStyle w:val="ARfintablebody"/>
            </w:pPr>
            <w:r w:rsidRPr="00E412CD">
              <w:t>Other public health services, public and denominational hospitals with payments totalling less than $30 million</w:t>
            </w:r>
          </w:p>
        </w:tc>
        <w:tc>
          <w:tcPr>
            <w:tcW w:w="1134" w:type="dxa"/>
            <w:tcBorders>
              <w:top w:val="single" w:sz="4" w:space="0" w:color="A6A6A6"/>
            </w:tcBorders>
            <w:shd w:val="clear" w:color="auto" w:fill="E7E6E6"/>
            <w:noWrap/>
            <w:hideMark/>
          </w:tcPr>
          <w:p w14:paraId="65998ED3" w14:textId="77777777" w:rsidR="005F4A7E" w:rsidRPr="002029AF" w:rsidRDefault="005F4A7E" w:rsidP="00130D1C">
            <w:pPr>
              <w:pStyle w:val="ARfintablebodyright"/>
            </w:pPr>
            <w:r w:rsidRPr="00E412CD">
              <w:t>238.4</w:t>
            </w:r>
          </w:p>
        </w:tc>
        <w:tc>
          <w:tcPr>
            <w:tcW w:w="1134" w:type="dxa"/>
            <w:tcBorders>
              <w:top w:val="single" w:sz="4" w:space="0" w:color="A6A6A6"/>
            </w:tcBorders>
            <w:noWrap/>
            <w:hideMark/>
          </w:tcPr>
          <w:p w14:paraId="4F092951" w14:textId="77777777" w:rsidR="005F4A7E" w:rsidRPr="002029AF" w:rsidRDefault="005F4A7E" w:rsidP="00130D1C">
            <w:pPr>
              <w:pStyle w:val="ARfintablebodyright"/>
            </w:pPr>
            <w:r w:rsidRPr="00E412CD">
              <w:t>336.9</w:t>
            </w:r>
          </w:p>
        </w:tc>
      </w:tr>
      <w:bookmarkEnd w:id="869"/>
      <w:tr w:rsidR="005F4A7E" w:rsidRPr="002029AF" w14:paraId="4608783C" w14:textId="77777777" w:rsidTr="00860E95">
        <w:tc>
          <w:tcPr>
            <w:tcW w:w="7369" w:type="dxa"/>
            <w:tcBorders>
              <w:bottom w:val="single" w:sz="4" w:space="0" w:color="auto"/>
            </w:tcBorders>
            <w:hideMark/>
          </w:tcPr>
          <w:p w14:paraId="101E08AA" w14:textId="77777777" w:rsidR="005F4A7E" w:rsidRPr="002029AF" w:rsidRDefault="005F4A7E" w:rsidP="00130D1C">
            <w:pPr>
              <w:pStyle w:val="ARfintablebodybold"/>
            </w:pPr>
          </w:p>
        </w:tc>
        <w:tc>
          <w:tcPr>
            <w:tcW w:w="1134" w:type="dxa"/>
            <w:tcBorders>
              <w:bottom w:val="single" w:sz="4" w:space="0" w:color="auto"/>
            </w:tcBorders>
            <w:shd w:val="clear" w:color="auto" w:fill="E7E6E6"/>
            <w:noWrap/>
            <w:hideMark/>
          </w:tcPr>
          <w:p w14:paraId="6B3F1CA6" w14:textId="77777777" w:rsidR="005F4A7E" w:rsidRPr="002029AF" w:rsidRDefault="005F4A7E" w:rsidP="00130D1C">
            <w:pPr>
              <w:pStyle w:val="ARfintablebodyrightbold"/>
            </w:pPr>
            <w:r w:rsidRPr="00E412CD">
              <w:t>10,283.3</w:t>
            </w:r>
          </w:p>
        </w:tc>
        <w:tc>
          <w:tcPr>
            <w:tcW w:w="1134" w:type="dxa"/>
            <w:tcBorders>
              <w:bottom w:val="single" w:sz="4" w:space="0" w:color="auto"/>
            </w:tcBorders>
            <w:noWrap/>
            <w:hideMark/>
          </w:tcPr>
          <w:p w14:paraId="6F3B03AA" w14:textId="77777777" w:rsidR="005F4A7E" w:rsidRPr="002029AF" w:rsidRDefault="005F4A7E" w:rsidP="00130D1C">
            <w:pPr>
              <w:pStyle w:val="ARfintablebodyrightbold"/>
            </w:pPr>
            <w:r w:rsidRPr="00E412CD">
              <w:t>10,462.3</w:t>
            </w:r>
          </w:p>
        </w:tc>
      </w:tr>
      <w:tr w:rsidR="005F4A7E" w:rsidRPr="002029AF" w14:paraId="745C5BF9" w14:textId="77777777" w:rsidTr="00860E95">
        <w:tc>
          <w:tcPr>
            <w:tcW w:w="9637" w:type="dxa"/>
            <w:gridSpan w:val="3"/>
            <w:tcBorders>
              <w:top w:val="single" w:sz="4" w:space="0" w:color="auto"/>
              <w:bottom w:val="single" w:sz="4" w:space="0" w:color="A6A6A6"/>
            </w:tcBorders>
            <w:hideMark/>
          </w:tcPr>
          <w:p w14:paraId="4DF969CA" w14:textId="77777777" w:rsidR="005F4A7E" w:rsidRPr="002029AF" w:rsidRDefault="005F4A7E" w:rsidP="00130D1C">
            <w:pPr>
              <w:pStyle w:val="ARfintablebodybold"/>
            </w:pPr>
            <w:r w:rsidRPr="00E412CD">
              <w:t>Commonwealth government</w:t>
            </w:r>
          </w:p>
        </w:tc>
      </w:tr>
      <w:tr w:rsidR="005F4A7E" w:rsidRPr="002029AF" w14:paraId="5E2C0A18" w14:textId="77777777" w:rsidTr="00860E95">
        <w:tc>
          <w:tcPr>
            <w:tcW w:w="7369" w:type="dxa"/>
            <w:tcBorders>
              <w:top w:val="single" w:sz="4" w:space="0" w:color="A6A6A6"/>
              <w:bottom w:val="single" w:sz="4" w:space="0" w:color="auto"/>
            </w:tcBorders>
            <w:hideMark/>
          </w:tcPr>
          <w:p w14:paraId="16414763" w14:textId="77777777" w:rsidR="005F4A7E" w:rsidRPr="002029AF" w:rsidRDefault="005F4A7E" w:rsidP="00130D1C">
            <w:pPr>
              <w:pStyle w:val="ARfintablebody"/>
            </w:pPr>
            <w:r w:rsidRPr="00E412CD">
              <w:t>National Disability Insurance Agency</w:t>
            </w:r>
          </w:p>
        </w:tc>
        <w:tc>
          <w:tcPr>
            <w:tcW w:w="1134" w:type="dxa"/>
            <w:tcBorders>
              <w:top w:val="single" w:sz="4" w:space="0" w:color="A6A6A6"/>
              <w:bottom w:val="single" w:sz="4" w:space="0" w:color="auto"/>
            </w:tcBorders>
            <w:shd w:val="clear" w:color="auto" w:fill="E7E6E6"/>
            <w:noWrap/>
            <w:hideMark/>
          </w:tcPr>
          <w:p w14:paraId="615C520B" w14:textId="77777777" w:rsidR="005F4A7E" w:rsidRPr="002029AF" w:rsidRDefault="005F4A7E" w:rsidP="00130D1C">
            <w:pPr>
              <w:pStyle w:val="ARfintablebodyright"/>
            </w:pPr>
            <w:r w:rsidRPr="00E412CD">
              <w:t>2,083.0</w:t>
            </w:r>
          </w:p>
        </w:tc>
        <w:tc>
          <w:tcPr>
            <w:tcW w:w="1134" w:type="dxa"/>
            <w:tcBorders>
              <w:top w:val="single" w:sz="4" w:space="0" w:color="A6A6A6"/>
              <w:bottom w:val="single" w:sz="4" w:space="0" w:color="auto"/>
            </w:tcBorders>
            <w:noWrap/>
            <w:hideMark/>
          </w:tcPr>
          <w:p w14:paraId="2DC448DD" w14:textId="77777777" w:rsidR="005F4A7E" w:rsidRPr="002029AF" w:rsidRDefault="005F4A7E" w:rsidP="00130D1C">
            <w:pPr>
              <w:pStyle w:val="ARfintablebodyright"/>
            </w:pPr>
            <w:r w:rsidRPr="00E412CD">
              <w:t>1,300.6</w:t>
            </w:r>
          </w:p>
        </w:tc>
      </w:tr>
      <w:tr w:rsidR="005F4A7E" w:rsidRPr="002029AF" w14:paraId="4D33CA25" w14:textId="77777777" w:rsidTr="00860E95">
        <w:tc>
          <w:tcPr>
            <w:tcW w:w="9637" w:type="dxa"/>
            <w:gridSpan w:val="3"/>
            <w:tcBorders>
              <w:top w:val="single" w:sz="4" w:space="0" w:color="auto"/>
              <w:bottom w:val="single" w:sz="4" w:space="0" w:color="A6A6A6"/>
            </w:tcBorders>
            <w:hideMark/>
          </w:tcPr>
          <w:p w14:paraId="5A8C2351" w14:textId="77777777" w:rsidR="005F4A7E" w:rsidRPr="002029AF" w:rsidRDefault="005F4A7E" w:rsidP="00130D1C">
            <w:pPr>
              <w:pStyle w:val="ARfintablebodybold"/>
            </w:pPr>
            <w:r w:rsidRPr="00E412CD">
              <w:t>Other</w:t>
            </w:r>
          </w:p>
        </w:tc>
      </w:tr>
      <w:tr w:rsidR="005F4A7E" w:rsidRPr="002029AF" w14:paraId="0F077DF7" w14:textId="77777777" w:rsidTr="00860E95">
        <w:tc>
          <w:tcPr>
            <w:tcW w:w="7369" w:type="dxa"/>
            <w:tcBorders>
              <w:top w:val="single" w:sz="4" w:space="0" w:color="A6A6A6"/>
              <w:bottom w:val="single" w:sz="4" w:space="0" w:color="A6A6A6"/>
            </w:tcBorders>
            <w:hideMark/>
          </w:tcPr>
          <w:p w14:paraId="56DEC09C" w14:textId="77777777" w:rsidR="005F4A7E" w:rsidRPr="002029AF" w:rsidRDefault="005F4A7E" w:rsidP="00130D1C">
            <w:pPr>
              <w:pStyle w:val="ARfintablebody"/>
            </w:pPr>
            <w:r w:rsidRPr="00E45C2E">
              <w:t>Cross Border</w:t>
            </w:r>
            <w:r w:rsidRPr="00E412CD">
              <w:t xml:space="preserve"> with other jurisdictions</w:t>
            </w:r>
          </w:p>
        </w:tc>
        <w:tc>
          <w:tcPr>
            <w:tcW w:w="1134" w:type="dxa"/>
            <w:tcBorders>
              <w:top w:val="single" w:sz="4" w:space="0" w:color="A6A6A6"/>
              <w:bottom w:val="single" w:sz="4" w:space="0" w:color="A6A6A6"/>
            </w:tcBorders>
            <w:shd w:val="clear" w:color="auto" w:fill="E7E6E6"/>
            <w:noWrap/>
            <w:hideMark/>
          </w:tcPr>
          <w:p w14:paraId="3A901257" w14:textId="77777777" w:rsidR="005F4A7E" w:rsidRPr="002029AF" w:rsidRDefault="005F4A7E" w:rsidP="00130D1C">
            <w:pPr>
              <w:pStyle w:val="ARfintablebodyright"/>
            </w:pPr>
            <w:r w:rsidRPr="00E412CD">
              <w:t>52.1</w:t>
            </w:r>
          </w:p>
        </w:tc>
        <w:tc>
          <w:tcPr>
            <w:tcW w:w="1134" w:type="dxa"/>
            <w:tcBorders>
              <w:top w:val="single" w:sz="4" w:space="0" w:color="A6A6A6"/>
              <w:bottom w:val="single" w:sz="4" w:space="0" w:color="A6A6A6"/>
            </w:tcBorders>
            <w:noWrap/>
            <w:hideMark/>
          </w:tcPr>
          <w:p w14:paraId="441C5C23" w14:textId="77777777" w:rsidR="005F4A7E" w:rsidRPr="002029AF" w:rsidRDefault="005F4A7E" w:rsidP="00130D1C">
            <w:pPr>
              <w:pStyle w:val="ARfintablebodyright"/>
            </w:pPr>
            <w:r w:rsidRPr="00E412CD">
              <w:t>313.3</w:t>
            </w:r>
          </w:p>
        </w:tc>
      </w:tr>
      <w:tr w:rsidR="005F4A7E" w:rsidRPr="002029AF" w14:paraId="4D42A028" w14:textId="77777777" w:rsidTr="00860E95">
        <w:tc>
          <w:tcPr>
            <w:tcW w:w="7369" w:type="dxa"/>
            <w:tcBorders>
              <w:top w:val="single" w:sz="4" w:space="0" w:color="A6A6A6"/>
            </w:tcBorders>
            <w:hideMark/>
          </w:tcPr>
          <w:p w14:paraId="2D7818A4" w14:textId="77777777" w:rsidR="005F4A7E" w:rsidRPr="002029AF" w:rsidRDefault="005F4A7E" w:rsidP="00130D1C">
            <w:pPr>
              <w:pStyle w:val="ARfintablebody"/>
            </w:pPr>
            <w:r w:rsidRPr="00E412CD">
              <w:t>Other organisations with payments totalling less than $10 million</w:t>
            </w:r>
          </w:p>
        </w:tc>
        <w:tc>
          <w:tcPr>
            <w:tcW w:w="1134" w:type="dxa"/>
            <w:tcBorders>
              <w:top w:val="single" w:sz="4" w:space="0" w:color="A6A6A6"/>
            </w:tcBorders>
            <w:shd w:val="clear" w:color="auto" w:fill="E7E6E6"/>
            <w:noWrap/>
            <w:hideMark/>
          </w:tcPr>
          <w:p w14:paraId="73560FFC" w14:textId="77777777" w:rsidR="005F4A7E" w:rsidRPr="002029AF" w:rsidRDefault="005F4A7E" w:rsidP="00130D1C">
            <w:pPr>
              <w:pStyle w:val="ARfintablebodyright"/>
            </w:pPr>
            <w:r w:rsidRPr="00E412CD">
              <w:t>8.0</w:t>
            </w:r>
          </w:p>
        </w:tc>
        <w:tc>
          <w:tcPr>
            <w:tcW w:w="1134" w:type="dxa"/>
            <w:tcBorders>
              <w:top w:val="single" w:sz="4" w:space="0" w:color="A6A6A6"/>
            </w:tcBorders>
            <w:noWrap/>
            <w:hideMark/>
          </w:tcPr>
          <w:p w14:paraId="47B03088" w14:textId="77777777" w:rsidR="005F4A7E" w:rsidRPr="002029AF" w:rsidRDefault="005F4A7E" w:rsidP="00130D1C">
            <w:pPr>
              <w:pStyle w:val="ARfintablebodyright"/>
            </w:pPr>
            <w:r w:rsidRPr="00E412CD">
              <w:t>35.0</w:t>
            </w:r>
          </w:p>
        </w:tc>
      </w:tr>
      <w:tr w:rsidR="005F4A7E" w:rsidRPr="002029AF" w14:paraId="210BF386" w14:textId="77777777" w:rsidTr="00860E95">
        <w:tc>
          <w:tcPr>
            <w:tcW w:w="7369" w:type="dxa"/>
            <w:hideMark/>
          </w:tcPr>
          <w:p w14:paraId="1006F4B4" w14:textId="77777777" w:rsidR="005F4A7E" w:rsidRPr="002029AF" w:rsidRDefault="005F4A7E" w:rsidP="00130D1C">
            <w:pPr>
              <w:pStyle w:val="ARfintablebodybold"/>
            </w:pPr>
            <w:r w:rsidRPr="00E412CD">
              <w:t>Total grants and other expense transfers</w:t>
            </w:r>
          </w:p>
        </w:tc>
        <w:tc>
          <w:tcPr>
            <w:tcW w:w="1134" w:type="dxa"/>
            <w:shd w:val="clear" w:color="auto" w:fill="E7E6E6"/>
            <w:noWrap/>
            <w:hideMark/>
          </w:tcPr>
          <w:p w14:paraId="75E64C84" w14:textId="77777777" w:rsidR="005F4A7E" w:rsidRPr="002029AF" w:rsidRDefault="005F4A7E" w:rsidP="00130D1C">
            <w:pPr>
              <w:pStyle w:val="ARfintablebodyrightbold"/>
            </w:pPr>
            <w:r w:rsidRPr="00E412CD">
              <w:t>12,426.4</w:t>
            </w:r>
          </w:p>
        </w:tc>
        <w:tc>
          <w:tcPr>
            <w:tcW w:w="1134" w:type="dxa"/>
            <w:noWrap/>
            <w:hideMark/>
          </w:tcPr>
          <w:p w14:paraId="1F126DD3" w14:textId="77777777" w:rsidR="005F4A7E" w:rsidRPr="002029AF" w:rsidRDefault="005F4A7E" w:rsidP="00130D1C">
            <w:pPr>
              <w:pStyle w:val="ARfintablebodyrightbold"/>
            </w:pPr>
            <w:r w:rsidRPr="00E412CD">
              <w:t>12,111.2</w:t>
            </w:r>
          </w:p>
        </w:tc>
      </w:tr>
    </w:tbl>
    <w:p w14:paraId="628A142D" w14:textId="77777777" w:rsidR="005F4A7E" w:rsidRDefault="005F4A7E" w:rsidP="00130D1C">
      <w:pPr>
        <w:pStyle w:val="ARfintablefootnote"/>
        <w:spacing w:line="240" w:lineRule="auto"/>
        <w:rPr>
          <w:rFonts w:cs="Arial"/>
          <w:lang w:eastAsia="en-AU"/>
        </w:rPr>
      </w:pPr>
      <w:bookmarkStart w:id="870" w:name="_Toc39136713"/>
      <w:bookmarkStart w:id="871" w:name="_Toc39242142"/>
      <w:r>
        <w:rPr>
          <w:rFonts w:cs="Arial"/>
          <w:lang w:eastAsia="en-AU"/>
        </w:rPr>
        <w:t>Note:</w:t>
      </w:r>
    </w:p>
    <w:p w14:paraId="6634DA89" w14:textId="77777777" w:rsidR="005F4A7E" w:rsidRDefault="005F4A7E" w:rsidP="00130D1C">
      <w:pPr>
        <w:pStyle w:val="ARfintablefootnoteindent"/>
      </w:pPr>
      <w:r>
        <w:t>(i)</w:t>
      </w:r>
      <w:r>
        <w:tab/>
        <w:t xml:space="preserve">As defined in schedules 1, 2 and 5 of the </w:t>
      </w:r>
      <w:r>
        <w:rPr>
          <w:rStyle w:val="Emphasis"/>
        </w:rPr>
        <w:t>Health Services Act 1988</w:t>
      </w:r>
      <w:r>
        <w:t>.</w:t>
      </w:r>
    </w:p>
    <w:p w14:paraId="14B0B1F5" w14:textId="77777777" w:rsidR="005F4A7E" w:rsidRDefault="005F4A7E" w:rsidP="00130D1C">
      <w:pPr>
        <w:pStyle w:val="Heading4"/>
      </w:pPr>
      <w:bookmarkStart w:id="872" w:name="_Toc85121421"/>
      <w:bookmarkEnd w:id="830"/>
      <w:bookmarkEnd w:id="870"/>
      <w:bookmarkEnd w:id="871"/>
      <w:r>
        <w:t>4.3 Restructuring of administrative arrangements</w:t>
      </w:r>
      <w:bookmarkEnd w:id="872"/>
    </w:p>
    <w:p w14:paraId="59A7C4F7" w14:textId="77777777" w:rsidR="005F4A7E" w:rsidRDefault="005F4A7E" w:rsidP="00130D1C">
      <w:pPr>
        <w:pStyle w:val="ARfinbody"/>
      </w:pPr>
      <w:r>
        <w:t>The Victorian Government issued an administrative order restructuring some of its activities via machinery of government changes. As part of the machinery of government restructure:</w:t>
      </w:r>
    </w:p>
    <w:p w14:paraId="143C2414" w14:textId="7EF57892" w:rsidR="005F4A7E" w:rsidRDefault="005F4A7E" w:rsidP="00130D1C">
      <w:pPr>
        <w:pStyle w:val="ARfinbodylargespace"/>
      </w:pPr>
      <w:r>
        <w:t xml:space="preserve">The Department of Health transferred the Medical Research function to the Department of Jobs, Precincts and Regions effective from 1 July 2020. The net assets transferred by the department for this function are at the carrying amount of </w:t>
      </w:r>
      <w:r w:rsidRPr="00E2348F">
        <w:t>those assets in the department</w:t>
      </w:r>
      <w:r w:rsidR="007D145B">
        <w:t>’</w:t>
      </w:r>
      <w:r w:rsidRPr="00E2348F">
        <w:t>s balance sheet immediately before the transfer:</w:t>
      </w:r>
    </w:p>
    <w:tbl>
      <w:tblPr>
        <w:tblStyle w:val="TableGrid"/>
        <w:tblW w:w="9639" w:type="dxa"/>
        <w:tblLayout w:type="fixed"/>
        <w:tblLook w:val="04A0" w:firstRow="1" w:lastRow="0" w:firstColumn="1" w:lastColumn="0" w:noHBand="0" w:noVBand="1"/>
      </w:tblPr>
      <w:tblGrid>
        <w:gridCol w:w="2835"/>
        <w:gridCol w:w="2835"/>
        <w:gridCol w:w="2835"/>
        <w:gridCol w:w="1134"/>
      </w:tblGrid>
      <w:tr w:rsidR="005F4A7E" w14:paraId="13C8DEEF" w14:textId="77777777" w:rsidTr="007126D4">
        <w:trPr>
          <w:cnfStyle w:val="100000000000" w:firstRow="1" w:lastRow="0" w:firstColumn="0" w:lastColumn="0" w:oddVBand="0" w:evenVBand="0" w:oddHBand="0" w:evenHBand="0" w:firstRowFirstColumn="0" w:firstRowLastColumn="0" w:lastRowFirstColumn="0" w:lastRowLastColumn="0"/>
          <w:tblHeader/>
        </w:trPr>
        <w:tc>
          <w:tcPr>
            <w:tcW w:w="2835" w:type="dxa"/>
            <w:hideMark/>
          </w:tcPr>
          <w:p w14:paraId="6240DFC4" w14:textId="77777777" w:rsidR="005F4A7E" w:rsidRDefault="005F4A7E" w:rsidP="00530C05">
            <w:pPr>
              <w:pStyle w:val="ARfintablecolhead"/>
            </w:pPr>
            <w:r>
              <w:t>Function</w:t>
            </w:r>
          </w:p>
        </w:tc>
        <w:tc>
          <w:tcPr>
            <w:tcW w:w="2835" w:type="dxa"/>
            <w:hideMark/>
          </w:tcPr>
          <w:p w14:paraId="6DD54D7F" w14:textId="77777777" w:rsidR="005F4A7E" w:rsidRDefault="005F4A7E" w:rsidP="00530C05">
            <w:pPr>
              <w:pStyle w:val="ARfintablecolhead"/>
            </w:pPr>
            <w:r>
              <w:t>Transferor</w:t>
            </w:r>
          </w:p>
        </w:tc>
        <w:tc>
          <w:tcPr>
            <w:tcW w:w="2835" w:type="dxa"/>
            <w:hideMark/>
          </w:tcPr>
          <w:p w14:paraId="2B0B0589" w14:textId="77777777" w:rsidR="005F4A7E" w:rsidRDefault="005F4A7E" w:rsidP="00530C05">
            <w:pPr>
              <w:pStyle w:val="ARfintablecolhead"/>
            </w:pPr>
            <w:r>
              <w:t>Transferee</w:t>
            </w:r>
          </w:p>
        </w:tc>
        <w:tc>
          <w:tcPr>
            <w:tcW w:w="1134" w:type="dxa"/>
            <w:hideMark/>
          </w:tcPr>
          <w:p w14:paraId="60E0311C" w14:textId="77777777" w:rsidR="005F4A7E" w:rsidRDefault="005F4A7E" w:rsidP="00530C05">
            <w:pPr>
              <w:pStyle w:val="ARfintablecolheadright"/>
            </w:pPr>
            <w:r>
              <w:t>$M</w:t>
            </w:r>
          </w:p>
        </w:tc>
      </w:tr>
      <w:tr w:rsidR="005F4A7E" w14:paraId="4843B664" w14:textId="77777777" w:rsidTr="00530C05">
        <w:trPr>
          <w:cantSplit w:val="0"/>
        </w:trPr>
        <w:tc>
          <w:tcPr>
            <w:tcW w:w="2835" w:type="dxa"/>
            <w:hideMark/>
          </w:tcPr>
          <w:p w14:paraId="1C1D2F8C" w14:textId="77777777" w:rsidR="005F4A7E" w:rsidRDefault="005F4A7E" w:rsidP="00530C05">
            <w:pPr>
              <w:pStyle w:val="ARfintablebody"/>
            </w:pPr>
            <w:r>
              <w:t>Medical Research</w:t>
            </w:r>
          </w:p>
        </w:tc>
        <w:tc>
          <w:tcPr>
            <w:tcW w:w="2835" w:type="dxa"/>
            <w:hideMark/>
          </w:tcPr>
          <w:p w14:paraId="26B5D498" w14:textId="77777777" w:rsidR="005F4A7E" w:rsidRDefault="005F4A7E" w:rsidP="00530C05">
            <w:pPr>
              <w:pStyle w:val="ARfintablebody"/>
            </w:pPr>
            <w:r>
              <w:t>Department of Health and Human Services (now Department of Health)</w:t>
            </w:r>
          </w:p>
        </w:tc>
        <w:tc>
          <w:tcPr>
            <w:tcW w:w="2835" w:type="dxa"/>
            <w:hideMark/>
          </w:tcPr>
          <w:p w14:paraId="28A990AE" w14:textId="77777777" w:rsidR="005F4A7E" w:rsidRDefault="005F4A7E" w:rsidP="00530C05">
            <w:pPr>
              <w:pStyle w:val="ARfintablebody"/>
            </w:pPr>
            <w:r>
              <w:t>Department of Jobs, Precincts and Regions</w:t>
            </w:r>
          </w:p>
        </w:tc>
        <w:tc>
          <w:tcPr>
            <w:tcW w:w="1134" w:type="dxa"/>
            <w:hideMark/>
          </w:tcPr>
          <w:p w14:paraId="0C20254D" w14:textId="77777777" w:rsidR="005F4A7E" w:rsidRDefault="005F4A7E" w:rsidP="00530C05">
            <w:pPr>
              <w:pStyle w:val="ARfintablebodyright"/>
            </w:pPr>
            <w:r>
              <w:t>2.7</w:t>
            </w:r>
          </w:p>
        </w:tc>
      </w:tr>
    </w:tbl>
    <w:p w14:paraId="68B8F5BD" w14:textId="77777777" w:rsidR="005F4A7E" w:rsidRDefault="005F4A7E" w:rsidP="00130D1C">
      <w:pPr>
        <w:pStyle w:val="ARfinbodyaftertable"/>
      </w:pPr>
      <w:bookmarkStart w:id="873" w:name="_Hlk82187633"/>
      <w:r>
        <w:t>The Department of Health transferred the Child Protection, Prevention of Family Violence, Housing and Disability functions to the Department of Families, Fairness and Housing effective from 1 February 2021.</w:t>
      </w:r>
    </w:p>
    <w:p w14:paraId="1AB84494" w14:textId="77777777" w:rsidR="005F4A7E" w:rsidRDefault="005F4A7E" w:rsidP="00130D1C">
      <w:pPr>
        <w:pStyle w:val="ARfinbody"/>
      </w:pPr>
      <w:r>
        <w:t xml:space="preserve">The Department of Premier and Cabinet transferred the Fairer Victoria and </w:t>
      </w:r>
      <w:r w:rsidRPr="00E45C2E">
        <w:t>Family Violence,</w:t>
      </w:r>
      <w:r w:rsidRPr="00EA382D">
        <w:t xml:space="preserve"> Respect Victoria,</w:t>
      </w:r>
      <w:r>
        <w:t xml:space="preserve"> Victorian Multicultural Commission, and Victorian Veterans Council to the Department of Families, Fairness and Housing effective from 1 February 2021.</w:t>
      </w:r>
    </w:p>
    <w:p w14:paraId="2A2BB157" w14:textId="143BD41E" w:rsidR="005F4A7E" w:rsidRDefault="005F4A7E" w:rsidP="00130D1C">
      <w:pPr>
        <w:pStyle w:val="ARfinbodylargespace"/>
      </w:pPr>
      <w:r>
        <w:t>The net assets transferred by the departments for these functions are at the carrying amount of those assets in the departments</w:t>
      </w:r>
      <w:r w:rsidR="007D145B">
        <w:t>’</w:t>
      </w:r>
      <w:r>
        <w:t xml:space="preserve"> respective balance sheets immediately before the transfers:</w:t>
      </w:r>
      <w:bookmarkEnd w:id="873"/>
    </w:p>
    <w:tbl>
      <w:tblPr>
        <w:tblStyle w:val="TableGrid"/>
        <w:tblpPr w:leftFromText="180" w:rightFromText="180" w:bottomFromText="120" w:vertAnchor="text" w:horzAnchor="margin" w:tblpY="-59"/>
        <w:tblW w:w="9639" w:type="dxa"/>
        <w:tblLayout w:type="fixed"/>
        <w:tblLook w:val="04A0" w:firstRow="1" w:lastRow="0" w:firstColumn="1" w:lastColumn="0" w:noHBand="0" w:noVBand="1"/>
      </w:tblPr>
      <w:tblGrid>
        <w:gridCol w:w="2835"/>
        <w:gridCol w:w="2835"/>
        <w:gridCol w:w="2835"/>
        <w:gridCol w:w="1134"/>
      </w:tblGrid>
      <w:tr w:rsidR="005F4A7E" w14:paraId="253EA978" w14:textId="77777777" w:rsidTr="007126D4">
        <w:trPr>
          <w:cnfStyle w:val="100000000000" w:firstRow="1" w:lastRow="0" w:firstColumn="0" w:lastColumn="0" w:oddVBand="0" w:evenVBand="0" w:oddHBand="0" w:evenHBand="0" w:firstRowFirstColumn="0" w:firstRowLastColumn="0" w:lastRowFirstColumn="0" w:lastRowLastColumn="0"/>
          <w:tblHeader/>
        </w:trPr>
        <w:tc>
          <w:tcPr>
            <w:tcW w:w="2835" w:type="dxa"/>
            <w:tcBorders>
              <w:bottom w:val="single" w:sz="4" w:space="0" w:color="auto"/>
            </w:tcBorders>
            <w:hideMark/>
          </w:tcPr>
          <w:p w14:paraId="693F2CB2" w14:textId="77777777" w:rsidR="005F4A7E" w:rsidRDefault="005F4A7E" w:rsidP="00130D1C">
            <w:pPr>
              <w:pStyle w:val="ARfintablecolhead"/>
            </w:pPr>
            <w:r>
              <w:t>Function</w:t>
            </w:r>
          </w:p>
        </w:tc>
        <w:tc>
          <w:tcPr>
            <w:tcW w:w="2835" w:type="dxa"/>
            <w:tcBorders>
              <w:bottom w:val="single" w:sz="4" w:space="0" w:color="auto"/>
            </w:tcBorders>
            <w:hideMark/>
          </w:tcPr>
          <w:p w14:paraId="37A29D8E" w14:textId="77777777" w:rsidR="005F4A7E" w:rsidRDefault="005F4A7E" w:rsidP="00130D1C">
            <w:pPr>
              <w:pStyle w:val="ARfintablecolhead"/>
            </w:pPr>
            <w:r>
              <w:t>Transferor</w:t>
            </w:r>
          </w:p>
        </w:tc>
        <w:tc>
          <w:tcPr>
            <w:tcW w:w="2835" w:type="dxa"/>
            <w:tcBorders>
              <w:bottom w:val="single" w:sz="4" w:space="0" w:color="auto"/>
            </w:tcBorders>
            <w:hideMark/>
          </w:tcPr>
          <w:p w14:paraId="748311D8" w14:textId="77777777" w:rsidR="005F4A7E" w:rsidRDefault="005F4A7E" w:rsidP="00130D1C">
            <w:pPr>
              <w:pStyle w:val="ARfintablecolhead"/>
            </w:pPr>
            <w:r>
              <w:t>Transferee</w:t>
            </w:r>
          </w:p>
        </w:tc>
        <w:tc>
          <w:tcPr>
            <w:tcW w:w="1134" w:type="dxa"/>
            <w:tcBorders>
              <w:bottom w:val="single" w:sz="4" w:space="0" w:color="auto"/>
            </w:tcBorders>
            <w:hideMark/>
          </w:tcPr>
          <w:p w14:paraId="635093B0" w14:textId="77777777" w:rsidR="005F4A7E" w:rsidRDefault="005F4A7E" w:rsidP="00130D1C">
            <w:pPr>
              <w:pStyle w:val="ARfintablecolheadright"/>
            </w:pPr>
            <w:r>
              <w:t>$M</w:t>
            </w:r>
          </w:p>
        </w:tc>
      </w:tr>
      <w:tr w:rsidR="005F4A7E" w14:paraId="6147AC45" w14:textId="77777777" w:rsidTr="00130D1C">
        <w:trPr>
          <w:cantSplit w:val="0"/>
        </w:trPr>
        <w:tc>
          <w:tcPr>
            <w:tcW w:w="2835" w:type="dxa"/>
            <w:tcBorders>
              <w:top w:val="single" w:sz="4" w:space="0" w:color="auto"/>
              <w:bottom w:val="single" w:sz="4" w:space="0" w:color="A6A6A6"/>
            </w:tcBorders>
            <w:hideMark/>
          </w:tcPr>
          <w:p w14:paraId="6FF834F6" w14:textId="77777777" w:rsidR="005F4A7E" w:rsidRDefault="005F4A7E" w:rsidP="00130D1C">
            <w:pPr>
              <w:pStyle w:val="ARfintablebody"/>
            </w:pPr>
            <w:r w:rsidRPr="00B56C97">
              <w:t>Child Protection, Prevention of Family Violence, Housing and Disability</w:t>
            </w:r>
          </w:p>
        </w:tc>
        <w:tc>
          <w:tcPr>
            <w:tcW w:w="2835" w:type="dxa"/>
            <w:tcBorders>
              <w:top w:val="single" w:sz="4" w:space="0" w:color="auto"/>
              <w:bottom w:val="single" w:sz="4" w:space="0" w:color="A6A6A6"/>
            </w:tcBorders>
            <w:hideMark/>
          </w:tcPr>
          <w:p w14:paraId="2014AF70" w14:textId="77777777" w:rsidR="005F4A7E" w:rsidRDefault="005F4A7E" w:rsidP="00130D1C">
            <w:pPr>
              <w:pStyle w:val="ARfintablebody"/>
            </w:pPr>
            <w:r w:rsidRPr="00B56C97">
              <w:t>Department of Health and Human Services (now Department of Health)</w:t>
            </w:r>
          </w:p>
        </w:tc>
        <w:tc>
          <w:tcPr>
            <w:tcW w:w="2835" w:type="dxa"/>
            <w:tcBorders>
              <w:top w:val="single" w:sz="4" w:space="0" w:color="auto"/>
              <w:bottom w:val="single" w:sz="4" w:space="0" w:color="A6A6A6"/>
            </w:tcBorders>
            <w:hideMark/>
          </w:tcPr>
          <w:p w14:paraId="549B2F15" w14:textId="77777777" w:rsidR="005F4A7E" w:rsidRDefault="005F4A7E" w:rsidP="00130D1C">
            <w:pPr>
              <w:pStyle w:val="ARfintablebody"/>
            </w:pPr>
            <w:r w:rsidRPr="00B56C97">
              <w:t>Department of Families, Fairness and Housing</w:t>
            </w:r>
          </w:p>
        </w:tc>
        <w:tc>
          <w:tcPr>
            <w:tcW w:w="1134" w:type="dxa"/>
            <w:tcBorders>
              <w:top w:val="single" w:sz="4" w:space="0" w:color="auto"/>
              <w:bottom w:val="single" w:sz="4" w:space="0" w:color="A6A6A6"/>
            </w:tcBorders>
            <w:hideMark/>
          </w:tcPr>
          <w:p w14:paraId="606A18D6" w14:textId="77777777" w:rsidR="005F4A7E" w:rsidRDefault="005F4A7E" w:rsidP="00130D1C">
            <w:pPr>
              <w:pStyle w:val="ARfintablebodyright"/>
            </w:pPr>
            <w:r w:rsidRPr="00B56C97">
              <w:t>1,282.4</w:t>
            </w:r>
          </w:p>
        </w:tc>
      </w:tr>
      <w:tr w:rsidR="005F4A7E" w14:paraId="5B6C2318" w14:textId="77777777" w:rsidTr="00130D1C">
        <w:trPr>
          <w:cantSplit w:val="0"/>
        </w:trPr>
        <w:tc>
          <w:tcPr>
            <w:tcW w:w="2835" w:type="dxa"/>
            <w:tcBorders>
              <w:top w:val="single" w:sz="4" w:space="0" w:color="A6A6A6"/>
              <w:bottom w:val="single" w:sz="4" w:space="0" w:color="A6A6A6"/>
            </w:tcBorders>
          </w:tcPr>
          <w:p w14:paraId="15A8CDCD" w14:textId="77777777" w:rsidR="005F4A7E" w:rsidRDefault="005F4A7E" w:rsidP="00130D1C">
            <w:pPr>
              <w:pStyle w:val="ARfintablebody"/>
            </w:pPr>
            <w:r w:rsidRPr="00B56C97">
              <w:t xml:space="preserve">Fairer Victoria </w:t>
            </w:r>
            <w:r w:rsidRPr="00E45C2E">
              <w:t>and Family Violence</w:t>
            </w:r>
          </w:p>
        </w:tc>
        <w:tc>
          <w:tcPr>
            <w:tcW w:w="2835" w:type="dxa"/>
            <w:tcBorders>
              <w:top w:val="single" w:sz="4" w:space="0" w:color="A6A6A6"/>
              <w:bottom w:val="single" w:sz="4" w:space="0" w:color="A6A6A6"/>
            </w:tcBorders>
          </w:tcPr>
          <w:p w14:paraId="07EBF92F" w14:textId="77777777" w:rsidR="005F4A7E" w:rsidRDefault="005F4A7E" w:rsidP="00130D1C">
            <w:pPr>
              <w:pStyle w:val="ARfintablebody"/>
            </w:pPr>
            <w:r w:rsidRPr="00B56C97">
              <w:t>Department of Premier and Cabinet</w:t>
            </w:r>
          </w:p>
        </w:tc>
        <w:tc>
          <w:tcPr>
            <w:tcW w:w="2835" w:type="dxa"/>
            <w:tcBorders>
              <w:top w:val="single" w:sz="4" w:space="0" w:color="A6A6A6"/>
              <w:bottom w:val="single" w:sz="4" w:space="0" w:color="A6A6A6"/>
            </w:tcBorders>
          </w:tcPr>
          <w:p w14:paraId="02C32D09" w14:textId="77777777" w:rsidR="005F4A7E" w:rsidRDefault="005F4A7E" w:rsidP="00130D1C">
            <w:pPr>
              <w:pStyle w:val="ARfintablebody"/>
            </w:pPr>
            <w:r w:rsidRPr="00B56C97">
              <w:t>Department of Families, Fairness and Housing</w:t>
            </w:r>
          </w:p>
        </w:tc>
        <w:tc>
          <w:tcPr>
            <w:tcW w:w="1134" w:type="dxa"/>
            <w:tcBorders>
              <w:top w:val="single" w:sz="4" w:space="0" w:color="A6A6A6"/>
              <w:bottom w:val="single" w:sz="4" w:space="0" w:color="A6A6A6"/>
            </w:tcBorders>
          </w:tcPr>
          <w:p w14:paraId="14A36526" w14:textId="77777777" w:rsidR="005F4A7E" w:rsidRDefault="005F4A7E" w:rsidP="00130D1C">
            <w:pPr>
              <w:pStyle w:val="ARfintablebodyright"/>
            </w:pPr>
            <w:r w:rsidRPr="00B56C97">
              <w:t>5.6</w:t>
            </w:r>
          </w:p>
        </w:tc>
      </w:tr>
      <w:tr w:rsidR="005F4A7E" w14:paraId="1CEA6CF2" w14:textId="77777777" w:rsidTr="00130D1C">
        <w:trPr>
          <w:cantSplit w:val="0"/>
        </w:trPr>
        <w:tc>
          <w:tcPr>
            <w:tcW w:w="2835" w:type="dxa"/>
            <w:tcBorders>
              <w:top w:val="single" w:sz="4" w:space="0" w:color="A6A6A6"/>
              <w:bottom w:val="single" w:sz="4" w:space="0" w:color="A6A6A6"/>
            </w:tcBorders>
          </w:tcPr>
          <w:p w14:paraId="5E8B3AB7" w14:textId="77777777" w:rsidR="005F4A7E" w:rsidRDefault="005F4A7E" w:rsidP="00130D1C">
            <w:pPr>
              <w:pStyle w:val="ARfintablebody"/>
            </w:pPr>
            <w:r w:rsidRPr="00B56C97">
              <w:t>Respect Victoria</w:t>
            </w:r>
          </w:p>
        </w:tc>
        <w:tc>
          <w:tcPr>
            <w:tcW w:w="2835" w:type="dxa"/>
            <w:tcBorders>
              <w:top w:val="single" w:sz="4" w:space="0" w:color="A6A6A6"/>
              <w:bottom w:val="single" w:sz="4" w:space="0" w:color="A6A6A6"/>
            </w:tcBorders>
          </w:tcPr>
          <w:p w14:paraId="1E586702" w14:textId="77777777" w:rsidR="005F4A7E" w:rsidRDefault="005F4A7E" w:rsidP="00130D1C">
            <w:pPr>
              <w:pStyle w:val="ARfintablebody"/>
            </w:pPr>
            <w:r w:rsidRPr="00B56C97">
              <w:t>Department of Premier and Cabinet</w:t>
            </w:r>
          </w:p>
        </w:tc>
        <w:tc>
          <w:tcPr>
            <w:tcW w:w="2835" w:type="dxa"/>
            <w:tcBorders>
              <w:top w:val="single" w:sz="4" w:space="0" w:color="A6A6A6"/>
              <w:bottom w:val="single" w:sz="4" w:space="0" w:color="A6A6A6"/>
            </w:tcBorders>
          </w:tcPr>
          <w:p w14:paraId="40747A1D" w14:textId="77777777" w:rsidR="005F4A7E" w:rsidRDefault="005F4A7E" w:rsidP="00130D1C">
            <w:pPr>
              <w:pStyle w:val="ARfintablebody"/>
            </w:pPr>
            <w:r w:rsidRPr="00B56C97">
              <w:t>Department of Families, Fairness and Housing</w:t>
            </w:r>
          </w:p>
        </w:tc>
        <w:tc>
          <w:tcPr>
            <w:tcW w:w="1134" w:type="dxa"/>
            <w:tcBorders>
              <w:top w:val="single" w:sz="4" w:space="0" w:color="A6A6A6"/>
              <w:bottom w:val="single" w:sz="4" w:space="0" w:color="A6A6A6"/>
            </w:tcBorders>
          </w:tcPr>
          <w:p w14:paraId="4F7D81D3" w14:textId="77777777" w:rsidR="005F4A7E" w:rsidRDefault="005F4A7E" w:rsidP="00130D1C">
            <w:pPr>
              <w:pStyle w:val="ARfintablebodyright"/>
            </w:pPr>
            <w:r w:rsidRPr="00B56C97">
              <w:t>0.7</w:t>
            </w:r>
          </w:p>
        </w:tc>
      </w:tr>
      <w:tr w:rsidR="005F4A7E" w14:paraId="57C1705E" w14:textId="77777777" w:rsidTr="00130D1C">
        <w:trPr>
          <w:cantSplit w:val="0"/>
        </w:trPr>
        <w:tc>
          <w:tcPr>
            <w:tcW w:w="2835" w:type="dxa"/>
            <w:tcBorders>
              <w:top w:val="single" w:sz="4" w:space="0" w:color="A6A6A6"/>
              <w:bottom w:val="single" w:sz="4" w:space="0" w:color="A6A6A6"/>
            </w:tcBorders>
          </w:tcPr>
          <w:p w14:paraId="68624BF7" w14:textId="77777777" w:rsidR="005F4A7E" w:rsidRDefault="005F4A7E" w:rsidP="00130D1C">
            <w:pPr>
              <w:pStyle w:val="ARfintablebody"/>
            </w:pPr>
            <w:r w:rsidRPr="00B56C97">
              <w:t>Victorian Multicultural Commission</w:t>
            </w:r>
          </w:p>
        </w:tc>
        <w:tc>
          <w:tcPr>
            <w:tcW w:w="2835" w:type="dxa"/>
            <w:tcBorders>
              <w:top w:val="single" w:sz="4" w:space="0" w:color="A6A6A6"/>
              <w:bottom w:val="single" w:sz="4" w:space="0" w:color="A6A6A6"/>
            </w:tcBorders>
          </w:tcPr>
          <w:p w14:paraId="1E092A95" w14:textId="77777777" w:rsidR="005F4A7E" w:rsidRDefault="005F4A7E" w:rsidP="00130D1C">
            <w:pPr>
              <w:pStyle w:val="ARfintablebody"/>
            </w:pPr>
            <w:r w:rsidRPr="00B56C97">
              <w:t>Department of Premier and Cabinet</w:t>
            </w:r>
          </w:p>
        </w:tc>
        <w:tc>
          <w:tcPr>
            <w:tcW w:w="2835" w:type="dxa"/>
            <w:tcBorders>
              <w:top w:val="single" w:sz="4" w:space="0" w:color="A6A6A6"/>
              <w:bottom w:val="single" w:sz="4" w:space="0" w:color="A6A6A6"/>
            </w:tcBorders>
          </w:tcPr>
          <w:p w14:paraId="60B36686" w14:textId="77777777" w:rsidR="005F4A7E" w:rsidRDefault="005F4A7E" w:rsidP="00130D1C">
            <w:pPr>
              <w:pStyle w:val="ARfintablebody"/>
            </w:pPr>
            <w:r w:rsidRPr="00B56C97">
              <w:t>Department of Families, Fairness and Housing</w:t>
            </w:r>
          </w:p>
        </w:tc>
        <w:tc>
          <w:tcPr>
            <w:tcW w:w="1134" w:type="dxa"/>
            <w:tcBorders>
              <w:top w:val="single" w:sz="4" w:space="0" w:color="A6A6A6"/>
              <w:bottom w:val="single" w:sz="4" w:space="0" w:color="A6A6A6"/>
            </w:tcBorders>
          </w:tcPr>
          <w:p w14:paraId="5D711F0F" w14:textId="77777777" w:rsidR="005F4A7E" w:rsidRDefault="005F4A7E" w:rsidP="00130D1C">
            <w:pPr>
              <w:pStyle w:val="ARfintablebodyright"/>
            </w:pPr>
            <w:r w:rsidRPr="00E412CD">
              <w:t>–</w:t>
            </w:r>
          </w:p>
        </w:tc>
      </w:tr>
      <w:tr w:rsidR="005F4A7E" w14:paraId="6A7EC870" w14:textId="77777777" w:rsidTr="00130D1C">
        <w:trPr>
          <w:cantSplit w:val="0"/>
        </w:trPr>
        <w:tc>
          <w:tcPr>
            <w:tcW w:w="2835" w:type="dxa"/>
            <w:tcBorders>
              <w:top w:val="single" w:sz="4" w:space="0" w:color="A6A6A6"/>
            </w:tcBorders>
          </w:tcPr>
          <w:p w14:paraId="3300B1E5" w14:textId="77777777" w:rsidR="005F4A7E" w:rsidRDefault="005F4A7E" w:rsidP="00130D1C">
            <w:pPr>
              <w:pStyle w:val="ARfintablebody"/>
            </w:pPr>
            <w:r w:rsidRPr="00B56C97">
              <w:t>Victorian Veterans Council</w:t>
            </w:r>
          </w:p>
        </w:tc>
        <w:tc>
          <w:tcPr>
            <w:tcW w:w="2835" w:type="dxa"/>
            <w:tcBorders>
              <w:top w:val="single" w:sz="4" w:space="0" w:color="A6A6A6"/>
            </w:tcBorders>
          </w:tcPr>
          <w:p w14:paraId="3CB57FAC" w14:textId="77777777" w:rsidR="005F4A7E" w:rsidRDefault="005F4A7E" w:rsidP="00130D1C">
            <w:pPr>
              <w:pStyle w:val="ARfintablebody"/>
            </w:pPr>
            <w:r w:rsidRPr="00B56C97">
              <w:t>Department of Premier and Cabinet</w:t>
            </w:r>
          </w:p>
        </w:tc>
        <w:tc>
          <w:tcPr>
            <w:tcW w:w="2835" w:type="dxa"/>
            <w:tcBorders>
              <w:top w:val="single" w:sz="4" w:space="0" w:color="A6A6A6"/>
            </w:tcBorders>
          </w:tcPr>
          <w:p w14:paraId="19EFCF64" w14:textId="77777777" w:rsidR="005F4A7E" w:rsidRDefault="005F4A7E" w:rsidP="00130D1C">
            <w:pPr>
              <w:pStyle w:val="ARfintablebody"/>
            </w:pPr>
            <w:r w:rsidRPr="00B56C97">
              <w:t>Department of Families, Fairness and Housing</w:t>
            </w:r>
          </w:p>
        </w:tc>
        <w:tc>
          <w:tcPr>
            <w:tcW w:w="1134" w:type="dxa"/>
            <w:tcBorders>
              <w:top w:val="single" w:sz="4" w:space="0" w:color="A6A6A6"/>
            </w:tcBorders>
          </w:tcPr>
          <w:p w14:paraId="1FF3E401" w14:textId="77777777" w:rsidR="005F4A7E" w:rsidRDefault="005F4A7E" w:rsidP="00130D1C">
            <w:pPr>
              <w:pStyle w:val="ARfintablebodyright"/>
            </w:pPr>
            <w:r w:rsidRPr="00B56C97">
              <w:t>0.5</w:t>
            </w:r>
          </w:p>
        </w:tc>
      </w:tr>
    </w:tbl>
    <w:p w14:paraId="1CDC54DE" w14:textId="3B548F3E" w:rsidR="005F4A7E" w:rsidRDefault="005F4A7E" w:rsidP="00130D1C">
      <w:pPr>
        <w:pStyle w:val="ARfinbodyaftertable"/>
        <w:keepNext/>
      </w:pPr>
      <w:bookmarkStart w:id="874" w:name="_Hlk82187648"/>
      <w:r>
        <w:lastRenderedPageBreak/>
        <w:t xml:space="preserve">As a result of a determination made by the Assistant Treasurer under s. 53(1)(b) of the </w:t>
      </w:r>
      <w:r>
        <w:rPr>
          <w:rStyle w:val="Emphasis"/>
        </w:rPr>
        <w:t>Financial Management Act 1994</w:t>
      </w:r>
      <w:r>
        <w:t>, the Department of Health</w:t>
      </w:r>
      <w:r w:rsidR="007D145B">
        <w:t>’</w:t>
      </w:r>
      <w:r>
        <w:t>s financial statements include the financial transactions and balances relating to the:</w:t>
      </w:r>
    </w:p>
    <w:p w14:paraId="4BB09CDE" w14:textId="77777777" w:rsidR="005F4A7E" w:rsidRDefault="005F4A7E" w:rsidP="005F4A7E">
      <w:pPr>
        <w:pStyle w:val="ARfinbullet1"/>
        <w:numPr>
          <w:ilvl w:val="0"/>
          <w:numId w:val="2"/>
        </w:numPr>
      </w:pPr>
      <w:r>
        <w:t>Child Protection, Prevention of Family Violence, Housing and Disability functions for the period 1 July 2020 to 30 June 2021.</w:t>
      </w:r>
    </w:p>
    <w:p w14:paraId="517ED0C8" w14:textId="77777777" w:rsidR="005F4A7E" w:rsidRDefault="005F4A7E" w:rsidP="005F4A7E">
      <w:pPr>
        <w:pStyle w:val="ARfinbullet1"/>
        <w:numPr>
          <w:ilvl w:val="0"/>
          <w:numId w:val="2"/>
        </w:numPr>
      </w:pPr>
      <w:r>
        <w:t xml:space="preserve">Fairer Victoria </w:t>
      </w:r>
      <w:r w:rsidRPr="00E45C2E">
        <w:t>and Family Violence,</w:t>
      </w:r>
      <w:r>
        <w:t xml:space="preserve"> Respect Victoria, Victorian Multicultural Commission, and Victorian Veterans Council for the period 1 February 2021 to 30 June 2021.</w:t>
      </w:r>
      <w:bookmarkEnd w:id="874"/>
    </w:p>
    <w:p w14:paraId="091C6439" w14:textId="77777777" w:rsidR="005F4A7E" w:rsidRDefault="005F4A7E" w:rsidP="00130D1C">
      <w:pPr>
        <w:pStyle w:val="ARfinbodylargespace"/>
      </w:pPr>
      <w:r>
        <w:t>The net asset transfers were treated as a contribution of capital by the state.</w:t>
      </w:r>
    </w:p>
    <w:tbl>
      <w:tblPr>
        <w:tblStyle w:val="TableGrid"/>
        <w:tblW w:w="9637" w:type="dxa"/>
        <w:tblLayout w:type="fixed"/>
        <w:tblLook w:val="06A0" w:firstRow="1" w:lastRow="0" w:firstColumn="1" w:lastColumn="0" w:noHBand="1" w:noVBand="1"/>
      </w:tblPr>
      <w:tblGrid>
        <w:gridCol w:w="6235"/>
        <w:gridCol w:w="1134"/>
        <w:gridCol w:w="1134"/>
        <w:gridCol w:w="1134"/>
      </w:tblGrid>
      <w:tr w:rsidR="005F4A7E" w:rsidRPr="002029AF" w14:paraId="6B7F83A5"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6235" w:type="dxa"/>
            <w:tcBorders>
              <w:bottom w:val="single" w:sz="4" w:space="0" w:color="auto"/>
            </w:tcBorders>
            <w:hideMark/>
          </w:tcPr>
          <w:p w14:paraId="213D90D6" w14:textId="77777777" w:rsidR="005F4A7E" w:rsidRPr="002029AF" w:rsidRDefault="005F4A7E" w:rsidP="00130D1C">
            <w:pPr>
              <w:pStyle w:val="ARfintablecolhead"/>
            </w:pPr>
          </w:p>
        </w:tc>
        <w:tc>
          <w:tcPr>
            <w:tcW w:w="1134" w:type="dxa"/>
            <w:tcBorders>
              <w:bottom w:val="single" w:sz="4" w:space="0" w:color="auto"/>
            </w:tcBorders>
            <w:hideMark/>
          </w:tcPr>
          <w:p w14:paraId="51EA2913" w14:textId="77777777" w:rsidR="005F4A7E" w:rsidRPr="002029AF" w:rsidRDefault="005F4A7E" w:rsidP="00130D1C">
            <w:pPr>
              <w:pStyle w:val="ARfintablecolheadright"/>
            </w:pPr>
            <w:r w:rsidRPr="00491EDA">
              <w:t>DFFH 2021</w:t>
            </w:r>
            <w:r>
              <w:br/>
            </w:r>
            <w:r w:rsidRPr="002029AF">
              <w:t>Transfer in</w:t>
            </w:r>
          </w:p>
          <w:p w14:paraId="1F3694BF" w14:textId="77777777" w:rsidR="005F4A7E" w:rsidRPr="002029AF" w:rsidRDefault="005F4A7E" w:rsidP="00130D1C">
            <w:pPr>
              <w:pStyle w:val="ARfintablecolheadright"/>
            </w:pPr>
            <w:r w:rsidRPr="002029AF">
              <w:t>$M</w:t>
            </w:r>
          </w:p>
        </w:tc>
        <w:tc>
          <w:tcPr>
            <w:tcW w:w="1134" w:type="dxa"/>
            <w:tcBorders>
              <w:bottom w:val="single" w:sz="4" w:space="0" w:color="auto"/>
            </w:tcBorders>
            <w:hideMark/>
          </w:tcPr>
          <w:p w14:paraId="0BF52ADF" w14:textId="77777777" w:rsidR="005F4A7E" w:rsidRPr="002029AF" w:rsidRDefault="005F4A7E" w:rsidP="00130D1C">
            <w:pPr>
              <w:pStyle w:val="ARfintablecolheadright"/>
            </w:pPr>
            <w:r w:rsidRPr="00491EDA">
              <w:t xml:space="preserve">DH </w:t>
            </w:r>
            <w:r>
              <w:br/>
            </w:r>
            <w:r w:rsidRPr="00491EDA">
              <w:t>2021</w:t>
            </w:r>
            <w:r>
              <w:br/>
            </w:r>
            <w:r w:rsidRPr="002029AF">
              <w:t>Transfer out</w:t>
            </w:r>
          </w:p>
          <w:p w14:paraId="577A6B6D" w14:textId="77777777" w:rsidR="005F4A7E" w:rsidRPr="002029AF" w:rsidRDefault="005F4A7E" w:rsidP="00130D1C">
            <w:pPr>
              <w:pStyle w:val="ARfintablecolheadright"/>
            </w:pPr>
            <w:r w:rsidRPr="002029AF">
              <w:t>$M</w:t>
            </w:r>
          </w:p>
        </w:tc>
        <w:tc>
          <w:tcPr>
            <w:tcW w:w="1134" w:type="dxa"/>
            <w:tcBorders>
              <w:bottom w:val="single" w:sz="4" w:space="0" w:color="auto"/>
            </w:tcBorders>
            <w:hideMark/>
          </w:tcPr>
          <w:p w14:paraId="0E781A34" w14:textId="77777777" w:rsidR="005F4A7E" w:rsidRPr="001E121A" w:rsidRDefault="005F4A7E" w:rsidP="00130D1C">
            <w:pPr>
              <w:pStyle w:val="ARfintablecolheadright"/>
            </w:pPr>
            <w:r w:rsidRPr="001E121A">
              <w:t xml:space="preserve">2021 </w:t>
            </w:r>
            <w:r w:rsidRPr="001E121A">
              <w:br/>
              <w:t>Net transfer</w:t>
            </w:r>
          </w:p>
          <w:p w14:paraId="3091FC0E" w14:textId="77777777" w:rsidR="005F4A7E" w:rsidRPr="002029AF" w:rsidRDefault="005F4A7E" w:rsidP="00130D1C">
            <w:pPr>
              <w:pStyle w:val="ARfintablecolheadright"/>
            </w:pPr>
            <w:r w:rsidRPr="001E121A">
              <w:t>$</w:t>
            </w:r>
            <w:r>
              <w:t>M</w:t>
            </w:r>
          </w:p>
        </w:tc>
      </w:tr>
      <w:tr w:rsidR="005F4A7E" w:rsidRPr="002029AF" w14:paraId="54CB3D24" w14:textId="77777777" w:rsidTr="00130D1C">
        <w:tc>
          <w:tcPr>
            <w:tcW w:w="9637" w:type="dxa"/>
            <w:gridSpan w:val="4"/>
            <w:tcBorders>
              <w:top w:val="single" w:sz="4" w:space="0" w:color="auto"/>
              <w:bottom w:val="single" w:sz="4" w:space="0" w:color="A6A6A6"/>
            </w:tcBorders>
            <w:hideMark/>
          </w:tcPr>
          <w:p w14:paraId="15EA33A0" w14:textId="77777777" w:rsidR="005F4A7E" w:rsidRPr="002029AF" w:rsidRDefault="005F4A7E" w:rsidP="00130D1C">
            <w:pPr>
              <w:pStyle w:val="ARfintablebodybold"/>
            </w:pPr>
            <w:r w:rsidRPr="00F32226">
              <w:t>Assets</w:t>
            </w:r>
          </w:p>
        </w:tc>
      </w:tr>
      <w:tr w:rsidR="005F4A7E" w:rsidRPr="002029AF" w14:paraId="30528AE9" w14:textId="77777777" w:rsidTr="00130D1C">
        <w:tc>
          <w:tcPr>
            <w:tcW w:w="6235" w:type="dxa"/>
            <w:tcBorders>
              <w:top w:val="single" w:sz="4" w:space="0" w:color="A6A6A6"/>
              <w:bottom w:val="single" w:sz="4" w:space="0" w:color="A6A6A6"/>
            </w:tcBorders>
            <w:hideMark/>
          </w:tcPr>
          <w:p w14:paraId="13F57AE1" w14:textId="77777777" w:rsidR="005F4A7E" w:rsidRPr="002029AF" w:rsidRDefault="005F4A7E" w:rsidP="00130D1C">
            <w:pPr>
              <w:pStyle w:val="ARfintablebody"/>
            </w:pPr>
            <w:r w:rsidRPr="00F32226">
              <w:t>Cash and deposits</w:t>
            </w:r>
          </w:p>
        </w:tc>
        <w:tc>
          <w:tcPr>
            <w:tcW w:w="1134" w:type="dxa"/>
            <w:tcBorders>
              <w:top w:val="single" w:sz="4" w:space="0" w:color="A6A6A6"/>
              <w:bottom w:val="single" w:sz="4" w:space="0" w:color="A6A6A6"/>
            </w:tcBorders>
            <w:noWrap/>
            <w:hideMark/>
          </w:tcPr>
          <w:p w14:paraId="4B77B353" w14:textId="77777777" w:rsidR="005F4A7E" w:rsidRPr="002029AF" w:rsidRDefault="005F4A7E" w:rsidP="00130D1C">
            <w:pPr>
              <w:pStyle w:val="ARfintablebodyright"/>
            </w:pPr>
            <w:r w:rsidRPr="00F32226">
              <w:t>82.7</w:t>
            </w:r>
          </w:p>
        </w:tc>
        <w:tc>
          <w:tcPr>
            <w:tcW w:w="1134" w:type="dxa"/>
            <w:tcBorders>
              <w:top w:val="single" w:sz="4" w:space="0" w:color="A6A6A6"/>
              <w:bottom w:val="single" w:sz="4" w:space="0" w:color="A6A6A6"/>
            </w:tcBorders>
            <w:noWrap/>
            <w:hideMark/>
          </w:tcPr>
          <w:p w14:paraId="4A2749B9" w14:textId="77777777" w:rsidR="005F4A7E" w:rsidRPr="002029AF" w:rsidRDefault="005F4A7E" w:rsidP="00130D1C">
            <w:pPr>
              <w:pStyle w:val="ARfintablebodyright"/>
            </w:pPr>
            <w:r w:rsidRPr="00F32226">
              <w:t>(81.2)</w:t>
            </w:r>
          </w:p>
        </w:tc>
        <w:tc>
          <w:tcPr>
            <w:tcW w:w="1134" w:type="dxa"/>
            <w:tcBorders>
              <w:top w:val="single" w:sz="4" w:space="0" w:color="A6A6A6"/>
              <w:bottom w:val="single" w:sz="4" w:space="0" w:color="A6A6A6"/>
            </w:tcBorders>
            <w:noWrap/>
            <w:hideMark/>
          </w:tcPr>
          <w:p w14:paraId="60441E7D" w14:textId="77777777" w:rsidR="005F4A7E" w:rsidRPr="002029AF" w:rsidRDefault="005F4A7E" w:rsidP="00130D1C">
            <w:pPr>
              <w:pStyle w:val="ARfintablebodyright"/>
            </w:pPr>
            <w:r w:rsidRPr="00F32226">
              <w:t>1.5</w:t>
            </w:r>
          </w:p>
        </w:tc>
      </w:tr>
      <w:tr w:rsidR="005F4A7E" w:rsidRPr="002029AF" w14:paraId="4D37AEB3" w14:textId="77777777" w:rsidTr="00130D1C">
        <w:tc>
          <w:tcPr>
            <w:tcW w:w="6235" w:type="dxa"/>
            <w:tcBorders>
              <w:top w:val="single" w:sz="4" w:space="0" w:color="A6A6A6"/>
              <w:bottom w:val="single" w:sz="4" w:space="0" w:color="A6A6A6"/>
            </w:tcBorders>
          </w:tcPr>
          <w:p w14:paraId="69A7DCE4" w14:textId="77777777" w:rsidR="005F4A7E" w:rsidRPr="002029AF" w:rsidRDefault="005F4A7E" w:rsidP="00130D1C">
            <w:pPr>
              <w:pStyle w:val="ARfintablebody"/>
            </w:pPr>
            <w:r w:rsidRPr="00F32226">
              <w:t>Prepayment</w:t>
            </w:r>
          </w:p>
        </w:tc>
        <w:tc>
          <w:tcPr>
            <w:tcW w:w="1134" w:type="dxa"/>
            <w:tcBorders>
              <w:top w:val="single" w:sz="4" w:space="0" w:color="A6A6A6"/>
              <w:bottom w:val="single" w:sz="4" w:space="0" w:color="A6A6A6"/>
            </w:tcBorders>
            <w:noWrap/>
          </w:tcPr>
          <w:p w14:paraId="67D20545" w14:textId="77777777" w:rsidR="005F4A7E" w:rsidRPr="002029AF" w:rsidRDefault="005F4A7E" w:rsidP="00130D1C">
            <w:pPr>
              <w:pStyle w:val="ARfintablebodyright"/>
            </w:pPr>
            <w:r w:rsidRPr="00F32226">
              <w:t>38.3</w:t>
            </w:r>
          </w:p>
        </w:tc>
        <w:tc>
          <w:tcPr>
            <w:tcW w:w="1134" w:type="dxa"/>
            <w:tcBorders>
              <w:top w:val="single" w:sz="4" w:space="0" w:color="A6A6A6"/>
              <w:bottom w:val="single" w:sz="4" w:space="0" w:color="A6A6A6"/>
            </w:tcBorders>
            <w:noWrap/>
          </w:tcPr>
          <w:p w14:paraId="7F211E3A" w14:textId="77777777" w:rsidR="005F4A7E" w:rsidRPr="002029AF" w:rsidRDefault="005F4A7E" w:rsidP="00130D1C">
            <w:pPr>
              <w:pStyle w:val="ARfintablebodyright"/>
            </w:pPr>
            <w:r w:rsidRPr="00F32226">
              <w:t>(37.5)</w:t>
            </w:r>
          </w:p>
        </w:tc>
        <w:tc>
          <w:tcPr>
            <w:tcW w:w="1134" w:type="dxa"/>
            <w:tcBorders>
              <w:top w:val="single" w:sz="4" w:space="0" w:color="A6A6A6"/>
              <w:bottom w:val="single" w:sz="4" w:space="0" w:color="A6A6A6"/>
            </w:tcBorders>
            <w:noWrap/>
          </w:tcPr>
          <w:p w14:paraId="34918212" w14:textId="77777777" w:rsidR="005F4A7E" w:rsidRPr="002029AF" w:rsidRDefault="005F4A7E" w:rsidP="00130D1C">
            <w:pPr>
              <w:pStyle w:val="ARfintablebodyright"/>
            </w:pPr>
            <w:r w:rsidRPr="00F32226">
              <w:t>0.8</w:t>
            </w:r>
          </w:p>
        </w:tc>
      </w:tr>
      <w:tr w:rsidR="005F4A7E" w:rsidRPr="002029AF" w14:paraId="56AA8C21" w14:textId="77777777" w:rsidTr="00130D1C">
        <w:tc>
          <w:tcPr>
            <w:tcW w:w="6235" w:type="dxa"/>
            <w:tcBorders>
              <w:top w:val="single" w:sz="4" w:space="0" w:color="A6A6A6"/>
              <w:bottom w:val="single" w:sz="4" w:space="0" w:color="A6A6A6"/>
            </w:tcBorders>
          </w:tcPr>
          <w:p w14:paraId="6C35F1C6" w14:textId="77777777" w:rsidR="005F4A7E" w:rsidRPr="002029AF" w:rsidRDefault="005F4A7E" w:rsidP="00130D1C">
            <w:pPr>
              <w:pStyle w:val="ARfintablebody"/>
            </w:pPr>
            <w:r w:rsidRPr="00F32226">
              <w:t>Receivables</w:t>
            </w:r>
          </w:p>
        </w:tc>
        <w:tc>
          <w:tcPr>
            <w:tcW w:w="1134" w:type="dxa"/>
            <w:tcBorders>
              <w:top w:val="single" w:sz="4" w:space="0" w:color="A6A6A6"/>
              <w:bottom w:val="single" w:sz="4" w:space="0" w:color="A6A6A6"/>
            </w:tcBorders>
            <w:noWrap/>
          </w:tcPr>
          <w:p w14:paraId="6C893695" w14:textId="77777777" w:rsidR="005F4A7E" w:rsidRPr="002029AF" w:rsidRDefault="005F4A7E" w:rsidP="00130D1C">
            <w:pPr>
              <w:pStyle w:val="ARfintablebodyright"/>
            </w:pPr>
            <w:r w:rsidRPr="00F32226">
              <w:t>546.7</w:t>
            </w:r>
          </w:p>
        </w:tc>
        <w:tc>
          <w:tcPr>
            <w:tcW w:w="1134" w:type="dxa"/>
            <w:tcBorders>
              <w:top w:val="single" w:sz="4" w:space="0" w:color="A6A6A6"/>
              <w:bottom w:val="single" w:sz="4" w:space="0" w:color="A6A6A6"/>
            </w:tcBorders>
            <w:noWrap/>
          </w:tcPr>
          <w:p w14:paraId="66FFE37E" w14:textId="77777777" w:rsidR="005F4A7E" w:rsidRPr="002029AF" w:rsidRDefault="005F4A7E" w:rsidP="00130D1C">
            <w:pPr>
              <w:pStyle w:val="ARfintablebodyright"/>
            </w:pPr>
            <w:r w:rsidRPr="00F32226">
              <w:t>(536.7)</w:t>
            </w:r>
          </w:p>
        </w:tc>
        <w:tc>
          <w:tcPr>
            <w:tcW w:w="1134" w:type="dxa"/>
            <w:tcBorders>
              <w:top w:val="single" w:sz="4" w:space="0" w:color="A6A6A6"/>
              <w:bottom w:val="single" w:sz="4" w:space="0" w:color="A6A6A6"/>
            </w:tcBorders>
            <w:noWrap/>
          </w:tcPr>
          <w:p w14:paraId="01C7523C" w14:textId="77777777" w:rsidR="005F4A7E" w:rsidRPr="002029AF" w:rsidRDefault="005F4A7E" w:rsidP="00130D1C">
            <w:pPr>
              <w:pStyle w:val="ARfintablebodyright"/>
            </w:pPr>
            <w:r w:rsidRPr="00F32226">
              <w:t>10.0</w:t>
            </w:r>
          </w:p>
        </w:tc>
      </w:tr>
      <w:tr w:rsidR="005F4A7E" w:rsidRPr="002029AF" w14:paraId="71B09000" w14:textId="77777777" w:rsidTr="00130D1C">
        <w:tc>
          <w:tcPr>
            <w:tcW w:w="6235" w:type="dxa"/>
            <w:tcBorders>
              <w:top w:val="single" w:sz="4" w:space="0" w:color="A6A6A6"/>
              <w:bottom w:val="single" w:sz="4" w:space="0" w:color="A6A6A6"/>
            </w:tcBorders>
          </w:tcPr>
          <w:p w14:paraId="67CEC101" w14:textId="77777777" w:rsidR="005F4A7E" w:rsidRPr="002029AF" w:rsidRDefault="005F4A7E" w:rsidP="00130D1C">
            <w:pPr>
              <w:pStyle w:val="ARfintablebody"/>
            </w:pPr>
            <w:r w:rsidRPr="00F32226">
              <w:t>Property, plant and equipment</w:t>
            </w:r>
          </w:p>
        </w:tc>
        <w:tc>
          <w:tcPr>
            <w:tcW w:w="1134" w:type="dxa"/>
            <w:tcBorders>
              <w:top w:val="single" w:sz="4" w:space="0" w:color="A6A6A6"/>
              <w:bottom w:val="single" w:sz="4" w:space="0" w:color="A6A6A6"/>
            </w:tcBorders>
            <w:noWrap/>
          </w:tcPr>
          <w:p w14:paraId="01CF2D3E" w14:textId="77777777" w:rsidR="005F4A7E" w:rsidRPr="002029AF" w:rsidRDefault="005F4A7E" w:rsidP="00130D1C">
            <w:pPr>
              <w:pStyle w:val="ARfintablebodyright"/>
            </w:pPr>
            <w:r w:rsidRPr="00F32226">
              <w:t>1,229.9</w:t>
            </w:r>
          </w:p>
        </w:tc>
        <w:tc>
          <w:tcPr>
            <w:tcW w:w="1134" w:type="dxa"/>
            <w:tcBorders>
              <w:top w:val="single" w:sz="4" w:space="0" w:color="A6A6A6"/>
              <w:bottom w:val="single" w:sz="4" w:space="0" w:color="A6A6A6"/>
            </w:tcBorders>
            <w:noWrap/>
          </w:tcPr>
          <w:p w14:paraId="040749E4" w14:textId="77777777" w:rsidR="005F4A7E" w:rsidRPr="002029AF" w:rsidRDefault="005F4A7E" w:rsidP="00130D1C">
            <w:pPr>
              <w:pStyle w:val="ARfintablebodyright"/>
            </w:pPr>
            <w:r w:rsidRPr="00F32226">
              <w:t>(1,228.6)</w:t>
            </w:r>
          </w:p>
        </w:tc>
        <w:tc>
          <w:tcPr>
            <w:tcW w:w="1134" w:type="dxa"/>
            <w:tcBorders>
              <w:top w:val="single" w:sz="4" w:space="0" w:color="A6A6A6"/>
              <w:bottom w:val="single" w:sz="4" w:space="0" w:color="A6A6A6"/>
            </w:tcBorders>
            <w:noWrap/>
          </w:tcPr>
          <w:p w14:paraId="26AA634F" w14:textId="77777777" w:rsidR="005F4A7E" w:rsidRPr="002029AF" w:rsidRDefault="005F4A7E" w:rsidP="00130D1C">
            <w:pPr>
              <w:pStyle w:val="ARfintablebodyright"/>
            </w:pPr>
            <w:r w:rsidRPr="00F32226">
              <w:t>1.4</w:t>
            </w:r>
          </w:p>
        </w:tc>
      </w:tr>
      <w:tr w:rsidR="005F4A7E" w:rsidRPr="002029AF" w14:paraId="72082200" w14:textId="77777777" w:rsidTr="00130D1C">
        <w:tc>
          <w:tcPr>
            <w:tcW w:w="6235" w:type="dxa"/>
            <w:tcBorders>
              <w:top w:val="single" w:sz="4" w:space="0" w:color="A6A6A6"/>
              <w:bottom w:val="single" w:sz="4" w:space="0" w:color="A6A6A6"/>
            </w:tcBorders>
            <w:hideMark/>
          </w:tcPr>
          <w:p w14:paraId="1D913771" w14:textId="4EB3E95C" w:rsidR="005F4A7E" w:rsidRPr="002029AF" w:rsidRDefault="005F4A7E" w:rsidP="004070C4">
            <w:pPr>
              <w:pStyle w:val="ARfintablebody"/>
            </w:pPr>
            <w:r w:rsidRPr="00F32226">
              <w:t>Intangibles assets</w:t>
            </w:r>
          </w:p>
        </w:tc>
        <w:tc>
          <w:tcPr>
            <w:tcW w:w="1134" w:type="dxa"/>
            <w:tcBorders>
              <w:top w:val="single" w:sz="4" w:space="0" w:color="A6A6A6"/>
              <w:bottom w:val="single" w:sz="4" w:space="0" w:color="A6A6A6"/>
            </w:tcBorders>
            <w:noWrap/>
            <w:hideMark/>
          </w:tcPr>
          <w:p w14:paraId="6708A76A" w14:textId="77777777" w:rsidR="005F4A7E" w:rsidRPr="002029AF" w:rsidRDefault="005F4A7E" w:rsidP="00130D1C">
            <w:pPr>
              <w:pStyle w:val="ARfintablebodyright"/>
            </w:pPr>
            <w:r w:rsidRPr="00F32226">
              <w:t>56.5</w:t>
            </w:r>
          </w:p>
        </w:tc>
        <w:tc>
          <w:tcPr>
            <w:tcW w:w="1134" w:type="dxa"/>
            <w:tcBorders>
              <w:top w:val="single" w:sz="4" w:space="0" w:color="A6A6A6"/>
              <w:bottom w:val="single" w:sz="4" w:space="0" w:color="A6A6A6"/>
            </w:tcBorders>
            <w:noWrap/>
            <w:hideMark/>
          </w:tcPr>
          <w:p w14:paraId="520B84A5" w14:textId="77777777" w:rsidR="005F4A7E" w:rsidRPr="002029AF" w:rsidRDefault="005F4A7E" w:rsidP="00130D1C">
            <w:pPr>
              <w:pStyle w:val="ARfintablebodyright"/>
            </w:pPr>
            <w:r w:rsidRPr="00F32226">
              <w:t>(56.5)</w:t>
            </w:r>
          </w:p>
        </w:tc>
        <w:tc>
          <w:tcPr>
            <w:tcW w:w="1134" w:type="dxa"/>
            <w:tcBorders>
              <w:top w:val="single" w:sz="4" w:space="0" w:color="A6A6A6"/>
              <w:bottom w:val="single" w:sz="4" w:space="0" w:color="A6A6A6"/>
            </w:tcBorders>
            <w:noWrap/>
            <w:hideMark/>
          </w:tcPr>
          <w:p w14:paraId="1EEC8071" w14:textId="77777777" w:rsidR="005F4A7E" w:rsidRPr="002029AF" w:rsidRDefault="005F4A7E" w:rsidP="00130D1C">
            <w:pPr>
              <w:pStyle w:val="ARfintablebodyright"/>
            </w:pPr>
            <w:r w:rsidRPr="00F32226">
              <w:t>–</w:t>
            </w:r>
          </w:p>
        </w:tc>
      </w:tr>
      <w:tr w:rsidR="005F4A7E" w:rsidRPr="002029AF" w14:paraId="2F818BD8" w14:textId="77777777" w:rsidTr="00130D1C">
        <w:tc>
          <w:tcPr>
            <w:tcW w:w="6235" w:type="dxa"/>
            <w:tcBorders>
              <w:top w:val="single" w:sz="4" w:space="0" w:color="A6A6A6"/>
              <w:bottom w:val="single" w:sz="4" w:space="0" w:color="A6A6A6"/>
            </w:tcBorders>
            <w:hideMark/>
          </w:tcPr>
          <w:p w14:paraId="3D0D479F" w14:textId="77777777" w:rsidR="005F4A7E" w:rsidRPr="002029AF" w:rsidRDefault="005F4A7E" w:rsidP="00130D1C">
            <w:pPr>
              <w:pStyle w:val="ARfintablebody"/>
            </w:pPr>
            <w:r w:rsidRPr="00F32226">
              <w:t>Other non-financial assets</w:t>
            </w:r>
          </w:p>
        </w:tc>
        <w:tc>
          <w:tcPr>
            <w:tcW w:w="1134" w:type="dxa"/>
            <w:tcBorders>
              <w:top w:val="single" w:sz="4" w:space="0" w:color="A6A6A6"/>
              <w:bottom w:val="single" w:sz="4" w:space="0" w:color="A6A6A6"/>
            </w:tcBorders>
            <w:noWrap/>
            <w:hideMark/>
          </w:tcPr>
          <w:p w14:paraId="41816EB6" w14:textId="77777777" w:rsidR="005F4A7E" w:rsidRPr="002029AF" w:rsidRDefault="005F4A7E" w:rsidP="00130D1C">
            <w:pPr>
              <w:pStyle w:val="ARfintablebodyright"/>
            </w:pPr>
            <w:r w:rsidRPr="00F32226">
              <w:t>1.5</w:t>
            </w:r>
          </w:p>
        </w:tc>
        <w:tc>
          <w:tcPr>
            <w:tcW w:w="1134" w:type="dxa"/>
            <w:tcBorders>
              <w:top w:val="single" w:sz="4" w:space="0" w:color="A6A6A6"/>
              <w:bottom w:val="single" w:sz="4" w:space="0" w:color="A6A6A6"/>
            </w:tcBorders>
            <w:noWrap/>
            <w:hideMark/>
          </w:tcPr>
          <w:p w14:paraId="1D810EB1" w14:textId="77777777" w:rsidR="005F4A7E" w:rsidRPr="002029AF" w:rsidRDefault="005F4A7E" w:rsidP="00130D1C">
            <w:pPr>
              <w:pStyle w:val="ARfintablebodyright"/>
            </w:pPr>
            <w:r w:rsidRPr="00F32226">
              <w:t>(1.5)</w:t>
            </w:r>
          </w:p>
        </w:tc>
        <w:tc>
          <w:tcPr>
            <w:tcW w:w="1134" w:type="dxa"/>
            <w:tcBorders>
              <w:top w:val="single" w:sz="4" w:space="0" w:color="A6A6A6"/>
              <w:bottom w:val="single" w:sz="4" w:space="0" w:color="A6A6A6"/>
            </w:tcBorders>
            <w:noWrap/>
            <w:hideMark/>
          </w:tcPr>
          <w:p w14:paraId="7B1D5638" w14:textId="77777777" w:rsidR="005F4A7E" w:rsidRPr="002029AF" w:rsidRDefault="005F4A7E" w:rsidP="00130D1C">
            <w:pPr>
              <w:pStyle w:val="ARfintablebodyright"/>
            </w:pPr>
            <w:r w:rsidRPr="00F32226">
              <w:t>–</w:t>
            </w:r>
          </w:p>
        </w:tc>
      </w:tr>
      <w:tr w:rsidR="005F4A7E" w:rsidRPr="002029AF" w14:paraId="54BB33ED" w14:textId="77777777" w:rsidTr="00130D1C">
        <w:tc>
          <w:tcPr>
            <w:tcW w:w="9637" w:type="dxa"/>
            <w:gridSpan w:val="4"/>
            <w:tcBorders>
              <w:top w:val="single" w:sz="4" w:space="0" w:color="A6A6A6"/>
              <w:bottom w:val="single" w:sz="4" w:space="0" w:color="A6A6A6"/>
            </w:tcBorders>
            <w:hideMark/>
          </w:tcPr>
          <w:p w14:paraId="17DEADB8" w14:textId="77777777" w:rsidR="005F4A7E" w:rsidRPr="002029AF" w:rsidRDefault="005F4A7E" w:rsidP="00130D1C">
            <w:pPr>
              <w:pStyle w:val="ARfintablebodybold"/>
            </w:pPr>
            <w:r w:rsidRPr="00F32226">
              <w:t>Liabilities</w:t>
            </w:r>
          </w:p>
        </w:tc>
      </w:tr>
      <w:tr w:rsidR="005F4A7E" w:rsidRPr="002029AF" w14:paraId="1B30EB10" w14:textId="77777777" w:rsidTr="00130D1C">
        <w:tc>
          <w:tcPr>
            <w:tcW w:w="6235" w:type="dxa"/>
            <w:tcBorders>
              <w:top w:val="single" w:sz="4" w:space="0" w:color="A6A6A6"/>
              <w:bottom w:val="single" w:sz="4" w:space="0" w:color="A6A6A6"/>
            </w:tcBorders>
          </w:tcPr>
          <w:p w14:paraId="2CC3DAE6" w14:textId="77777777" w:rsidR="005F4A7E" w:rsidRPr="002029AF" w:rsidRDefault="005F4A7E" w:rsidP="00130D1C">
            <w:pPr>
              <w:pStyle w:val="ARfintablebody"/>
            </w:pPr>
            <w:r w:rsidRPr="00F32226">
              <w:t>Borrowings</w:t>
            </w:r>
          </w:p>
        </w:tc>
        <w:tc>
          <w:tcPr>
            <w:tcW w:w="1134" w:type="dxa"/>
            <w:tcBorders>
              <w:top w:val="single" w:sz="4" w:space="0" w:color="A6A6A6"/>
              <w:bottom w:val="single" w:sz="4" w:space="0" w:color="A6A6A6"/>
            </w:tcBorders>
            <w:noWrap/>
          </w:tcPr>
          <w:p w14:paraId="70B16E30" w14:textId="77777777" w:rsidR="005F4A7E" w:rsidRPr="002029AF" w:rsidRDefault="005F4A7E" w:rsidP="00130D1C">
            <w:pPr>
              <w:pStyle w:val="ARfintablebodyright"/>
            </w:pPr>
            <w:r w:rsidRPr="00F32226">
              <w:t>(24.8)</w:t>
            </w:r>
          </w:p>
        </w:tc>
        <w:tc>
          <w:tcPr>
            <w:tcW w:w="1134" w:type="dxa"/>
            <w:tcBorders>
              <w:top w:val="single" w:sz="4" w:space="0" w:color="A6A6A6"/>
              <w:bottom w:val="single" w:sz="4" w:space="0" w:color="A6A6A6"/>
            </w:tcBorders>
            <w:noWrap/>
          </w:tcPr>
          <w:p w14:paraId="61DD0FF6" w14:textId="77777777" w:rsidR="005F4A7E" w:rsidRPr="002029AF" w:rsidRDefault="005F4A7E" w:rsidP="00130D1C">
            <w:pPr>
              <w:pStyle w:val="ARfintablebodyright"/>
            </w:pPr>
            <w:r w:rsidRPr="00F32226">
              <w:t>24.7</w:t>
            </w:r>
          </w:p>
        </w:tc>
        <w:tc>
          <w:tcPr>
            <w:tcW w:w="1134" w:type="dxa"/>
            <w:tcBorders>
              <w:top w:val="single" w:sz="4" w:space="0" w:color="A6A6A6"/>
              <w:bottom w:val="single" w:sz="4" w:space="0" w:color="A6A6A6"/>
            </w:tcBorders>
            <w:noWrap/>
          </w:tcPr>
          <w:p w14:paraId="78BA3930" w14:textId="77777777" w:rsidR="005F4A7E" w:rsidRPr="002029AF" w:rsidRDefault="005F4A7E" w:rsidP="00130D1C">
            <w:pPr>
              <w:pStyle w:val="ARfintablebodyright"/>
            </w:pPr>
            <w:r w:rsidRPr="00F32226">
              <w:t>(0.2)</w:t>
            </w:r>
          </w:p>
        </w:tc>
      </w:tr>
      <w:tr w:rsidR="005F4A7E" w:rsidRPr="002029AF" w14:paraId="174FE500" w14:textId="77777777" w:rsidTr="00130D1C">
        <w:tc>
          <w:tcPr>
            <w:tcW w:w="6235" w:type="dxa"/>
            <w:tcBorders>
              <w:top w:val="single" w:sz="4" w:space="0" w:color="A6A6A6"/>
              <w:bottom w:val="single" w:sz="4" w:space="0" w:color="A6A6A6"/>
            </w:tcBorders>
          </w:tcPr>
          <w:p w14:paraId="3EB68BC5" w14:textId="77777777" w:rsidR="005F4A7E" w:rsidRPr="002029AF" w:rsidRDefault="005F4A7E" w:rsidP="00130D1C">
            <w:pPr>
              <w:pStyle w:val="ARfintablebody"/>
            </w:pPr>
            <w:r w:rsidRPr="00F32226">
              <w:t>Payables</w:t>
            </w:r>
          </w:p>
        </w:tc>
        <w:tc>
          <w:tcPr>
            <w:tcW w:w="1134" w:type="dxa"/>
            <w:tcBorders>
              <w:top w:val="single" w:sz="4" w:space="0" w:color="A6A6A6"/>
              <w:bottom w:val="single" w:sz="4" w:space="0" w:color="A6A6A6"/>
            </w:tcBorders>
            <w:noWrap/>
          </w:tcPr>
          <w:p w14:paraId="7C1CDEED" w14:textId="77777777" w:rsidR="005F4A7E" w:rsidRPr="002029AF" w:rsidRDefault="005F4A7E" w:rsidP="00130D1C">
            <w:pPr>
              <w:pStyle w:val="ARfintablebodyright"/>
            </w:pPr>
            <w:r w:rsidRPr="00F32226">
              <w:t>(238.2)</w:t>
            </w:r>
          </w:p>
        </w:tc>
        <w:tc>
          <w:tcPr>
            <w:tcW w:w="1134" w:type="dxa"/>
            <w:tcBorders>
              <w:top w:val="single" w:sz="4" w:space="0" w:color="A6A6A6"/>
              <w:bottom w:val="single" w:sz="4" w:space="0" w:color="A6A6A6"/>
            </w:tcBorders>
            <w:noWrap/>
          </w:tcPr>
          <w:p w14:paraId="7AA12C8B" w14:textId="77777777" w:rsidR="005F4A7E" w:rsidRPr="002029AF" w:rsidRDefault="005F4A7E" w:rsidP="00130D1C">
            <w:pPr>
              <w:pStyle w:val="ARfintablebodyright"/>
            </w:pPr>
            <w:r w:rsidRPr="00F32226">
              <w:t>234.1</w:t>
            </w:r>
          </w:p>
        </w:tc>
        <w:tc>
          <w:tcPr>
            <w:tcW w:w="1134" w:type="dxa"/>
            <w:tcBorders>
              <w:top w:val="single" w:sz="4" w:space="0" w:color="A6A6A6"/>
              <w:bottom w:val="single" w:sz="4" w:space="0" w:color="A6A6A6"/>
            </w:tcBorders>
            <w:noWrap/>
          </w:tcPr>
          <w:p w14:paraId="1436D9D8" w14:textId="77777777" w:rsidR="005F4A7E" w:rsidRPr="002029AF" w:rsidRDefault="005F4A7E" w:rsidP="00130D1C">
            <w:pPr>
              <w:pStyle w:val="ARfintablebodyright"/>
            </w:pPr>
            <w:r w:rsidRPr="00F32226">
              <w:t>(4.1)</w:t>
            </w:r>
          </w:p>
        </w:tc>
      </w:tr>
      <w:tr w:rsidR="005F4A7E" w:rsidRPr="002029AF" w14:paraId="1E50F93D" w14:textId="77777777" w:rsidTr="00130D1C">
        <w:tc>
          <w:tcPr>
            <w:tcW w:w="6235" w:type="dxa"/>
            <w:tcBorders>
              <w:top w:val="single" w:sz="4" w:space="0" w:color="A6A6A6"/>
              <w:bottom w:val="single" w:sz="4" w:space="0" w:color="A6A6A6"/>
            </w:tcBorders>
            <w:hideMark/>
          </w:tcPr>
          <w:p w14:paraId="6F10E6F2" w14:textId="77777777" w:rsidR="005F4A7E" w:rsidRPr="002029AF" w:rsidRDefault="005F4A7E" w:rsidP="00130D1C">
            <w:pPr>
              <w:pStyle w:val="ARfintablebody"/>
            </w:pPr>
            <w:r w:rsidRPr="00F32226">
              <w:t>Employee related provisions</w:t>
            </w:r>
          </w:p>
        </w:tc>
        <w:tc>
          <w:tcPr>
            <w:tcW w:w="1134" w:type="dxa"/>
            <w:tcBorders>
              <w:top w:val="single" w:sz="4" w:space="0" w:color="A6A6A6"/>
              <w:bottom w:val="single" w:sz="4" w:space="0" w:color="A6A6A6"/>
            </w:tcBorders>
            <w:noWrap/>
            <w:hideMark/>
          </w:tcPr>
          <w:p w14:paraId="7678C9B9" w14:textId="77777777" w:rsidR="005F4A7E" w:rsidRPr="002029AF" w:rsidRDefault="005F4A7E" w:rsidP="00130D1C">
            <w:pPr>
              <w:pStyle w:val="ARfintablebodyright"/>
            </w:pPr>
            <w:r w:rsidRPr="00F32226">
              <w:t>(328.7)</w:t>
            </w:r>
          </w:p>
        </w:tc>
        <w:tc>
          <w:tcPr>
            <w:tcW w:w="1134" w:type="dxa"/>
            <w:tcBorders>
              <w:top w:val="single" w:sz="4" w:space="0" w:color="A6A6A6"/>
              <w:bottom w:val="single" w:sz="4" w:space="0" w:color="A6A6A6"/>
            </w:tcBorders>
            <w:noWrap/>
            <w:hideMark/>
          </w:tcPr>
          <w:p w14:paraId="12DFA922" w14:textId="77777777" w:rsidR="005F4A7E" w:rsidRPr="002029AF" w:rsidRDefault="005F4A7E" w:rsidP="00130D1C">
            <w:pPr>
              <w:pStyle w:val="ARfintablebodyright"/>
            </w:pPr>
            <w:r w:rsidRPr="00F32226">
              <w:t>323.4</w:t>
            </w:r>
          </w:p>
        </w:tc>
        <w:tc>
          <w:tcPr>
            <w:tcW w:w="1134" w:type="dxa"/>
            <w:tcBorders>
              <w:top w:val="single" w:sz="4" w:space="0" w:color="A6A6A6"/>
              <w:bottom w:val="single" w:sz="4" w:space="0" w:color="A6A6A6"/>
            </w:tcBorders>
            <w:noWrap/>
            <w:hideMark/>
          </w:tcPr>
          <w:p w14:paraId="2968389F" w14:textId="77777777" w:rsidR="005F4A7E" w:rsidRPr="002029AF" w:rsidRDefault="005F4A7E" w:rsidP="00130D1C">
            <w:pPr>
              <w:pStyle w:val="ARfintablebodyright"/>
            </w:pPr>
            <w:r w:rsidRPr="00F32226">
              <w:t>(5.3)</w:t>
            </w:r>
          </w:p>
        </w:tc>
      </w:tr>
      <w:tr w:rsidR="005F4A7E" w:rsidRPr="002029AF" w14:paraId="2D3E1D2A" w14:textId="77777777" w:rsidTr="00130D1C">
        <w:tc>
          <w:tcPr>
            <w:tcW w:w="6235" w:type="dxa"/>
            <w:tcBorders>
              <w:top w:val="single" w:sz="4" w:space="0" w:color="A6A6A6"/>
            </w:tcBorders>
            <w:hideMark/>
          </w:tcPr>
          <w:p w14:paraId="23766BF5" w14:textId="77777777" w:rsidR="005F4A7E" w:rsidRPr="002029AF" w:rsidRDefault="005F4A7E" w:rsidP="00130D1C">
            <w:pPr>
              <w:pStyle w:val="ARfintablebody"/>
            </w:pPr>
            <w:r w:rsidRPr="00F32226">
              <w:t>Other liabilities</w:t>
            </w:r>
          </w:p>
        </w:tc>
        <w:tc>
          <w:tcPr>
            <w:tcW w:w="1134" w:type="dxa"/>
            <w:tcBorders>
              <w:top w:val="single" w:sz="4" w:space="0" w:color="A6A6A6"/>
            </w:tcBorders>
            <w:noWrap/>
            <w:hideMark/>
          </w:tcPr>
          <w:p w14:paraId="111864D5" w14:textId="77777777" w:rsidR="005F4A7E" w:rsidRPr="002029AF" w:rsidRDefault="005F4A7E" w:rsidP="00130D1C">
            <w:pPr>
              <w:pStyle w:val="ARfintablebodyright"/>
            </w:pPr>
            <w:r w:rsidRPr="00F32226">
              <w:t>(74.6)</w:t>
            </w:r>
          </w:p>
        </w:tc>
        <w:tc>
          <w:tcPr>
            <w:tcW w:w="1134" w:type="dxa"/>
            <w:tcBorders>
              <w:top w:val="single" w:sz="4" w:space="0" w:color="A6A6A6"/>
            </w:tcBorders>
            <w:noWrap/>
            <w:hideMark/>
          </w:tcPr>
          <w:p w14:paraId="6FE0F626" w14:textId="77777777" w:rsidR="005F4A7E" w:rsidRPr="002029AF" w:rsidRDefault="005F4A7E" w:rsidP="00130D1C">
            <w:pPr>
              <w:pStyle w:val="ARfintablebodyright"/>
            </w:pPr>
            <w:r w:rsidRPr="00F32226">
              <w:t>74.6</w:t>
            </w:r>
          </w:p>
        </w:tc>
        <w:tc>
          <w:tcPr>
            <w:tcW w:w="1134" w:type="dxa"/>
            <w:tcBorders>
              <w:top w:val="single" w:sz="4" w:space="0" w:color="A6A6A6"/>
            </w:tcBorders>
            <w:noWrap/>
            <w:hideMark/>
          </w:tcPr>
          <w:p w14:paraId="2450078B" w14:textId="77777777" w:rsidR="005F4A7E" w:rsidRPr="002029AF" w:rsidRDefault="005F4A7E" w:rsidP="00130D1C">
            <w:pPr>
              <w:pStyle w:val="ARfintablebodyright"/>
            </w:pPr>
            <w:r w:rsidRPr="00F32226">
              <w:t>–</w:t>
            </w:r>
          </w:p>
        </w:tc>
      </w:tr>
      <w:tr w:rsidR="005F4A7E" w:rsidRPr="002029AF" w14:paraId="6A53ECCC" w14:textId="77777777" w:rsidTr="00130D1C">
        <w:tc>
          <w:tcPr>
            <w:tcW w:w="6235" w:type="dxa"/>
            <w:hideMark/>
          </w:tcPr>
          <w:p w14:paraId="42F19A8A" w14:textId="77777777" w:rsidR="005F4A7E" w:rsidRPr="002029AF" w:rsidRDefault="005F4A7E" w:rsidP="00130D1C">
            <w:pPr>
              <w:pStyle w:val="ARfintablebodybold"/>
            </w:pPr>
            <w:r w:rsidRPr="00F32226">
              <w:t>Net assets recognised/(transferred)</w:t>
            </w:r>
          </w:p>
        </w:tc>
        <w:tc>
          <w:tcPr>
            <w:tcW w:w="1134" w:type="dxa"/>
            <w:noWrap/>
            <w:hideMark/>
          </w:tcPr>
          <w:p w14:paraId="49C28882" w14:textId="77777777" w:rsidR="005F4A7E" w:rsidRPr="002029AF" w:rsidRDefault="005F4A7E" w:rsidP="00130D1C">
            <w:pPr>
              <w:pStyle w:val="ARfintablebodyrightbold"/>
            </w:pPr>
            <w:r w:rsidRPr="00F32226">
              <w:t>1,289.3</w:t>
            </w:r>
          </w:p>
        </w:tc>
        <w:tc>
          <w:tcPr>
            <w:tcW w:w="1134" w:type="dxa"/>
            <w:noWrap/>
            <w:hideMark/>
          </w:tcPr>
          <w:p w14:paraId="46FBBE0A" w14:textId="77777777" w:rsidR="005F4A7E" w:rsidRPr="002029AF" w:rsidRDefault="005F4A7E" w:rsidP="00130D1C">
            <w:pPr>
              <w:pStyle w:val="ARfintablebodyrightbold"/>
            </w:pPr>
            <w:r w:rsidRPr="00F32226">
              <w:t>(1,285.2)</w:t>
            </w:r>
          </w:p>
        </w:tc>
        <w:tc>
          <w:tcPr>
            <w:tcW w:w="1134" w:type="dxa"/>
            <w:noWrap/>
            <w:hideMark/>
          </w:tcPr>
          <w:p w14:paraId="42B6652B" w14:textId="77777777" w:rsidR="005F4A7E" w:rsidRPr="002029AF" w:rsidRDefault="005F4A7E" w:rsidP="00130D1C">
            <w:pPr>
              <w:pStyle w:val="ARfintablebodyrightbold"/>
            </w:pPr>
            <w:r w:rsidRPr="00F32226">
              <w:t>4.1</w:t>
            </w:r>
          </w:p>
        </w:tc>
      </w:tr>
      <w:tr w:rsidR="005F4A7E" w:rsidRPr="002029AF" w14:paraId="6D3D96BE" w14:textId="77777777" w:rsidTr="00130D1C">
        <w:tc>
          <w:tcPr>
            <w:tcW w:w="6235" w:type="dxa"/>
            <w:hideMark/>
          </w:tcPr>
          <w:p w14:paraId="30B04792" w14:textId="77777777" w:rsidR="005F4A7E" w:rsidRPr="002029AF" w:rsidRDefault="005F4A7E" w:rsidP="00130D1C">
            <w:pPr>
              <w:pStyle w:val="ARfintablebodybold"/>
            </w:pPr>
            <w:r w:rsidRPr="00F32226">
              <w:t>Net capital contribution from the Crown</w:t>
            </w:r>
          </w:p>
        </w:tc>
        <w:tc>
          <w:tcPr>
            <w:tcW w:w="1134" w:type="dxa"/>
            <w:noWrap/>
            <w:hideMark/>
          </w:tcPr>
          <w:p w14:paraId="75B6705F" w14:textId="77777777" w:rsidR="005F4A7E" w:rsidRPr="002029AF" w:rsidRDefault="005F4A7E" w:rsidP="00130D1C">
            <w:pPr>
              <w:pStyle w:val="ARfintablebodyrightbold"/>
            </w:pPr>
          </w:p>
        </w:tc>
        <w:tc>
          <w:tcPr>
            <w:tcW w:w="1134" w:type="dxa"/>
            <w:noWrap/>
            <w:hideMark/>
          </w:tcPr>
          <w:p w14:paraId="7301DF86" w14:textId="77777777" w:rsidR="005F4A7E" w:rsidRPr="002029AF" w:rsidRDefault="005F4A7E" w:rsidP="00130D1C">
            <w:pPr>
              <w:pStyle w:val="ARfintablebodyrightbold"/>
            </w:pPr>
          </w:p>
        </w:tc>
        <w:tc>
          <w:tcPr>
            <w:tcW w:w="1134" w:type="dxa"/>
            <w:noWrap/>
            <w:hideMark/>
          </w:tcPr>
          <w:p w14:paraId="29E910FE" w14:textId="77777777" w:rsidR="005F4A7E" w:rsidRPr="002029AF" w:rsidRDefault="005F4A7E" w:rsidP="00130D1C">
            <w:pPr>
              <w:pStyle w:val="ARfintablebodyrightbold"/>
            </w:pPr>
            <w:r w:rsidRPr="00F32226">
              <w:t>4.1</w:t>
            </w:r>
          </w:p>
        </w:tc>
      </w:tr>
    </w:tbl>
    <w:p w14:paraId="6ECCF93F" w14:textId="77777777" w:rsidR="005F4A7E" w:rsidRDefault="005F4A7E" w:rsidP="00130D1C">
      <w:pPr>
        <w:pStyle w:val="ARfinbodyaftertable"/>
      </w:pPr>
      <w:bookmarkStart w:id="875" w:name="_Hlk82187675"/>
      <w:r>
        <w:t>Portfolio agencies that provide services relating to the above functions or policy areas also moved from the Department of Health and Human Services or the Department of Premier and Cabinet to the Department of Families, Fairness and Housing.</w:t>
      </w:r>
    </w:p>
    <w:p w14:paraId="4882DA66" w14:textId="6D83D2D4" w:rsidR="005F4A7E" w:rsidRDefault="005F4A7E" w:rsidP="00130D1C">
      <w:pPr>
        <w:pStyle w:val="ARfinbody"/>
      </w:pPr>
      <w:r>
        <w:t xml:space="preserve">Accordingly, responsibility for the Director of Housing, which is a public non-financial corporation, moved from the Department of Health and Human Services to the Department of Families, Fairness and Housing portfolio effective from 1 February 2021. However, there is no financial reporting impact of this change in 2020–21 financial statements of the </w:t>
      </w:r>
      <w:r w:rsidRPr="005E759C">
        <w:t>Department of Health</w:t>
      </w:r>
      <w:r>
        <w:t xml:space="preserve"> as the Department of Families, Fairness and Housing and the Director of Housing continue to be included in the department</w:t>
      </w:r>
      <w:r w:rsidR="007D145B">
        <w:t>’</w:t>
      </w:r>
      <w:r>
        <w:t xml:space="preserve">s financial report under s. 53(1)(b) of the </w:t>
      </w:r>
      <w:r w:rsidRPr="005E759C">
        <w:rPr>
          <w:rStyle w:val="Emphasis"/>
        </w:rPr>
        <w:t>Financial Management Act 1994</w:t>
      </w:r>
      <w:r w:rsidRPr="005E759C">
        <w:t>.</w:t>
      </w:r>
      <w:bookmarkEnd w:id="875"/>
    </w:p>
    <w:p w14:paraId="5F016647" w14:textId="77777777" w:rsidR="005F4A7E" w:rsidRPr="002029AF" w:rsidRDefault="005F4A7E" w:rsidP="00087B91">
      <w:pPr>
        <w:pStyle w:val="ARfinbody"/>
      </w:pPr>
      <w:r w:rsidRPr="002029AF">
        <w:br w:type="page"/>
      </w:r>
    </w:p>
    <w:p w14:paraId="53BD88DC" w14:textId="0348697C" w:rsidR="005F4A7E" w:rsidRDefault="005F4A7E" w:rsidP="00130D1C">
      <w:pPr>
        <w:pStyle w:val="Heading3"/>
      </w:pPr>
      <w:bookmarkStart w:id="876" w:name="_Toc82947315"/>
      <w:bookmarkStart w:id="877" w:name="_Toc85121422"/>
      <w:bookmarkStart w:id="878" w:name="_Toc86075634"/>
      <w:r>
        <w:rPr>
          <w:szCs w:val="28"/>
        </w:rPr>
        <w:lastRenderedPageBreak/>
        <w:t>5. Key assets available to support output delivery</w:t>
      </w:r>
      <w:bookmarkEnd w:id="876"/>
      <w:bookmarkEnd w:id="877"/>
      <w:bookmarkEnd w:id="878"/>
    </w:p>
    <w:p w14:paraId="29383C4F" w14:textId="77777777" w:rsidR="005F4A7E" w:rsidRDefault="005F4A7E" w:rsidP="00130D1C">
      <w:pPr>
        <w:pStyle w:val="Heading4"/>
      </w:pPr>
      <w:bookmarkStart w:id="879" w:name="_Toc85121423"/>
      <w:r>
        <w:t>Introduction</w:t>
      </w:r>
      <w:bookmarkEnd w:id="879"/>
    </w:p>
    <w:p w14:paraId="6D6E7B1D" w14:textId="77777777" w:rsidR="005F4A7E" w:rsidRDefault="005F4A7E" w:rsidP="00130D1C">
      <w:pPr>
        <w:pStyle w:val="ARfinbody"/>
      </w:pPr>
      <w:r>
        <w:t xml:space="preserve">The department controls infrastructure and other investments that are utilised in fulfilling its objectives and conducting its activities. They represent the key resources that have been entrusted to the department to be utilised for delivery of </w:t>
      </w:r>
      <w:r w:rsidRPr="005E759C">
        <w:t>those</w:t>
      </w:r>
      <w:r>
        <w:t xml:space="preserve"> outputs.</w:t>
      </w:r>
    </w:p>
    <w:p w14:paraId="4275EE43" w14:textId="77777777" w:rsidR="005F4A7E" w:rsidRDefault="005F4A7E" w:rsidP="00130D1C">
      <w:pPr>
        <w:pStyle w:val="Heading5"/>
        <w:rPr>
          <w:lang w:eastAsia="en-AU"/>
        </w:rPr>
      </w:pPr>
      <w:bookmarkStart w:id="880" w:name="_Toc85121424"/>
      <w:bookmarkStart w:id="881" w:name="_Hlk82028525"/>
      <w:r>
        <w:rPr>
          <w:lang w:eastAsia="en-AU"/>
        </w:rPr>
        <w:t>Fair value measurement</w:t>
      </w:r>
      <w:bookmarkEnd w:id="880"/>
    </w:p>
    <w:p w14:paraId="41425B61" w14:textId="77777777" w:rsidR="005F4A7E" w:rsidRDefault="005F4A7E" w:rsidP="00130D1C">
      <w:pPr>
        <w:pStyle w:val="ARfinbody"/>
      </w:pPr>
      <w:r>
        <w:t>Where the assets included in this section are carried at fair value, additional information is disclosed in Note 8.3 in connection with how those fair values were determined</w:t>
      </w:r>
      <w:bookmarkEnd w:id="881"/>
      <w:r>
        <w:t>.</w:t>
      </w:r>
    </w:p>
    <w:p w14:paraId="29B86651" w14:textId="77777777" w:rsidR="005F4A7E" w:rsidRDefault="005F4A7E" w:rsidP="00130D1C">
      <w:pPr>
        <w:pStyle w:val="Heading4"/>
      </w:pPr>
      <w:bookmarkStart w:id="882" w:name="_Toc85121425"/>
      <w:r>
        <w:t>Structure</w:t>
      </w:r>
      <w:bookmarkEnd w:id="882"/>
    </w:p>
    <w:p w14:paraId="2239EF3E" w14:textId="77777777" w:rsidR="005F4A7E" w:rsidRDefault="005F4A7E" w:rsidP="00130D1C">
      <w:pPr>
        <w:pStyle w:val="ARfinstructure1"/>
      </w:pPr>
      <w:r>
        <w:t>5.1</w:t>
      </w:r>
      <w:r>
        <w:tab/>
        <w:t>Total property, plant and equipment</w:t>
      </w:r>
    </w:p>
    <w:p w14:paraId="239BF1BF" w14:textId="77777777" w:rsidR="005F4A7E" w:rsidRDefault="005F4A7E" w:rsidP="00130D1C">
      <w:pPr>
        <w:pStyle w:val="ARfinstructure2"/>
      </w:pPr>
      <w:r>
        <w:t>5.1(a)</w:t>
      </w:r>
      <w:r>
        <w:tab/>
        <w:t>Total right-of-use assets</w:t>
      </w:r>
    </w:p>
    <w:p w14:paraId="3095E628" w14:textId="77777777" w:rsidR="005F4A7E" w:rsidRDefault="005F4A7E" w:rsidP="00130D1C">
      <w:pPr>
        <w:pStyle w:val="ARfinstructure2"/>
      </w:pPr>
      <w:r>
        <w:t>5.1(b)</w:t>
      </w:r>
      <w:r>
        <w:tab/>
        <w:t>Total service concession assets</w:t>
      </w:r>
    </w:p>
    <w:p w14:paraId="01AB6819" w14:textId="77777777" w:rsidR="005F4A7E" w:rsidRDefault="005F4A7E" w:rsidP="00130D1C">
      <w:pPr>
        <w:pStyle w:val="ARfinstructure2"/>
      </w:pPr>
      <w:r>
        <w:t>5.1.1</w:t>
      </w:r>
      <w:r>
        <w:tab/>
        <w:t>Depreciation and amortisation</w:t>
      </w:r>
    </w:p>
    <w:p w14:paraId="27C53936" w14:textId="651F8B28" w:rsidR="005F4A7E" w:rsidRDefault="005F4A7E" w:rsidP="00130D1C">
      <w:pPr>
        <w:pStyle w:val="ARfinstructure2"/>
      </w:pPr>
      <w:r>
        <w:t>5.1.2</w:t>
      </w:r>
      <w:r>
        <w:tab/>
        <w:t xml:space="preserve">Carrying values by </w:t>
      </w:r>
      <w:r w:rsidR="007D145B">
        <w:t>‘</w:t>
      </w:r>
      <w:r>
        <w:t>purpose</w:t>
      </w:r>
      <w:r w:rsidR="007D145B">
        <w:t>’</w:t>
      </w:r>
      <w:r>
        <w:t xml:space="preserve"> groups</w:t>
      </w:r>
    </w:p>
    <w:p w14:paraId="543093F3" w14:textId="77777777" w:rsidR="005F4A7E" w:rsidRDefault="005F4A7E" w:rsidP="00130D1C">
      <w:pPr>
        <w:pStyle w:val="ARfinstructure2"/>
      </w:pPr>
      <w:r>
        <w:t>5.1.3</w:t>
      </w:r>
      <w:r>
        <w:tab/>
        <w:t>Reconciliation of movements in carrying values of property, plant and equipment</w:t>
      </w:r>
    </w:p>
    <w:p w14:paraId="66A8BF1F" w14:textId="77777777" w:rsidR="005F4A7E" w:rsidRDefault="005F4A7E" w:rsidP="00130D1C">
      <w:pPr>
        <w:pStyle w:val="ARfinstructure1"/>
      </w:pPr>
      <w:r>
        <w:t>5.2</w:t>
      </w:r>
      <w:r>
        <w:tab/>
        <w:t>Intangible assets</w:t>
      </w:r>
    </w:p>
    <w:p w14:paraId="72B8ED0A" w14:textId="77777777" w:rsidR="005F4A7E" w:rsidRDefault="005F4A7E" w:rsidP="00130D1C">
      <w:pPr>
        <w:pStyle w:val="ARfinstructure1"/>
      </w:pPr>
      <w:r>
        <w:t>5.3</w:t>
      </w:r>
      <w:r>
        <w:tab/>
        <w:t>Investments accounted for using the equity method</w:t>
      </w:r>
    </w:p>
    <w:p w14:paraId="3B6A7E3C" w14:textId="77777777" w:rsidR="005F4A7E" w:rsidRDefault="005F4A7E" w:rsidP="00130D1C">
      <w:pPr>
        <w:pStyle w:val="ARfinstructure2"/>
      </w:pPr>
      <w:r>
        <w:t>5.3.1</w:t>
      </w:r>
      <w:r>
        <w:tab/>
        <w:t>Details of joint venture</w:t>
      </w:r>
    </w:p>
    <w:p w14:paraId="7F79A952" w14:textId="77777777" w:rsidR="005F4A7E" w:rsidRPr="006633AB" w:rsidRDefault="005F4A7E" w:rsidP="00130D1C">
      <w:pPr>
        <w:pStyle w:val="Heading4"/>
      </w:pPr>
      <w:bookmarkStart w:id="883" w:name="_Toc39242144"/>
      <w:bookmarkStart w:id="884" w:name="_Toc85121426"/>
      <w:r>
        <w:t>5.1 Total property, plant and equipment</w:t>
      </w:r>
      <w:bookmarkEnd w:id="883"/>
      <w:r>
        <w:t xml:space="preserve"> </w:t>
      </w:r>
      <w:r w:rsidRPr="006633AB">
        <w:rPr>
          <w:rStyle w:val="Superscript"/>
        </w:rPr>
        <w:t>(i)</w:t>
      </w:r>
      <w:bookmarkEnd w:id="884"/>
    </w:p>
    <w:tbl>
      <w:tblPr>
        <w:tblStyle w:val="TableGrid"/>
        <w:tblW w:w="9637" w:type="dxa"/>
        <w:tblLayout w:type="fixed"/>
        <w:tblLook w:val="06A0" w:firstRow="1" w:lastRow="0" w:firstColumn="1" w:lastColumn="0" w:noHBand="1" w:noVBand="1"/>
      </w:tblPr>
      <w:tblGrid>
        <w:gridCol w:w="3512"/>
        <w:gridCol w:w="1020"/>
        <w:gridCol w:w="1021"/>
        <w:gridCol w:w="1021"/>
        <w:gridCol w:w="1021"/>
        <w:gridCol w:w="1021"/>
        <w:gridCol w:w="1021"/>
      </w:tblGrid>
      <w:tr w:rsidR="005F4A7E" w:rsidRPr="002029AF" w14:paraId="4BB0689C"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3512" w:type="dxa"/>
            <w:vMerge w:val="restart"/>
            <w:noWrap/>
            <w:hideMark/>
          </w:tcPr>
          <w:p w14:paraId="7961B3B5" w14:textId="77777777" w:rsidR="005F4A7E" w:rsidRPr="002029AF" w:rsidRDefault="005F4A7E" w:rsidP="00860E95">
            <w:pPr>
              <w:pStyle w:val="ARfintablecolhead"/>
            </w:pPr>
          </w:p>
        </w:tc>
        <w:tc>
          <w:tcPr>
            <w:tcW w:w="2041" w:type="dxa"/>
            <w:gridSpan w:val="2"/>
            <w:hideMark/>
          </w:tcPr>
          <w:p w14:paraId="34382FF3" w14:textId="77777777" w:rsidR="005F4A7E" w:rsidRPr="002029AF" w:rsidRDefault="005F4A7E" w:rsidP="00860E95">
            <w:pPr>
              <w:pStyle w:val="ARfintablecolheadcentre"/>
            </w:pPr>
            <w:r w:rsidRPr="002029AF">
              <w:t>Gross carrying amount</w:t>
            </w:r>
          </w:p>
        </w:tc>
        <w:tc>
          <w:tcPr>
            <w:tcW w:w="2042" w:type="dxa"/>
            <w:gridSpan w:val="2"/>
            <w:hideMark/>
          </w:tcPr>
          <w:p w14:paraId="6A94473B" w14:textId="77777777" w:rsidR="005F4A7E" w:rsidRPr="002029AF" w:rsidRDefault="005F4A7E" w:rsidP="00860E95">
            <w:pPr>
              <w:pStyle w:val="ARfintablecolheadcentre"/>
            </w:pPr>
            <w:r w:rsidRPr="002029AF">
              <w:t>Accumulated depreciation</w:t>
            </w:r>
          </w:p>
        </w:tc>
        <w:tc>
          <w:tcPr>
            <w:tcW w:w="2042" w:type="dxa"/>
            <w:gridSpan w:val="2"/>
            <w:hideMark/>
          </w:tcPr>
          <w:p w14:paraId="557D86FD" w14:textId="77777777" w:rsidR="005F4A7E" w:rsidRPr="002029AF" w:rsidRDefault="005F4A7E" w:rsidP="00860E95">
            <w:pPr>
              <w:pStyle w:val="ARfintablecolheadcentre"/>
            </w:pPr>
            <w:r w:rsidRPr="002029AF">
              <w:t xml:space="preserve">Net carrying </w:t>
            </w:r>
            <w:r w:rsidRPr="002029AF">
              <w:br/>
              <w:t>amount</w:t>
            </w:r>
          </w:p>
        </w:tc>
      </w:tr>
      <w:tr w:rsidR="005F4A7E" w:rsidRPr="002029AF" w14:paraId="46451AF7"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3512" w:type="dxa"/>
            <w:vMerge/>
            <w:tcBorders>
              <w:bottom w:val="single" w:sz="4" w:space="0" w:color="auto"/>
            </w:tcBorders>
            <w:hideMark/>
          </w:tcPr>
          <w:p w14:paraId="49A9F433" w14:textId="77777777" w:rsidR="005F4A7E" w:rsidRPr="002029AF" w:rsidRDefault="005F4A7E" w:rsidP="00130D1C">
            <w:pPr>
              <w:pStyle w:val="ARfintablecolhead"/>
            </w:pPr>
          </w:p>
        </w:tc>
        <w:tc>
          <w:tcPr>
            <w:tcW w:w="1020" w:type="dxa"/>
            <w:tcBorders>
              <w:bottom w:val="single" w:sz="4" w:space="0" w:color="auto"/>
            </w:tcBorders>
            <w:shd w:val="clear" w:color="auto" w:fill="E7E6E6"/>
            <w:hideMark/>
          </w:tcPr>
          <w:p w14:paraId="180A25F7" w14:textId="77777777" w:rsidR="005F4A7E" w:rsidRPr="002029AF" w:rsidRDefault="005F4A7E" w:rsidP="00130D1C">
            <w:pPr>
              <w:pStyle w:val="ARfintablecolheadright"/>
            </w:pPr>
            <w:r>
              <w:t>2021</w:t>
            </w:r>
          </w:p>
          <w:p w14:paraId="585F3B9D" w14:textId="77777777" w:rsidR="005F4A7E" w:rsidRPr="002029AF" w:rsidRDefault="005F4A7E" w:rsidP="00130D1C">
            <w:pPr>
              <w:pStyle w:val="ARfintablecolheadright"/>
            </w:pPr>
            <w:r w:rsidRPr="002029AF">
              <w:t>$M</w:t>
            </w:r>
          </w:p>
        </w:tc>
        <w:tc>
          <w:tcPr>
            <w:tcW w:w="1021" w:type="dxa"/>
            <w:tcBorders>
              <w:bottom w:val="single" w:sz="4" w:space="0" w:color="auto"/>
            </w:tcBorders>
            <w:hideMark/>
          </w:tcPr>
          <w:p w14:paraId="587EC96E" w14:textId="77777777" w:rsidR="005F4A7E" w:rsidRPr="002029AF" w:rsidRDefault="005F4A7E" w:rsidP="00130D1C">
            <w:pPr>
              <w:pStyle w:val="ARfintablecolheadright"/>
            </w:pPr>
            <w:r>
              <w:t>2020</w:t>
            </w:r>
          </w:p>
          <w:p w14:paraId="1302612C" w14:textId="77777777" w:rsidR="005F4A7E" w:rsidRPr="002029AF" w:rsidRDefault="005F4A7E" w:rsidP="00130D1C">
            <w:pPr>
              <w:pStyle w:val="ARfintablecolheadright"/>
            </w:pPr>
            <w:r w:rsidRPr="002029AF">
              <w:t>$M</w:t>
            </w:r>
          </w:p>
        </w:tc>
        <w:tc>
          <w:tcPr>
            <w:tcW w:w="1021" w:type="dxa"/>
            <w:tcBorders>
              <w:bottom w:val="single" w:sz="4" w:space="0" w:color="auto"/>
            </w:tcBorders>
            <w:shd w:val="clear" w:color="auto" w:fill="E7E6E6"/>
            <w:hideMark/>
          </w:tcPr>
          <w:p w14:paraId="5D569126" w14:textId="77777777" w:rsidR="005F4A7E" w:rsidRPr="002029AF" w:rsidRDefault="005F4A7E" w:rsidP="00130D1C">
            <w:pPr>
              <w:pStyle w:val="ARfintablecolheadright"/>
            </w:pPr>
            <w:r>
              <w:t>2021</w:t>
            </w:r>
          </w:p>
          <w:p w14:paraId="5D0B5989" w14:textId="77777777" w:rsidR="005F4A7E" w:rsidRPr="002029AF" w:rsidRDefault="005F4A7E" w:rsidP="00130D1C">
            <w:pPr>
              <w:pStyle w:val="ARfintablecolheadright"/>
            </w:pPr>
            <w:r w:rsidRPr="002029AF">
              <w:t>$M</w:t>
            </w:r>
          </w:p>
        </w:tc>
        <w:tc>
          <w:tcPr>
            <w:tcW w:w="1021" w:type="dxa"/>
            <w:tcBorders>
              <w:bottom w:val="single" w:sz="4" w:space="0" w:color="auto"/>
            </w:tcBorders>
            <w:hideMark/>
          </w:tcPr>
          <w:p w14:paraId="1776CAD8" w14:textId="77777777" w:rsidR="005F4A7E" w:rsidRPr="002029AF" w:rsidRDefault="005F4A7E" w:rsidP="00130D1C">
            <w:pPr>
              <w:pStyle w:val="ARfintablecolheadright"/>
            </w:pPr>
            <w:r>
              <w:t>2020</w:t>
            </w:r>
          </w:p>
          <w:p w14:paraId="43506D6D" w14:textId="77777777" w:rsidR="005F4A7E" w:rsidRPr="002029AF" w:rsidRDefault="005F4A7E" w:rsidP="00130D1C">
            <w:pPr>
              <w:pStyle w:val="ARfintablecolheadright"/>
            </w:pPr>
            <w:r w:rsidRPr="002029AF">
              <w:t>$M</w:t>
            </w:r>
          </w:p>
        </w:tc>
        <w:tc>
          <w:tcPr>
            <w:tcW w:w="1021" w:type="dxa"/>
            <w:tcBorders>
              <w:bottom w:val="single" w:sz="4" w:space="0" w:color="auto"/>
            </w:tcBorders>
            <w:shd w:val="clear" w:color="auto" w:fill="E7E6E6"/>
            <w:hideMark/>
          </w:tcPr>
          <w:p w14:paraId="7F82C7D5" w14:textId="77777777" w:rsidR="005F4A7E" w:rsidRPr="002029AF" w:rsidRDefault="005F4A7E" w:rsidP="00130D1C">
            <w:pPr>
              <w:pStyle w:val="ARfintablecolheadright"/>
            </w:pPr>
            <w:r>
              <w:t>2021</w:t>
            </w:r>
          </w:p>
          <w:p w14:paraId="57394365" w14:textId="77777777" w:rsidR="005F4A7E" w:rsidRPr="002029AF" w:rsidRDefault="005F4A7E" w:rsidP="00130D1C">
            <w:pPr>
              <w:pStyle w:val="ARfintablecolheadright"/>
            </w:pPr>
            <w:r w:rsidRPr="002029AF">
              <w:t>$M</w:t>
            </w:r>
          </w:p>
        </w:tc>
        <w:tc>
          <w:tcPr>
            <w:tcW w:w="1021" w:type="dxa"/>
            <w:tcBorders>
              <w:bottom w:val="single" w:sz="4" w:space="0" w:color="auto"/>
            </w:tcBorders>
            <w:hideMark/>
          </w:tcPr>
          <w:p w14:paraId="4ADB4DD6" w14:textId="77777777" w:rsidR="005F4A7E" w:rsidRPr="002029AF" w:rsidRDefault="005F4A7E" w:rsidP="00130D1C">
            <w:pPr>
              <w:pStyle w:val="ARfintablecolheadright"/>
            </w:pPr>
            <w:r>
              <w:t>2020</w:t>
            </w:r>
          </w:p>
          <w:p w14:paraId="5A45E3E8" w14:textId="77777777" w:rsidR="005F4A7E" w:rsidRPr="002029AF" w:rsidRDefault="005F4A7E" w:rsidP="00130D1C">
            <w:pPr>
              <w:pStyle w:val="ARfintablecolheadright"/>
            </w:pPr>
            <w:r w:rsidRPr="002029AF">
              <w:t>$M</w:t>
            </w:r>
          </w:p>
        </w:tc>
      </w:tr>
      <w:tr w:rsidR="005F4A7E" w:rsidRPr="002029AF" w14:paraId="7BA8C7C2" w14:textId="77777777" w:rsidTr="00130D1C">
        <w:tc>
          <w:tcPr>
            <w:tcW w:w="3512" w:type="dxa"/>
            <w:tcBorders>
              <w:top w:val="single" w:sz="4" w:space="0" w:color="auto"/>
              <w:bottom w:val="single" w:sz="4" w:space="0" w:color="A6A6A6"/>
            </w:tcBorders>
            <w:hideMark/>
          </w:tcPr>
          <w:p w14:paraId="64284DD8" w14:textId="77777777" w:rsidR="005F4A7E" w:rsidRPr="002029AF" w:rsidRDefault="005F4A7E" w:rsidP="00130D1C">
            <w:pPr>
              <w:pStyle w:val="ARfintablebody"/>
            </w:pPr>
            <w:r w:rsidRPr="00AF2E58">
              <w:t>Land at fair value</w:t>
            </w:r>
          </w:p>
        </w:tc>
        <w:tc>
          <w:tcPr>
            <w:tcW w:w="1020" w:type="dxa"/>
            <w:tcBorders>
              <w:top w:val="single" w:sz="4" w:space="0" w:color="auto"/>
              <w:bottom w:val="single" w:sz="4" w:space="0" w:color="A6A6A6"/>
            </w:tcBorders>
            <w:shd w:val="clear" w:color="auto" w:fill="E7E6E6"/>
            <w:noWrap/>
            <w:hideMark/>
          </w:tcPr>
          <w:p w14:paraId="793F48AF" w14:textId="77777777" w:rsidR="005F4A7E" w:rsidRPr="002029AF" w:rsidRDefault="005F4A7E" w:rsidP="00130D1C">
            <w:pPr>
              <w:pStyle w:val="ARfintablebodyright"/>
            </w:pPr>
            <w:r w:rsidRPr="00AF2E58">
              <w:t>23,080.8</w:t>
            </w:r>
          </w:p>
        </w:tc>
        <w:tc>
          <w:tcPr>
            <w:tcW w:w="1021" w:type="dxa"/>
            <w:tcBorders>
              <w:top w:val="single" w:sz="4" w:space="0" w:color="auto"/>
              <w:bottom w:val="single" w:sz="4" w:space="0" w:color="A6A6A6"/>
            </w:tcBorders>
            <w:noWrap/>
            <w:hideMark/>
          </w:tcPr>
          <w:p w14:paraId="0BD44D06" w14:textId="77777777" w:rsidR="005F4A7E" w:rsidRPr="002029AF" w:rsidRDefault="005F4A7E" w:rsidP="00130D1C">
            <w:pPr>
              <w:pStyle w:val="ARfintablebodyright"/>
            </w:pPr>
            <w:r w:rsidRPr="00AF2E58">
              <w:t>18,525.1</w:t>
            </w:r>
          </w:p>
        </w:tc>
        <w:tc>
          <w:tcPr>
            <w:tcW w:w="1021" w:type="dxa"/>
            <w:tcBorders>
              <w:top w:val="single" w:sz="4" w:space="0" w:color="auto"/>
              <w:bottom w:val="single" w:sz="4" w:space="0" w:color="A6A6A6"/>
            </w:tcBorders>
            <w:shd w:val="clear" w:color="auto" w:fill="E7E6E6"/>
            <w:noWrap/>
            <w:hideMark/>
          </w:tcPr>
          <w:p w14:paraId="6A9BA4F0" w14:textId="77777777" w:rsidR="005F4A7E" w:rsidRPr="002029AF" w:rsidRDefault="005F4A7E" w:rsidP="00130D1C">
            <w:pPr>
              <w:pStyle w:val="ARfintablebodyright"/>
            </w:pPr>
            <w:r w:rsidRPr="00AF2E58">
              <w:t>(1.6)</w:t>
            </w:r>
          </w:p>
        </w:tc>
        <w:tc>
          <w:tcPr>
            <w:tcW w:w="1021" w:type="dxa"/>
            <w:tcBorders>
              <w:top w:val="single" w:sz="4" w:space="0" w:color="auto"/>
              <w:bottom w:val="single" w:sz="4" w:space="0" w:color="A6A6A6"/>
            </w:tcBorders>
            <w:noWrap/>
            <w:hideMark/>
          </w:tcPr>
          <w:p w14:paraId="70136925" w14:textId="77777777" w:rsidR="005F4A7E" w:rsidRPr="002029AF" w:rsidRDefault="005F4A7E" w:rsidP="00130D1C">
            <w:pPr>
              <w:pStyle w:val="ARfintablebodyright"/>
            </w:pPr>
            <w:r w:rsidRPr="00AF2E58">
              <w:t>(0.8)</w:t>
            </w:r>
          </w:p>
        </w:tc>
        <w:tc>
          <w:tcPr>
            <w:tcW w:w="1021" w:type="dxa"/>
            <w:tcBorders>
              <w:top w:val="single" w:sz="4" w:space="0" w:color="auto"/>
              <w:bottom w:val="single" w:sz="4" w:space="0" w:color="A6A6A6"/>
            </w:tcBorders>
            <w:shd w:val="clear" w:color="auto" w:fill="E7E6E6"/>
            <w:noWrap/>
            <w:hideMark/>
          </w:tcPr>
          <w:p w14:paraId="33B5A81A" w14:textId="77777777" w:rsidR="005F4A7E" w:rsidRPr="002029AF" w:rsidRDefault="005F4A7E" w:rsidP="00130D1C">
            <w:pPr>
              <w:pStyle w:val="ARfintablebodyright"/>
            </w:pPr>
            <w:r w:rsidRPr="00AF2E58">
              <w:t>23,079.2</w:t>
            </w:r>
          </w:p>
        </w:tc>
        <w:tc>
          <w:tcPr>
            <w:tcW w:w="1021" w:type="dxa"/>
            <w:tcBorders>
              <w:top w:val="single" w:sz="4" w:space="0" w:color="auto"/>
              <w:bottom w:val="single" w:sz="4" w:space="0" w:color="A6A6A6"/>
            </w:tcBorders>
            <w:noWrap/>
            <w:hideMark/>
          </w:tcPr>
          <w:p w14:paraId="5AFECA6E" w14:textId="77777777" w:rsidR="005F4A7E" w:rsidRPr="002029AF" w:rsidRDefault="005F4A7E" w:rsidP="00130D1C">
            <w:pPr>
              <w:pStyle w:val="ARfintablebodyright"/>
            </w:pPr>
            <w:r w:rsidRPr="00AF2E58">
              <w:t>18,524.3</w:t>
            </w:r>
          </w:p>
        </w:tc>
      </w:tr>
      <w:tr w:rsidR="005F4A7E" w:rsidRPr="002029AF" w14:paraId="099DD366" w14:textId="77777777" w:rsidTr="00130D1C">
        <w:tc>
          <w:tcPr>
            <w:tcW w:w="3512" w:type="dxa"/>
            <w:tcBorders>
              <w:top w:val="single" w:sz="4" w:space="0" w:color="A6A6A6"/>
              <w:bottom w:val="single" w:sz="4" w:space="0" w:color="A6A6A6"/>
            </w:tcBorders>
            <w:hideMark/>
          </w:tcPr>
          <w:p w14:paraId="1504499A" w14:textId="77777777" w:rsidR="005F4A7E" w:rsidRPr="002029AF" w:rsidRDefault="005F4A7E" w:rsidP="00130D1C">
            <w:pPr>
              <w:pStyle w:val="ARfintablebody"/>
            </w:pPr>
            <w:r w:rsidRPr="00AF2E58">
              <w:t>Buildings at fair value</w:t>
            </w:r>
          </w:p>
        </w:tc>
        <w:tc>
          <w:tcPr>
            <w:tcW w:w="1020" w:type="dxa"/>
            <w:tcBorders>
              <w:top w:val="single" w:sz="4" w:space="0" w:color="A6A6A6"/>
              <w:bottom w:val="single" w:sz="4" w:space="0" w:color="A6A6A6"/>
            </w:tcBorders>
            <w:shd w:val="clear" w:color="auto" w:fill="E7E6E6"/>
            <w:noWrap/>
            <w:hideMark/>
          </w:tcPr>
          <w:p w14:paraId="6088509E" w14:textId="77777777" w:rsidR="005F4A7E" w:rsidRPr="002029AF" w:rsidRDefault="005F4A7E" w:rsidP="00130D1C">
            <w:pPr>
              <w:pStyle w:val="ARfintablebodyright"/>
            </w:pPr>
            <w:r w:rsidRPr="00AF2E58">
              <w:t>9,952.9</w:t>
            </w:r>
          </w:p>
        </w:tc>
        <w:tc>
          <w:tcPr>
            <w:tcW w:w="1021" w:type="dxa"/>
            <w:tcBorders>
              <w:top w:val="single" w:sz="4" w:space="0" w:color="A6A6A6"/>
              <w:bottom w:val="single" w:sz="4" w:space="0" w:color="A6A6A6"/>
            </w:tcBorders>
            <w:noWrap/>
            <w:hideMark/>
          </w:tcPr>
          <w:p w14:paraId="688995A9" w14:textId="77777777" w:rsidR="005F4A7E" w:rsidRPr="002029AF" w:rsidRDefault="005F4A7E" w:rsidP="00130D1C">
            <w:pPr>
              <w:pStyle w:val="ARfintablebodyright"/>
            </w:pPr>
            <w:r w:rsidRPr="00AF2E58">
              <w:t>10,060.0</w:t>
            </w:r>
          </w:p>
        </w:tc>
        <w:tc>
          <w:tcPr>
            <w:tcW w:w="1021" w:type="dxa"/>
            <w:tcBorders>
              <w:top w:val="single" w:sz="4" w:space="0" w:color="A6A6A6"/>
              <w:bottom w:val="single" w:sz="4" w:space="0" w:color="A6A6A6"/>
            </w:tcBorders>
            <w:shd w:val="clear" w:color="auto" w:fill="E7E6E6"/>
            <w:noWrap/>
            <w:hideMark/>
          </w:tcPr>
          <w:p w14:paraId="013F738D" w14:textId="77777777" w:rsidR="005F4A7E" w:rsidRPr="002029AF" w:rsidRDefault="005F4A7E" w:rsidP="00130D1C">
            <w:pPr>
              <w:pStyle w:val="ARfintablebodyright"/>
            </w:pPr>
            <w:r w:rsidRPr="00AF2E58">
              <w:t>(206.4)</w:t>
            </w:r>
          </w:p>
        </w:tc>
        <w:tc>
          <w:tcPr>
            <w:tcW w:w="1021" w:type="dxa"/>
            <w:tcBorders>
              <w:top w:val="single" w:sz="4" w:space="0" w:color="A6A6A6"/>
              <w:bottom w:val="single" w:sz="4" w:space="0" w:color="A6A6A6"/>
            </w:tcBorders>
            <w:noWrap/>
            <w:hideMark/>
          </w:tcPr>
          <w:p w14:paraId="7A40A510" w14:textId="77777777" w:rsidR="005F4A7E" w:rsidRPr="002029AF" w:rsidRDefault="005F4A7E" w:rsidP="00130D1C">
            <w:pPr>
              <w:pStyle w:val="ARfintablebodyright"/>
            </w:pPr>
            <w:r w:rsidRPr="00AF2E58">
              <w:t>(409.7)</w:t>
            </w:r>
          </w:p>
        </w:tc>
        <w:tc>
          <w:tcPr>
            <w:tcW w:w="1021" w:type="dxa"/>
            <w:tcBorders>
              <w:top w:val="single" w:sz="4" w:space="0" w:color="A6A6A6"/>
              <w:bottom w:val="single" w:sz="4" w:space="0" w:color="A6A6A6"/>
            </w:tcBorders>
            <w:shd w:val="clear" w:color="auto" w:fill="E7E6E6"/>
            <w:noWrap/>
            <w:hideMark/>
          </w:tcPr>
          <w:p w14:paraId="1D094389" w14:textId="77777777" w:rsidR="005F4A7E" w:rsidRPr="002029AF" w:rsidRDefault="005F4A7E" w:rsidP="00130D1C">
            <w:pPr>
              <w:pStyle w:val="ARfintablebodyright"/>
            </w:pPr>
            <w:r w:rsidRPr="00AF2E58">
              <w:t>9,746.5</w:t>
            </w:r>
          </w:p>
        </w:tc>
        <w:tc>
          <w:tcPr>
            <w:tcW w:w="1021" w:type="dxa"/>
            <w:tcBorders>
              <w:top w:val="single" w:sz="4" w:space="0" w:color="A6A6A6"/>
              <w:bottom w:val="single" w:sz="4" w:space="0" w:color="A6A6A6"/>
            </w:tcBorders>
            <w:noWrap/>
            <w:hideMark/>
          </w:tcPr>
          <w:p w14:paraId="0770B35E" w14:textId="77777777" w:rsidR="005F4A7E" w:rsidRPr="002029AF" w:rsidRDefault="005F4A7E" w:rsidP="00130D1C">
            <w:pPr>
              <w:pStyle w:val="ARfintablebodyright"/>
            </w:pPr>
            <w:r w:rsidRPr="00AF2E58">
              <w:t>9,650.3</w:t>
            </w:r>
          </w:p>
        </w:tc>
      </w:tr>
      <w:tr w:rsidR="005F4A7E" w:rsidRPr="002029AF" w14:paraId="0F5F2F93" w14:textId="77777777" w:rsidTr="00130D1C">
        <w:tc>
          <w:tcPr>
            <w:tcW w:w="3512" w:type="dxa"/>
            <w:tcBorders>
              <w:top w:val="single" w:sz="4" w:space="0" w:color="A6A6A6"/>
              <w:bottom w:val="single" w:sz="4" w:space="0" w:color="A6A6A6"/>
            </w:tcBorders>
            <w:hideMark/>
          </w:tcPr>
          <w:p w14:paraId="06C3B704" w14:textId="77777777" w:rsidR="005F4A7E" w:rsidRPr="002029AF" w:rsidRDefault="005F4A7E" w:rsidP="00130D1C">
            <w:pPr>
              <w:pStyle w:val="ARfintablebody"/>
            </w:pPr>
            <w:r w:rsidRPr="00AF2E58">
              <w:t>Plant, equipment and vehicles at fair value</w:t>
            </w:r>
          </w:p>
        </w:tc>
        <w:tc>
          <w:tcPr>
            <w:tcW w:w="1020" w:type="dxa"/>
            <w:tcBorders>
              <w:top w:val="single" w:sz="4" w:space="0" w:color="A6A6A6"/>
              <w:bottom w:val="single" w:sz="4" w:space="0" w:color="A6A6A6"/>
            </w:tcBorders>
            <w:shd w:val="clear" w:color="auto" w:fill="E7E6E6"/>
            <w:noWrap/>
            <w:hideMark/>
          </w:tcPr>
          <w:p w14:paraId="1D50C875" w14:textId="77777777" w:rsidR="005F4A7E" w:rsidRPr="002029AF" w:rsidRDefault="005F4A7E" w:rsidP="00130D1C">
            <w:pPr>
              <w:pStyle w:val="ARfintablebodyright"/>
            </w:pPr>
            <w:r w:rsidRPr="00AF2E58">
              <w:t>39.2</w:t>
            </w:r>
          </w:p>
        </w:tc>
        <w:tc>
          <w:tcPr>
            <w:tcW w:w="1021" w:type="dxa"/>
            <w:tcBorders>
              <w:top w:val="single" w:sz="4" w:space="0" w:color="A6A6A6"/>
              <w:bottom w:val="single" w:sz="4" w:space="0" w:color="A6A6A6"/>
            </w:tcBorders>
            <w:noWrap/>
            <w:hideMark/>
          </w:tcPr>
          <w:p w14:paraId="3F26E63A" w14:textId="77777777" w:rsidR="005F4A7E" w:rsidRPr="002029AF" w:rsidRDefault="005F4A7E" w:rsidP="00130D1C">
            <w:pPr>
              <w:pStyle w:val="ARfintablebodyright"/>
            </w:pPr>
            <w:r w:rsidRPr="00AF2E58">
              <w:t>54.6</w:t>
            </w:r>
          </w:p>
        </w:tc>
        <w:tc>
          <w:tcPr>
            <w:tcW w:w="1021" w:type="dxa"/>
            <w:tcBorders>
              <w:top w:val="single" w:sz="4" w:space="0" w:color="A6A6A6"/>
              <w:bottom w:val="single" w:sz="4" w:space="0" w:color="A6A6A6"/>
            </w:tcBorders>
            <w:shd w:val="clear" w:color="auto" w:fill="E7E6E6"/>
            <w:noWrap/>
            <w:hideMark/>
          </w:tcPr>
          <w:p w14:paraId="525B21FA" w14:textId="77777777" w:rsidR="005F4A7E" w:rsidRPr="002029AF" w:rsidRDefault="005F4A7E" w:rsidP="00130D1C">
            <w:pPr>
              <w:pStyle w:val="ARfintablebodyright"/>
            </w:pPr>
            <w:r w:rsidRPr="00AF2E58">
              <w:t>(32.9)</w:t>
            </w:r>
          </w:p>
        </w:tc>
        <w:tc>
          <w:tcPr>
            <w:tcW w:w="1021" w:type="dxa"/>
            <w:tcBorders>
              <w:top w:val="single" w:sz="4" w:space="0" w:color="A6A6A6"/>
              <w:bottom w:val="single" w:sz="4" w:space="0" w:color="A6A6A6"/>
            </w:tcBorders>
            <w:noWrap/>
            <w:hideMark/>
          </w:tcPr>
          <w:p w14:paraId="0D3344AC" w14:textId="77777777" w:rsidR="005F4A7E" w:rsidRPr="002029AF" w:rsidRDefault="005F4A7E" w:rsidP="00130D1C">
            <w:pPr>
              <w:pStyle w:val="ARfintablebodyright"/>
            </w:pPr>
            <w:r w:rsidRPr="00AF2E58">
              <w:t>(43.0)</w:t>
            </w:r>
          </w:p>
        </w:tc>
        <w:tc>
          <w:tcPr>
            <w:tcW w:w="1021" w:type="dxa"/>
            <w:tcBorders>
              <w:top w:val="single" w:sz="4" w:space="0" w:color="A6A6A6"/>
              <w:bottom w:val="single" w:sz="4" w:space="0" w:color="A6A6A6"/>
            </w:tcBorders>
            <w:shd w:val="clear" w:color="auto" w:fill="E7E6E6"/>
            <w:noWrap/>
            <w:hideMark/>
          </w:tcPr>
          <w:p w14:paraId="02DE2D97" w14:textId="77777777" w:rsidR="005F4A7E" w:rsidRPr="002029AF" w:rsidRDefault="005F4A7E" w:rsidP="00130D1C">
            <w:pPr>
              <w:pStyle w:val="ARfintablebodyright"/>
            </w:pPr>
            <w:r w:rsidRPr="00AF2E58">
              <w:t>6.3</w:t>
            </w:r>
          </w:p>
        </w:tc>
        <w:tc>
          <w:tcPr>
            <w:tcW w:w="1021" w:type="dxa"/>
            <w:tcBorders>
              <w:top w:val="single" w:sz="4" w:space="0" w:color="A6A6A6"/>
              <w:bottom w:val="single" w:sz="4" w:space="0" w:color="A6A6A6"/>
            </w:tcBorders>
            <w:noWrap/>
            <w:hideMark/>
          </w:tcPr>
          <w:p w14:paraId="2087A8B0" w14:textId="77777777" w:rsidR="005F4A7E" w:rsidRPr="002029AF" w:rsidRDefault="005F4A7E" w:rsidP="00130D1C">
            <w:pPr>
              <w:pStyle w:val="ARfintablebodyright"/>
            </w:pPr>
            <w:r w:rsidRPr="00AF2E58">
              <w:t>11.6</w:t>
            </w:r>
          </w:p>
        </w:tc>
      </w:tr>
      <w:tr w:rsidR="005F4A7E" w:rsidRPr="002029AF" w14:paraId="2FCD33E2" w14:textId="77777777" w:rsidTr="00130D1C">
        <w:tc>
          <w:tcPr>
            <w:tcW w:w="3512" w:type="dxa"/>
            <w:tcBorders>
              <w:top w:val="single" w:sz="4" w:space="0" w:color="A6A6A6"/>
              <w:bottom w:val="single" w:sz="4" w:space="0" w:color="A6A6A6"/>
            </w:tcBorders>
            <w:hideMark/>
          </w:tcPr>
          <w:p w14:paraId="51B0D765" w14:textId="77777777" w:rsidR="005F4A7E" w:rsidRPr="002029AF" w:rsidRDefault="005F4A7E" w:rsidP="00130D1C">
            <w:pPr>
              <w:pStyle w:val="ARfintablebody"/>
            </w:pPr>
            <w:r w:rsidRPr="00AF2E58">
              <w:t>Motor vehicles at fair value</w:t>
            </w:r>
          </w:p>
        </w:tc>
        <w:tc>
          <w:tcPr>
            <w:tcW w:w="1020" w:type="dxa"/>
            <w:tcBorders>
              <w:top w:val="single" w:sz="4" w:space="0" w:color="A6A6A6"/>
              <w:bottom w:val="single" w:sz="4" w:space="0" w:color="A6A6A6"/>
            </w:tcBorders>
            <w:shd w:val="clear" w:color="auto" w:fill="E7E6E6"/>
            <w:noWrap/>
            <w:hideMark/>
          </w:tcPr>
          <w:p w14:paraId="084411FD" w14:textId="77777777" w:rsidR="005F4A7E" w:rsidRPr="002029AF" w:rsidRDefault="005F4A7E" w:rsidP="00130D1C">
            <w:pPr>
              <w:pStyle w:val="ARfintablebodyright"/>
            </w:pPr>
            <w:r w:rsidRPr="00AF2E58">
              <w:t>28.2</w:t>
            </w:r>
          </w:p>
        </w:tc>
        <w:tc>
          <w:tcPr>
            <w:tcW w:w="1021" w:type="dxa"/>
            <w:tcBorders>
              <w:top w:val="single" w:sz="4" w:space="0" w:color="A6A6A6"/>
              <w:bottom w:val="single" w:sz="4" w:space="0" w:color="A6A6A6"/>
            </w:tcBorders>
            <w:noWrap/>
            <w:hideMark/>
          </w:tcPr>
          <w:p w14:paraId="3672D7A6" w14:textId="77777777" w:rsidR="005F4A7E" w:rsidRPr="002029AF" w:rsidRDefault="005F4A7E" w:rsidP="00130D1C">
            <w:pPr>
              <w:pStyle w:val="ARfintablebodyright"/>
            </w:pPr>
            <w:r w:rsidRPr="00AF2E58">
              <w:t>41.9</w:t>
            </w:r>
          </w:p>
        </w:tc>
        <w:tc>
          <w:tcPr>
            <w:tcW w:w="1021" w:type="dxa"/>
            <w:tcBorders>
              <w:top w:val="single" w:sz="4" w:space="0" w:color="A6A6A6"/>
              <w:bottom w:val="single" w:sz="4" w:space="0" w:color="A6A6A6"/>
            </w:tcBorders>
            <w:shd w:val="clear" w:color="auto" w:fill="E7E6E6"/>
            <w:noWrap/>
            <w:hideMark/>
          </w:tcPr>
          <w:p w14:paraId="6EC7D2BE" w14:textId="77777777" w:rsidR="005F4A7E" w:rsidRPr="002029AF" w:rsidRDefault="005F4A7E" w:rsidP="00130D1C">
            <w:pPr>
              <w:pStyle w:val="ARfintablebodyright"/>
            </w:pPr>
            <w:r w:rsidRPr="00AF2E58">
              <w:t>(1.7)</w:t>
            </w:r>
          </w:p>
        </w:tc>
        <w:tc>
          <w:tcPr>
            <w:tcW w:w="1021" w:type="dxa"/>
            <w:tcBorders>
              <w:top w:val="single" w:sz="4" w:space="0" w:color="A6A6A6"/>
              <w:bottom w:val="single" w:sz="4" w:space="0" w:color="A6A6A6"/>
            </w:tcBorders>
            <w:noWrap/>
            <w:hideMark/>
          </w:tcPr>
          <w:p w14:paraId="02ECC241" w14:textId="77777777" w:rsidR="005F4A7E" w:rsidRPr="002029AF" w:rsidRDefault="005F4A7E" w:rsidP="00130D1C">
            <w:pPr>
              <w:pStyle w:val="ARfintablebodyright"/>
            </w:pPr>
            <w:r w:rsidRPr="00AF2E58">
              <w:t>(11.7)</w:t>
            </w:r>
          </w:p>
        </w:tc>
        <w:tc>
          <w:tcPr>
            <w:tcW w:w="1021" w:type="dxa"/>
            <w:tcBorders>
              <w:top w:val="single" w:sz="4" w:space="0" w:color="A6A6A6"/>
              <w:bottom w:val="single" w:sz="4" w:space="0" w:color="A6A6A6"/>
            </w:tcBorders>
            <w:shd w:val="clear" w:color="auto" w:fill="E7E6E6"/>
            <w:noWrap/>
            <w:hideMark/>
          </w:tcPr>
          <w:p w14:paraId="4FE4FB93" w14:textId="77777777" w:rsidR="005F4A7E" w:rsidRPr="002029AF" w:rsidRDefault="005F4A7E" w:rsidP="00130D1C">
            <w:pPr>
              <w:pStyle w:val="ARfintablebodyright"/>
            </w:pPr>
            <w:r w:rsidRPr="00AF2E58">
              <w:t>26.5</w:t>
            </w:r>
          </w:p>
        </w:tc>
        <w:tc>
          <w:tcPr>
            <w:tcW w:w="1021" w:type="dxa"/>
            <w:tcBorders>
              <w:top w:val="single" w:sz="4" w:space="0" w:color="A6A6A6"/>
              <w:bottom w:val="single" w:sz="4" w:space="0" w:color="A6A6A6"/>
            </w:tcBorders>
            <w:noWrap/>
            <w:hideMark/>
          </w:tcPr>
          <w:p w14:paraId="1E940695" w14:textId="77777777" w:rsidR="005F4A7E" w:rsidRPr="002029AF" w:rsidRDefault="005F4A7E" w:rsidP="00130D1C">
            <w:pPr>
              <w:pStyle w:val="ARfintablebodyright"/>
            </w:pPr>
            <w:r w:rsidRPr="00AF2E58">
              <w:t>30.2</w:t>
            </w:r>
          </w:p>
        </w:tc>
      </w:tr>
      <w:tr w:rsidR="005F4A7E" w:rsidRPr="002029AF" w14:paraId="724EDA9B" w14:textId="77777777" w:rsidTr="00130D1C">
        <w:tc>
          <w:tcPr>
            <w:tcW w:w="3512" w:type="dxa"/>
            <w:tcBorders>
              <w:top w:val="single" w:sz="4" w:space="0" w:color="A6A6A6"/>
            </w:tcBorders>
            <w:hideMark/>
          </w:tcPr>
          <w:p w14:paraId="6E4C2FF4" w14:textId="77777777" w:rsidR="005F4A7E" w:rsidRPr="002029AF" w:rsidRDefault="005F4A7E" w:rsidP="00130D1C">
            <w:pPr>
              <w:pStyle w:val="ARfintablebody"/>
            </w:pPr>
            <w:r w:rsidRPr="00AF2E58">
              <w:t>Assets under construction at cost</w:t>
            </w:r>
          </w:p>
        </w:tc>
        <w:tc>
          <w:tcPr>
            <w:tcW w:w="1020" w:type="dxa"/>
            <w:tcBorders>
              <w:top w:val="single" w:sz="4" w:space="0" w:color="A6A6A6"/>
            </w:tcBorders>
            <w:shd w:val="clear" w:color="auto" w:fill="E7E6E6"/>
            <w:noWrap/>
            <w:hideMark/>
          </w:tcPr>
          <w:p w14:paraId="7BD88F16" w14:textId="77777777" w:rsidR="005F4A7E" w:rsidRPr="002029AF" w:rsidRDefault="005F4A7E" w:rsidP="00130D1C">
            <w:pPr>
              <w:pStyle w:val="ARfintablebodyright"/>
            </w:pPr>
            <w:r w:rsidRPr="00AF2E58">
              <w:t>906.0</w:t>
            </w:r>
          </w:p>
        </w:tc>
        <w:tc>
          <w:tcPr>
            <w:tcW w:w="1021" w:type="dxa"/>
            <w:tcBorders>
              <w:top w:val="single" w:sz="4" w:space="0" w:color="A6A6A6"/>
            </w:tcBorders>
            <w:noWrap/>
            <w:hideMark/>
          </w:tcPr>
          <w:p w14:paraId="3DF62B1D" w14:textId="77777777" w:rsidR="005F4A7E" w:rsidRPr="002029AF" w:rsidRDefault="005F4A7E" w:rsidP="00130D1C">
            <w:pPr>
              <w:pStyle w:val="ARfintablebodyright"/>
            </w:pPr>
            <w:r w:rsidRPr="00AF2E58">
              <w:t>576.2</w:t>
            </w:r>
          </w:p>
        </w:tc>
        <w:tc>
          <w:tcPr>
            <w:tcW w:w="1021" w:type="dxa"/>
            <w:tcBorders>
              <w:top w:val="single" w:sz="4" w:space="0" w:color="A6A6A6"/>
            </w:tcBorders>
            <w:shd w:val="clear" w:color="auto" w:fill="E7E6E6"/>
            <w:noWrap/>
            <w:hideMark/>
          </w:tcPr>
          <w:p w14:paraId="27E0D592" w14:textId="77777777" w:rsidR="005F4A7E" w:rsidRPr="002029AF" w:rsidRDefault="005F4A7E" w:rsidP="00130D1C">
            <w:pPr>
              <w:pStyle w:val="ARfintablebodyright"/>
            </w:pPr>
            <w:r w:rsidRPr="00AF2E58">
              <w:t>–</w:t>
            </w:r>
          </w:p>
        </w:tc>
        <w:tc>
          <w:tcPr>
            <w:tcW w:w="1021" w:type="dxa"/>
            <w:tcBorders>
              <w:top w:val="single" w:sz="4" w:space="0" w:color="A6A6A6"/>
            </w:tcBorders>
            <w:noWrap/>
            <w:hideMark/>
          </w:tcPr>
          <w:p w14:paraId="776E1A4D" w14:textId="77777777" w:rsidR="005F4A7E" w:rsidRPr="002029AF" w:rsidRDefault="005F4A7E" w:rsidP="00130D1C">
            <w:pPr>
              <w:pStyle w:val="ARfintablebodyright"/>
            </w:pPr>
            <w:r w:rsidRPr="00AF2E58">
              <w:t>–</w:t>
            </w:r>
          </w:p>
        </w:tc>
        <w:tc>
          <w:tcPr>
            <w:tcW w:w="1021" w:type="dxa"/>
            <w:tcBorders>
              <w:top w:val="single" w:sz="4" w:space="0" w:color="A6A6A6"/>
            </w:tcBorders>
            <w:shd w:val="clear" w:color="auto" w:fill="E7E6E6"/>
            <w:noWrap/>
            <w:hideMark/>
          </w:tcPr>
          <w:p w14:paraId="55F3FB20" w14:textId="77777777" w:rsidR="005F4A7E" w:rsidRPr="002029AF" w:rsidRDefault="005F4A7E" w:rsidP="00130D1C">
            <w:pPr>
              <w:pStyle w:val="ARfintablebodyright"/>
            </w:pPr>
            <w:r w:rsidRPr="00AF2E58">
              <w:t>906.0</w:t>
            </w:r>
          </w:p>
        </w:tc>
        <w:tc>
          <w:tcPr>
            <w:tcW w:w="1021" w:type="dxa"/>
            <w:tcBorders>
              <w:top w:val="single" w:sz="4" w:space="0" w:color="A6A6A6"/>
            </w:tcBorders>
            <w:noWrap/>
            <w:hideMark/>
          </w:tcPr>
          <w:p w14:paraId="0BF5DDE9" w14:textId="77777777" w:rsidR="005F4A7E" w:rsidRPr="002029AF" w:rsidRDefault="005F4A7E" w:rsidP="00130D1C">
            <w:pPr>
              <w:pStyle w:val="ARfintablebodyright"/>
            </w:pPr>
            <w:r w:rsidRPr="00AF2E58">
              <w:t>576.2</w:t>
            </w:r>
          </w:p>
        </w:tc>
      </w:tr>
      <w:tr w:rsidR="005F4A7E" w:rsidRPr="002029AF" w14:paraId="61A0CA02" w14:textId="77777777" w:rsidTr="00130D1C">
        <w:tc>
          <w:tcPr>
            <w:tcW w:w="3512" w:type="dxa"/>
            <w:hideMark/>
          </w:tcPr>
          <w:p w14:paraId="56255788" w14:textId="77777777" w:rsidR="005F4A7E" w:rsidRPr="002029AF" w:rsidRDefault="005F4A7E" w:rsidP="00130D1C">
            <w:pPr>
              <w:pStyle w:val="ARfintablebodybold"/>
            </w:pPr>
            <w:r w:rsidRPr="00AF2E58">
              <w:t>Net carrying amount</w:t>
            </w:r>
          </w:p>
        </w:tc>
        <w:tc>
          <w:tcPr>
            <w:tcW w:w="1020" w:type="dxa"/>
            <w:shd w:val="clear" w:color="auto" w:fill="E7E6E6"/>
            <w:noWrap/>
            <w:hideMark/>
          </w:tcPr>
          <w:p w14:paraId="719BD38C" w14:textId="77777777" w:rsidR="005F4A7E" w:rsidRPr="002029AF" w:rsidRDefault="005F4A7E" w:rsidP="00130D1C">
            <w:pPr>
              <w:pStyle w:val="ARfintablebodyrightbold"/>
            </w:pPr>
            <w:r w:rsidRPr="00AF2E58">
              <w:t>34,007.1</w:t>
            </w:r>
          </w:p>
        </w:tc>
        <w:tc>
          <w:tcPr>
            <w:tcW w:w="1021" w:type="dxa"/>
            <w:noWrap/>
            <w:hideMark/>
          </w:tcPr>
          <w:p w14:paraId="020F8538" w14:textId="77777777" w:rsidR="005F4A7E" w:rsidRPr="002029AF" w:rsidRDefault="005F4A7E" w:rsidP="00130D1C">
            <w:pPr>
              <w:pStyle w:val="ARfintablebodyrightbold"/>
            </w:pPr>
            <w:r w:rsidRPr="00AF2E58">
              <w:t>29,257.8</w:t>
            </w:r>
          </w:p>
        </w:tc>
        <w:tc>
          <w:tcPr>
            <w:tcW w:w="1021" w:type="dxa"/>
            <w:shd w:val="clear" w:color="auto" w:fill="E7E6E6"/>
            <w:noWrap/>
            <w:hideMark/>
          </w:tcPr>
          <w:p w14:paraId="2876636D" w14:textId="77777777" w:rsidR="005F4A7E" w:rsidRPr="002029AF" w:rsidRDefault="005F4A7E" w:rsidP="00130D1C">
            <w:pPr>
              <w:pStyle w:val="ARfintablebodyrightbold"/>
            </w:pPr>
            <w:r w:rsidRPr="00AF2E58">
              <w:t>(242.6)</w:t>
            </w:r>
          </w:p>
        </w:tc>
        <w:tc>
          <w:tcPr>
            <w:tcW w:w="1021" w:type="dxa"/>
            <w:noWrap/>
            <w:hideMark/>
          </w:tcPr>
          <w:p w14:paraId="60D11B46" w14:textId="77777777" w:rsidR="005F4A7E" w:rsidRPr="002029AF" w:rsidRDefault="005F4A7E" w:rsidP="00130D1C">
            <w:pPr>
              <w:pStyle w:val="ARfintablebodyrightbold"/>
            </w:pPr>
            <w:r w:rsidRPr="00AF2E58">
              <w:t>(465.2)</w:t>
            </w:r>
          </w:p>
        </w:tc>
        <w:tc>
          <w:tcPr>
            <w:tcW w:w="1021" w:type="dxa"/>
            <w:shd w:val="clear" w:color="auto" w:fill="E7E6E6"/>
            <w:noWrap/>
            <w:hideMark/>
          </w:tcPr>
          <w:p w14:paraId="511032A2" w14:textId="77777777" w:rsidR="005F4A7E" w:rsidRPr="002029AF" w:rsidRDefault="005F4A7E" w:rsidP="00130D1C">
            <w:pPr>
              <w:pStyle w:val="ARfintablebodyrightbold"/>
            </w:pPr>
            <w:r w:rsidRPr="00AF2E58">
              <w:t>33,764.5</w:t>
            </w:r>
          </w:p>
        </w:tc>
        <w:tc>
          <w:tcPr>
            <w:tcW w:w="1021" w:type="dxa"/>
            <w:noWrap/>
            <w:hideMark/>
          </w:tcPr>
          <w:p w14:paraId="75734166" w14:textId="77777777" w:rsidR="005F4A7E" w:rsidRPr="002029AF" w:rsidRDefault="005F4A7E" w:rsidP="00130D1C">
            <w:pPr>
              <w:pStyle w:val="ARfintablebodyrightbold"/>
            </w:pPr>
            <w:r w:rsidRPr="00AF2E58">
              <w:t>28,792.6</w:t>
            </w:r>
          </w:p>
        </w:tc>
      </w:tr>
    </w:tbl>
    <w:p w14:paraId="7072948D" w14:textId="77777777" w:rsidR="005F4A7E" w:rsidRDefault="005F4A7E" w:rsidP="00130D1C">
      <w:pPr>
        <w:pStyle w:val="ARfintablefootnote"/>
        <w:spacing w:line="240" w:lineRule="auto"/>
        <w:rPr>
          <w:iCs/>
          <w:lang w:eastAsia="en-AU"/>
        </w:rPr>
      </w:pPr>
      <w:r>
        <w:rPr>
          <w:iCs/>
          <w:lang w:eastAsia="en-AU"/>
        </w:rPr>
        <w:t>Note:</w:t>
      </w:r>
    </w:p>
    <w:p w14:paraId="76B9DFA7" w14:textId="7DF30C61" w:rsidR="005F4A7E" w:rsidRDefault="005F4A7E" w:rsidP="00130D1C">
      <w:pPr>
        <w:pStyle w:val="ARfintablefootnoteindent"/>
      </w:pPr>
      <w:r>
        <w:t>(i)</w:t>
      </w:r>
      <w:r>
        <w:tab/>
        <w:t>AASB 16 has been applied for the first time from 1 July 2019.</w:t>
      </w:r>
    </w:p>
    <w:p w14:paraId="53C60260" w14:textId="53076C9E" w:rsidR="005F4A7E" w:rsidRDefault="005F4A7E" w:rsidP="00130D1C">
      <w:pPr>
        <w:pStyle w:val="ARfinbodyaftertable"/>
      </w:pPr>
      <w:r>
        <w:t>The following tables are subsets of land, buildings, plant and equipment, motor vehicles and assets under construction by right-of-use assets and service concessions assets.</w:t>
      </w:r>
    </w:p>
    <w:p w14:paraId="6E560EB0" w14:textId="77777777" w:rsidR="005F4A7E" w:rsidRPr="002029AF" w:rsidRDefault="005F4A7E" w:rsidP="00087B91">
      <w:pPr>
        <w:pStyle w:val="Heading5"/>
        <w:rPr>
          <w:highlight w:val="yellow"/>
        </w:rPr>
      </w:pPr>
      <w:bookmarkStart w:id="885" w:name="_Toc85121427"/>
      <w:r>
        <w:rPr>
          <w:lang w:eastAsia="en-AU"/>
        </w:rPr>
        <w:t>5.1(a) Total right-of-use assets</w:t>
      </w:r>
      <w:bookmarkEnd w:id="885"/>
    </w:p>
    <w:tbl>
      <w:tblPr>
        <w:tblStyle w:val="TableGrid"/>
        <w:tblW w:w="9628" w:type="dxa"/>
        <w:tblLayout w:type="fixed"/>
        <w:tblLook w:val="06A0" w:firstRow="1" w:lastRow="0" w:firstColumn="1" w:lastColumn="0" w:noHBand="1" w:noVBand="1"/>
      </w:tblPr>
      <w:tblGrid>
        <w:gridCol w:w="3508"/>
        <w:gridCol w:w="1020"/>
        <w:gridCol w:w="1020"/>
        <w:gridCol w:w="1020"/>
        <w:gridCol w:w="1020"/>
        <w:gridCol w:w="1020"/>
        <w:gridCol w:w="1020"/>
      </w:tblGrid>
      <w:tr w:rsidR="005F4A7E" w:rsidRPr="002029AF" w14:paraId="40374CA7" w14:textId="77777777" w:rsidTr="00130D1C">
        <w:trPr>
          <w:cnfStyle w:val="100000000000" w:firstRow="1" w:lastRow="0" w:firstColumn="0" w:lastColumn="0" w:oddVBand="0" w:evenVBand="0" w:oddHBand="0" w:evenHBand="0" w:firstRowFirstColumn="0" w:firstRowLastColumn="0" w:lastRowFirstColumn="0" w:lastRowLastColumn="0"/>
          <w:trHeight w:val="255"/>
          <w:tblHeader/>
        </w:trPr>
        <w:tc>
          <w:tcPr>
            <w:tcW w:w="3508" w:type="dxa"/>
            <w:vMerge w:val="restart"/>
            <w:noWrap/>
            <w:hideMark/>
          </w:tcPr>
          <w:p w14:paraId="767E72C4" w14:textId="77777777" w:rsidR="005F4A7E" w:rsidRPr="002029AF" w:rsidRDefault="005F4A7E" w:rsidP="00860E95">
            <w:pPr>
              <w:pStyle w:val="ARfintablecolhead"/>
            </w:pPr>
          </w:p>
        </w:tc>
        <w:tc>
          <w:tcPr>
            <w:tcW w:w="2040" w:type="dxa"/>
            <w:gridSpan w:val="2"/>
          </w:tcPr>
          <w:p w14:paraId="6C05BAB8" w14:textId="77777777" w:rsidR="005F4A7E" w:rsidRPr="002029AF" w:rsidRDefault="005F4A7E" w:rsidP="00130D1C">
            <w:pPr>
              <w:pStyle w:val="ARfintablecolheadcentre"/>
            </w:pPr>
            <w:r w:rsidRPr="002029AF">
              <w:t>Gross carrying amount</w:t>
            </w:r>
          </w:p>
        </w:tc>
        <w:tc>
          <w:tcPr>
            <w:tcW w:w="2040" w:type="dxa"/>
            <w:gridSpan w:val="2"/>
          </w:tcPr>
          <w:p w14:paraId="32D905E1" w14:textId="77777777" w:rsidR="005F4A7E" w:rsidRPr="002029AF" w:rsidRDefault="005F4A7E" w:rsidP="00130D1C">
            <w:pPr>
              <w:pStyle w:val="ARfintablecolheadcentre"/>
            </w:pPr>
            <w:r w:rsidRPr="002029AF">
              <w:t>Accumulated depreciation</w:t>
            </w:r>
          </w:p>
        </w:tc>
        <w:tc>
          <w:tcPr>
            <w:tcW w:w="2040" w:type="dxa"/>
            <w:gridSpan w:val="2"/>
          </w:tcPr>
          <w:p w14:paraId="4AC344E8" w14:textId="77777777" w:rsidR="005F4A7E" w:rsidRPr="002029AF" w:rsidRDefault="005F4A7E" w:rsidP="00130D1C">
            <w:pPr>
              <w:pStyle w:val="ARfintablecolheadcentre"/>
            </w:pPr>
            <w:r w:rsidRPr="002029AF">
              <w:t xml:space="preserve">Net carrying </w:t>
            </w:r>
            <w:r w:rsidRPr="002029AF">
              <w:br/>
              <w:t>amount</w:t>
            </w:r>
          </w:p>
        </w:tc>
      </w:tr>
      <w:tr w:rsidR="005F4A7E" w:rsidRPr="002029AF" w14:paraId="4FD27CD0" w14:textId="77777777" w:rsidTr="00130D1C">
        <w:trPr>
          <w:cnfStyle w:val="100000000000" w:firstRow="1" w:lastRow="0" w:firstColumn="0" w:lastColumn="0" w:oddVBand="0" w:evenVBand="0" w:oddHBand="0" w:evenHBand="0" w:firstRowFirstColumn="0" w:firstRowLastColumn="0" w:lastRowFirstColumn="0" w:lastRowLastColumn="0"/>
          <w:trHeight w:val="255"/>
          <w:tblHeader/>
        </w:trPr>
        <w:tc>
          <w:tcPr>
            <w:tcW w:w="3508" w:type="dxa"/>
            <w:vMerge/>
            <w:tcBorders>
              <w:bottom w:val="single" w:sz="4" w:space="0" w:color="auto"/>
            </w:tcBorders>
            <w:hideMark/>
          </w:tcPr>
          <w:p w14:paraId="24846A60" w14:textId="77777777" w:rsidR="005F4A7E" w:rsidRPr="002029AF" w:rsidRDefault="005F4A7E" w:rsidP="00130D1C">
            <w:pPr>
              <w:pStyle w:val="ARfintablecolhead"/>
            </w:pPr>
          </w:p>
        </w:tc>
        <w:tc>
          <w:tcPr>
            <w:tcW w:w="1020" w:type="dxa"/>
            <w:tcBorders>
              <w:bottom w:val="single" w:sz="4" w:space="0" w:color="auto"/>
            </w:tcBorders>
            <w:shd w:val="clear" w:color="auto" w:fill="E7E6E6"/>
          </w:tcPr>
          <w:p w14:paraId="06F1B833" w14:textId="77777777" w:rsidR="005F4A7E" w:rsidRPr="002029AF" w:rsidRDefault="005F4A7E" w:rsidP="00130D1C">
            <w:pPr>
              <w:pStyle w:val="ARfintablecolheadright"/>
            </w:pPr>
            <w:r>
              <w:t>2021</w:t>
            </w:r>
          </w:p>
          <w:p w14:paraId="02342F68" w14:textId="77777777" w:rsidR="005F4A7E" w:rsidRPr="002029AF" w:rsidRDefault="005F4A7E" w:rsidP="00130D1C">
            <w:pPr>
              <w:pStyle w:val="ARfintablecolheadright"/>
            </w:pPr>
            <w:r w:rsidRPr="002029AF">
              <w:t>$M</w:t>
            </w:r>
          </w:p>
        </w:tc>
        <w:tc>
          <w:tcPr>
            <w:tcW w:w="1020" w:type="dxa"/>
            <w:tcBorders>
              <w:bottom w:val="single" w:sz="4" w:space="0" w:color="auto"/>
            </w:tcBorders>
            <w:hideMark/>
          </w:tcPr>
          <w:p w14:paraId="270B6912" w14:textId="77777777" w:rsidR="005F4A7E" w:rsidRPr="002029AF" w:rsidRDefault="005F4A7E" w:rsidP="00130D1C">
            <w:pPr>
              <w:pStyle w:val="ARfintablecolheadright"/>
            </w:pPr>
            <w:r>
              <w:t>2020</w:t>
            </w:r>
          </w:p>
          <w:p w14:paraId="7BCAAB88" w14:textId="77777777" w:rsidR="005F4A7E" w:rsidRPr="002029AF" w:rsidRDefault="005F4A7E" w:rsidP="00130D1C">
            <w:pPr>
              <w:pStyle w:val="ARfintablecolheadright"/>
            </w:pPr>
            <w:r w:rsidRPr="002029AF">
              <w:t>$M</w:t>
            </w:r>
          </w:p>
        </w:tc>
        <w:tc>
          <w:tcPr>
            <w:tcW w:w="1020" w:type="dxa"/>
            <w:tcBorders>
              <w:bottom w:val="single" w:sz="4" w:space="0" w:color="auto"/>
            </w:tcBorders>
            <w:shd w:val="clear" w:color="auto" w:fill="E7E6E6"/>
          </w:tcPr>
          <w:p w14:paraId="29238901" w14:textId="77777777" w:rsidR="005F4A7E" w:rsidRPr="002029AF" w:rsidRDefault="005F4A7E" w:rsidP="00130D1C">
            <w:pPr>
              <w:pStyle w:val="ARfintablecolheadright"/>
            </w:pPr>
            <w:r>
              <w:t>2021</w:t>
            </w:r>
          </w:p>
          <w:p w14:paraId="534BA3EF" w14:textId="77777777" w:rsidR="005F4A7E" w:rsidRPr="002029AF" w:rsidRDefault="005F4A7E" w:rsidP="00130D1C">
            <w:pPr>
              <w:pStyle w:val="ARfintablecolheadright"/>
            </w:pPr>
            <w:r w:rsidRPr="002029AF">
              <w:t>$M</w:t>
            </w:r>
          </w:p>
        </w:tc>
        <w:tc>
          <w:tcPr>
            <w:tcW w:w="1020" w:type="dxa"/>
            <w:tcBorders>
              <w:bottom w:val="single" w:sz="4" w:space="0" w:color="auto"/>
            </w:tcBorders>
            <w:hideMark/>
          </w:tcPr>
          <w:p w14:paraId="17DCE6FC" w14:textId="77777777" w:rsidR="005F4A7E" w:rsidRPr="002029AF" w:rsidRDefault="005F4A7E" w:rsidP="00130D1C">
            <w:pPr>
              <w:pStyle w:val="ARfintablecolheadright"/>
            </w:pPr>
            <w:r>
              <w:t>2020</w:t>
            </w:r>
          </w:p>
          <w:p w14:paraId="10961F40" w14:textId="77777777" w:rsidR="005F4A7E" w:rsidRPr="002029AF" w:rsidRDefault="005F4A7E" w:rsidP="00130D1C">
            <w:pPr>
              <w:pStyle w:val="ARfintablecolheadright"/>
            </w:pPr>
            <w:r w:rsidRPr="002029AF">
              <w:t>$M</w:t>
            </w:r>
          </w:p>
        </w:tc>
        <w:tc>
          <w:tcPr>
            <w:tcW w:w="1020" w:type="dxa"/>
            <w:tcBorders>
              <w:bottom w:val="single" w:sz="4" w:space="0" w:color="auto"/>
            </w:tcBorders>
            <w:shd w:val="clear" w:color="auto" w:fill="E7E6E6"/>
          </w:tcPr>
          <w:p w14:paraId="6A399B96" w14:textId="77777777" w:rsidR="005F4A7E" w:rsidRPr="002029AF" w:rsidRDefault="005F4A7E" w:rsidP="00130D1C">
            <w:pPr>
              <w:pStyle w:val="ARfintablecolheadright"/>
            </w:pPr>
            <w:r>
              <w:t>2021</w:t>
            </w:r>
          </w:p>
          <w:p w14:paraId="3F12B251" w14:textId="77777777" w:rsidR="005F4A7E" w:rsidRPr="002029AF" w:rsidRDefault="005F4A7E" w:rsidP="00130D1C">
            <w:pPr>
              <w:pStyle w:val="ARfintablecolheadright"/>
            </w:pPr>
            <w:r w:rsidRPr="002029AF">
              <w:t>$M</w:t>
            </w:r>
          </w:p>
        </w:tc>
        <w:tc>
          <w:tcPr>
            <w:tcW w:w="1020" w:type="dxa"/>
            <w:tcBorders>
              <w:bottom w:val="single" w:sz="4" w:space="0" w:color="auto"/>
            </w:tcBorders>
            <w:hideMark/>
          </w:tcPr>
          <w:p w14:paraId="4B4FABAF" w14:textId="77777777" w:rsidR="005F4A7E" w:rsidRPr="002029AF" w:rsidRDefault="005F4A7E" w:rsidP="00130D1C">
            <w:pPr>
              <w:pStyle w:val="ARfintablecolheadright"/>
            </w:pPr>
            <w:r>
              <w:t>2020</w:t>
            </w:r>
          </w:p>
          <w:p w14:paraId="4A7A45BF" w14:textId="77777777" w:rsidR="005F4A7E" w:rsidRPr="002029AF" w:rsidRDefault="005F4A7E" w:rsidP="00130D1C">
            <w:pPr>
              <w:pStyle w:val="ARfintablecolheadright"/>
            </w:pPr>
            <w:r w:rsidRPr="002029AF">
              <w:t>$M</w:t>
            </w:r>
          </w:p>
        </w:tc>
      </w:tr>
      <w:tr w:rsidR="005F4A7E" w:rsidRPr="002029AF" w14:paraId="514FB4D5" w14:textId="77777777" w:rsidTr="00130D1C">
        <w:trPr>
          <w:cantSplit w:val="0"/>
          <w:trHeight w:val="255"/>
        </w:trPr>
        <w:tc>
          <w:tcPr>
            <w:tcW w:w="3508" w:type="dxa"/>
            <w:tcBorders>
              <w:top w:val="single" w:sz="4" w:space="0" w:color="auto"/>
              <w:bottom w:val="single" w:sz="4" w:space="0" w:color="A6A6A6"/>
            </w:tcBorders>
            <w:hideMark/>
          </w:tcPr>
          <w:p w14:paraId="590B1BE4" w14:textId="77777777" w:rsidR="005F4A7E" w:rsidRPr="002029AF" w:rsidRDefault="005F4A7E" w:rsidP="00130D1C">
            <w:pPr>
              <w:pStyle w:val="ARfintablebody"/>
            </w:pPr>
            <w:r w:rsidRPr="002029AF">
              <w:t>Land at fair value</w:t>
            </w:r>
          </w:p>
        </w:tc>
        <w:tc>
          <w:tcPr>
            <w:tcW w:w="1020" w:type="dxa"/>
            <w:tcBorders>
              <w:top w:val="single" w:sz="4" w:space="0" w:color="auto"/>
              <w:bottom w:val="single" w:sz="4" w:space="0" w:color="A6A6A6"/>
            </w:tcBorders>
            <w:shd w:val="clear" w:color="auto" w:fill="E7E6E6"/>
          </w:tcPr>
          <w:p w14:paraId="1A39DBFD" w14:textId="77777777" w:rsidR="005F4A7E" w:rsidRPr="002029AF" w:rsidRDefault="005F4A7E" w:rsidP="00130D1C">
            <w:pPr>
              <w:pStyle w:val="ARfintablebodyright"/>
            </w:pPr>
            <w:r w:rsidRPr="008D7FE6">
              <w:t>10.6</w:t>
            </w:r>
          </w:p>
        </w:tc>
        <w:tc>
          <w:tcPr>
            <w:tcW w:w="1020" w:type="dxa"/>
            <w:tcBorders>
              <w:top w:val="single" w:sz="4" w:space="0" w:color="auto"/>
              <w:bottom w:val="single" w:sz="4" w:space="0" w:color="A6A6A6"/>
            </w:tcBorders>
            <w:noWrap/>
            <w:hideMark/>
          </w:tcPr>
          <w:p w14:paraId="38B92A70" w14:textId="77777777" w:rsidR="005F4A7E" w:rsidRPr="002029AF" w:rsidRDefault="005F4A7E" w:rsidP="00130D1C">
            <w:pPr>
              <w:pStyle w:val="ARfintablebodyright"/>
            </w:pPr>
            <w:r w:rsidRPr="008D7FE6">
              <w:t>11.6</w:t>
            </w:r>
          </w:p>
        </w:tc>
        <w:tc>
          <w:tcPr>
            <w:tcW w:w="1020" w:type="dxa"/>
            <w:tcBorders>
              <w:top w:val="single" w:sz="4" w:space="0" w:color="auto"/>
              <w:bottom w:val="single" w:sz="4" w:space="0" w:color="A6A6A6"/>
            </w:tcBorders>
            <w:shd w:val="clear" w:color="auto" w:fill="E7E6E6"/>
          </w:tcPr>
          <w:p w14:paraId="329DE700" w14:textId="77777777" w:rsidR="005F4A7E" w:rsidRPr="002029AF" w:rsidRDefault="005F4A7E" w:rsidP="00130D1C">
            <w:pPr>
              <w:pStyle w:val="ARfintablebodyright"/>
            </w:pPr>
            <w:r w:rsidRPr="008D7FE6">
              <w:t>(1.6)</w:t>
            </w:r>
          </w:p>
        </w:tc>
        <w:tc>
          <w:tcPr>
            <w:tcW w:w="1020" w:type="dxa"/>
            <w:tcBorders>
              <w:top w:val="single" w:sz="4" w:space="0" w:color="auto"/>
              <w:bottom w:val="single" w:sz="4" w:space="0" w:color="A6A6A6"/>
            </w:tcBorders>
            <w:noWrap/>
            <w:hideMark/>
          </w:tcPr>
          <w:p w14:paraId="6EB3BC72" w14:textId="77777777" w:rsidR="005F4A7E" w:rsidRPr="002029AF" w:rsidRDefault="005F4A7E" w:rsidP="00130D1C">
            <w:pPr>
              <w:pStyle w:val="ARfintablebodyright"/>
            </w:pPr>
            <w:r w:rsidRPr="008D7FE6">
              <w:t>(0.8)</w:t>
            </w:r>
          </w:p>
        </w:tc>
        <w:tc>
          <w:tcPr>
            <w:tcW w:w="1020" w:type="dxa"/>
            <w:tcBorders>
              <w:top w:val="single" w:sz="4" w:space="0" w:color="auto"/>
              <w:bottom w:val="single" w:sz="4" w:space="0" w:color="A6A6A6"/>
            </w:tcBorders>
            <w:shd w:val="clear" w:color="auto" w:fill="E7E6E6"/>
          </w:tcPr>
          <w:p w14:paraId="00514C44" w14:textId="77777777" w:rsidR="005F4A7E" w:rsidRPr="002029AF" w:rsidRDefault="005F4A7E" w:rsidP="00130D1C">
            <w:pPr>
              <w:pStyle w:val="ARfintablebodyright"/>
            </w:pPr>
            <w:r w:rsidRPr="008D7FE6">
              <w:t>9.0</w:t>
            </w:r>
          </w:p>
        </w:tc>
        <w:tc>
          <w:tcPr>
            <w:tcW w:w="1020" w:type="dxa"/>
            <w:tcBorders>
              <w:top w:val="single" w:sz="4" w:space="0" w:color="auto"/>
              <w:bottom w:val="single" w:sz="4" w:space="0" w:color="A6A6A6"/>
            </w:tcBorders>
            <w:noWrap/>
            <w:hideMark/>
          </w:tcPr>
          <w:p w14:paraId="49E78114" w14:textId="77777777" w:rsidR="005F4A7E" w:rsidRPr="002029AF" w:rsidRDefault="005F4A7E" w:rsidP="00130D1C">
            <w:pPr>
              <w:pStyle w:val="ARfintablebodyright"/>
            </w:pPr>
            <w:r w:rsidRPr="008D7FE6">
              <w:t>10.8</w:t>
            </w:r>
          </w:p>
        </w:tc>
      </w:tr>
      <w:tr w:rsidR="005F4A7E" w:rsidRPr="002029AF" w14:paraId="0315CBD8" w14:textId="77777777" w:rsidTr="00130D1C">
        <w:trPr>
          <w:cantSplit w:val="0"/>
          <w:trHeight w:val="255"/>
        </w:trPr>
        <w:tc>
          <w:tcPr>
            <w:tcW w:w="3508" w:type="dxa"/>
            <w:tcBorders>
              <w:top w:val="single" w:sz="4" w:space="0" w:color="A6A6A6"/>
              <w:bottom w:val="single" w:sz="4" w:space="0" w:color="A6A6A6"/>
            </w:tcBorders>
            <w:hideMark/>
          </w:tcPr>
          <w:p w14:paraId="79D92C10" w14:textId="77777777" w:rsidR="005F4A7E" w:rsidRPr="002029AF" w:rsidRDefault="005F4A7E" w:rsidP="00130D1C">
            <w:pPr>
              <w:pStyle w:val="ARfintablebody"/>
            </w:pPr>
            <w:r w:rsidRPr="002029AF">
              <w:t>Buildings at fair value</w:t>
            </w:r>
          </w:p>
        </w:tc>
        <w:tc>
          <w:tcPr>
            <w:tcW w:w="1020" w:type="dxa"/>
            <w:tcBorders>
              <w:top w:val="single" w:sz="4" w:space="0" w:color="A6A6A6"/>
              <w:bottom w:val="single" w:sz="4" w:space="0" w:color="A6A6A6"/>
            </w:tcBorders>
            <w:shd w:val="clear" w:color="auto" w:fill="E7E6E6"/>
          </w:tcPr>
          <w:p w14:paraId="1B7C561B" w14:textId="77777777" w:rsidR="005F4A7E" w:rsidRPr="002029AF" w:rsidRDefault="005F4A7E" w:rsidP="00130D1C">
            <w:pPr>
              <w:pStyle w:val="ARfintablebodyright"/>
            </w:pPr>
            <w:r w:rsidRPr="008D7FE6">
              <w:t>97.4</w:t>
            </w:r>
          </w:p>
        </w:tc>
        <w:tc>
          <w:tcPr>
            <w:tcW w:w="1020" w:type="dxa"/>
            <w:tcBorders>
              <w:top w:val="single" w:sz="4" w:space="0" w:color="A6A6A6"/>
              <w:bottom w:val="single" w:sz="4" w:space="0" w:color="A6A6A6"/>
            </w:tcBorders>
            <w:noWrap/>
            <w:hideMark/>
          </w:tcPr>
          <w:p w14:paraId="0BFFF9B1" w14:textId="77777777" w:rsidR="005F4A7E" w:rsidRPr="002029AF" w:rsidRDefault="005F4A7E" w:rsidP="00130D1C">
            <w:pPr>
              <w:pStyle w:val="ARfintablebodyright"/>
            </w:pPr>
            <w:r w:rsidRPr="008D7FE6">
              <w:t>62.7</w:t>
            </w:r>
          </w:p>
        </w:tc>
        <w:tc>
          <w:tcPr>
            <w:tcW w:w="1020" w:type="dxa"/>
            <w:tcBorders>
              <w:top w:val="single" w:sz="4" w:space="0" w:color="A6A6A6"/>
              <w:bottom w:val="single" w:sz="4" w:space="0" w:color="A6A6A6"/>
            </w:tcBorders>
            <w:shd w:val="clear" w:color="auto" w:fill="E7E6E6"/>
          </w:tcPr>
          <w:p w14:paraId="761AB165" w14:textId="77777777" w:rsidR="005F4A7E" w:rsidRPr="002029AF" w:rsidRDefault="005F4A7E" w:rsidP="00130D1C">
            <w:pPr>
              <w:pStyle w:val="ARfintablebodyright"/>
            </w:pPr>
            <w:r w:rsidRPr="008D7FE6">
              <w:t>(37.9)</w:t>
            </w:r>
          </w:p>
        </w:tc>
        <w:tc>
          <w:tcPr>
            <w:tcW w:w="1020" w:type="dxa"/>
            <w:tcBorders>
              <w:top w:val="single" w:sz="4" w:space="0" w:color="A6A6A6"/>
              <w:bottom w:val="single" w:sz="4" w:space="0" w:color="A6A6A6"/>
            </w:tcBorders>
            <w:noWrap/>
            <w:hideMark/>
          </w:tcPr>
          <w:p w14:paraId="7914756F" w14:textId="77777777" w:rsidR="005F4A7E" w:rsidRPr="002029AF" w:rsidRDefault="005F4A7E" w:rsidP="00130D1C">
            <w:pPr>
              <w:pStyle w:val="ARfintablebodyright"/>
            </w:pPr>
            <w:r w:rsidRPr="008D7FE6">
              <w:t>(18.1)</w:t>
            </w:r>
          </w:p>
        </w:tc>
        <w:tc>
          <w:tcPr>
            <w:tcW w:w="1020" w:type="dxa"/>
            <w:tcBorders>
              <w:top w:val="single" w:sz="4" w:space="0" w:color="A6A6A6"/>
              <w:bottom w:val="single" w:sz="4" w:space="0" w:color="A6A6A6"/>
            </w:tcBorders>
            <w:shd w:val="clear" w:color="auto" w:fill="E7E6E6"/>
          </w:tcPr>
          <w:p w14:paraId="20EA2C5F" w14:textId="77777777" w:rsidR="005F4A7E" w:rsidRPr="002029AF" w:rsidRDefault="005F4A7E" w:rsidP="00130D1C">
            <w:pPr>
              <w:pStyle w:val="ARfintablebodyright"/>
            </w:pPr>
            <w:r w:rsidRPr="008D7FE6">
              <w:t>59.5</w:t>
            </w:r>
          </w:p>
        </w:tc>
        <w:tc>
          <w:tcPr>
            <w:tcW w:w="1020" w:type="dxa"/>
            <w:tcBorders>
              <w:top w:val="single" w:sz="4" w:space="0" w:color="A6A6A6"/>
              <w:bottom w:val="single" w:sz="4" w:space="0" w:color="A6A6A6"/>
            </w:tcBorders>
            <w:noWrap/>
            <w:hideMark/>
          </w:tcPr>
          <w:p w14:paraId="52B4F487" w14:textId="77777777" w:rsidR="005F4A7E" w:rsidRPr="002029AF" w:rsidRDefault="005F4A7E" w:rsidP="00130D1C">
            <w:pPr>
              <w:pStyle w:val="ARfintablebodyright"/>
            </w:pPr>
            <w:r w:rsidRPr="008D7FE6">
              <w:t>44.6</w:t>
            </w:r>
          </w:p>
        </w:tc>
      </w:tr>
      <w:tr w:rsidR="005F4A7E" w:rsidRPr="002029AF" w14:paraId="06221456" w14:textId="77777777" w:rsidTr="00130D1C">
        <w:trPr>
          <w:cantSplit w:val="0"/>
          <w:trHeight w:val="255"/>
        </w:trPr>
        <w:tc>
          <w:tcPr>
            <w:tcW w:w="3508" w:type="dxa"/>
            <w:tcBorders>
              <w:top w:val="single" w:sz="4" w:space="0" w:color="A6A6A6"/>
              <w:bottom w:val="single" w:sz="4" w:space="0" w:color="A6A6A6"/>
            </w:tcBorders>
            <w:hideMark/>
          </w:tcPr>
          <w:p w14:paraId="7639C70D" w14:textId="77777777" w:rsidR="005F4A7E" w:rsidRPr="002029AF" w:rsidRDefault="005F4A7E" w:rsidP="00130D1C">
            <w:pPr>
              <w:pStyle w:val="ARfintablebody"/>
            </w:pPr>
            <w:r w:rsidRPr="002029AF">
              <w:t>Plant</w:t>
            </w:r>
            <w:r>
              <w:t xml:space="preserve"> and</w:t>
            </w:r>
            <w:r w:rsidRPr="002029AF">
              <w:t xml:space="preserve"> equipment at fair value</w:t>
            </w:r>
          </w:p>
        </w:tc>
        <w:tc>
          <w:tcPr>
            <w:tcW w:w="1020" w:type="dxa"/>
            <w:tcBorders>
              <w:top w:val="single" w:sz="4" w:space="0" w:color="A6A6A6"/>
              <w:bottom w:val="single" w:sz="4" w:space="0" w:color="A6A6A6"/>
            </w:tcBorders>
            <w:shd w:val="clear" w:color="auto" w:fill="E7E6E6"/>
          </w:tcPr>
          <w:p w14:paraId="219636A9" w14:textId="77777777" w:rsidR="005F4A7E" w:rsidRPr="002029AF" w:rsidRDefault="005F4A7E" w:rsidP="00130D1C">
            <w:pPr>
              <w:pStyle w:val="ARfintablebodyright"/>
            </w:pPr>
            <w:r w:rsidRPr="008D7FE6">
              <w:t>8.2</w:t>
            </w:r>
          </w:p>
        </w:tc>
        <w:tc>
          <w:tcPr>
            <w:tcW w:w="1020" w:type="dxa"/>
            <w:tcBorders>
              <w:top w:val="single" w:sz="4" w:space="0" w:color="A6A6A6"/>
              <w:bottom w:val="single" w:sz="4" w:space="0" w:color="A6A6A6"/>
            </w:tcBorders>
            <w:noWrap/>
            <w:hideMark/>
          </w:tcPr>
          <w:p w14:paraId="1ABBC265" w14:textId="77777777" w:rsidR="005F4A7E" w:rsidRPr="002029AF" w:rsidRDefault="005F4A7E" w:rsidP="00130D1C">
            <w:pPr>
              <w:pStyle w:val="ARfintablebodyright"/>
            </w:pPr>
            <w:r w:rsidRPr="008D7FE6">
              <w:t>6.0</w:t>
            </w:r>
          </w:p>
        </w:tc>
        <w:tc>
          <w:tcPr>
            <w:tcW w:w="1020" w:type="dxa"/>
            <w:tcBorders>
              <w:top w:val="single" w:sz="4" w:space="0" w:color="A6A6A6"/>
              <w:bottom w:val="single" w:sz="4" w:space="0" w:color="A6A6A6"/>
            </w:tcBorders>
            <w:shd w:val="clear" w:color="auto" w:fill="E7E6E6"/>
          </w:tcPr>
          <w:p w14:paraId="301D5DBB" w14:textId="77777777" w:rsidR="005F4A7E" w:rsidRPr="002029AF" w:rsidRDefault="005F4A7E" w:rsidP="00130D1C">
            <w:pPr>
              <w:pStyle w:val="ARfintablebodyright"/>
            </w:pPr>
            <w:r w:rsidRPr="008D7FE6">
              <w:t>(5.0)</w:t>
            </w:r>
          </w:p>
        </w:tc>
        <w:tc>
          <w:tcPr>
            <w:tcW w:w="1020" w:type="dxa"/>
            <w:tcBorders>
              <w:top w:val="single" w:sz="4" w:space="0" w:color="A6A6A6"/>
              <w:bottom w:val="single" w:sz="4" w:space="0" w:color="A6A6A6"/>
            </w:tcBorders>
            <w:noWrap/>
            <w:hideMark/>
          </w:tcPr>
          <w:p w14:paraId="71A19BE2" w14:textId="77777777" w:rsidR="005F4A7E" w:rsidRPr="002029AF" w:rsidRDefault="005F4A7E" w:rsidP="00130D1C">
            <w:pPr>
              <w:pStyle w:val="ARfintablebodyright"/>
            </w:pPr>
            <w:r w:rsidRPr="008D7FE6">
              <w:t>(2.5)</w:t>
            </w:r>
          </w:p>
        </w:tc>
        <w:tc>
          <w:tcPr>
            <w:tcW w:w="1020" w:type="dxa"/>
            <w:tcBorders>
              <w:top w:val="single" w:sz="4" w:space="0" w:color="A6A6A6"/>
              <w:bottom w:val="single" w:sz="4" w:space="0" w:color="A6A6A6"/>
            </w:tcBorders>
            <w:shd w:val="clear" w:color="auto" w:fill="E7E6E6"/>
          </w:tcPr>
          <w:p w14:paraId="5FE61BD8" w14:textId="77777777" w:rsidR="005F4A7E" w:rsidRPr="002029AF" w:rsidRDefault="005F4A7E" w:rsidP="00130D1C">
            <w:pPr>
              <w:pStyle w:val="ARfintablebodyright"/>
            </w:pPr>
            <w:r w:rsidRPr="008D7FE6">
              <w:t>3.2</w:t>
            </w:r>
          </w:p>
        </w:tc>
        <w:tc>
          <w:tcPr>
            <w:tcW w:w="1020" w:type="dxa"/>
            <w:tcBorders>
              <w:top w:val="single" w:sz="4" w:space="0" w:color="A6A6A6"/>
              <w:bottom w:val="single" w:sz="4" w:space="0" w:color="A6A6A6"/>
            </w:tcBorders>
            <w:noWrap/>
            <w:hideMark/>
          </w:tcPr>
          <w:p w14:paraId="19C7194B" w14:textId="77777777" w:rsidR="005F4A7E" w:rsidRPr="002029AF" w:rsidRDefault="005F4A7E" w:rsidP="00130D1C">
            <w:pPr>
              <w:pStyle w:val="ARfintablebodyright"/>
            </w:pPr>
            <w:r w:rsidRPr="008D7FE6">
              <w:t>3.5</w:t>
            </w:r>
          </w:p>
        </w:tc>
      </w:tr>
      <w:tr w:rsidR="005F4A7E" w:rsidRPr="002029AF" w14:paraId="77F120C0" w14:textId="77777777" w:rsidTr="00130D1C">
        <w:trPr>
          <w:cantSplit w:val="0"/>
          <w:trHeight w:val="255"/>
        </w:trPr>
        <w:tc>
          <w:tcPr>
            <w:tcW w:w="3508" w:type="dxa"/>
            <w:tcBorders>
              <w:top w:val="single" w:sz="4" w:space="0" w:color="A6A6A6"/>
            </w:tcBorders>
            <w:hideMark/>
          </w:tcPr>
          <w:p w14:paraId="6472E2A9" w14:textId="77777777" w:rsidR="005F4A7E" w:rsidRPr="002029AF" w:rsidRDefault="005F4A7E" w:rsidP="00130D1C">
            <w:pPr>
              <w:pStyle w:val="ARfintablebody"/>
            </w:pPr>
            <w:r w:rsidRPr="002029AF">
              <w:t>Motor vehicles at fair value</w:t>
            </w:r>
          </w:p>
        </w:tc>
        <w:tc>
          <w:tcPr>
            <w:tcW w:w="1020" w:type="dxa"/>
            <w:tcBorders>
              <w:top w:val="single" w:sz="4" w:space="0" w:color="A6A6A6"/>
            </w:tcBorders>
            <w:shd w:val="clear" w:color="auto" w:fill="E7E6E6"/>
          </w:tcPr>
          <w:p w14:paraId="266E48CF" w14:textId="77777777" w:rsidR="005F4A7E" w:rsidRPr="002029AF" w:rsidRDefault="005F4A7E" w:rsidP="00130D1C">
            <w:pPr>
              <w:pStyle w:val="ARfintablebodyright"/>
            </w:pPr>
            <w:r w:rsidRPr="008D7FE6">
              <w:t>28.2</w:t>
            </w:r>
          </w:p>
        </w:tc>
        <w:tc>
          <w:tcPr>
            <w:tcW w:w="1020" w:type="dxa"/>
            <w:tcBorders>
              <w:top w:val="single" w:sz="4" w:space="0" w:color="A6A6A6"/>
            </w:tcBorders>
            <w:noWrap/>
            <w:hideMark/>
          </w:tcPr>
          <w:p w14:paraId="6FEBF7C0" w14:textId="77777777" w:rsidR="005F4A7E" w:rsidRPr="002029AF" w:rsidRDefault="005F4A7E" w:rsidP="00130D1C">
            <w:pPr>
              <w:pStyle w:val="ARfintablebodyright"/>
            </w:pPr>
            <w:r w:rsidRPr="008D7FE6">
              <w:t>41.9</w:t>
            </w:r>
          </w:p>
        </w:tc>
        <w:tc>
          <w:tcPr>
            <w:tcW w:w="1020" w:type="dxa"/>
            <w:tcBorders>
              <w:top w:val="single" w:sz="4" w:space="0" w:color="A6A6A6"/>
            </w:tcBorders>
            <w:shd w:val="clear" w:color="auto" w:fill="E7E6E6"/>
          </w:tcPr>
          <w:p w14:paraId="4A8C76B0" w14:textId="77777777" w:rsidR="005F4A7E" w:rsidRPr="002029AF" w:rsidRDefault="005F4A7E" w:rsidP="00130D1C">
            <w:pPr>
              <w:pStyle w:val="ARfintablebodyright"/>
            </w:pPr>
            <w:r w:rsidRPr="008D7FE6">
              <w:t>(1.7)</w:t>
            </w:r>
          </w:p>
        </w:tc>
        <w:tc>
          <w:tcPr>
            <w:tcW w:w="1020" w:type="dxa"/>
            <w:tcBorders>
              <w:top w:val="single" w:sz="4" w:space="0" w:color="A6A6A6"/>
            </w:tcBorders>
            <w:noWrap/>
            <w:hideMark/>
          </w:tcPr>
          <w:p w14:paraId="09B2142F" w14:textId="77777777" w:rsidR="005F4A7E" w:rsidRPr="002029AF" w:rsidRDefault="005F4A7E" w:rsidP="00130D1C">
            <w:pPr>
              <w:pStyle w:val="ARfintablebodyright"/>
            </w:pPr>
            <w:r w:rsidRPr="008D7FE6">
              <w:t>(11.7)</w:t>
            </w:r>
          </w:p>
        </w:tc>
        <w:tc>
          <w:tcPr>
            <w:tcW w:w="1020" w:type="dxa"/>
            <w:tcBorders>
              <w:top w:val="single" w:sz="4" w:space="0" w:color="A6A6A6"/>
            </w:tcBorders>
            <w:shd w:val="clear" w:color="auto" w:fill="E7E6E6"/>
          </w:tcPr>
          <w:p w14:paraId="0FBD052D" w14:textId="77777777" w:rsidR="005F4A7E" w:rsidRPr="002029AF" w:rsidRDefault="005F4A7E" w:rsidP="00130D1C">
            <w:pPr>
              <w:pStyle w:val="ARfintablebodyright"/>
            </w:pPr>
            <w:r w:rsidRPr="008D7FE6">
              <w:t>26.5</w:t>
            </w:r>
          </w:p>
        </w:tc>
        <w:tc>
          <w:tcPr>
            <w:tcW w:w="1020" w:type="dxa"/>
            <w:tcBorders>
              <w:top w:val="single" w:sz="4" w:space="0" w:color="A6A6A6"/>
            </w:tcBorders>
            <w:noWrap/>
            <w:hideMark/>
          </w:tcPr>
          <w:p w14:paraId="617C485E" w14:textId="77777777" w:rsidR="005F4A7E" w:rsidRPr="002029AF" w:rsidRDefault="005F4A7E" w:rsidP="00130D1C">
            <w:pPr>
              <w:pStyle w:val="ARfintablebodyright"/>
            </w:pPr>
            <w:r w:rsidRPr="008D7FE6">
              <w:t>30.2</w:t>
            </w:r>
          </w:p>
        </w:tc>
      </w:tr>
      <w:tr w:rsidR="005F4A7E" w:rsidRPr="002029AF" w14:paraId="28CD5BF2" w14:textId="77777777" w:rsidTr="00130D1C">
        <w:trPr>
          <w:cantSplit w:val="0"/>
          <w:trHeight w:val="255"/>
        </w:trPr>
        <w:tc>
          <w:tcPr>
            <w:tcW w:w="3508" w:type="dxa"/>
            <w:hideMark/>
          </w:tcPr>
          <w:p w14:paraId="78826773" w14:textId="77777777" w:rsidR="005F4A7E" w:rsidRPr="002029AF" w:rsidRDefault="005F4A7E" w:rsidP="00130D1C">
            <w:pPr>
              <w:pStyle w:val="ARfintablebodybold"/>
            </w:pPr>
            <w:r w:rsidRPr="002029AF">
              <w:t>Net carrying amount</w:t>
            </w:r>
          </w:p>
        </w:tc>
        <w:tc>
          <w:tcPr>
            <w:tcW w:w="1020" w:type="dxa"/>
            <w:shd w:val="clear" w:color="auto" w:fill="E7E6E6"/>
          </w:tcPr>
          <w:p w14:paraId="3DC790CD" w14:textId="77777777" w:rsidR="005F4A7E" w:rsidRPr="002029AF" w:rsidRDefault="005F4A7E" w:rsidP="00130D1C">
            <w:pPr>
              <w:pStyle w:val="ARfintablebodyrightbold"/>
            </w:pPr>
            <w:r w:rsidRPr="008D7FE6">
              <w:t>144.4</w:t>
            </w:r>
          </w:p>
        </w:tc>
        <w:tc>
          <w:tcPr>
            <w:tcW w:w="1020" w:type="dxa"/>
            <w:noWrap/>
            <w:hideMark/>
          </w:tcPr>
          <w:p w14:paraId="2C0AE336" w14:textId="77777777" w:rsidR="005F4A7E" w:rsidRPr="002029AF" w:rsidRDefault="005F4A7E" w:rsidP="00130D1C">
            <w:pPr>
              <w:pStyle w:val="ARfintablebodyrightbold"/>
            </w:pPr>
            <w:r w:rsidRPr="008D7FE6">
              <w:t>122.2</w:t>
            </w:r>
          </w:p>
        </w:tc>
        <w:tc>
          <w:tcPr>
            <w:tcW w:w="1020" w:type="dxa"/>
            <w:shd w:val="clear" w:color="auto" w:fill="E7E6E6"/>
          </w:tcPr>
          <w:p w14:paraId="38BB672F" w14:textId="77777777" w:rsidR="005F4A7E" w:rsidRPr="002029AF" w:rsidRDefault="005F4A7E" w:rsidP="00130D1C">
            <w:pPr>
              <w:pStyle w:val="ARfintablebodyrightbold"/>
            </w:pPr>
            <w:r w:rsidRPr="008D7FE6">
              <w:t>(46.2)</w:t>
            </w:r>
          </w:p>
        </w:tc>
        <w:tc>
          <w:tcPr>
            <w:tcW w:w="1020" w:type="dxa"/>
            <w:noWrap/>
            <w:hideMark/>
          </w:tcPr>
          <w:p w14:paraId="08724461" w14:textId="77777777" w:rsidR="005F4A7E" w:rsidRPr="002029AF" w:rsidRDefault="005F4A7E" w:rsidP="00130D1C">
            <w:pPr>
              <w:pStyle w:val="ARfintablebodyrightbold"/>
            </w:pPr>
            <w:r w:rsidRPr="008D7FE6">
              <w:t>(33.1)</w:t>
            </w:r>
          </w:p>
        </w:tc>
        <w:tc>
          <w:tcPr>
            <w:tcW w:w="1020" w:type="dxa"/>
            <w:shd w:val="clear" w:color="auto" w:fill="E7E6E6"/>
          </w:tcPr>
          <w:p w14:paraId="22B5E999" w14:textId="77777777" w:rsidR="005F4A7E" w:rsidRPr="002029AF" w:rsidRDefault="005F4A7E" w:rsidP="00130D1C">
            <w:pPr>
              <w:pStyle w:val="ARfintablebodyrightbold"/>
            </w:pPr>
            <w:r w:rsidRPr="008D7FE6">
              <w:t>98.2</w:t>
            </w:r>
          </w:p>
        </w:tc>
        <w:tc>
          <w:tcPr>
            <w:tcW w:w="1020" w:type="dxa"/>
            <w:noWrap/>
            <w:hideMark/>
          </w:tcPr>
          <w:p w14:paraId="37CF5A70" w14:textId="77777777" w:rsidR="005F4A7E" w:rsidRPr="002029AF" w:rsidRDefault="005F4A7E" w:rsidP="00130D1C">
            <w:pPr>
              <w:pStyle w:val="ARfintablebodyrightbold"/>
            </w:pPr>
            <w:r w:rsidRPr="008D7FE6">
              <w:t>89.1</w:t>
            </w:r>
          </w:p>
        </w:tc>
      </w:tr>
    </w:tbl>
    <w:p w14:paraId="694D23E9" w14:textId="77777777" w:rsidR="005F4A7E" w:rsidRPr="002029AF" w:rsidRDefault="005F4A7E" w:rsidP="00087B91">
      <w:pPr>
        <w:pStyle w:val="ARfinbody"/>
        <w:rPr>
          <w:highlight w:val="yellow"/>
        </w:rPr>
      </w:pPr>
      <w:r w:rsidRPr="002029AF">
        <w:rPr>
          <w:highlight w:val="yellow"/>
        </w:rPr>
        <w:br w:type="page"/>
      </w:r>
    </w:p>
    <w:tbl>
      <w:tblPr>
        <w:tblStyle w:val="TableGrid"/>
        <w:tblW w:w="9637" w:type="dxa"/>
        <w:tblLayout w:type="fixed"/>
        <w:tblLook w:val="06A0" w:firstRow="1" w:lastRow="0" w:firstColumn="1" w:lastColumn="0" w:noHBand="1" w:noVBand="1"/>
      </w:tblPr>
      <w:tblGrid>
        <w:gridCol w:w="3967"/>
        <w:gridCol w:w="1134"/>
        <w:gridCol w:w="1134"/>
        <w:gridCol w:w="1134"/>
        <w:gridCol w:w="1134"/>
        <w:gridCol w:w="1134"/>
      </w:tblGrid>
      <w:tr w:rsidR="005F4A7E" w:rsidRPr="002029AF" w14:paraId="1B964788"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3967" w:type="dxa"/>
            <w:noWrap/>
            <w:hideMark/>
          </w:tcPr>
          <w:p w14:paraId="4F67890C" w14:textId="77777777" w:rsidR="005F4A7E" w:rsidRPr="002029AF" w:rsidRDefault="005F4A7E" w:rsidP="00860E95">
            <w:pPr>
              <w:pStyle w:val="ARfintablecolhead"/>
            </w:pPr>
          </w:p>
        </w:tc>
        <w:tc>
          <w:tcPr>
            <w:tcW w:w="1134" w:type="dxa"/>
            <w:hideMark/>
          </w:tcPr>
          <w:p w14:paraId="52015E4F" w14:textId="77777777" w:rsidR="005F4A7E" w:rsidRPr="002029AF" w:rsidRDefault="005F4A7E" w:rsidP="00860E95">
            <w:pPr>
              <w:pStyle w:val="ARfintablecolheadright"/>
            </w:pPr>
            <w:r w:rsidRPr="002029AF">
              <w:t>Land</w:t>
            </w:r>
          </w:p>
          <w:p w14:paraId="198BEB72" w14:textId="77777777" w:rsidR="005F4A7E" w:rsidRPr="002029AF" w:rsidRDefault="005F4A7E" w:rsidP="00860E95">
            <w:pPr>
              <w:pStyle w:val="ARfintablecolheadright"/>
            </w:pPr>
            <w:r w:rsidRPr="002029AF">
              <w:t>$M</w:t>
            </w:r>
          </w:p>
        </w:tc>
        <w:tc>
          <w:tcPr>
            <w:tcW w:w="1134" w:type="dxa"/>
            <w:hideMark/>
          </w:tcPr>
          <w:p w14:paraId="27D439B9" w14:textId="77777777" w:rsidR="005F4A7E" w:rsidRPr="002029AF" w:rsidRDefault="005F4A7E" w:rsidP="00860E95">
            <w:pPr>
              <w:pStyle w:val="ARfintablecolheadright"/>
            </w:pPr>
            <w:r w:rsidRPr="002029AF">
              <w:t>Buildings</w:t>
            </w:r>
          </w:p>
          <w:p w14:paraId="13B748B9" w14:textId="77777777" w:rsidR="005F4A7E" w:rsidRPr="002029AF" w:rsidRDefault="005F4A7E" w:rsidP="00860E95">
            <w:pPr>
              <w:pStyle w:val="ARfintablecolheadright"/>
            </w:pPr>
            <w:r w:rsidRPr="002029AF">
              <w:t>$M</w:t>
            </w:r>
          </w:p>
        </w:tc>
        <w:tc>
          <w:tcPr>
            <w:tcW w:w="1134" w:type="dxa"/>
            <w:hideMark/>
          </w:tcPr>
          <w:p w14:paraId="796DA4DD" w14:textId="77777777" w:rsidR="005F4A7E" w:rsidRPr="002029AF" w:rsidRDefault="005F4A7E" w:rsidP="00860E95">
            <w:pPr>
              <w:pStyle w:val="ARfintablecolheadright"/>
            </w:pPr>
            <w:r w:rsidRPr="002029AF">
              <w:t>Plant and equipment</w:t>
            </w:r>
          </w:p>
          <w:p w14:paraId="7E5AB34F" w14:textId="77777777" w:rsidR="005F4A7E" w:rsidRPr="002029AF" w:rsidRDefault="005F4A7E" w:rsidP="00860E95">
            <w:pPr>
              <w:pStyle w:val="ARfintablecolheadright"/>
            </w:pPr>
            <w:r w:rsidRPr="002029AF">
              <w:t>$M</w:t>
            </w:r>
          </w:p>
        </w:tc>
        <w:tc>
          <w:tcPr>
            <w:tcW w:w="1134" w:type="dxa"/>
            <w:hideMark/>
          </w:tcPr>
          <w:p w14:paraId="789DD5CE" w14:textId="77777777" w:rsidR="005F4A7E" w:rsidRPr="002029AF" w:rsidRDefault="005F4A7E" w:rsidP="00860E95">
            <w:pPr>
              <w:pStyle w:val="ARfintablecolheadright"/>
            </w:pPr>
            <w:r w:rsidRPr="002029AF">
              <w:t>Motor vehicles</w:t>
            </w:r>
          </w:p>
          <w:p w14:paraId="5A2046A1" w14:textId="77777777" w:rsidR="005F4A7E" w:rsidRPr="002029AF" w:rsidRDefault="005F4A7E" w:rsidP="00860E95">
            <w:pPr>
              <w:pStyle w:val="ARfintablecolheadright"/>
            </w:pPr>
            <w:r w:rsidRPr="002029AF">
              <w:t>$M</w:t>
            </w:r>
          </w:p>
        </w:tc>
        <w:tc>
          <w:tcPr>
            <w:tcW w:w="1134" w:type="dxa"/>
            <w:hideMark/>
          </w:tcPr>
          <w:p w14:paraId="23428600" w14:textId="77777777" w:rsidR="005F4A7E" w:rsidRPr="002029AF" w:rsidRDefault="005F4A7E" w:rsidP="00860E95">
            <w:pPr>
              <w:pStyle w:val="ARfintablecolheadright"/>
            </w:pPr>
            <w:r w:rsidRPr="002029AF">
              <w:t>Total</w:t>
            </w:r>
          </w:p>
          <w:p w14:paraId="4A1B7CF9" w14:textId="77777777" w:rsidR="005F4A7E" w:rsidRPr="002029AF" w:rsidRDefault="005F4A7E" w:rsidP="00860E95">
            <w:pPr>
              <w:pStyle w:val="ARfintablecolheadright"/>
            </w:pPr>
            <w:r w:rsidRPr="002029AF">
              <w:t>$M</w:t>
            </w:r>
          </w:p>
        </w:tc>
      </w:tr>
      <w:tr w:rsidR="005F4A7E" w:rsidRPr="002029AF" w14:paraId="477911D3" w14:textId="77777777" w:rsidTr="00860E95">
        <w:tc>
          <w:tcPr>
            <w:tcW w:w="3967" w:type="dxa"/>
            <w:tcBorders>
              <w:top w:val="single" w:sz="4" w:space="0" w:color="auto"/>
              <w:bottom w:val="single" w:sz="4" w:space="0" w:color="A6A6A6"/>
            </w:tcBorders>
            <w:hideMark/>
          </w:tcPr>
          <w:p w14:paraId="6F42F589" w14:textId="77777777" w:rsidR="005F4A7E" w:rsidRPr="002029AF" w:rsidRDefault="005F4A7E" w:rsidP="00130D1C">
            <w:pPr>
              <w:pStyle w:val="ARfintablebodybold"/>
            </w:pPr>
            <w:r w:rsidRPr="00173FAD">
              <w:t>Opening balance – 1 July 2020</w:t>
            </w:r>
          </w:p>
        </w:tc>
        <w:tc>
          <w:tcPr>
            <w:tcW w:w="1134" w:type="dxa"/>
            <w:tcBorders>
              <w:top w:val="single" w:sz="4" w:space="0" w:color="auto"/>
              <w:bottom w:val="single" w:sz="4" w:space="0" w:color="A6A6A6"/>
            </w:tcBorders>
            <w:noWrap/>
            <w:hideMark/>
          </w:tcPr>
          <w:p w14:paraId="76D26D65" w14:textId="77777777" w:rsidR="005F4A7E" w:rsidRPr="002029AF" w:rsidRDefault="005F4A7E" w:rsidP="00130D1C">
            <w:pPr>
              <w:pStyle w:val="ARfintablebodyright"/>
            </w:pPr>
            <w:r w:rsidRPr="00173FAD">
              <w:t>10.8</w:t>
            </w:r>
          </w:p>
        </w:tc>
        <w:tc>
          <w:tcPr>
            <w:tcW w:w="1134" w:type="dxa"/>
            <w:tcBorders>
              <w:top w:val="single" w:sz="4" w:space="0" w:color="auto"/>
              <w:bottom w:val="single" w:sz="4" w:space="0" w:color="A6A6A6"/>
            </w:tcBorders>
            <w:noWrap/>
            <w:hideMark/>
          </w:tcPr>
          <w:p w14:paraId="01BBB9CD" w14:textId="77777777" w:rsidR="005F4A7E" w:rsidRPr="002029AF" w:rsidRDefault="005F4A7E" w:rsidP="00130D1C">
            <w:pPr>
              <w:pStyle w:val="ARfintablebodyright"/>
            </w:pPr>
            <w:r w:rsidRPr="00173FAD">
              <w:t>44.6</w:t>
            </w:r>
          </w:p>
        </w:tc>
        <w:tc>
          <w:tcPr>
            <w:tcW w:w="1134" w:type="dxa"/>
            <w:tcBorders>
              <w:top w:val="single" w:sz="4" w:space="0" w:color="auto"/>
              <w:bottom w:val="single" w:sz="4" w:space="0" w:color="A6A6A6"/>
            </w:tcBorders>
            <w:noWrap/>
            <w:hideMark/>
          </w:tcPr>
          <w:p w14:paraId="19D39590" w14:textId="77777777" w:rsidR="005F4A7E" w:rsidRPr="002029AF" w:rsidRDefault="005F4A7E" w:rsidP="00130D1C">
            <w:pPr>
              <w:pStyle w:val="ARfintablebodyright"/>
            </w:pPr>
            <w:r w:rsidRPr="00173FAD">
              <w:t>3.5</w:t>
            </w:r>
          </w:p>
        </w:tc>
        <w:tc>
          <w:tcPr>
            <w:tcW w:w="1134" w:type="dxa"/>
            <w:tcBorders>
              <w:top w:val="single" w:sz="4" w:space="0" w:color="auto"/>
              <w:bottom w:val="single" w:sz="4" w:space="0" w:color="A6A6A6"/>
            </w:tcBorders>
            <w:noWrap/>
            <w:hideMark/>
          </w:tcPr>
          <w:p w14:paraId="651D6F9B" w14:textId="77777777" w:rsidR="005F4A7E" w:rsidRPr="002029AF" w:rsidRDefault="005F4A7E" w:rsidP="00130D1C">
            <w:pPr>
              <w:pStyle w:val="ARfintablebodyright"/>
            </w:pPr>
            <w:r w:rsidRPr="00173FAD">
              <w:t>30.2</w:t>
            </w:r>
          </w:p>
        </w:tc>
        <w:tc>
          <w:tcPr>
            <w:tcW w:w="1134" w:type="dxa"/>
            <w:tcBorders>
              <w:top w:val="single" w:sz="4" w:space="0" w:color="auto"/>
              <w:bottom w:val="single" w:sz="4" w:space="0" w:color="A6A6A6"/>
            </w:tcBorders>
            <w:noWrap/>
            <w:hideMark/>
          </w:tcPr>
          <w:p w14:paraId="354F8A4A" w14:textId="77777777" w:rsidR="005F4A7E" w:rsidRPr="002029AF" w:rsidRDefault="005F4A7E" w:rsidP="00130D1C">
            <w:pPr>
              <w:pStyle w:val="ARfintablebodyright"/>
            </w:pPr>
            <w:r w:rsidRPr="00173FAD">
              <w:t>89.1</w:t>
            </w:r>
          </w:p>
        </w:tc>
      </w:tr>
      <w:tr w:rsidR="005F4A7E" w:rsidRPr="002029AF" w14:paraId="0C6F7240" w14:textId="77777777" w:rsidTr="00860E95">
        <w:tc>
          <w:tcPr>
            <w:tcW w:w="3967" w:type="dxa"/>
            <w:tcBorders>
              <w:top w:val="single" w:sz="4" w:space="0" w:color="A6A6A6"/>
              <w:bottom w:val="single" w:sz="4" w:space="0" w:color="A6A6A6"/>
            </w:tcBorders>
            <w:hideMark/>
          </w:tcPr>
          <w:p w14:paraId="0AAD966F" w14:textId="77777777" w:rsidR="005F4A7E" w:rsidRPr="002029AF" w:rsidRDefault="005F4A7E" w:rsidP="00130D1C">
            <w:pPr>
              <w:pStyle w:val="ARfintablebody"/>
            </w:pPr>
            <w:r w:rsidRPr="00173FAD">
              <w:t>Additions</w:t>
            </w:r>
          </w:p>
        </w:tc>
        <w:tc>
          <w:tcPr>
            <w:tcW w:w="1134" w:type="dxa"/>
            <w:tcBorders>
              <w:top w:val="single" w:sz="4" w:space="0" w:color="A6A6A6"/>
              <w:bottom w:val="single" w:sz="4" w:space="0" w:color="A6A6A6"/>
            </w:tcBorders>
            <w:noWrap/>
            <w:hideMark/>
          </w:tcPr>
          <w:p w14:paraId="4070DE71" w14:textId="77777777" w:rsidR="005F4A7E" w:rsidRPr="002029AF" w:rsidRDefault="005F4A7E" w:rsidP="00130D1C">
            <w:pPr>
              <w:pStyle w:val="ARfintablebodyright"/>
            </w:pPr>
            <w:r w:rsidRPr="00173FAD">
              <w:t>–</w:t>
            </w:r>
          </w:p>
        </w:tc>
        <w:tc>
          <w:tcPr>
            <w:tcW w:w="1134" w:type="dxa"/>
            <w:tcBorders>
              <w:top w:val="single" w:sz="4" w:space="0" w:color="A6A6A6"/>
              <w:bottom w:val="single" w:sz="4" w:space="0" w:color="A6A6A6"/>
            </w:tcBorders>
            <w:noWrap/>
            <w:hideMark/>
          </w:tcPr>
          <w:p w14:paraId="45125EC8" w14:textId="77777777" w:rsidR="005F4A7E" w:rsidRPr="002029AF" w:rsidRDefault="005F4A7E" w:rsidP="00130D1C">
            <w:pPr>
              <w:pStyle w:val="ARfintablebodyright"/>
            </w:pPr>
            <w:r w:rsidRPr="00173FAD">
              <w:t>8.9</w:t>
            </w:r>
          </w:p>
        </w:tc>
        <w:tc>
          <w:tcPr>
            <w:tcW w:w="1134" w:type="dxa"/>
            <w:tcBorders>
              <w:top w:val="single" w:sz="4" w:space="0" w:color="A6A6A6"/>
              <w:bottom w:val="single" w:sz="4" w:space="0" w:color="A6A6A6"/>
            </w:tcBorders>
            <w:noWrap/>
            <w:hideMark/>
          </w:tcPr>
          <w:p w14:paraId="6CCAEE4D" w14:textId="77777777" w:rsidR="005F4A7E" w:rsidRPr="002029AF" w:rsidRDefault="005F4A7E" w:rsidP="00130D1C">
            <w:pPr>
              <w:pStyle w:val="ARfintablebodyright"/>
            </w:pPr>
            <w:r w:rsidRPr="00173FAD">
              <w:t>–</w:t>
            </w:r>
          </w:p>
        </w:tc>
        <w:tc>
          <w:tcPr>
            <w:tcW w:w="1134" w:type="dxa"/>
            <w:tcBorders>
              <w:top w:val="single" w:sz="4" w:space="0" w:color="A6A6A6"/>
              <w:bottom w:val="single" w:sz="4" w:space="0" w:color="A6A6A6"/>
            </w:tcBorders>
            <w:noWrap/>
            <w:hideMark/>
          </w:tcPr>
          <w:p w14:paraId="40250366" w14:textId="77777777" w:rsidR="005F4A7E" w:rsidRPr="002029AF" w:rsidRDefault="005F4A7E" w:rsidP="00130D1C">
            <w:pPr>
              <w:pStyle w:val="ARfintablebodyright"/>
            </w:pPr>
            <w:r w:rsidRPr="00173FAD">
              <w:t>5.7</w:t>
            </w:r>
          </w:p>
        </w:tc>
        <w:tc>
          <w:tcPr>
            <w:tcW w:w="1134" w:type="dxa"/>
            <w:tcBorders>
              <w:top w:val="single" w:sz="4" w:space="0" w:color="A6A6A6"/>
              <w:bottom w:val="single" w:sz="4" w:space="0" w:color="A6A6A6"/>
            </w:tcBorders>
            <w:noWrap/>
            <w:hideMark/>
          </w:tcPr>
          <w:p w14:paraId="67002A9B" w14:textId="77777777" w:rsidR="005F4A7E" w:rsidRPr="002029AF" w:rsidRDefault="005F4A7E" w:rsidP="00130D1C">
            <w:pPr>
              <w:pStyle w:val="ARfintablebodyright"/>
            </w:pPr>
            <w:r w:rsidRPr="00173FAD">
              <w:t>14.6</w:t>
            </w:r>
          </w:p>
        </w:tc>
      </w:tr>
      <w:tr w:rsidR="005F4A7E" w:rsidRPr="002029AF" w14:paraId="579E46B0" w14:textId="77777777" w:rsidTr="00860E95">
        <w:tc>
          <w:tcPr>
            <w:tcW w:w="3967" w:type="dxa"/>
            <w:tcBorders>
              <w:top w:val="single" w:sz="4" w:space="0" w:color="A6A6A6"/>
              <w:bottom w:val="single" w:sz="4" w:space="0" w:color="A6A6A6"/>
            </w:tcBorders>
            <w:hideMark/>
          </w:tcPr>
          <w:p w14:paraId="2A7EB0FB" w14:textId="77777777" w:rsidR="005F4A7E" w:rsidRPr="002029AF" w:rsidRDefault="005F4A7E" w:rsidP="00130D1C">
            <w:pPr>
              <w:pStyle w:val="ARfintablebody"/>
            </w:pPr>
            <w:r w:rsidRPr="00173FAD">
              <w:t>Transfers</w:t>
            </w:r>
          </w:p>
        </w:tc>
        <w:tc>
          <w:tcPr>
            <w:tcW w:w="1134" w:type="dxa"/>
            <w:tcBorders>
              <w:top w:val="single" w:sz="4" w:space="0" w:color="A6A6A6"/>
              <w:bottom w:val="single" w:sz="4" w:space="0" w:color="A6A6A6"/>
            </w:tcBorders>
            <w:noWrap/>
            <w:hideMark/>
          </w:tcPr>
          <w:p w14:paraId="59585BB5" w14:textId="77777777" w:rsidR="005F4A7E" w:rsidRPr="002029AF" w:rsidRDefault="005F4A7E" w:rsidP="00130D1C">
            <w:pPr>
              <w:pStyle w:val="ARfintablebodyright"/>
            </w:pPr>
            <w:r w:rsidRPr="00173FAD">
              <w:t>–</w:t>
            </w:r>
          </w:p>
        </w:tc>
        <w:tc>
          <w:tcPr>
            <w:tcW w:w="1134" w:type="dxa"/>
            <w:tcBorders>
              <w:top w:val="single" w:sz="4" w:space="0" w:color="A6A6A6"/>
              <w:bottom w:val="single" w:sz="4" w:space="0" w:color="A6A6A6"/>
            </w:tcBorders>
            <w:noWrap/>
            <w:hideMark/>
          </w:tcPr>
          <w:p w14:paraId="2DC31662" w14:textId="77777777" w:rsidR="005F4A7E" w:rsidRPr="002029AF" w:rsidRDefault="005F4A7E" w:rsidP="00130D1C">
            <w:pPr>
              <w:pStyle w:val="ARfintablebodyright"/>
            </w:pPr>
            <w:r w:rsidRPr="00173FAD">
              <w:t>–</w:t>
            </w:r>
          </w:p>
        </w:tc>
        <w:tc>
          <w:tcPr>
            <w:tcW w:w="1134" w:type="dxa"/>
            <w:tcBorders>
              <w:top w:val="single" w:sz="4" w:space="0" w:color="A6A6A6"/>
              <w:bottom w:val="single" w:sz="4" w:space="0" w:color="A6A6A6"/>
            </w:tcBorders>
            <w:noWrap/>
            <w:hideMark/>
          </w:tcPr>
          <w:p w14:paraId="303E6919" w14:textId="77777777" w:rsidR="005F4A7E" w:rsidRPr="002029AF" w:rsidRDefault="005F4A7E" w:rsidP="00130D1C">
            <w:pPr>
              <w:pStyle w:val="ARfintablebodyright"/>
            </w:pPr>
            <w:r w:rsidRPr="00173FAD">
              <w:t>–</w:t>
            </w:r>
          </w:p>
        </w:tc>
        <w:tc>
          <w:tcPr>
            <w:tcW w:w="1134" w:type="dxa"/>
            <w:tcBorders>
              <w:top w:val="single" w:sz="4" w:space="0" w:color="A6A6A6"/>
              <w:bottom w:val="single" w:sz="4" w:space="0" w:color="A6A6A6"/>
            </w:tcBorders>
            <w:noWrap/>
            <w:hideMark/>
          </w:tcPr>
          <w:p w14:paraId="6552A019" w14:textId="77777777" w:rsidR="005F4A7E" w:rsidRPr="002029AF" w:rsidRDefault="005F4A7E" w:rsidP="00130D1C">
            <w:pPr>
              <w:pStyle w:val="ARfintablebodyright"/>
            </w:pPr>
            <w:r w:rsidRPr="00173FAD">
              <w:t>0.4</w:t>
            </w:r>
          </w:p>
        </w:tc>
        <w:tc>
          <w:tcPr>
            <w:tcW w:w="1134" w:type="dxa"/>
            <w:tcBorders>
              <w:top w:val="single" w:sz="4" w:space="0" w:color="A6A6A6"/>
              <w:bottom w:val="single" w:sz="4" w:space="0" w:color="A6A6A6"/>
            </w:tcBorders>
            <w:noWrap/>
            <w:hideMark/>
          </w:tcPr>
          <w:p w14:paraId="2DD4CBE1" w14:textId="77777777" w:rsidR="005F4A7E" w:rsidRPr="002029AF" w:rsidRDefault="005F4A7E" w:rsidP="00130D1C">
            <w:pPr>
              <w:pStyle w:val="ARfintablebodyright"/>
            </w:pPr>
            <w:r w:rsidRPr="00173FAD">
              <w:t>0.4</w:t>
            </w:r>
          </w:p>
        </w:tc>
      </w:tr>
      <w:tr w:rsidR="005F4A7E" w:rsidRPr="002029AF" w14:paraId="35562311" w14:textId="77777777" w:rsidTr="00860E95">
        <w:tc>
          <w:tcPr>
            <w:tcW w:w="3967" w:type="dxa"/>
            <w:tcBorders>
              <w:top w:val="single" w:sz="4" w:space="0" w:color="A6A6A6"/>
              <w:bottom w:val="single" w:sz="4" w:space="0" w:color="A6A6A6"/>
            </w:tcBorders>
            <w:hideMark/>
          </w:tcPr>
          <w:p w14:paraId="6E0AA082" w14:textId="77777777" w:rsidR="005F4A7E" w:rsidRPr="002029AF" w:rsidRDefault="005F4A7E" w:rsidP="00130D1C">
            <w:pPr>
              <w:pStyle w:val="ARfintablebody"/>
            </w:pPr>
            <w:r w:rsidRPr="00173FAD">
              <w:t>Lease modifications</w:t>
            </w:r>
          </w:p>
        </w:tc>
        <w:tc>
          <w:tcPr>
            <w:tcW w:w="1134" w:type="dxa"/>
            <w:tcBorders>
              <w:top w:val="single" w:sz="4" w:space="0" w:color="A6A6A6"/>
              <w:bottom w:val="single" w:sz="4" w:space="0" w:color="A6A6A6"/>
            </w:tcBorders>
            <w:noWrap/>
            <w:hideMark/>
          </w:tcPr>
          <w:p w14:paraId="28BC7B83" w14:textId="77777777" w:rsidR="005F4A7E" w:rsidRPr="002029AF" w:rsidRDefault="005F4A7E" w:rsidP="00130D1C">
            <w:pPr>
              <w:pStyle w:val="ARfintablebodyright"/>
            </w:pPr>
            <w:r w:rsidRPr="00173FAD">
              <w:t>(1.0)</w:t>
            </w:r>
          </w:p>
        </w:tc>
        <w:tc>
          <w:tcPr>
            <w:tcW w:w="1134" w:type="dxa"/>
            <w:tcBorders>
              <w:top w:val="single" w:sz="4" w:space="0" w:color="A6A6A6"/>
              <w:bottom w:val="single" w:sz="4" w:space="0" w:color="A6A6A6"/>
            </w:tcBorders>
            <w:noWrap/>
            <w:hideMark/>
          </w:tcPr>
          <w:p w14:paraId="61DB13CC" w14:textId="77777777" w:rsidR="005F4A7E" w:rsidRPr="002029AF" w:rsidRDefault="005F4A7E" w:rsidP="00130D1C">
            <w:pPr>
              <w:pStyle w:val="ARfintablebodyright"/>
            </w:pPr>
            <w:r w:rsidRPr="00173FAD">
              <w:t>29.0</w:t>
            </w:r>
          </w:p>
        </w:tc>
        <w:tc>
          <w:tcPr>
            <w:tcW w:w="1134" w:type="dxa"/>
            <w:tcBorders>
              <w:top w:val="single" w:sz="4" w:space="0" w:color="A6A6A6"/>
              <w:bottom w:val="single" w:sz="4" w:space="0" w:color="A6A6A6"/>
            </w:tcBorders>
            <w:noWrap/>
            <w:hideMark/>
          </w:tcPr>
          <w:p w14:paraId="2C9376B1" w14:textId="77777777" w:rsidR="005F4A7E" w:rsidRPr="002029AF" w:rsidRDefault="005F4A7E" w:rsidP="00130D1C">
            <w:pPr>
              <w:pStyle w:val="ARfintablebodyright"/>
            </w:pPr>
            <w:r w:rsidRPr="00173FAD">
              <w:t>2.2</w:t>
            </w:r>
          </w:p>
        </w:tc>
        <w:tc>
          <w:tcPr>
            <w:tcW w:w="1134" w:type="dxa"/>
            <w:tcBorders>
              <w:top w:val="single" w:sz="4" w:space="0" w:color="A6A6A6"/>
              <w:bottom w:val="single" w:sz="4" w:space="0" w:color="A6A6A6"/>
            </w:tcBorders>
            <w:noWrap/>
            <w:hideMark/>
          </w:tcPr>
          <w:p w14:paraId="303D2843" w14:textId="77777777" w:rsidR="005F4A7E" w:rsidRPr="002029AF" w:rsidRDefault="005F4A7E" w:rsidP="00130D1C">
            <w:pPr>
              <w:pStyle w:val="ARfintablebodyright"/>
            </w:pPr>
            <w:r w:rsidRPr="00173FAD">
              <w:t>–</w:t>
            </w:r>
          </w:p>
        </w:tc>
        <w:tc>
          <w:tcPr>
            <w:tcW w:w="1134" w:type="dxa"/>
            <w:tcBorders>
              <w:top w:val="single" w:sz="4" w:space="0" w:color="A6A6A6"/>
              <w:bottom w:val="single" w:sz="4" w:space="0" w:color="A6A6A6"/>
            </w:tcBorders>
            <w:noWrap/>
            <w:hideMark/>
          </w:tcPr>
          <w:p w14:paraId="353E6284" w14:textId="77777777" w:rsidR="005F4A7E" w:rsidRPr="002029AF" w:rsidRDefault="005F4A7E" w:rsidP="00130D1C">
            <w:pPr>
              <w:pStyle w:val="ARfintablebodyright"/>
            </w:pPr>
            <w:r w:rsidRPr="00173FAD">
              <w:t>30.1</w:t>
            </w:r>
          </w:p>
        </w:tc>
      </w:tr>
      <w:tr w:rsidR="005F4A7E" w:rsidRPr="002029AF" w14:paraId="7CC1D181" w14:textId="77777777" w:rsidTr="00860E95">
        <w:tc>
          <w:tcPr>
            <w:tcW w:w="3967" w:type="dxa"/>
            <w:tcBorders>
              <w:top w:val="single" w:sz="4" w:space="0" w:color="A6A6A6"/>
              <w:bottom w:val="single" w:sz="4" w:space="0" w:color="A6A6A6"/>
            </w:tcBorders>
            <w:hideMark/>
          </w:tcPr>
          <w:p w14:paraId="448C1718" w14:textId="77777777" w:rsidR="005F4A7E" w:rsidRPr="002029AF" w:rsidRDefault="005F4A7E" w:rsidP="00130D1C">
            <w:pPr>
              <w:pStyle w:val="ARfintablebody"/>
            </w:pPr>
            <w:r w:rsidRPr="00173FAD">
              <w:t>Disposals</w:t>
            </w:r>
          </w:p>
        </w:tc>
        <w:tc>
          <w:tcPr>
            <w:tcW w:w="1134" w:type="dxa"/>
            <w:tcBorders>
              <w:top w:val="single" w:sz="4" w:space="0" w:color="A6A6A6"/>
              <w:bottom w:val="single" w:sz="4" w:space="0" w:color="A6A6A6"/>
            </w:tcBorders>
            <w:noWrap/>
            <w:hideMark/>
          </w:tcPr>
          <w:p w14:paraId="4D5EDE57" w14:textId="77777777" w:rsidR="005F4A7E" w:rsidRPr="002029AF" w:rsidRDefault="005F4A7E" w:rsidP="00130D1C">
            <w:pPr>
              <w:pStyle w:val="ARfintablebodyright"/>
            </w:pPr>
            <w:r w:rsidRPr="00173FAD">
              <w:t>–</w:t>
            </w:r>
          </w:p>
        </w:tc>
        <w:tc>
          <w:tcPr>
            <w:tcW w:w="1134" w:type="dxa"/>
            <w:tcBorders>
              <w:top w:val="single" w:sz="4" w:space="0" w:color="A6A6A6"/>
              <w:bottom w:val="single" w:sz="4" w:space="0" w:color="A6A6A6"/>
            </w:tcBorders>
            <w:noWrap/>
            <w:hideMark/>
          </w:tcPr>
          <w:p w14:paraId="4B849BA7" w14:textId="77777777" w:rsidR="005F4A7E" w:rsidRPr="002029AF" w:rsidRDefault="005F4A7E" w:rsidP="00130D1C">
            <w:pPr>
              <w:pStyle w:val="ARfintablebodyright"/>
            </w:pPr>
            <w:r w:rsidRPr="00173FAD">
              <w:t>(0.8)</w:t>
            </w:r>
          </w:p>
        </w:tc>
        <w:tc>
          <w:tcPr>
            <w:tcW w:w="1134" w:type="dxa"/>
            <w:tcBorders>
              <w:top w:val="single" w:sz="4" w:space="0" w:color="A6A6A6"/>
              <w:bottom w:val="single" w:sz="4" w:space="0" w:color="A6A6A6"/>
            </w:tcBorders>
            <w:noWrap/>
            <w:hideMark/>
          </w:tcPr>
          <w:p w14:paraId="39542CA9" w14:textId="77777777" w:rsidR="005F4A7E" w:rsidRPr="002029AF" w:rsidRDefault="005F4A7E" w:rsidP="00130D1C">
            <w:pPr>
              <w:pStyle w:val="ARfintablebodyright"/>
            </w:pPr>
            <w:r w:rsidRPr="00173FAD">
              <w:t>–</w:t>
            </w:r>
          </w:p>
        </w:tc>
        <w:tc>
          <w:tcPr>
            <w:tcW w:w="1134" w:type="dxa"/>
            <w:tcBorders>
              <w:top w:val="single" w:sz="4" w:space="0" w:color="A6A6A6"/>
              <w:bottom w:val="single" w:sz="4" w:space="0" w:color="A6A6A6"/>
            </w:tcBorders>
            <w:noWrap/>
            <w:hideMark/>
          </w:tcPr>
          <w:p w14:paraId="6D4224CF" w14:textId="77777777" w:rsidR="005F4A7E" w:rsidRPr="002029AF" w:rsidRDefault="005F4A7E" w:rsidP="00130D1C">
            <w:pPr>
              <w:pStyle w:val="ARfintablebodyright"/>
            </w:pPr>
            <w:r w:rsidRPr="00173FAD">
              <w:t>(3.4)</w:t>
            </w:r>
          </w:p>
        </w:tc>
        <w:tc>
          <w:tcPr>
            <w:tcW w:w="1134" w:type="dxa"/>
            <w:tcBorders>
              <w:top w:val="single" w:sz="4" w:space="0" w:color="A6A6A6"/>
              <w:bottom w:val="single" w:sz="4" w:space="0" w:color="A6A6A6"/>
            </w:tcBorders>
            <w:noWrap/>
            <w:hideMark/>
          </w:tcPr>
          <w:p w14:paraId="1D8B1C1A" w14:textId="77777777" w:rsidR="005F4A7E" w:rsidRPr="002029AF" w:rsidRDefault="005F4A7E" w:rsidP="00130D1C">
            <w:pPr>
              <w:pStyle w:val="ARfintablebodyright"/>
            </w:pPr>
            <w:r w:rsidRPr="00173FAD">
              <w:t>(4.3)</w:t>
            </w:r>
          </w:p>
        </w:tc>
      </w:tr>
      <w:tr w:rsidR="005F4A7E" w:rsidRPr="002029AF" w14:paraId="76B029BB" w14:textId="77777777" w:rsidTr="00860E95">
        <w:tc>
          <w:tcPr>
            <w:tcW w:w="3967" w:type="dxa"/>
            <w:tcBorders>
              <w:top w:val="single" w:sz="4" w:space="0" w:color="A6A6A6"/>
            </w:tcBorders>
            <w:hideMark/>
          </w:tcPr>
          <w:p w14:paraId="328F4DAE" w14:textId="77777777" w:rsidR="005F4A7E" w:rsidRPr="002029AF" w:rsidRDefault="005F4A7E" w:rsidP="00130D1C">
            <w:pPr>
              <w:pStyle w:val="ARfintablebody"/>
            </w:pPr>
            <w:r w:rsidRPr="00173FAD">
              <w:t>Depreciation</w:t>
            </w:r>
          </w:p>
        </w:tc>
        <w:tc>
          <w:tcPr>
            <w:tcW w:w="1134" w:type="dxa"/>
            <w:tcBorders>
              <w:top w:val="single" w:sz="4" w:space="0" w:color="A6A6A6"/>
            </w:tcBorders>
            <w:noWrap/>
            <w:hideMark/>
          </w:tcPr>
          <w:p w14:paraId="3EA3E3F4" w14:textId="77777777" w:rsidR="005F4A7E" w:rsidRPr="002029AF" w:rsidRDefault="005F4A7E" w:rsidP="00130D1C">
            <w:pPr>
              <w:pStyle w:val="ARfintablebodyright"/>
            </w:pPr>
            <w:r w:rsidRPr="00173FAD">
              <w:t>(0.8)</w:t>
            </w:r>
          </w:p>
        </w:tc>
        <w:tc>
          <w:tcPr>
            <w:tcW w:w="1134" w:type="dxa"/>
            <w:tcBorders>
              <w:top w:val="single" w:sz="4" w:space="0" w:color="A6A6A6"/>
            </w:tcBorders>
            <w:noWrap/>
            <w:hideMark/>
          </w:tcPr>
          <w:p w14:paraId="306CD604" w14:textId="77777777" w:rsidR="005F4A7E" w:rsidRPr="002029AF" w:rsidRDefault="005F4A7E" w:rsidP="00130D1C">
            <w:pPr>
              <w:pStyle w:val="ARfintablebodyright"/>
            </w:pPr>
            <w:r w:rsidRPr="00173FAD">
              <w:t>(22.1)</w:t>
            </w:r>
          </w:p>
        </w:tc>
        <w:tc>
          <w:tcPr>
            <w:tcW w:w="1134" w:type="dxa"/>
            <w:tcBorders>
              <w:top w:val="single" w:sz="4" w:space="0" w:color="A6A6A6"/>
            </w:tcBorders>
            <w:noWrap/>
            <w:hideMark/>
          </w:tcPr>
          <w:p w14:paraId="5A5B3124" w14:textId="77777777" w:rsidR="005F4A7E" w:rsidRPr="002029AF" w:rsidRDefault="005F4A7E" w:rsidP="00130D1C">
            <w:pPr>
              <w:pStyle w:val="ARfintablebodyright"/>
            </w:pPr>
            <w:r w:rsidRPr="00173FAD">
              <w:t>(2.5)</w:t>
            </w:r>
          </w:p>
        </w:tc>
        <w:tc>
          <w:tcPr>
            <w:tcW w:w="1134" w:type="dxa"/>
            <w:tcBorders>
              <w:top w:val="single" w:sz="4" w:space="0" w:color="A6A6A6"/>
            </w:tcBorders>
            <w:noWrap/>
            <w:hideMark/>
          </w:tcPr>
          <w:p w14:paraId="77791C2C" w14:textId="77777777" w:rsidR="005F4A7E" w:rsidRPr="002029AF" w:rsidRDefault="005F4A7E" w:rsidP="00130D1C">
            <w:pPr>
              <w:pStyle w:val="ARfintablebodyright"/>
            </w:pPr>
            <w:r w:rsidRPr="00173FAD">
              <w:t>(6.4)</w:t>
            </w:r>
          </w:p>
        </w:tc>
        <w:tc>
          <w:tcPr>
            <w:tcW w:w="1134" w:type="dxa"/>
            <w:tcBorders>
              <w:top w:val="single" w:sz="4" w:space="0" w:color="A6A6A6"/>
            </w:tcBorders>
            <w:noWrap/>
            <w:hideMark/>
          </w:tcPr>
          <w:p w14:paraId="7C3ACBFA" w14:textId="77777777" w:rsidR="005F4A7E" w:rsidRPr="002029AF" w:rsidRDefault="005F4A7E" w:rsidP="00130D1C">
            <w:pPr>
              <w:pStyle w:val="ARfintablebodyright"/>
            </w:pPr>
            <w:r w:rsidRPr="00173FAD">
              <w:t>(31.8)</w:t>
            </w:r>
          </w:p>
        </w:tc>
      </w:tr>
      <w:tr w:rsidR="005F4A7E" w:rsidRPr="002029AF" w14:paraId="0BC9FB56" w14:textId="77777777" w:rsidTr="00860E95">
        <w:tc>
          <w:tcPr>
            <w:tcW w:w="3967" w:type="dxa"/>
            <w:hideMark/>
          </w:tcPr>
          <w:p w14:paraId="5F3DEB22" w14:textId="77777777" w:rsidR="005F4A7E" w:rsidRPr="002029AF" w:rsidRDefault="005F4A7E" w:rsidP="00130D1C">
            <w:pPr>
              <w:pStyle w:val="ARfintablebodybold"/>
            </w:pPr>
            <w:r w:rsidRPr="00173FAD">
              <w:t>Closing balance – 30 June 2021</w:t>
            </w:r>
          </w:p>
        </w:tc>
        <w:tc>
          <w:tcPr>
            <w:tcW w:w="1134" w:type="dxa"/>
            <w:noWrap/>
            <w:hideMark/>
          </w:tcPr>
          <w:p w14:paraId="65726F76" w14:textId="77777777" w:rsidR="005F4A7E" w:rsidRPr="002029AF" w:rsidRDefault="005F4A7E" w:rsidP="00130D1C">
            <w:pPr>
              <w:pStyle w:val="ARfintablebodyrightbold"/>
            </w:pPr>
            <w:r w:rsidRPr="00173FAD">
              <w:t>9.0</w:t>
            </w:r>
          </w:p>
        </w:tc>
        <w:tc>
          <w:tcPr>
            <w:tcW w:w="1134" w:type="dxa"/>
            <w:noWrap/>
            <w:hideMark/>
          </w:tcPr>
          <w:p w14:paraId="722AE239" w14:textId="77777777" w:rsidR="005F4A7E" w:rsidRPr="002029AF" w:rsidRDefault="005F4A7E" w:rsidP="00130D1C">
            <w:pPr>
              <w:pStyle w:val="ARfintablebodyrightbold"/>
            </w:pPr>
            <w:r w:rsidRPr="00173FAD">
              <w:t>59.5</w:t>
            </w:r>
          </w:p>
        </w:tc>
        <w:tc>
          <w:tcPr>
            <w:tcW w:w="1134" w:type="dxa"/>
            <w:noWrap/>
            <w:hideMark/>
          </w:tcPr>
          <w:p w14:paraId="7235952C" w14:textId="77777777" w:rsidR="005F4A7E" w:rsidRPr="002029AF" w:rsidRDefault="005F4A7E" w:rsidP="00130D1C">
            <w:pPr>
              <w:pStyle w:val="ARfintablebodyrightbold"/>
            </w:pPr>
            <w:r w:rsidRPr="00173FAD">
              <w:t>3.2</w:t>
            </w:r>
          </w:p>
        </w:tc>
        <w:tc>
          <w:tcPr>
            <w:tcW w:w="1134" w:type="dxa"/>
            <w:noWrap/>
            <w:hideMark/>
          </w:tcPr>
          <w:p w14:paraId="0CA8AB8E" w14:textId="77777777" w:rsidR="005F4A7E" w:rsidRPr="002029AF" w:rsidRDefault="005F4A7E" w:rsidP="00130D1C">
            <w:pPr>
              <w:pStyle w:val="ARfintablebodyrightbold"/>
            </w:pPr>
            <w:r w:rsidRPr="00173FAD">
              <w:t>26.5</w:t>
            </w:r>
          </w:p>
        </w:tc>
        <w:tc>
          <w:tcPr>
            <w:tcW w:w="1134" w:type="dxa"/>
            <w:noWrap/>
            <w:hideMark/>
          </w:tcPr>
          <w:p w14:paraId="3DCA0FB9" w14:textId="77777777" w:rsidR="005F4A7E" w:rsidRPr="002029AF" w:rsidRDefault="005F4A7E" w:rsidP="00130D1C">
            <w:pPr>
              <w:pStyle w:val="ARfintablebodyrightbold"/>
            </w:pPr>
            <w:r w:rsidRPr="00173FAD">
              <w:t>98.2</w:t>
            </w:r>
          </w:p>
        </w:tc>
      </w:tr>
      <w:tr w:rsidR="005F4A7E" w:rsidRPr="002029AF" w14:paraId="2D9EC863" w14:textId="77777777" w:rsidTr="00860E95">
        <w:tc>
          <w:tcPr>
            <w:tcW w:w="3967" w:type="dxa"/>
          </w:tcPr>
          <w:p w14:paraId="5EBBBE86" w14:textId="77777777" w:rsidR="005F4A7E" w:rsidRPr="002029AF" w:rsidRDefault="005F4A7E" w:rsidP="00130D1C">
            <w:pPr>
              <w:pStyle w:val="ARfintablebodybold"/>
            </w:pPr>
            <w:r w:rsidRPr="00173FAD">
              <w:t xml:space="preserve">Opening balance – 1 July 2019 </w:t>
            </w:r>
            <w:r w:rsidRPr="003F0A5C">
              <w:rPr>
                <w:rStyle w:val="Superscript"/>
              </w:rPr>
              <w:t>(i)</w:t>
            </w:r>
          </w:p>
        </w:tc>
        <w:tc>
          <w:tcPr>
            <w:tcW w:w="1134" w:type="dxa"/>
            <w:noWrap/>
          </w:tcPr>
          <w:p w14:paraId="638901EE" w14:textId="77777777" w:rsidR="005F4A7E" w:rsidRPr="009B76F6" w:rsidRDefault="005F4A7E" w:rsidP="00130D1C">
            <w:pPr>
              <w:pStyle w:val="ARfintablebodyrightbold"/>
              <w:rPr>
                <w:b w:val="0"/>
                <w:bCs/>
              </w:rPr>
            </w:pPr>
            <w:r w:rsidRPr="009B76F6">
              <w:rPr>
                <w:b w:val="0"/>
                <w:bCs/>
              </w:rPr>
              <w:t>11.5</w:t>
            </w:r>
          </w:p>
        </w:tc>
        <w:tc>
          <w:tcPr>
            <w:tcW w:w="1134" w:type="dxa"/>
            <w:noWrap/>
          </w:tcPr>
          <w:p w14:paraId="1A1BECD7" w14:textId="77777777" w:rsidR="005F4A7E" w:rsidRPr="009B76F6" w:rsidRDefault="005F4A7E" w:rsidP="00130D1C">
            <w:pPr>
              <w:pStyle w:val="ARfintablebodyrightbold"/>
              <w:rPr>
                <w:b w:val="0"/>
                <w:bCs/>
              </w:rPr>
            </w:pPr>
            <w:r w:rsidRPr="009B76F6">
              <w:rPr>
                <w:b w:val="0"/>
                <w:bCs/>
              </w:rPr>
              <w:t>572.5</w:t>
            </w:r>
          </w:p>
        </w:tc>
        <w:tc>
          <w:tcPr>
            <w:tcW w:w="1134" w:type="dxa"/>
            <w:noWrap/>
          </w:tcPr>
          <w:p w14:paraId="3C59C4BB" w14:textId="77777777" w:rsidR="005F4A7E" w:rsidRPr="009B76F6" w:rsidRDefault="005F4A7E" w:rsidP="00130D1C">
            <w:pPr>
              <w:pStyle w:val="ARfintablebodyrightbold"/>
              <w:rPr>
                <w:b w:val="0"/>
                <w:bCs/>
              </w:rPr>
            </w:pPr>
            <w:r w:rsidRPr="009B76F6">
              <w:rPr>
                <w:b w:val="0"/>
                <w:bCs/>
              </w:rPr>
              <w:t>4.7</w:t>
            </w:r>
          </w:p>
        </w:tc>
        <w:tc>
          <w:tcPr>
            <w:tcW w:w="1134" w:type="dxa"/>
            <w:noWrap/>
          </w:tcPr>
          <w:p w14:paraId="5ADCFE7E" w14:textId="77777777" w:rsidR="005F4A7E" w:rsidRPr="009B76F6" w:rsidRDefault="005F4A7E" w:rsidP="00130D1C">
            <w:pPr>
              <w:pStyle w:val="ARfintablebodyrightbold"/>
              <w:rPr>
                <w:b w:val="0"/>
                <w:bCs/>
              </w:rPr>
            </w:pPr>
            <w:r w:rsidRPr="009B76F6">
              <w:rPr>
                <w:b w:val="0"/>
                <w:bCs/>
              </w:rPr>
              <w:t>36.1</w:t>
            </w:r>
          </w:p>
        </w:tc>
        <w:tc>
          <w:tcPr>
            <w:tcW w:w="1134" w:type="dxa"/>
            <w:noWrap/>
          </w:tcPr>
          <w:p w14:paraId="6B1C0954" w14:textId="77777777" w:rsidR="005F4A7E" w:rsidRPr="009B76F6" w:rsidRDefault="005F4A7E" w:rsidP="00130D1C">
            <w:pPr>
              <w:pStyle w:val="ARfintablebodyrightbold"/>
              <w:rPr>
                <w:b w:val="0"/>
                <w:bCs/>
              </w:rPr>
            </w:pPr>
            <w:r w:rsidRPr="009B76F6">
              <w:rPr>
                <w:b w:val="0"/>
                <w:bCs/>
              </w:rPr>
              <w:t>624.8</w:t>
            </w:r>
          </w:p>
        </w:tc>
      </w:tr>
      <w:tr w:rsidR="005F4A7E" w:rsidRPr="002029AF" w14:paraId="470E757E" w14:textId="77777777" w:rsidTr="00130D1C">
        <w:tc>
          <w:tcPr>
            <w:tcW w:w="3967" w:type="dxa"/>
            <w:tcBorders>
              <w:top w:val="single" w:sz="4" w:space="0" w:color="A6A6A6"/>
              <w:bottom w:val="single" w:sz="4" w:space="0" w:color="A6A6A6"/>
            </w:tcBorders>
            <w:hideMark/>
          </w:tcPr>
          <w:p w14:paraId="3F7A54F5" w14:textId="77777777" w:rsidR="005F4A7E" w:rsidRPr="002029AF" w:rsidRDefault="005F4A7E" w:rsidP="00130D1C">
            <w:pPr>
              <w:pStyle w:val="ARfintablebody"/>
            </w:pPr>
            <w:r w:rsidRPr="000D4194">
              <w:t>Additions</w:t>
            </w:r>
          </w:p>
        </w:tc>
        <w:tc>
          <w:tcPr>
            <w:tcW w:w="1134" w:type="dxa"/>
            <w:tcBorders>
              <w:top w:val="single" w:sz="4" w:space="0" w:color="A6A6A6"/>
              <w:bottom w:val="single" w:sz="4" w:space="0" w:color="A6A6A6"/>
            </w:tcBorders>
            <w:noWrap/>
            <w:hideMark/>
          </w:tcPr>
          <w:p w14:paraId="531A106C" w14:textId="77777777" w:rsidR="005F4A7E" w:rsidRPr="002029AF" w:rsidRDefault="005F4A7E" w:rsidP="00130D1C">
            <w:pPr>
              <w:pStyle w:val="ARfintablebodyright"/>
            </w:pPr>
            <w:r w:rsidRPr="000D4194">
              <w:t>–</w:t>
            </w:r>
          </w:p>
        </w:tc>
        <w:tc>
          <w:tcPr>
            <w:tcW w:w="1134" w:type="dxa"/>
            <w:tcBorders>
              <w:top w:val="single" w:sz="4" w:space="0" w:color="A6A6A6"/>
              <w:bottom w:val="single" w:sz="4" w:space="0" w:color="A6A6A6"/>
            </w:tcBorders>
            <w:noWrap/>
            <w:hideMark/>
          </w:tcPr>
          <w:p w14:paraId="29F4DBC6" w14:textId="77777777" w:rsidR="005F4A7E" w:rsidRPr="002029AF" w:rsidRDefault="005F4A7E" w:rsidP="00130D1C">
            <w:pPr>
              <w:pStyle w:val="ARfintablebodyright"/>
            </w:pPr>
            <w:r w:rsidRPr="000D4194">
              <w:t>27.7</w:t>
            </w:r>
          </w:p>
        </w:tc>
        <w:tc>
          <w:tcPr>
            <w:tcW w:w="1134" w:type="dxa"/>
            <w:tcBorders>
              <w:top w:val="single" w:sz="4" w:space="0" w:color="A6A6A6"/>
              <w:bottom w:val="single" w:sz="4" w:space="0" w:color="A6A6A6"/>
            </w:tcBorders>
            <w:noWrap/>
            <w:hideMark/>
          </w:tcPr>
          <w:p w14:paraId="319FFAEB" w14:textId="77777777" w:rsidR="005F4A7E" w:rsidRPr="002029AF" w:rsidRDefault="005F4A7E" w:rsidP="00130D1C">
            <w:pPr>
              <w:pStyle w:val="ARfintablebodyright"/>
            </w:pPr>
            <w:r w:rsidRPr="000D4194">
              <w:t>1.3</w:t>
            </w:r>
          </w:p>
        </w:tc>
        <w:tc>
          <w:tcPr>
            <w:tcW w:w="1134" w:type="dxa"/>
            <w:tcBorders>
              <w:top w:val="single" w:sz="4" w:space="0" w:color="A6A6A6"/>
              <w:bottom w:val="single" w:sz="4" w:space="0" w:color="A6A6A6"/>
            </w:tcBorders>
            <w:noWrap/>
            <w:hideMark/>
          </w:tcPr>
          <w:p w14:paraId="6169E7DB" w14:textId="77777777" w:rsidR="005F4A7E" w:rsidRPr="002029AF" w:rsidRDefault="005F4A7E" w:rsidP="00130D1C">
            <w:pPr>
              <w:pStyle w:val="ARfintablebodyright"/>
            </w:pPr>
            <w:r w:rsidRPr="000D4194">
              <w:t>15.1</w:t>
            </w:r>
          </w:p>
        </w:tc>
        <w:tc>
          <w:tcPr>
            <w:tcW w:w="1134" w:type="dxa"/>
            <w:tcBorders>
              <w:top w:val="single" w:sz="4" w:space="0" w:color="A6A6A6"/>
              <w:bottom w:val="single" w:sz="4" w:space="0" w:color="A6A6A6"/>
            </w:tcBorders>
            <w:noWrap/>
            <w:hideMark/>
          </w:tcPr>
          <w:p w14:paraId="36F09846" w14:textId="77777777" w:rsidR="005F4A7E" w:rsidRPr="002029AF" w:rsidRDefault="005F4A7E" w:rsidP="00130D1C">
            <w:pPr>
              <w:pStyle w:val="ARfintablebodyright"/>
            </w:pPr>
            <w:r w:rsidRPr="000D4194">
              <w:t>44.1</w:t>
            </w:r>
          </w:p>
        </w:tc>
      </w:tr>
      <w:tr w:rsidR="005F4A7E" w:rsidRPr="002029AF" w14:paraId="6D0E458E" w14:textId="77777777" w:rsidTr="00130D1C">
        <w:tc>
          <w:tcPr>
            <w:tcW w:w="3967" w:type="dxa"/>
            <w:tcBorders>
              <w:top w:val="single" w:sz="4" w:space="0" w:color="A6A6A6"/>
              <w:bottom w:val="single" w:sz="4" w:space="0" w:color="A6A6A6"/>
            </w:tcBorders>
            <w:hideMark/>
          </w:tcPr>
          <w:p w14:paraId="10BE483B" w14:textId="77777777" w:rsidR="005F4A7E" w:rsidRPr="002029AF" w:rsidRDefault="005F4A7E" w:rsidP="00130D1C">
            <w:pPr>
              <w:pStyle w:val="ARfintablebody"/>
            </w:pPr>
            <w:r w:rsidRPr="000D4194">
              <w:t xml:space="preserve">Transfers </w:t>
            </w:r>
            <w:r w:rsidRPr="003F0A5C">
              <w:rPr>
                <w:rStyle w:val="Superscript"/>
              </w:rPr>
              <w:t>(ii)</w:t>
            </w:r>
          </w:p>
        </w:tc>
        <w:tc>
          <w:tcPr>
            <w:tcW w:w="1134" w:type="dxa"/>
            <w:tcBorders>
              <w:top w:val="single" w:sz="4" w:space="0" w:color="A6A6A6"/>
              <w:bottom w:val="single" w:sz="4" w:space="0" w:color="A6A6A6"/>
            </w:tcBorders>
            <w:noWrap/>
            <w:hideMark/>
          </w:tcPr>
          <w:p w14:paraId="6EE5B0A9" w14:textId="77777777" w:rsidR="005F4A7E" w:rsidRPr="002029AF" w:rsidRDefault="005F4A7E" w:rsidP="00130D1C">
            <w:pPr>
              <w:pStyle w:val="ARfintablebodyright"/>
            </w:pPr>
            <w:r w:rsidRPr="000D4194">
              <w:t>–</w:t>
            </w:r>
          </w:p>
        </w:tc>
        <w:tc>
          <w:tcPr>
            <w:tcW w:w="1134" w:type="dxa"/>
            <w:tcBorders>
              <w:top w:val="single" w:sz="4" w:space="0" w:color="A6A6A6"/>
              <w:bottom w:val="single" w:sz="4" w:space="0" w:color="A6A6A6"/>
            </w:tcBorders>
            <w:noWrap/>
            <w:hideMark/>
          </w:tcPr>
          <w:p w14:paraId="7CB72A31" w14:textId="77777777" w:rsidR="005F4A7E" w:rsidRPr="002029AF" w:rsidRDefault="005F4A7E" w:rsidP="00130D1C">
            <w:pPr>
              <w:pStyle w:val="ARfintablebodyright"/>
            </w:pPr>
            <w:r w:rsidRPr="000D4194">
              <w:t>(527.3)</w:t>
            </w:r>
          </w:p>
        </w:tc>
        <w:tc>
          <w:tcPr>
            <w:tcW w:w="1134" w:type="dxa"/>
            <w:tcBorders>
              <w:top w:val="single" w:sz="4" w:space="0" w:color="A6A6A6"/>
              <w:bottom w:val="single" w:sz="4" w:space="0" w:color="A6A6A6"/>
            </w:tcBorders>
            <w:noWrap/>
            <w:hideMark/>
          </w:tcPr>
          <w:p w14:paraId="19DAA219" w14:textId="77777777" w:rsidR="005F4A7E" w:rsidRPr="002029AF" w:rsidRDefault="005F4A7E" w:rsidP="00130D1C">
            <w:pPr>
              <w:pStyle w:val="ARfintablebodyright"/>
            </w:pPr>
            <w:r w:rsidRPr="000D4194">
              <w:t>–</w:t>
            </w:r>
          </w:p>
        </w:tc>
        <w:tc>
          <w:tcPr>
            <w:tcW w:w="1134" w:type="dxa"/>
            <w:tcBorders>
              <w:top w:val="single" w:sz="4" w:space="0" w:color="A6A6A6"/>
              <w:bottom w:val="single" w:sz="4" w:space="0" w:color="A6A6A6"/>
            </w:tcBorders>
            <w:noWrap/>
            <w:hideMark/>
          </w:tcPr>
          <w:p w14:paraId="73895C24" w14:textId="77777777" w:rsidR="005F4A7E" w:rsidRPr="002029AF" w:rsidRDefault="005F4A7E" w:rsidP="00130D1C">
            <w:pPr>
              <w:pStyle w:val="ARfintablebodyright"/>
            </w:pPr>
            <w:r w:rsidRPr="000D4194">
              <w:t>(4.9)</w:t>
            </w:r>
          </w:p>
        </w:tc>
        <w:tc>
          <w:tcPr>
            <w:tcW w:w="1134" w:type="dxa"/>
            <w:tcBorders>
              <w:top w:val="single" w:sz="4" w:space="0" w:color="A6A6A6"/>
              <w:bottom w:val="single" w:sz="4" w:space="0" w:color="A6A6A6"/>
            </w:tcBorders>
            <w:noWrap/>
            <w:hideMark/>
          </w:tcPr>
          <w:p w14:paraId="77A0C0B8" w14:textId="77777777" w:rsidR="005F4A7E" w:rsidRPr="002029AF" w:rsidRDefault="005F4A7E" w:rsidP="00130D1C">
            <w:pPr>
              <w:pStyle w:val="ARfintablebodyright"/>
            </w:pPr>
            <w:r w:rsidRPr="000D4194">
              <w:t>(532.2)</w:t>
            </w:r>
          </w:p>
        </w:tc>
      </w:tr>
      <w:tr w:rsidR="005F4A7E" w:rsidRPr="002029AF" w14:paraId="26331E5F" w14:textId="77777777" w:rsidTr="00130D1C">
        <w:tc>
          <w:tcPr>
            <w:tcW w:w="3967" w:type="dxa"/>
            <w:tcBorders>
              <w:top w:val="single" w:sz="4" w:space="0" w:color="A6A6A6"/>
              <w:bottom w:val="single" w:sz="4" w:space="0" w:color="A6A6A6"/>
            </w:tcBorders>
            <w:hideMark/>
          </w:tcPr>
          <w:p w14:paraId="578F5C62" w14:textId="77777777" w:rsidR="005F4A7E" w:rsidRPr="002029AF" w:rsidRDefault="005F4A7E" w:rsidP="00130D1C">
            <w:pPr>
              <w:pStyle w:val="ARfintablebody"/>
            </w:pPr>
            <w:r w:rsidRPr="000D4194">
              <w:t>Lease modifications</w:t>
            </w:r>
          </w:p>
        </w:tc>
        <w:tc>
          <w:tcPr>
            <w:tcW w:w="1134" w:type="dxa"/>
            <w:tcBorders>
              <w:top w:val="single" w:sz="4" w:space="0" w:color="A6A6A6"/>
              <w:bottom w:val="single" w:sz="4" w:space="0" w:color="A6A6A6"/>
            </w:tcBorders>
            <w:noWrap/>
            <w:hideMark/>
          </w:tcPr>
          <w:p w14:paraId="31D808EC" w14:textId="77777777" w:rsidR="005F4A7E" w:rsidRPr="002029AF" w:rsidRDefault="005F4A7E" w:rsidP="00130D1C">
            <w:pPr>
              <w:pStyle w:val="ARfintablebodyright"/>
            </w:pPr>
            <w:r w:rsidRPr="000D4194">
              <w:t>0.1</w:t>
            </w:r>
          </w:p>
        </w:tc>
        <w:tc>
          <w:tcPr>
            <w:tcW w:w="1134" w:type="dxa"/>
            <w:tcBorders>
              <w:top w:val="single" w:sz="4" w:space="0" w:color="A6A6A6"/>
              <w:bottom w:val="single" w:sz="4" w:space="0" w:color="A6A6A6"/>
            </w:tcBorders>
            <w:noWrap/>
            <w:hideMark/>
          </w:tcPr>
          <w:p w14:paraId="47DB2019" w14:textId="77777777" w:rsidR="005F4A7E" w:rsidRPr="002029AF" w:rsidRDefault="005F4A7E" w:rsidP="00130D1C">
            <w:pPr>
              <w:pStyle w:val="ARfintablebodyright"/>
            </w:pPr>
            <w:r w:rsidRPr="000D4194">
              <w:t>11.8</w:t>
            </w:r>
          </w:p>
        </w:tc>
        <w:tc>
          <w:tcPr>
            <w:tcW w:w="1134" w:type="dxa"/>
            <w:tcBorders>
              <w:top w:val="single" w:sz="4" w:space="0" w:color="A6A6A6"/>
              <w:bottom w:val="single" w:sz="4" w:space="0" w:color="A6A6A6"/>
            </w:tcBorders>
            <w:noWrap/>
            <w:hideMark/>
          </w:tcPr>
          <w:p w14:paraId="3C6B3B2B" w14:textId="77777777" w:rsidR="005F4A7E" w:rsidRPr="002029AF" w:rsidRDefault="005F4A7E" w:rsidP="00130D1C">
            <w:pPr>
              <w:pStyle w:val="ARfintablebodyright"/>
            </w:pPr>
            <w:r w:rsidRPr="000D4194">
              <w:t>–</w:t>
            </w:r>
          </w:p>
        </w:tc>
        <w:tc>
          <w:tcPr>
            <w:tcW w:w="1134" w:type="dxa"/>
            <w:tcBorders>
              <w:top w:val="single" w:sz="4" w:space="0" w:color="A6A6A6"/>
              <w:bottom w:val="single" w:sz="4" w:space="0" w:color="A6A6A6"/>
            </w:tcBorders>
            <w:noWrap/>
            <w:hideMark/>
          </w:tcPr>
          <w:p w14:paraId="78C9C386" w14:textId="77777777" w:rsidR="005F4A7E" w:rsidRPr="002029AF" w:rsidRDefault="005F4A7E" w:rsidP="00130D1C">
            <w:pPr>
              <w:pStyle w:val="ARfintablebodyright"/>
            </w:pPr>
            <w:r w:rsidRPr="000D4194">
              <w:t>–</w:t>
            </w:r>
          </w:p>
        </w:tc>
        <w:tc>
          <w:tcPr>
            <w:tcW w:w="1134" w:type="dxa"/>
            <w:tcBorders>
              <w:top w:val="single" w:sz="4" w:space="0" w:color="A6A6A6"/>
              <w:bottom w:val="single" w:sz="4" w:space="0" w:color="A6A6A6"/>
            </w:tcBorders>
            <w:noWrap/>
            <w:hideMark/>
          </w:tcPr>
          <w:p w14:paraId="6F5EE2E3" w14:textId="77777777" w:rsidR="005F4A7E" w:rsidRPr="002029AF" w:rsidRDefault="005F4A7E" w:rsidP="00130D1C">
            <w:pPr>
              <w:pStyle w:val="ARfintablebodyright"/>
            </w:pPr>
            <w:r w:rsidRPr="000D4194">
              <w:t>11.9</w:t>
            </w:r>
          </w:p>
        </w:tc>
      </w:tr>
      <w:tr w:rsidR="005F4A7E" w:rsidRPr="002029AF" w14:paraId="49F162D7" w14:textId="77777777" w:rsidTr="00130D1C">
        <w:tc>
          <w:tcPr>
            <w:tcW w:w="3967" w:type="dxa"/>
            <w:tcBorders>
              <w:top w:val="single" w:sz="4" w:space="0" w:color="A6A6A6"/>
              <w:bottom w:val="single" w:sz="4" w:space="0" w:color="A6A6A6"/>
            </w:tcBorders>
            <w:hideMark/>
          </w:tcPr>
          <w:p w14:paraId="1220D863" w14:textId="77777777" w:rsidR="005F4A7E" w:rsidRPr="002029AF" w:rsidRDefault="005F4A7E" w:rsidP="00130D1C">
            <w:pPr>
              <w:pStyle w:val="ARfintablebody"/>
            </w:pPr>
            <w:r w:rsidRPr="000D4194">
              <w:t>Disposals</w:t>
            </w:r>
          </w:p>
        </w:tc>
        <w:tc>
          <w:tcPr>
            <w:tcW w:w="1134" w:type="dxa"/>
            <w:tcBorders>
              <w:top w:val="single" w:sz="4" w:space="0" w:color="A6A6A6"/>
              <w:bottom w:val="single" w:sz="4" w:space="0" w:color="A6A6A6"/>
            </w:tcBorders>
            <w:noWrap/>
            <w:hideMark/>
          </w:tcPr>
          <w:p w14:paraId="111A1872" w14:textId="77777777" w:rsidR="005F4A7E" w:rsidRPr="002029AF" w:rsidRDefault="005F4A7E" w:rsidP="00130D1C">
            <w:pPr>
              <w:pStyle w:val="ARfintablebodyright"/>
            </w:pPr>
            <w:r w:rsidRPr="000D4194">
              <w:t>–</w:t>
            </w:r>
          </w:p>
        </w:tc>
        <w:tc>
          <w:tcPr>
            <w:tcW w:w="1134" w:type="dxa"/>
            <w:tcBorders>
              <w:top w:val="single" w:sz="4" w:space="0" w:color="A6A6A6"/>
              <w:bottom w:val="single" w:sz="4" w:space="0" w:color="A6A6A6"/>
            </w:tcBorders>
            <w:noWrap/>
            <w:hideMark/>
          </w:tcPr>
          <w:p w14:paraId="31289605" w14:textId="77777777" w:rsidR="005F4A7E" w:rsidRPr="002029AF" w:rsidRDefault="005F4A7E" w:rsidP="00130D1C">
            <w:pPr>
              <w:pStyle w:val="ARfintablebodyright"/>
            </w:pPr>
            <w:r w:rsidRPr="000D4194">
              <w:t>(0.5)</w:t>
            </w:r>
          </w:p>
        </w:tc>
        <w:tc>
          <w:tcPr>
            <w:tcW w:w="1134" w:type="dxa"/>
            <w:tcBorders>
              <w:top w:val="single" w:sz="4" w:space="0" w:color="A6A6A6"/>
              <w:bottom w:val="single" w:sz="4" w:space="0" w:color="A6A6A6"/>
            </w:tcBorders>
            <w:noWrap/>
            <w:hideMark/>
          </w:tcPr>
          <w:p w14:paraId="7D101807" w14:textId="77777777" w:rsidR="005F4A7E" w:rsidRPr="002029AF" w:rsidRDefault="005F4A7E" w:rsidP="00130D1C">
            <w:pPr>
              <w:pStyle w:val="ARfintablebodyright"/>
            </w:pPr>
            <w:r w:rsidRPr="000D4194">
              <w:t>–</w:t>
            </w:r>
          </w:p>
        </w:tc>
        <w:tc>
          <w:tcPr>
            <w:tcW w:w="1134" w:type="dxa"/>
            <w:tcBorders>
              <w:top w:val="single" w:sz="4" w:space="0" w:color="A6A6A6"/>
              <w:bottom w:val="single" w:sz="4" w:space="0" w:color="A6A6A6"/>
            </w:tcBorders>
            <w:noWrap/>
            <w:hideMark/>
          </w:tcPr>
          <w:p w14:paraId="6D76B90E" w14:textId="77777777" w:rsidR="005F4A7E" w:rsidRPr="002029AF" w:rsidRDefault="005F4A7E" w:rsidP="00130D1C">
            <w:pPr>
              <w:pStyle w:val="ARfintablebodyright"/>
            </w:pPr>
            <w:r w:rsidRPr="000D4194">
              <w:t>(7.3)</w:t>
            </w:r>
          </w:p>
        </w:tc>
        <w:tc>
          <w:tcPr>
            <w:tcW w:w="1134" w:type="dxa"/>
            <w:tcBorders>
              <w:top w:val="single" w:sz="4" w:space="0" w:color="A6A6A6"/>
              <w:bottom w:val="single" w:sz="4" w:space="0" w:color="A6A6A6"/>
            </w:tcBorders>
            <w:noWrap/>
            <w:hideMark/>
          </w:tcPr>
          <w:p w14:paraId="7EA6394E" w14:textId="77777777" w:rsidR="005F4A7E" w:rsidRPr="002029AF" w:rsidRDefault="005F4A7E" w:rsidP="00130D1C">
            <w:pPr>
              <w:pStyle w:val="ARfintablebodyright"/>
            </w:pPr>
            <w:r w:rsidRPr="000D4194">
              <w:t>(7.8)</w:t>
            </w:r>
          </w:p>
        </w:tc>
      </w:tr>
      <w:tr w:rsidR="005F4A7E" w:rsidRPr="002029AF" w14:paraId="34F386CD" w14:textId="77777777" w:rsidTr="00130D1C">
        <w:tc>
          <w:tcPr>
            <w:tcW w:w="3967" w:type="dxa"/>
            <w:tcBorders>
              <w:top w:val="single" w:sz="4" w:space="0" w:color="A6A6A6"/>
            </w:tcBorders>
            <w:hideMark/>
          </w:tcPr>
          <w:p w14:paraId="4C69B589" w14:textId="77777777" w:rsidR="005F4A7E" w:rsidRPr="002029AF" w:rsidRDefault="005F4A7E" w:rsidP="00130D1C">
            <w:pPr>
              <w:pStyle w:val="ARfintablebody"/>
            </w:pPr>
            <w:r w:rsidRPr="000D4194">
              <w:t>Depreciation</w:t>
            </w:r>
          </w:p>
        </w:tc>
        <w:tc>
          <w:tcPr>
            <w:tcW w:w="1134" w:type="dxa"/>
            <w:tcBorders>
              <w:top w:val="single" w:sz="4" w:space="0" w:color="A6A6A6"/>
            </w:tcBorders>
            <w:noWrap/>
            <w:hideMark/>
          </w:tcPr>
          <w:p w14:paraId="0E662409" w14:textId="77777777" w:rsidR="005F4A7E" w:rsidRPr="002029AF" w:rsidRDefault="005F4A7E" w:rsidP="00130D1C">
            <w:pPr>
              <w:pStyle w:val="ARfintablebodyright"/>
            </w:pPr>
            <w:r w:rsidRPr="000D4194">
              <w:t>(0.8)</w:t>
            </w:r>
          </w:p>
        </w:tc>
        <w:tc>
          <w:tcPr>
            <w:tcW w:w="1134" w:type="dxa"/>
            <w:tcBorders>
              <w:top w:val="single" w:sz="4" w:space="0" w:color="A6A6A6"/>
            </w:tcBorders>
            <w:noWrap/>
            <w:hideMark/>
          </w:tcPr>
          <w:p w14:paraId="7F8129E2" w14:textId="77777777" w:rsidR="005F4A7E" w:rsidRPr="002029AF" w:rsidRDefault="005F4A7E" w:rsidP="00130D1C">
            <w:pPr>
              <w:pStyle w:val="ARfintablebodyright"/>
            </w:pPr>
            <w:r w:rsidRPr="000D4194">
              <w:t>(39.6)</w:t>
            </w:r>
          </w:p>
        </w:tc>
        <w:tc>
          <w:tcPr>
            <w:tcW w:w="1134" w:type="dxa"/>
            <w:tcBorders>
              <w:top w:val="single" w:sz="4" w:space="0" w:color="A6A6A6"/>
            </w:tcBorders>
            <w:noWrap/>
            <w:hideMark/>
          </w:tcPr>
          <w:p w14:paraId="1930C149" w14:textId="77777777" w:rsidR="005F4A7E" w:rsidRPr="002029AF" w:rsidRDefault="005F4A7E" w:rsidP="00130D1C">
            <w:pPr>
              <w:pStyle w:val="ARfintablebodyright"/>
            </w:pPr>
            <w:r w:rsidRPr="000D4194">
              <w:t>(2.5)</w:t>
            </w:r>
          </w:p>
        </w:tc>
        <w:tc>
          <w:tcPr>
            <w:tcW w:w="1134" w:type="dxa"/>
            <w:tcBorders>
              <w:top w:val="single" w:sz="4" w:space="0" w:color="A6A6A6"/>
            </w:tcBorders>
            <w:noWrap/>
            <w:hideMark/>
          </w:tcPr>
          <w:p w14:paraId="7E73BC7F" w14:textId="77777777" w:rsidR="005F4A7E" w:rsidRPr="002029AF" w:rsidRDefault="005F4A7E" w:rsidP="00130D1C">
            <w:pPr>
              <w:pStyle w:val="ARfintablebodyright"/>
            </w:pPr>
            <w:r w:rsidRPr="000D4194">
              <w:t>(8.8)</w:t>
            </w:r>
          </w:p>
        </w:tc>
        <w:tc>
          <w:tcPr>
            <w:tcW w:w="1134" w:type="dxa"/>
            <w:tcBorders>
              <w:top w:val="single" w:sz="4" w:space="0" w:color="A6A6A6"/>
            </w:tcBorders>
            <w:noWrap/>
            <w:hideMark/>
          </w:tcPr>
          <w:p w14:paraId="39135012" w14:textId="77777777" w:rsidR="005F4A7E" w:rsidRPr="002029AF" w:rsidRDefault="005F4A7E" w:rsidP="00130D1C">
            <w:pPr>
              <w:pStyle w:val="ARfintablebodyright"/>
            </w:pPr>
            <w:r w:rsidRPr="000D4194">
              <w:t>(51.7)</w:t>
            </w:r>
          </w:p>
        </w:tc>
      </w:tr>
      <w:tr w:rsidR="005F4A7E" w:rsidRPr="002029AF" w14:paraId="2DAC3DE1" w14:textId="77777777" w:rsidTr="00860E95">
        <w:tc>
          <w:tcPr>
            <w:tcW w:w="3967" w:type="dxa"/>
          </w:tcPr>
          <w:p w14:paraId="7D872C27" w14:textId="77777777" w:rsidR="005F4A7E" w:rsidRPr="002029AF" w:rsidRDefault="005F4A7E" w:rsidP="00130D1C">
            <w:pPr>
              <w:pStyle w:val="ARfintablebodybold"/>
            </w:pPr>
            <w:r w:rsidRPr="00173FAD">
              <w:t>Closing balance – 30 June 2020</w:t>
            </w:r>
          </w:p>
        </w:tc>
        <w:tc>
          <w:tcPr>
            <w:tcW w:w="1134" w:type="dxa"/>
            <w:noWrap/>
          </w:tcPr>
          <w:p w14:paraId="45B5D186" w14:textId="77777777" w:rsidR="005F4A7E" w:rsidRPr="002029AF" w:rsidRDefault="005F4A7E" w:rsidP="00130D1C">
            <w:pPr>
              <w:pStyle w:val="ARfintablebodyrightbold"/>
            </w:pPr>
            <w:r w:rsidRPr="00173FAD">
              <w:t>10.8</w:t>
            </w:r>
          </w:p>
        </w:tc>
        <w:tc>
          <w:tcPr>
            <w:tcW w:w="1134" w:type="dxa"/>
            <w:noWrap/>
          </w:tcPr>
          <w:p w14:paraId="6B33D72C" w14:textId="77777777" w:rsidR="005F4A7E" w:rsidRPr="002029AF" w:rsidRDefault="005F4A7E" w:rsidP="00130D1C">
            <w:pPr>
              <w:pStyle w:val="ARfintablebodyrightbold"/>
            </w:pPr>
            <w:r w:rsidRPr="00173FAD">
              <w:t>44.6</w:t>
            </w:r>
          </w:p>
        </w:tc>
        <w:tc>
          <w:tcPr>
            <w:tcW w:w="1134" w:type="dxa"/>
            <w:noWrap/>
          </w:tcPr>
          <w:p w14:paraId="3ED2967D" w14:textId="77777777" w:rsidR="005F4A7E" w:rsidRPr="002029AF" w:rsidRDefault="005F4A7E" w:rsidP="00130D1C">
            <w:pPr>
              <w:pStyle w:val="ARfintablebodyrightbold"/>
            </w:pPr>
            <w:r w:rsidRPr="00173FAD">
              <w:t>3.5</w:t>
            </w:r>
          </w:p>
        </w:tc>
        <w:tc>
          <w:tcPr>
            <w:tcW w:w="1134" w:type="dxa"/>
            <w:noWrap/>
          </w:tcPr>
          <w:p w14:paraId="2FE41BA4" w14:textId="77777777" w:rsidR="005F4A7E" w:rsidRPr="002029AF" w:rsidRDefault="005F4A7E" w:rsidP="00130D1C">
            <w:pPr>
              <w:pStyle w:val="ARfintablebodyrightbold"/>
            </w:pPr>
            <w:r w:rsidRPr="00173FAD">
              <w:t>30.2</w:t>
            </w:r>
          </w:p>
        </w:tc>
        <w:tc>
          <w:tcPr>
            <w:tcW w:w="1134" w:type="dxa"/>
            <w:noWrap/>
          </w:tcPr>
          <w:p w14:paraId="5D054170" w14:textId="77777777" w:rsidR="005F4A7E" w:rsidRPr="002029AF" w:rsidRDefault="005F4A7E" w:rsidP="00130D1C">
            <w:pPr>
              <w:pStyle w:val="ARfintablebodyrightbold"/>
            </w:pPr>
            <w:r w:rsidRPr="00173FAD">
              <w:t>89.1</w:t>
            </w:r>
          </w:p>
        </w:tc>
      </w:tr>
    </w:tbl>
    <w:p w14:paraId="43CEB28F" w14:textId="77777777" w:rsidR="005F4A7E" w:rsidRDefault="005F4A7E" w:rsidP="00130D1C">
      <w:pPr>
        <w:pStyle w:val="ARfintablefootnote"/>
      </w:pPr>
      <w:r>
        <w:t>Notes:</w:t>
      </w:r>
    </w:p>
    <w:p w14:paraId="6BA4FF46" w14:textId="77777777" w:rsidR="005F4A7E" w:rsidRDefault="005F4A7E" w:rsidP="00130D1C">
      <w:pPr>
        <w:pStyle w:val="ARfintablefootnoteindent"/>
      </w:pPr>
      <w:r>
        <w:t>(i)</w:t>
      </w:r>
      <w:r>
        <w:tab/>
        <w:t>This balance represents the initial recognition of right-of-use assets recorded on the balance sheet on 1 July 2019 along with the transfer from finance lease assets (recognised under AASB 117 at 30 June 2019) to right-of-use assets (recognised under AASB 16 at 1 July 2019).</w:t>
      </w:r>
    </w:p>
    <w:p w14:paraId="33E20CC7" w14:textId="77777777" w:rsidR="005F4A7E" w:rsidRDefault="005F4A7E" w:rsidP="00130D1C">
      <w:pPr>
        <w:pStyle w:val="ARfintablefootnoteindent"/>
      </w:pPr>
      <w:r>
        <w:t>(ii)</w:t>
      </w:r>
      <w:r>
        <w:tab/>
        <w:t>In October 2019, the department transferred the right-of-use asset to the Department of Treasury and Finance Shared Service Provider.</w:t>
      </w:r>
    </w:p>
    <w:p w14:paraId="0210FAF3" w14:textId="77777777" w:rsidR="005F4A7E" w:rsidRPr="002029AF" w:rsidRDefault="005F4A7E" w:rsidP="00130D1C">
      <w:pPr>
        <w:pStyle w:val="Heading5"/>
        <w:spacing w:before="160"/>
      </w:pPr>
      <w:bookmarkStart w:id="886" w:name="_Toc85121428"/>
      <w:r>
        <w:rPr>
          <w:lang w:eastAsia="en-AU"/>
        </w:rPr>
        <w:t>5.1(b) Total service concession assets</w:t>
      </w:r>
      <w:bookmarkEnd w:id="886"/>
    </w:p>
    <w:tbl>
      <w:tblPr>
        <w:tblStyle w:val="TableGrid"/>
        <w:tblW w:w="9637" w:type="dxa"/>
        <w:tblLayout w:type="fixed"/>
        <w:tblLook w:val="06A0" w:firstRow="1" w:lastRow="0" w:firstColumn="1" w:lastColumn="0" w:noHBand="1" w:noVBand="1"/>
      </w:tblPr>
      <w:tblGrid>
        <w:gridCol w:w="2833"/>
        <w:gridCol w:w="1134"/>
        <w:gridCol w:w="1134"/>
        <w:gridCol w:w="1134"/>
        <w:gridCol w:w="1134"/>
        <w:gridCol w:w="1134"/>
        <w:gridCol w:w="1134"/>
      </w:tblGrid>
      <w:tr w:rsidR="005F4A7E" w:rsidRPr="002029AF" w14:paraId="6A5B5140"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2833" w:type="dxa"/>
            <w:vMerge w:val="restart"/>
            <w:noWrap/>
            <w:hideMark/>
          </w:tcPr>
          <w:p w14:paraId="6077E8C8" w14:textId="77777777" w:rsidR="005F4A7E" w:rsidRPr="002029AF" w:rsidRDefault="005F4A7E" w:rsidP="00860E95">
            <w:pPr>
              <w:pStyle w:val="ARfintablecolhead"/>
            </w:pPr>
          </w:p>
        </w:tc>
        <w:tc>
          <w:tcPr>
            <w:tcW w:w="2268" w:type="dxa"/>
            <w:gridSpan w:val="2"/>
            <w:hideMark/>
          </w:tcPr>
          <w:p w14:paraId="732A3CD0" w14:textId="77777777" w:rsidR="005F4A7E" w:rsidRPr="002029AF" w:rsidRDefault="005F4A7E" w:rsidP="00860E95">
            <w:pPr>
              <w:pStyle w:val="ARfintablecolheadright"/>
            </w:pPr>
            <w:r w:rsidRPr="002029AF">
              <w:t>Gross carrying amount</w:t>
            </w:r>
          </w:p>
        </w:tc>
        <w:tc>
          <w:tcPr>
            <w:tcW w:w="2268" w:type="dxa"/>
            <w:gridSpan w:val="2"/>
            <w:hideMark/>
          </w:tcPr>
          <w:p w14:paraId="366BE795" w14:textId="77777777" w:rsidR="005F4A7E" w:rsidRPr="002029AF" w:rsidRDefault="005F4A7E" w:rsidP="00860E95">
            <w:pPr>
              <w:pStyle w:val="ARfintablecolheadright"/>
            </w:pPr>
            <w:r w:rsidRPr="002029AF">
              <w:t>Accumulated depreciation</w:t>
            </w:r>
          </w:p>
        </w:tc>
        <w:tc>
          <w:tcPr>
            <w:tcW w:w="2268" w:type="dxa"/>
            <w:gridSpan w:val="2"/>
            <w:hideMark/>
          </w:tcPr>
          <w:p w14:paraId="64A007E2" w14:textId="77777777" w:rsidR="005F4A7E" w:rsidRPr="002029AF" w:rsidRDefault="005F4A7E" w:rsidP="00860E95">
            <w:pPr>
              <w:pStyle w:val="ARfintablecolheadright"/>
            </w:pPr>
            <w:r w:rsidRPr="002029AF">
              <w:t>Net carrying amount</w:t>
            </w:r>
          </w:p>
        </w:tc>
      </w:tr>
      <w:tr w:rsidR="005F4A7E" w:rsidRPr="002029AF" w14:paraId="752CD500"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2833" w:type="dxa"/>
            <w:vMerge/>
            <w:tcBorders>
              <w:bottom w:val="single" w:sz="4" w:space="0" w:color="auto"/>
            </w:tcBorders>
            <w:hideMark/>
          </w:tcPr>
          <w:p w14:paraId="4C48F085" w14:textId="77777777" w:rsidR="005F4A7E" w:rsidRPr="002029AF" w:rsidRDefault="005F4A7E" w:rsidP="00130D1C">
            <w:pPr>
              <w:pStyle w:val="ARfintablecolheadright"/>
            </w:pPr>
          </w:p>
        </w:tc>
        <w:tc>
          <w:tcPr>
            <w:tcW w:w="1134" w:type="dxa"/>
            <w:tcBorders>
              <w:bottom w:val="single" w:sz="4" w:space="0" w:color="auto"/>
            </w:tcBorders>
            <w:shd w:val="clear" w:color="auto" w:fill="E7E6E6"/>
            <w:hideMark/>
          </w:tcPr>
          <w:p w14:paraId="25400A37" w14:textId="77777777" w:rsidR="005F4A7E" w:rsidRPr="002029AF" w:rsidRDefault="005F4A7E" w:rsidP="00130D1C">
            <w:pPr>
              <w:pStyle w:val="ARfintablecolheadright"/>
            </w:pPr>
            <w:r>
              <w:t>2021</w:t>
            </w:r>
          </w:p>
          <w:p w14:paraId="24D4A90A" w14:textId="77777777" w:rsidR="005F4A7E" w:rsidRPr="002029AF" w:rsidRDefault="005F4A7E" w:rsidP="00130D1C">
            <w:pPr>
              <w:pStyle w:val="ARfintablecolheadright"/>
            </w:pPr>
            <w:r w:rsidRPr="002029AF">
              <w:t>$M</w:t>
            </w:r>
          </w:p>
        </w:tc>
        <w:tc>
          <w:tcPr>
            <w:tcW w:w="1134" w:type="dxa"/>
            <w:tcBorders>
              <w:bottom w:val="single" w:sz="4" w:space="0" w:color="auto"/>
            </w:tcBorders>
            <w:hideMark/>
          </w:tcPr>
          <w:p w14:paraId="0D659BEF" w14:textId="77777777" w:rsidR="005F4A7E" w:rsidRPr="002029AF" w:rsidRDefault="005F4A7E" w:rsidP="00130D1C">
            <w:pPr>
              <w:pStyle w:val="ARfintablecolheadright"/>
            </w:pPr>
            <w:r>
              <w:t>2020</w:t>
            </w:r>
          </w:p>
          <w:p w14:paraId="0E1BD540" w14:textId="77777777" w:rsidR="005F4A7E" w:rsidRPr="002029AF" w:rsidRDefault="005F4A7E" w:rsidP="00130D1C">
            <w:pPr>
              <w:pStyle w:val="ARfintablecolheadright"/>
            </w:pPr>
            <w:r w:rsidRPr="002029AF">
              <w:t>$M</w:t>
            </w:r>
          </w:p>
        </w:tc>
        <w:tc>
          <w:tcPr>
            <w:tcW w:w="1134" w:type="dxa"/>
            <w:tcBorders>
              <w:bottom w:val="single" w:sz="4" w:space="0" w:color="auto"/>
            </w:tcBorders>
            <w:shd w:val="clear" w:color="auto" w:fill="E7E6E6"/>
            <w:hideMark/>
          </w:tcPr>
          <w:p w14:paraId="5CD0BF48" w14:textId="77777777" w:rsidR="005F4A7E" w:rsidRPr="002029AF" w:rsidRDefault="005F4A7E" w:rsidP="00130D1C">
            <w:pPr>
              <w:pStyle w:val="ARfintablecolheadright"/>
            </w:pPr>
            <w:r>
              <w:t>2021</w:t>
            </w:r>
          </w:p>
          <w:p w14:paraId="4F470E7D" w14:textId="77777777" w:rsidR="005F4A7E" w:rsidRPr="002029AF" w:rsidRDefault="005F4A7E" w:rsidP="00130D1C">
            <w:pPr>
              <w:pStyle w:val="ARfintablecolheadright"/>
            </w:pPr>
            <w:r w:rsidRPr="002029AF">
              <w:t>$M</w:t>
            </w:r>
          </w:p>
        </w:tc>
        <w:tc>
          <w:tcPr>
            <w:tcW w:w="1134" w:type="dxa"/>
            <w:tcBorders>
              <w:bottom w:val="single" w:sz="4" w:space="0" w:color="auto"/>
            </w:tcBorders>
            <w:hideMark/>
          </w:tcPr>
          <w:p w14:paraId="7403A960" w14:textId="77777777" w:rsidR="005F4A7E" w:rsidRPr="002029AF" w:rsidRDefault="005F4A7E" w:rsidP="00130D1C">
            <w:pPr>
              <w:pStyle w:val="ARfintablecolheadright"/>
            </w:pPr>
            <w:r>
              <w:t>2020</w:t>
            </w:r>
          </w:p>
          <w:p w14:paraId="4B85AB28" w14:textId="77777777" w:rsidR="005F4A7E" w:rsidRPr="002029AF" w:rsidRDefault="005F4A7E" w:rsidP="00130D1C">
            <w:pPr>
              <w:pStyle w:val="ARfintablecolheadright"/>
            </w:pPr>
            <w:r w:rsidRPr="002029AF">
              <w:t>$M</w:t>
            </w:r>
          </w:p>
        </w:tc>
        <w:tc>
          <w:tcPr>
            <w:tcW w:w="1134" w:type="dxa"/>
            <w:tcBorders>
              <w:bottom w:val="single" w:sz="4" w:space="0" w:color="auto"/>
            </w:tcBorders>
            <w:shd w:val="clear" w:color="auto" w:fill="E7E6E6"/>
            <w:hideMark/>
          </w:tcPr>
          <w:p w14:paraId="6203EAEE" w14:textId="77777777" w:rsidR="005F4A7E" w:rsidRPr="002029AF" w:rsidRDefault="005F4A7E" w:rsidP="00130D1C">
            <w:pPr>
              <w:pStyle w:val="ARfintablecolheadright"/>
            </w:pPr>
            <w:r>
              <w:t>2021</w:t>
            </w:r>
          </w:p>
          <w:p w14:paraId="4B589EA7" w14:textId="77777777" w:rsidR="005F4A7E" w:rsidRPr="002029AF" w:rsidRDefault="005F4A7E" w:rsidP="00130D1C">
            <w:pPr>
              <w:pStyle w:val="ARfintablecolheadright"/>
            </w:pPr>
            <w:r w:rsidRPr="002029AF">
              <w:t>$M</w:t>
            </w:r>
          </w:p>
        </w:tc>
        <w:tc>
          <w:tcPr>
            <w:tcW w:w="1134" w:type="dxa"/>
            <w:tcBorders>
              <w:bottom w:val="single" w:sz="4" w:space="0" w:color="auto"/>
            </w:tcBorders>
            <w:hideMark/>
          </w:tcPr>
          <w:p w14:paraId="21CB3F9E" w14:textId="77777777" w:rsidR="005F4A7E" w:rsidRPr="002029AF" w:rsidRDefault="005F4A7E" w:rsidP="00130D1C">
            <w:pPr>
              <w:pStyle w:val="ARfintablecolheadright"/>
            </w:pPr>
            <w:r>
              <w:t>2020</w:t>
            </w:r>
          </w:p>
          <w:p w14:paraId="0D5446CD" w14:textId="77777777" w:rsidR="005F4A7E" w:rsidRPr="002029AF" w:rsidRDefault="005F4A7E" w:rsidP="00130D1C">
            <w:pPr>
              <w:pStyle w:val="ARfintablecolheadright"/>
            </w:pPr>
            <w:r w:rsidRPr="002029AF">
              <w:t>$M</w:t>
            </w:r>
          </w:p>
        </w:tc>
      </w:tr>
      <w:tr w:rsidR="005F4A7E" w:rsidRPr="002029AF" w14:paraId="61AF7F76" w14:textId="77777777" w:rsidTr="00130D1C">
        <w:tc>
          <w:tcPr>
            <w:tcW w:w="2833" w:type="dxa"/>
            <w:tcBorders>
              <w:top w:val="single" w:sz="4" w:space="0" w:color="auto"/>
              <w:bottom w:val="single" w:sz="4" w:space="0" w:color="A6A6A6"/>
            </w:tcBorders>
            <w:hideMark/>
          </w:tcPr>
          <w:p w14:paraId="53F4597C" w14:textId="77777777" w:rsidR="005F4A7E" w:rsidRPr="002029AF" w:rsidRDefault="005F4A7E" w:rsidP="00130D1C">
            <w:pPr>
              <w:pStyle w:val="ARfintablebody"/>
            </w:pPr>
            <w:r w:rsidRPr="00193BDB">
              <w:t>Land at fair value</w:t>
            </w:r>
          </w:p>
        </w:tc>
        <w:tc>
          <w:tcPr>
            <w:tcW w:w="1134" w:type="dxa"/>
            <w:tcBorders>
              <w:top w:val="single" w:sz="4" w:space="0" w:color="auto"/>
              <w:bottom w:val="single" w:sz="4" w:space="0" w:color="A6A6A6"/>
            </w:tcBorders>
            <w:shd w:val="clear" w:color="auto" w:fill="E7E6E6"/>
            <w:noWrap/>
            <w:hideMark/>
          </w:tcPr>
          <w:p w14:paraId="6019C6E2" w14:textId="77777777" w:rsidR="005F4A7E" w:rsidRPr="002029AF" w:rsidRDefault="005F4A7E" w:rsidP="00130D1C">
            <w:pPr>
              <w:pStyle w:val="ARfintablebodyright"/>
            </w:pPr>
            <w:r w:rsidRPr="00193BDB">
              <w:t>429.1</w:t>
            </w:r>
          </w:p>
        </w:tc>
        <w:tc>
          <w:tcPr>
            <w:tcW w:w="1134" w:type="dxa"/>
            <w:tcBorders>
              <w:top w:val="single" w:sz="4" w:space="0" w:color="auto"/>
              <w:bottom w:val="single" w:sz="4" w:space="0" w:color="A6A6A6"/>
            </w:tcBorders>
            <w:noWrap/>
            <w:hideMark/>
          </w:tcPr>
          <w:p w14:paraId="57EFA7F6" w14:textId="77777777" w:rsidR="005F4A7E" w:rsidRPr="002029AF" w:rsidRDefault="005F4A7E" w:rsidP="00130D1C">
            <w:pPr>
              <w:pStyle w:val="ARfintablebodyright"/>
            </w:pPr>
            <w:r w:rsidRPr="00193BDB">
              <w:t>430.4</w:t>
            </w:r>
          </w:p>
        </w:tc>
        <w:tc>
          <w:tcPr>
            <w:tcW w:w="1134" w:type="dxa"/>
            <w:tcBorders>
              <w:top w:val="single" w:sz="4" w:space="0" w:color="auto"/>
              <w:bottom w:val="single" w:sz="4" w:space="0" w:color="A6A6A6"/>
            </w:tcBorders>
            <w:shd w:val="clear" w:color="auto" w:fill="E7E6E6"/>
            <w:noWrap/>
            <w:hideMark/>
          </w:tcPr>
          <w:p w14:paraId="200B7CBC" w14:textId="77777777" w:rsidR="005F4A7E" w:rsidRPr="002029AF" w:rsidRDefault="005F4A7E" w:rsidP="00130D1C">
            <w:pPr>
              <w:pStyle w:val="ARfintablebodyright"/>
            </w:pPr>
            <w:r w:rsidRPr="00193BDB">
              <w:t>–</w:t>
            </w:r>
          </w:p>
        </w:tc>
        <w:tc>
          <w:tcPr>
            <w:tcW w:w="1134" w:type="dxa"/>
            <w:tcBorders>
              <w:top w:val="single" w:sz="4" w:space="0" w:color="auto"/>
              <w:bottom w:val="single" w:sz="4" w:space="0" w:color="A6A6A6"/>
            </w:tcBorders>
            <w:noWrap/>
            <w:hideMark/>
          </w:tcPr>
          <w:p w14:paraId="73BCEF24" w14:textId="77777777" w:rsidR="005F4A7E" w:rsidRPr="002029AF" w:rsidRDefault="005F4A7E" w:rsidP="00130D1C">
            <w:pPr>
              <w:pStyle w:val="ARfintablebodyright"/>
            </w:pPr>
            <w:r w:rsidRPr="00193BDB">
              <w:t>–</w:t>
            </w:r>
          </w:p>
        </w:tc>
        <w:tc>
          <w:tcPr>
            <w:tcW w:w="1134" w:type="dxa"/>
            <w:tcBorders>
              <w:top w:val="single" w:sz="4" w:space="0" w:color="auto"/>
              <w:bottom w:val="single" w:sz="4" w:space="0" w:color="A6A6A6"/>
            </w:tcBorders>
            <w:shd w:val="clear" w:color="auto" w:fill="E7E6E6"/>
            <w:noWrap/>
            <w:hideMark/>
          </w:tcPr>
          <w:p w14:paraId="322F36C8" w14:textId="77777777" w:rsidR="005F4A7E" w:rsidRPr="002029AF" w:rsidRDefault="005F4A7E" w:rsidP="00130D1C">
            <w:pPr>
              <w:pStyle w:val="ARfintablebodyright"/>
            </w:pPr>
            <w:r w:rsidRPr="00193BDB">
              <w:t>429.1</w:t>
            </w:r>
          </w:p>
        </w:tc>
        <w:tc>
          <w:tcPr>
            <w:tcW w:w="1134" w:type="dxa"/>
            <w:tcBorders>
              <w:top w:val="single" w:sz="4" w:space="0" w:color="auto"/>
              <w:bottom w:val="single" w:sz="4" w:space="0" w:color="A6A6A6"/>
            </w:tcBorders>
            <w:noWrap/>
            <w:hideMark/>
          </w:tcPr>
          <w:p w14:paraId="5855767D" w14:textId="77777777" w:rsidR="005F4A7E" w:rsidRPr="002029AF" w:rsidRDefault="005F4A7E" w:rsidP="00130D1C">
            <w:pPr>
              <w:pStyle w:val="ARfintablebodyright"/>
            </w:pPr>
            <w:r w:rsidRPr="00193BDB">
              <w:t>430.4</w:t>
            </w:r>
          </w:p>
        </w:tc>
      </w:tr>
      <w:tr w:rsidR="005F4A7E" w:rsidRPr="002029AF" w14:paraId="3B0690B9" w14:textId="77777777" w:rsidTr="00130D1C">
        <w:tc>
          <w:tcPr>
            <w:tcW w:w="2833" w:type="dxa"/>
            <w:tcBorders>
              <w:top w:val="single" w:sz="4" w:space="0" w:color="A6A6A6"/>
              <w:bottom w:val="single" w:sz="4" w:space="0" w:color="A6A6A6"/>
            </w:tcBorders>
            <w:hideMark/>
          </w:tcPr>
          <w:p w14:paraId="24B9BAD8" w14:textId="77777777" w:rsidR="005F4A7E" w:rsidRPr="002029AF" w:rsidRDefault="005F4A7E" w:rsidP="00130D1C">
            <w:pPr>
              <w:pStyle w:val="ARfintablebody"/>
            </w:pPr>
            <w:r w:rsidRPr="00193BDB">
              <w:t>Buildings at fair value</w:t>
            </w:r>
          </w:p>
        </w:tc>
        <w:tc>
          <w:tcPr>
            <w:tcW w:w="1134" w:type="dxa"/>
            <w:tcBorders>
              <w:top w:val="single" w:sz="4" w:space="0" w:color="A6A6A6"/>
              <w:bottom w:val="single" w:sz="4" w:space="0" w:color="A6A6A6"/>
            </w:tcBorders>
            <w:shd w:val="clear" w:color="auto" w:fill="E7E6E6"/>
            <w:noWrap/>
            <w:hideMark/>
          </w:tcPr>
          <w:p w14:paraId="0441B64E" w14:textId="77777777" w:rsidR="005F4A7E" w:rsidRPr="002029AF" w:rsidRDefault="005F4A7E" w:rsidP="00130D1C">
            <w:pPr>
              <w:pStyle w:val="ARfintablebodyright"/>
            </w:pPr>
            <w:r w:rsidRPr="00193BDB">
              <w:t>570.0</w:t>
            </w:r>
          </w:p>
        </w:tc>
        <w:tc>
          <w:tcPr>
            <w:tcW w:w="1134" w:type="dxa"/>
            <w:tcBorders>
              <w:top w:val="single" w:sz="4" w:space="0" w:color="A6A6A6"/>
              <w:bottom w:val="single" w:sz="4" w:space="0" w:color="A6A6A6"/>
            </w:tcBorders>
            <w:noWrap/>
            <w:hideMark/>
          </w:tcPr>
          <w:p w14:paraId="67FB8CE6" w14:textId="77777777" w:rsidR="005F4A7E" w:rsidRPr="002029AF" w:rsidRDefault="005F4A7E" w:rsidP="00130D1C">
            <w:pPr>
              <w:pStyle w:val="ARfintablebodyright"/>
            </w:pPr>
            <w:r w:rsidRPr="00193BDB">
              <w:t>594.1</w:t>
            </w:r>
          </w:p>
        </w:tc>
        <w:tc>
          <w:tcPr>
            <w:tcW w:w="1134" w:type="dxa"/>
            <w:tcBorders>
              <w:top w:val="single" w:sz="4" w:space="0" w:color="A6A6A6"/>
              <w:bottom w:val="single" w:sz="4" w:space="0" w:color="A6A6A6"/>
            </w:tcBorders>
            <w:shd w:val="clear" w:color="auto" w:fill="E7E6E6"/>
            <w:noWrap/>
            <w:hideMark/>
          </w:tcPr>
          <w:p w14:paraId="38594718" w14:textId="77777777" w:rsidR="005F4A7E" w:rsidRPr="002029AF" w:rsidRDefault="005F4A7E" w:rsidP="00130D1C">
            <w:pPr>
              <w:pStyle w:val="ARfintablebodyright"/>
            </w:pPr>
            <w:r w:rsidRPr="00193BDB">
              <w:t>(47.3)</w:t>
            </w:r>
          </w:p>
        </w:tc>
        <w:tc>
          <w:tcPr>
            <w:tcW w:w="1134" w:type="dxa"/>
            <w:tcBorders>
              <w:top w:val="single" w:sz="4" w:space="0" w:color="A6A6A6"/>
              <w:bottom w:val="single" w:sz="4" w:space="0" w:color="A6A6A6"/>
            </w:tcBorders>
            <w:noWrap/>
            <w:hideMark/>
          </w:tcPr>
          <w:p w14:paraId="54094101" w14:textId="77777777" w:rsidR="005F4A7E" w:rsidRPr="002029AF" w:rsidRDefault="005F4A7E" w:rsidP="00130D1C">
            <w:pPr>
              <w:pStyle w:val="ARfintablebodyright"/>
            </w:pPr>
            <w:r w:rsidRPr="00193BDB">
              <w:t>(26.0)</w:t>
            </w:r>
          </w:p>
        </w:tc>
        <w:tc>
          <w:tcPr>
            <w:tcW w:w="1134" w:type="dxa"/>
            <w:tcBorders>
              <w:top w:val="single" w:sz="4" w:space="0" w:color="A6A6A6"/>
              <w:bottom w:val="single" w:sz="4" w:space="0" w:color="A6A6A6"/>
            </w:tcBorders>
            <w:shd w:val="clear" w:color="auto" w:fill="E7E6E6"/>
            <w:noWrap/>
            <w:hideMark/>
          </w:tcPr>
          <w:p w14:paraId="020FA2AD" w14:textId="77777777" w:rsidR="005F4A7E" w:rsidRPr="002029AF" w:rsidRDefault="005F4A7E" w:rsidP="00130D1C">
            <w:pPr>
              <w:pStyle w:val="ARfintablebodyright"/>
            </w:pPr>
            <w:r w:rsidRPr="00193BDB">
              <w:t>522.7</w:t>
            </w:r>
          </w:p>
        </w:tc>
        <w:tc>
          <w:tcPr>
            <w:tcW w:w="1134" w:type="dxa"/>
            <w:tcBorders>
              <w:top w:val="single" w:sz="4" w:space="0" w:color="A6A6A6"/>
              <w:bottom w:val="single" w:sz="4" w:space="0" w:color="A6A6A6"/>
            </w:tcBorders>
            <w:noWrap/>
            <w:hideMark/>
          </w:tcPr>
          <w:p w14:paraId="2CE07C20" w14:textId="77777777" w:rsidR="005F4A7E" w:rsidRPr="002029AF" w:rsidRDefault="005F4A7E" w:rsidP="00130D1C">
            <w:pPr>
              <w:pStyle w:val="ARfintablebodyright"/>
            </w:pPr>
            <w:r w:rsidRPr="00193BDB">
              <w:t>568.1</w:t>
            </w:r>
          </w:p>
        </w:tc>
      </w:tr>
      <w:tr w:rsidR="005F4A7E" w:rsidRPr="002029AF" w14:paraId="3B93E202" w14:textId="77777777" w:rsidTr="00130D1C">
        <w:tc>
          <w:tcPr>
            <w:tcW w:w="2833" w:type="dxa"/>
            <w:tcBorders>
              <w:top w:val="single" w:sz="4" w:space="0" w:color="A6A6A6"/>
              <w:bottom w:val="single" w:sz="4" w:space="0" w:color="A6A6A6"/>
            </w:tcBorders>
            <w:hideMark/>
          </w:tcPr>
          <w:p w14:paraId="05EAE36D" w14:textId="77777777" w:rsidR="005F4A7E" w:rsidRPr="002029AF" w:rsidRDefault="005F4A7E" w:rsidP="00130D1C">
            <w:pPr>
              <w:pStyle w:val="ARfintablebody"/>
            </w:pPr>
            <w:r w:rsidRPr="00193BDB">
              <w:t>Plant and equipment at fair value</w:t>
            </w:r>
          </w:p>
        </w:tc>
        <w:tc>
          <w:tcPr>
            <w:tcW w:w="1134" w:type="dxa"/>
            <w:tcBorders>
              <w:top w:val="single" w:sz="4" w:space="0" w:color="A6A6A6"/>
              <w:bottom w:val="single" w:sz="4" w:space="0" w:color="A6A6A6"/>
            </w:tcBorders>
            <w:shd w:val="clear" w:color="auto" w:fill="E7E6E6"/>
            <w:noWrap/>
            <w:hideMark/>
          </w:tcPr>
          <w:p w14:paraId="1F237463" w14:textId="77777777" w:rsidR="005F4A7E" w:rsidRPr="002029AF" w:rsidRDefault="005F4A7E" w:rsidP="00130D1C">
            <w:pPr>
              <w:pStyle w:val="ARfintablebodyright"/>
            </w:pPr>
            <w:r w:rsidRPr="00193BDB">
              <w:t>–</w:t>
            </w:r>
          </w:p>
        </w:tc>
        <w:tc>
          <w:tcPr>
            <w:tcW w:w="1134" w:type="dxa"/>
            <w:tcBorders>
              <w:top w:val="single" w:sz="4" w:space="0" w:color="A6A6A6"/>
              <w:bottom w:val="single" w:sz="4" w:space="0" w:color="A6A6A6"/>
            </w:tcBorders>
            <w:noWrap/>
            <w:hideMark/>
          </w:tcPr>
          <w:p w14:paraId="2E34BEC0" w14:textId="77777777" w:rsidR="005F4A7E" w:rsidRPr="002029AF" w:rsidRDefault="005F4A7E" w:rsidP="00130D1C">
            <w:pPr>
              <w:pStyle w:val="ARfintablebodyright"/>
            </w:pPr>
            <w:r w:rsidRPr="00193BDB">
              <w:t>7.0</w:t>
            </w:r>
          </w:p>
        </w:tc>
        <w:tc>
          <w:tcPr>
            <w:tcW w:w="1134" w:type="dxa"/>
            <w:tcBorders>
              <w:top w:val="single" w:sz="4" w:space="0" w:color="A6A6A6"/>
              <w:bottom w:val="single" w:sz="4" w:space="0" w:color="A6A6A6"/>
            </w:tcBorders>
            <w:shd w:val="clear" w:color="auto" w:fill="E7E6E6"/>
            <w:noWrap/>
            <w:hideMark/>
          </w:tcPr>
          <w:p w14:paraId="38869BD9" w14:textId="77777777" w:rsidR="005F4A7E" w:rsidRPr="002029AF" w:rsidRDefault="005F4A7E" w:rsidP="00130D1C">
            <w:pPr>
              <w:pStyle w:val="ARfintablebodyright"/>
            </w:pPr>
            <w:r w:rsidRPr="00193BDB">
              <w:t>–</w:t>
            </w:r>
          </w:p>
        </w:tc>
        <w:tc>
          <w:tcPr>
            <w:tcW w:w="1134" w:type="dxa"/>
            <w:tcBorders>
              <w:top w:val="single" w:sz="4" w:space="0" w:color="A6A6A6"/>
              <w:bottom w:val="single" w:sz="4" w:space="0" w:color="A6A6A6"/>
            </w:tcBorders>
            <w:noWrap/>
            <w:hideMark/>
          </w:tcPr>
          <w:p w14:paraId="1F15B458" w14:textId="77777777" w:rsidR="005F4A7E" w:rsidRPr="002029AF" w:rsidRDefault="005F4A7E" w:rsidP="00130D1C">
            <w:pPr>
              <w:pStyle w:val="ARfintablebodyright"/>
            </w:pPr>
            <w:r w:rsidRPr="00193BDB">
              <w:t>(5.6)</w:t>
            </w:r>
          </w:p>
        </w:tc>
        <w:tc>
          <w:tcPr>
            <w:tcW w:w="1134" w:type="dxa"/>
            <w:tcBorders>
              <w:top w:val="single" w:sz="4" w:space="0" w:color="A6A6A6"/>
              <w:bottom w:val="single" w:sz="4" w:space="0" w:color="A6A6A6"/>
            </w:tcBorders>
            <w:shd w:val="clear" w:color="auto" w:fill="E7E6E6"/>
            <w:noWrap/>
            <w:hideMark/>
          </w:tcPr>
          <w:p w14:paraId="1EB445A6" w14:textId="77777777" w:rsidR="005F4A7E" w:rsidRPr="002029AF" w:rsidRDefault="005F4A7E" w:rsidP="00130D1C">
            <w:pPr>
              <w:pStyle w:val="ARfintablebodyright"/>
            </w:pPr>
            <w:r w:rsidRPr="00193BDB">
              <w:t>–</w:t>
            </w:r>
          </w:p>
        </w:tc>
        <w:tc>
          <w:tcPr>
            <w:tcW w:w="1134" w:type="dxa"/>
            <w:tcBorders>
              <w:top w:val="single" w:sz="4" w:space="0" w:color="A6A6A6"/>
              <w:bottom w:val="single" w:sz="4" w:space="0" w:color="A6A6A6"/>
            </w:tcBorders>
            <w:noWrap/>
            <w:hideMark/>
          </w:tcPr>
          <w:p w14:paraId="04E0B532" w14:textId="77777777" w:rsidR="005F4A7E" w:rsidRPr="002029AF" w:rsidRDefault="005F4A7E" w:rsidP="00130D1C">
            <w:pPr>
              <w:pStyle w:val="ARfintablebodyright"/>
            </w:pPr>
            <w:r w:rsidRPr="00193BDB">
              <w:t>1.4</w:t>
            </w:r>
          </w:p>
        </w:tc>
      </w:tr>
      <w:tr w:rsidR="005F4A7E" w:rsidRPr="002029AF" w14:paraId="5E8A050E" w14:textId="77777777" w:rsidTr="00130D1C">
        <w:tc>
          <w:tcPr>
            <w:tcW w:w="2833" w:type="dxa"/>
            <w:tcBorders>
              <w:top w:val="single" w:sz="4" w:space="0" w:color="A6A6A6"/>
              <w:bottom w:val="single" w:sz="4" w:space="0" w:color="A6A6A6"/>
            </w:tcBorders>
            <w:hideMark/>
          </w:tcPr>
          <w:p w14:paraId="33522BF6" w14:textId="77777777" w:rsidR="005F4A7E" w:rsidRPr="002029AF" w:rsidRDefault="005F4A7E" w:rsidP="00130D1C">
            <w:pPr>
              <w:pStyle w:val="ARfintablebody"/>
            </w:pPr>
            <w:r w:rsidRPr="00193BDB">
              <w:t>Intangible assets at fair value</w:t>
            </w:r>
          </w:p>
        </w:tc>
        <w:tc>
          <w:tcPr>
            <w:tcW w:w="1134" w:type="dxa"/>
            <w:tcBorders>
              <w:top w:val="single" w:sz="4" w:space="0" w:color="A6A6A6"/>
              <w:bottom w:val="single" w:sz="4" w:space="0" w:color="A6A6A6"/>
            </w:tcBorders>
            <w:shd w:val="clear" w:color="auto" w:fill="E7E6E6"/>
            <w:noWrap/>
            <w:hideMark/>
          </w:tcPr>
          <w:p w14:paraId="726D4FE9" w14:textId="77777777" w:rsidR="005F4A7E" w:rsidRPr="002029AF" w:rsidRDefault="005F4A7E" w:rsidP="00130D1C">
            <w:pPr>
              <w:pStyle w:val="ARfintablebodyright"/>
            </w:pPr>
            <w:r w:rsidRPr="00193BDB">
              <w:t>–</w:t>
            </w:r>
          </w:p>
        </w:tc>
        <w:tc>
          <w:tcPr>
            <w:tcW w:w="1134" w:type="dxa"/>
            <w:tcBorders>
              <w:top w:val="single" w:sz="4" w:space="0" w:color="A6A6A6"/>
              <w:bottom w:val="single" w:sz="4" w:space="0" w:color="A6A6A6"/>
            </w:tcBorders>
            <w:noWrap/>
            <w:hideMark/>
          </w:tcPr>
          <w:p w14:paraId="669F8BC9" w14:textId="77777777" w:rsidR="005F4A7E" w:rsidRPr="002029AF" w:rsidRDefault="005F4A7E" w:rsidP="00130D1C">
            <w:pPr>
              <w:pStyle w:val="ARfintablebodyright"/>
            </w:pPr>
            <w:r w:rsidRPr="00193BDB">
              <w:t>2.4</w:t>
            </w:r>
          </w:p>
        </w:tc>
        <w:tc>
          <w:tcPr>
            <w:tcW w:w="1134" w:type="dxa"/>
            <w:tcBorders>
              <w:top w:val="single" w:sz="4" w:space="0" w:color="A6A6A6"/>
              <w:bottom w:val="single" w:sz="4" w:space="0" w:color="A6A6A6"/>
            </w:tcBorders>
            <w:shd w:val="clear" w:color="auto" w:fill="E7E6E6"/>
            <w:noWrap/>
            <w:hideMark/>
          </w:tcPr>
          <w:p w14:paraId="11C29ED3" w14:textId="77777777" w:rsidR="005F4A7E" w:rsidRPr="002029AF" w:rsidRDefault="005F4A7E" w:rsidP="00130D1C">
            <w:pPr>
              <w:pStyle w:val="ARfintablebodyright"/>
            </w:pPr>
            <w:r w:rsidRPr="00193BDB">
              <w:t>–</w:t>
            </w:r>
          </w:p>
        </w:tc>
        <w:tc>
          <w:tcPr>
            <w:tcW w:w="1134" w:type="dxa"/>
            <w:tcBorders>
              <w:top w:val="single" w:sz="4" w:space="0" w:color="A6A6A6"/>
              <w:bottom w:val="single" w:sz="4" w:space="0" w:color="A6A6A6"/>
            </w:tcBorders>
            <w:noWrap/>
            <w:hideMark/>
          </w:tcPr>
          <w:p w14:paraId="7253C157" w14:textId="77777777" w:rsidR="005F4A7E" w:rsidRPr="002029AF" w:rsidRDefault="005F4A7E" w:rsidP="00130D1C">
            <w:pPr>
              <w:pStyle w:val="ARfintablebodyright"/>
            </w:pPr>
            <w:r w:rsidRPr="00193BDB">
              <w:t>(0.2)</w:t>
            </w:r>
          </w:p>
        </w:tc>
        <w:tc>
          <w:tcPr>
            <w:tcW w:w="1134" w:type="dxa"/>
            <w:tcBorders>
              <w:top w:val="single" w:sz="4" w:space="0" w:color="A6A6A6"/>
              <w:bottom w:val="single" w:sz="4" w:space="0" w:color="A6A6A6"/>
            </w:tcBorders>
            <w:shd w:val="clear" w:color="auto" w:fill="E7E6E6"/>
            <w:noWrap/>
            <w:hideMark/>
          </w:tcPr>
          <w:p w14:paraId="122D2BC2" w14:textId="77777777" w:rsidR="005F4A7E" w:rsidRPr="002029AF" w:rsidRDefault="005F4A7E" w:rsidP="00130D1C">
            <w:pPr>
              <w:pStyle w:val="ARfintablebodyright"/>
            </w:pPr>
            <w:r w:rsidRPr="00193BDB">
              <w:t>–</w:t>
            </w:r>
          </w:p>
        </w:tc>
        <w:tc>
          <w:tcPr>
            <w:tcW w:w="1134" w:type="dxa"/>
            <w:tcBorders>
              <w:top w:val="single" w:sz="4" w:space="0" w:color="A6A6A6"/>
              <w:bottom w:val="single" w:sz="4" w:space="0" w:color="A6A6A6"/>
            </w:tcBorders>
            <w:noWrap/>
            <w:hideMark/>
          </w:tcPr>
          <w:p w14:paraId="69F45C69" w14:textId="77777777" w:rsidR="005F4A7E" w:rsidRPr="002029AF" w:rsidRDefault="005F4A7E" w:rsidP="00130D1C">
            <w:pPr>
              <w:pStyle w:val="ARfintablebodyright"/>
            </w:pPr>
            <w:r w:rsidRPr="00193BDB">
              <w:t>2.2</w:t>
            </w:r>
          </w:p>
        </w:tc>
      </w:tr>
      <w:tr w:rsidR="005F4A7E" w:rsidRPr="002029AF" w14:paraId="076497D8" w14:textId="77777777" w:rsidTr="00130D1C">
        <w:tc>
          <w:tcPr>
            <w:tcW w:w="2833" w:type="dxa"/>
            <w:tcBorders>
              <w:top w:val="single" w:sz="4" w:space="0" w:color="A6A6A6"/>
            </w:tcBorders>
            <w:hideMark/>
          </w:tcPr>
          <w:p w14:paraId="6FF0CCEA" w14:textId="77777777" w:rsidR="005F4A7E" w:rsidRPr="002029AF" w:rsidRDefault="005F4A7E" w:rsidP="00130D1C">
            <w:pPr>
              <w:pStyle w:val="ARfintablebody"/>
            </w:pPr>
            <w:r w:rsidRPr="00193BDB">
              <w:t>Assets under construction</w:t>
            </w:r>
          </w:p>
        </w:tc>
        <w:tc>
          <w:tcPr>
            <w:tcW w:w="1134" w:type="dxa"/>
            <w:tcBorders>
              <w:top w:val="single" w:sz="4" w:space="0" w:color="A6A6A6"/>
            </w:tcBorders>
            <w:shd w:val="clear" w:color="auto" w:fill="E7E6E6"/>
            <w:noWrap/>
            <w:hideMark/>
          </w:tcPr>
          <w:p w14:paraId="03F21D41" w14:textId="77777777" w:rsidR="005F4A7E" w:rsidRPr="002029AF" w:rsidRDefault="005F4A7E" w:rsidP="00130D1C">
            <w:pPr>
              <w:pStyle w:val="ARfintablebodyright"/>
            </w:pPr>
            <w:r w:rsidRPr="00193BDB">
              <w:t>–</w:t>
            </w:r>
          </w:p>
        </w:tc>
        <w:tc>
          <w:tcPr>
            <w:tcW w:w="1134" w:type="dxa"/>
            <w:tcBorders>
              <w:top w:val="single" w:sz="4" w:space="0" w:color="A6A6A6"/>
            </w:tcBorders>
            <w:noWrap/>
            <w:hideMark/>
          </w:tcPr>
          <w:p w14:paraId="7A58FDFB" w14:textId="77777777" w:rsidR="005F4A7E" w:rsidRPr="002029AF" w:rsidRDefault="005F4A7E" w:rsidP="00130D1C">
            <w:pPr>
              <w:pStyle w:val="ARfintablebodyright"/>
            </w:pPr>
            <w:r w:rsidRPr="00193BDB">
              <w:t>56.6</w:t>
            </w:r>
          </w:p>
        </w:tc>
        <w:tc>
          <w:tcPr>
            <w:tcW w:w="1134" w:type="dxa"/>
            <w:tcBorders>
              <w:top w:val="single" w:sz="4" w:space="0" w:color="A6A6A6"/>
            </w:tcBorders>
            <w:shd w:val="clear" w:color="auto" w:fill="E7E6E6"/>
            <w:noWrap/>
            <w:hideMark/>
          </w:tcPr>
          <w:p w14:paraId="43148F4D" w14:textId="77777777" w:rsidR="005F4A7E" w:rsidRPr="002029AF" w:rsidRDefault="005F4A7E" w:rsidP="00130D1C">
            <w:pPr>
              <w:pStyle w:val="ARfintablebodyright"/>
            </w:pPr>
            <w:r w:rsidRPr="00193BDB">
              <w:t>–</w:t>
            </w:r>
          </w:p>
        </w:tc>
        <w:tc>
          <w:tcPr>
            <w:tcW w:w="1134" w:type="dxa"/>
            <w:tcBorders>
              <w:top w:val="single" w:sz="4" w:space="0" w:color="A6A6A6"/>
            </w:tcBorders>
            <w:noWrap/>
            <w:hideMark/>
          </w:tcPr>
          <w:p w14:paraId="06CA6667" w14:textId="77777777" w:rsidR="005F4A7E" w:rsidRPr="002029AF" w:rsidRDefault="005F4A7E" w:rsidP="00130D1C">
            <w:pPr>
              <w:pStyle w:val="ARfintablebodyright"/>
            </w:pPr>
            <w:r w:rsidRPr="00193BDB">
              <w:t>–</w:t>
            </w:r>
          </w:p>
        </w:tc>
        <w:tc>
          <w:tcPr>
            <w:tcW w:w="1134" w:type="dxa"/>
            <w:tcBorders>
              <w:top w:val="single" w:sz="4" w:space="0" w:color="A6A6A6"/>
            </w:tcBorders>
            <w:shd w:val="clear" w:color="auto" w:fill="E7E6E6"/>
            <w:noWrap/>
            <w:hideMark/>
          </w:tcPr>
          <w:p w14:paraId="1DC72056" w14:textId="77777777" w:rsidR="005F4A7E" w:rsidRPr="002029AF" w:rsidRDefault="005F4A7E" w:rsidP="00130D1C">
            <w:pPr>
              <w:pStyle w:val="ARfintablebodyright"/>
            </w:pPr>
            <w:r w:rsidRPr="00193BDB">
              <w:t>–</w:t>
            </w:r>
          </w:p>
        </w:tc>
        <w:tc>
          <w:tcPr>
            <w:tcW w:w="1134" w:type="dxa"/>
            <w:tcBorders>
              <w:top w:val="single" w:sz="4" w:space="0" w:color="A6A6A6"/>
            </w:tcBorders>
            <w:noWrap/>
            <w:hideMark/>
          </w:tcPr>
          <w:p w14:paraId="7B304F71" w14:textId="77777777" w:rsidR="005F4A7E" w:rsidRPr="002029AF" w:rsidRDefault="005F4A7E" w:rsidP="00130D1C">
            <w:pPr>
              <w:pStyle w:val="ARfintablebodyright"/>
            </w:pPr>
            <w:r w:rsidRPr="00193BDB">
              <w:t>56.6</w:t>
            </w:r>
          </w:p>
        </w:tc>
      </w:tr>
      <w:tr w:rsidR="005F4A7E" w:rsidRPr="002029AF" w14:paraId="0A63E17C" w14:textId="77777777" w:rsidTr="00130D1C">
        <w:tc>
          <w:tcPr>
            <w:tcW w:w="2833" w:type="dxa"/>
            <w:hideMark/>
          </w:tcPr>
          <w:p w14:paraId="3921DB43" w14:textId="77777777" w:rsidR="005F4A7E" w:rsidRPr="002029AF" w:rsidRDefault="005F4A7E" w:rsidP="00130D1C">
            <w:pPr>
              <w:pStyle w:val="ARfintablebodybold"/>
            </w:pPr>
            <w:r w:rsidRPr="00193BDB">
              <w:t>Net carrying amount</w:t>
            </w:r>
          </w:p>
        </w:tc>
        <w:tc>
          <w:tcPr>
            <w:tcW w:w="1134" w:type="dxa"/>
            <w:shd w:val="clear" w:color="auto" w:fill="E7E6E6"/>
            <w:noWrap/>
            <w:hideMark/>
          </w:tcPr>
          <w:p w14:paraId="62E5701B" w14:textId="77777777" w:rsidR="005F4A7E" w:rsidRPr="002029AF" w:rsidRDefault="005F4A7E" w:rsidP="00130D1C">
            <w:pPr>
              <w:pStyle w:val="ARfintablebodyrightbold"/>
            </w:pPr>
            <w:r w:rsidRPr="00193BDB">
              <w:t>999.1</w:t>
            </w:r>
          </w:p>
        </w:tc>
        <w:tc>
          <w:tcPr>
            <w:tcW w:w="1134" w:type="dxa"/>
            <w:noWrap/>
            <w:hideMark/>
          </w:tcPr>
          <w:p w14:paraId="170AA2B0" w14:textId="77777777" w:rsidR="005F4A7E" w:rsidRPr="002029AF" w:rsidRDefault="005F4A7E" w:rsidP="00130D1C">
            <w:pPr>
              <w:pStyle w:val="ARfintablebodyrightbold"/>
            </w:pPr>
            <w:r w:rsidRPr="00193BDB">
              <w:t>1,090.5</w:t>
            </w:r>
          </w:p>
        </w:tc>
        <w:tc>
          <w:tcPr>
            <w:tcW w:w="1134" w:type="dxa"/>
            <w:shd w:val="clear" w:color="auto" w:fill="E7E6E6"/>
            <w:noWrap/>
            <w:hideMark/>
          </w:tcPr>
          <w:p w14:paraId="0E0FFC7A" w14:textId="77777777" w:rsidR="005F4A7E" w:rsidRPr="002029AF" w:rsidRDefault="005F4A7E" w:rsidP="00130D1C">
            <w:pPr>
              <w:pStyle w:val="ARfintablebodyrightbold"/>
            </w:pPr>
            <w:r w:rsidRPr="00193BDB">
              <w:t>(47.3)</w:t>
            </w:r>
          </w:p>
        </w:tc>
        <w:tc>
          <w:tcPr>
            <w:tcW w:w="1134" w:type="dxa"/>
            <w:noWrap/>
            <w:hideMark/>
          </w:tcPr>
          <w:p w14:paraId="16559330" w14:textId="77777777" w:rsidR="005F4A7E" w:rsidRPr="002029AF" w:rsidRDefault="005F4A7E" w:rsidP="00130D1C">
            <w:pPr>
              <w:pStyle w:val="ARfintablebodyrightbold"/>
            </w:pPr>
            <w:r w:rsidRPr="00193BDB">
              <w:t>(31.8)</w:t>
            </w:r>
          </w:p>
        </w:tc>
        <w:tc>
          <w:tcPr>
            <w:tcW w:w="1134" w:type="dxa"/>
            <w:shd w:val="clear" w:color="auto" w:fill="E7E6E6"/>
            <w:noWrap/>
            <w:hideMark/>
          </w:tcPr>
          <w:p w14:paraId="6BFC5B1F" w14:textId="77777777" w:rsidR="005F4A7E" w:rsidRPr="002029AF" w:rsidRDefault="005F4A7E" w:rsidP="00130D1C">
            <w:pPr>
              <w:pStyle w:val="ARfintablebodyrightbold"/>
            </w:pPr>
            <w:r w:rsidRPr="00193BDB">
              <w:t>951.8</w:t>
            </w:r>
          </w:p>
        </w:tc>
        <w:tc>
          <w:tcPr>
            <w:tcW w:w="1134" w:type="dxa"/>
            <w:noWrap/>
            <w:hideMark/>
          </w:tcPr>
          <w:p w14:paraId="4B40A76D" w14:textId="77777777" w:rsidR="005F4A7E" w:rsidRPr="002029AF" w:rsidRDefault="005F4A7E" w:rsidP="00130D1C">
            <w:pPr>
              <w:pStyle w:val="ARfintablebodyrightbold"/>
            </w:pPr>
            <w:r w:rsidRPr="00193BDB">
              <w:t>1,058.7</w:t>
            </w:r>
          </w:p>
        </w:tc>
      </w:tr>
    </w:tbl>
    <w:p w14:paraId="34CE0034" w14:textId="77777777" w:rsidR="005F4A7E" w:rsidRDefault="005F4A7E" w:rsidP="00130D1C">
      <w:pPr>
        <w:pStyle w:val="Heading6"/>
      </w:pPr>
      <w:bookmarkStart w:id="887" w:name="_Toc85121429"/>
      <w:r>
        <w:t>Initial recognition</w:t>
      </w:r>
      <w:bookmarkEnd w:id="887"/>
    </w:p>
    <w:p w14:paraId="5DEAA088" w14:textId="25043F8B" w:rsidR="005F4A7E" w:rsidRDefault="005F4A7E" w:rsidP="00130D1C">
      <w:pPr>
        <w:pStyle w:val="ARfinbody"/>
      </w:pPr>
      <w:r>
        <w:t>Items of property, plant and equipment, are measured initially at cost and subsequently revalued at fair value less accumulated depreciation and impairment. Where an asset is acquired for no or nominal consideration, the cost is the asset</w:t>
      </w:r>
      <w:r w:rsidR="007D145B">
        <w:t>’</w:t>
      </w:r>
      <w:r>
        <w:t>s fair value at the date of acquisition. Assets transferred as part of a machinery of government change are transferred at their carrying amount.</w:t>
      </w:r>
    </w:p>
    <w:p w14:paraId="0D1D72DA" w14:textId="77777777" w:rsidR="005F4A7E" w:rsidRDefault="005F4A7E" w:rsidP="00130D1C">
      <w:pPr>
        <w:pStyle w:val="ARfinbody"/>
      </w:pPr>
      <w:r>
        <w:t>The cost of constructed non-financial physical assets includes the cost of all materials used in construction, direct labour on the project and an appropriate proportion of variable and fixed overheads.</w:t>
      </w:r>
    </w:p>
    <w:p w14:paraId="3DCBC8D2" w14:textId="33D8E858" w:rsidR="005F4A7E" w:rsidRDefault="005F4A7E" w:rsidP="00130D1C">
      <w:pPr>
        <w:pStyle w:val="ARfinbody"/>
        <w:rPr>
          <w:strike/>
        </w:rPr>
      </w:pPr>
      <w:r>
        <w:t xml:space="preserve">The cost of leasehold improvements is capitalised and depreciated over the shorter of the remaining term of the leases </w:t>
      </w:r>
      <w:r w:rsidRPr="00CA39EB">
        <w:t>or their estimated useful lives.</w:t>
      </w:r>
    </w:p>
    <w:p w14:paraId="4DE3FFE6" w14:textId="77777777" w:rsidR="005F4A7E" w:rsidRDefault="005F4A7E" w:rsidP="00130D1C">
      <w:pPr>
        <w:pStyle w:val="Heading7"/>
        <w:rPr>
          <w:highlight w:val="yellow"/>
        </w:rPr>
      </w:pPr>
      <w:bookmarkStart w:id="888" w:name="_Toc85121430"/>
      <w:r>
        <w:t>Right-of-use asset acquired by lessees – Initial measurement</w:t>
      </w:r>
      <w:bookmarkEnd w:id="888"/>
    </w:p>
    <w:p w14:paraId="3EDCEBB4" w14:textId="23564BBE" w:rsidR="005F4A7E" w:rsidRDefault="005F4A7E" w:rsidP="00130D1C">
      <w:pPr>
        <w:pStyle w:val="ARfinbody"/>
      </w:pPr>
      <w:r>
        <w:t>The department recognises a right-of-use asset and a lease liability at the lease commencement date. The right-of-use asset is initially measured at cost which comprises the initial amount of the lease liability adjusted for:</w:t>
      </w:r>
    </w:p>
    <w:p w14:paraId="3C4B275E" w14:textId="77777777" w:rsidR="005F4A7E" w:rsidRDefault="005F4A7E" w:rsidP="005F4A7E">
      <w:pPr>
        <w:pStyle w:val="ARfinbullet1"/>
        <w:numPr>
          <w:ilvl w:val="0"/>
          <w:numId w:val="2"/>
        </w:numPr>
      </w:pPr>
      <w:r>
        <w:t>any lease payments made at or before the commencement date, plus</w:t>
      </w:r>
    </w:p>
    <w:p w14:paraId="2A3205DC" w14:textId="77777777" w:rsidR="005F4A7E" w:rsidRDefault="005F4A7E" w:rsidP="005F4A7E">
      <w:pPr>
        <w:pStyle w:val="ARfinbullet1"/>
        <w:numPr>
          <w:ilvl w:val="0"/>
          <w:numId w:val="2"/>
        </w:numPr>
      </w:pPr>
      <w:r>
        <w:t>any initial direct costs incurred, and</w:t>
      </w:r>
    </w:p>
    <w:p w14:paraId="5C17920D" w14:textId="77777777" w:rsidR="005F4A7E" w:rsidRDefault="005F4A7E" w:rsidP="005F4A7E">
      <w:pPr>
        <w:pStyle w:val="ARfinbullet1"/>
        <w:numPr>
          <w:ilvl w:val="0"/>
          <w:numId w:val="2"/>
        </w:numPr>
      </w:pPr>
      <w:r>
        <w:t>an estimate of costs to dismantle and remove the underlying asset or to restore the underlying asset or the site on which it is located.</w:t>
      </w:r>
    </w:p>
    <w:p w14:paraId="0F4AE15B" w14:textId="77777777" w:rsidR="005F4A7E" w:rsidRDefault="005F4A7E" w:rsidP="00130D1C">
      <w:pPr>
        <w:pStyle w:val="Heading7"/>
      </w:pPr>
      <w:bookmarkStart w:id="889" w:name="_Toc85121431"/>
      <w:r>
        <w:lastRenderedPageBreak/>
        <w:t>Service concession assets (under AASB 1059 – Service Concession Arrangements: Grantors) – Initial measurement</w:t>
      </w:r>
      <w:bookmarkEnd w:id="889"/>
    </w:p>
    <w:p w14:paraId="46B4115D" w14:textId="77777777" w:rsidR="005F4A7E" w:rsidRDefault="005F4A7E" w:rsidP="00130D1C">
      <w:pPr>
        <w:pStyle w:val="ARfinbody"/>
      </w:pPr>
      <w:r>
        <w:t xml:space="preserve">The department initially recognises service concession assets and service concession assets under construction, including land, buildings, equipment and intangible assets, at current replacement cost in accordance with the cost approach to fair value in AASB 13 </w:t>
      </w:r>
      <w:r>
        <w:rPr>
          <w:rStyle w:val="Emphasis"/>
        </w:rPr>
        <w:t>Fair Value Measurement.</w:t>
      </w:r>
      <w:r>
        <w:t xml:space="preserve"> Where existing assets and assets under construction, including land, buildings, equipment and intangible assets, meet the definition of service concession assets under AASB 1059, the department reclassifies the existing assets as service concession assets and measures the assets at current replacement cost in accordance with the cost approach to fair value in AASB 13 as at the date of reclassification.</w:t>
      </w:r>
    </w:p>
    <w:p w14:paraId="050AE432" w14:textId="77777777" w:rsidR="005F4A7E" w:rsidRDefault="005F4A7E" w:rsidP="00130D1C">
      <w:pPr>
        <w:pStyle w:val="Heading7"/>
      </w:pPr>
      <w:bookmarkStart w:id="890" w:name="_Toc85121432"/>
      <w:r>
        <w:t>Subsequent measurement</w:t>
      </w:r>
      <w:bookmarkEnd w:id="890"/>
    </w:p>
    <w:p w14:paraId="0DE1099D" w14:textId="268D09C0" w:rsidR="005F4A7E" w:rsidRDefault="005F4A7E" w:rsidP="00130D1C">
      <w:pPr>
        <w:pStyle w:val="ARfinbody"/>
        <w:rPr>
          <w:b/>
        </w:rPr>
      </w:pPr>
      <w:r>
        <w:t>Property, plant and equipment as well as right-of-use assets under leases and service concession assets are subsequently measured at fair value less accumulated depreciation and impairment. Fair value is determined with regard to the asset</w:t>
      </w:r>
      <w:r w:rsidR="007D145B">
        <w:t>’</w:t>
      </w:r>
      <w:r>
        <w:t>s highest and best use (considering legal or physical restrictions imposed on the asset, public announcements or commitments made in relation to the intended use of the asset) and is summarised on the following page by asset category.</w:t>
      </w:r>
    </w:p>
    <w:p w14:paraId="0D3A8F66" w14:textId="77777777" w:rsidR="005F4A7E" w:rsidRDefault="005F4A7E" w:rsidP="00130D1C">
      <w:pPr>
        <w:pStyle w:val="Heading7"/>
      </w:pPr>
      <w:bookmarkStart w:id="891" w:name="_Toc85121433"/>
      <w:r>
        <w:t>Right-of-use asset – Subsequent measurement</w:t>
      </w:r>
      <w:bookmarkEnd w:id="891"/>
    </w:p>
    <w:p w14:paraId="1A9BFAD9" w14:textId="77777777" w:rsidR="005F4A7E" w:rsidRDefault="005F4A7E" w:rsidP="00130D1C">
      <w:pPr>
        <w:pStyle w:val="ARfinbody"/>
      </w:pPr>
      <w:r>
        <w:t>The department depreciates the right-of-use assets on a straight-line basis from the lease commencement date to the earlier of the end of the useful life of the right-of-use asset or the end of the lease term. The right-of-use assets are also subject to revaluation.</w:t>
      </w:r>
    </w:p>
    <w:p w14:paraId="6CF3128C" w14:textId="77777777" w:rsidR="005F4A7E" w:rsidRDefault="005F4A7E" w:rsidP="00130D1C">
      <w:pPr>
        <w:pStyle w:val="ARfinbody"/>
      </w:pPr>
      <w:r>
        <w:t>In addition, the right-of-use asset is periodically reduced by impairment losses, if any, and adjusted for certain remeasurements of the lease liability.</w:t>
      </w:r>
    </w:p>
    <w:p w14:paraId="441B7C25" w14:textId="77777777" w:rsidR="005F4A7E" w:rsidRDefault="005F4A7E" w:rsidP="00130D1C">
      <w:pPr>
        <w:pStyle w:val="Heading7"/>
      </w:pPr>
      <w:bookmarkStart w:id="892" w:name="_Toc85121434"/>
      <w:r>
        <w:t>Service concession assets – Subsequent measurement</w:t>
      </w:r>
      <w:bookmarkEnd w:id="892"/>
    </w:p>
    <w:p w14:paraId="6D7677DF" w14:textId="77777777" w:rsidR="005F4A7E" w:rsidRDefault="005F4A7E" w:rsidP="00130D1C">
      <w:pPr>
        <w:pStyle w:val="ARfinbody"/>
      </w:pPr>
      <w:r>
        <w:t xml:space="preserve">Service concession assets are subject to revaluation as required by FRD 103I. As at 30 June 2021, no revaluation is required. When revalued, the fair value of service concession assets will be </w:t>
      </w:r>
      <w:r w:rsidRPr="00CA39EB">
        <w:t>determined as follows</w:t>
      </w:r>
      <w:r>
        <w:t>.</w:t>
      </w:r>
    </w:p>
    <w:p w14:paraId="74E19D72" w14:textId="77777777" w:rsidR="005F4A7E" w:rsidRDefault="005F4A7E" w:rsidP="00130D1C">
      <w:pPr>
        <w:pStyle w:val="ARfinbody"/>
      </w:pPr>
      <w:r>
        <w:rPr>
          <w:rStyle w:val="Strong"/>
        </w:rPr>
        <w:t>Non-specialised land and non-specialised buildings</w:t>
      </w:r>
      <w:r>
        <w:t xml:space="preserve"> are valued using the market approach, whereby assets are compared to recent comparable sales or sales of comparable assets that are considered to have nominal value.</w:t>
      </w:r>
    </w:p>
    <w:p w14:paraId="0E620CF0" w14:textId="77777777" w:rsidR="005F4A7E" w:rsidRDefault="005F4A7E" w:rsidP="00130D1C">
      <w:pPr>
        <w:pStyle w:val="ARfinbody"/>
      </w:pPr>
      <w:r>
        <w:rPr>
          <w:rStyle w:val="Strong"/>
        </w:rPr>
        <w:t>Specialised land and specialised buildings:</w:t>
      </w:r>
      <w:r>
        <w:t xml:space="preserve"> The market approach is used for specialised land, although it may be adjusted for a community service obligation </w:t>
      </w:r>
      <w:r w:rsidRPr="006942D8">
        <w:t>(CSO)</w:t>
      </w:r>
      <w:r>
        <w:t xml:space="preserve"> to reflect the specialised nature of the land being valued.</w:t>
      </w:r>
    </w:p>
    <w:p w14:paraId="629703AA" w14:textId="3CEAC3D4" w:rsidR="005F4A7E" w:rsidRDefault="005F4A7E" w:rsidP="00130D1C">
      <w:pPr>
        <w:pStyle w:val="ARfinbody"/>
      </w:pPr>
      <w:r>
        <w:t>The CSO adjustment is a reflection of the valuer</w:t>
      </w:r>
      <w:r w:rsidR="007D145B">
        <w:t>’</w:t>
      </w:r>
      <w:r>
        <w:t>s assessment of the impact of restrictions associated with an asset to the extent that is also equally applicable to market participants.</w:t>
      </w:r>
    </w:p>
    <w:p w14:paraId="56747E9A" w14:textId="3C972A70" w:rsidR="005F4A7E" w:rsidRDefault="005F4A7E" w:rsidP="00130D1C">
      <w:pPr>
        <w:pStyle w:val="ARfinbody"/>
      </w:pPr>
      <w:r>
        <w:t>For the majority of the department</w:t>
      </w:r>
      <w:r w:rsidR="007D145B">
        <w:t>’</w:t>
      </w:r>
      <w:r>
        <w:t>s specialised buildings, the current replacement cost method is used, adjusting for the associated depreciation.</w:t>
      </w:r>
    </w:p>
    <w:p w14:paraId="4E29BEB9" w14:textId="77777777" w:rsidR="005F4A7E" w:rsidRDefault="005F4A7E" w:rsidP="00130D1C">
      <w:pPr>
        <w:pStyle w:val="ARfinbody"/>
      </w:pPr>
      <w:r>
        <w:rPr>
          <w:rStyle w:val="Strong"/>
        </w:rPr>
        <w:t>Vehicles</w:t>
      </w:r>
      <w:r>
        <w:t xml:space="preserve"> are valued using the current replacement cost method. The department acquires new vehicles and at times disposes of them before the end of their economic life. The process of acquisition, use and disposal in the market is managed by experienced fleet managers in the department who set the relevant depreciation rates during use to reflect the utilisation of the vehicles.</w:t>
      </w:r>
    </w:p>
    <w:p w14:paraId="3286A4D0" w14:textId="77777777" w:rsidR="005F4A7E" w:rsidRDefault="005F4A7E" w:rsidP="00130D1C">
      <w:pPr>
        <w:pStyle w:val="ARfinbody"/>
      </w:pPr>
      <w:r>
        <w:t xml:space="preserve">Fair value for </w:t>
      </w:r>
      <w:r>
        <w:rPr>
          <w:rStyle w:val="Strong"/>
        </w:rPr>
        <w:t>plant and equipment</w:t>
      </w:r>
      <w:r>
        <w:t xml:space="preserve"> is determined using the current replacement cost method.</w:t>
      </w:r>
    </w:p>
    <w:p w14:paraId="726D7EB9" w14:textId="77777777" w:rsidR="005F4A7E" w:rsidRDefault="005F4A7E" w:rsidP="00130D1C">
      <w:pPr>
        <w:pStyle w:val="ARfinbody"/>
      </w:pPr>
      <w:r>
        <w:t>Refer to Note 8.3.2 for additional information on fair value determination of property, plant and equipment.</w:t>
      </w:r>
    </w:p>
    <w:p w14:paraId="6DA38421" w14:textId="77777777" w:rsidR="005F4A7E" w:rsidRDefault="005F4A7E" w:rsidP="00130D1C">
      <w:pPr>
        <w:pStyle w:val="Heading6"/>
      </w:pPr>
      <w:bookmarkStart w:id="893" w:name="_Toc85121435"/>
      <w:r>
        <w:t>Impairment of property, plant and equipment</w:t>
      </w:r>
      <w:bookmarkEnd w:id="893"/>
    </w:p>
    <w:p w14:paraId="3510C8D2" w14:textId="77777777" w:rsidR="005F4A7E" w:rsidRDefault="005F4A7E" w:rsidP="00130D1C">
      <w:pPr>
        <w:pStyle w:val="ARfinbody"/>
      </w:pPr>
      <w:r>
        <w:t xml:space="preserve">The recoverable amount of primarily non-cash generating assets of not-for-profit entities, which are typically specialised in nature and held for continuing use of their service capacity, is expected to be materially the same as fair value determined under AASB 13 </w:t>
      </w:r>
      <w:r>
        <w:rPr>
          <w:rStyle w:val="Emphasis"/>
        </w:rPr>
        <w:t>Fair Value Measurement</w:t>
      </w:r>
      <w:r>
        <w:t>, with the consequence that AASB 136 does not apply to such assets that are regularly revalued.</w:t>
      </w:r>
    </w:p>
    <w:p w14:paraId="5FF4EA3E" w14:textId="77777777" w:rsidR="005F4A7E" w:rsidRPr="00AF7416" w:rsidRDefault="005F4A7E" w:rsidP="00130D1C">
      <w:pPr>
        <w:pStyle w:val="ARfinbody"/>
      </w:pPr>
      <w:r w:rsidRPr="00AF7416">
        <w:br w:type="page"/>
      </w:r>
    </w:p>
    <w:p w14:paraId="51CB3114" w14:textId="77777777" w:rsidR="005F4A7E" w:rsidRPr="002029AF" w:rsidRDefault="005F4A7E" w:rsidP="00087B91">
      <w:pPr>
        <w:pStyle w:val="Heading5"/>
      </w:pPr>
      <w:bookmarkStart w:id="894" w:name="_Toc85121436"/>
      <w:r w:rsidRPr="002029AF">
        <w:lastRenderedPageBreak/>
        <w:t>5.1.1 Depreciation and amortisation</w:t>
      </w:r>
      <w:bookmarkEnd w:id="894"/>
    </w:p>
    <w:p w14:paraId="7B269CF6" w14:textId="77777777" w:rsidR="005F4A7E" w:rsidRPr="002029AF" w:rsidRDefault="005F4A7E" w:rsidP="00087B91">
      <w:pPr>
        <w:pStyle w:val="Heading6"/>
      </w:pPr>
      <w:bookmarkStart w:id="895" w:name="_Toc85121437"/>
      <w:r w:rsidRPr="002029AF">
        <w:t>Charge for the period</w:t>
      </w:r>
      <w:bookmarkEnd w:id="895"/>
    </w:p>
    <w:tbl>
      <w:tblPr>
        <w:tblStyle w:val="TableGrid"/>
        <w:tblW w:w="9637" w:type="dxa"/>
        <w:tblLayout w:type="fixed"/>
        <w:tblLook w:val="06A0" w:firstRow="1" w:lastRow="0" w:firstColumn="1" w:lastColumn="0" w:noHBand="1" w:noVBand="1"/>
      </w:tblPr>
      <w:tblGrid>
        <w:gridCol w:w="7371"/>
        <w:gridCol w:w="1133"/>
        <w:gridCol w:w="1133"/>
      </w:tblGrid>
      <w:tr w:rsidR="005F4A7E" w:rsidRPr="002029AF" w14:paraId="1E3F71D2"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13607B43" w14:textId="77777777" w:rsidR="005F4A7E" w:rsidRPr="002029AF" w:rsidRDefault="005F4A7E" w:rsidP="00860E95">
            <w:pPr>
              <w:pStyle w:val="ARfintablecolhead"/>
            </w:pPr>
          </w:p>
        </w:tc>
        <w:tc>
          <w:tcPr>
            <w:tcW w:w="1133" w:type="dxa"/>
            <w:tcBorders>
              <w:bottom w:val="single" w:sz="4" w:space="0" w:color="auto"/>
            </w:tcBorders>
            <w:shd w:val="clear" w:color="auto" w:fill="E7E6E6"/>
            <w:hideMark/>
          </w:tcPr>
          <w:p w14:paraId="77657069" w14:textId="77777777" w:rsidR="005F4A7E" w:rsidRPr="002029AF" w:rsidRDefault="005F4A7E" w:rsidP="00860E95">
            <w:pPr>
              <w:pStyle w:val="ARfintablecolheadright"/>
            </w:pPr>
            <w:r>
              <w:t>2021</w:t>
            </w:r>
          </w:p>
          <w:p w14:paraId="09965965" w14:textId="77777777" w:rsidR="005F4A7E" w:rsidRPr="002029AF" w:rsidRDefault="005F4A7E" w:rsidP="00860E95">
            <w:pPr>
              <w:pStyle w:val="ARfintablecolheadright"/>
            </w:pPr>
            <w:r w:rsidRPr="002029AF">
              <w:t>$M</w:t>
            </w:r>
          </w:p>
        </w:tc>
        <w:tc>
          <w:tcPr>
            <w:tcW w:w="1133" w:type="dxa"/>
            <w:tcBorders>
              <w:bottom w:val="single" w:sz="4" w:space="0" w:color="auto"/>
            </w:tcBorders>
            <w:hideMark/>
          </w:tcPr>
          <w:p w14:paraId="67F024DF" w14:textId="77777777" w:rsidR="005F4A7E" w:rsidRPr="002029AF" w:rsidRDefault="005F4A7E" w:rsidP="00860E95">
            <w:pPr>
              <w:pStyle w:val="ARfintablecolheadright"/>
            </w:pPr>
            <w:r>
              <w:t>2020</w:t>
            </w:r>
          </w:p>
          <w:p w14:paraId="02C36D29" w14:textId="77777777" w:rsidR="005F4A7E" w:rsidRPr="002029AF" w:rsidRDefault="005F4A7E" w:rsidP="00860E95">
            <w:pPr>
              <w:pStyle w:val="ARfintablecolheadright"/>
            </w:pPr>
            <w:r w:rsidRPr="002029AF">
              <w:t>$M</w:t>
            </w:r>
          </w:p>
        </w:tc>
      </w:tr>
      <w:tr w:rsidR="005F4A7E" w:rsidRPr="002029AF" w14:paraId="025335E9" w14:textId="77777777" w:rsidTr="00860E95">
        <w:trPr>
          <w:trHeight w:val="255"/>
        </w:trPr>
        <w:tc>
          <w:tcPr>
            <w:tcW w:w="7371" w:type="dxa"/>
            <w:tcBorders>
              <w:top w:val="single" w:sz="4" w:space="0" w:color="auto"/>
              <w:bottom w:val="single" w:sz="4" w:space="0" w:color="A6A6A6"/>
            </w:tcBorders>
            <w:hideMark/>
          </w:tcPr>
          <w:p w14:paraId="02FE5A6A" w14:textId="77777777" w:rsidR="005F4A7E" w:rsidRPr="002029AF" w:rsidRDefault="005F4A7E" w:rsidP="00130D1C">
            <w:pPr>
              <w:pStyle w:val="ARfintablebodybold"/>
            </w:pPr>
            <w:r w:rsidRPr="00562688">
              <w:t>Buildings</w:t>
            </w:r>
          </w:p>
        </w:tc>
        <w:tc>
          <w:tcPr>
            <w:tcW w:w="1133" w:type="dxa"/>
            <w:tcBorders>
              <w:top w:val="single" w:sz="4" w:space="0" w:color="auto"/>
              <w:bottom w:val="single" w:sz="4" w:space="0" w:color="A6A6A6"/>
            </w:tcBorders>
            <w:shd w:val="clear" w:color="auto" w:fill="E7E6E6"/>
            <w:noWrap/>
            <w:hideMark/>
          </w:tcPr>
          <w:p w14:paraId="72DF45CF" w14:textId="77777777" w:rsidR="005F4A7E" w:rsidRPr="002029AF" w:rsidRDefault="005F4A7E" w:rsidP="00130D1C">
            <w:pPr>
              <w:pStyle w:val="ARfintablebodyrightbold"/>
            </w:pPr>
            <w:r w:rsidRPr="00562688">
              <w:t>243.6</w:t>
            </w:r>
          </w:p>
        </w:tc>
        <w:tc>
          <w:tcPr>
            <w:tcW w:w="1133" w:type="dxa"/>
            <w:tcBorders>
              <w:top w:val="single" w:sz="4" w:space="0" w:color="auto"/>
              <w:bottom w:val="single" w:sz="4" w:space="0" w:color="A6A6A6"/>
            </w:tcBorders>
            <w:noWrap/>
            <w:hideMark/>
          </w:tcPr>
          <w:p w14:paraId="7A8603F8" w14:textId="77777777" w:rsidR="005F4A7E" w:rsidRPr="002029AF" w:rsidRDefault="005F4A7E" w:rsidP="00130D1C">
            <w:pPr>
              <w:pStyle w:val="ARfintablebodyrightbold"/>
            </w:pPr>
            <w:r w:rsidRPr="00562688">
              <w:t>321.3</w:t>
            </w:r>
          </w:p>
        </w:tc>
      </w:tr>
      <w:tr w:rsidR="005F4A7E" w:rsidRPr="002029AF" w14:paraId="0C511A29" w14:textId="77777777" w:rsidTr="00860E95">
        <w:trPr>
          <w:trHeight w:val="255"/>
        </w:trPr>
        <w:tc>
          <w:tcPr>
            <w:tcW w:w="7371" w:type="dxa"/>
            <w:tcBorders>
              <w:top w:val="single" w:sz="4" w:space="0" w:color="A6A6A6"/>
              <w:bottom w:val="single" w:sz="4" w:space="0" w:color="A6A6A6"/>
            </w:tcBorders>
            <w:hideMark/>
          </w:tcPr>
          <w:p w14:paraId="4D47E603" w14:textId="77777777" w:rsidR="005F4A7E" w:rsidRPr="002029AF" w:rsidRDefault="005F4A7E" w:rsidP="00130D1C">
            <w:pPr>
              <w:pStyle w:val="ARfintablebodyindent"/>
            </w:pPr>
            <w:r w:rsidRPr="00562688">
              <w:t>Health and Welfare</w:t>
            </w:r>
          </w:p>
        </w:tc>
        <w:tc>
          <w:tcPr>
            <w:tcW w:w="1133" w:type="dxa"/>
            <w:tcBorders>
              <w:top w:val="single" w:sz="4" w:space="0" w:color="A6A6A6"/>
              <w:bottom w:val="single" w:sz="4" w:space="0" w:color="A6A6A6"/>
            </w:tcBorders>
            <w:shd w:val="clear" w:color="auto" w:fill="E7E6E6"/>
            <w:noWrap/>
            <w:hideMark/>
          </w:tcPr>
          <w:p w14:paraId="5A4FEE09" w14:textId="77777777" w:rsidR="005F4A7E" w:rsidRPr="002029AF" w:rsidRDefault="005F4A7E" w:rsidP="00130D1C">
            <w:pPr>
              <w:pStyle w:val="ARfintablebodyright"/>
            </w:pPr>
            <w:r w:rsidRPr="00562688">
              <w:t>15.2</w:t>
            </w:r>
          </w:p>
        </w:tc>
        <w:tc>
          <w:tcPr>
            <w:tcW w:w="1133" w:type="dxa"/>
            <w:tcBorders>
              <w:top w:val="single" w:sz="4" w:space="0" w:color="A6A6A6"/>
              <w:bottom w:val="single" w:sz="4" w:space="0" w:color="A6A6A6"/>
            </w:tcBorders>
            <w:noWrap/>
            <w:hideMark/>
          </w:tcPr>
          <w:p w14:paraId="476BC428" w14:textId="77777777" w:rsidR="005F4A7E" w:rsidRPr="002029AF" w:rsidRDefault="005F4A7E" w:rsidP="00130D1C">
            <w:pPr>
              <w:pStyle w:val="ARfintablebodyright"/>
            </w:pPr>
            <w:r w:rsidRPr="00562688">
              <w:t>12.6</w:t>
            </w:r>
          </w:p>
        </w:tc>
      </w:tr>
      <w:tr w:rsidR="005F4A7E" w:rsidRPr="002029AF" w14:paraId="31746D27" w14:textId="77777777" w:rsidTr="00860E95">
        <w:trPr>
          <w:trHeight w:val="255"/>
        </w:trPr>
        <w:tc>
          <w:tcPr>
            <w:tcW w:w="7371" w:type="dxa"/>
            <w:tcBorders>
              <w:top w:val="single" w:sz="4" w:space="0" w:color="A6A6A6"/>
              <w:bottom w:val="single" w:sz="4" w:space="0" w:color="A6A6A6"/>
            </w:tcBorders>
            <w:hideMark/>
          </w:tcPr>
          <w:p w14:paraId="1E655264" w14:textId="77777777" w:rsidR="005F4A7E" w:rsidRPr="002029AF" w:rsidRDefault="005F4A7E" w:rsidP="00130D1C">
            <w:pPr>
              <w:pStyle w:val="ARfintablebodyindent"/>
            </w:pPr>
            <w:r w:rsidRPr="00562688">
              <w:t>Housing</w:t>
            </w:r>
          </w:p>
        </w:tc>
        <w:tc>
          <w:tcPr>
            <w:tcW w:w="1133" w:type="dxa"/>
            <w:tcBorders>
              <w:top w:val="single" w:sz="4" w:space="0" w:color="A6A6A6"/>
              <w:bottom w:val="single" w:sz="4" w:space="0" w:color="A6A6A6"/>
            </w:tcBorders>
            <w:shd w:val="clear" w:color="auto" w:fill="E7E6E6"/>
            <w:noWrap/>
            <w:hideMark/>
          </w:tcPr>
          <w:p w14:paraId="30168259" w14:textId="77777777" w:rsidR="005F4A7E" w:rsidRPr="002029AF" w:rsidRDefault="005F4A7E" w:rsidP="00130D1C">
            <w:pPr>
              <w:pStyle w:val="ARfintablebodyright"/>
            </w:pPr>
            <w:r w:rsidRPr="00562688">
              <w:t>228.4</w:t>
            </w:r>
          </w:p>
        </w:tc>
        <w:tc>
          <w:tcPr>
            <w:tcW w:w="1133" w:type="dxa"/>
            <w:tcBorders>
              <w:top w:val="single" w:sz="4" w:space="0" w:color="A6A6A6"/>
              <w:bottom w:val="single" w:sz="4" w:space="0" w:color="A6A6A6"/>
            </w:tcBorders>
            <w:noWrap/>
            <w:hideMark/>
          </w:tcPr>
          <w:p w14:paraId="6A9356C3" w14:textId="77777777" w:rsidR="005F4A7E" w:rsidRPr="002029AF" w:rsidRDefault="005F4A7E" w:rsidP="00130D1C">
            <w:pPr>
              <w:pStyle w:val="ARfintablebodyright"/>
            </w:pPr>
            <w:r w:rsidRPr="00562688">
              <w:t>308.7</w:t>
            </w:r>
          </w:p>
        </w:tc>
      </w:tr>
      <w:tr w:rsidR="005F4A7E" w:rsidRPr="002029AF" w14:paraId="603FDEF8" w14:textId="77777777" w:rsidTr="00860E95">
        <w:trPr>
          <w:trHeight w:val="255"/>
        </w:trPr>
        <w:tc>
          <w:tcPr>
            <w:tcW w:w="7371" w:type="dxa"/>
            <w:tcBorders>
              <w:top w:val="single" w:sz="4" w:space="0" w:color="A6A6A6"/>
              <w:bottom w:val="single" w:sz="4" w:space="0" w:color="A6A6A6"/>
            </w:tcBorders>
            <w:hideMark/>
          </w:tcPr>
          <w:p w14:paraId="5A8C43BD" w14:textId="77777777" w:rsidR="005F4A7E" w:rsidRPr="002029AF" w:rsidRDefault="005F4A7E" w:rsidP="00130D1C">
            <w:pPr>
              <w:pStyle w:val="ARfintablebodybold"/>
            </w:pPr>
            <w:r w:rsidRPr="00562688">
              <w:t>Plant, equipment and vehicles</w:t>
            </w:r>
          </w:p>
        </w:tc>
        <w:tc>
          <w:tcPr>
            <w:tcW w:w="1133" w:type="dxa"/>
            <w:tcBorders>
              <w:top w:val="single" w:sz="4" w:space="0" w:color="A6A6A6"/>
              <w:bottom w:val="single" w:sz="4" w:space="0" w:color="A6A6A6"/>
            </w:tcBorders>
            <w:shd w:val="clear" w:color="auto" w:fill="E7E6E6"/>
            <w:noWrap/>
            <w:hideMark/>
          </w:tcPr>
          <w:p w14:paraId="520F89F1" w14:textId="77777777" w:rsidR="005F4A7E" w:rsidRPr="002029AF" w:rsidRDefault="005F4A7E" w:rsidP="00130D1C">
            <w:pPr>
              <w:pStyle w:val="ARfintablebodyrightbold"/>
            </w:pPr>
            <w:r w:rsidRPr="00562688">
              <w:t>2.3</w:t>
            </w:r>
          </w:p>
        </w:tc>
        <w:tc>
          <w:tcPr>
            <w:tcW w:w="1133" w:type="dxa"/>
            <w:tcBorders>
              <w:top w:val="single" w:sz="4" w:space="0" w:color="A6A6A6"/>
              <w:bottom w:val="single" w:sz="4" w:space="0" w:color="A6A6A6"/>
            </w:tcBorders>
            <w:noWrap/>
            <w:hideMark/>
          </w:tcPr>
          <w:p w14:paraId="392BCC0D" w14:textId="77777777" w:rsidR="005F4A7E" w:rsidRPr="002029AF" w:rsidRDefault="005F4A7E" w:rsidP="00130D1C">
            <w:pPr>
              <w:pStyle w:val="ARfintablebodyrightbold"/>
            </w:pPr>
            <w:r w:rsidRPr="00562688">
              <w:t>3.2</w:t>
            </w:r>
          </w:p>
        </w:tc>
      </w:tr>
      <w:tr w:rsidR="005F4A7E" w:rsidRPr="002029AF" w14:paraId="74A76D07" w14:textId="77777777" w:rsidTr="00860E95">
        <w:trPr>
          <w:trHeight w:val="255"/>
        </w:trPr>
        <w:tc>
          <w:tcPr>
            <w:tcW w:w="7371" w:type="dxa"/>
            <w:tcBorders>
              <w:top w:val="single" w:sz="4" w:space="0" w:color="A6A6A6"/>
              <w:bottom w:val="single" w:sz="4" w:space="0" w:color="A6A6A6"/>
            </w:tcBorders>
            <w:hideMark/>
          </w:tcPr>
          <w:p w14:paraId="0D59BE8B" w14:textId="77777777" w:rsidR="005F4A7E" w:rsidRPr="002029AF" w:rsidRDefault="005F4A7E" w:rsidP="00130D1C">
            <w:pPr>
              <w:pStyle w:val="ARfintablebodyindent"/>
            </w:pPr>
            <w:r w:rsidRPr="00562688">
              <w:t>Health and Welfare</w:t>
            </w:r>
          </w:p>
        </w:tc>
        <w:tc>
          <w:tcPr>
            <w:tcW w:w="1133" w:type="dxa"/>
            <w:tcBorders>
              <w:top w:val="single" w:sz="4" w:space="0" w:color="A6A6A6"/>
              <w:bottom w:val="single" w:sz="4" w:space="0" w:color="A6A6A6"/>
            </w:tcBorders>
            <w:shd w:val="clear" w:color="auto" w:fill="E7E6E6"/>
            <w:noWrap/>
            <w:hideMark/>
          </w:tcPr>
          <w:p w14:paraId="46EF83EE" w14:textId="77777777" w:rsidR="005F4A7E" w:rsidRPr="002029AF" w:rsidRDefault="005F4A7E" w:rsidP="00130D1C">
            <w:pPr>
              <w:pStyle w:val="ARfintablebodyright"/>
            </w:pPr>
            <w:r w:rsidRPr="00562688">
              <w:t>2.3</w:t>
            </w:r>
          </w:p>
        </w:tc>
        <w:tc>
          <w:tcPr>
            <w:tcW w:w="1133" w:type="dxa"/>
            <w:tcBorders>
              <w:top w:val="single" w:sz="4" w:space="0" w:color="A6A6A6"/>
              <w:bottom w:val="single" w:sz="4" w:space="0" w:color="A6A6A6"/>
            </w:tcBorders>
            <w:noWrap/>
            <w:hideMark/>
          </w:tcPr>
          <w:p w14:paraId="6DA52C75" w14:textId="77777777" w:rsidR="005F4A7E" w:rsidRPr="002029AF" w:rsidRDefault="005F4A7E" w:rsidP="00130D1C">
            <w:pPr>
              <w:pStyle w:val="ARfintablebodyright"/>
            </w:pPr>
            <w:r w:rsidRPr="00562688">
              <w:t>3.0</w:t>
            </w:r>
          </w:p>
        </w:tc>
      </w:tr>
      <w:tr w:rsidR="005F4A7E" w:rsidRPr="002029AF" w14:paraId="6FA55AF5" w14:textId="77777777" w:rsidTr="00860E95">
        <w:trPr>
          <w:trHeight w:val="255"/>
        </w:trPr>
        <w:tc>
          <w:tcPr>
            <w:tcW w:w="7371" w:type="dxa"/>
            <w:tcBorders>
              <w:top w:val="single" w:sz="4" w:space="0" w:color="A6A6A6"/>
              <w:bottom w:val="single" w:sz="4" w:space="0" w:color="A6A6A6"/>
            </w:tcBorders>
            <w:hideMark/>
          </w:tcPr>
          <w:p w14:paraId="560E8E5E" w14:textId="77777777" w:rsidR="005F4A7E" w:rsidRPr="002029AF" w:rsidRDefault="005F4A7E" w:rsidP="00130D1C">
            <w:pPr>
              <w:pStyle w:val="ARfintablebodyindent"/>
            </w:pPr>
            <w:r w:rsidRPr="00562688">
              <w:t>Housing</w:t>
            </w:r>
          </w:p>
        </w:tc>
        <w:tc>
          <w:tcPr>
            <w:tcW w:w="1133" w:type="dxa"/>
            <w:tcBorders>
              <w:top w:val="single" w:sz="4" w:space="0" w:color="A6A6A6"/>
              <w:bottom w:val="single" w:sz="4" w:space="0" w:color="A6A6A6"/>
            </w:tcBorders>
            <w:shd w:val="clear" w:color="auto" w:fill="E7E6E6"/>
            <w:noWrap/>
            <w:hideMark/>
          </w:tcPr>
          <w:p w14:paraId="07788A7D" w14:textId="77777777" w:rsidR="005F4A7E" w:rsidRPr="002029AF" w:rsidRDefault="005F4A7E" w:rsidP="00130D1C">
            <w:pPr>
              <w:pStyle w:val="ARfintablebodyright"/>
            </w:pPr>
            <w:r w:rsidRPr="00562688">
              <w:t>–</w:t>
            </w:r>
          </w:p>
        </w:tc>
        <w:tc>
          <w:tcPr>
            <w:tcW w:w="1133" w:type="dxa"/>
            <w:tcBorders>
              <w:top w:val="single" w:sz="4" w:space="0" w:color="A6A6A6"/>
              <w:bottom w:val="single" w:sz="4" w:space="0" w:color="A6A6A6"/>
            </w:tcBorders>
            <w:noWrap/>
            <w:hideMark/>
          </w:tcPr>
          <w:p w14:paraId="366584D3" w14:textId="77777777" w:rsidR="005F4A7E" w:rsidRPr="002029AF" w:rsidRDefault="005F4A7E" w:rsidP="00130D1C">
            <w:pPr>
              <w:pStyle w:val="ARfintablebodyright"/>
            </w:pPr>
            <w:r w:rsidRPr="00562688">
              <w:t>0.3</w:t>
            </w:r>
          </w:p>
        </w:tc>
      </w:tr>
      <w:tr w:rsidR="005F4A7E" w:rsidRPr="002029AF" w14:paraId="64C3B738" w14:textId="77777777" w:rsidTr="00860E95">
        <w:trPr>
          <w:trHeight w:val="255"/>
        </w:trPr>
        <w:tc>
          <w:tcPr>
            <w:tcW w:w="7371" w:type="dxa"/>
            <w:tcBorders>
              <w:top w:val="single" w:sz="4" w:space="0" w:color="A6A6A6"/>
              <w:bottom w:val="single" w:sz="4" w:space="0" w:color="A6A6A6"/>
            </w:tcBorders>
            <w:hideMark/>
          </w:tcPr>
          <w:p w14:paraId="359F4DB5" w14:textId="77777777" w:rsidR="005F4A7E" w:rsidRPr="002029AF" w:rsidRDefault="005F4A7E" w:rsidP="00130D1C">
            <w:pPr>
              <w:pStyle w:val="ARfintablebodybold"/>
            </w:pPr>
            <w:r w:rsidRPr="00562688">
              <w:t>Intangible assets</w:t>
            </w:r>
          </w:p>
        </w:tc>
        <w:tc>
          <w:tcPr>
            <w:tcW w:w="1133" w:type="dxa"/>
            <w:tcBorders>
              <w:top w:val="single" w:sz="4" w:space="0" w:color="A6A6A6"/>
              <w:bottom w:val="single" w:sz="4" w:space="0" w:color="A6A6A6"/>
            </w:tcBorders>
            <w:shd w:val="clear" w:color="auto" w:fill="E7E6E6"/>
            <w:noWrap/>
            <w:hideMark/>
          </w:tcPr>
          <w:p w14:paraId="3B74F764" w14:textId="77777777" w:rsidR="005F4A7E" w:rsidRPr="002029AF" w:rsidRDefault="005F4A7E" w:rsidP="00130D1C">
            <w:pPr>
              <w:pStyle w:val="ARfintablebodyrightbold"/>
            </w:pPr>
            <w:r w:rsidRPr="00562688">
              <w:t>44.3</w:t>
            </w:r>
          </w:p>
        </w:tc>
        <w:tc>
          <w:tcPr>
            <w:tcW w:w="1133" w:type="dxa"/>
            <w:tcBorders>
              <w:top w:val="single" w:sz="4" w:space="0" w:color="A6A6A6"/>
              <w:bottom w:val="single" w:sz="4" w:space="0" w:color="A6A6A6"/>
            </w:tcBorders>
            <w:noWrap/>
            <w:hideMark/>
          </w:tcPr>
          <w:p w14:paraId="11437A9E" w14:textId="77777777" w:rsidR="005F4A7E" w:rsidRPr="002029AF" w:rsidRDefault="005F4A7E" w:rsidP="00130D1C">
            <w:pPr>
              <w:pStyle w:val="ARfintablebodyrightbold"/>
            </w:pPr>
            <w:r w:rsidRPr="00562688">
              <w:t>25.7</w:t>
            </w:r>
          </w:p>
        </w:tc>
      </w:tr>
      <w:tr w:rsidR="005F4A7E" w:rsidRPr="002029AF" w14:paraId="6D8242F9" w14:textId="77777777" w:rsidTr="00860E95">
        <w:trPr>
          <w:trHeight w:val="255"/>
        </w:trPr>
        <w:tc>
          <w:tcPr>
            <w:tcW w:w="7371" w:type="dxa"/>
            <w:tcBorders>
              <w:top w:val="single" w:sz="4" w:space="0" w:color="A6A6A6"/>
              <w:bottom w:val="single" w:sz="4" w:space="0" w:color="A6A6A6"/>
            </w:tcBorders>
            <w:hideMark/>
          </w:tcPr>
          <w:p w14:paraId="4358C58C" w14:textId="77777777" w:rsidR="005F4A7E" w:rsidRPr="002029AF" w:rsidRDefault="005F4A7E" w:rsidP="00130D1C">
            <w:pPr>
              <w:pStyle w:val="ARfintablebodyindent"/>
            </w:pPr>
            <w:r w:rsidRPr="00562688">
              <w:t>Health and Welfare</w:t>
            </w:r>
          </w:p>
        </w:tc>
        <w:tc>
          <w:tcPr>
            <w:tcW w:w="1133" w:type="dxa"/>
            <w:tcBorders>
              <w:top w:val="single" w:sz="4" w:space="0" w:color="A6A6A6"/>
              <w:bottom w:val="single" w:sz="4" w:space="0" w:color="A6A6A6"/>
            </w:tcBorders>
            <w:shd w:val="clear" w:color="auto" w:fill="E7E6E6"/>
            <w:noWrap/>
            <w:hideMark/>
          </w:tcPr>
          <w:p w14:paraId="3F9F5C68" w14:textId="77777777" w:rsidR="005F4A7E" w:rsidRPr="002029AF" w:rsidRDefault="005F4A7E" w:rsidP="00130D1C">
            <w:pPr>
              <w:pStyle w:val="ARfintablebodyright"/>
            </w:pPr>
            <w:r w:rsidRPr="00562688">
              <w:t>25.8</w:t>
            </w:r>
          </w:p>
        </w:tc>
        <w:tc>
          <w:tcPr>
            <w:tcW w:w="1133" w:type="dxa"/>
            <w:tcBorders>
              <w:top w:val="single" w:sz="4" w:space="0" w:color="A6A6A6"/>
              <w:bottom w:val="single" w:sz="4" w:space="0" w:color="A6A6A6"/>
            </w:tcBorders>
            <w:noWrap/>
            <w:hideMark/>
          </w:tcPr>
          <w:p w14:paraId="5FA8E5BC" w14:textId="77777777" w:rsidR="005F4A7E" w:rsidRPr="002029AF" w:rsidRDefault="005F4A7E" w:rsidP="00130D1C">
            <w:pPr>
              <w:pStyle w:val="ARfintablebodyright"/>
            </w:pPr>
            <w:r w:rsidRPr="00562688">
              <w:t>17.5</w:t>
            </w:r>
          </w:p>
        </w:tc>
      </w:tr>
      <w:tr w:rsidR="005F4A7E" w:rsidRPr="002029AF" w14:paraId="40F75393" w14:textId="77777777" w:rsidTr="00860E95">
        <w:trPr>
          <w:trHeight w:val="255"/>
        </w:trPr>
        <w:tc>
          <w:tcPr>
            <w:tcW w:w="7371" w:type="dxa"/>
            <w:tcBorders>
              <w:top w:val="single" w:sz="4" w:space="0" w:color="A6A6A6"/>
              <w:bottom w:val="single" w:sz="4" w:space="0" w:color="A6A6A6"/>
            </w:tcBorders>
            <w:hideMark/>
          </w:tcPr>
          <w:p w14:paraId="395036F4" w14:textId="77777777" w:rsidR="005F4A7E" w:rsidRPr="002029AF" w:rsidRDefault="005F4A7E" w:rsidP="00130D1C">
            <w:pPr>
              <w:pStyle w:val="ARfintablebodyindent"/>
            </w:pPr>
            <w:r w:rsidRPr="00562688">
              <w:t>Housing</w:t>
            </w:r>
          </w:p>
        </w:tc>
        <w:tc>
          <w:tcPr>
            <w:tcW w:w="1133" w:type="dxa"/>
            <w:tcBorders>
              <w:top w:val="single" w:sz="4" w:space="0" w:color="A6A6A6"/>
              <w:bottom w:val="single" w:sz="4" w:space="0" w:color="A6A6A6"/>
            </w:tcBorders>
            <w:shd w:val="clear" w:color="auto" w:fill="E7E6E6"/>
            <w:noWrap/>
            <w:hideMark/>
          </w:tcPr>
          <w:p w14:paraId="55590914" w14:textId="77777777" w:rsidR="005F4A7E" w:rsidRPr="002029AF" w:rsidRDefault="005F4A7E" w:rsidP="00130D1C">
            <w:pPr>
              <w:pStyle w:val="ARfintablebodyright"/>
            </w:pPr>
            <w:r w:rsidRPr="00562688">
              <w:t>18.5</w:t>
            </w:r>
          </w:p>
        </w:tc>
        <w:tc>
          <w:tcPr>
            <w:tcW w:w="1133" w:type="dxa"/>
            <w:tcBorders>
              <w:top w:val="single" w:sz="4" w:space="0" w:color="A6A6A6"/>
              <w:bottom w:val="single" w:sz="4" w:space="0" w:color="A6A6A6"/>
            </w:tcBorders>
            <w:noWrap/>
            <w:hideMark/>
          </w:tcPr>
          <w:p w14:paraId="53BE2752" w14:textId="77777777" w:rsidR="005F4A7E" w:rsidRPr="002029AF" w:rsidRDefault="005F4A7E" w:rsidP="00130D1C">
            <w:pPr>
              <w:pStyle w:val="ARfintablebodyright"/>
            </w:pPr>
            <w:r w:rsidRPr="00562688">
              <w:t>8.2</w:t>
            </w:r>
          </w:p>
        </w:tc>
      </w:tr>
      <w:tr w:rsidR="005F4A7E" w:rsidRPr="002029AF" w14:paraId="1CF8AD5E" w14:textId="77777777" w:rsidTr="00860E95">
        <w:trPr>
          <w:trHeight w:val="255"/>
        </w:trPr>
        <w:tc>
          <w:tcPr>
            <w:tcW w:w="7371" w:type="dxa"/>
            <w:tcBorders>
              <w:top w:val="single" w:sz="4" w:space="0" w:color="A6A6A6"/>
              <w:bottom w:val="single" w:sz="4" w:space="0" w:color="A6A6A6"/>
            </w:tcBorders>
            <w:hideMark/>
          </w:tcPr>
          <w:p w14:paraId="6B4DFF9F" w14:textId="77777777" w:rsidR="005F4A7E" w:rsidRPr="002029AF" w:rsidRDefault="005F4A7E" w:rsidP="00130D1C">
            <w:pPr>
              <w:pStyle w:val="ARfintablebodybold"/>
            </w:pPr>
            <w:r w:rsidRPr="00562688">
              <w:t>Right-of-use assets</w:t>
            </w:r>
          </w:p>
        </w:tc>
        <w:tc>
          <w:tcPr>
            <w:tcW w:w="1133" w:type="dxa"/>
            <w:tcBorders>
              <w:top w:val="single" w:sz="4" w:space="0" w:color="A6A6A6"/>
              <w:bottom w:val="single" w:sz="4" w:space="0" w:color="A6A6A6"/>
            </w:tcBorders>
            <w:shd w:val="clear" w:color="auto" w:fill="E7E6E6"/>
            <w:noWrap/>
            <w:hideMark/>
          </w:tcPr>
          <w:p w14:paraId="2A547312" w14:textId="77777777" w:rsidR="005F4A7E" w:rsidRPr="002029AF" w:rsidRDefault="005F4A7E" w:rsidP="00130D1C">
            <w:pPr>
              <w:pStyle w:val="ARfintablebodyrightbold"/>
            </w:pPr>
            <w:r w:rsidRPr="00562688">
              <w:t>31.8</w:t>
            </w:r>
          </w:p>
        </w:tc>
        <w:tc>
          <w:tcPr>
            <w:tcW w:w="1133" w:type="dxa"/>
            <w:tcBorders>
              <w:top w:val="single" w:sz="4" w:space="0" w:color="A6A6A6"/>
              <w:bottom w:val="single" w:sz="4" w:space="0" w:color="A6A6A6"/>
            </w:tcBorders>
            <w:noWrap/>
            <w:hideMark/>
          </w:tcPr>
          <w:p w14:paraId="04CF3A35" w14:textId="77777777" w:rsidR="005F4A7E" w:rsidRPr="002029AF" w:rsidRDefault="005F4A7E" w:rsidP="00130D1C">
            <w:pPr>
              <w:pStyle w:val="ARfintablebodyrightbold"/>
            </w:pPr>
            <w:r w:rsidRPr="00562688">
              <w:t>51.8</w:t>
            </w:r>
          </w:p>
        </w:tc>
      </w:tr>
      <w:tr w:rsidR="005F4A7E" w:rsidRPr="002029AF" w14:paraId="593D913D" w14:textId="77777777" w:rsidTr="00860E95">
        <w:trPr>
          <w:trHeight w:val="255"/>
        </w:trPr>
        <w:tc>
          <w:tcPr>
            <w:tcW w:w="7371" w:type="dxa"/>
            <w:tcBorders>
              <w:top w:val="single" w:sz="4" w:space="0" w:color="A6A6A6"/>
              <w:bottom w:val="single" w:sz="4" w:space="0" w:color="A6A6A6"/>
            </w:tcBorders>
            <w:hideMark/>
          </w:tcPr>
          <w:p w14:paraId="0B1FA5C6" w14:textId="77777777" w:rsidR="005F4A7E" w:rsidRPr="002029AF" w:rsidRDefault="005F4A7E" w:rsidP="00130D1C">
            <w:pPr>
              <w:pStyle w:val="ARfintablebodyindent"/>
            </w:pPr>
            <w:r w:rsidRPr="00562688">
              <w:t>Land</w:t>
            </w:r>
          </w:p>
        </w:tc>
        <w:tc>
          <w:tcPr>
            <w:tcW w:w="1133" w:type="dxa"/>
            <w:tcBorders>
              <w:top w:val="single" w:sz="4" w:space="0" w:color="A6A6A6"/>
              <w:bottom w:val="single" w:sz="4" w:space="0" w:color="A6A6A6"/>
            </w:tcBorders>
            <w:shd w:val="clear" w:color="auto" w:fill="E7E6E6"/>
            <w:noWrap/>
            <w:hideMark/>
          </w:tcPr>
          <w:p w14:paraId="5827605D" w14:textId="77777777" w:rsidR="005F4A7E" w:rsidRPr="002029AF" w:rsidRDefault="005F4A7E" w:rsidP="00130D1C">
            <w:pPr>
              <w:pStyle w:val="ARfintablebodyright"/>
            </w:pPr>
            <w:r w:rsidRPr="00562688">
              <w:t>0.8</w:t>
            </w:r>
          </w:p>
        </w:tc>
        <w:tc>
          <w:tcPr>
            <w:tcW w:w="1133" w:type="dxa"/>
            <w:tcBorders>
              <w:top w:val="single" w:sz="4" w:space="0" w:color="A6A6A6"/>
              <w:bottom w:val="single" w:sz="4" w:space="0" w:color="A6A6A6"/>
            </w:tcBorders>
            <w:noWrap/>
            <w:hideMark/>
          </w:tcPr>
          <w:p w14:paraId="79A8BBE7" w14:textId="77777777" w:rsidR="005F4A7E" w:rsidRPr="002029AF" w:rsidRDefault="005F4A7E" w:rsidP="00130D1C">
            <w:pPr>
              <w:pStyle w:val="ARfintablebodyright"/>
            </w:pPr>
            <w:r w:rsidRPr="00562688">
              <w:t>0.9</w:t>
            </w:r>
          </w:p>
        </w:tc>
      </w:tr>
      <w:tr w:rsidR="005F4A7E" w:rsidRPr="002029AF" w14:paraId="4DE2E3C8" w14:textId="77777777" w:rsidTr="00860E95">
        <w:trPr>
          <w:trHeight w:val="255"/>
        </w:trPr>
        <w:tc>
          <w:tcPr>
            <w:tcW w:w="7371" w:type="dxa"/>
            <w:tcBorders>
              <w:top w:val="single" w:sz="4" w:space="0" w:color="A6A6A6"/>
              <w:bottom w:val="single" w:sz="4" w:space="0" w:color="A6A6A6"/>
            </w:tcBorders>
            <w:hideMark/>
          </w:tcPr>
          <w:p w14:paraId="29F9C8F9" w14:textId="77777777" w:rsidR="005F4A7E" w:rsidRPr="002029AF" w:rsidRDefault="005F4A7E" w:rsidP="00130D1C">
            <w:pPr>
              <w:pStyle w:val="ARfintablebodyindent"/>
            </w:pPr>
            <w:r w:rsidRPr="00562688">
              <w:t>Buildings</w:t>
            </w:r>
          </w:p>
        </w:tc>
        <w:tc>
          <w:tcPr>
            <w:tcW w:w="1133" w:type="dxa"/>
            <w:tcBorders>
              <w:top w:val="single" w:sz="4" w:space="0" w:color="A6A6A6"/>
              <w:bottom w:val="single" w:sz="4" w:space="0" w:color="A6A6A6"/>
            </w:tcBorders>
            <w:shd w:val="clear" w:color="auto" w:fill="E7E6E6"/>
            <w:noWrap/>
            <w:hideMark/>
          </w:tcPr>
          <w:p w14:paraId="6E9FBCF0" w14:textId="77777777" w:rsidR="005F4A7E" w:rsidRPr="002029AF" w:rsidRDefault="005F4A7E" w:rsidP="00130D1C">
            <w:pPr>
              <w:pStyle w:val="ARfintablebodyright"/>
            </w:pPr>
            <w:r w:rsidRPr="00562688">
              <w:t>22.1</w:t>
            </w:r>
          </w:p>
        </w:tc>
        <w:tc>
          <w:tcPr>
            <w:tcW w:w="1133" w:type="dxa"/>
            <w:tcBorders>
              <w:top w:val="single" w:sz="4" w:space="0" w:color="A6A6A6"/>
              <w:bottom w:val="single" w:sz="4" w:space="0" w:color="A6A6A6"/>
            </w:tcBorders>
            <w:noWrap/>
            <w:hideMark/>
          </w:tcPr>
          <w:p w14:paraId="01204425" w14:textId="77777777" w:rsidR="005F4A7E" w:rsidRPr="002029AF" w:rsidRDefault="005F4A7E" w:rsidP="00130D1C">
            <w:pPr>
              <w:pStyle w:val="ARfintablebodyright"/>
            </w:pPr>
            <w:r w:rsidRPr="00562688">
              <w:t>39.6</w:t>
            </w:r>
          </w:p>
        </w:tc>
      </w:tr>
      <w:tr w:rsidR="005F4A7E" w:rsidRPr="002029AF" w14:paraId="0E64864A" w14:textId="77777777" w:rsidTr="00860E95">
        <w:trPr>
          <w:trHeight w:val="255"/>
        </w:trPr>
        <w:tc>
          <w:tcPr>
            <w:tcW w:w="7371" w:type="dxa"/>
            <w:tcBorders>
              <w:top w:val="single" w:sz="4" w:space="0" w:color="A6A6A6"/>
              <w:bottom w:val="single" w:sz="4" w:space="0" w:color="A6A6A6"/>
            </w:tcBorders>
            <w:hideMark/>
          </w:tcPr>
          <w:p w14:paraId="14494D2C" w14:textId="77777777" w:rsidR="005F4A7E" w:rsidRPr="002029AF" w:rsidRDefault="005F4A7E" w:rsidP="00130D1C">
            <w:pPr>
              <w:pStyle w:val="ARfintablebodyindent"/>
            </w:pPr>
            <w:r w:rsidRPr="00562688">
              <w:t>Plant and equipment</w:t>
            </w:r>
          </w:p>
        </w:tc>
        <w:tc>
          <w:tcPr>
            <w:tcW w:w="1133" w:type="dxa"/>
            <w:tcBorders>
              <w:top w:val="single" w:sz="4" w:space="0" w:color="A6A6A6"/>
              <w:bottom w:val="single" w:sz="4" w:space="0" w:color="A6A6A6"/>
            </w:tcBorders>
            <w:shd w:val="clear" w:color="auto" w:fill="E7E6E6"/>
            <w:noWrap/>
            <w:hideMark/>
          </w:tcPr>
          <w:p w14:paraId="5B2243EF" w14:textId="77777777" w:rsidR="005F4A7E" w:rsidRPr="002029AF" w:rsidRDefault="005F4A7E" w:rsidP="00130D1C">
            <w:pPr>
              <w:pStyle w:val="ARfintablebodyright"/>
            </w:pPr>
            <w:r w:rsidRPr="00562688">
              <w:t>2.5</w:t>
            </w:r>
          </w:p>
        </w:tc>
        <w:tc>
          <w:tcPr>
            <w:tcW w:w="1133" w:type="dxa"/>
            <w:tcBorders>
              <w:top w:val="single" w:sz="4" w:space="0" w:color="A6A6A6"/>
              <w:bottom w:val="single" w:sz="4" w:space="0" w:color="A6A6A6"/>
            </w:tcBorders>
            <w:noWrap/>
            <w:hideMark/>
          </w:tcPr>
          <w:p w14:paraId="4C951572" w14:textId="77777777" w:rsidR="005F4A7E" w:rsidRPr="002029AF" w:rsidRDefault="005F4A7E" w:rsidP="00130D1C">
            <w:pPr>
              <w:pStyle w:val="ARfintablebodyright"/>
            </w:pPr>
            <w:r w:rsidRPr="00562688">
              <w:t>2.5</w:t>
            </w:r>
          </w:p>
        </w:tc>
      </w:tr>
      <w:tr w:rsidR="005F4A7E" w:rsidRPr="002029AF" w14:paraId="258856C4" w14:textId="77777777" w:rsidTr="00860E95">
        <w:trPr>
          <w:trHeight w:val="255"/>
        </w:trPr>
        <w:tc>
          <w:tcPr>
            <w:tcW w:w="7371" w:type="dxa"/>
            <w:tcBorders>
              <w:top w:val="single" w:sz="4" w:space="0" w:color="A6A6A6"/>
              <w:bottom w:val="single" w:sz="4" w:space="0" w:color="A6A6A6"/>
            </w:tcBorders>
            <w:hideMark/>
          </w:tcPr>
          <w:p w14:paraId="4180907C" w14:textId="77777777" w:rsidR="005F4A7E" w:rsidRPr="002029AF" w:rsidRDefault="005F4A7E" w:rsidP="00130D1C">
            <w:pPr>
              <w:pStyle w:val="ARfintablebodyindent"/>
            </w:pPr>
            <w:r w:rsidRPr="00562688">
              <w:t>Motor vehicles</w:t>
            </w:r>
          </w:p>
        </w:tc>
        <w:tc>
          <w:tcPr>
            <w:tcW w:w="1133" w:type="dxa"/>
            <w:tcBorders>
              <w:top w:val="single" w:sz="4" w:space="0" w:color="A6A6A6"/>
              <w:bottom w:val="single" w:sz="4" w:space="0" w:color="A6A6A6"/>
            </w:tcBorders>
            <w:shd w:val="clear" w:color="auto" w:fill="E7E6E6"/>
            <w:noWrap/>
            <w:hideMark/>
          </w:tcPr>
          <w:p w14:paraId="7C33C973" w14:textId="77777777" w:rsidR="005F4A7E" w:rsidRPr="002029AF" w:rsidRDefault="005F4A7E" w:rsidP="00130D1C">
            <w:pPr>
              <w:pStyle w:val="ARfintablebodyright"/>
            </w:pPr>
            <w:r w:rsidRPr="00562688">
              <w:t>6.4</w:t>
            </w:r>
          </w:p>
        </w:tc>
        <w:tc>
          <w:tcPr>
            <w:tcW w:w="1133" w:type="dxa"/>
            <w:tcBorders>
              <w:top w:val="single" w:sz="4" w:space="0" w:color="A6A6A6"/>
              <w:bottom w:val="single" w:sz="4" w:space="0" w:color="A6A6A6"/>
            </w:tcBorders>
            <w:noWrap/>
            <w:hideMark/>
          </w:tcPr>
          <w:p w14:paraId="69C429E6" w14:textId="77777777" w:rsidR="005F4A7E" w:rsidRPr="002029AF" w:rsidRDefault="005F4A7E" w:rsidP="00130D1C">
            <w:pPr>
              <w:pStyle w:val="ARfintablebodyright"/>
            </w:pPr>
            <w:r w:rsidRPr="00562688">
              <w:t>8.8</w:t>
            </w:r>
          </w:p>
        </w:tc>
      </w:tr>
      <w:tr w:rsidR="005F4A7E" w:rsidRPr="002029AF" w14:paraId="38F9A96F" w14:textId="77777777" w:rsidTr="00860E95">
        <w:trPr>
          <w:trHeight w:val="255"/>
        </w:trPr>
        <w:tc>
          <w:tcPr>
            <w:tcW w:w="7371" w:type="dxa"/>
            <w:tcBorders>
              <w:top w:val="single" w:sz="4" w:space="0" w:color="A6A6A6"/>
              <w:bottom w:val="single" w:sz="4" w:space="0" w:color="A6A6A6"/>
            </w:tcBorders>
            <w:hideMark/>
          </w:tcPr>
          <w:p w14:paraId="7A755A7E" w14:textId="77777777" w:rsidR="005F4A7E" w:rsidRPr="002029AF" w:rsidRDefault="005F4A7E" w:rsidP="00130D1C">
            <w:pPr>
              <w:pStyle w:val="ARfintablebodybold"/>
            </w:pPr>
            <w:r w:rsidRPr="00562688">
              <w:t>Service concession assets</w:t>
            </w:r>
          </w:p>
        </w:tc>
        <w:tc>
          <w:tcPr>
            <w:tcW w:w="1133" w:type="dxa"/>
            <w:tcBorders>
              <w:top w:val="single" w:sz="4" w:space="0" w:color="A6A6A6"/>
              <w:bottom w:val="single" w:sz="4" w:space="0" w:color="A6A6A6"/>
            </w:tcBorders>
            <w:shd w:val="clear" w:color="auto" w:fill="E7E6E6"/>
            <w:noWrap/>
            <w:hideMark/>
          </w:tcPr>
          <w:p w14:paraId="031D83F2" w14:textId="77777777" w:rsidR="005F4A7E" w:rsidRPr="002029AF" w:rsidRDefault="005F4A7E" w:rsidP="00130D1C">
            <w:pPr>
              <w:pStyle w:val="ARfintablebodyrightbold"/>
            </w:pPr>
            <w:r w:rsidRPr="00562688">
              <w:t>25.5</w:t>
            </w:r>
          </w:p>
        </w:tc>
        <w:tc>
          <w:tcPr>
            <w:tcW w:w="1133" w:type="dxa"/>
            <w:tcBorders>
              <w:top w:val="single" w:sz="4" w:space="0" w:color="A6A6A6"/>
              <w:bottom w:val="single" w:sz="4" w:space="0" w:color="A6A6A6"/>
            </w:tcBorders>
            <w:noWrap/>
            <w:hideMark/>
          </w:tcPr>
          <w:p w14:paraId="1E5B8B3F" w14:textId="77777777" w:rsidR="005F4A7E" w:rsidRPr="002029AF" w:rsidRDefault="005F4A7E" w:rsidP="00130D1C">
            <w:pPr>
              <w:pStyle w:val="ARfintablebodyrightbold"/>
            </w:pPr>
            <w:r w:rsidRPr="00562688">
              <w:t>27.1</w:t>
            </w:r>
          </w:p>
        </w:tc>
      </w:tr>
      <w:tr w:rsidR="005F4A7E" w:rsidRPr="002029AF" w14:paraId="74656BC2" w14:textId="77777777" w:rsidTr="00860E95">
        <w:trPr>
          <w:trHeight w:val="255"/>
        </w:trPr>
        <w:tc>
          <w:tcPr>
            <w:tcW w:w="7371" w:type="dxa"/>
            <w:tcBorders>
              <w:top w:val="single" w:sz="4" w:space="0" w:color="A6A6A6"/>
              <w:bottom w:val="single" w:sz="4" w:space="0" w:color="A6A6A6"/>
            </w:tcBorders>
            <w:hideMark/>
          </w:tcPr>
          <w:p w14:paraId="5CE5E4FC" w14:textId="77777777" w:rsidR="005F4A7E" w:rsidRPr="002029AF" w:rsidRDefault="005F4A7E" w:rsidP="00130D1C">
            <w:pPr>
              <w:pStyle w:val="ARfintablebodyindent"/>
            </w:pPr>
            <w:r w:rsidRPr="00562688">
              <w:t>Buildings</w:t>
            </w:r>
          </w:p>
        </w:tc>
        <w:tc>
          <w:tcPr>
            <w:tcW w:w="1133" w:type="dxa"/>
            <w:tcBorders>
              <w:top w:val="single" w:sz="4" w:space="0" w:color="A6A6A6"/>
              <w:bottom w:val="single" w:sz="4" w:space="0" w:color="A6A6A6"/>
            </w:tcBorders>
            <w:shd w:val="clear" w:color="auto" w:fill="E7E6E6"/>
            <w:noWrap/>
            <w:hideMark/>
          </w:tcPr>
          <w:p w14:paraId="7A8E7355" w14:textId="77777777" w:rsidR="005F4A7E" w:rsidRPr="002029AF" w:rsidRDefault="005F4A7E" w:rsidP="00130D1C">
            <w:pPr>
              <w:pStyle w:val="ARfintablebodyright"/>
            </w:pPr>
            <w:r w:rsidRPr="00562688">
              <w:t>25.2</w:t>
            </w:r>
          </w:p>
        </w:tc>
        <w:tc>
          <w:tcPr>
            <w:tcW w:w="1133" w:type="dxa"/>
            <w:tcBorders>
              <w:top w:val="single" w:sz="4" w:space="0" w:color="A6A6A6"/>
              <w:bottom w:val="single" w:sz="4" w:space="0" w:color="A6A6A6"/>
            </w:tcBorders>
            <w:noWrap/>
            <w:hideMark/>
          </w:tcPr>
          <w:p w14:paraId="45EB7146" w14:textId="77777777" w:rsidR="005F4A7E" w:rsidRPr="002029AF" w:rsidRDefault="005F4A7E" w:rsidP="00130D1C">
            <w:pPr>
              <w:pStyle w:val="ARfintablebodyright"/>
            </w:pPr>
            <w:r w:rsidRPr="00562688">
              <w:t>25.9</w:t>
            </w:r>
          </w:p>
        </w:tc>
      </w:tr>
      <w:tr w:rsidR="005F4A7E" w:rsidRPr="002029AF" w14:paraId="08F6C296" w14:textId="77777777" w:rsidTr="00860E95">
        <w:trPr>
          <w:trHeight w:val="255"/>
        </w:trPr>
        <w:tc>
          <w:tcPr>
            <w:tcW w:w="7371" w:type="dxa"/>
            <w:tcBorders>
              <w:top w:val="single" w:sz="4" w:space="0" w:color="A6A6A6"/>
              <w:bottom w:val="single" w:sz="4" w:space="0" w:color="A6A6A6"/>
            </w:tcBorders>
            <w:hideMark/>
          </w:tcPr>
          <w:p w14:paraId="71E3EFCE" w14:textId="77777777" w:rsidR="005F4A7E" w:rsidRPr="002029AF" w:rsidRDefault="005F4A7E" w:rsidP="00130D1C">
            <w:pPr>
              <w:pStyle w:val="ARfintablebodyindent"/>
            </w:pPr>
            <w:r w:rsidRPr="00562688">
              <w:t>Plant and equipment</w:t>
            </w:r>
          </w:p>
        </w:tc>
        <w:tc>
          <w:tcPr>
            <w:tcW w:w="1133" w:type="dxa"/>
            <w:tcBorders>
              <w:top w:val="single" w:sz="4" w:space="0" w:color="A6A6A6"/>
              <w:bottom w:val="single" w:sz="4" w:space="0" w:color="A6A6A6"/>
            </w:tcBorders>
            <w:shd w:val="clear" w:color="auto" w:fill="E7E6E6"/>
            <w:noWrap/>
            <w:hideMark/>
          </w:tcPr>
          <w:p w14:paraId="50739544" w14:textId="77777777" w:rsidR="005F4A7E" w:rsidRPr="002029AF" w:rsidRDefault="005F4A7E" w:rsidP="00130D1C">
            <w:pPr>
              <w:pStyle w:val="ARfintablebodyright"/>
            </w:pPr>
            <w:r w:rsidRPr="00562688">
              <w:t>0.2</w:t>
            </w:r>
          </w:p>
        </w:tc>
        <w:tc>
          <w:tcPr>
            <w:tcW w:w="1133" w:type="dxa"/>
            <w:tcBorders>
              <w:top w:val="single" w:sz="4" w:space="0" w:color="A6A6A6"/>
              <w:bottom w:val="single" w:sz="4" w:space="0" w:color="A6A6A6"/>
            </w:tcBorders>
            <w:noWrap/>
            <w:hideMark/>
          </w:tcPr>
          <w:p w14:paraId="7D322D0A" w14:textId="77777777" w:rsidR="005F4A7E" w:rsidRPr="002029AF" w:rsidRDefault="005F4A7E" w:rsidP="00130D1C">
            <w:pPr>
              <w:pStyle w:val="ARfintablebodyright"/>
            </w:pPr>
            <w:r w:rsidRPr="00562688">
              <w:t>1.0</w:t>
            </w:r>
          </w:p>
        </w:tc>
      </w:tr>
      <w:tr w:rsidR="005F4A7E" w:rsidRPr="002029AF" w14:paraId="2EDDF2F7" w14:textId="77777777" w:rsidTr="00860E95">
        <w:trPr>
          <w:trHeight w:val="255"/>
        </w:trPr>
        <w:tc>
          <w:tcPr>
            <w:tcW w:w="7371" w:type="dxa"/>
            <w:tcBorders>
              <w:top w:val="single" w:sz="4" w:space="0" w:color="A6A6A6"/>
            </w:tcBorders>
            <w:hideMark/>
          </w:tcPr>
          <w:p w14:paraId="7D93A1F8" w14:textId="77777777" w:rsidR="005F4A7E" w:rsidRPr="002029AF" w:rsidRDefault="005F4A7E" w:rsidP="00130D1C">
            <w:pPr>
              <w:pStyle w:val="ARfintablebodyindent"/>
            </w:pPr>
            <w:r w:rsidRPr="00562688">
              <w:t>Intangible assets</w:t>
            </w:r>
          </w:p>
        </w:tc>
        <w:tc>
          <w:tcPr>
            <w:tcW w:w="1133" w:type="dxa"/>
            <w:tcBorders>
              <w:top w:val="single" w:sz="4" w:space="0" w:color="A6A6A6"/>
            </w:tcBorders>
            <w:shd w:val="clear" w:color="auto" w:fill="E7E6E6"/>
            <w:noWrap/>
            <w:hideMark/>
          </w:tcPr>
          <w:p w14:paraId="23B9B11D" w14:textId="77777777" w:rsidR="005F4A7E" w:rsidRPr="002029AF" w:rsidRDefault="005F4A7E" w:rsidP="00130D1C">
            <w:pPr>
              <w:pStyle w:val="ARfintablebodyright"/>
            </w:pPr>
            <w:r w:rsidRPr="00562688">
              <w:t>0.1</w:t>
            </w:r>
          </w:p>
        </w:tc>
        <w:tc>
          <w:tcPr>
            <w:tcW w:w="1133" w:type="dxa"/>
            <w:tcBorders>
              <w:top w:val="single" w:sz="4" w:space="0" w:color="A6A6A6"/>
            </w:tcBorders>
            <w:noWrap/>
            <w:hideMark/>
          </w:tcPr>
          <w:p w14:paraId="25CC6F7E" w14:textId="77777777" w:rsidR="005F4A7E" w:rsidRPr="002029AF" w:rsidRDefault="005F4A7E" w:rsidP="00130D1C">
            <w:pPr>
              <w:pStyle w:val="ARfintablebodyright"/>
            </w:pPr>
            <w:r w:rsidRPr="00562688">
              <w:t>0.2</w:t>
            </w:r>
          </w:p>
        </w:tc>
      </w:tr>
      <w:tr w:rsidR="005F4A7E" w:rsidRPr="002029AF" w14:paraId="07C8F8B8" w14:textId="77777777" w:rsidTr="00860E95">
        <w:trPr>
          <w:trHeight w:val="255"/>
        </w:trPr>
        <w:tc>
          <w:tcPr>
            <w:tcW w:w="7371" w:type="dxa"/>
            <w:hideMark/>
          </w:tcPr>
          <w:p w14:paraId="13BEBE6E" w14:textId="77777777" w:rsidR="005F4A7E" w:rsidRPr="002029AF" w:rsidRDefault="005F4A7E" w:rsidP="00130D1C">
            <w:pPr>
              <w:pStyle w:val="ARfintablebodybold"/>
            </w:pPr>
            <w:r w:rsidRPr="00562688">
              <w:t>Aggregate depreciation and amortisation allocated</w:t>
            </w:r>
          </w:p>
        </w:tc>
        <w:tc>
          <w:tcPr>
            <w:tcW w:w="1133" w:type="dxa"/>
            <w:shd w:val="clear" w:color="auto" w:fill="E7E6E6"/>
            <w:noWrap/>
            <w:hideMark/>
          </w:tcPr>
          <w:p w14:paraId="179C4D7E" w14:textId="77777777" w:rsidR="005F4A7E" w:rsidRPr="002029AF" w:rsidRDefault="005F4A7E" w:rsidP="00130D1C">
            <w:pPr>
              <w:pStyle w:val="ARfintablebodyrightbold"/>
            </w:pPr>
            <w:r w:rsidRPr="00562688">
              <w:t>347.5</w:t>
            </w:r>
          </w:p>
        </w:tc>
        <w:tc>
          <w:tcPr>
            <w:tcW w:w="1133" w:type="dxa"/>
            <w:noWrap/>
            <w:hideMark/>
          </w:tcPr>
          <w:p w14:paraId="625591D8" w14:textId="77777777" w:rsidR="005F4A7E" w:rsidRPr="002029AF" w:rsidRDefault="005F4A7E" w:rsidP="00130D1C">
            <w:pPr>
              <w:pStyle w:val="ARfintablebodyrightbold"/>
            </w:pPr>
            <w:r w:rsidRPr="00562688">
              <w:t>429.1</w:t>
            </w:r>
          </w:p>
        </w:tc>
      </w:tr>
      <w:tr w:rsidR="005F4A7E" w:rsidRPr="002029AF" w14:paraId="3DB431D7" w14:textId="77777777" w:rsidTr="00860E95">
        <w:trPr>
          <w:trHeight w:val="255"/>
        </w:trPr>
        <w:tc>
          <w:tcPr>
            <w:tcW w:w="7371" w:type="dxa"/>
            <w:hideMark/>
          </w:tcPr>
          <w:p w14:paraId="43FA57E0" w14:textId="77777777" w:rsidR="005F4A7E" w:rsidRPr="002029AF" w:rsidRDefault="005F4A7E" w:rsidP="00130D1C">
            <w:pPr>
              <w:pStyle w:val="ARfintablebody"/>
            </w:pPr>
            <w:r w:rsidRPr="00562688">
              <w:t>Less depreciation and amortisation capitalised to carrying amount of other assets during the year</w:t>
            </w:r>
          </w:p>
        </w:tc>
        <w:tc>
          <w:tcPr>
            <w:tcW w:w="1133" w:type="dxa"/>
            <w:shd w:val="clear" w:color="auto" w:fill="E7E6E6"/>
            <w:noWrap/>
            <w:hideMark/>
          </w:tcPr>
          <w:p w14:paraId="760A0C94" w14:textId="77777777" w:rsidR="005F4A7E" w:rsidRPr="002029AF" w:rsidRDefault="005F4A7E" w:rsidP="00130D1C">
            <w:pPr>
              <w:pStyle w:val="ARfintablebodyright"/>
            </w:pPr>
            <w:r w:rsidRPr="00562688">
              <w:t>(2.4)</w:t>
            </w:r>
          </w:p>
        </w:tc>
        <w:tc>
          <w:tcPr>
            <w:tcW w:w="1133" w:type="dxa"/>
            <w:noWrap/>
            <w:hideMark/>
          </w:tcPr>
          <w:p w14:paraId="7A9192A8" w14:textId="77777777" w:rsidR="005F4A7E" w:rsidRPr="002029AF" w:rsidRDefault="005F4A7E" w:rsidP="00130D1C">
            <w:pPr>
              <w:pStyle w:val="ARfintablebodyright"/>
            </w:pPr>
            <w:r w:rsidRPr="00562688">
              <w:t>(1.0)</w:t>
            </w:r>
          </w:p>
        </w:tc>
      </w:tr>
      <w:tr w:rsidR="005F4A7E" w:rsidRPr="002029AF" w14:paraId="4E3E4851" w14:textId="77777777" w:rsidTr="00860E95">
        <w:trPr>
          <w:trHeight w:val="255"/>
        </w:trPr>
        <w:tc>
          <w:tcPr>
            <w:tcW w:w="7371" w:type="dxa"/>
            <w:hideMark/>
          </w:tcPr>
          <w:p w14:paraId="44E8D3DB" w14:textId="77777777" w:rsidR="005F4A7E" w:rsidRPr="002029AF" w:rsidRDefault="005F4A7E" w:rsidP="00130D1C">
            <w:pPr>
              <w:pStyle w:val="ARfintablebodybold"/>
            </w:pPr>
            <w:r w:rsidRPr="00562688">
              <w:t>Total depreciation and amortisation</w:t>
            </w:r>
          </w:p>
        </w:tc>
        <w:tc>
          <w:tcPr>
            <w:tcW w:w="1133" w:type="dxa"/>
            <w:shd w:val="clear" w:color="auto" w:fill="E7E6E6"/>
            <w:noWrap/>
            <w:hideMark/>
          </w:tcPr>
          <w:p w14:paraId="33144EBA" w14:textId="77777777" w:rsidR="005F4A7E" w:rsidRPr="002029AF" w:rsidRDefault="005F4A7E" w:rsidP="00130D1C">
            <w:pPr>
              <w:pStyle w:val="ARfintablebodyrightbold"/>
            </w:pPr>
            <w:r w:rsidRPr="00562688">
              <w:t>345.1</w:t>
            </w:r>
          </w:p>
        </w:tc>
        <w:tc>
          <w:tcPr>
            <w:tcW w:w="1133" w:type="dxa"/>
            <w:noWrap/>
            <w:hideMark/>
          </w:tcPr>
          <w:p w14:paraId="2D1D0B11" w14:textId="77777777" w:rsidR="005F4A7E" w:rsidRPr="002029AF" w:rsidRDefault="005F4A7E" w:rsidP="00130D1C">
            <w:pPr>
              <w:pStyle w:val="ARfintablebodyrightbold"/>
            </w:pPr>
            <w:r w:rsidRPr="00562688">
              <w:t>428.1</w:t>
            </w:r>
          </w:p>
        </w:tc>
      </w:tr>
    </w:tbl>
    <w:p w14:paraId="46692DA8" w14:textId="77777777" w:rsidR="005F4A7E" w:rsidRDefault="005F4A7E" w:rsidP="00130D1C">
      <w:pPr>
        <w:pStyle w:val="ARfinbodyaftertable"/>
      </w:pPr>
      <w:r>
        <w:t>All buildings, plant, equipment, vehicles and other non-current physical assets that have finite useful lives are depreciated. The exceptions to this rule include items under assets held for sale and land.</w:t>
      </w:r>
    </w:p>
    <w:p w14:paraId="4C0964E4" w14:textId="77777777" w:rsidR="005F4A7E" w:rsidRDefault="005F4A7E" w:rsidP="00130D1C">
      <w:pPr>
        <w:pStyle w:val="ARfinbody"/>
      </w:pPr>
      <w:r>
        <w:t>Depreciation is calculated on a straight-line basis at rates that allocate the asset value, less any estimated residual value, over its estimated useful life.</w:t>
      </w:r>
    </w:p>
    <w:p w14:paraId="1F705705" w14:textId="77777777" w:rsidR="005F4A7E" w:rsidRDefault="005F4A7E" w:rsidP="00130D1C">
      <w:pPr>
        <w:pStyle w:val="ARfinbodylargespace"/>
      </w:pPr>
      <w:r>
        <w:t>Typical estimated useful lives for the different asset classes for the current and prior year are included in the table below:</w:t>
      </w:r>
    </w:p>
    <w:tbl>
      <w:tblPr>
        <w:tblStyle w:val="TableGrid"/>
        <w:tblW w:w="9639" w:type="dxa"/>
        <w:tblLook w:val="06A0" w:firstRow="1" w:lastRow="0" w:firstColumn="1" w:lastColumn="0" w:noHBand="1" w:noVBand="1"/>
      </w:tblPr>
      <w:tblGrid>
        <w:gridCol w:w="6237"/>
        <w:gridCol w:w="1701"/>
        <w:gridCol w:w="1701"/>
      </w:tblGrid>
      <w:tr w:rsidR="005F4A7E" w:rsidRPr="002029AF" w14:paraId="5FC6FD55"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6237" w:type="dxa"/>
            <w:tcBorders>
              <w:bottom w:val="single" w:sz="4" w:space="0" w:color="auto"/>
            </w:tcBorders>
          </w:tcPr>
          <w:p w14:paraId="33C72CA4" w14:textId="77777777" w:rsidR="005F4A7E" w:rsidRPr="002029AF" w:rsidRDefault="005F4A7E" w:rsidP="00860E95">
            <w:pPr>
              <w:pStyle w:val="ARfintablecolhead"/>
            </w:pPr>
            <w:r w:rsidRPr="002029AF">
              <w:t>Asset class</w:t>
            </w:r>
          </w:p>
        </w:tc>
        <w:tc>
          <w:tcPr>
            <w:tcW w:w="1701" w:type="dxa"/>
            <w:tcBorders>
              <w:bottom w:val="single" w:sz="4" w:space="0" w:color="auto"/>
            </w:tcBorders>
          </w:tcPr>
          <w:p w14:paraId="7B08508A" w14:textId="77777777" w:rsidR="005F4A7E" w:rsidRPr="002029AF" w:rsidRDefault="005F4A7E" w:rsidP="00860E95">
            <w:pPr>
              <w:pStyle w:val="ARfintablecolheadright"/>
            </w:pPr>
            <w:r>
              <w:t>2021</w:t>
            </w:r>
          </w:p>
        </w:tc>
        <w:tc>
          <w:tcPr>
            <w:tcW w:w="1701" w:type="dxa"/>
            <w:tcBorders>
              <w:bottom w:val="single" w:sz="4" w:space="0" w:color="auto"/>
            </w:tcBorders>
          </w:tcPr>
          <w:p w14:paraId="0906AA7C" w14:textId="77777777" w:rsidR="005F4A7E" w:rsidRPr="002029AF" w:rsidRDefault="005F4A7E" w:rsidP="00860E95">
            <w:pPr>
              <w:pStyle w:val="ARfintablecolheadright"/>
            </w:pPr>
            <w:r>
              <w:t>2020</w:t>
            </w:r>
          </w:p>
        </w:tc>
      </w:tr>
      <w:tr w:rsidR="005F4A7E" w:rsidRPr="002029AF" w14:paraId="7C3E9F05" w14:textId="77777777" w:rsidTr="00860E95">
        <w:tc>
          <w:tcPr>
            <w:tcW w:w="6237" w:type="dxa"/>
            <w:tcBorders>
              <w:top w:val="single" w:sz="4" w:space="0" w:color="auto"/>
              <w:bottom w:val="single" w:sz="4" w:space="0" w:color="A6A6A6"/>
            </w:tcBorders>
          </w:tcPr>
          <w:p w14:paraId="6FF19F1C" w14:textId="77777777" w:rsidR="005F4A7E" w:rsidRPr="002029AF" w:rsidRDefault="005F4A7E" w:rsidP="00130D1C">
            <w:pPr>
              <w:pStyle w:val="ARfintablebody"/>
            </w:pPr>
            <w:r w:rsidRPr="008275BC">
              <w:t>Buildings</w:t>
            </w:r>
          </w:p>
        </w:tc>
        <w:tc>
          <w:tcPr>
            <w:tcW w:w="1701" w:type="dxa"/>
            <w:tcBorders>
              <w:top w:val="single" w:sz="4" w:space="0" w:color="auto"/>
              <w:bottom w:val="single" w:sz="4" w:space="0" w:color="A6A6A6"/>
            </w:tcBorders>
          </w:tcPr>
          <w:p w14:paraId="2371F155" w14:textId="77777777" w:rsidR="005F4A7E" w:rsidRPr="002029AF" w:rsidRDefault="005F4A7E" w:rsidP="00130D1C">
            <w:pPr>
              <w:pStyle w:val="ARfintablebodyright"/>
            </w:pPr>
            <w:r w:rsidRPr="008275BC">
              <w:t>5 to 85 years</w:t>
            </w:r>
          </w:p>
        </w:tc>
        <w:tc>
          <w:tcPr>
            <w:tcW w:w="1701" w:type="dxa"/>
            <w:tcBorders>
              <w:top w:val="single" w:sz="4" w:space="0" w:color="auto"/>
              <w:bottom w:val="single" w:sz="4" w:space="0" w:color="A6A6A6"/>
            </w:tcBorders>
          </w:tcPr>
          <w:p w14:paraId="6543FC9A" w14:textId="77777777" w:rsidR="005F4A7E" w:rsidRPr="002029AF" w:rsidRDefault="005F4A7E" w:rsidP="00130D1C">
            <w:pPr>
              <w:pStyle w:val="ARfintablebodyright"/>
            </w:pPr>
            <w:r w:rsidRPr="008275BC">
              <w:t>5 to 85 years</w:t>
            </w:r>
          </w:p>
        </w:tc>
      </w:tr>
      <w:tr w:rsidR="005F4A7E" w:rsidRPr="002029AF" w14:paraId="747E2313" w14:textId="77777777" w:rsidTr="00860E95">
        <w:tc>
          <w:tcPr>
            <w:tcW w:w="6237" w:type="dxa"/>
            <w:tcBorders>
              <w:top w:val="single" w:sz="4" w:space="0" w:color="A6A6A6"/>
              <w:bottom w:val="single" w:sz="4" w:space="0" w:color="A6A6A6"/>
            </w:tcBorders>
          </w:tcPr>
          <w:p w14:paraId="0967856C" w14:textId="77777777" w:rsidR="005F4A7E" w:rsidRPr="002029AF" w:rsidRDefault="005F4A7E" w:rsidP="00130D1C">
            <w:pPr>
              <w:pStyle w:val="ARfintablebody"/>
            </w:pPr>
            <w:r w:rsidRPr="008275BC">
              <w:t>Plant, equipment and vehicles</w:t>
            </w:r>
          </w:p>
        </w:tc>
        <w:tc>
          <w:tcPr>
            <w:tcW w:w="1701" w:type="dxa"/>
            <w:tcBorders>
              <w:top w:val="single" w:sz="4" w:space="0" w:color="A6A6A6"/>
              <w:bottom w:val="single" w:sz="4" w:space="0" w:color="A6A6A6"/>
            </w:tcBorders>
          </w:tcPr>
          <w:p w14:paraId="6376246C" w14:textId="77777777" w:rsidR="005F4A7E" w:rsidRPr="002029AF" w:rsidRDefault="005F4A7E" w:rsidP="00130D1C">
            <w:pPr>
              <w:pStyle w:val="ARfintablebodyright"/>
            </w:pPr>
            <w:r w:rsidRPr="008275BC">
              <w:t>3 to 15 years</w:t>
            </w:r>
          </w:p>
        </w:tc>
        <w:tc>
          <w:tcPr>
            <w:tcW w:w="1701" w:type="dxa"/>
            <w:tcBorders>
              <w:top w:val="single" w:sz="4" w:space="0" w:color="A6A6A6"/>
              <w:bottom w:val="single" w:sz="4" w:space="0" w:color="A6A6A6"/>
            </w:tcBorders>
          </w:tcPr>
          <w:p w14:paraId="4660392C" w14:textId="77777777" w:rsidR="005F4A7E" w:rsidRPr="002029AF" w:rsidRDefault="005F4A7E" w:rsidP="00130D1C">
            <w:pPr>
              <w:pStyle w:val="ARfintablebodyright"/>
            </w:pPr>
            <w:r w:rsidRPr="008275BC">
              <w:t>3 to 15 years</w:t>
            </w:r>
          </w:p>
        </w:tc>
      </w:tr>
      <w:tr w:rsidR="005F4A7E" w:rsidRPr="002029AF" w14:paraId="3D66D5A9" w14:textId="77777777" w:rsidTr="00860E95">
        <w:tc>
          <w:tcPr>
            <w:tcW w:w="6237" w:type="dxa"/>
            <w:tcBorders>
              <w:top w:val="single" w:sz="4" w:space="0" w:color="A6A6A6"/>
            </w:tcBorders>
          </w:tcPr>
          <w:p w14:paraId="261484CB" w14:textId="77777777" w:rsidR="005F4A7E" w:rsidRPr="002029AF" w:rsidRDefault="005F4A7E" w:rsidP="00130D1C">
            <w:pPr>
              <w:pStyle w:val="ARfintablebody"/>
            </w:pPr>
            <w:r w:rsidRPr="008275BC">
              <w:t>Intangible assets</w:t>
            </w:r>
          </w:p>
        </w:tc>
        <w:tc>
          <w:tcPr>
            <w:tcW w:w="1701" w:type="dxa"/>
            <w:tcBorders>
              <w:top w:val="single" w:sz="4" w:space="0" w:color="A6A6A6"/>
            </w:tcBorders>
          </w:tcPr>
          <w:p w14:paraId="7C372101" w14:textId="77777777" w:rsidR="005F4A7E" w:rsidRPr="002029AF" w:rsidRDefault="005F4A7E" w:rsidP="00130D1C">
            <w:pPr>
              <w:pStyle w:val="ARfintablebodyright"/>
            </w:pPr>
            <w:r w:rsidRPr="008275BC">
              <w:t>3 to 20 years</w:t>
            </w:r>
          </w:p>
        </w:tc>
        <w:tc>
          <w:tcPr>
            <w:tcW w:w="1701" w:type="dxa"/>
            <w:tcBorders>
              <w:top w:val="single" w:sz="4" w:space="0" w:color="A6A6A6"/>
            </w:tcBorders>
          </w:tcPr>
          <w:p w14:paraId="69FA2B95" w14:textId="77777777" w:rsidR="005F4A7E" w:rsidRPr="002029AF" w:rsidRDefault="005F4A7E" w:rsidP="00130D1C">
            <w:pPr>
              <w:pStyle w:val="ARfintablebodyright"/>
            </w:pPr>
            <w:r w:rsidRPr="008275BC">
              <w:t>3 to 20 years</w:t>
            </w:r>
          </w:p>
        </w:tc>
      </w:tr>
    </w:tbl>
    <w:p w14:paraId="2D1F88C4" w14:textId="77777777" w:rsidR="005F4A7E" w:rsidRDefault="005F4A7E" w:rsidP="00130D1C">
      <w:pPr>
        <w:pStyle w:val="ARfinbodyaftertable"/>
      </w:pPr>
      <w:bookmarkStart w:id="896" w:name="_Hlk47012303"/>
      <w:bookmarkStart w:id="897" w:name="_Hlk82963008"/>
      <w:r>
        <w:t>The estimated useful lives, residual value and depreciation method are reviewed at the end of each annual reporting period. Estimated useful lives for buildings, and plant, equipment and vehicles remain unchanged since June 2020.</w:t>
      </w:r>
    </w:p>
    <w:bookmarkEnd w:id="896"/>
    <w:p w14:paraId="2DCE8EE9" w14:textId="5E779725" w:rsidR="005F4A7E" w:rsidRDefault="005F4A7E" w:rsidP="00130D1C">
      <w:pPr>
        <w:pStyle w:val="ARfinbody"/>
      </w:pPr>
      <w:r>
        <w:t>Right-of-use assets are generally depreciated over the shorter of the asset</w:t>
      </w:r>
      <w:r w:rsidR="007D145B">
        <w:t>’</w:t>
      </w:r>
      <w:r>
        <w:t>s useful life and the lease term. Where the department obtains ownership of the underlying leased asset or if the cost of the right-of-use asset reflects that the entity will exercise a purchase option, the entity depreciates the right-of-use asset over its useful life.</w:t>
      </w:r>
    </w:p>
    <w:p w14:paraId="684D53F6" w14:textId="40A46E59" w:rsidR="005F4A7E" w:rsidRDefault="005F4A7E" w:rsidP="00130D1C">
      <w:pPr>
        <w:pStyle w:val="ARfinbody"/>
      </w:pPr>
      <w:r>
        <w:t>Leasehold improvements are depreciated over the shorter of the lease term and their useful lives.</w:t>
      </w:r>
      <w:bookmarkEnd w:id="897"/>
    </w:p>
    <w:p w14:paraId="799B03F8" w14:textId="77777777" w:rsidR="005F4A7E" w:rsidRPr="002029AF" w:rsidRDefault="005F4A7E" w:rsidP="00087B91">
      <w:pPr>
        <w:pStyle w:val="ARfinbody"/>
        <w:sectPr w:rsidR="005F4A7E" w:rsidRPr="002029AF" w:rsidSect="00130D1C">
          <w:footerReference w:type="even" r:id="rId135"/>
          <w:footnotePr>
            <w:numFmt w:val="lowerLetter"/>
            <w:numRestart w:val="eachPage"/>
          </w:footnotePr>
          <w:pgSz w:w="11906" w:h="16838" w:code="9"/>
          <w:pgMar w:top="1531" w:right="1134" w:bottom="851" w:left="1134" w:header="510" w:footer="340" w:gutter="0"/>
          <w:cols w:space="708"/>
          <w:docGrid w:linePitch="360"/>
        </w:sectPr>
      </w:pPr>
    </w:p>
    <w:p w14:paraId="4AF427BF" w14:textId="765B010F" w:rsidR="005F4A7E" w:rsidRPr="002029AF" w:rsidRDefault="005F4A7E" w:rsidP="00130D1C">
      <w:pPr>
        <w:pStyle w:val="Heading5"/>
        <w:spacing w:before="0"/>
      </w:pPr>
      <w:bookmarkStart w:id="898" w:name="_Toc85121438"/>
      <w:r>
        <w:rPr>
          <w:lang w:eastAsia="en-AU"/>
        </w:rPr>
        <w:lastRenderedPageBreak/>
        <w:t xml:space="preserve">5.1.2 Carrying values by </w:t>
      </w:r>
      <w:r w:rsidR="007D145B">
        <w:rPr>
          <w:lang w:eastAsia="en-AU"/>
        </w:rPr>
        <w:t>‘</w:t>
      </w:r>
      <w:r>
        <w:rPr>
          <w:lang w:eastAsia="en-AU"/>
        </w:rPr>
        <w:t>purpose</w:t>
      </w:r>
      <w:r w:rsidR="007D145B">
        <w:rPr>
          <w:lang w:eastAsia="en-AU"/>
        </w:rPr>
        <w:t>’</w:t>
      </w:r>
      <w:r>
        <w:rPr>
          <w:lang w:eastAsia="en-AU"/>
        </w:rPr>
        <w:t xml:space="preserve"> groups </w:t>
      </w:r>
      <w:r w:rsidRPr="007146C3">
        <w:rPr>
          <w:rStyle w:val="Superscript"/>
        </w:rPr>
        <w:t>(i)</w:t>
      </w:r>
      <w:bookmarkEnd w:id="898"/>
    </w:p>
    <w:tbl>
      <w:tblPr>
        <w:tblStyle w:val="TableGrid"/>
        <w:tblW w:w="14459" w:type="dxa"/>
        <w:tblLayout w:type="fixed"/>
        <w:tblLook w:val="06A0" w:firstRow="1" w:lastRow="0" w:firstColumn="1" w:lastColumn="0" w:noHBand="1" w:noVBand="1"/>
      </w:tblPr>
      <w:tblGrid>
        <w:gridCol w:w="5952"/>
        <w:gridCol w:w="1417"/>
        <w:gridCol w:w="1418"/>
        <w:gridCol w:w="1418"/>
        <w:gridCol w:w="1418"/>
        <w:gridCol w:w="1418"/>
        <w:gridCol w:w="1418"/>
      </w:tblGrid>
      <w:tr w:rsidR="005F4A7E" w:rsidRPr="002029AF" w14:paraId="6C22C801"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5952" w:type="dxa"/>
            <w:vMerge w:val="restart"/>
            <w:noWrap/>
            <w:hideMark/>
          </w:tcPr>
          <w:p w14:paraId="13A59E89" w14:textId="77777777" w:rsidR="005F4A7E" w:rsidRPr="002029AF" w:rsidRDefault="005F4A7E" w:rsidP="00130D1C">
            <w:pPr>
              <w:pStyle w:val="ARfintablecolhead"/>
              <w:spacing w:before="10" w:after="0"/>
            </w:pPr>
            <w:r w:rsidRPr="00CA39EB">
              <w:t>Nature-</w:t>
            </w:r>
            <w:r w:rsidRPr="00230DAB">
              <w:t>based</w:t>
            </w:r>
            <w:r w:rsidRPr="002029AF">
              <w:t xml:space="preserve"> classification</w:t>
            </w:r>
          </w:p>
        </w:tc>
        <w:tc>
          <w:tcPr>
            <w:tcW w:w="2835" w:type="dxa"/>
            <w:gridSpan w:val="2"/>
            <w:hideMark/>
          </w:tcPr>
          <w:p w14:paraId="53BFA092" w14:textId="77777777" w:rsidR="005F4A7E" w:rsidRPr="002029AF" w:rsidRDefault="005F4A7E" w:rsidP="00860E95">
            <w:pPr>
              <w:pStyle w:val="ARfintablecolheadcentre"/>
              <w:spacing w:before="10" w:after="0"/>
            </w:pPr>
            <w:r w:rsidRPr="002029AF">
              <w:t>Health and Welfare</w:t>
            </w:r>
          </w:p>
        </w:tc>
        <w:tc>
          <w:tcPr>
            <w:tcW w:w="2836" w:type="dxa"/>
            <w:gridSpan w:val="2"/>
            <w:hideMark/>
          </w:tcPr>
          <w:p w14:paraId="797FE0B8" w14:textId="77777777" w:rsidR="005F4A7E" w:rsidRPr="002029AF" w:rsidRDefault="005F4A7E" w:rsidP="00860E95">
            <w:pPr>
              <w:pStyle w:val="ARfintablecolheadcentre"/>
              <w:spacing w:before="10" w:after="0"/>
            </w:pPr>
            <w:r w:rsidRPr="002029AF">
              <w:t>Housing</w:t>
            </w:r>
          </w:p>
        </w:tc>
        <w:tc>
          <w:tcPr>
            <w:tcW w:w="2836" w:type="dxa"/>
            <w:gridSpan w:val="2"/>
            <w:hideMark/>
          </w:tcPr>
          <w:p w14:paraId="39DCF153" w14:textId="77777777" w:rsidR="005F4A7E" w:rsidRPr="002029AF" w:rsidRDefault="005F4A7E" w:rsidP="00860E95">
            <w:pPr>
              <w:pStyle w:val="ARfintablecolheadcentre"/>
              <w:spacing w:before="10" w:after="0"/>
            </w:pPr>
            <w:r w:rsidRPr="002029AF">
              <w:t>Total</w:t>
            </w:r>
          </w:p>
        </w:tc>
      </w:tr>
      <w:tr w:rsidR="005F4A7E" w:rsidRPr="002029AF" w14:paraId="231BBAF1"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5952" w:type="dxa"/>
            <w:vMerge/>
            <w:tcBorders>
              <w:bottom w:val="single" w:sz="4" w:space="0" w:color="auto"/>
            </w:tcBorders>
            <w:hideMark/>
          </w:tcPr>
          <w:p w14:paraId="0D5FB9D0" w14:textId="77777777" w:rsidR="005F4A7E" w:rsidRPr="002029AF" w:rsidRDefault="005F4A7E" w:rsidP="00130D1C">
            <w:pPr>
              <w:pStyle w:val="ARfintablecolhead"/>
              <w:spacing w:before="10" w:after="0"/>
            </w:pPr>
          </w:p>
        </w:tc>
        <w:tc>
          <w:tcPr>
            <w:tcW w:w="1417" w:type="dxa"/>
            <w:tcBorders>
              <w:bottom w:val="single" w:sz="4" w:space="0" w:color="auto"/>
            </w:tcBorders>
            <w:shd w:val="clear" w:color="auto" w:fill="E7E6E6"/>
            <w:hideMark/>
          </w:tcPr>
          <w:p w14:paraId="2C682652" w14:textId="77777777" w:rsidR="005F4A7E" w:rsidRPr="002029AF" w:rsidRDefault="005F4A7E" w:rsidP="00130D1C">
            <w:pPr>
              <w:pStyle w:val="ARfintablecolheadright"/>
              <w:spacing w:before="10" w:after="0"/>
            </w:pPr>
            <w:r>
              <w:t>2021</w:t>
            </w:r>
          </w:p>
          <w:p w14:paraId="3292F5C0" w14:textId="77777777" w:rsidR="005F4A7E" w:rsidRPr="002029AF" w:rsidRDefault="005F4A7E" w:rsidP="00130D1C">
            <w:pPr>
              <w:pStyle w:val="ARfintablecolheadright"/>
              <w:spacing w:before="10" w:after="0"/>
            </w:pPr>
            <w:r w:rsidRPr="002029AF">
              <w:t>$M</w:t>
            </w:r>
          </w:p>
        </w:tc>
        <w:tc>
          <w:tcPr>
            <w:tcW w:w="1418" w:type="dxa"/>
            <w:tcBorders>
              <w:bottom w:val="single" w:sz="4" w:space="0" w:color="auto"/>
            </w:tcBorders>
            <w:hideMark/>
          </w:tcPr>
          <w:p w14:paraId="4AEA980C" w14:textId="77777777" w:rsidR="005F4A7E" w:rsidRPr="002029AF" w:rsidRDefault="005F4A7E" w:rsidP="00130D1C">
            <w:pPr>
              <w:pStyle w:val="ARfintablecolheadright"/>
              <w:spacing w:before="10" w:after="0"/>
            </w:pPr>
            <w:r>
              <w:t>2020</w:t>
            </w:r>
          </w:p>
          <w:p w14:paraId="24D7E146" w14:textId="77777777" w:rsidR="005F4A7E" w:rsidRPr="002029AF" w:rsidRDefault="005F4A7E" w:rsidP="00130D1C">
            <w:pPr>
              <w:pStyle w:val="ARfintablecolheadright"/>
              <w:spacing w:before="10" w:after="0"/>
            </w:pPr>
            <w:r w:rsidRPr="002029AF">
              <w:t>$M</w:t>
            </w:r>
          </w:p>
        </w:tc>
        <w:tc>
          <w:tcPr>
            <w:tcW w:w="1418" w:type="dxa"/>
            <w:tcBorders>
              <w:bottom w:val="single" w:sz="4" w:space="0" w:color="auto"/>
            </w:tcBorders>
            <w:shd w:val="clear" w:color="auto" w:fill="E7E6E6"/>
            <w:hideMark/>
          </w:tcPr>
          <w:p w14:paraId="08E9F6E7" w14:textId="77777777" w:rsidR="005F4A7E" w:rsidRPr="002029AF" w:rsidRDefault="005F4A7E" w:rsidP="00130D1C">
            <w:pPr>
              <w:pStyle w:val="ARfintablecolheadright"/>
              <w:spacing w:before="10" w:after="0"/>
            </w:pPr>
            <w:r>
              <w:t>2021</w:t>
            </w:r>
          </w:p>
          <w:p w14:paraId="12B19F70" w14:textId="77777777" w:rsidR="005F4A7E" w:rsidRPr="002029AF" w:rsidRDefault="005F4A7E" w:rsidP="00130D1C">
            <w:pPr>
              <w:pStyle w:val="ARfintablecolheadright"/>
              <w:spacing w:before="10" w:after="0"/>
            </w:pPr>
            <w:r w:rsidRPr="002029AF">
              <w:t>$M</w:t>
            </w:r>
          </w:p>
        </w:tc>
        <w:tc>
          <w:tcPr>
            <w:tcW w:w="1418" w:type="dxa"/>
            <w:tcBorders>
              <w:bottom w:val="single" w:sz="4" w:space="0" w:color="auto"/>
            </w:tcBorders>
            <w:hideMark/>
          </w:tcPr>
          <w:p w14:paraId="433E42E9" w14:textId="77777777" w:rsidR="005F4A7E" w:rsidRPr="002029AF" w:rsidRDefault="005F4A7E" w:rsidP="00130D1C">
            <w:pPr>
              <w:pStyle w:val="ARfintablecolheadright"/>
              <w:spacing w:before="10" w:after="0"/>
            </w:pPr>
            <w:r>
              <w:t>2020</w:t>
            </w:r>
          </w:p>
          <w:p w14:paraId="4699B977" w14:textId="77777777" w:rsidR="005F4A7E" w:rsidRPr="002029AF" w:rsidRDefault="005F4A7E" w:rsidP="00130D1C">
            <w:pPr>
              <w:pStyle w:val="ARfintablecolheadright"/>
              <w:spacing w:before="10" w:after="0"/>
            </w:pPr>
            <w:r w:rsidRPr="002029AF">
              <w:t>$M</w:t>
            </w:r>
          </w:p>
        </w:tc>
        <w:tc>
          <w:tcPr>
            <w:tcW w:w="1418" w:type="dxa"/>
            <w:tcBorders>
              <w:bottom w:val="single" w:sz="4" w:space="0" w:color="auto"/>
            </w:tcBorders>
            <w:shd w:val="clear" w:color="auto" w:fill="E7E6E6"/>
            <w:hideMark/>
          </w:tcPr>
          <w:p w14:paraId="126CD563" w14:textId="77777777" w:rsidR="005F4A7E" w:rsidRPr="002029AF" w:rsidRDefault="005F4A7E" w:rsidP="00130D1C">
            <w:pPr>
              <w:pStyle w:val="ARfintablecolheadright"/>
              <w:spacing w:before="10" w:after="0"/>
            </w:pPr>
            <w:r>
              <w:t>2021</w:t>
            </w:r>
          </w:p>
          <w:p w14:paraId="7442F18E" w14:textId="77777777" w:rsidR="005F4A7E" w:rsidRPr="002029AF" w:rsidRDefault="005F4A7E" w:rsidP="00130D1C">
            <w:pPr>
              <w:pStyle w:val="ARfintablecolheadright"/>
              <w:spacing w:before="10" w:after="0"/>
            </w:pPr>
            <w:r w:rsidRPr="002029AF">
              <w:t>$M</w:t>
            </w:r>
          </w:p>
        </w:tc>
        <w:tc>
          <w:tcPr>
            <w:tcW w:w="1418" w:type="dxa"/>
            <w:tcBorders>
              <w:bottom w:val="single" w:sz="4" w:space="0" w:color="auto"/>
            </w:tcBorders>
            <w:hideMark/>
          </w:tcPr>
          <w:p w14:paraId="4739D670" w14:textId="77777777" w:rsidR="005F4A7E" w:rsidRPr="002029AF" w:rsidRDefault="005F4A7E" w:rsidP="00130D1C">
            <w:pPr>
              <w:pStyle w:val="ARfintablecolheadright"/>
              <w:spacing w:before="10" w:after="0"/>
            </w:pPr>
            <w:r>
              <w:t>2020</w:t>
            </w:r>
          </w:p>
          <w:p w14:paraId="10E4584A" w14:textId="77777777" w:rsidR="005F4A7E" w:rsidRPr="002029AF" w:rsidRDefault="005F4A7E" w:rsidP="00130D1C">
            <w:pPr>
              <w:pStyle w:val="ARfintablecolheadright"/>
              <w:spacing w:before="10" w:after="0"/>
            </w:pPr>
            <w:r w:rsidRPr="002029AF">
              <w:t>$M</w:t>
            </w:r>
          </w:p>
        </w:tc>
      </w:tr>
      <w:tr w:rsidR="005F4A7E" w:rsidRPr="002029AF" w14:paraId="0E871FF0" w14:textId="77777777" w:rsidTr="00860E95">
        <w:tc>
          <w:tcPr>
            <w:tcW w:w="14459" w:type="dxa"/>
            <w:gridSpan w:val="7"/>
            <w:tcBorders>
              <w:top w:val="single" w:sz="4" w:space="0" w:color="auto"/>
              <w:bottom w:val="single" w:sz="4" w:space="0" w:color="A6A6A6"/>
            </w:tcBorders>
            <w:hideMark/>
          </w:tcPr>
          <w:p w14:paraId="79DF81E5" w14:textId="77777777" w:rsidR="005F4A7E" w:rsidRPr="002029AF" w:rsidRDefault="005F4A7E" w:rsidP="00130D1C">
            <w:pPr>
              <w:pStyle w:val="ARfintablebodybold"/>
            </w:pPr>
            <w:r w:rsidRPr="00186661">
              <w:t>Land at fair value</w:t>
            </w:r>
          </w:p>
        </w:tc>
      </w:tr>
      <w:tr w:rsidR="005F4A7E" w:rsidRPr="002029AF" w14:paraId="4BD4A1FE" w14:textId="77777777" w:rsidTr="00860E95">
        <w:tc>
          <w:tcPr>
            <w:tcW w:w="5952" w:type="dxa"/>
            <w:tcBorders>
              <w:top w:val="single" w:sz="4" w:space="0" w:color="A6A6A6"/>
              <w:bottom w:val="single" w:sz="4" w:space="0" w:color="A6A6A6"/>
            </w:tcBorders>
            <w:hideMark/>
          </w:tcPr>
          <w:p w14:paraId="70E0E378" w14:textId="77777777" w:rsidR="005F4A7E" w:rsidRPr="002029AF" w:rsidRDefault="005F4A7E" w:rsidP="00130D1C">
            <w:pPr>
              <w:pStyle w:val="ARfintablebody"/>
            </w:pPr>
            <w:r w:rsidRPr="00186661">
              <w:t>Rental property</w:t>
            </w:r>
          </w:p>
        </w:tc>
        <w:tc>
          <w:tcPr>
            <w:tcW w:w="1417" w:type="dxa"/>
            <w:tcBorders>
              <w:top w:val="single" w:sz="4" w:space="0" w:color="A6A6A6"/>
              <w:bottom w:val="single" w:sz="4" w:space="0" w:color="A6A6A6"/>
            </w:tcBorders>
            <w:shd w:val="clear" w:color="auto" w:fill="E7E6E6"/>
            <w:noWrap/>
            <w:hideMark/>
          </w:tcPr>
          <w:p w14:paraId="7E837604" w14:textId="77777777" w:rsidR="005F4A7E" w:rsidRPr="002029AF" w:rsidRDefault="005F4A7E" w:rsidP="00130D1C">
            <w:pPr>
              <w:pStyle w:val="ARfintablebodyright"/>
            </w:pPr>
            <w:r w:rsidRPr="00186661">
              <w:t>–</w:t>
            </w:r>
          </w:p>
        </w:tc>
        <w:tc>
          <w:tcPr>
            <w:tcW w:w="1418" w:type="dxa"/>
            <w:tcBorders>
              <w:top w:val="single" w:sz="4" w:space="0" w:color="A6A6A6"/>
              <w:bottom w:val="single" w:sz="4" w:space="0" w:color="A6A6A6"/>
            </w:tcBorders>
            <w:noWrap/>
            <w:hideMark/>
          </w:tcPr>
          <w:p w14:paraId="14536860" w14:textId="77777777" w:rsidR="005F4A7E" w:rsidRPr="002029AF" w:rsidRDefault="005F4A7E" w:rsidP="00130D1C">
            <w:pPr>
              <w:pStyle w:val="ARfintablebodyright"/>
            </w:pPr>
            <w:r w:rsidRPr="00186661">
              <w:t>–</w:t>
            </w:r>
          </w:p>
        </w:tc>
        <w:tc>
          <w:tcPr>
            <w:tcW w:w="1418" w:type="dxa"/>
            <w:tcBorders>
              <w:top w:val="single" w:sz="4" w:space="0" w:color="A6A6A6"/>
              <w:bottom w:val="single" w:sz="4" w:space="0" w:color="A6A6A6"/>
            </w:tcBorders>
            <w:shd w:val="clear" w:color="auto" w:fill="E7E6E6"/>
            <w:noWrap/>
            <w:hideMark/>
          </w:tcPr>
          <w:p w14:paraId="5ED7D429" w14:textId="77777777" w:rsidR="005F4A7E" w:rsidRPr="002029AF" w:rsidRDefault="005F4A7E" w:rsidP="00130D1C">
            <w:pPr>
              <w:pStyle w:val="ARfintablebodyright"/>
            </w:pPr>
            <w:r w:rsidRPr="00186661">
              <w:t>21,599.2</w:t>
            </w:r>
          </w:p>
        </w:tc>
        <w:tc>
          <w:tcPr>
            <w:tcW w:w="1418" w:type="dxa"/>
            <w:tcBorders>
              <w:top w:val="single" w:sz="4" w:space="0" w:color="A6A6A6"/>
              <w:bottom w:val="single" w:sz="4" w:space="0" w:color="A6A6A6"/>
            </w:tcBorders>
            <w:noWrap/>
            <w:hideMark/>
          </w:tcPr>
          <w:p w14:paraId="18F305F5" w14:textId="77777777" w:rsidR="005F4A7E" w:rsidRPr="002029AF" w:rsidRDefault="005F4A7E" w:rsidP="00130D1C">
            <w:pPr>
              <w:pStyle w:val="ARfintablebodyright"/>
            </w:pPr>
            <w:r w:rsidRPr="00186661">
              <w:t>17,325.6</w:t>
            </w:r>
          </w:p>
        </w:tc>
        <w:tc>
          <w:tcPr>
            <w:tcW w:w="1418" w:type="dxa"/>
            <w:tcBorders>
              <w:top w:val="single" w:sz="4" w:space="0" w:color="A6A6A6"/>
              <w:bottom w:val="single" w:sz="4" w:space="0" w:color="A6A6A6"/>
            </w:tcBorders>
            <w:shd w:val="clear" w:color="auto" w:fill="E7E6E6"/>
            <w:noWrap/>
            <w:hideMark/>
          </w:tcPr>
          <w:p w14:paraId="3E385268" w14:textId="77777777" w:rsidR="005F4A7E" w:rsidRPr="002029AF" w:rsidRDefault="005F4A7E" w:rsidP="00130D1C">
            <w:pPr>
              <w:pStyle w:val="ARfintablebodyright"/>
            </w:pPr>
            <w:r w:rsidRPr="00186661">
              <w:t>21,599.2</w:t>
            </w:r>
          </w:p>
        </w:tc>
        <w:tc>
          <w:tcPr>
            <w:tcW w:w="1418" w:type="dxa"/>
            <w:tcBorders>
              <w:top w:val="single" w:sz="4" w:space="0" w:color="A6A6A6"/>
              <w:bottom w:val="single" w:sz="4" w:space="0" w:color="A6A6A6"/>
            </w:tcBorders>
            <w:noWrap/>
            <w:hideMark/>
          </w:tcPr>
          <w:p w14:paraId="11BE47C9" w14:textId="77777777" w:rsidR="005F4A7E" w:rsidRPr="002029AF" w:rsidRDefault="005F4A7E" w:rsidP="00130D1C">
            <w:pPr>
              <w:pStyle w:val="ARfintablebodyright"/>
            </w:pPr>
            <w:r w:rsidRPr="00186661">
              <w:t>17,325.6</w:t>
            </w:r>
          </w:p>
        </w:tc>
      </w:tr>
      <w:tr w:rsidR="005F4A7E" w:rsidRPr="002029AF" w14:paraId="4D276F21" w14:textId="77777777" w:rsidTr="00860E95">
        <w:tc>
          <w:tcPr>
            <w:tcW w:w="5952" w:type="dxa"/>
            <w:tcBorders>
              <w:top w:val="single" w:sz="4" w:space="0" w:color="A6A6A6"/>
              <w:bottom w:val="single" w:sz="4" w:space="0" w:color="A6A6A6"/>
            </w:tcBorders>
            <w:hideMark/>
          </w:tcPr>
          <w:p w14:paraId="37575B0D" w14:textId="77777777" w:rsidR="005F4A7E" w:rsidRPr="002029AF" w:rsidRDefault="005F4A7E" w:rsidP="00130D1C">
            <w:pPr>
              <w:pStyle w:val="ARfintablebody"/>
            </w:pPr>
            <w:r w:rsidRPr="00186661">
              <w:t>Community services</w:t>
            </w:r>
          </w:p>
        </w:tc>
        <w:tc>
          <w:tcPr>
            <w:tcW w:w="1417" w:type="dxa"/>
            <w:tcBorders>
              <w:top w:val="single" w:sz="4" w:space="0" w:color="A6A6A6"/>
              <w:bottom w:val="single" w:sz="4" w:space="0" w:color="A6A6A6"/>
            </w:tcBorders>
            <w:shd w:val="clear" w:color="auto" w:fill="E7E6E6"/>
            <w:noWrap/>
            <w:hideMark/>
          </w:tcPr>
          <w:p w14:paraId="2D4CCA08" w14:textId="77777777" w:rsidR="005F4A7E" w:rsidRPr="002029AF" w:rsidRDefault="005F4A7E" w:rsidP="00130D1C">
            <w:pPr>
              <w:pStyle w:val="ARfintablebodyright"/>
            </w:pPr>
            <w:r w:rsidRPr="00186661">
              <w:t>1,045.5</w:t>
            </w:r>
          </w:p>
        </w:tc>
        <w:tc>
          <w:tcPr>
            <w:tcW w:w="1418" w:type="dxa"/>
            <w:tcBorders>
              <w:top w:val="single" w:sz="4" w:space="0" w:color="A6A6A6"/>
              <w:bottom w:val="single" w:sz="4" w:space="0" w:color="A6A6A6"/>
            </w:tcBorders>
            <w:noWrap/>
            <w:hideMark/>
          </w:tcPr>
          <w:p w14:paraId="75EF533E" w14:textId="77777777" w:rsidR="005F4A7E" w:rsidRPr="002029AF" w:rsidRDefault="005F4A7E" w:rsidP="00130D1C">
            <w:pPr>
              <w:pStyle w:val="ARfintablebodyright"/>
            </w:pPr>
            <w:r w:rsidRPr="00186661">
              <w:t>761.1</w:t>
            </w:r>
          </w:p>
        </w:tc>
        <w:tc>
          <w:tcPr>
            <w:tcW w:w="1418" w:type="dxa"/>
            <w:tcBorders>
              <w:top w:val="single" w:sz="4" w:space="0" w:color="A6A6A6"/>
              <w:bottom w:val="single" w:sz="4" w:space="0" w:color="A6A6A6"/>
            </w:tcBorders>
            <w:shd w:val="clear" w:color="auto" w:fill="E7E6E6"/>
            <w:noWrap/>
            <w:hideMark/>
          </w:tcPr>
          <w:p w14:paraId="79597685" w14:textId="77777777" w:rsidR="005F4A7E" w:rsidRPr="002029AF" w:rsidRDefault="005F4A7E" w:rsidP="00130D1C">
            <w:pPr>
              <w:pStyle w:val="ARfintablebodyright"/>
            </w:pPr>
            <w:r w:rsidRPr="00186661">
              <w:t>–</w:t>
            </w:r>
          </w:p>
        </w:tc>
        <w:tc>
          <w:tcPr>
            <w:tcW w:w="1418" w:type="dxa"/>
            <w:tcBorders>
              <w:top w:val="single" w:sz="4" w:space="0" w:color="A6A6A6"/>
              <w:bottom w:val="single" w:sz="4" w:space="0" w:color="A6A6A6"/>
            </w:tcBorders>
            <w:noWrap/>
            <w:hideMark/>
          </w:tcPr>
          <w:p w14:paraId="7824B60A" w14:textId="77777777" w:rsidR="005F4A7E" w:rsidRPr="002029AF" w:rsidRDefault="005F4A7E" w:rsidP="00130D1C">
            <w:pPr>
              <w:pStyle w:val="ARfintablebodyright"/>
            </w:pPr>
            <w:r w:rsidRPr="00186661">
              <w:t>–</w:t>
            </w:r>
          </w:p>
        </w:tc>
        <w:tc>
          <w:tcPr>
            <w:tcW w:w="1418" w:type="dxa"/>
            <w:tcBorders>
              <w:top w:val="single" w:sz="4" w:space="0" w:color="A6A6A6"/>
              <w:bottom w:val="single" w:sz="4" w:space="0" w:color="A6A6A6"/>
            </w:tcBorders>
            <w:shd w:val="clear" w:color="auto" w:fill="E7E6E6"/>
            <w:noWrap/>
            <w:hideMark/>
          </w:tcPr>
          <w:p w14:paraId="336882DD" w14:textId="77777777" w:rsidR="005F4A7E" w:rsidRPr="002029AF" w:rsidRDefault="005F4A7E" w:rsidP="00130D1C">
            <w:pPr>
              <w:pStyle w:val="ARfintablebodyright"/>
            </w:pPr>
            <w:r w:rsidRPr="00186661">
              <w:t>1,045.5</w:t>
            </w:r>
          </w:p>
        </w:tc>
        <w:tc>
          <w:tcPr>
            <w:tcW w:w="1418" w:type="dxa"/>
            <w:tcBorders>
              <w:top w:val="single" w:sz="4" w:space="0" w:color="A6A6A6"/>
              <w:bottom w:val="single" w:sz="4" w:space="0" w:color="A6A6A6"/>
            </w:tcBorders>
            <w:noWrap/>
            <w:hideMark/>
          </w:tcPr>
          <w:p w14:paraId="4B711B0C" w14:textId="77777777" w:rsidR="005F4A7E" w:rsidRPr="002029AF" w:rsidRDefault="005F4A7E" w:rsidP="00130D1C">
            <w:pPr>
              <w:pStyle w:val="ARfintablebodyright"/>
            </w:pPr>
            <w:r w:rsidRPr="00186661">
              <w:t>761.1</w:t>
            </w:r>
          </w:p>
        </w:tc>
      </w:tr>
      <w:tr w:rsidR="005F4A7E" w:rsidRPr="002029AF" w14:paraId="635E15A2" w14:textId="77777777" w:rsidTr="00860E95">
        <w:tc>
          <w:tcPr>
            <w:tcW w:w="5952" w:type="dxa"/>
            <w:tcBorders>
              <w:top w:val="single" w:sz="4" w:space="0" w:color="A6A6A6"/>
              <w:bottom w:val="single" w:sz="4" w:space="0" w:color="A6A6A6"/>
            </w:tcBorders>
            <w:hideMark/>
          </w:tcPr>
          <w:p w14:paraId="7CDF21AC" w14:textId="77777777" w:rsidR="005F4A7E" w:rsidRPr="002029AF" w:rsidRDefault="005F4A7E" w:rsidP="00130D1C">
            <w:pPr>
              <w:pStyle w:val="ARfintablebody"/>
            </w:pPr>
            <w:r w:rsidRPr="00186661">
              <w:t>Right-of-use land</w:t>
            </w:r>
          </w:p>
        </w:tc>
        <w:tc>
          <w:tcPr>
            <w:tcW w:w="1417" w:type="dxa"/>
            <w:tcBorders>
              <w:top w:val="single" w:sz="4" w:space="0" w:color="A6A6A6"/>
              <w:bottom w:val="single" w:sz="4" w:space="0" w:color="A6A6A6"/>
            </w:tcBorders>
            <w:shd w:val="clear" w:color="auto" w:fill="E7E6E6"/>
            <w:noWrap/>
            <w:hideMark/>
          </w:tcPr>
          <w:p w14:paraId="171BB7C7" w14:textId="77777777" w:rsidR="005F4A7E" w:rsidRPr="002029AF" w:rsidRDefault="005F4A7E" w:rsidP="00130D1C">
            <w:pPr>
              <w:pStyle w:val="ARfintablebodyright"/>
            </w:pPr>
            <w:r w:rsidRPr="00186661">
              <w:t>–</w:t>
            </w:r>
          </w:p>
        </w:tc>
        <w:tc>
          <w:tcPr>
            <w:tcW w:w="1418" w:type="dxa"/>
            <w:tcBorders>
              <w:top w:val="single" w:sz="4" w:space="0" w:color="A6A6A6"/>
              <w:bottom w:val="single" w:sz="4" w:space="0" w:color="A6A6A6"/>
            </w:tcBorders>
            <w:noWrap/>
            <w:hideMark/>
          </w:tcPr>
          <w:p w14:paraId="1D65FD2D" w14:textId="77777777" w:rsidR="005F4A7E" w:rsidRPr="002029AF" w:rsidRDefault="005F4A7E" w:rsidP="00130D1C">
            <w:pPr>
              <w:pStyle w:val="ARfintablebodyright"/>
            </w:pPr>
            <w:r w:rsidRPr="00186661">
              <w:t>–</w:t>
            </w:r>
          </w:p>
        </w:tc>
        <w:tc>
          <w:tcPr>
            <w:tcW w:w="1418" w:type="dxa"/>
            <w:tcBorders>
              <w:top w:val="single" w:sz="4" w:space="0" w:color="A6A6A6"/>
              <w:bottom w:val="single" w:sz="4" w:space="0" w:color="A6A6A6"/>
            </w:tcBorders>
            <w:shd w:val="clear" w:color="auto" w:fill="E7E6E6"/>
            <w:noWrap/>
            <w:hideMark/>
          </w:tcPr>
          <w:p w14:paraId="6CAE5D72" w14:textId="77777777" w:rsidR="005F4A7E" w:rsidRPr="002029AF" w:rsidRDefault="005F4A7E" w:rsidP="00130D1C">
            <w:pPr>
              <w:pStyle w:val="ARfintablebodyright"/>
            </w:pPr>
            <w:r w:rsidRPr="00186661">
              <w:t>10.6</w:t>
            </w:r>
          </w:p>
        </w:tc>
        <w:tc>
          <w:tcPr>
            <w:tcW w:w="1418" w:type="dxa"/>
            <w:tcBorders>
              <w:top w:val="single" w:sz="4" w:space="0" w:color="A6A6A6"/>
              <w:bottom w:val="single" w:sz="4" w:space="0" w:color="A6A6A6"/>
            </w:tcBorders>
            <w:noWrap/>
            <w:hideMark/>
          </w:tcPr>
          <w:p w14:paraId="7843BDCB" w14:textId="77777777" w:rsidR="005F4A7E" w:rsidRPr="002029AF" w:rsidRDefault="005F4A7E" w:rsidP="00130D1C">
            <w:pPr>
              <w:pStyle w:val="ARfintablebodyright"/>
            </w:pPr>
            <w:r w:rsidRPr="00186661">
              <w:t>11.6</w:t>
            </w:r>
          </w:p>
        </w:tc>
        <w:tc>
          <w:tcPr>
            <w:tcW w:w="1418" w:type="dxa"/>
            <w:tcBorders>
              <w:top w:val="single" w:sz="4" w:space="0" w:color="A6A6A6"/>
              <w:bottom w:val="single" w:sz="4" w:space="0" w:color="A6A6A6"/>
            </w:tcBorders>
            <w:shd w:val="clear" w:color="auto" w:fill="E7E6E6"/>
            <w:noWrap/>
            <w:hideMark/>
          </w:tcPr>
          <w:p w14:paraId="59D51DCA" w14:textId="77777777" w:rsidR="005F4A7E" w:rsidRPr="002029AF" w:rsidRDefault="005F4A7E" w:rsidP="00130D1C">
            <w:pPr>
              <w:pStyle w:val="ARfintablebodyright"/>
            </w:pPr>
            <w:r w:rsidRPr="00186661">
              <w:t>10.6</w:t>
            </w:r>
          </w:p>
        </w:tc>
        <w:tc>
          <w:tcPr>
            <w:tcW w:w="1418" w:type="dxa"/>
            <w:tcBorders>
              <w:top w:val="single" w:sz="4" w:space="0" w:color="A6A6A6"/>
              <w:bottom w:val="single" w:sz="4" w:space="0" w:color="A6A6A6"/>
            </w:tcBorders>
            <w:noWrap/>
            <w:hideMark/>
          </w:tcPr>
          <w:p w14:paraId="5FE4B0C3" w14:textId="77777777" w:rsidR="005F4A7E" w:rsidRPr="002029AF" w:rsidRDefault="005F4A7E" w:rsidP="00130D1C">
            <w:pPr>
              <w:pStyle w:val="ARfintablebodyright"/>
            </w:pPr>
            <w:r w:rsidRPr="00186661">
              <w:t>11.6</w:t>
            </w:r>
          </w:p>
        </w:tc>
      </w:tr>
      <w:tr w:rsidR="005F4A7E" w:rsidRPr="002029AF" w14:paraId="52C01E85" w14:textId="77777777" w:rsidTr="00860E95">
        <w:tc>
          <w:tcPr>
            <w:tcW w:w="5952" w:type="dxa"/>
            <w:tcBorders>
              <w:top w:val="single" w:sz="4" w:space="0" w:color="A6A6A6"/>
              <w:bottom w:val="single" w:sz="4" w:space="0" w:color="A6A6A6"/>
            </w:tcBorders>
            <w:hideMark/>
          </w:tcPr>
          <w:p w14:paraId="2B70DE2A" w14:textId="77777777" w:rsidR="005F4A7E" w:rsidRPr="002029AF" w:rsidRDefault="005F4A7E" w:rsidP="00130D1C">
            <w:pPr>
              <w:pStyle w:val="ARfintablebody"/>
            </w:pPr>
            <w:r w:rsidRPr="00186661">
              <w:t>Service concession land</w:t>
            </w:r>
          </w:p>
        </w:tc>
        <w:tc>
          <w:tcPr>
            <w:tcW w:w="1417" w:type="dxa"/>
            <w:tcBorders>
              <w:top w:val="single" w:sz="4" w:space="0" w:color="A6A6A6"/>
              <w:bottom w:val="single" w:sz="4" w:space="0" w:color="A6A6A6"/>
            </w:tcBorders>
            <w:shd w:val="clear" w:color="auto" w:fill="E7E6E6"/>
            <w:noWrap/>
            <w:hideMark/>
          </w:tcPr>
          <w:p w14:paraId="2407C3D5" w14:textId="77777777" w:rsidR="005F4A7E" w:rsidRPr="002029AF" w:rsidRDefault="005F4A7E" w:rsidP="00130D1C">
            <w:pPr>
              <w:pStyle w:val="ARfintablebodyright"/>
            </w:pPr>
            <w:r w:rsidRPr="00186661">
              <w:t>429.1</w:t>
            </w:r>
          </w:p>
        </w:tc>
        <w:tc>
          <w:tcPr>
            <w:tcW w:w="1418" w:type="dxa"/>
            <w:tcBorders>
              <w:top w:val="single" w:sz="4" w:space="0" w:color="A6A6A6"/>
              <w:bottom w:val="single" w:sz="4" w:space="0" w:color="A6A6A6"/>
            </w:tcBorders>
            <w:noWrap/>
            <w:hideMark/>
          </w:tcPr>
          <w:p w14:paraId="58F07C4C" w14:textId="77777777" w:rsidR="005F4A7E" w:rsidRPr="002029AF" w:rsidRDefault="005F4A7E" w:rsidP="00130D1C">
            <w:pPr>
              <w:pStyle w:val="ARfintablebodyright"/>
            </w:pPr>
            <w:r w:rsidRPr="00186661">
              <w:t>430.4</w:t>
            </w:r>
          </w:p>
        </w:tc>
        <w:tc>
          <w:tcPr>
            <w:tcW w:w="1418" w:type="dxa"/>
            <w:tcBorders>
              <w:top w:val="single" w:sz="4" w:space="0" w:color="A6A6A6"/>
              <w:bottom w:val="single" w:sz="4" w:space="0" w:color="A6A6A6"/>
            </w:tcBorders>
            <w:shd w:val="clear" w:color="auto" w:fill="E7E6E6"/>
            <w:noWrap/>
            <w:hideMark/>
          </w:tcPr>
          <w:p w14:paraId="1CDD591C" w14:textId="77777777" w:rsidR="005F4A7E" w:rsidRPr="002029AF" w:rsidRDefault="005F4A7E" w:rsidP="00130D1C">
            <w:pPr>
              <w:pStyle w:val="ARfintablebodyright"/>
            </w:pPr>
            <w:r w:rsidRPr="00186661">
              <w:t>–</w:t>
            </w:r>
          </w:p>
        </w:tc>
        <w:tc>
          <w:tcPr>
            <w:tcW w:w="1418" w:type="dxa"/>
            <w:tcBorders>
              <w:top w:val="single" w:sz="4" w:space="0" w:color="A6A6A6"/>
              <w:bottom w:val="single" w:sz="4" w:space="0" w:color="A6A6A6"/>
            </w:tcBorders>
            <w:noWrap/>
            <w:hideMark/>
          </w:tcPr>
          <w:p w14:paraId="72B0576B" w14:textId="77777777" w:rsidR="005F4A7E" w:rsidRPr="002029AF" w:rsidRDefault="005F4A7E" w:rsidP="00130D1C">
            <w:pPr>
              <w:pStyle w:val="ARfintablebodyright"/>
            </w:pPr>
            <w:r w:rsidRPr="00186661">
              <w:t>–</w:t>
            </w:r>
          </w:p>
        </w:tc>
        <w:tc>
          <w:tcPr>
            <w:tcW w:w="1418" w:type="dxa"/>
            <w:tcBorders>
              <w:top w:val="single" w:sz="4" w:space="0" w:color="A6A6A6"/>
              <w:bottom w:val="single" w:sz="4" w:space="0" w:color="A6A6A6"/>
            </w:tcBorders>
            <w:shd w:val="clear" w:color="auto" w:fill="E7E6E6"/>
            <w:noWrap/>
            <w:hideMark/>
          </w:tcPr>
          <w:p w14:paraId="72169250" w14:textId="77777777" w:rsidR="005F4A7E" w:rsidRPr="002029AF" w:rsidRDefault="005F4A7E" w:rsidP="00130D1C">
            <w:pPr>
              <w:pStyle w:val="ARfintablebodyright"/>
            </w:pPr>
            <w:r w:rsidRPr="00186661">
              <w:t>429.1</w:t>
            </w:r>
          </w:p>
        </w:tc>
        <w:tc>
          <w:tcPr>
            <w:tcW w:w="1418" w:type="dxa"/>
            <w:tcBorders>
              <w:top w:val="single" w:sz="4" w:space="0" w:color="A6A6A6"/>
              <w:bottom w:val="single" w:sz="4" w:space="0" w:color="A6A6A6"/>
            </w:tcBorders>
            <w:noWrap/>
            <w:hideMark/>
          </w:tcPr>
          <w:p w14:paraId="66F7FD5F" w14:textId="77777777" w:rsidR="005F4A7E" w:rsidRPr="002029AF" w:rsidRDefault="005F4A7E" w:rsidP="00130D1C">
            <w:pPr>
              <w:pStyle w:val="ARfintablebodyright"/>
            </w:pPr>
            <w:r w:rsidRPr="00186661">
              <w:t>430.4</w:t>
            </w:r>
          </w:p>
        </w:tc>
      </w:tr>
      <w:tr w:rsidR="005F4A7E" w:rsidRPr="002029AF" w14:paraId="3ECA0820" w14:textId="77777777" w:rsidTr="00860E95">
        <w:tc>
          <w:tcPr>
            <w:tcW w:w="5952" w:type="dxa"/>
            <w:tcBorders>
              <w:top w:val="single" w:sz="4" w:space="0" w:color="A6A6A6"/>
              <w:bottom w:val="single" w:sz="4" w:space="0" w:color="A6A6A6"/>
            </w:tcBorders>
            <w:hideMark/>
          </w:tcPr>
          <w:p w14:paraId="2F5FBB92" w14:textId="77777777" w:rsidR="005F4A7E" w:rsidRPr="009B76F6" w:rsidRDefault="005F4A7E" w:rsidP="00130D1C">
            <w:pPr>
              <w:pStyle w:val="ARfintablebody"/>
              <w:rPr>
                <w:rStyle w:val="Emphasis"/>
                <w:i w:val="0"/>
              </w:rPr>
            </w:pPr>
            <w:r w:rsidRPr="00823182">
              <w:rPr>
                <w:i/>
                <w:iCs/>
              </w:rPr>
              <w:t>Less accumulated depreciation</w:t>
            </w:r>
          </w:p>
        </w:tc>
        <w:tc>
          <w:tcPr>
            <w:tcW w:w="1417" w:type="dxa"/>
            <w:tcBorders>
              <w:top w:val="single" w:sz="4" w:space="0" w:color="A6A6A6"/>
              <w:bottom w:val="single" w:sz="4" w:space="0" w:color="A6A6A6"/>
            </w:tcBorders>
            <w:shd w:val="clear" w:color="auto" w:fill="E7E6E6"/>
            <w:noWrap/>
            <w:hideMark/>
          </w:tcPr>
          <w:p w14:paraId="06AB8F0F" w14:textId="77777777" w:rsidR="005F4A7E" w:rsidRPr="002029AF" w:rsidRDefault="005F4A7E" w:rsidP="00130D1C">
            <w:pPr>
              <w:pStyle w:val="ARfintablebodyright"/>
            </w:pPr>
            <w:r w:rsidRPr="00186661">
              <w:t>–</w:t>
            </w:r>
          </w:p>
        </w:tc>
        <w:tc>
          <w:tcPr>
            <w:tcW w:w="1418" w:type="dxa"/>
            <w:tcBorders>
              <w:top w:val="single" w:sz="4" w:space="0" w:color="A6A6A6"/>
              <w:bottom w:val="single" w:sz="4" w:space="0" w:color="A6A6A6"/>
            </w:tcBorders>
            <w:noWrap/>
            <w:hideMark/>
          </w:tcPr>
          <w:p w14:paraId="7E9BDCB5" w14:textId="77777777" w:rsidR="005F4A7E" w:rsidRPr="002029AF" w:rsidRDefault="005F4A7E" w:rsidP="00130D1C">
            <w:pPr>
              <w:pStyle w:val="ARfintablebodyright"/>
            </w:pPr>
            <w:r w:rsidRPr="00186661">
              <w:t>–</w:t>
            </w:r>
          </w:p>
        </w:tc>
        <w:tc>
          <w:tcPr>
            <w:tcW w:w="1418" w:type="dxa"/>
            <w:tcBorders>
              <w:top w:val="single" w:sz="4" w:space="0" w:color="A6A6A6"/>
              <w:bottom w:val="single" w:sz="4" w:space="0" w:color="A6A6A6"/>
            </w:tcBorders>
            <w:shd w:val="clear" w:color="auto" w:fill="E7E6E6"/>
            <w:noWrap/>
            <w:hideMark/>
          </w:tcPr>
          <w:p w14:paraId="3C6EF6AD" w14:textId="77777777" w:rsidR="005F4A7E" w:rsidRPr="002029AF" w:rsidRDefault="005F4A7E" w:rsidP="00130D1C">
            <w:pPr>
              <w:pStyle w:val="ARfintablebodyright"/>
            </w:pPr>
            <w:r w:rsidRPr="00186661">
              <w:t>(1.6)</w:t>
            </w:r>
          </w:p>
        </w:tc>
        <w:tc>
          <w:tcPr>
            <w:tcW w:w="1418" w:type="dxa"/>
            <w:tcBorders>
              <w:top w:val="single" w:sz="4" w:space="0" w:color="A6A6A6"/>
              <w:bottom w:val="single" w:sz="4" w:space="0" w:color="A6A6A6"/>
            </w:tcBorders>
            <w:noWrap/>
            <w:hideMark/>
          </w:tcPr>
          <w:p w14:paraId="07FA2C7C" w14:textId="77777777" w:rsidR="005F4A7E" w:rsidRPr="002029AF" w:rsidRDefault="005F4A7E" w:rsidP="00130D1C">
            <w:pPr>
              <w:pStyle w:val="ARfintablebodyright"/>
            </w:pPr>
            <w:r w:rsidRPr="00186661">
              <w:t>(0.8)</w:t>
            </w:r>
          </w:p>
        </w:tc>
        <w:tc>
          <w:tcPr>
            <w:tcW w:w="1418" w:type="dxa"/>
            <w:tcBorders>
              <w:top w:val="single" w:sz="4" w:space="0" w:color="A6A6A6"/>
              <w:bottom w:val="single" w:sz="4" w:space="0" w:color="A6A6A6"/>
            </w:tcBorders>
            <w:shd w:val="clear" w:color="auto" w:fill="E7E6E6"/>
            <w:noWrap/>
            <w:hideMark/>
          </w:tcPr>
          <w:p w14:paraId="23893829" w14:textId="77777777" w:rsidR="005F4A7E" w:rsidRPr="002029AF" w:rsidRDefault="005F4A7E" w:rsidP="00130D1C">
            <w:pPr>
              <w:pStyle w:val="ARfintablebodyright"/>
            </w:pPr>
            <w:r w:rsidRPr="00186661">
              <w:t>(1.6)</w:t>
            </w:r>
          </w:p>
        </w:tc>
        <w:tc>
          <w:tcPr>
            <w:tcW w:w="1418" w:type="dxa"/>
            <w:tcBorders>
              <w:top w:val="single" w:sz="4" w:space="0" w:color="A6A6A6"/>
              <w:bottom w:val="single" w:sz="4" w:space="0" w:color="A6A6A6"/>
            </w:tcBorders>
            <w:noWrap/>
            <w:hideMark/>
          </w:tcPr>
          <w:p w14:paraId="623C4FB0" w14:textId="77777777" w:rsidR="005F4A7E" w:rsidRPr="002029AF" w:rsidRDefault="005F4A7E" w:rsidP="00130D1C">
            <w:pPr>
              <w:pStyle w:val="ARfintablebodyright"/>
            </w:pPr>
            <w:r w:rsidRPr="00186661">
              <w:t>(0.8)</w:t>
            </w:r>
          </w:p>
        </w:tc>
      </w:tr>
      <w:tr w:rsidR="005F4A7E" w:rsidRPr="002029AF" w14:paraId="60295A6C" w14:textId="77777777" w:rsidTr="00860E95">
        <w:tc>
          <w:tcPr>
            <w:tcW w:w="5952" w:type="dxa"/>
            <w:tcBorders>
              <w:top w:val="single" w:sz="4" w:space="0" w:color="A6A6A6"/>
            </w:tcBorders>
            <w:hideMark/>
          </w:tcPr>
          <w:p w14:paraId="67A690C2" w14:textId="77777777" w:rsidR="005F4A7E" w:rsidRPr="00597F28" w:rsidRDefault="005F4A7E" w:rsidP="00130D1C">
            <w:pPr>
              <w:pStyle w:val="ARfintablebody"/>
              <w:rPr>
                <w:rStyle w:val="Emphasis"/>
              </w:rPr>
            </w:pPr>
            <w:r w:rsidRPr="00597F28">
              <w:rPr>
                <w:rStyle w:val="Emphasis"/>
              </w:rPr>
              <w:t>Less allowance for Shared Home Ownership Scheme equity conversion</w:t>
            </w:r>
          </w:p>
        </w:tc>
        <w:tc>
          <w:tcPr>
            <w:tcW w:w="1417" w:type="dxa"/>
            <w:tcBorders>
              <w:top w:val="single" w:sz="4" w:space="0" w:color="A6A6A6"/>
            </w:tcBorders>
            <w:shd w:val="clear" w:color="auto" w:fill="E7E6E6"/>
            <w:noWrap/>
            <w:hideMark/>
          </w:tcPr>
          <w:p w14:paraId="7C0C5A35" w14:textId="77777777" w:rsidR="005F4A7E" w:rsidRPr="002029AF" w:rsidRDefault="005F4A7E" w:rsidP="00130D1C">
            <w:pPr>
              <w:pStyle w:val="ARfintablebodyright"/>
            </w:pPr>
            <w:r w:rsidRPr="00186661">
              <w:t>–</w:t>
            </w:r>
          </w:p>
        </w:tc>
        <w:tc>
          <w:tcPr>
            <w:tcW w:w="1418" w:type="dxa"/>
            <w:tcBorders>
              <w:top w:val="single" w:sz="4" w:space="0" w:color="A6A6A6"/>
            </w:tcBorders>
            <w:noWrap/>
            <w:hideMark/>
          </w:tcPr>
          <w:p w14:paraId="00EDAD80" w14:textId="77777777" w:rsidR="005F4A7E" w:rsidRPr="002029AF" w:rsidRDefault="005F4A7E" w:rsidP="00130D1C">
            <w:pPr>
              <w:pStyle w:val="ARfintablebodyright"/>
            </w:pPr>
            <w:r w:rsidRPr="00186661">
              <w:t>–</w:t>
            </w:r>
          </w:p>
        </w:tc>
        <w:tc>
          <w:tcPr>
            <w:tcW w:w="1418" w:type="dxa"/>
            <w:tcBorders>
              <w:top w:val="single" w:sz="4" w:space="0" w:color="A6A6A6"/>
            </w:tcBorders>
            <w:shd w:val="clear" w:color="auto" w:fill="E7E6E6"/>
            <w:noWrap/>
            <w:hideMark/>
          </w:tcPr>
          <w:p w14:paraId="3925BFEC" w14:textId="77777777" w:rsidR="005F4A7E" w:rsidRPr="002029AF" w:rsidRDefault="005F4A7E" w:rsidP="00130D1C">
            <w:pPr>
              <w:pStyle w:val="ARfintablebodyright"/>
            </w:pPr>
            <w:r w:rsidRPr="00186661">
              <w:t>(3.6)</w:t>
            </w:r>
          </w:p>
        </w:tc>
        <w:tc>
          <w:tcPr>
            <w:tcW w:w="1418" w:type="dxa"/>
            <w:tcBorders>
              <w:top w:val="single" w:sz="4" w:space="0" w:color="A6A6A6"/>
            </w:tcBorders>
            <w:noWrap/>
            <w:hideMark/>
          </w:tcPr>
          <w:p w14:paraId="784091F4" w14:textId="77777777" w:rsidR="005F4A7E" w:rsidRPr="002029AF" w:rsidRDefault="005F4A7E" w:rsidP="00130D1C">
            <w:pPr>
              <w:pStyle w:val="ARfintablebodyright"/>
            </w:pPr>
            <w:r w:rsidRPr="00186661">
              <w:t>(3.6)</w:t>
            </w:r>
          </w:p>
        </w:tc>
        <w:tc>
          <w:tcPr>
            <w:tcW w:w="1418" w:type="dxa"/>
            <w:tcBorders>
              <w:top w:val="single" w:sz="4" w:space="0" w:color="A6A6A6"/>
            </w:tcBorders>
            <w:shd w:val="clear" w:color="auto" w:fill="E7E6E6"/>
            <w:noWrap/>
            <w:hideMark/>
          </w:tcPr>
          <w:p w14:paraId="602C4569" w14:textId="77777777" w:rsidR="005F4A7E" w:rsidRPr="002029AF" w:rsidRDefault="005F4A7E" w:rsidP="00130D1C">
            <w:pPr>
              <w:pStyle w:val="ARfintablebodyright"/>
            </w:pPr>
            <w:r w:rsidRPr="00186661">
              <w:t>(3.6)</w:t>
            </w:r>
          </w:p>
        </w:tc>
        <w:tc>
          <w:tcPr>
            <w:tcW w:w="1418" w:type="dxa"/>
            <w:tcBorders>
              <w:top w:val="single" w:sz="4" w:space="0" w:color="A6A6A6"/>
            </w:tcBorders>
            <w:noWrap/>
            <w:hideMark/>
          </w:tcPr>
          <w:p w14:paraId="1D6FAC15" w14:textId="77777777" w:rsidR="005F4A7E" w:rsidRPr="002029AF" w:rsidRDefault="005F4A7E" w:rsidP="00130D1C">
            <w:pPr>
              <w:pStyle w:val="ARfintablebodyright"/>
            </w:pPr>
            <w:r w:rsidRPr="00186661">
              <w:t>(3.6)</w:t>
            </w:r>
          </w:p>
        </w:tc>
      </w:tr>
      <w:tr w:rsidR="005F4A7E" w:rsidRPr="002029AF" w14:paraId="6B9FA56B" w14:textId="77777777" w:rsidTr="00860E95">
        <w:tc>
          <w:tcPr>
            <w:tcW w:w="5952" w:type="dxa"/>
            <w:tcBorders>
              <w:bottom w:val="single" w:sz="4" w:space="0" w:color="auto"/>
            </w:tcBorders>
            <w:hideMark/>
          </w:tcPr>
          <w:p w14:paraId="2D7ED54D" w14:textId="77777777" w:rsidR="005F4A7E" w:rsidRPr="002029AF" w:rsidRDefault="005F4A7E" w:rsidP="00130D1C">
            <w:pPr>
              <w:pStyle w:val="ARfintablebodybold"/>
            </w:pPr>
            <w:r w:rsidRPr="00186661">
              <w:t>Total land at fair value</w:t>
            </w:r>
          </w:p>
        </w:tc>
        <w:tc>
          <w:tcPr>
            <w:tcW w:w="1417" w:type="dxa"/>
            <w:tcBorders>
              <w:bottom w:val="single" w:sz="4" w:space="0" w:color="auto"/>
            </w:tcBorders>
            <w:shd w:val="clear" w:color="auto" w:fill="E7E6E6"/>
            <w:noWrap/>
            <w:hideMark/>
          </w:tcPr>
          <w:p w14:paraId="75C9AC4F" w14:textId="77777777" w:rsidR="005F4A7E" w:rsidRPr="002029AF" w:rsidRDefault="005F4A7E" w:rsidP="00130D1C">
            <w:pPr>
              <w:pStyle w:val="ARfintablebodyrightbold"/>
            </w:pPr>
            <w:r w:rsidRPr="00186661">
              <w:t>1,474.6</w:t>
            </w:r>
          </w:p>
        </w:tc>
        <w:tc>
          <w:tcPr>
            <w:tcW w:w="1418" w:type="dxa"/>
            <w:tcBorders>
              <w:bottom w:val="single" w:sz="4" w:space="0" w:color="auto"/>
            </w:tcBorders>
            <w:noWrap/>
            <w:hideMark/>
          </w:tcPr>
          <w:p w14:paraId="54E43B86" w14:textId="77777777" w:rsidR="005F4A7E" w:rsidRPr="002029AF" w:rsidRDefault="005F4A7E" w:rsidP="00130D1C">
            <w:pPr>
              <w:pStyle w:val="ARfintablebodyrightbold"/>
            </w:pPr>
            <w:r w:rsidRPr="00186661">
              <w:t>1,191.5</w:t>
            </w:r>
          </w:p>
        </w:tc>
        <w:tc>
          <w:tcPr>
            <w:tcW w:w="1418" w:type="dxa"/>
            <w:tcBorders>
              <w:bottom w:val="single" w:sz="4" w:space="0" w:color="auto"/>
            </w:tcBorders>
            <w:shd w:val="clear" w:color="auto" w:fill="E7E6E6"/>
            <w:noWrap/>
            <w:hideMark/>
          </w:tcPr>
          <w:p w14:paraId="52CC6203" w14:textId="77777777" w:rsidR="005F4A7E" w:rsidRPr="002029AF" w:rsidRDefault="005F4A7E" w:rsidP="00130D1C">
            <w:pPr>
              <w:pStyle w:val="ARfintablebodyrightbold"/>
            </w:pPr>
            <w:r w:rsidRPr="00186661">
              <w:t>21,604.6</w:t>
            </w:r>
          </w:p>
        </w:tc>
        <w:tc>
          <w:tcPr>
            <w:tcW w:w="1418" w:type="dxa"/>
            <w:tcBorders>
              <w:bottom w:val="single" w:sz="4" w:space="0" w:color="auto"/>
            </w:tcBorders>
            <w:noWrap/>
            <w:hideMark/>
          </w:tcPr>
          <w:p w14:paraId="05D9013C" w14:textId="77777777" w:rsidR="005F4A7E" w:rsidRPr="002029AF" w:rsidRDefault="005F4A7E" w:rsidP="00130D1C">
            <w:pPr>
              <w:pStyle w:val="ARfintablebodyrightbold"/>
            </w:pPr>
            <w:r w:rsidRPr="00186661">
              <w:t>17,332.8</w:t>
            </w:r>
          </w:p>
        </w:tc>
        <w:tc>
          <w:tcPr>
            <w:tcW w:w="1418" w:type="dxa"/>
            <w:tcBorders>
              <w:bottom w:val="single" w:sz="4" w:space="0" w:color="auto"/>
            </w:tcBorders>
            <w:shd w:val="clear" w:color="auto" w:fill="E7E6E6"/>
            <w:noWrap/>
            <w:hideMark/>
          </w:tcPr>
          <w:p w14:paraId="7110FCBD" w14:textId="77777777" w:rsidR="005F4A7E" w:rsidRPr="002029AF" w:rsidRDefault="005F4A7E" w:rsidP="00130D1C">
            <w:pPr>
              <w:pStyle w:val="ARfintablebodyrightbold"/>
            </w:pPr>
            <w:r w:rsidRPr="00186661">
              <w:t>23,079.2</w:t>
            </w:r>
          </w:p>
        </w:tc>
        <w:tc>
          <w:tcPr>
            <w:tcW w:w="1418" w:type="dxa"/>
            <w:tcBorders>
              <w:bottom w:val="single" w:sz="4" w:space="0" w:color="auto"/>
            </w:tcBorders>
            <w:noWrap/>
            <w:hideMark/>
          </w:tcPr>
          <w:p w14:paraId="33BCC35D" w14:textId="77777777" w:rsidR="005F4A7E" w:rsidRPr="002029AF" w:rsidRDefault="005F4A7E" w:rsidP="00130D1C">
            <w:pPr>
              <w:pStyle w:val="ARfintablebodyrightbold"/>
            </w:pPr>
            <w:r w:rsidRPr="00186661">
              <w:t>18,524.3</w:t>
            </w:r>
          </w:p>
        </w:tc>
      </w:tr>
      <w:tr w:rsidR="005F4A7E" w:rsidRPr="002029AF" w14:paraId="38BA43A7" w14:textId="77777777" w:rsidTr="00860E95">
        <w:tc>
          <w:tcPr>
            <w:tcW w:w="14459" w:type="dxa"/>
            <w:gridSpan w:val="7"/>
            <w:tcBorders>
              <w:top w:val="single" w:sz="4" w:space="0" w:color="auto"/>
              <w:bottom w:val="single" w:sz="4" w:space="0" w:color="A6A6A6"/>
            </w:tcBorders>
            <w:hideMark/>
          </w:tcPr>
          <w:p w14:paraId="6699E385" w14:textId="77777777" w:rsidR="005F4A7E" w:rsidRPr="002029AF" w:rsidRDefault="005F4A7E" w:rsidP="00130D1C">
            <w:pPr>
              <w:pStyle w:val="ARfintablebodybold"/>
            </w:pPr>
            <w:r w:rsidRPr="00186661">
              <w:t>Buildings at fair value</w:t>
            </w:r>
          </w:p>
        </w:tc>
      </w:tr>
      <w:tr w:rsidR="005F4A7E" w:rsidRPr="002029AF" w14:paraId="43241873" w14:textId="77777777" w:rsidTr="00860E95">
        <w:tc>
          <w:tcPr>
            <w:tcW w:w="5952" w:type="dxa"/>
            <w:tcBorders>
              <w:top w:val="single" w:sz="4" w:space="0" w:color="A6A6A6"/>
              <w:bottom w:val="single" w:sz="4" w:space="0" w:color="A6A6A6"/>
            </w:tcBorders>
            <w:hideMark/>
          </w:tcPr>
          <w:p w14:paraId="5CC22B71" w14:textId="77777777" w:rsidR="005F4A7E" w:rsidRPr="002029AF" w:rsidRDefault="005F4A7E" w:rsidP="00130D1C">
            <w:pPr>
              <w:pStyle w:val="ARfintablebody"/>
            </w:pPr>
            <w:r w:rsidRPr="00186661">
              <w:t>Rental property</w:t>
            </w:r>
          </w:p>
        </w:tc>
        <w:tc>
          <w:tcPr>
            <w:tcW w:w="1417" w:type="dxa"/>
            <w:tcBorders>
              <w:top w:val="single" w:sz="4" w:space="0" w:color="A6A6A6"/>
              <w:bottom w:val="single" w:sz="4" w:space="0" w:color="A6A6A6"/>
            </w:tcBorders>
            <w:shd w:val="clear" w:color="auto" w:fill="E7E6E6"/>
            <w:noWrap/>
            <w:hideMark/>
          </w:tcPr>
          <w:p w14:paraId="20097CB9" w14:textId="77777777" w:rsidR="005F4A7E" w:rsidRPr="002029AF" w:rsidRDefault="005F4A7E" w:rsidP="00130D1C">
            <w:pPr>
              <w:pStyle w:val="ARfintablebodyright"/>
            </w:pPr>
            <w:r w:rsidRPr="00186661">
              <w:t>–</w:t>
            </w:r>
          </w:p>
        </w:tc>
        <w:tc>
          <w:tcPr>
            <w:tcW w:w="1418" w:type="dxa"/>
            <w:tcBorders>
              <w:top w:val="single" w:sz="4" w:space="0" w:color="A6A6A6"/>
              <w:bottom w:val="single" w:sz="4" w:space="0" w:color="A6A6A6"/>
            </w:tcBorders>
            <w:noWrap/>
            <w:hideMark/>
          </w:tcPr>
          <w:p w14:paraId="2702838D" w14:textId="77777777" w:rsidR="005F4A7E" w:rsidRPr="002029AF" w:rsidRDefault="005F4A7E" w:rsidP="00130D1C">
            <w:pPr>
              <w:pStyle w:val="ARfintablebodyright"/>
            </w:pPr>
            <w:r w:rsidRPr="00186661">
              <w:t>–</w:t>
            </w:r>
          </w:p>
        </w:tc>
        <w:tc>
          <w:tcPr>
            <w:tcW w:w="1418" w:type="dxa"/>
            <w:tcBorders>
              <w:top w:val="single" w:sz="4" w:space="0" w:color="A6A6A6"/>
              <w:bottom w:val="single" w:sz="4" w:space="0" w:color="A6A6A6"/>
            </w:tcBorders>
            <w:shd w:val="clear" w:color="auto" w:fill="E7E6E6"/>
            <w:noWrap/>
            <w:hideMark/>
          </w:tcPr>
          <w:p w14:paraId="267D707F" w14:textId="77777777" w:rsidR="005F4A7E" w:rsidRPr="002029AF" w:rsidRDefault="005F4A7E" w:rsidP="00130D1C">
            <w:pPr>
              <w:pStyle w:val="ARfintablebodyright"/>
            </w:pPr>
            <w:r w:rsidRPr="00186661">
              <w:t>8,800.4</w:t>
            </w:r>
          </w:p>
        </w:tc>
        <w:tc>
          <w:tcPr>
            <w:tcW w:w="1418" w:type="dxa"/>
            <w:tcBorders>
              <w:top w:val="single" w:sz="4" w:space="0" w:color="A6A6A6"/>
              <w:bottom w:val="single" w:sz="4" w:space="0" w:color="A6A6A6"/>
            </w:tcBorders>
            <w:noWrap/>
            <w:hideMark/>
          </w:tcPr>
          <w:p w14:paraId="35517B6C" w14:textId="77777777" w:rsidR="005F4A7E" w:rsidRPr="002029AF" w:rsidRDefault="005F4A7E" w:rsidP="00130D1C">
            <w:pPr>
              <w:pStyle w:val="ARfintablebodyright"/>
            </w:pPr>
            <w:r w:rsidRPr="00186661">
              <w:t>8,902.4</w:t>
            </w:r>
          </w:p>
        </w:tc>
        <w:tc>
          <w:tcPr>
            <w:tcW w:w="1418" w:type="dxa"/>
            <w:tcBorders>
              <w:top w:val="single" w:sz="4" w:space="0" w:color="A6A6A6"/>
              <w:bottom w:val="single" w:sz="4" w:space="0" w:color="A6A6A6"/>
            </w:tcBorders>
            <w:shd w:val="clear" w:color="auto" w:fill="E7E6E6"/>
            <w:noWrap/>
            <w:hideMark/>
          </w:tcPr>
          <w:p w14:paraId="11F8BC6C" w14:textId="77777777" w:rsidR="005F4A7E" w:rsidRPr="002029AF" w:rsidRDefault="005F4A7E" w:rsidP="00130D1C">
            <w:pPr>
              <w:pStyle w:val="ARfintablebodyright"/>
            </w:pPr>
            <w:r w:rsidRPr="00186661">
              <w:t>8,800.4</w:t>
            </w:r>
          </w:p>
        </w:tc>
        <w:tc>
          <w:tcPr>
            <w:tcW w:w="1418" w:type="dxa"/>
            <w:tcBorders>
              <w:top w:val="single" w:sz="4" w:space="0" w:color="A6A6A6"/>
              <w:bottom w:val="single" w:sz="4" w:space="0" w:color="A6A6A6"/>
            </w:tcBorders>
            <w:noWrap/>
            <w:hideMark/>
          </w:tcPr>
          <w:p w14:paraId="0E613B14" w14:textId="77777777" w:rsidR="005F4A7E" w:rsidRPr="002029AF" w:rsidRDefault="005F4A7E" w:rsidP="00130D1C">
            <w:pPr>
              <w:pStyle w:val="ARfintablebodyright"/>
            </w:pPr>
            <w:r w:rsidRPr="00186661">
              <w:t>8,902.4</w:t>
            </w:r>
          </w:p>
        </w:tc>
      </w:tr>
      <w:tr w:rsidR="005F4A7E" w:rsidRPr="002029AF" w14:paraId="17974E31" w14:textId="77777777" w:rsidTr="00860E95">
        <w:tc>
          <w:tcPr>
            <w:tcW w:w="5952" w:type="dxa"/>
            <w:tcBorders>
              <w:top w:val="single" w:sz="4" w:space="0" w:color="A6A6A6"/>
              <w:bottom w:val="single" w:sz="4" w:space="0" w:color="A6A6A6"/>
            </w:tcBorders>
            <w:hideMark/>
          </w:tcPr>
          <w:p w14:paraId="5ACAD7BB" w14:textId="77777777" w:rsidR="005F4A7E" w:rsidRPr="002029AF" w:rsidRDefault="005F4A7E" w:rsidP="00130D1C">
            <w:pPr>
              <w:pStyle w:val="ARfintablebody"/>
            </w:pPr>
            <w:r w:rsidRPr="00186661">
              <w:t>Other property – regional offices</w:t>
            </w:r>
          </w:p>
        </w:tc>
        <w:tc>
          <w:tcPr>
            <w:tcW w:w="1417" w:type="dxa"/>
            <w:tcBorders>
              <w:top w:val="single" w:sz="4" w:space="0" w:color="A6A6A6"/>
              <w:bottom w:val="single" w:sz="4" w:space="0" w:color="A6A6A6"/>
            </w:tcBorders>
            <w:shd w:val="clear" w:color="auto" w:fill="E7E6E6"/>
            <w:noWrap/>
            <w:hideMark/>
          </w:tcPr>
          <w:p w14:paraId="32C3069D" w14:textId="77777777" w:rsidR="005F4A7E" w:rsidRPr="002029AF" w:rsidRDefault="005F4A7E" w:rsidP="00130D1C">
            <w:pPr>
              <w:pStyle w:val="ARfintablebodyright"/>
            </w:pPr>
            <w:r w:rsidRPr="00186661">
              <w:t>–</w:t>
            </w:r>
          </w:p>
        </w:tc>
        <w:tc>
          <w:tcPr>
            <w:tcW w:w="1418" w:type="dxa"/>
            <w:tcBorders>
              <w:top w:val="single" w:sz="4" w:space="0" w:color="A6A6A6"/>
              <w:bottom w:val="single" w:sz="4" w:space="0" w:color="A6A6A6"/>
            </w:tcBorders>
            <w:noWrap/>
            <w:hideMark/>
          </w:tcPr>
          <w:p w14:paraId="7EE17B2A" w14:textId="77777777" w:rsidR="005F4A7E" w:rsidRPr="002029AF" w:rsidRDefault="005F4A7E" w:rsidP="00130D1C">
            <w:pPr>
              <w:pStyle w:val="ARfintablebodyright"/>
            </w:pPr>
            <w:r w:rsidRPr="00186661">
              <w:t>–</w:t>
            </w:r>
          </w:p>
        </w:tc>
        <w:tc>
          <w:tcPr>
            <w:tcW w:w="1418" w:type="dxa"/>
            <w:tcBorders>
              <w:top w:val="single" w:sz="4" w:space="0" w:color="A6A6A6"/>
              <w:bottom w:val="single" w:sz="4" w:space="0" w:color="A6A6A6"/>
            </w:tcBorders>
            <w:shd w:val="clear" w:color="auto" w:fill="E7E6E6"/>
            <w:noWrap/>
            <w:hideMark/>
          </w:tcPr>
          <w:p w14:paraId="2B3EFB10" w14:textId="77777777" w:rsidR="005F4A7E" w:rsidRPr="002029AF" w:rsidRDefault="005F4A7E" w:rsidP="00130D1C">
            <w:pPr>
              <w:pStyle w:val="ARfintablebodyright"/>
            </w:pPr>
            <w:r w:rsidRPr="00186661">
              <w:t>2.8</w:t>
            </w:r>
          </w:p>
        </w:tc>
        <w:tc>
          <w:tcPr>
            <w:tcW w:w="1418" w:type="dxa"/>
            <w:tcBorders>
              <w:top w:val="single" w:sz="4" w:space="0" w:color="A6A6A6"/>
              <w:bottom w:val="single" w:sz="4" w:space="0" w:color="A6A6A6"/>
            </w:tcBorders>
            <w:noWrap/>
            <w:hideMark/>
          </w:tcPr>
          <w:p w14:paraId="2A325195" w14:textId="77777777" w:rsidR="005F4A7E" w:rsidRPr="002029AF" w:rsidRDefault="005F4A7E" w:rsidP="00130D1C">
            <w:pPr>
              <w:pStyle w:val="ARfintablebodyright"/>
            </w:pPr>
            <w:r w:rsidRPr="00186661">
              <w:t>3.5</w:t>
            </w:r>
          </w:p>
        </w:tc>
        <w:tc>
          <w:tcPr>
            <w:tcW w:w="1418" w:type="dxa"/>
            <w:tcBorders>
              <w:top w:val="single" w:sz="4" w:space="0" w:color="A6A6A6"/>
              <w:bottom w:val="single" w:sz="4" w:space="0" w:color="A6A6A6"/>
            </w:tcBorders>
            <w:shd w:val="clear" w:color="auto" w:fill="E7E6E6"/>
            <w:noWrap/>
            <w:hideMark/>
          </w:tcPr>
          <w:p w14:paraId="67708084" w14:textId="77777777" w:rsidR="005F4A7E" w:rsidRPr="002029AF" w:rsidRDefault="005F4A7E" w:rsidP="00130D1C">
            <w:pPr>
              <w:pStyle w:val="ARfintablebodyright"/>
            </w:pPr>
            <w:r w:rsidRPr="00186661">
              <w:t>2.8</w:t>
            </w:r>
          </w:p>
        </w:tc>
        <w:tc>
          <w:tcPr>
            <w:tcW w:w="1418" w:type="dxa"/>
            <w:tcBorders>
              <w:top w:val="single" w:sz="4" w:space="0" w:color="A6A6A6"/>
              <w:bottom w:val="single" w:sz="4" w:space="0" w:color="A6A6A6"/>
            </w:tcBorders>
            <w:noWrap/>
            <w:hideMark/>
          </w:tcPr>
          <w:p w14:paraId="61FF3B6A" w14:textId="77777777" w:rsidR="005F4A7E" w:rsidRPr="002029AF" w:rsidRDefault="005F4A7E" w:rsidP="00130D1C">
            <w:pPr>
              <w:pStyle w:val="ARfintablebodyright"/>
            </w:pPr>
            <w:r w:rsidRPr="00186661">
              <w:t>3.5</w:t>
            </w:r>
          </w:p>
        </w:tc>
      </w:tr>
      <w:tr w:rsidR="005F4A7E" w:rsidRPr="002029AF" w14:paraId="6A5E8763" w14:textId="77777777" w:rsidTr="00860E95">
        <w:tc>
          <w:tcPr>
            <w:tcW w:w="5952" w:type="dxa"/>
            <w:tcBorders>
              <w:top w:val="single" w:sz="4" w:space="0" w:color="A6A6A6"/>
              <w:bottom w:val="single" w:sz="4" w:space="0" w:color="A6A6A6"/>
            </w:tcBorders>
            <w:hideMark/>
          </w:tcPr>
          <w:p w14:paraId="229F6ADF" w14:textId="77777777" w:rsidR="005F4A7E" w:rsidRPr="002029AF" w:rsidRDefault="005F4A7E" w:rsidP="00130D1C">
            <w:pPr>
              <w:pStyle w:val="ARfintablebody"/>
            </w:pPr>
            <w:r w:rsidRPr="00186661">
              <w:t>Community services</w:t>
            </w:r>
          </w:p>
        </w:tc>
        <w:tc>
          <w:tcPr>
            <w:tcW w:w="1417" w:type="dxa"/>
            <w:tcBorders>
              <w:top w:val="single" w:sz="4" w:space="0" w:color="A6A6A6"/>
              <w:bottom w:val="single" w:sz="4" w:space="0" w:color="A6A6A6"/>
            </w:tcBorders>
            <w:shd w:val="clear" w:color="auto" w:fill="E7E6E6"/>
            <w:noWrap/>
            <w:hideMark/>
          </w:tcPr>
          <w:p w14:paraId="58D3A1E9" w14:textId="77777777" w:rsidR="005F4A7E" w:rsidRPr="002029AF" w:rsidRDefault="005F4A7E" w:rsidP="00130D1C">
            <w:pPr>
              <w:pStyle w:val="ARfintablebodyright"/>
            </w:pPr>
            <w:r w:rsidRPr="00186661">
              <w:t>484.2</w:t>
            </w:r>
          </w:p>
        </w:tc>
        <w:tc>
          <w:tcPr>
            <w:tcW w:w="1418" w:type="dxa"/>
            <w:tcBorders>
              <w:top w:val="single" w:sz="4" w:space="0" w:color="A6A6A6"/>
              <w:bottom w:val="single" w:sz="4" w:space="0" w:color="A6A6A6"/>
            </w:tcBorders>
            <w:noWrap/>
            <w:hideMark/>
          </w:tcPr>
          <w:p w14:paraId="49F74AA0" w14:textId="77777777" w:rsidR="005F4A7E" w:rsidRPr="002029AF" w:rsidRDefault="005F4A7E" w:rsidP="00130D1C">
            <w:pPr>
              <w:pStyle w:val="ARfintablebodyright"/>
            </w:pPr>
            <w:r w:rsidRPr="00186661">
              <w:t>499.2</w:t>
            </w:r>
          </w:p>
        </w:tc>
        <w:tc>
          <w:tcPr>
            <w:tcW w:w="1418" w:type="dxa"/>
            <w:tcBorders>
              <w:top w:val="single" w:sz="4" w:space="0" w:color="A6A6A6"/>
              <w:bottom w:val="single" w:sz="4" w:space="0" w:color="A6A6A6"/>
            </w:tcBorders>
            <w:shd w:val="clear" w:color="auto" w:fill="E7E6E6"/>
            <w:noWrap/>
            <w:hideMark/>
          </w:tcPr>
          <w:p w14:paraId="2EF6B3F1" w14:textId="77777777" w:rsidR="005F4A7E" w:rsidRPr="002029AF" w:rsidRDefault="005F4A7E" w:rsidP="00130D1C">
            <w:pPr>
              <w:pStyle w:val="ARfintablebodyright"/>
            </w:pPr>
            <w:r w:rsidRPr="00186661">
              <w:t>–</w:t>
            </w:r>
          </w:p>
        </w:tc>
        <w:tc>
          <w:tcPr>
            <w:tcW w:w="1418" w:type="dxa"/>
            <w:tcBorders>
              <w:top w:val="single" w:sz="4" w:space="0" w:color="A6A6A6"/>
              <w:bottom w:val="single" w:sz="4" w:space="0" w:color="A6A6A6"/>
            </w:tcBorders>
            <w:noWrap/>
            <w:hideMark/>
          </w:tcPr>
          <w:p w14:paraId="4961F9E5" w14:textId="77777777" w:rsidR="005F4A7E" w:rsidRPr="002029AF" w:rsidRDefault="005F4A7E" w:rsidP="00130D1C">
            <w:pPr>
              <w:pStyle w:val="ARfintablebodyright"/>
            </w:pPr>
            <w:r w:rsidRPr="00186661">
              <w:t>–</w:t>
            </w:r>
          </w:p>
        </w:tc>
        <w:tc>
          <w:tcPr>
            <w:tcW w:w="1418" w:type="dxa"/>
            <w:tcBorders>
              <w:top w:val="single" w:sz="4" w:space="0" w:color="A6A6A6"/>
              <w:bottom w:val="single" w:sz="4" w:space="0" w:color="A6A6A6"/>
            </w:tcBorders>
            <w:shd w:val="clear" w:color="auto" w:fill="E7E6E6"/>
            <w:noWrap/>
            <w:hideMark/>
          </w:tcPr>
          <w:p w14:paraId="4EBC9BC2" w14:textId="77777777" w:rsidR="005F4A7E" w:rsidRPr="002029AF" w:rsidRDefault="005F4A7E" w:rsidP="00130D1C">
            <w:pPr>
              <w:pStyle w:val="ARfintablebodyright"/>
            </w:pPr>
            <w:r w:rsidRPr="00186661">
              <w:t>484.2</w:t>
            </w:r>
          </w:p>
        </w:tc>
        <w:tc>
          <w:tcPr>
            <w:tcW w:w="1418" w:type="dxa"/>
            <w:tcBorders>
              <w:top w:val="single" w:sz="4" w:space="0" w:color="A6A6A6"/>
              <w:bottom w:val="single" w:sz="4" w:space="0" w:color="A6A6A6"/>
            </w:tcBorders>
            <w:noWrap/>
            <w:hideMark/>
          </w:tcPr>
          <w:p w14:paraId="34B04BF3" w14:textId="77777777" w:rsidR="005F4A7E" w:rsidRPr="002029AF" w:rsidRDefault="005F4A7E" w:rsidP="00130D1C">
            <w:pPr>
              <w:pStyle w:val="ARfintablebodyright"/>
            </w:pPr>
            <w:r w:rsidRPr="00186661">
              <w:t>499.2</w:t>
            </w:r>
          </w:p>
        </w:tc>
      </w:tr>
      <w:tr w:rsidR="005F4A7E" w:rsidRPr="002029AF" w14:paraId="3639B4C5" w14:textId="77777777" w:rsidTr="00860E95">
        <w:tc>
          <w:tcPr>
            <w:tcW w:w="5952" w:type="dxa"/>
            <w:tcBorders>
              <w:top w:val="single" w:sz="4" w:space="0" w:color="A6A6A6"/>
              <w:bottom w:val="single" w:sz="4" w:space="0" w:color="A6A6A6"/>
            </w:tcBorders>
            <w:hideMark/>
          </w:tcPr>
          <w:p w14:paraId="477CC033" w14:textId="77777777" w:rsidR="005F4A7E" w:rsidRPr="002029AF" w:rsidRDefault="005F4A7E" w:rsidP="00130D1C">
            <w:pPr>
              <w:pStyle w:val="ARfintablebody"/>
            </w:pPr>
            <w:r w:rsidRPr="00186661">
              <w:t>Right-of-use buildings</w:t>
            </w:r>
          </w:p>
        </w:tc>
        <w:tc>
          <w:tcPr>
            <w:tcW w:w="1417" w:type="dxa"/>
            <w:tcBorders>
              <w:top w:val="single" w:sz="4" w:space="0" w:color="A6A6A6"/>
              <w:bottom w:val="single" w:sz="4" w:space="0" w:color="A6A6A6"/>
            </w:tcBorders>
            <w:shd w:val="clear" w:color="auto" w:fill="E7E6E6"/>
            <w:noWrap/>
            <w:hideMark/>
          </w:tcPr>
          <w:p w14:paraId="17E63933" w14:textId="77777777" w:rsidR="005F4A7E" w:rsidRPr="002029AF" w:rsidRDefault="005F4A7E" w:rsidP="00130D1C">
            <w:pPr>
              <w:pStyle w:val="ARfintablebodyright"/>
            </w:pPr>
            <w:r w:rsidRPr="00186661">
              <w:t>16.9</w:t>
            </w:r>
          </w:p>
        </w:tc>
        <w:tc>
          <w:tcPr>
            <w:tcW w:w="1418" w:type="dxa"/>
            <w:tcBorders>
              <w:top w:val="single" w:sz="4" w:space="0" w:color="A6A6A6"/>
              <w:bottom w:val="single" w:sz="4" w:space="0" w:color="A6A6A6"/>
            </w:tcBorders>
            <w:noWrap/>
            <w:hideMark/>
          </w:tcPr>
          <w:p w14:paraId="762D16BE" w14:textId="77777777" w:rsidR="005F4A7E" w:rsidRPr="002029AF" w:rsidRDefault="005F4A7E" w:rsidP="00130D1C">
            <w:pPr>
              <w:pStyle w:val="ARfintablebodyright"/>
            </w:pPr>
            <w:r w:rsidRPr="00186661">
              <w:t>8.2</w:t>
            </w:r>
          </w:p>
        </w:tc>
        <w:tc>
          <w:tcPr>
            <w:tcW w:w="1418" w:type="dxa"/>
            <w:tcBorders>
              <w:top w:val="single" w:sz="4" w:space="0" w:color="A6A6A6"/>
              <w:bottom w:val="single" w:sz="4" w:space="0" w:color="A6A6A6"/>
            </w:tcBorders>
            <w:shd w:val="clear" w:color="auto" w:fill="E7E6E6"/>
            <w:noWrap/>
            <w:hideMark/>
          </w:tcPr>
          <w:p w14:paraId="3ACE6039" w14:textId="77777777" w:rsidR="005F4A7E" w:rsidRPr="002029AF" w:rsidRDefault="005F4A7E" w:rsidP="00130D1C">
            <w:pPr>
              <w:pStyle w:val="ARfintablebodyright"/>
            </w:pPr>
            <w:r w:rsidRPr="00186661">
              <w:t>80.5</w:t>
            </w:r>
          </w:p>
        </w:tc>
        <w:tc>
          <w:tcPr>
            <w:tcW w:w="1418" w:type="dxa"/>
            <w:tcBorders>
              <w:top w:val="single" w:sz="4" w:space="0" w:color="A6A6A6"/>
              <w:bottom w:val="single" w:sz="4" w:space="0" w:color="A6A6A6"/>
            </w:tcBorders>
            <w:noWrap/>
            <w:hideMark/>
          </w:tcPr>
          <w:p w14:paraId="1A4E4573" w14:textId="77777777" w:rsidR="005F4A7E" w:rsidRPr="002029AF" w:rsidRDefault="005F4A7E" w:rsidP="00130D1C">
            <w:pPr>
              <w:pStyle w:val="ARfintablebodyright"/>
            </w:pPr>
            <w:r w:rsidRPr="00186661">
              <w:t>54.5</w:t>
            </w:r>
          </w:p>
        </w:tc>
        <w:tc>
          <w:tcPr>
            <w:tcW w:w="1418" w:type="dxa"/>
            <w:tcBorders>
              <w:top w:val="single" w:sz="4" w:space="0" w:color="A6A6A6"/>
              <w:bottom w:val="single" w:sz="4" w:space="0" w:color="A6A6A6"/>
            </w:tcBorders>
            <w:shd w:val="clear" w:color="auto" w:fill="E7E6E6"/>
            <w:noWrap/>
            <w:hideMark/>
          </w:tcPr>
          <w:p w14:paraId="47CAFEFB" w14:textId="77777777" w:rsidR="005F4A7E" w:rsidRPr="002029AF" w:rsidRDefault="005F4A7E" w:rsidP="00130D1C">
            <w:pPr>
              <w:pStyle w:val="ARfintablebodyright"/>
            </w:pPr>
            <w:r w:rsidRPr="00186661">
              <w:t>97.4</w:t>
            </w:r>
          </w:p>
        </w:tc>
        <w:tc>
          <w:tcPr>
            <w:tcW w:w="1418" w:type="dxa"/>
            <w:tcBorders>
              <w:top w:val="single" w:sz="4" w:space="0" w:color="A6A6A6"/>
              <w:bottom w:val="single" w:sz="4" w:space="0" w:color="A6A6A6"/>
            </w:tcBorders>
            <w:noWrap/>
            <w:hideMark/>
          </w:tcPr>
          <w:p w14:paraId="51A4B17C" w14:textId="77777777" w:rsidR="005F4A7E" w:rsidRPr="002029AF" w:rsidRDefault="005F4A7E" w:rsidP="00130D1C">
            <w:pPr>
              <w:pStyle w:val="ARfintablebodyright"/>
            </w:pPr>
            <w:r w:rsidRPr="00186661">
              <w:t>62.7</w:t>
            </w:r>
          </w:p>
        </w:tc>
      </w:tr>
      <w:tr w:rsidR="005F4A7E" w:rsidRPr="002029AF" w14:paraId="0358EF23" w14:textId="77777777" w:rsidTr="00860E95">
        <w:tc>
          <w:tcPr>
            <w:tcW w:w="5952" w:type="dxa"/>
            <w:tcBorders>
              <w:top w:val="single" w:sz="4" w:space="0" w:color="A6A6A6"/>
              <w:bottom w:val="single" w:sz="4" w:space="0" w:color="A6A6A6"/>
            </w:tcBorders>
            <w:hideMark/>
          </w:tcPr>
          <w:p w14:paraId="5ED8B16C" w14:textId="77777777" w:rsidR="005F4A7E" w:rsidRPr="002029AF" w:rsidRDefault="005F4A7E" w:rsidP="00130D1C">
            <w:pPr>
              <w:pStyle w:val="ARfintablebody"/>
            </w:pPr>
            <w:r w:rsidRPr="00186661">
              <w:t>Service concession buildings</w:t>
            </w:r>
          </w:p>
        </w:tc>
        <w:tc>
          <w:tcPr>
            <w:tcW w:w="1417" w:type="dxa"/>
            <w:tcBorders>
              <w:top w:val="single" w:sz="4" w:space="0" w:color="A6A6A6"/>
              <w:bottom w:val="single" w:sz="4" w:space="0" w:color="A6A6A6"/>
            </w:tcBorders>
            <w:shd w:val="clear" w:color="auto" w:fill="E7E6E6"/>
            <w:noWrap/>
            <w:hideMark/>
          </w:tcPr>
          <w:p w14:paraId="3A1B5D7E" w14:textId="77777777" w:rsidR="005F4A7E" w:rsidRPr="002029AF" w:rsidRDefault="005F4A7E" w:rsidP="00130D1C">
            <w:pPr>
              <w:pStyle w:val="ARfintablebodyright"/>
            </w:pPr>
            <w:r w:rsidRPr="00186661">
              <w:t>570.0</w:t>
            </w:r>
          </w:p>
        </w:tc>
        <w:tc>
          <w:tcPr>
            <w:tcW w:w="1418" w:type="dxa"/>
            <w:tcBorders>
              <w:top w:val="single" w:sz="4" w:space="0" w:color="A6A6A6"/>
              <w:bottom w:val="single" w:sz="4" w:space="0" w:color="A6A6A6"/>
            </w:tcBorders>
            <w:noWrap/>
            <w:hideMark/>
          </w:tcPr>
          <w:p w14:paraId="46DE7BC5" w14:textId="77777777" w:rsidR="005F4A7E" w:rsidRPr="002029AF" w:rsidRDefault="005F4A7E" w:rsidP="00130D1C">
            <w:pPr>
              <w:pStyle w:val="ARfintablebodyright"/>
            </w:pPr>
            <w:r w:rsidRPr="00186661">
              <w:t>594.1</w:t>
            </w:r>
          </w:p>
        </w:tc>
        <w:tc>
          <w:tcPr>
            <w:tcW w:w="1418" w:type="dxa"/>
            <w:tcBorders>
              <w:top w:val="single" w:sz="4" w:space="0" w:color="A6A6A6"/>
              <w:bottom w:val="single" w:sz="4" w:space="0" w:color="A6A6A6"/>
            </w:tcBorders>
            <w:shd w:val="clear" w:color="auto" w:fill="E7E6E6"/>
            <w:noWrap/>
            <w:hideMark/>
          </w:tcPr>
          <w:p w14:paraId="603F1BF7" w14:textId="77777777" w:rsidR="005F4A7E" w:rsidRPr="002029AF" w:rsidRDefault="005F4A7E" w:rsidP="00130D1C">
            <w:pPr>
              <w:pStyle w:val="ARfintablebodyright"/>
            </w:pPr>
            <w:r w:rsidRPr="00186661">
              <w:t>–</w:t>
            </w:r>
          </w:p>
        </w:tc>
        <w:tc>
          <w:tcPr>
            <w:tcW w:w="1418" w:type="dxa"/>
            <w:tcBorders>
              <w:top w:val="single" w:sz="4" w:space="0" w:color="A6A6A6"/>
              <w:bottom w:val="single" w:sz="4" w:space="0" w:color="A6A6A6"/>
            </w:tcBorders>
            <w:noWrap/>
            <w:hideMark/>
          </w:tcPr>
          <w:p w14:paraId="7020C60B" w14:textId="77777777" w:rsidR="005F4A7E" w:rsidRPr="002029AF" w:rsidRDefault="005F4A7E" w:rsidP="00130D1C">
            <w:pPr>
              <w:pStyle w:val="ARfintablebodyright"/>
            </w:pPr>
            <w:r w:rsidRPr="00186661">
              <w:t>–</w:t>
            </w:r>
          </w:p>
        </w:tc>
        <w:tc>
          <w:tcPr>
            <w:tcW w:w="1418" w:type="dxa"/>
            <w:tcBorders>
              <w:top w:val="single" w:sz="4" w:space="0" w:color="A6A6A6"/>
              <w:bottom w:val="single" w:sz="4" w:space="0" w:color="A6A6A6"/>
            </w:tcBorders>
            <w:shd w:val="clear" w:color="auto" w:fill="E7E6E6"/>
            <w:noWrap/>
            <w:hideMark/>
          </w:tcPr>
          <w:p w14:paraId="345A82BE" w14:textId="77777777" w:rsidR="005F4A7E" w:rsidRPr="002029AF" w:rsidRDefault="005F4A7E" w:rsidP="00130D1C">
            <w:pPr>
              <w:pStyle w:val="ARfintablebodyright"/>
            </w:pPr>
            <w:r w:rsidRPr="00186661">
              <w:t>570.0</w:t>
            </w:r>
          </w:p>
        </w:tc>
        <w:tc>
          <w:tcPr>
            <w:tcW w:w="1418" w:type="dxa"/>
            <w:tcBorders>
              <w:top w:val="single" w:sz="4" w:space="0" w:color="A6A6A6"/>
              <w:bottom w:val="single" w:sz="4" w:space="0" w:color="A6A6A6"/>
            </w:tcBorders>
            <w:noWrap/>
            <w:hideMark/>
          </w:tcPr>
          <w:p w14:paraId="0F56787C" w14:textId="77777777" w:rsidR="005F4A7E" w:rsidRPr="002029AF" w:rsidRDefault="005F4A7E" w:rsidP="00130D1C">
            <w:pPr>
              <w:pStyle w:val="ARfintablebodyright"/>
            </w:pPr>
            <w:r w:rsidRPr="00186661">
              <w:t>594.1</w:t>
            </w:r>
          </w:p>
        </w:tc>
      </w:tr>
      <w:tr w:rsidR="005F4A7E" w:rsidRPr="002029AF" w14:paraId="5DBA2A47" w14:textId="77777777" w:rsidTr="00860E95">
        <w:tc>
          <w:tcPr>
            <w:tcW w:w="5952" w:type="dxa"/>
            <w:tcBorders>
              <w:top w:val="single" w:sz="4" w:space="0" w:color="A6A6A6"/>
              <w:bottom w:val="single" w:sz="4" w:space="0" w:color="A6A6A6"/>
            </w:tcBorders>
            <w:hideMark/>
          </w:tcPr>
          <w:p w14:paraId="05DACD23" w14:textId="77777777" w:rsidR="005F4A7E" w:rsidRPr="00597F28" w:rsidRDefault="005F4A7E" w:rsidP="00130D1C">
            <w:pPr>
              <w:pStyle w:val="ARfintablebody"/>
              <w:rPr>
                <w:rStyle w:val="Emphasis"/>
              </w:rPr>
            </w:pPr>
            <w:r w:rsidRPr="00597F28">
              <w:rPr>
                <w:rStyle w:val="Emphasis"/>
              </w:rPr>
              <w:t>Less accumulated depreciation</w:t>
            </w:r>
          </w:p>
        </w:tc>
        <w:tc>
          <w:tcPr>
            <w:tcW w:w="1417" w:type="dxa"/>
            <w:tcBorders>
              <w:top w:val="single" w:sz="4" w:space="0" w:color="A6A6A6"/>
              <w:bottom w:val="single" w:sz="4" w:space="0" w:color="A6A6A6"/>
            </w:tcBorders>
            <w:shd w:val="clear" w:color="auto" w:fill="E7E6E6"/>
            <w:noWrap/>
            <w:hideMark/>
          </w:tcPr>
          <w:p w14:paraId="35FC6CC4" w14:textId="77777777" w:rsidR="005F4A7E" w:rsidRPr="002029AF" w:rsidRDefault="005F4A7E" w:rsidP="00130D1C">
            <w:pPr>
              <w:pStyle w:val="ARfintablebodyright"/>
            </w:pPr>
            <w:r w:rsidRPr="00186661">
              <w:t>(75.7)</w:t>
            </w:r>
          </w:p>
        </w:tc>
        <w:tc>
          <w:tcPr>
            <w:tcW w:w="1418" w:type="dxa"/>
            <w:tcBorders>
              <w:top w:val="single" w:sz="4" w:space="0" w:color="A6A6A6"/>
              <w:bottom w:val="single" w:sz="4" w:space="0" w:color="A6A6A6"/>
            </w:tcBorders>
            <w:noWrap/>
            <w:hideMark/>
          </w:tcPr>
          <w:p w14:paraId="2FE565C2" w14:textId="77777777" w:rsidR="005F4A7E" w:rsidRPr="002029AF" w:rsidRDefault="005F4A7E" w:rsidP="00130D1C">
            <w:pPr>
              <w:pStyle w:val="ARfintablebodyright"/>
            </w:pPr>
            <w:r w:rsidRPr="00186661">
              <w:t>(94.7)</w:t>
            </w:r>
          </w:p>
        </w:tc>
        <w:tc>
          <w:tcPr>
            <w:tcW w:w="1418" w:type="dxa"/>
            <w:tcBorders>
              <w:top w:val="single" w:sz="4" w:space="0" w:color="A6A6A6"/>
              <w:bottom w:val="single" w:sz="4" w:space="0" w:color="A6A6A6"/>
            </w:tcBorders>
            <w:shd w:val="clear" w:color="auto" w:fill="E7E6E6"/>
            <w:noWrap/>
            <w:hideMark/>
          </w:tcPr>
          <w:p w14:paraId="0E7D930E" w14:textId="77777777" w:rsidR="005F4A7E" w:rsidRPr="002029AF" w:rsidRDefault="005F4A7E" w:rsidP="00130D1C">
            <w:pPr>
              <w:pStyle w:val="ARfintablebodyright"/>
            </w:pPr>
            <w:r w:rsidRPr="00186661">
              <w:t>(130.7)</w:t>
            </w:r>
          </w:p>
        </w:tc>
        <w:tc>
          <w:tcPr>
            <w:tcW w:w="1418" w:type="dxa"/>
            <w:tcBorders>
              <w:top w:val="single" w:sz="4" w:space="0" w:color="A6A6A6"/>
              <w:bottom w:val="single" w:sz="4" w:space="0" w:color="A6A6A6"/>
            </w:tcBorders>
            <w:noWrap/>
            <w:hideMark/>
          </w:tcPr>
          <w:p w14:paraId="027F2FD2" w14:textId="77777777" w:rsidR="005F4A7E" w:rsidRPr="002029AF" w:rsidRDefault="005F4A7E" w:rsidP="00130D1C">
            <w:pPr>
              <w:pStyle w:val="ARfintablebodyright"/>
            </w:pPr>
            <w:r w:rsidRPr="00186661">
              <w:t>(315.0)</w:t>
            </w:r>
          </w:p>
        </w:tc>
        <w:tc>
          <w:tcPr>
            <w:tcW w:w="1418" w:type="dxa"/>
            <w:tcBorders>
              <w:top w:val="single" w:sz="4" w:space="0" w:color="A6A6A6"/>
              <w:bottom w:val="single" w:sz="4" w:space="0" w:color="A6A6A6"/>
            </w:tcBorders>
            <w:shd w:val="clear" w:color="auto" w:fill="E7E6E6"/>
            <w:noWrap/>
            <w:hideMark/>
          </w:tcPr>
          <w:p w14:paraId="645A3373" w14:textId="77777777" w:rsidR="005F4A7E" w:rsidRPr="002029AF" w:rsidRDefault="005F4A7E" w:rsidP="00130D1C">
            <w:pPr>
              <w:pStyle w:val="ARfintablebodyright"/>
            </w:pPr>
            <w:r w:rsidRPr="00186661">
              <w:t>(206.4)</w:t>
            </w:r>
          </w:p>
        </w:tc>
        <w:tc>
          <w:tcPr>
            <w:tcW w:w="1418" w:type="dxa"/>
            <w:tcBorders>
              <w:top w:val="single" w:sz="4" w:space="0" w:color="A6A6A6"/>
              <w:bottom w:val="single" w:sz="4" w:space="0" w:color="A6A6A6"/>
            </w:tcBorders>
            <w:noWrap/>
            <w:hideMark/>
          </w:tcPr>
          <w:p w14:paraId="7374AA67" w14:textId="77777777" w:rsidR="005F4A7E" w:rsidRPr="002029AF" w:rsidRDefault="005F4A7E" w:rsidP="00130D1C">
            <w:pPr>
              <w:pStyle w:val="ARfintablebodyright"/>
            </w:pPr>
            <w:r w:rsidRPr="00186661">
              <w:t>(409.7)</w:t>
            </w:r>
          </w:p>
        </w:tc>
      </w:tr>
      <w:tr w:rsidR="005F4A7E" w:rsidRPr="002029AF" w14:paraId="610F400C" w14:textId="77777777" w:rsidTr="00860E95">
        <w:tc>
          <w:tcPr>
            <w:tcW w:w="5952" w:type="dxa"/>
            <w:tcBorders>
              <w:top w:val="single" w:sz="4" w:space="0" w:color="A6A6A6"/>
            </w:tcBorders>
            <w:hideMark/>
          </w:tcPr>
          <w:p w14:paraId="49F4BF2F" w14:textId="77777777" w:rsidR="005F4A7E" w:rsidRPr="00597F28" w:rsidRDefault="005F4A7E" w:rsidP="00130D1C">
            <w:pPr>
              <w:pStyle w:val="ARfintablebody"/>
              <w:rPr>
                <w:rStyle w:val="Emphasis"/>
              </w:rPr>
            </w:pPr>
            <w:r w:rsidRPr="00597F28">
              <w:rPr>
                <w:rStyle w:val="Emphasis"/>
              </w:rPr>
              <w:t>Less allowance for Shared Home Ownership Scheme equity conversion</w:t>
            </w:r>
          </w:p>
        </w:tc>
        <w:tc>
          <w:tcPr>
            <w:tcW w:w="1417" w:type="dxa"/>
            <w:tcBorders>
              <w:top w:val="single" w:sz="4" w:space="0" w:color="A6A6A6"/>
            </w:tcBorders>
            <w:shd w:val="clear" w:color="auto" w:fill="E7E6E6"/>
            <w:noWrap/>
            <w:hideMark/>
          </w:tcPr>
          <w:p w14:paraId="4D573C4D" w14:textId="77777777" w:rsidR="005F4A7E" w:rsidRPr="002029AF" w:rsidRDefault="005F4A7E" w:rsidP="00130D1C">
            <w:pPr>
              <w:pStyle w:val="ARfintablebodyright"/>
            </w:pPr>
            <w:r w:rsidRPr="00186661">
              <w:t>–</w:t>
            </w:r>
          </w:p>
        </w:tc>
        <w:tc>
          <w:tcPr>
            <w:tcW w:w="1418" w:type="dxa"/>
            <w:tcBorders>
              <w:top w:val="single" w:sz="4" w:space="0" w:color="A6A6A6"/>
            </w:tcBorders>
            <w:noWrap/>
            <w:hideMark/>
          </w:tcPr>
          <w:p w14:paraId="26B121BA" w14:textId="77777777" w:rsidR="005F4A7E" w:rsidRPr="002029AF" w:rsidRDefault="005F4A7E" w:rsidP="00130D1C">
            <w:pPr>
              <w:pStyle w:val="ARfintablebodyright"/>
            </w:pPr>
            <w:r w:rsidRPr="00186661">
              <w:t>–</w:t>
            </w:r>
          </w:p>
        </w:tc>
        <w:tc>
          <w:tcPr>
            <w:tcW w:w="1418" w:type="dxa"/>
            <w:tcBorders>
              <w:top w:val="single" w:sz="4" w:space="0" w:color="A6A6A6"/>
            </w:tcBorders>
            <w:shd w:val="clear" w:color="auto" w:fill="E7E6E6"/>
            <w:noWrap/>
            <w:hideMark/>
          </w:tcPr>
          <w:p w14:paraId="7467A88B" w14:textId="77777777" w:rsidR="005F4A7E" w:rsidRPr="002029AF" w:rsidRDefault="005F4A7E" w:rsidP="00130D1C">
            <w:pPr>
              <w:pStyle w:val="ARfintablebodyright"/>
            </w:pPr>
            <w:r w:rsidRPr="00186661">
              <w:t>(1.9)</w:t>
            </w:r>
          </w:p>
        </w:tc>
        <w:tc>
          <w:tcPr>
            <w:tcW w:w="1418" w:type="dxa"/>
            <w:tcBorders>
              <w:top w:val="single" w:sz="4" w:space="0" w:color="A6A6A6"/>
            </w:tcBorders>
            <w:noWrap/>
            <w:hideMark/>
          </w:tcPr>
          <w:p w14:paraId="47B9E3BE" w14:textId="77777777" w:rsidR="005F4A7E" w:rsidRPr="002029AF" w:rsidRDefault="005F4A7E" w:rsidP="00130D1C">
            <w:pPr>
              <w:pStyle w:val="ARfintablebodyright"/>
            </w:pPr>
            <w:r w:rsidRPr="00186661">
              <w:t>(1.9)</w:t>
            </w:r>
          </w:p>
        </w:tc>
        <w:tc>
          <w:tcPr>
            <w:tcW w:w="1418" w:type="dxa"/>
            <w:tcBorders>
              <w:top w:val="single" w:sz="4" w:space="0" w:color="A6A6A6"/>
            </w:tcBorders>
            <w:shd w:val="clear" w:color="auto" w:fill="E7E6E6"/>
            <w:noWrap/>
            <w:hideMark/>
          </w:tcPr>
          <w:p w14:paraId="4162C49E" w14:textId="77777777" w:rsidR="005F4A7E" w:rsidRPr="002029AF" w:rsidRDefault="005F4A7E" w:rsidP="00130D1C">
            <w:pPr>
              <w:pStyle w:val="ARfintablebodyright"/>
            </w:pPr>
            <w:r w:rsidRPr="00186661">
              <w:t>(1.9)</w:t>
            </w:r>
          </w:p>
        </w:tc>
        <w:tc>
          <w:tcPr>
            <w:tcW w:w="1418" w:type="dxa"/>
            <w:tcBorders>
              <w:top w:val="single" w:sz="4" w:space="0" w:color="A6A6A6"/>
            </w:tcBorders>
            <w:noWrap/>
            <w:hideMark/>
          </w:tcPr>
          <w:p w14:paraId="051DBE04" w14:textId="77777777" w:rsidR="005F4A7E" w:rsidRPr="002029AF" w:rsidRDefault="005F4A7E" w:rsidP="00130D1C">
            <w:pPr>
              <w:pStyle w:val="ARfintablebodyright"/>
            </w:pPr>
            <w:r w:rsidRPr="00186661">
              <w:t>(1.9)</w:t>
            </w:r>
          </w:p>
        </w:tc>
      </w:tr>
      <w:tr w:rsidR="005F4A7E" w:rsidRPr="002029AF" w14:paraId="153EE2C2" w14:textId="77777777" w:rsidTr="00860E95">
        <w:tc>
          <w:tcPr>
            <w:tcW w:w="5952" w:type="dxa"/>
            <w:tcBorders>
              <w:bottom w:val="single" w:sz="4" w:space="0" w:color="auto"/>
            </w:tcBorders>
            <w:hideMark/>
          </w:tcPr>
          <w:p w14:paraId="2118E6BA" w14:textId="77777777" w:rsidR="005F4A7E" w:rsidRPr="002029AF" w:rsidRDefault="005F4A7E" w:rsidP="00130D1C">
            <w:pPr>
              <w:pStyle w:val="ARfintablebodybold"/>
            </w:pPr>
            <w:r w:rsidRPr="00186661">
              <w:t>Total buildings at fair value</w:t>
            </w:r>
          </w:p>
        </w:tc>
        <w:tc>
          <w:tcPr>
            <w:tcW w:w="1417" w:type="dxa"/>
            <w:tcBorders>
              <w:bottom w:val="single" w:sz="4" w:space="0" w:color="auto"/>
            </w:tcBorders>
            <w:shd w:val="clear" w:color="auto" w:fill="E7E6E6"/>
            <w:noWrap/>
            <w:hideMark/>
          </w:tcPr>
          <w:p w14:paraId="5358234B" w14:textId="77777777" w:rsidR="005F4A7E" w:rsidRPr="002029AF" w:rsidRDefault="005F4A7E" w:rsidP="00130D1C">
            <w:pPr>
              <w:pStyle w:val="ARfintablebodyrightbold"/>
            </w:pPr>
            <w:r w:rsidRPr="00186661">
              <w:t>995.4</w:t>
            </w:r>
          </w:p>
        </w:tc>
        <w:tc>
          <w:tcPr>
            <w:tcW w:w="1418" w:type="dxa"/>
            <w:tcBorders>
              <w:bottom w:val="single" w:sz="4" w:space="0" w:color="auto"/>
            </w:tcBorders>
            <w:noWrap/>
            <w:hideMark/>
          </w:tcPr>
          <w:p w14:paraId="774ED726" w14:textId="77777777" w:rsidR="005F4A7E" w:rsidRPr="002029AF" w:rsidRDefault="005F4A7E" w:rsidP="00130D1C">
            <w:pPr>
              <w:pStyle w:val="ARfintablebodyrightbold"/>
            </w:pPr>
            <w:r w:rsidRPr="00186661">
              <w:t>1,006.8</w:t>
            </w:r>
          </w:p>
        </w:tc>
        <w:tc>
          <w:tcPr>
            <w:tcW w:w="1418" w:type="dxa"/>
            <w:tcBorders>
              <w:bottom w:val="single" w:sz="4" w:space="0" w:color="auto"/>
            </w:tcBorders>
            <w:shd w:val="clear" w:color="auto" w:fill="E7E6E6"/>
            <w:noWrap/>
            <w:hideMark/>
          </w:tcPr>
          <w:p w14:paraId="26A0C404" w14:textId="77777777" w:rsidR="005F4A7E" w:rsidRPr="002029AF" w:rsidRDefault="005F4A7E" w:rsidP="00130D1C">
            <w:pPr>
              <w:pStyle w:val="ARfintablebodyrightbold"/>
            </w:pPr>
            <w:r w:rsidRPr="00186661">
              <w:t>8,751.1</w:t>
            </w:r>
          </w:p>
        </w:tc>
        <w:tc>
          <w:tcPr>
            <w:tcW w:w="1418" w:type="dxa"/>
            <w:tcBorders>
              <w:bottom w:val="single" w:sz="4" w:space="0" w:color="auto"/>
            </w:tcBorders>
            <w:noWrap/>
            <w:hideMark/>
          </w:tcPr>
          <w:p w14:paraId="008CA6FF" w14:textId="77777777" w:rsidR="005F4A7E" w:rsidRPr="002029AF" w:rsidRDefault="005F4A7E" w:rsidP="00130D1C">
            <w:pPr>
              <w:pStyle w:val="ARfintablebodyrightbold"/>
            </w:pPr>
            <w:r w:rsidRPr="00186661">
              <w:t>8,643.5</w:t>
            </w:r>
          </w:p>
        </w:tc>
        <w:tc>
          <w:tcPr>
            <w:tcW w:w="1418" w:type="dxa"/>
            <w:tcBorders>
              <w:bottom w:val="single" w:sz="4" w:space="0" w:color="auto"/>
            </w:tcBorders>
            <w:shd w:val="clear" w:color="auto" w:fill="E7E6E6"/>
            <w:noWrap/>
            <w:hideMark/>
          </w:tcPr>
          <w:p w14:paraId="2EEF3A70" w14:textId="77777777" w:rsidR="005F4A7E" w:rsidRPr="002029AF" w:rsidRDefault="005F4A7E" w:rsidP="00130D1C">
            <w:pPr>
              <w:pStyle w:val="ARfintablebodyrightbold"/>
            </w:pPr>
            <w:r w:rsidRPr="00186661">
              <w:t>9,746.5</w:t>
            </w:r>
          </w:p>
        </w:tc>
        <w:tc>
          <w:tcPr>
            <w:tcW w:w="1418" w:type="dxa"/>
            <w:tcBorders>
              <w:bottom w:val="single" w:sz="4" w:space="0" w:color="auto"/>
            </w:tcBorders>
            <w:noWrap/>
            <w:hideMark/>
          </w:tcPr>
          <w:p w14:paraId="2AA19E33" w14:textId="77777777" w:rsidR="005F4A7E" w:rsidRPr="002029AF" w:rsidRDefault="005F4A7E" w:rsidP="00130D1C">
            <w:pPr>
              <w:pStyle w:val="ARfintablebodyrightbold"/>
            </w:pPr>
            <w:r w:rsidRPr="00186661">
              <w:t>9,650.3</w:t>
            </w:r>
          </w:p>
        </w:tc>
      </w:tr>
      <w:tr w:rsidR="005F4A7E" w:rsidRPr="002029AF" w14:paraId="68075C07" w14:textId="77777777" w:rsidTr="00860E95">
        <w:tc>
          <w:tcPr>
            <w:tcW w:w="14459" w:type="dxa"/>
            <w:gridSpan w:val="7"/>
            <w:tcBorders>
              <w:top w:val="single" w:sz="4" w:space="0" w:color="auto"/>
              <w:bottom w:val="single" w:sz="4" w:space="0" w:color="A6A6A6"/>
            </w:tcBorders>
            <w:hideMark/>
          </w:tcPr>
          <w:p w14:paraId="288DEE9A" w14:textId="77777777" w:rsidR="005F4A7E" w:rsidRPr="002029AF" w:rsidRDefault="005F4A7E" w:rsidP="00130D1C">
            <w:pPr>
              <w:pStyle w:val="ARfintablebodybold"/>
            </w:pPr>
            <w:r w:rsidRPr="00186661">
              <w:t>Plant, equipment and vehicles at fair value</w:t>
            </w:r>
          </w:p>
        </w:tc>
      </w:tr>
      <w:tr w:rsidR="005F4A7E" w:rsidRPr="002029AF" w14:paraId="138B1BA7" w14:textId="77777777" w:rsidTr="00860E95">
        <w:tc>
          <w:tcPr>
            <w:tcW w:w="5952" w:type="dxa"/>
            <w:tcBorders>
              <w:top w:val="single" w:sz="4" w:space="0" w:color="A6A6A6"/>
              <w:bottom w:val="single" w:sz="4" w:space="0" w:color="A6A6A6"/>
            </w:tcBorders>
            <w:hideMark/>
          </w:tcPr>
          <w:p w14:paraId="7D626513" w14:textId="77777777" w:rsidR="005F4A7E" w:rsidRPr="002029AF" w:rsidRDefault="005F4A7E" w:rsidP="00130D1C">
            <w:pPr>
              <w:pStyle w:val="ARfintablebody"/>
            </w:pPr>
            <w:r w:rsidRPr="00186661">
              <w:t>Plant, equipment and vehicles</w:t>
            </w:r>
          </w:p>
        </w:tc>
        <w:tc>
          <w:tcPr>
            <w:tcW w:w="1417" w:type="dxa"/>
            <w:tcBorders>
              <w:top w:val="single" w:sz="4" w:space="0" w:color="A6A6A6"/>
              <w:bottom w:val="single" w:sz="4" w:space="0" w:color="A6A6A6"/>
            </w:tcBorders>
            <w:shd w:val="clear" w:color="auto" w:fill="E7E6E6"/>
            <w:noWrap/>
            <w:hideMark/>
          </w:tcPr>
          <w:p w14:paraId="42CC7B0B" w14:textId="77777777" w:rsidR="005F4A7E" w:rsidRPr="002029AF" w:rsidRDefault="005F4A7E" w:rsidP="00130D1C">
            <w:pPr>
              <w:pStyle w:val="ARfintablebodyright"/>
            </w:pPr>
            <w:r w:rsidRPr="00186661">
              <w:t>28.8</w:t>
            </w:r>
          </w:p>
        </w:tc>
        <w:tc>
          <w:tcPr>
            <w:tcW w:w="1418" w:type="dxa"/>
            <w:tcBorders>
              <w:top w:val="single" w:sz="4" w:space="0" w:color="A6A6A6"/>
              <w:bottom w:val="single" w:sz="4" w:space="0" w:color="A6A6A6"/>
            </w:tcBorders>
            <w:noWrap/>
            <w:hideMark/>
          </w:tcPr>
          <w:p w14:paraId="399939A0" w14:textId="77777777" w:rsidR="005F4A7E" w:rsidRPr="002029AF" w:rsidRDefault="005F4A7E" w:rsidP="00130D1C">
            <w:pPr>
              <w:pStyle w:val="ARfintablebodyright"/>
            </w:pPr>
            <w:r w:rsidRPr="00186661">
              <w:t>39.3</w:t>
            </w:r>
          </w:p>
        </w:tc>
        <w:tc>
          <w:tcPr>
            <w:tcW w:w="1418" w:type="dxa"/>
            <w:tcBorders>
              <w:top w:val="single" w:sz="4" w:space="0" w:color="A6A6A6"/>
              <w:bottom w:val="single" w:sz="4" w:space="0" w:color="A6A6A6"/>
            </w:tcBorders>
            <w:shd w:val="clear" w:color="auto" w:fill="E7E6E6"/>
            <w:noWrap/>
            <w:hideMark/>
          </w:tcPr>
          <w:p w14:paraId="464486CB" w14:textId="77777777" w:rsidR="005F4A7E" w:rsidRPr="002029AF" w:rsidRDefault="005F4A7E" w:rsidP="00130D1C">
            <w:pPr>
              <w:pStyle w:val="ARfintablebodyright"/>
            </w:pPr>
            <w:r w:rsidRPr="00186661">
              <w:t>2.2</w:t>
            </w:r>
          </w:p>
        </w:tc>
        <w:tc>
          <w:tcPr>
            <w:tcW w:w="1418" w:type="dxa"/>
            <w:tcBorders>
              <w:top w:val="single" w:sz="4" w:space="0" w:color="A6A6A6"/>
              <w:bottom w:val="single" w:sz="4" w:space="0" w:color="A6A6A6"/>
            </w:tcBorders>
            <w:noWrap/>
            <w:hideMark/>
          </w:tcPr>
          <w:p w14:paraId="4DF3E127" w14:textId="77777777" w:rsidR="005F4A7E" w:rsidRPr="002029AF" w:rsidRDefault="005F4A7E" w:rsidP="00130D1C">
            <w:pPr>
              <w:pStyle w:val="ARfintablebodyright"/>
            </w:pPr>
            <w:r w:rsidRPr="00186661">
              <w:t>2.3</w:t>
            </w:r>
          </w:p>
        </w:tc>
        <w:tc>
          <w:tcPr>
            <w:tcW w:w="1418" w:type="dxa"/>
            <w:tcBorders>
              <w:top w:val="single" w:sz="4" w:space="0" w:color="A6A6A6"/>
              <w:bottom w:val="single" w:sz="4" w:space="0" w:color="A6A6A6"/>
            </w:tcBorders>
            <w:shd w:val="clear" w:color="auto" w:fill="E7E6E6"/>
            <w:noWrap/>
            <w:hideMark/>
          </w:tcPr>
          <w:p w14:paraId="201172FB" w14:textId="77777777" w:rsidR="005F4A7E" w:rsidRPr="002029AF" w:rsidRDefault="005F4A7E" w:rsidP="00130D1C">
            <w:pPr>
              <w:pStyle w:val="ARfintablebodyright"/>
            </w:pPr>
            <w:r w:rsidRPr="00186661">
              <w:t>31.0</w:t>
            </w:r>
          </w:p>
        </w:tc>
        <w:tc>
          <w:tcPr>
            <w:tcW w:w="1418" w:type="dxa"/>
            <w:tcBorders>
              <w:top w:val="single" w:sz="4" w:space="0" w:color="A6A6A6"/>
              <w:bottom w:val="single" w:sz="4" w:space="0" w:color="A6A6A6"/>
            </w:tcBorders>
            <w:noWrap/>
            <w:hideMark/>
          </w:tcPr>
          <w:p w14:paraId="5874CA8B" w14:textId="77777777" w:rsidR="005F4A7E" w:rsidRPr="002029AF" w:rsidRDefault="005F4A7E" w:rsidP="00130D1C">
            <w:pPr>
              <w:pStyle w:val="ARfintablebodyright"/>
            </w:pPr>
            <w:r w:rsidRPr="00186661">
              <w:t>41.6</w:t>
            </w:r>
          </w:p>
        </w:tc>
      </w:tr>
      <w:tr w:rsidR="005F4A7E" w:rsidRPr="002029AF" w14:paraId="04FA25FC" w14:textId="77777777" w:rsidTr="00860E95">
        <w:tc>
          <w:tcPr>
            <w:tcW w:w="5952" w:type="dxa"/>
            <w:tcBorders>
              <w:top w:val="single" w:sz="4" w:space="0" w:color="A6A6A6"/>
              <w:bottom w:val="single" w:sz="4" w:space="0" w:color="A6A6A6"/>
            </w:tcBorders>
            <w:hideMark/>
          </w:tcPr>
          <w:p w14:paraId="5AB09162" w14:textId="77777777" w:rsidR="005F4A7E" w:rsidRPr="002029AF" w:rsidRDefault="005F4A7E" w:rsidP="00130D1C">
            <w:pPr>
              <w:pStyle w:val="ARfintablebody"/>
            </w:pPr>
            <w:r w:rsidRPr="00186661">
              <w:t>Right-of-use plant and equipment</w:t>
            </w:r>
          </w:p>
        </w:tc>
        <w:tc>
          <w:tcPr>
            <w:tcW w:w="1417" w:type="dxa"/>
            <w:tcBorders>
              <w:top w:val="single" w:sz="4" w:space="0" w:color="A6A6A6"/>
              <w:bottom w:val="single" w:sz="4" w:space="0" w:color="A6A6A6"/>
            </w:tcBorders>
            <w:shd w:val="clear" w:color="auto" w:fill="E7E6E6"/>
            <w:noWrap/>
            <w:hideMark/>
          </w:tcPr>
          <w:p w14:paraId="42C653E3" w14:textId="77777777" w:rsidR="005F4A7E" w:rsidRPr="002029AF" w:rsidRDefault="005F4A7E" w:rsidP="00130D1C">
            <w:pPr>
              <w:pStyle w:val="ARfintablebodyright"/>
            </w:pPr>
            <w:r w:rsidRPr="00186661">
              <w:t>8.2</w:t>
            </w:r>
          </w:p>
        </w:tc>
        <w:tc>
          <w:tcPr>
            <w:tcW w:w="1418" w:type="dxa"/>
            <w:tcBorders>
              <w:top w:val="single" w:sz="4" w:space="0" w:color="A6A6A6"/>
              <w:bottom w:val="single" w:sz="4" w:space="0" w:color="A6A6A6"/>
            </w:tcBorders>
            <w:noWrap/>
            <w:hideMark/>
          </w:tcPr>
          <w:p w14:paraId="4D8D0BE6" w14:textId="77777777" w:rsidR="005F4A7E" w:rsidRPr="002029AF" w:rsidRDefault="005F4A7E" w:rsidP="00130D1C">
            <w:pPr>
              <w:pStyle w:val="ARfintablebodyright"/>
            </w:pPr>
            <w:r w:rsidRPr="00186661">
              <w:t>6.0</w:t>
            </w:r>
          </w:p>
        </w:tc>
        <w:tc>
          <w:tcPr>
            <w:tcW w:w="1418" w:type="dxa"/>
            <w:tcBorders>
              <w:top w:val="single" w:sz="4" w:space="0" w:color="A6A6A6"/>
              <w:bottom w:val="single" w:sz="4" w:space="0" w:color="A6A6A6"/>
            </w:tcBorders>
            <w:shd w:val="clear" w:color="auto" w:fill="E7E6E6"/>
            <w:noWrap/>
            <w:hideMark/>
          </w:tcPr>
          <w:p w14:paraId="370E47A1" w14:textId="77777777" w:rsidR="005F4A7E" w:rsidRPr="002029AF" w:rsidRDefault="005F4A7E" w:rsidP="00130D1C">
            <w:pPr>
              <w:pStyle w:val="ARfintablebodyright"/>
            </w:pPr>
            <w:r w:rsidRPr="00186661">
              <w:t>–</w:t>
            </w:r>
          </w:p>
        </w:tc>
        <w:tc>
          <w:tcPr>
            <w:tcW w:w="1418" w:type="dxa"/>
            <w:tcBorders>
              <w:top w:val="single" w:sz="4" w:space="0" w:color="A6A6A6"/>
              <w:bottom w:val="single" w:sz="4" w:space="0" w:color="A6A6A6"/>
            </w:tcBorders>
            <w:noWrap/>
            <w:hideMark/>
          </w:tcPr>
          <w:p w14:paraId="39DEB37F" w14:textId="77777777" w:rsidR="005F4A7E" w:rsidRPr="002029AF" w:rsidRDefault="005F4A7E" w:rsidP="00130D1C">
            <w:pPr>
              <w:pStyle w:val="ARfintablebodyright"/>
            </w:pPr>
            <w:r w:rsidRPr="00186661">
              <w:t>–</w:t>
            </w:r>
          </w:p>
        </w:tc>
        <w:tc>
          <w:tcPr>
            <w:tcW w:w="1418" w:type="dxa"/>
            <w:tcBorders>
              <w:top w:val="single" w:sz="4" w:space="0" w:color="A6A6A6"/>
              <w:bottom w:val="single" w:sz="4" w:space="0" w:color="A6A6A6"/>
            </w:tcBorders>
            <w:shd w:val="clear" w:color="auto" w:fill="E7E6E6"/>
            <w:noWrap/>
            <w:hideMark/>
          </w:tcPr>
          <w:p w14:paraId="2F98D7F8" w14:textId="77777777" w:rsidR="005F4A7E" w:rsidRPr="002029AF" w:rsidRDefault="005F4A7E" w:rsidP="00130D1C">
            <w:pPr>
              <w:pStyle w:val="ARfintablebodyright"/>
            </w:pPr>
            <w:r w:rsidRPr="00186661">
              <w:t>8.2</w:t>
            </w:r>
          </w:p>
        </w:tc>
        <w:tc>
          <w:tcPr>
            <w:tcW w:w="1418" w:type="dxa"/>
            <w:tcBorders>
              <w:top w:val="single" w:sz="4" w:space="0" w:color="A6A6A6"/>
              <w:bottom w:val="single" w:sz="4" w:space="0" w:color="A6A6A6"/>
            </w:tcBorders>
            <w:noWrap/>
            <w:hideMark/>
          </w:tcPr>
          <w:p w14:paraId="15A20DDA" w14:textId="77777777" w:rsidR="005F4A7E" w:rsidRPr="002029AF" w:rsidRDefault="005F4A7E" w:rsidP="00130D1C">
            <w:pPr>
              <w:pStyle w:val="ARfintablebodyright"/>
            </w:pPr>
            <w:r w:rsidRPr="00186661">
              <w:t>6.0</w:t>
            </w:r>
          </w:p>
        </w:tc>
      </w:tr>
      <w:tr w:rsidR="005F4A7E" w:rsidRPr="002029AF" w14:paraId="4F683AFB" w14:textId="77777777" w:rsidTr="00860E95">
        <w:tc>
          <w:tcPr>
            <w:tcW w:w="5952" w:type="dxa"/>
            <w:tcBorders>
              <w:top w:val="single" w:sz="4" w:space="0" w:color="A6A6A6"/>
              <w:bottom w:val="single" w:sz="4" w:space="0" w:color="A6A6A6"/>
            </w:tcBorders>
            <w:hideMark/>
          </w:tcPr>
          <w:p w14:paraId="0B8FFA75" w14:textId="77777777" w:rsidR="005F4A7E" w:rsidRPr="002029AF" w:rsidRDefault="005F4A7E" w:rsidP="00130D1C">
            <w:pPr>
              <w:pStyle w:val="ARfintablebody"/>
            </w:pPr>
            <w:r w:rsidRPr="00186661">
              <w:t>Service concession plant and equipment</w:t>
            </w:r>
          </w:p>
        </w:tc>
        <w:tc>
          <w:tcPr>
            <w:tcW w:w="1417" w:type="dxa"/>
            <w:tcBorders>
              <w:top w:val="single" w:sz="4" w:space="0" w:color="A6A6A6"/>
              <w:bottom w:val="single" w:sz="4" w:space="0" w:color="A6A6A6"/>
            </w:tcBorders>
            <w:shd w:val="clear" w:color="auto" w:fill="E7E6E6"/>
            <w:noWrap/>
            <w:hideMark/>
          </w:tcPr>
          <w:p w14:paraId="2D88200A" w14:textId="77777777" w:rsidR="005F4A7E" w:rsidRPr="002029AF" w:rsidRDefault="005F4A7E" w:rsidP="00130D1C">
            <w:pPr>
              <w:pStyle w:val="ARfintablebodyright"/>
            </w:pPr>
            <w:r w:rsidRPr="00186661">
              <w:t>–</w:t>
            </w:r>
          </w:p>
        </w:tc>
        <w:tc>
          <w:tcPr>
            <w:tcW w:w="1418" w:type="dxa"/>
            <w:tcBorders>
              <w:top w:val="single" w:sz="4" w:space="0" w:color="A6A6A6"/>
              <w:bottom w:val="single" w:sz="4" w:space="0" w:color="A6A6A6"/>
            </w:tcBorders>
            <w:noWrap/>
            <w:hideMark/>
          </w:tcPr>
          <w:p w14:paraId="5A41E8B0" w14:textId="77777777" w:rsidR="005F4A7E" w:rsidRPr="002029AF" w:rsidRDefault="005F4A7E" w:rsidP="00130D1C">
            <w:pPr>
              <w:pStyle w:val="ARfintablebodyright"/>
            </w:pPr>
            <w:r w:rsidRPr="00186661">
              <w:t>7.0</w:t>
            </w:r>
          </w:p>
        </w:tc>
        <w:tc>
          <w:tcPr>
            <w:tcW w:w="1418" w:type="dxa"/>
            <w:tcBorders>
              <w:top w:val="single" w:sz="4" w:space="0" w:color="A6A6A6"/>
              <w:bottom w:val="single" w:sz="4" w:space="0" w:color="A6A6A6"/>
            </w:tcBorders>
            <w:shd w:val="clear" w:color="auto" w:fill="E7E6E6"/>
            <w:noWrap/>
            <w:hideMark/>
          </w:tcPr>
          <w:p w14:paraId="2D888599" w14:textId="77777777" w:rsidR="005F4A7E" w:rsidRPr="002029AF" w:rsidRDefault="005F4A7E" w:rsidP="00130D1C">
            <w:pPr>
              <w:pStyle w:val="ARfintablebodyright"/>
            </w:pPr>
            <w:r w:rsidRPr="00186661">
              <w:t>–</w:t>
            </w:r>
          </w:p>
        </w:tc>
        <w:tc>
          <w:tcPr>
            <w:tcW w:w="1418" w:type="dxa"/>
            <w:tcBorders>
              <w:top w:val="single" w:sz="4" w:space="0" w:color="A6A6A6"/>
              <w:bottom w:val="single" w:sz="4" w:space="0" w:color="A6A6A6"/>
            </w:tcBorders>
            <w:noWrap/>
            <w:hideMark/>
          </w:tcPr>
          <w:p w14:paraId="697A1A5E" w14:textId="77777777" w:rsidR="005F4A7E" w:rsidRPr="002029AF" w:rsidRDefault="005F4A7E" w:rsidP="00130D1C">
            <w:pPr>
              <w:pStyle w:val="ARfintablebodyright"/>
            </w:pPr>
            <w:r w:rsidRPr="00186661">
              <w:t>–</w:t>
            </w:r>
          </w:p>
        </w:tc>
        <w:tc>
          <w:tcPr>
            <w:tcW w:w="1418" w:type="dxa"/>
            <w:tcBorders>
              <w:top w:val="single" w:sz="4" w:space="0" w:color="A6A6A6"/>
              <w:bottom w:val="single" w:sz="4" w:space="0" w:color="A6A6A6"/>
            </w:tcBorders>
            <w:shd w:val="clear" w:color="auto" w:fill="E7E6E6"/>
            <w:noWrap/>
            <w:hideMark/>
          </w:tcPr>
          <w:p w14:paraId="0C52758C" w14:textId="77777777" w:rsidR="005F4A7E" w:rsidRPr="002029AF" w:rsidRDefault="005F4A7E" w:rsidP="00130D1C">
            <w:pPr>
              <w:pStyle w:val="ARfintablebodyright"/>
            </w:pPr>
            <w:r w:rsidRPr="00186661">
              <w:t>–</w:t>
            </w:r>
          </w:p>
        </w:tc>
        <w:tc>
          <w:tcPr>
            <w:tcW w:w="1418" w:type="dxa"/>
            <w:tcBorders>
              <w:top w:val="single" w:sz="4" w:space="0" w:color="A6A6A6"/>
              <w:bottom w:val="single" w:sz="4" w:space="0" w:color="A6A6A6"/>
            </w:tcBorders>
            <w:noWrap/>
            <w:hideMark/>
          </w:tcPr>
          <w:p w14:paraId="527436D4" w14:textId="77777777" w:rsidR="005F4A7E" w:rsidRPr="002029AF" w:rsidRDefault="005F4A7E" w:rsidP="00130D1C">
            <w:pPr>
              <w:pStyle w:val="ARfintablebodyright"/>
            </w:pPr>
            <w:r w:rsidRPr="00186661">
              <w:t>7.0</w:t>
            </w:r>
          </w:p>
        </w:tc>
      </w:tr>
      <w:tr w:rsidR="005F4A7E" w:rsidRPr="002029AF" w14:paraId="249B019E" w14:textId="77777777" w:rsidTr="00860E95">
        <w:tc>
          <w:tcPr>
            <w:tcW w:w="5952" w:type="dxa"/>
            <w:tcBorders>
              <w:top w:val="single" w:sz="4" w:space="0" w:color="A6A6A6"/>
            </w:tcBorders>
            <w:hideMark/>
          </w:tcPr>
          <w:p w14:paraId="6CAB9276" w14:textId="77777777" w:rsidR="005F4A7E" w:rsidRPr="009A2639" w:rsidRDefault="005F4A7E" w:rsidP="00130D1C">
            <w:pPr>
              <w:pStyle w:val="ARfintablebody"/>
              <w:rPr>
                <w:rStyle w:val="Emphasis"/>
                <w:i w:val="0"/>
              </w:rPr>
            </w:pPr>
            <w:r w:rsidRPr="005C18CF">
              <w:rPr>
                <w:i/>
                <w:iCs/>
              </w:rPr>
              <w:t>Less accumulated depreciation</w:t>
            </w:r>
          </w:p>
        </w:tc>
        <w:tc>
          <w:tcPr>
            <w:tcW w:w="1417" w:type="dxa"/>
            <w:tcBorders>
              <w:top w:val="single" w:sz="4" w:space="0" w:color="A6A6A6"/>
            </w:tcBorders>
            <w:shd w:val="clear" w:color="auto" w:fill="E7E6E6"/>
            <w:noWrap/>
            <w:hideMark/>
          </w:tcPr>
          <w:p w14:paraId="0D1EAC8F" w14:textId="77777777" w:rsidR="005F4A7E" w:rsidRPr="002029AF" w:rsidRDefault="005F4A7E" w:rsidP="00130D1C">
            <w:pPr>
              <w:pStyle w:val="ARfintablebodyright"/>
            </w:pPr>
            <w:r w:rsidRPr="00186661">
              <w:t>(30.7)</w:t>
            </w:r>
          </w:p>
        </w:tc>
        <w:tc>
          <w:tcPr>
            <w:tcW w:w="1418" w:type="dxa"/>
            <w:tcBorders>
              <w:top w:val="single" w:sz="4" w:space="0" w:color="A6A6A6"/>
            </w:tcBorders>
            <w:noWrap/>
            <w:hideMark/>
          </w:tcPr>
          <w:p w14:paraId="6CCEAECE" w14:textId="77777777" w:rsidR="005F4A7E" w:rsidRPr="002029AF" w:rsidRDefault="005F4A7E" w:rsidP="00130D1C">
            <w:pPr>
              <w:pStyle w:val="ARfintablebodyright"/>
            </w:pPr>
            <w:r w:rsidRPr="00186661">
              <w:t>(40.7)</w:t>
            </w:r>
          </w:p>
        </w:tc>
        <w:tc>
          <w:tcPr>
            <w:tcW w:w="1418" w:type="dxa"/>
            <w:tcBorders>
              <w:top w:val="single" w:sz="4" w:space="0" w:color="A6A6A6"/>
            </w:tcBorders>
            <w:shd w:val="clear" w:color="auto" w:fill="E7E6E6"/>
            <w:noWrap/>
            <w:hideMark/>
          </w:tcPr>
          <w:p w14:paraId="50151244" w14:textId="77777777" w:rsidR="005F4A7E" w:rsidRPr="002029AF" w:rsidRDefault="005F4A7E" w:rsidP="00130D1C">
            <w:pPr>
              <w:pStyle w:val="ARfintablebodyright"/>
            </w:pPr>
            <w:r w:rsidRPr="00186661">
              <w:t>(2.2)</w:t>
            </w:r>
          </w:p>
        </w:tc>
        <w:tc>
          <w:tcPr>
            <w:tcW w:w="1418" w:type="dxa"/>
            <w:tcBorders>
              <w:top w:val="single" w:sz="4" w:space="0" w:color="A6A6A6"/>
            </w:tcBorders>
            <w:noWrap/>
            <w:hideMark/>
          </w:tcPr>
          <w:p w14:paraId="536A973D" w14:textId="77777777" w:rsidR="005F4A7E" w:rsidRPr="002029AF" w:rsidRDefault="005F4A7E" w:rsidP="00130D1C">
            <w:pPr>
              <w:pStyle w:val="ARfintablebodyright"/>
            </w:pPr>
            <w:r w:rsidRPr="00186661">
              <w:t>(2.3)</w:t>
            </w:r>
          </w:p>
        </w:tc>
        <w:tc>
          <w:tcPr>
            <w:tcW w:w="1418" w:type="dxa"/>
            <w:tcBorders>
              <w:top w:val="single" w:sz="4" w:space="0" w:color="A6A6A6"/>
            </w:tcBorders>
            <w:shd w:val="clear" w:color="auto" w:fill="E7E6E6"/>
            <w:noWrap/>
            <w:hideMark/>
          </w:tcPr>
          <w:p w14:paraId="3B38E583" w14:textId="77777777" w:rsidR="005F4A7E" w:rsidRPr="002029AF" w:rsidRDefault="005F4A7E" w:rsidP="00130D1C">
            <w:pPr>
              <w:pStyle w:val="ARfintablebodyright"/>
            </w:pPr>
            <w:r w:rsidRPr="00186661">
              <w:t>(32.9)</w:t>
            </w:r>
          </w:p>
        </w:tc>
        <w:tc>
          <w:tcPr>
            <w:tcW w:w="1418" w:type="dxa"/>
            <w:tcBorders>
              <w:top w:val="single" w:sz="4" w:space="0" w:color="A6A6A6"/>
            </w:tcBorders>
            <w:noWrap/>
            <w:hideMark/>
          </w:tcPr>
          <w:p w14:paraId="10C9B114" w14:textId="77777777" w:rsidR="005F4A7E" w:rsidRPr="002029AF" w:rsidRDefault="005F4A7E" w:rsidP="00130D1C">
            <w:pPr>
              <w:pStyle w:val="ARfintablebodyright"/>
            </w:pPr>
            <w:r w:rsidRPr="00186661">
              <w:t>(43.0)</w:t>
            </w:r>
          </w:p>
        </w:tc>
      </w:tr>
      <w:tr w:rsidR="005F4A7E" w:rsidRPr="002029AF" w14:paraId="076E5BF1" w14:textId="77777777" w:rsidTr="00860E95">
        <w:tc>
          <w:tcPr>
            <w:tcW w:w="5952" w:type="dxa"/>
            <w:tcBorders>
              <w:bottom w:val="single" w:sz="4" w:space="0" w:color="auto"/>
            </w:tcBorders>
            <w:hideMark/>
          </w:tcPr>
          <w:p w14:paraId="6999CA76" w14:textId="77777777" w:rsidR="005F4A7E" w:rsidRPr="002029AF" w:rsidRDefault="005F4A7E" w:rsidP="00130D1C">
            <w:pPr>
              <w:pStyle w:val="ARfintablebodybold"/>
            </w:pPr>
          </w:p>
        </w:tc>
        <w:tc>
          <w:tcPr>
            <w:tcW w:w="1417" w:type="dxa"/>
            <w:tcBorders>
              <w:bottom w:val="single" w:sz="4" w:space="0" w:color="auto"/>
            </w:tcBorders>
            <w:shd w:val="clear" w:color="auto" w:fill="E7E6E6"/>
            <w:noWrap/>
            <w:hideMark/>
          </w:tcPr>
          <w:p w14:paraId="4BF8F652" w14:textId="77777777" w:rsidR="005F4A7E" w:rsidRPr="002029AF" w:rsidRDefault="005F4A7E" w:rsidP="00130D1C">
            <w:pPr>
              <w:pStyle w:val="ARfintablebodyrightbold"/>
            </w:pPr>
            <w:r w:rsidRPr="00186661">
              <w:t>6.3</w:t>
            </w:r>
          </w:p>
        </w:tc>
        <w:tc>
          <w:tcPr>
            <w:tcW w:w="1418" w:type="dxa"/>
            <w:tcBorders>
              <w:bottom w:val="single" w:sz="4" w:space="0" w:color="auto"/>
            </w:tcBorders>
            <w:noWrap/>
            <w:hideMark/>
          </w:tcPr>
          <w:p w14:paraId="290E7F62" w14:textId="77777777" w:rsidR="005F4A7E" w:rsidRPr="002029AF" w:rsidRDefault="005F4A7E" w:rsidP="00130D1C">
            <w:pPr>
              <w:pStyle w:val="ARfintablebodyrightbold"/>
            </w:pPr>
            <w:r w:rsidRPr="00186661">
              <w:t>11.6</w:t>
            </w:r>
          </w:p>
        </w:tc>
        <w:tc>
          <w:tcPr>
            <w:tcW w:w="1418" w:type="dxa"/>
            <w:tcBorders>
              <w:bottom w:val="single" w:sz="4" w:space="0" w:color="auto"/>
            </w:tcBorders>
            <w:shd w:val="clear" w:color="auto" w:fill="E7E6E6"/>
            <w:noWrap/>
            <w:hideMark/>
          </w:tcPr>
          <w:p w14:paraId="2C39930B" w14:textId="77777777" w:rsidR="005F4A7E" w:rsidRPr="002029AF" w:rsidRDefault="005F4A7E" w:rsidP="00130D1C">
            <w:pPr>
              <w:pStyle w:val="ARfintablebodyrightbold"/>
            </w:pPr>
            <w:r w:rsidRPr="00186661">
              <w:t>–</w:t>
            </w:r>
          </w:p>
        </w:tc>
        <w:tc>
          <w:tcPr>
            <w:tcW w:w="1418" w:type="dxa"/>
            <w:tcBorders>
              <w:bottom w:val="single" w:sz="4" w:space="0" w:color="auto"/>
            </w:tcBorders>
            <w:noWrap/>
            <w:hideMark/>
          </w:tcPr>
          <w:p w14:paraId="37CAC891" w14:textId="77777777" w:rsidR="005F4A7E" w:rsidRPr="002029AF" w:rsidRDefault="005F4A7E" w:rsidP="00130D1C">
            <w:pPr>
              <w:pStyle w:val="ARfintablebodyrightbold"/>
            </w:pPr>
            <w:r w:rsidRPr="00186661">
              <w:t>–</w:t>
            </w:r>
          </w:p>
        </w:tc>
        <w:tc>
          <w:tcPr>
            <w:tcW w:w="1418" w:type="dxa"/>
            <w:tcBorders>
              <w:bottom w:val="single" w:sz="4" w:space="0" w:color="auto"/>
            </w:tcBorders>
            <w:shd w:val="clear" w:color="auto" w:fill="E7E6E6"/>
            <w:noWrap/>
            <w:hideMark/>
          </w:tcPr>
          <w:p w14:paraId="797D25A9" w14:textId="77777777" w:rsidR="005F4A7E" w:rsidRPr="002029AF" w:rsidRDefault="005F4A7E" w:rsidP="00130D1C">
            <w:pPr>
              <w:pStyle w:val="ARfintablebodyrightbold"/>
            </w:pPr>
            <w:r w:rsidRPr="00186661">
              <w:t>6.3</w:t>
            </w:r>
          </w:p>
        </w:tc>
        <w:tc>
          <w:tcPr>
            <w:tcW w:w="1418" w:type="dxa"/>
            <w:tcBorders>
              <w:bottom w:val="single" w:sz="4" w:space="0" w:color="auto"/>
            </w:tcBorders>
            <w:noWrap/>
            <w:hideMark/>
          </w:tcPr>
          <w:p w14:paraId="511AAD12" w14:textId="77777777" w:rsidR="005F4A7E" w:rsidRPr="002029AF" w:rsidRDefault="005F4A7E" w:rsidP="00130D1C">
            <w:pPr>
              <w:pStyle w:val="ARfintablebodyrightbold"/>
            </w:pPr>
            <w:r w:rsidRPr="00186661">
              <w:t>11.6</w:t>
            </w:r>
          </w:p>
        </w:tc>
      </w:tr>
      <w:tr w:rsidR="005F4A7E" w:rsidRPr="002029AF" w14:paraId="4D43F2A4" w14:textId="77777777" w:rsidTr="00860E95">
        <w:tc>
          <w:tcPr>
            <w:tcW w:w="5952" w:type="dxa"/>
            <w:tcBorders>
              <w:top w:val="single" w:sz="4" w:space="0" w:color="auto"/>
              <w:bottom w:val="single" w:sz="4" w:space="0" w:color="A6A6A6"/>
            </w:tcBorders>
            <w:hideMark/>
          </w:tcPr>
          <w:p w14:paraId="2FC9DC35" w14:textId="77777777" w:rsidR="005F4A7E" w:rsidRPr="002029AF" w:rsidRDefault="005F4A7E" w:rsidP="00130D1C">
            <w:pPr>
              <w:pStyle w:val="ARfintablebody"/>
            </w:pPr>
            <w:r w:rsidRPr="00186661">
              <w:t>Right-of-use motor vehicles</w:t>
            </w:r>
          </w:p>
        </w:tc>
        <w:tc>
          <w:tcPr>
            <w:tcW w:w="1417" w:type="dxa"/>
            <w:tcBorders>
              <w:top w:val="single" w:sz="4" w:space="0" w:color="auto"/>
              <w:bottom w:val="single" w:sz="4" w:space="0" w:color="A6A6A6"/>
            </w:tcBorders>
            <w:shd w:val="clear" w:color="auto" w:fill="E7E6E6"/>
            <w:noWrap/>
            <w:hideMark/>
          </w:tcPr>
          <w:p w14:paraId="6E11A4CF" w14:textId="77777777" w:rsidR="005F4A7E" w:rsidRPr="002029AF" w:rsidRDefault="005F4A7E" w:rsidP="00130D1C">
            <w:pPr>
              <w:pStyle w:val="ARfintablebodyright"/>
            </w:pPr>
            <w:r w:rsidRPr="00186661">
              <w:t>28.2</w:t>
            </w:r>
          </w:p>
        </w:tc>
        <w:tc>
          <w:tcPr>
            <w:tcW w:w="1418" w:type="dxa"/>
            <w:tcBorders>
              <w:top w:val="single" w:sz="4" w:space="0" w:color="auto"/>
              <w:bottom w:val="single" w:sz="4" w:space="0" w:color="A6A6A6"/>
            </w:tcBorders>
            <w:noWrap/>
            <w:hideMark/>
          </w:tcPr>
          <w:p w14:paraId="35EC84F2" w14:textId="77777777" w:rsidR="005F4A7E" w:rsidRPr="002029AF" w:rsidRDefault="005F4A7E" w:rsidP="00130D1C">
            <w:pPr>
              <w:pStyle w:val="ARfintablebodyright"/>
            </w:pPr>
            <w:r w:rsidRPr="00186661">
              <w:t>41.9</w:t>
            </w:r>
          </w:p>
        </w:tc>
        <w:tc>
          <w:tcPr>
            <w:tcW w:w="1418" w:type="dxa"/>
            <w:tcBorders>
              <w:top w:val="single" w:sz="4" w:space="0" w:color="auto"/>
              <w:bottom w:val="single" w:sz="4" w:space="0" w:color="A6A6A6"/>
            </w:tcBorders>
            <w:shd w:val="clear" w:color="auto" w:fill="E7E6E6"/>
            <w:noWrap/>
            <w:hideMark/>
          </w:tcPr>
          <w:p w14:paraId="4DB5198C" w14:textId="77777777" w:rsidR="005F4A7E" w:rsidRPr="002029AF" w:rsidRDefault="005F4A7E" w:rsidP="00130D1C">
            <w:pPr>
              <w:pStyle w:val="ARfintablebodyright"/>
            </w:pPr>
            <w:r w:rsidRPr="00186661">
              <w:t>–</w:t>
            </w:r>
          </w:p>
        </w:tc>
        <w:tc>
          <w:tcPr>
            <w:tcW w:w="1418" w:type="dxa"/>
            <w:tcBorders>
              <w:top w:val="single" w:sz="4" w:space="0" w:color="auto"/>
              <w:bottom w:val="single" w:sz="4" w:space="0" w:color="A6A6A6"/>
            </w:tcBorders>
            <w:noWrap/>
            <w:hideMark/>
          </w:tcPr>
          <w:p w14:paraId="37A1DD56" w14:textId="77777777" w:rsidR="005F4A7E" w:rsidRPr="002029AF" w:rsidRDefault="005F4A7E" w:rsidP="00130D1C">
            <w:pPr>
              <w:pStyle w:val="ARfintablebodyright"/>
            </w:pPr>
            <w:r w:rsidRPr="00186661">
              <w:t>–</w:t>
            </w:r>
          </w:p>
        </w:tc>
        <w:tc>
          <w:tcPr>
            <w:tcW w:w="1418" w:type="dxa"/>
            <w:tcBorders>
              <w:top w:val="single" w:sz="4" w:space="0" w:color="auto"/>
              <w:bottom w:val="single" w:sz="4" w:space="0" w:color="A6A6A6"/>
            </w:tcBorders>
            <w:shd w:val="clear" w:color="auto" w:fill="E7E6E6"/>
            <w:noWrap/>
            <w:hideMark/>
          </w:tcPr>
          <w:p w14:paraId="57B4FF09" w14:textId="77777777" w:rsidR="005F4A7E" w:rsidRPr="002029AF" w:rsidRDefault="005F4A7E" w:rsidP="00130D1C">
            <w:pPr>
              <w:pStyle w:val="ARfintablebodyright"/>
            </w:pPr>
            <w:r w:rsidRPr="00186661">
              <w:t>28.2</w:t>
            </w:r>
          </w:p>
        </w:tc>
        <w:tc>
          <w:tcPr>
            <w:tcW w:w="1418" w:type="dxa"/>
            <w:tcBorders>
              <w:top w:val="single" w:sz="4" w:space="0" w:color="auto"/>
              <w:bottom w:val="single" w:sz="4" w:space="0" w:color="A6A6A6"/>
            </w:tcBorders>
            <w:noWrap/>
            <w:hideMark/>
          </w:tcPr>
          <w:p w14:paraId="55A8F175" w14:textId="77777777" w:rsidR="005F4A7E" w:rsidRPr="002029AF" w:rsidRDefault="005F4A7E" w:rsidP="00130D1C">
            <w:pPr>
              <w:pStyle w:val="ARfintablebodyright"/>
            </w:pPr>
            <w:r w:rsidRPr="00186661">
              <w:t>41.9</w:t>
            </w:r>
          </w:p>
        </w:tc>
      </w:tr>
      <w:tr w:rsidR="005F4A7E" w:rsidRPr="002029AF" w14:paraId="654609DF" w14:textId="77777777" w:rsidTr="00860E95">
        <w:tc>
          <w:tcPr>
            <w:tcW w:w="5952" w:type="dxa"/>
            <w:tcBorders>
              <w:top w:val="single" w:sz="4" w:space="0" w:color="A6A6A6"/>
            </w:tcBorders>
            <w:hideMark/>
          </w:tcPr>
          <w:p w14:paraId="42C04EF3" w14:textId="77777777" w:rsidR="005F4A7E" w:rsidRPr="00597F28" w:rsidRDefault="005F4A7E" w:rsidP="00130D1C">
            <w:pPr>
              <w:pStyle w:val="ARfintablebody"/>
              <w:rPr>
                <w:rStyle w:val="Emphasis"/>
              </w:rPr>
            </w:pPr>
            <w:r w:rsidRPr="00597F28">
              <w:rPr>
                <w:rStyle w:val="Emphasis"/>
              </w:rPr>
              <w:t>Less accumulated depreciation</w:t>
            </w:r>
          </w:p>
        </w:tc>
        <w:tc>
          <w:tcPr>
            <w:tcW w:w="1417" w:type="dxa"/>
            <w:tcBorders>
              <w:top w:val="single" w:sz="4" w:space="0" w:color="A6A6A6"/>
            </w:tcBorders>
            <w:shd w:val="clear" w:color="auto" w:fill="E7E6E6"/>
            <w:noWrap/>
            <w:hideMark/>
          </w:tcPr>
          <w:p w14:paraId="66A1A428" w14:textId="77777777" w:rsidR="005F4A7E" w:rsidRPr="002029AF" w:rsidRDefault="005F4A7E" w:rsidP="00130D1C">
            <w:pPr>
              <w:pStyle w:val="ARfintablebodyright"/>
            </w:pPr>
            <w:r w:rsidRPr="00186661">
              <w:t>(1.7)</w:t>
            </w:r>
          </w:p>
        </w:tc>
        <w:tc>
          <w:tcPr>
            <w:tcW w:w="1418" w:type="dxa"/>
            <w:tcBorders>
              <w:top w:val="single" w:sz="4" w:space="0" w:color="A6A6A6"/>
            </w:tcBorders>
            <w:noWrap/>
            <w:hideMark/>
          </w:tcPr>
          <w:p w14:paraId="6223713D" w14:textId="77777777" w:rsidR="005F4A7E" w:rsidRPr="002029AF" w:rsidRDefault="005F4A7E" w:rsidP="00130D1C">
            <w:pPr>
              <w:pStyle w:val="ARfintablebodyright"/>
            </w:pPr>
            <w:r w:rsidRPr="00186661">
              <w:t>(11.7)</w:t>
            </w:r>
          </w:p>
        </w:tc>
        <w:tc>
          <w:tcPr>
            <w:tcW w:w="1418" w:type="dxa"/>
            <w:tcBorders>
              <w:top w:val="single" w:sz="4" w:space="0" w:color="A6A6A6"/>
            </w:tcBorders>
            <w:shd w:val="clear" w:color="auto" w:fill="E7E6E6"/>
            <w:noWrap/>
            <w:hideMark/>
          </w:tcPr>
          <w:p w14:paraId="04BC21C8" w14:textId="77777777" w:rsidR="005F4A7E" w:rsidRPr="002029AF" w:rsidRDefault="005F4A7E" w:rsidP="00130D1C">
            <w:pPr>
              <w:pStyle w:val="ARfintablebodyright"/>
            </w:pPr>
            <w:r w:rsidRPr="00186661">
              <w:t>–</w:t>
            </w:r>
          </w:p>
        </w:tc>
        <w:tc>
          <w:tcPr>
            <w:tcW w:w="1418" w:type="dxa"/>
            <w:tcBorders>
              <w:top w:val="single" w:sz="4" w:space="0" w:color="A6A6A6"/>
            </w:tcBorders>
            <w:noWrap/>
            <w:hideMark/>
          </w:tcPr>
          <w:p w14:paraId="4068A95B" w14:textId="77777777" w:rsidR="005F4A7E" w:rsidRPr="002029AF" w:rsidRDefault="005F4A7E" w:rsidP="00130D1C">
            <w:pPr>
              <w:pStyle w:val="ARfintablebodyright"/>
            </w:pPr>
            <w:r w:rsidRPr="00186661">
              <w:t>–</w:t>
            </w:r>
          </w:p>
        </w:tc>
        <w:tc>
          <w:tcPr>
            <w:tcW w:w="1418" w:type="dxa"/>
            <w:tcBorders>
              <w:top w:val="single" w:sz="4" w:space="0" w:color="A6A6A6"/>
            </w:tcBorders>
            <w:shd w:val="clear" w:color="auto" w:fill="E7E6E6"/>
            <w:noWrap/>
            <w:hideMark/>
          </w:tcPr>
          <w:p w14:paraId="0A35EEA4" w14:textId="77777777" w:rsidR="005F4A7E" w:rsidRPr="002029AF" w:rsidRDefault="005F4A7E" w:rsidP="00130D1C">
            <w:pPr>
              <w:pStyle w:val="ARfintablebodyright"/>
            </w:pPr>
            <w:r w:rsidRPr="00186661">
              <w:t>(1.7)</w:t>
            </w:r>
          </w:p>
        </w:tc>
        <w:tc>
          <w:tcPr>
            <w:tcW w:w="1418" w:type="dxa"/>
            <w:tcBorders>
              <w:top w:val="single" w:sz="4" w:space="0" w:color="A6A6A6"/>
            </w:tcBorders>
            <w:noWrap/>
            <w:hideMark/>
          </w:tcPr>
          <w:p w14:paraId="5210B03E" w14:textId="77777777" w:rsidR="005F4A7E" w:rsidRPr="002029AF" w:rsidRDefault="005F4A7E" w:rsidP="00130D1C">
            <w:pPr>
              <w:pStyle w:val="ARfintablebodyright"/>
            </w:pPr>
            <w:r w:rsidRPr="00186661">
              <w:t>(11.7)</w:t>
            </w:r>
          </w:p>
        </w:tc>
      </w:tr>
      <w:tr w:rsidR="005F4A7E" w:rsidRPr="002029AF" w14:paraId="44D63F16" w14:textId="77777777" w:rsidTr="00860E95">
        <w:tc>
          <w:tcPr>
            <w:tcW w:w="5952" w:type="dxa"/>
            <w:hideMark/>
          </w:tcPr>
          <w:p w14:paraId="4AF59790" w14:textId="77777777" w:rsidR="005F4A7E" w:rsidRPr="002029AF" w:rsidRDefault="005F4A7E" w:rsidP="00130D1C">
            <w:pPr>
              <w:pStyle w:val="ARfintablebodybold"/>
            </w:pPr>
          </w:p>
        </w:tc>
        <w:tc>
          <w:tcPr>
            <w:tcW w:w="1417" w:type="dxa"/>
            <w:shd w:val="clear" w:color="auto" w:fill="E7E6E6"/>
            <w:noWrap/>
            <w:hideMark/>
          </w:tcPr>
          <w:p w14:paraId="4AC44A33" w14:textId="77777777" w:rsidR="005F4A7E" w:rsidRPr="002029AF" w:rsidRDefault="005F4A7E" w:rsidP="00130D1C">
            <w:pPr>
              <w:pStyle w:val="ARfintablebodyrightbold"/>
            </w:pPr>
            <w:r w:rsidRPr="00186661">
              <w:t>26.5</w:t>
            </w:r>
          </w:p>
        </w:tc>
        <w:tc>
          <w:tcPr>
            <w:tcW w:w="1418" w:type="dxa"/>
            <w:noWrap/>
            <w:hideMark/>
          </w:tcPr>
          <w:p w14:paraId="675F6D07" w14:textId="77777777" w:rsidR="005F4A7E" w:rsidRPr="002029AF" w:rsidRDefault="005F4A7E" w:rsidP="00130D1C">
            <w:pPr>
              <w:pStyle w:val="ARfintablebodyrightbold"/>
            </w:pPr>
            <w:r w:rsidRPr="00186661">
              <w:t>30.2</w:t>
            </w:r>
          </w:p>
        </w:tc>
        <w:tc>
          <w:tcPr>
            <w:tcW w:w="1418" w:type="dxa"/>
            <w:shd w:val="clear" w:color="auto" w:fill="E7E6E6"/>
            <w:noWrap/>
            <w:hideMark/>
          </w:tcPr>
          <w:p w14:paraId="52E691F7" w14:textId="77777777" w:rsidR="005F4A7E" w:rsidRPr="002029AF" w:rsidRDefault="005F4A7E" w:rsidP="00130D1C">
            <w:pPr>
              <w:pStyle w:val="ARfintablebodyrightbold"/>
            </w:pPr>
            <w:r w:rsidRPr="00186661">
              <w:t>–</w:t>
            </w:r>
          </w:p>
        </w:tc>
        <w:tc>
          <w:tcPr>
            <w:tcW w:w="1418" w:type="dxa"/>
            <w:noWrap/>
            <w:hideMark/>
          </w:tcPr>
          <w:p w14:paraId="727A8433" w14:textId="77777777" w:rsidR="005F4A7E" w:rsidRPr="002029AF" w:rsidRDefault="005F4A7E" w:rsidP="00130D1C">
            <w:pPr>
              <w:pStyle w:val="ARfintablebodyrightbold"/>
            </w:pPr>
            <w:r w:rsidRPr="00186661">
              <w:t>–</w:t>
            </w:r>
          </w:p>
        </w:tc>
        <w:tc>
          <w:tcPr>
            <w:tcW w:w="1418" w:type="dxa"/>
            <w:shd w:val="clear" w:color="auto" w:fill="E7E6E6"/>
            <w:noWrap/>
            <w:hideMark/>
          </w:tcPr>
          <w:p w14:paraId="612E7FB4" w14:textId="77777777" w:rsidR="005F4A7E" w:rsidRPr="002029AF" w:rsidRDefault="005F4A7E" w:rsidP="00130D1C">
            <w:pPr>
              <w:pStyle w:val="ARfintablebodyrightbold"/>
            </w:pPr>
            <w:r w:rsidRPr="00186661">
              <w:t>26.5</w:t>
            </w:r>
          </w:p>
        </w:tc>
        <w:tc>
          <w:tcPr>
            <w:tcW w:w="1418" w:type="dxa"/>
            <w:noWrap/>
            <w:hideMark/>
          </w:tcPr>
          <w:p w14:paraId="4FE5FAE0" w14:textId="77777777" w:rsidR="005F4A7E" w:rsidRPr="002029AF" w:rsidRDefault="005F4A7E" w:rsidP="00130D1C">
            <w:pPr>
              <w:pStyle w:val="ARfintablebodyrightbold"/>
            </w:pPr>
            <w:r w:rsidRPr="00186661">
              <w:t>30.2</w:t>
            </w:r>
          </w:p>
        </w:tc>
      </w:tr>
      <w:tr w:rsidR="005F4A7E" w:rsidRPr="002029AF" w14:paraId="4E9F1CF6" w14:textId="77777777" w:rsidTr="00860E95">
        <w:tc>
          <w:tcPr>
            <w:tcW w:w="5952" w:type="dxa"/>
            <w:tcBorders>
              <w:bottom w:val="single" w:sz="4" w:space="0" w:color="auto"/>
            </w:tcBorders>
            <w:hideMark/>
          </w:tcPr>
          <w:p w14:paraId="6A3F156B" w14:textId="77777777" w:rsidR="005F4A7E" w:rsidRPr="002029AF" w:rsidRDefault="005F4A7E" w:rsidP="00130D1C">
            <w:pPr>
              <w:pStyle w:val="ARfintablebodybold"/>
            </w:pPr>
            <w:r w:rsidRPr="00186661">
              <w:t>Total plant, equipment and vehicles at fair value</w:t>
            </w:r>
          </w:p>
        </w:tc>
        <w:tc>
          <w:tcPr>
            <w:tcW w:w="1417" w:type="dxa"/>
            <w:tcBorders>
              <w:bottom w:val="single" w:sz="4" w:space="0" w:color="auto"/>
            </w:tcBorders>
            <w:shd w:val="clear" w:color="auto" w:fill="E7E6E6"/>
            <w:noWrap/>
            <w:hideMark/>
          </w:tcPr>
          <w:p w14:paraId="11258F54" w14:textId="77777777" w:rsidR="005F4A7E" w:rsidRPr="002029AF" w:rsidRDefault="005F4A7E" w:rsidP="00130D1C">
            <w:pPr>
              <w:pStyle w:val="ARfintablebodyrightbold"/>
            </w:pPr>
            <w:r w:rsidRPr="00186661">
              <w:t>32.8</w:t>
            </w:r>
          </w:p>
        </w:tc>
        <w:tc>
          <w:tcPr>
            <w:tcW w:w="1418" w:type="dxa"/>
            <w:tcBorders>
              <w:bottom w:val="single" w:sz="4" w:space="0" w:color="auto"/>
            </w:tcBorders>
            <w:noWrap/>
            <w:hideMark/>
          </w:tcPr>
          <w:p w14:paraId="68F83ABE" w14:textId="77777777" w:rsidR="005F4A7E" w:rsidRPr="002029AF" w:rsidRDefault="005F4A7E" w:rsidP="00130D1C">
            <w:pPr>
              <w:pStyle w:val="ARfintablebodyrightbold"/>
            </w:pPr>
            <w:r w:rsidRPr="00186661">
              <w:t>41.8</w:t>
            </w:r>
          </w:p>
        </w:tc>
        <w:tc>
          <w:tcPr>
            <w:tcW w:w="1418" w:type="dxa"/>
            <w:tcBorders>
              <w:bottom w:val="single" w:sz="4" w:space="0" w:color="auto"/>
            </w:tcBorders>
            <w:shd w:val="clear" w:color="auto" w:fill="E7E6E6"/>
            <w:noWrap/>
            <w:hideMark/>
          </w:tcPr>
          <w:p w14:paraId="15F271D4" w14:textId="77777777" w:rsidR="005F4A7E" w:rsidRPr="002029AF" w:rsidRDefault="005F4A7E" w:rsidP="00130D1C">
            <w:pPr>
              <w:pStyle w:val="ARfintablebodyrightbold"/>
            </w:pPr>
            <w:r w:rsidRPr="00186661">
              <w:t>–</w:t>
            </w:r>
          </w:p>
        </w:tc>
        <w:tc>
          <w:tcPr>
            <w:tcW w:w="1418" w:type="dxa"/>
            <w:tcBorders>
              <w:bottom w:val="single" w:sz="4" w:space="0" w:color="auto"/>
            </w:tcBorders>
            <w:noWrap/>
            <w:hideMark/>
          </w:tcPr>
          <w:p w14:paraId="11058D96" w14:textId="77777777" w:rsidR="005F4A7E" w:rsidRPr="002029AF" w:rsidRDefault="005F4A7E" w:rsidP="00130D1C">
            <w:pPr>
              <w:pStyle w:val="ARfintablebodyrightbold"/>
            </w:pPr>
            <w:r w:rsidRPr="00186661">
              <w:t>–</w:t>
            </w:r>
          </w:p>
        </w:tc>
        <w:tc>
          <w:tcPr>
            <w:tcW w:w="1418" w:type="dxa"/>
            <w:tcBorders>
              <w:bottom w:val="single" w:sz="4" w:space="0" w:color="auto"/>
            </w:tcBorders>
            <w:shd w:val="clear" w:color="auto" w:fill="E7E6E6"/>
            <w:noWrap/>
            <w:hideMark/>
          </w:tcPr>
          <w:p w14:paraId="1D15767B" w14:textId="77777777" w:rsidR="005F4A7E" w:rsidRPr="002029AF" w:rsidRDefault="005F4A7E" w:rsidP="00130D1C">
            <w:pPr>
              <w:pStyle w:val="ARfintablebodyrightbold"/>
            </w:pPr>
            <w:r w:rsidRPr="00186661">
              <w:t>32.8</w:t>
            </w:r>
          </w:p>
        </w:tc>
        <w:tc>
          <w:tcPr>
            <w:tcW w:w="1418" w:type="dxa"/>
            <w:tcBorders>
              <w:bottom w:val="single" w:sz="4" w:space="0" w:color="auto"/>
            </w:tcBorders>
            <w:noWrap/>
            <w:hideMark/>
          </w:tcPr>
          <w:p w14:paraId="5B6F0EFE" w14:textId="77777777" w:rsidR="005F4A7E" w:rsidRPr="002029AF" w:rsidRDefault="005F4A7E" w:rsidP="00130D1C">
            <w:pPr>
              <w:pStyle w:val="ARfintablebodyrightbold"/>
            </w:pPr>
            <w:r w:rsidRPr="00186661">
              <w:t>41.8</w:t>
            </w:r>
          </w:p>
        </w:tc>
      </w:tr>
      <w:tr w:rsidR="005F4A7E" w:rsidRPr="002029AF" w14:paraId="72494C8C" w14:textId="77777777" w:rsidTr="00860E95">
        <w:tc>
          <w:tcPr>
            <w:tcW w:w="14459" w:type="dxa"/>
            <w:gridSpan w:val="7"/>
            <w:tcBorders>
              <w:top w:val="single" w:sz="4" w:space="0" w:color="auto"/>
              <w:bottom w:val="single" w:sz="4" w:space="0" w:color="A6A6A6"/>
            </w:tcBorders>
            <w:hideMark/>
          </w:tcPr>
          <w:p w14:paraId="4926D86B" w14:textId="77777777" w:rsidR="005F4A7E" w:rsidRPr="002029AF" w:rsidRDefault="005F4A7E" w:rsidP="00130D1C">
            <w:pPr>
              <w:pStyle w:val="ARfintablebodybold"/>
              <w:keepNext/>
            </w:pPr>
            <w:r w:rsidRPr="00186661">
              <w:lastRenderedPageBreak/>
              <w:t>Assets under construction at cost</w:t>
            </w:r>
          </w:p>
        </w:tc>
      </w:tr>
      <w:tr w:rsidR="005F4A7E" w:rsidRPr="002029AF" w14:paraId="7F95A45C" w14:textId="77777777" w:rsidTr="00860E95">
        <w:tc>
          <w:tcPr>
            <w:tcW w:w="5952" w:type="dxa"/>
            <w:tcBorders>
              <w:top w:val="single" w:sz="4" w:space="0" w:color="A6A6A6"/>
              <w:bottom w:val="single" w:sz="4" w:space="0" w:color="A6A6A6"/>
            </w:tcBorders>
            <w:hideMark/>
          </w:tcPr>
          <w:p w14:paraId="010A823C" w14:textId="77777777" w:rsidR="005F4A7E" w:rsidRPr="002029AF" w:rsidRDefault="005F4A7E" w:rsidP="00130D1C">
            <w:pPr>
              <w:pStyle w:val="ARfintablebody"/>
            </w:pPr>
            <w:r w:rsidRPr="00186661">
              <w:t>Rental property</w:t>
            </w:r>
          </w:p>
        </w:tc>
        <w:tc>
          <w:tcPr>
            <w:tcW w:w="1417" w:type="dxa"/>
            <w:tcBorders>
              <w:top w:val="single" w:sz="4" w:space="0" w:color="A6A6A6"/>
              <w:bottom w:val="single" w:sz="4" w:space="0" w:color="A6A6A6"/>
            </w:tcBorders>
            <w:shd w:val="clear" w:color="auto" w:fill="E7E6E6"/>
            <w:noWrap/>
            <w:hideMark/>
          </w:tcPr>
          <w:p w14:paraId="0B32F684" w14:textId="77777777" w:rsidR="005F4A7E" w:rsidRPr="002029AF" w:rsidRDefault="005F4A7E" w:rsidP="00130D1C">
            <w:pPr>
              <w:pStyle w:val="ARfintablebodyright"/>
            </w:pPr>
            <w:r w:rsidRPr="00186661">
              <w:t>–</w:t>
            </w:r>
          </w:p>
        </w:tc>
        <w:tc>
          <w:tcPr>
            <w:tcW w:w="1418" w:type="dxa"/>
            <w:tcBorders>
              <w:top w:val="single" w:sz="4" w:space="0" w:color="A6A6A6"/>
              <w:bottom w:val="single" w:sz="4" w:space="0" w:color="A6A6A6"/>
            </w:tcBorders>
            <w:noWrap/>
            <w:hideMark/>
          </w:tcPr>
          <w:p w14:paraId="3D27DAB4" w14:textId="77777777" w:rsidR="005F4A7E" w:rsidRPr="002029AF" w:rsidRDefault="005F4A7E" w:rsidP="00130D1C">
            <w:pPr>
              <w:pStyle w:val="ARfintablebodyright"/>
            </w:pPr>
            <w:r w:rsidRPr="00186661">
              <w:t>–</w:t>
            </w:r>
          </w:p>
        </w:tc>
        <w:tc>
          <w:tcPr>
            <w:tcW w:w="1418" w:type="dxa"/>
            <w:tcBorders>
              <w:top w:val="single" w:sz="4" w:space="0" w:color="A6A6A6"/>
              <w:bottom w:val="single" w:sz="4" w:space="0" w:color="A6A6A6"/>
            </w:tcBorders>
            <w:shd w:val="clear" w:color="auto" w:fill="E7E6E6"/>
            <w:noWrap/>
            <w:hideMark/>
          </w:tcPr>
          <w:p w14:paraId="3CFE0BF0" w14:textId="77777777" w:rsidR="005F4A7E" w:rsidRPr="002029AF" w:rsidRDefault="005F4A7E" w:rsidP="00130D1C">
            <w:pPr>
              <w:pStyle w:val="ARfintablebodyright"/>
            </w:pPr>
            <w:r w:rsidRPr="00186661">
              <w:t>630.5</w:t>
            </w:r>
          </w:p>
        </w:tc>
        <w:tc>
          <w:tcPr>
            <w:tcW w:w="1418" w:type="dxa"/>
            <w:tcBorders>
              <w:top w:val="single" w:sz="4" w:space="0" w:color="A6A6A6"/>
              <w:bottom w:val="single" w:sz="4" w:space="0" w:color="A6A6A6"/>
            </w:tcBorders>
            <w:noWrap/>
            <w:hideMark/>
          </w:tcPr>
          <w:p w14:paraId="791CBE91" w14:textId="77777777" w:rsidR="005F4A7E" w:rsidRPr="002029AF" w:rsidRDefault="005F4A7E" w:rsidP="00130D1C">
            <w:pPr>
              <w:pStyle w:val="ARfintablebodyright"/>
            </w:pPr>
            <w:r w:rsidRPr="00186661">
              <w:t>451.1</w:t>
            </w:r>
          </w:p>
        </w:tc>
        <w:tc>
          <w:tcPr>
            <w:tcW w:w="1418" w:type="dxa"/>
            <w:tcBorders>
              <w:top w:val="single" w:sz="4" w:space="0" w:color="A6A6A6"/>
              <w:bottom w:val="single" w:sz="4" w:space="0" w:color="A6A6A6"/>
            </w:tcBorders>
            <w:shd w:val="clear" w:color="auto" w:fill="E7E6E6"/>
            <w:noWrap/>
            <w:hideMark/>
          </w:tcPr>
          <w:p w14:paraId="5EC7AC59" w14:textId="77777777" w:rsidR="005F4A7E" w:rsidRPr="002029AF" w:rsidRDefault="005F4A7E" w:rsidP="00130D1C">
            <w:pPr>
              <w:pStyle w:val="ARfintablebodyright"/>
            </w:pPr>
            <w:r w:rsidRPr="00186661">
              <w:t>630.5</w:t>
            </w:r>
          </w:p>
        </w:tc>
        <w:tc>
          <w:tcPr>
            <w:tcW w:w="1418" w:type="dxa"/>
            <w:tcBorders>
              <w:top w:val="single" w:sz="4" w:space="0" w:color="A6A6A6"/>
              <w:bottom w:val="single" w:sz="4" w:space="0" w:color="A6A6A6"/>
            </w:tcBorders>
            <w:noWrap/>
            <w:hideMark/>
          </w:tcPr>
          <w:p w14:paraId="2D2BACEC" w14:textId="77777777" w:rsidR="005F4A7E" w:rsidRPr="002029AF" w:rsidRDefault="005F4A7E" w:rsidP="00130D1C">
            <w:pPr>
              <w:pStyle w:val="ARfintablebodyright"/>
            </w:pPr>
            <w:r w:rsidRPr="00186661">
              <w:t>451.1</w:t>
            </w:r>
          </w:p>
        </w:tc>
      </w:tr>
      <w:tr w:rsidR="005F4A7E" w:rsidRPr="002029AF" w14:paraId="6C7BF1CE" w14:textId="77777777" w:rsidTr="00860E95">
        <w:tc>
          <w:tcPr>
            <w:tcW w:w="5952" w:type="dxa"/>
            <w:tcBorders>
              <w:top w:val="single" w:sz="4" w:space="0" w:color="A6A6A6"/>
              <w:bottom w:val="single" w:sz="4" w:space="0" w:color="A6A6A6"/>
            </w:tcBorders>
            <w:hideMark/>
          </w:tcPr>
          <w:p w14:paraId="2ACF5A54" w14:textId="77777777" w:rsidR="005F4A7E" w:rsidRPr="002029AF" w:rsidRDefault="005F4A7E" w:rsidP="00130D1C">
            <w:pPr>
              <w:pStyle w:val="ARfintablebody"/>
            </w:pPr>
            <w:r w:rsidRPr="00186661">
              <w:t>Other property</w:t>
            </w:r>
          </w:p>
        </w:tc>
        <w:tc>
          <w:tcPr>
            <w:tcW w:w="1417" w:type="dxa"/>
            <w:tcBorders>
              <w:top w:val="single" w:sz="4" w:space="0" w:color="A6A6A6"/>
              <w:bottom w:val="single" w:sz="4" w:space="0" w:color="A6A6A6"/>
            </w:tcBorders>
            <w:shd w:val="clear" w:color="auto" w:fill="E7E6E6"/>
            <w:noWrap/>
            <w:hideMark/>
          </w:tcPr>
          <w:p w14:paraId="6FC91A8F" w14:textId="77777777" w:rsidR="005F4A7E" w:rsidRPr="002029AF" w:rsidRDefault="005F4A7E" w:rsidP="00130D1C">
            <w:pPr>
              <w:pStyle w:val="ARfintablebodyright"/>
            </w:pPr>
            <w:r w:rsidRPr="00186661">
              <w:t>275.0</w:t>
            </w:r>
          </w:p>
        </w:tc>
        <w:tc>
          <w:tcPr>
            <w:tcW w:w="1418" w:type="dxa"/>
            <w:tcBorders>
              <w:top w:val="single" w:sz="4" w:space="0" w:color="A6A6A6"/>
              <w:bottom w:val="single" w:sz="4" w:space="0" w:color="A6A6A6"/>
            </w:tcBorders>
            <w:noWrap/>
            <w:hideMark/>
          </w:tcPr>
          <w:p w14:paraId="110CDC2F" w14:textId="77777777" w:rsidR="005F4A7E" w:rsidRPr="002029AF" w:rsidRDefault="005F4A7E" w:rsidP="00130D1C">
            <w:pPr>
              <w:pStyle w:val="ARfintablebodyright"/>
            </w:pPr>
            <w:r w:rsidRPr="00186661">
              <w:t>67.8</w:t>
            </w:r>
          </w:p>
        </w:tc>
        <w:tc>
          <w:tcPr>
            <w:tcW w:w="1418" w:type="dxa"/>
            <w:tcBorders>
              <w:top w:val="single" w:sz="4" w:space="0" w:color="A6A6A6"/>
              <w:bottom w:val="single" w:sz="4" w:space="0" w:color="A6A6A6"/>
            </w:tcBorders>
            <w:shd w:val="clear" w:color="auto" w:fill="E7E6E6"/>
            <w:noWrap/>
            <w:hideMark/>
          </w:tcPr>
          <w:p w14:paraId="3567B0D8" w14:textId="77777777" w:rsidR="005F4A7E" w:rsidRPr="002029AF" w:rsidRDefault="005F4A7E" w:rsidP="00130D1C">
            <w:pPr>
              <w:pStyle w:val="ARfintablebodyright"/>
            </w:pPr>
            <w:r w:rsidRPr="00186661">
              <w:t>0.5</w:t>
            </w:r>
          </w:p>
        </w:tc>
        <w:tc>
          <w:tcPr>
            <w:tcW w:w="1418" w:type="dxa"/>
            <w:tcBorders>
              <w:top w:val="single" w:sz="4" w:space="0" w:color="A6A6A6"/>
              <w:bottom w:val="single" w:sz="4" w:space="0" w:color="A6A6A6"/>
            </w:tcBorders>
            <w:noWrap/>
            <w:hideMark/>
          </w:tcPr>
          <w:p w14:paraId="65F82A07" w14:textId="77777777" w:rsidR="005F4A7E" w:rsidRPr="002029AF" w:rsidRDefault="005F4A7E" w:rsidP="00130D1C">
            <w:pPr>
              <w:pStyle w:val="ARfintablebodyright"/>
            </w:pPr>
            <w:r w:rsidRPr="00186661">
              <w:t>0.6</w:t>
            </w:r>
          </w:p>
        </w:tc>
        <w:tc>
          <w:tcPr>
            <w:tcW w:w="1418" w:type="dxa"/>
            <w:tcBorders>
              <w:top w:val="single" w:sz="4" w:space="0" w:color="A6A6A6"/>
              <w:bottom w:val="single" w:sz="4" w:space="0" w:color="A6A6A6"/>
            </w:tcBorders>
            <w:shd w:val="clear" w:color="auto" w:fill="E7E6E6"/>
            <w:noWrap/>
            <w:hideMark/>
          </w:tcPr>
          <w:p w14:paraId="7C714D65" w14:textId="77777777" w:rsidR="005F4A7E" w:rsidRPr="002029AF" w:rsidRDefault="005F4A7E" w:rsidP="00130D1C">
            <w:pPr>
              <w:pStyle w:val="ARfintablebodyright"/>
            </w:pPr>
            <w:r w:rsidRPr="00186661">
              <w:t>275.5</w:t>
            </w:r>
          </w:p>
        </w:tc>
        <w:tc>
          <w:tcPr>
            <w:tcW w:w="1418" w:type="dxa"/>
            <w:tcBorders>
              <w:top w:val="single" w:sz="4" w:space="0" w:color="A6A6A6"/>
              <w:bottom w:val="single" w:sz="4" w:space="0" w:color="A6A6A6"/>
            </w:tcBorders>
            <w:noWrap/>
            <w:hideMark/>
          </w:tcPr>
          <w:p w14:paraId="21B30963" w14:textId="77777777" w:rsidR="005F4A7E" w:rsidRPr="002029AF" w:rsidRDefault="005F4A7E" w:rsidP="00130D1C">
            <w:pPr>
              <w:pStyle w:val="ARfintablebodyright"/>
            </w:pPr>
            <w:r w:rsidRPr="00186661">
              <w:t>68.4</w:t>
            </w:r>
          </w:p>
        </w:tc>
      </w:tr>
      <w:tr w:rsidR="005F4A7E" w:rsidRPr="002029AF" w14:paraId="0112D11E" w14:textId="77777777" w:rsidTr="00860E95">
        <w:tc>
          <w:tcPr>
            <w:tcW w:w="5952" w:type="dxa"/>
            <w:tcBorders>
              <w:top w:val="single" w:sz="4" w:space="0" w:color="A6A6A6"/>
            </w:tcBorders>
            <w:hideMark/>
          </w:tcPr>
          <w:p w14:paraId="69F859AE" w14:textId="77777777" w:rsidR="005F4A7E" w:rsidRPr="002029AF" w:rsidRDefault="005F4A7E" w:rsidP="00130D1C">
            <w:pPr>
              <w:pStyle w:val="ARfintablebody"/>
            </w:pPr>
            <w:r w:rsidRPr="00186661">
              <w:t>Service concession assets under construction</w:t>
            </w:r>
          </w:p>
        </w:tc>
        <w:tc>
          <w:tcPr>
            <w:tcW w:w="1417" w:type="dxa"/>
            <w:tcBorders>
              <w:top w:val="single" w:sz="4" w:space="0" w:color="A6A6A6"/>
            </w:tcBorders>
            <w:shd w:val="clear" w:color="auto" w:fill="E7E6E6"/>
            <w:noWrap/>
            <w:hideMark/>
          </w:tcPr>
          <w:p w14:paraId="77954D23" w14:textId="77777777" w:rsidR="005F4A7E" w:rsidRPr="002029AF" w:rsidRDefault="005F4A7E" w:rsidP="00130D1C">
            <w:pPr>
              <w:pStyle w:val="ARfintablebodyright"/>
            </w:pPr>
            <w:r w:rsidRPr="00186661">
              <w:t>–</w:t>
            </w:r>
          </w:p>
        </w:tc>
        <w:tc>
          <w:tcPr>
            <w:tcW w:w="1418" w:type="dxa"/>
            <w:tcBorders>
              <w:top w:val="single" w:sz="4" w:space="0" w:color="A6A6A6"/>
            </w:tcBorders>
            <w:noWrap/>
            <w:hideMark/>
          </w:tcPr>
          <w:p w14:paraId="35BD2B41" w14:textId="77777777" w:rsidR="005F4A7E" w:rsidRPr="002029AF" w:rsidRDefault="005F4A7E" w:rsidP="00130D1C">
            <w:pPr>
              <w:pStyle w:val="ARfintablebodyright"/>
            </w:pPr>
            <w:r w:rsidRPr="00186661">
              <w:t>56.7</w:t>
            </w:r>
          </w:p>
        </w:tc>
        <w:tc>
          <w:tcPr>
            <w:tcW w:w="1418" w:type="dxa"/>
            <w:tcBorders>
              <w:top w:val="single" w:sz="4" w:space="0" w:color="A6A6A6"/>
            </w:tcBorders>
            <w:shd w:val="clear" w:color="auto" w:fill="E7E6E6"/>
            <w:noWrap/>
            <w:hideMark/>
          </w:tcPr>
          <w:p w14:paraId="35313A0D" w14:textId="77777777" w:rsidR="005F4A7E" w:rsidRPr="002029AF" w:rsidRDefault="005F4A7E" w:rsidP="00130D1C">
            <w:pPr>
              <w:pStyle w:val="ARfintablebodyright"/>
            </w:pPr>
            <w:r w:rsidRPr="00186661">
              <w:t>–</w:t>
            </w:r>
          </w:p>
        </w:tc>
        <w:tc>
          <w:tcPr>
            <w:tcW w:w="1418" w:type="dxa"/>
            <w:tcBorders>
              <w:top w:val="single" w:sz="4" w:space="0" w:color="A6A6A6"/>
            </w:tcBorders>
            <w:noWrap/>
            <w:hideMark/>
          </w:tcPr>
          <w:p w14:paraId="3C8CCB9B" w14:textId="77777777" w:rsidR="005F4A7E" w:rsidRPr="002029AF" w:rsidRDefault="005F4A7E" w:rsidP="00130D1C">
            <w:pPr>
              <w:pStyle w:val="ARfintablebodyright"/>
            </w:pPr>
            <w:r w:rsidRPr="00186661">
              <w:t>–</w:t>
            </w:r>
          </w:p>
        </w:tc>
        <w:tc>
          <w:tcPr>
            <w:tcW w:w="1418" w:type="dxa"/>
            <w:tcBorders>
              <w:top w:val="single" w:sz="4" w:space="0" w:color="A6A6A6"/>
            </w:tcBorders>
            <w:shd w:val="clear" w:color="auto" w:fill="E7E6E6"/>
            <w:noWrap/>
            <w:hideMark/>
          </w:tcPr>
          <w:p w14:paraId="006BCCB5" w14:textId="77777777" w:rsidR="005F4A7E" w:rsidRPr="002029AF" w:rsidRDefault="005F4A7E" w:rsidP="00130D1C">
            <w:pPr>
              <w:pStyle w:val="ARfintablebodyright"/>
            </w:pPr>
            <w:r w:rsidRPr="00186661">
              <w:t>–</w:t>
            </w:r>
          </w:p>
        </w:tc>
        <w:tc>
          <w:tcPr>
            <w:tcW w:w="1418" w:type="dxa"/>
            <w:tcBorders>
              <w:top w:val="single" w:sz="4" w:space="0" w:color="A6A6A6"/>
            </w:tcBorders>
            <w:noWrap/>
            <w:hideMark/>
          </w:tcPr>
          <w:p w14:paraId="4298F599" w14:textId="77777777" w:rsidR="005F4A7E" w:rsidRPr="002029AF" w:rsidRDefault="005F4A7E" w:rsidP="00130D1C">
            <w:pPr>
              <w:pStyle w:val="ARfintablebodyright"/>
            </w:pPr>
            <w:r w:rsidRPr="00186661">
              <w:t>56.7</w:t>
            </w:r>
          </w:p>
        </w:tc>
      </w:tr>
      <w:tr w:rsidR="005F4A7E" w:rsidRPr="002029AF" w14:paraId="611946AF" w14:textId="77777777" w:rsidTr="00860E95">
        <w:tc>
          <w:tcPr>
            <w:tcW w:w="5952" w:type="dxa"/>
            <w:hideMark/>
          </w:tcPr>
          <w:p w14:paraId="49ED255E" w14:textId="77777777" w:rsidR="005F4A7E" w:rsidRPr="002029AF" w:rsidRDefault="005F4A7E" w:rsidP="00130D1C">
            <w:pPr>
              <w:pStyle w:val="ARfintablebodybold"/>
            </w:pPr>
            <w:r w:rsidRPr="00186661">
              <w:t>Total assets under construction at cost</w:t>
            </w:r>
          </w:p>
        </w:tc>
        <w:tc>
          <w:tcPr>
            <w:tcW w:w="1417" w:type="dxa"/>
            <w:shd w:val="clear" w:color="auto" w:fill="E7E6E6"/>
            <w:noWrap/>
            <w:hideMark/>
          </w:tcPr>
          <w:p w14:paraId="29BF6D34" w14:textId="77777777" w:rsidR="005F4A7E" w:rsidRPr="002029AF" w:rsidRDefault="005F4A7E" w:rsidP="00130D1C">
            <w:pPr>
              <w:pStyle w:val="ARfintablebodyrightbold"/>
            </w:pPr>
            <w:r w:rsidRPr="00186661">
              <w:t>275.0</w:t>
            </w:r>
          </w:p>
        </w:tc>
        <w:tc>
          <w:tcPr>
            <w:tcW w:w="1418" w:type="dxa"/>
            <w:noWrap/>
            <w:hideMark/>
          </w:tcPr>
          <w:p w14:paraId="2FCD31F8" w14:textId="77777777" w:rsidR="005F4A7E" w:rsidRPr="002029AF" w:rsidRDefault="005F4A7E" w:rsidP="00130D1C">
            <w:pPr>
              <w:pStyle w:val="ARfintablebodyrightbold"/>
            </w:pPr>
            <w:r w:rsidRPr="00186661">
              <w:t>124.5</w:t>
            </w:r>
          </w:p>
        </w:tc>
        <w:tc>
          <w:tcPr>
            <w:tcW w:w="1418" w:type="dxa"/>
            <w:shd w:val="clear" w:color="auto" w:fill="E7E6E6"/>
            <w:noWrap/>
            <w:hideMark/>
          </w:tcPr>
          <w:p w14:paraId="6E02B4E8" w14:textId="77777777" w:rsidR="005F4A7E" w:rsidRPr="002029AF" w:rsidRDefault="005F4A7E" w:rsidP="00130D1C">
            <w:pPr>
              <w:pStyle w:val="ARfintablebodyrightbold"/>
            </w:pPr>
            <w:r w:rsidRPr="00186661">
              <w:t>631.0</w:t>
            </w:r>
          </w:p>
        </w:tc>
        <w:tc>
          <w:tcPr>
            <w:tcW w:w="1418" w:type="dxa"/>
            <w:noWrap/>
            <w:hideMark/>
          </w:tcPr>
          <w:p w14:paraId="78E322DC" w14:textId="77777777" w:rsidR="005F4A7E" w:rsidRPr="002029AF" w:rsidRDefault="005F4A7E" w:rsidP="00130D1C">
            <w:pPr>
              <w:pStyle w:val="ARfintablebodyrightbold"/>
            </w:pPr>
            <w:r w:rsidRPr="00186661">
              <w:t>451.7</w:t>
            </w:r>
          </w:p>
        </w:tc>
        <w:tc>
          <w:tcPr>
            <w:tcW w:w="1418" w:type="dxa"/>
            <w:shd w:val="clear" w:color="auto" w:fill="E7E6E6"/>
            <w:noWrap/>
            <w:hideMark/>
          </w:tcPr>
          <w:p w14:paraId="3CBD586B" w14:textId="77777777" w:rsidR="005F4A7E" w:rsidRPr="002029AF" w:rsidRDefault="005F4A7E" w:rsidP="00130D1C">
            <w:pPr>
              <w:pStyle w:val="ARfintablebodyrightbold"/>
            </w:pPr>
            <w:r w:rsidRPr="00186661">
              <w:t>906.0</w:t>
            </w:r>
          </w:p>
        </w:tc>
        <w:tc>
          <w:tcPr>
            <w:tcW w:w="1418" w:type="dxa"/>
            <w:noWrap/>
            <w:hideMark/>
          </w:tcPr>
          <w:p w14:paraId="46F5DC82" w14:textId="77777777" w:rsidR="005F4A7E" w:rsidRPr="002029AF" w:rsidRDefault="005F4A7E" w:rsidP="00130D1C">
            <w:pPr>
              <w:pStyle w:val="ARfintablebodyrightbold"/>
            </w:pPr>
            <w:r w:rsidRPr="00186661">
              <w:t>576.2</w:t>
            </w:r>
          </w:p>
        </w:tc>
      </w:tr>
      <w:tr w:rsidR="005F4A7E" w:rsidRPr="002029AF" w14:paraId="1EF35AF5" w14:textId="77777777" w:rsidTr="00860E95">
        <w:tc>
          <w:tcPr>
            <w:tcW w:w="5952" w:type="dxa"/>
            <w:hideMark/>
          </w:tcPr>
          <w:p w14:paraId="21B99126" w14:textId="77777777" w:rsidR="005F4A7E" w:rsidRPr="002029AF" w:rsidRDefault="005F4A7E" w:rsidP="00130D1C">
            <w:pPr>
              <w:pStyle w:val="ARfintablebodybold"/>
            </w:pPr>
            <w:r w:rsidRPr="00186661">
              <w:t>Net carrying amount of property, plant and equipment</w:t>
            </w:r>
          </w:p>
        </w:tc>
        <w:tc>
          <w:tcPr>
            <w:tcW w:w="1417" w:type="dxa"/>
            <w:shd w:val="clear" w:color="auto" w:fill="E7E6E6"/>
            <w:noWrap/>
            <w:hideMark/>
          </w:tcPr>
          <w:p w14:paraId="67023605" w14:textId="77777777" w:rsidR="005F4A7E" w:rsidRPr="002029AF" w:rsidRDefault="005F4A7E" w:rsidP="00130D1C">
            <w:pPr>
              <w:pStyle w:val="ARfintablebodyrightbold"/>
            </w:pPr>
            <w:r w:rsidRPr="00186661">
              <w:t>2,777.8</w:t>
            </w:r>
          </w:p>
        </w:tc>
        <w:tc>
          <w:tcPr>
            <w:tcW w:w="1418" w:type="dxa"/>
            <w:noWrap/>
            <w:hideMark/>
          </w:tcPr>
          <w:p w14:paraId="5ADF4823" w14:textId="77777777" w:rsidR="005F4A7E" w:rsidRPr="002029AF" w:rsidRDefault="005F4A7E" w:rsidP="00130D1C">
            <w:pPr>
              <w:pStyle w:val="ARfintablebodyrightbold"/>
            </w:pPr>
            <w:r w:rsidRPr="00186661">
              <w:t>2,364.6</w:t>
            </w:r>
          </w:p>
        </w:tc>
        <w:tc>
          <w:tcPr>
            <w:tcW w:w="1418" w:type="dxa"/>
            <w:shd w:val="clear" w:color="auto" w:fill="E7E6E6"/>
            <w:noWrap/>
            <w:hideMark/>
          </w:tcPr>
          <w:p w14:paraId="42DF5D40" w14:textId="77777777" w:rsidR="005F4A7E" w:rsidRPr="002029AF" w:rsidRDefault="005F4A7E" w:rsidP="00130D1C">
            <w:pPr>
              <w:pStyle w:val="ARfintablebodyrightbold"/>
            </w:pPr>
            <w:r w:rsidRPr="00186661">
              <w:t>30,986.7</w:t>
            </w:r>
          </w:p>
        </w:tc>
        <w:tc>
          <w:tcPr>
            <w:tcW w:w="1418" w:type="dxa"/>
            <w:noWrap/>
            <w:hideMark/>
          </w:tcPr>
          <w:p w14:paraId="0E0947BB" w14:textId="77777777" w:rsidR="005F4A7E" w:rsidRPr="002029AF" w:rsidRDefault="005F4A7E" w:rsidP="00130D1C">
            <w:pPr>
              <w:pStyle w:val="ARfintablebodyrightbold"/>
            </w:pPr>
            <w:r w:rsidRPr="00186661">
              <w:t>26,428.0</w:t>
            </w:r>
          </w:p>
        </w:tc>
        <w:tc>
          <w:tcPr>
            <w:tcW w:w="1418" w:type="dxa"/>
            <w:shd w:val="clear" w:color="auto" w:fill="E7E6E6"/>
            <w:noWrap/>
            <w:hideMark/>
          </w:tcPr>
          <w:p w14:paraId="15117E7E" w14:textId="77777777" w:rsidR="005F4A7E" w:rsidRPr="002029AF" w:rsidRDefault="005F4A7E" w:rsidP="00130D1C">
            <w:pPr>
              <w:pStyle w:val="ARfintablebodyrightbold"/>
            </w:pPr>
            <w:r w:rsidRPr="00186661">
              <w:t>33,764.5</w:t>
            </w:r>
          </w:p>
        </w:tc>
        <w:tc>
          <w:tcPr>
            <w:tcW w:w="1418" w:type="dxa"/>
            <w:noWrap/>
            <w:hideMark/>
          </w:tcPr>
          <w:p w14:paraId="5B2E6C08" w14:textId="77777777" w:rsidR="005F4A7E" w:rsidRPr="002029AF" w:rsidRDefault="005F4A7E" w:rsidP="00130D1C">
            <w:pPr>
              <w:pStyle w:val="ARfintablebodyrightbold"/>
            </w:pPr>
            <w:r w:rsidRPr="00186661">
              <w:t>28,792.6</w:t>
            </w:r>
          </w:p>
        </w:tc>
      </w:tr>
    </w:tbl>
    <w:p w14:paraId="78F519A1" w14:textId="77777777" w:rsidR="005F4A7E" w:rsidRDefault="005F4A7E" w:rsidP="00130D1C">
      <w:pPr>
        <w:pStyle w:val="ARfintablefootnote"/>
        <w:spacing w:line="240" w:lineRule="auto"/>
        <w:rPr>
          <w:sz w:val="14"/>
          <w:lang w:eastAsia="en-AU"/>
        </w:rPr>
      </w:pPr>
      <w:bookmarkStart w:id="899" w:name="_Hlk47009975"/>
      <w:r>
        <w:rPr>
          <w:lang w:eastAsia="en-AU"/>
        </w:rPr>
        <w:t>Note:</w:t>
      </w:r>
    </w:p>
    <w:p w14:paraId="6DE53144" w14:textId="77777777" w:rsidR="005F4A7E" w:rsidRDefault="005F4A7E" w:rsidP="00130D1C">
      <w:pPr>
        <w:pStyle w:val="ARfintablefootnoteindent"/>
      </w:pPr>
      <w:r>
        <w:t>(i)</w:t>
      </w:r>
      <w:r>
        <w:tab/>
        <w:t xml:space="preserve">Property, plant and equipment are classified primarily by the purpose for which the assets are used, according to one of six purpose groups based upon government purpose classifications. All assets within a purpose group are further subcategorised </w:t>
      </w:r>
      <w:bookmarkEnd w:id="899"/>
      <w:r>
        <w:t>according to the asset nature (for example buildings, plant and equipment), with each subcategory being classified as a separate class of asset for financial reporting purposes.</w:t>
      </w:r>
    </w:p>
    <w:p w14:paraId="0CA0009B" w14:textId="77777777" w:rsidR="005F4A7E" w:rsidRPr="002029AF" w:rsidRDefault="005F4A7E" w:rsidP="00130D1C">
      <w:pPr>
        <w:pStyle w:val="ARfintablefootnoteindent"/>
        <w:sectPr w:rsidR="005F4A7E" w:rsidRPr="002029AF" w:rsidSect="00130D1C">
          <w:footerReference w:type="even" r:id="rId136"/>
          <w:footnotePr>
            <w:numFmt w:val="lowerLetter"/>
            <w:numRestart w:val="eachPage"/>
          </w:footnotePr>
          <w:pgSz w:w="16838" w:h="11906" w:orient="landscape" w:code="9"/>
          <w:pgMar w:top="1134" w:right="1531" w:bottom="1134" w:left="851" w:header="510" w:footer="340" w:gutter="0"/>
          <w:cols w:space="708"/>
          <w:docGrid w:linePitch="360"/>
        </w:sectPr>
      </w:pPr>
    </w:p>
    <w:p w14:paraId="7143FA5F" w14:textId="77777777" w:rsidR="005F4A7E" w:rsidRDefault="005F4A7E" w:rsidP="00130D1C">
      <w:pPr>
        <w:pStyle w:val="Heading5"/>
        <w:spacing w:before="0"/>
        <w:rPr>
          <w:lang w:eastAsia="en-AU"/>
        </w:rPr>
      </w:pPr>
      <w:bookmarkStart w:id="900" w:name="_Toc85121439"/>
      <w:r w:rsidRPr="002029AF">
        <w:lastRenderedPageBreak/>
        <w:t xml:space="preserve">5.1.3 </w:t>
      </w:r>
      <w:r>
        <w:rPr>
          <w:lang w:eastAsia="en-AU"/>
        </w:rPr>
        <w:t>Reconciliation of movements in carrying values of property, plant and equipment</w:t>
      </w:r>
      <w:bookmarkEnd w:id="900"/>
    </w:p>
    <w:tbl>
      <w:tblPr>
        <w:tblStyle w:val="TableGrid"/>
        <w:tblW w:w="9637" w:type="dxa"/>
        <w:tblLayout w:type="fixed"/>
        <w:tblCellMar>
          <w:right w:w="0" w:type="dxa"/>
        </w:tblCellMar>
        <w:tblLook w:val="06A0" w:firstRow="1" w:lastRow="0" w:firstColumn="1" w:lastColumn="0" w:noHBand="1" w:noVBand="1"/>
      </w:tblPr>
      <w:tblGrid>
        <w:gridCol w:w="3175"/>
        <w:gridCol w:w="1077"/>
        <w:gridCol w:w="1077"/>
        <w:gridCol w:w="1077"/>
        <w:gridCol w:w="1077"/>
        <w:gridCol w:w="1077"/>
        <w:gridCol w:w="1077"/>
      </w:tblGrid>
      <w:tr w:rsidR="005F4A7E" w:rsidRPr="002029AF" w14:paraId="0783C720" w14:textId="77777777" w:rsidTr="00130D1C">
        <w:trPr>
          <w:cnfStyle w:val="100000000000" w:firstRow="1" w:lastRow="0" w:firstColumn="0" w:lastColumn="0" w:oddVBand="0" w:evenVBand="0" w:oddHBand="0" w:evenHBand="0" w:firstRowFirstColumn="0" w:firstRowLastColumn="0" w:lastRowFirstColumn="0" w:lastRowLastColumn="0"/>
          <w:trHeight w:val="255"/>
          <w:tblHeader/>
        </w:trPr>
        <w:tc>
          <w:tcPr>
            <w:tcW w:w="3175" w:type="dxa"/>
            <w:tcBorders>
              <w:bottom w:val="single" w:sz="4" w:space="0" w:color="auto"/>
            </w:tcBorders>
            <w:hideMark/>
          </w:tcPr>
          <w:p w14:paraId="57E8F3F7" w14:textId="77777777" w:rsidR="005F4A7E" w:rsidRPr="002029AF" w:rsidRDefault="005F4A7E" w:rsidP="00130D1C">
            <w:pPr>
              <w:pStyle w:val="ARfintablecolhead"/>
              <w:spacing w:before="30" w:line="228" w:lineRule="auto"/>
            </w:pPr>
            <w:r>
              <w:t>2021</w:t>
            </w:r>
          </w:p>
        </w:tc>
        <w:tc>
          <w:tcPr>
            <w:tcW w:w="1077" w:type="dxa"/>
            <w:tcBorders>
              <w:bottom w:val="single" w:sz="4" w:space="0" w:color="auto"/>
            </w:tcBorders>
            <w:hideMark/>
          </w:tcPr>
          <w:p w14:paraId="1EE42279" w14:textId="77777777" w:rsidR="005F4A7E" w:rsidRPr="002029AF" w:rsidRDefault="005F4A7E" w:rsidP="00130D1C">
            <w:pPr>
              <w:pStyle w:val="ARfintablecolheadright"/>
              <w:spacing w:before="30" w:line="228" w:lineRule="auto"/>
            </w:pPr>
            <w:r w:rsidRPr="002029AF">
              <w:t>Land at fair value</w:t>
            </w:r>
          </w:p>
          <w:p w14:paraId="310B4A55" w14:textId="77777777" w:rsidR="005F4A7E" w:rsidRPr="002029AF" w:rsidRDefault="005F4A7E" w:rsidP="00130D1C">
            <w:pPr>
              <w:pStyle w:val="ARfintablecolheadright"/>
              <w:spacing w:before="30" w:line="228" w:lineRule="auto"/>
            </w:pPr>
            <w:r w:rsidRPr="002029AF">
              <w:t>$M</w:t>
            </w:r>
          </w:p>
        </w:tc>
        <w:tc>
          <w:tcPr>
            <w:tcW w:w="1077" w:type="dxa"/>
            <w:tcBorders>
              <w:bottom w:val="single" w:sz="4" w:space="0" w:color="auto"/>
            </w:tcBorders>
            <w:hideMark/>
          </w:tcPr>
          <w:p w14:paraId="192F7892" w14:textId="77777777" w:rsidR="005F4A7E" w:rsidRPr="002029AF" w:rsidRDefault="005F4A7E" w:rsidP="00130D1C">
            <w:pPr>
              <w:pStyle w:val="ARfintablecolheadright"/>
              <w:spacing w:before="30" w:line="228" w:lineRule="auto"/>
            </w:pPr>
            <w:r w:rsidRPr="002029AF">
              <w:t>Buildings at fair value</w:t>
            </w:r>
          </w:p>
          <w:p w14:paraId="4D313CC6" w14:textId="77777777" w:rsidR="005F4A7E" w:rsidRPr="002029AF" w:rsidRDefault="005F4A7E" w:rsidP="00130D1C">
            <w:pPr>
              <w:pStyle w:val="ARfintablecolheadright"/>
              <w:spacing w:before="30" w:line="228" w:lineRule="auto"/>
            </w:pPr>
            <w:r w:rsidRPr="002029AF">
              <w:t>$M</w:t>
            </w:r>
          </w:p>
        </w:tc>
        <w:tc>
          <w:tcPr>
            <w:tcW w:w="1077" w:type="dxa"/>
            <w:tcBorders>
              <w:bottom w:val="single" w:sz="4" w:space="0" w:color="auto"/>
            </w:tcBorders>
            <w:hideMark/>
          </w:tcPr>
          <w:p w14:paraId="74F5598F" w14:textId="77777777" w:rsidR="005F4A7E" w:rsidRPr="002029AF" w:rsidRDefault="005F4A7E" w:rsidP="00130D1C">
            <w:pPr>
              <w:pStyle w:val="ARfintablecolheadright"/>
              <w:spacing w:before="30" w:line="228" w:lineRule="auto"/>
            </w:pPr>
            <w:r w:rsidRPr="002029AF">
              <w:t>Plant, equipment and vehicles at fair value</w:t>
            </w:r>
          </w:p>
          <w:p w14:paraId="0379B6CB" w14:textId="77777777" w:rsidR="005F4A7E" w:rsidRPr="002029AF" w:rsidRDefault="005F4A7E" w:rsidP="00130D1C">
            <w:pPr>
              <w:pStyle w:val="ARfintablecolheadright"/>
              <w:spacing w:before="30" w:line="228" w:lineRule="auto"/>
            </w:pPr>
            <w:r w:rsidRPr="002029AF">
              <w:t>$M</w:t>
            </w:r>
          </w:p>
        </w:tc>
        <w:tc>
          <w:tcPr>
            <w:tcW w:w="1077" w:type="dxa"/>
            <w:tcBorders>
              <w:bottom w:val="single" w:sz="4" w:space="0" w:color="auto"/>
            </w:tcBorders>
            <w:hideMark/>
          </w:tcPr>
          <w:p w14:paraId="6F663653" w14:textId="77777777" w:rsidR="005F4A7E" w:rsidRPr="002029AF" w:rsidRDefault="005F4A7E" w:rsidP="00130D1C">
            <w:pPr>
              <w:pStyle w:val="ARfintablecolheadright"/>
              <w:spacing w:before="30" w:line="228" w:lineRule="auto"/>
            </w:pPr>
            <w:r w:rsidRPr="002029AF">
              <w:t>Motor vehicles at fair value</w:t>
            </w:r>
          </w:p>
          <w:p w14:paraId="3F3F1147" w14:textId="77777777" w:rsidR="005F4A7E" w:rsidRPr="002029AF" w:rsidRDefault="005F4A7E" w:rsidP="00130D1C">
            <w:pPr>
              <w:pStyle w:val="ARfintablecolheadright"/>
              <w:spacing w:before="30" w:line="228" w:lineRule="auto"/>
            </w:pPr>
            <w:r w:rsidRPr="002029AF">
              <w:t>$M</w:t>
            </w:r>
          </w:p>
        </w:tc>
        <w:tc>
          <w:tcPr>
            <w:tcW w:w="1077" w:type="dxa"/>
            <w:tcBorders>
              <w:bottom w:val="single" w:sz="4" w:space="0" w:color="auto"/>
            </w:tcBorders>
            <w:hideMark/>
          </w:tcPr>
          <w:p w14:paraId="7186A5D5" w14:textId="77777777" w:rsidR="005F4A7E" w:rsidRPr="002029AF" w:rsidRDefault="005F4A7E" w:rsidP="00130D1C">
            <w:pPr>
              <w:pStyle w:val="ARfintablecolheadright"/>
              <w:spacing w:before="30" w:line="228" w:lineRule="auto"/>
            </w:pPr>
            <w:r w:rsidRPr="002029AF">
              <w:t>Assets under construc-tion at cost</w:t>
            </w:r>
          </w:p>
          <w:p w14:paraId="5594E2CD" w14:textId="77777777" w:rsidR="005F4A7E" w:rsidRPr="002029AF" w:rsidRDefault="005F4A7E" w:rsidP="00130D1C">
            <w:pPr>
              <w:pStyle w:val="ARfintablecolheadright"/>
              <w:spacing w:before="30" w:line="228" w:lineRule="auto"/>
            </w:pPr>
            <w:r w:rsidRPr="002029AF">
              <w:t>$M</w:t>
            </w:r>
          </w:p>
        </w:tc>
        <w:tc>
          <w:tcPr>
            <w:tcW w:w="1077" w:type="dxa"/>
            <w:tcBorders>
              <w:bottom w:val="single" w:sz="4" w:space="0" w:color="auto"/>
            </w:tcBorders>
            <w:hideMark/>
          </w:tcPr>
          <w:p w14:paraId="4BCDA737" w14:textId="77777777" w:rsidR="005F4A7E" w:rsidRPr="002029AF" w:rsidRDefault="005F4A7E" w:rsidP="00130D1C">
            <w:pPr>
              <w:pStyle w:val="ARfintablecolheadright"/>
              <w:spacing w:before="30" w:line="228" w:lineRule="auto"/>
            </w:pPr>
            <w:r w:rsidRPr="002029AF">
              <w:t>Total</w:t>
            </w:r>
          </w:p>
          <w:p w14:paraId="2B94D388" w14:textId="77777777" w:rsidR="005F4A7E" w:rsidRPr="002029AF" w:rsidRDefault="005F4A7E" w:rsidP="00130D1C">
            <w:pPr>
              <w:pStyle w:val="ARfintablecolheadright"/>
              <w:spacing w:before="30" w:line="228" w:lineRule="auto"/>
            </w:pPr>
            <w:r w:rsidRPr="002029AF">
              <w:t>$M</w:t>
            </w:r>
          </w:p>
        </w:tc>
      </w:tr>
      <w:tr w:rsidR="005F4A7E" w:rsidRPr="002029AF" w14:paraId="446B433B" w14:textId="77777777" w:rsidTr="00130D1C">
        <w:trPr>
          <w:trHeight w:val="255"/>
        </w:trPr>
        <w:tc>
          <w:tcPr>
            <w:tcW w:w="3175" w:type="dxa"/>
            <w:tcBorders>
              <w:top w:val="single" w:sz="4" w:space="0" w:color="A6A6A6"/>
              <w:bottom w:val="single" w:sz="4" w:space="0" w:color="A6A6A6"/>
            </w:tcBorders>
            <w:hideMark/>
          </w:tcPr>
          <w:p w14:paraId="657ACB5F" w14:textId="77777777" w:rsidR="005F4A7E" w:rsidRPr="002029AF" w:rsidRDefault="005F4A7E" w:rsidP="00130D1C">
            <w:pPr>
              <w:pStyle w:val="ARfintablebodybold"/>
              <w:spacing w:before="30" w:line="240" w:lineRule="auto"/>
            </w:pPr>
            <w:r w:rsidRPr="00833A02">
              <w:t>Balance at 1 July 2020</w:t>
            </w:r>
          </w:p>
        </w:tc>
        <w:tc>
          <w:tcPr>
            <w:tcW w:w="1077" w:type="dxa"/>
            <w:tcBorders>
              <w:top w:val="single" w:sz="4" w:space="0" w:color="A6A6A6"/>
              <w:bottom w:val="single" w:sz="4" w:space="0" w:color="A6A6A6"/>
            </w:tcBorders>
            <w:noWrap/>
            <w:hideMark/>
          </w:tcPr>
          <w:p w14:paraId="32D8F6EB" w14:textId="77777777" w:rsidR="005F4A7E" w:rsidRPr="002029AF" w:rsidRDefault="005F4A7E" w:rsidP="00130D1C">
            <w:pPr>
              <w:pStyle w:val="ARfintablebodyrightbold"/>
              <w:spacing w:before="30" w:line="240" w:lineRule="auto"/>
            </w:pPr>
            <w:r w:rsidRPr="00833A02">
              <w:t>18,524.3</w:t>
            </w:r>
          </w:p>
        </w:tc>
        <w:tc>
          <w:tcPr>
            <w:tcW w:w="1077" w:type="dxa"/>
            <w:tcBorders>
              <w:top w:val="single" w:sz="4" w:space="0" w:color="A6A6A6"/>
              <w:bottom w:val="single" w:sz="4" w:space="0" w:color="A6A6A6"/>
            </w:tcBorders>
            <w:noWrap/>
            <w:hideMark/>
          </w:tcPr>
          <w:p w14:paraId="4885756E" w14:textId="77777777" w:rsidR="005F4A7E" w:rsidRPr="002029AF" w:rsidRDefault="005F4A7E" w:rsidP="00130D1C">
            <w:pPr>
              <w:pStyle w:val="ARfintablebodyrightbold"/>
              <w:spacing w:before="30" w:line="240" w:lineRule="auto"/>
            </w:pPr>
            <w:r w:rsidRPr="00833A02">
              <w:t>9,650.3</w:t>
            </w:r>
          </w:p>
        </w:tc>
        <w:tc>
          <w:tcPr>
            <w:tcW w:w="1077" w:type="dxa"/>
            <w:tcBorders>
              <w:top w:val="single" w:sz="4" w:space="0" w:color="A6A6A6"/>
              <w:bottom w:val="single" w:sz="4" w:space="0" w:color="A6A6A6"/>
            </w:tcBorders>
            <w:noWrap/>
            <w:hideMark/>
          </w:tcPr>
          <w:p w14:paraId="42F6D18E" w14:textId="77777777" w:rsidR="005F4A7E" w:rsidRPr="002029AF" w:rsidRDefault="005F4A7E" w:rsidP="00130D1C">
            <w:pPr>
              <w:pStyle w:val="ARfintablebodyrightbold"/>
              <w:spacing w:before="30" w:line="240" w:lineRule="auto"/>
            </w:pPr>
            <w:r w:rsidRPr="00833A02">
              <w:t>11.6</w:t>
            </w:r>
          </w:p>
        </w:tc>
        <w:tc>
          <w:tcPr>
            <w:tcW w:w="1077" w:type="dxa"/>
            <w:tcBorders>
              <w:top w:val="single" w:sz="4" w:space="0" w:color="A6A6A6"/>
              <w:bottom w:val="single" w:sz="4" w:space="0" w:color="A6A6A6"/>
            </w:tcBorders>
            <w:noWrap/>
            <w:hideMark/>
          </w:tcPr>
          <w:p w14:paraId="11D21133" w14:textId="77777777" w:rsidR="005F4A7E" w:rsidRPr="002029AF" w:rsidRDefault="005F4A7E" w:rsidP="00130D1C">
            <w:pPr>
              <w:pStyle w:val="ARfintablebodyrightbold"/>
              <w:spacing w:before="30" w:line="240" w:lineRule="auto"/>
            </w:pPr>
            <w:r w:rsidRPr="00833A02">
              <w:t>30.2</w:t>
            </w:r>
          </w:p>
        </w:tc>
        <w:tc>
          <w:tcPr>
            <w:tcW w:w="1077" w:type="dxa"/>
            <w:tcBorders>
              <w:top w:val="single" w:sz="4" w:space="0" w:color="A6A6A6"/>
              <w:bottom w:val="single" w:sz="4" w:space="0" w:color="A6A6A6"/>
            </w:tcBorders>
            <w:noWrap/>
            <w:hideMark/>
          </w:tcPr>
          <w:p w14:paraId="42EA987C" w14:textId="77777777" w:rsidR="005F4A7E" w:rsidRPr="002029AF" w:rsidRDefault="005F4A7E" w:rsidP="00130D1C">
            <w:pPr>
              <w:pStyle w:val="ARfintablebodyrightbold"/>
              <w:spacing w:before="30" w:line="240" w:lineRule="auto"/>
            </w:pPr>
            <w:r w:rsidRPr="00833A02">
              <w:t>576.2</w:t>
            </w:r>
          </w:p>
        </w:tc>
        <w:tc>
          <w:tcPr>
            <w:tcW w:w="1077" w:type="dxa"/>
            <w:tcBorders>
              <w:top w:val="single" w:sz="4" w:space="0" w:color="A6A6A6"/>
              <w:bottom w:val="single" w:sz="4" w:space="0" w:color="A6A6A6"/>
            </w:tcBorders>
            <w:noWrap/>
            <w:hideMark/>
          </w:tcPr>
          <w:p w14:paraId="3CE8A769" w14:textId="77777777" w:rsidR="005F4A7E" w:rsidRPr="002029AF" w:rsidRDefault="005F4A7E" w:rsidP="00130D1C">
            <w:pPr>
              <w:pStyle w:val="ARfintablebodyrightbold"/>
              <w:spacing w:before="30" w:line="240" w:lineRule="auto"/>
            </w:pPr>
            <w:r w:rsidRPr="00833A02">
              <w:t>28,792.6</w:t>
            </w:r>
          </w:p>
        </w:tc>
      </w:tr>
      <w:tr w:rsidR="005F4A7E" w:rsidRPr="002029AF" w14:paraId="6AD230FE" w14:textId="77777777" w:rsidTr="00130D1C">
        <w:trPr>
          <w:trHeight w:val="255"/>
        </w:trPr>
        <w:tc>
          <w:tcPr>
            <w:tcW w:w="3175" w:type="dxa"/>
            <w:tcBorders>
              <w:top w:val="single" w:sz="4" w:space="0" w:color="A6A6A6"/>
              <w:bottom w:val="single" w:sz="4" w:space="0" w:color="A6A6A6"/>
            </w:tcBorders>
            <w:hideMark/>
          </w:tcPr>
          <w:p w14:paraId="61FF1156" w14:textId="77777777" w:rsidR="005F4A7E" w:rsidRPr="002029AF" w:rsidRDefault="005F4A7E" w:rsidP="00130D1C">
            <w:pPr>
              <w:pStyle w:val="ARfintablebody"/>
              <w:spacing w:before="30" w:line="240" w:lineRule="auto"/>
            </w:pPr>
            <w:r w:rsidRPr="00833A02">
              <w:t>Machinery of government transfer in/(out)</w:t>
            </w:r>
          </w:p>
        </w:tc>
        <w:tc>
          <w:tcPr>
            <w:tcW w:w="1077" w:type="dxa"/>
            <w:tcBorders>
              <w:top w:val="single" w:sz="4" w:space="0" w:color="A6A6A6"/>
              <w:bottom w:val="single" w:sz="4" w:space="0" w:color="A6A6A6"/>
            </w:tcBorders>
            <w:noWrap/>
            <w:hideMark/>
          </w:tcPr>
          <w:p w14:paraId="11490775" w14:textId="77777777" w:rsidR="005F4A7E" w:rsidRPr="002029AF" w:rsidRDefault="005F4A7E" w:rsidP="00130D1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39AFC69B" w14:textId="77777777" w:rsidR="005F4A7E" w:rsidRPr="002029AF" w:rsidRDefault="005F4A7E" w:rsidP="00130D1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2762FD81" w14:textId="77777777" w:rsidR="005F4A7E" w:rsidRPr="002029AF" w:rsidRDefault="005F4A7E" w:rsidP="00130D1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1BA4057F" w14:textId="77777777" w:rsidR="005F4A7E" w:rsidRPr="002029AF" w:rsidRDefault="005F4A7E" w:rsidP="00130D1C">
            <w:pPr>
              <w:pStyle w:val="ARfintablebodyright"/>
              <w:spacing w:before="30" w:line="240" w:lineRule="auto"/>
            </w:pPr>
            <w:r w:rsidRPr="00833A02">
              <w:t>0.2</w:t>
            </w:r>
          </w:p>
        </w:tc>
        <w:tc>
          <w:tcPr>
            <w:tcW w:w="1077" w:type="dxa"/>
            <w:tcBorders>
              <w:top w:val="single" w:sz="4" w:space="0" w:color="A6A6A6"/>
              <w:bottom w:val="single" w:sz="4" w:space="0" w:color="A6A6A6"/>
            </w:tcBorders>
            <w:noWrap/>
            <w:hideMark/>
          </w:tcPr>
          <w:p w14:paraId="7E73A57C" w14:textId="77777777" w:rsidR="005F4A7E" w:rsidRPr="002029AF" w:rsidRDefault="005F4A7E" w:rsidP="00130D1C">
            <w:pPr>
              <w:pStyle w:val="ARfintablebodyright"/>
              <w:spacing w:before="30" w:line="240" w:lineRule="auto"/>
            </w:pPr>
            <w:r w:rsidRPr="00833A02">
              <w:t>1.2</w:t>
            </w:r>
          </w:p>
        </w:tc>
        <w:tc>
          <w:tcPr>
            <w:tcW w:w="1077" w:type="dxa"/>
            <w:tcBorders>
              <w:top w:val="single" w:sz="4" w:space="0" w:color="A6A6A6"/>
              <w:bottom w:val="single" w:sz="4" w:space="0" w:color="A6A6A6"/>
            </w:tcBorders>
            <w:noWrap/>
            <w:hideMark/>
          </w:tcPr>
          <w:p w14:paraId="35A089C6" w14:textId="77777777" w:rsidR="005F4A7E" w:rsidRPr="002029AF" w:rsidRDefault="005F4A7E" w:rsidP="00130D1C">
            <w:pPr>
              <w:pStyle w:val="ARfintablebodyright"/>
              <w:spacing w:before="30" w:line="240" w:lineRule="auto"/>
            </w:pPr>
            <w:r w:rsidRPr="00833A02">
              <w:t>1.4</w:t>
            </w:r>
          </w:p>
        </w:tc>
      </w:tr>
      <w:tr w:rsidR="005F4A7E" w:rsidRPr="002029AF" w14:paraId="1E33B854" w14:textId="77777777" w:rsidTr="00130D1C">
        <w:trPr>
          <w:trHeight w:val="255"/>
        </w:trPr>
        <w:tc>
          <w:tcPr>
            <w:tcW w:w="3175" w:type="dxa"/>
            <w:tcBorders>
              <w:top w:val="single" w:sz="4" w:space="0" w:color="A6A6A6"/>
              <w:bottom w:val="single" w:sz="4" w:space="0" w:color="A6A6A6"/>
            </w:tcBorders>
            <w:hideMark/>
          </w:tcPr>
          <w:p w14:paraId="1CAE65BB" w14:textId="77777777" w:rsidR="005F4A7E" w:rsidRPr="002029AF" w:rsidRDefault="005F4A7E" w:rsidP="00130D1C">
            <w:pPr>
              <w:pStyle w:val="ARfintablebody"/>
              <w:spacing w:before="30" w:line="240" w:lineRule="auto"/>
            </w:pPr>
            <w:r w:rsidRPr="00833A02">
              <w:t>Additions</w:t>
            </w:r>
          </w:p>
        </w:tc>
        <w:tc>
          <w:tcPr>
            <w:tcW w:w="1077" w:type="dxa"/>
            <w:tcBorders>
              <w:top w:val="single" w:sz="4" w:space="0" w:color="A6A6A6"/>
              <w:bottom w:val="single" w:sz="4" w:space="0" w:color="A6A6A6"/>
            </w:tcBorders>
            <w:noWrap/>
            <w:hideMark/>
          </w:tcPr>
          <w:p w14:paraId="6981684F" w14:textId="77777777" w:rsidR="005F4A7E" w:rsidRPr="002029AF" w:rsidRDefault="005F4A7E" w:rsidP="00130D1C">
            <w:pPr>
              <w:pStyle w:val="ARfintablebodyright"/>
              <w:spacing w:before="30" w:line="240" w:lineRule="auto"/>
            </w:pPr>
            <w:r w:rsidRPr="00833A02">
              <w:t>94.7</w:t>
            </w:r>
          </w:p>
        </w:tc>
        <w:tc>
          <w:tcPr>
            <w:tcW w:w="1077" w:type="dxa"/>
            <w:tcBorders>
              <w:top w:val="single" w:sz="4" w:space="0" w:color="A6A6A6"/>
              <w:bottom w:val="single" w:sz="4" w:space="0" w:color="A6A6A6"/>
            </w:tcBorders>
            <w:noWrap/>
            <w:hideMark/>
          </w:tcPr>
          <w:p w14:paraId="248B9371" w14:textId="77777777" w:rsidR="005F4A7E" w:rsidRPr="002029AF" w:rsidRDefault="005F4A7E" w:rsidP="00130D1C">
            <w:pPr>
              <w:pStyle w:val="ARfintablebodyright"/>
              <w:spacing w:before="30" w:line="240" w:lineRule="auto"/>
            </w:pPr>
            <w:r w:rsidRPr="00833A02">
              <w:t>28.7</w:t>
            </w:r>
          </w:p>
        </w:tc>
        <w:tc>
          <w:tcPr>
            <w:tcW w:w="1077" w:type="dxa"/>
            <w:tcBorders>
              <w:top w:val="single" w:sz="4" w:space="0" w:color="A6A6A6"/>
              <w:bottom w:val="single" w:sz="4" w:space="0" w:color="A6A6A6"/>
            </w:tcBorders>
            <w:noWrap/>
            <w:hideMark/>
          </w:tcPr>
          <w:p w14:paraId="19A40961" w14:textId="77777777" w:rsidR="005F4A7E" w:rsidRPr="002029AF" w:rsidRDefault="005F4A7E" w:rsidP="00130D1C">
            <w:pPr>
              <w:pStyle w:val="ARfintablebodyright"/>
              <w:spacing w:before="30" w:line="240" w:lineRule="auto"/>
            </w:pPr>
            <w:r w:rsidRPr="00833A02">
              <w:t>0.7</w:t>
            </w:r>
          </w:p>
        </w:tc>
        <w:tc>
          <w:tcPr>
            <w:tcW w:w="1077" w:type="dxa"/>
            <w:tcBorders>
              <w:top w:val="single" w:sz="4" w:space="0" w:color="A6A6A6"/>
              <w:bottom w:val="single" w:sz="4" w:space="0" w:color="A6A6A6"/>
            </w:tcBorders>
            <w:noWrap/>
            <w:hideMark/>
          </w:tcPr>
          <w:p w14:paraId="450891F9" w14:textId="77777777" w:rsidR="005F4A7E" w:rsidRPr="002029AF" w:rsidRDefault="005F4A7E" w:rsidP="00130D1C">
            <w:pPr>
              <w:pStyle w:val="ARfintablebodyright"/>
              <w:spacing w:before="30" w:line="240" w:lineRule="auto"/>
            </w:pPr>
            <w:r w:rsidRPr="00833A02">
              <w:t>5.7</w:t>
            </w:r>
          </w:p>
        </w:tc>
        <w:tc>
          <w:tcPr>
            <w:tcW w:w="1077" w:type="dxa"/>
            <w:tcBorders>
              <w:top w:val="single" w:sz="4" w:space="0" w:color="A6A6A6"/>
              <w:bottom w:val="single" w:sz="4" w:space="0" w:color="A6A6A6"/>
            </w:tcBorders>
            <w:noWrap/>
            <w:hideMark/>
          </w:tcPr>
          <w:p w14:paraId="74D4DF16" w14:textId="77777777" w:rsidR="005F4A7E" w:rsidRPr="002029AF" w:rsidRDefault="005F4A7E" w:rsidP="00130D1C">
            <w:pPr>
              <w:pStyle w:val="ARfintablebodyright"/>
              <w:spacing w:before="30" w:line="240" w:lineRule="auto"/>
            </w:pPr>
            <w:r w:rsidRPr="00833A02">
              <w:t>828.8</w:t>
            </w:r>
          </w:p>
        </w:tc>
        <w:tc>
          <w:tcPr>
            <w:tcW w:w="1077" w:type="dxa"/>
            <w:tcBorders>
              <w:top w:val="single" w:sz="4" w:space="0" w:color="A6A6A6"/>
              <w:bottom w:val="single" w:sz="4" w:space="0" w:color="A6A6A6"/>
            </w:tcBorders>
            <w:noWrap/>
            <w:hideMark/>
          </w:tcPr>
          <w:p w14:paraId="257F42D5" w14:textId="77777777" w:rsidR="005F4A7E" w:rsidRPr="002029AF" w:rsidRDefault="005F4A7E" w:rsidP="00130D1C">
            <w:pPr>
              <w:pStyle w:val="ARfintablebodyright"/>
              <w:spacing w:before="30" w:line="240" w:lineRule="auto"/>
            </w:pPr>
            <w:r w:rsidRPr="00833A02">
              <w:t>958.6</w:t>
            </w:r>
          </w:p>
        </w:tc>
      </w:tr>
      <w:tr w:rsidR="005F4A7E" w:rsidRPr="002029AF" w14:paraId="739264E4" w14:textId="77777777" w:rsidTr="00130D1C">
        <w:trPr>
          <w:trHeight w:val="255"/>
        </w:trPr>
        <w:tc>
          <w:tcPr>
            <w:tcW w:w="3175" w:type="dxa"/>
            <w:tcBorders>
              <w:top w:val="single" w:sz="4" w:space="0" w:color="A6A6A6"/>
              <w:bottom w:val="single" w:sz="4" w:space="0" w:color="A6A6A6"/>
            </w:tcBorders>
            <w:hideMark/>
          </w:tcPr>
          <w:p w14:paraId="413324EA" w14:textId="77777777" w:rsidR="005F4A7E" w:rsidRPr="002029AF" w:rsidRDefault="005F4A7E" w:rsidP="00130D1C">
            <w:pPr>
              <w:pStyle w:val="ARfintablebody"/>
              <w:spacing w:before="30" w:line="240" w:lineRule="auto"/>
            </w:pPr>
            <w:r w:rsidRPr="00833A02">
              <w:t>Administrative instrument transfers</w:t>
            </w:r>
          </w:p>
        </w:tc>
        <w:tc>
          <w:tcPr>
            <w:tcW w:w="1077" w:type="dxa"/>
            <w:tcBorders>
              <w:top w:val="single" w:sz="4" w:space="0" w:color="A6A6A6"/>
              <w:bottom w:val="single" w:sz="4" w:space="0" w:color="A6A6A6"/>
            </w:tcBorders>
            <w:noWrap/>
            <w:hideMark/>
          </w:tcPr>
          <w:p w14:paraId="621BF9E6" w14:textId="77777777" w:rsidR="005F4A7E" w:rsidRPr="002029AF" w:rsidRDefault="005F4A7E" w:rsidP="00130D1C">
            <w:pPr>
              <w:pStyle w:val="ARfintablebodyright"/>
              <w:spacing w:before="30" w:line="240" w:lineRule="auto"/>
            </w:pPr>
            <w:r w:rsidRPr="00833A02">
              <w:t>(1.3)</w:t>
            </w:r>
          </w:p>
        </w:tc>
        <w:tc>
          <w:tcPr>
            <w:tcW w:w="1077" w:type="dxa"/>
            <w:tcBorders>
              <w:top w:val="single" w:sz="4" w:space="0" w:color="A6A6A6"/>
              <w:bottom w:val="single" w:sz="4" w:space="0" w:color="A6A6A6"/>
            </w:tcBorders>
            <w:noWrap/>
            <w:hideMark/>
          </w:tcPr>
          <w:p w14:paraId="664EE50A" w14:textId="77777777" w:rsidR="005F4A7E" w:rsidRPr="002029AF" w:rsidRDefault="005F4A7E" w:rsidP="00130D1C">
            <w:pPr>
              <w:pStyle w:val="ARfintablebodyright"/>
              <w:spacing w:before="30" w:line="240" w:lineRule="auto"/>
            </w:pPr>
            <w:r w:rsidRPr="00833A02">
              <w:t>(78.4)</w:t>
            </w:r>
          </w:p>
        </w:tc>
        <w:tc>
          <w:tcPr>
            <w:tcW w:w="1077" w:type="dxa"/>
            <w:tcBorders>
              <w:top w:val="single" w:sz="4" w:space="0" w:color="A6A6A6"/>
              <w:bottom w:val="single" w:sz="4" w:space="0" w:color="A6A6A6"/>
            </w:tcBorders>
            <w:noWrap/>
            <w:hideMark/>
          </w:tcPr>
          <w:p w14:paraId="7BB58D77" w14:textId="77777777" w:rsidR="005F4A7E" w:rsidRPr="002029AF" w:rsidRDefault="005F4A7E" w:rsidP="00130D1C">
            <w:pPr>
              <w:pStyle w:val="ARfintablebodyright"/>
              <w:spacing w:before="30" w:line="240" w:lineRule="auto"/>
            </w:pPr>
            <w:r w:rsidRPr="00833A02">
              <w:t>(3.1)</w:t>
            </w:r>
          </w:p>
        </w:tc>
        <w:tc>
          <w:tcPr>
            <w:tcW w:w="1077" w:type="dxa"/>
            <w:tcBorders>
              <w:top w:val="single" w:sz="4" w:space="0" w:color="A6A6A6"/>
              <w:bottom w:val="single" w:sz="4" w:space="0" w:color="A6A6A6"/>
            </w:tcBorders>
            <w:noWrap/>
            <w:hideMark/>
          </w:tcPr>
          <w:p w14:paraId="7F011074" w14:textId="77777777" w:rsidR="005F4A7E" w:rsidRPr="002029AF" w:rsidRDefault="005F4A7E" w:rsidP="00130D1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66E126A7" w14:textId="77777777" w:rsidR="005F4A7E" w:rsidRPr="002029AF" w:rsidRDefault="005F4A7E" w:rsidP="00130D1C">
            <w:pPr>
              <w:pStyle w:val="ARfintablebodyright"/>
              <w:spacing w:before="30" w:line="240" w:lineRule="auto"/>
            </w:pPr>
            <w:r w:rsidRPr="00833A02">
              <w:t>(3.5)</w:t>
            </w:r>
          </w:p>
        </w:tc>
        <w:tc>
          <w:tcPr>
            <w:tcW w:w="1077" w:type="dxa"/>
            <w:tcBorders>
              <w:top w:val="single" w:sz="4" w:space="0" w:color="A6A6A6"/>
              <w:bottom w:val="single" w:sz="4" w:space="0" w:color="A6A6A6"/>
            </w:tcBorders>
            <w:noWrap/>
            <w:hideMark/>
          </w:tcPr>
          <w:p w14:paraId="6694BFE3" w14:textId="77777777" w:rsidR="005F4A7E" w:rsidRPr="002029AF" w:rsidRDefault="005F4A7E" w:rsidP="00130D1C">
            <w:pPr>
              <w:pStyle w:val="ARfintablebodyright"/>
              <w:spacing w:before="30" w:line="240" w:lineRule="auto"/>
            </w:pPr>
            <w:r w:rsidRPr="00833A02">
              <w:t>(86.3)</w:t>
            </w:r>
          </w:p>
        </w:tc>
      </w:tr>
      <w:tr w:rsidR="005F4A7E" w:rsidRPr="002029AF" w14:paraId="5CFD18CE" w14:textId="77777777" w:rsidTr="00130D1C">
        <w:trPr>
          <w:trHeight w:val="255"/>
        </w:trPr>
        <w:tc>
          <w:tcPr>
            <w:tcW w:w="3175" w:type="dxa"/>
            <w:tcBorders>
              <w:top w:val="single" w:sz="4" w:space="0" w:color="A6A6A6"/>
              <w:bottom w:val="single" w:sz="4" w:space="0" w:color="A6A6A6"/>
            </w:tcBorders>
            <w:hideMark/>
          </w:tcPr>
          <w:p w14:paraId="52358194" w14:textId="77777777" w:rsidR="005F4A7E" w:rsidRPr="002029AF" w:rsidRDefault="005F4A7E" w:rsidP="00130D1C">
            <w:pPr>
              <w:pStyle w:val="ARfintablebody"/>
              <w:spacing w:before="30" w:line="240" w:lineRule="auto"/>
            </w:pPr>
            <w:r w:rsidRPr="00833A02">
              <w:t>Disposals</w:t>
            </w:r>
          </w:p>
        </w:tc>
        <w:tc>
          <w:tcPr>
            <w:tcW w:w="1077" w:type="dxa"/>
            <w:tcBorders>
              <w:top w:val="single" w:sz="4" w:space="0" w:color="A6A6A6"/>
              <w:bottom w:val="single" w:sz="4" w:space="0" w:color="A6A6A6"/>
            </w:tcBorders>
            <w:noWrap/>
            <w:hideMark/>
          </w:tcPr>
          <w:p w14:paraId="69B8E341" w14:textId="77777777" w:rsidR="005F4A7E" w:rsidRPr="002029AF" w:rsidRDefault="005F4A7E" w:rsidP="00130D1C">
            <w:pPr>
              <w:pStyle w:val="ARfintablebodyright"/>
              <w:spacing w:before="30" w:line="240" w:lineRule="auto"/>
            </w:pPr>
            <w:r w:rsidRPr="00833A02">
              <w:t>(32.5)</w:t>
            </w:r>
          </w:p>
        </w:tc>
        <w:tc>
          <w:tcPr>
            <w:tcW w:w="1077" w:type="dxa"/>
            <w:tcBorders>
              <w:top w:val="single" w:sz="4" w:space="0" w:color="A6A6A6"/>
              <w:bottom w:val="single" w:sz="4" w:space="0" w:color="A6A6A6"/>
            </w:tcBorders>
            <w:noWrap/>
            <w:hideMark/>
          </w:tcPr>
          <w:p w14:paraId="74F3224E" w14:textId="77777777" w:rsidR="005F4A7E" w:rsidRPr="002029AF" w:rsidRDefault="005F4A7E" w:rsidP="00130D1C">
            <w:pPr>
              <w:pStyle w:val="ARfintablebodyright"/>
              <w:spacing w:before="30" w:line="240" w:lineRule="auto"/>
            </w:pPr>
            <w:r w:rsidRPr="00833A02">
              <w:t>(26.4)</w:t>
            </w:r>
          </w:p>
        </w:tc>
        <w:tc>
          <w:tcPr>
            <w:tcW w:w="1077" w:type="dxa"/>
            <w:tcBorders>
              <w:top w:val="single" w:sz="4" w:space="0" w:color="A6A6A6"/>
              <w:bottom w:val="single" w:sz="4" w:space="0" w:color="A6A6A6"/>
            </w:tcBorders>
            <w:noWrap/>
            <w:hideMark/>
          </w:tcPr>
          <w:p w14:paraId="2E78078B" w14:textId="77777777" w:rsidR="005F4A7E" w:rsidRPr="002029AF" w:rsidRDefault="005F4A7E" w:rsidP="00130D1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4DC6270D" w14:textId="77777777" w:rsidR="005F4A7E" w:rsidRPr="002029AF" w:rsidRDefault="005F4A7E" w:rsidP="00130D1C">
            <w:pPr>
              <w:pStyle w:val="ARfintablebodyright"/>
              <w:spacing w:before="30" w:line="240" w:lineRule="auto"/>
            </w:pPr>
            <w:r w:rsidRPr="00833A02">
              <w:t>(3.4)</w:t>
            </w:r>
          </w:p>
        </w:tc>
        <w:tc>
          <w:tcPr>
            <w:tcW w:w="1077" w:type="dxa"/>
            <w:tcBorders>
              <w:top w:val="single" w:sz="4" w:space="0" w:color="A6A6A6"/>
              <w:bottom w:val="single" w:sz="4" w:space="0" w:color="A6A6A6"/>
            </w:tcBorders>
            <w:noWrap/>
            <w:hideMark/>
          </w:tcPr>
          <w:p w14:paraId="45D50978" w14:textId="77777777" w:rsidR="005F4A7E" w:rsidRPr="002029AF" w:rsidRDefault="005F4A7E" w:rsidP="00130D1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18D92214" w14:textId="77777777" w:rsidR="005F4A7E" w:rsidRPr="002029AF" w:rsidRDefault="005F4A7E" w:rsidP="00130D1C">
            <w:pPr>
              <w:pStyle w:val="ARfintablebodyright"/>
              <w:spacing w:before="30" w:line="240" w:lineRule="auto"/>
            </w:pPr>
            <w:r w:rsidRPr="00833A02">
              <w:t>(62.3)</w:t>
            </w:r>
          </w:p>
        </w:tc>
      </w:tr>
      <w:tr w:rsidR="005F4A7E" w:rsidRPr="002029AF" w14:paraId="3F37232E" w14:textId="77777777" w:rsidTr="00130D1C">
        <w:trPr>
          <w:trHeight w:val="255"/>
        </w:trPr>
        <w:tc>
          <w:tcPr>
            <w:tcW w:w="3175" w:type="dxa"/>
            <w:tcBorders>
              <w:top w:val="single" w:sz="4" w:space="0" w:color="A6A6A6"/>
              <w:bottom w:val="single" w:sz="4" w:space="0" w:color="A6A6A6"/>
            </w:tcBorders>
            <w:hideMark/>
          </w:tcPr>
          <w:p w14:paraId="74AD71DF" w14:textId="77777777" w:rsidR="005F4A7E" w:rsidRPr="002029AF" w:rsidRDefault="005F4A7E" w:rsidP="00130D1C">
            <w:pPr>
              <w:pStyle w:val="ARfintablebody"/>
              <w:spacing w:before="30" w:line="240" w:lineRule="auto"/>
            </w:pPr>
            <w:r w:rsidRPr="00833A02">
              <w:t>Net revaluation increments/(decrements)</w:t>
            </w:r>
          </w:p>
        </w:tc>
        <w:tc>
          <w:tcPr>
            <w:tcW w:w="1077" w:type="dxa"/>
            <w:tcBorders>
              <w:top w:val="single" w:sz="4" w:space="0" w:color="A6A6A6"/>
              <w:bottom w:val="single" w:sz="4" w:space="0" w:color="A6A6A6"/>
            </w:tcBorders>
            <w:noWrap/>
            <w:hideMark/>
          </w:tcPr>
          <w:p w14:paraId="3CF66C73" w14:textId="77777777" w:rsidR="005F4A7E" w:rsidRPr="002029AF" w:rsidRDefault="005F4A7E" w:rsidP="00130D1C">
            <w:pPr>
              <w:pStyle w:val="ARfintablebodyright"/>
              <w:spacing w:before="30" w:line="240" w:lineRule="auto"/>
            </w:pPr>
            <w:r w:rsidRPr="00833A02">
              <w:t>4,467.4</w:t>
            </w:r>
          </w:p>
        </w:tc>
        <w:tc>
          <w:tcPr>
            <w:tcW w:w="1077" w:type="dxa"/>
            <w:tcBorders>
              <w:top w:val="single" w:sz="4" w:space="0" w:color="A6A6A6"/>
              <w:bottom w:val="single" w:sz="4" w:space="0" w:color="A6A6A6"/>
            </w:tcBorders>
            <w:noWrap/>
            <w:hideMark/>
          </w:tcPr>
          <w:p w14:paraId="54AB5C1B" w14:textId="77777777" w:rsidR="005F4A7E" w:rsidRPr="002029AF" w:rsidRDefault="005F4A7E" w:rsidP="00130D1C">
            <w:pPr>
              <w:pStyle w:val="ARfintablebodyright"/>
              <w:spacing w:before="30" w:line="240" w:lineRule="auto"/>
            </w:pPr>
            <w:r w:rsidRPr="00833A02">
              <w:t>(30.8)</w:t>
            </w:r>
          </w:p>
        </w:tc>
        <w:tc>
          <w:tcPr>
            <w:tcW w:w="1077" w:type="dxa"/>
            <w:tcBorders>
              <w:top w:val="single" w:sz="4" w:space="0" w:color="A6A6A6"/>
              <w:bottom w:val="single" w:sz="4" w:space="0" w:color="A6A6A6"/>
            </w:tcBorders>
            <w:noWrap/>
            <w:hideMark/>
          </w:tcPr>
          <w:p w14:paraId="4CF959F7" w14:textId="77777777" w:rsidR="005F4A7E" w:rsidRPr="002029AF" w:rsidRDefault="005F4A7E" w:rsidP="00130D1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14FD30A0" w14:textId="77777777" w:rsidR="005F4A7E" w:rsidRPr="002029AF" w:rsidRDefault="005F4A7E" w:rsidP="00130D1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503F2013" w14:textId="77777777" w:rsidR="005F4A7E" w:rsidRPr="002029AF" w:rsidRDefault="005F4A7E" w:rsidP="00130D1C">
            <w:pPr>
              <w:pStyle w:val="ARfintablebodyright"/>
              <w:spacing w:before="30" w:line="240" w:lineRule="auto"/>
            </w:pPr>
            <w:r w:rsidRPr="00833A02">
              <w:t>2.4</w:t>
            </w:r>
          </w:p>
        </w:tc>
        <w:tc>
          <w:tcPr>
            <w:tcW w:w="1077" w:type="dxa"/>
            <w:tcBorders>
              <w:top w:val="single" w:sz="4" w:space="0" w:color="A6A6A6"/>
              <w:bottom w:val="single" w:sz="4" w:space="0" w:color="A6A6A6"/>
            </w:tcBorders>
            <w:noWrap/>
            <w:hideMark/>
          </w:tcPr>
          <w:p w14:paraId="20BE4A5A" w14:textId="77777777" w:rsidR="005F4A7E" w:rsidRPr="002029AF" w:rsidRDefault="005F4A7E" w:rsidP="00130D1C">
            <w:pPr>
              <w:pStyle w:val="ARfintablebodyright"/>
              <w:spacing w:before="30" w:line="240" w:lineRule="auto"/>
            </w:pPr>
            <w:r w:rsidRPr="00833A02">
              <w:t>4,439.1</w:t>
            </w:r>
          </w:p>
        </w:tc>
      </w:tr>
      <w:tr w:rsidR="005F4A7E" w:rsidRPr="002029AF" w14:paraId="66AE1634" w14:textId="77777777" w:rsidTr="00130D1C">
        <w:trPr>
          <w:trHeight w:val="255"/>
        </w:trPr>
        <w:tc>
          <w:tcPr>
            <w:tcW w:w="3175" w:type="dxa"/>
            <w:tcBorders>
              <w:top w:val="single" w:sz="4" w:space="0" w:color="A6A6A6"/>
              <w:bottom w:val="single" w:sz="4" w:space="0" w:color="A6A6A6"/>
            </w:tcBorders>
            <w:hideMark/>
          </w:tcPr>
          <w:p w14:paraId="414D764D" w14:textId="77777777" w:rsidR="005F4A7E" w:rsidRPr="002029AF" w:rsidRDefault="005F4A7E" w:rsidP="00130D1C">
            <w:pPr>
              <w:pStyle w:val="ARfintablebody"/>
              <w:spacing w:before="30" w:line="240" w:lineRule="auto"/>
            </w:pPr>
            <w:r w:rsidRPr="00833A02">
              <w:t>Depreciation and amortisation</w:t>
            </w:r>
          </w:p>
        </w:tc>
        <w:tc>
          <w:tcPr>
            <w:tcW w:w="1077" w:type="dxa"/>
            <w:tcBorders>
              <w:top w:val="single" w:sz="4" w:space="0" w:color="A6A6A6"/>
              <w:bottom w:val="single" w:sz="4" w:space="0" w:color="A6A6A6"/>
            </w:tcBorders>
            <w:noWrap/>
            <w:hideMark/>
          </w:tcPr>
          <w:p w14:paraId="53C0329A" w14:textId="77777777" w:rsidR="005F4A7E" w:rsidRPr="002029AF" w:rsidRDefault="005F4A7E" w:rsidP="00130D1C">
            <w:pPr>
              <w:pStyle w:val="ARfintablebodyright"/>
              <w:spacing w:before="30" w:line="240" w:lineRule="auto"/>
            </w:pPr>
            <w:r w:rsidRPr="00833A02">
              <w:t>(0.8)</w:t>
            </w:r>
          </w:p>
        </w:tc>
        <w:tc>
          <w:tcPr>
            <w:tcW w:w="1077" w:type="dxa"/>
            <w:tcBorders>
              <w:top w:val="single" w:sz="4" w:space="0" w:color="A6A6A6"/>
              <w:bottom w:val="single" w:sz="4" w:space="0" w:color="A6A6A6"/>
            </w:tcBorders>
            <w:noWrap/>
            <w:hideMark/>
          </w:tcPr>
          <w:p w14:paraId="0F62147E" w14:textId="77777777" w:rsidR="005F4A7E" w:rsidRPr="002029AF" w:rsidRDefault="005F4A7E" w:rsidP="00130D1C">
            <w:pPr>
              <w:pStyle w:val="ARfintablebodyright"/>
              <w:spacing w:before="30" w:line="240" w:lineRule="auto"/>
            </w:pPr>
            <w:r w:rsidRPr="00833A02">
              <w:t>(290.9)</w:t>
            </w:r>
          </w:p>
        </w:tc>
        <w:tc>
          <w:tcPr>
            <w:tcW w:w="1077" w:type="dxa"/>
            <w:tcBorders>
              <w:top w:val="single" w:sz="4" w:space="0" w:color="A6A6A6"/>
              <w:bottom w:val="single" w:sz="4" w:space="0" w:color="A6A6A6"/>
            </w:tcBorders>
            <w:noWrap/>
            <w:hideMark/>
          </w:tcPr>
          <w:p w14:paraId="40B8D162" w14:textId="77777777" w:rsidR="005F4A7E" w:rsidRPr="002029AF" w:rsidRDefault="005F4A7E" w:rsidP="00130D1C">
            <w:pPr>
              <w:pStyle w:val="ARfintablebodyright"/>
              <w:spacing w:before="30" w:line="240" w:lineRule="auto"/>
            </w:pPr>
            <w:r w:rsidRPr="00833A02">
              <w:t>(5.0)</w:t>
            </w:r>
          </w:p>
        </w:tc>
        <w:tc>
          <w:tcPr>
            <w:tcW w:w="1077" w:type="dxa"/>
            <w:tcBorders>
              <w:top w:val="single" w:sz="4" w:space="0" w:color="A6A6A6"/>
              <w:bottom w:val="single" w:sz="4" w:space="0" w:color="A6A6A6"/>
            </w:tcBorders>
            <w:noWrap/>
            <w:hideMark/>
          </w:tcPr>
          <w:p w14:paraId="0D456B81" w14:textId="77777777" w:rsidR="005F4A7E" w:rsidRPr="002029AF" w:rsidRDefault="005F4A7E" w:rsidP="00130D1C">
            <w:pPr>
              <w:pStyle w:val="ARfintablebodyright"/>
              <w:spacing w:before="30" w:line="240" w:lineRule="auto"/>
            </w:pPr>
            <w:r w:rsidRPr="00833A02">
              <w:t>(6.4)</w:t>
            </w:r>
          </w:p>
        </w:tc>
        <w:tc>
          <w:tcPr>
            <w:tcW w:w="1077" w:type="dxa"/>
            <w:tcBorders>
              <w:top w:val="single" w:sz="4" w:space="0" w:color="A6A6A6"/>
              <w:bottom w:val="single" w:sz="4" w:space="0" w:color="A6A6A6"/>
            </w:tcBorders>
            <w:noWrap/>
            <w:hideMark/>
          </w:tcPr>
          <w:p w14:paraId="3B39F19B" w14:textId="77777777" w:rsidR="005F4A7E" w:rsidRPr="002029AF" w:rsidRDefault="005F4A7E" w:rsidP="00130D1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38F6948F" w14:textId="77777777" w:rsidR="005F4A7E" w:rsidRPr="002029AF" w:rsidRDefault="005F4A7E" w:rsidP="00130D1C">
            <w:pPr>
              <w:pStyle w:val="ARfintablebodyright"/>
              <w:spacing w:before="30" w:line="240" w:lineRule="auto"/>
            </w:pPr>
            <w:r w:rsidRPr="00833A02">
              <w:t>(303.1)</w:t>
            </w:r>
          </w:p>
        </w:tc>
      </w:tr>
      <w:tr w:rsidR="005F4A7E" w:rsidRPr="002029AF" w14:paraId="251D645D" w14:textId="77777777" w:rsidTr="00130D1C">
        <w:trPr>
          <w:trHeight w:val="255"/>
        </w:trPr>
        <w:tc>
          <w:tcPr>
            <w:tcW w:w="3175" w:type="dxa"/>
            <w:tcBorders>
              <w:top w:val="single" w:sz="4" w:space="0" w:color="A6A6A6"/>
              <w:bottom w:val="single" w:sz="4" w:space="0" w:color="A6A6A6"/>
            </w:tcBorders>
            <w:hideMark/>
          </w:tcPr>
          <w:p w14:paraId="3F96A414" w14:textId="77777777" w:rsidR="005F4A7E" w:rsidRPr="002029AF" w:rsidRDefault="005F4A7E" w:rsidP="00130D1C">
            <w:pPr>
              <w:pStyle w:val="ARfintablebody"/>
              <w:spacing w:before="30" w:line="240" w:lineRule="auto"/>
            </w:pPr>
            <w:r w:rsidRPr="00833A02">
              <w:t>Fair value of assets received free of charge or for nominal considerations</w:t>
            </w:r>
          </w:p>
        </w:tc>
        <w:tc>
          <w:tcPr>
            <w:tcW w:w="1077" w:type="dxa"/>
            <w:tcBorders>
              <w:top w:val="single" w:sz="4" w:space="0" w:color="A6A6A6"/>
              <w:bottom w:val="single" w:sz="4" w:space="0" w:color="A6A6A6"/>
            </w:tcBorders>
            <w:noWrap/>
            <w:hideMark/>
          </w:tcPr>
          <w:p w14:paraId="11216F48" w14:textId="77777777" w:rsidR="005F4A7E" w:rsidRPr="002029AF" w:rsidRDefault="005F4A7E" w:rsidP="00130D1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4AB6D2BB" w14:textId="77777777" w:rsidR="005F4A7E" w:rsidRPr="002029AF" w:rsidRDefault="005F4A7E" w:rsidP="00130D1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62BF24E7" w14:textId="77777777" w:rsidR="005F4A7E" w:rsidRPr="002029AF" w:rsidRDefault="005F4A7E" w:rsidP="00130D1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59F78B02" w14:textId="77777777" w:rsidR="005F4A7E" w:rsidRPr="002029AF" w:rsidRDefault="005F4A7E" w:rsidP="00130D1C">
            <w:pPr>
              <w:pStyle w:val="ARfintablebodyright"/>
              <w:spacing w:before="30" w:line="240" w:lineRule="auto"/>
            </w:pPr>
            <w:r w:rsidRPr="00833A02">
              <w:t>0.2</w:t>
            </w:r>
          </w:p>
        </w:tc>
        <w:tc>
          <w:tcPr>
            <w:tcW w:w="1077" w:type="dxa"/>
            <w:tcBorders>
              <w:top w:val="single" w:sz="4" w:space="0" w:color="A6A6A6"/>
              <w:bottom w:val="single" w:sz="4" w:space="0" w:color="A6A6A6"/>
            </w:tcBorders>
            <w:noWrap/>
            <w:hideMark/>
          </w:tcPr>
          <w:p w14:paraId="089CA472" w14:textId="77777777" w:rsidR="005F4A7E" w:rsidRPr="002029AF" w:rsidRDefault="005F4A7E" w:rsidP="00130D1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7C5D5F49" w14:textId="77777777" w:rsidR="005F4A7E" w:rsidRPr="002029AF" w:rsidRDefault="005F4A7E" w:rsidP="00130D1C">
            <w:pPr>
              <w:pStyle w:val="ARfintablebodyright"/>
              <w:spacing w:before="30" w:line="240" w:lineRule="auto"/>
            </w:pPr>
            <w:r w:rsidRPr="00833A02">
              <w:t>0.2</w:t>
            </w:r>
          </w:p>
        </w:tc>
      </w:tr>
      <w:tr w:rsidR="005F4A7E" w:rsidRPr="002029AF" w14:paraId="660D7EE0" w14:textId="77777777" w:rsidTr="00130D1C">
        <w:trPr>
          <w:trHeight w:val="255"/>
        </w:trPr>
        <w:tc>
          <w:tcPr>
            <w:tcW w:w="3175" w:type="dxa"/>
            <w:tcBorders>
              <w:top w:val="single" w:sz="4" w:space="0" w:color="A6A6A6"/>
              <w:bottom w:val="single" w:sz="4" w:space="0" w:color="A6A6A6"/>
            </w:tcBorders>
            <w:hideMark/>
          </w:tcPr>
          <w:p w14:paraId="73A00C8A" w14:textId="77777777" w:rsidR="005F4A7E" w:rsidRPr="002029AF" w:rsidRDefault="005F4A7E" w:rsidP="00130D1C">
            <w:pPr>
              <w:pStyle w:val="ARfintablebody"/>
              <w:spacing w:before="30" w:line="240" w:lineRule="auto"/>
            </w:pPr>
            <w:r w:rsidRPr="00833A02">
              <w:t>Fair value of assets provided free of charge or for nominal considerations</w:t>
            </w:r>
          </w:p>
        </w:tc>
        <w:tc>
          <w:tcPr>
            <w:tcW w:w="1077" w:type="dxa"/>
            <w:tcBorders>
              <w:top w:val="single" w:sz="4" w:space="0" w:color="A6A6A6"/>
              <w:bottom w:val="single" w:sz="4" w:space="0" w:color="A6A6A6"/>
            </w:tcBorders>
            <w:noWrap/>
            <w:hideMark/>
          </w:tcPr>
          <w:p w14:paraId="5E0DF248" w14:textId="77777777" w:rsidR="005F4A7E" w:rsidRPr="002029AF" w:rsidRDefault="005F4A7E" w:rsidP="00130D1C">
            <w:pPr>
              <w:pStyle w:val="ARfintablebodyright"/>
              <w:spacing w:before="30" w:line="240" w:lineRule="auto"/>
            </w:pPr>
            <w:r w:rsidRPr="00833A02">
              <w:t>(1.6)</w:t>
            </w:r>
          </w:p>
        </w:tc>
        <w:tc>
          <w:tcPr>
            <w:tcW w:w="1077" w:type="dxa"/>
            <w:tcBorders>
              <w:top w:val="single" w:sz="4" w:space="0" w:color="A6A6A6"/>
              <w:bottom w:val="single" w:sz="4" w:space="0" w:color="A6A6A6"/>
            </w:tcBorders>
            <w:noWrap/>
            <w:hideMark/>
          </w:tcPr>
          <w:p w14:paraId="5814A094" w14:textId="77777777" w:rsidR="005F4A7E" w:rsidRPr="002029AF" w:rsidRDefault="005F4A7E" w:rsidP="00130D1C">
            <w:pPr>
              <w:pStyle w:val="ARfintablebodyright"/>
              <w:spacing w:before="30" w:line="240" w:lineRule="auto"/>
            </w:pPr>
            <w:r w:rsidRPr="00833A02">
              <w:t>(0.4)</w:t>
            </w:r>
          </w:p>
        </w:tc>
        <w:tc>
          <w:tcPr>
            <w:tcW w:w="1077" w:type="dxa"/>
            <w:tcBorders>
              <w:top w:val="single" w:sz="4" w:space="0" w:color="A6A6A6"/>
              <w:bottom w:val="single" w:sz="4" w:space="0" w:color="A6A6A6"/>
            </w:tcBorders>
            <w:noWrap/>
            <w:hideMark/>
          </w:tcPr>
          <w:p w14:paraId="2A61213D" w14:textId="77777777" w:rsidR="005F4A7E" w:rsidRPr="002029AF" w:rsidRDefault="005F4A7E" w:rsidP="00130D1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6B44E1F9" w14:textId="77777777" w:rsidR="005F4A7E" w:rsidRPr="002029AF" w:rsidRDefault="005F4A7E" w:rsidP="00130D1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4C9DEBDE" w14:textId="77777777" w:rsidR="005F4A7E" w:rsidRPr="002029AF" w:rsidRDefault="005F4A7E" w:rsidP="00130D1C">
            <w:pPr>
              <w:pStyle w:val="ARfintablebodyright"/>
              <w:spacing w:before="30" w:line="240" w:lineRule="auto"/>
            </w:pPr>
            <w:r w:rsidRPr="00833A02">
              <w:t>(0.1)</w:t>
            </w:r>
          </w:p>
        </w:tc>
        <w:tc>
          <w:tcPr>
            <w:tcW w:w="1077" w:type="dxa"/>
            <w:tcBorders>
              <w:top w:val="single" w:sz="4" w:space="0" w:color="A6A6A6"/>
              <w:bottom w:val="single" w:sz="4" w:space="0" w:color="A6A6A6"/>
            </w:tcBorders>
            <w:noWrap/>
            <w:hideMark/>
          </w:tcPr>
          <w:p w14:paraId="616E7864" w14:textId="77777777" w:rsidR="005F4A7E" w:rsidRPr="002029AF" w:rsidRDefault="005F4A7E" w:rsidP="00130D1C">
            <w:pPr>
              <w:pStyle w:val="ARfintablebodyright"/>
              <w:spacing w:before="30" w:line="240" w:lineRule="auto"/>
            </w:pPr>
            <w:r w:rsidRPr="00833A02">
              <w:t>(2.1)</w:t>
            </w:r>
          </w:p>
        </w:tc>
      </w:tr>
      <w:tr w:rsidR="005F4A7E" w:rsidRPr="002029AF" w14:paraId="34AA95E7" w14:textId="77777777" w:rsidTr="00130D1C">
        <w:trPr>
          <w:trHeight w:val="255"/>
        </w:trPr>
        <w:tc>
          <w:tcPr>
            <w:tcW w:w="3175" w:type="dxa"/>
            <w:tcBorders>
              <w:top w:val="single" w:sz="4" w:space="0" w:color="A6A6A6"/>
              <w:bottom w:val="single" w:sz="4" w:space="0" w:color="A6A6A6"/>
            </w:tcBorders>
            <w:hideMark/>
          </w:tcPr>
          <w:p w14:paraId="2EC93C74" w14:textId="77777777" w:rsidR="005F4A7E" w:rsidRPr="002029AF" w:rsidRDefault="005F4A7E" w:rsidP="00130D1C">
            <w:pPr>
              <w:pStyle w:val="ARfintablebody"/>
              <w:spacing w:before="30" w:line="240" w:lineRule="auto"/>
            </w:pPr>
            <w:r w:rsidRPr="00833A02">
              <w:t>Transfers in/(out) of assets under construction</w:t>
            </w:r>
          </w:p>
        </w:tc>
        <w:tc>
          <w:tcPr>
            <w:tcW w:w="1077" w:type="dxa"/>
            <w:tcBorders>
              <w:top w:val="single" w:sz="4" w:space="0" w:color="A6A6A6"/>
              <w:bottom w:val="single" w:sz="4" w:space="0" w:color="A6A6A6"/>
            </w:tcBorders>
            <w:noWrap/>
            <w:hideMark/>
          </w:tcPr>
          <w:p w14:paraId="79210940" w14:textId="77777777" w:rsidR="005F4A7E" w:rsidRPr="002029AF" w:rsidRDefault="005F4A7E" w:rsidP="00130D1C">
            <w:pPr>
              <w:pStyle w:val="ARfintablebodyright"/>
              <w:spacing w:before="30" w:line="240" w:lineRule="auto"/>
            </w:pPr>
            <w:r w:rsidRPr="00833A02">
              <w:t>29.7</w:t>
            </w:r>
          </w:p>
        </w:tc>
        <w:tc>
          <w:tcPr>
            <w:tcW w:w="1077" w:type="dxa"/>
            <w:tcBorders>
              <w:top w:val="single" w:sz="4" w:space="0" w:color="A6A6A6"/>
              <w:bottom w:val="single" w:sz="4" w:space="0" w:color="A6A6A6"/>
            </w:tcBorders>
            <w:noWrap/>
            <w:hideMark/>
          </w:tcPr>
          <w:p w14:paraId="036CD7A9" w14:textId="77777777" w:rsidR="005F4A7E" w:rsidRPr="002029AF" w:rsidRDefault="005F4A7E" w:rsidP="00130D1C">
            <w:pPr>
              <w:pStyle w:val="ARfintablebodyright"/>
              <w:spacing w:before="30" w:line="240" w:lineRule="auto"/>
            </w:pPr>
            <w:r w:rsidRPr="00833A02">
              <w:t>469.8</w:t>
            </w:r>
          </w:p>
        </w:tc>
        <w:tc>
          <w:tcPr>
            <w:tcW w:w="1077" w:type="dxa"/>
            <w:tcBorders>
              <w:top w:val="single" w:sz="4" w:space="0" w:color="A6A6A6"/>
              <w:bottom w:val="single" w:sz="4" w:space="0" w:color="A6A6A6"/>
            </w:tcBorders>
            <w:noWrap/>
            <w:hideMark/>
          </w:tcPr>
          <w:p w14:paraId="019A282B" w14:textId="77777777" w:rsidR="005F4A7E" w:rsidRPr="002029AF" w:rsidRDefault="005F4A7E" w:rsidP="00130D1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1203AED3" w14:textId="77777777" w:rsidR="005F4A7E" w:rsidRPr="002029AF" w:rsidRDefault="005F4A7E" w:rsidP="00130D1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325686C8" w14:textId="77777777" w:rsidR="005F4A7E" w:rsidRPr="002029AF" w:rsidRDefault="005F4A7E" w:rsidP="00130D1C">
            <w:pPr>
              <w:pStyle w:val="ARfintablebodyright"/>
              <w:spacing w:before="30" w:line="240" w:lineRule="auto"/>
            </w:pPr>
            <w:r w:rsidRPr="00833A02">
              <w:t>(499.5)</w:t>
            </w:r>
          </w:p>
        </w:tc>
        <w:tc>
          <w:tcPr>
            <w:tcW w:w="1077" w:type="dxa"/>
            <w:tcBorders>
              <w:top w:val="single" w:sz="4" w:space="0" w:color="A6A6A6"/>
              <w:bottom w:val="single" w:sz="4" w:space="0" w:color="A6A6A6"/>
            </w:tcBorders>
            <w:noWrap/>
            <w:hideMark/>
          </w:tcPr>
          <w:p w14:paraId="3C7D797D" w14:textId="77777777" w:rsidR="005F4A7E" w:rsidRPr="002029AF" w:rsidRDefault="005F4A7E" w:rsidP="00130D1C">
            <w:pPr>
              <w:pStyle w:val="ARfintablebodyright"/>
              <w:spacing w:before="30" w:line="240" w:lineRule="auto"/>
            </w:pPr>
            <w:r w:rsidRPr="00833A02">
              <w:t>–</w:t>
            </w:r>
          </w:p>
        </w:tc>
      </w:tr>
      <w:tr w:rsidR="005F4A7E" w:rsidRPr="002029AF" w14:paraId="5DF5A55E" w14:textId="77777777" w:rsidTr="00130D1C">
        <w:trPr>
          <w:trHeight w:val="255"/>
        </w:trPr>
        <w:tc>
          <w:tcPr>
            <w:tcW w:w="3175" w:type="dxa"/>
            <w:tcBorders>
              <w:top w:val="single" w:sz="4" w:space="0" w:color="A6A6A6"/>
              <w:bottom w:val="single" w:sz="4" w:space="0" w:color="A6A6A6"/>
            </w:tcBorders>
            <w:hideMark/>
          </w:tcPr>
          <w:p w14:paraId="0F4586DA" w14:textId="77777777" w:rsidR="005F4A7E" w:rsidRPr="002029AF" w:rsidRDefault="005F4A7E" w:rsidP="00130D1C">
            <w:pPr>
              <w:pStyle w:val="ARfintablebody"/>
              <w:spacing w:before="30" w:line="240" w:lineRule="auto"/>
            </w:pPr>
            <w:r w:rsidRPr="00833A02">
              <w:t>Transfers between classes</w:t>
            </w:r>
          </w:p>
        </w:tc>
        <w:tc>
          <w:tcPr>
            <w:tcW w:w="1077" w:type="dxa"/>
            <w:tcBorders>
              <w:top w:val="single" w:sz="4" w:space="0" w:color="A6A6A6"/>
              <w:bottom w:val="single" w:sz="4" w:space="0" w:color="A6A6A6"/>
            </w:tcBorders>
            <w:noWrap/>
            <w:hideMark/>
          </w:tcPr>
          <w:p w14:paraId="79531B0E" w14:textId="77777777" w:rsidR="005F4A7E" w:rsidRPr="002029AF" w:rsidRDefault="005F4A7E" w:rsidP="00130D1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0441DB54" w14:textId="77777777" w:rsidR="005F4A7E" w:rsidRPr="002029AF" w:rsidRDefault="005F4A7E" w:rsidP="00130D1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6D87E713" w14:textId="77777777" w:rsidR="005F4A7E" w:rsidRPr="002029AF" w:rsidRDefault="005F4A7E" w:rsidP="00130D1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11B8C1A3" w14:textId="77777777" w:rsidR="005F4A7E" w:rsidRPr="002029AF" w:rsidRDefault="005F4A7E" w:rsidP="00130D1C">
            <w:pPr>
              <w:pStyle w:val="ARfintablebodyright"/>
              <w:spacing w:before="30" w:line="240" w:lineRule="auto"/>
            </w:pPr>
            <w:r w:rsidRPr="00833A02">
              <w:t>(0.5)</w:t>
            </w:r>
          </w:p>
        </w:tc>
        <w:tc>
          <w:tcPr>
            <w:tcW w:w="1077" w:type="dxa"/>
            <w:tcBorders>
              <w:top w:val="single" w:sz="4" w:space="0" w:color="A6A6A6"/>
              <w:bottom w:val="single" w:sz="4" w:space="0" w:color="A6A6A6"/>
            </w:tcBorders>
            <w:noWrap/>
            <w:hideMark/>
          </w:tcPr>
          <w:p w14:paraId="77E935E5" w14:textId="77777777" w:rsidR="005F4A7E" w:rsidRPr="002029AF" w:rsidRDefault="005F4A7E" w:rsidP="00130D1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48C58E6C" w14:textId="77777777" w:rsidR="005F4A7E" w:rsidRPr="002029AF" w:rsidRDefault="005F4A7E" w:rsidP="00130D1C">
            <w:pPr>
              <w:pStyle w:val="ARfintablebodyright"/>
              <w:spacing w:before="30" w:line="240" w:lineRule="auto"/>
            </w:pPr>
            <w:r w:rsidRPr="00833A02">
              <w:t>(0.5)</w:t>
            </w:r>
          </w:p>
        </w:tc>
      </w:tr>
      <w:tr w:rsidR="005F4A7E" w:rsidRPr="002029AF" w14:paraId="5CD51E43" w14:textId="77777777" w:rsidTr="00130D1C">
        <w:trPr>
          <w:trHeight w:val="255"/>
        </w:trPr>
        <w:tc>
          <w:tcPr>
            <w:tcW w:w="3175" w:type="dxa"/>
            <w:tcBorders>
              <w:top w:val="single" w:sz="4" w:space="0" w:color="A6A6A6"/>
              <w:bottom w:val="single" w:sz="4" w:space="0" w:color="A6A6A6"/>
            </w:tcBorders>
            <w:hideMark/>
          </w:tcPr>
          <w:p w14:paraId="33D5E2B6" w14:textId="77777777" w:rsidR="005F4A7E" w:rsidRPr="002029AF" w:rsidRDefault="005F4A7E" w:rsidP="00130D1C">
            <w:pPr>
              <w:pStyle w:val="ARfintablebody"/>
              <w:keepNext/>
              <w:spacing w:before="30" w:line="240" w:lineRule="auto"/>
            </w:pPr>
            <w:r w:rsidRPr="00833A02">
              <w:t>Transfers to provision for equity reduction</w:t>
            </w:r>
          </w:p>
        </w:tc>
        <w:tc>
          <w:tcPr>
            <w:tcW w:w="1077" w:type="dxa"/>
            <w:tcBorders>
              <w:top w:val="single" w:sz="4" w:space="0" w:color="A6A6A6"/>
              <w:bottom w:val="single" w:sz="4" w:space="0" w:color="A6A6A6"/>
            </w:tcBorders>
            <w:noWrap/>
            <w:hideMark/>
          </w:tcPr>
          <w:p w14:paraId="2F67389C" w14:textId="77777777" w:rsidR="005F4A7E" w:rsidRPr="002029AF" w:rsidRDefault="005F4A7E" w:rsidP="00130D1C">
            <w:pPr>
              <w:pStyle w:val="ARfintablebodyright"/>
              <w:spacing w:before="30" w:line="240" w:lineRule="auto"/>
            </w:pPr>
            <w:r w:rsidRPr="00833A02">
              <w:t>(0.2)</w:t>
            </w:r>
          </w:p>
        </w:tc>
        <w:tc>
          <w:tcPr>
            <w:tcW w:w="1077" w:type="dxa"/>
            <w:tcBorders>
              <w:top w:val="single" w:sz="4" w:space="0" w:color="A6A6A6"/>
              <w:bottom w:val="single" w:sz="4" w:space="0" w:color="A6A6A6"/>
            </w:tcBorders>
            <w:noWrap/>
            <w:hideMark/>
          </w:tcPr>
          <w:p w14:paraId="25F38001" w14:textId="77777777" w:rsidR="005F4A7E" w:rsidRPr="002029AF" w:rsidRDefault="005F4A7E" w:rsidP="00130D1C">
            <w:pPr>
              <w:pStyle w:val="ARfintablebodyright"/>
              <w:spacing w:before="30" w:line="240" w:lineRule="auto"/>
            </w:pPr>
            <w:r w:rsidRPr="00833A02">
              <w:t>(0.1)</w:t>
            </w:r>
          </w:p>
        </w:tc>
        <w:tc>
          <w:tcPr>
            <w:tcW w:w="1077" w:type="dxa"/>
            <w:tcBorders>
              <w:top w:val="single" w:sz="4" w:space="0" w:color="A6A6A6"/>
              <w:bottom w:val="single" w:sz="4" w:space="0" w:color="A6A6A6"/>
            </w:tcBorders>
            <w:noWrap/>
            <w:hideMark/>
          </w:tcPr>
          <w:p w14:paraId="09827D35" w14:textId="77777777" w:rsidR="005F4A7E" w:rsidRPr="002029AF" w:rsidRDefault="005F4A7E" w:rsidP="00130D1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6E0A21BC" w14:textId="77777777" w:rsidR="005F4A7E" w:rsidRPr="002029AF" w:rsidRDefault="005F4A7E" w:rsidP="00130D1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15BD0E14" w14:textId="77777777" w:rsidR="005F4A7E" w:rsidRPr="002029AF" w:rsidRDefault="005F4A7E" w:rsidP="00130D1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10D1D495" w14:textId="77777777" w:rsidR="005F4A7E" w:rsidRPr="002029AF" w:rsidRDefault="005F4A7E" w:rsidP="00130D1C">
            <w:pPr>
              <w:pStyle w:val="ARfintablebodyright"/>
              <w:spacing w:before="30" w:line="240" w:lineRule="auto"/>
            </w:pPr>
            <w:r w:rsidRPr="00833A02">
              <w:t>(0.2)</w:t>
            </w:r>
          </w:p>
        </w:tc>
      </w:tr>
      <w:tr w:rsidR="005F4A7E" w:rsidRPr="002029AF" w14:paraId="297DB9BF" w14:textId="77777777" w:rsidTr="00130D1C">
        <w:trPr>
          <w:trHeight w:val="255"/>
        </w:trPr>
        <w:tc>
          <w:tcPr>
            <w:tcW w:w="3175" w:type="dxa"/>
            <w:tcBorders>
              <w:top w:val="single" w:sz="4" w:space="0" w:color="A6A6A6"/>
              <w:bottom w:val="single" w:sz="4" w:space="0" w:color="A6A6A6"/>
            </w:tcBorders>
            <w:hideMark/>
          </w:tcPr>
          <w:p w14:paraId="76F6CAC6" w14:textId="77777777" w:rsidR="005F4A7E" w:rsidRPr="002029AF" w:rsidRDefault="005F4A7E" w:rsidP="00130D1C">
            <w:pPr>
              <w:pStyle w:val="ARfintablebody"/>
              <w:spacing w:before="30" w:line="240" w:lineRule="auto"/>
            </w:pPr>
            <w:r w:rsidRPr="00833A02">
              <w:t>Transfers (to)/from assets held for sale</w:t>
            </w:r>
          </w:p>
        </w:tc>
        <w:tc>
          <w:tcPr>
            <w:tcW w:w="1077" w:type="dxa"/>
            <w:tcBorders>
              <w:top w:val="single" w:sz="4" w:space="0" w:color="A6A6A6"/>
              <w:bottom w:val="single" w:sz="4" w:space="0" w:color="A6A6A6"/>
            </w:tcBorders>
            <w:noWrap/>
            <w:hideMark/>
          </w:tcPr>
          <w:p w14:paraId="74CE1758" w14:textId="77777777" w:rsidR="005F4A7E" w:rsidRPr="002029AF" w:rsidRDefault="005F4A7E" w:rsidP="00130D1C">
            <w:pPr>
              <w:pStyle w:val="ARfintablebodyright"/>
              <w:spacing w:before="30" w:line="240" w:lineRule="auto"/>
            </w:pPr>
            <w:r w:rsidRPr="00833A02">
              <w:t>0.5</w:t>
            </w:r>
          </w:p>
        </w:tc>
        <w:tc>
          <w:tcPr>
            <w:tcW w:w="1077" w:type="dxa"/>
            <w:tcBorders>
              <w:top w:val="single" w:sz="4" w:space="0" w:color="A6A6A6"/>
              <w:bottom w:val="single" w:sz="4" w:space="0" w:color="A6A6A6"/>
            </w:tcBorders>
            <w:noWrap/>
            <w:hideMark/>
          </w:tcPr>
          <w:p w14:paraId="21629045" w14:textId="77777777" w:rsidR="005F4A7E" w:rsidRPr="002029AF" w:rsidRDefault="005F4A7E" w:rsidP="00130D1C">
            <w:pPr>
              <w:pStyle w:val="ARfintablebodyright"/>
              <w:spacing w:before="30" w:line="240" w:lineRule="auto"/>
            </w:pPr>
            <w:r w:rsidRPr="00833A02">
              <w:t>(4.4)</w:t>
            </w:r>
          </w:p>
        </w:tc>
        <w:tc>
          <w:tcPr>
            <w:tcW w:w="1077" w:type="dxa"/>
            <w:tcBorders>
              <w:top w:val="single" w:sz="4" w:space="0" w:color="A6A6A6"/>
              <w:bottom w:val="single" w:sz="4" w:space="0" w:color="A6A6A6"/>
            </w:tcBorders>
            <w:noWrap/>
            <w:hideMark/>
          </w:tcPr>
          <w:p w14:paraId="5D455FEF" w14:textId="77777777" w:rsidR="005F4A7E" w:rsidRPr="002029AF" w:rsidRDefault="005F4A7E" w:rsidP="00130D1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497E4EDB" w14:textId="77777777" w:rsidR="005F4A7E" w:rsidRPr="002029AF" w:rsidRDefault="005F4A7E" w:rsidP="00130D1C">
            <w:pPr>
              <w:pStyle w:val="ARfintablebodyright"/>
              <w:spacing w:before="30" w:line="240" w:lineRule="auto"/>
            </w:pPr>
            <w:r w:rsidRPr="00833A02">
              <w:t>0.5</w:t>
            </w:r>
          </w:p>
        </w:tc>
        <w:tc>
          <w:tcPr>
            <w:tcW w:w="1077" w:type="dxa"/>
            <w:tcBorders>
              <w:top w:val="single" w:sz="4" w:space="0" w:color="A6A6A6"/>
              <w:bottom w:val="single" w:sz="4" w:space="0" w:color="A6A6A6"/>
            </w:tcBorders>
            <w:noWrap/>
            <w:hideMark/>
          </w:tcPr>
          <w:p w14:paraId="0DA40B24" w14:textId="77777777" w:rsidR="005F4A7E" w:rsidRPr="002029AF" w:rsidRDefault="005F4A7E" w:rsidP="00130D1C">
            <w:pPr>
              <w:pStyle w:val="ARfintablebodyright"/>
              <w:spacing w:before="30" w:line="240" w:lineRule="auto"/>
            </w:pPr>
            <w:r w:rsidRPr="00833A02">
              <w:t>–</w:t>
            </w:r>
          </w:p>
        </w:tc>
        <w:tc>
          <w:tcPr>
            <w:tcW w:w="1077" w:type="dxa"/>
            <w:tcBorders>
              <w:top w:val="single" w:sz="4" w:space="0" w:color="A6A6A6"/>
              <w:bottom w:val="single" w:sz="4" w:space="0" w:color="A6A6A6"/>
            </w:tcBorders>
            <w:noWrap/>
            <w:hideMark/>
          </w:tcPr>
          <w:p w14:paraId="694C26E9" w14:textId="77777777" w:rsidR="005F4A7E" w:rsidRPr="002029AF" w:rsidRDefault="005F4A7E" w:rsidP="00130D1C">
            <w:pPr>
              <w:pStyle w:val="ARfintablebodyright"/>
              <w:spacing w:before="30" w:line="240" w:lineRule="auto"/>
            </w:pPr>
            <w:r w:rsidRPr="00833A02">
              <w:t>(3.3)</w:t>
            </w:r>
          </w:p>
        </w:tc>
      </w:tr>
      <w:tr w:rsidR="005F4A7E" w:rsidRPr="002029AF" w14:paraId="48DEE278" w14:textId="77777777" w:rsidTr="00130D1C">
        <w:trPr>
          <w:trHeight w:val="255"/>
        </w:trPr>
        <w:tc>
          <w:tcPr>
            <w:tcW w:w="3175" w:type="dxa"/>
            <w:tcBorders>
              <w:top w:val="single" w:sz="4" w:space="0" w:color="A6A6A6"/>
            </w:tcBorders>
            <w:hideMark/>
          </w:tcPr>
          <w:p w14:paraId="574BACF3" w14:textId="77777777" w:rsidR="005F4A7E" w:rsidRPr="002029AF" w:rsidRDefault="005F4A7E" w:rsidP="00130D1C">
            <w:pPr>
              <w:pStyle w:val="ARfintablebody"/>
              <w:spacing w:before="30" w:line="240" w:lineRule="auto"/>
            </w:pPr>
            <w:r w:rsidRPr="00833A02">
              <w:t>Other changes</w:t>
            </w:r>
          </w:p>
        </w:tc>
        <w:tc>
          <w:tcPr>
            <w:tcW w:w="1077" w:type="dxa"/>
            <w:tcBorders>
              <w:top w:val="single" w:sz="4" w:space="0" w:color="A6A6A6"/>
            </w:tcBorders>
            <w:noWrap/>
            <w:hideMark/>
          </w:tcPr>
          <w:p w14:paraId="0D36DAF2" w14:textId="77777777" w:rsidR="005F4A7E" w:rsidRPr="002029AF" w:rsidRDefault="005F4A7E" w:rsidP="00130D1C">
            <w:pPr>
              <w:pStyle w:val="ARfintablebodyright"/>
              <w:spacing w:before="30" w:line="240" w:lineRule="auto"/>
            </w:pPr>
            <w:r w:rsidRPr="00833A02">
              <w:t>(1.1)</w:t>
            </w:r>
          </w:p>
        </w:tc>
        <w:tc>
          <w:tcPr>
            <w:tcW w:w="1077" w:type="dxa"/>
            <w:tcBorders>
              <w:top w:val="single" w:sz="4" w:space="0" w:color="A6A6A6"/>
            </w:tcBorders>
            <w:noWrap/>
            <w:hideMark/>
          </w:tcPr>
          <w:p w14:paraId="0C7A2246" w14:textId="77777777" w:rsidR="005F4A7E" w:rsidRPr="002029AF" w:rsidRDefault="005F4A7E" w:rsidP="00130D1C">
            <w:pPr>
              <w:pStyle w:val="ARfintablebodyright"/>
              <w:spacing w:before="30" w:line="240" w:lineRule="auto"/>
            </w:pPr>
            <w:r w:rsidRPr="00833A02">
              <w:t>29.0</w:t>
            </w:r>
          </w:p>
        </w:tc>
        <w:tc>
          <w:tcPr>
            <w:tcW w:w="1077" w:type="dxa"/>
            <w:tcBorders>
              <w:top w:val="single" w:sz="4" w:space="0" w:color="A6A6A6"/>
            </w:tcBorders>
            <w:noWrap/>
            <w:hideMark/>
          </w:tcPr>
          <w:p w14:paraId="44819F49" w14:textId="77777777" w:rsidR="005F4A7E" w:rsidRPr="002029AF" w:rsidRDefault="005F4A7E" w:rsidP="00130D1C">
            <w:pPr>
              <w:pStyle w:val="ARfintablebodyright"/>
              <w:spacing w:before="30" w:line="240" w:lineRule="auto"/>
            </w:pPr>
            <w:r w:rsidRPr="00833A02">
              <w:t>2.1</w:t>
            </w:r>
          </w:p>
        </w:tc>
        <w:tc>
          <w:tcPr>
            <w:tcW w:w="1077" w:type="dxa"/>
            <w:tcBorders>
              <w:top w:val="single" w:sz="4" w:space="0" w:color="A6A6A6"/>
            </w:tcBorders>
            <w:noWrap/>
            <w:hideMark/>
          </w:tcPr>
          <w:p w14:paraId="3BC894C7" w14:textId="77777777" w:rsidR="005F4A7E" w:rsidRPr="002029AF" w:rsidRDefault="005F4A7E" w:rsidP="00130D1C">
            <w:pPr>
              <w:pStyle w:val="ARfintablebodyright"/>
              <w:spacing w:before="30" w:line="240" w:lineRule="auto"/>
            </w:pPr>
            <w:r w:rsidRPr="00833A02">
              <w:t>–</w:t>
            </w:r>
          </w:p>
        </w:tc>
        <w:tc>
          <w:tcPr>
            <w:tcW w:w="1077" w:type="dxa"/>
            <w:tcBorders>
              <w:top w:val="single" w:sz="4" w:space="0" w:color="A6A6A6"/>
            </w:tcBorders>
            <w:noWrap/>
            <w:hideMark/>
          </w:tcPr>
          <w:p w14:paraId="1900674B" w14:textId="77777777" w:rsidR="005F4A7E" w:rsidRPr="002029AF" w:rsidRDefault="005F4A7E" w:rsidP="00130D1C">
            <w:pPr>
              <w:pStyle w:val="ARfintablebodyright"/>
              <w:spacing w:before="30" w:line="240" w:lineRule="auto"/>
            </w:pPr>
            <w:r w:rsidRPr="00833A02">
              <w:t>0.5</w:t>
            </w:r>
          </w:p>
        </w:tc>
        <w:tc>
          <w:tcPr>
            <w:tcW w:w="1077" w:type="dxa"/>
            <w:tcBorders>
              <w:top w:val="single" w:sz="4" w:space="0" w:color="A6A6A6"/>
            </w:tcBorders>
            <w:noWrap/>
            <w:hideMark/>
          </w:tcPr>
          <w:p w14:paraId="3F876949" w14:textId="77777777" w:rsidR="005F4A7E" w:rsidRPr="002029AF" w:rsidRDefault="005F4A7E" w:rsidP="00130D1C">
            <w:pPr>
              <w:pStyle w:val="ARfintablebodyright"/>
              <w:spacing w:before="30" w:line="240" w:lineRule="auto"/>
            </w:pPr>
            <w:r w:rsidRPr="00833A02">
              <w:t>30.5</w:t>
            </w:r>
          </w:p>
        </w:tc>
      </w:tr>
      <w:tr w:rsidR="005F4A7E" w:rsidRPr="002029AF" w14:paraId="58C967ED" w14:textId="77777777" w:rsidTr="00130D1C">
        <w:trPr>
          <w:trHeight w:val="255"/>
        </w:trPr>
        <w:tc>
          <w:tcPr>
            <w:tcW w:w="3175" w:type="dxa"/>
            <w:hideMark/>
          </w:tcPr>
          <w:p w14:paraId="29A30457" w14:textId="77777777" w:rsidR="005F4A7E" w:rsidRPr="002029AF" w:rsidRDefault="005F4A7E" w:rsidP="00130D1C">
            <w:pPr>
              <w:pStyle w:val="ARfintablebodybold"/>
              <w:spacing w:before="30" w:line="240" w:lineRule="auto"/>
            </w:pPr>
            <w:r w:rsidRPr="00833A02">
              <w:t>Balance at 30 June 2021</w:t>
            </w:r>
          </w:p>
        </w:tc>
        <w:tc>
          <w:tcPr>
            <w:tcW w:w="1077" w:type="dxa"/>
            <w:noWrap/>
            <w:hideMark/>
          </w:tcPr>
          <w:p w14:paraId="6DEA42E9" w14:textId="77777777" w:rsidR="005F4A7E" w:rsidRPr="002029AF" w:rsidRDefault="005F4A7E" w:rsidP="00130D1C">
            <w:pPr>
              <w:pStyle w:val="ARfintablebodyrightbold"/>
              <w:spacing w:before="30" w:line="240" w:lineRule="auto"/>
            </w:pPr>
            <w:r w:rsidRPr="00833A02">
              <w:t>23,079.2</w:t>
            </w:r>
          </w:p>
        </w:tc>
        <w:tc>
          <w:tcPr>
            <w:tcW w:w="1077" w:type="dxa"/>
            <w:noWrap/>
            <w:hideMark/>
          </w:tcPr>
          <w:p w14:paraId="4F15E585" w14:textId="77777777" w:rsidR="005F4A7E" w:rsidRPr="002029AF" w:rsidRDefault="005F4A7E" w:rsidP="00130D1C">
            <w:pPr>
              <w:pStyle w:val="ARfintablebodyrightbold"/>
              <w:spacing w:before="30" w:line="240" w:lineRule="auto"/>
            </w:pPr>
            <w:r w:rsidRPr="00833A02">
              <w:t>9,746.6</w:t>
            </w:r>
          </w:p>
        </w:tc>
        <w:tc>
          <w:tcPr>
            <w:tcW w:w="1077" w:type="dxa"/>
            <w:noWrap/>
            <w:hideMark/>
          </w:tcPr>
          <w:p w14:paraId="16130958" w14:textId="77777777" w:rsidR="005F4A7E" w:rsidRPr="002029AF" w:rsidRDefault="005F4A7E" w:rsidP="00130D1C">
            <w:pPr>
              <w:pStyle w:val="ARfintablebodyrightbold"/>
              <w:spacing w:before="30" w:line="240" w:lineRule="auto"/>
            </w:pPr>
            <w:r w:rsidRPr="00833A02">
              <w:t>6.3</w:t>
            </w:r>
          </w:p>
        </w:tc>
        <w:tc>
          <w:tcPr>
            <w:tcW w:w="1077" w:type="dxa"/>
            <w:noWrap/>
            <w:hideMark/>
          </w:tcPr>
          <w:p w14:paraId="735A2944" w14:textId="77777777" w:rsidR="005F4A7E" w:rsidRPr="002029AF" w:rsidRDefault="005F4A7E" w:rsidP="00130D1C">
            <w:pPr>
              <w:pStyle w:val="ARfintablebodyrightbold"/>
              <w:spacing w:before="30" w:line="240" w:lineRule="auto"/>
            </w:pPr>
            <w:r w:rsidRPr="00833A02">
              <w:t>26.5</w:t>
            </w:r>
          </w:p>
        </w:tc>
        <w:tc>
          <w:tcPr>
            <w:tcW w:w="1077" w:type="dxa"/>
            <w:noWrap/>
            <w:hideMark/>
          </w:tcPr>
          <w:p w14:paraId="64EE0DA9" w14:textId="77777777" w:rsidR="005F4A7E" w:rsidRPr="002029AF" w:rsidRDefault="005F4A7E" w:rsidP="00130D1C">
            <w:pPr>
              <w:pStyle w:val="ARfintablebodyrightbold"/>
              <w:spacing w:before="30" w:line="240" w:lineRule="auto"/>
            </w:pPr>
            <w:r w:rsidRPr="00833A02">
              <w:t>906.0</w:t>
            </w:r>
          </w:p>
        </w:tc>
        <w:tc>
          <w:tcPr>
            <w:tcW w:w="1077" w:type="dxa"/>
            <w:noWrap/>
            <w:hideMark/>
          </w:tcPr>
          <w:p w14:paraId="1B8F0542" w14:textId="77777777" w:rsidR="005F4A7E" w:rsidRPr="002029AF" w:rsidRDefault="005F4A7E" w:rsidP="00130D1C">
            <w:pPr>
              <w:pStyle w:val="ARfintablebodyrightbold"/>
              <w:spacing w:before="30" w:line="240" w:lineRule="auto"/>
            </w:pPr>
            <w:r w:rsidRPr="00833A02">
              <w:t>33,764.5</w:t>
            </w:r>
          </w:p>
        </w:tc>
      </w:tr>
    </w:tbl>
    <w:p w14:paraId="41A4DCB8" w14:textId="77777777" w:rsidR="005F4A7E" w:rsidRPr="009B76F6" w:rsidRDefault="005F4A7E" w:rsidP="00130D1C">
      <w:pPr>
        <w:pStyle w:val="ARbodynospace"/>
        <w:rPr>
          <w:lang w:eastAsia="en-AU"/>
        </w:rPr>
      </w:pPr>
    </w:p>
    <w:tbl>
      <w:tblPr>
        <w:tblStyle w:val="TableGrid"/>
        <w:tblW w:w="9637" w:type="dxa"/>
        <w:tblLayout w:type="fixed"/>
        <w:tblCellMar>
          <w:right w:w="0" w:type="dxa"/>
        </w:tblCellMar>
        <w:tblLook w:val="06A0" w:firstRow="1" w:lastRow="0" w:firstColumn="1" w:lastColumn="0" w:noHBand="1" w:noVBand="1"/>
      </w:tblPr>
      <w:tblGrid>
        <w:gridCol w:w="3175"/>
        <w:gridCol w:w="1077"/>
        <w:gridCol w:w="1077"/>
        <w:gridCol w:w="1077"/>
        <w:gridCol w:w="1077"/>
        <w:gridCol w:w="1077"/>
        <w:gridCol w:w="1077"/>
      </w:tblGrid>
      <w:tr w:rsidR="005F4A7E" w:rsidRPr="002029AF" w14:paraId="66AF90C0"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3175" w:type="dxa"/>
            <w:tcBorders>
              <w:bottom w:val="single" w:sz="4" w:space="0" w:color="auto"/>
            </w:tcBorders>
            <w:hideMark/>
          </w:tcPr>
          <w:p w14:paraId="6CB44EB7" w14:textId="77777777" w:rsidR="005F4A7E" w:rsidRPr="002029AF" w:rsidRDefault="005F4A7E" w:rsidP="00130D1C">
            <w:pPr>
              <w:pStyle w:val="ARfintablecolhead"/>
              <w:spacing w:before="30" w:line="228" w:lineRule="auto"/>
            </w:pPr>
            <w:r>
              <w:t>2020</w:t>
            </w:r>
          </w:p>
        </w:tc>
        <w:tc>
          <w:tcPr>
            <w:tcW w:w="1077" w:type="dxa"/>
            <w:tcBorders>
              <w:bottom w:val="single" w:sz="4" w:space="0" w:color="auto"/>
            </w:tcBorders>
            <w:hideMark/>
          </w:tcPr>
          <w:p w14:paraId="5C3CB472" w14:textId="77777777" w:rsidR="005F4A7E" w:rsidRPr="002029AF" w:rsidRDefault="005F4A7E" w:rsidP="00130D1C">
            <w:pPr>
              <w:pStyle w:val="ARfintablecolheadright"/>
              <w:spacing w:before="30" w:line="228" w:lineRule="auto"/>
            </w:pPr>
            <w:r w:rsidRPr="002029AF">
              <w:t>Land at fair value</w:t>
            </w:r>
          </w:p>
          <w:p w14:paraId="1FE35DE5" w14:textId="77777777" w:rsidR="005F4A7E" w:rsidRPr="002029AF" w:rsidRDefault="005F4A7E" w:rsidP="00130D1C">
            <w:pPr>
              <w:pStyle w:val="ARfintablecolheadright"/>
              <w:spacing w:before="30" w:line="228" w:lineRule="auto"/>
            </w:pPr>
            <w:r w:rsidRPr="002029AF">
              <w:t>$M</w:t>
            </w:r>
          </w:p>
        </w:tc>
        <w:tc>
          <w:tcPr>
            <w:tcW w:w="1077" w:type="dxa"/>
            <w:tcBorders>
              <w:bottom w:val="single" w:sz="4" w:space="0" w:color="auto"/>
            </w:tcBorders>
            <w:hideMark/>
          </w:tcPr>
          <w:p w14:paraId="7095E3EB" w14:textId="77777777" w:rsidR="005F4A7E" w:rsidRPr="002029AF" w:rsidRDefault="005F4A7E" w:rsidP="00130D1C">
            <w:pPr>
              <w:pStyle w:val="ARfintablecolheadright"/>
              <w:spacing w:before="30" w:line="228" w:lineRule="auto"/>
            </w:pPr>
            <w:r w:rsidRPr="002029AF">
              <w:t>Buildings at fair value</w:t>
            </w:r>
          </w:p>
          <w:p w14:paraId="4155A462" w14:textId="77777777" w:rsidR="005F4A7E" w:rsidRPr="002029AF" w:rsidRDefault="005F4A7E" w:rsidP="00130D1C">
            <w:pPr>
              <w:pStyle w:val="ARfintablecolheadright"/>
              <w:spacing w:before="30" w:line="228" w:lineRule="auto"/>
            </w:pPr>
            <w:r w:rsidRPr="002029AF">
              <w:t>$M</w:t>
            </w:r>
          </w:p>
        </w:tc>
        <w:tc>
          <w:tcPr>
            <w:tcW w:w="1077" w:type="dxa"/>
            <w:tcBorders>
              <w:bottom w:val="single" w:sz="4" w:space="0" w:color="auto"/>
            </w:tcBorders>
            <w:hideMark/>
          </w:tcPr>
          <w:p w14:paraId="0D9020BE" w14:textId="77777777" w:rsidR="005F4A7E" w:rsidRPr="002029AF" w:rsidRDefault="005F4A7E" w:rsidP="00130D1C">
            <w:pPr>
              <w:pStyle w:val="ARfintablecolheadright"/>
              <w:spacing w:before="30" w:line="228" w:lineRule="auto"/>
            </w:pPr>
            <w:r w:rsidRPr="002029AF">
              <w:t>Plant, equipment and vehicles at fair value</w:t>
            </w:r>
          </w:p>
          <w:p w14:paraId="6D44C408" w14:textId="77777777" w:rsidR="005F4A7E" w:rsidRPr="002029AF" w:rsidRDefault="005F4A7E" w:rsidP="00130D1C">
            <w:pPr>
              <w:pStyle w:val="ARfintablecolheadright"/>
              <w:spacing w:before="30" w:line="228" w:lineRule="auto"/>
            </w:pPr>
            <w:r w:rsidRPr="002029AF">
              <w:t>$M</w:t>
            </w:r>
          </w:p>
        </w:tc>
        <w:tc>
          <w:tcPr>
            <w:tcW w:w="1077" w:type="dxa"/>
            <w:tcBorders>
              <w:bottom w:val="single" w:sz="4" w:space="0" w:color="auto"/>
            </w:tcBorders>
            <w:hideMark/>
          </w:tcPr>
          <w:p w14:paraId="02214ACA" w14:textId="77777777" w:rsidR="005F4A7E" w:rsidRPr="002029AF" w:rsidRDefault="005F4A7E" w:rsidP="00130D1C">
            <w:pPr>
              <w:pStyle w:val="ARfintablecolheadright"/>
              <w:spacing w:before="30" w:line="228" w:lineRule="auto"/>
            </w:pPr>
            <w:r w:rsidRPr="002029AF">
              <w:t>Motor vehicles at fair value</w:t>
            </w:r>
          </w:p>
          <w:p w14:paraId="523EDFCE" w14:textId="77777777" w:rsidR="005F4A7E" w:rsidRPr="002029AF" w:rsidRDefault="005F4A7E" w:rsidP="00130D1C">
            <w:pPr>
              <w:pStyle w:val="ARfintablecolheadright"/>
              <w:spacing w:before="30" w:line="228" w:lineRule="auto"/>
            </w:pPr>
            <w:r w:rsidRPr="002029AF">
              <w:t>$M</w:t>
            </w:r>
          </w:p>
        </w:tc>
        <w:tc>
          <w:tcPr>
            <w:tcW w:w="1077" w:type="dxa"/>
            <w:tcBorders>
              <w:bottom w:val="single" w:sz="4" w:space="0" w:color="auto"/>
            </w:tcBorders>
            <w:hideMark/>
          </w:tcPr>
          <w:p w14:paraId="511CB30F" w14:textId="77777777" w:rsidR="005F4A7E" w:rsidRPr="002029AF" w:rsidRDefault="005F4A7E" w:rsidP="00130D1C">
            <w:pPr>
              <w:pStyle w:val="ARfintablecolheadright"/>
              <w:spacing w:before="30" w:line="228" w:lineRule="auto"/>
            </w:pPr>
            <w:r w:rsidRPr="002029AF">
              <w:t>Assets under construc-tion at cost</w:t>
            </w:r>
          </w:p>
          <w:p w14:paraId="550E3365" w14:textId="77777777" w:rsidR="005F4A7E" w:rsidRPr="002029AF" w:rsidRDefault="005F4A7E" w:rsidP="00130D1C">
            <w:pPr>
              <w:pStyle w:val="ARfintablecolheadright"/>
              <w:spacing w:before="30" w:line="228" w:lineRule="auto"/>
            </w:pPr>
            <w:r w:rsidRPr="002029AF">
              <w:t>$M</w:t>
            </w:r>
          </w:p>
        </w:tc>
        <w:tc>
          <w:tcPr>
            <w:tcW w:w="1077" w:type="dxa"/>
            <w:tcBorders>
              <w:bottom w:val="single" w:sz="4" w:space="0" w:color="auto"/>
            </w:tcBorders>
            <w:hideMark/>
          </w:tcPr>
          <w:p w14:paraId="1CD68794" w14:textId="77777777" w:rsidR="005F4A7E" w:rsidRPr="002029AF" w:rsidRDefault="005F4A7E" w:rsidP="00130D1C">
            <w:pPr>
              <w:pStyle w:val="ARfintablecolheadright"/>
              <w:spacing w:before="30" w:line="228" w:lineRule="auto"/>
            </w:pPr>
            <w:r w:rsidRPr="002029AF">
              <w:t>Total</w:t>
            </w:r>
          </w:p>
          <w:p w14:paraId="6D1C0318" w14:textId="77777777" w:rsidR="005F4A7E" w:rsidRPr="002029AF" w:rsidRDefault="005F4A7E" w:rsidP="00130D1C">
            <w:pPr>
              <w:pStyle w:val="ARfintablecolheadright"/>
              <w:spacing w:before="30" w:line="228" w:lineRule="auto"/>
            </w:pPr>
            <w:r w:rsidRPr="002029AF">
              <w:t>$M</w:t>
            </w:r>
          </w:p>
        </w:tc>
      </w:tr>
      <w:tr w:rsidR="005F4A7E" w:rsidRPr="002029AF" w14:paraId="2F30B894" w14:textId="77777777" w:rsidTr="00860E95">
        <w:tc>
          <w:tcPr>
            <w:tcW w:w="3175" w:type="dxa"/>
            <w:tcBorders>
              <w:top w:val="single" w:sz="4" w:space="0" w:color="auto"/>
              <w:bottom w:val="single" w:sz="4" w:space="0" w:color="A6A6A6"/>
            </w:tcBorders>
            <w:hideMark/>
          </w:tcPr>
          <w:p w14:paraId="7850F847" w14:textId="77777777" w:rsidR="005F4A7E" w:rsidRPr="002029AF" w:rsidRDefault="005F4A7E" w:rsidP="00130D1C">
            <w:pPr>
              <w:pStyle w:val="ARfintablebodybold"/>
              <w:spacing w:before="30" w:line="240" w:lineRule="auto"/>
            </w:pPr>
            <w:r w:rsidRPr="00834B3B">
              <w:t>Balance at 1 July 2019</w:t>
            </w:r>
          </w:p>
        </w:tc>
        <w:tc>
          <w:tcPr>
            <w:tcW w:w="1077" w:type="dxa"/>
            <w:tcBorders>
              <w:top w:val="single" w:sz="4" w:space="0" w:color="auto"/>
              <w:bottom w:val="single" w:sz="4" w:space="0" w:color="A6A6A6"/>
            </w:tcBorders>
            <w:noWrap/>
            <w:hideMark/>
          </w:tcPr>
          <w:p w14:paraId="5551B686" w14:textId="77777777" w:rsidR="005F4A7E" w:rsidRPr="002029AF" w:rsidRDefault="005F4A7E" w:rsidP="00130D1C">
            <w:pPr>
              <w:pStyle w:val="ARfintablebodyrightbold"/>
              <w:spacing w:before="30" w:line="240" w:lineRule="auto"/>
            </w:pPr>
            <w:r w:rsidRPr="00834B3B">
              <w:t>18,514.9</w:t>
            </w:r>
          </w:p>
        </w:tc>
        <w:tc>
          <w:tcPr>
            <w:tcW w:w="1077" w:type="dxa"/>
            <w:tcBorders>
              <w:top w:val="single" w:sz="4" w:space="0" w:color="auto"/>
              <w:bottom w:val="single" w:sz="4" w:space="0" w:color="A6A6A6"/>
            </w:tcBorders>
            <w:noWrap/>
            <w:hideMark/>
          </w:tcPr>
          <w:p w14:paraId="3AD420E6" w14:textId="77777777" w:rsidR="005F4A7E" w:rsidRPr="002029AF" w:rsidRDefault="005F4A7E" w:rsidP="00130D1C">
            <w:pPr>
              <w:pStyle w:val="ARfintablebodyrightbold"/>
              <w:spacing w:before="30" w:line="240" w:lineRule="auto"/>
            </w:pPr>
            <w:r w:rsidRPr="00834B3B">
              <w:t>9,797.6</w:t>
            </w:r>
          </w:p>
        </w:tc>
        <w:tc>
          <w:tcPr>
            <w:tcW w:w="1077" w:type="dxa"/>
            <w:tcBorders>
              <w:top w:val="single" w:sz="4" w:space="0" w:color="auto"/>
              <w:bottom w:val="single" w:sz="4" w:space="0" w:color="A6A6A6"/>
            </w:tcBorders>
            <w:noWrap/>
            <w:hideMark/>
          </w:tcPr>
          <w:p w14:paraId="76FEF8CF" w14:textId="77777777" w:rsidR="005F4A7E" w:rsidRPr="002029AF" w:rsidRDefault="005F4A7E" w:rsidP="00130D1C">
            <w:pPr>
              <w:pStyle w:val="ARfintablebodyrightbold"/>
              <w:spacing w:before="30" w:line="240" w:lineRule="auto"/>
            </w:pPr>
            <w:r w:rsidRPr="00834B3B">
              <w:t>11.6</w:t>
            </w:r>
          </w:p>
        </w:tc>
        <w:tc>
          <w:tcPr>
            <w:tcW w:w="1077" w:type="dxa"/>
            <w:tcBorders>
              <w:top w:val="single" w:sz="4" w:space="0" w:color="auto"/>
              <w:bottom w:val="single" w:sz="4" w:space="0" w:color="A6A6A6"/>
            </w:tcBorders>
            <w:noWrap/>
            <w:hideMark/>
          </w:tcPr>
          <w:p w14:paraId="2E9C1490" w14:textId="77777777" w:rsidR="005F4A7E" w:rsidRPr="002029AF" w:rsidRDefault="005F4A7E" w:rsidP="00130D1C">
            <w:pPr>
              <w:pStyle w:val="ARfintablebodyrightbold"/>
              <w:spacing w:before="30" w:line="240" w:lineRule="auto"/>
            </w:pPr>
            <w:r w:rsidRPr="00834B3B">
              <w:t>36.1</w:t>
            </w:r>
          </w:p>
        </w:tc>
        <w:tc>
          <w:tcPr>
            <w:tcW w:w="1077" w:type="dxa"/>
            <w:tcBorders>
              <w:top w:val="single" w:sz="4" w:space="0" w:color="auto"/>
              <w:bottom w:val="single" w:sz="4" w:space="0" w:color="A6A6A6"/>
            </w:tcBorders>
            <w:noWrap/>
            <w:hideMark/>
          </w:tcPr>
          <w:p w14:paraId="34CD996D" w14:textId="77777777" w:rsidR="005F4A7E" w:rsidRPr="002029AF" w:rsidRDefault="005F4A7E" w:rsidP="00130D1C">
            <w:pPr>
              <w:pStyle w:val="ARfintablebodyrightbold"/>
              <w:spacing w:before="30" w:line="240" w:lineRule="auto"/>
            </w:pPr>
            <w:r w:rsidRPr="00834B3B">
              <w:t>458.0</w:t>
            </w:r>
          </w:p>
        </w:tc>
        <w:tc>
          <w:tcPr>
            <w:tcW w:w="1077" w:type="dxa"/>
            <w:tcBorders>
              <w:top w:val="single" w:sz="4" w:space="0" w:color="auto"/>
              <w:bottom w:val="single" w:sz="4" w:space="0" w:color="A6A6A6"/>
            </w:tcBorders>
            <w:noWrap/>
            <w:hideMark/>
          </w:tcPr>
          <w:p w14:paraId="4E83BE84" w14:textId="77777777" w:rsidR="005F4A7E" w:rsidRPr="002029AF" w:rsidRDefault="005F4A7E" w:rsidP="00130D1C">
            <w:pPr>
              <w:pStyle w:val="ARfintablebodyrightbold"/>
              <w:spacing w:before="30" w:line="240" w:lineRule="auto"/>
            </w:pPr>
            <w:r w:rsidRPr="00834B3B">
              <w:t>28,818.2</w:t>
            </w:r>
          </w:p>
        </w:tc>
      </w:tr>
      <w:tr w:rsidR="005F4A7E" w:rsidRPr="002029AF" w14:paraId="25AD7A2D" w14:textId="77777777" w:rsidTr="00860E95">
        <w:tc>
          <w:tcPr>
            <w:tcW w:w="3175" w:type="dxa"/>
            <w:tcBorders>
              <w:top w:val="single" w:sz="4" w:space="0" w:color="A6A6A6"/>
              <w:bottom w:val="single" w:sz="4" w:space="0" w:color="A6A6A6"/>
            </w:tcBorders>
          </w:tcPr>
          <w:p w14:paraId="7B25CB72" w14:textId="77777777" w:rsidR="005F4A7E" w:rsidRPr="002029AF" w:rsidRDefault="005F4A7E" w:rsidP="00130D1C">
            <w:pPr>
              <w:pStyle w:val="ARfintablebody"/>
              <w:spacing w:before="30" w:line="240" w:lineRule="auto"/>
            </w:pPr>
            <w:r w:rsidRPr="00834B3B">
              <w:t>Recognition of right-of-use assets on initial application of AASB 16</w:t>
            </w:r>
          </w:p>
        </w:tc>
        <w:tc>
          <w:tcPr>
            <w:tcW w:w="1077" w:type="dxa"/>
            <w:tcBorders>
              <w:top w:val="single" w:sz="4" w:space="0" w:color="A6A6A6"/>
              <w:bottom w:val="single" w:sz="4" w:space="0" w:color="A6A6A6"/>
            </w:tcBorders>
            <w:noWrap/>
          </w:tcPr>
          <w:p w14:paraId="73FAD1C4" w14:textId="77777777" w:rsidR="005F4A7E" w:rsidRPr="002029AF" w:rsidRDefault="005F4A7E" w:rsidP="00130D1C">
            <w:pPr>
              <w:pStyle w:val="ARfintablebodyright"/>
              <w:spacing w:before="30" w:line="240" w:lineRule="auto"/>
            </w:pPr>
            <w:r w:rsidRPr="00834B3B">
              <w:t>11.5</w:t>
            </w:r>
          </w:p>
        </w:tc>
        <w:tc>
          <w:tcPr>
            <w:tcW w:w="1077" w:type="dxa"/>
            <w:tcBorders>
              <w:top w:val="single" w:sz="4" w:space="0" w:color="A6A6A6"/>
              <w:bottom w:val="single" w:sz="4" w:space="0" w:color="A6A6A6"/>
            </w:tcBorders>
            <w:noWrap/>
          </w:tcPr>
          <w:p w14:paraId="784E480E" w14:textId="77777777" w:rsidR="005F4A7E" w:rsidRPr="002029AF" w:rsidRDefault="005F4A7E" w:rsidP="00130D1C">
            <w:pPr>
              <w:pStyle w:val="ARfintablebodyright"/>
              <w:spacing w:before="30" w:line="240" w:lineRule="auto"/>
            </w:pPr>
            <w:r w:rsidRPr="00834B3B">
              <w:t>569.6</w:t>
            </w:r>
          </w:p>
        </w:tc>
        <w:tc>
          <w:tcPr>
            <w:tcW w:w="1077" w:type="dxa"/>
            <w:tcBorders>
              <w:top w:val="single" w:sz="4" w:space="0" w:color="A6A6A6"/>
              <w:bottom w:val="single" w:sz="4" w:space="0" w:color="A6A6A6"/>
            </w:tcBorders>
            <w:noWrap/>
          </w:tcPr>
          <w:p w14:paraId="6E2F4B07" w14:textId="77777777" w:rsidR="005F4A7E" w:rsidRPr="002029AF" w:rsidRDefault="005F4A7E" w:rsidP="00130D1C">
            <w:pPr>
              <w:pStyle w:val="ARfintablebodyright"/>
              <w:spacing w:before="30" w:line="240" w:lineRule="auto"/>
            </w:pPr>
            <w:r w:rsidRPr="00834B3B">
              <w:t>4.7</w:t>
            </w:r>
          </w:p>
        </w:tc>
        <w:tc>
          <w:tcPr>
            <w:tcW w:w="1077" w:type="dxa"/>
            <w:tcBorders>
              <w:top w:val="single" w:sz="4" w:space="0" w:color="A6A6A6"/>
              <w:bottom w:val="single" w:sz="4" w:space="0" w:color="A6A6A6"/>
            </w:tcBorders>
            <w:noWrap/>
          </w:tcPr>
          <w:p w14:paraId="275E34D2" w14:textId="77777777" w:rsidR="005F4A7E" w:rsidRPr="002029AF" w:rsidRDefault="005F4A7E" w:rsidP="00130D1C">
            <w:pPr>
              <w:pStyle w:val="ARfintablebodyright"/>
              <w:spacing w:before="30" w:line="240" w:lineRule="auto"/>
            </w:pPr>
            <w:r w:rsidRPr="00834B3B">
              <w:t>–</w:t>
            </w:r>
          </w:p>
        </w:tc>
        <w:tc>
          <w:tcPr>
            <w:tcW w:w="1077" w:type="dxa"/>
            <w:tcBorders>
              <w:top w:val="single" w:sz="4" w:space="0" w:color="A6A6A6"/>
              <w:bottom w:val="single" w:sz="4" w:space="0" w:color="A6A6A6"/>
            </w:tcBorders>
            <w:noWrap/>
          </w:tcPr>
          <w:p w14:paraId="641D17B5" w14:textId="77777777" w:rsidR="005F4A7E" w:rsidRPr="002029AF" w:rsidRDefault="005F4A7E" w:rsidP="00130D1C">
            <w:pPr>
              <w:pStyle w:val="ARfintablebodyright"/>
              <w:spacing w:before="30" w:line="240" w:lineRule="auto"/>
            </w:pPr>
            <w:r w:rsidRPr="00834B3B">
              <w:t>–</w:t>
            </w:r>
          </w:p>
        </w:tc>
        <w:tc>
          <w:tcPr>
            <w:tcW w:w="1077" w:type="dxa"/>
            <w:tcBorders>
              <w:top w:val="single" w:sz="4" w:space="0" w:color="A6A6A6"/>
              <w:bottom w:val="single" w:sz="4" w:space="0" w:color="A6A6A6"/>
            </w:tcBorders>
            <w:noWrap/>
          </w:tcPr>
          <w:p w14:paraId="4B23562B" w14:textId="77777777" w:rsidR="005F4A7E" w:rsidRPr="002029AF" w:rsidRDefault="005F4A7E" w:rsidP="00130D1C">
            <w:pPr>
              <w:pStyle w:val="ARfintablebodyright"/>
              <w:spacing w:before="30" w:line="240" w:lineRule="auto"/>
            </w:pPr>
            <w:r w:rsidRPr="00834B3B">
              <w:t>585.9</w:t>
            </w:r>
          </w:p>
        </w:tc>
      </w:tr>
      <w:tr w:rsidR="005F4A7E" w:rsidRPr="002029AF" w14:paraId="3628A8E1" w14:textId="77777777" w:rsidTr="00860E95">
        <w:tc>
          <w:tcPr>
            <w:tcW w:w="3175" w:type="dxa"/>
            <w:tcBorders>
              <w:top w:val="single" w:sz="4" w:space="0" w:color="A6A6A6"/>
              <w:bottom w:val="single" w:sz="4" w:space="0" w:color="A6A6A6"/>
            </w:tcBorders>
          </w:tcPr>
          <w:p w14:paraId="0B34DFED" w14:textId="77777777" w:rsidR="005F4A7E" w:rsidRPr="002029AF" w:rsidRDefault="005F4A7E" w:rsidP="00130D1C">
            <w:pPr>
              <w:pStyle w:val="ARfintablebodybold"/>
              <w:spacing w:before="30" w:line="240" w:lineRule="auto"/>
            </w:pPr>
            <w:r w:rsidRPr="00834B3B">
              <w:t>Adjusted balance at 1 July 2019</w:t>
            </w:r>
          </w:p>
        </w:tc>
        <w:tc>
          <w:tcPr>
            <w:tcW w:w="1077" w:type="dxa"/>
            <w:tcBorders>
              <w:top w:val="single" w:sz="4" w:space="0" w:color="A6A6A6"/>
              <w:bottom w:val="single" w:sz="4" w:space="0" w:color="A6A6A6"/>
            </w:tcBorders>
            <w:noWrap/>
          </w:tcPr>
          <w:p w14:paraId="067F36D5" w14:textId="77777777" w:rsidR="005F4A7E" w:rsidRPr="002029AF" w:rsidRDefault="005F4A7E" w:rsidP="00130D1C">
            <w:pPr>
              <w:pStyle w:val="ARfintablebodyrightbold"/>
              <w:spacing w:before="30" w:line="240" w:lineRule="auto"/>
            </w:pPr>
            <w:r w:rsidRPr="00834B3B">
              <w:t>18,526.4</w:t>
            </w:r>
          </w:p>
        </w:tc>
        <w:tc>
          <w:tcPr>
            <w:tcW w:w="1077" w:type="dxa"/>
            <w:tcBorders>
              <w:top w:val="single" w:sz="4" w:space="0" w:color="A6A6A6"/>
              <w:bottom w:val="single" w:sz="4" w:space="0" w:color="A6A6A6"/>
            </w:tcBorders>
            <w:noWrap/>
          </w:tcPr>
          <w:p w14:paraId="5967318A" w14:textId="77777777" w:rsidR="005F4A7E" w:rsidRPr="002029AF" w:rsidRDefault="005F4A7E" w:rsidP="00130D1C">
            <w:pPr>
              <w:pStyle w:val="ARfintablebodyrightbold"/>
              <w:spacing w:before="30" w:line="240" w:lineRule="auto"/>
            </w:pPr>
            <w:r w:rsidRPr="00834B3B">
              <w:t>10,367.2</w:t>
            </w:r>
          </w:p>
        </w:tc>
        <w:tc>
          <w:tcPr>
            <w:tcW w:w="1077" w:type="dxa"/>
            <w:tcBorders>
              <w:top w:val="single" w:sz="4" w:space="0" w:color="A6A6A6"/>
              <w:bottom w:val="single" w:sz="4" w:space="0" w:color="A6A6A6"/>
            </w:tcBorders>
            <w:noWrap/>
          </w:tcPr>
          <w:p w14:paraId="66E462C2" w14:textId="77777777" w:rsidR="005F4A7E" w:rsidRPr="002029AF" w:rsidRDefault="005F4A7E" w:rsidP="00130D1C">
            <w:pPr>
              <w:pStyle w:val="ARfintablebodyrightbold"/>
              <w:spacing w:before="30" w:line="240" w:lineRule="auto"/>
            </w:pPr>
            <w:r w:rsidRPr="00834B3B">
              <w:t>16.3</w:t>
            </w:r>
          </w:p>
        </w:tc>
        <w:tc>
          <w:tcPr>
            <w:tcW w:w="1077" w:type="dxa"/>
            <w:tcBorders>
              <w:top w:val="single" w:sz="4" w:space="0" w:color="A6A6A6"/>
              <w:bottom w:val="single" w:sz="4" w:space="0" w:color="A6A6A6"/>
            </w:tcBorders>
            <w:noWrap/>
          </w:tcPr>
          <w:p w14:paraId="62AD8E55" w14:textId="77777777" w:rsidR="005F4A7E" w:rsidRPr="002029AF" w:rsidRDefault="005F4A7E" w:rsidP="00130D1C">
            <w:pPr>
              <w:pStyle w:val="ARfintablebodyrightbold"/>
              <w:spacing w:before="30" w:line="240" w:lineRule="auto"/>
            </w:pPr>
            <w:r w:rsidRPr="00834B3B">
              <w:t>36.1</w:t>
            </w:r>
          </w:p>
        </w:tc>
        <w:tc>
          <w:tcPr>
            <w:tcW w:w="1077" w:type="dxa"/>
            <w:tcBorders>
              <w:top w:val="single" w:sz="4" w:space="0" w:color="A6A6A6"/>
              <w:bottom w:val="single" w:sz="4" w:space="0" w:color="A6A6A6"/>
            </w:tcBorders>
            <w:noWrap/>
          </w:tcPr>
          <w:p w14:paraId="373A3543" w14:textId="77777777" w:rsidR="005F4A7E" w:rsidRPr="002029AF" w:rsidRDefault="005F4A7E" w:rsidP="00130D1C">
            <w:pPr>
              <w:pStyle w:val="ARfintablebodyrightbold"/>
              <w:spacing w:before="30" w:line="240" w:lineRule="auto"/>
            </w:pPr>
            <w:r w:rsidRPr="00834B3B">
              <w:t>458.0</w:t>
            </w:r>
          </w:p>
        </w:tc>
        <w:tc>
          <w:tcPr>
            <w:tcW w:w="1077" w:type="dxa"/>
            <w:tcBorders>
              <w:top w:val="single" w:sz="4" w:space="0" w:color="A6A6A6"/>
              <w:bottom w:val="single" w:sz="4" w:space="0" w:color="A6A6A6"/>
            </w:tcBorders>
            <w:noWrap/>
          </w:tcPr>
          <w:p w14:paraId="4F1A11C6" w14:textId="77777777" w:rsidR="005F4A7E" w:rsidRPr="002029AF" w:rsidRDefault="005F4A7E" w:rsidP="00130D1C">
            <w:pPr>
              <w:pStyle w:val="ARfintablebodyrightbold"/>
              <w:spacing w:before="30" w:line="240" w:lineRule="auto"/>
            </w:pPr>
            <w:r w:rsidRPr="00834B3B">
              <w:t>29,404.1</w:t>
            </w:r>
          </w:p>
        </w:tc>
      </w:tr>
      <w:tr w:rsidR="005F4A7E" w:rsidRPr="002029AF" w14:paraId="229CC0F0" w14:textId="77777777" w:rsidTr="00860E95">
        <w:tc>
          <w:tcPr>
            <w:tcW w:w="3175" w:type="dxa"/>
            <w:tcBorders>
              <w:top w:val="single" w:sz="4" w:space="0" w:color="A6A6A6"/>
              <w:bottom w:val="single" w:sz="4" w:space="0" w:color="A6A6A6"/>
            </w:tcBorders>
            <w:hideMark/>
          </w:tcPr>
          <w:p w14:paraId="50E3924F" w14:textId="77777777" w:rsidR="005F4A7E" w:rsidRPr="002029AF" w:rsidRDefault="005F4A7E" w:rsidP="00130D1C">
            <w:pPr>
              <w:pStyle w:val="ARfintablebody"/>
              <w:spacing w:before="30" w:line="240" w:lineRule="auto"/>
            </w:pPr>
            <w:r w:rsidRPr="00834B3B">
              <w:t>Machinery of government transfer in/(out)</w:t>
            </w:r>
          </w:p>
        </w:tc>
        <w:tc>
          <w:tcPr>
            <w:tcW w:w="1077" w:type="dxa"/>
            <w:tcBorders>
              <w:top w:val="single" w:sz="4" w:space="0" w:color="A6A6A6"/>
              <w:bottom w:val="single" w:sz="4" w:space="0" w:color="A6A6A6"/>
            </w:tcBorders>
            <w:noWrap/>
            <w:hideMark/>
          </w:tcPr>
          <w:p w14:paraId="4570C0FB" w14:textId="77777777" w:rsidR="005F4A7E" w:rsidRPr="002029AF" w:rsidRDefault="005F4A7E" w:rsidP="00130D1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11A846B0" w14:textId="77777777" w:rsidR="005F4A7E" w:rsidRPr="002029AF" w:rsidRDefault="005F4A7E" w:rsidP="00130D1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7FAC77D2" w14:textId="77777777" w:rsidR="005F4A7E" w:rsidRPr="002029AF" w:rsidRDefault="005F4A7E" w:rsidP="00130D1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167DA1BC" w14:textId="77777777" w:rsidR="005F4A7E" w:rsidRPr="002029AF" w:rsidRDefault="005F4A7E" w:rsidP="00130D1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6CB2793E" w14:textId="77777777" w:rsidR="005F4A7E" w:rsidRPr="002029AF" w:rsidRDefault="005F4A7E" w:rsidP="00130D1C">
            <w:pPr>
              <w:pStyle w:val="ARfintablebodyright"/>
              <w:spacing w:before="30" w:line="240" w:lineRule="auto"/>
            </w:pPr>
            <w:r w:rsidRPr="00834B3B">
              <w:t>(0.8)</w:t>
            </w:r>
          </w:p>
        </w:tc>
        <w:tc>
          <w:tcPr>
            <w:tcW w:w="1077" w:type="dxa"/>
            <w:tcBorders>
              <w:top w:val="single" w:sz="4" w:space="0" w:color="A6A6A6"/>
              <w:bottom w:val="single" w:sz="4" w:space="0" w:color="A6A6A6"/>
            </w:tcBorders>
            <w:noWrap/>
            <w:hideMark/>
          </w:tcPr>
          <w:p w14:paraId="15E23876" w14:textId="77777777" w:rsidR="005F4A7E" w:rsidRPr="002029AF" w:rsidRDefault="005F4A7E" w:rsidP="00130D1C">
            <w:pPr>
              <w:pStyle w:val="ARfintablebodyright"/>
              <w:spacing w:before="30" w:line="240" w:lineRule="auto"/>
            </w:pPr>
            <w:r w:rsidRPr="00834B3B">
              <w:t>(0.8)</w:t>
            </w:r>
          </w:p>
        </w:tc>
      </w:tr>
      <w:tr w:rsidR="005F4A7E" w:rsidRPr="002029AF" w14:paraId="7709E0C5" w14:textId="77777777" w:rsidTr="00860E95">
        <w:tc>
          <w:tcPr>
            <w:tcW w:w="3175" w:type="dxa"/>
            <w:tcBorders>
              <w:top w:val="single" w:sz="4" w:space="0" w:color="A6A6A6"/>
              <w:bottom w:val="single" w:sz="4" w:space="0" w:color="A6A6A6"/>
            </w:tcBorders>
            <w:hideMark/>
          </w:tcPr>
          <w:p w14:paraId="72A28842" w14:textId="77777777" w:rsidR="005F4A7E" w:rsidRPr="002029AF" w:rsidRDefault="005F4A7E" w:rsidP="00130D1C">
            <w:pPr>
              <w:pStyle w:val="ARfintablebody"/>
              <w:spacing w:before="30" w:line="240" w:lineRule="auto"/>
            </w:pPr>
            <w:r w:rsidRPr="00834B3B">
              <w:t>Additions</w:t>
            </w:r>
          </w:p>
        </w:tc>
        <w:tc>
          <w:tcPr>
            <w:tcW w:w="1077" w:type="dxa"/>
            <w:tcBorders>
              <w:top w:val="single" w:sz="4" w:space="0" w:color="A6A6A6"/>
              <w:bottom w:val="single" w:sz="4" w:space="0" w:color="A6A6A6"/>
            </w:tcBorders>
            <w:noWrap/>
            <w:hideMark/>
          </w:tcPr>
          <w:p w14:paraId="60523A58" w14:textId="77777777" w:rsidR="005F4A7E" w:rsidRPr="002029AF" w:rsidRDefault="005F4A7E" w:rsidP="00130D1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4D95313D" w14:textId="77777777" w:rsidR="005F4A7E" w:rsidRPr="002029AF" w:rsidRDefault="005F4A7E" w:rsidP="00130D1C">
            <w:pPr>
              <w:pStyle w:val="ARfintablebodyright"/>
              <w:spacing w:before="30" w:line="240" w:lineRule="auto"/>
            </w:pPr>
            <w:r w:rsidRPr="00834B3B">
              <w:t>30.1</w:t>
            </w:r>
          </w:p>
        </w:tc>
        <w:tc>
          <w:tcPr>
            <w:tcW w:w="1077" w:type="dxa"/>
            <w:tcBorders>
              <w:top w:val="single" w:sz="4" w:space="0" w:color="A6A6A6"/>
              <w:bottom w:val="single" w:sz="4" w:space="0" w:color="A6A6A6"/>
            </w:tcBorders>
            <w:noWrap/>
            <w:hideMark/>
          </w:tcPr>
          <w:p w14:paraId="6F8EC0E2" w14:textId="77777777" w:rsidR="005F4A7E" w:rsidRPr="002029AF" w:rsidRDefault="005F4A7E" w:rsidP="00130D1C">
            <w:pPr>
              <w:pStyle w:val="ARfintablebodyright"/>
              <w:spacing w:before="30" w:line="240" w:lineRule="auto"/>
            </w:pPr>
            <w:r w:rsidRPr="00834B3B">
              <w:t>2.3</w:t>
            </w:r>
          </w:p>
        </w:tc>
        <w:tc>
          <w:tcPr>
            <w:tcW w:w="1077" w:type="dxa"/>
            <w:tcBorders>
              <w:top w:val="single" w:sz="4" w:space="0" w:color="A6A6A6"/>
              <w:bottom w:val="single" w:sz="4" w:space="0" w:color="A6A6A6"/>
            </w:tcBorders>
            <w:noWrap/>
            <w:hideMark/>
          </w:tcPr>
          <w:p w14:paraId="528A8221" w14:textId="77777777" w:rsidR="005F4A7E" w:rsidRPr="002029AF" w:rsidRDefault="005F4A7E" w:rsidP="00130D1C">
            <w:pPr>
              <w:pStyle w:val="ARfintablebodyright"/>
              <w:spacing w:before="30" w:line="240" w:lineRule="auto"/>
            </w:pPr>
            <w:r w:rsidRPr="00834B3B">
              <w:t>15.2</w:t>
            </w:r>
          </w:p>
        </w:tc>
        <w:tc>
          <w:tcPr>
            <w:tcW w:w="1077" w:type="dxa"/>
            <w:tcBorders>
              <w:top w:val="single" w:sz="4" w:space="0" w:color="A6A6A6"/>
              <w:bottom w:val="single" w:sz="4" w:space="0" w:color="A6A6A6"/>
            </w:tcBorders>
            <w:noWrap/>
            <w:hideMark/>
          </w:tcPr>
          <w:p w14:paraId="26AF18B6" w14:textId="77777777" w:rsidR="005F4A7E" w:rsidRPr="002029AF" w:rsidRDefault="005F4A7E" w:rsidP="00130D1C">
            <w:pPr>
              <w:pStyle w:val="ARfintablebodyright"/>
              <w:spacing w:before="30" w:line="240" w:lineRule="auto"/>
            </w:pPr>
            <w:r w:rsidRPr="00834B3B">
              <w:t>354.5</w:t>
            </w:r>
          </w:p>
        </w:tc>
        <w:tc>
          <w:tcPr>
            <w:tcW w:w="1077" w:type="dxa"/>
            <w:tcBorders>
              <w:top w:val="single" w:sz="4" w:space="0" w:color="A6A6A6"/>
              <w:bottom w:val="single" w:sz="4" w:space="0" w:color="A6A6A6"/>
            </w:tcBorders>
            <w:noWrap/>
            <w:hideMark/>
          </w:tcPr>
          <w:p w14:paraId="2653C719" w14:textId="77777777" w:rsidR="005F4A7E" w:rsidRPr="002029AF" w:rsidRDefault="005F4A7E" w:rsidP="00130D1C">
            <w:pPr>
              <w:pStyle w:val="ARfintablebodyright"/>
              <w:spacing w:before="30" w:line="240" w:lineRule="auto"/>
            </w:pPr>
            <w:r w:rsidRPr="00834B3B">
              <w:t>402.1</w:t>
            </w:r>
          </w:p>
        </w:tc>
      </w:tr>
      <w:tr w:rsidR="005F4A7E" w:rsidRPr="002029AF" w14:paraId="75608856" w14:textId="77777777" w:rsidTr="00860E95">
        <w:tc>
          <w:tcPr>
            <w:tcW w:w="3175" w:type="dxa"/>
            <w:tcBorders>
              <w:top w:val="single" w:sz="4" w:space="0" w:color="A6A6A6"/>
              <w:bottom w:val="single" w:sz="4" w:space="0" w:color="A6A6A6"/>
            </w:tcBorders>
            <w:hideMark/>
          </w:tcPr>
          <w:p w14:paraId="5100EBD6" w14:textId="77777777" w:rsidR="005F4A7E" w:rsidRPr="002029AF" w:rsidRDefault="005F4A7E" w:rsidP="00130D1C">
            <w:pPr>
              <w:pStyle w:val="ARfintablebody"/>
              <w:spacing w:before="30" w:line="240" w:lineRule="auto"/>
            </w:pPr>
            <w:r w:rsidRPr="00834B3B">
              <w:t>Administrative instrument transfers</w:t>
            </w:r>
          </w:p>
        </w:tc>
        <w:tc>
          <w:tcPr>
            <w:tcW w:w="1077" w:type="dxa"/>
            <w:tcBorders>
              <w:top w:val="single" w:sz="4" w:space="0" w:color="A6A6A6"/>
              <w:bottom w:val="single" w:sz="4" w:space="0" w:color="A6A6A6"/>
            </w:tcBorders>
            <w:noWrap/>
            <w:hideMark/>
          </w:tcPr>
          <w:p w14:paraId="2B645DC4" w14:textId="77777777" w:rsidR="005F4A7E" w:rsidRPr="002029AF" w:rsidRDefault="005F4A7E" w:rsidP="00130D1C">
            <w:pPr>
              <w:pStyle w:val="ARfintablebodyright"/>
              <w:spacing w:before="30" w:line="240" w:lineRule="auto"/>
            </w:pPr>
            <w:r w:rsidRPr="00834B3B">
              <w:t>7.0</w:t>
            </w:r>
          </w:p>
        </w:tc>
        <w:tc>
          <w:tcPr>
            <w:tcW w:w="1077" w:type="dxa"/>
            <w:tcBorders>
              <w:top w:val="single" w:sz="4" w:space="0" w:color="A6A6A6"/>
              <w:bottom w:val="single" w:sz="4" w:space="0" w:color="A6A6A6"/>
            </w:tcBorders>
            <w:noWrap/>
            <w:hideMark/>
          </w:tcPr>
          <w:p w14:paraId="446DE6B2" w14:textId="77777777" w:rsidR="005F4A7E" w:rsidRPr="002029AF" w:rsidRDefault="005F4A7E" w:rsidP="00130D1C">
            <w:pPr>
              <w:pStyle w:val="ARfintablebodyright"/>
              <w:spacing w:before="30" w:line="240" w:lineRule="auto"/>
            </w:pPr>
            <w:r w:rsidRPr="00834B3B">
              <w:t>(522.6)</w:t>
            </w:r>
          </w:p>
        </w:tc>
        <w:tc>
          <w:tcPr>
            <w:tcW w:w="1077" w:type="dxa"/>
            <w:tcBorders>
              <w:top w:val="single" w:sz="4" w:space="0" w:color="A6A6A6"/>
              <w:bottom w:val="single" w:sz="4" w:space="0" w:color="A6A6A6"/>
            </w:tcBorders>
            <w:noWrap/>
            <w:hideMark/>
          </w:tcPr>
          <w:p w14:paraId="473800DF" w14:textId="77777777" w:rsidR="005F4A7E" w:rsidRPr="002029AF" w:rsidRDefault="005F4A7E" w:rsidP="00130D1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4A864C6B" w14:textId="77777777" w:rsidR="005F4A7E" w:rsidRPr="002029AF" w:rsidRDefault="005F4A7E" w:rsidP="00130D1C">
            <w:pPr>
              <w:pStyle w:val="ARfintablebodyright"/>
              <w:spacing w:before="30" w:line="240" w:lineRule="auto"/>
            </w:pPr>
            <w:r w:rsidRPr="00834B3B">
              <w:t>(6.8)</w:t>
            </w:r>
          </w:p>
        </w:tc>
        <w:tc>
          <w:tcPr>
            <w:tcW w:w="1077" w:type="dxa"/>
            <w:tcBorders>
              <w:top w:val="single" w:sz="4" w:space="0" w:color="A6A6A6"/>
              <w:bottom w:val="single" w:sz="4" w:space="0" w:color="A6A6A6"/>
            </w:tcBorders>
            <w:noWrap/>
            <w:hideMark/>
          </w:tcPr>
          <w:p w14:paraId="1D2E83CF" w14:textId="77777777" w:rsidR="005F4A7E" w:rsidRPr="002029AF" w:rsidRDefault="005F4A7E" w:rsidP="00130D1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1C8354FF" w14:textId="77777777" w:rsidR="005F4A7E" w:rsidRPr="002029AF" w:rsidRDefault="005F4A7E" w:rsidP="00130D1C">
            <w:pPr>
              <w:pStyle w:val="ARfintablebodyright"/>
              <w:spacing w:before="30" w:line="240" w:lineRule="auto"/>
            </w:pPr>
            <w:r w:rsidRPr="00834B3B">
              <w:t>(522.4)</w:t>
            </w:r>
          </w:p>
        </w:tc>
      </w:tr>
      <w:tr w:rsidR="005F4A7E" w:rsidRPr="002029AF" w14:paraId="36AFA9E7" w14:textId="77777777" w:rsidTr="00860E95">
        <w:tc>
          <w:tcPr>
            <w:tcW w:w="3175" w:type="dxa"/>
            <w:tcBorders>
              <w:top w:val="single" w:sz="4" w:space="0" w:color="A6A6A6"/>
              <w:bottom w:val="single" w:sz="4" w:space="0" w:color="A6A6A6"/>
            </w:tcBorders>
            <w:hideMark/>
          </w:tcPr>
          <w:p w14:paraId="135B32F2" w14:textId="77777777" w:rsidR="005F4A7E" w:rsidRPr="002029AF" w:rsidRDefault="005F4A7E" w:rsidP="00130D1C">
            <w:pPr>
              <w:pStyle w:val="ARfintablebody"/>
              <w:spacing w:before="30" w:line="240" w:lineRule="auto"/>
            </w:pPr>
            <w:r w:rsidRPr="00834B3B">
              <w:t>Disposals</w:t>
            </w:r>
          </w:p>
        </w:tc>
        <w:tc>
          <w:tcPr>
            <w:tcW w:w="1077" w:type="dxa"/>
            <w:tcBorders>
              <w:top w:val="single" w:sz="4" w:space="0" w:color="A6A6A6"/>
              <w:bottom w:val="single" w:sz="4" w:space="0" w:color="A6A6A6"/>
            </w:tcBorders>
            <w:noWrap/>
            <w:hideMark/>
          </w:tcPr>
          <w:p w14:paraId="2CBE3061" w14:textId="77777777" w:rsidR="005F4A7E" w:rsidRPr="002029AF" w:rsidRDefault="005F4A7E" w:rsidP="00130D1C">
            <w:pPr>
              <w:pStyle w:val="ARfintablebodyright"/>
              <w:spacing w:before="30" w:line="240" w:lineRule="auto"/>
            </w:pPr>
            <w:r w:rsidRPr="00834B3B">
              <w:t>(19.7)</w:t>
            </w:r>
          </w:p>
        </w:tc>
        <w:tc>
          <w:tcPr>
            <w:tcW w:w="1077" w:type="dxa"/>
            <w:tcBorders>
              <w:top w:val="single" w:sz="4" w:space="0" w:color="A6A6A6"/>
              <w:bottom w:val="single" w:sz="4" w:space="0" w:color="A6A6A6"/>
            </w:tcBorders>
            <w:noWrap/>
            <w:hideMark/>
          </w:tcPr>
          <w:p w14:paraId="1752B123" w14:textId="77777777" w:rsidR="005F4A7E" w:rsidRPr="002029AF" w:rsidRDefault="005F4A7E" w:rsidP="00130D1C">
            <w:pPr>
              <w:pStyle w:val="ARfintablebodyright"/>
              <w:spacing w:before="30" w:line="240" w:lineRule="auto"/>
            </w:pPr>
            <w:r w:rsidRPr="00834B3B">
              <w:t>(50.7)</w:t>
            </w:r>
          </w:p>
        </w:tc>
        <w:tc>
          <w:tcPr>
            <w:tcW w:w="1077" w:type="dxa"/>
            <w:tcBorders>
              <w:top w:val="single" w:sz="4" w:space="0" w:color="A6A6A6"/>
              <w:bottom w:val="single" w:sz="4" w:space="0" w:color="A6A6A6"/>
            </w:tcBorders>
            <w:noWrap/>
            <w:hideMark/>
          </w:tcPr>
          <w:p w14:paraId="5A625285" w14:textId="77777777" w:rsidR="005F4A7E" w:rsidRPr="002029AF" w:rsidRDefault="005F4A7E" w:rsidP="00130D1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0904AB1C" w14:textId="77777777" w:rsidR="005F4A7E" w:rsidRPr="002029AF" w:rsidRDefault="005F4A7E" w:rsidP="00130D1C">
            <w:pPr>
              <w:pStyle w:val="ARfintablebodyright"/>
              <w:spacing w:before="30" w:line="240" w:lineRule="auto"/>
            </w:pPr>
            <w:r w:rsidRPr="00834B3B">
              <w:t>(7.3)</w:t>
            </w:r>
          </w:p>
        </w:tc>
        <w:tc>
          <w:tcPr>
            <w:tcW w:w="1077" w:type="dxa"/>
            <w:tcBorders>
              <w:top w:val="single" w:sz="4" w:space="0" w:color="A6A6A6"/>
              <w:bottom w:val="single" w:sz="4" w:space="0" w:color="A6A6A6"/>
            </w:tcBorders>
            <w:noWrap/>
            <w:hideMark/>
          </w:tcPr>
          <w:p w14:paraId="13250F24" w14:textId="77777777" w:rsidR="005F4A7E" w:rsidRPr="002029AF" w:rsidRDefault="005F4A7E" w:rsidP="00130D1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0FC293E0" w14:textId="77777777" w:rsidR="005F4A7E" w:rsidRPr="002029AF" w:rsidRDefault="005F4A7E" w:rsidP="00130D1C">
            <w:pPr>
              <w:pStyle w:val="ARfintablebodyright"/>
              <w:spacing w:before="30" w:line="240" w:lineRule="auto"/>
            </w:pPr>
            <w:r w:rsidRPr="00834B3B">
              <w:t>(77.6)</w:t>
            </w:r>
          </w:p>
        </w:tc>
      </w:tr>
      <w:tr w:rsidR="005F4A7E" w:rsidRPr="002029AF" w14:paraId="36E071C8" w14:textId="77777777" w:rsidTr="00860E95">
        <w:tc>
          <w:tcPr>
            <w:tcW w:w="3175" w:type="dxa"/>
            <w:tcBorders>
              <w:top w:val="single" w:sz="4" w:space="0" w:color="A6A6A6"/>
              <w:bottom w:val="single" w:sz="4" w:space="0" w:color="A6A6A6"/>
            </w:tcBorders>
            <w:hideMark/>
          </w:tcPr>
          <w:p w14:paraId="0C15DF3C" w14:textId="77777777" w:rsidR="005F4A7E" w:rsidRPr="002029AF" w:rsidRDefault="005F4A7E" w:rsidP="00130D1C">
            <w:pPr>
              <w:pStyle w:val="ARfintablebody"/>
              <w:spacing w:before="30" w:line="240" w:lineRule="auto"/>
            </w:pPr>
            <w:r w:rsidRPr="00834B3B">
              <w:t>Net revaluation increments/(decrements)</w:t>
            </w:r>
          </w:p>
        </w:tc>
        <w:tc>
          <w:tcPr>
            <w:tcW w:w="1077" w:type="dxa"/>
            <w:tcBorders>
              <w:top w:val="single" w:sz="4" w:space="0" w:color="A6A6A6"/>
              <w:bottom w:val="single" w:sz="4" w:space="0" w:color="A6A6A6"/>
            </w:tcBorders>
            <w:noWrap/>
            <w:hideMark/>
          </w:tcPr>
          <w:p w14:paraId="3E21ABE2" w14:textId="77777777" w:rsidR="005F4A7E" w:rsidRPr="002029AF" w:rsidRDefault="005F4A7E" w:rsidP="00130D1C">
            <w:pPr>
              <w:pStyle w:val="ARfintablebodyright"/>
              <w:spacing w:before="30" w:line="240" w:lineRule="auto"/>
            </w:pPr>
            <w:r w:rsidRPr="00834B3B">
              <w:t>(4.4)</w:t>
            </w:r>
          </w:p>
        </w:tc>
        <w:tc>
          <w:tcPr>
            <w:tcW w:w="1077" w:type="dxa"/>
            <w:tcBorders>
              <w:top w:val="single" w:sz="4" w:space="0" w:color="A6A6A6"/>
              <w:bottom w:val="single" w:sz="4" w:space="0" w:color="A6A6A6"/>
            </w:tcBorders>
            <w:noWrap/>
            <w:hideMark/>
          </w:tcPr>
          <w:p w14:paraId="2CCBC196" w14:textId="77777777" w:rsidR="005F4A7E" w:rsidRPr="002029AF" w:rsidRDefault="005F4A7E" w:rsidP="00130D1C">
            <w:pPr>
              <w:pStyle w:val="ARfintablebodyright"/>
              <w:spacing w:before="30" w:line="240" w:lineRule="auto"/>
            </w:pPr>
            <w:r w:rsidRPr="00834B3B">
              <w:t>(14.8)</w:t>
            </w:r>
          </w:p>
        </w:tc>
        <w:tc>
          <w:tcPr>
            <w:tcW w:w="1077" w:type="dxa"/>
            <w:tcBorders>
              <w:top w:val="single" w:sz="4" w:space="0" w:color="A6A6A6"/>
              <w:bottom w:val="single" w:sz="4" w:space="0" w:color="A6A6A6"/>
            </w:tcBorders>
            <w:noWrap/>
            <w:hideMark/>
          </w:tcPr>
          <w:p w14:paraId="1FCE7215" w14:textId="77777777" w:rsidR="005F4A7E" w:rsidRPr="002029AF" w:rsidRDefault="005F4A7E" w:rsidP="00130D1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4DFB5A42" w14:textId="77777777" w:rsidR="005F4A7E" w:rsidRPr="002029AF" w:rsidRDefault="005F4A7E" w:rsidP="00130D1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3EC26C85" w14:textId="77777777" w:rsidR="005F4A7E" w:rsidRPr="002029AF" w:rsidRDefault="005F4A7E" w:rsidP="00130D1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43C9FC4A" w14:textId="77777777" w:rsidR="005F4A7E" w:rsidRPr="002029AF" w:rsidRDefault="005F4A7E" w:rsidP="00130D1C">
            <w:pPr>
              <w:pStyle w:val="ARfintablebodyright"/>
              <w:spacing w:before="30" w:line="240" w:lineRule="auto"/>
            </w:pPr>
            <w:r w:rsidRPr="00834B3B">
              <w:t>(19.2)</w:t>
            </w:r>
          </w:p>
        </w:tc>
      </w:tr>
      <w:tr w:rsidR="005F4A7E" w:rsidRPr="002029AF" w14:paraId="460FCCE6" w14:textId="77777777" w:rsidTr="00860E95">
        <w:tc>
          <w:tcPr>
            <w:tcW w:w="3175" w:type="dxa"/>
            <w:tcBorders>
              <w:top w:val="single" w:sz="4" w:space="0" w:color="A6A6A6"/>
              <w:bottom w:val="single" w:sz="4" w:space="0" w:color="A6A6A6"/>
            </w:tcBorders>
            <w:hideMark/>
          </w:tcPr>
          <w:p w14:paraId="5B79E9C2" w14:textId="77777777" w:rsidR="005F4A7E" w:rsidRPr="002029AF" w:rsidRDefault="005F4A7E" w:rsidP="00130D1C">
            <w:pPr>
              <w:pStyle w:val="ARfintablebody"/>
              <w:spacing w:before="30" w:line="240" w:lineRule="auto"/>
            </w:pPr>
            <w:r w:rsidRPr="00834B3B">
              <w:t>Asset impairment</w:t>
            </w:r>
          </w:p>
        </w:tc>
        <w:tc>
          <w:tcPr>
            <w:tcW w:w="1077" w:type="dxa"/>
            <w:tcBorders>
              <w:top w:val="single" w:sz="4" w:space="0" w:color="A6A6A6"/>
              <w:bottom w:val="single" w:sz="4" w:space="0" w:color="A6A6A6"/>
            </w:tcBorders>
            <w:noWrap/>
            <w:hideMark/>
          </w:tcPr>
          <w:p w14:paraId="6F09AB17" w14:textId="77777777" w:rsidR="005F4A7E" w:rsidRPr="002029AF" w:rsidRDefault="005F4A7E" w:rsidP="00130D1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60F5759C" w14:textId="77777777" w:rsidR="005F4A7E" w:rsidRPr="002029AF" w:rsidRDefault="005F4A7E" w:rsidP="00130D1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43ADBD02" w14:textId="77777777" w:rsidR="005F4A7E" w:rsidRPr="002029AF" w:rsidRDefault="005F4A7E" w:rsidP="00130D1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7B38DFAC" w14:textId="77777777" w:rsidR="005F4A7E" w:rsidRPr="002029AF" w:rsidRDefault="005F4A7E" w:rsidP="00130D1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4FE9C38B" w14:textId="77777777" w:rsidR="005F4A7E" w:rsidRPr="002029AF" w:rsidRDefault="005F4A7E" w:rsidP="00130D1C">
            <w:pPr>
              <w:pStyle w:val="ARfintablebodyright"/>
              <w:spacing w:before="30" w:line="240" w:lineRule="auto"/>
            </w:pPr>
            <w:r w:rsidRPr="00834B3B">
              <w:t>1.0</w:t>
            </w:r>
          </w:p>
        </w:tc>
        <w:tc>
          <w:tcPr>
            <w:tcW w:w="1077" w:type="dxa"/>
            <w:tcBorders>
              <w:top w:val="single" w:sz="4" w:space="0" w:color="A6A6A6"/>
              <w:bottom w:val="single" w:sz="4" w:space="0" w:color="A6A6A6"/>
            </w:tcBorders>
            <w:noWrap/>
            <w:hideMark/>
          </w:tcPr>
          <w:p w14:paraId="55FF814A" w14:textId="77777777" w:rsidR="005F4A7E" w:rsidRPr="002029AF" w:rsidRDefault="005F4A7E" w:rsidP="00130D1C">
            <w:pPr>
              <w:pStyle w:val="ARfintablebodyright"/>
              <w:spacing w:before="30" w:line="240" w:lineRule="auto"/>
            </w:pPr>
            <w:r w:rsidRPr="00834B3B">
              <w:t>1.0</w:t>
            </w:r>
          </w:p>
        </w:tc>
      </w:tr>
      <w:tr w:rsidR="005F4A7E" w:rsidRPr="002029AF" w14:paraId="33E25DFF" w14:textId="77777777" w:rsidTr="00860E95">
        <w:tc>
          <w:tcPr>
            <w:tcW w:w="3175" w:type="dxa"/>
            <w:tcBorders>
              <w:top w:val="single" w:sz="4" w:space="0" w:color="A6A6A6"/>
              <w:bottom w:val="single" w:sz="4" w:space="0" w:color="A6A6A6"/>
            </w:tcBorders>
            <w:hideMark/>
          </w:tcPr>
          <w:p w14:paraId="6734654D" w14:textId="77777777" w:rsidR="005F4A7E" w:rsidRPr="002029AF" w:rsidRDefault="005F4A7E" w:rsidP="00130D1C">
            <w:pPr>
              <w:pStyle w:val="ARfintablebody"/>
              <w:spacing w:before="30" w:line="240" w:lineRule="auto"/>
            </w:pPr>
            <w:r w:rsidRPr="00834B3B">
              <w:t>Depreciation and amortisation</w:t>
            </w:r>
          </w:p>
        </w:tc>
        <w:tc>
          <w:tcPr>
            <w:tcW w:w="1077" w:type="dxa"/>
            <w:tcBorders>
              <w:top w:val="single" w:sz="4" w:space="0" w:color="A6A6A6"/>
              <w:bottom w:val="single" w:sz="4" w:space="0" w:color="A6A6A6"/>
            </w:tcBorders>
            <w:noWrap/>
            <w:hideMark/>
          </w:tcPr>
          <w:p w14:paraId="601F1B54" w14:textId="77777777" w:rsidR="005F4A7E" w:rsidRPr="002029AF" w:rsidRDefault="005F4A7E" w:rsidP="00130D1C">
            <w:pPr>
              <w:pStyle w:val="ARfintablebodyright"/>
              <w:spacing w:before="30" w:line="240" w:lineRule="auto"/>
            </w:pPr>
            <w:r w:rsidRPr="00834B3B">
              <w:t>(0.9)</w:t>
            </w:r>
          </w:p>
        </w:tc>
        <w:tc>
          <w:tcPr>
            <w:tcW w:w="1077" w:type="dxa"/>
            <w:tcBorders>
              <w:top w:val="single" w:sz="4" w:space="0" w:color="A6A6A6"/>
              <w:bottom w:val="single" w:sz="4" w:space="0" w:color="A6A6A6"/>
            </w:tcBorders>
            <w:noWrap/>
            <w:hideMark/>
          </w:tcPr>
          <w:p w14:paraId="246855FC" w14:textId="77777777" w:rsidR="005F4A7E" w:rsidRPr="002029AF" w:rsidRDefault="005F4A7E" w:rsidP="00130D1C">
            <w:pPr>
              <w:pStyle w:val="ARfintablebodyright"/>
              <w:spacing w:before="30" w:line="240" w:lineRule="auto"/>
            </w:pPr>
            <w:r w:rsidRPr="00834B3B">
              <w:t>(386.8)</w:t>
            </w:r>
          </w:p>
        </w:tc>
        <w:tc>
          <w:tcPr>
            <w:tcW w:w="1077" w:type="dxa"/>
            <w:tcBorders>
              <w:top w:val="single" w:sz="4" w:space="0" w:color="A6A6A6"/>
              <w:bottom w:val="single" w:sz="4" w:space="0" w:color="A6A6A6"/>
            </w:tcBorders>
            <w:noWrap/>
            <w:hideMark/>
          </w:tcPr>
          <w:p w14:paraId="51B770AC" w14:textId="77777777" w:rsidR="005F4A7E" w:rsidRPr="002029AF" w:rsidRDefault="005F4A7E" w:rsidP="00130D1C">
            <w:pPr>
              <w:pStyle w:val="ARfintablebodyright"/>
              <w:spacing w:before="30" w:line="240" w:lineRule="auto"/>
            </w:pPr>
            <w:r w:rsidRPr="00834B3B">
              <w:t>(6.7)</w:t>
            </w:r>
          </w:p>
        </w:tc>
        <w:tc>
          <w:tcPr>
            <w:tcW w:w="1077" w:type="dxa"/>
            <w:tcBorders>
              <w:top w:val="single" w:sz="4" w:space="0" w:color="A6A6A6"/>
              <w:bottom w:val="single" w:sz="4" w:space="0" w:color="A6A6A6"/>
            </w:tcBorders>
            <w:noWrap/>
            <w:hideMark/>
          </w:tcPr>
          <w:p w14:paraId="056A654F" w14:textId="77777777" w:rsidR="005F4A7E" w:rsidRPr="002029AF" w:rsidRDefault="005F4A7E" w:rsidP="00130D1C">
            <w:pPr>
              <w:pStyle w:val="ARfintablebodyright"/>
              <w:spacing w:before="30" w:line="240" w:lineRule="auto"/>
            </w:pPr>
            <w:r w:rsidRPr="00834B3B">
              <w:t>(8.8)</w:t>
            </w:r>
          </w:p>
        </w:tc>
        <w:tc>
          <w:tcPr>
            <w:tcW w:w="1077" w:type="dxa"/>
            <w:tcBorders>
              <w:top w:val="single" w:sz="4" w:space="0" w:color="A6A6A6"/>
              <w:bottom w:val="single" w:sz="4" w:space="0" w:color="A6A6A6"/>
            </w:tcBorders>
            <w:noWrap/>
            <w:hideMark/>
          </w:tcPr>
          <w:p w14:paraId="5DBD2D9D" w14:textId="77777777" w:rsidR="005F4A7E" w:rsidRPr="002029AF" w:rsidRDefault="005F4A7E" w:rsidP="00130D1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3D8BB66E" w14:textId="77777777" w:rsidR="005F4A7E" w:rsidRPr="002029AF" w:rsidRDefault="005F4A7E" w:rsidP="00130D1C">
            <w:pPr>
              <w:pStyle w:val="ARfintablebodyright"/>
              <w:spacing w:before="30" w:line="240" w:lineRule="auto"/>
            </w:pPr>
            <w:r w:rsidRPr="00834B3B">
              <w:t>(403.2)</w:t>
            </w:r>
          </w:p>
        </w:tc>
      </w:tr>
      <w:tr w:rsidR="005F4A7E" w:rsidRPr="002029AF" w14:paraId="04D65930" w14:textId="77777777" w:rsidTr="00860E95">
        <w:tc>
          <w:tcPr>
            <w:tcW w:w="3175" w:type="dxa"/>
            <w:tcBorders>
              <w:top w:val="single" w:sz="4" w:space="0" w:color="A6A6A6"/>
              <w:bottom w:val="single" w:sz="4" w:space="0" w:color="A6A6A6"/>
            </w:tcBorders>
            <w:hideMark/>
          </w:tcPr>
          <w:p w14:paraId="0E3CD6C8" w14:textId="77777777" w:rsidR="005F4A7E" w:rsidRPr="002029AF" w:rsidRDefault="005F4A7E" w:rsidP="00130D1C">
            <w:pPr>
              <w:pStyle w:val="ARfintablebody"/>
              <w:spacing w:before="30" w:line="240" w:lineRule="auto"/>
            </w:pPr>
            <w:r w:rsidRPr="00834B3B">
              <w:t>Fair value of assets received free of charge or for nominal considerations</w:t>
            </w:r>
          </w:p>
        </w:tc>
        <w:tc>
          <w:tcPr>
            <w:tcW w:w="1077" w:type="dxa"/>
            <w:tcBorders>
              <w:top w:val="single" w:sz="4" w:space="0" w:color="A6A6A6"/>
              <w:bottom w:val="single" w:sz="4" w:space="0" w:color="A6A6A6"/>
            </w:tcBorders>
            <w:noWrap/>
            <w:hideMark/>
          </w:tcPr>
          <w:p w14:paraId="4F0873A6" w14:textId="77777777" w:rsidR="005F4A7E" w:rsidRPr="002029AF" w:rsidRDefault="005F4A7E" w:rsidP="00130D1C">
            <w:pPr>
              <w:pStyle w:val="ARfintablebodyright"/>
              <w:spacing w:before="30" w:line="240" w:lineRule="auto"/>
            </w:pPr>
            <w:r w:rsidRPr="00834B3B">
              <w:t>2.5</w:t>
            </w:r>
          </w:p>
        </w:tc>
        <w:tc>
          <w:tcPr>
            <w:tcW w:w="1077" w:type="dxa"/>
            <w:tcBorders>
              <w:top w:val="single" w:sz="4" w:space="0" w:color="A6A6A6"/>
              <w:bottom w:val="single" w:sz="4" w:space="0" w:color="A6A6A6"/>
            </w:tcBorders>
            <w:noWrap/>
            <w:hideMark/>
          </w:tcPr>
          <w:p w14:paraId="12497B9A" w14:textId="77777777" w:rsidR="005F4A7E" w:rsidRPr="002029AF" w:rsidRDefault="005F4A7E" w:rsidP="00130D1C">
            <w:pPr>
              <w:pStyle w:val="ARfintablebodyright"/>
              <w:spacing w:before="30" w:line="240" w:lineRule="auto"/>
            </w:pPr>
            <w:r w:rsidRPr="00834B3B">
              <w:t>0.2</w:t>
            </w:r>
          </w:p>
        </w:tc>
        <w:tc>
          <w:tcPr>
            <w:tcW w:w="1077" w:type="dxa"/>
            <w:tcBorders>
              <w:top w:val="single" w:sz="4" w:space="0" w:color="A6A6A6"/>
              <w:bottom w:val="single" w:sz="4" w:space="0" w:color="A6A6A6"/>
            </w:tcBorders>
            <w:noWrap/>
            <w:hideMark/>
          </w:tcPr>
          <w:p w14:paraId="281783AF" w14:textId="77777777" w:rsidR="005F4A7E" w:rsidRPr="002029AF" w:rsidRDefault="005F4A7E" w:rsidP="00130D1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2923A804" w14:textId="77777777" w:rsidR="005F4A7E" w:rsidRPr="002029AF" w:rsidRDefault="005F4A7E" w:rsidP="00130D1C">
            <w:pPr>
              <w:pStyle w:val="ARfintablebodyright"/>
              <w:spacing w:before="30" w:line="240" w:lineRule="auto"/>
            </w:pPr>
            <w:r w:rsidRPr="00834B3B">
              <w:t>0.1</w:t>
            </w:r>
          </w:p>
        </w:tc>
        <w:tc>
          <w:tcPr>
            <w:tcW w:w="1077" w:type="dxa"/>
            <w:tcBorders>
              <w:top w:val="single" w:sz="4" w:space="0" w:color="A6A6A6"/>
              <w:bottom w:val="single" w:sz="4" w:space="0" w:color="A6A6A6"/>
            </w:tcBorders>
            <w:noWrap/>
            <w:hideMark/>
          </w:tcPr>
          <w:p w14:paraId="57F17A51" w14:textId="77777777" w:rsidR="005F4A7E" w:rsidRPr="002029AF" w:rsidRDefault="005F4A7E" w:rsidP="00130D1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65EE5F99" w14:textId="77777777" w:rsidR="005F4A7E" w:rsidRPr="002029AF" w:rsidRDefault="005F4A7E" w:rsidP="00130D1C">
            <w:pPr>
              <w:pStyle w:val="ARfintablebodyright"/>
              <w:spacing w:before="30" w:line="240" w:lineRule="auto"/>
            </w:pPr>
            <w:r w:rsidRPr="00834B3B">
              <w:t>2.8</w:t>
            </w:r>
          </w:p>
        </w:tc>
      </w:tr>
      <w:tr w:rsidR="005F4A7E" w:rsidRPr="002029AF" w14:paraId="7AA94842" w14:textId="77777777" w:rsidTr="00860E95">
        <w:tc>
          <w:tcPr>
            <w:tcW w:w="3175" w:type="dxa"/>
            <w:tcBorders>
              <w:top w:val="single" w:sz="4" w:space="0" w:color="A6A6A6"/>
              <w:bottom w:val="single" w:sz="4" w:space="0" w:color="A6A6A6"/>
            </w:tcBorders>
            <w:hideMark/>
          </w:tcPr>
          <w:p w14:paraId="2E28296E" w14:textId="77777777" w:rsidR="005F4A7E" w:rsidRPr="002029AF" w:rsidRDefault="005F4A7E" w:rsidP="00130D1C">
            <w:pPr>
              <w:pStyle w:val="ARfintablebody"/>
              <w:spacing w:before="30" w:line="240" w:lineRule="auto"/>
            </w:pPr>
            <w:r w:rsidRPr="00834B3B">
              <w:t>Fair value of assets provided free of charge or for nominal considerations</w:t>
            </w:r>
          </w:p>
        </w:tc>
        <w:tc>
          <w:tcPr>
            <w:tcW w:w="1077" w:type="dxa"/>
            <w:tcBorders>
              <w:top w:val="single" w:sz="4" w:space="0" w:color="A6A6A6"/>
              <w:bottom w:val="single" w:sz="4" w:space="0" w:color="A6A6A6"/>
            </w:tcBorders>
            <w:noWrap/>
            <w:hideMark/>
          </w:tcPr>
          <w:p w14:paraId="55CA3421" w14:textId="77777777" w:rsidR="005F4A7E" w:rsidRPr="002029AF" w:rsidRDefault="005F4A7E" w:rsidP="00130D1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493EC7A7" w14:textId="77777777" w:rsidR="005F4A7E" w:rsidRPr="002029AF" w:rsidRDefault="005F4A7E" w:rsidP="00130D1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087E4091" w14:textId="77777777" w:rsidR="005F4A7E" w:rsidRPr="002029AF" w:rsidRDefault="005F4A7E" w:rsidP="00130D1C">
            <w:pPr>
              <w:pStyle w:val="ARfintablebodyright"/>
              <w:spacing w:before="30" w:line="240" w:lineRule="auto"/>
            </w:pPr>
            <w:r w:rsidRPr="00834B3B">
              <w:t>(0.3)</w:t>
            </w:r>
          </w:p>
        </w:tc>
        <w:tc>
          <w:tcPr>
            <w:tcW w:w="1077" w:type="dxa"/>
            <w:tcBorders>
              <w:top w:val="single" w:sz="4" w:space="0" w:color="A6A6A6"/>
              <w:bottom w:val="single" w:sz="4" w:space="0" w:color="A6A6A6"/>
            </w:tcBorders>
            <w:noWrap/>
            <w:hideMark/>
          </w:tcPr>
          <w:p w14:paraId="6E7FA78E" w14:textId="77777777" w:rsidR="005F4A7E" w:rsidRPr="002029AF" w:rsidRDefault="005F4A7E" w:rsidP="00130D1C">
            <w:pPr>
              <w:pStyle w:val="ARfintablebodyright"/>
              <w:spacing w:before="30" w:line="240" w:lineRule="auto"/>
            </w:pPr>
            <w:r w:rsidRPr="00834B3B">
              <w:t>(0.4)</w:t>
            </w:r>
          </w:p>
        </w:tc>
        <w:tc>
          <w:tcPr>
            <w:tcW w:w="1077" w:type="dxa"/>
            <w:tcBorders>
              <w:top w:val="single" w:sz="4" w:space="0" w:color="A6A6A6"/>
              <w:bottom w:val="single" w:sz="4" w:space="0" w:color="A6A6A6"/>
            </w:tcBorders>
            <w:noWrap/>
            <w:hideMark/>
          </w:tcPr>
          <w:p w14:paraId="324BEB39" w14:textId="77777777" w:rsidR="005F4A7E" w:rsidRPr="002029AF" w:rsidRDefault="005F4A7E" w:rsidP="00130D1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258BAE45" w14:textId="77777777" w:rsidR="005F4A7E" w:rsidRPr="002029AF" w:rsidRDefault="005F4A7E" w:rsidP="00130D1C">
            <w:pPr>
              <w:pStyle w:val="ARfintablebodyright"/>
              <w:spacing w:before="30" w:line="240" w:lineRule="auto"/>
            </w:pPr>
            <w:r w:rsidRPr="00834B3B">
              <w:t>(0.7)</w:t>
            </w:r>
          </w:p>
        </w:tc>
      </w:tr>
      <w:tr w:rsidR="005F4A7E" w:rsidRPr="002029AF" w14:paraId="2389442F" w14:textId="77777777" w:rsidTr="00860E95">
        <w:tc>
          <w:tcPr>
            <w:tcW w:w="3175" w:type="dxa"/>
            <w:tcBorders>
              <w:top w:val="single" w:sz="4" w:space="0" w:color="A6A6A6"/>
              <w:bottom w:val="single" w:sz="4" w:space="0" w:color="A6A6A6"/>
            </w:tcBorders>
            <w:hideMark/>
          </w:tcPr>
          <w:p w14:paraId="4B45F8D9" w14:textId="77777777" w:rsidR="005F4A7E" w:rsidRPr="002029AF" w:rsidRDefault="005F4A7E" w:rsidP="00130D1C">
            <w:pPr>
              <w:pStyle w:val="ARfintablebody"/>
              <w:spacing w:before="30" w:line="240" w:lineRule="auto"/>
            </w:pPr>
            <w:r w:rsidRPr="00834B3B">
              <w:t>Transfers in/(out) of assets under construction</w:t>
            </w:r>
          </w:p>
        </w:tc>
        <w:tc>
          <w:tcPr>
            <w:tcW w:w="1077" w:type="dxa"/>
            <w:tcBorders>
              <w:top w:val="single" w:sz="4" w:space="0" w:color="A6A6A6"/>
              <w:bottom w:val="single" w:sz="4" w:space="0" w:color="A6A6A6"/>
            </w:tcBorders>
            <w:noWrap/>
            <w:hideMark/>
          </w:tcPr>
          <w:p w14:paraId="566873D3" w14:textId="77777777" w:rsidR="005F4A7E" w:rsidRPr="002029AF" w:rsidRDefault="005F4A7E" w:rsidP="00130D1C">
            <w:pPr>
              <w:pStyle w:val="ARfintablebodyright"/>
              <w:spacing w:before="30" w:line="240" w:lineRule="auto"/>
            </w:pPr>
            <w:r w:rsidRPr="00834B3B">
              <w:t>16.7</w:t>
            </w:r>
          </w:p>
        </w:tc>
        <w:tc>
          <w:tcPr>
            <w:tcW w:w="1077" w:type="dxa"/>
            <w:tcBorders>
              <w:top w:val="single" w:sz="4" w:space="0" w:color="A6A6A6"/>
              <w:bottom w:val="single" w:sz="4" w:space="0" w:color="A6A6A6"/>
            </w:tcBorders>
            <w:noWrap/>
            <w:hideMark/>
          </w:tcPr>
          <w:p w14:paraId="00303B13" w14:textId="77777777" w:rsidR="005F4A7E" w:rsidRPr="002029AF" w:rsidRDefault="005F4A7E" w:rsidP="00130D1C">
            <w:pPr>
              <w:pStyle w:val="ARfintablebodyright"/>
              <w:spacing w:before="30" w:line="240" w:lineRule="auto"/>
            </w:pPr>
            <w:r w:rsidRPr="00834B3B">
              <w:t>219.9</w:t>
            </w:r>
          </w:p>
        </w:tc>
        <w:tc>
          <w:tcPr>
            <w:tcW w:w="1077" w:type="dxa"/>
            <w:tcBorders>
              <w:top w:val="single" w:sz="4" w:space="0" w:color="A6A6A6"/>
              <w:bottom w:val="single" w:sz="4" w:space="0" w:color="A6A6A6"/>
            </w:tcBorders>
            <w:noWrap/>
            <w:hideMark/>
          </w:tcPr>
          <w:p w14:paraId="5556FE13" w14:textId="77777777" w:rsidR="005F4A7E" w:rsidRPr="002029AF" w:rsidRDefault="005F4A7E" w:rsidP="00130D1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055E0542" w14:textId="77777777" w:rsidR="005F4A7E" w:rsidRPr="002029AF" w:rsidRDefault="005F4A7E" w:rsidP="00130D1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02FC7B7D" w14:textId="77777777" w:rsidR="005F4A7E" w:rsidRPr="002029AF" w:rsidRDefault="005F4A7E" w:rsidP="00130D1C">
            <w:pPr>
              <w:pStyle w:val="ARfintablebodyright"/>
              <w:spacing w:before="30" w:line="240" w:lineRule="auto"/>
            </w:pPr>
            <w:r w:rsidRPr="00834B3B">
              <w:t>(236.6)</w:t>
            </w:r>
          </w:p>
        </w:tc>
        <w:tc>
          <w:tcPr>
            <w:tcW w:w="1077" w:type="dxa"/>
            <w:tcBorders>
              <w:top w:val="single" w:sz="4" w:space="0" w:color="A6A6A6"/>
              <w:bottom w:val="single" w:sz="4" w:space="0" w:color="A6A6A6"/>
            </w:tcBorders>
            <w:noWrap/>
            <w:hideMark/>
          </w:tcPr>
          <w:p w14:paraId="2B1A1AF7" w14:textId="77777777" w:rsidR="005F4A7E" w:rsidRPr="002029AF" w:rsidRDefault="005F4A7E" w:rsidP="00130D1C">
            <w:pPr>
              <w:pStyle w:val="ARfintablebodyright"/>
              <w:spacing w:before="30" w:line="240" w:lineRule="auto"/>
            </w:pPr>
            <w:r w:rsidRPr="00834B3B">
              <w:t>–</w:t>
            </w:r>
          </w:p>
        </w:tc>
      </w:tr>
      <w:tr w:rsidR="005F4A7E" w:rsidRPr="002029AF" w14:paraId="06EEED5F" w14:textId="77777777" w:rsidTr="00860E95">
        <w:tc>
          <w:tcPr>
            <w:tcW w:w="3175" w:type="dxa"/>
            <w:tcBorders>
              <w:top w:val="single" w:sz="4" w:space="0" w:color="A6A6A6"/>
              <w:bottom w:val="single" w:sz="4" w:space="0" w:color="A6A6A6"/>
            </w:tcBorders>
            <w:hideMark/>
          </w:tcPr>
          <w:p w14:paraId="6409905F" w14:textId="77777777" w:rsidR="005F4A7E" w:rsidRPr="002029AF" w:rsidRDefault="005F4A7E" w:rsidP="00130D1C">
            <w:pPr>
              <w:pStyle w:val="ARfintablebody"/>
              <w:spacing w:before="30" w:line="240" w:lineRule="auto"/>
            </w:pPr>
            <w:r w:rsidRPr="00834B3B">
              <w:t>Transfers (to)/from assets held for sale</w:t>
            </w:r>
          </w:p>
        </w:tc>
        <w:tc>
          <w:tcPr>
            <w:tcW w:w="1077" w:type="dxa"/>
            <w:tcBorders>
              <w:top w:val="single" w:sz="4" w:space="0" w:color="A6A6A6"/>
              <w:bottom w:val="single" w:sz="4" w:space="0" w:color="A6A6A6"/>
            </w:tcBorders>
            <w:noWrap/>
            <w:hideMark/>
          </w:tcPr>
          <w:p w14:paraId="5DF4696C" w14:textId="77777777" w:rsidR="005F4A7E" w:rsidRPr="002029AF" w:rsidRDefault="005F4A7E" w:rsidP="00130D1C">
            <w:pPr>
              <w:pStyle w:val="ARfintablebodyright"/>
              <w:spacing w:before="30" w:line="240" w:lineRule="auto"/>
            </w:pPr>
            <w:r w:rsidRPr="00834B3B">
              <w:t>(3.6)</w:t>
            </w:r>
          </w:p>
        </w:tc>
        <w:tc>
          <w:tcPr>
            <w:tcW w:w="1077" w:type="dxa"/>
            <w:tcBorders>
              <w:top w:val="single" w:sz="4" w:space="0" w:color="A6A6A6"/>
              <w:bottom w:val="single" w:sz="4" w:space="0" w:color="A6A6A6"/>
            </w:tcBorders>
            <w:noWrap/>
            <w:hideMark/>
          </w:tcPr>
          <w:p w14:paraId="047D3712" w14:textId="77777777" w:rsidR="005F4A7E" w:rsidRPr="002029AF" w:rsidRDefault="005F4A7E" w:rsidP="00130D1C">
            <w:pPr>
              <w:pStyle w:val="ARfintablebodyright"/>
              <w:spacing w:before="30" w:line="240" w:lineRule="auto"/>
            </w:pPr>
            <w:r w:rsidRPr="00834B3B">
              <w:t>(3.9)</w:t>
            </w:r>
          </w:p>
        </w:tc>
        <w:tc>
          <w:tcPr>
            <w:tcW w:w="1077" w:type="dxa"/>
            <w:tcBorders>
              <w:top w:val="single" w:sz="4" w:space="0" w:color="A6A6A6"/>
              <w:bottom w:val="single" w:sz="4" w:space="0" w:color="A6A6A6"/>
            </w:tcBorders>
            <w:noWrap/>
            <w:hideMark/>
          </w:tcPr>
          <w:p w14:paraId="52B6510E" w14:textId="77777777" w:rsidR="005F4A7E" w:rsidRPr="002029AF" w:rsidRDefault="005F4A7E" w:rsidP="00130D1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375063AC" w14:textId="77777777" w:rsidR="005F4A7E" w:rsidRPr="002029AF" w:rsidRDefault="005F4A7E" w:rsidP="00130D1C">
            <w:pPr>
              <w:pStyle w:val="ARfintablebodyright"/>
              <w:spacing w:before="30" w:line="240" w:lineRule="auto"/>
            </w:pPr>
            <w:r w:rsidRPr="00834B3B">
              <w:t>2.3</w:t>
            </w:r>
          </w:p>
        </w:tc>
        <w:tc>
          <w:tcPr>
            <w:tcW w:w="1077" w:type="dxa"/>
            <w:tcBorders>
              <w:top w:val="single" w:sz="4" w:space="0" w:color="A6A6A6"/>
              <w:bottom w:val="single" w:sz="4" w:space="0" w:color="A6A6A6"/>
            </w:tcBorders>
            <w:noWrap/>
            <w:hideMark/>
          </w:tcPr>
          <w:p w14:paraId="220C924E" w14:textId="77777777" w:rsidR="005F4A7E" w:rsidRPr="002029AF" w:rsidRDefault="005F4A7E" w:rsidP="00130D1C">
            <w:pPr>
              <w:pStyle w:val="ARfintablebodyright"/>
              <w:spacing w:before="30" w:line="240" w:lineRule="auto"/>
            </w:pPr>
            <w:r w:rsidRPr="00834B3B">
              <w:t>–</w:t>
            </w:r>
          </w:p>
        </w:tc>
        <w:tc>
          <w:tcPr>
            <w:tcW w:w="1077" w:type="dxa"/>
            <w:tcBorders>
              <w:top w:val="single" w:sz="4" w:space="0" w:color="A6A6A6"/>
              <w:bottom w:val="single" w:sz="4" w:space="0" w:color="A6A6A6"/>
            </w:tcBorders>
            <w:noWrap/>
            <w:hideMark/>
          </w:tcPr>
          <w:p w14:paraId="5755857D" w14:textId="77777777" w:rsidR="005F4A7E" w:rsidRPr="002029AF" w:rsidRDefault="005F4A7E" w:rsidP="00130D1C">
            <w:pPr>
              <w:pStyle w:val="ARfintablebodyright"/>
              <w:spacing w:before="30" w:line="240" w:lineRule="auto"/>
            </w:pPr>
            <w:r w:rsidRPr="00834B3B">
              <w:t>(5.2)</w:t>
            </w:r>
          </w:p>
        </w:tc>
      </w:tr>
      <w:tr w:rsidR="005F4A7E" w:rsidRPr="002029AF" w14:paraId="3348D978" w14:textId="77777777" w:rsidTr="00860E95">
        <w:tc>
          <w:tcPr>
            <w:tcW w:w="3175" w:type="dxa"/>
            <w:tcBorders>
              <w:top w:val="single" w:sz="4" w:space="0" w:color="A6A6A6"/>
            </w:tcBorders>
            <w:hideMark/>
          </w:tcPr>
          <w:p w14:paraId="17150AA4" w14:textId="77777777" w:rsidR="005F4A7E" w:rsidRPr="002029AF" w:rsidRDefault="005F4A7E" w:rsidP="00130D1C">
            <w:pPr>
              <w:pStyle w:val="ARfintablebody"/>
              <w:spacing w:before="30" w:line="240" w:lineRule="auto"/>
            </w:pPr>
            <w:r w:rsidRPr="00834B3B">
              <w:t>Other changes</w:t>
            </w:r>
          </w:p>
        </w:tc>
        <w:tc>
          <w:tcPr>
            <w:tcW w:w="1077" w:type="dxa"/>
            <w:tcBorders>
              <w:top w:val="single" w:sz="4" w:space="0" w:color="A6A6A6"/>
            </w:tcBorders>
            <w:noWrap/>
            <w:hideMark/>
          </w:tcPr>
          <w:p w14:paraId="1D45E0BD" w14:textId="77777777" w:rsidR="005F4A7E" w:rsidRPr="002029AF" w:rsidRDefault="005F4A7E" w:rsidP="00130D1C">
            <w:pPr>
              <w:pStyle w:val="ARfintablebodyright"/>
              <w:spacing w:before="30" w:line="240" w:lineRule="auto"/>
            </w:pPr>
            <w:r w:rsidRPr="00834B3B">
              <w:t>0.1</w:t>
            </w:r>
          </w:p>
        </w:tc>
        <w:tc>
          <w:tcPr>
            <w:tcW w:w="1077" w:type="dxa"/>
            <w:tcBorders>
              <w:top w:val="single" w:sz="4" w:space="0" w:color="A6A6A6"/>
            </w:tcBorders>
            <w:noWrap/>
            <w:hideMark/>
          </w:tcPr>
          <w:p w14:paraId="1CCB7E1E" w14:textId="77777777" w:rsidR="005F4A7E" w:rsidRPr="002029AF" w:rsidRDefault="005F4A7E" w:rsidP="00130D1C">
            <w:pPr>
              <w:pStyle w:val="ARfintablebodyright"/>
              <w:spacing w:before="30" w:line="240" w:lineRule="auto"/>
            </w:pPr>
            <w:r w:rsidRPr="00834B3B">
              <w:t>11.7</w:t>
            </w:r>
          </w:p>
        </w:tc>
        <w:tc>
          <w:tcPr>
            <w:tcW w:w="1077" w:type="dxa"/>
            <w:tcBorders>
              <w:top w:val="single" w:sz="4" w:space="0" w:color="A6A6A6"/>
            </w:tcBorders>
            <w:noWrap/>
            <w:hideMark/>
          </w:tcPr>
          <w:p w14:paraId="45B1F501" w14:textId="77777777" w:rsidR="005F4A7E" w:rsidRPr="002029AF" w:rsidRDefault="005F4A7E" w:rsidP="00130D1C">
            <w:pPr>
              <w:pStyle w:val="ARfintablebodyright"/>
              <w:spacing w:before="30" w:line="240" w:lineRule="auto"/>
            </w:pPr>
            <w:r w:rsidRPr="00834B3B">
              <w:t>–</w:t>
            </w:r>
          </w:p>
        </w:tc>
        <w:tc>
          <w:tcPr>
            <w:tcW w:w="1077" w:type="dxa"/>
            <w:tcBorders>
              <w:top w:val="single" w:sz="4" w:space="0" w:color="A6A6A6"/>
            </w:tcBorders>
            <w:noWrap/>
            <w:hideMark/>
          </w:tcPr>
          <w:p w14:paraId="5710F25E" w14:textId="77777777" w:rsidR="005F4A7E" w:rsidRPr="002029AF" w:rsidRDefault="005F4A7E" w:rsidP="00130D1C">
            <w:pPr>
              <w:pStyle w:val="ARfintablebodyright"/>
              <w:spacing w:before="30" w:line="240" w:lineRule="auto"/>
            </w:pPr>
            <w:r w:rsidRPr="00834B3B">
              <w:t>–</w:t>
            </w:r>
          </w:p>
        </w:tc>
        <w:tc>
          <w:tcPr>
            <w:tcW w:w="1077" w:type="dxa"/>
            <w:tcBorders>
              <w:top w:val="single" w:sz="4" w:space="0" w:color="A6A6A6"/>
            </w:tcBorders>
            <w:noWrap/>
            <w:hideMark/>
          </w:tcPr>
          <w:p w14:paraId="402ED32B" w14:textId="77777777" w:rsidR="005F4A7E" w:rsidRPr="002029AF" w:rsidRDefault="005F4A7E" w:rsidP="00130D1C">
            <w:pPr>
              <w:pStyle w:val="ARfintablebodyright"/>
              <w:spacing w:before="30" w:line="240" w:lineRule="auto"/>
            </w:pPr>
            <w:r w:rsidRPr="00834B3B">
              <w:t>–</w:t>
            </w:r>
          </w:p>
        </w:tc>
        <w:tc>
          <w:tcPr>
            <w:tcW w:w="1077" w:type="dxa"/>
            <w:tcBorders>
              <w:top w:val="single" w:sz="4" w:space="0" w:color="A6A6A6"/>
            </w:tcBorders>
            <w:noWrap/>
            <w:hideMark/>
          </w:tcPr>
          <w:p w14:paraId="5F67FC59" w14:textId="77777777" w:rsidR="005F4A7E" w:rsidRPr="002029AF" w:rsidRDefault="005F4A7E" w:rsidP="00130D1C">
            <w:pPr>
              <w:pStyle w:val="ARfintablebodyright"/>
              <w:spacing w:before="30" w:line="240" w:lineRule="auto"/>
            </w:pPr>
            <w:r w:rsidRPr="00834B3B">
              <w:t>11.8</w:t>
            </w:r>
          </w:p>
        </w:tc>
      </w:tr>
      <w:tr w:rsidR="005F4A7E" w:rsidRPr="002029AF" w14:paraId="095E0E6B" w14:textId="77777777" w:rsidTr="00860E95">
        <w:tc>
          <w:tcPr>
            <w:tcW w:w="3175" w:type="dxa"/>
            <w:hideMark/>
          </w:tcPr>
          <w:p w14:paraId="0CCBA318" w14:textId="77777777" w:rsidR="005F4A7E" w:rsidRPr="002029AF" w:rsidRDefault="005F4A7E" w:rsidP="00130D1C">
            <w:pPr>
              <w:pStyle w:val="ARfintablebodybold"/>
              <w:spacing w:before="30" w:line="240" w:lineRule="auto"/>
            </w:pPr>
            <w:r w:rsidRPr="00834B3B">
              <w:t>Balance at 30 June 2020</w:t>
            </w:r>
          </w:p>
        </w:tc>
        <w:tc>
          <w:tcPr>
            <w:tcW w:w="1077" w:type="dxa"/>
            <w:noWrap/>
            <w:hideMark/>
          </w:tcPr>
          <w:p w14:paraId="7B3C82AB" w14:textId="77777777" w:rsidR="005F4A7E" w:rsidRPr="002029AF" w:rsidRDefault="005F4A7E" w:rsidP="00130D1C">
            <w:pPr>
              <w:pStyle w:val="ARfintablebodyrightbold"/>
              <w:spacing w:before="30" w:line="240" w:lineRule="auto"/>
            </w:pPr>
            <w:r w:rsidRPr="00834B3B">
              <w:t>18,524.3</w:t>
            </w:r>
          </w:p>
        </w:tc>
        <w:tc>
          <w:tcPr>
            <w:tcW w:w="1077" w:type="dxa"/>
            <w:noWrap/>
            <w:hideMark/>
          </w:tcPr>
          <w:p w14:paraId="5B6DC7BD" w14:textId="77777777" w:rsidR="005F4A7E" w:rsidRPr="002029AF" w:rsidRDefault="005F4A7E" w:rsidP="00130D1C">
            <w:pPr>
              <w:pStyle w:val="ARfintablebodyrightbold"/>
              <w:spacing w:before="30" w:line="240" w:lineRule="auto"/>
            </w:pPr>
            <w:r w:rsidRPr="00834B3B">
              <w:t>9,650.3</w:t>
            </w:r>
          </w:p>
        </w:tc>
        <w:tc>
          <w:tcPr>
            <w:tcW w:w="1077" w:type="dxa"/>
            <w:noWrap/>
            <w:hideMark/>
          </w:tcPr>
          <w:p w14:paraId="1D9493F9" w14:textId="77777777" w:rsidR="005F4A7E" w:rsidRPr="002029AF" w:rsidRDefault="005F4A7E" w:rsidP="00130D1C">
            <w:pPr>
              <w:pStyle w:val="ARfintablebodyrightbold"/>
              <w:spacing w:before="30" w:line="240" w:lineRule="auto"/>
            </w:pPr>
            <w:r w:rsidRPr="00834B3B">
              <w:t>11.6</w:t>
            </w:r>
          </w:p>
        </w:tc>
        <w:tc>
          <w:tcPr>
            <w:tcW w:w="1077" w:type="dxa"/>
            <w:noWrap/>
            <w:hideMark/>
          </w:tcPr>
          <w:p w14:paraId="67FD8A07" w14:textId="77777777" w:rsidR="005F4A7E" w:rsidRPr="002029AF" w:rsidRDefault="005F4A7E" w:rsidP="00130D1C">
            <w:pPr>
              <w:pStyle w:val="ARfintablebodyrightbold"/>
              <w:spacing w:before="30" w:line="240" w:lineRule="auto"/>
            </w:pPr>
            <w:r w:rsidRPr="00834B3B">
              <w:t>30.2</w:t>
            </w:r>
          </w:p>
        </w:tc>
        <w:tc>
          <w:tcPr>
            <w:tcW w:w="1077" w:type="dxa"/>
            <w:noWrap/>
            <w:hideMark/>
          </w:tcPr>
          <w:p w14:paraId="04A50ED4" w14:textId="77777777" w:rsidR="005F4A7E" w:rsidRPr="002029AF" w:rsidRDefault="005F4A7E" w:rsidP="00130D1C">
            <w:pPr>
              <w:pStyle w:val="ARfintablebodyrightbold"/>
              <w:spacing w:before="30" w:line="240" w:lineRule="auto"/>
            </w:pPr>
            <w:r w:rsidRPr="00834B3B">
              <w:t>576.2</w:t>
            </w:r>
          </w:p>
        </w:tc>
        <w:tc>
          <w:tcPr>
            <w:tcW w:w="1077" w:type="dxa"/>
            <w:noWrap/>
            <w:hideMark/>
          </w:tcPr>
          <w:p w14:paraId="4B369E27" w14:textId="77777777" w:rsidR="005F4A7E" w:rsidRPr="002029AF" w:rsidRDefault="005F4A7E" w:rsidP="00130D1C">
            <w:pPr>
              <w:pStyle w:val="ARfintablebodyrightbold"/>
              <w:spacing w:before="30" w:line="240" w:lineRule="auto"/>
            </w:pPr>
            <w:r w:rsidRPr="00834B3B">
              <w:t>28,792.6</w:t>
            </w:r>
          </w:p>
        </w:tc>
      </w:tr>
    </w:tbl>
    <w:p w14:paraId="785BE6F3" w14:textId="77777777" w:rsidR="005F4A7E" w:rsidRPr="002029AF" w:rsidRDefault="005F4A7E" w:rsidP="00087B91">
      <w:pPr>
        <w:pStyle w:val="Heading4"/>
      </w:pPr>
      <w:bookmarkStart w:id="901" w:name="_Ref52454856"/>
      <w:bookmarkStart w:id="902" w:name="_Toc85121440"/>
      <w:r w:rsidRPr="002029AF">
        <w:lastRenderedPageBreak/>
        <w:t>5.2 Intangible assets</w:t>
      </w:r>
      <w:bookmarkEnd w:id="901"/>
      <w:r>
        <w:t xml:space="preserve"> </w:t>
      </w:r>
      <w:r w:rsidRPr="00726D55">
        <w:rPr>
          <w:rStyle w:val="Superscript"/>
        </w:rPr>
        <w:t>(i)</w:t>
      </w:r>
      <w:bookmarkEnd w:id="902"/>
    </w:p>
    <w:tbl>
      <w:tblPr>
        <w:tblStyle w:val="TableGrid"/>
        <w:tblW w:w="9637" w:type="dxa"/>
        <w:tblLayout w:type="fixed"/>
        <w:tblLook w:val="06A0" w:firstRow="1" w:lastRow="0" w:firstColumn="1" w:lastColumn="0" w:noHBand="1" w:noVBand="1"/>
      </w:tblPr>
      <w:tblGrid>
        <w:gridCol w:w="7371"/>
        <w:gridCol w:w="1133"/>
        <w:gridCol w:w="1133"/>
      </w:tblGrid>
      <w:tr w:rsidR="005F4A7E" w:rsidRPr="002029AF" w14:paraId="7D278BFC"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78B7EE70" w14:textId="77777777" w:rsidR="005F4A7E" w:rsidRPr="002029AF" w:rsidRDefault="005F4A7E" w:rsidP="00860E95">
            <w:pPr>
              <w:pStyle w:val="ARfintablecolhead"/>
            </w:pPr>
          </w:p>
        </w:tc>
        <w:tc>
          <w:tcPr>
            <w:tcW w:w="1133" w:type="dxa"/>
            <w:tcBorders>
              <w:bottom w:val="single" w:sz="4" w:space="0" w:color="auto"/>
            </w:tcBorders>
            <w:shd w:val="clear" w:color="auto" w:fill="E7E6E6"/>
            <w:hideMark/>
          </w:tcPr>
          <w:p w14:paraId="434329C3" w14:textId="77777777" w:rsidR="005F4A7E" w:rsidRPr="002029AF" w:rsidRDefault="005F4A7E" w:rsidP="00860E95">
            <w:pPr>
              <w:pStyle w:val="ARfintablecolheadright"/>
            </w:pPr>
            <w:r>
              <w:t>2021</w:t>
            </w:r>
          </w:p>
          <w:p w14:paraId="02A5E70D" w14:textId="77777777" w:rsidR="005F4A7E" w:rsidRPr="002029AF" w:rsidRDefault="005F4A7E" w:rsidP="00860E95">
            <w:pPr>
              <w:pStyle w:val="ARfintablecolheadright"/>
            </w:pPr>
            <w:r w:rsidRPr="002029AF">
              <w:t>$M</w:t>
            </w:r>
          </w:p>
        </w:tc>
        <w:tc>
          <w:tcPr>
            <w:tcW w:w="1133" w:type="dxa"/>
            <w:tcBorders>
              <w:bottom w:val="single" w:sz="4" w:space="0" w:color="auto"/>
            </w:tcBorders>
            <w:hideMark/>
          </w:tcPr>
          <w:p w14:paraId="319D7C98" w14:textId="77777777" w:rsidR="005F4A7E" w:rsidRPr="002029AF" w:rsidRDefault="005F4A7E" w:rsidP="00860E95">
            <w:pPr>
              <w:pStyle w:val="ARfintablecolheadright"/>
            </w:pPr>
            <w:r>
              <w:t>2020</w:t>
            </w:r>
          </w:p>
          <w:p w14:paraId="01C1A6C5" w14:textId="77777777" w:rsidR="005F4A7E" w:rsidRPr="002029AF" w:rsidRDefault="005F4A7E" w:rsidP="00860E95">
            <w:pPr>
              <w:pStyle w:val="ARfintablecolheadright"/>
            </w:pPr>
            <w:r w:rsidRPr="002029AF">
              <w:t>$M</w:t>
            </w:r>
          </w:p>
        </w:tc>
      </w:tr>
      <w:tr w:rsidR="005F4A7E" w:rsidRPr="002029AF" w14:paraId="2EED1760" w14:textId="77777777" w:rsidTr="00860E95">
        <w:tc>
          <w:tcPr>
            <w:tcW w:w="9637" w:type="dxa"/>
            <w:gridSpan w:val="3"/>
            <w:tcBorders>
              <w:top w:val="single" w:sz="4" w:space="0" w:color="auto"/>
              <w:bottom w:val="single" w:sz="4" w:space="0" w:color="A6A6A6"/>
            </w:tcBorders>
            <w:hideMark/>
          </w:tcPr>
          <w:p w14:paraId="71323A22" w14:textId="77777777" w:rsidR="005F4A7E" w:rsidRPr="002029AF" w:rsidRDefault="005F4A7E" w:rsidP="00130D1C">
            <w:pPr>
              <w:pStyle w:val="ARfintablebodybold"/>
            </w:pPr>
            <w:r w:rsidRPr="00FC7200">
              <w:t>Gross carrying amount</w:t>
            </w:r>
          </w:p>
        </w:tc>
      </w:tr>
      <w:tr w:rsidR="005F4A7E" w:rsidRPr="002029AF" w14:paraId="2748205F" w14:textId="77777777" w:rsidTr="00860E95">
        <w:tc>
          <w:tcPr>
            <w:tcW w:w="7371" w:type="dxa"/>
            <w:tcBorders>
              <w:top w:val="single" w:sz="4" w:space="0" w:color="A6A6A6"/>
              <w:bottom w:val="single" w:sz="4" w:space="0" w:color="A6A6A6"/>
            </w:tcBorders>
            <w:hideMark/>
          </w:tcPr>
          <w:p w14:paraId="58A67C70" w14:textId="77777777" w:rsidR="005F4A7E" w:rsidRPr="002029AF" w:rsidRDefault="005F4A7E" w:rsidP="00130D1C">
            <w:pPr>
              <w:pStyle w:val="ARfintablebodybold"/>
            </w:pPr>
            <w:r w:rsidRPr="00FC7200">
              <w:t>Opening balance</w:t>
            </w:r>
          </w:p>
        </w:tc>
        <w:tc>
          <w:tcPr>
            <w:tcW w:w="1133" w:type="dxa"/>
            <w:tcBorders>
              <w:top w:val="single" w:sz="4" w:space="0" w:color="A6A6A6"/>
              <w:bottom w:val="single" w:sz="4" w:space="0" w:color="A6A6A6"/>
            </w:tcBorders>
            <w:shd w:val="clear" w:color="auto" w:fill="E7E6E6"/>
            <w:noWrap/>
            <w:hideMark/>
          </w:tcPr>
          <w:p w14:paraId="0600C83B" w14:textId="77777777" w:rsidR="005F4A7E" w:rsidRPr="002029AF" w:rsidRDefault="005F4A7E" w:rsidP="00130D1C">
            <w:pPr>
              <w:pStyle w:val="ARfintablebodyrightbold"/>
            </w:pPr>
            <w:r w:rsidRPr="00FC7200">
              <w:t>265.2</w:t>
            </w:r>
          </w:p>
        </w:tc>
        <w:tc>
          <w:tcPr>
            <w:tcW w:w="1133" w:type="dxa"/>
            <w:tcBorders>
              <w:top w:val="single" w:sz="4" w:space="0" w:color="A6A6A6"/>
              <w:bottom w:val="single" w:sz="4" w:space="0" w:color="A6A6A6"/>
            </w:tcBorders>
            <w:noWrap/>
            <w:hideMark/>
          </w:tcPr>
          <w:p w14:paraId="670E365B" w14:textId="77777777" w:rsidR="005F4A7E" w:rsidRPr="002029AF" w:rsidRDefault="005F4A7E" w:rsidP="00130D1C">
            <w:pPr>
              <w:pStyle w:val="ARfintablebodyrightbold"/>
            </w:pPr>
            <w:r w:rsidRPr="00FC7200">
              <w:t>213.4</w:t>
            </w:r>
          </w:p>
        </w:tc>
      </w:tr>
      <w:tr w:rsidR="005F4A7E" w:rsidRPr="002029AF" w14:paraId="78A2387B" w14:textId="77777777" w:rsidTr="00860E95">
        <w:tc>
          <w:tcPr>
            <w:tcW w:w="7371" w:type="dxa"/>
            <w:tcBorders>
              <w:top w:val="single" w:sz="4" w:space="0" w:color="A6A6A6"/>
              <w:bottom w:val="single" w:sz="4" w:space="0" w:color="A6A6A6"/>
            </w:tcBorders>
            <w:hideMark/>
          </w:tcPr>
          <w:p w14:paraId="150E91CA" w14:textId="77777777" w:rsidR="005F4A7E" w:rsidRPr="002029AF" w:rsidRDefault="005F4A7E" w:rsidP="00130D1C">
            <w:pPr>
              <w:pStyle w:val="ARfintablebody"/>
            </w:pPr>
            <w:r w:rsidRPr="00FC7200">
              <w:t>Administrative instrument transfers</w:t>
            </w:r>
          </w:p>
        </w:tc>
        <w:tc>
          <w:tcPr>
            <w:tcW w:w="1133" w:type="dxa"/>
            <w:tcBorders>
              <w:top w:val="single" w:sz="4" w:space="0" w:color="A6A6A6"/>
              <w:bottom w:val="single" w:sz="4" w:space="0" w:color="A6A6A6"/>
            </w:tcBorders>
            <w:shd w:val="clear" w:color="auto" w:fill="E7E6E6"/>
            <w:noWrap/>
            <w:hideMark/>
          </w:tcPr>
          <w:p w14:paraId="6AFBAB7A" w14:textId="77777777" w:rsidR="005F4A7E" w:rsidRPr="002029AF" w:rsidRDefault="005F4A7E" w:rsidP="00130D1C">
            <w:pPr>
              <w:pStyle w:val="ARfintablebodyright"/>
            </w:pPr>
            <w:r w:rsidRPr="00FC7200">
              <w:t>(2.2)</w:t>
            </w:r>
          </w:p>
        </w:tc>
        <w:tc>
          <w:tcPr>
            <w:tcW w:w="1133" w:type="dxa"/>
            <w:tcBorders>
              <w:top w:val="single" w:sz="4" w:space="0" w:color="A6A6A6"/>
              <w:bottom w:val="single" w:sz="4" w:space="0" w:color="A6A6A6"/>
            </w:tcBorders>
            <w:noWrap/>
            <w:hideMark/>
          </w:tcPr>
          <w:p w14:paraId="53EE50E5" w14:textId="77777777" w:rsidR="005F4A7E" w:rsidRPr="002029AF" w:rsidRDefault="005F4A7E" w:rsidP="00130D1C">
            <w:pPr>
              <w:pStyle w:val="ARfintablebodyright"/>
            </w:pPr>
            <w:r w:rsidRPr="00FC7200">
              <w:t>–</w:t>
            </w:r>
          </w:p>
        </w:tc>
      </w:tr>
      <w:tr w:rsidR="005F4A7E" w:rsidRPr="002029AF" w14:paraId="262A34B0" w14:textId="77777777" w:rsidTr="00860E95">
        <w:tc>
          <w:tcPr>
            <w:tcW w:w="7371" w:type="dxa"/>
            <w:tcBorders>
              <w:top w:val="single" w:sz="4" w:space="0" w:color="A6A6A6"/>
            </w:tcBorders>
            <w:hideMark/>
          </w:tcPr>
          <w:p w14:paraId="025DB7FB" w14:textId="77777777" w:rsidR="005F4A7E" w:rsidRPr="002029AF" w:rsidRDefault="005F4A7E" w:rsidP="00130D1C">
            <w:pPr>
              <w:pStyle w:val="ARfintablebody"/>
            </w:pPr>
            <w:r w:rsidRPr="00FC7200">
              <w:t>Additions from internal development</w:t>
            </w:r>
          </w:p>
        </w:tc>
        <w:tc>
          <w:tcPr>
            <w:tcW w:w="1133" w:type="dxa"/>
            <w:tcBorders>
              <w:top w:val="single" w:sz="4" w:space="0" w:color="A6A6A6"/>
            </w:tcBorders>
            <w:shd w:val="clear" w:color="auto" w:fill="E7E6E6"/>
            <w:noWrap/>
            <w:hideMark/>
          </w:tcPr>
          <w:p w14:paraId="6067BDDF" w14:textId="77777777" w:rsidR="005F4A7E" w:rsidRPr="002029AF" w:rsidRDefault="005F4A7E" w:rsidP="00130D1C">
            <w:pPr>
              <w:pStyle w:val="ARfintablebodyright"/>
            </w:pPr>
            <w:r w:rsidRPr="00FC7200">
              <w:t>88.1</w:t>
            </w:r>
          </w:p>
        </w:tc>
        <w:tc>
          <w:tcPr>
            <w:tcW w:w="1133" w:type="dxa"/>
            <w:tcBorders>
              <w:top w:val="single" w:sz="4" w:space="0" w:color="A6A6A6"/>
            </w:tcBorders>
            <w:noWrap/>
            <w:hideMark/>
          </w:tcPr>
          <w:p w14:paraId="06EBFBDE" w14:textId="77777777" w:rsidR="005F4A7E" w:rsidRPr="002029AF" w:rsidRDefault="005F4A7E" w:rsidP="00130D1C">
            <w:pPr>
              <w:pStyle w:val="ARfintablebodyright"/>
            </w:pPr>
            <w:r w:rsidRPr="00FC7200">
              <w:t>51.8</w:t>
            </w:r>
          </w:p>
        </w:tc>
      </w:tr>
      <w:tr w:rsidR="005F4A7E" w:rsidRPr="002029AF" w14:paraId="6234659C" w14:textId="77777777" w:rsidTr="00860E95">
        <w:tc>
          <w:tcPr>
            <w:tcW w:w="7371" w:type="dxa"/>
            <w:tcBorders>
              <w:bottom w:val="single" w:sz="4" w:space="0" w:color="auto"/>
            </w:tcBorders>
            <w:hideMark/>
          </w:tcPr>
          <w:p w14:paraId="3C3410E4" w14:textId="77777777" w:rsidR="005F4A7E" w:rsidRPr="002029AF" w:rsidRDefault="005F4A7E" w:rsidP="00130D1C">
            <w:pPr>
              <w:pStyle w:val="ARfintablebodybold"/>
            </w:pPr>
            <w:r w:rsidRPr="00FC7200">
              <w:t>Closing balance</w:t>
            </w:r>
          </w:p>
        </w:tc>
        <w:tc>
          <w:tcPr>
            <w:tcW w:w="1133" w:type="dxa"/>
            <w:tcBorders>
              <w:bottom w:val="single" w:sz="4" w:space="0" w:color="auto"/>
            </w:tcBorders>
            <w:shd w:val="clear" w:color="auto" w:fill="E7E6E6"/>
            <w:noWrap/>
            <w:hideMark/>
          </w:tcPr>
          <w:p w14:paraId="3478C336" w14:textId="77777777" w:rsidR="005F4A7E" w:rsidRPr="002029AF" w:rsidRDefault="005F4A7E" w:rsidP="00130D1C">
            <w:pPr>
              <w:pStyle w:val="ARfintablebodyrightbold"/>
            </w:pPr>
            <w:r w:rsidRPr="00FC7200">
              <w:t>351.1</w:t>
            </w:r>
          </w:p>
        </w:tc>
        <w:tc>
          <w:tcPr>
            <w:tcW w:w="1133" w:type="dxa"/>
            <w:tcBorders>
              <w:bottom w:val="single" w:sz="4" w:space="0" w:color="auto"/>
            </w:tcBorders>
            <w:noWrap/>
            <w:hideMark/>
          </w:tcPr>
          <w:p w14:paraId="17E5B3EE" w14:textId="77777777" w:rsidR="005F4A7E" w:rsidRPr="002029AF" w:rsidRDefault="005F4A7E" w:rsidP="00130D1C">
            <w:pPr>
              <w:pStyle w:val="ARfintablebodyrightbold"/>
            </w:pPr>
            <w:r w:rsidRPr="00FC7200">
              <w:t>265.2</w:t>
            </w:r>
          </w:p>
        </w:tc>
      </w:tr>
      <w:tr w:rsidR="005F4A7E" w:rsidRPr="002029AF" w14:paraId="7F06B653" w14:textId="77777777" w:rsidTr="00860E95">
        <w:tc>
          <w:tcPr>
            <w:tcW w:w="9637" w:type="dxa"/>
            <w:gridSpan w:val="3"/>
            <w:tcBorders>
              <w:top w:val="single" w:sz="4" w:space="0" w:color="auto"/>
              <w:bottom w:val="single" w:sz="4" w:space="0" w:color="A6A6A6"/>
            </w:tcBorders>
            <w:hideMark/>
          </w:tcPr>
          <w:p w14:paraId="0F2AFBB3" w14:textId="77777777" w:rsidR="005F4A7E" w:rsidRPr="002029AF" w:rsidRDefault="005F4A7E" w:rsidP="00130D1C">
            <w:pPr>
              <w:pStyle w:val="ARfintablebodybold"/>
            </w:pPr>
            <w:r w:rsidRPr="00FC7200">
              <w:t>Accumulated amortisation and impairment</w:t>
            </w:r>
          </w:p>
        </w:tc>
      </w:tr>
      <w:tr w:rsidR="005F4A7E" w:rsidRPr="002029AF" w14:paraId="47A50EF7" w14:textId="77777777" w:rsidTr="00860E95">
        <w:tc>
          <w:tcPr>
            <w:tcW w:w="7371" w:type="dxa"/>
            <w:tcBorders>
              <w:top w:val="single" w:sz="4" w:space="0" w:color="A6A6A6"/>
              <w:bottom w:val="single" w:sz="4" w:space="0" w:color="A6A6A6"/>
            </w:tcBorders>
            <w:hideMark/>
          </w:tcPr>
          <w:p w14:paraId="3F8D861D" w14:textId="77777777" w:rsidR="005F4A7E" w:rsidRPr="002029AF" w:rsidRDefault="005F4A7E" w:rsidP="00130D1C">
            <w:pPr>
              <w:pStyle w:val="ARfintablebodybold"/>
            </w:pPr>
            <w:r w:rsidRPr="00FC7200">
              <w:t>Opening balance</w:t>
            </w:r>
          </w:p>
        </w:tc>
        <w:tc>
          <w:tcPr>
            <w:tcW w:w="1133" w:type="dxa"/>
            <w:tcBorders>
              <w:top w:val="single" w:sz="4" w:space="0" w:color="A6A6A6"/>
              <w:bottom w:val="single" w:sz="4" w:space="0" w:color="A6A6A6"/>
            </w:tcBorders>
            <w:shd w:val="clear" w:color="auto" w:fill="E7E6E6"/>
            <w:noWrap/>
            <w:hideMark/>
          </w:tcPr>
          <w:p w14:paraId="335ED908" w14:textId="77777777" w:rsidR="005F4A7E" w:rsidRPr="002029AF" w:rsidRDefault="005F4A7E" w:rsidP="00130D1C">
            <w:pPr>
              <w:pStyle w:val="ARfintablebodyrightbold"/>
            </w:pPr>
            <w:r w:rsidRPr="00FC7200">
              <w:t>(130.8)</w:t>
            </w:r>
          </w:p>
        </w:tc>
        <w:tc>
          <w:tcPr>
            <w:tcW w:w="1133" w:type="dxa"/>
            <w:tcBorders>
              <w:top w:val="single" w:sz="4" w:space="0" w:color="A6A6A6"/>
              <w:bottom w:val="single" w:sz="4" w:space="0" w:color="A6A6A6"/>
            </w:tcBorders>
            <w:noWrap/>
            <w:hideMark/>
          </w:tcPr>
          <w:p w14:paraId="58B8E138" w14:textId="77777777" w:rsidR="005F4A7E" w:rsidRPr="002029AF" w:rsidRDefault="005F4A7E" w:rsidP="00130D1C">
            <w:pPr>
              <w:pStyle w:val="ARfintablebodyrightbold"/>
            </w:pPr>
            <w:r w:rsidRPr="00FC7200">
              <w:t>(104.9)</w:t>
            </w:r>
          </w:p>
        </w:tc>
      </w:tr>
      <w:tr w:rsidR="005F4A7E" w:rsidRPr="002029AF" w14:paraId="3A53627C" w14:textId="77777777" w:rsidTr="00860E95">
        <w:tc>
          <w:tcPr>
            <w:tcW w:w="7371" w:type="dxa"/>
            <w:tcBorders>
              <w:top w:val="single" w:sz="4" w:space="0" w:color="A6A6A6"/>
            </w:tcBorders>
            <w:hideMark/>
          </w:tcPr>
          <w:p w14:paraId="223BE99B" w14:textId="77777777" w:rsidR="005F4A7E" w:rsidRPr="002029AF" w:rsidRDefault="005F4A7E" w:rsidP="00130D1C">
            <w:pPr>
              <w:pStyle w:val="ARfintablebody"/>
            </w:pPr>
            <w:r w:rsidRPr="00FC7200">
              <w:t>Amortisation of intangible produced assets</w:t>
            </w:r>
          </w:p>
        </w:tc>
        <w:tc>
          <w:tcPr>
            <w:tcW w:w="1133" w:type="dxa"/>
            <w:tcBorders>
              <w:top w:val="single" w:sz="4" w:space="0" w:color="A6A6A6"/>
            </w:tcBorders>
            <w:shd w:val="clear" w:color="auto" w:fill="E7E6E6"/>
            <w:noWrap/>
            <w:hideMark/>
          </w:tcPr>
          <w:p w14:paraId="6F7DAAE9" w14:textId="77777777" w:rsidR="005F4A7E" w:rsidRPr="002029AF" w:rsidRDefault="005F4A7E" w:rsidP="00130D1C">
            <w:pPr>
              <w:pStyle w:val="ARfintablebodyright"/>
            </w:pPr>
            <w:r w:rsidRPr="00FC7200">
              <w:t>(44.4)</w:t>
            </w:r>
          </w:p>
        </w:tc>
        <w:tc>
          <w:tcPr>
            <w:tcW w:w="1133" w:type="dxa"/>
            <w:tcBorders>
              <w:top w:val="single" w:sz="4" w:space="0" w:color="A6A6A6"/>
            </w:tcBorders>
            <w:noWrap/>
            <w:hideMark/>
          </w:tcPr>
          <w:p w14:paraId="4312910C" w14:textId="77777777" w:rsidR="005F4A7E" w:rsidRPr="002029AF" w:rsidRDefault="005F4A7E" w:rsidP="00130D1C">
            <w:pPr>
              <w:pStyle w:val="ARfintablebodyright"/>
            </w:pPr>
            <w:r w:rsidRPr="00FC7200">
              <w:t>(25.9)</w:t>
            </w:r>
          </w:p>
        </w:tc>
      </w:tr>
      <w:tr w:rsidR="005F4A7E" w:rsidRPr="002029AF" w14:paraId="54E05F9C" w14:textId="77777777" w:rsidTr="00860E95">
        <w:tc>
          <w:tcPr>
            <w:tcW w:w="7371" w:type="dxa"/>
            <w:hideMark/>
          </w:tcPr>
          <w:p w14:paraId="2BF602D1" w14:textId="77777777" w:rsidR="005F4A7E" w:rsidRPr="002029AF" w:rsidRDefault="005F4A7E" w:rsidP="00130D1C">
            <w:pPr>
              <w:pStyle w:val="ARfintablebodybold"/>
            </w:pPr>
            <w:r w:rsidRPr="00FC7200">
              <w:t>Closing balance</w:t>
            </w:r>
          </w:p>
        </w:tc>
        <w:tc>
          <w:tcPr>
            <w:tcW w:w="1133" w:type="dxa"/>
            <w:shd w:val="clear" w:color="auto" w:fill="E7E6E6"/>
            <w:noWrap/>
            <w:hideMark/>
          </w:tcPr>
          <w:p w14:paraId="17D6E89D" w14:textId="77777777" w:rsidR="005F4A7E" w:rsidRPr="002029AF" w:rsidRDefault="005F4A7E" w:rsidP="00130D1C">
            <w:pPr>
              <w:pStyle w:val="ARfintablebodyrightbold"/>
            </w:pPr>
            <w:r w:rsidRPr="00FC7200">
              <w:t>(175.2)</w:t>
            </w:r>
          </w:p>
        </w:tc>
        <w:tc>
          <w:tcPr>
            <w:tcW w:w="1133" w:type="dxa"/>
            <w:noWrap/>
            <w:hideMark/>
          </w:tcPr>
          <w:p w14:paraId="2AA69CF6" w14:textId="77777777" w:rsidR="005F4A7E" w:rsidRPr="002029AF" w:rsidRDefault="005F4A7E" w:rsidP="00130D1C">
            <w:pPr>
              <w:pStyle w:val="ARfintablebodyrightbold"/>
            </w:pPr>
            <w:r w:rsidRPr="00FC7200">
              <w:t>(130.8)</w:t>
            </w:r>
          </w:p>
        </w:tc>
      </w:tr>
      <w:tr w:rsidR="005F4A7E" w:rsidRPr="002029AF" w14:paraId="6E673E41" w14:textId="77777777" w:rsidTr="00860E95">
        <w:tc>
          <w:tcPr>
            <w:tcW w:w="7371" w:type="dxa"/>
            <w:hideMark/>
          </w:tcPr>
          <w:p w14:paraId="3EC0C022" w14:textId="77777777" w:rsidR="005F4A7E" w:rsidRPr="002029AF" w:rsidRDefault="005F4A7E" w:rsidP="00130D1C">
            <w:pPr>
              <w:pStyle w:val="ARfintablebodybold"/>
            </w:pPr>
            <w:r w:rsidRPr="00FC7200">
              <w:t>Net book value at end of financial year</w:t>
            </w:r>
          </w:p>
        </w:tc>
        <w:tc>
          <w:tcPr>
            <w:tcW w:w="1133" w:type="dxa"/>
            <w:shd w:val="clear" w:color="auto" w:fill="E7E6E6"/>
            <w:noWrap/>
            <w:hideMark/>
          </w:tcPr>
          <w:p w14:paraId="0397B7BD" w14:textId="77777777" w:rsidR="005F4A7E" w:rsidRPr="002029AF" w:rsidRDefault="005F4A7E" w:rsidP="00130D1C">
            <w:pPr>
              <w:pStyle w:val="ARfintablebodyrightbold"/>
            </w:pPr>
            <w:r w:rsidRPr="00FC7200">
              <w:t>175.9</w:t>
            </w:r>
          </w:p>
        </w:tc>
        <w:tc>
          <w:tcPr>
            <w:tcW w:w="1133" w:type="dxa"/>
            <w:noWrap/>
            <w:hideMark/>
          </w:tcPr>
          <w:p w14:paraId="6E7089E6" w14:textId="77777777" w:rsidR="005F4A7E" w:rsidRPr="002029AF" w:rsidRDefault="005F4A7E" w:rsidP="00130D1C">
            <w:pPr>
              <w:pStyle w:val="ARfintablebodyrightbold"/>
            </w:pPr>
            <w:r w:rsidRPr="00FC7200">
              <w:t>134.4</w:t>
            </w:r>
          </w:p>
        </w:tc>
      </w:tr>
    </w:tbl>
    <w:p w14:paraId="09CC2DA4" w14:textId="77777777" w:rsidR="005F4A7E" w:rsidRDefault="005F4A7E" w:rsidP="00130D1C">
      <w:pPr>
        <w:pStyle w:val="ARfintablefootnote"/>
        <w:spacing w:line="240" w:lineRule="auto"/>
        <w:rPr>
          <w:lang w:eastAsia="en-AU"/>
        </w:rPr>
      </w:pPr>
      <w:r>
        <w:rPr>
          <w:lang w:eastAsia="en-AU"/>
        </w:rPr>
        <w:t>Note:</w:t>
      </w:r>
    </w:p>
    <w:p w14:paraId="78FFA0F3" w14:textId="77777777" w:rsidR="005F4A7E" w:rsidRDefault="005F4A7E" w:rsidP="00130D1C">
      <w:pPr>
        <w:pStyle w:val="ARfintablefootnoteindent"/>
        <w:rPr>
          <w:b/>
        </w:rPr>
      </w:pPr>
      <w:r>
        <w:t>(i)</w:t>
      </w:r>
      <w:r>
        <w:tab/>
        <w:t>Intangible assets comprise computer software.</w:t>
      </w:r>
    </w:p>
    <w:p w14:paraId="01CE8936" w14:textId="77777777" w:rsidR="005F4A7E" w:rsidRDefault="005F4A7E" w:rsidP="00130D1C">
      <w:pPr>
        <w:pStyle w:val="Heading5"/>
      </w:pPr>
      <w:bookmarkStart w:id="903" w:name="_Toc85121441"/>
      <w:r>
        <w:t>Initial recognition</w:t>
      </w:r>
      <w:bookmarkEnd w:id="903"/>
    </w:p>
    <w:p w14:paraId="6B7284B4" w14:textId="77777777" w:rsidR="005F4A7E" w:rsidRDefault="005F4A7E" w:rsidP="00130D1C">
      <w:pPr>
        <w:pStyle w:val="ARfinbody"/>
      </w:pPr>
      <w:r>
        <w:t>An</w:t>
      </w:r>
      <w:r>
        <w:rPr>
          <w:b/>
          <w:bCs/>
        </w:rPr>
        <w:t xml:space="preserve"> </w:t>
      </w:r>
      <w:r>
        <w:rPr>
          <w:rStyle w:val="Strong"/>
        </w:rPr>
        <w:t>internally generated intangible asset</w:t>
      </w:r>
      <w:r>
        <w:t xml:space="preserve"> arising from development (or from the development phase of an internal project) is recognised if, and only if, all of the following are demonstrated:</w:t>
      </w:r>
    </w:p>
    <w:p w14:paraId="2359CE0D" w14:textId="77777777" w:rsidR="005F4A7E" w:rsidRPr="00AF7416" w:rsidRDefault="005F4A7E" w:rsidP="005F4A7E">
      <w:pPr>
        <w:pStyle w:val="ARfinbullet1"/>
        <w:numPr>
          <w:ilvl w:val="0"/>
          <w:numId w:val="2"/>
        </w:numPr>
      </w:pPr>
      <w:r>
        <w:t>the tec</w:t>
      </w:r>
      <w:r w:rsidRPr="00AF7416">
        <w:t>hnical feasibility of completing the intangible asset so that it will be available for use or sale</w:t>
      </w:r>
    </w:p>
    <w:p w14:paraId="47429F6A" w14:textId="77777777" w:rsidR="005F4A7E" w:rsidRPr="00AF7416" w:rsidRDefault="005F4A7E" w:rsidP="005F4A7E">
      <w:pPr>
        <w:pStyle w:val="ARfinbullet1"/>
        <w:numPr>
          <w:ilvl w:val="0"/>
          <w:numId w:val="2"/>
        </w:numPr>
      </w:pPr>
      <w:r w:rsidRPr="00AF7416">
        <w:t>an intention to complete the intangible asset and use or sell it</w:t>
      </w:r>
    </w:p>
    <w:p w14:paraId="61EA856A" w14:textId="77777777" w:rsidR="005F4A7E" w:rsidRPr="00AF7416" w:rsidRDefault="005F4A7E" w:rsidP="005F4A7E">
      <w:pPr>
        <w:pStyle w:val="ARfinbullet1"/>
        <w:numPr>
          <w:ilvl w:val="0"/>
          <w:numId w:val="2"/>
        </w:numPr>
      </w:pPr>
      <w:r w:rsidRPr="00AF7416">
        <w:t>the ability to use or sell the intangible asset</w:t>
      </w:r>
    </w:p>
    <w:p w14:paraId="7D0D2086" w14:textId="77777777" w:rsidR="005F4A7E" w:rsidRPr="00AF7416" w:rsidRDefault="005F4A7E" w:rsidP="005F4A7E">
      <w:pPr>
        <w:pStyle w:val="ARfinbullet1"/>
        <w:numPr>
          <w:ilvl w:val="0"/>
          <w:numId w:val="2"/>
        </w:numPr>
      </w:pPr>
      <w:r w:rsidRPr="00AF7416">
        <w:t>the intangible asset will generate probable future economic benefits</w:t>
      </w:r>
    </w:p>
    <w:p w14:paraId="7BA5BFE5" w14:textId="77777777" w:rsidR="005F4A7E" w:rsidRPr="00AF7416" w:rsidRDefault="005F4A7E" w:rsidP="005F4A7E">
      <w:pPr>
        <w:pStyle w:val="ARfinbullet1"/>
        <w:numPr>
          <w:ilvl w:val="0"/>
          <w:numId w:val="2"/>
        </w:numPr>
      </w:pPr>
      <w:r w:rsidRPr="00AF7416">
        <w:t>the availability of adequate technical, financial and other resources to complete the development and to use or</w:t>
      </w:r>
      <w:r>
        <w:t> </w:t>
      </w:r>
      <w:r w:rsidRPr="00AF7416">
        <w:t>sell</w:t>
      </w:r>
      <w:r>
        <w:t> </w:t>
      </w:r>
      <w:r w:rsidRPr="00AF7416">
        <w:t>the intangible asset</w:t>
      </w:r>
    </w:p>
    <w:p w14:paraId="20BFA0EA" w14:textId="77777777" w:rsidR="005F4A7E" w:rsidRDefault="005F4A7E" w:rsidP="005F4A7E">
      <w:pPr>
        <w:pStyle w:val="ARfinbullet1"/>
        <w:numPr>
          <w:ilvl w:val="0"/>
          <w:numId w:val="2"/>
        </w:numPr>
      </w:pPr>
      <w:r w:rsidRPr="00AF7416">
        <w:t>the ability to measure re</w:t>
      </w:r>
      <w:r>
        <w:t>liably the expenditure attributable to the intangible asset during its development.</w:t>
      </w:r>
    </w:p>
    <w:p w14:paraId="728CFA0F" w14:textId="77777777" w:rsidR="005F4A7E" w:rsidRDefault="005F4A7E" w:rsidP="00130D1C">
      <w:pPr>
        <w:pStyle w:val="Heading5"/>
        <w:spacing w:before="160"/>
      </w:pPr>
      <w:bookmarkStart w:id="904" w:name="_Toc85121442"/>
      <w:r>
        <w:t>Subsequent measurement</w:t>
      </w:r>
      <w:bookmarkEnd w:id="904"/>
    </w:p>
    <w:p w14:paraId="2562157A" w14:textId="06D197AB" w:rsidR="005F4A7E" w:rsidRDefault="005F4A7E" w:rsidP="00130D1C">
      <w:pPr>
        <w:pStyle w:val="ARfinbody"/>
      </w:pPr>
      <w:r>
        <w:t xml:space="preserve">Intangible produced assets with finite useful lives, are amortised as an </w:t>
      </w:r>
      <w:r w:rsidR="007D145B">
        <w:t>‘</w:t>
      </w:r>
      <w:r>
        <w:t>expense from transactions</w:t>
      </w:r>
      <w:r w:rsidR="007D145B">
        <w:t>’</w:t>
      </w:r>
      <w:r>
        <w:t xml:space="preserve"> on a straight-line basis over their useful lives. Produced intangible assets have useful lives of between 3 and 20 years.</w:t>
      </w:r>
    </w:p>
    <w:p w14:paraId="3EDE9EE5" w14:textId="77777777" w:rsidR="005F4A7E" w:rsidRDefault="005F4A7E" w:rsidP="00130D1C">
      <w:pPr>
        <w:pStyle w:val="ARfinbody"/>
        <w:rPr>
          <w:b/>
        </w:rPr>
      </w:pPr>
      <w:r>
        <w:t>Service concession intangible assets recognised by applying AASB 1059 are subsequently measured at fair value (current replacement cost).</w:t>
      </w:r>
    </w:p>
    <w:p w14:paraId="7D828C28" w14:textId="77777777" w:rsidR="005F4A7E" w:rsidRDefault="005F4A7E" w:rsidP="00130D1C">
      <w:pPr>
        <w:pStyle w:val="Heading5"/>
        <w:spacing w:before="160"/>
      </w:pPr>
      <w:bookmarkStart w:id="905" w:name="_Toc85121443"/>
      <w:r>
        <w:t>Impairment of intangible assets</w:t>
      </w:r>
      <w:bookmarkEnd w:id="905"/>
    </w:p>
    <w:p w14:paraId="1447D9FD" w14:textId="77777777" w:rsidR="005F4A7E" w:rsidRDefault="005F4A7E" w:rsidP="00130D1C">
      <w:pPr>
        <w:pStyle w:val="ARfinbody"/>
      </w:pPr>
      <w:r>
        <w:t>Intangible assets with finite useful lives are tested annually for impairment whenever an indication of impairment is identified.</w:t>
      </w:r>
    </w:p>
    <w:p w14:paraId="23827157" w14:textId="77777777" w:rsidR="005F4A7E" w:rsidRDefault="005F4A7E" w:rsidP="00130D1C">
      <w:pPr>
        <w:pStyle w:val="Heading4"/>
        <w:rPr>
          <w:lang w:eastAsia="en-AU"/>
        </w:rPr>
      </w:pPr>
      <w:bookmarkStart w:id="906" w:name="_Toc39242147"/>
      <w:bookmarkStart w:id="907" w:name="_Toc85121444"/>
      <w:r>
        <w:rPr>
          <w:lang w:eastAsia="en-AU"/>
        </w:rPr>
        <w:t>5.3 Investments accounted for using the equity method</w:t>
      </w:r>
      <w:bookmarkEnd w:id="906"/>
      <w:bookmarkEnd w:id="907"/>
    </w:p>
    <w:p w14:paraId="5E42D372" w14:textId="77777777" w:rsidR="005F4A7E" w:rsidRDefault="005F4A7E" w:rsidP="00130D1C">
      <w:pPr>
        <w:pStyle w:val="ARfinbody"/>
      </w:pPr>
      <w:r>
        <w:t>The department had an interest in a joint venture with Monash University in the Australian Regenerative Medical Institute (ARMI). This investment was accounted for at cost however the investment was impaired as at 30 June 2020 due to commencement of termination proceedings.</w:t>
      </w:r>
    </w:p>
    <w:p w14:paraId="44B6A923" w14:textId="77777777" w:rsidR="005F4A7E" w:rsidRDefault="005F4A7E" w:rsidP="00130D1C">
      <w:pPr>
        <w:pStyle w:val="Heading5"/>
        <w:spacing w:before="160"/>
        <w:rPr>
          <w:lang w:eastAsia="en-AU"/>
        </w:rPr>
      </w:pPr>
      <w:bookmarkStart w:id="908" w:name="_Toc85121445"/>
      <w:r>
        <w:rPr>
          <w:lang w:eastAsia="en-AU"/>
        </w:rPr>
        <w:t>5.3.1 Details of joint venture</w:t>
      </w:r>
      <w:bookmarkEnd w:id="908"/>
    </w:p>
    <w:p w14:paraId="2E836CB2" w14:textId="77777777" w:rsidR="005F4A7E" w:rsidRDefault="005F4A7E" w:rsidP="00130D1C">
      <w:pPr>
        <w:pStyle w:val="ARfinbody"/>
      </w:pPr>
      <w:r>
        <w:t>ARMI was established to construct and operate a facility which will promote Victoria as a global leader in regenerative medical research, foster and develop existing research collaboration on domestic and overseas projects, and provide a major site for undergraduate and postgraduate training programs. In accordance with the Joint Venture Agreement, either party of the joint venture may terminate the joint venture from June 2020. Monash University commenced termination proceedings in June 2020 and accordingly the Joint Venture investment has been impaired to its fair value of nil. The Joint Venture has been formally deregistered as at 1 October 2020.</w:t>
      </w:r>
    </w:p>
    <w:tbl>
      <w:tblPr>
        <w:tblStyle w:val="TableGrid"/>
        <w:tblW w:w="9639" w:type="dxa"/>
        <w:tblLayout w:type="fixed"/>
        <w:tblLook w:val="02A0" w:firstRow="1" w:lastRow="0" w:firstColumn="1" w:lastColumn="0" w:noHBand="1" w:noVBand="0"/>
      </w:tblPr>
      <w:tblGrid>
        <w:gridCol w:w="1425"/>
        <w:gridCol w:w="2395"/>
        <w:gridCol w:w="2395"/>
        <w:gridCol w:w="856"/>
        <w:gridCol w:w="856"/>
        <w:gridCol w:w="856"/>
        <w:gridCol w:w="856"/>
      </w:tblGrid>
      <w:tr w:rsidR="005F4A7E" w:rsidRPr="002029AF" w14:paraId="00A7C4CC"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1425" w:type="dxa"/>
            <w:vMerge w:val="restart"/>
            <w:hideMark/>
          </w:tcPr>
          <w:p w14:paraId="02EDBF5C" w14:textId="77777777" w:rsidR="005F4A7E" w:rsidRPr="002029AF" w:rsidRDefault="005F4A7E" w:rsidP="00860E95">
            <w:pPr>
              <w:pStyle w:val="ARfintablecolhead"/>
            </w:pPr>
            <w:r w:rsidRPr="002029AF">
              <w:t>Name of entity</w:t>
            </w:r>
          </w:p>
        </w:tc>
        <w:tc>
          <w:tcPr>
            <w:tcW w:w="2395" w:type="dxa"/>
            <w:vMerge w:val="restart"/>
            <w:hideMark/>
          </w:tcPr>
          <w:p w14:paraId="75D2E5F7" w14:textId="77777777" w:rsidR="005F4A7E" w:rsidRPr="002029AF" w:rsidRDefault="005F4A7E" w:rsidP="00860E95">
            <w:pPr>
              <w:pStyle w:val="ARfintablecolhead"/>
            </w:pPr>
            <w:r w:rsidRPr="002029AF">
              <w:t>Country of incorporation</w:t>
            </w:r>
          </w:p>
        </w:tc>
        <w:tc>
          <w:tcPr>
            <w:tcW w:w="2395" w:type="dxa"/>
            <w:vMerge w:val="restart"/>
            <w:hideMark/>
          </w:tcPr>
          <w:p w14:paraId="36CD21C1" w14:textId="77777777" w:rsidR="005F4A7E" w:rsidRPr="002029AF" w:rsidRDefault="005F4A7E" w:rsidP="00860E95">
            <w:pPr>
              <w:pStyle w:val="ARfintablecolhead"/>
            </w:pPr>
            <w:r w:rsidRPr="002029AF">
              <w:t>Measurement method</w:t>
            </w:r>
          </w:p>
        </w:tc>
        <w:tc>
          <w:tcPr>
            <w:tcW w:w="1712" w:type="dxa"/>
            <w:gridSpan w:val="2"/>
            <w:hideMark/>
          </w:tcPr>
          <w:p w14:paraId="7694BE9A" w14:textId="77777777" w:rsidR="005F4A7E" w:rsidRPr="002029AF" w:rsidRDefault="005F4A7E" w:rsidP="00860E95">
            <w:pPr>
              <w:pStyle w:val="ARfintablecolheadcentre"/>
            </w:pPr>
            <w:r w:rsidRPr="002029AF">
              <w:t xml:space="preserve">Ownership </w:t>
            </w:r>
            <w:r w:rsidRPr="002029AF">
              <w:br/>
              <w:t>interest (%)</w:t>
            </w:r>
          </w:p>
        </w:tc>
        <w:tc>
          <w:tcPr>
            <w:tcW w:w="1712" w:type="dxa"/>
            <w:gridSpan w:val="2"/>
            <w:hideMark/>
          </w:tcPr>
          <w:p w14:paraId="436123D0" w14:textId="77777777" w:rsidR="005F4A7E" w:rsidRPr="002029AF" w:rsidRDefault="005F4A7E" w:rsidP="00860E95">
            <w:pPr>
              <w:pStyle w:val="ARfintablecolheadcentre"/>
            </w:pPr>
            <w:r w:rsidRPr="002029AF">
              <w:t xml:space="preserve">Published fair </w:t>
            </w:r>
            <w:r w:rsidRPr="002029AF">
              <w:br/>
              <w:t>value ($M)</w:t>
            </w:r>
          </w:p>
        </w:tc>
      </w:tr>
      <w:tr w:rsidR="005F4A7E" w:rsidRPr="002029AF" w14:paraId="2B2A7775"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1425" w:type="dxa"/>
            <w:vMerge/>
            <w:tcBorders>
              <w:bottom w:val="single" w:sz="4" w:space="0" w:color="auto"/>
            </w:tcBorders>
            <w:hideMark/>
          </w:tcPr>
          <w:p w14:paraId="3F357E9B" w14:textId="77777777" w:rsidR="005F4A7E" w:rsidRPr="002029AF" w:rsidRDefault="005F4A7E" w:rsidP="00860E95">
            <w:pPr>
              <w:pStyle w:val="ARfintablecolheadright"/>
            </w:pPr>
          </w:p>
        </w:tc>
        <w:tc>
          <w:tcPr>
            <w:tcW w:w="2395" w:type="dxa"/>
            <w:vMerge/>
            <w:tcBorders>
              <w:bottom w:val="single" w:sz="4" w:space="0" w:color="auto"/>
            </w:tcBorders>
            <w:hideMark/>
          </w:tcPr>
          <w:p w14:paraId="0246D881" w14:textId="77777777" w:rsidR="005F4A7E" w:rsidRPr="002029AF" w:rsidRDefault="005F4A7E" w:rsidP="00860E95">
            <w:pPr>
              <w:pStyle w:val="ARfintablecolheadright"/>
            </w:pPr>
          </w:p>
        </w:tc>
        <w:tc>
          <w:tcPr>
            <w:tcW w:w="2395" w:type="dxa"/>
            <w:vMerge/>
            <w:tcBorders>
              <w:bottom w:val="single" w:sz="4" w:space="0" w:color="auto"/>
            </w:tcBorders>
            <w:hideMark/>
          </w:tcPr>
          <w:p w14:paraId="72EC83C8" w14:textId="77777777" w:rsidR="005F4A7E" w:rsidRPr="002029AF" w:rsidRDefault="005F4A7E" w:rsidP="00860E95">
            <w:pPr>
              <w:pStyle w:val="ARfintablecolheadright"/>
            </w:pPr>
          </w:p>
        </w:tc>
        <w:tc>
          <w:tcPr>
            <w:tcW w:w="856" w:type="dxa"/>
            <w:tcBorders>
              <w:bottom w:val="single" w:sz="4" w:space="0" w:color="auto"/>
            </w:tcBorders>
            <w:shd w:val="clear" w:color="auto" w:fill="E7E6E6"/>
            <w:hideMark/>
          </w:tcPr>
          <w:p w14:paraId="76889554" w14:textId="77777777" w:rsidR="005F4A7E" w:rsidRPr="002029AF" w:rsidRDefault="005F4A7E" w:rsidP="00860E95">
            <w:pPr>
              <w:pStyle w:val="ARfintablecolheadright"/>
            </w:pPr>
            <w:r>
              <w:t>2021</w:t>
            </w:r>
          </w:p>
        </w:tc>
        <w:tc>
          <w:tcPr>
            <w:tcW w:w="856" w:type="dxa"/>
            <w:tcBorders>
              <w:bottom w:val="single" w:sz="4" w:space="0" w:color="auto"/>
            </w:tcBorders>
            <w:hideMark/>
          </w:tcPr>
          <w:p w14:paraId="70D5AA3A" w14:textId="77777777" w:rsidR="005F4A7E" w:rsidRPr="002029AF" w:rsidRDefault="005F4A7E" w:rsidP="00860E95">
            <w:pPr>
              <w:pStyle w:val="ARfintablecolheadright"/>
            </w:pPr>
            <w:r>
              <w:t>2020</w:t>
            </w:r>
          </w:p>
        </w:tc>
        <w:tc>
          <w:tcPr>
            <w:tcW w:w="856" w:type="dxa"/>
            <w:tcBorders>
              <w:bottom w:val="single" w:sz="4" w:space="0" w:color="auto"/>
            </w:tcBorders>
            <w:shd w:val="clear" w:color="auto" w:fill="E7E6E6"/>
            <w:hideMark/>
          </w:tcPr>
          <w:p w14:paraId="4FF076DE" w14:textId="77777777" w:rsidR="005F4A7E" w:rsidRPr="002029AF" w:rsidRDefault="005F4A7E" w:rsidP="00860E95">
            <w:pPr>
              <w:pStyle w:val="ARfintablecolheadright"/>
            </w:pPr>
            <w:r>
              <w:t>2021</w:t>
            </w:r>
          </w:p>
        </w:tc>
        <w:tc>
          <w:tcPr>
            <w:tcW w:w="856" w:type="dxa"/>
            <w:tcBorders>
              <w:bottom w:val="single" w:sz="4" w:space="0" w:color="auto"/>
            </w:tcBorders>
            <w:hideMark/>
          </w:tcPr>
          <w:p w14:paraId="570D0FF8" w14:textId="77777777" w:rsidR="005F4A7E" w:rsidRPr="002029AF" w:rsidRDefault="005F4A7E" w:rsidP="00860E95">
            <w:pPr>
              <w:pStyle w:val="ARfintablecolheadright"/>
            </w:pPr>
            <w:r>
              <w:t>2020</w:t>
            </w:r>
          </w:p>
        </w:tc>
      </w:tr>
      <w:tr w:rsidR="005F4A7E" w:rsidRPr="002029AF" w14:paraId="7F3846C2" w14:textId="77777777" w:rsidTr="00130D1C">
        <w:tc>
          <w:tcPr>
            <w:tcW w:w="9639" w:type="dxa"/>
            <w:gridSpan w:val="7"/>
            <w:tcBorders>
              <w:top w:val="single" w:sz="4" w:space="0" w:color="auto"/>
              <w:bottom w:val="single" w:sz="4" w:space="0" w:color="A6A6A6"/>
            </w:tcBorders>
            <w:hideMark/>
          </w:tcPr>
          <w:p w14:paraId="17359F98" w14:textId="77777777" w:rsidR="005F4A7E" w:rsidRPr="002029AF" w:rsidRDefault="005F4A7E" w:rsidP="00130D1C">
            <w:pPr>
              <w:pStyle w:val="ARfintablebodybold"/>
            </w:pPr>
            <w:r w:rsidRPr="002029AF">
              <w:t>Joint venture</w:t>
            </w:r>
          </w:p>
        </w:tc>
      </w:tr>
      <w:tr w:rsidR="005F4A7E" w:rsidRPr="002029AF" w14:paraId="110E8564" w14:textId="77777777" w:rsidTr="00130D1C">
        <w:tc>
          <w:tcPr>
            <w:tcW w:w="1425" w:type="dxa"/>
            <w:tcBorders>
              <w:top w:val="single" w:sz="4" w:space="0" w:color="A6A6A6"/>
            </w:tcBorders>
            <w:hideMark/>
          </w:tcPr>
          <w:p w14:paraId="2CFF77B0" w14:textId="77777777" w:rsidR="005F4A7E" w:rsidRPr="002029AF" w:rsidRDefault="005F4A7E" w:rsidP="00130D1C">
            <w:pPr>
              <w:pStyle w:val="ARfintablebody"/>
            </w:pPr>
            <w:r w:rsidRPr="002029AF">
              <w:t>ARMI</w:t>
            </w:r>
          </w:p>
        </w:tc>
        <w:tc>
          <w:tcPr>
            <w:tcW w:w="2395" w:type="dxa"/>
            <w:tcBorders>
              <w:top w:val="single" w:sz="4" w:space="0" w:color="A6A6A6"/>
            </w:tcBorders>
            <w:hideMark/>
          </w:tcPr>
          <w:p w14:paraId="5F9F747A" w14:textId="77777777" w:rsidR="005F4A7E" w:rsidRPr="002029AF" w:rsidRDefault="005F4A7E" w:rsidP="00130D1C">
            <w:pPr>
              <w:pStyle w:val="ARfintablebody"/>
            </w:pPr>
            <w:r w:rsidRPr="002029AF">
              <w:t>Australia</w:t>
            </w:r>
          </w:p>
        </w:tc>
        <w:tc>
          <w:tcPr>
            <w:tcW w:w="2395" w:type="dxa"/>
            <w:tcBorders>
              <w:top w:val="single" w:sz="4" w:space="0" w:color="A6A6A6"/>
            </w:tcBorders>
            <w:hideMark/>
          </w:tcPr>
          <w:p w14:paraId="0344487C" w14:textId="77777777" w:rsidR="005F4A7E" w:rsidRPr="002029AF" w:rsidRDefault="005F4A7E" w:rsidP="00130D1C">
            <w:pPr>
              <w:pStyle w:val="ARfintablebody"/>
            </w:pPr>
            <w:r w:rsidRPr="002029AF">
              <w:t>Equity method</w:t>
            </w:r>
          </w:p>
        </w:tc>
        <w:tc>
          <w:tcPr>
            <w:tcW w:w="856" w:type="dxa"/>
            <w:tcBorders>
              <w:top w:val="single" w:sz="4" w:space="0" w:color="A6A6A6"/>
            </w:tcBorders>
            <w:shd w:val="clear" w:color="auto" w:fill="E7E6E6"/>
            <w:hideMark/>
          </w:tcPr>
          <w:p w14:paraId="6D9D808E" w14:textId="77777777" w:rsidR="005F4A7E" w:rsidRPr="002029AF" w:rsidRDefault="005F4A7E" w:rsidP="00130D1C">
            <w:pPr>
              <w:pStyle w:val="ARfintablebodyright"/>
            </w:pPr>
            <w:r w:rsidRPr="00004399">
              <w:t>–</w:t>
            </w:r>
          </w:p>
        </w:tc>
        <w:tc>
          <w:tcPr>
            <w:tcW w:w="856" w:type="dxa"/>
            <w:tcBorders>
              <w:top w:val="single" w:sz="4" w:space="0" w:color="A6A6A6"/>
            </w:tcBorders>
            <w:hideMark/>
          </w:tcPr>
          <w:p w14:paraId="4E59BAAD" w14:textId="77777777" w:rsidR="005F4A7E" w:rsidRPr="002029AF" w:rsidRDefault="005F4A7E" w:rsidP="00130D1C">
            <w:pPr>
              <w:pStyle w:val="ARfintablebodyright"/>
            </w:pPr>
            <w:r w:rsidRPr="00004399">
              <w:t>20</w:t>
            </w:r>
          </w:p>
        </w:tc>
        <w:tc>
          <w:tcPr>
            <w:tcW w:w="856" w:type="dxa"/>
            <w:tcBorders>
              <w:top w:val="single" w:sz="4" w:space="0" w:color="A6A6A6"/>
            </w:tcBorders>
            <w:shd w:val="clear" w:color="auto" w:fill="E7E6E6"/>
            <w:hideMark/>
          </w:tcPr>
          <w:p w14:paraId="635B6FC3" w14:textId="77777777" w:rsidR="005F4A7E" w:rsidRPr="002029AF" w:rsidRDefault="005F4A7E" w:rsidP="00130D1C">
            <w:pPr>
              <w:pStyle w:val="ARfintablebodyright"/>
            </w:pPr>
            <w:r w:rsidRPr="00004399">
              <w:t>–</w:t>
            </w:r>
          </w:p>
        </w:tc>
        <w:tc>
          <w:tcPr>
            <w:tcW w:w="856" w:type="dxa"/>
            <w:tcBorders>
              <w:top w:val="single" w:sz="4" w:space="0" w:color="A6A6A6"/>
            </w:tcBorders>
            <w:hideMark/>
          </w:tcPr>
          <w:p w14:paraId="45DB81C7" w14:textId="77777777" w:rsidR="005F4A7E" w:rsidRPr="002029AF" w:rsidRDefault="005F4A7E" w:rsidP="00130D1C">
            <w:pPr>
              <w:pStyle w:val="ARfintablebodyright"/>
            </w:pPr>
            <w:r w:rsidRPr="00004399">
              <w:t>–</w:t>
            </w:r>
          </w:p>
        </w:tc>
      </w:tr>
    </w:tbl>
    <w:p w14:paraId="751FF57D" w14:textId="6BDE4E36" w:rsidR="005F4A7E" w:rsidRDefault="005F4A7E" w:rsidP="00130D1C">
      <w:pPr>
        <w:pStyle w:val="Heading3"/>
      </w:pPr>
      <w:bookmarkStart w:id="909" w:name="_Toc82947316"/>
      <w:bookmarkStart w:id="910" w:name="_Toc85121446"/>
      <w:bookmarkStart w:id="911" w:name="_Toc86075635"/>
      <w:r>
        <w:lastRenderedPageBreak/>
        <w:t>6. Other assets and liabilities</w:t>
      </w:r>
      <w:bookmarkEnd w:id="909"/>
      <w:bookmarkEnd w:id="910"/>
      <w:bookmarkEnd w:id="911"/>
    </w:p>
    <w:p w14:paraId="6619A409" w14:textId="77777777" w:rsidR="005F4A7E" w:rsidRDefault="005F4A7E" w:rsidP="00130D1C">
      <w:pPr>
        <w:pStyle w:val="Heading4"/>
      </w:pPr>
      <w:bookmarkStart w:id="912" w:name="_Toc85121447"/>
      <w:r>
        <w:t>Introduction</w:t>
      </w:r>
      <w:bookmarkEnd w:id="912"/>
    </w:p>
    <w:p w14:paraId="00B6CF34" w14:textId="698348B5" w:rsidR="005F4A7E" w:rsidRDefault="005F4A7E" w:rsidP="00130D1C">
      <w:pPr>
        <w:pStyle w:val="ARfinbody"/>
      </w:pPr>
      <w:r>
        <w:t>This section sets out those assets and liabilities that arose from the department</w:t>
      </w:r>
      <w:r w:rsidR="007D145B">
        <w:t>’</w:t>
      </w:r>
      <w:r>
        <w:t>s controlled operations.</w:t>
      </w:r>
    </w:p>
    <w:p w14:paraId="0037C0E1" w14:textId="77777777" w:rsidR="005F4A7E" w:rsidRDefault="005F4A7E" w:rsidP="00130D1C">
      <w:pPr>
        <w:pStyle w:val="Heading4"/>
      </w:pPr>
      <w:bookmarkStart w:id="913" w:name="_Toc85121448"/>
      <w:r>
        <w:t>Structure</w:t>
      </w:r>
      <w:bookmarkEnd w:id="913"/>
    </w:p>
    <w:p w14:paraId="75EF3A0C" w14:textId="77777777" w:rsidR="005F4A7E" w:rsidRDefault="005F4A7E" w:rsidP="00130D1C">
      <w:pPr>
        <w:pStyle w:val="ARfinstructure1"/>
      </w:pPr>
      <w:r>
        <w:t>6.1</w:t>
      </w:r>
      <w:r>
        <w:tab/>
        <w:t>Receivables</w:t>
      </w:r>
    </w:p>
    <w:p w14:paraId="7592E08B" w14:textId="77777777" w:rsidR="005F4A7E" w:rsidRDefault="005F4A7E" w:rsidP="00130D1C">
      <w:pPr>
        <w:pStyle w:val="ARfinstructure1"/>
      </w:pPr>
      <w:r>
        <w:t>6.2</w:t>
      </w:r>
      <w:r>
        <w:tab/>
        <w:t>Loans</w:t>
      </w:r>
    </w:p>
    <w:p w14:paraId="1EBD2484" w14:textId="77777777" w:rsidR="005F4A7E" w:rsidRDefault="005F4A7E" w:rsidP="00130D1C">
      <w:pPr>
        <w:pStyle w:val="ARfinstructure2"/>
      </w:pPr>
      <w:r>
        <w:t>6.2.1</w:t>
      </w:r>
      <w:r>
        <w:tab/>
        <w:t>Ageing analysis of contractual loans</w:t>
      </w:r>
    </w:p>
    <w:p w14:paraId="592EA4B5" w14:textId="77777777" w:rsidR="005F4A7E" w:rsidRDefault="005F4A7E" w:rsidP="00130D1C">
      <w:pPr>
        <w:pStyle w:val="ARfinstructure1"/>
      </w:pPr>
      <w:r>
        <w:t>6.3</w:t>
      </w:r>
      <w:r>
        <w:tab/>
        <w:t>Other non-financial assets</w:t>
      </w:r>
    </w:p>
    <w:p w14:paraId="6D719BE7" w14:textId="77777777" w:rsidR="005F4A7E" w:rsidRDefault="005F4A7E" w:rsidP="00130D1C">
      <w:pPr>
        <w:pStyle w:val="ARfinstructure1"/>
      </w:pPr>
      <w:r>
        <w:t>6.4</w:t>
      </w:r>
      <w:r>
        <w:tab/>
        <w:t>Payables</w:t>
      </w:r>
    </w:p>
    <w:p w14:paraId="3A76D931" w14:textId="77777777" w:rsidR="005F4A7E" w:rsidRDefault="005F4A7E" w:rsidP="00130D1C">
      <w:pPr>
        <w:pStyle w:val="ARfinstructure2"/>
      </w:pPr>
      <w:r>
        <w:t>6.4.1</w:t>
      </w:r>
      <w:r>
        <w:tab/>
        <w:t>Maturity analysis of contractual payables</w:t>
      </w:r>
    </w:p>
    <w:p w14:paraId="7C76F268" w14:textId="77777777" w:rsidR="005F4A7E" w:rsidRDefault="005F4A7E" w:rsidP="00130D1C">
      <w:pPr>
        <w:pStyle w:val="ARfinstructure1"/>
      </w:pPr>
      <w:r>
        <w:t>6.5</w:t>
      </w:r>
      <w:r>
        <w:tab/>
        <w:t>Other provisions</w:t>
      </w:r>
    </w:p>
    <w:p w14:paraId="7A3E762A" w14:textId="77777777" w:rsidR="005F4A7E" w:rsidRDefault="005F4A7E" w:rsidP="00130D1C">
      <w:pPr>
        <w:pStyle w:val="ARfinstructure2"/>
      </w:pPr>
      <w:r>
        <w:t>6.5.1</w:t>
      </w:r>
      <w:r>
        <w:tab/>
        <w:t>Reconciliation of movements in other provisions</w:t>
      </w:r>
    </w:p>
    <w:p w14:paraId="49482929" w14:textId="77777777" w:rsidR="005F4A7E" w:rsidRDefault="005F4A7E" w:rsidP="00130D1C">
      <w:pPr>
        <w:pStyle w:val="ARfinstructure1"/>
      </w:pPr>
      <w:r>
        <w:t>6.6</w:t>
      </w:r>
      <w:r>
        <w:tab/>
        <w:t>Inventories</w:t>
      </w:r>
    </w:p>
    <w:p w14:paraId="705FE621" w14:textId="77777777" w:rsidR="005F4A7E" w:rsidRDefault="005F4A7E" w:rsidP="00130D1C">
      <w:pPr>
        <w:pStyle w:val="ARfinstructure1"/>
      </w:pPr>
      <w:r>
        <w:t>6.7</w:t>
      </w:r>
      <w:r>
        <w:tab/>
        <w:t>Other non-financial liabilities</w:t>
      </w:r>
    </w:p>
    <w:p w14:paraId="2A0C70D5" w14:textId="77777777" w:rsidR="005F4A7E" w:rsidRDefault="005F4A7E" w:rsidP="00130D1C">
      <w:pPr>
        <w:pStyle w:val="Heading4"/>
        <w:rPr>
          <w:lang w:eastAsia="en-AU"/>
        </w:rPr>
      </w:pPr>
      <w:bookmarkStart w:id="914" w:name="_Toc39242150"/>
      <w:bookmarkStart w:id="915" w:name="_Toc85121449"/>
      <w:r>
        <w:rPr>
          <w:lang w:eastAsia="en-AU"/>
        </w:rPr>
        <w:t>6.1 Receivables</w:t>
      </w:r>
      <w:bookmarkEnd w:id="914"/>
      <w:bookmarkEnd w:id="915"/>
    </w:p>
    <w:tbl>
      <w:tblPr>
        <w:tblStyle w:val="TableGrid"/>
        <w:tblW w:w="9637" w:type="dxa"/>
        <w:tblLayout w:type="fixed"/>
        <w:tblLook w:val="06A0" w:firstRow="1" w:lastRow="0" w:firstColumn="1" w:lastColumn="0" w:noHBand="1" w:noVBand="1"/>
      </w:tblPr>
      <w:tblGrid>
        <w:gridCol w:w="7369"/>
        <w:gridCol w:w="1134"/>
        <w:gridCol w:w="1134"/>
      </w:tblGrid>
      <w:tr w:rsidR="005F4A7E" w:rsidRPr="002029AF" w14:paraId="15D7032F"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3A516423" w14:textId="77777777" w:rsidR="005F4A7E" w:rsidRPr="002029AF" w:rsidRDefault="005F4A7E" w:rsidP="00860E95">
            <w:pPr>
              <w:pStyle w:val="ARfintablecolhead"/>
            </w:pPr>
          </w:p>
        </w:tc>
        <w:tc>
          <w:tcPr>
            <w:tcW w:w="1134" w:type="dxa"/>
            <w:tcBorders>
              <w:bottom w:val="single" w:sz="4" w:space="0" w:color="auto"/>
            </w:tcBorders>
            <w:shd w:val="clear" w:color="auto" w:fill="E7E6E6"/>
            <w:hideMark/>
          </w:tcPr>
          <w:p w14:paraId="5F7B5480" w14:textId="77777777" w:rsidR="005F4A7E" w:rsidRPr="002029AF" w:rsidRDefault="005F4A7E" w:rsidP="00860E95">
            <w:pPr>
              <w:pStyle w:val="ARfintablecolheadright"/>
            </w:pPr>
            <w:r>
              <w:t>2021</w:t>
            </w:r>
          </w:p>
          <w:p w14:paraId="19659EC6" w14:textId="77777777" w:rsidR="005F4A7E" w:rsidRPr="002029AF" w:rsidRDefault="005F4A7E" w:rsidP="00860E95">
            <w:pPr>
              <w:pStyle w:val="ARfintablecolheadright"/>
            </w:pPr>
            <w:r w:rsidRPr="002029AF">
              <w:t>$M</w:t>
            </w:r>
          </w:p>
        </w:tc>
        <w:tc>
          <w:tcPr>
            <w:tcW w:w="1134" w:type="dxa"/>
            <w:tcBorders>
              <w:bottom w:val="single" w:sz="4" w:space="0" w:color="auto"/>
            </w:tcBorders>
            <w:hideMark/>
          </w:tcPr>
          <w:p w14:paraId="6A88D776" w14:textId="77777777" w:rsidR="005F4A7E" w:rsidRPr="002029AF" w:rsidRDefault="005F4A7E" w:rsidP="00860E95">
            <w:pPr>
              <w:pStyle w:val="ARfintablecolheadright"/>
            </w:pPr>
            <w:r>
              <w:t>2020</w:t>
            </w:r>
          </w:p>
          <w:p w14:paraId="1EBEB94A" w14:textId="77777777" w:rsidR="005F4A7E" w:rsidRPr="002029AF" w:rsidRDefault="005F4A7E" w:rsidP="00860E95">
            <w:pPr>
              <w:pStyle w:val="ARfintablecolheadright"/>
            </w:pPr>
            <w:r w:rsidRPr="002029AF">
              <w:t>$M</w:t>
            </w:r>
          </w:p>
        </w:tc>
      </w:tr>
      <w:tr w:rsidR="005F4A7E" w:rsidRPr="002029AF" w14:paraId="7FD51087" w14:textId="77777777" w:rsidTr="00860E95">
        <w:tc>
          <w:tcPr>
            <w:tcW w:w="9637" w:type="dxa"/>
            <w:gridSpan w:val="3"/>
            <w:tcBorders>
              <w:top w:val="single" w:sz="4" w:space="0" w:color="auto"/>
              <w:bottom w:val="single" w:sz="4" w:space="0" w:color="A6A6A6"/>
            </w:tcBorders>
            <w:hideMark/>
          </w:tcPr>
          <w:p w14:paraId="74A1D77F" w14:textId="77777777" w:rsidR="005F4A7E" w:rsidRPr="002029AF" w:rsidRDefault="005F4A7E" w:rsidP="00130D1C">
            <w:pPr>
              <w:pStyle w:val="ARfintablebodybold"/>
            </w:pPr>
            <w:r w:rsidRPr="009E389A">
              <w:t>Current receivables</w:t>
            </w:r>
          </w:p>
        </w:tc>
      </w:tr>
      <w:tr w:rsidR="005F4A7E" w:rsidRPr="002029AF" w14:paraId="0123B4B4" w14:textId="77777777" w:rsidTr="00860E95">
        <w:tc>
          <w:tcPr>
            <w:tcW w:w="9637" w:type="dxa"/>
            <w:gridSpan w:val="3"/>
            <w:tcBorders>
              <w:top w:val="single" w:sz="4" w:space="0" w:color="A6A6A6"/>
              <w:bottom w:val="single" w:sz="4" w:space="0" w:color="A6A6A6"/>
            </w:tcBorders>
            <w:hideMark/>
          </w:tcPr>
          <w:p w14:paraId="2BE812BD" w14:textId="77777777" w:rsidR="005F4A7E" w:rsidRPr="008702DD" w:rsidRDefault="005F4A7E" w:rsidP="00130D1C">
            <w:pPr>
              <w:pStyle w:val="ARfintablebody"/>
              <w:rPr>
                <w:rStyle w:val="Emphasis"/>
              </w:rPr>
            </w:pPr>
            <w:r w:rsidRPr="008702DD">
              <w:rPr>
                <w:rStyle w:val="Emphasis"/>
              </w:rPr>
              <w:t>Contractual</w:t>
            </w:r>
          </w:p>
        </w:tc>
      </w:tr>
      <w:tr w:rsidR="005F4A7E" w:rsidRPr="002029AF" w14:paraId="5F8D68A1" w14:textId="77777777" w:rsidTr="00860E95">
        <w:tc>
          <w:tcPr>
            <w:tcW w:w="7369" w:type="dxa"/>
            <w:tcBorders>
              <w:top w:val="single" w:sz="4" w:space="0" w:color="A6A6A6"/>
              <w:bottom w:val="single" w:sz="4" w:space="0" w:color="A6A6A6"/>
            </w:tcBorders>
            <w:hideMark/>
          </w:tcPr>
          <w:p w14:paraId="51D82146" w14:textId="77777777" w:rsidR="005F4A7E" w:rsidRPr="002029AF" w:rsidRDefault="005F4A7E" w:rsidP="00130D1C">
            <w:pPr>
              <w:pStyle w:val="ARfintablebody"/>
            </w:pPr>
            <w:r w:rsidRPr="009E389A">
              <w:t>Tenants in arrears</w:t>
            </w:r>
          </w:p>
        </w:tc>
        <w:tc>
          <w:tcPr>
            <w:tcW w:w="1134" w:type="dxa"/>
            <w:tcBorders>
              <w:top w:val="single" w:sz="4" w:space="0" w:color="A6A6A6"/>
              <w:bottom w:val="single" w:sz="4" w:space="0" w:color="A6A6A6"/>
            </w:tcBorders>
            <w:shd w:val="clear" w:color="auto" w:fill="E7E6E6"/>
            <w:noWrap/>
            <w:hideMark/>
          </w:tcPr>
          <w:p w14:paraId="6B8169FF" w14:textId="77777777" w:rsidR="005F4A7E" w:rsidRPr="002029AF" w:rsidRDefault="005F4A7E" w:rsidP="00130D1C">
            <w:pPr>
              <w:pStyle w:val="ARfintablebodyright"/>
            </w:pPr>
            <w:r w:rsidRPr="009E389A">
              <w:t>12.3</w:t>
            </w:r>
          </w:p>
        </w:tc>
        <w:tc>
          <w:tcPr>
            <w:tcW w:w="1134" w:type="dxa"/>
            <w:tcBorders>
              <w:top w:val="single" w:sz="4" w:space="0" w:color="A6A6A6"/>
              <w:bottom w:val="single" w:sz="4" w:space="0" w:color="A6A6A6"/>
            </w:tcBorders>
            <w:noWrap/>
            <w:hideMark/>
          </w:tcPr>
          <w:p w14:paraId="5ECC52B2" w14:textId="77777777" w:rsidR="005F4A7E" w:rsidRPr="002029AF" w:rsidRDefault="005F4A7E" w:rsidP="00130D1C">
            <w:pPr>
              <w:pStyle w:val="ARfintablebodyright"/>
            </w:pPr>
            <w:r w:rsidRPr="009E389A">
              <w:t>15.0</w:t>
            </w:r>
          </w:p>
        </w:tc>
      </w:tr>
      <w:tr w:rsidR="005F4A7E" w:rsidRPr="002029AF" w14:paraId="3D05D3FB" w14:textId="77777777" w:rsidTr="00860E95">
        <w:tc>
          <w:tcPr>
            <w:tcW w:w="7369" w:type="dxa"/>
            <w:tcBorders>
              <w:top w:val="single" w:sz="4" w:space="0" w:color="A6A6A6"/>
              <w:bottom w:val="single" w:sz="4" w:space="0" w:color="A6A6A6"/>
            </w:tcBorders>
            <w:hideMark/>
          </w:tcPr>
          <w:p w14:paraId="4EF3CCE4" w14:textId="77777777" w:rsidR="005F4A7E" w:rsidRPr="002029AF" w:rsidRDefault="005F4A7E" w:rsidP="00130D1C">
            <w:pPr>
              <w:pStyle w:val="ARfintablebody"/>
            </w:pPr>
            <w:r w:rsidRPr="009E389A">
              <w:t>Other receivables</w:t>
            </w:r>
          </w:p>
        </w:tc>
        <w:tc>
          <w:tcPr>
            <w:tcW w:w="1134" w:type="dxa"/>
            <w:tcBorders>
              <w:top w:val="single" w:sz="4" w:space="0" w:color="A6A6A6"/>
              <w:bottom w:val="single" w:sz="4" w:space="0" w:color="A6A6A6"/>
            </w:tcBorders>
            <w:shd w:val="clear" w:color="auto" w:fill="E7E6E6"/>
            <w:noWrap/>
            <w:hideMark/>
          </w:tcPr>
          <w:p w14:paraId="7A082FF3" w14:textId="77777777" w:rsidR="005F4A7E" w:rsidRPr="002029AF" w:rsidRDefault="005F4A7E" w:rsidP="00130D1C">
            <w:pPr>
              <w:pStyle w:val="ARfintablebodyright"/>
            </w:pPr>
            <w:r w:rsidRPr="009E389A">
              <w:t>357.3</w:t>
            </w:r>
          </w:p>
        </w:tc>
        <w:tc>
          <w:tcPr>
            <w:tcW w:w="1134" w:type="dxa"/>
            <w:tcBorders>
              <w:top w:val="single" w:sz="4" w:space="0" w:color="A6A6A6"/>
              <w:bottom w:val="single" w:sz="4" w:space="0" w:color="A6A6A6"/>
            </w:tcBorders>
            <w:noWrap/>
            <w:hideMark/>
          </w:tcPr>
          <w:p w14:paraId="2724776A" w14:textId="77777777" w:rsidR="005F4A7E" w:rsidRPr="002029AF" w:rsidRDefault="005F4A7E" w:rsidP="00130D1C">
            <w:pPr>
              <w:pStyle w:val="ARfintablebodyright"/>
            </w:pPr>
            <w:r w:rsidRPr="009E389A">
              <w:t>483.5</w:t>
            </w:r>
          </w:p>
        </w:tc>
      </w:tr>
      <w:tr w:rsidR="005F4A7E" w:rsidRPr="002029AF" w14:paraId="0FCAF732" w14:textId="77777777" w:rsidTr="00860E95">
        <w:tc>
          <w:tcPr>
            <w:tcW w:w="7369" w:type="dxa"/>
            <w:tcBorders>
              <w:top w:val="single" w:sz="4" w:space="0" w:color="A6A6A6"/>
              <w:bottom w:val="single" w:sz="4" w:space="0" w:color="auto"/>
            </w:tcBorders>
            <w:hideMark/>
          </w:tcPr>
          <w:p w14:paraId="23A2200C" w14:textId="77777777" w:rsidR="005F4A7E" w:rsidRPr="008702DD" w:rsidRDefault="005F4A7E" w:rsidP="00130D1C">
            <w:pPr>
              <w:pStyle w:val="ARfintablebody"/>
              <w:rPr>
                <w:rStyle w:val="Emphasis"/>
              </w:rPr>
            </w:pPr>
            <w:r w:rsidRPr="008702DD">
              <w:rPr>
                <w:rStyle w:val="Emphasis"/>
              </w:rPr>
              <w:t>Less allowance for impairment losses of contractual receivables</w:t>
            </w:r>
          </w:p>
        </w:tc>
        <w:tc>
          <w:tcPr>
            <w:tcW w:w="1134" w:type="dxa"/>
            <w:tcBorders>
              <w:top w:val="single" w:sz="4" w:space="0" w:color="A6A6A6"/>
              <w:bottom w:val="single" w:sz="4" w:space="0" w:color="auto"/>
            </w:tcBorders>
            <w:shd w:val="clear" w:color="auto" w:fill="E7E6E6"/>
            <w:noWrap/>
            <w:hideMark/>
          </w:tcPr>
          <w:p w14:paraId="1DB43A5D" w14:textId="77777777" w:rsidR="005F4A7E" w:rsidRPr="002029AF" w:rsidRDefault="005F4A7E" w:rsidP="00130D1C">
            <w:pPr>
              <w:pStyle w:val="ARfintablebodyright"/>
            </w:pPr>
            <w:r w:rsidRPr="009E389A">
              <w:t>(27.7)</w:t>
            </w:r>
          </w:p>
        </w:tc>
        <w:tc>
          <w:tcPr>
            <w:tcW w:w="1134" w:type="dxa"/>
            <w:tcBorders>
              <w:top w:val="single" w:sz="4" w:space="0" w:color="A6A6A6"/>
              <w:bottom w:val="single" w:sz="4" w:space="0" w:color="auto"/>
            </w:tcBorders>
            <w:noWrap/>
            <w:hideMark/>
          </w:tcPr>
          <w:p w14:paraId="262FB8A2" w14:textId="77777777" w:rsidR="005F4A7E" w:rsidRPr="002029AF" w:rsidRDefault="005F4A7E" w:rsidP="00130D1C">
            <w:pPr>
              <w:pStyle w:val="ARfintablebodyright"/>
            </w:pPr>
            <w:r w:rsidRPr="009E389A">
              <w:t>(10.8)</w:t>
            </w:r>
          </w:p>
        </w:tc>
      </w:tr>
      <w:tr w:rsidR="005F4A7E" w:rsidRPr="002029AF" w14:paraId="312A9AC5" w14:textId="77777777" w:rsidTr="00860E95">
        <w:tc>
          <w:tcPr>
            <w:tcW w:w="7369" w:type="dxa"/>
            <w:tcBorders>
              <w:top w:val="single" w:sz="4" w:space="0" w:color="auto"/>
              <w:bottom w:val="single" w:sz="4" w:space="0" w:color="A6A6A6"/>
            </w:tcBorders>
            <w:hideMark/>
          </w:tcPr>
          <w:p w14:paraId="7879F28E" w14:textId="77777777" w:rsidR="005F4A7E" w:rsidRPr="002029AF" w:rsidRDefault="005F4A7E" w:rsidP="00130D1C">
            <w:pPr>
              <w:pStyle w:val="ARfintablebody"/>
            </w:pPr>
          </w:p>
        </w:tc>
        <w:tc>
          <w:tcPr>
            <w:tcW w:w="1134" w:type="dxa"/>
            <w:tcBorders>
              <w:top w:val="single" w:sz="4" w:space="0" w:color="auto"/>
              <w:bottom w:val="single" w:sz="4" w:space="0" w:color="A6A6A6"/>
            </w:tcBorders>
            <w:shd w:val="clear" w:color="auto" w:fill="E7E6E6"/>
            <w:noWrap/>
            <w:hideMark/>
          </w:tcPr>
          <w:p w14:paraId="795B3708" w14:textId="77777777" w:rsidR="005F4A7E" w:rsidRPr="002029AF" w:rsidRDefault="005F4A7E" w:rsidP="00130D1C">
            <w:pPr>
              <w:pStyle w:val="ARfintablebodyright"/>
            </w:pPr>
            <w:r w:rsidRPr="009E389A">
              <w:t>341.9</w:t>
            </w:r>
          </w:p>
        </w:tc>
        <w:tc>
          <w:tcPr>
            <w:tcW w:w="1134" w:type="dxa"/>
            <w:tcBorders>
              <w:top w:val="single" w:sz="4" w:space="0" w:color="auto"/>
              <w:bottom w:val="single" w:sz="4" w:space="0" w:color="A6A6A6"/>
            </w:tcBorders>
            <w:noWrap/>
            <w:hideMark/>
          </w:tcPr>
          <w:p w14:paraId="3B5B1B14" w14:textId="77777777" w:rsidR="005F4A7E" w:rsidRPr="002029AF" w:rsidRDefault="005F4A7E" w:rsidP="00130D1C">
            <w:pPr>
              <w:pStyle w:val="ARfintablebodyright"/>
            </w:pPr>
            <w:r w:rsidRPr="009E389A">
              <w:t>487.7</w:t>
            </w:r>
          </w:p>
        </w:tc>
      </w:tr>
      <w:tr w:rsidR="005F4A7E" w:rsidRPr="002029AF" w14:paraId="349DD889" w14:textId="77777777" w:rsidTr="00860E95">
        <w:tc>
          <w:tcPr>
            <w:tcW w:w="9637" w:type="dxa"/>
            <w:gridSpan w:val="3"/>
            <w:tcBorders>
              <w:top w:val="single" w:sz="4" w:space="0" w:color="A6A6A6"/>
              <w:bottom w:val="single" w:sz="4" w:space="0" w:color="A6A6A6"/>
            </w:tcBorders>
            <w:hideMark/>
          </w:tcPr>
          <w:p w14:paraId="4A803C80" w14:textId="77777777" w:rsidR="005F4A7E" w:rsidRPr="008702DD" w:rsidRDefault="005F4A7E" w:rsidP="00130D1C">
            <w:pPr>
              <w:pStyle w:val="ARfintablebody"/>
              <w:rPr>
                <w:rStyle w:val="Emphasis"/>
              </w:rPr>
            </w:pPr>
            <w:r w:rsidRPr="008702DD">
              <w:rPr>
                <w:rStyle w:val="Emphasis"/>
              </w:rPr>
              <w:t>Statutory</w:t>
            </w:r>
          </w:p>
        </w:tc>
      </w:tr>
      <w:tr w:rsidR="005F4A7E" w:rsidRPr="002029AF" w14:paraId="672CC763" w14:textId="77777777" w:rsidTr="00860E95">
        <w:tc>
          <w:tcPr>
            <w:tcW w:w="7369" w:type="dxa"/>
            <w:tcBorders>
              <w:top w:val="single" w:sz="4" w:space="0" w:color="A6A6A6"/>
              <w:bottom w:val="single" w:sz="4" w:space="0" w:color="A6A6A6"/>
            </w:tcBorders>
            <w:hideMark/>
          </w:tcPr>
          <w:p w14:paraId="2688D809" w14:textId="77777777" w:rsidR="005F4A7E" w:rsidRPr="002029AF" w:rsidRDefault="005F4A7E" w:rsidP="00130D1C">
            <w:pPr>
              <w:pStyle w:val="ARfintablebody"/>
            </w:pPr>
            <w:r w:rsidRPr="009E389A">
              <w:t>Amounts owing from Victorian Government</w:t>
            </w:r>
          </w:p>
        </w:tc>
        <w:tc>
          <w:tcPr>
            <w:tcW w:w="1134" w:type="dxa"/>
            <w:tcBorders>
              <w:top w:val="single" w:sz="4" w:space="0" w:color="A6A6A6"/>
              <w:bottom w:val="single" w:sz="4" w:space="0" w:color="A6A6A6"/>
            </w:tcBorders>
            <w:shd w:val="clear" w:color="auto" w:fill="E7E6E6"/>
            <w:noWrap/>
            <w:hideMark/>
          </w:tcPr>
          <w:p w14:paraId="6AD4AA0F" w14:textId="77777777" w:rsidR="005F4A7E" w:rsidRPr="002029AF" w:rsidRDefault="005F4A7E" w:rsidP="00130D1C">
            <w:pPr>
              <w:pStyle w:val="ARfintablebodyright"/>
            </w:pPr>
            <w:r w:rsidRPr="009E389A">
              <w:t>1,634.4</w:t>
            </w:r>
          </w:p>
        </w:tc>
        <w:tc>
          <w:tcPr>
            <w:tcW w:w="1134" w:type="dxa"/>
            <w:tcBorders>
              <w:top w:val="single" w:sz="4" w:space="0" w:color="A6A6A6"/>
              <w:bottom w:val="single" w:sz="4" w:space="0" w:color="A6A6A6"/>
            </w:tcBorders>
            <w:noWrap/>
            <w:hideMark/>
          </w:tcPr>
          <w:p w14:paraId="7B8CE4A7" w14:textId="77777777" w:rsidR="005F4A7E" w:rsidRPr="002029AF" w:rsidRDefault="005F4A7E" w:rsidP="00130D1C">
            <w:pPr>
              <w:pStyle w:val="ARfintablebodyright"/>
            </w:pPr>
            <w:r w:rsidRPr="009E389A">
              <w:t>1,310.6</w:t>
            </w:r>
          </w:p>
        </w:tc>
      </w:tr>
      <w:tr w:rsidR="005F4A7E" w:rsidRPr="002029AF" w14:paraId="63544C05" w14:textId="77777777" w:rsidTr="00860E95">
        <w:tc>
          <w:tcPr>
            <w:tcW w:w="7369" w:type="dxa"/>
            <w:tcBorders>
              <w:top w:val="single" w:sz="4" w:space="0" w:color="A6A6A6"/>
            </w:tcBorders>
            <w:hideMark/>
          </w:tcPr>
          <w:p w14:paraId="3BEA1062" w14:textId="77777777" w:rsidR="005F4A7E" w:rsidRPr="002029AF" w:rsidRDefault="005F4A7E" w:rsidP="00130D1C">
            <w:pPr>
              <w:pStyle w:val="ARfintablebody"/>
            </w:pPr>
            <w:r w:rsidRPr="009E389A">
              <w:t>GST input tax credit recoverable</w:t>
            </w:r>
          </w:p>
        </w:tc>
        <w:tc>
          <w:tcPr>
            <w:tcW w:w="1134" w:type="dxa"/>
            <w:tcBorders>
              <w:top w:val="single" w:sz="4" w:space="0" w:color="A6A6A6"/>
            </w:tcBorders>
            <w:shd w:val="clear" w:color="auto" w:fill="E7E6E6"/>
            <w:noWrap/>
            <w:hideMark/>
          </w:tcPr>
          <w:p w14:paraId="1D835D44" w14:textId="77777777" w:rsidR="005F4A7E" w:rsidRPr="002029AF" w:rsidRDefault="005F4A7E" w:rsidP="00130D1C">
            <w:pPr>
              <w:pStyle w:val="ARfintablebodyright"/>
            </w:pPr>
            <w:r w:rsidRPr="009E389A">
              <w:t>50.4</w:t>
            </w:r>
          </w:p>
        </w:tc>
        <w:tc>
          <w:tcPr>
            <w:tcW w:w="1134" w:type="dxa"/>
            <w:tcBorders>
              <w:top w:val="single" w:sz="4" w:space="0" w:color="A6A6A6"/>
            </w:tcBorders>
            <w:noWrap/>
            <w:hideMark/>
          </w:tcPr>
          <w:p w14:paraId="539DAF20" w14:textId="77777777" w:rsidR="005F4A7E" w:rsidRPr="002029AF" w:rsidRDefault="005F4A7E" w:rsidP="00130D1C">
            <w:pPr>
              <w:pStyle w:val="ARfintablebodyright"/>
            </w:pPr>
            <w:r w:rsidRPr="009E389A">
              <w:t>62.7</w:t>
            </w:r>
          </w:p>
        </w:tc>
      </w:tr>
      <w:tr w:rsidR="005F4A7E" w:rsidRPr="002029AF" w14:paraId="4F29DC28" w14:textId="77777777" w:rsidTr="00860E95">
        <w:tc>
          <w:tcPr>
            <w:tcW w:w="7369" w:type="dxa"/>
            <w:hideMark/>
          </w:tcPr>
          <w:p w14:paraId="33F53D26" w14:textId="77777777" w:rsidR="005F4A7E" w:rsidRPr="002029AF" w:rsidRDefault="005F4A7E" w:rsidP="00130D1C">
            <w:pPr>
              <w:pStyle w:val="ARfintablebody"/>
            </w:pPr>
          </w:p>
        </w:tc>
        <w:tc>
          <w:tcPr>
            <w:tcW w:w="1134" w:type="dxa"/>
            <w:shd w:val="clear" w:color="auto" w:fill="E7E6E6"/>
            <w:noWrap/>
            <w:hideMark/>
          </w:tcPr>
          <w:p w14:paraId="6237B2C5" w14:textId="77777777" w:rsidR="005F4A7E" w:rsidRPr="002029AF" w:rsidRDefault="005F4A7E" w:rsidP="00130D1C">
            <w:pPr>
              <w:pStyle w:val="ARfintablebodyright"/>
            </w:pPr>
            <w:r w:rsidRPr="009E389A">
              <w:t>1,684.8</w:t>
            </w:r>
          </w:p>
        </w:tc>
        <w:tc>
          <w:tcPr>
            <w:tcW w:w="1134" w:type="dxa"/>
            <w:noWrap/>
            <w:hideMark/>
          </w:tcPr>
          <w:p w14:paraId="0DD212DA" w14:textId="77777777" w:rsidR="005F4A7E" w:rsidRPr="002029AF" w:rsidRDefault="005F4A7E" w:rsidP="00130D1C">
            <w:pPr>
              <w:pStyle w:val="ARfintablebodyright"/>
            </w:pPr>
            <w:r w:rsidRPr="009E389A">
              <w:t>1,373.3</w:t>
            </w:r>
          </w:p>
        </w:tc>
      </w:tr>
      <w:tr w:rsidR="005F4A7E" w:rsidRPr="002029AF" w14:paraId="56BBF892" w14:textId="77777777" w:rsidTr="00860E95">
        <w:tc>
          <w:tcPr>
            <w:tcW w:w="7369" w:type="dxa"/>
            <w:tcBorders>
              <w:bottom w:val="single" w:sz="4" w:space="0" w:color="auto"/>
            </w:tcBorders>
            <w:hideMark/>
          </w:tcPr>
          <w:p w14:paraId="13EFD5C2" w14:textId="77777777" w:rsidR="005F4A7E" w:rsidRPr="002029AF" w:rsidRDefault="005F4A7E" w:rsidP="00130D1C">
            <w:pPr>
              <w:pStyle w:val="ARfintablebodybold"/>
            </w:pPr>
            <w:r w:rsidRPr="009E389A">
              <w:t>Total current receivables</w:t>
            </w:r>
          </w:p>
        </w:tc>
        <w:tc>
          <w:tcPr>
            <w:tcW w:w="1134" w:type="dxa"/>
            <w:tcBorders>
              <w:bottom w:val="single" w:sz="4" w:space="0" w:color="auto"/>
            </w:tcBorders>
            <w:shd w:val="clear" w:color="auto" w:fill="E7E6E6"/>
            <w:noWrap/>
            <w:hideMark/>
          </w:tcPr>
          <w:p w14:paraId="72E8242D" w14:textId="77777777" w:rsidR="005F4A7E" w:rsidRPr="002029AF" w:rsidRDefault="005F4A7E" w:rsidP="00130D1C">
            <w:pPr>
              <w:pStyle w:val="ARfintablebodyrightbold"/>
            </w:pPr>
            <w:r w:rsidRPr="009E389A">
              <w:t>2,026.7</w:t>
            </w:r>
          </w:p>
        </w:tc>
        <w:tc>
          <w:tcPr>
            <w:tcW w:w="1134" w:type="dxa"/>
            <w:tcBorders>
              <w:bottom w:val="single" w:sz="4" w:space="0" w:color="auto"/>
            </w:tcBorders>
            <w:noWrap/>
            <w:hideMark/>
          </w:tcPr>
          <w:p w14:paraId="4EC0D519" w14:textId="77777777" w:rsidR="005F4A7E" w:rsidRPr="002029AF" w:rsidRDefault="005F4A7E" w:rsidP="00130D1C">
            <w:pPr>
              <w:pStyle w:val="ARfintablebodyrightbold"/>
            </w:pPr>
            <w:r w:rsidRPr="009E389A">
              <w:t>1,861.0</w:t>
            </w:r>
          </w:p>
        </w:tc>
      </w:tr>
      <w:tr w:rsidR="005F4A7E" w:rsidRPr="002029AF" w14:paraId="090F9124" w14:textId="77777777" w:rsidTr="00860E95">
        <w:tc>
          <w:tcPr>
            <w:tcW w:w="9637" w:type="dxa"/>
            <w:gridSpan w:val="3"/>
            <w:tcBorders>
              <w:top w:val="single" w:sz="4" w:space="0" w:color="auto"/>
              <w:bottom w:val="single" w:sz="4" w:space="0" w:color="A6A6A6"/>
            </w:tcBorders>
            <w:hideMark/>
          </w:tcPr>
          <w:p w14:paraId="043BE6BD" w14:textId="77777777" w:rsidR="005F4A7E" w:rsidRPr="002029AF" w:rsidRDefault="005F4A7E" w:rsidP="00130D1C">
            <w:pPr>
              <w:pStyle w:val="ARfintablebodybold"/>
            </w:pPr>
            <w:r w:rsidRPr="009E389A">
              <w:t>Non-current receivables</w:t>
            </w:r>
          </w:p>
        </w:tc>
      </w:tr>
      <w:tr w:rsidR="005F4A7E" w:rsidRPr="002029AF" w14:paraId="6D8A27BA" w14:textId="77777777" w:rsidTr="00860E95">
        <w:tc>
          <w:tcPr>
            <w:tcW w:w="9637" w:type="dxa"/>
            <w:gridSpan w:val="3"/>
            <w:tcBorders>
              <w:top w:val="single" w:sz="4" w:space="0" w:color="A6A6A6"/>
              <w:bottom w:val="single" w:sz="4" w:space="0" w:color="A6A6A6"/>
            </w:tcBorders>
            <w:hideMark/>
          </w:tcPr>
          <w:p w14:paraId="353FD990" w14:textId="77777777" w:rsidR="005F4A7E" w:rsidRPr="008702DD" w:rsidRDefault="005F4A7E" w:rsidP="00130D1C">
            <w:pPr>
              <w:pStyle w:val="ARfintablebody"/>
              <w:rPr>
                <w:rStyle w:val="Emphasis"/>
              </w:rPr>
            </w:pPr>
            <w:r w:rsidRPr="008702DD">
              <w:rPr>
                <w:rStyle w:val="Emphasis"/>
              </w:rPr>
              <w:t>Statutory</w:t>
            </w:r>
          </w:p>
        </w:tc>
      </w:tr>
      <w:tr w:rsidR="005F4A7E" w:rsidRPr="002029AF" w14:paraId="55A5E97C" w14:textId="77777777" w:rsidTr="00860E95">
        <w:tc>
          <w:tcPr>
            <w:tcW w:w="7369" w:type="dxa"/>
            <w:tcBorders>
              <w:top w:val="single" w:sz="4" w:space="0" w:color="A6A6A6"/>
            </w:tcBorders>
            <w:hideMark/>
          </w:tcPr>
          <w:p w14:paraId="6822F02C" w14:textId="77777777" w:rsidR="005F4A7E" w:rsidRPr="002029AF" w:rsidRDefault="005F4A7E" w:rsidP="00130D1C">
            <w:pPr>
              <w:pStyle w:val="ARfintablebody"/>
            </w:pPr>
            <w:r w:rsidRPr="009E389A">
              <w:t>Amounts owing from Victorian Government</w:t>
            </w:r>
          </w:p>
        </w:tc>
        <w:tc>
          <w:tcPr>
            <w:tcW w:w="1134" w:type="dxa"/>
            <w:tcBorders>
              <w:top w:val="single" w:sz="4" w:space="0" w:color="A6A6A6"/>
            </w:tcBorders>
            <w:shd w:val="clear" w:color="auto" w:fill="E7E6E6"/>
            <w:noWrap/>
            <w:hideMark/>
          </w:tcPr>
          <w:p w14:paraId="1F64AD84" w14:textId="77777777" w:rsidR="005F4A7E" w:rsidRPr="002029AF" w:rsidRDefault="005F4A7E" w:rsidP="00130D1C">
            <w:pPr>
              <w:pStyle w:val="ARfintablebodyright"/>
            </w:pPr>
            <w:r w:rsidRPr="009E389A">
              <w:t>2,627.5</w:t>
            </w:r>
          </w:p>
        </w:tc>
        <w:tc>
          <w:tcPr>
            <w:tcW w:w="1134" w:type="dxa"/>
            <w:tcBorders>
              <w:top w:val="single" w:sz="4" w:space="0" w:color="A6A6A6"/>
            </w:tcBorders>
            <w:noWrap/>
            <w:hideMark/>
          </w:tcPr>
          <w:p w14:paraId="74615925" w14:textId="77777777" w:rsidR="005F4A7E" w:rsidRPr="002029AF" w:rsidRDefault="005F4A7E" w:rsidP="00130D1C">
            <w:pPr>
              <w:pStyle w:val="ARfintablebodyright"/>
            </w:pPr>
            <w:r w:rsidRPr="009E389A">
              <w:t>2,383.6</w:t>
            </w:r>
          </w:p>
        </w:tc>
      </w:tr>
      <w:tr w:rsidR="005F4A7E" w:rsidRPr="002029AF" w14:paraId="3AB2AE26" w14:textId="77777777" w:rsidTr="00860E95">
        <w:tc>
          <w:tcPr>
            <w:tcW w:w="7369" w:type="dxa"/>
            <w:hideMark/>
          </w:tcPr>
          <w:p w14:paraId="58FB1C6D" w14:textId="77777777" w:rsidR="005F4A7E" w:rsidRPr="002029AF" w:rsidRDefault="005F4A7E" w:rsidP="00130D1C">
            <w:pPr>
              <w:pStyle w:val="ARfintablebody"/>
            </w:pPr>
          </w:p>
        </w:tc>
        <w:tc>
          <w:tcPr>
            <w:tcW w:w="1134" w:type="dxa"/>
            <w:shd w:val="clear" w:color="auto" w:fill="E7E6E6"/>
            <w:noWrap/>
            <w:hideMark/>
          </w:tcPr>
          <w:p w14:paraId="347E6E65" w14:textId="77777777" w:rsidR="005F4A7E" w:rsidRPr="002029AF" w:rsidRDefault="005F4A7E" w:rsidP="00130D1C">
            <w:pPr>
              <w:pStyle w:val="ARfintablebodyright"/>
            </w:pPr>
            <w:r w:rsidRPr="009E389A">
              <w:t>2,627.5</w:t>
            </w:r>
          </w:p>
        </w:tc>
        <w:tc>
          <w:tcPr>
            <w:tcW w:w="1134" w:type="dxa"/>
            <w:noWrap/>
            <w:hideMark/>
          </w:tcPr>
          <w:p w14:paraId="715DE8A3" w14:textId="77777777" w:rsidR="005F4A7E" w:rsidRPr="002029AF" w:rsidRDefault="005F4A7E" w:rsidP="00130D1C">
            <w:pPr>
              <w:pStyle w:val="ARfintablebodyright"/>
            </w:pPr>
            <w:r w:rsidRPr="009E389A">
              <w:t>2,383.6</w:t>
            </w:r>
          </w:p>
        </w:tc>
      </w:tr>
      <w:tr w:rsidR="005F4A7E" w:rsidRPr="002029AF" w14:paraId="61C53D68" w14:textId="77777777" w:rsidTr="00860E95">
        <w:tc>
          <w:tcPr>
            <w:tcW w:w="7369" w:type="dxa"/>
            <w:hideMark/>
          </w:tcPr>
          <w:p w14:paraId="73CFC83C" w14:textId="77777777" w:rsidR="005F4A7E" w:rsidRPr="002029AF" w:rsidRDefault="005F4A7E" w:rsidP="00130D1C">
            <w:pPr>
              <w:pStyle w:val="ARfintablebodybold"/>
            </w:pPr>
            <w:r w:rsidRPr="009E389A">
              <w:t>Total non-current receivables</w:t>
            </w:r>
          </w:p>
        </w:tc>
        <w:tc>
          <w:tcPr>
            <w:tcW w:w="1134" w:type="dxa"/>
            <w:shd w:val="clear" w:color="auto" w:fill="E7E6E6"/>
            <w:noWrap/>
            <w:hideMark/>
          </w:tcPr>
          <w:p w14:paraId="05419D3D" w14:textId="77777777" w:rsidR="005F4A7E" w:rsidRPr="002029AF" w:rsidRDefault="005F4A7E" w:rsidP="00130D1C">
            <w:pPr>
              <w:pStyle w:val="ARfintablebodyrightbold"/>
            </w:pPr>
            <w:r w:rsidRPr="009E389A">
              <w:t>2,627.5</w:t>
            </w:r>
          </w:p>
        </w:tc>
        <w:tc>
          <w:tcPr>
            <w:tcW w:w="1134" w:type="dxa"/>
            <w:noWrap/>
            <w:hideMark/>
          </w:tcPr>
          <w:p w14:paraId="4139CEF4" w14:textId="77777777" w:rsidR="005F4A7E" w:rsidRPr="002029AF" w:rsidRDefault="005F4A7E" w:rsidP="00130D1C">
            <w:pPr>
              <w:pStyle w:val="ARfintablebodyrightbold"/>
            </w:pPr>
            <w:r w:rsidRPr="009E389A">
              <w:t>2,383.6</w:t>
            </w:r>
          </w:p>
        </w:tc>
      </w:tr>
      <w:tr w:rsidR="005F4A7E" w:rsidRPr="002029AF" w14:paraId="146CF1FD" w14:textId="77777777" w:rsidTr="00860E95">
        <w:tc>
          <w:tcPr>
            <w:tcW w:w="7369" w:type="dxa"/>
            <w:hideMark/>
          </w:tcPr>
          <w:p w14:paraId="66D1A5A8" w14:textId="77777777" w:rsidR="005F4A7E" w:rsidRPr="002029AF" w:rsidRDefault="005F4A7E" w:rsidP="00130D1C">
            <w:pPr>
              <w:pStyle w:val="ARfintablebodybold"/>
            </w:pPr>
            <w:r w:rsidRPr="009E389A">
              <w:t>Total receivables</w:t>
            </w:r>
          </w:p>
        </w:tc>
        <w:tc>
          <w:tcPr>
            <w:tcW w:w="1134" w:type="dxa"/>
            <w:shd w:val="clear" w:color="auto" w:fill="E7E6E6"/>
            <w:noWrap/>
            <w:hideMark/>
          </w:tcPr>
          <w:p w14:paraId="13CD06EF" w14:textId="77777777" w:rsidR="005F4A7E" w:rsidRPr="002029AF" w:rsidRDefault="005F4A7E" w:rsidP="00130D1C">
            <w:pPr>
              <w:pStyle w:val="ARfintablebodyrightbold"/>
            </w:pPr>
            <w:r w:rsidRPr="009E389A">
              <w:t>4,654.2</w:t>
            </w:r>
          </w:p>
        </w:tc>
        <w:tc>
          <w:tcPr>
            <w:tcW w:w="1134" w:type="dxa"/>
            <w:noWrap/>
            <w:hideMark/>
          </w:tcPr>
          <w:p w14:paraId="3B8FBDB1" w14:textId="77777777" w:rsidR="005F4A7E" w:rsidRPr="002029AF" w:rsidRDefault="005F4A7E" w:rsidP="00130D1C">
            <w:pPr>
              <w:pStyle w:val="ARfintablebodyrightbold"/>
            </w:pPr>
            <w:r w:rsidRPr="009E389A">
              <w:t>4,244.6</w:t>
            </w:r>
          </w:p>
        </w:tc>
      </w:tr>
    </w:tbl>
    <w:p w14:paraId="328C43B6" w14:textId="2723AE72" w:rsidR="005F4A7E" w:rsidRDefault="005F4A7E" w:rsidP="00130D1C">
      <w:pPr>
        <w:pStyle w:val="ARfinbodyaftertable"/>
      </w:pPr>
      <w:r>
        <w:rPr>
          <w:rStyle w:val="Strong"/>
        </w:rPr>
        <w:t>Contractual receivables</w:t>
      </w:r>
      <w:r>
        <w:t xml:space="preserve"> are classified as financial instruments and categorised as </w:t>
      </w:r>
      <w:r w:rsidR="007D145B">
        <w:t>‘</w:t>
      </w:r>
      <w:r>
        <w:t>financial assets at amortised costs</w:t>
      </w:r>
      <w:r w:rsidR="007D145B">
        <w:t>’</w:t>
      </w:r>
      <w:r>
        <w:t>. They are initially recognised at fair value plus any directly attributable transaction costs. The department holds the contractual receivables with the objective to collect the contractual cash flows and therefore subsequent to initial measurement they are measured at amortised cost using the effective interest method, less any impairment.</w:t>
      </w:r>
    </w:p>
    <w:p w14:paraId="4A0E7DED" w14:textId="77777777" w:rsidR="005F4A7E" w:rsidRDefault="005F4A7E" w:rsidP="00130D1C">
      <w:pPr>
        <w:pStyle w:val="ARfinbody"/>
      </w:pPr>
      <w:r>
        <w:rPr>
          <w:rStyle w:val="Strong"/>
        </w:rPr>
        <w:t>Statutory receivables</w:t>
      </w:r>
      <w:r>
        <w:t xml:space="preserve"> do not arise from contracts and are recognised and measured similarly to contractual receivables (except for impairment), but are not classified as financial instruments for disclosure purposes. The department applies AASB 9 for initial measurement of the statutory receivables and, as a result, statutory receivables are initially recognised at fair value plus any directly attributable transaction costs. Amounts recognised from the Victorian Government represent funding for all commitments incurred and are drawn from the Consolidated Fund as the commitments fall due.</w:t>
      </w:r>
    </w:p>
    <w:p w14:paraId="2901BAA6" w14:textId="51C5AA67" w:rsidR="005F4A7E" w:rsidRPr="002029AF" w:rsidRDefault="005F4A7E" w:rsidP="00087B91">
      <w:pPr>
        <w:pStyle w:val="ARfinbody"/>
      </w:pPr>
      <w:r>
        <w:t>Details about the department</w:t>
      </w:r>
      <w:r w:rsidR="007D145B">
        <w:t>’</w:t>
      </w:r>
      <w:r>
        <w:t>s impairment policies, the department</w:t>
      </w:r>
      <w:r w:rsidR="007D145B">
        <w:t>’</w:t>
      </w:r>
      <w:r>
        <w:t>s exposure to credit risks and the calculation of the loss allowance are set out in Note 8.1.3.</w:t>
      </w:r>
    </w:p>
    <w:p w14:paraId="42624C12" w14:textId="77777777" w:rsidR="005F4A7E" w:rsidRPr="002029AF" w:rsidRDefault="005F4A7E" w:rsidP="00087B91">
      <w:pPr>
        <w:pStyle w:val="Heading4"/>
      </w:pPr>
      <w:bookmarkStart w:id="916" w:name="_Toc39242151"/>
      <w:bookmarkStart w:id="917" w:name="_Toc85121450"/>
      <w:r w:rsidRPr="002029AF">
        <w:lastRenderedPageBreak/>
        <w:t>6.2 Loans</w:t>
      </w:r>
      <w:bookmarkEnd w:id="916"/>
      <w:bookmarkEnd w:id="917"/>
    </w:p>
    <w:tbl>
      <w:tblPr>
        <w:tblStyle w:val="TableGrid"/>
        <w:tblW w:w="9637" w:type="dxa"/>
        <w:tblLayout w:type="fixed"/>
        <w:tblLook w:val="06A0" w:firstRow="1" w:lastRow="0" w:firstColumn="1" w:lastColumn="0" w:noHBand="1" w:noVBand="1"/>
      </w:tblPr>
      <w:tblGrid>
        <w:gridCol w:w="7369"/>
        <w:gridCol w:w="1134"/>
        <w:gridCol w:w="1134"/>
      </w:tblGrid>
      <w:tr w:rsidR="005F4A7E" w:rsidRPr="002029AF" w14:paraId="156EC7B5"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500D193E" w14:textId="77777777" w:rsidR="005F4A7E" w:rsidRPr="002029AF" w:rsidRDefault="005F4A7E" w:rsidP="00860E95">
            <w:pPr>
              <w:pStyle w:val="ARfintablecolhead"/>
            </w:pPr>
          </w:p>
        </w:tc>
        <w:tc>
          <w:tcPr>
            <w:tcW w:w="1134" w:type="dxa"/>
            <w:tcBorders>
              <w:bottom w:val="single" w:sz="4" w:space="0" w:color="auto"/>
            </w:tcBorders>
            <w:shd w:val="clear" w:color="auto" w:fill="E7E6E6"/>
            <w:hideMark/>
          </w:tcPr>
          <w:p w14:paraId="218E3D09" w14:textId="77777777" w:rsidR="005F4A7E" w:rsidRPr="002029AF" w:rsidRDefault="005F4A7E" w:rsidP="00860E95">
            <w:pPr>
              <w:pStyle w:val="ARfintablecolheadright"/>
            </w:pPr>
            <w:r>
              <w:t>2021</w:t>
            </w:r>
          </w:p>
          <w:p w14:paraId="68C8501E" w14:textId="77777777" w:rsidR="005F4A7E" w:rsidRPr="002029AF" w:rsidRDefault="005F4A7E" w:rsidP="00860E95">
            <w:pPr>
              <w:pStyle w:val="ARfintablecolheadright"/>
            </w:pPr>
            <w:r w:rsidRPr="002029AF">
              <w:t>$M</w:t>
            </w:r>
          </w:p>
        </w:tc>
        <w:tc>
          <w:tcPr>
            <w:tcW w:w="1134" w:type="dxa"/>
            <w:tcBorders>
              <w:bottom w:val="single" w:sz="4" w:space="0" w:color="auto"/>
            </w:tcBorders>
            <w:hideMark/>
          </w:tcPr>
          <w:p w14:paraId="67B68489" w14:textId="77777777" w:rsidR="005F4A7E" w:rsidRPr="002029AF" w:rsidRDefault="005F4A7E" w:rsidP="00860E95">
            <w:pPr>
              <w:pStyle w:val="ARfintablecolheadright"/>
            </w:pPr>
            <w:r>
              <w:t>2020</w:t>
            </w:r>
          </w:p>
          <w:p w14:paraId="60075C5A" w14:textId="77777777" w:rsidR="005F4A7E" w:rsidRPr="002029AF" w:rsidRDefault="005F4A7E" w:rsidP="00860E95">
            <w:pPr>
              <w:pStyle w:val="ARfintablecolheadright"/>
            </w:pPr>
            <w:r w:rsidRPr="002029AF">
              <w:t>$M</w:t>
            </w:r>
          </w:p>
        </w:tc>
      </w:tr>
      <w:tr w:rsidR="005F4A7E" w:rsidRPr="002029AF" w14:paraId="799BF9E5" w14:textId="77777777" w:rsidTr="00860E95">
        <w:tc>
          <w:tcPr>
            <w:tcW w:w="9637" w:type="dxa"/>
            <w:gridSpan w:val="3"/>
            <w:tcBorders>
              <w:top w:val="single" w:sz="4" w:space="0" w:color="auto"/>
              <w:bottom w:val="single" w:sz="4" w:space="0" w:color="A6A6A6"/>
            </w:tcBorders>
            <w:hideMark/>
          </w:tcPr>
          <w:p w14:paraId="55F02A84" w14:textId="77777777" w:rsidR="005F4A7E" w:rsidRPr="002029AF" w:rsidRDefault="005F4A7E" w:rsidP="00130D1C">
            <w:pPr>
              <w:pStyle w:val="ARfintablebodybold"/>
            </w:pPr>
            <w:r w:rsidRPr="00D82EBE">
              <w:t>Current loans</w:t>
            </w:r>
          </w:p>
        </w:tc>
      </w:tr>
      <w:tr w:rsidR="005F4A7E" w:rsidRPr="002029AF" w14:paraId="67004C14" w14:textId="77777777" w:rsidTr="00860E95">
        <w:tc>
          <w:tcPr>
            <w:tcW w:w="9637" w:type="dxa"/>
            <w:gridSpan w:val="3"/>
            <w:tcBorders>
              <w:top w:val="single" w:sz="4" w:space="0" w:color="A6A6A6"/>
              <w:bottom w:val="single" w:sz="4" w:space="0" w:color="A6A6A6"/>
            </w:tcBorders>
            <w:hideMark/>
          </w:tcPr>
          <w:p w14:paraId="6FCEAE44" w14:textId="77777777" w:rsidR="005F4A7E" w:rsidRPr="00597F28" w:rsidRDefault="005F4A7E" w:rsidP="00130D1C">
            <w:pPr>
              <w:pStyle w:val="ARfintablebody"/>
              <w:rPr>
                <w:rStyle w:val="Emphasis"/>
              </w:rPr>
            </w:pPr>
            <w:r w:rsidRPr="00597F28">
              <w:rPr>
                <w:rStyle w:val="Emphasis"/>
              </w:rPr>
              <w:t>Contractual</w:t>
            </w:r>
          </w:p>
        </w:tc>
      </w:tr>
      <w:tr w:rsidR="005F4A7E" w:rsidRPr="002029AF" w14:paraId="306ECC35" w14:textId="77777777" w:rsidTr="00860E95">
        <w:tc>
          <w:tcPr>
            <w:tcW w:w="7369" w:type="dxa"/>
            <w:tcBorders>
              <w:top w:val="single" w:sz="4" w:space="0" w:color="A6A6A6"/>
              <w:bottom w:val="single" w:sz="4" w:space="0" w:color="A6A6A6"/>
            </w:tcBorders>
            <w:hideMark/>
          </w:tcPr>
          <w:p w14:paraId="11739254" w14:textId="77777777" w:rsidR="005F4A7E" w:rsidRPr="002029AF" w:rsidRDefault="005F4A7E" w:rsidP="00130D1C">
            <w:pPr>
              <w:pStyle w:val="ARfintablebody"/>
            </w:pPr>
            <w:r w:rsidRPr="00D82EBE">
              <w:t>Fixed interest home loans</w:t>
            </w:r>
          </w:p>
        </w:tc>
        <w:tc>
          <w:tcPr>
            <w:tcW w:w="1134" w:type="dxa"/>
            <w:tcBorders>
              <w:top w:val="single" w:sz="4" w:space="0" w:color="A6A6A6"/>
              <w:bottom w:val="single" w:sz="4" w:space="0" w:color="A6A6A6"/>
            </w:tcBorders>
            <w:shd w:val="clear" w:color="auto" w:fill="E7E6E6"/>
            <w:noWrap/>
            <w:hideMark/>
          </w:tcPr>
          <w:p w14:paraId="19C16C0C" w14:textId="77777777" w:rsidR="005F4A7E" w:rsidRPr="002029AF" w:rsidRDefault="005F4A7E" w:rsidP="00130D1C">
            <w:pPr>
              <w:pStyle w:val="ARfintablebodyright"/>
            </w:pPr>
            <w:r w:rsidRPr="00D82EBE">
              <w:t>0.6</w:t>
            </w:r>
          </w:p>
        </w:tc>
        <w:tc>
          <w:tcPr>
            <w:tcW w:w="1134" w:type="dxa"/>
            <w:tcBorders>
              <w:top w:val="single" w:sz="4" w:space="0" w:color="A6A6A6"/>
              <w:bottom w:val="single" w:sz="4" w:space="0" w:color="A6A6A6"/>
            </w:tcBorders>
            <w:noWrap/>
            <w:hideMark/>
          </w:tcPr>
          <w:p w14:paraId="2C5ABF6F" w14:textId="77777777" w:rsidR="005F4A7E" w:rsidRPr="002029AF" w:rsidRDefault="005F4A7E" w:rsidP="00130D1C">
            <w:pPr>
              <w:pStyle w:val="ARfintablebodyright"/>
            </w:pPr>
            <w:r w:rsidRPr="00D82EBE">
              <w:t>0.7</w:t>
            </w:r>
          </w:p>
        </w:tc>
      </w:tr>
      <w:tr w:rsidR="005F4A7E" w:rsidRPr="002029AF" w14:paraId="23ED8DA2" w14:textId="77777777" w:rsidTr="00860E95">
        <w:tc>
          <w:tcPr>
            <w:tcW w:w="7369" w:type="dxa"/>
            <w:tcBorders>
              <w:top w:val="single" w:sz="4" w:space="0" w:color="A6A6A6"/>
              <w:bottom w:val="single" w:sz="4" w:space="0" w:color="A6A6A6"/>
            </w:tcBorders>
            <w:hideMark/>
          </w:tcPr>
          <w:p w14:paraId="259CE0A7" w14:textId="77777777" w:rsidR="005F4A7E" w:rsidRPr="002029AF" w:rsidRDefault="005F4A7E" w:rsidP="00130D1C">
            <w:pPr>
              <w:pStyle w:val="ARfintablebody"/>
            </w:pPr>
            <w:r w:rsidRPr="00D82EBE">
              <w:t>Indexed interest home loans</w:t>
            </w:r>
          </w:p>
        </w:tc>
        <w:tc>
          <w:tcPr>
            <w:tcW w:w="1134" w:type="dxa"/>
            <w:tcBorders>
              <w:top w:val="single" w:sz="4" w:space="0" w:color="A6A6A6"/>
              <w:bottom w:val="single" w:sz="4" w:space="0" w:color="A6A6A6"/>
            </w:tcBorders>
            <w:shd w:val="clear" w:color="auto" w:fill="E7E6E6"/>
            <w:noWrap/>
            <w:hideMark/>
          </w:tcPr>
          <w:p w14:paraId="0E632084" w14:textId="77777777" w:rsidR="005F4A7E" w:rsidRPr="002029AF" w:rsidRDefault="005F4A7E" w:rsidP="00130D1C">
            <w:pPr>
              <w:pStyle w:val="ARfintablebodyright"/>
            </w:pPr>
            <w:r w:rsidRPr="00D82EBE">
              <w:t>8.0</w:t>
            </w:r>
          </w:p>
        </w:tc>
        <w:tc>
          <w:tcPr>
            <w:tcW w:w="1134" w:type="dxa"/>
            <w:tcBorders>
              <w:top w:val="single" w:sz="4" w:space="0" w:color="A6A6A6"/>
              <w:bottom w:val="single" w:sz="4" w:space="0" w:color="A6A6A6"/>
            </w:tcBorders>
            <w:noWrap/>
            <w:hideMark/>
          </w:tcPr>
          <w:p w14:paraId="0BE32420" w14:textId="77777777" w:rsidR="005F4A7E" w:rsidRPr="002029AF" w:rsidRDefault="005F4A7E" w:rsidP="00130D1C">
            <w:pPr>
              <w:pStyle w:val="ARfintablebodyright"/>
            </w:pPr>
            <w:r w:rsidRPr="00D82EBE">
              <w:t>8.2</w:t>
            </w:r>
          </w:p>
        </w:tc>
      </w:tr>
      <w:tr w:rsidR="005F4A7E" w:rsidRPr="002029AF" w14:paraId="07DB72FE" w14:textId="77777777" w:rsidTr="00860E95">
        <w:tc>
          <w:tcPr>
            <w:tcW w:w="7369" w:type="dxa"/>
            <w:tcBorders>
              <w:top w:val="single" w:sz="4" w:space="0" w:color="A6A6A6"/>
            </w:tcBorders>
            <w:hideMark/>
          </w:tcPr>
          <w:p w14:paraId="6B5F478E" w14:textId="77777777" w:rsidR="005F4A7E" w:rsidRPr="002029AF" w:rsidRDefault="005F4A7E" w:rsidP="00130D1C">
            <w:pPr>
              <w:pStyle w:val="ARfintablebody"/>
            </w:pPr>
            <w:r w:rsidRPr="00D82EBE">
              <w:t>Other loans</w:t>
            </w:r>
          </w:p>
        </w:tc>
        <w:tc>
          <w:tcPr>
            <w:tcW w:w="1134" w:type="dxa"/>
            <w:tcBorders>
              <w:top w:val="single" w:sz="4" w:space="0" w:color="A6A6A6"/>
            </w:tcBorders>
            <w:shd w:val="clear" w:color="auto" w:fill="E7E6E6"/>
            <w:noWrap/>
            <w:hideMark/>
          </w:tcPr>
          <w:p w14:paraId="41490C45" w14:textId="77777777" w:rsidR="005F4A7E" w:rsidRPr="002029AF" w:rsidRDefault="005F4A7E" w:rsidP="00130D1C">
            <w:pPr>
              <w:pStyle w:val="ARfintablebodyright"/>
            </w:pPr>
            <w:r w:rsidRPr="00D82EBE">
              <w:t>13.5</w:t>
            </w:r>
          </w:p>
        </w:tc>
        <w:tc>
          <w:tcPr>
            <w:tcW w:w="1134" w:type="dxa"/>
            <w:tcBorders>
              <w:top w:val="single" w:sz="4" w:space="0" w:color="A6A6A6"/>
            </w:tcBorders>
            <w:noWrap/>
            <w:hideMark/>
          </w:tcPr>
          <w:p w14:paraId="2A688C4F" w14:textId="77777777" w:rsidR="005F4A7E" w:rsidRPr="002029AF" w:rsidRDefault="005F4A7E" w:rsidP="00130D1C">
            <w:pPr>
              <w:pStyle w:val="ARfintablebodyright"/>
            </w:pPr>
            <w:r w:rsidRPr="00D82EBE">
              <w:t>316.1</w:t>
            </w:r>
          </w:p>
        </w:tc>
      </w:tr>
      <w:tr w:rsidR="005F4A7E" w:rsidRPr="002029AF" w14:paraId="521EB089" w14:textId="77777777" w:rsidTr="00860E95">
        <w:tc>
          <w:tcPr>
            <w:tcW w:w="7369" w:type="dxa"/>
            <w:tcBorders>
              <w:bottom w:val="single" w:sz="4" w:space="0" w:color="auto"/>
            </w:tcBorders>
            <w:hideMark/>
          </w:tcPr>
          <w:p w14:paraId="08D727E9" w14:textId="77777777" w:rsidR="005F4A7E" w:rsidRPr="002029AF" w:rsidRDefault="005F4A7E" w:rsidP="00130D1C">
            <w:pPr>
              <w:pStyle w:val="ARfintablebodybold"/>
            </w:pPr>
            <w:r w:rsidRPr="00D82EBE">
              <w:t>Total current loans</w:t>
            </w:r>
          </w:p>
        </w:tc>
        <w:tc>
          <w:tcPr>
            <w:tcW w:w="1134" w:type="dxa"/>
            <w:tcBorders>
              <w:bottom w:val="single" w:sz="4" w:space="0" w:color="auto"/>
            </w:tcBorders>
            <w:shd w:val="clear" w:color="auto" w:fill="E7E6E6"/>
            <w:noWrap/>
            <w:hideMark/>
          </w:tcPr>
          <w:p w14:paraId="4122BA82" w14:textId="77777777" w:rsidR="005F4A7E" w:rsidRPr="002029AF" w:rsidRDefault="005F4A7E" w:rsidP="00130D1C">
            <w:pPr>
              <w:pStyle w:val="ARfintablebodyrightbold"/>
            </w:pPr>
            <w:r w:rsidRPr="00D82EBE">
              <w:t>22.1</w:t>
            </w:r>
          </w:p>
        </w:tc>
        <w:tc>
          <w:tcPr>
            <w:tcW w:w="1134" w:type="dxa"/>
            <w:tcBorders>
              <w:bottom w:val="single" w:sz="4" w:space="0" w:color="auto"/>
            </w:tcBorders>
            <w:noWrap/>
            <w:hideMark/>
          </w:tcPr>
          <w:p w14:paraId="6C59F526" w14:textId="77777777" w:rsidR="005F4A7E" w:rsidRPr="002029AF" w:rsidRDefault="005F4A7E" w:rsidP="00130D1C">
            <w:pPr>
              <w:pStyle w:val="ARfintablebodyrightbold"/>
            </w:pPr>
            <w:r w:rsidRPr="00D82EBE">
              <w:t>325.0</w:t>
            </w:r>
          </w:p>
        </w:tc>
      </w:tr>
      <w:tr w:rsidR="005F4A7E" w:rsidRPr="002029AF" w14:paraId="5B87ACCB" w14:textId="77777777" w:rsidTr="00860E95">
        <w:tc>
          <w:tcPr>
            <w:tcW w:w="9637" w:type="dxa"/>
            <w:gridSpan w:val="3"/>
            <w:tcBorders>
              <w:top w:val="single" w:sz="4" w:space="0" w:color="auto"/>
              <w:bottom w:val="single" w:sz="4" w:space="0" w:color="A6A6A6"/>
            </w:tcBorders>
            <w:hideMark/>
          </w:tcPr>
          <w:p w14:paraId="7E6749D0" w14:textId="77777777" w:rsidR="005F4A7E" w:rsidRPr="002029AF" w:rsidRDefault="005F4A7E" w:rsidP="00130D1C">
            <w:pPr>
              <w:pStyle w:val="ARfintablebodybold"/>
            </w:pPr>
            <w:r w:rsidRPr="00D82EBE">
              <w:t>Non-current loans</w:t>
            </w:r>
          </w:p>
        </w:tc>
      </w:tr>
      <w:tr w:rsidR="005F4A7E" w:rsidRPr="002029AF" w14:paraId="428CDE4D" w14:textId="77777777" w:rsidTr="00860E95">
        <w:tc>
          <w:tcPr>
            <w:tcW w:w="9637" w:type="dxa"/>
            <w:gridSpan w:val="3"/>
            <w:tcBorders>
              <w:top w:val="single" w:sz="4" w:space="0" w:color="A6A6A6"/>
              <w:bottom w:val="single" w:sz="4" w:space="0" w:color="A6A6A6"/>
            </w:tcBorders>
            <w:hideMark/>
          </w:tcPr>
          <w:p w14:paraId="7EFCC7E0" w14:textId="77777777" w:rsidR="005F4A7E" w:rsidRPr="00597F28" w:rsidRDefault="005F4A7E" w:rsidP="00130D1C">
            <w:pPr>
              <w:pStyle w:val="ARfintablebody"/>
              <w:rPr>
                <w:rStyle w:val="Emphasis"/>
              </w:rPr>
            </w:pPr>
            <w:r w:rsidRPr="00597F28">
              <w:rPr>
                <w:rStyle w:val="Emphasis"/>
              </w:rPr>
              <w:t>Contractual</w:t>
            </w:r>
          </w:p>
        </w:tc>
      </w:tr>
      <w:tr w:rsidR="005F4A7E" w:rsidRPr="002029AF" w14:paraId="7D9FE97D" w14:textId="77777777" w:rsidTr="00860E95">
        <w:tc>
          <w:tcPr>
            <w:tcW w:w="7369" w:type="dxa"/>
            <w:tcBorders>
              <w:top w:val="single" w:sz="4" w:space="0" w:color="A6A6A6"/>
              <w:bottom w:val="single" w:sz="4" w:space="0" w:color="A6A6A6"/>
            </w:tcBorders>
            <w:hideMark/>
          </w:tcPr>
          <w:p w14:paraId="3139089D" w14:textId="77777777" w:rsidR="005F4A7E" w:rsidRPr="002029AF" w:rsidRDefault="005F4A7E" w:rsidP="00130D1C">
            <w:pPr>
              <w:pStyle w:val="ARfintablebody"/>
            </w:pPr>
            <w:r w:rsidRPr="00D82EBE">
              <w:t>Fixed interest home loans</w:t>
            </w:r>
          </w:p>
        </w:tc>
        <w:tc>
          <w:tcPr>
            <w:tcW w:w="1134" w:type="dxa"/>
            <w:tcBorders>
              <w:top w:val="single" w:sz="4" w:space="0" w:color="A6A6A6"/>
              <w:bottom w:val="single" w:sz="4" w:space="0" w:color="A6A6A6"/>
            </w:tcBorders>
            <w:shd w:val="clear" w:color="auto" w:fill="E7E6E6"/>
            <w:noWrap/>
            <w:hideMark/>
          </w:tcPr>
          <w:p w14:paraId="740C444D" w14:textId="77777777" w:rsidR="005F4A7E" w:rsidRPr="002029AF" w:rsidRDefault="005F4A7E" w:rsidP="00130D1C">
            <w:pPr>
              <w:pStyle w:val="ARfintablebodyright"/>
            </w:pPr>
            <w:r w:rsidRPr="00D82EBE">
              <w:t>1.0</w:t>
            </w:r>
          </w:p>
        </w:tc>
        <w:tc>
          <w:tcPr>
            <w:tcW w:w="1134" w:type="dxa"/>
            <w:tcBorders>
              <w:top w:val="single" w:sz="4" w:space="0" w:color="A6A6A6"/>
              <w:bottom w:val="single" w:sz="4" w:space="0" w:color="A6A6A6"/>
            </w:tcBorders>
            <w:noWrap/>
            <w:hideMark/>
          </w:tcPr>
          <w:p w14:paraId="15A532F0" w14:textId="77777777" w:rsidR="005F4A7E" w:rsidRPr="002029AF" w:rsidRDefault="005F4A7E" w:rsidP="00130D1C">
            <w:pPr>
              <w:pStyle w:val="ARfintablebodyright"/>
            </w:pPr>
            <w:r w:rsidRPr="00D82EBE">
              <w:t>1.2</w:t>
            </w:r>
          </w:p>
        </w:tc>
      </w:tr>
      <w:tr w:rsidR="005F4A7E" w:rsidRPr="002029AF" w14:paraId="0B4E13F1" w14:textId="77777777" w:rsidTr="00860E95">
        <w:tc>
          <w:tcPr>
            <w:tcW w:w="7369" w:type="dxa"/>
            <w:tcBorders>
              <w:top w:val="single" w:sz="4" w:space="0" w:color="A6A6A6"/>
              <w:bottom w:val="single" w:sz="4" w:space="0" w:color="A6A6A6"/>
            </w:tcBorders>
            <w:hideMark/>
          </w:tcPr>
          <w:p w14:paraId="7ACD6B79" w14:textId="77777777" w:rsidR="005F4A7E" w:rsidRPr="002029AF" w:rsidRDefault="005F4A7E" w:rsidP="00130D1C">
            <w:pPr>
              <w:pStyle w:val="ARfintablebody"/>
            </w:pPr>
            <w:r w:rsidRPr="00D82EBE">
              <w:t>Indexed interest home loans</w:t>
            </w:r>
          </w:p>
        </w:tc>
        <w:tc>
          <w:tcPr>
            <w:tcW w:w="1134" w:type="dxa"/>
            <w:tcBorders>
              <w:top w:val="single" w:sz="4" w:space="0" w:color="A6A6A6"/>
              <w:bottom w:val="single" w:sz="4" w:space="0" w:color="A6A6A6"/>
            </w:tcBorders>
            <w:shd w:val="clear" w:color="auto" w:fill="E7E6E6"/>
            <w:noWrap/>
            <w:hideMark/>
          </w:tcPr>
          <w:p w14:paraId="35A105F5" w14:textId="77777777" w:rsidR="005F4A7E" w:rsidRPr="002029AF" w:rsidRDefault="005F4A7E" w:rsidP="00130D1C">
            <w:pPr>
              <w:pStyle w:val="ARfintablebodyright"/>
            </w:pPr>
            <w:r w:rsidRPr="00D82EBE">
              <w:t>1.8</w:t>
            </w:r>
          </w:p>
        </w:tc>
        <w:tc>
          <w:tcPr>
            <w:tcW w:w="1134" w:type="dxa"/>
            <w:tcBorders>
              <w:top w:val="single" w:sz="4" w:space="0" w:color="A6A6A6"/>
              <w:bottom w:val="single" w:sz="4" w:space="0" w:color="A6A6A6"/>
            </w:tcBorders>
            <w:noWrap/>
            <w:hideMark/>
          </w:tcPr>
          <w:p w14:paraId="7D6E4B5C" w14:textId="77777777" w:rsidR="005F4A7E" w:rsidRPr="002029AF" w:rsidRDefault="005F4A7E" w:rsidP="00130D1C">
            <w:pPr>
              <w:pStyle w:val="ARfintablebodyright"/>
            </w:pPr>
            <w:r w:rsidRPr="00D82EBE">
              <w:t>3.0</w:t>
            </w:r>
          </w:p>
        </w:tc>
      </w:tr>
      <w:tr w:rsidR="005F4A7E" w:rsidRPr="002029AF" w14:paraId="13F96286" w14:textId="77777777" w:rsidTr="00860E95">
        <w:tc>
          <w:tcPr>
            <w:tcW w:w="7369" w:type="dxa"/>
            <w:tcBorders>
              <w:top w:val="single" w:sz="4" w:space="0" w:color="A6A6A6"/>
              <w:bottom w:val="single" w:sz="4" w:space="0" w:color="A6A6A6"/>
            </w:tcBorders>
            <w:hideMark/>
          </w:tcPr>
          <w:p w14:paraId="4D5FC06B" w14:textId="77777777" w:rsidR="005F4A7E" w:rsidRPr="002029AF" w:rsidRDefault="005F4A7E" w:rsidP="00130D1C">
            <w:pPr>
              <w:pStyle w:val="ARfintablebody"/>
            </w:pPr>
            <w:r w:rsidRPr="00D82EBE">
              <w:t>Community housing loans</w:t>
            </w:r>
          </w:p>
        </w:tc>
        <w:tc>
          <w:tcPr>
            <w:tcW w:w="1134" w:type="dxa"/>
            <w:tcBorders>
              <w:top w:val="single" w:sz="4" w:space="0" w:color="A6A6A6"/>
              <w:bottom w:val="single" w:sz="4" w:space="0" w:color="A6A6A6"/>
            </w:tcBorders>
            <w:shd w:val="clear" w:color="auto" w:fill="E7E6E6"/>
            <w:noWrap/>
            <w:hideMark/>
          </w:tcPr>
          <w:p w14:paraId="6D65A7BA" w14:textId="77777777" w:rsidR="005F4A7E" w:rsidRPr="002029AF" w:rsidRDefault="005F4A7E" w:rsidP="00130D1C">
            <w:pPr>
              <w:pStyle w:val="ARfintablebodyright"/>
            </w:pPr>
            <w:r w:rsidRPr="00D82EBE">
              <w:t>20.2</w:t>
            </w:r>
          </w:p>
        </w:tc>
        <w:tc>
          <w:tcPr>
            <w:tcW w:w="1134" w:type="dxa"/>
            <w:tcBorders>
              <w:top w:val="single" w:sz="4" w:space="0" w:color="A6A6A6"/>
              <w:bottom w:val="single" w:sz="4" w:space="0" w:color="A6A6A6"/>
            </w:tcBorders>
            <w:noWrap/>
            <w:hideMark/>
          </w:tcPr>
          <w:p w14:paraId="6FE0891F" w14:textId="77777777" w:rsidR="005F4A7E" w:rsidRPr="002029AF" w:rsidRDefault="005F4A7E" w:rsidP="00130D1C">
            <w:pPr>
              <w:pStyle w:val="ARfintablebodyright"/>
            </w:pPr>
            <w:r w:rsidRPr="00D82EBE">
              <w:t>20.2</w:t>
            </w:r>
          </w:p>
        </w:tc>
      </w:tr>
      <w:tr w:rsidR="005F4A7E" w:rsidRPr="002029AF" w14:paraId="3FDD3DF1" w14:textId="77777777" w:rsidTr="00860E95">
        <w:tc>
          <w:tcPr>
            <w:tcW w:w="7369" w:type="dxa"/>
            <w:tcBorders>
              <w:top w:val="single" w:sz="4" w:space="0" w:color="A6A6A6"/>
            </w:tcBorders>
            <w:hideMark/>
          </w:tcPr>
          <w:p w14:paraId="614576AF" w14:textId="77777777" w:rsidR="005F4A7E" w:rsidRPr="002029AF" w:rsidRDefault="005F4A7E" w:rsidP="00130D1C">
            <w:pPr>
              <w:pStyle w:val="ARfintablebody"/>
            </w:pPr>
            <w:r w:rsidRPr="00D82EBE">
              <w:t>Other loans</w:t>
            </w:r>
          </w:p>
        </w:tc>
        <w:tc>
          <w:tcPr>
            <w:tcW w:w="1134" w:type="dxa"/>
            <w:tcBorders>
              <w:top w:val="single" w:sz="4" w:space="0" w:color="A6A6A6"/>
            </w:tcBorders>
            <w:shd w:val="clear" w:color="auto" w:fill="E7E6E6"/>
            <w:noWrap/>
            <w:hideMark/>
          </w:tcPr>
          <w:p w14:paraId="40E706C5" w14:textId="77777777" w:rsidR="005F4A7E" w:rsidRPr="002029AF" w:rsidRDefault="005F4A7E" w:rsidP="00130D1C">
            <w:pPr>
              <w:pStyle w:val="ARfintablebodyright"/>
            </w:pPr>
            <w:r w:rsidRPr="00D82EBE">
              <w:t>74.1</w:t>
            </w:r>
          </w:p>
        </w:tc>
        <w:tc>
          <w:tcPr>
            <w:tcW w:w="1134" w:type="dxa"/>
            <w:tcBorders>
              <w:top w:val="single" w:sz="4" w:space="0" w:color="A6A6A6"/>
            </w:tcBorders>
            <w:noWrap/>
            <w:hideMark/>
          </w:tcPr>
          <w:p w14:paraId="79FB7C52" w14:textId="77777777" w:rsidR="005F4A7E" w:rsidRPr="002029AF" w:rsidRDefault="005F4A7E" w:rsidP="00130D1C">
            <w:pPr>
              <w:pStyle w:val="ARfintablebodyright"/>
            </w:pPr>
            <w:r w:rsidRPr="00D82EBE">
              <w:t>40.5</w:t>
            </w:r>
          </w:p>
        </w:tc>
      </w:tr>
      <w:tr w:rsidR="005F4A7E" w:rsidRPr="002029AF" w14:paraId="174B4807" w14:textId="77777777" w:rsidTr="00860E95">
        <w:tc>
          <w:tcPr>
            <w:tcW w:w="7369" w:type="dxa"/>
            <w:tcBorders>
              <w:bottom w:val="single" w:sz="4" w:space="0" w:color="auto"/>
            </w:tcBorders>
            <w:hideMark/>
          </w:tcPr>
          <w:p w14:paraId="259E0C9C" w14:textId="77777777" w:rsidR="005F4A7E" w:rsidRPr="002029AF" w:rsidRDefault="005F4A7E" w:rsidP="00130D1C">
            <w:pPr>
              <w:pStyle w:val="ARfintablebodybold"/>
            </w:pPr>
            <w:r w:rsidRPr="00D82EBE">
              <w:t>Total non-current loans</w:t>
            </w:r>
          </w:p>
        </w:tc>
        <w:tc>
          <w:tcPr>
            <w:tcW w:w="1134" w:type="dxa"/>
            <w:tcBorders>
              <w:bottom w:val="single" w:sz="4" w:space="0" w:color="auto"/>
            </w:tcBorders>
            <w:shd w:val="clear" w:color="auto" w:fill="E7E6E6"/>
            <w:noWrap/>
            <w:hideMark/>
          </w:tcPr>
          <w:p w14:paraId="3B569025" w14:textId="77777777" w:rsidR="005F4A7E" w:rsidRPr="002029AF" w:rsidRDefault="005F4A7E" w:rsidP="00130D1C">
            <w:pPr>
              <w:pStyle w:val="ARfintablebodyrightbold"/>
            </w:pPr>
            <w:r w:rsidRPr="00D82EBE">
              <w:t>97.1</w:t>
            </w:r>
          </w:p>
        </w:tc>
        <w:tc>
          <w:tcPr>
            <w:tcW w:w="1134" w:type="dxa"/>
            <w:tcBorders>
              <w:bottom w:val="single" w:sz="4" w:space="0" w:color="auto"/>
            </w:tcBorders>
            <w:noWrap/>
            <w:hideMark/>
          </w:tcPr>
          <w:p w14:paraId="02E49C42" w14:textId="77777777" w:rsidR="005F4A7E" w:rsidRPr="002029AF" w:rsidRDefault="005F4A7E" w:rsidP="00130D1C">
            <w:pPr>
              <w:pStyle w:val="ARfintablebodyrightbold"/>
            </w:pPr>
            <w:r w:rsidRPr="00D82EBE">
              <w:t>64.9</w:t>
            </w:r>
          </w:p>
        </w:tc>
      </w:tr>
      <w:tr w:rsidR="005F4A7E" w:rsidRPr="002029AF" w14:paraId="0F0C794A" w14:textId="77777777" w:rsidTr="00860E95">
        <w:tc>
          <w:tcPr>
            <w:tcW w:w="9637" w:type="dxa"/>
            <w:gridSpan w:val="3"/>
            <w:tcBorders>
              <w:top w:val="single" w:sz="4" w:space="0" w:color="auto"/>
              <w:bottom w:val="single" w:sz="4" w:space="0" w:color="A6A6A6"/>
            </w:tcBorders>
            <w:hideMark/>
          </w:tcPr>
          <w:p w14:paraId="3E16E2ED" w14:textId="77777777" w:rsidR="005F4A7E" w:rsidRPr="002029AF" w:rsidRDefault="005F4A7E" w:rsidP="00130D1C">
            <w:pPr>
              <w:pStyle w:val="ARfintablebodybold"/>
            </w:pPr>
            <w:r w:rsidRPr="00D82EBE">
              <w:t>Less allowance for impairment losses of contractual loans</w:t>
            </w:r>
          </w:p>
        </w:tc>
      </w:tr>
      <w:tr w:rsidR="005F4A7E" w:rsidRPr="002029AF" w14:paraId="5B15CE26" w14:textId="77777777" w:rsidTr="00860E95">
        <w:tc>
          <w:tcPr>
            <w:tcW w:w="7369" w:type="dxa"/>
            <w:tcBorders>
              <w:top w:val="single" w:sz="4" w:space="0" w:color="A6A6A6"/>
              <w:bottom w:val="single" w:sz="4" w:space="0" w:color="A6A6A6"/>
            </w:tcBorders>
            <w:hideMark/>
          </w:tcPr>
          <w:p w14:paraId="6C95C187" w14:textId="77777777" w:rsidR="005F4A7E" w:rsidRPr="002029AF" w:rsidRDefault="005F4A7E" w:rsidP="00130D1C">
            <w:pPr>
              <w:pStyle w:val="ARfintablebody"/>
            </w:pPr>
            <w:r w:rsidRPr="00D82EBE">
              <w:t>Fixed interest home loans</w:t>
            </w:r>
          </w:p>
        </w:tc>
        <w:tc>
          <w:tcPr>
            <w:tcW w:w="1134" w:type="dxa"/>
            <w:tcBorders>
              <w:top w:val="single" w:sz="4" w:space="0" w:color="A6A6A6"/>
              <w:bottom w:val="single" w:sz="4" w:space="0" w:color="A6A6A6"/>
            </w:tcBorders>
            <w:shd w:val="clear" w:color="auto" w:fill="E7E6E6"/>
            <w:noWrap/>
            <w:hideMark/>
          </w:tcPr>
          <w:p w14:paraId="482E5A58" w14:textId="77777777" w:rsidR="005F4A7E" w:rsidRPr="002029AF" w:rsidRDefault="005F4A7E" w:rsidP="00130D1C">
            <w:pPr>
              <w:pStyle w:val="ARfintablebodyright"/>
            </w:pPr>
            <w:r w:rsidRPr="00D82EBE">
              <w:t>(0.1)</w:t>
            </w:r>
          </w:p>
        </w:tc>
        <w:tc>
          <w:tcPr>
            <w:tcW w:w="1134" w:type="dxa"/>
            <w:tcBorders>
              <w:top w:val="single" w:sz="4" w:space="0" w:color="A6A6A6"/>
              <w:bottom w:val="single" w:sz="4" w:space="0" w:color="A6A6A6"/>
            </w:tcBorders>
            <w:noWrap/>
            <w:hideMark/>
          </w:tcPr>
          <w:p w14:paraId="354CB703" w14:textId="77777777" w:rsidR="005F4A7E" w:rsidRPr="002029AF" w:rsidRDefault="005F4A7E" w:rsidP="00130D1C">
            <w:pPr>
              <w:pStyle w:val="ARfintablebodyright"/>
            </w:pPr>
            <w:r w:rsidRPr="00D82EBE">
              <w:t>(0.1)</w:t>
            </w:r>
          </w:p>
        </w:tc>
      </w:tr>
      <w:tr w:rsidR="005F4A7E" w:rsidRPr="002029AF" w14:paraId="2B731DB5" w14:textId="77777777" w:rsidTr="00860E95">
        <w:tc>
          <w:tcPr>
            <w:tcW w:w="7369" w:type="dxa"/>
            <w:tcBorders>
              <w:top w:val="single" w:sz="4" w:space="0" w:color="A6A6A6"/>
            </w:tcBorders>
            <w:hideMark/>
          </w:tcPr>
          <w:p w14:paraId="6E925C65" w14:textId="77777777" w:rsidR="005F4A7E" w:rsidRPr="002029AF" w:rsidRDefault="005F4A7E" w:rsidP="00130D1C">
            <w:pPr>
              <w:pStyle w:val="ARfintablebody"/>
            </w:pPr>
            <w:r w:rsidRPr="00D82EBE">
              <w:t>Indexed interest home loans</w:t>
            </w:r>
          </w:p>
        </w:tc>
        <w:tc>
          <w:tcPr>
            <w:tcW w:w="1134" w:type="dxa"/>
            <w:tcBorders>
              <w:top w:val="single" w:sz="4" w:space="0" w:color="A6A6A6"/>
            </w:tcBorders>
            <w:shd w:val="clear" w:color="auto" w:fill="E7E6E6"/>
            <w:noWrap/>
            <w:hideMark/>
          </w:tcPr>
          <w:p w14:paraId="7FEF91AA" w14:textId="77777777" w:rsidR="005F4A7E" w:rsidRPr="002029AF" w:rsidRDefault="005F4A7E" w:rsidP="00130D1C">
            <w:pPr>
              <w:pStyle w:val="ARfintablebodyright"/>
            </w:pPr>
            <w:r w:rsidRPr="00D82EBE">
              <w:t>(0.3)</w:t>
            </w:r>
          </w:p>
        </w:tc>
        <w:tc>
          <w:tcPr>
            <w:tcW w:w="1134" w:type="dxa"/>
            <w:tcBorders>
              <w:top w:val="single" w:sz="4" w:space="0" w:color="A6A6A6"/>
            </w:tcBorders>
            <w:noWrap/>
            <w:hideMark/>
          </w:tcPr>
          <w:p w14:paraId="24B41415" w14:textId="77777777" w:rsidR="005F4A7E" w:rsidRPr="002029AF" w:rsidRDefault="005F4A7E" w:rsidP="00130D1C">
            <w:pPr>
              <w:pStyle w:val="ARfintablebodyright"/>
            </w:pPr>
            <w:r w:rsidRPr="00D82EBE">
              <w:t>(0.3)</w:t>
            </w:r>
          </w:p>
        </w:tc>
      </w:tr>
      <w:tr w:rsidR="005F4A7E" w:rsidRPr="002029AF" w14:paraId="57EE8990" w14:textId="77777777" w:rsidTr="00860E95">
        <w:tc>
          <w:tcPr>
            <w:tcW w:w="7369" w:type="dxa"/>
            <w:hideMark/>
          </w:tcPr>
          <w:p w14:paraId="7A476571" w14:textId="77777777" w:rsidR="005F4A7E" w:rsidRPr="002029AF" w:rsidRDefault="005F4A7E" w:rsidP="00130D1C">
            <w:pPr>
              <w:pStyle w:val="ARfintablebodybold"/>
            </w:pPr>
            <w:r w:rsidRPr="00D82EBE">
              <w:t>Total allowance for impairment losses of contractual loans</w:t>
            </w:r>
          </w:p>
        </w:tc>
        <w:tc>
          <w:tcPr>
            <w:tcW w:w="1134" w:type="dxa"/>
            <w:shd w:val="clear" w:color="auto" w:fill="E7E6E6"/>
            <w:noWrap/>
            <w:hideMark/>
          </w:tcPr>
          <w:p w14:paraId="200BA533" w14:textId="77777777" w:rsidR="005F4A7E" w:rsidRPr="002029AF" w:rsidRDefault="005F4A7E" w:rsidP="00130D1C">
            <w:pPr>
              <w:pStyle w:val="ARfintablebodyrightbold"/>
            </w:pPr>
            <w:r w:rsidRPr="00D82EBE">
              <w:t>(0.4)</w:t>
            </w:r>
          </w:p>
        </w:tc>
        <w:tc>
          <w:tcPr>
            <w:tcW w:w="1134" w:type="dxa"/>
            <w:noWrap/>
            <w:hideMark/>
          </w:tcPr>
          <w:p w14:paraId="79CD66D2" w14:textId="77777777" w:rsidR="005F4A7E" w:rsidRPr="002029AF" w:rsidRDefault="005F4A7E" w:rsidP="00130D1C">
            <w:pPr>
              <w:pStyle w:val="ARfintablebodyrightbold"/>
            </w:pPr>
            <w:r w:rsidRPr="00D82EBE">
              <w:t>(0.4)</w:t>
            </w:r>
          </w:p>
        </w:tc>
      </w:tr>
      <w:tr w:rsidR="005F4A7E" w:rsidRPr="002029AF" w14:paraId="50B50B82" w14:textId="77777777" w:rsidTr="00860E95">
        <w:tc>
          <w:tcPr>
            <w:tcW w:w="7369" w:type="dxa"/>
            <w:hideMark/>
          </w:tcPr>
          <w:p w14:paraId="75203C24" w14:textId="77777777" w:rsidR="005F4A7E" w:rsidRPr="002029AF" w:rsidRDefault="005F4A7E" w:rsidP="00130D1C">
            <w:pPr>
              <w:pStyle w:val="ARfintablebodybold"/>
            </w:pPr>
            <w:r w:rsidRPr="00D82EBE">
              <w:t>Total loans</w:t>
            </w:r>
          </w:p>
        </w:tc>
        <w:tc>
          <w:tcPr>
            <w:tcW w:w="1134" w:type="dxa"/>
            <w:shd w:val="clear" w:color="auto" w:fill="E7E6E6"/>
            <w:noWrap/>
            <w:hideMark/>
          </w:tcPr>
          <w:p w14:paraId="70B02151" w14:textId="77777777" w:rsidR="005F4A7E" w:rsidRPr="002029AF" w:rsidRDefault="005F4A7E" w:rsidP="00130D1C">
            <w:pPr>
              <w:pStyle w:val="ARfintablebodyrightbold"/>
            </w:pPr>
            <w:r w:rsidRPr="00D82EBE">
              <w:t>118.8</w:t>
            </w:r>
          </w:p>
        </w:tc>
        <w:tc>
          <w:tcPr>
            <w:tcW w:w="1134" w:type="dxa"/>
            <w:noWrap/>
            <w:hideMark/>
          </w:tcPr>
          <w:p w14:paraId="2FFB2487" w14:textId="77777777" w:rsidR="005F4A7E" w:rsidRPr="002029AF" w:rsidRDefault="005F4A7E" w:rsidP="00130D1C">
            <w:pPr>
              <w:pStyle w:val="ARfintablebodyrightbold"/>
            </w:pPr>
            <w:r w:rsidRPr="00D82EBE">
              <w:t>389.5</w:t>
            </w:r>
          </w:p>
        </w:tc>
      </w:tr>
    </w:tbl>
    <w:p w14:paraId="4C876A78" w14:textId="77777777" w:rsidR="005F4A7E" w:rsidRDefault="005F4A7E" w:rsidP="00130D1C">
      <w:pPr>
        <w:pStyle w:val="ARfinbodyaftertable"/>
        <w:rPr>
          <w:sz w:val="16"/>
        </w:rPr>
      </w:pPr>
      <w:r>
        <w:t>The department has housing-related loans and loans and advances to health agencies.</w:t>
      </w:r>
    </w:p>
    <w:p w14:paraId="020C5B2F" w14:textId="77777777" w:rsidR="005F4A7E" w:rsidRDefault="005F4A7E" w:rsidP="00130D1C">
      <w:pPr>
        <w:pStyle w:val="ARfinbody"/>
      </w:pPr>
      <w:r>
        <w:t>The housing-related loans relate to loan programs that have ceased. The majority of housing loans are secured by a registered mortgage. However, there are a small number of loans that are on terms in contracts of sale. The title remains in the name of the vendor, Director of Housing as successor in title to the Housing Commission, until the amount owing under the contract of sale is paid in full. Some mortgage relief and home renovation loans are subject to an unregistered mortgage with a caveat on the title noting the Director of Housing as having an interest in the property. The Home Renovation Service loan program did not require security for loans of $10,000 or less.</w:t>
      </w:r>
    </w:p>
    <w:p w14:paraId="2F12C888" w14:textId="77777777" w:rsidR="005F4A7E" w:rsidRDefault="005F4A7E" w:rsidP="00130D1C">
      <w:pPr>
        <w:pStyle w:val="ARfinbody"/>
      </w:pPr>
      <w:r>
        <w:t>Cash advances were paid in 2019–20 to health agencies for the purpose of providing funding to meet July 2020 payroll and supplier payments. Health agencies were required to repay this cash advance in 2020–21.</w:t>
      </w:r>
    </w:p>
    <w:p w14:paraId="7EA3D48F" w14:textId="77777777" w:rsidR="005F4A7E" w:rsidRDefault="005F4A7E" w:rsidP="00130D1C">
      <w:pPr>
        <w:pStyle w:val="ARfinbody"/>
      </w:pPr>
      <w:r>
        <w:t>Loans are initially recognised at fair value plus any directly attributable transaction costs. Subsequent to initial measurement they are measured at amortised cost using the effective interest method, less any impairment.</w:t>
      </w:r>
    </w:p>
    <w:p w14:paraId="6E1E69E8" w14:textId="77777777" w:rsidR="005F4A7E" w:rsidRDefault="005F4A7E" w:rsidP="00130D1C">
      <w:pPr>
        <w:pStyle w:val="ARfinbody"/>
      </w:pPr>
      <w:r>
        <w:rPr>
          <w:rStyle w:val="Strong"/>
        </w:rPr>
        <w:t>Defaults and breaches:</w:t>
      </w:r>
      <w:r>
        <w:t xml:space="preserve"> During the current and prior year, there were no defaults and breaches of any of the loans.</w:t>
      </w:r>
    </w:p>
    <w:p w14:paraId="1FD1E225" w14:textId="77777777" w:rsidR="005F4A7E" w:rsidRPr="002029AF" w:rsidRDefault="005F4A7E" w:rsidP="00087B91">
      <w:pPr>
        <w:pStyle w:val="Heading5"/>
      </w:pPr>
      <w:bookmarkStart w:id="918" w:name="_Toc85121451"/>
      <w:r>
        <w:rPr>
          <w:lang w:eastAsia="en-AU"/>
        </w:rPr>
        <w:t>6.2.1 Ageing analysis of contractual loans</w:t>
      </w:r>
      <w:bookmarkEnd w:id="918"/>
    </w:p>
    <w:tbl>
      <w:tblPr>
        <w:tblStyle w:val="TableGrid"/>
        <w:tblW w:w="9637" w:type="dxa"/>
        <w:tblLayout w:type="fixed"/>
        <w:tblLook w:val="06A0" w:firstRow="1" w:lastRow="0" w:firstColumn="1" w:lastColumn="0" w:noHBand="1" w:noVBand="1"/>
      </w:tblPr>
      <w:tblGrid>
        <w:gridCol w:w="2833"/>
        <w:gridCol w:w="1134"/>
        <w:gridCol w:w="1134"/>
        <w:gridCol w:w="1134"/>
        <w:gridCol w:w="1134"/>
        <w:gridCol w:w="1134"/>
        <w:gridCol w:w="1134"/>
      </w:tblGrid>
      <w:tr w:rsidR="005F4A7E" w:rsidRPr="002029AF" w14:paraId="164A2645"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2833" w:type="dxa"/>
            <w:vMerge w:val="restart"/>
            <w:noWrap/>
            <w:hideMark/>
          </w:tcPr>
          <w:p w14:paraId="51DD5878" w14:textId="77777777" w:rsidR="005F4A7E" w:rsidRPr="002029AF" w:rsidRDefault="005F4A7E" w:rsidP="00860E95">
            <w:pPr>
              <w:pStyle w:val="ARfintablecolhead"/>
            </w:pPr>
          </w:p>
        </w:tc>
        <w:tc>
          <w:tcPr>
            <w:tcW w:w="1134" w:type="dxa"/>
            <w:vMerge w:val="restart"/>
            <w:noWrap/>
            <w:hideMark/>
          </w:tcPr>
          <w:p w14:paraId="3397C1D2" w14:textId="77777777" w:rsidR="005F4A7E" w:rsidRPr="002029AF" w:rsidRDefault="005F4A7E" w:rsidP="00860E95">
            <w:pPr>
              <w:pStyle w:val="ARfintablecolheadright"/>
            </w:pPr>
            <w:r w:rsidRPr="002029AF">
              <w:t>Carrying amount</w:t>
            </w:r>
          </w:p>
          <w:p w14:paraId="5FF3610A" w14:textId="77777777" w:rsidR="005F4A7E" w:rsidRPr="002029AF" w:rsidRDefault="005F4A7E" w:rsidP="00860E95">
            <w:pPr>
              <w:pStyle w:val="ARfintablecolheadright"/>
            </w:pPr>
            <w:r w:rsidRPr="002029AF">
              <w:t>$M</w:t>
            </w:r>
          </w:p>
        </w:tc>
        <w:tc>
          <w:tcPr>
            <w:tcW w:w="1134" w:type="dxa"/>
            <w:vMerge w:val="restart"/>
            <w:noWrap/>
            <w:hideMark/>
          </w:tcPr>
          <w:p w14:paraId="16DEAEFA" w14:textId="77777777" w:rsidR="005F4A7E" w:rsidRPr="002029AF" w:rsidRDefault="005F4A7E" w:rsidP="00860E95">
            <w:pPr>
              <w:pStyle w:val="ARfintablecolheadright"/>
            </w:pPr>
            <w:r w:rsidRPr="002029AF">
              <w:t>Not past due</w:t>
            </w:r>
          </w:p>
          <w:p w14:paraId="77EB6756" w14:textId="77777777" w:rsidR="005F4A7E" w:rsidRPr="002029AF" w:rsidRDefault="005F4A7E" w:rsidP="00860E95">
            <w:pPr>
              <w:pStyle w:val="ARfintablecolheadright"/>
            </w:pPr>
            <w:r w:rsidRPr="002029AF">
              <w:t>$M</w:t>
            </w:r>
          </w:p>
        </w:tc>
        <w:tc>
          <w:tcPr>
            <w:tcW w:w="4536" w:type="dxa"/>
            <w:gridSpan w:val="4"/>
            <w:hideMark/>
          </w:tcPr>
          <w:p w14:paraId="1CE84921" w14:textId="77777777" w:rsidR="005F4A7E" w:rsidRPr="002029AF" w:rsidRDefault="005F4A7E" w:rsidP="00860E95">
            <w:pPr>
              <w:pStyle w:val="ARfintablecolheadcentre"/>
            </w:pPr>
            <w:r w:rsidRPr="002029AF">
              <w:t>Past due</w:t>
            </w:r>
          </w:p>
        </w:tc>
      </w:tr>
      <w:tr w:rsidR="005F4A7E" w:rsidRPr="002029AF" w14:paraId="7C4F9F52"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2833" w:type="dxa"/>
            <w:vMerge/>
            <w:tcBorders>
              <w:bottom w:val="single" w:sz="4" w:space="0" w:color="auto"/>
            </w:tcBorders>
            <w:hideMark/>
          </w:tcPr>
          <w:p w14:paraId="35AAF025" w14:textId="77777777" w:rsidR="005F4A7E" w:rsidRPr="002029AF" w:rsidRDefault="005F4A7E" w:rsidP="00860E95">
            <w:pPr>
              <w:pStyle w:val="ARfintablecolhead"/>
            </w:pPr>
          </w:p>
        </w:tc>
        <w:tc>
          <w:tcPr>
            <w:tcW w:w="1134" w:type="dxa"/>
            <w:vMerge/>
            <w:tcBorders>
              <w:bottom w:val="single" w:sz="4" w:space="0" w:color="auto"/>
            </w:tcBorders>
            <w:hideMark/>
          </w:tcPr>
          <w:p w14:paraId="79CB956D" w14:textId="77777777" w:rsidR="005F4A7E" w:rsidRPr="002029AF" w:rsidRDefault="005F4A7E" w:rsidP="00860E95">
            <w:pPr>
              <w:pStyle w:val="ARfintablecolheadright"/>
            </w:pPr>
          </w:p>
        </w:tc>
        <w:tc>
          <w:tcPr>
            <w:tcW w:w="1134" w:type="dxa"/>
            <w:vMerge/>
            <w:tcBorders>
              <w:bottom w:val="single" w:sz="4" w:space="0" w:color="auto"/>
            </w:tcBorders>
            <w:hideMark/>
          </w:tcPr>
          <w:p w14:paraId="12307C93" w14:textId="77777777" w:rsidR="005F4A7E" w:rsidRPr="002029AF" w:rsidRDefault="005F4A7E" w:rsidP="00860E95">
            <w:pPr>
              <w:pStyle w:val="ARfintablecolheadright"/>
            </w:pPr>
          </w:p>
        </w:tc>
        <w:tc>
          <w:tcPr>
            <w:tcW w:w="1134" w:type="dxa"/>
            <w:tcBorders>
              <w:bottom w:val="single" w:sz="4" w:space="0" w:color="auto"/>
            </w:tcBorders>
            <w:hideMark/>
          </w:tcPr>
          <w:p w14:paraId="6927BE2F" w14:textId="77777777" w:rsidR="005F4A7E" w:rsidRPr="002029AF" w:rsidRDefault="005F4A7E" w:rsidP="00860E95">
            <w:pPr>
              <w:pStyle w:val="ARfintablecolheadright"/>
            </w:pPr>
            <w:r w:rsidRPr="002029AF">
              <w:t>Less than 1 month</w:t>
            </w:r>
          </w:p>
          <w:p w14:paraId="34B8066A" w14:textId="77777777" w:rsidR="005F4A7E" w:rsidRPr="002029AF" w:rsidRDefault="005F4A7E" w:rsidP="00860E95">
            <w:pPr>
              <w:pStyle w:val="ARfintablecolheadright"/>
            </w:pPr>
            <w:r w:rsidRPr="002029AF">
              <w:t>$M</w:t>
            </w:r>
          </w:p>
        </w:tc>
        <w:tc>
          <w:tcPr>
            <w:tcW w:w="1134" w:type="dxa"/>
            <w:tcBorders>
              <w:bottom w:val="single" w:sz="4" w:space="0" w:color="auto"/>
            </w:tcBorders>
            <w:hideMark/>
          </w:tcPr>
          <w:p w14:paraId="12DAD538" w14:textId="77777777" w:rsidR="005F4A7E" w:rsidRPr="002029AF" w:rsidRDefault="005F4A7E" w:rsidP="00860E95">
            <w:pPr>
              <w:pStyle w:val="ARfintablecolheadright"/>
            </w:pPr>
            <w:r w:rsidRPr="002029AF">
              <w:t>1–3 months</w:t>
            </w:r>
          </w:p>
          <w:p w14:paraId="70328E79" w14:textId="77777777" w:rsidR="005F4A7E" w:rsidRPr="002029AF" w:rsidRDefault="005F4A7E" w:rsidP="00860E95">
            <w:pPr>
              <w:pStyle w:val="ARfintablecolheadright"/>
            </w:pPr>
            <w:r w:rsidRPr="002029AF">
              <w:t>$M</w:t>
            </w:r>
          </w:p>
        </w:tc>
        <w:tc>
          <w:tcPr>
            <w:tcW w:w="1134" w:type="dxa"/>
            <w:tcBorders>
              <w:bottom w:val="single" w:sz="4" w:space="0" w:color="auto"/>
            </w:tcBorders>
            <w:hideMark/>
          </w:tcPr>
          <w:p w14:paraId="5E909C96" w14:textId="77777777" w:rsidR="005F4A7E" w:rsidRPr="002029AF" w:rsidRDefault="005F4A7E" w:rsidP="00860E95">
            <w:pPr>
              <w:pStyle w:val="ARfintablecolheadright"/>
            </w:pPr>
            <w:r w:rsidRPr="002029AF">
              <w:t>3 months – 1 year</w:t>
            </w:r>
          </w:p>
          <w:p w14:paraId="6CD3FE3B" w14:textId="77777777" w:rsidR="005F4A7E" w:rsidRPr="002029AF" w:rsidRDefault="005F4A7E" w:rsidP="00860E95">
            <w:pPr>
              <w:pStyle w:val="ARfintablecolheadright"/>
            </w:pPr>
            <w:r w:rsidRPr="002029AF">
              <w:t>$M</w:t>
            </w:r>
          </w:p>
        </w:tc>
        <w:tc>
          <w:tcPr>
            <w:tcW w:w="1134" w:type="dxa"/>
            <w:tcBorders>
              <w:bottom w:val="single" w:sz="4" w:space="0" w:color="auto"/>
            </w:tcBorders>
            <w:hideMark/>
          </w:tcPr>
          <w:p w14:paraId="1BCD122D" w14:textId="77777777" w:rsidR="005F4A7E" w:rsidRPr="002029AF" w:rsidRDefault="005F4A7E" w:rsidP="00860E95">
            <w:pPr>
              <w:pStyle w:val="ARfintablecolheadright"/>
            </w:pPr>
            <w:r w:rsidRPr="002029AF">
              <w:t>1–5 years</w:t>
            </w:r>
          </w:p>
          <w:p w14:paraId="253EFBD3" w14:textId="77777777" w:rsidR="005F4A7E" w:rsidRPr="002029AF" w:rsidRDefault="005F4A7E" w:rsidP="00860E95">
            <w:pPr>
              <w:pStyle w:val="ARfintablecolheadright"/>
            </w:pPr>
            <w:r w:rsidRPr="002029AF">
              <w:t>$M</w:t>
            </w:r>
          </w:p>
        </w:tc>
      </w:tr>
      <w:tr w:rsidR="005F4A7E" w:rsidRPr="002029AF" w14:paraId="380DFECC" w14:textId="77777777" w:rsidTr="00860E95">
        <w:tc>
          <w:tcPr>
            <w:tcW w:w="9637" w:type="dxa"/>
            <w:gridSpan w:val="7"/>
            <w:tcBorders>
              <w:top w:val="single" w:sz="4" w:space="0" w:color="auto"/>
              <w:bottom w:val="single" w:sz="4" w:space="0" w:color="A6A6A6"/>
            </w:tcBorders>
            <w:hideMark/>
          </w:tcPr>
          <w:p w14:paraId="15A00C8B" w14:textId="77777777" w:rsidR="005F4A7E" w:rsidRPr="002029AF" w:rsidRDefault="005F4A7E" w:rsidP="00130D1C">
            <w:pPr>
              <w:pStyle w:val="ARfintablebodybold"/>
            </w:pPr>
            <w:r w:rsidRPr="00956E52">
              <w:t>2021</w:t>
            </w:r>
          </w:p>
        </w:tc>
      </w:tr>
      <w:tr w:rsidR="005F4A7E" w:rsidRPr="002029AF" w14:paraId="64E7E7D8" w14:textId="77777777" w:rsidTr="00860E95">
        <w:tc>
          <w:tcPr>
            <w:tcW w:w="2833" w:type="dxa"/>
            <w:tcBorders>
              <w:top w:val="single" w:sz="4" w:space="0" w:color="A6A6A6"/>
            </w:tcBorders>
            <w:hideMark/>
          </w:tcPr>
          <w:p w14:paraId="0BF4AAD5" w14:textId="77777777" w:rsidR="005F4A7E" w:rsidRPr="002029AF" w:rsidRDefault="005F4A7E" w:rsidP="00130D1C">
            <w:pPr>
              <w:pStyle w:val="ARfintablebody"/>
            </w:pPr>
            <w:r w:rsidRPr="00956E52">
              <w:t>Loans</w:t>
            </w:r>
          </w:p>
        </w:tc>
        <w:tc>
          <w:tcPr>
            <w:tcW w:w="1134" w:type="dxa"/>
            <w:tcBorders>
              <w:top w:val="single" w:sz="4" w:space="0" w:color="A6A6A6"/>
            </w:tcBorders>
            <w:noWrap/>
            <w:hideMark/>
          </w:tcPr>
          <w:p w14:paraId="444A753C" w14:textId="77777777" w:rsidR="005F4A7E" w:rsidRPr="002029AF" w:rsidRDefault="005F4A7E" w:rsidP="00130D1C">
            <w:pPr>
              <w:pStyle w:val="ARfintablebodyright"/>
            </w:pPr>
            <w:r w:rsidRPr="00956E52">
              <w:t>118.8</w:t>
            </w:r>
          </w:p>
        </w:tc>
        <w:tc>
          <w:tcPr>
            <w:tcW w:w="1134" w:type="dxa"/>
            <w:tcBorders>
              <w:top w:val="single" w:sz="4" w:space="0" w:color="A6A6A6"/>
            </w:tcBorders>
            <w:noWrap/>
            <w:hideMark/>
          </w:tcPr>
          <w:p w14:paraId="7780600D" w14:textId="77777777" w:rsidR="005F4A7E" w:rsidRPr="002029AF" w:rsidRDefault="005F4A7E" w:rsidP="00130D1C">
            <w:pPr>
              <w:pStyle w:val="ARfintablebodyright"/>
            </w:pPr>
            <w:r w:rsidRPr="00956E52">
              <w:t>118.8</w:t>
            </w:r>
          </w:p>
        </w:tc>
        <w:tc>
          <w:tcPr>
            <w:tcW w:w="1134" w:type="dxa"/>
            <w:tcBorders>
              <w:top w:val="single" w:sz="4" w:space="0" w:color="A6A6A6"/>
            </w:tcBorders>
            <w:noWrap/>
            <w:hideMark/>
          </w:tcPr>
          <w:p w14:paraId="12F1CA16" w14:textId="77777777" w:rsidR="005F4A7E" w:rsidRPr="002029AF" w:rsidRDefault="005F4A7E" w:rsidP="00130D1C">
            <w:pPr>
              <w:pStyle w:val="ARfintablebodyright"/>
            </w:pPr>
            <w:r w:rsidRPr="00956E52">
              <w:t>–</w:t>
            </w:r>
          </w:p>
        </w:tc>
        <w:tc>
          <w:tcPr>
            <w:tcW w:w="1134" w:type="dxa"/>
            <w:tcBorders>
              <w:top w:val="single" w:sz="4" w:space="0" w:color="A6A6A6"/>
            </w:tcBorders>
            <w:noWrap/>
            <w:hideMark/>
          </w:tcPr>
          <w:p w14:paraId="60E26F1A" w14:textId="77777777" w:rsidR="005F4A7E" w:rsidRPr="002029AF" w:rsidRDefault="005F4A7E" w:rsidP="00130D1C">
            <w:pPr>
              <w:pStyle w:val="ARfintablebodyright"/>
            </w:pPr>
            <w:r w:rsidRPr="00956E52">
              <w:t>–</w:t>
            </w:r>
          </w:p>
        </w:tc>
        <w:tc>
          <w:tcPr>
            <w:tcW w:w="1134" w:type="dxa"/>
            <w:tcBorders>
              <w:top w:val="single" w:sz="4" w:space="0" w:color="A6A6A6"/>
            </w:tcBorders>
            <w:noWrap/>
            <w:hideMark/>
          </w:tcPr>
          <w:p w14:paraId="69CD32BA" w14:textId="77777777" w:rsidR="005F4A7E" w:rsidRPr="002029AF" w:rsidRDefault="005F4A7E" w:rsidP="00130D1C">
            <w:pPr>
              <w:pStyle w:val="ARfintablebodyright"/>
            </w:pPr>
            <w:r w:rsidRPr="00956E52">
              <w:t>–</w:t>
            </w:r>
          </w:p>
        </w:tc>
        <w:tc>
          <w:tcPr>
            <w:tcW w:w="1134" w:type="dxa"/>
            <w:tcBorders>
              <w:top w:val="single" w:sz="4" w:space="0" w:color="A6A6A6"/>
            </w:tcBorders>
            <w:noWrap/>
            <w:hideMark/>
          </w:tcPr>
          <w:p w14:paraId="001FF433" w14:textId="77777777" w:rsidR="005F4A7E" w:rsidRPr="002029AF" w:rsidRDefault="005F4A7E" w:rsidP="00130D1C">
            <w:pPr>
              <w:pStyle w:val="ARfintablebodyright"/>
            </w:pPr>
            <w:r w:rsidRPr="00956E52">
              <w:t>–</w:t>
            </w:r>
          </w:p>
        </w:tc>
      </w:tr>
      <w:tr w:rsidR="005F4A7E" w:rsidRPr="002029AF" w14:paraId="187D9677" w14:textId="77777777" w:rsidTr="00860E95">
        <w:tc>
          <w:tcPr>
            <w:tcW w:w="2833" w:type="dxa"/>
            <w:tcBorders>
              <w:bottom w:val="single" w:sz="4" w:space="0" w:color="auto"/>
            </w:tcBorders>
            <w:hideMark/>
          </w:tcPr>
          <w:p w14:paraId="2FB646D4" w14:textId="77777777" w:rsidR="005F4A7E" w:rsidRPr="002029AF" w:rsidRDefault="005F4A7E" w:rsidP="00130D1C">
            <w:pPr>
              <w:pStyle w:val="ARfintablebodybold"/>
            </w:pPr>
            <w:r w:rsidRPr="00956E52">
              <w:t>Total</w:t>
            </w:r>
          </w:p>
        </w:tc>
        <w:tc>
          <w:tcPr>
            <w:tcW w:w="1134" w:type="dxa"/>
            <w:tcBorders>
              <w:bottom w:val="single" w:sz="4" w:space="0" w:color="auto"/>
            </w:tcBorders>
            <w:noWrap/>
            <w:hideMark/>
          </w:tcPr>
          <w:p w14:paraId="7EC7F074" w14:textId="77777777" w:rsidR="005F4A7E" w:rsidRPr="002029AF" w:rsidRDefault="005F4A7E" w:rsidP="00130D1C">
            <w:pPr>
              <w:pStyle w:val="ARfintablebodyrightbold"/>
            </w:pPr>
            <w:r w:rsidRPr="00956E52">
              <w:t>118.8</w:t>
            </w:r>
          </w:p>
        </w:tc>
        <w:tc>
          <w:tcPr>
            <w:tcW w:w="1134" w:type="dxa"/>
            <w:tcBorders>
              <w:bottom w:val="single" w:sz="4" w:space="0" w:color="auto"/>
            </w:tcBorders>
            <w:noWrap/>
            <w:hideMark/>
          </w:tcPr>
          <w:p w14:paraId="5760903E" w14:textId="77777777" w:rsidR="005F4A7E" w:rsidRPr="002029AF" w:rsidRDefault="005F4A7E" w:rsidP="00130D1C">
            <w:pPr>
              <w:pStyle w:val="ARfintablebodyrightbold"/>
            </w:pPr>
            <w:r w:rsidRPr="00956E52">
              <w:t>118.8</w:t>
            </w:r>
          </w:p>
        </w:tc>
        <w:tc>
          <w:tcPr>
            <w:tcW w:w="1134" w:type="dxa"/>
            <w:tcBorders>
              <w:bottom w:val="single" w:sz="4" w:space="0" w:color="auto"/>
            </w:tcBorders>
            <w:noWrap/>
            <w:hideMark/>
          </w:tcPr>
          <w:p w14:paraId="2E8A8F57" w14:textId="77777777" w:rsidR="005F4A7E" w:rsidRPr="002029AF" w:rsidRDefault="005F4A7E" w:rsidP="00130D1C">
            <w:pPr>
              <w:pStyle w:val="ARfintablebodyrightbold"/>
            </w:pPr>
            <w:r w:rsidRPr="00956E52">
              <w:t>–</w:t>
            </w:r>
          </w:p>
        </w:tc>
        <w:tc>
          <w:tcPr>
            <w:tcW w:w="1134" w:type="dxa"/>
            <w:tcBorders>
              <w:bottom w:val="single" w:sz="4" w:space="0" w:color="auto"/>
            </w:tcBorders>
            <w:noWrap/>
            <w:hideMark/>
          </w:tcPr>
          <w:p w14:paraId="14A9B6E7" w14:textId="77777777" w:rsidR="005F4A7E" w:rsidRPr="002029AF" w:rsidRDefault="005F4A7E" w:rsidP="00130D1C">
            <w:pPr>
              <w:pStyle w:val="ARfintablebodyrightbold"/>
            </w:pPr>
            <w:r w:rsidRPr="00956E52">
              <w:t>–</w:t>
            </w:r>
          </w:p>
        </w:tc>
        <w:tc>
          <w:tcPr>
            <w:tcW w:w="1134" w:type="dxa"/>
            <w:tcBorders>
              <w:bottom w:val="single" w:sz="4" w:space="0" w:color="auto"/>
            </w:tcBorders>
            <w:noWrap/>
            <w:hideMark/>
          </w:tcPr>
          <w:p w14:paraId="4DDA7B88" w14:textId="77777777" w:rsidR="005F4A7E" w:rsidRPr="002029AF" w:rsidRDefault="005F4A7E" w:rsidP="00130D1C">
            <w:pPr>
              <w:pStyle w:val="ARfintablebodyrightbold"/>
            </w:pPr>
            <w:r w:rsidRPr="00956E52">
              <w:t>–</w:t>
            </w:r>
          </w:p>
        </w:tc>
        <w:tc>
          <w:tcPr>
            <w:tcW w:w="1134" w:type="dxa"/>
            <w:tcBorders>
              <w:bottom w:val="single" w:sz="4" w:space="0" w:color="auto"/>
            </w:tcBorders>
            <w:noWrap/>
            <w:hideMark/>
          </w:tcPr>
          <w:p w14:paraId="51C1F269" w14:textId="77777777" w:rsidR="005F4A7E" w:rsidRPr="002029AF" w:rsidRDefault="005F4A7E" w:rsidP="00130D1C">
            <w:pPr>
              <w:pStyle w:val="ARfintablebodyrightbold"/>
            </w:pPr>
            <w:r w:rsidRPr="00956E52">
              <w:t>–</w:t>
            </w:r>
          </w:p>
        </w:tc>
      </w:tr>
      <w:tr w:rsidR="005F4A7E" w:rsidRPr="002029AF" w14:paraId="5B632CEE" w14:textId="77777777" w:rsidTr="00860E95">
        <w:tc>
          <w:tcPr>
            <w:tcW w:w="9637" w:type="dxa"/>
            <w:gridSpan w:val="7"/>
            <w:tcBorders>
              <w:top w:val="single" w:sz="4" w:space="0" w:color="auto"/>
              <w:bottom w:val="single" w:sz="4" w:space="0" w:color="A6A6A6"/>
            </w:tcBorders>
            <w:hideMark/>
          </w:tcPr>
          <w:p w14:paraId="2502116C" w14:textId="77777777" w:rsidR="005F4A7E" w:rsidRPr="002029AF" w:rsidRDefault="005F4A7E" w:rsidP="00130D1C">
            <w:pPr>
              <w:pStyle w:val="ARfintablebodybold"/>
            </w:pPr>
            <w:r w:rsidRPr="00956E52">
              <w:t>2020</w:t>
            </w:r>
          </w:p>
        </w:tc>
      </w:tr>
      <w:tr w:rsidR="005F4A7E" w:rsidRPr="002029AF" w14:paraId="27A6F9C7" w14:textId="77777777" w:rsidTr="00860E95">
        <w:tc>
          <w:tcPr>
            <w:tcW w:w="2833" w:type="dxa"/>
            <w:tcBorders>
              <w:top w:val="single" w:sz="4" w:space="0" w:color="A6A6A6"/>
            </w:tcBorders>
            <w:hideMark/>
          </w:tcPr>
          <w:p w14:paraId="06BF985B" w14:textId="77777777" w:rsidR="005F4A7E" w:rsidRPr="002029AF" w:rsidRDefault="005F4A7E" w:rsidP="00130D1C">
            <w:pPr>
              <w:pStyle w:val="ARfintablebody"/>
            </w:pPr>
            <w:r w:rsidRPr="00956E52">
              <w:t>Loans</w:t>
            </w:r>
          </w:p>
        </w:tc>
        <w:tc>
          <w:tcPr>
            <w:tcW w:w="1134" w:type="dxa"/>
            <w:tcBorders>
              <w:top w:val="single" w:sz="4" w:space="0" w:color="A6A6A6"/>
            </w:tcBorders>
            <w:noWrap/>
            <w:hideMark/>
          </w:tcPr>
          <w:p w14:paraId="7F449221" w14:textId="77777777" w:rsidR="005F4A7E" w:rsidRPr="002029AF" w:rsidRDefault="005F4A7E" w:rsidP="00130D1C">
            <w:pPr>
              <w:pStyle w:val="ARfintablebodyright"/>
            </w:pPr>
            <w:r w:rsidRPr="00956E52">
              <w:t>389.5</w:t>
            </w:r>
          </w:p>
        </w:tc>
        <w:tc>
          <w:tcPr>
            <w:tcW w:w="1134" w:type="dxa"/>
            <w:tcBorders>
              <w:top w:val="single" w:sz="4" w:space="0" w:color="A6A6A6"/>
            </w:tcBorders>
            <w:noWrap/>
            <w:hideMark/>
          </w:tcPr>
          <w:p w14:paraId="04A6E93D" w14:textId="77777777" w:rsidR="005F4A7E" w:rsidRPr="002029AF" w:rsidRDefault="005F4A7E" w:rsidP="00130D1C">
            <w:pPr>
              <w:pStyle w:val="ARfintablebodyright"/>
            </w:pPr>
            <w:r w:rsidRPr="00956E52">
              <w:t>389.5</w:t>
            </w:r>
          </w:p>
        </w:tc>
        <w:tc>
          <w:tcPr>
            <w:tcW w:w="1134" w:type="dxa"/>
            <w:tcBorders>
              <w:top w:val="single" w:sz="4" w:space="0" w:color="A6A6A6"/>
            </w:tcBorders>
            <w:noWrap/>
            <w:hideMark/>
          </w:tcPr>
          <w:p w14:paraId="124E7658" w14:textId="77777777" w:rsidR="005F4A7E" w:rsidRPr="002029AF" w:rsidRDefault="005F4A7E" w:rsidP="00130D1C">
            <w:pPr>
              <w:pStyle w:val="ARfintablebodyright"/>
            </w:pPr>
            <w:r w:rsidRPr="00956E52">
              <w:t>–</w:t>
            </w:r>
          </w:p>
        </w:tc>
        <w:tc>
          <w:tcPr>
            <w:tcW w:w="1134" w:type="dxa"/>
            <w:tcBorders>
              <w:top w:val="single" w:sz="4" w:space="0" w:color="A6A6A6"/>
            </w:tcBorders>
            <w:noWrap/>
            <w:hideMark/>
          </w:tcPr>
          <w:p w14:paraId="671ED5BF" w14:textId="77777777" w:rsidR="005F4A7E" w:rsidRPr="002029AF" w:rsidRDefault="005F4A7E" w:rsidP="00130D1C">
            <w:pPr>
              <w:pStyle w:val="ARfintablebodyright"/>
            </w:pPr>
            <w:r w:rsidRPr="00956E52">
              <w:t>–</w:t>
            </w:r>
          </w:p>
        </w:tc>
        <w:tc>
          <w:tcPr>
            <w:tcW w:w="1134" w:type="dxa"/>
            <w:tcBorders>
              <w:top w:val="single" w:sz="4" w:space="0" w:color="A6A6A6"/>
            </w:tcBorders>
            <w:noWrap/>
            <w:hideMark/>
          </w:tcPr>
          <w:p w14:paraId="24FB010A" w14:textId="77777777" w:rsidR="005F4A7E" w:rsidRPr="002029AF" w:rsidRDefault="005F4A7E" w:rsidP="00130D1C">
            <w:pPr>
              <w:pStyle w:val="ARfintablebodyright"/>
            </w:pPr>
            <w:r w:rsidRPr="00956E52">
              <w:t>–</w:t>
            </w:r>
          </w:p>
        </w:tc>
        <w:tc>
          <w:tcPr>
            <w:tcW w:w="1134" w:type="dxa"/>
            <w:tcBorders>
              <w:top w:val="single" w:sz="4" w:space="0" w:color="A6A6A6"/>
            </w:tcBorders>
            <w:noWrap/>
            <w:hideMark/>
          </w:tcPr>
          <w:p w14:paraId="4C63B1C0" w14:textId="77777777" w:rsidR="005F4A7E" w:rsidRPr="002029AF" w:rsidRDefault="005F4A7E" w:rsidP="00130D1C">
            <w:pPr>
              <w:pStyle w:val="ARfintablebodyright"/>
            </w:pPr>
            <w:r w:rsidRPr="00956E52">
              <w:t>–</w:t>
            </w:r>
          </w:p>
        </w:tc>
      </w:tr>
      <w:tr w:rsidR="005F4A7E" w:rsidRPr="002029AF" w14:paraId="7F01F3CE" w14:textId="77777777" w:rsidTr="00860E95">
        <w:tc>
          <w:tcPr>
            <w:tcW w:w="2833" w:type="dxa"/>
            <w:hideMark/>
          </w:tcPr>
          <w:p w14:paraId="4BC917C4" w14:textId="77777777" w:rsidR="005F4A7E" w:rsidRPr="002029AF" w:rsidRDefault="005F4A7E" w:rsidP="00130D1C">
            <w:pPr>
              <w:pStyle w:val="ARfintablebodybold"/>
            </w:pPr>
            <w:r w:rsidRPr="00956E52">
              <w:t>Total</w:t>
            </w:r>
          </w:p>
        </w:tc>
        <w:tc>
          <w:tcPr>
            <w:tcW w:w="1134" w:type="dxa"/>
            <w:noWrap/>
            <w:hideMark/>
          </w:tcPr>
          <w:p w14:paraId="7CA19730" w14:textId="77777777" w:rsidR="005F4A7E" w:rsidRPr="002029AF" w:rsidRDefault="005F4A7E" w:rsidP="00130D1C">
            <w:pPr>
              <w:pStyle w:val="ARfintablebodyrightbold"/>
            </w:pPr>
            <w:r w:rsidRPr="00956E52">
              <w:t>389.5</w:t>
            </w:r>
          </w:p>
        </w:tc>
        <w:tc>
          <w:tcPr>
            <w:tcW w:w="1134" w:type="dxa"/>
            <w:noWrap/>
            <w:hideMark/>
          </w:tcPr>
          <w:p w14:paraId="5E31F63C" w14:textId="77777777" w:rsidR="005F4A7E" w:rsidRPr="002029AF" w:rsidRDefault="005F4A7E" w:rsidP="00130D1C">
            <w:pPr>
              <w:pStyle w:val="ARfintablebodyrightbold"/>
            </w:pPr>
            <w:r w:rsidRPr="00956E52">
              <w:t>389.5</w:t>
            </w:r>
          </w:p>
        </w:tc>
        <w:tc>
          <w:tcPr>
            <w:tcW w:w="1134" w:type="dxa"/>
            <w:noWrap/>
            <w:hideMark/>
          </w:tcPr>
          <w:p w14:paraId="3DC047EB" w14:textId="77777777" w:rsidR="005F4A7E" w:rsidRPr="002029AF" w:rsidRDefault="005F4A7E" w:rsidP="00130D1C">
            <w:pPr>
              <w:pStyle w:val="ARfintablebodyrightbold"/>
            </w:pPr>
            <w:r w:rsidRPr="00956E52">
              <w:t>–</w:t>
            </w:r>
          </w:p>
        </w:tc>
        <w:tc>
          <w:tcPr>
            <w:tcW w:w="1134" w:type="dxa"/>
            <w:noWrap/>
            <w:hideMark/>
          </w:tcPr>
          <w:p w14:paraId="1493E056" w14:textId="77777777" w:rsidR="005F4A7E" w:rsidRPr="002029AF" w:rsidRDefault="005F4A7E" w:rsidP="00130D1C">
            <w:pPr>
              <w:pStyle w:val="ARfintablebodyrightbold"/>
            </w:pPr>
            <w:r w:rsidRPr="00956E52">
              <w:t>–</w:t>
            </w:r>
          </w:p>
        </w:tc>
        <w:tc>
          <w:tcPr>
            <w:tcW w:w="1134" w:type="dxa"/>
            <w:noWrap/>
            <w:hideMark/>
          </w:tcPr>
          <w:p w14:paraId="0811EE2E" w14:textId="77777777" w:rsidR="005F4A7E" w:rsidRPr="002029AF" w:rsidRDefault="005F4A7E" w:rsidP="00130D1C">
            <w:pPr>
              <w:pStyle w:val="ARfintablebodyrightbold"/>
            </w:pPr>
            <w:r w:rsidRPr="00956E52">
              <w:t>–</w:t>
            </w:r>
          </w:p>
        </w:tc>
        <w:tc>
          <w:tcPr>
            <w:tcW w:w="1134" w:type="dxa"/>
            <w:noWrap/>
            <w:hideMark/>
          </w:tcPr>
          <w:p w14:paraId="32EB1143" w14:textId="77777777" w:rsidR="005F4A7E" w:rsidRPr="002029AF" w:rsidRDefault="005F4A7E" w:rsidP="00130D1C">
            <w:pPr>
              <w:pStyle w:val="ARfintablebodyrightbold"/>
            </w:pPr>
            <w:r w:rsidRPr="00956E52">
              <w:t>–</w:t>
            </w:r>
          </w:p>
        </w:tc>
      </w:tr>
    </w:tbl>
    <w:p w14:paraId="08F31615" w14:textId="77777777" w:rsidR="005F4A7E" w:rsidRPr="00C263D7" w:rsidRDefault="005F4A7E" w:rsidP="00130D1C">
      <w:pPr>
        <w:pStyle w:val="ARfinbody"/>
      </w:pPr>
      <w:bookmarkStart w:id="919" w:name="_Toc39242152"/>
      <w:r w:rsidRPr="00C263D7">
        <w:br w:type="page"/>
      </w:r>
    </w:p>
    <w:p w14:paraId="70A2DB00" w14:textId="77777777" w:rsidR="005F4A7E" w:rsidRPr="002029AF" w:rsidRDefault="005F4A7E" w:rsidP="00087B91">
      <w:pPr>
        <w:pStyle w:val="Heading4"/>
      </w:pPr>
      <w:bookmarkStart w:id="920" w:name="_Toc85121452"/>
      <w:r w:rsidRPr="002029AF">
        <w:lastRenderedPageBreak/>
        <w:t>6.3 Other non-financial assets</w:t>
      </w:r>
      <w:bookmarkEnd w:id="919"/>
      <w:bookmarkEnd w:id="920"/>
    </w:p>
    <w:tbl>
      <w:tblPr>
        <w:tblStyle w:val="TableGrid"/>
        <w:tblW w:w="9637" w:type="dxa"/>
        <w:tblLayout w:type="fixed"/>
        <w:tblLook w:val="06A0" w:firstRow="1" w:lastRow="0" w:firstColumn="1" w:lastColumn="0" w:noHBand="1" w:noVBand="1"/>
      </w:tblPr>
      <w:tblGrid>
        <w:gridCol w:w="7371"/>
        <w:gridCol w:w="1133"/>
        <w:gridCol w:w="1133"/>
      </w:tblGrid>
      <w:tr w:rsidR="005F4A7E" w:rsidRPr="002029AF" w14:paraId="4D029086" w14:textId="77777777" w:rsidTr="00613339">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32B871C2" w14:textId="77777777" w:rsidR="005F4A7E" w:rsidRPr="002029AF" w:rsidRDefault="005F4A7E" w:rsidP="00860E95">
            <w:pPr>
              <w:pStyle w:val="ARfintablecolhead"/>
            </w:pPr>
          </w:p>
        </w:tc>
        <w:tc>
          <w:tcPr>
            <w:tcW w:w="1133" w:type="dxa"/>
            <w:tcBorders>
              <w:bottom w:val="single" w:sz="4" w:space="0" w:color="auto"/>
            </w:tcBorders>
            <w:shd w:val="clear" w:color="auto" w:fill="E7E6E6"/>
            <w:hideMark/>
          </w:tcPr>
          <w:p w14:paraId="68F0E289" w14:textId="77777777" w:rsidR="005F4A7E" w:rsidRPr="002029AF" w:rsidRDefault="005F4A7E" w:rsidP="00860E95">
            <w:pPr>
              <w:pStyle w:val="ARfintablecolheadright"/>
            </w:pPr>
            <w:r>
              <w:t>2021</w:t>
            </w:r>
          </w:p>
          <w:p w14:paraId="7C2F9169" w14:textId="77777777" w:rsidR="005F4A7E" w:rsidRPr="002029AF" w:rsidRDefault="005F4A7E" w:rsidP="00860E95">
            <w:pPr>
              <w:pStyle w:val="ARfintablecolheadright"/>
            </w:pPr>
            <w:r w:rsidRPr="002029AF">
              <w:t>$M</w:t>
            </w:r>
          </w:p>
        </w:tc>
        <w:tc>
          <w:tcPr>
            <w:tcW w:w="1133" w:type="dxa"/>
            <w:tcBorders>
              <w:bottom w:val="single" w:sz="4" w:space="0" w:color="auto"/>
            </w:tcBorders>
            <w:hideMark/>
          </w:tcPr>
          <w:p w14:paraId="47EA5BB6" w14:textId="77777777" w:rsidR="005F4A7E" w:rsidRPr="002029AF" w:rsidRDefault="005F4A7E" w:rsidP="00860E95">
            <w:pPr>
              <w:pStyle w:val="ARfintablecolheadright"/>
            </w:pPr>
            <w:r>
              <w:t>2020</w:t>
            </w:r>
          </w:p>
          <w:p w14:paraId="04CD249F" w14:textId="77777777" w:rsidR="005F4A7E" w:rsidRPr="002029AF" w:rsidRDefault="005F4A7E" w:rsidP="00860E95">
            <w:pPr>
              <w:pStyle w:val="ARfintablecolheadright"/>
            </w:pPr>
            <w:r w:rsidRPr="002029AF">
              <w:t>$M</w:t>
            </w:r>
          </w:p>
        </w:tc>
      </w:tr>
      <w:tr w:rsidR="005F4A7E" w:rsidRPr="002029AF" w14:paraId="1638087A" w14:textId="77777777" w:rsidTr="00860E95">
        <w:tc>
          <w:tcPr>
            <w:tcW w:w="7371" w:type="dxa"/>
            <w:tcBorders>
              <w:top w:val="single" w:sz="4" w:space="0" w:color="A6A6A6"/>
            </w:tcBorders>
            <w:hideMark/>
          </w:tcPr>
          <w:p w14:paraId="766F3753" w14:textId="77777777" w:rsidR="005F4A7E" w:rsidRPr="002029AF" w:rsidRDefault="005F4A7E" w:rsidP="00130D1C">
            <w:pPr>
              <w:pStyle w:val="ARfintablebody"/>
            </w:pPr>
            <w:r w:rsidRPr="00B01403">
              <w:t>Prepayments</w:t>
            </w:r>
          </w:p>
        </w:tc>
        <w:tc>
          <w:tcPr>
            <w:tcW w:w="1133" w:type="dxa"/>
            <w:tcBorders>
              <w:top w:val="single" w:sz="4" w:space="0" w:color="A6A6A6"/>
            </w:tcBorders>
            <w:shd w:val="clear" w:color="auto" w:fill="E7E6E6"/>
            <w:noWrap/>
            <w:hideMark/>
          </w:tcPr>
          <w:p w14:paraId="23AA5268" w14:textId="77777777" w:rsidR="005F4A7E" w:rsidRPr="002029AF" w:rsidRDefault="005F4A7E" w:rsidP="00130D1C">
            <w:pPr>
              <w:pStyle w:val="ARfintablebodyright"/>
            </w:pPr>
            <w:r w:rsidRPr="00B01403">
              <w:t>162.9</w:t>
            </w:r>
          </w:p>
        </w:tc>
        <w:tc>
          <w:tcPr>
            <w:tcW w:w="1133" w:type="dxa"/>
            <w:tcBorders>
              <w:top w:val="single" w:sz="4" w:space="0" w:color="A6A6A6"/>
            </w:tcBorders>
            <w:noWrap/>
            <w:hideMark/>
          </w:tcPr>
          <w:p w14:paraId="58281EF2" w14:textId="77777777" w:rsidR="005F4A7E" w:rsidRPr="002029AF" w:rsidRDefault="005F4A7E" w:rsidP="00130D1C">
            <w:pPr>
              <w:pStyle w:val="ARfintablebodyright"/>
            </w:pPr>
            <w:r w:rsidRPr="00B01403">
              <w:t>286.2</w:t>
            </w:r>
          </w:p>
        </w:tc>
      </w:tr>
      <w:tr w:rsidR="005F4A7E" w:rsidRPr="002029AF" w14:paraId="5FC70682" w14:textId="77777777" w:rsidTr="00860E95">
        <w:tc>
          <w:tcPr>
            <w:tcW w:w="7371" w:type="dxa"/>
            <w:hideMark/>
          </w:tcPr>
          <w:p w14:paraId="7EA9ECA2" w14:textId="77777777" w:rsidR="005F4A7E" w:rsidRPr="002029AF" w:rsidRDefault="005F4A7E" w:rsidP="00130D1C">
            <w:pPr>
              <w:pStyle w:val="ARfintablebodybold"/>
            </w:pPr>
            <w:r w:rsidRPr="00B01403">
              <w:t>Total other non-financial assets</w:t>
            </w:r>
          </w:p>
        </w:tc>
        <w:tc>
          <w:tcPr>
            <w:tcW w:w="1133" w:type="dxa"/>
            <w:shd w:val="clear" w:color="auto" w:fill="E7E6E6"/>
            <w:noWrap/>
            <w:hideMark/>
          </w:tcPr>
          <w:p w14:paraId="57E80B85" w14:textId="77777777" w:rsidR="005F4A7E" w:rsidRPr="002029AF" w:rsidRDefault="005F4A7E" w:rsidP="00130D1C">
            <w:pPr>
              <w:pStyle w:val="ARfintablebodyrightbold"/>
            </w:pPr>
            <w:r w:rsidRPr="00B01403">
              <w:t>162.9</w:t>
            </w:r>
          </w:p>
        </w:tc>
        <w:tc>
          <w:tcPr>
            <w:tcW w:w="1133" w:type="dxa"/>
            <w:noWrap/>
            <w:hideMark/>
          </w:tcPr>
          <w:p w14:paraId="7C0ED324" w14:textId="77777777" w:rsidR="005F4A7E" w:rsidRPr="002029AF" w:rsidRDefault="005F4A7E" w:rsidP="00130D1C">
            <w:pPr>
              <w:pStyle w:val="ARfintablebodyrightbold"/>
            </w:pPr>
            <w:r w:rsidRPr="00B01403">
              <w:t>286.2</w:t>
            </w:r>
          </w:p>
        </w:tc>
      </w:tr>
    </w:tbl>
    <w:p w14:paraId="7151A1EF" w14:textId="77777777" w:rsidR="005F4A7E" w:rsidRDefault="005F4A7E" w:rsidP="00130D1C">
      <w:pPr>
        <w:pStyle w:val="ARfinbodyaftertable"/>
      </w:pPr>
      <w:bookmarkStart w:id="921" w:name="_Toc39242153"/>
      <w:r>
        <w:t>Prepayments represent payments in advance of receipt of goods and services or that part of expenditure made in one accounting period covering a term extending beyond that period.</w:t>
      </w:r>
    </w:p>
    <w:p w14:paraId="63BE3F90" w14:textId="77777777" w:rsidR="005F4A7E" w:rsidRPr="002029AF" w:rsidRDefault="005F4A7E" w:rsidP="00087B91">
      <w:pPr>
        <w:pStyle w:val="Heading4"/>
      </w:pPr>
      <w:bookmarkStart w:id="922" w:name="_Toc85121453"/>
      <w:r w:rsidRPr="002029AF">
        <w:t>6.4 Payables</w:t>
      </w:r>
      <w:bookmarkEnd w:id="921"/>
      <w:bookmarkEnd w:id="922"/>
    </w:p>
    <w:tbl>
      <w:tblPr>
        <w:tblStyle w:val="TableGrid"/>
        <w:tblW w:w="9637" w:type="dxa"/>
        <w:tblLayout w:type="fixed"/>
        <w:tblLook w:val="06A0" w:firstRow="1" w:lastRow="0" w:firstColumn="1" w:lastColumn="0" w:noHBand="1" w:noVBand="1"/>
      </w:tblPr>
      <w:tblGrid>
        <w:gridCol w:w="7371"/>
        <w:gridCol w:w="1133"/>
        <w:gridCol w:w="1133"/>
      </w:tblGrid>
      <w:tr w:rsidR="005F4A7E" w:rsidRPr="002029AF" w14:paraId="6C98FEEE"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14996D54" w14:textId="77777777" w:rsidR="005F4A7E" w:rsidRPr="002029AF" w:rsidRDefault="005F4A7E" w:rsidP="00860E95">
            <w:pPr>
              <w:pStyle w:val="ARfintablecolhead"/>
            </w:pPr>
          </w:p>
        </w:tc>
        <w:tc>
          <w:tcPr>
            <w:tcW w:w="1133" w:type="dxa"/>
            <w:tcBorders>
              <w:bottom w:val="single" w:sz="4" w:space="0" w:color="auto"/>
            </w:tcBorders>
            <w:shd w:val="clear" w:color="auto" w:fill="E7E6E6"/>
            <w:hideMark/>
          </w:tcPr>
          <w:p w14:paraId="5D03E636" w14:textId="77777777" w:rsidR="005F4A7E" w:rsidRPr="002029AF" w:rsidRDefault="005F4A7E" w:rsidP="00860E95">
            <w:pPr>
              <w:pStyle w:val="ARfintablecolheadright"/>
            </w:pPr>
            <w:r>
              <w:t>2021</w:t>
            </w:r>
          </w:p>
          <w:p w14:paraId="79A39662" w14:textId="77777777" w:rsidR="005F4A7E" w:rsidRPr="002029AF" w:rsidRDefault="005F4A7E" w:rsidP="00860E95">
            <w:pPr>
              <w:pStyle w:val="ARfintablecolheadright"/>
            </w:pPr>
            <w:r w:rsidRPr="002029AF">
              <w:t>$M</w:t>
            </w:r>
          </w:p>
        </w:tc>
        <w:tc>
          <w:tcPr>
            <w:tcW w:w="1133" w:type="dxa"/>
            <w:tcBorders>
              <w:bottom w:val="single" w:sz="4" w:space="0" w:color="auto"/>
            </w:tcBorders>
            <w:hideMark/>
          </w:tcPr>
          <w:p w14:paraId="13CD159B" w14:textId="77777777" w:rsidR="005F4A7E" w:rsidRPr="002029AF" w:rsidRDefault="005F4A7E" w:rsidP="00860E95">
            <w:pPr>
              <w:pStyle w:val="ARfintablecolheadright"/>
            </w:pPr>
            <w:r>
              <w:t>2020</w:t>
            </w:r>
          </w:p>
          <w:p w14:paraId="3DC29348" w14:textId="77777777" w:rsidR="005F4A7E" w:rsidRPr="002029AF" w:rsidRDefault="005F4A7E" w:rsidP="00860E95">
            <w:pPr>
              <w:pStyle w:val="ARfintablecolheadright"/>
            </w:pPr>
            <w:r w:rsidRPr="002029AF">
              <w:t>$M</w:t>
            </w:r>
          </w:p>
        </w:tc>
      </w:tr>
      <w:tr w:rsidR="005F4A7E" w:rsidRPr="002029AF" w14:paraId="6C14D9C4" w14:textId="77777777" w:rsidTr="00860E95">
        <w:tc>
          <w:tcPr>
            <w:tcW w:w="9637" w:type="dxa"/>
            <w:gridSpan w:val="3"/>
            <w:tcBorders>
              <w:top w:val="single" w:sz="4" w:space="0" w:color="auto"/>
              <w:bottom w:val="single" w:sz="4" w:space="0" w:color="A6A6A6"/>
            </w:tcBorders>
            <w:hideMark/>
          </w:tcPr>
          <w:p w14:paraId="4478DF21" w14:textId="77777777" w:rsidR="005F4A7E" w:rsidRPr="002029AF" w:rsidRDefault="005F4A7E" w:rsidP="00130D1C">
            <w:pPr>
              <w:pStyle w:val="ARfintablebodybold"/>
            </w:pPr>
            <w:r w:rsidRPr="00F06393">
              <w:t>Current payables</w:t>
            </w:r>
          </w:p>
        </w:tc>
      </w:tr>
      <w:tr w:rsidR="005F4A7E" w:rsidRPr="002029AF" w14:paraId="6731D95D" w14:textId="77777777" w:rsidTr="00860E95">
        <w:tc>
          <w:tcPr>
            <w:tcW w:w="9637" w:type="dxa"/>
            <w:gridSpan w:val="3"/>
            <w:tcBorders>
              <w:top w:val="single" w:sz="4" w:space="0" w:color="A6A6A6"/>
              <w:bottom w:val="single" w:sz="4" w:space="0" w:color="A6A6A6"/>
            </w:tcBorders>
            <w:hideMark/>
          </w:tcPr>
          <w:p w14:paraId="76F319CE" w14:textId="77777777" w:rsidR="005F4A7E" w:rsidRPr="00DE30A1" w:rsidRDefault="005F4A7E" w:rsidP="00130D1C">
            <w:pPr>
              <w:pStyle w:val="ARfintablebody"/>
              <w:rPr>
                <w:rStyle w:val="Emphasis"/>
              </w:rPr>
            </w:pPr>
            <w:r w:rsidRPr="00DE30A1">
              <w:rPr>
                <w:rStyle w:val="Emphasis"/>
              </w:rPr>
              <w:t>Statutory</w:t>
            </w:r>
          </w:p>
        </w:tc>
      </w:tr>
      <w:tr w:rsidR="005F4A7E" w:rsidRPr="002029AF" w14:paraId="3B332172" w14:textId="77777777" w:rsidTr="00860E95">
        <w:tc>
          <w:tcPr>
            <w:tcW w:w="7371" w:type="dxa"/>
            <w:tcBorders>
              <w:top w:val="single" w:sz="4" w:space="0" w:color="A6A6A6"/>
              <w:bottom w:val="single" w:sz="4" w:space="0" w:color="A6A6A6"/>
            </w:tcBorders>
            <w:hideMark/>
          </w:tcPr>
          <w:p w14:paraId="7E6CA36B" w14:textId="77777777" w:rsidR="005F4A7E" w:rsidRPr="002029AF" w:rsidRDefault="005F4A7E" w:rsidP="00130D1C">
            <w:pPr>
              <w:pStyle w:val="ARfintablebody"/>
            </w:pPr>
            <w:r w:rsidRPr="005D4D54">
              <w:t>FBT</w:t>
            </w:r>
            <w:r w:rsidRPr="00F06393">
              <w:t xml:space="preserve"> payable</w:t>
            </w:r>
          </w:p>
        </w:tc>
        <w:tc>
          <w:tcPr>
            <w:tcW w:w="1133" w:type="dxa"/>
            <w:tcBorders>
              <w:top w:val="single" w:sz="4" w:space="0" w:color="A6A6A6"/>
              <w:bottom w:val="single" w:sz="4" w:space="0" w:color="A6A6A6"/>
            </w:tcBorders>
            <w:shd w:val="clear" w:color="auto" w:fill="E7E6E6"/>
            <w:noWrap/>
            <w:hideMark/>
          </w:tcPr>
          <w:p w14:paraId="28C62986" w14:textId="77777777" w:rsidR="005F4A7E" w:rsidRPr="002029AF" w:rsidRDefault="005F4A7E" w:rsidP="00130D1C">
            <w:pPr>
              <w:pStyle w:val="ARfintablebodyright"/>
            </w:pPr>
            <w:r w:rsidRPr="00F06393">
              <w:t>–</w:t>
            </w:r>
          </w:p>
        </w:tc>
        <w:tc>
          <w:tcPr>
            <w:tcW w:w="1133" w:type="dxa"/>
            <w:tcBorders>
              <w:top w:val="single" w:sz="4" w:space="0" w:color="A6A6A6"/>
              <w:bottom w:val="single" w:sz="4" w:space="0" w:color="A6A6A6"/>
            </w:tcBorders>
            <w:noWrap/>
            <w:hideMark/>
          </w:tcPr>
          <w:p w14:paraId="5533B1A6" w14:textId="77777777" w:rsidR="005F4A7E" w:rsidRPr="002029AF" w:rsidRDefault="005F4A7E" w:rsidP="00130D1C">
            <w:pPr>
              <w:pStyle w:val="ARfintablebodyright"/>
            </w:pPr>
            <w:r w:rsidRPr="00F06393">
              <w:t>0.2</w:t>
            </w:r>
          </w:p>
        </w:tc>
      </w:tr>
      <w:tr w:rsidR="005F4A7E" w:rsidRPr="002029AF" w14:paraId="0284516D" w14:textId="77777777" w:rsidTr="00860E95">
        <w:tc>
          <w:tcPr>
            <w:tcW w:w="7371" w:type="dxa"/>
            <w:tcBorders>
              <w:top w:val="single" w:sz="4" w:space="0" w:color="A6A6A6"/>
              <w:bottom w:val="single" w:sz="4" w:space="0" w:color="A6A6A6"/>
            </w:tcBorders>
            <w:hideMark/>
          </w:tcPr>
          <w:p w14:paraId="3396DAB9" w14:textId="77777777" w:rsidR="005F4A7E" w:rsidRPr="00DE30A1" w:rsidRDefault="005F4A7E" w:rsidP="00130D1C">
            <w:pPr>
              <w:pStyle w:val="ARfintablebody"/>
              <w:rPr>
                <w:rStyle w:val="Emphasis"/>
              </w:rPr>
            </w:pPr>
            <w:r w:rsidRPr="00DE30A1">
              <w:rPr>
                <w:rStyle w:val="Emphasis"/>
              </w:rPr>
              <w:t>Contractual</w:t>
            </w:r>
          </w:p>
        </w:tc>
        <w:tc>
          <w:tcPr>
            <w:tcW w:w="1133" w:type="dxa"/>
            <w:tcBorders>
              <w:top w:val="single" w:sz="4" w:space="0" w:color="A6A6A6"/>
              <w:bottom w:val="single" w:sz="4" w:space="0" w:color="A6A6A6"/>
            </w:tcBorders>
            <w:shd w:val="clear" w:color="auto" w:fill="E7E6E6"/>
            <w:hideMark/>
          </w:tcPr>
          <w:p w14:paraId="3D51A98C" w14:textId="77777777" w:rsidR="005F4A7E" w:rsidRPr="002029AF" w:rsidRDefault="005F4A7E" w:rsidP="00130D1C">
            <w:pPr>
              <w:pStyle w:val="ARfintablebodyright"/>
            </w:pPr>
          </w:p>
        </w:tc>
        <w:tc>
          <w:tcPr>
            <w:tcW w:w="1133" w:type="dxa"/>
            <w:tcBorders>
              <w:top w:val="single" w:sz="4" w:space="0" w:color="A6A6A6"/>
              <w:bottom w:val="single" w:sz="4" w:space="0" w:color="A6A6A6"/>
            </w:tcBorders>
            <w:hideMark/>
          </w:tcPr>
          <w:p w14:paraId="00E23E7F" w14:textId="77777777" w:rsidR="005F4A7E" w:rsidRPr="002029AF" w:rsidRDefault="005F4A7E" w:rsidP="00130D1C">
            <w:pPr>
              <w:pStyle w:val="ARfintablebodyright"/>
            </w:pPr>
          </w:p>
        </w:tc>
      </w:tr>
      <w:tr w:rsidR="005F4A7E" w:rsidRPr="002029AF" w14:paraId="312B939E" w14:textId="77777777" w:rsidTr="00860E95">
        <w:tc>
          <w:tcPr>
            <w:tcW w:w="7371" w:type="dxa"/>
            <w:tcBorders>
              <w:top w:val="single" w:sz="4" w:space="0" w:color="A6A6A6"/>
              <w:bottom w:val="single" w:sz="4" w:space="0" w:color="A6A6A6"/>
            </w:tcBorders>
            <w:hideMark/>
          </w:tcPr>
          <w:p w14:paraId="29347A6C" w14:textId="77777777" w:rsidR="005F4A7E" w:rsidRPr="002029AF" w:rsidRDefault="005F4A7E" w:rsidP="00130D1C">
            <w:pPr>
              <w:pStyle w:val="ARfintablebody"/>
            </w:pPr>
            <w:r w:rsidRPr="00F06393">
              <w:t>Employee benefits payable</w:t>
            </w:r>
          </w:p>
        </w:tc>
        <w:tc>
          <w:tcPr>
            <w:tcW w:w="1133" w:type="dxa"/>
            <w:tcBorders>
              <w:top w:val="single" w:sz="4" w:space="0" w:color="A6A6A6"/>
              <w:bottom w:val="single" w:sz="4" w:space="0" w:color="A6A6A6"/>
            </w:tcBorders>
            <w:shd w:val="clear" w:color="auto" w:fill="E7E6E6"/>
            <w:noWrap/>
            <w:hideMark/>
          </w:tcPr>
          <w:p w14:paraId="5D494C92" w14:textId="77777777" w:rsidR="005F4A7E" w:rsidRPr="002029AF" w:rsidRDefault="005F4A7E" w:rsidP="00130D1C">
            <w:pPr>
              <w:pStyle w:val="ARfintablebodyright"/>
            </w:pPr>
            <w:r w:rsidRPr="00F06393">
              <w:t>59.0</w:t>
            </w:r>
          </w:p>
        </w:tc>
        <w:tc>
          <w:tcPr>
            <w:tcW w:w="1133" w:type="dxa"/>
            <w:tcBorders>
              <w:top w:val="single" w:sz="4" w:space="0" w:color="A6A6A6"/>
              <w:bottom w:val="single" w:sz="4" w:space="0" w:color="A6A6A6"/>
            </w:tcBorders>
            <w:noWrap/>
            <w:hideMark/>
          </w:tcPr>
          <w:p w14:paraId="600B6B98" w14:textId="77777777" w:rsidR="005F4A7E" w:rsidRPr="002029AF" w:rsidRDefault="005F4A7E" w:rsidP="00130D1C">
            <w:pPr>
              <w:pStyle w:val="ARfintablebodyright"/>
            </w:pPr>
            <w:r w:rsidRPr="00F06393">
              <w:t>24.3</w:t>
            </w:r>
          </w:p>
        </w:tc>
      </w:tr>
      <w:tr w:rsidR="005F4A7E" w:rsidRPr="002029AF" w14:paraId="78BF36FD" w14:textId="77777777" w:rsidTr="00860E95">
        <w:tc>
          <w:tcPr>
            <w:tcW w:w="7371" w:type="dxa"/>
            <w:tcBorders>
              <w:top w:val="single" w:sz="4" w:space="0" w:color="A6A6A6"/>
              <w:bottom w:val="single" w:sz="4" w:space="0" w:color="A6A6A6"/>
            </w:tcBorders>
            <w:hideMark/>
          </w:tcPr>
          <w:p w14:paraId="6FCACF5D" w14:textId="77777777" w:rsidR="005F4A7E" w:rsidRPr="002029AF" w:rsidRDefault="005F4A7E" w:rsidP="00130D1C">
            <w:pPr>
              <w:pStyle w:val="ARfintablebody"/>
            </w:pPr>
            <w:r w:rsidRPr="00F06393">
              <w:t>Supplies and services</w:t>
            </w:r>
          </w:p>
        </w:tc>
        <w:tc>
          <w:tcPr>
            <w:tcW w:w="1133" w:type="dxa"/>
            <w:tcBorders>
              <w:top w:val="single" w:sz="4" w:space="0" w:color="A6A6A6"/>
              <w:bottom w:val="single" w:sz="4" w:space="0" w:color="A6A6A6"/>
            </w:tcBorders>
            <w:shd w:val="clear" w:color="auto" w:fill="E7E6E6"/>
            <w:noWrap/>
            <w:hideMark/>
          </w:tcPr>
          <w:p w14:paraId="5282211D" w14:textId="77777777" w:rsidR="005F4A7E" w:rsidRPr="002029AF" w:rsidRDefault="005F4A7E" w:rsidP="00130D1C">
            <w:pPr>
              <w:pStyle w:val="ARfintablebodyright"/>
            </w:pPr>
            <w:r w:rsidRPr="00F06393">
              <w:t>287.8</w:t>
            </w:r>
          </w:p>
        </w:tc>
        <w:tc>
          <w:tcPr>
            <w:tcW w:w="1133" w:type="dxa"/>
            <w:tcBorders>
              <w:top w:val="single" w:sz="4" w:space="0" w:color="A6A6A6"/>
              <w:bottom w:val="single" w:sz="4" w:space="0" w:color="A6A6A6"/>
            </w:tcBorders>
            <w:noWrap/>
            <w:hideMark/>
          </w:tcPr>
          <w:p w14:paraId="653D38F7" w14:textId="77777777" w:rsidR="005F4A7E" w:rsidRPr="002029AF" w:rsidRDefault="005F4A7E" w:rsidP="00130D1C">
            <w:pPr>
              <w:pStyle w:val="ARfintablebodyright"/>
            </w:pPr>
            <w:r w:rsidRPr="00F06393">
              <w:t>162.2</w:t>
            </w:r>
          </w:p>
        </w:tc>
      </w:tr>
      <w:tr w:rsidR="005F4A7E" w:rsidRPr="002029AF" w14:paraId="3A732ECC" w14:textId="77777777" w:rsidTr="00860E95">
        <w:tc>
          <w:tcPr>
            <w:tcW w:w="7371" w:type="dxa"/>
            <w:tcBorders>
              <w:top w:val="single" w:sz="4" w:space="0" w:color="A6A6A6"/>
              <w:bottom w:val="single" w:sz="4" w:space="0" w:color="A6A6A6"/>
            </w:tcBorders>
            <w:hideMark/>
          </w:tcPr>
          <w:p w14:paraId="5AAD9141" w14:textId="77777777" w:rsidR="005F4A7E" w:rsidRPr="002029AF" w:rsidRDefault="005F4A7E" w:rsidP="00130D1C">
            <w:pPr>
              <w:pStyle w:val="ARfintablebody"/>
            </w:pPr>
            <w:r w:rsidRPr="00F06393">
              <w:t>Amounts payable to government agencies</w:t>
            </w:r>
          </w:p>
        </w:tc>
        <w:tc>
          <w:tcPr>
            <w:tcW w:w="1133" w:type="dxa"/>
            <w:tcBorders>
              <w:top w:val="single" w:sz="4" w:space="0" w:color="A6A6A6"/>
              <w:bottom w:val="single" w:sz="4" w:space="0" w:color="A6A6A6"/>
            </w:tcBorders>
            <w:shd w:val="clear" w:color="auto" w:fill="E7E6E6"/>
            <w:noWrap/>
            <w:hideMark/>
          </w:tcPr>
          <w:p w14:paraId="4FAA4281" w14:textId="77777777" w:rsidR="005F4A7E" w:rsidRPr="002029AF" w:rsidRDefault="005F4A7E" w:rsidP="00130D1C">
            <w:pPr>
              <w:pStyle w:val="ARfintablebodyright"/>
            </w:pPr>
            <w:r w:rsidRPr="00F06393">
              <w:t>681.2</w:t>
            </w:r>
          </w:p>
        </w:tc>
        <w:tc>
          <w:tcPr>
            <w:tcW w:w="1133" w:type="dxa"/>
            <w:tcBorders>
              <w:top w:val="single" w:sz="4" w:space="0" w:color="A6A6A6"/>
              <w:bottom w:val="single" w:sz="4" w:space="0" w:color="A6A6A6"/>
            </w:tcBorders>
            <w:noWrap/>
            <w:hideMark/>
          </w:tcPr>
          <w:p w14:paraId="51C62B2D" w14:textId="77777777" w:rsidR="005F4A7E" w:rsidRPr="002029AF" w:rsidRDefault="005F4A7E" w:rsidP="00130D1C">
            <w:pPr>
              <w:pStyle w:val="ARfintablebodyright"/>
            </w:pPr>
            <w:r w:rsidRPr="00F06393">
              <w:t>670.5</w:t>
            </w:r>
          </w:p>
        </w:tc>
      </w:tr>
      <w:tr w:rsidR="005F4A7E" w:rsidRPr="002029AF" w14:paraId="4B3D536E" w14:textId="77777777" w:rsidTr="00860E95">
        <w:tc>
          <w:tcPr>
            <w:tcW w:w="7371" w:type="dxa"/>
            <w:tcBorders>
              <w:top w:val="single" w:sz="4" w:space="0" w:color="A6A6A6"/>
              <w:bottom w:val="single" w:sz="4" w:space="0" w:color="A6A6A6"/>
            </w:tcBorders>
            <w:hideMark/>
          </w:tcPr>
          <w:p w14:paraId="6FD70C97" w14:textId="77777777" w:rsidR="005F4A7E" w:rsidRPr="002029AF" w:rsidRDefault="005F4A7E" w:rsidP="00130D1C">
            <w:pPr>
              <w:pStyle w:val="ARfintablebody"/>
            </w:pPr>
            <w:r w:rsidRPr="00F06393">
              <w:t>Concession payments to pensioners</w:t>
            </w:r>
          </w:p>
        </w:tc>
        <w:tc>
          <w:tcPr>
            <w:tcW w:w="1133" w:type="dxa"/>
            <w:tcBorders>
              <w:top w:val="single" w:sz="4" w:space="0" w:color="A6A6A6"/>
              <w:bottom w:val="single" w:sz="4" w:space="0" w:color="A6A6A6"/>
            </w:tcBorders>
            <w:shd w:val="clear" w:color="auto" w:fill="E7E6E6"/>
            <w:noWrap/>
            <w:hideMark/>
          </w:tcPr>
          <w:p w14:paraId="280AFDCF" w14:textId="77777777" w:rsidR="005F4A7E" w:rsidRPr="002029AF" w:rsidRDefault="005F4A7E" w:rsidP="00130D1C">
            <w:pPr>
              <w:pStyle w:val="ARfintablebodyright"/>
            </w:pPr>
            <w:r w:rsidRPr="00F06393">
              <w:t>111.4</w:t>
            </w:r>
          </w:p>
        </w:tc>
        <w:tc>
          <w:tcPr>
            <w:tcW w:w="1133" w:type="dxa"/>
            <w:tcBorders>
              <w:top w:val="single" w:sz="4" w:space="0" w:color="A6A6A6"/>
              <w:bottom w:val="single" w:sz="4" w:space="0" w:color="A6A6A6"/>
            </w:tcBorders>
            <w:noWrap/>
            <w:hideMark/>
          </w:tcPr>
          <w:p w14:paraId="48B7B8E7" w14:textId="77777777" w:rsidR="005F4A7E" w:rsidRPr="002029AF" w:rsidRDefault="005F4A7E" w:rsidP="00130D1C">
            <w:pPr>
              <w:pStyle w:val="ARfintablebodyright"/>
            </w:pPr>
            <w:r w:rsidRPr="00F06393">
              <w:t>93.9</w:t>
            </w:r>
          </w:p>
        </w:tc>
      </w:tr>
      <w:tr w:rsidR="005F4A7E" w:rsidRPr="002029AF" w14:paraId="0682B32A" w14:textId="77777777" w:rsidTr="00860E95">
        <w:tc>
          <w:tcPr>
            <w:tcW w:w="7371" w:type="dxa"/>
            <w:tcBorders>
              <w:top w:val="single" w:sz="4" w:space="0" w:color="A6A6A6"/>
              <w:bottom w:val="single" w:sz="4" w:space="0" w:color="A6A6A6"/>
            </w:tcBorders>
            <w:hideMark/>
          </w:tcPr>
          <w:p w14:paraId="0AB670D1" w14:textId="77777777" w:rsidR="005F4A7E" w:rsidRPr="002029AF" w:rsidRDefault="005F4A7E" w:rsidP="00130D1C">
            <w:pPr>
              <w:pStyle w:val="ARfintablebody"/>
            </w:pPr>
            <w:r w:rsidRPr="00F06393">
              <w:t>Tenants in advance</w:t>
            </w:r>
          </w:p>
        </w:tc>
        <w:tc>
          <w:tcPr>
            <w:tcW w:w="1133" w:type="dxa"/>
            <w:tcBorders>
              <w:top w:val="single" w:sz="4" w:space="0" w:color="A6A6A6"/>
              <w:bottom w:val="single" w:sz="4" w:space="0" w:color="A6A6A6"/>
            </w:tcBorders>
            <w:shd w:val="clear" w:color="auto" w:fill="E7E6E6"/>
            <w:noWrap/>
            <w:hideMark/>
          </w:tcPr>
          <w:p w14:paraId="1412AAD7" w14:textId="77777777" w:rsidR="005F4A7E" w:rsidRPr="002029AF" w:rsidRDefault="005F4A7E" w:rsidP="00130D1C">
            <w:pPr>
              <w:pStyle w:val="ARfintablebodyright"/>
            </w:pPr>
            <w:r w:rsidRPr="00F06393">
              <w:t>26.7</w:t>
            </w:r>
          </w:p>
        </w:tc>
        <w:tc>
          <w:tcPr>
            <w:tcW w:w="1133" w:type="dxa"/>
            <w:tcBorders>
              <w:top w:val="single" w:sz="4" w:space="0" w:color="A6A6A6"/>
              <w:bottom w:val="single" w:sz="4" w:space="0" w:color="A6A6A6"/>
            </w:tcBorders>
            <w:noWrap/>
            <w:hideMark/>
          </w:tcPr>
          <w:p w14:paraId="2B30B454" w14:textId="77777777" w:rsidR="005F4A7E" w:rsidRPr="002029AF" w:rsidRDefault="005F4A7E" w:rsidP="00130D1C">
            <w:pPr>
              <w:pStyle w:val="ARfintablebodyright"/>
            </w:pPr>
            <w:r w:rsidRPr="00F06393">
              <w:t>24.5</w:t>
            </w:r>
          </w:p>
        </w:tc>
      </w:tr>
      <w:tr w:rsidR="005F4A7E" w:rsidRPr="002029AF" w14:paraId="5D1F9999" w14:textId="77777777" w:rsidTr="00860E95">
        <w:tc>
          <w:tcPr>
            <w:tcW w:w="7371" w:type="dxa"/>
            <w:tcBorders>
              <w:top w:val="single" w:sz="4" w:space="0" w:color="A6A6A6"/>
              <w:bottom w:val="single" w:sz="4" w:space="0" w:color="A6A6A6"/>
            </w:tcBorders>
            <w:hideMark/>
          </w:tcPr>
          <w:p w14:paraId="5F201205" w14:textId="77777777" w:rsidR="005F4A7E" w:rsidRPr="002029AF" w:rsidRDefault="005F4A7E" w:rsidP="00130D1C">
            <w:pPr>
              <w:pStyle w:val="ARfintablebody"/>
            </w:pPr>
            <w:r w:rsidRPr="00F06393">
              <w:t>Capital works</w:t>
            </w:r>
          </w:p>
        </w:tc>
        <w:tc>
          <w:tcPr>
            <w:tcW w:w="1133" w:type="dxa"/>
            <w:tcBorders>
              <w:top w:val="single" w:sz="4" w:space="0" w:color="A6A6A6"/>
              <w:bottom w:val="single" w:sz="4" w:space="0" w:color="A6A6A6"/>
            </w:tcBorders>
            <w:shd w:val="clear" w:color="auto" w:fill="E7E6E6"/>
            <w:noWrap/>
            <w:hideMark/>
          </w:tcPr>
          <w:p w14:paraId="6C6039C2" w14:textId="77777777" w:rsidR="005F4A7E" w:rsidRPr="002029AF" w:rsidRDefault="005F4A7E" w:rsidP="00130D1C">
            <w:pPr>
              <w:pStyle w:val="ARfintablebodyright"/>
            </w:pPr>
            <w:r w:rsidRPr="00F06393">
              <w:t>4.2</w:t>
            </w:r>
          </w:p>
        </w:tc>
        <w:tc>
          <w:tcPr>
            <w:tcW w:w="1133" w:type="dxa"/>
            <w:tcBorders>
              <w:top w:val="single" w:sz="4" w:space="0" w:color="A6A6A6"/>
              <w:bottom w:val="single" w:sz="4" w:space="0" w:color="A6A6A6"/>
            </w:tcBorders>
            <w:noWrap/>
            <w:hideMark/>
          </w:tcPr>
          <w:p w14:paraId="4294AF8D" w14:textId="77777777" w:rsidR="005F4A7E" w:rsidRPr="002029AF" w:rsidRDefault="005F4A7E" w:rsidP="00130D1C">
            <w:pPr>
              <w:pStyle w:val="ARfintablebodyright"/>
            </w:pPr>
            <w:r w:rsidRPr="00F06393">
              <w:t>9.6</w:t>
            </w:r>
          </w:p>
        </w:tc>
      </w:tr>
      <w:tr w:rsidR="005F4A7E" w:rsidRPr="002029AF" w14:paraId="20014897" w14:textId="77777777" w:rsidTr="00860E95">
        <w:tc>
          <w:tcPr>
            <w:tcW w:w="7371" w:type="dxa"/>
            <w:tcBorders>
              <w:top w:val="single" w:sz="4" w:space="0" w:color="A6A6A6"/>
            </w:tcBorders>
            <w:hideMark/>
          </w:tcPr>
          <w:p w14:paraId="20547992" w14:textId="77777777" w:rsidR="005F4A7E" w:rsidRPr="002029AF" w:rsidRDefault="005F4A7E" w:rsidP="00130D1C">
            <w:pPr>
              <w:pStyle w:val="ARfintablebody"/>
            </w:pPr>
            <w:r w:rsidRPr="00F06393">
              <w:t>Other</w:t>
            </w:r>
          </w:p>
        </w:tc>
        <w:tc>
          <w:tcPr>
            <w:tcW w:w="1133" w:type="dxa"/>
            <w:tcBorders>
              <w:top w:val="single" w:sz="4" w:space="0" w:color="A6A6A6"/>
            </w:tcBorders>
            <w:shd w:val="clear" w:color="auto" w:fill="E7E6E6"/>
            <w:noWrap/>
            <w:hideMark/>
          </w:tcPr>
          <w:p w14:paraId="63C89A99" w14:textId="77777777" w:rsidR="005F4A7E" w:rsidRPr="002029AF" w:rsidRDefault="005F4A7E" w:rsidP="00130D1C">
            <w:pPr>
              <w:pStyle w:val="ARfintablebodyright"/>
            </w:pPr>
            <w:r w:rsidRPr="00F06393">
              <w:t>(3.9)</w:t>
            </w:r>
          </w:p>
        </w:tc>
        <w:tc>
          <w:tcPr>
            <w:tcW w:w="1133" w:type="dxa"/>
            <w:tcBorders>
              <w:top w:val="single" w:sz="4" w:space="0" w:color="A6A6A6"/>
            </w:tcBorders>
            <w:noWrap/>
            <w:hideMark/>
          </w:tcPr>
          <w:p w14:paraId="21DFC124" w14:textId="77777777" w:rsidR="005F4A7E" w:rsidRPr="002029AF" w:rsidRDefault="005F4A7E" w:rsidP="00130D1C">
            <w:pPr>
              <w:pStyle w:val="ARfintablebodyright"/>
            </w:pPr>
            <w:r w:rsidRPr="00F06393">
              <w:t>10.3</w:t>
            </w:r>
          </w:p>
        </w:tc>
      </w:tr>
      <w:tr w:rsidR="005F4A7E" w:rsidRPr="002029AF" w14:paraId="1A35B93A" w14:textId="77777777" w:rsidTr="00860E95">
        <w:tc>
          <w:tcPr>
            <w:tcW w:w="7371" w:type="dxa"/>
            <w:tcBorders>
              <w:bottom w:val="single" w:sz="4" w:space="0" w:color="auto"/>
            </w:tcBorders>
            <w:hideMark/>
          </w:tcPr>
          <w:p w14:paraId="6C4A7968" w14:textId="77777777" w:rsidR="005F4A7E" w:rsidRPr="002029AF" w:rsidRDefault="005F4A7E" w:rsidP="00130D1C">
            <w:pPr>
              <w:pStyle w:val="ARfintablebodybold"/>
            </w:pPr>
            <w:r w:rsidRPr="00F06393">
              <w:t>Total current payables</w:t>
            </w:r>
          </w:p>
        </w:tc>
        <w:tc>
          <w:tcPr>
            <w:tcW w:w="1133" w:type="dxa"/>
            <w:tcBorders>
              <w:bottom w:val="single" w:sz="4" w:space="0" w:color="auto"/>
            </w:tcBorders>
            <w:shd w:val="clear" w:color="auto" w:fill="E7E6E6"/>
            <w:noWrap/>
            <w:hideMark/>
          </w:tcPr>
          <w:p w14:paraId="00207F99" w14:textId="77777777" w:rsidR="005F4A7E" w:rsidRPr="002029AF" w:rsidRDefault="005F4A7E" w:rsidP="00130D1C">
            <w:pPr>
              <w:pStyle w:val="ARfintablebodyrightbold"/>
            </w:pPr>
            <w:r w:rsidRPr="00F06393">
              <w:t>1,166.4</w:t>
            </w:r>
          </w:p>
        </w:tc>
        <w:tc>
          <w:tcPr>
            <w:tcW w:w="1133" w:type="dxa"/>
            <w:tcBorders>
              <w:bottom w:val="single" w:sz="4" w:space="0" w:color="auto"/>
            </w:tcBorders>
            <w:noWrap/>
            <w:hideMark/>
          </w:tcPr>
          <w:p w14:paraId="79CBCAF3" w14:textId="77777777" w:rsidR="005F4A7E" w:rsidRPr="002029AF" w:rsidRDefault="005F4A7E" w:rsidP="00130D1C">
            <w:pPr>
              <w:pStyle w:val="ARfintablebodyrightbold"/>
            </w:pPr>
            <w:r w:rsidRPr="00F06393">
              <w:t>995.5</w:t>
            </w:r>
          </w:p>
        </w:tc>
      </w:tr>
      <w:tr w:rsidR="005F4A7E" w:rsidRPr="002029AF" w14:paraId="664581B7" w14:textId="77777777" w:rsidTr="00860E95">
        <w:tc>
          <w:tcPr>
            <w:tcW w:w="9637" w:type="dxa"/>
            <w:gridSpan w:val="3"/>
            <w:tcBorders>
              <w:top w:val="single" w:sz="4" w:space="0" w:color="auto"/>
              <w:bottom w:val="single" w:sz="4" w:space="0" w:color="A6A6A6"/>
            </w:tcBorders>
            <w:hideMark/>
          </w:tcPr>
          <w:p w14:paraId="1A0FABFB" w14:textId="77777777" w:rsidR="005F4A7E" w:rsidRPr="002029AF" w:rsidRDefault="005F4A7E" w:rsidP="00130D1C">
            <w:pPr>
              <w:pStyle w:val="ARfintablebodybold"/>
            </w:pPr>
            <w:r w:rsidRPr="00F06393">
              <w:t>Non-current payables</w:t>
            </w:r>
          </w:p>
        </w:tc>
      </w:tr>
      <w:tr w:rsidR="005F4A7E" w:rsidRPr="002029AF" w14:paraId="5229AD37" w14:textId="77777777" w:rsidTr="00860E95">
        <w:tc>
          <w:tcPr>
            <w:tcW w:w="9637" w:type="dxa"/>
            <w:gridSpan w:val="3"/>
            <w:tcBorders>
              <w:top w:val="single" w:sz="4" w:space="0" w:color="A6A6A6"/>
              <w:bottom w:val="single" w:sz="4" w:space="0" w:color="A6A6A6"/>
            </w:tcBorders>
            <w:hideMark/>
          </w:tcPr>
          <w:p w14:paraId="138E38E7" w14:textId="77777777" w:rsidR="005F4A7E" w:rsidRPr="00DE30A1" w:rsidRDefault="005F4A7E" w:rsidP="00130D1C">
            <w:pPr>
              <w:pStyle w:val="ARfintablebody"/>
              <w:rPr>
                <w:rStyle w:val="Emphasis"/>
              </w:rPr>
            </w:pPr>
            <w:r w:rsidRPr="00DE30A1">
              <w:rPr>
                <w:rStyle w:val="Emphasis"/>
              </w:rPr>
              <w:t>Contractual</w:t>
            </w:r>
          </w:p>
        </w:tc>
      </w:tr>
      <w:tr w:rsidR="005F4A7E" w:rsidRPr="002029AF" w14:paraId="20AA250D" w14:textId="77777777" w:rsidTr="00860E95">
        <w:tc>
          <w:tcPr>
            <w:tcW w:w="7371" w:type="dxa"/>
            <w:tcBorders>
              <w:top w:val="single" w:sz="4" w:space="0" w:color="A6A6A6"/>
              <w:bottom w:val="single" w:sz="4" w:space="0" w:color="A6A6A6"/>
            </w:tcBorders>
            <w:hideMark/>
          </w:tcPr>
          <w:p w14:paraId="23E6F2C5" w14:textId="77777777" w:rsidR="005F4A7E" w:rsidRPr="002029AF" w:rsidRDefault="005F4A7E" w:rsidP="00130D1C">
            <w:pPr>
              <w:pStyle w:val="ARfintablebody"/>
            </w:pPr>
            <w:r w:rsidRPr="00F06393">
              <w:t>Amounts payable to government agencies</w:t>
            </w:r>
          </w:p>
        </w:tc>
        <w:tc>
          <w:tcPr>
            <w:tcW w:w="1133" w:type="dxa"/>
            <w:tcBorders>
              <w:top w:val="single" w:sz="4" w:space="0" w:color="A6A6A6"/>
              <w:bottom w:val="single" w:sz="4" w:space="0" w:color="A6A6A6"/>
            </w:tcBorders>
            <w:shd w:val="clear" w:color="auto" w:fill="E7E6E6"/>
            <w:noWrap/>
            <w:hideMark/>
          </w:tcPr>
          <w:p w14:paraId="6DFC3699" w14:textId="77777777" w:rsidR="005F4A7E" w:rsidRPr="002029AF" w:rsidRDefault="005F4A7E" w:rsidP="00130D1C">
            <w:pPr>
              <w:pStyle w:val="ARfintablebodyright"/>
            </w:pPr>
            <w:r w:rsidRPr="00F06393">
              <w:t>962.9</w:t>
            </w:r>
          </w:p>
        </w:tc>
        <w:tc>
          <w:tcPr>
            <w:tcW w:w="1133" w:type="dxa"/>
            <w:tcBorders>
              <w:top w:val="single" w:sz="4" w:space="0" w:color="A6A6A6"/>
              <w:bottom w:val="single" w:sz="4" w:space="0" w:color="A6A6A6"/>
            </w:tcBorders>
            <w:noWrap/>
            <w:hideMark/>
          </w:tcPr>
          <w:p w14:paraId="7FC76CE9" w14:textId="77777777" w:rsidR="005F4A7E" w:rsidRPr="002029AF" w:rsidRDefault="005F4A7E" w:rsidP="00130D1C">
            <w:pPr>
              <w:pStyle w:val="ARfintablebodyright"/>
            </w:pPr>
            <w:r w:rsidRPr="00F06393">
              <w:t>850.9</w:t>
            </w:r>
          </w:p>
        </w:tc>
      </w:tr>
      <w:tr w:rsidR="005F4A7E" w:rsidRPr="002029AF" w14:paraId="44B77448" w14:textId="77777777" w:rsidTr="00860E95">
        <w:tc>
          <w:tcPr>
            <w:tcW w:w="7371" w:type="dxa"/>
            <w:tcBorders>
              <w:top w:val="single" w:sz="4" w:space="0" w:color="A6A6A6"/>
            </w:tcBorders>
            <w:hideMark/>
          </w:tcPr>
          <w:p w14:paraId="3A5C27AF" w14:textId="77777777" w:rsidR="005F4A7E" w:rsidRPr="002029AF" w:rsidRDefault="005F4A7E" w:rsidP="00130D1C">
            <w:pPr>
              <w:pStyle w:val="ARfintablebody"/>
            </w:pPr>
            <w:r w:rsidRPr="00F06393">
              <w:t>Other</w:t>
            </w:r>
          </w:p>
        </w:tc>
        <w:tc>
          <w:tcPr>
            <w:tcW w:w="1133" w:type="dxa"/>
            <w:tcBorders>
              <w:top w:val="single" w:sz="4" w:space="0" w:color="A6A6A6"/>
            </w:tcBorders>
            <w:shd w:val="clear" w:color="auto" w:fill="E7E6E6"/>
            <w:noWrap/>
            <w:hideMark/>
          </w:tcPr>
          <w:p w14:paraId="7C6B34BE" w14:textId="77777777" w:rsidR="005F4A7E" w:rsidRPr="002029AF" w:rsidRDefault="005F4A7E" w:rsidP="00130D1C">
            <w:pPr>
              <w:pStyle w:val="ARfintablebodyright"/>
            </w:pPr>
            <w:r w:rsidRPr="00F06393">
              <w:t>0.8</w:t>
            </w:r>
          </w:p>
        </w:tc>
        <w:tc>
          <w:tcPr>
            <w:tcW w:w="1133" w:type="dxa"/>
            <w:tcBorders>
              <w:top w:val="single" w:sz="4" w:space="0" w:color="A6A6A6"/>
            </w:tcBorders>
            <w:noWrap/>
            <w:hideMark/>
          </w:tcPr>
          <w:p w14:paraId="37D36ADD" w14:textId="77777777" w:rsidR="005F4A7E" w:rsidRPr="002029AF" w:rsidRDefault="005F4A7E" w:rsidP="00130D1C">
            <w:pPr>
              <w:pStyle w:val="ARfintablebodyright"/>
            </w:pPr>
            <w:r w:rsidRPr="00F06393">
              <w:t>0.8</w:t>
            </w:r>
          </w:p>
        </w:tc>
      </w:tr>
      <w:tr w:rsidR="005F4A7E" w:rsidRPr="002029AF" w14:paraId="5B40440A" w14:textId="77777777" w:rsidTr="00860E95">
        <w:tc>
          <w:tcPr>
            <w:tcW w:w="7371" w:type="dxa"/>
            <w:hideMark/>
          </w:tcPr>
          <w:p w14:paraId="4CF4B962" w14:textId="77777777" w:rsidR="005F4A7E" w:rsidRPr="002029AF" w:rsidRDefault="005F4A7E" w:rsidP="00130D1C">
            <w:pPr>
              <w:pStyle w:val="ARfintablebodybold"/>
            </w:pPr>
            <w:r w:rsidRPr="00F06393">
              <w:t>Total non-current payables</w:t>
            </w:r>
          </w:p>
        </w:tc>
        <w:tc>
          <w:tcPr>
            <w:tcW w:w="1133" w:type="dxa"/>
            <w:shd w:val="clear" w:color="auto" w:fill="E7E6E6"/>
            <w:noWrap/>
            <w:hideMark/>
          </w:tcPr>
          <w:p w14:paraId="6378CC86" w14:textId="77777777" w:rsidR="005F4A7E" w:rsidRPr="002029AF" w:rsidRDefault="005F4A7E" w:rsidP="00130D1C">
            <w:pPr>
              <w:pStyle w:val="ARfintablebodyrightbold"/>
            </w:pPr>
            <w:r w:rsidRPr="00F06393">
              <w:t>963.7</w:t>
            </w:r>
          </w:p>
        </w:tc>
        <w:tc>
          <w:tcPr>
            <w:tcW w:w="1133" w:type="dxa"/>
            <w:noWrap/>
            <w:hideMark/>
          </w:tcPr>
          <w:p w14:paraId="2C4B2E69" w14:textId="77777777" w:rsidR="005F4A7E" w:rsidRPr="002029AF" w:rsidRDefault="005F4A7E" w:rsidP="00130D1C">
            <w:pPr>
              <w:pStyle w:val="ARfintablebodyrightbold"/>
            </w:pPr>
            <w:r w:rsidRPr="00F06393">
              <w:t>851.7</w:t>
            </w:r>
          </w:p>
        </w:tc>
      </w:tr>
      <w:tr w:rsidR="005F4A7E" w:rsidRPr="002029AF" w14:paraId="5D4B8E51" w14:textId="77777777" w:rsidTr="00860E95">
        <w:tc>
          <w:tcPr>
            <w:tcW w:w="7371" w:type="dxa"/>
            <w:hideMark/>
          </w:tcPr>
          <w:p w14:paraId="4B7F21ED" w14:textId="77777777" w:rsidR="005F4A7E" w:rsidRPr="002029AF" w:rsidRDefault="005F4A7E" w:rsidP="00130D1C">
            <w:pPr>
              <w:pStyle w:val="ARfintablebodybold"/>
            </w:pPr>
            <w:r w:rsidRPr="00F06393">
              <w:t>Total payables</w:t>
            </w:r>
          </w:p>
        </w:tc>
        <w:tc>
          <w:tcPr>
            <w:tcW w:w="1133" w:type="dxa"/>
            <w:shd w:val="clear" w:color="auto" w:fill="E7E6E6"/>
            <w:noWrap/>
            <w:hideMark/>
          </w:tcPr>
          <w:p w14:paraId="67456952" w14:textId="77777777" w:rsidR="005F4A7E" w:rsidRPr="002029AF" w:rsidRDefault="005F4A7E" w:rsidP="00130D1C">
            <w:pPr>
              <w:pStyle w:val="ARfintablebodyrightbold"/>
            </w:pPr>
            <w:r w:rsidRPr="00F06393">
              <w:t>2,130.1</w:t>
            </w:r>
          </w:p>
        </w:tc>
        <w:tc>
          <w:tcPr>
            <w:tcW w:w="1133" w:type="dxa"/>
            <w:noWrap/>
            <w:hideMark/>
          </w:tcPr>
          <w:p w14:paraId="6CE66207" w14:textId="77777777" w:rsidR="005F4A7E" w:rsidRPr="002029AF" w:rsidRDefault="005F4A7E" w:rsidP="00130D1C">
            <w:pPr>
              <w:pStyle w:val="ARfintablebodyrightbold"/>
            </w:pPr>
            <w:r w:rsidRPr="00F06393">
              <w:t>1,847.2</w:t>
            </w:r>
          </w:p>
        </w:tc>
      </w:tr>
    </w:tbl>
    <w:p w14:paraId="369FA94B" w14:textId="77777777" w:rsidR="005F4A7E" w:rsidRDefault="005F4A7E" w:rsidP="00130D1C">
      <w:pPr>
        <w:pStyle w:val="ARfinbodyaftertable"/>
      </w:pPr>
      <w:r>
        <w:t>Payables consist of:</w:t>
      </w:r>
    </w:p>
    <w:p w14:paraId="262E835B" w14:textId="77777777" w:rsidR="005F4A7E" w:rsidRDefault="005F4A7E" w:rsidP="005F4A7E">
      <w:pPr>
        <w:pStyle w:val="ARfinbullet1"/>
        <w:numPr>
          <w:ilvl w:val="0"/>
          <w:numId w:val="2"/>
        </w:numPr>
      </w:pPr>
      <w:r>
        <w:rPr>
          <w:rStyle w:val="Strong"/>
        </w:rPr>
        <w:t>contractual payables</w:t>
      </w:r>
      <w:r>
        <w:t>, classified as financial instruments and measured at amortised cost. Accounts payable represent liabilities for goods and services provided to the department prior to the end of the reporting period that are unpaid, and</w:t>
      </w:r>
    </w:p>
    <w:p w14:paraId="6171FD1E" w14:textId="68AA320E" w:rsidR="005F4A7E" w:rsidRDefault="005F4A7E" w:rsidP="005F4A7E">
      <w:pPr>
        <w:pStyle w:val="ARfinbullet1"/>
        <w:numPr>
          <w:ilvl w:val="0"/>
          <w:numId w:val="2"/>
        </w:numPr>
      </w:pPr>
      <w:r>
        <w:rPr>
          <w:rStyle w:val="Strong"/>
        </w:rPr>
        <w:t>statutory payables</w:t>
      </w:r>
      <w:r>
        <w:t>, that are recognised and measured similarly to contractual payables, but are not classified as financial instruments and are not included in financial liabilities at amortised cost, because they do not arise from a contract.</w:t>
      </w:r>
    </w:p>
    <w:p w14:paraId="6D08578A" w14:textId="77777777" w:rsidR="005F4A7E" w:rsidRDefault="005F4A7E" w:rsidP="00130D1C">
      <w:pPr>
        <w:pStyle w:val="ARfinbody"/>
      </w:pPr>
      <w:r>
        <w:t>Payables for supplies and services have an average credit period of 30 days.</w:t>
      </w:r>
    </w:p>
    <w:p w14:paraId="74133BB2" w14:textId="77777777" w:rsidR="005F4A7E" w:rsidRDefault="005F4A7E" w:rsidP="00130D1C">
      <w:pPr>
        <w:pStyle w:val="ARfinbody"/>
      </w:pPr>
      <w:r>
        <w:t>The terms and conditions of amounts payable to the government and agencies vary according to the particular agreements and as they are not legislative payables, they are not classified as financial instruments.</w:t>
      </w:r>
    </w:p>
    <w:p w14:paraId="20E61187" w14:textId="77777777" w:rsidR="005F4A7E" w:rsidRPr="00DE30A1" w:rsidRDefault="005F4A7E" w:rsidP="00130D1C">
      <w:pPr>
        <w:pStyle w:val="ARfinbody"/>
      </w:pPr>
      <w:r w:rsidRPr="00DE30A1">
        <w:br w:type="page"/>
      </w:r>
    </w:p>
    <w:p w14:paraId="353B373E" w14:textId="77777777" w:rsidR="005F4A7E" w:rsidRPr="002029AF" w:rsidRDefault="005F4A7E" w:rsidP="00087B91">
      <w:pPr>
        <w:pStyle w:val="Heading5"/>
      </w:pPr>
      <w:bookmarkStart w:id="923" w:name="_Toc85121454"/>
      <w:r w:rsidRPr="002029AF">
        <w:lastRenderedPageBreak/>
        <w:t xml:space="preserve">6.4.1 Maturity analysis of contractual payables </w:t>
      </w:r>
      <w:r w:rsidRPr="002029AF">
        <w:rPr>
          <w:rStyle w:val="Superscript"/>
        </w:rPr>
        <w:t>(i)</w:t>
      </w:r>
      <w:bookmarkEnd w:id="923"/>
    </w:p>
    <w:tbl>
      <w:tblPr>
        <w:tblStyle w:val="TableGrid"/>
        <w:tblW w:w="9637" w:type="dxa"/>
        <w:tblLayout w:type="fixed"/>
        <w:tblLook w:val="06A0" w:firstRow="1" w:lastRow="0" w:firstColumn="1" w:lastColumn="0" w:noHBand="1" w:noVBand="1"/>
      </w:tblPr>
      <w:tblGrid>
        <w:gridCol w:w="1700"/>
        <w:gridCol w:w="1133"/>
        <w:gridCol w:w="1134"/>
        <w:gridCol w:w="1134"/>
        <w:gridCol w:w="1134"/>
        <w:gridCol w:w="1134"/>
        <w:gridCol w:w="1134"/>
        <w:gridCol w:w="1134"/>
      </w:tblGrid>
      <w:tr w:rsidR="005F4A7E" w:rsidRPr="002029AF" w14:paraId="016F67DE" w14:textId="77777777" w:rsidTr="00130D1C">
        <w:trPr>
          <w:cnfStyle w:val="100000000000" w:firstRow="1" w:lastRow="0" w:firstColumn="0" w:lastColumn="0" w:oddVBand="0" w:evenVBand="0" w:oddHBand="0" w:evenHBand="0" w:firstRowFirstColumn="0" w:firstRowLastColumn="0" w:lastRowFirstColumn="0" w:lastRowLastColumn="0"/>
          <w:trHeight w:val="255"/>
          <w:tblHeader/>
        </w:trPr>
        <w:tc>
          <w:tcPr>
            <w:tcW w:w="1700" w:type="dxa"/>
            <w:vMerge w:val="restart"/>
            <w:noWrap/>
            <w:hideMark/>
          </w:tcPr>
          <w:p w14:paraId="3BC31F23" w14:textId="77777777" w:rsidR="005F4A7E" w:rsidRPr="002029AF" w:rsidRDefault="005F4A7E" w:rsidP="00860E95">
            <w:pPr>
              <w:pStyle w:val="ARfintablecolhead"/>
            </w:pPr>
          </w:p>
        </w:tc>
        <w:tc>
          <w:tcPr>
            <w:tcW w:w="1133" w:type="dxa"/>
            <w:vMerge w:val="restart"/>
            <w:noWrap/>
            <w:hideMark/>
          </w:tcPr>
          <w:p w14:paraId="478E64D8" w14:textId="77777777" w:rsidR="005F4A7E" w:rsidRPr="002029AF" w:rsidRDefault="005F4A7E" w:rsidP="00860E95">
            <w:pPr>
              <w:pStyle w:val="ARfintablecolheadright"/>
            </w:pPr>
            <w:r w:rsidRPr="002029AF">
              <w:t>Carrying amount</w:t>
            </w:r>
          </w:p>
          <w:p w14:paraId="3CBF9839" w14:textId="77777777" w:rsidR="005F4A7E" w:rsidRPr="002029AF" w:rsidRDefault="005F4A7E" w:rsidP="00860E95">
            <w:pPr>
              <w:pStyle w:val="ARfintablecolheadright"/>
            </w:pPr>
            <w:r w:rsidRPr="002029AF">
              <w:t>$M</w:t>
            </w:r>
          </w:p>
        </w:tc>
        <w:tc>
          <w:tcPr>
            <w:tcW w:w="1134" w:type="dxa"/>
            <w:vMerge w:val="restart"/>
            <w:noWrap/>
            <w:hideMark/>
          </w:tcPr>
          <w:p w14:paraId="1D3F8FD0" w14:textId="77777777" w:rsidR="005F4A7E" w:rsidRPr="002029AF" w:rsidRDefault="005F4A7E" w:rsidP="00860E95">
            <w:pPr>
              <w:pStyle w:val="ARfintablecolheadright"/>
            </w:pPr>
            <w:r w:rsidRPr="002029AF">
              <w:t>Nominal amount</w:t>
            </w:r>
          </w:p>
          <w:p w14:paraId="2A7CCE85" w14:textId="77777777" w:rsidR="005F4A7E" w:rsidRPr="002029AF" w:rsidRDefault="005F4A7E" w:rsidP="00860E95">
            <w:pPr>
              <w:pStyle w:val="ARfintablecolheadright"/>
            </w:pPr>
            <w:r w:rsidRPr="002029AF">
              <w:t>$M</w:t>
            </w:r>
          </w:p>
        </w:tc>
        <w:tc>
          <w:tcPr>
            <w:tcW w:w="5670" w:type="dxa"/>
            <w:gridSpan w:val="5"/>
            <w:noWrap/>
            <w:hideMark/>
          </w:tcPr>
          <w:p w14:paraId="110B8163" w14:textId="77777777" w:rsidR="005F4A7E" w:rsidRPr="002029AF" w:rsidRDefault="005F4A7E" w:rsidP="00860E95">
            <w:pPr>
              <w:pStyle w:val="ARfintablecolheadcentre"/>
            </w:pPr>
            <w:r w:rsidRPr="002029AF">
              <w:t>Maturity dates</w:t>
            </w:r>
          </w:p>
        </w:tc>
      </w:tr>
      <w:tr w:rsidR="005F4A7E" w:rsidRPr="002029AF" w14:paraId="35012CF7" w14:textId="77777777" w:rsidTr="00130D1C">
        <w:trPr>
          <w:cnfStyle w:val="100000000000" w:firstRow="1" w:lastRow="0" w:firstColumn="0" w:lastColumn="0" w:oddVBand="0" w:evenVBand="0" w:oddHBand="0" w:evenHBand="0" w:firstRowFirstColumn="0" w:firstRowLastColumn="0" w:lastRowFirstColumn="0" w:lastRowLastColumn="0"/>
          <w:trHeight w:val="255"/>
          <w:tblHeader/>
        </w:trPr>
        <w:tc>
          <w:tcPr>
            <w:tcW w:w="1700" w:type="dxa"/>
            <w:vMerge/>
            <w:tcBorders>
              <w:bottom w:val="single" w:sz="4" w:space="0" w:color="auto"/>
            </w:tcBorders>
            <w:hideMark/>
          </w:tcPr>
          <w:p w14:paraId="29F06C44" w14:textId="77777777" w:rsidR="005F4A7E" w:rsidRPr="002029AF" w:rsidRDefault="005F4A7E" w:rsidP="00860E95">
            <w:pPr>
              <w:pStyle w:val="ARfintablecolhead"/>
            </w:pPr>
          </w:p>
        </w:tc>
        <w:tc>
          <w:tcPr>
            <w:tcW w:w="1133" w:type="dxa"/>
            <w:vMerge/>
            <w:tcBorders>
              <w:bottom w:val="single" w:sz="4" w:space="0" w:color="auto"/>
            </w:tcBorders>
            <w:hideMark/>
          </w:tcPr>
          <w:p w14:paraId="07764486" w14:textId="77777777" w:rsidR="005F4A7E" w:rsidRPr="002029AF" w:rsidRDefault="005F4A7E" w:rsidP="00860E95">
            <w:pPr>
              <w:pStyle w:val="ARfintablecolheadright"/>
            </w:pPr>
          </w:p>
        </w:tc>
        <w:tc>
          <w:tcPr>
            <w:tcW w:w="1134" w:type="dxa"/>
            <w:vMerge/>
            <w:tcBorders>
              <w:bottom w:val="single" w:sz="4" w:space="0" w:color="auto"/>
            </w:tcBorders>
            <w:hideMark/>
          </w:tcPr>
          <w:p w14:paraId="5F2F8329" w14:textId="77777777" w:rsidR="005F4A7E" w:rsidRPr="002029AF" w:rsidRDefault="005F4A7E" w:rsidP="00860E95">
            <w:pPr>
              <w:pStyle w:val="ARfintablecolheadright"/>
            </w:pPr>
          </w:p>
        </w:tc>
        <w:tc>
          <w:tcPr>
            <w:tcW w:w="1134" w:type="dxa"/>
            <w:tcBorders>
              <w:bottom w:val="single" w:sz="4" w:space="0" w:color="auto"/>
            </w:tcBorders>
            <w:hideMark/>
          </w:tcPr>
          <w:p w14:paraId="3CC7A01D" w14:textId="77777777" w:rsidR="005F4A7E" w:rsidRPr="002029AF" w:rsidRDefault="005F4A7E" w:rsidP="00860E95">
            <w:pPr>
              <w:pStyle w:val="ARfintablecolheadright"/>
            </w:pPr>
            <w:r w:rsidRPr="002029AF">
              <w:t>Less than 1 month</w:t>
            </w:r>
          </w:p>
          <w:p w14:paraId="51563D05" w14:textId="77777777" w:rsidR="005F4A7E" w:rsidRPr="002029AF" w:rsidRDefault="005F4A7E" w:rsidP="00860E95">
            <w:pPr>
              <w:pStyle w:val="ARfintablecolheadright"/>
            </w:pPr>
            <w:r w:rsidRPr="002029AF">
              <w:t>$M</w:t>
            </w:r>
          </w:p>
        </w:tc>
        <w:tc>
          <w:tcPr>
            <w:tcW w:w="1134" w:type="dxa"/>
            <w:tcBorders>
              <w:bottom w:val="single" w:sz="4" w:space="0" w:color="auto"/>
            </w:tcBorders>
            <w:hideMark/>
          </w:tcPr>
          <w:p w14:paraId="746FC367" w14:textId="77777777" w:rsidR="005F4A7E" w:rsidRPr="002029AF" w:rsidRDefault="005F4A7E" w:rsidP="00860E95">
            <w:pPr>
              <w:pStyle w:val="ARfintablecolheadright"/>
            </w:pPr>
            <w:r w:rsidRPr="002029AF">
              <w:t>1–3 months</w:t>
            </w:r>
          </w:p>
          <w:p w14:paraId="7EA83768" w14:textId="77777777" w:rsidR="005F4A7E" w:rsidRPr="002029AF" w:rsidRDefault="005F4A7E" w:rsidP="00860E95">
            <w:pPr>
              <w:pStyle w:val="ARfintablecolheadright"/>
            </w:pPr>
            <w:r w:rsidRPr="002029AF">
              <w:t>$M</w:t>
            </w:r>
          </w:p>
        </w:tc>
        <w:tc>
          <w:tcPr>
            <w:tcW w:w="1134" w:type="dxa"/>
            <w:tcBorders>
              <w:bottom w:val="single" w:sz="4" w:space="0" w:color="auto"/>
            </w:tcBorders>
            <w:hideMark/>
          </w:tcPr>
          <w:p w14:paraId="16628DB1" w14:textId="77777777" w:rsidR="005F4A7E" w:rsidRPr="002029AF" w:rsidRDefault="005F4A7E" w:rsidP="00860E95">
            <w:pPr>
              <w:pStyle w:val="ARfintablecolheadright"/>
            </w:pPr>
            <w:r w:rsidRPr="002029AF">
              <w:t>3 months – 1 year</w:t>
            </w:r>
          </w:p>
          <w:p w14:paraId="5DE26AFC" w14:textId="77777777" w:rsidR="005F4A7E" w:rsidRPr="002029AF" w:rsidRDefault="005F4A7E" w:rsidP="00860E95">
            <w:pPr>
              <w:pStyle w:val="ARfintablecolheadright"/>
            </w:pPr>
            <w:r w:rsidRPr="002029AF">
              <w:t>$M</w:t>
            </w:r>
          </w:p>
        </w:tc>
        <w:tc>
          <w:tcPr>
            <w:tcW w:w="1134" w:type="dxa"/>
            <w:tcBorders>
              <w:bottom w:val="single" w:sz="4" w:space="0" w:color="auto"/>
            </w:tcBorders>
            <w:hideMark/>
          </w:tcPr>
          <w:p w14:paraId="522F1B6A" w14:textId="77777777" w:rsidR="005F4A7E" w:rsidRPr="002029AF" w:rsidRDefault="005F4A7E" w:rsidP="00860E95">
            <w:pPr>
              <w:pStyle w:val="ARfintablecolheadright"/>
            </w:pPr>
            <w:r w:rsidRPr="002029AF">
              <w:t>1–5 years</w:t>
            </w:r>
          </w:p>
          <w:p w14:paraId="743B917D" w14:textId="77777777" w:rsidR="005F4A7E" w:rsidRPr="002029AF" w:rsidRDefault="005F4A7E" w:rsidP="00860E95">
            <w:pPr>
              <w:pStyle w:val="ARfintablecolheadright"/>
            </w:pPr>
            <w:r w:rsidRPr="002029AF">
              <w:t>$M</w:t>
            </w:r>
          </w:p>
        </w:tc>
        <w:tc>
          <w:tcPr>
            <w:tcW w:w="1134" w:type="dxa"/>
            <w:tcBorders>
              <w:bottom w:val="single" w:sz="4" w:space="0" w:color="auto"/>
            </w:tcBorders>
            <w:hideMark/>
          </w:tcPr>
          <w:p w14:paraId="2C495C67" w14:textId="77777777" w:rsidR="005F4A7E" w:rsidRPr="002029AF" w:rsidRDefault="005F4A7E" w:rsidP="00860E95">
            <w:pPr>
              <w:pStyle w:val="ARfintablecolheadright"/>
            </w:pPr>
            <w:r w:rsidRPr="002029AF">
              <w:t>5+ years</w:t>
            </w:r>
          </w:p>
          <w:p w14:paraId="156A95CA" w14:textId="77777777" w:rsidR="005F4A7E" w:rsidRPr="002029AF" w:rsidRDefault="005F4A7E" w:rsidP="00860E95">
            <w:pPr>
              <w:pStyle w:val="ARfintablecolheadright"/>
            </w:pPr>
            <w:r w:rsidRPr="002029AF">
              <w:t>$M</w:t>
            </w:r>
          </w:p>
        </w:tc>
      </w:tr>
      <w:tr w:rsidR="005F4A7E" w:rsidRPr="002029AF" w14:paraId="3310C0BA" w14:textId="77777777" w:rsidTr="00130D1C">
        <w:trPr>
          <w:trHeight w:val="255"/>
        </w:trPr>
        <w:tc>
          <w:tcPr>
            <w:tcW w:w="9637" w:type="dxa"/>
            <w:gridSpan w:val="8"/>
            <w:tcBorders>
              <w:top w:val="single" w:sz="4" w:space="0" w:color="auto"/>
              <w:bottom w:val="single" w:sz="4" w:space="0" w:color="A6A6A6"/>
            </w:tcBorders>
            <w:hideMark/>
          </w:tcPr>
          <w:p w14:paraId="0926DD9F" w14:textId="77777777" w:rsidR="005F4A7E" w:rsidRPr="002029AF" w:rsidRDefault="005F4A7E" w:rsidP="00130D1C">
            <w:pPr>
              <w:pStyle w:val="ARfintablebodybold"/>
            </w:pPr>
            <w:r w:rsidRPr="00E36AD5">
              <w:t>2021</w:t>
            </w:r>
          </w:p>
        </w:tc>
      </w:tr>
      <w:tr w:rsidR="005F4A7E" w:rsidRPr="002029AF" w14:paraId="2C29B7FC" w14:textId="77777777" w:rsidTr="00130D1C">
        <w:trPr>
          <w:trHeight w:val="255"/>
        </w:trPr>
        <w:tc>
          <w:tcPr>
            <w:tcW w:w="1700" w:type="dxa"/>
            <w:tcBorders>
              <w:top w:val="single" w:sz="4" w:space="0" w:color="A6A6A6"/>
            </w:tcBorders>
            <w:hideMark/>
          </w:tcPr>
          <w:p w14:paraId="24BE809B" w14:textId="77777777" w:rsidR="005F4A7E" w:rsidRPr="002029AF" w:rsidRDefault="005F4A7E" w:rsidP="00130D1C">
            <w:pPr>
              <w:pStyle w:val="ARfintablebody"/>
            </w:pPr>
            <w:r w:rsidRPr="00E36AD5">
              <w:t>Payables</w:t>
            </w:r>
          </w:p>
        </w:tc>
        <w:tc>
          <w:tcPr>
            <w:tcW w:w="1133" w:type="dxa"/>
            <w:tcBorders>
              <w:top w:val="single" w:sz="4" w:space="0" w:color="A6A6A6"/>
            </w:tcBorders>
            <w:noWrap/>
            <w:hideMark/>
          </w:tcPr>
          <w:p w14:paraId="3B587667" w14:textId="77777777" w:rsidR="005F4A7E" w:rsidRPr="002029AF" w:rsidRDefault="005F4A7E" w:rsidP="00130D1C">
            <w:pPr>
              <w:pStyle w:val="ARfintablebodyright"/>
            </w:pPr>
            <w:r w:rsidRPr="00E36AD5">
              <w:t>2,130.1</w:t>
            </w:r>
          </w:p>
        </w:tc>
        <w:tc>
          <w:tcPr>
            <w:tcW w:w="1134" w:type="dxa"/>
            <w:tcBorders>
              <w:top w:val="single" w:sz="4" w:space="0" w:color="A6A6A6"/>
            </w:tcBorders>
            <w:noWrap/>
            <w:hideMark/>
          </w:tcPr>
          <w:p w14:paraId="4BC31AD2" w14:textId="77777777" w:rsidR="005F4A7E" w:rsidRPr="002029AF" w:rsidRDefault="005F4A7E" w:rsidP="00130D1C">
            <w:pPr>
              <w:pStyle w:val="ARfintablebodyright"/>
            </w:pPr>
            <w:r w:rsidRPr="00E36AD5">
              <w:t>2,130.1</w:t>
            </w:r>
          </w:p>
        </w:tc>
        <w:tc>
          <w:tcPr>
            <w:tcW w:w="1134" w:type="dxa"/>
            <w:tcBorders>
              <w:top w:val="single" w:sz="4" w:space="0" w:color="A6A6A6"/>
            </w:tcBorders>
            <w:noWrap/>
            <w:hideMark/>
          </w:tcPr>
          <w:p w14:paraId="16E8B61F" w14:textId="77777777" w:rsidR="005F4A7E" w:rsidRPr="002029AF" w:rsidRDefault="005F4A7E" w:rsidP="00130D1C">
            <w:pPr>
              <w:pStyle w:val="ARfintablebodyright"/>
            </w:pPr>
            <w:r w:rsidRPr="00E36AD5">
              <w:t>767.8</w:t>
            </w:r>
          </w:p>
        </w:tc>
        <w:tc>
          <w:tcPr>
            <w:tcW w:w="1134" w:type="dxa"/>
            <w:tcBorders>
              <w:top w:val="single" w:sz="4" w:space="0" w:color="A6A6A6"/>
            </w:tcBorders>
            <w:noWrap/>
            <w:hideMark/>
          </w:tcPr>
          <w:p w14:paraId="789F6FD7" w14:textId="77777777" w:rsidR="005F4A7E" w:rsidRPr="002029AF" w:rsidRDefault="005F4A7E" w:rsidP="00130D1C">
            <w:pPr>
              <w:pStyle w:val="ARfintablebodyright"/>
            </w:pPr>
            <w:r w:rsidRPr="00E36AD5">
              <w:t>103.4</w:t>
            </w:r>
          </w:p>
        </w:tc>
        <w:tc>
          <w:tcPr>
            <w:tcW w:w="1134" w:type="dxa"/>
            <w:tcBorders>
              <w:top w:val="single" w:sz="4" w:space="0" w:color="A6A6A6"/>
            </w:tcBorders>
            <w:noWrap/>
            <w:hideMark/>
          </w:tcPr>
          <w:p w14:paraId="17928E3C" w14:textId="77777777" w:rsidR="005F4A7E" w:rsidRPr="002029AF" w:rsidRDefault="005F4A7E" w:rsidP="00130D1C">
            <w:pPr>
              <w:pStyle w:val="ARfintablebodyright"/>
            </w:pPr>
            <w:r w:rsidRPr="00E36AD5">
              <w:t>295.2</w:t>
            </w:r>
          </w:p>
        </w:tc>
        <w:tc>
          <w:tcPr>
            <w:tcW w:w="1134" w:type="dxa"/>
            <w:tcBorders>
              <w:top w:val="single" w:sz="4" w:space="0" w:color="A6A6A6"/>
            </w:tcBorders>
            <w:noWrap/>
            <w:hideMark/>
          </w:tcPr>
          <w:p w14:paraId="6C67427A" w14:textId="77777777" w:rsidR="005F4A7E" w:rsidRPr="002029AF" w:rsidRDefault="005F4A7E" w:rsidP="00130D1C">
            <w:pPr>
              <w:pStyle w:val="ARfintablebodyright"/>
            </w:pPr>
            <w:r w:rsidRPr="00E36AD5">
              <w:t>0.9</w:t>
            </w:r>
          </w:p>
        </w:tc>
        <w:tc>
          <w:tcPr>
            <w:tcW w:w="1134" w:type="dxa"/>
            <w:tcBorders>
              <w:top w:val="single" w:sz="4" w:space="0" w:color="A6A6A6"/>
            </w:tcBorders>
            <w:noWrap/>
            <w:hideMark/>
          </w:tcPr>
          <w:p w14:paraId="506E2261" w14:textId="77777777" w:rsidR="005F4A7E" w:rsidRPr="002029AF" w:rsidRDefault="005F4A7E" w:rsidP="00130D1C">
            <w:pPr>
              <w:pStyle w:val="ARfintablebodyright"/>
            </w:pPr>
            <w:r w:rsidRPr="00E36AD5">
              <w:t>962.8</w:t>
            </w:r>
          </w:p>
        </w:tc>
      </w:tr>
      <w:tr w:rsidR="005F4A7E" w:rsidRPr="002029AF" w14:paraId="633D371D" w14:textId="77777777" w:rsidTr="00130D1C">
        <w:trPr>
          <w:trHeight w:val="255"/>
        </w:trPr>
        <w:tc>
          <w:tcPr>
            <w:tcW w:w="1700" w:type="dxa"/>
            <w:tcBorders>
              <w:bottom w:val="single" w:sz="4" w:space="0" w:color="auto"/>
            </w:tcBorders>
            <w:hideMark/>
          </w:tcPr>
          <w:p w14:paraId="578402BB" w14:textId="77777777" w:rsidR="005F4A7E" w:rsidRPr="002029AF" w:rsidRDefault="005F4A7E" w:rsidP="00130D1C">
            <w:pPr>
              <w:pStyle w:val="ARfintablebodybold"/>
            </w:pPr>
            <w:r w:rsidRPr="00E36AD5">
              <w:t>Total</w:t>
            </w:r>
          </w:p>
        </w:tc>
        <w:tc>
          <w:tcPr>
            <w:tcW w:w="1133" w:type="dxa"/>
            <w:tcBorders>
              <w:bottom w:val="single" w:sz="4" w:space="0" w:color="auto"/>
            </w:tcBorders>
            <w:noWrap/>
            <w:hideMark/>
          </w:tcPr>
          <w:p w14:paraId="7E69A502" w14:textId="77777777" w:rsidR="005F4A7E" w:rsidRPr="002029AF" w:rsidRDefault="005F4A7E" w:rsidP="00130D1C">
            <w:pPr>
              <w:pStyle w:val="ARfintablebodyrightbold"/>
            </w:pPr>
            <w:r w:rsidRPr="00E36AD5">
              <w:t>2,130.1</w:t>
            </w:r>
          </w:p>
        </w:tc>
        <w:tc>
          <w:tcPr>
            <w:tcW w:w="1134" w:type="dxa"/>
            <w:tcBorders>
              <w:bottom w:val="single" w:sz="4" w:space="0" w:color="auto"/>
            </w:tcBorders>
            <w:noWrap/>
            <w:hideMark/>
          </w:tcPr>
          <w:p w14:paraId="35EC3F34" w14:textId="77777777" w:rsidR="005F4A7E" w:rsidRPr="002029AF" w:rsidRDefault="005F4A7E" w:rsidP="00130D1C">
            <w:pPr>
              <w:pStyle w:val="ARfintablebodyrightbold"/>
            </w:pPr>
            <w:r w:rsidRPr="00E36AD5">
              <w:t>2,130.1</w:t>
            </w:r>
          </w:p>
        </w:tc>
        <w:tc>
          <w:tcPr>
            <w:tcW w:w="1134" w:type="dxa"/>
            <w:tcBorders>
              <w:bottom w:val="single" w:sz="4" w:space="0" w:color="auto"/>
            </w:tcBorders>
            <w:noWrap/>
            <w:hideMark/>
          </w:tcPr>
          <w:p w14:paraId="434182EF" w14:textId="77777777" w:rsidR="005F4A7E" w:rsidRPr="002029AF" w:rsidRDefault="005F4A7E" w:rsidP="00130D1C">
            <w:pPr>
              <w:pStyle w:val="ARfintablebodyrightbold"/>
            </w:pPr>
            <w:r w:rsidRPr="00E36AD5">
              <w:t>767.8</w:t>
            </w:r>
          </w:p>
        </w:tc>
        <w:tc>
          <w:tcPr>
            <w:tcW w:w="1134" w:type="dxa"/>
            <w:tcBorders>
              <w:bottom w:val="single" w:sz="4" w:space="0" w:color="auto"/>
            </w:tcBorders>
            <w:noWrap/>
            <w:hideMark/>
          </w:tcPr>
          <w:p w14:paraId="4348EAE2" w14:textId="77777777" w:rsidR="005F4A7E" w:rsidRPr="002029AF" w:rsidRDefault="005F4A7E" w:rsidP="00130D1C">
            <w:pPr>
              <w:pStyle w:val="ARfintablebodyrightbold"/>
            </w:pPr>
            <w:r w:rsidRPr="00E36AD5">
              <w:t>103.4</w:t>
            </w:r>
          </w:p>
        </w:tc>
        <w:tc>
          <w:tcPr>
            <w:tcW w:w="1134" w:type="dxa"/>
            <w:tcBorders>
              <w:bottom w:val="single" w:sz="4" w:space="0" w:color="auto"/>
            </w:tcBorders>
            <w:noWrap/>
            <w:hideMark/>
          </w:tcPr>
          <w:p w14:paraId="5F67B4B2" w14:textId="77777777" w:rsidR="005F4A7E" w:rsidRPr="002029AF" w:rsidRDefault="005F4A7E" w:rsidP="00130D1C">
            <w:pPr>
              <w:pStyle w:val="ARfintablebodyrightbold"/>
            </w:pPr>
            <w:r w:rsidRPr="00E36AD5">
              <w:t>295.2</w:t>
            </w:r>
          </w:p>
        </w:tc>
        <w:tc>
          <w:tcPr>
            <w:tcW w:w="1134" w:type="dxa"/>
            <w:tcBorders>
              <w:bottom w:val="single" w:sz="4" w:space="0" w:color="auto"/>
            </w:tcBorders>
            <w:noWrap/>
            <w:hideMark/>
          </w:tcPr>
          <w:p w14:paraId="288BED47" w14:textId="77777777" w:rsidR="005F4A7E" w:rsidRPr="002029AF" w:rsidRDefault="005F4A7E" w:rsidP="00130D1C">
            <w:pPr>
              <w:pStyle w:val="ARfintablebodyrightbold"/>
            </w:pPr>
            <w:r w:rsidRPr="00E36AD5">
              <w:t>0.9</w:t>
            </w:r>
          </w:p>
        </w:tc>
        <w:tc>
          <w:tcPr>
            <w:tcW w:w="1134" w:type="dxa"/>
            <w:tcBorders>
              <w:bottom w:val="single" w:sz="4" w:space="0" w:color="auto"/>
            </w:tcBorders>
            <w:noWrap/>
            <w:hideMark/>
          </w:tcPr>
          <w:p w14:paraId="1B1A83C1" w14:textId="77777777" w:rsidR="005F4A7E" w:rsidRPr="002029AF" w:rsidRDefault="005F4A7E" w:rsidP="00130D1C">
            <w:pPr>
              <w:pStyle w:val="ARfintablebodyrightbold"/>
            </w:pPr>
            <w:r w:rsidRPr="00E36AD5">
              <w:t>962.8</w:t>
            </w:r>
          </w:p>
        </w:tc>
      </w:tr>
      <w:tr w:rsidR="005F4A7E" w:rsidRPr="002029AF" w14:paraId="23C7C9AB" w14:textId="77777777" w:rsidTr="00130D1C">
        <w:trPr>
          <w:trHeight w:val="255"/>
        </w:trPr>
        <w:tc>
          <w:tcPr>
            <w:tcW w:w="9637" w:type="dxa"/>
            <w:gridSpan w:val="8"/>
            <w:tcBorders>
              <w:top w:val="single" w:sz="4" w:space="0" w:color="auto"/>
              <w:bottom w:val="single" w:sz="4" w:space="0" w:color="A6A6A6"/>
            </w:tcBorders>
            <w:hideMark/>
          </w:tcPr>
          <w:p w14:paraId="3E782F9F" w14:textId="77777777" w:rsidR="005F4A7E" w:rsidRPr="002029AF" w:rsidRDefault="005F4A7E" w:rsidP="00130D1C">
            <w:pPr>
              <w:pStyle w:val="ARfintablebodybold"/>
            </w:pPr>
            <w:r w:rsidRPr="00E36AD5">
              <w:t>2020</w:t>
            </w:r>
          </w:p>
        </w:tc>
      </w:tr>
      <w:tr w:rsidR="005F4A7E" w:rsidRPr="002029AF" w14:paraId="38075544" w14:textId="77777777" w:rsidTr="00130D1C">
        <w:trPr>
          <w:trHeight w:val="255"/>
        </w:trPr>
        <w:tc>
          <w:tcPr>
            <w:tcW w:w="1700" w:type="dxa"/>
            <w:tcBorders>
              <w:top w:val="single" w:sz="4" w:space="0" w:color="A6A6A6"/>
            </w:tcBorders>
            <w:hideMark/>
          </w:tcPr>
          <w:p w14:paraId="429075F8" w14:textId="77777777" w:rsidR="005F4A7E" w:rsidRPr="002029AF" w:rsidRDefault="005F4A7E" w:rsidP="00130D1C">
            <w:pPr>
              <w:pStyle w:val="ARfintablebody"/>
            </w:pPr>
            <w:r w:rsidRPr="00E36AD5">
              <w:t>Payables</w:t>
            </w:r>
          </w:p>
        </w:tc>
        <w:tc>
          <w:tcPr>
            <w:tcW w:w="1133" w:type="dxa"/>
            <w:tcBorders>
              <w:top w:val="single" w:sz="4" w:space="0" w:color="A6A6A6"/>
            </w:tcBorders>
            <w:noWrap/>
            <w:hideMark/>
          </w:tcPr>
          <w:p w14:paraId="3B0A848F" w14:textId="77777777" w:rsidR="005F4A7E" w:rsidRPr="002029AF" w:rsidRDefault="005F4A7E" w:rsidP="00130D1C">
            <w:pPr>
              <w:pStyle w:val="ARfintablebodyright"/>
            </w:pPr>
            <w:r w:rsidRPr="00E36AD5">
              <w:t>1,847.0</w:t>
            </w:r>
          </w:p>
        </w:tc>
        <w:tc>
          <w:tcPr>
            <w:tcW w:w="1134" w:type="dxa"/>
            <w:tcBorders>
              <w:top w:val="single" w:sz="4" w:space="0" w:color="A6A6A6"/>
            </w:tcBorders>
            <w:noWrap/>
            <w:hideMark/>
          </w:tcPr>
          <w:p w14:paraId="1D8C3725" w14:textId="77777777" w:rsidR="005F4A7E" w:rsidRPr="002029AF" w:rsidRDefault="005F4A7E" w:rsidP="00130D1C">
            <w:pPr>
              <w:pStyle w:val="ARfintablebodyright"/>
            </w:pPr>
            <w:r w:rsidRPr="00E36AD5">
              <w:t>1,847.0</w:t>
            </w:r>
          </w:p>
        </w:tc>
        <w:tc>
          <w:tcPr>
            <w:tcW w:w="1134" w:type="dxa"/>
            <w:tcBorders>
              <w:top w:val="single" w:sz="4" w:space="0" w:color="A6A6A6"/>
            </w:tcBorders>
            <w:noWrap/>
            <w:hideMark/>
          </w:tcPr>
          <w:p w14:paraId="272C4E13" w14:textId="77777777" w:rsidR="005F4A7E" w:rsidRPr="002029AF" w:rsidRDefault="005F4A7E" w:rsidP="00130D1C">
            <w:pPr>
              <w:pStyle w:val="ARfintablebodyright"/>
            </w:pPr>
            <w:r w:rsidRPr="00E36AD5">
              <w:t>526.5</w:t>
            </w:r>
          </w:p>
        </w:tc>
        <w:tc>
          <w:tcPr>
            <w:tcW w:w="1134" w:type="dxa"/>
            <w:tcBorders>
              <w:top w:val="single" w:sz="4" w:space="0" w:color="A6A6A6"/>
            </w:tcBorders>
            <w:noWrap/>
            <w:hideMark/>
          </w:tcPr>
          <w:p w14:paraId="69BBFB41" w14:textId="77777777" w:rsidR="005F4A7E" w:rsidRPr="002029AF" w:rsidRDefault="005F4A7E" w:rsidP="00130D1C">
            <w:pPr>
              <w:pStyle w:val="ARfintablebodyright"/>
            </w:pPr>
            <w:r w:rsidRPr="00E36AD5">
              <w:t>217.5</w:t>
            </w:r>
          </w:p>
        </w:tc>
        <w:tc>
          <w:tcPr>
            <w:tcW w:w="1134" w:type="dxa"/>
            <w:tcBorders>
              <w:top w:val="single" w:sz="4" w:space="0" w:color="A6A6A6"/>
            </w:tcBorders>
            <w:noWrap/>
            <w:hideMark/>
          </w:tcPr>
          <w:p w14:paraId="6BA2C9F9" w14:textId="77777777" w:rsidR="005F4A7E" w:rsidRPr="002029AF" w:rsidRDefault="005F4A7E" w:rsidP="00130D1C">
            <w:pPr>
              <w:pStyle w:val="ARfintablebodyright"/>
            </w:pPr>
            <w:r w:rsidRPr="00E36AD5">
              <w:t>251.4</w:t>
            </w:r>
          </w:p>
        </w:tc>
        <w:tc>
          <w:tcPr>
            <w:tcW w:w="1134" w:type="dxa"/>
            <w:tcBorders>
              <w:top w:val="single" w:sz="4" w:space="0" w:color="A6A6A6"/>
            </w:tcBorders>
            <w:noWrap/>
            <w:hideMark/>
          </w:tcPr>
          <w:p w14:paraId="5F2B3BBC" w14:textId="77777777" w:rsidR="005F4A7E" w:rsidRPr="002029AF" w:rsidRDefault="005F4A7E" w:rsidP="00130D1C">
            <w:pPr>
              <w:pStyle w:val="ARfintablebodyright"/>
            </w:pPr>
            <w:r w:rsidRPr="00E36AD5">
              <w:t>0.8</w:t>
            </w:r>
          </w:p>
        </w:tc>
        <w:tc>
          <w:tcPr>
            <w:tcW w:w="1134" w:type="dxa"/>
            <w:tcBorders>
              <w:top w:val="single" w:sz="4" w:space="0" w:color="A6A6A6"/>
            </w:tcBorders>
            <w:noWrap/>
            <w:hideMark/>
          </w:tcPr>
          <w:p w14:paraId="189F72E4" w14:textId="77777777" w:rsidR="005F4A7E" w:rsidRPr="002029AF" w:rsidRDefault="005F4A7E" w:rsidP="00130D1C">
            <w:pPr>
              <w:pStyle w:val="ARfintablebodyright"/>
            </w:pPr>
            <w:r w:rsidRPr="00E36AD5">
              <w:t>850.8</w:t>
            </w:r>
          </w:p>
        </w:tc>
      </w:tr>
      <w:tr w:rsidR="005F4A7E" w:rsidRPr="002029AF" w14:paraId="288DD4A9" w14:textId="77777777" w:rsidTr="00130D1C">
        <w:trPr>
          <w:trHeight w:val="255"/>
        </w:trPr>
        <w:tc>
          <w:tcPr>
            <w:tcW w:w="1700" w:type="dxa"/>
            <w:hideMark/>
          </w:tcPr>
          <w:p w14:paraId="0C5EF3A3" w14:textId="77777777" w:rsidR="005F4A7E" w:rsidRPr="002029AF" w:rsidRDefault="005F4A7E" w:rsidP="00130D1C">
            <w:pPr>
              <w:pStyle w:val="ARfintablebodybold"/>
            </w:pPr>
            <w:r w:rsidRPr="00E36AD5">
              <w:t>Total</w:t>
            </w:r>
          </w:p>
        </w:tc>
        <w:tc>
          <w:tcPr>
            <w:tcW w:w="1133" w:type="dxa"/>
            <w:noWrap/>
            <w:hideMark/>
          </w:tcPr>
          <w:p w14:paraId="31B57734" w14:textId="77777777" w:rsidR="005F4A7E" w:rsidRPr="002029AF" w:rsidRDefault="005F4A7E" w:rsidP="00130D1C">
            <w:pPr>
              <w:pStyle w:val="ARfintablebodyrightbold"/>
            </w:pPr>
            <w:r w:rsidRPr="00E36AD5">
              <w:t>1,847.0</w:t>
            </w:r>
          </w:p>
        </w:tc>
        <w:tc>
          <w:tcPr>
            <w:tcW w:w="1134" w:type="dxa"/>
            <w:noWrap/>
            <w:hideMark/>
          </w:tcPr>
          <w:p w14:paraId="19AAC834" w14:textId="77777777" w:rsidR="005F4A7E" w:rsidRPr="002029AF" w:rsidRDefault="005F4A7E" w:rsidP="00130D1C">
            <w:pPr>
              <w:pStyle w:val="ARfintablebodyrightbold"/>
            </w:pPr>
            <w:r w:rsidRPr="00E36AD5">
              <w:t>1,847.0</w:t>
            </w:r>
          </w:p>
        </w:tc>
        <w:tc>
          <w:tcPr>
            <w:tcW w:w="1134" w:type="dxa"/>
            <w:noWrap/>
            <w:hideMark/>
          </w:tcPr>
          <w:p w14:paraId="47CF4337" w14:textId="77777777" w:rsidR="005F4A7E" w:rsidRPr="002029AF" w:rsidRDefault="005F4A7E" w:rsidP="00130D1C">
            <w:pPr>
              <w:pStyle w:val="ARfintablebodyrightbold"/>
            </w:pPr>
            <w:r w:rsidRPr="00E36AD5">
              <w:t>526.5</w:t>
            </w:r>
          </w:p>
        </w:tc>
        <w:tc>
          <w:tcPr>
            <w:tcW w:w="1134" w:type="dxa"/>
            <w:noWrap/>
            <w:hideMark/>
          </w:tcPr>
          <w:p w14:paraId="75526407" w14:textId="77777777" w:rsidR="005F4A7E" w:rsidRPr="002029AF" w:rsidRDefault="005F4A7E" w:rsidP="00130D1C">
            <w:pPr>
              <w:pStyle w:val="ARfintablebodyrightbold"/>
            </w:pPr>
            <w:r w:rsidRPr="00E36AD5">
              <w:t>217.5</w:t>
            </w:r>
          </w:p>
        </w:tc>
        <w:tc>
          <w:tcPr>
            <w:tcW w:w="1134" w:type="dxa"/>
            <w:noWrap/>
            <w:hideMark/>
          </w:tcPr>
          <w:p w14:paraId="74D45295" w14:textId="77777777" w:rsidR="005F4A7E" w:rsidRPr="002029AF" w:rsidRDefault="005F4A7E" w:rsidP="00130D1C">
            <w:pPr>
              <w:pStyle w:val="ARfintablebodyrightbold"/>
            </w:pPr>
            <w:r w:rsidRPr="00E36AD5">
              <w:t>251.4</w:t>
            </w:r>
          </w:p>
        </w:tc>
        <w:tc>
          <w:tcPr>
            <w:tcW w:w="1134" w:type="dxa"/>
            <w:noWrap/>
            <w:hideMark/>
          </w:tcPr>
          <w:p w14:paraId="107109A7" w14:textId="77777777" w:rsidR="005F4A7E" w:rsidRPr="002029AF" w:rsidRDefault="005F4A7E" w:rsidP="00130D1C">
            <w:pPr>
              <w:pStyle w:val="ARfintablebodyrightbold"/>
            </w:pPr>
            <w:r w:rsidRPr="00E36AD5">
              <w:t>0.8</w:t>
            </w:r>
          </w:p>
        </w:tc>
        <w:tc>
          <w:tcPr>
            <w:tcW w:w="1134" w:type="dxa"/>
            <w:noWrap/>
            <w:hideMark/>
          </w:tcPr>
          <w:p w14:paraId="5B8C1851" w14:textId="77777777" w:rsidR="005F4A7E" w:rsidRPr="002029AF" w:rsidRDefault="005F4A7E" w:rsidP="00130D1C">
            <w:pPr>
              <w:pStyle w:val="ARfintablebodyrightbold"/>
            </w:pPr>
            <w:r w:rsidRPr="00E36AD5">
              <w:t>850.8</w:t>
            </w:r>
          </w:p>
        </w:tc>
      </w:tr>
    </w:tbl>
    <w:p w14:paraId="64242D2F" w14:textId="77777777" w:rsidR="005F4A7E" w:rsidRDefault="005F4A7E" w:rsidP="00130D1C">
      <w:pPr>
        <w:pStyle w:val="ARfintablefootnote"/>
      </w:pPr>
      <w:bookmarkStart w:id="924" w:name="_Toc39242155"/>
      <w:r>
        <w:t>Note:</w:t>
      </w:r>
    </w:p>
    <w:p w14:paraId="5AE66373" w14:textId="77777777" w:rsidR="005F4A7E" w:rsidRDefault="005F4A7E" w:rsidP="00130D1C">
      <w:pPr>
        <w:pStyle w:val="ARfintablefootnoteindent"/>
      </w:pPr>
      <w:r>
        <w:t>(i)</w:t>
      </w:r>
      <w:r>
        <w:tab/>
        <w:t>Maturity analysis is presented using the contractual undiscounted cash flows.</w:t>
      </w:r>
    </w:p>
    <w:p w14:paraId="53822AE3" w14:textId="77777777" w:rsidR="005F4A7E" w:rsidRPr="002029AF" w:rsidRDefault="005F4A7E" w:rsidP="00087B91">
      <w:pPr>
        <w:pStyle w:val="Heading4"/>
      </w:pPr>
      <w:bookmarkStart w:id="925" w:name="_Toc85121455"/>
      <w:r w:rsidRPr="002029AF">
        <w:t>6.5 Other provisions</w:t>
      </w:r>
      <w:bookmarkEnd w:id="924"/>
      <w:bookmarkEnd w:id="925"/>
    </w:p>
    <w:tbl>
      <w:tblPr>
        <w:tblStyle w:val="TableGrid"/>
        <w:tblW w:w="9637" w:type="dxa"/>
        <w:tblLayout w:type="fixed"/>
        <w:tblLook w:val="06A0" w:firstRow="1" w:lastRow="0" w:firstColumn="1" w:lastColumn="0" w:noHBand="1" w:noVBand="1"/>
      </w:tblPr>
      <w:tblGrid>
        <w:gridCol w:w="7371"/>
        <w:gridCol w:w="1133"/>
        <w:gridCol w:w="1133"/>
      </w:tblGrid>
      <w:tr w:rsidR="005F4A7E" w:rsidRPr="002029AF" w14:paraId="309BE214"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43B426D3" w14:textId="77777777" w:rsidR="005F4A7E" w:rsidRPr="002029AF" w:rsidRDefault="005F4A7E" w:rsidP="00860E95">
            <w:pPr>
              <w:pStyle w:val="ARfintablecolhead"/>
            </w:pPr>
          </w:p>
        </w:tc>
        <w:tc>
          <w:tcPr>
            <w:tcW w:w="1133" w:type="dxa"/>
            <w:tcBorders>
              <w:bottom w:val="single" w:sz="4" w:space="0" w:color="auto"/>
            </w:tcBorders>
            <w:shd w:val="clear" w:color="auto" w:fill="E7E6E6"/>
            <w:hideMark/>
          </w:tcPr>
          <w:p w14:paraId="714236C1" w14:textId="77777777" w:rsidR="005F4A7E" w:rsidRPr="002029AF" w:rsidRDefault="005F4A7E" w:rsidP="00860E95">
            <w:pPr>
              <w:pStyle w:val="ARfintablecolheadright"/>
            </w:pPr>
            <w:r>
              <w:t>2021</w:t>
            </w:r>
          </w:p>
          <w:p w14:paraId="143B7C9B" w14:textId="77777777" w:rsidR="005F4A7E" w:rsidRPr="002029AF" w:rsidRDefault="005F4A7E" w:rsidP="00860E95">
            <w:pPr>
              <w:pStyle w:val="ARfintablecolheadright"/>
            </w:pPr>
            <w:r w:rsidRPr="002029AF">
              <w:t>$M</w:t>
            </w:r>
          </w:p>
        </w:tc>
        <w:tc>
          <w:tcPr>
            <w:tcW w:w="1133" w:type="dxa"/>
            <w:tcBorders>
              <w:bottom w:val="single" w:sz="4" w:space="0" w:color="auto"/>
            </w:tcBorders>
            <w:hideMark/>
          </w:tcPr>
          <w:p w14:paraId="49280EC4" w14:textId="77777777" w:rsidR="005F4A7E" w:rsidRPr="002029AF" w:rsidRDefault="005F4A7E" w:rsidP="00860E95">
            <w:pPr>
              <w:pStyle w:val="ARfintablecolheadright"/>
            </w:pPr>
            <w:r>
              <w:t>2020</w:t>
            </w:r>
          </w:p>
          <w:p w14:paraId="20CB417B" w14:textId="77777777" w:rsidR="005F4A7E" w:rsidRPr="002029AF" w:rsidRDefault="005F4A7E" w:rsidP="00860E95">
            <w:pPr>
              <w:pStyle w:val="ARfintablecolheadright"/>
            </w:pPr>
            <w:r w:rsidRPr="002029AF">
              <w:t>$M</w:t>
            </w:r>
          </w:p>
        </w:tc>
      </w:tr>
      <w:tr w:rsidR="005F4A7E" w:rsidRPr="002029AF" w14:paraId="2502AA1E" w14:textId="77777777" w:rsidTr="00860E95">
        <w:tc>
          <w:tcPr>
            <w:tcW w:w="9637" w:type="dxa"/>
            <w:gridSpan w:val="3"/>
            <w:tcBorders>
              <w:top w:val="single" w:sz="4" w:space="0" w:color="auto"/>
              <w:bottom w:val="single" w:sz="4" w:space="0" w:color="A6A6A6"/>
            </w:tcBorders>
            <w:hideMark/>
          </w:tcPr>
          <w:p w14:paraId="673CDD4C" w14:textId="77777777" w:rsidR="005F4A7E" w:rsidRPr="002029AF" w:rsidRDefault="005F4A7E" w:rsidP="00130D1C">
            <w:pPr>
              <w:pStyle w:val="ARfintablebodybold"/>
            </w:pPr>
            <w:r w:rsidRPr="004061D8">
              <w:t>Current provisions</w:t>
            </w:r>
          </w:p>
        </w:tc>
      </w:tr>
      <w:tr w:rsidR="005F4A7E" w:rsidRPr="002029AF" w14:paraId="7E6FAB18" w14:textId="77777777" w:rsidTr="00860E95">
        <w:tc>
          <w:tcPr>
            <w:tcW w:w="7371" w:type="dxa"/>
            <w:tcBorders>
              <w:top w:val="single" w:sz="4" w:space="0" w:color="A6A6A6"/>
              <w:bottom w:val="single" w:sz="4" w:space="0" w:color="A6A6A6"/>
            </w:tcBorders>
            <w:hideMark/>
          </w:tcPr>
          <w:p w14:paraId="7244FDE3" w14:textId="2277172A" w:rsidR="005F4A7E" w:rsidRPr="002029AF" w:rsidRDefault="005F4A7E" w:rsidP="00130D1C">
            <w:pPr>
              <w:pStyle w:val="ARfintablebody"/>
            </w:pPr>
            <w:r w:rsidRPr="005D4D54">
              <w:t>NDIS</w:t>
            </w:r>
            <w:r w:rsidRPr="004061D8">
              <w:t xml:space="preserve"> service providers</w:t>
            </w:r>
            <w:r w:rsidR="007D145B">
              <w:t>’</w:t>
            </w:r>
            <w:r w:rsidRPr="004061D8">
              <w:t xml:space="preserve"> leave</w:t>
            </w:r>
          </w:p>
        </w:tc>
        <w:tc>
          <w:tcPr>
            <w:tcW w:w="1133" w:type="dxa"/>
            <w:tcBorders>
              <w:top w:val="single" w:sz="4" w:space="0" w:color="A6A6A6"/>
              <w:bottom w:val="single" w:sz="4" w:space="0" w:color="A6A6A6"/>
            </w:tcBorders>
            <w:shd w:val="clear" w:color="auto" w:fill="E7E6E6"/>
            <w:noWrap/>
            <w:hideMark/>
          </w:tcPr>
          <w:p w14:paraId="5BCCE81F" w14:textId="77777777" w:rsidR="005F4A7E" w:rsidRPr="002029AF" w:rsidRDefault="005F4A7E" w:rsidP="00130D1C">
            <w:pPr>
              <w:pStyle w:val="ARfintablebodyright"/>
            </w:pPr>
            <w:r w:rsidRPr="004061D8">
              <w:t>79.3</w:t>
            </w:r>
          </w:p>
        </w:tc>
        <w:tc>
          <w:tcPr>
            <w:tcW w:w="1133" w:type="dxa"/>
            <w:tcBorders>
              <w:top w:val="single" w:sz="4" w:space="0" w:color="A6A6A6"/>
              <w:bottom w:val="single" w:sz="4" w:space="0" w:color="A6A6A6"/>
            </w:tcBorders>
            <w:noWrap/>
            <w:hideMark/>
          </w:tcPr>
          <w:p w14:paraId="5EF1D470" w14:textId="77777777" w:rsidR="005F4A7E" w:rsidRPr="002029AF" w:rsidRDefault="005F4A7E" w:rsidP="00130D1C">
            <w:pPr>
              <w:pStyle w:val="ARfintablebodyright"/>
            </w:pPr>
            <w:r w:rsidRPr="004061D8">
              <w:t>–</w:t>
            </w:r>
          </w:p>
        </w:tc>
      </w:tr>
      <w:tr w:rsidR="005F4A7E" w:rsidRPr="002029AF" w14:paraId="04754F51" w14:textId="77777777" w:rsidTr="00860E95">
        <w:tc>
          <w:tcPr>
            <w:tcW w:w="7371" w:type="dxa"/>
            <w:tcBorders>
              <w:top w:val="single" w:sz="4" w:space="0" w:color="A6A6A6"/>
              <w:bottom w:val="single" w:sz="4" w:space="0" w:color="A6A6A6"/>
            </w:tcBorders>
          </w:tcPr>
          <w:p w14:paraId="1D03B2D4" w14:textId="77777777" w:rsidR="005F4A7E" w:rsidRPr="002029AF" w:rsidRDefault="005F4A7E" w:rsidP="00130D1C">
            <w:pPr>
              <w:pStyle w:val="ARfintablebody"/>
            </w:pPr>
            <w:r w:rsidRPr="004061D8">
              <w:t>Insurance claims</w:t>
            </w:r>
          </w:p>
        </w:tc>
        <w:tc>
          <w:tcPr>
            <w:tcW w:w="1133" w:type="dxa"/>
            <w:tcBorders>
              <w:top w:val="single" w:sz="4" w:space="0" w:color="A6A6A6"/>
              <w:bottom w:val="single" w:sz="4" w:space="0" w:color="A6A6A6"/>
            </w:tcBorders>
            <w:shd w:val="clear" w:color="auto" w:fill="E7E6E6"/>
            <w:noWrap/>
          </w:tcPr>
          <w:p w14:paraId="31F03347" w14:textId="77777777" w:rsidR="005F4A7E" w:rsidRPr="002029AF" w:rsidRDefault="005F4A7E" w:rsidP="00130D1C">
            <w:pPr>
              <w:pStyle w:val="ARfintablebodyright"/>
            </w:pPr>
            <w:r w:rsidRPr="004061D8">
              <w:t>46.6</w:t>
            </w:r>
          </w:p>
        </w:tc>
        <w:tc>
          <w:tcPr>
            <w:tcW w:w="1133" w:type="dxa"/>
            <w:tcBorders>
              <w:top w:val="single" w:sz="4" w:space="0" w:color="A6A6A6"/>
              <w:bottom w:val="single" w:sz="4" w:space="0" w:color="A6A6A6"/>
            </w:tcBorders>
            <w:noWrap/>
          </w:tcPr>
          <w:p w14:paraId="66EBF079" w14:textId="77777777" w:rsidR="005F4A7E" w:rsidRPr="002029AF" w:rsidRDefault="005F4A7E" w:rsidP="00130D1C">
            <w:pPr>
              <w:pStyle w:val="ARfintablebodyright"/>
            </w:pPr>
            <w:r w:rsidRPr="004061D8">
              <w:t>43.5</w:t>
            </w:r>
          </w:p>
        </w:tc>
      </w:tr>
      <w:tr w:rsidR="005F4A7E" w:rsidRPr="002029AF" w14:paraId="2DEAE926" w14:textId="77777777" w:rsidTr="00860E95">
        <w:tc>
          <w:tcPr>
            <w:tcW w:w="7371" w:type="dxa"/>
            <w:tcBorders>
              <w:top w:val="single" w:sz="4" w:space="0" w:color="A6A6A6"/>
            </w:tcBorders>
            <w:hideMark/>
          </w:tcPr>
          <w:p w14:paraId="2370857C" w14:textId="77777777" w:rsidR="005F4A7E" w:rsidRPr="002029AF" w:rsidRDefault="005F4A7E" w:rsidP="00130D1C">
            <w:pPr>
              <w:pStyle w:val="ARfintablebody"/>
            </w:pPr>
            <w:r w:rsidRPr="004061D8">
              <w:t>Make-good provision</w:t>
            </w:r>
          </w:p>
        </w:tc>
        <w:tc>
          <w:tcPr>
            <w:tcW w:w="1133" w:type="dxa"/>
            <w:tcBorders>
              <w:top w:val="single" w:sz="4" w:space="0" w:color="A6A6A6"/>
            </w:tcBorders>
            <w:shd w:val="clear" w:color="auto" w:fill="E7E6E6"/>
            <w:noWrap/>
            <w:hideMark/>
          </w:tcPr>
          <w:p w14:paraId="2EBD9C39" w14:textId="77777777" w:rsidR="005F4A7E" w:rsidRPr="002029AF" w:rsidRDefault="005F4A7E" w:rsidP="00130D1C">
            <w:pPr>
              <w:pStyle w:val="ARfintablebodyright"/>
            </w:pPr>
            <w:r w:rsidRPr="004061D8">
              <w:t>1.2</w:t>
            </w:r>
          </w:p>
        </w:tc>
        <w:tc>
          <w:tcPr>
            <w:tcW w:w="1133" w:type="dxa"/>
            <w:tcBorders>
              <w:top w:val="single" w:sz="4" w:space="0" w:color="A6A6A6"/>
            </w:tcBorders>
            <w:noWrap/>
            <w:hideMark/>
          </w:tcPr>
          <w:p w14:paraId="3B1EF6B2" w14:textId="77777777" w:rsidR="005F4A7E" w:rsidRPr="002029AF" w:rsidRDefault="005F4A7E" w:rsidP="00130D1C">
            <w:pPr>
              <w:pStyle w:val="ARfintablebodyright"/>
            </w:pPr>
            <w:r w:rsidRPr="004061D8">
              <w:t>1.0</w:t>
            </w:r>
          </w:p>
        </w:tc>
      </w:tr>
      <w:tr w:rsidR="005F4A7E" w:rsidRPr="002029AF" w14:paraId="229CEBE5" w14:textId="77777777" w:rsidTr="00860E95">
        <w:tc>
          <w:tcPr>
            <w:tcW w:w="7371" w:type="dxa"/>
            <w:tcBorders>
              <w:bottom w:val="single" w:sz="4" w:space="0" w:color="auto"/>
            </w:tcBorders>
            <w:hideMark/>
          </w:tcPr>
          <w:p w14:paraId="27FF3285" w14:textId="77777777" w:rsidR="005F4A7E" w:rsidRPr="002029AF" w:rsidRDefault="005F4A7E" w:rsidP="00130D1C">
            <w:pPr>
              <w:pStyle w:val="ARfintablebodybold"/>
            </w:pPr>
            <w:r w:rsidRPr="004061D8">
              <w:t>Total current provisions</w:t>
            </w:r>
          </w:p>
        </w:tc>
        <w:tc>
          <w:tcPr>
            <w:tcW w:w="1133" w:type="dxa"/>
            <w:tcBorders>
              <w:bottom w:val="single" w:sz="4" w:space="0" w:color="auto"/>
            </w:tcBorders>
            <w:shd w:val="clear" w:color="auto" w:fill="E7E6E6"/>
            <w:noWrap/>
            <w:hideMark/>
          </w:tcPr>
          <w:p w14:paraId="0441D862" w14:textId="77777777" w:rsidR="005F4A7E" w:rsidRPr="002029AF" w:rsidRDefault="005F4A7E" w:rsidP="00130D1C">
            <w:pPr>
              <w:pStyle w:val="ARfintablebodyrightbold"/>
            </w:pPr>
            <w:r w:rsidRPr="004061D8">
              <w:t>127.1</w:t>
            </w:r>
          </w:p>
        </w:tc>
        <w:tc>
          <w:tcPr>
            <w:tcW w:w="1133" w:type="dxa"/>
            <w:tcBorders>
              <w:bottom w:val="single" w:sz="4" w:space="0" w:color="auto"/>
            </w:tcBorders>
            <w:noWrap/>
            <w:hideMark/>
          </w:tcPr>
          <w:p w14:paraId="6D16E6B0" w14:textId="77777777" w:rsidR="005F4A7E" w:rsidRPr="002029AF" w:rsidRDefault="005F4A7E" w:rsidP="00130D1C">
            <w:pPr>
              <w:pStyle w:val="ARfintablebodyrightbold"/>
            </w:pPr>
            <w:r w:rsidRPr="004061D8">
              <w:t>44.5</w:t>
            </w:r>
          </w:p>
        </w:tc>
      </w:tr>
      <w:tr w:rsidR="005F4A7E" w:rsidRPr="002029AF" w14:paraId="537A924A" w14:textId="77777777" w:rsidTr="00860E95">
        <w:tc>
          <w:tcPr>
            <w:tcW w:w="9637" w:type="dxa"/>
            <w:gridSpan w:val="3"/>
            <w:tcBorders>
              <w:top w:val="single" w:sz="4" w:space="0" w:color="auto"/>
              <w:bottom w:val="single" w:sz="4" w:space="0" w:color="A6A6A6"/>
            </w:tcBorders>
            <w:hideMark/>
          </w:tcPr>
          <w:p w14:paraId="791270B4" w14:textId="77777777" w:rsidR="005F4A7E" w:rsidRPr="002029AF" w:rsidRDefault="005F4A7E" w:rsidP="00130D1C">
            <w:pPr>
              <w:pStyle w:val="ARfintablebodybold"/>
            </w:pPr>
            <w:r w:rsidRPr="004061D8">
              <w:t>Non-current provisions</w:t>
            </w:r>
          </w:p>
        </w:tc>
      </w:tr>
      <w:tr w:rsidR="005F4A7E" w:rsidRPr="002029AF" w14:paraId="534F481C" w14:textId="77777777" w:rsidTr="00860E95">
        <w:tc>
          <w:tcPr>
            <w:tcW w:w="7371" w:type="dxa"/>
            <w:tcBorders>
              <w:top w:val="single" w:sz="4" w:space="0" w:color="A6A6A6"/>
              <w:bottom w:val="single" w:sz="4" w:space="0" w:color="A6A6A6"/>
            </w:tcBorders>
            <w:hideMark/>
          </w:tcPr>
          <w:p w14:paraId="204B061D" w14:textId="6A19721E" w:rsidR="005F4A7E" w:rsidRPr="002029AF" w:rsidRDefault="005F4A7E" w:rsidP="00130D1C">
            <w:pPr>
              <w:pStyle w:val="ARfintablebody"/>
            </w:pPr>
            <w:r w:rsidRPr="004061D8">
              <w:t>NDIS service providers</w:t>
            </w:r>
            <w:r w:rsidR="007D145B">
              <w:t>’</w:t>
            </w:r>
            <w:r w:rsidRPr="004061D8">
              <w:t xml:space="preserve"> leave</w:t>
            </w:r>
          </w:p>
        </w:tc>
        <w:tc>
          <w:tcPr>
            <w:tcW w:w="1133" w:type="dxa"/>
            <w:tcBorders>
              <w:top w:val="single" w:sz="4" w:space="0" w:color="A6A6A6"/>
              <w:bottom w:val="single" w:sz="4" w:space="0" w:color="A6A6A6"/>
            </w:tcBorders>
            <w:shd w:val="clear" w:color="auto" w:fill="E7E6E6"/>
            <w:noWrap/>
            <w:hideMark/>
          </w:tcPr>
          <w:p w14:paraId="79364938" w14:textId="77777777" w:rsidR="005F4A7E" w:rsidRPr="002029AF" w:rsidRDefault="005F4A7E" w:rsidP="00130D1C">
            <w:pPr>
              <w:pStyle w:val="ARfintablebodyright"/>
            </w:pPr>
            <w:r w:rsidRPr="004061D8">
              <w:t>33.1</w:t>
            </w:r>
          </w:p>
        </w:tc>
        <w:tc>
          <w:tcPr>
            <w:tcW w:w="1133" w:type="dxa"/>
            <w:tcBorders>
              <w:top w:val="single" w:sz="4" w:space="0" w:color="A6A6A6"/>
              <w:bottom w:val="single" w:sz="4" w:space="0" w:color="A6A6A6"/>
            </w:tcBorders>
            <w:noWrap/>
            <w:hideMark/>
          </w:tcPr>
          <w:p w14:paraId="32A3DC82" w14:textId="77777777" w:rsidR="005F4A7E" w:rsidRPr="002029AF" w:rsidRDefault="005F4A7E" w:rsidP="00130D1C">
            <w:pPr>
              <w:pStyle w:val="ARfintablebodyright"/>
            </w:pPr>
            <w:r w:rsidRPr="004061D8">
              <w:t>–</w:t>
            </w:r>
          </w:p>
        </w:tc>
      </w:tr>
      <w:tr w:rsidR="005F4A7E" w:rsidRPr="002029AF" w14:paraId="38E55943" w14:textId="77777777" w:rsidTr="00860E95">
        <w:tc>
          <w:tcPr>
            <w:tcW w:w="7371" w:type="dxa"/>
            <w:tcBorders>
              <w:top w:val="single" w:sz="4" w:space="0" w:color="A6A6A6"/>
              <w:bottom w:val="single" w:sz="4" w:space="0" w:color="A6A6A6"/>
            </w:tcBorders>
          </w:tcPr>
          <w:p w14:paraId="238E2EB1" w14:textId="77777777" w:rsidR="005F4A7E" w:rsidRPr="002029AF" w:rsidRDefault="005F4A7E" w:rsidP="00130D1C">
            <w:pPr>
              <w:pStyle w:val="ARfintablebody"/>
            </w:pPr>
            <w:r w:rsidRPr="004061D8">
              <w:t>Insurance claims</w:t>
            </w:r>
          </w:p>
        </w:tc>
        <w:tc>
          <w:tcPr>
            <w:tcW w:w="1133" w:type="dxa"/>
            <w:tcBorders>
              <w:top w:val="single" w:sz="4" w:space="0" w:color="A6A6A6"/>
              <w:bottom w:val="single" w:sz="4" w:space="0" w:color="A6A6A6"/>
            </w:tcBorders>
            <w:shd w:val="clear" w:color="auto" w:fill="E7E6E6"/>
            <w:noWrap/>
          </w:tcPr>
          <w:p w14:paraId="20A211F2" w14:textId="77777777" w:rsidR="005F4A7E" w:rsidRPr="002029AF" w:rsidRDefault="005F4A7E" w:rsidP="00130D1C">
            <w:pPr>
              <w:pStyle w:val="ARfintablebodyright"/>
            </w:pPr>
            <w:r w:rsidRPr="004061D8">
              <w:t>75.2</w:t>
            </w:r>
          </w:p>
        </w:tc>
        <w:tc>
          <w:tcPr>
            <w:tcW w:w="1133" w:type="dxa"/>
            <w:tcBorders>
              <w:top w:val="single" w:sz="4" w:space="0" w:color="A6A6A6"/>
              <w:bottom w:val="single" w:sz="4" w:space="0" w:color="A6A6A6"/>
            </w:tcBorders>
            <w:noWrap/>
          </w:tcPr>
          <w:p w14:paraId="04973BFF" w14:textId="77777777" w:rsidR="005F4A7E" w:rsidRPr="002029AF" w:rsidRDefault="005F4A7E" w:rsidP="00130D1C">
            <w:pPr>
              <w:pStyle w:val="ARfintablebodyright"/>
            </w:pPr>
            <w:r w:rsidRPr="004061D8">
              <w:t>76.9</w:t>
            </w:r>
          </w:p>
        </w:tc>
      </w:tr>
      <w:tr w:rsidR="005F4A7E" w:rsidRPr="002029AF" w14:paraId="51CE691C" w14:textId="77777777" w:rsidTr="00860E95">
        <w:tc>
          <w:tcPr>
            <w:tcW w:w="7371" w:type="dxa"/>
            <w:tcBorders>
              <w:top w:val="single" w:sz="4" w:space="0" w:color="A6A6A6"/>
            </w:tcBorders>
            <w:hideMark/>
          </w:tcPr>
          <w:p w14:paraId="519E3EF3" w14:textId="77777777" w:rsidR="005F4A7E" w:rsidRPr="002029AF" w:rsidRDefault="005F4A7E" w:rsidP="00130D1C">
            <w:pPr>
              <w:pStyle w:val="ARfintablebody"/>
            </w:pPr>
            <w:r w:rsidRPr="004061D8">
              <w:t>Make-good provision</w:t>
            </w:r>
          </w:p>
        </w:tc>
        <w:tc>
          <w:tcPr>
            <w:tcW w:w="1133" w:type="dxa"/>
            <w:tcBorders>
              <w:top w:val="single" w:sz="4" w:space="0" w:color="A6A6A6"/>
            </w:tcBorders>
            <w:shd w:val="clear" w:color="auto" w:fill="E7E6E6"/>
            <w:noWrap/>
            <w:hideMark/>
          </w:tcPr>
          <w:p w14:paraId="3EE1C16D" w14:textId="77777777" w:rsidR="005F4A7E" w:rsidRPr="002029AF" w:rsidRDefault="005F4A7E" w:rsidP="00130D1C">
            <w:pPr>
              <w:pStyle w:val="ARfintablebodyright"/>
            </w:pPr>
            <w:r w:rsidRPr="004061D8">
              <w:t>6.4</w:t>
            </w:r>
          </w:p>
        </w:tc>
        <w:tc>
          <w:tcPr>
            <w:tcW w:w="1133" w:type="dxa"/>
            <w:tcBorders>
              <w:top w:val="single" w:sz="4" w:space="0" w:color="A6A6A6"/>
            </w:tcBorders>
            <w:noWrap/>
            <w:hideMark/>
          </w:tcPr>
          <w:p w14:paraId="75C64192" w14:textId="77777777" w:rsidR="005F4A7E" w:rsidRPr="002029AF" w:rsidRDefault="005F4A7E" w:rsidP="00130D1C">
            <w:pPr>
              <w:pStyle w:val="ARfintablebodyright"/>
            </w:pPr>
            <w:r w:rsidRPr="004061D8">
              <w:t>3.5</w:t>
            </w:r>
          </w:p>
        </w:tc>
      </w:tr>
      <w:tr w:rsidR="005F4A7E" w:rsidRPr="002029AF" w14:paraId="6B936389" w14:textId="77777777" w:rsidTr="00860E95">
        <w:tc>
          <w:tcPr>
            <w:tcW w:w="7371" w:type="dxa"/>
            <w:hideMark/>
          </w:tcPr>
          <w:p w14:paraId="76A346BD" w14:textId="77777777" w:rsidR="005F4A7E" w:rsidRPr="002029AF" w:rsidRDefault="005F4A7E" w:rsidP="00130D1C">
            <w:pPr>
              <w:pStyle w:val="ARfintablebodybold"/>
            </w:pPr>
            <w:r w:rsidRPr="004061D8">
              <w:t>Total non-current provisions</w:t>
            </w:r>
          </w:p>
        </w:tc>
        <w:tc>
          <w:tcPr>
            <w:tcW w:w="1133" w:type="dxa"/>
            <w:shd w:val="clear" w:color="auto" w:fill="E7E6E6"/>
            <w:noWrap/>
            <w:hideMark/>
          </w:tcPr>
          <w:p w14:paraId="70DDAC41" w14:textId="77777777" w:rsidR="005F4A7E" w:rsidRPr="002029AF" w:rsidRDefault="005F4A7E" w:rsidP="00130D1C">
            <w:pPr>
              <w:pStyle w:val="ARfintablebodyrightbold"/>
            </w:pPr>
            <w:r w:rsidRPr="004061D8">
              <w:t>114.7</w:t>
            </w:r>
          </w:p>
        </w:tc>
        <w:tc>
          <w:tcPr>
            <w:tcW w:w="1133" w:type="dxa"/>
            <w:noWrap/>
            <w:hideMark/>
          </w:tcPr>
          <w:p w14:paraId="03263387" w14:textId="77777777" w:rsidR="005F4A7E" w:rsidRPr="002029AF" w:rsidRDefault="005F4A7E" w:rsidP="00130D1C">
            <w:pPr>
              <w:pStyle w:val="ARfintablebodyrightbold"/>
            </w:pPr>
            <w:r w:rsidRPr="004061D8">
              <w:t>80.4</w:t>
            </w:r>
          </w:p>
        </w:tc>
      </w:tr>
      <w:tr w:rsidR="005F4A7E" w:rsidRPr="002029AF" w14:paraId="290D410C" w14:textId="77777777" w:rsidTr="00860E95">
        <w:tc>
          <w:tcPr>
            <w:tcW w:w="7371" w:type="dxa"/>
            <w:hideMark/>
          </w:tcPr>
          <w:p w14:paraId="105E6008" w14:textId="77777777" w:rsidR="005F4A7E" w:rsidRPr="002029AF" w:rsidRDefault="005F4A7E" w:rsidP="00130D1C">
            <w:pPr>
              <w:pStyle w:val="ARfintablebodybold"/>
            </w:pPr>
            <w:r w:rsidRPr="004061D8">
              <w:t>Total other provisions</w:t>
            </w:r>
          </w:p>
        </w:tc>
        <w:tc>
          <w:tcPr>
            <w:tcW w:w="1133" w:type="dxa"/>
            <w:shd w:val="clear" w:color="auto" w:fill="E7E6E6"/>
            <w:noWrap/>
            <w:hideMark/>
          </w:tcPr>
          <w:p w14:paraId="0F96D49F" w14:textId="77777777" w:rsidR="005F4A7E" w:rsidRPr="002029AF" w:rsidRDefault="005F4A7E" w:rsidP="00130D1C">
            <w:pPr>
              <w:pStyle w:val="ARfintablebodyrightbold"/>
            </w:pPr>
            <w:r w:rsidRPr="004061D8">
              <w:t>241.8</w:t>
            </w:r>
          </w:p>
        </w:tc>
        <w:tc>
          <w:tcPr>
            <w:tcW w:w="1133" w:type="dxa"/>
            <w:noWrap/>
            <w:hideMark/>
          </w:tcPr>
          <w:p w14:paraId="286796B4" w14:textId="77777777" w:rsidR="005F4A7E" w:rsidRPr="002029AF" w:rsidRDefault="005F4A7E" w:rsidP="00130D1C">
            <w:pPr>
              <w:pStyle w:val="ARfintablebodyrightbold"/>
            </w:pPr>
            <w:r w:rsidRPr="004061D8">
              <w:t>124.9</w:t>
            </w:r>
          </w:p>
        </w:tc>
      </w:tr>
    </w:tbl>
    <w:p w14:paraId="7C853209" w14:textId="77777777" w:rsidR="005F4A7E" w:rsidRDefault="005F4A7E" w:rsidP="00130D1C">
      <w:pPr>
        <w:pStyle w:val="ARfinbodyaftertable"/>
      </w:pPr>
      <w:r>
        <w:t>Other provisions are recognised when the department has a present obligation, the future sacrifice of economic benefits is probable, and the amount of the provision can be measured reliably. The amount recognised as a provision is the best estimate of the consideration required to settle the present obligation at reporting date, taking into account the risks and uncertainties surrounding the obligation.</w:t>
      </w:r>
    </w:p>
    <w:p w14:paraId="1CDD8AD1" w14:textId="77777777" w:rsidR="005F4A7E" w:rsidRDefault="005F4A7E" w:rsidP="00130D1C">
      <w:pPr>
        <w:pStyle w:val="ARfinbody"/>
      </w:pPr>
      <w:r>
        <w:t xml:space="preserve">Where a provision is measured using the cash flows estimated to settle the present obligation, its carrying amount is the present value of those cash flows, using a discount rate that reflects the </w:t>
      </w:r>
      <w:r w:rsidRPr="00C2560E">
        <w:t>time</w:t>
      </w:r>
      <w:r>
        <w:t>,</w:t>
      </w:r>
      <w:r w:rsidRPr="00C2560E">
        <w:t xml:space="preserve"> value</w:t>
      </w:r>
      <w:r>
        <w:t xml:space="preserve"> of</w:t>
      </w:r>
      <w:r w:rsidRPr="00C2560E">
        <w:t xml:space="preserve"> money</w:t>
      </w:r>
      <w:r>
        <w:t xml:space="preserve"> and risks specific to the provision.</w:t>
      </w:r>
    </w:p>
    <w:p w14:paraId="7A233E07" w14:textId="77777777" w:rsidR="005F4A7E" w:rsidRDefault="005F4A7E" w:rsidP="00130D1C">
      <w:pPr>
        <w:pStyle w:val="Heading5"/>
        <w:rPr>
          <w:lang w:eastAsia="en-AU"/>
        </w:rPr>
      </w:pPr>
      <w:bookmarkStart w:id="926" w:name="_Toc85121456"/>
      <w:r>
        <w:rPr>
          <w:lang w:eastAsia="en-AU"/>
        </w:rPr>
        <w:t>6.5.1 Reconciliation of movements in other provisions</w:t>
      </w:r>
      <w:bookmarkEnd w:id="926"/>
    </w:p>
    <w:tbl>
      <w:tblPr>
        <w:tblStyle w:val="TableGrid"/>
        <w:tblW w:w="9639" w:type="dxa"/>
        <w:tblLayout w:type="fixed"/>
        <w:tblLook w:val="06A0" w:firstRow="1" w:lastRow="0" w:firstColumn="1" w:lastColumn="0" w:noHBand="1" w:noVBand="1"/>
      </w:tblPr>
      <w:tblGrid>
        <w:gridCol w:w="5103"/>
        <w:gridCol w:w="1134"/>
        <w:gridCol w:w="1134"/>
        <w:gridCol w:w="1134"/>
        <w:gridCol w:w="1134"/>
      </w:tblGrid>
      <w:tr w:rsidR="005F4A7E" w:rsidRPr="002029AF" w14:paraId="183318D0" w14:textId="77777777" w:rsidTr="00130D1C">
        <w:trPr>
          <w:cnfStyle w:val="100000000000" w:firstRow="1" w:lastRow="0" w:firstColumn="0" w:lastColumn="0" w:oddVBand="0" w:evenVBand="0" w:oddHBand="0" w:evenHBand="0" w:firstRowFirstColumn="0" w:firstRowLastColumn="0" w:lastRowFirstColumn="0" w:lastRowLastColumn="0"/>
          <w:trHeight w:val="255"/>
          <w:tblHeader/>
        </w:trPr>
        <w:tc>
          <w:tcPr>
            <w:tcW w:w="5103" w:type="dxa"/>
            <w:tcBorders>
              <w:bottom w:val="single" w:sz="4" w:space="0" w:color="auto"/>
            </w:tcBorders>
            <w:hideMark/>
          </w:tcPr>
          <w:p w14:paraId="350F8509" w14:textId="77777777" w:rsidR="005F4A7E" w:rsidRPr="002029AF" w:rsidRDefault="005F4A7E" w:rsidP="00860E95">
            <w:pPr>
              <w:pStyle w:val="ARfintablecolhead"/>
            </w:pPr>
          </w:p>
        </w:tc>
        <w:tc>
          <w:tcPr>
            <w:tcW w:w="1134" w:type="dxa"/>
            <w:tcBorders>
              <w:bottom w:val="single" w:sz="4" w:space="0" w:color="auto"/>
            </w:tcBorders>
            <w:hideMark/>
          </w:tcPr>
          <w:p w14:paraId="2F6F72BA" w14:textId="77777777" w:rsidR="005F4A7E" w:rsidRPr="002029AF" w:rsidRDefault="005F4A7E" w:rsidP="00860E95">
            <w:pPr>
              <w:pStyle w:val="ARfintablecolheadright"/>
            </w:pPr>
            <w:r w:rsidRPr="002029AF">
              <w:t xml:space="preserve">Make-good </w:t>
            </w:r>
            <w:r w:rsidRPr="002029AF">
              <w:br/>
            </w:r>
            <w:r>
              <w:t>2021</w:t>
            </w:r>
          </w:p>
          <w:p w14:paraId="619115D8" w14:textId="77777777" w:rsidR="005F4A7E" w:rsidRPr="002029AF" w:rsidRDefault="005F4A7E" w:rsidP="00860E95">
            <w:pPr>
              <w:pStyle w:val="ARfintablecolheadright"/>
            </w:pPr>
            <w:r w:rsidRPr="002029AF">
              <w:t>$M</w:t>
            </w:r>
          </w:p>
        </w:tc>
        <w:tc>
          <w:tcPr>
            <w:tcW w:w="1134" w:type="dxa"/>
            <w:tcBorders>
              <w:bottom w:val="single" w:sz="4" w:space="0" w:color="auto"/>
            </w:tcBorders>
            <w:hideMark/>
          </w:tcPr>
          <w:p w14:paraId="15FFFC3A" w14:textId="77777777" w:rsidR="005F4A7E" w:rsidRPr="002029AF" w:rsidRDefault="005F4A7E" w:rsidP="00860E95">
            <w:pPr>
              <w:pStyle w:val="ARfintablecolheadright"/>
            </w:pPr>
            <w:r w:rsidRPr="002029AF">
              <w:t>Insurance claims</w:t>
            </w:r>
            <w:r w:rsidRPr="002029AF">
              <w:br/>
            </w:r>
            <w:r>
              <w:t>2021</w:t>
            </w:r>
          </w:p>
          <w:p w14:paraId="187C011C" w14:textId="77777777" w:rsidR="005F4A7E" w:rsidRPr="002029AF" w:rsidRDefault="005F4A7E" w:rsidP="00860E95">
            <w:pPr>
              <w:pStyle w:val="ARfintablecolheadright"/>
            </w:pPr>
            <w:r w:rsidRPr="002029AF">
              <w:t>$M</w:t>
            </w:r>
          </w:p>
        </w:tc>
        <w:tc>
          <w:tcPr>
            <w:tcW w:w="1134" w:type="dxa"/>
            <w:tcBorders>
              <w:bottom w:val="single" w:sz="4" w:space="0" w:color="auto"/>
            </w:tcBorders>
          </w:tcPr>
          <w:p w14:paraId="409A952E" w14:textId="2CB56FC7" w:rsidR="00864121" w:rsidRDefault="005F4A7E" w:rsidP="00130D1C">
            <w:pPr>
              <w:pStyle w:val="ARfintablecolheadright"/>
            </w:pPr>
            <w:r>
              <w:t>NDIS providers</w:t>
            </w:r>
            <w:r w:rsidR="007D145B">
              <w:t>’</w:t>
            </w:r>
            <w:r>
              <w:t xml:space="preserve"> leave </w:t>
            </w:r>
            <w:r>
              <w:br/>
              <w:t>2021</w:t>
            </w:r>
          </w:p>
          <w:p w14:paraId="76F930A1" w14:textId="4B2E0C4C" w:rsidR="005F4A7E" w:rsidRPr="002029AF" w:rsidRDefault="005F4A7E" w:rsidP="00130D1C">
            <w:pPr>
              <w:pStyle w:val="ARfintablecolheadright"/>
            </w:pPr>
            <w:r>
              <w:t>$M</w:t>
            </w:r>
          </w:p>
        </w:tc>
        <w:tc>
          <w:tcPr>
            <w:tcW w:w="1134" w:type="dxa"/>
            <w:tcBorders>
              <w:bottom w:val="single" w:sz="4" w:space="0" w:color="auto"/>
            </w:tcBorders>
            <w:hideMark/>
          </w:tcPr>
          <w:p w14:paraId="50CB8B25" w14:textId="77777777" w:rsidR="005F4A7E" w:rsidRPr="002029AF" w:rsidRDefault="005F4A7E" w:rsidP="00860E95">
            <w:pPr>
              <w:pStyle w:val="ARfintablecolheadright"/>
            </w:pPr>
            <w:r w:rsidRPr="002029AF">
              <w:t xml:space="preserve">Total </w:t>
            </w:r>
            <w:r w:rsidRPr="002029AF">
              <w:br/>
            </w:r>
            <w:r>
              <w:t>2021</w:t>
            </w:r>
          </w:p>
          <w:p w14:paraId="2BA5F19F" w14:textId="77777777" w:rsidR="005F4A7E" w:rsidRPr="002029AF" w:rsidRDefault="005F4A7E" w:rsidP="00860E95">
            <w:pPr>
              <w:pStyle w:val="ARfintablecolheadright"/>
            </w:pPr>
            <w:r w:rsidRPr="002029AF">
              <w:t>$M</w:t>
            </w:r>
          </w:p>
        </w:tc>
      </w:tr>
      <w:tr w:rsidR="005F4A7E" w:rsidRPr="002029AF" w14:paraId="037CFC09" w14:textId="77777777" w:rsidTr="00130D1C">
        <w:trPr>
          <w:cantSplit w:val="0"/>
          <w:trHeight w:val="255"/>
        </w:trPr>
        <w:tc>
          <w:tcPr>
            <w:tcW w:w="5103" w:type="dxa"/>
            <w:tcBorders>
              <w:top w:val="single" w:sz="4" w:space="0" w:color="auto"/>
              <w:bottom w:val="single" w:sz="4" w:space="0" w:color="A6A6A6"/>
            </w:tcBorders>
            <w:hideMark/>
          </w:tcPr>
          <w:p w14:paraId="7B4B91F1" w14:textId="77777777" w:rsidR="005F4A7E" w:rsidRPr="002029AF" w:rsidRDefault="005F4A7E" w:rsidP="00130D1C">
            <w:pPr>
              <w:pStyle w:val="ARfintablebodybold"/>
            </w:pPr>
            <w:r w:rsidRPr="00FA6B3F">
              <w:t>Opening balance</w:t>
            </w:r>
          </w:p>
        </w:tc>
        <w:tc>
          <w:tcPr>
            <w:tcW w:w="1134" w:type="dxa"/>
            <w:tcBorders>
              <w:top w:val="single" w:sz="4" w:space="0" w:color="auto"/>
              <w:bottom w:val="single" w:sz="4" w:space="0" w:color="A6A6A6"/>
            </w:tcBorders>
            <w:noWrap/>
            <w:hideMark/>
          </w:tcPr>
          <w:p w14:paraId="1D2AB51A" w14:textId="77777777" w:rsidR="005F4A7E" w:rsidRPr="002029AF" w:rsidRDefault="005F4A7E" w:rsidP="00130D1C">
            <w:pPr>
              <w:pStyle w:val="ARfintablebodyrightbold"/>
            </w:pPr>
            <w:r w:rsidRPr="00FA6B3F">
              <w:t>4.5</w:t>
            </w:r>
          </w:p>
        </w:tc>
        <w:tc>
          <w:tcPr>
            <w:tcW w:w="1134" w:type="dxa"/>
            <w:tcBorders>
              <w:top w:val="single" w:sz="4" w:space="0" w:color="auto"/>
              <w:bottom w:val="single" w:sz="4" w:space="0" w:color="A6A6A6"/>
            </w:tcBorders>
            <w:noWrap/>
            <w:hideMark/>
          </w:tcPr>
          <w:p w14:paraId="0A726550" w14:textId="77777777" w:rsidR="005F4A7E" w:rsidRPr="002029AF" w:rsidRDefault="005F4A7E" w:rsidP="00130D1C">
            <w:pPr>
              <w:pStyle w:val="ARfintablebodyrightbold"/>
            </w:pPr>
            <w:r w:rsidRPr="00FA6B3F">
              <w:t>120.4</w:t>
            </w:r>
          </w:p>
        </w:tc>
        <w:tc>
          <w:tcPr>
            <w:tcW w:w="1134" w:type="dxa"/>
            <w:tcBorders>
              <w:top w:val="single" w:sz="4" w:space="0" w:color="auto"/>
              <w:bottom w:val="single" w:sz="4" w:space="0" w:color="A6A6A6"/>
            </w:tcBorders>
          </w:tcPr>
          <w:p w14:paraId="61A570BF" w14:textId="77777777" w:rsidR="005F4A7E" w:rsidRPr="002029AF" w:rsidRDefault="005F4A7E" w:rsidP="00130D1C">
            <w:pPr>
              <w:pStyle w:val="ARfintablebodyrightbold"/>
            </w:pPr>
            <w:r w:rsidRPr="00FA6B3F">
              <w:t>–</w:t>
            </w:r>
          </w:p>
        </w:tc>
        <w:tc>
          <w:tcPr>
            <w:tcW w:w="1134" w:type="dxa"/>
            <w:tcBorders>
              <w:top w:val="single" w:sz="4" w:space="0" w:color="auto"/>
              <w:bottom w:val="single" w:sz="4" w:space="0" w:color="A6A6A6"/>
            </w:tcBorders>
            <w:noWrap/>
            <w:hideMark/>
          </w:tcPr>
          <w:p w14:paraId="22E3428E" w14:textId="77777777" w:rsidR="005F4A7E" w:rsidRPr="002029AF" w:rsidRDefault="005F4A7E" w:rsidP="00130D1C">
            <w:pPr>
              <w:pStyle w:val="ARfintablebodyrightbold"/>
            </w:pPr>
            <w:r w:rsidRPr="00FA6B3F">
              <w:t>124.9</w:t>
            </w:r>
          </w:p>
        </w:tc>
      </w:tr>
      <w:tr w:rsidR="005F4A7E" w:rsidRPr="002029AF" w14:paraId="589C2551" w14:textId="77777777" w:rsidTr="00130D1C">
        <w:trPr>
          <w:cantSplit w:val="0"/>
          <w:trHeight w:val="255"/>
        </w:trPr>
        <w:tc>
          <w:tcPr>
            <w:tcW w:w="5103" w:type="dxa"/>
            <w:tcBorders>
              <w:top w:val="single" w:sz="4" w:space="0" w:color="A6A6A6"/>
              <w:bottom w:val="single" w:sz="4" w:space="0" w:color="A6A6A6"/>
            </w:tcBorders>
            <w:hideMark/>
          </w:tcPr>
          <w:p w14:paraId="6CDD8C74" w14:textId="77777777" w:rsidR="005F4A7E" w:rsidRPr="002029AF" w:rsidRDefault="005F4A7E" w:rsidP="00130D1C">
            <w:pPr>
              <w:pStyle w:val="ARfintablebody"/>
            </w:pPr>
            <w:r w:rsidRPr="00FA6B3F">
              <w:t>Additional provisions recognised</w:t>
            </w:r>
          </w:p>
        </w:tc>
        <w:tc>
          <w:tcPr>
            <w:tcW w:w="1134" w:type="dxa"/>
            <w:tcBorders>
              <w:top w:val="single" w:sz="4" w:space="0" w:color="A6A6A6"/>
              <w:bottom w:val="single" w:sz="4" w:space="0" w:color="A6A6A6"/>
            </w:tcBorders>
            <w:noWrap/>
            <w:hideMark/>
          </w:tcPr>
          <w:p w14:paraId="0A623E46" w14:textId="77777777" w:rsidR="005F4A7E" w:rsidRPr="002029AF" w:rsidRDefault="005F4A7E" w:rsidP="00130D1C">
            <w:pPr>
              <w:pStyle w:val="ARfintablebodyright"/>
            </w:pPr>
            <w:r w:rsidRPr="00FA6B3F">
              <w:t>3.1</w:t>
            </w:r>
          </w:p>
        </w:tc>
        <w:tc>
          <w:tcPr>
            <w:tcW w:w="1134" w:type="dxa"/>
            <w:tcBorders>
              <w:top w:val="single" w:sz="4" w:space="0" w:color="A6A6A6"/>
              <w:bottom w:val="single" w:sz="4" w:space="0" w:color="A6A6A6"/>
            </w:tcBorders>
            <w:noWrap/>
            <w:hideMark/>
          </w:tcPr>
          <w:p w14:paraId="75FBA7EB" w14:textId="77777777" w:rsidR="005F4A7E" w:rsidRPr="002029AF" w:rsidRDefault="005F4A7E" w:rsidP="00130D1C">
            <w:pPr>
              <w:pStyle w:val="ARfintablebodyright"/>
            </w:pPr>
            <w:r w:rsidRPr="00FA6B3F">
              <w:t>–</w:t>
            </w:r>
          </w:p>
        </w:tc>
        <w:tc>
          <w:tcPr>
            <w:tcW w:w="1134" w:type="dxa"/>
            <w:tcBorders>
              <w:top w:val="single" w:sz="4" w:space="0" w:color="A6A6A6"/>
              <w:bottom w:val="single" w:sz="4" w:space="0" w:color="A6A6A6"/>
            </w:tcBorders>
          </w:tcPr>
          <w:p w14:paraId="5265CDD1" w14:textId="77777777" w:rsidR="005F4A7E" w:rsidRPr="002029AF" w:rsidRDefault="005F4A7E" w:rsidP="00130D1C">
            <w:pPr>
              <w:pStyle w:val="ARfintablebodyright"/>
            </w:pPr>
            <w:r w:rsidRPr="00FA6B3F">
              <w:t>112.4</w:t>
            </w:r>
          </w:p>
        </w:tc>
        <w:tc>
          <w:tcPr>
            <w:tcW w:w="1134" w:type="dxa"/>
            <w:tcBorders>
              <w:top w:val="single" w:sz="4" w:space="0" w:color="A6A6A6"/>
              <w:bottom w:val="single" w:sz="4" w:space="0" w:color="A6A6A6"/>
            </w:tcBorders>
            <w:noWrap/>
            <w:hideMark/>
          </w:tcPr>
          <w:p w14:paraId="2695B70D" w14:textId="77777777" w:rsidR="005F4A7E" w:rsidRPr="002029AF" w:rsidRDefault="005F4A7E" w:rsidP="00130D1C">
            <w:pPr>
              <w:pStyle w:val="ARfintablebodyright"/>
            </w:pPr>
            <w:r w:rsidRPr="00FA6B3F">
              <w:t>115.5</w:t>
            </w:r>
          </w:p>
        </w:tc>
      </w:tr>
      <w:tr w:rsidR="005F4A7E" w:rsidRPr="002029AF" w14:paraId="03000A30" w14:textId="77777777" w:rsidTr="00130D1C">
        <w:trPr>
          <w:cantSplit w:val="0"/>
          <w:trHeight w:val="255"/>
        </w:trPr>
        <w:tc>
          <w:tcPr>
            <w:tcW w:w="5103" w:type="dxa"/>
            <w:tcBorders>
              <w:top w:val="single" w:sz="4" w:space="0" w:color="A6A6A6"/>
              <w:bottom w:val="single" w:sz="4" w:space="0" w:color="A6A6A6"/>
            </w:tcBorders>
            <w:hideMark/>
          </w:tcPr>
          <w:p w14:paraId="79508C15" w14:textId="77777777" w:rsidR="005F4A7E" w:rsidRPr="002029AF" w:rsidRDefault="005F4A7E" w:rsidP="00130D1C">
            <w:pPr>
              <w:pStyle w:val="ARfintablebody"/>
            </w:pPr>
            <w:r w:rsidRPr="00FA6B3F">
              <w:t>Reductions arising from payments/claims handling expenses/other sacrifices of future economic benefits</w:t>
            </w:r>
          </w:p>
        </w:tc>
        <w:tc>
          <w:tcPr>
            <w:tcW w:w="1134" w:type="dxa"/>
            <w:tcBorders>
              <w:top w:val="single" w:sz="4" w:space="0" w:color="A6A6A6"/>
              <w:bottom w:val="single" w:sz="4" w:space="0" w:color="A6A6A6"/>
            </w:tcBorders>
            <w:noWrap/>
            <w:hideMark/>
          </w:tcPr>
          <w:p w14:paraId="221B04E8" w14:textId="77777777" w:rsidR="005F4A7E" w:rsidRPr="002029AF" w:rsidRDefault="005F4A7E" w:rsidP="00130D1C">
            <w:pPr>
              <w:pStyle w:val="ARfintablebodyright"/>
            </w:pPr>
            <w:r w:rsidRPr="00FA6B3F">
              <w:t>–</w:t>
            </w:r>
          </w:p>
        </w:tc>
        <w:tc>
          <w:tcPr>
            <w:tcW w:w="1134" w:type="dxa"/>
            <w:tcBorders>
              <w:top w:val="single" w:sz="4" w:space="0" w:color="A6A6A6"/>
              <w:bottom w:val="single" w:sz="4" w:space="0" w:color="A6A6A6"/>
            </w:tcBorders>
            <w:noWrap/>
            <w:hideMark/>
          </w:tcPr>
          <w:p w14:paraId="0197F4C1" w14:textId="77777777" w:rsidR="005F4A7E" w:rsidRPr="002029AF" w:rsidRDefault="005F4A7E" w:rsidP="00130D1C">
            <w:pPr>
              <w:pStyle w:val="ARfintablebodyright"/>
            </w:pPr>
            <w:r w:rsidRPr="00FA6B3F">
              <w:t>(46.0)</w:t>
            </w:r>
          </w:p>
        </w:tc>
        <w:tc>
          <w:tcPr>
            <w:tcW w:w="1134" w:type="dxa"/>
            <w:tcBorders>
              <w:top w:val="single" w:sz="4" w:space="0" w:color="A6A6A6"/>
              <w:bottom w:val="single" w:sz="4" w:space="0" w:color="A6A6A6"/>
            </w:tcBorders>
          </w:tcPr>
          <w:p w14:paraId="3D9533A1" w14:textId="77777777" w:rsidR="005F4A7E" w:rsidRPr="002029AF" w:rsidRDefault="005F4A7E" w:rsidP="00130D1C">
            <w:pPr>
              <w:pStyle w:val="ARfintablebodyright"/>
            </w:pPr>
            <w:r w:rsidRPr="00FA6B3F">
              <w:t>–</w:t>
            </w:r>
          </w:p>
        </w:tc>
        <w:tc>
          <w:tcPr>
            <w:tcW w:w="1134" w:type="dxa"/>
            <w:tcBorders>
              <w:top w:val="single" w:sz="4" w:space="0" w:color="A6A6A6"/>
              <w:bottom w:val="single" w:sz="4" w:space="0" w:color="A6A6A6"/>
            </w:tcBorders>
            <w:noWrap/>
            <w:hideMark/>
          </w:tcPr>
          <w:p w14:paraId="1FEA8514" w14:textId="77777777" w:rsidR="005F4A7E" w:rsidRPr="002029AF" w:rsidRDefault="005F4A7E" w:rsidP="00130D1C">
            <w:pPr>
              <w:pStyle w:val="ARfintablebodyright"/>
            </w:pPr>
            <w:r w:rsidRPr="00FA6B3F">
              <w:t>(46.0)</w:t>
            </w:r>
          </w:p>
        </w:tc>
      </w:tr>
      <w:tr w:rsidR="005F4A7E" w:rsidRPr="002029AF" w14:paraId="21108CF3" w14:textId="77777777" w:rsidTr="00130D1C">
        <w:trPr>
          <w:cantSplit w:val="0"/>
          <w:trHeight w:val="255"/>
        </w:trPr>
        <w:tc>
          <w:tcPr>
            <w:tcW w:w="5103" w:type="dxa"/>
            <w:tcBorders>
              <w:top w:val="single" w:sz="4" w:space="0" w:color="A6A6A6"/>
              <w:bottom w:val="single" w:sz="4" w:space="0" w:color="A6A6A6"/>
            </w:tcBorders>
            <w:hideMark/>
          </w:tcPr>
          <w:p w14:paraId="33939693" w14:textId="77777777" w:rsidR="005F4A7E" w:rsidRPr="002029AF" w:rsidRDefault="005F4A7E" w:rsidP="00130D1C">
            <w:pPr>
              <w:pStyle w:val="ARfintablebody"/>
            </w:pPr>
            <w:r w:rsidRPr="00FA6B3F">
              <w:t>Actuarial revaluations of insurance claims liability inclusive of risk margin</w:t>
            </w:r>
          </w:p>
        </w:tc>
        <w:tc>
          <w:tcPr>
            <w:tcW w:w="1134" w:type="dxa"/>
            <w:tcBorders>
              <w:top w:val="single" w:sz="4" w:space="0" w:color="A6A6A6"/>
              <w:bottom w:val="single" w:sz="4" w:space="0" w:color="A6A6A6"/>
            </w:tcBorders>
            <w:noWrap/>
            <w:hideMark/>
          </w:tcPr>
          <w:p w14:paraId="400455A7" w14:textId="77777777" w:rsidR="005F4A7E" w:rsidRPr="002029AF" w:rsidRDefault="005F4A7E" w:rsidP="00130D1C">
            <w:pPr>
              <w:pStyle w:val="ARfintablebodyright"/>
            </w:pPr>
            <w:r w:rsidRPr="00FA6B3F">
              <w:t>–</w:t>
            </w:r>
          </w:p>
        </w:tc>
        <w:tc>
          <w:tcPr>
            <w:tcW w:w="1134" w:type="dxa"/>
            <w:tcBorders>
              <w:top w:val="single" w:sz="4" w:space="0" w:color="A6A6A6"/>
              <w:bottom w:val="single" w:sz="4" w:space="0" w:color="A6A6A6"/>
            </w:tcBorders>
            <w:noWrap/>
            <w:hideMark/>
          </w:tcPr>
          <w:p w14:paraId="0156C6C2" w14:textId="77777777" w:rsidR="005F4A7E" w:rsidRPr="002029AF" w:rsidRDefault="005F4A7E" w:rsidP="00130D1C">
            <w:pPr>
              <w:pStyle w:val="ARfintablebodyright"/>
            </w:pPr>
            <w:r w:rsidRPr="00FA6B3F">
              <w:t>46.6</w:t>
            </w:r>
          </w:p>
        </w:tc>
        <w:tc>
          <w:tcPr>
            <w:tcW w:w="1134" w:type="dxa"/>
            <w:tcBorders>
              <w:top w:val="single" w:sz="4" w:space="0" w:color="A6A6A6"/>
              <w:bottom w:val="single" w:sz="4" w:space="0" w:color="A6A6A6"/>
            </w:tcBorders>
          </w:tcPr>
          <w:p w14:paraId="7913A0D8" w14:textId="77777777" w:rsidR="005F4A7E" w:rsidRPr="002029AF" w:rsidRDefault="005F4A7E" w:rsidP="00130D1C">
            <w:pPr>
              <w:pStyle w:val="ARfintablebodyright"/>
            </w:pPr>
            <w:r w:rsidRPr="00FA6B3F">
              <w:t>–</w:t>
            </w:r>
          </w:p>
        </w:tc>
        <w:tc>
          <w:tcPr>
            <w:tcW w:w="1134" w:type="dxa"/>
            <w:tcBorders>
              <w:top w:val="single" w:sz="4" w:space="0" w:color="A6A6A6"/>
              <w:bottom w:val="single" w:sz="4" w:space="0" w:color="A6A6A6"/>
            </w:tcBorders>
            <w:noWrap/>
            <w:hideMark/>
          </w:tcPr>
          <w:p w14:paraId="010E6A4C" w14:textId="77777777" w:rsidR="005F4A7E" w:rsidRPr="002029AF" w:rsidRDefault="005F4A7E" w:rsidP="00130D1C">
            <w:pPr>
              <w:pStyle w:val="ARfintablebodyright"/>
            </w:pPr>
            <w:r w:rsidRPr="00FA6B3F">
              <w:t>46.6</w:t>
            </w:r>
          </w:p>
        </w:tc>
      </w:tr>
      <w:tr w:rsidR="005F4A7E" w:rsidRPr="002029AF" w14:paraId="526E30A4" w14:textId="77777777" w:rsidTr="00130D1C">
        <w:trPr>
          <w:cantSplit w:val="0"/>
          <w:trHeight w:val="255"/>
        </w:trPr>
        <w:tc>
          <w:tcPr>
            <w:tcW w:w="5103" w:type="dxa"/>
            <w:tcBorders>
              <w:top w:val="single" w:sz="4" w:space="0" w:color="A6A6A6"/>
            </w:tcBorders>
            <w:hideMark/>
          </w:tcPr>
          <w:p w14:paraId="12FC079E" w14:textId="77777777" w:rsidR="005F4A7E" w:rsidRPr="002029AF" w:rsidRDefault="005F4A7E" w:rsidP="00130D1C">
            <w:pPr>
              <w:pStyle w:val="ARfintablebody"/>
            </w:pPr>
            <w:r w:rsidRPr="00FA6B3F">
              <w:t>Unwind of discount and effect of changes in the discount rate</w:t>
            </w:r>
          </w:p>
        </w:tc>
        <w:tc>
          <w:tcPr>
            <w:tcW w:w="1134" w:type="dxa"/>
            <w:tcBorders>
              <w:top w:val="single" w:sz="4" w:space="0" w:color="A6A6A6"/>
            </w:tcBorders>
            <w:noWrap/>
            <w:hideMark/>
          </w:tcPr>
          <w:p w14:paraId="69BD065C" w14:textId="77777777" w:rsidR="005F4A7E" w:rsidRPr="002029AF" w:rsidRDefault="005F4A7E" w:rsidP="00130D1C">
            <w:pPr>
              <w:pStyle w:val="ARfintablebodyright"/>
            </w:pPr>
            <w:r w:rsidRPr="00FA6B3F">
              <w:t>–</w:t>
            </w:r>
          </w:p>
        </w:tc>
        <w:tc>
          <w:tcPr>
            <w:tcW w:w="1134" w:type="dxa"/>
            <w:tcBorders>
              <w:top w:val="single" w:sz="4" w:space="0" w:color="A6A6A6"/>
            </w:tcBorders>
            <w:noWrap/>
            <w:hideMark/>
          </w:tcPr>
          <w:p w14:paraId="13A9E455" w14:textId="77777777" w:rsidR="005F4A7E" w:rsidRPr="002029AF" w:rsidRDefault="005F4A7E" w:rsidP="00130D1C">
            <w:pPr>
              <w:pStyle w:val="ARfintablebodyright"/>
            </w:pPr>
            <w:r w:rsidRPr="00FA6B3F">
              <w:t>0.8</w:t>
            </w:r>
          </w:p>
        </w:tc>
        <w:tc>
          <w:tcPr>
            <w:tcW w:w="1134" w:type="dxa"/>
            <w:tcBorders>
              <w:top w:val="single" w:sz="4" w:space="0" w:color="A6A6A6"/>
            </w:tcBorders>
          </w:tcPr>
          <w:p w14:paraId="77A9580F" w14:textId="77777777" w:rsidR="005F4A7E" w:rsidRPr="002029AF" w:rsidRDefault="005F4A7E" w:rsidP="00130D1C">
            <w:pPr>
              <w:pStyle w:val="ARfintablebodyright"/>
            </w:pPr>
            <w:r w:rsidRPr="00FA6B3F">
              <w:t>–</w:t>
            </w:r>
          </w:p>
        </w:tc>
        <w:tc>
          <w:tcPr>
            <w:tcW w:w="1134" w:type="dxa"/>
            <w:tcBorders>
              <w:top w:val="single" w:sz="4" w:space="0" w:color="A6A6A6"/>
            </w:tcBorders>
            <w:noWrap/>
            <w:hideMark/>
          </w:tcPr>
          <w:p w14:paraId="36A426B8" w14:textId="77777777" w:rsidR="005F4A7E" w:rsidRPr="002029AF" w:rsidRDefault="005F4A7E" w:rsidP="00130D1C">
            <w:pPr>
              <w:pStyle w:val="ARfintablebodyright"/>
            </w:pPr>
            <w:r w:rsidRPr="00FA6B3F">
              <w:t>0.8</w:t>
            </w:r>
          </w:p>
        </w:tc>
      </w:tr>
      <w:tr w:rsidR="005F4A7E" w:rsidRPr="002029AF" w14:paraId="4C535EA3" w14:textId="77777777" w:rsidTr="00130D1C">
        <w:trPr>
          <w:cantSplit w:val="0"/>
          <w:trHeight w:val="255"/>
        </w:trPr>
        <w:tc>
          <w:tcPr>
            <w:tcW w:w="5103" w:type="dxa"/>
            <w:hideMark/>
          </w:tcPr>
          <w:p w14:paraId="684CEE93" w14:textId="77777777" w:rsidR="005F4A7E" w:rsidRPr="002029AF" w:rsidRDefault="005F4A7E" w:rsidP="00130D1C">
            <w:pPr>
              <w:pStyle w:val="ARfintablebodybold"/>
            </w:pPr>
            <w:r w:rsidRPr="00FA6B3F">
              <w:t>Closing balance</w:t>
            </w:r>
          </w:p>
        </w:tc>
        <w:tc>
          <w:tcPr>
            <w:tcW w:w="1134" w:type="dxa"/>
            <w:noWrap/>
            <w:hideMark/>
          </w:tcPr>
          <w:p w14:paraId="6A6965ED" w14:textId="77777777" w:rsidR="005F4A7E" w:rsidRPr="002029AF" w:rsidRDefault="005F4A7E" w:rsidP="00130D1C">
            <w:pPr>
              <w:pStyle w:val="ARfintablebodyrightbold"/>
            </w:pPr>
            <w:r w:rsidRPr="00FA6B3F">
              <w:t>7.6</w:t>
            </w:r>
          </w:p>
        </w:tc>
        <w:tc>
          <w:tcPr>
            <w:tcW w:w="1134" w:type="dxa"/>
            <w:noWrap/>
            <w:hideMark/>
          </w:tcPr>
          <w:p w14:paraId="68781DD8" w14:textId="77777777" w:rsidR="005F4A7E" w:rsidRPr="002029AF" w:rsidRDefault="005F4A7E" w:rsidP="00130D1C">
            <w:pPr>
              <w:pStyle w:val="ARfintablebodyrightbold"/>
            </w:pPr>
            <w:r w:rsidRPr="00FA6B3F">
              <w:t>121.</w:t>
            </w:r>
            <w:r>
              <w:t>8</w:t>
            </w:r>
          </w:p>
        </w:tc>
        <w:tc>
          <w:tcPr>
            <w:tcW w:w="1134" w:type="dxa"/>
          </w:tcPr>
          <w:p w14:paraId="631DE51F" w14:textId="77777777" w:rsidR="005F4A7E" w:rsidRPr="002029AF" w:rsidRDefault="005F4A7E" w:rsidP="00130D1C">
            <w:pPr>
              <w:pStyle w:val="ARfintablebodyrightbold"/>
            </w:pPr>
            <w:r w:rsidRPr="00FA6B3F">
              <w:t>112.4</w:t>
            </w:r>
          </w:p>
        </w:tc>
        <w:tc>
          <w:tcPr>
            <w:tcW w:w="1134" w:type="dxa"/>
            <w:noWrap/>
            <w:hideMark/>
          </w:tcPr>
          <w:p w14:paraId="0CEBC78F" w14:textId="77777777" w:rsidR="005F4A7E" w:rsidRPr="002029AF" w:rsidRDefault="005F4A7E" w:rsidP="00130D1C">
            <w:pPr>
              <w:pStyle w:val="ARfintablebodyrightbold"/>
            </w:pPr>
            <w:r w:rsidRPr="00FA6B3F">
              <w:t>241.8</w:t>
            </w:r>
          </w:p>
        </w:tc>
      </w:tr>
    </w:tbl>
    <w:p w14:paraId="35627B11" w14:textId="77777777" w:rsidR="005F4A7E" w:rsidRDefault="005F4A7E" w:rsidP="00130D1C">
      <w:pPr>
        <w:pStyle w:val="ARfinbodyaftertable"/>
      </w:pPr>
      <w:r>
        <w:lastRenderedPageBreak/>
        <w:t>When some or all of the economic benefits required to settle a provision are expected to be received from a third party, the receivable is recognised as an asset if it is virtually certain that recovery will be received and the amount of the receivable can be measured reliably.</w:t>
      </w:r>
    </w:p>
    <w:p w14:paraId="1E180B94" w14:textId="77777777" w:rsidR="005F4A7E" w:rsidRDefault="005F4A7E" w:rsidP="00130D1C">
      <w:pPr>
        <w:pStyle w:val="ARfinbody"/>
      </w:pPr>
      <w:r>
        <w:t xml:space="preserve">The </w:t>
      </w:r>
      <w:r>
        <w:rPr>
          <w:rStyle w:val="Strong"/>
        </w:rPr>
        <w:t>make-good</w:t>
      </w:r>
      <w:r>
        <w:rPr>
          <w:b/>
          <w:bCs/>
        </w:rPr>
        <w:t xml:space="preserve"> </w:t>
      </w:r>
      <w:r>
        <w:t>provision is recognised in accordance with the lease agreement over the building facilities. The department must remove any leasehold improvements from the leased building and restore the premises to its original condition at the end of the lease term.</w:t>
      </w:r>
    </w:p>
    <w:p w14:paraId="1B80DC6C" w14:textId="29993A08" w:rsidR="005F4A7E" w:rsidRDefault="005F4A7E" w:rsidP="00130D1C">
      <w:pPr>
        <w:pStyle w:val="ARfinbody"/>
      </w:pPr>
      <w:r>
        <w:rPr>
          <w:rStyle w:val="Strong"/>
        </w:rPr>
        <w:t>Insurance claims:</w:t>
      </w:r>
      <w:r>
        <w:t xml:space="preserve"> The department engaged the Victorian Managed Insurance Authority (VMIA) under a claims administration agreement to manage non-medical indemnity claims resulting from public healthcare incidents occurring on or after 1 July 2005. These claims are managed by VMIA on behalf of the department under a service level agreement. VMIA has engaged an independent actuary to determine these liability provisions in accordance with the Institute of Actuaries of Australia</w:t>
      </w:r>
      <w:r w:rsidR="007D145B">
        <w:t>’</w:t>
      </w:r>
      <w:r>
        <w:t>s professional standard PS300. The estimation of outstanding claims liabilities is based on actuarial modelling including analysis of claims experience, loss trends, risk exposure data and industry data.</w:t>
      </w:r>
    </w:p>
    <w:p w14:paraId="3994E2CB" w14:textId="03472C0B" w:rsidR="005F4A7E" w:rsidRDefault="005F4A7E" w:rsidP="00130D1C">
      <w:pPr>
        <w:pStyle w:val="ARfinbody"/>
      </w:pPr>
      <w:r>
        <w:t xml:space="preserve">The </w:t>
      </w:r>
      <w:r>
        <w:rPr>
          <w:rStyle w:val="Strong"/>
        </w:rPr>
        <w:t>NDIS service providers</w:t>
      </w:r>
      <w:r w:rsidR="007D145B">
        <w:rPr>
          <w:rStyle w:val="Strong"/>
        </w:rPr>
        <w:t>’</w:t>
      </w:r>
      <w:r>
        <w:rPr>
          <w:rStyle w:val="Strong"/>
        </w:rPr>
        <w:t xml:space="preserve"> leave</w:t>
      </w:r>
      <w:r>
        <w:t xml:space="preserve"> provision is recognition of the outstanding amount of employee leave benefits owed to the five non-government NDIS service providers from the direct employment transfer of former departmental staff to these providers as part of the transfer of government disability services. The department</w:t>
      </w:r>
      <w:r w:rsidR="007D145B">
        <w:t>’</w:t>
      </w:r>
      <w:r>
        <w:t>s obligation and schedule to pay the new non-government NDIS service providers for transferred employee leave benefit balances was agreed in the transfer commercial contracts signed with these providers. The direct employment transfer of the former departmental disability staff occurred on 31 December 2020.</w:t>
      </w:r>
    </w:p>
    <w:p w14:paraId="1FCD4B22" w14:textId="77777777" w:rsidR="005F4A7E" w:rsidRPr="002029AF" w:rsidRDefault="005F4A7E" w:rsidP="00087B91">
      <w:pPr>
        <w:pStyle w:val="Heading4"/>
      </w:pPr>
      <w:bookmarkStart w:id="927" w:name="_Toc85121457"/>
      <w:r w:rsidRPr="002029AF">
        <w:t>6.6 Inventories</w:t>
      </w:r>
      <w:bookmarkEnd w:id="927"/>
    </w:p>
    <w:tbl>
      <w:tblPr>
        <w:tblStyle w:val="TableGrid"/>
        <w:tblW w:w="9637" w:type="dxa"/>
        <w:tblLayout w:type="fixed"/>
        <w:tblLook w:val="06A0" w:firstRow="1" w:lastRow="0" w:firstColumn="1" w:lastColumn="0" w:noHBand="1" w:noVBand="1"/>
      </w:tblPr>
      <w:tblGrid>
        <w:gridCol w:w="7369"/>
        <w:gridCol w:w="1134"/>
        <w:gridCol w:w="1134"/>
      </w:tblGrid>
      <w:tr w:rsidR="005F4A7E" w:rsidRPr="002029AF" w14:paraId="145853CE"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21C81279" w14:textId="77777777" w:rsidR="005F4A7E" w:rsidRPr="002029AF" w:rsidRDefault="005F4A7E" w:rsidP="00860E95">
            <w:pPr>
              <w:pStyle w:val="ARfintablecolhead"/>
            </w:pPr>
          </w:p>
        </w:tc>
        <w:tc>
          <w:tcPr>
            <w:tcW w:w="1134" w:type="dxa"/>
            <w:tcBorders>
              <w:bottom w:val="single" w:sz="4" w:space="0" w:color="auto"/>
            </w:tcBorders>
            <w:shd w:val="clear" w:color="auto" w:fill="E7E6E6"/>
            <w:hideMark/>
          </w:tcPr>
          <w:p w14:paraId="13796B80" w14:textId="77777777" w:rsidR="005F4A7E" w:rsidRPr="002029AF" w:rsidRDefault="005F4A7E" w:rsidP="00860E95">
            <w:pPr>
              <w:pStyle w:val="ARfintablecolheadright"/>
            </w:pPr>
            <w:r>
              <w:t>2021</w:t>
            </w:r>
          </w:p>
          <w:p w14:paraId="341DC22D" w14:textId="77777777" w:rsidR="005F4A7E" w:rsidRPr="002029AF" w:rsidRDefault="005F4A7E" w:rsidP="00860E95">
            <w:pPr>
              <w:pStyle w:val="ARfintablecolheadright"/>
            </w:pPr>
            <w:r w:rsidRPr="002029AF">
              <w:t>$M</w:t>
            </w:r>
          </w:p>
        </w:tc>
        <w:tc>
          <w:tcPr>
            <w:tcW w:w="1134" w:type="dxa"/>
            <w:tcBorders>
              <w:bottom w:val="single" w:sz="4" w:space="0" w:color="auto"/>
            </w:tcBorders>
            <w:hideMark/>
          </w:tcPr>
          <w:p w14:paraId="74AF066C" w14:textId="77777777" w:rsidR="005F4A7E" w:rsidRPr="002029AF" w:rsidRDefault="005F4A7E" w:rsidP="00860E95">
            <w:pPr>
              <w:pStyle w:val="ARfintablecolheadright"/>
            </w:pPr>
            <w:r>
              <w:t>2020</w:t>
            </w:r>
          </w:p>
          <w:p w14:paraId="79964169" w14:textId="77777777" w:rsidR="005F4A7E" w:rsidRPr="002029AF" w:rsidRDefault="005F4A7E" w:rsidP="00860E95">
            <w:pPr>
              <w:pStyle w:val="ARfintablecolheadright"/>
            </w:pPr>
            <w:r w:rsidRPr="002029AF">
              <w:t>$M</w:t>
            </w:r>
          </w:p>
        </w:tc>
      </w:tr>
      <w:tr w:rsidR="005F4A7E" w:rsidRPr="002029AF" w14:paraId="0F38ACB8" w14:textId="77777777" w:rsidTr="00860E95">
        <w:tc>
          <w:tcPr>
            <w:tcW w:w="9637" w:type="dxa"/>
            <w:gridSpan w:val="3"/>
            <w:tcBorders>
              <w:top w:val="single" w:sz="4" w:space="0" w:color="auto"/>
              <w:bottom w:val="single" w:sz="4" w:space="0" w:color="A6A6A6"/>
            </w:tcBorders>
            <w:hideMark/>
          </w:tcPr>
          <w:p w14:paraId="1B93C6A7" w14:textId="77777777" w:rsidR="005F4A7E" w:rsidRPr="002029AF" w:rsidRDefault="005F4A7E" w:rsidP="00130D1C">
            <w:pPr>
              <w:pStyle w:val="ARfintablebodybold"/>
            </w:pPr>
            <w:r w:rsidRPr="00FB0685">
              <w:t>Current inventories</w:t>
            </w:r>
          </w:p>
        </w:tc>
      </w:tr>
      <w:tr w:rsidR="005F4A7E" w:rsidRPr="002029AF" w14:paraId="10D61E42" w14:textId="77777777" w:rsidTr="00860E95">
        <w:tc>
          <w:tcPr>
            <w:tcW w:w="9637" w:type="dxa"/>
            <w:gridSpan w:val="3"/>
            <w:tcBorders>
              <w:top w:val="single" w:sz="4" w:space="0" w:color="A6A6A6"/>
              <w:bottom w:val="single" w:sz="4" w:space="0" w:color="A6A6A6"/>
            </w:tcBorders>
            <w:hideMark/>
          </w:tcPr>
          <w:p w14:paraId="0C46BD3A" w14:textId="77777777" w:rsidR="005F4A7E" w:rsidRPr="002029AF" w:rsidRDefault="005F4A7E" w:rsidP="00130D1C">
            <w:pPr>
              <w:pStyle w:val="ARfintablebodybold"/>
            </w:pPr>
            <w:r w:rsidRPr="00FB0685">
              <w:t>Supplies and consumables:</w:t>
            </w:r>
          </w:p>
        </w:tc>
      </w:tr>
      <w:tr w:rsidR="005F4A7E" w:rsidRPr="002029AF" w14:paraId="5C2458E5" w14:textId="77777777" w:rsidTr="00860E95">
        <w:tc>
          <w:tcPr>
            <w:tcW w:w="7369" w:type="dxa"/>
            <w:tcBorders>
              <w:top w:val="single" w:sz="4" w:space="0" w:color="A6A6A6"/>
            </w:tcBorders>
            <w:hideMark/>
          </w:tcPr>
          <w:p w14:paraId="015388B2" w14:textId="77777777" w:rsidR="005F4A7E" w:rsidRPr="002029AF" w:rsidRDefault="005F4A7E" w:rsidP="00130D1C">
            <w:pPr>
              <w:pStyle w:val="ARfintablebody"/>
            </w:pPr>
            <w:r w:rsidRPr="00FB0685">
              <w:t>At cost</w:t>
            </w:r>
          </w:p>
        </w:tc>
        <w:tc>
          <w:tcPr>
            <w:tcW w:w="1134" w:type="dxa"/>
            <w:tcBorders>
              <w:top w:val="single" w:sz="4" w:space="0" w:color="A6A6A6"/>
            </w:tcBorders>
            <w:shd w:val="clear" w:color="auto" w:fill="E7E6E6"/>
            <w:noWrap/>
            <w:hideMark/>
          </w:tcPr>
          <w:p w14:paraId="7CAFC969" w14:textId="77777777" w:rsidR="005F4A7E" w:rsidRPr="002029AF" w:rsidRDefault="005F4A7E" w:rsidP="00130D1C">
            <w:pPr>
              <w:pStyle w:val="ARfintablebodyright"/>
            </w:pPr>
            <w:r w:rsidRPr="00FB0685">
              <w:t>638.4</w:t>
            </w:r>
          </w:p>
        </w:tc>
        <w:tc>
          <w:tcPr>
            <w:tcW w:w="1134" w:type="dxa"/>
            <w:tcBorders>
              <w:top w:val="single" w:sz="4" w:space="0" w:color="A6A6A6"/>
            </w:tcBorders>
            <w:noWrap/>
            <w:hideMark/>
          </w:tcPr>
          <w:p w14:paraId="7ECEBC8D" w14:textId="77777777" w:rsidR="005F4A7E" w:rsidRPr="002029AF" w:rsidRDefault="005F4A7E" w:rsidP="00130D1C">
            <w:pPr>
              <w:pStyle w:val="ARfintablebodyright"/>
            </w:pPr>
            <w:r w:rsidRPr="00FB0685">
              <w:t>411.8</w:t>
            </w:r>
          </w:p>
        </w:tc>
      </w:tr>
      <w:tr w:rsidR="005F4A7E" w:rsidRPr="002029AF" w14:paraId="095E4CCA" w14:textId="77777777" w:rsidTr="00860E95">
        <w:tc>
          <w:tcPr>
            <w:tcW w:w="7369" w:type="dxa"/>
            <w:hideMark/>
          </w:tcPr>
          <w:p w14:paraId="797323C7" w14:textId="77777777" w:rsidR="005F4A7E" w:rsidRPr="002029AF" w:rsidRDefault="005F4A7E" w:rsidP="00130D1C">
            <w:pPr>
              <w:pStyle w:val="ARfintablebodybold"/>
            </w:pPr>
            <w:r w:rsidRPr="00FB0685">
              <w:t>Total current inventories</w:t>
            </w:r>
          </w:p>
        </w:tc>
        <w:tc>
          <w:tcPr>
            <w:tcW w:w="1134" w:type="dxa"/>
            <w:shd w:val="clear" w:color="auto" w:fill="E7E6E6"/>
            <w:noWrap/>
            <w:hideMark/>
          </w:tcPr>
          <w:p w14:paraId="51307A49" w14:textId="77777777" w:rsidR="005F4A7E" w:rsidRPr="002029AF" w:rsidRDefault="005F4A7E" w:rsidP="00130D1C">
            <w:pPr>
              <w:pStyle w:val="ARfintablebodyrightbold"/>
            </w:pPr>
            <w:r w:rsidRPr="00FB0685">
              <w:t>638.4</w:t>
            </w:r>
          </w:p>
        </w:tc>
        <w:tc>
          <w:tcPr>
            <w:tcW w:w="1134" w:type="dxa"/>
            <w:noWrap/>
            <w:hideMark/>
          </w:tcPr>
          <w:p w14:paraId="4BD01910" w14:textId="77777777" w:rsidR="005F4A7E" w:rsidRPr="002029AF" w:rsidRDefault="005F4A7E" w:rsidP="00130D1C">
            <w:pPr>
              <w:pStyle w:val="ARfintablebodyrightbold"/>
            </w:pPr>
            <w:r w:rsidRPr="00FB0685">
              <w:t>411.8</w:t>
            </w:r>
          </w:p>
        </w:tc>
      </w:tr>
      <w:tr w:rsidR="005F4A7E" w:rsidRPr="002029AF" w14:paraId="12CE5D4A" w14:textId="77777777" w:rsidTr="00860E95">
        <w:tc>
          <w:tcPr>
            <w:tcW w:w="7369" w:type="dxa"/>
            <w:hideMark/>
          </w:tcPr>
          <w:p w14:paraId="01B489EC" w14:textId="77777777" w:rsidR="005F4A7E" w:rsidRPr="002029AF" w:rsidRDefault="005F4A7E" w:rsidP="00130D1C">
            <w:pPr>
              <w:pStyle w:val="ARfintablebodybold"/>
            </w:pPr>
            <w:r w:rsidRPr="00FB0685">
              <w:t>Total inventories</w:t>
            </w:r>
          </w:p>
        </w:tc>
        <w:tc>
          <w:tcPr>
            <w:tcW w:w="1134" w:type="dxa"/>
            <w:shd w:val="clear" w:color="auto" w:fill="E7E6E6"/>
            <w:noWrap/>
            <w:hideMark/>
          </w:tcPr>
          <w:p w14:paraId="061BE07B" w14:textId="77777777" w:rsidR="005F4A7E" w:rsidRPr="002029AF" w:rsidRDefault="005F4A7E" w:rsidP="00130D1C">
            <w:pPr>
              <w:pStyle w:val="ARfintablebodyrightbold"/>
            </w:pPr>
            <w:r w:rsidRPr="00FB0685">
              <w:t>638.4</w:t>
            </w:r>
          </w:p>
        </w:tc>
        <w:tc>
          <w:tcPr>
            <w:tcW w:w="1134" w:type="dxa"/>
            <w:noWrap/>
            <w:hideMark/>
          </w:tcPr>
          <w:p w14:paraId="767F7592" w14:textId="77777777" w:rsidR="005F4A7E" w:rsidRPr="002029AF" w:rsidRDefault="005F4A7E" w:rsidP="00130D1C">
            <w:pPr>
              <w:pStyle w:val="ARfintablebodyrightbold"/>
            </w:pPr>
            <w:r w:rsidRPr="00FB0685">
              <w:t>411.8</w:t>
            </w:r>
          </w:p>
        </w:tc>
      </w:tr>
    </w:tbl>
    <w:p w14:paraId="11DDA2CC" w14:textId="77777777" w:rsidR="005F4A7E" w:rsidRDefault="005F4A7E" w:rsidP="00130D1C">
      <w:pPr>
        <w:pStyle w:val="ARfinbodyaftertable"/>
      </w:pPr>
      <w:r>
        <w:t>Inventories include goods, principally personal protective and other equipment, for distribution at zero or nominal cost to assist in the response to COVID-19.</w:t>
      </w:r>
    </w:p>
    <w:p w14:paraId="7EBB2773" w14:textId="77777777" w:rsidR="005F4A7E" w:rsidRDefault="005F4A7E" w:rsidP="00130D1C">
      <w:pPr>
        <w:pStyle w:val="ARfinbody"/>
      </w:pPr>
      <w:r>
        <w:t>Inventories held for distribution are measured at cost, adjusted for any loss of service potential.</w:t>
      </w:r>
    </w:p>
    <w:p w14:paraId="6CE56195" w14:textId="77777777" w:rsidR="005F4A7E" w:rsidRDefault="005F4A7E" w:rsidP="00130D1C">
      <w:pPr>
        <w:pStyle w:val="Heading4"/>
        <w:rPr>
          <w:lang w:eastAsia="en-AU"/>
        </w:rPr>
      </w:pPr>
      <w:bookmarkStart w:id="928" w:name="_Toc85121458"/>
      <w:r>
        <w:rPr>
          <w:lang w:eastAsia="en-AU"/>
        </w:rPr>
        <w:t>6.7 Other non-financial liabilities</w:t>
      </w:r>
      <w:bookmarkEnd w:id="928"/>
    </w:p>
    <w:tbl>
      <w:tblPr>
        <w:tblStyle w:val="TableGrid"/>
        <w:tblW w:w="9637" w:type="dxa"/>
        <w:tblLayout w:type="fixed"/>
        <w:tblLook w:val="06A0" w:firstRow="1" w:lastRow="0" w:firstColumn="1" w:lastColumn="0" w:noHBand="1" w:noVBand="1"/>
      </w:tblPr>
      <w:tblGrid>
        <w:gridCol w:w="7369"/>
        <w:gridCol w:w="1134"/>
        <w:gridCol w:w="1134"/>
      </w:tblGrid>
      <w:tr w:rsidR="005F4A7E" w:rsidRPr="002029AF" w14:paraId="440AE9B1"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36DD863E" w14:textId="77777777" w:rsidR="005F4A7E" w:rsidRPr="002029AF" w:rsidRDefault="005F4A7E" w:rsidP="00130D1C">
            <w:pPr>
              <w:pStyle w:val="ARfintablecolhead"/>
            </w:pPr>
          </w:p>
        </w:tc>
        <w:tc>
          <w:tcPr>
            <w:tcW w:w="1134" w:type="dxa"/>
            <w:tcBorders>
              <w:bottom w:val="single" w:sz="4" w:space="0" w:color="auto"/>
            </w:tcBorders>
            <w:shd w:val="clear" w:color="auto" w:fill="E7E6E6"/>
            <w:hideMark/>
          </w:tcPr>
          <w:p w14:paraId="6B73CEC3" w14:textId="77777777" w:rsidR="005F4A7E" w:rsidRPr="002029AF" w:rsidRDefault="005F4A7E" w:rsidP="00130D1C">
            <w:pPr>
              <w:pStyle w:val="ARfintablecolheadright"/>
            </w:pPr>
            <w:r>
              <w:t>2021</w:t>
            </w:r>
          </w:p>
          <w:p w14:paraId="54D011AA" w14:textId="77777777" w:rsidR="005F4A7E" w:rsidRPr="002029AF" w:rsidRDefault="005F4A7E" w:rsidP="00130D1C">
            <w:pPr>
              <w:pStyle w:val="ARfintablecolheadright"/>
            </w:pPr>
            <w:r w:rsidRPr="002029AF">
              <w:t>$M</w:t>
            </w:r>
          </w:p>
        </w:tc>
        <w:tc>
          <w:tcPr>
            <w:tcW w:w="1134" w:type="dxa"/>
            <w:tcBorders>
              <w:bottom w:val="single" w:sz="4" w:space="0" w:color="auto"/>
            </w:tcBorders>
            <w:hideMark/>
          </w:tcPr>
          <w:p w14:paraId="4D42864A" w14:textId="77777777" w:rsidR="005F4A7E" w:rsidRPr="002029AF" w:rsidRDefault="005F4A7E" w:rsidP="00130D1C">
            <w:pPr>
              <w:pStyle w:val="ARfintablecolheadright"/>
            </w:pPr>
            <w:r>
              <w:t>2020</w:t>
            </w:r>
          </w:p>
          <w:p w14:paraId="0C26B56E" w14:textId="77777777" w:rsidR="005F4A7E" w:rsidRPr="002029AF" w:rsidRDefault="005F4A7E" w:rsidP="00130D1C">
            <w:pPr>
              <w:pStyle w:val="ARfintablecolheadright"/>
            </w:pPr>
            <w:r w:rsidRPr="002029AF">
              <w:t>$M</w:t>
            </w:r>
          </w:p>
        </w:tc>
      </w:tr>
      <w:tr w:rsidR="005F4A7E" w:rsidRPr="002029AF" w14:paraId="0576D2CD" w14:textId="77777777" w:rsidTr="00130D1C">
        <w:tc>
          <w:tcPr>
            <w:tcW w:w="7369" w:type="dxa"/>
            <w:tcBorders>
              <w:top w:val="single" w:sz="4" w:space="0" w:color="A6A6A6"/>
            </w:tcBorders>
            <w:hideMark/>
          </w:tcPr>
          <w:p w14:paraId="71B415FF" w14:textId="77777777" w:rsidR="005F4A7E" w:rsidRPr="007E799B" w:rsidRDefault="005F4A7E" w:rsidP="00130D1C">
            <w:pPr>
              <w:pStyle w:val="ARfintablebody"/>
            </w:pPr>
            <w:r w:rsidRPr="00196A87">
              <w:t>PPP-related non-financial liabilities</w:t>
            </w:r>
          </w:p>
        </w:tc>
        <w:tc>
          <w:tcPr>
            <w:tcW w:w="1134" w:type="dxa"/>
            <w:tcBorders>
              <w:top w:val="single" w:sz="4" w:space="0" w:color="A6A6A6"/>
            </w:tcBorders>
            <w:shd w:val="clear" w:color="auto" w:fill="E7E6E6"/>
            <w:noWrap/>
            <w:hideMark/>
          </w:tcPr>
          <w:p w14:paraId="24BCCAA7" w14:textId="77777777" w:rsidR="005F4A7E" w:rsidRPr="00196A87" w:rsidRDefault="005F4A7E" w:rsidP="00130D1C">
            <w:pPr>
              <w:pStyle w:val="ARfintablebodyright"/>
            </w:pPr>
            <w:r w:rsidRPr="00196A87">
              <w:t>2.6</w:t>
            </w:r>
          </w:p>
        </w:tc>
        <w:tc>
          <w:tcPr>
            <w:tcW w:w="1134" w:type="dxa"/>
            <w:tcBorders>
              <w:top w:val="single" w:sz="4" w:space="0" w:color="A6A6A6"/>
            </w:tcBorders>
            <w:noWrap/>
            <w:hideMark/>
          </w:tcPr>
          <w:p w14:paraId="79B73B9C" w14:textId="77777777" w:rsidR="005F4A7E" w:rsidRPr="002029AF" w:rsidRDefault="005F4A7E" w:rsidP="00130D1C">
            <w:pPr>
              <w:pStyle w:val="ARfintablebodyright"/>
            </w:pPr>
            <w:r w:rsidRPr="00196A87">
              <w:t>–</w:t>
            </w:r>
          </w:p>
        </w:tc>
      </w:tr>
      <w:tr w:rsidR="005F4A7E" w:rsidRPr="002029AF" w14:paraId="5910945E" w14:textId="77777777" w:rsidTr="00130D1C">
        <w:tc>
          <w:tcPr>
            <w:tcW w:w="7369" w:type="dxa"/>
            <w:hideMark/>
          </w:tcPr>
          <w:p w14:paraId="3A81B127" w14:textId="77777777" w:rsidR="005F4A7E" w:rsidRPr="002029AF" w:rsidRDefault="005F4A7E" w:rsidP="00130D1C">
            <w:pPr>
              <w:pStyle w:val="ARfintablebodybold"/>
            </w:pPr>
            <w:r w:rsidRPr="00537B40">
              <w:t>Total other non-financial liabilities</w:t>
            </w:r>
          </w:p>
        </w:tc>
        <w:tc>
          <w:tcPr>
            <w:tcW w:w="1134" w:type="dxa"/>
            <w:shd w:val="clear" w:color="auto" w:fill="E7E6E6"/>
            <w:noWrap/>
            <w:hideMark/>
          </w:tcPr>
          <w:p w14:paraId="1C76053B" w14:textId="77777777" w:rsidR="005F4A7E" w:rsidRPr="002029AF" w:rsidRDefault="005F4A7E" w:rsidP="00130D1C">
            <w:pPr>
              <w:pStyle w:val="ARfintablebodyrightbold"/>
            </w:pPr>
            <w:r w:rsidRPr="00537B40">
              <w:t>2.6</w:t>
            </w:r>
          </w:p>
        </w:tc>
        <w:tc>
          <w:tcPr>
            <w:tcW w:w="1134" w:type="dxa"/>
            <w:noWrap/>
            <w:hideMark/>
          </w:tcPr>
          <w:p w14:paraId="76B356A9" w14:textId="77777777" w:rsidR="005F4A7E" w:rsidRPr="002029AF" w:rsidRDefault="005F4A7E" w:rsidP="00130D1C">
            <w:pPr>
              <w:pStyle w:val="ARfintablebodyrightbold"/>
            </w:pPr>
            <w:r w:rsidRPr="00537B40">
              <w:t>–</w:t>
            </w:r>
          </w:p>
        </w:tc>
      </w:tr>
    </w:tbl>
    <w:p w14:paraId="6C18C777" w14:textId="77777777" w:rsidR="005F4A7E" w:rsidRDefault="005F4A7E" w:rsidP="00130D1C">
      <w:pPr>
        <w:pStyle w:val="ARfinbodyaftertable"/>
        <w:rPr>
          <w:sz w:val="16"/>
        </w:rPr>
      </w:pPr>
      <w:r>
        <w:t>The non-financial liabilities relate to the New Footscray Hospital Project.</w:t>
      </w:r>
    </w:p>
    <w:p w14:paraId="0DA920F6" w14:textId="77777777" w:rsidR="005F4A7E" w:rsidRPr="002029AF" w:rsidRDefault="005F4A7E" w:rsidP="00087B91">
      <w:pPr>
        <w:pStyle w:val="ARfinbody"/>
      </w:pPr>
      <w:r w:rsidRPr="002029AF">
        <w:br w:type="page"/>
      </w:r>
    </w:p>
    <w:p w14:paraId="2C62333E" w14:textId="498EEDBB" w:rsidR="005F4A7E" w:rsidRDefault="005F4A7E" w:rsidP="00130D1C">
      <w:pPr>
        <w:pStyle w:val="Heading3"/>
      </w:pPr>
      <w:bookmarkStart w:id="929" w:name="_Toc39242156"/>
      <w:bookmarkStart w:id="930" w:name="_Toc60682334"/>
      <w:bookmarkStart w:id="931" w:name="_Toc82947317"/>
      <w:bookmarkStart w:id="932" w:name="_Toc85121459"/>
      <w:bookmarkStart w:id="933" w:name="_Toc86075636"/>
      <w:r>
        <w:rPr>
          <w:szCs w:val="28"/>
        </w:rPr>
        <w:lastRenderedPageBreak/>
        <w:t>7. How we financed our operations</w:t>
      </w:r>
      <w:bookmarkEnd w:id="929"/>
      <w:bookmarkEnd w:id="930"/>
      <w:bookmarkEnd w:id="931"/>
      <w:bookmarkEnd w:id="932"/>
      <w:bookmarkEnd w:id="933"/>
    </w:p>
    <w:p w14:paraId="4E549C00" w14:textId="77777777" w:rsidR="005F4A7E" w:rsidRDefault="005F4A7E" w:rsidP="00130D1C">
      <w:pPr>
        <w:pStyle w:val="Heading4"/>
      </w:pPr>
      <w:bookmarkStart w:id="934" w:name="_Toc85121460"/>
      <w:r>
        <w:t>Introduction</w:t>
      </w:r>
      <w:bookmarkEnd w:id="934"/>
    </w:p>
    <w:p w14:paraId="1EF19AF9" w14:textId="77777777" w:rsidR="005F4A7E" w:rsidRDefault="005F4A7E" w:rsidP="00130D1C">
      <w:pPr>
        <w:pStyle w:val="ARfinbody"/>
      </w:pPr>
      <w:r>
        <w:t>This section provides information on the sources of finance utilised by the department during its operations, along with interest expenses (the cost of borrowings) and other information related to financing activities of the department.</w:t>
      </w:r>
    </w:p>
    <w:p w14:paraId="35D2F64F" w14:textId="77777777" w:rsidR="005F4A7E" w:rsidRDefault="005F4A7E" w:rsidP="00130D1C">
      <w:pPr>
        <w:pStyle w:val="ARfinbody"/>
      </w:pPr>
      <w:r>
        <w:t>This section includes disclosures of balances that are financial instruments (such as borrowings and cash balances). Notes 8.1 and 8.3 provide additional, specific financial instrument disclosures.</w:t>
      </w:r>
    </w:p>
    <w:p w14:paraId="794002D9" w14:textId="77777777" w:rsidR="005F4A7E" w:rsidRDefault="005F4A7E" w:rsidP="00130D1C">
      <w:pPr>
        <w:pStyle w:val="Heading4"/>
      </w:pPr>
      <w:bookmarkStart w:id="935" w:name="_Toc85121461"/>
      <w:r>
        <w:t>Structure</w:t>
      </w:r>
      <w:bookmarkEnd w:id="935"/>
    </w:p>
    <w:p w14:paraId="27BA29FB" w14:textId="77777777" w:rsidR="005F4A7E" w:rsidRPr="00064EE6" w:rsidRDefault="005F4A7E" w:rsidP="00130D1C">
      <w:pPr>
        <w:pStyle w:val="ARfinstructure1"/>
      </w:pPr>
      <w:r>
        <w:t>7.1</w:t>
      </w:r>
      <w:r>
        <w:tab/>
        <w:t>Borrowings</w:t>
      </w:r>
    </w:p>
    <w:p w14:paraId="2BE9526F" w14:textId="77777777" w:rsidR="005F4A7E" w:rsidRDefault="005F4A7E" w:rsidP="00130D1C">
      <w:pPr>
        <w:pStyle w:val="ARfinstructure2"/>
      </w:pPr>
      <w:r>
        <w:t>7.1.1</w:t>
      </w:r>
      <w:r>
        <w:tab/>
        <w:t>Maturity analysis of borrowings</w:t>
      </w:r>
    </w:p>
    <w:p w14:paraId="310C3468" w14:textId="77777777" w:rsidR="005F4A7E" w:rsidRDefault="005F4A7E" w:rsidP="00130D1C">
      <w:pPr>
        <w:pStyle w:val="ARfinstructure2"/>
      </w:pPr>
      <w:r>
        <w:t>7.1.2</w:t>
      </w:r>
      <w:r>
        <w:tab/>
        <w:t>Interest expense</w:t>
      </w:r>
    </w:p>
    <w:p w14:paraId="3C434995" w14:textId="77777777" w:rsidR="005F4A7E" w:rsidRDefault="005F4A7E" w:rsidP="00130D1C">
      <w:pPr>
        <w:pStyle w:val="ARfinstructure1"/>
      </w:pPr>
      <w:r>
        <w:t>7.2</w:t>
      </w:r>
      <w:r>
        <w:tab/>
        <w:t>Leases</w:t>
      </w:r>
    </w:p>
    <w:p w14:paraId="7C6A9DC3" w14:textId="77777777" w:rsidR="005F4A7E" w:rsidRDefault="005F4A7E" w:rsidP="00130D1C">
      <w:pPr>
        <w:pStyle w:val="ARfinstructure2"/>
      </w:pPr>
      <w:r>
        <w:t>7.2.1</w:t>
      </w:r>
      <w:r>
        <w:tab/>
        <w:t>Leases</w:t>
      </w:r>
    </w:p>
    <w:p w14:paraId="21332A5E" w14:textId="77777777" w:rsidR="005F4A7E" w:rsidRDefault="005F4A7E" w:rsidP="00130D1C">
      <w:pPr>
        <w:pStyle w:val="ARfinstructure1"/>
      </w:pPr>
      <w:r>
        <w:t>7.3</w:t>
      </w:r>
      <w:r>
        <w:tab/>
        <w:t>Cash flow information and balances</w:t>
      </w:r>
    </w:p>
    <w:p w14:paraId="42ED1A9C" w14:textId="77777777" w:rsidR="005F4A7E" w:rsidRDefault="005F4A7E" w:rsidP="00130D1C">
      <w:pPr>
        <w:pStyle w:val="ARfinstructure2"/>
      </w:pPr>
      <w:r>
        <w:t>7.3.1</w:t>
      </w:r>
      <w:r>
        <w:tab/>
        <w:t>Reconciliation of net result for the period to net cash flow from operating activities</w:t>
      </w:r>
    </w:p>
    <w:p w14:paraId="1D22B0EF" w14:textId="77777777" w:rsidR="005F4A7E" w:rsidRDefault="005F4A7E" w:rsidP="00130D1C">
      <w:pPr>
        <w:pStyle w:val="ARfinstructure1"/>
      </w:pPr>
      <w:r>
        <w:t>7.4</w:t>
      </w:r>
      <w:r>
        <w:tab/>
        <w:t>Trust account</w:t>
      </w:r>
    </w:p>
    <w:p w14:paraId="56EA87A1" w14:textId="77777777" w:rsidR="005F4A7E" w:rsidRDefault="005F4A7E" w:rsidP="00130D1C">
      <w:pPr>
        <w:pStyle w:val="ARfinstructure2"/>
      </w:pPr>
      <w:r>
        <w:t>7.4.1</w:t>
      </w:r>
      <w:r>
        <w:tab/>
        <w:t>Trust account balances</w:t>
      </w:r>
    </w:p>
    <w:p w14:paraId="7E621E46" w14:textId="77777777" w:rsidR="005F4A7E" w:rsidRDefault="005F4A7E" w:rsidP="00130D1C">
      <w:pPr>
        <w:pStyle w:val="ARfinstructure2"/>
      </w:pPr>
      <w:r>
        <w:t>7.4.2</w:t>
      </w:r>
      <w:r>
        <w:tab/>
        <w:t>Trust account – Legislative references and nature</w:t>
      </w:r>
    </w:p>
    <w:p w14:paraId="15306E20" w14:textId="77777777" w:rsidR="005F4A7E" w:rsidRDefault="005F4A7E" w:rsidP="00130D1C">
      <w:pPr>
        <w:pStyle w:val="ARfinstructure1"/>
      </w:pPr>
      <w:r>
        <w:t>7.5</w:t>
      </w:r>
      <w:r>
        <w:tab/>
        <w:t>Commitments for expenditure</w:t>
      </w:r>
    </w:p>
    <w:p w14:paraId="7DFD7D7D" w14:textId="77777777" w:rsidR="005F4A7E" w:rsidRDefault="005F4A7E" w:rsidP="00130D1C">
      <w:pPr>
        <w:pStyle w:val="ARfinstructure2"/>
      </w:pPr>
      <w:r>
        <w:t>7.5.1</w:t>
      </w:r>
      <w:r>
        <w:tab/>
        <w:t>Total commitments payable</w:t>
      </w:r>
    </w:p>
    <w:p w14:paraId="00C429A3" w14:textId="77777777" w:rsidR="005F4A7E" w:rsidRDefault="005F4A7E" w:rsidP="00130D1C">
      <w:pPr>
        <w:pStyle w:val="ARfinstructure2"/>
      </w:pPr>
      <w:r>
        <w:t>7.5.2</w:t>
      </w:r>
      <w:r>
        <w:tab/>
        <w:t>Public private partnership (PPP) commitments</w:t>
      </w:r>
    </w:p>
    <w:p w14:paraId="007E0432" w14:textId="77777777" w:rsidR="005F4A7E" w:rsidRDefault="005F4A7E" w:rsidP="00130D1C">
      <w:pPr>
        <w:pStyle w:val="ARfinstructure2"/>
      </w:pPr>
      <w:r>
        <w:t>7.5.3</w:t>
      </w:r>
      <w:r>
        <w:tab/>
        <w:t xml:space="preserve">AASB 1059 </w:t>
      </w:r>
      <w:r w:rsidRPr="00E63BCE">
        <w:t>Service Concession Arrangements: Grantors</w:t>
      </w:r>
    </w:p>
    <w:p w14:paraId="7D73AB8F" w14:textId="77777777" w:rsidR="005F4A7E" w:rsidRDefault="005F4A7E" w:rsidP="00130D1C">
      <w:pPr>
        <w:pStyle w:val="Heading4"/>
        <w:rPr>
          <w:lang w:eastAsia="en-AU"/>
        </w:rPr>
      </w:pPr>
      <w:bookmarkStart w:id="936" w:name="_Toc39242157"/>
      <w:bookmarkStart w:id="937" w:name="_Toc85121462"/>
      <w:r>
        <w:rPr>
          <w:lang w:eastAsia="en-AU"/>
        </w:rPr>
        <w:t>7.1 Borrowings</w:t>
      </w:r>
      <w:bookmarkEnd w:id="936"/>
      <w:bookmarkEnd w:id="937"/>
    </w:p>
    <w:tbl>
      <w:tblPr>
        <w:tblStyle w:val="TableGrid"/>
        <w:tblW w:w="9637" w:type="dxa"/>
        <w:tblLayout w:type="fixed"/>
        <w:tblLook w:val="06A0" w:firstRow="1" w:lastRow="0" w:firstColumn="1" w:lastColumn="0" w:noHBand="1" w:noVBand="1"/>
      </w:tblPr>
      <w:tblGrid>
        <w:gridCol w:w="7369"/>
        <w:gridCol w:w="1134"/>
        <w:gridCol w:w="1134"/>
      </w:tblGrid>
      <w:tr w:rsidR="005F4A7E" w:rsidRPr="002029AF" w14:paraId="1610E4E1"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59897788" w14:textId="77777777" w:rsidR="005F4A7E" w:rsidRPr="002029AF" w:rsidRDefault="005F4A7E" w:rsidP="00860E95">
            <w:pPr>
              <w:pStyle w:val="ARfintablecolhead"/>
            </w:pPr>
          </w:p>
        </w:tc>
        <w:tc>
          <w:tcPr>
            <w:tcW w:w="1134" w:type="dxa"/>
            <w:tcBorders>
              <w:bottom w:val="single" w:sz="4" w:space="0" w:color="auto"/>
            </w:tcBorders>
            <w:shd w:val="clear" w:color="auto" w:fill="E7E6E6"/>
            <w:hideMark/>
          </w:tcPr>
          <w:p w14:paraId="09BB8130" w14:textId="77777777" w:rsidR="005F4A7E" w:rsidRPr="002029AF" w:rsidRDefault="005F4A7E" w:rsidP="00860E95">
            <w:pPr>
              <w:pStyle w:val="ARfintablecolheadright"/>
            </w:pPr>
            <w:r>
              <w:t>2021</w:t>
            </w:r>
          </w:p>
          <w:p w14:paraId="7957CDAC" w14:textId="77777777" w:rsidR="005F4A7E" w:rsidRPr="002029AF" w:rsidRDefault="005F4A7E" w:rsidP="00860E95">
            <w:pPr>
              <w:pStyle w:val="ARfintablecolheadright"/>
            </w:pPr>
            <w:r w:rsidRPr="002029AF">
              <w:t>$M</w:t>
            </w:r>
          </w:p>
        </w:tc>
        <w:tc>
          <w:tcPr>
            <w:tcW w:w="1134" w:type="dxa"/>
            <w:tcBorders>
              <w:bottom w:val="single" w:sz="4" w:space="0" w:color="auto"/>
            </w:tcBorders>
            <w:hideMark/>
          </w:tcPr>
          <w:p w14:paraId="387A4B60" w14:textId="77777777" w:rsidR="005F4A7E" w:rsidRPr="002029AF" w:rsidRDefault="005F4A7E" w:rsidP="00860E95">
            <w:pPr>
              <w:pStyle w:val="ARfintablecolheadright"/>
            </w:pPr>
            <w:r>
              <w:t>2020</w:t>
            </w:r>
          </w:p>
          <w:p w14:paraId="46AA8082" w14:textId="77777777" w:rsidR="005F4A7E" w:rsidRPr="002029AF" w:rsidRDefault="005F4A7E" w:rsidP="00860E95">
            <w:pPr>
              <w:pStyle w:val="ARfintablecolheadright"/>
            </w:pPr>
            <w:r w:rsidRPr="002029AF">
              <w:t>$M</w:t>
            </w:r>
          </w:p>
        </w:tc>
      </w:tr>
      <w:tr w:rsidR="005F4A7E" w:rsidRPr="002029AF" w14:paraId="4711AB27" w14:textId="77777777" w:rsidTr="00860E95">
        <w:tc>
          <w:tcPr>
            <w:tcW w:w="9637" w:type="dxa"/>
            <w:gridSpan w:val="3"/>
            <w:tcBorders>
              <w:top w:val="single" w:sz="4" w:space="0" w:color="auto"/>
              <w:bottom w:val="single" w:sz="4" w:space="0" w:color="A6A6A6"/>
            </w:tcBorders>
            <w:hideMark/>
          </w:tcPr>
          <w:p w14:paraId="21294390" w14:textId="77777777" w:rsidR="005F4A7E" w:rsidRPr="002029AF" w:rsidRDefault="005F4A7E" w:rsidP="00130D1C">
            <w:pPr>
              <w:pStyle w:val="ARfintablebodybold"/>
            </w:pPr>
            <w:r w:rsidRPr="00310A79">
              <w:t>Current borrowings</w:t>
            </w:r>
          </w:p>
        </w:tc>
      </w:tr>
      <w:tr w:rsidR="005F4A7E" w:rsidRPr="002029AF" w14:paraId="3085077F" w14:textId="77777777" w:rsidTr="00860E95">
        <w:tc>
          <w:tcPr>
            <w:tcW w:w="7369" w:type="dxa"/>
            <w:tcBorders>
              <w:top w:val="single" w:sz="4" w:space="0" w:color="A6A6A6"/>
              <w:bottom w:val="single" w:sz="4" w:space="0" w:color="A6A6A6"/>
            </w:tcBorders>
            <w:hideMark/>
          </w:tcPr>
          <w:p w14:paraId="0BDFC7B8" w14:textId="77777777" w:rsidR="005F4A7E" w:rsidRPr="002029AF" w:rsidRDefault="005F4A7E" w:rsidP="00130D1C">
            <w:pPr>
              <w:pStyle w:val="ARfintablebody"/>
            </w:pPr>
            <w:r w:rsidRPr="00310A79">
              <w:t>Advances from Victorian Government</w:t>
            </w:r>
          </w:p>
        </w:tc>
        <w:tc>
          <w:tcPr>
            <w:tcW w:w="1134" w:type="dxa"/>
            <w:tcBorders>
              <w:top w:val="single" w:sz="4" w:space="0" w:color="A6A6A6"/>
              <w:bottom w:val="single" w:sz="4" w:space="0" w:color="A6A6A6"/>
            </w:tcBorders>
            <w:shd w:val="clear" w:color="auto" w:fill="E7E6E6"/>
            <w:noWrap/>
            <w:hideMark/>
          </w:tcPr>
          <w:p w14:paraId="22FD9B70" w14:textId="77777777" w:rsidR="005F4A7E" w:rsidRPr="002029AF" w:rsidRDefault="005F4A7E" w:rsidP="00130D1C">
            <w:pPr>
              <w:pStyle w:val="ARfintablebodyright"/>
            </w:pPr>
            <w:r w:rsidRPr="00310A79">
              <w:t>46.9</w:t>
            </w:r>
          </w:p>
        </w:tc>
        <w:tc>
          <w:tcPr>
            <w:tcW w:w="1134" w:type="dxa"/>
            <w:tcBorders>
              <w:top w:val="single" w:sz="4" w:space="0" w:color="A6A6A6"/>
              <w:bottom w:val="single" w:sz="4" w:space="0" w:color="A6A6A6"/>
            </w:tcBorders>
            <w:noWrap/>
            <w:hideMark/>
          </w:tcPr>
          <w:p w14:paraId="7640D700" w14:textId="77777777" w:rsidR="005F4A7E" w:rsidRPr="002029AF" w:rsidRDefault="005F4A7E" w:rsidP="00130D1C">
            <w:pPr>
              <w:pStyle w:val="ARfintablebodyright"/>
            </w:pPr>
            <w:r w:rsidRPr="00310A79">
              <w:t>366.1</w:t>
            </w:r>
          </w:p>
        </w:tc>
      </w:tr>
      <w:tr w:rsidR="005F4A7E" w:rsidRPr="002029AF" w14:paraId="5C39EDD8" w14:textId="77777777" w:rsidTr="00860E95">
        <w:tc>
          <w:tcPr>
            <w:tcW w:w="7369" w:type="dxa"/>
            <w:tcBorders>
              <w:top w:val="single" w:sz="4" w:space="0" w:color="A6A6A6"/>
            </w:tcBorders>
            <w:hideMark/>
          </w:tcPr>
          <w:p w14:paraId="7A7D6D92" w14:textId="77777777" w:rsidR="005F4A7E" w:rsidRPr="002029AF" w:rsidRDefault="005F4A7E" w:rsidP="00130D1C">
            <w:pPr>
              <w:pStyle w:val="ARfintablebody"/>
            </w:pPr>
            <w:r w:rsidRPr="00310A79">
              <w:t>Lease liabilities</w:t>
            </w:r>
          </w:p>
        </w:tc>
        <w:tc>
          <w:tcPr>
            <w:tcW w:w="1134" w:type="dxa"/>
            <w:tcBorders>
              <w:top w:val="single" w:sz="4" w:space="0" w:color="A6A6A6"/>
            </w:tcBorders>
            <w:shd w:val="clear" w:color="auto" w:fill="E7E6E6"/>
            <w:noWrap/>
            <w:hideMark/>
          </w:tcPr>
          <w:p w14:paraId="38E18375" w14:textId="77777777" w:rsidR="005F4A7E" w:rsidRPr="002029AF" w:rsidRDefault="005F4A7E" w:rsidP="00130D1C">
            <w:pPr>
              <w:pStyle w:val="ARfintablebodyright"/>
            </w:pPr>
            <w:r w:rsidRPr="00310A79">
              <w:t>38.4</w:t>
            </w:r>
          </w:p>
        </w:tc>
        <w:tc>
          <w:tcPr>
            <w:tcW w:w="1134" w:type="dxa"/>
            <w:tcBorders>
              <w:top w:val="single" w:sz="4" w:space="0" w:color="A6A6A6"/>
            </w:tcBorders>
            <w:noWrap/>
            <w:hideMark/>
          </w:tcPr>
          <w:p w14:paraId="3E7CFE70" w14:textId="77777777" w:rsidR="005F4A7E" w:rsidRPr="002029AF" w:rsidRDefault="005F4A7E" w:rsidP="00130D1C">
            <w:pPr>
              <w:pStyle w:val="ARfintablebodyright"/>
            </w:pPr>
            <w:r w:rsidRPr="00310A79">
              <w:t>35.1</w:t>
            </w:r>
          </w:p>
        </w:tc>
      </w:tr>
      <w:tr w:rsidR="005F4A7E" w:rsidRPr="002029AF" w14:paraId="0B25311D" w14:textId="77777777" w:rsidTr="00860E95">
        <w:tc>
          <w:tcPr>
            <w:tcW w:w="7369" w:type="dxa"/>
            <w:tcBorders>
              <w:bottom w:val="single" w:sz="4" w:space="0" w:color="auto"/>
            </w:tcBorders>
            <w:hideMark/>
          </w:tcPr>
          <w:p w14:paraId="35666B89" w14:textId="77777777" w:rsidR="005F4A7E" w:rsidRPr="002029AF" w:rsidRDefault="005F4A7E" w:rsidP="00130D1C">
            <w:pPr>
              <w:pStyle w:val="ARfintablebodybold"/>
            </w:pPr>
            <w:r w:rsidRPr="00310A79">
              <w:t>Total current borrowings</w:t>
            </w:r>
          </w:p>
        </w:tc>
        <w:tc>
          <w:tcPr>
            <w:tcW w:w="1134" w:type="dxa"/>
            <w:tcBorders>
              <w:bottom w:val="single" w:sz="4" w:space="0" w:color="auto"/>
            </w:tcBorders>
            <w:shd w:val="clear" w:color="auto" w:fill="E7E6E6"/>
            <w:noWrap/>
            <w:hideMark/>
          </w:tcPr>
          <w:p w14:paraId="3538281C" w14:textId="77777777" w:rsidR="005F4A7E" w:rsidRPr="002029AF" w:rsidRDefault="005F4A7E" w:rsidP="00130D1C">
            <w:pPr>
              <w:pStyle w:val="ARfintablebodyrightbold"/>
            </w:pPr>
            <w:r w:rsidRPr="00310A79">
              <w:t>85.3</w:t>
            </w:r>
          </w:p>
        </w:tc>
        <w:tc>
          <w:tcPr>
            <w:tcW w:w="1134" w:type="dxa"/>
            <w:tcBorders>
              <w:bottom w:val="single" w:sz="4" w:space="0" w:color="auto"/>
            </w:tcBorders>
            <w:noWrap/>
            <w:hideMark/>
          </w:tcPr>
          <w:p w14:paraId="46677CA2" w14:textId="77777777" w:rsidR="005F4A7E" w:rsidRPr="002029AF" w:rsidRDefault="005F4A7E" w:rsidP="00130D1C">
            <w:pPr>
              <w:pStyle w:val="ARfintablebodyrightbold"/>
            </w:pPr>
            <w:r w:rsidRPr="00310A79">
              <w:t>401.2</w:t>
            </w:r>
          </w:p>
        </w:tc>
      </w:tr>
      <w:tr w:rsidR="005F4A7E" w:rsidRPr="002029AF" w14:paraId="3F4CB865" w14:textId="77777777" w:rsidTr="00860E95">
        <w:tc>
          <w:tcPr>
            <w:tcW w:w="9637" w:type="dxa"/>
            <w:gridSpan w:val="3"/>
            <w:tcBorders>
              <w:top w:val="single" w:sz="4" w:space="0" w:color="auto"/>
              <w:bottom w:val="single" w:sz="4" w:space="0" w:color="A6A6A6"/>
            </w:tcBorders>
            <w:hideMark/>
          </w:tcPr>
          <w:p w14:paraId="2CD9EC58" w14:textId="77777777" w:rsidR="005F4A7E" w:rsidRPr="002029AF" w:rsidRDefault="005F4A7E" w:rsidP="00130D1C">
            <w:pPr>
              <w:pStyle w:val="ARfintablebodybold"/>
            </w:pPr>
            <w:r w:rsidRPr="00310A79">
              <w:t>Non-current borrowings</w:t>
            </w:r>
          </w:p>
        </w:tc>
      </w:tr>
      <w:tr w:rsidR="005F4A7E" w:rsidRPr="002029AF" w14:paraId="18873E63" w14:textId="77777777" w:rsidTr="00860E95">
        <w:tc>
          <w:tcPr>
            <w:tcW w:w="7369" w:type="dxa"/>
            <w:tcBorders>
              <w:top w:val="single" w:sz="4" w:space="0" w:color="A6A6A6"/>
              <w:bottom w:val="single" w:sz="4" w:space="0" w:color="A6A6A6"/>
            </w:tcBorders>
            <w:hideMark/>
          </w:tcPr>
          <w:p w14:paraId="7D4ADF04" w14:textId="77777777" w:rsidR="005F4A7E" w:rsidRPr="002029AF" w:rsidRDefault="005F4A7E" w:rsidP="00130D1C">
            <w:pPr>
              <w:pStyle w:val="ARfintablebody"/>
            </w:pPr>
            <w:r w:rsidRPr="00310A79">
              <w:t>Advances from Victorian Government</w:t>
            </w:r>
          </w:p>
        </w:tc>
        <w:tc>
          <w:tcPr>
            <w:tcW w:w="1134" w:type="dxa"/>
            <w:tcBorders>
              <w:top w:val="single" w:sz="4" w:space="0" w:color="A6A6A6"/>
              <w:bottom w:val="single" w:sz="4" w:space="0" w:color="A6A6A6"/>
            </w:tcBorders>
            <w:shd w:val="clear" w:color="auto" w:fill="E7E6E6"/>
            <w:noWrap/>
            <w:hideMark/>
          </w:tcPr>
          <w:p w14:paraId="3C5AA4F9" w14:textId="77777777" w:rsidR="005F4A7E" w:rsidRPr="002029AF" w:rsidRDefault="005F4A7E" w:rsidP="00130D1C">
            <w:pPr>
              <w:pStyle w:val="ARfintablebodyright"/>
            </w:pPr>
            <w:r w:rsidRPr="00310A79">
              <w:t>57.1</w:t>
            </w:r>
          </w:p>
        </w:tc>
        <w:tc>
          <w:tcPr>
            <w:tcW w:w="1134" w:type="dxa"/>
            <w:tcBorders>
              <w:top w:val="single" w:sz="4" w:space="0" w:color="A6A6A6"/>
              <w:bottom w:val="single" w:sz="4" w:space="0" w:color="A6A6A6"/>
            </w:tcBorders>
            <w:noWrap/>
            <w:hideMark/>
          </w:tcPr>
          <w:p w14:paraId="7C77BC7F" w14:textId="77777777" w:rsidR="005F4A7E" w:rsidRPr="002029AF" w:rsidRDefault="005F4A7E" w:rsidP="00130D1C">
            <w:pPr>
              <w:pStyle w:val="ARfintablebodyright"/>
            </w:pPr>
            <w:r w:rsidRPr="00310A79">
              <w:t>23.0</w:t>
            </w:r>
          </w:p>
        </w:tc>
      </w:tr>
      <w:tr w:rsidR="005F4A7E" w:rsidRPr="002029AF" w14:paraId="68A14C03" w14:textId="77777777" w:rsidTr="00860E95">
        <w:tc>
          <w:tcPr>
            <w:tcW w:w="7369" w:type="dxa"/>
            <w:tcBorders>
              <w:top w:val="single" w:sz="4" w:space="0" w:color="A6A6A6"/>
              <w:bottom w:val="single" w:sz="4" w:space="0" w:color="A6A6A6"/>
            </w:tcBorders>
          </w:tcPr>
          <w:p w14:paraId="17712553" w14:textId="77777777" w:rsidR="005F4A7E" w:rsidRPr="002029AF" w:rsidRDefault="005F4A7E" w:rsidP="00130D1C">
            <w:pPr>
              <w:pStyle w:val="ARfintablebody"/>
            </w:pPr>
            <w:r w:rsidRPr="00310A79">
              <w:t>PPP-related financial liabilities</w:t>
            </w:r>
          </w:p>
        </w:tc>
        <w:tc>
          <w:tcPr>
            <w:tcW w:w="1134" w:type="dxa"/>
            <w:tcBorders>
              <w:top w:val="single" w:sz="4" w:space="0" w:color="A6A6A6"/>
              <w:bottom w:val="single" w:sz="4" w:space="0" w:color="A6A6A6"/>
            </w:tcBorders>
            <w:shd w:val="clear" w:color="auto" w:fill="E7E6E6"/>
            <w:noWrap/>
          </w:tcPr>
          <w:p w14:paraId="6AB18DF5" w14:textId="77777777" w:rsidR="005F4A7E" w:rsidRPr="002029AF" w:rsidRDefault="005F4A7E" w:rsidP="00130D1C">
            <w:pPr>
              <w:pStyle w:val="ARfintablebodyright"/>
            </w:pPr>
            <w:r w:rsidRPr="00310A79">
              <w:t>175.4</w:t>
            </w:r>
          </w:p>
        </w:tc>
        <w:tc>
          <w:tcPr>
            <w:tcW w:w="1134" w:type="dxa"/>
            <w:tcBorders>
              <w:top w:val="single" w:sz="4" w:space="0" w:color="A6A6A6"/>
              <w:bottom w:val="single" w:sz="4" w:space="0" w:color="A6A6A6"/>
            </w:tcBorders>
            <w:noWrap/>
          </w:tcPr>
          <w:p w14:paraId="389FE1AC" w14:textId="77777777" w:rsidR="005F4A7E" w:rsidRPr="002029AF" w:rsidRDefault="005F4A7E" w:rsidP="00130D1C">
            <w:pPr>
              <w:pStyle w:val="ARfintablebodyright"/>
            </w:pPr>
            <w:r w:rsidRPr="00310A79">
              <w:t>–</w:t>
            </w:r>
          </w:p>
        </w:tc>
      </w:tr>
      <w:tr w:rsidR="005F4A7E" w:rsidRPr="002029AF" w14:paraId="195B8E39" w14:textId="77777777" w:rsidTr="00860E95">
        <w:tc>
          <w:tcPr>
            <w:tcW w:w="7369" w:type="dxa"/>
            <w:tcBorders>
              <w:top w:val="single" w:sz="4" w:space="0" w:color="A6A6A6"/>
            </w:tcBorders>
            <w:hideMark/>
          </w:tcPr>
          <w:p w14:paraId="0EEE08B4" w14:textId="77777777" w:rsidR="005F4A7E" w:rsidRPr="002029AF" w:rsidRDefault="005F4A7E" w:rsidP="00130D1C">
            <w:pPr>
              <w:pStyle w:val="ARfintablebody"/>
            </w:pPr>
            <w:r w:rsidRPr="00310A79">
              <w:t>Lease liabilities</w:t>
            </w:r>
          </w:p>
        </w:tc>
        <w:tc>
          <w:tcPr>
            <w:tcW w:w="1134" w:type="dxa"/>
            <w:tcBorders>
              <w:top w:val="single" w:sz="4" w:space="0" w:color="A6A6A6"/>
            </w:tcBorders>
            <w:shd w:val="clear" w:color="auto" w:fill="E7E6E6"/>
            <w:noWrap/>
            <w:hideMark/>
          </w:tcPr>
          <w:p w14:paraId="5CD08D4C" w14:textId="77777777" w:rsidR="005F4A7E" w:rsidRPr="002029AF" w:rsidRDefault="005F4A7E" w:rsidP="00130D1C">
            <w:pPr>
              <w:pStyle w:val="ARfintablebodyright"/>
            </w:pPr>
            <w:r w:rsidRPr="00310A79">
              <w:t>52.8</w:t>
            </w:r>
          </w:p>
        </w:tc>
        <w:tc>
          <w:tcPr>
            <w:tcW w:w="1134" w:type="dxa"/>
            <w:tcBorders>
              <w:top w:val="single" w:sz="4" w:space="0" w:color="A6A6A6"/>
            </w:tcBorders>
            <w:noWrap/>
            <w:hideMark/>
          </w:tcPr>
          <w:p w14:paraId="47C98762" w14:textId="77777777" w:rsidR="005F4A7E" w:rsidRPr="002029AF" w:rsidRDefault="005F4A7E" w:rsidP="00130D1C">
            <w:pPr>
              <w:pStyle w:val="ARfintablebodyright"/>
            </w:pPr>
            <w:r w:rsidRPr="00310A79">
              <w:t>48.4</w:t>
            </w:r>
          </w:p>
        </w:tc>
      </w:tr>
      <w:tr w:rsidR="005F4A7E" w:rsidRPr="002029AF" w14:paraId="654C2253" w14:textId="77777777" w:rsidTr="00860E95">
        <w:tc>
          <w:tcPr>
            <w:tcW w:w="7369" w:type="dxa"/>
            <w:hideMark/>
          </w:tcPr>
          <w:p w14:paraId="686BEF74" w14:textId="77777777" w:rsidR="005F4A7E" w:rsidRPr="002029AF" w:rsidRDefault="005F4A7E" w:rsidP="00130D1C">
            <w:pPr>
              <w:pStyle w:val="ARfintablebodybold"/>
            </w:pPr>
            <w:r w:rsidRPr="00310A79">
              <w:t>Total non-current borrowings</w:t>
            </w:r>
          </w:p>
        </w:tc>
        <w:tc>
          <w:tcPr>
            <w:tcW w:w="1134" w:type="dxa"/>
            <w:shd w:val="clear" w:color="auto" w:fill="E7E6E6"/>
            <w:noWrap/>
            <w:hideMark/>
          </w:tcPr>
          <w:p w14:paraId="0FCE31AD" w14:textId="77777777" w:rsidR="005F4A7E" w:rsidRPr="002029AF" w:rsidRDefault="005F4A7E" w:rsidP="00130D1C">
            <w:pPr>
              <w:pStyle w:val="ARfintablebodyrightbold"/>
            </w:pPr>
            <w:r w:rsidRPr="00310A79">
              <w:t>285.3</w:t>
            </w:r>
          </w:p>
        </w:tc>
        <w:tc>
          <w:tcPr>
            <w:tcW w:w="1134" w:type="dxa"/>
            <w:noWrap/>
            <w:hideMark/>
          </w:tcPr>
          <w:p w14:paraId="745468FA" w14:textId="77777777" w:rsidR="005F4A7E" w:rsidRPr="002029AF" w:rsidRDefault="005F4A7E" w:rsidP="00130D1C">
            <w:pPr>
              <w:pStyle w:val="ARfintablebodyrightbold"/>
            </w:pPr>
            <w:r w:rsidRPr="00310A79">
              <w:t>71.4</w:t>
            </w:r>
          </w:p>
        </w:tc>
      </w:tr>
      <w:tr w:rsidR="005F4A7E" w:rsidRPr="002029AF" w14:paraId="0A0CF646" w14:textId="77777777" w:rsidTr="00860E95">
        <w:tc>
          <w:tcPr>
            <w:tcW w:w="7369" w:type="dxa"/>
            <w:hideMark/>
          </w:tcPr>
          <w:p w14:paraId="34CDAC62" w14:textId="77777777" w:rsidR="005F4A7E" w:rsidRPr="002029AF" w:rsidRDefault="005F4A7E" w:rsidP="00130D1C">
            <w:pPr>
              <w:pStyle w:val="ARfintablebodybold"/>
            </w:pPr>
            <w:r w:rsidRPr="00310A79">
              <w:t>Total borrowings</w:t>
            </w:r>
          </w:p>
        </w:tc>
        <w:tc>
          <w:tcPr>
            <w:tcW w:w="1134" w:type="dxa"/>
            <w:shd w:val="clear" w:color="auto" w:fill="E7E6E6"/>
            <w:noWrap/>
            <w:hideMark/>
          </w:tcPr>
          <w:p w14:paraId="515B0A76" w14:textId="77777777" w:rsidR="005F4A7E" w:rsidRPr="002029AF" w:rsidRDefault="005F4A7E" w:rsidP="00130D1C">
            <w:pPr>
              <w:pStyle w:val="ARfintablebodyrightbold"/>
            </w:pPr>
            <w:r w:rsidRPr="00310A79">
              <w:t>370.6</w:t>
            </w:r>
          </w:p>
        </w:tc>
        <w:tc>
          <w:tcPr>
            <w:tcW w:w="1134" w:type="dxa"/>
            <w:noWrap/>
            <w:hideMark/>
          </w:tcPr>
          <w:p w14:paraId="2CAD290F" w14:textId="77777777" w:rsidR="005F4A7E" w:rsidRPr="002029AF" w:rsidRDefault="005F4A7E" w:rsidP="00130D1C">
            <w:pPr>
              <w:pStyle w:val="ARfintablebodyrightbold"/>
            </w:pPr>
            <w:r w:rsidRPr="00310A79">
              <w:t>472.6</w:t>
            </w:r>
          </w:p>
        </w:tc>
      </w:tr>
    </w:tbl>
    <w:p w14:paraId="2E509C65" w14:textId="180B4647" w:rsidR="005F4A7E" w:rsidRDefault="005F4A7E" w:rsidP="00130D1C">
      <w:pPr>
        <w:pStyle w:val="ARfinbodyaftertable"/>
      </w:pPr>
      <w:r>
        <w:t xml:space="preserve">Borrowings are classified as financial instruments. All interest-bearing liabilities are initially recognised at the fair value of the consideration received, less directly attributable transaction costs. The measurement basis subsequent to initial recognition depends on whether the department has categorised its interest-bearing liabilities as either </w:t>
      </w:r>
      <w:r w:rsidR="007D145B">
        <w:t>‘</w:t>
      </w:r>
      <w:r>
        <w:t>financial liabilities designated at fair value through profit or loss</w:t>
      </w:r>
      <w:r w:rsidR="007D145B">
        <w:t>’</w:t>
      </w:r>
      <w:r>
        <w:t xml:space="preserve">, or financial liabilities at </w:t>
      </w:r>
      <w:r w:rsidR="007D145B">
        <w:t>‘</w:t>
      </w:r>
      <w:r>
        <w:t>amortised cost</w:t>
      </w:r>
      <w:r w:rsidR="007D145B">
        <w:t>’</w:t>
      </w:r>
      <w:r>
        <w:t>. The classification depends on the nature and purpose of the interest-bearing liabilities. The department determines the classification of interest-bearing liabilities at initial recognition.</w:t>
      </w:r>
    </w:p>
    <w:p w14:paraId="658C94AC" w14:textId="77777777" w:rsidR="005F4A7E" w:rsidRDefault="005F4A7E" w:rsidP="00130D1C">
      <w:pPr>
        <w:pStyle w:val="ARfinbody"/>
      </w:pPr>
      <w:r>
        <w:rPr>
          <w:rStyle w:val="Strong"/>
        </w:rPr>
        <w:t>Defaults and breaches:</w:t>
      </w:r>
      <w:r>
        <w:t xml:space="preserve"> During the current and previous financial year, there were no defaults or breaches of required conditions in relation to any of the borrowings.</w:t>
      </w:r>
    </w:p>
    <w:p w14:paraId="5D307D59" w14:textId="77777777" w:rsidR="005F4A7E" w:rsidRDefault="005F4A7E" w:rsidP="00130D1C">
      <w:pPr>
        <w:pStyle w:val="ARfinbody"/>
      </w:pPr>
      <w:r>
        <w:rPr>
          <w:rStyle w:val="Strong"/>
        </w:rPr>
        <w:t>Advances from Victorian Government</w:t>
      </w:r>
      <w:r>
        <w:t xml:space="preserve"> are advances from the Department of Treasury and Finance. These advances are non-interest bearing.</w:t>
      </w:r>
    </w:p>
    <w:p w14:paraId="2845AAA2" w14:textId="77777777" w:rsidR="005F4A7E" w:rsidRDefault="005F4A7E" w:rsidP="00130D1C">
      <w:pPr>
        <w:pStyle w:val="ARfinbody"/>
      </w:pPr>
      <w:r>
        <w:rPr>
          <w:rStyle w:val="Strong"/>
        </w:rPr>
        <w:t>Lease liabilities</w:t>
      </w:r>
      <w:r>
        <w:t xml:space="preserve"> are secured by the assets leased. Leases are effectively secured as the rights to the leased assets revert to the lessor in the event of default.</w:t>
      </w:r>
    </w:p>
    <w:p w14:paraId="13AFC087" w14:textId="77777777" w:rsidR="005F4A7E" w:rsidRDefault="005F4A7E" w:rsidP="00130D1C">
      <w:pPr>
        <w:pStyle w:val="ARfinbody"/>
      </w:pPr>
      <w:r>
        <w:rPr>
          <w:rStyle w:val="Strong"/>
        </w:rPr>
        <w:t>Public private partnership (PPP)-related financial liabilities</w:t>
      </w:r>
      <w:r>
        <w:t xml:space="preserve"> arise on uncommissioned PPPs where either a service concession asset or an item of property, plant and equipment is in construction.</w:t>
      </w:r>
    </w:p>
    <w:p w14:paraId="5879ACF2" w14:textId="77777777" w:rsidR="005F4A7E" w:rsidRPr="002029AF" w:rsidRDefault="005F4A7E" w:rsidP="00087B91">
      <w:pPr>
        <w:pStyle w:val="ARfinbody"/>
      </w:pPr>
      <w:r w:rsidRPr="002029AF">
        <w:br w:type="page"/>
      </w:r>
    </w:p>
    <w:p w14:paraId="4EEC98B4" w14:textId="77777777" w:rsidR="005F4A7E" w:rsidRPr="002029AF" w:rsidRDefault="005F4A7E" w:rsidP="00087B91">
      <w:pPr>
        <w:pStyle w:val="Heading5"/>
      </w:pPr>
      <w:bookmarkStart w:id="938" w:name="_Toc85121463"/>
      <w:r w:rsidRPr="002029AF">
        <w:lastRenderedPageBreak/>
        <w:t>7.1.1 Maturity analysis of borrowings</w:t>
      </w:r>
      <w:bookmarkEnd w:id="938"/>
    </w:p>
    <w:tbl>
      <w:tblPr>
        <w:tblStyle w:val="TableGrid"/>
        <w:tblW w:w="9637" w:type="dxa"/>
        <w:tblLayout w:type="fixed"/>
        <w:tblLook w:val="06A0" w:firstRow="1" w:lastRow="0" w:firstColumn="1" w:lastColumn="0" w:noHBand="1" w:noVBand="1"/>
      </w:tblPr>
      <w:tblGrid>
        <w:gridCol w:w="2495"/>
        <w:gridCol w:w="1021"/>
        <w:gridCol w:w="1021"/>
        <w:gridCol w:w="1020"/>
        <w:gridCol w:w="1020"/>
        <w:gridCol w:w="1020"/>
        <w:gridCol w:w="1020"/>
        <w:gridCol w:w="1020"/>
      </w:tblGrid>
      <w:tr w:rsidR="005F4A7E" w:rsidRPr="002029AF" w14:paraId="0C0884B9" w14:textId="77777777" w:rsidTr="00ED163A">
        <w:trPr>
          <w:cnfStyle w:val="100000000000" w:firstRow="1" w:lastRow="0" w:firstColumn="0" w:lastColumn="0" w:oddVBand="0" w:evenVBand="0" w:oddHBand="0" w:evenHBand="0" w:firstRowFirstColumn="0" w:firstRowLastColumn="0" w:lastRowFirstColumn="0" w:lastRowLastColumn="0"/>
          <w:trHeight w:val="255"/>
          <w:tblHeader/>
        </w:trPr>
        <w:tc>
          <w:tcPr>
            <w:tcW w:w="2495" w:type="dxa"/>
            <w:vMerge w:val="restart"/>
            <w:noWrap/>
            <w:hideMark/>
          </w:tcPr>
          <w:p w14:paraId="65AB1498" w14:textId="77777777" w:rsidR="005F4A7E" w:rsidRPr="002029AF" w:rsidRDefault="005F4A7E" w:rsidP="00860E95">
            <w:pPr>
              <w:pStyle w:val="ARfintablecolhead"/>
            </w:pPr>
          </w:p>
        </w:tc>
        <w:tc>
          <w:tcPr>
            <w:tcW w:w="1021" w:type="dxa"/>
            <w:vMerge w:val="restart"/>
            <w:noWrap/>
            <w:hideMark/>
          </w:tcPr>
          <w:p w14:paraId="6F41F7F0" w14:textId="77777777" w:rsidR="005F4A7E" w:rsidRPr="002029AF" w:rsidRDefault="005F4A7E" w:rsidP="00130D1C">
            <w:pPr>
              <w:pStyle w:val="ARfintablecolheadright"/>
              <w:ind w:right="0"/>
            </w:pPr>
            <w:r w:rsidRPr="002029AF">
              <w:t>Carrying amount</w:t>
            </w:r>
          </w:p>
          <w:p w14:paraId="50D1A188" w14:textId="77777777" w:rsidR="005F4A7E" w:rsidRPr="002029AF" w:rsidRDefault="005F4A7E" w:rsidP="00130D1C">
            <w:pPr>
              <w:pStyle w:val="ARfintablecolheadright"/>
              <w:ind w:right="0"/>
            </w:pPr>
            <w:r w:rsidRPr="002029AF">
              <w:t>$M</w:t>
            </w:r>
          </w:p>
        </w:tc>
        <w:tc>
          <w:tcPr>
            <w:tcW w:w="1021" w:type="dxa"/>
            <w:vMerge w:val="restart"/>
            <w:noWrap/>
            <w:hideMark/>
          </w:tcPr>
          <w:p w14:paraId="152EB540" w14:textId="77777777" w:rsidR="005F4A7E" w:rsidRPr="002029AF" w:rsidRDefault="005F4A7E" w:rsidP="00130D1C">
            <w:pPr>
              <w:pStyle w:val="ARfintablecolheadright"/>
              <w:ind w:right="0"/>
            </w:pPr>
            <w:r w:rsidRPr="002029AF">
              <w:t>Nominal amount</w:t>
            </w:r>
          </w:p>
          <w:p w14:paraId="3BEC1FBB" w14:textId="77777777" w:rsidR="005F4A7E" w:rsidRPr="002029AF" w:rsidRDefault="005F4A7E" w:rsidP="00130D1C">
            <w:pPr>
              <w:pStyle w:val="ARfintablecolheadright"/>
              <w:ind w:right="0"/>
            </w:pPr>
            <w:r w:rsidRPr="002029AF">
              <w:t>$M</w:t>
            </w:r>
          </w:p>
        </w:tc>
        <w:tc>
          <w:tcPr>
            <w:tcW w:w="5100" w:type="dxa"/>
            <w:gridSpan w:val="5"/>
            <w:noWrap/>
            <w:hideMark/>
          </w:tcPr>
          <w:p w14:paraId="6C8A2DB6" w14:textId="77777777" w:rsidR="005F4A7E" w:rsidRPr="002029AF" w:rsidRDefault="005F4A7E" w:rsidP="00130D1C">
            <w:pPr>
              <w:pStyle w:val="ARfintablecolheadcentre"/>
            </w:pPr>
            <w:r w:rsidRPr="002029AF">
              <w:t>Maturity dates</w:t>
            </w:r>
          </w:p>
        </w:tc>
      </w:tr>
      <w:tr w:rsidR="005F4A7E" w:rsidRPr="002029AF" w14:paraId="3025889B" w14:textId="77777777" w:rsidTr="00ED163A">
        <w:trPr>
          <w:cnfStyle w:val="100000000000" w:firstRow="1" w:lastRow="0" w:firstColumn="0" w:lastColumn="0" w:oddVBand="0" w:evenVBand="0" w:oddHBand="0" w:evenHBand="0" w:firstRowFirstColumn="0" w:firstRowLastColumn="0" w:lastRowFirstColumn="0" w:lastRowLastColumn="0"/>
          <w:trHeight w:val="255"/>
          <w:tblHeader/>
        </w:trPr>
        <w:tc>
          <w:tcPr>
            <w:tcW w:w="2495" w:type="dxa"/>
            <w:vMerge/>
            <w:tcBorders>
              <w:bottom w:val="single" w:sz="4" w:space="0" w:color="auto"/>
            </w:tcBorders>
            <w:hideMark/>
          </w:tcPr>
          <w:p w14:paraId="3DD86C5F" w14:textId="77777777" w:rsidR="005F4A7E" w:rsidRPr="002029AF" w:rsidRDefault="005F4A7E" w:rsidP="00860E95">
            <w:pPr>
              <w:pStyle w:val="ARfintablecolhead"/>
            </w:pPr>
          </w:p>
        </w:tc>
        <w:tc>
          <w:tcPr>
            <w:tcW w:w="1021" w:type="dxa"/>
            <w:vMerge/>
            <w:tcBorders>
              <w:bottom w:val="single" w:sz="4" w:space="0" w:color="auto"/>
            </w:tcBorders>
            <w:hideMark/>
          </w:tcPr>
          <w:p w14:paraId="32C25713" w14:textId="77777777" w:rsidR="005F4A7E" w:rsidRPr="002029AF" w:rsidRDefault="005F4A7E" w:rsidP="00130D1C">
            <w:pPr>
              <w:pStyle w:val="ARfintablecolheadright"/>
              <w:ind w:right="0"/>
            </w:pPr>
          </w:p>
        </w:tc>
        <w:tc>
          <w:tcPr>
            <w:tcW w:w="1021" w:type="dxa"/>
            <w:vMerge/>
            <w:tcBorders>
              <w:bottom w:val="single" w:sz="4" w:space="0" w:color="auto"/>
            </w:tcBorders>
            <w:hideMark/>
          </w:tcPr>
          <w:p w14:paraId="64933038" w14:textId="77777777" w:rsidR="005F4A7E" w:rsidRPr="002029AF" w:rsidRDefault="005F4A7E" w:rsidP="00130D1C">
            <w:pPr>
              <w:pStyle w:val="ARfintablecolheadright"/>
              <w:ind w:right="0"/>
            </w:pPr>
          </w:p>
        </w:tc>
        <w:tc>
          <w:tcPr>
            <w:tcW w:w="1020" w:type="dxa"/>
            <w:tcBorders>
              <w:bottom w:val="single" w:sz="4" w:space="0" w:color="auto"/>
            </w:tcBorders>
            <w:hideMark/>
          </w:tcPr>
          <w:p w14:paraId="7DADB6A5" w14:textId="77777777" w:rsidR="005F4A7E" w:rsidRPr="002029AF" w:rsidRDefault="005F4A7E" w:rsidP="00130D1C">
            <w:pPr>
              <w:pStyle w:val="ARfintablecolheadright"/>
              <w:ind w:right="0"/>
            </w:pPr>
            <w:r w:rsidRPr="002029AF">
              <w:t>Less than 1 month</w:t>
            </w:r>
          </w:p>
          <w:p w14:paraId="0C44E423" w14:textId="77777777" w:rsidR="005F4A7E" w:rsidRPr="002029AF" w:rsidRDefault="005F4A7E" w:rsidP="00130D1C">
            <w:pPr>
              <w:pStyle w:val="ARfintablecolheadright"/>
              <w:ind w:right="0"/>
            </w:pPr>
            <w:r w:rsidRPr="002029AF">
              <w:t>$M</w:t>
            </w:r>
          </w:p>
        </w:tc>
        <w:tc>
          <w:tcPr>
            <w:tcW w:w="1020" w:type="dxa"/>
            <w:tcBorders>
              <w:bottom w:val="single" w:sz="4" w:space="0" w:color="auto"/>
            </w:tcBorders>
            <w:hideMark/>
          </w:tcPr>
          <w:p w14:paraId="49F0C07F" w14:textId="77777777" w:rsidR="005F4A7E" w:rsidRPr="002029AF" w:rsidRDefault="005F4A7E" w:rsidP="00130D1C">
            <w:pPr>
              <w:pStyle w:val="ARfintablecolheadright"/>
              <w:ind w:right="0"/>
            </w:pPr>
            <w:r w:rsidRPr="002029AF">
              <w:t>1–3 months</w:t>
            </w:r>
          </w:p>
          <w:p w14:paraId="3415A14D" w14:textId="77777777" w:rsidR="005F4A7E" w:rsidRPr="002029AF" w:rsidRDefault="005F4A7E" w:rsidP="00130D1C">
            <w:pPr>
              <w:pStyle w:val="ARfintablecolheadright"/>
              <w:ind w:right="0"/>
            </w:pPr>
            <w:r w:rsidRPr="002029AF">
              <w:t>$M</w:t>
            </w:r>
          </w:p>
        </w:tc>
        <w:tc>
          <w:tcPr>
            <w:tcW w:w="1020" w:type="dxa"/>
            <w:tcBorders>
              <w:bottom w:val="single" w:sz="4" w:space="0" w:color="auto"/>
            </w:tcBorders>
            <w:hideMark/>
          </w:tcPr>
          <w:p w14:paraId="3CD9E6A8" w14:textId="77777777" w:rsidR="005F4A7E" w:rsidRPr="002029AF" w:rsidRDefault="005F4A7E" w:rsidP="00130D1C">
            <w:pPr>
              <w:pStyle w:val="ARfintablecolheadright"/>
              <w:ind w:right="0"/>
            </w:pPr>
            <w:r w:rsidRPr="002029AF">
              <w:t>3 months – 1 year</w:t>
            </w:r>
          </w:p>
          <w:p w14:paraId="0E729326" w14:textId="77777777" w:rsidR="005F4A7E" w:rsidRPr="002029AF" w:rsidRDefault="005F4A7E" w:rsidP="00130D1C">
            <w:pPr>
              <w:pStyle w:val="ARfintablecolheadright"/>
              <w:ind w:right="0"/>
            </w:pPr>
            <w:r w:rsidRPr="002029AF">
              <w:t>$M</w:t>
            </w:r>
          </w:p>
        </w:tc>
        <w:tc>
          <w:tcPr>
            <w:tcW w:w="1020" w:type="dxa"/>
            <w:tcBorders>
              <w:bottom w:val="single" w:sz="4" w:space="0" w:color="auto"/>
            </w:tcBorders>
            <w:hideMark/>
          </w:tcPr>
          <w:p w14:paraId="5C83E3A8" w14:textId="77777777" w:rsidR="005F4A7E" w:rsidRPr="002029AF" w:rsidRDefault="005F4A7E" w:rsidP="00130D1C">
            <w:pPr>
              <w:pStyle w:val="ARfintablecolheadright"/>
              <w:ind w:right="0"/>
            </w:pPr>
            <w:r w:rsidRPr="002029AF">
              <w:t>1–5 years</w:t>
            </w:r>
          </w:p>
          <w:p w14:paraId="4AC18F7A" w14:textId="77777777" w:rsidR="005F4A7E" w:rsidRPr="002029AF" w:rsidRDefault="005F4A7E" w:rsidP="00130D1C">
            <w:pPr>
              <w:pStyle w:val="ARfintablecolheadright"/>
              <w:ind w:right="0"/>
            </w:pPr>
            <w:r w:rsidRPr="002029AF">
              <w:t>$M</w:t>
            </w:r>
          </w:p>
        </w:tc>
        <w:tc>
          <w:tcPr>
            <w:tcW w:w="1020" w:type="dxa"/>
            <w:tcBorders>
              <w:bottom w:val="single" w:sz="4" w:space="0" w:color="auto"/>
            </w:tcBorders>
            <w:hideMark/>
          </w:tcPr>
          <w:p w14:paraId="7EAA274A" w14:textId="77777777" w:rsidR="005F4A7E" w:rsidRPr="002029AF" w:rsidRDefault="005F4A7E" w:rsidP="00130D1C">
            <w:pPr>
              <w:pStyle w:val="ARfintablecolheadright"/>
              <w:ind w:right="0"/>
            </w:pPr>
            <w:r w:rsidRPr="002029AF">
              <w:t>5+ years</w:t>
            </w:r>
          </w:p>
          <w:p w14:paraId="60B23845" w14:textId="77777777" w:rsidR="005F4A7E" w:rsidRPr="002029AF" w:rsidRDefault="005F4A7E" w:rsidP="00130D1C">
            <w:pPr>
              <w:pStyle w:val="ARfintablecolheadright"/>
              <w:ind w:right="0"/>
            </w:pPr>
            <w:r w:rsidRPr="002029AF">
              <w:t>$M</w:t>
            </w:r>
          </w:p>
        </w:tc>
      </w:tr>
      <w:tr w:rsidR="005F4A7E" w:rsidRPr="002029AF" w14:paraId="4D5EAB78" w14:textId="77777777" w:rsidTr="00860E95">
        <w:trPr>
          <w:trHeight w:val="255"/>
        </w:trPr>
        <w:tc>
          <w:tcPr>
            <w:tcW w:w="9637" w:type="dxa"/>
            <w:gridSpan w:val="8"/>
            <w:tcBorders>
              <w:top w:val="single" w:sz="4" w:space="0" w:color="auto"/>
              <w:bottom w:val="single" w:sz="4" w:space="0" w:color="A6A6A6"/>
            </w:tcBorders>
            <w:hideMark/>
          </w:tcPr>
          <w:p w14:paraId="2AF67E79" w14:textId="77777777" w:rsidR="005F4A7E" w:rsidRPr="002029AF" w:rsidRDefault="005F4A7E" w:rsidP="00130D1C">
            <w:pPr>
              <w:pStyle w:val="ARfintablebodybold"/>
            </w:pPr>
            <w:r w:rsidRPr="002F3D14">
              <w:t>2021</w:t>
            </w:r>
          </w:p>
        </w:tc>
      </w:tr>
      <w:tr w:rsidR="005F4A7E" w:rsidRPr="002029AF" w14:paraId="135C0F9E" w14:textId="77777777" w:rsidTr="00860E95">
        <w:trPr>
          <w:trHeight w:val="255"/>
        </w:trPr>
        <w:tc>
          <w:tcPr>
            <w:tcW w:w="2495" w:type="dxa"/>
            <w:tcBorders>
              <w:top w:val="single" w:sz="4" w:space="0" w:color="A6A6A6"/>
              <w:bottom w:val="single" w:sz="4" w:space="0" w:color="A6A6A6"/>
            </w:tcBorders>
            <w:hideMark/>
          </w:tcPr>
          <w:p w14:paraId="43E4E752" w14:textId="77777777" w:rsidR="005F4A7E" w:rsidRPr="002029AF" w:rsidRDefault="005F4A7E" w:rsidP="00130D1C">
            <w:pPr>
              <w:pStyle w:val="ARfintablebody"/>
            </w:pPr>
            <w:r w:rsidRPr="002F3D14">
              <w:t>Advances from Victorian Government</w:t>
            </w:r>
          </w:p>
        </w:tc>
        <w:tc>
          <w:tcPr>
            <w:tcW w:w="1021" w:type="dxa"/>
            <w:tcBorders>
              <w:top w:val="single" w:sz="4" w:space="0" w:color="A6A6A6"/>
              <w:bottom w:val="single" w:sz="4" w:space="0" w:color="A6A6A6"/>
            </w:tcBorders>
            <w:noWrap/>
            <w:hideMark/>
          </w:tcPr>
          <w:p w14:paraId="3F8B0EA1" w14:textId="77777777" w:rsidR="005F4A7E" w:rsidRPr="002029AF" w:rsidRDefault="005F4A7E" w:rsidP="00130D1C">
            <w:pPr>
              <w:pStyle w:val="ARfintablebodyright"/>
              <w:ind w:right="0"/>
            </w:pPr>
            <w:r w:rsidRPr="002F3D14">
              <w:t>104.0</w:t>
            </w:r>
          </w:p>
        </w:tc>
        <w:tc>
          <w:tcPr>
            <w:tcW w:w="1021" w:type="dxa"/>
            <w:tcBorders>
              <w:top w:val="single" w:sz="4" w:space="0" w:color="A6A6A6"/>
              <w:bottom w:val="single" w:sz="4" w:space="0" w:color="A6A6A6"/>
            </w:tcBorders>
            <w:noWrap/>
            <w:hideMark/>
          </w:tcPr>
          <w:p w14:paraId="54BD0829" w14:textId="77777777" w:rsidR="005F4A7E" w:rsidRPr="002029AF" w:rsidRDefault="005F4A7E" w:rsidP="00130D1C">
            <w:pPr>
              <w:pStyle w:val="ARfintablebodyright"/>
              <w:ind w:right="0"/>
            </w:pPr>
            <w:r w:rsidRPr="002F3D14">
              <w:t>104.0</w:t>
            </w:r>
          </w:p>
        </w:tc>
        <w:tc>
          <w:tcPr>
            <w:tcW w:w="1020" w:type="dxa"/>
            <w:tcBorders>
              <w:top w:val="single" w:sz="4" w:space="0" w:color="A6A6A6"/>
              <w:bottom w:val="single" w:sz="4" w:space="0" w:color="A6A6A6"/>
            </w:tcBorders>
            <w:noWrap/>
            <w:hideMark/>
          </w:tcPr>
          <w:p w14:paraId="72EEE648" w14:textId="77777777" w:rsidR="005F4A7E" w:rsidRPr="002029AF" w:rsidRDefault="005F4A7E" w:rsidP="00130D1C">
            <w:pPr>
              <w:pStyle w:val="ARfintablebodyright"/>
              <w:ind w:right="0"/>
            </w:pPr>
            <w:r w:rsidRPr="002F3D14">
              <w:t>41.2</w:t>
            </w:r>
          </w:p>
        </w:tc>
        <w:tc>
          <w:tcPr>
            <w:tcW w:w="1020" w:type="dxa"/>
            <w:tcBorders>
              <w:top w:val="single" w:sz="4" w:space="0" w:color="A6A6A6"/>
              <w:bottom w:val="single" w:sz="4" w:space="0" w:color="A6A6A6"/>
            </w:tcBorders>
            <w:noWrap/>
            <w:hideMark/>
          </w:tcPr>
          <w:p w14:paraId="52054CBE" w14:textId="77777777" w:rsidR="005F4A7E" w:rsidRPr="002029AF" w:rsidRDefault="005F4A7E" w:rsidP="00130D1C">
            <w:pPr>
              <w:pStyle w:val="ARfintablebodyright"/>
              <w:ind w:right="0"/>
            </w:pPr>
            <w:r w:rsidRPr="002F3D14">
              <w:t>–</w:t>
            </w:r>
          </w:p>
        </w:tc>
        <w:tc>
          <w:tcPr>
            <w:tcW w:w="1020" w:type="dxa"/>
            <w:tcBorders>
              <w:top w:val="single" w:sz="4" w:space="0" w:color="A6A6A6"/>
              <w:bottom w:val="single" w:sz="4" w:space="0" w:color="A6A6A6"/>
            </w:tcBorders>
            <w:noWrap/>
            <w:hideMark/>
          </w:tcPr>
          <w:p w14:paraId="305E0724" w14:textId="77777777" w:rsidR="005F4A7E" w:rsidRPr="002029AF" w:rsidRDefault="005F4A7E" w:rsidP="00130D1C">
            <w:pPr>
              <w:pStyle w:val="ARfintablebodyright"/>
              <w:ind w:right="0"/>
            </w:pPr>
            <w:r w:rsidRPr="002F3D14">
              <w:t>5.7</w:t>
            </w:r>
          </w:p>
        </w:tc>
        <w:tc>
          <w:tcPr>
            <w:tcW w:w="1020" w:type="dxa"/>
            <w:tcBorders>
              <w:top w:val="single" w:sz="4" w:space="0" w:color="A6A6A6"/>
              <w:bottom w:val="single" w:sz="4" w:space="0" w:color="A6A6A6"/>
            </w:tcBorders>
            <w:noWrap/>
            <w:hideMark/>
          </w:tcPr>
          <w:p w14:paraId="2244BC0F" w14:textId="77777777" w:rsidR="005F4A7E" w:rsidRPr="002029AF" w:rsidRDefault="005F4A7E" w:rsidP="00130D1C">
            <w:pPr>
              <w:pStyle w:val="ARfintablebodyright"/>
              <w:ind w:right="0"/>
            </w:pPr>
            <w:r w:rsidRPr="002F3D14">
              <w:t>57.1</w:t>
            </w:r>
          </w:p>
        </w:tc>
        <w:tc>
          <w:tcPr>
            <w:tcW w:w="1020" w:type="dxa"/>
            <w:tcBorders>
              <w:top w:val="single" w:sz="4" w:space="0" w:color="A6A6A6"/>
              <w:bottom w:val="single" w:sz="4" w:space="0" w:color="A6A6A6"/>
            </w:tcBorders>
            <w:noWrap/>
            <w:hideMark/>
          </w:tcPr>
          <w:p w14:paraId="41EF45F8" w14:textId="77777777" w:rsidR="005F4A7E" w:rsidRPr="002029AF" w:rsidRDefault="005F4A7E" w:rsidP="00130D1C">
            <w:pPr>
              <w:pStyle w:val="ARfintablebodyright"/>
              <w:ind w:right="0"/>
            </w:pPr>
            <w:r w:rsidRPr="002F3D14">
              <w:t>–</w:t>
            </w:r>
          </w:p>
        </w:tc>
      </w:tr>
      <w:tr w:rsidR="005F4A7E" w:rsidRPr="002029AF" w14:paraId="2D11BF9F" w14:textId="77777777" w:rsidTr="00860E95">
        <w:trPr>
          <w:trHeight w:val="255"/>
        </w:trPr>
        <w:tc>
          <w:tcPr>
            <w:tcW w:w="2495" w:type="dxa"/>
            <w:tcBorders>
              <w:top w:val="single" w:sz="4" w:space="0" w:color="A6A6A6"/>
              <w:bottom w:val="single" w:sz="4" w:space="0" w:color="A6A6A6"/>
            </w:tcBorders>
          </w:tcPr>
          <w:p w14:paraId="4DCFCFAD" w14:textId="77777777" w:rsidR="005F4A7E" w:rsidRPr="002029AF" w:rsidRDefault="005F4A7E" w:rsidP="00130D1C">
            <w:pPr>
              <w:pStyle w:val="ARfintablebody"/>
            </w:pPr>
            <w:r w:rsidRPr="002F3D14">
              <w:t>PPP-related financial liabilities</w:t>
            </w:r>
          </w:p>
        </w:tc>
        <w:tc>
          <w:tcPr>
            <w:tcW w:w="1021" w:type="dxa"/>
            <w:tcBorders>
              <w:top w:val="single" w:sz="4" w:space="0" w:color="A6A6A6"/>
              <w:bottom w:val="single" w:sz="4" w:space="0" w:color="A6A6A6"/>
            </w:tcBorders>
            <w:noWrap/>
          </w:tcPr>
          <w:p w14:paraId="385F114A" w14:textId="77777777" w:rsidR="005F4A7E" w:rsidRPr="002029AF" w:rsidRDefault="005F4A7E" w:rsidP="00130D1C">
            <w:pPr>
              <w:pStyle w:val="ARfintablebodyright"/>
              <w:ind w:right="0"/>
            </w:pPr>
            <w:r w:rsidRPr="002F3D14">
              <w:t>175.4</w:t>
            </w:r>
          </w:p>
        </w:tc>
        <w:tc>
          <w:tcPr>
            <w:tcW w:w="1021" w:type="dxa"/>
            <w:tcBorders>
              <w:top w:val="single" w:sz="4" w:space="0" w:color="A6A6A6"/>
              <w:bottom w:val="single" w:sz="4" w:space="0" w:color="A6A6A6"/>
            </w:tcBorders>
            <w:noWrap/>
          </w:tcPr>
          <w:p w14:paraId="32271DDF" w14:textId="77777777" w:rsidR="005F4A7E" w:rsidRPr="002029AF" w:rsidRDefault="005F4A7E" w:rsidP="00130D1C">
            <w:pPr>
              <w:pStyle w:val="ARfintablebodyright"/>
              <w:ind w:right="0"/>
            </w:pPr>
            <w:r>
              <w:t>322.6</w:t>
            </w:r>
          </w:p>
        </w:tc>
        <w:tc>
          <w:tcPr>
            <w:tcW w:w="1020" w:type="dxa"/>
            <w:tcBorders>
              <w:top w:val="single" w:sz="4" w:space="0" w:color="A6A6A6"/>
              <w:bottom w:val="single" w:sz="4" w:space="0" w:color="A6A6A6"/>
            </w:tcBorders>
            <w:noWrap/>
          </w:tcPr>
          <w:p w14:paraId="21B1D39F" w14:textId="77777777" w:rsidR="005F4A7E" w:rsidRPr="002029AF" w:rsidRDefault="005F4A7E" w:rsidP="00130D1C">
            <w:pPr>
              <w:pStyle w:val="ARfintablebodyright"/>
              <w:ind w:right="0"/>
            </w:pPr>
            <w:r w:rsidRPr="002F3D14">
              <w:t>0.3</w:t>
            </w:r>
          </w:p>
        </w:tc>
        <w:tc>
          <w:tcPr>
            <w:tcW w:w="1020" w:type="dxa"/>
            <w:tcBorders>
              <w:top w:val="single" w:sz="4" w:space="0" w:color="A6A6A6"/>
              <w:bottom w:val="single" w:sz="4" w:space="0" w:color="A6A6A6"/>
            </w:tcBorders>
            <w:noWrap/>
          </w:tcPr>
          <w:p w14:paraId="3E104BE9" w14:textId="77777777" w:rsidR="005F4A7E" w:rsidRPr="002029AF" w:rsidRDefault="005F4A7E" w:rsidP="00130D1C">
            <w:pPr>
              <w:pStyle w:val="ARfintablebodyright"/>
              <w:ind w:right="0"/>
            </w:pPr>
            <w:r w:rsidRPr="002F3D14">
              <w:t>–</w:t>
            </w:r>
          </w:p>
        </w:tc>
        <w:tc>
          <w:tcPr>
            <w:tcW w:w="1020" w:type="dxa"/>
            <w:tcBorders>
              <w:top w:val="single" w:sz="4" w:space="0" w:color="A6A6A6"/>
              <w:bottom w:val="single" w:sz="4" w:space="0" w:color="A6A6A6"/>
            </w:tcBorders>
            <w:noWrap/>
          </w:tcPr>
          <w:p w14:paraId="123CF89F" w14:textId="77777777" w:rsidR="005F4A7E" w:rsidRPr="002029AF" w:rsidRDefault="005F4A7E" w:rsidP="00130D1C">
            <w:pPr>
              <w:pStyle w:val="ARfintablebodyright"/>
              <w:ind w:right="0"/>
            </w:pPr>
            <w:r w:rsidRPr="002F3D14">
              <w:t>–</w:t>
            </w:r>
          </w:p>
        </w:tc>
        <w:tc>
          <w:tcPr>
            <w:tcW w:w="1020" w:type="dxa"/>
            <w:tcBorders>
              <w:top w:val="single" w:sz="4" w:space="0" w:color="A6A6A6"/>
              <w:bottom w:val="single" w:sz="4" w:space="0" w:color="A6A6A6"/>
            </w:tcBorders>
            <w:noWrap/>
          </w:tcPr>
          <w:p w14:paraId="481AB079" w14:textId="77777777" w:rsidR="005F4A7E" w:rsidRPr="002029AF" w:rsidRDefault="005F4A7E" w:rsidP="00130D1C">
            <w:pPr>
              <w:pStyle w:val="ARfintablebodyright"/>
              <w:ind w:right="0"/>
            </w:pPr>
            <w:r w:rsidRPr="002F3D14">
              <w:t>0.4</w:t>
            </w:r>
          </w:p>
        </w:tc>
        <w:tc>
          <w:tcPr>
            <w:tcW w:w="1020" w:type="dxa"/>
            <w:tcBorders>
              <w:top w:val="single" w:sz="4" w:space="0" w:color="A6A6A6"/>
              <w:bottom w:val="single" w:sz="4" w:space="0" w:color="A6A6A6"/>
            </w:tcBorders>
            <w:noWrap/>
          </w:tcPr>
          <w:p w14:paraId="42F0DB16" w14:textId="77777777" w:rsidR="005F4A7E" w:rsidRPr="002029AF" w:rsidRDefault="005F4A7E" w:rsidP="00130D1C">
            <w:pPr>
              <w:pStyle w:val="ARfintablebodyright"/>
              <w:ind w:right="0"/>
            </w:pPr>
            <w:r>
              <w:t>321.9</w:t>
            </w:r>
          </w:p>
        </w:tc>
      </w:tr>
      <w:tr w:rsidR="005F4A7E" w:rsidRPr="002029AF" w14:paraId="374CF482" w14:textId="77777777" w:rsidTr="00860E95">
        <w:trPr>
          <w:trHeight w:val="255"/>
        </w:trPr>
        <w:tc>
          <w:tcPr>
            <w:tcW w:w="2495" w:type="dxa"/>
            <w:tcBorders>
              <w:top w:val="single" w:sz="4" w:space="0" w:color="A6A6A6"/>
            </w:tcBorders>
            <w:hideMark/>
          </w:tcPr>
          <w:p w14:paraId="1CF10E6E" w14:textId="77777777" w:rsidR="005F4A7E" w:rsidRPr="002029AF" w:rsidRDefault="005F4A7E" w:rsidP="00130D1C">
            <w:pPr>
              <w:pStyle w:val="ARfintablebody"/>
            </w:pPr>
            <w:r w:rsidRPr="002F3D14">
              <w:t>Lease liabilities</w:t>
            </w:r>
          </w:p>
        </w:tc>
        <w:tc>
          <w:tcPr>
            <w:tcW w:w="1021" w:type="dxa"/>
            <w:tcBorders>
              <w:top w:val="single" w:sz="4" w:space="0" w:color="A6A6A6"/>
            </w:tcBorders>
            <w:noWrap/>
            <w:hideMark/>
          </w:tcPr>
          <w:p w14:paraId="66C3595E" w14:textId="77777777" w:rsidR="005F4A7E" w:rsidRPr="002029AF" w:rsidRDefault="005F4A7E" w:rsidP="00130D1C">
            <w:pPr>
              <w:pStyle w:val="ARfintablebodyright"/>
              <w:ind w:right="0"/>
            </w:pPr>
            <w:r w:rsidRPr="002F3D14">
              <w:t>91.2</w:t>
            </w:r>
          </w:p>
        </w:tc>
        <w:tc>
          <w:tcPr>
            <w:tcW w:w="1021" w:type="dxa"/>
            <w:tcBorders>
              <w:top w:val="single" w:sz="4" w:space="0" w:color="A6A6A6"/>
            </w:tcBorders>
            <w:noWrap/>
            <w:hideMark/>
          </w:tcPr>
          <w:p w14:paraId="6F4848F5" w14:textId="77777777" w:rsidR="005F4A7E" w:rsidRPr="002029AF" w:rsidRDefault="005F4A7E" w:rsidP="00130D1C">
            <w:pPr>
              <w:pStyle w:val="ARfintablebodyright"/>
              <w:ind w:right="0"/>
            </w:pPr>
            <w:r w:rsidRPr="002F3D14">
              <w:t>96.3</w:t>
            </w:r>
          </w:p>
        </w:tc>
        <w:tc>
          <w:tcPr>
            <w:tcW w:w="1020" w:type="dxa"/>
            <w:tcBorders>
              <w:top w:val="single" w:sz="4" w:space="0" w:color="A6A6A6"/>
            </w:tcBorders>
            <w:noWrap/>
            <w:hideMark/>
          </w:tcPr>
          <w:p w14:paraId="4323C8BA" w14:textId="77777777" w:rsidR="005F4A7E" w:rsidRPr="002029AF" w:rsidRDefault="005F4A7E" w:rsidP="00130D1C">
            <w:pPr>
              <w:pStyle w:val="ARfintablebodyright"/>
              <w:ind w:right="0"/>
            </w:pPr>
            <w:r w:rsidRPr="002F3D14">
              <w:t>8.8</w:t>
            </w:r>
          </w:p>
        </w:tc>
        <w:tc>
          <w:tcPr>
            <w:tcW w:w="1020" w:type="dxa"/>
            <w:tcBorders>
              <w:top w:val="single" w:sz="4" w:space="0" w:color="A6A6A6"/>
            </w:tcBorders>
            <w:noWrap/>
            <w:hideMark/>
          </w:tcPr>
          <w:p w14:paraId="4ED86CCC" w14:textId="77777777" w:rsidR="005F4A7E" w:rsidRPr="002029AF" w:rsidRDefault="005F4A7E" w:rsidP="00130D1C">
            <w:pPr>
              <w:pStyle w:val="ARfintablebodyright"/>
              <w:ind w:right="0"/>
            </w:pPr>
            <w:r w:rsidRPr="002F3D14">
              <w:t>5.6</w:t>
            </w:r>
          </w:p>
        </w:tc>
        <w:tc>
          <w:tcPr>
            <w:tcW w:w="1020" w:type="dxa"/>
            <w:tcBorders>
              <w:top w:val="single" w:sz="4" w:space="0" w:color="A6A6A6"/>
            </w:tcBorders>
            <w:noWrap/>
            <w:hideMark/>
          </w:tcPr>
          <w:p w14:paraId="5FD2B728" w14:textId="77777777" w:rsidR="005F4A7E" w:rsidRPr="002029AF" w:rsidRDefault="005F4A7E" w:rsidP="00130D1C">
            <w:pPr>
              <w:pStyle w:val="ARfintablebodyright"/>
              <w:ind w:right="0"/>
            </w:pPr>
            <w:r w:rsidRPr="002F3D14">
              <w:t>25.3</w:t>
            </w:r>
          </w:p>
        </w:tc>
        <w:tc>
          <w:tcPr>
            <w:tcW w:w="1020" w:type="dxa"/>
            <w:tcBorders>
              <w:top w:val="single" w:sz="4" w:space="0" w:color="A6A6A6"/>
            </w:tcBorders>
            <w:noWrap/>
            <w:hideMark/>
          </w:tcPr>
          <w:p w14:paraId="31C96CB2" w14:textId="77777777" w:rsidR="005F4A7E" w:rsidRPr="002029AF" w:rsidRDefault="005F4A7E" w:rsidP="00130D1C">
            <w:pPr>
              <w:pStyle w:val="ARfintablebodyright"/>
              <w:ind w:right="0"/>
            </w:pPr>
            <w:r w:rsidRPr="002F3D14">
              <w:t>48.9</w:t>
            </w:r>
          </w:p>
        </w:tc>
        <w:tc>
          <w:tcPr>
            <w:tcW w:w="1020" w:type="dxa"/>
            <w:tcBorders>
              <w:top w:val="single" w:sz="4" w:space="0" w:color="A6A6A6"/>
            </w:tcBorders>
            <w:noWrap/>
            <w:hideMark/>
          </w:tcPr>
          <w:p w14:paraId="175BC979" w14:textId="77777777" w:rsidR="005F4A7E" w:rsidRPr="002029AF" w:rsidRDefault="005F4A7E" w:rsidP="00130D1C">
            <w:pPr>
              <w:pStyle w:val="ARfintablebodyright"/>
              <w:ind w:right="0"/>
            </w:pPr>
            <w:r w:rsidRPr="002F3D14">
              <w:t>7.7</w:t>
            </w:r>
          </w:p>
        </w:tc>
      </w:tr>
      <w:tr w:rsidR="005F4A7E" w:rsidRPr="002029AF" w14:paraId="7C25DA51" w14:textId="77777777" w:rsidTr="00860E95">
        <w:trPr>
          <w:trHeight w:val="255"/>
        </w:trPr>
        <w:tc>
          <w:tcPr>
            <w:tcW w:w="2495" w:type="dxa"/>
            <w:tcBorders>
              <w:bottom w:val="single" w:sz="4" w:space="0" w:color="auto"/>
            </w:tcBorders>
            <w:hideMark/>
          </w:tcPr>
          <w:p w14:paraId="1E4CF8FE" w14:textId="77777777" w:rsidR="005F4A7E" w:rsidRPr="002029AF" w:rsidRDefault="005F4A7E" w:rsidP="00130D1C">
            <w:pPr>
              <w:pStyle w:val="ARfintablebodybold"/>
            </w:pPr>
            <w:r w:rsidRPr="002F3D14">
              <w:t>Total</w:t>
            </w:r>
          </w:p>
        </w:tc>
        <w:tc>
          <w:tcPr>
            <w:tcW w:w="1021" w:type="dxa"/>
            <w:tcBorders>
              <w:bottom w:val="single" w:sz="4" w:space="0" w:color="auto"/>
            </w:tcBorders>
            <w:noWrap/>
            <w:hideMark/>
          </w:tcPr>
          <w:p w14:paraId="09F8F2FB" w14:textId="77777777" w:rsidR="005F4A7E" w:rsidRPr="002029AF" w:rsidRDefault="005F4A7E" w:rsidP="00130D1C">
            <w:pPr>
              <w:pStyle w:val="ARfintablebodyrightbold"/>
              <w:ind w:right="0"/>
            </w:pPr>
            <w:r w:rsidRPr="002F3D14">
              <w:t>370.6</w:t>
            </w:r>
          </w:p>
        </w:tc>
        <w:tc>
          <w:tcPr>
            <w:tcW w:w="1021" w:type="dxa"/>
            <w:tcBorders>
              <w:bottom w:val="single" w:sz="4" w:space="0" w:color="auto"/>
            </w:tcBorders>
            <w:noWrap/>
            <w:hideMark/>
          </w:tcPr>
          <w:p w14:paraId="2E8E3E55" w14:textId="77777777" w:rsidR="005F4A7E" w:rsidRPr="002029AF" w:rsidRDefault="005F4A7E" w:rsidP="00130D1C">
            <w:pPr>
              <w:pStyle w:val="ARfintablebodyrightbold"/>
              <w:ind w:right="0"/>
            </w:pPr>
            <w:r>
              <w:t>522.9</w:t>
            </w:r>
          </w:p>
        </w:tc>
        <w:tc>
          <w:tcPr>
            <w:tcW w:w="1020" w:type="dxa"/>
            <w:tcBorders>
              <w:bottom w:val="single" w:sz="4" w:space="0" w:color="auto"/>
            </w:tcBorders>
            <w:noWrap/>
            <w:hideMark/>
          </w:tcPr>
          <w:p w14:paraId="21FA10BB" w14:textId="77777777" w:rsidR="005F4A7E" w:rsidRPr="002029AF" w:rsidRDefault="005F4A7E" w:rsidP="00130D1C">
            <w:pPr>
              <w:pStyle w:val="ARfintablebodyrightbold"/>
              <w:ind w:right="0"/>
            </w:pPr>
            <w:r w:rsidRPr="002F3D14">
              <w:t>50.3</w:t>
            </w:r>
          </w:p>
        </w:tc>
        <w:tc>
          <w:tcPr>
            <w:tcW w:w="1020" w:type="dxa"/>
            <w:tcBorders>
              <w:bottom w:val="single" w:sz="4" w:space="0" w:color="auto"/>
            </w:tcBorders>
            <w:noWrap/>
            <w:hideMark/>
          </w:tcPr>
          <w:p w14:paraId="1160A536" w14:textId="77777777" w:rsidR="005F4A7E" w:rsidRPr="002029AF" w:rsidRDefault="005F4A7E" w:rsidP="00130D1C">
            <w:pPr>
              <w:pStyle w:val="ARfintablebodyrightbold"/>
              <w:ind w:right="0"/>
            </w:pPr>
            <w:r w:rsidRPr="002F3D14">
              <w:t>5.6</w:t>
            </w:r>
          </w:p>
        </w:tc>
        <w:tc>
          <w:tcPr>
            <w:tcW w:w="1020" w:type="dxa"/>
            <w:tcBorders>
              <w:bottom w:val="single" w:sz="4" w:space="0" w:color="auto"/>
            </w:tcBorders>
            <w:noWrap/>
            <w:hideMark/>
          </w:tcPr>
          <w:p w14:paraId="43AEC2D6" w14:textId="77777777" w:rsidR="005F4A7E" w:rsidRPr="002029AF" w:rsidRDefault="005F4A7E" w:rsidP="00130D1C">
            <w:pPr>
              <w:pStyle w:val="ARfintablebodyrightbold"/>
              <w:ind w:right="0"/>
            </w:pPr>
            <w:r w:rsidRPr="002F3D14">
              <w:t>31.0</w:t>
            </w:r>
          </w:p>
        </w:tc>
        <w:tc>
          <w:tcPr>
            <w:tcW w:w="1020" w:type="dxa"/>
            <w:tcBorders>
              <w:bottom w:val="single" w:sz="4" w:space="0" w:color="auto"/>
            </w:tcBorders>
            <w:noWrap/>
            <w:hideMark/>
          </w:tcPr>
          <w:p w14:paraId="22756AC1" w14:textId="77777777" w:rsidR="005F4A7E" w:rsidRPr="002029AF" w:rsidRDefault="005F4A7E" w:rsidP="00130D1C">
            <w:pPr>
              <w:pStyle w:val="ARfintablebodyrightbold"/>
              <w:ind w:right="0"/>
            </w:pPr>
            <w:r w:rsidRPr="002F3D14">
              <w:t>106.4</w:t>
            </w:r>
          </w:p>
        </w:tc>
        <w:tc>
          <w:tcPr>
            <w:tcW w:w="1020" w:type="dxa"/>
            <w:tcBorders>
              <w:bottom w:val="single" w:sz="4" w:space="0" w:color="auto"/>
            </w:tcBorders>
            <w:noWrap/>
            <w:hideMark/>
          </w:tcPr>
          <w:p w14:paraId="0D8D2DE1" w14:textId="77777777" w:rsidR="005F4A7E" w:rsidRPr="002029AF" w:rsidRDefault="005F4A7E" w:rsidP="00130D1C">
            <w:pPr>
              <w:pStyle w:val="ARfintablebodyrightbold"/>
              <w:ind w:right="0"/>
            </w:pPr>
            <w:r>
              <w:t>329.6</w:t>
            </w:r>
          </w:p>
        </w:tc>
      </w:tr>
      <w:tr w:rsidR="005F4A7E" w:rsidRPr="002029AF" w14:paraId="3C853CE1" w14:textId="77777777" w:rsidTr="00860E95">
        <w:trPr>
          <w:trHeight w:val="255"/>
        </w:trPr>
        <w:tc>
          <w:tcPr>
            <w:tcW w:w="9637" w:type="dxa"/>
            <w:gridSpan w:val="8"/>
            <w:tcBorders>
              <w:top w:val="single" w:sz="4" w:space="0" w:color="auto"/>
              <w:bottom w:val="single" w:sz="4" w:space="0" w:color="A6A6A6"/>
            </w:tcBorders>
            <w:hideMark/>
          </w:tcPr>
          <w:p w14:paraId="53353D80" w14:textId="77777777" w:rsidR="005F4A7E" w:rsidRPr="002029AF" w:rsidRDefault="005F4A7E" w:rsidP="00130D1C">
            <w:pPr>
              <w:pStyle w:val="ARfintablebodybold"/>
            </w:pPr>
            <w:r w:rsidRPr="002F3D14">
              <w:t>2020</w:t>
            </w:r>
          </w:p>
        </w:tc>
      </w:tr>
      <w:tr w:rsidR="005F4A7E" w:rsidRPr="002029AF" w14:paraId="61A9155E" w14:textId="77777777" w:rsidTr="00860E95">
        <w:trPr>
          <w:trHeight w:val="255"/>
        </w:trPr>
        <w:tc>
          <w:tcPr>
            <w:tcW w:w="2495" w:type="dxa"/>
            <w:tcBorders>
              <w:top w:val="single" w:sz="4" w:space="0" w:color="A6A6A6"/>
              <w:bottom w:val="single" w:sz="4" w:space="0" w:color="A6A6A6"/>
            </w:tcBorders>
            <w:hideMark/>
          </w:tcPr>
          <w:p w14:paraId="5E7D545C" w14:textId="77777777" w:rsidR="005F4A7E" w:rsidRPr="002029AF" w:rsidRDefault="005F4A7E" w:rsidP="00130D1C">
            <w:pPr>
              <w:pStyle w:val="ARfintablebody"/>
            </w:pPr>
            <w:r w:rsidRPr="002F3D14">
              <w:t>Advances from Victorian Government</w:t>
            </w:r>
          </w:p>
        </w:tc>
        <w:tc>
          <w:tcPr>
            <w:tcW w:w="1021" w:type="dxa"/>
            <w:tcBorders>
              <w:top w:val="single" w:sz="4" w:space="0" w:color="A6A6A6"/>
              <w:bottom w:val="single" w:sz="4" w:space="0" w:color="A6A6A6"/>
            </w:tcBorders>
            <w:noWrap/>
            <w:hideMark/>
          </w:tcPr>
          <w:p w14:paraId="091A3859" w14:textId="77777777" w:rsidR="005F4A7E" w:rsidRPr="002029AF" w:rsidRDefault="005F4A7E" w:rsidP="00130D1C">
            <w:pPr>
              <w:pStyle w:val="ARfintablebodyright"/>
              <w:ind w:right="0"/>
            </w:pPr>
            <w:r w:rsidRPr="002F3D14">
              <w:t>389.1</w:t>
            </w:r>
          </w:p>
        </w:tc>
        <w:tc>
          <w:tcPr>
            <w:tcW w:w="1021" w:type="dxa"/>
            <w:tcBorders>
              <w:top w:val="single" w:sz="4" w:space="0" w:color="A6A6A6"/>
              <w:bottom w:val="single" w:sz="4" w:space="0" w:color="A6A6A6"/>
            </w:tcBorders>
            <w:noWrap/>
            <w:hideMark/>
          </w:tcPr>
          <w:p w14:paraId="4DF06986" w14:textId="77777777" w:rsidR="005F4A7E" w:rsidRPr="002029AF" w:rsidRDefault="005F4A7E" w:rsidP="00130D1C">
            <w:pPr>
              <w:pStyle w:val="ARfintablebodyright"/>
              <w:ind w:right="0"/>
            </w:pPr>
            <w:r w:rsidRPr="002F3D14">
              <w:t>389.1</w:t>
            </w:r>
          </w:p>
        </w:tc>
        <w:tc>
          <w:tcPr>
            <w:tcW w:w="1020" w:type="dxa"/>
            <w:tcBorders>
              <w:top w:val="single" w:sz="4" w:space="0" w:color="A6A6A6"/>
              <w:bottom w:val="single" w:sz="4" w:space="0" w:color="A6A6A6"/>
            </w:tcBorders>
            <w:noWrap/>
            <w:hideMark/>
          </w:tcPr>
          <w:p w14:paraId="1B0D268E" w14:textId="77777777" w:rsidR="005F4A7E" w:rsidRPr="002029AF" w:rsidRDefault="005F4A7E" w:rsidP="00130D1C">
            <w:pPr>
              <w:pStyle w:val="ARfintablebodyright"/>
              <w:ind w:right="0"/>
            </w:pPr>
            <w:r w:rsidRPr="002F3D14">
              <w:t>57.2</w:t>
            </w:r>
          </w:p>
        </w:tc>
        <w:tc>
          <w:tcPr>
            <w:tcW w:w="1020" w:type="dxa"/>
            <w:tcBorders>
              <w:top w:val="single" w:sz="4" w:space="0" w:color="A6A6A6"/>
              <w:bottom w:val="single" w:sz="4" w:space="0" w:color="A6A6A6"/>
            </w:tcBorders>
            <w:noWrap/>
            <w:hideMark/>
          </w:tcPr>
          <w:p w14:paraId="628CC623" w14:textId="77777777" w:rsidR="005F4A7E" w:rsidRPr="002029AF" w:rsidRDefault="005F4A7E" w:rsidP="00130D1C">
            <w:pPr>
              <w:pStyle w:val="ARfintablebodyright"/>
              <w:ind w:right="0"/>
            </w:pPr>
            <w:r w:rsidRPr="002F3D14">
              <w:t>–</w:t>
            </w:r>
          </w:p>
        </w:tc>
        <w:tc>
          <w:tcPr>
            <w:tcW w:w="1020" w:type="dxa"/>
            <w:tcBorders>
              <w:top w:val="single" w:sz="4" w:space="0" w:color="A6A6A6"/>
              <w:bottom w:val="single" w:sz="4" w:space="0" w:color="A6A6A6"/>
            </w:tcBorders>
            <w:noWrap/>
            <w:hideMark/>
          </w:tcPr>
          <w:p w14:paraId="4D9A2187" w14:textId="77777777" w:rsidR="005F4A7E" w:rsidRPr="002029AF" w:rsidRDefault="005F4A7E" w:rsidP="00130D1C">
            <w:pPr>
              <w:pStyle w:val="ARfintablebodyright"/>
              <w:ind w:right="0"/>
            </w:pPr>
            <w:r w:rsidRPr="002F3D14">
              <w:t>308.9</w:t>
            </w:r>
          </w:p>
        </w:tc>
        <w:tc>
          <w:tcPr>
            <w:tcW w:w="1020" w:type="dxa"/>
            <w:tcBorders>
              <w:top w:val="single" w:sz="4" w:space="0" w:color="A6A6A6"/>
              <w:bottom w:val="single" w:sz="4" w:space="0" w:color="A6A6A6"/>
            </w:tcBorders>
            <w:noWrap/>
            <w:hideMark/>
          </w:tcPr>
          <w:p w14:paraId="2D0518B4" w14:textId="77777777" w:rsidR="005F4A7E" w:rsidRPr="002029AF" w:rsidRDefault="005F4A7E" w:rsidP="00130D1C">
            <w:pPr>
              <w:pStyle w:val="ARfintablebodyright"/>
              <w:ind w:right="0"/>
            </w:pPr>
            <w:r w:rsidRPr="002F3D14">
              <w:t>23.0</w:t>
            </w:r>
          </w:p>
        </w:tc>
        <w:tc>
          <w:tcPr>
            <w:tcW w:w="1020" w:type="dxa"/>
            <w:tcBorders>
              <w:top w:val="single" w:sz="4" w:space="0" w:color="A6A6A6"/>
              <w:bottom w:val="single" w:sz="4" w:space="0" w:color="A6A6A6"/>
            </w:tcBorders>
            <w:noWrap/>
            <w:hideMark/>
          </w:tcPr>
          <w:p w14:paraId="37917101" w14:textId="77777777" w:rsidR="005F4A7E" w:rsidRPr="002029AF" w:rsidRDefault="005F4A7E" w:rsidP="00130D1C">
            <w:pPr>
              <w:pStyle w:val="ARfintablebodyright"/>
              <w:ind w:right="0"/>
            </w:pPr>
            <w:r w:rsidRPr="002F3D14">
              <w:t>–</w:t>
            </w:r>
          </w:p>
        </w:tc>
      </w:tr>
      <w:tr w:rsidR="005F4A7E" w:rsidRPr="002029AF" w14:paraId="6ADF8AD1" w14:textId="77777777" w:rsidTr="00860E95">
        <w:trPr>
          <w:trHeight w:val="255"/>
        </w:trPr>
        <w:tc>
          <w:tcPr>
            <w:tcW w:w="2495" w:type="dxa"/>
            <w:tcBorders>
              <w:top w:val="single" w:sz="4" w:space="0" w:color="A6A6A6"/>
            </w:tcBorders>
            <w:noWrap/>
            <w:hideMark/>
          </w:tcPr>
          <w:p w14:paraId="2EA5A778" w14:textId="77777777" w:rsidR="005F4A7E" w:rsidRPr="002029AF" w:rsidRDefault="005F4A7E" w:rsidP="00130D1C">
            <w:pPr>
              <w:pStyle w:val="ARfintablebody"/>
            </w:pPr>
            <w:r w:rsidRPr="002F3D14">
              <w:t>Lease liabilities</w:t>
            </w:r>
          </w:p>
        </w:tc>
        <w:tc>
          <w:tcPr>
            <w:tcW w:w="1021" w:type="dxa"/>
            <w:tcBorders>
              <w:top w:val="single" w:sz="4" w:space="0" w:color="A6A6A6"/>
            </w:tcBorders>
            <w:noWrap/>
            <w:hideMark/>
          </w:tcPr>
          <w:p w14:paraId="241664C9" w14:textId="77777777" w:rsidR="005F4A7E" w:rsidRPr="002029AF" w:rsidRDefault="005F4A7E" w:rsidP="00130D1C">
            <w:pPr>
              <w:pStyle w:val="ARfintablebodyright"/>
              <w:ind w:right="0"/>
            </w:pPr>
            <w:r w:rsidRPr="002F3D14">
              <w:t>83.5</w:t>
            </w:r>
          </w:p>
        </w:tc>
        <w:tc>
          <w:tcPr>
            <w:tcW w:w="1021" w:type="dxa"/>
            <w:tcBorders>
              <w:top w:val="single" w:sz="4" w:space="0" w:color="A6A6A6"/>
            </w:tcBorders>
            <w:noWrap/>
            <w:hideMark/>
          </w:tcPr>
          <w:p w14:paraId="0A2543B9" w14:textId="77777777" w:rsidR="005F4A7E" w:rsidRPr="002029AF" w:rsidRDefault="005F4A7E" w:rsidP="00130D1C">
            <w:pPr>
              <w:pStyle w:val="ARfintablebodyright"/>
              <w:ind w:right="0"/>
            </w:pPr>
            <w:r w:rsidRPr="002F3D14">
              <w:t>88.8</w:t>
            </w:r>
          </w:p>
        </w:tc>
        <w:tc>
          <w:tcPr>
            <w:tcW w:w="1020" w:type="dxa"/>
            <w:tcBorders>
              <w:top w:val="single" w:sz="4" w:space="0" w:color="A6A6A6"/>
            </w:tcBorders>
            <w:noWrap/>
            <w:hideMark/>
          </w:tcPr>
          <w:p w14:paraId="52A3B55F" w14:textId="77777777" w:rsidR="005F4A7E" w:rsidRPr="002029AF" w:rsidRDefault="005F4A7E" w:rsidP="00130D1C">
            <w:pPr>
              <w:pStyle w:val="ARfintablebodyright"/>
              <w:ind w:right="0"/>
            </w:pPr>
            <w:r w:rsidRPr="002F3D14">
              <w:t>5.6</w:t>
            </w:r>
          </w:p>
        </w:tc>
        <w:tc>
          <w:tcPr>
            <w:tcW w:w="1020" w:type="dxa"/>
            <w:tcBorders>
              <w:top w:val="single" w:sz="4" w:space="0" w:color="A6A6A6"/>
            </w:tcBorders>
            <w:noWrap/>
            <w:hideMark/>
          </w:tcPr>
          <w:p w14:paraId="6D71DAF2" w14:textId="77777777" w:rsidR="005F4A7E" w:rsidRPr="002029AF" w:rsidRDefault="005F4A7E" w:rsidP="00130D1C">
            <w:pPr>
              <w:pStyle w:val="ARfintablebodyright"/>
              <w:ind w:right="0"/>
            </w:pPr>
            <w:r w:rsidRPr="002F3D14">
              <w:t>8.8</w:t>
            </w:r>
          </w:p>
        </w:tc>
        <w:tc>
          <w:tcPr>
            <w:tcW w:w="1020" w:type="dxa"/>
            <w:tcBorders>
              <w:top w:val="single" w:sz="4" w:space="0" w:color="A6A6A6"/>
            </w:tcBorders>
            <w:noWrap/>
            <w:hideMark/>
          </w:tcPr>
          <w:p w14:paraId="43E96329" w14:textId="77777777" w:rsidR="005F4A7E" w:rsidRPr="002029AF" w:rsidRDefault="005F4A7E" w:rsidP="00130D1C">
            <w:pPr>
              <w:pStyle w:val="ARfintablebodyright"/>
              <w:ind w:right="0"/>
            </w:pPr>
            <w:r w:rsidRPr="002F3D14">
              <w:t>22.4</w:t>
            </w:r>
          </w:p>
        </w:tc>
        <w:tc>
          <w:tcPr>
            <w:tcW w:w="1020" w:type="dxa"/>
            <w:tcBorders>
              <w:top w:val="single" w:sz="4" w:space="0" w:color="A6A6A6"/>
            </w:tcBorders>
            <w:noWrap/>
            <w:hideMark/>
          </w:tcPr>
          <w:p w14:paraId="6B8DEF70" w14:textId="77777777" w:rsidR="005F4A7E" w:rsidRPr="002029AF" w:rsidRDefault="005F4A7E" w:rsidP="00130D1C">
            <w:pPr>
              <w:pStyle w:val="ARfintablebodyright"/>
              <w:ind w:right="0"/>
            </w:pPr>
            <w:r w:rsidRPr="002F3D14">
              <w:t>43.1</w:t>
            </w:r>
          </w:p>
        </w:tc>
        <w:tc>
          <w:tcPr>
            <w:tcW w:w="1020" w:type="dxa"/>
            <w:tcBorders>
              <w:top w:val="single" w:sz="4" w:space="0" w:color="A6A6A6"/>
            </w:tcBorders>
            <w:noWrap/>
            <w:hideMark/>
          </w:tcPr>
          <w:p w14:paraId="3F2789D5" w14:textId="77777777" w:rsidR="005F4A7E" w:rsidRPr="002029AF" w:rsidRDefault="005F4A7E" w:rsidP="00130D1C">
            <w:pPr>
              <w:pStyle w:val="ARfintablebodyright"/>
              <w:ind w:right="0"/>
            </w:pPr>
            <w:r w:rsidRPr="002F3D14">
              <w:t>8.9</w:t>
            </w:r>
          </w:p>
        </w:tc>
      </w:tr>
      <w:tr w:rsidR="005F4A7E" w:rsidRPr="002029AF" w14:paraId="5DD19F3E" w14:textId="77777777" w:rsidTr="00860E95">
        <w:trPr>
          <w:trHeight w:val="255"/>
        </w:trPr>
        <w:tc>
          <w:tcPr>
            <w:tcW w:w="2495" w:type="dxa"/>
            <w:hideMark/>
          </w:tcPr>
          <w:p w14:paraId="1CDD56FC" w14:textId="77777777" w:rsidR="005F4A7E" w:rsidRPr="002029AF" w:rsidRDefault="005F4A7E" w:rsidP="00130D1C">
            <w:pPr>
              <w:pStyle w:val="ARfintablebodybold"/>
            </w:pPr>
            <w:r w:rsidRPr="002F3D14">
              <w:t>Total</w:t>
            </w:r>
          </w:p>
        </w:tc>
        <w:tc>
          <w:tcPr>
            <w:tcW w:w="1021" w:type="dxa"/>
            <w:noWrap/>
            <w:hideMark/>
          </w:tcPr>
          <w:p w14:paraId="725EBA1D" w14:textId="77777777" w:rsidR="005F4A7E" w:rsidRPr="002029AF" w:rsidRDefault="005F4A7E" w:rsidP="00130D1C">
            <w:pPr>
              <w:pStyle w:val="ARfintablebodyrightbold"/>
              <w:ind w:right="0"/>
            </w:pPr>
            <w:r w:rsidRPr="002F3D14">
              <w:t>472.6</w:t>
            </w:r>
          </w:p>
        </w:tc>
        <w:tc>
          <w:tcPr>
            <w:tcW w:w="1021" w:type="dxa"/>
            <w:noWrap/>
            <w:hideMark/>
          </w:tcPr>
          <w:p w14:paraId="3716F00F" w14:textId="77777777" w:rsidR="005F4A7E" w:rsidRPr="002029AF" w:rsidRDefault="005F4A7E" w:rsidP="00130D1C">
            <w:pPr>
              <w:pStyle w:val="ARfintablebodyrightbold"/>
              <w:ind w:right="0"/>
            </w:pPr>
            <w:r w:rsidRPr="002F3D14">
              <w:t>477.9</w:t>
            </w:r>
          </w:p>
        </w:tc>
        <w:tc>
          <w:tcPr>
            <w:tcW w:w="1020" w:type="dxa"/>
            <w:noWrap/>
            <w:hideMark/>
          </w:tcPr>
          <w:p w14:paraId="06043D4E" w14:textId="77777777" w:rsidR="005F4A7E" w:rsidRPr="002029AF" w:rsidRDefault="005F4A7E" w:rsidP="00130D1C">
            <w:pPr>
              <w:pStyle w:val="ARfintablebodyrightbold"/>
              <w:ind w:right="0"/>
            </w:pPr>
            <w:r w:rsidRPr="002F3D14">
              <w:t>62.8</w:t>
            </w:r>
          </w:p>
        </w:tc>
        <w:tc>
          <w:tcPr>
            <w:tcW w:w="1020" w:type="dxa"/>
            <w:noWrap/>
            <w:hideMark/>
          </w:tcPr>
          <w:p w14:paraId="6BB0823F" w14:textId="77777777" w:rsidR="005F4A7E" w:rsidRPr="002029AF" w:rsidRDefault="005F4A7E" w:rsidP="00130D1C">
            <w:pPr>
              <w:pStyle w:val="ARfintablebodyrightbold"/>
              <w:ind w:right="0"/>
            </w:pPr>
            <w:r w:rsidRPr="002F3D14">
              <w:t>8.8</w:t>
            </w:r>
          </w:p>
        </w:tc>
        <w:tc>
          <w:tcPr>
            <w:tcW w:w="1020" w:type="dxa"/>
            <w:noWrap/>
            <w:hideMark/>
          </w:tcPr>
          <w:p w14:paraId="6D818B78" w14:textId="77777777" w:rsidR="005F4A7E" w:rsidRPr="002029AF" w:rsidRDefault="005F4A7E" w:rsidP="00130D1C">
            <w:pPr>
              <w:pStyle w:val="ARfintablebodyrightbold"/>
              <w:ind w:right="0"/>
            </w:pPr>
            <w:r w:rsidRPr="002F3D14">
              <w:t>331.3</w:t>
            </w:r>
          </w:p>
        </w:tc>
        <w:tc>
          <w:tcPr>
            <w:tcW w:w="1020" w:type="dxa"/>
            <w:noWrap/>
            <w:hideMark/>
          </w:tcPr>
          <w:p w14:paraId="1DD059AE" w14:textId="77777777" w:rsidR="005F4A7E" w:rsidRPr="002029AF" w:rsidRDefault="005F4A7E" w:rsidP="00130D1C">
            <w:pPr>
              <w:pStyle w:val="ARfintablebodyrightbold"/>
              <w:ind w:right="0"/>
            </w:pPr>
            <w:r w:rsidRPr="002F3D14">
              <w:t>66.1</w:t>
            </w:r>
          </w:p>
        </w:tc>
        <w:tc>
          <w:tcPr>
            <w:tcW w:w="1020" w:type="dxa"/>
            <w:noWrap/>
            <w:hideMark/>
          </w:tcPr>
          <w:p w14:paraId="5D0D2F04" w14:textId="77777777" w:rsidR="005F4A7E" w:rsidRPr="002029AF" w:rsidRDefault="005F4A7E" w:rsidP="00130D1C">
            <w:pPr>
              <w:pStyle w:val="ARfintablebodyrightbold"/>
              <w:ind w:right="0"/>
            </w:pPr>
            <w:r w:rsidRPr="002F3D14">
              <w:t>8.9</w:t>
            </w:r>
          </w:p>
        </w:tc>
      </w:tr>
    </w:tbl>
    <w:p w14:paraId="4DD6F1DA" w14:textId="77777777" w:rsidR="005F4A7E" w:rsidRPr="002029AF" w:rsidRDefault="005F4A7E" w:rsidP="00087B91">
      <w:pPr>
        <w:pStyle w:val="Heading5"/>
      </w:pPr>
      <w:bookmarkStart w:id="939" w:name="_Toc85121464"/>
      <w:r w:rsidRPr="002029AF">
        <w:t>7.1.2 Interest expense</w:t>
      </w:r>
      <w:bookmarkEnd w:id="939"/>
    </w:p>
    <w:tbl>
      <w:tblPr>
        <w:tblStyle w:val="TableGrid"/>
        <w:tblW w:w="9637" w:type="dxa"/>
        <w:tblLayout w:type="fixed"/>
        <w:tblLook w:val="06A0" w:firstRow="1" w:lastRow="0" w:firstColumn="1" w:lastColumn="0" w:noHBand="1" w:noVBand="1"/>
      </w:tblPr>
      <w:tblGrid>
        <w:gridCol w:w="7371"/>
        <w:gridCol w:w="1133"/>
        <w:gridCol w:w="1133"/>
      </w:tblGrid>
      <w:tr w:rsidR="005F4A7E" w:rsidRPr="002029AF" w14:paraId="007545F5"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4A091A5A" w14:textId="77777777" w:rsidR="005F4A7E" w:rsidRPr="002029AF" w:rsidRDefault="005F4A7E" w:rsidP="00860E95">
            <w:pPr>
              <w:pStyle w:val="ARfintablecolhead"/>
            </w:pPr>
          </w:p>
        </w:tc>
        <w:tc>
          <w:tcPr>
            <w:tcW w:w="1133" w:type="dxa"/>
            <w:tcBorders>
              <w:bottom w:val="single" w:sz="4" w:space="0" w:color="auto"/>
            </w:tcBorders>
            <w:shd w:val="clear" w:color="auto" w:fill="E7E6E6"/>
            <w:hideMark/>
          </w:tcPr>
          <w:p w14:paraId="5A44C696" w14:textId="77777777" w:rsidR="005F4A7E" w:rsidRPr="002029AF" w:rsidRDefault="005F4A7E" w:rsidP="00860E95">
            <w:pPr>
              <w:pStyle w:val="ARfintablecolheadright"/>
            </w:pPr>
            <w:r>
              <w:t>2021</w:t>
            </w:r>
          </w:p>
          <w:p w14:paraId="1B8344CE" w14:textId="77777777" w:rsidR="005F4A7E" w:rsidRPr="002029AF" w:rsidRDefault="005F4A7E" w:rsidP="00860E95">
            <w:pPr>
              <w:pStyle w:val="ARfintablecolheadright"/>
            </w:pPr>
            <w:r w:rsidRPr="002029AF">
              <w:t>$M</w:t>
            </w:r>
          </w:p>
        </w:tc>
        <w:tc>
          <w:tcPr>
            <w:tcW w:w="1133" w:type="dxa"/>
            <w:tcBorders>
              <w:bottom w:val="single" w:sz="4" w:space="0" w:color="auto"/>
            </w:tcBorders>
            <w:hideMark/>
          </w:tcPr>
          <w:p w14:paraId="15F36449" w14:textId="77777777" w:rsidR="005F4A7E" w:rsidRPr="002029AF" w:rsidRDefault="005F4A7E" w:rsidP="00860E95">
            <w:pPr>
              <w:pStyle w:val="ARfintablecolheadright"/>
            </w:pPr>
            <w:r>
              <w:t>2020</w:t>
            </w:r>
          </w:p>
          <w:p w14:paraId="355B0901" w14:textId="77777777" w:rsidR="005F4A7E" w:rsidRPr="002029AF" w:rsidRDefault="005F4A7E" w:rsidP="00860E95">
            <w:pPr>
              <w:pStyle w:val="ARfintablecolheadright"/>
            </w:pPr>
            <w:r w:rsidRPr="002029AF">
              <w:t>$M</w:t>
            </w:r>
          </w:p>
        </w:tc>
      </w:tr>
      <w:tr w:rsidR="005F4A7E" w:rsidRPr="002029AF" w14:paraId="136B5FF4" w14:textId="77777777" w:rsidTr="00130D1C">
        <w:tc>
          <w:tcPr>
            <w:tcW w:w="7371" w:type="dxa"/>
            <w:tcBorders>
              <w:top w:val="single" w:sz="4" w:space="0" w:color="auto"/>
              <w:bottom w:val="single" w:sz="4" w:space="0" w:color="A6A6A6"/>
            </w:tcBorders>
          </w:tcPr>
          <w:p w14:paraId="2E096C45" w14:textId="77777777" w:rsidR="005F4A7E" w:rsidRPr="002029AF" w:rsidRDefault="005F4A7E" w:rsidP="00130D1C">
            <w:pPr>
              <w:pStyle w:val="ARfintablebody"/>
            </w:pPr>
            <w:r w:rsidRPr="00460AA5">
              <w:t>Interest on lease liabilities</w:t>
            </w:r>
          </w:p>
        </w:tc>
        <w:tc>
          <w:tcPr>
            <w:tcW w:w="1133" w:type="dxa"/>
            <w:tcBorders>
              <w:top w:val="single" w:sz="4" w:space="0" w:color="auto"/>
              <w:bottom w:val="single" w:sz="4" w:space="0" w:color="A6A6A6"/>
            </w:tcBorders>
            <w:shd w:val="clear" w:color="auto" w:fill="E7E6E6"/>
            <w:noWrap/>
          </w:tcPr>
          <w:p w14:paraId="3A8B699C" w14:textId="77777777" w:rsidR="005F4A7E" w:rsidRPr="002029AF" w:rsidRDefault="005F4A7E" w:rsidP="00130D1C">
            <w:pPr>
              <w:pStyle w:val="ARfintablebodyright"/>
            </w:pPr>
            <w:r w:rsidRPr="00460AA5">
              <w:t>1.5</w:t>
            </w:r>
          </w:p>
        </w:tc>
        <w:tc>
          <w:tcPr>
            <w:tcW w:w="1133" w:type="dxa"/>
            <w:tcBorders>
              <w:top w:val="single" w:sz="4" w:space="0" w:color="auto"/>
              <w:bottom w:val="single" w:sz="4" w:space="0" w:color="A6A6A6"/>
            </w:tcBorders>
            <w:noWrap/>
          </w:tcPr>
          <w:p w14:paraId="115F6326" w14:textId="77777777" w:rsidR="005F4A7E" w:rsidRPr="002029AF" w:rsidRDefault="005F4A7E" w:rsidP="00130D1C">
            <w:pPr>
              <w:pStyle w:val="ARfintablebodyright"/>
            </w:pPr>
            <w:r w:rsidRPr="00460AA5">
              <w:t>7.0</w:t>
            </w:r>
          </w:p>
        </w:tc>
      </w:tr>
      <w:tr w:rsidR="005F4A7E" w:rsidRPr="002029AF" w14:paraId="5EE4D68F" w14:textId="77777777" w:rsidTr="00130D1C">
        <w:tc>
          <w:tcPr>
            <w:tcW w:w="7371" w:type="dxa"/>
            <w:tcBorders>
              <w:top w:val="single" w:sz="4" w:space="0" w:color="A6A6A6"/>
            </w:tcBorders>
            <w:hideMark/>
          </w:tcPr>
          <w:p w14:paraId="194CE17E" w14:textId="77777777" w:rsidR="005F4A7E" w:rsidRPr="002029AF" w:rsidRDefault="005F4A7E" w:rsidP="00130D1C">
            <w:pPr>
              <w:pStyle w:val="ARfintablebody"/>
            </w:pPr>
            <w:r w:rsidRPr="00460AA5">
              <w:t>Interest on PPP-related financial liabilities</w:t>
            </w:r>
          </w:p>
        </w:tc>
        <w:tc>
          <w:tcPr>
            <w:tcW w:w="1133" w:type="dxa"/>
            <w:tcBorders>
              <w:top w:val="single" w:sz="4" w:space="0" w:color="A6A6A6"/>
            </w:tcBorders>
            <w:shd w:val="clear" w:color="auto" w:fill="E7E6E6"/>
            <w:noWrap/>
            <w:hideMark/>
          </w:tcPr>
          <w:p w14:paraId="35736E0C" w14:textId="77777777" w:rsidR="005F4A7E" w:rsidRPr="002029AF" w:rsidRDefault="005F4A7E" w:rsidP="00130D1C">
            <w:pPr>
              <w:pStyle w:val="ARfintablebodyright"/>
            </w:pPr>
            <w:r w:rsidRPr="00460AA5">
              <w:t>2.5</w:t>
            </w:r>
          </w:p>
        </w:tc>
        <w:tc>
          <w:tcPr>
            <w:tcW w:w="1133" w:type="dxa"/>
            <w:tcBorders>
              <w:top w:val="single" w:sz="4" w:space="0" w:color="A6A6A6"/>
            </w:tcBorders>
            <w:noWrap/>
            <w:hideMark/>
          </w:tcPr>
          <w:p w14:paraId="2851A2F2" w14:textId="77777777" w:rsidR="005F4A7E" w:rsidRPr="002029AF" w:rsidRDefault="005F4A7E" w:rsidP="00130D1C">
            <w:pPr>
              <w:pStyle w:val="ARfintablebodyright"/>
            </w:pPr>
            <w:r w:rsidRPr="00460AA5">
              <w:t>–</w:t>
            </w:r>
          </w:p>
        </w:tc>
      </w:tr>
      <w:tr w:rsidR="005F4A7E" w:rsidRPr="002029AF" w14:paraId="313C89CD" w14:textId="77777777" w:rsidTr="00860E95">
        <w:tc>
          <w:tcPr>
            <w:tcW w:w="7371" w:type="dxa"/>
            <w:hideMark/>
          </w:tcPr>
          <w:p w14:paraId="0C081214" w14:textId="77777777" w:rsidR="005F4A7E" w:rsidRPr="002029AF" w:rsidRDefault="005F4A7E" w:rsidP="00130D1C">
            <w:pPr>
              <w:pStyle w:val="ARfintablebodybold"/>
            </w:pPr>
            <w:r w:rsidRPr="00460AA5">
              <w:t>Total interest expense</w:t>
            </w:r>
          </w:p>
        </w:tc>
        <w:tc>
          <w:tcPr>
            <w:tcW w:w="1133" w:type="dxa"/>
            <w:shd w:val="clear" w:color="auto" w:fill="E7E6E6"/>
            <w:noWrap/>
            <w:hideMark/>
          </w:tcPr>
          <w:p w14:paraId="2CAA52D9" w14:textId="77777777" w:rsidR="005F4A7E" w:rsidRPr="002029AF" w:rsidRDefault="005F4A7E" w:rsidP="00130D1C">
            <w:pPr>
              <w:pStyle w:val="ARfintablebodyrightbold"/>
            </w:pPr>
            <w:r w:rsidRPr="00460AA5">
              <w:t>4.0</w:t>
            </w:r>
          </w:p>
        </w:tc>
        <w:tc>
          <w:tcPr>
            <w:tcW w:w="1133" w:type="dxa"/>
            <w:noWrap/>
            <w:hideMark/>
          </w:tcPr>
          <w:p w14:paraId="1D39108C" w14:textId="77777777" w:rsidR="005F4A7E" w:rsidRPr="002029AF" w:rsidRDefault="005F4A7E" w:rsidP="00130D1C">
            <w:pPr>
              <w:pStyle w:val="ARfintablebodyrightbold"/>
            </w:pPr>
            <w:r w:rsidRPr="00460AA5">
              <w:t>7.0</w:t>
            </w:r>
          </w:p>
        </w:tc>
      </w:tr>
    </w:tbl>
    <w:p w14:paraId="7A7F4720" w14:textId="2C761CCF" w:rsidR="005F4A7E" w:rsidRDefault="007D145B" w:rsidP="00130D1C">
      <w:pPr>
        <w:pStyle w:val="ARfinbodyaftertable"/>
      </w:pPr>
      <w:r>
        <w:t>‘</w:t>
      </w:r>
      <w:r w:rsidR="005F4A7E">
        <w:t>Interest expense</w:t>
      </w:r>
      <w:r>
        <w:t>’</w:t>
      </w:r>
      <w:r w:rsidR="005F4A7E">
        <w:t xml:space="preserve"> includes costs incurred in connection with the borrowing of funds and includes interest on bank overdrafts and short-term and long-term borrowings, amortisation of discounts or premiums relating to borrowings and interest component of finance leases repayments.</w:t>
      </w:r>
    </w:p>
    <w:p w14:paraId="7FD885AA" w14:textId="77777777" w:rsidR="005F4A7E" w:rsidRDefault="005F4A7E" w:rsidP="00130D1C">
      <w:pPr>
        <w:pStyle w:val="ARfinbody"/>
      </w:pPr>
      <w:r>
        <w:t>Interest expense is recognised in the period in which it is incurred.</w:t>
      </w:r>
    </w:p>
    <w:p w14:paraId="308CD274" w14:textId="77777777" w:rsidR="005F4A7E" w:rsidRDefault="005F4A7E" w:rsidP="00130D1C">
      <w:pPr>
        <w:pStyle w:val="ARfinbody"/>
      </w:pPr>
      <w:r>
        <w:t>The department recognises borrowing costs immediately as an expense, even where they are directly attributable to the acquisition, construction or production of a qualifying asset.</w:t>
      </w:r>
    </w:p>
    <w:p w14:paraId="2572842F" w14:textId="77777777" w:rsidR="005F4A7E" w:rsidRDefault="005F4A7E" w:rsidP="00130D1C">
      <w:pPr>
        <w:pStyle w:val="Heading4"/>
        <w:rPr>
          <w:lang w:eastAsia="en-AU"/>
        </w:rPr>
      </w:pPr>
      <w:bookmarkStart w:id="940" w:name="_Toc85121465"/>
      <w:r>
        <w:rPr>
          <w:lang w:eastAsia="en-AU"/>
        </w:rPr>
        <w:t>7.2 Leases</w:t>
      </w:r>
      <w:bookmarkEnd w:id="940"/>
    </w:p>
    <w:p w14:paraId="3545C2F6" w14:textId="77777777" w:rsidR="005F4A7E" w:rsidRDefault="005F4A7E" w:rsidP="00130D1C">
      <w:pPr>
        <w:pStyle w:val="Heading5"/>
      </w:pPr>
      <w:bookmarkStart w:id="941" w:name="_Toc85121466"/>
      <w:r>
        <w:rPr>
          <w:lang w:eastAsia="en-AU"/>
        </w:rPr>
        <w:t>7.2.1 Leases</w:t>
      </w:r>
      <w:bookmarkEnd w:id="941"/>
    </w:p>
    <w:p w14:paraId="50552092" w14:textId="77777777" w:rsidR="005F4A7E" w:rsidRDefault="005F4A7E" w:rsidP="00130D1C">
      <w:pPr>
        <w:pStyle w:val="ARfinbody"/>
      </w:pPr>
      <w:r>
        <w:t>Information about leases for which the department is a lessee is presented below.</w:t>
      </w:r>
    </w:p>
    <w:p w14:paraId="6CCF6CA2" w14:textId="77C346E1" w:rsidR="005F4A7E" w:rsidRDefault="005F4A7E" w:rsidP="00130D1C">
      <w:pPr>
        <w:pStyle w:val="Heading6"/>
      </w:pPr>
      <w:bookmarkStart w:id="942" w:name="_Toc85121467"/>
      <w:r>
        <w:t>The department</w:t>
      </w:r>
      <w:r w:rsidR="007D145B">
        <w:t>’</w:t>
      </w:r>
      <w:r>
        <w:t>s leasing activities</w:t>
      </w:r>
      <w:bookmarkEnd w:id="942"/>
    </w:p>
    <w:p w14:paraId="6C877CC2" w14:textId="77777777" w:rsidR="005F4A7E" w:rsidRDefault="005F4A7E" w:rsidP="00130D1C">
      <w:pPr>
        <w:pStyle w:val="ARfinbody"/>
      </w:pPr>
      <w:bookmarkStart w:id="943" w:name="_Hlk47619149"/>
      <w:r>
        <w:t xml:space="preserve">The department leases various IT data centres, equipment and motor vehicles. The lease contracts are typically made for fixed periods of </w:t>
      </w:r>
      <w:r w:rsidRPr="002D4EC5">
        <w:t>1 to 5</w:t>
      </w:r>
      <w:r>
        <w:t xml:space="preserve"> years. The department leases some office accommodation </w:t>
      </w:r>
      <w:r w:rsidRPr="002D4EC5">
        <w:t>which are</w:t>
      </w:r>
      <w:r>
        <w:t xml:space="preserve"> short-term leases of 12 months or less. The department has elected not to recognise right-of-use assets and lease liabilities for these leases.</w:t>
      </w:r>
    </w:p>
    <w:p w14:paraId="24CA0CB3" w14:textId="77777777" w:rsidR="005F4A7E" w:rsidRDefault="005F4A7E" w:rsidP="00130D1C">
      <w:pPr>
        <w:pStyle w:val="ARfinbody"/>
      </w:pPr>
      <w:r>
        <w:t>The department entered into various printing contracts. The payments are based on consumption. The department considers these printing payments as variable lease payments.</w:t>
      </w:r>
    </w:p>
    <w:p w14:paraId="7655E9FE" w14:textId="77777777" w:rsidR="005F4A7E" w:rsidRDefault="005F4A7E" w:rsidP="00130D1C">
      <w:pPr>
        <w:pStyle w:val="ARfinbody"/>
      </w:pPr>
      <w:r>
        <w:t xml:space="preserve">In October 2019, the department agreed to the Centralised Accommodation Management with the Department of Treasury and Finance Shared Service Provider (SSP). Following this agreement, the right-of-use asset and lease liability recognised for the accommodation leases at that date were derecognised and transferred to SSP as a transfer through equity, in accordance with the requirements of FRD 119A </w:t>
      </w:r>
      <w:r>
        <w:rPr>
          <w:rStyle w:val="Emphasis"/>
        </w:rPr>
        <w:t>Transfers through contributed capital</w:t>
      </w:r>
      <w:r>
        <w:t>. From November 2019, accommodation has been recognised as an expense (refer to Note 3.1.5 Other operating expenses) and the commitment for the service payments has been disclosed (refer to Note 7.5 Commitments).</w:t>
      </w:r>
    </w:p>
    <w:p w14:paraId="58FEB39A" w14:textId="77777777" w:rsidR="005F4A7E" w:rsidRDefault="005F4A7E" w:rsidP="00130D1C">
      <w:pPr>
        <w:pStyle w:val="ARfinbody"/>
        <w:rPr>
          <w:highlight w:val="yellow"/>
        </w:rPr>
      </w:pPr>
      <w:r>
        <w:t xml:space="preserve">The Director of Housing leases various properties for the social housing program. These lease contracts are typically made for a fixed period of </w:t>
      </w:r>
      <w:r w:rsidRPr="00F35464">
        <w:t>2</w:t>
      </w:r>
      <w:r>
        <w:t xml:space="preserve"> to </w:t>
      </w:r>
      <w:r w:rsidRPr="00F35464">
        <w:t>5</w:t>
      </w:r>
      <w:r>
        <w:t xml:space="preserve"> years</w:t>
      </w:r>
      <w:bookmarkEnd w:id="943"/>
      <w:r>
        <w:t>.</w:t>
      </w:r>
    </w:p>
    <w:p w14:paraId="3E3CFE60" w14:textId="77777777" w:rsidR="005F4A7E" w:rsidRDefault="005F4A7E" w:rsidP="00130D1C">
      <w:pPr>
        <w:pStyle w:val="Heading6"/>
        <w:rPr>
          <w:rFonts w:eastAsia="Arial"/>
        </w:rPr>
      </w:pPr>
      <w:bookmarkStart w:id="944" w:name="_Toc85121468"/>
      <w:r>
        <w:rPr>
          <w:rFonts w:eastAsia="Arial"/>
        </w:rPr>
        <w:lastRenderedPageBreak/>
        <w:t>Leases at significantly below-market terms and conditions</w:t>
      </w:r>
      <w:bookmarkEnd w:id="944"/>
    </w:p>
    <w:p w14:paraId="44F78423" w14:textId="77777777" w:rsidR="005F4A7E" w:rsidRDefault="005F4A7E" w:rsidP="00130D1C">
      <w:pPr>
        <w:pStyle w:val="ARfinbody"/>
        <w:rPr>
          <w:highlight w:val="yellow"/>
        </w:rPr>
      </w:pPr>
      <w:bookmarkStart w:id="945" w:name="_Hlk47619166"/>
      <w:r>
        <w:t xml:space="preserve">The Director of Housing entered into a number of land leases with lease term ranging from </w:t>
      </w:r>
      <w:r w:rsidRPr="00F35464">
        <w:t>5</w:t>
      </w:r>
      <w:r>
        <w:t xml:space="preserve"> years to indefinite. These lease contracts specify lease payments of $1 per annum. In accordance with FRD 103I </w:t>
      </w:r>
      <w:r>
        <w:rPr>
          <w:rStyle w:val="Emphasis"/>
        </w:rPr>
        <w:t>Non-financial physical assets</w:t>
      </w:r>
      <w:r>
        <w:t>, the below-market leases are recognised at cost.</w:t>
      </w:r>
    </w:p>
    <w:p w14:paraId="669515B1" w14:textId="77777777" w:rsidR="005F4A7E" w:rsidRDefault="005F4A7E" w:rsidP="00130D1C">
      <w:pPr>
        <w:pStyle w:val="Heading6"/>
      </w:pPr>
      <w:bookmarkStart w:id="946" w:name="_Toc85121469"/>
      <w:bookmarkEnd w:id="945"/>
      <w:r>
        <w:t>7.2.1(a) Right-of-use assets</w:t>
      </w:r>
      <w:bookmarkEnd w:id="946"/>
    </w:p>
    <w:p w14:paraId="006E257C" w14:textId="77777777" w:rsidR="005F4A7E" w:rsidRDefault="005F4A7E" w:rsidP="00130D1C">
      <w:pPr>
        <w:pStyle w:val="ARfinbody"/>
      </w:pPr>
      <w:r>
        <w:t>Right-of-use assets are presented in Note 5.1(a).</w:t>
      </w:r>
    </w:p>
    <w:p w14:paraId="1CA0B508" w14:textId="77777777" w:rsidR="005F4A7E" w:rsidRDefault="005F4A7E" w:rsidP="00130D1C">
      <w:pPr>
        <w:pStyle w:val="Heading6"/>
      </w:pPr>
      <w:bookmarkStart w:id="947" w:name="_Toc85121470"/>
      <w:r>
        <w:t>7.2.1(b) Amounts recognised in the comprehensive operating statement</w:t>
      </w:r>
      <w:bookmarkEnd w:id="947"/>
    </w:p>
    <w:p w14:paraId="5C4DA31C" w14:textId="77777777" w:rsidR="005F4A7E" w:rsidRDefault="005F4A7E" w:rsidP="00130D1C">
      <w:pPr>
        <w:pStyle w:val="ARfinbodylargespace"/>
      </w:pPr>
      <w:r>
        <w:t>The following amounts relating to leases are recognised in the comprehensive operating statement:</w:t>
      </w:r>
    </w:p>
    <w:tbl>
      <w:tblPr>
        <w:tblStyle w:val="TableGrid"/>
        <w:tblW w:w="9639" w:type="dxa"/>
        <w:tblLayout w:type="fixed"/>
        <w:tblLook w:val="06A0" w:firstRow="1" w:lastRow="0" w:firstColumn="1" w:lastColumn="0" w:noHBand="1" w:noVBand="1"/>
      </w:tblPr>
      <w:tblGrid>
        <w:gridCol w:w="7371"/>
        <w:gridCol w:w="1134"/>
        <w:gridCol w:w="1134"/>
      </w:tblGrid>
      <w:tr w:rsidR="005F4A7E" w:rsidRPr="002029AF" w14:paraId="5A54C1E9"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29775F26" w14:textId="77777777" w:rsidR="005F4A7E" w:rsidRPr="002029AF" w:rsidRDefault="005F4A7E" w:rsidP="00860E95">
            <w:pPr>
              <w:pStyle w:val="ARfintablecolhead"/>
            </w:pPr>
          </w:p>
        </w:tc>
        <w:tc>
          <w:tcPr>
            <w:tcW w:w="1134" w:type="dxa"/>
            <w:tcBorders>
              <w:bottom w:val="single" w:sz="4" w:space="0" w:color="auto"/>
            </w:tcBorders>
            <w:shd w:val="clear" w:color="auto" w:fill="E7E6E6"/>
            <w:hideMark/>
          </w:tcPr>
          <w:p w14:paraId="6389FB3C" w14:textId="77777777" w:rsidR="005F4A7E" w:rsidRPr="002029AF" w:rsidRDefault="005F4A7E" w:rsidP="00860E95">
            <w:pPr>
              <w:pStyle w:val="ARfintablecolheadright"/>
            </w:pPr>
            <w:r>
              <w:t>2021</w:t>
            </w:r>
          </w:p>
          <w:p w14:paraId="3F78231C" w14:textId="77777777" w:rsidR="005F4A7E" w:rsidRPr="002029AF" w:rsidRDefault="005F4A7E" w:rsidP="00860E95">
            <w:pPr>
              <w:pStyle w:val="ARfintablecolheadright"/>
            </w:pPr>
            <w:r w:rsidRPr="002029AF">
              <w:t>$M</w:t>
            </w:r>
          </w:p>
        </w:tc>
        <w:tc>
          <w:tcPr>
            <w:tcW w:w="1134" w:type="dxa"/>
            <w:tcBorders>
              <w:bottom w:val="single" w:sz="4" w:space="0" w:color="auto"/>
            </w:tcBorders>
          </w:tcPr>
          <w:p w14:paraId="7EE7BBBD" w14:textId="77777777" w:rsidR="005F4A7E" w:rsidRPr="002029AF" w:rsidRDefault="005F4A7E" w:rsidP="00130D1C">
            <w:pPr>
              <w:pStyle w:val="ARfintablecolheadright"/>
            </w:pPr>
            <w:r>
              <w:t>2020</w:t>
            </w:r>
          </w:p>
          <w:p w14:paraId="1B1A484F" w14:textId="77777777" w:rsidR="005F4A7E" w:rsidRPr="002029AF" w:rsidRDefault="005F4A7E" w:rsidP="00130D1C">
            <w:pPr>
              <w:pStyle w:val="ARfintablecolheadright"/>
            </w:pPr>
            <w:r w:rsidRPr="002029AF">
              <w:t>$M</w:t>
            </w:r>
          </w:p>
        </w:tc>
      </w:tr>
      <w:tr w:rsidR="005F4A7E" w:rsidRPr="002029AF" w14:paraId="70B8A90F" w14:textId="77777777" w:rsidTr="00130D1C">
        <w:tc>
          <w:tcPr>
            <w:tcW w:w="8505" w:type="dxa"/>
            <w:gridSpan w:val="2"/>
            <w:tcBorders>
              <w:top w:val="single" w:sz="4" w:space="0" w:color="auto"/>
              <w:bottom w:val="single" w:sz="4" w:space="0" w:color="A6A6A6"/>
            </w:tcBorders>
            <w:hideMark/>
          </w:tcPr>
          <w:p w14:paraId="009FDEDE" w14:textId="77777777" w:rsidR="005F4A7E" w:rsidRPr="002029AF" w:rsidRDefault="005F4A7E" w:rsidP="00130D1C">
            <w:pPr>
              <w:pStyle w:val="ARfintablebodybold"/>
            </w:pPr>
            <w:r w:rsidRPr="00B37172">
              <w:t>Amounts recognised in the comprehensive operating statement</w:t>
            </w:r>
          </w:p>
        </w:tc>
        <w:tc>
          <w:tcPr>
            <w:tcW w:w="1134" w:type="dxa"/>
            <w:tcBorders>
              <w:top w:val="single" w:sz="4" w:space="0" w:color="auto"/>
              <w:bottom w:val="single" w:sz="4" w:space="0" w:color="A6A6A6"/>
            </w:tcBorders>
          </w:tcPr>
          <w:p w14:paraId="10358840" w14:textId="77777777" w:rsidR="005F4A7E" w:rsidRPr="002029AF" w:rsidRDefault="005F4A7E" w:rsidP="00130D1C">
            <w:pPr>
              <w:pStyle w:val="ARfintablebodybold"/>
            </w:pPr>
          </w:p>
        </w:tc>
      </w:tr>
      <w:tr w:rsidR="005F4A7E" w:rsidRPr="002029AF" w14:paraId="23E91DC8" w14:textId="77777777" w:rsidTr="00130D1C">
        <w:tc>
          <w:tcPr>
            <w:tcW w:w="7371" w:type="dxa"/>
            <w:tcBorders>
              <w:top w:val="single" w:sz="4" w:space="0" w:color="A6A6A6"/>
              <w:bottom w:val="single" w:sz="4" w:space="0" w:color="A6A6A6"/>
            </w:tcBorders>
            <w:hideMark/>
          </w:tcPr>
          <w:p w14:paraId="773A976C" w14:textId="77777777" w:rsidR="005F4A7E" w:rsidRPr="002029AF" w:rsidRDefault="005F4A7E" w:rsidP="00130D1C">
            <w:pPr>
              <w:pStyle w:val="ARfintablebody"/>
            </w:pPr>
            <w:r w:rsidRPr="00B37172">
              <w:t>Interest expense on lease liabilities</w:t>
            </w:r>
          </w:p>
        </w:tc>
        <w:tc>
          <w:tcPr>
            <w:tcW w:w="1134" w:type="dxa"/>
            <w:tcBorders>
              <w:top w:val="single" w:sz="4" w:space="0" w:color="A6A6A6"/>
              <w:bottom w:val="single" w:sz="4" w:space="0" w:color="A6A6A6"/>
            </w:tcBorders>
            <w:shd w:val="clear" w:color="auto" w:fill="E7E6E6"/>
            <w:noWrap/>
            <w:hideMark/>
          </w:tcPr>
          <w:p w14:paraId="1DD01348" w14:textId="77777777" w:rsidR="005F4A7E" w:rsidRPr="002029AF" w:rsidRDefault="005F4A7E" w:rsidP="00130D1C">
            <w:pPr>
              <w:pStyle w:val="ARfintablebodyright"/>
            </w:pPr>
            <w:r w:rsidRPr="00B37172">
              <w:t>1.5</w:t>
            </w:r>
          </w:p>
        </w:tc>
        <w:tc>
          <w:tcPr>
            <w:tcW w:w="1134" w:type="dxa"/>
            <w:tcBorders>
              <w:top w:val="single" w:sz="4" w:space="0" w:color="A6A6A6"/>
              <w:bottom w:val="single" w:sz="4" w:space="0" w:color="A6A6A6"/>
            </w:tcBorders>
          </w:tcPr>
          <w:p w14:paraId="52806D2C" w14:textId="77777777" w:rsidR="005F4A7E" w:rsidRPr="002029AF" w:rsidRDefault="005F4A7E" w:rsidP="00130D1C">
            <w:pPr>
              <w:pStyle w:val="ARfintablebodyright"/>
            </w:pPr>
            <w:r w:rsidRPr="00B37172">
              <w:t>7.0</w:t>
            </w:r>
          </w:p>
        </w:tc>
      </w:tr>
      <w:tr w:rsidR="005F4A7E" w:rsidRPr="002029AF" w14:paraId="4DC5E251" w14:textId="77777777" w:rsidTr="00130D1C">
        <w:tc>
          <w:tcPr>
            <w:tcW w:w="7371" w:type="dxa"/>
            <w:tcBorders>
              <w:top w:val="single" w:sz="4" w:space="0" w:color="A6A6A6"/>
              <w:bottom w:val="single" w:sz="4" w:space="0" w:color="A6A6A6"/>
            </w:tcBorders>
            <w:hideMark/>
          </w:tcPr>
          <w:p w14:paraId="4128519B" w14:textId="77777777" w:rsidR="005F4A7E" w:rsidRPr="002029AF" w:rsidRDefault="005F4A7E" w:rsidP="00130D1C">
            <w:pPr>
              <w:pStyle w:val="ARfintablebody"/>
            </w:pPr>
            <w:r w:rsidRPr="00B37172">
              <w:t>Expenses relating to short-term leases</w:t>
            </w:r>
          </w:p>
        </w:tc>
        <w:tc>
          <w:tcPr>
            <w:tcW w:w="1134" w:type="dxa"/>
            <w:tcBorders>
              <w:top w:val="single" w:sz="4" w:space="0" w:color="A6A6A6"/>
              <w:bottom w:val="single" w:sz="4" w:space="0" w:color="A6A6A6"/>
            </w:tcBorders>
            <w:shd w:val="clear" w:color="auto" w:fill="E7E6E6"/>
            <w:noWrap/>
            <w:hideMark/>
          </w:tcPr>
          <w:p w14:paraId="42CF79E1" w14:textId="77777777" w:rsidR="005F4A7E" w:rsidRPr="002029AF" w:rsidRDefault="005F4A7E" w:rsidP="00130D1C">
            <w:pPr>
              <w:pStyle w:val="ARfintablebodyright"/>
            </w:pPr>
            <w:r w:rsidRPr="00B37172">
              <w:t>13.4</w:t>
            </w:r>
          </w:p>
        </w:tc>
        <w:tc>
          <w:tcPr>
            <w:tcW w:w="1134" w:type="dxa"/>
            <w:tcBorders>
              <w:top w:val="single" w:sz="4" w:space="0" w:color="A6A6A6"/>
              <w:bottom w:val="single" w:sz="4" w:space="0" w:color="A6A6A6"/>
            </w:tcBorders>
          </w:tcPr>
          <w:p w14:paraId="2C838D06" w14:textId="77777777" w:rsidR="005F4A7E" w:rsidRPr="002029AF" w:rsidRDefault="005F4A7E" w:rsidP="00130D1C">
            <w:pPr>
              <w:pStyle w:val="ARfintablebodyright"/>
            </w:pPr>
            <w:r w:rsidRPr="00B37172">
              <w:t>6.9</w:t>
            </w:r>
          </w:p>
        </w:tc>
      </w:tr>
      <w:tr w:rsidR="005F4A7E" w:rsidRPr="002029AF" w14:paraId="08E6B60E" w14:textId="77777777" w:rsidTr="00130D1C">
        <w:tc>
          <w:tcPr>
            <w:tcW w:w="7371" w:type="dxa"/>
            <w:tcBorders>
              <w:top w:val="single" w:sz="4" w:space="0" w:color="A6A6A6"/>
            </w:tcBorders>
            <w:hideMark/>
          </w:tcPr>
          <w:p w14:paraId="3B880DAD" w14:textId="77777777" w:rsidR="005F4A7E" w:rsidRPr="002029AF" w:rsidRDefault="005F4A7E" w:rsidP="00130D1C">
            <w:pPr>
              <w:pStyle w:val="ARfintablebody"/>
            </w:pPr>
            <w:r w:rsidRPr="00B37172">
              <w:t>Variable lease payments, not included in the measurement of lease liabilities</w:t>
            </w:r>
          </w:p>
        </w:tc>
        <w:tc>
          <w:tcPr>
            <w:tcW w:w="1134" w:type="dxa"/>
            <w:tcBorders>
              <w:top w:val="single" w:sz="4" w:space="0" w:color="A6A6A6"/>
            </w:tcBorders>
            <w:shd w:val="clear" w:color="auto" w:fill="E7E6E6"/>
            <w:noWrap/>
            <w:hideMark/>
          </w:tcPr>
          <w:p w14:paraId="6D816DED" w14:textId="77777777" w:rsidR="005F4A7E" w:rsidRPr="002029AF" w:rsidRDefault="005F4A7E" w:rsidP="00130D1C">
            <w:pPr>
              <w:pStyle w:val="ARfintablebodyright"/>
            </w:pPr>
            <w:r w:rsidRPr="00B37172">
              <w:t>0.4</w:t>
            </w:r>
          </w:p>
        </w:tc>
        <w:tc>
          <w:tcPr>
            <w:tcW w:w="1134" w:type="dxa"/>
            <w:tcBorders>
              <w:top w:val="single" w:sz="4" w:space="0" w:color="A6A6A6"/>
            </w:tcBorders>
          </w:tcPr>
          <w:p w14:paraId="19631343" w14:textId="77777777" w:rsidR="005F4A7E" w:rsidRPr="002029AF" w:rsidRDefault="005F4A7E" w:rsidP="00130D1C">
            <w:pPr>
              <w:pStyle w:val="ARfintablebodyright"/>
            </w:pPr>
            <w:r w:rsidRPr="00B37172">
              <w:t>2.3</w:t>
            </w:r>
          </w:p>
        </w:tc>
      </w:tr>
      <w:tr w:rsidR="005F4A7E" w:rsidRPr="002029AF" w14:paraId="40127332" w14:textId="77777777" w:rsidTr="00130D1C">
        <w:tc>
          <w:tcPr>
            <w:tcW w:w="7371" w:type="dxa"/>
            <w:hideMark/>
          </w:tcPr>
          <w:p w14:paraId="15E2D9DB" w14:textId="77777777" w:rsidR="005F4A7E" w:rsidRPr="002029AF" w:rsidRDefault="005F4A7E" w:rsidP="00130D1C">
            <w:pPr>
              <w:pStyle w:val="ARfintablebodybold"/>
            </w:pPr>
            <w:r w:rsidRPr="00B37172">
              <w:t>Total amount recognised in the comprehensive operating statement</w:t>
            </w:r>
          </w:p>
        </w:tc>
        <w:tc>
          <w:tcPr>
            <w:tcW w:w="1134" w:type="dxa"/>
            <w:shd w:val="clear" w:color="auto" w:fill="E7E6E6"/>
            <w:noWrap/>
            <w:hideMark/>
          </w:tcPr>
          <w:p w14:paraId="3ACC64D3" w14:textId="77777777" w:rsidR="005F4A7E" w:rsidRPr="002029AF" w:rsidRDefault="005F4A7E" w:rsidP="00130D1C">
            <w:pPr>
              <w:pStyle w:val="ARfintablebodyrightbold"/>
            </w:pPr>
            <w:r w:rsidRPr="00B37172">
              <w:t>15.3</w:t>
            </w:r>
          </w:p>
        </w:tc>
        <w:tc>
          <w:tcPr>
            <w:tcW w:w="1134" w:type="dxa"/>
          </w:tcPr>
          <w:p w14:paraId="4E44CA51" w14:textId="77777777" w:rsidR="005F4A7E" w:rsidRPr="002029AF" w:rsidRDefault="005F4A7E" w:rsidP="00130D1C">
            <w:pPr>
              <w:pStyle w:val="ARfintablebodyrightbold"/>
            </w:pPr>
            <w:r w:rsidRPr="00B37172">
              <w:t>16.2</w:t>
            </w:r>
          </w:p>
        </w:tc>
      </w:tr>
    </w:tbl>
    <w:p w14:paraId="1EDA22FA" w14:textId="77777777" w:rsidR="005F4A7E" w:rsidRDefault="005F4A7E" w:rsidP="00130D1C">
      <w:pPr>
        <w:pStyle w:val="Heading6"/>
      </w:pPr>
      <w:bookmarkStart w:id="948" w:name="_Toc85121471"/>
      <w:r>
        <w:t>7.2.1(c) Amounts recognised in the cash flow statement</w:t>
      </w:r>
      <w:bookmarkEnd w:id="948"/>
    </w:p>
    <w:p w14:paraId="317C942F" w14:textId="77777777" w:rsidR="005F4A7E" w:rsidRDefault="005F4A7E" w:rsidP="00130D1C">
      <w:pPr>
        <w:pStyle w:val="ARfinbodylargespace"/>
      </w:pPr>
      <w:r>
        <w:t>The following amounts relating to leases are recognised in the cash flow statement:</w:t>
      </w:r>
    </w:p>
    <w:tbl>
      <w:tblPr>
        <w:tblStyle w:val="TableGrid"/>
        <w:tblW w:w="9639" w:type="dxa"/>
        <w:tblLayout w:type="fixed"/>
        <w:tblLook w:val="06A0" w:firstRow="1" w:lastRow="0" w:firstColumn="1" w:lastColumn="0" w:noHBand="1" w:noVBand="1"/>
      </w:tblPr>
      <w:tblGrid>
        <w:gridCol w:w="7371"/>
        <w:gridCol w:w="1134"/>
        <w:gridCol w:w="1134"/>
      </w:tblGrid>
      <w:tr w:rsidR="005F4A7E" w:rsidRPr="002029AF" w14:paraId="6527B45B"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134D8DDE" w14:textId="77777777" w:rsidR="005F4A7E" w:rsidRPr="002029AF" w:rsidRDefault="005F4A7E" w:rsidP="00130D1C">
            <w:pPr>
              <w:pStyle w:val="ARfintablecolhead"/>
            </w:pPr>
          </w:p>
        </w:tc>
        <w:tc>
          <w:tcPr>
            <w:tcW w:w="1134" w:type="dxa"/>
            <w:tcBorders>
              <w:bottom w:val="single" w:sz="4" w:space="0" w:color="auto"/>
            </w:tcBorders>
            <w:shd w:val="clear" w:color="auto" w:fill="E7E6E6"/>
            <w:hideMark/>
          </w:tcPr>
          <w:p w14:paraId="2148395E" w14:textId="77777777" w:rsidR="005F4A7E" w:rsidRPr="002029AF" w:rsidRDefault="005F4A7E" w:rsidP="00130D1C">
            <w:pPr>
              <w:pStyle w:val="ARfintablecolheadright"/>
            </w:pPr>
            <w:r>
              <w:t>2021</w:t>
            </w:r>
          </w:p>
          <w:p w14:paraId="6ACD9C12" w14:textId="77777777" w:rsidR="005F4A7E" w:rsidRPr="002029AF" w:rsidRDefault="005F4A7E" w:rsidP="00130D1C">
            <w:pPr>
              <w:pStyle w:val="ARfintablecolheadright"/>
            </w:pPr>
            <w:r w:rsidRPr="002029AF">
              <w:t>$M</w:t>
            </w:r>
          </w:p>
        </w:tc>
        <w:tc>
          <w:tcPr>
            <w:tcW w:w="1134" w:type="dxa"/>
            <w:tcBorders>
              <w:bottom w:val="single" w:sz="4" w:space="0" w:color="auto"/>
            </w:tcBorders>
          </w:tcPr>
          <w:p w14:paraId="6CE93EF8" w14:textId="77777777" w:rsidR="005F4A7E" w:rsidRPr="002029AF" w:rsidRDefault="005F4A7E" w:rsidP="00130D1C">
            <w:pPr>
              <w:pStyle w:val="ARfintablecolheadright"/>
            </w:pPr>
            <w:r>
              <w:t>2020</w:t>
            </w:r>
          </w:p>
          <w:p w14:paraId="4B21A79B" w14:textId="77777777" w:rsidR="005F4A7E" w:rsidRPr="002029AF" w:rsidRDefault="005F4A7E" w:rsidP="00130D1C">
            <w:pPr>
              <w:pStyle w:val="ARfintablecolheadright"/>
            </w:pPr>
            <w:r w:rsidRPr="002029AF">
              <w:t>$M</w:t>
            </w:r>
          </w:p>
        </w:tc>
      </w:tr>
      <w:tr w:rsidR="005F4A7E" w:rsidRPr="002029AF" w14:paraId="00F68197" w14:textId="77777777" w:rsidTr="00130D1C">
        <w:tc>
          <w:tcPr>
            <w:tcW w:w="7371" w:type="dxa"/>
            <w:hideMark/>
          </w:tcPr>
          <w:p w14:paraId="3F3EF91A" w14:textId="77777777" w:rsidR="005F4A7E" w:rsidRPr="002029AF" w:rsidRDefault="005F4A7E" w:rsidP="00130D1C">
            <w:pPr>
              <w:pStyle w:val="ARfintablebodybold"/>
            </w:pPr>
            <w:r w:rsidRPr="00EB6907">
              <w:t>Total cash outflow for leases</w:t>
            </w:r>
          </w:p>
        </w:tc>
        <w:tc>
          <w:tcPr>
            <w:tcW w:w="1134" w:type="dxa"/>
            <w:shd w:val="clear" w:color="auto" w:fill="E7E6E6"/>
            <w:noWrap/>
            <w:hideMark/>
          </w:tcPr>
          <w:p w14:paraId="6DE71F74" w14:textId="77777777" w:rsidR="005F4A7E" w:rsidRPr="002029AF" w:rsidRDefault="005F4A7E" w:rsidP="00130D1C">
            <w:pPr>
              <w:pStyle w:val="ARfintablebodyright"/>
            </w:pPr>
            <w:r w:rsidRPr="00EB6907">
              <w:t>49.9</w:t>
            </w:r>
          </w:p>
        </w:tc>
        <w:tc>
          <w:tcPr>
            <w:tcW w:w="1134" w:type="dxa"/>
          </w:tcPr>
          <w:p w14:paraId="56AE8A25" w14:textId="77777777" w:rsidR="005F4A7E" w:rsidRPr="002029AF" w:rsidRDefault="005F4A7E" w:rsidP="00130D1C">
            <w:pPr>
              <w:pStyle w:val="ARfintablebodyright"/>
            </w:pPr>
            <w:r w:rsidRPr="00EB6907">
              <w:t>61.3</w:t>
            </w:r>
          </w:p>
        </w:tc>
      </w:tr>
    </w:tbl>
    <w:p w14:paraId="0BD630A9" w14:textId="4F8DA4A2" w:rsidR="005F4A7E" w:rsidRDefault="005F4A7E" w:rsidP="00130D1C">
      <w:pPr>
        <w:pStyle w:val="ARfinbodyaftertable"/>
      </w:pPr>
      <w:r>
        <w:t xml:space="preserve">For any new contracts entered into, the department considers whether a contract is or contains a lease. A lease is defined as </w:t>
      </w:r>
      <w:r w:rsidR="007D145B">
        <w:t>‘</w:t>
      </w:r>
      <w:r>
        <w:t>a contract, or part of a contract, that conveys the right to use an asset (the underlying asset) for a period of time in exchange for consideration</w:t>
      </w:r>
      <w:r w:rsidR="007D145B">
        <w:t>’</w:t>
      </w:r>
      <w:r>
        <w:t>. To apply this definition, the department assesses whether the contract meets three key evaluations:</w:t>
      </w:r>
    </w:p>
    <w:p w14:paraId="33157CB8" w14:textId="77777777" w:rsidR="005F4A7E" w:rsidRPr="00A54E8E" w:rsidRDefault="005F4A7E" w:rsidP="005F4A7E">
      <w:pPr>
        <w:pStyle w:val="ARfinbullet1"/>
        <w:numPr>
          <w:ilvl w:val="0"/>
          <w:numId w:val="2"/>
        </w:numPr>
      </w:pPr>
      <w:r>
        <w:t>whether the co</w:t>
      </w:r>
      <w:r w:rsidRPr="00A54E8E">
        <w:t>ntract contains an identified asset, which is either explicitly identified in the contract or implicitly specified by being identified at the time the asset is made available to the department and for which the supplier does not have substantive substitution rights</w:t>
      </w:r>
    </w:p>
    <w:p w14:paraId="5A5E5C19" w14:textId="77777777" w:rsidR="005F4A7E" w:rsidRPr="00A54E8E" w:rsidRDefault="005F4A7E" w:rsidP="005F4A7E">
      <w:pPr>
        <w:pStyle w:val="ARfinbullet1"/>
        <w:numPr>
          <w:ilvl w:val="0"/>
          <w:numId w:val="2"/>
        </w:numPr>
      </w:pPr>
      <w:r w:rsidRPr="00A54E8E">
        <w:t>whether the department has the right to obtain substantially all of the economic benefits from use of the identified asset throughout the period of use, considering its rights within the defined scope of the contract</w:t>
      </w:r>
      <w:r>
        <w:t>,</w:t>
      </w:r>
      <w:r w:rsidRPr="00A54E8E">
        <w:t xml:space="preserve"> and the department has the right to direct the use of the identified asset throughout the period of use, and</w:t>
      </w:r>
    </w:p>
    <w:p w14:paraId="71000495" w14:textId="6DAD5816" w:rsidR="005F4A7E" w:rsidRDefault="005F4A7E" w:rsidP="005F4A7E">
      <w:pPr>
        <w:pStyle w:val="ARfinbullet1"/>
        <w:numPr>
          <w:ilvl w:val="0"/>
          <w:numId w:val="2"/>
        </w:numPr>
      </w:pPr>
      <w:r w:rsidRPr="00A54E8E">
        <w:t>whether the departmen</w:t>
      </w:r>
      <w:r>
        <w:t xml:space="preserve">t has the right to make decisions in respect of </w:t>
      </w:r>
      <w:r w:rsidR="007D145B">
        <w:t>‘</w:t>
      </w:r>
      <w:r>
        <w:t>how and for what purpose</w:t>
      </w:r>
      <w:r w:rsidR="007D145B">
        <w:t>’</w:t>
      </w:r>
      <w:r>
        <w:t xml:space="preserve"> the asset is used throughout the period of use.</w:t>
      </w:r>
    </w:p>
    <w:p w14:paraId="28BCB407" w14:textId="77777777" w:rsidR="005F4A7E" w:rsidRDefault="005F4A7E" w:rsidP="00130D1C">
      <w:pPr>
        <w:pStyle w:val="ARfinbody"/>
        <w:rPr>
          <w:rFonts w:asciiTheme="majorHAnsi" w:eastAsiaTheme="majorEastAsia" w:hAnsiTheme="majorHAnsi" w:cstheme="majorBidi"/>
          <w:bCs/>
          <w:color w:val="0070C0"/>
          <w:spacing w:val="-2"/>
          <w:szCs w:val="26"/>
        </w:rPr>
      </w:pPr>
      <w:r>
        <w:t>This policy is applied to contracts entered into, or changed, on or after 1 July 2019.</w:t>
      </w:r>
    </w:p>
    <w:p w14:paraId="6A533999" w14:textId="77777777" w:rsidR="005F4A7E" w:rsidRDefault="005F4A7E" w:rsidP="00130D1C">
      <w:pPr>
        <w:pStyle w:val="Heading6"/>
      </w:pPr>
      <w:bookmarkStart w:id="949" w:name="_Toc85121472"/>
      <w:r>
        <w:t>Separation of lease and non-lease components</w:t>
      </w:r>
      <w:bookmarkEnd w:id="949"/>
    </w:p>
    <w:p w14:paraId="15D5803F" w14:textId="77777777" w:rsidR="005F4A7E" w:rsidRDefault="005F4A7E" w:rsidP="00130D1C">
      <w:pPr>
        <w:pStyle w:val="ARfinbody"/>
      </w:pPr>
      <w:r>
        <w:t>At inception or on reassessment of a contract that contains a lease component, the lessee is required to separate out and account separately for non-lease components within a lease contract and exclude these amounts when determining the lease liability and right-of-use asset amount.</w:t>
      </w:r>
    </w:p>
    <w:p w14:paraId="3AA5A650" w14:textId="77777777" w:rsidR="005F4A7E" w:rsidRDefault="005F4A7E" w:rsidP="00130D1C">
      <w:pPr>
        <w:pStyle w:val="Heading6"/>
      </w:pPr>
      <w:bookmarkStart w:id="950" w:name="_Toc85121473"/>
      <w:r>
        <w:t>Recognition and measurement of leases as a lessee</w:t>
      </w:r>
      <w:bookmarkEnd w:id="950"/>
    </w:p>
    <w:p w14:paraId="7FEA1217" w14:textId="77777777" w:rsidR="005F4A7E" w:rsidRDefault="005F4A7E" w:rsidP="00130D1C">
      <w:pPr>
        <w:pStyle w:val="Heading7"/>
      </w:pPr>
      <w:bookmarkStart w:id="951" w:name="_Toc85121474"/>
      <w:r>
        <w:t>Lease liability – initial measurement</w:t>
      </w:r>
      <w:bookmarkEnd w:id="951"/>
    </w:p>
    <w:p w14:paraId="51C5040D" w14:textId="1A5FC3A8" w:rsidR="005F4A7E" w:rsidRDefault="005F4A7E" w:rsidP="00130D1C">
      <w:pPr>
        <w:pStyle w:val="ARfinbody"/>
        <w:rPr>
          <w:rFonts w:eastAsia="Arial" w:cs="Times New Roman"/>
        </w:rPr>
      </w:pPr>
      <w:r>
        <w:t>Lease liability is initially measured at the present value of the lease payments unpaid at the commencement date, discounted using the interest rate implicit in the lease if that rate is readily determinable or the department</w:t>
      </w:r>
      <w:r w:rsidR="007D145B">
        <w:t>’</w:t>
      </w:r>
      <w:r>
        <w:t>s incremental borrowing rate.</w:t>
      </w:r>
    </w:p>
    <w:p w14:paraId="0E393EC4" w14:textId="77777777" w:rsidR="005F4A7E" w:rsidRDefault="005F4A7E" w:rsidP="00130D1C">
      <w:pPr>
        <w:pStyle w:val="ARfinbody"/>
      </w:pPr>
      <w:r>
        <w:t>Lease payments included in the measurement of the lease liability comprise the following:</w:t>
      </w:r>
    </w:p>
    <w:p w14:paraId="4529A917" w14:textId="77777777" w:rsidR="005F4A7E" w:rsidRPr="00A54E8E" w:rsidRDefault="005F4A7E" w:rsidP="005F4A7E">
      <w:pPr>
        <w:pStyle w:val="ARfinbullet1"/>
        <w:numPr>
          <w:ilvl w:val="0"/>
          <w:numId w:val="2"/>
        </w:numPr>
      </w:pPr>
      <w:r>
        <w:t>fixed pa</w:t>
      </w:r>
      <w:r w:rsidRPr="00A54E8E">
        <w:t>yments (including in-substance fixed payments)</w:t>
      </w:r>
    </w:p>
    <w:p w14:paraId="6A48A08F" w14:textId="77777777" w:rsidR="005F4A7E" w:rsidRPr="00A54E8E" w:rsidRDefault="005F4A7E" w:rsidP="005F4A7E">
      <w:pPr>
        <w:pStyle w:val="ARfinbullet1"/>
        <w:numPr>
          <w:ilvl w:val="0"/>
          <w:numId w:val="2"/>
        </w:numPr>
      </w:pPr>
      <w:r w:rsidRPr="00A54E8E">
        <w:t>variable payments based on an index or rate, initially measured using the index or rate as at the commencement date</w:t>
      </w:r>
    </w:p>
    <w:p w14:paraId="7F44798B" w14:textId="77777777" w:rsidR="005F4A7E" w:rsidRPr="00A54E8E" w:rsidRDefault="005F4A7E" w:rsidP="005F4A7E">
      <w:pPr>
        <w:pStyle w:val="ARfinbullet1"/>
        <w:numPr>
          <w:ilvl w:val="0"/>
          <w:numId w:val="2"/>
        </w:numPr>
      </w:pPr>
      <w:r w:rsidRPr="00A54E8E">
        <w:t>amounts expected to be payable under a residual value guarantee, and</w:t>
      </w:r>
    </w:p>
    <w:p w14:paraId="00F7C369" w14:textId="77777777" w:rsidR="005F4A7E" w:rsidRDefault="005F4A7E" w:rsidP="005F4A7E">
      <w:pPr>
        <w:pStyle w:val="ARfinbullet1"/>
        <w:numPr>
          <w:ilvl w:val="0"/>
          <w:numId w:val="2"/>
        </w:numPr>
      </w:pPr>
      <w:r w:rsidRPr="00A54E8E">
        <w:t>payments aris</w:t>
      </w:r>
      <w:r>
        <w:t>ing from purchase and termination options reasonably certain to be exercised.</w:t>
      </w:r>
    </w:p>
    <w:p w14:paraId="3C1034A3" w14:textId="77777777" w:rsidR="005F4A7E" w:rsidRDefault="005F4A7E" w:rsidP="00130D1C">
      <w:pPr>
        <w:pStyle w:val="Heading7"/>
      </w:pPr>
      <w:bookmarkStart w:id="952" w:name="_Toc85121475"/>
      <w:r>
        <w:lastRenderedPageBreak/>
        <w:t>Lease liability – subsequent measurement</w:t>
      </w:r>
      <w:bookmarkEnd w:id="952"/>
    </w:p>
    <w:p w14:paraId="54C03279" w14:textId="77777777" w:rsidR="005F4A7E" w:rsidRDefault="005F4A7E" w:rsidP="00130D1C">
      <w:pPr>
        <w:pStyle w:val="ARfinbody"/>
        <w:rPr>
          <w:rFonts w:eastAsia="Arial" w:cs="Times New Roman"/>
        </w:rPr>
      </w:pPr>
      <w:r>
        <w:t>Subsequent to initial measurement, the lease liability will be reduced for payments made and increased for interest. It is remeasured to reflect any reassessment or modification, or if there are changes in in-substance fixed payments</w:t>
      </w:r>
      <w:r>
        <w:rPr>
          <w:rFonts w:asciiTheme="majorHAnsi" w:eastAsiaTheme="majorEastAsia" w:hAnsiTheme="majorHAnsi" w:cstheme="majorBidi"/>
          <w:bCs/>
          <w:spacing w:val="-2"/>
          <w:szCs w:val="26"/>
        </w:rPr>
        <w:t xml:space="preserve">. </w:t>
      </w:r>
      <w:r>
        <w:t>When the lease liability is remeasured, the corresponding adjustment is reflected in the right-of-use asset, or profit and loss if the right-of-use asset is already reduced to zero</w:t>
      </w:r>
      <w:r>
        <w:rPr>
          <w:rFonts w:eastAsia="Arial" w:cs="Times New Roman"/>
          <w:color w:val="0070C0"/>
        </w:rPr>
        <w:t>.</w:t>
      </w:r>
    </w:p>
    <w:p w14:paraId="6C5D286B" w14:textId="77777777" w:rsidR="005F4A7E" w:rsidRDefault="005F4A7E" w:rsidP="00130D1C">
      <w:pPr>
        <w:pStyle w:val="Heading7"/>
      </w:pPr>
      <w:bookmarkStart w:id="953" w:name="_Toc85121476"/>
      <w:r>
        <w:t>Short-term leases and leases of low-value assets</w:t>
      </w:r>
      <w:bookmarkEnd w:id="953"/>
    </w:p>
    <w:p w14:paraId="4CE47041" w14:textId="77777777" w:rsidR="005F4A7E" w:rsidRDefault="005F4A7E" w:rsidP="00130D1C">
      <w:pPr>
        <w:pStyle w:val="ARfinbody"/>
      </w:pPr>
      <w:r>
        <w:t>The department has elected to account for short-term leases and leases of low-value assets using the practical expedients. Instead of recognising a right-of-use asset and lease liability, the payments in relation to these types of leases are recognised as an expense in the comprehensive operating statement on a straight-line basis over the lease term.</w:t>
      </w:r>
    </w:p>
    <w:p w14:paraId="72B3504B" w14:textId="77777777" w:rsidR="005F4A7E" w:rsidRDefault="005F4A7E" w:rsidP="00130D1C">
      <w:pPr>
        <w:pStyle w:val="Heading7"/>
      </w:pPr>
      <w:bookmarkStart w:id="954" w:name="_Toc85121477"/>
      <w:r>
        <w:t>Below-market/peppercorn leases</w:t>
      </w:r>
      <w:bookmarkEnd w:id="954"/>
    </w:p>
    <w:p w14:paraId="641C2F8D" w14:textId="77777777" w:rsidR="005F4A7E" w:rsidRDefault="005F4A7E" w:rsidP="00130D1C">
      <w:pPr>
        <w:pStyle w:val="ARfinbody"/>
      </w:pPr>
      <w:r>
        <w:t>Right-of-use assets under leases at significantly below-market terms and conditions that are entered into principally to enable the department to further its objectives, are initially and subsequently measured at cost</w:t>
      </w:r>
      <w:r>
        <w:rPr>
          <w:color w:val="0070C0"/>
        </w:rPr>
        <w:t xml:space="preserve">. </w:t>
      </w:r>
      <w:r>
        <w:t>These right-of-use assets are depreciated on a straight-line basis over the shorter of the lease term and the estimated useful lives of the assets.</w:t>
      </w:r>
    </w:p>
    <w:p w14:paraId="28591A0D" w14:textId="77777777" w:rsidR="005F4A7E" w:rsidRDefault="005F4A7E" w:rsidP="00130D1C">
      <w:pPr>
        <w:pStyle w:val="Heading7"/>
      </w:pPr>
      <w:bookmarkStart w:id="955" w:name="_Toc85121478"/>
      <w:r>
        <w:t>Presentation of right-of-use assets and lease liabilities</w:t>
      </w:r>
      <w:bookmarkEnd w:id="955"/>
    </w:p>
    <w:p w14:paraId="7D4938CA" w14:textId="7EE798DE" w:rsidR="005F4A7E" w:rsidRDefault="005F4A7E" w:rsidP="00130D1C">
      <w:pPr>
        <w:pStyle w:val="ARfinbody"/>
        <w:rPr>
          <w:rFonts w:eastAsia="Arial" w:cs="Times New Roman"/>
        </w:rPr>
      </w:pPr>
      <w:r>
        <w:t xml:space="preserve">The department presents right-of-use assets as </w:t>
      </w:r>
      <w:r w:rsidR="007D145B">
        <w:t>‘</w:t>
      </w:r>
      <w:r>
        <w:t>property, plant and equipment</w:t>
      </w:r>
      <w:r w:rsidR="007D145B">
        <w:t>’</w:t>
      </w:r>
      <w:r>
        <w:t xml:space="preserve"> unless they meet the definition of investment property, in which case they are disclosed as </w:t>
      </w:r>
      <w:r w:rsidR="007D145B">
        <w:t>‘</w:t>
      </w:r>
      <w:r>
        <w:t>investment property</w:t>
      </w:r>
      <w:r w:rsidR="007D145B">
        <w:t>’</w:t>
      </w:r>
      <w:r>
        <w:t xml:space="preserve"> in the balance sheet. Lease liabilities are presented as </w:t>
      </w:r>
      <w:r w:rsidR="007D145B">
        <w:t>‘</w:t>
      </w:r>
      <w:r>
        <w:t>borrowings</w:t>
      </w:r>
      <w:r w:rsidR="007D145B">
        <w:t>’</w:t>
      </w:r>
      <w:r>
        <w:t xml:space="preserve"> in the balance sheet</w:t>
      </w:r>
      <w:r>
        <w:rPr>
          <w:rFonts w:eastAsia="Arial" w:cs="Times New Roman"/>
        </w:rPr>
        <w:t>.</w:t>
      </w:r>
    </w:p>
    <w:p w14:paraId="7D1495F0" w14:textId="77777777" w:rsidR="005F4A7E" w:rsidRDefault="005F4A7E" w:rsidP="00130D1C">
      <w:pPr>
        <w:pStyle w:val="Heading4"/>
        <w:rPr>
          <w:lang w:eastAsia="en-AU"/>
        </w:rPr>
      </w:pPr>
      <w:bookmarkStart w:id="956" w:name="_Toc39242158"/>
      <w:bookmarkStart w:id="957" w:name="_Toc85121479"/>
      <w:r>
        <w:rPr>
          <w:lang w:eastAsia="en-AU"/>
        </w:rPr>
        <w:t>7.3 Cash flow information and balances</w:t>
      </w:r>
      <w:bookmarkEnd w:id="956"/>
      <w:bookmarkEnd w:id="957"/>
    </w:p>
    <w:p w14:paraId="19C9226F" w14:textId="77777777" w:rsidR="005F4A7E" w:rsidRDefault="005F4A7E" w:rsidP="00130D1C">
      <w:pPr>
        <w:pStyle w:val="ARfinbody"/>
      </w:pPr>
      <w:r>
        <w:t>Cash and deposits, including cash equivalents, comprise cash on hand and cash at bank, deposits at call and highly liquid investments with an original maturity of three months or less, which are held for the purpose of meeting short-term cash commitments rather than for investment purposes and are readily convertible to known amounts of cash with an insignificant risk of changes in value.</w:t>
      </w:r>
    </w:p>
    <w:tbl>
      <w:tblPr>
        <w:tblStyle w:val="TableGrid"/>
        <w:tblW w:w="9637" w:type="dxa"/>
        <w:tblLayout w:type="fixed"/>
        <w:tblLook w:val="06A0" w:firstRow="1" w:lastRow="0" w:firstColumn="1" w:lastColumn="0" w:noHBand="1" w:noVBand="1"/>
      </w:tblPr>
      <w:tblGrid>
        <w:gridCol w:w="7369"/>
        <w:gridCol w:w="1134"/>
        <w:gridCol w:w="1134"/>
      </w:tblGrid>
      <w:tr w:rsidR="005F4A7E" w:rsidRPr="002029AF" w14:paraId="13C4EB82"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hideMark/>
          </w:tcPr>
          <w:p w14:paraId="543AB4BF" w14:textId="77777777" w:rsidR="005F4A7E" w:rsidRPr="002029AF" w:rsidRDefault="005F4A7E" w:rsidP="00860E95">
            <w:pPr>
              <w:pStyle w:val="ARfintablecolhead"/>
            </w:pPr>
            <w:r w:rsidRPr="002029AF">
              <w:t>Total cash and deposits disclosed in the balance sheet</w:t>
            </w:r>
          </w:p>
        </w:tc>
        <w:tc>
          <w:tcPr>
            <w:tcW w:w="1134" w:type="dxa"/>
            <w:tcBorders>
              <w:bottom w:val="single" w:sz="4" w:space="0" w:color="auto"/>
            </w:tcBorders>
            <w:shd w:val="clear" w:color="auto" w:fill="E7E6E6"/>
            <w:hideMark/>
          </w:tcPr>
          <w:p w14:paraId="6B34D49B" w14:textId="77777777" w:rsidR="005F4A7E" w:rsidRPr="002029AF" w:rsidRDefault="005F4A7E" w:rsidP="00860E95">
            <w:pPr>
              <w:pStyle w:val="ARfintablecolheadright"/>
            </w:pPr>
            <w:r>
              <w:t>2021</w:t>
            </w:r>
          </w:p>
          <w:p w14:paraId="64CD3A9D" w14:textId="77777777" w:rsidR="005F4A7E" w:rsidRPr="002029AF" w:rsidRDefault="005F4A7E" w:rsidP="00860E95">
            <w:pPr>
              <w:pStyle w:val="ARfintablecolheadright"/>
            </w:pPr>
            <w:r w:rsidRPr="002029AF">
              <w:t>$M</w:t>
            </w:r>
          </w:p>
        </w:tc>
        <w:tc>
          <w:tcPr>
            <w:tcW w:w="1134" w:type="dxa"/>
            <w:tcBorders>
              <w:bottom w:val="single" w:sz="4" w:space="0" w:color="auto"/>
            </w:tcBorders>
            <w:hideMark/>
          </w:tcPr>
          <w:p w14:paraId="304E8010" w14:textId="77777777" w:rsidR="005F4A7E" w:rsidRPr="002029AF" w:rsidRDefault="005F4A7E" w:rsidP="00860E95">
            <w:pPr>
              <w:pStyle w:val="ARfintablecolheadright"/>
            </w:pPr>
            <w:r>
              <w:t>2020</w:t>
            </w:r>
          </w:p>
          <w:p w14:paraId="4E93B649" w14:textId="77777777" w:rsidR="005F4A7E" w:rsidRPr="002029AF" w:rsidRDefault="005F4A7E" w:rsidP="00860E95">
            <w:pPr>
              <w:pStyle w:val="ARfintablecolheadright"/>
            </w:pPr>
            <w:r w:rsidRPr="002029AF">
              <w:t>$M</w:t>
            </w:r>
          </w:p>
        </w:tc>
      </w:tr>
      <w:tr w:rsidR="005F4A7E" w:rsidRPr="002029AF" w14:paraId="6D765B74" w14:textId="77777777" w:rsidTr="00130D1C">
        <w:tc>
          <w:tcPr>
            <w:tcW w:w="7369" w:type="dxa"/>
            <w:tcBorders>
              <w:top w:val="single" w:sz="4" w:space="0" w:color="auto"/>
              <w:bottom w:val="single" w:sz="4" w:space="0" w:color="A6A6A6"/>
            </w:tcBorders>
            <w:hideMark/>
          </w:tcPr>
          <w:p w14:paraId="048B9DAA" w14:textId="77777777" w:rsidR="005F4A7E" w:rsidRPr="002029AF" w:rsidRDefault="005F4A7E" w:rsidP="00130D1C">
            <w:pPr>
              <w:pStyle w:val="ARfintablebody"/>
            </w:pPr>
            <w:r w:rsidRPr="005A49FE">
              <w:t xml:space="preserve">Short-term deposits </w:t>
            </w:r>
            <w:r w:rsidRPr="00EF55EF">
              <w:rPr>
                <w:rStyle w:val="Superscript"/>
              </w:rPr>
              <w:t>(i)</w:t>
            </w:r>
          </w:p>
        </w:tc>
        <w:tc>
          <w:tcPr>
            <w:tcW w:w="1134" w:type="dxa"/>
            <w:tcBorders>
              <w:top w:val="single" w:sz="4" w:space="0" w:color="auto"/>
              <w:bottom w:val="single" w:sz="4" w:space="0" w:color="A6A6A6"/>
            </w:tcBorders>
            <w:shd w:val="clear" w:color="auto" w:fill="E7E6E6"/>
            <w:noWrap/>
            <w:hideMark/>
          </w:tcPr>
          <w:p w14:paraId="7B2C4883" w14:textId="77777777" w:rsidR="005F4A7E" w:rsidRPr="002029AF" w:rsidRDefault="005F4A7E" w:rsidP="00130D1C">
            <w:pPr>
              <w:pStyle w:val="ARfintablebodyright"/>
            </w:pPr>
            <w:r w:rsidRPr="005A49FE">
              <w:t>705.7</w:t>
            </w:r>
          </w:p>
        </w:tc>
        <w:tc>
          <w:tcPr>
            <w:tcW w:w="1134" w:type="dxa"/>
            <w:tcBorders>
              <w:top w:val="single" w:sz="4" w:space="0" w:color="auto"/>
              <w:bottom w:val="single" w:sz="4" w:space="0" w:color="A6A6A6"/>
            </w:tcBorders>
            <w:noWrap/>
            <w:hideMark/>
          </w:tcPr>
          <w:p w14:paraId="6CE6CDE9" w14:textId="77777777" w:rsidR="005F4A7E" w:rsidRPr="002029AF" w:rsidRDefault="005F4A7E" w:rsidP="00130D1C">
            <w:pPr>
              <w:pStyle w:val="ARfintablebodyright"/>
            </w:pPr>
            <w:r w:rsidRPr="005A49FE">
              <w:t>482.1</w:t>
            </w:r>
          </w:p>
        </w:tc>
      </w:tr>
      <w:tr w:rsidR="005F4A7E" w:rsidRPr="002029AF" w14:paraId="6AFF827E" w14:textId="77777777" w:rsidTr="00130D1C">
        <w:tc>
          <w:tcPr>
            <w:tcW w:w="7369" w:type="dxa"/>
            <w:tcBorders>
              <w:top w:val="single" w:sz="4" w:space="0" w:color="A6A6A6"/>
              <w:bottom w:val="single" w:sz="4" w:space="0" w:color="A6A6A6"/>
            </w:tcBorders>
            <w:hideMark/>
          </w:tcPr>
          <w:p w14:paraId="709F5C10" w14:textId="77777777" w:rsidR="005F4A7E" w:rsidRPr="002029AF" w:rsidRDefault="005F4A7E" w:rsidP="00130D1C">
            <w:pPr>
              <w:pStyle w:val="ARfintablebody"/>
            </w:pPr>
            <w:r w:rsidRPr="005A49FE">
              <w:t xml:space="preserve">Cash at bank </w:t>
            </w:r>
            <w:r w:rsidRPr="00EF55EF">
              <w:rPr>
                <w:rStyle w:val="Superscript"/>
              </w:rPr>
              <w:t>(i)(ii)</w:t>
            </w:r>
          </w:p>
        </w:tc>
        <w:tc>
          <w:tcPr>
            <w:tcW w:w="1134" w:type="dxa"/>
            <w:tcBorders>
              <w:top w:val="single" w:sz="4" w:space="0" w:color="A6A6A6"/>
              <w:bottom w:val="single" w:sz="4" w:space="0" w:color="A6A6A6"/>
            </w:tcBorders>
            <w:shd w:val="clear" w:color="auto" w:fill="E7E6E6"/>
            <w:noWrap/>
            <w:hideMark/>
          </w:tcPr>
          <w:p w14:paraId="2C9BB372" w14:textId="77777777" w:rsidR="005F4A7E" w:rsidRPr="002029AF" w:rsidRDefault="005F4A7E" w:rsidP="00130D1C">
            <w:pPr>
              <w:pStyle w:val="ARfintablebodyright"/>
            </w:pPr>
            <w:r w:rsidRPr="005A49FE">
              <w:t>38.4</w:t>
            </w:r>
          </w:p>
        </w:tc>
        <w:tc>
          <w:tcPr>
            <w:tcW w:w="1134" w:type="dxa"/>
            <w:tcBorders>
              <w:top w:val="single" w:sz="4" w:space="0" w:color="A6A6A6"/>
              <w:bottom w:val="single" w:sz="4" w:space="0" w:color="A6A6A6"/>
            </w:tcBorders>
            <w:noWrap/>
            <w:hideMark/>
          </w:tcPr>
          <w:p w14:paraId="6C3FE9F6" w14:textId="77777777" w:rsidR="005F4A7E" w:rsidRPr="002029AF" w:rsidRDefault="005F4A7E" w:rsidP="00130D1C">
            <w:pPr>
              <w:pStyle w:val="ARfintablebodyright"/>
            </w:pPr>
            <w:r w:rsidRPr="005A49FE">
              <w:t>(29.3)</w:t>
            </w:r>
          </w:p>
        </w:tc>
      </w:tr>
      <w:tr w:rsidR="005F4A7E" w:rsidRPr="002029AF" w14:paraId="01F4D8D3" w14:textId="77777777" w:rsidTr="00130D1C">
        <w:tc>
          <w:tcPr>
            <w:tcW w:w="7369" w:type="dxa"/>
            <w:tcBorders>
              <w:top w:val="single" w:sz="4" w:space="0" w:color="A6A6A6"/>
              <w:bottom w:val="single" w:sz="4" w:space="0" w:color="A6A6A6"/>
            </w:tcBorders>
            <w:hideMark/>
          </w:tcPr>
          <w:p w14:paraId="673E0CFD" w14:textId="77777777" w:rsidR="005F4A7E" w:rsidRPr="002029AF" w:rsidRDefault="005F4A7E" w:rsidP="00130D1C">
            <w:pPr>
              <w:pStyle w:val="ARfintablebody"/>
            </w:pPr>
            <w:r w:rsidRPr="005A49FE">
              <w:t>Funds held in trust</w:t>
            </w:r>
          </w:p>
        </w:tc>
        <w:tc>
          <w:tcPr>
            <w:tcW w:w="1134" w:type="dxa"/>
            <w:tcBorders>
              <w:top w:val="single" w:sz="4" w:space="0" w:color="A6A6A6"/>
              <w:bottom w:val="single" w:sz="4" w:space="0" w:color="A6A6A6"/>
            </w:tcBorders>
            <w:shd w:val="clear" w:color="auto" w:fill="E7E6E6"/>
            <w:noWrap/>
            <w:hideMark/>
          </w:tcPr>
          <w:p w14:paraId="5285316E" w14:textId="77777777" w:rsidR="005F4A7E" w:rsidRPr="002029AF" w:rsidRDefault="005F4A7E" w:rsidP="00130D1C">
            <w:pPr>
              <w:pStyle w:val="ARfintablebodyright"/>
            </w:pPr>
            <w:r w:rsidRPr="005A49FE">
              <w:t>169.7</w:t>
            </w:r>
          </w:p>
        </w:tc>
        <w:tc>
          <w:tcPr>
            <w:tcW w:w="1134" w:type="dxa"/>
            <w:tcBorders>
              <w:top w:val="single" w:sz="4" w:space="0" w:color="A6A6A6"/>
              <w:bottom w:val="single" w:sz="4" w:space="0" w:color="A6A6A6"/>
            </w:tcBorders>
            <w:noWrap/>
            <w:hideMark/>
          </w:tcPr>
          <w:p w14:paraId="5AC63BE6" w14:textId="77777777" w:rsidR="005F4A7E" w:rsidRPr="002029AF" w:rsidRDefault="005F4A7E" w:rsidP="00130D1C">
            <w:pPr>
              <w:pStyle w:val="ARfintablebodyright"/>
            </w:pPr>
            <w:r w:rsidRPr="005A49FE">
              <w:t>145.1</w:t>
            </w:r>
          </w:p>
        </w:tc>
      </w:tr>
      <w:tr w:rsidR="005F4A7E" w:rsidRPr="002029AF" w14:paraId="5DF2BEBF" w14:textId="77777777" w:rsidTr="00130D1C">
        <w:tc>
          <w:tcPr>
            <w:tcW w:w="7369" w:type="dxa"/>
            <w:tcBorders>
              <w:top w:val="single" w:sz="4" w:space="0" w:color="A6A6A6"/>
            </w:tcBorders>
            <w:hideMark/>
          </w:tcPr>
          <w:p w14:paraId="292ECA34" w14:textId="77777777" w:rsidR="005F4A7E" w:rsidRPr="002029AF" w:rsidRDefault="005F4A7E" w:rsidP="00130D1C">
            <w:pPr>
              <w:pStyle w:val="ARfintablebody"/>
            </w:pPr>
            <w:r w:rsidRPr="005A49FE">
              <w:t>Cash advances</w:t>
            </w:r>
          </w:p>
        </w:tc>
        <w:tc>
          <w:tcPr>
            <w:tcW w:w="1134" w:type="dxa"/>
            <w:tcBorders>
              <w:top w:val="single" w:sz="4" w:space="0" w:color="A6A6A6"/>
            </w:tcBorders>
            <w:shd w:val="clear" w:color="auto" w:fill="E7E6E6"/>
            <w:noWrap/>
            <w:hideMark/>
          </w:tcPr>
          <w:p w14:paraId="0310058A" w14:textId="77777777" w:rsidR="005F4A7E" w:rsidRPr="002029AF" w:rsidRDefault="005F4A7E" w:rsidP="00130D1C">
            <w:pPr>
              <w:pStyle w:val="ARfintablebodyright"/>
            </w:pPr>
            <w:r w:rsidRPr="005A49FE">
              <w:t>0.1</w:t>
            </w:r>
          </w:p>
        </w:tc>
        <w:tc>
          <w:tcPr>
            <w:tcW w:w="1134" w:type="dxa"/>
            <w:tcBorders>
              <w:top w:val="single" w:sz="4" w:space="0" w:color="A6A6A6"/>
            </w:tcBorders>
            <w:noWrap/>
            <w:hideMark/>
          </w:tcPr>
          <w:p w14:paraId="18B11EAE" w14:textId="77777777" w:rsidR="005F4A7E" w:rsidRPr="002029AF" w:rsidRDefault="005F4A7E" w:rsidP="00130D1C">
            <w:pPr>
              <w:pStyle w:val="ARfintablebodyright"/>
            </w:pPr>
            <w:r w:rsidRPr="005A49FE">
              <w:t>(0.2)</w:t>
            </w:r>
          </w:p>
        </w:tc>
      </w:tr>
      <w:tr w:rsidR="005F4A7E" w:rsidRPr="002029AF" w14:paraId="16DD0891" w14:textId="77777777" w:rsidTr="00130D1C">
        <w:tc>
          <w:tcPr>
            <w:tcW w:w="7369" w:type="dxa"/>
            <w:hideMark/>
          </w:tcPr>
          <w:p w14:paraId="448C8572" w14:textId="77777777" w:rsidR="005F4A7E" w:rsidRPr="002029AF" w:rsidRDefault="005F4A7E" w:rsidP="00130D1C">
            <w:pPr>
              <w:pStyle w:val="ARfintablebodybold"/>
            </w:pPr>
            <w:r w:rsidRPr="005A49FE">
              <w:t>Balance as per cash flow statement</w:t>
            </w:r>
          </w:p>
        </w:tc>
        <w:tc>
          <w:tcPr>
            <w:tcW w:w="1134" w:type="dxa"/>
            <w:shd w:val="clear" w:color="auto" w:fill="E7E6E6"/>
            <w:noWrap/>
            <w:hideMark/>
          </w:tcPr>
          <w:p w14:paraId="5DE83B02" w14:textId="77777777" w:rsidR="005F4A7E" w:rsidRPr="002029AF" w:rsidRDefault="005F4A7E" w:rsidP="00130D1C">
            <w:pPr>
              <w:pStyle w:val="ARfintablebodyrightbold"/>
            </w:pPr>
            <w:r w:rsidRPr="005A49FE">
              <w:t>913.9</w:t>
            </w:r>
          </w:p>
        </w:tc>
        <w:tc>
          <w:tcPr>
            <w:tcW w:w="1134" w:type="dxa"/>
            <w:noWrap/>
            <w:hideMark/>
          </w:tcPr>
          <w:p w14:paraId="312C9857" w14:textId="77777777" w:rsidR="005F4A7E" w:rsidRPr="002029AF" w:rsidRDefault="005F4A7E" w:rsidP="00130D1C">
            <w:pPr>
              <w:pStyle w:val="ARfintablebodyrightbold"/>
            </w:pPr>
            <w:r w:rsidRPr="005A49FE">
              <w:t>597.7</w:t>
            </w:r>
          </w:p>
        </w:tc>
      </w:tr>
    </w:tbl>
    <w:p w14:paraId="389E56AD" w14:textId="77777777" w:rsidR="005F4A7E" w:rsidRDefault="005F4A7E" w:rsidP="00130D1C">
      <w:pPr>
        <w:pStyle w:val="ARfintablefootnote"/>
      </w:pPr>
      <w:r>
        <w:t>Notes:</w:t>
      </w:r>
    </w:p>
    <w:p w14:paraId="2D7006F0" w14:textId="77777777" w:rsidR="005F4A7E" w:rsidRDefault="005F4A7E" w:rsidP="00130D1C">
      <w:pPr>
        <w:pStyle w:val="ARfintablefootnoteindent"/>
      </w:pPr>
      <w:r>
        <w:t>(i)</w:t>
      </w:r>
      <w:r>
        <w:tab/>
        <w:t>Cash and short-term deposits include funds held by the Director of Housing in the Central Banking System as well as funds that have been committed to a number of significant projects and are expected to be expensed in 2021–22 (as disclosed in Note 7.5).</w:t>
      </w:r>
    </w:p>
    <w:p w14:paraId="3DC6E1BB" w14:textId="77777777" w:rsidR="005F4A7E" w:rsidRDefault="005F4A7E" w:rsidP="00130D1C">
      <w:pPr>
        <w:pStyle w:val="ARfintablefootnoteindent"/>
      </w:pPr>
      <w:r>
        <w:t>(ii)</w:t>
      </w:r>
      <w:r>
        <w:tab/>
        <w:t>Cash at bank was in overdraft due to timing difference of salary payment withdrawn on 30 June 2020 and the replenishment from the Department of Treasury and Finance on 1 July 2020.</w:t>
      </w:r>
    </w:p>
    <w:p w14:paraId="11CE93C9" w14:textId="74CCB59B" w:rsidR="005F4A7E" w:rsidRDefault="005F4A7E" w:rsidP="00130D1C">
      <w:pPr>
        <w:pStyle w:val="ARfinbodyaftertable"/>
      </w:pPr>
      <w:r>
        <w:t>Due to the state</w:t>
      </w:r>
      <w:r w:rsidR="007D145B">
        <w:t>’</w:t>
      </w:r>
      <w:r>
        <w:t>s investment policy and funding arrangements, the department does not hold a large cash reserve in its bank accounts. Cash received from generation of income is generally paid into the state</w:t>
      </w:r>
      <w:r w:rsidR="007D145B">
        <w:t>’</w:t>
      </w:r>
      <w:r>
        <w:t>s bank account (</w:t>
      </w:r>
      <w:r w:rsidR="007D145B">
        <w:t>‘</w:t>
      </w:r>
      <w:r>
        <w:t>public account</w:t>
      </w:r>
      <w:r w:rsidR="007D145B">
        <w:t>’</w:t>
      </w:r>
      <w:r>
        <w:t>). Similarly, departmental expenditure, including in the form of cheques drawn for the payments to its suppliers and creditors, are made via the public account. The public account remits to the department the cash required upon presentation of cheques by the department</w:t>
      </w:r>
      <w:r w:rsidR="007D145B">
        <w:t>’</w:t>
      </w:r>
      <w:r>
        <w:t>s suppliers or creditors.</w:t>
      </w:r>
    </w:p>
    <w:p w14:paraId="3D08391F" w14:textId="77777777" w:rsidR="005F4A7E" w:rsidRPr="00EF55EF" w:rsidRDefault="005F4A7E" w:rsidP="00130D1C">
      <w:pPr>
        <w:pStyle w:val="ARfinbody"/>
      </w:pPr>
      <w:r w:rsidRPr="00EF55EF">
        <w:br w:type="page"/>
      </w:r>
    </w:p>
    <w:p w14:paraId="7F842F74" w14:textId="77777777" w:rsidR="005F4A7E" w:rsidRDefault="005F4A7E" w:rsidP="00130D1C">
      <w:pPr>
        <w:pStyle w:val="Heading5"/>
        <w:spacing w:after="160"/>
      </w:pPr>
      <w:bookmarkStart w:id="958" w:name="_Toc85121480"/>
      <w:r>
        <w:rPr>
          <w:lang w:eastAsia="en-AU"/>
        </w:rPr>
        <w:lastRenderedPageBreak/>
        <w:t>7.3.1 Reconciliation of net result for the period to net cash flow from operating activities</w:t>
      </w:r>
      <w:bookmarkEnd w:id="958"/>
    </w:p>
    <w:tbl>
      <w:tblPr>
        <w:tblStyle w:val="TableGrid"/>
        <w:tblW w:w="9637" w:type="dxa"/>
        <w:tblLayout w:type="fixed"/>
        <w:tblLook w:val="06A0" w:firstRow="1" w:lastRow="0" w:firstColumn="1" w:lastColumn="0" w:noHBand="1" w:noVBand="1"/>
      </w:tblPr>
      <w:tblGrid>
        <w:gridCol w:w="7369"/>
        <w:gridCol w:w="1134"/>
        <w:gridCol w:w="1134"/>
      </w:tblGrid>
      <w:tr w:rsidR="005F4A7E" w:rsidRPr="002029AF" w14:paraId="048F9515"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7369" w:type="dxa"/>
            <w:hideMark/>
          </w:tcPr>
          <w:p w14:paraId="0D1D6324" w14:textId="77777777" w:rsidR="005F4A7E" w:rsidRPr="002029AF" w:rsidRDefault="005F4A7E" w:rsidP="00860E95">
            <w:pPr>
              <w:pStyle w:val="ARfintablecolhead"/>
            </w:pPr>
          </w:p>
        </w:tc>
        <w:tc>
          <w:tcPr>
            <w:tcW w:w="1134" w:type="dxa"/>
            <w:shd w:val="clear" w:color="auto" w:fill="E7E6E6"/>
            <w:hideMark/>
          </w:tcPr>
          <w:p w14:paraId="3B710211" w14:textId="77777777" w:rsidR="005F4A7E" w:rsidRPr="002029AF" w:rsidRDefault="005F4A7E" w:rsidP="00860E95">
            <w:pPr>
              <w:pStyle w:val="ARfintablecolheadright"/>
            </w:pPr>
            <w:r>
              <w:t>2021</w:t>
            </w:r>
          </w:p>
          <w:p w14:paraId="79692389" w14:textId="77777777" w:rsidR="005F4A7E" w:rsidRPr="002029AF" w:rsidRDefault="005F4A7E" w:rsidP="00860E95">
            <w:pPr>
              <w:pStyle w:val="ARfintablecolheadright"/>
            </w:pPr>
            <w:r w:rsidRPr="002029AF">
              <w:t>$M</w:t>
            </w:r>
          </w:p>
        </w:tc>
        <w:tc>
          <w:tcPr>
            <w:tcW w:w="1134" w:type="dxa"/>
            <w:hideMark/>
          </w:tcPr>
          <w:p w14:paraId="5185250C" w14:textId="77777777" w:rsidR="005F4A7E" w:rsidRPr="002029AF" w:rsidRDefault="005F4A7E" w:rsidP="00860E95">
            <w:pPr>
              <w:pStyle w:val="ARfintablecolheadright"/>
            </w:pPr>
            <w:r>
              <w:t>2020</w:t>
            </w:r>
          </w:p>
          <w:p w14:paraId="7BEB14F2" w14:textId="77777777" w:rsidR="005F4A7E" w:rsidRPr="002029AF" w:rsidRDefault="005F4A7E" w:rsidP="00860E95">
            <w:pPr>
              <w:pStyle w:val="ARfintablecolheadright"/>
            </w:pPr>
            <w:r w:rsidRPr="002029AF">
              <w:t>$M</w:t>
            </w:r>
          </w:p>
        </w:tc>
      </w:tr>
      <w:tr w:rsidR="005F4A7E" w:rsidRPr="002029AF" w14:paraId="76B80C06" w14:textId="77777777" w:rsidTr="00860E95">
        <w:tc>
          <w:tcPr>
            <w:tcW w:w="7369" w:type="dxa"/>
            <w:tcBorders>
              <w:bottom w:val="single" w:sz="4" w:space="0" w:color="auto"/>
            </w:tcBorders>
            <w:hideMark/>
          </w:tcPr>
          <w:p w14:paraId="13570233" w14:textId="77777777" w:rsidR="005F4A7E" w:rsidRPr="002029AF" w:rsidRDefault="005F4A7E" w:rsidP="00130D1C">
            <w:pPr>
              <w:pStyle w:val="ARfintablebodybold"/>
            </w:pPr>
            <w:r w:rsidRPr="001453EA">
              <w:t>Net result for the period</w:t>
            </w:r>
          </w:p>
        </w:tc>
        <w:tc>
          <w:tcPr>
            <w:tcW w:w="1134" w:type="dxa"/>
            <w:tcBorders>
              <w:bottom w:val="single" w:sz="4" w:space="0" w:color="auto"/>
            </w:tcBorders>
            <w:shd w:val="clear" w:color="auto" w:fill="E7E6E6"/>
            <w:noWrap/>
            <w:hideMark/>
          </w:tcPr>
          <w:p w14:paraId="0BFC2184" w14:textId="77777777" w:rsidR="005F4A7E" w:rsidRPr="002029AF" w:rsidRDefault="005F4A7E" w:rsidP="00130D1C">
            <w:pPr>
              <w:pStyle w:val="ARfintablebodyright"/>
            </w:pPr>
            <w:r w:rsidRPr="001453EA">
              <w:t>513.9</w:t>
            </w:r>
          </w:p>
        </w:tc>
        <w:tc>
          <w:tcPr>
            <w:tcW w:w="1134" w:type="dxa"/>
            <w:tcBorders>
              <w:bottom w:val="single" w:sz="4" w:space="0" w:color="auto"/>
            </w:tcBorders>
            <w:noWrap/>
            <w:hideMark/>
          </w:tcPr>
          <w:p w14:paraId="629E8743" w14:textId="77777777" w:rsidR="005F4A7E" w:rsidRPr="002029AF" w:rsidRDefault="005F4A7E" w:rsidP="00130D1C">
            <w:pPr>
              <w:pStyle w:val="ARfintablebodyright"/>
            </w:pPr>
            <w:r w:rsidRPr="001453EA">
              <w:t>545.4</w:t>
            </w:r>
          </w:p>
        </w:tc>
      </w:tr>
      <w:tr w:rsidR="005F4A7E" w:rsidRPr="002029AF" w14:paraId="090B8DFA" w14:textId="77777777" w:rsidTr="00860E95">
        <w:tc>
          <w:tcPr>
            <w:tcW w:w="9637" w:type="dxa"/>
            <w:gridSpan w:val="3"/>
            <w:tcBorders>
              <w:top w:val="single" w:sz="4" w:space="0" w:color="auto"/>
              <w:bottom w:val="single" w:sz="4" w:space="0" w:color="A6A6A6"/>
            </w:tcBorders>
            <w:hideMark/>
          </w:tcPr>
          <w:p w14:paraId="0DB23799" w14:textId="77777777" w:rsidR="005F4A7E" w:rsidRPr="002029AF" w:rsidRDefault="005F4A7E" w:rsidP="00130D1C">
            <w:pPr>
              <w:pStyle w:val="ARfintablebodybold"/>
            </w:pPr>
            <w:r w:rsidRPr="001453EA">
              <w:t>Non-cash movements</w:t>
            </w:r>
          </w:p>
        </w:tc>
      </w:tr>
      <w:tr w:rsidR="005F4A7E" w:rsidRPr="002029AF" w14:paraId="41DA9693" w14:textId="77777777" w:rsidTr="00860E95">
        <w:tc>
          <w:tcPr>
            <w:tcW w:w="7369" w:type="dxa"/>
            <w:tcBorders>
              <w:top w:val="single" w:sz="4" w:space="0" w:color="A6A6A6"/>
              <w:bottom w:val="single" w:sz="4" w:space="0" w:color="A6A6A6"/>
            </w:tcBorders>
            <w:hideMark/>
          </w:tcPr>
          <w:p w14:paraId="1B525570" w14:textId="77777777" w:rsidR="005F4A7E" w:rsidRPr="002029AF" w:rsidRDefault="005F4A7E" w:rsidP="00130D1C">
            <w:pPr>
              <w:pStyle w:val="ARfintablebody"/>
            </w:pPr>
            <w:r w:rsidRPr="001453EA">
              <w:t>(Gain)/loss on sale of non-financial assets</w:t>
            </w:r>
          </w:p>
        </w:tc>
        <w:tc>
          <w:tcPr>
            <w:tcW w:w="1134" w:type="dxa"/>
            <w:tcBorders>
              <w:top w:val="single" w:sz="4" w:space="0" w:color="A6A6A6"/>
              <w:bottom w:val="single" w:sz="4" w:space="0" w:color="A6A6A6"/>
            </w:tcBorders>
            <w:shd w:val="clear" w:color="auto" w:fill="E7E6E6"/>
            <w:noWrap/>
            <w:hideMark/>
          </w:tcPr>
          <w:p w14:paraId="40A46435" w14:textId="77777777" w:rsidR="005F4A7E" w:rsidRPr="002029AF" w:rsidRDefault="005F4A7E" w:rsidP="00130D1C">
            <w:pPr>
              <w:pStyle w:val="ARfintablebodyright"/>
            </w:pPr>
            <w:r w:rsidRPr="001453EA">
              <w:t>3.0</w:t>
            </w:r>
          </w:p>
        </w:tc>
        <w:tc>
          <w:tcPr>
            <w:tcW w:w="1134" w:type="dxa"/>
            <w:tcBorders>
              <w:top w:val="single" w:sz="4" w:space="0" w:color="A6A6A6"/>
              <w:bottom w:val="single" w:sz="4" w:space="0" w:color="A6A6A6"/>
            </w:tcBorders>
            <w:noWrap/>
            <w:hideMark/>
          </w:tcPr>
          <w:p w14:paraId="7DA519C5" w14:textId="77777777" w:rsidR="005F4A7E" w:rsidRPr="002029AF" w:rsidRDefault="005F4A7E" w:rsidP="00130D1C">
            <w:pPr>
              <w:pStyle w:val="ARfintablebodyright"/>
            </w:pPr>
            <w:r w:rsidRPr="001453EA">
              <w:t>4.5</w:t>
            </w:r>
          </w:p>
        </w:tc>
      </w:tr>
      <w:tr w:rsidR="005F4A7E" w:rsidRPr="002029AF" w14:paraId="1B54DFD0" w14:textId="77777777" w:rsidTr="00860E95">
        <w:tc>
          <w:tcPr>
            <w:tcW w:w="7369" w:type="dxa"/>
            <w:tcBorders>
              <w:top w:val="single" w:sz="4" w:space="0" w:color="A6A6A6"/>
              <w:bottom w:val="single" w:sz="4" w:space="0" w:color="A6A6A6"/>
            </w:tcBorders>
            <w:hideMark/>
          </w:tcPr>
          <w:p w14:paraId="79CF508D" w14:textId="77777777" w:rsidR="005F4A7E" w:rsidRPr="002029AF" w:rsidRDefault="005F4A7E" w:rsidP="00130D1C">
            <w:pPr>
              <w:pStyle w:val="ARfintablebody"/>
            </w:pPr>
            <w:r w:rsidRPr="001453EA">
              <w:t>Depreciation and amortisation</w:t>
            </w:r>
          </w:p>
        </w:tc>
        <w:tc>
          <w:tcPr>
            <w:tcW w:w="1134" w:type="dxa"/>
            <w:tcBorders>
              <w:top w:val="single" w:sz="4" w:space="0" w:color="A6A6A6"/>
              <w:bottom w:val="single" w:sz="4" w:space="0" w:color="A6A6A6"/>
            </w:tcBorders>
            <w:shd w:val="clear" w:color="auto" w:fill="E7E6E6"/>
            <w:noWrap/>
            <w:hideMark/>
          </w:tcPr>
          <w:p w14:paraId="2152388C" w14:textId="77777777" w:rsidR="005F4A7E" w:rsidRPr="002029AF" w:rsidRDefault="005F4A7E" w:rsidP="00130D1C">
            <w:pPr>
              <w:pStyle w:val="ARfintablebodyright"/>
            </w:pPr>
            <w:r w:rsidRPr="001453EA">
              <w:t>345.1</w:t>
            </w:r>
          </w:p>
        </w:tc>
        <w:tc>
          <w:tcPr>
            <w:tcW w:w="1134" w:type="dxa"/>
            <w:tcBorders>
              <w:top w:val="single" w:sz="4" w:space="0" w:color="A6A6A6"/>
              <w:bottom w:val="single" w:sz="4" w:space="0" w:color="A6A6A6"/>
            </w:tcBorders>
            <w:noWrap/>
            <w:hideMark/>
          </w:tcPr>
          <w:p w14:paraId="6A500822" w14:textId="77777777" w:rsidR="005F4A7E" w:rsidRPr="002029AF" w:rsidRDefault="005F4A7E" w:rsidP="00130D1C">
            <w:pPr>
              <w:pStyle w:val="ARfintablebodyright"/>
            </w:pPr>
            <w:r w:rsidRPr="001453EA">
              <w:t>428.3</w:t>
            </w:r>
          </w:p>
        </w:tc>
      </w:tr>
      <w:tr w:rsidR="005F4A7E" w:rsidRPr="002029AF" w14:paraId="7C234073" w14:textId="77777777" w:rsidTr="00860E95">
        <w:tc>
          <w:tcPr>
            <w:tcW w:w="7369" w:type="dxa"/>
            <w:tcBorders>
              <w:top w:val="single" w:sz="4" w:space="0" w:color="A6A6A6"/>
              <w:bottom w:val="single" w:sz="4" w:space="0" w:color="A6A6A6"/>
            </w:tcBorders>
            <w:hideMark/>
          </w:tcPr>
          <w:p w14:paraId="221AF1C6" w14:textId="77777777" w:rsidR="005F4A7E" w:rsidRPr="002029AF" w:rsidRDefault="005F4A7E" w:rsidP="00130D1C">
            <w:pPr>
              <w:pStyle w:val="ARfintablebody"/>
            </w:pPr>
            <w:r w:rsidRPr="001453EA">
              <w:t>Impairment of joint venture</w:t>
            </w:r>
          </w:p>
        </w:tc>
        <w:tc>
          <w:tcPr>
            <w:tcW w:w="1134" w:type="dxa"/>
            <w:tcBorders>
              <w:top w:val="single" w:sz="4" w:space="0" w:color="A6A6A6"/>
              <w:bottom w:val="single" w:sz="4" w:space="0" w:color="A6A6A6"/>
            </w:tcBorders>
            <w:shd w:val="clear" w:color="auto" w:fill="E7E6E6"/>
            <w:noWrap/>
            <w:hideMark/>
          </w:tcPr>
          <w:p w14:paraId="7EBA1025" w14:textId="77777777" w:rsidR="005F4A7E" w:rsidRPr="002029AF" w:rsidRDefault="005F4A7E" w:rsidP="00130D1C">
            <w:pPr>
              <w:pStyle w:val="ARfintablebodyright"/>
            </w:pPr>
            <w:r w:rsidRPr="001453EA">
              <w:t>–</w:t>
            </w:r>
          </w:p>
        </w:tc>
        <w:tc>
          <w:tcPr>
            <w:tcW w:w="1134" w:type="dxa"/>
            <w:tcBorders>
              <w:top w:val="single" w:sz="4" w:space="0" w:color="A6A6A6"/>
              <w:bottom w:val="single" w:sz="4" w:space="0" w:color="A6A6A6"/>
            </w:tcBorders>
            <w:noWrap/>
            <w:hideMark/>
          </w:tcPr>
          <w:p w14:paraId="430A45C4" w14:textId="77777777" w:rsidR="005F4A7E" w:rsidRPr="002029AF" w:rsidRDefault="005F4A7E" w:rsidP="00130D1C">
            <w:pPr>
              <w:pStyle w:val="ARfintablebodyright"/>
            </w:pPr>
            <w:r w:rsidRPr="001453EA">
              <w:t>35.0</w:t>
            </w:r>
          </w:p>
        </w:tc>
      </w:tr>
      <w:tr w:rsidR="005F4A7E" w:rsidRPr="002029AF" w14:paraId="06F2331A" w14:textId="77777777" w:rsidTr="00860E95">
        <w:tc>
          <w:tcPr>
            <w:tcW w:w="7369" w:type="dxa"/>
            <w:tcBorders>
              <w:top w:val="single" w:sz="4" w:space="0" w:color="A6A6A6"/>
              <w:bottom w:val="single" w:sz="4" w:space="0" w:color="A6A6A6"/>
            </w:tcBorders>
            <w:hideMark/>
          </w:tcPr>
          <w:p w14:paraId="6F6C6A38" w14:textId="77777777" w:rsidR="005F4A7E" w:rsidRPr="002029AF" w:rsidRDefault="005F4A7E" w:rsidP="00130D1C">
            <w:pPr>
              <w:pStyle w:val="ARfintablebody"/>
            </w:pPr>
            <w:r w:rsidRPr="001453EA">
              <w:t>Change in net market values of VMIA liability</w:t>
            </w:r>
          </w:p>
        </w:tc>
        <w:tc>
          <w:tcPr>
            <w:tcW w:w="1134" w:type="dxa"/>
            <w:tcBorders>
              <w:top w:val="single" w:sz="4" w:space="0" w:color="A6A6A6"/>
              <w:bottom w:val="single" w:sz="4" w:space="0" w:color="A6A6A6"/>
            </w:tcBorders>
            <w:shd w:val="clear" w:color="auto" w:fill="E7E6E6"/>
            <w:noWrap/>
            <w:hideMark/>
          </w:tcPr>
          <w:p w14:paraId="2D33DCA8" w14:textId="77777777" w:rsidR="005F4A7E" w:rsidRPr="002029AF" w:rsidRDefault="005F4A7E" w:rsidP="00130D1C">
            <w:pPr>
              <w:pStyle w:val="ARfintablebodyright"/>
            </w:pPr>
            <w:r w:rsidRPr="001453EA">
              <w:t>47.4</w:t>
            </w:r>
          </w:p>
        </w:tc>
        <w:tc>
          <w:tcPr>
            <w:tcW w:w="1134" w:type="dxa"/>
            <w:tcBorders>
              <w:top w:val="single" w:sz="4" w:space="0" w:color="A6A6A6"/>
              <w:bottom w:val="single" w:sz="4" w:space="0" w:color="A6A6A6"/>
            </w:tcBorders>
            <w:noWrap/>
            <w:hideMark/>
          </w:tcPr>
          <w:p w14:paraId="39A4EBAE" w14:textId="77777777" w:rsidR="005F4A7E" w:rsidRPr="002029AF" w:rsidRDefault="005F4A7E" w:rsidP="00130D1C">
            <w:pPr>
              <w:pStyle w:val="ARfintablebodyright"/>
            </w:pPr>
            <w:r w:rsidRPr="001453EA">
              <w:t>40.6</w:t>
            </w:r>
          </w:p>
        </w:tc>
      </w:tr>
      <w:tr w:rsidR="005F4A7E" w:rsidRPr="002029AF" w14:paraId="69A57A6F" w14:textId="77777777" w:rsidTr="00860E95">
        <w:tc>
          <w:tcPr>
            <w:tcW w:w="7369" w:type="dxa"/>
            <w:tcBorders>
              <w:top w:val="single" w:sz="4" w:space="0" w:color="A6A6A6"/>
              <w:bottom w:val="single" w:sz="4" w:space="0" w:color="A6A6A6"/>
            </w:tcBorders>
            <w:hideMark/>
          </w:tcPr>
          <w:p w14:paraId="149F2B77" w14:textId="77777777" w:rsidR="005F4A7E" w:rsidRPr="002029AF" w:rsidRDefault="005F4A7E" w:rsidP="00130D1C">
            <w:pPr>
              <w:pStyle w:val="ARfintablebody"/>
            </w:pPr>
            <w:r w:rsidRPr="001453EA">
              <w:t>Other income from investing activities</w:t>
            </w:r>
          </w:p>
        </w:tc>
        <w:tc>
          <w:tcPr>
            <w:tcW w:w="1134" w:type="dxa"/>
            <w:tcBorders>
              <w:top w:val="single" w:sz="4" w:space="0" w:color="A6A6A6"/>
              <w:bottom w:val="single" w:sz="4" w:space="0" w:color="A6A6A6"/>
            </w:tcBorders>
            <w:shd w:val="clear" w:color="auto" w:fill="E7E6E6"/>
            <w:noWrap/>
            <w:hideMark/>
          </w:tcPr>
          <w:p w14:paraId="39531E7E" w14:textId="77777777" w:rsidR="005F4A7E" w:rsidRPr="002029AF" w:rsidRDefault="005F4A7E" w:rsidP="00130D1C">
            <w:pPr>
              <w:pStyle w:val="ARfintablebodyright"/>
            </w:pPr>
            <w:r w:rsidRPr="001453EA">
              <w:t>–</w:t>
            </w:r>
          </w:p>
        </w:tc>
        <w:tc>
          <w:tcPr>
            <w:tcW w:w="1134" w:type="dxa"/>
            <w:tcBorders>
              <w:top w:val="single" w:sz="4" w:space="0" w:color="A6A6A6"/>
              <w:bottom w:val="single" w:sz="4" w:space="0" w:color="A6A6A6"/>
            </w:tcBorders>
            <w:noWrap/>
            <w:hideMark/>
          </w:tcPr>
          <w:p w14:paraId="44C58C55" w14:textId="77777777" w:rsidR="005F4A7E" w:rsidRPr="002029AF" w:rsidRDefault="005F4A7E" w:rsidP="00130D1C">
            <w:pPr>
              <w:pStyle w:val="ARfintablebodyright"/>
            </w:pPr>
            <w:r w:rsidRPr="001453EA">
              <w:t>(1.4)</w:t>
            </w:r>
          </w:p>
        </w:tc>
      </w:tr>
      <w:tr w:rsidR="005F4A7E" w:rsidRPr="002029AF" w14:paraId="0F45A600" w14:textId="77777777" w:rsidTr="00860E95">
        <w:tc>
          <w:tcPr>
            <w:tcW w:w="7369" w:type="dxa"/>
            <w:tcBorders>
              <w:top w:val="single" w:sz="4" w:space="0" w:color="A6A6A6"/>
              <w:bottom w:val="single" w:sz="4" w:space="0" w:color="A6A6A6"/>
            </w:tcBorders>
            <w:hideMark/>
          </w:tcPr>
          <w:p w14:paraId="0C56E133" w14:textId="77777777" w:rsidR="005F4A7E" w:rsidRPr="002029AF" w:rsidRDefault="005F4A7E" w:rsidP="00130D1C">
            <w:pPr>
              <w:pStyle w:val="ARfintablebody"/>
            </w:pPr>
            <w:r w:rsidRPr="001453EA">
              <w:t>Net gain/(loss) on financial instruments</w:t>
            </w:r>
          </w:p>
        </w:tc>
        <w:tc>
          <w:tcPr>
            <w:tcW w:w="1134" w:type="dxa"/>
            <w:tcBorders>
              <w:top w:val="single" w:sz="4" w:space="0" w:color="A6A6A6"/>
              <w:bottom w:val="single" w:sz="4" w:space="0" w:color="A6A6A6"/>
            </w:tcBorders>
            <w:shd w:val="clear" w:color="auto" w:fill="E7E6E6"/>
            <w:noWrap/>
            <w:hideMark/>
          </w:tcPr>
          <w:p w14:paraId="7C0A1214" w14:textId="77777777" w:rsidR="005F4A7E" w:rsidRPr="002029AF" w:rsidRDefault="005F4A7E" w:rsidP="00130D1C">
            <w:pPr>
              <w:pStyle w:val="ARfintablebodyright"/>
            </w:pPr>
            <w:r w:rsidRPr="001453EA">
              <w:t>(1.6)</w:t>
            </w:r>
          </w:p>
        </w:tc>
        <w:tc>
          <w:tcPr>
            <w:tcW w:w="1134" w:type="dxa"/>
            <w:tcBorders>
              <w:top w:val="single" w:sz="4" w:space="0" w:color="A6A6A6"/>
              <w:bottom w:val="single" w:sz="4" w:space="0" w:color="A6A6A6"/>
            </w:tcBorders>
            <w:noWrap/>
            <w:hideMark/>
          </w:tcPr>
          <w:p w14:paraId="29647E15" w14:textId="77777777" w:rsidR="005F4A7E" w:rsidRPr="002029AF" w:rsidRDefault="005F4A7E" w:rsidP="00130D1C">
            <w:pPr>
              <w:pStyle w:val="ARfintablebodyright"/>
            </w:pPr>
            <w:r w:rsidRPr="001453EA">
              <w:t>(0.4)</w:t>
            </w:r>
          </w:p>
        </w:tc>
      </w:tr>
      <w:tr w:rsidR="005F4A7E" w:rsidRPr="002029AF" w14:paraId="75DF568E" w14:textId="77777777" w:rsidTr="00860E95">
        <w:tc>
          <w:tcPr>
            <w:tcW w:w="7369" w:type="dxa"/>
            <w:tcBorders>
              <w:top w:val="single" w:sz="4" w:space="0" w:color="A6A6A6"/>
              <w:bottom w:val="single" w:sz="4" w:space="0" w:color="A6A6A6"/>
            </w:tcBorders>
            <w:hideMark/>
          </w:tcPr>
          <w:p w14:paraId="7DFE1494" w14:textId="77777777" w:rsidR="005F4A7E" w:rsidRPr="002029AF" w:rsidRDefault="005F4A7E" w:rsidP="00130D1C">
            <w:pPr>
              <w:pStyle w:val="ARfintablebody"/>
            </w:pPr>
            <w:r w:rsidRPr="001453EA">
              <w:t>Other gains or losses from other economic flows</w:t>
            </w:r>
          </w:p>
        </w:tc>
        <w:tc>
          <w:tcPr>
            <w:tcW w:w="1134" w:type="dxa"/>
            <w:tcBorders>
              <w:top w:val="single" w:sz="4" w:space="0" w:color="A6A6A6"/>
              <w:bottom w:val="single" w:sz="4" w:space="0" w:color="A6A6A6"/>
            </w:tcBorders>
            <w:shd w:val="clear" w:color="auto" w:fill="E7E6E6"/>
            <w:noWrap/>
            <w:hideMark/>
          </w:tcPr>
          <w:p w14:paraId="17687604" w14:textId="77777777" w:rsidR="005F4A7E" w:rsidRPr="002029AF" w:rsidRDefault="005F4A7E" w:rsidP="00130D1C">
            <w:pPr>
              <w:pStyle w:val="ARfintablebodyright"/>
            </w:pPr>
            <w:r w:rsidRPr="001453EA">
              <w:t>12.4</w:t>
            </w:r>
          </w:p>
        </w:tc>
        <w:tc>
          <w:tcPr>
            <w:tcW w:w="1134" w:type="dxa"/>
            <w:tcBorders>
              <w:top w:val="single" w:sz="4" w:space="0" w:color="A6A6A6"/>
              <w:bottom w:val="single" w:sz="4" w:space="0" w:color="A6A6A6"/>
            </w:tcBorders>
            <w:noWrap/>
            <w:hideMark/>
          </w:tcPr>
          <w:p w14:paraId="1D8441DC" w14:textId="77777777" w:rsidR="005F4A7E" w:rsidRPr="002029AF" w:rsidRDefault="005F4A7E" w:rsidP="00130D1C">
            <w:pPr>
              <w:pStyle w:val="ARfintablebodyright"/>
            </w:pPr>
            <w:r w:rsidRPr="001453EA">
              <w:t>23.6</w:t>
            </w:r>
          </w:p>
        </w:tc>
      </w:tr>
      <w:tr w:rsidR="005F4A7E" w:rsidRPr="002029AF" w14:paraId="5484DE9A" w14:textId="77777777" w:rsidTr="00860E95">
        <w:tc>
          <w:tcPr>
            <w:tcW w:w="7369" w:type="dxa"/>
            <w:tcBorders>
              <w:top w:val="single" w:sz="4" w:space="0" w:color="A6A6A6"/>
              <w:bottom w:val="single" w:sz="4" w:space="0" w:color="auto"/>
            </w:tcBorders>
            <w:hideMark/>
          </w:tcPr>
          <w:p w14:paraId="14088A49" w14:textId="77777777" w:rsidR="005F4A7E" w:rsidRPr="002029AF" w:rsidRDefault="005F4A7E" w:rsidP="00130D1C">
            <w:pPr>
              <w:pStyle w:val="ARfintablebody"/>
            </w:pPr>
            <w:r w:rsidRPr="001453EA">
              <w:t>Resources (received)/provided free of charge</w:t>
            </w:r>
          </w:p>
        </w:tc>
        <w:tc>
          <w:tcPr>
            <w:tcW w:w="1134" w:type="dxa"/>
            <w:tcBorders>
              <w:top w:val="single" w:sz="4" w:space="0" w:color="A6A6A6"/>
              <w:bottom w:val="single" w:sz="4" w:space="0" w:color="auto"/>
            </w:tcBorders>
            <w:shd w:val="clear" w:color="auto" w:fill="E7E6E6"/>
            <w:noWrap/>
            <w:hideMark/>
          </w:tcPr>
          <w:p w14:paraId="26ADE05F" w14:textId="77777777" w:rsidR="005F4A7E" w:rsidRPr="002029AF" w:rsidRDefault="005F4A7E" w:rsidP="00130D1C">
            <w:pPr>
              <w:pStyle w:val="ARfintablebodyright"/>
            </w:pPr>
            <w:r w:rsidRPr="001453EA">
              <w:t>296.6</w:t>
            </w:r>
          </w:p>
        </w:tc>
        <w:tc>
          <w:tcPr>
            <w:tcW w:w="1134" w:type="dxa"/>
            <w:tcBorders>
              <w:top w:val="single" w:sz="4" w:space="0" w:color="A6A6A6"/>
              <w:bottom w:val="single" w:sz="4" w:space="0" w:color="auto"/>
            </w:tcBorders>
            <w:noWrap/>
            <w:hideMark/>
          </w:tcPr>
          <w:p w14:paraId="77856BC8" w14:textId="77777777" w:rsidR="005F4A7E" w:rsidRPr="002029AF" w:rsidRDefault="005F4A7E" w:rsidP="00130D1C">
            <w:pPr>
              <w:pStyle w:val="ARfintablebodyright"/>
            </w:pPr>
            <w:r w:rsidRPr="001453EA">
              <w:t>28.5</w:t>
            </w:r>
          </w:p>
        </w:tc>
      </w:tr>
      <w:tr w:rsidR="005F4A7E" w:rsidRPr="002029AF" w14:paraId="63678EA3" w14:textId="77777777" w:rsidTr="00860E95">
        <w:tc>
          <w:tcPr>
            <w:tcW w:w="9637" w:type="dxa"/>
            <w:gridSpan w:val="3"/>
            <w:tcBorders>
              <w:top w:val="single" w:sz="4" w:space="0" w:color="auto"/>
              <w:bottom w:val="single" w:sz="4" w:space="0" w:color="A6A6A6"/>
            </w:tcBorders>
            <w:hideMark/>
          </w:tcPr>
          <w:p w14:paraId="085C9908" w14:textId="77777777" w:rsidR="005F4A7E" w:rsidRPr="002029AF" w:rsidRDefault="005F4A7E" w:rsidP="00130D1C">
            <w:pPr>
              <w:pStyle w:val="ARfintablebodybold"/>
            </w:pPr>
            <w:r w:rsidRPr="001453EA">
              <w:t>Movements in assets and liabilities</w:t>
            </w:r>
          </w:p>
        </w:tc>
      </w:tr>
      <w:tr w:rsidR="005F4A7E" w:rsidRPr="002029AF" w14:paraId="5F2CAD9C" w14:textId="77777777" w:rsidTr="00860E95">
        <w:tc>
          <w:tcPr>
            <w:tcW w:w="7369" w:type="dxa"/>
            <w:tcBorders>
              <w:top w:val="single" w:sz="4" w:space="0" w:color="A6A6A6"/>
              <w:bottom w:val="single" w:sz="4" w:space="0" w:color="A6A6A6"/>
            </w:tcBorders>
            <w:hideMark/>
          </w:tcPr>
          <w:p w14:paraId="16D7EF0A" w14:textId="77777777" w:rsidR="005F4A7E" w:rsidRPr="002029AF" w:rsidRDefault="005F4A7E" w:rsidP="00130D1C">
            <w:pPr>
              <w:pStyle w:val="ARfintablebody"/>
            </w:pPr>
            <w:r w:rsidRPr="001453EA">
              <w:t>(Increase)/decrease in receivables</w:t>
            </w:r>
          </w:p>
        </w:tc>
        <w:tc>
          <w:tcPr>
            <w:tcW w:w="1134" w:type="dxa"/>
            <w:tcBorders>
              <w:top w:val="single" w:sz="4" w:space="0" w:color="A6A6A6"/>
              <w:bottom w:val="single" w:sz="4" w:space="0" w:color="A6A6A6"/>
            </w:tcBorders>
            <w:shd w:val="clear" w:color="auto" w:fill="E7E6E6"/>
            <w:noWrap/>
            <w:hideMark/>
          </w:tcPr>
          <w:p w14:paraId="74FA14B7" w14:textId="77777777" w:rsidR="005F4A7E" w:rsidRPr="002029AF" w:rsidRDefault="005F4A7E" w:rsidP="00130D1C">
            <w:pPr>
              <w:pStyle w:val="ARfintablebodyright"/>
            </w:pPr>
            <w:r w:rsidRPr="001453EA">
              <w:t>(440.0)</w:t>
            </w:r>
          </w:p>
        </w:tc>
        <w:tc>
          <w:tcPr>
            <w:tcW w:w="1134" w:type="dxa"/>
            <w:tcBorders>
              <w:top w:val="single" w:sz="4" w:space="0" w:color="A6A6A6"/>
              <w:bottom w:val="single" w:sz="4" w:space="0" w:color="A6A6A6"/>
            </w:tcBorders>
            <w:noWrap/>
            <w:hideMark/>
          </w:tcPr>
          <w:p w14:paraId="38F9B8A0" w14:textId="77777777" w:rsidR="005F4A7E" w:rsidRPr="002029AF" w:rsidRDefault="005F4A7E" w:rsidP="00130D1C">
            <w:pPr>
              <w:pStyle w:val="ARfintablebodyright"/>
            </w:pPr>
            <w:r w:rsidRPr="001453EA">
              <w:t>(929.3)</w:t>
            </w:r>
          </w:p>
        </w:tc>
      </w:tr>
      <w:tr w:rsidR="005F4A7E" w:rsidRPr="002029AF" w14:paraId="012F9679" w14:textId="77777777" w:rsidTr="00860E95">
        <w:tc>
          <w:tcPr>
            <w:tcW w:w="7369" w:type="dxa"/>
            <w:tcBorders>
              <w:top w:val="single" w:sz="4" w:space="0" w:color="A6A6A6"/>
              <w:bottom w:val="single" w:sz="4" w:space="0" w:color="A6A6A6"/>
            </w:tcBorders>
            <w:hideMark/>
          </w:tcPr>
          <w:p w14:paraId="500D318E" w14:textId="77777777" w:rsidR="005F4A7E" w:rsidRPr="002029AF" w:rsidRDefault="005F4A7E" w:rsidP="00130D1C">
            <w:pPr>
              <w:pStyle w:val="ARfintablebody"/>
            </w:pPr>
            <w:r w:rsidRPr="001453EA">
              <w:t>(Increase)/decrease in prepayments</w:t>
            </w:r>
          </w:p>
        </w:tc>
        <w:tc>
          <w:tcPr>
            <w:tcW w:w="1134" w:type="dxa"/>
            <w:tcBorders>
              <w:top w:val="single" w:sz="4" w:space="0" w:color="A6A6A6"/>
              <w:bottom w:val="single" w:sz="4" w:space="0" w:color="A6A6A6"/>
            </w:tcBorders>
            <w:shd w:val="clear" w:color="auto" w:fill="E7E6E6"/>
            <w:noWrap/>
            <w:hideMark/>
          </w:tcPr>
          <w:p w14:paraId="25330667" w14:textId="77777777" w:rsidR="005F4A7E" w:rsidRPr="002029AF" w:rsidRDefault="005F4A7E" w:rsidP="00130D1C">
            <w:pPr>
              <w:pStyle w:val="ARfintablebodyright"/>
            </w:pPr>
            <w:r w:rsidRPr="001453EA">
              <w:t>122.8</w:t>
            </w:r>
          </w:p>
        </w:tc>
        <w:tc>
          <w:tcPr>
            <w:tcW w:w="1134" w:type="dxa"/>
            <w:tcBorders>
              <w:top w:val="single" w:sz="4" w:space="0" w:color="A6A6A6"/>
              <w:bottom w:val="single" w:sz="4" w:space="0" w:color="A6A6A6"/>
            </w:tcBorders>
            <w:noWrap/>
            <w:hideMark/>
          </w:tcPr>
          <w:p w14:paraId="318973E3" w14:textId="77777777" w:rsidR="005F4A7E" w:rsidRPr="002029AF" w:rsidRDefault="005F4A7E" w:rsidP="00130D1C">
            <w:pPr>
              <w:pStyle w:val="ARfintablebodyright"/>
            </w:pPr>
            <w:r w:rsidRPr="001453EA">
              <w:t>(271.2)</w:t>
            </w:r>
          </w:p>
        </w:tc>
      </w:tr>
      <w:tr w:rsidR="005F4A7E" w:rsidRPr="002029AF" w14:paraId="45CF4E78" w14:textId="77777777" w:rsidTr="00860E95">
        <w:tc>
          <w:tcPr>
            <w:tcW w:w="7369" w:type="dxa"/>
            <w:tcBorders>
              <w:top w:val="single" w:sz="4" w:space="0" w:color="A6A6A6"/>
              <w:bottom w:val="single" w:sz="4" w:space="0" w:color="A6A6A6"/>
            </w:tcBorders>
            <w:hideMark/>
          </w:tcPr>
          <w:p w14:paraId="19AC4C9E" w14:textId="77777777" w:rsidR="005F4A7E" w:rsidRPr="002029AF" w:rsidRDefault="005F4A7E" w:rsidP="00130D1C">
            <w:pPr>
              <w:pStyle w:val="ARfintablebody"/>
            </w:pPr>
            <w:r w:rsidRPr="001453EA">
              <w:t>Increase/(decrease) in payables</w:t>
            </w:r>
          </w:p>
        </w:tc>
        <w:tc>
          <w:tcPr>
            <w:tcW w:w="1134" w:type="dxa"/>
            <w:tcBorders>
              <w:top w:val="single" w:sz="4" w:space="0" w:color="A6A6A6"/>
              <w:bottom w:val="single" w:sz="4" w:space="0" w:color="A6A6A6"/>
            </w:tcBorders>
            <w:shd w:val="clear" w:color="auto" w:fill="E7E6E6"/>
            <w:noWrap/>
            <w:hideMark/>
          </w:tcPr>
          <w:p w14:paraId="020406C5" w14:textId="77777777" w:rsidR="005F4A7E" w:rsidRPr="002029AF" w:rsidRDefault="005F4A7E" w:rsidP="00130D1C">
            <w:pPr>
              <w:pStyle w:val="ARfintablebodyright"/>
            </w:pPr>
            <w:r w:rsidRPr="001453EA">
              <w:t>325.3</w:t>
            </w:r>
          </w:p>
        </w:tc>
        <w:tc>
          <w:tcPr>
            <w:tcW w:w="1134" w:type="dxa"/>
            <w:tcBorders>
              <w:top w:val="single" w:sz="4" w:space="0" w:color="A6A6A6"/>
              <w:bottom w:val="single" w:sz="4" w:space="0" w:color="A6A6A6"/>
            </w:tcBorders>
            <w:noWrap/>
            <w:hideMark/>
          </w:tcPr>
          <w:p w14:paraId="6F84697A" w14:textId="77777777" w:rsidR="005F4A7E" w:rsidRPr="002029AF" w:rsidRDefault="005F4A7E" w:rsidP="00130D1C">
            <w:pPr>
              <w:pStyle w:val="ARfintablebodyright"/>
            </w:pPr>
            <w:r w:rsidRPr="001453EA">
              <w:t>413.1</w:t>
            </w:r>
          </w:p>
        </w:tc>
      </w:tr>
      <w:tr w:rsidR="005F4A7E" w:rsidRPr="002029AF" w14:paraId="123B4300" w14:textId="77777777" w:rsidTr="00860E95">
        <w:tc>
          <w:tcPr>
            <w:tcW w:w="7369" w:type="dxa"/>
            <w:tcBorders>
              <w:top w:val="single" w:sz="4" w:space="0" w:color="A6A6A6"/>
              <w:bottom w:val="single" w:sz="4" w:space="0" w:color="A6A6A6"/>
            </w:tcBorders>
            <w:hideMark/>
          </w:tcPr>
          <w:p w14:paraId="3D021C00" w14:textId="77777777" w:rsidR="005F4A7E" w:rsidRPr="002029AF" w:rsidRDefault="005F4A7E" w:rsidP="00130D1C">
            <w:pPr>
              <w:pStyle w:val="ARfintablebody"/>
            </w:pPr>
            <w:r w:rsidRPr="001453EA">
              <w:t>Increase/(decrease) in provisions</w:t>
            </w:r>
          </w:p>
        </w:tc>
        <w:tc>
          <w:tcPr>
            <w:tcW w:w="1134" w:type="dxa"/>
            <w:tcBorders>
              <w:top w:val="single" w:sz="4" w:space="0" w:color="A6A6A6"/>
              <w:bottom w:val="single" w:sz="4" w:space="0" w:color="A6A6A6"/>
            </w:tcBorders>
            <w:shd w:val="clear" w:color="auto" w:fill="E7E6E6"/>
            <w:noWrap/>
            <w:hideMark/>
          </w:tcPr>
          <w:p w14:paraId="14F8EDA4" w14:textId="77777777" w:rsidR="005F4A7E" w:rsidRPr="002029AF" w:rsidRDefault="005F4A7E" w:rsidP="00130D1C">
            <w:pPr>
              <w:pStyle w:val="ARfintablebodyright"/>
            </w:pPr>
            <w:r w:rsidRPr="001453EA">
              <w:t>(8.8)</w:t>
            </w:r>
          </w:p>
        </w:tc>
        <w:tc>
          <w:tcPr>
            <w:tcW w:w="1134" w:type="dxa"/>
            <w:tcBorders>
              <w:top w:val="single" w:sz="4" w:space="0" w:color="A6A6A6"/>
              <w:bottom w:val="single" w:sz="4" w:space="0" w:color="A6A6A6"/>
            </w:tcBorders>
            <w:noWrap/>
            <w:hideMark/>
          </w:tcPr>
          <w:p w14:paraId="2CC1648D" w14:textId="77777777" w:rsidR="005F4A7E" w:rsidRPr="002029AF" w:rsidRDefault="005F4A7E" w:rsidP="00130D1C">
            <w:pPr>
              <w:pStyle w:val="ARfintablebodyright"/>
            </w:pPr>
            <w:r w:rsidRPr="001453EA">
              <w:t>(1.5)</w:t>
            </w:r>
          </w:p>
        </w:tc>
      </w:tr>
      <w:tr w:rsidR="005F4A7E" w:rsidRPr="002029AF" w14:paraId="1E67D85B" w14:textId="77777777" w:rsidTr="00860E95">
        <w:tc>
          <w:tcPr>
            <w:tcW w:w="7369" w:type="dxa"/>
            <w:tcBorders>
              <w:top w:val="single" w:sz="4" w:space="0" w:color="A6A6A6"/>
            </w:tcBorders>
            <w:hideMark/>
          </w:tcPr>
          <w:p w14:paraId="06861F4F" w14:textId="77777777" w:rsidR="005F4A7E" w:rsidRPr="002029AF" w:rsidRDefault="005F4A7E" w:rsidP="00130D1C">
            <w:pPr>
              <w:pStyle w:val="ARfintablebody"/>
            </w:pPr>
            <w:r w:rsidRPr="001453EA">
              <w:t>(Increase)/decrease in inventories</w:t>
            </w:r>
          </w:p>
        </w:tc>
        <w:tc>
          <w:tcPr>
            <w:tcW w:w="1134" w:type="dxa"/>
            <w:tcBorders>
              <w:top w:val="single" w:sz="4" w:space="0" w:color="A6A6A6"/>
            </w:tcBorders>
            <w:shd w:val="clear" w:color="auto" w:fill="E7E6E6"/>
            <w:noWrap/>
            <w:hideMark/>
          </w:tcPr>
          <w:p w14:paraId="626BD80A" w14:textId="77777777" w:rsidR="005F4A7E" w:rsidRPr="002029AF" w:rsidRDefault="005F4A7E" w:rsidP="00130D1C">
            <w:pPr>
              <w:pStyle w:val="ARfintablebodyright"/>
            </w:pPr>
            <w:r w:rsidRPr="001453EA">
              <w:t>(226.6)</w:t>
            </w:r>
          </w:p>
        </w:tc>
        <w:tc>
          <w:tcPr>
            <w:tcW w:w="1134" w:type="dxa"/>
            <w:tcBorders>
              <w:top w:val="single" w:sz="4" w:space="0" w:color="A6A6A6"/>
            </w:tcBorders>
            <w:noWrap/>
            <w:hideMark/>
          </w:tcPr>
          <w:p w14:paraId="5E4BD644" w14:textId="77777777" w:rsidR="005F4A7E" w:rsidRPr="002029AF" w:rsidRDefault="005F4A7E" w:rsidP="00130D1C">
            <w:pPr>
              <w:pStyle w:val="ARfintablebodyright"/>
            </w:pPr>
            <w:r w:rsidRPr="001453EA">
              <w:t>(412.0)</w:t>
            </w:r>
          </w:p>
        </w:tc>
      </w:tr>
      <w:tr w:rsidR="005F4A7E" w:rsidRPr="002029AF" w14:paraId="0A30780A" w14:textId="77777777" w:rsidTr="00860E95">
        <w:tc>
          <w:tcPr>
            <w:tcW w:w="7369" w:type="dxa"/>
            <w:hideMark/>
          </w:tcPr>
          <w:p w14:paraId="10E3D2E2" w14:textId="77777777" w:rsidR="005F4A7E" w:rsidRPr="002029AF" w:rsidRDefault="005F4A7E" w:rsidP="00130D1C">
            <w:pPr>
              <w:pStyle w:val="ARfintablebodybold"/>
            </w:pPr>
            <w:r w:rsidRPr="001453EA">
              <w:t>Net cash flows from/(used in) operating activities</w:t>
            </w:r>
          </w:p>
        </w:tc>
        <w:tc>
          <w:tcPr>
            <w:tcW w:w="1134" w:type="dxa"/>
            <w:shd w:val="clear" w:color="auto" w:fill="E7E6E6"/>
            <w:noWrap/>
            <w:hideMark/>
          </w:tcPr>
          <w:p w14:paraId="0F1DE7F2" w14:textId="77777777" w:rsidR="005F4A7E" w:rsidRPr="002029AF" w:rsidRDefault="005F4A7E" w:rsidP="00130D1C">
            <w:pPr>
              <w:pStyle w:val="ARfintablebodyrightbold"/>
            </w:pPr>
            <w:r w:rsidRPr="001453EA">
              <w:t>989.6</w:t>
            </w:r>
          </w:p>
        </w:tc>
        <w:tc>
          <w:tcPr>
            <w:tcW w:w="1134" w:type="dxa"/>
            <w:noWrap/>
            <w:hideMark/>
          </w:tcPr>
          <w:p w14:paraId="0957D91A" w14:textId="77777777" w:rsidR="005F4A7E" w:rsidRPr="002029AF" w:rsidRDefault="005F4A7E" w:rsidP="00130D1C">
            <w:pPr>
              <w:pStyle w:val="ARfintablebodyrightbold"/>
            </w:pPr>
            <w:r w:rsidRPr="001453EA">
              <w:t>(96.9)</w:t>
            </w:r>
          </w:p>
        </w:tc>
      </w:tr>
    </w:tbl>
    <w:p w14:paraId="0079D6F4" w14:textId="77777777" w:rsidR="005F4A7E" w:rsidRDefault="005F4A7E" w:rsidP="00130D1C">
      <w:pPr>
        <w:pStyle w:val="ARfinbodyaftertable"/>
      </w:pPr>
      <w:r>
        <w:rPr>
          <w:rStyle w:val="Strong"/>
        </w:rPr>
        <w:t>Restructuring of administrative arrangements:</w:t>
      </w:r>
      <w:r>
        <w:t xml:space="preserve"> The administrative restructuring is not reflected in the cash flow statement.</w:t>
      </w:r>
    </w:p>
    <w:p w14:paraId="5D37EE69" w14:textId="77777777" w:rsidR="005F4A7E" w:rsidRPr="002029AF" w:rsidRDefault="005F4A7E" w:rsidP="00087B91">
      <w:pPr>
        <w:pStyle w:val="ARbodyaftertable"/>
        <w:sectPr w:rsidR="005F4A7E" w:rsidRPr="002029AF" w:rsidSect="00130D1C">
          <w:footerReference w:type="even" r:id="rId137"/>
          <w:footnotePr>
            <w:numFmt w:val="lowerLetter"/>
            <w:numRestart w:val="eachPage"/>
          </w:footnotePr>
          <w:pgSz w:w="11906" w:h="16838" w:code="9"/>
          <w:pgMar w:top="1531" w:right="1134" w:bottom="851" w:left="1134" w:header="510" w:footer="340" w:gutter="0"/>
          <w:cols w:space="708"/>
          <w:docGrid w:linePitch="360"/>
        </w:sectPr>
      </w:pPr>
    </w:p>
    <w:p w14:paraId="45C20C96" w14:textId="77777777" w:rsidR="005F4A7E" w:rsidRPr="002029AF" w:rsidRDefault="005F4A7E" w:rsidP="00087B91">
      <w:pPr>
        <w:pStyle w:val="Heading4"/>
        <w:spacing w:before="0"/>
      </w:pPr>
      <w:bookmarkStart w:id="959" w:name="_Toc39242159"/>
      <w:bookmarkStart w:id="960" w:name="_Toc85121481"/>
      <w:r w:rsidRPr="002029AF">
        <w:lastRenderedPageBreak/>
        <w:t>7.4 Trust account</w:t>
      </w:r>
      <w:bookmarkEnd w:id="959"/>
      <w:bookmarkEnd w:id="960"/>
    </w:p>
    <w:p w14:paraId="40699EA6" w14:textId="77777777" w:rsidR="005F4A7E" w:rsidRPr="002029AF" w:rsidRDefault="005F4A7E" w:rsidP="00087B91">
      <w:pPr>
        <w:pStyle w:val="Heading5"/>
      </w:pPr>
      <w:bookmarkStart w:id="961" w:name="_Toc85121482"/>
      <w:r w:rsidRPr="002029AF">
        <w:t>7.4.1 Trust account balances</w:t>
      </w:r>
      <w:bookmarkEnd w:id="961"/>
    </w:p>
    <w:p w14:paraId="2EF81D13" w14:textId="77777777" w:rsidR="005F4A7E" w:rsidRDefault="005F4A7E" w:rsidP="00130D1C">
      <w:pPr>
        <w:pStyle w:val="ARfinbody"/>
      </w:pPr>
      <w:r>
        <w:t>The department has responsibility for transactions and balances relating to trust funds held on behalf of third parties external to the department. Funds managed on behalf of third parties are not recognised in these financial statements as they are managed on a fiduciary and custodial basis, and therefore are not controlled by the department.</w:t>
      </w:r>
    </w:p>
    <w:p w14:paraId="7F802269" w14:textId="77777777" w:rsidR="005F4A7E" w:rsidRDefault="005F4A7E" w:rsidP="00130D1C">
      <w:pPr>
        <w:pStyle w:val="ARfinbody"/>
      </w:pPr>
      <w:r>
        <w:t>Any earnings on the funds held pending distribution are also applied to the trust funds under management as appropriate.</w:t>
      </w:r>
    </w:p>
    <w:p w14:paraId="71B52568" w14:textId="77777777" w:rsidR="005F4A7E" w:rsidRDefault="005F4A7E" w:rsidP="00130D1C">
      <w:pPr>
        <w:pStyle w:val="ARfinbodylargespace"/>
      </w:pPr>
      <w:r>
        <w:t>The following is a listing of trust account balances relating to trust accounts controlled and administered by the department. During 2020–21, there were no trust accounts closed.</w:t>
      </w:r>
    </w:p>
    <w:tbl>
      <w:tblPr>
        <w:tblStyle w:val="TableGrid"/>
        <w:tblW w:w="14459" w:type="dxa"/>
        <w:tblLayout w:type="fixed"/>
        <w:tblLook w:val="06A0" w:firstRow="1" w:lastRow="0" w:firstColumn="1" w:lastColumn="0" w:noHBand="1" w:noVBand="1"/>
      </w:tblPr>
      <w:tblGrid>
        <w:gridCol w:w="3574"/>
        <w:gridCol w:w="908"/>
        <w:gridCol w:w="907"/>
        <w:gridCol w:w="907"/>
        <w:gridCol w:w="907"/>
        <w:gridCol w:w="907"/>
        <w:gridCol w:w="907"/>
        <w:gridCol w:w="907"/>
        <w:gridCol w:w="907"/>
        <w:gridCol w:w="907"/>
        <w:gridCol w:w="907"/>
        <w:gridCol w:w="907"/>
        <w:gridCol w:w="907"/>
      </w:tblGrid>
      <w:tr w:rsidR="005F4A7E" w:rsidRPr="002029AF" w14:paraId="4358DF6B"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3574" w:type="dxa"/>
            <w:vMerge w:val="restart"/>
            <w:hideMark/>
          </w:tcPr>
          <w:p w14:paraId="4D68EC02" w14:textId="77777777" w:rsidR="005F4A7E" w:rsidRPr="002029AF" w:rsidRDefault="005F4A7E" w:rsidP="00860E95">
            <w:pPr>
              <w:pStyle w:val="ARfintablecolhead"/>
            </w:pPr>
          </w:p>
        </w:tc>
        <w:tc>
          <w:tcPr>
            <w:tcW w:w="5443" w:type="dxa"/>
            <w:gridSpan w:val="6"/>
            <w:tcBorders>
              <w:bottom w:val="single" w:sz="4" w:space="0" w:color="auto"/>
            </w:tcBorders>
            <w:shd w:val="clear" w:color="auto" w:fill="E7E6E6"/>
            <w:hideMark/>
          </w:tcPr>
          <w:p w14:paraId="4D32F1DA" w14:textId="77777777" w:rsidR="005F4A7E" w:rsidRPr="002029AF" w:rsidRDefault="005F4A7E" w:rsidP="00860E95">
            <w:pPr>
              <w:pStyle w:val="ARfintablecolheadcentre"/>
            </w:pPr>
            <w:r>
              <w:t>2021</w:t>
            </w:r>
          </w:p>
        </w:tc>
        <w:tc>
          <w:tcPr>
            <w:tcW w:w="5442" w:type="dxa"/>
            <w:gridSpan w:val="6"/>
            <w:hideMark/>
          </w:tcPr>
          <w:p w14:paraId="36750BF7" w14:textId="77777777" w:rsidR="005F4A7E" w:rsidRPr="002029AF" w:rsidRDefault="005F4A7E" w:rsidP="00860E95">
            <w:pPr>
              <w:pStyle w:val="ARfintablecolheadcentre"/>
            </w:pPr>
            <w:r>
              <w:t>2020</w:t>
            </w:r>
          </w:p>
        </w:tc>
      </w:tr>
      <w:tr w:rsidR="005F4A7E" w:rsidRPr="002029AF" w14:paraId="29EDA7CB" w14:textId="77777777" w:rsidTr="00ED163A">
        <w:trPr>
          <w:cnfStyle w:val="100000000000" w:firstRow="1" w:lastRow="0" w:firstColumn="0" w:lastColumn="0" w:oddVBand="0" w:evenVBand="0" w:oddHBand="0" w:evenHBand="0" w:firstRowFirstColumn="0" w:firstRowLastColumn="0" w:lastRowFirstColumn="0" w:lastRowLastColumn="0"/>
          <w:tblHeader/>
        </w:trPr>
        <w:tc>
          <w:tcPr>
            <w:tcW w:w="3574" w:type="dxa"/>
            <w:vMerge/>
            <w:tcBorders>
              <w:bottom w:val="single" w:sz="4" w:space="0" w:color="auto"/>
            </w:tcBorders>
            <w:hideMark/>
          </w:tcPr>
          <w:p w14:paraId="437FD9CC" w14:textId="77777777" w:rsidR="005F4A7E" w:rsidRPr="002029AF" w:rsidRDefault="005F4A7E" w:rsidP="00860E95">
            <w:pPr>
              <w:pStyle w:val="ARfintablecolhead"/>
            </w:pPr>
          </w:p>
        </w:tc>
        <w:tc>
          <w:tcPr>
            <w:tcW w:w="908" w:type="dxa"/>
            <w:tcBorders>
              <w:top w:val="single" w:sz="4" w:space="0" w:color="auto"/>
              <w:bottom w:val="single" w:sz="4" w:space="0" w:color="auto"/>
              <w:right w:val="nil"/>
            </w:tcBorders>
            <w:shd w:val="clear" w:color="auto" w:fill="E7E6E6"/>
            <w:hideMark/>
          </w:tcPr>
          <w:p w14:paraId="1AD33D5B" w14:textId="77777777" w:rsidR="005F4A7E" w:rsidRPr="002029AF" w:rsidRDefault="005F4A7E" w:rsidP="00130D1C">
            <w:pPr>
              <w:pStyle w:val="ARfintablecolheadright"/>
              <w:ind w:right="57"/>
            </w:pPr>
            <w:r w:rsidRPr="002029AF">
              <w:t xml:space="preserve">Opening balance as at </w:t>
            </w:r>
            <w:r w:rsidRPr="002029AF">
              <w:br/>
              <w:t xml:space="preserve">1 July </w:t>
            </w:r>
            <w:r>
              <w:t>2020</w:t>
            </w:r>
          </w:p>
          <w:p w14:paraId="34E58228" w14:textId="77777777" w:rsidR="005F4A7E" w:rsidRPr="002029AF" w:rsidRDefault="005F4A7E" w:rsidP="00130D1C">
            <w:pPr>
              <w:pStyle w:val="ARfintablecolheadright"/>
              <w:ind w:right="57"/>
            </w:pPr>
            <w:r w:rsidRPr="002029AF">
              <w:t>$M</w:t>
            </w:r>
          </w:p>
        </w:tc>
        <w:tc>
          <w:tcPr>
            <w:tcW w:w="907" w:type="dxa"/>
            <w:tcBorders>
              <w:top w:val="single" w:sz="4" w:space="0" w:color="auto"/>
              <w:left w:val="nil"/>
              <w:bottom w:val="single" w:sz="4" w:space="0" w:color="auto"/>
              <w:right w:val="nil"/>
            </w:tcBorders>
            <w:shd w:val="clear" w:color="auto" w:fill="E7E6E6"/>
            <w:hideMark/>
          </w:tcPr>
          <w:p w14:paraId="63BF17EA" w14:textId="77777777" w:rsidR="005F4A7E" w:rsidRPr="002029AF" w:rsidRDefault="005F4A7E" w:rsidP="00130D1C">
            <w:pPr>
              <w:pStyle w:val="ARfintablecolheadright"/>
              <w:ind w:right="57"/>
            </w:pPr>
            <w:r w:rsidRPr="002029AF">
              <w:t>Machin-</w:t>
            </w:r>
            <w:r w:rsidRPr="002029AF">
              <w:br/>
              <w:t xml:space="preserve">ery of </w:t>
            </w:r>
            <w:r w:rsidRPr="002029AF">
              <w:br/>
              <w:t>govern-</w:t>
            </w:r>
            <w:r w:rsidRPr="002029AF">
              <w:br/>
              <w:t xml:space="preserve">ment </w:t>
            </w:r>
            <w:r w:rsidRPr="002029AF">
              <w:br/>
              <w:t xml:space="preserve">transfer </w:t>
            </w:r>
            <w:r w:rsidRPr="002029AF">
              <w:br/>
              <w:t>in/(out)</w:t>
            </w:r>
          </w:p>
          <w:p w14:paraId="35054E9D" w14:textId="77777777" w:rsidR="005F4A7E" w:rsidRPr="002029AF" w:rsidRDefault="005F4A7E" w:rsidP="00130D1C">
            <w:pPr>
              <w:pStyle w:val="ARfintablecolheadright"/>
              <w:ind w:right="57"/>
            </w:pPr>
            <w:r w:rsidRPr="002029AF">
              <w:t>$M</w:t>
            </w:r>
          </w:p>
        </w:tc>
        <w:tc>
          <w:tcPr>
            <w:tcW w:w="907" w:type="dxa"/>
            <w:tcBorders>
              <w:top w:val="single" w:sz="4" w:space="0" w:color="auto"/>
              <w:left w:val="nil"/>
              <w:bottom w:val="single" w:sz="4" w:space="0" w:color="auto"/>
              <w:right w:val="nil"/>
            </w:tcBorders>
            <w:shd w:val="clear" w:color="auto" w:fill="E7E6E6"/>
            <w:hideMark/>
          </w:tcPr>
          <w:p w14:paraId="27A5B860" w14:textId="77777777" w:rsidR="005F4A7E" w:rsidRPr="002029AF" w:rsidRDefault="005F4A7E" w:rsidP="00130D1C">
            <w:pPr>
              <w:pStyle w:val="ARfintablecolheadright"/>
              <w:ind w:right="57"/>
            </w:pPr>
            <w:r w:rsidRPr="002029AF">
              <w:t>Total receipts</w:t>
            </w:r>
          </w:p>
          <w:p w14:paraId="1B9EFE76" w14:textId="77777777" w:rsidR="005F4A7E" w:rsidRPr="002029AF" w:rsidRDefault="005F4A7E" w:rsidP="00130D1C">
            <w:pPr>
              <w:pStyle w:val="ARfintablecolheadright"/>
              <w:ind w:right="57"/>
            </w:pPr>
            <w:r w:rsidRPr="002029AF">
              <w:t>$M</w:t>
            </w:r>
          </w:p>
        </w:tc>
        <w:tc>
          <w:tcPr>
            <w:tcW w:w="907" w:type="dxa"/>
            <w:tcBorders>
              <w:top w:val="single" w:sz="4" w:space="0" w:color="auto"/>
              <w:left w:val="nil"/>
              <w:bottom w:val="single" w:sz="4" w:space="0" w:color="auto"/>
              <w:right w:val="nil"/>
            </w:tcBorders>
            <w:shd w:val="clear" w:color="auto" w:fill="E7E6E6"/>
            <w:hideMark/>
          </w:tcPr>
          <w:p w14:paraId="3D94C890" w14:textId="77777777" w:rsidR="005F4A7E" w:rsidRPr="002029AF" w:rsidRDefault="005F4A7E" w:rsidP="00130D1C">
            <w:pPr>
              <w:pStyle w:val="ARfintablecolheadright"/>
              <w:ind w:right="57"/>
            </w:pPr>
            <w:r w:rsidRPr="002029AF">
              <w:t>Total pay-</w:t>
            </w:r>
            <w:r w:rsidRPr="002029AF">
              <w:br/>
              <w:t>ments</w:t>
            </w:r>
          </w:p>
          <w:p w14:paraId="0FDF1209" w14:textId="77777777" w:rsidR="005F4A7E" w:rsidRPr="002029AF" w:rsidRDefault="005F4A7E" w:rsidP="00130D1C">
            <w:pPr>
              <w:pStyle w:val="ARfintablecolheadright"/>
              <w:ind w:right="57"/>
            </w:pPr>
            <w:r w:rsidRPr="002029AF">
              <w:t>$M</w:t>
            </w:r>
          </w:p>
        </w:tc>
        <w:tc>
          <w:tcPr>
            <w:tcW w:w="907" w:type="dxa"/>
            <w:tcBorders>
              <w:top w:val="single" w:sz="4" w:space="0" w:color="auto"/>
              <w:left w:val="nil"/>
              <w:bottom w:val="single" w:sz="4" w:space="0" w:color="auto"/>
              <w:right w:val="nil"/>
            </w:tcBorders>
            <w:shd w:val="clear" w:color="auto" w:fill="E7E6E6"/>
            <w:hideMark/>
          </w:tcPr>
          <w:p w14:paraId="7BC38EF3" w14:textId="77777777" w:rsidR="005F4A7E" w:rsidRPr="002029AF" w:rsidRDefault="005F4A7E" w:rsidP="00130D1C">
            <w:pPr>
              <w:pStyle w:val="ARfintablecolheadright"/>
              <w:ind w:right="57"/>
            </w:pPr>
            <w:r w:rsidRPr="002029AF">
              <w:t>Non cash move-</w:t>
            </w:r>
            <w:r w:rsidRPr="002029AF">
              <w:br/>
              <w:t>ment</w:t>
            </w:r>
          </w:p>
          <w:p w14:paraId="184FFC83" w14:textId="77777777" w:rsidR="005F4A7E" w:rsidRPr="002029AF" w:rsidRDefault="005F4A7E" w:rsidP="00130D1C">
            <w:pPr>
              <w:pStyle w:val="ARfintablecolheadright"/>
              <w:ind w:right="57"/>
            </w:pPr>
            <w:r w:rsidRPr="002029AF">
              <w:t>$M</w:t>
            </w:r>
          </w:p>
        </w:tc>
        <w:tc>
          <w:tcPr>
            <w:tcW w:w="907" w:type="dxa"/>
            <w:tcBorders>
              <w:top w:val="single" w:sz="4" w:space="0" w:color="auto"/>
              <w:left w:val="nil"/>
              <w:bottom w:val="single" w:sz="4" w:space="0" w:color="auto"/>
            </w:tcBorders>
            <w:shd w:val="clear" w:color="auto" w:fill="E7E6E6"/>
            <w:hideMark/>
          </w:tcPr>
          <w:p w14:paraId="4F96E75C" w14:textId="77777777" w:rsidR="005F4A7E" w:rsidRPr="002029AF" w:rsidRDefault="005F4A7E" w:rsidP="00130D1C">
            <w:pPr>
              <w:pStyle w:val="ARfintablecolheadright"/>
              <w:ind w:right="57"/>
            </w:pPr>
            <w:r w:rsidRPr="002029AF">
              <w:t xml:space="preserve">Closing balance as at </w:t>
            </w:r>
            <w:r w:rsidRPr="002029AF">
              <w:br/>
              <w:t xml:space="preserve">30 June </w:t>
            </w:r>
            <w:r>
              <w:t>2021</w:t>
            </w:r>
          </w:p>
          <w:p w14:paraId="6B368FFB" w14:textId="77777777" w:rsidR="005F4A7E" w:rsidRPr="002029AF" w:rsidRDefault="005F4A7E" w:rsidP="00130D1C">
            <w:pPr>
              <w:pStyle w:val="ARfintablecolheadright"/>
              <w:ind w:right="57"/>
            </w:pPr>
            <w:r w:rsidRPr="002029AF">
              <w:t>$M</w:t>
            </w:r>
          </w:p>
        </w:tc>
        <w:tc>
          <w:tcPr>
            <w:tcW w:w="907" w:type="dxa"/>
            <w:tcBorders>
              <w:bottom w:val="single" w:sz="4" w:space="0" w:color="auto"/>
            </w:tcBorders>
            <w:hideMark/>
          </w:tcPr>
          <w:p w14:paraId="273E8F0A" w14:textId="77777777" w:rsidR="005F4A7E" w:rsidRPr="002029AF" w:rsidRDefault="005F4A7E" w:rsidP="00130D1C">
            <w:pPr>
              <w:pStyle w:val="ARfintablecolheadright"/>
              <w:ind w:right="57"/>
            </w:pPr>
            <w:r w:rsidRPr="002029AF">
              <w:t xml:space="preserve">Opening balance as at </w:t>
            </w:r>
            <w:r w:rsidRPr="002029AF">
              <w:br/>
              <w:t xml:space="preserve">1 July </w:t>
            </w:r>
            <w:r>
              <w:t>2019</w:t>
            </w:r>
          </w:p>
          <w:p w14:paraId="26023A0B" w14:textId="77777777" w:rsidR="005F4A7E" w:rsidRPr="002029AF" w:rsidRDefault="005F4A7E" w:rsidP="00130D1C">
            <w:pPr>
              <w:pStyle w:val="ARfintablecolheadright"/>
              <w:ind w:right="57"/>
            </w:pPr>
            <w:r w:rsidRPr="002029AF">
              <w:t>$M</w:t>
            </w:r>
          </w:p>
        </w:tc>
        <w:tc>
          <w:tcPr>
            <w:tcW w:w="907" w:type="dxa"/>
            <w:tcBorders>
              <w:bottom w:val="single" w:sz="4" w:space="0" w:color="auto"/>
            </w:tcBorders>
            <w:hideMark/>
          </w:tcPr>
          <w:p w14:paraId="3E796F72" w14:textId="77777777" w:rsidR="005F4A7E" w:rsidRPr="002029AF" w:rsidRDefault="005F4A7E" w:rsidP="00130D1C">
            <w:pPr>
              <w:pStyle w:val="ARfintablecolheadright"/>
              <w:ind w:right="57"/>
            </w:pPr>
            <w:r w:rsidRPr="002029AF">
              <w:t>Machin-</w:t>
            </w:r>
            <w:r w:rsidRPr="002029AF">
              <w:br/>
              <w:t xml:space="preserve">ery of </w:t>
            </w:r>
            <w:r w:rsidRPr="002029AF">
              <w:br/>
              <w:t>govern-</w:t>
            </w:r>
            <w:r w:rsidRPr="002029AF">
              <w:br/>
              <w:t xml:space="preserve">ment </w:t>
            </w:r>
            <w:r w:rsidRPr="002029AF">
              <w:br/>
              <w:t xml:space="preserve">transfer </w:t>
            </w:r>
            <w:r w:rsidRPr="002029AF">
              <w:br/>
              <w:t>in/(out)</w:t>
            </w:r>
          </w:p>
          <w:p w14:paraId="53B52BC6" w14:textId="77777777" w:rsidR="005F4A7E" w:rsidRPr="002029AF" w:rsidRDefault="005F4A7E" w:rsidP="00130D1C">
            <w:pPr>
              <w:pStyle w:val="ARfintablecolheadright"/>
              <w:ind w:right="57"/>
            </w:pPr>
            <w:r w:rsidRPr="002029AF">
              <w:t>$M</w:t>
            </w:r>
          </w:p>
        </w:tc>
        <w:tc>
          <w:tcPr>
            <w:tcW w:w="907" w:type="dxa"/>
            <w:tcBorders>
              <w:bottom w:val="single" w:sz="4" w:space="0" w:color="auto"/>
            </w:tcBorders>
            <w:hideMark/>
          </w:tcPr>
          <w:p w14:paraId="685D3015" w14:textId="77777777" w:rsidR="005F4A7E" w:rsidRPr="002029AF" w:rsidRDefault="005F4A7E" w:rsidP="00130D1C">
            <w:pPr>
              <w:pStyle w:val="ARfintablecolheadright"/>
              <w:ind w:right="57"/>
            </w:pPr>
            <w:r w:rsidRPr="002029AF">
              <w:t>Total receipts</w:t>
            </w:r>
          </w:p>
          <w:p w14:paraId="5A0A77B5" w14:textId="77777777" w:rsidR="005F4A7E" w:rsidRPr="002029AF" w:rsidRDefault="005F4A7E" w:rsidP="00130D1C">
            <w:pPr>
              <w:pStyle w:val="ARfintablecolheadright"/>
              <w:ind w:right="57"/>
            </w:pPr>
            <w:r w:rsidRPr="002029AF">
              <w:t>$M</w:t>
            </w:r>
          </w:p>
        </w:tc>
        <w:tc>
          <w:tcPr>
            <w:tcW w:w="907" w:type="dxa"/>
            <w:tcBorders>
              <w:bottom w:val="single" w:sz="4" w:space="0" w:color="auto"/>
            </w:tcBorders>
            <w:hideMark/>
          </w:tcPr>
          <w:p w14:paraId="5E9F520A" w14:textId="77777777" w:rsidR="005F4A7E" w:rsidRPr="002029AF" w:rsidRDefault="005F4A7E" w:rsidP="00130D1C">
            <w:pPr>
              <w:pStyle w:val="ARfintablecolheadright"/>
              <w:ind w:right="57"/>
            </w:pPr>
            <w:r w:rsidRPr="002029AF">
              <w:t>Total pay-</w:t>
            </w:r>
            <w:r w:rsidRPr="002029AF">
              <w:br/>
              <w:t>ments</w:t>
            </w:r>
          </w:p>
          <w:p w14:paraId="211B2A11" w14:textId="77777777" w:rsidR="005F4A7E" w:rsidRPr="002029AF" w:rsidRDefault="005F4A7E" w:rsidP="00130D1C">
            <w:pPr>
              <w:pStyle w:val="ARfintablecolheadright"/>
              <w:ind w:right="57"/>
            </w:pPr>
            <w:r w:rsidRPr="002029AF">
              <w:t>$M</w:t>
            </w:r>
          </w:p>
        </w:tc>
        <w:tc>
          <w:tcPr>
            <w:tcW w:w="907" w:type="dxa"/>
            <w:tcBorders>
              <w:bottom w:val="single" w:sz="4" w:space="0" w:color="auto"/>
            </w:tcBorders>
            <w:hideMark/>
          </w:tcPr>
          <w:p w14:paraId="2A299F40" w14:textId="77777777" w:rsidR="005F4A7E" w:rsidRPr="002029AF" w:rsidRDefault="005F4A7E" w:rsidP="00130D1C">
            <w:pPr>
              <w:pStyle w:val="ARfintablecolheadright"/>
              <w:ind w:right="57"/>
            </w:pPr>
            <w:r w:rsidRPr="002029AF">
              <w:t>Non cash move-</w:t>
            </w:r>
            <w:r w:rsidRPr="002029AF">
              <w:br/>
              <w:t>ment</w:t>
            </w:r>
          </w:p>
          <w:p w14:paraId="19CF2242" w14:textId="77777777" w:rsidR="005F4A7E" w:rsidRPr="002029AF" w:rsidRDefault="005F4A7E" w:rsidP="00130D1C">
            <w:pPr>
              <w:pStyle w:val="ARfintablecolheadright"/>
              <w:ind w:right="57"/>
            </w:pPr>
            <w:r w:rsidRPr="002029AF">
              <w:t>$M</w:t>
            </w:r>
          </w:p>
        </w:tc>
        <w:tc>
          <w:tcPr>
            <w:tcW w:w="907" w:type="dxa"/>
            <w:tcBorders>
              <w:bottom w:val="single" w:sz="4" w:space="0" w:color="auto"/>
            </w:tcBorders>
            <w:hideMark/>
          </w:tcPr>
          <w:p w14:paraId="3A6206CF" w14:textId="77777777" w:rsidR="005F4A7E" w:rsidRPr="002029AF" w:rsidRDefault="005F4A7E" w:rsidP="00130D1C">
            <w:pPr>
              <w:pStyle w:val="ARfintablecolheadright"/>
              <w:ind w:right="57"/>
            </w:pPr>
            <w:r w:rsidRPr="002029AF">
              <w:t xml:space="preserve">Closing balance as at </w:t>
            </w:r>
            <w:r w:rsidRPr="002029AF">
              <w:br/>
              <w:t xml:space="preserve">30 June </w:t>
            </w:r>
            <w:r>
              <w:t>2020</w:t>
            </w:r>
          </w:p>
          <w:p w14:paraId="5DABFBF4" w14:textId="77777777" w:rsidR="005F4A7E" w:rsidRPr="002029AF" w:rsidRDefault="005F4A7E" w:rsidP="00130D1C">
            <w:pPr>
              <w:pStyle w:val="ARfintablecolheadright"/>
              <w:ind w:right="57"/>
            </w:pPr>
            <w:r w:rsidRPr="002029AF">
              <w:t>$M</w:t>
            </w:r>
          </w:p>
        </w:tc>
      </w:tr>
      <w:tr w:rsidR="005F4A7E" w:rsidRPr="002029AF" w14:paraId="5BFFDE90" w14:textId="77777777" w:rsidTr="00860E95">
        <w:tc>
          <w:tcPr>
            <w:tcW w:w="14459" w:type="dxa"/>
            <w:gridSpan w:val="13"/>
            <w:tcBorders>
              <w:top w:val="single" w:sz="4" w:space="0" w:color="auto"/>
              <w:bottom w:val="single" w:sz="4" w:space="0" w:color="A6A6A6"/>
            </w:tcBorders>
            <w:hideMark/>
          </w:tcPr>
          <w:p w14:paraId="1D4ADCA8" w14:textId="77777777" w:rsidR="005F4A7E" w:rsidRPr="002029AF" w:rsidRDefault="005F4A7E" w:rsidP="00130D1C">
            <w:pPr>
              <w:pStyle w:val="ARfintablebodybold"/>
            </w:pPr>
            <w:r w:rsidRPr="008B06FF">
              <w:t>Controlled trusts</w:t>
            </w:r>
          </w:p>
        </w:tc>
      </w:tr>
      <w:tr w:rsidR="005F4A7E" w:rsidRPr="002029AF" w14:paraId="2E6E0EA8" w14:textId="77777777" w:rsidTr="00860E95">
        <w:tc>
          <w:tcPr>
            <w:tcW w:w="3574" w:type="dxa"/>
            <w:tcBorders>
              <w:top w:val="single" w:sz="4" w:space="0" w:color="A6A6A6"/>
              <w:bottom w:val="single" w:sz="4" w:space="0" w:color="A6A6A6"/>
            </w:tcBorders>
            <w:noWrap/>
            <w:hideMark/>
          </w:tcPr>
          <w:p w14:paraId="020A29BC" w14:textId="77777777" w:rsidR="005F4A7E" w:rsidRPr="002029AF" w:rsidRDefault="005F4A7E" w:rsidP="00130D1C">
            <w:pPr>
              <w:pStyle w:val="ARfintablebody"/>
            </w:pPr>
            <w:r w:rsidRPr="008B06FF">
              <w:t>Casey Hospital Escrow Account</w:t>
            </w:r>
          </w:p>
        </w:tc>
        <w:tc>
          <w:tcPr>
            <w:tcW w:w="908" w:type="dxa"/>
            <w:tcBorders>
              <w:top w:val="single" w:sz="4" w:space="0" w:color="A6A6A6"/>
              <w:bottom w:val="single" w:sz="4" w:space="0" w:color="A6A6A6"/>
              <w:right w:val="nil"/>
            </w:tcBorders>
            <w:shd w:val="clear" w:color="auto" w:fill="E7E6E6"/>
            <w:noWrap/>
            <w:hideMark/>
          </w:tcPr>
          <w:p w14:paraId="5AEFC898" w14:textId="77777777" w:rsidR="005F4A7E" w:rsidRPr="002029AF" w:rsidRDefault="005F4A7E" w:rsidP="00130D1C">
            <w:pPr>
              <w:pStyle w:val="ARfintablebodyright"/>
              <w:ind w:right="57"/>
            </w:pPr>
            <w:r w:rsidRPr="008B06FF">
              <w:t>6.8</w:t>
            </w:r>
          </w:p>
        </w:tc>
        <w:tc>
          <w:tcPr>
            <w:tcW w:w="907" w:type="dxa"/>
            <w:tcBorders>
              <w:top w:val="single" w:sz="4" w:space="0" w:color="A6A6A6"/>
              <w:left w:val="nil"/>
              <w:bottom w:val="single" w:sz="4" w:space="0" w:color="A6A6A6"/>
              <w:right w:val="nil"/>
            </w:tcBorders>
            <w:shd w:val="clear" w:color="auto" w:fill="E7E6E6"/>
            <w:noWrap/>
            <w:hideMark/>
          </w:tcPr>
          <w:p w14:paraId="3BEF4B02" w14:textId="77777777" w:rsidR="005F4A7E" w:rsidRPr="002029AF" w:rsidRDefault="005F4A7E" w:rsidP="00130D1C">
            <w:pPr>
              <w:pStyle w:val="ARfintablebodyright"/>
              <w:ind w:right="57"/>
            </w:pPr>
            <w:r w:rsidRPr="008B06FF">
              <w:t>–</w:t>
            </w:r>
          </w:p>
        </w:tc>
        <w:tc>
          <w:tcPr>
            <w:tcW w:w="907" w:type="dxa"/>
            <w:tcBorders>
              <w:top w:val="single" w:sz="4" w:space="0" w:color="A6A6A6"/>
              <w:left w:val="nil"/>
              <w:bottom w:val="single" w:sz="4" w:space="0" w:color="A6A6A6"/>
              <w:right w:val="nil"/>
            </w:tcBorders>
            <w:shd w:val="clear" w:color="auto" w:fill="E7E6E6"/>
            <w:noWrap/>
            <w:hideMark/>
          </w:tcPr>
          <w:p w14:paraId="661D69C2" w14:textId="77777777" w:rsidR="005F4A7E" w:rsidRPr="002029AF" w:rsidRDefault="005F4A7E" w:rsidP="00130D1C">
            <w:pPr>
              <w:pStyle w:val="ARfintablebodyright"/>
              <w:ind w:right="57"/>
            </w:pPr>
            <w:r w:rsidRPr="008B06FF">
              <w:t>–</w:t>
            </w:r>
          </w:p>
        </w:tc>
        <w:tc>
          <w:tcPr>
            <w:tcW w:w="907" w:type="dxa"/>
            <w:tcBorders>
              <w:top w:val="single" w:sz="4" w:space="0" w:color="A6A6A6"/>
              <w:left w:val="nil"/>
              <w:bottom w:val="single" w:sz="4" w:space="0" w:color="A6A6A6"/>
              <w:right w:val="nil"/>
            </w:tcBorders>
            <w:shd w:val="clear" w:color="auto" w:fill="E7E6E6"/>
            <w:noWrap/>
            <w:hideMark/>
          </w:tcPr>
          <w:p w14:paraId="116F361C" w14:textId="77777777" w:rsidR="005F4A7E" w:rsidRPr="002029AF" w:rsidRDefault="005F4A7E" w:rsidP="00130D1C">
            <w:pPr>
              <w:pStyle w:val="ARfintablebodyright"/>
              <w:ind w:right="57"/>
            </w:pPr>
            <w:r w:rsidRPr="008B06FF">
              <w:t>–</w:t>
            </w:r>
          </w:p>
        </w:tc>
        <w:tc>
          <w:tcPr>
            <w:tcW w:w="907" w:type="dxa"/>
            <w:tcBorders>
              <w:top w:val="single" w:sz="4" w:space="0" w:color="A6A6A6"/>
              <w:left w:val="nil"/>
              <w:bottom w:val="single" w:sz="4" w:space="0" w:color="A6A6A6"/>
              <w:right w:val="nil"/>
            </w:tcBorders>
            <w:shd w:val="clear" w:color="auto" w:fill="E7E6E6"/>
            <w:noWrap/>
            <w:hideMark/>
          </w:tcPr>
          <w:p w14:paraId="727B8299" w14:textId="77777777" w:rsidR="005F4A7E" w:rsidRPr="002029AF" w:rsidRDefault="005F4A7E" w:rsidP="00130D1C">
            <w:pPr>
              <w:pStyle w:val="ARfintablebodyright"/>
              <w:ind w:right="57"/>
            </w:pPr>
            <w:r w:rsidRPr="008B06FF">
              <w:t>(1.5)</w:t>
            </w:r>
          </w:p>
        </w:tc>
        <w:tc>
          <w:tcPr>
            <w:tcW w:w="907" w:type="dxa"/>
            <w:tcBorders>
              <w:top w:val="single" w:sz="4" w:space="0" w:color="A6A6A6"/>
              <w:left w:val="nil"/>
              <w:bottom w:val="single" w:sz="4" w:space="0" w:color="A6A6A6"/>
            </w:tcBorders>
            <w:shd w:val="clear" w:color="auto" w:fill="E7E6E6"/>
            <w:noWrap/>
            <w:hideMark/>
          </w:tcPr>
          <w:p w14:paraId="074E0ACA" w14:textId="77777777" w:rsidR="005F4A7E" w:rsidRPr="002029AF" w:rsidRDefault="005F4A7E" w:rsidP="00130D1C">
            <w:pPr>
              <w:pStyle w:val="ARfintablebodyright"/>
              <w:ind w:right="57"/>
            </w:pPr>
            <w:r w:rsidRPr="008B06FF">
              <w:t>5.3</w:t>
            </w:r>
          </w:p>
        </w:tc>
        <w:tc>
          <w:tcPr>
            <w:tcW w:w="907" w:type="dxa"/>
            <w:tcBorders>
              <w:top w:val="single" w:sz="4" w:space="0" w:color="A6A6A6"/>
              <w:bottom w:val="single" w:sz="4" w:space="0" w:color="A6A6A6"/>
            </w:tcBorders>
            <w:noWrap/>
            <w:hideMark/>
          </w:tcPr>
          <w:p w14:paraId="5800ADBD" w14:textId="77777777" w:rsidR="005F4A7E" w:rsidRPr="002029AF" w:rsidRDefault="005F4A7E" w:rsidP="00130D1C">
            <w:pPr>
              <w:pStyle w:val="ARfintablebodyright"/>
              <w:ind w:right="57"/>
            </w:pPr>
            <w:r w:rsidRPr="008B06FF">
              <w:t>6.8</w:t>
            </w:r>
          </w:p>
        </w:tc>
        <w:tc>
          <w:tcPr>
            <w:tcW w:w="907" w:type="dxa"/>
            <w:tcBorders>
              <w:top w:val="single" w:sz="4" w:space="0" w:color="A6A6A6"/>
              <w:bottom w:val="single" w:sz="4" w:space="0" w:color="A6A6A6"/>
            </w:tcBorders>
            <w:noWrap/>
            <w:hideMark/>
          </w:tcPr>
          <w:p w14:paraId="2D161B01" w14:textId="77777777" w:rsidR="005F4A7E" w:rsidRPr="002029AF" w:rsidRDefault="005F4A7E" w:rsidP="00130D1C">
            <w:pPr>
              <w:pStyle w:val="ARfintablebodyright"/>
              <w:ind w:right="57"/>
            </w:pPr>
            <w:r w:rsidRPr="008B06FF">
              <w:t>–</w:t>
            </w:r>
          </w:p>
        </w:tc>
        <w:tc>
          <w:tcPr>
            <w:tcW w:w="907" w:type="dxa"/>
            <w:tcBorders>
              <w:top w:val="single" w:sz="4" w:space="0" w:color="A6A6A6"/>
              <w:bottom w:val="single" w:sz="4" w:space="0" w:color="A6A6A6"/>
            </w:tcBorders>
            <w:noWrap/>
            <w:hideMark/>
          </w:tcPr>
          <w:p w14:paraId="4416CC0E" w14:textId="77777777" w:rsidR="005F4A7E" w:rsidRPr="002029AF" w:rsidRDefault="005F4A7E" w:rsidP="00130D1C">
            <w:pPr>
              <w:pStyle w:val="ARfintablebodyright"/>
              <w:ind w:right="57"/>
            </w:pPr>
            <w:r w:rsidRPr="008B06FF">
              <w:t>–</w:t>
            </w:r>
          </w:p>
        </w:tc>
        <w:tc>
          <w:tcPr>
            <w:tcW w:w="907" w:type="dxa"/>
            <w:tcBorders>
              <w:top w:val="single" w:sz="4" w:space="0" w:color="A6A6A6"/>
              <w:bottom w:val="single" w:sz="4" w:space="0" w:color="A6A6A6"/>
            </w:tcBorders>
            <w:noWrap/>
            <w:hideMark/>
          </w:tcPr>
          <w:p w14:paraId="399F14FF" w14:textId="77777777" w:rsidR="005F4A7E" w:rsidRPr="002029AF" w:rsidRDefault="005F4A7E" w:rsidP="00130D1C">
            <w:pPr>
              <w:pStyle w:val="ARfintablebodyright"/>
              <w:ind w:right="57"/>
            </w:pPr>
            <w:r w:rsidRPr="008B06FF">
              <w:t>–</w:t>
            </w:r>
          </w:p>
        </w:tc>
        <w:tc>
          <w:tcPr>
            <w:tcW w:w="907" w:type="dxa"/>
            <w:tcBorders>
              <w:top w:val="single" w:sz="4" w:space="0" w:color="A6A6A6"/>
              <w:bottom w:val="single" w:sz="4" w:space="0" w:color="A6A6A6"/>
            </w:tcBorders>
            <w:noWrap/>
            <w:hideMark/>
          </w:tcPr>
          <w:p w14:paraId="26F5414C" w14:textId="77777777" w:rsidR="005F4A7E" w:rsidRPr="002029AF" w:rsidRDefault="005F4A7E" w:rsidP="00130D1C">
            <w:pPr>
              <w:pStyle w:val="ARfintablebodyright"/>
              <w:ind w:right="57"/>
            </w:pPr>
            <w:r w:rsidRPr="008B06FF">
              <w:t>–</w:t>
            </w:r>
          </w:p>
        </w:tc>
        <w:tc>
          <w:tcPr>
            <w:tcW w:w="907" w:type="dxa"/>
            <w:tcBorders>
              <w:top w:val="single" w:sz="4" w:space="0" w:color="A6A6A6"/>
              <w:bottom w:val="single" w:sz="4" w:space="0" w:color="A6A6A6"/>
            </w:tcBorders>
            <w:noWrap/>
            <w:hideMark/>
          </w:tcPr>
          <w:p w14:paraId="29D6BF1A" w14:textId="77777777" w:rsidR="005F4A7E" w:rsidRPr="002029AF" w:rsidRDefault="005F4A7E" w:rsidP="00130D1C">
            <w:pPr>
              <w:pStyle w:val="ARfintablebodyright"/>
              <w:ind w:right="57"/>
            </w:pPr>
            <w:r w:rsidRPr="008B06FF">
              <w:t>6.8</w:t>
            </w:r>
          </w:p>
        </w:tc>
      </w:tr>
      <w:tr w:rsidR="005F4A7E" w:rsidRPr="002029AF" w14:paraId="1CB54656" w14:textId="77777777" w:rsidTr="00860E95">
        <w:tc>
          <w:tcPr>
            <w:tcW w:w="3574" w:type="dxa"/>
            <w:tcBorders>
              <w:top w:val="single" w:sz="4" w:space="0" w:color="A6A6A6"/>
              <w:bottom w:val="single" w:sz="4" w:space="0" w:color="A6A6A6"/>
            </w:tcBorders>
            <w:hideMark/>
          </w:tcPr>
          <w:p w14:paraId="4F34FE13" w14:textId="77777777" w:rsidR="005F4A7E" w:rsidRPr="002029AF" w:rsidRDefault="005F4A7E" w:rsidP="00130D1C">
            <w:pPr>
              <w:pStyle w:val="ARfintablebody"/>
            </w:pPr>
            <w:r w:rsidRPr="008B06FF">
              <w:t>Health State Managed Fund</w:t>
            </w:r>
          </w:p>
        </w:tc>
        <w:tc>
          <w:tcPr>
            <w:tcW w:w="908" w:type="dxa"/>
            <w:tcBorders>
              <w:top w:val="single" w:sz="4" w:space="0" w:color="A6A6A6"/>
              <w:bottom w:val="single" w:sz="4" w:space="0" w:color="A6A6A6"/>
              <w:right w:val="nil"/>
            </w:tcBorders>
            <w:shd w:val="clear" w:color="auto" w:fill="E7E6E6"/>
            <w:noWrap/>
            <w:hideMark/>
          </w:tcPr>
          <w:p w14:paraId="3F03FDD6" w14:textId="77777777" w:rsidR="005F4A7E" w:rsidRPr="002029AF" w:rsidRDefault="005F4A7E" w:rsidP="00130D1C">
            <w:pPr>
              <w:pStyle w:val="ARfintablebodyright"/>
              <w:ind w:right="57"/>
            </w:pPr>
            <w:r w:rsidRPr="008B06FF">
              <w:t>2.2</w:t>
            </w:r>
          </w:p>
        </w:tc>
        <w:tc>
          <w:tcPr>
            <w:tcW w:w="907" w:type="dxa"/>
            <w:tcBorders>
              <w:top w:val="single" w:sz="4" w:space="0" w:color="A6A6A6"/>
              <w:left w:val="nil"/>
              <w:bottom w:val="single" w:sz="4" w:space="0" w:color="A6A6A6"/>
              <w:right w:val="nil"/>
            </w:tcBorders>
            <w:shd w:val="clear" w:color="auto" w:fill="E7E6E6"/>
            <w:noWrap/>
            <w:hideMark/>
          </w:tcPr>
          <w:p w14:paraId="172DD9E7" w14:textId="77777777" w:rsidR="005F4A7E" w:rsidRPr="002029AF" w:rsidRDefault="005F4A7E" w:rsidP="00130D1C">
            <w:pPr>
              <w:pStyle w:val="ARfintablebodyright"/>
              <w:ind w:right="57"/>
            </w:pPr>
            <w:r w:rsidRPr="008B06FF">
              <w:t>–</w:t>
            </w:r>
          </w:p>
        </w:tc>
        <w:tc>
          <w:tcPr>
            <w:tcW w:w="907" w:type="dxa"/>
            <w:tcBorders>
              <w:top w:val="single" w:sz="4" w:space="0" w:color="A6A6A6"/>
              <w:left w:val="nil"/>
              <w:bottom w:val="single" w:sz="4" w:space="0" w:color="A6A6A6"/>
              <w:right w:val="nil"/>
            </w:tcBorders>
            <w:shd w:val="clear" w:color="auto" w:fill="E7E6E6"/>
            <w:noWrap/>
            <w:hideMark/>
          </w:tcPr>
          <w:p w14:paraId="550D409E" w14:textId="77777777" w:rsidR="005F4A7E" w:rsidRPr="002029AF" w:rsidRDefault="005F4A7E" w:rsidP="00130D1C">
            <w:pPr>
              <w:pStyle w:val="ARfintablebodyright"/>
              <w:ind w:right="57"/>
            </w:pPr>
            <w:r w:rsidRPr="008B06FF">
              <w:t>1,908.5</w:t>
            </w:r>
          </w:p>
        </w:tc>
        <w:tc>
          <w:tcPr>
            <w:tcW w:w="907" w:type="dxa"/>
            <w:tcBorders>
              <w:top w:val="single" w:sz="4" w:space="0" w:color="A6A6A6"/>
              <w:left w:val="nil"/>
              <w:bottom w:val="single" w:sz="4" w:space="0" w:color="A6A6A6"/>
              <w:right w:val="nil"/>
            </w:tcBorders>
            <w:shd w:val="clear" w:color="auto" w:fill="E7E6E6"/>
            <w:noWrap/>
            <w:hideMark/>
          </w:tcPr>
          <w:p w14:paraId="7874D519" w14:textId="77777777" w:rsidR="005F4A7E" w:rsidRPr="002029AF" w:rsidRDefault="005F4A7E" w:rsidP="00130D1C">
            <w:pPr>
              <w:pStyle w:val="ARfintablebodyright"/>
              <w:ind w:right="57"/>
            </w:pPr>
            <w:r w:rsidRPr="008B06FF">
              <w:t>1,908.5</w:t>
            </w:r>
          </w:p>
        </w:tc>
        <w:tc>
          <w:tcPr>
            <w:tcW w:w="907" w:type="dxa"/>
            <w:tcBorders>
              <w:top w:val="single" w:sz="4" w:space="0" w:color="A6A6A6"/>
              <w:left w:val="nil"/>
              <w:bottom w:val="single" w:sz="4" w:space="0" w:color="A6A6A6"/>
              <w:right w:val="nil"/>
            </w:tcBorders>
            <w:shd w:val="clear" w:color="auto" w:fill="E7E6E6"/>
            <w:noWrap/>
            <w:hideMark/>
          </w:tcPr>
          <w:p w14:paraId="352008E8" w14:textId="77777777" w:rsidR="005F4A7E" w:rsidRPr="002029AF" w:rsidRDefault="005F4A7E" w:rsidP="00130D1C">
            <w:pPr>
              <w:pStyle w:val="ARfintablebodyright"/>
              <w:ind w:right="57"/>
            </w:pPr>
            <w:r w:rsidRPr="008B06FF">
              <w:t>–</w:t>
            </w:r>
          </w:p>
        </w:tc>
        <w:tc>
          <w:tcPr>
            <w:tcW w:w="907" w:type="dxa"/>
            <w:tcBorders>
              <w:top w:val="single" w:sz="4" w:space="0" w:color="A6A6A6"/>
              <w:left w:val="nil"/>
              <w:bottom w:val="single" w:sz="4" w:space="0" w:color="A6A6A6"/>
            </w:tcBorders>
            <w:shd w:val="clear" w:color="auto" w:fill="E7E6E6"/>
            <w:noWrap/>
            <w:hideMark/>
          </w:tcPr>
          <w:p w14:paraId="29028A9E" w14:textId="77777777" w:rsidR="005F4A7E" w:rsidRPr="002029AF" w:rsidRDefault="005F4A7E" w:rsidP="00130D1C">
            <w:pPr>
              <w:pStyle w:val="ARfintablebodyright"/>
              <w:ind w:right="57"/>
            </w:pPr>
            <w:r w:rsidRPr="008B06FF">
              <w:t>2.2</w:t>
            </w:r>
          </w:p>
        </w:tc>
        <w:tc>
          <w:tcPr>
            <w:tcW w:w="907" w:type="dxa"/>
            <w:tcBorders>
              <w:top w:val="single" w:sz="4" w:space="0" w:color="A6A6A6"/>
              <w:bottom w:val="single" w:sz="4" w:space="0" w:color="A6A6A6"/>
            </w:tcBorders>
            <w:noWrap/>
            <w:hideMark/>
          </w:tcPr>
          <w:p w14:paraId="618C9D2C" w14:textId="77777777" w:rsidR="005F4A7E" w:rsidRPr="002029AF" w:rsidRDefault="005F4A7E" w:rsidP="00130D1C">
            <w:pPr>
              <w:pStyle w:val="ARfintablebodyright"/>
              <w:ind w:right="57"/>
            </w:pPr>
            <w:r w:rsidRPr="008B06FF">
              <w:t>2.2</w:t>
            </w:r>
          </w:p>
        </w:tc>
        <w:tc>
          <w:tcPr>
            <w:tcW w:w="907" w:type="dxa"/>
            <w:tcBorders>
              <w:top w:val="single" w:sz="4" w:space="0" w:color="A6A6A6"/>
              <w:bottom w:val="single" w:sz="4" w:space="0" w:color="A6A6A6"/>
            </w:tcBorders>
            <w:noWrap/>
            <w:hideMark/>
          </w:tcPr>
          <w:p w14:paraId="6A768FA7" w14:textId="77777777" w:rsidR="005F4A7E" w:rsidRPr="002029AF" w:rsidRDefault="005F4A7E" w:rsidP="00130D1C">
            <w:pPr>
              <w:pStyle w:val="ARfintablebodyright"/>
              <w:ind w:right="57"/>
            </w:pPr>
            <w:r w:rsidRPr="008B06FF">
              <w:t>–</w:t>
            </w:r>
          </w:p>
        </w:tc>
        <w:tc>
          <w:tcPr>
            <w:tcW w:w="907" w:type="dxa"/>
            <w:tcBorders>
              <w:top w:val="single" w:sz="4" w:space="0" w:color="A6A6A6"/>
              <w:bottom w:val="single" w:sz="4" w:space="0" w:color="A6A6A6"/>
            </w:tcBorders>
            <w:noWrap/>
            <w:hideMark/>
          </w:tcPr>
          <w:p w14:paraId="6171DE5F" w14:textId="77777777" w:rsidR="005F4A7E" w:rsidRPr="002029AF" w:rsidRDefault="005F4A7E" w:rsidP="00130D1C">
            <w:pPr>
              <w:pStyle w:val="ARfintablebodyright"/>
              <w:ind w:right="57"/>
            </w:pPr>
            <w:r w:rsidRPr="008B06FF">
              <w:t>1,698.1</w:t>
            </w:r>
          </w:p>
        </w:tc>
        <w:tc>
          <w:tcPr>
            <w:tcW w:w="907" w:type="dxa"/>
            <w:tcBorders>
              <w:top w:val="single" w:sz="4" w:space="0" w:color="A6A6A6"/>
              <w:bottom w:val="single" w:sz="4" w:space="0" w:color="A6A6A6"/>
            </w:tcBorders>
            <w:noWrap/>
            <w:hideMark/>
          </w:tcPr>
          <w:p w14:paraId="686CC125" w14:textId="77777777" w:rsidR="005F4A7E" w:rsidRPr="002029AF" w:rsidRDefault="005F4A7E" w:rsidP="00130D1C">
            <w:pPr>
              <w:pStyle w:val="ARfintablebodyright"/>
              <w:ind w:right="57"/>
            </w:pPr>
            <w:r w:rsidRPr="008B06FF">
              <w:t>1,697.5</w:t>
            </w:r>
          </w:p>
        </w:tc>
        <w:tc>
          <w:tcPr>
            <w:tcW w:w="907" w:type="dxa"/>
            <w:tcBorders>
              <w:top w:val="single" w:sz="4" w:space="0" w:color="A6A6A6"/>
              <w:bottom w:val="single" w:sz="4" w:space="0" w:color="A6A6A6"/>
            </w:tcBorders>
            <w:noWrap/>
            <w:hideMark/>
          </w:tcPr>
          <w:p w14:paraId="2F3A9217" w14:textId="77777777" w:rsidR="005F4A7E" w:rsidRPr="002029AF" w:rsidRDefault="005F4A7E" w:rsidP="00130D1C">
            <w:pPr>
              <w:pStyle w:val="ARfintablebodyright"/>
              <w:ind w:right="57"/>
            </w:pPr>
            <w:r w:rsidRPr="008B06FF">
              <w:t>(0.6)</w:t>
            </w:r>
          </w:p>
        </w:tc>
        <w:tc>
          <w:tcPr>
            <w:tcW w:w="907" w:type="dxa"/>
            <w:tcBorders>
              <w:top w:val="single" w:sz="4" w:space="0" w:color="A6A6A6"/>
              <w:bottom w:val="single" w:sz="4" w:space="0" w:color="A6A6A6"/>
            </w:tcBorders>
            <w:noWrap/>
            <w:hideMark/>
          </w:tcPr>
          <w:p w14:paraId="75035A8A" w14:textId="77777777" w:rsidR="005F4A7E" w:rsidRPr="002029AF" w:rsidRDefault="005F4A7E" w:rsidP="00130D1C">
            <w:pPr>
              <w:pStyle w:val="ARfintablebodyright"/>
              <w:ind w:right="57"/>
            </w:pPr>
            <w:r w:rsidRPr="008B06FF">
              <w:t>2.2</w:t>
            </w:r>
          </w:p>
        </w:tc>
      </w:tr>
      <w:tr w:rsidR="005F4A7E" w:rsidRPr="002029AF" w14:paraId="10DB3044" w14:textId="77777777" w:rsidTr="00860E95">
        <w:tc>
          <w:tcPr>
            <w:tcW w:w="3574" w:type="dxa"/>
            <w:tcBorders>
              <w:top w:val="single" w:sz="4" w:space="0" w:color="A6A6A6"/>
              <w:bottom w:val="single" w:sz="4" w:space="0" w:color="A6A6A6"/>
            </w:tcBorders>
            <w:noWrap/>
            <w:hideMark/>
          </w:tcPr>
          <w:p w14:paraId="715821CA" w14:textId="77777777" w:rsidR="005F4A7E" w:rsidRPr="002029AF" w:rsidRDefault="005F4A7E" w:rsidP="00130D1C">
            <w:pPr>
              <w:pStyle w:val="ARfintablebody"/>
            </w:pPr>
            <w:r w:rsidRPr="008B06FF">
              <w:t>Hospital and Charities Fund</w:t>
            </w:r>
          </w:p>
        </w:tc>
        <w:tc>
          <w:tcPr>
            <w:tcW w:w="908" w:type="dxa"/>
            <w:tcBorders>
              <w:top w:val="single" w:sz="4" w:space="0" w:color="A6A6A6"/>
              <w:bottom w:val="single" w:sz="4" w:space="0" w:color="A6A6A6"/>
              <w:right w:val="nil"/>
            </w:tcBorders>
            <w:shd w:val="clear" w:color="auto" w:fill="E7E6E6"/>
            <w:noWrap/>
            <w:hideMark/>
          </w:tcPr>
          <w:p w14:paraId="5D152656" w14:textId="77777777" w:rsidR="005F4A7E" w:rsidRPr="002029AF" w:rsidRDefault="005F4A7E" w:rsidP="00130D1C">
            <w:pPr>
              <w:pStyle w:val="ARfintablebodyright"/>
              <w:ind w:right="57"/>
            </w:pPr>
            <w:r w:rsidRPr="008B06FF">
              <w:t>–</w:t>
            </w:r>
          </w:p>
        </w:tc>
        <w:tc>
          <w:tcPr>
            <w:tcW w:w="907" w:type="dxa"/>
            <w:tcBorders>
              <w:top w:val="single" w:sz="4" w:space="0" w:color="A6A6A6"/>
              <w:left w:val="nil"/>
              <w:bottom w:val="single" w:sz="4" w:space="0" w:color="A6A6A6"/>
              <w:right w:val="nil"/>
            </w:tcBorders>
            <w:shd w:val="clear" w:color="auto" w:fill="E7E6E6"/>
            <w:noWrap/>
            <w:hideMark/>
          </w:tcPr>
          <w:p w14:paraId="0F6C9713" w14:textId="77777777" w:rsidR="005F4A7E" w:rsidRPr="002029AF" w:rsidRDefault="005F4A7E" w:rsidP="00130D1C">
            <w:pPr>
              <w:pStyle w:val="ARfintablebodyright"/>
              <w:ind w:right="57"/>
            </w:pPr>
            <w:r w:rsidRPr="008B06FF">
              <w:t>–</w:t>
            </w:r>
          </w:p>
        </w:tc>
        <w:tc>
          <w:tcPr>
            <w:tcW w:w="907" w:type="dxa"/>
            <w:tcBorders>
              <w:top w:val="single" w:sz="4" w:space="0" w:color="A6A6A6"/>
              <w:left w:val="nil"/>
              <w:bottom w:val="single" w:sz="4" w:space="0" w:color="A6A6A6"/>
              <w:right w:val="nil"/>
            </w:tcBorders>
            <w:shd w:val="clear" w:color="auto" w:fill="E7E6E6"/>
            <w:noWrap/>
            <w:hideMark/>
          </w:tcPr>
          <w:p w14:paraId="53EC619C" w14:textId="77777777" w:rsidR="005F4A7E" w:rsidRPr="002029AF" w:rsidRDefault="005F4A7E" w:rsidP="00130D1C">
            <w:pPr>
              <w:pStyle w:val="ARfintablebodyright"/>
              <w:ind w:right="57"/>
            </w:pPr>
            <w:r w:rsidRPr="008B06FF">
              <w:t>1,481.3</w:t>
            </w:r>
          </w:p>
        </w:tc>
        <w:tc>
          <w:tcPr>
            <w:tcW w:w="907" w:type="dxa"/>
            <w:tcBorders>
              <w:top w:val="single" w:sz="4" w:space="0" w:color="A6A6A6"/>
              <w:left w:val="nil"/>
              <w:bottom w:val="single" w:sz="4" w:space="0" w:color="A6A6A6"/>
              <w:right w:val="nil"/>
            </w:tcBorders>
            <w:shd w:val="clear" w:color="auto" w:fill="E7E6E6"/>
            <w:noWrap/>
            <w:hideMark/>
          </w:tcPr>
          <w:p w14:paraId="2E696FDF" w14:textId="77777777" w:rsidR="005F4A7E" w:rsidRPr="002029AF" w:rsidRDefault="005F4A7E" w:rsidP="00130D1C">
            <w:pPr>
              <w:pStyle w:val="ARfintablebodyright"/>
              <w:ind w:right="57"/>
            </w:pPr>
            <w:r w:rsidRPr="008B06FF">
              <w:t>1,465.0</w:t>
            </w:r>
          </w:p>
        </w:tc>
        <w:tc>
          <w:tcPr>
            <w:tcW w:w="907" w:type="dxa"/>
            <w:tcBorders>
              <w:top w:val="single" w:sz="4" w:space="0" w:color="A6A6A6"/>
              <w:left w:val="nil"/>
              <w:bottom w:val="single" w:sz="4" w:space="0" w:color="A6A6A6"/>
              <w:right w:val="nil"/>
            </w:tcBorders>
            <w:shd w:val="clear" w:color="auto" w:fill="E7E6E6"/>
            <w:noWrap/>
            <w:hideMark/>
          </w:tcPr>
          <w:p w14:paraId="1DF57B75" w14:textId="77777777" w:rsidR="005F4A7E" w:rsidRPr="002029AF" w:rsidRDefault="005F4A7E" w:rsidP="00130D1C">
            <w:pPr>
              <w:pStyle w:val="ARfintablebodyright"/>
              <w:ind w:right="57"/>
            </w:pPr>
            <w:r w:rsidRPr="008B06FF">
              <w:t>(14.5)</w:t>
            </w:r>
          </w:p>
        </w:tc>
        <w:tc>
          <w:tcPr>
            <w:tcW w:w="907" w:type="dxa"/>
            <w:tcBorders>
              <w:top w:val="single" w:sz="4" w:space="0" w:color="A6A6A6"/>
              <w:left w:val="nil"/>
              <w:bottom w:val="single" w:sz="4" w:space="0" w:color="A6A6A6"/>
            </w:tcBorders>
            <w:shd w:val="clear" w:color="auto" w:fill="E7E6E6"/>
            <w:noWrap/>
            <w:hideMark/>
          </w:tcPr>
          <w:p w14:paraId="6D8DE8E1" w14:textId="77777777" w:rsidR="005F4A7E" w:rsidRPr="002029AF" w:rsidRDefault="005F4A7E" w:rsidP="00130D1C">
            <w:pPr>
              <w:pStyle w:val="ARfintablebodyright"/>
              <w:ind w:right="57"/>
            </w:pPr>
            <w:r w:rsidRPr="008B06FF">
              <w:t>1.8</w:t>
            </w:r>
          </w:p>
        </w:tc>
        <w:tc>
          <w:tcPr>
            <w:tcW w:w="907" w:type="dxa"/>
            <w:tcBorders>
              <w:top w:val="single" w:sz="4" w:space="0" w:color="A6A6A6"/>
              <w:bottom w:val="single" w:sz="4" w:space="0" w:color="A6A6A6"/>
            </w:tcBorders>
            <w:noWrap/>
            <w:hideMark/>
          </w:tcPr>
          <w:p w14:paraId="782BF479" w14:textId="77777777" w:rsidR="005F4A7E" w:rsidRPr="002029AF" w:rsidRDefault="005F4A7E" w:rsidP="00130D1C">
            <w:pPr>
              <w:pStyle w:val="ARfintablebodyright"/>
              <w:ind w:right="57"/>
            </w:pPr>
            <w:r w:rsidRPr="008B06FF">
              <w:t>155.9</w:t>
            </w:r>
          </w:p>
        </w:tc>
        <w:tc>
          <w:tcPr>
            <w:tcW w:w="907" w:type="dxa"/>
            <w:tcBorders>
              <w:top w:val="single" w:sz="4" w:space="0" w:color="A6A6A6"/>
              <w:bottom w:val="single" w:sz="4" w:space="0" w:color="A6A6A6"/>
            </w:tcBorders>
            <w:noWrap/>
            <w:hideMark/>
          </w:tcPr>
          <w:p w14:paraId="494EC629" w14:textId="77777777" w:rsidR="005F4A7E" w:rsidRPr="002029AF" w:rsidRDefault="005F4A7E" w:rsidP="00130D1C">
            <w:pPr>
              <w:pStyle w:val="ARfintablebodyright"/>
              <w:ind w:right="57"/>
            </w:pPr>
            <w:r w:rsidRPr="008B06FF">
              <w:t>–</w:t>
            </w:r>
          </w:p>
        </w:tc>
        <w:tc>
          <w:tcPr>
            <w:tcW w:w="907" w:type="dxa"/>
            <w:tcBorders>
              <w:top w:val="single" w:sz="4" w:space="0" w:color="A6A6A6"/>
              <w:bottom w:val="single" w:sz="4" w:space="0" w:color="A6A6A6"/>
            </w:tcBorders>
            <w:noWrap/>
            <w:hideMark/>
          </w:tcPr>
          <w:p w14:paraId="6E14E4A4" w14:textId="77777777" w:rsidR="005F4A7E" w:rsidRPr="002029AF" w:rsidRDefault="005F4A7E" w:rsidP="00130D1C">
            <w:pPr>
              <w:pStyle w:val="ARfintablebodyright"/>
              <w:ind w:right="57"/>
            </w:pPr>
            <w:r w:rsidRPr="008B06FF">
              <w:t>1,664.1</w:t>
            </w:r>
          </w:p>
        </w:tc>
        <w:tc>
          <w:tcPr>
            <w:tcW w:w="907" w:type="dxa"/>
            <w:tcBorders>
              <w:top w:val="single" w:sz="4" w:space="0" w:color="A6A6A6"/>
              <w:bottom w:val="single" w:sz="4" w:space="0" w:color="A6A6A6"/>
            </w:tcBorders>
            <w:noWrap/>
            <w:hideMark/>
          </w:tcPr>
          <w:p w14:paraId="329447F0" w14:textId="77777777" w:rsidR="005F4A7E" w:rsidRPr="002029AF" w:rsidRDefault="005F4A7E" w:rsidP="00130D1C">
            <w:pPr>
              <w:pStyle w:val="ARfintablebodyright"/>
              <w:ind w:right="57"/>
            </w:pPr>
            <w:r w:rsidRPr="008B06FF">
              <w:t>1,912.2</w:t>
            </w:r>
          </w:p>
        </w:tc>
        <w:tc>
          <w:tcPr>
            <w:tcW w:w="907" w:type="dxa"/>
            <w:tcBorders>
              <w:top w:val="single" w:sz="4" w:space="0" w:color="A6A6A6"/>
              <w:bottom w:val="single" w:sz="4" w:space="0" w:color="A6A6A6"/>
            </w:tcBorders>
            <w:noWrap/>
            <w:hideMark/>
          </w:tcPr>
          <w:p w14:paraId="7D988C70" w14:textId="77777777" w:rsidR="005F4A7E" w:rsidRPr="002029AF" w:rsidRDefault="005F4A7E" w:rsidP="00130D1C">
            <w:pPr>
              <w:pStyle w:val="ARfintablebodyright"/>
              <w:ind w:right="57"/>
            </w:pPr>
            <w:r w:rsidRPr="008B06FF">
              <w:t>92.2</w:t>
            </w:r>
          </w:p>
        </w:tc>
        <w:tc>
          <w:tcPr>
            <w:tcW w:w="907" w:type="dxa"/>
            <w:tcBorders>
              <w:top w:val="single" w:sz="4" w:space="0" w:color="A6A6A6"/>
              <w:bottom w:val="single" w:sz="4" w:space="0" w:color="A6A6A6"/>
            </w:tcBorders>
            <w:noWrap/>
            <w:hideMark/>
          </w:tcPr>
          <w:p w14:paraId="6050A51D" w14:textId="77777777" w:rsidR="005F4A7E" w:rsidRPr="002029AF" w:rsidRDefault="005F4A7E" w:rsidP="00130D1C">
            <w:pPr>
              <w:pStyle w:val="ARfintablebodyright"/>
              <w:ind w:right="57"/>
            </w:pPr>
            <w:r w:rsidRPr="008B06FF">
              <w:t>–</w:t>
            </w:r>
          </w:p>
        </w:tc>
      </w:tr>
      <w:tr w:rsidR="005F4A7E" w:rsidRPr="002029AF" w14:paraId="1EEDABE5" w14:textId="77777777" w:rsidTr="00860E95">
        <w:tc>
          <w:tcPr>
            <w:tcW w:w="3574" w:type="dxa"/>
            <w:tcBorders>
              <w:top w:val="single" w:sz="4" w:space="0" w:color="A6A6A6"/>
              <w:bottom w:val="single" w:sz="4" w:space="0" w:color="A6A6A6"/>
            </w:tcBorders>
            <w:hideMark/>
          </w:tcPr>
          <w:p w14:paraId="43D7554E" w14:textId="368621B0" w:rsidR="005F4A7E" w:rsidRPr="002029AF" w:rsidRDefault="005F4A7E" w:rsidP="00130D1C">
            <w:pPr>
              <w:pStyle w:val="ARfintablebody"/>
            </w:pPr>
            <w:r w:rsidRPr="008B06FF">
              <w:t>Intellectually Handicapped Children</w:t>
            </w:r>
            <w:r w:rsidR="007D145B">
              <w:t>’</w:t>
            </w:r>
            <w:r w:rsidRPr="008B06FF">
              <w:t>s Amenities Fund</w:t>
            </w:r>
          </w:p>
        </w:tc>
        <w:tc>
          <w:tcPr>
            <w:tcW w:w="908" w:type="dxa"/>
            <w:tcBorders>
              <w:top w:val="single" w:sz="4" w:space="0" w:color="A6A6A6"/>
              <w:bottom w:val="single" w:sz="4" w:space="0" w:color="A6A6A6"/>
              <w:right w:val="nil"/>
            </w:tcBorders>
            <w:shd w:val="clear" w:color="auto" w:fill="E7E6E6"/>
            <w:noWrap/>
            <w:hideMark/>
          </w:tcPr>
          <w:p w14:paraId="36F05872" w14:textId="77777777" w:rsidR="005F4A7E" w:rsidRPr="002029AF" w:rsidRDefault="005F4A7E" w:rsidP="00130D1C">
            <w:pPr>
              <w:pStyle w:val="ARfintablebodyright"/>
              <w:ind w:right="57"/>
            </w:pPr>
            <w:r w:rsidRPr="008B06FF">
              <w:t>0.1</w:t>
            </w:r>
          </w:p>
        </w:tc>
        <w:tc>
          <w:tcPr>
            <w:tcW w:w="907" w:type="dxa"/>
            <w:tcBorders>
              <w:top w:val="single" w:sz="4" w:space="0" w:color="A6A6A6"/>
              <w:left w:val="nil"/>
              <w:bottom w:val="single" w:sz="4" w:space="0" w:color="A6A6A6"/>
              <w:right w:val="nil"/>
            </w:tcBorders>
            <w:shd w:val="clear" w:color="auto" w:fill="E7E6E6"/>
            <w:noWrap/>
            <w:hideMark/>
          </w:tcPr>
          <w:p w14:paraId="3D7DCF5A" w14:textId="77777777" w:rsidR="005F4A7E" w:rsidRPr="002029AF" w:rsidRDefault="005F4A7E" w:rsidP="00130D1C">
            <w:pPr>
              <w:pStyle w:val="ARfintablebodyright"/>
              <w:ind w:right="57"/>
            </w:pPr>
            <w:r w:rsidRPr="008B06FF">
              <w:t>–</w:t>
            </w:r>
          </w:p>
        </w:tc>
        <w:tc>
          <w:tcPr>
            <w:tcW w:w="907" w:type="dxa"/>
            <w:tcBorders>
              <w:top w:val="single" w:sz="4" w:space="0" w:color="A6A6A6"/>
              <w:left w:val="nil"/>
              <w:bottom w:val="single" w:sz="4" w:space="0" w:color="A6A6A6"/>
              <w:right w:val="nil"/>
            </w:tcBorders>
            <w:shd w:val="clear" w:color="auto" w:fill="E7E6E6"/>
            <w:noWrap/>
            <w:hideMark/>
          </w:tcPr>
          <w:p w14:paraId="1E88838B" w14:textId="77777777" w:rsidR="005F4A7E" w:rsidRPr="002029AF" w:rsidRDefault="005F4A7E" w:rsidP="00130D1C">
            <w:pPr>
              <w:pStyle w:val="ARfintablebodyright"/>
              <w:ind w:right="57"/>
            </w:pPr>
            <w:r w:rsidRPr="008B06FF">
              <w:t>–</w:t>
            </w:r>
          </w:p>
        </w:tc>
        <w:tc>
          <w:tcPr>
            <w:tcW w:w="907" w:type="dxa"/>
            <w:tcBorders>
              <w:top w:val="single" w:sz="4" w:space="0" w:color="A6A6A6"/>
              <w:left w:val="nil"/>
              <w:bottom w:val="single" w:sz="4" w:space="0" w:color="A6A6A6"/>
              <w:right w:val="nil"/>
            </w:tcBorders>
            <w:shd w:val="clear" w:color="auto" w:fill="E7E6E6"/>
            <w:noWrap/>
            <w:hideMark/>
          </w:tcPr>
          <w:p w14:paraId="762B28C9" w14:textId="77777777" w:rsidR="005F4A7E" w:rsidRPr="002029AF" w:rsidRDefault="005F4A7E" w:rsidP="00130D1C">
            <w:pPr>
              <w:pStyle w:val="ARfintablebodyright"/>
              <w:ind w:right="57"/>
            </w:pPr>
            <w:r w:rsidRPr="008B06FF">
              <w:t>–</w:t>
            </w:r>
          </w:p>
        </w:tc>
        <w:tc>
          <w:tcPr>
            <w:tcW w:w="907" w:type="dxa"/>
            <w:tcBorders>
              <w:top w:val="single" w:sz="4" w:space="0" w:color="A6A6A6"/>
              <w:left w:val="nil"/>
              <w:bottom w:val="single" w:sz="4" w:space="0" w:color="A6A6A6"/>
              <w:right w:val="nil"/>
            </w:tcBorders>
            <w:shd w:val="clear" w:color="auto" w:fill="E7E6E6"/>
            <w:noWrap/>
            <w:hideMark/>
          </w:tcPr>
          <w:p w14:paraId="70C8972F" w14:textId="77777777" w:rsidR="005F4A7E" w:rsidRPr="002029AF" w:rsidRDefault="005F4A7E" w:rsidP="00130D1C">
            <w:pPr>
              <w:pStyle w:val="ARfintablebodyright"/>
              <w:ind w:right="57"/>
            </w:pPr>
            <w:r w:rsidRPr="008B06FF">
              <w:t>–</w:t>
            </w:r>
          </w:p>
        </w:tc>
        <w:tc>
          <w:tcPr>
            <w:tcW w:w="907" w:type="dxa"/>
            <w:tcBorders>
              <w:top w:val="single" w:sz="4" w:space="0" w:color="A6A6A6"/>
              <w:left w:val="nil"/>
              <w:bottom w:val="single" w:sz="4" w:space="0" w:color="A6A6A6"/>
            </w:tcBorders>
            <w:shd w:val="clear" w:color="auto" w:fill="E7E6E6"/>
            <w:noWrap/>
            <w:hideMark/>
          </w:tcPr>
          <w:p w14:paraId="5A5CE321" w14:textId="77777777" w:rsidR="005F4A7E" w:rsidRPr="002029AF" w:rsidRDefault="005F4A7E" w:rsidP="00130D1C">
            <w:pPr>
              <w:pStyle w:val="ARfintablebodyright"/>
              <w:ind w:right="57"/>
            </w:pPr>
            <w:r w:rsidRPr="008B06FF">
              <w:t>0.1</w:t>
            </w:r>
          </w:p>
        </w:tc>
        <w:tc>
          <w:tcPr>
            <w:tcW w:w="907" w:type="dxa"/>
            <w:tcBorders>
              <w:top w:val="single" w:sz="4" w:space="0" w:color="A6A6A6"/>
              <w:bottom w:val="single" w:sz="4" w:space="0" w:color="A6A6A6"/>
            </w:tcBorders>
            <w:noWrap/>
            <w:hideMark/>
          </w:tcPr>
          <w:p w14:paraId="388248F9" w14:textId="77777777" w:rsidR="005F4A7E" w:rsidRPr="002029AF" w:rsidRDefault="005F4A7E" w:rsidP="00130D1C">
            <w:pPr>
              <w:pStyle w:val="ARfintablebodyright"/>
              <w:ind w:right="57"/>
            </w:pPr>
            <w:r w:rsidRPr="008B06FF">
              <w:t>0.1</w:t>
            </w:r>
          </w:p>
        </w:tc>
        <w:tc>
          <w:tcPr>
            <w:tcW w:w="907" w:type="dxa"/>
            <w:tcBorders>
              <w:top w:val="single" w:sz="4" w:space="0" w:color="A6A6A6"/>
              <w:bottom w:val="single" w:sz="4" w:space="0" w:color="A6A6A6"/>
            </w:tcBorders>
            <w:noWrap/>
            <w:hideMark/>
          </w:tcPr>
          <w:p w14:paraId="79364614" w14:textId="77777777" w:rsidR="005F4A7E" w:rsidRPr="002029AF" w:rsidRDefault="005F4A7E" w:rsidP="00130D1C">
            <w:pPr>
              <w:pStyle w:val="ARfintablebodyright"/>
              <w:ind w:right="57"/>
            </w:pPr>
            <w:r w:rsidRPr="008B06FF">
              <w:t>–</w:t>
            </w:r>
          </w:p>
        </w:tc>
        <w:tc>
          <w:tcPr>
            <w:tcW w:w="907" w:type="dxa"/>
            <w:tcBorders>
              <w:top w:val="single" w:sz="4" w:space="0" w:color="A6A6A6"/>
              <w:bottom w:val="single" w:sz="4" w:space="0" w:color="A6A6A6"/>
            </w:tcBorders>
            <w:noWrap/>
            <w:hideMark/>
          </w:tcPr>
          <w:p w14:paraId="322B745D" w14:textId="77777777" w:rsidR="005F4A7E" w:rsidRPr="002029AF" w:rsidRDefault="005F4A7E" w:rsidP="00130D1C">
            <w:pPr>
              <w:pStyle w:val="ARfintablebodyright"/>
              <w:ind w:right="57"/>
            </w:pPr>
            <w:r w:rsidRPr="008B06FF">
              <w:t>–</w:t>
            </w:r>
          </w:p>
        </w:tc>
        <w:tc>
          <w:tcPr>
            <w:tcW w:w="907" w:type="dxa"/>
            <w:tcBorders>
              <w:top w:val="single" w:sz="4" w:space="0" w:color="A6A6A6"/>
              <w:bottom w:val="single" w:sz="4" w:space="0" w:color="A6A6A6"/>
            </w:tcBorders>
            <w:noWrap/>
            <w:hideMark/>
          </w:tcPr>
          <w:p w14:paraId="481BDA71" w14:textId="77777777" w:rsidR="005F4A7E" w:rsidRPr="002029AF" w:rsidRDefault="005F4A7E" w:rsidP="00130D1C">
            <w:pPr>
              <w:pStyle w:val="ARfintablebodyright"/>
              <w:ind w:right="57"/>
            </w:pPr>
            <w:r w:rsidRPr="008B06FF">
              <w:t>–</w:t>
            </w:r>
          </w:p>
        </w:tc>
        <w:tc>
          <w:tcPr>
            <w:tcW w:w="907" w:type="dxa"/>
            <w:tcBorders>
              <w:top w:val="single" w:sz="4" w:space="0" w:color="A6A6A6"/>
              <w:bottom w:val="single" w:sz="4" w:space="0" w:color="A6A6A6"/>
            </w:tcBorders>
            <w:noWrap/>
            <w:hideMark/>
          </w:tcPr>
          <w:p w14:paraId="6F9805E7" w14:textId="77777777" w:rsidR="005F4A7E" w:rsidRPr="002029AF" w:rsidRDefault="005F4A7E" w:rsidP="00130D1C">
            <w:pPr>
              <w:pStyle w:val="ARfintablebodyright"/>
              <w:ind w:right="57"/>
            </w:pPr>
            <w:r w:rsidRPr="008B06FF">
              <w:t>–</w:t>
            </w:r>
          </w:p>
        </w:tc>
        <w:tc>
          <w:tcPr>
            <w:tcW w:w="907" w:type="dxa"/>
            <w:tcBorders>
              <w:top w:val="single" w:sz="4" w:space="0" w:color="A6A6A6"/>
              <w:bottom w:val="single" w:sz="4" w:space="0" w:color="A6A6A6"/>
            </w:tcBorders>
            <w:noWrap/>
            <w:hideMark/>
          </w:tcPr>
          <w:p w14:paraId="36275B7D" w14:textId="77777777" w:rsidR="005F4A7E" w:rsidRPr="002029AF" w:rsidRDefault="005F4A7E" w:rsidP="00130D1C">
            <w:pPr>
              <w:pStyle w:val="ARfintablebodyright"/>
              <w:ind w:right="57"/>
            </w:pPr>
            <w:r w:rsidRPr="008B06FF">
              <w:t>0.1</w:t>
            </w:r>
          </w:p>
        </w:tc>
      </w:tr>
      <w:tr w:rsidR="005F4A7E" w:rsidRPr="002029AF" w14:paraId="36706739" w14:textId="77777777" w:rsidTr="00860E95">
        <w:tc>
          <w:tcPr>
            <w:tcW w:w="3574" w:type="dxa"/>
            <w:tcBorders>
              <w:top w:val="single" w:sz="4" w:space="0" w:color="A6A6A6"/>
              <w:bottom w:val="single" w:sz="4" w:space="0" w:color="A6A6A6"/>
            </w:tcBorders>
            <w:noWrap/>
            <w:hideMark/>
          </w:tcPr>
          <w:p w14:paraId="1EE82FBC" w14:textId="77777777" w:rsidR="005F4A7E" w:rsidRPr="002029AF" w:rsidRDefault="005F4A7E" w:rsidP="00130D1C">
            <w:pPr>
              <w:pStyle w:val="ARfintablebody"/>
            </w:pPr>
            <w:r w:rsidRPr="008B06FF">
              <w:t>Mental Health Fund</w:t>
            </w:r>
          </w:p>
        </w:tc>
        <w:tc>
          <w:tcPr>
            <w:tcW w:w="908" w:type="dxa"/>
            <w:tcBorders>
              <w:top w:val="single" w:sz="4" w:space="0" w:color="A6A6A6"/>
              <w:bottom w:val="single" w:sz="4" w:space="0" w:color="A6A6A6"/>
              <w:right w:val="nil"/>
            </w:tcBorders>
            <w:shd w:val="clear" w:color="auto" w:fill="E7E6E6"/>
            <w:noWrap/>
            <w:hideMark/>
          </w:tcPr>
          <w:p w14:paraId="4C7BF3F9" w14:textId="77777777" w:rsidR="005F4A7E" w:rsidRPr="002029AF" w:rsidRDefault="005F4A7E" w:rsidP="00130D1C">
            <w:pPr>
              <w:pStyle w:val="ARfintablebodyright"/>
              <w:ind w:right="57"/>
            </w:pPr>
            <w:r w:rsidRPr="008B06FF">
              <w:t>2.1</w:t>
            </w:r>
          </w:p>
        </w:tc>
        <w:tc>
          <w:tcPr>
            <w:tcW w:w="907" w:type="dxa"/>
            <w:tcBorders>
              <w:top w:val="single" w:sz="4" w:space="0" w:color="A6A6A6"/>
              <w:left w:val="nil"/>
              <w:bottom w:val="single" w:sz="4" w:space="0" w:color="A6A6A6"/>
              <w:right w:val="nil"/>
            </w:tcBorders>
            <w:shd w:val="clear" w:color="auto" w:fill="E7E6E6"/>
            <w:noWrap/>
            <w:hideMark/>
          </w:tcPr>
          <w:p w14:paraId="4A4B6588" w14:textId="77777777" w:rsidR="005F4A7E" w:rsidRPr="002029AF" w:rsidRDefault="005F4A7E" w:rsidP="00130D1C">
            <w:pPr>
              <w:pStyle w:val="ARfintablebodyright"/>
              <w:ind w:right="57"/>
            </w:pPr>
            <w:r w:rsidRPr="008B06FF">
              <w:t>–</w:t>
            </w:r>
          </w:p>
        </w:tc>
        <w:tc>
          <w:tcPr>
            <w:tcW w:w="907" w:type="dxa"/>
            <w:tcBorders>
              <w:top w:val="single" w:sz="4" w:space="0" w:color="A6A6A6"/>
              <w:left w:val="nil"/>
              <w:bottom w:val="single" w:sz="4" w:space="0" w:color="A6A6A6"/>
              <w:right w:val="nil"/>
            </w:tcBorders>
            <w:shd w:val="clear" w:color="auto" w:fill="E7E6E6"/>
            <w:noWrap/>
            <w:hideMark/>
          </w:tcPr>
          <w:p w14:paraId="4982F696" w14:textId="77777777" w:rsidR="005F4A7E" w:rsidRPr="002029AF" w:rsidRDefault="005F4A7E" w:rsidP="00130D1C">
            <w:pPr>
              <w:pStyle w:val="ARfintablebodyright"/>
              <w:ind w:right="57"/>
            </w:pPr>
            <w:r w:rsidRPr="008B06FF">
              <w:t>63.9</w:t>
            </w:r>
          </w:p>
        </w:tc>
        <w:tc>
          <w:tcPr>
            <w:tcW w:w="907" w:type="dxa"/>
            <w:tcBorders>
              <w:top w:val="single" w:sz="4" w:space="0" w:color="A6A6A6"/>
              <w:left w:val="nil"/>
              <w:bottom w:val="single" w:sz="4" w:space="0" w:color="A6A6A6"/>
              <w:right w:val="nil"/>
            </w:tcBorders>
            <w:shd w:val="clear" w:color="auto" w:fill="E7E6E6"/>
            <w:noWrap/>
            <w:hideMark/>
          </w:tcPr>
          <w:p w14:paraId="403AACB6" w14:textId="77777777" w:rsidR="005F4A7E" w:rsidRPr="002029AF" w:rsidRDefault="005F4A7E" w:rsidP="00130D1C">
            <w:pPr>
              <w:pStyle w:val="ARfintablebodyright"/>
              <w:ind w:right="57"/>
            </w:pPr>
            <w:r w:rsidRPr="008B06FF">
              <w:t>63.9</w:t>
            </w:r>
          </w:p>
        </w:tc>
        <w:tc>
          <w:tcPr>
            <w:tcW w:w="907" w:type="dxa"/>
            <w:tcBorders>
              <w:top w:val="single" w:sz="4" w:space="0" w:color="A6A6A6"/>
              <w:left w:val="nil"/>
              <w:bottom w:val="single" w:sz="4" w:space="0" w:color="A6A6A6"/>
              <w:right w:val="nil"/>
            </w:tcBorders>
            <w:shd w:val="clear" w:color="auto" w:fill="E7E6E6"/>
            <w:noWrap/>
            <w:hideMark/>
          </w:tcPr>
          <w:p w14:paraId="2600A241" w14:textId="77777777" w:rsidR="005F4A7E" w:rsidRPr="002029AF" w:rsidRDefault="005F4A7E" w:rsidP="00130D1C">
            <w:pPr>
              <w:pStyle w:val="ARfintablebodyright"/>
              <w:ind w:right="57"/>
            </w:pPr>
            <w:r w:rsidRPr="008B06FF">
              <w:t>–</w:t>
            </w:r>
          </w:p>
        </w:tc>
        <w:tc>
          <w:tcPr>
            <w:tcW w:w="907" w:type="dxa"/>
            <w:tcBorders>
              <w:top w:val="single" w:sz="4" w:space="0" w:color="A6A6A6"/>
              <w:left w:val="nil"/>
              <w:bottom w:val="single" w:sz="4" w:space="0" w:color="A6A6A6"/>
            </w:tcBorders>
            <w:shd w:val="clear" w:color="auto" w:fill="E7E6E6"/>
            <w:noWrap/>
            <w:hideMark/>
          </w:tcPr>
          <w:p w14:paraId="015D4CD1" w14:textId="77777777" w:rsidR="005F4A7E" w:rsidRPr="002029AF" w:rsidRDefault="005F4A7E" w:rsidP="00130D1C">
            <w:pPr>
              <w:pStyle w:val="ARfintablebodyright"/>
              <w:ind w:right="57"/>
            </w:pPr>
            <w:r w:rsidRPr="008B06FF">
              <w:t>2.1</w:t>
            </w:r>
          </w:p>
        </w:tc>
        <w:tc>
          <w:tcPr>
            <w:tcW w:w="907" w:type="dxa"/>
            <w:tcBorders>
              <w:top w:val="single" w:sz="4" w:space="0" w:color="A6A6A6"/>
              <w:bottom w:val="single" w:sz="4" w:space="0" w:color="A6A6A6"/>
            </w:tcBorders>
            <w:noWrap/>
            <w:hideMark/>
          </w:tcPr>
          <w:p w14:paraId="7358A00D" w14:textId="77777777" w:rsidR="005F4A7E" w:rsidRPr="002029AF" w:rsidRDefault="005F4A7E" w:rsidP="00130D1C">
            <w:pPr>
              <w:pStyle w:val="ARfintablebodyright"/>
              <w:ind w:right="57"/>
            </w:pPr>
            <w:r w:rsidRPr="008B06FF">
              <w:t>2.1</w:t>
            </w:r>
          </w:p>
        </w:tc>
        <w:tc>
          <w:tcPr>
            <w:tcW w:w="907" w:type="dxa"/>
            <w:tcBorders>
              <w:top w:val="single" w:sz="4" w:space="0" w:color="A6A6A6"/>
              <w:bottom w:val="single" w:sz="4" w:space="0" w:color="A6A6A6"/>
            </w:tcBorders>
            <w:noWrap/>
            <w:hideMark/>
          </w:tcPr>
          <w:p w14:paraId="2A01006C" w14:textId="77777777" w:rsidR="005F4A7E" w:rsidRPr="002029AF" w:rsidRDefault="005F4A7E" w:rsidP="00130D1C">
            <w:pPr>
              <w:pStyle w:val="ARfintablebodyright"/>
              <w:ind w:right="57"/>
            </w:pPr>
            <w:r w:rsidRPr="008B06FF">
              <w:t>–</w:t>
            </w:r>
          </w:p>
        </w:tc>
        <w:tc>
          <w:tcPr>
            <w:tcW w:w="907" w:type="dxa"/>
            <w:tcBorders>
              <w:top w:val="single" w:sz="4" w:space="0" w:color="A6A6A6"/>
              <w:bottom w:val="single" w:sz="4" w:space="0" w:color="A6A6A6"/>
            </w:tcBorders>
            <w:noWrap/>
            <w:hideMark/>
          </w:tcPr>
          <w:p w14:paraId="0379EB42" w14:textId="77777777" w:rsidR="005F4A7E" w:rsidRPr="002029AF" w:rsidRDefault="005F4A7E" w:rsidP="00130D1C">
            <w:pPr>
              <w:pStyle w:val="ARfintablebodyright"/>
              <w:ind w:right="57"/>
            </w:pPr>
            <w:r w:rsidRPr="008B06FF">
              <w:t>63.9</w:t>
            </w:r>
          </w:p>
        </w:tc>
        <w:tc>
          <w:tcPr>
            <w:tcW w:w="907" w:type="dxa"/>
            <w:tcBorders>
              <w:top w:val="single" w:sz="4" w:space="0" w:color="A6A6A6"/>
              <w:bottom w:val="single" w:sz="4" w:space="0" w:color="A6A6A6"/>
            </w:tcBorders>
            <w:noWrap/>
            <w:hideMark/>
          </w:tcPr>
          <w:p w14:paraId="7742E30B" w14:textId="77777777" w:rsidR="005F4A7E" w:rsidRPr="002029AF" w:rsidRDefault="005F4A7E" w:rsidP="00130D1C">
            <w:pPr>
              <w:pStyle w:val="ARfintablebodyright"/>
              <w:ind w:right="57"/>
            </w:pPr>
            <w:r w:rsidRPr="008B06FF">
              <w:t>63.9</w:t>
            </w:r>
          </w:p>
        </w:tc>
        <w:tc>
          <w:tcPr>
            <w:tcW w:w="907" w:type="dxa"/>
            <w:tcBorders>
              <w:top w:val="single" w:sz="4" w:space="0" w:color="A6A6A6"/>
              <w:bottom w:val="single" w:sz="4" w:space="0" w:color="A6A6A6"/>
            </w:tcBorders>
            <w:noWrap/>
            <w:hideMark/>
          </w:tcPr>
          <w:p w14:paraId="5C0D134E" w14:textId="77777777" w:rsidR="005F4A7E" w:rsidRPr="002029AF" w:rsidRDefault="005F4A7E" w:rsidP="00130D1C">
            <w:pPr>
              <w:pStyle w:val="ARfintablebodyright"/>
              <w:ind w:right="57"/>
            </w:pPr>
            <w:r w:rsidRPr="008B06FF">
              <w:t>–</w:t>
            </w:r>
          </w:p>
        </w:tc>
        <w:tc>
          <w:tcPr>
            <w:tcW w:w="907" w:type="dxa"/>
            <w:tcBorders>
              <w:top w:val="single" w:sz="4" w:space="0" w:color="A6A6A6"/>
              <w:bottom w:val="single" w:sz="4" w:space="0" w:color="A6A6A6"/>
            </w:tcBorders>
            <w:noWrap/>
            <w:hideMark/>
          </w:tcPr>
          <w:p w14:paraId="7CAA9057" w14:textId="77777777" w:rsidR="005F4A7E" w:rsidRPr="002029AF" w:rsidRDefault="005F4A7E" w:rsidP="00130D1C">
            <w:pPr>
              <w:pStyle w:val="ARfintablebodyright"/>
              <w:ind w:right="57"/>
            </w:pPr>
            <w:r w:rsidRPr="008B06FF">
              <w:t>2.1</w:t>
            </w:r>
          </w:p>
        </w:tc>
      </w:tr>
      <w:tr w:rsidR="005F4A7E" w:rsidRPr="002029AF" w14:paraId="53E3F375" w14:textId="77777777" w:rsidTr="00860E95">
        <w:tc>
          <w:tcPr>
            <w:tcW w:w="3574" w:type="dxa"/>
            <w:tcBorders>
              <w:top w:val="single" w:sz="4" w:space="0" w:color="A6A6A6"/>
              <w:bottom w:val="single" w:sz="4" w:space="0" w:color="A6A6A6"/>
            </w:tcBorders>
            <w:noWrap/>
            <w:hideMark/>
          </w:tcPr>
          <w:p w14:paraId="1134B4E0" w14:textId="77777777" w:rsidR="005F4A7E" w:rsidRPr="002029AF" w:rsidRDefault="005F4A7E" w:rsidP="00130D1C">
            <w:pPr>
              <w:pStyle w:val="ARfintablebody"/>
            </w:pPr>
            <w:r w:rsidRPr="008B06FF">
              <w:t>Public Health Fund</w:t>
            </w:r>
          </w:p>
        </w:tc>
        <w:tc>
          <w:tcPr>
            <w:tcW w:w="908" w:type="dxa"/>
            <w:tcBorders>
              <w:top w:val="single" w:sz="4" w:space="0" w:color="A6A6A6"/>
              <w:bottom w:val="single" w:sz="4" w:space="0" w:color="A6A6A6"/>
              <w:right w:val="nil"/>
            </w:tcBorders>
            <w:shd w:val="clear" w:color="auto" w:fill="E7E6E6"/>
            <w:noWrap/>
            <w:hideMark/>
          </w:tcPr>
          <w:p w14:paraId="2E0BAD93" w14:textId="77777777" w:rsidR="005F4A7E" w:rsidRPr="002029AF" w:rsidRDefault="005F4A7E" w:rsidP="00130D1C">
            <w:pPr>
              <w:pStyle w:val="ARfintablebodyright"/>
              <w:ind w:right="57"/>
            </w:pPr>
            <w:r w:rsidRPr="008B06FF">
              <w:t>0.2</w:t>
            </w:r>
          </w:p>
        </w:tc>
        <w:tc>
          <w:tcPr>
            <w:tcW w:w="907" w:type="dxa"/>
            <w:tcBorders>
              <w:top w:val="single" w:sz="4" w:space="0" w:color="A6A6A6"/>
              <w:left w:val="nil"/>
              <w:bottom w:val="single" w:sz="4" w:space="0" w:color="A6A6A6"/>
              <w:right w:val="nil"/>
            </w:tcBorders>
            <w:shd w:val="clear" w:color="auto" w:fill="E7E6E6"/>
            <w:noWrap/>
            <w:hideMark/>
          </w:tcPr>
          <w:p w14:paraId="110E9CB9" w14:textId="77777777" w:rsidR="005F4A7E" w:rsidRPr="002029AF" w:rsidRDefault="005F4A7E" w:rsidP="00130D1C">
            <w:pPr>
              <w:pStyle w:val="ARfintablebodyright"/>
              <w:ind w:right="57"/>
            </w:pPr>
            <w:r w:rsidRPr="008B06FF">
              <w:t>–</w:t>
            </w:r>
          </w:p>
        </w:tc>
        <w:tc>
          <w:tcPr>
            <w:tcW w:w="907" w:type="dxa"/>
            <w:tcBorders>
              <w:top w:val="single" w:sz="4" w:space="0" w:color="A6A6A6"/>
              <w:left w:val="nil"/>
              <w:bottom w:val="single" w:sz="4" w:space="0" w:color="A6A6A6"/>
              <w:right w:val="nil"/>
            </w:tcBorders>
            <w:shd w:val="clear" w:color="auto" w:fill="E7E6E6"/>
            <w:noWrap/>
            <w:hideMark/>
          </w:tcPr>
          <w:p w14:paraId="789F2126" w14:textId="77777777" w:rsidR="005F4A7E" w:rsidRPr="002029AF" w:rsidRDefault="005F4A7E" w:rsidP="00130D1C">
            <w:pPr>
              <w:pStyle w:val="ARfintablebodyright"/>
              <w:ind w:right="57"/>
            </w:pPr>
            <w:r w:rsidRPr="008B06FF">
              <w:t>2,698.1</w:t>
            </w:r>
          </w:p>
        </w:tc>
        <w:tc>
          <w:tcPr>
            <w:tcW w:w="907" w:type="dxa"/>
            <w:tcBorders>
              <w:top w:val="single" w:sz="4" w:space="0" w:color="A6A6A6"/>
              <w:left w:val="nil"/>
              <w:bottom w:val="single" w:sz="4" w:space="0" w:color="A6A6A6"/>
              <w:right w:val="nil"/>
            </w:tcBorders>
            <w:shd w:val="clear" w:color="auto" w:fill="E7E6E6"/>
            <w:noWrap/>
            <w:hideMark/>
          </w:tcPr>
          <w:p w14:paraId="0BC794A3" w14:textId="77777777" w:rsidR="005F4A7E" w:rsidRPr="002029AF" w:rsidRDefault="005F4A7E" w:rsidP="00130D1C">
            <w:pPr>
              <w:pStyle w:val="ARfintablebodyright"/>
              <w:ind w:right="57"/>
            </w:pPr>
            <w:r w:rsidRPr="008B06FF">
              <w:t>2,511.8</w:t>
            </w:r>
          </w:p>
        </w:tc>
        <w:tc>
          <w:tcPr>
            <w:tcW w:w="907" w:type="dxa"/>
            <w:tcBorders>
              <w:top w:val="single" w:sz="4" w:space="0" w:color="A6A6A6"/>
              <w:left w:val="nil"/>
              <w:bottom w:val="single" w:sz="4" w:space="0" w:color="A6A6A6"/>
              <w:right w:val="nil"/>
            </w:tcBorders>
            <w:shd w:val="clear" w:color="auto" w:fill="E7E6E6"/>
            <w:noWrap/>
            <w:hideMark/>
          </w:tcPr>
          <w:p w14:paraId="029DDF00" w14:textId="77777777" w:rsidR="005F4A7E" w:rsidRPr="002029AF" w:rsidRDefault="005F4A7E" w:rsidP="00130D1C">
            <w:pPr>
              <w:pStyle w:val="ARfintablebodyright"/>
              <w:ind w:right="57"/>
            </w:pPr>
            <w:r w:rsidRPr="008B06FF">
              <w:t>(123.4)</w:t>
            </w:r>
          </w:p>
        </w:tc>
        <w:tc>
          <w:tcPr>
            <w:tcW w:w="907" w:type="dxa"/>
            <w:tcBorders>
              <w:top w:val="single" w:sz="4" w:space="0" w:color="A6A6A6"/>
              <w:left w:val="nil"/>
              <w:bottom w:val="single" w:sz="4" w:space="0" w:color="A6A6A6"/>
            </w:tcBorders>
            <w:shd w:val="clear" w:color="auto" w:fill="E7E6E6"/>
            <w:noWrap/>
            <w:hideMark/>
          </w:tcPr>
          <w:p w14:paraId="7D80B5CC" w14:textId="77777777" w:rsidR="005F4A7E" w:rsidRPr="002029AF" w:rsidRDefault="005F4A7E" w:rsidP="00130D1C">
            <w:pPr>
              <w:pStyle w:val="ARfintablebodyright"/>
              <w:ind w:right="57"/>
            </w:pPr>
            <w:r w:rsidRPr="008B06FF">
              <w:t>63.1</w:t>
            </w:r>
          </w:p>
        </w:tc>
        <w:tc>
          <w:tcPr>
            <w:tcW w:w="907" w:type="dxa"/>
            <w:tcBorders>
              <w:top w:val="single" w:sz="4" w:space="0" w:color="A6A6A6"/>
              <w:bottom w:val="single" w:sz="4" w:space="0" w:color="A6A6A6"/>
            </w:tcBorders>
            <w:noWrap/>
            <w:hideMark/>
          </w:tcPr>
          <w:p w14:paraId="4DCB5928" w14:textId="77777777" w:rsidR="005F4A7E" w:rsidRPr="002029AF" w:rsidRDefault="005F4A7E" w:rsidP="00130D1C">
            <w:pPr>
              <w:pStyle w:val="ARfintablebodyright"/>
              <w:ind w:right="57"/>
            </w:pPr>
            <w:r w:rsidRPr="008B06FF">
              <w:t>0.2</w:t>
            </w:r>
          </w:p>
        </w:tc>
        <w:tc>
          <w:tcPr>
            <w:tcW w:w="907" w:type="dxa"/>
            <w:tcBorders>
              <w:top w:val="single" w:sz="4" w:space="0" w:color="A6A6A6"/>
              <w:bottom w:val="single" w:sz="4" w:space="0" w:color="A6A6A6"/>
            </w:tcBorders>
            <w:noWrap/>
            <w:hideMark/>
          </w:tcPr>
          <w:p w14:paraId="0D2842A7" w14:textId="77777777" w:rsidR="005F4A7E" w:rsidRPr="002029AF" w:rsidRDefault="005F4A7E" w:rsidP="00130D1C">
            <w:pPr>
              <w:pStyle w:val="ARfintablebodyright"/>
              <w:ind w:right="57"/>
            </w:pPr>
            <w:r w:rsidRPr="008B06FF">
              <w:t>–</w:t>
            </w:r>
          </w:p>
        </w:tc>
        <w:tc>
          <w:tcPr>
            <w:tcW w:w="907" w:type="dxa"/>
            <w:tcBorders>
              <w:top w:val="single" w:sz="4" w:space="0" w:color="A6A6A6"/>
              <w:bottom w:val="single" w:sz="4" w:space="0" w:color="A6A6A6"/>
            </w:tcBorders>
            <w:noWrap/>
            <w:hideMark/>
          </w:tcPr>
          <w:p w14:paraId="5C91C274" w14:textId="77777777" w:rsidR="005F4A7E" w:rsidRPr="002029AF" w:rsidRDefault="005F4A7E" w:rsidP="00130D1C">
            <w:pPr>
              <w:pStyle w:val="ARfintablebodyright"/>
              <w:ind w:right="57"/>
            </w:pPr>
            <w:r w:rsidRPr="008B06FF">
              <w:t>1,493.0</w:t>
            </w:r>
          </w:p>
        </w:tc>
        <w:tc>
          <w:tcPr>
            <w:tcW w:w="907" w:type="dxa"/>
            <w:tcBorders>
              <w:top w:val="single" w:sz="4" w:space="0" w:color="A6A6A6"/>
              <w:bottom w:val="single" w:sz="4" w:space="0" w:color="A6A6A6"/>
            </w:tcBorders>
            <w:noWrap/>
            <w:hideMark/>
          </w:tcPr>
          <w:p w14:paraId="5EDDC869" w14:textId="77777777" w:rsidR="005F4A7E" w:rsidRPr="002029AF" w:rsidRDefault="005F4A7E" w:rsidP="00130D1C">
            <w:pPr>
              <w:pStyle w:val="ARfintablebodyright"/>
              <w:ind w:right="57"/>
            </w:pPr>
            <w:r w:rsidRPr="008B06FF">
              <w:t>1,023.6</w:t>
            </w:r>
          </w:p>
        </w:tc>
        <w:tc>
          <w:tcPr>
            <w:tcW w:w="907" w:type="dxa"/>
            <w:tcBorders>
              <w:top w:val="single" w:sz="4" w:space="0" w:color="A6A6A6"/>
              <w:bottom w:val="single" w:sz="4" w:space="0" w:color="A6A6A6"/>
            </w:tcBorders>
            <w:noWrap/>
            <w:hideMark/>
          </w:tcPr>
          <w:p w14:paraId="7D5E500A" w14:textId="77777777" w:rsidR="005F4A7E" w:rsidRPr="002029AF" w:rsidRDefault="005F4A7E" w:rsidP="00130D1C">
            <w:pPr>
              <w:pStyle w:val="ARfintablebodyright"/>
              <w:ind w:right="57"/>
            </w:pPr>
            <w:r w:rsidRPr="008B06FF">
              <w:t>(469.3)</w:t>
            </w:r>
          </w:p>
        </w:tc>
        <w:tc>
          <w:tcPr>
            <w:tcW w:w="907" w:type="dxa"/>
            <w:tcBorders>
              <w:top w:val="single" w:sz="4" w:space="0" w:color="A6A6A6"/>
              <w:bottom w:val="single" w:sz="4" w:space="0" w:color="A6A6A6"/>
            </w:tcBorders>
            <w:noWrap/>
            <w:hideMark/>
          </w:tcPr>
          <w:p w14:paraId="26317F0E" w14:textId="77777777" w:rsidR="005F4A7E" w:rsidRPr="002029AF" w:rsidRDefault="005F4A7E" w:rsidP="00130D1C">
            <w:pPr>
              <w:pStyle w:val="ARfintablebodyright"/>
              <w:ind w:right="57"/>
            </w:pPr>
            <w:r w:rsidRPr="008B06FF">
              <w:t>0.2</w:t>
            </w:r>
          </w:p>
        </w:tc>
      </w:tr>
      <w:tr w:rsidR="005F4A7E" w:rsidRPr="002029AF" w14:paraId="09CB54AD" w14:textId="77777777" w:rsidTr="00860E95">
        <w:tc>
          <w:tcPr>
            <w:tcW w:w="3574" w:type="dxa"/>
            <w:tcBorders>
              <w:top w:val="single" w:sz="4" w:space="0" w:color="A6A6A6"/>
              <w:bottom w:val="single" w:sz="4" w:space="0" w:color="A6A6A6"/>
            </w:tcBorders>
            <w:noWrap/>
            <w:hideMark/>
          </w:tcPr>
          <w:p w14:paraId="6AFFB242" w14:textId="77777777" w:rsidR="005F4A7E" w:rsidRPr="002029AF" w:rsidRDefault="005F4A7E" w:rsidP="00130D1C">
            <w:pPr>
              <w:pStyle w:val="ARfintablebody"/>
            </w:pPr>
            <w:r w:rsidRPr="008B06FF">
              <w:t>Treasury Trust</w:t>
            </w:r>
          </w:p>
        </w:tc>
        <w:tc>
          <w:tcPr>
            <w:tcW w:w="908" w:type="dxa"/>
            <w:tcBorders>
              <w:top w:val="single" w:sz="4" w:space="0" w:color="A6A6A6"/>
              <w:bottom w:val="single" w:sz="4" w:space="0" w:color="A6A6A6"/>
              <w:right w:val="nil"/>
            </w:tcBorders>
            <w:shd w:val="clear" w:color="auto" w:fill="E7E6E6"/>
            <w:noWrap/>
            <w:hideMark/>
          </w:tcPr>
          <w:p w14:paraId="6E667740" w14:textId="77777777" w:rsidR="005F4A7E" w:rsidRPr="002029AF" w:rsidRDefault="005F4A7E" w:rsidP="00130D1C">
            <w:pPr>
              <w:pStyle w:val="ARfintablebodyright"/>
              <w:ind w:right="57"/>
            </w:pPr>
            <w:r w:rsidRPr="008B06FF">
              <w:t>64.4</w:t>
            </w:r>
          </w:p>
        </w:tc>
        <w:tc>
          <w:tcPr>
            <w:tcW w:w="907" w:type="dxa"/>
            <w:tcBorders>
              <w:top w:val="single" w:sz="4" w:space="0" w:color="A6A6A6"/>
              <w:left w:val="nil"/>
              <w:bottom w:val="single" w:sz="4" w:space="0" w:color="A6A6A6"/>
              <w:right w:val="nil"/>
            </w:tcBorders>
            <w:shd w:val="clear" w:color="auto" w:fill="E7E6E6"/>
            <w:noWrap/>
            <w:hideMark/>
          </w:tcPr>
          <w:p w14:paraId="6BF9B407" w14:textId="77777777" w:rsidR="005F4A7E" w:rsidRPr="002029AF" w:rsidRDefault="005F4A7E" w:rsidP="00130D1C">
            <w:pPr>
              <w:pStyle w:val="ARfintablebodyright"/>
              <w:ind w:right="57"/>
            </w:pPr>
            <w:r w:rsidRPr="008B06FF">
              <w:t>0.6</w:t>
            </w:r>
          </w:p>
        </w:tc>
        <w:tc>
          <w:tcPr>
            <w:tcW w:w="907" w:type="dxa"/>
            <w:tcBorders>
              <w:top w:val="single" w:sz="4" w:space="0" w:color="A6A6A6"/>
              <w:left w:val="nil"/>
              <w:bottom w:val="single" w:sz="4" w:space="0" w:color="A6A6A6"/>
              <w:right w:val="nil"/>
            </w:tcBorders>
            <w:shd w:val="clear" w:color="auto" w:fill="E7E6E6"/>
            <w:noWrap/>
            <w:hideMark/>
          </w:tcPr>
          <w:p w14:paraId="657C7264" w14:textId="77777777" w:rsidR="005F4A7E" w:rsidRPr="002029AF" w:rsidRDefault="005F4A7E" w:rsidP="00130D1C">
            <w:pPr>
              <w:pStyle w:val="ARfintablebodyright"/>
              <w:ind w:right="57"/>
            </w:pPr>
            <w:r w:rsidRPr="008B06FF">
              <w:t>65.1</w:t>
            </w:r>
          </w:p>
        </w:tc>
        <w:tc>
          <w:tcPr>
            <w:tcW w:w="907" w:type="dxa"/>
            <w:tcBorders>
              <w:top w:val="single" w:sz="4" w:space="0" w:color="A6A6A6"/>
              <w:left w:val="nil"/>
              <w:bottom w:val="single" w:sz="4" w:space="0" w:color="A6A6A6"/>
              <w:right w:val="nil"/>
            </w:tcBorders>
            <w:shd w:val="clear" w:color="auto" w:fill="E7E6E6"/>
            <w:noWrap/>
            <w:hideMark/>
          </w:tcPr>
          <w:p w14:paraId="723D5E49" w14:textId="77777777" w:rsidR="005F4A7E" w:rsidRPr="002029AF" w:rsidRDefault="005F4A7E" w:rsidP="00130D1C">
            <w:pPr>
              <w:pStyle w:val="ARfintablebodyright"/>
              <w:ind w:right="57"/>
            </w:pPr>
            <w:r w:rsidRPr="008B06FF">
              <w:t>42.8</w:t>
            </w:r>
          </w:p>
        </w:tc>
        <w:tc>
          <w:tcPr>
            <w:tcW w:w="907" w:type="dxa"/>
            <w:tcBorders>
              <w:top w:val="single" w:sz="4" w:space="0" w:color="A6A6A6"/>
              <w:left w:val="nil"/>
              <w:bottom w:val="single" w:sz="4" w:space="0" w:color="A6A6A6"/>
              <w:right w:val="nil"/>
            </w:tcBorders>
            <w:shd w:val="clear" w:color="auto" w:fill="E7E6E6"/>
            <w:noWrap/>
            <w:hideMark/>
          </w:tcPr>
          <w:p w14:paraId="37570F4E" w14:textId="77777777" w:rsidR="005F4A7E" w:rsidRPr="002029AF" w:rsidRDefault="005F4A7E" w:rsidP="00130D1C">
            <w:pPr>
              <w:pStyle w:val="ARfintablebodyright"/>
              <w:ind w:right="57"/>
            </w:pPr>
            <w:r w:rsidRPr="008B06FF">
              <w:t>(0.7)</w:t>
            </w:r>
          </w:p>
        </w:tc>
        <w:tc>
          <w:tcPr>
            <w:tcW w:w="907" w:type="dxa"/>
            <w:tcBorders>
              <w:top w:val="single" w:sz="4" w:space="0" w:color="A6A6A6"/>
              <w:left w:val="nil"/>
              <w:bottom w:val="single" w:sz="4" w:space="0" w:color="A6A6A6"/>
            </w:tcBorders>
            <w:shd w:val="clear" w:color="auto" w:fill="E7E6E6"/>
            <w:noWrap/>
            <w:hideMark/>
          </w:tcPr>
          <w:p w14:paraId="21F2F5AF" w14:textId="77777777" w:rsidR="005F4A7E" w:rsidRPr="002029AF" w:rsidRDefault="005F4A7E" w:rsidP="00130D1C">
            <w:pPr>
              <w:pStyle w:val="ARfintablebodyright"/>
              <w:ind w:right="57"/>
            </w:pPr>
            <w:r w:rsidRPr="008B06FF">
              <w:t>86.6</w:t>
            </w:r>
          </w:p>
        </w:tc>
        <w:tc>
          <w:tcPr>
            <w:tcW w:w="907" w:type="dxa"/>
            <w:tcBorders>
              <w:top w:val="single" w:sz="4" w:space="0" w:color="A6A6A6"/>
              <w:bottom w:val="single" w:sz="4" w:space="0" w:color="A6A6A6"/>
            </w:tcBorders>
            <w:noWrap/>
            <w:hideMark/>
          </w:tcPr>
          <w:p w14:paraId="00C805F5" w14:textId="77777777" w:rsidR="005F4A7E" w:rsidRPr="002029AF" w:rsidRDefault="005F4A7E" w:rsidP="00130D1C">
            <w:pPr>
              <w:pStyle w:val="ARfintablebodyright"/>
              <w:ind w:right="57"/>
            </w:pPr>
            <w:r w:rsidRPr="008B06FF">
              <w:t>74.8</w:t>
            </w:r>
          </w:p>
        </w:tc>
        <w:tc>
          <w:tcPr>
            <w:tcW w:w="907" w:type="dxa"/>
            <w:tcBorders>
              <w:top w:val="single" w:sz="4" w:space="0" w:color="A6A6A6"/>
              <w:bottom w:val="single" w:sz="4" w:space="0" w:color="A6A6A6"/>
            </w:tcBorders>
            <w:noWrap/>
            <w:hideMark/>
          </w:tcPr>
          <w:p w14:paraId="14993124" w14:textId="77777777" w:rsidR="005F4A7E" w:rsidRPr="002029AF" w:rsidRDefault="005F4A7E" w:rsidP="00130D1C">
            <w:pPr>
              <w:pStyle w:val="ARfintablebodyright"/>
              <w:ind w:right="57"/>
            </w:pPr>
            <w:r w:rsidRPr="008B06FF">
              <w:t>–</w:t>
            </w:r>
          </w:p>
        </w:tc>
        <w:tc>
          <w:tcPr>
            <w:tcW w:w="907" w:type="dxa"/>
            <w:tcBorders>
              <w:top w:val="single" w:sz="4" w:space="0" w:color="A6A6A6"/>
              <w:bottom w:val="single" w:sz="4" w:space="0" w:color="A6A6A6"/>
            </w:tcBorders>
            <w:noWrap/>
            <w:hideMark/>
          </w:tcPr>
          <w:p w14:paraId="53FF0134" w14:textId="77777777" w:rsidR="005F4A7E" w:rsidRPr="002029AF" w:rsidRDefault="005F4A7E" w:rsidP="00130D1C">
            <w:pPr>
              <w:pStyle w:val="ARfintablebodyright"/>
              <w:ind w:right="57"/>
            </w:pPr>
            <w:r w:rsidRPr="008B06FF">
              <w:t>47.9</w:t>
            </w:r>
          </w:p>
        </w:tc>
        <w:tc>
          <w:tcPr>
            <w:tcW w:w="907" w:type="dxa"/>
            <w:tcBorders>
              <w:top w:val="single" w:sz="4" w:space="0" w:color="A6A6A6"/>
              <w:bottom w:val="single" w:sz="4" w:space="0" w:color="A6A6A6"/>
            </w:tcBorders>
            <w:noWrap/>
            <w:hideMark/>
          </w:tcPr>
          <w:p w14:paraId="78DE0609" w14:textId="77777777" w:rsidR="005F4A7E" w:rsidRPr="002029AF" w:rsidRDefault="005F4A7E" w:rsidP="00130D1C">
            <w:pPr>
              <w:pStyle w:val="ARfintablebodyright"/>
              <w:ind w:right="57"/>
            </w:pPr>
            <w:r w:rsidRPr="008B06FF">
              <w:t>57.5</w:t>
            </w:r>
          </w:p>
        </w:tc>
        <w:tc>
          <w:tcPr>
            <w:tcW w:w="907" w:type="dxa"/>
            <w:tcBorders>
              <w:top w:val="single" w:sz="4" w:space="0" w:color="A6A6A6"/>
              <w:bottom w:val="single" w:sz="4" w:space="0" w:color="A6A6A6"/>
            </w:tcBorders>
            <w:noWrap/>
            <w:hideMark/>
          </w:tcPr>
          <w:p w14:paraId="789A7D34" w14:textId="77777777" w:rsidR="005F4A7E" w:rsidRPr="002029AF" w:rsidRDefault="005F4A7E" w:rsidP="00130D1C">
            <w:pPr>
              <w:pStyle w:val="ARfintablebodyright"/>
              <w:ind w:right="57"/>
            </w:pPr>
            <w:r w:rsidRPr="008B06FF">
              <w:t>(0.8)</w:t>
            </w:r>
          </w:p>
        </w:tc>
        <w:tc>
          <w:tcPr>
            <w:tcW w:w="907" w:type="dxa"/>
            <w:tcBorders>
              <w:top w:val="single" w:sz="4" w:space="0" w:color="A6A6A6"/>
              <w:bottom w:val="single" w:sz="4" w:space="0" w:color="A6A6A6"/>
            </w:tcBorders>
            <w:noWrap/>
            <w:hideMark/>
          </w:tcPr>
          <w:p w14:paraId="59C2307F" w14:textId="77777777" w:rsidR="005F4A7E" w:rsidRPr="002029AF" w:rsidRDefault="005F4A7E" w:rsidP="00130D1C">
            <w:pPr>
              <w:pStyle w:val="ARfintablebodyright"/>
              <w:ind w:right="57"/>
            </w:pPr>
            <w:r w:rsidRPr="008B06FF">
              <w:t>64.4</w:t>
            </w:r>
          </w:p>
        </w:tc>
      </w:tr>
      <w:tr w:rsidR="005F4A7E" w:rsidRPr="002029AF" w14:paraId="6EF875DD" w14:textId="77777777" w:rsidTr="00860E95">
        <w:tc>
          <w:tcPr>
            <w:tcW w:w="3574" w:type="dxa"/>
            <w:tcBorders>
              <w:top w:val="single" w:sz="4" w:space="0" w:color="A6A6A6"/>
              <w:bottom w:val="single" w:sz="4" w:space="0" w:color="A6A6A6"/>
            </w:tcBorders>
            <w:noWrap/>
          </w:tcPr>
          <w:p w14:paraId="587C30D6" w14:textId="77777777" w:rsidR="005F4A7E" w:rsidRPr="002029AF" w:rsidRDefault="005F4A7E" w:rsidP="00130D1C">
            <w:pPr>
              <w:pStyle w:val="ARfintablebody"/>
            </w:pPr>
            <w:r w:rsidRPr="008B06FF">
              <w:t>Inter-Departmental Transfer Trust</w:t>
            </w:r>
          </w:p>
        </w:tc>
        <w:tc>
          <w:tcPr>
            <w:tcW w:w="908" w:type="dxa"/>
            <w:tcBorders>
              <w:top w:val="single" w:sz="4" w:space="0" w:color="A6A6A6"/>
              <w:bottom w:val="single" w:sz="4" w:space="0" w:color="A6A6A6"/>
              <w:right w:val="nil"/>
            </w:tcBorders>
            <w:shd w:val="clear" w:color="auto" w:fill="E7E6E6"/>
            <w:noWrap/>
          </w:tcPr>
          <w:p w14:paraId="2F6A603A" w14:textId="77777777" w:rsidR="005F4A7E" w:rsidRPr="002029AF" w:rsidRDefault="005F4A7E" w:rsidP="00130D1C">
            <w:pPr>
              <w:pStyle w:val="ARfintablebodyright"/>
              <w:ind w:right="57"/>
            </w:pPr>
            <w:r w:rsidRPr="008B06FF">
              <w:t>65.8</w:t>
            </w:r>
          </w:p>
        </w:tc>
        <w:tc>
          <w:tcPr>
            <w:tcW w:w="907" w:type="dxa"/>
            <w:tcBorders>
              <w:top w:val="single" w:sz="4" w:space="0" w:color="A6A6A6"/>
              <w:left w:val="nil"/>
              <w:bottom w:val="single" w:sz="4" w:space="0" w:color="A6A6A6"/>
              <w:right w:val="nil"/>
            </w:tcBorders>
            <w:shd w:val="clear" w:color="auto" w:fill="E7E6E6"/>
            <w:noWrap/>
          </w:tcPr>
          <w:p w14:paraId="1EFA6CC9" w14:textId="77777777" w:rsidR="005F4A7E" w:rsidRPr="002029AF" w:rsidRDefault="005F4A7E" w:rsidP="00130D1C">
            <w:pPr>
              <w:pStyle w:val="ARfintablebodyright"/>
              <w:ind w:right="57"/>
            </w:pPr>
            <w:r w:rsidRPr="008B06FF">
              <w:t>(2.0)</w:t>
            </w:r>
          </w:p>
        </w:tc>
        <w:tc>
          <w:tcPr>
            <w:tcW w:w="907" w:type="dxa"/>
            <w:tcBorders>
              <w:top w:val="single" w:sz="4" w:space="0" w:color="A6A6A6"/>
              <w:left w:val="nil"/>
              <w:bottom w:val="single" w:sz="4" w:space="0" w:color="A6A6A6"/>
              <w:right w:val="nil"/>
            </w:tcBorders>
            <w:shd w:val="clear" w:color="auto" w:fill="E7E6E6"/>
            <w:noWrap/>
          </w:tcPr>
          <w:p w14:paraId="082C1B16" w14:textId="77777777" w:rsidR="005F4A7E" w:rsidRPr="002029AF" w:rsidRDefault="005F4A7E" w:rsidP="00130D1C">
            <w:pPr>
              <w:pStyle w:val="ARfintablebodyright"/>
              <w:ind w:right="57"/>
            </w:pPr>
            <w:r w:rsidRPr="008B06FF">
              <w:t>360.2</w:t>
            </w:r>
          </w:p>
        </w:tc>
        <w:tc>
          <w:tcPr>
            <w:tcW w:w="907" w:type="dxa"/>
            <w:tcBorders>
              <w:top w:val="single" w:sz="4" w:space="0" w:color="A6A6A6"/>
              <w:left w:val="nil"/>
              <w:bottom w:val="single" w:sz="4" w:space="0" w:color="A6A6A6"/>
              <w:right w:val="nil"/>
            </w:tcBorders>
            <w:shd w:val="clear" w:color="auto" w:fill="E7E6E6"/>
            <w:noWrap/>
          </w:tcPr>
          <w:p w14:paraId="1F17DA16" w14:textId="77777777" w:rsidR="005F4A7E" w:rsidRPr="002029AF" w:rsidRDefault="005F4A7E" w:rsidP="00130D1C">
            <w:pPr>
              <w:pStyle w:val="ARfintablebodyright"/>
              <w:ind w:right="57"/>
            </w:pPr>
            <w:r w:rsidRPr="008B06FF">
              <w:t>349.7</w:t>
            </w:r>
          </w:p>
        </w:tc>
        <w:tc>
          <w:tcPr>
            <w:tcW w:w="907" w:type="dxa"/>
            <w:tcBorders>
              <w:top w:val="single" w:sz="4" w:space="0" w:color="A6A6A6"/>
              <w:left w:val="nil"/>
              <w:bottom w:val="single" w:sz="4" w:space="0" w:color="A6A6A6"/>
              <w:right w:val="nil"/>
            </w:tcBorders>
            <w:shd w:val="clear" w:color="auto" w:fill="E7E6E6"/>
            <w:noWrap/>
          </w:tcPr>
          <w:p w14:paraId="71162F38" w14:textId="77777777" w:rsidR="005F4A7E" w:rsidRPr="002029AF" w:rsidRDefault="005F4A7E" w:rsidP="00130D1C">
            <w:pPr>
              <w:pStyle w:val="ARfintablebodyright"/>
              <w:ind w:right="57"/>
            </w:pPr>
            <w:r w:rsidRPr="008B06FF">
              <w:t>(74.6)</w:t>
            </w:r>
          </w:p>
        </w:tc>
        <w:tc>
          <w:tcPr>
            <w:tcW w:w="907" w:type="dxa"/>
            <w:tcBorders>
              <w:top w:val="single" w:sz="4" w:space="0" w:color="A6A6A6"/>
              <w:left w:val="nil"/>
              <w:bottom w:val="single" w:sz="4" w:space="0" w:color="A6A6A6"/>
            </w:tcBorders>
            <w:shd w:val="clear" w:color="auto" w:fill="E7E6E6"/>
            <w:noWrap/>
          </w:tcPr>
          <w:p w14:paraId="7B1E5E24" w14:textId="77777777" w:rsidR="005F4A7E" w:rsidRPr="002029AF" w:rsidRDefault="005F4A7E" w:rsidP="00130D1C">
            <w:pPr>
              <w:pStyle w:val="ARfintablebodyright"/>
              <w:ind w:right="57"/>
            </w:pPr>
            <w:r w:rsidRPr="008B06FF">
              <w:t>(0.3)</w:t>
            </w:r>
          </w:p>
        </w:tc>
        <w:tc>
          <w:tcPr>
            <w:tcW w:w="907" w:type="dxa"/>
            <w:tcBorders>
              <w:top w:val="single" w:sz="4" w:space="0" w:color="A6A6A6"/>
              <w:bottom w:val="single" w:sz="4" w:space="0" w:color="A6A6A6"/>
            </w:tcBorders>
            <w:noWrap/>
          </w:tcPr>
          <w:p w14:paraId="570E935F" w14:textId="77777777" w:rsidR="005F4A7E" w:rsidRPr="002029AF" w:rsidRDefault="005F4A7E" w:rsidP="00130D1C">
            <w:pPr>
              <w:pStyle w:val="ARfintablebodyright"/>
              <w:ind w:right="57"/>
            </w:pPr>
            <w:r w:rsidRPr="008B06FF">
              <w:t>71.2</w:t>
            </w:r>
          </w:p>
        </w:tc>
        <w:tc>
          <w:tcPr>
            <w:tcW w:w="907" w:type="dxa"/>
            <w:tcBorders>
              <w:top w:val="single" w:sz="4" w:space="0" w:color="A6A6A6"/>
              <w:bottom w:val="single" w:sz="4" w:space="0" w:color="A6A6A6"/>
            </w:tcBorders>
            <w:noWrap/>
          </w:tcPr>
          <w:p w14:paraId="65388CEF" w14:textId="77777777" w:rsidR="005F4A7E" w:rsidRPr="002029AF" w:rsidRDefault="005F4A7E" w:rsidP="00130D1C">
            <w:pPr>
              <w:pStyle w:val="ARfintablebodyright"/>
              <w:ind w:right="57"/>
            </w:pPr>
            <w:r w:rsidRPr="008B06FF">
              <w:t>2.1</w:t>
            </w:r>
          </w:p>
        </w:tc>
        <w:tc>
          <w:tcPr>
            <w:tcW w:w="907" w:type="dxa"/>
            <w:tcBorders>
              <w:top w:val="single" w:sz="4" w:space="0" w:color="A6A6A6"/>
              <w:bottom w:val="single" w:sz="4" w:space="0" w:color="A6A6A6"/>
            </w:tcBorders>
            <w:noWrap/>
          </w:tcPr>
          <w:p w14:paraId="45839C78" w14:textId="77777777" w:rsidR="005F4A7E" w:rsidRPr="002029AF" w:rsidRDefault="005F4A7E" w:rsidP="00130D1C">
            <w:pPr>
              <w:pStyle w:val="ARfintablebodyright"/>
              <w:ind w:right="57"/>
            </w:pPr>
            <w:r w:rsidRPr="008B06FF">
              <w:t>265.8</w:t>
            </w:r>
          </w:p>
        </w:tc>
        <w:tc>
          <w:tcPr>
            <w:tcW w:w="907" w:type="dxa"/>
            <w:tcBorders>
              <w:top w:val="single" w:sz="4" w:space="0" w:color="A6A6A6"/>
              <w:bottom w:val="single" w:sz="4" w:space="0" w:color="A6A6A6"/>
            </w:tcBorders>
            <w:noWrap/>
          </w:tcPr>
          <w:p w14:paraId="651673CB" w14:textId="77777777" w:rsidR="005F4A7E" w:rsidRPr="002029AF" w:rsidRDefault="005F4A7E" w:rsidP="00130D1C">
            <w:pPr>
              <w:pStyle w:val="ARfintablebodyright"/>
              <w:ind w:right="57"/>
            </w:pPr>
            <w:r w:rsidRPr="008B06FF">
              <w:t>278.5</w:t>
            </w:r>
          </w:p>
        </w:tc>
        <w:tc>
          <w:tcPr>
            <w:tcW w:w="907" w:type="dxa"/>
            <w:tcBorders>
              <w:top w:val="single" w:sz="4" w:space="0" w:color="A6A6A6"/>
              <w:bottom w:val="single" w:sz="4" w:space="0" w:color="A6A6A6"/>
            </w:tcBorders>
            <w:noWrap/>
          </w:tcPr>
          <w:p w14:paraId="29652889" w14:textId="77777777" w:rsidR="005F4A7E" w:rsidRPr="002029AF" w:rsidRDefault="005F4A7E" w:rsidP="00130D1C">
            <w:pPr>
              <w:pStyle w:val="ARfintablebodyright"/>
              <w:ind w:right="57"/>
            </w:pPr>
            <w:r w:rsidRPr="008B06FF">
              <w:t>5.2</w:t>
            </w:r>
          </w:p>
        </w:tc>
        <w:tc>
          <w:tcPr>
            <w:tcW w:w="907" w:type="dxa"/>
            <w:tcBorders>
              <w:top w:val="single" w:sz="4" w:space="0" w:color="A6A6A6"/>
              <w:bottom w:val="single" w:sz="4" w:space="0" w:color="A6A6A6"/>
            </w:tcBorders>
            <w:noWrap/>
          </w:tcPr>
          <w:p w14:paraId="28D0D7ED" w14:textId="77777777" w:rsidR="005F4A7E" w:rsidRPr="002029AF" w:rsidRDefault="005F4A7E" w:rsidP="00130D1C">
            <w:pPr>
              <w:pStyle w:val="ARfintablebodyright"/>
              <w:ind w:right="57"/>
            </w:pPr>
            <w:r w:rsidRPr="008B06FF">
              <w:t>65.8</w:t>
            </w:r>
          </w:p>
        </w:tc>
      </w:tr>
      <w:tr w:rsidR="005F4A7E" w:rsidRPr="002029AF" w14:paraId="47CF3005" w14:textId="77777777" w:rsidTr="00860E95">
        <w:tc>
          <w:tcPr>
            <w:tcW w:w="3574" w:type="dxa"/>
            <w:tcBorders>
              <w:top w:val="single" w:sz="4" w:space="0" w:color="A6A6A6"/>
              <w:bottom w:val="single" w:sz="4" w:space="0" w:color="A6A6A6"/>
            </w:tcBorders>
            <w:noWrap/>
          </w:tcPr>
          <w:p w14:paraId="4CCE8629" w14:textId="77777777" w:rsidR="005F4A7E" w:rsidRPr="002029AF" w:rsidRDefault="005F4A7E" w:rsidP="00130D1C">
            <w:pPr>
              <w:pStyle w:val="ARfintablebody"/>
            </w:pPr>
            <w:r w:rsidRPr="008B06FF">
              <w:t>Vehicle Lease Trust Account</w:t>
            </w:r>
          </w:p>
        </w:tc>
        <w:tc>
          <w:tcPr>
            <w:tcW w:w="908" w:type="dxa"/>
            <w:tcBorders>
              <w:top w:val="single" w:sz="4" w:space="0" w:color="A6A6A6"/>
              <w:bottom w:val="single" w:sz="4" w:space="0" w:color="A6A6A6"/>
              <w:right w:val="nil"/>
            </w:tcBorders>
            <w:shd w:val="clear" w:color="auto" w:fill="E7E6E6"/>
            <w:noWrap/>
          </w:tcPr>
          <w:p w14:paraId="29FDBBDF" w14:textId="77777777" w:rsidR="005F4A7E" w:rsidRPr="002029AF" w:rsidRDefault="005F4A7E" w:rsidP="00130D1C">
            <w:pPr>
              <w:pStyle w:val="ARfintablebodyright"/>
              <w:ind w:right="57"/>
            </w:pPr>
            <w:r w:rsidRPr="008B06FF">
              <w:t>10.3</w:t>
            </w:r>
          </w:p>
        </w:tc>
        <w:tc>
          <w:tcPr>
            <w:tcW w:w="907" w:type="dxa"/>
            <w:tcBorders>
              <w:top w:val="single" w:sz="4" w:space="0" w:color="A6A6A6"/>
              <w:left w:val="nil"/>
              <w:bottom w:val="single" w:sz="4" w:space="0" w:color="A6A6A6"/>
              <w:right w:val="nil"/>
            </w:tcBorders>
            <w:shd w:val="clear" w:color="auto" w:fill="E7E6E6"/>
            <w:noWrap/>
          </w:tcPr>
          <w:p w14:paraId="061D1FD9" w14:textId="77777777" w:rsidR="005F4A7E" w:rsidRPr="002029AF" w:rsidRDefault="005F4A7E" w:rsidP="00130D1C">
            <w:pPr>
              <w:pStyle w:val="ARfintablebodyright"/>
              <w:ind w:right="57"/>
            </w:pPr>
            <w:r w:rsidRPr="008B06FF">
              <w:t>–</w:t>
            </w:r>
          </w:p>
        </w:tc>
        <w:tc>
          <w:tcPr>
            <w:tcW w:w="907" w:type="dxa"/>
            <w:tcBorders>
              <w:top w:val="single" w:sz="4" w:space="0" w:color="A6A6A6"/>
              <w:left w:val="nil"/>
              <w:bottom w:val="single" w:sz="4" w:space="0" w:color="A6A6A6"/>
              <w:right w:val="nil"/>
            </w:tcBorders>
            <w:shd w:val="clear" w:color="auto" w:fill="E7E6E6"/>
            <w:noWrap/>
          </w:tcPr>
          <w:p w14:paraId="265B8666" w14:textId="77777777" w:rsidR="005F4A7E" w:rsidRPr="002029AF" w:rsidRDefault="005F4A7E" w:rsidP="00130D1C">
            <w:pPr>
              <w:pStyle w:val="ARfintablebodyright"/>
              <w:ind w:right="57"/>
            </w:pPr>
            <w:r w:rsidRPr="008B06FF">
              <w:t>1.5</w:t>
            </w:r>
          </w:p>
        </w:tc>
        <w:tc>
          <w:tcPr>
            <w:tcW w:w="907" w:type="dxa"/>
            <w:tcBorders>
              <w:top w:val="single" w:sz="4" w:space="0" w:color="A6A6A6"/>
              <w:left w:val="nil"/>
              <w:bottom w:val="single" w:sz="4" w:space="0" w:color="A6A6A6"/>
              <w:right w:val="nil"/>
            </w:tcBorders>
            <w:shd w:val="clear" w:color="auto" w:fill="E7E6E6"/>
            <w:noWrap/>
          </w:tcPr>
          <w:p w14:paraId="203FC43C" w14:textId="77777777" w:rsidR="005F4A7E" w:rsidRPr="002029AF" w:rsidRDefault="005F4A7E" w:rsidP="00130D1C">
            <w:pPr>
              <w:pStyle w:val="ARfintablebodyright"/>
              <w:ind w:right="57"/>
            </w:pPr>
            <w:r w:rsidRPr="008B06FF">
              <w:t>0.1</w:t>
            </w:r>
          </w:p>
        </w:tc>
        <w:tc>
          <w:tcPr>
            <w:tcW w:w="907" w:type="dxa"/>
            <w:tcBorders>
              <w:top w:val="single" w:sz="4" w:space="0" w:color="A6A6A6"/>
              <w:left w:val="nil"/>
              <w:bottom w:val="single" w:sz="4" w:space="0" w:color="A6A6A6"/>
              <w:right w:val="nil"/>
            </w:tcBorders>
            <w:shd w:val="clear" w:color="auto" w:fill="E7E6E6"/>
            <w:noWrap/>
          </w:tcPr>
          <w:p w14:paraId="4957E8B8" w14:textId="77777777" w:rsidR="005F4A7E" w:rsidRPr="002029AF" w:rsidRDefault="005F4A7E" w:rsidP="00130D1C">
            <w:pPr>
              <w:pStyle w:val="ARfintablebodyright"/>
              <w:ind w:right="57"/>
            </w:pPr>
            <w:r w:rsidRPr="008B06FF">
              <w:t>–</w:t>
            </w:r>
          </w:p>
        </w:tc>
        <w:tc>
          <w:tcPr>
            <w:tcW w:w="907" w:type="dxa"/>
            <w:tcBorders>
              <w:top w:val="single" w:sz="4" w:space="0" w:color="A6A6A6"/>
              <w:left w:val="nil"/>
              <w:bottom w:val="single" w:sz="4" w:space="0" w:color="A6A6A6"/>
            </w:tcBorders>
            <w:shd w:val="clear" w:color="auto" w:fill="E7E6E6"/>
            <w:noWrap/>
          </w:tcPr>
          <w:p w14:paraId="4C87BA27" w14:textId="77777777" w:rsidR="005F4A7E" w:rsidRPr="002029AF" w:rsidRDefault="005F4A7E" w:rsidP="00130D1C">
            <w:pPr>
              <w:pStyle w:val="ARfintablebodyright"/>
              <w:ind w:right="57"/>
            </w:pPr>
            <w:r w:rsidRPr="008B06FF">
              <w:t>11.7</w:t>
            </w:r>
          </w:p>
        </w:tc>
        <w:tc>
          <w:tcPr>
            <w:tcW w:w="907" w:type="dxa"/>
            <w:tcBorders>
              <w:top w:val="single" w:sz="4" w:space="0" w:color="A6A6A6"/>
              <w:bottom w:val="single" w:sz="4" w:space="0" w:color="A6A6A6"/>
            </w:tcBorders>
            <w:noWrap/>
          </w:tcPr>
          <w:p w14:paraId="0DFD45CF" w14:textId="77777777" w:rsidR="005F4A7E" w:rsidRPr="002029AF" w:rsidRDefault="005F4A7E" w:rsidP="00130D1C">
            <w:pPr>
              <w:pStyle w:val="ARfintablebodyright"/>
              <w:ind w:right="57"/>
            </w:pPr>
            <w:r w:rsidRPr="008B06FF">
              <w:t>31.0</w:t>
            </w:r>
          </w:p>
        </w:tc>
        <w:tc>
          <w:tcPr>
            <w:tcW w:w="907" w:type="dxa"/>
            <w:tcBorders>
              <w:top w:val="single" w:sz="4" w:space="0" w:color="A6A6A6"/>
              <w:bottom w:val="single" w:sz="4" w:space="0" w:color="A6A6A6"/>
            </w:tcBorders>
            <w:noWrap/>
          </w:tcPr>
          <w:p w14:paraId="486BCF4B" w14:textId="77777777" w:rsidR="005F4A7E" w:rsidRPr="002029AF" w:rsidRDefault="005F4A7E" w:rsidP="00130D1C">
            <w:pPr>
              <w:pStyle w:val="ARfintablebodyright"/>
              <w:ind w:right="57"/>
            </w:pPr>
            <w:r w:rsidRPr="008B06FF">
              <w:t>–</w:t>
            </w:r>
          </w:p>
        </w:tc>
        <w:tc>
          <w:tcPr>
            <w:tcW w:w="907" w:type="dxa"/>
            <w:tcBorders>
              <w:top w:val="single" w:sz="4" w:space="0" w:color="A6A6A6"/>
              <w:bottom w:val="single" w:sz="4" w:space="0" w:color="A6A6A6"/>
            </w:tcBorders>
            <w:noWrap/>
          </w:tcPr>
          <w:p w14:paraId="6AFC59D1" w14:textId="77777777" w:rsidR="005F4A7E" w:rsidRPr="002029AF" w:rsidRDefault="005F4A7E" w:rsidP="00130D1C">
            <w:pPr>
              <w:pStyle w:val="ARfintablebodyright"/>
              <w:ind w:right="57"/>
            </w:pPr>
            <w:r w:rsidRPr="008B06FF">
              <w:t>2.1</w:t>
            </w:r>
          </w:p>
        </w:tc>
        <w:tc>
          <w:tcPr>
            <w:tcW w:w="907" w:type="dxa"/>
            <w:tcBorders>
              <w:top w:val="single" w:sz="4" w:space="0" w:color="A6A6A6"/>
              <w:bottom w:val="single" w:sz="4" w:space="0" w:color="A6A6A6"/>
            </w:tcBorders>
            <w:noWrap/>
          </w:tcPr>
          <w:p w14:paraId="6E0EA481" w14:textId="77777777" w:rsidR="005F4A7E" w:rsidRPr="002029AF" w:rsidRDefault="005F4A7E" w:rsidP="00130D1C">
            <w:pPr>
              <w:pStyle w:val="ARfintablebodyright"/>
              <w:ind w:right="57"/>
            </w:pPr>
            <w:r w:rsidRPr="008B06FF">
              <w:t>22.7</w:t>
            </w:r>
          </w:p>
        </w:tc>
        <w:tc>
          <w:tcPr>
            <w:tcW w:w="907" w:type="dxa"/>
            <w:tcBorders>
              <w:top w:val="single" w:sz="4" w:space="0" w:color="A6A6A6"/>
              <w:bottom w:val="single" w:sz="4" w:space="0" w:color="A6A6A6"/>
            </w:tcBorders>
            <w:noWrap/>
          </w:tcPr>
          <w:p w14:paraId="42C9D330" w14:textId="77777777" w:rsidR="005F4A7E" w:rsidRPr="002029AF" w:rsidRDefault="005F4A7E" w:rsidP="00130D1C">
            <w:pPr>
              <w:pStyle w:val="ARfintablebodyright"/>
              <w:ind w:right="57"/>
            </w:pPr>
            <w:r w:rsidRPr="008B06FF">
              <w:t>(0.1)</w:t>
            </w:r>
          </w:p>
        </w:tc>
        <w:tc>
          <w:tcPr>
            <w:tcW w:w="907" w:type="dxa"/>
            <w:tcBorders>
              <w:top w:val="single" w:sz="4" w:space="0" w:color="A6A6A6"/>
              <w:bottom w:val="single" w:sz="4" w:space="0" w:color="A6A6A6"/>
            </w:tcBorders>
            <w:noWrap/>
          </w:tcPr>
          <w:p w14:paraId="53B7A8AF" w14:textId="77777777" w:rsidR="005F4A7E" w:rsidRPr="002029AF" w:rsidRDefault="005F4A7E" w:rsidP="00130D1C">
            <w:pPr>
              <w:pStyle w:val="ARfintablebodyright"/>
              <w:ind w:right="57"/>
            </w:pPr>
            <w:r w:rsidRPr="008B06FF">
              <w:t>10.3</w:t>
            </w:r>
          </w:p>
        </w:tc>
      </w:tr>
      <w:tr w:rsidR="005F4A7E" w:rsidRPr="002029AF" w14:paraId="0321F508" w14:textId="77777777" w:rsidTr="00860E95">
        <w:tc>
          <w:tcPr>
            <w:tcW w:w="3574" w:type="dxa"/>
            <w:tcBorders>
              <w:top w:val="single" w:sz="4" w:space="0" w:color="A6A6A6"/>
              <w:bottom w:val="single" w:sz="4" w:space="0" w:color="A6A6A6"/>
            </w:tcBorders>
            <w:noWrap/>
            <w:hideMark/>
          </w:tcPr>
          <w:p w14:paraId="7271FF9D" w14:textId="77777777" w:rsidR="005F4A7E" w:rsidRPr="002029AF" w:rsidRDefault="005F4A7E" w:rsidP="00130D1C">
            <w:pPr>
              <w:pStyle w:val="ARfintablebody"/>
            </w:pPr>
            <w:r w:rsidRPr="008B06FF">
              <w:t>Victorian Health Promotion Fund</w:t>
            </w:r>
          </w:p>
        </w:tc>
        <w:tc>
          <w:tcPr>
            <w:tcW w:w="908" w:type="dxa"/>
            <w:tcBorders>
              <w:top w:val="single" w:sz="4" w:space="0" w:color="A6A6A6"/>
              <w:bottom w:val="single" w:sz="4" w:space="0" w:color="A6A6A6"/>
              <w:right w:val="nil"/>
            </w:tcBorders>
            <w:shd w:val="clear" w:color="auto" w:fill="E7E6E6"/>
            <w:noWrap/>
            <w:hideMark/>
          </w:tcPr>
          <w:p w14:paraId="1A681509" w14:textId="77777777" w:rsidR="005F4A7E" w:rsidRPr="002029AF" w:rsidRDefault="005F4A7E" w:rsidP="00130D1C">
            <w:pPr>
              <w:pStyle w:val="ARfintablebodyright"/>
              <w:ind w:right="57"/>
            </w:pPr>
            <w:r w:rsidRPr="008B06FF">
              <w:t>–</w:t>
            </w:r>
          </w:p>
        </w:tc>
        <w:tc>
          <w:tcPr>
            <w:tcW w:w="907" w:type="dxa"/>
            <w:tcBorders>
              <w:top w:val="single" w:sz="4" w:space="0" w:color="A6A6A6"/>
              <w:left w:val="nil"/>
              <w:bottom w:val="single" w:sz="4" w:space="0" w:color="A6A6A6"/>
              <w:right w:val="nil"/>
            </w:tcBorders>
            <w:shd w:val="clear" w:color="auto" w:fill="E7E6E6"/>
            <w:noWrap/>
            <w:hideMark/>
          </w:tcPr>
          <w:p w14:paraId="25FBBC6F" w14:textId="77777777" w:rsidR="005F4A7E" w:rsidRPr="002029AF" w:rsidRDefault="005F4A7E" w:rsidP="00130D1C">
            <w:pPr>
              <w:pStyle w:val="ARfintablebodyright"/>
              <w:ind w:right="57"/>
            </w:pPr>
            <w:r w:rsidRPr="008B06FF">
              <w:t>–</w:t>
            </w:r>
          </w:p>
        </w:tc>
        <w:tc>
          <w:tcPr>
            <w:tcW w:w="907" w:type="dxa"/>
            <w:tcBorders>
              <w:top w:val="single" w:sz="4" w:space="0" w:color="A6A6A6"/>
              <w:left w:val="nil"/>
              <w:bottom w:val="single" w:sz="4" w:space="0" w:color="A6A6A6"/>
              <w:right w:val="nil"/>
            </w:tcBorders>
            <w:shd w:val="clear" w:color="auto" w:fill="E7E6E6"/>
            <w:noWrap/>
            <w:hideMark/>
          </w:tcPr>
          <w:p w14:paraId="4578B0B6" w14:textId="77777777" w:rsidR="005F4A7E" w:rsidRPr="002029AF" w:rsidRDefault="005F4A7E" w:rsidP="00130D1C">
            <w:pPr>
              <w:pStyle w:val="ARfintablebodyright"/>
              <w:ind w:right="57"/>
            </w:pPr>
            <w:r w:rsidRPr="008B06FF">
              <w:t>41.3</w:t>
            </w:r>
          </w:p>
        </w:tc>
        <w:tc>
          <w:tcPr>
            <w:tcW w:w="907" w:type="dxa"/>
            <w:tcBorders>
              <w:top w:val="single" w:sz="4" w:space="0" w:color="A6A6A6"/>
              <w:left w:val="nil"/>
              <w:bottom w:val="single" w:sz="4" w:space="0" w:color="A6A6A6"/>
              <w:right w:val="nil"/>
            </w:tcBorders>
            <w:shd w:val="clear" w:color="auto" w:fill="E7E6E6"/>
            <w:noWrap/>
            <w:hideMark/>
          </w:tcPr>
          <w:p w14:paraId="42200D69" w14:textId="77777777" w:rsidR="005F4A7E" w:rsidRPr="002029AF" w:rsidRDefault="005F4A7E" w:rsidP="00130D1C">
            <w:pPr>
              <w:pStyle w:val="ARfintablebodyright"/>
              <w:ind w:right="57"/>
            </w:pPr>
            <w:r w:rsidRPr="008B06FF">
              <w:t>41.3</w:t>
            </w:r>
          </w:p>
        </w:tc>
        <w:tc>
          <w:tcPr>
            <w:tcW w:w="907" w:type="dxa"/>
            <w:tcBorders>
              <w:top w:val="single" w:sz="4" w:space="0" w:color="A6A6A6"/>
              <w:left w:val="nil"/>
              <w:bottom w:val="single" w:sz="4" w:space="0" w:color="A6A6A6"/>
              <w:right w:val="nil"/>
            </w:tcBorders>
            <w:shd w:val="clear" w:color="auto" w:fill="E7E6E6"/>
            <w:noWrap/>
            <w:hideMark/>
          </w:tcPr>
          <w:p w14:paraId="62AF4012" w14:textId="77777777" w:rsidR="005F4A7E" w:rsidRPr="002029AF" w:rsidRDefault="005F4A7E" w:rsidP="00130D1C">
            <w:pPr>
              <w:pStyle w:val="ARfintablebodyright"/>
              <w:ind w:right="57"/>
            </w:pPr>
            <w:r w:rsidRPr="008B06FF">
              <w:t>–</w:t>
            </w:r>
          </w:p>
        </w:tc>
        <w:tc>
          <w:tcPr>
            <w:tcW w:w="907" w:type="dxa"/>
            <w:tcBorders>
              <w:top w:val="single" w:sz="4" w:space="0" w:color="A6A6A6"/>
              <w:left w:val="nil"/>
              <w:bottom w:val="single" w:sz="4" w:space="0" w:color="A6A6A6"/>
            </w:tcBorders>
            <w:shd w:val="clear" w:color="auto" w:fill="E7E6E6"/>
            <w:noWrap/>
            <w:hideMark/>
          </w:tcPr>
          <w:p w14:paraId="7839E4F4" w14:textId="77777777" w:rsidR="005F4A7E" w:rsidRPr="002029AF" w:rsidRDefault="005F4A7E" w:rsidP="00130D1C">
            <w:pPr>
              <w:pStyle w:val="ARfintablebodyright"/>
              <w:ind w:right="57"/>
            </w:pPr>
            <w:r w:rsidRPr="008B06FF">
              <w:t>–</w:t>
            </w:r>
          </w:p>
        </w:tc>
        <w:tc>
          <w:tcPr>
            <w:tcW w:w="907" w:type="dxa"/>
            <w:tcBorders>
              <w:top w:val="single" w:sz="4" w:space="0" w:color="A6A6A6"/>
              <w:bottom w:val="single" w:sz="4" w:space="0" w:color="A6A6A6"/>
            </w:tcBorders>
            <w:noWrap/>
            <w:hideMark/>
          </w:tcPr>
          <w:p w14:paraId="60114C7D" w14:textId="77777777" w:rsidR="005F4A7E" w:rsidRPr="002029AF" w:rsidRDefault="005F4A7E" w:rsidP="00130D1C">
            <w:pPr>
              <w:pStyle w:val="ARfintablebodyright"/>
              <w:ind w:right="57"/>
            </w:pPr>
            <w:r w:rsidRPr="008B06FF">
              <w:t>–</w:t>
            </w:r>
          </w:p>
        </w:tc>
        <w:tc>
          <w:tcPr>
            <w:tcW w:w="907" w:type="dxa"/>
            <w:tcBorders>
              <w:top w:val="single" w:sz="4" w:space="0" w:color="A6A6A6"/>
              <w:bottom w:val="single" w:sz="4" w:space="0" w:color="A6A6A6"/>
            </w:tcBorders>
            <w:noWrap/>
            <w:hideMark/>
          </w:tcPr>
          <w:p w14:paraId="12B04E53" w14:textId="77777777" w:rsidR="005F4A7E" w:rsidRPr="002029AF" w:rsidRDefault="005F4A7E" w:rsidP="00130D1C">
            <w:pPr>
              <w:pStyle w:val="ARfintablebodyright"/>
              <w:ind w:right="57"/>
            </w:pPr>
            <w:r w:rsidRPr="008B06FF">
              <w:t>–</w:t>
            </w:r>
          </w:p>
        </w:tc>
        <w:tc>
          <w:tcPr>
            <w:tcW w:w="907" w:type="dxa"/>
            <w:tcBorders>
              <w:top w:val="single" w:sz="4" w:space="0" w:color="A6A6A6"/>
              <w:bottom w:val="single" w:sz="4" w:space="0" w:color="A6A6A6"/>
            </w:tcBorders>
            <w:noWrap/>
            <w:hideMark/>
          </w:tcPr>
          <w:p w14:paraId="10B983BF" w14:textId="77777777" w:rsidR="005F4A7E" w:rsidRPr="002029AF" w:rsidRDefault="005F4A7E" w:rsidP="00130D1C">
            <w:pPr>
              <w:pStyle w:val="ARfintablebodyright"/>
              <w:ind w:right="57"/>
            </w:pPr>
            <w:r w:rsidRPr="008B06FF">
              <w:t>40.7</w:t>
            </w:r>
          </w:p>
        </w:tc>
        <w:tc>
          <w:tcPr>
            <w:tcW w:w="907" w:type="dxa"/>
            <w:tcBorders>
              <w:top w:val="single" w:sz="4" w:space="0" w:color="A6A6A6"/>
              <w:bottom w:val="single" w:sz="4" w:space="0" w:color="A6A6A6"/>
            </w:tcBorders>
            <w:noWrap/>
            <w:hideMark/>
          </w:tcPr>
          <w:p w14:paraId="37FFF5B4" w14:textId="77777777" w:rsidR="005F4A7E" w:rsidRPr="002029AF" w:rsidRDefault="005F4A7E" w:rsidP="00130D1C">
            <w:pPr>
              <w:pStyle w:val="ARfintablebodyright"/>
              <w:ind w:right="57"/>
            </w:pPr>
            <w:r w:rsidRPr="008B06FF">
              <w:t>40.7</w:t>
            </w:r>
          </w:p>
        </w:tc>
        <w:tc>
          <w:tcPr>
            <w:tcW w:w="907" w:type="dxa"/>
            <w:tcBorders>
              <w:top w:val="single" w:sz="4" w:space="0" w:color="A6A6A6"/>
              <w:bottom w:val="single" w:sz="4" w:space="0" w:color="A6A6A6"/>
            </w:tcBorders>
            <w:noWrap/>
            <w:hideMark/>
          </w:tcPr>
          <w:p w14:paraId="7181C085" w14:textId="77777777" w:rsidR="005F4A7E" w:rsidRPr="002029AF" w:rsidRDefault="005F4A7E" w:rsidP="00130D1C">
            <w:pPr>
              <w:pStyle w:val="ARfintablebodyright"/>
              <w:ind w:right="57"/>
            </w:pPr>
            <w:r w:rsidRPr="008B06FF">
              <w:t>–</w:t>
            </w:r>
          </w:p>
        </w:tc>
        <w:tc>
          <w:tcPr>
            <w:tcW w:w="907" w:type="dxa"/>
            <w:tcBorders>
              <w:top w:val="single" w:sz="4" w:space="0" w:color="A6A6A6"/>
              <w:bottom w:val="single" w:sz="4" w:space="0" w:color="A6A6A6"/>
            </w:tcBorders>
            <w:noWrap/>
            <w:hideMark/>
          </w:tcPr>
          <w:p w14:paraId="19C3AF1F" w14:textId="77777777" w:rsidR="005F4A7E" w:rsidRPr="002029AF" w:rsidRDefault="005F4A7E" w:rsidP="00130D1C">
            <w:pPr>
              <w:pStyle w:val="ARfintablebodyright"/>
              <w:ind w:right="57"/>
            </w:pPr>
            <w:r w:rsidRPr="008B06FF">
              <w:t>–</w:t>
            </w:r>
          </w:p>
        </w:tc>
      </w:tr>
      <w:tr w:rsidR="005F4A7E" w:rsidRPr="002029AF" w14:paraId="335B459F" w14:textId="77777777" w:rsidTr="00860E95">
        <w:tc>
          <w:tcPr>
            <w:tcW w:w="3574" w:type="dxa"/>
            <w:tcBorders>
              <w:top w:val="single" w:sz="4" w:space="0" w:color="A6A6A6"/>
              <w:bottom w:val="single" w:sz="4" w:space="0" w:color="A6A6A6"/>
            </w:tcBorders>
            <w:noWrap/>
            <w:hideMark/>
          </w:tcPr>
          <w:p w14:paraId="48C1F34C" w14:textId="77777777" w:rsidR="005F4A7E" w:rsidRPr="002029AF" w:rsidRDefault="005F4A7E" w:rsidP="00130D1C">
            <w:pPr>
              <w:pStyle w:val="ARfintablebody"/>
            </w:pPr>
            <w:r w:rsidRPr="008B06FF">
              <w:t>Departmental Suspense Account</w:t>
            </w:r>
          </w:p>
        </w:tc>
        <w:tc>
          <w:tcPr>
            <w:tcW w:w="908" w:type="dxa"/>
            <w:tcBorders>
              <w:top w:val="single" w:sz="4" w:space="0" w:color="A6A6A6"/>
              <w:bottom w:val="single" w:sz="4" w:space="0" w:color="A6A6A6"/>
              <w:right w:val="nil"/>
            </w:tcBorders>
            <w:shd w:val="clear" w:color="auto" w:fill="E7E6E6"/>
            <w:noWrap/>
            <w:hideMark/>
          </w:tcPr>
          <w:p w14:paraId="539F77B6" w14:textId="77777777" w:rsidR="005F4A7E" w:rsidRPr="002029AF" w:rsidRDefault="005F4A7E" w:rsidP="00130D1C">
            <w:pPr>
              <w:pStyle w:val="ARfintablebodyright"/>
              <w:ind w:right="57"/>
            </w:pPr>
            <w:r w:rsidRPr="008B06FF">
              <w:t>–</w:t>
            </w:r>
          </w:p>
        </w:tc>
        <w:tc>
          <w:tcPr>
            <w:tcW w:w="907" w:type="dxa"/>
            <w:tcBorders>
              <w:top w:val="single" w:sz="4" w:space="0" w:color="A6A6A6"/>
              <w:left w:val="nil"/>
              <w:bottom w:val="single" w:sz="4" w:space="0" w:color="A6A6A6"/>
              <w:right w:val="nil"/>
            </w:tcBorders>
            <w:shd w:val="clear" w:color="auto" w:fill="E7E6E6"/>
            <w:noWrap/>
            <w:hideMark/>
          </w:tcPr>
          <w:p w14:paraId="27C06E70" w14:textId="77777777" w:rsidR="005F4A7E" w:rsidRPr="002029AF" w:rsidRDefault="005F4A7E" w:rsidP="00130D1C">
            <w:pPr>
              <w:pStyle w:val="ARfintablebodyright"/>
              <w:ind w:right="57"/>
            </w:pPr>
            <w:r w:rsidRPr="008B06FF">
              <w:t>2.4</w:t>
            </w:r>
          </w:p>
        </w:tc>
        <w:tc>
          <w:tcPr>
            <w:tcW w:w="907" w:type="dxa"/>
            <w:tcBorders>
              <w:top w:val="single" w:sz="4" w:space="0" w:color="A6A6A6"/>
              <w:left w:val="nil"/>
              <w:bottom w:val="single" w:sz="4" w:space="0" w:color="A6A6A6"/>
              <w:right w:val="nil"/>
            </w:tcBorders>
            <w:shd w:val="clear" w:color="auto" w:fill="E7E6E6"/>
            <w:noWrap/>
            <w:hideMark/>
          </w:tcPr>
          <w:p w14:paraId="1C59990E" w14:textId="77777777" w:rsidR="005F4A7E" w:rsidRPr="002029AF" w:rsidRDefault="005F4A7E" w:rsidP="00130D1C">
            <w:pPr>
              <w:pStyle w:val="ARfintablebodyright"/>
              <w:ind w:right="57"/>
            </w:pPr>
            <w:r w:rsidRPr="008B06FF">
              <w:t>(0.4)</w:t>
            </w:r>
          </w:p>
        </w:tc>
        <w:tc>
          <w:tcPr>
            <w:tcW w:w="907" w:type="dxa"/>
            <w:tcBorders>
              <w:top w:val="single" w:sz="4" w:space="0" w:color="A6A6A6"/>
              <w:left w:val="nil"/>
              <w:bottom w:val="single" w:sz="4" w:space="0" w:color="A6A6A6"/>
              <w:right w:val="nil"/>
            </w:tcBorders>
            <w:shd w:val="clear" w:color="auto" w:fill="E7E6E6"/>
            <w:noWrap/>
            <w:hideMark/>
          </w:tcPr>
          <w:p w14:paraId="345163D0" w14:textId="77777777" w:rsidR="005F4A7E" w:rsidRPr="002029AF" w:rsidRDefault="005F4A7E" w:rsidP="00130D1C">
            <w:pPr>
              <w:pStyle w:val="ARfintablebodyright"/>
              <w:ind w:right="57"/>
            </w:pPr>
            <w:r w:rsidRPr="008B06FF">
              <w:t>0.4</w:t>
            </w:r>
          </w:p>
        </w:tc>
        <w:tc>
          <w:tcPr>
            <w:tcW w:w="907" w:type="dxa"/>
            <w:tcBorders>
              <w:top w:val="single" w:sz="4" w:space="0" w:color="A6A6A6"/>
              <w:left w:val="nil"/>
              <w:bottom w:val="single" w:sz="4" w:space="0" w:color="A6A6A6"/>
              <w:right w:val="nil"/>
            </w:tcBorders>
            <w:shd w:val="clear" w:color="auto" w:fill="E7E6E6"/>
            <w:noWrap/>
            <w:hideMark/>
          </w:tcPr>
          <w:p w14:paraId="316EDF1B" w14:textId="77777777" w:rsidR="005F4A7E" w:rsidRPr="002029AF" w:rsidRDefault="005F4A7E" w:rsidP="00130D1C">
            <w:pPr>
              <w:pStyle w:val="ARfintablebodyright"/>
              <w:ind w:right="57"/>
            </w:pPr>
            <w:r w:rsidRPr="008B06FF">
              <w:t>–</w:t>
            </w:r>
          </w:p>
        </w:tc>
        <w:tc>
          <w:tcPr>
            <w:tcW w:w="907" w:type="dxa"/>
            <w:tcBorders>
              <w:top w:val="single" w:sz="4" w:space="0" w:color="A6A6A6"/>
              <w:left w:val="nil"/>
              <w:bottom w:val="single" w:sz="4" w:space="0" w:color="A6A6A6"/>
            </w:tcBorders>
            <w:shd w:val="clear" w:color="auto" w:fill="E7E6E6"/>
            <w:noWrap/>
            <w:hideMark/>
          </w:tcPr>
          <w:p w14:paraId="0571DFA9" w14:textId="77777777" w:rsidR="005F4A7E" w:rsidRPr="002029AF" w:rsidRDefault="005F4A7E" w:rsidP="00130D1C">
            <w:pPr>
              <w:pStyle w:val="ARfintablebodyright"/>
              <w:ind w:right="57"/>
            </w:pPr>
            <w:r w:rsidRPr="008B06FF">
              <w:t>1.6</w:t>
            </w:r>
          </w:p>
        </w:tc>
        <w:tc>
          <w:tcPr>
            <w:tcW w:w="907" w:type="dxa"/>
            <w:tcBorders>
              <w:top w:val="single" w:sz="4" w:space="0" w:color="A6A6A6"/>
              <w:bottom w:val="single" w:sz="4" w:space="0" w:color="A6A6A6"/>
            </w:tcBorders>
            <w:noWrap/>
            <w:hideMark/>
          </w:tcPr>
          <w:p w14:paraId="7C9E097E" w14:textId="77777777" w:rsidR="005F4A7E" w:rsidRPr="002029AF" w:rsidRDefault="005F4A7E" w:rsidP="00130D1C">
            <w:pPr>
              <w:pStyle w:val="ARfintablebodyright"/>
              <w:ind w:right="57"/>
            </w:pPr>
            <w:r w:rsidRPr="008B06FF">
              <w:t>–</w:t>
            </w:r>
          </w:p>
        </w:tc>
        <w:tc>
          <w:tcPr>
            <w:tcW w:w="907" w:type="dxa"/>
            <w:tcBorders>
              <w:top w:val="single" w:sz="4" w:space="0" w:color="A6A6A6"/>
              <w:bottom w:val="single" w:sz="4" w:space="0" w:color="A6A6A6"/>
            </w:tcBorders>
            <w:noWrap/>
            <w:hideMark/>
          </w:tcPr>
          <w:p w14:paraId="55DF2254" w14:textId="77777777" w:rsidR="005F4A7E" w:rsidRPr="002029AF" w:rsidRDefault="005F4A7E" w:rsidP="00130D1C">
            <w:pPr>
              <w:pStyle w:val="ARfintablebodyright"/>
              <w:ind w:right="57"/>
            </w:pPr>
            <w:r w:rsidRPr="008B06FF">
              <w:t>–</w:t>
            </w:r>
          </w:p>
        </w:tc>
        <w:tc>
          <w:tcPr>
            <w:tcW w:w="907" w:type="dxa"/>
            <w:tcBorders>
              <w:top w:val="single" w:sz="4" w:space="0" w:color="A6A6A6"/>
              <w:bottom w:val="single" w:sz="4" w:space="0" w:color="A6A6A6"/>
            </w:tcBorders>
            <w:noWrap/>
            <w:hideMark/>
          </w:tcPr>
          <w:p w14:paraId="6C34DE95" w14:textId="77777777" w:rsidR="005F4A7E" w:rsidRPr="002029AF" w:rsidRDefault="005F4A7E" w:rsidP="00130D1C">
            <w:pPr>
              <w:pStyle w:val="ARfintablebodyright"/>
              <w:ind w:right="57"/>
            </w:pPr>
            <w:r w:rsidRPr="008B06FF">
              <w:t>–</w:t>
            </w:r>
          </w:p>
        </w:tc>
        <w:tc>
          <w:tcPr>
            <w:tcW w:w="907" w:type="dxa"/>
            <w:tcBorders>
              <w:top w:val="single" w:sz="4" w:space="0" w:color="A6A6A6"/>
              <w:bottom w:val="single" w:sz="4" w:space="0" w:color="A6A6A6"/>
            </w:tcBorders>
            <w:noWrap/>
            <w:hideMark/>
          </w:tcPr>
          <w:p w14:paraId="434BF3D0" w14:textId="77777777" w:rsidR="005F4A7E" w:rsidRPr="002029AF" w:rsidRDefault="005F4A7E" w:rsidP="00130D1C">
            <w:pPr>
              <w:pStyle w:val="ARfintablebodyright"/>
              <w:ind w:right="57"/>
            </w:pPr>
            <w:r w:rsidRPr="008B06FF">
              <w:t>–</w:t>
            </w:r>
          </w:p>
        </w:tc>
        <w:tc>
          <w:tcPr>
            <w:tcW w:w="907" w:type="dxa"/>
            <w:tcBorders>
              <w:top w:val="single" w:sz="4" w:space="0" w:color="A6A6A6"/>
              <w:bottom w:val="single" w:sz="4" w:space="0" w:color="A6A6A6"/>
            </w:tcBorders>
            <w:noWrap/>
            <w:hideMark/>
          </w:tcPr>
          <w:p w14:paraId="53D54BCD" w14:textId="77777777" w:rsidR="005F4A7E" w:rsidRPr="002029AF" w:rsidRDefault="005F4A7E" w:rsidP="00130D1C">
            <w:pPr>
              <w:pStyle w:val="ARfintablebodyright"/>
              <w:ind w:right="57"/>
            </w:pPr>
            <w:r w:rsidRPr="008B06FF">
              <w:t>–</w:t>
            </w:r>
          </w:p>
        </w:tc>
        <w:tc>
          <w:tcPr>
            <w:tcW w:w="907" w:type="dxa"/>
            <w:tcBorders>
              <w:top w:val="single" w:sz="4" w:space="0" w:color="A6A6A6"/>
              <w:bottom w:val="single" w:sz="4" w:space="0" w:color="A6A6A6"/>
            </w:tcBorders>
            <w:noWrap/>
            <w:hideMark/>
          </w:tcPr>
          <w:p w14:paraId="38C9DE20" w14:textId="77777777" w:rsidR="005F4A7E" w:rsidRPr="002029AF" w:rsidRDefault="005F4A7E" w:rsidP="00130D1C">
            <w:pPr>
              <w:pStyle w:val="ARfintablebodyright"/>
              <w:ind w:right="57"/>
            </w:pPr>
            <w:r w:rsidRPr="008B06FF">
              <w:t>–</w:t>
            </w:r>
          </w:p>
        </w:tc>
      </w:tr>
      <w:tr w:rsidR="005F4A7E" w:rsidRPr="002029AF" w14:paraId="2964AB69" w14:textId="77777777" w:rsidTr="00860E95">
        <w:tc>
          <w:tcPr>
            <w:tcW w:w="3574" w:type="dxa"/>
            <w:tcBorders>
              <w:top w:val="single" w:sz="4" w:space="0" w:color="A6A6A6"/>
              <w:bottom w:val="single" w:sz="4" w:space="0" w:color="A6A6A6"/>
            </w:tcBorders>
            <w:noWrap/>
            <w:hideMark/>
          </w:tcPr>
          <w:p w14:paraId="4F8AAFFD" w14:textId="77777777" w:rsidR="005F4A7E" w:rsidRPr="002029AF" w:rsidRDefault="005F4A7E" w:rsidP="00130D1C">
            <w:pPr>
              <w:pStyle w:val="ARfintablebody"/>
            </w:pPr>
            <w:r w:rsidRPr="008B06FF">
              <w:t>Victorian Veterans Fund</w:t>
            </w:r>
          </w:p>
        </w:tc>
        <w:tc>
          <w:tcPr>
            <w:tcW w:w="908" w:type="dxa"/>
            <w:tcBorders>
              <w:top w:val="single" w:sz="4" w:space="0" w:color="A6A6A6"/>
              <w:bottom w:val="single" w:sz="4" w:space="0" w:color="A6A6A6"/>
              <w:right w:val="nil"/>
            </w:tcBorders>
            <w:shd w:val="clear" w:color="auto" w:fill="E7E6E6"/>
            <w:noWrap/>
            <w:hideMark/>
          </w:tcPr>
          <w:p w14:paraId="168E64D7" w14:textId="77777777" w:rsidR="005F4A7E" w:rsidRPr="002029AF" w:rsidRDefault="005F4A7E" w:rsidP="00130D1C">
            <w:pPr>
              <w:pStyle w:val="ARfintablebodyright"/>
              <w:ind w:right="57"/>
            </w:pPr>
            <w:r w:rsidRPr="008B06FF">
              <w:t>–</w:t>
            </w:r>
          </w:p>
        </w:tc>
        <w:tc>
          <w:tcPr>
            <w:tcW w:w="907" w:type="dxa"/>
            <w:tcBorders>
              <w:top w:val="single" w:sz="4" w:space="0" w:color="A6A6A6"/>
              <w:left w:val="nil"/>
              <w:bottom w:val="single" w:sz="4" w:space="0" w:color="A6A6A6"/>
              <w:right w:val="nil"/>
            </w:tcBorders>
            <w:shd w:val="clear" w:color="auto" w:fill="E7E6E6"/>
            <w:noWrap/>
            <w:hideMark/>
          </w:tcPr>
          <w:p w14:paraId="6FBF3D1B" w14:textId="77777777" w:rsidR="005F4A7E" w:rsidRPr="002029AF" w:rsidRDefault="005F4A7E" w:rsidP="00130D1C">
            <w:pPr>
              <w:pStyle w:val="ARfintablebodyright"/>
              <w:ind w:right="57"/>
            </w:pPr>
            <w:r w:rsidRPr="008B06FF">
              <w:t>0.5</w:t>
            </w:r>
          </w:p>
        </w:tc>
        <w:tc>
          <w:tcPr>
            <w:tcW w:w="907" w:type="dxa"/>
            <w:tcBorders>
              <w:top w:val="single" w:sz="4" w:space="0" w:color="A6A6A6"/>
              <w:left w:val="nil"/>
              <w:bottom w:val="single" w:sz="4" w:space="0" w:color="A6A6A6"/>
              <w:right w:val="nil"/>
            </w:tcBorders>
            <w:shd w:val="clear" w:color="auto" w:fill="E7E6E6"/>
            <w:noWrap/>
            <w:hideMark/>
          </w:tcPr>
          <w:p w14:paraId="16982D12" w14:textId="77777777" w:rsidR="005F4A7E" w:rsidRPr="002029AF" w:rsidRDefault="005F4A7E" w:rsidP="00130D1C">
            <w:pPr>
              <w:pStyle w:val="ARfintablebodyright"/>
              <w:ind w:right="57"/>
            </w:pPr>
            <w:r w:rsidRPr="008B06FF">
              <w:t>–</w:t>
            </w:r>
          </w:p>
        </w:tc>
        <w:tc>
          <w:tcPr>
            <w:tcW w:w="907" w:type="dxa"/>
            <w:tcBorders>
              <w:top w:val="single" w:sz="4" w:space="0" w:color="A6A6A6"/>
              <w:left w:val="nil"/>
              <w:bottom w:val="single" w:sz="4" w:space="0" w:color="A6A6A6"/>
              <w:right w:val="nil"/>
            </w:tcBorders>
            <w:shd w:val="clear" w:color="auto" w:fill="E7E6E6"/>
            <w:noWrap/>
            <w:hideMark/>
          </w:tcPr>
          <w:p w14:paraId="6705D38B" w14:textId="77777777" w:rsidR="005F4A7E" w:rsidRPr="002029AF" w:rsidRDefault="005F4A7E" w:rsidP="00130D1C">
            <w:pPr>
              <w:pStyle w:val="ARfintablebodyright"/>
              <w:ind w:right="57"/>
            </w:pPr>
            <w:r w:rsidRPr="008B06FF">
              <w:t>0.1</w:t>
            </w:r>
          </w:p>
        </w:tc>
        <w:tc>
          <w:tcPr>
            <w:tcW w:w="907" w:type="dxa"/>
            <w:tcBorders>
              <w:top w:val="single" w:sz="4" w:space="0" w:color="A6A6A6"/>
              <w:left w:val="nil"/>
              <w:bottom w:val="single" w:sz="4" w:space="0" w:color="A6A6A6"/>
              <w:right w:val="nil"/>
            </w:tcBorders>
            <w:shd w:val="clear" w:color="auto" w:fill="E7E6E6"/>
            <w:noWrap/>
            <w:hideMark/>
          </w:tcPr>
          <w:p w14:paraId="65916AB0" w14:textId="77777777" w:rsidR="005F4A7E" w:rsidRPr="002029AF" w:rsidRDefault="005F4A7E" w:rsidP="00130D1C">
            <w:pPr>
              <w:pStyle w:val="ARfintablebodyright"/>
              <w:ind w:right="57"/>
            </w:pPr>
            <w:r w:rsidRPr="008B06FF">
              <w:t>–</w:t>
            </w:r>
          </w:p>
        </w:tc>
        <w:tc>
          <w:tcPr>
            <w:tcW w:w="907" w:type="dxa"/>
            <w:tcBorders>
              <w:top w:val="single" w:sz="4" w:space="0" w:color="A6A6A6"/>
              <w:left w:val="nil"/>
              <w:bottom w:val="single" w:sz="4" w:space="0" w:color="A6A6A6"/>
            </w:tcBorders>
            <w:shd w:val="clear" w:color="auto" w:fill="E7E6E6"/>
            <w:noWrap/>
            <w:hideMark/>
          </w:tcPr>
          <w:p w14:paraId="16B6D10F" w14:textId="77777777" w:rsidR="005F4A7E" w:rsidRPr="002029AF" w:rsidRDefault="005F4A7E" w:rsidP="00130D1C">
            <w:pPr>
              <w:pStyle w:val="ARfintablebodyright"/>
              <w:ind w:right="57"/>
            </w:pPr>
            <w:r w:rsidRPr="008B06FF">
              <w:t>0.4</w:t>
            </w:r>
          </w:p>
        </w:tc>
        <w:tc>
          <w:tcPr>
            <w:tcW w:w="907" w:type="dxa"/>
            <w:tcBorders>
              <w:top w:val="single" w:sz="4" w:space="0" w:color="A6A6A6"/>
              <w:bottom w:val="single" w:sz="4" w:space="0" w:color="A6A6A6"/>
            </w:tcBorders>
            <w:noWrap/>
            <w:hideMark/>
          </w:tcPr>
          <w:p w14:paraId="7E7EEE3C" w14:textId="77777777" w:rsidR="005F4A7E" w:rsidRPr="002029AF" w:rsidRDefault="005F4A7E" w:rsidP="00130D1C">
            <w:pPr>
              <w:pStyle w:val="ARfintablebodyright"/>
              <w:ind w:right="57"/>
            </w:pPr>
            <w:r w:rsidRPr="008B06FF">
              <w:t>–</w:t>
            </w:r>
          </w:p>
        </w:tc>
        <w:tc>
          <w:tcPr>
            <w:tcW w:w="907" w:type="dxa"/>
            <w:tcBorders>
              <w:top w:val="single" w:sz="4" w:space="0" w:color="A6A6A6"/>
              <w:bottom w:val="single" w:sz="4" w:space="0" w:color="A6A6A6"/>
            </w:tcBorders>
            <w:noWrap/>
            <w:hideMark/>
          </w:tcPr>
          <w:p w14:paraId="66866011" w14:textId="77777777" w:rsidR="005F4A7E" w:rsidRPr="002029AF" w:rsidRDefault="005F4A7E" w:rsidP="00130D1C">
            <w:pPr>
              <w:pStyle w:val="ARfintablebodyright"/>
              <w:ind w:right="57"/>
            </w:pPr>
            <w:r w:rsidRPr="008B06FF">
              <w:t>–</w:t>
            </w:r>
          </w:p>
        </w:tc>
        <w:tc>
          <w:tcPr>
            <w:tcW w:w="907" w:type="dxa"/>
            <w:tcBorders>
              <w:top w:val="single" w:sz="4" w:space="0" w:color="A6A6A6"/>
              <w:bottom w:val="single" w:sz="4" w:space="0" w:color="A6A6A6"/>
            </w:tcBorders>
            <w:noWrap/>
            <w:hideMark/>
          </w:tcPr>
          <w:p w14:paraId="4C205826" w14:textId="77777777" w:rsidR="005F4A7E" w:rsidRPr="002029AF" w:rsidRDefault="005F4A7E" w:rsidP="00130D1C">
            <w:pPr>
              <w:pStyle w:val="ARfintablebodyright"/>
              <w:ind w:right="57"/>
            </w:pPr>
            <w:r w:rsidRPr="008B06FF">
              <w:t>–</w:t>
            </w:r>
          </w:p>
        </w:tc>
        <w:tc>
          <w:tcPr>
            <w:tcW w:w="907" w:type="dxa"/>
            <w:tcBorders>
              <w:top w:val="single" w:sz="4" w:space="0" w:color="A6A6A6"/>
              <w:bottom w:val="single" w:sz="4" w:space="0" w:color="A6A6A6"/>
            </w:tcBorders>
            <w:noWrap/>
            <w:hideMark/>
          </w:tcPr>
          <w:p w14:paraId="0FE279D5" w14:textId="77777777" w:rsidR="005F4A7E" w:rsidRPr="002029AF" w:rsidRDefault="005F4A7E" w:rsidP="00130D1C">
            <w:pPr>
              <w:pStyle w:val="ARfintablebodyright"/>
              <w:ind w:right="57"/>
            </w:pPr>
            <w:r w:rsidRPr="008B06FF">
              <w:t>–</w:t>
            </w:r>
          </w:p>
        </w:tc>
        <w:tc>
          <w:tcPr>
            <w:tcW w:w="907" w:type="dxa"/>
            <w:tcBorders>
              <w:top w:val="single" w:sz="4" w:space="0" w:color="A6A6A6"/>
              <w:bottom w:val="single" w:sz="4" w:space="0" w:color="A6A6A6"/>
            </w:tcBorders>
            <w:noWrap/>
            <w:hideMark/>
          </w:tcPr>
          <w:p w14:paraId="7E68938D" w14:textId="77777777" w:rsidR="005F4A7E" w:rsidRPr="002029AF" w:rsidRDefault="005F4A7E" w:rsidP="00130D1C">
            <w:pPr>
              <w:pStyle w:val="ARfintablebodyright"/>
              <w:ind w:right="57"/>
            </w:pPr>
            <w:r w:rsidRPr="008B06FF">
              <w:t>–</w:t>
            </w:r>
          </w:p>
        </w:tc>
        <w:tc>
          <w:tcPr>
            <w:tcW w:w="907" w:type="dxa"/>
            <w:tcBorders>
              <w:top w:val="single" w:sz="4" w:space="0" w:color="A6A6A6"/>
              <w:bottom w:val="single" w:sz="4" w:space="0" w:color="A6A6A6"/>
            </w:tcBorders>
            <w:noWrap/>
            <w:hideMark/>
          </w:tcPr>
          <w:p w14:paraId="0CF18AC0" w14:textId="77777777" w:rsidR="005F4A7E" w:rsidRPr="002029AF" w:rsidRDefault="005F4A7E" w:rsidP="00130D1C">
            <w:pPr>
              <w:pStyle w:val="ARfintablebodyright"/>
              <w:ind w:right="57"/>
            </w:pPr>
            <w:r w:rsidRPr="008B06FF">
              <w:t>–</w:t>
            </w:r>
          </w:p>
        </w:tc>
      </w:tr>
      <w:tr w:rsidR="005F4A7E" w:rsidRPr="002029AF" w14:paraId="20C186A9" w14:textId="77777777" w:rsidTr="00860E95">
        <w:tc>
          <w:tcPr>
            <w:tcW w:w="3574" w:type="dxa"/>
            <w:tcBorders>
              <w:top w:val="single" w:sz="4" w:space="0" w:color="A6A6A6"/>
            </w:tcBorders>
            <w:noWrap/>
            <w:hideMark/>
          </w:tcPr>
          <w:p w14:paraId="1610B5D0" w14:textId="77777777" w:rsidR="005F4A7E" w:rsidRPr="002029AF" w:rsidRDefault="005F4A7E" w:rsidP="00130D1C">
            <w:pPr>
              <w:pStyle w:val="ARfintablebody"/>
            </w:pPr>
            <w:r w:rsidRPr="008B06FF">
              <w:t>Anzac Day Proceeds Fund</w:t>
            </w:r>
          </w:p>
        </w:tc>
        <w:tc>
          <w:tcPr>
            <w:tcW w:w="908" w:type="dxa"/>
            <w:tcBorders>
              <w:top w:val="single" w:sz="4" w:space="0" w:color="A6A6A6"/>
              <w:right w:val="nil"/>
            </w:tcBorders>
            <w:shd w:val="clear" w:color="auto" w:fill="E7E6E6"/>
            <w:noWrap/>
            <w:hideMark/>
          </w:tcPr>
          <w:p w14:paraId="1A1B97CC" w14:textId="77777777" w:rsidR="005F4A7E" w:rsidRPr="002029AF" w:rsidRDefault="005F4A7E" w:rsidP="00130D1C">
            <w:pPr>
              <w:pStyle w:val="ARfintablebodyright"/>
              <w:ind w:right="57"/>
            </w:pPr>
            <w:r w:rsidRPr="008B06FF">
              <w:t>–</w:t>
            </w:r>
          </w:p>
        </w:tc>
        <w:tc>
          <w:tcPr>
            <w:tcW w:w="907" w:type="dxa"/>
            <w:tcBorders>
              <w:top w:val="single" w:sz="4" w:space="0" w:color="A6A6A6"/>
              <w:left w:val="nil"/>
              <w:right w:val="nil"/>
            </w:tcBorders>
            <w:shd w:val="clear" w:color="auto" w:fill="E7E6E6"/>
            <w:noWrap/>
            <w:hideMark/>
          </w:tcPr>
          <w:p w14:paraId="2F9B3F88" w14:textId="77777777" w:rsidR="005F4A7E" w:rsidRPr="002029AF" w:rsidRDefault="005F4A7E" w:rsidP="00130D1C">
            <w:pPr>
              <w:pStyle w:val="ARfintablebodyright"/>
              <w:ind w:right="57"/>
            </w:pPr>
            <w:r w:rsidRPr="008B06FF">
              <w:t>–</w:t>
            </w:r>
          </w:p>
        </w:tc>
        <w:tc>
          <w:tcPr>
            <w:tcW w:w="907" w:type="dxa"/>
            <w:tcBorders>
              <w:top w:val="single" w:sz="4" w:space="0" w:color="A6A6A6"/>
              <w:left w:val="nil"/>
              <w:right w:val="nil"/>
            </w:tcBorders>
            <w:shd w:val="clear" w:color="auto" w:fill="E7E6E6"/>
            <w:noWrap/>
            <w:hideMark/>
          </w:tcPr>
          <w:p w14:paraId="71E116C0" w14:textId="77777777" w:rsidR="005F4A7E" w:rsidRPr="002029AF" w:rsidRDefault="005F4A7E" w:rsidP="00130D1C">
            <w:pPr>
              <w:pStyle w:val="ARfintablebodyright"/>
              <w:ind w:right="57"/>
            </w:pPr>
            <w:r w:rsidRPr="008B06FF">
              <w:t>0.5</w:t>
            </w:r>
          </w:p>
        </w:tc>
        <w:tc>
          <w:tcPr>
            <w:tcW w:w="907" w:type="dxa"/>
            <w:tcBorders>
              <w:top w:val="single" w:sz="4" w:space="0" w:color="A6A6A6"/>
              <w:left w:val="nil"/>
              <w:right w:val="nil"/>
            </w:tcBorders>
            <w:shd w:val="clear" w:color="auto" w:fill="E7E6E6"/>
            <w:noWrap/>
            <w:hideMark/>
          </w:tcPr>
          <w:p w14:paraId="6332B57D" w14:textId="77777777" w:rsidR="005F4A7E" w:rsidRPr="002029AF" w:rsidRDefault="005F4A7E" w:rsidP="00130D1C">
            <w:pPr>
              <w:pStyle w:val="ARfintablebodyright"/>
              <w:ind w:right="57"/>
            </w:pPr>
            <w:r w:rsidRPr="008B06FF">
              <w:t>0.2</w:t>
            </w:r>
          </w:p>
        </w:tc>
        <w:tc>
          <w:tcPr>
            <w:tcW w:w="907" w:type="dxa"/>
            <w:tcBorders>
              <w:top w:val="single" w:sz="4" w:space="0" w:color="A6A6A6"/>
              <w:left w:val="nil"/>
              <w:right w:val="nil"/>
            </w:tcBorders>
            <w:shd w:val="clear" w:color="auto" w:fill="E7E6E6"/>
            <w:noWrap/>
            <w:hideMark/>
          </w:tcPr>
          <w:p w14:paraId="2B69726C" w14:textId="77777777" w:rsidR="005F4A7E" w:rsidRPr="002029AF" w:rsidRDefault="005F4A7E" w:rsidP="00130D1C">
            <w:pPr>
              <w:pStyle w:val="ARfintablebodyright"/>
              <w:ind w:right="57"/>
            </w:pPr>
            <w:r w:rsidRPr="008B06FF">
              <w:t>–</w:t>
            </w:r>
          </w:p>
        </w:tc>
        <w:tc>
          <w:tcPr>
            <w:tcW w:w="907" w:type="dxa"/>
            <w:tcBorders>
              <w:top w:val="single" w:sz="4" w:space="0" w:color="A6A6A6"/>
              <w:left w:val="nil"/>
            </w:tcBorders>
            <w:shd w:val="clear" w:color="auto" w:fill="E7E6E6"/>
            <w:noWrap/>
            <w:hideMark/>
          </w:tcPr>
          <w:p w14:paraId="0757764D" w14:textId="77777777" w:rsidR="005F4A7E" w:rsidRPr="002029AF" w:rsidRDefault="005F4A7E" w:rsidP="00130D1C">
            <w:pPr>
              <w:pStyle w:val="ARfintablebodyright"/>
              <w:ind w:right="57"/>
            </w:pPr>
            <w:r w:rsidRPr="008B06FF">
              <w:t>0.3</w:t>
            </w:r>
          </w:p>
        </w:tc>
        <w:tc>
          <w:tcPr>
            <w:tcW w:w="907" w:type="dxa"/>
            <w:tcBorders>
              <w:top w:val="single" w:sz="4" w:space="0" w:color="A6A6A6"/>
            </w:tcBorders>
            <w:noWrap/>
            <w:hideMark/>
          </w:tcPr>
          <w:p w14:paraId="41620C03" w14:textId="77777777" w:rsidR="005F4A7E" w:rsidRPr="002029AF" w:rsidRDefault="005F4A7E" w:rsidP="00130D1C">
            <w:pPr>
              <w:pStyle w:val="ARfintablebodyright"/>
              <w:ind w:right="57"/>
            </w:pPr>
            <w:r w:rsidRPr="008B06FF">
              <w:t>–</w:t>
            </w:r>
          </w:p>
        </w:tc>
        <w:tc>
          <w:tcPr>
            <w:tcW w:w="907" w:type="dxa"/>
            <w:tcBorders>
              <w:top w:val="single" w:sz="4" w:space="0" w:color="A6A6A6"/>
            </w:tcBorders>
            <w:noWrap/>
            <w:hideMark/>
          </w:tcPr>
          <w:p w14:paraId="6973B717" w14:textId="77777777" w:rsidR="005F4A7E" w:rsidRPr="002029AF" w:rsidRDefault="005F4A7E" w:rsidP="00130D1C">
            <w:pPr>
              <w:pStyle w:val="ARfintablebodyright"/>
              <w:ind w:right="57"/>
            </w:pPr>
            <w:r w:rsidRPr="008B06FF">
              <w:t>–</w:t>
            </w:r>
          </w:p>
        </w:tc>
        <w:tc>
          <w:tcPr>
            <w:tcW w:w="907" w:type="dxa"/>
            <w:tcBorders>
              <w:top w:val="single" w:sz="4" w:space="0" w:color="A6A6A6"/>
            </w:tcBorders>
            <w:noWrap/>
            <w:hideMark/>
          </w:tcPr>
          <w:p w14:paraId="1743CBB1" w14:textId="77777777" w:rsidR="005F4A7E" w:rsidRPr="002029AF" w:rsidRDefault="005F4A7E" w:rsidP="00130D1C">
            <w:pPr>
              <w:pStyle w:val="ARfintablebodyright"/>
              <w:ind w:right="57"/>
            </w:pPr>
            <w:r w:rsidRPr="008B06FF">
              <w:t>–</w:t>
            </w:r>
          </w:p>
        </w:tc>
        <w:tc>
          <w:tcPr>
            <w:tcW w:w="907" w:type="dxa"/>
            <w:tcBorders>
              <w:top w:val="single" w:sz="4" w:space="0" w:color="A6A6A6"/>
            </w:tcBorders>
            <w:noWrap/>
            <w:hideMark/>
          </w:tcPr>
          <w:p w14:paraId="1EEA1314" w14:textId="77777777" w:rsidR="005F4A7E" w:rsidRPr="002029AF" w:rsidRDefault="005F4A7E" w:rsidP="00130D1C">
            <w:pPr>
              <w:pStyle w:val="ARfintablebodyright"/>
              <w:ind w:right="57"/>
            </w:pPr>
            <w:r w:rsidRPr="008B06FF">
              <w:t>–</w:t>
            </w:r>
          </w:p>
        </w:tc>
        <w:tc>
          <w:tcPr>
            <w:tcW w:w="907" w:type="dxa"/>
            <w:tcBorders>
              <w:top w:val="single" w:sz="4" w:space="0" w:color="A6A6A6"/>
            </w:tcBorders>
            <w:noWrap/>
            <w:hideMark/>
          </w:tcPr>
          <w:p w14:paraId="14EAAE93" w14:textId="77777777" w:rsidR="005F4A7E" w:rsidRPr="002029AF" w:rsidRDefault="005F4A7E" w:rsidP="00130D1C">
            <w:pPr>
              <w:pStyle w:val="ARfintablebodyright"/>
              <w:ind w:right="57"/>
            </w:pPr>
            <w:r w:rsidRPr="008B06FF">
              <w:t>–</w:t>
            </w:r>
          </w:p>
        </w:tc>
        <w:tc>
          <w:tcPr>
            <w:tcW w:w="907" w:type="dxa"/>
            <w:tcBorders>
              <w:top w:val="single" w:sz="4" w:space="0" w:color="A6A6A6"/>
            </w:tcBorders>
            <w:noWrap/>
            <w:hideMark/>
          </w:tcPr>
          <w:p w14:paraId="0A37FBBF" w14:textId="77777777" w:rsidR="005F4A7E" w:rsidRPr="002029AF" w:rsidRDefault="005F4A7E" w:rsidP="00130D1C">
            <w:pPr>
              <w:pStyle w:val="ARfintablebodyright"/>
              <w:ind w:right="57"/>
            </w:pPr>
            <w:r w:rsidRPr="008B06FF">
              <w:t>–</w:t>
            </w:r>
          </w:p>
        </w:tc>
      </w:tr>
      <w:tr w:rsidR="005F4A7E" w:rsidRPr="002029AF" w14:paraId="72E5E95A" w14:textId="77777777" w:rsidTr="00860E95">
        <w:tc>
          <w:tcPr>
            <w:tcW w:w="3574" w:type="dxa"/>
            <w:hideMark/>
          </w:tcPr>
          <w:p w14:paraId="3B57C4AE" w14:textId="77777777" w:rsidR="005F4A7E" w:rsidRPr="002029AF" w:rsidRDefault="005F4A7E" w:rsidP="00130D1C">
            <w:pPr>
              <w:pStyle w:val="ARfintablebodybold"/>
            </w:pPr>
            <w:r w:rsidRPr="008B06FF">
              <w:t>Total controlled trusts</w:t>
            </w:r>
          </w:p>
        </w:tc>
        <w:tc>
          <w:tcPr>
            <w:tcW w:w="908" w:type="dxa"/>
            <w:tcBorders>
              <w:right w:val="nil"/>
            </w:tcBorders>
            <w:shd w:val="clear" w:color="auto" w:fill="E7E6E6"/>
            <w:noWrap/>
            <w:hideMark/>
          </w:tcPr>
          <w:p w14:paraId="31212566" w14:textId="77777777" w:rsidR="005F4A7E" w:rsidRPr="002029AF" w:rsidRDefault="005F4A7E" w:rsidP="00130D1C">
            <w:pPr>
              <w:pStyle w:val="ARfintablebodyrightbold"/>
              <w:ind w:right="57"/>
            </w:pPr>
            <w:r w:rsidRPr="008B06FF">
              <w:t>151.9</w:t>
            </w:r>
          </w:p>
        </w:tc>
        <w:tc>
          <w:tcPr>
            <w:tcW w:w="907" w:type="dxa"/>
            <w:tcBorders>
              <w:left w:val="nil"/>
              <w:right w:val="nil"/>
            </w:tcBorders>
            <w:shd w:val="clear" w:color="auto" w:fill="E7E6E6"/>
            <w:noWrap/>
            <w:hideMark/>
          </w:tcPr>
          <w:p w14:paraId="5FA479E4" w14:textId="77777777" w:rsidR="005F4A7E" w:rsidRPr="002029AF" w:rsidRDefault="005F4A7E" w:rsidP="00130D1C">
            <w:pPr>
              <w:pStyle w:val="ARfintablebodyrightbold"/>
              <w:ind w:right="57"/>
            </w:pPr>
            <w:r w:rsidRPr="008B06FF">
              <w:t>1.5</w:t>
            </w:r>
          </w:p>
        </w:tc>
        <w:tc>
          <w:tcPr>
            <w:tcW w:w="907" w:type="dxa"/>
            <w:tcBorders>
              <w:left w:val="nil"/>
              <w:right w:val="nil"/>
            </w:tcBorders>
            <w:shd w:val="clear" w:color="auto" w:fill="E7E6E6"/>
            <w:noWrap/>
            <w:hideMark/>
          </w:tcPr>
          <w:p w14:paraId="43E516BD" w14:textId="77777777" w:rsidR="005F4A7E" w:rsidRPr="002029AF" w:rsidRDefault="005F4A7E" w:rsidP="00130D1C">
            <w:pPr>
              <w:pStyle w:val="ARfintablebodyrightbold"/>
              <w:ind w:right="57"/>
            </w:pPr>
            <w:r w:rsidRPr="008B06FF">
              <w:t>6,620.0</w:t>
            </w:r>
          </w:p>
        </w:tc>
        <w:tc>
          <w:tcPr>
            <w:tcW w:w="907" w:type="dxa"/>
            <w:tcBorders>
              <w:left w:val="nil"/>
              <w:right w:val="nil"/>
            </w:tcBorders>
            <w:shd w:val="clear" w:color="auto" w:fill="E7E6E6"/>
            <w:noWrap/>
            <w:hideMark/>
          </w:tcPr>
          <w:p w14:paraId="46A6349D" w14:textId="77777777" w:rsidR="005F4A7E" w:rsidRPr="002029AF" w:rsidRDefault="005F4A7E" w:rsidP="00130D1C">
            <w:pPr>
              <w:pStyle w:val="ARfintablebodyrightbold"/>
              <w:ind w:right="57"/>
            </w:pPr>
            <w:r w:rsidRPr="008B06FF">
              <w:t>6,383.8</w:t>
            </w:r>
          </w:p>
        </w:tc>
        <w:tc>
          <w:tcPr>
            <w:tcW w:w="907" w:type="dxa"/>
            <w:tcBorders>
              <w:left w:val="nil"/>
              <w:right w:val="nil"/>
            </w:tcBorders>
            <w:shd w:val="clear" w:color="auto" w:fill="E7E6E6"/>
            <w:noWrap/>
            <w:hideMark/>
          </w:tcPr>
          <w:p w14:paraId="713D50B6" w14:textId="77777777" w:rsidR="005F4A7E" w:rsidRPr="002029AF" w:rsidRDefault="005F4A7E" w:rsidP="00130D1C">
            <w:pPr>
              <w:pStyle w:val="ARfintablebodyrightbold"/>
              <w:ind w:right="57"/>
            </w:pPr>
            <w:r w:rsidRPr="008B06FF">
              <w:t>(214.8)</w:t>
            </w:r>
          </w:p>
        </w:tc>
        <w:tc>
          <w:tcPr>
            <w:tcW w:w="907" w:type="dxa"/>
            <w:tcBorders>
              <w:left w:val="nil"/>
            </w:tcBorders>
            <w:shd w:val="clear" w:color="auto" w:fill="E7E6E6"/>
            <w:noWrap/>
            <w:hideMark/>
          </w:tcPr>
          <w:p w14:paraId="584E429D" w14:textId="77777777" w:rsidR="005F4A7E" w:rsidRPr="002029AF" w:rsidRDefault="005F4A7E" w:rsidP="00130D1C">
            <w:pPr>
              <w:pStyle w:val="ARfintablebodyrightbold"/>
              <w:ind w:right="57"/>
            </w:pPr>
            <w:r w:rsidRPr="008B06FF">
              <w:t>174.9</w:t>
            </w:r>
          </w:p>
        </w:tc>
        <w:tc>
          <w:tcPr>
            <w:tcW w:w="907" w:type="dxa"/>
            <w:noWrap/>
            <w:hideMark/>
          </w:tcPr>
          <w:p w14:paraId="4D5E5B79" w14:textId="77777777" w:rsidR="005F4A7E" w:rsidRPr="002029AF" w:rsidRDefault="005F4A7E" w:rsidP="00130D1C">
            <w:pPr>
              <w:pStyle w:val="ARfintablebodyrightbold"/>
              <w:ind w:right="57"/>
            </w:pPr>
            <w:r w:rsidRPr="008B06FF">
              <w:t>344.3</w:t>
            </w:r>
          </w:p>
        </w:tc>
        <w:tc>
          <w:tcPr>
            <w:tcW w:w="907" w:type="dxa"/>
            <w:noWrap/>
            <w:hideMark/>
          </w:tcPr>
          <w:p w14:paraId="37E81403" w14:textId="77777777" w:rsidR="005F4A7E" w:rsidRPr="002029AF" w:rsidRDefault="005F4A7E" w:rsidP="00130D1C">
            <w:pPr>
              <w:pStyle w:val="ARfintablebodyrightbold"/>
              <w:ind w:right="57"/>
            </w:pPr>
            <w:r w:rsidRPr="008B06FF">
              <w:t>2.1</w:t>
            </w:r>
          </w:p>
        </w:tc>
        <w:tc>
          <w:tcPr>
            <w:tcW w:w="907" w:type="dxa"/>
            <w:noWrap/>
            <w:hideMark/>
          </w:tcPr>
          <w:p w14:paraId="5D5495DF" w14:textId="77777777" w:rsidR="005F4A7E" w:rsidRPr="002029AF" w:rsidRDefault="005F4A7E" w:rsidP="00130D1C">
            <w:pPr>
              <w:pStyle w:val="ARfintablebodyrightbold"/>
              <w:ind w:right="57"/>
            </w:pPr>
            <w:r w:rsidRPr="008B06FF">
              <w:t>5,275.7</w:t>
            </w:r>
          </w:p>
        </w:tc>
        <w:tc>
          <w:tcPr>
            <w:tcW w:w="907" w:type="dxa"/>
            <w:noWrap/>
            <w:hideMark/>
          </w:tcPr>
          <w:p w14:paraId="1106839A" w14:textId="77777777" w:rsidR="005F4A7E" w:rsidRPr="002029AF" w:rsidRDefault="005F4A7E" w:rsidP="00130D1C">
            <w:pPr>
              <w:pStyle w:val="ARfintablebodyrightbold"/>
              <w:ind w:right="57"/>
            </w:pPr>
            <w:r w:rsidRPr="008B06FF">
              <w:t>5,096.7</w:t>
            </w:r>
          </w:p>
        </w:tc>
        <w:tc>
          <w:tcPr>
            <w:tcW w:w="907" w:type="dxa"/>
            <w:noWrap/>
            <w:hideMark/>
          </w:tcPr>
          <w:p w14:paraId="41F35A86" w14:textId="77777777" w:rsidR="005F4A7E" w:rsidRPr="002029AF" w:rsidRDefault="005F4A7E" w:rsidP="00130D1C">
            <w:pPr>
              <w:pStyle w:val="ARfintablebodyrightbold"/>
              <w:ind w:right="57"/>
            </w:pPr>
            <w:r w:rsidRPr="008B06FF">
              <w:t>(373.4)</w:t>
            </w:r>
          </w:p>
        </w:tc>
        <w:tc>
          <w:tcPr>
            <w:tcW w:w="907" w:type="dxa"/>
            <w:noWrap/>
            <w:hideMark/>
          </w:tcPr>
          <w:p w14:paraId="2FE4ADA2" w14:textId="77777777" w:rsidR="005F4A7E" w:rsidRPr="002029AF" w:rsidRDefault="005F4A7E" w:rsidP="00130D1C">
            <w:pPr>
              <w:pStyle w:val="ARfintablebodyrightbold"/>
              <w:ind w:right="57"/>
            </w:pPr>
            <w:r w:rsidRPr="008B06FF">
              <w:t>151.9</w:t>
            </w:r>
          </w:p>
        </w:tc>
      </w:tr>
      <w:tr w:rsidR="005F4A7E" w:rsidRPr="002029AF" w14:paraId="2DD619AF" w14:textId="77777777" w:rsidTr="00860E95">
        <w:tc>
          <w:tcPr>
            <w:tcW w:w="14459" w:type="dxa"/>
            <w:gridSpan w:val="13"/>
          </w:tcPr>
          <w:p w14:paraId="7936292A" w14:textId="77777777" w:rsidR="005F4A7E" w:rsidRPr="002029AF" w:rsidRDefault="005F4A7E" w:rsidP="00130D1C">
            <w:pPr>
              <w:pStyle w:val="ARfintablebodybold"/>
              <w:pageBreakBefore/>
            </w:pPr>
            <w:r w:rsidRPr="008B06FF">
              <w:lastRenderedPageBreak/>
              <w:t>Administered trusts</w:t>
            </w:r>
          </w:p>
        </w:tc>
      </w:tr>
      <w:tr w:rsidR="005F4A7E" w:rsidRPr="002029AF" w14:paraId="5642A0CB" w14:textId="77777777" w:rsidTr="00860E95">
        <w:tc>
          <w:tcPr>
            <w:tcW w:w="3574" w:type="dxa"/>
          </w:tcPr>
          <w:p w14:paraId="09A417EF" w14:textId="77777777" w:rsidR="005F4A7E" w:rsidRPr="002029AF" w:rsidRDefault="005F4A7E" w:rsidP="00130D1C">
            <w:pPr>
              <w:pStyle w:val="ARfintablebody"/>
            </w:pPr>
            <w:r w:rsidRPr="008B06FF">
              <w:t>National Disability Insurance Scheme Trust Account</w:t>
            </w:r>
          </w:p>
        </w:tc>
        <w:tc>
          <w:tcPr>
            <w:tcW w:w="908" w:type="dxa"/>
            <w:tcBorders>
              <w:right w:val="nil"/>
            </w:tcBorders>
            <w:shd w:val="clear" w:color="auto" w:fill="E7E6E6"/>
            <w:noWrap/>
          </w:tcPr>
          <w:p w14:paraId="7736D8A1" w14:textId="77777777" w:rsidR="005F4A7E" w:rsidRPr="002029AF" w:rsidRDefault="005F4A7E" w:rsidP="00130D1C">
            <w:pPr>
              <w:pStyle w:val="ARfintablebodyright"/>
              <w:ind w:right="57"/>
            </w:pPr>
            <w:r w:rsidRPr="008B06FF">
              <w:t>–</w:t>
            </w:r>
          </w:p>
        </w:tc>
        <w:tc>
          <w:tcPr>
            <w:tcW w:w="907" w:type="dxa"/>
            <w:tcBorders>
              <w:left w:val="nil"/>
              <w:right w:val="nil"/>
            </w:tcBorders>
            <w:shd w:val="clear" w:color="auto" w:fill="E7E6E6"/>
            <w:noWrap/>
          </w:tcPr>
          <w:p w14:paraId="0E218A28" w14:textId="77777777" w:rsidR="005F4A7E" w:rsidRPr="002029AF" w:rsidRDefault="005F4A7E" w:rsidP="00130D1C">
            <w:pPr>
              <w:pStyle w:val="ARfintablebodyright"/>
              <w:ind w:right="57"/>
            </w:pPr>
            <w:r w:rsidRPr="008B06FF">
              <w:t>–</w:t>
            </w:r>
          </w:p>
        </w:tc>
        <w:tc>
          <w:tcPr>
            <w:tcW w:w="907" w:type="dxa"/>
            <w:tcBorders>
              <w:left w:val="nil"/>
              <w:right w:val="nil"/>
            </w:tcBorders>
            <w:shd w:val="clear" w:color="auto" w:fill="E7E6E6"/>
            <w:noWrap/>
          </w:tcPr>
          <w:p w14:paraId="37BDE923" w14:textId="77777777" w:rsidR="005F4A7E" w:rsidRPr="002029AF" w:rsidRDefault="005F4A7E" w:rsidP="00130D1C">
            <w:pPr>
              <w:pStyle w:val="ARfintablebodyright"/>
              <w:ind w:right="57"/>
            </w:pPr>
            <w:r w:rsidRPr="008B06FF">
              <w:t>1,871.2</w:t>
            </w:r>
          </w:p>
        </w:tc>
        <w:tc>
          <w:tcPr>
            <w:tcW w:w="907" w:type="dxa"/>
            <w:tcBorders>
              <w:left w:val="nil"/>
              <w:right w:val="nil"/>
            </w:tcBorders>
            <w:shd w:val="clear" w:color="auto" w:fill="E7E6E6"/>
            <w:noWrap/>
          </w:tcPr>
          <w:p w14:paraId="0BA5BDEF" w14:textId="77777777" w:rsidR="005F4A7E" w:rsidRPr="002029AF" w:rsidRDefault="005F4A7E" w:rsidP="00130D1C">
            <w:pPr>
              <w:pStyle w:val="ARfintablebodyright"/>
              <w:ind w:right="57"/>
            </w:pPr>
            <w:r w:rsidRPr="008B06FF">
              <w:t>2,016.2</w:t>
            </w:r>
          </w:p>
        </w:tc>
        <w:tc>
          <w:tcPr>
            <w:tcW w:w="907" w:type="dxa"/>
            <w:tcBorders>
              <w:left w:val="nil"/>
              <w:right w:val="nil"/>
            </w:tcBorders>
            <w:shd w:val="clear" w:color="auto" w:fill="E7E6E6"/>
            <w:noWrap/>
          </w:tcPr>
          <w:p w14:paraId="7074219C" w14:textId="77777777" w:rsidR="005F4A7E" w:rsidRPr="002029AF" w:rsidRDefault="005F4A7E" w:rsidP="00130D1C">
            <w:pPr>
              <w:pStyle w:val="ARfintablebodyright"/>
              <w:ind w:right="57"/>
            </w:pPr>
            <w:r w:rsidRPr="008B06FF">
              <w:t>145.0</w:t>
            </w:r>
          </w:p>
        </w:tc>
        <w:tc>
          <w:tcPr>
            <w:tcW w:w="907" w:type="dxa"/>
            <w:tcBorders>
              <w:left w:val="nil"/>
            </w:tcBorders>
            <w:shd w:val="clear" w:color="auto" w:fill="E7E6E6"/>
            <w:noWrap/>
          </w:tcPr>
          <w:p w14:paraId="323A48D2" w14:textId="77777777" w:rsidR="005F4A7E" w:rsidRPr="002029AF" w:rsidRDefault="005F4A7E" w:rsidP="00130D1C">
            <w:pPr>
              <w:pStyle w:val="ARfintablebodyright"/>
              <w:ind w:right="57"/>
            </w:pPr>
            <w:r w:rsidRPr="008B06FF">
              <w:t>–</w:t>
            </w:r>
          </w:p>
        </w:tc>
        <w:tc>
          <w:tcPr>
            <w:tcW w:w="907" w:type="dxa"/>
            <w:noWrap/>
          </w:tcPr>
          <w:p w14:paraId="0108708B" w14:textId="77777777" w:rsidR="005F4A7E" w:rsidRPr="002029AF" w:rsidRDefault="005F4A7E" w:rsidP="00130D1C">
            <w:pPr>
              <w:pStyle w:val="ARfintablebodyright"/>
              <w:ind w:right="57"/>
            </w:pPr>
            <w:r w:rsidRPr="008B06FF">
              <w:t>73.1</w:t>
            </w:r>
          </w:p>
        </w:tc>
        <w:tc>
          <w:tcPr>
            <w:tcW w:w="907" w:type="dxa"/>
            <w:noWrap/>
          </w:tcPr>
          <w:p w14:paraId="3BD22637" w14:textId="77777777" w:rsidR="005F4A7E" w:rsidRPr="002029AF" w:rsidRDefault="005F4A7E" w:rsidP="00130D1C">
            <w:pPr>
              <w:pStyle w:val="ARfintablebodyright"/>
              <w:ind w:right="57"/>
            </w:pPr>
            <w:r w:rsidRPr="008B06FF">
              <w:t>–</w:t>
            </w:r>
          </w:p>
        </w:tc>
        <w:tc>
          <w:tcPr>
            <w:tcW w:w="907" w:type="dxa"/>
            <w:noWrap/>
          </w:tcPr>
          <w:p w14:paraId="0810DBC9" w14:textId="77777777" w:rsidR="005F4A7E" w:rsidRPr="002029AF" w:rsidRDefault="005F4A7E" w:rsidP="00130D1C">
            <w:pPr>
              <w:pStyle w:val="ARfintablebodyright"/>
              <w:ind w:right="57"/>
            </w:pPr>
            <w:r w:rsidRPr="008B06FF">
              <w:t>1,577.8</w:t>
            </w:r>
          </w:p>
        </w:tc>
        <w:tc>
          <w:tcPr>
            <w:tcW w:w="907" w:type="dxa"/>
            <w:noWrap/>
          </w:tcPr>
          <w:p w14:paraId="09CC57C2" w14:textId="77777777" w:rsidR="005F4A7E" w:rsidRPr="002029AF" w:rsidRDefault="005F4A7E" w:rsidP="00130D1C">
            <w:pPr>
              <w:pStyle w:val="ARfintablebodyright"/>
              <w:ind w:right="57"/>
            </w:pPr>
            <w:r w:rsidRPr="008B06FF">
              <w:t>1,231.8</w:t>
            </w:r>
          </w:p>
        </w:tc>
        <w:tc>
          <w:tcPr>
            <w:tcW w:w="907" w:type="dxa"/>
            <w:noWrap/>
          </w:tcPr>
          <w:p w14:paraId="7F4F679E" w14:textId="77777777" w:rsidR="005F4A7E" w:rsidRPr="002029AF" w:rsidRDefault="005F4A7E" w:rsidP="00130D1C">
            <w:pPr>
              <w:pStyle w:val="ARfintablebodyright"/>
              <w:ind w:right="57"/>
            </w:pPr>
            <w:r w:rsidRPr="008B06FF">
              <w:t>(419.1)</w:t>
            </w:r>
          </w:p>
        </w:tc>
        <w:tc>
          <w:tcPr>
            <w:tcW w:w="907" w:type="dxa"/>
            <w:noWrap/>
          </w:tcPr>
          <w:p w14:paraId="244716CE" w14:textId="77777777" w:rsidR="005F4A7E" w:rsidRPr="002029AF" w:rsidRDefault="005F4A7E" w:rsidP="00130D1C">
            <w:pPr>
              <w:pStyle w:val="ARfintablebodyright"/>
              <w:ind w:right="57"/>
            </w:pPr>
            <w:r w:rsidRPr="008B06FF">
              <w:t>–</w:t>
            </w:r>
          </w:p>
        </w:tc>
      </w:tr>
      <w:tr w:rsidR="005F4A7E" w:rsidRPr="002029AF" w14:paraId="11BC2FAB" w14:textId="77777777" w:rsidTr="00860E95">
        <w:tc>
          <w:tcPr>
            <w:tcW w:w="3574" w:type="dxa"/>
          </w:tcPr>
          <w:p w14:paraId="551F8248" w14:textId="77777777" w:rsidR="005F4A7E" w:rsidRPr="002029AF" w:rsidRDefault="005F4A7E" w:rsidP="00130D1C">
            <w:pPr>
              <w:pStyle w:val="ARfintablebody"/>
            </w:pPr>
            <w:r w:rsidRPr="008B06FF">
              <w:t>National Health Funding Pool – Victoria State Pool Account</w:t>
            </w:r>
          </w:p>
        </w:tc>
        <w:tc>
          <w:tcPr>
            <w:tcW w:w="908" w:type="dxa"/>
            <w:tcBorders>
              <w:right w:val="nil"/>
            </w:tcBorders>
            <w:shd w:val="clear" w:color="auto" w:fill="E7E6E6"/>
            <w:noWrap/>
          </w:tcPr>
          <w:p w14:paraId="34D5EBA2" w14:textId="77777777" w:rsidR="005F4A7E" w:rsidRPr="002029AF" w:rsidRDefault="005F4A7E" w:rsidP="00130D1C">
            <w:pPr>
              <w:pStyle w:val="ARfintablebodyright"/>
              <w:ind w:right="57"/>
            </w:pPr>
            <w:r w:rsidRPr="008B06FF">
              <w:t>–</w:t>
            </w:r>
          </w:p>
        </w:tc>
        <w:tc>
          <w:tcPr>
            <w:tcW w:w="907" w:type="dxa"/>
            <w:tcBorders>
              <w:left w:val="nil"/>
              <w:right w:val="nil"/>
            </w:tcBorders>
            <w:shd w:val="clear" w:color="auto" w:fill="E7E6E6"/>
            <w:noWrap/>
          </w:tcPr>
          <w:p w14:paraId="0DBD79C6" w14:textId="77777777" w:rsidR="005F4A7E" w:rsidRPr="002029AF" w:rsidRDefault="005F4A7E" w:rsidP="00130D1C">
            <w:pPr>
              <w:pStyle w:val="ARfintablebodyright"/>
              <w:ind w:right="57"/>
            </w:pPr>
            <w:r w:rsidRPr="008B06FF">
              <w:t>–</w:t>
            </w:r>
          </w:p>
        </w:tc>
        <w:tc>
          <w:tcPr>
            <w:tcW w:w="907" w:type="dxa"/>
            <w:tcBorders>
              <w:left w:val="nil"/>
              <w:right w:val="nil"/>
            </w:tcBorders>
            <w:shd w:val="clear" w:color="auto" w:fill="E7E6E6"/>
            <w:noWrap/>
          </w:tcPr>
          <w:p w14:paraId="38F56531" w14:textId="77777777" w:rsidR="005F4A7E" w:rsidRPr="002029AF" w:rsidRDefault="005F4A7E" w:rsidP="00130D1C">
            <w:pPr>
              <w:pStyle w:val="ARfintablebodyright"/>
              <w:ind w:right="57"/>
            </w:pPr>
            <w:r w:rsidRPr="008B06FF">
              <w:t>12,506.0</w:t>
            </w:r>
          </w:p>
        </w:tc>
        <w:tc>
          <w:tcPr>
            <w:tcW w:w="907" w:type="dxa"/>
            <w:tcBorders>
              <w:left w:val="nil"/>
              <w:right w:val="nil"/>
            </w:tcBorders>
            <w:shd w:val="clear" w:color="auto" w:fill="E7E6E6"/>
            <w:noWrap/>
          </w:tcPr>
          <w:p w14:paraId="3937CE7C" w14:textId="77777777" w:rsidR="005F4A7E" w:rsidRPr="002029AF" w:rsidRDefault="005F4A7E" w:rsidP="00130D1C">
            <w:pPr>
              <w:pStyle w:val="ARfintablebodyright"/>
              <w:ind w:right="57"/>
            </w:pPr>
            <w:r w:rsidRPr="008B06FF">
              <w:t>12,506.1</w:t>
            </w:r>
          </w:p>
        </w:tc>
        <w:tc>
          <w:tcPr>
            <w:tcW w:w="907" w:type="dxa"/>
            <w:tcBorders>
              <w:left w:val="nil"/>
              <w:right w:val="nil"/>
            </w:tcBorders>
            <w:shd w:val="clear" w:color="auto" w:fill="E7E6E6"/>
            <w:noWrap/>
          </w:tcPr>
          <w:p w14:paraId="2CF9420A" w14:textId="77777777" w:rsidR="005F4A7E" w:rsidRPr="002029AF" w:rsidRDefault="005F4A7E" w:rsidP="00130D1C">
            <w:pPr>
              <w:pStyle w:val="ARfintablebodyright"/>
              <w:ind w:right="57"/>
            </w:pPr>
            <w:r w:rsidRPr="008B06FF">
              <w:t>0.1</w:t>
            </w:r>
          </w:p>
        </w:tc>
        <w:tc>
          <w:tcPr>
            <w:tcW w:w="907" w:type="dxa"/>
            <w:tcBorders>
              <w:left w:val="nil"/>
            </w:tcBorders>
            <w:shd w:val="clear" w:color="auto" w:fill="E7E6E6"/>
            <w:noWrap/>
          </w:tcPr>
          <w:p w14:paraId="71674F0C" w14:textId="77777777" w:rsidR="005F4A7E" w:rsidRPr="002029AF" w:rsidRDefault="005F4A7E" w:rsidP="00130D1C">
            <w:pPr>
              <w:pStyle w:val="ARfintablebodyright"/>
              <w:ind w:right="57"/>
            </w:pPr>
            <w:r w:rsidRPr="008B06FF">
              <w:t>–</w:t>
            </w:r>
          </w:p>
        </w:tc>
        <w:tc>
          <w:tcPr>
            <w:tcW w:w="907" w:type="dxa"/>
            <w:noWrap/>
          </w:tcPr>
          <w:p w14:paraId="23508243" w14:textId="77777777" w:rsidR="005F4A7E" w:rsidRPr="002029AF" w:rsidRDefault="005F4A7E" w:rsidP="00130D1C">
            <w:pPr>
              <w:pStyle w:val="ARfintablebodyright"/>
              <w:ind w:right="57"/>
            </w:pPr>
            <w:r w:rsidRPr="008B06FF">
              <w:t>–</w:t>
            </w:r>
          </w:p>
        </w:tc>
        <w:tc>
          <w:tcPr>
            <w:tcW w:w="907" w:type="dxa"/>
            <w:noWrap/>
          </w:tcPr>
          <w:p w14:paraId="62A20467" w14:textId="77777777" w:rsidR="005F4A7E" w:rsidRPr="002029AF" w:rsidRDefault="005F4A7E" w:rsidP="00130D1C">
            <w:pPr>
              <w:pStyle w:val="ARfintablebodyright"/>
              <w:ind w:right="57"/>
            </w:pPr>
            <w:r w:rsidRPr="008B06FF">
              <w:t>–</w:t>
            </w:r>
          </w:p>
        </w:tc>
        <w:tc>
          <w:tcPr>
            <w:tcW w:w="907" w:type="dxa"/>
            <w:noWrap/>
          </w:tcPr>
          <w:p w14:paraId="7C8FC8DE" w14:textId="77777777" w:rsidR="005F4A7E" w:rsidRPr="002029AF" w:rsidRDefault="005F4A7E" w:rsidP="00130D1C">
            <w:pPr>
              <w:pStyle w:val="ARfintablebodyright"/>
              <w:ind w:right="57"/>
            </w:pPr>
            <w:r w:rsidRPr="008B06FF">
              <w:t>13,071.0</w:t>
            </w:r>
          </w:p>
        </w:tc>
        <w:tc>
          <w:tcPr>
            <w:tcW w:w="907" w:type="dxa"/>
            <w:noWrap/>
          </w:tcPr>
          <w:p w14:paraId="3319EA9B" w14:textId="77777777" w:rsidR="005F4A7E" w:rsidRPr="002029AF" w:rsidRDefault="005F4A7E" w:rsidP="00130D1C">
            <w:pPr>
              <w:pStyle w:val="ARfintablebodyright"/>
              <w:ind w:right="57"/>
            </w:pPr>
            <w:r w:rsidRPr="008B06FF">
              <w:t>13,071.0</w:t>
            </w:r>
          </w:p>
        </w:tc>
        <w:tc>
          <w:tcPr>
            <w:tcW w:w="907" w:type="dxa"/>
            <w:noWrap/>
          </w:tcPr>
          <w:p w14:paraId="0449FCD3" w14:textId="77777777" w:rsidR="005F4A7E" w:rsidRPr="002029AF" w:rsidRDefault="005F4A7E" w:rsidP="00130D1C">
            <w:pPr>
              <w:pStyle w:val="ARfintablebodyright"/>
              <w:ind w:right="57"/>
            </w:pPr>
            <w:r w:rsidRPr="008B06FF">
              <w:t>–</w:t>
            </w:r>
          </w:p>
        </w:tc>
        <w:tc>
          <w:tcPr>
            <w:tcW w:w="907" w:type="dxa"/>
            <w:noWrap/>
          </w:tcPr>
          <w:p w14:paraId="2574ED31" w14:textId="77777777" w:rsidR="005F4A7E" w:rsidRPr="002029AF" w:rsidRDefault="005F4A7E" w:rsidP="00130D1C">
            <w:pPr>
              <w:pStyle w:val="ARfintablebodyright"/>
              <w:ind w:right="57"/>
            </w:pPr>
            <w:r w:rsidRPr="008B06FF">
              <w:t>–</w:t>
            </w:r>
          </w:p>
        </w:tc>
      </w:tr>
      <w:tr w:rsidR="005F4A7E" w:rsidRPr="002029AF" w14:paraId="1234D340" w14:textId="77777777" w:rsidTr="00860E95">
        <w:tc>
          <w:tcPr>
            <w:tcW w:w="3574" w:type="dxa"/>
          </w:tcPr>
          <w:p w14:paraId="7B7D75CE" w14:textId="77777777" w:rsidR="005F4A7E" w:rsidRPr="002029AF" w:rsidRDefault="005F4A7E" w:rsidP="00130D1C">
            <w:pPr>
              <w:pStyle w:val="ARfintablebody"/>
            </w:pPr>
            <w:r w:rsidRPr="008B06FF">
              <w:t>Public Service Commuter Club</w:t>
            </w:r>
          </w:p>
        </w:tc>
        <w:tc>
          <w:tcPr>
            <w:tcW w:w="908" w:type="dxa"/>
            <w:tcBorders>
              <w:right w:val="nil"/>
            </w:tcBorders>
            <w:shd w:val="clear" w:color="auto" w:fill="E7E6E6"/>
            <w:noWrap/>
          </w:tcPr>
          <w:p w14:paraId="171D5301" w14:textId="77777777" w:rsidR="005F4A7E" w:rsidRPr="002029AF" w:rsidRDefault="005F4A7E" w:rsidP="00130D1C">
            <w:pPr>
              <w:pStyle w:val="ARfintablebodyright"/>
              <w:ind w:right="57"/>
            </w:pPr>
            <w:r w:rsidRPr="008B06FF">
              <w:t>(0.7)</w:t>
            </w:r>
          </w:p>
        </w:tc>
        <w:tc>
          <w:tcPr>
            <w:tcW w:w="907" w:type="dxa"/>
            <w:tcBorders>
              <w:left w:val="nil"/>
              <w:right w:val="nil"/>
            </w:tcBorders>
            <w:shd w:val="clear" w:color="auto" w:fill="E7E6E6"/>
            <w:noWrap/>
          </w:tcPr>
          <w:p w14:paraId="5B0607E2" w14:textId="77777777" w:rsidR="005F4A7E" w:rsidRPr="002029AF" w:rsidRDefault="005F4A7E" w:rsidP="00130D1C">
            <w:pPr>
              <w:pStyle w:val="ARfintablebodyright"/>
              <w:ind w:right="57"/>
            </w:pPr>
            <w:r w:rsidRPr="008B06FF">
              <w:t>–</w:t>
            </w:r>
          </w:p>
        </w:tc>
        <w:tc>
          <w:tcPr>
            <w:tcW w:w="907" w:type="dxa"/>
            <w:tcBorders>
              <w:left w:val="nil"/>
              <w:right w:val="nil"/>
            </w:tcBorders>
            <w:shd w:val="clear" w:color="auto" w:fill="E7E6E6"/>
            <w:noWrap/>
          </w:tcPr>
          <w:p w14:paraId="11693DA0" w14:textId="77777777" w:rsidR="005F4A7E" w:rsidRPr="002029AF" w:rsidRDefault="005F4A7E" w:rsidP="00130D1C">
            <w:pPr>
              <w:pStyle w:val="ARfintablebodyright"/>
              <w:ind w:right="57"/>
            </w:pPr>
            <w:r w:rsidRPr="008B06FF">
              <w:t>0.7</w:t>
            </w:r>
          </w:p>
        </w:tc>
        <w:tc>
          <w:tcPr>
            <w:tcW w:w="907" w:type="dxa"/>
            <w:tcBorders>
              <w:left w:val="nil"/>
              <w:right w:val="nil"/>
            </w:tcBorders>
            <w:shd w:val="clear" w:color="auto" w:fill="E7E6E6"/>
            <w:noWrap/>
          </w:tcPr>
          <w:p w14:paraId="0D6DD268" w14:textId="77777777" w:rsidR="005F4A7E" w:rsidRPr="002029AF" w:rsidRDefault="005F4A7E" w:rsidP="00130D1C">
            <w:pPr>
              <w:pStyle w:val="ARfintablebodyright"/>
              <w:ind w:right="57"/>
            </w:pPr>
            <w:r w:rsidRPr="008B06FF">
              <w:t>0.1</w:t>
            </w:r>
          </w:p>
        </w:tc>
        <w:tc>
          <w:tcPr>
            <w:tcW w:w="907" w:type="dxa"/>
            <w:tcBorders>
              <w:left w:val="nil"/>
              <w:right w:val="nil"/>
            </w:tcBorders>
            <w:shd w:val="clear" w:color="auto" w:fill="E7E6E6"/>
            <w:noWrap/>
          </w:tcPr>
          <w:p w14:paraId="492DAADC" w14:textId="77777777" w:rsidR="005F4A7E" w:rsidRPr="002029AF" w:rsidRDefault="005F4A7E" w:rsidP="00130D1C">
            <w:pPr>
              <w:pStyle w:val="ARfintablebodyright"/>
              <w:ind w:right="57"/>
            </w:pPr>
            <w:r w:rsidRPr="008B06FF">
              <w:t>–</w:t>
            </w:r>
          </w:p>
        </w:tc>
        <w:tc>
          <w:tcPr>
            <w:tcW w:w="907" w:type="dxa"/>
            <w:tcBorders>
              <w:left w:val="nil"/>
            </w:tcBorders>
            <w:shd w:val="clear" w:color="auto" w:fill="E7E6E6"/>
            <w:noWrap/>
          </w:tcPr>
          <w:p w14:paraId="780093E8" w14:textId="77777777" w:rsidR="005F4A7E" w:rsidRPr="002029AF" w:rsidRDefault="005F4A7E" w:rsidP="00130D1C">
            <w:pPr>
              <w:pStyle w:val="ARfintablebodyright"/>
              <w:ind w:right="57"/>
            </w:pPr>
            <w:r w:rsidRPr="008B06FF">
              <w:t>(0.1)</w:t>
            </w:r>
          </w:p>
        </w:tc>
        <w:tc>
          <w:tcPr>
            <w:tcW w:w="907" w:type="dxa"/>
            <w:noWrap/>
          </w:tcPr>
          <w:p w14:paraId="49373141" w14:textId="77777777" w:rsidR="005F4A7E" w:rsidRPr="002029AF" w:rsidRDefault="005F4A7E" w:rsidP="00130D1C">
            <w:pPr>
              <w:pStyle w:val="ARfintablebodyright"/>
              <w:ind w:right="57"/>
            </w:pPr>
            <w:r w:rsidRPr="008B06FF">
              <w:t>(1.0)</w:t>
            </w:r>
          </w:p>
        </w:tc>
        <w:tc>
          <w:tcPr>
            <w:tcW w:w="907" w:type="dxa"/>
            <w:noWrap/>
          </w:tcPr>
          <w:p w14:paraId="65695BC2" w14:textId="77777777" w:rsidR="005F4A7E" w:rsidRPr="002029AF" w:rsidRDefault="005F4A7E" w:rsidP="00130D1C">
            <w:pPr>
              <w:pStyle w:val="ARfintablebodyright"/>
              <w:ind w:right="57"/>
            </w:pPr>
            <w:r w:rsidRPr="008B06FF">
              <w:t>–</w:t>
            </w:r>
          </w:p>
        </w:tc>
        <w:tc>
          <w:tcPr>
            <w:tcW w:w="907" w:type="dxa"/>
            <w:noWrap/>
          </w:tcPr>
          <w:p w14:paraId="15F216D1" w14:textId="77777777" w:rsidR="005F4A7E" w:rsidRPr="002029AF" w:rsidRDefault="005F4A7E" w:rsidP="00130D1C">
            <w:pPr>
              <w:pStyle w:val="ARfintablebodyright"/>
              <w:ind w:right="57"/>
            </w:pPr>
            <w:r w:rsidRPr="008B06FF">
              <w:t>1.8</w:t>
            </w:r>
          </w:p>
        </w:tc>
        <w:tc>
          <w:tcPr>
            <w:tcW w:w="907" w:type="dxa"/>
            <w:noWrap/>
          </w:tcPr>
          <w:p w14:paraId="036214A4" w14:textId="77777777" w:rsidR="005F4A7E" w:rsidRPr="002029AF" w:rsidRDefault="005F4A7E" w:rsidP="00130D1C">
            <w:pPr>
              <w:pStyle w:val="ARfintablebodyright"/>
              <w:ind w:right="57"/>
            </w:pPr>
            <w:r w:rsidRPr="008B06FF">
              <w:t>1.5</w:t>
            </w:r>
          </w:p>
        </w:tc>
        <w:tc>
          <w:tcPr>
            <w:tcW w:w="907" w:type="dxa"/>
            <w:noWrap/>
          </w:tcPr>
          <w:p w14:paraId="64BE7A58" w14:textId="77777777" w:rsidR="005F4A7E" w:rsidRPr="002029AF" w:rsidRDefault="005F4A7E" w:rsidP="00130D1C">
            <w:pPr>
              <w:pStyle w:val="ARfintablebodyright"/>
              <w:ind w:right="57"/>
            </w:pPr>
            <w:r w:rsidRPr="008B06FF">
              <w:t>–</w:t>
            </w:r>
          </w:p>
        </w:tc>
        <w:tc>
          <w:tcPr>
            <w:tcW w:w="907" w:type="dxa"/>
            <w:noWrap/>
          </w:tcPr>
          <w:p w14:paraId="7A686698" w14:textId="77777777" w:rsidR="005F4A7E" w:rsidRPr="002029AF" w:rsidRDefault="005F4A7E" w:rsidP="00130D1C">
            <w:pPr>
              <w:pStyle w:val="ARfintablebodyright"/>
              <w:ind w:right="57"/>
            </w:pPr>
            <w:r w:rsidRPr="008B06FF">
              <w:t>(0.7)</w:t>
            </w:r>
          </w:p>
        </w:tc>
      </w:tr>
      <w:tr w:rsidR="005F4A7E" w:rsidRPr="002029AF" w14:paraId="5573A340" w14:textId="77777777" w:rsidTr="00860E95">
        <w:tc>
          <w:tcPr>
            <w:tcW w:w="3574" w:type="dxa"/>
          </w:tcPr>
          <w:p w14:paraId="0F9905CF" w14:textId="77777777" w:rsidR="005F4A7E" w:rsidRPr="002029AF" w:rsidRDefault="005F4A7E" w:rsidP="00130D1C">
            <w:pPr>
              <w:pStyle w:val="ARfintablebody"/>
            </w:pPr>
            <w:r w:rsidRPr="008B06FF">
              <w:t>Revenue Suspense Account</w:t>
            </w:r>
          </w:p>
        </w:tc>
        <w:tc>
          <w:tcPr>
            <w:tcW w:w="908" w:type="dxa"/>
            <w:tcBorders>
              <w:right w:val="nil"/>
            </w:tcBorders>
            <w:shd w:val="clear" w:color="auto" w:fill="E7E6E6"/>
            <w:noWrap/>
          </w:tcPr>
          <w:p w14:paraId="7C809B94" w14:textId="77777777" w:rsidR="005F4A7E" w:rsidRPr="002029AF" w:rsidRDefault="005F4A7E" w:rsidP="00130D1C">
            <w:pPr>
              <w:pStyle w:val="ARfintablebodyright"/>
              <w:ind w:right="57"/>
            </w:pPr>
            <w:r w:rsidRPr="008B06FF">
              <w:t>3.8</w:t>
            </w:r>
          </w:p>
        </w:tc>
        <w:tc>
          <w:tcPr>
            <w:tcW w:w="907" w:type="dxa"/>
            <w:tcBorders>
              <w:left w:val="nil"/>
              <w:right w:val="nil"/>
            </w:tcBorders>
            <w:shd w:val="clear" w:color="auto" w:fill="E7E6E6"/>
            <w:noWrap/>
          </w:tcPr>
          <w:p w14:paraId="6CDD849C" w14:textId="77777777" w:rsidR="005F4A7E" w:rsidRPr="002029AF" w:rsidRDefault="005F4A7E" w:rsidP="00130D1C">
            <w:pPr>
              <w:pStyle w:val="ARfintablebodyright"/>
              <w:ind w:right="57"/>
            </w:pPr>
            <w:r w:rsidRPr="008B06FF">
              <w:t>–</w:t>
            </w:r>
          </w:p>
        </w:tc>
        <w:tc>
          <w:tcPr>
            <w:tcW w:w="907" w:type="dxa"/>
            <w:tcBorders>
              <w:left w:val="nil"/>
              <w:right w:val="nil"/>
            </w:tcBorders>
            <w:shd w:val="clear" w:color="auto" w:fill="E7E6E6"/>
            <w:noWrap/>
          </w:tcPr>
          <w:p w14:paraId="09353AA7" w14:textId="77777777" w:rsidR="005F4A7E" w:rsidRPr="002029AF" w:rsidRDefault="005F4A7E" w:rsidP="00130D1C">
            <w:pPr>
              <w:pStyle w:val="ARfintablebodyright"/>
              <w:ind w:right="57"/>
            </w:pPr>
            <w:r w:rsidRPr="008B06FF">
              <w:t>0.2</w:t>
            </w:r>
          </w:p>
        </w:tc>
        <w:tc>
          <w:tcPr>
            <w:tcW w:w="907" w:type="dxa"/>
            <w:tcBorders>
              <w:left w:val="nil"/>
              <w:right w:val="nil"/>
            </w:tcBorders>
            <w:shd w:val="clear" w:color="auto" w:fill="E7E6E6"/>
            <w:noWrap/>
          </w:tcPr>
          <w:p w14:paraId="5A17D462" w14:textId="77777777" w:rsidR="005F4A7E" w:rsidRPr="002029AF" w:rsidRDefault="005F4A7E" w:rsidP="00130D1C">
            <w:pPr>
              <w:pStyle w:val="ARfintablebodyright"/>
              <w:ind w:right="57"/>
            </w:pPr>
            <w:r w:rsidRPr="008B06FF">
              <w:t>–</w:t>
            </w:r>
          </w:p>
        </w:tc>
        <w:tc>
          <w:tcPr>
            <w:tcW w:w="907" w:type="dxa"/>
            <w:tcBorders>
              <w:left w:val="nil"/>
              <w:right w:val="nil"/>
            </w:tcBorders>
            <w:shd w:val="clear" w:color="auto" w:fill="E7E6E6"/>
            <w:noWrap/>
          </w:tcPr>
          <w:p w14:paraId="5F3BAAE3" w14:textId="77777777" w:rsidR="005F4A7E" w:rsidRPr="002029AF" w:rsidRDefault="005F4A7E" w:rsidP="00130D1C">
            <w:pPr>
              <w:pStyle w:val="ARfintablebodyright"/>
              <w:ind w:right="57"/>
            </w:pPr>
            <w:r w:rsidRPr="008B06FF">
              <w:t>–</w:t>
            </w:r>
          </w:p>
        </w:tc>
        <w:tc>
          <w:tcPr>
            <w:tcW w:w="907" w:type="dxa"/>
            <w:tcBorders>
              <w:left w:val="nil"/>
            </w:tcBorders>
            <w:shd w:val="clear" w:color="auto" w:fill="E7E6E6"/>
            <w:noWrap/>
          </w:tcPr>
          <w:p w14:paraId="0F17A6E7" w14:textId="77777777" w:rsidR="005F4A7E" w:rsidRPr="002029AF" w:rsidRDefault="005F4A7E" w:rsidP="00130D1C">
            <w:pPr>
              <w:pStyle w:val="ARfintablebodyright"/>
              <w:ind w:right="57"/>
            </w:pPr>
            <w:r w:rsidRPr="008B06FF">
              <w:t>4.0</w:t>
            </w:r>
          </w:p>
        </w:tc>
        <w:tc>
          <w:tcPr>
            <w:tcW w:w="907" w:type="dxa"/>
            <w:noWrap/>
          </w:tcPr>
          <w:p w14:paraId="196A96A1" w14:textId="77777777" w:rsidR="005F4A7E" w:rsidRPr="002029AF" w:rsidRDefault="005F4A7E" w:rsidP="00130D1C">
            <w:pPr>
              <w:pStyle w:val="ARfintablebodyright"/>
              <w:ind w:right="57"/>
            </w:pPr>
            <w:r w:rsidRPr="008B06FF">
              <w:t>3.4</w:t>
            </w:r>
          </w:p>
        </w:tc>
        <w:tc>
          <w:tcPr>
            <w:tcW w:w="907" w:type="dxa"/>
            <w:noWrap/>
          </w:tcPr>
          <w:p w14:paraId="2921667F" w14:textId="77777777" w:rsidR="005F4A7E" w:rsidRPr="002029AF" w:rsidRDefault="005F4A7E" w:rsidP="00130D1C">
            <w:pPr>
              <w:pStyle w:val="ARfintablebodyright"/>
              <w:ind w:right="57"/>
            </w:pPr>
            <w:r w:rsidRPr="008B06FF">
              <w:t>–</w:t>
            </w:r>
          </w:p>
        </w:tc>
        <w:tc>
          <w:tcPr>
            <w:tcW w:w="907" w:type="dxa"/>
            <w:noWrap/>
          </w:tcPr>
          <w:p w14:paraId="0165DEF9" w14:textId="77777777" w:rsidR="005F4A7E" w:rsidRPr="002029AF" w:rsidRDefault="005F4A7E" w:rsidP="00130D1C">
            <w:pPr>
              <w:pStyle w:val="ARfintablebodyright"/>
              <w:ind w:right="57"/>
            </w:pPr>
            <w:r w:rsidRPr="008B06FF">
              <w:t>0.4</w:t>
            </w:r>
          </w:p>
        </w:tc>
        <w:tc>
          <w:tcPr>
            <w:tcW w:w="907" w:type="dxa"/>
            <w:noWrap/>
          </w:tcPr>
          <w:p w14:paraId="3C2798DA" w14:textId="77777777" w:rsidR="005F4A7E" w:rsidRPr="002029AF" w:rsidRDefault="005F4A7E" w:rsidP="00130D1C">
            <w:pPr>
              <w:pStyle w:val="ARfintablebodyright"/>
              <w:ind w:right="57"/>
            </w:pPr>
            <w:r w:rsidRPr="008B06FF">
              <w:t>–</w:t>
            </w:r>
          </w:p>
        </w:tc>
        <w:tc>
          <w:tcPr>
            <w:tcW w:w="907" w:type="dxa"/>
            <w:noWrap/>
          </w:tcPr>
          <w:p w14:paraId="561FA4FC" w14:textId="77777777" w:rsidR="005F4A7E" w:rsidRPr="002029AF" w:rsidRDefault="005F4A7E" w:rsidP="00130D1C">
            <w:pPr>
              <w:pStyle w:val="ARfintablebodyright"/>
              <w:ind w:right="57"/>
            </w:pPr>
            <w:r w:rsidRPr="008B06FF">
              <w:t>–</w:t>
            </w:r>
          </w:p>
        </w:tc>
        <w:tc>
          <w:tcPr>
            <w:tcW w:w="907" w:type="dxa"/>
            <w:noWrap/>
          </w:tcPr>
          <w:p w14:paraId="170928EC" w14:textId="77777777" w:rsidR="005F4A7E" w:rsidRPr="002029AF" w:rsidRDefault="005F4A7E" w:rsidP="00130D1C">
            <w:pPr>
              <w:pStyle w:val="ARfintablebodyright"/>
              <w:ind w:right="57"/>
            </w:pPr>
            <w:r w:rsidRPr="008B06FF">
              <w:t>3.8</w:t>
            </w:r>
          </w:p>
        </w:tc>
      </w:tr>
      <w:tr w:rsidR="005F4A7E" w:rsidRPr="002029AF" w14:paraId="33165FDF" w14:textId="77777777" w:rsidTr="00860E95">
        <w:tc>
          <w:tcPr>
            <w:tcW w:w="3574" w:type="dxa"/>
          </w:tcPr>
          <w:p w14:paraId="504AACF5" w14:textId="77777777" w:rsidR="005F4A7E" w:rsidRPr="002029AF" w:rsidRDefault="005F4A7E" w:rsidP="00130D1C">
            <w:pPr>
              <w:pStyle w:val="ARfintablebody"/>
            </w:pPr>
            <w:r w:rsidRPr="008B06FF">
              <w:t>Victorian Natural Disasters Relief Fund</w:t>
            </w:r>
          </w:p>
        </w:tc>
        <w:tc>
          <w:tcPr>
            <w:tcW w:w="908" w:type="dxa"/>
            <w:tcBorders>
              <w:right w:val="nil"/>
            </w:tcBorders>
            <w:shd w:val="clear" w:color="auto" w:fill="E7E6E6"/>
            <w:noWrap/>
          </w:tcPr>
          <w:p w14:paraId="5BDA239F" w14:textId="77777777" w:rsidR="005F4A7E" w:rsidRPr="002029AF" w:rsidRDefault="005F4A7E" w:rsidP="00130D1C">
            <w:pPr>
              <w:pStyle w:val="ARfintablebodyright"/>
              <w:ind w:right="57"/>
            </w:pPr>
            <w:r w:rsidRPr="008B06FF">
              <w:t>–</w:t>
            </w:r>
          </w:p>
        </w:tc>
        <w:tc>
          <w:tcPr>
            <w:tcW w:w="907" w:type="dxa"/>
            <w:tcBorders>
              <w:left w:val="nil"/>
              <w:right w:val="nil"/>
            </w:tcBorders>
            <w:shd w:val="clear" w:color="auto" w:fill="E7E6E6"/>
            <w:noWrap/>
          </w:tcPr>
          <w:p w14:paraId="5A9564D3" w14:textId="77777777" w:rsidR="005F4A7E" w:rsidRPr="002029AF" w:rsidRDefault="005F4A7E" w:rsidP="00130D1C">
            <w:pPr>
              <w:pStyle w:val="ARfintablebodyright"/>
              <w:ind w:right="57"/>
            </w:pPr>
            <w:r w:rsidRPr="008B06FF">
              <w:t>–</w:t>
            </w:r>
          </w:p>
        </w:tc>
        <w:tc>
          <w:tcPr>
            <w:tcW w:w="907" w:type="dxa"/>
            <w:tcBorders>
              <w:left w:val="nil"/>
              <w:right w:val="nil"/>
            </w:tcBorders>
            <w:shd w:val="clear" w:color="auto" w:fill="E7E6E6"/>
            <w:noWrap/>
          </w:tcPr>
          <w:p w14:paraId="3049D93B" w14:textId="77777777" w:rsidR="005F4A7E" w:rsidRPr="002029AF" w:rsidRDefault="005F4A7E" w:rsidP="00130D1C">
            <w:pPr>
              <w:pStyle w:val="ARfintablebodyright"/>
              <w:ind w:right="57"/>
            </w:pPr>
            <w:r w:rsidRPr="008B06FF">
              <w:t>7.4</w:t>
            </w:r>
          </w:p>
        </w:tc>
        <w:tc>
          <w:tcPr>
            <w:tcW w:w="907" w:type="dxa"/>
            <w:tcBorders>
              <w:left w:val="nil"/>
              <w:right w:val="nil"/>
            </w:tcBorders>
            <w:shd w:val="clear" w:color="auto" w:fill="E7E6E6"/>
            <w:noWrap/>
          </w:tcPr>
          <w:p w14:paraId="1C1F7976" w14:textId="77777777" w:rsidR="005F4A7E" w:rsidRPr="002029AF" w:rsidRDefault="005F4A7E" w:rsidP="00130D1C">
            <w:pPr>
              <w:pStyle w:val="ARfintablebodyright"/>
              <w:ind w:right="57"/>
            </w:pPr>
            <w:r w:rsidRPr="008B06FF">
              <w:t>8.0</w:t>
            </w:r>
          </w:p>
        </w:tc>
        <w:tc>
          <w:tcPr>
            <w:tcW w:w="907" w:type="dxa"/>
            <w:tcBorders>
              <w:left w:val="nil"/>
              <w:right w:val="nil"/>
            </w:tcBorders>
            <w:shd w:val="clear" w:color="auto" w:fill="E7E6E6"/>
            <w:noWrap/>
          </w:tcPr>
          <w:p w14:paraId="7E837336" w14:textId="77777777" w:rsidR="005F4A7E" w:rsidRPr="002029AF" w:rsidRDefault="005F4A7E" w:rsidP="00130D1C">
            <w:pPr>
              <w:pStyle w:val="ARfintablebodyright"/>
              <w:ind w:right="57"/>
            </w:pPr>
            <w:r w:rsidRPr="008B06FF">
              <w:t>–</w:t>
            </w:r>
          </w:p>
        </w:tc>
        <w:tc>
          <w:tcPr>
            <w:tcW w:w="907" w:type="dxa"/>
            <w:tcBorders>
              <w:left w:val="nil"/>
            </w:tcBorders>
            <w:shd w:val="clear" w:color="auto" w:fill="E7E6E6"/>
            <w:noWrap/>
          </w:tcPr>
          <w:p w14:paraId="13E7EC89" w14:textId="77777777" w:rsidR="005F4A7E" w:rsidRPr="002029AF" w:rsidRDefault="005F4A7E" w:rsidP="00130D1C">
            <w:pPr>
              <w:pStyle w:val="ARfintablebodyright"/>
              <w:ind w:right="57"/>
            </w:pPr>
            <w:r w:rsidRPr="008B06FF">
              <w:t>(0.6)</w:t>
            </w:r>
          </w:p>
        </w:tc>
        <w:tc>
          <w:tcPr>
            <w:tcW w:w="907" w:type="dxa"/>
            <w:noWrap/>
          </w:tcPr>
          <w:p w14:paraId="4369F872" w14:textId="77777777" w:rsidR="005F4A7E" w:rsidRPr="002029AF" w:rsidRDefault="005F4A7E" w:rsidP="00130D1C">
            <w:pPr>
              <w:pStyle w:val="ARfintablebodyright"/>
              <w:ind w:right="57"/>
            </w:pPr>
            <w:r w:rsidRPr="008B06FF">
              <w:t>–</w:t>
            </w:r>
          </w:p>
        </w:tc>
        <w:tc>
          <w:tcPr>
            <w:tcW w:w="907" w:type="dxa"/>
            <w:noWrap/>
          </w:tcPr>
          <w:p w14:paraId="536CFB7D" w14:textId="77777777" w:rsidR="005F4A7E" w:rsidRPr="002029AF" w:rsidRDefault="005F4A7E" w:rsidP="00130D1C">
            <w:pPr>
              <w:pStyle w:val="ARfintablebodyright"/>
              <w:ind w:right="57"/>
            </w:pPr>
            <w:r w:rsidRPr="008B06FF">
              <w:t>–</w:t>
            </w:r>
          </w:p>
        </w:tc>
        <w:tc>
          <w:tcPr>
            <w:tcW w:w="907" w:type="dxa"/>
            <w:noWrap/>
          </w:tcPr>
          <w:p w14:paraId="16F8CE98" w14:textId="77777777" w:rsidR="005F4A7E" w:rsidRPr="002029AF" w:rsidRDefault="005F4A7E" w:rsidP="00130D1C">
            <w:pPr>
              <w:pStyle w:val="ARfintablebodyright"/>
              <w:ind w:right="57"/>
            </w:pPr>
            <w:r w:rsidRPr="008B06FF">
              <w:t>25.4</w:t>
            </w:r>
          </w:p>
        </w:tc>
        <w:tc>
          <w:tcPr>
            <w:tcW w:w="907" w:type="dxa"/>
            <w:noWrap/>
          </w:tcPr>
          <w:p w14:paraId="621A4B13" w14:textId="77777777" w:rsidR="005F4A7E" w:rsidRPr="002029AF" w:rsidRDefault="005F4A7E" w:rsidP="00130D1C">
            <w:pPr>
              <w:pStyle w:val="ARfintablebodyright"/>
              <w:ind w:right="57"/>
            </w:pPr>
            <w:r w:rsidRPr="008B06FF">
              <w:t>25.4</w:t>
            </w:r>
          </w:p>
        </w:tc>
        <w:tc>
          <w:tcPr>
            <w:tcW w:w="907" w:type="dxa"/>
            <w:noWrap/>
          </w:tcPr>
          <w:p w14:paraId="25BEF80A" w14:textId="77777777" w:rsidR="005F4A7E" w:rsidRPr="002029AF" w:rsidRDefault="005F4A7E" w:rsidP="00130D1C">
            <w:pPr>
              <w:pStyle w:val="ARfintablebodyright"/>
              <w:ind w:right="57"/>
            </w:pPr>
            <w:r w:rsidRPr="008B06FF">
              <w:t>–</w:t>
            </w:r>
          </w:p>
        </w:tc>
        <w:tc>
          <w:tcPr>
            <w:tcW w:w="907" w:type="dxa"/>
            <w:noWrap/>
          </w:tcPr>
          <w:p w14:paraId="2A3E4CD5" w14:textId="77777777" w:rsidR="005F4A7E" w:rsidRPr="002029AF" w:rsidRDefault="005F4A7E" w:rsidP="00130D1C">
            <w:pPr>
              <w:pStyle w:val="ARfintablebodyright"/>
              <w:ind w:right="57"/>
            </w:pPr>
            <w:r w:rsidRPr="008B06FF">
              <w:t>–</w:t>
            </w:r>
          </w:p>
        </w:tc>
      </w:tr>
      <w:tr w:rsidR="005F4A7E" w:rsidRPr="002029AF" w14:paraId="200E25D4" w14:textId="77777777" w:rsidTr="00860E95">
        <w:tc>
          <w:tcPr>
            <w:tcW w:w="3574" w:type="dxa"/>
          </w:tcPr>
          <w:p w14:paraId="7C68B557" w14:textId="77777777" w:rsidR="005F4A7E" w:rsidRPr="002029AF" w:rsidRDefault="005F4A7E" w:rsidP="00130D1C">
            <w:pPr>
              <w:pStyle w:val="ARfintablebodybold"/>
            </w:pPr>
            <w:r w:rsidRPr="008B06FF">
              <w:t>Total administered trusts</w:t>
            </w:r>
          </w:p>
        </w:tc>
        <w:tc>
          <w:tcPr>
            <w:tcW w:w="908" w:type="dxa"/>
            <w:tcBorders>
              <w:right w:val="nil"/>
            </w:tcBorders>
            <w:shd w:val="clear" w:color="auto" w:fill="E7E6E6"/>
            <w:noWrap/>
          </w:tcPr>
          <w:p w14:paraId="5801C7CF" w14:textId="77777777" w:rsidR="005F4A7E" w:rsidRPr="002029AF" w:rsidRDefault="005F4A7E" w:rsidP="00130D1C">
            <w:pPr>
              <w:pStyle w:val="ARfintablebodyrightbold"/>
              <w:ind w:right="57"/>
            </w:pPr>
            <w:r w:rsidRPr="008B06FF">
              <w:t>3.1</w:t>
            </w:r>
          </w:p>
        </w:tc>
        <w:tc>
          <w:tcPr>
            <w:tcW w:w="907" w:type="dxa"/>
            <w:tcBorders>
              <w:left w:val="nil"/>
              <w:right w:val="nil"/>
            </w:tcBorders>
            <w:shd w:val="clear" w:color="auto" w:fill="E7E6E6"/>
            <w:noWrap/>
          </w:tcPr>
          <w:p w14:paraId="575B3E1E" w14:textId="77777777" w:rsidR="005F4A7E" w:rsidRPr="002029AF" w:rsidRDefault="005F4A7E" w:rsidP="00130D1C">
            <w:pPr>
              <w:pStyle w:val="ARfintablebodyrightbold"/>
              <w:ind w:right="57"/>
            </w:pPr>
            <w:r w:rsidRPr="008B06FF">
              <w:t>–</w:t>
            </w:r>
          </w:p>
        </w:tc>
        <w:tc>
          <w:tcPr>
            <w:tcW w:w="907" w:type="dxa"/>
            <w:tcBorders>
              <w:left w:val="nil"/>
              <w:right w:val="nil"/>
            </w:tcBorders>
            <w:shd w:val="clear" w:color="auto" w:fill="E7E6E6"/>
            <w:noWrap/>
          </w:tcPr>
          <w:p w14:paraId="626AF0A5" w14:textId="77777777" w:rsidR="005F4A7E" w:rsidRPr="002029AF" w:rsidRDefault="005F4A7E" w:rsidP="00130D1C">
            <w:pPr>
              <w:pStyle w:val="ARfintablebodyrightbold"/>
              <w:ind w:right="57"/>
            </w:pPr>
            <w:r w:rsidRPr="008B06FF">
              <w:t>14,385.5</w:t>
            </w:r>
          </w:p>
        </w:tc>
        <w:tc>
          <w:tcPr>
            <w:tcW w:w="907" w:type="dxa"/>
            <w:tcBorders>
              <w:left w:val="nil"/>
              <w:right w:val="nil"/>
            </w:tcBorders>
            <w:shd w:val="clear" w:color="auto" w:fill="E7E6E6"/>
            <w:noWrap/>
          </w:tcPr>
          <w:p w14:paraId="3B9ECB6C" w14:textId="77777777" w:rsidR="005F4A7E" w:rsidRPr="002029AF" w:rsidRDefault="005F4A7E" w:rsidP="00130D1C">
            <w:pPr>
              <w:pStyle w:val="ARfintablebodyrightbold"/>
              <w:ind w:right="57"/>
            </w:pPr>
            <w:r w:rsidRPr="008B06FF">
              <w:t>14,530.4</w:t>
            </w:r>
          </w:p>
        </w:tc>
        <w:tc>
          <w:tcPr>
            <w:tcW w:w="907" w:type="dxa"/>
            <w:tcBorders>
              <w:left w:val="nil"/>
              <w:right w:val="nil"/>
            </w:tcBorders>
            <w:shd w:val="clear" w:color="auto" w:fill="E7E6E6"/>
            <w:noWrap/>
          </w:tcPr>
          <w:p w14:paraId="55EED423" w14:textId="77777777" w:rsidR="005F4A7E" w:rsidRPr="002029AF" w:rsidRDefault="005F4A7E" w:rsidP="00130D1C">
            <w:pPr>
              <w:pStyle w:val="ARfintablebodyrightbold"/>
              <w:ind w:right="57"/>
            </w:pPr>
            <w:r w:rsidRPr="008B06FF">
              <w:t>145.1</w:t>
            </w:r>
          </w:p>
        </w:tc>
        <w:tc>
          <w:tcPr>
            <w:tcW w:w="907" w:type="dxa"/>
            <w:tcBorders>
              <w:left w:val="nil"/>
            </w:tcBorders>
            <w:shd w:val="clear" w:color="auto" w:fill="E7E6E6"/>
            <w:noWrap/>
          </w:tcPr>
          <w:p w14:paraId="464D1DC1" w14:textId="77777777" w:rsidR="005F4A7E" w:rsidRPr="002029AF" w:rsidRDefault="005F4A7E" w:rsidP="00130D1C">
            <w:pPr>
              <w:pStyle w:val="ARfintablebodyrightbold"/>
              <w:ind w:right="57"/>
            </w:pPr>
            <w:r w:rsidRPr="008B06FF">
              <w:t>3.3</w:t>
            </w:r>
          </w:p>
        </w:tc>
        <w:tc>
          <w:tcPr>
            <w:tcW w:w="907" w:type="dxa"/>
            <w:noWrap/>
          </w:tcPr>
          <w:p w14:paraId="177B4331" w14:textId="77777777" w:rsidR="005F4A7E" w:rsidRPr="002029AF" w:rsidRDefault="005F4A7E" w:rsidP="00130D1C">
            <w:pPr>
              <w:pStyle w:val="ARfintablebodyrightbold"/>
              <w:ind w:right="57"/>
            </w:pPr>
            <w:r w:rsidRPr="008B06FF">
              <w:t>75.5</w:t>
            </w:r>
          </w:p>
        </w:tc>
        <w:tc>
          <w:tcPr>
            <w:tcW w:w="907" w:type="dxa"/>
            <w:noWrap/>
          </w:tcPr>
          <w:p w14:paraId="6ECD6C9D" w14:textId="77777777" w:rsidR="005F4A7E" w:rsidRPr="002029AF" w:rsidRDefault="005F4A7E" w:rsidP="00130D1C">
            <w:pPr>
              <w:pStyle w:val="ARfintablebodyrightbold"/>
              <w:ind w:right="57"/>
            </w:pPr>
            <w:r w:rsidRPr="008B06FF">
              <w:t>–</w:t>
            </w:r>
          </w:p>
        </w:tc>
        <w:tc>
          <w:tcPr>
            <w:tcW w:w="907" w:type="dxa"/>
            <w:noWrap/>
          </w:tcPr>
          <w:p w14:paraId="59CCBD9E" w14:textId="77777777" w:rsidR="005F4A7E" w:rsidRPr="002029AF" w:rsidRDefault="005F4A7E" w:rsidP="00130D1C">
            <w:pPr>
              <w:pStyle w:val="ARfintablebodyrightbold"/>
              <w:ind w:right="57"/>
            </w:pPr>
            <w:r w:rsidRPr="008B06FF">
              <w:t>14,676.3</w:t>
            </w:r>
          </w:p>
        </w:tc>
        <w:tc>
          <w:tcPr>
            <w:tcW w:w="907" w:type="dxa"/>
            <w:noWrap/>
          </w:tcPr>
          <w:p w14:paraId="1E933689" w14:textId="77777777" w:rsidR="005F4A7E" w:rsidRPr="002029AF" w:rsidRDefault="005F4A7E" w:rsidP="00130D1C">
            <w:pPr>
              <w:pStyle w:val="ARfintablebodyrightbold"/>
              <w:ind w:right="57"/>
            </w:pPr>
            <w:r w:rsidRPr="008B06FF">
              <w:t>14,329.7</w:t>
            </w:r>
          </w:p>
        </w:tc>
        <w:tc>
          <w:tcPr>
            <w:tcW w:w="907" w:type="dxa"/>
            <w:noWrap/>
          </w:tcPr>
          <w:p w14:paraId="109FDAF9" w14:textId="77777777" w:rsidR="005F4A7E" w:rsidRPr="002029AF" w:rsidRDefault="005F4A7E" w:rsidP="00130D1C">
            <w:pPr>
              <w:pStyle w:val="ARfintablebodyrightbold"/>
              <w:ind w:right="57"/>
            </w:pPr>
            <w:r w:rsidRPr="008B06FF">
              <w:t>(419.1)</w:t>
            </w:r>
          </w:p>
        </w:tc>
        <w:tc>
          <w:tcPr>
            <w:tcW w:w="907" w:type="dxa"/>
            <w:noWrap/>
          </w:tcPr>
          <w:p w14:paraId="5FA03495" w14:textId="77777777" w:rsidR="005F4A7E" w:rsidRPr="002029AF" w:rsidRDefault="005F4A7E" w:rsidP="00130D1C">
            <w:pPr>
              <w:pStyle w:val="ARfintablebodyrightbold"/>
              <w:ind w:right="57"/>
            </w:pPr>
            <w:r w:rsidRPr="008B06FF">
              <w:t>3.1</w:t>
            </w:r>
          </w:p>
        </w:tc>
      </w:tr>
    </w:tbl>
    <w:p w14:paraId="59CDE67E" w14:textId="77777777" w:rsidR="005F4A7E" w:rsidRPr="002029AF" w:rsidRDefault="005F4A7E" w:rsidP="00087B91">
      <w:pPr>
        <w:pStyle w:val="ARfinbody"/>
      </w:pPr>
    </w:p>
    <w:p w14:paraId="4B105D9E" w14:textId="77777777" w:rsidR="005F4A7E" w:rsidRPr="002029AF" w:rsidRDefault="005F4A7E" w:rsidP="00087B91">
      <w:pPr>
        <w:pStyle w:val="ARfinbody"/>
        <w:sectPr w:rsidR="005F4A7E" w:rsidRPr="002029AF" w:rsidSect="00130D1C">
          <w:footerReference w:type="even" r:id="rId138"/>
          <w:footnotePr>
            <w:numFmt w:val="lowerLetter"/>
            <w:numRestart w:val="eachPage"/>
          </w:footnotePr>
          <w:pgSz w:w="16838" w:h="11906" w:orient="landscape" w:code="9"/>
          <w:pgMar w:top="1134" w:right="1531" w:bottom="1134" w:left="851" w:header="510" w:footer="340" w:gutter="0"/>
          <w:cols w:space="708"/>
          <w:docGrid w:linePitch="360"/>
        </w:sectPr>
      </w:pPr>
    </w:p>
    <w:p w14:paraId="4DE45B2D" w14:textId="77777777" w:rsidR="005F4A7E" w:rsidRDefault="005F4A7E" w:rsidP="00130D1C">
      <w:pPr>
        <w:pStyle w:val="Heading5"/>
        <w:spacing w:before="0"/>
        <w:rPr>
          <w:lang w:eastAsia="en-AU"/>
        </w:rPr>
      </w:pPr>
      <w:bookmarkStart w:id="962" w:name="_Toc85121483"/>
      <w:r>
        <w:rPr>
          <w:lang w:eastAsia="en-AU"/>
        </w:rPr>
        <w:lastRenderedPageBreak/>
        <w:t>7.4.2 Trust account – Legislative references and nature</w:t>
      </w:r>
      <w:bookmarkEnd w:id="962"/>
    </w:p>
    <w:p w14:paraId="4C8AB2F3" w14:textId="77777777" w:rsidR="005F4A7E" w:rsidRDefault="005F4A7E" w:rsidP="00130D1C">
      <w:pPr>
        <w:pStyle w:val="Heading6"/>
        <w:rPr>
          <w:lang w:eastAsia="en-AU"/>
        </w:rPr>
      </w:pPr>
      <w:bookmarkStart w:id="963" w:name="_Toc85121484"/>
      <w:r>
        <w:rPr>
          <w:lang w:eastAsia="en-AU"/>
        </w:rPr>
        <w:t>Controlled trusts</w:t>
      </w:r>
      <w:bookmarkEnd w:id="963"/>
    </w:p>
    <w:p w14:paraId="7FFFF9CD" w14:textId="77777777" w:rsidR="005F4A7E" w:rsidRDefault="005F4A7E" w:rsidP="00130D1C">
      <w:pPr>
        <w:pStyle w:val="Heading7"/>
      </w:pPr>
      <w:bookmarkStart w:id="964" w:name="_Toc85121485"/>
      <w:r>
        <w:t>Casey Hospital Escrow Account</w:t>
      </w:r>
      <w:bookmarkEnd w:id="964"/>
    </w:p>
    <w:p w14:paraId="1A1F3266" w14:textId="77777777" w:rsidR="005F4A7E" w:rsidRDefault="005F4A7E" w:rsidP="00130D1C">
      <w:pPr>
        <w:pStyle w:val="ARfinbody"/>
      </w:pPr>
      <w:r>
        <w:t>Established to manage and control payments to the contractor for the completion of the Casey Hospital refurbishment.</w:t>
      </w:r>
    </w:p>
    <w:p w14:paraId="39DD2F86" w14:textId="77777777" w:rsidR="005F4A7E" w:rsidRDefault="005F4A7E" w:rsidP="00130D1C">
      <w:pPr>
        <w:pStyle w:val="Heading7"/>
      </w:pPr>
      <w:bookmarkStart w:id="965" w:name="_Toc85121486"/>
      <w:r>
        <w:t>Health State Managed Fund</w:t>
      </w:r>
      <w:bookmarkEnd w:id="965"/>
    </w:p>
    <w:p w14:paraId="7574F18E" w14:textId="77777777" w:rsidR="005F4A7E" w:rsidRDefault="005F4A7E" w:rsidP="00130D1C">
      <w:pPr>
        <w:pStyle w:val="ARfinbody"/>
      </w:pPr>
      <w:r>
        <w:t xml:space="preserve">Established under the </w:t>
      </w:r>
      <w:r>
        <w:rPr>
          <w:rStyle w:val="Emphasis"/>
        </w:rPr>
        <w:t xml:space="preserve">Health (Commonwealth State Funding Arrangements) Act 2012 </w:t>
      </w:r>
      <w:r>
        <w:t>for the purpose of receiving funding for block grants, teaching, training and research.</w:t>
      </w:r>
    </w:p>
    <w:p w14:paraId="2263D889" w14:textId="77777777" w:rsidR="005F4A7E" w:rsidRDefault="005F4A7E" w:rsidP="00130D1C">
      <w:pPr>
        <w:pStyle w:val="Heading7"/>
      </w:pPr>
      <w:bookmarkStart w:id="966" w:name="_Toc85121487"/>
      <w:r>
        <w:t>Hospitals and Charities Fund</w:t>
      </w:r>
      <w:bookmarkEnd w:id="966"/>
    </w:p>
    <w:p w14:paraId="6B76D4A9" w14:textId="77777777" w:rsidR="005F4A7E" w:rsidRDefault="005F4A7E" w:rsidP="00130D1C">
      <w:pPr>
        <w:pStyle w:val="ARfinbody"/>
      </w:pPr>
      <w:r>
        <w:t xml:space="preserve">Established under the </w:t>
      </w:r>
      <w:r>
        <w:rPr>
          <w:rStyle w:val="Emphasis"/>
        </w:rPr>
        <w:t>Health Services Act 1988</w:t>
      </w:r>
      <w:r>
        <w:t xml:space="preserve"> to record funding for health service agencies. Monies are paid into the fund from the </w:t>
      </w:r>
      <w:r>
        <w:rPr>
          <w:rStyle w:val="Emphasis"/>
        </w:rPr>
        <w:t>Gambling Regulation Act 2003</w:t>
      </w:r>
      <w:r>
        <w:t xml:space="preserve">, </w:t>
      </w:r>
      <w:r>
        <w:rPr>
          <w:rStyle w:val="Emphasis"/>
        </w:rPr>
        <w:t>Casino Control Act 1991</w:t>
      </w:r>
      <w:r>
        <w:t xml:space="preserve"> and s. 10 of the </w:t>
      </w:r>
      <w:r>
        <w:rPr>
          <w:rStyle w:val="Emphasis"/>
        </w:rPr>
        <w:t>Financial Management Act 1994.</w:t>
      </w:r>
    </w:p>
    <w:p w14:paraId="48C94FE1" w14:textId="40173BC2" w:rsidR="005F4A7E" w:rsidRDefault="005F4A7E" w:rsidP="00130D1C">
      <w:pPr>
        <w:pStyle w:val="Heading7"/>
      </w:pPr>
      <w:bookmarkStart w:id="967" w:name="_Toc85121488"/>
      <w:r>
        <w:t>Intellectually Handicapped Children</w:t>
      </w:r>
      <w:r w:rsidR="007D145B">
        <w:t>’</w:t>
      </w:r>
      <w:r>
        <w:t>s Amenities Fund</w:t>
      </w:r>
      <w:bookmarkEnd w:id="967"/>
    </w:p>
    <w:p w14:paraId="6E0A4792" w14:textId="77777777" w:rsidR="005F4A7E" w:rsidRDefault="005F4A7E" w:rsidP="00130D1C">
      <w:pPr>
        <w:pStyle w:val="ARfinbody"/>
      </w:pPr>
      <w:r>
        <w:rPr>
          <w:iCs/>
        </w:rPr>
        <w:t xml:space="preserve">Established under the </w:t>
      </w:r>
      <w:r>
        <w:rPr>
          <w:rStyle w:val="Emphasis"/>
        </w:rPr>
        <w:t>Intellectually Disabled Persons Act 1986</w:t>
      </w:r>
      <w:r>
        <w:t xml:space="preserve"> which was then repealed by the </w:t>
      </w:r>
      <w:r>
        <w:rPr>
          <w:rStyle w:val="Emphasis"/>
        </w:rPr>
        <w:t>Disability Act 2006</w:t>
      </w:r>
      <w:r>
        <w:t>. The trust was established to meet the cost of the provision of amenities for children under the age of 16 years in the care of the department.</w:t>
      </w:r>
    </w:p>
    <w:p w14:paraId="1B68AE44" w14:textId="77777777" w:rsidR="005F4A7E" w:rsidRDefault="005F4A7E" w:rsidP="00130D1C">
      <w:pPr>
        <w:pStyle w:val="Heading7"/>
      </w:pPr>
      <w:bookmarkStart w:id="968" w:name="_Toc85121489"/>
      <w:r>
        <w:t>Mental Health Fund</w:t>
      </w:r>
      <w:bookmarkEnd w:id="968"/>
    </w:p>
    <w:p w14:paraId="19F234DB" w14:textId="77777777" w:rsidR="005F4A7E" w:rsidRDefault="005F4A7E" w:rsidP="00130D1C">
      <w:pPr>
        <w:pStyle w:val="ARfinbody"/>
      </w:pPr>
      <w:r>
        <w:t xml:space="preserve">Established under the </w:t>
      </w:r>
      <w:r>
        <w:rPr>
          <w:rStyle w:val="Emphasis"/>
        </w:rPr>
        <w:t>Gaming Regulation Act 2003</w:t>
      </w:r>
      <w:r>
        <w:t xml:space="preserve"> for the establishment and maintenance of mental health services and residential institutions and facilities, for the administration of the </w:t>
      </w:r>
      <w:r>
        <w:rPr>
          <w:rStyle w:val="Emphasis"/>
        </w:rPr>
        <w:t>Mental Health Act 1986</w:t>
      </w:r>
      <w:r>
        <w:t xml:space="preserve"> and for the administration of the </w:t>
      </w:r>
      <w:r>
        <w:rPr>
          <w:rStyle w:val="Emphasis"/>
        </w:rPr>
        <w:t>Disability Act 2006</w:t>
      </w:r>
      <w:r>
        <w:t>.</w:t>
      </w:r>
    </w:p>
    <w:p w14:paraId="7BE27A57" w14:textId="77777777" w:rsidR="005F4A7E" w:rsidRDefault="005F4A7E" w:rsidP="00130D1C">
      <w:pPr>
        <w:pStyle w:val="Heading7"/>
      </w:pPr>
      <w:bookmarkStart w:id="969" w:name="_Toc85121490"/>
      <w:r>
        <w:t>Public Health Fund</w:t>
      </w:r>
      <w:bookmarkEnd w:id="969"/>
    </w:p>
    <w:p w14:paraId="3A7C5211" w14:textId="77777777" w:rsidR="005F4A7E" w:rsidRDefault="005F4A7E" w:rsidP="00130D1C">
      <w:pPr>
        <w:pStyle w:val="ARfinbody"/>
      </w:pPr>
      <w:r>
        <w:t>Established by the Assistant Treasurer in accordance with the National Health Reform Agreement to allow the Department of Health to access public health funding contributions paid by the Commonwealth through the National Health Funding Pool and apply the funding to deliver public health activities managed by the state.</w:t>
      </w:r>
    </w:p>
    <w:p w14:paraId="4E6536C2" w14:textId="77777777" w:rsidR="005F4A7E" w:rsidRDefault="005F4A7E" w:rsidP="00130D1C">
      <w:pPr>
        <w:pStyle w:val="Heading7"/>
      </w:pPr>
      <w:bookmarkStart w:id="970" w:name="_Toc85121491"/>
      <w:r>
        <w:t>Treasury Trust</w:t>
      </w:r>
      <w:bookmarkEnd w:id="970"/>
    </w:p>
    <w:p w14:paraId="1BF28F7D" w14:textId="77777777" w:rsidR="005F4A7E" w:rsidRDefault="005F4A7E" w:rsidP="00130D1C">
      <w:pPr>
        <w:pStyle w:val="ARfinbody"/>
      </w:pPr>
      <w:r>
        <w:t>Established to record the receipt and disbursement of unclaimed monies and other funds held in trust.</w:t>
      </w:r>
    </w:p>
    <w:p w14:paraId="43776E2D" w14:textId="77777777" w:rsidR="005F4A7E" w:rsidRDefault="005F4A7E" w:rsidP="00130D1C">
      <w:pPr>
        <w:pStyle w:val="Heading7"/>
      </w:pPr>
      <w:bookmarkStart w:id="971" w:name="_Toc85121492"/>
      <w:r>
        <w:t>Inter-Departmental Transfer Trust</w:t>
      </w:r>
      <w:bookmarkEnd w:id="971"/>
    </w:p>
    <w:p w14:paraId="57CA7DED" w14:textId="77777777" w:rsidR="005F4A7E" w:rsidRDefault="005F4A7E" w:rsidP="00130D1C">
      <w:pPr>
        <w:pStyle w:val="ARfinbody"/>
      </w:pPr>
      <w:r>
        <w:t xml:space="preserve">Established under s. 19 of the </w:t>
      </w:r>
      <w:r>
        <w:rPr>
          <w:rStyle w:val="Emphasis"/>
        </w:rPr>
        <w:t>Financial Management Act 1994</w:t>
      </w:r>
      <w:r>
        <w:t xml:space="preserve"> by the Assistant Treasurer to record inter-departmental transfers when no other trust arrangement exists.</w:t>
      </w:r>
    </w:p>
    <w:p w14:paraId="0E4DD52D" w14:textId="77777777" w:rsidR="005F4A7E" w:rsidRDefault="005F4A7E" w:rsidP="00130D1C">
      <w:pPr>
        <w:pStyle w:val="Heading7"/>
      </w:pPr>
      <w:bookmarkStart w:id="972" w:name="_Toc85121493"/>
      <w:r>
        <w:t>Vehicle Lease Trust Account</w:t>
      </w:r>
      <w:bookmarkEnd w:id="972"/>
    </w:p>
    <w:p w14:paraId="5AF7DE49" w14:textId="2F30CF39" w:rsidR="005F4A7E" w:rsidRDefault="005F4A7E" w:rsidP="00130D1C">
      <w:pPr>
        <w:pStyle w:val="ARfinbody"/>
      </w:pPr>
      <w:r>
        <w:t>Established to record transactions relating to the government</w:t>
      </w:r>
      <w:r w:rsidR="007D145B">
        <w:t>’</w:t>
      </w:r>
      <w:r>
        <w:t>s vehicle pool and fleet management business.</w:t>
      </w:r>
    </w:p>
    <w:p w14:paraId="72178689" w14:textId="77777777" w:rsidR="005F4A7E" w:rsidRDefault="005F4A7E" w:rsidP="00130D1C">
      <w:pPr>
        <w:pStyle w:val="Heading7"/>
      </w:pPr>
      <w:bookmarkStart w:id="973" w:name="_Toc85121494"/>
      <w:r>
        <w:t>Victorian Health Promotion Fund</w:t>
      </w:r>
      <w:bookmarkEnd w:id="973"/>
    </w:p>
    <w:p w14:paraId="0B9124D1" w14:textId="77777777" w:rsidR="005F4A7E" w:rsidRDefault="005F4A7E" w:rsidP="00130D1C">
      <w:pPr>
        <w:pStyle w:val="ARfinbody"/>
      </w:pPr>
      <w:r>
        <w:t xml:space="preserve">Established under s. 32 of the </w:t>
      </w:r>
      <w:r>
        <w:rPr>
          <w:rStyle w:val="Emphasis"/>
        </w:rPr>
        <w:t>Tobacco Act 1987</w:t>
      </w:r>
      <w:r>
        <w:t>, prior to the abolition by the High Court in July 1997 of taxes on tobacco products. Following the High Court decision, the Act was amended and the source of funding was specified by the Treasurer under s. 32(3a).</w:t>
      </w:r>
    </w:p>
    <w:p w14:paraId="5A3E20E5" w14:textId="77777777" w:rsidR="005F4A7E" w:rsidRDefault="005F4A7E" w:rsidP="00130D1C">
      <w:pPr>
        <w:pStyle w:val="Heading7"/>
      </w:pPr>
      <w:bookmarkStart w:id="974" w:name="_Toc85121495"/>
      <w:r>
        <w:t>Departmental Suspense Account</w:t>
      </w:r>
      <w:bookmarkEnd w:id="974"/>
    </w:p>
    <w:p w14:paraId="1C80C929" w14:textId="77777777" w:rsidR="005F4A7E" w:rsidRDefault="005F4A7E" w:rsidP="00130D1C">
      <w:pPr>
        <w:pStyle w:val="ARfinbody"/>
      </w:pPr>
      <w:r>
        <w:t>Short-term clearing account pending correct identification of payments.</w:t>
      </w:r>
    </w:p>
    <w:p w14:paraId="13B1E6D0" w14:textId="77777777" w:rsidR="005F4A7E" w:rsidRDefault="005F4A7E" w:rsidP="00130D1C">
      <w:pPr>
        <w:pStyle w:val="Heading7"/>
      </w:pPr>
      <w:bookmarkStart w:id="975" w:name="_Toc85121496"/>
      <w:r>
        <w:t>Victorian Veterans Fund</w:t>
      </w:r>
      <w:bookmarkEnd w:id="975"/>
    </w:p>
    <w:p w14:paraId="2AF086E4" w14:textId="60863324" w:rsidR="005F4A7E" w:rsidRDefault="005F4A7E" w:rsidP="00130D1C">
      <w:pPr>
        <w:pStyle w:val="ARfinbody"/>
      </w:pPr>
      <w:r>
        <w:t xml:space="preserve">Established under s. 20 of the </w:t>
      </w:r>
      <w:r>
        <w:rPr>
          <w:rStyle w:val="Emphasis"/>
        </w:rPr>
        <w:t>Veterans Act 2005</w:t>
      </w:r>
      <w:r>
        <w:t xml:space="preserve"> to educate Victorians about Victoria</w:t>
      </w:r>
      <w:r w:rsidR="007D145B">
        <w:t>’</w:t>
      </w:r>
      <w:r>
        <w:t>s involvement in Australia</w:t>
      </w:r>
      <w:r w:rsidR="007D145B">
        <w:t>’</w:t>
      </w:r>
      <w:r>
        <w:t>s war and service history, to honour or commemorate the service or sacrifice of veterans, to assist the education of veterans</w:t>
      </w:r>
      <w:r w:rsidR="007D145B">
        <w:t>’</w:t>
      </w:r>
      <w:r>
        <w:t xml:space="preserve"> dependants and any other purpose agreed in writing by the Minister for Veterans. The Victorian Veterans Council may invest any part of the Victorian Veterans Fund not immediately required for the purposes of the Victorian Veterans Fund in any manner approved by the Treasurer.</w:t>
      </w:r>
    </w:p>
    <w:p w14:paraId="68739DAF" w14:textId="77777777" w:rsidR="005F4A7E" w:rsidRDefault="005F4A7E" w:rsidP="00130D1C">
      <w:pPr>
        <w:pStyle w:val="Heading7"/>
      </w:pPr>
      <w:bookmarkStart w:id="976" w:name="_Toc85121497"/>
      <w:r>
        <w:t>Anzac Day Proceeds Fund</w:t>
      </w:r>
      <w:bookmarkEnd w:id="976"/>
    </w:p>
    <w:p w14:paraId="36754001" w14:textId="77777777" w:rsidR="005F4A7E" w:rsidRDefault="005F4A7E" w:rsidP="00130D1C">
      <w:pPr>
        <w:pStyle w:val="ARfinbody"/>
      </w:pPr>
      <w:r>
        <w:t xml:space="preserve">Established under s. 4A of the </w:t>
      </w:r>
      <w:r>
        <w:rPr>
          <w:rStyle w:val="Emphasis"/>
        </w:rPr>
        <w:t>ANZAC Day Act 1958</w:t>
      </w:r>
      <w:r>
        <w:t xml:space="preserve"> to receive funds as required to be paid by the </w:t>
      </w:r>
      <w:r>
        <w:rPr>
          <w:rStyle w:val="Emphasis"/>
        </w:rPr>
        <w:t>ANZAC Day Act 1958</w:t>
      </w:r>
      <w:r>
        <w:t xml:space="preserve"> and the </w:t>
      </w:r>
      <w:r>
        <w:rPr>
          <w:rStyle w:val="Emphasis"/>
        </w:rPr>
        <w:t>Racing Act 1958</w:t>
      </w:r>
      <w:r>
        <w:t xml:space="preserve"> and to be credited to the Victorian Veterans Fund.</w:t>
      </w:r>
    </w:p>
    <w:p w14:paraId="4B2542C0" w14:textId="77777777" w:rsidR="005F4A7E" w:rsidRDefault="005F4A7E" w:rsidP="00130D1C">
      <w:pPr>
        <w:spacing w:line="240" w:lineRule="auto"/>
        <w:rPr>
          <w:rFonts w:ascii="Arial" w:hAnsi="Arial" w:cs="Arial"/>
          <w:b/>
          <w:bCs/>
          <w:sz w:val="16"/>
          <w:szCs w:val="16"/>
          <w:lang w:eastAsia="en-AU"/>
        </w:rPr>
      </w:pPr>
      <w:r>
        <w:rPr>
          <w:rFonts w:ascii="Arial" w:hAnsi="Arial" w:cs="Arial"/>
          <w:b/>
          <w:bCs/>
          <w:sz w:val="16"/>
          <w:szCs w:val="16"/>
          <w:lang w:eastAsia="en-AU"/>
        </w:rPr>
        <w:br w:type="page"/>
      </w:r>
    </w:p>
    <w:p w14:paraId="6F7E982A" w14:textId="77777777" w:rsidR="005F4A7E" w:rsidRDefault="005F4A7E" w:rsidP="00130D1C">
      <w:pPr>
        <w:pStyle w:val="Heading6"/>
        <w:rPr>
          <w:lang w:eastAsia="en-AU"/>
        </w:rPr>
      </w:pPr>
      <w:bookmarkStart w:id="977" w:name="_Toc85121498"/>
      <w:r>
        <w:rPr>
          <w:lang w:eastAsia="en-AU"/>
        </w:rPr>
        <w:lastRenderedPageBreak/>
        <w:t>Administered trusts</w:t>
      </w:r>
      <w:bookmarkEnd w:id="977"/>
    </w:p>
    <w:p w14:paraId="66A069FC" w14:textId="77777777" w:rsidR="005F4A7E" w:rsidRDefault="005F4A7E" w:rsidP="00130D1C">
      <w:pPr>
        <w:pStyle w:val="Heading7"/>
      </w:pPr>
      <w:bookmarkStart w:id="978" w:name="_Toc85121499"/>
      <w:r>
        <w:t>National Disability Insurance Scheme Trust Account</w:t>
      </w:r>
      <w:bookmarkEnd w:id="978"/>
    </w:p>
    <w:p w14:paraId="330EC396" w14:textId="14E6420C" w:rsidR="005F4A7E" w:rsidRDefault="005F4A7E" w:rsidP="00130D1C">
      <w:pPr>
        <w:pStyle w:val="ARfinbody"/>
      </w:pPr>
      <w:r>
        <w:t>Established in accordance with a memorandum of understanding (MOU) between Department of Health and Human Services, Department of Education and Training, Taxi Services Commission, and Department of Treasury and Finance. The trust is used solely to manage the state</w:t>
      </w:r>
      <w:r w:rsidR="007D145B">
        <w:t>’</w:t>
      </w:r>
      <w:r>
        <w:t>s payments to the NDIA, as required under the bilateral agreement between the Commonwealth and Victoria that outlines the transition to the National Disability Insurance Scheme.</w:t>
      </w:r>
    </w:p>
    <w:p w14:paraId="58721F91" w14:textId="77777777" w:rsidR="005F4A7E" w:rsidRDefault="005F4A7E" w:rsidP="00130D1C">
      <w:pPr>
        <w:pStyle w:val="Heading7"/>
      </w:pPr>
      <w:bookmarkStart w:id="979" w:name="_Toc85121500"/>
      <w:r>
        <w:t>National Health Funding Pool – Victoria State Pool Account</w:t>
      </w:r>
      <w:bookmarkEnd w:id="979"/>
    </w:p>
    <w:p w14:paraId="2D31E1DB" w14:textId="77777777" w:rsidR="005F4A7E" w:rsidRDefault="005F4A7E" w:rsidP="00130D1C">
      <w:pPr>
        <w:pStyle w:val="ARfinbody"/>
      </w:pPr>
      <w:r>
        <w:t xml:space="preserve">Established under the </w:t>
      </w:r>
      <w:r>
        <w:rPr>
          <w:rStyle w:val="Emphasis"/>
        </w:rPr>
        <w:t xml:space="preserve">Health (Commonwealth State Funding Arrangements) Act 2012 </w:t>
      </w:r>
      <w:r>
        <w:t>to record funding made available by the Commonwealth and the state under the National Health Reform Agreement.</w:t>
      </w:r>
    </w:p>
    <w:p w14:paraId="6DB262C7" w14:textId="77777777" w:rsidR="005F4A7E" w:rsidRDefault="005F4A7E" w:rsidP="00130D1C">
      <w:pPr>
        <w:pStyle w:val="Heading7"/>
      </w:pPr>
      <w:bookmarkStart w:id="980" w:name="_Toc85121501"/>
      <w:r>
        <w:t>Public Service Commuter Club</w:t>
      </w:r>
      <w:bookmarkEnd w:id="980"/>
    </w:p>
    <w:p w14:paraId="6F844C6C" w14:textId="3E8958FD" w:rsidR="005F4A7E" w:rsidRDefault="005F4A7E" w:rsidP="00130D1C">
      <w:pPr>
        <w:pStyle w:val="ARfinbody"/>
      </w:pPr>
      <w:r>
        <w:t>Established to record the receipt of amounts associated with the Public Service Commuter Club Scheme and deductions from club members</w:t>
      </w:r>
      <w:r w:rsidR="007D145B">
        <w:t>’</w:t>
      </w:r>
      <w:r>
        <w:t xml:space="preserve"> salaries as well as to record payment to the Public Transport Corporation.</w:t>
      </w:r>
    </w:p>
    <w:p w14:paraId="4174CD3C" w14:textId="77777777" w:rsidR="005F4A7E" w:rsidRDefault="005F4A7E" w:rsidP="00130D1C">
      <w:pPr>
        <w:pStyle w:val="Heading7"/>
      </w:pPr>
      <w:bookmarkStart w:id="981" w:name="_Toc85121502"/>
      <w:r>
        <w:t>Revenue Suspense Account</w:t>
      </w:r>
      <w:bookmarkEnd w:id="981"/>
    </w:p>
    <w:p w14:paraId="38F25655" w14:textId="77777777" w:rsidR="005F4A7E" w:rsidRDefault="005F4A7E" w:rsidP="00130D1C">
      <w:pPr>
        <w:pStyle w:val="ARfinbody"/>
      </w:pPr>
      <w:r>
        <w:t>Short-term clearing account pending correct identification of receipts.</w:t>
      </w:r>
    </w:p>
    <w:p w14:paraId="43E6C50F" w14:textId="77777777" w:rsidR="005F4A7E" w:rsidRDefault="005F4A7E" w:rsidP="00130D1C">
      <w:pPr>
        <w:pStyle w:val="Heading7"/>
      </w:pPr>
      <w:bookmarkStart w:id="982" w:name="_Toc85121503"/>
      <w:r>
        <w:t>Victorian Natural Disasters Relief Fund</w:t>
      </w:r>
      <w:bookmarkEnd w:id="982"/>
    </w:p>
    <w:p w14:paraId="0722A38C" w14:textId="77777777" w:rsidR="005F4A7E" w:rsidRDefault="005F4A7E" w:rsidP="00130D1C">
      <w:pPr>
        <w:pStyle w:val="ARfinbody"/>
      </w:pPr>
      <w:r>
        <w:t>Established for the purpose of granting assistance to persons who suffer losses as a result of flood, bushfires and other natural disasters.</w:t>
      </w:r>
    </w:p>
    <w:p w14:paraId="56E8F631" w14:textId="77777777" w:rsidR="005F4A7E" w:rsidRPr="002029AF" w:rsidRDefault="005F4A7E" w:rsidP="00087B91">
      <w:pPr>
        <w:pStyle w:val="ARfinbody"/>
      </w:pPr>
      <w:r w:rsidRPr="002029AF">
        <w:br w:type="page"/>
      </w:r>
    </w:p>
    <w:p w14:paraId="4239A8D1" w14:textId="77777777" w:rsidR="005F4A7E" w:rsidRPr="002029AF" w:rsidRDefault="005F4A7E" w:rsidP="00087B91">
      <w:pPr>
        <w:pStyle w:val="Heading4"/>
      </w:pPr>
      <w:bookmarkStart w:id="983" w:name="_Toc39242160"/>
      <w:bookmarkStart w:id="984" w:name="_Toc85121504"/>
      <w:r w:rsidRPr="002029AF">
        <w:lastRenderedPageBreak/>
        <w:t>7.5 Commitments for expenditure</w:t>
      </w:r>
      <w:bookmarkEnd w:id="983"/>
      <w:bookmarkEnd w:id="984"/>
    </w:p>
    <w:p w14:paraId="390E2CCC" w14:textId="77777777" w:rsidR="005F4A7E" w:rsidRPr="002029AF" w:rsidRDefault="005F4A7E" w:rsidP="00087B91">
      <w:pPr>
        <w:pStyle w:val="ARfinbody"/>
      </w:pPr>
      <w:r w:rsidRPr="002029AF">
        <w:t>Commitments for future expenditure include operating and capital commitments arising from contracts. These commitments are recorded below at their nominal value and inclusive of GST. These future expenditures cease to</w:t>
      </w:r>
      <w:r>
        <w:t> </w:t>
      </w:r>
      <w:r w:rsidRPr="002029AF">
        <w:t>be</w:t>
      </w:r>
      <w:r>
        <w:t> </w:t>
      </w:r>
      <w:r w:rsidRPr="002029AF">
        <w:t>disclosed as commitments once the related liabilities are recognised in the balance sheet.</w:t>
      </w:r>
    </w:p>
    <w:p w14:paraId="6FD963E6" w14:textId="77777777" w:rsidR="005F4A7E" w:rsidRPr="002029AF" w:rsidRDefault="005F4A7E" w:rsidP="00087B91">
      <w:pPr>
        <w:pStyle w:val="Heading5"/>
      </w:pPr>
      <w:bookmarkStart w:id="985" w:name="_Toc85121505"/>
      <w:r w:rsidRPr="002029AF">
        <w:t xml:space="preserve">7.5.1 Total commitments payable </w:t>
      </w:r>
      <w:r w:rsidRPr="002029AF">
        <w:rPr>
          <w:rStyle w:val="Superscript"/>
        </w:rPr>
        <w:t>(i)</w:t>
      </w:r>
      <w:bookmarkEnd w:id="985"/>
    </w:p>
    <w:tbl>
      <w:tblPr>
        <w:tblStyle w:val="TableGrid"/>
        <w:tblW w:w="9637" w:type="dxa"/>
        <w:tblLayout w:type="fixed"/>
        <w:tblLook w:val="06A0" w:firstRow="1" w:lastRow="0" w:firstColumn="1" w:lastColumn="0" w:noHBand="1" w:noVBand="1"/>
      </w:tblPr>
      <w:tblGrid>
        <w:gridCol w:w="7371"/>
        <w:gridCol w:w="1133"/>
        <w:gridCol w:w="1133"/>
      </w:tblGrid>
      <w:tr w:rsidR="005F4A7E" w:rsidRPr="002029AF" w14:paraId="29D31312"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7371" w:type="dxa"/>
            <w:noWrap/>
            <w:hideMark/>
          </w:tcPr>
          <w:p w14:paraId="01DA6DF0" w14:textId="77777777" w:rsidR="005F4A7E" w:rsidRPr="002029AF" w:rsidRDefault="005F4A7E" w:rsidP="00860E95">
            <w:pPr>
              <w:pStyle w:val="ARfintablecolhead"/>
            </w:pPr>
          </w:p>
        </w:tc>
        <w:tc>
          <w:tcPr>
            <w:tcW w:w="1133" w:type="dxa"/>
            <w:shd w:val="clear" w:color="auto" w:fill="E7E6E6"/>
            <w:hideMark/>
          </w:tcPr>
          <w:p w14:paraId="33B83B92" w14:textId="77777777" w:rsidR="005F4A7E" w:rsidRPr="002029AF" w:rsidRDefault="005F4A7E" w:rsidP="00860E95">
            <w:pPr>
              <w:pStyle w:val="ARfintablecolheadright"/>
            </w:pPr>
            <w:r>
              <w:t>2021</w:t>
            </w:r>
          </w:p>
          <w:p w14:paraId="3DD23066" w14:textId="77777777" w:rsidR="005F4A7E" w:rsidRPr="002029AF" w:rsidRDefault="005F4A7E" w:rsidP="00860E95">
            <w:pPr>
              <w:pStyle w:val="ARfintablecolheadright"/>
            </w:pPr>
            <w:r w:rsidRPr="002029AF">
              <w:t>$M</w:t>
            </w:r>
          </w:p>
        </w:tc>
        <w:tc>
          <w:tcPr>
            <w:tcW w:w="1133" w:type="dxa"/>
            <w:hideMark/>
          </w:tcPr>
          <w:p w14:paraId="43979A29" w14:textId="77777777" w:rsidR="005F4A7E" w:rsidRPr="002029AF" w:rsidRDefault="005F4A7E" w:rsidP="00860E95">
            <w:pPr>
              <w:pStyle w:val="ARfintablecolheadright"/>
            </w:pPr>
            <w:r>
              <w:t>2020</w:t>
            </w:r>
          </w:p>
          <w:p w14:paraId="2A020052" w14:textId="77777777" w:rsidR="005F4A7E" w:rsidRPr="002029AF" w:rsidRDefault="005F4A7E" w:rsidP="00860E95">
            <w:pPr>
              <w:pStyle w:val="ARfintablecolheadright"/>
            </w:pPr>
            <w:r w:rsidRPr="002029AF">
              <w:t>$M</w:t>
            </w:r>
          </w:p>
        </w:tc>
      </w:tr>
      <w:tr w:rsidR="005F4A7E" w:rsidRPr="002029AF" w14:paraId="153EF973" w14:textId="77777777" w:rsidTr="00860E95">
        <w:tc>
          <w:tcPr>
            <w:tcW w:w="9637" w:type="dxa"/>
            <w:gridSpan w:val="3"/>
            <w:tcBorders>
              <w:bottom w:val="single" w:sz="4" w:space="0" w:color="auto"/>
            </w:tcBorders>
            <w:hideMark/>
          </w:tcPr>
          <w:p w14:paraId="218F65BE" w14:textId="77777777" w:rsidR="005F4A7E" w:rsidRPr="00B72688" w:rsidRDefault="005F4A7E" w:rsidP="00130D1C">
            <w:pPr>
              <w:pStyle w:val="ARfintablebody"/>
            </w:pPr>
            <w:r w:rsidRPr="00B72688">
              <w:t>The following commitments have not been recognised as liabilities in the financial statements.</w:t>
            </w:r>
          </w:p>
        </w:tc>
      </w:tr>
      <w:tr w:rsidR="005F4A7E" w:rsidRPr="002029AF" w14:paraId="5CD03F97" w14:textId="77777777" w:rsidTr="00860E95">
        <w:tc>
          <w:tcPr>
            <w:tcW w:w="9637" w:type="dxa"/>
            <w:gridSpan w:val="3"/>
            <w:tcBorders>
              <w:top w:val="single" w:sz="4" w:space="0" w:color="auto"/>
              <w:bottom w:val="single" w:sz="4" w:space="0" w:color="A6A6A6"/>
            </w:tcBorders>
            <w:hideMark/>
          </w:tcPr>
          <w:p w14:paraId="2BF478EF" w14:textId="77777777" w:rsidR="005F4A7E" w:rsidRPr="002029AF" w:rsidRDefault="005F4A7E" w:rsidP="00130D1C">
            <w:pPr>
              <w:pStyle w:val="ARfintablebodybold"/>
            </w:pPr>
            <w:r w:rsidRPr="00DA47C2">
              <w:t xml:space="preserve">(a) Capital expenditure commitments </w:t>
            </w:r>
            <w:r w:rsidRPr="00B72688">
              <w:rPr>
                <w:rStyle w:val="Superscript"/>
              </w:rPr>
              <w:t>(ii)</w:t>
            </w:r>
          </w:p>
        </w:tc>
      </w:tr>
      <w:tr w:rsidR="005F4A7E" w:rsidRPr="002029AF" w14:paraId="3BAAA35C" w14:textId="77777777" w:rsidTr="00860E95">
        <w:tc>
          <w:tcPr>
            <w:tcW w:w="7371" w:type="dxa"/>
            <w:tcBorders>
              <w:top w:val="single" w:sz="4" w:space="0" w:color="A6A6A6"/>
              <w:bottom w:val="single" w:sz="4" w:space="0" w:color="A6A6A6"/>
            </w:tcBorders>
            <w:hideMark/>
          </w:tcPr>
          <w:p w14:paraId="3C246ABC" w14:textId="77777777" w:rsidR="005F4A7E" w:rsidRPr="002029AF" w:rsidRDefault="005F4A7E" w:rsidP="00130D1C">
            <w:pPr>
              <w:pStyle w:val="ARfintablebody"/>
            </w:pPr>
            <w:r w:rsidRPr="00DA47C2">
              <w:t>Less than 1 year</w:t>
            </w:r>
          </w:p>
        </w:tc>
        <w:tc>
          <w:tcPr>
            <w:tcW w:w="1133" w:type="dxa"/>
            <w:tcBorders>
              <w:top w:val="single" w:sz="4" w:space="0" w:color="A6A6A6"/>
              <w:bottom w:val="single" w:sz="4" w:space="0" w:color="A6A6A6"/>
            </w:tcBorders>
            <w:shd w:val="clear" w:color="auto" w:fill="E7E6E6"/>
            <w:noWrap/>
            <w:hideMark/>
          </w:tcPr>
          <w:p w14:paraId="5C1F70D5" w14:textId="77777777" w:rsidR="005F4A7E" w:rsidRPr="002029AF" w:rsidRDefault="005F4A7E" w:rsidP="00130D1C">
            <w:pPr>
              <w:pStyle w:val="ARfintablebodyright"/>
            </w:pPr>
            <w:r>
              <w:t>837.3</w:t>
            </w:r>
          </w:p>
        </w:tc>
        <w:tc>
          <w:tcPr>
            <w:tcW w:w="1133" w:type="dxa"/>
            <w:tcBorders>
              <w:top w:val="single" w:sz="4" w:space="0" w:color="A6A6A6"/>
              <w:bottom w:val="single" w:sz="4" w:space="0" w:color="A6A6A6"/>
            </w:tcBorders>
            <w:noWrap/>
            <w:hideMark/>
          </w:tcPr>
          <w:p w14:paraId="3D38809C" w14:textId="77777777" w:rsidR="005F4A7E" w:rsidRPr="002029AF" w:rsidRDefault="005F4A7E" w:rsidP="00130D1C">
            <w:pPr>
              <w:pStyle w:val="ARfintablebodyright"/>
            </w:pPr>
            <w:r w:rsidRPr="00DA47C2">
              <w:t>399.8</w:t>
            </w:r>
          </w:p>
        </w:tc>
      </w:tr>
      <w:tr w:rsidR="005F4A7E" w:rsidRPr="002029AF" w14:paraId="617D53A0" w14:textId="77777777" w:rsidTr="00860E95">
        <w:tc>
          <w:tcPr>
            <w:tcW w:w="7371" w:type="dxa"/>
            <w:tcBorders>
              <w:top w:val="single" w:sz="4" w:space="0" w:color="A6A6A6"/>
              <w:bottom w:val="single" w:sz="4" w:space="0" w:color="A6A6A6"/>
            </w:tcBorders>
            <w:hideMark/>
          </w:tcPr>
          <w:p w14:paraId="1C49CD3A" w14:textId="77777777" w:rsidR="005F4A7E" w:rsidRPr="002029AF" w:rsidRDefault="005F4A7E" w:rsidP="00130D1C">
            <w:pPr>
              <w:pStyle w:val="ARfintablebody"/>
            </w:pPr>
            <w:r w:rsidRPr="00DA47C2">
              <w:t>Longer than 1 year and not longer than 5 years</w:t>
            </w:r>
          </w:p>
        </w:tc>
        <w:tc>
          <w:tcPr>
            <w:tcW w:w="1133" w:type="dxa"/>
            <w:tcBorders>
              <w:top w:val="single" w:sz="4" w:space="0" w:color="A6A6A6"/>
              <w:bottom w:val="single" w:sz="4" w:space="0" w:color="A6A6A6"/>
            </w:tcBorders>
            <w:shd w:val="clear" w:color="auto" w:fill="E7E6E6"/>
            <w:noWrap/>
            <w:hideMark/>
          </w:tcPr>
          <w:p w14:paraId="5652E483" w14:textId="77777777" w:rsidR="005F4A7E" w:rsidRPr="002029AF" w:rsidRDefault="005F4A7E" w:rsidP="00130D1C">
            <w:pPr>
              <w:pStyle w:val="ARfintablebodyright"/>
            </w:pPr>
            <w:r>
              <w:t>214.8</w:t>
            </w:r>
          </w:p>
        </w:tc>
        <w:tc>
          <w:tcPr>
            <w:tcW w:w="1133" w:type="dxa"/>
            <w:tcBorders>
              <w:top w:val="single" w:sz="4" w:space="0" w:color="A6A6A6"/>
              <w:bottom w:val="single" w:sz="4" w:space="0" w:color="A6A6A6"/>
            </w:tcBorders>
            <w:noWrap/>
            <w:hideMark/>
          </w:tcPr>
          <w:p w14:paraId="45156981" w14:textId="77777777" w:rsidR="005F4A7E" w:rsidRPr="002029AF" w:rsidRDefault="005F4A7E" w:rsidP="00130D1C">
            <w:pPr>
              <w:pStyle w:val="ARfintablebodyright"/>
            </w:pPr>
            <w:r w:rsidRPr="00DA47C2">
              <w:t>345.9</w:t>
            </w:r>
          </w:p>
        </w:tc>
      </w:tr>
      <w:tr w:rsidR="005F4A7E" w:rsidRPr="002029AF" w14:paraId="4E32395B" w14:textId="77777777" w:rsidTr="00860E95">
        <w:tc>
          <w:tcPr>
            <w:tcW w:w="7371" w:type="dxa"/>
            <w:tcBorders>
              <w:top w:val="single" w:sz="4" w:space="0" w:color="A6A6A6"/>
            </w:tcBorders>
            <w:hideMark/>
          </w:tcPr>
          <w:p w14:paraId="1FFE1232" w14:textId="77777777" w:rsidR="005F4A7E" w:rsidRPr="002029AF" w:rsidRDefault="005F4A7E" w:rsidP="00130D1C">
            <w:pPr>
              <w:pStyle w:val="ARfintablebody"/>
            </w:pPr>
            <w:r w:rsidRPr="00DA47C2">
              <w:t>Longer than 5 years</w:t>
            </w:r>
          </w:p>
        </w:tc>
        <w:tc>
          <w:tcPr>
            <w:tcW w:w="1133" w:type="dxa"/>
            <w:tcBorders>
              <w:top w:val="single" w:sz="4" w:space="0" w:color="A6A6A6"/>
            </w:tcBorders>
            <w:shd w:val="clear" w:color="auto" w:fill="E7E6E6"/>
            <w:noWrap/>
            <w:hideMark/>
          </w:tcPr>
          <w:p w14:paraId="710CBF4F" w14:textId="77777777" w:rsidR="005F4A7E" w:rsidRPr="002029AF" w:rsidRDefault="005F4A7E" w:rsidP="00130D1C">
            <w:pPr>
              <w:pStyle w:val="ARfintablebodyright"/>
            </w:pPr>
            <w:r w:rsidRPr="00DA47C2">
              <w:t>–</w:t>
            </w:r>
          </w:p>
        </w:tc>
        <w:tc>
          <w:tcPr>
            <w:tcW w:w="1133" w:type="dxa"/>
            <w:tcBorders>
              <w:top w:val="single" w:sz="4" w:space="0" w:color="A6A6A6"/>
            </w:tcBorders>
            <w:noWrap/>
            <w:hideMark/>
          </w:tcPr>
          <w:p w14:paraId="11142DEB" w14:textId="77777777" w:rsidR="005F4A7E" w:rsidRPr="002029AF" w:rsidRDefault="005F4A7E" w:rsidP="00130D1C">
            <w:pPr>
              <w:pStyle w:val="ARfintablebodyright"/>
            </w:pPr>
            <w:r w:rsidRPr="00DA47C2">
              <w:t>–</w:t>
            </w:r>
          </w:p>
        </w:tc>
      </w:tr>
      <w:tr w:rsidR="005F4A7E" w:rsidRPr="002029AF" w14:paraId="50571A12" w14:textId="77777777" w:rsidTr="00860E95">
        <w:tc>
          <w:tcPr>
            <w:tcW w:w="7371" w:type="dxa"/>
            <w:tcBorders>
              <w:bottom w:val="single" w:sz="4" w:space="0" w:color="auto"/>
            </w:tcBorders>
            <w:hideMark/>
          </w:tcPr>
          <w:p w14:paraId="77CF3F9B" w14:textId="77777777" w:rsidR="005F4A7E" w:rsidRPr="002029AF" w:rsidRDefault="005F4A7E" w:rsidP="00130D1C">
            <w:pPr>
              <w:pStyle w:val="ARfintablebodybold"/>
            </w:pPr>
            <w:r w:rsidRPr="00DA47C2">
              <w:t>Total capital commitments</w:t>
            </w:r>
          </w:p>
        </w:tc>
        <w:tc>
          <w:tcPr>
            <w:tcW w:w="1133" w:type="dxa"/>
            <w:tcBorders>
              <w:bottom w:val="single" w:sz="4" w:space="0" w:color="auto"/>
            </w:tcBorders>
            <w:shd w:val="clear" w:color="auto" w:fill="E7E6E6"/>
            <w:noWrap/>
            <w:hideMark/>
          </w:tcPr>
          <w:p w14:paraId="64C81E8F" w14:textId="77777777" w:rsidR="005F4A7E" w:rsidRPr="002029AF" w:rsidRDefault="005F4A7E" w:rsidP="00130D1C">
            <w:pPr>
              <w:pStyle w:val="ARfintablebodyrightbold"/>
            </w:pPr>
            <w:r>
              <w:t>1,052.1</w:t>
            </w:r>
          </w:p>
        </w:tc>
        <w:tc>
          <w:tcPr>
            <w:tcW w:w="1133" w:type="dxa"/>
            <w:tcBorders>
              <w:bottom w:val="single" w:sz="4" w:space="0" w:color="auto"/>
            </w:tcBorders>
            <w:noWrap/>
            <w:hideMark/>
          </w:tcPr>
          <w:p w14:paraId="6C493A86" w14:textId="77777777" w:rsidR="005F4A7E" w:rsidRPr="002029AF" w:rsidRDefault="005F4A7E" w:rsidP="00130D1C">
            <w:pPr>
              <w:pStyle w:val="ARfintablebodyrightbold"/>
            </w:pPr>
            <w:r w:rsidRPr="00DA47C2">
              <w:t>745.7</w:t>
            </w:r>
          </w:p>
        </w:tc>
      </w:tr>
      <w:tr w:rsidR="005F4A7E" w:rsidRPr="002029AF" w14:paraId="058C3305" w14:textId="77777777" w:rsidTr="00860E95">
        <w:tc>
          <w:tcPr>
            <w:tcW w:w="9637" w:type="dxa"/>
            <w:gridSpan w:val="3"/>
            <w:tcBorders>
              <w:top w:val="single" w:sz="4" w:space="0" w:color="auto"/>
              <w:bottom w:val="single" w:sz="4" w:space="0" w:color="A6A6A6"/>
            </w:tcBorders>
            <w:hideMark/>
          </w:tcPr>
          <w:p w14:paraId="388FF3E4" w14:textId="77777777" w:rsidR="005F4A7E" w:rsidRPr="002029AF" w:rsidRDefault="005F4A7E" w:rsidP="00130D1C">
            <w:pPr>
              <w:pStyle w:val="ARfintablebodybold"/>
            </w:pPr>
            <w:r w:rsidRPr="00DA47C2">
              <w:t xml:space="preserve">(b) Accommodation expenses payable </w:t>
            </w:r>
            <w:r w:rsidRPr="00B72688">
              <w:rPr>
                <w:rStyle w:val="Superscript"/>
              </w:rPr>
              <w:t>(ii)(iii)</w:t>
            </w:r>
          </w:p>
        </w:tc>
      </w:tr>
      <w:tr w:rsidR="005F4A7E" w:rsidRPr="002029AF" w14:paraId="687B19E7" w14:textId="77777777" w:rsidTr="00860E95">
        <w:tc>
          <w:tcPr>
            <w:tcW w:w="7371" w:type="dxa"/>
            <w:tcBorders>
              <w:top w:val="single" w:sz="4" w:space="0" w:color="A6A6A6"/>
              <w:bottom w:val="single" w:sz="4" w:space="0" w:color="A6A6A6"/>
            </w:tcBorders>
            <w:hideMark/>
          </w:tcPr>
          <w:p w14:paraId="6E8DFB57" w14:textId="77777777" w:rsidR="005F4A7E" w:rsidRPr="002029AF" w:rsidRDefault="005F4A7E" w:rsidP="00130D1C">
            <w:pPr>
              <w:pStyle w:val="ARfintablebody"/>
            </w:pPr>
            <w:r w:rsidRPr="00DA47C2">
              <w:t>Less than 1 year</w:t>
            </w:r>
          </w:p>
        </w:tc>
        <w:tc>
          <w:tcPr>
            <w:tcW w:w="1133" w:type="dxa"/>
            <w:tcBorders>
              <w:top w:val="single" w:sz="4" w:space="0" w:color="A6A6A6"/>
              <w:bottom w:val="single" w:sz="4" w:space="0" w:color="A6A6A6"/>
            </w:tcBorders>
            <w:shd w:val="clear" w:color="auto" w:fill="E7E6E6"/>
            <w:noWrap/>
            <w:hideMark/>
          </w:tcPr>
          <w:p w14:paraId="57F01F1B" w14:textId="77777777" w:rsidR="005F4A7E" w:rsidRPr="002029AF" w:rsidRDefault="005F4A7E" w:rsidP="00130D1C">
            <w:pPr>
              <w:pStyle w:val="ARfintablebodyright"/>
            </w:pPr>
            <w:r w:rsidRPr="00DA47C2">
              <w:t>32.5</w:t>
            </w:r>
          </w:p>
        </w:tc>
        <w:tc>
          <w:tcPr>
            <w:tcW w:w="1133" w:type="dxa"/>
            <w:tcBorders>
              <w:top w:val="single" w:sz="4" w:space="0" w:color="A6A6A6"/>
              <w:bottom w:val="single" w:sz="4" w:space="0" w:color="A6A6A6"/>
            </w:tcBorders>
            <w:noWrap/>
            <w:hideMark/>
          </w:tcPr>
          <w:p w14:paraId="31E63B3B" w14:textId="77777777" w:rsidR="005F4A7E" w:rsidRPr="002029AF" w:rsidRDefault="005F4A7E" w:rsidP="00130D1C">
            <w:pPr>
              <w:pStyle w:val="ARfintablebodyright"/>
            </w:pPr>
            <w:r w:rsidRPr="00DA47C2">
              <w:t>101.3</w:t>
            </w:r>
          </w:p>
        </w:tc>
      </w:tr>
      <w:tr w:rsidR="005F4A7E" w:rsidRPr="002029AF" w14:paraId="7F2E4F7A" w14:textId="77777777" w:rsidTr="00860E95">
        <w:tc>
          <w:tcPr>
            <w:tcW w:w="7371" w:type="dxa"/>
            <w:tcBorders>
              <w:top w:val="single" w:sz="4" w:space="0" w:color="A6A6A6"/>
              <w:bottom w:val="single" w:sz="4" w:space="0" w:color="A6A6A6"/>
            </w:tcBorders>
            <w:hideMark/>
          </w:tcPr>
          <w:p w14:paraId="559D9A18" w14:textId="77777777" w:rsidR="005F4A7E" w:rsidRPr="002029AF" w:rsidRDefault="005F4A7E" w:rsidP="00130D1C">
            <w:pPr>
              <w:pStyle w:val="ARfintablebody"/>
            </w:pPr>
            <w:r w:rsidRPr="00DA47C2">
              <w:t>Longer than 1 year and not longer than 5 years</w:t>
            </w:r>
          </w:p>
        </w:tc>
        <w:tc>
          <w:tcPr>
            <w:tcW w:w="1133" w:type="dxa"/>
            <w:tcBorders>
              <w:top w:val="single" w:sz="4" w:space="0" w:color="A6A6A6"/>
              <w:bottom w:val="single" w:sz="4" w:space="0" w:color="A6A6A6"/>
            </w:tcBorders>
            <w:shd w:val="clear" w:color="auto" w:fill="E7E6E6"/>
            <w:noWrap/>
            <w:hideMark/>
          </w:tcPr>
          <w:p w14:paraId="1A2D6922" w14:textId="77777777" w:rsidR="005F4A7E" w:rsidRPr="002029AF" w:rsidRDefault="005F4A7E" w:rsidP="00130D1C">
            <w:pPr>
              <w:pStyle w:val="ARfintablebodyright"/>
            </w:pPr>
            <w:r w:rsidRPr="00DA47C2">
              <w:t>–</w:t>
            </w:r>
          </w:p>
        </w:tc>
        <w:tc>
          <w:tcPr>
            <w:tcW w:w="1133" w:type="dxa"/>
            <w:tcBorders>
              <w:top w:val="single" w:sz="4" w:space="0" w:color="A6A6A6"/>
              <w:bottom w:val="single" w:sz="4" w:space="0" w:color="A6A6A6"/>
            </w:tcBorders>
            <w:noWrap/>
            <w:hideMark/>
          </w:tcPr>
          <w:p w14:paraId="5B26EBBB" w14:textId="77777777" w:rsidR="005F4A7E" w:rsidRPr="002029AF" w:rsidRDefault="005F4A7E" w:rsidP="00130D1C">
            <w:pPr>
              <w:pStyle w:val="ARfintablebodyright"/>
            </w:pPr>
            <w:r w:rsidRPr="00DA47C2">
              <w:t>104.7</w:t>
            </w:r>
          </w:p>
        </w:tc>
      </w:tr>
      <w:tr w:rsidR="005F4A7E" w:rsidRPr="002029AF" w14:paraId="10793D87" w14:textId="77777777" w:rsidTr="00860E95">
        <w:tc>
          <w:tcPr>
            <w:tcW w:w="7371" w:type="dxa"/>
            <w:tcBorders>
              <w:top w:val="single" w:sz="4" w:space="0" w:color="A6A6A6"/>
            </w:tcBorders>
            <w:hideMark/>
          </w:tcPr>
          <w:p w14:paraId="2EAC06C3" w14:textId="77777777" w:rsidR="005F4A7E" w:rsidRPr="002029AF" w:rsidRDefault="005F4A7E" w:rsidP="00130D1C">
            <w:pPr>
              <w:pStyle w:val="ARfintablebody"/>
            </w:pPr>
            <w:r w:rsidRPr="00DA47C2">
              <w:t>Longer than 5 years</w:t>
            </w:r>
          </w:p>
        </w:tc>
        <w:tc>
          <w:tcPr>
            <w:tcW w:w="1133" w:type="dxa"/>
            <w:tcBorders>
              <w:top w:val="single" w:sz="4" w:space="0" w:color="A6A6A6"/>
            </w:tcBorders>
            <w:shd w:val="clear" w:color="auto" w:fill="E7E6E6"/>
            <w:noWrap/>
            <w:hideMark/>
          </w:tcPr>
          <w:p w14:paraId="188C4208" w14:textId="77777777" w:rsidR="005F4A7E" w:rsidRPr="002029AF" w:rsidRDefault="005F4A7E" w:rsidP="00130D1C">
            <w:pPr>
              <w:pStyle w:val="ARfintablebodyright"/>
            </w:pPr>
            <w:r w:rsidRPr="00DA47C2">
              <w:t>–</w:t>
            </w:r>
          </w:p>
        </w:tc>
        <w:tc>
          <w:tcPr>
            <w:tcW w:w="1133" w:type="dxa"/>
            <w:tcBorders>
              <w:top w:val="single" w:sz="4" w:space="0" w:color="A6A6A6"/>
            </w:tcBorders>
            <w:noWrap/>
            <w:hideMark/>
          </w:tcPr>
          <w:p w14:paraId="57CDE28E" w14:textId="77777777" w:rsidR="005F4A7E" w:rsidRPr="002029AF" w:rsidRDefault="005F4A7E" w:rsidP="00130D1C">
            <w:pPr>
              <w:pStyle w:val="ARfintablebodyright"/>
            </w:pPr>
            <w:r w:rsidRPr="00DA47C2">
              <w:t>–</w:t>
            </w:r>
          </w:p>
        </w:tc>
      </w:tr>
      <w:tr w:rsidR="005F4A7E" w:rsidRPr="002029AF" w14:paraId="6FEE3C04" w14:textId="77777777" w:rsidTr="00860E95">
        <w:tc>
          <w:tcPr>
            <w:tcW w:w="7371" w:type="dxa"/>
            <w:tcBorders>
              <w:bottom w:val="single" w:sz="4" w:space="0" w:color="auto"/>
            </w:tcBorders>
            <w:hideMark/>
          </w:tcPr>
          <w:p w14:paraId="163A12A7" w14:textId="77777777" w:rsidR="005F4A7E" w:rsidRPr="002029AF" w:rsidRDefault="005F4A7E" w:rsidP="00130D1C">
            <w:pPr>
              <w:pStyle w:val="ARfintablebodybold"/>
            </w:pPr>
            <w:r w:rsidRPr="00DA47C2">
              <w:t>Total accommodation expenses payable</w:t>
            </w:r>
          </w:p>
        </w:tc>
        <w:tc>
          <w:tcPr>
            <w:tcW w:w="1133" w:type="dxa"/>
            <w:tcBorders>
              <w:bottom w:val="single" w:sz="4" w:space="0" w:color="auto"/>
            </w:tcBorders>
            <w:shd w:val="clear" w:color="auto" w:fill="E7E6E6"/>
            <w:noWrap/>
            <w:hideMark/>
          </w:tcPr>
          <w:p w14:paraId="4CEA4365" w14:textId="77777777" w:rsidR="005F4A7E" w:rsidRPr="002029AF" w:rsidRDefault="005F4A7E" w:rsidP="00130D1C">
            <w:pPr>
              <w:pStyle w:val="ARfintablebodyrightbold"/>
            </w:pPr>
            <w:r w:rsidRPr="00DA47C2">
              <w:t>32.5</w:t>
            </w:r>
          </w:p>
        </w:tc>
        <w:tc>
          <w:tcPr>
            <w:tcW w:w="1133" w:type="dxa"/>
            <w:tcBorders>
              <w:bottom w:val="single" w:sz="4" w:space="0" w:color="auto"/>
            </w:tcBorders>
            <w:noWrap/>
            <w:hideMark/>
          </w:tcPr>
          <w:p w14:paraId="52285268" w14:textId="77777777" w:rsidR="005F4A7E" w:rsidRPr="002029AF" w:rsidRDefault="005F4A7E" w:rsidP="00130D1C">
            <w:pPr>
              <w:pStyle w:val="ARfintablebodyrightbold"/>
            </w:pPr>
            <w:r w:rsidRPr="00DA47C2">
              <w:t>206.0</w:t>
            </w:r>
          </w:p>
        </w:tc>
      </w:tr>
      <w:tr w:rsidR="005F4A7E" w:rsidRPr="002029AF" w14:paraId="79D86A5D" w14:textId="77777777" w:rsidTr="00860E95">
        <w:tc>
          <w:tcPr>
            <w:tcW w:w="9637" w:type="dxa"/>
            <w:gridSpan w:val="3"/>
            <w:tcBorders>
              <w:top w:val="single" w:sz="4" w:space="0" w:color="auto"/>
              <w:bottom w:val="single" w:sz="4" w:space="0" w:color="A6A6A6"/>
            </w:tcBorders>
            <w:hideMark/>
          </w:tcPr>
          <w:p w14:paraId="2181564C" w14:textId="77777777" w:rsidR="005F4A7E" w:rsidRPr="002029AF" w:rsidRDefault="005F4A7E" w:rsidP="00130D1C">
            <w:pPr>
              <w:pStyle w:val="ARfintablebodybold"/>
              <w:rPr>
                <w:rFonts w:ascii="Calibri Light" w:hAnsi="Calibri Light"/>
              </w:rPr>
            </w:pPr>
            <w:r w:rsidRPr="00DA47C2">
              <w:t xml:space="preserve">(c) Other expenditure commitments </w:t>
            </w:r>
            <w:r w:rsidRPr="00B72688">
              <w:rPr>
                <w:rStyle w:val="Superscript"/>
              </w:rPr>
              <w:t>(ii)</w:t>
            </w:r>
          </w:p>
        </w:tc>
      </w:tr>
      <w:tr w:rsidR="005F4A7E" w:rsidRPr="002029AF" w14:paraId="18EC402F" w14:textId="77777777" w:rsidTr="00860E95">
        <w:tc>
          <w:tcPr>
            <w:tcW w:w="7371" w:type="dxa"/>
            <w:tcBorders>
              <w:top w:val="single" w:sz="4" w:space="0" w:color="A6A6A6"/>
              <w:bottom w:val="single" w:sz="4" w:space="0" w:color="A6A6A6"/>
            </w:tcBorders>
            <w:hideMark/>
          </w:tcPr>
          <w:p w14:paraId="7E7559EF" w14:textId="77777777" w:rsidR="005F4A7E" w:rsidRPr="002029AF" w:rsidRDefault="005F4A7E" w:rsidP="00130D1C">
            <w:pPr>
              <w:pStyle w:val="ARfintablebody"/>
            </w:pPr>
            <w:r w:rsidRPr="00DA47C2">
              <w:t>Less than 1 year</w:t>
            </w:r>
          </w:p>
        </w:tc>
        <w:tc>
          <w:tcPr>
            <w:tcW w:w="1133" w:type="dxa"/>
            <w:tcBorders>
              <w:top w:val="single" w:sz="4" w:space="0" w:color="A6A6A6"/>
              <w:bottom w:val="single" w:sz="4" w:space="0" w:color="A6A6A6"/>
            </w:tcBorders>
            <w:shd w:val="clear" w:color="auto" w:fill="E7E6E6"/>
            <w:noWrap/>
            <w:hideMark/>
          </w:tcPr>
          <w:p w14:paraId="7708123E" w14:textId="77777777" w:rsidR="005F4A7E" w:rsidRPr="002029AF" w:rsidRDefault="005F4A7E" w:rsidP="00130D1C">
            <w:pPr>
              <w:pStyle w:val="ARfintablebodyright"/>
            </w:pPr>
            <w:r w:rsidRPr="00DA47C2">
              <w:t>570.8</w:t>
            </w:r>
          </w:p>
        </w:tc>
        <w:tc>
          <w:tcPr>
            <w:tcW w:w="1133" w:type="dxa"/>
            <w:tcBorders>
              <w:top w:val="single" w:sz="4" w:space="0" w:color="A6A6A6"/>
              <w:bottom w:val="single" w:sz="4" w:space="0" w:color="A6A6A6"/>
            </w:tcBorders>
            <w:noWrap/>
            <w:hideMark/>
          </w:tcPr>
          <w:p w14:paraId="0BB0CE6F" w14:textId="77777777" w:rsidR="005F4A7E" w:rsidRPr="002029AF" w:rsidRDefault="005F4A7E" w:rsidP="00130D1C">
            <w:pPr>
              <w:pStyle w:val="ARfintablebodyright"/>
            </w:pPr>
            <w:r w:rsidRPr="00DA47C2">
              <w:t>345.9</w:t>
            </w:r>
          </w:p>
        </w:tc>
      </w:tr>
      <w:tr w:rsidR="005F4A7E" w:rsidRPr="002029AF" w14:paraId="21C8606E" w14:textId="77777777" w:rsidTr="00860E95">
        <w:tc>
          <w:tcPr>
            <w:tcW w:w="7371" w:type="dxa"/>
            <w:tcBorders>
              <w:top w:val="single" w:sz="4" w:space="0" w:color="A6A6A6"/>
              <w:bottom w:val="single" w:sz="4" w:space="0" w:color="A6A6A6"/>
            </w:tcBorders>
            <w:hideMark/>
          </w:tcPr>
          <w:p w14:paraId="3A6705F8" w14:textId="77777777" w:rsidR="005F4A7E" w:rsidRPr="002029AF" w:rsidRDefault="005F4A7E" w:rsidP="00130D1C">
            <w:pPr>
              <w:pStyle w:val="ARfintablebody"/>
            </w:pPr>
            <w:r w:rsidRPr="00DA47C2">
              <w:t>Longer than 1 year and not longer than 5 years</w:t>
            </w:r>
          </w:p>
        </w:tc>
        <w:tc>
          <w:tcPr>
            <w:tcW w:w="1133" w:type="dxa"/>
            <w:tcBorders>
              <w:top w:val="single" w:sz="4" w:space="0" w:color="A6A6A6"/>
              <w:bottom w:val="single" w:sz="4" w:space="0" w:color="A6A6A6"/>
            </w:tcBorders>
            <w:shd w:val="clear" w:color="auto" w:fill="E7E6E6"/>
            <w:noWrap/>
            <w:hideMark/>
          </w:tcPr>
          <w:p w14:paraId="1D5CCC18" w14:textId="77777777" w:rsidR="005F4A7E" w:rsidRPr="002029AF" w:rsidRDefault="005F4A7E" w:rsidP="00130D1C">
            <w:pPr>
              <w:pStyle w:val="ARfintablebodyright"/>
            </w:pPr>
            <w:r w:rsidRPr="00DA47C2">
              <w:t>198.8</w:t>
            </w:r>
          </w:p>
        </w:tc>
        <w:tc>
          <w:tcPr>
            <w:tcW w:w="1133" w:type="dxa"/>
            <w:tcBorders>
              <w:top w:val="single" w:sz="4" w:space="0" w:color="A6A6A6"/>
              <w:bottom w:val="single" w:sz="4" w:space="0" w:color="A6A6A6"/>
            </w:tcBorders>
            <w:noWrap/>
            <w:hideMark/>
          </w:tcPr>
          <w:p w14:paraId="0C0E75C3" w14:textId="77777777" w:rsidR="005F4A7E" w:rsidRPr="002029AF" w:rsidRDefault="005F4A7E" w:rsidP="00130D1C">
            <w:pPr>
              <w:pStyle w:val="ARfintablebodyright"/>
            </w:pPr>
            <w:r w:rsidRPr="00DA47C2">
              <w:t>169.4</w:t>
            </w:r>
          </w:p>
        </w:tc>
      </w:tr>
      <w:tr w:rsidR="005F4A7E" w:rsidRPr="002029AF" w14:paraId="4F80715C" w14:textId="77777777" w:rsidTr="00860E95">
        <w:tc>
          <w:tcPr>
            <w:tcW w:w="7371" w:type="dxa"/>
            <w:tcBorders>
              <w:top w:val="single" w:sz="4" w:space="0" w:color="A6A6A6"/>
            </w:tcBorders>
            <w:hideMark/>
          </w:tcPr>
          <w:p w14:paraId="1F282458" w14:textId="77777777" w:rsidR="005F4A7E" w:rsidRPr="002029AF" w:rsidRDefault="005F4A7E" w:rsidP="00130D1C">
            <w:pPr>
              <w:pStyle w:val="ARfintablebody"/>
            </w:pPr>
            <w:r w:rsidRPr="00DA47C2">
              <w:t>Longer than 5 years</w:t>
            </w:r>
          </w:p>
        </w:tc>
        <w:tc>
          <w:tcPr>
            <w:tcW w:w="1133" w:type="dxa"/>
            <w:tcBorders>
              <w:top w:val="single" w:sz="4" w:space="0" w:color="A6A6A6"/>
            </w:tcBorders>
            <w:shd w:val="clear" w:color="auto" w:fill="E7E6E6"/>
            <w:noWrap/>
            <w:hideMark/>
          </w:tcPr>
          <w:p w14:paraId="62070947" w14:textId="77777777" w:rsidR="005F4A7E" w:rsidRPr="002029AF" w:rsidRDefault="005F4A7E" w:rsidP="00130D1C">
            <w:pPr>
              <w:pStyle w:val="ARfintablebodyright"/>
            </w:pPr>
            <w:r w:rsidRPr="00DA47C2">
              <w:t>11.2</w:t>
            </w:r>
          </w:p>
        </w:tc>
        <w:tc>
          <w:tcPr>
            <w:tcW w:w="1133" w:type="dxa"/>
            <w:tcBorders>
              <w:top w:val="single" w:sz="4" w:space="0" w:color="A6A6A6"/>
            </w:tcBorders>
            <w:noWrap/>
            <w:hideMark/>
          </w:tcPr>
          <w:p w14:paraId="42FBC34E" w14:textId="77777777" w:rsidR="005F4A7E" w:rsidRPr="002029AF" w:rsidRDefault="005F4A7E" w:rsidP="00130D1C">
            <w:pPr>
              <w:pStyle w:val="ARfintablebodyright"/>
            </w:pPr>
            <w:r w:rsidRPr="00DA47C2">
              <w:t>37.2</w:t>
            </w:r>
          </w:p>
        </w:tc>
      </w:tr>
      <w:tr w:rsidR="005F4A7E" w:rsidRPr="002029AF" w14:paraId="3B127724" w14:textId="77777777" w:rsidTr="00860E95">
        <w:tc>
          <w:tcPr>
            <w:tcW w:w="7371" w:type="dxa"/>
            <w:tcBorders>
              <w:bottom w:val="single" w:sz="4" w:space="0" w:color="auto"/>
            </w:tcBorders>
            <w:hideMark/>
          </w:tcPr>
          <w:p w14:paraId="0D89B117" w14:textId="77777777" w:rsidR="005F4A7E" w:rsidRPr="002029AF" w:rsidRDefault="005F4A7E" w:rsidP="00130D1C">
            <w:pPr>
              <w:pStyle w:val="ARfintablebodybold"/>
            </w:pPr>
            <w:r w:rsidRPr="00DA47C2">
              <w:t>Total other expenditure commitments</w:t>
            </w:r>
          </w:p>
        </w:tc>
        <w:tc>
          <w:tcPr>
            <w:tcW w:w="1133" w:type="dxa"/>
            <w:tcBorders>
              <w:bottom w:val="single" w:sz="4" w:space="0" w:color="auto"/>
            </w:tcBorders>
            <w:shd w:val="clear" w:color="auto" w:fill="E7E6E6"/>
            <w:noWrap/>
            <w:hideMark/>
          </w:tcPr>
          <w:p w14:paraId="765B6A96" w14:textId="77777777" w:rsidR="005F4A7E" w:rsidRPr="002029AF" w:rsidRDefault="005F4A7E" w:rsidP="00130D1C">
            <w:pPr>
              <w:pStyle w:val="ARfintablebodyrightbold"/>
            </w:pPr>
            <w:r w:rsidRPr="00DA47C2">
              <w:t>780.8</w:t>
            </w:r>
          </w:p>
        </w:tc>
        <w:tc>
          <w:tcPr>
            <w:tcW w:w="1133" w:type="dxa"/>
            <w:tcBorders>
              <w:bottom w:val="single" w:sz="4" w:space="0" w:color="auto"/>
            </w:tcBorders>
            <w:noWrap/>
            <w:hideMark/>
          </w:tcPr>
          <w:p w14:paraId="2C14F547" w14:textId="77777777" w:rsidR="005F4A7E" w:rsidRPr="002029AF" w:rsidRDefault="005F4A7E" w:rsidP="00130D1C">
            <w:pPr>
              <w:pStyle w:val="ARfintablebodyrightbold"/>
            </w:pPr>
            <w:r w:rsidRPr="00DA47C2">
              <w:t>552.5</w:t>
            </w:r>
          </w:p>
        </w:tc>
      </w:tr>
      <w:tr w:rsidR="005F4A7E" w:rsidRPr="002029AF" w14:paraId="09CCBE0F" w14:textId="77777777" w:rsidTr="00860E95">
        <w:tc>
          <w:tcPr>
            <w:tcW w:w="7371" w:type="dxa"/>
            <w:hideMark/>
          </w:tcPr>
          <w:p w14:paraId="4E716B75" w14:textId="77777777" w:rsidR="005F4A7E" w:rsidRPr="002029AF" w:rsidRDefault="005F4A7E" w:rsidP="00130D1C">
            <w:pPr>
              <w:pStyle w:val="ARfintablebodybold"/>
            </w:pPr>
            <w:r w:rsidRPr="00DA47C2">
              <w:t>Total commitments other than PPP</w:t>
            </w:r>
          </w:p>
        </w:tc>
        <w:tc>
          <w:tcPr>
            <w:tcW w:w="1133" w:type="dxa"/>
            <w:shd w:val="clear" w:color="auto" w:fill="E7E6E6"/>
            <w:noWrap/>
            <w:hideMark/>
          </w:tcPr>
          <w:p w14:paraId="70343700" w14:textId="77777777" w:rsidR="005F4A7E" w:rsidRPr="002029AF" w:rsidRDefault="005F4A7E" w:rsidP="00130D1C">
            <w:pPr>
              <w:pStyle w:val="ARfintablebodyrightbold"/>
            </w:pPr>
            <w:r>
              <w:t>1,865.4</w:t>
            </w:r>
          </w:p>
        </w:tc>
        <w:tc>
          <w:tcPr>
            <w:tcW w:w="1133" w:type="dxa"/>
            <w:noWrap/>
            <w:hideMark/>
          </w:tcPr>
          <w:p w14:paraId="1E2EF07D" w14:textId="77777777" w:rsidR="005F4A7E" w:rsidRPr="002029AF" w:rsidRDefault="005F4A7E" w:rsidP="00130D1C">
            <w:pPr>
              <w:pStyle w:val="ARfintablebodyrightbold"/>
            </w:pPr>
            <w:r w:rsidRPr="00DA47C2">
              <w:t>1,504.2</w:t>
            </w:r>
          </w:p>
        </w:tc>
      </w:tr>
      <w:tr w:rsidR="005F4A7E" w:rsidRPr="002029AF" w14:paraId="4593F69F" w14:textId="77777777" w:rsidTr="00860E95">
        <w:tc>
          <w:tcPr>
            <w:tcW w:w="9637" w:type="dxa"/>
            <w:gridSpan w:val="3"/>
            <w:tcBorders>
              <w:bottom w:val="single" w:sz="4" w:space="0" w:color="auto"/>
            </w:tcBorders>
            <w:hideMark/>
          </w:tcPr>
          <w:p w14:paraId="0EA40657" w14:textId="77777777" w:rsidR="005F4A7E" w:rsidRPr="002029AF" w:rsidRDefault="005F4A7E" w:rsidP="00130D1C">
            <w:pPr>
              <w:pStyle w:val="ARfintablebodybold"/>
            </w:pPr>
            <w:r w:rsidRPr="00DA47C2">
              <w:t>(d) PPP funding commitments</w:t>
            </w:r>
          </w:p>
        </w:tc>
      </w:tr>
      <w:tr w:rsidR="005F4A7E" w:rsidRPr="002029AF" w14:paraId="4F8D5486" w14:textId="77777777" w:rsidTr="00860E95">
        <w:tc>
          <w:tcPr>
            <w:tcW w:w="9637" w:type="dxa"/>
            <w:gridSpan w:val="3"/>
            <w:tcBorders>
              <w:top w:val="single" w:sz="4" w:space="0" w:color="auto"/>
              <w:bottom w:val="single" w:sz="4" w:space="0" w:color="A6A6A6"/>
            </w:tcBorders>
            <w:hideMark/>
          </w:tcPr>
          <w:p w14:paraId="58690262" w14:textId="2CB0EE0E" w:rsidR="005F4A7E" w:rsidRPr="002029AF" w:rsidRDefault="005F4A7E" w:rsidP="00130D1C">
            <w:pPr>
              <w:pStyle w:val="ARfintablebodybold"/>
            </w:pPr>
            <w:r w:rsidRPr="00DA47C2">
              <w:t>1. The Royal Women</w:t>
            </w:r>
            <w:r w:rsidR="007D145B">
              <w:t>’</w:t>
            </w:r>
            <w:r w:rsidRPr="00DA47C2">
              <w:t>s Hospital</w:t>
            </w:r>
          </w:p>
        </w:tc>
      </w:tr>
      <w:tr w:rsidR="005F4A7E" w:rsidRPr="002029AF" w14:paraId="0EAD84F5" w14:textId="77777777" w:rsidTr="00860E95">
        <w:tc>
          <w:tcPr>
            <w:tcW w:w="7371" w:type="dxa"/>
            <w:tcBorders>
              <w:top w:val="single" w:sz="4" w:space="0" w:color="A6A6A6"/>
              <w:bottom w:val="single" w:sz="4" w:space="0" w:color="A6A6A6"/>
            </w:tcBorders>
            <w:hideMark/>
          </w:tcPr>
          <w:p w14:paraId="7BF07A3C" w14:textId="77777777" w:rsidR="005F4A7E" w:rsidRPr="002029AF" w:rsidRDefault="005F4A7E" w:rsidP="00130D1C">
            <w:pPr>
              <w:pStyle w:val="ARfintablebody"/>
            </w:pPr>
            <w:r w:rsidRPr="00DA47C2">
              <w:t>Less than 1 year</w:t>
            </w:r>
          </w:p>
        </w:tc>
        <w:tc>
          <w:tcPr>
            <w:tcW w:w="1133" w:type="dxa"/>
            <w:tcBorders>
              <w:top w:val="single" w:sz="4" w:space="0" w:color="A6A6A6"/>
              <w:bottom w:val="single" w:sz="4" w:space="0" w:color="A6A6A6"/>
            </w:tcBorders>
            <w:shd w:val="clear" w:color="auto" w:fill="E7E6E6"/>
            <w:noWrap/>
            <w:hideMark/>
          </w:tcPr>
          <w:p w14:paraId="538E3CAB" w14:textId="77777777" w:rsidR="005F4A7E" w:rsidRPr="002029AF" w:rsidRDefault="005F4A7E" w:rsidP="00130D1C">
            <w:pPr>
              <w:pStyle w:val="ARfintablebodyright"/>
            </w:pPr>
            <w:r w:rsidRPr="00DA47C2">
              <w:t>50.4</w:t>
            </w:r>
          </w:p>
        </w:tc>
        <w:tc>
          <w:tcPr>
            <w:tcW w:w="1133" w:type="dxa"/>
            <w:tcBorders>
              <w:top w:val="single" w:sz="4" w:space="0" w:color="A6A6A6"/>
              <w:bottom w:val="single" w:sz="4" w:space="0" w:color="A6A6A6"/>
            </w:tcBorders>
            <w:noWrap/>
            <w:hideMark/>
          </w:tcPr>
          <w:p w14:paraId="12BA431E" w14:textId="77777777" w:rsidR="005F4A7E" w:rsidRPr="002029AF" w:rsidRDefault="005F4A7E" w:rsidP="00130D1C">
            <w:pPr>
              <w:pStyle w:val="ARfintablebodyright"/>
            </w:pPr>
            <w:r w:rsidRPr="00DA47C2">
              <w:t>50.6</w:t>
            </w:r>
          </w:p>
        </w:tc>
      </w:tr>
      <w:tr w:rsidR="005F4A7E" w:rsidRPr="002029AF" w14:paraId="43357361" w14:textId="77777777" w:rsidTr="00860E95">
        <w:tc>
          <w:tcPr>
            <w:tcW w:w="7371" w:type="dxa"/>
            <w:tcBorders>
              <w:top w:val="single" w:sz="4" w:space="0" w:color="A6A6A6"/>
              <w:bottom w:val="single" w:sz="4" w:space="0" w:color="A6A6A6"/>
            </w:tcBorders>
            <w:hideMark/>
          </w:tcPr>
          <w:p w14:paraId="31D2612E" w14:textId="77777777" w:rsidR="005F4A7E" w:rsidRPr="002029AF" w:rsidRDefault="005F4A7E" w:rsidP="00130D1C">
            <w:pPr>
              <w:pStyle w:val="ARfintablebody"/>
            </w:pPr>
            <w:r w:rsidRPr="00DA47C2">
              <w:t>Longer than 1 year and not longer than 5 years</w:t>
            </w:r>
          </w:p>
        </w:tc>
        <w:tc>
          <w:tcPr>
            <w:tcW w:w="1133" w:type="dxa"/>
            <w:tcBorders>
              <w:top w:val="single" w:sz="4" w:space="0" w:color="A6A6A6"/>
              <w:bottom w:val="single" w:sz="4" w:space="0" w:color="A6A6A6"/>
            </w:tcBorders>
            <w:shd w:val="clear" w:color="auto" w:fill="E7E6E6"/>
            <w:noWrap/>
            <w:hideMark/>
          </w:tcPr>
          <w:p w14:paraId="6EE6E1B2" w14:textId="77777777" w:rsidR="005F4A7E" w:rsidRPr="002029AF" w:rsidRDefault="005F4A7E" w:rsidP="00130D1C">
            <w:pPr>
              <w:pStyle w:val="ARfintablebodyright"/>
            </w:pPr>
            <w:r w:rsidRPr="00DA47C2">
              <w:t>211.0</w:t>
            </w:r>
          </w:p>
        </w:tc>
        <w:tc>
          <w:tcPr>
            <w:tcW w:w="1133" w:type="dxa"/>
            <w:tcBorders>
              <w:top w:val="single" w:sz="4" w:space="0" w:color="A6A6A6"/>
              <w:bottom w:val="single" w:sz="4" w:space="0" w:color="A6A6A6"/>
            </w:tcBorders>
            <w:noWrap/>
            <w:hideMark/>
          </w:tcPr>
          <w:p w14:paraId="2A6D6E83" w14:textId="77777777" w:rsidR="005F4A7E" w:rsidRPr="002029AF" w:rsidRDefault="005F4A7E" w:rsidP="00130D1C">
            <w:pPr>
              <w:pStyle w:val="ARfintablebodyright"/>
            </w:pPr>
            <w:r w:rsidRPr="00DA47C2">
              <w:t>204.5</w:t>
            </w:r>
          </w:p>
        </w:tc>
      </w:tr>
      <w:tr w:rsidR="005F4A7E" w:rsidRPr="002029AF" w14:paraId="60B1EAF7" w14:textId="77777777" w:rsidTr="00860E95">
        <w:tc>
          <w:tcPr>
            <w:tcW w:w="7371" w:type="dxa"/>
            <w:tcBorders>
              <w:top w:val="single" w:sz="4" w:space="0" w:color="A6A6A6"/>
            </w:tcBorders>
            <w:hideMark/>
          </w:tcPr>
          <w:p w14:paraId="74981744" w14:textId="77777777" w:rsidR="005F4A7E" w:rsidRPr="002029AF" w:rsidRDefault="005F4A7E" w:rsidP="00130D1C">
            <w:pPr>
              <w:pStyle w:val="ARfintablebody"/>
            </w:pPr>
            <w:r w:rsidRPr="00DA47C2">
              <w:t>Longer than 5 years</w:t>
            </w:r>
          </w:p>
        </w:tc>
        <w:tc>
          <w:tcPr>
            <w:tcW w:w="1133" w:type="dxa"/>
            <w:tcBorders>
              <w:top w:val="single" w:sz="4" w:space="0" w:color="A6A6A6"/>
            </w:tcBorders>
            <w:shd w:val="clear" w:color="auto" w:fill="E7E6E6"/>
            <w:noWrap/>
            <w:hideMark/>
          </w:tcPr>
          <w:p w14:paraId="09C19367" w14:textId="77777777" w:rsidR="005F4A7E" w:rsidRPr="002029AF" w:rsidRDefault="005F4A7E" w:rsidP="00130D1C">
            <w:pPr>
              <w:pStyle w:val="ARfintablebodyright"/>
            </w:pPr>
            <w:r w:rsidRPr="00DA47C2">
              <w:t>397.3</w:t>
            </w:r>
          </w:p>
        </w:tc>
        <w:tc>
          <w:tcPr>
            <w:tcW w:w="1133" w:type="dxa"/>
            <w:tcBorders>
              <w:top w:val="single" w:sz="4" w:space="0" w:color="A6A6A6"/>
            </w:tcBorders>
            <w:noWrap/>
            <w:hideMark/>
          </w:tcPr>
          <w:p w14:paraId="62408818" w14:textId="77777777" w:rsidR="005F4A7E" w:rsidRPr="002029AF" w:rsidRDefault="005F4A7E" w:rsidP="00130D1C">
            <w:pPr>
              <w:pStyle w:val="ARfintablebodyright"/>
            </w:pPr>
            <w:r w:rsidRPr="00DA47C2">
              <w:t>461.9</w:t>
            </w:r>
          </w:p>
        </w:tc>
      </w:tr>
      <w:tr w:rsidR="005F4A7E" w:rsidRPr="002029AF" w14:paraId="4D6F8441" w14:textId="77777777" w:rsidTr="00860E95">
        <w:tc>
          <w:tcPr>
            <w:tcW w:w="7371" w:type="dxa"/>
            <w:tcBorders>
              <w:bottom w:val="single" w:sz="4" w:space="0" w:color="auto"/>
            </w:tcBorders>
            <w:hideMark/>
          </w:tcPr>
          <w:p w14:paraId="248FF54D" w14:textId="6C4B6A62" w:rsidR="005F4A7E" w:rsidRPr="002029AF" w:rsidRDefault="005F4A7E" w:rsidP="00130D1C">
            <w:pPr>
              <w:pStyle w:val="ARfintablebodybold"/>
            </w:pPr>
            <w:r w:rsidRPr="00DA47C2">
              <w:t>Total The Royal Women</w:t>
            </w:r>
            <w:r w:rsidR="007D145B">
              <w:t>’</w:t>
            </w:r>
            <w:r w:rsidRPr="00DA47C2">
              <w:t>s Hospital commitments</w:t>
            </w:r>
          </w:p>
        </w:tc>
        <w:tc>
          <w:tcPr>
            <w:tcW w:w="1133" w:type="dxa"/>
            <w:tcBorders>
              <w:bottom w:val="single" w:sz="4" w:space="0" w:color="auto"/>
            </w:tcBorders>
            <w:shd w:val="clear" w:color="auto" w:fill="E7E6E6"/>
            <w:noWrap/>
            <w:hideMark/>
          </w:tcPr>
          <w:p w14:paraId="41C25035" w14:textId="77777777" w:rsidR="005F4A7E" w:rsidRPr="002029AF" w:rsidRDefault="005F4A7E" w:rsidP="00130D1C">
            <w:pPr>
              <w:pStyle w:val="ARfintablebodyrightbold"/>
            </w:pPr>
            <w:r w:rsidRPr="00DA47C2">
              <w:t>658.7</w:t>
            </w:r>
          </w:p>
        </w:tc>
        <w:tc>
          <w:tcPr>
            <w:tcW w:w="1133" w:type="dxa"/>
            <w:tcBorders>
              <w:bottom w:val="single" w:sz="4" w:space="0" w:color="auto"/>
            </w:tcBorders>
            <w:noWrap/>
            <w:hideMark/>
          </w:tcPr>
          <w:p w14:paraId="568BD4CC" w14:textId="77777777" w:rsidR="005F4A7E" w:rsidRPr="002029AF" w:rsidRDefault="005F4A7E" w:rsidP="00130D1C">
            <w:pPr>
              <w:pStyle w:val="ARfintablebodyrightbold"/>
            </w:pPr>
            <w:r w:rsidRPr="00DA47C2">
              <w:t>717.0</w:t>
            </w:r>
          </w:p>
        </w:tc>
      </w:tr>
      <w:tr w:rsidR="005F4A7E" w:rsidRPr="002029AF" w14:paraId="69D0F209" w14:textId="77777777" w:rsidTr="00860E95">
        <w:tc>
          <w:tcPr>
            <w:tcW w:w="9637" w:type="dxa"/>
            <w:gridSpan w:val="3"/>
            <w:tcBorders>
              <w:top w:val="single" w:sz="4" w:space="0" w:color="auto"/>
              <w:bottom w:val="single" w:sz="4" w:space="0" w:color="A6A6A6"/>
            </w:tcBorders>
            <w:hideMark/>
          </w:tcPr>
          <w:p w14:paraId="4A318BE7" w14:textId="77777777" w:rsidR="005F4A7E" w:rsidRPr="002029AF" w:rsidRDefault="005F4A7E" w:rsidP="00130D1C">
            <w:pPr>
              <w:pStyle w:val="ARfintablebodybold"/>
            </w:pPr>
            <w:r w:rsidRPr="00DA47C2">
              <w:t>2. Monash Health</w:t>
            </w:r>
          </w:p>
        </w:tc>
      </w:tr>
      <w:tr w:rsidR="005F4A7E" w:rsidRPr="002029AF" w14:paraId="5EE0D0E8" w14:textId="77777777" w:rsidTr="00860E95">
        <w:tc>
          <w:tcPr>
            <w:tcW w:w="7371" w:type="dxa"/>
            <w:tcBorders>
              <w:top w:val="single" w:sz="4" w:space="0" w:color="A6A6A6"/>
              <w:bottom w:val="single" w:sz="4" w:space="0" w:color="A6A6A6"/>
            </w:tcBorders>
            <w:hideMark/>
          </w:tcPr>
          <w:p w14:paraId="0FE22A4D" w14:textId="77777777" w:rsidR="005F4A7E" w:rsidRPr="002029AF" w:rsidRDefault="005F4A7E" w:rsidP="00130D1C">
            <w:pPr>
              <w:pStyle w:val="ARfintablebody"/>
            </w:pPr>
            <w:r w:rsidRPr="00DA47C2">
              <w:t>Less than 1 year</w:t>
            </w:r>
          </w:p>
        </w:tc>
        <w:tc>
          <w:tcPr>
            <w:tcW w:w="1133" w:type="dxa"/>
            <w:tcBorders>
              <w:top w:val="single" w:sz="4" w:space="0" w:color="A6A6A6"/>
              <w:bottom w:val="single" w:sz="4" w:space="0" w:color="A6A6A6"/>
            </w:tcBorders>
            <w:shd w:val="clear" w:color="auto" w:fill="E7E6E6"/>
            <w:noWrap/>
            <w:hideMark/>
          </w:tcPr>
          <w:p w14:paraId="727D7614" w14:textId="77777777" w:rsidR="005F4A7E" w:rsidRPr="002029AF" w:rsidRDefault="005F4A7E" w:rsidP="00130D1C">
            <w:pPr>
              <w:pStyle w:val="ARfintablebodyright"/>
            </w:pPr>
            <w:r w:rsidRPr="00DA47C2">
              <w:t>24.7</w:t>
            </w:r>
          </w:p>
        </w:tc>
        <w:tc>
          <w:tcPr>
            <w:tcW w:w="1133" w:type="dxa"/>
            <w:tcBorders>
              <w:top w:val="single" w:sz="4" w:space="0" w:color="A6A6A6"/>
              <w:bottom w:val="single" w:sz="4" w:space="0" w:color="A6A6A6"/>
            </w:tcBorders>
            <w:noWrap/>
            <w:hideMark/>
          </w:tcPr>
          <w:p w14:paraId="5227E09D" w14:textId="77777777" w:rsidR="005F4A7E" w:rsidRPr="002029AF" w:rsidRDefault="005F4A7E" w:rsidP="00130D1C">
            <w:pPr>
              <w:pStyle w:val="ARfintablebodyright"/>
            </w:pPr>
            <w:r w:rsidRPr="00DA47C2">
              <w:t>23.9</w:t>
            </w:r>
          </w:p>
        </w:tc>
      </w:tr>
      <w:tr w:rsidR="005F4A7E" w:rsidRPr="002029AF" w14:paraId="19E2CE69" w14:textId="77777777" w:rsidTr="00860E95">
        <w:tc>
          <w:tcPr>
            <w:tcW w:w="7371" w:type="dxa"/>
            <w:tcBorders>
              <w:top w:val="single" w:sz="4" w:space="0" w:color="A6A6A6"/>
              <w:bottom w:val="single" w:sz="4" w:space="0" w:color="A6A6A6"/>
            </w:tcBorders>
            <w:hideMark/>
          </w:tcPr>
          <w:p w14:paraId="71BB475E" w14:textId="77777777" w:rsidR="005F4A7E" w:rsidRPr="002029AF" w:rsidRDefault="005F4A7E" w:rsidP="00130D1C">
            <w:pPr>
              <w:pStyle w:val="ARfintablebody"/>
            </w:pPr>
            <w:r w:rsidRPr="00DA47C2">
              <w:t>Longer than 1 year and not longer than 5 years</w:t>
            </w:r>
          </w:p>
        </w:tc>
        <w:tc>
          <w:tcPr>
            <w:tcW w:w="1133" w:type="dxa"/>
            <w:tcBorders>
              <w:top w:val="single" w:sz="4" w:space="0" w:color="A6A6A6"/>
              <w:bottom w:val="single" w:sz="4" w:space="0" w:color="A6A6A6"/>
            </w:tcBorders>
            <w:shd w:val="clear" w:color="auto" w:fill="E7E6E6"/>
            <w:noWrap/>
            <w:hideMark/>
          </w:tcPr>
          <w:p w14:paraId="38ADE15A" w14:textId="77777777" w:rsidR="005F4A7E" w:rsidRPr="002029AF" w:rsidRDefault="005F4A7E" w:rsidP="00130D1C">
            <w:pPr>
              <w:pStyle w:val="ARfintablebodyright"/>
            </w:pPr>
            <w:r w:rsidRPr="00DA47C2">
              <w:t>128.4</w:t>
            </w:r>
          </w:p>
        </w:tc>
        <w:tc>
          <w:tcPr>
            <w:tcW w:w="1133" w:type="dxa"/>
            <w:tcBorders>
              <w:top w:val="single" w:sz="4" w:space="0" w:color="A6A6A6"/>
              <w:bottom w:val="single" w:sz="4" w:space="0" w:color="A6A6A6"/>
            </w:tcBorders>
            <w:noWrap/>
            <w:hideMark/>
          </w:tcPr>
          <w:p w14:paraId="01AB0B72" w14:textId="77777777" w:rsidR="005F4A7E" w:rsidRPr="002029AF" w:rsidRDefault="005F4A7E" w:rsidP="00130D1C">
            <w:pPr>
              <w:pStyle w:val="ARfintablebodyright"/>
            </w:pPr>
            <w:r w:rsidRPr="00DA47C2">
              <w:t>122.0</w:t>
            </w:r>
          </w:p>
        </w:tc>
      </w:tr>
      <w:tr w:rsidR="005F4A7E" w:rsidRPr="002029AF" w14:paraId="4E806960" w14:textId="77777777" w:rsidTr="00860E95">
        <w:tc>
          <w:tcPr>
            <w:tcW w:w="7371" w:type="dxa"/>
            <w:tcBorders>
              <w:top w:val="single" w:sz="4" w:space="0" w:color="A6A6A6"/>
            </w:tcBorders>
            <w:hideMark/>
          </w:tcPr>
          <w:p w14:paraId="2D155C41" w14:textId="77777777" w:rsidR="005F4A7E" w:rsidRPr="002029AF" w:rsidRDefault="005F4A7E" w:rsidP="00130D1C">
            <w:pPr>
              <w:pStyle w:val="ARfintablebody"/>
            </w:pPr>
            <w:r w:rsidRPr="00DA47C2">
              <w:t>Longer than 5 years</w:t>
            </w:r>
          </w:p>
        </w:tc>
        <w:tc>
          <w:tcPr>
            <w:tcW w:w="1133" w:type="dxa"/>
            <w:tcBorders>
              <w:top w:val="single" w:sz="4" w:space="0" w:color="A6A6A6"/>
            </w:tcBorders>
            <w:shd w:val="clear" w:color="auto" w:fill="E7E6E6"/>
            <w:noWrap/>
            <w:hideMark/>
          </w:tcPr>
          <w:p w14:paraId="2780E662" w14:textId="77777777" w:rsidR="005F4A7E" w:rsidRPr="002029AF" w:rsidRDefault="005F4A7E" w:rsidP="00130D1C">
            <w:pPr>
              <w:pStyle w:val="ARfintablebodyright"/>
            </w:pPr>
            <w:r w:rsidRPr="00DA47C2">
              <w:t>106.5</w:t>
            </w:r>
          </w:p>
        </w:tc>
        <w:tc>
          <w:tcPr>
            <w:tcW w:w="1133" w:type="dxa"/>
            <w:tcBorders>
              <w:top w:val="single" w:sz="4" w:space="0" w:color="A6A6A6"/>
            </w:tcBorders>
            <w:noWrap/>
            <w:hideMark/>
          </w:tcPr>
          <w:p w14:paraId="1712FCFE" w14:textId="77777777" w:rsidR="005F4A7E" w:rsidRPr="002029AF" w:rsidRDefault="005F4A7E" w:rsidP="00130D1C">
            <w:pPr>
              <w:pStyle w:val="ARfintablebodyright"/>
            </w:pPr>
            <w:r w:rsidRPr="00DA47C2">
              <w:t>135.8</w:t>
            </w:r>
          </w:p>
        </w:tc>
      </w:tr>
      <w:tr w:rsidR="005F4A7E" w:rsidRPr="002029AF" w14:paraId="0A0B62A6" w14:textId="77777777" w:rsidTr="00860E95">
        <w:tc>
          <w:tcPr>
            <w:tcW w:w="7371" w:type="dxa"/>
            <w:tcBorders>
              <w:bottom w:val="single" w:sz="4" w:space="0" w:color="auto"/>
            </w:tcBorders>
            <w:hideMark/>
          </w:tcPr>
          <w:p w14:paraId="2F575E32" w14:textId="77777777" w:rsidR="005F4A7E" w:rsidRPr="002029AF" w:rsidRDefault="005F4A7E" w:rsidP="00130D1C">
            <w:pPr>
              <w:pStyle w:val="ARfintablebodybold"/>
            </w:pPr>
            <w:r w:rsidRPr="00DA47C2">
              <w:t>Total Monash Health commitments</w:t>
            </w:r>
          </w:p>
        </w:tc>
        <w:tc>
          <w:tcPr>
            <w:tcW w:w="1133" w:type="dxa"/>
            <w:tcBorders>
              <w:bottom w:val="single" w:sz="4" w:space="0" w:color="auto"/>
            </w:tcBorders>
            <w:shd w:val="clear" w:color="auto" w:fill="E7E6E6"/>
            <w:noWrap/>
            <w:hideMark/>
          </w:tcPr>
          <w:p w14:paraId="45C5613B" w14:textId="77777777" w:rsidR="005F4A7E" w:rsidRPr="002029AF" w:rsidRDefault="005F4A7E" w:rsidP="00130D1C">
            <w:pPr>
              <w:pStyle w:val="ARfintablebodyrightbold"/>
            </w:pPr>
            <w:r w:rsidRPr="00DA47C2">
              <w:t>259.6</w:t>
            </w:r>
          </w:p>
        </w:tc>
        <w:tc>
          <w:tcPr>
            <w:tcW w:w="1133" w:type="dxa"/>
            <w:tcBorders>
              <w:bottom w:val="single" w:sz="4" w:space="0" w:color="auto"/>
            </w:tcBorders>
            <w:noWrap/>
            <w:hideMark/>
          </w:tcPr>
          <w:p w14:paraId="402FEFB2" w14:textId="77777777" w:rsidR="005F4A7E" w:rsidRPr="002029AF" w:rsidRDefault="005F4A7E" w:rsidP="00130D1C">
            <w:pPr>
              <w:pStyle w:val="ARfintablebodyrightbold"/>
            </w:pPr>
            <w:r w:rsidRPr="00DA47C2">
              <w:t>281.7</w:t>
            </w:r>
          </w:p>
        </w:tc>
      </w:tr>
      <w:tr w:rsidR="005F4A7E" w:rsidRPr="002029AF" w14:paraId="739F86D1" w14:textId="77777777" w:rsidTr="00860E95">
        <w:tc>
          <w:tcPr>
            <w:tcW w:w="9637" w:type="dxa"/>
            <w:gridSpan w:val="3"/>
            <w:tcBorders>
              <w:top w:val="single" w:sz="4" w:space="0" w:color="auto"/>
              <w:bottom w:val="single" w:sz="4" w:space="0" w:color="A6A6A6"/>
            </w:tcBorders>
            <w:hideMark/>
          </w:tcPr>
          <w:p w14:paraId="71D42BC1" w14:textId="5AF45A46" w:rsidR="005F4A7E" w:rsidRPr="002029AF" w:rsidRDefault="005F4A7E" w:rsidP="00130D1C">
            <w:pPr>
              <w:pStyle w:val="ARfintablebodybold"/>
            </w:pPr>
            <w:r w:rsidRPr="00DA47C2">
              <w:t>3. The Royal Children</w:t>
            </w:r>
            <w:r w:rsidR="007D145B">
              <w:t>’</w:t>
            </w:r>
            <w:r w:rsidRPr="00DA47C2">
              <w:t>s Hospital</w:t>
            </w:r>
          </w:p>
        </w:tc>
      </w:tr>
      <w:tr w:rsidR="005F4A7E" w:rsidRPr="002029AF" w14:paraId="4522E2C8" w14:textId="77777777" w:rsidTr="00860E95">
        <w:tc>
          <w:tcPr>
            <w:tcW w:w="7371" w:type="dxa"/>
            <w:tcBorders>
              <w:top w:val="single" w:sz="4" w:space="0" w:color="A6A6A6"/>
              <w:bottom w:val="single" w:sz="4" w:space="0" w:color="A6A6A6"/>
            </w:tcBorders>
            <w:hideMark/>
          </w:tcPr>
          <w:p w14:paraId="4A03FBEF" w14:textId="77777777" w:rsidR="005F4A7E" w:rsidRPr="002029AF" w:rsidRDefault="005F4A7E" w:rsidP="00130D1C">
            <w:pPr>
              <w:pStyle w:val="ARfintablebody"/>
            </w:pPr>
            <w:r w:rsidRPr="00DA47C2">
              <w:t>Less than 1 year</w:t>
            </w:r>
          </w:p>
        </w:tc>
        <w:tc>
          <w:tcPr>
            <w:tcW w:w="1133" w:type="dxa"/>
            <w:tcBorders>
              <w:top w:val="single" w:sz="4" w:space="0" w:color="A6A6A6"/>
              <w:bottom w:val="single" w:sz="4" w:space="0" w:color="A6A6A6"/>
            </w:tcBorders>
            <w:shd w:val="clear" w:color="auto" w:fill="E7E6E6"/>
            <w:noWrap/>
            <w:hideMark/>
          </w:tcPr>
          <w:p w14:paraId="15E4CAFB" w14:textId="77777777" w:rsidR="005F4A7E" w:rsidRPr="002029AF" w:rsidRDefault="005F4A7E" w:rsidP="00130D1C">
            <w:pPr>
              <w:pStyle w:val="ARfintablebodyright"/>
            </w:pPr>
            <w:r w:rsidRPr="00DA47C2">
              <w:t>165.0</w:t>
            </w:r>
          </w:p>
        </w:tc>
        <w:tc>
          <w:tcPr>
            <w:tcW w:w="1133" w:type="dxa"/>
            <w:tcBorders>
              <w:top w:val="single" w:sz="4" w:space="0" w:color="A6A6A6"/>
              <w:bottom w:val="single" w:sz="4" w:space="0" w:color="A6A6A6"/>
            </w:tcBorders>
            <w:noWrap/>
            <w:hideMark/>
          </w:tcPr>
          <w:p w14:paraId="054BB9C8" w14:textId="77777777" w:rsidR="005F4A7E" w:rsidRPr="002029AF" w:rsidRDefault="005F4A7E" w:rsidP="00130D1C">
            <w:pPr>
              <w:pStyle w:val="ARfintablebodyright"/>
            </w:pPr>
            <w:r w:rsidRPr="00DA47C2">
              <w:t>159.1</w:t>
            </w:r>
          </w:p>
        </w:tc>
      </w:tr>
      <w:tr w:rsidR="005F4A7E" w:rsidRPr="002029AF" w14:paraId="11754BBA" w14:textId="77777777" w:rsidTr="00860E95">
        <w:tc>
          <w:tcPr>
            <w:tcW w:w="7371" w:type="dxa"/>
            <w:tcBorders>
              <w:top w:val="single" w:sz="4" w:space="0" w:color="A6A6A6"/>
              <w:bottom w:val="single" w:sz="4" w:space="0" w:color="A6A6A6"/>
            </w:tcBorders>
            <w:hideMark/>
          </w:tcPr>
          <w:p w14:paraId="6662E42D" w14:textId="77777777" w:rsidR="005F4A7E" w:rsidRPr="002029AF" w:rsidRDefault="005F4A7E" w:rsidP="00130D1C">
            <w:pPr>
              <w:pStyle w:val="ARfintablebody"/>
            </w:pPr>
            <w:r w:rsidRPr="00DA47C2">
              <w:t>Longer than 1 year and not longer than 5 years</w:t>
            </w:r>
          </w:p>
        </w:tc>
        <w:tc>
          <w:tcPr>
            <w:tcW w:w="1133" w:type="dxa"/>
            <w:tcBorders>
              <w:top w:val="single" w:sz="4" w:space="0" w:color="A6A6A6"/>
              <w:bottom w:val="single" w:sz="4" w:space="0" w:color="A6A6A6"/>
            </w:tcBorders>
            <w:shd w:val="clear" w:color="auto" w:fill="E7E6E6"/>
            <w:noWrap/>
            <w:hideMark/>
          </w:tcPr>
          <w:p w14:paraId="7AD88429" w14:textId="77777777" w:rsidR="005F4A7E" w:rsidRPr="002029AF" w:rsidRDefault="005F4A7E" w:rsidP="00130D1C">
            <w:pPr>
              <w:pStyle w:val="ARfintablebodyright"/>
            </w:pPr>
            <w:r w:rsidRPr="00DA47C2">
              <w:t>650.7</w:t>
            </w:r>
          </w:p>
        </w:tc>
        <w:tc>
          <w:tcPr>
            <w:tcW w:w="1133" w:type="dxa"/>
            <w:tcBorders>
              <w:top w:val="single" w:sz="4" w:space="0" w:color="A6A6A6"/>
              <w:bottom w:val="single" w:sz="4" w:space="0" w:color="A6A6A6"/>
            </w:tcBorders>
            <w:noWrap/>
            <w:hideMark/>
          </w:tcPr>
          <w:p w14:paraId="5F5315B9" w14:textId="77777777" w:rsidR="005F4A7E" w:rsidRPr="002029AF" w:rsidRDefault="005F4A7E" w:rsidP="00130D1C">
            <w:pPr>
              <w:pStyle w:val="ARfintablebodyright"/>
            </w:pPr>
            <w:r w:rsidRPr="00DA47C2">
              <w:t>655.3</w:t>
            </w:r>
          </w:p>
        </w:tc>
      </w:tr>
      <w:tr w:rsidR="005F4A7E" w:rsidRPr="002029AF" w14:paraId="5EFE7919" w14:textId="77777777" w:rsidTr="00860E95">
        <w:tc>
          <w:tcPr>
            <w:tcW w:w="7371" w:type="dxa"/>
            <w:tcBorders>
              <w:top w:val="single" w:sz="4" w:space="0" w:color="A6A6A6"/>
            </w:tcBorders>
            <w:hideMark/>
          </w:tcPr>
          <w:p w14:paraId="5BE6D92A" w14:textId="77777777" w:rsidR="005F4A7E" w:rsidRPr="002029AF" w:rsidRDefault="005F4A7E" w:rsidP="00130D1C">
            <w:pPr>
              <w:pStyle w:val="ARfintablebody"/>
            </w:pPr>
            <w:r w:rsidRPr="00DA47C2">
              <w:t>Longer than 5 years</w:t>
            </w:r>
          </w:p>
        </w:tc>
        <w:tc>
          <w:tcPr>
            <w:tcW w:w="1133" w:type="dxa"/>
            <w:tcBorders>
              <w:top w:val="single" w:sz="4" w:space="0" w:color="A6A6A6"/>
            </w:tcBorders>
            <w:shd w:val="clear" w:color="auto" w:fill="E7E6E6"/>
            <w:noWrap/>
            <w:hideMark/>
          </w:tcPr>
          <w:p w14:paraId="4225FBBF" w14:textId="77777777" w:rsidR="005F4A7E" w:rsidRPr="002029AF" w:rsidRDefault="005F4A7E" w:rsidP="00130D1C">
            <w:pPr>
              <w:pStyle w:val="ARfintablebodyright"/>
            </w:pPr>
            <w:r w:rsidRPr="00DA47C2">
              <w:t>2,088.3</w:t>
            </w:r>
          </w:p>
        </w:tc>
        <w:tc>
          <w:tcPr>
            <w:tcW w:w="1133" w:type="dxa"/>
            <w:tcBorders>
              <w:top w:val="single" w:sz="4" w:space="0" w:color="A6A6A6"/>
            </w:tcBorders>
            <w:noWrap/>
            <w:hideMark/>
          </w:tcPr>
          <w:p w14:paraId="46379FE9" w14:textId="77777777" w:rsidR="005F4A7E" w:rsidRPr="002029AF" w:rsidRDefault="005F4A7E" w:rsidP="00130D1C">
            <w:pPr>
              <w:pStyle w:val="ARfintablebodyright"/>
            </w:pPr>
            <w:r w:rsidRPr="00DA47C2">
              <w:t>2,295.3</w:t>
            </w:r>
          </w:p>
        </w:tc>
      </w:tr>
      <w:tr w:rsidR="005F4A7E" w:rsidRPr="002029AF" w14:paraId="6B824815" w14:textId="77777777" w:rsidTr="00860E95">
        <w:tc>
          <w:tcPr>
            <w:tcW w:w="7371" w:type="dxa"/>
            <w:tcBorders>
              <w:bottom w:val="single" w:sz="4" w:space="0" w:color="auto"/>
            </w:tcBorders>
            <w:hideMark/>
          </w:tcPr>
          <w:p w14:paraId="63788A8C" w14:textId="6185F9B1" w:rsidR="005F4A7E" w:rsidRPr="002029AF" w:rsidRDefault="005F4A7E" w:rsidP="00130D1C">
            <w:pPr>
              <w:pStyle w:val="ARfintablebodybold"/>
            </w:pPr>
            <w:r w:rsidRPr="00DA47C2">
              <w:t>Total The Royal Children</w:t>
            </w:r>
            <w:r w:rsidR="007D145B">
              <w:t>’</w:t>
            </w:r>
            <w:r w:rsidRPr="00DA47C2">
              <w:t>s Hospital commitments</w:t>
            </w:r>
          </w:p>
        </w:tc>
        <w:tc>
          <w:tcPr>
            <w:tcW w:w="1133" w:type="dxa"/>
            <w:tcBorders>
              <w:bottom w:val="single" w:sz="4" w:space="0" w:color="auto"/>
            </w:tcBorders>
            <w:shd w:val="clear" w:color="auto" w:fill="E7E6E6"/>
            <w:noWrap/>
            <w:hideMark/>
          </w:tcPr>
          <w:p w14:paraId="22680E3A" w14:textId="77777777" w:rsidR="005F4A7E" w:rsidRPr="002029AF" w:rsidRDefault="005F4A7E" w:rsidP="00130D1C">
            <w:pPr>
              <w:pStyle w:val="ARfintablebodyrightbold"/>
            </w:pPr>
            <w:r w:rsidRPr="00DA47C2">
              <w:t>2,904.0</w:t>
            </w:r>
          </w:p>
        </w:tc>
        <w:tc>
          <w:tcPr>
            <w:tcW w:w="1133" w:type="dxa"/>
            <w:tcBorders>
              <w:bottom w:val="single" w:sz="4" w:space="0" w:color="auto"/>
            </w:tcBorders>
            <w:noWrap/>
            <w:hideMark/>
          </w:tcPr>
          <w:p w14:paraId="0CF69A18" w14:textId="77777777" w:rsidR="005F4A7E" w:rsidRPr="002029AF" w:rsidRDefault="005F4A7E" w:rsidP="00130D1C">
            <w:pPr>
              <w:pStyle w:val="ARfintablebodyrightbold"/>
            </w:pPr>
            <w:r w:rsidRPr="00DA47C2">
              <w:t>3,109.7</w:t>
            </w:r>
          </w:p>
        </w:tc>
      </w:tr>
      <w:tr w:rsidR="005F4A7E" w:rsidRPr="002029AF" w14:paraId="249EE5DA" w14:textId="77777777" w:rsidTr="00860E95">
        <w:tc>
          <w:tcPr>
            <w:tcW w:w="9637" w:type="dxa"/>
            <w:gridSpan w:val="3"/>
            <w:tcBorders>
              <w:top w:val="single" w:sz="4" w:space="0" w:color="auto"/>
              <w:bottom w:val="single" w:sz="4" w:space="0" w:color="A6A6A6"/>
            </w:tcBorders>
            <w:hideMark/>
          </w:tcPr>
          <w:p w14:paraId="001444C5" w14:textId="77777777" w:rsidR="005F4A7E" w:rsidRPr="002029AF" w:rsidRDefault="005F4A7E" w:rsidP="00130D1C">
            <w:pPr>
              <w:pStyle w:val="ARfintablebodybold"/>
            </w:pPr>
            <w:r w:rsidRPr="00DA47C2">
              <w:t>4. Peter MacCallum Cancer Centre</w:t>
            </w:r>
          </w:p>
        </w:tc>
      </w:tr>
      <w:tr w:rsidR="005F4A7E" w:rsidRPr="002029AF" w14:paraId="1014A63B" w14:textId="77777777" w:rsidTr="00860E95">
        <w:tc>
          <w:tcPr>
            <w:tcW w:w="7371" w:type="dxa"/>
            <w:tcBorders>
              <w:top w:val="single" w:sz="4" w:space="0" w:color="A6A6A6"/>
              <w:bottom w:val="single" w:sz="4" w:space="0" w:color="A6A6A6"/>
            </w:tcBorders>
            <w:hideMark/>
          </w:tcPr>
          <w:p w14:paraId="7EE49D15" w14:textId="77777777" w:rsidR="005F4A7E" w:rsidRPr="002029AF" w:rsidRDefault="005F4A7E" w:rsidP="00130D1C">
            <w:pPr>
              <w:pStyle w:val="ARfintablebody"/>
            </w:pPr>
            <w:r w:rsidRPr="00DA47C2">
              <w:t>Less than 1 year</w:t>
            </w:r>
          </w:p>
        </w:tc>
        <w:tc>
          <w:tcPr>
            <w:tcW w:w="1133" w:type="dxa"/>
            <w:tcBorders>
              <w:top w:val="single" w:sz="4" w:space="0" w:color="A6A6A6"/>
              <w:bottom w:val="single" w:sz="4" w:space="0" w:color="A6A6A6"/>
            </w:tcBorders>
            <w:shd w:val="clear" w:color="auto" w:fill="E7E6E6"/>
            <w:noWrap/>
            <w:hideMark/>
          </w:tcPr>
          <w:p w14:paraId="236B21A5" w14:textId="77777777" w:rsidR="005F4A7E" w:rsidRPr="002029AF" w:rsidRDefault="005F4A7E" w:rsidP="00130D1C">
            <w:pPr>
              <w:pStyle w:val="ARfintablebodyright"/>
            </w:pPr>
            <w:r w:rsidRPr="00DA47C2">
              <w:t>136.4</w:t>
            </w:r>
          </w:p>
        </w:tc>
        <w:tc>
          <w:tcPr>
            <w:tcW w:w="1133" w:type="dxa"/>
            <w:tcBorders>
              <w:top w:val="single" w:sz="4" w:space="0" w:color="A6A6A6"/>
              <w:bottom w:val="single" w:sz="4" w:space="0" w:color="A6A6A6"/>
            </w:tcBorders>
            <w:noWrap/>
            <w:hideMark/>
          </w:tcPr>
          <w:p w14:paraId="5FF689E3" w14:textId="77777777" w:rsidR="005F4A7E" w:rsidRPr="002029AF" w:rsidRDefault="005F4A7E" w:rsidP="00130D1C">
            <w:pPr>
              <w:pStyle w:val="ARfintablebodyright"/>
            </w:pPr>
            <w:r w:rsidRPr="00DA47C2">
              <w:t>171.6</w:t>
            </w:r>
          </w:p>
        </w:tc>
      </w:tr>
      <w:tr w:rsidR="005F4A7E" w:rsidRPr="002029AF" w14:paraId="7222E9C5" w14:textId="77777777" w:rsidTr="00860E95">
        <w:tc>
          <w:tcPr>
            <w:tcW w:w="7371" w:type="dxa"/>
            <w:tcBorders>
              <w:top w:val="single" w:sz="4" w:space="0" w:color="A6A6A6"/>
              <w:bottom w:val="single" w:sz="4" w:space="0" w:color="A6A6A6"/>
            </w:tcBorders>
            <w:hideMark/>
          </w:tcPr>
          <w:p w14:paraId="0339D3F8" w14:textId="77777777" w:rsidR="005F4A7E" w:rsidRPr="002029AF" w:rsidRDefault="005F4A7E" w:rsidP="00130D1C">
            <w:pPr>
              <w:pStyle w:val="ARfintablebody"/>
            </w:pPr>
            <w:r w:rsidRPr="00DA47C2">
              <w:t>Longer than 1 year and not longer than 5 years</w:t>
            </w:r>
          </w:p>
        </w:tc>
        <w:tc>
          <w:tcPr>
            <w:tcW w:w="1133" w:type="dxa"/>
            <w:tcBorders>
              <w:top w:val="single" w:sz="4" w:space="0" w:color="A6A6A6"/>
              <w:bottom w:val="single" w:sz="4" w:space="0" w:color="A6A6A6"/>
            </w:tcBorders>
            <w:shd w:val="clear" w:color="auto" w:fill="E7E6E6"/>
            <w:noWrap/>
            <w:hideMark/>
          </w:tcPr>
          <w:p w14:paraId="5C857CDA" w14:textId="77777777" w:rsidR="005F4A7E" w:rsidRPr="002029AF" w:rsidRDefault="005F4A7E" w:rsidP="00130D1C">
            <w:pPr>
              <w:pStyle w:val="ARfintablebodyright"/>
            </w:pPr>
            <w:r w:rsidRPr="00DA47C2">
              <w:t>604.0</w:t>
            </w:r>
          </w:p>
        </w:tc>
        <w:tc>
          <w:tcPr>
            <w:tcW w:w="1133" w:type="dxa"/>
            <w:tcBorders>
              <w:top w:val="single" w:sz="4" w:space="0" w:color="A6A6A6"/>
              <w:bottom w:val="single" w:sz="4" w:space="0" w:color="A6A6A6"/>
            </w:tcBorders>
            <w:noWrap/>
            <w:hideMark/>
          </w:tcPr>
          <w:p w14:paraId="0813940A" w14:textId="77777777" w:rsidR="005F4A7E" w:rsidRPr="002029AF" w:rsidRDefault="005F4A7E" w:rsidP="00130D1C">
            <w:pPr>
              <w:pStyle w:val="ARfintablebodyright"/>
            </w:pPr>
            <w:r w:rsidRPr="00DA47C2">
              <w:t>561.1</w:t>
            </w:r>
          </w:p>
        </w:tc>
      </w:tr>
      <w:tr w:rsidR="005F4A7E" w:rsidRPr="002029AF" w14:paraId="55F690E0" w14:textId="77777777" w:rsidTr="00860E95">
        <w:tc>
          <w:tcPr>
            <w:tcW w:w="7371" w:type="dxa"/>
            <w:tcBorders>
              <w:top w:val="single" w:sz="4" w:space="0" w:color="A6A6A6"/>
            </w:tcBorders>
            <w:hideMark/>
          </w:tcPr>
          <w:p w14:paraId="406F15DD" w14:textId="77777777" w:rsidR="005F4A7E" w:rsidRPr="002029AF" w:rsidRDefault="005F4A7E" w:rsidP="00130D1C">
            <w:pPr>
              <w:pStyle w:val="ARfintablebody"/>
            </w:pPr>
            <w:r w:rsidRPr="00DA47C2">
              <w:t>Longer than 5 years</w:t>
            </w:r>
          </w:p>
        </w:tc>
        <w:tc>
          <w:tcPr>
            <w:tcW w:w="1133" w:type="dxa"/>
            <w:tcBorders>
              <w:top w:val="single" w:sz="4" w:space="0" w:color="A6A6A6"/>
            </w:tcBorders>
            <w:shd w:val="clear" w:color="auto" w:fill="E7E6E6"/>
            <w:noWrap/>
            <w:hideMark/>
          </w:tcPr>
          <w:p w14:paraId="00A69D53" w14:textId="77777777" w:rsidR="005F4A7E" w:rsidRPr="002029AF" w:rsidRDefault="005F4A7E" w:rsidP="00130D1C">
            <w:pPr>
              <w:pStyle w:val="ARfintablebodyright"/>
            </w:pPr>
            <w:r w:rsidRPr="00DA47C2">
              <w:t>1,537.9</w:t>
            </w:r>
          </w:p>
        </w:tc>
        <w:tc>
          <w:tcPr>
            <w:tcW w:w="1133" w:type="dxa"/>
            <w:tcBorders>
              <w:top w:val="single" w:sz="4" w:space="0" w:color="A6A6A6"/>
            </w:tcBorders>
            <w:noWrap/>
            <w:hideMark/>
          </w:tcPr>
          <w:p w14:paraId="12EE2B0F" w14:textId="77777777" w:rsidR="005F4A7E" w:rsidRPr="002029AF" w:rsidRDefault="005F4A7E" w:rsidP="00130D1C">
            <w:pPr>
              <w:pStyle w:val="ARfintablebodyright"/>
            </w:pPr>
            <w:r w:rsidRPr="00DA47C2">
              <w:t>1,651.3</w:t>
            </w:r>
          </w:p>
        </w:tc>
      </w:tr>
      <w:tr w:rsidR="005F4A7E" w:rsidRPr="002029AF" w14:paraId="15D0A6F2" w14:textId="77777777" w:rsidTr="00860E95">
        <w:tc>
          <w:tcPr>
            <w:tcW w:w="7371" w:type="dxa"/>
            <w:tcBorders>
              <w:bottom w:val="single" w:sz="4" w:space="0" w:color="auto"/>
            </w:tcBorders>
            <w:hideMark/>
          </w:tcPr>
          <w:p w14:paraId="6F20D014" w14:textId="77777777" w:rsidR="005F4A7E" w:rsidRPr="002029AF" w:rsidRDefault="005F4A7E" w:rsidP="00130D1C">
            <w:pPr>
              <w:pStyle w:val="ARfintablebodybold"/>
            </w:pPr>
            <w:r w:rsidRPr="00DA47C2">
              <w:t>Total Peter MacCallum Cancer Centre commitments</w:t>
            </w:r>
          </w:p>
        </w:tc>
        <w:tc>
          <w:tcPr>
            <w:tcW w:w="1133" w:type="dxa"/>
            <w:tcBorders>
              <w:bottom w:val="single" w:sz="4" w:space="0" w:color="auto"/>
            </w:tcBorders>
            <w:shd w:val="clear" w:color="auto" w:fill="E7E6E6"/>
            <w:noWrap/>
            <w:hideMark/>
          </w:tcPr>
          <w:p w14:paraId="58DB8A99" w14:textId="77777777" w:rsidR="005F4A7E" w:rsidRPr="002029AF" w:rsidRDefault="005F4A7E" w:rsidP="00130D1C">
            <w:pPr>
              <w:pStyle w:val="ARfintablebodyrightbold"/>
            </w:pPr>
            <w:r w:rsidRPr="00DA47C2">
              <w:t>2,278.3</w:t>
            </w:r>
          </w:p>
        </w:tc>
        <w:tc>
          <w:tcPr>
            <w:tcW w:w="1133" w:type="dxa"/>
            <w:tcBorders>
              <w:bottom w:val="single" w:sz="4" w:space="0" w:color="auto"/>
            </w:tcBorders>
            <w:noWrap/>
            <w:hideMark/>
          </w:tcPr>
          <w:p w14:paraId="7960E8D2" w14:textId="77777777" w:rsidR="005F4A7E" w:rsidRPr="002029AF" w:rsidRDefault="005F4A7E" w:rsidP="00130D1C">
            <w:pPr>
              <w:pStyle w:val="ARfintablebodyrightbold"/>
            </w:pPr>
            <w:r w:rsidRPr="00DA47C2">
              <w:t>2,384.0</w:t>
            </w:r>
          </w:p>
        </w:tc>
      </w:tr>
      <w:tr w:rsidR="005F4A7E" w:rsidRPr="002029AF" w14:paraId="451568D4" w14:textId="77777777" w:rsidTr="00860E95">
        <w:tc>
          <w:tcPr>
            <w:tcW w:w="9637" w:type="dxa"/>
            <w:gridSpan w:val="3"/>
            <w:tcBorders>
              <w:top w:val="single" w:sz="4" w:space="0" w:color="auto"/>
              <w:bottom w:val="single" w:sz="4" w:space="0" w:color="A6A6A6"/>
            </w:tcBorders>
            <w:hideMark/>
          </w:tcPr>
          <w:p w14:paraId="00A13FB3" w14:textId="77777777" w:rsidR="005F4A7E" w:rsidRPr="002029AF" w:rsidRDefault="005F4A7E" w:rsidP="00130D1C">
            <w:pPr>
              <w:pStyle w:val="ARfintablebodybold"/>
              <w:pageBreakBefore/>
            </w:pPr>
            <w:r w:rsidRPr="00DA47C2">
              <w:lastRenderedPageBreak/>
              <w:t>5. Bendigo Health</w:t>
            </w:r>
          </w:p>
        </w:tc>
      </w:tr>
      <w:tr w:rsidR="005F4A7E" w:rsidRPr="002029AF" w14:paraId="59500EF7" w14:textId="77777777" w:rsidTr="00860E95">
        <w:tc>
          <w:tcPr>
            <w:tcW w:w="7371" w:type="dxa"/>
            <w:tcBorders>
              <w:top w:val="single" w:sz="4" w:space="0" w:color="A6A6A6"/>
              <w:bottom w:val="single" w:sz="4" w:space="0" w:color="A6A6A6"/>
            </w:tcBorders>
            <w:hideMark/>
          </w:tcPr>
          <w:p w14:paraId="61636CB3" w14:textId="77777777" w:rsidR="005F4A7E" w:rsidRPr="002029AF" w:rsidRDefault="005F4A7E" w:rsidP="00130D1C">
            <w:pPr>
              <w:pStyle w:val="ARfintablebody"/>
            </w:pPr>
            <w:r w:rsidRPr="00DA47C2">
              <w:t>Less than 1 year</w:t>
            </w:r>
          </w:p>
        </w:tc>
        <w:tc>
          <w:tcPr>
            <w:tcW w:w="1133" w:type="dxa"/>
            <w:tcBorders>
              <w:top w:val="single" w:sz="4" w:space="0" w:color="A6A6A6"/>
              <w:bottom w:val="single" w:sz="4" w:space="0" w:color="A6A6A6"/>
            </w:tcBorders>
            <w:shd w:val="clear" w:color="auto" w:fill="E7E6E6"/>
            <w:noWrap/>
            <w:hideMark/>
          </w:tcPr>
          <w:p w14:paraId="3E4DF29C" w14:textId="77777777" w:rsidR="005F4A7E" w:rsidRPr="002029AF" w:rsidRDefault="005F4A7E" w:rsidP="00130D1C">
            <w:pPr>
              <w:pStyle w:val="ARfintablebodyright"/>
            </w:pPr>
            <w:r w:rsidRPr="00DA47C2">
              <w:t>68.4</w:t>
            </w:r>
          </w:p>
        </w:tc>
        <w:tc>
          <w:tcPr>
            <w:tcW w:w="1133" w:type="dxa"/>
            <w:tcBorders>
              <w:top w:val="single" w:sz="4" w:space="0" w:color="A6A6A6"/>
              <w:bottom w:val="single" w:sz="4" w:space="0" w:color="A6A6A6"/>
            </w:tcBorders>
            <w:noWrap/>
            <w:hideMark/>
          </w:tcPr>
          <w:p w14:paraId="4F610D82" w14:textId="77777777" w:rsidR="005F4A7E" w:rsidRPr="002029AF" w:rsidRDefault="005F4A7E" w:rsidP="00130D1C">
            <w:pPr>
              <w:pStyle w:val="ARfintablebodyright"/>
            </w:pPr>
            <w:r w:rsidRPr="00DA47C2">
              <w:t>67.3</w:t>
            </w:r>
          </w:p>
        </w:tc>
      </w:tr>
      <w:tr w:rsidR="005F4A7E" w:rsidRPr="002029AF" w14:paraId="728599DF" w14:textId="77777777" w:rsidTr="00860E95">
        <w:tc>
          <w:tcPr>
            <w:tcW w:w="7371" w:type="dxa"/>
            <w:tcBorders>
              <w:top w:val="single" w:sz="4" w:space="0" w:color="A6A6A6"/>
              <w:bottom w:val="single" w:sz="4" w:space="0" w:color="A6A6A6"/>
            </w:tcBorders>
            <w:hideMark/>
          </w:tcPr>
          <w:p w14:paraId="6F5AF24B" w14:textId="77777777" w:rsidR="005F4A7E" w:rsidRPr="002029AF" w:rsidRDefault="005F4A7E" w:rsidP="00130D1C">
            <w:pPr>
              <w:pStyle w:val="ARfintablebody"/>
            </w:pPr>
            <w:r w:rsidRPr="00DA47C2">
              <w:t>Longer than 1 year and not longer than 5 years</w:t>
            </w:r>
          </w:p>
        </w:tc>
        <w:tc>
          <w:tcPr>
            <w:tcW w:w="1133" w:type="dxa"/>
            <w:tcBorders>
              <w:top w:val="single" w:sz="4" w:space="0" w:color="A6A6A6"/>
              <w:bottom w:val="single" w:sz="4" w:space="0" w:color="A6A6A6"/>
            </w:tcBorders>
            <w:shd w:val="clear" w:color="auto" w:fill="E7E6E6"/>
            <w:noWrap/>
            <w:hideMark/>
          </w:tcPr>
          <w:p w14:paraId="0F0E1BEA" w14:textId="77777777" w:rsidR="005F4A7E" w:rsidRPr="002029AF" w:rsidRDefault="005F4A7E" w:rsidP="00130D1C">
            <w:pPr>
              <w:pStyle w:val="ARfintablebodyright"/>
            </w:pPr>
            <w:r w:rsidRPr="00DA47C2">
              <w:t>306.3</w:t>
            </w:r>
          </w:p>
        </w:tc>
        <w:tc>
          <w:tcPr>
            <w:tcW w:w="1133" w:type="dxa"/>
            <w:tcBorders>
              <w:top w:val="single" w:sz="4" w:space="0" w:color="A6A6A6"/>
              <w:bottom w:val="single" w:sz="4" w:space="0" w:color="A6A6A6"/>
            </w:tcBorders>
            <w:noWrap/>
            <w:hideMark/>
          </w:tcPr>
          <w:p w14:paraId="2B518C71" w14:textId="77777777" w:rsidR="005F4A7E" w:rsidRPr="002029AF" w:rsidRDefault="005F4A7E" w:rsidP="00130D1C">
            <w:pPr>
              <w:pStyle w:val="ARfintablebodyright"/>
            </w:pPr>
            <w:r w:rsidRPr="00DA47C2">
              <w:t>290.0</w:t>
            </w:r>
          </w:p>
        </w:tc>
      </w:tr>
      <w:tr w:rsidR="005F4A7E" w:rsidRPr="002029AF" w14:paraId="7332677C" w14:textId="77777777" w:rsidTr="00860E95">
        <w:tc>
          <w:tcPr>
            <w:tcW w:w="7371" w:type="dxa"/>
            <w:tcBorders>
              <w:top w:val="single" w:sz="4" w:space="0" w:color="A6A6A6"/>
            </w:tcBorders>
            <w:hideMark/>
          </w:tcPr>
          <w:p w14:paraId="0A6D0384" w14:textId="77777777" w:rsidR="005F4A7E" w:rsidRPr="002029AF" w:rsidRDefault="005F4A7E" w:rsidP="00130D1C">
            <w:pPr>
              <w:pStyle w:val="ARfintablebody"/>
            </w:pPr>
            <w:r w:rsidRPr="00DA47C2">
              <w:t>Longer than 5 years</w:t>
            </w:r>
          </w:p>
        </w:tc>
        <w:tc>
          <w:tcPr>
            <w:tcW w:w="1133" w:type="dxa"/>
            <w:tcBorders>
              <w:top w:val="single" w:sz="4" w:space="0" w:color="A6A6A6"/>
            </w:tcBorders>
            <w:shd w:val="clear" w:color="auto" w:fill="E7E6E6"/>
            <w:noWrap/>
            <w:hideMark/>
          </w:tcPr>
          <w:p w14:paraId="132C8A0A" w14:textId="77777777" w:rsidR="005F4A7E" w:rsidRPr="002029AF" w:rsidRDefault="005F4A7E" w:rsidP="00130D1C">
            <w:pPr>
              <w:pStyle w:val="ARfintablebodyright"/>
            </w:pPr>
            <w:r w:rsidRPr="00DA47C2">
              <w:t>1,452.2</w:t>
            </w:r>
          </w:p>
        </w:tc>
        <w:tc>
          <w:tcPr>
            <w:tcW w:w="1133" w:type="dxa"/>
            <w:tcBorders>
              <w:top w:val="single" w:sz="4" w:space="0" w:color="A6A6A6"/>
            </w:tcBorders>
            <w:noWrap/>
            <w:hideMark/>
          </w:tcPr>
          <w:p w14:paraId="2EB8661E" w14:textId="77777777" w:rsidR="005F4A7E" w:rsidRPr="002029AF" w:rsidRDefault="005F4A7E" w:rsidP="00130D1C">
            <w:pPr>
              <w:pStyle w:val="ARfintablebodyright"/>
            </w:pPr>
            <w:r w:rsidRPr="00DA47C2">
              <w:t>1,543.3</w:t>
            </w:r>
          </w:p>
        </w:tc>
      </w:tr>
      <w:tr w:rsidR="005F4A7E" w:rsidRPr="002029AF" w14:paraId="243B8390" w14:textId="77777777" w:rsidTr="00860E95">
        <w:tc>
          <w:tcPr>
            <w:tcW w:w="7371" w:type="dxa"/>
            <w:tcBorders>
              <w:bottom w:val="single" w:sz="4" w:space="0" w:color="auto"/>
            </w:tcBorders>
            <w:hideMark/>
          </w:tcPr>
          <w:p w14:paraId="6FB8F109" w14:textId="77777777" w:rsidR="005F4A7E" w:rsidRPr="002029AF" w:rsidRDefault="005F4A7E" w:rsidP="00130D1C">
            <w:pPr>
              <w:pStyle w:val="ARfintablebodybold"/>
            </w:pPr>
            <w:r w:rsidRPr="00DA47C2">
              <w:t>Total Bendigo Health commitments</w:t>
            </w:r>
          </w:p>
        </w:tc>
        <w:tc>
          <w:tcPr>
            <w:tcW w:w="1133" w:type="dxa"/>
            <w:tcBorders>
              <w:bottom w:val="single" w:sz="4" w:space="0" w:color="auto"/>
            </w:tcBorders>
            <w:shd w:val="clear" w:color="auto" w:fill="E7E6E6"/>
            <w:noWrap/>
            <w:hideMark/>
          </w:tcPr>
          <w:p w14:paraId="2503E32D" w14:textId="77777777" w:rsidR="005F4A7E" w:rsidRPr="002029AF" w:rsidRDefault="005F4A7E" w:rsidP="00130D1C">
            <w:pPr>
              <w:pStyle w:val="ARfintablebodyrightbold"/>
            </w:pPr>
            <w:r w:rsidRPr="00DA47C2">
              <w:t>1,826.9</w:t>
            </w:r>
          </w:p>
        </w:tc>
        <w:tc>
          <w:tcPr>
            <w:tcW w:w="1133" w:type="dxa"/>
            <w:tcBorders>
              <w:bottom w:val="single" w:sz="4" w:space="0" w:color="auto"/>
            </w:tcBorders>
            <w:noWrap/>
            <w:hideMark/>
          </w:tcPr>
          <w:p w14:paraId="212F0765" w14:textId="77777777" w:rsidR="005F4A7E" w:rsidRPr="002029AF" w:rsidRDefault="005F4A7E" w:rsidP="00130D1C">
            <w:pPr>
              <w:pStyle w:val="ARfintablebodyrightbold"/>
            </w:pPr>
            <w:r w:rsidRPr="00DA47C2">
              <w:t>1,900.6</w:t>
            </w:r>
          </w:p>
        </w:tc>
      </w:tr>
      <w:tr w:rsidR="005F4A7E" w:rsidRPr="002029AF" w14:paraId="3E29162C" w14:textId="77777777" w:rsidTr="00860E95">
        <w:tc>
          <w:tcPr>
            <w:tcW w:w="7371" w:type="dxa"/>
            <w:tcBorders>
              <w:top w:val="single" w:sz="4" w:space="0" w:color="auto"/>
              <w:bottom w:val="single" w:sz="4" w:space="0" w:color="A6A6A6"/>
            </w:tcBorders>
            <w:hideMark/>
          </w:tcPr>
          <w:p w14:paraId="1A32E4EF" w14:textId="77777777" w:rsidR="005F4A7E" w:rsidRPr="002029AF" w:rsidRDefault="005F4A7E" w:rsidP="00130D1C">
            <w:pPr>
              <w:pStyle w:val="ARfintablebodybold"/>
            </w:pPr>
            <w:r w:rsidRPr="00DA47C2">
              <w:t>Total PPP funding commitments</w:t>
            </w:r>
          </w:p>
        </w:tc>
        <w:tc>
          <w:tcPr>
            <w:tcW w:w="1133" w:type="dxa"/>
            <w:tcBorders>
              <w:top w:val="single" w:sz="4" w:space="0" w:color="auto"/>
              <w:bottom w:val="single" w:sz="4" w:space="0" w:color="A6A6A6"/>
            </w:tcBorders>
            <w:shd w:val="clear" w:color="auto" w:fill="E7E6E6"/>
            <w:noWrap/>
            <w:hideMark/>
          </w:tcPr>
          <w:p w14:paraId="2D857274" w14:textId="77777777" w:rsidR="005F4A7E" w:rsidRPr="002029AF" w:rsidRDefault="005F4A7E" w:rsidP="00130D1C">
            <w:pPr>
              <w:pStyle w:val="ARfintablebodyrightbold"/>
            </w:pPr>
            <w:r w:rsidRPr="00DA47C2">
              <w:t>7,927.5</w:t>
            </w:r>
          </w:p>
        </w:tc>
        <w:tc>
          <w:tcPr>
            <w:tcW w:w="1133" w:type="dxa"/>
            <w:tcBorders>
              <w:top w:val="single" w:sz="4" w:space="0" w:color="auto"/>
              <w:bottom w:val="single" w:sz="4" w:space="0" w:color="A6A6A6"/>
            </w:tcBorders>
            <w:noWrap/>
            <w:hideMark/>
          </w:tcPr>
          <w:p w14:paraId="73848682" w14:textId="77777777" w:rsidR="005F4A7E" w:rsidRPr="002029AF" w:rsidRDefault="005F4A7E" w:rsidP="00130D1C">
            <w:pPr>
              <w:pStyle w:val="ARfintablebodyrightbold"/>
            </w:pPr>
            <w:r w:rsidRPr="00DA47C2">
              <w:t>8,393.0</w:t>
            </w:r>
          </w:p>
        </w:tc>
      </w:tr>
      <w:tr w:rsidR="005F4A7E" w:rsidRPr="002029AF" w14:paraId="6223BC15" w14:textId="77777777" w:rsidTr="00130D1C">
        <w:tc>
          <w:tcPr>
            <w:tcW w:w="9637" w:type="dxa"/>
            <w:gridSpan w:val="3"/>
            <w:tcBorders>
              <w:bottom w:val="single" w:sz="4" w:space="0" w:color="auto"/>
            </w:tcBorders>
            <w:hideMark/>
          </w:tcPr>
          <w:p w14:paraId="49447405" w14:textId="77777777" w:rsidR="005F4A7E" w:rsidRPr="002029AF" w:rsidRDefault="005F4A7E" w:rsidP="00130D1C">
            <w:pPr>
              <w:pStyle w:val="ARfintablebodybold"/>
            </w:pPr>
            <w:r w:rsidRPr="00DA47C2">
              <w:t>(e) Uncommissioned PPP commitments</w:t>
            </w:r>
          </w:p>
        </w:tc>
      </w:tr>
      <w:tr w:rsidR="005F4A7E" w:rsidRPr="002029AF" w14:paraId="037ACE15" w14:textId="77777777" w:rsidTr="00130D1C">
        <w:tc>
          <w:tcPr>
            <w:tcW w:w="9637" w:type="dxa"/>
            <w:gridSpan w:val="3"/>
            <w:tcBorders>
              <w:top w:val="single" w:sz="4" w:space="0" w:color="auto"/>
              <w:bottom w:val="single" w:sz="4" w:space="0" w:color="A6A6A6"/>
            </w:tcBorders>
            <w:hideMark/>
          </w:tcPr>
          <w:p w14:paraId="0FF34A6C" w14:textId="77777777" w:rsidR="005F4A7E" w:rsidRPr="002029AF" w:rsidRDefault="005F4A7E" w:rsidP="00130D1C">
            <w:pPr>
              <w:pStyle w:val="ARfintablebodybold"/>
            </w:pPr>
            <w:r w:rsidRPr="00DA47C2">
              <w:t>1. New Footscray Hospital</w:t>
            </w:r>
          </w:p>
        </w:tc>
      </w:tr>
      <w:tr w:rsidR="005F4A7E" w:rsidRPr="002029AF" w14:paraId="1AFD4A69" w14:textId="77777777" w:rsidTr="00130D1C">
        <w:tc>
          <w:tcPr>
            <w:tcW w:w="7371" w:type="dxa"/>
            <w:tcBorders>
              <w:top w:val="single" w:sz="4" w:space="0" w:color="A6A6A6"/>
              <w:bottom w:val="single" w:sz="4" w:space="0" w:color="A6A6A6"/>
            </w:tcBorders>
            <w:hideMark/>
          </w:tcPr>
          <w:p w14:paraId="19409BA0" w14:textId="77777777" w:rsidR="005F4A7E" w:rsidRPr="002029AF" w:rsidRDefault="005F4A7E" w:rsidP="00130D1C">
            <w:pPr>
              <w:pStyle w:val="ARfintablebody"/>
            </w:pPr>
            <w:r w:rsidRPr="00DA47C2">
              <w:t>Less than 1 year</w:t>
            </w:r>
          </w:p>
        </w:tc>
        <w:tc>
          <w:tcPr>
            <w:tcW w:w="1133" w:type="dxa"/>
            <w:tcBorders>
              <w:top w:val="single" w:sz="4" w:space="0" w:color="A6A6A6"/>
              <w:bottom w:val="single" w:sz="4" w:space="0" w:color="A6A6A6"/>
            </w:tcBorders>
            <w:shd w:val="clear" w:color="auto" w:fill="E7E6E6"/>
            <w:noWrap/>
            <w:hideMark/>
          </w:tcPr>
          <w:p w14:paraId="5E9F121B" w14:textId="77777777" w:rsidR="005F4A7E" w:rsidRPr="002029AF" w:rsidRDefault="005F4A7E" w:rsidP="00130D1C">
            <w:pPr>
              <w:pStyle w:val="ARfintablebodyright"/>
            </w:pPr>
            <w:r w:rsidRPr="00DA47C2">
              <w:t>–</w:t>
            </w:r>
          </w:p>
        </w:tc>
        <w:tc>
          <w:tcPr>
            <w:tcW w:w="1133" w:type="dxa"/>
            <w:tcBorders>
              <w:top w:val="single" w:sz="4" w:space="0" w:color="A6A6A6"/>
              <w:bottom w:val="single" w:sz="4" w:space="0" w:color="A6A6A6"/>
            </w:tcBorders>
            <w:noWrap/>
            <w:hideMark/>
          </w:tcPr>
          <w:p w14:paraId="17866C81" w14:textId="77777777" w:rsidR="005F4A7E" w:rsidRPr="002029AF" w:rsidRDefault="005F4A7E" w:rsidP="00130D1C">
            <w:pPr>
              <w:pStyle w:val="ARfintablebodyright"/>
            </w:pPr>
            <w:r w:rsidRPr="00DA47C2">
              <w:t>–</w:t>
            </w:r>
          </w:p>
        </w:tc>
      </w:tr>
      <w:tr w:rsidR="005F4A7E" w:rsidRPr="002029AF" w14:paraId="06DC569F" w14:textId="77777777" w:rsidTr="00130D1C">
        <w:tc>
          <w:tcPr>
            <w:tcW w:w="7371" w:type="dxa"/>
            <w:tcBorders>
              <w:top w:val="single" w:sz="4" w:space="0" w:color="A6A6A6"/>
              <w:bottom w:val="single" w:sz="4" w:space="0" w:color="A6A6A6"/>
            </w:tcBorders>
            <w:hideMark/>
          </w:tcPr>
          <w:p w14:paraId="021C64CE" w14:textId="77777777" w:rsidR="005F4A7E" w:rsidRPr="002029AF" w:rsidRDefault="005F4A7E" w:rsidP="00130D1C">
            <w:pPr>
              <w:pStyle w:val="ARfintablebody"/>
            </w:pPr>
            <w:r w:rsidRPr="00DA47C2">
              <w:t>Longer than 1 year and not longer than 5 years</w:t>
            </w:r>
          </w:p>
        </w:tc>
        <w:tc>
          <w:tcPr>
            <w:tcW w:w="1133" w:type="dxa"/>
            <w:tcBorders>
              <w:top w:val="single" w:sz="4" w:space="0" w:color="A6A6A6"/>
              <w:bottom w:val="single" w:sz="4" w:space="0" w:color="A6A6A6"/>
            </w:tcBorders>
            <w:shd w:val="clear" w:color="auto" w:fill="E7E6E6"/>
            <w:noWrap/>
            <w:hideMark/>
          </w:tcPr>
          <w:p w14:paraId="1653F154" w14:textId="77777777" w:rsidR="005F4A7E" w:rsidRPr="002029AF" w:rsidRDefault="005F4A7E" w:rsidP="00130D1C">
            <w:pPr>
              <w:pStyle w:val="ARfintablebodyright"/>
            </w:pPr>
            <w:r w:rsidRPr="00DA47C2">
              <w:t>6</w:t>
            </w:r>
            <w:r>
              <w:t>39.3</w:t>
            </w:r>
          </w:p>
        </w:tc>
        <w:tc>
          <w:tcPr>
            <w:tcW w:w="1133" w:type="dxa"/>
            <w:tcBorders>
              <w:top w:val="single" w:sz="4" w:space="0" w:color="A6A6A6"/>
              <w:bottom w:val="single" w:sz="4" w:space="0" w:color="A6A6A6"/>
            </w:tcBorders>
            <w:noWrap/>
            <w:hideMark/>
          </w:tcPr>
          <w:p w14:paraId="2D5DE9BA" w14:textId="77777777" w:rsidR="005F4A7E" w:rsidRPr="002029AF" w:rsidRDefault="005F4A7E" w:rsidP="00130D1C">
            <w:pPr>
              <w:pStyle w:val="ARfintablebodyright"/>
            </w:pPr>
            <w:r w:rsidRPr="00DA47C2">
              <w:t>–</w:t>
            </w:r>
          </w:p>
        </w:tc>
      </w:tr>
      <w:tr w:rsidR="005F4A7E" w:rsidRPr="002029AF" w14:paraId="0C82230C" w14:textId="77777777" w:rsidTr="00130D1C">
        <w:tc>
          <w:tcPr>
            <w:tcW w:w="7371" w:type="dxa"/>
            <w:tcBorders>
              <w:top w:val="single" w:sz="4" w:space="0" w:color="A6A6A6"/>
            </w:tcBorders>
            <w:hideMark/>
          </w:tcPr>
          <w:p w14:paraId="4DF3C144" w14:textId="77777777" w:rsidR="005F4A7E" w:rsidRPr="002029AF" w:rsidRDefault="005F4A7E" w:rsidP="00130D1C">
            <w:pPr>
              <w:pStyle w:val="ARfintablebody"/>
            </w:pPr>
            <w:r w:rsidRPr="00DA47C2">
              <w:t>Longer than 5 years</w:t>
            </w:r>
          </w:p>
        </w:tc>
        <w:tc>
          <w:tcPr>
            <w:tcW w:w="1133" w:type="dxa"/>
            <w:tcBorders>
              <w:top w:val="single" w:sz="4" w:space="0" w:color="A6A6A6"/>
            </w:tcBorders>
            <w:shd w:val="clear" w:color="auto" w:fill="E7E6E6"/>
            <w:noWrap/>
            <w:hideMark/>
          </w:tcPr>
          <w:p w14:paraId="1B4A2DB0" w14:textId="77777777" w:rsidR="005F4A7E" w:rsidRPr="002029AF" w:rsidRDefault="005F4A7E" w:rsidP="00130D1C">
            <w:pPr>
              <w:pStyle w:val="ARfintablebodyright"/>
            </w:pPr>
            <w:r>
              <w:t>5,733.2</w:t>
            </w:r>
          </w:p>
        </w:tc>
        <w:tc>
          <w:tcPr>
            <w:tcW w:w="1133" w:type="dxa"/>
            <w:tcBorders>
              <w:top w:val="single" w:sz="4" w:space="0" w:color="A6A6A6"/>
            </w:tcBorders>
            <w:noWrap/>
            <w:hideMark/>
          </w:tcPr>
          <w:p w14:paraId="07C78691" w14:textId="77777777" w:rsidR="005F4A7E" w:rsidRPr="002029AF" w:rsidRDefault="005F4A7E" w:rsidP="00130D1C">
            <w:pPr>
              <w:pStyle w:val="ARfintablebodyright"/>
            </w:pPr>
            <w:r w:rsidRPr="00DA47C2">
              <w:t>–</w:t>
            </w:r>
          </w:p>
        </w:tc>
      </w:tr>
      <w:tr w:rsidR="005F4A7E" w:rsidRPr="002029AF" w14:paraId="5211415B" w14:textId="77777777" w:rsidTr="00130D1C">
        <w:tc>
          <w:tcPr>
            <w:tcW w:w="7371" w:type="dxa"/>
            <w:tcBorders>
              <w:bottom w:val="single" w:sz="4" w:space="0" w:color="auto"/>
            </w:tcBorders>
            <w:hideMark/>
          </w:tcPr>
          <w:p w14:paraId="778749F0" w14:textId="77777777" w:rsidR="005F4A7E" w:rsidRPr="002029AF" w:rsidRDefault="005F4A7E" w:rsidP="00130D1C">
            <w:pPr>
              <w:pStyle w:val="ARfintablebodybold"/>
            </w:pPr>
            <w:r w:rsidRPr="00DA47C2">
              <w:t>Total New Footscray Hospital commitments</w:t>
            </w:r>
          </w:p>
        </w:tc>
        <w:tc>
          <w:tcPr>
            <w:tcW w:w="1133" w:type="dxa"/>
            <w:tcBorders>
              <w:bottom w:val="single" w:sz="4" w:space="0" w:color="auto"/>
            </w:tcBorders>
            <w:shd w:val="clear" w:color="auto" w:fill="E7E6E6"/>
            <w:noWrap/>
            <w:hideMark/>
          </w:tcPr>
          <w:p w14:paraId="1C2C8070" w14:textId="77777777" w:rsidR="005F4A7E" w:rsidRPr="002029AF" w:rsidRDefault="005F4A7E" w:rsidP="00130D1C">
            <w:pPr>
              <w:pStyle w:val="ARfintablebodyrightbold"/>
            </w:pPr>
            <w:r>
              <w:t>6,372.5</w:t>
            </w:r>
          </w:p>
        </w:tc>
        <w:tc>
          <w:tcPr>
            <w:tcW w:w="1133" w:type="dxa"/>
            <w:tcBorders>
              <w:bottom w:val="single" w:sz="4" w:space="0" w:color="auto"/>
            </w:tcBorders>
            <w:noWrap/>
            <w:hideMark/>
          </w:tcPr>
          <w:p w14:paraId="72481317" w14:textId="77777777" w:rsidR="005F4A7E" w:rsidRPr="002029AF" w:rsidRDefault="005F4A7E" w:rsidP="00130D1C">
            <w:pPr>
              <w:pStyle w:val="ARfintablebodyrightbold"/>
            </w:pPr>
            <w:r w:rsidRPr="00DA47C2">
              <w:t>–</w:t>
            </w:r>
          </w:p>
        </w:tc>
      </w:tr>
      <w:tr w:rsidR="005F4A7E" w:rsidRPr="002029AF" w14:paraId="0E6BD678" w14:textId="77777777" w:rsidTr="00130D1C">
        <w:tc>
          <w:tcPr>
            <w:tcW w:w="9637" w:type="dxa"/>
            <w:gridSpan w:val="3"/>
            <w:tcBorders>
              <w:top w:val="single" w:sz="4" w:space="0" w:color="auto"/>
              <w:bottom w:val="single" w:sz="4" w:space="0" w:color="A6A6A6"/>
            </w:tcBorders>
            <w:hideMark/>
          </w:tcPr>
          <w:p w14:paraId="7B051E64" w14:textId="77777777" w:rsidR="005F4A7E" w:rsidRPr="002029AF" w:rsidRDefault="005F4A7E" w:rsidP="00130D1C">
            <w:pPr>
              <w:pStyle w:val="ARfintablebodybold"/>
            </w:pPr>
            <w:r w:rsidRPr="00DA47C2">
              <w:t xml:space="preserve">2. </w:t>
            </w:r>
            <w:r>
              <w:t xml:space="preserve">New social, affordable, specialist disability and private housing </w:t>
            </w:r>
            <w:r>
              <w:br/>
              <w:t xml:space="preserve">in Flemington, </w:t>
            </w:r>
            <w:r w:rsidRPr="00DA47C2">
              <w:t>Brighton and Prahran</w:t>
            </w:r>
          </w:p>
        </w:tc>
      </w:tr>
      <w:tr w:rsidR="005F4A7E" w:rsidRPr="002029AF" w14:paraId="7EFE25B9" w14:textId="77777777" w:rsidTr="00130D1C">
        <w:tc>
          <w:tcPr>
            <w:tcW w:w="7371" w:type="dxa"/>
            <w:tcBorders>
              <w:top w:val="single" w:sz="4" w:space="0" w:color="A6A6A6"/>
              <w:bottom w:val="single" w:sz="4" w:space="0" w:color="A6A6A6"/>
            </w:tcBorders>
            <w:hideMark/>
          </w:tcPr>
          <w:p w14:paraId="5A0F820C" w14:textId="77777777" w:rsidR="005F4A7E" w:rsidRPr="002029AF" w:rsidRDefault="005F4A7E" w:rsidP="00130D1C">
            <w:pPr>
              <w:pStyle w:val="ARfintablebody"/>
            </w:pPr>
            <w:r w:rsidRPr="00DA47C2">
              <w:t>Less than 1 year</w:t>
            </w:r>
          </w:p>
        </w:tc>
        <w:tc>
          <w:tcPr>
            <w:tcW w:w="1133" w:type="dxa"/>
            <w:tcBorders>
              <w:top w:val="single" w:sz="4" w:space="0" w:color="A6A6A6"/>
              <w:bottom w:val="single" w:sz="4" w:space="0" w:color="A6A6A6"/>
            </w:tcBorders>
            <w:shd w:val="clear" w:color="auto" w:fill="E7E6E6"/>
            <w:noWrap/>
            <w:hideMark/>
          </w:tcPr>
          <w:p w14:paraId="1FFCF900" w14:textId="77777777" w:rsidR="005F4A7E" w:rsidRPr="002029AF" w:rsidRDefault="005F4A7E" w:rsidP="00130D1C">
            <w:pPr>
              <w:pStyle w:val="ARfintablebodyright"/>
            </w:pPr>
            <w:r>
              <w:t>13.5</w:t>
            </w:r>
          </w:p>
        </w:tc>
        <w:tc>
          <w:tcPr>
            <w:tcW w:w="1133" w:type="dxa"/>
            <w:tcBorders>
              <w:top w:val="single" w:sz="4" w:space="0" w:color="A6A6A6"/>
              <w:bottom w:val="single" w:sz="4" w:space="0" w:color="A6A6A6"/>
            </w:tcBorders>
            <w:noWrap/>
            <w:hideMark/>
          </w:tcPr>
          <w:p w14:paraId="46E94B64" w14:textId="77777777" w:rsidR="005F4A7E" w:rsidRPr="002029AF" w:rsidRDefault="005F4A7E" w:rsidP="00130D1C">
            <w:pPr>
              <w:pStyle w:val="ARfintablebodyright"/>
            </w:pPr>
            <w:r w:rsidRPr="00DA47C2">
              <w:t>–</w:t>
            </w:r>
          </w:p>
        </w:tc>
      </w:tr>
      <w:tr w:rsidR="005F4A7E" w:rsidRPr="002029AF" w14:paraId="724B1A2F" w14:textId="77777777" w:rsidTr="00130D1C">
        <w:tc>
          <w:tcPr>
            <w:tcW w:w="7371" w:type="dxa"/>
            <w:tcBorders>
              <w:top w:val="single" w:sz="4" w:space="0" w:color="A6A6A6"/>
              <w:bottom w:val="single" w:sz="4" w:space="0" w:color="A6A6A6"/>
            </w:tcBorders>
            <w:hideMark/>
          </w:tcPr>
          <w:p w14:paraId="76FA27B5" w14:textId="77777777" w:rsidR="005F4A7E" w:rsidRPr="002029AF" w:rsidRDefault="005F4A7E" w:rsidP="00130D1C">
            <w:pPr>
              <w:pStyle w:val="ARfintablebody"/>
            </w:pPr>
            <w:r w:rsidRPr="00DA47C2">
              <w:t>Longer than 1 year and not longer than 5 years</w:t>
            </w:r>
          </w:p>
        </w:tc>
        <w:tc>
          <w:tcPr>
            <w:tcW w:w="1133" w:type="dxa"/>
            <w:tcBorders>
              <w:top w:val="single" w:sz="4" w:space="0" w:color="A6A6A6"/>
              <w:bottom w:val="single" w:sz="4" w:space="0" w:color="A6A6A6"/>
            </w:tcBorders>
            <w:shd w:val="clear" w:color="auto" w:fill="E7E6E6"/>
            <w:noWrap/>
            <w:hideMark/>
          </w:tcPr>
          <w:p w14:paraId="75D2548B" w14:textId="77777777" w:rsidR="005F4A7E" w:rsidRPr="002029AF" w:rsidRDefault="005F4A7E" w:rsidP="00130D1C">
            <w:pPr>
              <w:pStyle w:val="ARfintablebodyright"/>
            </w:pPr>
            <w:r>
              <w:t>73.7</w:t>
            </w:r>
          </w:p>
        </w:tc>
        <w:tc>
          <w:tcPr>
            <w:tcW w:w="1133" w:type="dxa"/>
            <w:tcBorders>
              <w:top w:val="single" w:sz="4" w:space="0" w:color="A6A6A6"/>
              <w:bottom w:val="single" w:sz="4" w:space="0" w:color="A6A6A6"/>
            </w:tcBorders>
            <w:noWrap/>
            <w:hideMark/>
          </w:tcPr>
          <w:p w14:paraId="21025A33" w14:textId="77777777" w:rsidR="005F4A7E" w:rsidRPr="002029AF" w:rsidRDefault="005F4A7E" w:rsidP="00130D1C">
            <w:pPr>
              <w:pStyle w:val="ARfintablebodyright"/>
            </w:pPr>
            <w:r w:rsidRPr="00DA47C2">
              <w:t>–</w:t>
            </w:r>
          </w:p>
        </w:tc>
      </w:tr>
      <w:tr w:rsidR="005F4A7E" w:rsidRPr="002029AF" w14:paraId="6D806BFF" w14:textId="77777777" w:rsidTr="00130D1C">
        <w:tc>
          <w:tcPr>
            <w:tcW w:w="7371" w:type="dxa"/>
            <w:tcBorders>
              <w:top w:val="single" w:sz="4" w:space="0" w:color="A6A6A6"/>
            </w:tcBorders>
            <w:hideMark/>
          </w:tcPr>
          <w:p w14:paraId="46387E1A" w14:textId="77777777" w:rsidR="005F4A7E" w:rsidRPr="002029AF" w:rsidRDefault="005F4A7E" w:rsidP="00130D1C">
            <w:pPr>
              <w:pStyle w:val="ARfintablebody"/>
            </w:pPr>
            <w:r w:rsidRPr="00DA47C2">
              <w:t>Longer than 5 years</w:t>
            </w:r>
          </w:p>
        </w:tc>
        <w:tc>
          <w:tcPr>
            <w:tcW w:w="1133" w:type="dxa"/>
            <w:tcBorders>
              <w:top w:val="single" w:sz="4" w:space="0" w:color="A6A6A6"/>
            </w:tcBorders>
            <w:shd w:val="clear" w:color="auto" w:fill="E7E6E6"/>
            <w:noWrap/>
            <w:hideMark/>
          </w:tcPr>
          <w:p w14:paraId="004A7D32" w14:textId="77777777" w:rsidR="005F4A7E" w:rsidRPr="002029AF" w:rsidRDefault="005F4A7E" w:rsidP="00130D1C">
            <w:pPr>
              <w:pStyle w:val="ARfintablebodyright"/>
            </w:pPr>
            <w:r w:rsidRPr="00DA47C2">
              <w:t>665.0</w:t>
            </w:r>
          </w:p>
        </w:tc>
        <w:tc>
          <w:tcPr>
            <w:tcW w:w="1133" w:type="dxa"/>
            <w:tcBorders>
              <w:top w:val="single" w:sz="4" w:space="0" w:color="A6A6A6"/>
            </w:tcBorders>
            <w:noWrap/>
            <w:hideMark/>
          </w:tcPr>
          <w:p w14:paraId="44B1A129" w14:textId="77777777" w:rsidR="005F4A7E" w:rsidRPr="002029AF" w:rsidRDefault="005F4A7E" w:rsidP="00130D1C">
            <w:pPr>
              <w:pStyle w:val="ARfintablebodyright"/>
            </w:pPr>
            <w:r w:rsidRPr="00DA47C2">
              <w:t>–</w:t>
            </w:r>
          </w:p>
        </w:tc>
      </w:tr>
      <w:tr w:rsidR="005F4A7E" w:rsidRPr="002029AF" w14:paraId="36D0527F" w14:textId="77777777" w:rsidTr="00130D1C">
        <w:tc>
          <w:tcPr>
            <w:tcW w:w="7371" w:type="dxa"/>
            <w:tcBorders>
              <w:bottom w:val="single" w:sz="4" w:space="0" w:color="auto"/>
            </w:tcBorders>
            <w:hideMark/>
          </w:tcPr>
          <w:p w14:paraId="72BC1683" w14:textId="77777777" w:rsidR="005F4A7E" w:rsidRPr="002029AF" w:rsidRDefault="005F4A7E" w:rsidP="00130D1C">
            <w:pPr>
              <w:pStyle w:val="ARfintablebodybold"/>
            </w:pPr>
            <w:r w:rsidRPr="00DA47C2">
              <w:t xml:space="preserve">Total </w:t>
            </w:r>
            <w:r>
              <w:t xml:space="preserve">New social, affordable, specialist disability and private housing in Flemington, </w:t>
            </w:r>
            <w:r w:rsidRPr="00DA47C2">
              <w:t>Brighton and Prahran commitments</w:t>
            </w:r>
          </w:p>
        </w:tc>
        <w:tc>
          <w:tcPr>
            <w:tcW w:w="1133" w:type="dxa"/>
            <w:tcBorders>
              <w:bottom w:val="single" w:sz="4" w:space="0" w:color="auto"/>
            </w:tcBorders>
            <w:shd w:val="clear" w:color="auto" w:fill="E7E6E6"/>
            <w:noWrap/>
            <w:hideMark/>
          </w:tcPr>
          <w:p w14:paraId="34B8899D" w14:textId="77777777" w:rsidR="005F4A7E" w:rsidRPr="002029AF" w:rsidRDefault="005F4A7E" w:rsidP="00130D1C">
            <w:pPr>
              <w:pStyle w:val="ARfintablebodyrightbold"/>
            </w:pPr>
            <w:r w:rsidRPr="00DA47C2">
              <w:t>7</w:t>
            </w:r>
            <w:r>
              <w:t>5</w:t>
            </w:r>
            <w:r w:rsidRPr="00DA47C2">
              <w:t>2.</w:t>
            </w:r>
            <w:r>
              <w:t>2</w:t>
            </w:r>
          </w:p>
        </w:tc>
        <w:tc>
          <w:tcPr>
            <w:tcW w:w="1133" w:type="dxa"/>
            <w:tcBorders>
              <w:bottom w:val="single" w:sz="4" w:space="0" w:color="auto"/>
            </w:tcBorders>
            <w:noWrap/>
            <w:hideMark/>
          </w:tcPr>
          <w:p w14:paraId="268426C6" w14:textId="77777777" w:rsidR="005F4A7E" w:rsidRPr="002029AF" w:rsidRDefault="005F4A7E" w:rsidP="00130D1C">
            <w:pPr>
              <w:pStyle w:val="ARfintablebodyrightbold"/>
            </w:pPr>
            <w:r w:rsidRPr="00DA47C2">
              <w:t>–</w:t>
            </w:r>
          </w:p>
        </w:tc>
      </w:tr>
      <w:tr w:rsidR="005F4A7E" w:rsidRPr="002029AF" w14:paraId="148EA843" w14:textId="77777777" w:rsidTr="00130D1C">
        <w:tc>
          <w:tcPr>
            <w:tcW w:w="7371" w:type="dxa"/>
            <w:tcBorders>
              <w:top w:val="single" w:sz="4" w:space="0" w:color="auto"/>
              <w:bottom w:val="single" w:sz="4" w:space="0" w:color="A6A6A6"/>
            </w:tcBorders>
            <w:hideMark/>
          </w:tcPr>
          <w:p w14:paraId="70F9A06F" w14:textId="77777777" w:rsidR="005F4A7E" w:rsidRPr="002029AF" w:rsidRDefault="005F4A7E" w:rsidP="00130D1C">
            <w:pPr>
              <w:pStyle w:val="ARfintablebodybold"/>
            </w:pPr>
            <w:r w:rsidRPr="00DA47C2">
              <w:t>Total uncommissioned PPP commitments</w:t>
            </w:r>
          </w:p>
        </w:tc>
        <w:tc>
          <w:tcPr>
            <w:tcW w:w="1133" w:type="dxa"/>
            <w:tcBorders>
              <w:top w:val="single" w:sz="4" w:space="0" w:color="auto"/>
              <w:bottom w:val="single" w:sz="4" w:space="0" w:color="A6A6A6"/>
            </w:tcBorders>
            <w:shd w:val="clear" w:color="auto" w:fill="E7E6E6"/>
            <w:noWrap/>
            <w:hideMark/>
          </w:tcPr>
          <w:p w14:paraId="338CBB69" w14:textId="77777777" w:rsidR="005F4A7E" w:rsidRPr="002029AF" w:rsidRDefault="005F4A7E" w:rsidP="00130D1C">
            <w:pPr>
              <w:pStyle w:val="ARfintablebodyrightbold"/>
            </w:pPr>
            <w:r>
              <w:t>7,124.7</w:t>
            </w:r>
          </w:p>
        </w:tc>
        <w:tc>
          <w:tcPr>
            <w:tcW w:w="1133" w:type="dxa"/>
            <w:tcBorders>
              <w:top w:val="single" w:sz="4" w:space="0" w:color="auto"/>
              <w:bottom w:val="single" w:sz="4" w:space="0" w:color="A6A6A6"/>
            </w:tcBorders>
            <w:noWrap/>
            <w:hideMark/>
          </w:tcPr>
          <w:p w14:paraId="38FE7300" w14:textId="77777777" w:rsidR="005F4A7E" w:rsidRPr="002029AF" w:rsidRDefault="005F4A7E" w:rsidP="00130D1C">
            <w:pPr>
              <w:pStyle w:val="ARfintablebodyrightbold"/>
            </w:pPr>
            <w:r w:rsidRPr="00DA47C2">
              <w:t>–</w:t>
            </w:r>
          </w:p>
        </w:tc>
      </w:tr>
      <w:tr w:rsidR="005F4A7E" w:rsidRPr="002029AF" w14:paraId="0A0F68C2" w14:textId="77777777" w:rsidTr="00860E95">
        <w:tc>
          <w:tcPr>
            <w:tcW w:w="7371" w:type="dxa"/>
            <w:tcBorders>
              <w:top w:val="single" w:sz="4" w:space="0" w:color="A6A6A6"/>
              <w:bottom w:val="single" w:sz="4" w:space="0" w:color="A6A6A6"/>
            </w:tcBorders>
            <w:hideMark/>
          </w:tcPr>
          <w:p w14:paraId="3FD9BCF9" w14:textId="77777777" w:rsidR="005F4A7E" w:rsidRPr="002029AF" w:rsidRDefault="005F4A7E" w:rsidP="00130D1C">
            <w:pPr>
              <w:pStyle w:val="ARfintablebodybold"/>
            </w:pPr>
            <w:r w:rsidRPr="00DA47C2">
              <w:t>Total commitments for expenditure (inclusive of GST)</w:t>
            </w:r>
          </w:p>
        </w:tc>
        <w:tc>
          <w:tcPr>
            <w:tcW w:w="1133" w:type="dxa"/>
            <w:tcBorders>
              <w:top w:val="single" w:sz="4" w:space="0" w:color="A6A6A6"/>
              <w:bottom w:val="single" w:sz="4" w:space="0" w:color="A6A6A6"/>
            </w:tcBorders>
            <w:shd w:val="clear" w:color="auto" w:fill="E7E6E6"/>
            <w:noWrap/>
            <w:hideMark/>
          </w:tcPr>
          <w:p w14:paraId="1F3383DC" w14:textId="77777777" w:rsidR="005F4A7E" w:rsidRPr="002029AF" w:rsidRDefault="005F4A7E" w:rsidP="00130D1C">
            <w:pPr>
              <w:pStyle w:val="ARfintablebodyrightbold"/>
            </w:pPr>
            <w:r w:rsidRPr="00DA47C2">
              <w:t>1</w:t>
            </w:r>
            <w:r>
              <w:t>6,917.6</w:t>
            </w:r>
          </w:p>
        </w:tc>
        <w:tc>
          <w:tcPr>
            <w:tcW w:w="1133" w:type="dxa"/>
            <w:tcBorders>
              <w:top w:val="single" w:sz="4" w:space="0" w:color="A6A6A6"/>
              <w:bottom w:val="single" w:sz="4" w:space="0" w:color="A6A6A6"/>
            </w:tcBorders>
            <w:noWrap/>
            <w:hideMark/>
          </w:tcPr>
          <w:p w14:paraId="16565BE0" w14:textId="77777777" w:rsidR="005F4A7E" w:rsidRPr="002029AF" w:rsidRDefault="005F4A7E" w:rsidP="00130D1C">
            <w:pPr>
              <w:pStyle w:val="ARfintablebodyrightbold"/>
            </w:pPr>
            <w:r w:rsidRPr="00DA47C2">
              <w:t>9,897.2</w:t>
            </w:r>
          </w:p>
        </w:tc>
      </w:tr>
      <w:tr w:rsidR="005F4A7E" w:rsidRPr="002029AF" w14:paraId="131F31A1" w14:textId="77777777" w:rsidTr="00860E95">
        <w:tc>
          <w:tcPr>
            <w:tcW w:w="7371" w:type="dxa"/>
            <w:tcBorders>
              <w:top w:val="single" w:sz="4" w:space="0" w:color="A6A6A6"/>
            </w:tcBorders>
            <w:hideMark/>
          </w:tcPr>
          <w:p w14:paraId="0C329FCA" w14:textId="77777777" w:rsidR="005F4A7E" w:rsidRPr="002029AF" w:rsidRDefault="005F4A7E" w:rsidP="00130D1C">
            <w:pPr>
              <w:pStyle w:val="ARfintablebody"/>
            </w:pPr>
            <w:r w:rsidRPr="00DA47C2">
              <w:t>Less GST recoverable from the ATO</w:t>
            </w:r>
          </w:p>
        </w:tc>
        <w:tc>
          <w:tcPr>
            <w:tcW w:w="1133" w:type="dxa"/>
            <w:tcBorders>
              <w:top w:val="single" w:sz="4" w:space="0" w:color="A6A6A6"/>
            </w:tcBorders>
            <w:shd w:val="clear" w:color="auto" w:fill="E7E6E6"/>
            <w:noWrap/>
            <w:hideMark/>
          </w:tcPr>
          <w:p w14:paraId="0D28BC89" w14:textId="77777777" w:rsidR="005F4A7E" w:rsidRPr="002029AF" w:rsidRDefault="005F4A7E" w:rsidP="00130D1C">
            <w:pPr>
              <w:pStyle w:val="ARfintablebodyright"/>
            </w:pPr>
            <w:r w:rsidRPr="00DA47C2">
              <w:t>1,</w:t>
            </w:r>
            <w:r>
              <w:t>364.9</w:t>
            </w:r>
          </w:p>
        </w:tc>
        <w:tc>
          <w:tcPr>
            <w:tcW w:w="1133" w:type="dxa"/>
            <w:tcBorders>
              <w:top w:val="single" w:sz="4" w:space="0" w:color="A6A6A6"/>
            </w:tcBorders>
            <w:noWrap/>
            <w:hideMark/>
          </w:tcPr>
          <w:p w14:paraId="6ED5976D" w14:textId="77777777" w:rsidR="005F4A7E" w:rsidRPr="002029AF" w:rsidRDefault="005F4A7E" w:rsidP="00130D1C">
            <w:pPr>
              <w:pStyle w:val="ARfintablebodyright"/>
            </w:pPr>
            <w:r w:rsidRPr="00DA47C2">
              <w:t>876.6</w:t>
            </w:r>
          </w:p>
        </w:tc>
      </w:tr>
      <w:tr w:rsidR="005F4A7E" w:rsidRPr="002029AF" w14:paraId="510F8286" w14:textId="77777777" w:rsidTr="00860E95">
        <w:tc>
          <w:tcPr>
            <w:tcW w:w="7371" w:type="dxa"/>
            <w:hideMark/>
          </w:tcPr>
          <w:p w14:paraId="2EBF98E0" w14:textId="77777777" w:rsidR="005F4A7E" w:rsidRPr="002029AF" w:rsidRDefault="005F4A7E" w:rsidP="00130D1C">
            <w:pPr>
              <w:pStyle w:val="ARfintablebodybold"/>
            </w:pPr>
            <w:r w:rsidRPr="00DA47C2">
              <w:t>Total commitments for expenditure (exclusive of GST)</w:t>
            </w:r>
          </w:p>
        </w:tc>
        <w:tc>
          <w:tcPr>
            <w:tcW w:w="1133" w:type="dxa"/>
            <w:shd w:val="clear" w:color="auto" w:fill="E7E6E6"/>
            <w:noWrap/>
            <w:hideMark/>
          </w:tcPr>
          <w:p w14:paraId="07588360" w14:textId="77777777" w:rsidR="005F4A7E" w:rsidRPr="002029AF" w:rsidRDefault="005F4A7E" w:rsidP="00130D1C">
            <w:pPr>
              <w:pStyle w:val="ARfintablebodyrightbold"/>
            </w:pPr>
            <w:r w:rsidRPr="00DA47C2">
              <w:t>1</w:t>
            </w:r>
            <w:r>
              <w:t>5,552.7</w:t>
            </w:r>
          </w:p>
        </w:tc>
        <w:tc>
          <w:tcPr>
            <w:tcW w:w="1133" w:type="dxa"/>
            <w:noWrap/>
            <w:hideMark/>
          </w:tcPr>
          <w:p w14:paraId="69B49D9D" w14:textId="77777777" w:rsidR="005F4A7E" w:rsidRPr="002029AF" w:rsidRDefault="005F4A7E" w:rsidP="00130D1C">
            <w:pPr>
              <w:pStyle w:val="ARfintablebodyrightbold"/>
            </w:pPr>
            <w:r w:rsidRPr="00DA47C2">
              <w:t>9,020.6</w:t>
            </w:r>
          </w:p>
        </w:tc>
      </w:tr>
    </w:tbl>
    <w:p w14:paraId="5B0F3D7F" w14:textId="77777777" w:rsidR="005F4A7E" w:rsidRDefault="005F4A7E" w:rsidP="00130D1C">
      <w:pPr>
        <w:pStyle w:val="ARfintablefootnote"/>
        <w:spacing w:line="240" w:lineRule="auto"/>
        <w:rPr>
          <w:iCs/>
          <w:lang w:eastAsia="en-AU"/>
        </w:rPr>
      </w:pPr>
      <w:r>
        <w:rPr>
          <w:iCs/>
          <w:lang w:eastAsia="en-AU"/>
        </w:rPr>
        <w:t>Notes:</w:t>
      </w:r>
    </w:p>
    <w:p w14:paraId="72B723C6" w14:textId="77777777" w:rsidR="005F4A7E" w:rsidRDefault="005F4A7E" w:rsidP="00130D1C">
      <w:pPr>
        <w:pStyle w:val="ARfintablefootnoteindent"/>
      </w:pPr>
      <w:r>
        <w:t>(i)</w:t>
      </w:r>
      <w:r>
        <w:tab/>
        <w:t>For future finance lease and non-cancellable operating lease payments that are recognised on the balance sheet, refer to Note 7.2 Leases.</w:t>
      </w:r>
    </w:p>
    <w:p w14:paraId="76E45FAF" w14:textId="77777777" w:rsidR="005F4A7E" w:rsidRDefault="005F4A7E" w:rsidP="00130D1C">
      <w:pPr>
        <w:pStyle w:val="ARfintablefootnoteindent"/>
      </w:pPr>
      <w:r>
        <w:t>(ii)</w:t>
      </w:r>
      <w:r>
        <w:tab/>
        <w:t>GST is not included in some of the above commitments as they relate to either input taxed or exempt goods and services.</w:t>
      </w:r>
    </w:p>
    <w:p w14:paraId="3237A70C" w14:textId="72280895" w:rsidR="005F4A7E" w:rsidRDefault="005F4A7E" w:rsidP="00130D1C">
      <w:pPr>
        <w:pStyle w:val="ARfintablefootnoteindent"/>
      </w:pPr>
      <w:r>
        <w:t>(iii)</w:t>
      </w:r>
      <w:r>
        <w:tab/>
        <w:t xml:space="preserve">The department has an occupancy agreement, ending on 31 October 2021, with the Department of Treasury and Finance Shared Service Provider for office accommodation at various locations across Victoria and other related services, including management fee, repairs and maintenance, cleaning, security, utilities, etc. A significant judgement was made that the occupancy agreement is a </w:t>
      </w:r>
      <w:r w:rsidRPr="006B441D">
        <w:t xml:space="preserve">service contract (rather than a </w:t>
      </w:r>
      <w:r w:rsidR="007D145B">
        <w:t>‘</w:t>
      </w:r>
      <w:r w:rsidRPr="006B441D">
        <w:t>lease</w:t>
      </w:r>
      <w:r w:rsidR="007D145B">
        <w:t>’</w:t>
      </w:r>
      <w:r w:rsidRPr="006B441D">
        <w:t xml:space="preserve"> as defined in AASB 16 </w:t>
      </w:r>
      <w:r w:rsidRPr="006B441D">
        <w:rPr>
          <w:rStyle w:val="Emphasis"/>
        </w:rPr>
        <w:t>Leases</w:t>
      </w:r>
      <w:r w:rsidRPr="006B441D">
        <w:t>). The cost for the accommodation and other related services</w:t>
      </w:r>
      <w:r>
        <w:t xml:space="preserve"> are expensed (refer to Note 3.1.5 Other operating expenses) based on the agreed payments as per the occupancy agreement.</w:t>
      </w:r>
    </w:p>
    <w:p w14:paraId="1C10558C" w14:textId="77777777" w:rsidR="005F4A7E" w:rsidRDefault="005F4A7E" w:rsidP="00130D1C">
      <w:pPr>
        <w:pStyle w:val="Heading6"/>
      </w:pPr>
      <w:bookmarkStart w:id="986" w:name="_Toc85121506"/>
      <w:r>
        <w:t>Public private partnership funding commitments</w:t>
      </w:r>
      <w:bookmarkEnd w:id="986"/>
    </w:p>
    <w:p w14:paraId="39AE9BB3" w14:textId="741DB7DE" w:rsidR="005F4A7E" w:rsidRDefault="005F4A7E" w:rsidP="00130D1C">
      <w:pPr>
        <w:pStyle w:val="ARfinbody"/>
      </w:pPr>
      <w:r>
        <w:t>The Minister for Health entered into six long-term contracts with various private sector consortiums for the design, construction, maintenance and financing of hospital infrastructure assets, one for the Royal Women</w:t>
      </w:r>
      <w:r w:rsidR="007D145B">
        <w:t>’</w:t>
      </w:r>
      <w:r>
        <w:t>s Hospital, the Royal Children</w:t>
      </w:r>
      <w:r w:rsidR="007D145B">
        <w:t>’</w:t>
      </w:r>
      <w:r>
        <w:t xml:space="preserve">s Hospital, the Victorian Comprehensive Cancer Centre and Bendigo Hospital, and two for Casey Hospital. These arrangements are referred to as </w:t>
      </w:r>
      <w:r w:rsidRPr="005D4D54">
        <w:t>public private partnerships (PPP).</w:t>
      </w:r>
    </w:p>
    <w:p w14:paraId="7A97F292" w14:textId="7B507949" w:rsidR="005F4A7E" w:rsidRDefault="005F4A7E" w:rsidP="00130D1C">
      <w:pPr>
        <w:pStyle w:val="ARfinbody"/>
      </w:pPr>
      <w:r>
        <w:t>The respective health agency is the operator of the PPP infrastructure assets and consequently recognises the associated assets, finance lease liabilities, transactions and commitments to the private sector provider in their own financial statements. For additional information relating to these balances, transactions and commitments (including present value information) refer to the relevant health agencies</w:t>
      </w:r>
      <w:r w:rsidR="007D145B">
        <w:t>’</w:t>
      </w:r>
      <w:r>
        <w:t xml:space="preserve"> financial reports.</w:t>
      </w:r>
    </w:p>
    <w:p w14:paraId="3241D55C" w14:textId="77777777" w:rsidR="005F4A7E" w:rsidRDefault="005F4A7E" w:rsidP="00130D1C">
      <w:pPr>
        <w:pStyle w:val="ARfinbody"/>
      </w:pPr>
      <w:r>
        <w:t>In the table above, the department has disclosed the total nominal amounts due to the private sector consortiums, as the department has agreed to fund these amounts on behalf of the relevant health sector agencies to satisfy the terms of the PPP arrangements. These amounts include the principal, interest, maintenance and ancillary services payments required over the remaining terms of the contracts. These payments will be funded via appropriation revenue and will be recognised as a grant expense to the health agency.</w:t>
      </w:r>
    </w:p>
    <w:p w14:paraId="22A2E9E3" w14:textId="7EAEA5CA" w:rsidR="005F4A7E" w:rsidRDefault="005F4A7E" w:rsidP="00130D1C">
      <w:pPr>
        <w:pStyle w:val="Heading5"/>
        <w:rPr>
          <w:lang w:eastAsia="en-AU"/>
        </w:rPr>
      </w:pPr>
      <w:bookmarkStart w:id="987" w:name="_Toc85121507"/>
      <w:r>
        <w:rPr>
          <w:lang w:eastAsia="en-AU"/>
        </w:rPr>
        <w:t>7.5.2 Public private partnership (PPP) commitments</w:t>
      </w:r>
      <w:bookmarkEnd w:id="987"/>
    </w:p>
    <w:p w14:paraId="5EF37D88" w14:textId="77777777" w:rsidR="005F4A7E" w:rsidRPr="00064EE6" w:rsidRDefault="005F4A7E" w:rsidP="00130D1C">
      <w:pPr>
        <w:pStyle w:val="ARfinbody"/>
      </w:pPr>
      <w:r>
        <w:t xml:space="preserve">The department sometimes enters into arrangements with private sector participants to design and construct or upgrade assets used to provide public services. These arrangements usually include the provision of operational and maintenance services for a specified period of time. These arrangements are often referred to as </w:t>
      </w:r>
      <w:r w:rsidRPr="005D4D54">
        <w:t>public private partnerships</w:t>
      </w:r>
      <w:r w:rsidRPr="00753144">
        <w:t xml:space="preserve"> (PPP)</w:t>
      </w:r>
      <w:r w:rsidRPr="005D4D54">
        <w:t>.</w:t>
      </w:r>
    </w:p>
    <w:p w14:paraId="3E23C2F7" w14:textId="77777777" w:rsidR="005F4A7E" w:rsidRDefault="005F4A7E" w:rsidP="00130D1C">
      <w:pPr>
        <w:pStyle w:val="ARfinbody"/>
      </w:pPr>
      <w:r>
        <w:lastRenderedPageBreak/>
        <w:t>PPPs usually take one of two main forms. In the more common form, the department pays the operator over the arrangement period, subject to specified performance criteria being met. At the date of commitment to the principal provisions of the arrangement, these estimated periodic payments are allocated between a component related to the design and construction or upgrading of the asset and components related to the ongoing operation and maintenance of the asset. The former component is accounted for as either a lease, a service concession arrangement or construction of an item of property, plant and equipment. The remaining components are accounted for as commitments for operating costs, which are expensed in the comprehensive operating statement as they are incurred. The other, less common, form of PPP is one in which the department grants to an operator, for a specified period of time, the right to collect fees from users of the PPP asset, in return for which the operator constructs the asset and has the obligation to supply agreed-upon services, including maintenance of the asset for the period of the concession. These private sector entities typically lease land, and sometimes state works, from the department and construct infrastructure. At the end of the concession period, the land and state works, together with the constructed facilities, will be returned to the department.</w:t>
      </w:r>
    </w:p>
    <w:p w14:paraId="7CFB6188" w14:textId="77777777" w:rsidR="005F4A7E" w:rsidRDefault="005F4A7E" w:rsidP="00130D1C">
      <w:pPr>
        <w:pStyle w:val="ARfinbodylargespace"/>
      </w:pPr>
      <w:r>
        <w:t xml:space="preserve">AASB 1059 </w:t>
      </w:r>
      <w:r>
        <w:rPr>
          <w:rStyle w:val="Emphasis"/>
        </w:rPr>
        <w:t>Service Concession Arrangements: Grantors</w:t>
      </w:r>
      <w:r>
        <w:t xml:space="preserve"> applies to arrangements where an operator provides public services, using a service concession asset, on behalf of the state and importantly, the operator manages at least some of the public service at its own discretion. The state must also control the asset for AASB 1059 to apply. This means that certain PPP arrangements will not be within the scope of AASB 1059 and will continue to be accounted for as either leases or assets being constructed by the state and conversely, certain arrangements that are not PPPs (such as certain external service arrangements) could be captured within the scope of AASB 1059. The department has determined which arrangements should be accounted for under AASB 1059 and details of these are included in Note 7.5.3 below.</w:t>
      </w:r>
    </w:p>
    <w:tbl>
      <w:tblPr>
        <w:tblStyle w:val="TableGrid"/>
        <w:tblW w:w="9639" w:type="dxa"/>
        <w:tblLayout w:type="fixed"/>
        <w:tblLook w:val="04A0" w:firstRow="1" w:lastRow="0" w:firstColumn="1" w:lastColumn="0" w:noHBand="0" w:noVBand="1"/>
      </w:tblPr>
      <w:tblGrid>
        <w:gridCol w:w="3967"/>
        <w:gridCol w:w="1418"/>
        <w:gridCol w:w="1418"/>
        <w:gridCol w:w="1418"/>
        <w:gridCol w:w="1418"/>
      </w:tblGrid>
      <w:tr w:rsidR="005F4A7E" w14:paraId="0534CD56"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3967" w:type="dxa"/>
            <w:vMerge w:val="restart"/>
          </w:tcPr>
          <w:p w14:paraId="52D99C82" w14:textId="77777777" w:rsidR="005F4A7E" w:rsidRDefault="005F4A7E" w:rsidP="00130D1C">
            <w:pPr>
              <w:pStyle w:val="ARfintablecolhead"/>
            </w:pPr>
            <w:r>
              <w:t xml:space="preserve">PPP commitments </w:t>
            </w:r>
            <w:r w:rsidRPr="00B72688">
              <w:rPr>
                <w:rStyle w:val="Superscript"/>
              </w:rPr>
              <w:t>(i)</w:t>
            </w:r>
          </w:p>
          <w:p w14:paraId="01561C0B" w14:textId="77777777" w:rsidR="005F4A7E" w:rsidRDefault="005F4A7E" w:rsidP="00130D1C">
            <w:pPr>
              <w:pStyle w:val="ARfintablecolhead"/>
            </w:pPr>
            <w:r>
              <w:t>2021</w:t>
            </w:r>
          </w:p>
        </w:tc>
        <w:tc>
          <w:tcPr>
            <w:tcW w:w="1418" w:type="dxa"/>
          </w:tcPr>
          <w:p w14:paraId="5F7E8C4A" w14:textId="77777777" w:rsidR="005F4A7E" w:rsidRDefault="005F4A7E" w:rsidP="00130D1C">
            <w:pPr>
              <w:pStyle w:val="ARfintablecolheadright"/>
              <w:rPr>
                <w:lang w:eastAsia="en-US"/>
              </w:rPr>
            </w:pPr>
            <w:r>
              <w:t>Liability</w:t>
            </w:r>
          </w:p>
        </w:tc>
        <w:tc>
          <w:tcPr>
            <w:tcW w:w="1418" w:type="dxa"/>
          </w:tcPr>
          <w:p w14:paraId="14D8D8DD" w14:textId="77777777" w:rsidR="005F4A7E" w:rsidRDefault="005F4A7E" w:rsidP="00130D1C">
            <w:pPr>
              <w:pStyle w:val="ARfintablecolheadright"/>
            </w:pPr>
            <w:r>
              <w:t>Capital contribution</w:t>
            </w:r>
          </w:p>
        </w:tc>
        <w:tc>
          <w:tcPr>
            <w:tcW w:w="1418" w:type="dxa"/>
          </w:tcPr>
          <w:p w14:paraId="5E045D64" w14:textId="77777777" w:rsidR="005F4A7E" w:rsidRDefault="005F4A7E" w:rsidP="00130D1C">
            <w:pPr>
              <w:pStyle w:val="ARfintablecolheadright"/>
            </w:pPr>
            <w:r>
              <w:t>Other commitments</w:t>
            </w:r>
          </w:p>
        </w:tc>
        <w:tc>
          <w:tcPr>
            <w:tcW w:w="1418" w:type="dxa"/>
          </w:tcPr>
          <w:p w14:paraId="687FADA0" w14:textId="77777777" w:rsidR="005F4A7E" w:rsidRDefault="005F4A7E" w:rsidP="00130D1C">
            <w:pPr>
              <w:pStyle w:val="ARfintablecolheadright"/>
            </w:pPr>
            <w:r>
              <w:t>Total commitments</w:t>
            </w:r>
          </w:p>
        </w:tc>
      </w:tr>
      <w:tr w:rsidR="005F4A7E" w14:paraId="69BAE3CC"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3967" w:type="dxa"/>
            <w:vMerge/>
            <w:hideMark/>
          </w:tcPr>
          <w:p w14:paraId="55B61988" w14:textId="77777777" w:rsidR="005F4A7E" w:rsidRDefault="005F4A7E" w:rsidP="00130D1C">
            <w:pPr>
              <w:pStyle w:val="ARfintablecolhead"/>
            </w:pPr>
          </w:p>
        </w:tc>
        <w:tc>
          <w:tcPr>
            <w:tcW w:w="1418" w:type="dxa"/>
            <w:hideMark/>
          </w:tcPr>
          <w:p w14:paraId="45FE6693" w14:textId="77777777" w:rsidR="005F4A7E" w:rsidRDefault="005F4A7E" w:rsidP="00130D1C">
            <w:pPr>
              <w:pStyle w:val="ARfintablecolheadright"/>
            </w:pPr>
            <w:r>
              <w:t>Discounted value</w:t>
            </w:r>
          </w:p>
          <w:p w14:paraId="4BB1EC05" w14:textId="77777777" w:rsidR="005F4A7E" w:rsidRDefault="005F4A7E" w:rsidP="00130D1C">
            <w:pPr>
              <w:pStyle w:val="ARfintablecolheadright"/>
              <w:rPr>
                <w:lang w:eastAsia="en-US"/>
              </w:rPr>
            </w:pPr>
            <w:r>
              <w:t>$M</w:t>
            </w:r>
          </w:p>
        </w:tc>
        <w:tc>
          <w:tcPr>
            <w:tcW w:w="1418" w:type="dxa"/>
            <w:hideMark/>
          </w:tcPr>
          <w:p w14:paraId="03B854C3" w14:textId="77777777" w:rsidR="005F4A7E" w:rsidRDefault="005F4A7E" w:rsidP="00130D1C">
            <w:pPr>
              <w:pStyle w:val="ARfintablecolheadright"/>
            </w:pPr>
            <w:r>
              <w:t>Nominal value</w:t>
            </w:r>
          </w:p>
          <w:p w14:paraId="51986141" w14:textId="77777777" w:rsidR="005F4A7E" w:rsidRDefault="005F4A7E" w:rsidP="00130D1C">
            <w:pPr>
              <w:pStyle w:val="ARfintablecolheadright"/>
            </w:pPr>
            <w:r>
              <w:t>$M</w:t>
            </w:r>
          </w:p>
        </w:tc>
        <w:tc>
          <w:tcPr>
            <w:tcW w:w="1418" w:type="dxa"/>
            <w:hideMark/>
          </w:tcPr>
          <w:p w14:paraId="5DD7DF17" w14:textId="77777777" w:rsidR="005F4A7E" w:rsidRDefault="005F4A7E" w:rsidP="00130D1C">
            <w:pPr>
              <w:pStyle w:val="ARfintablecolheadright"/>
            </w:pPr>
            <w:r>
              <w:t>Present value</w:t>
            </w:r>
          </w:p>
          <w:p w14:paraId="3D966573" w14:textId="77777777" w:rsidR="005F4A7E" w:rsidRDefault="005F4A7E" w:rsidP="00130D1C">
            <w:pPr>
              <w:pStyle w:val="ARfintablecolheadright"/>
            </w:pPr>
            <w:r>
              <w:t>$M</w:t>
            </w:r>
          </w:p>
        </w:tc>
        <w:tc>
          <w:tcPr>
            <w:tcW w:w="1418" w:type="dxa"/>
            <w:hideMark/>
          </w:tcPr>
          <w:p w14:paraId="4DBEBC6D" w14:textId="77777777" w:rsidR="005F4A7E" w:rsidRDefault="005F4A7E" w:rsidP="00130D1C">
            <w:pPr>
              <w:pStyle w:val="ARfintablecolheadright"/>
            </w:pPr>
            <w:r>
              <w:t>Nominal value</w:t>
            </w:r>
          </w:p>
          <w:p w14:paraId="294F7EA9" w14:textId="77777777" w:rsidR="005F4A7E" w:rsidRDefault="005F4A7E" w:rsidP="00130D1C">
            <w:pPr>
              <w:pStyle w:val="ARfintablecolheadright"/>
            </w:pPr>
            <w:r>
              <w:t>$M</w:t>
            </w:r>
          </w:p>
        </w:tc>
      </w:tr>
      <w:tr w:rsidR="005F4A7E" w14:paraId="484B9D82" w14:textId="77777777" w:rsidTr="00130D1C">
        <w:trPr>
          <w:trHeight w:val="255"/>
        </w:trPr>
        <w:tc>
          <w:tcPr>
            <w:tcW w:w="9639" w:type="dxa"/>
            <w:gridSpan w:val="5"/>
            <w:hideMark/>
          </w:tcPr>
          <w:p w14:paraId="41C1F11C" w14:textId="77777777" w:rsidR="005F4A7E" w:rsidRDefault="005F4A7E" w:rsidP="00130D1C">
            <w:pPr>
              <w:pStyle w:val="ARfintablebodybold"/>
              <w:rPr>
                <w:sz w:val="20"/>
                <w:szCs w:val="20"/>
              </w:rPr>
            </w:pPr>
            <w:r>
              <w:t xml:space="preserve">Uncommissioned PPPs </w:t>
            </w:r>
            <w:r w:rsidRPr="00EB5975">
              <w:rPr>
                <w:rStyle w:val="Superscript"/>
              </w:rPr>
              <w:t>(ii)(iii)(iv)</w:t>
            </w:r>
          </w:p>
        </w:tc>
      </w:tr>
      <w:tr w:rsidR="005F4A7E" w14:paraId="62F372CE" w14:textId="77777777" w:rsidTr="00130D1C">
        <w:trPr>
          <w:trHeight w:val="255"/>
        </w:trPr>
        <w:tc>
          <w:tcPr>
            <w:tcW w:w="3967" w:type="dxa"/>
            <w:hideMark/>
          </w:tcPr>
          <w:p w14:paraId="17E65201" w14:textId="77777777" w:rsidR="005F4A7E" w:rsidRDefault="005F4A7E" w:rsidP="00130D1C">
            <w:pPr>
              <w:pStyle w:val="ARfintablebody"/>
              <w:rPr>
                <w:lang w:eastAsia="en-US"/>
              </w:rPr>
            </w:pPr>
            <w:r>
              <w:t xml:space="preserve">New Footscray Hospital </w:t>
            </w:r>
            <w:r w:rsidRPr="00EB5975">
              <w:rPr>
                <w:rStyle w:val="Superscript"/>
              </w:rPr>
              <w:t>(v)</w:t>
            </w:r>
          </w:p>
        </w:tc>
        <w:tc>
          <w:tcPr>
            <w:tcW w:w="1418" w:type="dxa"/>
            <w:noWrap/>
            <w:hideMark/>
          </w:tcPr>
          <w:p w14:paraId="79E4B8AA" w14:textId="77777777" w:rsidR="005F4A7E" w:rsidRDefault="005F4A7E" w:rsidP="00130D1C">
            <w:pPr>
              <w:pStyle w:val="ARfintablebodyright"/>
            </w:pPr>
            <w:r>
              <w:t>1,646.1</w:t>
            </w:r>
          </w:p>
        </w:tc>
        <w:tc>
          <w:tcPr>
            <w:tcW w:w="1418" w:type="dxa"/>
            <w:noWrap/>
            <w:hideMark/>
          </w:tcPr>
          <w:p w14:paraId="568D5CD3" w14:textId="77777777" w:rsidR="005F4A7E" w:rsidRDefault="005F4A7E" w:rsidP="00130D1C">
            <w:pPr>
              <w:pStyle w:val="ARfintablebodyright"/>
            </w:pPr>
            <w:r>
              <w:t>573.0</w:t>
            </w:r>
          </w:p>
        </w:tc>
        <w:tc>
          <w:tcPr>
            <w:tcW w:w="1418" w:type="dxa"/>
            <w:noWrap/>
            <w:hideMark/>
          </w:tcPr>
          <w:p w14:paraId="082EE94A" w14:textId="77777777" w:rsidR="005F4A7E" w:rsidRDefault="005F4A7E" w:rsidP="00130D1C">
            <w:pPr>
              <w:pStyle w:val="ARfintablebodyright"/>
            </w:pPr>
            <w:r>
              <w:t>1,335.0</w:t>
            </w:r>
          </w:p>
        </w:tc>
        <w:tc>
          <w:tcPr>
            <w:tcW w:w="1418" w:type="dxa"/>
            <w:noWrap/>
            <w:hideMark/>
          </w:tcPr>
          <w:p w14:paraId="0AB87F2C" w14:textId="77777777" w:rsidR="005F4A7E" w:rsidRDefault="005F4A7E" w:rsidP="00130D1C">
            <w:pPr>
              <w:pStyle w:val="ARfintablebodyright"/>
            </w:pPr>
            <w:r>
              <w:t>6,372.5</w:t>
            </w:r>
          </w:p>
        </w:tc>
      </w:tr>
      <w:tr w:rsidR="005F4A7E" w14:paraId="49E70EA9" w14:textId="77777777" w:rsidTr="00130D1C">
        <w:trPr>
          <w:trHeight w:val="255"/>
        </w:trPr>
        <w:tc>
          <w:tcPr>
            <w:tcW w:w="3967" w:type="dxa"/>
            <w:hideMark/>
          </w:tcPr>
          <w:p w14:paraId="30882F0A" w14:textId="77777777" w:rsidR="005F4A7E" w:rsidRDefault="005F4A7E" w:rsidP="00130D1C">
            <w:pPr>
              <w:pStyle w:val="ARfintablebody"/>
            </w:pPr>
            <w:r>
              <w:t xml:space="preserve">New social, affordable, specialist disability and private housing in Flemington, Brighton and Prahran </w:t>
            </w:r>
            <w:r w:rsidRPr="00EB5975">
              <w:rPr>
                <w:rStyle w:val="Superscript"/>
              </w:rPr>
              <w:t>(vi)</w:t>
            </w:r>
          </w:p>
        </w:tc>
        <w:tc>
          <w:tcPr>
            <w:tcW w:w="1418" w:type="dxa"/>
            <w:noWrap/>
            <w:hideMark/>
          </w:tcPr>
          <w:p w14:paraId="7381632E" w14:textId="77777777" w:rsidR="005F4A7E" w:rsidRDefault="005F4A7E" w:rsidP="00130D1C">
            <w:pPr>
              <w:pStyle w:val="ARfintablebodyright"/>
            </w:pPr>
            <w:r>
              <w:t>223.3</w:t>
            </w:r>
          </w:p>
        </w:tc>
        <w:tc>
          <w:tcPr>
            <w:tcW w:w="1418" w:type="dxa"/>
            <w:noWrap/>
            <w:hideMark/>
          </w:tcPr>
          <w:p w14:paraId="45C6BFAA" w14:textId="77777777" w:rsidR="005F4A7E" w:rsidRDefault="005F4A7E" w:rsidP="00130D1C">
            <w:pPr>
              <w:pStyle w:val="ARfintablebodyright"/>
            </w:pPr>
            <w:r>
              <w:t>50.0</w:t>
            </w:r>
          </w:p>
        </w:tc>
        <w:tc>
          <w:tcPr>
            <w:tcW w:w="1418" w:type="dxa"/>
            <w:noWrap/>
            <w:hideMark/>
          </w:tcPr>
          <w:p w14:paraId="74B3C295" w14:textId="77777777" w:rsidR="005F4A7E" w:rsidRDefault="005F4A7E" w:rsidP="00130D1C">
            <w:pPr>
              <w:pStyle w:val="ARfintablebodyright"/>
            </w:pPr>
            <w:r>
              <w:t>38.0</w:t>
            </w:r>
          </w:p>
        </w:tc>
        <w:tc>
          <w:tcPr>
            <w:tcW w:w="1418" w:type="dxa"/>
            <w:noWrap/>
            <w:hideMark/>
          </w:tcPr>
          <w:p w14:paraId="2F3CC890" w14:textId="77777777" w:rsidR="005F4A7E" w:rsidRDefault="005F4A7E" w:rsidP="00130D1C">
            <w:pPr>
              <w:pStyle w:val="ARfintablebodyright"/>
            </w:pPr>
            <w:r>
              <w:t>752.2</w:t>
            </w:r>
          </w:p>
        </w:tc>
      </w:tr>
      <w:tr w:rsidR="005F4A7E" w14:paraId="278BD29C" w14:textId="77777777" w:rsidTr="00130D1C">
        <w:trPr>
          <w:trHeight w:val="255"/>
        </w:trPr>
        <w:tc>
          <w:tcPr>
            <w:tcW w:w="3967" w:type="dxa"/>
            <w:hideMark/>
          </w:tcPr>
          <w:p w14:paraId="402A34C6" w14:textId="77777777" w:rsidR="005F4A7E" w:rsidRDefault="005F4A7E" w:rsidP="00130D1C">
            <w:pPr>
              <w:pStyle w:val="ARfintablebodybold"/>
            </w:pPr>
            <w:r>
              <w:t>Total uncommissioned PPPs</w:t>
            </w:r>
          </w:p>
        </w:tc>
        <w:tc>
          <w:tcPr>
            <w:tcW w:w="1418" w:type="dxa"/>
            <w:noWrap/>
            <w:hideMark/>
          </w:tcPr>
          <w:p w14:paraId="2E375F6E" w14:textId="77777777" w:rsidR="005F4A7E" w:rsidRDefault="005F4A7E" w:rsidP="00130D1C">
            <w:pPr>
              <w:pStyle w:val="ARfintablebodyrightbold"/>
            </w:pPr>
            <w:r>
              <w:t>1,869.4</w:t>
            </w:r>
          </w:p>
        </w:tc>
        <w:tc>
          <w:tcPr>
            <w:tcW w:w="1418" w:type="dxa"/>
            <w:noWrap/>
            <w:hideMark/>
          </w:tcPr>
          <w:p w14:paraId="1D54CE16" w14:textId="77777777" w:rsidR="005F4A7E" w:rsidRDefault="005F4A7E" w:rsidP="00130D1C">
            <w:pPr>
              <w:pStyle w:val="ARfintablebodyrightbold"/>
            </w:pPr>
            <w:r>
              <w:t>623.0</w:t>
            </w:r>
          </w:p>
        </w:tc>
        <w:tc>
          <w:tcPr>
            <w:tcW w:w="1418" w:type="dxa"/>
            <w:noWrap/>
            <w:hideMark/>
          </w:tcPr>
          <w:p w14:paraId="5972F4A3" w14:textId="77777777" w:rsidR="005F4A7E" w:rsidRDefault="005F4A7E" w:rsidP="00130D1C">
            <w:pPr>
              <w:pStyle w:val="ARfintablebodyrightbold"/>
            </w:pPr>
            <w:r>
              <w:t>1,373.0</w:t>
            </w:r>
          </w:p>
        </w:tc>
        <w:tc>
          <w:tcPr>
            <w:tcW w:w="1418" w:type="dxa"/>
            <w:noWrap/>
            <w:hideMark/>
          </w:tcPr>
          <w:p w14:paraId="2A1FF878" w14:textId="77777777" w:rsidR="005F4A7E" w:rsidRDefault="005F4A7E" w:rsidP="00130D1C">
            <w:pPr>
              <w:pStyle w:val="ARfintablebodyrightbold"/>
            </w:pPr>
            <w:r>
              <w:t>7,124.7</w:t>
            </w:r>
          </w:p>
        </w:tc>
      </w:tr>
      <w:tr w:rsidR="005F4A7E" w14:paraId="690DB0CA" w14:textId="77777777" w:rsidTr="00130D1C">
        <w:trPr>
          <w:trHeight w:val="255"/>
        </w:trPr>
        <w:tc>
          <w:tcPr>
            <w:tcW w:w="3967" w:type="dxa"/>
            <w:hideMark/>
          </w:tcPr>
          <w:p w14:paraId="3A1B7B4C" w14:textId="77777777" w:rsidR="005F4A7E" w:rsidRDefault="005F4A7E" w:rsidP="00130D1C">
            <w:pPr>
              <w:pStyle w:val="ARfintablebodybold"/>
            </w:pPr>
            <w:r>
              <w:t>Total commitments for PPPs</w:t>
            </w:r>
          </w:p>
        </w:tc>
        <w:tc>
          <w:tcPr>
            <w:tcW w:w="1418" w:type="dxa"/>
            <w:noWrap/>
            <w:hideMark/>
          </w:tcPr>
          <w:p w14:paraId="4B55D72B" w14:textId="77777777" w:rsidR="005F4A7E" w:rsidRDefault="005F4A7E" w:rsidP="00130D1C">
            <w:pPr>
              <w:pStyle w:val="ARfintablebodyrightbold"/>
            </w:pPr>
            <w:r>
              <w:t>1,869.4</w:t>
            </w:r>
          </w:p>
        </w:tc>
        <w:tc>
          <w:tcPr>
            <w:tcW w:w="1418" w:type="dxa"/>
            <w:noWrap/>
            <w:hideMark/>
          </w:tcPr>
          <w:p w14:paraId="372C6E2E" w14:textId="77777777" w:rsidR="005F4A7E" w:rsidRDefault="005F4A7E" w:rsidP="00130D1C">
            <w:pPr>
              <w:pStyle w:val="ARfintablebodyrightbold"/>
            </w:pPr>
            <w:r>
              <w:t>623.0</w:t>
            </w:r>
          </w:p>
        </w:tc>
        <w:tc>
          <w:tcPr>
            <w:tcW w:w="1418" w:type="dxa"/>
            <w:noWrap/>
            <w:hideMark/>
          </w:tcPr>
          <w:p w14:paraId="3E8BA138" w14:textId="77777777" w:rsidR="005F4A7E" w:rsidRDefault="005F4A7E" w:rsidP="00130D1C">
            <w:pPr>
              <w:pStyle w:val="ARfintablebodyrightbold"/>
            </w:pPr>
            <w:r>
              <w:t>1,373.0</w:t>
            </w:r>
          </w:p>
        </w:tc>
        <w:tc>
          <w:tcPr>
            <w:tcW w:w="1418" w:type="dxa"/>
            <w:noWrap/>
            <w:hideMark/>
          </w:tcPr>
          <w:p w14:paraId="0DB4B844" w14:textId="77777777" w:rsidR="005F4A7E" w:rsidRDefault="005F4A7E" w:rsidP="00130D1C">
            <w:pPr>
              <w:pStyle w:val="ARfintablebodyrightbold"/>
            </w:pPr>
            <w:r>
              <w:t>7,124.7</w:t>
            </w:r>
          </w:p>
        </w:tc>
      </w:tr>
    </w:tbl>
    <w:p w14:paraId="4D44160A" w14:textId="77777777" w:rsidR="005F4A7E" w:rsidRDefault="005F4A7E" w:rsidP="00130D1C">
      <w:pPr>
        <w:pStyle w:val="ARfintablefootnote"/>
        <w:spacing w:line="240" w:lineRule="auto"/>
        <w:rPr>
          <w:iCs/>
          <w:lang w:eastAsia="en-AU"/>
        </w:rPr>
      </w:pPr>
      <w:r>
        <w:rPr>
          <w:iCs/>
          <w:lang w:eastAsia="en-AU"/>
        </w:rPr>
        <w:t>Notes:</w:t>
      </w:r>
    </w:p>
    <w:p w14:paraId="480E639C" w14:textId="04494D29" w:rsidR="005F4A7E" w:rsidRDefault="005F4A7E" w:rsidP="00130D1C">
      <w:pPr>
        <w:pStyle w:val="ARfintablefootnoteindent"/>
      </w:pPr>
      <w:r>
        <w:t>(i)</w:t>
      </w:r>
      <w:r>
        <w:tab/>
        <w:t>The discounted values of the minimum lease payments for uncommissioned PPPs have been discounted to the projects</w:t>
      </w:r>
      <w:r w:rsidR="007D145B">
        <w:t>’</w:t>
      </w:r>
      <w:r>
        <w:t xml:space="preserve"> expected dates of commissioning, and the present values of other commitments have been discounted to 30 June of the respective financial years. After adjusting for GST, the discounted values of minimum lease payments reflect the expected impact on the balance sheet when the PPPs are commissioned.</w:t>
      </w:r>
    </w:p>
    <w:p w14:paraId="6B1039AD" w14:textId="77777777" w:rsidR="005F4A7E" w:rsidRDefault="005F4A7E" w:rsidP="00130D1C">
      <w:pPr>
        <w:pStyle w:val="ARfintablefootnoteindent"/>
      </w:pPr>
      <w:r>
        <w:t>(ii)</w:t>
      </w:r>
      <w:r>
        <w:tab/>
        <w:t>The discounted values of the minimum lease payments have not been totalled for the uncommissioned PPPs due to individual PPPs having different expected dates of commissioning.</w:t>
      </w:r>
    </w:p>
    <w:p w14:paraId="6881922A" w14:textId="77777777" w:rsidR="005F4A7E" w:rsidRDefault="005F4A7E" w:rsidP="00130D1C">
      <w:pPr>
        <w:pStyle w:val="ARfintablefootnoteindent"/>
      </w:pPr>
      <w:r>
        <w:t>(iii)</w:t>
      </w:r>
      <w:r>
        <w:tab/>
        <w:t>The total commitments will not equal the sum of the PPP-related liabilities and other commitments because they are discounted, whereas total commitments are at nominal value.</w:t>
      </w:r>
    </w:p>
    <w:p w14:paraId="4DD139E3" w14:textId="77777777" w:rsidR="005F4A7E" w:rsidRDefault="005F4A7E" w:rsidP="00130D1C">
      <w:pPr>
        <w:pStyle w:val="ARfintablefootnoteindent"/>
      </w:pPr>
      <w:r>
        <w:t>(iv)</w:t>
      </w:r>
      <w:r>
        <w:tab/>
        <w:t xml:space="preserve">For uncommissioned PPPs relating to service concessions or recognised as assets under construction under AASB 116 </w:t>
      </w:r>
      <w:r>
        <w:rPr>
          <w:rStyle w:val="Emphasis"/>
        </w:rPr>
        <w:t>Property, Plant and Equipment,</w:t>
      </w:r>
      <w:r>
        <w:t xml:space="preserve"> the asset and liability are recognised progressively during the construction term and therefore not recognised in the table above.</w:t>
      </w:r>
    </w:p>
    <w:p w14:paraId="6EA69121" w14:textId="77777777" w:rsidR="005F4A7E" w:rsidRDefault="005F4A7E" w:rsidP="00130D1C">
      <w:pPr>
        <w:pStyle w:val="ARfintablefootnoteindent"/>
      </w:pPr>
      <w:r>
        <w:t>(v)</w:t>
      </w:r>
      <w:r>
        <w:tab/>
        <w:t xml:space="preserve">On 10 March 2021, the State Government of Victoria entered into a PPP contract with Plenary Health to deliver the New Footscray Hospital Project. The contract expires on 9 September 2050. </w:t>
      </w:r>
      <w:r w:rsidRPr="00C83B75">
        <w:t xml:space="preserve">The </w:t>
      </w:r>
      <w:r>
        <w:t>d</w:t>
      </w:r>
      <w:r w:rsidRPr="00C83B75">
        <w:t xml:space="preserve">epartment will be reimbursed by Victoria University for the </w:t>
      </w:r>
      <w:r>
        <w:t>s</w:t>
      </w:r>
      <w:r w:rsidRPr="00C83B75">
        <w:t xml:space="preserve">tate </w:t>
      </w:r>
      <w:r>
        <w:t>c</w:t>
      </w:r>
      <w:r w:rsidRPr="00C83B75">
        <w:t xml:space="preserve">ontribution relating to the construction of the Victoria University </w:t>
      </w:r>
      <w:r>
        <w:t>p</w:t>
      </w:r>
      <w:r w:rsidRPr="00C83B75">
        <w:t xml:space="preserve">roject </w:t>
      </w:r>
      <w:r>
        <w:t>c</w:t>
      </w:r>
      <w:r w:rsidRPr="00C83B75">
        <w:t>omponents</w:t>
      </w:r>
      <w:r>
        <w:t>.</w:t>
      </w:r>
      <w:r w:rsidRPr="00C83B75">
        <w:t xml:space="preserve"> </w:t>
      </w:r>
      <w:r>
        <w:t xml:space="preserve">It has been determined that this arrangement represents the construction of an item of property, plant and equipment in the scope of AASB 116 </w:t>
      </w:r>
      <w:r>
        <w:rPr>
          <w:rStyle w:val="Emphasis"/>
        </w:rPr>
        <w:t>Property, Plant and Equipment</w:t>
      </w:r>
      <w:r>
        <w:t>.</w:t>
      </w:r>
    </w:p>
    <w:p w14:paraId="071A8CC3" w14:textId="77777777" w:rsidR="005F4A7E" w:rsidRDefault="005F4A7E" w:rsidP="00130D1C">
      <w:pPr>
        <w:pStyle w:val="ARfintablefootnoteindent"/>
      </w:pPr>
      <w:r>
        <w:t>(vi)</w:t>
      </w:r>
      <w:r>
        <w:tab/>
        <w:t>On 18 May 2021, the department entered into an arrangement with Building Communities (Vic) Limited to deliver new social, affordable, specialist disability accommodation and private housing at sites in Flemington, Brighton and Prahran through a Ground Lease Model. The term of the arrangement is 40 years. The project was procured and will be delivered as a PPP under the Partnerships Victoria Framework. Under this model, Building Communities (Vic) Limited is responsible for the design, construction, financing and management of social, affordable and private dwellings at each site.</w:t>
      </w:r>
    </w:p>
    <w:p w14:paraId="2096CC5D" w14:textId="77777777" w:rsidR="005F4A7E" w:rsidRDefault="005F4A7E" w:rsidP="00130D1C">
      <w:pPr>
        <w:pStyle w:val="Heading5"/>
        <w:rPr>
          <w:lang w:eastAsia="en-AU"/>
        </w:rPr>
      </w:pPr>
      <w:bookmarkStart w:id="988" w:name="_Toc85121508"/>
      <w:r>
        <w:rPr>
          <w:lang w:eastAsia="en-AU"/>
        </w:rPr>
        <w:t>7.5.3 AASB 1059 Service Concession Arrangements: Grantors</w:t>
      </w:r>
      <w:bookmarkEnd w:id="988"/>
    </w:p>
    <w:p w14:paraId="542AD61D" w14:textId="7B693A40" w:rsidR="005F4A7E" w:rsidRDefault="005F4A7E" w:rsidP="00130D1C">
      <w:pPr>
        <w:pStyle w:val="ARfinbody"/>
      </w:pPr>
      <w:r>
        <w:t xml:space="preserve">For arrangements within the scope of AASB 1059, at initial recognition the department records a service concession asset (SCA) at current replacement cost in accordance with the cost approach to fair value under AASB 13 </w:t>
      </w:r>
      <w:r>
        <w:rPr>
          <w:rStyle w:val="Emphasis"/>
        </w:rPr>
        <w:t>Fair Value Measurement</w:t>
      </w:r>
      <w:r>
        <w:t xml:space="preserve">, with a related liability, which could be a financial liability, an accrued revenue liability (referred to as the </w:t>
      </w:r>
      <w:r w:rsidR="007D145B">
        <w:t>‘</w:t>
      </w:r>
      <w:r>
        <w:t>Grant Of A Right To The Operator</w:t>
      </w:r>
      <w:r w:rsidR="007D145B">
        <w:t>’</w:t>
      </w:r>
      <w:r>
        <w:t xml:space="preserve"> or GORTO liability) or a combination of both.</w:t>
      </w:r>
    </w:p>
    <w:p w14:paraId="0A64F792" w14:textId="77777777" w:rsidR="005F4A7E" w:rsidRDefault="005F4A7E" w:rsidP="00130D1C">
      <w:pPr>
        <w:pStyle w:val="ARfinbody"/>
      </w:pPr>
      <w:r>
        <w:t>The nature of the liability and subsequent accounting depends on the consideration exchanged in the arrangement between the department and the operator.</w:t>
      </w:r>
    </w:p>
    <w:p w14:paraId="5E7A5821" w14:textId="77777777" w:rsidR="005F4A7E" w:rsidRPr="00064EE6" w:rsidRDefault="005F4A7E" w:rsidP="00130D1C">
      <w:pPr>
        <w:pStyle w:val="ARfinbody"/>
      </w:pPr>
      <w:r w:rsidRPr="00064EE6">
        <w:br w:type="page"/>
      </w:r>
    </w:p>
    <w:p w14:paraId="1693DDC1" w14:textId="77777777" w:rsidR="005F4A7E" w:rsidRDefault="005F4A7E" w:rsidP="00130D1C">
      <w:pPr>
        <w:pStyle w:val="ARfinbody"/>
      </w:pPr>
      <w:r>
        <w:lastRenderedPageBreak/>
        <w:t>The department initially recognised the liability at the same amount as the SCA, adjusted by the amount of any consideration from the department to the operator, or from the operator to the department.</w:t>
      </w:r>
    </w:p>
    <w:p w14:paraId="41AF00F1" w14:textId="77777777" w:rsidR="005F4A7E" w:rsidRDefault="005F4A7E" w:rsidP="00130D1C">
      <w:pPr>
        <w:pStyle w:val="ARfinbody"/>
      </w:pPr>
      <w:r>
        <w:t>Exception to this occurs when the department reclassifies an existing asset to a SCA. When this occurs, no liability is recognised unless additional consideration is provided to the operator. Instead, the department recognises a SCA and a corresponding liability for the amounts spent on the upgrade/expansion work.</w:t>
      </w:r>
    </w:p>
    <w:p w14:paraId="71C3F07E" w14:textId="77777777" w:rsidR="005F4A7E" w:rsidRDefault="005F4A7E" w:rsidP="00130D1C">
      <w:pPr>
        <w:pStyle w:val="ARfinbody"/>
      </w:pPr>
      <w:r>
        <w:t xml:space="preserve">A </w:t>
      </w:r>
      <w:r>
        <w:rPr>
          <w:rStyle w:val="Strong"/>
        </w:rPr>
        <w:t>financial liability</w:t>
      </w:r>
      <w:r>
        <w:t xml:space="preserve"> is recognised where the department has a contractual obligation to pay the operator for providing the SCA. It is measured in accordance with AASB 9 </w:t>
      </w:r>
      <w:r>
        <w:rPr>
          <w:rStyle w:val="Emphasis"/>
        </w:rPr>
        <w:t>Financial Instruments</w:t>
      </w:r>
      <w:r>
        <w:t xml:space="preserve"> and is recognised as a borrowing (Note 7.1). The liability is increased by interest charges (Note 7.1.2), based on the interest rate implicit in the arrangement. Where the interest rate is not specified in the arrangement, the prevailing market rate of interest for a similar instrument with similar credit ratings is used. The liability is reduced by any payments made by the department to the operator as required by the contract.</w:t>
      </w:r>
    </w:p>
    <w:p w14:paraId="04EE14E7" w14:textId="77777777" w:rsidR="005F4A7E" w:rsidRDefault="005F4A7E" w:rsidP="00130D1C">
      <w:pPr>
        <w:pStyle w:val="ARfinbody"/>
        <w:rPr>
          <w:color w:val="auto"/>
        </w:rPr>
      </w:pPr>
      <w:r>
        <w:rPr>
          <w:color w:val="auto"/>
        </w:rPr>
        <w:t>The department has arrangements in place with two private hospitals and other non-public entities, where the private hospitals and non-public entities operate the department-owned assets including land, buildings and equipment to deliver health services to the general public. The department maintains the ownership and control of the assets throughout the arrangements and does not incur any related liability.</w:t>
      </w:r>
    </w:p>
    <w:p w14:paraId="3CA49099" w14:textId="77777777" w:rsidR="005F4A7E" w:rsidRDefault="005F4A7E" w:rsidP="00130D1C">
      <w:pPr>
        <w:pStyle w:val="ARfinbody"/>
      </w:pPr>
      <w:r>
        <w:rPr>
          <w:sz w:val="16"/>
        </w:rPr>
        <w:br w:type="page"/>
      </w:r>
    </w:p>
    <w:p w14:paraId="104C1DA5" w14:textId="46B76B96" w:rsidR="005F4A7E" w:rsidRDefault="005F4A7E" w:rsidP="00130D1C">
      <w:pPr>
        <w:pStyle w:val="Heading3"/>
      </w:pPr>
      <w:bookmarkStart w:id="989" w:name="_Toc39242161"/>
      <w:bookmarkStart w:id="990" w:name="_Toc60682335"/>
      <w:bookmarkStart w:id="991" w:name="_Toc82947318"/>
      <w:bookmarkStart w:id="992" w:name="_Toc85121509"/>
      <w:bookmarkStart w:id="993" w:name="_Toc86075637"/>
      <w:r>
        <w:rPr>
          <w:szCs w:val="28"/>
        </w:rPr>
        <w:lastRenderedPageBreak/>
        <w:t>8. Risks, contingencies and valuation judgements</w:t>
      </w:r>
      <w:bookmarkEnd w:id="989"/>
      <w:bookmarkEnd w:id="990"/>
      <w:bookmarkEnd w:id="991"/>
      <w:bookmarkEnd w:id="992"/>
      <w:bookmarkEnd w:id="993"/>
    </w:p>
    <w:p w14:paraId="5319F12C" w14:textId="77777777" w:rsidR="005F4A7E" w:rsidRDefault="005F4A7E" w:rsidP="00130D1C">
      <w:pPr>
        <w:pStyle w:val="Heading4"/>
      </w:pPr>
      <w:bookmarkStart w:id="994" w:name="_Toc85121510"/>
      <w:r>
        <w:t>Introduction</w:t>
      </w:r>
      <w:bookmarkEnd w:id="994"/>
    </w:p>
    <w:p w14:paraId="25460199" w14:textId="77777777" w:rsidR="005F4A7E" w:rsidRDefault="005F4A7E" w:rsidP="00130D1C">
      <w:pPr>
        <w:pStyle w:val="ARfinbody"/>
      </w:pPr>
      <w:r>
        <w:t>The department is exposed to risk from its activities and outside factors. In addition, it is often necessary to make judgements and estimates associated with recognition and measurement of items in the financial statements. This section sets out financial instrument specific information (including exposures to financial risks), as well as those items that are contingent in nature or require a higher level of judgement to be applied, which for the department related mainly to fair value determination.</w:t>
      </w:r>
    </w:p>
    <w:p w14:paraId="09B8118B" w14:textId="77777777" w:rsidR="005F4A7E" w:rsidRDefault="005F4A7E" w:rsidP="00130D1C">
      <w:pPr>
        <w:pStyle w:val="Heading4"/>
      </w:pPr>
      <w:bookmarkStart w:id="995" w:name="_Toc85121511"/>
      <w:r>
        <w:t>Structure</w:t>
      </w:r>
      <w:bookmarkEnd w:id="995"/>
    </w:p>
    <w:p w14:paraId="7585B57E" w14:textId="77777777" w:rsidR="005F4A7E" w:rsidRDefault="005F4A7E" w:rsidP="00130D1C">
      <w:pPr>
        <w:pStyle w:val="ARfinstructure1"/>
      </w:pPr>
      <w:r>
        <w:t>8.1</w:t>
      </w:r>
      <w:r>
        <w:tab/>
        <w:t>Financial instruments specific disclosures</w:t>
      </w:r>
    </w:p>
    <w:p w14:paraId="2590A53A" w14:textId="77777777" w:rsidR="005F4A7E" w:rsidRDefault="005F4A7E" w:rsidP="00130D1C">
      <w:pPr>
        <w:pStyle w:val="ARfinstructure2"/>
      </w:pPr>
      <w:r>
        <w:t>8.1.1</w:t>
      </w:r>
      <w:r>
        <w:tab/>
        <w:t>Financial instruments: categorisation</w:t>
      </w:r>
    </w:p>
    <w:p w14:paraId="391F5EB0" w14:textId="77777777" w:rsidR="005F4A7E" w:rsidRDefault="005F4A7E" w:rsidP="00130D1C">
      <w:pPr>
        <w:pStyle w:val="ARfinstructure2"/>
      </w:pPr>
      <w:r>
        <w:t>8.1.2</w:t>
      </w:r>
      <w:r>
        <w:tab/>
        <w:t>Financial instruments: net holding gain/(loss) on financial instruments by category</w:t>
      </w:r>
    </w:p>
    <w:p w14:paraId="03805DC2" w14:textId="77777777" w:rsidR="005F4A7E" w:rsidRDefault="005F4A7E" w:rsidP="00130D1C">
      <w:pPr>
        <w:pStyle w:val="ARfinstructure2"/>
      </w:pPr>
      <w:r>
        <w:t>8.1.3</w:t>
      </w:r>
      <w:r>
        <w:tab/>
        <w:t>Financial risk management objectives and policies</w:t>
      </w:r>
    </w:p>
    <w:p w14:paraId="6E998A74" w14:textId="77777777" w:rsidR="005F4A7E" w:rsidRDefault="005F4A7E" w:rsidP="00130D1C">
      <w:pPr>
        <w:pStyle w:val="ARfinstructure1"/>
      </w:pPr>
      <w:r>
        <w:t>8.2</w:t>
      </w:r>
      <w:r>
        <w:tab/>
        <w:t>Contingent assets and contingent liabilities</w:t>
      </w:r>
    </w:p>
    <w:p w14:paraId="13618013" w14:textId="77777777" w:rsidR="005F4A7E" w:rsidRDefault="005F4A7E" w:rsidP="00130D1C">
      <w:pPr>
        <w:pStyle w:val="ARfinstructure1"/>
      </w:pPr>
      <w:r>
        <w:t>8.3</w:t>
      </w:r>
      <w:r>
        <w:tab/>
        <w:t>Fair value determination</w:t>
      </w:r>
    </w:p>
    <w:p w14:paraId="1E7B1D2A" w14:textId="77777777" w:rsidR="005F4A7E" w:rsidRDefault="005F4A7E" w:rsidP="00130D1C">
      <w:pPr>
        <w:pStyle w:val="ARfinstructure2"/>
      </w:pPr>
      <w:r>
        <w:t>8.3.1</w:t>
      </w:r>
      <w:r>
        <w:tab/>
        <w:t>Fair value determination of financial assets and liabilities</w:t>
      </w:r>
    </w:p>
    <w:p w14:paraId="741A99F0" w14:textId="77777777" w:rsidR="005F4A7E" w:rsidRDefault="005F4A7E" w:rsidP="00130D1C">
      <w:pPr>
        <w:pStyle w:val="ARfinstructure2"/>
      </w:pPr>
      <w:r>
        <w:t>8.3.2</w:t>
      </w:r>
      <w:r>
        <w:tab/>
        <w:t>Fair value determination of non-financial physical assets</w:t>
      </w:r>
    </w:p>
    <w:p w14:paraId="3B90898B" w14:textId="77777777" w:rsidR="005F4A7E" w:rsidRDefault="005F4A7E" w:rsidP="00130D1C">
      <w:pPr>
        <w:pStyle w:val="Heading4"/>
        <w:rPr>
          <w:lang w:eastAsia="en-AU"/>
        </w:rPr>
      </w:pPr>
      <w:bookmarkStart w:id="996" w:name="_Toc39242162"/>
      <w:bookmarkStart w:id="997" w:name="_Ref84598496"/>
      <w:bookmarkStart w:id="998" w:name="_Toc85121512"/>
      <w:bookmarkStart w:id="999" w:name="_Ref85616976"/>
      <w:r>
        <w:rPr>
          <w:lang w:eastAsia="en-AU"/>
        </w:rPr>
        <w:t>8.1 Financial instruments specific disclosures</w:t>
      </w:r>
      <w:bookmarkEnd w:id="996"/>
      <w:bookmarkEnd w:id="997"/>
      <w:bookmarkEnd w:id="998"/>
      <w:bookmarkEnd w:id="999"/>
    </w:p>
    <w:p w14:paraId="32F96EFE" w14:textId="77777777" w:rsidR="005F4A7E" w:rsidRDefault="005F4A7E" w:rsidP="00130D1C">
      <w:pPr>
        <w:pStyle w:val="Heading5"/>
        <w:spacing w:before="0"/>
      </w:pPr>
      <w:bookmarkStart w:id="1000" w:name="_Toc85121513"/>
      <w:r>
        <w:t>Introduction</w:t>
      </w:r>
      <w:bookmarkEnd w:id="1000"/>
    </w:p>
    <w:p w14:paraId="2623C36B" w14:textId="26984B33" w:rsidR="005F4A7E" w:rsidRDefault="005F4A7E" w:rsidP="00130D1C">
      <w:pPr>
        <w:pStyle w:val="ARfinbody"/>
        <w:rPr>
          <w:rStyle w:val="Emphasis"/>
          <w:i w:val="0"/>
          <w:iCs w:val="0"/>
        </w:rPr>
      </w:pPr>
      <w:r>
        <w:t>Financial instruments arise out of contractual agreements that give rise to a financial asset of one entity and a financial liability or equity instrument of another entity. Due to the nature of the department</w:t>
      </w:r>
      <w:r w:rsidR="007D145B">
        <w:t>’</w:t>
      </w:r>
      <w:r>
        <w:t xml:space="preserve">s activities, certain financial assets and financial liabilities arise under statute rather than a contract (for example taxes, fines and penalties). Such assets and liabilities do not meet the definition of financial instruments in AASB 132 </w:t>
      </w:r>
      <w:r>
        <w:rPr>
          <w:rStyle w:val="Emphasis"/>
        </w:rPr>
        <w:t>Financial Instruments: Presentation.</w:t>
      </w:r>
    </w:p>
    <w:p w14:paraId="450C9BBD" w14:textId="77777777" w:rsidR="005F4A7E" w:rsidRDefault="005F4A7E" w:rsidP="00130D1C">
      <w:pPr>
        <w:pStyle w:val="ARfinbody"/>
      </w:pPr>
      <w:r>
        <w:t>Guarantees issued on behalf of the department are financial instruments because, although authorised under statute, terms and conditions for each financial guarantee may vary and are subject to an agreement.</w:t>
      </w:r>
    </w:p>
    <w:p w14:paraId="0FBF8086" w14:textId="77777777" w:rsidR="005F4A7E" w:rsidRDefault="005F4A7E" w:rsidP="00130D1C">
      <w:pPr>
        <w:pStyle w:val="Heading5"/>
      </w:pPr>
      <w:bookmarkStart w:id="1001" w:name="_Toc85121514"/>
      <w:r>
        <w:t>Categories of financial assets</w:t>
      </w:r>
      <w:bookmarkEnd w:id="1001"/>
    </w:p>
    <w:p w14:paraId="40B24682" w14:textId="77777777" w:rsidR="005F4A7E" w:rsidRDefault="005F4A7E" w:rsidP="00130D1C">
      <w:pPr>
        <w:pStyle w:val="ARfinbody"/>
      </w:pPr>
      <w:r w:rsidRPr="009A2639">
        <w:rPr>
          <w:b/>
          <w:bCs/>
        </w:rPr>
        <w:t>Financial assets at amortised cost</w:t>
      </w:r>
      <w:r>
        <w:t xml:space="preserve"> are recognised if both of the following criteria are met and the assets are not designated as fair value through net result:</w:t>
      </w:r>
    </w:p>
    <w:p w14:paraId="1247BB0D" w14:textId="77777777" w:rsidR="005F4A7E" w:rsidRPr="00EB5975" w:rsidRDefault="005F4A7E" w:rsidP="005F4A7E">
      <w:pPr>
        <w:pStyle w:val="ARfinbullet1"/>
        <w:numPr>
          <w:ilvl w:val="0"/>
          <w:numId w:val="2"/>
        </w:numPr>
      </w:pPr>
      <w:r>
        <w:t xml:space="preserve">the assets </w:t>
      </w:r>
      <w:r w:rsidRPr="00EB5975">
        <w:t>are held by the department to collect the contractual cash flows, and</w:t>
      </w:r>
    </w:p>
    <w:p w14:paraId="64DFA2AF" w14:textId="2B4FD20F" w:rsidR="005F4A7E" w:rsidRDefault="005F4A7E" w:rsidP="005F4A7E">
      <w:pPr>
        <w:pStyle w:val="ARfinbullet1"/>
        <w:numPr>
          <w:ilvl w:val="0"/>
          <w:numId w:val="2"/>
        </w:numPr>
      </w:pPr>
      <w:r w:rsidRPr="00EB5975">
        <w:t>the assets</w:t>
      </w:r>
      <w:r w:rsidR="007D145B">
        <w:t>’</w:t>
      </w:r>
      <w:r w:rsidRPr="00EB5975">
        <w:t xml:space="preserve"> con</w:t>
      </w:r>
      <w:r>
        <w:t>tractual terms give rise to cash flows that are solely payments of principal and interest.</w:t>
      </w:r>
    </w:p>
    <w:p w14:paraId="7270FFEB" w14:textId="77777777" w:rsidR="005F4A7E" w:rsidRDefault="005F4A7E" w:rsidP="00130D1C">
      <w:pPr>
        <w:pStyle w:val="ARfinbody"/>
      </w:pPr>
      <w:r>
        <w:t>These assets are initially recognised at fair value plus any directly attributable transaction costs and subsequently measured at amortised cost using the effective interest method less any impairment.</w:t>
      </w:r>
    </w:p>
    <w:p w14:paraId="7416CD3C" w14:textId="77777777" w:rsidR="005F4A7E" w:rsidRDefault="005F4A7E" w:rsidP="00130D1C">
      <w:pPr>
        <w:pStyle w:val="ARfinbody"/>
      </w:pPr>
      <w:r>
        <w:t>The department recognises the following assets in this category:</w:t>
      </w:r>
    </w:p>
    <w:p w14:paraId="29CC622C" w14:textId="77777777" w:rsidR="005F4A7E" w:rsidRPr="001A67A3" w:rsidRDefault="005F4A7E" w:rsidP="005F4A7E">
      <w:pPr>
        <w:pStyle w:val="ARfinbullet1"/>
        <w:numPr>
          <w:ilvl w:val="0"/>
          <w:numId w:val="2"/>
        </w:numPr>
      </w:pPr>
      <w:r>
        <w:t>c</w:t>
      </w:r>
      <w:r w:rsidRPr="001A67A3">
        <w:t>ash and deposits</w:t>
      </w:r>
    </w:p>
    <w:p w14:paraId="20DEF0B4" w14:textId="77777777" w:rsidR="005F4A7E" w:rsidRPr="001A67A3" w:rsidRDefault="005F4A7E" w:rsidP="005F4A7E">
      <w:pPr>
        <w:pStyle w:val="ARfinbullet1"/>
        <w:numPr>
          <w:ilvl w:val="0"/>
          <w:numId w:val="2"/>
        </w:numPr>
      </w:pPr>
      <w:r w:rsidRPr="001A67A3">
        <w:t>receivables (excluding statutory receivables)</w:t>
      </w:r>
    </w:p>
    <w:p w14:paraId="23C4DE24" w14:textId="77777777" w:rsidR="005F4A7E" w:rsidRPr="001A67A3" w:rsidRDefault="005F4A7E" w:rsidP="005F4A7E">
      <w:pPr>
        <w:pStyle w:val="ARfinbullet1"/>
        <w:numPr>
          <w:ilvl w:val="0"/>
          <w:numId w:val="2"/>
        </w:numPr>
      </w:pPr>
      <w:r w:rsidRPr="001A67A3">
        <w:t>term deposits</w:t>
      </w:r>
    </w:p>
    <w:p w14:paraId="528AE01F" w14:textId="77777777" w:rsidR="005F4A7E" w:rsidRDefault="005F4A7E" w:rsidP="005F4A7E">
      <w:pPr>
        <w:pStyle w:val="ARfinbullet1"/>
        <w:numPr>
          <w:ilvl w:val="0"/>
          <w:numId w:val="2"/>
        </w:numPr>
      </w:pPr>
      <w:r w:rsidRPr="001A67A3">
        <w:t>loan re</w:t>
      </w:r>
      <w:r w:rsidRPr="00EB5975">
        <w:t>ceiva</w:t>
      </w:r>
      <w:r>
        <w:t>bles.</w:t>
      </w:r>
    </w:p>
    <w:p w14:paraId="34C4E552" w14:textId="77777777" w:rsidR="005F4A7E" w:rsidRDefault="005F4A7E" w:rsidP="00130D1C">
      <w:pPr>
        <w:pStyle w:val="Heading5"/>
      </w:pPr>
      <w:bookmarkStart w:id="1002" w:name="_Toc85121515"/>
      <w:r>
        <w:t>Categories of financial liabilities</w:t>
      </w:r>
      <w:bookmarkEnd w:id="1002"/>
    </w:p>
    <w:p w14:paraId="009E4F63" w14:textId="77777777" w:rsidR="005F4A7E" w:rsidRDefault="005F4A7E" w:rsidP="00130D1C">
      <w:pPr>
        <w:pStyle w:val="ARfinbody"/>
        <w:rPr>
          <w:color w:val="auto"/>
        </w:rPr>
      </w:pPr>
      <w:r>
        <w:rPr>
          <w:rStyle w:val="Strong"/>
          <w:color w:val="auto"/>
        </w:rPr>
        <w:t>Financial liabilities at amortised cost</w:t>
      </w:r>
      <w:r>
        <w:rPr>
          <w:color w:val="auto"/>
        </w:rPr>
        <w:t xml:space="preserve"> are initially recognised on the date they are originated. They are initially measured at fair value plus any directly attributable transaction costs. Subsequent to initial recognition, these financial instruments are measured at amortised cost with any difference between the initially recognised amount and the redemption value being recognised in profit and loss over the period of the interest-bearing liability, using the effective interest rate method. The department recognises the following liabilities in this category:</w:t>
      </w:r>
    </w:p>
    <w:p w14:paraId="54583F36" w14:textId="77777777" w:rsidR="005F4A7E" w:rsidRPr="001A67A3" w:rsidRDefault="005F4A7E" w:rsidP="005F4A7E">
      <w:pPr>
        <w:pStyle w:val="ARfinbullet1"/>
        <w:numPr>
          <w:ilvl w:val="0"/>
          <w:numId w:val="2"/>
        </w:numPr>
      </w:pPr>
      <w:r>
        <w:t>payables</w:t>
      </w:r>
      <w:r w:rsidRPr="001A67A3">
        <w:t xml:space="preserve"> (excluding statutory payables)</w:t>
      </w:r>
    </w:p>
    <w:p w14:paraId="587DE7F0" w14:textId="77777777" w:rsidR="005F4A7E" w:rsidRDefault="005F4A7E" w:rsidP="005F4A7E">
      <w:pPr>
        <w:pStyle w:val="ARfinbullet1"/>
        <w:numPr>
          <w:ilvl w:val="0"/>
          <w:numId w:val="2"/>
        </w:numPr>
      </w:pPr>
      <w:r w:rsidRPr="001A67A3">
        <w:t>borrowings</w:t>
      </w:r>
      <w:r>
        <w:t xml:space="preserve"> (including lease liabilities).</w:t>
      </w:r>
    </w:p>
    <w:p w14:paraId="7137C803" w14:textId="77777777" w:rsidR="005F4A7E" w:rsidRDefault="005F4A7E" w:rsidP="00130D1C">
      <w:pPr>
        <w:pStyle w:val="ARfinbody"/>
        <w:rPr>
          <w:color w:val="auto"/>
        </w:rPr>
      </w:pPr>
      <w:r>
        <w:rPr>
          <w:rStyle w:val="Strong"/>
        </w:rPr>
        <w:t>Offsetting financial instruments:</w:t>
      </w:r>
      <w:r>
        <w:rPr>
          <w:b/>
          <w:bCs/>
          <w:color w:val="auto"/>
        </w:rPr>
        <w:t xml:space="preserve"> </w:t>
      </w:r>
      <w:r>
        <w:rPr>
          <w:color w:val="auto"/>
        </w:rPr>
        <w:t>Financial instrument assets and liabilities are offset and the net amount presented in the balance sheet when, and only when, the department has a legal right to offset the amounts and intends either to settle on a net basis or to realise the asset and settle the liability simultaneously.</w:t>
      </w:r>
    </w:p>
    <w:p w14:paraId="04011587" w14:textId="77777777" w:rsidR="005F4A7E" w:rsidRDefault="005F4A7E" w:rsidP="00130D1C">
      <w:pPr>
        <w:pStyle w:val="ARfinbody"/>
        <w:rPr>
          <w:color w:val="auto"/>
        </w:rPr>
      </w:pPr>
      <w:r>
        <w:rPr>
          <w:color w:val="auto"/>
        </w:rPr>
        <w:t xml:space="preserve">Some master netting arrangements do not result in an offset of balance sheet assets and liabilities. Where the department does not have a legally enforceable right to offset recognised amounts, because the right to offset is </w:t>
      </w:r>
      <w:r>
        <w:rPr>
          <w:color w:val="auto"/>
        </w:rPr>
        <w:lastRenderedPageBreak/>
        <w:t>enforceable only on the occurrence of future events such as default, insolvency or bankruptcy, they are reported on a gross basis.</w:t>
      </w:r>
    </w:p>
    <w:p w14:paraId="38A38807" w14:textId="77777777" w:rsidR="005F4A7E" w:rsidRDefault="005F4A7E" w:rsidP="00130D1C">
      <w:pPr>
        <w:pStyle w:val="ARfinbody"/>
        <w:rPr>
          <w:color w:val="auto"/>
        </w:rPr>
      </w:pPr>
      <w:r>
        <w:rPr>
          <w:rStyle w:val="Strong"/>
        </w:rPr>
        <w:t>Derecognition of financial assets:</w:t>
      </w:r>
      <w:r>
        <w:rPr>
          <w:b/>
          <w:bCs/>
          <w:color w:val="auto"/>
        </w:rPr>
        <w:t xml:space="preserve"> </w:t>
      </w:r>
      <w:r>
        <w:rPr>
          <w:color w:val="auto"/>
        </w:rPr>
        <w:t>A financial asset (or, where applicable, a part of a financial asset or part of a group of similar financial assets) is derecognised when:</w:t>
      </w:r>
    </w:p>
    <w:p w14:paraId="74A63FEB" w14:textId="77777777" w:rsidR="005F4A7E" w:rsidRDefault="005F4A7E" w:rsidP="005F4A7E">
      <w:pPr>
        <w:pStyle w:val="ARfinbullet1"/>
        <w:numPr>
          <w:ilvl w:val="0"/>
          <w:numId w:val="2"/>
        </w:numPr>
      </w:pPr>
      <w:r>
        <w:t>the rights to receive cash flows from the asset have expired, or</w:t>
      </w:r>
    </w:p>
    <w:p w14:paraId="28EF103C" w14:textId="082C2214" w:rsidR="005F4A7E" w:rsidRDefault="005F4A7E" w:rsidP="005F4A7E">
      <w:pPr>
        <w:pStyle w:val="ARfinbullet1"/>
        <w:numPr>
          <w:ilvl w:val="0"/>
          <w:numId w:val="2"/>
        </w:numPr>
      </w:pPr>
      <w:r>
        <w:t xml:space="preserve">the department retains the right to receive cash flows from the asset, but has assumed an obligation to pay them in full without material delay to a third party under a </w:t>
      </w:r>
      <w:r w:rsidR="007D145B">
        <w:t>‘</w:t>
      </w:r>
      <w:r>
        <w:t>pass through</w:t>
      </w:r>
      <w:r w:rsidR="007D145B">
        <w:t>’</w:t>
      </w:r>
      <w:r>
        <w:t xml:space="preserve"> arrangement, or</w:t>
      </w:r>
    </w:p>
    <w:p w14:paraId="764E9CFE" w14:textId="77777777" w:rsidR="005F4A7E" w:rsidRDefault="005F4A7E" w:rsidP="005F4A7E">
      <w:pPr>
        <w:pStyle w:val="ARfinbullet1"/>
        <w:numPr>
          <w:ilvl w:val="0"/>
          <w:numId w:val="2"/>
        </w:numPr>
        <w:rPr>
          <w:color w:val="auto"/>
        </w:rPr>
      </w:pPr>
      <w:r>
        <w:t>the</w:t>
      </w:r>
      <w:r>
        <w:rPr>
          <w:color w:val="auto"/>
        </w:rPr>
        <w:t xml:space="preserve"> department has transferred its rights to receive cash flows from the asset and either:</w:t>
      </w:r>
    </w:p>
    <w:p w14:paraId="40E9BC40" w14:textId="77777777" w:rsidR="005F4A7E" w:rsidRDefault="005F4A7E" w:rsidP="005F4A7E">
      <w:pPr>
        <w:pStyle w:val="ARfinbullet2"/>
        <w:numPr>
          <w:ilvl w:val="1"/>
          <w:numId w:val="2"/>
        </w:numPr>
        <w:ind w:left="568" w:hanging="284"/>
      </w:pPr>
      <w:r>
        <w:rPr>
          <w:color w:val="auto"/>
        </w:rPr>
        <w:t>has transferred substantially all the risks and rewards of the asset, or</w:t>
      </w:r>
    </w:p>
    <w:p w14:paraId="61E7C661" w14:textId="77777777" w:rsidR="005F4A7E" w:rsidRDefault="005F4A7E" w:rsidP="005F4A7E">
      <w:pPr>
        <w:pStyle w:val="ARfinbullet2"/>
        <w:numPr>
          <w:ilvl w:val="1"/>
          <w:numId w:val="2"/>
        </w:numPr>
        <w:ind w:left="568" w:hanging="284"/>
      </w:pPr>
      <w:r>
        <w:t>has neither transferred nor retained substantially all the risks and rewards of the asset, but has transferred control of the asset.</w:t>
      </w:r>
    </w:p>
    <w:p w14:paraId="13B25CFE" w14:textId="1FF01EE2" w:rsidR="005F4A7E" w:rsidRDefault="005F4A7E" w:rsidP="00130D1C">
      <w:pPr>
        <w:pStyle w:val="ARfinbody"/>
        <w:rPr>
          <w:color w:val="auto"/>
        </w:rPr>
      </w:pPr>
      <w:r>
        <w:rPr>
          <w:color w:val="auto"/>
        </w:rPr>
        <w:t>Where the department has neither transferred nor retained substantially all the risks and rewards or transferred control, the asset is recognised to the extent of the department</w:t>
      </w:r>
      <w:r w:rsidR="007D145B">
        <w:rPr>
          <w:color w:val="auto"/>
        </w:rPr>
        <w:t>’</w:t>
      </w:r>
      <w:r>
        <w:rPr>
          <w:color w:val="auto"/>
        </w:rPr>
        <w:t>s continuing involvement in the asset.</w:t>
      </w:r>
    </w:p>
    <w:p w14:paraId="3CA64960" w14:textId="1C886967" w:rsidR="005F4A7E" w:rsidRDefault="005F4A7E" w:rsidP="00130D1C">
      <w:pPr>
        <w:pStyle w:val="ARfinbody"/>
        <w:rPr>
          <w:color w:val="auto"/>
        </w:rPr>
      </w:pPr>
      <w:r>
        <w:rPr>
          <w:rStyle w:val="Strong"/>
        </w:rPr>
        <w:t>Derecognition of financial liabilities:</w:t>
      </w:r>
      <w:r>
        <w:rPr>
          <w:color w:val="auto"/>
        </w:rPr>
        <w:t xml:space="preserve"> A financial liability is derecognised when the obligation under the liability is discharged, cancelled or expires. When an existing financial liability is replaced by another from the same lender on substantially different terms, or the terms of an existing liability are substantially modified, such an exchange or modification is treated as a derecognition of the original liability and the recognition of a new liability. The difference in the respective carrying amounts is recognised as an </w:t>
      </w:r>
      <w:r w:rsidR="007D145B">
        <w:rPr>
          <w:color w:val="auto"/>
        </w:rPr>
        <w:t>‘</w:t>
      </w:r>
      <w:r>
        <w:rPr>
          <w:color w:val="auto"/>
        </w:rPr>
        <w:t>other economic flow</w:t>
      </w:r>
      <w:r w:rsidR="007D145B">
        <w:rPr>
          <w:color w:val="auto"/>
        </w:rPr>
        <w:t>’</w:t>
      </w:r>
      <w:r>
        <w:rPr>
          <w:color w:val="auto"/>
        </w:rPr>
        <w:t xml:space="preserve"> in the comprehensive operating statement.</w:t>
      </w:r>
    </w:p>
    <w:p w14:paraId="5259BE31" w14:textId="77777777" w:rsidR="005F4A7E" w:rsidRPr="002029AF" w:rsidRDefault="005F4A7E" w:rsidP="00087B91">
      <w:pPr>
        <w:pStyle w:val="Heading5"/>
      </w:pPr>
      <w:bookmarkStart w:id="1003" w:name="_Toc85121516"/>
      <w:r w:rsidRPr="002029AF">
        <w:t>8.1.1 Financial Instruments: categorisation</w:t>
      </w:r>
      <w:bookmarkEnd w:id="1003"/>
    </w:p>
    <w:tbl>
      <w:tblPr>
        <w:tblStyle w:val="TableGrid"/>
        <w:tblW w:w="9637" w:type="dxa"/>
        <w:tblLayout w:type="fixed"/>
        <w:tblLook w:val="06A0" w:firstRow="1" w:lastRow="0" w:firstColumn="1" w:lastColumn="0" w:noHBand="1" w:noVBand="1"/>
      </w:tblPr>
      <w:tblGrid>
        <w:gridCol w:w="3968"/>
        <w:gridCol w:w="1418"/>
        <w:gridCol w:w="1417"/>
        <w:gridCol w:w="1417"/>
        <w:gridCol w:w="1417"/>
      </w:tblGrid>
      <w:tr w:rsidR="005F4A7E" w:rsidRPr="002029AF" w14:paraId="03A26C5A" w14:textId="77777777" w:rsidTr="002E438F">
        <w:trPr>
          <w:cnfStyle w:val="100000000000" w:firstRow="1" w:lastRow="0" w:firstColumn="0" w:lastColumn="0" w:oddVBand="0" w:evenVBand="0" w:oddHBand="0" w:evenHBand="0" w:firstRowFirstColumn="0" w:firstRowLastColumn="0" w:lastRowFirstColumn="0" w:lastRowLastColumn="0"/>
          <w:tblHeader/>
        </w:trPr>
        <w:tc>
          <w:tcPr>
            <w:tcW w:w="3968" w:type="dxa"/>
            <w:tcBorders>
              <w:bottom w:val="single" w:sz="4" w:space="0" w:color="auto"/>
            </w:tcBorders>
            <w:hideMark/>
          </w:tcPr>
          <w:p w14:paraId="57E2413B" w14:textId="77777777" w:rsidR="005F4A7E" w:rsidRPr="002029AF" w:rsidRDefault="005F4A7E" w:rsidP="00860E95">
            <w:pPr>
              <w:pStyle w:val="ARfintablecolhead"/>
            </w:pPr>
            <w:r>
              <w:t>2021</w:t>
            </w:r>
          </w:p>
        </w:tc>
        <w:tc>
          <w:tcPr>
            <w:tcW w:w="1418" w:type="dxa"/>
            <w:tcBorders>
              <w:bottom w:val="single" w:sz="4" w:space="0" w:color="auto"/>
            </w:tcBorders>
            <w:hideMark/>
          </w:tcPr>
          <w:p w14:paraId="1DED4FB3" w14:textId="77777777" w:rsidR="005F4A7E" w:rsidRPr="002029AF" w:rsidRDefault="005F4A7E" w:rsidP="00860E95">
            <w:pPr>
              <w:pStyle w:val="ARfintablecolheadright"/>
            </w:pPr>
            <w:r w:rsidRPr="002029AF">
              <w:t>Cash and deposits</w:t>
            </w:r>
          </w:p>
          <w:p w14:paraId="341742A5" w14:textId="77777777" w:rsidR="005F4A7E" w:rsidRPr="002029AF" w:rsidRDefault="005F4A7E" w:rsidP="00860E95">
            <w:pPr>
              <w:pStyle w:val="ARfintablecolheadright"/>
            </w:pPr>
            <w:r w:rsidRPr="002029AF">
              <w:t>$M</w:t>
            </w:r>
          </w:p>
        </w:tc>
        <w:tc>
          <w:tcPr>
            <w:tcW w:w="1417" w:type="dxa"/>
            <w:tcBorders>
              <w:bottom w:val="single" w:sz="4" w:space="0" w:color="auto"/>
            </w:tcBorders>
            <w:hideMark/>
          </w:tcPr>
          <w:p w14:paraId="7B648BC1" w14:textId="77777777" w:rsidR="005F4A7E" w:rsidRPr="002029AF" w:rsidRDefault="005F4A7E" w:rsidP="00860E95">
            <w:pPr>
              <w:pStyle w:val="ARfintablecolheadright"/>
            </w:pPr>
            <w:r w:rsidRPr="002029AF">
              <w:t xml:space="preserve">Financial </w:t>
            </w:r>
            <w:r w:rsidRPr="002029AF">
              <w:br/>
              <w:t>assets at amortised cost (AC)</w:t>
            </w:r>
          </w:p>
          <w:p w14:paraId="5B5266D2" w14:textId="77777777" w:rsidR="005F4A7E" w:rsidRPr="002029AF" w:rsidRDefault="005F4A7E" w:rsidP="00860E95">
            <w:pPr>
              <w:pStyle w:val="ARfintablecolheadright"/>
            </w:pPr>
            <w:r w:rsidRPr="002029AF">
              <w:t>$M</w:t>
            </w:r>
          </w:p>
        </w:tc>
        <w:tc>
          <w:tcPr>
            <w:tcW w:w="1417" w:type="dxa"/>
            <w:tcBorders>
              <w:bottom w:val="single" w:sz="4" w:space="0" w:color="auto"/>
            </w:tcBorders>
            <w:hideMark/>
          </w:tcPr>
          <w:p w14:paraId="033F5BF0" w14:textId="77777777" w:rsidR="005F4A7E" w:rsidRPr="002029AF" w:rsidRDefault="005F4A7E" w:rsidP="00860E95">
            <w:pPr>
              <w:pStyle w:val="ARfintablecolheadright"/>
            </w:pPr>
            <w:r w:rsidRPr="002029AF">
              <w:t>Financial liabilities at amortised cost (AC)</w:t>
            </w:r>
          </w:p>
          <w:p w14:paraId="30B6AAE7" w14:textId="77777777" w:rsidR="005F4A7E" w:rsidRPr="002029AF" w:rsidRDefault="005F4A7E" w:rsidP="00860E95">
            <w:pPr>
              <w:pStyle w:val="ARfintablecolheadright"/>
            </w:pPr>
            <w:r w:rsidRPr="002029AF">
              <w:t>$M</w:t>
            </w:r>
          </w:p>
        </w:tc>
        <w:tc>
          <w:tcPr>
            <w:tcW w:w="1417" w:type="dxa"/>
            <w:tcBorders>
              <w:bottom w:val="single" w:sz="4" w:space="0" w:color="auto"/>
            </w:tcBorders>
            <w:hideMark/>
          </w:tcPr>
          <w:p w14:paraId="6AC739E8" w14:textId="77777777" w:rsidR="005F4A7E" w:rsidRPr="002029AF" w:rsidRDefault="005F4A7E" w:rsidP="00860E95">
            <w:pPr>
              <w:pStyle w:val="ARfintablecolheadright"/>
            </w:pPr>
            <w:r w:rsidRPr="002029AF">
              <w:t>Total</w:t>
            </w:r>
          </w:p>
          <w:p w14:paraId="78056FE4" w14:textId="77777777" w:rsidR="005F4A7E" w:rsidRPr="002029AF" w:rsidRDefault="005F4A7E" w:rsidP="00860E95">
            <w:pPr>
              <w:pStyle w:val="ARfintablecolheadright"/>
            </w:pPr>
            <w:r w:rsidRPr="002029AF">
              <w:t>$M</w:t>
            </w:r>
          </w:p>
        </w:tc>
      </w:tr>
      <w:tr w:rsidR="005F4A7E" w:rsidRPr="002029AF" w14:paraId="2E86AAD5" w14:textId="77777777" w:rsidTr="00860E95">
        <w:tc>
          <w:tcPr>
            <w:tcW w:w="9637" w:type="dxa"/>
            <w:gridSpan w:val="5"/>
            <w:tcBorders>
              <w:top w:val="single" w:sz="4" w:space="0" w:color="auto"/>
              <w:bottom w:val="single" w:sz="4" w:space="0" w:color="A6A6A6"/>
            </w:tcBorders>
            <w:hideMark/>
          </w:tcPr>
          <w:p w14:paraId="0923692D" w14:textId="77777777" w:rsidR="005F4A7E" w:rsidRPr="002029AF" w:rsidRDefault="005F4A7E" w:rsidP="00130D1C">
            <w:pPr>
              <w:pStyle w:val="ARfintablebodybold"/>
            </w:pPr>
            <w:r w:rsidRPr="006A73B4">
              <w:t>Contractual financial assets</w:t>
            </w:r>
          </w:p>
        </w:tc>
      </w:tr>
      <w:tr w:rsidR="005F4A7E" w:rsidRPr="002029AF" w14:paraId="6FC69C17" w14:textId="77777777" w:rsidTr="00860E95">
        <w:tc>
          <w:tcPr>
            <w:tcW w:w="3968" w:type="dxa"/>
            <w:tcBorders>
              <w:top w:val="single" w:sz="4" w:space="0" w:color="A6A6A6"/>
              <w:bottom w:val="single" w:sz="4" w:space="0" w:color="A6A6A6"/>
            </w:tcBorders>
            <w:hideMark/>
          </w:tcPr>
          <w:p w14:paraId="7F546BCA" w14:textId="77777777" w:rsidR="005F4A7E" w:rsidRPr="002029AF" w:rsidRDefault="005F4A7E" w:rsidP="00130D1C">
            <w:pPr>
              <w:pStyle w:val="ARfintablebody"/>
            </w:pPr>
            <w:r w:rsidRPr="006A73B4">
              <w:t>Cash and deposits</w:t>
            </w:r>
          </w:p>
        </w:tc>
        <w:tc>
          <w:tcPr>
            <w:tcW w:w="1418" w:type="dxa"/>
            <w:tcBorders>
              <w:top w:val="single" w:sz="4" w:space="0" w:color="A6A6A6"/>
              <w:bottom w:val="single" w:sz="4" w:space="0" w:color="A6A6A6"/>
            </w:tcBorders>
            <w:noWrap/>
            <w:hideMark/>
          </w:tcPr>
          <w:p w14:paraId="64B83059" w14:textId="77777777" w:rsidR="005F4A7E" w:rsidRPr="002029AF" w:rsidRDefault="005F4A7E" w:rsidP="00130D1C">
            <w:pPr>
              <w:pStyle w:val="ARfintablebodyright"/>
            </w:pPr>
            <w:r w:rsidRPr="006A73B4">
              <w:t>913.9</w:t>
            </w:r>
          </w:p>
        </w:tc>
        <w:tc>
          <w:tcPr>
            <w:tcW w:w="1417" w:type="dxa"/>
            <w:tcBorders>
              <w:top w:val="single" w:sz="4" w:space="0" w:color="A6A6A6"/>
              <w:bottom w:val="single" w:sz="4" w:space="0" w:color="A6A6A6"/>
            </w:tcBorders>
            <w:noWrap/>
            <w:hideMark/>
          </w:tcPr>
          <w:p w14:paraId="0923ABDD" w14:textId="77777777" w:rsidR="005F4A7E" w:rsidRPr="002029AF" w:rsidRDefault="005F4A7E" w:rsidP="00130D1C">
            <w:pPr>
              <w:pStyle w:val="ARfintablebodyright"/>
            </w:pPr>
            <w:r w:rsidRPr="006A73B4">
              <w:t>–</w:t>
            </w:r>
          </w:p>
        </w:tc>
        <w:tc>
          <w:tcPr>
            <w:tcW w:w="1417" w:type="dxa"/>
            <w:tcBorders>
              <w:top w:val="single" w:sz="4" w:space="0" w:color="A6A6A6"/>
              <w:bottom w:val="single" w:sz="4" w:space="0" w:color="A6A6A6"/>
            </w:tcBorders>
            <w:noWrap/>
            <w:hideMark/>
          </w:tcPr>
          <w:p w14:paraId="3884F57B" w14:textId="77777777" w:rsidR="005F4A7E" w:rsidRPr="002029AF" w:rsidRDefault="005F4A7E" w:rsidP="00130D1C">
            <w:pPr>
              <w:pStyle w:val="ARfintablebodyright"/>
            </w:pPr>
            <w:r w:rsidRPr="006A73B4">
              <w:t>–</w:t>
            </w:r>
          </w:p>
        </w:tc>
        <w:tc>
          <w:tcPr>
            <w:tcW w:w="1417" w:type="dxa"/>
            <w:tcBorders>
              <w:top w:val="single" w:sz="4" w:space="0" w:color="A6A6A6"/>
              <w:bottom w:val="single" w:sz="4" w:space="0" w:color="A6A6A6"/>
            </w:tcBorders>
            <w:noWrap/>
            <w:hideMark/>
          </w:tcPr>
          <w:p w14:paraId="5FCA525D" w14:textId="77777777" w:rsidR="005F4A7E" w:rsidRPr="002029AF" w:rsidRDefault="005F4A7E" w:rsidP="00130D1C">
            <w:pPr>
              <w:pStyle w:val="ARfintablebodyright"/>
            </w:pPr>
            <w:r w:rsidRPr="006A73B4">
              <w:t>913.9</w:t>
            </w:r>
          </w:p>
        </w:tc>
      </w:tr>
      <w:tr w:rsidR="005F4A7E" w:rsidRPr="002029AF" w14:paraId="7B131BB1" w14:textId="77777777" w:rsidTr="00860E95">
        <w:tc>
          <w:tcPr>
            <w:tcW w:w="3968" w:type="dxa"/>
            <w:tcBorders>
              <w:top w:val="single" w:sz="4" w:space="0" w:color="A6A6A6"/>
              <w:bottom w:val="single" w:sz="4" w:space="0" w:color="A6A6A6"/>
            </w:tcBorders>
            <w:hideMark/>
          </w:tcPr>
          <w:p w14:paraId="315F042F" w14:textId="77777777" w:rsidR="005F4A7E" w:rsidRPr="002029AF" w:rsidRDefault="005F4A7E" w:rsidP="00130D1C">
            <w:pPr>
              <w:pStyle w:val="ARfintablebody"/>
            </w:pPr>
            <w:r w:rsidRPr="006A73B4">
              <w:t xml:space="preserve">Receivables </w:t>
            </w:r>
            <w:r w:rsidRPr="00BF2B40">
              <w:rPr>
                <w:rStyle w:val="Superscript"/>
              </w:rPr>
              <w:t>(i)</w:t>
            </w:r>
          </w:p>
        </w:tc>
        <w:tc>
          <w:tcPr>
            <w:tcW w:w="1418" w:type="dxa"/>
            <w:tcBorders>
              <w:top w:val="single" w:sz="4" w:space="0" w:color="A6A6A6"/>
              <w:bottom w:val="single" w:sz="4" w:space="0" w:color="A6A6A6"/>
            </w:tcBorders>
            <w:noWrap/>
            <w:hideMark/>
          </w:tcPr>
          <w:p w14:paraId="25305338" w14:textId="77777777" w:rsidR="005F4A7E" w:rsidRPr="002029AF" w:rsidRDefault="005F4A7E" w:rsidP="00130D1C">
            <w:pPr>
              <w:pStyle w:val="ARfintablebodyright"/>
            </w:pPr>
            <w:r w:rsidRPr="006A73B4">
              <w:t>–</w:t>
            </w:r>
          </w:p>
        </w:tc>
        <w:tc>
          <w:tcPr>
            <w:tcW w:w="1417" w:type="dxa"/>
            <w:tcBorders>
              <w:top w:val="single" w:sz="4" w:space="0" w:color="A6A6A6"/>
              <w:bottom w:val="single" w:sz="4" w:space="0" w:color="A6A6A6"/>
            </w:tcBorders>
            <w:noWrap/>
            <w:hideMark/>
          </w:tcPr>
          <w:p w14:paraId="49F56482" w14:textId="77777777" w:rsidR="005F4A7E" w:rsidRPr="002029AF" w:rsidRDefault="005F4A7E" w:rsidP="00130D1C">
            <w:pPr>
              <w:pStyle w:val="ARfintablebodyright"/>
            </w:pPr>
            <w:r w:rsidRPr="006A73B4">
              <w:t>341.9</w:t>
            </w:r>
          </w:p>
        </w:tc>
        <w:tc>
          <w:tcPr>
            <w:tcW w:w="1417" w:type="dxa"/>
            <w:tcBorders>
              <w:top w:val="single" w:sz="4" w:space="0" w:color="A6A6A6"/>
              <w:bottom w:val="single" w:sz="4" w:space="0" w:color="A6A6A6"/>
            </w:tcBorders>
            <w:noWrap/>
            <w:hideMark/>
          </w:tcPr>
          <w:p w14:paraId="661DAEE8" w14:textId="77777777" w:rsidR="005F4A7E" w:rsidRPr="002029AF" w:rsidRDefault="005F4A7E" w:rsidP="00130D1C">
            <w:pPr>
              <w:pStyle w:val="ARfintablebodyright"/>
            </w:pPr>
            <w:r w:rsidRPr="006A73B4">
              <w:t>–</w:t>
            </w:r>
          </w:p>
        </w:tc>
        <w:tc>
          <w:tcPr>
            <w:tcW w:w="1417" w:type="dxa"/>
            <w:tcBorders>
              <w:top w:val="single" w:sz="4" w:space="0" w:color="A6A6A6"/>
              <w:bottom w:val="single" w:sz="4" w:space="0" w:color="A6A6A6"/>
            </w:tcBorders>
            <w:noWrap/>
            <w:hideMark/>
          </w:tcPr>
          <w:p w14:paraId="1BCBF8C3" w14:textId="77777777" w:rsidR="005F4A7E" w:rsidRPr="002029AF" w:rsidRDefault="005F4A7E" w:rsidP="00130D1C">
            <w:pPr>
              <w:pStyle w:val="ARfintablebodyright"/>
            </w:pPr>
            <w:r w:rsidRPr="006A73B4">
              <w:t>341.9</w:t>
            </w:r>
          </w:p>
        </w:tc>
      </w:tr>
      <w:tr w:rsidR="005F4A7E" w:rsidRPr="002029AF" w14:paraId="7CD40307" w14:textId="77777777" w:rsidTr="00860E95">
        <w:tc>
          <w:tcPr>
            <w:tcW w:w="3968" w:type="dxa"/>
            <w:tcBorders>
              <w:top w:val="single" w:sz="4" w:space="0" w:color="A6A6A6"/>
            </w:tcBorders>
            <w:hideMark/>
          </w:tcPr>
          <w:p w14:paraId="271A40C0" w14:textId="77777777" w:rsidR="005F4A7E" w:rsidRPr="002029AF" w:rsidRDefault="005F4A7E" w:rsidP="00130D1C">
            <w:pPr>
              <w:pStyle w:val="ARfintablebody"/>
            </w:pPr>
            <w:r w:rsidRPr="006A73B4">
              <w:t>Loans</w:t>
            </w:r>
          </w:p>
        </w:tc>
        <w:tc>
          <w:tcPr>
            <w:tcW w:w="1418" w:type="dxa"/>
            <w:tcBorders>
              <w:top w:val="single" w:sz="4" w:space="0" w:color="A6A6A6"/>
            </w:tcBorders>
            <w:noWrap/>
            <w:hideMark/>
          </w:tcPr>
          <w:p w14:paraId="3532CB82" w14:textId="77777777" w:rsidR="005F4A7E" w:rsidRPr="002029AF" w:rsidRDefault="005F4A7E" w:rsidP="00130D1C">
            <w:pPr>
              <w:pStyle w:val="ARfintablebodyright"/>
            </w:pPr>
            <w:r w:rsidRPr="006A73B4">
              <w:t>–</w:t>
            </w:r>
          </w:p>
        </w:tc>
        <w:tc>
          <w:tcPr>
            <w:tcW w:w="1417" w:type="dxa"/>
            <w:tcBorders>
              <w:top w:val="single" w:sz="4" w:space="0" w:color="A6A6A6"/>
            </w:tcBorders>
            <w:noWrap/>
            <w:hideMark/>
          </w:tcPr>
          <w:p w14:paraId="78B6182F" w14:textId="77777777" w:rsidR="005F4A7E" w:rsidRPr="002029AF" w:rsidRDefault="005F4A7E" w:rsidP="00130D1C">
            <w:pPr>
              <w:pStyle w:val="ARfintablebodyright"/>
            </w:pPr>
            <w:r w:rsidRPr="006A73B4">
              <w:t>118.8</w:t>
            </w:r>
          </w:p>
        </w:tc>
        <w:tc>
          <w:tcPr>
            <w:tcW w:w="1417" w:type="dxa"/>
            <w:tcBorders>
              <w:top w:val="single" w:sz="4" w:space="0" w:color="A6A6A6"/>
            </w:tcBorders>
            <w:noWrap/>
            <w:hideMark/>
          </w:tcPr>
          <w:p w14:paraId="7CCABABB" w14:textId="77777777" w:rsidR="005F4A7E" w:rsidRPr="002029AF" w:rsidRDefault="005F4A7E" w:rsidP="00130D1C">
            <w:pPr>
              <w:pStyle w:val="ARfintablebodyright"/>
            </w:pPr>
            <w:r w:rsidRPr="006A73B4">
              <w:t>–</w:t>
            </w:r>
          </w:p>
        </w:tc>
        <w:tc>
          <w:tcPr>
            <w:tcW w:w="1417" w:type="dxa"/>
            <w:tcBorders>
              <w:top w:val="single" w:sz="4" w:space="0" w:color="A6A6A6"/>
            </w:tcBorders>
            <w:noWrap/>
            <w:hideMark/>
          </w:tcPr>
          <w:p w14:paraId="086A9B49" w14:textId="77777777" w:rsidR="005F4A7E" w:rsidRPr="002029AF" w:rsidRDefault="005F4A7E" w:rsidP="00130D1C">
            <w:pPr>
              <w:pStyle w:val="ARfintablebodyright"/>
            </w:pPr>
            <w:r w:rsidRPr="006A73B4">
              <w:t>118.8</w:t>
            </w:r>
          </w:p>
        </w:tc>
      </w:tr>
      <w:tr w:rsidR="005F4A7E" w:rsidRPr="002029AF" w14:paraId="6B14E467" w14:textId="77777777" w:rsidTr="00860E95">
        <w:tc>
          <w:tcPr>
            <w:tcW w:w="3968" w:type="dxa"/>
            <w:tcBorders>
              <w:bottom w:val="single" w:sz="4" w:space="0" w:color="auto"/>
            </w:tcBorders>
            <w:hideMark/>
          </w:tcPr>
          <w:p w14:paraId="6C8516A1" w14:textId="77777777" w:rsidR="005F4A7E" w:rsidRPr="002029AF" w:rsidRDefault="005F4A7E" w:rsidP="00130D1C">
            <w:pPr>
              <w:pStyle w:val="ARfintablebodybold"/>
            </w:pPr>
            <w:r w:rsidRPr="006A73B4">
              <w:t>Total contractual financial assets</w:t>
            </w:r>
          </w:p>
        </w:tc>
        <w:tc>
          <w:tcPr>
            <w:tcW w:w="1418" w:type="dxa"/>
            <w:tcBorders>
              <w:bottom w:val="single" w:sz="4" w:space="0" w:color="auto"/>
            </w:tcBorders>
            <w:noWrap/>
            <w:hideMark/>
          </w:tcPr>
          <w:p w14:paraId="48C21EB1" w14:textId="77777777" w:rsidR="005F4A7E" w:rsidRPr="002029AF" w:rsidRDefault="005F4A7E" w:rsidP="00130D1C">
            <w:pPr>
              <w:pStyle w:val="ARfintablebodyrightbold"/>
            </w:pPr>
            <w:r w:rsidRPr="006A73B4">
              <w:t>913.9</w:t>
            </w:r>
          </w:p>
        </w:tc>
        <w:tc>
          <w:tcPr>
            <w:tcW w:w="1417" w:type="dxa"/>
            <w:tcBorders>
              <w:bottom w:val="single" w:sz="4" w:space="0" w:color="auto"/>
            </w:tcBorders>
            <w:noWrap/>
            <w:hideMark/>
          </w:tcPr>
          <w:p w14:paraId="5A203E0C" w14:textId="77777777" w:rsidR="005F4A7E" w:rsidRPr="002029AF" w:rsidRDefault="005F4A7E" w:rsidP="00130D1C">
            <w:pPr>
              <w:pStyle w:val="ARfintablebodyrightbold"/>
            </w:pPr>
            <w:r w:rsidRPr="006A73B4">
              <w:t>460.7</w:t>
            </w:r>
          </w:p>
        </w:tc>
        <w:tc>
          <w:tcPr>
            <w:tcW w:w="1417" w:type="dxa"/>
            <w:tcBorders>
              <w:bottom w:val="single" w:sz="4" w:space="0" w:color="auto"/>
            </w:tcBorders>
            <w:noWrap/>
            <w:hideMark/>
          </w:tcPr>
          <w:p w14:paraId="21F932B8" w14:textId="77777777" w:rsidR="005F4A7E" w:rsidRPr="002029AF" w:rsidRDefault="005F4A7E" w:rsidP="00130D1C">
            <w:pPr>
              <w:pStyle w:val="ARfintablebodyrightbold"/>
            </w:pPr>
            <w:r w:rsidRPr="006A73B4">
              <w:t>–</w:t>
            </w:r>
          </w:p>
        </w:tc>
        <w:tc>
          <w:tcPr>
            <w:tcW w:w="1417" w:type="dxa"/>
            <w:tcBorders>
              <w:bottom w:val="single" w:sz="4" w:space="0" w:color="auto"/>
            </w:tcBorders>
            <w:noWrap/>
            <w:hideMark/>
          </w:tcPr>
          <w:p w14:paraId="701B86F2" w14:textId="77777777" w:rsidR="005F4A7E" w:rsidRPr="002029AF" w:rsidRDefault="005F4A7E" w:rsidP="00130D1C">
            <w:pPr>
              <w:pStyle w:val="ARfintablebodyrightbold"/>
            </w:pPr>
            <w:r w:rsidRPr="006A73B4">
              <w:t>1,374.6</w:t>
            </w:r>
          </w:p>
        </w:tc>
      </w:tr>
      <w:tr w:rsidR="005F4A7E" w:rsidRPr="002029AF" w14:paraId="61F88847" w14:textId="77777777" w:rsidTr="00860E95">
        <w:tc>
          <w:tcPr>
            <w:tcW w:w="3968" w:type="dxa"/>
            <w:tcBorders>
              <w:top w:val="single" w:sz="4" w:space="0" w:color="auto"/>
              <w:bottom w:val="single" w:sz="4" w:space="0" w:color="A6A6A6"/>
            </w:tcBorders>
            <w:hideMark/>
          </w:tcPr>
          <w:p w14:paraId="1B8B323D" w14:textId="77777777" w:rsidR="005F4A7E" w:rsidRPr="002029AF" w:rsidRDefault="005F4A7E" w:rsidP="00130D1C">
            <w:pPr>
              <w:pStyle w:val="ARfintablebodybold"/>
            </w:pPr>
            <w:r w:rsidRPr="006A73B4">
              <w:t>Contractual financial liabilities</w:t>
            </w:r>
          </w:p>
        </w:tc>
        <w:tc>
          <w:tcPr>
            <w:tcW w:w="1418" w:type="dxa"/>
            <w:tcBorders>
              <w:top w:val="single" w:sz="4" w:space="0" w:color="auto"/>
              <w:bottom w:val="single" w:sz="4" w:space="0" w:color="A6A6A6"/>
            </w:tcBorders>
            <w:hideMark/>
          </w:tcPr>
          <w:p w14:paraId="46131A83" w14:textId="77777777" w:rsidR="005F4A7E" w:rsidRPr="002029AF" w:rsidRDefault="005F4A7E" w:rsidP="00130D1C">
            <w:pPr>
              <w:pStyle w:val="ARfintablebodybold"/>
            </w:pPr>
          </w:p>
        </w:tc>
        <w:tc>
          <w:tcPr>
            <w:tcW w:w="1417" w:type="dxa"/>
            <w:tcBorders>
              <w:top w:val="single" w:sz="4" w:space="0" w:color="auto"/>
              <w:bottom w:val="single" w:sz="4" w:space="0" w:color="A6A6A6"/>
            </w:tcBorders>
            <w:hideMark/>
          </w:tcPr>
          <w:p w14:paraId="65ECF0F3" w14:textId="77777777" w:rsidR="005F4A7E" w:rsidRPr="002029AF" w:rsidRDefault="005F4A7E" w:rsidP="00130D1C">
            <w:pPr>
              <w:pStyle w:val="ARfintablebodybold"/>
            </w:pPr>
          </w:p>
        </w:tc>
        <w:tc>
          <w:tcPr>
            <w:tcW w:w="1417" w:type="dxa"/>
            <w:tcBorders>
              <w:top w:val="single" w:sz="4" w:space="0" w:color="auto"/>
              <w:bottom w:val="single" w:sz="4" w:space="0" w:color="A6A6A6"/>
            </w:tcBorders>
            <w:hideMark/>
          </w:tcPr>
          <w:p w14:paraId="4DE4808E" w14:textId="77777777" w:rsidR="005F4A7E" w:rsidRPr="002029AF" w:rsidRDefault="005F4A7E" w:rsidP="00130D1C">
            <w:pPr>
              <w:pStyle w:val="ARfintablebodybold"/>
            </w:pPr>
          </w:p>
        </w:tc>
        <w:tc>
          <w:tcPr>
            <w:tcW w:w="1417" w:type="dxa"/>
            <w:tcBorders>
              <w:top w:val="single" w:sz="4" w:space="0" w:color="auto"/>
              <w:bottom w:val="single" w:sz="4" w:space="0" w:color="A6A6A6"/>
            </w:tcBorders>
            <w:hideMark/>
          </w:tcPr>
          <w:p w14:paraId="52249F1A" w14:textId="77777777" w:rsidR="005F4A7E" w:rsidRPr="002029AF" w:rsidRDefault="005F4A7E" w:rsidP="00130D1C">
            <w:pPr>
              <w:pStyle w:val="ARfintablebodybold"/>
            </w:pPr>
          </w:p>
        </w:tc>
      </w:tr>
      <w:tr w:rsidR="005F4A7E" w:rsidRPr="002029AF" w14:paraId="795C1DE1" w14:textId="77777777" w:rsidTr="00860E95">
        <w:tc>
          <w:tcPr>
            <w:tcW w:w="3968" w:type="dxa"/>
            <w:tcBorders>
              <w:top w:val="single" w:sz="4" w:space="0" w:color="A6A6A6"/>
              <w:bottom w:val="single" w:sz="4" w:space="0" w:color="A6A6A6"/>
            </w:tcBorders>
            <w:hideMark/>
          </w:tcPr>
          <w:p w14:paraId="1690F1D9" w14:textId="77777777" w:rsidR="005F4A7E" w:rsidRPr="002029AF" w:rsidRDefault="005F4A7E" w:rsidP="00130D1C">
            <w:pPr>
              <w:pStyle w:val="ARfintablebody"/>
            </w:pPr>
            <w:r w:rsidRPr="006A73B4">
              <w:t xml:space="preserve">Payables </w:t>
            </w:r>
            <w:r w:rsidRPr="00BF2B40">
              <w:rPr>
                <w:rStyle w:val="Superscript"/>
              </w:rPr>
              <w:t>(i)</w:t>
            </w:r>
          </w:p>
        </w:tc>
        <w:tc>
          <w:tcPr>
            <w:tcW w:w="1418" w:type="dxa"/>
            <w:tcBorders>
              <w:top w:val="single" w:sz="4" w:space="0" w:color="A6A6A6"/>
              <w:bottom w:val="single" w:sz="4" w:space="0" w:color="A6A6A6"/>
            </w:tcBorders>
            <w:noWrap/>
            <w:hideMark/>
          </w:tcPr>
          <w:p w14:paraId="519AD471" w14:textId="77777777" w:rsidR="005F4A7E" w:rsidRPr="002029AF" w:rsidRDefault="005F4A7E" w:rsidP="00130D1C">
            <w:pPr>
              <w:pStyle w:val="ARfintablebodyright"/>
            </w:pPr>
            <w:r w:rsidRPr="006A73B4">
              <w:t>–</w:t>
            </w:r>
          </w:p>
        </w:tc>
        <w:tc>
          <w:tcPr>
            <w:tcW w:w="1417" w:type="dxa"/>
            <w:tcBorders>
              <w:top w:val="single" w:sz="4" w:space="0" w:color="A6A6A6"/>
              <w:bottom w:val="single" w:sz="4" w:space="0" w:color="A6A6A6"/>
            </w:tcBorders>
            <w:noWrap/>
            <w:hideMark/>
          </w:tcPr>
          <w:p w14:paraId="3BD4DF3F" w14:textId="77777777" w:rsidR="005F4A7E" w:rsidRPr="002029AF" w:rsidRDefault="005F4A7E" w:rsidP="00130D1C">
            <w:pPr>
              <w:pStyle w:val="ARfintablebodyright"/>
            </w:pPr>
            <w:r w:rsidRPr="006A73B4">
              <w:t>–</w:t>
            </w:r>
          </w:p>
        </w:tc>
        <w:tc>
          <w:tcPr>
            <w:tcW w:w="1417" w:type="dxa"/>
            <w:tcBorders>
              <w:top w:val="single" w:sz="4" w:space="0" w:color="A6A6A6"/>
              <w:bottom w:val="single" w:sz="4" w:space="0" w:color="A6A6A6"/>
            </w:tcBorders>
            <w:noWrap/>
            <w:hideMark/>
          </w:tcPr>
          <w:p w14:paraId="708558D0" w14:textId="77777777" w:rsidR="005F4A7E" w:rsidRPr="002029AF" w:rsidRDefault="005F4A7E" w:rsidP="00130D1C">
            <w:pPr>
              <w:pStyle w:val="ARfintablebodyright"/>
            </w:pPr>
            <w:r w:rsidRPr="006A73B4">
              <w:t>2,130.1</w:t>
            </w:r>
          </w:p>
        </w:tc>
        <w:tc>
          <w:tcPr>
            <w:tcW w:w="1417" w:type="dxa"/>
            <w:tcBorders>
              <w:top w:val="single" w:sz="4" w:space="0" w:color="A6A6A6"/>
              <w:bottom w:val="single" w:sz="4" w:space="0" w:color="A6A6A6"/>
            </w:tcBorders>
            <w:noWrap/>
            <w:hideMark/>
          </w:tcPr>
          <w:p w14:paraId="46AD171A" w14:textId="77777777" w:rsidR="005F4A7E" w:rsidRPr="002029AF" w:rsidRDefault="005F4A7E" w:rsidP="00130D1C">
            <w:pPr>
              <w:pStyle w:val="ARfintablebodyright"/>
            </w:pPr>
            <w:r w:rsidRPr="006A73B4">
              <w:t>2,130.1</w:t>
            </w:r>
          </w:p>
        </w:tc>
      </w:tr>
      <w:tr w:rsidR="005F4A7E" w:rsidRPr="002029AF" w14:paraId="503F9F87" w14:textId="77777777" w:rsidTr="00860E95">
        <w:tc>
          <w:tcPr>
            <w:tcW w:w="3968" w:type="dxa"/>
            <w:tcBorders>
              <w:top w:val="single" w:sz="4" w:space="0" w:color="A6A6A6"/>
            </w:tcBorders>
            <w:hideMark/>
          </w:tcPr>
          <w:p w14:paraId="5DF32DFB" w14:textId="77777777" w:rsidR="005F4A7E" w:rsidRPr="002029AF" w:rsidRDefault="005F4A7E" w:rsidP="00130D1C">
            <w:pPr>
              <w:pStyle w:val="ARfintablebody"/>
            </w:pPr>
            <w:r w:rsidRPr="006A73B4">
              <w:t xml:space="preserve">Borrowings </w:t>
            </w:r>
            <w:r w:rsidRPr="00BF2B40">
              <w:rPr>
                <w:rStyle w:val="Superscript"/>
              </w:rPr>
              <w:t>(i)</w:t>
            </w:r>
          </w:p>
        </w:tc>
        <w:tc>
          <w:tcPr>
            <w:tcW w:w="1418" w:type="dxa"/>
            <w:tcBorders>
              <w:top w:val="single" w:sz="4" w:space="0" w:color="A6A6A6"/>
            </w:tcBorders>
            <w:noWrap/>
            <w:hideMark/>
          </w:tcPr>
          <w:p w14:paraId="5537F017" w14:textId="77777777" w:rsidR="005F4A7E" w:rsidRPr="002029AF" w:rsidRDefault="005F4A7E" w:rsidP="00130D1C">
            <w:pPr>
              <w:pStyle w:val="ARfintablebodyright"/>
            </w:pPr>
            <w:r w:rsidRPr="006A73B4">
              <w:t>–</w:t>
            </w:r>
          </w:p>
        </w:tc>
        <w:tc>
          <w:tcPr>
            <w:tcW w:w="1417" w:type="dxa"/>
            <w:tcBorders>
              <w:top w:val="single" w:sz="4" w:space="0" w:color="A6A6A6"/>
            </w:tcBorders>
            <w:noWrap/>
            <w:hideMark/>
          </w:tcPr>
          <w:p w14:paraId="5E029080" w14:textId="77777777" w:rsidR="005F4A7E" w:rsidRPr="002029AF" w:rsidRDefault="005F4A7E" w:rsidP="00130D1C">
            <w:pPr>
              <w:pStyle w:val="ARfintablebodyright"/>
            </w:pPr>
            <w:r w:rsidRPr="006A73B4">
              <w:t>–</w:t>
            </w:r>
          </w:p>
        </w:tc>
        <w:tc>
          <w:tcPr>
            <w:tcW w:w="1417" w:type="dxa"/>
            <w:tcBorders>
              <w:top w:val="single" w:sz="4" w:space="0" w:color="A6A6A6"/>
            </w:tcBorders>
            <w:noWrap/>
            <w:hideMark/>
          </w:tcPr>
          <w:p w14:paraId="236E58CA" w14:textId="77777777" w:rsidR="005F4A7E" w:rsidRPr="002029AF" w:rsidRDefault="005F4A7E" w:rsidP="00130D1C">
            <w:pPr>
              <w:pStyle w:val="ARfintablebodyright"/>
            </w:pPr>
            <w:r w:rsidRPr="006A73B4">
              <w:t>329.4</w:t>
            </w:r>
          </w:p>
        </w:tc>
        <w:tc>
          <w:tcPr>
            <w:tcW w:w="1417" w:type="dxa"/>
            <w:tcBorders>
              <w:top w:val="single" w:sz="4" w:space="0" w:color="A6A6A6"/>
            </w:tcBorders>
            <w:noWrap/>
            <w:hideMark/>
          </w:tcPr>
          <w:p w14:paraId="5B511280" w14:textId="77777777" w:rsidR="005F4A7E" w:rsidRPr="002029AF" w:rsidRDefault="005F4A7E" w:rsidP="00130D1C">
            <w:pPr>
              <w:pStyle w:val="ARfintablebodyright"/>
            </w:pPr>
            <w:r w:rsidRPr="006A73B4">
              <w:t>329.4</w:t>
            </w:r>
          </w:p>
        </w:tc>
      </w:tr>
      <w:tr w:rsidR="005F4A7E" w:rsidRPr="002029AF" w14:paraId="22661DEE" w14:textId="77777777" w:rsidTr="00860E95">
        <w:tc>
          <w:tcPr>
            <w:tcW w:w="3968" w:type="dxa"/>
            <w:hideMark/>
          </w:tcPr>
          <w:p w14:paraId="33D7CE84" w14:textId="77777777" w:rsidR="005F4A7E" w:rsidRPr="002029AF" w:rsidRDefault="005F4A7E" w:rsidP="00130D1C">
            <w:pPr>
              <w:pStyle w:val="ARfintablebodybold"/>
            </w:pPr>
            <w:r w:rsidRPr="006A73B4">
              <w:t>Total contractual financial liabilities</w:t>
            </w:r>
          </w:p>
        </w:tc>
        <w:tc>
          <w:tcPr>
            <w:tcW w:w="1418" w:type="dxa"/>
            <w:noWrap/>
            <w:hideMark/>
          </w:tcPr>
          <w:p w14:paraId="791A7AF0" w14:textId="77777777" w:rsidR="005F4A7E" w:rsidRPr="002029AF" w:rsidRDefault="005F4A7E" w:rsidP="00130D1C">
            <w:pPr>
              <w:pStyle w:val="ARfintablebodyrightbold"/>
            </w:pPr>
            <w:r w:rsidRPr="006A73B4">
              <w:t>–</w:t>
            </w:r>
          </w:p>
        </w:tc>
        <w:tc>
          <w:tcPr>
            <w:tcW w:w="1417" w:type="dxa"/>
            <w:noWrap/>
            <w:hideMark/>
          </w:tcPr>
          <w:p w14:paraId="07EB32FD" w14:textId="77777777" w:rsidR="005F4A7E" w:rsidRPr="002029AF" w:rsidRDefault="005F4A7E" w:rsidP="00130D1C">
            <w:pPr>
              <w:pStyle w:val="ARfintablebodyrightbold"/>
            </w:pPr>
            <w:r w:rsidRPr="006A73B4">
              <w:t>–</w:t>
            </w:r>
          </w:p>
        </w:tc>
        <w:tc>
          <w:tcPr>
            <w:tcW w:w="1417" w:type="dxa"/>
            <w:noWrap/>
            <w:hideMark/>
          </w:tcPr>
          <w:p w14:paraId="650FD9AB" w14:textId="77777777" w:rsidR="005F4A7E" w:rsidRPr="002029AF" w:rsidRDefault="005F4A7E" w:rsidP="00130D1C">
            <w:pPr>
              <w:pStyle w:val="ARfintablebodyrightbold"/>
            </w:pPr>
            <w:r w:rsidRPr="006A73B4">
              <w:t>2,459.5</w:t>
            </w:r>
          </w:p>
        </w:tc>
        <w:tc>
          <w:tcPr>
            <w:tcW w:w="1417" w:type="dxa"/>
            <w:noWrap/>
            <w:hideMark/>
          </w:tcPr>
          <w:p w14:paraId="2C1E5315" w14:textId="77777777" w:rsidR="005F4A7E" w:rsidRPr="002029AF" w:rsidRDefault="005F4A7E" w:rsidP="00130D1C">
            <w:pPr>
              <w:pStyle w:val="ARfintablebodyrightbold"/>
            </w:pPr>
            <w:r w:rsidRPr="006A73B4">
              <w:t>2,459.5</w:t>
            </w:r>
          </w:p>
        </w:tc>
      </w:tr>
    </w:tbl>
    <w:p w14:paraId="4296EA02" w14:textId="77777777" w:rsidR="005F4A7E" w:rsidRPr="002029AF" w:rsidRDefault="005F4A7E" w:rsidP="00087B91">
      <w:pPr>
        <w:pStyle w:val="ARfinbody"/>
      </w:pPr>
    </w:p>
    <w:tbl>
      <w:tblPr>
        <w:tblStyle w:val="TableGrid"/>
        <w:tblW w:w="9637" w:type="dxa"/>
        <w:tblLayout w:type="fixed"/>
        <w:tblLook w:val="06A0" w:firstRow="1" w:lastRow="0" w:firstColumn="1" w:lastColumn="0" w:noHBand="1" w:noVBand="1"/>
      </w:tblPr>
      <w:tblGrid>
        <w:gridCol w:w="3968"/>
        <w:gridCol w:w="1418"/>
        <w:gridCol w:w="1417"/>
        <w:gridCol w:w="1417"/>
        <w:gridCol w:w="1417"/>
      </w:tblGrid>
      <w:tr w:rsidR="005F4A7E" w:rsidRPr="002029AF" w14:paraId="5F771486" w14:textId="77777777" w:rsidTr="002E438F">
        <w:trPr>
          <w:cnfStyle w:val="100000000000" w:firstRow="1" w:lastRow="0" w:firstColumn="0" w:lastColumn="0" w:oddVBand="0" w:evenVBand="0" w:oddHBand="0" w:evenHBand="0" w:firstRowFirstColumn="0" w:firstRowLastColumn="0" w:lastRowFirstColumn="0" w:lastRowLastColumn="0"/>
          <w:tblHeader/>
        </w:trPr>
        <w:tc>
          <w:tcPr>
            <w:tcW w:w="3968" w:type="dxa"/>
            <w:tcBorders>
              <w:bottom w:val="single" w:sz="4" w:space="0" w:color="auto"/>
            </w:tcBorders>
            <w:hideMark/>
          </w:tcPr>
          <w:p w14:paraId="329C318F" w14:textId="77777777" w:rsidR="005F4A7E" w:rsidRPr="002029AF" w:rsidRDefault="005F4A7E" w:rsidP="00860E95">
            <w:pPr>
              <w:pStyle w:val="ARfintablecolhead"/>
            </w:pPr>
            <w:r>
              <w:t>2020</w:t>
            </w:r>
          </w:p>
        </w:tc>
        <w:tc>
          <w:tcPr>
            <w:tcW w:w="1418" w:type="dxa"/>
            <w:tcBorders>
              <w:bottom w:val="single" w:sz="4" w:space="0" w:color="auto"/>
            </w:tcBorders>
            <w:hideMark/>
          </w:tcPr>
          <w:p w14:paraId="2D2604D4" w14:textId="77777777" w:rsidR="005F4A7E" w:rsidRPr="002029AF" w:rsidRDefault="005F4A7E" w:rsidP="00860E95">
            <w:pPr>
              <w:pStyle w:val="ARfintablecolheadright"/>
            </w:pPr>
            <w:r w:rsidRPr="002029AF">
              <w:t>Cash and deposits</w:t>
            </w:r>
          </w:p>
          <w:p w14:paraId="2694169A" w14:textId="77777777" w:rsidR="005F4A7E" w:rsidRPr="002029AF" w:rsidRDefault="005F4A7E" w:rsidP="00860E95">
            <w:pPr>
              <w:pStyle w:val="ARfintablecolheadright"/>
            </w:pPr>
            <w:r w:rsidRPr="002029AF">
              <w:t>$M</w:t>
            </w:r>
          </w:p>
        </w:tc>
        <w:tc>
          <w:tcPr>
            <w:tcW w:w="1417" w:type="dxa"/>
            <w:tcBorders>
              <w:bottom w:val="single" w:sz="4" w:space="0" w:color="auto"/>
            </w:tcBorders>
            <w:hideMark/>
          </w:tcPr>
          <w:p w14:paraId="1A33E6C4" w14:textId="77777777" w:rsidR="005F4A7E" w:rsidRPr="002029AF" w:rsidRDefault="005F4A7E" w:rsidP="00860E95">
            <w:pPr>
              <w:pStyle w:val="ARfintablecolheadright"/>
            </w:pPr>
            <w:r w:rsidRPr="002029AF">
              <w:t>Financial assets at amortised cost (AC)</w:t>
            </w:r>
          </w:p>
          <w:p w14:paraId="5428B85B" w14:textId="77777777" w:rsidR="005F4A7E" w:rsidRPr="002029AF" w:rsidRDefault="005F4A7E" w:rsidP="00860E95">
            <w:pPr>
              <w:pStyle w:val="ARfintablecolheadright"/>
            </w:pPr>
            <w:r w:rsidRPr="002029AF">
              <w:t>$M</w:t>
            </w:r>
          </w:p>
        </w:tc>
        <w:tc>
          <w:tcPr>
            <w:tcW w:w="1417" w:type="dxa"/>
            <w:tcBorders>
              <w:bottom w:val="single" w:sz="4" w:space="0" w:color="auto"/>
            </w:tcBorders>
            <w:hideMark/>
          </w:tcPr>
          <w:p w14:paraId="39355C04" w14:textId="77777777" w:rsidR="005F4A7E" w:rsidRPr="002029AF" w:rsidRDefault="005F4A7E" w:rsidP="00860E95">
            <w:pPr>
              <w:pStyle w:val="ARfintablecolheadright"/>
            </w:pPr>
            <w:r w:rsidRPr="002029AF">
              <w:t>Financial liabilities at amortised cost (AC)</w:t>
            </w:r>
          </w:p>
          <w:p w14:paraId="4F17E0F1" w14:textId="77777777" w:rsidR="005F4A7E" w:rsidRPr="002029AF" w:rsidRDefault="005F4A7E" w:rsidP="00860E95">
            <w:pPr>
              <w:pStyle w:val="ARfintablecolheadright"/>
            </w:pPr>
            <w:r w:rsidRPr="002029AF">
              <w:t>$M</w:t>
            </w:r>
          </w:p>
        </w:tc>
        <w:tc>
          <w:tcPr>
            <w:tcW w:w="1417" w:type="dxa"/>
            <w:tcBorders>
              <w:bottom w:val="single" w:sz="4" w:space="0" w:color="auto"/>
            </w:tcBorders>
            <w:hideMark/>
          </w:tcPr>
          <w:p w14:paraId="621D4F12" w14:textId="77777777" w:rsidR="005F4A7E" w:rsidRPr="002029AF" w:rsidRDefault="005F4A7E" w:rsidP="00860E95">
            <w:pPr>
              <w:pStyle w:val="ARfintablecolheadright"/>
            </w:pPr>
            <w:r w:rsidRPr="002029AF">
              <w:t>Total</w:t>
            </w:r>
          </w:p>
          <w:p w14:paraId="196F575C" w14:textId="77777777" w:rsidR="005F4A7E" w:rsidRPr="002029AF" w:rsidRDefault="005F4A7E" w:rsidP="00860E95">
            <w:pPr>
              <w:pStyle w:val="ARfintablecolheadright"/>
            </w:pPr>
            <w:r w:rsidRPr="002029AF">
              <w:t>$M</w:t>
            </w:r>
          </w:p>
        </w:tc>
      </w:tr>
      <w:tr w:rsidR="005F4A7E" w:rsidRPr="002029AF" w14:paraId="27348162" w14:textId="77777777" w:rsidTr="00860E95">
        <w:trPr>
          <w:trHeight w:val="255"/>
        </w:trPr>
        <w:tc>
          <w:tcPr>
            <w:tcW w:w="9637" w:type="dxa"/>
            <w:gridSpan w:val="5"/>
            <w:tcBorders>
              <w:top w:val="single" w:sz="4" w:space="0" w:color="auto"/>
              <w:bottom w:val="single" w:sz="4" w:space="0" w:color="A6A6A6"/>
            </w:tcBorders>
            <w:hideMark/>
          </w:tcPr>
          <w:p w14:paraId="765B4A0B" w14:textId="77777777" w:rsidR="005F4A7E" w:rsidRPr="002029AF" w:rsidRDefault="005F4A7E" w:rsidP="00130D1C">
            <w:pPr>
              <w:pStyle w:val="ARfintablebodybold"/>
            </w:pPr>
            <w:r w:rsidRPr="00C53F82">
              <w:t>Contractual financial assets</w:t>
            </w:r>
          </w:p>
        </w:tc>
      </w:tr>
      <w:tr w:rsidR="005F4A7E" w:rsidRPr="002029AF" w14:paraId="54BC772B" w14:textId="77777777" w:rsidTr="00860E95">
        <w:trPr>
          <w:trHeight w:val="255"/>
        </w:trPr>
        <w:tc>
          <w:tcPr>
            <w:tcW w:w="3968" w:type="dxa"/>
            <w:tcBorders>
              <w:top w:val="single" w:sz="4" w:space="0" w:color="A6A6A6"/>
              <w:bottom w:val="single" w:sz="4" w:space="0" w:color="A6A6A6"/>
            </w:tcBorders>
            <w:hideMark/>
          </w:tcPr>
          <w:p w14:paraId="245449F8" w14:textId="77777777" w:rsidR="005F4A7E" w:rsidRPr="002029AF" w:rsidRDefault="005F4A7E" w:rsidP="00130D1C">
            <w:pPr>
              <w:pStyle w:val="ARfintablebody"/>
            </w:pPr>
            <w:r w:rsidRPr="00C53F82">
              <w:t>Cash and deposits</w:t>
            </w:r>
          </w:p>
        </w:tc>
        <w:tc>
          <w:tcPr>
            <w:tcW w:w="1418" w:type="dxa"/>
            <w:tcBorders>
              <w:top w:val="single" w:sz="4" w:space="0" w:color="A6A6A6"/>
              <w:bottom w:val="single" w:sz="4" w:space="0" w:color="A6A6A6"/>
            </w:tcBorders>
            <w:noWrap/>
            <w:hideMark/>
          </w:tcPr>
          <w:p w14:paraId="50A67FDE" w14:textId="77777777" w:rsidR="005F4A7E" w:rsidRPr="002029AF" w:rsidRDefault="005F4A7E" w:rsidP="00130D1C">
            <w:pPr>
              <w:pStyle w:val="ARfintablebodyright"/>
            </w:pPr>
            <w:r w:rsidRPr="00C53F82">
              <w:t>597.7</w:t>
            </w:r>
          </w:p>
        </w:tc>
        <w:tc>
          <w:tcPr>
            <w:tcW w:w="1417" w:type="dxa"/>
            <w:tcBorders>
              <w:top w:val="single" w:sz="4" w:space="0" w:color="A6A6A6"/>
              <w:bottom w:val="single" w:sz="4" w:space="0" w:color="A6A6A6"/>
            </w:tcBorders>
            <w:noWrap/>
            <w:hideMark/>
          </w:tcPr>
          <w:p w14:paraId="1E843A26" w14:textId="77777777" w:rsidR="005F4A7E" w:rsidRPr="002029AF" w:rsidRDefault="005F4A7E" w:rsidP="00130D1C">
            <w:pPr>
              <w:pStyle w:val="ARfintablebodyright"/>
            </w:pPr>
            <w:r w:rsidRPr="00C53F82">
              <w:t>–</w:t>
            </w:r>
          </w:p>
        </w:tc>
        <w:tc>
          <w:tcPr>
            <w:tcW w:w="1417" w:type="dxa"/>
            <w:tcBorders>
              <w:top w:val="single" w:sz="4" w:space="0" w:color="A6A6A6"/>
              <w:bottom w:val="single" w:sz="4" w:space="0" w:color="A6A6A6"/>
            </w:tcBorders>
            <w:noWrap/>
            <w:hideMark/>
          </w:tcPr>
          <w:p w14:paraId="51B776C1" w14:textId="77777777" w:rsidR="005F4A7E" w:rsidRPr="002029AF" w:rsidRDefault="005F4A7E" w:rsidP="00130D1C">
            <w:pPr>
              <w:pStyle w:val="ARfintablebodyright"/>
            </w:pPr>
            <w:r w:rsidRPr="00C53F82">
              <w:t>–</w:t>
            </w:r>
          </w:p>
        </w:tc>
        <w:tc>
          <w:tcPr>
            <w:tcW w:w="1417" w:type="dxa"/>
            <w:tcBorders>
              <w:top w:val="single" w:sz="4" w:space="0" w:color="A6A6A6"/>
              <w:bottom w:val="single" w:sz="4" w:space="0" w:color="A6A6A6"/>
            </w:tcBorders>
            <w:noWrap/>
            <w:hideMark/>
          </w:tcPr>
          <w:p w14:paraId="0653B7BD" w14:textId="77777777" w:rsidR="005F4A7E" w:rsidRPr="002029AF" w:rsidRDefault="005F4A7E" w:rsidP="00130D1C">
            <w:pPr>
              <w:pStyle w:val="ARfintablebodyright"/>
            </w:pPr>
            <w:r w:rsidRPr="00C53F82">
              <w:t>597.7</w:t>
            </w:r>
          </w:p>
        </w:tc>
      </w:tr>
      <w:tr w:rsidR="005F4A7E" w:rsidRPr="002029AF" w14:paraId="248F401F" w14:textId="77777777" w:rsidTr="00860E95">
        <w:trPr>
          <w:trHeight w:val="255"/>
        </w:trPr>
        <w:tc>
          <w:tcPr>
            <w:tcW w:w="3968" w:type="dxa"/>
            <w:tcBorders>
              <w:top w:val="single" w:sz="4" w:space="0" w:color="A6A6A6"/>
              <w:bottom w:val="single" w:sz="4" w:space="0" w:color="A6A6A6"/>
            </w:tcBorders>
            <w:hideMark/>
          </w:tcPr>
          <w:p w14:paraId="5D349E96" w14:textId="77777777" w:rsidR="005F4A7E" w:rsidRPr="002029AF" w:rsidRDefault="005F4A7E" w:rsidP="00130D1C">
            <w:pPr>
              <w:pStyle w:val="ARfintablebody"/>
            </w:pPr>
            <w:r w:rsidRPr="00C53F82">
              <w:t xml:space="preserve">Receivables </w:t>
            </w:r>
            <w:r w:rsidRPr="00BF2B40">
              <w:rPr>
                <w:rStyle w:val="Superscript"/>
              </w:rPr>
              <w:t>(i)</w:t>
            </w:r>
          </w:p>
        </w:tc>
        <w:tc>
          <w:tcPr>
            <w:tcW w:w="1418" w:type="dxa"/>
            <w:tcBorders>
              <w:top w:val="single" w:sz="4" w:space="0" w:color="A6A6A6"/>
              <w:bottom w:val="single" w:sz="4" w:space="0" w:color="A6A6A6"/>
            </w:tcBorders>
            <w:noWrap/>
            <w:hideMark/>
          </w:tcPr>
          <w:p w14:paraId="46B4C4E5" w14:textId="77777777" w:rsidR="005F4A7E" w:rsidRPr="002029AF" w:rsidRDefault="005F4A7E" w:rsidP="00130D1C">
            <w:pPr>
              <w:pStyle w:val="ARfintablebodyright"/>
            </w:pPr>
            <w:r w:rsidRPr="00C53F82">
              <w:t>–</w:t>
            </w:r>
          </w:p>
        </w:tc>
        <w:tc>
          <w:tcPr>
            <w:tcW w:w="1417" w:type="dxa"/>
            <w:tcBorders>
              <w:top w:val="single" w:sz="4" w:space="0" w:color="A6A6A6"/>
              <w:bottom w:val="single" w:sz="4" w:space="0" w:color="A6A6A6"/>
            </w:tcBorders>
            <w:noWrap/>
            <w:hideMark/>
          </w:tcPr>
          <w:p w14:paraId="1FF26E51" w14:textId="77777777" w:rsidR="005F4A7E" w:rsidRPr="002029AF" w:rsidRDefault="005F4A7E" w:rsidP="00130D1C">
            <w:pPr>
              <w:pStyle w:val="ARfintablebodyright"/>
            </w:pPr>
            <w:r w:rsidRPr="00C53F82">
              <w:t>487.7</w:t>
            </w:r>
          </w:p>
        </w:tc>
        <w:tc>
          <w:tcPr>
            <w:tcW w:w="1417" w:type="dxa"/>
            <w:tcBorders>
              <w:top w:val="single" w:sz="4" w:space="0" w:color="A6A6A6"/>
              <w:bottom w:val="single" w:sz="4" w:space="0" w:color="A6A6A6"/>
            </w:tcBorders>
            <w:noWrap/>
            <w:hideMark/>
          </w:tcPr>
          <w:p w14:paraId="327EED32" w14:textId="77777777" w:rsidR="005F4A7E" w:rsidRPr="002029AF" w:rsidRDefault="005F4A7E" w:rsidP="00130D1C">
            <w:pPr>
              <w:pStyle w:val="ARfintablebodyright"/>
            </w:pPr>
            <w:r w:rsidRPr="00C53F82">
              <w:t>–</w:t>
            </w:r>
          </w:p>
        </w:tc>
        <w:tc>
          <w:tcPr>
            <w:tcW w:w="1417" w:type="dxa"/>
            <w:tcBorders>
              <w:top w:val="single" w:sz="4" w:space="0" w:color="A6A6A6"/>
              <w:bottom w:val="single" w:sz="4" w:space="0" w:color="A6A6A6"/>
            </w:tcBorders>
            <w:noWrap/>
            <w:hideMark/>
          </w:tcPr>
          <w:p w14:paraId="4A5E73DA" w14:textId="77777777" w:rsidR="005F4A7E" w:rsidRPr="002029AF" w:rsidRDefault="005F4A7E" w:rsidP="00130D1C">
            <w:pPr>
              <w:pStyle w:val="ARfintablebodyright"/>
            </w:pPr>
            <w:r w:rsidRPr="00C53F82">
              <w:t>487.7</w:t>
            </w:r>
          </w:p>
        </w:tc>
      </w:tr>
      <w:tr w:rsidR="005F4A7E" w:rsidRPr="002029AF" w14:paraId="66626C90" w14:textId="77777777" w:rsidTr="00860E95">
        <w:trPr>
          <w:trHeight w:val="255"/>
        </w:trPr>
        <w:tc>
          <w:tcPr>
            <w:tcW w:w="3968" w:type="dxa"/>
            <w:tcBorders>
              <w:top w:val="single" w:sz="4" w:space="0" w:color="A6A6A6"/>
            </w:tcBorders>
            <w:hideMark/>
          </w:tcPr>
          <w:p w14:paraId="269BBB82" w14:textId="77777777" w:rsidR="005F4A7E" w:rsidRPr="002029AF" w:rsidRDefault="005F4A7E" w:rsidP="00130D1C">
            <w:pPr>
              <w:pStyle w:val="ARfintablebody"/>
            </w:pPr>
            <w:r w:rsidRPr="00C53F82">
              <w:t>Loans</w:t>
            </w:r>
          </w:p>
        </w:tc>
        <w:tc>
          <w:tcPr>
            <w:tcW w:w="1418" w:type="dxa"/>
            <w:tcBorders>
              <w:top w:val="single" w:sz="4" w:space="0" w:color="A6A6A6"/>
            </w:tcBorders>
            <w:noWrap/>
            <w:hideMark/>
          </w:tcPr>
          <w:p w14:paraId="3F752053" w14:textId="77777777" w:rsidR="005F4A7E" w:rsidRPr="002029AF" w:rsidRDefault="005F4A7E" w:rsidP="00130D1C">
            <w:pPr>
              <w:pStyle w:val="ARfintablebodyright"/>
            </w:pPr>
            <w:r w:rsidRPr="00C53F82">
              <w:t>–</w:t>
            </w:r>
          </w:p>
        </w:tc>
        <w:tc>
          <w:tcPr>
            <w:tcW w:w="1417" w:type="dxa"/>
            <w:tcBorders>
              <w:top w:val="single" w:sz="4" w:space="0" w:color="A6A6A6"/>
            </w:tcBorders>
            <w:noWrap/>
            <w:hideMark/>
          </w:tcPr>
          <w:p w14:paraId="0B65EF8A" w14:textId="77777777" w:rsidR="005F4A7E" w:rsidRPr="002029AF" w:rsidRDefault="005F4A7E" w:rsidP="00130D1C">
            <w:pPr>
              <w:pStyle w:val="ARfintablebodyright"/>
            </w:pPr>
            <w:r w:rsidRPr="00C53F82">
              <w:t>389.5</w:t>
            </w:r>
          </w:p>
        </w:tc>
        <w:tc>
          <w:tcPr>
            <w:tcW w:w="1417" w:type="dxa"/>
            <w:tcBorders>
              <w:top w:val="single" w:sz="4" w:space="0" w:color="A6A6A6"/>
            </w:tcBorders>
            <w:noWrap/>
            <w:hideMark/>
          </w:tcPr>
          <w:p w14:paraId="60A33D60" w14:textId="77777777" w:rsidR="005F4A7E" w:rsidRPr="002029AF" w:rsidRDefault="005F4A7E" w:rsidP="00130D1C">
            <w:pPr>
              <w:pStyle w:val="ARfintablebodyright"/>
            </w:pPr>
            <w:r w:rsidRPr="00C53F82">
              <w:t>–</w:t>
            </w:r>
          </w:p>
        </w:tc>
        <w:tc>
          <w:tcPr>
            <w:tcW w:w="1417" w:type="dxa"/>
            <w:tcBorders>
              <w:top w:val="single" w:sz="4" w:space="0" w:color="A6A6A6"/>
            </w:tcBorders>
            <w:noWrap/>
            <w:hideMark/>
          </w:tcPr>
          <w:p w14:paraId="71766736" w14:textId="77777777" w:rsidR="005F4A7E" w:rsidRPr="002029AF" w:rsidRDefault="005F4A7E" w:rsidP="00130D1C">
            <w:pPr>
              <w:pStyle w:val="ARfintablebodyright"/>
            </w:pPr>
            <w:r w:rsidRPr="00C53F82">
              <w:t>389.5</w:t>
            </w:r>
          </w:p>
        </w:tc>
      </w:tr>
      <w:tr w:rsidR="005F4A7E" w:rsidRPr="002029AF" w14:paraId="4A901514" w14:textId="77777777" w:rsidTr="00860E95">
        <w:trPr>
          <w:trHeight w:val="255"/>
        </w:trPr>
        <w:tc>
          <w:tcPr>
            <w:tcW w:w="3968" w:type="dxa"/>
            <w:tcBorders>
              <w:bottom w:val="single" w:sz="4" w:space="0" w:color="auto"/>
            </w:tcBorders>
            <w:hideMark/>
          </w:tcPr>
          <w:p w14:paraId="68EBCA85" w14:textId="77777777" w:rsidR="005F4A7E" w:rsidRPr="002029AF" w:rsidRDefault="005F4A7E" w:rsidP="00130D1C">
            <w:pPr>
              <w:pStyle w:val="ARfintablebodybold"/>
            </w:pPr>
            <w:r w:rsidRPr="00C53F82">
              <w:t>Total contractual financial assets</w:t>
            </w:r>
          </w:p>
        </w:tc>
        <w:tc>
          <w:tcPr>
            <w:tcW w:w="1418" w:type="dxa"/>
            <w:tcBorders>
              <w:bottom w:val="single" w:sz="4" w:space="0" w:color="auto"/>
            </w:tcBorders>
            <w:noWrap/>
            <w:hideMark/>
          </w:tcPr>
          <w:p w14:paraId="38C533F9" w14:textId="77777777" w:rsidR="005F4A7E" w:rsidRPr="002029AF" w:rsidRDefault="005F4A7E" w:rsidP="00130D1C">
            <w:pPr>
              <w:pStyle w:val="ARfintablebodyrightbold"/>
            </w:pPr>
            <w:r w:rsidRPr="00C53F82">
              <w:t>597.7</w:t>
            </w:r>
          </w:p>
        </w:tc>
        <w:tc>
          <w:tcPr>
            <w:tcW w:w="1417" w:type="dxa"/>
            <w:tcBorders>
              <w:bottom w:val="single" w:sz="4" w:space="0" w:color="auto"/>
            </w:tcBorders>
            <w:noWrap/>
            <w:hideMark/>
          </w:tcPr>
          <w:p w14:paraId="0067A144" w14:textId="77777777" w:rsidR="005F4A7E" w:rsidRPr="002029AF" w:rsidRDefault="005F4A7E" w:rsidP="00130D1C">
            <w:pPr>
              <w:pStyle w:val="ARfintablebodyrightbold"/>
            </w:pPr>
            <w:r w:rsidRPr="00C53F82">
              <w:t>877.2</w:t>
            </w:r>
          </w:p>
        </w:tc>
        <w:tc>
          <w:tcPr>
            <w:tcW w:w="1417" w:type="dxa"/>
            <w:tcBorders>
              <w:bottom w:val="single" w:sz="4" w:space="0" w:color="auto"/>
            </w:tcBorders>
            <w:noWrap/>
            <w:hideMark/>
          </w:tcPr>
          <w:p w14:paraId="22A25DF6" w14:textId="77777777" w:rsidR="005F4A7E" w:rsidRPr="002029AF" w:rsidRDefault="005F4A7E" w:rsidP="00130D1C">
            <w:pPr>
              <w:pStyle w:val="ARfintablebodyrightbold"/>
            </w:pPr>
            <w:r w:rsidRPr="00C53F82">
              <w:t>–</w:t>
            </w:r>
          </w:p>
        </w:tc>
        <w:tc>
          <w:tcPr>
            <w:tcW w:w="1417" w:type="dxa"/>
            <w:tcBorders>
              <w:bottom w:val="single" w:sz="4" w:space="0" w:color="auto"/>
            </w:tcBorders>
            <w:noWrap/>
            <w:hideMark/>
          </w:tcPr>
          <w:p w14:paraId="49FB58F2" w14:textId="77777777" w:rsidR="005F4A7E" w:rsidRPr="002029AF" w:rsidRDefault="005F4A7E" w:rsidP="00130D1C">
            <w:pPr>
              <w:pStyle w:val="ARfintablebodyrightbold"/>
            </w:pPr>
            <w:r w:rsidRPr="00C53F82">
              <w:t>1,474.9</w:t>
            </w:r>
          </w:p>
        </w:tc>
      </w:tr>
      <w:tr w:rsidR="005F4A7E" w:rsidRPr="002029AF" w14:paraId="4B1C36C7" w14:textId="77777777" w:rsidTr="00860E95">
        <w:trPr>
          <w:trHeight w:val="255"/>
        </w:trPr>
        <w:tc>
          <w:tcPr>
            <w:tcW w:w="3968" w:type="dxa"/>
            <w:tcBorders>
              <w:top w:val="single" w:sz="4" w:space="0" w:color="auto"/>
              <w:bottom w:val="single" w:sz="4" w:space="0" w:color="A6A6A6"/>
            </w:tcBorders>
            <w:hideMark/>
          </w:tcPr>
          <w:p w14:paraId="14857FF4" w14:textId="77777777" w:rsidR="005F4A7E" w:rsidRPr="002029AF" w:rsidRDefault="005F4A7E" w:rsidP="00130D1C">
            <w:pPr>
              <w:pStyle w:val="ARfintablebodybold"/>
            </w:pPr>
            <w:r w:rsidRPr="00C53F82">
              <w:t>Contractual financial liabilities</w:t>
            </w:r>
          </w:p>
        </w:tc>
        <w:tc>
          <w:tcPr>
            <w:tcW w:w="1418" w:type="dxa"/>
            <w:tcBorders>
              <w:top w:val="single" w:sz="4" w:space="0" w:color="auto"/>
              <w:bottom w:val="single" w:sz="4" w:space="0" w:color="A6A6A6"/>
            </w:tcBorders>
            <w:hideMark/>
          </w:tcPr>
          <w:p w14:paraId="608A6564" w14:textId="77777777" w:rsidR="005F4A7E" w:rsidRPr="002029AF" w:rsidRDefault="005F4A7E" w:rsidP="00130D1C">
            <w:pPr>
              <w:pStyle w:val="ARfintablebodybold"/>
            </w:pPr>
          </w:p>
        </w:tc>
        <w:tc>
          <w:tcPr>
            <w:tcW w:w="1417" w:type="dxa"/>
            <w:tcBorders>
              <w:top w:val="single" w:sz="4" w:space="0" w:color="auto"/>
              <w:bottom w:val="single" w:sz="4" w:space="0" w:color="A6A6A6"/>
            </w:tcBorders>
            <w:hideMark/>
          </w:tcPr>
          <w:p w14:paraId="38609E8C" w14:textId="77777777" w:rsidR="005F4A7E" w:rsidRPr="002029AF" w:rsidRDefault="005F4A7E" w:rsidP="00130D1C">
            <w:pPr>
              <w:pStyle w:val="ARfintablebodybold"/>
            </w:pPr>
          </w:p>
        </w:tc>
        <w:tc>
          <w:tcPr>
            <w:tcW w:w="1417" w:type="dxa"/>
            <w:tcBorders>
              <w:top w:val="single" w:sz="4" w:space="0" w:color="auto"/>
              <w:bottom w:val="single" w:sz="4" w:space="0" w:color="A6A6A6"/>
            </w:tcBorders>
            <w:hideMark/>
          </w:tcPr>
          <w:p w14:paraId="6DAF25F1" w14:textId="77777777" w:rsidR="005F4A7E" w:rsidRPr="002029AF" w:rsidRDefault="005F4A7E" w:rsidP="00130D1C">
            <w:pPr>
              <w:pStyle w:val="ARfintablebodybold"/>
            </w:pPr>
          </w:p>
        </w:tc>
        <w:tc>
          <w:tcPr>
            <w:tcW w:w="1417" w:type="dxa"/>
            <w:tcBorders>
              <w:top w:val="single" w:sz="4" w:space="0" w:color="auto"/>
              <w:bottom w:val="single" w:sz="4" w:space="0" w:color="A6A6A6"/>
            </w:tcBorders>
            <w:hideMark/>
          </w:tcPr>
          <w:p w14:paraId="734F7A85" w14:textId="77777777" w:rsidR="005F4A7E" w:rsidRPr="002029AF" w:rsidRDefault="005F4A7E" w:rsidP="00130D1C">
            <w:pPr>
              <w:pStyle w:val="ARfintablebodybold"/>
            </w:pPr>
          </w:p>
        </w:tc>
      </w:tr>
      <w:tr w:rsidR="005F4A7E" w:rsidRPr="002029AF" w14:paraId="3EF71410" w14:textId="77777777" w:rsidTr="00860E95">
        <w:trPr>
          <w:trHeight w:val="255"/>
        </w:trPr>
        <w:tc>
          <w:tcPr>
            <w:tcW w:w="3968" w:type="dxa"/>
            <w:tcBorders>
              <w:top w:val="single" w:sz="4" w:space="0" w:color="A6A6A6"/>
              <w:bottom w:val="single" w:sz="4" w:space="0" w:color="A6A6A6"/>
            </w:tcBorders>
            <w:hideMark/>
          </w:tcPr>
          <w:p w14:paraId="146E50E1" w14:textId="77777777" w:rsidR="005F4A7E" w:rsidRPr="002029AF" w:rsidRDefault="005F4A7E" w:rsidP="00130D1C">
            <w:pPr>
              <w:pStyle w:val="ARfintablebody"/>
            </w:pPr>
            <w:r w:rsidRPr="00C53F82">
              <w:t xml:space="preserve">Payables </w:t>
            </w:r>
            <w:r w:rsidRPr="00BF2B40">
              <w:rPr>
                <w:rStyle w:val="Superscript"/>
              </w:rPr>
              <w:t>(i)</w:t>
            </w:r>
          </w:p>
        </w:tc>
        <w:tc>
          <w:tcPr>
            <w:tcW w:w="1418" w:type="dxa"/>
            <w:tcBorders>
              <w:top w:val="single" w:sz="4" w:space="0" w:color="A6A6A6"/>
              <w:bottom w:val="single" w:sz="4" w:space="0" w:color="A6A6A6"/>
            </w:tcBorders>
            <w:noWrap/>
            <w:hideMark/>
          </w:tcPr>
          <w:p w14:paraId="67218062" w14:textId="77777777" w:rsidR="005F4A7E" w:rsidRPr="002029AF" w:rsidRDefault="005F4A7E" w:rsidP="00130D1C">
            <w:pPr>
              <w:pStyle w:val="ARfintablebodyright"/>
            </w:pPr>
            <w:r w:rsidRPr="00C53F82">
              <w:t>–</w:t>
            </w:r>
          </w:p>
        </w:tc>
        <w:tc>
          <w:tcPr>
            <w:tcW w:w="1417" w:type="dxa"/>
            <w:tcBorders>
              <w:top w:val="single" w:sz="4" w:space="0" w:color="A6A6A6"/>
              <w:bottom w:val="single" w:sz="4" w:space="0" w:color="A6A6A6"/>
            </w:tcBorders>
            <w:noWrap/>
            <w:hideMark/>
          </w:tcPr>
          <w:p w14:paraId="0B4715BB" w14:textId="77777777" w:rsidR="005F4A7E" w:rsidRPr="002029AF" w:rsidRDefault="005F4A7E" w:rsidP="00130D1C">
            <w:pPr>
              <w:pStyle w:val="ARfintablebodyright"/>
            </w:pPr>
            <w:r w:rsidRPr="00C53F82">
              <w:t>–</w:t>
            </w:r>
          </w:p>
        </w:tc>
        <w:tc>
          <w:tcPr>
            <w:tcW w:w="1417" w:type="dxa"/>
            <w:tcBorders>
              <w:top w:val="single" w:sz="4" w:space="0" w:color="A6A6A6"/>
              <w:bottom w:val="single" w:sz="4" w:space="0" w:color="A6A6A6"/>
            </w:tcBorders>
            <w:noWrap/>
            <w:hideMark/>
          </w:tcPr>
          <w:p w14:paraId="41197083" w14:textId="77777777" w:rsidR="005F4A7E" w:rsidRPr="002029AF" w:rsidRDefault="005F4A7E" w:rsidP="00130D1C">
            <w:pPr>
              <w:pStyle w:val="ARfintablebodyright"/>
            </w:pPr>
            <w:r w:rsidRPr="00C53F82">
              <w:t>1,847.0</w:t>
            </w:r>
          </w:p>
        </w:tc>
        <w:tc>
          <w:tcPr>
            <w:tcW w:w="1417" w:type="dxa"/>
            <w:tcBorders>
              <w:top w:val="single" w:sz="4" w:space="0" w:color="A6A6A6"/>
              <w:bottom w:val="single" w:sz="4" w:space="0" w:color="A6A6A6"/>
            </w:tcBorders>
            <w:noWrap/>
            <w:hideMark/>
          </w:tcPr>
          <w:p w14:paraId="07FE39AB" w14:textId="77777777" w:rsidR="005F4A7E" w:rsidRPr="002029AF" w:rsidRDefault="005F4A7E" w:rsidP="00130D1C">
            <w:pPr>
              <w:pStyle w:val="ARfintablebodyright"/>
            </w:pPr>
            <w:r w:rsidRPr="00C53F82">
              <w:t>1,847.0</w:t>
            </w:r>
          </w:p>
        </w:tc>
      </w:tr>
      <w:tr w:rsidR="005F4A7E" w:rsidRPr="002029AF" w14:paraId="6A1970B5" w14:textId="77777777" w:rsidTr="00860E95">
        <w:trPr>
          <w:trHeight w:val="255"/>
        </w:trPr>
        <w:tc>
          <w:tcPr>
            <w:tcW w:w="3968" w:type="dxa"/>
            <w:tcBorders>
              <w:top w:val="single" w:sz="4" w:space="0" w:color="A6A6A6"/>
            </w:tcBorders>
            <w:hideMark/>
          </w:tcPr>
          <w:p w14:paraId="27C97378" w14:textId="77777777" w:rsidR="005F4A7E" w:rsidRPr="002029AF" w:rsidRDefault="005F4A7E" w:rsidP="00130D1C">
            <w:pPr>
              <w:pStyle w:val="ARfintablebody"/>
            </w:pPr>
            <w:r w:rsidRPr="00C53F82">
              <w:t xml:space="preserve">Borrowings </w:t>
            </w:r>
            <w:r w:rsidRPr="00BF2B40">
              <w:rPr>
                <w:rStyle w:val="Superscript"/>
              </w:rPr>
              <w:t>(i)</w:t>
            </w:r>
          </w:p>
        </w:tc>
        <w:tc>
          <w:tcPr>
            <w:tcW w:w="1418" w:type="dxa"/>
            <w:tcBorders>
              <w:top w:val="single" w:sz="4" w:space="0" w:color="A6A6A6"/>
            </w:tcBorders>
            <w:noWrap/>
            <w:hideMark/>
          </w:tcPr>
          <w:p w14:paraId="765F8B45" w14:textId="77777777" w:rsidR="005F4A7E" w:rsidRPr="002029AF" w:rsidRDefault="005F4A7E" w:rsidP="00130D1C">
            <w:pPr>
              <w:pStyle w:val="ARfintablebodyright"/>
            </w:pPr>
            <w:r w:rsidRPr="00C53F82">
              <w:t>–</w:t>
            </w:r>
          </w:p>
        </w:tc>
        <w:tc>
          <w:tcPr>
            <w:tcW w:w="1417" w:type="dxa"/>
            <w:tcBorders>
              <w:top w:val="single" w:sz="4" w:space="0" w:color="A6A6A6"/>
            </w:tcBorders>
            <w:noWrap/>
            <w:hideMark/>
          </w:tcPr>
          <w:p w14:paraId="4A6EDD9D" w14:textId="77777777" w:rsidR="005F4A7E" w:rsidRPr="002029AF" w:rsidRDefault="005F4A7E" w:rsidP="00130D1C">
            <w:pPr>
              <w:pStyle w:val="ARfintablebodyright"/>
            </w:pPr>
            <w:r w:rsidRPr="00C53F82">
              <w:t>–</w:t>
            </w:r>
          </w:p>
        </w:tc>
        <w:tc>
          <w:tcPr>
            <w:tcW w:w="1417" w:type="dxa"/>
            <w:tcBorders>
              <w:top w:val="single" w:sz="4" w:space="0" w:color="A6A6A6"/>
            </w:tcBorders>
            <w:noWrap/>
            <w:hideMark/>
          </w:tcPr>
          <w:p w14:paraId="1A389A24" w14:textId="77777777" w:rsidR="005F4A7E" w:rsidRPr="002029AF" w:rsidRDefault="005F4A7E" w:rsidP="00130D1C">
            <w:pPr>
              <w:pStyle w:val="ARfintablebodyright"/>
            </w:pPr>
            <w:r w:rsidRPr="00C53F82">
              <w:t>415.4</w:t>
            </w:r>
          </w:p>
        </w:tc>
        <w:tc>
          <w:tcPr>
            <w:tcW w:w="1417" w:type="dxa"/>
            <w:tcBorders>
              <w:top w:val="single" w:sz="4" w:space="0" w:color="A6A6A6"/>
            </w:tcBorders>
            <w:noWrap/>
            <w:hideMark/>
          </w:tcPr>
          <w:p w14:paraId="087E2336" w14:textId="77777777" w:rsidR="005F4A7E" w:rsidRPr="002029AF" w:rsidRDefault="005F4A7E" w:rsidP="00130D1C">
            <w:pPr>
              <w:pStyle w:val="ARfintablebodyright"/>
            </w:pPr>
            <w:r w:rsidRPr="00C53F82">
              <w:t>415.4</w:t>
            </w:r>
          </w:p>
        </w:tc>
      </w:tr>
      <w:tr w:rsidR="005F4A7E" w:rsidRPr="002029AF" w14:paraId="70FA68F5" w14:textId="77777777" w:rsidTr="00860E95">
        <w:trPr>
          <w:trHeight w:val="255"/>
        </w:trPr>
        <w:tc>
          <w:tcPr>
            <w:tcW w:w="3968" w:type="dxa"/>
            <w:hideMark/>
          </w:tcPr>
          <w:p w14:paraId="6D05C264" w14:textId="77777777" w:rsidR="005F4A7E" w:rsidRPr="002029AF" w:rsidRDefault="005F4A7E" w:rsidP="00130D1C">
            <w:pPr>
              <w:pStyle w:val="ARfintablebodybold"/>
            </w:pPr>
            <w:r w:rsidRPr="00C53F82">
              <w:t>Total contractual financial liabilities</w:t>
            </w:r>
          </w:p>
        </w:tc>
        <w:tc>
          <w:tcPr>
            <w:tcW w:w="1418" w:type="dxa"/>
            <w:noWrap/>
            <w:hideMark/>
          </w:tcPr>
          <w:p w14:paraId="10FF7316" w14:textId="77777777" w:rsidR="005F4A7E" w:rsidRPr="002029AF" w:rsidRDefault="005F4A7E" w:rsidP="00130D1C">
            <w:pPr>
              <w:pStyle w:val="ARfintablebodyrightbold"/>
            </w:pPr>
            <w:r w:rsidRPr="00C53F82">
              <w:t>–</w:t>
            </w:r>
          </w:p>
        </w:tc>
        <w:tc>
          <w:tcPr>
            <w:tcW w:w="1417" w:type="dxa"/>
            <w:noWrap/>
            <w:hideMark/>
          </w:tcPr>
          <w:p w14:paraId="32EED71A" w14:textId="77777777" w:rsidR="005F4A7E" w:rsidRPr="002029AF" w:rsidRDefault="005F4A7E" w:rsidP="00130D1C">
            <w:pPr>
              <w:pStyle w:val="ARfintablebodyrightbold"/>
            </w:pPr>
            <w:r w:rsidRPr="00C53F82">
              <w:t>–</w:t>
            </w:r>
          </w:p>
        </w:tc>
        <w:tc>
          <w:tcPr>
            <w:tcW w:w="1417" w:type="dxa"/>
            <w:noWrap/>
            <w:hideMark/>
          </w:tcPr>
          <w:p w14:paraId="0FBEDE8F" w14:textId="77777777" w:rsidR="005F4A7E" w:rsidRPr="002029AF" w:rsidRDefault="005F4A7E" w:rsidP="00130D1C">
            <w:pPr>
              <w:pStyle w:val="ARfintablebodyrightbold"/>
            </w:pPr>
            <w:r w:rsidRPr="00C53F82">
              <w:t>2,262.4</w:t>
            </w:r>
          </w:p>
        </w:tc>
        <w:tc>
          <w:tcPr>
            <w:tcW w:w="1417" w:type="dxa"/>
            <w:noWrap/>
            <w:hideMark/>
          </w:tcPr>
          <w:p w14:paraId="286CCCD2" w14:textId="77777777" w:rsidR="005F4A7E" w:rsidRPr="002029AF" w:rsidRDefault="005F4A7E" w:rsidP="00130D1C">
            <w:pPr>
              <w:pStyle w:val="ARfintablebodyrightbold"/>
            </w:pPr>
            <w:r w:rsidRPr="00C53F82">
              <w:t>2,262.4</w:t>
            </w:r>
          </w:p>
        </w:tc>
      </w:tr>
    </w:tbl>
    <w:p w14:paraId="51996295" w14:textId="77777777" w:rsidR="005F4A7E" w:rsidRDefault="005F4A7E" w:rsidP="00130D1C">
      <w:pPr>
        <w:pStyle w:val="ARfintablefootnote"/>
      </w:pPr>
      <w:r>
        <w:t>Note:</w:t>
      </w:r>
    </w:p>
    <w:p w14:paraId="0467D768" w14:textId="77777777" w:rsidR="005F4A7E" w:rsidRDefault="005F4A7E" w:rsidP="00130D1C">
      <w:pPr>
        <w:pStyle w:val="ARfintablefootnoteindent"/>
      </w:pPr>
      <w:r>
        <w:t>(i)</w:t>
      </w:r>
      <w:r>
        <w:tab/>
        <w:t>The total amounts disclosed here exclude statutory amounts, for example, amounts owing to/from Victorian Government and GST input tax credit recoverable and taxes payable. Refer to Note 6.1 for the breakdown of contractual and statutory receivables</w:t>
      </w:r>
      <w:bookmarkStart w:id="1004" w:name="_Hlk82034941"/>
      <w:r>
        <w:t>, Note 6.4 for the breakdown of contractual and statutory payables, and Note 7.1 for the breakdown of borrowings.</w:t>
      </w:r>
      <w:bookmarkEnd w:id="1004"/>
    </w:p>
    <w:p w14:paraId="1EBF6C20" w14:textId="77777777" w:rsidR="005F4A7E" w:rsidRPr="002029AF" w:rsidRDefault="005F4A7E" w:rsidP="00087B91">
      <w:pPr>
        <w:pStyle w:val="Heading5"/>
      </w:pPr>
      <w:bookmarkStart w:id="1005" w:name="_Toc85121517"/>
      <w:r>
        <w:rPr>
          <w:lang w:eastAsia="en-AU"/>
        </w:rPr>
        <w:lastRenderedPageBreak/>
        <w:t>8.1.2 Financial Instruments: net holding gain/(loss) on financial instruments by category</w:t>
      </w:r>
      <w:bookmarkEnd w:id="1005"/>
    </w:p>
    <w:tbl>
      <w:tblPr>
        <w:tblStyle w:val="TableGrid"/>
        <w:tblW w:w="9639" w:type="dxa"/>
        <w:tblLayout w:type="fixed"/>
        <w:tblLook w:val="06A0" w:firstRow="1" w:lastRow="0" w:firstColumn="1" w:lastColumn="0" w:noHBand="1" w:noVBand="1"/>
      </w:tblPr>
      <w:tblGrid>
        <w:gridCol w:w="6804"/>
        <w:gridCol w:w="1701"/>
        <w:gridCol w:w="1134"/>
      </w:tblGrid>
      <w:tr w:rsidR="005F4A7E" w:rsidRPr="002029AF" w14:paraId="57C642E8"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6804" w:type="dxa"/>
            <w:hideMark/>
          </w:tcPr>
          <w:p w14:paraId="30A3DC12" w14:textId="77777777" w:rsidR="005F4A7E" w:rsidRPr="002029AF" w:rsidRDefault="005F4A7E" w:rsidP="00860E95">
            <w:pPr>
              <w:pStyle w:val="ARfintablecolhead"/>
            </w:pPr>
          </w:p>
        </w:tc>
        <w:tc>
          <w:tcPr>
            <w:tcW w:w="1701" w:type="dxa"/>
            <w:hideMark/>
          </w:tcPr>
          <w:p w14:paraId="193E6D37" w14:textId="77777777" w:rsidR="005F4A7E" w:rsidRPr="002029AF" w:rsidRDefault="005F4A7E" w:rsidP="00860E95">
            <w:pPr>
              <w:pStyle w:val="ARfintablecolheadright"/>
            </w:pPr>
            <w:r w:rsidRPr="002029AF">
              <w:t>Total interest income/</w:t>
            </w:r>
            <w:r>
              <w:br/>
            </w:r>
            <w:r w:rsidRPr="002029AF">
              <w:t>(expense)</w:t>
            </w:r>
          </w:p>
          <w:p w14:paraId="0AF0A62F" w14:textId="77777777" w:rsidR="005F4A7E" w:rsidRPr="002029AF" w:rsidRDefault="005F4A7E" w:rsidP="00860E95">
            <w:pPr>
              <w:pStyle w:val="ARfintablecolheadright"/>
            </w:pPr>
            <w:r w:rsidRPr="002029AF">
              <w:t>$M</w:t>
            </w:r>
          </w:p>
        </w:tc>
        <w:tc>
          <w:tcPr>
            <w:tcW w:w="1134" w:type="dxa"/>
            <w:hideMark/>
          </w:tcPr>
          <w:p w14:paraId="4D240C53" w14:textId="77777777" w:rsidR="005F4A7E" w:rsidRPr="002029AF" w:rsidRDefault="005F4A7E" w:rsidP="00860E95">
            <w:pPr>
              <w:pStyle w:val="ARfintablecolheadright"/>
            </w:pPr>
            <w:r w:rsidRPr="002029AF">
              <w:t>Total</w:t>
            </w:r>
          </w:p>
          <w:p w14:paraId="7AF9AF47" w14:textId="77777777" w:rsidR="005F4A7E" w:rsidRPr="002029AF" w:rsidRDefault="005F4A7E" w:rsidP="00860E95">
            <w:pPr>
              <w:pStyle w:val="ARfintablecolheadright"/>
            </w:pPr>
            <w:r w:rsidRPr="002029AF">
              <w:t>$M</w:t>
            </w:r>
          </w:p>
        </w:tc>
      </w:tr>
      <w:tr w:rsidR="005F4A7E" w:rsidRPr="002029AF" w14:paraId="18128273" w14:textId="77777777" w:rsidTr="00860E95">
        <w:tc>
          <w:tcPr>
            <w:tcW w:w="9639" w:type="dxa"/>
            <w:gridSpan w:val="3"/>
            <w:tcBorders>
              <w:bottom w:val="single" w:sz="4" w:space="0" w:color="auto"/>
            </w:tcBorders>
            <w:hideMark/>
          </w:tcPr>
          <w:p w14:paraId="6C01B1E5" w14:textId="77777777" w:rsidR="005F4A7E" w:rsidRPr="002029AF" w:rsidRDefault="005F4A7E" w:rsidP="00130D1C">
            <w:pPr>
              <w:pStyle w:val="ARfintablebodybold"/>
            </w:pPr>
            <w:r w:rsidRPr="00445879">
              <w:t>2021</w:t>
            </w:r>
          </w:p>
        </w:tc>
      </w:tr>
      <w:tr w:rsidR="005F4A7E" w:rsidRPr="002029AF" w14:paraId="752BF1B2" w14:textId="77777777" w:rsidTr="00860E95">
        <w:tc>
          <w:tcPr>
            <w:tcW w:w="9639" w:type="dxa"/>
            <w:gridSpan w:val="3"/>
            <w:tcBorders>
              <w:top w:val="single" w:sz="4" w:space="0" w:color="auto"/>
              <w:bottom w:val="single" w:sz="4" w:space="0" w:color="A6A6A6"/>
            </w:tcBorders>
            <w:hideMark/>
          </w:tcPr>
          <w:p w14:paraId="19232AC1" w14:textId="77777777" w:rsidR="005F4A7E" w:rsidRPr="002029AF" w:rsidRDefault="005F4A7E" w:rsidP="00130D1C">
            <w:pPr>
              <w:pStyle w:val="ARfintablebodybold"/>
            </w:pPr>
            <w:r w:rsidRPr="00445879">
              <w:t>Contractual financial assets</w:t>
            </w:r>
          </w:p>
        </w:tc>
      </w:tr>
      <w:tr w:rsidR="005F4A7E" w:rsidRPr="002029AF" w14:paraId="16A68634" w14:textId="77777777" w:rsidTr="00860E95">
        <w:tc>
          <w:tcPr>
            <w:tcW w:w="6804" w:type="dxa"/>
            <w:tcBorders>
              <w:top w:val="single" w:sz="4" w:space="0" w:color="A6A6A6"/>
              <w:bottom w:val="single" w:sz="4" w:space="0" w:color="A6A6A6"/>
            </w:tcBorders>
            <w:hideMark/>
          </w:tcPr>
          <w:p w14:paraId="31E433B9" w14:textId="77777777" w:rsidR="005F4A7E" w:rsidRPr="002029AF" w:rsidRDefault="005F4A7E" w:rsidP="00130D1C">
            <w:pPr>
              <w:pStyle w:val="ARfintablebody"/>
            </w:pPr>
            <w:r w:rsidRPr="00445879">
              <w:t>Cash and deposits</w:t>
            </w:r>
          </w:p>
        </w:tc>
        <w:tc>
          <w:tcPr>
            <w:tcW w:w="1701" w:type="dxa"/>
            <w:tcBorders>
              <w:top w:val="single" w:sz="4" w:space="0" w:color="A6A6A6"/>
              <w:bottom w:val="single" w:sz="4" w:space="0" w:color="A6A6A6"/>
            </w:tcBorders>
            <w:noWrap/>
            <w:hideMark/>
          </w:tcPr>
          <w:p w14:paraId="1AA11601" w14:textId="77777777" w:rsidR="005F4A7E" w:rsidRPr="002029AF" w:rsidRDefault="005F4A7E" w:rsidP="00130D1C">
            <w:pPr>
              <w:pStyle w:val="ARfintablebodyright"/>
            </w:pPr>
            <w:r w:rsidRPr="00445879">
              <w:t>–</w:t>
            </w:r>
          </w:p>
        </w:tc>
        <w:tc>
          <w:tcPr>
            <w:tcW w:w="1134" w:type="dxa"/>
            <w:tcBorders>
              <w:top w:val="single" w:sz="4" w:space="0" w:color="A6A6A6"/>
              <w:bottom w:val="single" w:sz="4" w:space="0" w:color="A6A6A6"/>
            </w:tcBorders>
            <w:noWrap/>
            <w:hideMark/>
          </w:tcPr>
          <w:p w14:paraId="30D5D704" w14:textId="77777777" w:rsidR="005F4A7E" w:rsidRPr="002029AF" w:rsidRDefault="005F4A7E" w:rsidP="00130D1C">
            <w:pPr>
              <w:pStyle w:val="ARfintablebodyright"/>
            </w:pPr>
            <w:r w:rsidRPr="00445879">
              <w:t>–</w:t>
            </w:r>
          </w:p>
        </w:tc>
      </w:tr>
      <w:tr w:rsidR="005F4A7E" w:rsidRPr="002029AF" w14:paraId="4C93CB14" w14:textId="77777777" w:rsidTr="00860E95">
        <w:tc>
          <w:tcPr>
            <w:tcW w:w="6804" w:type="dxa"/>
            <w:tcBorders>
              <w:top w:val="single" w:sz="4" w:space="0" w:color="A6A6A6"/>
              <w:bottom w:val="single" w:sz="4" w:space="0" w:color="A6A6A6"/>
            </w:tcBorders>
            <w:hideMark/>
          </w:tcPr>
          <w:p w14:paraId="0D7732E3" w14:textId="77777777" w:rsidR="005F4A7E" w:rsidRPr="002029AF" w:rsidRDefault="005F4A7E" w:rsidP="00130D1C">
            <w:pPr>
              <w:pStyle w:val="ARfintablebody"/>
            </w:pPr>
            <w:r w:rsidRPr="00445879">
              <w:t xml:space="preserve">Receivables </w:t>
            </w:r>
            <w:r w:rsidRPr="007B47FA">
              <w:rPr>
                <w:rStyle w:val="Superscript"/>
              </w:rPr>
              <w:t>(i)</w:t>
            </w:r>
          </w:p>
        </w:tc>
        <w:tc>
          <w:tcPr>
            <w:tcW w:w="1701" w:type="dxa"/>
            <w:tcBorders>
              <w:top w:val="single" w:sz="4" w:space="0" w:color="A6A6A6"/>
              <w:bottom w:val="single" w:sz="4" w:space="0" w:color="A6A6A6"/>
            </w:tcBorders>
            <w:noWrap/>
            <w:hideMark/>
          </w:tcPr>
          <w:p w14:paraId="30E7F892" w14:textId="77777777" w:rsidR="005F4A7E" w:rsidRPr="002029AF" w:rsidRDefault="005F4A7E" w:rsidP="00130D1C">
            <w:pPr>
              <w:pStyle w:val="ARfintablebodyright"/>
            </w:pPr>
            <w:r w:rsidRPr="00445879">
              <w:t>–</w:t>
            </w:r>
          </w:p>
        </w:tc>
        <w:tc>
          <w:tcPr>
            <w:tcW w:w="1134" w:type="dxa"/>
            <w:tcBorders>
              <w:top w:val="single" w:sz="4" w:space="0" w:color="A6A6A6"/>
              <w:bottom w:val="single" w:sz="4" w:space="0" w:color="A6A6A6"/>
            </w:tcBorders>
            <w:noWrap/>
            <w:hideMark/>
          </w:tcPr>
          <w:p w14:paraId="4E37C52A" w14:textId="77777777" w:rsidR="005F4A7E" w:rsidRPr="002029AF" w:rsidRDefault="005F4A7E" w:rsidP="00130D1C">
            <w:pPr>
              <w:pStyle w:val="ARfintablebodyright"/>
            </w:pPr>
            <w:r w:rsidRPr="00445879">
              <w:t>–</w:t>
            </w:r>
          </w:p>
        </w:tc>
      </w:tr>
      <w:tr w:rsidR="005F4A7E" w:rsidRPr="002029AF" w14:paraId="7ABB976C" w14:textId="77777777" w:rsidTr="00860E95">
        <w:tc>
          <w:tcPr>
            <w:tcW w:w="6804" w:type="dxa"/>
            <w:tcBorders>
              <w:top w:val="single" w:sz="4" w:space="0" w:color="A6A6A6"/>
              <w:bottom w:val="single" w:sz="4" w:space="0" w:color="A6A6A6"/>
            </w:tcBorders>
            <w:hideMark/>
          </w:tcPr>
          <w:p w14:paraId="5CE28A8B" w14:textId="77777777" w:rsidR="005F4A7E" w:rsidRPr="002029AF" w:rsidRDefault="005F4A7E" w:rsidP="00130D1C">
            <w:pPr>
              <w:pStyle w:val="ARfintablebody"/>
            </w:pPr>
            <w:r w:rsidRPr="00445879">
              <w:t>Loans</w:t>
            </w:r>
          </w:p>
        </w:tc>
        <w:tc>
          <w:tcPr>
            <w:tcW w:w="1701" w:type="dxa"/>
            <w:tcBorders>
              <w:top w:val="single" w:sz="4" w:space="0" w:color="A6A6A6"/>
              <w:bottom w:val="single" w:sz="4" w:space="0" w:color="A6A6A6"/>
            </w:tcBorders>
            <w:noWrap/>
            <w:hideMark/>
          </w:tcPr>
          <w:p w14:paraId="79E9CCE3" w14:textId="77777777" w:rsidR="005F4A7E" w:rsidRPr="002029AF" w:rsidRDefault="005F4A7E" w:rsidP="00130D1C">
            <w:pPr>
              <w:pStyle w:val="ARfintablebodyright"/>
            </w:pPr>
            <w:r w:rsidRPr="00445879">
              <w:t>0.4</w:t>
            </w:r>
          </w:p>
        </w:tc>
        <w:tc>
          <w:tcPr>
            <w:tcW w:w="1134" w:type="dxa"/>
            <w:tcBorders>
              <w:top w:val="single" w:sz="4" w:space="0" w:color="A6A6A6"/>
              <w:bottom w:val="single" w:sz="4" w:space="0" w:color="A6A6A6"/>
            </w:tcBorders>
            <w:noWrap/>
            <w:hideMark/>
          </w:tcPr>
          <w:p w14:paraId="19660ADE" w14:textId="77777777" w:rsidR="005F4A7E" w:rsidRPr="002029AF" w:rsidRDefault="005F4A7E" w:rsidP="00130D1C">
            <w:pPr>
              <w:pStyle w:val="ARfintablebodyright"/>
            </w:pPr>
            <w:r w:rsidRPr="00445879">
              <w:t>0.4</w:t>
            </w:r>
          </w:p>
        </w:tc>
      </w:tr>
      <w:tr w:rsidR="005F4A7E" w:rsidRPr="002029AF" w14:paraId="106E8D53" w14:textId="77777777" w:rsidTr="00860E95">
        <w:tc>
          <w:tcPr>
            <w:tcW w:w="6804" w:type="dxa"/>
            <w:tcBorders>
              <w:top w:val="single" w:sz="4" w:space="0" w:color="A6A6A6"/>
            </w:tcBorders>
            <w:hideMark/>
          </w:tcPr>
          <w:p w14:paraId="09AD13F5" w14:textId="77777777" w:rsidR="005F4A7E" w:rsidRPr="002029AF" w:rsidRDefault="005F4A7E" w:rsidP="00130D1C">
            <w:pPr>
              <w:pStyle w:val="ARfintablebody"/>
            </w:pPr>
            <w:r w:rsidRPr="00445879">
              <w:t>Short-term investments – term deposits</w:t>
            </w:r>
          </w:p>
        </w:tc>
        <w:tc>
          <w:tcPr>
            <w:tcW w:w="1701" w:type="dxa"/>
            <w:tcBorders>
              <w:top w:val="single" w:sz="4" w:space="0" w:color="A6A6A6"/>
            </w:tcBorders>
            <w:noWrap/>
            <w:hideMark/>
          </w:tcPr>
          <w:p w14:paraId="4FE34C16" w14:textId="77777777" w:rsidR="005F4A7E" w:rsidRPr="002029AF" w:rsidRDefault="005F4A7E" w:rsidP="00130D1C">
            <w:pPr>
              <w:pStyle w:val="ARfintablebodyright"/>
            </w:pPr>
            <w:r w:rsidRPr="00445879">
              <w:t>2.1</w:t>
            </w:r>
          </w:p>
        </w:tc>
        <w:tc>
          <w:tcPr>
            <w:tcW w:w="1134" w:type="dxa"/>
            <w:tcBorders>
              <w:top w:val="single" w:sz="4" w:space="0" w:color="A6A6A6"/>
            </w:tcBorders>
            <w:noWrap/>
            <w:hideMark/>
          </w:tcPr>
          <w:p w14:paraId="5DEAB6AA" w14:textId="77777777" w:rsidR="005F4A7E" w:rsidRPr="002029AF" w:rsidRDefault="005F4A7E" w:rsidP="00130D1C">
            <w:pPr>
              <w:pStyle w:val="ARfintablebodyright"/>
            </w:pPr>
            <w:r w:rsidRPr="00445879">
              <w:t>2.1</w:t>
            </w:r>
          </w:p>
        </w:tc>
      </w:tr>
      <w:tr w:rsidR="005F4A7E" w:rsidRPr="002029AF" w14:paraId="664DC201" w14:textId="77777777" w:rsidTr="00860E95">
        <w:tc>
          <w:tcPr>
            <w:tcW w:w="6804" w:type="dxa"/>
            <w:tcBorders>
              <w:bottom w:val="single" w:sz="4" w:space="0" w:color="auto"/>
            </w:tcBorders>
            <w:hideMark/>
          </w:tcPr>
          <w:p w14:paraId="7C305C66" w14:textId="77777777" w:rsidR="005F4A7E" w:rsidRPr="002029AF" w:rsidRDefault="005F4A7E" w:rsidP="00130D1C">
            <w:pPr>
              <w:pStyle w:val="ARfintablebodybold"/>
            </w:pPr>
            <w:r w:rsidRPr="00445879">
              <w:t>Total contractual financial assets</w:t>
            </w:r>
          </w:p>
        </w:tc>
        <w:tc>
          <w:tcPr>
            <w:tcW w:w="1701" w:type="dxa"/>
            <w:tcBorders>
              <w:bottom w:val="single" w:sz="4" w:space="0" w:color="auto"/>
            </w:tcBorders>
            <w:noWrap/>
            <w:hideMark/>
          </w:tcPr>
          <w:p w14:paraId="6655BE8C" w14:textId="77777777" w:rsidR="005F4A7E" w:rsidRPr="002029AF" w:rsidRDefault="005F4A7E" w:rsidP="00130D1C">
            <w:pPr>
              <w:pStyle w:val="ARfintablebodyrightbold"/>
            </w:pPr>
            <w:r w:rsidRPr="00445879">
              <w:t>2.5</w:t>
            </w:r>
          </w:p>
        </w:tc>
        <w:tc>
          <w:tcPr>
            <w:tcW w:w="1134" w:type="dxa"/>
            <w:tcBorders>
              <w:bottom w:val="single" w:sz="4" w:space="0" w:color="auto"/>
            </w:tcBorders>
            <w:noWrap/>
            <w:hideMark/>
          </w:tcPr>
          <w:p w14:paraId="027BE6B1" w14:textId="77777777" w:rsidR="005F4A7E" w:rsidRPr="002029AF" w:rsidRDefault="005F4A7E" w:rsidP="00130D1C">
            <w:pPr>
              <w:pStyle w:val="ARfintablebodyrightbold"/>
            </w:pPr>
            <w:r w:rsidRPr="00445879">
              <w:t>2.5</w:t>
            </w:r>
          </w:p>
        </w:tc>
      </w:tr>
      <w:tr w:rsidR="005F4A7E" w:rsidRPr="002029AF" w14:paraId="5AAF908A" w14:textId="77777777" w:rsidTr="00860E95">
        <w:tc>
          <w:tcPr>
            <w:tcW w:w="9639" w:type="dxa"/>
            <w:gridSpan w:val="3"/>
            <w:tcBorders>
              <w:top w:val="single" w:sz="4" w:space="0" w:color="auto"/>
              <w:bottom w:val="single" w:sz="4" w:space="0" w:color="A6A6A6"/>
            </w:tcBorders>
            <w:hideMark/>
          </w:tcPr>
          <w:p w14:paraId="501898ED" w14:textId="77777777" w:rsidR="005F4A7E" w:rsidRPr="002029AF" w:rsidRDefault="005F4A7E" w:rsidP="00130D1C">
            <w:pPr>
              <w:pStyle w:val="ARfintablebodybold"/>
            </w:pPr>
            <w:r w:rsidRPr="00445879">
              <w:t>Contractual financial liabilities</w:t>
            </w:r>
          </w:p>
        </w:tc>
      </w:tr>
      <w:tr w:rsidR="005F4A7E" w:rsidRPr="002029AF" w14:paraId="27C4B512" w14:textId="77777777" w:rsidTr="00860E95">
        <w:tc>
          <w:tcPr>
            <w:tcW w:w="6804" w:type="dxa"/>
            <w:tcBorders>
              <w:top w:val="single" w:sz="4" w:space="0" w:color="A6A6A6"/>
              <w:bottom w:val="single" w:sz="4" w:space="0" w:color="A6A6A6"/>
            </w:tcBorders>
            <w:hideMark/>
          </w:tcPr>
          <w:p w14:paraId="1C48F32C" w14:textId="77777777" w:rsidR="005F4A7E" w:rsidRPr="002029AF" w:rsidRDefault="005F4A7E" w:rsidP="00130D1C">
            <w:pPr>
              <w:pStyle w:val="ARfintablebody"/>
            </w:pPr>
            <w:r w:rsidRPr="00445879">
              <w:t xml:space="preserve">Payables </w:t>
            </w:r>
            <w:r w:rsidRPr="007B47FA">
              <w:rPr>
                <w:rStyle w:val="Superscript"/>
              </w:rPr>
              <w:t>(i)</w:t>
            </w:r>
          </w:p>
        </w:tc>
        <w:tc>
          <w:tcPr>
            <w:tcW w:w="1701" w:type="dxa"/>
            <w:tcBorders>
              <w:top w:val="single" w:sz="4" w:space="0" w:color="A6A6A6"/>
              <w:bottom w:val="single" w:sz="4" w:space="0" w:color="A6A6A6"/>
            </w:tcBorders>
            <w:noWrap/>
            <w:hideMark/>
          </w:tcPr>
          <w:p w14:paraId="35A5AE2F" w14:textId="77777777" w:rsidR="005F4A7E" w:rsidRPr="002029AF" w:rsidRDefault="005F4A7E" w:rsidP="00130D1C">
            <w:pPr>
              <w:pStyle w:val="ARfintablebodyright"/>
            </w:pPr>
            <w:r w:rsidRPr="00445879">
              <w:t>–</w:t>
            </w:r>
          </w:p>
        </w:tc>
        <w:tc>
          <w:tcPr>
            <w:tcW w:w="1134" w:type="dxa"/>
            <w:tcBorders>
              <w:top w:val="single" w:sz="4" w:space="0" w:color="A6A6A6"/>
              <w:bottom w:val="single" w:sz="4" w:space="0" w:color="A6A6A6"/>
            </w:tcBorders>
            <w:noWrap/>
            <w:hideMark/>
          </w:tcPr>
          <w:p w14:paraId="30181AB1" w14:textId="77777777" w:rsidR="005F4A7E" w:rsidRPr="002029AF" w:rsidRDefault="005F4A7E" w:rsidP="00130D1C">
            <w:pPr>
              <w:pStyle w:val="ARfintablebodyright"/>
            </w:pPr>
            <w:r w:rsidRPr="00445879">
              <w:t>–</w:t>
            </w:r>
          </w:p>
        </w:tc>
      </w:tr>
      <w:tr w:rsidR="005F4A7E" w:rsidRPr="002029AF" w14:paraId="7349EEEA" w14:textId="77777777" w:rsidTr="00860E95">
        <w:tc>
          <w:tcPr>
            <w:tcW w:w="6804" w:type="dxa"/>
            <w:tcBorders>
              <w:top w:val="single" w:sz="4" w:space="0" w:color="A6A6A6"/>
            </w:tcBorders>
            <w:hideMark/>
          </w:tcPr>
          <w:p w14:paraId="406332EE" w14:textId="77777777" w:rsidR="005F4A7E" w:rsidRPr="002029AF" w:rsidRDefault="005F4A7E" w:rsidP="00130D1C">
            <w:pPr>
              <w:pStyle w:val="ARfintablebody"/>
            </w:pPr>
            <w:r w:rsidRPr="00445879">
              <w:t>Borrowings</w:t>
            </w:r>
          </w:p>
        </w:tc>
        <w:tc>
          <w:tcPr>
            <w:tcW w:w="1701" w:type="dxa"/>
            <w:tcBorders>
              <w:top w:val="single" w:sz="4" w:space="0" w:color="A6A6A6"/>
            </w:tcBorders>
            <w:noWrap/>
            <w:hideMark/>
          </w:tcPr>
          <w:p w14:paraId="38A5A190" w14:textId="77777777" w:rsidR="005F4A7E" w:rsidRPr="002029AF" w:rsidRDefault="005F4A7E" w:rsidP="00130D1C">
            <w:pPr>
              <w:pStyle w:val="ARfintablebodyright"/>
            </w:pPr>
            <w:r w:rsidRPr="00445879">
              <w:t>(4.0)</w:t>
            </w:r>
          </w:p>
        </w:tc>
        <w:tc>
          <w:tcPr>
            <w:tcW w:w="1134" w:type="dxa"/>
            <w:tcBorders>
              <w:top w:val="single" w:sz="4" w:space="0" w:color="A6A6A6"/>
            </w:tcBorders>
            <w:noWrap/>
            <w:hideMark/>
          </w:tcPr>
          <w:p w14:paraId="4533E7A1" w14:textId="77777777" w:rsidR="005F4A7E" w:rsidRPr="002029AF" w:rsidRDefault="005F4A7E" w:rsidP="00130D1C">
            <w:pPr>
              <w:pStyle w:val="ARfintablebodyright"/>
            </w:pPr>
            <w:r w:rsidRPr="00445879">
              <w:t>(4.0)</w:t>
            </w:r>
          </w:p>
        </w:tc>
      </w:tr>
      <w:tr w:rsidR="005F4A7E" w:rsidRPr="002029AF" w14:paraId="5C68B728" w14:textId="77777777" w:rsidTr="00860E95">
        <w:tc>
          <w:tcPr>
            <w:tcW w:w="6804" w:type="dxa"/>
            <w:hideMark/>
          </w:tcPr>
          <w:p w14:paraId="765F88A1" w14:textId="77777777" w:rsidR="005F4A7E" w:rsidRPr="002029AF" w:rsidRDefault="005F4A7E" w:rsidP="00130D1C">
            <w:pPr>
              <w:pStyle w:val="ARfintablebodybold"/>
            </w:pPr>
            <w:r w:rsidRPr="00445879">
              <w:t>Total contractual financial liabilities</w:t>
            </w:r>
          </w:p>
        </w:tc>
        <w:tc>
          <w:tcPr>
            <w:tcW w:w="1701" w:type="dxa"/>
            <w:noWrap/>
            <w:hideMark/>
          </w:tcPr>
          <w:p w14:paraId="4A0991FB" w14:textId="77777777" w:rsidR="005F4A7E" w:rsidRPr="002029AF" w:rsidRDefault="005F4A7E" w:rsidP="00130D1C">
            <w:pPr>
              <w:pStyle w:val="ARfintablebodyrightbold"/>
            </w:pPr>
            <w:r w:rsidRPr="00445879">
              <w:t>(4.0)</w:t>
            </w:r>
          </w:p>
        </w:tc>
        <w:tc>
          <w:tcPr>
            <w:tcW w:w="1134" w:type="dxa"/>
            <w:noWrap/>
            <w:hideMark/>
          </w:tcPr>
          <w:p w14:paraId="6C323002" w14:textId="77777777" w:rsidR="005F4A7E" w:rsidRPr="002029AF" w:rsidRDefault="005F4A7E" w:rsidP="00130D1C">
            <w:pPr>
              <w:pStyle w:val="ARfintablebodyrightbold"/>
            </w:pPr>
            <w:r w:rsidRPr="00445879">
              <w:t>(4.0)</w:t>
            </w:r>
          </w:p>
        </w:tc>
      </w:tr>
      <w:tr w:rsidR="005F4A7E" w:rsidRPr="002029AF" w14:paraId="27F67FE7" w14:textId="77777777" w:rsidTr="00860E95">
        <w:tc>
          <w:tcPr>
            <w:tcW w:w="9639" w:type="dxa"/>
            <w:gridSpan w:val="3"/>
            <w:tcBorders>
              <w:bottom w:val="single" w:sz="4" w:space="0" w:color="auto"/>
            </w:tcBorders>
            <w:hideMark/>
          </w:tcPr>
          <w:p w14:paraId="3847723E" w14:textId="77777777" w:rsidR="005F4A7E" w:rsidRPr="002029AF" w:rsidRDefault="005F4A7E" w:rsidP="00130D1C">
            <w:pPr>
              <w:pStyle w:val="ARfintablebodybold"/>
            </w:pPr>
            <w:r w:rsidRPr="00445879">
              <w:t>2020</w:t>
            </w:r>
          </w:p>
        </w:tc>
      </w:tr>
      <w:tr w:rsidR="005F4A7E" w:rsidRPr="002029AF" w14:paraId="22D227FF" w14:textId="77777777" w:rsidTr="00860E95">
        <w:tc>
          <w:tcPr>
            <w:tcW w:w="9639" w:type="dxa"/>
            <w:gridSpan w:val="3"/>
            <w:tcBorders>
              <w:top w:val="single" w:sz="4" w:space="0" w:color="auto"/>
              <w:bottom w:val="single" w:sz="4" w:space="0" w:color="A6A6A6"/>
            </w:tcBorders>
            <w:hideMark/>
          </w:tcPr>
          <w:p w14:paraId="3695906B" w14:textId="77777777" w:rsidR="005F4A7E" w:rsidRPr="002029AF" w:rsidRDefault="005F4A7E" w:rsidP="00130D1C">
            <w:pPr>
              <w:pStyle w:val="ARfintablebodybold"/>
            </w:pPr>
            <w:r w:rsidRPr="00445879">
              <w:t>Contractual financial assets</w:t>
            </w:r>
          </w:p>
        </w:tc>
      </w:tr>
      <w:tr w:rsidR="005F4A7E" w:rsidRPr="002029AF" w14:paraId="2E446143" w14:textId="77777777" w:rsidTr="00860E95">
        <w:tc>
          <w:tcPr>
            <w:tcW w:w="6804" w:type="dxa"/>
            <w:tcBorders>
              <w:top w:val="single" w:sz="4" w:space="0" w:color="A6A6A6"/>
              <w:bottom w:val="single" w:sz="4" w:space="0" w:color="A6A6A6"/>
            </w:tcBorders>
            <w:hideMark/>
          </w:tcPr>
          <w:p w14:paraId="73553448" w14:textId="77777777" w:rsidR="005F4A7E" w:rsidRPr="002029AF" w:rsidRDefault="005F4A7E" w:rsidP="00130D1C">
            <w:pPr>
              <w:pStyle w:val="ARfintablebody"/>
            </w:pPr>
            <w:r w:rsidRPr="00445879">
              <w:t>Cash and deposits</w:t>
            </w:r>
          </w:p>
        </w:tc>
        <w:tc>
          <w:tcPr>
            <w:tcW w:w="1701" w:type="dxa"/>
            <w:tcBorders>
              <w:top w:val="single" w:sz="4" w:space="0" w:color="A6A6A6"/>
              <w:bottom w:val="single" w:sz="4" w:space="0" w:color="A6A6A6"/>
            </w:tcBorders>
            <w:noWrap/>
            <w:hideMark/>
          </w:tcPr>
          <w:p w14:paraId="26C39569" w14:textId="77777777" w:rsidR="005F4A7E" w:rsidRPr="002029AF" w:rsidRDefault="005F4A7E" w:rsidP="00130D1C">
            <w:pPr>
              <w:pStyle w:val="ARfintablebodyright"/>
            </w:pPr>
            <w:r w:rsidRPr="00445879">
              <w:t>–</w:t>
            </w:r>
          </w:p>
        </w:tc>
        <w:tc>
          <w:tcPr>
            <w:tcW w:w="1134" w:type="dxa"/>
            <w:tcBorders>
              <w:top w:val="single" w:sz="4" w:space="0" w:color="A6A6A6"/>
              <w:bottom w:val="single" w:sz="4" w:space="0" w:color="A6A6A6"/>
            </w:tcBorders>
            <w:noWrap/>
            <w:hideMark/>
          </w:tcPr>
          <w:p w14:paraId="38479C4F" w14:textId="77777777" w:rsidR="005F4A7E" w:rsidRPr="002029AF" w:rsidRDefault="005F4A7E" w:rsidP="00130D1C">
            <w:pPr>
              <w:pStyle w:val="ARfintablebodyright"/>
            </w:pPr>
            <w:r w:rsidRPr="00445879">
              <w:t>–</w:t>
            </w:r>
          </w:p>
        </w:tc>
      </w:tr>
      <w:tr w:rsidR="005F4A7E" w:rsidRPr="002029AF" w14:paraId="4F34619C" w14:textId="77777777" w:rsidTr="00860E95">
        <w:tc>
          <w:tcPr>
            <w:tcW w:w="6804" w:type="dxa"/>
            <w:tcBorders>
              <w:top w:val="single" w:sz="4" w:space="0" w:color="A6A6A6"/>
              <w:bottom w:val="single" w:sz="4" w:space="0" w:color="A6A6A6"/>
            </w:tcBorders>
            <w:hideMark/>
          </w:tcPr>
          <w:p w14:paraId="105403A9" w14:textId="77777777" w:rsidR="005F4A7E" w:rsidRPr="002029AF" w:rsidRDefault="005F4A7E" w:rsidP="00130D1C">
            <w:pPr>
              <w:pStyle w:val="ARfintablebody"/>
            </w:pPr>
            <w:r w:rsidRPr="00445879">
              <w:t xml:space="preserve">Receivables </w:t>
            </w:r>
            <w:r w:rsidRPr="007B47FA">
              <w:rPr>
                <w:rStyle w:val="Superscript"/>
              </w:rPr>
              <w:t>(i)</w:t>
            </w:r>
          </w:p>
        </w:tc>
        <w:tc>
          <w:tcPr>
            <w:tcW w:w="1701" w:type="dxa"/>
            <w:tcBorders>
              <w:top w:val="single" w:sz="4" w:space="0" w:color="A6A6A6"/>
              <w:bottom w:val="single" w:sz="4" w:space="0" w:color="A6A6A6"/>
            </w:tcBorders>
            <w:noWrap/>
            <w:hideMark/>
          </w:tcPr>
          <w:p w14:paraId="021D2657" w14:textId="77777777" w:rsidR="005F4A7E" w:rsidRPr="002029AF" w:rsidRDefault="005F4A7E" w:rsidP="00130D1C">
            <w:pPr>
              <w:pStyle w:val="ARfintablebodyright"/>
            </w:pPr>
            <w:r w:rsidRPr="00445879">
              <w:t>–</w:t>
            </w:r>
          </w:p>
        </w:tc>
        <w:tc>
          <w:tcPr>
            <w:tcW w:w="1134" w:type="dxa"/>
            <w:tcBorders>
              <w:top w:val="single" w:sz="4" w:space="0" w:color="A6A6A6"/>
              <w:bottom w:val="single" w:sz="4" w:space="0" w:color="A6A6A6"/>
            </w:tcBorders>
            <w:noWrap/>
            <w:hideMark/>
          </w:tcPr>
          <w:p w14:paraId="33549712" w14:textId="77777777" w:rsidR="005F4A7E" w:rsidRPr="002029AF" w:rsidRDefault="005F4A7E" w:rsidP="00130D1C">
            <w:pPr>
              <w:pStyle w:val="ARfintablebodyright"/>
            </w:pPr>
            <w:r w:rsidRPr="00445879">
              <w:t>–</w:t>
            </w:r>
          </w:p>
        </w:tc>
      </w:tr>
      <w:tr w:rsidR="005F4A7E" w:rsidRPr="002029AF" w14:paraId="0A7822BB" w14:textId="77777777" w:rsidTr="00860E95">
        <w:tc>
          <w:tcPr>
            <w:tcW w:w="6804" w:type="dxa"/>
            <w:tcBorders>
              <w:top w:val="single" w:sz="4" w:space="0" w:color="A6A6A6"/>
              <w:bottom w:val="single" w:sz="4" w:space="0" w:color="A6A6A6"/>
            </w:tcBorders>
            <w:hideMark/>
          </w:tcPr>
          <w:p w14:paraId="279186DF" w14:textId="77777777" w:rsidR="005F4A7E" w:rsidRPr="002029AF" w:rsidRDefault="005F4A7E" w:rsidP="00130D1C">
            <w:pPr>
              <w:pStyle w:val="ARfintablebody"/>
            </w:pPr>
            <w:r w:rsidRPr="00445879">
              <w:t>Loans</w:t>
            </w:r>
          </w:p>
        </w:tc>
        <w:tc>
          <w:tcPr>
            <w:tcW w:w="1701" w:type="dxa"/>
            <w:tcBorders>
              <w:top w:val="single" w:sz="4" w:space="0" w:color="A6A6A6"/>
              <w:bottom w:val="single" w:sz="4" w:space="0" w:color="A6A6A6"/>
            </w:tcBorders>
            <w:noWrap/>
            <w:hideMark/>
          </w:tcPr>
          <w:p w14:paraId="14EFF3C1" w14:textId="77777777" w:rsidR="005F4A7E" w:rsidRPr="002029AF" w:rsidRDefault="005F4A7E" w:rsidP="00130D1C">
            <w:pPr>
              <w:pStyle w:val="ARfintablebodyright"/>
            </w:pPr>
            <w:r w:rsidRPr="00445879">
              <w:t>0.5</w:t>
            </w:r>
          </w:p>
        </w:tc>
        <w:tc>
          <w:tcPr>
            <w:tcW w:w="1134" w:type="dxa"/>
            <w:tcBorders>
              <w:top w:val="single" w:sz="4" w:space="0" w:color="A6A6A6"/>
              <w:bottom w:val="single" w:sz="4" w:space="0" w:color="A6A6A6"/>
            </w:tcBorders>
            <w:noWrap/>
            <w:hideMark/>
          </w:tcPr>
          <w:p w14:paraId="5466E550" w14:textId="77777777" w:rsidR="005F4A7E" w:rsidRPr="002029AF" w:rsidRDefault="005F4A7E" w:rsidP="00130D1C">
            <w:pPr>
              <w:pStyle w:val="ARfintablebodyright"/>
            </w:pPr>
            <w:r w:rsidRPr="00445879">
              <w:t>0.5</w:t>
            </w:r>
          </w:p>
        </w:tc>
      </w:tr>
      <w:tr w:rsidR="005F4A7E" w:rsidRPr="002029AF" w14:paraId="54CDE163" w14:textId="77777777" w:rsidTr="00860E95">
        <w:tc>
          <w:tcPr>
            <w:tcW w:w="6804" w:type="dxa"/>
            <w:tcBorders>
              <w:top w:val="single" w:sz="4" w:space="0" w:color="A6A6A6"/>
            </w:tcBorders>
            <w:hideMark/>
          </w:tcPr>
          <w:p w14:paraId="3DD90C4B" w14:textId="77777777" w:rsidR="005F4A7E" w:rsidRPr="002029AF" w:rsidRDefault="005F4A7E" w:rsidP="00130D1C">
            <w:pPr>
              <w:pStyle w:val="ARfintablebody"/>
            </w:pPr>
            <w:r w:rsidRPr="00445879">
              <w:t>Short-term investments – term deposits</w:t>
            </w:r>
          </w:p>
        </w:tc>
        <w:tc>
          <w:tcPr>
            <w:tcW w:w="1701" w:type="dxa"/>
            <w:tcBorders>
              <w:top w:val="single" w:sz="4" w:space="0" w:color="A6A6A6"/>
            </w:tcBorders>
            <w:noWrap/>
            <w:hideMark/>
          </w:tcPr>
          <w:p w14:paraId="4AB9611A" w14:textId="77777777" w:rsidR="005F4A7E" w:rsidRPr="002029AF" w:rsidRDefault="005F4A7E" w:rsidP="00130D1C">
            <w:pPr>
              <w:pStyle w:val="ARfintablebodyright"/>
            </w:pPr>
            <w:r w:rsidRPr="00445879">
              <w:t>6.4</w:t>
            </w:r>
          </w:p>
        </w:tc>
        <w:tc>
          <w:tcPr>
            <w:tcW w:w="1134" w:type="dxa"/>
            <w:tcBorders>
              <w:top w:val="single" w:sz="4" w:space="0" w:color="A6A6A6"/>
            </w:tcBorders>
            <w:noWrap/>
            <w:hideMark/>
          </w:tcPr>
          <w:p w14:paraId="44CF03B4" w14:textId="77777777" w:rsidR="005F4A7E" w:rsidRPr="002029AF" w:rsidRDefault="005F4A7E" w:rsidP="00130D1C">
            <w:pPr>
              <w:pStyle w:val="ARfintablebodyright"/>
            </w:pPr>
            <w:r w:rsidRPr="00445879">
              <w:t>6.4</w:t>
            </w:r>
          </w:p>
        </w:tc>
      </w:tr>
      <w:tr w:rsidR="005F4A7E" w:rsidRPr="002029AF" w14:paraId="146DE033" w14:textId="77777777" w:rsidTr="00860E95">
        <w:tc>
          <w:tcPr>
            <w:tcW w:w="6804" w:type="dxa"/>
            <w:tcBorders>
              <w:bottom w:val="single" w:sz="4" w:space="0" w:color="auto"/>
            </w:tcBorders>
            <w:hideMark/>
          </w:tcPr>
          <w:p w14:paraId="794C7A5D" w14:textId="77777777" w:rsidR="005F4A7E" w:rsidRPr="002029AF" w:rsidRDefault="005F4A7E" w:rsidP="00130D1C">
            <w:pPr>
              <w:pStyle w:val="ARfintablebodybold"/>
            </w:pPr>
            <w:r w:rsidRPr="00445879">
              <w:t>Total contractual financial assets</w:t>
            </w:r>
          </w:p>
        </w:tc>
        <w:tc>
          <w:tcPr>
            <w:tcW w:w="1701" w:type="dxa"/>
            <w:tcBorders>
              <w:bottom w:val="single" w:sz="4" w:space="0" w:color="auto"/>
            </w:tcBorders>
            <w:noWrap/>
            <w:hideMark/>
          </w:tcPr>
          <w:p w14:paraId="05FF351B" w14:textId="77777777" w:rsidR="005F4A7E" w:rsidRPr="002029AF" w:rsidRDefault="005F4A7E" w:rsidP="00130D1C">
            <w:pPr>
              <w:pStyle w:val="ARfintablebodyrightbold"/>
            </w:pPr>
            <w:r w:rsidRPr="00445879">
              <w:t>6.9</w:t>
            </w:r>
          </w:p>
        </w:tc>
        <w:tc>
          <w:tcPr>
            <w:tcW w:w="1134" w:type="dxa"/>
            <w:tcBorders>
              <w:bottom w:val="single" w:sz="4" w:space="0" w:color="auto"/>
            </w:tcBorders>
            <w:noWrap/>
            <w:hideMark/>
          </w:tcPr>
          <w:p w14:paraId="2AA4EEE7" w14:textId="77777777" w:rsidR="005F4A7E" w:rsidRPr="002029AF" w:rsidRDefault="005F4A7E" w:rsidP="00130D1C">
            <w:pPr>
              <w:pStyle w:val="ARfintablebodyrightbold"/>
            </w:pPr>
            <w:r w:rsidRPr="00445879">
              <w:t>6.9</w:t>
            </w:r>
          </w:p>
        </w:tc>
      </w:tr>
      <w:tr w:rsidR="005F4A7E" w:rsidRPr="002029AF" w14:paraId="3EA195FC" w14:textId="77777777" w:rsidTr="00860E95">
        <w:tc>
          <w:tcPr>
            <w:tcW w:w="9639" w:type="dxa"/>
            <w:gridSpan w:val="3"/>
            <w:tcBorders>
              <w:top w:val="single" w:sz="4" w:space="0" w:color="auto"/>
              <w:bottom w:val="single" w:sz="4" w:space="0" w:color="A6A6A6"/>
            </w:tcBorders>
            <w:hideMark/>
          </w:tcPr>
          <w:p w14:paraId="563EB48E" w14:textId="77777777" w:rsidR="005F4A7E" w:rsidRPr="002029AF" w:rsidRDefault="005F4A7E" w:rsidP="00130D1C">
            <w:pPr>
              <w:pStyle w:val="ARfintablebodybold"/>
            </w:pPr>
            <w:r w:rsidRPr="00445879">
              <w:t>Contractual financial liabilities</w:t>
            </w:r>
          </w:p>
        </w:tc>
      </w:tr>
      <w:tr w:rsidR="005F4A7E" w:rsidRPr="002029AF" w14:paraId="13DB043D" w14:textId="77777777" w:rsidTr="00860E95">
        <w:tc>
          <w:tcPr>
            <w:tcW w:w="6804" w:type="dxa"/>
            <w:tcBorders>
              <w:top w:val="single" w:sz="4" w:space="0" w:color="A6A6A6"/>
              <w:bottom w:val="single" w:sz="4" w:space="0" w:color="A6A6A6"/>
            </w:tcBorders>
            <w:hideMark/>
          </w:tcPr>
          <w:p w14:paraId="5803BBB0" w14:textId="77777777" w:rsidR="005F4A7E" w:rsidRPr="002029AF" w:rsidRDefault="005F4A7E" w:rsidP="00130D1C">
            <w:pPr>
              <w:pStyle w:val="ARfintablebody"/>
            </w:pPr>
            <w:r w:rsidRPr="00445879">
              <w:t xml:space="preserve">Payables </w:t>
            </w:r>
            <w:r w:rsidRPr="007B47FA">
              <w:rPr>
                <w:rStyle w:val="Superscript"/>
              </w:rPr>
              <w:t>(i)</w:t>
            </w:r>
          </w:p>
        </w:tc>
        <w:tc>
          <w:tcPr>
            <w:tcW w:w="1701" w:type="dxa"/>
            <w:tcBorders>
              <w:top w:val="single" w:sz="4" w:space="0" w:color="A6A6A6"/>
              <w:bottom w:val="single" w:sz="4" w:space="0" w:color="A6A6A6"/>
            </w:tcBorders>
            <w:noWrap/>
            <w:hideMark/>
          </w:tcPr>
          <w:p w14:paraId="2244324B" w14:textId="77777777" w:rsidR="005F4A7E" w:rsidRPr="002029AF" w:rsidRDefault="005F4A7E" w:rsidP="00130D1C">
            <w:pPr>
              <w:pStyle w:val="ARfintablebodyright"/>
            </w:pPr>
            <w:r w:rsidRPr="00445879">
              <w:t>–</w:t>
            </w:r>
          </w:p>
        </w:tc>
        <w:tc>
          <w:tcPr>
            <w:tcW w:w="1134" w:type="dxa"/>
            <w:tcBorders>
              <w:top w:val="single" w:sz="4" w:space="0" w:color="A6A6A6"/>
              <w:bottom w:val="single" w:sz="4" w:space="0" w:color="A6A6A6"/>
            </w:tcBorders>
            <w:noWrap/>
            <w:hideMark/>
          </w:tcPr>
          <w:p w14:paraId="2D4A3B8B" w14:textId="77777777" w:rsidR="005F4A7E" w:rsidRPr="002029AF" w:rsidRDefault="005F4A7E" w:rsidP="00130D1C">
            <w:pPr>
              <w:pStyle w:val="ARfintablebodyright"/>
            </w:pPr>
            <w:r w:rsidRPr="00445879">
              <w:t>–</w:t>
            </w:r>
          </w:p>
        </w:tc>
      </w:tr>
      <w:tr w:rsidR="005F4A7E" w:rsidRPr="002029AF" w14:paraId="384B075F" w14:textId="77777777" w:rsidTr="00860E95">
        <w:tc>
          <w:tcPr>
            <w:tcW w:w="6804" w:type="dxa"/>
            <w:tcBorders>
              <w:top w:val="single" w:sz="4" w:space="0" w:color="A6A6A6"/>
            </w:tcBorders>
            <w:hideMark/>
          </w:tcPr>
          <w:p w14:paraId="543E493D" w14:textId="77777777" w:rsidR="005F4A7E" w:rsidRPr="002029AF" w:rsidRDefault="005F4A7E" w:rsidP="00130D1C">
            <w:pPr>
              <w:pStyle w:val="ARfintablebody"/>
            </w:pPr>
            <w:r w:rsidRPr="00445879">
              <w:t>Borrowings</w:t>
            </w:r>
          </w:p>
        </w:tc>
        <w:tc>
          <w:tcPr>
            <w:tcW w:w="1701" w:type="dxa"/>
            <w:tcBorders>
              <w:top w:val="single" w:sz="4" w:space="0" w:color="A6A6A6"/>
            </w:tcBorders>
            <w:noWrap/>
            <w:hideMark/>
          </w:tcPr>
          <w:p w14:paraId="748C8206" w14:textId="77777777" w:rsidR="005F4A7E" w:rsidRPr="002029AF" w:rsidRDefault="005F4A7E" w:rsidP="00130D1C">
            <w:pPr>
              <w:pStyle w:val="ARfintablebodyright"/>
            </w:pPr>
            <w:r w:rsidRPr="00445879">
              <w:t>(7.0)</w:t>
            </w:r>
          </w:p>
        </w:tc>
        <w:tc>
          <w:tcPr>
            <w:tcW w:w="1134" w:type="dxa"/>
            <w:tcBorders>
              <w:top w:val="single" w:sz="4" w:space="0" w:color="A6A6A6"/>
            </w:tcBorders>
            <w:noWrap/>
            <w:hideMark/>
          </w:tcPr>
          <w:p w14:paraId="4D650A5A" w14:textId="77777777" w:rsidR="005F4A7E" w:rsidRPr="002029AF" w:rsidRDefault="005F4A7E" w:rsidP="00130D1C">
            <w:pPr>
              <w:pStyle w:val="ARfintablebodyright"/>
            </w:pPr>
            <w:r w:rsidRPr="00445879">
              <w:t>(7.0)</w:t>
            </w:r>
          </w:p>
        </w:tc>
      </w:tr>
      <w:tr w:rsidR="005F4A7E" w:rsidRPr="002029AF" w14:paraId="0D8EE89C" w14:textId="77777777" w:rsidTr="00860E95">
        <w:tc>
          <w:tcPr>
            <w:tcW w:w="6804" w:type="dxa"/>
            <w:hideMark/>
          </w:tcPr>
          <w:p w14:paraId="316697D6" w14:textId="77777777" w:rsidR="005F4A7E" w:rsidRPr="002029AF" w:rsidRDefault="005F4A7E" w:rsidP="00130D1C">
            <w:pPr>
              <w:pStyle w:val="ARfintablebodybold"/>
            </w:pPr>
            <w:r w:rsidRPr="00445879">
              <w:t>Total contractual financial liabilities</w:t>
            </w:r>
          </w:p>
        </w:tc>
        <w:tc>
          <w:tcPr>
            <w:tcW w:w="1701" w:type="dxa"/>
            <w:noWrap/>
            <w:hideMark/>
          </w:tcPr>
          <w:p w14:paraId="47DBBBCB" w14:textId="77777777" w:rsidR="005F4A7E" w:rsidRPr="002029AF" w:rsidRDefault="005F4A7E" w:rsidP="00130D1C">
            <w:pPr>
              <w:pStyle w:val="ARfintablebodyrightbold"/>
            </w:pPr>
            <w:r w:rsidRPr="00445879">
              <w:t>(7.0)</w:t>
            </w:r>
          </w:p>
        </w:tc>
        <w:tc>
          <w:tcPr>
            <w:tcW w:w="1134" w:type="dxa"/>
            <w:noWrap/>
            <w:hideMark/>
          </w:tcPr>
          <w:p w14:paraId="53C0266C" w14:textId="77777777" w:rsidR="005F4A7E" w:rsidRPr="002029AF" w:rsidRDefault="005F4A7E" w:rsidP="00130D1C">
            <w:pPr>
              <w:pStyle w:val="ARfintablebodyrightbold"/>
            </w:pPr>
            <w:r w:rsidRPr="00445879">
              <w:t>(7.0)</w:t>
            </w:r>
          </w:p>
        </w:tc>
      </w:tr>
    </w:tbl>
    <w:p w14:paraId="3E7E6750" w14:textId="77777777" w:rsidR="005F4A7E" w:rsidRDefault="005F4A7E" w:rsidP="00130D1C">
      <w:pPr>
        <w:pStyle w:val="ARfintablefootnote"/>
      </w:pPr>
      <w:r>
        <w:t>Note:</w:t>
      </w:r>
    </w:p>
    <w:p w14:paraId="124E3C36" w14:textId="77777777" w:rsidR="005F4A7E" w:rsidRDefault="005F4A7E" w:rsidP="00130D1C">
      <w:pPr>
        <w:pStyle w:val="ARfintablefootnoteindent"/>
      </w:pPr>
      <w:r>
        <w:t>(i)</w:t>
      </w:r>
      <w:r>
        <w:tab/>
        <w:t>The total amounts disclosed here exclude statutory amounts, for example, amounts owing to/from Victorian Government and GST input tax credit recoverable and taxes payable.</w:t>
      </w:r>
    </w:p>
    <w:p w14:paraId="5E68966B" w14:textId="77777777" w:rsidR="005F4A7E" w:rsidRDefault="005F4A7E" w:rsidP="00130D1C">
      <w:pPr>
        <w:pStyle w:val="ARfinbodyaftertable"/>
      </w:pPr>
      <w:r>
        <w:t>The net holding gains or losses disclosed above are determined as follows:</w:t>
      </w:r>
    </w:p>
    <w:p w14:paraId="6D5F668D" w14:textId="77777777" w:rsidR="005F4A7E" w:rsidRDefault="005F4A7E" w:rsidP="005F4A7E">
      <w:pPr>
        <w:pStyle w:val="ARfinbullet1"/>
        <w:numPr>
          <w:ilvl w:val="0"/>
          <w:numId w:val="2"/>
        </w:numPr>
      </w:pPr>
      <w:r>
        <w:t>for cash and cash equivalents, loans and receivables, the net gain or loss is calculated by taking the movement in the fair value of the asset, the interest income, and minus any impairment recognised in the net result</w:t>
      </w:r>
    </w:p>
    <w:p w14:paraId="7FEE2DB3" w14:textId="77777777" w:rsidR="005F4A7E" w:rsidRDefault="005F4A7E" w:rsidP="005F4A7E">
      <w:pPr>
        <w:pStyle w:val="ARfinbullet1"/>
        <w:numPr>
          <w:ilvl w:val="0"/>
          <w:numId w:val="2"/>
        </w:numPr>
      </w:pPr>
      <w:r>
        <w:t>for financial liabilities measured at amortised cost, the net gain or loss is the interest expense.</w:t>
      </w:r>
    </w:p>
    <w:p w14:paraId="6F5C1D3E" w14:textId="77777777" w:rsidR="005F4A7E" w:rsidRPr="002029AF" w:rsidRDefault="005F4A7E" w:rsidP="00087B91">
      <w:pPr>
        <w:pStyle w:val="Heading5"/>
        <w:rPr>
          <w:lang w:eastAsia="en-AU"/>
        </w:rPr>
      </w:pPr>
      <w:bookmarkStart w:id="1006" w:name="_Toc85121518"/>
      <w:r>
        <w:rPr>
          <w:lang w:eastAsia="en-AU"/>
        </w:rPr>
        <w:t>8.1.3 Financial risk management objectives and policies</w:t>
      </w:r>
      <w:bookmarkEnd w:id="1006"/>
    </w:p>
    <w:p w14:paraId="3BDABF0C" w14:textId="77777777" w:rsidR="005F4A7E" w:rsidRPr="002029AF" w:rsidRDefault="005F4A7E" w:rsidP="00130D1C">
      <w:pPr>
        <w:pStyle w:val="ARfinbodyaftertable"/>
      </w:pPr>
      <w:r>
        <w:rPr>
          <w:noProof/>
          <w:lang w:bidi="as-IN"/>
        </w:rPr>
        <w:drawing>
          <wp:inline distT="0" distB="0" distL="0" distR="0" wp14:anchorId="042CBF95" wp14:editId="43F7E614">
            <wp:extent cx="3676870" cy="1297719"/>
            <wp:effectExtent l="0" t="0" r="0" b="0"/>
            <wp:docPr id="90" name="Picture 90" descr="Financial risks, which include Credit risk, Liquidity risk and Market risk, which includes Interest rate ri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inancial risks, which include Credit risk, Liquidity risk and Market risk, which includes Interest rate risk. "/>
                    <pic:cNvPicPr/>
                  </pic:nvPicPr>
                  <pic:blipFill>
                    <a:blip r:embed="rId139">
                      <a:extLst>
                        <a:ext uri="{28A0092B-C50C-407E-A947-70E740481C1C}">
                          <a14:useLocalDpi xmlns:a14="http://schemas.microsoft.com/office/drawing/2010/main" val="0"/>
                        </a:ext>
                        <a:ext uri="{96DAC541-7B7A-43D3-8B79-37D633B846F1}">
                          <asvg:svgBlip xmlns:asvg="http://schemas.microsoft.com/office/drawing/2016/SVG/main" r:embed="rId140"/>
                        </a:ext>
                      </a:extLst>
                    </a:blip>
                    <a:stretch>
                      <a:fillRect/>
                    </a:stretch>
                  </pic:blipFill>
                  <pic:spPr>
                    <a:xfrm>
                      <a:off x="0" y="0"/>
                      <a:ext cx="3676870" cy="1297719"/>
                    </a:xfrm>
                    <a:prstGeom prst="rect">
                      <a:avLst/>
                    </a:prstGeom>
                  </pic:spPr>
                </pic:pic>
              </a:graphicData>
            </a:graphic>
          </wp:inline>
        </w:drawing>
      </w:r>
    </w:p>
    <w:p w14:paraId="51DFFC03" w14:textId="15608A60" w:rsidR="005F4A7E" w:rsidRDefault="005F4A7E" w:rsidP="00130D1C">
      <w:pPr>
        <w:pStyle w:val="ARfinbodyaftertable"/>
      </w:pPr>
      <w:r>
        <w:t>As a whole, the department</w:t>
      </w:r>
      <w:r w:rsidR="007D145B">
        <w:t>’</w:t>
      </w:r>
      <w:r>
        <w:t>s financial risk management program seeks to manage these risks and the associated volatility of its financial performance.</w:t>
      </w:r>
    </w:p>
    <w:p w14:paraId="18D3D1F7" w14:textId="77777777" w:rsidR="005F4A7E" w:rsidRDefault="005F4A7E" w:rsidP="00130D1C">
      <w:pPr>
        <w:pStyle w:val="ARfinbody"/>
      </w:pPr>
      <w:r>
        <w:t>Details of the significant accounting policies and methods adopted, including the criteria for recognition, the basis of measurement and the basis on which income and expenses are recognised, with respect to each class of financial asset and financial liability, are disclosed in Note 8.3.1.</w:t>
      </w:r>
    </w:p>
    <w:p w14:paraId="112AA02A" w14:textId="7E65008B" w:rsidR="005F4A7E" w:rsidRDefault="005F4A7E" w:rsidP="00130D1C">
      <w:pPr>
        <w:pStyle w:val="ARfinbody"/>
      </w:pPr>
      <w:r>
        <w:t>The main purpose in holding financial instruments is to prudentially manage the department</w:t>
      </w:r>
      <w:r w:rsidR="007D145B">
        <w:t>’</w:t>
      </w:r>
      <w:r>
        <w:t>s financial risks within the government policy parameters.</w:t>
      </w:r>
    </w:p>
    <w:p w14:paraId="2B4F1DE9" w14:textId="4B19BEA2" w:rsidR="005F4A7E" w:rsidRDefault="005F4A7E" w:rsidP="00130D1C">
      <w:pPr>
        <w:pStyle w:val="ARfinbody"/>
      </w:pPr>
      <w:r>
        <w:lastRenderedPageBreak/>
        <w:t>The department</w:t>
      </w:r>
      <w:r w:rsidR="007D145B">
        <w:t>’</w:t>
      </w:r>
      <w:r>
        <w:t>s main financial risks include credit risk, liquidity risk and interest rate risk. The department manages these financial risks in accordance with its financial risk management policy.</w:t>
      </w:r>
    </w:p>
    <w:p w14:paraId="153B4565" w14:textId="77777777" w:rsidR="005F4A7E" w:rsidRDefault="005F4A7E" w:rsidP="00130D1C">
      <w:pPr>
        <w:pStyle w:val="ARfinbody"/>
      </w:pPr>
      <w:r>
        <w:t>The department uses different methods to measure and manage the different risks to which it is exposed. Primary responsibility for the identification and management of financial risks rests with the accountable officer of the department.</w:t>
      </w:r>
    </w:p>
    <w:p w14:paraId="1DE1EDB0" w14:textId="77777777" w:rsidR="005F4A7E" w:rsidRDefault="005F4A7E" w:rsidP="00130D1C">
      <w:pPr>
        <w:pStyle w:val="Heading6"/>
      </w:pPr>
      <w:bookmarkStart w:id="1007" w:name="_Toc85121519"/>
      <w:r>
        <w:rPr>
          <w:lang w:val="en-US"/>
        </w:rPr>
        <w:t xml:space="preserve">8.1.3.1 </w:t>
      </w:r>
      <w:r>
        <w:t>Financial instruments: credit risk</w:t>
      </w:r>
      <w:bookmarkEnd w:id="1007"/>
    </w:p>
    <w:p w14:paraId="7F68430A" w14:textId="3419CEE6" w:rsidR="005F4A7E" w:rsidRDefault="005F4A7E" w:rsidP="00130D1C">
      <w:pPr>
        <w:pStyle w:val="ARfinbody"/>
      </w:pPr>
      <w:r>
        <w:t>Credit risk refers to the possibility that a borrower will default on its financial obligations as and when they fall due. The department</w:t>
      </w:r>
      <w:r w:rsidR="007D145B">
        <w:t>’</w:t>
      </w:r>
      <w:r>
        <w:t>s exposure to credit risk arises from the potential default of a counter party on their contractual obligations resulting in financial loss to the department. Credit risk is measured at fair value and is monitored on a regular basis.</w:t>
      </w:r>
    </w:p>
    <w:p w14:paraId="5DE0C91F" w14:textId="5E5EBA52" w:rsidR="005F4A7E" w:rsidRDefault="005F4A7E" w:rsidP="00130D1C">
      <w:pPr>
        <w:pStyle w:val="ARfinbody"/>
      </w:pPr>
      <w:r>
        <w:t>Credit risk associated with the department</w:t>
      </w:r>
      <w:r w:rsidR="007D145B">
        <w:t>’</w:t>
      </w:r>
      <w:r>
        <w:t>s contractual financial assets is minimal because the main debtor is the Victorian Government. For debtors other than the Victorian Government and home loan recipients, it is the department</w:t>
      </w:r>
      <w:r w:rsidR="007D145B">
        <w:t>’</w:t>
      </w:r>
      <w:r>
        <w:t>s policy to only deal with entities with high credit ratings of a minimum triple-B rating and to obtain sufficient collateral or credit enhancements, where appropriate.</w:t>
      </w:r>
    </w:p>
    <w:p w14:paraId="13909915" w14:textId="00D95D3C" w:rsidR="005F4A7E" w:rsidRDefault="005F4A7E" w:rsidP="00130D1C">
      <w:pPr>
        <w:pStyle w:val="ARfinbody"/>
      </w:pPr>
      <w:r>
        <w:t>In addition, the department does not engage in hedging for its contractual financial assets and mainly obtains contractual financial assets that are on fixed interest, except for cash and deposits, which are mainly cash at bank. As with the policy for debtors, the department</w:t>
      </w:r>
      <w:r w:rsidR="007D145B">
        <w:t>’</w:t>
      </w:r>
      <w:r>
        <w:t>s policy is to only deal with banks with high credit ratings.</w:t>
      </w:r>
    </w:p>
    <w:p w14:paraId="2D4D86E8" w14:textId="77777777" w:rsidR="005F4A7E" w:rsidRDefault="005F4A7E" w:rsidP="00130D1C">
      <w:pPr>
        <w:pStyle w:val="ARfinbody"/>
      </w:pPr>
      <w:r>
        <w:t>Provision of impairment for financial assets is calculated based on past experience, and current and expected changes in client credit ratings, or based on the assumptions about risk of default and expected credit loss rates. Tenant loans are made up of small amounts therefore the likelihood of default is considered immaterial.</w:t>
      </w:r>
    </w:p>
    <w:p w14:paraId="123D48AD" w14:textId="77777777" w:rsidR="005F4A7E" w:rsidRDefault="005F4A7E" w:rsidP="00130D1C">
      <w:pPr>
        <w:pStyle w:val="ARfinbody"/>
      </w:pPr>
      <w:r>
        <w:t>Contract financial assets are written off against the carrying amount when there is no reasonable expectation of recovery. Bad debt written off by mutual consent is classified as a transaction expense. Bad debt written off following a unilateral decision is recognised as other economic flows in the net result.</w:t>
      </w:r>
    </w:p>
    <w:p w14:paraId="5419D8E2" w14:textId="32B1142C" w:rsidR="005F4A7E" w:rsidRDefault="005F4A7E" w:rsidP="00130D1C">
      <w:pPr>
        <w:pStyle w:val="ARfinbody"/>
      </w:pPr>
      <w:r>
        <w:t>Except as otherwise detailed in the following table, the carrying amount of contractual financial assets recorded in the financial report statements, net of any allowances for losses, represents the department</w:t>
      </w:r>
      <w:r w:rsidR="007D145B">
        <w:t>’</w:t>
      </w:r>
      <w:r>
        <w:t>s maximum exposure to credit risk without taking account of the value of any collateral obtained.</w:t>
      </w:r>
    </w:p>
    <w:p w14:paraId="7EA22D3D" w14:textId="4632DF64" w:rsidR="005F4A7E" w:rsidRDefault="005F4A7E" w:rsidP="00130D1C">
      <w:pPr>
        <w:pStyle w:val="ARfinbody"/>
      </w:pPr>
      <w:r>
        <w:t>There has been no material change to the department</w:t>
      </w:r>
      <w:r w:rsidR="007D145B">
        <w:t>’</w:t>
      </w:r>
      <w:r>
        <w:t>s credit risk profile in 2020–21.</w:t>
      </w:r>
    </w:p>
    <w:p w14:paraId="2EAE86E1" w14:textId="77777777" w:rsidR="005F4A7E" w:rsidRDefault="005F4A7E" w:rsidP="00130D1C">
      <w:pPr>
        <w:pStyle w:val="Heading7"/>
      </w:pPr>
      <w:bookmarkStart w:id="1008" w:name="_Toc85121520"/>
      <w:r>
        <w:t>Credit quality of contractual financial assets</w:t>
      </w:r>
      <w:bookmarkEnd w:id="1008"/>
    </w:p>
    <w:tbl>
      <w:tblPr>
        <w:tblStyle w:val="TableGrid"/>
        <w:tblW w:w="9639" w:type="dxa"/>
        <w:tblLayout w:type="fixed"/>
        <w:tblLook w:val="06A0" w:firstRow="1" w:lastRow="0" w:firstColumn="1" w:lastColumn="0" w:noHBand="1" w:noVBand="1"/>
      </w:tblPr>
      <w:tblGrid>
        <w:gridCol w:w="2550"/>
        <w:gridCol w:w="1417"/>
        <w:gridCol w:w="1418"/>
        <w:gridCol w:w="1418"/>
        <w:gridCol w:w="1418"/>
        <w:gridCol w:w="1418"/>
      </w:tblGrid>
      <w:tr w:rsidR="005F4A7E" w:rsidRPr="002029AF" w14:paraId="27BF4686"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2550" w:type="dxa"/>
            <w:hideMark/>
          </w:tcPr>
          <w:p w14:paraId="78793A2E" w14:textId="77777777" w:rsidR="005F4A7E" w:rsidRPr="002029AF" w:rsidRDefault="005F4A7E" w:rsidP="00130D1C">
            <w:pPr>
              <w:pStyle w:val="ARfintablecolhead"/>
              <w:spacing w:before="30"/>
            </w:pPr>
          </w:p>
        </w:tc>
        <w:tc>
          <w:tcPr>
            <w:tcW w:w="1417" w:type="dxa"/>
            <w:hideMark/>
          </w:tcPr>
          <w:p w14:paraId="5DB9EBBF" w14:textId="77777777" w:rsidR="005F4A7E" w:rsidRDefault="005F4A7E" w:rsidP="00130D1C">
            <w:pPr>
              <w:pStyle w:val="ARfintablecolheadright"/>
              <w:spacing w:before="30"/>
            </w:pPr>
            <w:r w:rsidRPr="002029AF">
              <w:t>Financial institutions double-A credit rating</w:t>
            </w:r>
          </w:p>
          <w:p w14:paraId="4095F419" w14:textId="77777777" w:rsidR="005F4A7E" w:rsidRPr="002029AF" w:rsidRDefault="005F4A7E" w:rsidP="00130D1C">
            <w:pPr>
              <w:pStyle w:val="ARfintablecolheadright"/>
              <w:spacing w:before="30"/>
            </w:pPr>
            <w:r w:rsidRPr="002029AF">
              <w:t>Total</w:t>
            </w:r>
          </w:p>
          <w:p w14:paraId="53C24AA2" w14:textId="77777777" w:rsidR="005F4A7E" w:rsidRPr="002029AF" w:rsidRDefault="005F4A7E" w:rsidP="00130D1C">
            <w:pPr>
              <w:pStyle w:val="ARfintablecolheadright"/>
              <w:spacing w:before="30"/>
            </w:pPr>
            <w:r w:rsidRPr="002029AF">
              <w:t>$M</w:t>
            </w:r>
          </w:p>
        </w:tc>
        <w:tc>
          <w:tcPr>
            <w:tcW w:w="1418" w:type="dxa"/>
            <w:hideMark/>
          </w:tcPr>
          <w:p w14:paraId="5FB603BD" w14:textId="77777777" w:rsidR="005F4A7E" w:rsidRDefault="005F4A7E" w:rsidP="00130D1C">
            <w:pPr>
              <w:pStyle w:val="ARfintablecolheadright"/>
              <w:spacing w:before="30"/>
            </w:pPr>
            <w:r w:rsidRPr="002029AF">
              <w:t xml:space="preserve">Government agencies triple-A </w:t>
            </w:r>
            <w:r>
              <w:br/>
            </w:r>
            <w:r w:rsidRPr="002029AF">
              <w:t>credit rating</w:t>
            </w:r>
          </w:p>
          <w:p w14:paraId="64BA5029" w14:textId="77777777" w:rsidR="005F4A7E" w:rsidRPr="002029AF" w:rsidRDefault="005F4A7E" w:rsidP="00130D1C">
            <w:pPr>
              <w:pStyle w:val="ARfintablecolheadright"/>
              <w:spacing w:before="30"/>
            </w:pPr>
            <w:r w:rsidRPr="002029AF">
              <w:t>Total</w:t>
            </w:r>
          </w:p>
          <w:p w14:paraId="5AA22151" w14:textId="77777777" w:rsidR="005F4A7E" w:rsidRPr="002029AF" w:rsidRDefault="005F4A7E" w:rsidP="00130D1C">
            <w:pPr>
              <w:pStyle w:val="ARfintablecolheadright"/>
              <w:spacing w:before="30"/>
            </w:pPr>
            <w:r w:rsidRPr="002029AF">
              <w:t>$M</w:t>
            </w:r>
          </w:p>
        </w:tc>
        <w:tc>
          <w:tcPr>
            <w:tcW w:w="1418" w:type="dxa"/>
          </w:tcPr>
          <w:p w14:paraId="18E4F3E6" w14:textId="77777777" w:rsidR="005F4A7E" w:rsidRDefault="005F4A7E" w:rsidP="00130D1C">
            <w:pPr>
              <w:pStyle w:val="ARfintablecolheadright"/>
              <w:spacing w:before="30"/>
            </w:pPr>
            <w:r w:rsidRPr="002029AF">
              <w:t xml:space="preserve">Government agencies </w:t>
            </w:r>
            <w:r>
              <w:t>double</w:t>
            </w:r>
            <w:r w:rsidRPr="002029AF">
              <w:t>-A credit rating</w:t>
            </w:r>
          </w:p>
          <w:p w14:paraId="226D7F5F" w14:textId="77777777" w:rsidR="005F4A7E" w:rsidRPr="002029AF" w:rsidRDefault="005F4A7E" w:rsidP="00130D1C">
            <w:pPr>
              <w:pStyle w:val="ARfintablecolheadright"/>
              <w:spacing w:before="30"/>
            </w:pPr>
            <w:r w:rsidRPr="002029AF">
              <w:t>Total</w:t>
            </w:r>
            <w:r>
              <w:t xml:space="preserve"> </w:t>
            </w:r>
            <w:r w:rsidRPr="00EC4E5A">
              <w:rPr>
                <w:rStyle w:val="Superscript"/>
              </w:rPr>
              <w:t>(i)</w:t>
            </w:r>
          </w:p>
          <w:p w14:paraId="5DBC178E" w14:textId="77777777" w:rsidR="005F4A7E" w:rsidRPr="002029AF" w:rsidRDefault="005F4A7E" w:rsidP="00130D1C">
            <w:pPr>
              <w:pStyle w:val="ARfintablecolheadright"/>
              <w:spacing w:before="30"/>
            </w:pPr>
            <w:r w:rsidRPr="002029AF">
              <w:t>$M</w:t>
            </w:r>
          </w:p>
        </w:tc>
        <w:tc>
          <w:tcPr>
            <w:tcW w:w="1418" w:type="dxa"/>
            <w:hideMark/>
          </w:tcPr>
          <w:p w14:paraId="13E09DB2" w14:textId="77777777" w:rsidR="005F4A7E" w:rsidRPr="002029AF" w:rsidRDefault="005F4A7E" w:rsidP="00130D1C">
            <w:pPr>
              <w:pStyle w:val="ARfintablecolheadright"/>
              <w:spacing w:before="30"/>
            </w:pPr>
            <w:r w:rsidRPr="002029AF">
              <w:t>Credit ratings not disclosed</w:t>
            </w:r>
          </w:p>
          <w:p w14:paraId="2B0E79DA" w14:textId="77777777" w:rsidR="005F4A7E" w:rsidRPr="002029AF" w:rsidRDefault="005F4A7E" w:rsidP="00130D1C">
            <w:pPr>
              <w:pStyle w:val="ARfintablecolheadright"/>
              <w:spacing w:before="30"/>
            </w:pPr>
            <w:r w:rsidRPr="002029AF">
              <w:t>$M</w:t>
            </w:r>
          </w:p>
        </w:tc>
        <w:tc>
          <w:tcPr>
            <w:tcW w:w="1418" w:type="dxa"/>
            <w:hideMark/>
          </w:tcPr>
          <w:p w14:paraId="65655EE9" w14:textId="77777777" w:rsidR="005F4A7E" w:rsidRPr="002029AF" w:rsidRDefault="005F4A7E" w:rsidP="00130D1C">
            <w:pPr>
              <w:pStyle w:val="ARfintablecolheadright"/>
              <w:spacing w:before="30"/>
            </w:pPr>
            <w:r w:rsidRPr="002029AF">
              <w:t>Total</w:t>
            </w:r>
          </w:p>
          <w:p w14:paraId="7CF6EBC1" w14:textId="77777777" w:rsidR="005F4A7E" w:rsidRPr="002029AF" w:rsidRDefault="005F4A7E" w:rsidP="00130D1C">
            <w:pPr>
              <w:pStyle w:val="ARfintablecolheadright"/>
              <w:spacing w:before="30"/>
            </w:pPr>
            <w:r w:rsidRPr="002029AF">
              <w:t>$M</w:t>
            </w:r>
          </w:p>
        </w:tc>
      </w:tr>
      <w:tr w:rsidR="005F4A7E" w:rsidRPr="002029AF" w14:paraId="7A78E356" w14:textId="77777777" w:rsidTr="00130D1C">
        <w:tc>
          <w:tcPr>
            <w:tcW w:w="9639" w:type="dxa"/>
            <w:gridSpan w:val="6"/>
            <w:tcBorders>
              <w:bottom w:val="single" w:sz="4" w:space="0" w:color="auto"/>
            </w:tcBorders>
          </w:tcPr>
          <w:p w14:paraId="70013C72" w14:textId="77777777" w:rsidR="005F4A7E" w:rsidRPr="002029AF" w:rsidRDefault="005F4A7E" w:rsidP="00130D1C">
            <w:pPr>
              <w:pStyle w:val="ARfintablebodybold"/>
              <w:spacing w:before="30" w:line="240" w:lineRule="auto"/>
            </w:pPr>
            <w:r w:rsidRPr="005B00A5">
              <w:t>2021</w:t>
            </w:r>
          </w:p>
        </w:tc>
      </w:tr>
      <w:tr w:rsidR="005F4A7E" w:rsidRPr="002029AF" w14:paraId="4D72BDD0" w14:textId="77777777" w:rsidTr="00130D1C">
        <w:tc>
          <w:tcPr>
            <w:tcW w:w="2550" w:type="dxa"/>
            <w:tcBorders>
              <w:top w:val="single" w:sz="4" w:space="0" w:color="auto"/>
              <w:bottom w:val="single" w:sz="4" w:space="0" w:color="A6A6A6"/>
            </w:tcBorders>
            <w:hideMark/>
          </w:tcPr>
          <w:p w14:paraId="0AB65940" w14:textId="77777777" w:rsidR="005F4A7E" w:rsidRPr="002029AF" w:rsidRDefault="005F4A7E" w:rsidP="00130D1C">
            <w:pPr>
              <w:pStyle w:val="ARfintablebody"/>
              <w:spacing w:before="30" w:line="240" w:lineRule="auto"/>
            </w:pPr>
            <w:r w:rsidRPr="005B00A5">
              <w:t>Cash and deposits (not assessed for impairment due</w:t>
            </w:r>
            <w:r>
              <w:t> </w:t>
            </w:r>
            <w:r w:rsidRPr="005B00A5">
              <w:t>to materiality)</w:t>
            </w:r>
          </w:p>
        </w:tc>
        <w:tc>
          <w:tcPr>
            <w:tcW w:w="1417" w:type="dxa"/>
            <w:tcBorders>
              <w:top w:val="single" w:sz="4" w:space="0" w:color="auto"/>
              <w:bottom w:val="single" w:sz="4" w:space="0" w:color="A6A6A6"/>
            </w:tcBorders>
            <w:noWrap/>
            <w:hideMark/>
          </w:tcPr>
          <w:p w14:paraId="108A9B3C" w14:textId="77777777" w:rsidR="005F4A7E" w:rsidRPr="002029AF" w:rsidRDefault="005F4A7E" w:rsidP="00130D1C">
            <w:pPr>
              <w:pStyle w:val="ARfintablebodyright"/>
              <w:spacing w:before="30" w:line="240" w:lineRule="auto"/>
            </w:pPr>
            <w:r w:rsidRPr="005B00A5">
              <w:t>743.0</w:t>
            </w:r>
          </w:p>
        </w:tc>
        <w:tc>
          <w:tcPr>
            <w:tcW w:w="1418" w:type="dxa"/>
            <w:tcBorders>
              <w:top w:val="single" w:sz="4" w:space="0" w:color="auto"/>
              <w:bottom w:val="single" w:sz="4" w:space="0" w:color="A6A6A6"/>
            </w:tcBorders>
            <w:noWrap/>
            <w:hideMark/>
          </w:tcPr>
          <w:p w14:paraId="3071FC01" w14:textId="77777777" w:rsidR="005F4A7E" w:rsidRPr="002029AF" w:rsidRDefault="005F4A7E" w:rsidP="00130D1C">
            <w:pPr>
              <w:pStyle w:val="ARfintablebodyright"/>
              <w:spacing w:before="30" w:line="240" w:lineRule="auto"/>
            </w:pPr>
            <w:r w:rsidRPr="005B00A5">
              <w:t>–</w:t>
            </w:r>
          </w:p>
        </w:tc>
        <w:tc>
          <w:tcPr>
            <w:tcW w:w="1418" w:type="dxa"/>
            <w:tcBorders>
              <w:top w:val="single" w:sz="4" w:space="0" w:color="auto"/>
              <w:bottom w:val="single" w:sz="4" w:space="0" w:color="A6A6A6"/>
            </w:tcBorders>
          </w:tcPr>
          <w:p w14:paraId="1FDD767A" w14:textId="77777777" w:rsidR="005F4A7E" w:rsidRPr="002029AF" w:rsidRDefault="005F4A7E" w:rsidP="00130D1C">
            <w:pPr>
              <w:pStyle w:val="ARfintablebodyright"/>
              <w:spacing w:before="30" w:line="240" w:lineRule="auto"/>
            </w:pPr>
            <w:r w:rsidRPr="005B00A5">
              <w:t>170.9</w:t>
            </w:r>
          </w:p>
        </w:tc>
        <w:tc>
          <w:tcPr>
            <w:tcW w:w="1418" w:type="dxa"/>
            <w:tcBorders>
              <w:top w:val="single" w:sz="4" w:space="0" w:color="auto"/>
              <w:bottom w:val="single" w:sz="4" w:space="0" w:color="A6A6A6"/>
            </w:tcBorders>
            <w:noWrap/>
            <w:hideMark/>
          </w:tcPr>
          <w:p w14:paraId="0E16DE12" w14:textId="77777777" w:rsidR="005F4A7E" w:rsidRPr="002029AF" w:rsidRDefault="005F4A7E" w:rsidP="00130D1C">
            <w:pPr>
              <w:pStyle w:val="ARfintablebodyright"/>
              <w:spacing w:before="30" w:line="240" w:lineRule="auto"/>
            </w:pPr>
            <w:r w:rsidRPr="005B00A5">
              <w:t>–</w:t>
            </w:r>
          </w:p>
        </w:tc>
        <w:tc>
          <w:tcPr>
            <w:tcW w:w="1418" w:type="dxa"/>
            <w:tcBorders>
              <w:top w:val="single" w:sz="4" w:space="0" w:color="auto"/>
              <w:bottom w:val="single" w:sz="4" w:space="0" w:color="A6A6A6"/>
            </w:tcBorders>
            <w:noWrap/>
            <w:hideMark/>
          </w:tcPr>
          <w:p w14:paraId="1E521169" w14:textId="77777777" w:rsidR="005F4A7E" w:rsidRPr="002029AF" w:rsidRDefault="005F4A7E" w:rsidP="00130D1C">
            <w:pPr>
              <w:pStyle w:val="ARfintablebodyright"/>
              <w:spacing w:before="30" w:line="240" w:lineRule="auto"/>
            </w:pPr>
            <w:r w:rsidRPr="005B00A5">
              <w:t>913.9</w:t>
            </w:r>
          </w:p>
        </w:tc>
      </w:tr>
      <w:tr w:rsidR="005F4A7E" w:rsidRPr="002029AF" w14:paraId="3D4C5462" w14:textId="77777777" w:rsidTr="00130D1C">
        <w:tc>
          <w:tcPr>
            <w:tcW w:w="2550" w:type="dxa"/>
            <w:tcBorders>
              <w:top w:val="single" w:sz="4" w:space="0" w:color="A6A6A6"/>
              <w:bottom w:val="single" w:sz="4" w:space="0" w:color="A6A6A6"/>
            </w:tcBorders>
            <w:hideMark/>
          </w:tcPr>
          <w:p w14:paraId="45E8B824" w14:textId="77777777" w:rsidR="005F4A7E" w:rsidRPr="002029AF" w:rsidRDefault="005F4A7E" w:rsidP="00130D1C">
            <w:pPr>
              <w:pStyle w:val="ARfintablebody"/>
              <w:spacing w:before="30" w:line="240" w:lineRule="auto"/>
            </w:pPr>
            <w:r w:rsidRPr="005B00A5">
              <w:t xml:space="preserve">Contractual receivables applying the simplified approach for impairment </w:t>
            </w:r>
            <w:r w:rsidRPr="00EC4E5A">
              <w:rPr>
                <w:rStyle w:val="Superscript"/>
              </w:rPr>
              <w:t>(i</w:t>
            </w:r>
            <w:r>
              <w:rPr>
                <w:rStyle w:val="Superscript"/>
              </w:rPr>
              <w:t>i</w:t>
            </w:r>
            <w:r w:rsidRPr="00EC4E5A">
              <w:rPr>
                <w:rStyle w:val="Superscript"/>
              </w:rPr>
              <w:t>)(ii</w:t>
            </w:r>
            <w:r>
              <w:rPr>
                <w:rStyle w:val="Superscript"/>
              </w:rPr>
              <w:t>i</w:t>
            </w:r>
            <w:r w:rsidRPr="00EC4E5A">
              <w:rPr>
                <w:rStyle w:val="Superscript"/>
              </w:rPr>
              <w:t>)</w:t>
            </w:r>
          </w:p>
        </w:tc>
        <w:tc>
          <w:tcPr>
            <w:tcW w:w="1417" w:type="dxa"/>
            <w:tcBorders>
              <w:top w:val="single" w:sz="4" w:space="0" w:color="A6A6A6"/>
              <w:bottom w:val="single" w:sz="4" w:space="0" w:color="A6A6A6"/>
            </w:tcBorders>
            <w:noWrap/>
            <w:hideMark/>
          </w:tcPr>
          <w:p w14:paraId="0BED2648" w14:textId="77777777" w:rsidR="005F4A7E" w:rsidRPr="002029AF" w:rsidRDefault="005F4A7E" w:rsidP="00130D1C">
            <w:pPr>
              <w:pStyle w:val="ARfintablebodyright"/>
              <w:spacing w:before="30" w:line="240" w:lineRule="auto"/>
            </w:pPr>
            <w:r w:rsidRPr="005B00A5">
              <w:t>–</w:t>
            </w:r>
          </w:p>
        </w:tc>
        <w:tc>
          <w:tcPr>
            <w:tcW w:w="1418" w:type="dxa"/>
            <w:tcBorders>
              <w:top w:val="single" w:sz="4" w:space="0" w:color="A6A6A6"/>
              <w:bottom w:val="single" w:sz="4" w:space="0" w:color="A6A6A6"/>
            </w:tcBorders>
            <w:noWrap/>
            <w:hideMark/>
          </w:tcPr>
          <w:p w14:paraId="23E24C88" w14:textId="77777777" w:rsidR="005F4A7E" w:rsidRPr="002029AF" w:rsidRDefault="005F4A7E" w:rsidP="00130D1C">
            <w:pPr>
              <w:pStyle w:val="ARfintablebodyright"/>
              <w:spacing w:before="30" w:line="240" w:lineRule="auto"/>
            </w:pPr>
            <w:r w:rsidRPr="005B00A5">
              <w:t>–</w:t>
            </w:r>
          </w:p>
        </w:tc>
        <w:tc>
          <w:tcPr>
            <w:tcW w:w="1418" w:type="dxa"/>
            <w:tcBorders>
              <w:top w:val="single" w:sz="4" w:space="0" w:color="A6A6A6"/>
              <w:bottom w:val="single" w:sz="4" w:space="0" w:color="A6A6A6"/>
            </w:tcBorders>
          </w:tcPr>
          <w:p w14:paraId="3B9ED5F9" w14:textId="77777777" w:rsidR="005F4A7E" w:rsidRPr="002029AF" w:rsidRDefault="005F4A7E" w:rsidP="00130D1C">
            <w:pPr>
              <w:pStyle w:val="ARfintablebodyright"/>
              <w:spacing w:before="30" w:line="240" w:lineRule="auto"/>
            </w:pPr>
            <w:r w:rsidRPr="005B00A5">
              <w:t>251.8</w:t>
            </w:r>
          </w:p>
        </w:tc>
        <w:tc>
          <w:tcPr>
            <w:tcW w:w="1418" w:type="dxa"/>
            <w:tcBorders>
              <w:top w:val="single" w:sz="4" w:space="0" w:color="A6A6A6"/>
              <w:bottom w:val="single" w:sz="4" w:space="0" w:color="A6A6A6"/>
            </w:tcBorders>
            <w:noWrap/>
            <w:hideMark/>
          </w:tcPr>
          <w:p w14:paraId="57837FC2" w14:textId="77777777" w:rsidR="005F4A7E" w:rsidRPr="002029AF" w:rsidRDefault="005F4A7E" w:rsidP="00130D1C">
            <w:pPr>
              <w:pStyle w:val="ARfintablebodyright"/>
              <w:spacing w:before="30" w:line="240" w:lineRule="auto"/>
            </w:pPr>
            <w:r w:rsidRPr="005B00A5">
              <w:t>90.1</w:t>
            </w:r>
          </w:p>
        </w:tc>
        <w:tc>
          <w:tcPr>
            <w:tcW w:w="1418" w:type="dxa"/>
            <w:tcBorders>
              <w:top w:val="single" w:sz="4" w:space="0" w:color="A6A6A6"/>
              <w:bottom w:val="single" w:sz="4" w:space="0" w:color="A6A6A6"/>
            </w:tcBorders>
            <w:noWrap/>
            <w:hideMark/>
          </w:tcPr>
          <w:p w14:paraId="6AC90832" w14:textId="77777777" w:rsidR="005F4A7E" w:rsidRPr="002029AF" w:rsidRDefault="005F4A7E" w:rsidP="00130D1C">
            <w:pPr>
              <w:pStyle w:val="ARfintablebodyright"/>
              <w:spacing w:before="30" w:line="240" w:lineRule="auto"/>
            </w:pPr>
            <w:r w:rsidRPr="005B00A5">
              <w:t>341.9</w:t>
            </w:r>
          </w:p>
        </w:tc>
      </w:tr>
      <w:tr w:rsidR="005F4A7E" w:rsidRPr="002029AF" w14:paraId="4E2E461D" w14:textId="77777777" w:rsidTr="00130D1C">
        <w:tc>
          <w:tcPr>
            <w:tcW w:w="2550" w:type="dxa"/>
            <w:tcBorders>
              <w:top w:val="single" w:sz="4" w:space="0" w:color="A6A6A6"/>
              <w:bottom w:val="single" w:sz="4" w:space="0" w:color="A6A6A6"/>
            </w:tcBorders>
            <w:hideMark/>
          </w:tcPr>
          <w:p w14:paraId="344E14EF" w14:textId="77777777" w:rsidR="005F4A7E" w:rsidRPr="002029AF" w:rsidRDefault="005F4A7E" w:rsidP="00130D1C">
            <w:pPr>
              <w:pStyle w:val="ARfintablebody"/>
              <w:spacing w:before="30" w:line="240" w:lineRule="auto"/>
            </w:pPr>
            <w:r w:rsidRPr="005B00A5">
              <w:t xml:space="preserve">Loans </w:t>
            </w:r>
            <w:r w:rsidRPr="00EC4E5A">
              <w:rPr>
                <w:rStyle w:val="Superscript"/>
              </w:rPr>
              <w:t>(ii</w:t>
            </w:r>
            <w:r>
              <w:rPr>
                <w:rStyle w:val="Superscript"/>
              </w:rPr>
              <w:t>i</w:t>
            </w:r>
            <w:r w:rsidRPr="00EC4E5A">
              <w:rPr>
                <w:rStyle w:val="Superscript"/>
              </w:rPr>
              <w:t>)</w:t>
            </w:r>
          </w:p>
        </w:tc>
        <w:tc>
          <w:tcPr>
            <w:tcW w:w="1417" w:type="dxa"/>
            <w:tcBorders>
              <w:top w:val="single" w:sz="4" w:space="0" w:color="A6A6A6"/>
              <w:bottom w:val="single" w:sz="4" w:space="0" w:color="A6A6A6"/>
            </w:tcBorders>
            <w:noWrap/>
            <w:hideMark/>
          </w:tcPr>
          <w:p w14:paraId="3285ECCB" w14:textId="77777777" w:rsidR="005F4A7E" w:rsidRPr="002029AF" w:rsidRDefault="005F4A7E" w:rsidP="00130D1C">
            <w:pPr>
              <w:pStyle w:val="ARfintablebodyright"/>
              <w:spacing w:before="30" w:line="240" w:lineRule="auto"/>
            </w:pPr>
            <w:r w:rsidRPr="005B00A5">
              <w:t>–</w:t>
            </w:r>
          </w:p>
        </w:tc>
        <w:tc>
          <w:tcPr>
            <w:tcW w:w="1418" w:type="dxa"/>
            <w:tcBorders>
              <w:top w:val="single" w:sz="4" w:space="0" w:color="A6A6A6"/>
              <w:bottom w:val="single" w:sz="4" w:space="0" w:color="A6A6A6"/>
            </w:tcBorders>
            <w:noWrap/>
            <w:hideMark/>
          </w:tcPr>
          <w:p w14:paraId="56D9E4A9" w14:textId="77777777" w:rsidR="005F4A7E" w:rsidRPr="002029AF" w:rsidRDefault="005F4A7E" w:rsidP="00130D1C">
            <w:pPr>
              <w:pStyle w:val="ARfintablebodyright"/>
              <w:spacing w:before="30" w:line="240" w:lineRule="auto"/>
            </w:pPr>
            <w:r w:rsidRPr="005B00A5">
              <w:t>–</w:t>
            </w:r>
          </w:p>
        </w:tc>
        <w:tc>
          <w:tcPr>
            <w:tcW w:w="1418" w:type="dxa"/>
            <w:tcBorders>
              <w:top w:val="single" w:sz="4" w:space="0" w:color="A6A6A6"/>
              <w:bottom w:val="single" w:sz="4" w:space="0" w:color="A6A6A6"/>
            </w:tcBorders>
          </w:tcPr>
          <w:p w14:paraId="00261B17" w14:textId="77777777" w:rsidR="005F4A7E" w:rsidRPr="002029AF" w:rsidRDefault="005F4A7E" w:rsidP="00130D1C">
            <w:pPr>
              <w:pStyle w:val="ARfintablebodyright"/>
              <w:spacing w:before="30" w:line="240" w:lineRule="auto"/>
            </w:pPr>
            <w:r w:rsidRPr="005B00A5">
              <w:t>87.</w:t>
            </w:r>
            <w:r>
              <w:t>5</w:t>
            </w:r>
          </w:p>
        </w:tc>
        <w:tc>
          <w:tcPr>
            <w:tcW w:w="1418" w:type="dxa"/>
            <w:tcBorders>
              <w:top w:val="single" w:sz="4" w:space="0" w:color="A6A6A6"/>
              <w:bottom w:val="single" w:sz="4" w:space="0" w:color="A6A6A6"/>
            </w:tcBorders>
            <w:noWrap/>
            <w:hideMark/>
          </w:tcPr>
          <w:p w14:paraId="50E9DFDA" w14:textId="77777777" w:rsidR="005F4A7E" w:rsidRPr="002029AF" w:rsidRDefault="005F4A7E" w:rsidP="00130D1C">
            <w:pPr>
              <w:pStyle w:val="ARfintablebodyright"/>
              <w:spacing w:before="30" w:line="240" w:lineRule="auto"/>
            </w:pPr>
            <w:r w:rsidRPr="005B00A5">
              <w:t>31.</w:t>
            </w:r>
            <w:r>
              <w:t>3</w:t>
            </w:r>
          </w:p>
        </w:tc>
        <w:tc>
          <w:tcPr>
            <w:tcW w:w="1418" w:type="dxa"/>
            <w:tcBorders>
              <w:top w:val="single" w:sz="4" w:space="0" w:color="A6A6A6"/>
              <w:bottom w:val="single" w:sz="4" w:space="0" w:color="A6A6A6"/>
            </w:tcBorders>
            <w:noWrap/>
            <w:hideMark/>
          </w:tcPr>
          <w:p w14:paraId="373D8544" w14:textId="77777777" w:rsidR="005F4A7E" w:rsidRPr="002029AF" w:rsidRDefault="005F4A7E" w:rsidP="00130D1C">
            <w:pPr>
              <w:pStyle w:val="ARfintablebodyright"/>
              <w:spacing w:before="30" w:line="240" w:lineRule="auto"/>
            </w:pPr>
            <w:r w:rsidRPr="005B00A5">
              <w:t>11</w:t>
            </w:r>
            <w:r>
              <w:t>8.8</w:t>
            </w:r>
          </w:p>
        </w:tc>
      </w:tr>
      <w:tr w:rsidR="005F4A7E" w:rsidRPr="002029AF" w14:paraId="3EFA64CD" w14:textId="77777777" w:rsidTr="00130D1C">
        <w:tc>
          <w:tcPr>
            <w:tcW w:w="2550" w:type="dxa"/>
            <w:tcBorders>
              <w:top w:val="single" w:sz="4" w:space="0" w:color="A6A6A6"/>
            </w:tcBorders>
            <w:hideMark/>
          </w:tcPr>
          <w:p w14:paraId="60449A27" w14:textId="77777777" w:rsidR="005F4A7E" w:rsidRPr="002029AF" w:rsidRDefault="005F4A7E" w:rsidP="00130D1C">
            <w:pPr>
              <w:pStyle w:val="ARfintablebody"/>
              <w:spacing w:before="30" w:line="240" w:lineRule="auto"/>
            </w:pPr>
            <w:r w:rsidRPr="005B00A5">
              <w:t>Statutory receivables (with</w:t>
            </w:r>
            <w:r>
              <w:t> </w:t>
            </w:r>
            <w:r w:rsidRPr="005B00A5">
              <w:t>no impairment loss recognised)</w:t>
            </w:r>
          </w:p>
        </w:tc>
        <w:tc>
          <w:tcPr>
            <w:tcW w:w="1417" w:type="dxa"/>
            <w:tcBorders>
              <w:top w:val="single" w:sz="4" w:space="0" w:color="A6A6A6"/>
            </w:tcBorders>
            <w:noWrap/>
            <w:hideMark/>
          </w:tcPr>
          <w:p w14:paraId="42DABF48" w14:textId="77777777" w:rsidR="005F4A7E" w:rsidRPr="002029AF" w:rsidRDefault="005F4A7E" w:rsidP="00130D1C">
            <w:pPr>
              <w:pStyle w:val="ARfintablebodyright"/>
              <w:spacing w:before="30" w:line="240" w:lineRule="auto"/>
            </w:pPr>
            <w:r w:rsidRPr="005B00A5">
              <w:t>4,312.3</w:t>
            </w:r>
          </w:p>
        </w:tc>
        <w:tc>
          <w:tcPr>
            <w:tcW w:w="1418" w:type="dxa"/>
            <w:tcBorders>
              <w:top w:val="single" w:sz="4" w:space="0" w:color="A6A6A6"/>
            </w:tcBorders>
            <w:noWrap/>
            <w:hideMark/>
          </w:tcPr>
          <w:p w14:paraId="5CE90353" w14:textId="77777777" w:rsidR="005F4A7E" w:rsidRPr="002029AF" w:rsidRDefault="005F4A7E" w:rsidP="00130D1C">
            <w:pPr>
              <w:pStyle w:val="ARfintablebodyright"/>
              <w:spacing w:before="30" w:line="240" w:lineRule="auto"/>
            </w:pPr>
            <w:r w:rsidRPr="005B00A5">
              <w:t>–</w:t>
            </w:r>
          </w:p>
        </w:tc>
        <w:tc>
          <w:tcPr>
            <w:tcW w:w="1418" w:type="dxa"/>
            <w:tcBorders>
              <w:top w:val="single" w:sz="4" w:space="0" w:color="A6A6A6"/>
            </w:tcBorders>
          </w:tcPr>
          <w:p w14:paraId="72315CA5" w14:textId="77777777" w:rsidR="005F4A7E" w:rsidRPr="002029AF" w:rsidRDefault="005F4A7E" w:rsidP="00130D1C">
            <w:pPr>
              <w:pStyle w:val="ARfintablebodyright"/>
              <w:spacing w:before="30" w:line="240" w:lineRule="auto"/>
            </w:pPr>
            <w:r w:rsidRPr="005B00A5">
              <w:t>–</w:t>
            </w:r>
          </w:p>
        </w:tc>
        <w:tc>
          <w:tcPr>
            <w:tcW w:w="1418" w:type="dxa"/>
            <w:tcBorders>
              <w:top w:val="single" w:sz="4" w:space="0" w:color="A6A6A6"/>
            </w:tcBorders>
            <w:noWrap/>
            <w:hideMark/>
          </w:tcPr>
          <w:p w14:paraId="6ABC0972" w14:textId="77777777" w:rsidR="005F4A7E" w:rsidRPr="002029AF" w:rsidRDefault="005F4A7E" w:rsidP="00130D1C">
            <w:pPr>
              <w:pStyle w:val="ARfintablebodyright"/>
              <w:spacing w:before="30" w:line="240" w:lineRule="auto"/>
            </w:pPr>
            <w:r w:rsidRPr="005B00A5">
              <w:t>–</w:t>
            </w:r>
          </w:p>
        </w:tc>
        <w:tc>
          <w:tcPr>
            <w:tcW w:w="1418" w:type="dxa"/>
            <w:tcBorders>
              <w:top w:val="single" w:sz="4" w:space="0" w:color="A6A6A6"/>
            </w:tcBorders>
            <w:noWrap/>
            <w:hideMark/>
          </w:tcPr>
          <w:p w14:paraId="4AC33CA5" w14:textId="77777777" w:rsidR="005F4A7E" w:rsidRPr="002029AF" w:rsidRDefault="005F4A7E" w:rsidP="00130D1C">
            <w:pPr>
              <w:pStyle w:val="ARfintablebodyright"/>
              <w:spacing w:before="30" w:line="240" w:lineRule="auto"/>
            </w:pPr>
            <w:r w:rsidRPr="005B00A5">
              <w:t>4,312.3</w:t>
            </w:r>
          </w:p>
        </w:tc>
      </w:tr>
      <w:tr w:rsidR="005F4A7E" w:rsidRPr="002029AF" w14:paraId="592302A9" w14:textId="77777777" w:rsidTr="00130D1C">
        <w:tc>
          <w:tcPr>
            <w:tcW w:w="2550" w:type="dxa"/>
            <w:hideMark/>
          </w:tcPr>
          <w:p w14:paraId="26F9E4AA" w14:textId="77777777" w:rsidR="005F4A7E" w:rsidRPr="002029AF" w:rsidRDefault="005F4A7E" w:rsidP="00130D1C">
            <w:pPr>
              <w:pStyle w:val="ARfintablebodybold"/>
              <w:spacing w:before="30" w:line="240" w:lineRule="auto"/>
            </w:pPr>
            <w:r w:rsidRPr="005B00A5">
              <w:t>Total financial assets</w:t>
            </w:r>
          </w:p>
        </w:tc>
        <w:tc>
          <w:tcPr>
            <w:tcW w:w="1417" w:type="dxa"/>
            <w:noWrap/>
            <w:hideMark/>
          </w:tcPr>
          <w:p w14:paraId="5BC61F94" w14:textId="77777777" w:rsidR="005F4A7E" w:rsidRPr="002029AF" w:rsidRDefault="005F4A7E" w:rsidP="00130D1C">
            <w:pPr>
              <w:pStyle w:val="ARfintablebodyrightbold"/>
              <w:spacing w:before="30" w:line="240" w:lineRule="auto"/>
            </w:pPr>
            <w:r w:rsidRPr="005B00A5">
              <w:t>5,055.3</w:t>
            </w:r>
          </w:p>
        </w:tc>
        <w:tc>
          <w:tcPr>
            <w:tcW w:w="1418" w:type="dxa"/>
            <w:noWrap/>
            <w:hideMark/>
          </w:tcPr>
          <w:p w14:paraId="5AB65817" w14:textId="77777777" w:rsidR="005F4A7E" w:rsidRPr="002029AF" w:rsidRDefault="005F4A7E" w:rsidP="00130D1C">
            <w:pPr>
              <w:pStyle w:val="ARfintablebodyrightbold"/>
              <w:spacing w:before="30" w:line="240" w:lineRule="auto"/>
            </w:pPr>
            <w:r w:rsidRPr="005B00A5">
              <w:t>–</w:t>
            </w:r>
          </w:p>
        </w:tc>
        <w:tc>
          <w:tcPr>
            <w:tcW w:w="1418" w:type="dxa"/>
          </w:tcPr>
          <w:p w14:paraId="205E56B4" w14:textId="77777777" w:rsidR="005F4A7E" w:rsidRPr="002029AF" w:rsidRDefault="005F4A7E" w:rsidP="00130D1C">
            <w:pPr>
              <w:pStyle w:val="ARfintablebodyrightbold"/>
              <w:spacing w:before="30" w:line="240" w:lineRule="auto"/>
            </w:pPr>
            <w:r w:rsidRPr="005B00A5">
              <w:t>510.</w:t>
            </w:r>
            <w:r>
              <w:t>2</w:t>
            </w:r>
          </w:p>
        </w:tc>
        <w:tc>
          <w:tcPr>
            <w:tcW w:w="1418" w:type="dxa"/>
            <w:noWrap/>
            <w:hideMark/>
          </w:tcPr>
          <w:p w14:paraId="5E3103E4" w14:textId="77777777" w:rsidR="005F4A7E" w:rsidRPr="002029AF" w:rsidRDefault="005F4A7E" w:rsidP="00130D1C">
            <w:pPr>
              <w:pStyle w:val="ARfintablebodyrightbold"/>
              <w:spacing w:before="30" w:line="240" w:lineRule="auto"/>
            </w:pPr>
            <w:r w:rsidRPr="005B00A5">
              <w:t>121.</w:t>
            </w:r>
            <w:r>
              <w:t>4</w:t>
            </w:r>
          </w:p>
        </w:tc>
        <w:tc>
          <w:tcPr>
            <w:tcW w:w="1418" w:type="dxa"/>
            <w:noWrap/>
            <w:hideMark/>
          </w:tcPr>
          <w:p w14:paraId="196F2D21" w14:textId="77777777" w:rsidR="005F4A7E" w:rsidRPr="002029AF" w:rsidRDefault="005F4A7E" w:rsidP="00130D1C">
            <w:pPr>
              <w:pStyle w:val="ARfintablebodyrightbold"/>
              <w:spacing w:before="30" w:line="240" w:lineRule="auto"/>
            </w:pPr>
            <w:r w:rsidRPr="005B00A5">
              <w:t>5,68</w:t>
            </w:r>
            <w:r>
              <w:t>6.9</w:t>
            </w:r>
          </w:p>
        </w:tc>
      </w:tr>
      <w:tr w:rsidR="005F4A7E" w:rsidRPr="002029AF" w14:paraId="755C5D2E" w14:textId="77777777" w:rsidTr="00130D1C">
        <w:tc>
          <w:tcPr>
            <w:tcW w:w="9639" w:type="dxa"/>
            <w:gridSpan w:val="6"/>
            <w:tcBorders>
              <w:bottom w:val="single" w:sz="4" w:space="0" w:color="auto"/>
            </w:tcBorders>
          </w:tcPr>
          <w:p w14:paraId="2F29E5A9" w14:textId="77777777" w:rsidR="005F4A7E" w:rsidRPr="002029AF" w:rsidRDefault="005F4A7E" w:rsidP="00130D1C">
            <w:pPr>
              <w:pStyle w:val="ARfintablebodybold"/>
              <w:spacing w:before="30" w:line="240" w:lineRule="auto"/>
            </w:pPr>
            <w:r w:rsidRPr="005B00A5">
              <w:t>2020</w:t>
            </w:r>
          </w:p>
        </w:tc>
      </w:tr>
      <w:tr w:rsidR="005F4A7E" w:rsidRPr="002029AF" w14:paraId="215DCEC7" w14:textId="77777777" w:rsidTr="00130D1C">
        <w:tc>
          <w:tcPr>
            <w:tcW w:w="2550" w:type="dxa"/>
            <w:tcBorders>
              <w:top w:val="single" w:sz="4" w:space="0" w:color="auto"/>
              <w:bottom w:val="single" w:sz="4" w:space="0" w:color="A6A6A6"/>
            </w:tcBorders>
            <w:hideMark/>
          </w:tcPr>
          <w:p w14:paraId="736FB747" w14:textId="77777777" w:rsidR="005F4A7E" w:rsidRPr="002029AF" w:rsidRDefault="005F4A7E" w:rsidP="00130D1C">
            <w:pPr>
              <w:pStyle w:val="ARfintablebody"/>
              <w:spacing w:before="30" w:line="240" w:lineRule="auto"/>
            </w:pPr>
            <w:r w:rsidRPr="005B00A5">
              <w:t>Cash and deposits (not assessed for impairment due</w:t>
            </w:r>
            <w:r>
              <w:t> </w:t>
            </w:r>
            <w:r w:rsidRPr="005B00A5">
              <w:t>to materiality)</w:t>
            </w:r>
          </w:p>
        </w:tc>
        <w:tc>
          <w:tcPr>
            <w:tcW w:w="1417" w:type="dxa"/>
            <w:tcBorders>
              <w:top w:val="single" w:sz="4" w:space="0" w:color="auto"/>
              <w:bottom w:val="single" w:sz="4" w:space="0" w:color="A6A6A6"/>
            </w:tcBorders>
            <w:noWrap/>
            <w:hideMark/>
          </w:tcPr>
          <w:p w14:paraId="1FD70B84" w14:textId="77777777" w:rsidR="005F4A7E" w:rsidRPr="002029AF" w:rsidRDefault="005F4A7E" w:rsidP="00130D1C">
            <w:pPr>
              <w:pStyle w:val="ARfintablebodyright"/>
              <w:spacing w:before="30" w:line="240" w:lineRule="auto"/>
            </w:pPr>
            <w:r w:rsidRPr="005B00A5">
              <w:t>452.2</w:t>
            </w:r>
          </w:p>
        </w:tc>
        <w:tc>
          <w:tcPr>
            <w:tcW w:w="1418" w:type="dxa"/>
            <w:tcBorders>
              <w:top w:val="single" w:sz="4" w:space="0" w:color="auto"/>
              <w:bottom w:val="single" w:sz="4" w:space="0" w:color="A6A6A6"/>
            </w:tcBorders>
            <w:noWrap/>
            <w:hideMark/>
          </w:tcPr>
          <w:p w14:paraId="17E19003" w14:textId="77777777" w:rsidR="005F4A7E" w:rsidRPr="002029AF" w:rsidRDefault="005F4A7E" w:rsidP="00130D1C">
            <w:pPr>
              <w:pStyle w:val="ARfintablebodyright"/>
              <w:spacing w:before="30" w:line="240" w:lineRule="auto"/>
            </w:pPr>
            <w:r w:rsidRPr="005B00A5">
              <w:t>145.5</w:t>
            </w:r>
          </w:p>
        </w:tc>
        <w:tc>
          <w:tcPr>
            <w:tcW w:w="1418" w:type="dxa"/>
            <w:tcBorders>
              <w:top w:val="single" w:sz="4" w:space="0" w:color="auto"/>
              <w:bottom w:val="single" w:sz="4" w:space="0" w:color="A6A6A6"/>
            </w:tcBorders>
          </w:tcPr>
          <w:p w14:paraId="435E7A63" w14:textId="77777777" w:rsidR="005F4A7E" w:rsidRPr="002029AF" w:rsidRDefault="005F4A7E" w:rsidP="00130D1C">
            <w:pPr>
              <w:pStyle w:val="ARfintablebodyright"/>
              <w:spacing w:before="30" w:line="240" w:lineRule="auto"/>
            </w:pPr>
            <w:r w:rsidRPr="005B00A5">
              <w:t>–</w:t>
            </w:r>
          </w:p>
        </w:tc>
        <w:tc>
          <w:tcPr>
            <w:tcW w:w="1418" w:type="dxa"/>
            <w:tcBorders>
              <w:top w:val="single" w:sz="4" w:space="0" w:color="auto"/>
              <w:bottom w:val="single" w:sz="4" w:space="0" w:color="A6A6A6"/>
            </w:tcBorders>
            <w:noWrap/>
            <w:hideMark/>
          </w:tcPr>
          <w:p w14:paraId="1A8A03C1" w14:textId="77777777" w:rsidR="005F4A7E" w:rsidRPr="002029AF" w:rsidRDefault="005F4A7E" w:rsidP="00130D1C">
            <w:pPr>
              <w:pStyle w:val="ARfintablebodyright"/>
              <w:spacing w:before="30" w:line="240" w:lineRule="auto"/>
            </w:pPr>
            <w:r w:rsidRPr="005B00A5">
              <w:t>–</w:t>
            </w:r>
          </w:p>
        </w:tc>
        <w:tc>
          <w:tcPr>
            <w:tcW w:w="1418" w:type="dxa"/>
            <w:tcBorders>
              <w:top w:val="single" w:sz="4" w:space="0" w:color="auto"/>
              <w:bottom w:val="single" w:sz="4" w:space="0" w:color="A6A6A6"/>
            </w:tcBorders>
            <w:noWrap/>
            <w:hideMark/>
          </w:tcPr>
          <w:p w14:paraId="3BBECA25" w14:textId="77777777" w:rsidR="005F4A7E" w:rsidRPr="002029AF" w:rsidRDefault="005F4A7E" w:rsidP="00130D1C">
            <w:pPr>
              <w:pStyle w:val="ARfintablebodyright"/>
              <w:spacing w:before="30" w:line="240" w:lineRule="auto"/>
            </w:pPr>
            <w:r w:rsidRPr="005B00A5">
              <w:t>597.7</w:t>
            </w:r>
          </w:p>
        </w:tc>
      </w:tr>
      <w:tr w:rsidR="005F4A7E" w:rsidRPr="002029AF" w14:paraId="05460A5E" w14:textId="77777777" w:rsidTr="00130D1C">
        <w:tc>
          <w:tcPr>
            <w:tcW w:w="2550" w:type="dxa"/>
            <w:tcBorders>
              <w:top w:val="single" w:sz="4" w:space="0" w:color="A6A6A6"/>
              <w:bottom w:val="single" w:sz="4" w:space="0" w:color="A6A6A6"/>
            </w:tcBorders>
            <w:hideMark/>
          </w:tcPr>
          <w:p w14:paraId="26D259E6" w14:textId="77777777" w:rsidR="005F4A7E" w:rsidRPr="002029AF" w:rsidRDefault="005F4A7E" w:rsidP="00130D1C">
            <w:pPr>
              <w:pStyle w:val="ARfintablebody"/>
              <w:spacing w:before="30" w:line="240" w:lineRule="auto"/>
            </w:pPr>
            <w:r w:rsidRPr="005B00A5">
              <w:t xml:space="preserve">Contractual receivables applying the simplified approach for impairment </w:t>
            </w:r>
            <w:r w:rsidRPr="00EC4E5A">
              <w:rPr>
                <w:rStyle w:val="Superscript"/>
              </w:rPr>
              <w:t>(i</w:t>
            </w:r>
            <w:r>
              <w:rPr>
                <w:rStyle w:val="Superscript"/>
              </w:rPr>
              <w:t>i</w:t>
            </w:r>
            <w:r w:rsidRPr="00EC4E5A">
              <w:rPr>
                <w:rStyle w:val="Superscript"/>
              </w:rPr>
              <w:t>)(ii</w:t>
            </w:r>
            <w:r>
              <w:rPr>
                <w:rStyle w:val="Superscript"/>
              </w:rPr>
              <w:t>i</w:t>
            </w:r>
            <w:r w:rsidRPr="00EC4E5A">
              <w:rPr>
                <w:rStyle w:val="Superscript"/>
              </w:rPr>
              <w:t>)</w:t>
            </w:r>
          </w:p>
        </w:tc>
        <w:tc>
          <w:tcPr>
            <w:tcW w:w="1417" w:type="dxa"/>
            <w:tcBorders>
              <w:top w:val="single" w:sz="4" w:space="0" w:color="A6A6A6"/>
              <w:bottom w:val="single" w:sz="4" w:space="0" w:color="A6A6A6"/>
            </w:tcBorders>
            <w:noWrap/>
            <w:hideMark/>
          </w:tcPr>
          <w:p w14:paraId="6ECF8978" w14:textId="77777777" w:rsidR="005F4A7E" w:rsidRPr="002029AF" w:rsidRDefault="005F4A7E" w:rsidP="00130D1C">
            <w:pPr>
              <w:pStyle w:val="ARfintablebodyright"/>
              <w:spacing w:before="30" w:line="240" w:lineRule="auto"/>
            </w:pPr>
            <w:r w:rsidRPr="005B00A5">
              <w:t>–</w:t>
            </w:r>
          </w:p>
        </w:tc>
        <w:tc>
          <w:tcPr>
            <w:tcW w:w="1418" w:type="dxa"/>
            <w:tcBorders>
              <w:top w:val="single" w:sz="4" w:space="0" w:color="A6A6A6"/>
              <w:bottom w:val="single" w:sz="4" w:space="0" w:color="A6A6A6"/>
            </w:tcBorders>
            <w:noWrap/>
            <w:hideMark/>
          </w:tcPr>
          <w:p w14:paraId="2AD9B449" w14:textId="77777777" w:rsidR="005F4A7E" w:rsidRPr="002029AF" w:rsidRDefault="005F4A7E" w:rsidP="00130D1C">
            <w:pPr>
              <w:pStyle w:val="ARfintablebodyright"/>
              <w:spacing w:before="30" w:line="240" w:lineRule="auto"/>
            </w:pPr>
            <w:r w:rsidRPr="005B00A5">
              <w:t>382.5</w:t>
            </w:r>
          </w:p>
        </w:tc>
        <w:tc>
          <w:tcPr>
            <w:tcW w:w="1418" w:type="dxa"/>
            <w:tcBorders>
              <w:top w:val="single" w:sz="4" w:space="0" w:color="A6A6A6"/>
              <w:bottom w:val="single" w:sz="4" w:space="0" w:color="A6A6A6"/>
            </w:tcBorders>
          </w:tcPr>
          <w:p w14:paraId="7CE61960" w14:textId="77777777" w:rsidR="005F4A7E" w:rsidRPr="002029AF" w:rsidRDefault="005F4A7E" w:rsidP="00130D1C">
            <w:pPr>
              <w:pStyle w:val="ARfintablebodyright"/>
              <w:spacing w:before="30" w:line="240" w:lineRule="auto"/>
            </w:pPr>
            <w:r w:rsidRPr="005B00A5">
              <w:t>–</w:t>
            </w:r>
          </w:p>
        </w:tc>
        <w:tc>
          <w:tcPr>
            <w:tcW w:w="1418" w:type="dxa"/>
            <w:tcBorders>
              <w:top w:val="single" w:sz="4" w:space="0" w:color="A6A6A6"/>
              <w:bottom w:val="single" w:sz="4" w:space="0" w:color="A6A6A6"/>
            </w:tcBorders>
            <w:noWrap/>
            <w:hideMark/>
          </w:tcPr>
          <w:p w14:paraId="2268754F" w14:textId="77777777" w:rsidR="005F4A7E" w:rsidRPr="002029AF" w:rsidRDefault="005F4A7E" w:rsidP="00130D1C">
            <w:pPr>
              <w:pStyle w:val="ARfintablebodyright"/>
              <w:spacing w:before="30" w:line="240" w:lineRule="auto"/>
            </w:pPr>
            <w:r w:rsidRPr="005B00A5">
              <w:t>105.2</w:t>
            </w:r>
          </w:p>
        </w:tc>
        <w:tc>
          <w:tcPr>
            <w:tcW w:w="1418" w:type="dxa"/>
            <w:tcBorders>
              <w:top w:val="single" w:sz="4" w:space="0" w:color="A6A6A6"/>
              <w:bottom w:val="single" w:sz="4" w:space="0" w:color="A6A6A6"/>
            </w:tcBorders>
            <w:noWrap/>
            <w:hideMark/>
          </w:tcPr>
          <w:p w14:paraId="1C690DE0" w14:textId="77777777" w:rsidR="005F4A7E" w:rsidRPr="002029AF" w:rsidRDefault="005F4A7E" w:rsidP="00130D1C">
            <w:pPr>
              <w:pStyle w:val="ARfintablebodyright"/>
              <w:spacing w:before="30" w:line="240" w:lineRule="auto"/>
            </w:pPr>
            <w:r w:rsidRPr="005B00A5">
              <w:t>487.7</w:t>
            </w:r>
          </w:p>
        </w:tc>
      </w:tr>
      <w:tr w:rsidR="005F4A7E" w:rsidRPr="002029AF" w14:paraId="303E2B74" w14:textId="77777777" w:rsidTr="00130D1C">
        <w:tc>
          <w:tcPr>
            <w:tcW w:w="2550" w:type="dxa"/>
            <w:tcBorders>
              <w:top w:val="single" w:sz="4" w:space="0" w:color="A6A6A6"/>
              <w:bottom w:val="single" w:sz="4" w:space="0" w:color="A6A6A6"/>
            </w:tcBorders>
            <w:hideMark/>
          </w:tcPr>
          <w:p w14:paraId="6B087044" w14:textId="77777777" w:rsidR="005F4A7E" w:rsidRPr="002029AF" w:rsidRDefault="005F4A7E" w:rsidP="00130D1C">
            <w:pPr>
              <w:pStyle w:val="ARfintablebody"/>
              <w:spacing w:before="30" w:line="240" w:lineRule="auto"/>
            </w:pPr>
            <w:r w:rsidRPr="005B00A5">
              <w:t xml:space="preserve">Loans </w:t>
            </w:r>
            <w:r w:rsidRPr="00EC4E5A">
              <w:rPr>
                <w:rStyle w:val="Superscript"/>
              </w:rPr>
              <w:t>(ii</w:t>
            </w:r>
            <w:r>
              <w:rPr>
                <w:rStyle w:val="Superscript"/>
              </w:rPr>
              <w:t>i</w:t>
            </w:r>
            <w:r w:rsidRPr="00EC4E5A">
              <w:rPr>
                <w:rStyle w:val="Superscript"/>
              </w:rPr>
              <w:t>)</w:t>
            </w:r>
          </w:p>
        </w:tc>
        <w:tc>
          <w:tcPr>
            <w:tcW w:w="1417" w:type="dxa"/>
            <w:tcBorders>
              <w:top w:val="single" w:sz="4" w:space="0" w:color="A6A6A6"/>
              <w:bottom w:val="single" w:sz="4" w:space="0" w:color="A6A6A6"/>
            </w:tcBorders>
            <w:noWrap/>
            <w:hideMark/>
          </w:tcPr>
          <w:p w14:paraId="3DC7E2C7" w14:textId="77777777" w:rsidR="005F4A7E" w:rsidRPr="002029AF" w:rsidRDefault="005F4A7E" w:rsidP="00130D1C">
            <w:pPr>
              <w:pStyle w:val="ARfintablebodyright"/>
              <w:spacing w:before="30" w:line="240" w:lineRule="auto"/>
            </w:pPr>
            <w:r w:rsidRPr="005B00A5">
              <w:t>–</w:t>
            </w:r>
          </w:p>
        </w:tc>
        <w:tc>
          <w:tcPr>
            <w:tcW w:w="1418" w:type="dxa"/>
            <w:tcBorders>
              <w:top w:val="single" w:sz="4" w:space="0" w:color="A6A6A6"/>
              <w:bottom w:val="single" w:sz="4" w:space="0" w:color="A6A6A6"/>
            </w:tcBorders>
            <w:noWrap/>
            <w:hideMark/>
          </w:tcPr>
          <w:p w14:paraId="3853D2B9" w14:textId="77777777" w:rsidR="005F4A7E" w:rsidRPr="002029AF" w:rsidRDefault="005F4A7E" w:rsidP="00130D1C">
            <w:pPr>
              <w:pStyle w:val="ARfintablebodyright"/>
              <w:spacing w:before="30" w:line="240" w:lineRule="auto"/>
            </w:pPr>
            <w:r w:rsidRPr="005B00A5">
              <w:t>323.5</w:t>
            </w:r>
          </w:p>
        </w:tc>
        <w:tc>
          <w:tcPr>
            <w:tcW w:w="1418" w:type="dxa"/>
            <w:tcBorders>
              <w:top w:val="single" w:sz="4" w:space="0" w:color="A6A6A6"/>
              <w:bottom w:val="single" w:sz="4" w:space="0" w:color="A6A6A6"/>
            </w:tcBorders>
          </w:tcPr>
          <w:p w14:paraId="02C7C24D" w14:textId="77777777" w:rsidR="005F4A7E" w:rsidRPr="002029AF" w:rsidRDefault="005F4A7E" w:rsidP="00130D1C">
            <w:pPr>
              <w:pStyle w:val="ARfintablebodyright"/>
              <w:spacing w:before="30" w:line="240" w:lineRule="auto"/>
            </w:pPr>
            <w:r w:rsidRPr="005B00A5">
              <w:t>–</w:t>
            </w:r>
          </w:p>
        </w:tc>
        <w:tc>
          <w:tcPr>
            <w:tcW w:w="1418" w:type="dxa"/>
            <w:tcBorders>
              <w:top w:val="single" w:sz="4" w:space="0" w:color="A6A6A6"/>
              <w:bottom w:val="single" w:sz="4" w:space="0" w:color="A6A6A6"/>
            </w:tcBorders>
            <w:noWrap/>
            <w:hideMark/>
          </w:tcPr>
          <w:p w14:paraId="4475B533" w14:textId="77777777" w:rsidR="005F4A7E" w:rsidRPr="002029AF" w:rsidRDefault="005F4A7E" w:rsidP="00130D1C">
            <w:pPr>
              <w:pStyle w:val="ARfintablebodyright"/>
              <w:spacing w:before="30" w:line="240" w:lineRule="auto"/>
            </w:pPr>
            <w:r w:rsidRPr="005B00A5">
              <w:t>66.0</w:t>
            </w:r>
          </w:p>
        </w:tc>
        <w:tc>
          <w:tcPr>
            <w:tcW w:w="1418" w:type="dxa"/>
            <w:tcBorders>
              <w:top w:val="single" w:sz="4" w:space="0" w:color="A6A6A6"/>
              <w:bottom w:val="single" w:sz="4" w:space="0" w:color="A6A6A6"/>
            </w:tcBorders>
            <w:noWrap/>
            <w:hideMark/>
          </w:tcPr>
          <w:p w14:paraId="72B54C54" w14:textId="77777777" w:rsidR="005F4A7E" w:rsidRPr="002029AF" w:rsidRDefault="005F4A7E" w:rsidP="00130D1C">
            <w:pPr>
              <w:pStyle w:val="ARfintablebodyright"/>
              <w:spacing w:before="30" w:line="240" w:lineRule="auto"/>
            </w:pPr>
            <w:r w:rsidRPr="005B00A5">
              <w:t>389.5</w:t>
            </w:r>
          </w:p>
        </w:tc>
      </w:tr>
      <w:tr w:rsidR="005F4A7E" w:rsidRPr="002029AF" w14:paraId="59EA27A3" w14:textId="77777777" w:rsidTr="00130D1C">
        <w:tc>
          <w:tcPr>
            <w:tcW w:w="2550" w:type="dxa"/>
            <w:tcBorders>
              <w:top w:val="single" w:sz="4" w:space="0" w:color="A6A6A6"/>
            </w:tcBorders>
            <w:hideMark/>
          </w:tcPr>
          <w:p w14:paraId="5C15BB35" w14:textId="77777777" w:rsidR="005F4A7E" w:rsidRPr="002029AF" w:rsidRDefault="005F4A7E" w:rsidP="00130D1C">
            <w:pPr>
              <w:pStyle w:val="ARfintablebody"/>
              <w:spacing w:before="30" w:line="240" w:lineRule="auto"/>
            </w:pPr>
            <w:r w:rsidRPr="005B00A5">
              <w:t>Statutory receivables (with</w:t>
            </w:r>
            <w:r>
              <w:t> </w:t>
            </w:r>
            <w:r w:rsidRPr="005B00A5">
              <w:t>no impairment loss recognised)</w:t>
            </w:r>
          </w:p>
        </w:tc>
        <w:tc>
          <w:tcPr>
            <w:tcW w:w="1417" w:type="dxa"/>
            <w:tcBorders>
              <w:top w:val="single" w:sz="4" w:space="0" w:color="A6A6A6"/>
            </w:tcBorders>
            <w:noWrap/>
            <w:hideMark/>
          </w:tcPr>
          <w:p w14:paraId="48BBD7B0" w14:textId="77777777" w:rsidR="005F4A7E" w:rsidRPr="002029AF" w:rsidRDefault="005F4A7E" w:rsidP="00130D1C">
            <w:pPr>
              <w:pStyle w:val="ARfintablebodyright"/>
              <w:spacing w:before="30" w:line="240" w:lineRule="auto"/>
            </w:pPr>
            <w:r w:rsidRPr="005B00A5">
              <w:t>3,756.9</w:t>
            </w:r>
          </w:p>
        </w:tc>
        <w:tc>
          <w:tcPr>
            <w:tcW w:w="1418" w:type="dxa"/>
            <w:tcBorders>
              <w:top w:val="single" w:sz="4" w:space="0" w:color="A6A6A6"/>
            </w:tcBorders>
            <w:noWrap/>
            <w:hideMark/>
          </w:tcPr>
          <w:p w14:paraId="694E694E" w14:textId="77777777" w:rsidR="005F4A7E" w:rsidRPr="002029AF" w:rsidRDefault="005F4A7E" w:rsidP="00130D1C">
            <w:pPr>
              <w:pStyle w:val="ARfintablebodyright"/>
              <w:spacing w:before="30" w:line="240" w:lineRule="auto"/>
            </w:pPr>
            <w:r w:rsidRPr="005B00A5">
              <w:t>–</w:t>
            </w:r>
          </w:p>
        </w:tc>
        <w:tc>
          <w:tcPr>
            <w:tcW w:w="1418" w:type="dxa"/>
            <w:tcBorders>
              <w:top w:val="single" w:sz="4" w:space="0" w:color="A6A6A6"/>
            </w:tcBorders>
          </w:tcPr>
          <w:p w14:paraId="002AC489" w14:textId="77777777" w:rsidR="005F4A7E" w:rsidRPr="002029AF" w:rsidRDefault="005F4A7E" w:rsidP="00130D1C">
            <w:pPr>
              <w:pStyle w:val="ARfintablebodyright"/>
              <w:spacing w:before="30" w:line="240" w:lineRule="auto"/>
            </w:pPr>
            <w:r w:rsidRPr="005B00A5">
              <w:t>–</w:t>
            </w:r>
          </w:p>
        </w:tc>
        <w:tc>
          <w:tcPr>
            <w:tcW w:w="1418" w:type="dxa"/>
            <w:tcBorders>
              <w:top w:val="single" w:sz="4" w:space="0" w:color="A6A6A6"/>
            </w:tcBorders>
            <w:noWrap/>
            <w:hideMark/>
          </w:tcPr>
          <w:p w14:paraId="03C25E2A" w14:textId="77777777" w:rsidR="005F4A7E" w:rsidRPr="002029AF" w:rsidRDefault="005F4A7E" w:rsidP="00130D1C">
            <w:pPr>
              <w:pStyle w:val="ARfintablebodyright"/>
              <w:spacing w:before="30" w:line="240" w:lineRule="auto"/>
            </w:pPr>
            <w:r w:rsidRPr="005B00A5">
              <w:t>–</w:t>
            </w:r>
          </w:p>
        </w:tc>
        <w:tc>
          <w:tcPr>
            <w:tcW w:w="1418" w:type="dxa"/>
            <w:tcBorders>
              <w:top w:val="single" w:sz="4" w:space="0" w:color="A6A6A6"/>
            </w:tcBorders>
            <w:noWrap/>
            <w:hideMark/>
          </w:tcPr>
          <w:p w14:paraId="52A3330C" w14:textId="77777777" w:rsidR="005F4A7E" w:rsidRPr="002029AF" w:rsidRDefault="005F4A7E" w:rsidP="00130D1C">
            <w:pPr>
              <w:pStyle w:val="ARfintablebodyright"/>
              <w:spacing w:before="30" w:line="240" w:lineRule="auto"/>
            </w:pPr>
            <w:r w:rsidRPr="005B00A5">
              <w:t>3,756.9</w:t>
            </w:r>
          </w:p>
        </w:tc>
      </w:tr>
      <w:tr w:rsidR="005F4A7E" w:rsidRPr="002029AF" w14:paraId="6FD6C6EC" w14:textId="77777777" w:rsidTr="00130D1C">
        <w:tc>
          <w:tcPr>
            <w:tcW w:w="2550" w:type="dxa"/>
            <w:hideMark/>
          </w:tcPr>
          <w:p w14:paraId="06FF8ED5" w14:textId="77777777" w:rsidR="005F4A7E" w:rsidRPr="002029AF" w:rsidRDefault="005F4A7E" w:rsidP="00130D1C">
            <w:pPr>
              <w:pStyle w:val="ARfintablebodybold"/>
              <w:spacing w:before="30" w:line="240" w:lineRule="auto"/>
            </w:pPr>
            <w:r w:rsidRPr="005B00A5">
              <w:t>Total financial assets</w:t>
            </w:r>
          </w:p>
        </w:tc>
        <w:tc>
          <w:tcPr>
            <w:tcW w:w="1417" w:type="dxa"/>
            <w:noWrap/>
            <w:hideMark/>
          </w:tcPr>
          <w:p w14:paraId="15172319" w14:textId="77777777" w:rsidR="005F4A7E" w:rsidRPr="002029AF" w:rsidRDefault="005F4A7E" w:rsidP="00130D1C">
            <w:pPr>
              <w:pStyle w:val="ARfintablebodyrightbold"/>
              <w:spacing w:before="30" w:line="240" w:lineRule="auto"/>
            </w:pPr>
            <w:r w:rsidRPr="005B00A5">
              <w:t>4,209.1</w:t>
            </w:r>
          </w:p>
        </w:tc>
        <w:tc>
          <w:tcPr>
            <w:tcW w:w="1418" w:type="dxa"/>
            <w:noWrap/>
            <w:hideMark/>
          </w:tcPr>
          <w:p w14:paraId="33AA45E2" w14:textId="77777777" w:rsidR="005F4A7E" w:rsidRPr="002029AF" w:rsidRDefault="005F4A7E" w:rsidP="00130D1C">
            <w:pPr>
              <w:pStyle w:val="ARfintablebodyrightbold"/>
              <w:spacing w:before="30" w:line="240" w:lineRule="auto"/>
            </w:pPr>
            <w:r w:rsidRPr="005B00A5">
              <w:t>851.5</w:t>
            </w:r>
          </w:p>
        </w:tc>
        <w:tc>
          <w:tcPr>
            <w:tcW w:w="1418" w:type="dxa"/>
          </w:tcPr>
          <w:p w14:paraId="2647B3BD" w14:textId="77777777" w:rsidR="005F4A7E" w:rsidRPr="002029AF" w:rsidRDefault="005F4A7E" w:rsidP="00130D1C">
            <w:pPr>
              <w:pStyle w:val="ARfintablebodyrightbold"/>
              <w:spacing w:before="30" w:line="240" w:lineRule="auto"/>
            </w:pPr>
            <w:r w:rsidRPr="005B00A5">
              <w:t>–</w:t>
            </w:r>
          </w:p>
        </w:tc>
        <w:tc>
          <w:tcPr>
            <w:tcW w:w="1418" w:type="dxa"/>
            <w:noWrap/>
            <w:hideMark/>
          </w:tcPr>
          <w:p w14:paraId="27C71BD3" w14:textId="77777777" w:rsidR="005F4A7E" w:rsidRPr="002029AF" w:rsidRDefault="005F4A7E" w:rsidP="00130D1C">
            <w:pPr>
              <w:pStyle w:val="ARfintablebodyrightbold"/>
              <w:spacing w:before="30" w:line="240" w:lineRule="auto"/>
            </w:pPr>
            <w:r w:rsidRPr="005B00A5">
              <w:t>171.2</w:t>
            </w:r>
          </w:p>
        </w:tc>
        <w:tc>
          <w:tcPr>
            <w:tcW w:w="1418" w:type="dxa"/>
            <w:noWrap/>
            <w:hideMark/>
          </w:tcPr>
          <w:p w14:paraId="1C83300B" w14:textId="77777777" w:rsidR="005F4A7E" w:rsidRPr="002029AF" w:rsidRDefault="005F4A7E" w:rsidP="00130D1C">
            <w:pPr>
              <w:pStyle w:val="ARfintablebodyrightbold"/>
              <w:spacing w:before="30" w:line="240" w:lineRule="auto"/>
            </w:pPr>
            <w:r w:rsidRPr="005B00A5">
              <w:t>5,231.8</w:t>
            </w:r>
          </w:p>
        </w:tc>
      </w:tr>
    </w:tbl>
    <w:p w14:paraId="1D9A3D07" w14:textId="77777777" w:rsidR="005F4A7E" w:rsidRDefault="005F4A7E" w:rsidP="00130D1C">
      <w:pPr>
        <w:pStyle w:val="ARfintablefootnote"/>
        <w:keepNext/>
        <w:spacing w:line="240" w:lineRule="auto"/>
        <w:rPr>
          <w:lang w:eastAsia="en-AU"/>
        </w:rPr>
      </w:pPr>
      <w:r>
        <w:rPr>
          <w:lang w:eastAsia="en-AU"/>
        </w:rPr>
        <w:lastRenderedPageBreak/>
        <w:t>Notes:</w:t>
      </w:r>
    </w:p>
    <w:p w14:paraId="41240198" w14:textId="77777777" w:rsidR="005F4A7E" w:rsidRDefault="005F4A7E" w:rsidP="00130D1C">
      <w:pPr>
        <w:pStyle w:val="ARfintablefootnoteindent"/>
      </w:pPr>
      <w:r>
        <w:t>(i)</w:t>
      </w:r>
      <w:r>
        <w:tab/>
        <w:t>State of Victoria credit rating was downgraded from AAA to AA as at 30 June 2021.</w:t>
      </w:r>
    </w:p>
    <w:p w14:paraId="1D5E0C12" w14:textId="77777777" w:rsidR="005F4A7E" w:rsidRDefault="005F4A7E" w:rsidP="00130D1C">
      <w:pPr>
        <w:pStyle w:val="ARfintablefootnoteindent"/>
      </w:pPr>
      <w:r>
        <w:t>(ii)</w:t>
      </w:r>
      <w:r>
        <w:tab/>
        <w:t>The total amounts disclosed here exclude statutory amounts, for example, amounts owing from Victorian Government, GST input tax credit recoverable and other taxes payable.</w:t>
      </w:r>
    </w:p>
    <w:p w14:paraId="3C01DEF0" w14:textId="77777777" w:rsidR="005F4A7E" w:rsidRDefault="005F4A7E" w:rsidP="00130D1C">
      <w:pPr>
        <w:pStyle w:val="ARfintablefootnoteindent"/>
      </w:pPr>
      <w:r>
        <w:t>(iii)</w:t>
      </w:r>
      <w:r>
        <w:tab/>
        <w:t>The carrying amounts consist of amounts due from numerous counterparties for which no credit ratings have been disclosed due to impracticability.</w:t>
      </w:r>
    </w:p>
    <w:p w14:paraId="2ED27335" w14:textId="77777777" w:rsidR="005F4A7E" w:rsidRDefault="005F4A7E" w:rsidP="00130D1C">
      <w:pPr>
        <w:pStyle w:val="Heading7"/>
      </w:pPr>
      <w:bookmarkStart w:id="1009" w:name="_Toc85121521"/>
      <w:r>
        <w:t>Impairment of financial assets under AASB 9</w:t>
      </w:r>
      <w:bookmarkEnd w:id="1009"/>
    </w:p>
    <w:p w14:paraId="5A9A7FCF" w14:textId="5B62517F" w:rsidR="005F4A7E" w:rsidRDefault="005F4A7E" w:rsidP="00130D1C">
      <w:pPr>
        <w:pStyle w:val="ARfinbody"/>
        <w:rPr>
          <w:color w:val="auto"/>
        </w:rPr>
      </w:pPr>
      <w:r>
        <w:rPr>
          <w:color w:val="auto"/>
        </w:rPr>
        <w:t>The department records the allowance for expected credit loss for the relevant financial instruments applying AASB 9</w:t>
      </w:r>
      <w:r w:rsidR="007D145B">
        <w:rPr>
          <w:color w:val="auto"/>
        </w:rPr>
        <w:t>’</w:t>
      </w:r>
      <w:r>
        <w:rPr>
          <w:color w:val="auto"/>
        </w:rPr>
        <w:t>s Expected Credit Loss approach. Subject to AASB 9 impairment assessment includes the department</w:t>
      </w:r>
      <w:r w:rsidR="007D145B">
        <w:rPr>
          <w:color w:val="auto"/>
        </w:rPr>
        <w:t>’</w:t>
      </w:r>
      <w:r>
        <w:rPr>
          <w:color w:val="auto"/>
        </w:rPr>
        <w:t>s contractual receivables and statutory receivables.</w:t>
      </w:r>
    </w:p>
    <w:p w14:paraId="742613F1" w14:textId="77777777" w:rsidR="005F4A7E" w:rsidRDefault="005F4A7E" w:rsidP="00130D1C">
      <w:pPr>
        <w:pStyle w:val="ARfinbody"/>
        <w:rPr>
          <w:color w:val="auto"/>
        </w:rPr>
      </w:pPr>
      <w:r>
        <w:rPr>
          <w:color w:val="auto"/>
        </w:rPr>
        <w:t>Equity instruments are not subject to impairment under AASB 9. Other financial assets mandatorily measured or designated at fair value through net result are not subject to impairment assessment under AASB 9. While cash and cash equivalents are also subject to the impairment requirements of AASB 9, the identified impairment loss was immaterial.</w:t>
      </w:r>
    </w:p>
    <w:p w14:paraId="73D80C65" w14:textId="77777777" w:rsidR="005F4A7E" w:rsidRDefault="005F4A7E" w:rsidP="00130D1C">
      <w:pPr>
        <w:pStyle w:val="Heading7"/>
      </w:pPr>
      <w:bookmarkStart w:id="1010" w:name="_Toc85121522"/>
      <w:r>
        <w:t>Contractual receivables at amortised cost</w:t>
      </w:r>
      <w:bookmarkEnd w:id="1010"/>
    </w:p>
    <w:p w14:paraId="426064AB" w14:textId="757686A3" w:rsidR="005F4A7E" w:rsidRDefault="005F4A7E" w:rsidP="00130D1C">
      <w:pPr>
        <w:pStyle w:val="ARfinbody"/>
      </w:pPr>
      <w:r>
        <w:t>The department applies the AASB 9 simplified approach for all contractual receivables to measure expected credit losses using a lifetime expected loss allowance based on the assumptions about risk of default and expected loss rates. The department has grouped contractual receivables on shared credit risk characteristics and days past due and selected the expected credit loss rate based on the department</w:t>
      </w:r>
      <w:r w:rsidR="007D145B">
        <w:t>’</w:t>
      </w:r>
      <w:r>
        <w:t>s past history, existing market conditions, as well as forward-looking estimates at the end of financial year.</w:t>
      </w:r>
    </w:p>
    <w:p w14:paraId="0702D635" w14:textId="77777777" w:rsidR="005F4A7E" w:rsidRDefault="005F4A7E" w:rsidP="00130D1C">
      <w:pPr>
        <w:pStyle w:val="ARfinbodylargespace"/>
      </w:pPr>
      <w:r>
        <w:t>On this basis, the department determines the loss allowance at the end of financial year as follows:</w:t>
      </w:r>
    </w:p>
    <w:tbl>
      <w:tblPr>
        <w:tblStyle w:val="TableGrid"/>
        <w:tblW w:w="9639" w:type="dxa"/>
        <w:tblLayout w:type="fixed"/>
        <w:tblLook w:val="06A0" w:firstRow="1" w:lastRow="0" w:firstColumn="1" w:lastColumn="0" w:noHBand="1" w:noVBand="1"/>
      </w:tblPr>
      <w:tblGrid>
        <w:gridCol w:w="2493"/>
        <w:gridCol w:w="1020"/>
        <w:gridCol w:w="1021"/>
        <w:gridCol w:w="1021"/>
        <w:gridCol w:w="1021"/>
        <w:gridCol w:w="1021"/>
        <w:gridCol w:w="1021"/>
        <w:gridCol w:w="1021"/>
      </w:tblGrid>
      <w:tr w:rsidR="005F4A7E" w:rsidRPr="002029AF" w14:paraId="33913C21"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0" w:type="dxa"/>
            <w:vMerge w:val="restart"/>
            <w:tcBorders>
              <w:top w:val="nil"/>
              <w:right w:val="nil"/>
            </w:tcBorders>
            <w:noWrap/>
            <w:hideMark/>
          </w:tcPr>
          <w:p w14:paraId="12E059D1" w14:textId="77777777" w:rsidR="005F4A7E" w:rsidRPr="002029AF" w:rsidRDefault="005F4A7E" w:rsidP="00860E95">
            <w:pPr>
              <w:pStyle w:val="ARfintablecolhead"/>
            </w:pPr>
          </w:p>
        </w:tc>
        <w:tc>
          <w:tcPr>
            <w:tcW w:w="1021" w:type="dxa"/>
            <w:vMerge w:val="restart"/>
            <w:tcBorders>
              <w:top w:val="nil"/>
              <w:left w:val="nil"/>
              <w:right w:val="nil"/>
            </w:tcBorders>
            <w:hideMark/>
          </w:tcPr>
          <w:p w14:paraId="43E260FF" w14:textId="77777777" w:rsidR="005F4A7E" w:rsidRPr="002029AF" w:rsidRDefault="005F4A7E" w:rsidP="00860E95">
            <w:pPr>
              <w:pStyle w:val="ARfintablecolheadright"/>
            </w:pPr>
            <w:r w:rsidRPr="002029AF">
              <w:t>Gross amount</w:t>
            </w:r>
          </w:p>
          <w:p w14:paraId="5EAFE7B5" w14:textId="77777777" w:rsidR="005F4A7E" w:rsidRPr="002029AF" w:rsidRDefault="005F4A7E" w:rsidP="00860E95">
            <w:pPr>
              <w:pStyle w:val="ARfintablecolheadright"/>
            </w:pPr>
            <w:r w:rsidRPr="002029AF">
              <w:t>$M</w:t>
            </w:r>
          </w:p>
        </w:tc>
        <w:tc>
          <w:tcPr>
            <w:tcW w:w="1021" w:type="dxa"/>
            <w:vMerge w:val="restart"/>
            <w:tcBorders>
              <w:top w:val="nil"/>
              <w:left w:val="nil"/>
              <w:right w:val="nil"/>
            </w:tcBorders>
          </w:tcPr>
          <w:p w14:paraId="1D58F920" w14:textId="77777777" w:rsidR="005F4A7E" w:rsidRPr="002029AF" w:rsidRDefault="005F4A7E" w:rsidP="00860E95">
            <w:pPr>
              <w:pStyle w:val="ARfintablecolheadright"/>
            </w:pPr>
            <w:r w:rsidRPr="002029AF">
              <w:t xml:space="preserve">Not past due and not impaired </w:t>
            </w:r>
            <w:r w:rsidRPr="002029AF">
              <w:rPr>
                <w:rFonts w:cs="Arial"/>
                <w:vertAlign w:val="superscript"/>
              </w:rPr>
              <w:t>(i)</w:t>
            </w:r>
          </w:p>
          <w:p w14:paraId="795A0974" w14:textId="77777777" w:rsidR="005F4A7E" w:rsidRPr="002029AF" w:rsidRDefault="005F4A7E" w:rsidP="00860E95">
            <w:pPr>
              <w:pStyle w:val="ARfintablecolheadright"/>
            </w:pPr>
            <w:r w:rsidRPr="002029AF">
              <w:t>$M</w:t>
            </w:r>
          </w:p>
        </w:tc>
        <w:tc>
          <w:tcPr>
            <w:tcW w:w="1021" w:type="dxa"/>
            <w:gridSpan w:val="4"/>
            <w:tcBorders>
              <w:top w:val="nil"/>
              <w:left w:val="nil"/>
            </w:tcBorders>
            <w:hideMark/>
          </w:tcPr>
          <w:p w14:paraId="0E299643" w14:textId="77777777" w:rsidR="005F4A7E" w:rsidRPr="002029AF" w:rsidRDefault="005F4A7E" w:rsidP="00860E95">
            <w:pPr>
              <w:pStyle w:val="ARfintablecolheadcentre"/>
            </w:pPr>
            <w:r w:rsidRPr="002029AF">
              <w:t>Past due</w:t>
            </w:r>
          </w:p>
        </w:tc>
        <w:tc>
          <w:tcPr>
            <w:tcW w:w="1021" w:type="dxa"/>
            <w:vMerge w:val="restart"/>
            <w:tcBorders>
              <w:top w:val="nil"/>
              <w:left w:val="nil"/>
            </w:tcBorders>
          </w:tcPr>
          <w:p w14:paraId="6C764A33" w14:textId="77777777" w:rsidR="005F4A7E" w:rsidRPr="002029AF" w:rsidRDefault="005F4A7E" w:rsidP="00860E95">
            <w:pPr>
              <w:pStyle w:val="ARfintablecolheadright"/>
            </w:pPr>
            <w:r w:rsidRPr="002029AF">
              <w:t>Total</w:t>
            </w:r>
          </w:p>
          <w:p w14:paraId="110979C5" w14:textId="77777777" w:rsidR="005F4A7E" w:rsidRPr="002029AF" w:rsidRDefault="005F4A7E" w:rsidP="00860E95">
            <w:pPr>
              <w:pStyle w:val="ARfintablecolheadright"/>
            </w:pPr>
            <w:r w:rsidRPr="002029AF">
              <w:t>$M</w:t>
            </w:r>
          </w:p>
        </w:tc>
      </w:tr>
      <w:tr w:rsidR="005F4A7E" w:rsidRPr="002029AF" w14:paraId="458FEC1E"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0" w:type="dxa"/>
            <w:vMerge/>
            <w:tcBorders>
              <w:right w:val="nil"/>
            </w:tcBorders>
            <w:hideMark/>
          </w:tcPr>
          <w:p w14:paraId="65BC955A" w14:textId="77777777" w:rsidR="005F4A7E" w:rsidRPr="002029AF" w:rsidRDefault="005F4A7E" w:rsidP="00860E95">
            <w:pPr>
              <w:pStyle w:val="ARfintablecolhead"/>
            </w:pPr>
          </w:p>
        </w:tc>
        <w:tc>
          <w:tcPr>
            <w:tcW w:w="1021" w:type="dxa"/>
            <w:vMerge/>
            <w:tcBorders>
              <w:left w:val="nil"/>
              <w:right w:val="nil"/>
            </w:tcBorders>
            <w:hideMark/>
          </w:tcPr>
          <w:p w14:paraId="0EBA95F5" w14:textId="77777777" w:rsidR="005F4A7E" w:rsidRPr="002029AF" w:rsidRDefault="005F4A7E" w:rsidP="00860E95">
            <w:pPr>
              <w:pStyle w:val="ARfintablecolheadright"/>
            </w:pPr>
          </w:p>
        </w:tc>
        <w:tc>
          <w:tcPr>
            <w:tcW w:w="1021" w:type="dxa"/>
            <w:vMerge/>
            <w:tcBorders>
              <w:left w:val="nil"/>
              <w:right w:val="nil"/>
            </w:tcBorders>
            <w:hideMark/>
          </w:tcPr>
          <w:p w14:paraId="27179FF0" w14:textId="77777777" w:rsidR="005F4A7E" w:rsidRPr="002029AF" w:rsidRDefault="005F4A7E" w:rsidP="00860E95">
            <w:pPr>
              <w:pStyle w:val="ARfintablecolheadright"/>
            </w:pPr>
          </w:p>
        </w:tc>
        <w:tc>
          <w:tcPr>
            <w:tcW w:w="1021" w:type="dxa"/>
            <w:tcBorders>
              <w:left w:val="nil"/>
              <w:right w:val="nil"/>
            </w:tcBorders>
            <w:hideMark/>
          </w:tcPr>
          <w:p w14:paraId="505F7C0C" w14:textId="77777777" w:rsidR="005F4A7E" w:rsidRPr="002029AF" w:rsidRDefault="005F4A7E" w:rsidP="00860E95">
            <w:pPr>
              <w:pStyle w:val="ARfintablecolheadright"/>
            </w:pPr>
            <w:r w:rsidRPr="002029AF">
              <w:t>Less than 1 month</w:t>
            </w:r>
          </w:p>
          <w:p w14:paraId="7A26CB99" w14:textId="77777777" w:rsidR="005F4A7E" w:rsidRPr="002029AF" w:rsidRDefault="005F4A7E" w:rsidP="00860E95">
            <w:pPr>
              <w:pStyle w:val="ARfintablecolheadright"/>
            </w:pPr>
            <w:r w:rsidRPr="002029AF">
              <w:t>$M</w:t>
            </w:r>
          </w:p>
        </w:tc>
        <w:tc>
          <w:tcPr>
            <w:tcW w:w="1021" w:type="dxa"/>
            <w:tcBorders>
              <w:left w:val="nil"/>
              <w:right w:val="nil"/>
            </w:tcBorders>
            <w:hideMark/>
          </w:tcPr>
          <w:p w14:paraId="3D5D945C" w14:textId="77777777" w:rsidR="005F4A7E" w:rsidRPr="002029AF" w:rsidRDefault="005F4A7E" w:rsidP="00860E95">
            <w:pPr>
              <w:pStyle w:val="ARfintablecolheadright"/>
            </w:pPr>
            <w:r w:rsidRPr="002029AF">
              <w:t>1–3 months</w:t>
            </w:r>
          </w:p>
          <w:p w14:paraId="4A1156ED" w14:textId="77777777" w:rsidR="005F4A7E" w:rsidRPr="002029AF" w:rsidRDefault="005F4A7E" w:rsidP="00860E95">
            <w:pPr>
              <w:pStyle w:val="ARfintablecolheadright"/>
            </w:pPr>
            <w:r w:rsidRPr="002029AF">
              <w:t>$M</w:t>
            </w:r>
          </w:p>
        </w:tc>
        <w:tc>
          <w:tcPr>
            <w:tcW w:w="1021" w:type="dxa"/>
            <w:tcBorders>
              <w:left w:val="nil"/>
              <w:right w:val="nil"/>
            </w:tcBorders>
            <w:hideMark/>
          </w:tcPr>
          <w:p w14:paraId="1640A335" w14:textId="77777777" w:rsidR="005F4A7E" w:rsidRPr="002029AF" w:rsidRDefault="005F4A7E" w:rsidP="00860E95">
            <w:pPr>
              <w:pStyle w:val="ARfintablecolheadright"/>
            </w:pPr>
            <w:r w:rsidRPr="002029AF">
              <w:t>3 months – 1 year</w:t>
            </w:r>
          </w:p>
          <w:p w14:paraId="48C1EB51" w14:textId="77777777" w:rsidR="005F4A7E" w:rsidRPr="002029AF" w:rsidRDefault="005F4A7E" w:rsidP="00860E95">
            <w:pPr>
              <w:pStyle w:val="ARfintablecolheadright"/>
            </w:pPr>
            <w:r w:rsidRPr="002029AF">
              <w:t>$M</w:t>
            </w:r>
          </w:p>
        </w:tc>
        <w:tc>
          <w:tcPr>
            <w:tcW w:w="1021" w:type="dxa"/>
            <w:tcBorders>
              <w:left w:val="nil"/>
              <w:right w:val="nil"/>
            </w:tcBorders>
            <w:hideMark/>
          </w:tcPr>
          <w:p w14:paraId="526D4BB4" w14:textId="77777777" w:rsidR="005F4A7E" w:rsidRPr="002029AF" w:rsidRDefault="005F4A7E" w:rsidP="00860E95">
            <w:pPr>
              <w:pStyle w:val="ARfintablecolheadright"/>
            </w:pPr>
            <w:r w:rsidRPr="002029AF">
              <w:t>1–5 years</w:t>
            </w:r>
          </w:p>
          <w:p w14:paraId="45FE2AF5" w14:textId="77777777" w:rsidR="005F4A7E" w:rsidRPr="002029AF" w:rsidRDefault="005F4A7E" w:rsidP="00860E95">
            <w:pPr>
              <w:pStyle w:val="ARfintablecolheadright"/>
            </w:pPr>
            <w:r w:rsidRPr="002029AF">
              <w:t>$M</w:t>
            </w:r>
          </w:p>
        </w:tc>
        <w:tc>
          <w:tcPr>
            <w:tcW w:w="992" w:type="dxa"/>
            <w:vMerge/>
            <w:tcBorders>
              <w:left w:val="nil"/>
            </w:tcBorders>
            <w:hideMark/>
          </w:tcPr>
          <w:p w14:paraId="42C2C86E" w14:textId="77777777" w:rsidR="005F4A7E" w:rsidRPr="002029AF" w:rsidRDefault="005F4A7E" w:rsidP="00860E95">
            <w:pPr>
              <w:pStyle w:val="ARfintablecolheadright"/>
            </w:pPr>
          </w:p>
        </w:tc>
      </w:tr>
      <w:tr w:rsidR="005F4A7E" w:rsidRPr="002029AF" w14:paraId="764C8DA2" w14:textId="77777777" w:rsidTr="00130D1C">
        <w:tc>
          <w:tcPr>
            <w:tcW w:w="1021" w:type="dxa"/>
            <w:gridSpan w:val="8"/>
            <w:tcBorders>
              <w:bottom w:val="single" w:sz="4" w:space="0" w:color="auto"/>
            </w:tcBorders>
            <w:hideMark/>
          </w:tcPr>
          <w:p w14:paraId="3D6211AA" w14:textId="77777777" w:rsidR="005F4A7E" w:rsidRPr="002029AF" w:rsidRDefault="005F4A7E" w:rsidP="00130D1C">
            <w:pPr>
              <w:pStyle w:val="ARfintablebodybold"/>
            </w:pPr>
            <w:r w:rsidRPr="00832F26">
              <w:t>2021</w:t>
            </w:r>
          </w:p>
        </w:tc>
      </w:tr>
      <w:tr w:rsidR="005F4A7E" w:rsidRPr="002029AF" w14:paraId="42A0B243" w14:textId="77777777" w:rsidTr="00130D1C">
        <w:tc>
          <w:tcPr>
            <w:tcW w:w="2495" w:type="dxa"/>
            <w:tcBorders>
              <w:top w:val="single" w:sz="4" w:space="0" w:color="auto"/>
              <w:bottom w:val="single" w:sz="4" w:space="0" w:color="A6A6A6"/>
              <w:right w:val="nil"/>
            </w:tcBorders>
            <w:hideMark/>
          </w:tcPr>
          <w:p w14:paraId="71E268C0" w14:textId="77777777" w:rsidR="005F4A7E" w:rsidRPr="002029AF" w:rsidRDefault="005F4A7E" w:rsidP="00130D1C">
            <w:pPr>
              <w:pStyle w:val="ARfintablebodybold"/>
            </w:pPr>
            <w:r w:rsidRPr="00832F26">
              <w:t>Expected loss rate</w:t>
            </w:r>
          </w:p>
        </w:tc>
        <w:tc>
          <w:tcPr>
            <w:tcW w:w="1021" w:type="dxa"/>
            <w:tcBorders>
              <w:top w:val="single" w:sz="4" w:space="0" w:color="auto"/>
              <w:left w:val="nil"/>
              <w:bottom w:val="single" w:sz="4" w:space="0" w:color="A6A6A6"/>
              <w:right w:val="nil"/>
            </w:tcBorders>
            <w:noWrap/>
            <w:hideMark/>
          </w:tcPr>
          <w:p w14:paraId="15D972FB" w14:textId="77777777" w:rsidR="005F4A7E" w:rsidRPr="002029AF" w:rsidRDefault="005F4A7E" w:rsidP="00130D1C">
            <w:pPr>
              <w:pStyle w:val="ARfintablebodyrightbold"/>
            </w:pPr>
          </w:p>
        </w:tc>
        <w:tc>
          <w:tcPr>
            <w:tcW w:w="1021" w:type="dxa"/>
            <w:tcBorders>
              <w:top w:val="single" w:sz="4" w:space="0" w:color="auto"/>
              <w:left w:val="nil"/>
              <w:bottom w:val="single" w:sz="4" w:space="0" w:color="A6A6A6"/>
              <w:right w:val="nil"/>
            </w:tcBorders>
            <w:noWrap/>
            <w:hideMark/>
          </w:tcPr>
          <w:p w14:paraId="521CC9F2" w14:textId="77777777" w:rsidR="005F4A7E" w:rsidRPr="002029AF" w:rsidRDefault="005F4A7E" w:rsidP="00130D1C">
            <w:pPr>
              <w:pStyle w:val="ARfintablebodyrightbold"/>
            </w:pPr>
            <w:r w:rsidRPr="00832F26">
              <w:t>–</w:t>
            </w:r>
          </w:p>
        </w:tc>
        <w:tc>
          <w:tcPr>
            <w:tcW w:w="1021" w:type="dxa"/>
            <w:tcBorders>
              <w:top w:val="single" w:sz="4" w:space="0" w:color="auto"/>
              <w:left w:val="nil"/>
              <w:bottom w:val="single" w:sz="4" w:space="0" w:color="A6A6A6"/>
              <w:right w:val="nil"/>
            </w:tcBorders>
            <w:noWrap/>
            <w:hideMark/>
          </w:tcPr>
          <w:p w14:paraId="357C1CAF" w14:textId="77777777" w:rsidR="005F4A7E" w:rsidRPr="002029AF" w:rsidRDefault="005F4A7E" w:rsidP="00130D1C">
            <w:pPr>
              <w:pStyle w:val="ARfintablebodyrightbold"/>
            </w:pPr>
            <w:r w:rsidRPr="00832F26">
              <w:t>19%</w:t>
            </w:r>
          </w:p>
        </w:tc>
        <w:tc>
          <w:tcPr>
            <w:tcW w:w="1021" w:type="dxa"/>
            <w:tcBorders>
              <w:top w:val="single" w:sz="4" w:space="0" w:color="auto"/>
              <w:left w:val="nil"/>
              <w:bottom w:val="single" w:sz="4" w:space="0" w:color="A6A6A6"/>
              <w:right w:val="nil"/>
            </w:tcBorders>
            <w:noWrap/>
            <w:hideMark/>
          </w:tcPr>
          <w:p w14:paraId="75654242" w14:textId="77777777" w:rsidR="005F4A7E" w:rsidRPr="002029AF" w:rsidRDefault="005F4A7E" w:rsidP="00130D1C">
            <w:pPr>
              <w:pStyle w:val="ARfintablebodyrightbold"/>
            </w:pPr>
            <w:r w:rsidRPr="00832F26">
              <w:t>34%</w:t>
            </w:r>
          </w:p>
        </w:tc>
        <w:tc>
          <w:tcPr>
            <w:tcW w:w="1021" w:type="dxa"/>
            <w:tcBorders>
              <w:top w:val="single" w:sz="4" w:space="0" w:color="auto"/>
              <w:left w:val="nil"/>
              <w:bottom w:val="single" w:sz="4" w:space="0" w:color="A6A6A6"/>
              <w:right w:val="nil"/>
            </w:tcBorders>
            <w:noWrap/>
            <w:hideMark/>
          </w:tcPr>
          <w:p w14:paraId="48ABD244" w14:textId="77777777" w:rsidR="005F4A7E" w:rsidRPr="002029AF" w:rsidRDefault="005F4A7E" w:rsidP="00130D1C">
            <w:pPr>
              <w:pStyle w:val="ARfintablebodyrightbold"/>
            </w:pPr>
            <w:r w:rsidRPr="00832F26">
              <w:t>52%</w:t>
            </w:r>
          </w:p>
        </w:tc>
        <w:tc>
          <w:tcPr>
            <w:tcW w:w="1021" w:type="dxa"/>
            <w:tcBorders>
              <w:top w:val="single" w:sz="4" w:space="0" w:color="auto"/>
              <w:left w:val="nil"/>
              <w:bottom w:val="single" w:sz="4" w:space="0" w:color="A6A6A6"/>
              <w:right w:val="nil"/>
            </w:tcBorders>
            <w:noWrap/>
            <w:hideMark/>
          </w:tcPr>
          <w:p w14:paraId="02AE50F3" w14:textId="77777777" w:rsidR="005F4A7E" w:rsidRPr="002029AF" w:rsidRDefault="005F4A7E" w:rsidP="00130D1C">
            <w:pPr>
              <w:pStyle w:val="ARfintablebodyrightbold"/>
            </w:pPr>
            <w:r w:rsidRPr="00832F26">
              <w:t>76%</w:t>
            </w:r>
          </w:p>
        </w:tc>
        <w:tc>
          <w:tcPr>
            <w:tcW w:w="992" w:type="dxa"/>
            <w:tcBorders>
              <w:top w:val="single" w:sz="4" w:space="0" w:color="auto"/>
              <w:left w:val="nil"/>
              <w:bottom w:val="single" w:sz="4" w:space="0" w:color="A6A6A6"/>
            </w:tcBorders>
            <w:noWrap/>
            <w:hideMark/>
          </w:tcPr>
          <w:p w14:paraId="7464305F" w14:textId="77777777" w:rsidR="005F4A7E" w:rsidRPr="002029AF" w:rsidRDefault="005F4A7E" w:rsidP="00130D1C">
            <w:pPr>
              <w:pStyle w:val="ARfintablebodyrightbold"/>
            </w:pPr>
          </w:p>
        </w:tc>
      </w:tr>
      <w:tr w:rsidR="005F4A7E" w:rsidRPr="002029AF" w14:paraId="662D0125" w14:textId="77777777" w:rsidTr="00130D1C">
        <w:tc>
          <w:tcPr>
            <w:tcW w:w="2495" w:type="dxa"/>
            <w:tcBorders>
              <w:top w:val="single" w:sz="4" w:space="0" w:color="A6A6A6"/>
              <w:right w:val="nil"/>
            </w:tcBorders>
            <w:hideMark/>
          </w:tcPr>
          <w:p w14:paraId="29E38796" w14:textId="77777777" w:rsidR="005F4A7E" w:rsidRPr="002029AF" w:rsidRDefault="005F4A7E" w:rsidP="00130D1C">
            <w:pPr>
              <w:pStyle w:val="ARfintablebody"/>
            </w:pPr>
            <w:r w:rsidRPr="00832F26">
              <w:t>Gross carrying amount of contractual receivables</w:t>
            </w:r>
          </w:p>
        </w:tc>
        <w:tc>
          <w:tcPr>
            <w:tcW w:w="1021" w:type="dxa"/>
            <w:tcBorders>
              <w:top w:val="single" w:sz="4" w:space="0" w:color="A6A6A6"/>
              <w:left w:val="nil"/>
              <w:right w:val="nil"/>
            </w:tcBorders>
            <w:noWrap/>
            <w:hideMark/>
          </w:tcPr>
          <w:p w14:paraId="18D557C4" w14:textId="77777777" w:rsidR="005F4A7E" w:rsidRPr="002029AF" w:rsidRDefault="005F4A7E" w:rsidP="00130D1C">
            <w:pPr>
              <w:pStyle w:val="ARfintablebodyright"/>
            </w:pPr>
            <w:r w:rsidRPr="00832F26">
              <w:t>369.6</w:t>
            </w:r>
          </w:p>
        </w:tc>
        <w:tc>
          <w:tcPr>
            <w:tcW w:w="1021" w:type="dxa"/>
            <w:tcBorders>
              <w:top w:val="single" w:sz="4" w:space="0" w:color="A6A6A6"/>
              <w:left w:val="nil"/>
              <w:right w:val="nil"/>
            </w:tcBorders>
            <w:noWrap/>
            <w:hideMark/>
          </w:tcPr>
          <w:p w14:paraId="4B94BE9D" w14:textId="77777777" w:rsidR="005F4A7E" w:rsidRPr="002029AF" w:rsidRDefault="005F4A7E" w:rsidP="00130D1C">
            <w:pPr>
              <w:pStyle w:val="ARfintablebodyright"/>
            </w:pPr>
            <w:r w:rsidRPr="00832F26">
              <w:t>299.1</w:t>
            </w:r>
          </w:p>
        </w:tc>
        <w:tc>
          <w:tcPr>
            <w:tcW w:w="1021" w:type="dxa"/>
            <w:tcBorders>
              <w:top w:val="single" w:sz="4" w:space="0" w:color="A6A6A6"/>
              <w:left w:val="nil"/>
              <w:right w:val="nil"/>
            </w:tcBorders>
            <w:noWrap/>
            <w:hideMark/>
          </w:tcPr>
          <w:p w14:paraId="246160A8" w14:textId="77777777" w:rsidR="005F4A7E" w:rsidRPr="002029AF" w:rsidRDefault="005F4A7E" w:rsidP="00130D1C">
            <w:pPr>
              <w:pStyle w:val="ARfintablebodyright"/>
            </w:pPr>
            <w:r w:rsidRPr="00832F26">
              <w:t>26.1</w:t>
            </w:r>
          </w:p>
        </w:tc>
        <w:tc>
          <w:tcPr>
            <w:tcW w:w="1021" w:type="dxa"/>
            <w:tcBorders>
              <w:top w:val="single" w:sz="4" w:space="0" w:color="A6A6A6"/>
              <w:left w:val="nil"/>
              <w:right w:val="nil"/>
            </w:tcBorders>
            <w:noWrap/>
            <w:hideMark/>
          </w:tcPr>
          <w:p w14:paraId="46C5DBC8" w14:textId="77777777" w:rsidR="005F4A7E" w:rsidRPr="002029AF" w:rsidRDefault="005F4A7E" w:rsidP="00130D1C">
            <w:pPr>
              <w:pStyle w:val="ARfintablebodyright"/>
            </w:pPr>
            <w:r w:rsidRPr="00832F26">
              <w:t>18.3</w:t>
            </w:r>
          </w:p>
        </w:tc>
        <w:tc>
          <w:tcPr>
            <w:tcW w:w="1021" w:type="dxa"/>
            <w:tcBorders>
              <w:top w:val="single" w:sz="4" w:space="0" w:color="A6A6A6"/>
              <w:left w:val="nil"/>
              <w:right w:val="nil"/>
            </w:tcBorders>
            <w:noWrap/>
            <w:hideMark/>
          </w:tcPr>
          <w:p w14:paraId="2F8D5DD3" w14:textId="77777777" w:rsidR="005F4A7E" w:rsidRPr="002029AF" w:rsidRDefault="005F4A7E" w:rsidP="00130D1C">
            <w:pPr>
              <w:pStyle w:val="ARfintablebodyright"/>
            </w:pPr>
            <w:r w:rsidRPr="00832F26">
              <w:t>14.1</w:t>
            </w:r>
          </w:p>
        </w:tc>
        <w:tc>
          <w:tcPr>
            <w:tcW w:w="1021" w:type="dxa"/>
            <w:tcBorders>
              <w:top w:val="single" w:sz="4" w:space="0" w:color="A6A6A6"/>
              <w:left w:val="nil"/>
              <w:right w:val="nil"/>
            </w:tcBorders>
            <w:noWrap/>
            <w:hideMark/>
          </w:tcPr>
          <w:p w14:paraId="5D553D25" w14:textId="77777777" w:rsidR="005F4A7E" w:rsidRPr="002029AF" w:rsidRDefault="005F4A7E" w:rsidP="00130D1C">
            <w:pPr>
              <w:pStyle w:val="ARfintablebodyright"/>
            </w:pPr>
            <w:r w:rsidRPr="00832F26">
              <w:t>12.0</w:t>
            </w:r>
          </w:p>
        </w:tc>
        <w:tc>
          <w:tcPr>
            <w:tcW w:w="992" w:type="dxa"/>
            <w:tcBorders>
              <w:top w:val="single" w:sz="4" w:space="0" w:color="A6A6A6"/>
              <w:left w:val="nil"/>
            </w:tcBorders>
            <w:noWrap/>
            <w:hideMark/>
          </w:tcPr>
          <w:p w14:paraId="2A1797F3" w14:textId="77777777" w:rsidR="005F4A7E" w:rsidRPr="002029AF" w:rsidRDefault="005F4A7E" w:rsidP="00130D1C">
            <w:pPr>
              <w:pStyle w:val="ARfintablebodyright"/>
            </w:pPr>
          </w:p>
        </w:tc>
      </w:tr>
      <w:tr w:rsidR="005F4A7E" w:rsidRPr="002029AF" w14:paraId="369BAF88" w14:textId="77777777" w:rsidTr="00130D1C">
        <w:tc>
          <w:tcPr>
            <w:tcW w:w="2495" w:type="dxa"/>
            <w:tcBorders>
              <w:right w:val="nil"/>
            </w:tcBorders>
            <w:hideMark/>
          </w:tcPr>
          <w:p w14:paraId="6791C74C" w14:textId="77777777" w:rsidR="005F4A7E" w:rsidRPr="002029AF" w:rsidRDefault="005F4A7E" w:rsidP="00130D1C">
            <w:pPr>
              <w:pStyle w:val="ARfintablebodybold"/>
            </w:pPr>
            <w:r w:rsidRPr="00832F26">
              <w:t>Loss allowance</w:t>
            </w:r>
          </w:p>
        </w:tc>
        <w:tc>
          <w:tcPr>
            <w:tcW w:w="1021" w:type="dxa"/>
            <w:tcBorders>
              <w:left w:val="nil"/>
              <w:right w:val="nil"/>
            </w:tcBorders>
            <w:noWrap/>
            <w:hideMark/>
          </w:tcPr>
          <w:p w14:paraId="5E97AD29" w14:textId="77777777" w:rsidR="005F4A7E" w:rsidRPr="002029AF" w:rsidRDefault="005F4A7E" w:rsidP="00130D1C">
            <w:pPr>
              <w:pStyle w:val="ARfintablebodyrightbold"/>
            </w:pPr>
          </w:p>
        </w:tc>
        <w:tc>
          <w:tcPr>
            <w:tcW w:w="1021" w:type="dxa"/>
            <w:tcBorders>
              <w:left w:val="nil"/>
              <w:right w:val="nil"/>
            </w:tcBorders>
            <w:noWrap/>
            <w:hideMark/>
          </w:tcPr>
          <w:p w14:paraId="7BDAF614" w14:textId="77777777" w:rsidR="005F4A7E" w:rsidRPr="002029AF" w:rsidRDefault="005F4A7E" w:rsidP="00130D1C">
            <w:pPr>
              <w:pStyle w:val="ARfintablebodyrightbold"/>
            </w:pPr>
            <w:r w:rsidRPr="00832F26">
              <w:t>–</w:t>
            </w:r>
          </w:p>
        </w:tc>
        <w:tc>
          <w:tcPr>
            <w:tcW w:w="1021" w:type="dxa"/>
            <w:tcBorders>
              <w:left w:val="nil"/>
              <w:right w:val="nil"/>
            </w:tcBorders>
            <w:noWrap/>
            <w:hideMark/>
          </w:tcPr>
          <w:p w14:paraId="1A1F4498" w14:textId="77777777" w:rsidR="005F4A7E" w:rsidRPr="002029AF" w:rsidRDefault="005F4A7E" w:rsidP="00130D1C">
            <w:pPr>
              <w:pStyle w:val="ARfintablebodyrightbold"/>
            </w:pPr>
            <w:r w:rsidRPr="00832F26">
              <w:t>5.0</w:t>
            </w:r>
          </w:p>
        </w:tc>
        <w:tc>
          <w:tcPr>
            <w:tcW w:w="1021" w:type="dxa"/>
            <w:tcBorders>
              <w:left w:val="nil"/>
              <w:right w:val="nil"/>
            </w:tcBorders>
            <w:noWrap/>
            <w:hideMark/>
          </w:tcPr>
          <w:p w14:paraId="3C974147" w14:textId="77777777" w:rsidR="005F4A7E" w:rsidRPr="002029AF" w:rsidRDefault="005F4A7E" w:rsidP="00130D1C">
            <w:pPr>
              <w:pStyle w:val="ARfintablebodyrightbold"/>
            </w:pPr>
            <w:r w:rsidRPr="00832F26">
              <w:t>6.3</w:t>
            </w:r>
          </w:p>
        </w:tc>
        <w:tc>
          <w:tcPr>
            <w:tcW w:w="1021" w:type="dxa"/>
            <w:tcBorders>
              <w:left w:val="nil"/>
              <w:right w:val="nil"/>
            </w:tcBorders>
            <w:noWrap/>
            <w:hideMark/>
          </w:tcPr>
          <w:p w14:paraId="11B01444" w14:textId="77777777" w:rsidR="005F4A7E" w:rsidRPr="002029AF" w:rsidRDefault="005F4A7E" w:rsidP="00130D1C">
            <w:pPr>
              <w:pStyle w:val="ARfintablebodyrightbold"/>
            </w:pPr>
            <w:r w:rsidRPr="00832F26">
              <w:t>7.3</w:t>
            </w:r>
          </w:p>
        </w:tc>
        <w:tc>
          <w:tcPr>
            <w:tcW w:w="1021" w:type="dxa"/>
            <w:tcBorders>
              <w:left w:val="nil"/>
              <w:right w:val="nil"/>
            </w:tcBorders>
            <w:noWrap/>
            <w:hideMark/>
          </w:tcPr>
          <w:p w14:paraId="2B063585" w14:textId="77777777" w:rsidR="005F4A7E" w:rsidRPr="002029AF" w:rsidRDefault="005F4A7E" w:rsidP="00130D1C">
            <w:pPr>
              <w:pStyle w:val="ARfintablebodyrightbold"/>
            </w:pPr>
            <w:r w:rsidRPr="00832F26">
              <w:t>9.1</w:t>
            </w:r>
          </w:p>
        </w:tc>
        <w:tc>
          <w:tcPr>
            <w:tcW w:w="992" w:type="dxa"/>
            <w:tcBorders>
              <w:left w:val="nil"/>
            </w:tcBorders>
            <w:noWrap/>
            <w:hideMark/>
          </w:tcPr>
          <w:p w14:paraId="283FE75D" w14:textId="77777777" w:rsidR="005F4A7E" w:rsidRPr="002029AF" w:rsidRDefault="005F4A7E" w:rsidP="00130D1C">
            <w:pPr>
              <w:pStyle w:val="ARfintablebodyrightbold"/>
            </w:pPr>
            <w:r w:rsidRPr="00832F26">
              <w:t>27.7</w:t>
            </w:r>
          </w:p>
        </w:tc>
      </w:tr>
      <w:tr w:rsidR="005F4A7E" w:rsidRPr="002029AF" w14:paraId="431B5DEF" w14:textId="77777777" w:rsidTr="00130D1C">
        <w:tc>
          <w:tcPr>
            <w:tcW w:w="2495" w:type="dxa"/>
            <w:gridSpan w:val="8"/>
            <w:tcBorders>
              <w:bottom w:val="single" w:sz="4" w:space="0" w:color="auto"/>
            </w:tcBorders>
            <w:hideMark/>
          </w:tcPr>
          <w:p w14:paraId="0DA9B898" w14:textId="77777777" w:rsidR="005F4A7E" w:rsidRPr="002029AF" w:rsidRDefault="005F4A7E" w:rsidP="00130D1C">
            <w:pPr>
              <w:pStyle w:val="ARfintablebodybold"/>
            </w:pPr>
            <w:r w:rsidRPr="00832F26">
              <w:t>2020</w:t>
            </w:r>
          </w:p>
        </w:tc>
      </w:tr>
      <w:tr w:rsidR="005F4A7E" w:rsidRPr="002029AF" w14:paraId="7AEC9214" w14:textId="77777777" w:rsidTr="00130D1C">
        <w:tc>
          <w:tcPr>
            <w:tcW w:w="2495" w:type="dxa"/>
            <w:tcBorders>
              <w:top w:val="single" w:sz="4" w:space="0" w:color="auto"/>
              <w:bottom w:val="single" w:sz="4" w:space="0" w:color="A6A6A6"/>
              <w:right w:val="nil"/>
            </w:tcBorders>
            <w:hideMark/>
          </w:tcPr>
          <w:p w14:paraId="0BEF74F1" w14:textId="77777777" w:rsidR="005F4A7E" w:rsidRPr="002029AF" w:rsidRDefault="005F4A7E" w:rsidP="00130D1C">
            <w:pPr>
              <w:pStyle w:val="ARfintablebodybold"/>
            </w:pPr>
            <w:r w:rsidRPr="00832F26">
              <w:t>Expected loss rate</w:t>
            </w:r>
          </w:p>
        </w:tc>
        <w:tc>
          <w:tcPr>
            <w:tcW w:w="1021" w:type="dxa"/>
            <w:tcBorders>
              <w:top w:val="single" w:sz="4" w:space="0" w:color="auto"/>
              <w:left w:val="nil"/>
              <w:bottom w:val="single" w:sz="4" w:space="0" w:color="A6A6A6"/>
              <w:right w:val="nil"/>
            </w:tcBorders>
            <w:noWrap/>
            <w:hideMark/>
          </w:tcPr>
          <w:p w14:paraId="7C65F03A" w14:textId="77777777" w:rsidR="005F4A7E" w:rsidRPr="002029AF" w:rsidRDefault="005F4A7E" w:rsidP="00130D1C">
            <w:pPr>
              <w:pStyle w:val="ARfintablebodyrightbold"/>
            </w:pPr>
          </w:p>
        </w:tc>
        <w:tc>
          <w:tcPr>
            <w:tcW w:w="1021" w:type="dxa"/>
            <w:tcBorders>
              <w:top w:val="single" w:sz="4" w:space="0" w:color="auto"/>
              <w:left w:val="nil"/>
              <w:bottom w:val="single" w:sz="4" w:space="0" w:color="A6A6A6"/>
              <w:right w:val="nil"/>
            </w:tcBorders>
            <w:noWrap/>
            <w:hideMark/>
          </w:tcPr>
          <w:p w14:paraId="6DBDE77D" w14:textId="77777777" w:rsidR="005F4A7E" w:rsidRPr="002029AF" w:rsidRDefault="005F4A7E" w:rsidP="00130D1C">
            <w:pPr>
              <w:pStyle w:val="ARfintablebodyrightbold"/>
            </w:pPr>
            <w:r w:rsidRPr="00832F26">
              <w:t>–</w:t>
            </w:r>
          </w:p>
        </w:tc>
        <w:tc>
          <w:tcPr>
            <w:tcW w:w="1021" w:type="dxa"/>
            <w:tcBorders>
              <w:top w:val="single" w:sz="4" w:space="0" w:color="auto"/>
              <w:left w:val="nil"/>
              <w:bottom w:val="single" w:sz="4" w:space="0" w:color="A6A6A6"/>
              <w:right w:val="nil"/>
            </w:tcBorders>
            <w:noWrap/>
            <w:hideMark/>
          </w:tcPr>
          <w:p w14:paraId="2966A185" w14:textId="77777777" w:rsidR="005F4A7E" w:rsidRPr="002029AF" w:rsidRDefault="005F4A7E" w:rsidP="00130D1C">
            <w:pPr>
              <w:pStyle w:val="ARfintablebodyrightbold"/>
            </w:pPr>
            <w:r w:rsidRPr="00832F26">
              <w:t>3%</w:t>
            </w:r>
          </w:p>
        </w:tc>
        <w:tc>
          <w:tcPr>
            <w:tcW w:w="1021" w:type="dxa"/>
            <w:tcBorders>
              <w:top w:val="single" w:sz="4" w:space="0" w:color="auto"/>
              <w:left w:val="nil"/>
              <w:bottom w:val="single" w:sz="4" w:space="0" w:color="A6A6A6"/>
              <w:right w:val="nil"/>
            </w:tcBorders>
            <w:noWrap/>
            <w:hideMark/>
          </w:tcPr>
          <w:p w14:paraId="614F2F93" w14:textId="77777777" w:rsidR="005F4A7E" w:rsidRPr="002029AF" w:rsidRDefault="005F4A7E" w:rsidP="00130D1C">
            <w:pPr>
              <w:pStyle w:val="ARfintablebodyrightbold"/>
            </w:pPr>
            <w:r w:rsidRPr="00832F26">
              <w:t>9%</w:t>
            </w:r>
          </w:p>
        </w:tc>
        <w:tc>
          <w:tcPr>
            <w:tcW w:w="1021" w:type="dxa"/>
            <w:tcBorders>
              <w:top w:val="single" w:sz="4" w:space="0" w:color="auto"/>
              <w:left w:val="nil"/>
              <w:bottom w:val="single" w:sz="4" w:space="0" w:color="A6A6A6"/>
              <w:right w:val="nil"/>
            </w:tcBorders>
            <w:noWrap/>
            <w:hideMark/>
          </w:tcPr>
          <w:p w14:paraId="35E10673" w14:textId="77777777" w:rsidR="005F4A7E" w:rsidRPr="002029AF" w:rsidRDefault="005F4A7E" w:rsidP="00130D1C">
            <w:pPr>
              <w:pStyle w:val="ARfintablebodyrightbold"/>
            </w:pPr>
            <w:r w:rsidRPr="00832F26">
              <w:t>18%</w:t>
            </w:r>
          </w:p>
        </w:tc>
        <w:tc>
          <w:tcPr>
            <w:tcW w:w="1021" w:type="dxa"/>
            <w:tcBorders>
              <w:top w:val="single" w:sz="4" w:space="0" w:color="auto"/>
              <w:left w:val="nil"/>
              <w:bottom w:val="single" w:sz="4" w:space="0" w:color="A6A6A6"/>
              <w:right w:val="nil"/>
            </w:tcBorders>
            <w:noWrap/>
            <w:hideMark/>
          </w:tcPr>
          <w:p w14:paraId="14C140C6" w14:textId="77777777" w:rsidR="005F4A7E" w:rsidRPr="002029AF" w:rsidRDefault="005F4A7E" w:rsidP="00130D1C">
            <w:pPr>
              <w:pStyle w:val="ARfintablebodyrightbold"/>
            </w:pPr>
            <w:r w:rsidRPr="00832F26">
              <w:t>90%</w:t>
            </w:r>
          </w:p>
        </w:tc>
        <w:tc>
          <w:tcPr>
            <w:tcW w:w="992" w:type="dxa"/>
            <w:tcBorders>
              <w:top w:val="single" w:sz="4" w:space="0" w:color="auto"/>
              <w:left w:val="nil"/>
              <w:bottom w:val="single" w:sz="4" w:space="0" w:color="A6A6A6"/>
            </w:tcBorders>
            <w:noWrap/>
            <w:hideMark/>
          </w:tcPr>
          <w:p w14:paraId="54DE9AFC" w14:textId="77777777" w:rsidR="005F4A7E" w:rsidRPr="002029AF" w:rsidRDefault="005F4A7E" w:rsidP="00130D1C">
            <w:pPr>
              <w:pStyle w:val="ARfintablebodyrightbold"/>
            </w:pPr>
          </w:p>
        </w:tc>
      </w:tr>
      <w:tr w:rsidR="005F4A7E" w:rsidRPr="002029AF" w14:paraId="1918C0CB" w14:textId="77777777" w:rsidTr="00130D1C">
        <w:tc>
          <w:tcPr>
            <w:tcW w:w="2495" w:type="dxa"/>
            <w:tcBorders>
              <w:top w:val="single" w:sz="4" w:space="0" w:color="A6A6A6"/>
              <w:right w:val="nil"/>
            </w:tcBorders>
            <w:hideMark/>
          </w:tcPr>
          <w:p w14:paraId="60AD15FB" w14:textId="77777777" w:rsidR="005F4A7E" w:rsidRPr="002029AF" w:rsidRDefault="005F4A7E" w:rsidP="00130D1C">
            <w:pPr>
              <w:pStyle w:val="ARfintablebody"/>
            </w:pPr>
            <w:r w:rsidRPr="00832F26">
              <w:t>Gross carrying amount of contractual receivables</w:t>
            </w:r>
          </w:p>
        </w:tc>
        <w:tc>
          <w:tcPr>
            <w:tcW w:w="1021" w:type="dxa"/>
            <w:tcBorders>
              <w:top w:val="single" w:sz="4" w:space="0" w:color="A6A6A6"/>
              <w:left w:val="nil"/>
              <w:right w:val="nil"/>
            </w:tcBorders>
            <w:noWrap/>
            <w:hideMark/>
          </w:tcPr>
          <w:p w14:paraId="6B311CD1" w14:textId="77777777" w:rsidR="005F4A7E" w:rsidRPr="002029AF" w:rsidRDefault="005F4A7E" w:rsidP="00130D1C">
            <w:pPr>
              <w:pStyle w:val="ARfintablebodyright"/>
            </w:pPr>
            <w:r w:rsidRPr="00832F26">
              <w:t>498.5</w:t>
            </w:r>
          </w:p>
        </w:tc>
        <w:tc>
          <w:tcPr>
            <w:tcW w:w="1021" w:type="dxa"/>
            <w:tcBorders>
              <w:top w:val="single" w:sz="4" w:space="0" w:color="A6A6A6"/>
              <w:left w:val="nil"/>
              <w:right w:val="nil"/>
            </w:tcBorders>
            <w:noWrap/>
            <w:hideMark/>
          </w:tcPr>
          <w:p w14:paraId="562B6793" w14:textId="77777777" w:rsidR="005F4A7E" w:rsidRPr="002029AF" w:rsidRDefault="005F4A7E" w:rsidP="00130D1C">
            <w:pPr>
              <w:pStyle w:val="ARfintablebodyright"/>
            </w:pPr>
            <w:r w:rsidRPr="00832F26">
              <w:t>424.1</w:t>
            </w:r>
          </w:p>
        </w:tc>
        <w:tc>
          <w:tcPr>
            <w:tcW w:w="1021" w:type="dxa"/>
            <w:tcBorders>
              <w:top w:val="single" w:sz="4" w:space="0" w:color="A6A6A6"/>
              <w:left w:val="nil"/>
              <w:right w:val="nil"/>
            </w:tcBorders>
            <w:noWrap/>
            <w:hideMark/>
          </w:tcPr>
          <w:p w14:paraId="5A3150BC" w14:textId="77777777" w:rsidR="005F4A7E" w:rsidRPr="002029AF" w:rsidRDefault="005F4A7E" w:rsidP="00130D1C">
            <w:pPr>
              <w:pStyle w:val="ARfintablebodyright"/>
            </w:pPr>
            <w:r w:rsidRPr="00832F26">
              <w:t>34.6</w:t>
            </w:r>
          </w:p>
        </w:tc>
        <w:tc>
          <w:tcPr>
            <w:tcW w:w="1021" w:type="dxa"/>
            <w:tcBorders>
              <w:top w:val="single" w:sz="4" w:space="0" w:color="A6A6A6"/>
              <w:left w:val="nil"/>
              <w:right w:val="nil"/>
            </w:tcBorders>
            <w:noWrap/>
            <w:hideMark/>
          </w:tcPr>
          <w:p w14:paraId="30F33070" w14:textId="77777777" w:rsidR="005F4A7E" w:rsidRPr="002029AF" w:rsidRDefault="005F4A7E" w:rsidP="00130D1C">
            <w:pPr>
              <w:pStyle w:val="ARfintablebodyright"/>
            </w:pPr>
            <w:r w:rsidRPr="00832F26">
              <w:t>20.2</w:t>
            </w:r>
          </w:p>
        </w:tc>
        <w:tc>
          <w:tcPr>
            <w:tcW w:w="1021" w:type="dxa"/>
            <w:tcBorders>
              <w:top w:val="single" w:sz="4" w:space="0" w:color="A6A6A6"/>
              <w:left w:val="nil"/>
              <w:right w:val="nil"/>
            </w:tcBorders>
            <w:noWrap/>
            <w:hideMark/>
          </w:tcPr>
          <w:p w14:paraId="7C9600FD" w14:textId="77777777" w:rsidR="005F4A7E" w:rsidRPr="002029AF" w:rsidRDefault="005F4A7E" w:rsidP="00130D1C">
            <w:pPr>
              <w:pStyle w:val="ARfintablebodyright"/>
            </w:pPr>
            <w:r w:rsidRPr="00832F26">
              <w:t>13.6</w:t>
            </w:r>
          </w:p>
        </w:tc>
        <w:tc>
          <w:tcPr>
            <w:tcW w:w="1021" w:type="dxa"/>
            <w:tcBorders>
              <w:top w:val="single" w:sz="4" w:space="0" w:color="A6A6A6"/>
              <w:left w:val="nil"/>
              <w:right w:val="nil"/>
            </w:tcBorders>
            <w:noWrap/>
            <w:hideMark/>
          </w:tcPr>
          <w:p w14:paraId="21B0F4FB" w14:textId="77777777" w:rsidR="005F4A7E" w:rsidRPr="002029AF" w:rsidRDefault="005F4A7E" w:rsidP="00130D1C">
            <w:pPr>
              <w:pStyle w:val="ARfintablebodyright"/>
            </w:pPr>
            <w:r w:rsidRPr="00832F26">
              <w:t>6.0</w:t>
            </w:r>
          </w:p>
        </w:tc>
        <w:tc>
          <w:tcPr>
            <w:tcW w:w="992" w:type="dxa"/>
            <w:tcBorders>
              <w:top w:val="single" w:sz="4" w:space="0" w:color="A6A6A6"/>
              <w:left w:val="nil"/>
            </w:tcBorders>
            <w:noWrap/>
            <w:hideMark/>
          </w:tcPr>
          <w:p w14:paraId="1CB2F975" w14:textId="77777777" w:rsidR="005F4A7E" w:rsidRPr="002029AF" w:rsidRDefault="005F4A7E" w:rsidP="00130D1C">
            <w:pPr>
              <w:pStyle w:val="ARfintablebodyright"/>
            </w:pPr>
          </w:p>
        </w:tc>
      </w:tr>
      <w:tr w:rsidR="005F4A7E" w:rsidRPr="002029AF" w14:paraId="4A42D237" w14:textId="77777777" w:rsidTr="00130D1C">
        <w:tc>
          <w:tcPr>
            <w:tcW w:w="2495" w:type="dxa"/>
            <w:tcBorders>
              <w:right w:val="nil"/>
            </w:tcBorders>
            <w:hideMark/>
          </w:tcPr>
          <w:p w14:paraId="65A8E391" w14:textId="77777777" w:rsidR="005F4A7E" w:rsidRPr="002029AF" w:rsidRDefault="005F4A7E" w:rsidP="00130D1C">
            <w:pPr>
              <w:pStyle w:val="ARfintablebodybold"/>
            </w:pPr>
            <w:r w:rsidRPr="00832F26">
              <w:t>Loss allowance</w:t>
            </w:r>
          </w:p>
        </w:tc>
        <w:tc>
          <w:tcPr>
            <w:tcW w:w="1021" w:type="dxa"/>
            <w:tcBorders>
              <w:left w:val="nil"/>
              <w:right w:val="nil"/>
            </w:tcBorders>
            <w:noWrap/>
            <w:hideMark/>
          </w:tcPr>
          <w:p w14:paraId="1B2F17E1" w14:textId="77777777" w:rsidR="005F4A7E" w:rsidRPr="002029AF" w:rsidRDefault="005F4A7E" w:rsidP="00130D1C">
            <w:pPr>
              <w:pStyle w:val="ARfintablebodyrightbold"/>
            </w:pPr>
          </w:p>
        </w:tc>
        <w:tc>
          <w:tcPr>
            <w:tcW w:w="1021" w:type="dxa"/>
            <w:tcBorders>
              <w:left w:val="nil"/>
              <w:right w:val="nil"/>
            </w:tcBorders>
            <w:noWrap/>
            <w:hideMark/>
          </w:tcPr>
          <w:p w14:paraId="78B3E348" w14:textId="77777777" w:rsidR="005F4A7E" w:rsidRPr="002029AF" w:rsidRDefault="005F4A7E" w:rsidP="00130D1C">
            <w:pPr>
              <w:pStyle w:val="ARfintablebodyrightbold"/>
            </w:pPr>
            <w:r w:rsidRPr="00832F26">
              <w:t>–</w:t>
            </w:r>
          </w:p>
        </w:tc>
        <w:tc>
          <w:tcPr>
            <w:tcW w:w="1021" w:type="dxa"/>
            <w:tcBorders>
              <w:left w:val="nil"/>
              <w:right w:val="nil"/>
            </w:tcBorders>
            <w:noWrap/>
            <w:hideMark/>
          </w:tcPr>
          <w:p w14:paraId="28234B7A" w14:textId="77777777" w:rsidR="005F4A7E" w:rsidRPr="002029AF" w:rsidRDefault="005F4A7E" w:rsidP="00130D1C">
            <w:pPr>
              <w:pStyle w:val="ARfintablebodyrightbold"/>
            </w:pPr>
            <w:r w:rsidRPr="00832F26">
              <w:t>1.1</w:t>
            </w:r>
          </w:p>
        </w:tc>
        <w:tc>
          <w:tcPr>
            <w:tcW w:w="1021" w:type="dxa"/>
            <w:tcBorders>
              <w:left w:val="nil"/>
              <w:right w:val="nil"/>
            </w:tcBorders>
            <w:noWrap/>
            <w:hideMark/>
          </w:tcPr>
          <w:p w14:paraId="6D1346C8" w14:textId="77777777" w:rsidR="005F4A7E" w:rsidRPr="002029AF" w:rsidRDefault="005F4A7E" w:rsidP="00130D1C">
            <w:pPr>
              <w:pStyle w:val="ARfintablebodyrightbold"/>
            </w:pPr>
            <w:r w:rsidRPr="00832F26">
              <w:t>1.8</w:t>
            </w:r>
          </w:p>
        </w:tc>
        <w:tc>
          <w:tcPr>
            <w:tcW w:w="1021" w:type="dxa"/>
            <w:tcBorders>
              <w:left w:val="nil"/>
              <w:right w:val="nil"/>
            </w:tcBorders>
            <w:noWrap/>
            <w:hideMark/>
          </w:tcPr>
          <w:p w14:paraId="178F6118" w14:textId="77777777" w:rsidR="005F4A7E" w:rsidRPr="002029AF" w:rsidRDefault="005F4A7E" w:rsidP="00130D1C">
            <w:pPr>
              <w:pStyle w:val="ARfintablebodyrightbold"/>
            </w:pPr>
            <w:r w:rsidRPr="00832F26">
              <w:t>2.5</w:t>
            </w:r>
          </w:p>
        </w:tc>
        <w:tc>
          <w:tcPr>
            <w:tcW w:w="1021" w:type="dxa"/>
            <w:tcBorders>
              <w:left w:val="nil"/>
              <w:right w:val="nil"/>
            </w:tcBorders>
            <w:noWrap/>
            <w:hideMark/>
          </w:tcPr>
          <w:p w14:paraId="728C81B3" w14:textId="77777777" w:rsidR="005F4A7E" w:rsidRPr="002029AF" w:rsidRDefault="005F4A7E" w:rsidP="00130D1C">
            <w:pPr>
              <w:pStyle w:val="ARfintablebodyrightbold"/>
            </w:pPr>
            <w:r w:rsidRPr="00832F26">
              <w:t>5.4</w:t>
            </w:r>
          </w:p>
        </w:tc>
        <w:tc>
          <w:tcPr>
            <w:tcW w:w="992" w:type="dxa"/>
            <w:tcBorders>
              <w:left w:val="nil"/>
            </w:tcBorders>
            <w:noWrap/>
            <w:hideMark/>
          </w:tcPr>
          <w:p w14:paraId="1358A1C6" w14:textId="77777777" w:rsidR="005F4A7E" w:rsidRPr="002029AF" w:rsidRDefault="005F4A7E" w:rsidP="00130D1C">
            <w:pPr>
              <w:pStyle w:val="ARfintablebodyrightbold"/>
            </w:pPr>
            <w:r w:rsidRPr="00832F26">
              <w:t>10.8</w:t>
            </w:r>
          </w:p>
        </w:tc>
      </w:tr>
    </w:tbl>
    <w:p w14:paraId="0087650C" w14:textId="77777777" w:rsidR="005F4A7E" w:rsidRPr="002029AF" w:rsidRDefault="005F4A7E" w:rsidP="00087B91">
      <w:pPr>
        <w:pStyle w:val="ARfintablefootnote"/>
        <w:rPr>
          <w:lang w:eastAsia="en-AU"/>
        </w:rPr>
      </w:pPr>
      <w:r w:rsidRPr="002029AF">
        <w:rPr>
          <w:lang w:eastAsia="en-AU"/>
        </w:rPr>
        <w:t>Note:</w:t>
      </w:r>
    </w:p>
    <w:p w14:paraId="653C2166" w14:textId="77777777" w:rsidR="005F4A7E" w:rsidRPr="002029AF" w:rsidRDefault="005F4A7E" w:rsidP="00087B91">
      <w:pPr>
        <w:pStyle w:val="ARfintablefootnoteindent"/>
      </w:pPr>
      <w:r w:rsidRPr="002029AF">
        <w:t>(i)</w:t>
      </w:r>
      <w:r w:rsidRPr="002029AF">
        <w:tab/>
        <w:t>The amounts disclosed here include repayments of borrowings that are not scheduled to be repaid in the next 12 months.</w:t>
      </w:r>
    </w:p>
    <w:p w14:paraId="4EDA2E0E" w14:textId="77777777" w:rsidR="005F4A7E" w:rsidRPr="002029AF" w:rsidRDefault="005F4A7E" w:rsidP="00130D1C">
      <w:pPr>
        <w:pStyle w:val="ARfinbodyaftertable"/>
      </w:pPr>
      <w:r w:rsidRPr="002029AF">
        <w:t>The average credit period for receivables is 30 days.</w:t>
      </w:r>
    </w:p>
    <w:p w14:paraId="2325B8E3" w14:textId="77777777" w:rsidR="005F4A7E" w:rsidRPr="002029AF" w:rsidRDefault="005F4A7E" w:rsidP="00087B91">
      <w:pPr>
        <w:pStyle w:val="ARfinbodylargespace"/>
      </w:pPr>
      <w:r w:rsidRPr="002029AF">
        <w:t>Reconciliation of movement in the loss allowance for contractual receivables is shown as follows:</w:t>
      </w:r>
    </w:p>
    <w:tbl>
      <w:tblPr>
        <w:tblStyle w:val="TableGrid"/>
        <w:tblW w:w="9637" w:type="dxa"/>
        <w:tblLayout w:type="fixed"/>
        <w:tblLook w:val="06A0" w:firstRow="1" w:lastRow="0" w:firstColumn="1" w:lastColumn="0" w:noHBand="1" w:noVBand="1"/>
      </w:tblPr>
      <w:tblGrid>
        <w:gridCol w:w="7595"/>
        <w:gridCol w:w="1021"/>
        <w:gridCol w:w="1021"/>
      </w:tblGrid>
      <w:tr w:rsidR="005F4A7E" w:rsidRPr="002029AF" w14:paraId="41BE98B2"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7595" w:type="dxa"/>
            <w:noWrap/>
            <w:hideMark/>
          </w:tcPr>
          <w:p w14:paraId="7932A238" w14:textId="77777777" w:rsidR="005F4A7E" w:rsidRPr="002029AF" w:rsidRDefault="005F4A7E" w:rsidP="00860E95">
            <w:pPr>
              <w:pStyle w:val="ARfintablecolhead"/>
            </w:pPr>
          </w:p>
        </w:tc>
        <w:tc>
          <w:tcPr>
            <w:tcW w:w="1021" w:type="dxa"/>
            <w:shd w:val="clear" w:color="auto" w:fill="E7E6E6"/>
            <w:hideMark/>
          </w:tcPr>
          <w:p w14:paraId="268642AB" w14:textId="77777777" w:rsidR="005F4A7E" w:rsidRPr="002029AF" w:rsidRDefault="005F4A7E" w:rsidP="00860E95">
            <w:pPr>
              <w:pStyle w:val="ARfintablecolheadright"/>
            </w:pPr>
            <w:r>
              <w:t>2021</w:t>
            </w:r>
          </w:p>
          <w:p w14:paraId="07B86B92" w14:textId="77777777" w:rsidR="005F4A7E" w:rsidRPr="002029AF" w:rsidRDefault="005F4A7E" w:rsidP="00860E95">
            <w:pPr>
              <w:pStyle w:val="ARfintablecolheadright"/>
            </w:pPr>
            <w:r w:rsidRPr="002029AF">
              <w:t>$M</w:t>
            </w:r>
          </w:p>
        </w:tc>
        <w:tc>
          <w:tcPr>
            <w:tcW w:w="1021" w:type="dxa"/>
            <w:hideMark/>
          </w:tcPr>
          <w:p w14:paraId="49038486" w14:textId="77777777" w:rsidR="005F4A7E" w:rsidRPr="002029AF" w:rsidRDefault="005F4A7E" w:rsidP="00860E95">
            <w:pPr>
              <w:pStyle w:val="ARfintablecolheadright"/>
            </w:pPr>
            <w:r>
              <w:t>2020</w:t>
            </w:r>
          </w:p>
          <w:p w14:paraId="26FFE345" w14:textId="77777777" w:rsidR="005F4A7E" w:rsidRPr="002029AF" w:rsidRDefault="005F4A7E" w:rsidP="00860E95">
            <w:pPr>
              <w:pStyle w:val="ARfintablecolheadright"/>
            </w:pPr>
            <w:r w:rsidRPr="002029AF">
              <w:t>$M</w:t>
            </w:r>
          </w:p>
        </w:tc>
      </w:tr>
      <w:tr w:rsidR="005F4A7E" w:rsidRPr="002029AF" w14:paraId="71FEF332" w14:textId="77777777" w:rsidTr="00130D1C">
        <w:tc>
          <w:tcPr>
            <w:tcW w:w="7595" w:type="dxa"/>
            <w:hideMark/>
          </w:tcPr>
          <w:p w14:paraId="47F4BB35" w14:textId="77777777" w:rsidR="005F4A7E" w:rsidRPr="002029AF" w:rsidRDefault="005F4A7E" w:rsidP="00130D1C">
            <w:pPr>
              <w:pStyle w:val="ARfintablebodybold"/>
            </w:pPr>
            <w:r w:rsidRPr="005A7060">
              <w:t>Balance at beginning of the year</w:t>
            </w:r>
          </w:p>
        </w:tc>
        <w:tc>
          <w:tcPr>
            <w:tcW w:w="1021" w:type="dxa"/>
            <w:shd w:val="clear" w:color="auto" w:fill="E7E6E6"/>
            <w:noWrap/>
            <w:hideMark/>
          </w:tcPr>
          <w:p w14:paraId="12BEB23B" w14:textId="77777777" w:rsidR="005F4A7E" w:rsidRPr="002029AF" w:rsidRDefault="005F4A7E" w:rsidP="00130D1C">
            <w:pPr>
              <w:pStyle w:val="ARfintablebodyrightbold"/>
            </w:pPr>
            <w:r w:rsidRPr="005A7060">
              <w:t>(10.8)</w:t>
            </w:r>
          </w:p>
        </w:tc>
        <w:tc>
          <w:tcPr>
            <w:tcW w:w="1021" w:type="dxa"/>
            <w:noWrap/>
            <w:hideMark/>
          </w:tcPr>
          <w:p w14:paraId="38C829F8" w14:textId="77777777" w:rsidR="005F4A7E" w:rsidRPr="002029AF" w:rsidRDefault="005F4A7E" w:rsidP="00130D1C">
            <w:pPr>
              <w:pStyle w:val="ARfintablebodyrightbold"/>
            </w:pPr>
            <w:r w:rsidRPr="005A7060">
              <w:t>(13.1)</w:t>
            </w:r>
          </w:p>
        </w:tc>
      </w:tr>
      <w:tr w:rsidR="005F4A7E" w:rsidRPr="002029AF" w14:paraId="38E24E44" w14:textId="77777777" w:rsidTr="00130D1C">
        <w:tc>
          <w:tcPr>
            <w:tcW w:w="7595" w:type="dxa"/>
            <w:tcBorders>
              <w:top w:val="single" w:sz="4" w:space="0" w:color="auto"/>
              <w:bottom w:val="single" w:sz="4" w:space="0" w:color="A6A6A6"/>
            </w:tcBorders>
            <w:hideMark/>
          </w:tcPr>
          <w:p w14:paraId="5CC4B8C7" w14:textId="77777777" w:rsidR="005F4A7E" w:rsidRPr="002029AF" w:rsidRDefault="005F4A7E" w:rsidP="00130D1C">
            <w:pPr>
              <w:pStyle w:val="ARfintablebody"/>
            </w:pPr>
            <w:r w:rsidRPr="005A7060">
              <w:t>Increase in provision recognised in the net result</w:t>
            </w:r>
          </w:p>
        </w:tc>
        <w:tc>
          <w:tcPr>
            <w:tcW w:w="1021" w:type="dxa"/>
            <w:tcBorders>
              <w:top w:val="single" w:sz="4" w:space="0" w:color="auto"/>
              <w:bottom w:val="single" w:sz="4" w:space="0" w:color="A6A6A6"/>
            </w:tcBorders>
            <w:shd w:val="clear" w:color="auto" w:fill="E7E6E6"/>
            <w:noWrap/>
            <w:hideMark/>
          </w:tcPr>
          <w:p w14:paraId="01F18EA0" w14:textId="77777777" w:rsidR="005F4A7E" w:rsidRPr="002029AF" w:rsidRDefault="005F4A7E" w:rsidP="00130D1C">
            <w:pPr>
              <w:pStyle w:val="ARfintablebodyright"/>
            </w:pPr>
            <w:r w:rsidRPr="005A7060">
              <w:t>(20.3)</w:t>
            </w:r>
          </w:p>
        </w:tc>
        <w:tc>
          <w:tcPr>
            <w:tcW w:w="1021" w:type="dxa"/>
            <w:tcBorders>
              <w:top w:val="single" w:sz="4" w:space="0" w:color="auto"/>
              <w:bottom w:val="single" w:sz="4" w:space="0" w:color="A6A6A6"/>
            </w:tcBorders>
            <w:noWrap/>
            <w:hideMark/>
          </w:tcPr>
          <w:p w14:paraId="2AF94BEB" w14:textId="77777777" w:rsidR="005F4A7E" w:rsidRPr="002029AF" w:rsidRDefault="005F4A7E" w:rsidP="00130D1C">
            <w:pPr>
              <w:pStyle w:val="ARfintablebodyright"/>
            </w:pPr>
            <w:r w:rsidRPr="005A7060">
              <w:t>(2.5)</w:t>
            </w:r>
          </w:p>
        </w:tc>
      </w:tr>
      <w:tr w:rsidR="005F4A7E" w:rsidRPr="002029AF" w14:paraId="194BD371" w14:textId="77777777" w:rsidTr="00130D1C">
        <w:tc>
          <w:tcPr>
            <w:tcW w:w="7595" w:type="dxa"/>
            <w:tcBorders>
              <w:top w:val="single" w:sz="4" w:space="0" w:color="A6A6A6"/>
            </w:tcBorders>
            <w:hideMark/>
          </w:tcPr>
          <w:p w14:paraId="5CE153A7" w14:textId="77777777" w:rsidR="005F4A7E" w:rsidRPr="002029AF" w:rsidRDefault="005F4A7E" w:rsidP="00130D1C">
            <w:pPr>
              <w:pStyle w:val="ARfintablebody"/>
            </w:pPr>
            <w:r w:rsidRPr="005A7060">
              <w:t>Reversal of provision of receivables written off during the year as uncollectible</w:t>
            </w:r>
          </w:p>
        </w:tc>
        <w:tc>
          <w:tcPr>
            <w:tcW w:w="1021" w:type="dxa"/>
            <w:tcBorders>
              <w:top w:val="single" w:sz="4" w:space="0" w:color="A6A6A6"/>
            </w:tcBorders>
            <w:shd w:val="clear" w:color="auto" w:fill="E7E6E6"/>
            <w:noWrap/>
            <w:hideMark/>
          </w:tcPr>
          <w:p w14:paraId="4B531C69" w14:textId="77777777" w:rsidR="005F4A7E" w:rsidRPr="002029AF" w:rsidRDefault="005F4A7E" w:rsidP="00130D1C">
            <w:pPr>
              <w:pStyle w:val="ARfintablebodyright"/>
            </w:pPr>
            <w:r w:rsidRPr="005A7060">
              <w:t>3.4</w:t>
            </w:r>
          </w:p>
        </w:tc>
        <w:tc>
          <w:tcPr>
            <w:tcW w:w="1021" w:type="dxa"/>
            <w:tcBorders>
              <w:top w:val="single" w:sz="4" w:space="0" w:color="A6A6A6"/>
            </w:tcBorders>
            <w:noWrap/>
            <w:hideMark/>
          </w:tcPr>
          <w:p w14:paraId="4E75D3D1" w14:textId="77777777" w:rsidR="005F4A7E" w:rsidRPr="002029AF" w:rsidRDefault="005F4A7E" w:rsidP="00130D1C">
            <w:pPr>
              <w:pStyle w:val="ARfintablebodyright"/>
            </w:pPr>
            <w:r w:rsidRPr="005A7060">
              <w:t>4.8</w:t>
            </w:r>
          </w:p>
        </w:tc>
      </w:tr>
      <w:tr w:rsidR="005F4A7E" w:rsidRPr="002029AF" w14:paraId="1F2FCF09" w14:textId="77777777" w:rsidTr="00130D1C">
        <w:tc>
          <w:tcPr>
            <w:tcW w:w="7595" w:type="dxa"/>
            <w:hideMark/>
          </w:tcPr>
          <w:p w14:paraId="0CFB59B7" w14:textId="77777777" w:rsidR="005F4A7E" w:rsidRPr="002029AF" w:rsidRDefault="005F4A7E" w:rsidP="00130D1C">
            <w:pPr>
              <w:pStyle w:val="ARfintablebodybold"/>
            </w:pPr>
            <w:r w:rsidRPr="005A7060">
              <w:t>Balance at the end of the year</w:t>
            </w:r>
          </w:p>
        </w:tc>
        <w:tc>
          <w:tcPr>
            <w:tcW w:w="1021" w:type="dxa"/>
            <w:shd w:val="clear" w:color="auto" w:fill="E7E6E6"/>
            <w:noWrap/>
            <w:hideMark/>
          </w:tcPr>
          <w:p w14:paraId="21AD75C8" w14:textId="77777777" w:rsidR="005F4A7E" w:rsidRPr="002029AF" w:rsidRDefault="005F4A7E" w:rsidP="00130D1C">
            <w:pPr>
              <w:pStyle w:val="ARfintablebodyrightbold"/>
            </w:pPr>
            <w:r w:rsidRPr="005A7060">
              <w:t>(27.7)</w:t>
            </w:r>
          </w:p>
        </w:tc>
        <w:tc>
          <w:tcPr>
            <w:tcW w:w="1021" w:type="dxa"/>
            <w:noWrap/>
            <w:hideMark/>
          </w:tcPr>
          <w:p w14:paraId="168C4B42" w14:textId="77777777" w:rsidR="005F4A7E" w:rsidRPr="002029AF" w:rsidRDefault="005F4A7E" w:rsidP="00130D1C">
            <w:pPr>
              <w:pStyle w:val="ARfintablebodyrightbold"/>
            </w:pPr>
            <w:r w:rsidRPr="005A7060">
              <w:t>(10.8)</w:t>
            </w:r>
          </w:p>
        </w:tc>
      </w:tr>
    </w:tbl>
    <w:p w14:paraId="08265E9F" w14:textId="77777777" w:rsidR="005F4A7E" w:rsidRDefault="005F4A7E" w:rsidP="00130D1C">
      <w:pPr>
        <w:pStyle w:val="ARfinbodyaftertable"/>
      </w:pPr>
      <w:r>
        <w:t>Credit loss allowance is classified as other economic flows in the net result. Contractual receivables are written off when there is no reasonable expectation of recovery and impairment losses are classified as a transaction expense. Subsequent recoveries of amounts previously written off are credited against the same line item.</w:t>
      </w:r>
    </w:p>
    <w:p w14:paraId="43089EC7" w14:textId="77777777" w:rsidR="005F4A7E" w:rsidRDefault="005F4A7E" w:rsidP="00130D1C">
      <w:pPr>
        <w:pStyle w:val="Heading7"/>
      </w:pPr>
      <w:bookmarkStart w:id="1011" w:name="_Toc85121523"/>
      <w:r>
        <w:lastRenderedPageBreak/>
        <w:t>Statutory receivables at amortised cost</w:t>
      </w:r>
      <w:bookmarkEnd w:id="1011"/>
    </w:p>
    <w:p w14:paraId="3CC007CB" w14:textId="397959DC" w:rsidR="005F4A7E" w:rsidRDefault="005F4A7E" w:rsidP="00130D1C">
      <w:pPr>
        <w:pStyle w:val="ARfinbody"/>
      </w:pPr>
      <w:r>
        <w:t>The department</w:t>
      </w:r>
      <w:r w:rsidR="007D145B">
        <w:t>’</w:t>
      </w:r>
      <w:r>
        <w:t>s non-contractual receivables arising from statutory requirements are not financial instruments. However, they are nevertheless recognised and measured in accordance with AASB 9 requirements as if those receivables are financial instruments.</w:t>
      </w:r>
    </w:p>
    <w:p w14:paraId="2DF7C5DF" w14:textId="648C0720" w:rsidR="005F4A7E" w:rsidRDefault="005F4A7E" w:rsidP="00130D1C">
      <w:pPr>
        <w:pStyle w:val="ARfinbody"/>
      </w:pPr>
      <w:r>
        <w:t>Both statutory receivables and investments in debt instruments are considered to have low credit risk, taking into account the counterparty</w:t>
      </w:r>
      <w:r w:rsidR="007D145B">
        <w:t>’</w:t>
      </w:r>
      <w:r>
        <w:t>s credit rating, risk of default and capacity to meet contractual cash flow obligations in the near term. As a result, the loss allowance recognised for these financial assets during the period was limited to 12 months expected losses. No loss allowance has been recognised.</w:t>
      </w:r>
    </w:p>
    <w:p w14:paraId="156ECEA9" w14:textId="77777777" w:rsidR="005F4A7E" w:rsidRDefault="005F4A7E" w:rsidP="00130D1C">
      <w:pPr>
        <w:pStyle w:val="Heading6"/>
      </w:pPr>
      <w:bookmarkStart w:id="1012" w:name="_Toc85121524"/>
      <w:r>
        <w:t>8.1.3.2 Financial instruments: liquidity risk</w:t>
      </w:r>
      <w:bookmarkEnd w:id="1012"/>
    </w:p>
    <w:p w14:paraId="56FAEA48" w14:textId="1BDFCE5F" w:rsidR="005F4A7E" w:rsidRDefault="005F4A7E" w:rsidP="00130D1C">
      <w:pPr>
        <w:pStyle w:val="ARfinbody"/>
      </w:pPr>
      <w:r>
        <w:t>Liquidity risk arises from being unable to meet financial obligations as they fall due. The department operates under the government</w:t>
      </w:r>
      <w:r w:rsidR="007D145B">
        <w:t>’</w:t>
      </w:r>
      <w:r>
        <w:t>s fair payments policy of settling financial obligations within 30 days and, in the event of a dispute, of making payments within 30 days from the date of resolution.</w:t>
      </w:r>
    </w:p>
    <w:p w14:paraId="72FAB188" w14:textId="77777777" w:rsidR="005F4A7E" w:rsidRDefault="005F4A7E" w:rsidP="00130D1C">
      <w:pPr>
        <w:pStyle w:val="ARfinbody"/>
      </w:pPr>
      <w:r>
        <w:t>The department is exposed to liquidity risk mainly through the financial liabilities as disclosed in the face of the balance sheet and the amounts related to financial guarantees. The department manages its liquidity risk by:</w:t>
      </w:r>
    </w:p>
    <w:p w14:paraId="1679A565" w14:textId="77777777" w:rsidR="005F4A7E" w:rsidRDefault="005F4A7E" w:rsidP="005F4A7E">
      <w:pPr>
        <w:pStyle w:val="ARfinbullet1"/>
        <w:numPr>
          <w:ilvl w:val="0"/>
          <w:numId w:val="2"/>
        </w:numPr>
      </w:pPr>
      <w:r>
        <w:t>close monitoring of its short-term and long-term borrowings by senior management, including monthly reviews on current and future borrowing levels and requirements</w:t>
      </w:r>
    </w:p>
    <w:p w14:paraId="53CAD840" w14:textId="77777777" w:rsidR="005F4A7E" w:rsidRPr="008F3F8C" w:rsidRDefault="005F4A7E" w:rsidP="005F4A7E">
      <w:pPr>
        <w:pStyle w:val="ARfinbullet1"/>
        <w:numPr>
          <w:ilvl w:val="0"/>
          <w:numId w:val="2"/>
        </w:numPr>
      </w:pPr>
      <w:r>
        <w:t>maintaini</w:t>
      </w:r>
      <w:r w:rsidRPr="008F3F8C">
        <w:t>ng an adequate level of uncommitted funds that can be drawn at short notice to meet its short-term obligations</w:t>
      </w:r>
    </w:p>
    <w:p w14:paraId="27D6F0CF" w14:textId="77777777" w:rsidR="005F4A7E" w:rsidRPr="008F3F8C" w:rsidRDefault="005F4A7E" w:rsidP="005F4A7E">
      <w:pPr>
        <w:pStyle w:val="ARfinbullet1"/>
        <w:numPr>
          <w:ilvl w:val="0"/>
          <w:numId w:val="2"/>
        </w:numPr>
      </w:pPr>
      <w:r w:rsidRPr="008F3F8C">
        <w:t>holding investments and other contractual financial assets that are readily tradeable in the financial markets</w:t>
      </w:r>
    </w:p>
    <w:p w14:paraId="7BE0FBB4" w14:textId="77777777" w:rsidR="005F4A7E" w:rsidRPr="008F3F8C" w:rsidRDefault="005F4A7E" w:rsidP="005F4A7E">
      <w:pPr>
        <w:pStyle w:val="ARfinbullet1"/>
        <w:numPr>
          <w:ilvl w:val="0"/>
          <w:numId w:val="2"/>
        </w:numPr>
      </w:pPr>
      <w:r w:rsidRPr="008F3F8C">
        <w:t>careful maturity planning of its financial obligations based on forecasts of future cash flows</w:t>
      </w:r>
    </w:p>
    <w:p w14:paraId="012525AD" w14:textId="74D736BC" w:rsidR="005F4A7E" w:rsidRDefault="005F4A7E" w:rsidP="005F4A7E">
      <w:pPr>
        <w:pStyle w:val="ARfinbullet1"/>
        <w:numPr>
          <w:ilvl w:val="0"/>
          <w:numId w:val="2"/>
        </w:numPr>
      </w:pPr>
      <w:r w:rsidRPr="008F3F8C">
        <w:t>a high credit ra</w:t>
      </w:r>
      <w:r>
        <w:t>ting for the State of Victoria (Moody</w:t>
      </w:r>
      <w:r w:rsidR="007D145B">
        <w:t>’</w:t>
      </w:r>
      <w:r>
        <w:t>s Investor Services, Standard &amp; Poor</w:t>
      </w:r>
      <w:r w:rsidR="007D145B">
        <w:t>’</w:t>
      </w:r>
      <w:r>
        <w:t>s double</w:t>
      </w:r>
      <w:r>
        <w:rPr>
          <w:color w:val="auto"/>
        </w:rPr>
        <w:t>-A</w:t>
      </w:r>
      <w:r>
        <w:t>, which assists in accessing debt market at a lower interest rate).</w:t>
      </w:r>
    </w:p>
    <w:p w14:paraId="092305F0" w14:textId="222C2DBC" w:rsidR="005F4A7E" w:rsidRDefault="005F4A7E" w:rsidP="00130D1C">
      <w:pPr>
        <w:pStyle w:val="ARfinbody"/>
      </w:pPr>
      <w:r>
        <w:t>The department</w:t>
      </w:r>
      <w:r w:rsidR="007D145B">
        <w:t>’</w:t>
      </w:r>
      <w:r>
        <w:t>s exposure to liquidity risk is deemed insignificant based on prior periods</w:t>
      </w:r>
      <w:r w:rsidR="007D145B">
        <w:t>’</w:t>
      </w:r>
      <w:r>
        <w:t xml:space="preserve"> data and current assessment of risk.</w:t>
      </w:r>
    </w:p>
    <w:p w14:paraId="1FA7827C" w14:textId="13D6FE20" w:rsidR="005F4A7E" w:rsidRDefault="005F4A7E" w:rsidP="00130D1C">
      <w:pPr>
        <w:pStyle w:val="ARfinbody"/>
      </w:pPr>
      <w:r>
        <w:t>The carrying amount detailed in Notes 6.4.1 and 7.1.1, of contractual financial liabilities recorded in the financial statements, represents the department</w:t>
      </w:r>
      <w:r w:rsidR="007D145B">
        <w:t>’</w:t>
      </w:r>
      <w:r>
        <w:t>s maximum exposure to liquidity risk.</w:t>
      </w:r>
    </w:p>
    <w:p w14:paraId="78459A29" w14:textId="77777777" w:rsidR="005F4A7E" w:rsidRDefault="005F4A7E" w:rsidP="00130D1C">
      <w:pPr>
        <w:pStyle w:val="Heading6"/>
      </w:pPr>
      <w:bookmarkStart w:id="1013" w:name="_Toc85121525"/>
      <w:r>
        <w:t>8.1.3.3 Financial instruments: market risk</w:t>
      </w:r>
      <w:bookmarkEnd w:id="1013"/>
    </w:p>
    <w:p w14:paraId="2138078D" w14:textId="545B0B2C" w:rsidR="005F4A7E" w:rsidRDefault="005F4A7E" w:rsidP="00130D1C">
      <w:pPr>
        <w:pStyle w:val="ARfinbody"/>
      </w:pPr>
      <w:r>
        <w:t>The department</w:t>
      </w:r>
      <w:r w:rsidR="007D145B">
        <w:t>’</w:t>
      </w:r>
      <w:r>
        <w:t>s exposure to market risk is primarily through interest rate risk. The department</w:t>
      </w:r>
      <w:r w:rsidR="007D145B">
        <w:t>’</w:t>
      </w:r>
      <w:r>
        <w:t>s exposure to other price risks is insignificant. Objectives, policies and processes used to manage the risk are disclosed below.</w:t>
      </w:r>
    </w:p>
    <w:p w14:paraId="7D86769F" w14:textId="77777777" w:rsidR="005F4A7E" w:rsidRDefault="005F4A7E" w:rsidP="00130D1C">
      <w:pPr>
        <w:pStyle w:val="Heading7"/>
      </w:pPr>
      <w:bookmarkStart w:id="1014" w:name="_Toc85121526"/>
      <w:r>
        <w:t>Sensitivity disclosure analysis and assumptions</w:t>
      </w:r>
      <w:bookmarkEnd w:id="1014"/>
    </w:p>
    <w:p w14:paraId="2A81C021" w14:textId="3CA18BE0" w:rsidR="005F4A7E" w:rsidRDefault="005F4A7E" w:rsidP="00130D1C">
      <w:pPr>
        <w:pStyle w:val="ARfinbody"/>
      </w:pPr>
      <w:r>
        <w:t>Taking into account past performance, future expectations, economic forecasts, and management</w:t>
      </w:r>
      <w:r w:rsidR="007D145B">
        <w:t>’</w:t>
      </w:r>
      <w:r>
        <w:t xml:space="preserve">s knowledge and experience of the financial markets, the department believes the following movements are </w:t>
      </w:r>
      <w:r w:rsidR="007D145B">
        <w:t>‘</w:t>
      </w:r>
      <w:r>
        <w:t>reasonably possible</w:t>
      </w:r>
      <w:r w:rsidR="007D145B">
        <w:t>’</w:t>
      </w:r>
      <w:r>
        <w:t xml:space="preserve"> over the next 12 months:</w:t>
      </w:r>
    </w:p>
    <w:p w14:paraId="4EB469F6" w14:textId="77777777" w:rsidR="005F4A7E" w:rsidRDefault="005F4A7E" w:rsidP="005F4A7E">
      <w:pPr>
        <w:pStyle w:val="ARfinbullet1"/>
        <w:numPr>
          <w:ilvl w:val="0"/>
          <w:numId w:val="2"/>
        </w:numPr>
      </w:pPr>
      <w:r>
        <w:t xml:space="preserve">A shift </w:t>
      </w:r>
      <w:r>
        <w:rPr>
          <w:color w:val="auto"/>
        </w:rPr>
        <w:t xml:space="preserve">of +0.5% and –0.5% (2020: </w:t>
      </w:r>
      <w:r>
        <w:t>+0.5% and –0.5%) in market interest rates (AUD) from year-end cash deposits.</w:t>
      </w:r>
    </w:p>
    <w:p w14:paraId="7A51D024" w14:textId="77777777" w:rsidR="005F4A7E" w:rsidRDefault="005F4A7E" w:rsidP="00130D1C">
      <w:pPr>
        <w:pStyle w:val="ARfinbody"/>
      </w:pPr>
      <w:r>
        <w:t>Several loan programs have loans with interest rates linked to movement in the consumer price index (CPI). The total balances outstanding under these programs have reduced to a level that any changes to the CPI have a limited impact on the amount of interest charged and no new lending is made under these programs.</w:t>
      </w:r>
    </w:p>
    <w:p w14:paraId="2FAAE3C0" w14:textId="6F7D51DA" w:rsidR="005F4A7E" w:rsidRDefault="005F4A7E" w:rsidP="00130D1C">
      <w:pPr>
        <w:pStyle w:val="ARfinbody"/>
      </w:pPr>
      <w:r>
        <w:t>The tables that follow show the impact on the department</w:t>
      </w:r>
      <w:r w:rsidR="007D145B">
        <w:t>’</w:t>
      </w:r>
      <w:r>
        <w:t>s net result and equity for each category of financial instrument held by the department at the end of the reporting period, if the above movements were to occur.</w:t>
      </w:r>
    </w:p>
    <w:p w14:paraId="49EFFB2A" w14:textId="77777777" w:rsidR="005F4A7E" w:rsidRDefault="005F4A7E" w:rsidP="00130D1C">
      <w:pPr>
        <w:pStyle w:val="Heading7"/>
      </w:pPr>
      <w:bookmarkStart w:id="1015" w:name="_Toc85121527"/>
      <w:r>
        <w:t>Interest rate risk</w:t>
      </w:r>
      <w:bookmarkEnd w:id="1015"/>
    </w:p>
    <w:p w14:paraId="16835FDD" w14:textId="77777777" w:rsidR="005F4A7E" w:rsidRDefault="005F4A7E" w:rsidP="00130D1C">
      <w:pPr>
        <w:pStyle w:val="ARfinbody"/>
      </w:pPr>
      <w:r>
        <w:t>Fair value interest rate risk is the risk that the fair value of a financial instrument will fluctuate because of changes in market interest rates. The department does not hold any interest-bearing financial instruments that are measured at fair value, and therefore has no exposure to fair value interest rate risk.</w:t>
      </w:r>
    </w:p>
    <w:p w14:paraId="49016073" w14:textId="77777777" w:rsidR="005F4A7E" w:rsidRDefault="005F4A7E" w:rsidP="00130D1C">
      <w:pPr>
        <w:pStyle w:val="ARfinbody"/>
      </w:pPr>
      <w:r>
        <w:t>Cash flow interest rate risk is the risk that the future cash flows of a financial instrument will fluctuate because of changes in market interest rates. The department has minimal exposure to cash flow interest rate risks through cash and deposits and term deposits.</w:t>
      </w:r>
    </w:p>
    <w:p w14:paraId="54DDFA56" w14:textId="3DC2C430" w:rsidR="005F4A7E" w:rsidRDefault="005F4A7E" w:rsidP="00130D1C">
      <w:pPr>
        <w:pStyle w:val="ARfinbody"/>
      </w:pPr>
      <w:r>
        <w:t>Exposure to interest rate risk is insignificant and might arise primarily through the department</w:t>
      </w:r>
      <w:r w:rsidR="007D145B">
        <w:t>’</w:t>
      </w:r>
      <w:r>
        <w:t>s interest-bearing assets. Minimisation of risk is achieved by mainly undertaking fixed rate or non-interest-bearing financial instruments. For financial liabilities, the department mainly incurs financial liabilities with relatively even maturity profiles.</w:t>
      </w:r>
    </w:p>
    <w:p w14:paraId="62D997EC" w14:textId="6CB31A37" w:rsidR="005F4A7E" w:rsidRDefault="005F4A7E" w:rsidP="00130D1C">
      <w:pPr>
        <w:pStyle w:val="ARfinbody"/>
      </w:pPr>
      <w:r>
        <w:t>The carrying amounts of financial assets and financial liabilities that are exposed to interest rates and the department</w:t>
      </w:r>
      <w:r w:rsidR="007D145B">
        <w:t>’</w:t>
      </w:r>
      <w:r>
        <w:t>s sensitivity to interest rate risk are set out in the table that follows.</w:t>
      </w:r>
    </w:p>
    <w:p w14:paraId="50A61B0A" w14:textId="77777777" w:rsidR="005F4A7E" w:rsidRDefault="005F4A7E" w:rsidP="00130D1C">
      <w:pPr>
        <w:pStyle w:val="Heading7"/>
      </w:pPr>
      <w:bookmarkStart w:id="1016" w:name="_Toc85121528"/>
      <w:r>
        <w:lastRenderedPageBreak/>
        <w:t>Interest rate exposure of financial instruments</w:t>
      </w:r>
      <w:bookmarkEnd w:id="1016"/>
    </w:p>
    <w:tbl>
      <w:tblPr>
        <w:tblStyle w:val="TableGrid"/>
        <w:tblW w:w="9639" w:type="dxa"/>
        <w:tblLayout w:type="fixed"/>
        <w:tblLook w:val="06A0" w:firstRow="1" w:lastRow="0" w:firstColumn="1" w:lastColumn="0" w:noHBand="1" w:noVBand="1"/>
      </w:tblPr>
      <w:tblGrid>
        <w:gridCol w:w="3969"/>
        <w:gridCol w:w="1134"/>
        <w:gridCol w:w="1134"/>
        <w:gridCol w:w="1134"/>
        <w:gridCol w:w="1134"/>
        <w:gridCol w:w="1134"/>
      </w:tblGrid>
      <w:tr w:rsidR="005F4A7E" w:rsidRPr="002029AF" w14:paraId="2DB664C7"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3969" w:type="dxa"/>
            <w:vMerge w:val="restart"/>
            <w:hideMark/>
          </w:tcPr>
          <w:p w14:paraId="0F683477" w14:textId="77777777" w:rsidR="005F4A7E" w:rsidRPr="002029AF" w:rsidRDefault="005F4A7E" w:rsidP="00860E95">
            <w:pPr>
              <w:pStyle w:val="ARfintablecolhead"/>
            </w:pPr>
          </w:p>
        </w:tc>
        <w:tc>
          <w:tcPr>
            <w:tcW w:w="1134" w:type="dxa"/>
            <w:vMerge w:val="restart"/>
            <w:hideMark/>
          </w:tcPr>
          <w:p w14:paraId="2BB166F0" w14:textId="77777777" w:rsidR="005F4A7E" w:rsidRDefault="005F4A7E" w:rsidP="00860E95">
            <w:pPr>
              <w:pStyle w:val="ARfintablecolheadright"/>
            </w:pPr>
            <w:r w:rsidRPr="002029AF">
              <w:t>Weighted average effective interest rate</w:t>
            </w:r>
          </w:p>
          <w:p w14:paraId="4FC6D762" w14:textId="77777777" w:rsidR="005F4A7E" w:rsidRPr="002029AF" w:rsidRDefault="005F4A7E" w:rsidP="00860E95">
            <w:pPr>
              <w:pStyle w:val="ARfintablecolheadright"/>
            </w:pPr>
            <w:r w:rsidRPr="002029AF">
              <w:t>%</w:t>
            </w:r>
          </w:p>
        </w:tc>
        <w:tc>
          <w:tcPr>
            <w:tcW w:w="1134" w:type="dxa"/>
            <w:vMerge w:val="restart"/>
            <w:hideMark/>
          </w:tcPr>
          <w:p w14:paraId="1A41AE69" w14:textId="77777777" w:rsidR="005F4A7E" w:rsidRPr="002029AF" w:rsidRDefault="005F4A7E" w:rsidP="00860E95">
            <w:pPr>
              <w:pStyle w:val="ARfintablecolheadright"/>
            </w:pPr>
            <w:r w:rsidRPr="002029AF">
              <w:t>Carrying amount</w:t>
            </w:r>
          </w:p>
          <w:p w14:paraId="64CCA385" w14:textId="77777777" w:rsidR="005F4A7E" w:rsidRPr="002029AF" w:rsidRDefault="005F4A7E" w:rsidP="00860E95">
            <w:pPr>
              <w:pStyle w:val="ARfintablecolheadright"/>
            </w:pPr>
            <w:r w:rsidRPr="002029AF">
              <w:t>$M</w:t>
            </w:r>
          </w:p>
        </w:tc>
        <w:tc>
          <w:tcPr>
            <w:tcW w:w="3402" w:type="dxa"/>
            <w:gridSpan w:val="3"/>
            <w:hideMark/>
          </w:tcPr>
          <w:p w14:paraId="19AA1A0F" w14:textId="77777777" w:rsidR="005F4A7E" w:rsidRPr="002029AF" w:rsidRDefault="005F4A7E" w:rsidP="00E64696">
            <w:pPr>
              <w:pStyle w:val="ARfintablecolheadright"/>
              <w:jc w:val="center"/>
            </w:pPr>
            <w:r w:rsidRPr="002029AF">
              <w:t>Interest rate exposure</w:t>
            </w:r>
          </w:p>
        </w:tc>
      </w:tr>
      <w:tr w:rsidR="005F4A7E" w:rsidRPr="002029AF" w14:paraId="0620B840"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3969" w:type="dxa"/>
            <w:vMerge/>
            <w:hideMark/>
          </w:tcPr>
          <w:p w14:paraId="4944EA07" w14:textId="77777777" w:rsidR="005F4A7E" w:rsidRPr="002029AF" w:rsidRDefault="005F4A7E" w:rsidP="00860E95">
            <w:pPr>
              <w:pStyle w:val="ARfintablecolhead"/>
            </w:pPr>
          </w:p>
        </w:tc>
        <w:tc>
          <w:tcPr>
            <w:tcW w:w="1134" w:type="dxa"/>
            <w:vMerge/>
            <w:hideMark/>
          </w:tcPr>
          <w:p w14:paraId="73D2F02C" w14:textId="77777777" w:rsidR="005F4A7E" w:rsidRPr="002029AF" w:rsidRDefault="005F4A7E" w:rsidP="00860E95">
            <w:pPr>
              <w:pStyle w:val="ARfintablecolheadright"/>
            </w:pPr>
          </w:p>
        </w:tc>
        <w:tc>
          <w:tcPr>
            <w:tcW w:w="1134" w:type="dxa"/>
            <w:vMerge/>
            <w:hideMark/>
          </w:tcPr>
          <w:p w14:paraId="7E54BBD2" w14:textId="77777777" w:rsidR="005F4A7E" w:rsidRPr="002029AF" w:rsidRDefault="005F4A7E" w:rsidP="00860E95">
            <w:pPr>
              <w:pStyle w:val="ARfintablecolheadright"/>
            </w:pPr>
          </w:p>
        </w:tc>
        <w:tc>
          <w:tcPr>
            <w:tcW w:w="1134" w:type="dxa"/>
            <w:hideMark/>
          </w:tcPr>
          <w:p w14:paraId="13B6609A" w14:textId="77777777" w:rsidR="005F4A7E" w:rsidRPr="002029AF" w:rsidRDefault="005F4A7E" w:rsidP="00860E95">
            <w:pPr>
              <w:pStyle w:val="ARfintablecolheadright"/>
            </w:pPr>
            <w:r w:rsidRPr="002029AF">
              <w:t>Fixed interest rate</w:t>
            </w:r>
          </w:p>
          <w:p w14:paraId="56A4AA6B" w14:textId="77777777" w:rsidR="005F4A7E" w:rsidRPr="002029AF" w:rsidRDefault="005F4A7E" w:rsidP="00860E95">
            <w:pPr>
              <w:pStyle w:val="ARfintablecolheadright"/>
            </w:pPr>
            <w:r w:rsidRPr="002029AF">
              <w:t>$M</w:t>
            </w:r>
          </w:p>
        </w:tc>
        <w:tc>
          <w:tcPr>
            <w:tcW w:w="1134" w:type="dxa"/>
            <w:hideMark/>
          </w:tcPr>
          <w:p w14:paraId="062AA6BD" w14:textId="77777777" w:rsidR="005F4A7E" w:rsidRPr="002029AF" w:rsidRDefault="005F4A7E" w:rsidP="00860E95">
            <w:pPr>
              <w:pStyle w:val="ARfintablecolheadright"/>
            </w:pPr>
            <w:r w:rsidRPr="002029AF">
              <w:t>Variable interest rate</w:t>
            </w:r>
          </w:p>
          <w:p w14:paraId="2D4B484C" w14:textId="77777777" w:rsidR="005F4A7E" w:rsidRPr="002029AF" w:rsidRDefault="005F4A7E" w:rsidP="00860E95">
            <w:pPr>
              <w:pStyle w:val="ARfintablecolheadright"/>
            </w:pPr>
            <w:r w:rsidRPr="002029AF">
              <w:t>$M</w:t>
            </w:r>
          </w:p>
        </w:tc>
        <w:tc>
          <w:tcPr>
            <w:tcW w:w="1134" w:type="dxa"/>
            <w:hideMark/>
          </w:tcPr>
          <w:p w14:paraId="3C2168D2" w14:textId="77777777" w:rsidR="005F4A7E" w:rsidRPr="002029AF" w:rsidRDefault="005F4A7E" w:rsidP="00860E95">
            <w:pPr>
              <w:pStyle w:val="ARfintablecolheadright"/>
            </w:pPr>
            <w:r w:rsidRPr="002029AF">
              <w:t>Non-interest bearing</w:t>
            </w:r>
          </w:p>
          <w:p w14:paraId="68BF18A1" w14:textId="77777777" w:rsidR="005F4A7E" w:rsidRPr="002029AF" w:rsidRDefault="005F4A7E" w:rsidP="00860E95">
            <w:pPr>
              <w:pStyle w:val="ARfintablecolheadright"/>
            </w:pPr>
            <w:r w:rsidRPr="002029AF">
              <w:t>$M</w:t>
            </w:r>
          </w:p>
        </w:tc>
      </w:tr>
      <w:tr w:rsidR="005F4A7E" w:rsidRPr="002029AF" w14:paraId="018F4232" w14:textId="77777777" w:rsidTr="00860E95">
        <w:tc>
          <w:tcPr>
            <w:tcW w:w="9639" w:type="dxa"/>
            <w:gridSpan w:val="6"/>
            <w:tcBorders>
              <w:bottom w:val="single" w:sz="4" w:space="0" w:color="auto"/>
            </w:tcBorders>
            <w:hideMark/>
          </w:tcPr>
          <w:p w14:paraId="304927F9" w14:textId="77777777" w:rsidR="005F4A7E" w:rsidRPr="002029AF" w:rsidRDefault="005F4A7E" w:rsidP="00130D1C">
            <w:pPr>
              <w:pStyle w:val="ARfintablebodybold"/>
            </w:pPr>
            <w:r w:rsidRPr="003A544C">
              <w:t>2021</w:t>
            </w:r>
          </w:p>
        </w:tc>
      </w:tr>
      <w:tr w:rsidR="005F4A7E" w:rsidRPr="002029AF" w14:paraId="28E8276E" w14:textId="77777777" w:rsidTr="00860E95">
        <w:tc>
          <w:tcPr>
            <w:tcW w:w="9639" w:type="dxa"/>
            <w:gridSpan w:val="6"/>
            <w:tcBorders>
              <w:top w:val="single" w:sz="4" w:space="0" w:color="auto"/>
              <w:bottom w:val="single" w:sz="4" w:space="0" w:color="A6A6A6"/>
            </w:tcBorders>
            <w:hideMark/>
          </w:tcPr>
          <w:p w14:paraId="6FEB1742" w14:textId="77777777" w:rsidR="005F4A7E" w:rsidRPr="002029AF" w:rsidRDefault="005F4A7E" w:rsidP="00130D1C">
            <w:pPr>
              <w:pStyle w:val="ARfintablebodybold"/>
            </w:pPr>
            <w:r w:rsidRPr="003A544C">
              <w:t>Financial assets</w:t>
            </w:r>
          </w:p>
        </w:tc>
      </w:tr>
      <w:tr w:rsidR="005F4A7E" w:rsidRPr="002029AF" w14:paraId="7AD0B414" w14:textId="77777777" w:rsidTr="00860E95">
        <w:tc>
          <w:tcPr>
            <w:tcW w:w="3969" w:type="dxa"/>
            <w:tcBorders>
              <w:top w:val="single" w:sz="4" w:space="0" w:color="A6A6A6"/>
              <w:bottom w:val="single" w:sz="4" w:space="0" w:color="A6A6A6"/>
            </w:tcBorders>
            <w:hideMark/>
          </w:tcPr>
          <w:p w14:paraId="6D3D6DEA" w14:textId="77777777" w:rsidR="005F4A7E" w:rsidRPr="002029AF" w:rsidRDefault="005F4A7E" w:rsidP="00130D1C">
            <w:pPr>
              <w:pStyle w:val="ARfintablebody"/>
            </w:pPr>
            <w:r w:rsidRPr="003A544C">
              <w:t>Cash and deposits</w:t>
            </w:r>
          </w:p>
        </w:tc>
        <w:tc>
          <w:tcPr>
            <w:tcW w:w="1134" w:type="dxa"/>
            <w:tcBorders>
              <w:top w:val="single" w:sz="4" w:space="0" w:color="A6A6A6"/>
              <w:bottom w:val="single" w:sz="4" w:space="0" w:color="A6A6A6"/>
            </w:tcBorders>
            <w:noWrap/>
            <w:hideMark/>
          </w:tcPr>
          <w:p w14:paraId="68AEAABC" w14:textId="77777777" w:rsidR="005F4A7E" w:rsidRPr="002029AF" w:rsidRDefault="005F4A7E" w:rsidP="00130D1C">
            <w:pPr>
              <w:pStyle w:val="ARfintablebodyright"/>
            </w:pPr>
            <w:r w:rsidRPr="003A544C">
              <w:t>0.1%</w:t>
            </w:r>
          </w:p>
        </w:tc>
        <w:tc>
          <w:tcPr>
            <w:tcW w:w="1134" w:type="dxa"/>
            <w:tcBorders>
              <w:top w:val="single" w:sz="4" w:space="0" w:color="A6A6A6"/>
              <w:bottom w:val="single" w:sz="4" w:space="0" w:color="A6A6A6"/>
            </w:tcBorders>
            <w:noWrap/>
            <w:hideMark/>
          </w:tcPr>
          <w:p w14:paraId="0FD8CA89" w14:textId="77777777" w:rsidR="005F4A7E" w:rsidRPr="002029AF" w:rsidRDefault="005F4A7E" w:rsidP="00130D1C">
            <w:pPr>
              <w:pStyle w:val="ARfintablebodyright"/>
            </w:pPr>
            <w:r w:rsidRPr="003A544C">
              <w:t>913.9</w:t>
            </w:r>
          </w:p>
        </w:tc>
        <w:tc>
          <w:tcPr>
            <w:tcW w:w="1134" w:type="dxa"/>
            <w:tcBorders>
              <w:top w:val="single" w:sz="4" w:space="0" w:color="A6A6A6"/>
              <w:bottom w:val="single" w:sz="4" w:space="0" w:color="A6A6A6"/>
            </w:tcBorders>
            <w:noWrap/>
            <w:hideMark/>
          </w:tcPr>
          <w:p w14:paraId="0ADEB440" w14:textId="77777777" w:rsidR="005F4A7E" w:rsidRPr="002029AF" w:rsidRDefault="005F4A7E" w:rsidP="00130D1C">
            <w:pPr>
              <w:pStyle w:val="ARfintablebodyright"/>
            </w:pPr>
            <w:r w:rsidRPr="003A544C">
              <w:t>–</w:t>
            </w:r>
          </w:p>
        </w:tc>
        <w:tc>
          <w:tcPr>
            <w:tcW w:w="1134" w:type="dxa"/>
            <w:tcBorders>
              <w:top w:val="single" w:sz="4" w:space="0" w:color="A6A6A6"/>
              <w:bottom w:val="single" w:sz="4" w:space="0" w:color="A6A6A6"/>
            </w:tcBorders>
            <w:noWrap/>
            <w:hideMark/>
          </w:tcPr>
          <w:p w14:paraId="1CB5C3DC" w14:textId="77777777" w:rsidR="005F4A7E" w:rsidRPr="002029AF" w:rsidRDefault="005F4A7E" w:rsidP="00130D1C">
            <w:pPr>
              <w:pStyle w:val="ARfintablebodyright"/>
            </w:pPr>
            <w:r w:rsidRPr="003A544C">
              <w:t>775.0</w:t>
            </w:r>
          </w:p>
        </w:tc>
        <w:tc>
          <w:tcPr>
            <w:tcW w:w="1134" w:type="dxa"/>
            <w:tcBorders>
              <w:top w:val="single" w:sz="4" w:space="0" w:color="A6A6A6"/>
              <w:bottom w:val="single" w:sz="4" w:space="0" w:color="A6A6A6"/>
            </w:tcBorders>
            <w:noWrap/>
            <w:hideMark/>
          </w:tcPr>
          <w:p w14:paraId="042782C7" w14:textId="77777777" w:rsidR="005F4A7E" w:rsidRPr="002029AF" w:rsidRDefault="005F4A7E" w:rsidP="00130D1C">
            <w:pPr>
              <w:pStyle w:val="ARfintablebodyright"/>
            </w:pPr>
            <w:r w:rsidRPr="003A544C">
              <w:t>138.9</w:t>
            </w:r>
          </w:p>
        </w:tc>
      </w:tr>
      <w:tr w:rsidR="005F4A7E" w:rsidRPr="002029AF" w14:paraId="1AFCD961" w14:textId="77777777" w:rsidTr="00860E95">
        <w:tc>
          <w:tcPr>
            <w:tcW w:w="3969" w:type="dxa"/>
            <w:tcBorders>
              <w:top w:val="single" w:sz="4" w:space="0" w:color="A6A6A6"/>
              <w:bottom w:val="single" w:sz="4" w:space="0" w:color="A6A6A6"/>
            </w:tcBorders>
            <w:hideMark/>
          </w:tcPr>
          <w:p w14:paraId="33994E6A" w14:textId="77777777" w:rsidR="005F4A7E" w:rsidRPr="002029AF" w:rsidRDefault="005F4A7E" w:rsidP="00130D1C">
            <w:pPr>
              <w:pStyle w:val="ARfintablebody"/>
            </w:pPr>
            <w:r w:rsidRPr="003A544C">
              <w:t xml:space="preserve">Receivables </w:t>
            </w:r>
            <w:r w:rsidRPr="008F3F8C">
              <w:rPr>
                <w:rStyle w:val="Superscript"/>
              </w:rPr>
              <w:t>(i)</w:t>
            </w:r>
          </w:p>
        </w:tc>
        <w:tc>
          <w:tcPr>
            <w:tcW w:w="1134" w:type="dxa"/>
            <w:tcBorders>
              <w:top w:val="single" w:sz="4" w:space="0" w:color="A6A6A6"/>
              <w:bottom w:val="single" w:sz="4" w:space="0" w:color="A6A6A6"/>
            </w:tcBorders>
            <w:noWrap/>
            <w:hideMark/>
          </w:tcPr>
          <w:p w14:paraId="1B6208C2" w14:textId="77777777" w:rsidR="005F4A7E" w:rsidRPr="002029AF" w:rsidRDefault="005F4A7E" w:rsidP="00130D1C">
            <w:pPr>
              <w:pStyle w:val="ARfintablebodyright"/>
            </w:pPr>
          </w:p>
        </w:tc>
        <w:tc>
          <w:tcPr>
            <w:tcW w:w="1134" w:type="dxa"/>
            <w:tcBorders>
              <w:top w:val="single" w:sz="4" w:space="0" w:color="A6A6A6"/>
              <w:bottom w:val="single" w:sz="4" w:space="0" w:color="A6A6A6"/>
            </w:tcBorders>
            <w:noWrap/>
            <w:hideMark/>
          </w:tcPr>
          <w:p w14:paraId="1AF6C28F" w14:textId="77777777" w:rsidR="005F4A7E" w:rsidRPr="002029AF" w:rsidRDefault="005F4A7E" w:rsidP="00130D1C">
            <w:pPr>
              <w:pStyle w:val="ARfintablebodyright"/>
            </w:pPr>
            <w:r w:rsidRPr="003A544C">
              <w:t>341.9</w:t>
            </w:r>
          </w:p>
        </w:tc>
        <w:tc>
          <w:tcPr>
            <w:tcW w:w="1134" w:type="dxa"/>
            <w:tcBorders>
              <w:top w:val="single" w:sz="4" w:space="0" w:color="A6A6A6"/>
              <w:bottom w:val="single" w:sz="4" w:space="0" w:color="A6A6A6"/>
            </w:tcBorders>
            <w:noWrap/>
            <w:hideMark/>
          </w:tcPr>
          <w:p w14:paraId="0792B7C0" w14:textId="77777777" w:rsidR="005F4A7E" w:rsidRPr="002029AF" w:rsidRDefault="005F4A7E" w:rsidP="00130D1C">
            <w:pPr>
              <w:pStyle w:val="ARfintablebodyright"/>
            </w:pPr>
            <w:r w:rsidRPr="003A544C">
              <w:t>–</w:t>
            </w:r>
          </w:p>
        </w:tc>
        <w:tc>
          <w:tcPr>
            <w:tcW w:w="1134" w:type="dxa"/>
            <w:tcBorders>
              <w:top w:val="single" w:sz="4" w:space="0" w:color="A6A6A6"/>
              <w:bottom w:val="single" w:sz="4" w:space="0" w:color="A6A6A6"/>
            </w:tcBorders>
            <w:noWrap/>
            <w:hideMark/>
          </w:tcPr>
          <w:p w14:paraId="22A00563" w14:textId="77777777" w:rsidR="005F4A7E" w:rsidRPr="002029AF" w:rsidRDefault="005F4A7E" w:rsidP="00130D1C">
            <w:pPr>
              <w:pStyle w:val="ARfintablebodyright"/>
            </w:pPr>
            <w:r w:rsidRPr="003A544C">
              <w:t>–</w:t>
            </w:r>
          </w:p>
        </w:tc>
        <w:tc>
          <w:tcPr>
            <w:tcW w:w="1134" w:type="dxa"/>
            <w:tcBorders>
              <w:top w:val="single" w:sz="4" w:space="0" w:color="A6A6A6"/>
              <w:bottom w:val="single" w:sz="4" w:space="0" w:color="A6A6A6"/>
            </w:tcBorders>
            <w:noWrap/>
            <w:hideMark/>
          </w:tcPr>
          <w:p w14:paraId="6FFB6920" w14:textId="77777777" w:rsidR="005F4A7E" w:rsidRPr="002029AF" w:rsidRDefault="005F4A7E" w:rsidP="00130D1C">
            <w:pPr>
              <w:pStyle w:val="ARfintablebodyright"/>
            </w:pPr>
            <w:r w:rsidRPr="003A544C">
              <w:t>341.9</w:t>
            </w:r>
          </w:p>
        </w:tc>
      </w:tr>
      <w:tr w:rsidR="005F4A7E" w:rsidRPr="002029AF" w14:paraId="3A421CEA" w14:textId="77777777" w:rsidTr="00860E95">
        <w:tc>
          <w:tcPr>
            <w:tcW w:w="3969" w:type="dxa"/>
            <w:tcBorders>
              <w:top w:val="single" w:sz="4" w:space="0" w:color="A6A6A6"/>
            </w:tcBorders>
            <w:hideMark/>
          </w:tcPr>
          <w:p w14:paraId="712C0F50" w14:textId="77777777" w:rsidR="005F4A7E" w:rsidRPr="002029AF" w:rsidRDefault="005F4A7E" w:rsidP="00130D1C">
            <w:pPr>
              <w:pStyle w:val="ARfintablebody"/>
            </w:pPr>
            <w:r w:rsidRPr="003A544C">
              <w:t>Loans</w:t>
            </w:r>
          </w:p>
        </w:tc>
        <w:tc>
          <w:tcPr>
            <w:tcW w:w="1134" w:type="dxa"/>
            <w:tcBorders>
              <w:top w:val="single" w:sz="4" w:space="0" w:color="A6A6A6"/>
            </w:tcBorders>
            <w:noWrap/>
            <w:hideMark/>
          </w:tcPr>
          <w:p w14:paraId="42546F4A" w14:textId="77777777" w:rsidR="005F4A7E" w:rsidRPr="002029AF" w:rsidRDefault="005F4A7E" w:rsidP="00130D1C">
            <w:pPr>
              <w:pStyle w:val="ARfintablebodyright"/>
            </w:pPr>
            <w:r w:rsidRPr="003A544C">
              <w:t>3.8%</w:t>
            </w:r>
          </w:p>
        </w:tc>
        <w:tc>
          <w:tcPr>
            <w:tcW w:w="1134" w:type="dxa"/>
            <w:tcBorders>
              <w:top w:val="single" w:sz="4" w:space="0" w:color="A6A6A6"/>
            </w:tcBorders>
            <w:noWrap/>
            <w:hideMark/>
          </w:tcPr>
          <w:p w14:paraId="3C3E5435" w14:textId="77777777" w:rsidR="005F4A7E" w:rsidRPr="002029AF" w:rsidRDefault="005F4A7E" w:rsidP="00130D1C">
            <w:pPr>
              <w:pStyle w:val="ARfintablebodyright"/>
            </w:pPr>
            <w:r w:rsidRPr="003A544C">
              <w:t>118.8</w:t>
            </w:r>
          </w:p>
        </w:tc>
        <w:tc>
          <w:tcPr>
            <w:tcW w:w="1134" w:type="dxa"/>
            <w:tcBorders>
              <w:top w:val="single" w:sz="4" w:space="0" w:color="A6A6A6"/>
            </w:tcBorders>
            <w:noWrap/>
            <w:hideMark/>
          </w:tcPr>
          <w:p w14:paraId="3E31456D" w14:textId="77777777" w:rsidR="005F4A7E" w:rsidRPr="002029AF" w:rsidRDefault="005F4A7E" w:rsidP="00130D1C">
            <w:pPr>
              <w:pStyle w:val="ARfintablebodyright"/>
            </w:pPr>
            <w:r w:rsidRPr="003A544C">
              <w:t>1.7</w:t>
            </w:r>
          </w:p>
        </w:tc>
        <w:tc>
          <w:tcPr>
            <w:tcW w:w="1134" w:type="dxa"/>
            <w:tcBorders>
              <w:top w:val="single" w:sz="4" w:space="0" w:color="A6A6A6"/>
            </w:tcBorders>
            <w:noWrap/>
            <w:hideMark/>
          </w:tcPr>
          <w:p w14:paraId="03414E14" w14:textId="77777777" w:rsidR="005F4A7E" w:rsidRPr="002029AF" w:rsidRDefault="005F4A7E" w:rsidP="00130D1C">
            <w:pPr>
              <w:pStyle w:val="ARfintablebodyright"/>
            </w:pPr>
            <w:r w:rsidRPr="003A544C">
              <w:t>9.4</w:t>
            </w:r>
          </w:p>
        </w:tc>
        <w:tc>
          <w:tcPr>
            <w:tcW w:w="1134" w:type="dxa"/>
            <w:tcBorders>
              <w:top w:val="single" w:sz="4" w:space="0" w:color="A6A6A6"/>
            </w:tcBorders>
            <w:noWrap/>
            <w:hideMark/>
          </w:tcPr>
          <w:p w14:paraId="7B5D02D2" w14:textId="77777777" w:rsidR="005F4A7E" w:rsidRPr="002029AF" w:rsidRDefault="005F4A7E" w:rsidP="00130D1C">
            <w:pPr>
              <w:pStyle w:val="ARfintablebodyright"/>
            </w:pPr>
            <w:r w:rsidRPr="003A544C">
              <w:t>107.7</w:t>
            </w:r>
          </w:p>
        </w:tc>
      </w:tr>
      <w:tr w:rsidR="005F4A7E" w:rsidRPr="002029AF" w14:paraId="2433194F" w14:textId="77777777" w:rsidTr="00860E95">
        <w:tc>
          <w:tcPr>
            <w:tcW w:w="3969" w:type="dxa"/>
            <w:tcBorders>
              <w:bottom w:val="single" w:sz="4" w:space="0" w:color="auto"/>
            </w:tcBorders>
            <w:hideMark/>
          </w:tcPr>
          <w:p w14:paraId="155C19B2" w14:textId="77777777" w:rsidR="005F4A7E" w:rsidRPr="002029AF" w:rsidRDefault="005F4A7E" w:rsidP="00130D1C">
            <w:pPr>
              <w:pStyle w:val="ARfintablebodybold"/>
            </w:pPr>
            <w:r w:rsidRPr="003A544C">
              <w:t>Total financial assets</w:t>
            </w:r>
          </w:p>
        </w:tc>
        <w:tc>
          <w:tcPr>
            <w:tcW w:w="1134" w:type="dxa"/>
            <w:tcBorders>
              <w:bottom w:val="single" w:sz="4" w:space="0" w:color="auto"/>
            </w:tcBorders>
            <w:noWrap/>
            <w:hideMark/>
          </w:tcPr>
          <w:p w14:paraId="09528F98" w14:textId="77777777" w:rsidR="005F4A7E" w:rsidRPr="002029AF" w:rsidRDefault="005F4A7E" w:rsidP="00130D1C">
            <w:pPr>
              <w:pStyle w:val="ARfintablebodyrightbold"/>
            </w:pPr>
          </w:p>
        </w:tc>
        <w:tc>
          <w:tcPr>
            <w:tcW w:w="1134" w:type="dxa"/>
            <w:tcBorders>
              <w:bottom w:val="single" w:sz="4" w:space="0" w:color="auto"/>
            </w:tcBorders>
            <w:noWrap/>
            <w:hideMark/>
          </w:tcPr>
          <w:p w14:paraId="3F5B6A19" w14:textId="77777777" w:rsidR="005F4A7E" w:rsidRPr="002029AF" w:rsidRDefault="005F4A7E" w:rsidP="00130D1C">
            <w:pPr>
              <w:pStyle w:val="ARfintablebodyrightbold"/>
            </w:pPr>
            <w:r w:rsidRPr="003A544C">
              <w:t>1,374.6</w:t>
            </w:r>
          </w:p>
        </w:tc>
        <w:tc>
          <w:tcPr>
            <w:tcW w:w="1134" w:type="dxa"/>
            <w:tcBorders>
              <w:bottom w:val="single" w:sz="4" w:space="0" w:color="auto"/>
            </w:tcBorders>
            <w:noWrap/>
            <w:hideMark/>
          </w:tcPr>
          <w:p w14:paraId="31021D8B" w14:textId="77777777" w:rsidR="005F4A7E" w:rsidRPr="002029AF" w:rsidRDefault="005F4A7E" w:rsidP="00130D1C">
            <w:pPr>
              <w:pStyle w:val="ARfintablebodyrightbold"/>
            </w:pPr>
            <w:r w:rsidRPr="003A544C">
              <w:t>1.7</w:t>
            </w:r>
          </w:p>
        </w:tc>
        <w:tc>
          <w:tcPr>
            <w:tcW w:w="1134" w:type="dxa"/>
            <w:tcBorders>
              <w:bottom w:val="single" w:sz="4" w:space="0" w:color="auto"/>
            </w:tcBorders>
            <w:noWrap/>
            <w:hideMark/>
          </w:tcPr>
          <w:p w14:paraId="39343CE1" w14:textId="77777777" w:rsidR="005F4A7E" w:rsidRPr="002029AF" w:rsidRDefault="005F4A7E" w:rsidP="00130D1C">
            <w:pPr>
              <w:pStyle w:val="ARfintablebodyrightbold"/>
            </w:pPr>
            <w:r w:rsidRPr="003A544C">
              <w:t>784.4</w:t>
            </w:r>
          </w:p>
        </w:tc>
        <w:tc>
          <w:tcPr>
            <w:tcW w:w="1134" w:type="dxa"/>
            <w:tcBorders>
              <w:bottom w:val="single" w:sz="4" w:space="0" w:color="auto"/>
            </w:tcBorders>
            <w:noWrap/>
            <w:hideMark/>
          </w:tcPr>
          <w:p w14:paraId="24106659" w14:textId="77777777" w:rsidR="005F4A7E" w:rsidRPr="002029AF" w:rsidRDefault="005F4A7E" w:rsidP="00130D1C">
            <w:pPr>
              <w:pStyle w:val="ARfintablebodyrightbold"/>
            </w:pPr>
            <w:r w:rsidRPr="003A544C">
              <w:t>588.5</w:t>
            </w:r>
          </w:p>
        </w:tc>
      </w:tr>
      <w:tr w:rsidR="005F4A7E" w:rsidRPr="002029AF" w14:paraId="66775736" w14:textId="77777777" w:rsidTr="00860E95">
        <w:tc>
          <w:tcPr>
            <w:tcW w:w="9639" w:type="dxa"/>
            <w:gridSpan w:val="6"/>
            <w:tcBorders>
              <w:top w:val="single" w:sz="4" w:space="0" w:color="auto"/>
              <w:bottom w:val="single" w:sz="4" w:space="0" w:color="A6A6A6"/>
            </w:tcBorders>
            <w:hideMark/>
          </w:tcPr>
          <w:p w14:paraId="575EAF49" w14:textId="77777777" w:rsidR="005F4A7E" w:rsidRPr="002029AF" w:rsidRDefault="005F4A7E" w:rsidP="00130D1C">
            <w:pPr>
              <w:pStyle w:val="ARfintablebodybold"/>
            </w:pPr>
            <w:r w:rsidRPr="003A544C">
              <w:t>Financial liabilities</w:t>
            </w:r>
          </w:p>
        </w:tc>
      </w:tr>
      <w:tr w:rsidR="005F4A7E" w:rsidRPr="002029AF" w14:paraId="7684D642" w14:textId="77777777" w:rsidTr="00860E95">
        <w:tc>
          <w:tcPr>
            <w:tcW w:w="3969" w:type="dxa"/>
            <w:tcBorders>
              <w:top w:val="single" w:sz="4" w:space="0" w:color="A6A6A6"/>
              <w:bottom w:val="single" w:sz="4" w:space="0" w:color="A6A6A6"/>
            </w:tcBorders>
            <w:hideMark/>
          </w:tcPr>
          <w:p w14:paraId="0B59AEB4" w14:textId="77777777" w:rsidR="005F4A7E" w:rsidRPr="002029AF" w:rsidRDefault="005F4A7E" w:rsidP="00130D1C">
            <w:pPr>
              <w:pStyle w:val="ARfintablebody"/>
            </w:pPr>
            <w:r w:rsidRPr="003A544C">
              <w:t xml:space="preserve">Payables </w:t>
            </w:r>
            <w:r w:rsidRPr="008F3F8C">
              <w:rPr>
                <w:rStyle w:val="Superscript"/>
              </w:rPr>
              <w:t>(i)</w:t>
            </w:r>
          </w:p>
        </w:tc>
        <w:tc>
          <w:tcPr>
            <w:tcW w:w="1134" w:type="dxa"/>
            <w:tcBorders>
              <w:top w:val="single" w:sz="4" w:space="0" w:color="A6A6A6"/>
              <w:bottom w:val="single" w:sz="4" w:space="0" w:color="A6A6A6"/>
            </w:tcBorders>
            <w:noWrap/>
            <w:hideMark/>
          </w:tcPr>
          <w:p w14:paraId="0A8FDB14" w14:textId="77777777" w:rsidR="005F4A7E" w:rsidRPr="002029AF" w:rsidRDefault="005F4A7E" w:rsidP="00130D1C">
            <w:pPr>
              <w:pStyle w:val="ARfintablebodyright"/>
            </w:pPr>
          </w:p>
        </w:tc>
        <w:tc>
          <w:tcPr>
            <w:tcW w:w="1134" w:type="dxa"/>
            <w:tcBorders>
              <w:top w:val="single" w:sz="4" w:space="0" w:color="A6A6A6"/>
              <w:bottom w:val="single" w:sz="4" w:space="0" w:color="A6A6A6"/>
            </w:tcBorders>
            <w:noWrap/>
            <w:hideMark/>
          </w:tcPr>
          <w:p w14:paraId="4BD43DC5" w14:textId="77777777" w:rsidR="005F4A7E" w:rsidRPr="002029AF" w:rsidRDefault="005F4A7E" w:rsidP="00130D1C">
            <w:pPr>
              <w:pStyle w:val="ARfintablebodyright"/>
            </w:pPr>
            <w:r w:rsidRPr="003A544C">
              <w:t>2,130.1</w:t>
            </w:r>
          </w:p>
        </w:tc>
        <w:tc>
          <w:tcPr>
            <w:tcW w:w="1134" w:type="dxa"/>
            <w:tcBorders>
              <w:top w:val="single" w:sz="4" w:space="0" w:color="A6A6A6"/>
              <w:bottom w:val="single" w:sz="4" w:space="0" w:color="A6A6A6"/>
            </w:tcBorders>
            <w:noWrap/>
            <w:hideMark/>
          </w:tcPr>
          <w:p w14:paraId="28528E8D" w14:textId="77777777" w:rsidR="005F4A7E" w:rsidRPr="002029AF" w:rsidRDefault="005F4A7E" w:rsidP="00130D1C">
            <w:pPr>
              <w:pStyle w:val="ARfintablebodyright"/>
            </w:pPr>
            <w:r w:rsidRPr="003A544C">
              <w:t>–</w:t>
            </w:r>
          </w:p>
        </w:tc>
        <w:tc>
          <w:tcPr>
            <w:tcW w:w="1134" w:type="dxa"/>
            <w:tcBorders>
              <w:top w:val="single" w:sz="4" w:space="0" w:color="A6A6A6"/>
              <w:bottom w:val="single" w:sz="4" w:space="0" w:color="A6A6A6"/>
            </w:tcBorders>
            <w:noWrap/>
            <w:hideMark/>
          </w:tcPr>
          <w:p w14:paraId="023384DA" w14:textId="77777777" w:rsidR="005F4A7E" w:rsidRPr="002029AF" w:rsidRDefault="005F4A7E" w:rsidP="00130D1C">
            <w:pPr>
              <w:pStyle w:val="ARfintablebodyright"/>
            </w:pPr>
            <w:r w:rsidRPr="003A544C">
              <w:t>–</w:t>
            </w:r>
          </w:p>
        </w:tc>
        <w:tc>
          <w:tcPr>
            <w:tcW w:w="1134" w:type="dxa"/>
            <w:tcBorders>
              <w:top w:val="single" w:sz="4" w:space="0" w:color="A6A6A6"/>
              <w:bottom w:val="single" w:sz="4" w:space="0" w:color="A6A6A6"/>
            </w:tcBorders>
            <w:noWrap/>
            <w:hideMark/>
          </w:tcPr>
          <w:p w14:paraId="0D7C5991" w14:textId="77777777" w:rsidR="005F4A7E" w:rsidRPr="002029AF" w:rsidRDefault="005F4A7E" w:rsidP="00130D1C">
            <w:pPr>
              <w:pStyle w:val="ARfintablebodyright"/>
            </w:pPr>
            <w:r w:rsidRPr="003A544C">
              <w:t>2,130.1</w:t>
            </w:r>
          </w:p>
        </w:tc>
      </w:tr>
      <w:tr w:rsidR="005F4A7E" w:rsidRPr="002029AF" w14:paraId="3C0CE76A" w14:textId="77777777" w:rsidTr="00860E95">
        <w:tc>
          <w:tcPr>
            <w:tcW w:w="3969" w:type="dxa"/>
            <w:tcBorders>
              <w:top w:val="single" w:sz="4" w:space="0" w:color="A6A6A6"/>
            </w:tcBorders>
            <w:hideMark/>
          </w:tcPr>
          <w:p w14:paraId="611C96DD" w14:textId="77777777" w:rsidR="005F4A7E" w:rsidRPr="002029AF" w:rsidRDefault="005F4A7E" w:rsidP="00130D1C">
            <w:pPr>
              <w:pStyle w:val="ARfintablebody"/>
            </w:pPr>
            <w:r w:rsidRPr="003A544C">
              <w:t xml:space="preserve">Borrowings </w:t>
            </w:r>
            <w:r w:rsidRPr="008F3F8C">
              <w:rPr>
                <w:rStyle w:val="Superscript"/>
              </w:rPr>
              <w:t>(i)</w:t>
            </w:r>
          </w:p>
        </w:tc>
        <w:tc>
          <w:tcPr>
            <w:tcW w:w="1134" w:type="dxa"/>
            <w:tcBorders>
              <w:top w:val="single" w:sz="4" w:space="0" w:color="A6A6A6"/>
            </w:tcBorders>
            <w:noWrap/>
            <w:hideMark/>
          </w:tcPr>
          <w:p w14:paraId="20D483EA" w14:textId="77777777" w:rsidR="005F4A7E" w:rsidRPr="002029AF" w:rsidRDefault="005F4A7E" w:rsidP="00130D1C">
            <w:pPr>
              <w:pStyle w:val="ARfintablebodyright"/>
            </w:pPr>
            <w:r w:rsidRPr="003A544C">
              <w:t>2.3%</w:t>
            </w:r>
          </w:p>
        </w:tc>
        <w:tc>
          <w:tcPr>
            <w:tcW w:w="1134" w:type="dxa"/>
            <w:tcBorders>
              <w:top w:val="single" w:sz="4" w:space="0" w:color="A6A6A6"/>
            </w:tcBorders>
            <w:noWrap/>
            <w:hideMark/>
          </w:tcPr>
          <w:p w14:paraId="13D56381" w14:textId="77777777" w:rsidR="005F4A7E" w:rsidRPr="002029AF" w:rsidRDefault="005F4A7E" w:rsidP="00130D1C">
            <w:pPr>
              <w:pStyle w:val="ARfintablebodyright"/>
            </w:pPr>
            <w:r w:rsidRPr="003A544C">
              <w:t>329.4</w:t>
            </w:r>
          </w:p>
        </w:tc>
        <w:tc>
          <w:tcPr>
            <w:tcW w:w="1134" w:type="dxa"/>
            <w:tcBorders>
              <w:top w:val="single" w:sz="4" w:space="0" w:color="A6A6A6"/>
            </w:tcBorders>
            <w:noWrap/>
            <w:hideMark/>
          </w:tcPr>
          <w:p w14:paraId="7C5707E1" w14:textId="77777777" w:rsidR="005F4A7E" w:rsidRPr="002029AF" w:rsidRDefault="005F4A7E" w:rsidP="00130D1C">
            <w:pPr>
              <w:pStyle w:val="ARfintablebodyright"/>
            </w:pPr>
            <w:r w:rsidRPr="003A544C">
              <w:t>266.4</w:t>
            </w:r>
          </w:p>
        </w:tc>
        <w:tc>
          <w:tcPr>
            <w:tcW w:w="1134" w:type="dxa"/>
            <w:tcBorders>
              <w:top w:val="single" w:sz="4" w:space="0" w:color="A6A6A6"/>
            </w:tcBorders>
            <w:noWrap/>
            <w:hideMark/>
          </w:tcPr>
          <w:p w14:paraId="31D62F89" w14:textId="77777777" w:rsidR="005F4A7E" w:rsidRPr="002029AF" w:rsidRDefault="005F4A7E" w:rsidP="00130D1C">
            <w:pPr>
              <w:pStyle w:val="ARfintablebodyright"/>
            </w:pPr>
            <w:r w:rsidRPr="003A544C">
              <w:t>–</w:t>
            </w:r>
          </w:p>
        </w:tc>
        <w:tc>
          <w:tcPr>
            <w:tcW w:w="1134" w:type="dxa"/>
            <w:tcBorders>
              <w:top w:val="single" w:sz="4" w:space="0" w:color="A6A6A6"/>
            </w:tcBorders>
            <w:noWrap/>
            <w:hideMark/>
          </w:tcPr>
          <w:p w14:paraId="00EA6AB9" w14:textId="77777777" w:rsidR="005F4A7E" w:rsidRPr="002029AF" w:rsidRDefault="005F4A7E" w:rsidP="00130D1C">
            <w:pPr>
              <w:pStyle w:val="ARfintablebodyright"/>
            </w:pPr>
            <w:r w:rsidRPr="003A544C">
              <w:t>63.0</w:t>
            </w:r>
          </w:p>
        </w:tc>
      </w:tr>
      <w:tr w:rsidR="005F4A7E" w:rsidRPr="002029AF" w14:paraId="775539E7" w14:textId="77777777" w:rsidTr="00860E95">
        <w:tc>
          <w:tcPr>
            <w:tcW w:w="3969" w:type="dxa"/>
            <w:hideMark/>
          </w:tcPr>
          <w:p w14:paraId="5616ADCA" w14:textId="77777777" w:rsidR="005F4A7E" w:rsidRPr="002029AF" w:rsidRDefault="005F4A7E" w:rsidP="00130D1C">
            <w:pPr>
              <w:pStyle w:val="ARfintablebodybold"/>
            </w:pPr>
            <w:r w:rsidRPr="003A544C">
              <w:t>Total financial liabilities</w:t>
            </w:r>
          </w:p>
        </w:tc>
        <w:tc>
          <w:tcPr>
            <w:tcW w:w="1134" w:type="dxa"/>
            <w:noWrap/>
            <w:hideMark/>
          </w:tcPr>
          <w:p w14:paraId="3F161359" w14:textId="77777777" w:rsidR="005F4A7E" w:rsidRPr="002029AF" w:rsidRDefault="005F4A7E" w:rsidP="00130D1C">
            <w:pPr>
              <w:pStyle w:val="ARfintablebodyrightbold"/>
            </w:pPr>
          </w:p>
        </w:tc>
        <w:tc>
          <w:tcPr>
            <w:tcW w:w="1134" w:type="dxa"/>
            <w:noWrap/>
            <w:hideMark/>
          </w:tcPr>
          <w:p w14:paraId="4CF10590" w14:textId="77777777" w:rsidR="005F4A7E" w:rsidRPr="002029AF" w:rsidRDefault="005F4A7E" w:rsidP="00130D1C">
            <w:pPr>
              <w:pStyle w:val="ARfintablebodyrightbold"/>
            </w:pPr>
            <w:r w:rsidRPr="003A544C">
              <w:t>2,459.5</w:t>
            </w:r>
          </w:p>
        </w:tc>
        <w:tc>
          <w:tcPr>
            <w:tcW w:w="1134" w:type="dxa"/>
            <w:noWrap/>
            <w:hideMark/>
          </w:tcPr>
          <w:p w14:paraId="556F430C" w14:textId="77777777" w:rsidR="005F4A7E" w:rsidRPr="002029AF" w:rsidRDefault="005F4A7E" w:rsidP="00130D1C">
            <w:pPr>
              <w:pStyle w:val="ARfintablebodyrightbold"/>
            </w:pPr>
            <w:r w:rsidRPr="003A544C">
              <w:t>266.4</w:t>
            </w:r>
          </w:p>
        </w:tc>
        <w:tc>
          <w:tcPr>
            <w:tcW w:w="1134" w:type="dxa"/>
            <w:noWrap/>
            <w:hideMark/>
          </w:tcPr>
          <w:p w14:paraId="286C061E" w14:textId="77777777" w:rsidR="005F4A7E" w:rsidRPr="002029AF" w:rsidRDefault="005F4A7E" w:rsidP="00130D1C">
            <w:pPr>
              <w:pStyle w:val="ARfintablebodyrightbold"/>
            </w:pPr>
            <w:r w:rsidRPr="003A544C">
              <w:t>–</w:t>
            </w:r>
          </w:p>
        </w:tc>
        <w:tc>
          <w:tcPr>
            <w:tcW w:w="1134" w:type="dxa"/>
            <w:noWrap/>
            <w:hideMark/>
          </w:tcPr>
          <w:p w14:paraId="53336FCF" w14:textId="77777777" w:rsidR="005F4A7E" w:rsidRPr="002029AF" w:rsidRDefault="005F4A7E" w:rsidP="00130D1C">
            <w:pPr>
              <w:pStyle w:val="ARfintablebodyrightbold"/>
            </w:pPr>
            <w:r w:rsidRPr="003A544C">
              <w:t>2,193.1</w:t>
            </w:r>
          </w:p>
        </w:tc>
      </w:tr>
      <w:tr w:rsidR="005F4A7E" w:rsidRPr="002029AF" w14:paraId="3001A752" w14:textId="77777777" w:rsidTr="00860E95">
        <w:tc>
          <w:tcPr>
            <w:tcW w:w="9639" w:type="dxa"/>
            <w:gridSpan w:val="6"/>
            <w:tcBorders>
              <w:bottom w:val="single" w:sz="4" w:space="0" w:color="auto"/>
            </w:tcBorders>
            <w:hideMark/>
          </w:tcPr>
          <w:p w14:paraId="1B9B4DBA" w14:textId="77777777" w:rsidR="005F4A7E" w:rsidRPr="002029AF" w:rsidRDefault="005F4A7E" w:rsidP="00130D1C">
            <w:pPr>
              <w:pStyle w:val="ARfintablebodybold"/>
            </w:pPr>
            <w:r w:rsidRPr="003A544C">
              <w:t>2020</w:t>
            </w:r>
          </w:p>
        </w:tc>
      </w:tr>
      <w:tr w:rsidR="005F4A7E" w:rsidRPr="002029AF" w14:paraId="3082EE80" w14:textId="77777777" w:rsidTr="00860E95">
        <w:tc>
          <w:tcPr>
            <w:tcW w:w="9639" w:type="dxa"/>
            <w:gridSpan w:val="6"/>
            <w:tcBorders>
              <w:top w:val="single" w:sz="4" w:space="0" w:color="auto"/>
              <w:bottom w:val="single" w:sz="4" w:space="0" w:color="A6A6A6"/>
            </w:tcBorders>
            <w:hideMark/>
          </w:tcPr>
          <w:p w14:paraId="4A7CCAF5" w14:textId="77777777" w:rsidR="005F4A7E" w:rsidRPr="002029AF" w:rsidRDefault="005F4A7E" w:rsidP="00130D1C">
            <w:pPr>
              <w:pStyle w:val="ARfintablebodybold"/>
            </w:pPr>
            <w:r w:rsidRPr="003A544C">
              <w:t>Financial assets</w:t>
            </w:r>
          </w:p>
        </w:tc>
      </w:tr>
      <w:tr w:rsidR="005F4A7E" w:rsidRPr="002029AF" w14:paraId="401193A9" w14:textId="77777777" w:rsidTr="00860E95">
        <w:tc>
          <w:tcPr>
            <w:tcW w:w="3969" w:type="dxa"/>
            <w:tcBorders>
              <w:top w:val="single" w:sz="4" w:space="0" w:color="A6A6A6"/>
              <w:bottom w:val="single" w:sz="4" w:space="0" w:color="A6A6A6"/>
            </w:tcBorders>
            <w:hideMark/>
          </w:tcPr>
          <w:p w14:paraId="2A0461A5" w14:textId="77777777" w:rsidR="005F4A7E" w:rsidRPr="002029AF" w:rsidRDefault="005F4A7E" w:rsidP="00130D1C">
            <w:pPr>
              <w:pStyle w:val="ARfintablebody"/>
            </w:pPr>
            <w:r w:rsidRPr="003A544C">
              <w:t>Cash and deposits</w:t>
            </w:r>
          </w:p>
        </w:tc>
        <w:tc>
          <w:tcPr>
            <w:tcW w:w="1134" w:type="dxa"/>
            <w:tcBorders>
              <w:top w:val="single" w:sz="4" w:space="0" w:color="A6A6A6"/>
              <w:bottom w:val="single" w:sz="4" w:space="0" w:color="A6A6A6"/>
            </w:tcBorders>
            <w:noWrap/>
            <w:hideMark/>
          </w:tcPr>
          <w:p w14:paraId="0522B2D0" w14:textId="77777777" w:rsidR="005F4A7E" w:rsidRPr="002029AF" w:rsidRDefault="005F4A7E" w:rsidP="00130D1C">
            <w:pPr>
              <w:pStyle w:val="ARfintablebodyright"/>
            </w:pPr>
            <w:r w:rsidRPr="003A544C">
              <w:t>0.6%</w:t>
            </w:r>
          </w:p>
        </w:tc>
        <w:tc>
          <w:tcPr>
            <w:tcW w:w="1134" w:type="dxa"/>
            <w:tcBorders>
              <w:top w:val="single" w:sz="4" w:space="0" w:color="A6A6A6"/>
              <w:bottom w:val="single" w:sz="4" w:space="0" w:color="A6A6A6"/>
            </w:tcBorders>
            <w:noWrap/>
            <w:hideMark/>
          </w:tcPr>
          <w:p w14:paraId="1F328E10" w14:textId="77777777" w:rsidR="005F4A7E" w:rsidRPr="002029AF" w:rsidRDefault="005F4A7E" w:rsidP="00130D1C">
            <w:pPr>
              <w:pStyle w:val="ARfintablebodyright"/>
            </w:pPr>
            <w:r w:rsidRPr="003A544C">
              <w:t>597.7</w:t>
            </w:r>
          </w:p>
        </w:tc>
        <w:tc>
          <w:tcPr>
            <w:tcW w:w="1134" w:type="dxa"/>
            <w:tcBorders>
              <w:top w:val="single" w:sz="4" w:space="0" w:color="A6A6A6"/>
              <w:bottom w:val="single" w:sz="4" w:space="0" w:color="A6A6A6"/>
            </w:tcBorders>
            <w:noWrap/>
            <w:hideMark/>
          </w:tcPr>
          <w:p w14:paraId="7180ADA3" w14:textId="77777777" w:rsidR="005F4A7E" w:rsidRPr="002029AF" w:rsidRDefault="005F4A7E" w:rsidP="00130D1C">
            <w:pPr>
              <w:pStyle w:val="ARfintablebodyright"/>
            </w:pPr>
            <w:r w:rsidRPr="003A544C">
              <w:t>–</w:t>
            </w:r>
          </w:p>
        </w:tc>
        <w:tc>
          <w:tcPr>
            <w:tcW w:w="1134" w:type="dxa"/>
            <w:tcBorders>
              <w:top w:val="single" w:sz="4" w:space="0" w:color="A6A6A6"/>
              <w:bottom w:val="single" w:sz="4" w:space="0" w:color="A6A6A6"/>
            </w:tcBorders>
            <w:noWrap/>
            <w:hideMark/>
          </w:tcPr>
          <w:p w14:paraId="70923E66" w14:textId="77777777" w:rsidR="005F4A7E" w:rsidRPr="002029AF" w:rsidRDefault="005F4A7E" w:rsidP="00130D1C">
            <w:pPr>
              <w:pStyle w:val="ARfintablebodyright"/>
            </w:pPr>
            <w:r w:rsidRPr="003A544C">
              <w:t>489.8</w:t>
            </w:r>
          </w:p>
        </w:tc>
        <w:tc>
          <w:tcPr>
            <w:tcW w:w="1134" w:type="dxa"/>
            <w:tcBorders>
              <w:top w:val="single" w:sz="4" w:space="0" w:color="A6A6A6"/>
              <w:bottom w:val="single" w:sz="4" w:space="0" w:color="A6A6A6"/>
            </w:tcBorders>
            <w:noWrap/>
            <w:hideMark/>
          </w:tcPr>
          <w:p w14:paraId="3570B662" w14:textId="77777777" w:rsidR="005F4A7E" w:rsidRPr="002029AF" w:rsidRDefault="005F4A7E" w:rsidP="00130D1C">
            <w:pPr>
              <w:pStyle w:val="ARfintablebodyright"/>
            </w:pPr>
            <w:r w:rsidRPr="003A544C">
              <w:t>107.9</w:t>
            </w:r>
          </w:p>
        </w:tc>
      </w:tr>
      <w:tr w:rsidR="005F4A7E" w:rsidRPr="002029AF" w14:paraId="7E082C36" w14:textId="77777777" w:rsidTr="00860E95">
        <w:tc>
          <w:tcPr>
            <w:tcW w:w="3969" w:type="dxa"/>
            <w:tcBorders>
              <w:top w:val="single" w:sz="4" w:space="0" w:color="A6A6A6"/>
              <w:bottom w:val="single" w:sz="4" w:space="0" w:color="A6A6A6"/>
            </w:tcBorders>
            <w:hideMark/>
          </w:tcPr>
          <w:p w14:paraId="7D5A8DDC" w14:textId="77777777" w:rsidR="005F4A7E" w:rsidRPr="002029AF" w:rsidRDefault="005F4A7E" w:rsidP="00130D1C">
            <w:pPr>
              <w:pStyle w:val="ARfintablebody"/>
            </w:pPr>
            <w:r w:rsidRPr="003A544C">
              <w:t xml:space="preserve">Receivables </w:t>
            </w:r>
            <w:r w:rsidRPr="008F3F8C">
              <w:rPr>
                <w:rStyle w:val="Superscript"/>
              </w:rPr>
              <w:t>(i)</w:t>
            </w:r>
          </w:p>
        </w:tc>
        <w:tc>
          <w:tcPr>
            <w:tcW w:w="1134" w:type="dxa"/>
            <w:tcBorders>
              <w:top w:val="single" w:sz="4" w:space="0" w:color="A6A6A6"/>
              <w:bottom w:val="single" w:sz="4" w:space="0" w:color="A6A6A6"/>
            </w:tcBorders>
            <w:noWrap/>
            <w:hideMark/>
          </w:tcPr>
          <w:p w14:paraId="16013E77" w14:textId="77777777" w:rsidR="005F4A7E" w:rsidRPr="002029AF" w:rsidRDefault="005F4A7E" w:rsidP="00130D1C">
            <w:pPr>
              <w:pStyle w:val="ARfintablebodyright"/>
            </w:pPr>
          </w:p>
        </w:tc>
        <w:tc>
          <w:tcPr>
            <w:tcW w:w="1134" w:type="dxa"/>
            <w:tcBorders>
              <w:top w:val="single" w:sz="4" w:space="0" w:color="A6A6A6"/>
              <w:bottom w:val="single" w:sz="4" w:space="0" w:color="A6A6A6"/>
            </w:tcBorders>
            <w:noWrap/>
            <w:hideMark/>
          </w:tcPr>
          <w:p w14:paraId="48C6135A" w14:textId="77777777" w:rsidR="005F4A7E" w:rsidRPr="002029AF" w:rsidRDefault="005F4A7E" w:rsidP="00130D1C">
            <w:pPr>
              <w:pStyle w:val="ARfintablebodyright"/>
            </w:pPr>
            <w:r w:rsidRPr="003A544C">
              <w:t>487.7</w:t>
            </w:r>
          </w:p>
        </w:tc>
        <w:tc>
          <w:tcPr>
            <w:tcW w:w="1134" w:type="dxa"/>
            <w:tcBorders>
              <w:top w:val="single" w:sz="4" w:space="0" w:color="A6A6A6"/>
              <w:bottom w:val="single" w:sz="4" w:space="0" w:color="A6A6A6"/>
            </w:tcBorders>
            <w:noWrap/>
            <w:hideMark/>
          </w:tcPr>
          <w:p w14:paraId="71E13F68" w14:textId="77777777" w:rsidR="005F4A7E" w:rsidRPr="002029AF" w:rsidRDefault="005F4A7E" w:rsidP="00130D1C">
            <w:pPr>
              <w:pStyle w:val="ARfintablebodyright"/>
            </w:pPr>
            <w:r w:rsidRPr="003A544C">
              <w:t>–</w:t>
            </w:r>
          </w:p>
        </w:tc>
        <w:tc>
          <w:tcPr>
            <w:tcW w:w="1134" w:type="dxa"/>
            <w:tcBorders>
              <w:top w:val="single" w:sz="4" w:space="0" w:color="A6A6A6"/>
              <w:bottom w:val="single" w:sz="4" w:space="0" w:color="A6A6A6"/>
            </w:tcBorders>
            <w:noWrap/>
            <w:hideMark/>
          </w:tcPr>
          <w:p w14:paraId="694A5F35" w14:textId="77777777" w:rsidR="005F4A7E" w:rsidRPr="002029AF" w:rsidRDefault="005F4A7E" w:rsidP="00130D1C">
            <w:pPr>
              <w:pStyle w:val="ARfintablebodyright"/>
            </w:pPr>
            <w:r w:rsidRPr="003A544C">
              <w:t>–</w:t>
            </w:r>
          </w:p>
        </w:tc>
        <w:tc>
          <w:tcPr>
            <w:tcW w:w="1134" w:type="dxa"/>
            <w:tcBorders>
              <w:top w:val="single" w:sz="4" w:space="0" w:color="A6A6A6"/>
              <w:bottom w:val="single" w:sz="4" w:space="0" w:color="A6A6A6"/>
            </w:tcBorders>
            <w:noWrap/>
            <w:hideMark/>
          </w:tcPr>
          <w:p w14:paraId="653359C8" w14:textId="77777777" w:rsidR="005F4A7E" w:rsidRPr="002029AF" w:rsidRDefault="005F4A7E" w:rsidP="00130D1C">
            <w:pPr>
              <w:pStyle w:val="ARfintablebodyright"/>
            </w:pPr>
            <w:r w:rsidRPr="003A544C">
              <w:t>487.7</w:t>
            </w:r>
          </w:p>
        </w:tc>
      </w:tr>
      <w:tr w:rsidR="005F4A7E" w:rsidRPr="002029AF" w14:paraId="7AD6B6B8" w14:textId="77777777" w:rsidTr="00860E95">
        <w:tc>
          <w:tcPr>
            <w:tcW w:w="3969" w:type="dxa"/>
            <w:tcBorders>
              <w:top w:val="single" w:sz="4" w:space="0" w:color="A6A6A6"/>
            </w:tcBorders>
            <w:hideMark/>
          </w:tcPr>
          <w:p w14:paraId="1A951CAA" w14:textId="77777777" w:rsidR="005F4A7E" w:rsidRPr="002029AF" w:rsidRDefault="005F4A7E" w:rsidP="00130D1C">
            <w:pPr>
              <w:pStyle w:val="ARfintablebody"/>
            </w:pPr>
            <w:r w:rsidRPr="003A544C">
              <w:t>Loans</w:t>
            </w:r>
          </w:p>
        </w:tc>
        <w:tc>
          <w:tcPr>
            <w:tcW w:w="1134" w:type="dxa"/>
            <w:tcBorders>
              <w:top w:val="single" w:sz="4" w:space="0" w:color="A6A6A6"/>
            </w:tcBorders>
            <w:noWrap/>
            <w:hideMark/>
          </w:tcPr>
          <w:p w14:paraId="657961C6" w14:textId="77777777" w:rsidR="005F4A7E" w:rsidRPr="002029AF" w:rsidRDefault="005F4A7E" w:rsidP="00130D1C">
            <w:pPr>
              <w:pStyle w:val="ARfintablebodyright"/>
            </w:pPr>
            <w:r w:rsidRPr="003A544C">
              <w:t>3.2%</w:t>
            </w:r>
          </w:p>
        </w:tc>
        <w:tc>
          <w:tcPr>
            <w:tcW w:w="1134" w:type="dxa"/>
            <w:tcBorders>
              <w:top w:val="single" w:sz="4" w:space="0" w:color="A6A6A6"/>
            </w:tcBorders>
            <w:noWrap/>
            <w:hideMark/>
          </w:tcPr>
          <w:p w14:paraId="7CA8D5B9" w14:textId="77777777" w:rsidR="005F4A7E" w:rsidRPr="002029AF" w:rsidRDefault="005F4A7E" w:rsidP="00130D1C">
            <w:pPr>
              <w:pStyle w:val="ARfintablebodyright"/>
            </w:pPr>
            <w:r w:rsidRPr="003A544C">
              <w:t>389.5</w:t>
            </w:r>
          </w:p>
        </w:tc>
        <w:tc>
          <w:tcPr>
            <w:tcW w:w="1134" w:type="dxa"/>
            <w:tcBorders>
              <w:top w:val="single" w:sz="4" w:space="0" w:color="A6A6A6"/>
            </w:tcBorders>
            <w:noWrap/>
            <w:hideMark/>
          </w:tcPr>
          <w:p w14:paraId="741C1084" w14:textId="77777777" w:rsidR="005F4A7E" w:rsidRPr="002029AF" w:rsidRDefault="005F4A7E" w:rsidP="00130D1C">
            <w:pPr>
              <w:pStyle w:val="ARfintablebodyright"/>
            </w:pPr>
            <w:r w:rsidRPr="003A544C">
              <w:t>1.5</w:t>
            </w:r>
          </w:p>
        </w:tc>
        <w:tc>
          <w:tcPr>
            <w:tcW w:w="1134" w:type="dxa"/>
            <w:tcBorders>
              <w:top w:val="single" w:sz="4" w:space="0" w:color="A6A6A6"/>
            </w:tcBorders>
            <w:noWrap/>
            <w:hideMark/>
          </w:tcPr>
          <w:p w14:paraId="73B290F6" w14:textId="77777777" w:rsidR="005F4A7E" w:rsidRPr="002029AF" w:rsidRDefault="005F4A7E" w:rsidP="00130D1C">
            <w:pPr>
              <w:pStyle w:val="ARfintablebodyright"/>
            </w:pPr>
            <w:r w:rsidRPr="003A544C">
              <w:t>10.9</w:t>
            </w:r>
          </w:p>
        </w:tc>
        <w:tc>
          <w:tcPr>
            <w:tcW w:w="1134" w:type="dxa"/>
            <w:tcBorders>
              <w:top w:val="single" w:sz="4" w:space="0" w:color="A6A6A6"/>
            </w:tcBorders>
            <w:noWrap/>
            <w:hideMark/>
          </w:tcPr>
          <w:p w14:paraId="247014B2" w14:textId="77777777" w:rsidR="005F4A7E" w:rsidRPr="002029AF" w:rsidRDefault="005F4A7E" w:rsidP="00130D1C">
            <w:pPr>
              <w:pStyle w:val="ARfintablebodyright"/>
            </w:pPr>
            <w:r w:rsidRPr="003A544C">
              <w:t>377.1</w:t>
            </w:r>
          </w:p>
        </w:tc>
      </w:tr>
      <w:tr w:rsidR="005F4A7E" w:rsidRPr="002029AF" w14:paraId="482ECB1A" w14:textId="77777777" w:rsidTr="00860E95">
        <w:tc>
          <w:tcPr>
            <w:tcW w:w="3969" w:type="dxa"/>
            <w:tcBorders>
              <w:bottom w:val="single" w:sz="4" w:space="0" w:color="auto"/>
            </w:tcBorders>
            <w:hideMark/>
          </w:tcPr>
          <w:p w14:paraId="1A2CAAAE" w14:textId="77777777" w:rsidR="005F4A7E" w:rsidRPr="002029AF" w:rsidRDefault="005F4A7E" w:rsidP="00130D1C">
            <w:pPr>
              <w:pStyle w:val="ARfintablebodybold"/>
            </w:pPr>
            <w:r w:rsidRPr="003A544C">
              <w:t>Total financial assets</w:t>
            </w:r>
          </w:p>
        </w:tc>
        <w:tc>
          <w:tcPr>
            <w:tcW w:w="1134" w:type="dxa"/>
            <w:tcBorders>
              <w:bottom w:val="single" w:sz="4" w:space="0" w:color="auto"/>
            </w:tcBorders>
            <w:noWrap/>
            <w:hideMark/>
          </w:tcPr>
          <w:p w14:paraId="3E9C962D" w14:textId="77777777" w:rsidR="005F4A7E" w:rsidRPr="002029AF" w:rsidRDefault="005F4A7E" w:rsidP="00130D1C">
            <w:pPr>
              <w:pStyle w:val="ARfintablebodyrightbold"/>
            </w:pPr>
          </w:p>
        </w:tc>
        <w:tc>
          <w:tcPr>
            <w:tcW w:w="1134" w:type="dxa"/>
            <w:tcBorders>
              <w:bottom w:val="single" w:sz="4" w:space="0" w:color="auto"/>
            </w:tcBorders>
            <w:noWrap/>
            <w:hideMark/>
          </w:tcPr>
          <w:p w14:paraId="183A0255" w14:textId="77777777" w:rsidR="005F4A7E" w:rsidRPr="002029AF" w:rsidRDefault="005F4A7E" w:rsidP="00130D1C">
            <w:pPr>
              <w:pStyle w:val="ARfintablebodyrightbold"/>
            </w:pPr>
            <w:r w:rsidRPr="003A544C">
              <w:t>1,474.9</w:t>
            </w:r>
          </w:p>
        </w:tc>
        <w:tc>
          <w:tcPr>
            <w:tcW w:w="1134" w:type="dxa"/>
            <w:tcBorders>
              <w:bottom w:val="single" w:sz="4" w:space="0" w:color="auto"/>
            </w:tcBorders>
            <w:noWrap/>
            <w:hideMark/>
          </w:tcPr>
          <w:p w14:paraId="04784362" w14:textId="77777777" w:rsidR="005F4A7E" w:rsidRPr="002029AF" w:rsidRDefault="005F4A7E" w:rsidP="00130D1C">
            <w:pPr>
              <w:pStyle w:val="ARfintablebodyrightbold"/>
            </w:pPr>
            <w:r w:rsidRPr="003A544C">
              <w:t>1.5</w:t>
            </w:r>
          </w:p>
        </w:tc>
        <w:tc>
          <w:tcPr>
            <w:tcW w:w="1134" w:type="dxa"/>
            <w:tcBorders>
              <w:bottom w:val="single" w:sz="4" w:space="0" w:color="auto"/>
            </w:tcBorders>
            <w:noWrap/>
            <w:hideMark/>
          </w:tcPr>
          <w:p w14:paraId="14BDCB8A" w14:textId="77777777" w:rsidR="005F4A7E" w:rsidRPr="002029AF" w:rsidRDefault="005F4A7E" w:rsidP="00130D1C">
            <w:pPr>
              <w:pStyle w:val="ARfintablebodyrightbold"/>
            </w:pPr>
            <w:r w:rsidRPr="003A544C">
              <w:t>500.7</w:t>
            </w:r>
          </w:p>
        </w:tc>
        <w:tc>
          <w:tcPr>
            <w:tcW w:w="1134" w:type="dxa"/>
            <w:tcBorders>
              <w:bottom w:val="single" w:sz="4" w:space="0" w:color="auto"/>
            </w:tcBorders>
            <w:noWrap/>
            <w:hideMark/>
          </w:tcPr>
          <w:p w14:paraId="503624CE" w14:textId="77777777" w:rsidR="005F4A7E" w:rsidRPr="002029AF" w:rsidRDefault="005F4A7E" w:rsidP="00130D1C">
            <w:pPr>
              <w:pStyle w:val="ARfintablebodyrightbold"/>
            </w:pPr>
            <w:r w:rsidRPr="003A544C">
              <w:t>972.7</w:t>
            </w:r>
          </w:p>
        </w:tc>
      </w:tr>
      <w:tr w:rsidR="005F4A7E" w:rsidRPr="002029AF" w14:paraId="19FB4A01" w14:textId="77777777" w:rsidTr="00860E95">
        <w:tc>
          <w:tcPr>
            <w:tcW w:w="9639" w:type="dxa"/>
            <w:gridSpan w:val="6"/>
            <w:tcBorders>
              <w:top w:val="single" w:sz="4" w:space="0" w:color="auto"/>
              <w:bottom w:val="single" w:sz="4" w:space="0" w:color="A6A6A6"/>
            </w:tcBorders>
            <w:hideMark/>
          </w:tcPr>
          <w:p w14:paraId="46327D3C" w14:textId="77777777" w:rsidR="005F4A7E" w:rsidRPr="002029AF" w:rsidRDefault="005F4A7E" w:rsidP="00130D1C">
            <w:pPr>
              <w:pStyle w:val="ARfintablebodybold"/>
            </w:pPr>
            <w:r w:rsidRPr="003A544C">
              <w:t>Financial liabilities</w:t>
            </w:r>
          </w:p>
        </w:tc>
      </w:tr>
      <w:tr w:rsidR="005F4A7E" w:rsidRPr="002029AF" w14:paraId="1AF2875F" w14:textId="77777777" w:rsidTr="00860E95">
        <w:tc>
          <w:tcPr>
            <w:tcW w:w="3969" w:type="dxa"/>
            <w:tcBorders>
              <w:top w:val="single" w:sz="4" w:space="0" w:color="A6A6A6"/>
              <w:bottom w:val="single" w:sz="4" w:space="0" w:color="A6A6A6"/>
            </w:tcBorders>
            <w:hideMark/>
          </w:tcPr>
          <w:p w14:paraId="5852CEB8" w14:textId="77777777" w:rsidR="005F4A7E" w:rsidRPr="002029AF" w:rsidRDefault="005F4A7E" w:rsidP="00130D1C">
            <w:pPr>
              <w:pStyle w:val="ARfintablebody"/>
            </w:pPr>
            <w:r w:rsidRPr="003A544C">
              <w:t xml:space="preserve">Payables </w:t>
            </w:r>
            <w:r w:rsidRPr="008F3F8C">
              <w:rPr>
                <w:rStyle w:val="Superscript"/>
              </w:rPr>
              <w:t>(i)</w:t>
            </w:r>
          </w:p>
        </w:tc>
        <w:tc>
          <w:tcPr>
            <w:tcW w:w="1134" w:type="dxa"/>
            <w:tcBorders>
              <w:top w:val="single" w:sz="4" w:space="0" w:color="A6A6A6"/>
              <w:bottom w:val="single" w:sz="4" w:space="0" w:color="A6A6A6"/>
            </w:tcBorders>
            <w:noWrap/>
            <w:hideMark/>
          </w:tcPr>
          <w:p w14:paraId="7BD1582F" w14:textId="77777777" w:rsidR="005F4A7E" w:rsidRPr="002029AF" w:rsidRDefault="005F4A7E" w:rsidP="00130D1C">
            <w:pPr>
              <w:pStyle w:val="ARfintablebodyright"/>
            </w:pPr>
          </w:p>
        </w:tc>
        <w:tc>
          <w:tcPr>
            <w:tcW w:w="1134" w:type="dxa"/>
            <w:tcBorders>
              <w:top w:val="single" w:sz="4" w:space="0" w:color="A6A6A6"/>
              <w:bottom w:val="single" w:sz="4" w:space="0" w:color="A6A6A6"/>
            </w:tcBorders>
            <w:noWrap/>
            <w:hideMark/>
          </w:tcPr>
          <w:p w14:paraId="29310022" w14:textId="77777777" w:rsidR="005F4A7E" w:rsidRPr="002029AF" w:rsidRDefault="005F4A7E" w:rsidP="00130D1C">
            <w:pPr>
              <w:pStyle w:val="ARfintablebodyright"/>
            </w:pPr>
            <w:r w:rsidRPr="003A544C">
              <w:t>1,847.0</w:t>
            </w:r>
          </w:p>
        </w:tc>
        <w:tc>
          <w:tcPr>
            <w:tcW w:w="1134" w:type="dxa"/>
            <w:tcBorders>
              <w:top w:val="single" w:sz="4" w:space="0" w:color="A6A6A6"/>
              <w:bottom w:val="single" w:sz="4" w:space="0" w:color="A6A6A6"/>
            </w:tcBorders>
            <w:noWrap/>
            <w:hideMark/>
          </w:tcPr>
          <w:p w14:paraId="57DED1F8" w14:textId="77777777" w:rsidR="005F4A7E" w:rsidRPr="002029AF" w:rsidRDefault="005F4A7E" w:rsidP="00130D1C">
            <w:pPr>
              <w:pStyle w:val="ARfintablebodyright"/>
            </w:pPr>
            <w:r w:rsidRPr="003A544C">
              <w:t>–</w:t>
            </w:r>
          </w:p>
        </w:tc>
        <w:tc>
          <w:tcPr>
            <w:tcW w:w="1134" w:type="dxa"/>
            <w:tcBorders>
              <w:top w:val="single" w:sz="4" w:space="0" w:color="A6A6A6"/>
              <w:bottom w:val="single" w:sz="4" w:space="0" w:color="A6A6A6"/>
            </w:tcBorders>
            <w:noWrap/>
            <w:hideMark/>
          </w:tcPr>
          <w:p w14:paraId="1A2A0B16" w14:textId="77777777" w:rsidR="005F4A7E" w:rsidRPr="002029AF" w:rsidRDefault="005F4A7E" w:rsidP="00130D1C">
            <w:pPr>
              <w:pStyle w:val="ARfintablebodyright"/>
            </w:pPr>
            <w:r w:rsidRPr="003A544C">
              <w:t>–</w:t>
            </w:r>
          </w:p>
        </w:tc>
        <w:tc>
          <w:tcPr>
            <w:tcW w:w="1134" w:type="dxa"/>
            <w:tcBorders>
              <w:top w:val="single" w:sz="4" w:space="0" w:color="A6A6A6"/>
              <w:bottom w:val="single" w:sz="4" w:space="0" w:color="A6A6A6"/>
            </w:tcBorders>
            <w:noWrap/>
            <w:hideMark/>
          </w:tcPr>
          <w:p w14:paraId="59F8055C" w14:textId="77777777" w:rsidR="005F4A7E" w:rsidRPr="002029AF" w:rsidRDefault="005F4A7E" w:rsidP="00130D1C">
            <w:pPr>
              <w:pStyle w:val="ARfintablebodyright"/>
            </w:pPr>
            <w:r w:rsidRPr="003A544C">
              <w:t>1,847.0</w:t>
            </w:r>
          </w:p>
        </w:tc>
      </w:tr>
      <w:tr w:rsidR="005F4A7E" w:rsidRPr="002029AF" w14:paraId="02D1A34C" w14:textId="77777777" w:rsidTr="00860E95">
        <w:tc>
          <w:tcPr>
            <w:tcW w:w="3969" w:type="dxa"/>
            <w:tcBorders>
              <w:top w:val="single" w:sz="4" w:space="0" w:color="A6A6A6"/>
            </w:tcBorders>
            <w:hideMark/>
          </w:tcPr>
          <w:p w14:paraId="653FFF08" w14:textId="77777777" w:rsidR="005F4A7E" w:rsidRPr="002029AF" w:rsidRDefault="005F4A7E" w:rsidP="00130D1C">
            <w:pPr>
              <w:pStyle w:val="ARfintablebody"/>
            </w:pPr>
            <w:r w:rsidRPr="003A544C">
              <w:t xml:space="preserve">Borrowings </w:t>
            </w:r>
            <w:r w:rsidRPr="008F3F8C">
              <w:rPr>
                <w:rStyle w:val="Superscript"/>
              </w:rPr>
              <w:t>(i)</w:t>
            </w:r>
          </w:p>
        </w:tc>
        <w:tc>
          <w:tcPr>
            <w:tcW w:w="1134" w:type="dxa"/>
            <w:tcBorders>
              <w:top w:val="single" w:sz="4" w:space="0" w:color="A6A6A6"/>
            </w:tcBorders>
            <w:noWrap/>
            <w:hideMark/>
          </w:tcPr>
          <w:p w14:paraId="6327C699" w14:textId="77777777" w:rsidR="005F4A7E" w:rsidRPr="002029AF" w:rsidRDefault="005F4A7E" w:rsidP="00130D1C">
            <w:pPr>
              <w:pStyle w:val="ARfintablebodyright"/>
            </w:pPr>
            <w:r w:rsidRPr="003A544C">
              <w:t>2.6%</w:t>
            </w:r>
          </w:p>
        </w:tc>
        <w:tc>
          <w:tcPr>
            <w:tcW w:w="1134" w:type="dxa"/>
            <w:tcBorders>
              <w:top w:val="single" w:sz="4" w:space="0" w:color="A6A6A6"/>
            </w:tcBorders>
            <w:noWrap/>
            <w:hideMark/>
          </w:tcPr>
          <w:p w14:paraId="07FABC9E" w14:textId="77777777" w:rsidR="005F4A7E" w:rsidRPr="002029AF" w:rsidRDefault="005F4A7E" w:rsidP="00130D1C">
            <w:pPr>
              <w:pStyle w:val="ARfintablebodyright"/>
            </w:pPr>
            <w:r w:rsidRPr="003A544C">
              <w:t>415.4</w:t>
            </w:r>
          </w:p>
        </w:tc>
        <w:tc>
          <w:tcPr>
            <w:tcW w:w="1134" w:type="dxa"/>
            <w:tcBorders>
              <w:top w:val="single" w:sz="4" w:space="0" w:color="A6A6A6"/>
            </w:tcBorders>
            <w:noWrap/>
            <w:hideMark/>
          </w:tcPr>
          <w:p w14:paraId="3922B57E" w14:textId="77777777" w:rsidR="005F4A7E" w:rsidRPr="002029AF" w:rsidRDefault="005F4A7E" w:rsidP="00130D1C">
            <w:pPr>
              <w:pStyle w:val="ARfintablebodyright"/>
            </w:pPr>
            <w:r w:rsidRPr="003A544C">
              <w:t>83.5</w:t>
            </w:r>
          </w:p>
        </w:tc>
        <w:tc>
          <w:tcPr>
            <w:tcW w:w="1134" w:type="dxa"/>
            <w:tcBorders>
              <w:top w:val="single" w:sz="4" w:space="0" w:color="A6A6A6"/>
            </w:tcBorders>
            <w:noWrap/>
            <w:hideMark/>
          </w:tcPr>
          <w:p w14:paraId="0399702E" w14:textId="77777777" w:rsidR="005F4A7E" w:rsidRPr="002029AF" w:rsidRDefault="005F4A7E" w:rsidP="00130D1C">
            <w:pPr>
              <w:pStyle w:val="ARfintablebodyright"/>
            </w:pPr>
            <w:r w:rsidRPr="003A544C">
              <w:t>–</w:t>
            </w:r>
          </w:p>
        </w:tc>
        <w:tc>
          <w:tcPr>
            <w:tcW w:w="1134" w:type="dxa"/>
            <w:tcBorders>
              <w:top w:val="single" w:sz="4" w:space="0" w:color="A6A6A6"/>
            </w:tcBorders>
            <w:noWrap/>
            <w:hideMark/>
          </w:tcPr>
          <w:p w14:paraId="30713A2D" w14:textId="77777777" w:rsidR="005F4A7E" w:rsidRPr="002029AF" w:rsidRDefault="005F4A7E" w:rsidP="00130D1C">
            <w:pPr>
              <w:pStyle w:val="ARfintablebodyright"/>
            </w:pPr>
            <w:r w:rsidRPr="003A544C">
              <w:t>331.9</w:t>
            </w:r>
          </w:p>
        </w:tc>
      </w:tr>
      <w:tr w:rsidR="005F4A7E" w:rsidRPr="002029AF" w14:paraId="09E814B4" w14:textId="77777777" w:rsidTr="00860E95">
        <w:tc>
          <w:tcPr>
            <w:tcW w:w="3969" w:type="dxa"/>
            <w:hideMark/>
          </w:tcPr>
          <w:p w14:paraId="3F725102" w14:textId="77777777" w:rsidR="005F4A7E" w:rsidRPr="002029AF" w:rsidRDefault="005F4A7E" w:rsidP="00130D1C">
            <w:pPr>
              <w:pStyle w:val="ARfintablebodybold"/>
            </w:pPr>
            <w:r w:rsidRPr="003A544C">
              <w:t>Total financial liabilities</w:t>
            </w:r>
          </w:p>
        </w:tc>
        <w:tc>
          <w:tcPr>
            <w:tcW w:w="1134" w:type="dxa"/>
            <w:noWrap/>
            <w:hideMark/>
          </w:tcPr>
          <w:p w14:paraId="1F9A8EA0" w14:textId="77777777" w:rsidR="005F4A7E" w:rsidRPr="002029AF" w:rsidRDefault="005F4A7E" w:rsidP="00130D1C">
            <w:pPr>
              <w:pStyle w:val="ARfintablebodyrightbold"/>
            </w:pPr>
          </w:p>
        </w:tc>
        <w:tc>
          <w:tcPr>
            <w:tcW w:w="1134" w:type="dxa"/>
            <w:noWrap/>
            <w:hideMark/>
          </w:tcPr>
          <w:p w14:paraId="075E52E4" w14:textId="77777777" w:rsidR="005F4A7E" w:rsidRPr="002029AF" w:rsidRDefault="005F4A7E" w:rsidP="00130D1C">
            <w:pPr>
              <w:pStyle w:val="ARfintablebodyrightbold"/>
            </w:pPr>
            <w:r w:rsidRPr="003A544C">
              <w:t>2,262.4</w:t>
            </w:r>
          </w:p>
        </w:tc>
        <w:tc>
          <w:tcPr>
            <w:tcW w:w="1134" w:type="dxa"/>
            <w:noWrap/>
            <w:hideMark/>
          </w:tcPr>
          <w:p w14:paraId="489EA23C" w14:textId="77777777" w:rsidR="005F4A7E" w:rsidRPr="002029AF" w:rsidRDefault="005F4A7E" w:rsidP="00130D1C">
            <w:pPr>
              <w:pStyle w:val="ARfintablebodyrightbold"/>
            </w:pPr>
            <w:r w:rsidRPr="003A544C">
              <w:t>83.5</w:t>
            </w:r>
          </w:p>
        </w:tc>
        <w:tc>
          <w:tcPr>
            <w:tcW w:w="1134" w:type="dxa"/>
            <w:noWrap/>
            <w:hideMark/>
          </w:tcPr>
          <w:p w14:paraId="08C2B47D" w14:textId="77777777" w:rsidR="005F4A7E" w:rsidRPr="002029AF" w:rsidRDefault="005F4A7E" w:rsidP="00130D1C">
            <w:pPr>
              <w:pStyle w:val="ARfintablebodyrightbold"/>
            </w:pPr>
            <w:r w:rsidRPr="003A544C">
              <w:t>–</w:t>
            </w:r>
          </w:p>
        </w:tc>
        <w:tc>
          <w:tcPr>
            <w:tcW w:w="1134" w:type="dxa"/>
            <w:noWrap/>
            <w:hideMark/>
          </w:tcPr>
          <w:p w14:paraId="3092C6F9" w14:textId="77777777" w:rsidR="005F4A7E" w:rsidRPr="002029AF" w:rsidRDefault="005F4A7E" w:rsidP="00130D1C">
            <w:pPr>
              <w:pStyle w:val="ARfintablebodyrightbold"/>
            </w:pPr>
            <w:r w:rsidRPr="003A544C">
              <w:t>2,178.9</w:t>
            </w:r>
          </w:p>
        </w:tc>
      </w:tr>
    </w:tbl>
    <w:p w14:paraId="276EF37E" w14:textId="77777777" w:rsidR="005F4A7E" w:rsidRDefault="005F4A7E" w:rsidP="00130D1C">
      <w:pPr>
        <w:pStyle w:val="ARfintablefootnote"/>
        <w:spacing w:line="240" w:lineRule="auto"/>
        <w:rPr>
          <w:lang w:eastAsia="en-AU"/>
        </w:rPr>
      </w:pPr>
      <w:r>
        <w:rPr>
          <w:lang w:eastAsia="en-AU"/>
        </w:rPr>
        <w:t>Note:</w:t>
      </w:r>
    </w:p>
    <w:p w14:paraId="667FE1CB" w14:textId="77777777" w:rsidR="005F4A7E" w:rsidRDefault="005F4A7E" w:rsidP="00130D1C">
      <w:pPr>
        <w:pStyle w:val="ARfintablefootnoteindent"/>
      </w:pPr>
      <w:r>
        <w:t>(i)</w:t>
      </w:r>
      <w:r>
        <w:tab/>
        <w:t>The carrying amounts disclosed here exclude statutory amounts, for example, amounts owing to/from Victorian Government and GST input tax credit recoverable and taxes payable.</w:t>
      </w:r>
    </w:p>
    <w:p w14:paraId="53060B5A" w14:textId="77777777" w:rsidR="005F4A7E" w:rsidRPr="002029AF" w:rsidRDefault="005F4A7E" w:rsidP="00087B91">
      <w:pPr>
        <w:pStyle w:val="ARfintablefootnoteindent"/>
      </w:pPr>
      <w:r w:rsidRPr="002029AF">
        <w:br w:type="page"/>
      </w:r>
    </w:p>
    <w:p w14:paraId="29EE5709" w14:textId="77777777" w:rsidR="005F4A7E" w:rsidRPr="002029AF" w:rsidRDefault="005F4A7E" w:rsidP="00087B91">
      <w:pPr>
        <w:pStyle w:val="Heading7"/>
      </w:pPr>
      <w:bookmarkStart w:id="1017" w:name="_Ref52455366"/>
      <w:bookmarkStart w:id="1018" w:name="_Toc85121529"/>
      <w:r w:rsidRPr="002029AF">
        <w:lastRenderedPageBreak/>
        <w:t>Interest rate risk sensitivity analysis</w:t>
      </w:r>
      <w:bookmarkEnd w:id="1017"/>
      <w:bookmarkEnd w:id="1018"/>
    </w:p>
    <w:tbl>
      <w:tblPr>
        <w:tblStyle w:val="TableGrid"/>
        <w:tblW w:w="9639" w:type="dxa"/>
        <w:tblLayout w:type="fixed"/>
        <w:tblLook w:val="06A0" w:firstRow="1" w:lastRow="0" w:firstColumn="1" w:lastColumn="0" w:noHBand="1" w:noVBand="1"/>
      </w:tblPr>
      <w:tblGrid>
        <w:gridCol w:w="3969"/>
        <w:gridCol w:w="1134"/>
        <w:gridCol w:w="1134"/>
        <w:gridCol w:w="1134"/>
        <w:gridCol w:w="1134"/>
        <w:gridCol w:w="1134"/>
      </w:tblGrid>
      <w:tr w:rsidR="005F4A7E" w:rsidRPr="002029AF" w14:paraId="2364B5B7"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3969" w:type="dxa"/>
            <w:vMerge w:val="restart"/>
            <w:hideMark/>
          </w:tcPr>
          <w:p w14:paraId="378DB7DB" w14:textId="77777777" w:rsidR="005F4A7E" w:rsidRPr="002029AF" w:rsidRDefault="005F4A7E" w:rsidP="00860E95">
            <w:pPr>
              <w:pStyle w:val="ARfintablecolhead"/>
            </w:pPr>
          </w:p>
        </w:tc>
        <w:tc>
          <w:tcPr>
            <w:tcW w:w="1134" w:type="dxa"/>
            <w:vMerge w:val="restart"/>
            <w:hideMark/>
          </w:tcPr>
          <w:p w14:paraId="52D32041" w14:textId="77777777" w:rsidR="005F4A7E" w:rsidRPr="002029AF" w:rsidRDefault="005F4A7E" w:rsidP="00860E95">
            <w:pPr>
              <w:pStyle w:val="ARfintablecolheadright"/>
            </w:pPr>
            <w:r w:rsidRPr="002029AF">
              <w:t>Carrying amount</w:t>
            </w:r>
          </w:p>
          <w:p w14:paraId="08893356" w14:textId="77777777" w:rsidR="005F4A7E" w:rsidRPr="002029AF" w:rsidRDefault="005F4A7E" w:rsidP="00860E95">
            <w:pPr>
              <w:pStyle w:val="ARfintablecolheadright"/>
            </w:pPr>
            <w:r w:rsidRPr="002029AF">
              <w:t>$M</w:t>
            </w:r>
          </w:p>
        </w:tc>
        <w:tc>
          <w:tcPr>
            <w:tcW w:w="2268" w:type="dxa"/>
            <w:gridSpan w:val="2"/>
            <w:hideMark/>
          </w:tcPr>
          <w:p w14:paraId="128315EE" w14:textId="77777777" w:rsidR="005F4A7E" w:rsidRPr="002029AF" w:rsidRDefault="005F4A7E" w:rsidP="00860E95">
            <w:pPr>
              <w:pStyle w:val="ARfintablecolheadcentre"/>
            </w:pPr>
            <w:r w:rsidRPr="002029AF">
              <w:t>Interest rate risk</w:t>
            </w:r>
          </w:p>
        </w:tc>
        <w:tc>
          <w:tcPr>
            <w:tcW w:w="2268" w:type="dxa"/>
            <w:gridSpan w:val="2"/>
            <w:hideMark/>
          </w:tcPr>
          <w:p w14:paraId="49ECFAF7" w14:textId="77777777" w:rsidR="005F4A7E" w:rsidRPr="002029AF" w:rsidRDefault="005F4A7E" w:rsidP="00860E95">
            <w:pPr>
              <w:pStyle w:val="ARfintablecolheadcentre"/>
            </w:pPr>
            <w:r w:rsidRPr="002029AF">
              <w:t>Consumer Price Index (CPI)</w:t>
            </w:r>
          </w:p>
        </w:tc>
      </w:tr>
      <w:tr w:rsidR="005F4A7E" w:rsidRPr="002029AF" w14:paraId="502C15F3"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3969" w:type="dxa"/>
            <w:vMerge/>
            <w:hideMark/>
          </w:tcPr>
          <w:p w14:paraId="699BFB1B" w14:textId="77777777" w:rsidR="005F4A7E" w:rsidRPr="002029AF" w:rsidRDefault="005F4A7E" w:rsidP="00860E95">
            <w:pPr>
              <w:pStyle w:val="ARfintablecolhead"/>
            </w:pPr>
          </w:p>
        </w:tc>
        <w:tc>
          <w:tcPr>
            <w:tcW w:w="1134" w:type="dxa"/>
            <w:vMerge/>
            <w:hideMark/>
          </w:tcPr>
          <w:p w14:paraId="1FFD1B8B" w14:textId="77777777" w:rsidR="005F4A7E" w:rsidRPr="002029AF" w:rsidRDefault="005F4A7E" w:rsidP="00860E95">
            <w:pPr>
              <w:pStyle w:val="ARfintablecolheadright"/>
            </w:pPr>
          </w:p>
        </w:tc>
        <w:tc>
          <w:tcPr>
            <w:tcW w:w="1134" w:type="dxa"/>
            <w:hideMark/>
          </w:tcPr>
          <w:p w14:paraId="4C166A14" w14:textId="77777777" w:rsidR="005F4A7E" w:rsidRPr="002029AF" w:rsidRDefault="005F4A7E" w:rsidP="00860E95">
            <w:pPr>
              <w:pStyle w:val="ARfintablecolheadright"/>
            </w:pPr>
            <w:r w:rsidRPr="002029AF">
              <w:t>–0.50%</w:t>
            </w:r>
            <w:r w:rsidRPr="002029AF">
              <w:br/>
              <w:t>Net result</w:t>
            </w:r>
          </w:p>
          <w:p w14:paraId="12F05F27" w14:textId="77777777" w:rsidR="005F4A7E" w:rsidRPr="002029AF" w:rsidRDefault="005F4A7E" w:rsidP="00860E95">
            <w:pPr>
              <w:pStyle w:val="ARfintablecolheadright"/>
            </w:pPr>
            <w:r w:rsidRPr="002029AF">
              <w:t>$M</w:t>
            </w:r>
          </w:p>
        </w:tc>
        <w:tc>
          <w:tcPr>
            <w:tcW w:w="1134" w:type="dxa"/>
            <w:hideMark/>
          </w:tcPr>
          <w:p w14:paraId="2A7F2580" w14:textId="77777777" w:rsidR="005F4A7E" w:rsidRPr="002029AF" w:rsidRDefault="005F4A7E" w:rsidP="00860E95">
            <w:pPr>
              <w:pStyle w:val="ARfintablecolheadright"/>
            </w:pPr>
            <w:r w:rsidRPr="002029AF">
              <w:t>+0.50%</w:t>
            </w:r>
            <w:r w:rsidRPr="002029AF">
              <w:br/>
              <w:t>Net result</w:t>
            </w:r>
          </w:p>
          <w:p w14:paraId="6ACE5A2B" w14:textId="77777777" w:rsidR="005F4A7E" w:rsidRPr="002029AF" w:rsidRDefault="005F4A7E" w:rsidP="00860E95">
            <w:pPr>
              <w:pStyle w:val="ARfintablecolheadright"/>
            </w:pPr>
            <w:r w:rsidRPr="002029AF">
              <w:t>$M</w:t>
            </w:r>
          </w:p>
        </w:tc>
        <w:tc>
          <w:tcPr>
            <w:tcW w:w="1134" w:type="dxa"/>
            <w:hideMark/>
          </w:tcPr>
          <w:p w14:paraId="09660615" w14:textId="77777777" w:rsidR="005F4A7E" w:rsidRPr="002029AF" w:rsidRDefault="005F4A7E" w:rsidP="00860E95">
            <w:pPr>
              <w:pStyle w:val="ARfintablecolheadright"/>
            </w:pPr>
            <w:r w:rsidRPr="002029AF">
              <w:t>–0.25%</w:t>
            </w:r>
            <w:r w:rsidRPr="002029AF">
              <w:br/>
              <w:t>Net result</w:t>
            </w:r>
          </w:p>
          <w:p w14:paraId="2A03FAD1" w14:textId="77777777" w:rsidR="005F4A7E" w:rsidRPr="002029AF" w:rsidRDefault="005F4A7E" w:rsidP="00860E95">
            <w:pPr>
              <w:pStyle w:val="ARfintablecolheadright"/>
            </w:pPr>
            <w:r w:rsidRPr="002029AF">
              <w:t>$M</w:t>
            </w:r>
          </w:p>
        </w:tc>
        <w:tc>
          <w:tcPr>
            <w:tcW w:w="1134" w:type="dxa"/>
            <w:hideMark/>
          </w:tcPr>
          <w:p w14:paraId="75B9FDB0" w14:textId="77777777" w:rsidR="005F4A7E" w:rsidRPr="002029AF" w:rsidRDefault="005F4A7E" w:rsidP="00860E95">
            <w:pPr>
              <w:pStyle w:val="ARfintablecolheadright"/>
            </w:pPr>
            <w:r w:rsidRPr="002029AF">
              <w:t>1.50%</w:t>
            </w:r>
            <w:r w:rsidRPr="002029AF">
              <w:br/>
              <w:t>Net result</w:t>
            </w:r>
          </w:p>
          <w:p w14:paraId="7B463A00" w14:textId="77777777" w:rsidR="005F4A7E" w:rsidRPr="002029AF" w:rsidRDefault="005F4A7E" w:rsidP="00860E95">
            <w:pPr>
              <w:pStyle w:val="ARfintablecolheadright"/>
            </w:pPr>
            <w:r w:rsidRPr="002029AF">
              <w:t>$M</w:t>
            </w:r>
          </w:p>
        </w:tc>
      </w:tr>
      <w:tr w:rsidR="005F4A7E" w:rsidRPr="002029AF" w14:paraId="746ECA1A" w14:textId="77777777" w:rsidTr="00860E95">
        <w:tc>
          <w:tcPr>
            <w:tcW w:w="9639" w:type="dxa"/>
            <w:gridSpan w:val="6"/>
            <w:tcBorders>
              <w:bottom w:val="single" w:sz="4" w:space="0" w:color="auto"/>
            </w:tcBorders>
            <w:hideMark/>
          </w:tcPr>
          <w:p w14:paraId="4652E02C" w14:textId="77777777" w:rsidR="005F4A7E" w:rsidRPr="002029AF" w:rsidRDefault="005F4A7E" w:rsidP="00130D1C">
            <w:pPr>
              <w:pStyle w:val="ARfintablebodybold"/>
            </w:pPr>
            <w:r w:rsidRPr="001056E9">
              <w:t>2021</w:t>
            </w:r>
          </w:p>
        </w:tc>
      </w:tr>
      <w:tr w:rsidR="005F4A7E" w:rsidRPr="002029AF" w14:paraId="5ED877E0" w14:textId="77777777" w:rsidTr="00860E95">
        <w:tc>
          <w:tcPr>
            <w:tcW w:w="9639" w:type="dxa"/>
            <w:gridSpan w:val="6"/>
            <w:tcBorders>
              <w:top w:val="single" w:sz="4" w:space="0" w:color="auto"/>
              <w:bottom w:val="single" w:sz="4" w:space="0" w:color="A6A6A6"/>
            </w:tcBorders>
            <w:hideMark/>
          </w:tcPr>
          <w:p w14:paraId="594C4AA5" w14:textId="77777777" w:rsidR="005F4A7E" w:rsidRPr="002029AF" w:rsidRDefault="005F4A7E" w:rsidP="00130D1C">
            <w:pPr>
              <w:pStyle w:val="ARfintablebodybold"/>
            </w:pPr>
            <w:r w:rsidRPr="001056E9">
              <w:t>Contractual financial assets</w:t>
            </w:r>
          </w:p>
        </w:tc>
      </w:tr>
      <w:tr w:rsidR="005F4A7E" w:rsidRPr="002029AF" w14:paraId="0FC178AA" w14:textId="77777777" w:rsidTr="00860E95">
        <w:tc>
          <w:tcPr>
            <w:tcW w:w="3969" w:type="dxa"/>
            <w:tcBorders>
              <w:top w:val="single" w:sz="4" w:space="0" w:color="A6A6A6"/>
              <w:bottom w:val="single" w:sz="4" w:space="0" w:color="A6A6A6"/>
            </w:tcBorders>
            <w:hideMark/>
          </w:tcPr>
          <w:p w14:paraId="317BC7B5" w14:textId="77777777" w:rsidR="005F4A7E" w:rsidRPr="002029AF" w:rsidRDefault="005F4A7E" w:rsidP="00130D1C">
            <w:pPr>
              <w:pStyle w:val="ARfintablebody"/>
            </w:pPr>
            <w:r w:rsidRPr="001056E9">
              <w:t xml:space="preserve">Cash and deposits </w:t>
            </w:r>
            <w:r w:rsidRPr="00BB5ECF">
              <w:rPr>
                <w:rStyle w:val="Superscript"/>
              </w:rPr>
              <w:t>(i)</w:t>
            </w:r>
          </w:p>
        </w:tc>
        <w:tc>
          <w:tcPr>
            <w:tcW w:w="1134" w:type="dxa"/>
            <w:tcBorders>
              <w:top w:val="single" w:sz="4" w:space="0" w:color="A6A6A6"/>
              <w:bottom w:val="single" w:sz="4" w:space="0" w:color="A6A6A6"/>
            </w:tcBorders>
            <w:noWrap/>
            <w:hideMark/>
          </w:tcPr>
          <w:p w14:paraId="74A943D7" w14:textId="77777777" w:rsidR="005F4A7E" w:rsidRPr="002029AF" w:rsidRDefault="005F4A7E" w:rsidP="00130D1C">
            <w:pPr>
              <w:pStyle w:val="ARfintablebodyright"/>
            </w:pPr>
            <w:r w:rsidRPr="001056E9">
              <w:t>913.9</w:t>
            </w:r>
          </w:p>
        </w:tc>
        <w:tc>
          <w:tcPr>
            <w:tcW w:w="1134" w:type="dxa"/>
            <w:tcBorders>
              <w:top w:val="single" w:sz="4" w:space="0" w:color="A6A6A6"/>
              <w:bottom w:val="single" w:sz="4" w:space="0" w:color="A6A6A6"/>
            </w:tcBorders>
            <w:noWrap/>
            <w:hideMark/>
          </w:tcPr>
          <w:p w14:paraId="1C9C8E30" w14:textId="77777777" w:rsidR="005F4A7E" w:rsidRPr="002029AF" w:rsidRDefault="005F4A7E" w:rsidP="00130D1C">
            <w:pPr>
              <w:pStyle w:val="ARfintablebodyright"/>
            </w:pPr>
            <w:r w:rsidRPr="001056E9">
              <w:t>(3.9)</w:t>
            </w:r>
          </w:p>
        </w:tc>
        <w:tc>
          <w:tcPr>
            <w:tcW w:w="1134" w:type="dxa"/>
            <w:tcBorders>
              <w:top w:val="single" w:sz="4" w:space="0" w:color="A6A6A6"/>
              <w:bottom w:val="single" w:sz="4" w:space="0" w:color="A6A6A6"/>
            </w:tcBorders>
            <w:noWrap/>
            <w:hideMark/>
          </w:tcPr>
          <w:p w14:paraId="3D077D50" w14:textId="77777777" w:rsidR="005F4A7E" w:rsidRPr="002029AF" w:rsidRDefault="005F4A7E" w:rsidP="00130D1C">
            <w:pPr>
              <w:pStyle w:val="ARfintablebodyright"/>
            </w:pPr>
            <w:r w:rsidRPr="001056E9">
              <w:t>3.9</w:t>
            </w:r>
          </w:p>
        </w:tc>
        <w:tc>
          <w:tcPr>
            <w:tcW w:w="1134" w:type="dxa"/>
            <w:tcBorders>
              <w:top w:val="single" w:sz="4" w:space="0" w:color="A6A6A6"/>
              <w:bottom w:val="single" w:sz="4" w:space="0" w:color="A6A6A6"/>
            </w:tcBorders>
            <w:noWrap/>
            <w:hideMark/>
          </w:tcPr>
          <w:p w14:paraId="635F308A" w14:textId="77777777" w:rsidR="005F4A7E" w:rsidRPr="002029AF" w:rsidRDefault="005F4A7E" w:rsidP="00130D1C">
            <w:pPr>
              <w:pStyle w:val="ARfintablebodyright"/>
            </w:pPr>
            <w:r w:rsidRPr="001056E9">
              <w:t>–</w:t>
            </w:r>
          </w:p>
        </w:tc>
        <w:tc>
          <w:tcPr>
            <w:tcW w:w="1134" w:type="dxa"/>
            <w:tcBorders>
              <w:top w:val="single" w:sz="4" w:space="0" w:color="A6A6A6"/>
              <w:bottom w:val="single" w:sz="4" w:space="0" w:color="A6A6A6"/>
            </w:tcBorders>
            <w:noWrap/>
            <w:hideMark/>
          </w:tcPr>
          <w:p w14:paraId="55D60D1A" w14:textId="77777777" w:rsidR="005F4A7E" w:rsidRPr="002029AF" w:rsidRDefault="005F4A7E" w:rsidP="00130D1C">
            <w:pPr>
              <w:pStyle w:val="ARfintablebodyright"/>
            </w:pPr>
            <w:r w:rsidRPr="001056E9">
              <w:t>–</w:t>
            </w:r>
          </w:p>
        </w:tc>
      </w:tr>
      <w:tr w:rsidR="005F4A7E" w:rsidRPr="002029AF" w14:paraId="25BED2E2" w14:textId="77777777" w:rsidTr="00860E95">
        <w:tc>
          <w:tcPr>
            <w:tcW w:w="3969" w:type="dxa"/>
            <w:tcBorders>
              <w:top w:val="single" w:sz="4" w:space="0" w:color="A6A6A6"/>
              <w:bottom w:val="single" w:sz="4" w:space="0" w:color="A6A6A6"/>
            </w:tcBorders>
            <w:hideMark/>
          </w:tcPr>
          <w:p w14:paraId="0C3EB98C" w14:textId="77777777" w:rsidR="005F4A7E" w:rsidRPr="002029AF" w:rsidRDefault="005F4A7E" w:rsidP="00130D1C">
            <w:pPr>
              <w:pStyle w:val="ARfintablebody"/>
            </w:pPr>
            <w:r w:rsidRPr="001056E9">
              <w:t xml:space="preserve">Receivables </w:t>
            </w:r>
            <w:r w:rsidRPr="00BB5ECF">
              <w:rPr>
                <w:rStyle w:val="Superscript"/>
              </w:rPr>
              <w:t>(ii)(iii)</w:t>
            </w:r>
          </w:p>
        </w:tc>
        <w:tc>
          <w:tcPr>
            <w:tcW w:w="1134" w:type="dxa"/>
            <w:tcBorders>
              <w:top w:val="single" w:sz="4" w:space="0" w:color="A6A6A6"/>
              <w:bottom w:val="single" w:sz="4" w:space="0" w:color="A6A6A6"/>
            </w:tcBorders>
            <w:noWrap/>
            <w:hideMark/>
          </w:tcPr>
          <w:p w14:paraId="5D60F4A4" w14:textId="77777777" w:rsidR="005F4A7E" w:rsidRPr="002029AF" w:rsidRDefault="005F4A7E" w:rsidP="00130D1C">
            <w:pPr>
              <w:pStyle w:val="ARfintablebodyright"/>
            </w:pPr>
            <w:r w:rsidRPr="001056E9">
              <w:t>341.9</w:t>
            </w:r>
          </w:p>
        </w:tc>
        <w:tc>
          <w:tcPr>
            <w:tcW w:w="1134" w:type="dxa"/>
            <w:tcBorders>
              <w:top w:val="single" w:sz="4" w:space="0" w:color="A6A6A6"/>
              <w:bottom w:val="single" w:sz="4" w:space="0" w:color="A6A6A6"/>
            </w:tcBorders>
            <w:noWrap/>
            <w:hideMark/>
          </w:tcPr>
          <w:p w14:paraId="6B962E0A" w14:textId="77777777" w:rsidR="005F4A7E" w:rsidRPr="002029AF" w:rsidRDefault="005F4A7E" w:rsidP="00130D1C">
            <w:pPr>
              <w:pStyle w:val="ARfintablebodyright"/>
            </w:pPr>
            <w:r w:rsidRPr="001056E9">
              <w:t>–</w:t>
            </w:r>
          </w:p>
        </w:tc>
        <w:tc>
          <w:tcPr>
            <w:tcW w:w="1134" w:type="dxa"/>
            <w:tcBorders>
              <w:top w:val="single" w:sz="4" w:space="0" w:color="A6A6A6"/>
              <w:bottom w:val="single" w:sz="4" w:space="0" w:color="A6A6A6"/>
            </w:tcBorders>
            <w:noWrap/>
            <w:hideMark/>
          </w:tcPr>
          <w:p w14:paraId="7B711623" w14:textId="77777777" w:rsidR="005F4A7E" w:rsidRPr="002029AF" w:rsidRDefault="005F4A7E" w:rsidP="00130D1C">
            <w:pPr>
              <w:pStyle w:val="ARfintablebodyright"/>
            </w:pPr>
            <w:r w:rsidRPr="001056E9">
              <w:t>–</w:t>
            </w:r>
          </w:p>
        </w:tc>
        <w:tc>
          <w:tcPr>
            <w:tcW w:w="1134" w:type="dxa"/>
            <w:tcBorders>
              <w:top w:val="single" w:sz="4" w:space="0" w:color="A6A6A6"/>
              <w:bottom w:val="single" w:sz="4" w:space="0" w:color="A6A6A6"/>
            </w:tcBorders>
            <w:noWrap/>
            <w:hideMark/>
          </w:tcPr>
          <w:p w14:paraId="3C6B3B1F" w14:textId="77777777" w:rsidR="005F4A7E" w:rsidRPr="002029AF" w:rsidRDefault="005F4A7E" w:rsidP="00130D1C">
            <w:pPr>
              <w:pStyle w:val="ARfintablebodyright"/>
            </w:pPr>
            <w:r w:rsidRPr="001056E9">
              <w:t>–</w:t>
            </w:r>
          </w:p>
        </w:tc>
        <w:tc>
          <w:tcPr>
            <w:tcW w:w="1134" w:type="dxa"/>
            <w:tcBorders>
              <w:top w:val="single" w:sz="4" w:space="0" w:color="A6A6A6"/>
              <w:bottom w:val="single" w:sz="4" w:space="0" w:color="A6A6A6"/>
            </w:tcBorders>
            <w:noWrap/>
            <w:hideMark/>
          </w:tcPr>
          <w:p w14:paraId="78C7D838" w14:textId="77777777" w:rsidR="005F4A7E" w:rsidRPr="002029AF" w:rsidRDefault="005F4A7E" w:rsidP="00130D1C">
            <w:pPr>
              <w:pStyle w:val="ARfintablebodyright"/>
            </w:pPr>
            <w:r w:rsidRPr="001056E9">
              <w:t>–</w:t>
            </w:r>
          </w:p>
        </w:tc>
      </w:tr>
      <w:tr w:rsidR="005F4A7E" w:rsidRPr="002029AF" w14:paraId="2DEAD645" w14:textId="77777777" w:rsidTr="00860E95">
        <w:tc>
          <w:tcPr>
            <w:tcW w:w="3969" w:type="dxa"/>
            <w:tcBorders>
              <w:top w:val="single" w:sz="4" w:space="0" w:color="A6A6A6"/>
            </w:tcBorders>
            <w:hideMark/>
          </w:tcPr>
          <w:p w14:paraId="24ACE95E" w14:textId="77777777" w:rsidR="005F4A7E" w:rsidRPr="002029AF" w:rsidRDefault="005F4A7E" w:rsidP="00130D1C">
            <w:pPr>
              <w:pStyle w:val="ARfintablebody"/>
            </w:pPr>
            <w:r w:rsidRPr="001056E9">
              <w:t xml:space="preserve">Loans </w:t>
            </w:r>
            <w:r w:rsidRPr="00BB5ECF">
              <w:rPr>
                <w:rStyle w:val="Superscript"/>
              </w:rPr>
              <w:t>(iii)</w:t>
            </w:r>
          </w:p>
        </w:tc>
        <w:tc>
          <w:tcPr>
            <w:tcW w:w="1134" w:type="dxa"/>
            <w:tcBorders>
              <w:top w:val="single" w:sz="4" w:space="0" w:color="A6A6A6"/>
            </w:tcBorders>
            <w:noWrap/>
            <w:hideMark/>
          </w:tcPr>
          <w:p w14:paraId="188176A5" w14:textId="77777777" w:rsidR="005F4A7E" w:rsidRPr="002029AF" w:rsidRDefault="005F4A7E" w:rsidP="00130D1C">
            <w:pPr>
              <w:pStyle w:val="ARfintablebodyright"/>
            </w:pPr>
            <w:r w:rsidRPr="001056E9">
              <w:t>118.8</w:t>
            </w:r>
          </w:p>
        </w:tc>
        <w:tc>
          <w:tcPr>
            <w:tcW w:w="1134" w:type="dxa"/>
            <w:tcBorders>
              <w:top w:val="single" w:sz="4" w:space="0" w:color="A6A6A6"/>
            </w:tcBorders>
            <w:noWrap/>
            <w:hideMark/>
          </w:tcPr>
          <w:p w14:paraId="39B153F6" w14:textId="77777777" w:rsidR="005F4A7E" w:rsidRPr="002029AF" w:rsidRDefault="005F4A7E" w:rsidP="00130D1C">
            <w:pPr>
              <w:pStyle w:val="ARfintablebodyright"/>
            </w:pPr>
            <w:r w:rsidRPr="001056E9">
              <w:t>–</w:t>
            </w:r>
          </w:p>
        </w:tc>
        <w:tc>
          <w:tcPr>
            <w:tcW w:w="1134" w:type="dxa"/>
            <w:tcBorders>
              <w:top w:val="single" w:sz="4" w:space="0" w:color="A6A6A6"/>
            </w:tcBorders>
            <w:noWrap/>
            <w:hideMark/>
          </w:tcPr>
          <w:p w14:paraId="62EECACC" w14:textId="77777777" w:rsidR="005F4A7E" w:rsidRPr="002029AF" w:rsidRDefault="005F4A7E" w:rsidP="00130D1C">
            <w:pPr>
              <w:pStyle w:val="ARfintablebodyright"/>
            </w:pPr>
            <w:r w:rsidRPr="001056E9">
              <w:t>–</w:t>
            </w:r>
          </w:p>
        </w:tc>
        <w:tc>
          <w:tcPr>
            <w:tcW w:w="1134" w:type="dxa"/>
            <w:tcBorders>
              <w:top w:val="single" w:sz="4" w:space="0" w:color="A6A6A6"/>
            </w:tcBorders>
            <w:noWrap/>
            <w:hideMark/>
          </w:tcPr>
          <w:p w14:paraId="7DE6EA6B" w14:textId="77777777" w:rsidR="005F4A7E" w:rsidRPr="002029AF" w:rsidRDefault="005F4A7E" w:rsidP="00130D1C">
            <w:pPr>
              <w:pStyle w:val="ARfintablebodyright"/>
            </w:pPr>
            <w:r w:rsidRPr="001056E9">
              <w:t>–</w:t>
            </w:r>
          </w:p>
        </w:tc>
        <w:tc>
          <w:tcPr>
            <w:tcW w:w="1134" w:type="dxa"/>
            <w:tcBorders>
              <w:top w:val="single" w:sz="4" w:space="0" w:color="A6A6A6"/>
            </w:tcBorders>
            <w:noWrap/>
            <w:hideMark/>
          </w:tcPr>
          <w:p w14:paraId="1EBC03CF" w14:textId="77777777" w:rsidR="005F4A7E" w:rsidRPr="002029AF" w:rsidRDefault="005F4A7E" w:rsidP="00130D1C">
            <w:pPr>
              <w:pStyle w:val="ARfintablebodyright"/>
            </w:pPr>
            <w:r w:rsidRPr="001056E9">
              <w:t>0.1</w:t>
            </w:r>
          </w:p>
        </w:tc>
      </w:tr>
      <w:tr w:rsidR="005F4A7E" w:rsidRPr="002029AF" w14:paraId="6D2D0AD4" w14:textId="77777777" w:rsidTr="00860E95">
        <w:tc>
          <w:tcPr>
            <w:tcW w:w="3969" w:type="dxa"/>
            <w:tcBorders>
              <w:bottom w:val="single" w:sz="4" w:space="0" w:color="auto"/>
            </w:tcBorders>
            <w:hideMark/>
          </w:tcPr>
          <w:p w14:paraId="252AE624" w14:textId="77777777" w:rsidR="005F4A7E" w:rsidRPr="002029AF" w:rsidRDefault="005F4A7E" w:rsidP="00130D1C">
            <w:pPr>
              <w:pStyle w:val="ARfintablebodybold"/>
            </w:pPr>
            <w:r w:rsidRPr="001056E9">
              <w:t>Total impact</w:t>
            </w:r>
          </w:p>
        </w:tc>
        <w:tc>
          <w:tcPr>
            <w:tcW w:w="1134" w:type="dxa"/>
            <w:tcBorders>
              <w:bottom w:val="single" w:sz="4" w:space="0" w:color="auto"/>
            </w:tcBorders>
            <w:noWrap/>
            <w:hideMark/>
          </w:tcPr>
          <w:p w14:paraId="79CBBB15" w14:textId="77777777" w:rsidR="005F4A7E" w:rsidRPr="002029AF" w:rsidRDefault="005F4A7E" w:rsidP="00130D1C">
            <w:pPr>
              <w:pStyle w:val="ARfintablebodyrightbold"/>
            </w:pPr>
            <w:r w:rsidRPr="001056E9">
              <w:t>1,374.6</w:t>
            </w:r>
          </w:p>
        </w:tc>
        <w:tc>
          <w:tcPr>
            <w:tcW w:w="1134" w:type="dxa"/>
            <w:tcBorders>
              <w:bottom w:val="single" w:sz="4" w:space="0" w:color="auto"/>
            </w:tcBorders>
            <w:noWrap/>
            <w:hideMark/>
          </w:tcPr>
          <w:p w14:paraId="17D503D3" w14:textId="77777777" w:rsidR="005F4A7E" w:rsidRPr="002029AF" w:rsidRDefault="005F4A7E" w:rsidP="00130D1C">
            <w:pPr>
              <w:pStyle w:val="ARfintablebodyrightbold"/>
            </w:pPr>
            <w:r w:rsidRPr="001056E9">
              <w:t>(3.9)</w:t>
            </w:r>
          </w:p>
        </w:tc>
        <w:tc>
          <w:tcPr>
            <w:tcW w:w="1134" w:type="dxa"/>
            <w:tcBorders>
              <w:bottom w:val="single" w:sz="4" w:space="0" w:color="auto"/>
            </w:tcBorders>
            <w:noWrap/>
            <w:hideMark/>
          </w:tcPr>
          <w:p w14:paraId="62007E68" w14:textId="77777777" w:rsidR="005F4A7E" w:rsidRPr="002029AF" w:rsidRDefault="005F4A7E" w:rsidP="00130D1C">
            <w:pPr>
              <w:pStyle w:val="ARfintablebodyrightbold"/>
            </w:pPr>
            <w:r w:rsidRPr="001056E9">
              <w:t>3.9</w:t>
            </w:r>
          </w:p>
        </w:tc>
        <w:tc>
          <w:tcPr>
            <w:tcW w:w="1134" w:type="dxa"/>
            <w:tcBorders>
              <w:bottom w:val="single" w:sz="4" w:space="0" w:color="auto"/>
            </w:tcBorders>
            <w:noWrap/>
            <w:hideMark/>
          </w:tcPr>
          <w:p w14:paraId="47FE43EE" w14:textId="77777777" w:rsidR="005F4A7E" w:rsidRPr="002029AF" w:rsidRDefault="005F4A7E" w:rsidP="00130D1C">
            <w:pPr>
              <w:pStyle w:val="ARfintablebodyrightbold"/>
            </w:pPr>
            <w:r w:rsidRPr="001056E9">
              <w:t>–</w:t>
            </w:r>
          </w:p>
        </w:tc>
        <w:tc>
          <w:tcPr>
            <w:tcW w:w="1134" w:type="dxa"/>
            <w:tcBorders>
              <w:bottom w:val="single" w:sz="4" w:space="0" w:color="auto"/>
            </w:tcBorders>
            <w:noWrap/>
            <w:hideMark/>
          </w:tcPr>
          <w:p w14:paraId="0080EDBD" w14:textId="77777777" w:rsidR="005F4A7E" w:rsidRPr="002029AF" w:rsidRDefault="005F4A7E" w:rsidP="00130D1C">
            <w:pPr>
              <w:pStyle w:val="ARfintablebodyrightbold"/>
            </w:pPr>
            <w:r w:rsidRPr="001056E9">
              <w:t>0.1</w:t>
            </w:r>
          </w:p>
        </w:tc>
      </w:tr>
      <w:tr w:rsidR="005F4A7E" w:rsidRPr="002029AF" w14:paraId="0BD1C99A" w14:textId="77777777" w:rsidTr="00130D1C">
        <w:tc>
          <w:tcPr>
            <w:tcW w:w="9639" w:type="dxa"/>
            <w:gridSpan w:val="6"/>
            <w:tcBorders>
              <w:top w:val="single" w:sz="4" w:space="0" w:color="auto"/>
              <w:bottom w:val="single" w:sz="4" w:space="0" w:color="A6A6A6"/>
            </w:tcBorders>
            <w:hideMark/>
          </w:tcPr>
          <w:p w14:paraId="7405566F" w14:textId="77777777" w:rsidR="005F4A7E" w:rsidRPr="002029AF" w:rsidRDefault="005F4A7E" w:rsidP="00130D1C">
            <w:pPr>
              <w:pStyle w:val="ARfintablebodybold"/>
            </w:pPr>
            <w:r w:rsidRPr="001056E9">
              <w:t>Contractual financial liabilities</w:t>
            </w:r>
          </w:p>
        </w:tc>
      </w:tr>
      <w:tr w:rsidR="005F4A7E" w:rsidRPr="002029AF" w14:paraId="3B494F2A" w14:textId="77777777" w:rsidTr="00860E95">
        <w:tc>
          <w:tcPr>
            <w:tcW w:w="3969" w:type="dxa"/>
            <w:tcBorders>
              <w:top w:val="single" w:sz="4" w:space="0" w:color="A6A6A6"/>
              <w:bottom w:val="single" w:sz="4" w:space="0" w:color="A6A6A6"/>
            </w:tcBorders>
            <w:hideMark/>
          </w:tcPr>
          <w:p w14:paraId="0A2FD45E" w14:textId="77777777" w:rsidR="005F4A7E" w:rsidRPr="002029AF" w:rsidRDefault="005F4A7E" w:rsidP="00130D1C">
            <w:pPr>
              <w:pStyle w:val="ARfintablebody"/>
            </w:pPr>
            <w:r w:rsidRPr="001056E9">
              <w:t xml:space="preserve">Payables </w:t>
            </w:r>
            <w:r w:rsidRPr="00BB5ECF">
              <w:rPr>
                <w:rStyle w:val="Superscript"/>
              </w:rPr>
              <w:t>(iii)</w:t>
            </w:r>
          </w:p>
        </w:tc>
        <w:tc>
          <w:tcPr>
            <w:tcW w:w="1134" w:type="dxa"/>
            <w:tcBorders>
              <w:top w:val="single" w:sz="4" w:space="0" w:color="A6A6A6"/>
              <w:bottom w:val="single" w:sz="4" w:space="0" w:color="A6A6A6"/>
            </w:tcBorders>
            <w:noWrap/>
            <w:hideMark/>
          </w:tcPr>
          <w:p w14:paraId="67F2CF32" w14:textId="77777777" w:rsidR="005F4A7E" w:rsidRPr="002029AF" w:rsidRDefault="005F4A7E" w:rsidP="00130D1C">
            <w:pPr>
              <w:pStyle w:val="ARfintablebodyright"/>
            </w:pPr>
            <w:r w:rsidRPr="001056E9">
              <w:t>2,130.1</w:t>
            </w:r>
          </w:p>
        </w:tc>
        <w:tc>
          <w:tcPr>
            <w:tcW w:w="1134" w:type="dxa"/>
            <w:tcBorders>
              <w:top w:val="single" w:sz="4" w:space="0" w:color="A6A6A6"/>
              <w:bottom w:val="single" w:sz="4" w:space="0" w:color="A6A6A6"/>
            </w:tcBorders>
            <w:noWrap/>
            <w:hideMark/>
          </w:tcPr>
          <w:p w14:paraId="6903A214" w14:textId="77777777" w:rsidR="005F4A7E" w:rsidRPr="002029AF" w:rsidRDefault="005F4A7E" w:rsidP="00130D1C">
            <w:pPr>
              <w:pStyle w:val="ARfintablebodyright"/>
            </w:pPr>
            <w:r w:rsidRPr="001056E9">
              <w:t>–</w:t>
            </w:r>
          </w:p>
        </w:tc>
        <w:tc>
          <w:tcPr>
            <w:tcW w:w="1134" w:type="dxa"/>
            <w:tcBorders>
              <w:top w:val="single" w:sz="4" w:space="0" w:color="A6A6A6"/>
              <w:bottom w:val="single" w:sz="4" w:space="0" w:color="A6A6A6"/>
            </w:tcBorders>
            <w:noWrap/>
            <w:hideMark/>
          </w:tcPr>
          <w:p w14:paraId="4B6DCF34" w14:textId="77777777" w:rsidR="005F4A7E" w:rsidRPr="002029AF" w:rsidRDefault="005F4A7E" w:rsidP="00130D1C">
            <w:pPr>
              <w:pStyle w:val="ARfintablebodyright"/>
            </w:pPr>
            <w:r w:rsidRPr="001056E9">
              <w:t>–</w:t>
            </w:r>
          </w:p>
        </w:tc>
        <w:tc>
          <w:tcPr>
            <w:tcW w:w="1134" w:type="dxa"/>
            <w:tcBorders>
              <w:top w:val="single" w:sz="4" w:space="0" w:color="A6A6A6"/>
              <w:bottom w:val="single" w:sz="4" w:space="0" w:color="A6A6A6"/>
            </w:tcBorders>
            <w:noWrap/>
            <w:hideMark/>
          </w:tcPr>
          <w:p w14:paraId="4EB2D3FC" w14:textId="77777777" w:rsidR="005F4A7E" w:rsidRPr="002029AF" w:rsidRDefault="005F4A7E" w:rsidP="00130D1C">
            <w:pPr>
              <w:pStyle w:val="ARfintablebodyright"/>
            </w:pPr>
            <w:r w:rsidRPr="001056E9">
              <w:t>–</w:t>
            </w:r>
          </w:p>
        </w:tc>
        <w:tc>
          <w:tcPr>
            <w:tcW w:w="1134" w:type="dxa"/>
            <w:tcBorders>
              <w:top w:val="single" w:sz="4" w:space="0" w:color="A6A6A6"/>
              <w:bottom w:val="single" w:sz="4" w:space="0" w:color="A6A6A6"/>
            </w:tcBorders>
            <w:noWrap/>
            <w:hideMark/>
          </w:tcPr>
          <w:p w14:paraId="3D7B3912" w14:textId="77777777" w:rsidR="005F4A7E" w:rsidRPr="002029AF" w:rsidRDefault="005F4A7E" w:rsidP="00130D1C">
            <w:pPr>
              <w:pStyle w:val="ARfintablebodyright"/>
            </w:pPr>
            <w:r w:rsidRPr="001056E9">
              <w:t>–</w:t>
            </w:r>
          </w:p>
        </w:tc>
      </w:tr>
      <w:tr w:rsidR="005F4A7E" w:rsidRPr="002029AF" w14:paraId="7EE3C336" w14:textId="77777777" w:rsidTr="00860E95">
        <w:tc>
          <w:tcPr>
            <w:tcW w:w="3969" w:type="dxa"/>
            <w:tcBorders>
              <w:top w:val="single" w:sz="4" w:space="0" w:color="A6A6A6"/>
            </w:tcBorders>
            <w:hideMark/>
          </w:tcPr>
          <w:p w14:paraId="066EE01E" w14:textId="77777777" w:rsidR="005F4A7E" w:rsidRPr="002029AF" w:rsidRDefault="005F4A7E" w:rsidP="00130D1C">
            <w:pPr>
              <w:pStyle w:val="ARfintablebody"/>
            </w:pPr>
            <w:r w:rsidRPr="001056E9">
              <w:t xml:space="preserve">Borrowings </w:t>
            </w:r>
            <w:r w:rsidRPr="00BB5ECF">
              <w:rPr>
                <w:rStyle w:val="Superscript"/>
              </w:rPr>
              <w:t>(iv)</w:t>
            </w:r>
          </w:p>
        </w:tc>
        <w:tc>
          <w:tcPr>
            <w:tcW w:w="1134" w:type="dxa"/>
            <w:tcBorders>
              <w:top w:val="single" w:sz="4" w:space="0" w:color="A6A6A6"/>
            </w:tcBorders>
            <w:noWrap/>
            <w:hideMark/>
          </w:tcPr>
          <w:p w14:paraId="66989AEA" w14:textId="77777777" w:rsidR="005F4A7E" w:rsidRPr="002029AF" w:rsidRDefault="005F4A7E" w:rsidP="00130D1C">
            <w:pPr>
              <w:pStyle w:val="ARfintablebodyright"/>
            </w:pPr>
            <w:r w:rsidRPr="001056E9">
              <w:t>329.4</w:t>
            </w:r>
          </w:p>
        </w:tc>
        <w:tc>
          <w:tcPr>
            <w:tcW w:w="1134" w:type="dxa"/>
            <w:tcBorders>
              <w:top w:val="single" w:sz="4" w:space="0" w:color="A6A6A6"/>
            </w:tcBorders>
            <w:noWrap/>
            <w:hideMark/>
          </w:tcPr>
          <w:p w14:paraId="077BEFCF" w14:textId="77777777" w:rsidR="005F4A7E" w:rsidRPr="002029AF" w:rsidRDefault="005F4A7E" w:rsidP="00130D1C">
            <w:pPr>
              <w:pStyle w:val="ARfintablebodyright"/>
            </w:pPr>
            <w:r w:rsidRPr="001056E9">
              <w:t>–</w:t>
            </w:r>
          </w:p>
        </w:tc>
        <w:tc>
          <w:tcPr>
            <w:tcW w:w="1134" w:type="dxa"/>
            <w:tcBorders>
              <w:top w:val="single" w:sz="4" w:space="0" w:color="A6A6A6"/>
            </w:tcBorders>
            <w:noWrap/>
            <w:hideMark/>
          </w:tcPr>
          <w:p w14:paraId="38AB81C9" w14:textId="77777777" w:rsidR="005F4A7E" w:rsidRPr="002029AF" w:rsidRDefault="005F4A7E" w:rsidP="00130D1C">
            <w:pPr>
              <w:pStyle w:val="ARfintablebodyright"/>
            </w:pPr>
            <w:r w:rsidRPr="001056E9">
              <w:t>–</w:t>
            </w:r>
          </w:p>
        </w:tc>
        <w:tc>
          <w:tcPr>
            <w:tcW w:w="1134" w:type="dxa"/>
            <w:tcBorders>
              <w:top w:val="single" w:sz="4" w:space="0" w:color="A6A6A6"/>
            </w:tcBorders>
            <w:noWrap/>
            <w:hideMark/>
          </w:tcPr>
          <w:p w14:paraId="269ECE98" w14:textId="77777777" w:rsidR="005F4A7E" w:rsidRPr="002029AF" w:rsidRDefault="005F4A7E" w:rsidP="00130D1C">
            <w:pPr>
              <w:pStyle w:val="ARfintablebodyright"/>
            </w:pPr>
            <w:r w:rsidRPr="001056E9">
              <w:t>–</w:t>
            </w:r>
          </w:p>
        </w:tc>
        <w:tc>
          <w:tcPr>
            <w:tcW w:w="1134" w:type="dxa"/>
            <w:tcBorders>
              <w:top w:val="single" w:sz="4" w:space="0" w:color="A6A6A6"/>
            </w:tcBorders>
            <w:noWrap/>
            <w:hideMark/>
          </w:tcPr>
          <w:p w14:paraId="35685724" w14:textId="77777777" w:rsidR="005F4A7E" w:rsidRPr="002029AF" w:rsidRDefault="005F4A7E" w:rsidP="00130D1C">
            <w:pPr>
              <w:pStyle w:val="ARfintablebodyright"/>
            </w:pPr>
            <w:r w:rsidRPr="001056E9">
              <w:t>–</w:t>
            </w:r>
          </w:p>
        </w:tc>
      </w:tr>
      <w:tr w:rsidR="005F4A7E" w:rsidRPr="002029AF" w14:paraId="10BD5824" w14:textId="77777777" w:rsidTr="00860E95">
        <w:tc>
          <w:tcPr>
            <w:tcW w:w="3969" w:type="dxa"/>
            <w:hideMark/>
          </w:tcPr>
          <w:p w14:paraId="02C4E53C" w14:textId="77777777" w:rsidR="005F4A7E" w:rsidRPr="002029AF" w:rsidRDefault="005F4A7E" w:rsidP="00130D1C">
            <w:pPr>
              <w:pStyle w:val="ARfintablebodybold"/>
            </w:pPr>
            <w:r w:rsidRPr="001056E9">
              <w:t>Total impact</w:t>
            </w:r>
          </w:p>
        </w:tc>
        <w:tc>
          <w:tcPr>
            <w:tcW w:w="1134" w:type="dxa"/>
            <w:noWrap/>
            <w:hideMark/>
          </w:tcPr>
          <w:p w14:paraId="569AD097" w14:textId="77777777" w:rsidR="005F4A7E" w:rsidRPr="002029AF" w:rsidRDefault="005F4A7E" w:rsidP="00130D1C">
            <w:pPr>
              <w:pStyle w:val="ARfintablebodyrightbold"/>
            </w:pPr>
            <w:r w:rsidRPr="001056E9">
              <w:t>2,459.5</w:t>
            </w:r>
          </w:p>
        </w:tc>
        <w:tc>
          <w:tcPr>
            <w:tcW w:w="1134" w:type="dxa"/>
            <w:noWrap/>
            <w:hideMark/>
          </w:tcPr>
          <w:p w14:paraId="0C4107A1" w14:textId="77777777" w:rsidR="005F4A7E" w:rsidRPr="002029AF" w:rsidRDefault="005F4A7E" w:rsidP="00130D1C">
            <w:pPr>
              <w:pStyle w:val="ARfintablebodyrightbold"/>
            </w:pPr>
            <w:r w:rsidRPr="001056E9">
              <w:t>–</w:t>
            </w:r>
          </w:p>
        </w:tc>
        <w:tc>
          <w:tcPr>
            <w:tcW w:w="1134" w:type="dxa"/>
            <w:noWrap/>
            <w:hideMark/>
          </w:tcPr>
          <w:p w14:paraId="35CE5CA4" w14:textId="77777777" w:rsidR="005F4A7E" w:rsidRPr="002029AF" w:rsidRDefault="005F4A7E" w:rsidP="00130D1C">
            <w:pPr>
              <w:pStyle w:val="ARfintablebodyrightbold"/>
            </w:pPr>
            <w:r w:rsidRPr="001056E9">
              <w:t>–</w:t>
            </w:r>
          </w:p>
        </w:tc>
        <w:tc>
          <w:tcPr>
            <w:tcW w:w="1134" w:type="dxa"/>
            <w:noWrap/>
            <w:hideMark/>
          </w:tcPr>
          <w:p w14:paraId="48C4DF69" w14:textId="77777777" w:rsidR="005F4A7E" w:rsidRPr="002029AF" w:rsidRDefault="005F4A7E" w:rsidP="00130D1C">
            <w:pPr>
              <w:pStyle w:val="ARfintablebodyrightbold"/>
            </w:pPr>
            <w:r w:rsidRPr="001056E9">
              <w:t>–</w:t>
            </w:r>
          </w:p>
        </w:tc>
        <w:tc>
          <w:tcPr>
            <w:tcW w:w="1134" w:type="dxa"/>
            <w:noWrap/>
            <w:hideMark/>
          </w:tcPr>
          <w:p w14:paraId="43BBA532" w14:textId="77777777" w:rsidR="005F4A7E" w:rsidRPr="002029AF" w:rsidRDefault="005F4A7E" w:rsidP="00130D1C">
            <w:pPr>
              <w:pStyle w:val="ARfintablebodyrightbold"/>
            </w:pPr>
            <w:r w:rsidRPr="001056E9">
              <w:t>–</w:t>
            </w:r>
          </w:p>
        </w:tc>
      </w:tr>
    </w:tbl>
    <w:p w14:paraId="4AEB22E9" w14:textId="77777777" w:rsidR="005F4A7E" w:rsidRPr="002029AF" w:rsidRDefault="005F4A7E" w:rsidP="00087B91">
      <w:pPr>
        <w:pStyle w:val="ARfinbody"/>
      </w:pPr>
    </w:p>
    <w:tbl>
      <w:tblPr>
        <w:tblStyle w:val="TableGrid"/>
        <w:tblW w:w="9639" w:type="dxa"/>
        <w:tblLayout w:type="fixed"/>
        <w:tblLook w:val="06A0" w:firstRow="1" w:lastRow="0" w:firstColumn="1" w:lastColumn="0" w:noHBand="1" w:noVBand="1"/>
      </w:tblPr>
      <w:tblGrid>
        <w:gridCol w:w="3969"/>
        <w:gridCol w:w="1134"/>
        <w:gridCol w:w="1134"/>
        <w:gridCol w:w="1134"/>
        <w:gridCol w:w="1134"/>
        <w:gridCol w:w="1134"/>
      </w:tblGrid>
      <w:tr w:rsidR="005F4A7E" w:rsidRPr="002029AF" w14:paraId="06DCEBF5"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3969" w:type="dxa"/>
            <w:vMerge w:val="restart"/>
            <w:hideMark/>
          </w:tcPr>
          <w:p w14:paraId="39A72993" w14:textId="77777777" w:rsidR="005F4A7E" w:rsidRPr="002029AF" w:rsidRDefault="005F4A7E" w:rsidP="00860E95">
            <w:pPr>
              <w:pStyle w:val="ARfintablecolhead"/>
            </w:pPr>
          </w:p>
        </w:tc>
        <w:tc>
          <w:tcPr>
            <w:tcW w:w="1134" w:type="dxa"/>
            <w:vMerge w:val="restart"/>
            <w:hideMark/>
          </w:tcPr>
          <w:p w14:paraId="5CF2B994" w14:textId="77777777" w:rsidR="005F4A7E" w:rsidRPr="002029AF" w:rsidRDefault="005F4A7E" w:rsidP="00860E95">
            <w:pPr>
              <w:pStyle w:val="ARfintablecolheadright"/>
            </w:pPr>
            <w:r w:rsidRPr="002029AF">
              <w:t>Carrying amount</w:t>
            </w:r>
          </w:p>
          <w:p w14:paraId="66C6400D" w14:textId="77777777" w:rsidR="005F4A7E" w:rsidRPr="002029AF" w:rsidRDefault="005F4A7E" w:rsidP="00860E95">
            <w:pPr>
              <w:pStyle w:val="ARfintablecolheadright"/>
            </w:pPr>
            <w:r w:rsidRPr="002029AF">
              <w:t>$M</w:t>
            </w:r>
          </w:p>
        </w:tc>
        <w:tc>
          <w:tcPr>
            <w:tcW w:w="2268" w:type="dxa"/>
            <w:gridSpan w:val="2"/>
            <w:hideMark/>
          </w:tcPr>
          <w:p w14:paraId="5E941208" w14:textId="77777777" w:rsidR="005F4A7E" w:rsidRPr="002029AF" w:rsidRDefault="005F4A7E" w:rsidP="00860E95">
            <w:pPr>
              <w:pStyle w:val="ARfintablecolheadcentre"/>
            </w:pPr>
            <w:r w:rsidRPr="002029AF">
              <w:t>Interest rate risk</w:t>
            </w:r>
          </w:p>
        </w:tc>
        <w:tc>
          <w:tcPr>
            <w:tcW w:w="2268" w:type="dxa"/>
            <w:gridSpan w:val="2"/>
            <w:hideMark/>
          </w:tcPr>
          <w:p w14:paraId="7184988A" w14:textId="77777777" w:rsidR="005F4A7E" w:rsidRPr="002029AF" w:rsidRDefault="005F4A7E" w:rsidP="00860E95">
            <w:pPr>
              <w:pStyle w:val="ARfintablecolheadcentre"/>
            </w:pPr>
            <w:r w:rsidRPr="002029AF">
              <w:t>Consumer Price Index (CPI)</w:t>
            </w:r>
          </w:p>
        </w:tc>
      </w:tr>
      <w:tr w:rsidR="005F4A7E" w:rsidRPr="002029AF" w14:paraId="03376498"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3969" w:type="dxa"/>
            <w:vMerge/>
            <w:hideMark/>
          </w:tcPr>
          <w:p w14:paraId="6454D95D" w14:textId="77777777" w:rsidR="005F4A7E" w:rsidRPr="002029AF" w:rsidRDefault="005F4A7E" w:rsidP="00860E95">
            <w:pPr>
              <w:pStyle w:val="ARfintablecolhead"/>
            </w:pPr>
          </w:p>
        </w:tc>
        <w:tc>
          <w:tcPr>
            <w:tcW w:w="1134" w:type="dxa"/>
            <w:vMerge/>
            <w:hideMark/>
          </w:tcPr>
          <w:p w14:paraId="2623A9F1" w14:textId="77777777" w:rsidR="005F4A7E" w:rsidRPr="002029AF" w:rsidRDefault="005F4A7E" w:rsidP="00860E95">
            <w:pPr>
              <w:pStyle w:val="ARfintablecolheadright"/>
            </w:pPr>
          </w:p>
        </w:tc>
        <w:tc>
          <w:tcPr>
            <w:tcW w:w="1134" w:type="dxa"/>
            <w:hideMark/>
          </w:tcPr>
          <w:p w14:paraId="413B3E45" w14:textId="77777777" w:rsidR="005F4A7E" w:rsidRPr="002029AF" w:rsidRDefault="005F4A7E" w:rsidP="00860E95">
            <w:pPr>
              <w:pStyle w:val="ARfintablecolheadright"/>
            </w:pPr>
            <w:r w:rsidRPr="002029AF">
              <w:t>–0.50%</w:t>
            </w:r>
            <w:r w:rsidRPr="002029AF">
              <w:br/>
              <w:t>Net result</w:t>
            </w:r>
          </w:p>
          <w:p w14:paraId="18D0ADFE" w14:textId="77777777" w:rsidR="005F4A7E" w:rsidRPr="002029AF" w:rsidRDefault="005F4A7E" w:rsidP="00860E95">
            <w:pPr>
              <w:pStyle w:val="ARfintablecolheadright"/>
            </w:pPr>
            <w:r w:rsidRPr="002029AF">
              <w:t>$M</w:t>
            </w:r>
          </w:p>
        </w:tc>
        <w:tc>
          <w:tcPr>
            <w:tcW w:w="1134" w:type="dxa"/>
            <w:hideMark/>
          </w:tcPr>
          <w:p w14:paraId="18AFA358" w14:textId="77777777" w:rsidR="005F4A7E" w:rsidRPr="002029AF" w:rsidRDefault="005F4A7E" w:rsidP="00860E95">
            <w:pPr>
              <w:pStyle w:val="ARfintablecolheadright"/>
            </w:pPr>
            <w:r w:rsidRPr="002029AF">
              <w:t>+0.50%</w:t>
            </w:r>
            <w:r w:rsidRPr="002029AF">
              <w:br/>
              <w:t>Net result</w:t>
            </w:r>
          </w:p>
          <w:p w14:paraId="251A380B" w14:textId="77777777" w:rsidR="005F4A7E" w:rsidRPr="002029AF" w:rsidRDefault="005F4A7E" w:rsidP="00860E95">
            <w:pPr>
              <w:pStyle w:val="ARfintablecolheadright"/>
            </w:pPr>
            <w:r w:rsidRPr="002029AF">
              <w:t>$M</w:t>
            </w:r>
          </w:p>
        </w:tc>
        <w:tc>
          <w:tcPr>
            <w:tcW w:w="1134" w:type="dxa"/>
            <w:hideMark/>
          </w:tcPr>
          <w:p w14:paraId="79E4C600" w14:textId="77777777" w:rsidR="005F4A7E" w:rsidRPr="002029AF" w:rsidRDefault="005F4A7E" w:rsidP="00860E95">
            <w:pPr>
              <w:pStyle w:val="ARfintablecolheadright"/>
            </w:pPr>
            <w:r w:rsidRPr="002029AF">
              <w:t>–0.25%</w:t>
            </w:r>
            <w:r w:rsidRPr="002029AF">
              <w:br/>
              <w:t>Net result</w:t>
            </w:r>
          </w:p>
          <w:p w14:paraId="588CDD31" w14:textId="77777777" w:rsidR="005F4A7E" w:rsidRPr="002029AF" w:rsidRDefault="005F4A7E" w:rsidP="00860E95">
            <w:pPr>
              <w:pStyle w:val="ARfintablecolheadright"/>
            </w:pPr>
            <w:r w:rsidRPr="002029AF">
              <w:t>$M</w:t>
            </w:r>
          </w:p>
        </w:tc>
        <w:tc>
          <w:tcPr>
            <w:tcW w:w="1134" w:type="dxa"/>
            <w:hideMark/>
          </w:tcPr>
          <w:p w14:paraId="2F0E8FEC" w14:textId="77777777" w:rsidR="005F4A7E" w:rsidRPr="002029AF" w:rsidRDefault="005F4A7E" w:rsidP="00860E95">
            <w:pPr>
              <w:pStyle w:val="ARfintablecolheadright"/>
            </w:pPr>
            <w:r w:rsidRPr="002029AF">
              <w:t>1.50%</w:t>
            </w:r>
            <w:r w:rsidRPr="002029AF">
              <w:br/>
              <w:t>Net result</w:t>
            </w:r>
          </w:p>
          <w:p w14:paraId="5CB41285" w14:textId="77777777" w:rsidR="005F4A7E" w:rsidRPr="002029AF" w:rsidRDefault="005F4A7E" w:rsidP="00860E95">
            <w:pPr>
              <w:pStyle w:val="ARfintablecolheadright"/>
            </w:pPr>
            <w:r w:rsidRPr="002029AF">
              <w:t>$M</w:t>
            </w:r>
          </w:p>
        </w:tc>
      </w:tr>
      <w:tr w:rsidR="005F4A7E" w:rsidRPr="002029AF" w14:paraId="3F6D5763" w14:textId="77777777" w:rsidTr="00860E95">
        <w:tc>
          <w:tcPr>
            <w:tcW w:w="9639" w:type="dxa"/>
            <w:gridSpan w:val="6"/>
            <w:tcBorders>
              <w:bottom w:val="single" w:sz="4" w:space="0" w:color="auto"/>
            </w:tcBorders>
            <w:hideMark/>
          </w:tcPr>
          <w:p w14:paraId="7F1ABA63" w14:textId="77777777" w:rsidR="005F4A7E" w:rsidRPr="002029AF" w:rsidRDefault="005F4A7E" w:rsidP="00130D1C">
            <w:pPr>
              <w:pStyle w:val="ARfintablebodybold"/>
            </w:pPr>
            <w:r w:rsidRPr="00435A7B">
              <w:t>2020</w:t>
            </w:r>
          </w:p>
        </w:tc>
      </w:tr>
      <w:tr w:rsidR="005F4A7E" w:rsidRPr="002029AF" w14:paraId="7D8DE66C" w14:textId="77777777" w:rsidTr="00860E95">
        <w:tc>
          <w:tcPr>
            <w:tcW w:w="9639" w:type="dxa"/>
            <w:gridSpan w:val="6"/>
            <w:tcBorders>
              <w:top w:val="single" w:sz="4" w:space="0" w:color="auto"/>
              <w:bottom w:val="single" w:sz="4" w:space="0" w:color="A6A6A6"/>
            </w:tcBorders>
            <w:hideMark/>
          </w:tcPr>
          <w:p w14:paraId="60BE3F43" w14:textId="77777777" w:rsidR="005F4A7E" w:rsidRPr="002029AF" w:rsidRDefault="005F4A7E" w:rsidP="00130D1C">
            <w:pPr>
              <w:pStyle w:val="ARfintablebodybold"/>
            </w:pPr>
            <w:r w:rsidRPr="00435A7B">
              <w:t>Contractual financial assets</w:t>
            </w:r>
          </w:p>
        </w:tc>
      </w:tr>
      <w:tr w:rsidR="005F4A7E" w:rsidRPr="002029AF" w14:paraId="68F7A605" w14:textId="77777777" w:rsidTr="00860E95">
        <w:tc>
          <w:tcPr>
            <w:tcW w:w="3969" w:type="dxa"/>
            <w:tcBorders>
              <w:top w:val="single" w:sz="4" w:space="0" w:color="A6A6A6"/>
              <w:bottom w:val="single" w:sz="4" w:space="0" w:color="A6A6A6"/>
            </w:tcBorders>
            <w:hideMark/>
          </w:tcPr>
          <w:p w14:paraId="47CDAB74" w14:textId="77777777" w:rsidR="005F4A7E" w:rsidRPr="002029AF" w:rsidRDefault="005F4A7E" w:rsidP="00130D1C">
            <w:pPr>
              <w:pStyle w:val="ARfintablebody"/>
            </w:pPr>
            <w:r w:rsidRPr="00435A7B">
              <w:t xml:space="preserve">Cash and deposits </w:t>
            </w:r>
            <w:r w:rsidRPr="00BB5ECF">
              <w:rPr>
                <w:rStyle w:val="Superscript"/>
              </w:rPr>
              <w:t>(i)</w:t>
            </w:r>
          </w:p>
        </w:tc>
        <w:tc>
          <w:tcPr>
            <w:tcW w:w="1134" w:type="dxa"/>
            <w:tcBorders>
              <w:top w:val="single" w:sz="4" w:space="0" w:color="A6A6A6"/>
              <w:bottom w:val="single" w:sz="4" w:space="0" w:color="A6A6A6"/>
            </w:tcBorders>
            <w:noWrap/>
            <w:hideMark/>
          </w:tcPr>
          <w:p w14:paraId="38376279" w14:textId="77777777" w:rsidR="005F4A7E" w:rsidRPr="002029AF" w:rsidRDefault="005F4A7E" w:rsidP="00130D1C">
            <w:pPr>
              <w:pStyle w:val="ARfintablebodyright"/>
            </w:pPr>
            <w:r w:rsidRPr="00435A7B">
              <w:t>597.7</w:t>
            </w:r>
          </w:p>
        </w:tc>
        <w:tc>
          <w:tcPr>
            <w:tcW w:w="1134" w:type="dxa"/>
            <w:tcBorders>
              <w:top w:val="single" w:sz="4" w:space="0" w:color="A6A6A6"/>
              <w:bottom w:val="single" w:sz="4" w:space="0" w:color="A6A6A6"/>
            </w:tcBorders>
            <w:noWrap/>
            <w:hideMark/>
          </w:tcPr>
          <w:p w14:paraId="3FC993EC" w14:textId="77777777" w:rsidR="005F4A7E" w:rsidRPr="002029AF" w:rsidRDefault="005F4A7E" w:rsidP="00130D1C">
            <w:pPr>
              <w:pStyle w:val="ARfintablebodyright"/>
            </w:pPr>
            <w:r w:rsidRPr="00435A7B">
              <w:t>(2.4)</w:t>
            </w:r>
          </w:p>
        </w:tc>
        <w:tc>
          <w:tcPr>
            <w:tcW w:w="1134" w:type="dxa"/>
            <w:tcBorders>
              <w:top w:val="single" w:sz="4" w:space="0" w:color="A6A6A6"/>
              <w:bottom w:val="single" w:sz="4" w:space="0" w:color="A6A6A6"/>
            </w:tcBorders>
            <w:noWrap/>
            <w:hideMark/>
          </w:tcPr>
          <w:p w14:paraId="333CA804" w14:textId="77777777" w:rsidR="005F4A7E" w:rsidRPr="002029AF" w:rsidRDefault="005F4A7E" w:rsidP="00130D1C">
            <w:pPr>
              <w:pStyle w:val="ARfintablebodyright"/>
            </w:pPr>
            <w:r w:rsidRPr="00435A7B">
              <w:t>2.4</w:t>
            </w:r>
          </w:p>
        </w:tc>
        <w:tc>
          <w:tcPr>
            <w:tcW w:w="1134" w:type="dxa"/>
            <w:tcBorders>
              <w:top w:val="single" w:sz="4" w:space="0" w:color="A6A6A6"/>
              <w:bottom w:val="single" w:sz="4" w:space="0" w:color="A6A6A6"/>
            </w:tcBorders>
            <w:noWrap/>
            <w:hideMark/>
          </w:tcPr>
          <w:p w14:paraId="39066EC8" w14:textId="77777777" w:rsidR="005F4A7E" w:rsidRPr="002029AF" w:rsidRDefault="005F4A7E" w:rsidP="00130D1C">
            <w:pPr>
              <w:pStyle w:val="ARfintablebodyright"/>
            </w:pPr>
            <w:r w:rsidRPr="00435A7B">
              <w:t>–</w:t>
            </w:r>
          </w:p>
        </w:tc>
        <w:tc>
          <w:tcPr>
            <w:tcW w:w="1134" w:type="dxa"/>
            <w:tcBorders>
              <w:top w:val="single" w:sz="4" w:space="0" w:color="A6A6A6"/>
              <w:bottom w:val="single" w:sz="4" w:space="0" w:color="A6A6A6"/>
            </w:tcBorders>
            <w:noWrap/>
            <w:hideMark/>
          </w:tcPr>
          <w:p w14:paraId="46D4B384" w14:textId="77777777" w:rsidR="005F4A7E" w:rsidRPr="002029AF" w:rsidRDefault="005F4A7E" w:rsidP="00130D1C">
            <w:pPr>
              <w:pStyle w:val="ARfintablebodyright"/>
            </w:pPr>
            <w:r w:rsidRPr="00435A7B">
              <w:t>–</w:t>
            </w:r>
          </w:p>
        </w:tc>
      </w:tr>
      <w:tr w:rsidR="005F4A7E" w:rsidRPr="002029AF" w14:paraId="7293ACE7" w14:textId="77777777" w:rsidTr="00860E95">
        <w:tc>
          <w:tcPr>
            <w:tcW w:w="3969" w:type="dxa"/>
            <w:tcBorders>
              <w:top w:val="single" w:sz="4" w:space="0" w:color="A6A6A6"/>
              <w:bottom w:val="single" w:sz="4" w:space="0" w:color="A6A6A6"/>
            </w:tcBorders>
            <w:hideMark/>
          </w:tcPr>
          <w:p w14:paraId="7FA8EA33" w14:textId="77777777" w:rsidR="005F4A7E" w:rsidRPr="002029AF" w:rsidRDefault="005F4A7E" w:rsidP="00130D1C">
            <w:pPr>
              <w:pStyle w:val="ARfintablebody"/>
            </w:pPr>
            <w:r w:rsidRPr="00435A7B">
              <w:t xml:space="preserve">Receivables </w:t>
            </w:r>
            <w:r w:rsidRPr="00BB5ECF">
              <w:rPr>
                <w:rStyle w:val="Superscript"/>
              </w:rPr>
              <w:t>(ii)(iii)</w:t>
            </w:r>
          </w:p>
        </w:tc>
        <w:tc>
          <w:tcPr>
            <w:tcW w:w="1134" w:type="dxa"/>
            <w:tcBorders>
              <w:top w:val="single" w:sz="4" w:space="0" w:color="A6A6A6"/>
              <w:bottom w:val="single" w:sz="4" w:space="0" w:color="A6A6A6"/>
            </w:tcBorders>
            <w:noWrap/>
            <w:hideMark/>
          </w:tcPr>
          <w:p w14:paraId="0E2DA54F" w14:textId="77777777" w:rsidR="005F4A7E" w:rsidRPr="002029AF" w:rsidRDefault="005F4A7E" w:rsidP="00130D1C">
            <w:pPr>
              <w:pStyle w:val="ARfintablebodyright"/>
            </w:pPr>
            <w:r w:rsidRPr="00435A7B">
              <w:t>487.7</w:t>
            </w:r>
          </w:p>
        </w:tc>
        <w:tc>
          <w:tcPr>
            <w:tcW w:w="1134" w:type="dxa"/>
            <w:tcBorders>
              <w:top w:val="single" w:sz="4" w:space="0" w:color="A6A6A6"/>
              <w:bottom w:val="single" w:sz="4" w:space="0" w:color="A6A6A6"/>
            </w:tcBorders>
            <w:noWrap/>
            <w:hideMark/>
          </w:tcPr>
          <w:p w14:paraId="082B8811" w14:textId="77777777" w:rsidR="005F4A7E" w:rsidRPr="002029AF" w:rsidRDefault="005F4A7E" w:rsidP="00130D1C">
            <w:pPr>
              <w:pStyle w:val="ARfintablebodyright"/>
            </w:pPr>
            <w:r w:rsidRPr="00435A7B">
              <w:t>–</w:t>
            </w:r>
          </w:p>
        </w:tc>
        <w:tc>
          <w:tcPr>
            <w:tcW w:w="1134" w:type="dxa"/>
            <w:tcBorders>
              <w:top w:val="single" w:sz="4" w:space="0" w:color="A6A6A6"/>
              <w:bottom w:val="single" w:sz="4" w:space="0" w:color="A6A6A6"/>
            </w:tcBorders>
            <w:noWrap/>
            <w:hideMark/>
          </w:tcPr>
          <w:p w14:paraId="090FA8C7" w14:textId="77777777" w:rsidR="005F4A7E" w:rsidRPr="002029AF" w:rsidRDefault="005F4A7E" w:rsidP="00130D1C">
            <w:pPr>
              <w:pStyle w:val="ARfintablebodyright"/>
            </w:pPr>
            <w:r w:rsidRPr="00435A7B">
              <w:t>–</w:t>
            </w:r>
          </w:p>
        </w:tc>
        <w:tc>
          <w:tcPr>
            <w:tcW w:w="1134" w:type="dxa"/>
            <w:tcBorders>
              <w:top w:val="single" w:sz="4" w:space="0" w:color="A6A6A6"/>
              <w:bottom w:val="single" w:sz="4" w:space="0" w:color="A6A6A6"/>
            </w:tcBorders>
            <w:noWrap/>
            <w:hideMark/>
          </w:tcPr>
          <w:p w14:paraId="38CAA167" w14:textId="77777777" w:rsidR="005F4A7E" w:rsidRPr="002029AF" w:rsidRDefault="005F4A7E" w:rsidP="00130D1C">
            <w:pPr>
              <w:pStyle w:val="ARfintablebodyright"/>
            </w:pPr>
            <w:r w:rsidRPr="00435A7B">
              <w:t>–</w:t>
            </w:r>
          </w:p>
        </w:tc>
        <w:tc>
          <w:tcPr>
            <w:tcW w:w="1134" w:type="dxa"/>
            <w:tcBorders>
              <w:top w:val="single" w:sz="4" w:space="0" w:color="A6A6A6"/>
              <w:bottom w:val="single" w:sz="4" w:space="0" w:color="A6A6A6"/>
            </w:tcBorders>
            <w:noWrap/>
            <w:hideMark/>
          </w:tcPr>
          <w:p w14:paraId="509EAE5B" w14:textId="77777777" w:rsidR="005F4A7E" w:rsidRPr="002029AF" w:rsidRDefault="005F4A7E" w:rsidP="00130D1C">
            <w:pPr>
              <w:pStyle w:val="ARfintablebodyright"/>
            </w:pPr>
            <w:r w:rsidRPr="00435A7B">
              <w:t>–</w:t>
            </w:r>
          </w:p>
        </w:tc>
      </w:tr>
      <w:tr w:rsidR="005F4A7E" w:rsidRPr="002029AF" w14:paraId="3929503D" w14:textId="77777777" w:rsidTr="00860E95">
        <w:tc>
          <w:tcPr>
            <w:tcW w:w="3969" w:type="dxa"/>
            <w:tcBorders>
              <w:top w:val="single" w:sz="4" w:space="0" w:color="A6A6A6"/>
            </w:tcBorders>
            <w:hideMark/>
          </w:tcPr>
          <w:p w14:paraId="265CFD93" w14:textId="77777777" w:rsidR="005F4A7E" w:rsidRPr="002029AF" w:rsidRDefault="005F4A7E" w:rsidP="00130D1C">
            <w:pPr>
              <w:pStyle w:val="ARfintablebody"/>
            </w:pPr>
            <w:r w:rsidRPr="00435A7B">
              <w:t xml:space="preserve">Loans </w:t>
            </w:r>
            <w:r w:rsidRPr="00BB5ECF">
              <w:rPr>
                <w:rStyle w:val="Superscript"/>
              </w:rPr>
              <w:t>(iii)</w:t>
            </w:r>
          </w:p>
        </w:tc>
        <w:tc>
          <w:tcPr>
            <w:tcW w:w="1134" w:type="dxa"/>
            <w:tcBorders>
              <w:top w:val="single" w:sz="4" w:space="0" w:color="A6A6A6"/>
            </w:tcBorders>
            <w:noWrap/>
            <w:hideMark/>
          </w:tcPr>
          <w:p w14:paraId="5878BA5B" w14:textId="77777777" w:rsidR="005F4A7E" w:rsidRPr="002029AF" w:rsidRDefault="005F4A7E" w:rsidP="00130D1C">
            <w:pPr>
              <w:pStyle w:val="ARfintablebodyright"/>
            </w:pPr>
            <w:r w:rsidRPr="00435A7B">
              <w:t>389.5</w:t>
            </w:r>
          </w:p>
        </w:tc>
        <w:tc>
          <w:tcPr>
            <w:tcW w:w="1134" w:type="dxa"/>
            <w:tcBorders>
              <w:top w:val="single" w:sz="4" w:space="0" w:color="A6A6A6"/>
            </w:tcBorders>
            <w:noWrap/>
            <w:hideMark/>
          </w:tcPr>
          <w:p w14:paraId="2A92199D" w14:textId="77777777" w:rsidR="005F4A7E" w:rsidRPr="002029AF" w:rsidRDefault="005F4A7E" w:rsidP="00130D1C">
            <w:pPr>
              <w:pStyle w:val="ARfintablebodyright"/>
            </w:pPr>
            <w:r w:rsidRPr="00435A7B">
              <w:t>(0.1)</w:t>
            </w:r>
          </w:p>
        </w:tc>
        <w:tc>
          <w:tcPr>
            <w:tcW w:w="1134" w:type="dxa"/>
            <w:tcBorders>
              <w:top w:val="single" w:sz="4" w:space="0" w:color="A6A6A6"/>
            </w:tcBorders>
            <w:noWrap/>
            <w:hideMark/>
          </w:tcPr>
          <w:p w14:paraId="41ED6CBC" w14:textId="77777777" w:rsidR="005F4A7E" w:rsidRPr="002029AF" w:rsidRDefault="005F4A7E" w:rsidP="00130D1C">
            <w:pPr>
              <w:pStyle w:val="ARfintablebodyright"/>
            </w:pPr>
            <w:r w:rsidRPr="00435A7B">
              <w:t>0.1</w:t>
            </w:r>
          </w:p>
        </w:tc>
        <w:tc>
          <w:tcPr>
            <w:tcW w:w="1134" w:type="dxa"/>
            <w:tcBorders>
              <w:top w:val="single" w:sz="4" w:space="0" w:color="A6A6A6"/>
            </w:tcBorders>
            <w:noWrap/>
            <w:hideMark/>
          </w:tcPr>
          <w:p w14:paraId="4C7133D3" w14:textId="77777777" w:rsidR="005F4A7E" w:rsidRPr="002029AF" w:rsidRDefault="005F4A7E" w:rsidP="00130D1C">
            <w:pPr>
              <w:pStyle w:val="ARfintablebodyright"/>
            </w:pPr>
            <w:r w:rsidRPr="00435A7B">
              <w:t>–</w:t>
            </w:r>
          </w:p>
        </w:tc>
        <w:tc>
          <w:tcPr>
            <w:tcW w:w="1134" w:type="dxa"/>
            <w:tcBorders>
              <w:top w:val="single" w:sz="4" w:space="0" w:color="A6A6A6"/>
            </w:tcBorders>
            <w:noWrap/>
            <w:hideMark/>
          </w:tcPr>
          <w:p w14:paraId="2DDE0317" w14:textId="77777777" w:rsidR="005F4A7E" w:rsidRPr="002029AF" w:rsidRDefault="005F4A7E" w:rsidP="00130D1C">
            <w:pPr>
              <w:pStyle w:val="ARfintablebodyright"/>
            </w:pPr>
            <w:r w:rsidRPr="00435A7B">
              <w:t>0.2</w:t>
            </w:r>
          </w:p>
        </w:tc>
      </w:tr>
      <w:tr w:rsidR="005F4A7E" w:rsidRPr="002029AF" w14:paraId="350FC7FD" w14:textId="77777777" w:rsidTr="00860E95">
        <w:tc>
          <w:tcPr>
            <w:tcW w:w="3969" w:type="dxa"/>
            <w:tcBorders>
              <w:bottom w:val="single" w:sz="4" w:space="0" w:color="auto"/>
            </w:tcBorders>
            <w:hideMark/>
          </w:tcPr>
          <w:p w14:paraId="00F8078F" w14:textId="77777777" w:rsidR="005F4A7E" w:rsidRPr="002029AF" w:rsidRDefault="005F4A7E" w:rsidP="00130D1C">
            <w:pPr>
              <w:pStyle w:val="ARfintablebodybold"/>
            </w:pPr>
            <w:r w:rsidRPr="00435A7B">
              <w:t>Total impact</w:t>
            </w:r>
          </w:p>
        </w:tc>
        <w:tc>
          <w:tcPr>
            <w:tcW w:w="1134" w:type="dxa"/>
            <w:tcBorders>
              <w:bottom w:val="single" w:sz="4" w:space="0" w:color="auto"/>
            </w:tcBorders>
            <w:noWrap/>
            <w:hideMark/>
          </w:tcPr>
          <w:p w14:paraId="4646B2CB" w14:textId="77777777" w:rsidR="005F4A7E" w:rsidRPr="002029AF" w:rsidRDefault="005F4A7E" w:rsidP="00130D1C">
            <w:pPr>
              <w:pStyle w:val="ARfintablebodyrightbold"/>
            </w:pPr>
            <w:r w:rsidRPr="00435A7B">
              <w:t>1,474.9</w:t>
            </w:r>
          </w:p>
        </w:tc>
        <w:tc>
          <w:tcPr>
            <w:tcW w:w="1134" w:type="dxa"/>
            <w:tcBorders>
              <w:bottom w:val="single" w:sz="4" w:space="0" w:color="auto"/>
            </w:tcBorders>
            <w:noWrap/>
            <w:hideMark/>
          </w:tcPr>
          <w:p w14:paraId="2145F848" w14:textId="77777777" w:rsidR="005F4A7E" w:rsidRPr="002029AF" w:rsidRDefault="005F4A7E" w:rsidP="00130D1C">
            <w:pPr>
              <w:pStyle w:val="ARfintablebodyrightbold"/>
            </w:pPr>
            <w:r w:rsidRPr="00435A7B">
              <w:t>(2.5)</w:t>
            </w:r>
          </w:p>
        </w:tc>
        <w:tc>
          <w:tcPr>
            <w:tcW w:w="1134" w:type="dxa"/>
            <w:tcBorders>
              <w:bottom w:val="single" w:sz="4" w:space="0" w:color="auto"/>
            </w:tcBorders>
            <w:noWrap/>
            <w:hideMark/>
          </w:tcPr>
          <w:p w14:paraId="14529BA1" w14:textId="77777777" w:rsidR="005F4A7E" w:rsidRPr="002029AF" w:rsidRDefault="005F4A7E" w:rsidP="00130D1C">
            <w:pPr>
              <w:pStyle w:val="ARfintablebodyrightbold"/>
            </w:pPr>
            <w:r w:rsidRPr="00435A7B">
              <w:t>2.5</w:t>
            </w:r>
          </w:p>
        </w:tc>
        <w:tc>
          <w:tcPr>
            <w:tcW w:w="1134" w:type="dxa"/>
            <w:tcBorders>
              <w:bottom w:val="single" w:sz="4" w:space="0" w:color="auto"/>
            </w:tcBorders>
            <w:noWrap/>
            <w:hideMark/>
          </w:tcPr>
          <w:p w14:paraId="40292F2D" w14:textId="77777777" w:rsidR="005F4A7E" w:rsidRPr="002029AF" w:rsidRDefault="005F4A7E" w:rsidP="00130D1C">
            <w:pPr>
              <w:pStyle w:val="ARfintablebodyrightbold"/>
            </w:pPr>
            <w:r w:rsidRPr="00435A7B">
              <w:t>–</w:t>
            </w:r>
          </w:p>
        </w:tc>
        <w:tc>
          <w:tcPr>
            <w:tcW w:w="1134" w:type="dxa"/>
            <w:tcBorders>
              <w:bottom w:val="single" w:sz="4" w:space="0" w:color="auto"/>
            </w:tcBorders>
            <w:noWrap/>
            <w:hideMark/>
          </w:tcPr>
          <w:p w14:paraId="0703BA53" w14:textId="77777777" w:rsidR="005F4A7E" w:rsidRPr="002029AF" w:rsidRDefault="005F4A7E" w:rsidP="00130D1C">
            <w:pPr>
              <w:pStyle w:val="ARfintablebodyrightbold"/>
            </w:pPr>
            <w:r w:rsidRPr="00435A7B">
              <w:t>0.2</w:t>
            </w:r>
          </w:p>
        </w:tc>
      </w:tr>
      <w:tr w:rsidR="005F4A7E" w:rsidRPr="002029AF" w14:paraId="49C45C7F" w14:textId="77777777" w:rsidTr="00130D1C">
        <w:tc>
          <w:tcPr>
            <w:tcW w:w="9639" w:type="dxa"/>
            <w:gridSpan w:val="6"/>
            <w:tcBorders>
              <w:top w:val="single" w:sz="4" w:space="0" w:color="auto"/>
              <w:bottom w:val="single" w:sz="4" w:space="0" w:color="A6A6A6"/>
            </w:tcBorders>
            <w:hideMark/>
          </w:tcPr>
          <w:p w14:paraId="3977F37A" w14:textId="77777777" w:rsidR="005F4A7E" w:rsidRPr="002029AF" w:rsidRDefault="005F4A7E" w:rsidP="00130D1C">
            <w:pPr>
              <w:pStyle w:val="ARfintablebodybold"/>
            </w:pPr>
            <w:r w:rsidRPr="00435A7B">
              <w:t>Contractual financial liabilities</w:t>
            </w:r>
          </w:p>
        </w:tc>
      </w:tr>
      <w:tr w:rsidR="005F4A7E" w:rsidRPr="002029AF" w14:paraId="1BA74CC4" w14:textId="77777777" w:rsidTr="00860E95">
        <w:tc>
          <w:tcPr>
            <w:tcW w:w="3969" w:type="dxa"/>
            <w:tcBorders>
              <w:top w:val="single" w:sz="4" w:space="0" w:color="A6A6A6"/>
              <w:bottom w:val="single" w:sz="4" w:space="0" w:color="A6A6A6"/>
            </w:tcBorders>
            <w:hideMark/>
          </w:tcPr>
          <w:p w14:paraId="0D1D516D" w14:textId="77777777" w:rsidR="005F4A7E" w:rsidRPr="002029AF" w:rsidRDefault="005F4A7E" w:rsidP="00130D1C">
            <w:pPr>
              <w:pStyle w:val="ARfintablebody"/>
            </w:pPr>
            <w:r w:rsidRPr="00435A7B">
              <w:t xml:space="preserve">Payables </w:t>
            </w:r>
            <w:r w:rsidRPr="00BB5ECF">
              <w:rPr>
                <w:rStyle w:val="Superscript"/>
              </w:rPr>
              <w:t>(iii)</w:t>
            </w:r>
          </w:p>
        </w:tc>
        <w:tc>
          <w:tcPr>
            <w:tcW w:w="1134" w:type="dxa"/>
            <w:tcBorders>
              <w:top w:val="single" w:sz="4" w:space="0" w:color="A6A6A6"/>
              <w:bottom w:val="single" w:sz="4" w:space="0" w:color="A6A6A6"/>
            </w:tcBorders>
            <w:noWrap/>
            <w:hideMark/>
          </w:tcPr>
          <w:p w14:paraId="38C97B8B" w14:textId="77777777" w:rsidR="005F4A7E" w:rsidRPr="002029AF" w:rsidRDefault="005F4A7E" w:rsidP="00130D1C">
            <w:pPr>
              <w:pStyle w:val="ARfintablebodyright"/>
            </w:pPr>
            <w:r w:rsidRPr="00435A7B">
              <w:t>1,847.0</w:t>
            </w:r>
          </w:p>
        </w:tc>
        <w:tc>
          <w:tcPr>
            <w:tcW w:w="1134" w:type="dxa"/>
            <w:tcBorders>
              <w:top w:val="single" w:sz="4" w:space="0" w:color="A6A6A6"/>
              <w:bottom w:val="single" w:sz="4" w:space="0" w:color="A6A6A6"/>
            </w:tcBorders>
            <w:noWrap/>
            <w:hideMark/>
          </w:tcPr>
          <w:p w14:paraId="24955F23" w14:textId="77777777" w:rsidR="005F4A7E" w:rsidRPr="002029AF" w:rsidRDefault="005F4A7E" w:rsidP="00130D1C">
            <w:pPr>
              <w:pStyle w:val="ARfintablebodyright"/>
            </w:pPr>
            <w:r w:rsidRPr="00435A7B">
              <w:t>–</w:t>
            </w:r>
          </w:p>
        </w:tc>
        <w:tc>
          <w:tcPr>
            <w:tcW w:w="1134" w:type="dxa"/>
            <w:tcBorders>
              <w:top w:val="single" w:sz="4" w:space="0" w:color="A6A6A6"/>
              <w:bottom w:val="single" w:sz="4" w:space="0" w:color="A6A6A6"/>
            </w:tcBorders>
            <w:noWrap/>
            <w:hideMark/>
          </w:tcPr>
          <w:p w14:paraId="116F7AD0" w14:textId="77777777" w:rsidR="005F4A7E" w:rsidRPr="002029AF" w:rsidRDefault="005F4A7E" w:rsidP="00130D1C">
            <w:pPr>
              <w:pStyle w:val="ARfintablebodyright"/>
            </w:pPr>
            <w:r w:rsidRPr="00435A7B">
              <w:t>–</w:t>
            </w:r>
          </w:p>
        </w:tc>
        <w:tc>
          <w:tcPr>
            <w:tcW w:w="1134" w:type="dxa"/>
            <w:tcBorders>
              <w:top w:val="single" w:sz="4" w:space="0" w:color="A6A6A6"/>
              <w:bottom w:val="single" w:sz="4" w:space="0" w:color="A6A6A6"/>
            </w:tcBorders>
            <w:noWrap/>
            <w:hideMark/>
          </w:tcPr>
          <w:p w14:paraId="7CC740C5" w14:textId="77777777" w:rsidR="005F4A7E" w:rsidRPr="002029AF" w:rsidRDefault="005F4A7E" w:rsidP="00130D1C">
            <w:pPr>
              <w:pStyle w:val="ARfintablebodyright"/>
            </w:pPr>
            <w:r w:rsidRPr="00435A7B">
              <w:t>–</w:t>
            </w:r>
          </w:p>
        </w:tc>
        <w:tc>
          <w:tcPr>
            <w:tcW w:w="1134" w:type="dxa"/>
            <w:tcBorders>
              <w:top w:val="single" w:sz="4" w:space="0" w:color="A6A6A6"/>
              <w:bottom w:val="single" w:sz="4" w:space="0" w:color="A6A6A6"/>
            </w:tcBorders>
            <w:noWrap/>
            <w:hideMark/>
          </w:tcPr>
          <w:p w14:paraId="030CC326" w14:textId="77777777" w:rsidR="005F4A7E" w:rsidRPr="002029AF" w:rsidRDefault="005F4A7E" w:rsidP="00130D1C">
            <w:pPr>
              <w:pStyle w:val="ARfintablebodyright"/>
            </w:pPr>
            <w:r w:rsidRPr="00435A7B">
              <w:t>–</w:t>
            </w:r>
          </w:p>
        </w:tc>
      </w:tr>
      <w:tr w:rsidR="005F4A7E" w:rsidRPr="002029AF" w14:paraId="16EA0275" w14:textId="77777777" w:rsidTr="00860E95">
        <w:tc>
          <w:tcPr>
            <w:tcW w:w="3969" w:type="dxa"/>
            <w:tcBorders>
              <w:top w:val="single" w:sz="4" w:space="0" w:color="A6A6A6"/>
            </w:tcBorders>
            <w:hideMark/>
          </w:tcPr>
          <w:p w14:paraId="7C38CB60" w14:textId="77777777" w:rsidR="005F4A7E" w:rsidRPr="002029AF" w:rsidRDefault="005F4A7E" w:rsidP="00130D1C">
            <w:pPr>
              <w:pStyle w:val="ARfintablebody"/>
            </w:pPr>
            <w:r w:rsidRPr="00435A7B">
              <w:t xml:space="preserve">Borrowings </w:t>
            </w:r>
            <w:r w:rsidRPr="00BB5ECF">
              <w:rPr>
                <w:rStyle w:val="Superscript"/>
              </w:rPr>
              <w:t>(iv)</w:t>
            </w:r>
          </w:p>
        </w:tc>
        <w:tc>
          <w:tcPr>
            <w:tcW w:w="1134" w:type="dxa"/>
            <w:tcBorders>
              <w:top w:val="single" w:sz="4" w:space="0" w:color="A6A6A6"/>
            </w:tcBorders>
            <w:noWrap/>
            <w:hideMark/>
          </w:tcPr>
          <w:p w14:paraId="29DF205B" w14:textId="77777777" w:rsidR="005F4A7E" w:rsidRPr="002029AF" w:rsidRDefault="005F4A7E" w:rsidP="00130D1C">
            <w:pPr>
              <w:pStyle w:val="ARfintablebodyright"/>
            </w:pPr>
            <w:r w:rsidRPr="00435A7B">
              <w:t>415.4</w:t>
            </w:r>
          </w:p>
        </w:tc>
        <w:tc>
          <w:tcPr>
            <w:tcW w:w="1134" w:type="dxa"/>
            <w:tcBorders>
              <w:top w:val="single" w:sz="4" w:space="0" w:color="A6A6A6"/>
            </w:tcBorders>
            <w:noWrap/>
            <w:hideMark/>
          </w:tcPr>
          <w:p w14:paraId="6FE90DE9" w14:textId="77777777" w:rsidR="005F4A7E" w:rsidRPr="002029AF" w:rsidRDefault="005F4A7E" w:rsidP="00130D1C">
            <w:pPr>
              <w:pStyle w:val="ARfintablebodyright"/>
            </w:pPr>
            <w:r w:rsidRPr="00435A7B">
              <w:t>–</w:t>
            </w:r>
          </w:p>
        </w:tc>
        <w:tc>
          <w:tcPr>
            <w:tcW w:w="1134" w:type="dxa"/>
            <w:tcBorders>
              <w:top w:val="single" w:sz="4" w:space="0" w:color="A6A6A6"/>
            </w:tcBorders>
            <w:noWrap/>
            <w:hideMark/>
          </w:tcPr>
          <w:p w14:paraId="5AC78F17" w14:textId="77777777" w:rsidR="005F4A7E" w:rsidRPr="002029AF" w:rsidRDefault="005F4A7E" w:rsidP="00130D1C">
            <w:pPr>
              <w:pStyle w:val="ARfintablebodyright"/>
            </w:pPr>
            <w:r w:rsidRPr="00435A7B">
              <w:t>–</w:t>
            </w:r>
          </w:p>
        </w:tc>
        <w:tc>
          <w:tcPr>
            <w:tcW w:w="1134" w:type="dxa"/>
            <w:tcBorders>
              <w:top w:val="single" w:sz="4" w:space="0" w:color="A6A6A6"/>
            </w:tcBorders>
            <w:noWrap/>
            <w:hideMark/>
          </w:tcPr>
          <w:p w14:paraId="34C9517A" w14:textId="77777777" w:rsidR="005F4A7E" w:rsidRPr="002029AF" w:rsidRDefault="005F4A7E" w:rsidP="00130D1C">
            <w:pPr>
              <w:pStyle w:val="ARfintablebodyright"/>
            </w:pPr>
            <w:r w:rsidRPr="00435A7B">
              <w:t>–</w:t>
            </w:r>
          </w:p>
        </w:tc>
        <w:tc>
          <w:tcPr>
            <w:tcW w:w="1134" w:type="dxa"/>
            <w:tcBorders>
              <w:top w:val="single" w:sz="4" w:space="0" w:color="A6A6A6"/>
            </w:tcBorders>
            <w:noWrap/>
            <w:hideMark/>
          </w:tcPr>
          <w:p w14:paraId="2A479348" w14:textId="77777777" w:rsidR="005F4A7E" w:rsidRPr="002029AF" w:rsidRDefault="005F4A7E" w:rsidP="00130D1C">
            <w:pPr>
              <w:pStyle w:val="ARfintablebodyright"/>
            </w:pPr>
            <w:r w:rsidRPr="00435A7B">
              <w:t>–</w:t>
            </w:r>
          </w:p>
        </w:tc>
      </w:tr>
      <w:tr w:rsidR="005F4A7E" w:rsidRPr="002029AF" w14:paraId="5E0CC42A" w14:textId="77777777" w:rsidTr="00860E95">
        <w:tc>
          <w:tcPr>
            <w:tcW w:w="3969" w:type="dxa"/>
            <w:hideMark/>
          </w:tcPr>
          <w:p w14:paraId="2A6CF90E" w14:textId="77777777" w:rsidR="005F4A7E" w:rsidRPr="002029AF" w:rsidRDefault="005F4A7E" w:rsidP="00130D1C">
            <w:pPr>
              <w:pStyle w:val="ARfintablebodybold"/>
            </w:pPr>
            <w:r w:rsidRPr="00435A7B">
              <w:t>Total impact</w:t>
            </w:r>
          </w:p>
        </w:tc>
        <w:tc>
          <w:tcPr>
            <w:tcW w:w="1134" w:type="dxa"/>
            <w:noWrap/>
            <w:hideMark/>
          </w:tcPr>
          <w:p w14:paraId="319B4A8E" w14:textId="77777777" w:rsidR="005F4A7E" w:rsidRPr="002029AF" w:rsidRDefault="005F4A7E" w:rsidP="00130D1C">
            <w:pPr>
              <w:pStyle w:val="ARfintablebodyrightbold"/>
            </w:pPr>
            <w:r w:rsidRPr="00435A7B">
              <w:t>2,262.4</w:t>
            </w:r>
          </w:p>
        </w:tc>
        <w:tc>
          <w:tcPr>
            <w:tcW w:w="1134" w:type="dxa"/>
            <w:noWrap/>
            <w:hideMark/>
          </w:tcPr>
          <w:p w14:paraId="2D87F377" w14:textId="77777777" w:rsidR="005F4A7E" w:rsidRPr="002029AF" w:rsidRDefault="005F4A7E" w:rsidP="00130D1C">
            <w:pPr>
              <w:pStyle w:val="ARfintablebodyrightbold"/>
            </w:pPr>
            <w:r w:rsidRPr="00435A7B">
              <w:t>–</w:t>
            </w:r>
          </w:p>
        </w:tc>
        <w:tc>
          <w:tcPr>
            <w:tcW w:w="1134" w:type="dxa"/>
            <w:noWrap/>
            <w:hideMark/>
          </w:tcPr>
          <w:p w14:paraId="5393F9D1" w14:textId="77777777" w:rsidR="005F4A7E" w:rsidRPr="002029AF" w:rsidRDefault="005F4A7E" w:rsidP="00130D1C">
            <w:pPr>
              <w:pStyle w:val="ARfintablebodyrightbold"/>
            </w:pPr>
            <w:r w:rsidRPr="00435A7B">
              <w:t>–</w:t>
            </w:r>
          </w:p>
        </w:tc>
        <w:tc>
          <w:tcPr>
            <w:tcW w:w="1134" w:type="dxa"/>
            <w:noWrap/>
            <w:hideMark/>
          </w:tcPr>
          <w:p w14:paraId="6EE39BBE" w14:textId="77777777" w:rsidR="005F4A7E" w:rsidRPr="002029AF" w:rsidRDefault="005F4A7E" w:rsidP="00130D1C">
            <w:pPr>
              <w:pStyle w:val="ARfintablebodyrightbold"/>
            </w:pPr>
            <w:r w:rsidRPr="00435A7B">
              <w:t>–</w:t>
            </w:r>
          </w:p>
        </w:tc>
        <w:tc>
          <w:tcPr>
            <w:tcW w:w="1134" w:type="dxa"/>
            <w:noWrap/>
            <w:hideMark/>
          </w:tcPr>
          <w:p w14:paraId="2CDAB98B" w14:textId="77777777" w:rsidR="005F4A7E" w:rsidRPr="002029AF" w:rsidRDefault="005F4A7E" w:rsidP="00130D1C">
            <w:pPr>
              <w:pStyle w:val="ARfintablebodyrightbold"/>
            </w:pPr>
            <w:r w:rsidRPr="00435A7B">
              <w:t>–</w:t>
            </w:r>
          </w:p>
        </w:tc>
      </w:tr>
    </w:tbl>
    <w:p w14:paraId="2ACE61B7" w14:textId="77777777" w:rsidR="005F4A7E" w:rsidRDefault="005F4A7E" w:rsidP="00130D1C">
      <w:pPr>
        <w:pStyle w:val="ARfintablefootnote"/>
        <w:rPr>
          <w:lang w:eastAsia="en-AU"/>
        </w:rPr>
      </w:pPr>
      <w:r>
        <w:rPr>
          <w:lang w:eastAsia="en-AU"/>
        </w:rPr>
        <w:t>Notes:</w:t>
      </w:r>
    </w:p>
    <w:p w14:paraId="4A8776E2" w14:textId="77777777" w:rsidR="005F4A7E" w:rsidRDefault="005F4A7E" w:rsidP="00130D1C">
      <w:pPr>
        <w:pStyle w:val="ARfintablefootnoteindent"/>
      </w:pPr>
      <w:r>
        <w:t>(i)</w:t>
      </w:r>
      <w:r>
        <w:tab/>
        <w:t>All cash and deposits are held in Australian dollars and were held on deposits at fixed and variable interest rates. This item is not subject to any other identified risk sensitivities.</w:t>
      </w:r>
    </w:p>
    <w:p w14:paraId="49E887EE" w14:textId="77777777" w:rsidR="005F4A7E" w:rsidRDefault="005F4A7E" w:rsidP="00130D1C">
      <w:pPr>
        <w:pStyle w:val="ARfintablefootnoteindent"/>
      </w:pPr>
      <w:r>
        <w:t>(ii)</w:t>
      </w:r>
      <w:r>
        <w:tab/>
        <w:t>The carrying amount is denominated in Australian dollars and is non-interest bearing. This item is not subject to the identified risk sensitivities.</w:t>
      </w:r>
    </w:p>
    <w:p w14:paraId="78B38867" w14:textId="77777777" w:rsidR="005F4A7E" w:rsidRDefault="005F4A7E" w:rsidP="00130D1C">
      <w:pPr>
        <w:pStyle w:val="ARfintablefootnoteindent"/>
      </w:pPr>
      <w:r>
        <w:t>(iii)</w:t>
      </w:r>
      <w:r>
        <w:tab/>
        <w:t>The total amounts disclosed here exclude statutory amounts, for example, amounts owing to/from Victorian Government and GST input tax credit recoverable and taxes payable.</w:t>
      </w:r>
    </w:p>
    <w:p w14:paraId="1A84DA8C" w14:textId="77777777" w:rsidR="005F4A7E" w:rsidRDefault="005F4A7E" w:rsidP="00130D1C">
      <w:pPr>
        <w:pStyle w:val="ARfintablefootnoteindent"/>
      </w:pPr>
      <w:r>
        <w:t>(iv)</w:t>
      </w:r>
      <w:r>
        <w:tab/>
        <w:t>Borrowings are denominated in Australian dollars. $91.4</w:t>
      </w:r>
      <w:r>
        <w:rPr>
          <w:color w:val="FF0000"/>
        </w:rPr>
        <w:t xml:space="preserve"> </w:t>
      </w:r>
      <w:r>
        <w:t>million (2020: $83.5 million) relates to lease liabilities, $175.4 million (2020: $0.0) relates to PPP financial liabilities.</w:t>
      </w:r>
    </w:p>
    <w:p w14:paraId="75C0DB89" w14:textId="77777777" w:rsidR="005F4A7E" w:rsidRPr="002029AF" w:rsidRDefault="005F4A7E" w:rsidP="00087B91">
      <w:pPr>
        <w:pStyle w:val="ARfinbody"/>
      </w:pPr>
      <w:r w:rsidRPr="002029AF">
        <w:br w:type="page"/>
      </w:r>
    </w:p>
    <w:p w14:paraId="02B31D32" w14:textId="77777777" w:rsidR="005F4A7E" w:rsidRDefault="005F4A7E" w:rsidP="00130D1C">
      <w:pPr>
        <w:pStyle w:val="Heading4"/>
        <w:rPr>
          <w:lang w:eastAsia="en-AU"/>
        </w:rPr>
      </w:pPr>
      <w:bookmarkStart w:id="1019" w:name="_Toc39242163"/>
      <w:bookmarkStart w:id="1020" w:name="_Toc85121530"/>
      <w:r>
        <w:rPr>
          <w:lang w:eastAsia="en-AU"/>
        </w:rPr>
        <w:lastRenderedPageBreak/>
        <w:t>8.2 Contingent assets and contingent liabilities</w:t>
      </w:r>
      <w:bookmarkEnd w:id="1019"/>
      <w:bookmarkEnd w:id="1020"/>
    </w:p>
    <w:p w14:paraId="2C73B58C" w14:textId="77777777" w:rsidR="005F4A7E" w:rsidRDefault="005F4A7E" w:rsidP="00130D1C">
      <w:pPr>
        <w:pStyle w:val="ARfinbody"/>
      </w:pPr>
      <w:r>
        <w:t>Contingent assets and contingent liabilities are not recognised in the balance sheet, but are disclosed by way of a disclosure and, if quantifiable, are stated at nominal value. Contingent assets and liabilities are presented inclusive of GST receivable or payable respectively.</w:t>
      </w:r>
    </w:p>
    <w:p w14:paraId="6E08800B" w14:textId="77777777" w:rsidR="005F4A7E" w:rsidRDefault="005F4A7E" w:rsidP="00130D1C">
      <w:pPr>
        <w:pStyle w:val="Heading5"/>
      </w:pPr>
      <w:bookmarkStart w:id="1021" w:name="_Toc85121531"/>
      <w:r>
        <w:t>Contingent assets</w:t>
      </w:r>
      <w:bookmarkEnd w:id="1021"/>
    </w:p>
    <w:p w14:paraId="57252214" w14:textId="77777777" w:rsidR="005F4A7E" w:rsidRDefault="005F4A7E" w:rsidP="00130D1C">
      <w:pPr>
        <w:pStyle w:val="ARfinbody"/>
      </w:pPr>
      <w:r>
        <w:t>Contingent assets are possible assets that arise from past events, whose existence will be confirmed only by the occurrence or non-occurrence of one or more uncertain future events not wholly within the control of the entity.</w:t>
      </w:r>
    </w:p>
    <w:p w14:paraId="46992B50" w14:textId="77777777" w:rsidR="005F4A7E" w:rsidRDefault="005F4A7E" w:rsidP="00130D1C">
      <w:pPr>
        <w:pStyle w:val="ARfinbodylargespace"/>
      </w:pPr>
      <w:r>
        <w:t>These are classified as either quantifiable, where the potential economic benefit is known, or non-quantifiable.</w:t>
      </w:r>
    </w:p>
    <w:tbl>
      <w:tblPr>
        <w:tblStyle w:val="TableGrid"/>
        <w:tblW w:w="9637" w:type="dxa"/>
        <w:tblLayout w:type="fixed"/>
        <w:tblLook w:val="06A0" w:firstRow="1" w:lastRow="0" w:firstColumn="1" w:lastColumn="0" w:noHBand="1" w:noVBand="1"/>
      </w:tblPr>
      <w:tblGrid>
        <w:gridCol w:w="551"/>
        <w:gridCol w:w="6814"/>
        <w:gridCol w:w="1136"/>
        <w:gridCol w:w="1136"/>
      </w:tblGrid>
      <w:tr w:rsidR="005F4A7E" w:rsidRPr="002029AF" w14:paraId="54094AFC"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551" w:type="dxa"/>
            <w:tcBorders>
              <w:bottom w:val="single" w:sz="4" w:space="0" w:color="auto"/>
            </w:tcBorders>
            <w:hideMark/>
          </w:tcPr>
          <w:p w14:paraId="7D1F71ED" w14:textId="77777777" w:rsidR="005F4A7E" w:rsidRPr="002029AF" w:rsidRDefault="005F4A7E" w:rsidP="00860E95">
            <w:pPr>
              <w:pStyle w:val="ARfintablecolhead"/>
            </w:pPr>
          </w:p>
        </w:tc>
        <w:tc>
          <w:tcPr>
            <w:tcW w:w="6814" w:type="dxa"/>
            <w:tcBorders>
              <w:bottom w:val="single" w:sz="4" w:space="0" w:color="auto"/>
            </w:tcBorders>
            <w:hideMark/>
          </w:tcPr>
          <w:p w14:paraId="3A629772" w14:textId="77777777" w:rsidR="005F4A7E" w:rsidRPr="002029AF" w:rsidRDefault="005F4A7E" w:rsidP="00860E95">
            <w:pPr>
              <w:pStyle w:val="ARfintablecolhead"/>
            </w:pPr>
          </w:p>
        </w:tc>
        <w:tc>
          <w:tcPr>
            <w:tcW w:w="1136" w:type="dxa"/>
            <w:tcBorders>
              <w:bottom w:val="single" w:sz="4" w:space="0" w:color="auto"/>
            </w:tcBorders>
            <w:shd w:val="clear" w:color="auto" w:fill="E7E6E6"/>
            <w:hideMark/>
          </w:tcPr>
          <w:p w14:paraId="7358BE1D" w14:textId="77777777" w:rsidR="005F4A7E" w:rsidRPr="002029AF" w:rsidRDefault="005F4A7E" w:rsidP="00860E95">
            <w:pPr>
              <w:pStyle w:val="ARfintablecolheadright"/>
            </w:pPr>
            <w:r>
              <w:t>2021</w:t>
            </w:r>
          </w:p>
          <w:p w14:paraId="2E82463D" w14:textId="77777777" w:rsidR="005F4A7E" w:rsidRPr="002029AF" w:rsidRDefault="005F4A7E" w:rsidP="00860E95">
            <w:pPr>
              <w:pStyle w:val="ARfintablecolheadright"/>
            </w:pPr>
            <w:r w:rsidRPr="002029AF">
              <w:t>$M</w:t>
            </w:r>
          </w:p>
        </w:tc>
        <w:tc>
          <w:tcPr>
            <w:tcW w:w="1136" w:type="dxa"/>
            <w:tcBorders>
              <w:bottom w:val="single" w:sz="4" w:space="0" w:color="auto"/>
            </w:tcBorders>
            <w:hideMark/>
          </w:tcPr>
          <w:p w14:paraId="56CD549F" w14:textId="77777777" w:rsidR="005F4A7E" w:rsidRPr="002029AF" w:rsidRDefault="005F4A7E" w:rsidP="00860E95">
            <w:pPr>
              <w:pStyle w:val="ARfintablecolheadright"/>
            </w:pPr>
            <w:r>
              <w:t>2020</w:t>
            </w:r>
          </w:p>
          <w:p w14:paraId="1E343606" w14:textId="77777777" w:rsidR="005F4A7E" w:rsidRPr="002029AF" w:rsidRDefault="005F4A7E" w:rsidP="00860E95">
            <w:pPr>
              <w:pStyle w:val="ARfintablecolheadright"/>
            </w:pPr>
            <w:r w:rsidRPr="002029AF">
              <w:t>$M</w:t>
            </w:r>
          </w:p>
        </w:tc>
      </w:tr>
      <w:tr w:rsidR="005F4A7E" w:rsidRPr="002029AF" w14:paraId="1076FF93" w14:textId="77777777" w:rsidTr="00130D1C">
        <w:trPr>
          <w:trHeight w:val="255"/>
        </w:trPr>
        <w:tc>
          <w:tcPr>
            <w:tcW w:w="9637" w:type="dxa"/>
            <w:gridSpan w:val="4"/>
            <w:tcBorders>
              <w:top w:val="single" w:sz="4" w:space="0" w:color="auto"/>
              <w:bottom w:val="single" w:sz="4" w:space="0" w:color="A6A6A6"/>
            </w:tcBorders>
            <w:hideMark/>
          </w:tcPr>
          <w:p w14:paraId="038E9857" w14:textId="77777777" w:rsidR="005F4A7E" w:rsidRPr="002029AF" w:rsidRDefault="005F4A7E" w:rsidP="00130D1C">
            <w:pPr>
              <w:pStyle w:val="ARfintablebodybold"/>
            </w:pPr>
            <w:r w:rsidRPr="00144B00">
              <w:t>Quantifiable contingent assets</w:t>
            </w:r>
          </w:p>
        </w:tc>
      </w:tr>
      <w:tr w:rsidR="005F4A7E" w:rsidRPr="002029AF" w14:paraId="78AADC58" w14:textId="77777777" w:rsidTr="00130D1C">
        <w:trPr>
          <w:trHeight w:val="255"/>
        </w:trPr>
        <w:tc>
          <w:tcPr>
            <w:tcW w:w="551" w:type="dxa"/>
            <w:tcBorders>
              <w:top w:val="single" w:sz="4" w:space="0" w:color="A6A6A6"/>
              <w:bottom w:val="single" w:sz="4" w:space="0" w:color="A6A6A6"/>
            </w:tcBorders>
            <w:hideMark/>
          </w:tcPr>
          <w:p w14:paraId="40376632" w14:textId="77777777" w:rsidR="005F4A7E" w:rsidRPr="002029AF" w:rsidRDefault="005F4A7E" w:rsidP="00130D1C">
            <w:pPr>
              <w:pStyle w:val="ARfintablebody"/>
            </w:pPr>
          </w:p>
        </w:tc>
        <w:tc>
          <w:tcPr>
            <w:tcW w:w="6814" w:type="dxa"/>
            <w:tcBorders>
              <w:top w:val="single" w:sz="4" w:space="0" w:color="A6A6A6"/>
              <w:bottom w:val="single" w:sz="4" w:space="0" w:color="A6A6A6"/>
            </w:tcBorders>
            <w:noWrap/>
            <w:hideMark/>
          </w:tcPr>
          <w:p w14:paraId="2858640F" w14:textId="77777777" w:rsidR="005F4A7E" w:rsidRPr="002029AF" w:rsidRDefault="005F4A7E" w:rsidP="00130D1C">
            <w:pPr>
              <w:pStyle w:val="ARfintablebody"/>
            </w:pPr>
            <w:r w:rsidRPr="00144B00">
              <w:t>Details and estimates of contingent assets are as follows:</w:t>
            </w:r>
          </w:p>
        </w:tc>
        <w:tc>
          <w:tcPr>
            <w:tcW w:w="1136" w:type="dxa"/>
            <w:tcBorders>
              <w:top w:val="single" w:sz="4" w:space="0" w:color="A6A6A6"/>
              <w:bottom w:val="single" w:sz="4" w:space="0" w:color="A6A6A6"/>
            </w:tcBorders>
            <w:shd w:val="clear" w:color="auto" w:fill="E7E6E6"/>
            <w:noWrap/>
            <w:hideMark/>
          </w:tcPr>
          <w:p w14:paraId="62034965" w14:textId="77777777" w:rsidR="005F4A7E" w:rsidRPr="002029AF" w:rsidRDefault="005F4A7E" w:rsidP="00130D1C">
            <w:pPr>
              <w:pStyle w:val="ARfintablebodyright"/>
            </w:pPr>
          </w:p>
        </w:tc>
        <w:tc>
          <w:tcPr>
            <w:tcW w:w="1136" w:type="dxa"/>
            <w:tcBorders>
              <w:top w:val="single" w:sz="4" w:space="0" w:color="A6A6A6"/>
              <w:bottom w:val="single" w:sz="4" w:space="0" w:color="A6A6A6"/>
            </w:tcBorders>
            <w:noWrap/>
            <w:hideMark/>
          </w:tcPr>
          <w:p w14:paraId="33239F81" w14:textId="77777777" w:rsidR="005F4A7E" w:rsidRPr="002029AF" w:rsidRDefault="005F4A7E" w:rsidP="00130D1C">
            <w:pPr>
              <w:pStyle w:val="ARfintablebodyright"/>
            </w:pPr>
            <w:r w:rsidRPr="00144B00">
              <w:t xml:space="preserve"> </w:t>
            </w:r>
          </w:p>
        </w:tc>
      </w:tr>
      <w:tr w:rsidR="005F4A7E" w:rsidRPr="002029AF" w14:paraId="02E9BC84" w14:textId="77777777" w:rsidTr="00130D1C">
        <w:trPr>
          <w:trHeight w:val="255"/>
        </w:trPr>
        <w:tc>
          <w:tcPr>
            <w:tcW w:w="551" w:type="dxa"/>
            <w:tcBorders>
              <w:top w:val="single" w:sz="4" w:space="0" w:color="A6A6A6"/>
              <w:bottom w:val="single" w:sz="4" w:space="0" w:color="A6A6A6"/>
            </w:tcBorders>
            <w:hideMark/>
          </w:tcPr>
          <w:p w14:paraId="4DD41CEB" w14:textId="77777777" w:rsidR="005F4A7E" w:rsidRPr="002029AF" w:rsidRDefault="005F4A7E" w:rsidP="00130D1C">
            <w:pPr>
              <w:pStyle w:val="ARfintablebody"/>
            </w:pPr>
            <w:r w:rsidRPr="00144B00">
              <w:t>(a)</w:t>
            </w:r>
          </w:p>
        </w:tc>
        <w:tc>
          <w:tcPr>
            <w:tcW w:w="6814" w:type="dxa"/>
            <w:tcBorders>
              <w:top w:val="single" w:sz="4" w:space="0" w:color="A6A6A6"/>
              <w:bottom w:val="single" w:sz="4" w:space="0" w:color="A6A6A6"/>
            </w:tcBorders>
            <w:noWrap/>
            <w:hideMark/>
          </w:tcPr>
          <w:p w14:paraId="5D665470" w14:textId="77777777" w:rsidR="005F4A7E" w:rsidRPr="002029AF" w:rsidRDefault="005F4A7E" w:rsidP="00130D1C">
            <w:pPr>
              <w:pStyle w:val="ARfintablebody"/>
            </w:pPr>
            <w:r w:rsidRPr="00144B00">
              <w:t>Bank guarantee held for:</w:t>
            </w:r>
          </w:p>
        </w:tc>
        <w:tc>
          <w:tcPr>
            <w:tcW w:w="1136" w:type="dxa"/>
            <w:tcBorders>
              <w:top w:val="single" w:sz="4" w:space="0" w:color="A6A6A6"/>
              <w:bottom w:val="single" w:sz="4" w:space="0" w:color="A6A6A6"/>
            </w:tcBorders>
            <w:shd w:val="clear" w:color="auto" w:fill="E7E6E6"/>
            <w:noWrap/>
            <w:hideMark/>
          </w:tcPr>
          <w:p w14:paraId="39C22A33" w14:textId="77777777" w:rsidR="005F4A7E" w:rsidRPr="002029AF" w:rsidRDefault="005F4A7E" w:rsidP="00130D1C">
            <w:pPr>
              <w:pStyle w:val="ARfintablebodyright"/>
            </w:pPr>
          </w:p>
        </w:tc>
        <w:tc>
          <w:tcPr>
            <w:tcW w:w="1136" w:type="dxa"/>
            <w:tcBorders>
              <w:top w:val="single" w:sz="4" w:space="0" w:color="A6A6A6"/>
              <w:bottom w:val="single" w:sz="4" w:space="0" w:color="A6A6A6"/>
            </w:tcBorders>
            <w:noWrap/>
            <w:hideMark/>
          </w:tcPr>
          <w:p w14:paraId="68D9B460" w14:textId="77777777" w:rsidR="005F4A7E" w:rsidRPr="002029AF" w:rsidRDefault="005F4A7E" w:rsidP="00130D1C">
            <w:pPr>
              <w:pStyle w:val="ARfintablebodyright"/>
            </w:pPr>
            <w:r w:rsidRPr="00144B00">
              <w:t xml:space="preserve"> </w:t>
            </w:r>
          </w:p>
        </w:tc>
      </w:tr>
      <w:tr w:rsidR="005F4A7E" w:rsidRPr="002029AF" w14:paraId="7FB21524" w14:textId="77777777" w:rsidTr="00130D1C">
        <w:trPr>
          <w:trHeight w:val="255"/>
        </w:trPr>
        <w:tc>
          <w:tcPr>
            <w:tcW w:w="551" w:type="dxa"/>
            <w:tcBorders>
              <w:top w:val="single" w:sz="4" w:space="0" w:color="A6A6A6"/>
              <w:bottom w:val="single" w:sz="4" w:space="0" w:color="A6A6A6"/>
            </w:tcBorders>
            <w:hideMark/>
          </w:tcPr>
          <w:p w14:paraId="5BF1CE2C" w14:textId="77777777" w:rsidR="005F4A7E" w:rsidRPr="002029AF" w:rsidRDefault="005F4A7E" w:rsidP="00130D1C">
            <w:pPr>
              <w:pStyle w:val="ARfintablebody"/>
            </w:pPr>
          </w:p>
        </w:tc>
        <w:tc>
          <w:tcPr>
            <w:tcW w:w="6814" w:type="dxa"/>
            <w:tcBorders>
              <w:top w:val="single" w:sz="4" w:space="0" w:color="A6A6A6"/>
              <w:bottom w:val="single" w:sz="4" w:space="0" w:color="A6A6A6"/>
            </w:tcBorders>
            <w:noWrap/>
            <w:hideMark/>
          </w:tcPr>
          <w:p w14:paraId="667F4CFE" w14:textId="77777777" w:rsidR="005F4A7E" w:rsidRPr="002029AF" w:rsidRDefault="005F4A7E" w:rsidP="00130D1C">
            <w:pPr>
              <w:pStyle w:val="ARfintablebody"/>
            </w:pPr>
            <w:r>
              <w:t xml:space="preserve">– </w:t>
            </w:r>
            <w:r w:rsidRPr="00144B00">
              <w:t>building contracts</w:t>
            </w:r>
          </w:p>
        </w:tc>
        <w:tc>
          <w:tcPr>
            <w:tcW w:w="1136" w:type="dxa"/>
            <w:tcBorders>
              <w:top w:val="single" w:sz="4" w:space="0" w:color="A6A6A6"/>
              <w:bottom w:val="single" w:sz="4" w:space="0" w:color="A6A6A6"/>
            </w:tcBorders>
            <w:shd w:val="clear" w:color="auto" w:fill="E7E6E6"/>
            <w:noWrap/>
            <w:hideMark/>
          </w:tcPr>
          <w:p w14:paraId="3CB9A967" w14:textId="77777777" w:rsidR="005F4A7E" w:rsidRPr="002029AF" w:rsidRDefault="005F4A7E" w:rsidP="00130D1C">
            <w:pPr>
              <w:pStyle w:val="ARfintablebodyright"/>
            </w:pPr>
            <w:r w:rsidRPr="00144B00">
              <w:t>22.5</w:t>
            </w:r>
          </w:p>
        </w:tc>
        <w:tc>
          <w:tcPr>
            <w:tcW w:w="1136" w:type="dxa"/>
            <w:tcBorders>
              <w:top w:val="single" w:sz="4" w:space="0" w:color="A6A6A6"/>
              <w:bottom w:val="single" w:sz="4" w:space="0" w:color="A6A6A6"/>
            </w:tcBorders>
            <w:noWrap/>
            <w:hideMark/>
          </w:tcPr>
          <w:p w14:paraId="39A4BB4C" w14:textId="77777777" w:rsidR="005F4A7E" w:rsidRPr="002029AF" w:rsidRDefault="005F4A7E" w:rsidP="00130D1C">
            <w:pPr>
              <w:pStyle w:val="ARfintablebodyright"/>
            </w:pPr>
            <w:r w:rsidRPr="00144B00">
              <w:t xml:space="preserve">16.9 </w:t>
            </w:r>
          </w:p>
        </w:tc>
      </w:tr>
      <w:tr w:rsidR="005F4A7E" w:rsidRPr="002029AF" w14:paraId="547501A9" w14:textId="77777777" w:rsidTr="00130D1C">
        <w:trPr>
          <w:trHeight w:val="255"/>
        </w:trPr>
        <w:tc>
          <w:tcPr>
            <w:tcW w:w="551" w:type="dxa"/>
            <w:tcBorders>
              <w:top w:val="single" w:sz="4" w:space="0" w:color="A6A6A6"/>
              <w:bottom w:val="single" w:sz="4" w:space="0" w:color="A6A6A6"/>
            </w:tcBorders>
            <w:hideMark/>
          </w:tcPr>
          <w:p w14:paraId="6DE211AB" w14:textId="77777777" w:rsidR="005F4A7E" w:rsidRPr="002029AF" w:rsidRDefault="005F4A7E" w:rsidP="00130D1C">
            <w:pPr>
              <w:pStyle w:val="ARfintablebody"/>
            </w:pPr>
            <w:r w:rsidRPr="00144B00">
              <w:t>(b)</w:t>
            </w:r>
          </w:p>
        </w:tc>
        <w:tc>
          <w:tcPr>
            <w:tcW w:w="6814" w:type="dxa"/>
            <w:tcBorders>
              <w:top w:val="single" w:sz="4" w:space="0" w:color="A6A6A6"/>
              <w:bottom w:val="single" w:sz="4" w:space="0" w:color="A6A6A6"/>
            </w:tcBorders>
            <w:noWrap/>
            <w:hideMark/>
          </w:tcPr>
          <w:p w14:paraId="14CCB640" w14:textId="77777777" w:rsidR="005F4A7E" w:rsidRPr="002029AF" w:rsidRDefault="005F4A7E" w:rsidP="00130D1C">
            <w:pPr>
              <w:pStyle w:val="ARfintablebody"/>
            </w:pPr>
            <w:r w:rsidRPr="00144B00">
              <w:t>Letter of comfort held for Community Chef recallable grant</w:t>
            </w:r>
          </w:p>
        </w:tc>
        <w:tc>
          <w:tcPr>
            <w:tcW w:w="1136" w:type="dxa"/>
            <w:tcBorders>
              <w:top w:val="single" w:sz="4" w:space="0" w:color="A6A6A6"/>
              <w:bottom w:val="single" w:sz="4" w:space="0" w:color="A6A6A6"/>
            </w:tcBorders>
            <w:shd w:val="clear" w:color="auto" w:fill="E7E6E6"/>
            <w:noWrap/>
            <w:hideMark/>
          </w:tcPr>
          <w:p w14:paraId="0C7862BC" w14:textId="77777777" w:rsidR="005F4A7E" w:rsidRPr="002029AF" w:rsidRDefault="005F4A7E" w:rsidP="00130D1C">
            <w:pPr>
              <w:pStyle w:val="ARfintablebodyright"/>
            </w:pPr>
            <w:r w:rsidRPr="00144B00">
              <w:t>–</w:t>
            </w:r>
          </w:p>
        </w:tc>
        <w:tc>
          <w:tcPr>
            <w:tcW w:w="1136" w:type="dxa"/>
            <w:tcBorders>
              <w:top w:val="single" w:sz="4" w:space="0" w:color="A6A6A6"/>
              <w:bottom w:val="single" w:sz="4" w:space="0" w:color="A6A6A6"/>
            </w:tcBorders>
            <w:noWrap/>
            <w:hideMark/>
          </w:tcPr>
          <w:p w14:paraId="01708398" w14:textId="77777777" w:rsidR="005F4A7E" w:rsidRPr="002029AF" w:rsidRDefault="005F4A7E" w:rsidP="00130D1C">
            <w:pPr>
              <w:pStyle w:val="ARfintablebodyright"/>
            </w:pPr>
            <w:r w:rsidRPr="00144B00">
              <w:t xml:space="preserve">6.4 </w:t>
            </w:r>
          </w:p>
        </w:tc>
      </w:tr>
      <w:tr w:rsidR="005F4A7E" w:rsidRPr="002029AF" w14:paraId="32D80FD7" w14:textId="77777777" w:rsidTr="00130D1C">
        <w:trPr>
          <w:trHeight w:val="255"/>
        </w:trPr>
        <w:tc>
          <w:tcPr>
            <w:tcW w:w="551" w:type="dxa"/>
            <w:tcBorders>
              <w:top w:val="single" w:sz="4" w:space="0" w:color="A6A6A6"/>
              <w:bottom w:val="single" w:sz="4" w:space="0" w:color="A6A6A6"/>
            </w:tcBorders>
            <w:hideMark/>
          </w:tcPr>
          <w:p w14:paraId="27CD8704" w14:textId="77777777" w:rsidR="005F4A7E" w:rsidRPr="002029AF" w:rsidRDefault="005F4A7E" w:rsidP="00130D1C">
            <w:pPr>
              <w:pStyle w:val="ARfintablebody"/>
            </w:pPr>
            <w:r w:rsidRPr="00144B00">
              <w:t>(c)</w:t>
            </w:r>
          </w:p>
        </w:tc>
        <w:tc>
          <w:tcPr>
            <w:tcW w:w="6814" w:type="dxa"/>
            <w:tcBorders>
              <w:top w:val="single" w:sz="4" w:space="0" w:color="A6A6A6"/>
              <w:bottom w:val="single" w:sz="4" w:space="0" w:color="A6A6A6"/>
            </w:tcBorders>
            <w:hideMark/>
          </w:tcPr>
          <w:p w14:paraId="12C1627F" w14:textId="77777777" w:rsidR="005F4A7E" w:rsidRPr="002029AF" w:rsidRDefault="005F4A7E" w:rsidP="00130D1C">
            <w:pPr>
              <w:pStyle w:val="ARfintablebody"/>
            </w:pPr>
            <w:r w:rsidRPr="00144B00">
              <w:t>Litigation for the recovery of costs in relation to defective construction work</w:t>
            </w:r>
          </w:p>
        </w:tc>
        <w:tc>
          <w:tcPr>
            <w:tcW w:w="1136" w:type="dxa"/>
            <w:tcBorders>
              <w:top w:val="single" w:sz="4" w:space="0" w:color="A6A6A6"/>
              <w:bottom w:val="single" w:sz="4" w:space="0" w:color="A6A6A6"/>
            </w:tcBorders>
            <w:shd w:val="clear" w:color="auto" w:fill="E7E6E6"/>
            <w:noWrap/>
            <w:hideMark/>
          </w:tcPr>
          <w:p w14:paraId="1FEC64E6" w14:textId="77777777" w:rsidR="005F4A7E" w:rsidRPr="002029AF" w:rsidRDefault="005F4A7E" w:rsidP="00130D1C">
            <w:pPr>
              <w:pStyle w:val="ARfintablebodyright"/>
            </w:pPr>
            <w:r w:rsidRPr="00144B00">
              <w:t>–</w:t>
            </w:r>
          </w:p>
        </w:tc>
        <w:tc>
          <w:tcPr>
            <w:tcW w:w="1136" w:type="dxa"/>
            <w:tcBorders>
              <w:top w:val="single" w:sz="4" w:space="0" w:color="A6A6A6"/>
              <w:bottom w:val="single" w:sz="4" w:space="0" w:color="A6A6A6"/>
            </w:tcBorders>
            <w:noWrap/>
            <w:hideMark/>
          </w:tcPr>
          <w:p w14:paraId="4AE79F53" w14:textId="77777777" w:rsidR="005F4A7E" w:rsidRPr="002029AF" w:rsidRDefault="005F4A7E" w:rsidP="00130D1C">
            <w:pPr>
              <w:pStyle w:val="ARfintablebodyright"/>
            </w:pPr>
            <w:r w:rsidRPr="00144B00">
              <w:t xml:space="preserve">2.1 </w:t>
            </w:r>
          </w:p>
        </w:tc>
      </w:tr>
      <w:tr w:rsidR="005F4A7E" w:rsidRPr="002029AF" w14:paraId="2ABC7299" w14:textId="77777777" w:rsidTr="00130D1C">
        <w:trPr>
          <w:trHeight w:val="255"/>
        </w:trPr>
        <w:tc>
          <w:tcPr>
            <w:tcW w:w="551" w:type="dxa"/>
            <w:tcBorders>
              <w:top w:val="single" w:sz="4" w:space="0" w:color="A6A6A6"/>
            </w:tcBorders>
            <w:hideMark/>
          </w:tcPr>
          <w:p w14:paraId="25E47908" w14:textId="77777777" w:rsidR="005F4A7E" w:rsidRPr="002029AF" w:rsidRDefault="005F4A7E" w:rsidP="00130D1C">
            <w:pPr>
              <w:pStyle w:val="ARfintablebody"/>
            </w:pPr>
            <w:r w:rsidRPr="00144B00">
              <w:t>(d)</w:t>
            </w:r>
          </w:p>
        </w:tc>
        <w:tc>
          <w:tcPr>
            <w:tcW w:w="6814" w:type="dxa"/>
            <w:tcBorders>
              <w:top w:val="single" w:sz="4" w:space="0" w:color="A6A6A6"/>
            </w:tcBorders>
            <w:noWrap/>
            <w:hideMark/>
          </w:tcPr>
          <w:p w14:paraId="4903FE26" w14:textId="77777777" w:rsidR="005F4A7E" w:rsidRPr="002029AF" w:rsidRDefault="005F4A7E" w:rsidP="00130D1C">
            <w:pPr>
              <w:pStyle w:val="ARfintablebody"/>
            </w:pPr>
            <w:r w:rsidRPr="00144B00">
              <w:t>Reimbursement claim for the work undertaken by the landlord to Orange Door site</w:t>
            </w:r>
          </w:p>
        </w:tc>
        <w:tc>
          <w:tcPr>
            <w:tcW w:w="1136" w:type="dxa"/>
            <w:tcBorders>
              <w:top w:val="single" w:sz="4" w:space="0" w:color="A6A6A6"/>
            </w:tcBorders>
            <w:shd w:val="clear" w:color="auto" w:fill="E7E6E6"/>
            <w:noWrap/>
            <w:hideMark/>
          </w:tcPr>
          <w:p w14:paraId="3939D444" w14:textId="77777777" w:rsidR="005F4A7E" w:rsidRPr="002029AF" w:rsidRDefault="005F4A7E" w:rsidP="00130D1C">
            <w:pPr>
              <w:pStyle w:val="ARfintablebodyright"/>
            </w:pPr>
            <w:r w:rsidRPr="00144B00">
              <w:t>1.0</w:t>
            </w:r>
          </w:p>
        </w:tc>
        <w:tc>
          <w:tcPr>
            <w:tcW w:w="1136" w:type="dxa"/>
            <w:tcBorders>
              <w:top w:val="single" w:sz="4" w:space="0" w:color="A6A6A6"/>
            </w:tcBorders>
            <w:noWrap/>
            <w:hideMark/>
          </w:tcPr>
          <w:p w14:paraId="7A911415" w14:textId="77777777" w:rsidR="005F4A7E" w:rsidRPr="002029AF" w:rsidRDefault="005F4A7E" w:rsidP="00130D1C">
            <w:pPr>
              <w:pStyle w:val="ARfintablebodyright"/>
            </w:pPr>
            <w:r w:rsidRPr="00144B00">
              <w:t xml:space="preserve">0.2 </w:t>
            </w:r>
          </w:p>
        </w:tc>
      </w:tr>
      <w:tr w:rsidR="005F4A7E" w:rsidRPr="002029AF" w14:paraId="775DD6C4" w14:textId="77777777" w:rsidTr="00130D1C">
        <w:trPr>
          <w:trHeight w:val="255"/>
        </w:trPr>
        <w:tc>
          <w:tcPr>
            <w:tcW w:w="7365" w:type="dxa"/>
            <w:gridSpan w:val="2"/>
            <w:hideMark/>
          </w:tcPr>
          <w:p w14:paraId="1A8532EC" w14:textId="77777777" w:rsidR="005F4A7E" w:rsidRPr="002029AF" w:rsidRDefault="005F4A7E" w:rsidP="00130D1C">
            <w:pPr>
              <w:pStyle w:val="ARfintablebodybold"/>
            </w:pPr>
            <w:r w:rsidRPr="00144B00">
              <w:t>Total</w:t>
            </w:r>
          </w:p>
        </w:tc>
        <w:tc>
          <w:tcPr>
            <w:tcW w:w="1136" w:type="dxa"/>
            <w:shd w:val="clear" w:color="auto" w:fill="E7E6E6"/>
            <w:noWrap/>
            <w:hideMark/>
          </w:tcPr>
          <w:p w14:paraId="02FF4B53" w14:textId="77777777" w:rsidR="005F4A7E" w:rsidRPr="002029AF" w:rsidRDefault="005F4A7E" w:rsidP="00130D1C">
            <w:pPr>
              <w:pStyle w:val="ARfintablebodyrightbold"/>
            </w:pPr>
            <w:r w:rsidRPr="00144B00">
              <w:t xml:space="preserve">23.5 </w:t>
            </w:r>
          </w:p>
        </w:tc>
        <w:tc>
          <w:tcPr>
            <w:tcW w:w="1136" w:type="dxa"/>
            <w:noWrap/>
            <w:hideMark/>
          </w:tcPr>
          <w:p w14:paraId="16F95C7D" w14:textId="77777777" w:rsidR="005F4A7E" w:rsidRPr="002029AF" w:rsidRDefault="005F4A7E" w:rsidP="00130D1C">
            <w:pPr>
              <w:pStyle w:val="ARfintablebodyrightbold"/>
            </w:pPr>
            <w:r w:rsidRPr="00144B00">
              <w:t>25.6</w:t>
            </w:r>
          </w:p>
        </w:tc>
      </w:tr>
    </w:tbl>
    <w:p w14:paraId="66050640" w14:textId="77777777" w:rsidR="005F4A7E" w:rsidRDefault="005F4A7E" w:rsidP="00130D1C">
      <w:pPr>
        <w:pStyle w:val="Heading5"/>
      </w:pPr>
      <w:bookmarkStart w:id="1022" w:name="_Toc85121532"/>
      <w:r>
        <w:t>Contingent liabilities</w:t>
      </w:r>
      <w:bookmarkEnd w:id="1022"/>
    </w:p>
    <w:p w14:paraId="69CDB890" w14:textId="77777777" w:rsidR="005F4A7E" w:rsidRDefault="005F4A7E" w:rsidP="00130D1C">
      <w:pPr>
        <w:pStyle w:val="ARfinbody"/>
      </w:pPr>
      <w:r>
        <w:t>Contingent liabilities are:</w:t>
      </w:r>
    </w:p>
    <w:p w14:paraId="142E5B0F" w14:textId="77777777" w:rsidR="005F4A7E" w:rsidRPr="00603A06" w:rsidRDefault="005F4A7E" w:rsidP="005F4A7E">
      <w:pPr>
        <w:pStyle w:val="ARfinbullet1"/>
        <w:numPr>
          <w:ilvl w:val="0"/>
          <w:numId w:val="2"/>
        </w:numPr>
      </w:pPr>
      <w:r>
        <w:t>possibl</w:t>
      </w:r>
      <w:r w:rsidRPr="00603A06">
        <w:t xml:space="preserve">e obligations that arise from past events, whose existence will be confirmed only by the occurrence </w:t>
      </w:r>
      <w:r>
        <w:br/>
      </w:r>
      <w:r w:rsidRPr="00603A06">
        <w:t>or non-occurrence of one or more uncertain future events not wholly within the control of the entity, or</w:t>
      </w:r>
    </w:p>
    <w:p w14:paraId="516813C2" w14:textId="77777777" w:rsidR="005F4A7E" w:rsidRDefault="005F4A7E" w:rsidP="005F4A7E">
      <w:pPr>
        <w:pStyle w:val="ARfinbullet1"/>
        <w:numPr>
          <w:ilvl w:val="0"/>
          <w:numId w:val="2"/>
        </w:numPr>
      </w:pPr>
      <w:r w:rsidRPr="00603A06">
        <w:t>present ob</w:t>
      </w:r>
      <w:r>
        <w:t>ligations that arise from past events but are not recognised because:</w:t>
      </w:r>
    </w:p>
    <w:p w14:paraId="20CAD3FE" w14:textId="77777777" w:rsidR="005F4A7E" w:rsidRPr="00603A06" w:rsidRDefault="005F4A7E" w:rsidP="005F4A7E">
      <w:pPr>
        <w:pStyle w:val="ARfinbullet2"/>
        <w:numPr>
          <w:ilvl w:val="1"/>
          <w:numId w:val="2"/>
        </w:numPr>
        <w:ind w:left="568" w:hanging="284"/>
      </w:pPr>
      <w:r>
        <w:t xml:space="preserve">it is </w:t>
      </w:r>
      <w:r w:rsidRPr="00603A06">
        <w:t>not probable that an outflow of resources embodying economic benefits will be required to settle the</w:t>
      </w:r>
      <w:r>
        <w:t> </w:t>
      </w:r>
      <w:r w:rsidRPr="00603A06">
        <w:t>obligations, or</w:t>
      </w:r>
    </w:p>
    <w:p w14:paraId="20337AF0" w14:textId="77777777" w:rsidR="005F4A7E" w:rsidRDefault="005F4A7E" w:rsidP="005F4A7E">
      <w:pPr>
        <w:pStyle w:val="ARfinbullet2"/>
        <w:numPr>
          <w:ilvl w:val="1"/>
          <w:numId w:val="2"/>
        </w:numPr>
        <w:ind w:left="568" w:hanging="284"/>
      </w:pPr>
      <w:r w:rsidRPr="00603A06">
        <w:t>the amou</w:t>
      </w:r>
      <w:r>
        <w:t>nt of the obligations cannot be measured with sufficient reliability.</w:t>
      </w:r>
    </w:p>
    <w:p w14:paraId="71FFFD7C" w14:textId="77777777" w:rsidR="005F4A7E" w:rsidRDefault="005F4A7E" w:rsidP="00130D1C">
      <w:pPr>
        <w:pStyle w:val="ARfinbodylargespace"/>
      </w:pPr>
      <w:r>
        <w:t>Contingent liabilities are also classified as either quantifiable or non-quantifiable.</w:t>
      </w:r>
    </w:p>
    <w:tbl>
      <w:tblPr>
        <w:tblStyle w:val="TableGrid"/>
        <w:tblW w:w="9637" w:type="dxa"/>
        <w:tblLayout w:type="fixed"/>
        <w:tblLook w:val="06A0" w:firstRow="1" w:lastRow="0" w:firstColumn="1" w:lastColumn="0" w:noHBand="1" w:noVBand="1"/>
      </w:tblPr>
      <w:tblGrid>
        <w:gridCol w:w="576"/>
        <w:gridCol w:w="6795"/>
        <w:gridCol w:w="1133"/>
        <w:gridCol w:w="1133"/>
      </w:tblGrid>
      <w:tr w:rsidR="005F4A7E" w:rsidRPr="002029AF" w14:paraId="43FB0E69" w14:textId="77777777" w:rsidTr="00130D1C">
        <w:trPr>
          <w:cnfStyle w:val="100000000000" w:firstRow="1" w:lastRow="0" w:firstColumn="0" w:lastColumn="0" w:oddVBand="0" w:evenVBand="0" w:oddHBand="0" w:evenHBand="0" w:firstRowFirstColumn="0" w:firstRowLastColumn="0" w:lastRowFirstColumn="0" w:lastRowLastColumn="0"/>
          <w:trHeight w:val="255"/>
          <w:tblHeader/>
        </w:trPr>
        <w:tc>
          <w:tcPr>
            <w:tcW w:w="576" w:type="dxa"/>
            <w:tcBorders>
              <w:bottom w:val="single" w:sz="4" w:space="0" w:color="auto"/>
            </w:tcBorders>
            <w:hideMark/>
          </w:tcPr>
          <w:p w14:paraId="04AC7603" w14:textId="77777777" w:rsidR="005F4A7E" w:rsidRPr="002029AF" w:rsidRDefault="005F4A7E" w:rsidP="00860E95">
            <w:pPr>
              <w:pStyle w:val="ARfintablecolhead"/>
            </w:pPr>
          </w:p>
        </w:tc>
        <w:tc>
          <w:tcPr>
            <w:tcW w:w="6795" w:type="dxa"/>
            <w:tcBorders>
              <w:bottom w:val="single" w:sz="4" w:space="0" w:color="auto"/>
            </w:tcBorders>
            <w:hideMark/>
          </w:tcPr>
          <w:p w14:paraId="6737FD38" w14:textId="77777777" w:rsidR="005F4A7E" w:rsidRPr="002029AF" w:rsidRDefault="005F4A7E" w:rsidP="00860E95">
            <w:pPr>
              <w:pStyle w:val="ARfintablecolhead"/>
            </w:pPr>
          </w:p>
        </w:tc>
        <w:tc>
          <w:tcPr>
            <w:tcW w:w="1133" w:type="dxa"/>
            <w:tcBorders>
              <w:bottom w:val="single" w:sz="4" w:space="0" w:color="auto"/>
            </w:tcBorders>
            <w:shd w:val="clear" w:color="auto" w:fill="E7E6E6"/>
            <w:hideMark/>
          </w:tcPr>
          <w:p w14:paraId="69FA4D05" w14:textId="77777777" w:rsidR="005F4A7E" w:rsidRPr="002029AF" w:rsidRDefault="005F4A7E" w:rsidP="00860E95">
            <w:pPr>
              <w:pStyle w:val="ARfintablecolheadright"/>
            </w:pPr>
            <w:r>
              <w:t>2021</w:t>
            </w:r>
          </w:p>
          <w:p w14:paraId="4269A670" w14:textId="77777777" w:rsidR="005F4A7E" w:rsidRPr="002029AF" w:rsidRDefault="005F4A7E" w:rsidP="00860E95">
            <w:pPr>
              <w:pStyle w:val="ARfintablecolheadright"/>
            </w:pPr>
            <w:r w:rsidRPr="002029AF">
              <w:t>$M</w:t>
            </w:r>
          </w:p>
        </w:tc>
        <w:tc>
          <w:tcPr>
            <w:tcW w:w="1133" w:type="dxa"/>
            <w:tcBorders>
              <w:bottom w:val="single" w:sz="4" w:space="0" w:color="auto"/>
            </w:tcBorders>
            <w:hideMark/>
          </w:tcPr>
          <w:p w14:paraId="6A22E68F" w14:textId="77777777" w:rsidR="005F4A7E" w:rsidRPr="002029AF" w:rsidRDefault="005F4A7E" w:rsidP="00860E95">
            <w:pPr>
              <w:pStyle w:val="ARfintablecolheadright"/>
            </w:pPr>
            <w:r>
              <w:t>2020</w:t>
            </w:r>
          </w:p>
          <w:p w14:paraId="57F3EDEA" w14:textId="77777777" w:rsidR="005F4A7E" w:rsidRPr="002029AF" w:rsidRDefault="005F4A7E" w:rsidP="00860E95">
            <w:pPr>
              <w:pStyle w:val="ARfintablecolheadright"/>
            </w:pPr>
            <w:r w:rsidRPr="002029AF">
              <w:t>$M</w:t>
            </w:r>
          </w:p>
        </w:tc>
      </w:tr>
      <w:tr w:rsidR="005F4A7E" w:rsidRPr="002029AF" w14:paraId="607119D6" w14:textId="77777777" w:rsidTr="00130D1C">
        <w:tc>
          <w:tcPr>
            <w:tcW w:w="9637" w:type="dxa"/>
            <w:gridSpan w:val="4"/>
            <w:tcBorders>
              <w:top w:val="single" w:sz="4" w:space="0" w:color="auto"/>
              <w:bottom w:val="single" w:sz="4" w:space="0" w:color="A6A6A6"/>
            </w:tcBorders>
            <w:hideMark/>
          </w:tcPr>
          <w:p w14:paraId="1164BB46" w14:textId="77777777" w:rsidR="005F4A7E" w:rsidRPr="002029AF" w:rsidRDefault="005F4A7E" w:rsidP="00130D1C">
            <w:pPr>
              <w:pStyle w:val="ARfintablebodybold"/>
            </w:pPr>
            <w:r w:rsidRPr="00F44121">
              <w:t>Quantifiable contingent liabilities</w:t>
            </w:r>
          </w:p>
        </w:tc>
      </w:tr>
      <w:tr w:rsidR="005F4A7E" w:rsidRPr="002029AF" w14:paraId="68D9B35D" w14:textId="77777777" w:rsidTr="00130D1C">
        <w:trPr>
          <w:trHeight w:val="255"/>
        </w:trPr>
        <w:tc>
          <w:tcPr>
            <w:tcW w:w="576" w:type="dxa"/>
            <w:tcBorders>
              <w:top w:val="single" w:sz="4" w:space="0" w:color="A6A6A6"/>
            </w:tcBorders>
            <w:hideMark/>
          </w:tcPr>
          <w:p w14:paraId="6DF9036D" w14:textId="77777777" w:rsidR="005F4A7E" w:rsidRPr="002029AF" w:rsidRDefault="005F4A7E" w:rsidP="00130D1C">
            <w:pPr>
              <w:pStyle w:val="ARfintablebody"/>
            </w:pPr>
            <w:r w:rsidRPr="00F44121">
              <w:t>(a)</w:t>
            </w:r>
          </w:p>
        </w:tc>
        <w:tc>
          <w:tcPr>
            <w:tcW w:w="6795" w:type="dxa"/>
            <w:tcBorders>
              <w:top w:val="single" w:sz="4" w:space="0" w:color="A6A6A6"/>
            </w:tcBorders>
            <w:hideMark/>
          </w:tcPr>
          <w:p w14:paraId="050560E4" w14:textId="77777777" w:rsidR="005F4A7E" w:rsidRPr="002029AF" w:rsidRDefault="005F4A7E" w:rsidP="00130D1C">
            <w:pPr>
              <w:pStyle w:val="ARfintablebody"/>
            </w:pPr>
            <w:r w:rsidRPr="00F44121">
              <w:t>The department has estimated that potential liability exists in respect of a number of legal actions instigated by clients and their representatives, employees and others, and other contractual liabilities.</w:t>
            </w:r>
          </w:p>
        </w:tc>
        <w:tc>
          <w:tcPr>
            <w:tcW w:w="1133" w:type="dxa"/>
            <w:tcBorders>
              <w:top w:val="single" w:sz="4" w:space="0" w:color="A6A6A6"/>
            </w:tcBorders>
            <w:shd w:val="clear" w:color="auto" w:fill="E7E6E6"/>
            <w:noWrap/>
            <w:hideMark/>
          </w:tcPr>
          <w:p w14:paraId="3A62BAB5" w14:textId="77777777" w:rsidR="005F4A7E" w:rsidRPr="002029AF" w:rsidRDefault="005F4A7E" w:rsidP="00130D1C">
            <w:pPr>
              <w:pStyle w:val="ARfintablebodyright"/>
            </w:pPr>
            <w:r w:rsidRPr="00F44121">
              <w:t>43.6</w:t>
            </w:r>
          </w:p>
        </w:tc>
        <w:tc>
          <w:tcPr>
            <w:tcW w:w="1133" w:type="dxa"/>
            <w:tcBorders>
              <w:top w:val="single" w:sz="4" w:space="0" w:color="A6A6A6"/>
            </w:tcBorders>
            <w:noWrap/>
            <w:hideMark/>
          </w:tcPr>
          <w:p w14:paraId="78A18E36" w14:textId="77777777" w:rsidR="005F4A7E" w:rsidRPr="002029AF" w:rsidRDefault="005F4A7E" w:rsidP="00130D1C">
            <w:pPr>
              <w:pStyle w:val="ARfintablebodyright"/>
            </w:pPr>
            <w:r w:rsidRPr="00F44121">
              <w:t>38.4</w:t>
            </w:r>
          </w:p>
        </w:tc>
      </w:tr>
      <w:tr w:rsidR="005F4A7E" w:rsidRPr="002029AF" w14:paraId="10055DA6" w14:textId="77777777" w:rsidTr="00130D1C">
        <w:trPr>
          <w:trHeight w:val="255"/>
        </w:trPr>
        <w:tc>
          <w:tcPr>
            <w:tcW w:w="7371" w:type="dxa"/>
            <w:gridSpan w:val="2"/>
            <w:hideMark/>
          </w:tcPr>
          <w:p w14:paraId="02C2D978" w14:textId="77777777" w:rsidR="005F4A7E" w:rsidRPr="002029AF" w:rsidRDefault="005F4A7E" w:rsidP="00130D1C">
            <w:pPr>
              <w:pStyle w:val="ARfintablebodybold"/>
            </w:pPr>
            <w:r w:rsidRPr="00F44121">
              <w:t>Total</w:t>
            </w:r>
          </w:p>
        </w:tc>
        <w:tc>
          <w:tcPr>
            <w:tcW w:w="1133" w:type="dxa"/>
            <w:shd w:val="clear" w:color="auto" w:fill="E7E6E6"/>
            <w:noWrap/>
            <w:hideMark/>
          </w:tcPr>
          <w:p w14:paraId="081D8C8A" w14:textId="77777777" w:rsidR="005F4A7E" w:rsidRPr="002029AF" w:rsidRDefault="005F4A7E" w:rsidP="00130D1C">
            <w:pPr>
              <w:pStyle w:val="ARfintablebodyrightbold"/>
            </w:pPr>
            <w:r w:rsidRPr="00F44121">
              <w:t>43.6</w:t>
            </w:r>
          </w:p>
        </w:tc>
        <w:tc>
          <w:tcPr>
            <w:tcW w:w="1133" w:type="dxa"/>
            <w:noWrap/>
            <w:hideMark/>
          </w:tcPr>
          <w:p w14:paraId="70A54999" w14:textId="77777777" w:rsidR="005F4A7E" w:rsidRPr="002029AF" w:rsidRDefault="005F4A7E" w:rsidP="00130D1C">
            <w:pPr>
              <w:pStyle w:val="ARfintablebodyrightbold"/>
            </w:pPr>
            <w:r w:rsidRPr="00F44121">
              <w:t>38.4</w:t>
            </w:r>
          </w:p>
        </w:tc>
      </w:tr>
    </w:tbl>
    <w:p w14:paraId="38E6633A" w14:textId="77777777" w:rsidR="005F4A7E" w:rsidRDefault="005F4A7E" w:rsidP="00130D1C">
      <w:pPr>
        <w:pStyle w:val="Heading6"/>
      </w:pPr>
      <w:bookmarkStart w:id="1023" w:name="_Toc85121533"/>
      <w:r>
        <w:t>Non-quantifiable contingent liabilities</w:t>
      </w:r>
      <w:bookmarkEnd w:id="1023"/>
    </w:p>
    <w:p w14:paraId="79796B34" w14:textId="77777777" w:rsidR="005F4A7E" w:rsidRDefault="005F4A7E" w:rsidP="00130D1C">
      <w:pPr>
        <w:pStyle w:val="ARfinbody"/>
      </w:pPr>
      <w:r>
        <w:t>In response to the concerns of some health services, the department has undertaken to provide certain health services adequate cash flow support to enable these health services to meet their current and future obligations as and when they fall due in the 2021–22 financial year, should this be required. In line with processes already established by the department, it is expected that each health service that has been pledged this support will:</w:t>
      </w:r>
    </w:p>
    <w:p w14:paraId="4212A081" w14:textId="77777777" w:rsidR="005F4A7E" w:rsidRDefault="005F4A7E" w:rsidP="005F4A7E">
      <w:pPr>
        <w:pStyle w:val="ARfinbullet1"/>
        <w:numPr>
          <w:ilvl w:val="0"/>
          <w:numId w:val="2"/>
        </w:numPr>
      </w:pPr>
      <w:r>
        <w:t>continue to provide monthly advice on its financial position, including the likelihood of any short-term liquidity issues</w:t>
      </w:r>
    </w:p>
    <w:p w14:paraId="5FA43D05" w14:textId="77777777" w:rsidR="005F4A7E" w:rsidRDefault="005F4A7E" w:rsidP="005F4A7E">
      <w:pPr>
        <w:pStyle w:val="ARfinbullet1"/>
        <w:numPr>
          <w:ilvl w:val="0"/>
          <w:numId w:val="2"/>
        </w:numPr>
      </w:pPr>
      <w:r>
        <w:t>commit to achieve the agreed budget targets, and all other requirements of their service agreements or statement of priorities in 2021–22.</w:t>
      </w:r>
    </w:p>
    <w:p w14:paraId="3AC5BF96" w14:textId="77777777" w:rsidR="005F4A7E" w:rsidRDefault="005F4A7E" w:rsidP="00130D1C">
      <w:pPr>
        <w:pStyle w:val="ARfinbody"/>
      </w:pPr>
      <w:bookmarkStart w:id="1024" w:name="_Toc39242164"/>
      <w:r>
        <w:t>The department</w:t>
      </w:r>
      <w:r w:rsidRPr="006B688E">
        <w:t xml:space="preserve"> has other potential obligations which arise from legal actions and that are non-quantifiable at this time</w:t>
      </w:r>
      <w:r>
        <w:t>.</w:t>
      </w:r>
    </w:p>
    <w:p w14:paraId="4F539E01" w14:textId="77777777" w:rsidR="005F4A7E" w:rsidRPr="00064EE6" w:rsidRDefault="005F4A7E" w:rsidP="00130D1C">
      <w:pPr>
        <w:pStyle w:val="ARfinbody"/>
      </w:pPr>
      <w:r w:rsidRPr="00064EE6">
        <w:br w:type="page"/>
      </w:r>
    </w:p>
    <w:p w14:paraId="55E17543" w14:textId="77777777" w:rsidR="005F4A7E" w:rsidRDefault="005F4A7E" w:rsidP="00130D1C">
      <w:pPr>
        <w:pStyle w:val="Heading4"/>
        <w:rPr>
          <w:lang w:eastAsia="en-AU"/>
        </w:rPr>
      </w:pPr>
      <w:bookmarkStart w:id="1025" w:name="_Toc85121534"/>
      <w:r>
        <w:rPr>
          <w:lang w:eastAsia="en-AU"/>
        </w:rPr>
        <w:lastRenderedPageBreak/>
        <w:t>8.3 Fair value determination</w:t>
      </w:r>
      <w:bookmarkEnd w:id="1024"/>
      <w:bookmarkEnd w:id="1025"/>
    </w:p>
    <w:p w14:paraId="455C7091" w14:textId="77777777" w:rsidR="005F4A7E" w:rsidRDefault="005F4A7E" w:rsidP="00130D1C">
      <w:pPr>
        <w:pStyle w:val="Heading5"/>
        <w:rPr>
          <w:lang w:eastAsia="en-AU"/>
        </w:rPr>
      </w:pPr>
      <w:bookmarkStart w:id="1026" w:name="_Toc85121535"/>
      <w:r>
        <w:rPr>
          <w:lang w:eastAsia="en-AU"/>
        </w:rPr>
        <w:t>Significant judgement: Fair value measurements of assets and liabilities</w:t>
      </w:r>
      <w:bookmarkEnd w:id="1026"/>
    </w:p>
    <w:p w14:paraId="065753BB" w14:textId="77777777" w:rsidR="005F4A7E" w:rsidRDefault="005F4A7E" w:rsidP="00130D1C">
      <w:pPr>
        <w:pStyle w:val="ARfinbody"/>
      </w:pPr>
      <w:r>
        <w:t>Fair value determination requires judgement and the use of assumptions. This section discloses the most significant assumptions used in determining fair values. Changes to assumptions could have a material impact on the results and financial position of the department.</w:t>
      </w:r>
    </w:p>
    <w:p w14:paraId="5F33D35F" w14:textId="77777777" w:rsidR="005F4A7E" w:rsidRDefault="005F4A7E" w:rsidP="00130D1C">
      <w:pPr>
        <w:pStyle w:val="ARfinbody"/>
      </w:pPr>
      <w:r>
        <w:t>This section sets out information on how the department determined fair value for financial reporting purposes. Fair value is the price that would be received to sell an asset or paid to transfer a liability in an orderly transaction between market participants at the measurement date.</w:t>
      </w:r>
    </w:p>
    <w:p w14:paraId="6240C451" w14:textId="77777777" w:rsidR="005F4A7E" w:rsidRDefault="005F4A7E" w:rsidP="00130D1C">
      <w:pPr>
        <w:pStyle w:val="ARfinbody"/>
      </w:pPr>
      <w:r>
        <w:t>The following assets and liabilities are carried at fair value:</w:t>
      </w:r>
    </w:p>
    <w:p w14:paraId="69B84B56" w14:textId="150A3140" w:rsidR="005F4A7E" w:rsidRDefault="005F4A7E" w:rsidP="005F4A7E">
      <w:pPr>
        <w:pStyle w:val="ARfinbullet1"/>
        <w:numPr>
          <w:ilvl w:val="0"/>
          <w:numId w:val="2"/>
        </w:numPr>
      </w:pPr>
      <w:r>
        <w:t xml:space="preserve">financial assets and liabilities at fair value through </w:t>
      </w:r>
      <w:r w:rsidR="007D145B">
        <w:t>‘</w:t>
      </w:r>
      <w:r>
        <w:t>other comprehensive income</w:t>
      </w:r>
      <w:r w:rsidR="007D145B">
        <w:t>’</w:t>
      </w:r>
    </w:p>
    <w:p w14:paraId="5E2F225E" w14:textId="77777777" w:rsidR="005F4A7E" w:rsidRDefault="005F4A7E" w:rsidP="005F4A7E">
      <w:pPr>
        <w:pStyle w:val="ARfinbullet1"/>
        <w:numPr>
          <w:ilvl w:val="0"/>
          <w:numId w:val="2"/>
        </w:numPr>
      </w:pPr>
      <w:r>
        <w:t>land, buildings, plant and equipment</w:t>
      </w:r>
    </w:p>
    <w:p w14:paraId="51466137" w14:textId="77777777" w:rsidR="005F4A7E" w:rsidRDefault="005F4A7E" w:rsidP="00130D1C">
      <w:pPr>
        <w:pStyle w:val="ARfinbody"/>
      </w:pPr>
      <w:r>
        <w:t>In addition, the fair values of other assets and liabilities which are carried at amortised cost also need to be determined for disclosure purposes.</w:t>
      </w:r>
    </w:p>
    <w:p w14:paraId="140C587E" w14:textId="77777777" w:rsidR="005F4A7E" w:rsidRDefault="005F4A7E" w:rsidP="00130D1C">
      <w:pPr>
        <w:pStyle w:val="ARfinbody"/>
      </w:pPr>
      <w:r>
        <w:t>The department determines the policies and procedures for determining fair values for both financial and non-financial assets and liabilities as required.</w:t>
      </w:r>
    </w:p>
    <w:p w14:paraId="38ABA7A0" w14:textId="77777777" w:rsidR="005F4A7E" w:rsidRDefault="005F4A7E" w:rsidP="00130D1C">
      <w:pPr>
        <w:pStyle w:val="Heading5"/>
      </w:pPr>
      <w:bookmarkStart w:id="1027" w:name="_Toc85121536"/>
      <w:r>
        <w:t>Fair value hierarchy</w:t>
      </w:r>
      <w:bookmarkEnd w:id="1027"/>
    </w:p>
    <w:p w14:paraId="2C4A7467" w14:textId="77777777" w:rsidR="005F4A7E" w:rsidRDefault="005F4A7E" w:rsidP="00130D1C">
      <w:pPr>
        <w:pStyle w:val="ARfinbody"/>
      </w:pPr>
      <w:r>
        <w:t>In determining fair values a number of inputs are used. To increase consistency and comparability in the financial statements, these inputs are categorised into three levels, also known as the fair value hierarchy. The levels are as follows:</w:t>
      </w:r>
    </w:p>
    <w:p w14:paraId="3F604DA3" w14:textId="77777777" w:rsidR="005F4A7E" w:rsidRDefault="005F4A7E" w:rsidP="005F4A7E">
      <w:pPr>
        <w:pStyle w:val="ARfinbullet1"/>
        <w:numPr>
          <w:ilvl w:val="0"/>
          <w:numId w:val="2"/>
        </w:numPr>
      </w:pPr>
      <w:r>
        <w:t>Level 1 – Quoted (unadjusted) market prices in active markets for identical assets or liabilities</w:t>
      </w:r>
    </w:p>
    <w:p w14:paraId="6C8F4539" w14:textId="77777777" w:rsidR="005F4A7E" w:rsidRDefault="005F4A7E" w:rsidP="005F4A7E">
      <w:pPr>
        <w:pStyle w:val="ARfinbullet1"/>
        <w:numPr>
          <w:ilvl w:val="0"/>
          <w:numId w:val="2"/>
        </w:numPr>
      </w:pPr>
      <w:r>
        <w:t>Level 2 – Valuation techniques for which the lowest level input that is significant to the fair value measurement is directly or indirectly observable</w:t>
      </w:r>
    </w:p>
    <w:p w14:paraId="4F5F81D5" w14:textId="77777777" w:rsidR="005F4A7E" w:rsidRDefault="005F4A7E" w:rsidP="005F4A7E">
      <w:pPr>
        <w:pStyle w:val="ARfinbullet1"/>
        <w:numPr>
          <w:ilvl w:val="0"/>
          <w:numId w:val="2"/>
        </w:numPr>
      </w:pPr>
      <w:r>
        <w:t>Level 3 – Valuation techniques for which the lowest level input that is significant to the fair value measurement is unobservable.</w:t>
      </w:r>
    </w:p>
    <w:p w14:paraId="1E04B866" w14:textId="77777777" w:rsidR="005F4A7E" w:rsidRDefault="005F4A7E" w:rsidP="00130D1C">
      <w:pPr>
        <w:pStyle w:val="ARfinbody"/>
      </w:pPr>
      <w:r>
        <w:t>The department determines whether transfers have occurred between levels in the hierarchy by reassessing categorisation (based on the lowest level input that is significant to the fair value measurement as a whole) at the end of each reporting period.</w:t>
      </w:r>
    </w:p>
    <w:p w14:paraId="3622E9BC" w14:textId="5D791493" w:rsidR="005F4A7E" w:rsidRDefault="005F4A7E" w:rsidP="00130D1C">
      <w:pPr>
        <w:pStyle w:val="ARfinbody"/>
      </w:pPr>
      <w:r>
        <w:t>The Valuer-General Victoria (VGV) is the department</w:t>
      </w:r>
      <w:r w:rsidR="007D145B">
        <w:t>’</w:t>
      </w:r>
      <w:r>
        <w:t>s independent valuation agency. The department, in conjunction with VGV, monitors changes in the fair value of each asset and liability through relevant data sources to determine whether revaluation is required.</w:t>
      </w:r>
    </w:p>
    <w:p w14:paraId="746DB27A" w14:textId="77777777" w:rsidR="005F4A7E" w:rsidRDefault="005F4A7E" w:rsidP="00130D1C">
      <w:pPr>
        <w:pStyle w:val="Heading5"/>
      </w:pPr>
      <w:bookmarkStart w:id="1028" w:name="_Toc85121537"/>
      <w:r>
        <w:t>How this section is structured</w:t>
      </w:r>
      <w:bookmarkEnd w:id="1028"/>
    </w:p>
    <w:p w14:paraId="2F64E2B7" w14:textId="77777777" w:rsidR="005F4A7E" w:rsidRDefault="005F4A7E" w:rsidP="00130D1C">
      <w:pPr>
        <w:pStyle w:val="ARfinbody"/>
      </w:pPr>
      <w:r>
        <w:t>For those assets and liabilities for which fair values are determined, the following disclosures are provided:</w:t>
      </w:r>
    </w:p>
    <w:p w14:paraId="4C5A4BA4" w14:textId="77777777" w:rsidR="005F4A7E" w:rsidRDefault="005F4A7E" w:rsidP="005F4A7E">
      <w:pPr>
        <w:pStyle w:val="ARfinbullet1"/>
        <w:numPr>
          <w:ilvl w:val="0"/>
          <w:numId w:val="2"/>
        </w:numPr>
      </w:pPr>
      <w:r>
        <w:t>carrying amount and the fair value (which would be the same for those assets measured at fair value)</w:t>
      </w:r>
    </w:p>
    <w:p w14:paraId="3F149F28" w14:textId="77777777" w:rsidR="005F4A7E" w:rsidRDefault="005F4A7E" w:rsidP="005F4A7E">
      <w:pPr>
        <w:pStyle w:val="ARfinbullet1"/>
        <w:numPr>
          <w:ilvl w:val="0"/>
          <w:numId w:val="2"/>
        </w:numPr>
      </w:pPr>
      <w:r>
        <w:t>which level of the fair value hierarchy was used to determine the fair value</w:t>
      </w:r>
    </w:p>
    <w:p w14:paraId="152A8D70" w14:textId="77777777" w:rsidR="005F4A7E" w:rsidRDefault="005F4A7E" w:rsidP="005F4A7E">
      <w:pPr>
        <w:pStyle w:val="ARfinbullet1"/>
        <w:numPr>
          <w:ilvl w:val="0"/>
          <w:numId w:val="2"/>
        </w:numPr>
      </w:pPr>
      <w:r>
        <w:t>in respect of those assets and liabilities subject to fair value determination using Level 3 inputs:</w:t>
      </w:r>
    </w:p>
    <w:p w14:paraId="1C80B53E" w14:textId="77777777" w:rsidR="005F4A7E" w:rsidRDefault="005F4A7E" w:rsidP="005F4A7E">
      <w:pPr>
        <w:pStyle w:val="ARfinbullet2"/>
        <w:numPr>
          <w:ilvl w:val="1"/>
          <w:numId w:val="2"/>
        </w:numPr>
        <w:ind w:left="568" w:hanging="284"/>
      </w:pPr>
      <w:r>
        <w:t>a reconciliation of the movements in fair values from the beginning of the year to the end</w:t>
      </w:r>
    </w:p>
    <w:p w14:paraId="10B5BDCE" w14:textId="77777777" w:rsidR="005F4A7E" w:rsidRDefault="005F4A7E" w:rsidP="005F4A7E">
      <w:pPr>
        <w:pStyle w:val="ARfinbullet2"/>
        <w:numPr>
          <w:ilvl w:val="1"/>
          <w:numId w:val="2"/>
        </w:numPr>
        <w:ind w:left="568" w:hanging="284"/>
      </w:pPr>
      <w:r>
        <w:t>details of significant unobservable inputs used in the fair value determination.</w:t>
      </w:r>
    </w:p>
    <w:p w14:paraId="273F36BE" w14:textId="77777777" w:rsidR="005F4A7E" w:rsidRDefault="005F4A7E" w:rsidP="00130D1C">
      <w:pPr>
        <w:pStyle w:val="ARfinbody"/>
      </w:pPr>
      <w:r>
        <w:t>This section is divided between disclosures in connection with fair value determination for financial instruments (refer Note 8.3.1) and non-financial physical assets (refer Note 8.3.2).</w:t>
      </w:r>
    </w:p>
    <w:p w14:paraId="3F23E5A0" w14:textId="77777777" w:rsidR="005F4A7E" w:rsidRDefault="005F4A7E" w:rsidP="00130D1C">
      <w:pPr>
        <w:pStyle w:val="Heading5"/>
        <w:rPr>
          <w:lang w:eastAsia="en-AU"/>
        </w:rPr>
      </w:pPr>
      <w:bookmarkStart w:id="1029" w:name="_Toc85121538"/>
      <w:r>
        <w:rPr>
          <w:lang w:eastAsia="en-AU"/>
        </w:rPr>
        <w:t>8.3.1 Fair value determination of financial assets and liabilities</w:t>
      </w:r>
      <w:bookmarkEnd w:id="1029"/>
    </w:p>
    <w:p w14:paraId="5F2CF35B" w14:textId="77777777" w:rsidR="005F4A7E" w:rsidRDefault="005F4A7E" w:rsidP="00130D1C">
      <w:pPr>
        <w:pStyle w:val="ARfinbody"/>
      </w:pPr>
      <w:r>
        <w:t>The fair values and net fair values of financial assets and liabilities are determined as follows:</w:t>
      </w:r>
    </w:p>
    <w:p w14:paraId="5A80C7CB" w14:textId="676F422F" w:rsidR="005F4A7E" w:rsidRDefault="005F4A7E" w:rsidP="005F4A7E">
      <w:pPr>
        <w:pStyle w:val="ARfinbullet1"/>
        <w:numPr>
          <w:ilvl w:val="0"/>
          <w:numId w:val="2"/>
        </w:numPr>
      </w:pPr>
      <w:r>
        <w:t>Level 1 – the fair value of financial instruments with standard terms and conditions and traded in active markets are determined with reference to quoted market prices</w:t>
      </w:r>
    </w:p>
    <w:p w14:paraId="197D9981" w14:textId="77777777" w:rsidR="005F4A7E" w:rsidRDefault="005F4A7E" w:rsidP="005F4A7E">
      <w:pPr>
        <w:pStyle w:val="ARfinbullet1"/>
        <w:numPr>
          <w:ilvl w:val="0"/>
          <w:numId w:val="2"/>
        </w:numPr>
      </w:pPr>
      <w:r>
        <w:t>Level 2 – the fair value is determined using inputs other than quoted prices that are observable for the financial asset or liability, either directly or indirectly</w:t>
      </w:r>
    </w:p>
    <w:p w14:paraId="0276ACC7" w14:textId="77777777" w:rsidR="005F4A7E" w:rsidRDefault="005F4A7E" w:rsidP="005F4A7E">
      <w:pPr>
        <w:pStyle w:val="ARfinbullet1"/>
        <w:numPr>
          <w:ilvl w:val="0"/>
          <w:numId w:val="2"/>
        </w:numPr>
      </w:pPr>
      <w:r>
        <w:t>Level 3 – the fair value is determined in accordance with generally accepted pricing models based on discounted cash flow analysis using unobservable market inputs.</w:t>
      </w:r>
    </w:p>
    <w:p w14:paraId="1DCF09A3" w14:textId="77777777" w:rsidR="005F4A7E" w:rsidRDefault="005F4A7E" w:rsidP="00130D1C">
      <w:pPr>
        <w:pStyle w:val="ARfinbody"/>
      </w:pPr>
      <w:r>
        <w:t>The department currently holds a range of financial instruments that are recorded in the financial statements where the carrying amounts are a reasonable approximation of fair value</w:t>
      </w:r>
      <w:r>
        <w:rPr>
          <w:strike/>
        </w:rPr>
        <w:t>s</w:t>
      </w:r>
      <w:r>
        <w:t>, either due to their short-term nature or with the expectation that they will be paid in full by the end of the 2020–21 reporting period.</w:t>
      </w:r>
    </w:p>
    <w:p w14:paraId="2AB186AA" w14:textId="77777777" w:rsidR="005F4A7E" w:rsidRDefault="005F4A7E" w:rsidP="00130D1C">
      <w:pPr>
        <w:pStyle w:val="ARfinbody"/>
      </w:pPr>
      <w:r>
        <w:t>The fair value of the financial instruments is the same as the carrying amounts.</w:t>
      </w:r>
      <w:r>
        <w:rPr>
          <w:sz w:val="16"/>
        </w:rPr>
        <w:br w:type="page"/>
      </w:r>
    </w:p>
    <w:p w14:paraId="7787E712" w14:textId="77777777" w:rsidR="005F4A7E" w:rsidRDefault="005F4A7E" w:rsidP="00130D1C">
      <w:pPr>
        <w:pStyle w:val="Heading5"/>
        <w:rPr>
          <w:lang w:eastAsia="en-AU"/>
        </w:rPr>
      </w:pPr>
      <w:bookmarkStart w:id="1030" w:name="_Toc85121539"/>
      <w:bookmarkStart w:id="1031" w:name="_Ref85616813"/>
      <w:r>
        <w:rPr>
          <w:lang w:eastAsia="en-AU"/>
        </w:rPr>
        <w:lastRenderedPageBreak/>
        <w:t>8.3.2 Fair value determination of non-financial physical assets</w:t>
      </w:r>
      <w:bookmarkEnd w:id="1030"/>
      <w:bookmarkEnd w:id="1031"/>
    </w:p>
    <w:p w14:paraId="33B88A09" w14:textId="77777777" w:rsidR="005F4A7E" w:rsidRPr="0049488F" w:rsidRDefault="005F4A7E" w:rsidP="00130D1C">
      <w:pPr>
        <w:pStyle w:val="Heading6"/>
      </w:pPr>
      <w:bookmarkStart w:id="1032" w:name="_Toc85121540"/>
      <w:r>
        <w:t>Fair value measurement hierarchy</w:t>
      </w:r>
      <w:bookmarkEnd w:id="1032"/>
    </w:p>
    <w:tbl>
      <w:tblPr>
        <w:tblStyle w:val="TableGrid"/>
        <w:tblW w:w="9637" w:type="dxa"/>
        <w:tblLayout w:type="fixed"/>
        <w:tblLook w:val="06A0" w:firstRow="1" w:lastRow="0" w:firstColumn="1" w:lastColumn="0" w:noHBand="1" w:noVBand="1"/>
      </w:tblPr>
      <w:tblGrid>
        <w:gridCol w:w="5101"/>
        <w:gridCol w:w="1134"/>
        <w:gridCol w:w="1134"/>
        <w:gridCol w:w="1134"/>
        <w:gridCol w:w="1134"/>
      </w:tblGrid>
      <w:tr w:rsidR="005F4A7E" w:rsidRPr="002029AF" w14:paraId="6732C982"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5101" w:type="dxa"/>
            <w:vMerge w:val="restart"/>
            <w:hideMark/>
          </w:tcPr>
          <w:p w14:paraId="499455B5" w14:textId="77777777" w:rsidR="005F4A7E" w:rsidRPr="002029AF" w:rsidRDefault="005F4A7E" w:rsidP="00860E95">
            <w:pPr>
              <w:pStyle w:val="ARfintablecolhead"/>
            </w:pPr>
            <w:r>
              <w:t>2021</w:t>
            </w:r>
          </w:p>
        </w:tc>
        <w:tc>
          <w:tcPr>
            <w:tcW w:w="1134" w:type="dxa"/>
            <w:vMerge w:val="restart"/>
            <w:hideMark/>
          </w:tcPr>
          <w:p w14:paraId="5AA8E3CF" w14:textId="77777777" w:rsidR="005F4A7E" w:rsidRPr="002029AF" w:rsidRDefault="005F4A7E" w:rsidP="00860E95">
            <w:pPr>
              <w:pStyle w:val="ARfintablecolheadright"/>
            </w:pPr>
            <w:r w:rsidRPr="002029AF">
              <w:t>Carrying amount</w:t>
            </w:r>
          </w:p>
          <w:p w14:paraId="1C385AFC" w14:textId="77777777" w:rsidR="005F4A7E" w:rsidRPr="002029AF" w:rsidRDefault="005F4A7E" w:rsidP="00860E95">
            <w:pPr>
              <w:pStyle w:val="ARfintablecolheadright"/>
            </w:pPr>
            <w:r w:rsidRPr="002029AF">
              <w:t>$M</w:t>
            </w:r>
          </w:p>
        </w:tc>
        <w:tc>
          <w:tcPr>
            <w:tcW w:w="3402" w:type="dxa"/>
            <w:gridSpan w:val="3"/>
            <w:hideMark/>
          </w:tcPr>
          <w:p w14:paraId="390746C5" w14:textId="77777777" w:rsidR="005F4A7E" w:rsidRPr="002029AF" w:rsidRDefault="005F4A7E" w:rsidP="00860E95">
            <w:pPr>
              <w:pStyle w:val="ARfintablecolheadcentre"/>
            </w:pPr>
            <w:r w:rsidRPr="002029AF">
              <w:t xml:space="preserve">Fair value measurement at the end </w:t>
            </w:r>
            <w:r>
              <w:br/>
            </w:r>
            <w:r w:rsidRPr="002029AF">
              <w:t>of reporting period using:</w:t>
            </w:r>
          </w:p>
        </w:tc>
      </w:tr>
      <w:tr w:rsidR="005F4A7E" w:rsidRPr="002029AF" w14:paraId="7CB4D7BB"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5101" w:type="dxa"/>
            <w:vMerge/>
            <w:tcBorders>
              <w:bottom w:val="single" w:sz="4" w:space="0" w:color="auto"/>
            </w:tcBorders>
            <w:hideMark/>
          </w:tcPr>
          <w:p w14:paraId="2269672E" w14:textId="77777777" w:rsidR="005F4A7E" w:rsidRPr="002029AF" w:rsidRDefault="005F4A7E" w:rsidP="00860E95">
            <w:pPr>
              <w:pStyle w:val="ARfintablecolhead"/>
            </w:pPr>
          </w:p>
        </w:tc>
        <w:tc>
          <w:tcPr>
            <w:tcW w:w="1134" w:type="dxa"/>
            <w:vMerge/>
            <w:tcBorders>
              <w:bottom w:val="single" w:sz="4" w:space="0" w:color="auto"/>
            </w:tcBorders>
            <w:hideMark/>
          </w:tcPr>
          <w:p w14:paraId="40A81937" w14:textId="77777777" w:rsidR="005F4A7E" w:rsidRPr="002029AF" w:rsidRDefault="005F4A7E" w:rsidP="00860E95">
            <w:pPr>
              <w:pStyle w:val="ARfintablecolheadright"/>
            </w:pPr>
          </w:p>
        </w:tc>
        <w:tc>
          <w:tcPr>
            <w:tcW w:w="1134" w:type="dxa"/>
            <w:tcBorders>
              <w:bottom w:val="single" w:sz="4" w:space="0" w:color="auto"/>
            </w:tcBorders>
            <w:hideMark/>
          </w:tcPr>
          <w:p w14:paraId="0BDC3417" w14:textId="77777777" w:rsidR="005F4A7E" w:rsidRPr="002029AF" w:rsidRDefault="005F4A7E" w:rsidP="00860E95">
            <w:pPr>
              <w:pStyle w:val="ARfintablecolheadright"/>
            </w:pPr>
            <w:r w:rsidRPr="002029AF">
              <w:t xml:space="preserve">Level 1 </w:t>
            </w:r>
            <w:r w:rsidRPr="002029AF">
              <w:rPr>
                <w:rStyle w:val="Superscript"/>
              </w:rPr>
              <w:t>(i)</w:t>
            </w:r>
          </w:p>
          <w:p w14:paraId="19C7196B" w14:textId="77777777" w:rsidR="005F4A7E" w:rsidRPr="002029AF" w:rsidRDefault="005F4A7E" w:rsidP="00860E95">
            <w:pPr>
              <w:pStyle w:val="ARfintablecolheadright"/>
            </w:pPr>
            <w:r w:rsidRPr="002029AF">
              <w:t>$M</w:t>
            </w:r>
          </w:p>
        </w:tc>
        <w:tc>
          <w:tcPr>
            <w:tcW w:w="1134" w:type="dxa"/>
            <w:tcBorders>
              <w:bottom w:val="single" w:sz="4" w:space="0" w:color="auto"/>
            </w:tcBorders>
            <w:hideMark/>
          </w:tcPr>
          <w:p w14:paraId="0626E728" w14:textId="77777777" w:rsidR="005F4A7E" w:rsidRPr="002029AF" w:rsidRDefault="005F4A7E" w:rsidP="00860E95">
            <w:pPr>
              <w:pStyle w:val="ARfintablecolheadright"/>
            </w:pPr>
            <w:r w:rsidRPr="002029AF">
              <w:t xml:space="preserve">Level 2 </w:t>
            </w:r>
            <w:r w:rsidRPr="002029AF">
              <w:rPr>
                <w:rStyle w:val="Superscript"/>
              </w:rPr>
              <w:t>(i)</w:t>
            </w:r>
          </w:p>
          <w:p w14:paraId="1D7E8F5F" w14:textId="77777777" w:rsidR="005F4A7E" w:rsidRPr="002029AF" w:rsidRDefault="005F4A7E" w:rsidP="00860E95">
            <w:pPr>
              <w:pStyle w:val="ARfintablecolheadright"/>
            </w:pPr>
            <w:r w:rsidRPr="002029AF">
              <w:t>$M</w:t>
            </w:r>
          </w:p>
        </w:tc>
        <w:tc>
          <w:tcPr>
            <w:tcW w:w="1134" w:type="dxa"/>
            <w:tcBorders>
              <w:bottom w:val="single" w:sz="4" w:space="0" w:color="auto"/>
            </w:tcBorders>
            <w:hideMark/>
          </w:tcPr>
          <w:p w14:paraId="1B4EFEF0" w14:textId="77777777" w:rsidR="005F4A7E" w:rsidRPr="002029AF" w:rsidRDefault="005F4A7E" w:rsidP="00860E95">
            <w:pPr>
              <w:pStyle w:val="ARfintablecolheadright"/>
            </w:pPr>
            <w:r w:rsidRPr="002029AF">
              <w:t xml:space="preserve">Level 3 </w:t>
            </w:r>
            <w:r w:rsidRPr="002029AF">
              <w:rPr>
                <w:rStyle w:val="Superscript"/>
              </w:rPr>
              <w:t>(i)</w:t>
            </w:r>
          </w:p>
          <w:p w14:paraId="40970558" w14:textId="77777777" w:rsidR="005F4A7E" w:rsidRPr="002029AF" w:rsidRDefault="005F4A7E" w:rsidP="00860E95">
            <w:pPr>
              <w:pStyle w:val="ARfintablecolheadright"/>
            </w:pPr>
            <w:r w:rsidRPr="002029AF">
              <w:t>$M</w:t>
            </w:r>
          </w:p>
        </w:tc>
      </w:tr>
      <w:tr w:rsidR="005F4A7E" w:rsidRPr="002029AF" w14:paraId="678936F5" w14:textId="77777777" w:rsidTr="00860E95">
        <w:tc>
          <w:tcPr>
            <w:tcW w:w="9637" w:type="dxa"/>
            <w:gridSpan w:val="5"/>
            <w:tcBorders>
              <w:top w:val="single" w:sz="4" w:space="0" w:color="auto"/>
              <w:bottom w:val="single" w:sz="4" w:space="0" w:color="A6A6A6"/>
            </w:tcBorders>
            <w:hideMark/>
          </w:tcPr>
          <w:p w14:paraId="40C52E2C" w14:textId="77777777" w:rsidR="005F4A7E" w:rsidRPr="002029AF" w:rsidRDefault="005F4A7E" w:rsidP="00130D1C">
            <w:pPr>
              <w:pStyle w:val="ARfintablebodybold"/>
            </w:pPr>
            <w:r w:rsidRPr="000B736B">
              <w:t>Land at fair value</w:t>
            </w:r>
          </w:p>
        </w:tc>
      </w:tr>
      <w:tr w:rsidR="005F4A7E" w:rsidRPr="002029AF" w14:paraId="2B91FB0E" w14:textId="77777777" w:rsidTr="00860E95">
        <w:tc>
          <w:tcPr>
            <w:tcW w:w="5101" w:type="dxa"/>
            <w:tcBorders>
              <w:top w:val="single" w:sz="4" w:space="0" w:color="A6A6A6"/>
              <w:bottom w:val="single" w:sz="4" w:space="0" w:color="A6A6A6"/>
            </w:tcBorders>
            <w:hideMark/>
          </w:tcPr>
          <w:p w14:paraId="160E4134" w14:textId="77777777" w:rsidR="005F4A7E" w:rsidRPr="002029AF" w:rsidRDefault="005F4A7E" w:rsidP="00130D1C">
            <w:pPr>
              <w:pStyle w:val="ARfintablebody"/>
            </w:pPr>
            <w:r w:rsidRPr="000B736B">
              <w:t>Non-specialised land</w:t>
            </w:r>
          </w:p>
        </w:tc>
        <w:tc>
          <w:tcPr>
            <w:tcW w:w="1134" w:type="dxa"/>
            <w:tcBorders>
              <w:top w:val="single" w:sz="4" w:space="0" w:color="A6A6A6"/>
              <w:bottom w:val="single" w:sz="4" w:space="0" w:color="A6A6A6"/>
            </w:tcBorders>
            <w:noWrap/>
            <w:hideMark/>
          </w:tcPr>
          <w:p w14:paraId="3BE82675" w14:textId="77777777" w:rsidR="005F4A7E" w:rsidRPr="002029AF" w:rsidRDefault="005F4A7E" w:rsidP="00130D1C">
            <w:pPr>
              <w:pStyle w:val="ARfintablebodyright"/>
            </w:pPr>
            <w:r w:rsidRPr="000B736B">
              <w:t>22,346.5</w:t>
            </w:r>
          </w:p>
        </w:tc>
        <w:tc>
          <w:tcPr>
            <w:tcW w:w="1134" w:type="dxa"/>
            <w:tcBorders>
              <w:top w:val="single" w:sz="4" w:space="0" w:color="A6A6A6"/>
              <w:bottom w:val="single" w:sz="4" w:space="0" w:color="A6A6A6"/>
            </w:tcBorders>
            <w:noWrap/>
            <w:hideMark/>
          </w:tcPr>
          <w:p w14:paraId="541823AE" w14:textId="77777777" w:rsidR="005F4A7E" w:rsidRPr="002029AF" w:rsidRDefault="005F4A7E" w:rsidP="00130D1C">
            <w:pPr>
              <w:pStyle w:val="ARfintablebodyright"/>
            </w:pPr>
            <w:r w:rsidRPr="000B736B">
              <w:t>–</w:t>
            </w:r>
          </w:p>
        </w:tc>
        <w:tc>
          <w:tcPr>
            <w:tcW w:w="1134" w:type="dxa"/>
            <w:tcBorders>
              <w:top w:val="single" w:sz="4" w:space="0" w:color="A6A6A6"/>
              <w:bottom w:val="single" w:sz="4" w:space="0" w:color="A6A6A6"/>
            </w:tcBorders>
            <w:noWrap/>
            <w:hideMark/>
          </w:tcPr>
          <w:p w14:paraId="3D1DA77F" w14:textId="77777777" w:rsidR="005F4A7E" w:rsidRPr="002029AF" w:rsidRDefault="005F4A7E" w:rsidP="00130D1C">
            <w:pPr>
              <w:pStyle w:val="ARfintablebodyright"/>
            </w:pPr>
            <w:r w:rsidRPr="000B736B">
              <w:t>22,346.5</w:t>
            </w:r>
          </w:p>
        </w:tc>
        <w:tc>
          <w:tcPr>
            <w:tcW w:w="1134" w:type="dxa"/>
            <w:tcBorders>
              <w:top w:val="single" w:sz="4" w:space="0" w:color="A6A6A6"/>
              <w:bottom w:val="single" w:sz="4" w:space="0" w:color="A6A6A6"/>
            </w:tcBorders>
            <w:noWrap/>
            <w:hideMark/>
          </w:tcPr>
          <w:p w14:paraId="35AF9272" w14:textId="77777777" w:rsidR="005F4A7E" w:rsidRPr="002029AF" w:rsidRDefault="005F4A7E" w:rsidP="00130D1C">
            <w:pPr>
              <w:pStyle w:val="ARfintablebodyright"/>
            </w:pPr>
            <w:r w:rsidRPr="000B736B">
              <w:t>–</w:t>
            </w:r>
          </w:p>
        </w:tc>
      </w:tr>
      <w:tr w:rsidR="005F4A7E" w:rsidRPr="002029AF" w14:paraId="5C503373" w14:textId="77777777" w:rsidTr="00860E95">
        <w:tc>
          <w:tcPr>
            <w:tcW w:w="5101" w:type="dxa"/>
            <w:tcBorders>
              <w:top w:val="single" w:sz="4" w:space="0" w:color="A6A6A6"/>
            </w:tcBorders>
            <w:hideMark/>
          </w:tcPr>
          <w:p w14:paraId="1A59012F" w14:textId="77777777" w:rsidR="005F4A7E" w:rsidRPr="002029AF" w:rsidRDefault="005F4A7E" w:rsidP="00130D1C">
            <w:pPr>
              <w:pStyle w:val="ARfintablebody"/>
            </w:pPr>
            <w:r w:rsidRPr="000B736B">
              <w:t>Specialised land</w:t>
            </w:r>
          </w:p>
        </w:tc>
        <w:tc>
          <w:tcPr>
            <w:tcW w:w="1134" w:type="dxa"/>
            <w:tcBorders>
              <w:top w:val="single" w:sz="4" w:space="0" w:color="A6A6A6"/>
            </w:tcBorders>
            <w:noWrap/>
            <w:hideMark/>
          </w:tcPr>
          <w:p w14:paraId="638F2B48" w14:textId="77777777" w:rsidR="005F4A7E" w:rsidRPr="002029AF" w:rsidRDefault="005F4A7E" w:rsidP="00130D1C">
            <w:pPr>
              <w:pStyle w:val="ARfintablebodyright"/>
            </w:pPr>
            <w:r w:rsidRPr="000B736B">
              <w:t>723.7</w:t>
            </w:r>
          </w:p>
        </w:tc>
        <w:tc>
          <w:tcPr>
            <w:tcW w:w="1134" w:type="dxa"/>
            <w:tcBorders>
              <w:top w:val="single" w:sz="4" w:space="0" w:color="A6A6A6"/>
            </w:tcBorders>
            <w:noWrap/>
            <w:hideMark/>
          </w:tcPr>
          <w:p w14:paraId="067C66BD" w14:textId="77777777" w:rsidR="005F4A7E" w:rsidRPr="002029AF" w:rsidRDefault="005F4A7E" w:rsidP="00130D1C">
            <w:pPr>
              <w:pStyle w:val="ARfintablebodyright"/>
            </w:pPr>
            <w:r w:rsidRPr="000B736B">
              <w:t>–</w:t>
            </w:r>
          </w:p>
        </w:tc>
        <w:tc>
          <w:tcPr>
            <w:tcW w:w="1134" w:type="dxa"/>
            <w:tcBorders>
              <w:top w:val="single" w:sz="4" w:space="0" w:color="A6A6A6"/>
            </w:tcBorders>
            <w:noWrap/>
            <w:hideMark/>
          </w:tcPr>
          <w:p w14:paraId="6D7E249E" w14:textId="77777777" w:rsidR="005F4A7E" w:rsidRPr="002029AF" w:rsidRDefault="005F4A7E" w:rsidP="00130D1C">
            <w:pPr>
              <w:pStyle w:val="ARfintablebodyright"/>
            </w:pPr>
            <w:r w:rsidRPr="000B736B">
              <w:t>77.2</w:t>
            </w:r>
          </w:p>
        </w:tc>
        <w:tc>
          <w:tcPr>
            <w:tcW w:w="1134" w:type="dxa"/>
            <w:tcBorders>
              <w:top w:val="single" w:sz="4" w:space="0" w:color="A6A6A6"/>
            </w:tcBorders>
            <w:noWrap/>
            <w:hideMark/>
          </w:tcPr>
          <w:p w14:paraId="1B4FB7F0" w14:textId="77777777" w:rsidR="005F4A7E" w:rsidRPr="002029AF" w:rsidRDefault="005F4A7E" w:rsidP="00130D1C">
            <w:pPr>
              <w:pStyle w:val="ARfintablebodyright"/>
            </w:pPr>
            <w:r w:rsidRPr="000B736B">
              <w:t>646.5</w:t>
            </w:r>
          </w:p>
        </w:tc>
      </w:tr>
      <w:tr w:rsidR="005F4A7E" w:rsidRPr="002029AF" w14:paraId="4E7CF26B" w14:textId="77777777" w:rsidTr="00860E95">
        <w:tc>
          <w:tcPr>
            <w:tcW w:w="5101" w:type="dxa"/>
            <w:tcBorders>
              <w:bottom w:val="single" w:sz="4" w:space="0" w:color="auto"/>
            </w:tcBorders>
            <w:hideMark/>
          </w:tcPr>
          <w:p w14:paraId="0BD2A4A3" w14:textId="77777777" w:rsidR="005F4A7E" w:rsidRPr="002029AF" w:rsidRDefault="005F4A7E" w:rsidP="00130D1C">
            <w:pPr>
              <w:pStyle w:val="ARfintablebodybold"/>
            </w:pPr>
            <w:r w:rsidRPr="000B736B">
              <w:t>Total land at fair value</w:t>
            </w:r>
          </w:p>
        </w:tc>
        <w:tc>
          <w:tcPr>
            <w:tcW w:w="1134" w:type="dxa"/>
            <w:tcBorders>
              <w:bottom w:val="single" w:sz="4" w:space="0" w:color="auto"/>
            </w:tcBorders>
            <w:noWrap/>
            <w:hideMark/>
          </w:tcPr>
          <w:p w14:paraId="2B02BD3C" w14:textId="77777777" w:rsidR="005F4A7E" w:rsidRPr="002029AF" w:rsidRDefault="005F4A7E" w:rsidP="00130D1C">
            <w:pPr>
              <w:pStyle w:val="ARfintablebodyrightbold"/>
            </w:pPr>
            <w:r w:rsidRPr="000B736B">
              <w:t>23,070.2</w:t>
            </w:r>
          </w:p>
        </w:tc>
        <w:tc>
          <w:tcPr>
            <w:tcW w:w="1134" w:type="dxa"/>
            <w:tcBorders>
              <w:bottom w:val="single" w:sz="4" w:space="0" w:color="auto"/>
            </w:tcBorders>
            <w:noWrap/>
            <w:hideMark/>
          </w:tcPr>
          <w:p w14:paraId="23226D3B" w14:textId="77777777" w:rsidR="005F4A7E" w:rsidRPr="002029AF" w:rsidRDefault="005F4A7E" w:rsidP="00130D1C">
            <w:pPr>
              <w:pStyle w:val="ARfintablebodyrightbold"/>
            </w:pPr>
            <w:r w:rsidRPr="000B736B">
              <w:t>–</w:t>
            </w:r>
          </w:p>
        </w:tc>
        <w:tc>
          <w:tcPr>
            <w:tcW w:w="1134" w:type="dxa"/>
            <w:tcBorders>
              <w:bottom w:val="single" w:sz="4" w:space="0" w:color="auto"/>
            </w:tcBorders>
            <w:noWrap/>
            <w:hideMark/>
          </w:tcPr>
          <w:p w14:paraId="7AC54061" w14:textId="77777777" w:rsidR="005F4A7E" w:rsidRPr="002029AF" w:rsidRDefault="005F4A7E" w:rsidP="00130D1C">
            <w:pPr>
              <w:pStyle w:val="ARfintablebodyrightbold"/>
            </w:pPr>
            <w:r w:rsidRPr="000B736B">
              <w:t>22,423.7</w:t>
            </w:r>
          </w:p>
        </w:tc>
        <w:tc>
          <w:tcPr>
            <w:tcW w:w="1134" w:type="dxa"/>
            <w:tcBorders>
              <w:bottom w:val="single" w:sz="4" w:space="0" w:color="auto"/>
            </w:tcBorders>
            <w:noWrap/>
            <w:hideMark/>
          </w:tcPr>
          <w:p w14:paraId="7C43C22B" w14:textId="77777777" w:rsidR="005F4A7E" w:rsidRPr="002029AF" w:rsidRDefault="005F4A7E" w:rsidP="00130D1C">
            <w:pPr>
              <w:pStyle w:val="ARfintablebodyrightbold"/>
            </w:pPr>
            <w:r w:rsidRPr="000B736B">
              <w:t>646.5</w:t>
            </w:r>
          </w:p>
        </w:tc>
      </w:tr>
      <w:tr w:rsidR="005F4A7E" w:rsidRPr="002029AF" w14:paraId="29A8C2CB" w14:textId="77777777" w:rsidTr="00860E95">
        <w:tc>
          <w:tcPr>
            <w:tcW w:w="9637" w:type="dxa"/>
            <w:gridSpan w:val="5"/>
            <w:tcBorders>
              <w:top w:val="single" w:sz="4" w:space="0" w:color="auto"/>
              <w:bottom w:val="single" w:sz="4" w:space="0" w:color="A6A6A6"/>
            </w:tcBorders>
            <w:hideMark/>
          </w:tcPr>
          <w:p w14:paraId="2A6CC405" w14:textId="77777777" w:rsidR="005F4A7E" w:rsidRPr="002029AF" w:rsidRDefault="005F4A7E" w:rsidP="00130D1C">
            <w:pPr>
              <w:pStyle w:val="ARfintablebodybold"/>
            </w:pPr>
            <w:r w:rsidRPr="000B736B">
              <w:t>Buildings at fair value</w:t>
            </w:r>
          </w:p>
        </w:tc>
      </w:tr>
      <w:tr w:rsidR="005F4A7E" w:rsidRPr="002029AF" w14:paraId="54353125" w14:textId="77777777" w:rsidTr="00860E95">
        <w:tc>
          <w:tcPr>
            <w:tcW w:w="5101" w:type="dxa"/>
            <w:tcBorders>
              <w:top w:val="single" w:sz="4" w:space="0" w:color="A6A6A6"/>
              <w:bottom w:val="single" w:sz="4" w:space="0" w:color="A6A6A6"/>
            </w:tcBorders>
            <w:hideMark/>
          </w:tcPr>
          <w:p w14:paraId="4A45AA74" w14:textId="77777777" w:rsidR="005F4A7E" w:rsidRPr="002029AF" w:rsidRDefault="005F4A7E" w:rsidP="00130D1C">
            <w:pPr>
              <w:pStyle w:val="ARfintablebody"/>
            </w:pPr>
            <w:r w:rsidRPr="000B736B">
              <w:t>Non-specialised building</w:t>
            </w:r>
          </w:p>
        </w:tc>
        <w:tc>
          <w:tcPr>
            <w:tcW w:w="1134" w:type="dxa"/>
            <w:tcBorders>
              <w:top w:val="single" w:sz="4" w:space="0" w:color="A6A6A6"/>
              <w:bottom w:val="single" w:sz="4" w:space="0" w:color="A6A6A6"/>
            </w:tcBorders>
            <w:noWrap/>
            <w:hideMark/>
          </w:tcPr>
          <w:p w14:paraId="6DA913A2" w14:textId="77777777" w:rsidR="005F4A7E" w:rsidRPr="002029AF" w:rsidRDefault="005F4A7E" w:rsidP="00130D1C">
            <w:pPr>
              <w:pStyle w:val="ARfintablebodyright"/>
            </w:pPr>
            <w:r w:rsidRPr="000B736B">
              <w:t>8,995.5</w:t>
            </w:r>
          </w:p>
        </w:tc>
        <w:tc>
          <w:tcPr>
            <w:tcW w:w="1134" w:type="dxa"/>
            <w:tcBorders>
              <w:top w:val="single" w:sz="4" w:space="0" w:color="A6A6A6"/>
              <w:bottom w:val="single" w:sz="4" w:space="0" w:color="A6A6A6"/>
            </w:tcBorders>
            <w:noWrap/>
            <w:hideMark/>
          </w:tcPr>
          <w:p w14:paraId="0A63127C" w14:textId="77777777" w:rsidR="005F4A7E" w:rsidRPr="002029AF" w:rsidRDefault="005F4A7E" w:rsidP="00130D1C">
            <w:pPr>
              <w:pStyle w:val="ARfintablebodyright"/>
            </w:pPr>
            <w:r w:rsidRPr="000B736B">
              <w:t>–</w:t>
            </w:r>
          </w:p>
        </w:tc>
        <w:tc>
          <w:tcPr>
            <w:tcW w:w="1134" w:type="dxa"/>
            <w:tcBorders>
              <w:top w:val="single" w:sz="4" w:space="0" w:color="A6A6A6"/>
              <w:bottom w:val="single" w:sz="4" w:space="0" w:color="A6A6A6"/>
            </w:tcBorders>
            <w:noWrap/>
            <w:hideMark/>
          </w:tcPr>
          <w:p w14:paraId="15C8D06D" w14:textId="77777777" w:rsidR="005F4A7E" w:rsidRPr="002029AF" w:rsidRDefault="005F4A7E" w:rsidP="00130D1C">
            <w:pPr>
              <w:pStyle w:val="ARfintablebodyright"/>
            </w:pPr>
            <w:r w:rsidRPr="000B736B">
              <w:t>8,995.5</w:t>
            </w:r>
          </w:p>
        </w:tc>
        <w:tc>
          <w:tcPr>
            <w:tcW w:w="1134" w:type="dxa"/>
            <w:tcBorders>
              <w:top w:val="single" w:sz="4" w:space="0" w:color="A6A6A6"/>
              <w:bottom w:val="single" w:sz="4" w:space="0" w:color="A6A6A6"/>
            </w:tcBorders>
            <w:noWrap/>
            <w:hideMark/>
          </w:tcPr>
          <w:p w14:paraId="53F0B3F9" w14:textId="77777777" w:rsidR="005F4A7E" w:rsidRPr="002029AF" w:rsidRDefault="005F4A7E" w:rsidP="00130D1C">
            <w:pPr>
              <w:pStyle w:val="ARfintablebodyright"/>
            </w:pPr>
            <w:r w:rsidRPr="000B736B">
              <w:t>–</w:t>
            </w:r>
          </w:p>
        </w:tc>
      </w:tr>
      <w:tr w:rsidR="005F4A7E" w:rsidRPr="002029AF" w14:paraId="5365185C" w14:textId="77777777" w:rsidTr="00860E95">
        <w:tc>
          <w:tcPr>
            <w:tcW w:w="5101" w:type="dxa"/>
            <w:tcBorders>
              <w:top w:val="single" w:sz="4" w:space="0" w:color="A6A6A6"/>
            </w:tcBorders>
            <w:hideMark/>
          </w:tcPr>
          <w:p w14:paraId="17AB428B" w14:textId="77777777" w:rsidR="005F4A7E" w:rsidRPr="002029AF" w:rsidRDefault="005F4A7E" w:rsidP="00130D1C">
            <w:pPr>
              <w:pStyle w:val="ARfintablebody"/>
            </w:pPr>
            <w:r w:rsidRPr="000B736B">
              <w:t>Specialised building</w:t>
            </w:r>
          </w:p>
        </w:tc>
        <w:tc>
          <w:tcPr>
            <w:tcW w:w="1134" w:type="dxa"/>
            <w:tcBorders>
              <w:top w:val="single" w:sz="4" w:space="0" w:color="A6A6A6"/>
            </w:tcBorders>
            <w:noWrap/>
            <w:hideMark/>
          </w:tcPr>
          <w:p w14:paraId="202489C4" w14:textId="77777777" w:rsidR="005F4A7E" w:rsidRPr="002029AF" w:rsidRDefault="005F4A7E" w:rsidP="00130D1C">
            <w:pPr>
              <w:pStyle w:val="ARfintablebodyright"/>
            </w:pPr>
            <w:r w:rsidRPr="000B736B">
              <w:t>645.1</w:t>
            </w:r>
          </w:p>
        </w:tc>
        <w:tc>
          <w:tcPr>
            <w:tcW w:w="1134" w:type="dxa"/>
            <w:tcBorders>
              <w:top w:val="single" w:sz="4" w:space="0" w:color="A6A6A6"/>
            </w:tcBorders>
            <w:noWrap/>
            <w:hideMark/>
          </w:tcPr>
          <w:p w14:paraId="34C5F1AE" w14:textId="77777777" w:rsidR="005F4A7E" w:rsidRPr="002029AF" w:rsidRDefault="005F4A7E" w:rsidP="00130D1C">
            <w:pPr>
              <w:pStyle w:val="ARfintablebodyright"/>
            </w:pPr>
            <w:r w:rsidRPr="000B736B">
              <w:t>–</w:t>
            </w:r>
          </w:p>
        </w:tc>
        <w:tc>
          <w:tcPr>
            <w:tcW w:w="1134" w:type="dxa"/>
            <w:tcBorders>
              <w:top w:val="single" w:sz="4" w:space="0" w:color="A6A6A6"/>
            </w:tcBorders>
            <w:noWrap/>
            <w:hideMark/>
          </w:tcPr>
          <w:p w14:paraId="28D57302" w14:textId="77777777" w:rsidR="005F4A7E" w:rsidRPr="002029AF" w:rsidRDefault="005F4A7E" w:rsidP="00130D1C">
            <w:pPr>
              <w:pStyle w:val="ARfintablebodyright"/>
            </w:pPr>
            <w:r w:rsidRPr="000B736B">
              <w:t>0.9</w:t>
            </w:r>
          </w:p>
        </w:tc>
        <w:tc>
          <w:tcPr>
            <w:tcW w:w="1134" w:type="dxa"/>
            <w:tcBorders>
              <w:top w:val="single" w:sz="4" w:space="0" w:color="A6A6A6"/>
            </w:tcBorders>
            <w:noWrap/>
            <w:hideMark/>
          </w:tcPr>
          <w:p w14:paraId="1FA9E28E" w14:textId="77777777" w:rsidR="005F4A7E" w:rsidRPr="002029AF" w:rsidRDefault="005F4A7E" w:rsidP="00130D1C">
            <w:pPr>
              <w:pStyle w:val="ARfintablebodyright"/>
            </w:pPr>
            <w:r w:rsidRPr="000B736B">
              <w:t>644.2</w:t>
            </w:r>
          </w:p>
        </w:tc>
      </w:tr>
      <w:tr w:rsidR="005F4A7E" w:rsidRPr="002029AF" w14:paraId="4AB01D9B" w14:textId="77777777" w:rsidTr="00860E95">
        <w:tc>
          <w:tcPr>
            <w:tcW w:w="5101" w:type="dxa"/>
            <w:tcBorders>
              <w:bottom w:val="single" w:sz="4" w:space="0" w:color="auto"/>
            </w:tcBorders>
            <w:hideMark/>
          </w:tcPr>
          <w:p w14:paraId="686452CB" w14:textId="77777777" w:rsidR="005F4A7E" w:rsidRPr="002029AF" w:rsidRDefault="005F4A7E" w:rsidP="00130D1C">
            <w:pPr>
              <w:pStyle w:val="ARfintablebodybold"/>
            </w:pPr>
            <w:r w:rsidRPr="000B736B">
              <w:t>Total buildings at fair value</w:t>
            </w:r>
          </w:p>
        </w:tc>
        <w:tc>
          <w:tcPr>
            <w:tcW w:w="1134" w:type="dxa"/>
            <w:tcBorders>
              <w:bottom w:val="single" w:sz="4" w:space="0" w:color="auto"/>
            </w:tcBorders>
            <w:noWrap/>
            <w:hideMark/>
          </w:tcPr>
          <w:p w14:paraId="6BC919A0" w14:textId="77777777" w:rsidR="005F4A7E" w:rsidRPr="002029AF" w:rsidRDefault="005F4A7E" w:rsidP="00130D1C">
            <w:pPr>
              <w:pStyle w:val="ARfintablebodyrightbold"/>
            </w:pPr>
            <w:r w:rsidRPr="000B736B">
              <w:t>9,640.6</w:t>
            </w:r>
          </w:p>
        </w:tc>
        <w:tc>
          <w:tcPr>
            <w:tcW w:w="1134" w:type="dxa"/>
            <w:tcBorders>
              <w:bottom w:val="single" w:sz="4" w:space="0" w:color="auto"/>
            </w:tcBorders>
            <w:noWrap/>
            <w:hideMark/>
          </w:tcPr>
          <w:p w14:paraId="1CE8EDD6" w14:textId="77777777" w:rsidR="005F4A7E" w:rsidRPr="002029AF" w:rsidRDefault="005F4A7E" w:rsidP="00130D1C">
            <w:pPr>
              <w:pStyle w:val="ARfintablebodyrightbold"/>
            </w:pPr>
            <w:r w:rsidRPr="000B736B">
              <w:t>–</w:t>
            </w:r>
          </w:p>
        </w:tc>
        <w:tc>
          <w:tcPr>
            <w:tcW w:w="1134" w:type="dxa"/>
            <w:tcBorders>
              <w:bottom w:val="single" w:sz="4" w:space="0" w:color="auto"/>
            </w:tcBorders>
            <w:noWrap/>
            <w:hideMark/>
          </w:tcPr>
          <w:p w14:paraId="2EF8F4FF" w14:textId="77777777" w:rsidR="005F4A7E" w:rsidRPr="002029AF" w:rsidRDefault="005F4A7E" w:rsidP="00130D1C">
            <w:pPr>
              <w:pStyle w:val="ARfintablebodyrightbold"/>
            </w:pPr>
            <w:r w:rsidRPr="000B736B">
              <w:t>8,996.4</w:t>
            </w:r>
          </w:p>
        </w:tc>
        <w:tc>
          <w:tcPr>
            <w:tcW w:w="1134" w:type="dxa"/>
            <w:tcBorders>
              <w:bottom w:val="single" w:sz="4" w:space="0" w:color="auto"/>
            </w:tcBorders>
            <w:noWrap/>
            <w:hideMark/>
          </w:tcPr>
          <w:p w14:paraId="1FDBB4B4" w14:textId="77777777" w:rsidR="005F4A7E" w:rsidRPr="002029AF" w:rsidRDefault="005F4A7E" w:rsidP="00130D1C">
            <w:pPr>
              <w:pStyle w:val="ARfintablebodyrightbold"/>
            </w:pPr>
            <w:r w:rsidRPr="000B736B">
              <w:t>644.2</w:t>
            </w:r>
          </w:p>
        </w:tc>
      </w:tr>
      <w:tr w:rsidR="005F4A7E" w:rsidRPr="002029AF" w14:paraId="1CEA0298" w14:textId="77777777" w:rsidTr="00860E95">
        <w:tc>
          <w:tcPr>
            <w:tcW w:w="9637" w:type="dxa"/>
            <w:gridSpan w:val="5"/>
            <w:tcBorders>
              <w:top w:val="single" w:sz="4" w:space="0" w:color="auto"/>
              <w:bottom w:val="single" w:sz="4" w:space="0" w:color="A6A6A6"/>
            </w:tcBorders>
            <w:hideMark/>
          </w:tcPr>
          <w:p w14:paraId="616C9055" w14:textId="77777777" w:rsidR="005F4A7E" w:rsidRPr="002029AF" w:rsidRDefault="005F4A7E" w:rsidP="00130D1C">
            <w:pPr>
              <w:pStyle w:val="ARfintablebodybold"/>
            </w:pPr>
            <w:r w:rsidRPr="000B736B">
              <w:t>Plant, equipment and vehicles at fair value</w:t>
            </w:r>
          </w:p>
        </w:tc>
      </w:tr>
      <w:tr w:rsidR="005F4A7E" w:rsidRPr="002029AF" w14:paraId="61DF49D2" w14:textId="77777777" w:rsidTr="00860E95">
        <w:tc>
          <w:tcPr>
            <w:tcW w:w="5101" w:type="dxa"/>
            <w:tcBorders>
              <w:top w:val="single" w:sz="4" w:space="0" w:color="A6A6A6"/>
              <w:bottom w:val="single" w:sz="4" w:space="0" w:color="A6A6A6"/>
            </w:tcBorders>
            <w:hideMark/>
          </w:tcPr>
          <w:p w14:paraId="58724268" w14:textId="77777777" w:rsidR="005F4A7E" w:rsidRPr="002029AF" w:rsidRDefault="005F4A7E" w:rsidP="00130D1C">
            <w:pPr>
              <w:pStyle w:val="ARfintablebody"/>
            </w:pPr>
            <w:r w:rsidRPr="000B736B">
              <w:t>Plant and equipment</w:t>
            </w:r>
          </w:p>
        </w:tc>
        <w:tc>
          <w:tcPr>
            <w:tcW w:w="1134" w:type="dxa"/>
            <w:tcBorders>
              <w:top w:val="single" w:sz="4" w:space="0" w:color="A6A6A6"/>
              <w:bottom w:val="single" w:sz="4" w:space="0" w:color="A6A6A6"/>
            </w:tcBorders>
            <w:noWrap/>
            <w:hideMark/>
          </w:tcPr>
          <w:p w14:paraId="326A6AAC" w14:textId="77777777" w:rsidR="005F4A7E" w:rsidRPr="002029AF" w:rsidRDefault="005F4A7E" w:rsidP="00130D1C">
            <w:pPr>
              <w:pStyle w:val="ARfintablebodyright"/>
            </w:pPr>
            <w:r w:rsidRPr="000B736B">
              <w:t>2.7</w:t>
            </w:r>
          </w:p>
        </w:tc>
        <w:tc>
          <w:tcPr>
            <w:tcW w:w="1134" w:type="dxa"/>
            <w:tcBorders>
              <w:top w:val="single" w:sz="4" w:space="0" w:color="A6A6A6"/>
              <w:bottom w:val="single" w:sz="4" w:space="0" w:color="A6A6A6"/>
            </w:tcBorders>
            <w:noWrap/>
            <w:hideMark/>
          </w:tcPr>
          <w:p w14:paraId="378B08A0" w14:textId="77777777" w:rsidR="005F4A7E" w:rsidRPr="002029AF" w:rsidRDefault="005F4A7E" w:rsidP="00130D1C">
            <w:pPr>
              <w:pStyle w:val="ARfintablebodyright"/>
            </w:pPr>
            <w:r w:rsidRPr="000B736B">
              <w:t>–</w:t>
            </w:r>
          </w:p>
        </w:tc>
        <w:tc>
          <w:tcPr>
            <w:tcW w:w="1134" w:type="dxa"/>
            <w:tcBorders>
              <w:top w:val="single" w:sz="4" w:space="0" w:color="A6A6A6"/>
              <w:bottom w:val="single" w:sz="4" w:space="0" w:color="A6A6A6"/>
            </w:tcBorders>
            <w:noWrap/>
            <w:hideMark/>
          </w:tcPr>
          <w:p w14:paraId="6BD6A82E" w14:textId="77777777" w:rsidR="005F4A7E" w:rsidRPr="002029AF" w:rsidRDefault="005F4A7E" w:rsidP="00130D1C">
            <w:pPr>
              <w:pStyle w:val="ARfintablebodyright"/>
            </w:pPr>
            <w:r w:rsidRPr="000B736B">
              <w:t>–</w:t>
            </w:r>
          </w:p>
        </w:tc>
        <w:tc>
          <w:tcPr>
            <w:tcW w:w="1134" w:type="dxa"/>
            <w:tcBorders>
              <w:top w:val="single" w:sz="4" w:space="0" w:color="A6A6A6"/>
              <w:bottom w:val="single" w:sz="4" w:space="0" w:color="A6A6A6"/>
            </w:tcBorders>
            <w:noWrap/>
            <w:hideMark/>
          </w:tcPr>
          <w:p w14:paraId="24FEE68C" w14:textId="77777777" w:rsidR="005F4A7E" w:rsidRPr="002029AF" w:rsidRDefault="005F4A7E" w:rsidP="00130D1C">
            <w:pPr>
              <w:pStyle w:val="ARfintablebodyright"/>
            </w:pPr>
            <w:r w:rsidRPr="000B736B">
              <w:t>2.7</w:t>
            </w:r>
          </w:p>
        </w:tc>
      </w:tr>
      <w:tr w:rsidR="005F4A7E" w:rsidRPr="002029AF" w14:paraId="06EAE873" w14:textId="77777777" w:rsidTr="00860E95">
        <w:tc>
          <w:tcPr>
            <w:tcW w:w="5101" w:type="dxa"/>
            <w:tcBorders>
              <w:top w:val="single" w:sz="4" w:space="0" w:color="A6A6A6"/>
            </w:tcBorders>
            <w:hideMark/>
          </w:tcPr>
          <w:p w14:paraId="4E1FE9A3" w14:textId="77777777" w:rsidR="005F4A7E" w:rsidRPr="002029AF" w:rsidRDefault="005F4A7E" w:rsidP="00130D1C">
            <w:pPr>
              <w:pStyle w:val="ARfintablebody"/>
            </w:pPr>
            <w:r w:rsidRPr="000B736B">
              <w:t>Motor vehicles</w:t>
            </w:r>
          </w:p>
        </w:tc>
        <w:tc>
          <w:tcPr>
            <w:tcW w:w="1134" w:type="dxa"/>
            <w:tcBorders>
              <w:top w:val="single" w:sz="4" w:space="0" w:color="A6A6A6"/>
            </w:tcBorders>
            <w:noWrap/>
            <w:hideMark/>
          </w:tcPr>
          <w:p w14:paraId="3952DEB8" w14:textId="77777777" w:rsidR="005F4A7E" w:rsidRPr="002029AF" w:rsidRDefault="005F4A7E" w:rsidP="00130D1C">
            <w:pPr>
              <w:pStyle w:val="ARfintablebodyright"/>
            </w:pPr>
            <w:r w:rsidRPr="000B736B">
              <w:t>0.3</w:t>
            </w:r>
          </w:p>
        </w:tc>
        <w:tc>
          <w:tcPr>
            <w:tcW w:w="1134" w:type="dxa"/>
            <w:tcBorders>
              <w:top w:val="single" w:sz="4" w:space="0" w:color="A6A6A6"/>
            </w:tcBorders>
            <w:noWrap/>
            <w:hideMark/>
          </w:tcPr>
          <w:p w14:paraId="3B36FDC7" w14:textId="77777777" w:rsidR="005F4A7E" w:rsidRPr="002029AF" w:rsidRDefault="005F4A7E" w:rsidP="00130D1C">
            <w:pPr>
              <w:pStyle w:val="ARfintablebodyright"/>
            </w:pPr>
            <w:r w:rsidRPr="000B736B">
              <w:t>–</w:t>
            </w:r>
          </w:p>
        </w:tc>
        <w:tc>
          <w:tcPr>
            <w:tcW w:w="1134" w:type="dxa"/>
            <w:tcBorders>
              <w:top w:val="single" w:sz="4" w:space="0" w:color="A6A6A6"/>
            </w:tcBorders>
            <w:noWrap/>
            <w:hideMark/>
          </w:tcPr>
          <w:p w14:paraId="47B29954" w14:textId="77777777" w:rsidR="005F4A7E" w:rsidRPr="002029AF" w:rsidRDefault="005F4A7E" w:rsidP="00130D1C">
            <w:pPr>
              <w:pStyle w:val="ARfintablebodyright"/>
            </w:pPr>
            <w:r w:rsidRPr="000B736B">
              <w:t>–</w:t>
            </w:r>
          </w:p>
        </w:tc>
        <w:tc>
          <w:tcPr>
            <w:tcW w:w="1134" w:type="dxa"/>
            <w:tcBorders>
              <w:top w:val="single" w:sz="4" w:space="0" w:color="A6A6A6"/>
            </w:tcBorders>
            <w:noWrap/>
            <w:hideMark/>
          </w:tcPr>
          <w:p w14:paraId="29B103C8" w14:textId="77777777" w:rsidR="005F4A7E" w:rsidRPr="002029AF" w:rsidRDefault="005F4A7E" w:rsidP="00130D1C">
            <w:pPr>
              <w:pStyle w:val="ARfintablebodyright"/>
            </w:pPr>
            <w:r w:rsidRPr="000B736B">
              <w:t>0.3</w:t>
            </w:r>
          </w:p>
        </w:tc>
      </w:tr>
      <w:tr w:rsidR="005F4A7E" w:rsidRPr="002029AF" w14:paraId="019FD3B1" w14:textId="77777777" w:rsidTr="00860E95">
        <w:tc>
          <w:tcPr>
            <w:tcW w:w="5101" w:type="dxa"/>
            <w:hideMark/>
          </w:tcPr>
          <w:p w14:paraId="7CE4409E" w14:textId="77777777" w:rsidR="005F4A7E" w:rsidRPr="002029AF" w:rsidRDefault="005F4A7E" w:rsidP="00130D1C">
            <w:pPr>
              <w:pStyle w:val="ARfintablebodybold"/>
            </w:pPr>
            <w:r w:rsidRPr="000B736B">
              <w:t>Total plant, equipment and vehicles at fair value</w:t>
            </w:r>
          </w:p>
        </w:tc>
        <w:tc>
          <w:tcPr>
            <w:tcW w:w="1134" w:type="dxa"/>
            <w:noWrap/>
            <w:hideMark/>
          </w:tcPr>
          <w:p w14:paraId="5B8FDA1E" w14:textId="77777777" w:rsidR="005F4A7E" w:rsidRPr="002029AF" w:rsidRDefault="005F4A7E" w:rsidP="00130D1C">
            <w:pPr>
              <w:pStyle w:val="ARfintablebodyrightbold"/>
            </w:pPr>
            <w:r w:rsidRPr="000B736B">
              <w:t xml:space="preserve">3.1 </w:t>
            </w:r>
          </w:p>
        </w:tc>
        <w:tc>
          <w:tcPr>
            <w:tcW w:w="1134" w:type="dxa"/>
            <w:noWrap/>
            <w:hideMark/>
          </w:tcPr>
          <w:p w14:paraId="38AFA051" w14:textId="77777777" w:rsidR="005F4A7E" w:rsidRPr="002029AF" w:rsidRDefault="005F4A7E" w:rsidP="00130D1C">
            <w:pPr>
              <w:pStyle w:val="ARfintablebodyrightbold"/>
            </w:pPr>
            <w:r w:rsidRPr="000B736B">
              <w:t xml:space="preserve"> – </w:t>
            </w:r>
          </w:p>
        </w:tc>
        <w:tc>
          <w:tcPr>
            <w:tcW w:w="1134" w:type="dxa"/>
            <w:noWrap/>
            <w:hideMark/>
          </w:tcPr>
          <w:p w14:paraId="44A62116" w14:textId="77777777" w:rsidR="005F4A7E" w:rsidRPr="002029AF" w:rsidRDefault="005F4A7E" w:rsidP="00130D1C">
            <w:pPr>
              <w:pStyle w:val="ARfintablebodyrightbold"/>
            </w:pPr>
            <w:r w:rsidRPr="000B736B">
              <w:t xml:space="preserve"> – </w:t>
            </w:r>
          </w:p>
        </w:tc>
        <w:tc>
          <w:tcPr>
            <w:tcW w:w="1134" w:type="dxa"/>
            <w:noWrap/>
            <w:hideMark/>
          </w:tcPr>
          <w:p w14:paraId="345024C8" w14:textId="77777777" w:rsidR="005F4A7E" w:rsidRPr="002029AF" w:rsidRDefault="005F4A7E" w:rsidP="00130D1C">
            <w:pPr>
              <w:pStyle w:val="ARfintablebodyrightbold"/>
            </w:pPr>
            <w:r w:rsidRPr="000B736B">
              <w:t xml:space="preserve">3.1 </w:t>
            </w:r>
          </w:p>
        </w:tc>
      </w:tr>
    </w:tbl>
    <w:p w14:paraId="6B88E844" w14:textId="77777777" w:rsidR="005F4A7E" w:rsidRPr="002029AF" w:rsidRDefault="005F4A7E" w:rsidP="00087B91">
      <w:pPr>
        <w:pStyle w:val="ARfinbody"/>
      </w:pPr>
    </w:p>
    <w:tbl>
      <w:tblPr>
        <w:tblStyle w:val="TableGrid"/>
        <w:tblW w:w="9637" w:type="dxa"/>
        <w:tblLayout w:type="fixed"/>
        <w:tblLook w:val="06A0" w:firstRow="1" w:lastRow="0" w:firstColumn="1" w:lastColumn="0" w:noHBand="1" w:noVBand="1"/>
      </w:tblPr>
      <w:tblGrid>
        <w:gridCol w:w="5101"/>
        <w:gridCol w:w="1134"/>
        <w:gridCol w:w="1134"/>
        <w:gridCol w:w="1134"/>
        <w:gridCol w:w="1134"/>
      </w:tblGrid>
      <w:tr w:rsidR="005F4A7E" w:rsidRPr="002029AF" w14:paraId="708BDCDD"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5101" w:type="dxa"/>
            <w:vMerge w:val="restart"/>
            <w:hideMark/>
          </w:tcPr>
          <w:p w14:paraId="7E437708" w14:textId="77777777" w:rsidR="005F4A7E" w:rsidRPr="002029AF" w:rsidRDefault="005F4A7E" w:rsidP="00860E95">
            <w:pPr>
              <w:pStyle w:val="ARfintablecolhead"/>
            </w:pPr>
            <w:r>
              <w:t>2020</w:t>
            </w:r>
          </w:p>
        </w:tc>
        <w:tc>
          <w:tcPr>
            <w:tcW w:w="1134" w:type="dxa"/>
            <w:vMerge w:val="restart"/>
            <w:hideMark/>
          </w:tcPr>
          <w:p w14:paraId="7D3A5CB9" w14:textId="77777777" w:rsidR="005F4A7E" w:rsidRPr="002029AF" w:rsidRDefault="005F4A7E" w:rsidP="00860E95">
            <w:pPr>
              <w:pStyle w:val="ARfintablecolheadright"/>
            </w:pPr>
            <w:r w:rsidRPr="002029AF">
              <w:t>Carrying amount</w:t>
            </w:r>
          </w:p>
          <w:p w14:paraId="430417EC" w14:textId="77777777" w:rsidR="005F4A7E" w:rsidRPr="002029AF" w:rsidRDefault="005F4A7E" w:rsidP="00860E95">
            <w:pPr>
              <w:pStyle w:val="ARfintablecolheadright"/>
            </w:pPr>
            <w:r w:rsidRPr="002029AF">
              <w:t>$M</w:t>
            </w:r>
          </w:p>
        </w:tc>
        <w:tc>
          <w:tcPr>
            <w:tcW w:w="3402" w:type="dxa"/>
            <w:gridSpan w:val="3"/>
            <w:hideMark/>
          </w:tcPr>
          <w:p w14:paraId="0F16962C" w14:textId="77777777" w:rsidR="005F4A7E" w:rsidRPr="002029AF" w:rsidRDefault="005F4A7E" w:rsidP="00860E95">
            <w:pPr>
              <w:pStyle w:val="ARfintablecolheadcentre"/>
            </w:pPr>
            <w:r w:rsidRPr="002029AF">
              <w:t xml:space="preserve">Fair value measurement at the end </w:t>
            </w:r>
            <w:r>
              <w:br/>
            </w:r>
            <w:r w:rsidRPr="002029AF">
              <w:t>of reporting period using:</w:t>
            </w:r>
          </w:p>
        </w:tc>
      </w:tr>
      <w:tr w:rsidR="005F4A7E" w:rsidRPr="002029AF" w14:paraId="3AFF4F59" w14:textId="77777777" w:rsidTr="00FC2F9E">
        <w:trPr>
          <w:cnfStyle w:val="100000000000" w:firstRow="1" w:lastRow="0" w:firstColumn="0" w:lastColumn="0" w:oddVBand="0" w:evenVBand="0" w:oddHBand="0" w:evenHBand="0" w:firstRowFirstColumn="0" w:firstRowLastColumn="0" w:lastRowFirstColumn="0" w:lastRowLastColumn="0"/>
          <w:trHeight w:val="255"/>
          <w:tblHeader/>
        </w:trPr>
        <w:tc>
          <w:tcPr>
            <w:tcW w:w="5101" w:type="dxa"/>
            <w:vMerge/>
            <w:tcBorders>
              <w:bottom w:val="single" w:sz="4" w:space="0" w:color="auto"/>
            </w:tcBorders>
            <w:hideMark/>
          </w:tcPr>
          <w:p w14:paraId="40A5040B" w14:textId="77777777" w:rsidR="005F4A7E" w:rsidRPr="002029AF" w:rsidRDefault="005F4A7E" w:rsidP="00860E95">
            <w:pPr>
              <w:pStyle w:val="ARfintablecolhead"/>
            </w:pPr>
          </w:p>
        </w:tc>
        <w:tc>
          <w:tcPr>
            <w:tcW w:w="1134" w:type="dxa"/>
            <w:vMerge/>
            <w:tcBorders>
              <w:bottom w:val="single" w:sz="4" w:space="0" w:color="auto"/>
            </w:tcBorders>
            <w:hideMark/>
          </w:tcPr>
          <w:p w14:paraId="1598FA48" w14:textId="77777777" w:rsidR="005F4A7E" w:rsidRPr="002029AF" w:rsidRDefault="005F4A7E" w:rsidP="00860E95">
            <w:pPr>
              <w:pStyle w:val="ARfintablecolheadright"/>
            </w:pPr>
          </w:p>
        </w:tc>
        <w:tc>
          <w:tcPr>
            <w:tcW w:w="1134" w:type="dxa"/>
            <w:tcBorders>
              <w:bottom w:val="single" w:sz="4" w:space="0" w:color="auto"/>
            </w:tcBorders>
            <w:hideMark/>
          </w:tcPr>
          <w:p w14:paraId="28C65F4B" w14:textId="77777777" w:rsidR="005F4A7E" w:rsidRPr="002029AF" w:rsidRDefault="005F4A7E" w:rsidP="00860E95">
            <w:pPr>
              <w:pStyle w:val="ARfintablecolheadright"/>
            </w:pPr>
            <w:r w:rsidRPr="002029AF">
              <w:t xml:space="preserve">Level 1 </w:t>
            </w:r>
            <w:r w:rsidRPr="002029AF">
              <w:rPr>
                <w:rStyle w:val="Superscript"/>
              </w:rPr>
              <w:t>(i)</w:t>
            </w:r>
          </w:p>
          <w:p w14:paraId="5D42907E" w14:textId="77777777" w:rsidR="005F4A7E" w:rsidRPr="002029AF" w:rsidRDefault="005F4A7E" w:rsidP="00860E95">
            <w:pPr>
              <w:pStyle w:val="ARfintablecolheadright"/>
            </w:pPr>
            <w:r w:rsidRPr="002029AF">
              <w:t>$M</w:t>
            </w:r>
          </w:p>
        </w:tc>
        <w:tc>
          <w:tcPr>
            <w:tcW w:w="1134" w:type="dxa"/>
            <w:tcBorders>
              <w:bottom w:val="single" w:sz="4" w:space="0" w:color="auto"/>
            </w:tcBorders>
            <w:hideMark/>
          </w:tcPr>
          <w:p w14:paraId="5DAE2037" w14:textId="77777777" w:rsidR="005F4A7E" w:rsidRPr="002029AF" w:rsidRDefault="005F4A7E" w:rsidP="00860E95">
            <w:pPr>
              <w:pStyle w:val="ARfintablecolheadright"/>
            </w:pPr>
            <w:r w:rsidRPr="002029AF">
              <w:t xml:space="preserve">Level 2 </w:t>
            </w:r>
            <w:r w:rsidRPr="002029AF">
              <w:rPr>
                <w:rStyle w:val="Superscript"/>
              </w:rPr>
              <w:t>(i)</w:t>
            </w:r>
          </w:p>
          <w:p w14:paraId="7C16D424" w14:textId="77777777" w:rsidR="005F4A7E" w:rsidRPr="002029AF" w:rsidRDefault="005F4A7E" w:rsidP="00860E95">
            <w:pPr>
              <w:pStyle w:val="ARfintablecolheadright"/>
            </w:pPr>
            <w:r w:rsidRPr="002029AF">
              <w:t>$M</w:t>
            </w:r>
          </w:p>
        </w:tc>
        <w:tc>
          <w:tcPr>
            <w:tcW w:w="1134" w:type="dxa"/>
            <w:tcBorders>
              <w:bottom w:val="single" w:sz="4" w:space="0" w:color="auto"/>
            </w:tcBorders>
            <w:hideMark/>
          </w:tcPr>
          <w:p w14:paraId="12D55414" w14:textId="77777777" w:rsidR="005F4A7E" w:rsidRPr="002029AF" w:rsidRDefault="005F4A7E" w:rsidP="00860E95">
            <w:pPr>
              <w:pStyle w:val="ARfintablecolheadright"/>
            </w:pPr>
            <w:r w:rsidRPr="002029AF">
              <w:t xml:space="preserve">Level 3 </w:t>
            </w:r>
            <w:r w:rsidRPr="002029AF">
              <w:rPr>
                <w:rStyle w:val="Superscript"/>
              </w:rPr>
              <w:t>(i)</w:t>
            </w:r>
          </w:p>
          <w:p w14:paraId="1D07456E" w14:textId="77777777" w:rsidR="005F4A7E" w:rsidRPr="002029AF" w:rsidRDefault="005F4A7E" w:rsidP="00860E95">
            <w:pPr>
              <w:pStyle w:val="ARfintablecolheadright"/>
            </w:pPr>
            <w:r w:rsidRPr="002029AF">
              <w:t>$M</w:t>
            </w:r>
          </w:p>
        </w:tc>
      </w:tr>
      <w:tr w:rsidR="005F4A7E" w:rsidRPr="002029AF" w14:paraId="171D250E" w14:textId="77777777" w:rsidTr="00860E95">
        <w:trPr>
          <w:trHeight w:val="255"/>
        </w:trPr>
        <w:tc>
          <w:tcPr>
            <w:tcW w:w="9637" w:type="dxa"/>
            <w:gridSpan w:val="5"/>
            <w:tcBorders>
              <w:top w:val="single" w:sz="4" w:space="0" w:color="auto"/>
              <w:bottom w:val="single" w:sz="4" w:space="0" w:color="A6A6A6"/>
            </w:tcBorders>
            <w:hideMark/>
          </w:tcPr>
          <w:p w14:paraId="6F93E09F" w14:textId="77777777" w:rsidR="005F4A7E" w:rsidRPr="002029AF" w:rsidRDefault="005F4A7E" w:rsidP="00130D1C">
            <w:pPr>
              <w:pStyle w:val="ARfintablebodybold"/>
            </w:pPr>
            <w:r w:rsidRPr="005E24B9">
              <w:t>Land at fair value</w:t>
            </w:r>
          </w:p>
        </w:tc>
      </w:tr>
      <w:tr w:rsidR="005F4A7E" w:rsidRPr="002029AF" w14:paraId="4E176CA1" w14:textId="77777777" w:rsidTr="00860E95">
        <w:trPr>
          <w:trHeight w:val="255"/>
        </w:trPr>
        <w:tc>
          <w:tcPr>
            <w:tcW w:w="5101" w:type="dxa"/>
            <w:tcBorders>
              <w:top w:val="single" w:sz="4" w:space="0" w:color="A6A6A6"/>
              <w:bottom w:val="single" w:sz="4" w:space="0" w:color="A6A6A6"/>
            </w:tcBorders>
            <w:hideMark/>
          </w:tcPr>
          <w:p w14:paraId="54235623" w14:textId="77777777" w:rsidR="005F4A7E" w:rsidRPr="002029AF" w:rsidRDefault="005F4A7E" w:rsidP="00130D1C">
            <w:pPr>
              <w:pStyle w:val="ARfintablebody"/>
            </w:pPr>
            <w:r w:rsidRPr="005E24B9">
              <w:t>Non-specialised land</w:t>
            </w:r>
          </w:p>
        </w:tc>
        <w:tc>
          <w:tcPr>
            <w:tcW w:w="1134" w:type="dxa"/>
            <w:tcBorders>
              <w:top w:val="single" w:sz="4" w:space="0" w:color="A6A6A6"/>
              <w:bottom w:val="single" w:sz="4" w:space="0" w:color="A6A6A6"/>
            </w:tcBorders>
            <w:noWrap/>
            <w:hideMark/>
          </w:tcPr>
          <w:p w14:paraId="6AAC6490" w14:textId="77777777" w:rsidR="005F4A7E" w:rsidRPr="002029AF" w:rsidRDefault="005F4A7E" w:rsidP="00130D1C">
            <w:pPr>
              <w:pStyle w:val="ARfintablebodyright"/>
            </w:pPr>
            <w:r w:rsidRPr="005E24B9">
              <w:t>17,920.8</w:t>
            </w:r>
          </w:p>
        </w:tc>
        <w:tc>
          <w:tcPr>
            <w:tcW w:w="1134" w:type="dxa"/>
            <w:tcBorders>
              <w:top w:val="single" w:sz="4" w:space="0" w:color="A6A6A6"/>
              <w:bottom w:val="single" w:sz="4" w:space="0" w:color="A6A6A6"/>
            </w:tcBorders>
            <w:noWrap/>
            <w:hideMark/>
          </w:tcPr>
          <w:p w14:paraId="729ADF12" w14:textId="77777777" w:rsidR="005F4A7E" w:rsidRPr="002029AF" w:rsidRDefault="005F4A7E" w:rsidP="00130D1C">
            <w:pPr>
              <w:pStyle w:val="ARfintablebodyright"/>
            </w:pPr>
            <w:r w:rsidRPr="005E24B9">
              <w:t>–</w:t>
            </w:r>
          </w:p>
        </w:tc>
        <w:tc>
          <w:tcPr>
            <w:tcW w:w="1134" w:type="dxa"/>
            <w:tcBorders>
              <w:top w:val="single" w:sz="4" w:space="0" w:color="A6A6A6"/>
              <w:bottom w:val="single" w:sz="4" w:space="0" w:color="A6A6A6"/>
            </w:tcBorders>
            <w:noWrap/>
            <w:hideMark/>
          </w:tcPr>
          <w:p w14:paraId="3A6CB1EC" w14:textId="77777777" w:rsidR="005F4A7E" w:rsidRPr="002029AF" w:rsidRDefault="005F4A7E" w:rsidP="00130D1C">
            <w:pPr>
              <w:pStyle w:val="ARfintablebodyright"/>
            </w:pPr>
            <w:r w:rsidRPr="005E24B9">
              <w:t>17,920.8</w:t>
            </w:r>
          </w:p>
        </w:tc>
        <w:tc>
          <w:tcPr>
            <w:tcW w:w="1134" w:type="dxa"/>
            <w:tcBorders>
              <w:top w:val="single" w:sz="4" w:space="0" w:color="A6A6A6"/>
              <w:bottom w:val="single" w:sz="4" w:space="0" w:color="A6A6A6"/>
            </w:tcBorders>
            <w:noWrap/>
            <w:hideMark/>
          </w:tcPr>
          <w:p w14:paraId="76F2724A" w14:textId="77777777" w:rsidR="005F4A7E" w:rsidRPr="002029AF" w:rsidRDefault="005F4A7E" w:rsidP="00130D1C">
            <w:pPr>
              <w:pStyle w:val="ARfintablebodyright"/>
            </w:pPr>
            <w:r w:rsidRPr="005E24B9">
              <w:t>–</w:t>
            </w:r>
          </w:p>
        </w:tc>
      </w:tr>
      <w:tr w:rsidR="005F4A7E" w:rsidRPr="002029AF" w14:paraId="53B87F30" w14:textId="77777777" w:rsidTr="00860E95">
        <w:trPr>
          <w:trHeight w:val="255"/>
        </w:trPr>
        <w:tc>
          <w:tcPr>
            <w:tcW w:w="5101" w:type="dxa"/>
            <w:tcBorders>
              <w:top w:val="single" w:sz="4" w:space="0" w:color="A6A6A6"/>
            </w:tcBorders>
            <w:hideMark/>
          </w:tcPr>
          <w:p w14:paraId="73AF3E1E" w14:textId="77777777" w:rsidR="005F4A7E" w:rsidRPr="002029AF" w:rsidRDefault="005F4A7E" w:rsidP="00130D1C">
            <w:pPr>
              <w:pStyle w:val="ARfintablebody"/>
            </w:pPr>
            <w:r w:rsidRPr="005E24B9">
              <w:t>Specialised land</w:t>
            </w:r>
          </w:p>
        </w:tc>
        <w:tc>
          <w:tcPr>
            <w:tcW w:w="1134" w:type="dxa"/>
            <w:tcBorders>
              <w:top w:val="single" w:sz="4" w:space="0" w:color="A6A6A6"/>
            </w:tcBorders>
            <w:noWrap/>
            <w:hideMark/>
          </w:tcPr>
          <w:p w14:paraId="24EEF8BD" w14:textId="77777777" w:rsidR="005F4A7E" w:rsidRPr="002029AF" w:rsidRDefault="005F4A7E" w:rsidP="00130D1C">
            <w:pPr>
              <w:pStyle w:val="ARfintablebodyright"/>
            </w:pPr>
            <w:r w:rsidRPr="005E24B9">
              <w:t>592.7</w:t>
            </w:r>
          </w:p>
        </w:tc>
        <w:tc>
          <w:tcPr>
            <w:tcW w:w="1134" w:type="dxa"/>
            <w:tcBorders>
              <w:top w:val="single" w:sz="4" w:space="0" w:color="A6A6A6"/>
            </w:tcBorders>
            <w:noWrap/>
            <w:hideMark/>
          </w:tcPr>
          <w:p w14:paraId="7EC93D9A" w14:textId="77777777" w:rsidR="005F4A7E" w:rsidRPr="002029AF" w:rsidRDefault="005F4A7E" w:rsidP="00130D1C">
            <w:pPr>
              <w:pStyle w:val="ARfintablebodyright"/>
            </w:pPr>
            <w:r w:rsidRPr="005E24B9">
              <w:t>–</w:t>
            </w:r>
          </w:p>
        </w:tc>
        <w:tc>
          <w:tcPr>
            <w:tcW w:w="1134" w:type="dxa"/>
            <w:tcBorders>
              <w:top w:val="single" w:sz="4" w:space="0" w:color="A6A6A6"/>
            </w:tcBorders>
            <w:noWrap/>
            <w:hideMark/>
          </w:tcPr>
          <w:p w14:paraId="094D4013" w14:textId="77777777" w:rsidR="005F4A7E" w:rsidRPr="002029AF" w:rsidRDefault="005F4A7E" w:rsidP="00130D1C">
            <w:pPr>
              <w:pStyle w:val="ARfintablebodyright"/>
            </w:pPr>
            <w:r w:rsidRPr="005E24B9">
              <w:t>77.2</w:t>
            </w:r>
          </w:p>
        </w:tc>
        <w:tc>
          <w:tcPr>
            <w:tcW w:w="1134" w:type="dxa"/>
            <w:tcBorders>
              <w:top w:val="single" w:sz="4" w:space="0" w:color="A6A6A6"/>
            </w:tcBorders>
            <w:noWrap/>
            <w:hideMark/>
          </w:tcPr>
          <w:p w14:paraId="739FC794" w14:textId="77777777" w:rsidR="005F4A7E" w:rsidRPr="002029AF" w:rsidRDefault="005F4A7E" w:rsidP="00130D1C">
            <w:pPr>
              <w:pStyle w:val="ARfintablebodyright"/>
            </w:pPr>
            <w:r w:rsidRPr="005E24B9">
              <w:t>515.5</w:t>
            </w:r>
          </w:p>
        </w:tc>
      </w:tr>
      <w:tr w:rsidR="005F4A7E" w:rsidRPr="002029AF" w14:paraId="2C7F2B19" w14:textId="77777777" w:rsidTr="00860E95">
        <w:trPr>
          <w:trHeight w:val="255"/>
        </w:trPr>
        <w:tc>
          <w:tcPr>
            <w:tcW w:w="5101" w:type="dxa"/>
            <w:tcBorders>
              <w:bottom w:val="single" w:sz="4" w:space="0" w:color="auto"/>
            </w:tcBorders>
            <w:hideMark/>
          </w:tcPr>
          <w:p w14:paraId="67F4292E" w14:textId="77777777" w:rsidR="005F4A7E" w:rsidRPr="002029AF" w:rsidRDefault="005F4A7E" w:rsidP="00130D1C">
            <w:pPr>
              <w:pStyle w:val="ARfintablebodybold"/>
            </w:pPr>
            <w:r w:rsidRPr="005E24B9">
              <w:t>Total land at fair value</w:t>
            </w:r>
          </w:p>
        </w:tc>
        <w:tc>
          <w:tcPr>
            <w:tcW w:w="1134" w:type="dxa"/>
            <w:tcBorders>
              <w:bottom w:val="single" w:sz="4" w:space="0" w:color="auto"/>
            </w:tcBorders>
            <w:noWrap/>
            <w:hideMark/>
          </w:tcPr>
          <w:p w14:paraId="1CDCB443" w14:textId="77777777" w:rsidR="005F4A7E" w:rsidRPr="002029AF" w:rsidRDefault="005F4A7E" w:rsidP="00130D1C">
            <w:pPr>
              <w:pStyle w:val="ARfintablebodyrightbold"/>
            </w:pPr>
            <w:r w:rsidRPr="005E24B9">
              <w:t>18,513.5</w:t>
            </w:r>
          </w:p>
        </w:tc>
        <w:tc>
          <w:tcPr>
            <w:tcW w:w="1134" w:type="dxa"/>
            <w:tcBorders>
              <w:bottom w:val="single" w:sz="4" w:space="0" w:color="auto"/>
            </w:tcBorders>
            <w:noWrap/>
            <w:hideMark/>
          </w:tcPr>
          <w:p w14:paraId="59FC2D0E" w14:textId="77777777" w:rsidR="005F4A7E" w:rsidRPr="002029AF" w:rsidRDefault="005F4A7E" w:rsidP="00130D1C">
            <w:pPr>
              <w:pStyle w:val="ARfintablebodyrightbold"/>
            </w:pPr>
            <w:r w:rsidRPr="005E24B9">
              <w:t>–</w:t>
            </w:r>
          </w:p>
        </w:tc>
        <w:tc>
          <w:tcPr>
            <w:tcW w:w="1134" w:type="dxa"/>
            <w:tcBorders>
              <w:bottom w:val="single" w:sz="4" w:space="0" w:color="auto"/>
            </w:tcBorders>
            <w:noWrap/>
            <w:hideMark/>
          </w:tcPr>
          <w:p w14:paraId="3A594D33" w14:textId="77777777" w:rsidR="005F4A7E" w:rsidRPr="002029AF" w:rsidRDefault="005F4A7E" w:rsidP="00130D1C">
            <w:pPr>
              <w:pStyle w:val="ARfintablebodyrightbold"/>
            </w:pPr>
            <w:r w:rsidRPr="005E24B9">
              <w:t>17,998.0</w:t>
            </w:r>
          </w:p>
        </w:tc>
        <w:tc>
          <w:tcPr>
            <w:tcW w:w="1134" w:type="dxa"/>
            <w:tcBorders>
              <w:bottom w:val="single" w:sz="4" w:space="0" w:color="auto"/>
            </w:tcBorders>
            <w:noWrap/>
            <w:hideMark/>
          </w:tcPr>
          <w:p w14:paraId="0EF37293" w14:textId="77777777" w:rsidR="005F4A7E" w:rsidRPr="002029AF" w:rsidRDefault="005F4A7E" w:rsidP="00130D1C">
            <w:pPr>
              <w:pStyle w:val="ARfintablebodyrightbold"/>
            </w:pPr>
            <w:r w:rsidRPr="005E24B9">
              <w:t>515.5</w:t>
            </w:r>
          </w:p>
        </w:tc>
      </w:tr>
      <w:tr w:rsidR="005F4A7E" w:rsidRPr="002029AF" w14:paraId="4D95F375" w14:textId="77777777" w:rsidTr="00860E95">
        <w:trPr>
          <w:trHeight w:val="255"/>
        </w:trPr>
        <w:tc>
          <w:tcPr>
            <w:tcW w:w="9637" w:type="dxa"/>
            <w:gridSpan w:val="5"/>
            <w:tcBorders>
              <w:top w:val="single" w:sz="4" w:space="0" w:color="auto"/>
              <w:bottom w:val="single" w:sz="4" w:space="0" w:color="A6A6A6"/>
            </w:tcBorders>
            <w:hideMark/>
          </w:tcPr>
          <w:p w14:paraId="25A532AE" w14:textId="77777777" w:rsidR="005F4A7E" w:rsidRPr="002029AF" w:rsidRDefault="005F4A7E" w:rsidP="00130D1C">
            <w:pPr>
              <w:pStyle w:val="ARfintablebodybold"/>
            </w:pPr>
            <w:r w:rsidRPr="005E24B9">
              <w:t>Buildings at fair value</w:t>
            </w:r>
          </w:p>
        </w:tc>
      </w:tr>
      <w:tr w:rsidR="005F4A7E" w:rsidRPr="002029AF" w14:paraId="28764F26" w14:textId="77777777" w:rsidTr="00860E95">
        <w:trPr>
          <w:trHeight w:val="255"/>
        </w:trPr>
        <w:tc>
          <w:tcPr>
            <w:tcW w:w="5101" w:type="dxa"/>
            <w:tcBorders>
              <w:top w:val="single" w:sz="4" w:space="0" w:color="A6A6A6"/>
              <w:bottom w:val="single" w:sz="4" w:space="0" w:color="A6A6A6"/>
            </w:tcBorders>
            <w:hideMark/>
          </w:tcPr>
          <w:p w14:paraId="0CA9BCD4" w14:textId="77777777" w:rsidR="005F4A7E" w:rsidRPr="002029AF" w:rsidRDefault="005F4A7E" w:rsidP="00130D1C">
            <w:pPr>
              <w:pStyle w:val="ARfintablebody"/>
            </w:pPr>
            <w:r w:rsidRPr="005E24B9">
              <w:t>Non-specialised building</w:t>
            </w:r>
          </w:p>
        </w:tc>
        <w:tc>
          <w:tcPr>
            <w:tcW w:w="1134" w:type="dxa"/>
            <w:tcBorders>
              <w:top w:val="single" w:sz="4" w:space="0" w:color="A6A6A6"/>
              <w:bottom w:val="single" w:sz="4" w:space="0" w:color="A6A6A6"/>
            </w:tcBorders>
            <w:noWrap/>
            <w:hideMark/>
          </w:tcPr>
          <w:p w14:paraId="66BDC504" w14:textId="77777777" w:rsidR="005F4A7E" w:rsidRPr="002029AF" w:rsidRDefault="005F4A7E" w:rsidP="00130D1C">
            <w:pPr>
              <w:pStyle w:val="ARfintablebodyright"/>
            </w:pPr>
            <w:r w:rsidRPr="005E24B9">
              <w:t>8,885.6</w:t>
            </w:r>
          </w:p>
        </w:tc>
        <w:tc>
          <w:tcPr>
            <w:tcW w:w="1134" w:type="dxa"/>
            <w:tcBorders>
              <w:top w:val="single" w:sz="4" w:space="0" w:color="A6A6A6"/>
              <w:bottom w:val="single" w:sz="4" w:space="0" w:color="A6A6A6"/>
            </w:tcBorders>
            <w:noWrap/>
            <w:hideMark/>
          </w:tcPr>
          <w:p w14:paraId="193C068B" w14:textId="77777777" w:rsidR="005F4A7E" w:rsidRPr="002029AF" w:rsidRDefault="005F4A7E" w:rsidP="00130D1C">
            <w:pPr>
              <w:pStyle w:val="ARfintablebodyright"/>
            </w:pPr>
            <w:r w:rsidRPr="005E24B9">
              <w:t>–</w:t>
            </w:r>
          </w:p>
        </w:tc>
        <w:tc>
          <w:tcPr>
            <w:tcW w:w="1134" w:type="dxa"/>
            <w:tcBorders>
              <w:top w:val="single" w:sz="4" w:space="0" w:color="A6A6A6"/>
              <w:bottom w:val="single" w:sz="4" w:space="0" w:color="A6A6A6"/>
            </w:tcBorders>
            <w:noWrap/>
            <w:hideMark/>
          </w:tcPr>
          <w:p w14:paraId="2ED3BF0A" w14:textId="77777777" w:rsidR="005F4A7E" w:rsidRPr="002029AF" w:rsidRDefault="005F4A7E" w:rsidP="00130D1C">
            <w:pPr>
              <w:pStyle w:val="ARfintablebodyright"/>
            </w:pPr>
            <w:r w:rsidRPr="005E24B9">
              <w:t>8,885.6</w:t>
            </w:r>
          </w:p>
        </w:tc>
        <w:tc>
          <w:tcPr>
            <w:tcW w:w="1134" w:type="dxa"/>
            <w:tcBorders>
              <w:top w:val="single" w:sz="4" w:space="0" w:color="A6A6A6"/>
              <w:bottom w:val="single" w:sz="4" w:space="0" w:color="A6A6A6"/>
            </w:tcBorders>
            <w:noWrap/>
            <w:hideMark/>
          </w:tcPr>
          <w:p w14:paraId="0C54B37C" w14:textId="77777777" w:rsidR="005F4A7E" w:rsidRPr="002029AF" w:rsidRDefault="005F4A7E" w:rsidP="00130D1C">
            <w:pPr>
              <w:pStyle w:val="ARfintablebodyright"/>
            </w:pPr>
            <w:r w:rsidRPr="005E24B9">
              <w:t>–</w:t>
            </w:r>
          </w:p>
        </w:tc>
      </w:tr>
      <w:tr w:rsidR="005F4A7E" w:rsidRPr="002029AF" w14:paraId="7133EB8E" w14:textId="77777777" w:rsidTr="00860E95">
        <w:trPr>
          <w:trHeight w:val="255"/>
        </w:trPr>
        <w:tc>
          <w:tcPr>
            <w:tcW w:w="5101" w:type="dxa"/>
            <w:tcBorders>
              <w:top w:val="single" w:sz="4" w:space="0" w:color="A6A6A6"/>
            </w:tcBorders>
            <w:hideMark/>
          </w:tcPr>
          <w:p w14:paraId="5DC739FF" w14:textId="77777777" w:rsidR="005F4A7E" w:rsidRPr="002029AF" w:rsidRDefault="005F4A7E" w:rsidP="00130D1C">
            <w:pPr>
              <w:pStyle w:val="ARfintablebody"/>
            </w:pPr>
            <w:r w:rsidRPr="005E24B9">
              <w:t>Specialised building</w:t>
            </w:r>
          </w:p>
        </w:tc>
        <w:tc>
          <w:tcPr>
            <w:tcW w:w="1134" w:type="dxa"/>
            <w:tcBorders>
              <w:top w:val="single" w:sz="4" w:space="0" w:color="A6A6A6"/>
            </w:tcBorders>
            <w:noWrap/>
            <w:hideMark/>
          </w:tcPr>
          <w:p w14:paraId="3F08D9A2" w14:textId="77777777" w:rsidR="005F4A7E" w:rsidRPr="002029AF" w:rsidRDefault="005F4A7E" w:rsidP="00130D1C">
            <w:pPr>
              <w:pStyle w:val="ARfintablebodyright"/>
            </w:pPr>
            <w:r w:rsidRPr="005E24B9">
              <w:t>704.6</w:t>
            </w:r>
          </w:p>
        </w:tc>
        <w:tc>
          <w:tcPr>
            <w:tcW w:w="1134" w:type="dxa"/>
            <w:tcBorders>
              <w:top w:val="single" w:sz="4" w:space="0" w:color="A6A6A6"/>
            </w:tcBorders>
            <w:noWrap/>
            <w:hideMark/>
          </w:tcPr>
          <w:p w14:paraId="5191E834" w14:textId="77777777" w:rsidR="005F4A7E" w:rsidRPr="002029AF" w:rsidRDefault="005F4A7E" w:rsidP="00130D1C">
            <w:pPr>
              <w:pStyle w:val="ARfintablebodyright"/>
            </w:pPr>
            <w:r w:rsidRPr="005E24B9">
              <w:t>–</w:t>
            </w:r>
          </w:p>
        </w:tc>
        <w:tc>
          <w:tcPr>
            <w:tcW w:w="1134" w:type="dxa"/>
            <w:tcBorders>
              <w:top w:val="single" w:sz="4" w:space="0" w:color="A6A6A6"/>
            </w:tcBorders>
            <w:noWrap/>
            <w:hideMark/>
          </w:tcPr>
          <w:p w14:paraId="6585F040" w14:textId="77777777" w:rsidR="005F4A7E" w:rsidRPr="002029AF" w:rsidRDefault="005F4A7E" w:rsidP="00130D1C">
            <w:pPr>
              <w:pStyle w:val="ARfintablebodyright"/>
            </w:pPr>
            <w:r w:rsidRPr="005E24B9">
              <w:t>1.0</w:t>
            </w:r>
          </w:p>
        </w:tc>
        <w:tc>
          <w:tcPr>
            <w:tcW w:w="1134" w:type="dxa"/>
            <w:tcBorders>
              <w:top w:val="single" w:sz="4" w:space="0" w:color="A6A6A6"/>
            </w:tcBorders>
            <w:noWrap/>
            <w:hideMark/>
          </w:tcPr>
          <w:p w14:paraId="5E5EAD87" w14:textId="77777777" w:rsidR="005F4A7E" w:rsidRPr="002029AF" w:rsidRDefault="005F4A7E" w:rsidP="00130D1C">
            <w:pPr>
              <w:pStyle w:val="ARfintablebodyright"/>
            </w:pPr>
            <w:r w:rsidRPr="005E24B9">
              <w:t>703.6</w:t>
            </w:r>
          </w:p>
        </w:tc>
      </w:tr>
      <w:tr w:rsidR="005F4A7E" w:rsidRPr="002029AF" w14:paraId="3C00C62D" w14:textId="77777777" w:rsidTr="00860E95">
        <w:trPr>
          <w:trHeight w:val="255"/>
        </w:trPr>
        <w:tc>
          <w:tcPr>
            <w:tcW w:w="5101" w:type="dxa"/>
            <w:tcBorders>
              <w:bottom w:val="single" w:sz="4" w:space="0" w:color="auto"/>
            </w:tcBorders>
            <w:hideMark/>
          </w:tcPr>
          <w:p w14:paraId="6FE0ACC8" w14:textId="77777777" w:rsidR="005F4A7E" w:rsidRPr="002029AF" w:rsidRDefault="005F4A7E" w:rsidP="00130D1C">
            <w:pPr>
              <w:pStyle w:val="ARfintablebodybold"/>
            </w:pPr>
            <w:r w:rsidRPr="005E24B9">
              <w:t>Total buildings at fair value</w:t>
            </w:r>
          </w:p>
        </w:tc>
        <w:tc>
          <w:tcPr>
            <w:tcW w:w="1134" w:type="dxa"/>
            <w:tcBorders>
              <w:bottom w:val="single" w:sz="4" w:space="0" w:color="auto"/>
            </w:tcBorders>
            <w:noWrap/>
            <w:hideMark/>
          </w:tcPr>
          <w:p w14:paraId="19515AC9" w14:textId="77777777" w:rsidR="005F4A7E" w:rsidRPr="002029AF" w:rsidRDefault="005F4A7E" w:rsidP="00130D1C">
            <w:pPr>
              <w:pStyle w:val="ARfintablebodyrightbold"/>
            </w:pPr>
            <w:r w:rsidRPr="005E24B9">
              <w:t>9,590.2</w:t>
            </w:r>
          </w:p>
        </w:tc>
        <w:tc>
          <w:tcPr>
            <w:tcW w:w="1134" w:type="dxa"/>
            <w:tcBorders>
              <w:bottom w:val="single" w:sz="4" w:space="0" w:color="auto"/>
            </w:tcBorders>
            <w:noWrap/>
            <w:hideMark/>
          </w:tcPr>
          <w:p w14:paraId="61149AAC" w14:textId="77777777" w:rsidR="005F4A7E" w:rsidRPr="002029AF" w:rsidRDefault="005F4A7E" w:rsidP="00130D1C">
            <w:pPr>
              <w:pStyle w:val="ARfintablebodyrightbold"/>
            </w:pPr>
            <w:r w:rsidRPr="005E24B9">
              <w:t>–</w:t>
            </w:r>
          </w:p>
        </w:tc>
        <w:tc>
          <w:tcPr>
            <w:tcW w:w="1134" w:type="dxa"/>
            <w:tcBorders>
              <w:bottom w:val="single" w:sz="4" w:space="0" w:color="auto"/>
            </w:tcBorders>
            <w:noWrap/>
            <w:hideMark/>
          </w:tcPr>
          <w:p w14:paraId="6E7EA787" w14:textId="77777777" w:rsidR="005F4A7E" w:rsidRPr="002029AF" w:rsidRDefault="005F4A7E" w:rsidP="00130D1C">
            <w:pPr>
              <w:pStyle w:val="ARfintablebodyrightbold"/>
            </w:pPr>
            <w:r w:rsidRPr="005E24B9">
              <w:t>8,886.6</w:t>
            </w:r>
          </w:p>
        </w:tc>
        <w:tc>
          <w:tcPr>
            <w:tcW w:w="1134" w:type="dxa"/>
            <w:tcBorders>
              <w:bottom w:val="single" w:sz="4" w:space="0" w:color="auto"/>
            </w:tcBorders>
            <w:noWrap/>
            <w:hideMark/>
          </w:tcPr>
          <w:p w14:paraId="0BEDC73A" w14:textId="77777777" w:rsidR="005F4A7E" w:rsidRPr="002029AF" w:rsidRDefault="005F4A7E" w:rsidP="00130D1C">
            <w:pPr>
              <w:pStyle w:val="ARfintablebodyrightbold"/>
            </w:pPr>
            <w:r w:rsidRPr="005E24B9">
              <w:t>703.6</w:t>
            </w:r>
          </w:p>
        </w:tc>
      </w:tr>
      <w:tr w:rsidR="005F4A7E" w:rsidRPr="002029AF" w14:paraId="407DA8C7" w14:textId="77777777" w:rsidTr="00860E95">
        <w:trPr>
          <w:trHeight w:val="255"/>
        </w:trPr>
        <w:tc>
          <w:tcPr>
            <w:tcW w:w="9637" w:type="dxa"/>
            <w:gridSpan w:val="5"/>
            <w:tcBorders>
              <w:top w:val="single" w:sz="4" w:space="0" w:color="auto"/>
              <w:bottom w:val="single" w:sz="4" w:space="0" w:color="A6A6A6"/>
            </w:tcBorders>
            <w:hideMark/>
          </w:tcPr>
          <w:p w14:paraId="04BF787B" w14:textId="77777777" w:rsidR="005F4A7E" w:rsidRPr="002029AF" w:rsidRDefault="005F4A7E" w:rsidP="00130D1C">
            <w:pPr>
              <w:pStyle w:val="ARfintablebodybold"/>
            </w:pPr>
            <w:r w:rsidRPr="005E24B9">
              <w:t>Plant, equipment and vehicles at fair value</w:t>
            </w:r>
          </w:p>
        </w:tc>
      </w:tr>
      <w:tr w:rsidR="005F4A7E" w:rsidRPr="002029AF" w14:paraId="77DA626A" w14:textId="77777777" w:rsidTr="00860E95">
        <w:trPr>
          <w:trHeight w:val="255"/>
        </w:trPr>
        <w:tc>
          <w:tcPr>
            <w:tcW w:w="5101" w:type="dxa"/>
            <w:tcBorders>
              <w:top w:val="single" w:sz="4" w:space="0" w:color="A6A6A6"/>
              <w:bottom w:val="single" w:sz="4" w:space="0" w:color="A6A6A6"/>
            </w:tcBorders>
            <w:hideMark/>
          </w:tcPr>
          <w:p w14:paraId="2FC0A692" w14:textId="77777777" w:rsidR="005F4A7E" w:rsidRPr="002029AF" w:rsidRDefault="005F4A7E" w:rsidP="00130D1C">
            <w:pPr>
              <w:pStyle w:val="ARfintablebody"/>
            </w:pPr>
            <w:r w:rsidRPr="005E24B9">
              <w:t>Plant and equipment</w:t>
            </w:r>
          </w:p>
        </w:tc>
        <w:tc>
          <w:tcPr>
            <w:tcW w:w="1134" w:type="dxa"/>
            <w:tcBorders>
              <w:top w:val="single" w:sz="4" w:space="0" w:color="A6A6A6"/>
              <w:bottom w:val="single" w:sz="4" w:space="0" w:color="A6A6A6"/>
            </w:tcBorders>
            <w:noWrap/>
            <w:hideMark/>
          </w:tcPr>
          <w:p w14:paraId="0CC3056F" w14:textId="77777777" w:rsidR="005F4A7E" w:rsidRPr="002029AF" w:rsidRDefault="005F4A7E" w:rsidP="00130D1C">
            <w:pPr>
              <w:pStyle w:val="ARfintablebodyright"/>
            </w:pPr>
            <w:r w:rsidRPr="005E24B9">
              <w:t>11.0</w:t>
            </w:r>
          </w:p>
        </w:tc>
        <w:tc>
          <w:tcPr>
            <w:tcW w:w="1134" w:type="dxa"/>
            <w:tcBorders>
              <w:top w:val="single" w:sz="4" w:space="0" w:color="A6A6A6"/>
              <w:bottom w:val="single" w:sz="4" w:space="0" w:color="A6A6A6"/>
            </w:tcBorders>
            <w:noWrap/>
            <w:hideMark/>
          </w:tcPr>
          <w:p w14:paraId="30B4375C" w14:textId="77777777" w:rsidR="005F4A7E" w:rsidRPr="002029AF" w:rsidRDefault="005F4A7E" w:rsidP="00130D1C">
            <w:pPr>
              <w:pStyle w:val="ARfintablebodyright"/>
            </w:pPr>
            <w:r w:rsidRPr="005E24B9">
              <w:t>–</w:t>
            </w:r>
          </w:p>
        </w:tc>
        <w:tc>
          <w:tcPr>
            <w:tcW w:w="1134" w:type="dxa"/>
            <w:tcBorders>
              <w:top w:val="single" w:sz="4" w:space="0" w:color="A6A6A6"/>
              <w:bottom w:val="single" w:sz="4" w:space="0" w:color="A6A6A6"/>
            </w:tcBorders>
            <w:noWrap/>
            <w:hideMark/>
          </w:tcPr>
          <w:p w14:paraId="0CBC9B91" w14:textId="77777777" w:rsidR="005F4A7E" w:rsidRPr="002029AF" w:rsidRDefault="005F4A7E" w:rsidP="00130D1C">
            <w:pPr>
              <w:pStyle w:val="ARfintablebodyright"/>
            </w:pPr>
            <w:r w:rsidRPr="005E24B9">
              <w:t>3.4</w:t>
            </w:r>
          </w:p>
        </w:tc>
        <w:tc>
          <w:tcPr>
            <w:tcW w:w="1134" w:type="dxa"/>
            <w:tcBorders>
              <w:top w:val="single" w:sz="4" w:space="0" w:color="A6A6A6"/>
              <w:bottom w:val="single" w:sz="4" w:space="0" w:color="A6A6A6"/>
            </w:tcBorders>
            <w:noWrap/>
            <w:hideMark/>
          </w:tcPr>
          <w:p w14:paraId="3AA8C6AB" w14:textId="77777777" w:rsidR="005F4A7E" w:rsidRPr="002029AF" w:rsidRDefault="005F4A7E" w:rsidP="00130D1C">
            <w:pPr>
              <w:pStyle w:val="ARfintablebodyright"/>
            </w:pPr>
            <w:r w:rsidRPr="005E24B9">
              <w:t>7.6</w:t>
            </w:r>
          </w:p>
        </w:tc>
      </w:tr>
      <w:tr w:rsidR="005F4A7E" w:rsidRPr="002029AF" w14:paraId="4B6D83D7" w14:textId="77777777" w:rsidTr="00860E95">
        <w:trPr>
          <w:trHeight w:val="255"/>
        </w:trPr>
        <w:tc>
          <w:tcPr>
            <w:tcW w:w="5101" w:type="dxa"/>
            <w:tcBorders>
              <w:top w:val="single" w:sz="4" w:space="0" w:color="A6A6A6"/>
            </w:tcBorders>
            <w:hideMark/>
          </w:tcPr>
          <w:p w14:paraId="0FFE639D" w14:textId="77777777" w:rsidR="005F4A7E" w:rsidRPr="002029AF" w:rsidRDefault="005F4A7E" w:rsidP="00130D1C">
            <w:pPr>
              <w:pStyle w:val="ARfintablebody"/>
            </w:pPr>
            <w:r w:rsidRPr="005E24B9">
              <w:t>Motor vehicles</w:t>
            </w:r>
          </w:p>
        </w:tc>
        <w:tc>
          <w:tcPr>
            <w:tcW w:w="1134" w:type="dxa"/>
            <w:tcBorders>
              <w:top w:val="single" w:sz="4" w:space="0" w:color="A6A6A6"/>
            </w:tcBorders>
            <w:noWrap/>
            <w:hideMark/>
          </w:tcPr>
          <w:p w14:paraId="2D402F1D" w14:textId="77777777" w:rsidR="005F4A7E" w:rsidRPr="002029AF" w:rsidRDefault="005F4A7E" w:rsidP="00130D1C">
            <w:pPr>
              <w:pStyle w:val="ARfintablebodyright"/>
            </w:pPr>
            <w:r w:rsidRPr="005E24B9">
              <w:t>0.4</w:t>
            </w:r>
          </w:p>
        </w:tc>
        <w:tc>
          <w:tcPr>
            <w:tcW w:w="1134" w:type="dxa"/>
            <w:tcBorders>
              <w:top w:val="single" w:sz="4" w:space="0" w:color="A6A6A6"/>
            </w:tcBorders>
            <w:noWrap/>
            <w:hideMark/>
          </w:tcPr>
          <w:p w14:paraId="125C4467" w14:textId="77777777" w:rsidR="005F4A7E" w:rsidRPr="002029AF" w:rsidRDefault="005F4A7E" w:rsidP="00130D1C">
            <w:pPr>
              <w:pStyle w:val="ARfintablebodyright"/>
            </w:pPr>
            <w:r w:rsidRPr="005E24B9">
              <w:t>–</w:t>
            </w:r>
          </w:p>
        </w:tc>
        <w:tc>
          <w:tcPr>
            <w:tcW w:w="1134" w:type="dxa"/>
            <w:tcBorders>
              <w:top w:val="single" w:sz="4" w:space="0" w:color="A6A6A6"/>
            </w:tcBorders>
            <w:noWrap/>
            <w:hideMark/>
          </w:tcPr>
          <w:p w14:paraId="78B8E73A" w14:textId="77777777" w:rsidR="005F4A7E" w:rsidRPr="002029AF" w:rsidRDefault="005F4A7E" w:rsidP="00130D1C">
            <w:pPr>
              <w:pStyle w:val="ARfintablebodyright"/>
            </w:pPr>
            <w:r w:rsidRPr="005E24B9">
              <w:t>–</w:t>
            </w:r>
          </w:p>
        </w:tc>
        <w:tc>
          <w:tcPr>
            <w:tcW w:w="1134" w:type="dxa"/>
            <w:tcBorders>
              <w:top w:val="single" w:sz="4" w:space="0" w:color="A6A6A6"/>
            </w:tcBorders>
            <w:noWrap/>
            <w:hideMark/>
          </w:tcPr>
          <w:p w14:paraId="688B84AB" w14:textId="77777777" w:rsidR="005F4A7E" w:rsidRPr="002029AF" w:rsidRDefault="005F4A7E" w:rsidP="00130D1C">
            <w:pPr>
              <w:pStyle w:val="ARfintablebodyright"/>
            </w:pPr>
            <w:r w:rsidRPr="005E24B9">
              <w:t>0.4</w:t>
            </w:r>
          </w:p>
        </w:tc>
      </w:tr>
      <w:tr w:rsidR="005F4A7E" w:rsidRPr="002029AF" w14:paraId="7F53D25E" w14:textId="77777777" w:rsidTr="00860E95">
        <w:trPr>
          <w:trHeight w:val="255"/>
        </w:trPr>
        <w:tc>
          <w:tcPr>
            <w:tcW w:w="5101" w:type="dxa"/>
            <w:hideMark/>
          </w:tcPr>
          <w:p w14:paraId="4367A247" w14:textId="77777777" w:rsidR="005F4A7E" w:rsidRPr="002029AF" w:rsidRDefault="005F4A7E" w:rsidP="00130D1C">
            <w:pPr>
              <w:pStyle w:val="ARfintablebodybold"/>
            </w:pPr>
            <w:r w:rsidRPr="005E24B9">
              <w:t>Total plant, equipment and vehicles at fair value</w:t>
            </w:r>
          </w:p>
        </w:tc>
        <w:tc>
          <w:tcPr>
            <w:tcW w:w="1134" w:type="dxa"/>
            <w:noWrap/>
            <w:hideMark/>
          </w:tcPr>
          <w:p w14:paraId="79C94918" w14:textId="77777777" w:rsidR="005F4A7E" w:rsidRPr="002029AF" w:rsidRDefault="005F4A7E" w:rsidP="00130D1C">
            <w:pPr>
              <w:pStyle w:val="ARfintablebodyrightbold"/>
            </w:pPr>
            <w:r w:rsidRPr="005E24B9">
              <w:t>11.4</w:t>
            </w:r>
          </w:p>
        </w:tc>
        <w:tc>
          <w:tcPr>
            <w:tcW w:w="1134" w:type="dxa"/>
            <w:noWrap/>
            <w:hideMark/>
          </w:tcPr>
          <w:p w14:paraId="3A060C9D" w14:textId="77777777" w:rsidR="005F4A7E" w:rsidRPr="002029AF" w:rsidRDefault="005F4A7E" w:rsidP="00130D1C">
            <w:pPr>
              <w:pStyle w:val="ARfintablebodyrightbold"/>
            </w:pPr>
            <w:r w:rsidRPr="005E24B9">
              <w:t>–</w:t>
            </w:r>
          </w:p>
        </w:tc>
        <w:tc>
          <w:tcPr>
            <w:tcW w:w="1134" w:type="dxa"/>
            <w:noWrap/>
            <w:hideMark/>
          </w:tcPr>
          <w:p w14:paraId="151EB649" w14:textId="77777777" w:rsidR="005F4A7E" w:rsidRPr="002029AF" w:rsidRDefault="005F4A7E" w:rsidP="00130D1C">
            <w:pPr>
              <w:pStyle w:val="ARfintablebodyrightbold"/>
            </w:pPr>
            <w:r w:rsidRPr="005E24B9">
              <w:t>3.4</w:t>
            </w:r>
          </w:p>
        </w:tc>
        <w:tc>
          <w:tcPr>
            <w:tcW w:w="1134" w:type="dxa"/>
            <w:noWrap/>
            <w:hideMark/>
          </w:tcPr>
          <w:p w14:paraId="5643BA6D" w14:textId="77777777" w:rsidR="005F4A7E" w:rsidRPr="002029AF" w:rsidRDefault="005F4A7E" w:rsidP="00130D1C">
            <w:pPr>
              <w:pStyle w:val="ARfintablebodyrightbold"/>
            </w:pPr>
            <w:r w:rsidRPr="005E24B9">
              <w:t>8.0</w:t>
            </w:r>
          </w:p>
        </w:tc>
      </w:tr>
    </w:tbl>
    <w:p w14:paraId="4DBA5A22" w14:textId="77777777" w:rsidR="005F4A7E" w:rsidRDefault="005F4A7E" w:rsidP="00130D1C">
      <w:pPr>
        <w:pStyle w:val="ARfintablefootnote"/>
        <w:rPr>
          <w:lang w:eastAsia="en-AU"/>
        </w:rPr>
      </w:pPr>
      <w:r>
        <w:rPr>
          <w:lang w:eastAsia="en-AU"/>
        </w:rPr>
        <w:t>Note:</w:t>
      </w:r>
    </w:p>
    <w:p w14:paraId="0120991B" w14:textId="77777777" w:rsidR="005F4A7E" w:rsidRDefault="005F4A7E" w:rsidP="00130D1C">
      <w:pPr>
        <w:pStyle w:val="ARfintablefootnoteindent"/>
      </w:pPr>
      <w:r>
        <w:t>(i)</w:t>
      </w:r>
      <w:r>
        <w:tab/>
        <w:t xml:space="preserve">Classified in accordance with the fair value hierarchy. </w:t>
      </w:r>
      <w:r w:rsidRPr="00182AC9">
        <w:t>The department, in conjunction with the VGV, monitors the changes in the fair value of each asset and liability through relevant data sources to determine whether revaluation is required.</w:t>
      </w:r>
    </w:p>
    <w:p w14:paraId="5A9E509D" w14:textId="77777777" w:rsidR="005F4A7E" w:rsidRPr="00C83A0F" w:rsidRDefault="005F4A7E" w:rsidP="00130D1C">
      <w:pPr>
        <w:pStyle w:val="ARfinbodyaftertable"/>
      </w:pPr>
      <w:r w:rsidRPr="00C83A0F">
        <w:t>There was a transfer of $2.8 million from level 3 specialised buildings to level 2 non-specialised buildings in 2020–21 due to the reclassification of property type.</w:t>
      </w:r>
    </w:p>
    <w:p w14:paraId="06876C89" w14:textId="77777777" w:rsidR="005F4A7E" w:rsidRDefault="005F4A7E" w:rsidP="00130D1C">
      <w:pPr>
        <w:pStyle w:val="ARfinbody"/>
      </w:pPr>
      <w:r>
        <w:rPr>
          <w:rStyle w:val="Strong"/>
        </w:rPr>
        <w:t>Non-specialised land and non-specialised buildings</w:t>
      </w:r>
      <w:r>
        <w:t xml:space="preserve"> are valued using the market approach, whereby assets are compared to recent comparable sales or sales of comparable assets that are considered to have nominal value.</w:t>
      </w:r>
    </w:p>
    <w:p w14:paraId="145B6604" w14:textId="77777777" w:rsidR="005F4A7E" w:rsidRDefault="005F4A7E" w:rsidP="00130D1C">
      <w:pPr>
        <w:pStyle w:val="ARfinbody"/>
      </w:pPr>
      <w:r>
        <w:t>Director of Housing land and buildings are primarily held in Level 2 as it is considered that each residential dwelling assessed has an active and liquid market. As such, the market value of each residential asset has been determined by reference to the current property market for similar assets.</w:t>
      </w:r>
    </w:p>
    <w:p w14:paraId="11655B4F" w14:textId="77777777" w:rsidR="005F4A7E" w:rsidRDefault="005F4A7E" w:rsidP="00130D1C">
      <w:pPr>
        <w:pStyle w:val="ARfinbody"/>
      </w:pPr>
      <w:r>
        <w:rPr>
          <w:rStyle w:val="Strong"/>
        </w:rPr>
        <w:t>Specialised land and specialised buildings:</w:t>
      </w:r>
      <w:r>
        <w:t xml:space="preserve"> The market approach is used for specialised land, although this may be adjusted for </w:t>
      </w:r>
      <w:r w:rsidRPr="00230DAB">
        <w:t>a community service obligation (CSO)</w:t>
      </w:r>
      <w:r>
        <w:t xml:space="preserve"> to reflect the specialised nature of the land being valued.</w:t>
      </w:r>
    </w:p>
    <w:p w14:paraId="786C8D7C" w14:textId="59E25757" w:rsidR="005F4A7E" w:rsidRDefault="005F4A7E" w:rsidP="00130D1C">
      <w:pPr>
        <w:pStyle w:val="ARfinbody"/>
      </w:pPr>
      <w:r>
        <w:t>The CSO adjustment is a reflection of the valuer</w:t>
      </w:r>
      <w:r w:rsidR="007D145B">
        <w:t>’</w:t>
      </w:r>
      <w:r>
        <w:t xml:space="preserve">s assessment of the impact of restrictions associated with an asset to the extent that is also equally applicable to market participants. This approach is in light of the highest and best use consideration required for fair value measurement, and takes into account the use of the asset that is physically possible, </w:t>
      </w:r>
      <w:r>
        <w:lastRenderedPageBreak/>
        <w:t>legally permissible, and financially feasible. As adjustments of CSO are considered as significant unobservable inputs, specialised land with a CSO adjustment would primarily be classified as Level 3 assets.</w:t>
      </w:r>
    </w:p>
    <w:p w14:paraId="777CB931" w14:textId="60345814" w:rsidR="005F4A7E" w:rsidRDefault="005F4A7E" w:rsidP="00130D1C">
      <w:pPr>
        <w:pStyle w:val="ARfinbody"/>
      </w:pPr>
      <w:r>
        <w:t>For the majority of the department</w:t>
      </w:r>
      <w:r w:rsidR="007D145B">
        <w:t>’</w:t>
      </w:r>
      <w:r>
        <w:t>s specialised buildings, the current replacement cost method is used, adjusting for the associated depreciations. As depreciation adjustments are considered as significant, unobservable inputs in nature, specialised buildings are primarily classified as Level 3 fair value measurements.</w:t>
      </w:r>
    </w:p>
    <w:p w14:paraId="06D9836B" w14:textId="20C92298" w:rsidR="005F4A7E" w:rsidRDefault="005F4A7E" w:rsidP="00130D1C">
      <w:pPr>
        <w:pStyle w:val="ARfinbody"/>
        <w:rPr>
          <w:color w:val="auto"/>
        </w:rPr>
      </w:pPr>
      <w:r>
        <w:rPr>
          <w:color w:val="auto"/>
        </w:rPr>
        <w:t>The last scheduled revaluation of the department</w:t>
      </w:r>
      <w:r w:rsidR="007D145B">
        <w:rPr>
          <w:color w:val="auto"/>
        </w:rPr>
        <w:t>’</w:t>
      </w:r>
      <w:r>
        <w:rPr>
          <w:color w:val="auto"/>
        </w:rPr>
        <w:t xml:space="preserve">s land and buildings was performed by the VGV in June 2019. For the financial year ended 30 June 2021, in compliance with FRD 103I </w:t>
      </w:r>
      <w:r>
        <w:rPr>
          <w:rStyle w:val="Emphasis"/>
        </w:rPr>
        <w:t>Non-financial physical assets</w:t>
      </w:r>
      <w:r>
        <w:rPr>
          <w:color w:val="auto"/>
        </w:rPr>
        <w:t>, the department conducted an annual assessment of the fair value of land and buildings by applying the VGV indices. Management regards the VGV indices to be a reliable and relevant data set to form the basis of their estimates. Whilst these indices are applicable at 30 June 2021, the fair value of land and buildings will continue to be subjected to the impacts of COVID-19 in future accounting periods.</w:t>
      </w:r>
    </w:p>
    <w:p w14:paraId="619341A9" w14:textId="57AD857F" w:rsidR="005F4A7E" w:rsidRDefault="005F4A7E" w:rsidP="00130D1C">
      <w:pPr>
        <w:pStyle w:val="ARfinbody"/>
        <w:rPr>
          <w:color w:val="auto"/>
        </w:rPr>
      </w:pPr>
      <w:r>
        <w:rPr>
          <w:color w:val="auto"/>
        </w:rPr>
        <w:t>As a result of the machinery of government changes in 2020–21, separate assessments were performed for the Department of Health and for the Department of Families, Fairness and Housing. Land and buildings of the Director of Housing, which are included into the department</w:t>
      </w:r>
      <w:r w:rsidR="007D145B">
        <w:rPr>
          <w:color w:val="auto"/>
        </w:rPr>
        <w:t>’</w:t>
      </w:r>
      <w:r>
        <w:rPr>
          <w:color w:val="auto"/>
        </w:rPr>
        <w:t xml:space="preserve">s financial statements under s. 53(1)(b) of the </w:t>
      </w:r>
      <w:r>
        <w:rPr>
          <w:rStyle w:val="Emphasis"/>
        </w:rPr>
        <w:t>Financial Management Act 1994</w:t>
      </w:r>
      <w:r>
        <w:rPr>
          <w:color w:val="auto"/>
        </w:rPr>
        <w:t>, were assessed as part of the Department of Families, Fairness and Housing portfolio.</w:t>
      </w:r>
    </w:p>
    <w:p w14:paraId="694AED86" w14:textId="77777777" w:rsidR="005F4A7E" w:rsidRDefault="005F4A7E" w:rsidP="00130D1C">
      <w:pPr>
        <w:pStyle w:val="ARfinbody"/>
        <w:rPr>
          <w:color w:val="auto"/>
        </w:rPr>
      </w:pPr>
      <w:r>
        <w:rPr>
          <w:color w:val="auto"/>
        </w:rPr>
        <w:t>For the Department of Health, the cumulative impact of the VGV indices on the fair value since the last scheduled revaluation is an increase of 4.9% for land assets and an increase of 3.6% for buildings. As the accumulated movement was less than the 10% material threshold as defined in FRD 103I, no managerial revaluation was required. The land and building balances are considered to be sensitive to market conditions. To trigger a managerial revaluation:</w:t>
      </w:r>
    </w:p>
    <w:p w14:paraId="7A87148E" w14:textId="77777777" w:rsidR="005F4A7E" w:rsidRDefault="005F4A7E" w:rsidP="005F4A7E">
      <w:pPr>
        <w:pStyle w:val="ARfinbullet1"/>
        <w:numPr>
          <w:ilvl w:val="0"/>
          <w:numId w:val="2"/>
        </w:numPr>
      </w:pPr>
      <w:r>
        <w:t xml:space="preserve">an </w:t>
      </w:r>
      <w:bookmarkStart w:id="1033" w:name="_Hlk82182481"/>
      <w:r>
        <w:t>additional increase of 5.1% or a decrease of 14.9% in the land indices would be required.</w:t>
      </w:r>
      <w:bookmarkEnd w:id="1033"/>
    </w:p>
    <w:p w14:paraId="2B2C747D" w14:textId="77777777" w:rsidR="005F4A7E" w:rsidRDefault="005F4A7E" w:rsidP="005F4A7E">
      <w:pPr>
        <w:pStyle w:val="ARfinbullet1"/>
        <w:numPr>
          <w:ilvl w:val="0"/>
          <w:numId w:val="2"/>
        </w:numPr>
      </w:pPr>
      <w:bookmarkStart w:id="1034" w:name="_Hlk82182495"/>
      <w:r>
        <w:t>an additional increase of 6.4% or a decrease of 13.6% in the building indices would be required</w:t>
      </w:r>
      <w:bookmarkEnd w:id="1034"/>
      <w:r>
        <w:t>.</w:t>
      </w:r>
    </w:p>
    <w:p w14:paraId="637D9E46" w14:textId="77777777" w:rsidR="005F4A7E" w:rsidRDefault="005F4A7E" w:rsidP="00130D1C">
      <w:pPr>
        <w:pStyle w:val="ARfinbody"/>
        <w:rPr>
          <w:color w:val="auto"/>
        </w:rPr>
      </w:pPr>
      <w:r>
        <w:rPr>
          <w:color w:val="auto"/>
        </w:rPr>
        <w:t>For the Department of Families, Fairness and Housing and Director of Housing, the cumulative impact of the VGV indices on the fair value of land assets since the last scheduled revaluation is an increase of 24.8%. The movement exceeds the 10% material threshold, which triggered a managerial revaluation on land assets. Total land value increased by $4.5 billion as a result of the managerial revaluation. The cumulative impact of the VGV indices on the fair value of building assets is an increase of 7.7%. As the movement is less than 10%, a managerial revaluation on buildings is not required. To trigger a managerial revaluation</w:t>
      </w:r>
      <w:bookmarkStart w:id="1035" w:name="_Hlk82182580"/>
      <w:r>
        <w:rPr>
          <w:color w:val="auto"/>
        </w:rPr>
        <w:t xml:space="preserve">, </w:t>
      </w:r>
      <w:bookmarkStart w:id="1036" w:name="_Hlk82182548"/>
      <w:r>
        <w:rPr>
          <w:color w:val="auto"/>
        </w:rPr>
        <w:t xml:space="preserve">an additional increase of 2.3% </w:t>
      </w:r>
      <w:bookmarkEnd w:id="1036"/>
      <w:r>
        <w:rPr>
          <w:color w:val="auto"/>
        </w:rPr>
        <w:t>or a decrease of 17.7% in the building indices would be required.</w:t>
      </w:r>
      <w:bookmarkEnd w:id="1035"/>
    </w:p>
    <w:p w14:paraId="652DCC7A" w14:textId="77777777" w:rsidR="005F4A7E" w:rsidRDefault="005F4A7E" w:rsidP="00130D1C">
      <w:pPr>
        <w:pStyle w:val="ARfinbody"/>
      </w:pPr>
      <w:r>
        <w:rPr>
          <w:rStyle w:val="Strong"/>
        </w:rPr>
        <w:t>Vehicles</w:t>
      </w:r>
      <w:r>
        <w:t xml:space="preserve"> are valued using the current replacement cost method. The department acquires new vehicles and at times disposes of them before the end of their economic life. The process of acquisition, use and disposal in the market is managed by experienced fleet managers in the department who set relevant depreciation rates during use to reflect the utilisation of the vehicles.</w:t>
      </w:r>
    </w:p>
    <w:p w14:paraId="290A577D" w14:textId="77777777" w:rsidR="005F4A7E" w:rsidRDefault="005F4A7E" w:rsidP="00130D1C">
      <w:pPr>
        <w:pStyle w:val="ARfinbody"/>
      </w:pPr>
      <w:r>
        <w:rPr>
          <w:rStyle w:val="Strong"/>
        </w:rPr>
        <w:t>Plant and equipment</w:t>
      </w:r>
      <w:r>
        <w:t xml:space="preserve"> is held at fair value. When plant and equipment is specialised in use, such that it is rarely sold other than as part of a going concern, fair value is determined using the current replacement cost method.</w:t>
      </w:r>
    </w:p>
    <w:p w14:paraId="0CCB10DC" w14:textId="77777777" w:rsidR="005F4A7E" w:rsidRDefault="005F4A7E" w:rsidP="00130D1C">
      <w:pPr>
        <w:pStyle w:val="ARfinbody"/>
      </w:pPr>
      <w:r>
        <w:t>There were no changes in valuation techniques throughout the period to 30 June 2021.</w:t>
      </w:r>
    </w:p>
    <w:p w14:paraId="65526F1C" w14:textId="77777777" w:rsidR="005F4A7E" w:rsidRPr="002029AF" w:rsidRDefault="005F4A7E" w:rsidP="00087B91">
      <w:pPr>
        <w:pStyle w:val="ARfinbody"/>
      </w:pPr>
      <w:r>
        <w:t>For all assets measured at fair value, the current use is considered the highest and best use.</w:t>
      </w:r>
    </w:p>
    <w:p w14:paraId="267D5EF0" w14:textId="77777777" w:rsidR="005F4A7E" w:rsidRPr="002029AF" w:rsidRDefault="005F4A7E" w:rsidP="00087B91">
      <w:pPr>
        <w:pStyle w:val="ARfinbody"/>
        <w:sectPr w:rsidR="005F4A7E" w:rsidRPr="002029AF" w:rsidSect="00130D1C">
          <w:footerReference w:type="even" r:id="rId141"/>
          <w:footnotePr>
            <w:numFmt w:val="lowerLetter"/>
            <w:numRestart w:val="eachPage"/>
          </w:footnotePr>
          <w:pgSz w:w="11906" w:h="16838" w:code="9"/>
          <w:pgMar w:top="1531" w:right="1134" w:bottom="851" w:left="1134" w:header="510" w:footer="340" w:gutter="0"/>
          <w:cols w:space="708"/>
          <w:docGrid w:linePitch="360"/>
        </w:sectPr>
      </w:pPr>
    </w:p>
    <w:p w14:paraId="32AFE7E4" w14:textId="77777777" w:rsidR="005F4A7E" w:rsidRPr="002029AF" w:rsidRDefault="005F4A7E" w:rsidP="00087B91">
      <w:pPr>
        <w:pStyle w:val="Heading6"/>
        <w:spacing w:before="0"/>
      </w:pPr>
      <w:bookmarkStart w:id="1037" w:name="_Toc85121541"/>
      <w:r w:rsidRPr="002029AF">
        <w:lastRenderedPageBreak/>
        <w:t>Reconciliation of Level 3 fair value movements</w:t>
      </w:r>
      <w:bookmarkEnd w:id="1037"/>
    </w:p>
    <w:tbl>
      <w:tblPr>
        <w:tblStyle w:val="TableGrid"/>
        <w:tblW w:w="14459" w:type="dxa"/>
        <w:tblLayout w:type="fixed"/>
        <w:tblLook w:val="06A0" w:firstRow="1" w:lastRow="0" w:firstColumn="1" w:lastColumn="0" w:noHBand="1" w:noVBand="1"/>
      </w:tblPr>
      <w:tblGrid>
        <w:gridCol w:w="6409"/>
        <w:gridCol w:w="1610"/>
        <w:gridCol w:w="1610"/>
        <w:gridCol w:w="1610"/>
        <w:gridCol w:w="1610"/>
        <w:gridCol w:w="1610"/>
      </w:tblGrid>
      <w:tr w:rsidR="005F4A7E" w:rsidRPr="002029AF" w14:paraId="30301435"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6409" w:type="dxa"/>
            <w:tcBorders>
              <w:bottom w:val="single" w:sz="4" w:space="0" w:color="auto"/>
            </w:tcBorders>
            <w:hideMark/>
          </w:tcPr>
          <w:p w14:paraId="215FF357" w14:textId="77777777" w:rsidR="005F4A7E" w:rsidRPr="002029AF" w:rsidRDefault="005F4A7E" w:rsidP="00860E95">
            <w:pPr>
              <w:pStyle w:val="ARfintablecolhead"/>
              <w:spacing w:before="20" w:after="10"/>
            </w:pPr>
            <w:r>
              <w:t>2021</w:t>
            </w:r>
          </w:p>
        </w:tc>
        <w:tc>
          <w:tcPr>
            <w:tcW w:w="1610" w:type="dxa"/>
            <w:tcBorders>
              <w:bottom w:val="single" w:sz="4" w:space="0" w:color="auto"/>
            </w:tcBorders>
            <w:hideMark/>
          </w:tcPr>
          <w:p w14:paraId="79071E74" w14:textId="77777777" w:rsidR="005F4A7E" w:rsidRPr="002029AF" w:rsidRDefault="005F4A7E" w:rsidP="00860E95">
            <w:pPr>
              <w:pStyle w:val="ARfintablecolheadright"/>
              <w:spacing w:before="20" w:after="10"/>
            </w:pPr>
            <w:r w:rsidRPr="002029AF">
              <w:t>Specialised land</w:t>
            </w:r>
          </w:p>
          <w:p w14:paraId="21283DC8" w14:textId="77777777" w:rsidR="005F4A7E" w:rsidRPr="002029AF" w:rsidRDefault="005F4A7E" w:rsidP="00860E95">
            <w:pPr>
              <w:pStyle w:val="ARfintablecolheadright"/>
              <w:spacing w:before="20" w:after="10"/>
            </w:pPr>
            <w:r w:rsidRPr="002029AF">
              <w:t>$M</w:t>
            </w:r>
          </w:p>
        </w:tc>
        <w:tc>
          <w:tcPr>
            <w:tcW w:w="1610" w:type="dxa"/>
            <w:tcBorders>
              <w:bottom w:val="single" w:sz="4" w:space="0" w:color="auto"/>
            </w:tcBorders>
            <w:hideMark/>
          </w:tcPr>
          <w:p w14:paraId="1FD6DC07" w14:textId="77777777" w:rsidR="005F4A7E" w:rsidRPr="002029AF" w:rsidRDefault="005F4A7E" w:rsidP="00860E95">
            <w:pPr>
              <w:pStyle w:val="ARfintablecolheadright"/>
              <w:spacing w:before="20" w:after="10"/>
            </w:pPr>
            <w:r w:rsidRPr="002029AF">
              <w:t xml:space="preserve">Specialised </w:t>
            </w:r>
            <w:r w:rsidRPr="002029AF">
              <w:br/>
              <w:t>buildings</w:t>
            </w:r>
          </w:p>
          <w:p w14:paraId="10C3BF21" w14:textId="77777777" w:rsidR="005F4A7E" w:rsidRPr="002029AF" w:rsidRDefault="005F4A7E" w:rsidP="00860E95">
            <w:pPr>
              <w:pStyle w:val="ARfintablecolheadright"/>
              <w:spacing w:before="20" w:after="10"/>
            </w:pPr>
            <w:r w:rsidRPr="002029AF">
              <w:t>$M</w:t>
            </w:r>
          </w:p>
        </w:tc>
        <w:tc>
          <w:tcPr>
            <w:tcW w:w="1610" w:type="dxa"/>
            <w:tcBorders>
              <w:bottom w:val="single" w:sz="4" w:space="0" w:color="auto"/>
            </w:tcBorders>
            <w:hideMark/>
          </w:tcPr>
          <w:p w14:paraId="40880C83" w14:textId="77777777" w:rsidR="005F4A7E" w:rsidRPr="002029AF" w:rsidRDefault="005F4A7E" w:rsidP="00860E95">
            <w:pPr>
              <w:pStyle w:val="ARfintablecolheadright"/>
              <w:spacing w:before="20" w:after="10"/>
            </w:pPr>
            <w:r w:rsidRPr="002029AF">
              <w:t>Plant and equipment</w:t>
            </w:r>
          </w:p>
          <w:p w14:paraId="3E54C7EB" w14:textId="77777777" w:rsidR="005F4A7E" w:rsidRPr="002029AF" w:rsidRDefault="005F4A7E" w:rsidP="00860E95">
            <w:pPr>
              <w:pStyle w:val="ARfintablecolheadright"/>
              <w:spacing w:before="20" w:after="10"/>
            </w:pPr>
            <w:r w:rsidRPr="002029AF">
              <w:t>$M</w:t>
            </w:r>
          </w:p>
        </w:tc>
        <w:tc>
          <w:tcPr>
            <w:tcW w:w="1610" w:type="dxa"/>
            <w:tcBorders>
              <w:bottom w:val="single" w:sz="4" w:space="0" w:color="auto"/>
            </w:tcBorders>
            <w:hideMark/>
          </w:tcPr>
          <w:p w14:paraId="55866367" w14:textId="77777777" w:rsidR="005F4A7E" w:rsidRPr="002029AF" w:rsidRDefault="005F4A7E" w:rsidP="00860E95">
            <w:pPr>
              <w:pStyle w:val="ARfintablecolheadright"/>
              <w:spacing w:before="20" w:after="10"/>
            </w:pPr>
            <w:r w:rsidRPr="002029AF">
              <w:t>Motor vehicles</w:t>
            </w:r>
          </w:p>
          <w:p w14:paraId="1FA048E0" w14:textId="77777777" w:rsidR="005F4A7E" w:rsidRPr="002029AF" w:rsidRDefault="005F4A7E" w:rsidP="00860E95">
            <w:pPr>
              <w:pStyle w:val="ARfintablecolheadright"/>
              <w:spacing w:before="20" w:after="10"/>
            </w:pPr>
            <w:r w:rsidRPr="002029AF">
              <w:t>$M</w:t>
            </w:r>
          </w:p>
        </w:tc>
        <w:tc>
          <w:tcPr>
            <w:tcW w:w="1610" w:type="dxa"/>
            <w:tcBorders>
              <w:bottom w:val="single" w:sz="4" w:space="0" w:color="auto"/>
            </w:tcBorders>
            <w:hideMark/>
          </w:tcPr>
          <w:p w14:paraId="631886C6" w14:textId="77777777" w:rsidR="005F4A7E" w:rsidRPr="002029AF" w:rsidRDefault="005F4A7E" w:rsidP="00860E95">
            <w:pPr>
              <w:pStyle w:val="ARfintablecolheadright"/>
              <w:spacing w:before="20" w:after="10"/>
            </w:pPr>
            <w:r w:rsidRPr="002029AF">
              <w:t>Total</w:t>
            </w:r>
          </w:p>
          <w:p w14:paraId="3EF74C1F" w14:textId="77777777" w:rsidR="005F4A7E" w:rsidRPr="002029AF" w:rsidRDefault="005F4A7E" w:rsidP="00860E95">
            <w:pPr>
              <w:pStyle w:val="ARfintablecolheadright"/>
              <w:spacing w:before="20" w:after="10"/>
            </w:pPr>
            <w:r w:rsidRPr="002029AF">
              <w:t>$M</w:t>
            </w:r>
          </w:p>
        </w:tc>
      </w:tr>
      <w:tr w:rsidR="005F4A7E" w:rsidRPr="002029AF" w14:paraId="639D479C" w14:textId="77777777" w:rsidTr="00130D1C">
        <w:tc>
          <w:tcPr>
            <w:tcW w:w="6409" w:type="dxa"/>
            <w:tcBorders>
              <w:top w:val="single" w:sz="4" w:space="0" w:color="auto"/>
              <w:bottom w:val="single" w:sz="4" w:space="0" w:color="A6A6A6"/>
            </w:tcBorders>
            <w:hideMark/>
          </w:tcPr>
          <w:p w14:paraId="3F841204" w14:textId="77777777" w:rsidR="005F4A7E" w:rsidRPr="002029AF" w:rsidRDefault="005F4A7E" w:rsidP="00130D1C">
            <w:pPr>
              <w:pStyle w:val="ARfintablebodybold"/>
            </w:pPr>
            <w:r w:rsidRPr="003A0F44">
              <w:t>Opening balance</w:t>
            </w:r>
          </w:p>
        </w:tc>
        <w:tc>
          <w:tcPr>
            <w:tcW w:w="1610" w:type="dxa"/>
            <w:tcBorders>
              <w:top w:val="single" w:sz="4" w:space="0" w:color="auto"/>
              <w:bottom w:val="single" w:sz="4" w:space="0" w:color="A6A6A6"/>
            </w:tcBorders>
            <w:noWrap/>
            <w:hideMark/>
          </w:tcPr>
          <w:p w14:paraId="48B3F859" w14:textId="77777777" w:rsidR="005F4A7E" w:rsidRPr="002029AF" w:rsidRDefault="005F4A7E" w:rsidP="00130D1C">
            <w:pPr>
              <w:pStyle w:val="ARfintablebodyrightbold"/>
            </w:pPr>
            <w:r w:rsidRPr="003A0F44">
              <w:t>515.5</w:t>
            </w:r>
          </w:p>
        </w:tc>
        <w:tc>
          <w:tcPr>
            <w:tcW w:w="1610" w:type="dxa"/>
            <w:tcBorders>
              <w:top w:val="single" w:sz="4" w:space="0" w:color="auto"/>
              <w:bottom w:val="single" w:sz="4" w:space="0" w:color="A6A6A6"/>
            </w:tcBorders>
            <w:noWrap/>
            <w:hideMark/>
          </w:tcPr>
          <w:p w14:paraId="3B4B4074" w14:textId="77777777" w:rsidR="005F4A7E" w:rsidRPr="002029AF" w:rsidRDefault="005F4A7E" w:rsidP="00130D1C">
            <w:pPr>
              <w:pStyle w:val="ARfintablebodyrightbold"/>
            </w:pPr>
            <w:r w:rsidRPr="003A0F44">
              <w:t>703.6</w:t>
            </w:r>
          </w:p>
        </w:tc>
        <w:tc>
          <w:tcPr>
            <w:tcW w:w="1610" w:type="dxa"/>
            <w:tcBorders>
              <w:top w:val="single" w:sz="4" w:space="0" w:color="auto"/>
              <w:bottom w:val="single" w:sz="4" w:space="0" w:color="A6A6A6"/>
            </w:tcBorders>
            <w:noWrap/>
            <w:hideMark/>
          </w:tcPr>
          <w:p w14:paraId="50F47EFA" w14:textId="77777777" w:rsidR="005F4A7E" w:rsidRPr="002029AF" w:rsidRDefault="005F4A7E" w:rsidP="00130D1C">
            <w:pPr>
              <w:pStyle w:val="ARfintablebodyrightbold"/>
            </w:pPr>
            <w:r w:rsidRPr="003A0F44">
              <w:t>7.6</w:t>
            </w:r>
          </w:p>
        </w:tc>
        <w:tc>
          <w:tcPr>
            <w:tcW w:w="1610" w:type="dxa"/>
            <w:tcBorders>
              <w:top w:val="single" w:sz="4" w:space="0" w:color="auto"/>
              <w:bottom w:val="single" w:sz="4" w:space="0" w:color="A6A6A6"/>
            </w:tcBorders>
            <w:noWrap/>
            <w:hideMark/>
          </w:tcPr>
          <w:p w14:paraId="4EB818AF" w14:textId="77777777" w:rsidR="005F4A7E" w:rsidRPr="002029AF" w:rsidRDefault="005F4A7E" w:rsidP="00130D1C">
            <w:pPr>
              <w:pStyle w:val="ARfintablebodyrightbold"/>
            </w:pPr>
            <w:r w:rsidRPr="003A0F44">
              <w:t>0.4</w:t>
            </w:r>
          </w:p>
        </w:tc>
        <w:tc>
          <w:tcPr>
            <w:tcW w:w="1610" w:type="dxa"/>
            <w:tcBorders>
              <w:top w:val="single" w:sz="4" w:space="0" w:color="auto"/>
              <w:bottom w:val="single" w:sz="4" w:space="0" w:color="A6A6A6"/>
            </w:tcBorders>
            <w:noWrap/>
            <w:hideMark/>
          </w:tcPr>
          <w:p w14:paraId="0797BF94" w14:textId="77777777" w:rsidR="005F4A7E" w:rsidRPr="002029AF" w:rsidRDefault="005F4A7E" w:rsidP="00130D1C">
            <w:pPr>
              <w:pStyle w:val="ARfintablebodyrightbold"/>
            </w:pPr>
            <w:r w:rsidRPr="003A0F44">
              <w:t>1,227.2</w:t>
            </w:r>
          </w:p>
        </w:tc>
      </w:tr>
      <w:tr w:rsidR="005F4A7E" w:rsidRPr="002029AF" w14:paraId="4CA74E2E" w14:textId="77777777" w:rsidTr="00130D1C">
        <w:tc>
          <w:tcPr>
            <w:tcW w:w="6409" w:type="dxa"/>
            <w:tcBorders>
              <w:top w:val="single" w:sz="4" w:space="0" w:color="A6A6A6"/>
              <w:bottom w:val="single" w:sz="4" w:space="0" w:color="A6A6A6"/>
            </w:tcBorders>
            <w:hideMark/>
          </w:tcPr>
          <w:p w14:paraId="23D12A61" w14:textId="77777777" w:rsidR="005F4A7E" w:rsidRPr="002029AF" w:rsidRDefault="005F4A7E" w:rsidP="00130D1C">
            <w:pPr>
              <w:pStyle w:val="ARfintablebody"/>
            </w:pPr>
            <w:r w:rsidRPr="003A0F44">
              <w:t>Additions</w:t>
            </w:r>
          </w:p>
        </w:tc>
        <w:tc>
          <w:tcPr>
            <w:tcW w:w="1610" w:type="dxa"/>
            <w:tcBorders>
              <w:top w:val="single" w:sz="4" w:space="0" w:color="A6A6A6"/>
              <w:bottom w:val="single" w:sz="4" w:space="0" w:color="A6A6A6"/>
            </w:tcBorders>
            <w:noWrap/>
            <w:hideMark/>
          </w:tcPr>
          <w:p w14:paraId="2A5384A3" w14:textId="77777777" w:rsidR="005F4A7E" w:rsidRPr="002029AF" w:rsidRDefault="005F4A7E" w:rsidP="00130D1C">
            <w:pPr>
              <w:pStyle w:val="ARfintablebodyright"/>
            </w:pPr>
            <w:r w:rsidRPr="003A0F44">
              <w:t>93.6</w:t>
            </w:r>
          </w:p>
        </w:tc>
        <w:tc>
          <w:tcPr>
            <w:tcW w:w="1610" w:type="dxa"/>
            <w:tcBorders>
              <w:top w:val="single" w:sz="4" w:space="0" w:color="A6A6A6"/>
              <w:bottom w:val="single" w:sz="4" w:space="0" w:color="A6A6A6"/>
            </w:tcBorders>
            <w:noWrap/>
            <w:hideMark/>
          </w:tcPr>
          <w:p w14:paraId="611419EF" w14:textId="77777777" w:rsidR="005F4A7E" w:rsidRPr="002029AF" w:rsidRDefault="005F4A7E" w:rsidP="00130D1C">
            <w:pPr>
              <w:pStyle w:val="ARfintablebodyright"/>
            </w:pPr>
            <w:r w:rsidRPr="003A0F44">
              <w:t>–</w:t>
            </w:r>
          </w:p>
        </w:tc>
        <w:tc>
          <w:tcPr>
            <w:tcW w:w="1610" w:type="dxa"/>
            <w:tcBorders>
              <w:top w:val="single" w:sz="4" w:space="0" w:color="A6A6A6"/>
              <w:bottom w:val="single" w:sz="4" w:space="0" w:color="A6A6A6"/>
            </w:tcBorders>
            <w:noWrap/>
            <w:hideMark/>
          </w:tcPr>
          <w:p w14:paraId="5B33D2EB" w14:textId="77777777" w:rsidR="005F4A7E" w:rsidRPr="002029AF" w:rsidRDefault="005F4A7E" w:rsidP="00130D1C">
            <w:pPr>
              <w:pStyle w:val="ARfintablebodyright"/>
            </w:pPr>
            <w:r w:rsidRPr="003A0F44">
              <w:t>–</w:t>
            </w:r>
          </w:p>
        </w:tc>
        <w:tc>
          <w:tcPr>
            <w:tcW w:w="1610" w:type="dxa"/>
            <w:tcBorders>
              <w:top w:val="single" w:sz="4" w:space="0" w:color="A6A6A6"/>
              <w:bottom w:val="single" w:sz="4" w:space="0" w:color="A6A6A6"/>
            </w:tcBorders>
            <w:noWrap/>
            <w:hideMark/>
          </w:tcPr>
          <w:p w14:paraId="6E2F6D31" w14:textId="77777777" w:rsidR="005F4A7E" w:rsidRPr="002029AF" w:rsidRDefault="005F4A7E" w:rsidP="00130D1C">
            <w:pPr>
              <w:pStyle w:val="ARfintablebodyright"/>
            </w:pPr>
            <w:r w:rsidRPr="003A0F44">
              <w:t>–</w:t>
            </w:r>
          </w:p>
        </w:tc>
        <w:tc>
          <w:tcPr>
            <w:tcW w:w="1610" w:type="dxa"/>
            <w:tcBorders>
              <w:top w:val="single" w:sz="4" w:space="0" w:color="A6A6A6"/>
              <w:bottom w:val="single" w:sz="4" w:space="0" w:color="A6A6A6"/>
            </w:tcBorders>
            <w:noWrap/>
            <w:hideMark/>
          </w:tcPr>
          <w:p w14:paraId="2C7CD941" w14:textId="77777777" w:rsidR="005F4A7E" w:rsidRPr="002029AF" w:rsidRDefault="005F4A7E" w:rsidP="00130D1C">
            <w:pPr>
              <w:pStyle w:val="ARfintablebodyright"/>
            </w:pPr>
            <w:r w:rsidRPr="003A0F44">
              <w:t>93.6</w:t>
            </w:r>
          </w:p>
        </w:tc>
      </w:tr>
      <w:tr w:rsidR="005F4A7E" w:rsidRPr="002029AF" w14:paraId="2766F9FD" w14:textId="77777777" w:rsidTr="00130D1C">
        <w:tc>
          <w:tcPr>
            <w:tcW w:w="6409" w:type="dxa"/>
            <w:tcBorders>
              <w:top w:val="single" w:sz="4" w:space="0" w:color="A6A6A6"/>
              <w:bottom w:val="single" w:sz="4" w:space="0" w:color="A6A6A6"/>
            </w:tcBorders>
            <w:hideMark/>
          </w:tcPr>
          <w:p w14:paraId="496F240F" w14:textId="77777777" w:rsidR="005F4A7E" w:rsidRPr="002029AF" w:rsidRDefault="005F4A7E" w:rsidP="00130D1C">
            <w:pPr>
              <w:pStyle w:val="ARfintablebody"/>
            </w:pPr>
            <w:r w:rsidRPr="003A0F44">
              <w:t>Capitalisation of work in progress</w:t>
            </w:r>
          </w:p>
        </w:tc>
        <w:tc>
          <w:tcPr>
            <w:tcW w:w="1610" w:type="dxa"/>
            <w:tcBorders>
              <w:top w:val="single" w:sz="4" w:space="0" w:color="A6A6A6"/>
              <w:bottom w:val="single" w:sz="4" w:space="0" w:color="A6A6A6"/>
            </w:tcBorders>
            <w:noWrap/>
            <w:hideMark/>
          </w:tcPr>
          <w:p w14:paraId="47C73C20" w14:textId="77777777" w:rsidR="005F4A7E" w:rsidRPr="002029AF" w:rsidRDefault="005F4A7E" w:rsidP="00130D1C">
            <w:pPr>
              <w:pStyle w:val="ARfintablebodyright"/>
            </w:pPr>
            <w:r w:rsidRPr="003A0F44">
              <w:t>2.9</w:t>
            </w:r>
          </w:p>
        </w:tc>
        <w:tc>
          <w:tcPr>
            <w:tcW w:w="1610" w:type="dxa"/>
            <w:tcBorders>
              <w:top w:val="single" w:sz="4" w:space="0" w:color="A6A6A6"/>
              <w:bottom w:val="single" w:sz="4" w:space="0" w:color="A6A6A6"/>
            </w:tcBorders>
            <w:noWrap/>
            <w:hideMark/>
          </w:tcPr>
          <w:p w14:paraId="415A67F3" w14:textId="77777777" w:rsidR="005F4A7E" w:rsidRPr="002029AF" w:rsidRDefault="005F4A7E" w:rsidP="00130D1C">
            <w:pPr>
              <w:pStyle w:val="ARfintablebodyright"/>
            </w:pPr>
            <w:r w:rsidRPr="003A0F44">
              <w:t>58.6</w:t>
            </w:r>
          </w:p>
        </w:tc>
        <w:tc>
          <w:tcPr>
            <w:tcW w:w="1610" w:type="dxa"/>
            <w:tcBorders>
              <w:top w:val="single" w:sz="4" w:space="0" w:color="A6A6A6"/>
              <w:bottom w:val="single" w:sz="4" w:space="0" w:color="A6A6A6"/>
            </w:tcBorders>
            <w:noWrap/>
            <w:hideMark/>
          </w:tcPr>
          <w:p w14:paraId="4452A454" w14:textId="77777777" w:rsidR="005F4A7E" w:rsidRPr="002029AF" w:rsidRDefault="005F4A7E" w:rsidP="00130D1C">
            <w:pPr>
              <w:pStyle w:val="ARfintablebodyright"/>
            </w:pPr>
            <w:r w:rsidRPr="003A0F44">
              <w:t>0.7</w:t>
            </w:r>
          </w:p>
        </w:tc>
        <w:tc>
          <w:tcPr>
            <w:tcW w:w="1610" w:type="dxa"/>
            <w:tcBorders>
              <w:top w:val="single" w:sz="4" w:space="0" w:color="A6A6A6"/>
              <w:bottom w:val="single" w:sz="4" w:space="0" w:color="A6A6A6"/>
            </w:tcBorders>
            <w:noWrap/>
            <w:hideMark/>
          </w:tcPr>
          <w:p w14:paraId="3176F632" w14:textId="77777777" w:rsidR="005F4A7E" w:rsidRPr="002029AF" w:rsidRDefault="005F4A7E" w:rsidP="00130D1C">
            <w:pPr>
              <w:pStyle w:val="ARfintablebodyright"/>
            </w:pPr>
            <w:r w:rsidRPr="003A0F44">
              <w:t>–</w:t>
            </w:r>
          </w:p>
        </w:tc>
        <w:tc>
          <w:tcPr>
            <w:tcW w:w="1610" w:type="dxa"/>
            <w:tcBorders>
              <w:top w:val="single" w:sz="4" w:space="0" w:color="A6A6A6"/>
              <w:bottom w:val="single" w:sz="4" w:space="0" w:color="A6A6A6"/>
            </w:tcBorders>
            <w:noWrap/>
            <w:hideMark/>
          </w:tcPr>
          <w:p w14:paraId="3BCFA12C" w14:textId="77777777" w:rsidR="005F4A7E" w:rsidRPr="002029AF" w:rsidRDefault="005F4A7E" w:rsidP="00130D1C">
            <w:pPr>
              <w:pStyle w:val="ARfintablebodyright"/>
            </w:pPr>
            <w:r w:rsidRPr="003A0F44">
              <w:t>62.2</w:t>
            </w:r>
          </w:p>
        </w:tc>
      </w:tr>
      <w:tr w:rsidR="005F4A7E" w:rsidRPr="002029AF" w14:paraId="3DB48768" w14:textId="77777777" w:rsidTr="00130D1C">
        <w:tc>
          <w:tcPr>
            <w:tcW w:w="6409" w:type="dxa"/>
            <w:tcBorders>
              <w:top w:val="single" w:sz="4" w:space="0" w:color="A6A6A6"/>
              <w:bottom w:val="single" w:sz="4" w:space="0" w:color="A6A6A6"/>
            </w:tcBorders>
            <w:hideMark/>
          </w:tcPr>
          <w:p w14:paraId="3491330E" w14:textId="77777777" w:rsidR="005F4A7E" w:rsidRPr="002029AF" w:rsidRDefault="005F4A7E" w:rsidP="00130D1C">
            <w:pPr>
              <w:pStyle w:val="ARfintablebody"/>
            </w:pPr>
            <w:r w:rsidRPr="003A0F44">
              <w:t>Disposals</w:t>
            </w:r>
          </w:p>
        </w:tc>
        <w:tc>
          <w:tcPr>
            <w:tcW w:w="1610" w:type="dxa"/>
            <w:tcBorders>
              <w:top w:val="single" w:sz="4" w:space="0" w:color="A6A6A6"/>
              <w:bottom w:val="single" w:sz="4" w:space="0" w:color="A6A6A6"/>
            </w:tcBorders>
            <w:noWrap/>
            <w:hideMark/>
          </w:tcPr>
          <w:p w14:paraId="41607940" w14:textId="77777777" w:rsidR="005F4A7E" w:rsidRPr="002029AF" w:rsidRDefault="005F4A7E" w:rsidP="00130D1C">
            <w:pPr>
              <w:pStyle w:val="ARfintablebodyright"/>
            </w:pPr>
            <w:r w:rsidRPr="003A0F44">
              <w:t>(0.4)</w:t>
            </w:r>
          </w:p>
        </w:tc>
        <w:tc>
          <w:tcPr>
            <w:tcW w:w="1610" w:type="dxa"/>
            <w:tcBorders>
              <w:top w:val="single" w:sz="4" w:space="0" w:color="A6A6A6"/>
              <w:bottom w:val="single" w:sz="4" w:space="0" w:color="A6A6A6"/>
            </w:tcBorders>
            <w:noWrap/>
            <w:hideMark/>
          </w:tcPr>
          <w:p w14:paraId="2D186BEF" w14:textId="77777777" w:rsidR="005F4A7E" w:rsidRPr="002029AF" w:rsidRDefault="005F4A7E" w:rsidP="00130D1C">
            <w:pPr>
              <w:pStyle w:val="ARfintablebodyright"/>
            </w:pPr>
            <w:r w:rsidRPr="003A0F44">
              <w:t>(0.1)</w:t>
            </w:r>
          </w:p>
        </w:tc>
        <w:tc>
          <w:tcPr>
            <w:tcW w:w="1610" w:type="dxa"/>
            <w:tcBorders>
              <w:top w:val="single" w:sz="4" w:space="0" w:color="A6A6A6"/>
              <w:bottom w:val="single" w:sz="4" w:space="0" w:color="A6A6A6"/>
            </w:tcBorders>
            <w:noWrap/>
            <w:hideMark/>
          </w:tcPr>
          <w:p w14:paraId="1CF187F1" w14:textId="77777777" w:rsidR="005F4A7E" w:rsidRPr="002029AF" w:rsidRDefault="005F4A7E" w:rsidP="00130D1C">
            <w:pPr>
              <w:pStyle w:val="ARfintablebodyright"/>
            </w:pPr>
            <w:r w:rsidRPr="003A0F44">
              <w:t>–</w:t>
            </w:r>
          </w:p>
        </w:tc>
        <w:tc>
          <w:tcPr>
            <w:tcW w:w="1610" w:type="dxa"/>
            <w:tcBorders>
              <w:top w:val="single" w:sz="4" w:space="0" w:color="A6A6A6"/>
              <w:bottom w:val="single" w:sz="4" w:space="0" w:color="A6A6A6"/>
            </w:tcBorders>
            <w:noWrap/>
            <w:hideMark/>
          </w:tcPr>
          <w:p w14:paraId="78F8F367" w14:textId="77777777" w:rsidR="005F4A7E" w:rsidRPr="002029AF" w:rsidRDefault="005F4A7E" w:rsidP="00130D1C">
            <w:pPr>
              <w:pStyle w:val="ARfintablebodyright"/>
            </w:pPr>
            <w:r w:rsidRPr="003A0F44">
              <w:t>–</w:t>
            </w:r>
          </w:p>
        </w:tc>
        <w:tc>
          <w:tcPr>
            <w:tcW w:w="1610" w:type="dxa"/>
            <w:tcBorders>
              <w:top w:val="single" w:sz="4" w:space="0" w:color="A6A6A6"/>
              <w:bottom w:val="single" w:sz="4" w:space="0" w:color="A6A6A6"/>
            </w:tcBorders>
            <w:noWrap/>
            <w:hideMark/>
          </w:tcPr>
          <w:p w14:paraId="019EA1DF" w14:textId="77777777" w:rsidR="005F4A7E" w:rsidRPr="002029AF" w:rsidRDefault="005F4A7E" w:rsidP="00130D1C">
            <w:pPr>
              <w:pStyle w:val="ARfintablebodyright"/>
            </w:pPr>
            <w:r w:rsidRPr="003A0F44">
              <w:t>(0.4)</w:t>
            </w:r>
          </w:p>
        </w:tc>
      </w:tr>
      <w:tr w:rsidR="005F4A7E" w:rsidRPr="002029AF" w14:paraId="19F176F5" w14:textId="77777777" w:rsidTr="00130D1C">
        <w:tc>
          <w:tcPr>
            <w:tcW w:w="6409" w:type="dxa"/>
            <w:tcBorders>
              <w:top w:val="single" w:sz="4" w:space="0" w:color="A6A6A6"/>
              <w:bottom w:val="single" w:sz="4" w:space="0" w:color="A6A6A6"/>
            </w:tcBorders>
            <w:hideMark/>
          </w:tcPr>
          <w:p w14:paraId="51BB7EBE" w14:textId="77777777" w:rsidR="005F4A7E" w:rsidRPr="002029AF" w:rsidRDefault="005F4A7E" w:rsidP="00130D1C">
            <w:pPr>
              <w:pStyle w:val="ARfintablebody"/>
            </w:pPr>
            <w:r w:rsidRPr="003A0F44">
              <w:t>Administrative instrument transfers</w:t>
            </w:r>
          </w:p>
        </w:tc>
        <w:tc>
          <w:tcPr>
            <w:tcW w:w="1610" w:type="dxa"/>
            <w:tcBorders>
              <w:top w:val="single" w:sz="4" w:space="0" w:color="A6A6A6"/>
              <w:bottom w:val="single" w:sz="4" w:space="0" w:color="A6A6A6"/>
            </w:tcBorders>
            <w:noWrap/>
            <w:hideMark/>
          </w:tcPr>
          <w:p w14:paraId="20FA1BC9" w14:textId="77777777" w:rsidR="005F4A7E" w:rsidRPr="002029AF" w:rsidRDefault="005F4A7E" w:rsidP="00130D1C">
            <w:pPr>
              <w:pStyle w:val="ARfintablebodyright"/>
            </w:pPr>
            <w:r w:rsidRPr="003A0F44">
              <w:t>(1.3)</w:t>
            </w:r>
          </w:p>
        </w:tc>
        <w:tc>
          <w:tcPr>
            <w:tcW w:w="1610" w:type="dxa"/>
            <w:tcBorders>
              <w:top w:val="single" w:sz="4" w:space="0" w:color="A6A6A6"/>
              <w:bottom w:val="single" w:sz="4" w:space="0" w:color="A6A6A6"/>
            </w:tcBorders>
            <w:noWrap/>
            <w:hideMark/>
          </w:tcPr>
          <w:p w14:paraId="3608C2EA" w14:textId="77777777" w:rsidR="005F4A7E" w:rsidRPr="002029AF" w:rsidRDefault="005F4A7E" w:rsidP="00130D1C">
            <w:pPr>
              <w:pStyle w:val="ARfintablebodyright"/>
            </w:pPr>
            <w:r w:rsidRPr="003A0F44">
              <w:t>(78.4)</w:t>
            </w:r>
          </w:p>
        </w:tc>
        <w:tc>
          <w:tcPr>
            <w:tcW w:w="1610" w:type="dxa"/>
            <w:tcBorders>
              <w:top w:val="single" w:sz="4" w:space="0" w:color="A6A6A6"/>
              <w:bottom w:val="single" w:sz="4" w:space="0" w:color="A6A6A6"/>
            </w:tcBorders>
            <w:noWrap/>
            <w:hideMark/>
          </w:tcPr>
          <w:p w14:paraId="092A5D22" w14:textId="77777777" w:rsidR="005F4A7E" w:rsidRPr="002029AF" w:rsidRDefault="005F4A7E" w:rsidP="00130D1C">
            <w:pPr>
              <w:pStyle w:val="ARfintablebodyright"/>
            </w:pPr>
            <w:r w:rsidRPr="003A0F44">
              <w:t>(3.1)</w:t>
            </w:r>
          </w:p>
        </w:tc>
        <w:tc>
          <w:tcPr>
            <w:tcW w:w="1610" w:type="dxa"/>
            <w:tcBorders>
              <w:top w:val="single" w:sz="4" w:space="0" w:color="A6A6A6"/>
              <w:bottom w:val="single" w:sz="4" w:space="0" w:color="A6A6A6"/>
            </w:tcBorders>
            <w:noWrap/>
            <w:hideMark/>
          </w:tcPr>
          <w:p w14:paraId="394397D3" w14:textId="77777777" w:rsidR="005F4A7E" w:rsidRPr="002029AF" w:rsidRDefault="005F4A7E" w:rsidP="00130D1C">
            <w:pPr>
              <w:pStyle w:val="ARfintablebodyright"/>
            </w:pPr>
            <w:r w:rsidRPr="003A0F44">
              <w:t>–</w:t>
            </w:r>
          </w:p>
        </w:tc>
        <w:tc>
          <w:tcPr>
            <w:tcW w:w="1610" w:type="dxa"/>
            <w:tcBorders>
              <w:top w:val="single" w:sz="4" w:space="0" w:color="A6A6A6"/>
              <w:bottom w:val="single" w:sz="4" w:space="0" w:color="A6A6A6"/>
            </w:tcBorders>
            <w:noWrap/>
            <w:hideMark/>
          </w:tcPr>
          <w:p w14:paraId="71245583" w14:textId="77777777" w:rsidR="005F4A7E" w:rsidRPr="002029AF" w:rsidRDefault="005F4A7E" w:rsidP="00130D1C">
            <w:pPr>
              <w:pStyle w:val="ARfintablebodyright"/>
            </w:pPr>
            <w:r w:rsidRPr="003A0F44">
              <w:t>(82.7)</w:t>
            </w:r>
          </w:p>
        </w:tc>
      </w:tr>
      <w:tr w:rsidR="005F4A7E" w:rsidRPr="002029AF" w14:paraId="1550E391" w14:textId="77777777" w:rsidTr="00130D1C">
        <w:tc>
          <w:tcPr>
            <w:tcW w:w="6409" w:type="dxa"/>
            <w:tcBorders>
              <w:top w:val="single" w:sz="4" w:space="0" w:color="A6A6A6"/>
              <w:bottom w:val="single" w:sz="4" w:space="0" w:color="A6A6A6"/>
            </w:tcBorders>
          </w:tcPr>
          <w:p w14:paraId="5F6D4BED" w14:textId="77777777" w:rsidR="005F4A7E" w:rsidRPr="002029AF" w:rsidRDefault="005F4A7E" w:rsidP="00130D1C">
            <w:pPr>
              <w:pStyle w:val="ARfintablebody"/>
            </w:pPr>
            <w:r w:rsidRPr="003A0F44">
              <w:t>Transfers in/(out) of Level 3</w:t>
            </w:r>
          </w:p>
        </w:tc>
        <w:tc>
          <w:tcPr>
            <w:tcW w:w="1610" w:type="dxa"/>
            <w:tcBorders>
              <w:top w:val="single" w:sz="4" w:space="0" w:color="A6A6A6"/>
              <w:bottom w:val="single" w:sz="4" w:space="0" w:color="A6A6A6"/>
            </w:tcBorders>
            <w:noWrap/>
          </w:tcPr>
          <w:p w14:paraId="7F06A267" w14:textId="77777777" w:rsidR="005F4A7E" w:rsidRPr="002029AF" w:rsidRDefault="005F4A7E" w:rsidP="00130D1C">
            <w:pPr>
              <w:pStyle w:val="ARfintablebodyright"/>
            </w:pPr>
            <w:r w:rsidRPr="003A0F44">
              <w:t>–</w:t>
            </w:r>
          </w:p>
        </w:tc>
        <w:tc>
          <w:tcPr>
            <w:tcW w:w="1610" w:type="dxa"/>
            <w:tcBorders>
              <w:top w:val="single" w:sz="4" w:space="0" w:color="A6A6A6"/>
              <w:bottom w:val="single" w:sz="4" w:space="0" w:color="A6A6A6"/>
            </w:tcBorders>
            <w:noWrap/>
          </w:tcPr>
          <w:p w14:paraId="3C914B6B" w14:textId="77777777" w:rsidR="005F4A7E" w:rsidRPr="002029AF" w:rsidRDefault="005F4A7E" w:rsidP="00130D1C">
            <w:pPr>
              <w:pStyle w:val="ARfintablebodyright"/>
            </w:pPr>
            <w:r w:rsidRPr="003A0F44">
              <w:t>(2.8)</w:t>
            </w:r>
          </w:p>
        </w:tc>
        <w:tc>
          <w:tcPr>
            <w:tcW w:w="1610" w:type="dxa"/>
            <w:tcBorders>
              <w:top w:val="single" w:sz="4" w:space="0" w:color="A6A6A6"/>
              <w:bottom w:val="single" w:sz="4" w:space="0" w:color="A6A6A6"/>
            </w:tcBorders>
            <w:noWrap/>
          </w:tcPr>
          <w:p w14:paraId="2D072768" w14:textId="77777777" w:rsidR="005F4A7E" w:rsidRPr="002029AF" w:rsidRDefault="005F4A7E" w:rsidP="00130D1C">
            <w:pPr>
              <w:pStyle w:val="ARfintablebodyright"/>
            </w:pPr>
            <w:r w:rsidRPr="003A0F44">
              <w:t>–</w:t>
            </w:r>
          </w:p>
        </w:tc>
        <w:tc>
          <w:tcPr>
            <w:tcW w:w="1610" w:type="dxa"/>
            <w:tcBorders>
              <w:top w:val="single" w:sz="4" w:space="0" w:color="A6A6A6"/>
              <w:bottom w:val="single" w:sz="4" w:space="0" w:color="A6A6A6"/>
            </w:tcBorders>
            <w:noWrap/>
          </w:tcPr>
          <w:p w14:paraId="067F8AF7" w14:textId="77777777" w:rsidR="005F4A7E" w:rsidRPr="002029AF" w:rsidRDefault="005F4A7E" w:rsidP="00130D1C">
            <w:pPr>
              <w:pStyle w:val="ARfintablebodyright"/>
            </w:pPr>
            <w:r w:rsidRPr="003A0F44">
              <w:t>–</w:t>
            </w:r>
          </w:p>
        </w:tc>
        <w:tc>
          <w:tcPr>
            <w:tcW w:w="1610" w:type="dxa"/>
            <w:tcBorders>
              <w:top w:val="single" w:sz="4" w:space="0" w:color="A6A6A6"/>
              <w:bottom w:val="single" w:sz="4" w:space="0" w:color="A6A6A6"/>
            </w:tcBorders>
            <w:noWrap/>
          </w:tcPr>
          <w:p w14:paraId="6602D276" w14:textId="77777777" w:rsidR="005F4A7E" w:rsidRPr="002029AF" w:rsidRDefault="005F4A7E" w:rsidP="00130D1C">
            <w:pPr>
              <w:pStyle w:val="ARfintablebodyright"/>
            </w:pPr>
            <w:r w:rsidRPr="003A0F44">
              <w:t>(2.8)</w:t>
            </w:r>
          </w:p>
        </w:tc>
      </w:tr>
      <w:tr w:rsidR="005F4A7E" w:rsidRPr="002029AF" w14:paraId="67C7AF62" w14:textId="77777777" w:rsidTr="00130D1C">
        <w:tc>
          <w:tcPr>
            <w:tcW w:w="14459" w:type="dxa"/>
            <w:gridSpan w:val="6"/>
            <w:tcBorders>
              <w:top w:val="single" w:sz="4" w:space="0" w:color="A6A6A6"/>
              <w:bottom w:val="single" w:sz="4" w:space="0" w:color="A6A6A6"/>
            </w:tcBorders>
            <w:hideMark/>
          </w:tcPr>
          <w:p w14:paraId="5B36FE53" w14:textId="77777777" w:rsidR="005F4A7E" w:rsidRPr="002029AF" w:rsidRDefault="005F4A7E" w:rsidP="00130D1C">
            <w:pPr>
              <w:pStyle w:val="ARfintablebodybold"/>
            </w:pPr>
            <w:r w:rsidRPr="003A0F44">
              <w:t>Gains or losses recognised in net result</w:t>
            </w:r>
          </w:p>
        </w:tc>
      </w:tr>
      <w:tr w:rsidR="005F4A7E" w:rsidRPr="002029AF" w14:paraId="7A666605" w14:textId="77777777" w:rsidTr="00130D1C">
        <w:tc>
          <w:tcPr>
            <w:tcW w:w="6409" w:type="dxa"/>
            <w:tcBorders>
              <w:top w:val="single" w:sz="4" w:space="0" w:color="A6A6A6"/>
              <w:bottom w:val="single" w:sz="4" w:space="0" w:color="A6A6A6"/>
            </w:tcBorders>
            <w:hideMark/>
          </w:tcPr>
          <w:p w14:paraId="72A03EC1" w14:textId="77777777" w:rsidR="005F4A7E" w:rsidRPr="002029AF" w:rsidRDefault="005F4A7E" w:rsidP="00130D1C">
            <w:pPr>
              <w:pStyle w:val="ARfintablebody"/>
            </w:pPr>
            <w:r w:rsidRPr="003A0F44">
              <w:t>Depreciation</w:t>
            </w:r>
          </w:p>
        </w:tc>
        <w:tc>
          <w:tcPr>
            <w:tcW w:w="1610" w:type="dxa"/>
            <w:tcBorders>
              <w:top w:val="single" w:sz="4" w:space="0" w:color="A6A6A6"/>
              <w:bottom w:val="single" w:sz="4" w:space="0" w:color="A6A6A6"/>
            </w:tcBorders>
            <w:noWrap/>
            <w:hideMark/>
          </w:tcPr>
          <w:p w14:paraId="0894717F" w14:textId="77777777" w:rsidR="005F4A7E" w:rsidRPr="002029AF" w:rsidRDefault="005F4A7E" w:rsidP="00130D1C">
            <w:pPr>
              <w:pStyle w:val="ARfintablebodyright"/>
            </w:pPr>
            <w:r w:rsidRPr="003A0F44">
              <w:t>–</w:t>
            </w:r>
          </w:p>
        </w:tc>
        <w:tc>
          <w:tcPr>
            <w:tcW w:w="1610" w:type="dxa"/>
            <w:tcBorders>
              <w:top w:val="single" w:sz="4" w:space="0" w:color="A6A6A6"/>
              <w:bottom w:val="single" w:sz="4" w:space="0" w:color="A6A6A6"/>
            </w:tcBorders>
            <w:noWrap/>
            <w:hideMark/>
          </w:tcPr>
          <w:p w14:paraId="41D2C085" w14:textId="77777777" w:rsidR="005F4A7E" w:rsidRPr="002029AF" w:rsidRDefault="005F4A7E" w:rsidP="00130D1C">
            <w:pPr>
              <w:pStyle w:val="ARfintablebodyright"/>
            </w:pPr>
            <w:r w:rsidRPr="003A0F44">
              <w:t>(35.1)</w:t>
            </w:r>
          </w:p>
        </w:tc>
        <w:tc>
          <w:tcPr>
            <w:tcW w:w="1610" w:type="dxa"/>
            <w:tcBorders>
              <w:top w:val="single" w:sz="4" w:space="0" w:color="A6A6A6"/>
              <w:bottom w:val="single" w:sz="4" w:space="0" w:color="A6A6A6"/>
            </w:tcBorders>
            <w:noWrap/>
            <w:hideMark/>
          </w:tcPr>
          <w:p w14:paraId="4D308EAC" w14:textId="77777777" w:rsidR="005F4A7E" w:rsidRPr="002029AF" w:rsidRDefault="005F4A7E" w:rsidP="00130D1C">
            <w:pPr>
              <w:pStyle w:val="ARfintablebodyright"/>
            </w:pPr>
            <w:r w:rsidRPr="003A0F44">
              <w:t>(2.5)</w:t>
            </w:r>
          </w:p>
        </w:tc>
        <w:tc>
          <w:tcPr>
            <w:tcW w:w="1610" w:type="dxa"/>
            <w:tcBorders>
              <w:top w:val="single" w:sz="4" w:space="0" w:color="A6A6A6"/>
              <w:bottom w:val="single" w:sz="4" w:space="0" w:color="A6A6A6"/>
            </w:tcBorders>
            <w:noWrap/>
            <w:hideMark/>
          </w:tcPr>
          <w:p w14:paraId="5ADE4CF3" w14:textId="77777777" w:rsidR="005F4A7E" w:rsidRPr="002029AF" w:rsidRDefault="005F4A7E" w:rsidP="00130D1C">
            <w:pPr>
              <w:pStyle w:val="ARfintablebodyright"/>
            </w:pPr>
            <w:r w:rsidRPr="003A0F44">
              <w:t>(0.1)</w:t>
            </w:r>
          </w:p>
        </w:tc>
        <w:tc>
          <w:tcPr>
            <w:tcW w:w="1610" w:type="dxa"/>
            <w:tcBorders>
              <w:top w:val="single" w:sz="4" w:space="0" w:color="A6A6A6"/>
              <w:bottom w:val="single" w:sz="4" w:space="0" w:color="A6A6A6"/>
            </w:tcBorders>
            <w:noWrap/>
            <w:hideMark/>
          </w:tcPr>
          <w:p w14:paraId="1D3AF8C5" w14:textId="77777777" w:rsidR="005F4A7E" w:rsidRPr="002029AF" w:rsidRDefault="005F4A7E" w:rsidP="00130D1C">
            <w:pPr>
              <w:pStyle w:val="ARfintablebodyright"/>
            </w:pPr>
            <w:r w:rsidRPr="003A0F44">
              <w:t>(37.7)</w:t>
            </w:r>
          </w:p>
        </w:tc>
      </w:tr>
      <w:tr w:rsidR="005F4A7E" w:rsidRPr="002029AF" w14:paraId="69C8E096" w14:textId="77777777" w:rsidTr="00130D1C">
        <w:tc>
          <w:tcPr>
            <w:tcW w:w="6409" w:type="dxa"/>
            <w:tcBorders>
              <w:bottom w:val="single" w:sz="4" w:space="0" w:color="auto"/>
            </w:tcBorders>
            <w:hideMark/>
          </w:tcPr>
          <w:p w14:paraId="4564C075" w14:textId="77777777" w:rsidR="005F4A7E" w:rsidRPr="002029AF" w:rsidRDefault="005F4A7E" w:rsidP="00130D1C">
            <w:pPr>
              <w:pStyle w:val="ARfintablebodybold"/>
            </w:pPr>
            <w:r w:rsidRPr="003A0F44">
              <w:t>Subtotal of gains or losses recognises in net result</w:t>
            </w:r>
          </w:p>
        </w:tc>
        <w:tc>
          <w:tcPr>
            <w:tcW w:w="1610" w:type="dxa"/>
            <w:tcBorders>
              <w:bottom w:val="single" w:sz="4" w:space="0" w:color="auto"/>
            </w:tcBorders>
            <w:noWrap/>
            <w:hideMark/>
          </w:tcPr>
          <w:p w14:paraId="45381F0C" w14:textId="77777777" w:rsidR="005F4A7E" w:rsidRPr="002029AF" w:rsidRDefault="005F4A7E" w:rsidP="00130D1C">
            <w:pPr>
              <w:pStyle w:val="ARfintablebodyrightbold"/>
            </w:pPr>
            <w:r w:rsidRPr="003A0F44">
              <w:t>–</w:t>
            </w:r>
          </w:p>
        </w:tc>
        <w:tc>
          <w:tcPr>
            <w:tcW w:w="1610" w:type="dxa"/>
            <w:tcBorders>
              <w:bottom w:val="single" w:sz="4" w:space="0" w:color="auto"/>
            </w:tcBorders>
            <w:noWrap/>
            <w:hideMark/>
          </w:tcPr>
          <w:p w14:paraId="150BE155" w14:textId="77777777" w:rsidR="005F4A7E" w:rsidRPr="002029AF" w:rsidRDefault="005F4A7E" w:rsidP="00130D1C">
            <w:pPr>
              <w:pStyle w:val="ARfintablebodyrightbold"/>
            </w:pPr>
            <w:r w:rsidRPr="003A0F44">
              <w:t>(35.1)</w:t>
            </w:r>
          </w:p>
        </w:tc>
        <w:tc>
          <w:tcPr>
            <w:tcW w:w="1610" w:type="dxa"/>
            <w:tcBorders>
              <w:bottom w:val="single" w:sz="4" w:space="0" w:color="auto"/>
            </w:tcBorders>
            <w:noWrap/>
            <w:hideMark/>
          </w:tcPr>
          <w:p w14:paraId="03D048C8" w14:textId="77777777" w:rsidR="005F4A7E" w:rsidRPr="002029AF" w:rsidRDefault="005F4A7E" w:rsidP="00130D1C">
            <w:pPr>
              <w:pStyle w:val="ARfintablebodyrightbold"/>
            </w:pPr>
            <w:r w:rsidRPr="003A0F44">
              <w:t>(2.5)</w:t>
            </w:r>
          </w:p>
        </w:tc>
        <w:tc>
          <w:tcPr>
            <w:tcW w:w="1610" w:type="dxa"/>
            <w:tcBorders>
              <w:bottom w:val="single" w:sz="4" w:space="0" w:color="auto"/>
            </w:tcBorders>
            <w:noWrap/>
            <w:hideMark/>
          </w:tcPr>
          <w:p w14:paraId="6884DE65" w14:textId="77777777" w:rsidR="005F4A7E" w:rsidRPr="002029AF" w:rsidRDefault="005F4A7E" w:rsidP="00130D1C">
            <w:pPr>
              <w:pStyle w:val="ARfintablebodyrightbold"/>
            </w:pPr>
            <w:r w:rsidRPr="003A0F44">
              <w:t>(0.1)</w:t>
            </w:r>
          </w:p>
        </w:tc>
        <w:tc>
          <w:tcPr>
            <w:tcW w:w="1610" w:type="dxa"/>
            <w:tcBorders>
              <w:bottom w:val="single" w:sz="4" w:space="0" w:color="auto"/>
            </w:tcBorders>
            <w:noWrap/>
            <w:hideMark/>
          </w:tcPr>
          <w:p w14:paraId="4C54BC4E" w14:textId="77777777" w:rsidR="005F4A7E" w:rsidRPr="002029AF" w:rsidRDefault="005F4A7E" w:rsidP="00130D1C">
            <w:pPr>
              <w:pStyle w:val="ARfintablebodyrightbold"/>
            </w:pPr>
            <w:r w:rsidRPr="003A0F44">
              <w:t>(37.7)</w:t>
            </w:r>
          </w:p>
        </w:tc>
      </w:tr>
      <w:tr w:rsidR="005F4A7E" w:rsidRPr="002029AF" w14:paraId="37726E02" w14:textId="77777777" w:rsidTr="00130D1C">
        <w:tc>
          <w:tcPr>
            <w:tcW w:w="14459" w:type="dxa"/>
            <w:gridSpan w:val="6"/>
            <w:tcBorders>
              <w:top w:val="single" w:sz="4" w:space="0" w:color="auto"/>
              <w:bottom w:val="single" w:sz="4" w:space="0" w:color="A6A6A6"/>
            </w:tcBorders>
            <w:hideMark/>
          </w:tcPr>
          <w:p w14:paraId="5A5CDC0B" w14:textId="77777777" w:rsidR="005F4A7E" w:rsidRPr="002029AF" w:rsidRDefault="005F4A7E" w:rsidP="00130D1C">
            <w:pPr>
              <w:pStyle w:val="ARfintablebodybold"/>
            </w:pPr>
            <w:r w:rsidRPr="003A0F44">
              <w:t>Gains or losses recognised in other economic flows – other comprehensive income</w:t>
            </w:r>
          </w:p>
        </w:tc>
      </w:tr>
      <w:tr w:rsidR="005F4A7E" w:rsidRPr="002029AF" w14:paraId="6AACF6EE" w14:textId="77777777" w:rsidTr="00130D1C">
        <w:tc>
          <w:tcPr>
            <w:tcW w:w="6409" w:type="dxa"/>
            <w:tcBorders>
              <w:top w:val="single" w:sz="4" w:space="0" w:color="A6A6A6"/>
            </w:tcBorders>
            <w:hideMark/>
          </w:tcPr>
          <w:p w14:paraId="3BF31EAA" w14:textId="77777777" w:rsidR="005F4A7E" w:rsidRPr="002029AF" w:rsidRDefault="005F4A7E" w:rsidP="00130D1C">
            <w:pPr>
              <w:pStyle w:val="ARfintablebody"/>
            </w:pPr>
            <w:r w:rsidRPr="003A0F44">
              <w:t>Net revaluation increments/(decrements)</w:t>
            </w:r>
          </w:p>
        </w:tc>
        <w:tc>
          <w:tcPr>
            <w:tcW w:w="1610" w:type="dxa"/>
            <w:tcBorders>
              <w:top w:val="single" w:sz="4" w:space="0" w:color="A6A6A6"/>
            </w:tcBorders>
            <w:noWrap/>
            <w:hideMark/>
          </w:tcPr>
          <w:p w14:paraId="78EC34B9" w14:textId="77777777" w:rsidR="005F4A7E" w:rsidRPr="002029AF" w:rsidRDefault="005F4A7E" w:rsidP="00130D1C">
            <w:pPr>
              <w:pStyle w:val="ARfintablebodyright"/>
            </w:pPr>
            <w:r w:rsidRPr="003A0F44">
              <w:t>36.1</w:t>
            </w:r>
          </w:p>
        </w:tc>
        <w:tc>
          <w:tcPr>
            <w:tcW w:w="1610" w:type="dxa"/>
            <w:tcBorders>
              <w:top w:val="single" w:sz="4" w:space="0" w:color="A6A6A6"/>
            </w:tcBorders>
            <w:noWrap/>
            <w:hideMark/>
          </w:tcPr>
          <w:p w14:paraId="18AF9CAA" w14:textId="77777777" w:rsidR="005F4A7E" w:rsidRPr="002029AF" w:rsidRDefault="005F4A7E" w:rsidP="00130D1C">
            <w:pPr>
              <w:pStyle w:val="ARfintablebodyright"/>
            </w:pPr>
            <w:r w:rsidRPr="003A0F44">
              <w:t>(1.7)</w:t>
            </w:r>
          </w:p>
        </w:tc>
        <w:tc>
          <w:tcPr>
            <w:tcW w:w="1610" w:type="dxa"/>
            <w:tcBorders>
              <w:top w:val="single" w:sz="4" w:space="0" w:color="A6A6A6"/>
            </w:tcBorders>
            <w:noWrap/>
            <w:hideMark/>
          </w:tcPr>
          <w:p w14:paraId="2419D830" w14:textId="77777777" w:rsidR="005F4A7E" w:rsidRPr="002029AF" w:rsidRDefault="005F4A7E" w:rsidP="00130D1C">
            <w:pPr>
              <w:pStyle w:val="ARfintablebodyright"/>
            </w:pPr>
            <w:r w:rsidRPr="003A0F44">
              <w:t>–</w:t>
            </w:r>
          </w:p>
        </w:tc>
        <w:tc>
          <w:tcPr>
            <w:tcW w:w="1610" w:type="dxa"/>
            <w:tcBorders>
              <w:top w:val="single" w:sz="4" w:space="0" w:color="A6A6A6"/>
            </w:tcBorders>
            <w:noWrap/>
            <w:hideMark/>
          </w:tcPr>
          <w:p w14:paraId="0E876648" w14:textId="77777777" w:rsidR="005F4A7E" w:rsidRPr="002029AF" w:rsidRDefault="005F4A7E" w:rsidP="00130D1C">
            <w:pPr>
              <w:pStyle w:val="ARfintablebodyright"/>
            </w:pPr>
            <w:r w:rsidRPr="003A0F44">
              <w:t>–</w:t>
            </w:r>
          </w:p>
        </w:tc>
        <w:tc>
          <w:tcPr>
            <w:tcW w:w="1610" w:type="dxa"/>
            <w:tcBorders>
              <w:top w:val="single" w:sz="4" w:space="0" w:color="A6A6A6"/>
            </w:tcBorders>
            <w:noWrap/>
            <w:hideMark/>
          </w:tcPr>
          <w:p w14:paraId="7B6B9E83" w14:textId="77777777" w:rsidR="005F4A7E" w:rsidRPr="002029AF" w:rsidRDefault="005F4A7E" w:rsidP="00130D1C">
            <w:pPr>
              <w:pStyle w:val="ARfintablebodyright"/>
            </w:pPr>
            <w:r w:rsidRPr="003A0F44">
              <w:t>34.5</w:t>
            </w:r>
          </w:p>
        </w:tc>
      </w:tr>
      <w:tr w:rsidR="005F4A7E" w:rsidRPr="002029AF" w14:paraId="672986B2" w14:textId="77777777" w:rsidTr="00130D1C">
        <w:tc>
          <w:tcPr>
            <w:tcW w:w="6409" w:type="dxa"/>
            <w:hideMark/>
          </w:tcPr>
          <w:p w14:paraId="088A05AB" w14:textId="77777777" w:rsidR="005F4A7E" w:rsidRPr="002029AF" w:rsidRDefault="005F4A7E" w:rsidP="00130D1C">
            <w:pPr>
              <w:pStyle w:val="ARfintablebodybold"/>
            </w:pPr>
            <w:r w:rsidRPr="003A0F44">
              <w:t>Subtotal of gains or losses recognised in other economic flows</w:t>
            </w:r>
          </w:p>
        </w:tc>
        <w:tc>
          <w:tcPr>
            <w:tcW w:w="1610" w:type="dxa"/>
            <w:noWrap/>
            <w:hideMark/>
          </w:tcPr>
          <w:p w14:paraId="3208389B" w14:textId="77777777" w:rsidR="005F4A7E" w:rsidRPr="002029AF" w:rsidRDefault="005F4A7E" w:rsidP="00130D1C">
            <w:pPr>
              <w:pStyle w:val="ARfintablebodyrightbold"/>
            </w:pPr>
            <w:r w:rsidRPr="003A0F44">
              <w:t>36.1</w:t>
            </w:r>
          </w:p>
        </w:tc>
        <w:tc>
          <w:tcPr>
            <w:tcW w:w="1610" w:type="dxa"/>
            <w:noWrap/>
            <w:hideMark/>
          </w:tcPr>
          <w:p w14:paraId="007050BA" w14:textId="77777777" w:rsidR="005F4A7E" w:rsidRPr="002029AF" w:rsidRDefault="005F4A7E" w:rsidP="00130D1C">
            <w:pPr>
              <w:pStyle w:val="ARfintablebodyrightbold"/>
            </w:pPr>
            <w:r w:rsidRPr="003A0F44">
              <w:t>(1.7)</w:t>
            </w:r>
          </w:p>
        </w:tc>
        <w:tc>
          <w:tcPr>
            <w:tcW w:w="1610" w:type="dxa"/>
            <w:noWrap/>
            <w:hideMark/>
          </w:tcPr>
          <w:p w14:paraId="6FD5AECF" w14:textId="77777777" w:rsidR="005F4A7E" w:rsidRPr="002029AF" w:rsidRDefault="005F4A7E" w:rsidP="00130D1C">
            <w:pPr>
              <w:pStyle w:val="ARfintablebodyrightbold"/>
            </w:pPr>
            <w:r w:rsidRPr="003A0F44">
              <w:t>–</w:t>
            </w:r>
          </w:p>
        </w:tc>
        <w:tc>
          <w:tcPr>
            <w:tcW w:w="1610" w:type="dxa"/>
            <w:noWrap/>
            <w:hideMark/>
          </w:tcPr>
          <w:p w14:paraId="73A020BA" w14:textId="77777777" w:rsidR="005F4A7E" w:rsidRPr="002029AF" w:rsidRDefault="005F4A7E" w:rsidP="00130D1C">
            <w:pPr>
              <w:pStyle w:val="ARfintablebodyrightbold"/>
            </w:pPr>
            <w:r w:rsidRPr="003A0F44">
              <w:t>–</w:t>
            </w:r>
          </w:p>
        </w:tc>
        <w:tc>
          <w:tcPr>
            <w:tcW w:w="1610" w:type="dxa"/>
            <w:noWrap/>
            <w:hideMark/>
          </w:tcPr>
          <w:p w14:paraId="611469BE" w14:textId="77777777" w:rsidR="005F4A7E" w:rsidRPr="002029AF" w:rsidRDefault="005F4A7E" w:rsidP="00130D1C">
            <w:pPr>
              <w:pStyle w:val="ARfintablebodyrightbold"/>
            </w:pPr>
            <w:r w:rsidRPr="003A0F44">
              <w:t>34.5</w:t>
            </w:r>
          </w:p>
        </w:tc>
      </w:tr>
      <w:tr w:rsidR="005F4A7E" w:rsidRPr="002029AF" w14:paraId="72D2FE9A" w14:textId="77777777" w:rsidTr="00130D1C">
        <w:tc>
          <w:tcPr>
            <w:tcW w:w="6409" w:type="dxa"/>
            <w:hideMark/>
          </w:tcPr>
          <w:p w14:paraId="3F21515A" w14:textId="77777777" w:rsidR="005F4A7E" w:rsidRPr="002029AF" w:rsidRDefault="005F4A7E" w:rsidP="00130D1C">
            <w:pPr>
              <w:pStyle w:val="ARfintablebodybold"/>
            </w:pPr>
            <w:r w:rsidRPr="003A0F44">
              <w:t>Closing balance</w:t>
            </w:r>
          </w:p>
        </w:tc>
        <w:tc>
          <w:tcPr>
            <w:tcW w:w="1610" w:type="dxa"/>
            <w:noWrap/>
            <w:hideMark/>
          </w:tcPr>
          <w:p w14:paraId="7C3AB8BE" w14:textId="77777777" w:rsidR="005F4A7E" w:rsidRPr="002029AF" w:rsidRDefault="005F4A7E" w:rsidP="00130D1C">
            <w:pPr>
              <w:pStyle w:val="ARfintablebodyrightbold"/>
            </w:pPr>
            <w:r w:rsidRPr="003A0F44">
              <w:t>646.5</w:t>
            </w:r>
          </w:p>
        </w:tc>
        <w:tc>
          <w:tcPr>
            <w:tcW w:w="1610" w:type="dxa"/>
            <w:noWrap/>
            <w:hideMark/>
          </w:tcPr>
          <w:p w14:paraId="73CE4310" w14:textId="77777777" w:rsidR="005F4A7E" w:rsidRPr="002029AF" w:rsidRDefault="005F4A7E" w:rsidP="00130D1C">
            <w:pPr>
              <w:pStyle w:val="ARfintablebodyrightbold"/>
            </w:pPr>
            <w:r w:rsidRPr="003A0F44">
              <w:t>644.2</w:t>
            </w:r>
          </w:p>
        </w:tc>
        <w:tc>
          <w:tcPr>
            <w:tcW w:w="1610" w:type="dxa"/>
            <w:noWrap/>
            <w:hideMark/>
          </w:tcPr>
          <w:p w14:paraId="4AEFA856" w14:textId="77777777" w:rsidR="005F4A7E" w:rsidRPr="002029AF" w:rsidRDefault="005F4A7E" w:rsidP="00130D1C">
            <w:pPr>
              <w:pStyle w:val="ARfintablebodyrightbold"/>
            </w:pPr>
            <w:r w:rsidRPr="003A0F44">
              <w:t>2.7</w:t>
            </w:r>
          </w:p>
        </w:tc>
        <w:tc>
          <w:tcPr>
            <w:tcW w:w="1610" w:type="dxa"/>
            <w:noWrap/>
            <w:hideMark/>
          </w:tcPr>
          <w:p w14:paraId="6719B7E4" w14:textId="77777777" w:rsidR="005F4A7E" w:rsidRPr="002029AF" w:rsidRDefault="005F4A7E" w:rsidP="00130D1C">
            <w:pPr>
              <w:pStyle w:val="ARfintablebodyrightbold"/>
            </w:pPr>
            <w:r w:rsidRPr="003A0F44">
              <w:t>0.3</w:t>
            </w:r>
          </w:p>
        </w:tc>
        <w:tc>
          <w:tcPr>
            <w:tcW w:w="1610" w:type="dxa"/>
            <w:noWrap/>
            <w:hideMark/>
          </w:tcPr>
          <w:p w14:paraId="60B09F0F" w14:textId="77777777" w:rsidR="005F4A7E" w:rsidRPr="002029AF" w:rsidRDefault="005F4A7E" w:rsidP="00130D1C">
            <w:pPr>
              <w:pStyle w:val="ARfintablebodyrightbold"/>
            </w:pPr>
            <w:r w:rsidRPr="003A0F44">
              <w:t>1,293.8</w:t>
            </w:r>
          </w:p>
        </w:tc>
      </w:tr>
    </w:tbl>
    <w:p w14:paraId="237E5953" w14:textId="77777777" w:rsidR="005F4A7E" w:rsidRPr="002029AF" w:rsidRDefault="005F4A7E" w:rsidP="00087B91">
      <w:pPr>
        <w:pStyle w:val="ARfinbody"/>
      </w:pPr>
    </w:p>
    <w:tbl>
      <w:tblPr>
        <w:tblStyle w:val="TableGrid"/>
        <w:tblW w:w="14459" w:type="dxa"/>
        <w:tblLayout w:type="fixed"/>
        <w:tblLook w:val="06A0" w:firstRow="1" w:lastRow="0" w:firstColumn="1" w:lastColumn="0" w:noHBand="1" w:noVBand="1"/>
      </w:tblPr>
      <w:tblGrid>
        <w:gridCol w:w="6409"/>
        <w:gridCol w:w="1610"/>
        <w:gridCol w:w="1610"/>
        <w:gridCol w:w="1610"/>
        <w:gridCol w:w="1610"/>
        <w:gridCol w:w="1610"/>
      </w:tblGrid>
      <w:tr w:rsidR="005F4A7E" w:rsidRPr="002029AF" w14:paraId="2040398A"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6409" w:type="dxa"/>
            <w:tcBorders>
              <w:bottom w:val="single" w:sz="4" w:space="0" w:color="auto"/>
            </w:tcBorders>
            <w:hideMark/>
          </w:tcPr>
          <w:p w14:paraId="413596E6" w14:textId="77777777" w:rsidR="005F4A7E" w:rsidRPr="002029AF" w:rsidRDefault="005F4A7E" w:rsidP="00860E95">
            <w:pPr>
              <w:pStyle w:val="ARfintablecolhead"/>
              <w:spacing w:before="20" w:after="10"/>
            </w:pPr>
            <w:r>
              <w:t>2020</w:t>
            </w:r>
          </w:p>
        </w:tc>
        <w:tc>
          <w:tcPr>
            <w:tcW w:w="1610" w:type="dxa"/>
            <w:tcBorders>
              <w:bottom w:val="single" w:sz="4" w:space="0" w:color="auto"/>
            </w:tcBorders>
            <w:hideMark/>
          </w:tcPr>
          <w:p w14:paraId="3FEAD5EA" w14:textId="77777777" w:rsidR="005F4A7E" w:rsidRPr="002029AF" w:rsidRDefault="005F4A7E" w:rsidP="00860E95">
            <w:pPr>
              <w:pStyle w:val="ARfintablecolheadright"/>
              <w:spacing w:before="20" w:after="10"/>
            </w:pPr>
            <w:r w:rsidRPr="002029AF">
              <w:t>Specialised land</w:t>
            </w:r>
          </w:p>
          <w:p w14:paraId="2F1D3C1D" w14:textId="77777777" w:rsidR="005F4A7E" w:rsidRPr="002029AF" w:rsidRDefault="005F4A7E" w:rsidP="00860E95">
            <w:pPr>
              <w:pStyle w:val="ARfintablecolheadright"/>
              <w:spacing w:before="20" w:after="10"/>
            </w:pPr>
            <w:r w:rsidRPr="002029AF">
              <w:t>$M</w:t>
            </w:r>
          </w:p>
        </w:tc>
        <w:tc>
          <w:tcPr>
            <w:tcW w:w="1610" w:type="dxa"/>
            <w:tcBorders>
              <w:bottom w:val="single" w:sz="4" w:space="0" w:color="auto"/>
            </w:tcBorders>
            <w:hideMark/>
          </w:tcPr>
          <w:p w14:paraId="0F97F0AA" w14:textId="77777777" w:rsidR="005F4A7E" w:rsidRPr="002029AF" w:rsidRDefault="005F4A7E" w:rsidP="00860E95">
            <w:pPr>
              <w:pStyle w:val="ARfintablecolheadright"/>
              <w:spacing w:before="20" w:after="10"/>
            </w:pPr>
            <w:r w:rsidRPr="002029AF">
              <w:t xml:space="preserve">Specialised </w:t>
            </w:r>
            <w:r w:rsidRPr="002029AF">
              <w:br/>
              <w:t>buildings</w:t>
            </w:r>
          </w:p>
          <w:p w14:paraId="52F87236" w14:textId="77777777" w:rsidR="005F4A7E" w:rsidRPr="002029AF" w:rsidRDefault="005F4A7E" w:rsidP="00860E95">
            <w:pPr>
              <w:pStyle w:val="ARfintablecolheadright"/>
              <w:spacing w:before="20" w:after="10"/>
            </w:pPr>
            <w:r w:rsidRPr="002029AF">
              <w:t>$M</w:t>
            </w:r>
          </w:p>
        </w:tc>
        <w:tc>
          <w:tcPr>
            <w:tcW w:w="1610" w:type="dxa"/>
            <w:tcBorders>
              <w:bottom w:val="single" w:sz="4" w:space="0" w:color="auto"/>
            </w:tcBorders>
            <w:hideMark/>
          </w:tcPr>
          <w:p w14:paraId="20427442" w14:textId="77777777" w:rsidR="005F4A7E" w:rsidRPr="002029AF" w:rsidRDefault="005F4A7E" w:rsidP="00860E95">
            <w:pPr>
              <w:pStyle w:val="ARfintablecolheadright"/>
              <w:spacing w:before="20" w:after="10"/>
            </w:pPr>
            <w:r w:rsidRPr="002029AF">
              <w:t>Plant and equipment</w:t>
            </w:r>
          </w:p>
          <w:p w14:paraId="3072DE5F" w14:textId="77777777" w:rsidR="005F4A7E" w:rsidRPr="002029AF" w:rsidRDefault="005F4A7E" w:rsidP="00860E95">
            <w:pPr>
              <w:pStyle w:val="ARfintablecolheadright"/>
              <w:spacing w:before="20" w:after="10"/>
            </w:pPr>
            <w:r w:rsidRPr="002029AF">
              <w:t>$M</w:t>
            </w:r>
          </w:p>
        </w:tc>
        <w:tc>
          <w:tcPr>
            <w:tcW w:w="1610" w:type="dxa"/>
            <w:tcBorders>
              <w:bottom w:val="single" w:sz="4" w:space="0" w:color="auto"/>
            </w:tcBorders>
            <w:hideMark/>
          </w:tcPr>
          <w:p w14:paraId="41C9A68C" w14:textId="77777777" w:rsidR="005F4A7E" w:rsidRPr="002029AF" w:rsidRDefault="005F4A7E" w:rsidP="00860E95">
            <w:pPr>
              <w:pStyle w:val="ARfintablecolheadright"/>
              <w:spacing w:before="20" w:after="10"/>
            </w:pPr>
            <w:r w:rsidRPr="002029AF">
              <w:t>Motor vehicles</w:t>
            </w:r>
          </w:p>
          <w:p w14:paraId="70072000" w14:textId="77777777" w:rsidR="005F4A7E" w:rsidRPr="002029AF" w:rsidRDefault="005F4A7E" w:rsidP="00860E95">
            <w:pPr>
              <w:pStyle w:val="ARfintablecolheadright"/>
              <w:spacing w:before="20" w:after="10"/>
            </w:pPr>
            <w:r w:rsidRPr="002029AF">
              <w:t>$M</w:t>
            </w:r>
          </w:p>
        </w:tc>
        <w:tc>
          <w:tcPr>
            <w:tcW w:w="1610" w:type="dxa"/>
            <w:tcBorders>
              <w:bottom w:val="single" w:sz="4" w:space="0" w:color="auto"/>
            </w:tcBorders>
            <w:hideMark/>
          </w:tcPr>
          <w:p w14:paraId="5C63835B" w14:textId="77777777" w:rsidR="005F4A7E" w:rsidRPr="002029AF" w:rsidRDefault="005F4A7E" w:rsidP="00860E95">
            <w:pPr>
              <w:pStyle w:val="ARfintablecolheadright"/>
              <w:spacing w:before="20" w:after="10"/>
            </w:pPr>
            <w:r w:rsidRPr="002029AF">
              <w:t>Total</w:t>
            </w:r>
          </w:p>
          <w:p w14:paraId="70B30E80" w14:textId="77777777" w:rsidR="005F4A7E" w:rsidRPr="002029AF" w:rsidRDefault="005F4A7E" w:rsidP="00860E95">
            <w:pPr>
              <w:pStyle w:val="ARfintablecolheadright"/>
              <w:spacing w:before="20" w:after="10"/>
            </w:pPr>
            <w:r w:rsidRPr="002029AF">
              <w:t>$M</w:t>
            </w:r>
          </w:p>
        </w:tc>
      </w:tr>
      <w:tr w:rsidR="005F4A7E" w:rsidRPr="002029AF" w14:paraId="487336F0" w14:textId="77777777" w:rsidTr="00130D1C">
        <w:trPr>
          <w:trHeight w:val="198"/>
        </w:trPr>
        <w:tc>
          <w:tcPr>
            <w:tcW w:w="6409" w:type="dxa"/>
            <w:tcBorders>
              <w:top w:val="single" w:sz="4" w:space="0" w:color="auto"/>
              <w:bottom w:val="single" w:sz="4" w:space="0" w:color="A6A6A6"/>
            </w:tcBorders>
            <w:hideMark/>
          </w:tcPr>
          <w:p w14:paraId="5AEC327B" w14:textId="77777777" w:rsidR="005F4A7E" w:rsidRPr="002029AF" w:rsidRDefault="005F4A7E" w:rsidP="00130D1C">
            <w:pPr>
              <w:pStyle w:val="ARfintablebodybold"/>
            </w:pPr>
            <w:r w:rsidRPr="00E741AD">
              <w:t>Opening balance</w:t>
            </w:r>
          </w:p>
        </w:tc>
        <w:tc>
          <w:tcPr>
            <w:tcW w:w="1610" w:type="dxa"/>
            <w:tcBorders>
              <w:top w:val="single" w:sz="4" w:space="0" w:color="auto"/>
              <w:bottom w:val="single" w:sz="4" w:space="0" w:color="A6A6A6"/>
            </w:tcBorders>
            <w:noWrap/>
            <w:hideMark/>
          </w:tcPr>
          <w:p w14:paraId="3259803C" w14:textId="77777777" w:rsidR="005F4A7E" w:rsidRPr="002029AF" w:rsidRDefault="005F4A7E" w:rsidP="00130D1C">
            <w:pPr>
              <w:pStyle w:val="ARfintablebodyrightbold"/>
            </w:pPr>
            <w:r w:rsidRPr="00E741AD">
              <w:t>502.3</w:t>
            </w:r>
          </w:p>
        </w:tc>
        <w:tc>
          <w:tcPr>
            <w:tcW w:w="1610" w:type="dxa"/>
            <w:tcBorders>
              <w:top w:val="single" w:sz="4" w:space="0" w:color="auto"/>
              <w:bottom w:val="single" w:sz="4" w:space="0" w:color="A6A6A6"/>
            </w:tcBorders>
            <w:noWrap/>
            <w:hideMark/>
          </w:tcPr>
          <w:p w14:paraId="2E9958B0" w14:textId="77777777" w:rsidR="005F4A7E" w:rsidRPr="002029AF" w:rsidRDefault="005F4A7E" w:rsidP="00130D1C">
            <w:pPr>
              <w:pStyle w:val="ARfintablebodyrightbold"/>
            </w:pPr>
            <w:r w:rsidRPr="00E741AD">
              <w:t>741.6</w:t>
            </w:r>
          </w:p>
        </w:tc>
        <w:tc>
          <w:tcPr>
            <w:tcW w:w="1610" w:type="dxa"/>
            <w:tcBorders>
              <w:top w:val="single" w:sz="4" w:space="0" w:color="auto"/>
              <w:bottom w:val="single" w:sz="4" w:space="0" w:color="A6A6A6"/>
            </w:tcBorders>
            <w:noWrap/>
            <w:hideMark/>
          </w:tcPr>
          <w:p w14:paraId="4BEC1813" w14:textId="77777777" w:rsidR="005F4A7E" w:rsidRPr="002029AF" w:rsidRDefault="005F4A7E" w:rsidP="00130D1C">
            <w:pPr>
              <w:pStyle w:val="ARfintablebodyrightbold"/>
            </w:pPr>
            <w:r w:rsidRPr="00E741AD">
              <w:t>10.8</w:t>
            </w:r>
          </w:p>
        </w:tc>
        <w:tc>
          <w:tcPr>
            <w:tcW w:w="1610" w:type="dxa"/>
            <w:tcBorders>
              <w:top w:val="single" w:sz="4" w:space="0" w:color="auto"/>
              <w:bottom w:val="single" w:sz="4" w:space="0" w:color="A6A6A6"/>
            </w:tcBorders>
            <w:noWrap/>
            <w:hideMark/>
          </w:tcPr>
          <w:p w14:paraId="3B647D53" w14:textId="77777777" w:rsidR="005F4A7E" w:rsidRPr="002029AF" w:rsidRDefault="005F4A7E" w:rsidP="00130D1C">
            <w:pPr>
              <w:pStyle w:val="ARfintablebodyrightbold"/>
            </w:pPr>
            <w:r w:rsidRPr="00E741AD">
              <w:t>0.8</w:t>
            </w:r>
          </w:p>
        </w:tc>
        <w:tc>
          <w:tcPr>
            <w:tcW w:w="1610" w:type="dxa"/>
            <w:tcBorders>
              <w:top w:val="single" w:sz="4" w:space="0" w:color="auto"/>
              <w:bottom w:val="single" w:sz="4" w:space="0" w:color="A6A6A6"/>
            </w:tcBorders>
            <w:noWrap/>
            <w:hideMark/>
          </w:tcPr>
          <w:p w14:paraId="1928ACA0" w14:textId="77777777" w:rsidR="005F4A7E" w:rsidRPr="002029AF" w:rsidRDefault="005F4A7E" w:rsidP="00130D1C">
            <w:pPr>
              <w:pStyle w:val="ARfintablebodyrightbold"/>
            </w:pPr>
            <w:r w:rsidRPr="00E741AD">
              <w:t>1,255.6</w:t>
            </w:r>
          </w:p>
        </w:tc>
      </w:tr>
      <w:tr w:rsidR="005F4A7E" w:rsidRPr="002029AF" w14:paraId="03B7F9C3" w14:textId="77777777" w:rsidTr="00130D1C">
        <w:trPr>
          <w:trHeight w:val="198"/>
        </w:trPr>
        <w:tc>
          <w:tcPr>
            <w:tcW w:w="6409" w:type="dxa"/>
            <w:tcBorders>
              <w:top w:val="single" w:sz="4" w:space="0" w:color="A6A6A6"/>
              <w:bottom w:val="single" w:sz="4" w:space="0" w:color="A6A6A6"/>
            </w:tcBorders>
            <w:hideMark/>
          </w:tcPr>
          <w:p w14:paraId="070F739A" w14:textId="77777777" w:rsidR="005F4A7E" w:rsidRPr="002029AF" w:rsidRDefault="005F4A7E" w:rsidP="00130D1C">
            <w:pPr>
              <w:pStyle w:val="ARfintablebody"/>
            </w:pPr>
            <w:r w:rsidRPr="00E741AD">
              <w:t>Additions</w:t>
            </w:r>
          </w:p>
        </w:tc>
        <w:tc>
          <w:tcPr>
            <w:tcW w:w="1610" w:type="dxa"/>
            <w:tcBorders>
              <w:top w:val="single" w:sz="4" w:space="0" w:color="A6A6A6"/>
              <w:bottom w:val="single" w:sz="4" w:space="0" w:color="A6A6A6"/>
            </w:tcBorders>
            <w:noWrap/>
            <w:hideMark/>
          </w:tcPr>
          <w:p w14:paraId="76D28953" w14:textId="77777777" w:rsidR="005F4A7E" w:rsidRPr="002029AF" w:rsidRDefault="005F4A7E" w:rsidP="00130D1C">
            <w:pPr>
              <w:pStyle w:val="ARfintablebodyright"/>
            </w:pPr>
            <w:r w:rsidRPr="00E741AD">
              <w:t>7.3</w:t>
            </w:r>
          </w:p>
        </w:tc>
        <w:tc>
          <w:tcPr>
            <w:tcW w:w="1610" w:type="dxa"/>
            <w:tcBorders>
              <w:top w:val="single" w:sz="4" w:space="0" w:color="A6A6A6"/>
              <w:bottom w:val="single" w:sz="4" w:space="0" w:color="A6A6A6"/>
            </w:tcBorders>
            <w:noWrap/>
            <w:hideMark/>
          </w:tcPr>
          <w:p w14:paraId="05EB1FB4" w14:textId="77777777" w:rsidR="005F4A7E" w:rsidRPr="002029AF" w:rsidRDefault="005F4A7E" w:rsidP="00130D1C">
            <w:pPr>
              <w:pStyle w:val="ARfintablebodyright"/>
            </w:pPr>
            <w:r w:rsidRPr="00E741AD">
              <w:t>0.8</w:t>
            </w:r>
          </w:p>
        </w:tc>
        <w:tc>
          <w:tcPr>
            <w:tcW w:w="1610" w:type="dxa"/>
            <w:tcBorders>
              <w:top w:val="single" w:sz="4" w:space="0" w:color="A6A6A6"/>
              <w:bottom w:val="single" w:sz="4" w:space="0" w:color="A6A6A6"/>
            </w:tcBorders>
            <w:noWrap/>
            <w:hideMark/>
          </w:tcPr>
          <w:p w14:paraId="282BFB42" w14:textId="77777777" w:rsidR="005F4A7E" w:rsidRPr="002029AF" w:rsidRDefault="005F4A7E" w:rsidP="00130D1C">
            <w:pPr>
              <w:pStyle w:val="ARfintablebodyright"/>
            </w:pPr>
            <w:r w:rsidRPr="00E741AD">
              <w:t>1.1</w:t>
            </w:r>
          </w:p>
        </w:tc>
        <w:tc>
          <w:tcPr>
            <w:tcW w:w="1610" w:type="dxa"/>
            <w:tcBorders>
              <w:top w:val="single" w:sz="4" w:space="0" w:color="A6A6A6"/>
              <w:bottom w:val="single" w:sz="4" w:space="0" w:color="A6A6A6"/>
            </w:tcBorders>
            <w:noWrap/>
            <w:hideMark/>
          </w:tcPr>
          <w:p w14:paraId="3A52D5AA" w14:textId="77777777" w:rsidR="005F4A7E" w:rsidRPr="002029AF" w:rsidRDefault="005F4A7E" w:rsidP="00130D1C">
            <w:pPr>
              <w:pStyle w:val="ARfintablebodyright"/>
            </w:pPr>
            <w:r w:rsidRPr="00E741AD">
              <w:t>–</w:t>
            </w:r>
          </w:p>
        </w:tc>
        <w:tc>
          <w:tcPr>
            <w:tcW w:w="1610" w:type="dxa"/>
            <w:tcBorders>
              <w:top w:val="single" w:sz="4" w:space="0" w:color="A6A6A6"/>
              <w:bottom w:val="single" w:sz="4" w:space="0" w:color="A6A6A6"/>
            </w:tcBorders>
            <w:noWrap/>
            <w:hideMark/>
          </w:tcPr>
          <w:p w14:paraId="16DBA790" w14:textId="77777777" w:rsidR="005F4A7E" w:rsidRPr="002029AF" w:rsidRDefault="005F4A7E" w:rsidP="00130D1C">
            <w:pPr>
              <w:pStyle w:val="ARfintablebodyright"/>
            </w:pPr>
            <w:r w:rsidRPr="00E741AD">
              <w:t>9.2</w:t>
            </w:r>
          </w:p>
        </w:tc>
      </w:tr>
      <w:tr w:rsidR="005F4A7E" w:rsidRPr="002029AF" w14:paraId="6FA53FD3" w14:textId="77777777" w:rsidTr="00130D1C">
        <w:trPr>
          <w:trHeight w:val="198"/>
        </w:trPr>
        <w:tc>
          <w:tcPr>
            <w:tcW w:w="6409" w:type="dxa"/>
            <w:tcBorders>
              <w:top w:val="single" w:sz="4" w:space="0" w:color="A6A6A6"/>
              <w:bottom w:val="single" w:sz="4" w:space="0" w:color="A6A6A6"/>
            </w:tcBorders>
            <w:hideMark/>
          </w:tcPr>
          <w:p w14:paraId="43F55507" w14:textId="77777777" w:rsidR="005F4A7E" w:rsidRPr="002029AF" w:rsidRDefault="005F4A7E" w:rsidP="00130D1C">
            <w:pPr>
              <w:pStyle w:val="ARfintablebody"/>
            </w:pPr>
            <w:r w:rsidRPr="00E741AD">
              <w:t>Capitalisation of work in progress</w:t>
            </w:r>
          </w:p>
        </w:tc>
        <w:tc>
          <w:tcPr>
            <w:tcW w:w="1610" w:type="dxa"/>
            <w:tcBorders>
              <w:top w:val="single" w:sz="4" w:space="0" w:color="A6A6A6"/>
              <w:bottom w:val="single" w:sz="4" w:space="0" w:color="A6A6A6"/>
            </w:tcBorders>
            <w:noWrap/>
            <w:hideMark/>
          </w:tcPr>
          <w:p w14:paraId="35CBC74F" w14:textId="77777777" w:rsidR="005F4A7E" w:rsidRPr="002029AF" w:rsidRDefault="005F4A7E" w:rsidP="00130D1C">
            <w:pPr>
              <w:pStyle w:val="ARfintablebodyright"/>
            </w:pPr>
            <w:r w:rsidRPr="00E741AD">
              <w:t>–</w:t>
            </w:r>
          </w:p>
        </w:tc>
        <w:tc>
          <w:tcPr>
            <w:tcW w:w="1610" w:type="dxa"/>
            <w:tcBorders>
              <w:top w:val="single" w:sz="4" w:space="0" w:color="A6A6A6"/>
              <w:bottom w:val="single" w:sz="4" w:space="0" w:color="A6A6A6"/>
            </w:tcBorders>
            <w:noWrap/>
            <w:hideMark/>
          </w:tcPr>
          <w:p w14:paraId="65A9EC67" w14:textId="77777777" w:rsidR="005F4A7E" w:rsidRPr="002029AF" w:rsidRDefault="005F4A7E" w:rsidP="00130D1C">
            <w:pPr>
              <w:pStyle w:val="ARfintablebodyright"/>
            </w:pPr>
            <w:r w:rsidRPr="00E741AD">
              <w:t>0.6</w:t>
            </w:r>
          </w:p>
        </w:tc>
        <w:tc>
          <w:tcPr>
            <w:tcW w:w="1610" w:type="dxa"/>
            <w:tcBorders>
              <w:top w:val="single" w:sz="4" w:space="0" w:color="A6A6A6"/>
              <w:bottom w:val="single" w:sz="4" w:space="0" w:color="A6A6A6"/>
            </w:tcBorders>
            <w:noWrap/>
            <w:hideMark/>
          </w:tcPr>
          <w:p w14:paraId="42DF08EE" w14:textId="77777777" w:rsidR="005F4A7E" w:rsidRPr="002029AF" w:rsidRDefault="005F4A7E" w:rsidP="00130D1C">
            <w:pPr>
              <w:pStyle w:val="ARfintablebodyright"/>
            </w:pPr>
            <w:r w:rsidRPr="00E741AD">
              <w:t>–</w:t>
            </w:r>
          </w:p>
        </w:tc>
        <w:tc>
          <w:tcPr>
            <w:tcW w:w="1610" w:type="dxa"/>
            <w:tcBorders>
              <w:top w:val="single" w:sz="4" w:space="0" w:color="A6A6A6"/>
              <w:bottom w:val="single" w:sz="4" w:space="0" w:color="A6A6A6"/>
            </w:tcBorders>
            <w:noWrap/>
            <w:hideMark/>
          </w:tcPr>
          <w:p w14:paraId="01666051" w14:textId="77777777" w:rsidR="005F4A7E" w:rsidRPr="002029AF" w:rsidRDefault="005F4A7E" w:rsidP="00130D1C">
            <w:pPr>
              <w:pStyle w:val="ARfintablebodyright"/>
            </w:pPr>
            <w:r w:rsidRPr="00E741AD">
              <w:t>–</w:t>
            </w:r>
          </w:p>
        </w:tc>
        <w:tc>
          <w:tcPr>
            <w:tcW w:w="1610" w:type="dxa"/>
            <w:tcBorders>
              <w:top w:val="single" w:sz="4" w:space="0" w:color="A6A6A6"/>
              <w:bottom w:val="single" w:sz="4" w:space="0" w:color="A6A6A6"/>
            </w:tcBorders>
            <w:noWrap/>
            <w:hideMark/>
          </w:tcPr>
          <w:p w14:paraId="4F89AC56" w14:textId="77777777" w:rsidR="005F4A7E" w:rsidRPr="002029AF" w:rsidRDefault="005F4A7E" w:rsidP="00130D1C">
            <w:pPr>
              <w:pStyle w:val="ARfintablebodyright"/>
            </w:pPr>
            <w:r w:rsidRPr="00E741AD">
              <w:t>0.6</w:t>
            </w:r>
          </w:p>
        </w:tc>
      </w:tr>
      <w:tr w:rsidR="005F4A7E" w:rsidRPr="002029AF" w14:paraId="21EB3CC0" w14:textId="77777777" w:rsidTr="00130D1C">
        <w:trPr>
          <w:trHeight w:val="198"/>
        </w:trPr>
        <w:tc>
          <w:tcPr>
            <w:tcW w:w="6409" w:type="dxa"/>
            <w:tcBorders>
              <w:top w:val="single" w:sz="4" w:space="0" w:color="A6A6A6"/>
              <w:bottom w:val="single" w:sz="4" w:space="0" w:color="A6A6A6"/>
            </w:tcBorders>
            <w:hideMark/>
          </w:tcPr>
          <w:p w14:paraId="318E6C20" w14:textId="77777777" w:rsidR="005F4A7E" w:rsidRPr="002029AF" w:rsidRDefault="005F4A7E" w:rsidP="00130D1C">
            <w:pPr>
              <w:pStyle w:val="ARfintablebody"/>
            </w:pPr>
            <w:r w:rsidRPr="00E741AD">
              <w:t>Disposals</w:t>
            </w:r>
          </w:p>
        </w:tc>
        <w:tc>
          <w:tcPr>
            <w:tcW w:w="1610" w:type="dxa"/>
            <w:tcBorders>
              <w:top w:val="single" w:sz="4" w:space="0" w:color="A6A6A6"/>
              <w:bottom w:val="single" w:sz="4" w:space="0" w:color="A6A6A6"/>
            </w:tcBorders>
            <w:noWrap/>
            <w:hideMark/>
          </w:tcPr>
          <w:p w14:paraId="3FD6E5CF" w14:textId="77777777" w:rsidR="005F4A7E" w:rsidRPr="002029AF" w:rsidRDefault="005F4A7E" w:rsidP="00130D1C">
            <w:pPr>
              <w:pStyle w:val="ARfintablebodyright"/>
            </w:pPr>
            <w:r w:rsidRPr="00E741AD">
              <w:t>–</w:t>
            </w:r>
          </w:p>
        </w:tc>
        <w:tc>
          <w:tcPr>
            <w:tcW w:w="1610" w:type="dxa"/>
            <w:tcBorders>
              <w:top w:val="single" w:sz="4" w:space="0" w:color="A6A6A6"/>
              <w:bottom w:val="single" w:sz="4" w:space="0" w:color="A6A6A6"/>
            </w:tcBorders>
            <w:noWrap/>
            <w:hideMark/>
          </w:tcPr>
          <w:p w14:paraId="323B1C67" w14:textId="77777777" w:rsidR="005F4A7E" w:rsidRPr="002029AF" w:rsidRDefault="005F4A7E" w:rsidP="00130D1C">
            <w:pPr>
              <w:pStyle w:val="ARfintablebodyright"/>
            </w:pPr>
            <w:r w:rsidRPr="00E741AD">
              <w:t>–</w:t>
            </w:r>
          </w:p>
        </w:tc>
        <w:tc>
          <w:tcPr>
            <w:tcW w:w="1610" w:type="dxa"/>
            <w:tcBorders>
              <w:top w:val="single" w:sz="4" w:space="0" w:color="A6A6A6"/>
              <w:bottom w:val="single" w:sz="4" w:space="0" w:color="A6A6A6"/>
            </w:tcBorders>
            <w:noWrap/>
            <w:hideMark/>
          </w:tcPr>
          <w:p w14:paraId="20BD6BF8" w14:textId="77777777" w:rsidR="005F4A7E" w:rsidRPr="002029AF" w:rsidRDefault="005F4A7E" w:rsidP="00130D1C">
            <w:pPr>
              <w:pStyle w:val="ARfintablebodyright"/>
            </w:pPr>
            <w:r w:rsidRPr="00E741AD">
              <w:t>(0.1)</w:t>
            </w:r>
          </w:p>
        </w:tc>
        <w:tc>
          <w:tcPr>
            <w:tcW w:w="1610" w:type="dxa"/>
            <w:tcBorders>
              <w:top w:val="single" w:sz="4" w:space="0" w:color="A6A6A6"/>
              <w:bottom w:val="single" w:sz="4" w:space="0" w:color="A6A6A6"/>
            </w:tcBorders>
            <w:noWrap/>
            <w:hideMark/>
          </w:tcPr>
          <w:p w14:paraId="1DE3C6B0" w14:textId="77777777" w:rsidR="005F4A7E" w:rsidRPr="002029AF" w:rsidRDefault="005F4A7E" w:rsidP="00130D1C">
            <w:pPr>
              <w:pStyle w:val="ARfintablebodyright"/>
            </w:pPr>
            <w:r w:rsidRPr="00E741AD">
              <w:t>(0.2)</w:t>
            </w:r>
          </w:p>
        </w:tc>
        <w:tc>
          <w:tcPr>
            <w:tcW w:w="1610" w:type="dxa"/>
            <w:tcBorders>
              <w:top w:val="single" w:sz="4" w:space="0" w:color="A6A6A6"/>
              <w:bottom w:val="single" w:sz="4" w:space="0" w:color="A6A6A6"/>
            </w:tcBorders>
            <w:noWrap/>
            <w:hideMark/>
          </w:tcPr>
          <w:p w14:paraId="464A0D40" w14:textId="77777777" w:rsidR="005F4A7E" w:rsidRPr="002029AF" w:rsidRDefault="005F4A7E" w:rsidP="00130D1C">
            <w:pPr>
              <w:pStyle w:val="ARfintablebodyright"/>
            </w:pPr>
            <w:r w:rsidRPr="00E741AD">
              <w:t>(0.3)</w:t>
            </w:r>
          </w:p>
        </w:tc>
      </w:tr>
      <w:tr w:rsidR="005F4A7E" w:rsidRPr="002029AF" w14:paraId="70F6EC25" w14:textId="77777777" w:rsidTr="00130D1C">
        <w:trPr>
          <w:trHeight w:val="198"/>
        </w:trPr>
        <w:tc>
          <w:tcPr>
            <w:tcW w:w="6409" w:type="dxa"/>
            <w:tcBorders>
              <w:top w:val="single" w:sz="4" w:space="0" w:color="A6A6A6"/>
              <w:bottom w:val="single" w:sz="4" w:space="0" w:color="A6A6A6"/>
            </w:tcBorders>
            <w:hideMark/>
          </w:tcPr>
          <w:p w14:paraId="588645D3" w14:textId="77777777" w:rsidR="005F4A7E" w:rsidRPr="002029AF" w:rsidRDefault="005F4A7E" w:rsidP="00130D1C">
            <w:pPr>
              <w:pStyle w:val="ARfintablebody"/>
            </w:pPr>
            <w:r w:rsidRPr="00E741AD">
              <w:t>Administrative instrument transfers</w:t>
            </w:r>
          </w:p>
        </w:tc>
        <w:tc>
          <w:tcPr>
            <w:tcW w:w="1610" w:type="dxa"/>
            <w:tcBorders>
              <w:top w:val="single" w:sz="4" w:space="0" w:color="A6A6A6"/>
              <w:bottom w:val="single" w:sz="4" w:space="0" w:color="A6A6A6"/>
            </w:tcBorders>
            <w:noWrap/>
            <w:hideMark/>
          </w:tcPr>
          <w:p w14:paraId="323192B5" w14:textId="77777777" w:rsidR="005F4A7E" w:rsidRPr="002029AF" w:rsidRDefault="005F4A7E" w:rsidP="00130D1C">
            <w:pPr>
              <w:pStyle w:val="ARfintablebodyright"/>
            </w:pPr>
            <w:r w:rsidRPr="00E741AD">
              <w:t>6.1</w:t>
            </w:r>
          </w:p>
        </w:tc>
        <w:tc>
          <w:tcPr>
            <w:tcW w:w="1610" w:type="dxa"/>
            <w:tcBorders>
              <w:top w:val="single" w:sz="4" w:space="0" w:color="A6A6A6"/>
              <w:bottom w:val="single" w:sz="4" w:space="0" w:color="A6A6A6"/>
            </w:tcBorders>
            <w:noWrap/>
            <w:hideMark/>
          </w:tcPr>
          <w:p w14:paraId="32D6088A" w14:textId="77777777" w:rsidR="005F4A7E" w:rsidRPr="002029AF" w:rsidRDefault="005F4A7E" w:rsidP="00130D1C">
            <w:pPr>
              <w:pStyle w:val="ARfintablebodyright"/>
            </w:pPr>
            <w:r w:rsidRPr="00E741AD">
              <w:t>4.7</w:t>
            </w:r>
          </w:p>
        </w:tc>
        <w:tc>
          <w:tcPr>
            <w:tcW w:w="1610" w:type="dxa"/>
            <w:tcBorders>
              <w:top w:val="single" w:sz="4" w:space="0" w:color="A6A6A6"/>
              <w:bottom w:val="single" w:sz="4" w:space="0" w:color="A6A6A6"/>
            </w:tcBorders>
            <w:noWrap/>
            <w:hideMark/>
          </w:tcPr>
          <w:p w14:paraId="5812675B" w14:textId="77777777" w:rsidR="005F4A7E" w:rsidRPr="002029AF" w:rsidRDefault="005F4A7E" w:rsidP="00130D1C">
            <w:pPr>
              <w:pStyle w:val="ARfintablebodyright"/>
            </w:pPr>
            <w:r w:rsidRPr="00E741AD">
              <w:t>–</w:t>
            </w:r>
          </w:p>
        </w:tc>
        <w:tc>
          <w:tcPr>
            <w:tcW w:w="1610" w:type="dxa"/>
            <w:tcBorders>
              <w:top w:val="single" w:sz="4" w:space="0" w:color="A6A6A6"/>
              <w:bottom w:val="single" w:sz="4" w:space="0" w:color="A6A6A6"/>
            </w:tcBorders>
            <w:noWrap/>
            <w:hideMark/>
          </w:tcPr>
          <w:p w14:paraId="5513E400" w14:textId="77777777" w:rsidR="005F4A7E" w:rsidRPr="002029AF" w:rsidRDefault="005F4A7E" w:rsidP="00130D1C">
            <w:pPr>
              <w:pStyle w:val="ARfintablebodyright"/>
            </w:pPr>
            <w:r w:rsidRPr="00E741AD">
              <w:t>–</w:t>
            </w:r>
          </w:p>
        </w:tc>
        <w:tc>
          <w:tcPr>
            <w:tcW w:w="1610" w:type="dxa"/>
            <w:tcBorders>
              <w:top w:val="single" w:sz="4" w:space="0" w:color="A6A6A6"/>
              <w:bottom w:val="single" w:sz="4" w:space="0" w:color="A6A6A6"/>
            </w:tcBorders>
            <w:noWrap/>
            <w:hideMark/>
          </w:tcPr>
          <w:p w14:paraId="771EBAF3" w14:textId="77777777" w:rsidR="005F4A7E" w:rsidRPr="002029AF" w:rsidRDefault="005F4A7E" w:rsidP="00130D1C">
            <w:pPr>
              <w:pStyle w:val="ARfintablebodyright"/>
            </w:pPr>
            <w:r w:rsidRPr="00E741AD">
              <w:t>10.8</w:t>
            </w:r>
          </w:p>
        </w:tc>
      </w:tr>
      <w:tr w:rsidR="005F4A7E" w:rsidRPr="002029AF" w14:paraId="3EF94C3B" w14:textId="77777777" w:rsidTr="00130D1C">
        <w:trPr>
          <w:trHeight w:val="198"/>
        </w:trPr>
        <w:tc>
          <w:tcPr>
            <w:tcW w:w="14459" w:type="dxa"/>
            <w:gridSpan w:val="6"/>
            <w:tcBorders>
              <w:top w:val="single" w:sz="4" w:space="0" w:color="A6A6A6"/>
              <w:bottom w:val="single" w:sz="4" w:space="0" w:color="A6A6A6"/>
            </w:tcBorders>
            <w:hideMark/>
          </w:tcPr>
          <w:p w14:paraId="4BCE289F" w14:textId="77777777" w:rsidR="005F4A7E" w:rsidRPr="002029AF" w:rsidRDefault="005F4A7E" w:rsidP="00130D1C">
            <w:pPr>
              <w:pStyle w:val="ARfintablebodybold"/>
            </w:pPr>
            <w:r w:rsidRPr="00E741AD">
              <w:t>Gains or losses recognised in net result</w:t>
            </w:r>
          </w:p>
        </w:tc>
      </w:tr>
      <w:tr w:rsidR="005F4A7E" w:rsidRPr="002029AF" w14:paraId="760AEF2F" w14:textId="77777777" w:rsidTr="00130D1C">
        <w:trPr>
          <w:trHeight w:val="198"/>
        </w:trPr>
        <w:tc>
          <w:tcPr>
            <w:tcW w:w="6409" w:type="dxa"/>
            <w:tcBorders>
              <w:top w:val="single" w:sz="4" w:space="0" w:color="A6A6A6"/>
              <w:bottom w:val="single" w:sz="4" w:space="0" w:color="A6A6A6"/>
            </w:tcBorders>
            <w:hideMark/>
          </w:tcPr>
          <w:p w14:paraId="7CEE3F8F" w14:textId="77777777" w:rsidR="005F4A7E" w:rsidRPr="002029AF" w:rsidRDefault="005F4A7E" w:rsidP="00130D1C">
            <w:pPr>
              <w:pStyle w:val="ARfintablebody"/>
            </w:pPr>
            <w:r w:rsidRPr="00E741AD">
              <w:t>Depreciation</w:t>
            </w:r>
          </w:p>
        </w:tc>
        <w:tc>
          <w:tcPr>
            <w:tcW w:w="1610" w:type="dxa"/>
            <w:tcBorders>
              <w:top w:val="single" w:sz="4" w:space="0" w:color="A6A6A6"/>
              <w:bottom w:val="single" w:sz="4" w:space="0" w:color="A6A6A6"/>
            </w:tcBorders>
            <w:noWrap/>
            <w:hideMark/>
          </w:tcPr>
          <w:p w14:paraId="5B093FC4" w14:textId="77777777" w:rsidR="005F4A7E" w:rsidRPr="002029AF" w:rsidRDefault="005F4A7E" w:rsidP="00130D1C">
            <w:pPr>
              <w:pStyle w:val="ARfintablebodyright"/>
            </w:pPr>
            <w:r w:rsidRPr="00E741AD">
              <w:t>–</w:t>
            </w:r>
          </w:p>
        </w:tc>
        <w:tc>
          <w:tcPr>
            <w:tcW w:w="1610" w:type="dxa"/>
            <w:tcBorders>
              <w:top w:val="single" w:sz="4" w:space="0" w:color="A6A6A6"/>
              <w:bottom w:val="single" w:sz="4" w:space="0" w:color="A6A6A6"/>
            </w:tcBorders>
            <w:noWrap/>
            <w:hideMark/>
          </w:tcPr>
          <w:p w14:paraId="0CE034EC" w14:textId="77777777" w:rsidR="005F4A7E" w:rsidRPr="002029AF" w:rsidRDefault="005F4A7E" w:rsidP="00130D1C">
            <w:pPr>
              <w:pStyle w:val="ARfintablebodyright"/>
            </w:pPr>
            <w:r w:rsidRPr="00E741AD">
              <w:t>(39.2)</w:t>
            </w:r>
          </w:p>
        </w:tc>
        <w:tc>
          <w:tcPr>
            <w:tcW w:w="1610" w:type="dxa"/>
            <w:tcBorders>
              <w:top w:val="single" w:sz="4" w:space="0" w:color="A6A6A6"/>
              <w:bottom w:val="single" w:sz="4" w:space="0" w:color="A6A6A6"/>
            </w:tcBorders>
            <w:noWrap/>
            <w:hideMark/>
          </w:tcPr>
          <w:p w14:paraId="105AF8BC" w14:textId="77777777" w:rsidR="005F4A7E" w:rsidRPr="002029AF" w:rsidRDefault="005F4A7E" w:rsidP="00130D1C">
            <w:pPr>
              <w:pStyle w:val="ARfintablebodyright"/>
            </w:pPr>
            <w:r w:rsidRPr="00E741AD">
              <w:t>(4.1)</w:t>
            </w:r>
          </w:p>
        </w:tc>
        <w:tc>
          <w:tcPr>
            <w:tcW w:w="1610" w:type="dxa"/>
            <w:tcBorders>
              <w:top w:val="single" w:sz="4" w:space="0" w:color="A6A6A6"/>
              <w:bottom w:val="single" w:sz="4" w:space="0" w:color="A6A6A6"/>
            </w:tcBorders>
            <w:noWrap/>
            <w:hideMark/>
          </w:tcPr>
          <w:p w14:paraId="0D050437" w14:textId="77777777" w:rsidR="005F4A7E" w:rsidRPr="002029AF" w:rsidRDefault="005F4A7E" w:rsidP="00130D1C">
            <w:pPr>
              <w:pStyle w:val="ARfintablebodyright"/>
            </w:pPr>
            <w:r w:rsidRPr="00E741AD">
              <w:t>(0.1)</w:t>
            </w:r>
          </w:p>
        </w:tc>
        <w:tc>
          <w:tcPr>
            <w:tcW w:w="1610" w:type="dxa"/>
            <w:tcBorders>
              <w:top w:val="single" w:sz="4" w:space="0" w:color="A6A6A6"/>
              <w:bottom w:val="single" w:sz="4" w:space="0" w:color="A6A6A6"/>
            </w:tcBorders>
            <w:noWrap/>
            <w:hideMark/>
          </w:tcPr>
          <w:p w14:paraId="147F6323" w14:textId="77777777" w:rsidR="005F4A7E" w:rsidRPr="002029AF" w:rsidRDefault="005F4A7E" w:rsidP="00130D1C">
            <w:pPr>
              <w:pStyle w:val="ARfintablebodyright"/>
            </w:pPr>
            <w:r w:rsidRPr="00E741AD">
              <w:t>(43.4)</w:t>
            </w:r>
          </w:p>
        </w:tc>
      </w:tr>
      <w:tr w:rsidR="005F4A7E" w:rsidRPr="002029AF" w14:paraId="64969D7D" w14:textId="77777777" w:rsidTr="00130D1C">
        <w:trPr>
          <w:trHeight w:val="198"/>
        </w:trPr>
        <w:tc>
          <w:tcPr>
            <w:tcW w:w="6409" w:type="dxa"/>
            <w:tcBorders>
              <w:bottom w:val="single" w:sz="4" w:space="0" w:color="auto"/>
            </w:tcBorders>
            <w:hideMark/>
          </w:tcPr>
          <w:p w14:paraId="1C86C421" w14:textId="77777777" w:rsidR="005F4A7E" w:rsidRPr="002029AF" w:rsidRDefault="005F4A7E" w:rsidP="00130D1C">
            <w:pPr>
              <w:pStyle w:val="ARfintablebodybold"/>
            </w:pPr>
            <w:r w:rsidRPr="00E741AD">
              <w:t>Subtotal of gains or losses recognises in net result</w:t>
            </w:r>
          </w:p>
        </w:tc>
        <w:tc>
          <w:tcPr>
            <w:tcW w:w="1610" w:type="dxa"/>
            <w:tcBorders>
              <w:bottom w:val="single" w:sz="4" w:space="0" w:color="auto"/>
            </w:tcBorders>
            <w:noWrap/>
            <w:hideMark/>
          </w:tcPr>
          <w:p w14:paraId="791EE8BF" w14:textId="77777777" w:rsidR="005F4A7E" w:rsidRPr="002029AF" w:rsidRDefault="005F4A7E" w:rsidP="00130D1C">
            <w:pPr>
              <w:pStyle w:val="ARfintablebodyrightbold"/>
            </w:pPr>
            <w:r w:rsidRPr="00E741AD">
              <w:t>–</w:t>
            </w:r>
          </w:p>
        </w:tc>
        <w:tc>
          <w:tcPr>
            <w:tcW w:w="1610" w:type="dxa"/>
            <w:tcBorders>
              <w:bottom w:val="single" w:sz="4" w:space="0" w:color="auto"/>
            </w:tcBorders>
            <w:noWrap/>
            <w:hideMark/>
          </w:tcPr>
          <w:p w14:paraId="31D3E185" w14:textId="77777777" w:rsidR="005F4A7E" w:rsidRPr="002029AF" w:rsidRDefault="005F4A7E" w:rsidP="00130D1C">
            <w:pPr>
              <w:pStyle w:val="ARfintablebodyrightbold"/>
            </w:pPr>
            <w:r w:rsidRPr="00E741AD">
              <w:t>(39.2)</w:t>
            </w:r>
          </w:p>
        </w:tc>
        <w:tc>
          <w:tcPr>
            <w:tcW w:w="1610" w:type="dxa"/>
            <w:tcBorders>
              <w:bottom w:val="single" w:sz="4" w:space="0" w:color="auto"/>
            </w:tcBorders>
            <w:noWrap/>
            <w:hideMark/>
          </w:tcPr>
          <w:p w14:paraId="287F8828" w14:textId="77777777" w:rsidR="005F4A7E" w:rsidRPr="002029AF" w:rsidRDefault="005F4A7E" w:rsidP="00130D1C">
            <w:pPr>
              <w:pStyle w:val="ARfintablebodyrightbold"/>
            </w:pPr>
            <w:r w:rsidRPr="00E741AD">
              <w:t>(4.1)</w:t>
            </w:r>
          </w:p>
        </w:tc>
        <w:tc>
          <w:tcPr>
            <w:tcW w:w="1610" w:type="dxa"/>
            <w:tcBorders>
              <w:bottom w:val="single" w:sz="4" w:space="0" w:color="auto"/>
            </w:tcBorders>
            <w:noWrap/>
            <w:hideMark/>
          </w:tcPr>
          <w:p w14:paraId="3F971C08" w14:textId="77777777" w:rsidR="005F4A7E" w:rsidRPr="002029AF" w:rsidRDefault="005F4A7E" w:rsidP="00130D1C">
            <w:pPr>
              <w:pStyle w:val="ARfintablebodyrightbold"/>
            </w:pPr>
            <w:r w:rsidRPr="00E741AD">
              <w:t>(0.1)</w:t>
            </w:r>
          </w:p>
        </w:tc>
        <w:tc>
          <w:tcPr>
            <w:tcW w:w="1610" w:type="dxa"/>
            <w:tcBorders>
              <w:bottom w:val="single" w:sz="4" w:space="0" w:color="auto"/>
            </w:tcBorders>
            <w:noWrap/>
            <w:hideMark/>
          </w:tcPr>
          <w:p w14:paraId="231B2CE9" w14:textId="77777777" w:rsidR="005F4A7E" w:rsidRPr="002029AF" w:rsidRDefault="005F4A7E" w:rsidP="00130D1C">
            <w:pPr>
              <w:pStyle w:val="ARfintablebodyrightbold"/>
            </w:pPr>
            <w:r w:rsidRPr="00E741AD">
              <w:t>(43.4)</w:t>
            </w:r>
          </w:p>
        </w:tc>
      </w:tr>
      <w:tr w:rsidR="005F4A7E" w:rsidRPr="002029AF" w14:paraId="7A5E0F4A" w14:textId="77777777" w:rsidTr="00130D1C">
        <w:trPr>
          <w:trHeight w:val="198"/>
        </w:trPr>
        <w:tc>
          <w:tcPr>
            <w:tcW w:w="14459" w:type="dxa"/>
            <w:gridSpan w:val="6"/>
            <w:tcBorders>
              <w:top w:val="single" w:sz="4" w:space="0" w:color="auto"/>
              <w:bottom w:val="single" w:sz="4" w:space="0" w:color="A6A6A6"/>
            </w:tcBorders>
            <w:hideMark/>
          </w:tcPr>
          <w:p w14:paraId="0124C31E" w14:textId="77777777" w:rsidR="005F4A7E" w:rsidRPr="002029AF" w:rsidRDefault="005F4A7E" w:rsidP="00130D1C">
            <w:pPr>
              <w:pStyle w:val="ARfintablebodybold"/>
            </w:pPr>
            <w:r w:rsidRPr="00E741AD">
              <w:t>Gains or losses recognised in other economic flows – other comprehensive income</w:t>
            </w:r>
          </w:p>
        </w:tc>
      </w:tr>
      <w:tr w:rsidR="005F4A7E" w:rsidRPr="002029AF" w14:paraId="6692DB98" w14:textId="77777777" w:rsidTr="00130D1C">
        <w:trPr>
          <w:trHeight w:val="198"/>
        </w:trPr>
        <w:tc>
          <w:tcPr>
            <w:tcW w:w="6409" w:type="dxa"/>
            <w:tcBorders>
              <w:top w:val="single" w:sz="4" w:space="0" w:color="A6A6A6"/>
            </w:tcBorders>
            <w:hideMark/>
          </w:tcPr>
          <w:p w14:paraId="057D8F56" w14:textId="77777777" w:rsidR="005F4A7E" w:rsidRPr="002029AF" w:rsidRDefault="005F4A7E" w:rsidP="00130D1C">
            <w:pPr>
              <w:pStyle w:val="ARfintablebody"/>
            </w:pPr>
            <w:r w:rsidRPr="00E741AD">
              <w:t>Net revaluation increments/(decrements)</w:t>
            </w:r>
          </w:p>
        </w:tc>
        <w:tc>
          <w:tcPr>
            <w:tcW w:w="1610" w:type="dxa"/>
            <w:tcBorders>
              <w:top w:val="single" w:sz="4" w:space="0" w:color="A6A6A6"/>
            </w:tcBorders>
            <w:noWrap/>
            <w:hideMark/>
          </w:tcPr>
          <w:p w14:paraId="3CF0823A" w14:textId="77777777" w:rsidR="005F4A7E" w:rsidRPr="002029AF" w:rsidRDefault="005F4A7E" w:rsidP="00130D1C">
            <w:pPr>
              <w:pStyle w:val="ARfintablebodyright"/>
            </w:pPr>
            <w:r w:rsidRPr="00E741AD">
              <w:t>(0.2)</w:t>
            </w:r>
          </w:p>
        </w:tc>
        <w:tc>
          <w:tcPr>
            <w:tcW w:w="1610" w:type="dxa"/>
            <w:tcBorders>
              <w:top w:val="single" w:sz="4" w:space="0" w:color="A6A6A6"/>
            </w:tcBorders>
            <w:noWrap/>
            <w:hideMark/>
          </w:tcPr>
          <w:p w14:paraId="71C0B672" w14:textId="77777777" w:rsidR="005F4A7E" w:rsidRPr="002029AF" w:rsidRDefault="005F4A7E" w:rsidP="00130D1C">
            <w:pPr>
              <w:pStyle w:val="ARfintablebodyright"/>
            </w:pPr>
            <w:r w:rsidRPr="00E741AD">
              <w:t>(5.0)</w:t>
            </w:r>
          </w:p>
        </w:tc>
        <w:tc>
          <w:tcPr>
            <w:tcW w:w="1610" w:type="dxa"/>
            <w:tcBorders>
              <w:top w:val="single" w:sz="4" w:space="0" w:color="A6A6A6"/>
            </w:tcBorders>
            <w:noWrap/>
            <w:hideMark/>
          </w:tcPr>
          <w:p w14:paraId="09242948" w14:textId="77777777" w:rsidR="005F4A7E" w:rsidRPr="002029AF" w:rsidRDefault="005F4A7E" w:rsidP="00130D1C">
            <w:pPr>
              <w:pStyle w:val="ARfintablebodyright"/>
            </w:pPr>
            <w:r w:rsidRPr="00E741AD">
              <w:t>–</w:t>
            </w:r>
          </w:p>
        </w:tc>
        <w:tc>
          <w:tcPr>
            <w:tcW w:w="1610" w:type="dxa"/>
            <w:tcBorders>
              <w:top w:val="single" w:sz="4" w:space="0" w:color="A6A6A6"/>
            </w:tcBorders>
            <w:noWrap/>
            <w:hideMark/>
          </w:tcPr>
          <w:p w14:paraId="4B5057FE" w14:textId="77777777" w:rsidR="005F4A7E" w:rsidRPr="002029AF" w:rsidRDefault="005F4A7E" w:rsidP="00130D1C">
            <w:pPr>
              <w:pStyle w:val="ARfintablebodyright"/>
            </w:pPr>
            <w:r w:rsidRPr="00E741AD">
              <w:t>–</w:t>
            </w:r>
          </w:p>
        </w:tc>
        <w:tc>
          <w:tcPr>
            <w:tcW w:w="1610" w:type="dxa"/>
            <w:tcBorders>
              <w:top w:val="single" w:sz="4" w:space="0" w:color="A6A6A6"/>
            </w:tcBorders>
            <w:noWrap/>
            <w:hideMark/>
          </w:tcPr>
          <w:p w14:paraId="644C84E3" w14:textId="77777777" w:rsidR="005F4A7E" w:rsidRPr="002029AF" w:rsidRDefault="005F4A7E" w:rsidP="00130D1C">
            <w:pPr>
              <w:pStyle w:val="ARfintablebodyright"/>
            </w:pPr>
            <w:r w:rsidRPr="00E741AD">
              <w:t>(5.2)</w:t>
            </w:r>
          </w:p>
        </w:tc>
      </w:tr>
      <w:tr w:rsidR="005F4A7E" w:rsidRPr="002029AF" w14:paraId="13794259" w14:textId="77777777" w:rsidTr="00130D1C">
        <w:trPr>
          <w:trHeight w:val="198"/>
        </w:trPr>
        <w:tc>
          <w:tcPr>
            <w:tcW w:w="6409" w:type="dxa"/>
            <w:hideMark/>
          </w:tcPr>
          <w:p w14:paraId="2AFF3BF9" w14:textId="77777777" w:rsidR="005F4A7E" w:rsidRPr="002029AF" w:rsidRDefault="005F4A7E" w:rsidP="00130D1C">
            <w:pPr>
              <w:pStyle w:val="ARfintablebodybold"/>
            </w:pPr>
            <w:r w:rsidRPr="00E741AD">
              <w:t>Subtotal of gains or losses recognised in other economic flows</w:t>
            </w:r>
          </w:p>
        </w:tc>
        <w:tc>
          <w:tcPr>
            <w:tcW w:w="1610" w:type="dxa"/>
            <w:noWrap/>
            <w:hideMark/>
          </w:tcPr>
          <w:p w14:paraId="1CAC8C90" w14:textId="77777777" w:rsidR="005F4A7E" w:rsidRPr="002029AF" w:rsidRDefault="005F4A7E" w:rsidP="00130D1C">
            <w:pPr>
              <w:pStyle w:val="ARfintablebodyrightbold"/>
            </w:pPr>
            <w:r w:rsidRPr="00E741AD">
              <w:t>(0.2)</w:t>
            </w:r>
          </w:p>
        </w:tc>
        <w:tc>
          <w:tcPr>
            <w:tcW w:w="1610" w:type="dxa"/>
            <w:noWrap/>
            <w:hideMark/>
          </w:tcPr>
          <w:p w14:paraId="22992045" w14:textId="77777777" w:rsidR="005F4A7E" w:rsidRPr="002029AF" w:rsidRDefault="005F4A7E" w:rsidP="00130D1C">
            <w:pPr>
              <w:pStyle w:val="ARfintablebodyrightbold"/>
            </w:pPr>
            <w:r w:rsidRPr="00E741AD">
              <w:t>(5.0)</w:t>
            </w:r>
          </w:p>
        </w:tc>
        <w:tc>
          <w:tcPr>
            <w:tcW w:w="1610" w:type="dxa"/>
            <w:noWrap/>
            <w:hideMark/>
          </w:tcPr>
          <w:p w14:paraId="6777B422" w14:textId="77777777" w:rsidR="005F4A7E" w:rsidRPr="002029AF" w:rsidRDefault="005F4A7E" w:rsidP="00130D1C">
            <w:pPr>
              <w:pStyle w:val="ARfintablebodyrightbold"/>
            </w:pPr>
            <w:r w:rsidRPr="00E741AD">
              <w:t>–</w:t>
            </w:r>
          </w:p>
        </w:tc>
        <w:tc>
          <w:tcPr>
            <w:tcW w:w="1610" w:type="dxa"/>
            <w:noWrap/>
            <w:hideMark/>
          </w:tcPr>
          <w:p w14:paraId="7646579C" w14:textId="77777777" w:rsidR="005F4A7E" w:rsidRPr="002029AF" w:rsidRDefault="005F4A7E" w:rsidP="00130D1C">
            <w:pPr>
              <w:pStyle w:val="ARfintablebodyrightbold"/>
            </w:pPr>
            <w:r w:rsidRPr="00E741AD">
              <w:t>–</w:t>
            </w:r>
          </w:p>
        </w:tc>
        <w:tc>
          <w:tcPr>
            <w:tcW w:w="1610" w:type="dxa"/>
            <w:noWrap/>
            <w:hideMark/>
          </w:tcPr>
          <w:p w14:paraId="039C0505" w14:textId="77777777" w:rsidR="005F4A7E" w:rsidRPr="002029AF" w:rsidRDefault="005F4A7E" w:rsidP="00130D1C">
            <w:pPr>
              <w:pStyle w:val="ARfintablebodyrightbold"/>
            </w:pPr>
            <w:r w:rsidRPr="00E741AD">
              <w:t>(5.2)</w:t>
            </w:r>
          </w:p>
        </w:tc>
      </w:tr>
      <w:tr w:rsidR="005F4A7E" w:rsidRPr="002029AF" w14:paraId="5624C672" w14:textId="77777777" w:rsidTr="00130D1C">
        <w:trPr>
          <w:trHeight w:val="198"/>
        </w:trPr>
        <w:tc>
          <w:tcPr>
            <w:tcW w:w="6409" w:type="dxa"/>
            <w:hideMark/>
          </w:tcPr>
          <w:p w14:paraId="2DF30648" w14:textId="77777777" w:rsidR="005F4A7E" w:rsidRPr="002029AF" w:rsidRDefault="005F4A7E" w:rsidP="00130D1C">
            <w:pPr>
              <w:pStyle w:val="ARfintablebodybold"/>
            </w:pPr>
            <w:r w:rsidRPr="00E741AD">
              <w:t>Closing balance</w:t>
            </w:r>
          </w:p>
        </w:tc>
        <w:tc>
          <w:tcPr>
            <w:tcW w:w="1610" w:type="dxa"/>
            <w:noWrap/>
            <w:hideMark/>
          </w:tcPr>
          <w:p w14:paraId="5F44C99A" w14:textId="77777777" w:rsidR="005F4A7E" w:rsidRPr="002029AF" w:rsidRDefault="005F4A7E" w:rsidP="00130D1C">
            <w:pPr>
              <w:pStyle w:val="ARfintablebodyrightbold"/>
            </w:pPr>
            <w:r w:rsidRPr="00E741AD">
              <w:t>515.5</w:t>
            </w:r>
          </w:p>
        </w:tc>
        <w:tc>
          <w:tcPr>
            <w:tcW w:w="1610" w:type="dxa"/>
            <w:noWrap/>
            <w:hideMark/>
          </w:tcPr>
          <w:p w14:paraId="6CF703CA" w14:textId="77777777" w:rsidR="005F4A7E" w:rsidRPr="002029AF" w:rsidRDefault="005F4A7E" w:rsidP="00130D1C">
            <w:pPr>
              <w:pStyle w:val="ARfintablebodyrightbold"/>
            </w:pPr>
            <w:r w:rsidRPr="00E741AD">
              <w:t>703.6</w:t>
            </w:r>
          </w:p>
        </w:tc>
        <w:tc>
          <w:tcPr>
            <w:tcW w:w="1610" w:type="dxa"/>
            <w:noWrap/>
            <w:hideMark/>
          </w:tcPr>
          <w:p w14:paraId="5B595D55" w14:textId="77777777" w:rsidR="005F4A7E" w:rsidRPr="002029AF" w:rsidRDefault="005F4A7E" w:rsidP="00130D1C">
            <w:pPr>
              <w:pStyle w:val="ARfintablebodyrightbold"/>
            </w:pPr>
            <w:r w:rsidRPr="00E741AD">
              <w:t>7.6</w:t>
            </w:r>
          </w:p>
        </w:tc>
        <w:tc>
          <w:tcPr>
            <w:tcW w:w="1610" w:type="dxa"/>
            <w:noWrap/>
            <w:hideMark/>
          </w:tcPr>
          <w:p w14:paraId="0E5E76F3" w14:textId="77777777" w:rsidR="005F4A7E" w:rsidRPr="002029AF" w:rsidRDefault="005F4A7E" w:rsidP="00130D1C">
            <w:pPr>
              <w:pStyle w:val="ARfintablebodyrightbold"/>
            </w:pPr>
            <w:r w:rsidRPr="00E741AD">
              <w:t>0.4</w:t>
            </w:r>
          </w:p>
        </w:tc>
        <w:tc>
          <w:tcPr>
            <w:tcW w:w="1610" w:type="dxa"/>
            <w:noWrap/>
            <w:hideMark/>
          </w:tcPr>
          <w:p w14:paraId="5905FF6C" w14:textId="77777777" w:rsidR="005F4A7E" w:rsidRPr="002029AF" w:rsidRDefault="005F4A7E" w:rsidP="00130D1C">
            <w:pPr>
              <w:pStyle w:val="ARfintablebodyrightbold"/>
            </w:pPr>
            <w:r w:rsidRPr="00E741AD">
              <w:t>1,227.2</w:t>
            </w:r>
          </w:p>
        </w:tc>
      </w:tr>
    </w:tbl>
    <w:p w14:paraId="5BDDF90D" w14:textId="77777777" w:rsidR="005F4A7E" w:rsidRPr="002029AF" w:rsidRDefault="005F4A7E" w:rsidP="00087B91">
      <w:pPr>
        <w:pStyle w:val="ARfinbody"/>
      </w:pPr>
    </w:p>
    <w:p w14:paraId="6DA8484E" w14:textId="77777777" w:rsidR="005F4A7E" w:rsidRPr="002029AF" w:rsidRDefault="005F4A7E" w:rsidP="00087B91">
      <w:pPr>
        <w:pStyle w:val="ARfinbody"/>
        <w:sectPr w:rsidR="005F4A7E" w:rsidRPr="002029AF" w:rsidSect="00130D1C">
          <w:footerReference w:type="even" r:id="rId142"/>
          <w:footnotePr>
            <w:numFmt w:val="lowerLetter"/>
            <w:numRestart w:val="eachPage"/>
          </w:footnotePr>
          <w:pgSz w:w="16838" w:h="11906" w:orient="landscape" w:code="9"/>
          <w:pgMar w:top="1134" w:right="1531" w:bottom="1134" w:left="851" w:header="510" w:footer="340" w:gutter="0"/>
          <w:cols w:space="708"/>
          <w:docGrid w:linePitch="360"/>
        </w:sectPr>
      </w:pPr>
    </w:p>
    <w:p w14:paraId="6BEAB758" w14:textId="77777777" w:rsidR="005F4A7E" w:rsidRPr="002029AF" w:rsidRDefault="005F4A7E" w:rsidP="00087B91">
      <w:pPr>
        <w:pStyle w:val="Heading6"/>
        <w:spacing w:before="0"/>
      </w:pPr>
      <w:bookmarkStart w:id="1038" w:name="_Toc85121542"/>
      <w:r>
        <w:lastRenderedPageBreak/>
        <w:t>Description of significant unobservable inputs to Level 3 valuations</w:t>
      </w:r>
      <w:bookmarkEnd w:id="1038"/>
    </w:p>
    <w:tbl>
      <w:tblPr>
        <w:tblStyle w:val="TableGrid"/>
        <w:tblW w:w="9639" w:type="dxa"/>
        <w:tblLayout w:type="fixed"/>
        <w:tblLook w:val="06A0" w:firstRow="1" w:lastRow="0" w:firstColumn="1" w:lastColumn="0" w:noHBand="1" w:noVBand="1"/>
      </w:tblPr>
      <w:tblGrid>
        <w:gridCol w:w="2495"/>
        <w:gridCol w:w="2948"/>
        <w:gridCol w:w="4196"/>
      </w:tblGrid>
      <w:tr w:rsidR="005F4A7E" w:rsidRPr="002029AF" w14:paraId="746056C9"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2495" w:type="dxa"/>
            <w:tcBorders>
              <w:bottom w:val="single" w:sz="4" w:space="0" w:color="auto"/>
            </w:tcBorders>
          </w:tcPr>
          <w:p w14:paraId="26889119" w14:textId="77777777" w:rsidR="005F4A7E" w:rsidRPr="002029AF" w:rsidRDefault="005F4A7E" w:rsidP="00860E95">
            <w:pPr>
              <w:pStyle w:val="ARfintablecolhead"/>
            </w:pPr>
          </w:p>
        </w:tc>
        <w:tc>
          <w:tcPr>
            <w:tcW w:w="2948" w:type="dxa"/>
            <w:tcBorders>
              <w:bottom w:val="single" w:sz="4" w:space="0" w:color="auto"/>
            </w:tcBorders>
          </w:tcPr>
          <w:p w14:paraId="603335BC" w14:textId="77777777" w:rsidR="005F4A7E" w:rsidRPr="002029AF" w:rsidRDefault="005F4A7E" w:rsidP="00860E95">
            <w:pPr>
              <w:pStyle w:val="ARfintablecolhead"/>
            </w:pPr>
            <w:r w:rsidRPr="002029AF">
              <w:t>Valuation technique</w:t>
            </w:r>
          </w:p>
        </w:tc>
        <w:tc>
          <w:tcPr>
            <w:tcW w:w="4196" w:type="dxa"/>
            <w:tcBorders>
              <w:bottom w:val="single" w:sz="4" w:space="0" w:color="auto"/>
            </w:tcBorders>
          </w:tcPr>
          <w:p w14:paraId="27A15C58" w14:textId="77777777" w:rsidR="005F4A7E" w:rsidRPr="002029AF" w:rsidRDefault="005F4A7E" w:rsidP="00860E95">
            <w:pPr>
              <w:pStyle w:val="ARfintablecolhead"/>
            </w:pPr>
            <w:r w:rsidRPr="002029AF">
              <w:t>Significant unobservable inputs</w:t>
            </w:r>
          </w:p>
        </w:tc>
      </w:tr>
      <w:tr w:rsidR="005F4A7E" w:rsidRPr="002029AF" w14:paraId="43BE7AEE" w14:textId="77777777" w:rsidTr="00860E95">
        <w:tc>
          <w:tcPr>
            <w:tcW w:w="2495" w:type="dxa"/>
            <w:tcBorders>
              <w:top w:val="single" w:sz="4" w:space="0" w:color="auto"/>
              <w:bottom w:val="single" w:sz="4" w:space="0" w:color="A6A6A6"/>
            </w:tcBorders>
          </w:tcPr>
          <w:p w14:paraId="2EEE4D6A" w14:textId="77777777" w:rsidR="005F4A7E" w:rsidRPr="002029AF" w:rsidRDefault="005F4A7E" w:rsidP="00130D1C">
            <w:pPr>
              <w:pStyle w:val="ARfintablebodybold"/>
              <w:rPr>
                <w:rStyle w:val="Strong"/>
                <w:bCs/>
              </w:rPr>
            </w:pPr>
            <w:r w:rsidRPr="009E39F4">
              <w:t>Non-specialised land</w:t>
            </w:r>
          </w:p>
        </w:tc>
        <w:tc>
          <w:tcPr>
            <w:tcW w:w="2948" w:type="dxa"/>
            <w:tcBorders>
              <w:top w:val="single" w:sz="4" w:space="0" w:color="auto"/>
              <w:bottom w:val="single" w:sz="4" w:space="0" w:color="A6A6A6"/>
            </w:tcBorders>
          </w:tcPr>
          <w:p w14:paraId="071CA0AC" w14:textId="77777777" w:rsidR="005F4A7E" w:rsidRPr="002029AF" w:rsidRDefault="005F4A7E" w:rsidP="00130D1C">
            <w:pPr>
              <w:pStyle w:val="ARfintablebody"/>
            </w:pPr>
            <w:r w:rsidRPr="009E39F4">
              <w:t>Market approach</w:t>
            </w:r>
          </w:p>
        </w:tc>
        <w:tc>
          <w:tcPr>
            <w:tcW w:w="4196" w:type="dxa"/>
            <w:tcBorders>
              <w:top w:val="single" w:sz="4" w:space="0" w:color="auto"/>
              <w:bottom w:val="single" w:sz="4" w:space="0" w:color="A6A6A6"/>
            </w:tcBorders>
          </w:tcPr>
          <w:p w14:paraId="704C8CB2" w14:textId="77777777" w:rsidR="005F4A7E" w:rsidRPr="002029AF" w:rsidRDefault="005F4A7E" w:rsidP="00130D1C">
            <w:pPr>
              <w:pStyle w:val="ARfintablebody"/>
            </w:pPr>
            <w:r w:rsidRPr="009E39F4">
              <w:t>Not applicable</w:t>
            </w:r>
          </w:p>
        </w:tc>
      </w:tr>
      <w:tr w:rsidR="005F4A7E" w:rsidRPr="002029AF" w14:paraId="25233383" w14:textId="77777777" w:rsidTr="00860E95">
        <w:tc>
          <w:tcPr>
            <w:tcW w:w="2495" w:type="dxa"/>
            <w:tcBorders>
              <w:top w:val="single" w:sz="4" w:space="0" w:color="A6A6A6"/>
              <w:bottom w:val="single" w:sz="4" w:space="0" w:color="A6A6A6"/>
            </w:tcBorders>
          </w:tcPr>
          <w:p w14:paraId="7D7ED672" w14:textId="77777777" w:rsidR="005F4A7E" w:rsidRPr="002029AF" w:rsidRDefault="005F4A7E" w:rsidP="00130D1C">
            <w:pPr>
              <w:pStyle w:val="ARfintablebodybold"/>
              <w:rPr>
                <w:rStyle w:val="Strong"/>
                <w:bCs/>
              </w:rPr>
            </w:pPr>
            <w:r w:rsidRPr="009E39F4">
              <w:t>Specialised land</w:t>
            </w:r>
          </w:p>
        </w:tc>
        <w:tc>
          <w:tcPr>
            <w:tcW w:w="2948" w:type="dxa"/>
            <w:tcBorders>
              <w:top w:val="single" w:sz="4" w:space="0" w:color="A6A6A6"/>
              <w:bottom w:val="single" w:sz="4" w:space="0" w:color="A6A6A6"/>
            </w:tcBorders>
          </w:tcPr>
          <w:p w14:paraId="05F5D964" w14:textId="77777777" w:rsidR="005F4A7E" w:rsidRPr="002029AF" w:rsidRDefault="005F4A7E" w:rsidP="00130D1C">
            <w:pPr>
              <w:pStyle w:val="ARfintablebody"/>
            </w:pPr>
            <w:r w:rsidRPr="009E39F4">
              <w:t>Market approach</w:t>
            </w:r>
          </w:p>
        </w:tc>
        <w:tc>
          <w:tcPr>
            <w:tcW w:w="4196" w:type="dxa"/>
            <w:tcBorders>
              <w:top w:val="single" w:sz="4" w:space="0" w:color="A6A6A6"/>
              <w:bottom w:val="single" w:sz="4" w:space="0" w:color="A6A6A6"/>
            </w:tcBorders>
          </w:tcPr>
          <w:p w14:paraId="43A17C1D" w14:textId="77777777" w:rsidR="005F4A7E" w:rsidRPr="002029AF" w:rsidRDefault="005F4A7E" w:rsidP="00130D1C">
            <w:pPr>
              <w:pStyle w:val="ARfintablebody"/>
            </w:pPr>
            <w:r w:rsidRPr="00230DAB">
              <w:t>Community service obligation (CSO)</w:t>
            </w:r>
            <w:r w:rsidRPr="009E39F4">
              <w:t xml:space="preserve"> adjustment (rate 10–40%)</w:t>
            </w:r>
          </w:p>
        </w:tc>
      </w:tr>
      <w:tr w:rsidR="005F4A7E" w:rsidRPr="002029AF" w14:paraId="5B18DEA4" w14:textId="77777777" w:rsidTr="00860E95">
        <w:tc>
          <w:tcPr>
            <w:tcW w:w="2495" w:type="dxa"/>
            <w:tcBorders>
              <w:top w:val="single" w:sz="4" w:space="0" w:color="A6A6A6"/>
              <w:bottom w:val="single" w:sz="4" w:space="0" w:color="A6A6A6"/>
            </w:tcBorders>
          </w:tcPr>
          <w:p w14:paraId="527BED4C" w14:textId="77777777" w:rsidR="005F4A7E" w:rsidRPr="002029AF" w:rsidRDefault="005F4A7E" w:rsidP="00130D1C">
            <w:pPr>
              <w:pStyle w:val="ARfintablebodybold"/>
              <w:rPr>
                <w:rStyle w:val="Strong"/>
                <w:bCs/>
              </w:rPr>
            </w:pPr>
            <w:r w:rsidRPr="009E39F4">
              <w:t>Non-specialised buildings</w:t>
            </w:r>
          </w:p>
        </w:tc>
        <w:tc>
          <w:tcPr>
            <w:tcW w:w="2948" w:type="dxa"/>
            <w:tcBorders>
              <w:top w:val="single" w:sz="4" w:space="0" w:color="A6A6A6"/>
              <w:bottom w:val="single" w:sz="4" w:space="0" w:color="A6A6A6"/>
            </w:tcBorders>
          </w:tcPr>
          <w:p w14:paraId="774B6C1A" w14:textId="77777777" w:rsidR="005F4A7E" w:rsidRPr="002029AF" w:rsidRDefault="005F4A7E" w:rsidP="00130D1C">
            <w:pPr>
              <w:pStyle w:val="ARfintablebody"/>
            </w:pPr>
            <w:r w:rsidRPr="009E39F4">
              <w:t>Market approach</w:t>
            </w:r>
          </w:p>
        </w:tc>
        <w:tc>
          <w:tcPr>
            <w:tcW w:w="4196" w:type="dxa"/>
            <w:tcBorders>
              <w:top w:val="single" w:sz="4" w:space="0" w:color="A6A6A6"/>
              <w:bottom w:val="single" w:sz="4" w:space="0" w:color="A6A6A6"/>
            </w:tcBorders>
          </w:tcPr>
          <w:p w14:paraId="237F0613" w14:textId="77777777" w:rsidR="005F4A7E" w:rsidRPr="002029AF" w:rsidRDefault="005F4A7E" w:rsidP="00130D1C">
            <w:pPr>
              <w:pStyle w:val="ARfintablebody"/>
            </w:pPr>
            <w:r w:rsidRPr="009E39F4">
              <w:t>Not applicable</w:t>
            </w:r>
          </w:p>
        </w:tc>
      </w:tr>
      <w:tr w:rsidR="005F4A7E" w:rsidRPr="002029AF" w14:paraId="0C643B87" w14:textId="77777777" w:rsidTr="00860E95">
        <w:tc>
          <w:tcPr>
            <w:tcW w:w="2495" w:type="dxa"/>
            <w:tcBorders>
              <w:top w:val="single" w:sz="4" w:space="0" w:color="A6A6A6"/>
              <w:bottom w:val="single" w:sz="4" w:space="0" w:color="A6A6A6"/>
            </w:tcBorders>
          </w:tcPr>
          <w:p w14:paraId="64222E51" w14:textId="77777777" w:rsidR="005F4A7E" w:rsidRPr="002029AF" w:rsidRDefault="005F4A7E" w:rsidP="00130D1C">
            <w:pPr>
              <w:pStyle w:val="ARfintablebodybold"/>
              <w:rPr>
                <w:rStyle w:val="Strong"/>
                <w:bCs/>
              </w:rPr>
            </w:pPr>
            <w:r w:rsidRPr="009E39F4">
              <w:t>Specialised buildings</w:t>
            </w:r>
          </w:p>
        </w:tc>
        <w:tc>
          <w:tcPr>
            <w:tcW w:w="2948" w:type="dxa"/>
            <w:tcBorders>
              <w:top w:val="single" w:sz="4" w:space="0" w:color="A6A6A6"/>
              <w:bottom w:val="single" w:sz="4" w:space="0" w:color="A6A6A6"/>
            </w:tcBorders>
          </w:tcPr>
          <w:p w14:paraId="0E57B31E" w14:textId="77777777" w:rsidR="005F4A7E" w:rsidRPr="002029AF" w:rsidRDefault="005F4A7E" w:rsidP="00130D1C">
            <w:pPr>
              <w:pStyle w:val="ARfintablebody"/>
            </w:pPr>
            <w:r w:rsidRPr="009E39F4">
              <w:t>Current replacement cost</w:t>
            </w:r>
          </w:p>
        </w:tc>
        <w:tc>
          <w:tcPr>
            <w:tcW w:w="4196" w:type="dxa"/>
            <w:tcBorders>
              <w:top w:val="single" w:sz="4" w:space="0" w:color="A6A6A6"/>
              <w:bottom w:val="single" w:sz="4" w:space="0" w:color="A6A6A6"/>
            </w:tcBorders>
          </w:tcPr>
          <w:p w14:paraId="557F49A2" w14:textId="77777777" w:rsidR="005F4A7E" w:rsidRDefault="005F4A7E" w:rsidP="00130D1C">
            <w:pPr>
              <w:pStyle w:val="ARfintablebody"/>
            </w:pPr>
            <w:r w:rsidRPr="009E39F4">
              <w:t>Direct cost per square metre</w:t>
            </w:r>
          </w:p>
          <w:p w14:paraId="0F38AD7D" w14:textId="77777777" w:rsidR="005F4A7E" w:rsidRPr="002029AF" w:rsidRDefault="005F4A7E" w:rsidP="00130D1C">
            <w:pPr>
              <w:pStyle w:val="ARfintablebody"/>
            </w:pPr>
            <w:r w:rsidRPr="009E39F4">
              <w:t>Useful life of specialised buildings</w:t>
            </w:r>
          </w:p>
        </w:tc>
      </w:tr>
      <w:tr w:rsidR="005F4A7E" w:rsidRPr="002029AF" w14:paraId="07548424" w14:textId="77777777" w:rsidTr="00860E95">
        <w:tc>
          <w:tcPr>
            <w:tcW w:w="2495" w:type="dxa"/>
            <w:tcBorders>
              <w:top w:val="single" w:sz="4" w:space="0" w:color="A6A6A6"/>
              <w:bottom w:val="single" w:sz="4" w:space="0" w:color="A6A6A6"/>
            </w:tcBorders>
          </w:tcPr>
          <w:p w14:paraId="7C4C5679" w14:textId="77777777" w:rsidR="005F4A7E" w:rsidRPr="002029AF" w:rsidRDefault="005F4A7E" w:rsidP="00130D1C">
            <w:pPr>
              <w:pStyle w:val="ARfintablebodybold"/>
              <w:rPr>
                <w:rStyle w:val="Strong"/>
                <w:bCs/>
              </w:rPr>
            </w:pPr>
            <w:r w:rsidRPr="009E39F4">
              <w:t>Plant and equipment</w:t>
            </w:r>
          </w:p>
        </w:tc>
        <w:tc>
          <w:tcPr>
            <w:tcW w:w="2948" w:type="dxa"/>
            <w:tcBorders>
              <w:top w:val="single" w:sz="4" w:space="0" w:color="A6A6A6"/>
              <w:bottom w:val="single" w:sz="4" w:space="0" w:color="A6A6A6"/>
            </w:tcBorders>
          </w:tcPr>
          <w:p w14:paraId="179E5526" w14:textId="77777777" w:rsidR="005F4A7E" w:rsidRPr="002029AF" w:rsidRDefault="005F4A7E" w:rsidP="00130D1C">
            <w:pPr>
              <w:pStyle w:val="ARfintablebody"/>
            </w:pPr>
            <w:r w:rsidRPr="009E39F4">
              <w:t>Current replacement cost</w:t>
            </w:r>
          </w:p>
        </w:tc>
        <w:tc>
          <w:tcPr>
            <w:tcW w:w="4196" w:type="dxa"/>
            <w:tcBorders>
              <w:top w:val="single" w:sz="4" w:space="0" w:color="A6A6A6"/>
              <w:bottom w:val="single" w:sz="4" w:space="0" w:color="A6A6A6"/>
            </w:tcBorders>
          </w:tcPr>
          <w:p w14:paraId="30354994" w14:textId="77777777" w:rsidR="005F4A7E" w:rsidRPr="002029AF" w:rsidRDefault="005F4A7E" w:rsidP="00130D1C">
            <w:pPr>
              <w:pStyle w:val="ARfintablebody"/>
            </w:pPr>
            <w:r w:rsidRPr="009E39F4">
              <w:t>Useful life of equipment</w:t>
            </w:r>
          </w:p>
        </w:tc>
      </w:tr>
      <w:tr w:rsidR="005F4A7E" w:rsidRPr="002029AF" w14:paraId="1CCE658C" w14:textId="77777777" w:rsidTr="00860E95">
        <w:tc>
          <w:tcPr>
            <w:tcW w:w="2495" w:type="dxa"/>
            <w:tcBorders>
              <w:top w:val="single" w:sz="4" w:space="0" w:color="A6A6A6"/>
            </w:tcBorders>
          </w:tcPr>
          <w:p w14:paraId="505E1698" w14:textId="77777777" w:rsidR="005F4A7E" w:rsidRPr="002029AF" w:rsidRDefault="005F4A7E" w:rsidP="00130D1C">
            <w:pPr>
              <w:pStyle w:val="ARfintablebodybold"/>
              <w:rPr>
                <w:rStyle w:val="Strong"/>
                <w:bCs/>
              </w:rPr>
            </w:pPr>
            <w:r w:rsidRPr="009E39F4">
              <w:t>Vehicles</w:t>
            </w:r>
          </w:p>
        </w:tc>
        <w:tc>
          <w:tcPr>
            <w:tcW w:w="2948" w:type="dxa"/>
            <w:tcBorders>
              <w:top w:val="single" w:sz="4" w:space="0" w:color="A6A6A6"/>
            </w:tcBorders>
          </w:tcPr>
          <w:p w14:paraId="4495A3EE" w14:textId="77777777" w:rsidR="005F4A7E" w:rsidRPr="002029AF" w:rsidRDefault="005F4A7E" w:rsidP="00130D1C">
            <w:pPr>
              <w:pStyle w:val="ARfintablebody"/>
            </w:pPr>
            <w:r w:rsidRPr="009E39F4">
              <w:t>Current replacement cost</w:t>
            </w:r>
          </w:p>
        </w:tc>
        <w:tc>
          <w:tcPr>
            <w:tcW w:w="4196" w:type="dxa"/>
            <w:tcBorders>
              <w:top w:val="single" w:sz="4" w:space="0" w:color="A6A6A6"/>
            </w:tcBorders>
          </w:tcPr>
          <w:p w14:paraId="3BBEABB7" w14:textId="77777777" w:rsidR="005F4A7E" w:rsidRPr="002029AF" w:rsidRDefault="005F4A7E" w:rsidP="00130D1C">
            <w:pPr>
              <w:pStyle w:val="ARfintablebody"/>
            </w:pPr>
            <w:r w:rsidRPr="009E39F4">
              <w:t>Useful life of vehicles</w:t>
            </w:r>
          </w:p>
        </w:tc>
      </w:tr>
    </w:tbl>
    <w:p w14:paraId="351A6C13" w14:textId="77777777" w:rsidR="005F4A7E" w:rsidRDefault="005F4A7E" w:rsidP="00130D1C">
      <w:pPr>
        <w:pStyle w:val="ARfinbodyaftertable"/>
      </w:pPr>
      <w:r>
        <w:t>Significant unobservable inputs have remained unchanged since June 2020.</w:t>
      </w:r>
    </w:p>
    <w:p w14:paraId="51B0E1EE" w14:textId="77777777" w:rsidR="005F4A7E" w:rsidRDefault="005F4A7E" w:rsidP="00130D1C">
      <w:pPr>
        <w:pStyle w:val="Heading6"/>
      </w:pPr>
      <w:bookmarkStart w:id="1039" w:name="_Toc85121543"/>
      <w:r>
        <w:t>Non-financial physical assets classified as held for sale</w:t>
      </w:r>
      <w:bookmarkEnd w:id="1039"/>
    </w:p>
    <w:p w14:paraId="09D836D0" w14:textId="5ECC504B" w:rsidR="005F4A7E" w:rsidRDefault="005F4A7E" w:rsidP="00130D1C">
      <w:pPr>
        <w:pStyle w:val="ARfinbodylargespace"/>
        <w:rPr>
          <w:b/>
          <w:bCs/>
        </w:rPr>
      </w:pPr>
      <w:r>
        <w:t>The following table provides the fair value measurement hierarchy of the department</w:t>
      </w:r>
      <w:r w:rsidR="007D145B">
        <w:t>’</w:t>
      </w:r>
      <w:r>
        <w:t>s non-financial physical assets held for sale.</w:t>
      </w:r>
    </w:p>
    <w:tbl>
      <w:tblPr>
        <w:tblStyle w:val="TableGrid"/>
        <w:tblW w:w="9637" w:type="dxa"/>
        <w:tblLayout w:type="fixed"/>
        <w:tblLook w:val="06A0" w:firstRow="1" w:lastRow="0" w:firstColumn="1" w:lastColumn="0" w:noHBand="1" w:noVBand="1"/>
      </w:tblPr>
      <w:tblGrid>
        <w:gridCol w:w="3968"/>
        <w:gridCol w:w="1418"/>
        <w:gridCol w:w="1417"/>
        <w:gridCol w:w="1417"/>
        <w:gridCol w:w="1417"/>
      </w:tblGrid>
      <w:tr w:rsidR="005F4A7E" w:rsidRPr="002029AF" w14:paraId="21EE5E64"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3968" w:type="dxa"/>
            <w:vMerge w:val="restart"/>
            <w:hideMark/>
          </w:tcPr>
          <w:p w14:paraId="46BB8AC0" w14:textId="77777777" w:rsidR="005F4A7E" w:rsidRPr="002029AF" w:rsidRDefault="005F4A7E" w:rsidP="00860E95">
            <w:pPr>
              <w:pStyle w:val="ARfintablecolhead"/>
            </w:pPr>
            <w:r>
              <w:t>2021</w:t>
            </w:r>
          </w:p>
        </w:tc>
        <w:tc>
          <w:tcPr>
            <w:tcW w:w="1418" w:type="dxa"/>
            <w:vMerge w:val="restart"/>
            <w:hideMark/>
          </w:tcPr>
          <w:p w14:paraId="23C6C2A4" w14:textId="77777777" w:rsidR="005F4A7E" w:rsidRPr="002029AF" w:rsidRDefault="005F4A7E" w:rsidP="00860E95">
            <w:pPr>
              <w:pStyle w:val="ARfintablecolheadright"/>
            </w:pPr>
            <w:r w:rsidRPr="002029AF">
              <w:t>Carrying amount</w:t>
            </w:r>
          </w:p>
          <w:p w14:paraId="1B25CDB8" w14:textId="77777777" w:rsidR="005F4A7E" w:rsidRPr="002029AF" w:rsidRDefault="005F4A7E" w:rsidP="00860E95">
            <w:pPr>
              <w:pStyle w:val="ARfintablecolheadright"/>
            </w:pPr>
            <w:r w:rsidRPr="002029AF">
              <w:t>$M</w:t>
            </w:r>
          </w:p>
        </w:tc>
        <w:tc>
          <w:tcPr>
            <w:tcW w:w="4251" w:type="dxa"/>
            <w:gridSpan w:val="3"/>
            <w:hideMark/>
          </w:tcPr>
          <w:p w14:paraId="1451D1E8" w14:textId="77777777" w:rsidR="005F4A7E" w:rsidRPr="002029AF" w:rsidRDefault="005F4A7E" w:rsidP="00860E95">
            <w:pPr>
              <w:pStyle w:val="ARfintablecolheadcentre"/>
            </w:pPr>
            <w:r w:rsidRPr="002029AF">
              <w:t xml:space="preserve">Fair value measurement at the end </w:t>
            </w:r>
            <w:r w:rsidRPr="002029AF">
              <w:br/>
              <w:t>of reporting period using:</w:t>
            </w:r>
          </w:p>
        </w:tc>
      </w:tr>
      <w:tr w:rsidR="005F4A7E" w:rsidRPr="002029AF" w14:paraId="7B33D2FD" w14:textId="77777777" w:rsidTr="00FC2F9E">
        <w:trPr>
          <w:cnfStyle w:val="100000000000" w:firstRow="1" w:lastRow="0" w:firstColumn="0" w:lastColumn="0" w:oddVBand="0" w:evenVBand="0" w:oddHBand="0" w:evenHBand="0" w:firstRowFirstColumn="0" w:firstRowLastColumn="0" w:lastRowFirstColumn="0" w:lastRowLastColumn="0"/>
          <w:trHeight w:val="255"/>
          <w:tblHeader/>
        </w:trPr>
        <w:tc>
          <w:tcPr>
            <w:tcW w:w="3968" w:type="dxa"/>
            <w:vMerge/>
            <w:tcBorders>
              <w:bottom w:val="single" w:sz="4" w:space="0" w:color="auto"/>
            </w:tcBorders>
            <w:hideMark/>
          </w:tcPr>
          <w:p w14:paraId="50A7E324" w14:textId="77777777" w:rsidR="005F4A7E" w:rsidRPr="002029AF" w:rsidRDefault="005F4A7E" w:rsidP="00860E95">
            <w:pPr>
              <w:pStyle w:val="ARfintablecolhead"/>
            </w:pPr>
          </w:p>
        </w:tc>
        <w:tc>
          <w:tcPr>
            <w:tcW w:w="1418" w:type="dxa"/>
            <w:vMerge/>
            <w:tcBorders>
              <w:bottom w:val="single" w:sz="4" w:space="0" w:color="auto"/>
            </w:tcBorders>
            <w:hideMark/>
          </w:tcPr>
          <w:p w14:paraId="53C1BA7D" w14:textId="77777777" w:rsidR="005F4A7E" w:rsidRPr="002029AF" w:rsidRDefault="005F4A7E" w:rsidP="00860E95">
            <w:pPr>
              <w:pStyle w:val="ARfintablecolheadright"/>
            </w:pPr>
          </w:p>
        </w:tc>
        <w:tc>
          <w:tcPr>
            <w:tcW w:w="1417" w:type="dxa"/>
            <w:tcBorders>
              <w:bottom w:val="single" w:sz="4" w:space="0" w:color="auto"/>
            </w:tcBorders>
            <w:hideMark/>
          </w:tcPr>
          <w:p w14:paraId="4A1C2227" w14:textId="77777777" w:rsidR="005F4A7E" w:rsidRPr="002029AF" w:rsidRDefault="005F4A7E" w:rsidP="00860E95">
            <w:pPr>
              <w:pStyle w:val="ARfintablecolheadright"/>
            </w:pPr>
            <w:r w:rsidRPr="002029AF">
              <w:t xml:space="preserve">Level 1 </w:t>
            </w:r>
            <w:r w:rsidRPr="002029AF">
              <w:rPr>
                <w:rStyle w:val="Superscript"/>
              </w:rPr>
              <w:t>(i)</w:t>
            </w:r>
          </w:p>
          <w:p w14:paraId="34571CB8" w14:textId="77777777" w:rsidR="005F4A7E" w:rsidRPr="002029AF" w:rsidRDefault="005F4A7E" w:rsidP="00860E95">
            <w:pPr>
              <w:pStyle w:val="ARfintablecolheadright"/>
            </w:pPr>
            <w:r w:rsidRPr="002029AF">
              <w:t>$M</w:t>
            </w:r>
          </w:p>
        </w:tc>
        <w:tc>
          <w:tcPr>
            <w:tcW w:w="1417" w:type="dxa"/>
            <w:tcBorders>
              <w:bottom w:val="single" w:sz="4" w:space="0" w:color="auto"/>
            </w:tcBorders>
            <w:hideMark/>
          </w:tcPr>
          <w:p w14:paraId="0CF57D90" w14:textId="77777777" w:rsidR="005F4A7E" w:rsidRPr="002029AF" w:rsidRDefault="005F4A7E" w:rsidP="00860E95">
            <w:pPr>
              <w:pStyle w:val="ARfintablecolheadright"/>
            </w:pPr>
            <w:r w:rsidRPr="002029AF">
              <w:t xml:space="preserve">Level 2 </w:t>
            </w:r>
            <w:r w:rsidRPr="002029AF">
              <w:rPr>
                <w:rStyle w:val="Superscript"/>
              </w:rPr>
              <w:t>(i)</w:t>
            </w:r>
          </w:p>
          <w:p w14:paraId="40DEB210" w14:textId="77777777" w:rsidR="005F4A7E" w:rsidRPr="002029AF" w:rsidRDefault="005F4A7E" w:rsidP="00860E95">
            <w:pPr>
              <w:pStyle w:val="ARfintablecolheadright"/>
            </w:pPr>
            <w:r w:rsidRPr="002029AF">
              <w:t>$M</w:t>
            </w:r>
          </w:p>
        </w:tc>
        <w:tc>
          <w:tcPr>
            <w:tcW w:w="1417" w:type="dxa"/>
            <w:tcBorders>
              <w:bottom w:val="single" w:sz="4" w:space="0" w:color="auto"/>
            </w:tcBorders>
            <w:hideMark/>
          </w:tcPr>
          <w:p w14:paraId="3A61E4DB" w14:textId="77777777" w:rsidR="005F4A7E" w:rsidRPr="002029AF" w:rsidRDefault="005F4A7E" w:rsidP="00860E95">
            <w:pPr>
              <w:pStyle w:val="ARfintablecolheadright"/>
            </w:pPr>
            <w:r w:rsidRPr="002029AF">
              <w:t xml:space="preserve">Level 3 </w:t>
            </w:r>
            <w:r w:rsidRPr="002029AF">
              <w:rPr>
                <w:rStyle w:val="Superscript"/>
              </w:rPr>
              <w:t>(i)</w:t>
            </w:r>
          </w:p>
          <w:p w14:paraId="5895859E" w14:textId="77777777" w:rsidR="005F4A7E" w:rsidRPr="002029AF" w:rsidRDefault="005F4A7E" w:rsidP="00860E95">
            <w:pPr>
              <w:pStyle w:val="ARfintablecolheadright"/>
            </w:pPr>
            <w:r w:rsidRPr="002029AF">
              <w:t>$M</w:t>
            </w:r>
          </w:p>
        </w:tc>
      </w:tr>
      <w:tr w:rsidR="005F4A7E" w:rsidRPr="002029AF" w14:paraId="3770696C" w14:textId="77777777" w:rsidTr="00860E95">
        <w:trPr>
          <w:trHeight w:val="255"/>
        </w:trPr>
        <w:tc>
          <w:tcPr>
            <w:tcW w:w="9637" w:type="dxa"/>
            <w:gridSpan w:val="5"/>
            <w:tcBorders>
              <w:top w:val="single" w:sz="4" w:space="0" w:color="auto"/>
              <w:bottom w:val="single" w:sz="4" w:space="0" w:color="A6A6A6"/>
            </w:tcBorders>
            <w:hideMark/>
          </w:tcPr>
          <w:p w14:paraId="0E3236E3" w14:textId="77777777" w:rsidR="005F4A7E" w:rsidRPr="002029AF" w:rsidRDefault="005F4A7E" w:rsidP="00130D1C">
            <w:pPr>
              <w:pStyle w:val="ARfintablebodybold"/>
            </w:pPr>
            <w:r w:rsidRPr="00CF08AB">
              <w:t>Land held for sale</w:t>
            </w:r>
          </w:p>
        </w:tc>
      </w:tr>
      <w:tr w:rsidR="005F4A7E" w:rsidRPr="002029AF" w14:paraId="1233B525" w14:textId="77777777" w:rsidTr="00860E95">
        <w:trPr>
          <w:trHeight w:val="255"/>
        </w:trPr>
        <w:tc>
          <w:tcPr>
            <w:tcW w:w="3968" w:type="dxa"/>
            <w:tcBorders>
              <w:top w:val="single" w:sz="4" w:space="0" w:color="A6A6A6"/>
            </w:tcBorders>
            <w:hideMark/>
          </w:tcPr>
          <w:p w14:paraId="6E892E98" w14:textId="77777777" w:rsidR="005F4A7E" w:rsidRPr="002029AF" w:rsidRDefault="005F4A7E" w:rsidP="00130D1C">
            <w:pPr>
              <w:pStyle w:val="ARfintablebody"/>
            </w:pPr>
            <w:r w:rsidRPr="00CF08AB">
              <w:t>Specialised land</w:t>
            </w:r>
          </w:p>
        </w:tc>
        <w:tc>
          <w:tcPr>
            <w:tcW w:w="1418" w:type="dxa"/>
            <w:tcBorders>
              <w:top w:val="single" w:sz="4" w:space="0" w:color="A6A6A6"/>
            </w:tcBorders>
            <w:noWrap/>
            <w:hideMark/>
          </w:tcPr>
          <w:p w14:paraId="1FCD7FAC" w14:textId="77777777" w:rsidR="005F4A7E" w:rsidRPr="002029AF" w:rsidRDefault="005F4A7E" w:rsidP="00130D1C">
            <w:pPr>
              <w:pStyle w:val="ARfintablebodyright"/>
            </w:pPr>
            <w:r w:rsidRPr="00CF08AB">
              <w:t>1.5</w:t>
            </w:r>
          </w:p>
        </w:tc>
        <w:tc>
          <w:tcPr>
            <w:tcW w:w="1417" w:type="dxa"/>
            <w:tcBorders>
              <w:top w:val="single" w:sz="4" w:space="0" w:color="A6A6A6"/>
            </w:tcBorders>
            <w:noWrap/>
            <w:hideMark/>
          </w:tcPr>
          <w:p w14:paraId="29A7A61A" w14:textId="77777777" w:rsidR="005F4A7E" w:rsidRPr="002029AF" w:rsidRDefault="005F4A7E" w:rsidP="00130D1C">
            <w:pPr>
              <w:pStyle w:val="ARfintablebodyright"/>
            </w:pPr>
            <w:r w:rsidRPr="00CF08AB">
              <w:t>–</w:t>
            </w:r>
          </w:p>
        </w:tc>
        <w:tc>
          <w:tcPr>
            <w:tcW w:w="1417" w:type="dxa"/>
            <w:tcBorders>
              <w:top w:val="single" w:sz="4" w:space="0" w:color="A6A6A6"/>
            </w:tcBorders>
            <w:noWrap/>
            <w:hideMark/>
          </w:tcPr>
          <w:p w14:paraId="1F9C0B43" w14:textId="77777777" w:rsidR="005F4A7E" w:rsidRPr="002029AF" w:rsidRDefault="005F4A7E" w:rsidP="00130D1C">
            <w:pPr>
              <w:pStyle w:val="ARfintablebodyright"/>
            </w:pPr>
            <w:r w:rsidRPr="00CF08AB">
              <w:t>1.5</w:t>
            </w:r>
          </w:p>
        </w:tc>
        <w:tc>
          <w:tcPr>
            <w:tcW w:w="1417" w:type="dxa"/>
            <w:tcBorders>
              <w:top w:val="single" w:sz="4" w:space="0" w:color="A6A6A6"/>
            </w:tcBorders>
            <w:noWrap/>
            <w:hideMark/>
          </w:tcPr>
          <w:p w14:paraId="4068DEAF" w14:textId="77777777" w:rsidR="005F4A7E" w:rsidRPr="002029AF" w:rsidRDefault="005F4A7E" w:rsidP="00130D1C">
            <w:pPr>
              <w:pStyle w:val="ARfintablebodyright"/>
            </w:pPr>
            <w:r w:rsidRPr="00CF08AB">
              <w:t>–</w:t>
            </w:r>
          </w:p>
        </w:tc>
      </w:tr>
      <w:tr w:rsidR="005F4A7E" w:rsidRPr="002029AF" w14:paraId="5DF97ACB" w14:textId="77777777" w:rsidTr="00860E95">
        <w:trPr>
          <w:trHeight w:val="255"/>
        </w:trPr>
        <w:tc>
          <w:tcPr>
            <w:tcW w:w="3968" w:type="dxa"/>
            <w:tcBorders>
              <w:bottom w:val="single" w:sz="4" w:space="0" w:color="auto"/>
            </w:tcBorders>
            <w:hideMark/>
          </w:tcPr>
          <w:p w14:paraId="64B9108D" w14:textId="77777777" w:rsidR="005F4A7E" w:rsidRPr="002029AF" w:rsidRDefault="005F4A7E" w:rsidP="00130D1C">
            <w:pPr>
              <w:pStyle w:val="ARfintablebodybold"/>
            </w:pPr>
            <w:r w:rsidRPr="00CF08AB">
              <w:t>Total land held for sale</w:t>
            </w:r>
          </w:p>
        </w:tc>
        <w:tc>
          <w:tcPr>
            <w:tcW w:w="1418" w:type="dxa"/>
            <w:tcBorders>
              <w:bottom w:val="single" w:sz="4" w:space="0" w:color="auto"/>
            </w:tcBorders>
            <w:noWrap/>
            <w:hideMark/>
          </w:tcPr>
          <w:p w14:paraId="2ABCCF56" w14:textId="77777777" w:rsidR="005F4A7E" w:rsidRPr="002029AF" w:rsidRDefault="005F4A7E" w:rsidP="00130D1C">
            <w:pPr>
              <w:pStyle w:val="ARfintablebodyrightbold"/>
            </w:pPr>
            <w:r w:rsidRPr="00CF08AB">
              <w:t>1.5</w:t>
            </w:r>
          </w:p>
        </w:tc>
        <w:tc>
          <w:tcPr>
            <w:tcW w:w="1417" w:type="dxa"/>
            <w:tcBorders>
              <w:bottom w:val="single" w:sz="4" w:space="0" w:color="auto"/>
            </w:tcBorders>
            <w:noWrap/>
            <w:hideMark/>
          </w:tcPr>
          <w:p w14:paraId="286ACF1D" w14:textId="77777777" w:rsidR="005F4A7E" w:rsidRPr="002029AF" w:rsidRDefault="005F4A7E" w:rsidP="00130D1C">
            <w:pPr>
              <w:pStyle w:val="ARfintablebodyrightbold"/>
            </w:pPr>
            <w:r w:rsidRPr="00CF08AB">
              <w:t>–</w:t>
            </w:r>
          </w:p>
        </w:tc>
        <w:tc>
          <w:tcPr>
            <w:tcW w:w="1417" w:type="dxa"/>
            <w:tcBorders>
              <w:bottom w:val="single" w:sz="4" w:space="0" w:color="auto"/>
            </w:tcBorders>
            <w:noWrap/>
            <w:hideMark/>
          </w:tcPr>
          <w:p w14:paraId="24986035" w14:textId="77777777" w:rsidR="005F4A7E" w:rsidRPr="002029AF" w:rsidRDefault="005F4A7E" w:rsidP="00130D1C">
            <w:pPr>
              <w:pStyle w:val="ARfintablebodyrightbold"/>
            </w:pPr>
            <w:r w:rsidRPr="00CF08AB">
              <w:t>1.5</w:t>
            </w:r>
          </w:p>
        </w:tc>
        <w:tc>
          <w:tcPr>
            <w:tcW w:w="1417" w:type="dxa"/>
            <w:tcBorders>
              <w:bottom w:val="single" w:sz="4" w:space="0" w:color="auto"/>
            </w:tcBorders>
            <w:noWrap/>
            <w:hideMark/>
          </w:tcPr>
          <w:p w14:paraId="04AF8E79" w14:textId="77777777" w:rsidR="005F4A7E" w:rsidRPr="002029AF" w:rsidRDefault="005F4A7E" w:rsidP="00130D1C">
            <w:pPr>
              <w:pStyle w:val="ARfintablebodyrightbold"/>
            </w:pPr>
            <w:r w:rsidRPr="00CF08AB">
              <w:t>–</w:t>
            </w:r>
          </w:p>
        </w:tc>
      </w:tr>
      <w:tr w:rsidR="005F4A7E" w:rsidRPr="002029AF" w14:paraId="642EA59C" w14:textId="77777777" w:rsidTr="00860E95">
        <w:trPr>
          <w:trHeight w:val="255"/>
        </w:trPr>
        <w:tc>
          <w:tcPr>
            <w:tcW w:w="9637" w:type="dxa"/>
            <w:gridSpan w:val="5"/>
            <w:tcBorders>
              <w:top w:val="single" w:sz="4" w:space="0" w:color="auto"/>
              <w:bottom w:val="single" w:sz="4" w:space="0" w:color="A6A6A6"/>
            </w:tcBorders>
            <w:hideMark/>
          </w:tcPr>
          <w:p w14:paraId="46E8987C" w14:textId="77777777" w:rsidR="005F4A7E" w:rsidRPr="002029AF" w:rsidRDefault="005F4A7E" w:rsidP="00130D1C">
            <w:pPr>
              <w:pStyle w:val="ARfintablebodybold"/>
            </w:pPr>
            <w:r w:rsidRPr="00CF08AB">
              <w:t>Buildings held for sale</w:t>
            </w:r>
          </w:p>
        </w:tc>
      </w:tr>
      <w:tr w:rsidR="005F4A7E" w:rsidRPr="002029AF" w14:paraId="478801CA" w14:textId="77777777" w:rsidTr="00860E95">
        <w:trPr>
          <w:trHeight w:val="255"/>
        </w:trPr>
        <w:tc>
          <w:tcPr>
            <w:tcW w:w="3968" w:type="dxa"/>
            <w:tcBorders>
              <w:top w:val="single" w:sz="4" w:space="0" w:color="A6A6A6"/>
            </w:tcBorders>
            <w:hideMark/>
          </w:tcPr>
          <w:p w14:paraId="6C944655" w14:textId="77777777" w:rsidR="005F4A7E" w:rsidRPr="002029AF" w:rsidRDefault="005F4A7E" w:rsidP="00130D1C">
            <w:pPr>
              <w:pStyle w:val="ARfintablebody"/>
            </w:pPr>
            <w:r w:rsidRPr="00CF08AB">
              <w:t>Specialised building</w:t>
            </w:r>
          </w:p>
        </w:tc>
        <w:tc>
          <w:tcPr>
            <w:tcW w:w="1418" w:type="dxa"/>
            <w:tcBorders>
              <w:top w:val="single" w:sz="4" w:space="0" w:color="A6A6A6"/>
            </w:tcBorders>
            <w:noWrap/>
            <w:hideMark/>
          </w:tcPr>
          <w:p w14:paraId="0F5B23F7" w14:textId="77777777" w:rsidR="005F4A7E" w:rsidRPr="002029AF" w:rsidRDefault="005F4A7E" w:rsidP="00130D1C">
            <w:pPr>
              <w:pStyle w:val="ARfintablebodyright"/>
            </w:pPr>
            <w:r w:rsidRPr="00CF08AB">
              <w:t>3.1</w:t>
            </w:r>
          </w:p>
        </w:tc>
        <w:tc>
          <w:tcPr>
            <w:tcW w:w="1417" w:type="dxa"/>
            <w:tcBorders>
              <w:top w:val="single" w:sz="4" w:space="0" w:color="A6A6A6"/>
            </w:tcBorders>
            <w:noWrap/>
            <w:hideMark/>
          </w:tcPr>
          <w:p w14:paraId="367F8296" w14:textId="77777777" w:rsidR="005F4A7E" w:rsidRPr="002029AF" w:rsidRDefault="005F4A7E" w:rsidP="00130D1C">
            <w:pPr>
              <w:pStyle w:val="ARfintablebodyright"/>
            </w:pPr>
            <w:r w:rsidRPr="00CF08AB">
              <w:t>–</w:t>
            </w:r>
          </w:p>
        </w:tc>
        <w:tc>
          <w:tcPr>
            <w:tcW w:w="1417" w:type="dxa"/>
            <w:tcBorders>
              <w:top w:val="single" w:sz="4" w:space="0" w:color="A6A6A6"/>
            </w:tcBorders>
            <w:noWrap/>
            <w:hideMark/>
          </w:tcPr>
          <w:p w14:paraId="54C195C0" w14:textId="77777777" w:rsidR="005F4A7E" w:rsidRPr="002029AF" w:rsidRDefault="005F4A7E" w:rsidP="00130D1C">
            <w:pPr>
              <w:pStyle w:val="ARfintablebodyright"/>
            </w:pPr>
            <w:r w:rsidRPr="00CF08AB">
              <w:t>3.1</w:t>
            </w:r>
          </w:p>
        </w:tc>
        <w:tc>
          <w:tcPr>
            <w:tcW w:w="1417" w:type="dxa"/>
            <w:tcBorders>
              <w:top w:val="single" w:sz="4" w:space="0" w:color="A6A6A6"/>
            </w:tcBorders>
            <w:noWrap/>
            <w:hideMark/>
          </w:tcPr>
          <w:p w14:paraId="219AB7C0" w14:textId="77777777" w:rsidR="005F4A7E" w:rsidRPr="002029AF" w:rsidRDefault="005F4A7E" w:rsidP="00130D1C">
            <w:pPr>
              <w:pStyle w:val="ARfintablebodyright"/>
            </w:pPr>
            <w:r w:rsidRPr="00CF08AB">
              <w:t>–</w:t>
            </w:r>
          </w:p>
        </w:tc>
      </w:tr>
      <w:tr w:rsidR="005F4A7E" w:rsidRPr="002029AF" w14:paraId="3E56DDF1" w14:textId="77777777" w:rsidTr="00860E95">
        <w:trPr>
          <w:trHeight w:val="255"/>
        </w:trPr>
        <w:tc>
          <w:tcPr>
            <w:tcW w:w="3968" w:type="dxa"/>
            <w:hideMark/>
          </w:tcPr>
          <w:p w14:paraId="47B96F56" w14:textId="77777777" w:rsidR="005F4A7E" w:rsidRPr="002029AF" w:rsidRDefault="005F4A7E" w:rsidP="00130D1C">
            <w:pPr>
              <w:pStyle w:val="ARfintablebodybold"/>
            </w:pPr>
            <w:r w:rsidRPr="00CF08AB">
              <w:t>Total buildings held for sale</w:t>
            </w:r>
          </w:p>
        </w:tc>
        <w:tc>
          <w:tcPr>
            <w:tcW w:w="1418" w:type="dxa"/>
            <w:noWrap/>
            <w:hideMark/>
          </w:tcPr>
          <w:p w14:paraId="2FF0FEA0" w14:textId="77777777" w:rsidR="005F4A7E" w:rsidRPr="002029AF" w:rsidRDefault="005F4A7E" w:rsidP="00130D1C">
            <w:pPr>
              <w:pStyle w:val="ARfintablebodyrightbold"/>
            </w:pPr>
            <w:r w:rsidRPr="00CF08AB">
              <w:t>3.1</w:t>
            </w:r>
          </w:p>
        </w:tc>
        <w:tc>
          <w:tcPr>
            <w:tcW w:w="1417" w:type="dxa"/>
            <w:noWrap/>
            <w:hideMark/>
          </w:tcPr>
          <w:p w14:paraId="4B65056F" w14:textId="77777777" w:rsidR="005F4A7E" w:rsidRPr="002029AF" w:rsidRDefault="005F4A7E" w:rsidP="00130D1C">
            <w:pPr>
              <w:pStyle w:val="ARfintablebodyrightbold"/>
            </w:pPr>
            <w:r w:rsidRPr="00CF08AB">
              <w:t>–</w:t>
            </w:r>
          </w:p>
        </w:tc>
        <w:tc>
          <w:tcPr>
            <w:tcW w:w="1417" w:type="dxa"/>
            <w:noWrap/>
            <w:hideMark/>
          </w:tcPr>
          <w:p w14:paraId="7D8E4DD6" w14:textId="77777777" w:rsidR="005F4A7E" w:rsidRPr="002029AF" w:rsidRDefault="005F4A7E" w:rsidP="00130D1C">
            <w:pPr>
              <w:pStyle w:val="ARfintablebodyrightbold"/>
            </w:pPr>
            <w:r w:rsidRPr="00CF08AB">
              <w:t>3.1</w:t>
            </w:r>
          </w:p>
        </w:tc>
        <w:tc>
          <w:tcPr>
            <w:tcW w:w="1417" w:type="dxa"/>
            <w:noWrap/>
            <w:hideMark/>
          </w:tcPr>
          <w:p w14:paraId="574CF4C4" w14:textId="77777777" w:rsidR="005F4A7E" w:rsidRPr="002029AF" w:rsidRDefault="005F4A7E" w:rsidP="00130D1C">
            <w:pPr>
              <w:pStyle w:val="ARfintablebodyrightbold"/>
            </w:pPr>
            <w:r w:rsidRPr="00CF08AB">
              <w:t>–</w:t>
            </w:r>
          </w:p>
        </w:tc>
      </w:tr>
    </w:tbl>
    <w:p w14:paraId="258D3F1E" w14:textId="77777777" w:rsidR="005F4A7E" w:rsidRPr="002029AF" w:rsidRDefault="005F4A7E" w:rsidP="00087B91">
      <w:pPr>
        <w:pStyle w:val="ARfinbody"/>
      </w:pPr>
    </w:p>
    <w:tbl>
      <w:tblPr>
        <w:tblStyle w:val="TableGrid"/>
        <w:tblW w:w="9637" w:type="dxa"/>
        <w:tblLayout w:type="fixed"/>
        <w:tblLook w:val="06A0" w:firstRow="1" w:lastRow="0" w:firstColumn="1" w:lastColumn="0" w:noHBand="1" w:noVBand="1"/>
      </w:tblPr>
      <w:tblGrid>
        <w:gridCol w:w="3968"/>
        <w:gridCol w:w="1418"/>
        <w:gridCol w:w="1417"/>
        <w:gridCol w:w="1417"/>
        <w:gridCol w:w="1417"/>
      </w:tblGrid>
      <w:tr w:rsidR="005F4A7E" w:rsidRPr="002029AF" w14:paraId="35979053" w14:textId="77777777" w:rsidTr="00FC2F9E">
        <w:trPr>
          <w:cnfStyle w:val="100000000000" w:firstRow="1" w:lastRow="0" w:firstColumn="0" w:lastColumn="0" w:oddVBand="0" w:evenVBand="0" w:oddHBand="0" w:evenHBand="0" w:firstRowFirstColumn="0" w:firstRowLastColumn="0" w:lastRowFirstColumn="0" w:lastRowLastColumn="0"/>
          <w:trHeight w:val="255"/>
          <w:tblHeader/>
        </w:trPr>
        <w:tc>
          <w:tcPr>
            <w:tcW w:w="3968" w:type="dxa"/>
            <w:vMerge w:val="restart"/>
            <w:hideMark/>
          </w:tcPr>
          <w:p w14:paraId="36BB3033" w14:textId="77777777" w:rsidR="005F4A7E" w:rsidRPr="002029AF" w:rsidRDefault="005F4A7E" w:rsidP="00860E95">
            <w:pPr>
              <w:pStyle w:val="ARfintablecolhead"/>
            </w:pPr>
            <w:r>
              <w:t>2020</w:t>
            </w:r>
          </w:p>
        </w:tc>
        <w:tc>
          <w:tcPr>
            <w:tcW w:w="1418" w:type="dxa"/>
            <w:vMerge w:val="restart"/>
            <w:hideMark/>
          </w:tcPr>
          <w:p w14:paraId="4634E740" w14:textId="77777777" w:rsidR="005F4A7E" w:rsidRPr="002029AF" w:rsidRDefault="005F4A7E" w:rsidP="00860E95">
            <w:pPr>
              <w:pStyle w:val="ARfintablecolheadright"/>
            </w:pPr>
            <w:r w:rsidRPr="002029AF">
              <w:t>Carrying amount</w:t>
            </w:r>
          </w:p>
          <w:p w14:paraId="76984A1A" w14:textId="77777777" w:rsidR="005F4A7E" w:rsidRPr="002029AF" w:rsidRDefault="005F4A7E" w:rsidP="00860E95">
            <w:pPr>
              <w:pStyle w:val="ARfintablecolheadright"/>
            </w:pPr>
            <w:r w:rsidRPr="002029AF">
              <w:t>$M</w:t>
            </w:r>
          </w:p>
        </w:tc>
        <w:tc>
          <w:tcPr>
            <w:tcW w:w="4251" w:type="dxa"/>
            <w:gridSpan w:val="3"/>
            <w:hideMark/>
          </w:tcPr>
          <w:p w14:paraId="4B5FCF11" w14:textId="77777777" w:rsidR="005F4A7E" w:rsidRPr="002029AF" w:rsidRDefault="005F4A7E" w:rsidP="00860E95">
            <w:pPr>
              <w:pStyle w:val="ARfintablecolheadcentre"/>
            </w:pPr>
            <w:r w:rsidRPr="002029AF">
              <w:t xml:space="preserve">Fair value measurement at the end </w:t>
            </w:r>
            <w:r w:rsidRPr="002029AF">
              <w:br/>
              <w:t>of reporting period using:</w:t>
            </w:r>
          </w:p>
        </w:tc>
      </w:tr>
      <w:tr w:rsidR="005F4A7E" w:rsidRPr="002029AF" w14:paraId="5691C47B"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3968" w:type="dxa"/>
            <w:vMerge/>
            <w:tcBorders>
              <w:bottom w:val="single" w:sz="4" w:space="0" w:color="auto"/>
            </w:tcBorders>
            <w:hideMark/>
          </w:tcPr>
          <w:p w14:paraId="12888F21" w14:textId="77777777" w:rsidR="005F4A7E" w:rsidRPr="002029AF" w:rsidRDefault="005F4A7E" w:rsidP="00860E95">
            <w:pPr>
              <w:pStyle w:val="ARfintablecolhead"/>
            </w:pPr>
          </w:p>
        </w:tc>
        <w:tc>
          <w:tcPr>
            <w:tcW w:w="1418" w:type="dxa"/>
            <w:vMerge/>
            <w:tcBorders>
              <w:bottom w:val="single" w:sz="4" w:space="0" w:color="auto"/>
            </w:tcBorders>
            <w:hideMark/>
          </w:tcPr>
          <w:p w14:paraId="1BE7A9B3" w14:textId="77777777" w:rsidR="005F4A7E" w:rsidRPr="002029AF" w:rsidRDefault="005F4A7E" w:rsidP="00860E95">
            <w:pPr>
              <w:pStyle w:val="ARfintablecolheadright"/>
            </w:pPr>
          </w:p>
        </w:tc>
        <w:tc>
          <w:tcPr>
            <w:tcW w:w="1417" w:type="dxa"/>
            <w:tcBorders>
              <w:bottom w:val="single" w:sz="4" w:space="0" w:color="auto"/>
            </w:tcBorders>
            <w:hideMark/>
          </w:tcPr>
          <w:p w14:paraId="21660129" w14:textId="77777777" w:rsidR="005F4A7E" w:rsidRPr="002029AF" w:rsidRDefault="005F4A7E" w:rsidP="00860E95">
            <w:pPr>
              <w:pStyle w:val="ARfintablecolheadright"/>
            </w:pPr>
            <w:r w:rsidRPr="002029AF">
              <w:t xml:space="preserve">Level 1 </w:t>
            </w:r>
            <w:r w:rsidRPr="002029AF">
              <w:rPr>
                <w:rStyle w:val="Superscript"/>
              </w:rPr>
              <w:t>(i)</w:t>
            </w:r>
          </w:p>
          <w:p w14:paraId="61474029" w14:textId="77777777" w:rsidR="005F4A7E" w:rsidRPr="002029AF" w:rsidRDefault="005F4A7E" w:rsidP="00860E95">
            <w:pPr>
              <w:pStyle w:val="ARfintablecolheadright"/>
            </w:pPr>
            <w:r w:rsidRPr="002029AF">
              <w:t>$M</w:t>
            </w:r>
          </w:p>
        </w:tc>
        <w:tc>
          <w:tcPr>
            <w:tcW w:w="1417" w:type="dxa"/>
            <w:tcBorders>
              <w:bottom w:val="single" w:sz="4" w:space="0" w:color="auto"/>
            </w:tcBorders>
            <w:hideMark/>
          </w:tcPr>
          <w:p w14:paraId="05753C91" w14:textId="77777777" w:rsidR="005F4A7E" w:rsidRPr="002029AF" w:rsidRDefault="005F4A7E" w:rsidP="00860E95">
            <w:pPr>
              <w:pStyle w:val="ARfintablecolheadright"/>
            </w:pPr>
            <w:r w:rsidRPr="002029AF">
              <w:t xml:space="preserve">Level 2 </w:t>
            </w:r>
            <w:r w:rsidRPr="002029AF">
              <w:rPr>
                <w:rStyle w:val="Superscript"/>
              </w:rPr>
              <w:t>(i)</w:t>
            </w:r>
          </w:p>
          <w:p w14:paraId="7DA127B7" w14:textId="77777777" w:rsidR="005F4A7E" w:rsidRPr="002029AF" w:rsidRDefault="005F4A7E" w:rsidP="00860E95">
            <w:pPr>
              <w:pStyle w:val="ARfintablecolheadright"/>
            </w:pPr>
            <w:r w:rsidRPr="002029AF">
              <w:t>$M</w:t>
            </w:r>
          </w:p>
        </w:tc>
        <w:tc>
          <w:tcPr>
            <w:tcW w:w="1417" w:type="dxa"/>
            <w:tcBorders>
              <w:bottom w:val="single" w:sz="4" w:space="0" w:color="auto"/>
            </w:tcBorders>
            <w:hideMark/>
          </w:tcPr>
          <w:p w14:paraId="2A7D9BA8" w14:textId="77777777" w:rsidR="005F4A7E" w:rsidRPr="002029AF" w:rsidRDefault="005F4A7E" w:rsidP="00860E95">
            <w:pPr>
              <w:pStyle w:val="ARfintablecolheadright"/>
            </w:pPr>
            <w:r w:rsidRPr="002029AF">
              <w:t xml:space="preserve">Level 3 </w:t>
            </w:r>
            <w:r w:rsidRPr="002029AF">
              <w:rPr>
                <w:rStyle w:val="Superscript"/>
              </w:rPr>
              <w:t>(i)</w:t>
            </w:r>
          </w:p>
          <w:p w14:paraId="2FC93F65" w14:textId="77777777" w:rsidR="005F4A7E" w:rsidRPr="002029AF" w:rsidRDefault="005F4A7E" w:rsidP="00860E95">
            <w:pPr>
              <w:pStyle w:val="ARfintablecolheadright"/>
            </w:pPr>
            <w:r w:rsidRPr="002029AF">
              <w:t>$M</w:t>
            </w:r>
          </w:p>
        </w:tc>
      </w:tr>
      <w:tr w:rsidR="005F4A7E" w:rsidRPr="002029AF" w14:paraId="6D912420" w14:textId="77777777" w:rsidTr="00860E95">
        <w:trPr>
          <w:trHeight w:val="255"/>
        </w:trPr>
        <w:tc>
          <w:tcPr>
            <w:tcW w:w="9637" w:type="dxa"/>
            <w:gridSpan w:val="5"/>
            <w:tcBorders>
              <w:top w:val="single" w:sz="4" w:space="0" w:color="auto"/>
              <w:bottom w:val="single" w:sz="4" w:space="0" w:color="A6A6A6"/>
            </w:tcBorders>
            <w:hideMark/>
          </w:tcPr>
          <w:p w14:paraId="312B84C4" w14:textId="77777777" w:rsidR="005F4A7E" w:rsidRPr="002029AF" w:rsidRDefault="005F4A7E" w:rsidP="00130D1C">
            <w:pPr>
              <w:pStyle w:val="ARfintablebodybold"/>
            </w:pPr>
            <w:r w:rsidRPr="004B5B9E">
              <w:t>Land held for sale</w:t>
            </w:r>
          </w:p>
        </w:tc>
      </w:tr>
      <w:tr w:rsidR="005F4A7E" w:rsidRPr="002029AF" w14:paraId="51983F02" w14:textId="77777777" w:rsidTr="00860E95">
        <w:trPr>
          <w:trHeight w:val="255"/>
        </w:trPr>
        <w:tc>
          <w:tcPr>
            <w:tcW w:w="3968" w:type="dxa"/>
            <w:tcBorders>
              <w:top w:val="single" w:sz="4" w:space="0" w:color="A6A6A6"/>
            </w:tcBorders>
            <w:hideMark/>
          </w:tcPr>
          <w:p w14:paraId="7423C00E" w14:textId="77777777" w:rsidR="005F4A7E" w:rsidRPr="002029AF" w:rsidRDefault="005F4A7E" w:rsidP="00130D1C">
            <w:pPr>
              <w:pStyle w:val="ARfintablebody"/>
            </w:pPr>
            <w:r w:rsidRPr="004B5B9E">
              <w:t>Specialised land</w:t>
            </w:r>
          </w:p>
        </w:tc>
        <w:tc>
          <w:tcPr>
            <w:tcW w:w="1418" w:type="dxa"/>
            <w:tcBorders>
              <w:top w:val="single" w:sz="4" w:space="0" w:color="A6A6A6"/>
            </w:tcBorders>
            <w:noWrap/>
            <w:hideMark/>
          </w:tcPr>
          <w:p w14:paraId="1A8BD099" w14:textId="77777777" w:rsidR="005F4A7E" w:rsidRPr="002029AF" w:rsidRDefault="005F4A7E" w:rsidP="00130D1C">
            <w:pPr>
              <w:pStyle w:val="ARfintablebodyright"/>
            </w:pPr>
            <w:r w:rsidRPr="004B5B9E">
              <w:t>6.0</w:t>
            </w:r>
          </w:p>
        </w:tc>
        <w:tc>
          <w:tcPr>
            <w:tcW w:w="1417" w:type="dxa"/>
            <w:tcBorders>
              <w:top w:val="single" w:sz="4" w:space="0" w:color="A6A6A6"/>
            </w:tcBorders>
            <w:noWrap/>
            <w:hideMark/>
          </w:tcPr>
          <w:p w14:paraId="00CE4CA3" w14:textId="77777777" w:rsidR="005F4A7E" w:rsidRPr="002029AF" w:rsidRDefault="005F4A7E" w:rsidP="00130D1C">
            <w:pPr>
              <w:pStyle w:val="ARfintablebodyright"/>
            </w:pPr>
            <w:r w:rsidRPr="004B5B9E">
              <w:t>–</w:t>
            </w:r>
          </w:p>
        </w:tc>
        <w:tc>
          <w:tcPr>
            <w:tcW w:w="1417" w:type="dxa"/>
            <w:tcBorders>
              <w:top w:val="single" w:sz="4" w:space="0" w:color="A6A6A6"/>
            </w:tcBorders>
            <w:noWrap/>
            <w:hideMark/>
          </w:tcPr>
          <w:p w14:paraId="055EAE88" w14:textId="77777777" w:rsidR="005F4A7E" w:rsidRPr="002029AF" w:rsidRDefault="005F4A7E" w:rsidP="00130D1C">
            <w:pPr>
              <w:pStyle w:val="ARfintablebodyright"/>
            </w:pPr>
            <w:r w:rsidRPr="004B5B9E">
              <w:t>6.0</w:t>
            </w:r>
          </w:p>
        </w:tc>
        <w:tc>
          <w:tcPr>
            <w:tcW w:w="1417" w:type="dxa"/>
            <w:tcBorders>
              <w:top w:val="single" w:sz="4" w:space="0" w:color="A6A6A6"/>
            </w:tcBorders>
            <w:noWrap/>
            <w:hideMark/>
          </w:tcPr>
          <w:p w14:paraId="1C5A5C6B" w14:textId="77777777" w:rsidR="005F4A7E" w:rsidRPr="002029AF" w:rsidRDefault="005F4A7E" w:rsidP="00130D1C">
            <w:pPr>
              <w:pStyle w:val="ARfintablebodyright"/>
            </w:pPr>
            <w:r w:rsidRPr="004B5B9E">
              <w:t>–</w:t>
            </w:r>
          </w:p>
        </w:tc>
      </w:tr>
      <w:tr w:rsidR="005F4A7E" w:rsidRPr="002029AF" w14:paraId="74C54ACA" w14:textId="77777777" w:rsidTr="00860E95">
        <w:trPr>
          <w:trHeight w:val="255"/>
        </w:trPr>
        <w:tc>
          <w:tcPr>
            <w:tcW w:w="3968" w:type="dxa"/>
            <w:tcBorders>
              <w:bottom w:val="single" w:sz="4" w:space="0" w:color="auto"/>
            </w:tcBorders>
            <w:hideMark/>
          </w:tcPr>
          <w:p w14:paraId="58B60AE0" w14:textId="77777777" w:rsidR="005F4A7E" w:rsidRPr="002029AF" w:rsidRDefault="005F4A7E" w:rsidP="00130D1C">
            <w:pPr>
              <w:pStyle w:val="ARfintablebodybold"/>
            </w:pPr>
            <w:r w:rsidRPr="004B5B9E">
              <w:t>Total land held for sale</w:t>
            </w:r>
          </w:p>
        </w:tc>
        <w:tc>
          <w:tcPr>
            <w:tcW w:w="1418" w:type="dxa"/>
            <w:tcBorders>
              <w:bottom w:val="single" w:sz="4" w:space="0" w:color="auto"/>
            </w:tcBorders>
            <w:noWrap/>
            <w:hideMark/>
          </w:tcPr>
          <w:p w14:paraId="5ACC1F1F" w14:textId="77777777" w:rsidR="005F4A7E" w:rsidRPr="002029AF" w:rsidRDefault="005F4A7E" w:rsidP="00130D1C">
            <w:pPr>
              <w:pStyle w:val="ARfintablebodyrightbold"/>
            </w:pPr>
            <w:r w:rsidRPr="004B5B9E">
              <w:t>6.0</w:t>
            </w:r>
          </w:p>
        </w:tc>
        <w:tc>
          <w:tcPr>
            <w:tcW w:w="1417" w:type="dxa"/>
            <w:tcBorders>
              <w:bottom w:val="single" w:sz="4" w:space="0" w:color="auto"/>
            </w:tcBorders>
            <w:noWrap/>
            <w:hideMark/>
          </w:tcPr>
          <w:p w14:paraId="63D2C9BE" w14:textId="77777777" w:rsidR="005F4A7E" w:rsidRPr="002029AF" w:rsidRDefault="005F4A7E" w:rsidP="00130D1C">
            <w:pPr>
              <w:pStyle w:val="ARfintablebodyrightbold"/>
            </w:pPr>
            <w:r w:rsidRPr="004B5B9E">
              <w:t>–</w:t>
            </w:r>
          </w:p>
        </w:tc>
        <w:tc>
          <w:tcPr>
            <w:tcW w:w="1417" w:type="dxa"/>
            <w:tcBorders>
              <w:bottom w:val="single" w:sz="4" w:space="0" w:color="auto"/>
            </w:tcBorders>
            <w:noWrap/>
            <w:hideMark/>
          </w:tcPr>
          <w:p w14:paraId="289263ED" w14:textId="77777777" w:rsidR="005F4A7E" w:rsidRPr="002029AF" w:rsidRDefault="005F4A7E" w:rsidP="00130D1C">
            <w:pPr>
              <w:pStyle w:val="ARfintablebodyrightbold"/>
            </w:pPr>
            <w:r w:rsidRPr="004B5B9E">
              <w:t>6.0</w:t>
            </w:r>
          </w:p>
        </w:tc>
        <w:tc>
          <w:tcPr>
            <w:tcW w:w="1417" w:type="dxa"/>
            <w:tcBorders>
              <w:bottom w:val="single" w:sz="4" w:space="0" w:color="auto"/>
            </w:tcBorders>
            <w:noWrap/>
            <w:hideMark/>
          </w:tcPr>
          <w:p w14:paraId="13105623" w14:textId="77777777" w:rsidR="005F4A7E" w:rsidRPr="002029AF" w:rsidRDefault="005F4A7E" w:rsidP="00130D1C">
            <w:pPr>
              <w:pStyle w:val="ARfintablebodyrightbold"/>
            </w:pPr>
            <w:r w:rsidRPr="004B5B9E">
              <w:t>–</w:t>
            </w:r>
          </w:p>
        </w:tc>
      </w:tr>
      <w:tr w:rsidR="005F4A7E" w:rsidRPr="002029AF" w14:paraId="6E6F679B" w14:textId="77777777" w:rsidTr="00860E95">
        <w:trPr>
          <w:trHeight w:val="255"/>
        </w:trPr>
        <w:tc>
          <w:tcPr>
            <w:tcW w:w="9637" w:type="dxa"/>
            <w:gridSpan w:val="5"/>
            <w:tcBorders>
              <w:top w:val="single" w:sz="4" w:space="0" w:color="auto"/>
              <w:bottom w:val="single" w:sz="4" w:space="0" w:color="A6A6A6"/>
            </w:tcBorders>
            <w:hideMark/>
          </w:tcPr>
          <w:p w14:paraId="4FD30B90" w14:textId="77777777" w:rsidR="005F4A7E" w:rsidRPr="002029AF" w:rsidRDefault="005F4A7E" w:rsidP="00130D1C">
            <w:pPr>
              <w:pStyle w:val="ARfintablebodybold"/>
            </w:pPr>
            <w:r w:rsidRPr="004B5B9E">
              <w:t>Buildings held for sale</w:t>
            </w:r>
          </w:p>
        </w:tc>
      </w:tr>
      <w:tr w:rsidR="005F4A7E" w:rsidRPr="002029AF" w14:paraId="32A7D5A0" w14:textId="77777777" w:rsidTr="00860E95">
        <w:trPr>
          <w:trHeight w:val="255"/>
        </w:trPr>
        <w:tc>
          <w:tcPr>
            <w:tcW w:w="3968" w:type="dxa"/>
            <w:tcBorders>
              <w:top w:val="single" w:sz="4" w:space="0" w:color="A6A6A6"/>
            </w:tcBorders>
            <w:hideMark/>
          </w:tcPr>
          <w:p w14:paraId="42E68C69" w14:textId="77777777" w:rsidR="005F4A7E" w:rsidRPr="002029AF" w:rsidRDefault="005F4A7E" w:rsidP="00130D1C">
            <w:pPr>
              <w:pStyle w:val="ARfintablebody"/>
            </w:pPr>
            <w:r w:rsidRPr="004B5B9E">
              <w:t>Specialised building</w:t>
            </w:r>
          </w:p>
        </w:tc>
        <w:tc>
          <w:tcPr>
            <w:tcW w:w="1418" w:type="dxa"/>
            <w:tcBorders>
              <w:top w:val="single" w:sz="4" w:space="0" w:color="A6A6A6"/>
            </w:tcBorders>
            <w:noWrap/>
            <w:hideMark/>
          </w:tcPr>
          <w:p w14:paraId="21A56F97" w14:textId="77777777" w:rsidR="005F4A7E" w:rsidRPr="002029AF" w:rsidRDefault="005F4A7E" w:rsidP="00130D1C">
            <w:pPr>
              <w:pStyle w:val="ARfintablebodyright"/>
            </w:pPr>
            <w:r w:rsidRPr="004B5B9E">
              <w:t>2.5</w:t>
            </w:r>
          </w:p>
        </w:tc>
        <w:tc>
          <w:tcPr>
            <w:tcW w:w="1417" w:type="dxa"/>
            <w:tcBorders>
              <w:top w:val="single" w:sz="4" w:space="0" w:color="A6A6A6"/>
            </w:tcBorders>
            <w:noWrap/>
            <w:hideMark/>
          </w:tcPr>
          <w:p w14:paraId="62B6A65B" w14:textId="77777777" w:rsidR="005F4A7E" w:rsidRPr="002029AF" w:rsidRDefault="005F4A7E" w:rsidP="00130D1C">
            <w:pPr>
              <w:pStyle w:val="ARfintablebodyright"/>
            </w:pPr>
            <w:r w:rsidRPr="004B5B9E">
              <w:t>–</w:t>
            </w:r>
          </w:p>
        </w:tc>
        <w:tc>
          <w:tcPr>
            <w:tcW w:w="1417" w:type="dxa"/>
            <w:tcBorders>
              <w:top w:val="single" w:sz="4" w:space="0" w:color="A6A6A6"/>
            </w:tcBorders>
            <w:noWrap/>
            <w:hideMark/>
          </w:tcPr>
          <w:p w14:paraId="1418DB3C" w14:textId="77777777" w:rsidR="005F4A7E" w:rsidRPr="002029AF" w:rsidRDefault="005F4A7E" w:rsidP="00130D1C">
            <w:pPr>
              <w:pStyle w:val="ARfintablebodyright"/>
            </w:pPr>
            <w:r w:rsidRPr="004B5B9E">
              <w:t>2.5</w:t>
            </w:r>
          </w:p>
        </w:tc>
        <w:tc>
          <w:tcPr>
            <w:tcW w:w="1417" w:type="dxa"/>
            <w:tcBorders>
              <w:top w:val="single" w:sz="4" w:space="0" w:color="A6A6A6"/>
            </w:tcBorders>
            <w:noWrap/>
            <w:hideMark/>
          </w:tcPr>
          <w:p w14:paraId="189F4F09" w14:textId="77777777" w:rsidR="005F4A7E" w:rsidRPr="002029AF" w:rsidRDefault="005F4A7E" w:rsidP="00130D1C">
            <w:pPr>
              <w:pStyle w:val="ARfintablebodyright"/>
            </w:pPr>
            <w:r w:rsidRPr="004B5B9E">
              <w:t>–</w:t>
            </w:r>
          </w:p>
        </w:tc>
      </w:tr>
      <w:tr w:rsidR="005F4A7E" w:rsidRPr="002029AF" w14:paraId="23326F34" w14:textId="77777777" w:rsidTr="00860E95">
        <w:trPr>
          <w:trHeight w:val="255"/>
        </w:trPr>
        <w:tc>
          <w:tcPr>
            <w:tcW w:w="3968" w:type="dxa"/>
            <w:hideMark/>
          </w:tcPr>
          <w:p w14:paraId="6BBB2E4B" w14:textId="77777777" w:rsidR="005F4A7E" w:rsidRPr="002029AF" w:rsidRDefault="005F4A7E" w:rsidP="00130D1C">
            <w:pPr>
              <w:pStyle w:val="ARfintablebodybold"/>
            </w:pPr>
            <w:r w:rsidRPr="004B5B9E">
              <w:t>Total buildings held for sale</w:t>
            </w:r>
          </w:p>
        </w:tc>
        <w:tc>
          <w:tcPr>
            <w:tcW w:w="1418" w:type="dxa"/>
            <w:noWrap/>
            <w:hideMark/>
          </w:tcPr>
          <w:p w14:paraId="06EBE4EB" w14:textId="77777777" w:rsidR="005F4A7E" w:rsidRPr="002029AF" w:rsidRDefault="005F4A7E" w:rsidP="00130D1C">
            <w:pPr>
              <w:pStyle w:val="ARfintablebodyrightbold"/>
            </w:pPr>
            <w:r w:rsidRPr="004B5B9E">
              <w:t>2.5</w:t>
            </w:r>
          </w:p>
        </w:tc>
        <w:tc>
          <w:tcPr>
            <w:tcW w:w="1417" w:type="dxa"/>
            <w:noWrap/>
            <w:hideMark/>
          </w:tcPr>
          <w:p w14:paraId="22B9AD9E" w14:textId="77777777" w:rsidR="005F4A7E" w:rsidRPr="002029AF" w:rsidRDefault="005F4A7E" w:rsidP="00130D1C">
            <w:pPr>
              <w:pStyle w:val="ARfintablebodyrightbold"/>
            </w:pPr>
            <w:r w:rsidRPr="004B5B9E">
              <w:t>–</w:t>
            </w:r>
          </w:p>
        </w:tc>
        <w:tc>
          <w:tcPr>
            <w:tcW w:w="1417" w:type="dxa"/>
            <w:noWrap/>
            <w:hideMark/>
          </w:tcPr>
          <w:p w14:paraId="48463A40" w14:textId="77777777" w:rsidR="005F4A7E" w:rsidRPr="002029AF" w:rsidRDefault="005F4A7E" w:rsidP="00130D1C">
            <w:pPr>
              <w:pStyle w:val="ARfintablebodyrightbold"/>
            </w:pPr>
            <w:r w:rsidRPr="004B5B9E">
              <w:t>2.5</w:t>
            </w:r>
          </w:p>
        </w:tc>
        <w:tc>
          <w:tcPr>
            <w:tcW w:w="1417" w:type="dxa"/>
            <w:noWrap/>
            <w:hideMark/>
          </w:tcPr>
          <w:p w14:paraId="49357766" w14:textId="77777777" w:rsidR="005F4A7E" w:rsidRPr="002029AF" w:rsidRDefault="005F4A7E" w:rsidP="00130D1C">
            <w:pPr>
              <w:pStyle w:val="ARfintablebodyrightbold"/>
            </w:pPr>
            <w:r w:rsidRPr="004B5B9E">
              <w:t>–</w:t>
            </w:r>
          </w:p>
        </w:tc>
      </w:tr>
    </w:tbl>
    <w:p w14:paraId="60E0EDFD" w14:textId="77777777" w:rsidR="005F4A7E" w:rsidRDefault="005F4A7E" w:rsidP="00130D1C">
      <w:pPr>
        <w:pStyle w:val="ARfintablefootnote"/>
        <w:rPr>
          <w:lang w:eastAsia="en-AU"/>
        </w:rPr>
      </w:pPr>
      <w:r>
        <w:rPr>
          <w:lang w:eastAsia="en-AU"/>
        </w:rPr>
        <w:t>Note:</w:t>
      </w:r>
    </w:p>
    <w:p w14:paraId="3016E36B" w14:textId="77777777" w:rsidR="005F4A7E" w:rsidRDefault="005F4A7E" w:rsidP="00130D1C">
      <w:pPr>
        <w:pStyle w:val="ARfintablefootnoteindent"/>
      </w:pPr>
      <w:r>
        <w:t>(i)</w:t>
      </w:r>
      <w:r>
        <w:tab/>
        <w:t>Classified in accordance with the fair value hierarchy.</w:t>
      </w:r>
    </w:p>
    <w:p w14:paraId="791F57E9" w14:textId="77777777" w:rsidR="005F4A7E" w:rsidRDefault="005F4A7E" w:rsidP="00130D1C">
      <w:pPr>
        <w:pStyle w:val="ARfinbodyaftertable"/>
      </w:pPr>
      <w:r>
        <w:t>There have been no transfers between levels during 2020–21.</w:t>
      </w:r>
    </w:p>
    <w:p w14:paraId="427C6FE5" w14:textId="77777777" w:rsidR="005F4A7E" w:rsidRPr="002029AF" w:rsidRDefault="005F4A7E" w:rsidP="00087B91">
      <w:pPr>
        <w:pStyle w:val="ARfinbody"/>
      </w:pPr>
      <w:r w:rsidRPr="002029AF">
        <w:br w:type="page"/>
      </w:r>
    </w:p>
    <w:p w14:paraId="3ADD6D8C" w14:textId="77777777" w:rsidR="005F4A7E" w:rsidRDefault="005F4A7E" w:rsidP="00130D1C">
      <w:pPr>
        <w:pStyle w:val="Heading3"/>
      </w:pPr>
      <w:bookmarkStart w:id="1040" w:name="_Toc60682336"/>
      <w:bookmarkStart w:id="1041" w:name="_Toc82947319"/>
      <w:bookmarkStart w:id="1042" w:name="_Toc85121544"/>
      <w:bookmarkStart w:id="1043" w:name="_Toc86075638"/>
      <w:r>
        <w:rPr>
          <w:szCs w:val="28"/>
        </w:rPr>
        <w:lastRenderedPageBreak/>
        <w:t>9. Other disclosures</w:t>
      </w:r>
      <w:bookmarkEnd w:id="1040"/>
      <w:bookmarkEnd w:id="1041"/>
      <w:bookmarkEnd w:id="1042"/>
      <w:bookmarkEnd w:id="1043"/>
    </w:p>
    <w:p w14:paraId="5BC06707" w14:textId="77777777" w:rsidR="005F4A7E" w:rsidRDefault="005F4A7E" w:rsidP="00130D1C">
      <w:pPr>
        <w:pStyle w:val="Heading4"/>
      </w:pPr>
      <w:bookmarkStart w:id="1044" w:name="_Toc85121545"/>
      <w:r>
        <w:t>Introduction</w:t>
      </w:r>
      <w:bookmarkEnd w:id="1044"/>
    </w:p>
    <w:p w14:paraId="7F3D6935" w14:textId="7C8B7759" w:rsidR="005F4A7E" w:rsidRDefault="005F4A7E" w:rsidP="00130D1C">
      <w:pPr>
        <w:pStyle w:val="ARfinbody"/>
      </w:pPr>
      <w:r>
        <w:t>This section includes additional material disclosures required by accounting standards or otherwise, for the understanding of this financial report.</w:t>
      </w:r>
    </w:p>
    <w:p w14:paraId="71FA0525" w14:textId="77777777" w:rsidR="005F4A7E" w:rsidRDefault="005F4A7E" w:rsidP="00130D1C">
      <w:pPr>
        <w:pStyle w:val="Heading4"/>
      </w:pPr>
      <w:bookmarkStart w:id="1045" w:name="_Toc85121546"/>
      <w:r>
        <w:t>Structure</w:t>
      </w:r>
      <w:bookmarkEnd w:id="1045"/>
    </w:p>
    <w:p w14:paraId="1FA4560D" w14:textId="77777777" w:rsidR="005F4A7E" w:rsidRDefault="005F4A7E" w:rsidP="00130D1C">
      <w:pPr>
        <w:pStyle w:val="ARfinstructure1"/>
      </w:pPr>
      <w:r>
        <w:t>9.1</w:t>
      </w:r>
      <w:r>
        <w:tab/>
        <w:t>Ex-gratia expenses</w:t>
      </w:r>
    </w:p>
    <w:p w14:paraId="7E860311" w14:textId="77777777" w:rsidR="005F4A7E" w:rsidRDefault="005F4A7E" w:rsidP="00130D1C">
      <w:pPr>
        <w:pStyle w:val="ARfinstructure1"/>
      </w:pPr>
      <w:r>
        <w:t>9.2</w:t>
      </w:r>
      <w:r>
        <w:tab/>
        <w:t>Other economic flows included in net result</w:t>
      </w:r>
    </w:p>
    <w:p w14:paraId="763094EA" w14:textId="77777777" w:rsidR="005F4A7E" w:rsidRDefault="005F4A7E" w:rsidP="00130D1C">
      <w:pPr>
        <w:pStyle w:val="ARfinstructure1"/>
      </w:pPr>
      <w:r>
        <w:t>9.3</w:t>
      </w:r>
      <w:r>
        <w:tab/>
        <w:t>Non-financial assets held for sale</w:t>
      </w:r>
    </w:p>
    <w:p w14:paraId="40CDCB05" w14:textId="77777777" w:rsidR="005F4A7E" w:rsidRDefault="005F4A7E" w:rsidP="00130D1C">
      <w:pPr>
        <w:pStyle w:val="ARfinstructure1"/>
      </w:pPr>
      <w:r>
        <w:t>9.4</w:t>
      </w:r>
      <w:r>
        <w:tab/>
        <w:t>Reserves</w:t>
      </w:r>
    </w:p>
    <w:p w14:paraId="31F25BF4" w14:textId="77777777" w:rsidR="005F4A7E" w:rsidRDefault="005F4A7E" w:rsidP="00130D1C">
      <w:pPr>
        <w:pStyle w:val="ARfinstructure1"/>
      </w:pPr>
      <w:r>
        <w:t>9.5</w:t>
      </w:r>
      <w:r>
        <w:tab/>
        <w:t>Entities included in the Department of Health financial statements pursuant to section. 53(1)(b) of the FMA</w:t>
      </w:r>
    </w:p>
    <w:p w14:paraId="39BE7103" w14:textId="77777777" w:rsidR="005F4A7E" w:rsidRDefault="005F4A7E" w:rsidP="00130D1C">
      <w:pPr>
        <w:pStyle w:val="ARfinstructure1"/>
      </w:pPr>
      <w:r>
        <w:t>9.6</w:t>
      </w:r>
      <w:r>
        <w:tab/>
        <w:t>Responsible persons</w:t>
      </w:r>
    </w:p>
    <w:p w14:paraId="5A0263F8" w14:textId="77777777" w:rsidR="005F4A7E" w:rsidRDefault="005F4A7E" w:rsidP="00130D1C">
      <w:pPr>
        <w:pStyle w:val="ARfinstructure1"/>
      </w:pPr>
      <w:r>
        <w:t>9.7</w:t>
      </w:r>
      <w:r>
        <w:tab/>
        <w:t>Remuneration of executives</w:t>
      </w:r>
    </w:p>
    <w:p w14:paraId="28C1FFCE" w14:textId="77777777" w:rsidR="005F4A7E" w:rsidRDefault="005F4A7E" w:rsidP="00130D1C">
      <w:pPr>
        <w:pStyle w:val="ARfinstructure1"/>
      </w:pPr>
      <w:r>
        <w:t>9.8</w:t>
      </w:r>
      <w:r>
        <w:tab/>
        <w:t>Related parties</w:t>
      </w:r>
    </w:p>
    <w:p w14:paraId="357F4C17" w14:textId="77777777" w:rsidR="005F4A7E" w:rsidRDefault="005F4A7E" w:rsidP="00130D1C">
      <w:pPr>
        <w:pStyle w:val="ARfinstructure1"/>
      </w:pPr>
      <w:r>
        <w:t>9.9</w:t>
      </w:r>
      <w:r>
        <w:tab/>
        <w:t>Remuneration of auditors</w:t>
      </w:r>
    </w:p>
    <w:p w14:paraId="6F96E86B" w14:textId="77777777" w:rsidR="005F4A7E" w:rsidRDefault="005F4A7E" w:rsidP="00130D1C">
      <w:pPr>
        <w:pStyle w:val="ARfinstructure1"/>
      </w:pPr>
      <w:r>
        <w:t>9.10</w:t>
      </w:r>
      <w:r>
        <w:tab/>
        <w:t>Subsequent events</w:t>
      </w:r>
    </w:p>
    <w:p w14:paraId="0B5F3774" w14:textId="77777777" w:rsidR="005F4A7E" w:rsidRDefault="005F4A7E" w:rsidP="00130D1C">
      <w:pPr>
        <w:pStyle w:val="ARfinstructure1"/>
      </w:pPr>
      <w:r>
        <w:t>9.11</w:t>
      </w:r>
      <w:r>
        <w:tab/>
        <w:t>Other accounting policies</w:t>
      </w:r>
    </w:p>
    <w:p w14:paraId="5EDF03E1" w14:textId="77777777" w:rsidR="005F4A7E" w:rsidRDefault="005F4A7E" w:rsidP="00130D1C">
      <w:pPr>
        <w:pStyle w:val="ARfinstructure1"/>
      </w:pPr>
      <w:r>
        <w:t>9.12</w:t>
      </w:r>
      <w:r>
        <w:tab/>
        <w:t>Australian Accounting Standards issued that are not yet effective</w:t>
      </w:r>
    </w:p>
    <w:p w14:paraId="2CA4A50F" w14:textId="77777777" w:rsidR="005F4A7E" w:rsidRDefault="005F4A7E" w:rsidP="00130D1C">
      <w:pPr>
        <w:pStyle w:val="ARfinstructure1"/>
      </w:pPr>
      <w:r>
        <w:t>9.13</w:t>
      </w:r>
      <w:r>
        <w:tab/>
        <w:t>Glossary of technical terms</w:t>
      </w:r>
    </w:p>
    <w:p w14:paraId="435CED84" w14:textId="77777777" w:rsidR="005F4A7E" w:rsidRDefault="005F4A7E" w:rsidP="00130D1C">
      <w:pPr>
        <w:pStyle w:val="ARfinstructure1"/>
      </w:pPr>
      <w:r>
        <w:t>9.14</w:t>
      </w:r>
      <w:r>
        <w:tab/>
        <w:t>Style conventions</w:t>
      </w:r>
    </w:p>
    <w:p w14:paraId="5F10BC37" w14:textId="77777777" w:rsidR="005F4A7E" w:rsidRDefault="005F4A7E" w:rsidP="00130D1C">
      <w:pPr>
        <w:pStyle w:val="Heading4"/>
        <w:rPr>
          <w:lang w:eastAsia="en-AU"/>
        </w:rPr>
      </w:pPr>
      <w:bookmarkStart w:id="1046" w:name="_Toc39242166"/>
      <w:bookmarkStart w:id="1047" w:name="_Ref84598262"/>
      <w:bookmarkStart w:id="1048" w:name="_Toc85121547"/>
      <w:r>
        <w:rPr>
          <w:lang w:eastAsia="en-AU"/>
        </w:rPr>
        <w:t>9.1 Ex-gratia expenses</w:t>
      </w:r>
      <w:bookmarkEnd w:id="1046"/>
      <w:bookmarkEnd w:id="1047"/>
      <w:bookmarkEnd w:id="1048"/>
    </w:p>
    <w:p w14:paraId="20116CF7" w14:textId="77777777" w:rsidR="005F4A7E" w:rsidRDefault="005F4A7E" w:rsidP="00130D1C">
      <w:pPr>
        <w:pStyle w:val="ARfinbody"/>
      </w:pPr>
      <w:r>
        <w:t>Ex-gratia expenses are the voluntary payments of money or other non-monetary benefit (for example a write off) that is not made either to acquire goods, services or other benefits for the entity or to meet a legal liability, or to settle or resolve a possible legal liability of or claim against the entity.</w:t>
      </w:r>
    </w:p>
    <w:p w14:paraId="578DF12F" w14:textId="77777777" w:rsidR="005F4A7E" w:rsidRDefault="005F4A7E" w:rsidP="00130D1C">
      <w:pPr>
        <w:pStyle w:val="ARfinbody"/>
      </w:pPr>
      <w:r>
        <w:t>There were no ex-gratia expense items greater than or equal to $5,000 in the current and previous year.</w:t>
      </w:r>
    </w:p>
    <w:p w14:paraId="7B6A6D6A" w14:textId="77777777" w:rsidR="005F4A7E" w:rsidRDefault="005F4A7E" w:rsidP="00130D1C">
      <w:pPr>
        <w:pStyle w:val="ARfinbody"/>
      </w:pPr>
      <w:r>
        <w:rPr>
          <w:sz w:val="16"/>
        </w:rPr>
        <w:br w:type="page"/>
      </w:r>
    </w:p>
    <w:p w14:paraId="3CF47771" w14:textId="77777777" w:rsidR="005F4A7E" w:rsidRDefault="005F4A7E" w:rsidP="00130D1C">
      <w:pPr>
        <w:pStyle w:val="Heading4"/>
        <w:rPr>
          <w:lang w:eastAsia="en-AU"/>
        </w:rPr>
      </w:pPr>
      <w:bookmarkStart w:id="1049" w:name="_Toc39242167"/>
      <w:bookmarkStart w:id="1050" w:name="_Toc85121548"/>
      <w:r>
        <w:rPr>
          <w:lang w:eastAsia="en-AU"/>
        </w:rPr>
        <w:lastRenderedPageBreak/>
        <w:t>9.2 Other economic flows included in net result</w:t>
      </w:r>
      <w:bookmarkEnd w:id="1049"/>
      <w:bookmarkEnd w:id="1050"/>
    </w:p>
    <w:p w14:paraId="0996EE50" w14:textId="77777777" w:rsidR="005F4A7E" w:rsidRDefault="005F4A7E" w:rsidP="00130D1C">
      <w:pPr>
        <w:pStyle w:val="ARfinbody"/>
      </w:pPr>
      <w:r>
        <w:t>Other economic flows are changes in the volume or value of an asset or liability that do not result from transactions. Other gains/(losses) from other economic flows include the gains or losses from:</w:t>
      </w:r>
    </w:p>
    <w:p w14:paraId="7E4138BE" w14:textId="77777777" w:rsidR="005F4A7E" w:rsidRDefault="005F4A7E" w:rsidP="005F4A7E">
      <w:pPr>
        <w:pStyle w:val="ARfinbullet1"/>
        <w:numPr>
          <w:ilvl w:val="0"/>
          <w:numId w:val="2"/>
        </w:numPr>
      </w:pPr>
      <w:r>
        <w:t>the revaluation of the present value of the long service leave liability due to changes in the bond interest rates and the effects of changes in actuarial assumptions</w:t>
      </w:r>
    </w:p>
    <w:p w14:paraId="272ACE61" w14:textId="77777777" w:rsidR="005F4A7E" w:rsidRDefault="005F4A7E" w:rsidP="005F4A7E">
      <w:pPr>
        <w:pStyle w:val="ARfinbullet1"/>
        <w:numPr>
          <w:ilvl w:val="0"/>
          <w:numId w:val="2"/>
        </w:numPr>
      </w:pPr>
      <w:r>
        <w:t>other revaluations on the value of outstanding insurance claims and liabilities</w:t>
      </w:r>
    </w:p>
    <w:p w14:paraId="303C34BC" w14:textId="77777777" w:rsidR="005F4A7E" w:rsidRPr="002029AF" w:rsidRDefault="005F4A7E" w:rsidP="005F4A7E">
      <w:pPr>
        <w:pStyle w:val="ARfinbullet1"/>
        <w:numPr>
          <w:ilvl w:val="0"/>
          <w:numId w:val="2"/>
        </w:numPr>
      </w:pPr>
      <w:r>
        <w:t>bad debt expenses.</w:t>
      </w:r>
    </w:p>
    <w:tbl>
      <w:tblPr>
        <w:tblStyle w:val="TableGrid"/>
        <w:tblW w:w="9637" w:type="dxa"/>
        <w:tblLayout w:type="fixed"/>
        <w:tblLook w:val="06A0" w:firstRow="1" w:lastRow="0" w:firstColumn="1" w:lastColumn="0" w:noHBand="1" w:noVBand="1"/>
      </w:tblPr>
      <w:tblGrid>
        <w:gridCol w:w="7369"/>
        <w:gridCol w:w="1134"/>
        <w:gridCol w:w="1134"/>
      </w:tblGrid>
      <w:tr w:rsidR="005F4A7E" w:rsidRPr="002029AF" w14:paraId="04C5523E"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10BFCD71" w14:textId="77777777" w:rsidR="005F4A7E" w:rsidRPr="002029AF" w:rsidRDefault="005F4A7E" w:rsidP="00860E95">
            <w:pPr>
              <w:pStyle w:val="ARfintablecolhead"/>
            </w:pPr>
          </w:p>
        </w:tc>
        <w:tc>
          <w:tcPr>
            <w:tcW w:w="1134" w:type="dxa"/>
            <w:tcBorders>
              <w:bottom w:val="single" w:sz="4" w:space="0" w:color="auto"/>
            </w:tcBorders>
            <w:shd w:val="clear" w:color="auto" w:fill="E7E6E6"/>
            <w:hideMark/>
          </w:tcPr>
          <w:p w14:paraId="293923EC" w14:textId="77777777" w:rsidR="005F4A7E" w:rsidRPr="002029AF" w:rsidRDefault="005F4A7E" w:rsidP="00860E95">
            <w:pPr>
              <w:pStyle w:val="ARfintablecolheadright"/>
            </w:pPr>
            <w:r>
              <w:t>2021</w:t>
            </w:r>
          </w:p>
          <w:p w14:paraId="1023CD3C" w14:textId="77777777" w:rsidR="005F4A7E" w:rsidRPr="002029AF" w:rsidRDefault="005F4A7E" w:rsidP="00860E95">
            <w:pPr>
              <w:pStyle w:val="ARfintablecolheadright"/>
            </w:pPr>
            <w:r w:rsidRPr="002029AF">
              <w:t>$M</w:t>
            </w:r>
          </w:p>
        </w:tc>
        <w:tc>
          <w:tcPr>
            <w:tcW w:w="1134" w:type="dxa"/>
            <w:tcBorders>
              <w:bottom w:val="single" w:sz="4" w:space="0" w:color="auto"/>
            </w:tcBorders>
            <w:hideMark/>
          </w:tcPr>
          <w:p w14:paraId="488528A0" w14:textId="77777777" w:rsidR="005F4A7E" w:rsidRPr="002029AF" w:rsidRDefault="005F4A7E" w:rsidP="00860E95">
            <w:pPr>
              <w:pStyle w:val="ARfintablecolheadright"/>
            </w:pPr>
            <w:r>
              <w:t>2020</w:t>
            </w:r>
          </w:p>
          <w:p w14:paraId="377453F3" w14:textId="77777777" w:rsidR="005F4A7E" w:rsidRPr="002029AF" w:rsidRDefault="005F4A7E" w:rsidP="00860E95">
            <w:pPr>
              <w:pStyle w:val="ARfintablecolheadright"/>
            </w:pPr>
            <w:r w:rsidRPr="002029AF">
              <w:t>$M</w:t>
            </w:r>
          </w:p>
        </w:tc>
      </w:tr>
      <w:tr w:rsidR="005F4A7E" w:rsidRPr="002029AF" w14:paraId="52FB79BA" w14:textId="77777777" w:rsidTr="00860E95">
        <w:tc>
          <w:tcPr>
            <w:tcW w:w="9637" w:type="dxa"/>
            <w:gridSpan w:val="3"/>
            <w:tcBorders>
              <w:top w:val="single" w:sz="4" w:space="0" w:color="auto"/>
              <w:bottom w:val="single" w:sz="4" w:space="0" w:color="A6A6A6"/>
            </w:tcBorders>
            <w:hideMark/>
          </w:tcPr>
          <w:p w14:paraId="20F0DA82" w14:textId="77777777" w:rsidR="005F4A7E" w:rsidRPr="002029AF" w:rsidRDefault="005F4A7E" w:rsidP="00130D1C">
            <w:pPr>
              <w:pStyle w:val="ARfintablebodybold"/>
            </w:pPr>
            <w:r w:rsidRPr="00EC308C">
              <w:t>(a) Net gain/(loss) on non-financial assets</w:t>
            </w:r>
          </w:p>
        </w:tc>
      </w:tr>
      <w:tr w:rsidR="005F4A7E" w:rsidRPr="002029AF" w14:paraId="1DC285B0" w14:textId="77777777" w:rsidTr="00860E95">
        <w:tc>
          <w:tcPr>
            <w:tcW w:w="9637" w:type="dxa"/>
            <w:gridSpan w:val="3"/>
            <w:tcBorders>
              <w:top w:val="single" w:sz="4" w:space="0" w:color="A6A6A6"/>
              <w:bottom w:val="single" w:sz="4" w:space="0" w:color="A6A6A6"/>
            </w:tcBorders>
            <w:hideMark/>
          </w:tcPr>
          <w:p w14:paraId="1479BFDF" w14:textId="77777777" w:rsidR="005F4A7E" w:rsidRPr="002029AF" w:rsidRDefault="005F4A7E" w:rsidP="00130D1C">
            <w:pPr>
              <w:pStyle w:val="ARfintablebodybold"/>
            </w:pPr>
            <w:r w:rsidRPr="00EC308C">
              <w:t>Revenue from disposal of non-financial physical assets</w:t>
            </w:r>
          </w:p>
        </w:tc>
      </w:tr>
      <w:tr w:rsidR="005F4A7E" w:rsidRPr="002029AF" w14:paraId="47886D6A" w14:textId="77777777" w:rsidTr="00860E95">
        <w:tc>
          <w:tcPr>
            <w:tcW w:w="7369" w:type="dxa"/>
            <w:tcBorders>
              <w:top w:val="single" w:sz="4" w:space="0" w:color="A6A6A6"/>
              <w:bottom w:val="single" w:sz="4" w:space="0" w:color="A6A6A6"/>
            </w:tcBorders>
            <w:hideMark/>
          </w:tcPr>
          <w:p w14:paraId="4A8F62D7" w14:textId="77777777" w:rsidR="005F4A7E" w:rsidRPr="002029AF" w:rsidRDefault="005F4A7E" w:rsidP="00130D1C">
            <w:pPr>
              <w:pStyle w:val="ARfintablebody"/>
            </w:pPr>
            <w:r w:rsidRPr="00EC308C">
              <w:t>Land</w:t>
            </w:r>
          </w:p>
        </w:tc>
        <w:tc>
          <w:tcPr>
            <w:tcW w:w="1134" w:type="dxa"/>
            <w:tcBorders>
              <w:top w:val="single" w:sz="4" w:space="0" w:color="A6A6A6"/>
              <w:bottom w:val="single" w:sz="4" w:space="0" w:color="A6A6A6"/>
            </w:tcBorders>
            <w:shd w:val="clear" w:color="auto" w:fill="E7E6E6"/>
            <w:noWrap/>
            <w:hideMark/>
          </w:tcPr>
          <w:p w14:paraId="79CFAAE4" w14:textId="77777777" w:rsidR="005F4A7E" w:rsidRPr="002029AF" w:rsidRDefault="005F4A7E" w:rsidP="00130D1C">
            <w:pPr>
              <w:pStyle w:val="ARfintablebodyright"/>
            </w:pPr>
            <w:r w:rsidRPr="00EC308C">
              <w:t>38.3</w:t>
            </w:r>
          </w:p>
        </w:tc>
        <w:tc>
          <w:tcPr>
            <w:tcW w:w="1134" w:type="dxa"/>
            <w:tcBorders>
              <w:top w:val="single" w:sz="4" w:space="0" w:color="A6A6A6"/>
              <w:bottom w:val="single" w:sz="4" w:space="0" w:color="A6A6A6"/>
            </w:tcBorders>
            <w:noWrap/>
            <w:hideMark/>
          </w:tcPr>
          <w:p w14:paraId="2EDBF666" w14:textId="77777777" w:rsidR="005F4A7E" w:rsidRPr="002029AF" w:rsidRDefault="005F4A7E" w:rsidP="00130D1C">
            <w:pPr>
              <w:pStyle w:val="ARfintablebodyright"/>
            </w:pPr>
            <w:r w:rsidRPr="00EC308C">
              <w:t>33.5</w:t>
            </w:r>
          </w:p>
        </w:tc>
      </w:tr>
      <w:tr w:rsidR="005F4A7E" w:rsidRPr="002029AF" w14:paraId="3E66F0B7" w14:textId="77777777" w:rsidTr="00860E95">
        <w:tc>
          <w:tcPr>
            <w:tcW w:w="7369" w:type="dxa"/>
            <w:tcBorders>
              <w:top w:val="single" w:sz="4" w:space="0" w:color="A6A6A6"/>
              <w:bottom w:val="single" w:sz="4" w:space="0" w:color="A6A6A6"/>
            </w:tcBorders>
            <w:hideMark/>
          </w:tcPr>
          <w:p w14:paraId="57DA447D" w14:textId="77777777" w:rsidR="005F4A7E" w:rsidRPr="002029AF" w:rsidRDefault="005F4A7E" w:rsidP="00130D1C">
            <w:pPr>
              <w:pStyle w:val="ARfintablebody"/>
            </w:pPr>
            <w:r w:rsidRPr="00EC308C">
              <w:t>Buildings</w:t>
            </w:r>
          </w:p>
        </w:tc>
        <w:tc>
          <w:tcPr>
            <w:tcW w:w="1134" w:type="dxa"/>
            <w:tcBorders>
              <w:top w:val="single" w:sz="4" w:space="0" w:color="A6A6A6"/>
              <w:bottom w:val="single" w:sz="4" w:space="0" w:color="A6A6A6"/>
            </w:tcBorders>
            <w:shd w:val="clear" w:color="auto" w:fill="E7E6E6"/>
            <w:noWrap/>
            <w:hideMark/>
          </w:tcPr>
          <w:p w14:paraId="6B82461A" w14:textId="77777777" w:rsidR="005F4A7E" w:rsidRPr="002029AF" w:rsidRDefault="005F4A7E" w:rsidP="00130D1C">
            <w:pPr>
              <w:pStyle w:val="ARfintablebodyright"/>
            </w:pPr>
            <w:r w:rsidRPr="00EC308C">
              <w:t>22.4</w:t>
            </w:r>
          </w:p>
        </w:tc>
        <w:tc>
          <w:tcPr>
            <w:tcW w:w="1134" w:type="dxa"/>
            <w:tcBorders>
              <w:top w:val="single" w:sz="4" w:space="0" w:color="A6A6A6"/>
              <w:bottom w:val="single" w:sz="4" w:space="0" w:color="A6A6A6"/>
            </w:tcBorders>
            <w:noWrap/>
            <w:hideMark/>
          </w:tcPr>
          <w:p w14:paraId="7FC8335A" w14:textId="77777777" w:rsidR="005F4A7E" w:rsidRPr="002029AF" w:rsidRDefault="005F4A7E" w:rsidP="00130D1C">
            <w:pPr>
              <w:pStyle w:val="ARfintablebodyright"/>
            </w:pPr>
            <w:r w:rsidRPr="00EC308C">
              <w:t>54.1</w:t>
            </w:r>
          </w:p>
        </w:tc>
      </w:tr>
      <w:tr w:rsidR="005F4A7E" w:rsidRPr="002029AF" w14:paraId="6734F936" w14:textId="77777777" w:rsidTr="00860E95">
        <w:tc>
          <w:tcPr>
            <w:tcW w:w="7369" w:type="dxa"/>
            <w:tcBorders>
              <w:top w:val="single" w:sz="4" w:space="0" w:color="A6A6A6"/>
              <w:bottom w:val="single" w:sz="4" w:space="0" w:color="A6A6A6"/>
            </w:tcBorders>
            <w:hideMark/>
          </w:tcPr>
          <w:p w14:paraId="0E2D816A" w14:textId="77777777" w:rsidR="005F4A7E" w:rsidRPr="002029AF" w:rsidRDefault="005F4A7E" w:rsidP="00130D1C">
            <w:pPr>
              <w:pStyle w:val="ARfintablebody"/>
            </w:pPr>
            <w:r w:rsidRPr="00EC308C">
              <w:t>Shared home ownership scheme</w:t>
            </w:r>
          </w:p>
        </w:tc>
        <w:tc>
          <w:tcPr>
            <w:tcW w:w="1134" w:type="dxa"/>
            <w:tcBorders>
              <w:top w:val="single" w:sz="4" w:space="0" w:color="A6A6A6"/>
              <w:bottom w:val="single" w:sz="4" w:space="0" w:color="A6A6A6"/>
            </w:tcBorders>
            <w:shd w:val="clear" w:color="auto" w:fill="E7E6E6"/>
            <w:noWrap/>
            <w:hideMark/>
          </w:tcPr>
          <w:p w14:paraId="02CA6653" w14:textId="77777777" w:rsidR="005F4A7E" w:rsidRPr="002029AF" w:rsidRDefault="005F4A7E" w:rsidP="00130D1C">
            <w:pPr>
              <w:pStyle w:val="ARfintablebodyright"/>
            </w:pPr>
            <w:r w:rsidRPr="00EC308C">
              <w:t>1.7</w:t>
            </w:r>
          </w:p>
        </w:tc>
        <w:tc>
          <w:tcPr>
            <w:tcW w:w="1134" w:type="dxa"/>
            <w:tcBorders>
              <w:top w:val="single" w:sz="4" w:space="0" w:color="A6A6A6"/>
              <w:bottom w:val="single" w:sz="4" w:space="0" w:color="A6A6A6"/>
            </w:tcBorders>
            <w:noWrap/>
            <w:hideMark/>
          </w:tcPr>
          <w:p w14:paraId="29C43514" w14:textId="77777777" w:rsidR="005F4A7E" w:rsidRPr="002029AF" w:rsidRDefault="005F4A7E" w:rsidP="00130D1C">
            <w:pPr>
              <w:pStyle w:val="ARfintablebodyright"/>
            </w:pPr>
            <w:r w:rsidRPr="00EC308C">
              <w:t>2.1</w:t>
            </w:r>
          </w:p>
        </w:tc>
      </w:tr>
      <w:tr w:rsidR="005F4A7E" w:rsidRPr="002029AF" w14:paraId="2FC536F3" w14:textId="77777777" w:rsidTr="00860E95">
        <w:tc>
          <w:tcPr>
            <w:tcW w:w="7369" w:type="dxa"/>
            <w:tcBorders>
              <w:top w:val="single" w:sz="4" w:space="0" w:color="A6A6A6"/>
            </w:tcBorders>
            <w:hideMark/>
          </w:tcPr>
          <w:p w14:paraId="76497F41" w14:textId="77777777" w:rsidR="005F4A7E" w:rsidRPr="002029AF" w:rsidRDefault="005F4A7E" w:rsidP="00130D1C">
            <w:pPr>
              <w:pStyle w:val="ARfintablebody"/>
            </w:pPr>
            <w:r w:rsidRPr="00EC308C">
              <w:t>Miscellaneous assets</w:t>
            </w:r>
          </w:p>
        </w:tc>
        <w:tc>
          <w:tcPr>
            <w:tcW w:w="1134" w:type="dxa"/>
            <w:tcBorders>
              <w:top w:val="single" w:sz="4" w:space="0" w:color="A6A6A6"/>
            </w:tcBorders>
            <w:shd w:val="clear" w:color="auto" w:fill="E7E6E6"/>
            <w:noWrap/>
            <w:hideMark/>
          </w:tcPr>
          <w:p w14:paraId="7CA3DD5E" w14:textId="77777777" w:rsidR="005F4A7E" w:rsidRPr="002029AF" w:rsidRDefault="005F4A7E" w:rsidP="00130D1C">
            <w:pPr>
              <w:pStyle w:val="ARfintablebodyright"/>
            </w:pPr>
            <w:r w:rsidRPr="00EC308C">
              <w:t>4.9</w:t>
            </w:r>
          </w:p>
        </w:tc>
        <w:tc>
          <w:tcPr>
            <w:tcW w:w="1134" w:type="dxa"/>
            <w:tcBorders>
              <w:top w:val="single" w:sz="4" w:space="0" w:color="A6A6A6"/>
            </w:tcBorders>
            <w:noWrap/>
            <w:hideMark/>
          </w:tcPr>
          <w:p w14:paraId="3570499F" w14:textId="77777777" w:rsidR="005F4A7E" w:rsidRPr="002029AF" w:rsidRDefault="005F4A7E" w:rsidP="00130D1C">
            <w:pPr>
              <w:pStyle w:val="ARfintablebodyright"/>
            </w:pPr>
            <w:r w:rsidRPr="00EC308C">
              <w:t>9.5</w:t>
            </w:r>
          </w:p>
        </w:tc>
      </w:tr>
      <w:tr w:rsidR="005F4A7E" w:rsidRPr="002029AF" w14:paraId="085F5FD4" w14:textId="77777777" w:rsidTr="00860E95">
        <w:tc>
          <w:tcPr>
            <w:tcW w:w="7369" w:type="dxa"/>
            <w:tcBorders>
              <w:bottom w:val="single" w:sz="4" w:space="0" w:color="auto"/>
            </w:tcBorders>
            <w:hideMark/>
          </w:tcPr>
          <w:p w14:paraId="3BD9C81E" w14:textId="77777777" w:rsidR="005F4A7E" w:rsidRPr="002029AF" w:rsidRDefault="005F4A7E" w:rsidP="00130D1C">
            <w:pPr>
              <w:pStyle w:val="ARfintablebodybold"/>
            </w:pPr>
            <w:r w:rsidRPr="00EC308C">
              <w:t>Total revenue from disposal of non-financial physical assets</w:t>
            </w:r>
          </w:p>
        </w:tc>
        <w:tc>
          <w:tcPr>
            <w:tcW w:w="1134" w:type="dxa"/>
            <w:tcBorders>
              <w:bottom w:val="single" w:sz="4" w:space="0" w:color="auto"/>
            </w:tcBorders>
            <w:shd w:val="clear" w:color="auto" w:fill="E7E6E6"/>
            <w:noWrap/>
            <w:hideMark/>
          </w:tcPr>
          <w:p w14:paraId="2CDEF773" w14:textId="77777777" w:rsidR="005F4A7E" w:rsidRPr="002029AF" w:rsidRDefault="005F4A7E" w:rsidP="00130D1C">
            <w:pPr>
              <w:pStyle w:val="ARfintablebodyrightbold"/>
            </w:pPr>
            <w:r w:rsidRPr="00EC308C">
              <w:t>67.3</w:t>
            </w:r>
          </w:p>
        </w:tc>
        <w:tc>
          <w:tcPr>
            <w:tcW w:w="1134" w:type="dxa"/>
            <w:tcBorders>
              <w:bottom w:val="single" w:sz="4" w:space="0" w:color="auto"/>
            </w:tcBorders>
            <w:noWrap/>
            <w:hideMark/>
          </w:tcPr>
          <w:p w14:paraId="00C7B45F" w14:textId="77777777" w:rsidR="005F4A7E" w:rsidRPr="002029AF" w:rsidRDefault="005F4A7E" w:rsidP="00130D1C">
            <w:pPr>
              <w:pStyle w:val="ARfintablebodyrightbold"/>
            </w:pPr>
            <w:r w:rsidRPr="00EC308C">
              <w:t>99.3</w:t>
            </w:r>
          </w:p>
        </w:tc>
      </w:tr>
      <w:tr w:rsidR="005F4A7E" w:rsidRPr="002029AF" w14:paraId="73E7ADBE" w14:textId="77777777" w:rsidTr="00860E95">
        <w:tc>
          <w:tcPr>
            <w:tcW w:w="9637" w:type="dxa"/>
            <w:gridSpan w:val="3"/>
            <w:tcBorders>
              <w:top w:val="single" w:sz="4" w:space="0" w:color="auto"/>
              <w:bottom w:val="single" w:sz="4" w:space="0" w:color="A6A6A6"/>
            </w:tcBorders>
            <w:hideMark/>
          </w:tcPr>
          <w:p w14:paraId="4DEC0E26" w14:textId="77777777" w:rsidR="005F4A7E" w:rsidRPr="002029AF" w:rsidRDefault="005F4A7E" w:rsidP="00130D1C">
            <w:pPr>
              <w:pStyle w:val="ARfintablebodybold"/>
            </w:pPr>
            <w:r w:rsidRPr="00EC308C">
              <w:t>Costs on disposal of non-financial physical assets</w:t>
            </w:r>
          </w:p>
        </w:tc>
      </w:tr>
      <w:tr w:rsidR="005F4A7E" w:rsidRPr="002029AF" w14:paraId="3E438361" w14:textId="77777777" w:rsidTr="00860E95">
        <w:tc>
          <w:tcPr>
            <w:tcW w:w="7369" w:type="dxa"/>
            <w:tcBorders>
              <w:top w:val="single" w:sz="4" w:space="0" w:color="A6A6A6"/>
              <w:bottom w:val="single" w:sz="4" w:space="0" w:color="A6A6A6"/>
            </w:tcBorders>
            <w:hideMark/>
          </w:tcPr>
          <w:p w14:paraId="1A0143C4" w14:textId="77777777" w:rsidR="005F4A7E" w:rsidRPr="002029AF" w:rsidRDefault="005F4A7E" w:rsidP="00130D1C">
            <w:pPr>
              <w:pStyle w:val="ARfintablebody"/>
            </w:pPr>
            <w:r w:rsidRPr="00EC308C">
              <w:t>Land</w:t>
            </w:r>
          </w:p>
        </w:tc>
        <w:tc>
          <w:tcPr>
            <w:tcW w:w="1134" w:type="dxa"/>
            <w:tcBorders>
              <w:top w:val="single" w:sz="4" w:space="0" w:color="A6A6A6"/>
              <w:bottom w:val="single" w:sz="4" w:space="0" w:color="A6A6A6"/>
            </w:tcBorders>
            <w:shd w:val="clear" w:color="auto" w:fill="E7E6E6"/>
            <w:noWrap/>
            <w:hideMark/>
          </w:tcPr>
          <w:p w14:paraId="3D9185DA" w14:textId="77777777" w:rsidR="005F4A7E" w:rsidRPr="002029AF" w:rsidRDefault="005F4A7E" w:rsidP="00130D1C">
            <w:pPr>
              <w:pStyle w:val="ARfintablebodyright"/>
            </w:pPr>
            <w:r w:rsidRPr="00EC308C">
              <w:t>40.0</w:t>
            </w:r>
          </w:p>
        </w:tc>
        <w:tc>
          <w:tcPr>
            <w:tcW w:w="1134" w:type="dxa"/>
            <w:tcBorders>
              <w:top w:val="single" w:sz="4" w:space="0" w:color="A6A6A6"/>
              <w:bottom w:val="single" w:sz="4" w:space="0" w:color="A6A6A6"/>
            </w:tcBorders>
            <w:noWrap/>
            <w:hideMark/>
          </w:tcPr>
          <w:p w14:paraId="12C8D942" w14:textId="77777777" w:rsidR="005F4A7E" w:rsidRPr="002029AF" w:rsidRDefault="005F4A7E" w:rsidP="00130D1C">
            <w:pPr>
              <w:pStyle w:val="ARfintablebodyright"/>
            </w:pPr>
            <w:r w:rsidRPr="00EC308C">
              <w:t>45.0</w:t>
            </w:r>
          </w:p>
        </w:tc>
      </w:tr>
      <w:tr w:rsidR="005F4A7E" w:rsidRPr="002029AF" w14:paraId="2AC3F477" w14:textId="77777777" w:rsidTr="00860E95">
        <w:tc>
          <w:tcPr>
            <w:tcW w:w="7369" w:type="dxa"/>
            <w:tcBorders>
              <w:top w:val="single" w:sz="4" w:space="0" w:color="A6A6A6"/>
              <w:bottom w:val="single" w:sz="4" w:space="0" w:color="A6A6A6"/>
            </w:tcBorders>
            <w:hideMark/>
          </w:tcPr>
          <w:p w14:paraId="3F14083D" w14:textId="77777777" w:rsidR="005F4A7E" w:rsidRPr="002029AF" w:rsidRDefault="005F4A7E" w:rsidP="00130D1C">
            <w:pPr>
              <w:pStyle w:val="ARfintablebody"/>
            </w:pPr>
            <w:r w:rsidRPr="00EC308C">
              <w:t>Buildings</w:t>
            </w:r>
          </w:p>
        </w:tc>
        <w:tc>
          <w:tcPr>
            <w:tcW w:w="1134" w:type="dxa"/>
            <w:tcBorders>
              <w:top w:val="single" w:sz="4" w:space="0" w:color="A6A6A6"/>
              <w:bottom w:val="single" w:sz="4" w:space="0" w:color="A6A6A6"/>
            </w:tcBorders>
            <w:shd w:val="clear" w:color="auto" w:fill="E7E6E6"/>
            <w:noWrap/>
            <w:hideMark/>
          </w:tcPr>
          <w:p w14:paraId="7E8CEA7E" w14:textId="77777777" w:rsidR="005F4A7E" w:rsidRPr="002029AF" w:rsidRDefault="005F4A7E" w:rsidP="00130D1C">
            <w:pPr>
              <w:pStyle w:val="ARfintablebodyright"/>
            </w:pPr>
            <w:r w:rsidRPr="00EC308C">
              <w:t>24.3</w:t>
            </w:r>
          </w:p>
        </w:tc>
        <w:tc>
          <w:tcPr>
            <w:tcW w:w="1134" w:type="dxa"/>
            <w:tcBorders>
              <w:top w:val="single" w:sz="4" w:space="0" w:color="A6A6A6"/>
              <w:bottom w:val="single" w:sz="4" w:space="0" w:color="A6A6A6"/>
            </w:tcBorders>
            <w:noWrap/>
            <w:hideMark/>
          </w:tcPr>
          <w:p w14:paraId="7F0CD7E9" w14:textId="77777777" w:rsidR="005F4A7E" w:rsidRPr="002029AF" w:rsidRDefault="005F4A7E" w:rsidP="00130D1C">
            <w:pPr>
              <w:pStyle w:val="ARfintablebodyright"/>
            </w:pPr>
            <w:r w:rsidRPr="00EC308C">
              <w:t>48.3</w:t>
            </w:r>
          </w:p>
        </w:tc>
      </w:tr>
      <w:tr w:rsidR="005F4A7E" w:rsidRPr="002029AF" w14:paraId="69E08674" w14:textId="77777777" w:rsidTr="00860E95">
        <w:tc>
          <w:tcPr>
            <w:tcW w:w="7369" w:type="dxa"/>
            <w:tcBorders>
              <w:top w:val="single" w:sz="4" w:space="0" w:color="A6A6A6"/>
              <w:bottom w:val="single" w:sz="4" w:space="0" w:color="A6A6A6"/>
            </w:tcBorders>
            <w:hideMark/>
          </w:tcPr>
          <w:p w14:paraId="3A864595" w14:textId="77777777" w:rsidR="005F4A7E" w:rsidRPr="002029AF" w:rsidRDefault="005F4A7E" w:rsidP="00130D1C">
            <w:pPr>
              <w:pStyle w:val="ARfintablebody"/>
            </w:pPr>
            <w:r w:rsidRPr="00EC308C">
              <w:t>Shared home ownership scheme</w:t>
            </w:r>
          </w:p>
        </w:tc>
        <w:tc>
          <w:tcPr>
            <w:tcW w:w="1134" w:type="dxa"/>
            <w:tcBorders>
              <w:top w:val="single" w:sz="4" w:space="0" w:color="A6A6A6"/>
              <w:bottom w:val="single" w:sz="4" w:space="0" w:color="A6A6A6"/>
            </w:tcBorders>
            <w:shd w:val="clear" w:color="auto" w:fill="E7E6E6"/>
            <w:noWrap/>
            <w:hideMark/>
          </w:tcPr>
          <w:p w14:paraId="4C28427D" w14:textId="77777777" w:rsidR="005F4A7E" w:rsidRPr="002029AF" w:rsidRDefault="005F4A7E" w:rsidP="00130D1C">
            <w:pPr>
              <w:pStyle w:val="ARfintablebodyright"/>
            </w:pPr>
            <w:r w:rsidRPr="00EC308C">
              <w:t>1.7</w:t>
            </w:r>
          </w:p>
        </w:tc>
        <w:tc>
          <w:tcPr>
            <w:tcW w:w="1134" w:type="dxa"/>
            <w:tcBorders>
              <w:top w:val="single" w:sz="4" w:space="0" w:color="A6A6A6"/>
              <w:bottom w:val="single" w:sz="4" w:space="0" w:color="A6A6A6"/>
            </w:tcBorders>
            <w:noWrap/>
            <w:hideMark/>
          </w:tcPr>
          <w:p w14:paraId="3F8B9BB0" w14:textId="77777777" w:rsidR="005F4A7E" w:rsidRPr="002029AF" w:rsidRDefault="005F4A7E" w:rsidP="00130D1C">
            <w:pPr>
              <w:pStyle w:val="ARfintablebodyright"/>
            </w:pPr>
            <w:r w:rsidRPr="00EC308C">
              <w:t>2.1</w:t>
            </w:r>
          </w:p>
        </w:tc>
      </w:tr>
      <w:tr w:rsidR="005F4A7E" w:rsidRPr="002029AF" w14:paraId="3E91F5B9" w14:textId="77777777" w:rsidTr="00860E95">
        <w:tc>
          <w:tcPr>
            <w:tcW w:w="7369" w:type="dxa"/>
            <w:tcBorders>
              <w:top w:val="single" w:sz="4" w:space="0" w:color="A6A6A6"/>
              <w:bottom w:val="single" w:sz="4" w:space="0" w:color="A6A6A6"/>
            </w:tcBorders>
            <w:hideMark/>
          </w:tcPr>
          <w:p w14:paraId="6592EFF9" w14:textId="77777777" w:rsidR="005F4A7E" w:rsidRPr="002029AF" w:rsidRDefault="005F4A7E" w:rsidP="00130D1C">
            <w:pPr>
              <w:pStyle w:val="ARfintablebody"/>
            </w:pPr>
            <w:r w:rsidRPr="00EC308C">
              <w:t>Community services properties</w:t>
            </w:r>
          </w:p>
        </w:tc>
        <w:tc>
          <w:tcPr>
            <w:tcW w:w="1134" w:type="dxa"/>
            <w:tcBorders>
              <w:top w:val="single" w:sz="4" w:space="0" w:color="A6A6A6"/>
              <w:bottom w:val="single" w:sz="4" w:space="0" w:color="A6A6A6"/>
            </w:tcBorders>
            <w:shd w:val="clear" w:color="auto" w:fill="E7E6E6"/>
            <w:noWrap/>
            <w:hideMark/>
          </w:tcPr>
          <w:p w14:paraId="510D0982" w14:textId="77777777" w:rsidR="005F4A7E" w:rsidRPr="002029AF" w:rsidRDefault="005F4A7E" w:rsidP="00130D1C">
            <w:pPr>
              <w:pStyle w:val="ARfintablebodyright"/>
            </w:pPr>
            <w:r w:rsidRPr="00EC308C">
              <w:t>0.5</w:t>
            </w:r>
          </w:p>
        </w:tc>
        <w:tc>
          <w:tcPr>
            <w:tcW w:w="1134" w:type="dxa"/>
            <w:tcBorders>
              <w:top w:val="single" w:sz="4" w:space="0" w:color="A6A6A6"/>
              <w:bottom w:val="single" w:sz="4" w:space="0" w:color="A6A6A6"/>
            </w:tcBorders>
            <w:noWrap/>
            <w:hideMark/>
          </w:tcPr>
          <w:p w14:paraId="7C32A933" w14:textId="77777777" w:rsidR="005F4A7E" w:rsidRPr="002029AF" w:rsidRDefault="005F4A7E" w:rsidP="00130D1C">
            <w:pPr>
              <w:pStyle w:val="ARfintablebodyright"/>
            </w:pPr>
            <w:r w:rsidRPr="00EC308C">
              <w:t>1.0</w:t>
            </w:r>
          </w:p>
        </w:tc>
      </w:tr>
      <w:tr w:rsidR="005F4A7E" w:rsidRPr="002029AF" w14:paraId="2A97E959" w14:textId="77777777" w:rsidTr="00860E95">
        <w:tc>
          <w:tcPr>
            <w:tcW w:w="7369" w:type="dxa"/>
            <w:tcBorders>
              <w:top w:val="single" w:sz="4" w:space="0" w:color="A6A6A6"/>
            </w:tcBorders>
            <w:hideMark/>
          </w:tcPr>
          <w:p w14:paraId="008C9F24" w14:textId="77777777" w:rsidR="005F4A7E" w:rsidRPr="002029AF" w:rsidRDefault="005F4A7E" w:rsidP="00130D1C">
            <w:pPr>
              <w:pStyle w:val="ARfintablebody"/>
            </w:pPr>
            <w:r w:rsidRPr="00EC308C">
              <w:t>Miscellaneous assets</w:t>
            </w:r>
          </w:p>
        </w:tc>
        <w:tc>
          <w:tcPr>
            <w:tcW w:w="1134" w:type="dxa"/>
            <w:tcBorders>
              <w:top w:val="single" w:sz="4" w:space="0" w:color="A6A6A6"/>
            </w:tcBorders>
            <w:shd w:val="clear" w:color="auto" w:fill="E7E6E6"/>
            <w:noWrap/>
            <w:hideMark/>
          </w:tcPr>
          <w:p w14:paraId="2DC1CEE4" w14:textId="77777777" w:rsidR="005F4A7E" w:rsidRPr="002029AF" w:rsidRDefault="005F4A7E" w:rsidP="00130D1C">
            <w:pPr>
              <w:pStyle w:val="ARfintablebodyright"/>
            </w:pPr>
            <w:r w:rsidRPr="00EC308C">
              <w:t>3.7</w:t>
            </w:r>
          </w:p>
        </w:tc>
        <w:tc>
          <w:tcPr>
            <w:tcW w:w="1134" w:type="dxa"/>
            <w:tcBorders>
              <w:top w:val="single" w:sz="4" w:space="0" w:color="A6A6A6"/>
            </w:tcBorders>
            <w:noWrap/>
            <w:hideMark/>
          </w:tcPr>
          <w:p w14:paraId="7F2ADE1D" w14:textId="77777777" w:rsidR="005F4A7E" w:rsidRPr="002029AF" w:rsidRDefault="005F4A7E" w:rsidP="00130D1C">
            <w:pPr>
              <w:pStyle w:val="ARfintablebodyright"/>
            </w:pPr>
            <w:r w:rsidRPr="00EC308C">
              <w:t>7.4</w:t>
            </w:r>
          </w:p>
        </w:tc>
      </w:tr>
      <w:tr w:rsidR="005F4A7E" w:rsidRPr="002029AF" w14:paraId="594F4A40" w14:textId="77777777" w:rsidTr="00860E95">
        <w:tc>
          <w:tcPr>
            <w:tcW w:w="7369" w:type="dxa"/>
            <w:hideMark/>
          </w:tcPr>
          <w:p w14:paraId="20DFBF4B" w14:textId="77777777" w:rsidR="005F4A7E" w:rsidRPr="002029AF" w:rsidRDefault="005F4A7E" w:rsidP="00130D1C">
            <w:pPr>
              <w:pStyle w:val="ARfintablebodybold"/>
            </w:pPr>
            <w:r w:rsidRPr="00EC308C">
              <w:t>Total costs on disposal of non-financial physical assets</w:t>
            </w:r>
          </w:p>
        </w:tc>
        <w:tc>
          <w:tcPr>
            <w:tcW w:w="1134" w:type="dxa"/>
            <w:shd w:val="clear" w:color="auto" w:fill="E7E6E6"/>
            <w:noWrap/>
            <w:hideMark/>
          </w:tcPr>
          <w:p w14:paraId="42BA706B" w14:textId="77777777" w:rsidR="005F4A7E" w:rsidRPr="002029AF" w:rsidRDefault="005F4A7E" w:rsidP="00130D1C">
            <w:pPr>
              <w:pStyle w:val="ARfintablebodyrightbold"/>
            </w:pPr>
            <w:r w:rsidRPr="00EC308C">
              <w:t>70.2</w:t>
            </w:r>
          </w:p>
        </w:tc>
        <w:tc>
          <w:tcPr>
            <w:tcW w:w="1134" w:type="dxa"/>
            <w:noWrap/>
            <w:hideMark/>
          </w:tcPr>
          <w:p w14:paraId="0577A05A" w14:textId="77777777" w:rsidR="005F4A7E" w:rsidRPr="002029AF" w:rsidRDefault="005F4A7E" w:rsidP="00130D1C">
            <w:pPr>
              <w:pStyle w:val="ARfintablebodyrightbold"/>
            </w:pPr>
            <w:r w:rsidRPr="00EC308C">
              <w:t>103.8</w:t>
            </w:r>
          </w:p>
        </w:tc>
      </w:tr>
      <w:tr w:rsidR="005F4A7E" w:rsidRPr="002029AF" w14:paraId="23340079" w14:textId="77777777" w:rsidTr="00860E95">
        <w:tc>
          <w:tcPr>
            <w:tcW w:w="7369" w:type="dxa"/>
            <w:tcBorders>
              <w:bottom w:val="single" w:sz="4" w:space="0" w:color="auto"/>
            </w:tcBorders>
            <w:hideMark/>
          </w:tcPr>
          <w:p w14:paraId="51E063DF" w14:textId="77777777" w:rsidR="005F4A7E" w:rsidRPr="002029AF" w:rsidRDefault="005F4A7E" w:rsidP="00130D1C">
            <w:pPr>
              <w:pStyle w:val="ARfintablebodybold"/>
            </w:pPr>
            <w:r w:rsidRPr="00EC308C">
              <w:t>Net gain/(loss) on non-financial assets</w:t>
            </w:r>
          </w:p>
        </w:tc>
        <w:tc>
          <w:tcPr>
            <w:tcW w:w="1134" w:type="dxa"/>
            <w:tcBorders>
              <w:bottom w:val="single" w:sz="4" w:space="0" w:color="auto"/>
            </w:tcBorders>
            <w:shd w:val="clear" w:color="auto" w:fill="E7E6E6"/>
            <w:noWrap/>
            <w:hideMark/>
          </w:tcPr>
          <w:p w14:paraId="28644E0F" w14:textId="77777777" w:rsidR="005F4A7E" w:rsidRPr="002029AF" w:rsidRDefault="005F4A7E" w:rsidP="00130D1C">
            <w:pPr>
              <w:pStyle w:val="ARfintablebodyrightbold"/>
            </w:pPr>
            <w:r w:rsidRPr="00EC308C">
              <w:t>(2.9)</w:t>
            </w:r>
          </w:p>
        </w:tc>
        <w:tc>
          <w:tcPr>
            <w:tcW w:w="1134" w:type="dxa"/>
            <w:tcBorders>
              <w:bottom w:val="single" w:sz="4" w:space="0" w:color="auto"/>
            </w:tcBorders>
            <w:noWrap/>
            <w:hideMark/>
          </w:tcPr>
          <w:p w14:paraId="2B136C71" w14:textId="77777777" w:rsidR="005F4A7E" w:rsidRPr="002029AF" w:rsidRDefault="005F4A7E" w:rsidP="00130D1C">
            <w:pPr>
              <w:pStyle w:val="ARfintablebodyrightbold"/>
            </w:pPr>
            <w:r w:rsidRPr="00EC308C">
              <w:t>(4.5)</w:t>
            </w:r>
          </w:p>
        </w:tc>
      </w:tr>
      <w:tr w:rsidR="005F4A7E" w:rsidRPr="002029AF" w14:paraId="112A5058" w14:textId="77777777" w:rsidTr="00860E95">
        <w:tc>
          <w:tcPr>
            <w:tcW w:w="9637" w:type="dxa"/>
            <w:gridSpan w:val="3"/>
            <w:tcBorders>
              <w:top w:val="single" w:sz="4" w:space="0" w:color="auto"/>
              <w:bottom w:val="single" w:sz="4" w:space="0" w:color="A6A6A6"/>
            </w:tcBorders>
            <w:hideMark/>
          </w:tcPr>
          <w:p w14:paraId="1D02D822" w14:textId="77777777" w:rsidR="005F4A7E" w:rsidRPr="002029AF" w:rsidRDefault="005F4A7E" w:rsidP="00130D1C">
            <w:pPr>
              <w:pStyle w:val="ARfintablebodybold"/>
            </w:pPr>
            <w:r w:rsidRPr="00EC308C">
              <w:t>(b) Net gain/(loss) on financial instruments</w:t>
            </w:r>
          </w:p>
        </w:tc>
      </w:tr>
      <w:tr w:rsidR="005F4A7E" w:rsidRPr="002029AF" w14:paraId="3C8C7966" w14:textId="77777777" w:rsidTr="00860E95">
        <w:tc>
          <w:tcPr>
            <w:tcW w:w="7369" w:type="dxa"/>
            <w:tcBorders>
              <w:top w:val="single" w:sz="4" w:space="0" w:color="A6A6A6"/>
            </w:tcBorders>
            <w:hideMark/>
          </w:tcPr>
          <w:p w14:paraId="1F58F818" w14:textId="77777777" w:rsidR="005F4A7E" w:rsidRPr="002029AF" w:rsidRDefault="005F4A7E" w:rsidP="00130D1C">
            <w:pPr>
              <w:pStyle w:val="ARfintablebody"/>
            </w:pPr>
            <w:r w:rsidRPr="00EC308C">
              <w:t>Net gain/(loss) on financial instruments and statutory receivables/payables</w:t>
            </w:r>
          </w:p>
        </w:tc>
        <w:tc>
          <w:tcPr>
            <w:tcW w:w="1134" w:type="dxa"/>
            <w:tcBorders>
              <w:top w:val="single" w:sz="4" w:space="0" w:color="A6A6A6"/>
            </w:tcBorders>
            <w:shd w:val="clear" w:color="auto" w:fill="E7E6E6"/>
            <w:noWrap/>
            <w:hideMark/>
          </w:tcPr>
          <w:p w14:paraId="33326612" w14:textId="77777777" w:rsidR="005F4A7E" w:rsidRPr="002029AF" w:rsidRDefault="005F4A7E" w:rsidP="00130D1C">
            <w:pPr>
              <w:pStyle w:val="ARfintablebodyright"/>
            </w:pPr>
            <w:r w:rsidRPr="00EC308C">
              <w:t>1.6</w:t>
            </w:r>
          </w:p>
        </w:tc>
        <w:tc>
          <w:tcPr>
            <w:tcW w:w="1134" w:type="dxa"/>
            <w:tcBorders>
              <w:top w:val="single" w:sz="4" w:space="0" w:color="A6A6A6"/>
            </w:tcBorders>
            <w:noWrap/>
            <w:hideMark/>
          </w:tcPr>
          <w:p w14:paraId="2F82809B" w14:textId="77777777" w:rsidR="005F4A7E" w:rsidRPr="002029AF" w:rsidRDefault="005F4A7E" w:rsidP="00130D1C">
            <w:pPr>
              <w:pStyle w:val="ARfintablebodyright"/>
            </w:pPr>
            <w:r w:rsidRPr="00EC308C">
              <w:t>0.4</w:t>
            </w:r>
          </w:p>
        </w:tc>
      </w:tr>
      <w:tr w:rsidR="005F4A7E" w:rsidRPr="002029AF" w14:paraId="082834FE" w14:textId="77777777" w:rsidTr="00860E95">
        <w:tc>
          <w:tcPr>
            <w:tcW w:w="7369" w:type="dxa"/>
            <w:tcBorders>
              <w:bottom w:val="single" w:sz="4" w:space="0" w:color="auto"/>
            </w:tcBorders>
            <w:hideMark/>
          </w:tcPr>
          <w:p w14:paraId="741A15A5" w14:textId="77777777" w:rsidR="005F4A7E" w:rsidRPr="002029AF" w:rsidRDefault="005F4A7E" w:rsidP="00130D1C">
            <w:pPr>
              <w:pStyle w:val="ARfintablebodybold"/>
            </w:pPr>
            <w:r w:rsidRPr="00EC308C">
              <w:t>Total net gain/(loss) on financial instruments</w:t>
            </w:r>
          </w:p>
        </w:tc>
        <w:tc>
          <w:tcPr>
            <w:tcW w:w="1134" w:type="dxa"/>
            <w:tcBorders>
              <w:bottom w:val="single" w:sz="4" w:space="0" w:color="auto"/>
            </w:tcBorders>
            <w:shd w:val="clear" w:color="auto" w:fill="E7E6E6"/>
            <w:noWrap/>
            <w:hideMark/>
          </w:tcPr>
          <w:p w14:paraId="27BD41BF" w14:textId="77777777" w:rsidR="005F4A7E" w:rsidRPr="002029AF" w:rsidRDefault="005F4A7E" w:rsidP="00130D1C">
            <w:pPr>
              <w:pStyle w:val="ARfintablebodyrightbold"/>
            </w:pPr>
            <w:r w:rsidRPr="00EC308C">
              <w:t>1.6</w:t>
            </w:r>
          </w:p>
        </w:tc>
        <w:tc>
          <w:tcPr>
            <w:tcW w:w="1134" w:type="dxa"/>
            <w:tcBorders>
              <w:bottom w:val="single" w:sz="4" w:space="0" w:color="auto"/>
            </w:tcBorders>
            <w:noWrap/>
            <w:hideMark/>
          </w:tcPr>
          <w:p w14:paraId="228FF7F5" w14:textId="77777777" w:rsidR="005F4A7E" w:rsidRPr="002029AF" w:rsidRDefault="005F4A7E" w:rsidP="00130D1C">
            <w:pPr>
              <w:pStyle w:val="ARfintablebodyrightbold"/>
            </w:pPr>
            <w:r w:rsidRPr="00EC308C">
              <w:t>0.4</w:t>
            </w:r>
          </w:p>
        </w:tc>
      </w:tr>
      <w:tr w:rsidR="005F4A7E" w:rsidRPr="002029AF" w14:paraId="69BA68D0" w14:textId="77777777" w:rsidTr="00860E95">
        <w:tc>
          <w:tcPr>
            <w:tcW w:w="9637" w:type="dxa"/>
            <w:gridSpan w:val="3"/>
            <w:tcBorders>
              <w:top w:val="single" w:sz="4" w:space="0" w:color="auto"/>
              <w:bottom w:val="single" w:sz="4" w:space="0" w:color="A6A6A6"/>
            </w:tcBorders>
            <w:hideMark/>
          </w:tcPr>
          <w:p w14:paraId="0985B697" w14:textId="77777777" w:rsidR="005F4A7E" w:rsidRPr="002029AF" w:rsidRDefault="005F4A7E" w:rsidP="00130D1C">
            <w:pPr>
              <w:pStyle w:val="ARfintablebodybold"/>
            </w:pPr>
            <w:r w:rsidRPr="00EC308C">
              <w:t>(c) Impairment of joint venture</w:t>
            </w:r>
          </w:p>
        </w:tc>
      </w:tr>
      <w:tr w:rsidR="005F4A7E" w:rsidRPr="002029AF" w14:paraId="18E1013C" w14:textId="77777777" w:rsidTr="00860E95">
        <w:tc>
          <w:tcPr>
            <w:tcW w:w="7369" w:type="dxa"/>
            <w:tcBorders>
              <w:top w:val="single" w:sz="4" w:space="0" w:color="A6A6A6"/>
            </w:tcBorders>
            <w:hideMark/>
          </w:tcPr>
          <w:p w14:paraId="2F53E8FA" w14:textId="77777777" w:rsidR="005F4A7E" w:rsidRPr="002029AF" w:rsidRDefault="005F4A7E" w:rsidP="00130D1C">
            <w:pPr>
              <w:pStyle w:val="ARfintablebody"/>
            </w:pPr>
            <w:r w:rsidRPr="00EC308C">
              <w:t>Impairment of joint venture</w:t>
            </w:r>
          </w:p>
        </w:tc>
        <w:tc>
          <w:tcPr>
            <w:tcW w:w="1134" w:type="dxa"/>
            <w:tcBorders>
              <w:top w:val="single" w:sz="4" w:space="0" w:color="A6A6A6"/>
            </w:tcBorders>
            <w:shd w:val="clear" w:color="auto" w:fill="E7E6E6"/>
            <w:noWrap/>
            <w:hideMark/>
          </w:tcPr>
          <w:p w14:paraId="411D8A80" w14:textId="77777777" w:rsidR="005F4A7E" w:rsidRPr="002029AF" w:rsidRDefault="005F4A7E" w:rsidP="00130D1C">
            <w:pPr>
              <w:pStyle w:val="ARfintablebodyright"/>
            </w:pPr>
            <w:r w:rsidRPr="00EC308C">
              <w:t>–</w:t>
            </w:r>
          </w:p>
        </w:tc>
        <w:tc>
          <w:tcPr>
            <w:tcW w:w="1134" w:type="dxa"/>
            <w:tcBorders>
              <w:top w:val="single" w:sz="4" w:space="0" w:color="A6A6A6"/>
            </w:tcBorders>
            <w:noWrap/>
            <w:hideMark/>
          </w:tcPr>
          <w:p w14:paraId="25571583" w14:textId="77777777" w:rsidR="005F4A7E" w:rsidRPr="002029AF" w:rsidRDefault="005F4A7E" w:rsidP="00130D1C">
            <w:pPr>
              <w:pStyle w:val="ARfintablebodyright"/>
            </w:pPr>
            <w:r w:rsidRPr="00EC308C">
              <w:t>(35.0)</w:t>
            </w:r>
          </w:p>
        </w:tc>
      </w:tr>
      <w:tr w:rsidR="005F4A7E" w:rsidRPr="002029AF" w14:paraId="313B638F" w14:textId="77777777" w:rsidTr="00860E95">
        <w:tc>
          <w:tcPr>
            <w:tcW w:w="7369" w:type="dxa"/>
            <w:tcBorders>
              <w:bottom w:val="single" w:sz="4" w:space="0" w:color="auto"/>
            </w:tcBorders>
            <w:hideMark/>
          </w:tcPr>
          <w:p w14:paraId="0AF90895" w14:textId="77777777" w:rsidR="005F4A7E" w:rsidRPr="002029AF" w:rsidRDefault="005F4A7E" w:rsidP="00130D1C">
            <w:pPr>
              <w:pStyle w:val="ARfintablebodybold"/>
            </w:pPr>
            <w:r w:rsidRPr="00EC308C">
              <w:t>Total impairment of joint venture</w:t>
            </w:r>
          </w:p>
        </w:tc>
        <w:tc>
          <w:tcPr>
            <w:tcW w:w="1134" w:type="dxa"/>
            <w:tcBorders>
              <w:bottom w:val="single" w:sz="4" w:space="0" w:color="auto"/>
            </w:tcBorders>
            <w:shd w:val="clear" w:color="auto" w:fill="E7E6E6"/>
            <w:noWrap/>
            <w:hideMark/>
          </w:tcPr>
          <w:p w14:paraId="0ECAEEEF" w14:textId="77777777" w:rsidR="005F4A7E" w:rsidRPr="002029AF" w:rsidRDefault="005F4A7E" w:rsidP="00130D1C">
            <w:pPr>
              <w:pStyle w:val="ARfintablebodyrightbold"/>
            </w:pPr>
            <w:r w:rsidRPr="00EC308C">
              <w:t>–</w:t>
            </w:r>
          </w:p>
        </w:tc>
        <w:tc>
          <w:tcPr>
            <w:tcW w:w="1134" w:type="dxa"/>
            <w:tcBorders>
              <w:bottom w:val="single" w:sz="4" w:space="0" w:color="auto"/>
            </w:tcBorders>
            <w:noWrap/>
            <w:hideMark/>
          </w:tcPr>
          <w:p w14:paraId="1A3D0026" w14:textId="77777777" w:rsidR="005F4A7E" w:rsidRPr="002029AF" w:rsidRDefault="005F4A7E" w:rsidP="00130D1C">
            <w:pPr>
              <w:pStyle w:val="ARfintablebodyrightbold"/>
            </w:pPr>
            <w:r w:rsidRPr="00EC308C">
              <w:t>(35.0)</w:t>
            </w:r>
          </w:p>
        </w:tc>
      </w:tr>
      <w:tr w:rsidR="005F4A7E" w:rsidRPr="002029AF" w14:paraId="67A1B6EB" w14:textId="77777777" w:rsidTr="00860E95">
        <w:tc>
          <w:tcPr>
            <w:tcW w:w="9637" w:type="dxa"/>
            <w:gridSpan w:val="3"/>
            <w:tcBorders>
              <w:top w:val="single" w:sz="4" w:space="0" w:color="auto"/>
              <w:bottom w:val="single" w:sz="4" w:space="0" w:color="A6A6A6"/>
            </w:tcBorders>
            <w:hideMark/>
          </w:tcPr>
          <w:p w14:paraId="4E672FCD" w14:textId="77777777" w:rsidR="005F4A7E" w:rsidRPr="002029AF" w:rsidRDefault="005F4A7E" w:rsidP="00130D1C">
            <w:pPr>
              <w:pStyle w:val="ARfintablebodybold"/>
            </w:pPr>
            <w:r w:rsidRPr="00EC308C">
              <w:t>(d) Other gains/(losses) from other economic flows</w:t>
            </w:r>
          </w:p>
        </w:tc>
      </w:tr>
      <w:tr w:rsidR="005F4A7E" w:rsidRPr="002029AF" w14:paraId="2C7528BA" w14:textId="77777777" w:rsidTr="00860E95">
        <w:tc>
          <w:tcPr>
            <w:tcW w:w="7369" w:type="dxa"/>
            <w:tcBorders>
              <w:top w:val="single" w:sz="4" w:space="0" w:color="A6A6A6"/>
              <w:bottom w:val="single" w:sz="4" w:space="0" w:color="A6A6A6"/>
            </w:tcBorders>
            <w:hideMark/>
          </w:tcPr>
          <w:p w14:paraId="41F34158" w14:textId="77777777" w:rsidR="005F4A7E" w:rsidRPr="002029AF" w:rsidRDefault="005F4A7E" w:rsidP="00130D1C">
            <w:pPr>
              <w:pStyle w:val="ARfintablebody"/>
            </w:pPr>
            <w:r w:rsidRPr="00EC308C">
              <w:t>Net gain/(loss) arising from revaluation of long service leave liability</w:t>
            </w:r>
          </w:p>
        </w:tc>
        <w:tc>
          <w:tcPr>
            <w:tcW w:w="1134" w:type="dxa"/>
            <w:tcBorders>
              <w:top w:val="single" w:sz="4" w:space="0" w:color="A6A6A6"/>
              <w:bottom w:val="single" w:sz="4" w:space="0" w:color="A6A6A6"/>
            </w:tcBorders>
            <w:shd w:val="clear" w:color="auto" w:fill="E7E6E6"/>
            <w:noWrap/>
            <w:hideMark/>
          </w:tcPr>
          <w:p w14:paraId="2C1E9CFE" w14:textId="77777777" w:rsidR="005F4A7E" w:rsidRPr="002029AF" w:rsidRDefault="005F4A7E" w:rsidP="00130D1C">
            <w:pPr>
              <w:pStyle w:val="ARfintablebodyright"/>
            </w:pPr>
            <w:r w:rsidRPr="00EC308C">
              <w:t>8.0</w:t>
            </w:r>
          </w:p>
        </w:tc>
        <w:tc>
          <w:tcPr>
            <w:tcW w:w="1134" w:type="dxa"/>
            <w:tcBorders>
              <w:top w:val="single" w:sz="4" w:space="0" w:color="A6A6A6"/>
              <w:bottom w:val="single" w:sz="4" w:space="0" w:color="A6A6A6"/>
            </w:tcBorders>
            <w:noWrap/>
            <w:hideMark/>
          </w:tcPr>
          <w:p w14:paraId="2D7995D0" w14:textId="77777777" w:rsidR="005F4A7E" w:rsidRPr="002029AF" w:rsidRDefault="005F4A7E" w:rsidP="00130D1C">
            <w:pPr>
              <w:pStyle w:val="ARfintablebodyright"/>
            </w:pPr>
            <w:r w:rsidRPr="00EC308C">
              <w:t>(6.9)</w:t>
            </w:r>
          </w:p>
        </w:tc>
      </w:tr>
      <w:tr w:rsidR="005F4A7E" w:rsidRPr="002029AF" w14:paraId="04462E3B" w14:textId="77777777" w:rsidTr="00860E95">
        <w:tc>
          <w:tcPr>
            <w:tcW w:w="7369" w:type="dxa"/>
            <w:tcBorders>
              <w:top w:val="single" w:sz="4" w:space="0" w:color="A6A6A6"/>
              <w:bottom w:val="single" w:sz="4" w:space="0" w:color="A6A6A6"/>
            </w:tcBorders>
            <w:hideMark/>
          </w:tcPr>
          <w:p w14:paraId="25A82B15" w14:textId="77777777" w:rsidR="005F4A7E" w:rsidRPr="002029AF" w:rsidRDefault="005F4A7E" w:rsidP="00130D1C">
            <w:pPr>
              <w:pStyle w:val="ARfintablebody"/>
            </w:pPr>
            <w:r w:rsidRPr="00EC308C">
              <w:t>Revaluation and adjustments of insurance claims</w:t>
            </w:r>
          </w:p>
        </w:tc>
        <w:tc>
          <w:tcPr>
            <w:tcW w:w="1134" w:type="dxa"/>
            <w:tcBorders>
              <w:top w:val="single" w:sz="4" w:space="0" w:color="A6A6A6"/>
              <w:bottom w:val="single" w:sz="4" w:space="0" w:color="A6A6A6"/>
            </w:tcBorders>
            <w:shd w:val="clear" w:color="auto" w:fill="E7E6E6"/>
            <w:noWrap/>
            <w:hideMark/>
          </w:tcPr>
          <w:p w14:paraId="3F89915B" w14:textId="77777777" w:rsidR="005F4A7E" w:rsidRPr="002029AF" w:rsidRDefault="005F4A7E" w:rsidP="00130D1C">
            <w:pPr>
              <w:pStyle w:val="ARfintablebodyright"/>
            </w:pPr>
            <w:r w:rsidRPr="00EC308C">
              <w:t>(0.5)</w:t>
            </w:r>
          </w:p>
        </w:tc>
        <w:tc>
          <w:tcPr>
            <w:tcW w:w="1134" w:type="dxa"/>
            <w:tcBorders>
              <w:top w:val="single" w:sz="4" w:space="0" w:color="A6A6A6"/>
              <w:bottom w:val="single" w:sz="4" w:space="0" w:color="A6A6A6"/>
            </w:tcBorders>
            <w:noWrap/>
            <w:hideMark/>
          </w:tcPr>
          <w:p w14:paraId="1B9A29E6" w14:textId="77777777" w:rsidR="005F4A7E" w:rsidRPr="002029AF" w:rsidRDefault="005F4A7E" w:rsidP="00130D1C">
            <w:pPr>
              <w:pStyle w:val="ARfintablebodyright"/>
            </w:pPr>
            <w:r w:rsidRPr="00EC308C">
              <w:t>(12.6)</w:t>
            </w:r>
          </w:p>
        </w:tc>
      </w:tr>
      <w:tr w:rsidR="005F4A7E" w:rsidRPr="002029AF" w14:paraId="022DA6F0" w14:textId="77777777" w:rsidTr="00860E95">
        <w:tc>
          <w:tcPr>
            <w:tcW w:w="7369" w:type="dxa"/>
            <w:tcBorders>
              <w:top w:val="single" w:sz="4" w:space="0" w:color="A6A6A6"/>
            </w:tcBorders>
            <w:hideMark/>
          </w:tcPr>
          <w:p w14:paraId="13684076" w14:textId="77777777" w:rsidR="005F4A7E" w:rsidRPr="002029AF" w:rsidRDefault="005F4A7E" w:rsidP="00130D1C">
            <w:pPr>
              <w:pStyle w:val="ARfintablebody"/>
            </w:pPr>
            <w:r w:rsidRPr="00EC308C">
              <w:t>Bad debt expenses</w:t>
            </w:r>
          </w:p>
        </w:tc>
        <w:tc>
          <w:tcPr>
            <w:tcW w:w="1134" w:type="dxa"/>
            <w:tcBorders>
              <w:top w:val="single" w:sz="4" w:space="0" w:color="A6A6A6"/>
            </w:tcBorders>
            <w:shd w:val="clear" w:color="auto" w:fill="E7E6E6"/>
            <w:noWrap/>
            <w:hideMark/>
          </w:tcPr>
          <w:p w14:paraId="217DBD18" w14:textId="77777777" w:rsidR="005F4A7E" w:rsidRPr="002029AF" w:rsidRDefault="005F4A7E" w:rsidP="00130D1C">
            <w:pPr>
              <w:pStyle w:val="ARfintablebodyright"/>
            </w:pPr>
            <w:r w:rsidRPr="00EC308C">
              <w:t>(19.8)</w:t>
            </w:r>
          </w:p>
        </w:tc>
        <w:tc>
          <w:tcPr>
            <w:tcW w:w="1134" w:type="dxa"/>
            <w:tcBorders>
              <w:top w:val="single" w:sz="4" w:space="0" w:color="A6A6A6"/>
            </w:tcBorders>
            <w:noWrap/>
            <w:hideMark/>
          </w:tcPr>
          <w:p w14:paraId="6FCC0D78" w14:textId="77777777" w:rsidR="005F4A7E" w:rsidRPr="002029AF" w:rsidRDefault="005F4A7E" w:rsidP="00130D1C">
            <w:pPr>
              <w:pStyle w:val="ARfintablebodyright"/>
            </w:pPr>
            <w:r w:rsidRPr="00EC308C">
              <w:t>(4.1)</w:t>
            </w:r>
          </w:p>
        </w:tc>
      </w:tr>
      <w:tr w:rsidR="005F4A7E" w:rsidRPr="002029AF" w14:paraId="2AB272AF" w14:textId="77777777" w:rsidTr="00860E95">
        <w:tc>
          <w:tcPr>
            <w:tcW w:w="7369" w:type="dxa"/>
            <w:hideMark/>
          </w:tcPr>
          <w:p w14:paraId="2C69FFDC" w14:textId="77777777" w:rsidR="005F4A7E" w:rsidRPr="002029AF" w:rsidRDefault="005F4A7E" w:rsidP="00130D1C">
            <w:pPr>
              <w:pStyle w:val="ARfintablebodybold"/>
            </w:pPr>
            <w:r w:rsidRPr="00EC308C">
              <w:t>Total other gains/(losses) from other economic flows</w:t>
            </w:r>
          </w:p>
        </w:tc>
        <w:tc>
          <w:tcPr>
            <w:tcW w:w="1134" w:type="dxa"/>
            <w:shd w:val="clear" w:color="auto" w:fill="E7E6E6"/>
            <w:noWrap/>
            <w:hideMark/>
          </w:tcPr>
          <w:p w14:paraId="79895703" w14:textId="77777777" w:rsidR="005F4A7E" w:rsidRPr="002029AF" w:rsidRDefault="005F4A7E" w:rsidP="00130D1C">
            <w:pPr>
              <w:pStyle w:val="ARfintablebodyrightbold"/>
            </w:pPr>
            <w:r w:rsidRPr="00EC308C">
              <w:t>(12.3)</w:t>
            </w:r>
          </w:p>
        </w:tc>
        <w:tc>
          <w:tcPr>
            <w:tcW w:w="1134" w:type="dxa"/>
            <w:noWrap/>
            <w:hideMark/>
          </w:tcPr>
          <w:p w14:paraId="24DC18DC" w14:textId="77777777" w:rsidR="005F4A7E" w:rsidRPr="002029AF" w:rsidRDefault="005F4A7E" w:rsidP="00130D1C">
            <w:pPr>
              <w:pStyle w:val="ARfintablebodyrightbold"/>
            </w:pPr>
            <w:r w:rsidRPr="00EC308C">
              <w:t>(23.6)</w:t>
            </w:r>
          </w:p>
        </w:tc>
      </w:tr>
    </w:tbl>
    <w:p w14:paraId="1AE67759" w14:textId="77777777" w:rsidR="005F4A7E" w:rsidRDefault="005F4A7E" w:rsidP="00130D1C">
      <w:pPr>
        <w:pStyle w:val="Heading4"/>
        <w:rPr>
          <w:lang w:eastAsia="en-AU"/>
        </w:rPr>
      </w:pPr>
      <w:bookmarkStart w:id="1051" w:name="_Toc39242168"/>
      <w:bookmarkStart w:id="1052" w:name="_Ref84598348"/>
      <w:bookmarkStart w:id="1053" w:name="_Toc85121549"/>
      <w:r>
        <w:rPr>
          <w:lang w:eastAsia="en-AU"/>
        </w:rPr>
        <w:t>9.3 Non-financial assets held for sale</w:t>
      </w:r>
      <w:bookmarkEnd w:id="1051"/>
      <w:bookmarkEnd w:id="1052"/>
      <w:bookmarkEnd w:id="1053"/>
    </w:p>
    <w:p w14:paraId="167D47A8" w14:textId="77777777" w:rsidR="005F4A7E" w:rsidRDefault="005F4A7E" w:rsidP="00130D1C">
      <w:pPr>
        <w:pStyle w:val="ARfinbodylargespace"/>
      </w:pPr>
      <w:r>
        <w:t>In addition to the assets and liabilities disclosed above, the following non-financial assets held for sale exist at the reporting date:</w:t>
      </w:r>
    </w:p>
    <w:tbl>
      <w:tblPr>
        <w:tblStyle w:val="TableGrid"/>
        <w:tblW w:w="9637" w:type="dxa"/>
        <w:tblLayout w:type="fixed"/>
        <w:tblLook w:val="06A0" w:firstRow="1" w:lastRow="0" w:firstColumn="1" w:lastColumn="0" w:noHBand="1" w:noVBand="1"/>
      </w:tblPr>
      <w:tblGrid>
        <w:gridCol w:w="7369"/>
        <w:gridCol w:w="1134"/>
        <w:gridCol w:w="1134"/>
      </w:tblGrid>
      <w:tr w:rsidR="005F4A7E" w:rsidRPr="002029AF" w14:paraId="1E967655" w14:textId="77777777" w:rsidTr="00FC2F9E">
        <w:trPr>
          <w:cnfStyle w:val="100000000000" w:firstRow="1" w:lastRow="0" w:firstColumn="0" w:lastColumn="0" w:oddVBand="0" w:evenVBand="0" w:oddHBand="0" w:evenHBand="0" w:firstRowFirstColumn="0" w:firstRowLastColumn="0" w:lastRowFirstColumn="0" w:lastRowLastColumn="0"/>
          <w:tblHeader/>
        </w:trPr>
        <w:tc>
          <w:tcPr>
            <w:tcW w:w="7369" w:type="dxa"/>
            <w:tcBorders>
              <w:bottom w:val="single" w:sz="4" w:space="0" w:color="auto"/>
            </w:tcBorders>
            <w:noWrap/>
            <w:hideMark/>
          </w:tcPr>
          <w:p w14:paraId="5F32C5F5" w14:textId="77777777" w:rsidR="005F4A7E" w:rsidRPr="002029AF" w:rsidRDefault="005F4A7E" w:rsidP="00860E95">
            <w:pPr>
              <w:pStyle w:val="ARfintablecolhead"/>
            </w:pPr>
          </w:p>
        </w:tc>
        <w:tc>
          <w:tcPr>
            <w:tcW w:w="1134" w:type="dxa"/>
            <w:tcBorders>
              <w:bottom w:val="single" w:sz="4" w:space="0" w:color="auto"/>
            </w:tcBorders>
            <w:shd w:val="clear" w:color="auto" w:fill="E7E6E6"/>
            <w:hideMark/>
          </w:tcPr>
          <w:p w14:paraId="39E11E3F" w14:textId="77777777" w:rsidR="005F4A7E" w:rsidRPr="002029AF" w:rsidRDefault="005F4A7E" w:rsidP="00860E95">
            <w:pPr>
              <w:pStyle w:val="ARfintablecolheadright"/>
            </w:pPr>
            <w:r>
              <w:t>2021</w:t>
            </w:r>
          </w:p>
          <w:p w14:paraId="0C52335A" w14:textId="77777777" w:rsidR="005F4A7E" w:rsidRPr="002029AF" w:rsidRDefault="005F4A7E" w:rsidP="00860E95">
            <w:pPr>
              <w:pStyle w:val="ARfintablecolheadright"/>
            </w:pPr>
            <w:r w:rsidRPr="002029AF">
              <w:t>$M</w:t>
            </w:r>
          </w:p>
        </w:tc>
        <w:tc>
          <w:tcPr>
            <w:tcW w:w="1134" w:type="dxa"/>
            <w:tcBorders>
              <w:bottom w:val="single" w:sz="4" w:space="0" w:color="auto"/>
            </w:tcBorders>
            <w:hideMark/>
          </w:tcPr>
          <w:p w14:paraId="4888BCB7" w14:textId="77777777" w:rsidR="005F4A7E" w:rsidRPr="002029AF" w:rsidRDefault="005F4A7E" w:rsidP="00860E95">
            <w:pPr>
              <w:pStyle w:val="ARfintablecolheadright"/>
            </w:pPr>
            <w:r>
              <w:t>2020</w:t>
            </w:r>
          </w:p>
          <w:p w14:paraId="40BC9B16" w14:textId="77777777" w:rsidR="005F4A7E" w:rsidRPr="002029AF" w:rsidRDefault="005F4A7E" w:rsidP="00860E95">
            <w:pPr>
              <w:pStyle w:val="ARfintablecolheadright"/>
            </w:pPr>
            <w:r w:rsidRPr="002029AF">
              <w:t>$M</w:t>
            </w:r>
          </w:p>
        </w:tc>
      </w:tr>
      <w:tr w:rsidR="005F4A7E" w:rsidRPr="002029AF" w14:paraId="5FA2CEEC" w14:textId="77777777" w:rsidTr="00860E95">
        <w:tc>
          <w:tcPr>
            <w:tcW w:w="9637" w:type="dxa"/>
            <w:gridSpan w:val="3"/>
            <w:tcBorders>
              <w:top w:val="single" w:sz="4" w:space="0" w:color="auto"/>
              <w:bottom w:val="single" w:sz="4" w:space="0" w:color="A6A6A6"/>
            </w:tcBorders>
            <w:hideMark/>
          </w:tcPr>
          <w:p w14:paraId="0D465E78" w14:textId="77777777" w:rsidR="005F4A7E" w:rsidRPr="002029AF" w:rsidRDefault="005F4A7E" w:rsidP="00130D1C">
            <w:pPr>
              <w:pStyle w:val="ARfintablebodybold"/>
            </w:pPr>
            <w:r w:rsidRPr="001409DA">
              <w:t>Non-financial assets classified as held for sale</w:t>
            </w:r>
          </w:p>
        </w:tc>
      </w:tr>
      <w:tr w:rsidR="005F4A7E" w:rsidRPr="002029AF" w14:paraId="73B98422" w14:textId="77777777" w:rsidTr="00860E95">
        <w:tc>
          <w:tcPr>
            <w:tcW w:w="7369" w:type="dxa"/>
            <w:tcBorders>
              <w:top w:val="single" w:sz="4" w:space="0" w:color="A6A6A6"/>
              <w:bottom w:val="single" w:sz="4" w:space="0" w:color="A6A6A6"/>
            </w:tcBorders>
            <w:hideMark/>
          </w:tcPr>
          <w:p w14:paraId="03E92FD2" w14:textId="77777777" w:rsidR="005F4A7E" w:rsidRPr="002029AF" w:rsidRDefault="005F4A7E" w:rsidP="00130D1C">
            <w:pPr>
              <w:pStyle w:val="ARfintablebody"/>
            </w:pPr>
            <w:r w:rsidRPr="001409DA">
              <w:t>Buildings held for sale</w:t>
            </w:r>
          </w:p>
        </w:tc>
        <w:tc>
          <w:tcPr>
            <w:tcW w:w="1134" w:type="dxa"/>
            <w:tcBorders>
              <w:top w:val="single" w:sz="4" w:space="0" w:color="A6A6A6"/>
              <w:bottom w:val="single" w:sz="4" w:space="0" w:color="A6A6A6"/>
            </w:tcBorders>
            <w:shd w:val="clear" w:color="auto" w:fill="E7E6E6"/>
            <w:noWrap/>
            <w:hideMark/>
          </w:tcPr>
          <w:p w14:paraId="23DC36F9" w14:textId="77777777" w:rsidR="005F4A7E" w:rsidRPr="002029AF" w:rsidRDefault="005F4A7E" w:rsidP="00130D1C">
            <w:pPr>
              <w:pStyle w:val="ARfintablebodyright"/>
            </w:pPr>
            <w:r w:rsidRPr="001409DA">
              <w:t>3.1</w:t>
            </w:r>
          </w:p>
        </w:tc>
        <w:tc>
          <w:tcPr>
            <w:tcW w:w="1134" w:type="dxa"/>
            <w:tcBorders>
              <w:top w:val="single" w:sz="4" w:space="0" w:color="A6A6A6"/>
              <w:bottom w:val="single" w:sz="4" w:space="0" w:color="A6A6A6"/>
            </w:tcBorders>
            <w:noWrap/>
            <w:hideMark/>
          </w:tcPr>
          <w:p w14:paraId="5235C453" w14:textId="77777777" w:rsidR="005F4A7E" w:rsidRPr="002029AF" w:rsidRDefault="005F4A7E" w:rsidP="00130D1C">
            <w:pPr>
              <w:pStyle w:val="ARfintablebodyright"/>
            </w:pPr>
            <w:r w:rsidRPr="001409DA">
              <w:t>2.5</w:t>
            </w:r>
          </w:p>
        </w:tc>
      </w:tr>
      <w:tr w:rsidR="005F4A7E" w:rsidRPr="002029AF" w14:paraId="6ABA5978" w14:textId="77777777" w:rsidTr="00860E95">
        <w:tc>
          <w:tcPr>
            <w:tcW w:w="7369" w:type="dxa"/>
            <w:tcBorders>
              <w:top w:val="single" w:sz="4" w:space="0" w:color="A6A6A6"/>
              <w:bottom w:val="single" w:sz="4" w:space="0" w:color="A6A6A6"/>
            </w:tcBorders>
            <w:hideMark/>
          </w:tcPr>
          <w:p w14:paraId="2F0F0058" w14:textId="77777777" w:rsidR="005F4A7E" w:rsidRPr="002029AF" w:rsidRDefault="005F4A7E" w:rsidP="00130D1C">
            <w:pPr>
              <w:pStyle w:val="ARfintablebody"/>
            </w:pPr>
            <w:r w:rsidRPr="001409DA">
              <w:t>Land held for sale</w:t>
            </w:r>
          </w:p>
        </w:tc>
        <w:tc>
          <w:tcPr>
            <w:tcW w:w="1134" w:type="dxa"/>
            <w:tcBorders>
              <w:top w:val="single" w:sz="4" w:space="0" w:color="A6A6A6"/>
              <w:bottom w:val="single" w:sz="4" w:space="0" w:color="A6A6A6"/>
            </w:tcBorders>
            <w:shd w:val="clear" w:color="auto" w:fill="E7E6E6"/>
            <w:noWrap/>
            <w:hideMark/>
          </w:tcPr>
          <w:p w14:paraId="6D8CEA56" w14:textId="77777777" w:rsidR="005F4A7E" w:rsidRPr="002029AF" w:rsidRDefault="005F4A7E" w:rsidP="00130D1C">
            <w:pPr>
              <w:pStyle w:val="ARfintablebodyright"/>
            </w:pPr>
            <w:r w:rsidRPr="001409DA">
              <w:t>1.5</w:t>
            </w:r>
          </w:p>
        </w:tc>
        <w:tc>
          <w:tcPr>
            <w:tcW w:w="1134" w:type="dxa"/>
            <w:tcBorders>
              <w:top w:val="single" w:sz="4" w:space="0" w:color="A6A6A6"/>
              <w:bottom w:val="single" w:sz="4" w:space="0" w:color="A6A6A6"/>
            </w:tcBorders>
            <w:noWrap/>
            <w:hideMark/>
          </w:tcPr>
          <w:p w14:paraId="5206D230" w14:textId="77777777" w:rsidR="005F4A7E" w:rsidRPr="002029AF" w:rsidRDefault="005F4A7E" w:rsidP="00130D1C">
            <w:pPr>
              <w:pStyle w:val="ARfintablebodyright"/>
            </w:pPr>
            <w:r w:rsidRPr="001409DA">
              <w:t>6.0</w:t>
            </w:r>
          </w:p>
        </w:tc>
      </w:tr>
      <w:tr w:rsidR="005F4A7E" w:rsidRPr="002029AF" w14:paraId="22529B54" w14:textId="77777777" w:rsidTr="00860E95">
        <w:tc>
          <w:tcPr>
            <w:tcW w:w="7369" w:type="dxa"/>
            <w:tcBorders>
              <w:top w:val="single" w:sz="4" w:space="0" w:color="A6A6A6"/>
            </w:tcBorders>
            <w:hideMark/>
          </w:tcPr>
          <w:p w14:paraId="0A074F3A" w14:textId="77777777" w:rsidR="005F4A7E" w:rsidRPr="002029AF" w:rsidRDefault="005F4A7E" w:rsidP="00130D1C">
            <w:pPr>
              <w:pStyle w:val="ARfintablebody"/>
            </w:pPr>
            <w:r w:rsidRPr="001409DA">
              <w:t>Plant, equipment and vehicles</w:t>
            </w:r>
          </w:p>
        </w:tc>
        <w:tc>
          <w:tcPr>
            <w:tcW w:w="1134" w:type="dxa"/>
            <w:tcBorders>
              <w:top w:val="single" w:sz="4" w:space="0" w:color="A6A6A6"/>
            </w:tcBorders>
            <w:shd w:val="clear" w:color="auto" w:fill="E7E6E6"/>
            <w:noWrap/>
            <w:hideMark/>
          </w:tcPr>
          <w:p w14:paraId="5577167F" w14:textId="77777777" w:rsidR="005F4A7E" w:rsidRPr="002029AF" w:rsidRDefault="005F4A7E" w:rsidP="00130D1C">
            <w:pPr>
              <w:pStyle w:val="ARfintablebodyright"/>
            </w:pPr>
            <w:r w:rsidRPr="001409DA">
              <w:t>0.4</w:t>
            </w:r>
          </w:p>
        </w:tc>
        <w:tc>
          <w:tcPr>
            <w:tcW w:w="1134" w:type="dxa"/>
            <w:tcBorders>
              <w:top w:val="single" w:sz="4" w:space="0" w:color="A6A6A6"/>
            </w:tcBorders>
            <w:noWrap/>
            <w:hideMark/>
          </w:tcPr>
          <w:p w14:paraId="54A6E957" w14:textId="77777777" w:rsidR="005F4A7E" w:rsidRPr="002029AF" w:rsidRDefault="005F4A7E" w:rsidP="00130D1C">
            <w:pPr>
              <w:pStyle w:val="ARfintablebodyright"/>
            </w:pPr>
            <w:r w:rsidRPr="001409DA">
              <w:t>0.5</w:t>
            </w:r>
          </w:p>
        </w:tc>
      </w:tr>
      <w:tr w:rsidR="005F4A7E" w:rsidRPr="002029AF" w14:paraId="582F92C1" w14:textId="77777777" w:rsidTr="00860E95">
        <w:tc>
          <w:tcPr>
            <w:tcW w:w="7369" w:type="dxa"/>
            <w:hideMark/>
          </w:tcPr>
          <w:p w14:paraId="561DAE7F" w14:textId="77777777" w:rsidR="005F4A7E" w:rsidRPr="002029AF" w:rsidRDefault="005F4A7E" w:rsidP="00130D1C">
            <w:pPr>
              <w:pStyle w:val="ARfintablebodybold"/>
            </w:pPr>
            <w:r w:rsidRPr="001409DA">
              <w:t>Total non-financial assets classified as held for sale</w:t>
            </w:r>
          </w:p>
        </w:tc>
        <w:tc>
          <w:tcPr>
            <w:tcW w:w="1134" w:type="dxa"/>
            <w:shd w:val="clear" w:color="auto" w:fill="E7E6E6"/>
            <w:noWrap/>
            <w:hideMark/>
          </w:tcPr>
          <w:p w14:paraId="4BBC14D4" w14:textId="77777777" w:rsidR="005F4A7E" w:rsidRPr="002029AF" w:rsidRDefault="005F4A7E" w:rsidP="00130D1C">
            <w:pPr>
              <w:pStyle w:val="ARfintablebodyrightbold"/>
            </w:pPr>
            <w:r w:rsidRPr="001409DA">
              <w:t>5.0</w:t>
            </w:r>
          </w:p>
        </w:tc>
        <w:tc>
          <w:tcPr>
            <w:tcW w:w="1134" w:type="dxa"/>
            <w:noWrap/>
            <w:hideMark/>
          </w:tcPr>
          <w:p w14:paraId="0977E8ED" w14:textId="77777777" w:rsidR="005F4A7E" w:rsidRPr="002029AF" w:rsidRDefault="005F4A7E" w:rsidP="00130D1C">
            <w:pPr>
              <w:pStyle w:val="ARfintablebodyrightbold"/>
            </w:pPr>
            <w:r w:rsidRPr="001409DA">
              <w:t>9.1</w:t>
            </w:r>
          </w:p>
        </w:tc>
      </w:tr>
    </w:tbl>
    <w:p w14:paraId="341DDAF8" w14:textId="77777777" w:rsidR="005F4A7E" w:rsidRDefault="005F4A7E" w:rsidP="00130D1C">
      <w:pPr>
        <w:pStyle w:val="Heading5"/>
        <w:rPr>
          <w:lang w:eastAsia="en-AU"/>
        </w:rPr>
      </w:pPr>
      <w:bookmarkStart w:id="1054" w:name="_Toc85121550"/>
      <w:r>
        <w:lastRenderedPageBreak/>
        <w:t>Measurement of non-financial physical assets</w:t>
      </w:r>
      <w:bookmarkEnd w:id="1054"/>
    </w:p>
    <w:p w14:paraId="7866224C" w14:textId="77777777" w:rsidR="005F4A7E" w:rsidRDefault="005F4A7E" w:rsidP="00130D1C">
      <w:pPr>
        <w:pStyle w:val="ARfinbody"/>
      </w:pPr>
      <w:r>
        <w:t>Non-financial physical assets are treated as current and classified as held for sale if their carrying amount will be recovered through a sale transaction rather than through continuing use.</w:t>
      </w:r>
    </w:p>
    <w:p w14:paraId="013EC562" w14:textId="77777777" w:rsidR="005F4A7E" w:rsidRDefault="005F4A7E" w:rsidP="00130D1C">
      <w:pPr>
        <w:pStyle w:val="ARfinbody"/>
      </w:pPr>
      <w:r>
        <w:t>This condition is regarded as met only when:</w:t>
      </w:r>
    </w:p>
    <w:p w14:paraId="6026F92C" w14:textId="77777777" w:rsidR="005F4A7E" w:rsidRDefault="005F4A7E" w:rsidP="005F4A7E">
      <w:pPr>
        <w:pStyle w:val="ARfinbullet1"/>
        <w:numPr>
          <w:ilvl w:val="0"/>
          <w:numId w:val="2"/>
        </w:numPr>
      </w:pPr>
      <w:r>
        <w:t>the asset is available for immediate sale in the current condition</w:t>
      </w:r>
    </w:p>
    <w:p w14:paraId="5231EC25" w14:textId="77777777" w:rsidR="005F4A7E" w:rsidRDefault="005F4A7E" w:rsidP="005F4A7E">
      <w:pPr>
        <w:pStyle w:val="ARfinbullet1"/>
        <w:numPr>
          <w:ilvl w:val="0"/>
          <w:numId w:val="2"/>
        </w:numPr>
      </w:pPr>
      <w:r>
        <w:t>the sale is highly probable and the asset sale is expected to be completed within 12 months from the date of classification.</w:t>
      </w:r>
    </w:p>
    <w:p w14:paraId="603D209B" w14:textId="77777777" w:rsidR="005F4A7E" w:rsidRDefault="005F4A7E" w:rsidP="00130D1C">
      <w:pPr>
        <w:pStyle w:val="ARfinbody"/>
      </w:pPr>
      <w:r>
        <w:t>These non-financial physical assets, related liabilities and financial assets are measured at the lower of carrying amount and fair value less costs to sell, and are not subject to depreciation or amortisation.</w:t>
      </w:r>
    </w:p>
    <w:p w14:paraId="2418B9FE" w14:textId="77777777" w:rsidR="005F4A7E" w:rsidRDefault="005F4A7E" w:rsidP="00130D1C">
      <w:pPr>
        <w:pStyle w:val="Heading4"/>
        <w:rPr>
          <w:lang w:eastAsia="en-AU"/>
        </w:rPr>
      </w:pPr>
      <w:bookmarkStart w:id="1055" w:name="_Toc39242169"/>
      <w:bookmarkStart w:id="1056" w:name="_Toc85121551"/>
      <w:r>
        <w:rPr>
          <w:lang w:eastAsia="en-AU"/>
        </w:rPr>
        <w:t>9.4 Reserves</w:t>
      </w:r>
      <w:bookmarkEnd w:id="1055"/>
      <w:bookmarkEnd w:id="1056"/>
    </w:p>
    <w:tbl>
      <w:tblPr>
        <w:tblStyle w:val="TableGrid"/>
        <w:tblW w:w="9639" w:type="dxa"/>
        <w:tblLayout w:type="fixed"/>
        <w:tblLook w:val="04A0" w:firstRow="1" w:lastRow="0" w:firstColumn="1" w:lastColumn="0" w:noHBand="0" w:noVBand="1"/>
      </w:tblPr>
      <w:tblGrid>
        <w:gridCol w:w="7371"/>
        <w:gridCol w:w="1134"/>
        <w:gridCol w:w="1134"/>
      </w:tblGrid>
      <w:tr w:rsidR="005F4A7E" w14:paraId="35BC4A81" w14:textId="77777777" w:rsidTr="00F36E06">
        <w:trPr>
          <w:cnfStyle w:val="100000000000" w:firstRow="1" w:lastRow="0" w:firstColumn="0" w:lastColumn="0" w:oddVBand="0" w:evenVBand="0" w:oddHBand="0" w:evenHBand="0" w:firstRowFirstColumn="0" w:firstRowLastColumn="0" w:lastRowFirstColumn="0" w:lastRowLastColumn="0"/>
          <w:tblHeader/>
        </w:trPr>
        <w:tc>
          <w:tcPr>
            <w:tcW w:w="7371" w:type="dxa"/>
            <w:tcBorders>
              <w:bottom w:val="single" w:sz="4" w:space="0" w:color="auto"/>
            </w:tcBorders>
            <w:noWrap/>
            <w:hideMark/>
          </w:tcPr>
          <w:p w14:paraId="63A41D63" w14:textId="77777777" w:rsidR="005F4A7E" w:rsidRDefault="005F4A7E" w:rsidP="00130D1C">
            <w:pPr>
              <w:pStyle w:val="ARfintablecolhead"/>
            </w:pPr>
          </w:p>
        </w:tc>
        <w:tc>
          <w:tcPr>
            <w:tcW w:w="1134" w:type="dxa"/>
            <w:tcBorders>
              <w:bottom w:val="single" w:sz="4" w:space="0" w:color="auto"/>
            </w:tcBorders>
            <w:shd w:val="clear" w:color="auto" w:fill="E7E6E6"/>
            <w:hideMark/>
          </w:tcPr>
          <w:p w14:paraId="2A08502F" w14:textId="77777777" w:rsidR="005F4A7E" w:rsidRDefault="005F4A7E" w:rsidP="00130D1C">
            <w:pPr>
              <w:pStyle w:val="ARfintablecolheadright"/>
              <w:rPr>
                <w:lang w:eastAsia="en-US"/>
              </w:rPr>
            </w:pPr>
            <w:r>
              <w:t>2021</w:t>
            </w:r>
            <w:r>
              <w:br/>
              <w:t>$M</w:t>
            </w:r>
          </w:p>
        </w:tc>
        <w:tc>
          <w:tcPr>
            <w:tcW w:w="1134" w:type="dxa"/>
            <w:tcBorders>
              <w:bottom w:val="single" w:sz="4" w:space="0" w:color="auto"/>
            </w:tcBorders>
            <w:hideMark/>
          </w:tcPr>
          <w:p w14:paraId="1BF8E029" w14:textId="77777777" w:rsidR="005F4A7E" w:rsidRDefault="005F4A7E" w:rsidP="00130D1C">
            <w:pPr>
              <w:pStyle w:val="ARfintablecolheadright"/>
            </w:pPr>
            <w:r>
              <w:t>2020</w:t>
            </w:r>
            <w:r>
              <w:br/>
              <w:t>$M</w:t>
            </w:r>
          </w:p>
        </w:tc>
      </w:tr>
      <w:tr w:rsidR="005F4A7E" w14:paraId="24AC0C02" w14:textId="77777777" w:rsidTr="00130D1C">
        <w:trPr>
          <w:cantSplit w:val="0"/>
        </w:trPr>
        <w:tc>
          <w:tcPr>
            <w:tcW w:w="9639" w:type="dxa"/>
            <w:gridSpan w:val="3"/>
            <w:tcBorders>
              <w:top w:val="single" w:sz="4" w:space="0" w:color="auto"/>
              <w:bottom w:val="single" w:sz="4" w:space="0" w:color="A6A6A6"/>
            </w:tcBorders>
            <w:hideMark/>
          </w:tcPr>
          <w:p w14:paraId="138306E4" w14:textId="77777777" w:rsidR="005F4A7E" w:rsidRDefault="005F4A7E" w:rsidP="00130D1C">
            <w:pPr>
              <w:pStyle w:val="ARfintablebodybold"/>
              <w:rPr>
                <w:sz w:val="20"/>
                <w:szCs w:val="20"/>
              </w:rPr>
            </w:pPr>
            <w:r>
              <w:t>Accumulated surplus / (deficit)</w:t>
            </w:r>
          </w:p>
        </w:tc>
      </w:tr>
      <w:tr w:rsidR="005F4A7E" w14:paraId="2FFD3EC6" w14:textId="77777777" w:rsidTr="00130D1C">
        <w:trPr>
          <w:cantSplit w:val="0"/>
        </w:trPr>
        <w:tc>
          <w:tcPr>
            <w:tcW w:w="7371" w:type="dxa"/>
            <w:tcBorders>
              <w:top w:val="single" w:sz="4" w:space="0" w:color="A6A6A6"/>
              <w:bottom w:val="single" w:sz="4" w:space="0" w:color="A6A6A6"/>
            </w:tcBorders>
            <w:hideMark/>
          </w:tcPr>
          <w:p w14:paraId="77555E86" w14:textId="77777777" w:rsidR="005F4A7E" w:rsidRDefault="005F4A7E" w:rsidP="00130D1C">
            <w:pPr>
              <w:pStyle w:val="ARfintablebody"/>
              <w:rPr>
                <w:lang w:eastAsia="en-US"/>
              </w:rPr>
            </w:pPr>
            <w:r>
              <w:t>Balance at beginning of financial year</w:t>
            </w:r>
          </w:p>
        </w:tc>
        <w:tc>
          <w:tcPr>
            <w:tcW w:w="1134" w:type="dxa"/>
            <w:tcBorders>
              <w:top w:val="single" w:sz="4" w:space="0" w:color="A6A6A6"/>
              <w:bottom w:val="single" w:sz="4" w:space="0" w:color="A6A6A6"/>
            </w:tcBorders>
            <w:shd w:val="clear" w:color="auto" w:fill="E7E6E6"/>
            <w:noWrap/>
            <w:hideMark/>
          </w:tcPr>
          <w:p w14:paraId="2118248E" w14:textId="77777777" w:rsidR="005F4A7E" w:rsidRDefault="005F4A7E" w:rsidP="00130D1C">
            <w:pPr>
              <w:pStyle w:val="ARfintablebodyright"/>
            </w:pPr>
            <w:r>
              <w:t>2,145.0</w:t>
            </w:r>
          </w:p>
        </w:tc>
        <w:tc>
          <w:tcPr>
            <w:tcW w:w="1134" w:type="dxa"/>
            <w:tcBorders>
              <w:top w:val="single" w:sz="4" w:space="0" w:color="A6A6A6"/>
              <w:bottom w:val="single" w:sz="4" w:space="0" w:color="A6A6A6"/>
            </w:tcBorders>
            <w:noWrap/>
            <w:hideMark/>
          </w:tcPr>
          <w:p w14:paraId="363F2863" w14:textId="77777777" w:rsidR="005F4A7E" w:rsidRDefault="005F4A7E" w:rsidP="00130D1C">
            <w:pPr>
              <w:pStyle w:val="ARfintablebodyright"/>
            </w:pPr>
            <w:r>
              <w:t>1,599.3</w:t>
            </w:r>
          </w:p>
        </w:tc>
      </w:tr>
      <w:tr w:rsidR="005F4A7E" w14:paraId="48B0FD32" w14:textId="77777777" w:rsidTr="00130D1C">
        <w:trPr>
          <w:cantSplit w:val="0"/>
        </w:trPr>
        <w:tc>
          <w:tcPr>
            <w:tcW w:w="7371" w:type="dxa"/>
            <w:tcBorders>
              <w:top w:val="single" w:sz="4" w:space="0" w:color="A6A6A6"/>
            </w:tcBorders>
            <w:hideMark/>
          </w:tcPr>
          <w:p w14:paraId="215DFF7C" w14:textId="77777777" w:rsidR="005F4A7E" w:rsidRDefault="005F4A7E" w:rsidP="00130D1C">
            <w:pPr>
              <w:pStyle w:val="ARfintablebody"/>
            </w:pPr>
            <w:r>
              <w:t xml:space="preserve">Prior period error </w:t>
            </w:r>
            <w:r w:rsidRPr="00BC6CE4">
              <w:rPr>
                <w:rStyle w:val="Superscript"/>
              </w:rPr>
              <w:t>(i)</w:t>
            </w:r>
          </w:p>
        </w:tc>
        <w:tc>
          <w:tcPr>
            <w:tcW w:w="1134" w:type="dxa"/>
            <w:tcBorders>
              <w:top w:val="single" w:sz="4" w:space="0" w:color="A6A6A6"/>
            </w:tcBorders>
            <w:shd w:val="clear" w:color="auto" w:fill="E7E6E6"/>
            <w:noWrap/>
            <w:hideMark/>
          </w:tcPr>
          <w:p w14:paraId="2E1EEB73" w14:textId="77777777" w:rsidR="005F4A7E" w:rsidRDefault="005F4A7E" w:rsidP="00130D1C">
            <w:pPr>
              <w:pStyle w:val="ARfintablebodyright"/>
            </w:pPr>
            <w:r>
              <w:t>55.7</w:t>
            </w:r>
          </w:p>
        </w:tc>
        <w:tc>
          <w:tcPr>
            <w:tcW w:w="1134" w:type="dxa"/>
            <w:tcBorders>
              <w:top w:val="single" w:sz="4" w:space="0" w:color="A6A6A6"/>
            </w:tcBorders>
            <w:noWrap/>
            <w:hideMark/>
          </w:tcPr>
          <w:p w14:paraId="733B657A" w14:textId="77777777" w:rsidR="005F4A7E" w:rsidRDefault="005F4A7E" w:rsidP="00130D1C">
            <w:pPr>
              <w:pStyle w:val="ARfintablebodyright"/>
            </w:pPr>
            <w:r>
              <w:t>–</w:t>
            </w:r>
          </w:p>
        </w:tc>
      </w:tr>
      <w:tr w:rsidR="005F4A7E" w14:paraId="75BE2840" w14:textId="77777777" w:rsidTr="00130D1C">
        <w:trPr>
          <w:cantSplit w:val="0"/>
        </w:trPr>
        <w:tc>
          <w:tcPr>
            <w:tcW w:w="7371" w:type="dxa"/>
            <w:tcBorders>
              <w:bottom w:val="single" w:sz="4" w:space="0" w:color="auto"/>
            </w:tcBorders>
            <w:hideMark/>
          </w:tcPr>
          <w:p w14:paraId="48EE3504" w14:textId="77777777" w:rsidR="005F4A7E" w:rsidRDefault="005F4A7E" w:rsidP="00130D1C">
            <w:pPr>
              <w:pStyle w:val="ARfintablebodybold"/>
            </w:pPr>
            <w:r>
              <w:t>Restated balance at beginning of financial year</w:t>
            </w:r>
          </w:p>
        </w:tc>
        <w:tc>
          <w:tcPr>
            <w:tcW w:w="1134" w:type="dxa"/>
            <w:tcBorders>
              <w:bottom w:val="single" w:sz="4" w:space="0" w:color="auto"/>
            </w:tcBorders>
            <w:shd w:val="clear" w:color="auto" w:fill="E7E6E6"/>
            <w:noWrap/>
            <w:hideMark/>
          </w:tcPr>
          <w:p w14:paraId="7574A9B9" w14:textId="77777777" w:rsidR="005F4A7E" w:rsidRDefault="005F4A7E" w:rsidP="00130D1C">
            <w:pPr>
              <w:pStyle w:val="ARfintablebodyrightbold"/>
            </w:pPr>
            <w:r>
              <w:t>2,200.7</w:t>
            </w:r>
          </w:p>
        </w:tc>
        <w:tc>
          <w:tcPr>
            <w:tcW w:w="1134" w:type="dxa"/>
            <w:tcBorders>
              <w:bottom w:val="single" w:sz="4" w:space="0" w:color="auto"/>
            </w:tcBorders>
            <w:noWrap/>
            <w:hideMark/>
          </w:tcPr>
          <w:p w14:paraId="17A02528" w14:textId="77777777" w:rsidR="005F4A7E" w:rsidRDefault="005F4A7E" w:rsidP="00130D1C">
            <w:pPr>
              <w:pStyle w:val="ARfintablebodyrightbold"/>
            </w:pPr>
            <w:r>
              <w:t>1,599.3</w:t>
            </w:r>
          </w:p>
        </w:tc>
      </w:tr>
      <w:tr w:rsidR="005F4A7E" w14:paraId="21DF9550" w14:textId="77777777" w:rsidTr="00130D1C">
        <w:trPr>
          <w:cantSplit w:val="0"/>
        </w:trPr>
        <w:tc>
          <w:tcPr>
            <w:tcW w:w="7371" w:type="dxa"/>
            <w:tcBorders>
              <w:top w:val="single" w:sz="4" w:space="0" w:color="auto"/>
              <w:bottom w:val="single" w:sz="4" w:space="0" w:color="A6A6A6"/>
            </w:tcBorders>
            <w:hideMark/>
          </w:tcPr>
          <w:p w14:paraId="1B1B0C59" w14:textId="77777777" w:rsidR="005F4A7E" w:rsidRDefault="005F4A7E" w:rsidP="00130D1C">
            <w:pPr>
              <w:pStyle w:val="ARfintablebody"/>
            </w:pPr>
            <w:r>
              <w:t>Net result for the year</w:t>
            </w:r>
          </w:p>
        </w:tc>
        <w:tc>
          <w:tcPr>
            <w:tcW w:w="1134" w:type="dxa"/>
            <w:tcBorders>
              <w:top w:val="single" w:sz="4" w:space="0" w:color="auto"/>
              <w:bottom w:val="single" w:sz="4" w:space="0" w:color="A6A6A6"/>
            </w:tcBorders>
            <w:shd w:val="clear" w:color="auto" w:fill="E7E6E6"/>
            <w:noWrap/>
            <w:hideMark/>
          </w:tcPr>
          <w:p w14:paraId="77B577CA" w14:textId="77777777" w:rsidR="005F4A7E" w:rsidRDefault="005F4A7E" w:rsidP="00130D1C">
            <w:pPr>
              <w:pStyle w:val="ARfintablebodyright"/>
            </w:pPr>
            <w:r>
              <w:t>513.9</w:t>
            </w:r>
          </w:p>
        </w:tc>
        <w:tc>
          <w:tcPr>
            <w:tcW w:w="1134" w:type="dxa"/>
            <w:tcBorders>
              <w:top w:val="single" w:sz="4" w:space="0" w:color="auto"/>
              <w:bottom w:val="single" w:sz="4" w:space="0" w:color="A6A6A6"/>
            </w:tcBorders>
            <w:noWrap/>
            <w:hideMark/>
          </w:tcPr>
          <w:p w14:paraId="07C168D6" w14:textId="77777777" w:rsidR="005F4A7E" w:rsidRDefault="005F4A7E" w:rsidP="00130D1C">
            <w:pPr>
              <w:pStyle w:val="ARfintablebodyright"/>
            </w:pPr>
            <w:r>
              <w:t>545.4</w:t>
            </w:r>
          </w:p>
        </w:tc>
      </w:tr>
      <w:tr w:rsidR="005F4A7E" w14:paraId="0882FD46" w14:textId="77777777" w:rsidTr="00130D1C">
        <w:trPr>
          <w:cantSplit w:val="0"/>
        </w:trPr>
        <w:tc>
          <w:tcPr>
            <w:tcW w:w="7371" w:type="dxa"/>
            <w:tcBorders>
              <w:top w:val="single" w:sz="4" w:space="0" w:color="A6A6A6"/>
              <w:bottom w:val="single" w:sz="4" w:space="0" w:color="A6A6A6"/>
            </w:tcBorders>
            <w:hideMark/>
          </w:tcPr>
          <w:p w14:paraId="196FE10D" w14:textId="77777777" w:rsidR="005F4A7E" w:rsidRDefault="005F4A7E" w:rsidP="00130D1C">
            <w:pPr>
              <w:pStyle w:val="ARfintablebody"/>
            </w:pPr>
            <w:r>
              <w:t>Remeasurement of superannuation defined benefit plans</w:t>
            </w:r>
          </w:p>
        </w:tc>
        <w:tc>
          <w:tcPr>
            <w:tcW w:w="1134" w:type="dxa"/>
            <w:tcBorders>
              <w:top w:val="single" w:sz="4" w:space="0" w:color="A6A6A6"/>
              <w:bottom w:val="single" w:sz="4" w:space="0" w:color="A6A6A6"/>
            </w:tcBorders>
            <w:shd w:val="clear" w:color="auto" w:fill="E7E6E6"/>
            <w:noWrap/>
            <w:hideMark/>
          </w:tcPr>
          <w:p w14:paraId="74197208" w14:textId="77777777" w:rsidR="005F4A7E" w:rsidRDefault="005F4A7E" w:rsidP="00130D1C">
            <w:pPr>
              <w:pStyle w:val="ARfintablebodyright"/>
            </w:pPr>
            <w:r>
              <w:t>(1.5)</w:t>
            </w:r>
          </w:p>
        </w:tc>
        <w:tc>
          <w:tcPr>
            <w:tcW w:w="1134" w:type="dxa"/>
            <w:tcBorders>
              <w:top w:val="single" w:sz="4" w:space="0" w:color="A6A6A6"/>
              <w:bottom w:val="single" w:sz="4" w:space="0" w:color="A6A6A6"/>
            </w:tcBorders>
            <w:noWrap/>
            <w:hideMark/>
          </w:tcPr>
          <w:p w14:paraId="0F389399" w14:textId="77777777" w:rsidR="005F4A7E" w:rsidRDefault="005F4A7E" w:rsidP="00130D1C">
            <w:pPr>
              <w:pStyle w:val="ARfintablebodyright"/>
            </w:pPr>
            <w:r>
              <w:t>0.2</w:t>
            </w:r>
          </w:p>
        </w:tc>
      </w:tr>
      <w:tr w:rsidR="005F4A7E" w14:paraId="0272C6D0" w14:textId="77777777" w:rsidTr="00130D1C">
        <w:trPr>
          <w:cantSplit w:val="0"/>
        </w:trPr>
        <w:tc>
          <w:tcPr>
            <w:tcW w:w="7371" w:type="dxa"/>
            <w:tcBorders>
              <w:top w:val="single" w:sz="4" w:space="0" w:color="A6A6A6"/>
              <w:bottom w:val="single" w:sz="4" w:space="0" w:color="A6A6A6"/>
            </w:tcBorders>
            <w:hideMark/>
          </w:tcPr>
          <w:p w14:paraId="243B0BBF" w14:textId="77777777" w:rsidR="005F4A7E" w:rsidRDefault="005F4A7E" w:rsidP="00130D1C">
            <w:pPr>
              <w:pStyle w:val="ARfintablebody"/>
            </w:pPr>
            <w:r>
              <w:t>Transfer to contributed capital related to machinery of government</w:t>
            </w:r>
          </w:p>
        </w:tc>
        <w:tc>
          <w:tcPr>
            <w:tcW w:w="1134" w:type="dxa"/>
            <w:tcBorders>
              <w:top w:val="single" w:sz="4" w:space="0" w:color="A6A6A6"/>
              <w:bottom w:val="single" w:sz="4" w:space="0" w:color="A6A6A6"/>
            </w:tcBorders>
            <w:shd w:val="clear" w:color="auto" w:fill="E7E6E6"/>
            <w:noWrap/>
            <w:hideMark/>
          </w:tcPr>
          <w:p w14:paraId="083E6366" w14:textId="77777777" w:rsidR="005F4A7E" w:rsidRDefault="005F4A7E" w:rsidP="00130D1C">
            <w:pPr>
              <w:pStyle w:val="ARfintablebodyright"/>
            </w:pPr>
            <w:r>
              <w:t>(5,937.6)</w:t>
            </w:r>
          </w:p>
        </w:tc>
        <w:tc>
          <w:tcPr>
            <w:tcW w:w="1134" w:type="dxa"/>
            <w:tcBorders>
              <w:top w:val="single" w:sz="4" w:space="0" w:color="A6A6A6"/>
              <w:bottom w:val="single" w:sz="4" w:space="0" w:color="A6A6A6"/>
            </w:tcBorders>
            <w:noWrap/>
            <w:hideMark/>
          </w:tcPr>
          <w:p w14:paraId="5C77FEB1" w14:textId="77777777" w:rsidR="005F4A7E" w:rsidRDefault="005F4A7E" w:rsidP="00130D1C">
            <w:pPr>
              <w:pStyle w:val="ARfintablebodyright"/>
            </w:pPr>
            <w:r>
              <w:t>–</w:t>
            </w:r>
          </w:p>
        </w:tc>
      </w:tr>
      <w:tr w:rsidR="005F4A7E" w14:paraId="44A75741" w14:textId="77777777" w:rsidTr="00130D1C">
        <w:trPr>
          <w:cantSplit w:val="0"/>
        </w:trPr>
        <w:tc>
          <w:tcPr>
            <w:tcW w:w="7371" w:type="dxa"/>
            <w:tcBorders>
              <w:top w:val="single" w:sz="4" w:space="0" w:color="A6A6A6"/>
            </w:tcBorders>
            <w:hideMark/>
          </w:tcPr>
          <w:p w14:paraId="0841CC5E" w14:textId="77777777" w:rsidR="005F4A7E" w:rsidRDefault="005F4A7E" w:rsidP="00130D1C">
            <w:pPr>
              <w:pStyle w:val="ARfintablebody"/>
            </w:pPr>
            <w:r>
              <w:t>Transfer from physical asset revaluation surplus related to machinery of government</w:t>
            </w:r>
          </w:p>
        </w:tc>
        <w:tc>
          <w:tcPr>
            <w:tcW w:w="1134" w:type="dxa"/>
            <w:tcBorders>
              <w:top w:val="single" w:sz="4" w:space="0" w:color="A6A6A6"/>
            </w:tcBorders>
            <w:shd w:val="clear" w:color="auto" w:fill="E7E6E6"/>
            <w:noWrap/>
            <w:hideMark/>
          </w:tcPr>
          <w:p w14:paraId="5F49EB78" w14:textId="77777777" w:rsidR="005F4A7E" w:rsidRDefault="005F4A7E" w:rsidP="00130D1C">
            <w:pPr>
              <w:pStyle w:val="ARfintablebodyright"/>
            </w:pPr>
            <w:r>
              <w:t>6,938.4</w:t>
            </w:r>
          </w:p>
        </w:tc>
        <w:tc>
          <w:tcPr>
            <w:tcW w:w="1134" w:type="dxa"/>
            <w:tcBorders>
              <w:top w:val="single" w:sz="4" w:space="0" w:color="A6A6A6"/>
            </w:tcBorders>
            <w:noWrap/>
            <w:hideMark/>
          </w:tcPr>
          <w:p w14:paraId="31DB49B4" w14:textId="77777777" w:rsidR="005F4A7E" w:rsidRDefault="005F4A7E" w:rsidP="00130D1C">
            <w:pPr>
              <w:pStyle w:val="ARfintablebodyright"/>
            </w:pPr>
            <w:r>
              <w:t>–</w:t>
            </w:r>
          </w:p>
        </w:tc>
      </w:tr>
      <w:tr w:rsidR="005F4A7E" w14:paraId="58282411" w14:textId="77777777" w:rsidTr="00130D1C">
        <w:trPr>
          <w:cantSplit w:val="0"/>
        </w:trPr>
        <w:tc>
          <w:tcPr>
            <w:tcW w:w="7371" w:type="dxa"/>
            <w:tcBorders>
              <w:bottom w:val="single" w:sz="4" w:space="0" w:color="auto"/>
            </w:tcBorders>
            <w:hideMark/>
          </w:tcPr>
          <w:p w14:paraId="62CB42C9" w14:textId="77777777" w:rsidR="005F4A7E" w:rsidRDefault="005F4A7E" w:rsidP="00130D1C">
            <w:pPr>
              <w:pStyle w:val="ARfintablebodybold"/>
            </w:pPr>
            <w:r>
              <w:t>Balance at the end of financial year</w:t>
            </w:r>
          </w:p>
        </w:tc>
        <w:tc>
          <w:tcPr>
            <w:tcW w:w="1134" w:type="dxa"/>
            <w:tcBorders>
              <w:bottom w:val="single" w:sz="4" w:space="0" w:color="auto"/>
            </w:tcBorders>
            <w:shd w:val="clear" w:color="auto" w:fill="E7E6E6"/>
            <w:noWrap/>
            <w:hideMark/>
          </w:tcPr>
          <w:p w14:paraId="2ACE019F" w14:textId="77777777" w:rsidR="005F4A7E" w:rsidRDefault="005F4A7E" w:rsidP="00130D1C">
            <w:pPr>
              <w:pStyle w:val="ARfintablebodyrightbold"/>
            </w:pPr>
            <w:r>
              <w:t>3,714.0</w:t>
            </w:r>
          </w:p>
        </w:tc>
        <w:tc>
          <w:tcPr>
            <w:tcW w:w="1134" w:type="dxa"/>
            <w:tcBorders>
              <w:bottom w:val="single" w:sz="4" w:space="0" w:color="auto"/>
            </w:tcBorders>
            <w:noWrap/>
            <w:hideMark/>
          </w:tcPr>
          <w:p w14:paraId="3C20FA1E" w14:textId="77777777" w:rsidR="005F4A7E" w:rsidRDefault="005F4A7E" w:rsidP="00130D1C">
            <w:pPr>
              <w:pStyle w:val="ARfintablebodyrightbold"/>
            </w:pPr>
            <w:r>
              <w:t>2,145.0</w:t>
            </w:r>
          </w:p>
        </w:tc>
      </w:tr>
      <w:tr w:rsidR="005F4A7E" w14:paraId="7273D3FF" w14:textId="77777777" w:rsidTr="00130D1C">
        <w:trPr>
          <w:cantSplit w:val="0"/>
        </w:trPr>
        <w:tc>
          <w:tcPr>
            <w:tcW w:w="9639" w:type="dxa"/>
            <w:gridSpan w:val="3"/>
            <w:tcBorders>
              <w:top w:val="single" w:sz="4" w:space="0" w:color="auto"/>
              <w:bottom w:val="single" w:sz="4" w:space="0" w:color="A6A6A6"/>
            </w:tcBorders>
            <w:hideMark/>
          </w:tcPr>
          <w:p w14:paraId="16FC91D8" w14:textId="77777777" w:rsidR="005F4A7E" w:rsidRDefault="005F4A7E" w:rsidP="00130D1C">
            <w:pPr>
              <w:pStyle w:val="ARfintablebodybold"/>
              <w:rPr>
                <w:sz w:val="20"/>
                <w:szCs w:val="20"/>
              </w:rPr>
            </w:pPr>
            <w:r>
              <w:t>Physical asset revaluation surplus</w:t>
            </w:r>
          </w:p>
        </w:tc>
      </w:tr>
      <w:tr w:rsidR="005F4A7E" w14:paraId="5EB960D8" w14:textId="77777777" w:rsidTr="00130D1C">
        <w:trPr>
          <w:cantSplit w:val="0"/>
        </w:trPr>
        <w:tc>
          <w:tcPr>
            <w:tcW w:w="7371" w:type="dxa"/>
            <w:tcBorders>
              <w:top w:val="single" w:sz="4" w:space="0" w:color="A6A6A6"/>
              <w:bottom w:val="single" w:sz="4" w:space="0" w:color="A6A6A6"/>
            </w:tcBorders>
            <w:hideMark/>
          </w:tcPr>
          <w:p w14:paraId="6098D73E" w14:textId="77777777" w:rsidR="005F4A7E" w:rsidRDefault="005F4A7E" w:rsidP="00130D1C">
            <w:pPr>
              <w:pStyle w:val="ARfintablebody"/>
              <w:rPr>
                <w:lang w:eastAsia="en-US"/>
              </w:rPr>
            </w:pPr>
            <w:r>
              <w:t>Balance at beginning of financial year</w:t>
            </w:r>
          </w:p>
        </w:tc>
        <w:tc>
          <w:tcPr>
            <w:tcW w:w="1134" w:type="dxa"/>
            <w:tcBorders>
              <w:top w:val="single" w:sz="4" w:space="0" w:color="A6A6A6"/>
              <w:bottom w:val="single" w:sz="4" w:space="0" w:color="A6A6A6"/>
            </w:tcBorders>
            <w:shd w:val="clear" w:color="auto" w:fill="E7E6E6"/>
            <w:noWrap/>
            <w:hideMark/>
          </w:tcPr>
          <w:p w14:paraId="62865E3B" w14:textId="77777777" w:rsidR="005F4A7E" w:rsidRDefault="005F4A7E" w:rsidP="00130D1C">
            <w:pPr>
              <w:pStyle w:val="ARfintablebodyright"/>
            </w:pPr>
            <w:r>
              <w:t>7,377.2</w:t>
            </w:r>
          </w:p>
        </w:tc>
        <w:tc>
          <w:tcPr>
            <w:tcW w:w="1134" w:type="dxa"/>
            <w:tcBorders>
              <w:top w:val="single" w:sz="4" w:space="0" w:color="A6A6A6"/>
              <w:bottom w:val="single" w:sz="4" w:space="0" w:color="A6A6A6"/>
            </w:tcBorders>
            <w:noWrap/>
            <w:hideMark/>
          </w:tcPr>
          <w:p w14:paraId="57D9EF2C" w14:textId="77777777" w:rsidR="005F4A7E" w:rsidRDefault="005F4A7E" w:rsidP="00130D1C">
            <w:pPr>
              <w:pStyle w:val="ARfintablebodyright"/>
            </w:pPr>
            <w:r>
              <w:t>7,396.4</w:t>
            </w:r>
          </w:p>
        </w:tc>
      </w:tr>
      <w:tr w:rsidR="005F4A7E" w14:paraId="7B2107F6" w14:textId="77777777" w:rsidTr="00130D1C">
        <w:trPr>
          <w:cantSplit w:val="0"/>
        </w:trPr>
        <w:tc>
          <w:tcPr>
            <w:tcW w:w="7371" w:type="dxa"/>
            <w:tcBorders>
              <w:top w:val="single" w:sz="4" w:space="0" w:color="A6A6A6"/>
              <w:bottom w:val="single" w:sz="4" w:space="0" w:color="A6A6A6"/>
            </w:tcBorders>
            <w:hideMark/>
          </w:tcPr>
          <w:p w14:paraId="08C533F6" w14:textId="77777777" w:rsidR="005F4A7E" w:rsidRDefault="005F4A7E" w:rsidP="00130D1C">
            <w:pPr>
              <w:pStyle w:val="ARfintablebody"/>
            </w:pPr>
            <w:r>
              <w:t xml:space="preserve">Revaluation increments/(decrements) of land and buildings </w:t>
            </w:r>
            <w:r w:rsidRPr="00BC6CE4">
              <w:rPr>
                <w:rStyle w:val="Superscript"/>
              </w:rPr>
              <w:t>(ii)</w:t>
            </w:r>
          </w:p>
        </w:tc>
        <w:tc>
          <w:tcPr>
            <w:tcW w:w="1134" w:type="dxa"/>
            <w:tcBorders>
              <w:top w:val="single" w:sz="4" w:space="0" w:color="A6A6A6"/>
              <w:bottom w:val="single" w:sz="4" w:space="0" w:color="A6A6A6"/>
            </w:tcBorders>
            <w:shd w:val="clear" w:color="auto" w:fill="E7E6E6"/>
            <w:noWrap/>
            <w:hideMark/>
          </w:tcPr>
          <w:p w14:paraId="106710A7" w14:textId="77777777" w:rsidR="005F4A7E" w:rsidRDefault="005F4A7E" w:rsidP="00130D1C">
            <w:pPr>
              <w:pStyle w:val="ARfintablebodyright"/>
            </w:pPr>
            <w:r>
              <w:t>4,439.1</w:t>
            </w:r>
          </w:p>
        </w:tc>
        <w:tc>
          <w:tcPr>
            <w:tcW w:w="1134" w:type="dxa"/>
            <w:tcBorders>
              <w:top w:val="single" w:sz="4" w:space="0" w:color="A6A6A6"/>
              <w:bottom w:val="single" w:sz="4" w:space="0" w:color="A6A6A6"/>
            </w:tcBorders>
            <w:noWrap/>
            <w:hideMark/>
          </w:tcPr>
          <w:p w14:paraId="5CF6978E" w14:textId="77777777" w:rsidR="005F4A7E" w:rsidRDefault="005F4A7E" w:rsidP="00130D1C">
            <w:pPr>
              <w:pStyle w:val="ARfintablebodyright"/>
            </w:pPr>
            <w:r>
              <w:t>(19.2)</w:t>
            </w:r>
          </w:p>
        </w:tc>
      </w:tr>
      <w:tr w:rsidR="005F4A7E" w14:paraId="64B3CD82" w14:textId="77777777" w:rsidTr="00130D1C">
        <w:trPr>
          <w:cantSplit w:val="0"/>
        </w:trPr>
        <w:tc>
          <w:tcPr>
            <w:tcW w:w="7371" w:type="dxa"/>
            <w:tcBorders>
              <w:top w:val="single" w:sz="4" w:space="0" w:color="A6A6A6"/>
            </w:tcBorders>
            <w:hideMark/>
          </w:tcPr>
          <w:p w14:paraId="3D3B5F5B" w14:textId="77777777" w:rsidR="005F4A7E" w:rsidRDefault="005F4A7E" w:rsidP="00130D1C">
            <w:pPr>
              <w:pStyle w:val="ARfintablebody"/>
            </w:pPr>
            <w:r>
              <w:t>Transfer to accumulated surplus/(deficit) related to machinery of government</w:t>
            </w:r>
          </w:p>
        </w:tc>
        <w:tc>
          <w:tcPr>
            <w:tcW w:w="1134" w:type="dxa"/>
            <w:tcBorders>
              <w:top w:val="single" w:sz="4" w:space="0" w:color="A6A6A6"/>
            </w:tcBorders>
            <w:shd w:val="clear" w:color="auto" w:fill="E7E6E6"/>
            <w:noWrap/>
            <w:hideMark/>
          </w:tcPr>
          <w:p w14:paraId="29C5EA9F" w14:textId="77777777" w:rsidR="005F4A7E" w:rsidRDefault="005F4A7E" w:rsidP="00130D1C">
            <w:pPr>
              <w:pStyle w:val="ARfintablebodyright"/>
            </w:pPr>
            <w:r>
              <w:t>(6,938.4)</w:t>
            </w:r>
          </w:p>
        </w:tc>
        <w:tc>
          <w:tcPr>
            <w:tcW w:w="1134" w:type="dxa"/>
            <w:tcBorders>
              <w:top w:val="single" w:sz="4" w:space="0" w:color="A6A6A6"/>
            </w:tcBorders>
            <w:noWrap/>
            <w:hideMark/>
          </w:tcPr>
          <w:p w14:paraId="28C690F5" w14:textId="77777777" w:rsidR="005F4A7E" w:rsidRDefault="005F4A7E" w:rsidP="00130D1C">
            <w:pPr>
              <w:pStyle w:val="ARfintablebodyright"/>
            </w:pPr>
            <w:r>
              <w:t>–</w:t>
            </w:r>
          </w:p>
        </w:tc>
      </w:tr>
      <w:tr w:rsidR="005F4A7E" w14:paraId="4F8CB9D7" w14:textId="77777777" w:rsidTr="00130D1C">
        <w:trPr>
          <w:cantSplit w:val="0"/>
        </w:trPr>
        <w:tc>
          <w:tcPr>
            <w:tcW w:w="7371" w:type="dxa"/>
            <w:tcBorders>
              <w:bottom w:val="single" w:sz="4" w:space="0" w:color="auto"/>
            </w:tcBorders>
            <w:hideMark/>
          </w:tcPr>
          <w:p w14:paraId="60DFF181" w14:textId="77777777" w:rsidR="005F4A7E" w:rsidRDefault="005F4A7E" w:rsidP="00130D1C">
            <w:pPr>
              <w:pStyle w:val="ARfintablebodybold"/>
            </w:pPr>
            <w:r>
              <w:t>Balance at the end of financial year</w:t>
            </w:r>
          </w:p>
        </w:tc>
        <w:tc>
          <w:tcPr>
            <w:tcW w:w="1134" w:type="dxa"/>
            <w:tcBorders>
              <w:bottom w:val="single" w:sz="4" w:space="0" w:color="auto"/>
            </w:tcBorders>
            <w:shd w:val="clear" w:color="auto" w:fill="E7E6E6"/>
            <w:noWrap/>
            <w:hideMark/>
          </w:tcPr>
          <w:p w14:paraId="0A40D6AE" w14:textId="77777777" w:rsidR="005F4A7E" w:rsidRDefault="005F4A7E" w:rsidP="00130D1C">
            <w:pPr>
              <w:pStyle w:val="ARfintablebodyrightbold"/>
            </w:pPr>
            <w:r>
              <w:t>4,877.9</w:t>
            </w:r>
          </w:p>
        </w:tc>
        <w:tc>
          <w:tcPr>
            <w:tcW w:w="1134" w:type="dxa"/>
            <w:tcBorders>
              <w:bottom w:val="single" w:sz="4" w:space="0" w:color="auto"/>
            </w:tcBorders>
            <w:noWrap/>
            <w:hideMark/>
          </w:tcPr>
          <w:p w14:paraId="74788B81" w14:textId="77777777" w:rsidR="005F4A7E" w:rsidRDefault="005F4A7E" w:rsidP="00130D1C">
            <w:pPr>
              <w:pStyle w:val="ARfintablebodyrightbold"/>
            </w:pPr>
            <w:r>
              <w:t>7,377.2</w:t>
            </w:r>
          </w:p>
        </w:tc>
      </w:tr>
      <w:tr w:rsidR="005F4A7E" w14:paraId="0D64B55D" w14:textId="77777777" w:rsidTr="00130D1C">
        <w:trPr>
          <w:cantSplit w:val="0"/>
        </w:trPr>
        <w:tc>
          <w:tcPr>
            <w:tcW w:w="9639" w:type="dxa"/>
            <w:gridSpan w:val="3"/>
            <w:tcBorders>
              <w:top w:val="single" w:sz="4" w:space="0" w:color="auto"/>
              <w:bottom w:val="single" w:sz="4" w:space="0" w:color="A6A6A6"/>
            </w:tcBorders>
            <w:hideMark/>
          </w:tcPr>
          <w:p w14:paraId="64C24F2F" w14:textId="77777777" w:rsidR="005F4A7E" w:rsidRDefault="005F4A7E" w:rsidP="00130D1C">
            <w:pPr>
              <w:pStyle w:val="ARfintablebodybold"/>
              <w:rPr>
                <w:sz w:val="20"/>
                <w:szCs w:val="20"/>
              </w:rPr>
            </w:pPr>
            <w:r>
              <w:t>Contributed capital</w:t>
            </w:r>
          </w:p>
        </w:tc>
      </w:tr>
      <w:tr w:rsidR="005F4A7E" w14:paraId="17C3DA7F" w14:textId="77777777" w:rsidTr="00130D1C">
        <w:trPr>
          <w:cantSplit w:val="0"/>
        </w:trPr>
        <w:tc>
          <w:tcPr>
            <w:tcW w:w="7371" w:type="dxa"/>
            <w:tcBorders>
              <w:top w:val="single" w:sz="4" w:space="0" w:color="A6A6A6"/>
              <w:bottom w:val="single" w:sz="4" w:space="0" w:color="A6A6A6"/>
            </w:tcBorders>
            <w:hideMark/>
          </w:tcPr>
          <w:p w14:paraId="6B8E6ADA" w14:textId="77777777" w:rsidR="005F4A7E" w:rsidRDefault="005F4A7E" w:rsidP="00130D1C">
            <w:pPr>
              <w:pStyle w:val="ARfintablebody"/>
              <w:rPr>
                <w:lang w:eastAsia="en-US"/>
              </w:rPr>
            </w:pPr>
            <w:r>
              <w:t>Balance at beginning of financial year</w:t>
            </w:r>
          </w:p>
        </w:tc>
        <w:tc>
          <w:tcPr>
            <w:tcW w:w="1134" w:type="dxa"/>
            <w:tcBorders>
              <w:top w:val="single" w:sz="4" w:space="0" w:color="A6A6A6"/>
              <w:bottom w:val="single" w:sz="4" w:space="0" w:color="A6A6A6"/>
            </w:tcBorders>
            <w:shd w:val="clear" w:color="auto" w:fill="E7E6E6"/>
            <w:noWrap/>
            <w:hideMark/>
          </w:tcPr>
          <w:p w14:paraId="51A624A1" w14:textId="77777777" w:rsidR="005F4A7E" w:rsidRDefault="005F4A7E" w:rsidP="00130D1C">
            <w:pPr>
              <w:pStyle w:val="ARfintablebodyright"/>
            </w:pPr>
            <w:r>
              <w:t>22,415.0</w:t>
            </w:r>
          </w:p>
        </w:tc>
        <w:tc>
          <w:tcPr>
            <w:tcW w:w="1134" w:type="dxa"/>
            <w:tcBorders>
              <w:top w:val="single" w:sz="4" w:space="0" w:color="A6A6A6"/>
              <w:bottom w:val="single" w:sz="4" w:space="0" w:color="A6A6A6"/>
            </w:tcBorders>
            <w:noWrap/>
            <w:hideMark/>
          </w:tcPr>
          <w:p w14:paraId="6DD82301" w14:textId="77777777" w:rsidR="005F4A7E" w:rsidRDefault="005F4A7E" w:rsidP="00130D1C">
            <w:pPr>
              <w:pStyle w:val="ARfintablebodyright"/>
            </w:pPr>
            <w:r>
              <w:t>22,199.3</w:t>
            </w:r>
          </w:p>
        </w:tc>
      </w:tr>
      <w:tr w:rsidR="005F4A7E" w14:paraId="5ED7AB5A" w14:textId="77777777" w:rsidTr="00130D1C">
        <w:trPr>
          <w:cantSplit w:val="0"/>
        </w:trPr>
        <w:tc>
          <w:tcPr>
            <w:tcW w:w="7371" w:type="dxa"/>
            <w:tcBorders>
              <w:top w:val="single" w:sz="4" w:space="0" w:color="A6A6A6"/>
              <w:bottom w:val="single" w:sz="4" w:space="0" w:color="A6A6A6"/>
            </w:tcBorders>
            <w:hideMark/>
          </w:tcPr>
          <w:p w14:paraId="4FA1FACD" w14:textId="77777777" w:rsidR="005F4A7E" w:rsidRDefault="005F4A7E" w:rsidP="00130D1C">
            <w:pPr>
              <w:pStyle w:val="ARfintablebody"/>
            </w:pPr>
            <w:r>
              <w:t>Machinery of government transfer in/out</w:t>
            </w:r>
          </w:p>
        </w:tc>
        <w:tc>
          <w:tcPr>
            <w:tcW w:w="1134" w:type="dxa"/>
            <w:tcBorders>
              <w:top w:val="single" w:sz="4" w:space="0" w:color="A6A6A6"/>
              <w:bottom w:val="single" w:sz="4" w:space="0" w:color="A6A6A6"/>
            </w:tcBorders>
            <w:shd w:val="clear" w:color="auto" w:fill="E7E6E6"/>
            <w:noWrap/>
            <w:hideMark/>
          </w:tcPr>
          <w:p w14:paraId="141F5AF3" w14:textId="77777777" w:rsidR="005F4A7E" w:rsidRDefault="005F4A7E" w:rsidP="00130D1C">
            <w:pPr>
              <w:pStyle w:val="ARfintablebodyright"/>
            </w:pPr>
            <w:r>
              <w:t>4.1</w:t>
            </w:r>
          </w:p>
        </w:tc>
        <w:tc>
          <w:tcPr>
            <w:tcW w:w="1134" w:type="dxa"/>
            <w:tcBorders>
              <w:top w:val="single" w:sz="4" w:space="0" w:color="A6A6A6"/>
              <w:bottom w:val="single" w:sz="4" w:space="0" w:color="A6A6A6"/>
            </w:tcBorders>
            <w:noWrap/>
            <w:hideMark/>
          </w:tcPr>
          <w:p w14:paraId="11F0D2E7" w14:textId="77777777" w:rsidR="005F4A7E" w:rsidRDefault="005F4A7E" w:rsidP="00130D1C">
            <w:pPr>
              <w:pStyle w:val="ARfintablebodyright"/>
            </w:pPr>
            <w:r>
              <w:t>18.5</w:t>
            </w:r>
          </w:p>
        </w:tc>
      </w:tr>
      <w:tr w:rsidR="005F4A7E" w14:paraId="68D300C0" w14:textId="77777777" w:rsidTr="00130D1C">
        <w:trPr>
          <w:cantSplit w:val="0"/>
        </w:trPr>
        <w:tc>
          <w:tcPr>
            <w:tcW w:w="7371" w:type="dxa"/>
            <w:tcBorders>
              <w:top w:val="single" w:sz="4" w:space="0" w:color="A6A6A6"/>
              <w:bottom w:val="single" w:sz="4" w:space="0" w:color="A6A6A6"/>
            </w:tcBorders>
            <w:hideMark/>
          </w:tcPr>
          <w:p w14:paraId="12D587D2" w14:textId="77777777" w:rsidR="005F4A7E" w:rsidRDefault="005F4A7E" w:rsidP="00130D1C">
            <w:pPr>
              <w:pStyle w:val="ARfintablebody"/>
            </w:pPr>
            <w:r>
              <w:t>Transfer from accumulated surplus/(deficit) related to machinery of government</w:t>
            </w:r>
          </w:p>
        </w:tc>
        <w:tc>
          <w:tcPr>
            <w:tcW w:w="1134" w:type="dxa"/>
            <w:tcBorders>
              <w:top w:val="single" w:sz="4" w:space="0" w:color="A6A6A6"/>
              <w:bottom w:val="single" w:sz="4" w:space="0" w:color="A6A6A6"/>
            </w:tcBorders>
            <w:shd w:val="clear" w:color="auto" w:fill="E7E6E6"/>
            <w:noWrap/>
            <w:hideMark/>
          </w:tcPr>
          <w:p w14:paraId="24C83AE3" w14:textId="77777777" w:rsidR="005F4A7E" w:rsidRDefault="005F4A7E" w:rsidP="00130D1C">
            <w:pPr>
              <w:pStyle w:val="ARfintablebodyright"/>
            </w:pPr>
            <w:r>
              <w:t>5,937.6</w:t>
            </w:r>
          </w:p>
        </w:tc>
        <w:tc>
          <w:tcPr>
            <w:tcW w:w="1134" w:type="dxa"/>
            <w:tcBorders>
              <w:top w:val="single" w:sz="4" w:space="0" w:color="A6A6A6"/>
              <w:bottom w:val="single" w:sz="4" w:space="0" w:color="A6A6A6"/>
            </w:tcBorders>
            <w:noWrap/>
            <w:hideMark/>
          </w:tcPr>
          <w:p w14:paraId="3087E7C3" w14:textId="77777777" w:rsidR="005F4A7E" w:rsidRDefault="005F4A7E" w:rsidP="00130D1C">
            <w:pPr>
              <w:pStyle w:val="ARfintablebodyright"/>
            </w:pPr>
            <w:r>
              <w:t>–</w:t>
            </w:r>
          </w:p>
        </w:tc>
      </w:tr>
      <w:tr w:rsidR="005F4A7E" w14:paraId="052900E3" w14:textId="77777777" w:rsidTr="00130D1C">
        <w:trPr>
          <w:cantSplit w:val="0"/>
        </w:trPr>
        <w:tc>
          <w:tcPr>
            <w:tcW w:w="7371" w:type="dxa"/>
            <w:tcBorders>
              <w:top w:val="single" w:sz="4" w:space="0" w:color="A6A6A6"/>
              <w:bottom w:val="single" w:sz="4" w:space="0" w:color="A6A6A6"/>
            </w:tcBorders>
            <w:hideMark/>
          </w:tcPr>
          <w:p w14:paraId="01D0A896" w14:textId="77777777" w:rsidR="005F4A7E" w:rsidRDefault="005F4A7E" w:rsidP="00130D1C">
            <w:pPr>
              <w:pStyle w:val="ARfintablebody"/>
            </w:pPr>
            <w:r>
              <w:t>Capital contributions to health agencies</w:t>
            </w:r>
          </w:p>
        </w:tc>
        <w:tc>
          <w:tcPr>
            <w:tcW w:w="1134" w:type="dxa"/>
            <w:tcBorders>
              <w:top w:val="single" w:sz="4" w:space="0" w:color="A6A6A6"/>
              <w:bottom w:val="single" w:sz="4" w:space="0" w:color="A6A6A6"/>
            </w:tcBorders>
            <w:shd w:val="clear" w:color="auto" w:fill="E7E6E6"/>
            <w:noWrap/>
            <w:hideMark/>
          </w:tcPr>
          <w:p w14:paraId="3CE02602" w14:textId="77777777" w:rsidR="005F4A7E" w:rsidRDefault="005F4A7E" w:rsidP="00130D1C">
            <w:pPr>
              <w:pStyle w:val="ARfintablebodyright"/>
            </w:pPr>
            <w:r>
              <w:t>(9.6)</w:t>
            </w:r>
          </w:p>
        </w:tc>
        <w:tc>
          <w:tcPr>
            <w:tcW w:w="1134" w:type="dxa"/>
            <w:tcBorders>
              <w:top w:val="single" w:sz="4" w:space="0" w:color="A6A6A6"/>
              <w:bottom w:val="single" w:sz="4" w:space="0" w:color="A6A6A6"/>
            </w:tcBorders>
            <w:noWrap/>
            <w:hideMark/>
          </w:tcPr>
          <w:p w14:paraId="7E1EF850" w14:textId="77777777" w:rsidR="005F4A7E" w:rsidRDefault="005F4A7E" w:rsidP="00130D1C">
            <w:pPr>
              <w:pStyle w:val="ARfintablebodyright"/>
            </w:pPr>
            <w:r>
              <w:t>(61.2)</w:t>
            </w:r>
          </w:p>
        </w:tc>
      </w:tr>
      <w:tr w:rsidR="005F4A7E" w14:paraId="0154830E" w14:textId="77777777" w:rsidTr="00130D1C">
        <w:trPr>
          <w:cantSplit w:val="0"/>
        </w:trPr>
        <w:tc>
          <w:tcPr>
            <w:tcW w:w="7371" w:type="dxa"/>
            <w:tcBorders>
              <w:top w:val="single" w:sz="4" w:space="0" w:color="A6A6A6"/>
              <w:bottom w:val="single" w:sz="4" w:space="0" w:color="A6A6A6"/>
            </w:tcBorders>
            <w:hideMark/>
          </w:tcPr>
          <w:p w14:paraId="1113C6A1" w14:textId="77777777" w:rsidR="005F4A7E" w:rsidRDefault="005F4A7E" w:rsidP="00130D1C">
            <w:pPr>
              <w:pStyle w:val="ARfintablebody"/>
            </w:pPr>
            <w:r>
              <w:t>Capital contributions by Victorian State Government</w:t>
            </w:r>
          </w:p>
        </w:tc>
        <w:tc>
          <w:tcPr>
            <w:tcW w:w="1134" w:type="dxa"/>
            <w:tcBorders>
              <w:top w:val="single" w:sz="4" w:space="0" w:color="A6A6A6"/>
              <w:bottom w:val="single" w:sz="4" w:space="0" w:color="A6A6A6"/>
            </w:tcBorders>
            <w:shd w:val="clear" w:color="auto" w:fill="E7E6E6"/>
            <w:noWrap/>
            <w:hideMark/>
          </w:tcPr>
          <w:p w14:paraId="3EB7D0E0" w14:textId="77777777" w:rsidR="005F4A7E" w:rsidRDefault="005F4A7E" w:rsidP="00130D1C">
            <w:pPr>
              <w:pStyle w:val="ARfintablebodyright"/>
            </w:pPr>
            <w:r>
              <w:t>427.5</w:t>
            </w:r>
          </w:p>
        </w:tc>
        <w:tc>
          <w:tcPr>
            <w:tcW w:w="1134" w:type="dxa"/>
            <w:tcBorders>
              <w:top w:val="single" w:sz="4" w:space="0" w:color="A6A6A6"/>
              <w:bottom w:val="single" w:sz="4" w:space="0" w:color="A6A6A6"/>
            </w:tcBorders>
            <w:noWrap/>
            <w:hideMark/>
          </w:tcPr>
          <w:p w14:paraId="2CD4F8AB" w14:textId="77777777" w:rsidR="005F4A7E" w:rsidRDefault="005F4A7E" w:rsidP="00130D1C">
            <w:pPr>
              <w:pStyle w:val="ARfintablebodyright"/>
            </w:pPr>
            <w:r>
              <w:t>267.6</w:t>
            </w:r>
          </w:p>
        </w:tc>
      </w:tr>
      <w:tr w:rsidR="005F4A7E" w14:paraId="618B444A" w14:textId="77777777" w:rsidTr="00130D1C">
        <w:trPr>
          <w:cantSplit w:val="0"/>
        </w:trPr>
        <w:tc>
          <w:tcPr>
            <w:tcW w:w="7371" w:type="dxa"/>
            <w:tcBorders>
              <w:top w:val="single" w:sz="4" w:space="0" w:color="A6A6A6"/>
            </w:tcBorders>
            <w:hideMark/>
          </w:tcPr>
          <w:p w14:paraId="223455C7" w14:textId="77777777" w:rsidR="005F4A7E" w:rsidRDefault="005F4A7E" w:rsidP="00130D1C">
            <w:pPr>
              <w:pStyle w:val="ARfintablebody"/>
            </w:pPr>
            <w:r>
              <w:t>Capital transferred to administered entity</w:t>
            </w:r>
          </w:p>
        </w:tc>
        <w:tc>
          <w:tcPr>
            <w:tcW w:w="1134" w:type="dxa"/>
            <w:tcBorders>
              <w:top w:val="single" w:sz="4" w:space="0" w:color="A6A6A6"/>
            </w:tcBorders>
            <w:shd w:val="clear" w:color="auto" w:fill="E7E6E6"/>
            <w:noWrap/>
            <w:hideMark/>
          </w:tcPr>
          <w:p w14:paraId="4CCB74C8" w14:textId="77777777" w:rsidR="005F4A7E" w:rsidRDefault="005F4A7E" w:rsidP="00130D1C">
            <w:pPr>
              <w:pStyle w:val="ARfintablebodyright"/>
            </w:pPr>
            <w:r>
              <w:t>(90.4)</w:t>
            </w:r>
          </w:p>
        </w:tc>
        <w:tc>
          <w:tcPr>
            <w:tcW w:w="1134" w:type="dxa"/>
            <w:tcBorders>
              <w:top w:val="single" w:sz="4" w:space="0" w:color="A6A6A6"/>
            </w:tcBorders>
            <w:noWrap/>
            <w:hideMark/>
          </w:tcPr>
          <w:p w14:paraId="344BF88F" w14:textId="77777777" w:rsidR="005F4A7E" w:rsidRDefault="005F4A7E" w:rsidP="00130D1C">
            <w:pPr>
              <w:pStyle w:val="ARfintablebodyright"/>
            </w:pPr>
            <w:r>
              <w:t>(9.2)</w:t>
            </w:r>
          </w:p>
        </w:tc>
      </w:tr>
      <w:tr w:rsidR="005F4A7E" w14:paraId="24530831" w14:textId="77777777" w:rsidTr="00130D1C">
        <w:trPr>
          <w:cantSplit w:val="0"/>
        </w:trPr>
        <w:tc>
          <w:tcPr>
            <w:tcW w:w="7371" w:type="dxa"/>
            <w:hideMark/>
          </w:tcPr>
          <w:p w14:paraId="36C7A985" w14:textId="77777777" w:rsidR="005F4A7E" w:rsidRDefault="005F4A7E" w:rsidP="00130D1C">
            <w:pPr>
              <w:pStyle w:val="ARfintablebodybold"/>
            </w:pPr>
            <w:r>
              <w:t>Balance at the end of financial year</w:t>
            </w:r>
          </w:p>
        </w:tc>
        <w:tc>
          <w:tcPr>
            <w:tcW w:w="1134" w:type="dxa"/>
            <w:shd w:val="clear" w:color="auto" w:fill="E7E6E6"/>
            <w:noWrap/>
            <w:hideMark/>
          </w:tcPr>
          <w:p w14:paraId="24BF169B" w14:textId="77777777" w:rsidR="005F4A7E" w:rsidRDefault="005F4A7E" w:rsidP="00130D1C">
            <w:pPr>
              <w:pStyle w:val="ARfintablebodyrightbold"/>
            </w:pPr>
            <w:r>
              <w:t>28,684.1</w:t>
            </w:r>
          </w:p>
        </w:tc>
        <w:tc>
          <w:tcPr>
            <w:tcW w:w="1134" w:type="dxa"/>
            <w:noWrap/>
            <w:hideMark/>
          </w:tcPr>
          <w:p w14:paraId="51D2F021" w14:textId="77777777" w:rsidR="005F4A7E" w:rsidRDefault="005F4A7E" w:rsidP="00130D1C">
            <w:pPr>
              <w:pStyle w:val="ARfintablebodyrightbold"/>
            </w:pPr>
            <w:r>
              <w:t>22,415.0</w:t>
            </w:r>
          </w:p>
        </w:tc>
      </w:tr>
      <w:tr w:rsidR="005F4A7E" w14:paraId="359102A9" w14:textId="77777777" w:rsidTr="00130D1C">
        <w:trPr>
          <w:cantSplit w:val="0"/>
        </w:trPr>
        <w:tc>
          <w:tcPr>
            <w:tcW w:w="7371" w:type="dxa"/>
            <w:tcBorders>
              <w:bottom w:val="single" w:sz="4" w:space="0" w:color="auto"/>
            </w:tcBorders>
            <w:hideMark/>
          </w:tcPr>
          <w:p w14:paraId="206E105A" w14:textId="77777777" w:rsidR="005F4A7E" w:rsidRDefault="005F4A7E" w:rsidP="00130D1C">
            <w:pPr>
              <w:pStyle w:val="ARfintablebodybold"/>
            </w:pPr>
            <w:r>
              <w:t>Total equity</w:t>
            </w:r>
          </w:p>
        </w:tc>
        <w:tc>
          <w:tcPr>
            <w:tcW w:w="1134" w:type="dxa"/>
            <w:tcBorders>
              <w:bottom w:val="single" w:sz="4" w:space="0" w:color="auto"/>
            </w:tcBorders>
            <w:shd w:val="clear" w:color="auto" w:fill="E7E6E6"/>
            <w:noWrap/>
            <w:hideMark/>
          </w:tcPr>
          <w:p w14:paraId="39760A49" w14:textId="77777777" w:rsidR="005F4A7E" w:rsidRDefault="005F4A7E" w:rsidP="00130D1C">
            <w:pPr>
              <w:pStyle w:val="ARfintablebodyrightbold"/>
            </w:pPr>
            <w:r>
              <w:t>37,275.9</w:t>
            </w:r>
          </w:p>
        </w:tc>
        <w:tc>
          <w:tcPr>
            <w:tcW w:w="1134" w:type="dxa"/>
            <w:tcBorders>
              <w:bottom w:val="single" w:sz="4" w:space="0" w:color="auto"/>
            </w:tcBorders>
            <w:noWrap/>
            <w:hideMark/>
          </w:tcPr>
          <w:p w14:paraId="00757834" w14:textId="77777777" w:rsidR="005F4A7E" w:rsidRDefault="005F4A7E" w:rsidP="00130D1C">
            <w:pPr>
              <w:pStyle w:val="ARfintablebodyrightbold"/>
            </w:pPr>
            <w:r>
              <w:t>31,937.2</w:t>
            </w:r>
          </w:p>
        </w:tc>
      </w:tr>
      <w:tr w:rsidR="005F4A7E" w14:paraId="3E0DC4E6" w14:textId="77777777" w:rsidTr="00130D1C">
        <w:trPr>
          <w:cantSplit w:val="0"/>
        </w:trPr>
        <w:tc>
          <w:tcPr>
            <w:tcW w:w="9639" w:type="dxa"/>
            <w:gridSpan w:val="3"/>
            <w:tcBorders>
              <w:top w:val="single" w:sz="4" w:space="0" w:color="auto"/>
              <w:bottom w:val="single" w:sz="4" w:space="0" w:color="A6A6A6"/>
            </w:tcBorders>
            <w:hideMark/>
          </w:tcPr>
          <w:p w14:paraId="171FE7D6" w14:textId="77777777" w:rsidR="005F4A7E" w:rsidRDefault="005F4A7E" w:rsidP="00130D1C">
            <w:pPr>
              <w:pStyle w:val="ARfintablebodybold"/>
              <w:rPr>
                <w:sz w:val="20"/>
                <w:szCs w:val="20"/>
              </w:rPr>
            </w:pPr>
            <w:r>
              <w:t>Physical asset revaluation surplus – represented by:</w:t>
            </w:r>
          </w:p>
        </w:tc>
      </w:tr>
      <w:tr w:rsidR="005F4A7E" w14:paraId="53CFE642" w14:textId="77777777" w:rsidTr="00130D1C">
        <w:trPr>
          <w:cantSplit w:val="0"/>
        </w:trPr>
        <w:tc>
          <w:tcPr>
            <w:tcW w:w="7371" w:type="dxa"/>
            <w:tcBorders>
              <w:top w:val="single" w:sz="4" w:space="0" w:color="A6A6A6"/>
              <w:bottom w:val="single" w:sz="4" w:space="0" w:color="A6A6A6"/>
            </w:tcBorders>
            <w:hideMark/>
          </w:tcPr>
          <w:p w14:paraId="31478253" w14:textId="77777777" w:rsidR="005F4A7E" w:rsidRDefault="005F4A7E" w:rsidP="00130D1C">
            <w:pPr>
              <w:pStyle w:val="ARfintablebody"/>
              <w:rPr>
                <w:lang w:eastAsia="en-US"/>
              </w:rPr>
            </w:pPr>
            <w:r>
              <w:t>– Land</w:t>
            </w:r>
          </w:p>
        </w:tc>
        <w:tc>
          <w:tcPr>
            <w:tcW w:w="1134" w:type="dxa"/>
            <w:tcBorders>
              <w:top w:val="single" w:sz="4" w:space="0" w:color="A6A6A6"/>
              <w:bottom w:val="single" w:sz="4" w:space="0" w:color="A6A6A6"/>
            </w:tcBorders>
            <w:shd w:val="clear" w:color="auto" w:fill="E7E6E6"/>
            <w:noWrap/>
            <w:hideMark/>
          </w:tcPr>
          <w:p w14:paraId="1F5F6AAB" w14:textId="77777777" w:rsidR="005F4A7E" w:rsidRDefault="005F4A7E" w:rsidP="00130D1C">
            <w:pPr>
              <w:pStyle w:val="ARfintablebodyright"/>
            </w:pPr>
            <w:r>
              <w:t>4,283.8</w:t>
            </w:r>
          </w:p>
        </w:tc>
        <w:tc>
          <w:tcPr>
            <w:tcW w:w="1134" w:type="dxa"/>
            <w:tcBorders>
              <w:top w:val="single" w:sz="4" w:space="0" w:color="A6A6A6"/>
              <w:bottom w:val="single" w:sz="4" w:space="0" w:color="A6A6A6"/>
            </w:tcBorders>
            <w:noWrap/>
            <w:hideMark/>
          </w:tcPr>
          <w:p w14:paraId="2A8BE4A9" w14:textId="77777777" w:rsidR="005F4A7E" w:rsidRDefault="005F4A7E" w:rsidP="00130D1C">
            <w:pPr>
              <w:pStyle w:val="ARfintablebodyright"/>
            </w:pPr>
            <w:r>
              <w:t>6,353.0</w:t>
            </w:r>
          </w:p>
        </w:tc>
      </w:tr>
      <w:tr w:rsidR="005F4A7E" w14:paraId="50F597D8" w14:textId="77777777" w:rsidTr="00130D1C">
        <w:trPr>
          <w:cantSplit w:val="0"/>
        </w:trPr>
        <w:tc>
          <w:tcPr>
            <w:tcW w:w="7371" w:type="dxa"/>
            <w:tcBorders>
              <w:top w:val="single" w:sz="4" w:space="0" w:color="A6A6A6"/>
            </w:tcBorders>
            <w:hideMark/>
          </w:tcPr>
          <w:p w14:paraId="69C15B06" w14:textId="77777777" w:rsidR="005F4A7E" w:rsidRDefault="005F4A7E" w:rsidP="00130D1C">
            <w:pPr>
              <w:pStyle w:val="ARfintablebody"/>
            </w:pPr>
            <w:r>
              <w:t>– Building</w:t>
            </w:r>
          </w:p>
        </w:tc>
        <w:tc>
          <w:tcPr>
            <w:tcW w:w="1134" w:type="dxa"/>
            <w:tcBorders>
              <w:top w:val="single" w:sz="4" w:space="0" w:color="A6A6A6"/>
            </w:tcBorders>
            <w:shd w:val="clear" w:color="auto" w:fill="E7E6E6"/>
            <w:noWrap/>
            <w:hideMark/>
          </w:tcPr>
          <w:p w14:paraId="39CDE858" w14:textId="77777777" w:rsidR="005F4A7E" w:rsidRDefault="005F4A7E" w:rsidP="00130D1C">
            <w:pPr>
              <w:pStyle w:val="ARfintablebodyright"/>
            </w:pPr>
            <w:r>
              <w:t>594.2</w:t>
            </w:r>
          </w:p>
        </w:tc>
        <w:tc>
          <w:tcPr>
            <w:tcW w:w="1134" w:type="dxa"/>
            <w:tcBorders>
              <w:top w:val="single" w:sz="4" w:space="0" w:color="A6A6A6"/>
            </w:tcBorders>
            <w:noWrap/>
            <w:hideMark/>
          </w:tcPr>
          <w:p w14:paraId="2B5758C7" w14:textId="77777777" w:rsidR="005F4A7E" w:rsidRDefault="005F4A7E" w:rsidP="00130D1C">
            <w:pPr>
              <w:pStyle w:val="ARfintablebodyright"/>
            </w:pPr>
            <w:r>
              <w:t>1,024.2</w:t>
            </w:r>
          </w:p>
        </w:tc>
      </w:tr>
      <w:tr w:rsidR="005F4A7E" w14:paraId="1421E3D0" w14:textId="77777777" w:rsidTr="00130D1C">
        <w:trPr>
          <w:cantSplit w:val="0"/>
        </w:trPr>
        <w:tc>
          <w:tcPr>
            <w:tcW w:w="7371" w:type="dxa"/>
            <w:hideMark/>
          </w:tcPr>
          <w:p w14:paraId="78CF133B" w14:textId="77777777" w:rsidR="005F4A7E" w:rsidRDefault="005F4A7E" w:rsidP="00130D1C">
            <w:pPr>
              <w:pStyle w:val="ARfintablebodybold"/>
            </w:pPr>
            <w:r>
              <w:t>Total physical assets revaluation surplus</w:t>
            </w:r>
          </w:p>
        </w:tc>
        <w:tc>
          <w:tcPr>
            <w:tcW w:w="1134" w:type="dxa"/>
            <w:shd w:val="clear" w:color="auto" w:fill="E7E6E6"/>
            <w:noWrap/>
            <w:hideMark/>
          </w:tcPr>
          <w:p w14:paraId="3B21AF80" w14:textId="77777777" w:rsidR="005F4A7E" w:rsidRDefault="005F4A7E" w:rsidP="00130D1C">
            <w:pPr>
              <w:pStyle w:val="ARfintablebodyrightbold"/>
            </w:pPr>
            <w:r>
              <w:t>4,877.9</w:t>
            </w:r>
          </w:p>
        </w:tc>
        <w:tc>
          <w:tcPr>
            <w:tcW w:w="1134" w:type="dxa"/>
            <w:noWrap/>
            <w:hideMark/>
          </w:tcPr>
          <w:p w14:paraId="16569F17" w14:textId="77777777" w:rsidR="005F4A7E" w:rsidRDefault="005F4A7E" w:rsidP="00130D1C">
            <w:pPr>
              <w:pStyle w:val="ARfintablebodyrightbold"/>
            </w:pPr>
            <w:r>
              <w:t>7,377.2</w:t>
            </w:r>
          </w:p>
        </w:tc>
      </w:tr>
    </w:tbl>
    <w:p w14:paraId="732D6DB6" w14:textId="77777777" w:rsidR="005F4A7E" w:rsidRDefault="005F4A7E" w:rsidP="00130D1C">
      <w:pPr>
        <w:pStyle w:val="ARfintablefootnote"/>
        <w:spacing w:line="240" w:lineRule="auto"/>
        <w:rPr>
          <w:lang w:eastAsia="en-AU"/>
        </w:rPr>
      </w:pPr>
      <w:bookmarkStart w:id="1057" w:name="_Hlk82086692"/>
      <w:bookmarkStart w:id="1058" w:name="_Toc39242170"/>
      <w:r>
        <w:rPr>
          <w:lang w:eastAsia="en-AU"/>
        </w:rPr>
        <w:t>Notes:</w:t>
      </w:r>
    </w:p>
    <w:p w14:paraId="30D6E670" w14:textId="77777777" w:rsidR="005F4A7E" w:rsidRDefault="005F4A7E" w:rsidP="00130D1C">
      <w:pPr>
        <w:pStyle w:val="ARfintablefootnoteindent"/>
      </w:pPr>
      <w:bookmarkStart w:id="1059" w:name="_Hlk82007410"/>
      <w:r>
        <w:t>(i)</w:t>
      </w:r>
      <w:r>
        <w:tab/>
        <w:t>The prior period error relates to:</w:t>
      </w:r>
    </w:p>
    <w:p w14:paraId="3F533253" w14:textId="77777777" w:rsidR="005F4A7E" w:rsidRDefault="005F4A7E" w:rsidP="003B1F81">
      <w:pPr>
        <w:pStyle w:val="ARfintablefootnoteindent"/>
        <w:numPr>
          <w:ilvl w:val="0"/>
          <w:numId w:val="36"/>
        </w:numPr>
        <w:ind w:left="568" w:hanging="284"/>
      </w:pPr>
      <w:r>
        <w:t>The capitalisation of land amounting to $54.3 million which was purchased for the New Footscray Hospital Project and had been incorrectly expensed as capital grants</w:t>
      </w:r>
    </w:p>
    <w:p w14:paraId="75BE799C" w14:textId="77777777" w:rsidR="005F4A7E" w:rsidRDefault="005F4A7E" w:rsidP="003B1F81">
      <w:pPr>
        <w:pStyle w:val="ARfintablefootnoteindent"/>
        <w:numPr>
          <w:ilvl w:val="0"/>
          <w:numId w:val="36"/>
        </w:numPr>
        <w:ind w:left="568" w:hanging="284"/>
      </w:pPr>
      <w:r>
        <w:t>The capitalisation of payments that had been previously expensed less capitalised items that should have been expensed which results in a net increase to intangible assets of $3.07 million</w:t>
      </w:r>
      <w:bookmarkEnd w:id="1059"/>
      <w:r>
        <w:t>.</w:t>
      </w:r>
    </w:p>
    <w:p w14:paraId="274C3F3F" w14:textId="77777777" w:rsidR="005F4A7E" w:rsidRDefault="005F4A7E" w:rsidP="00130D1C">
      <w:pPr>
        <w:pStyle w:val="ARfintablefootnoteindent"/>
      </w:pPr>
      <w:r>
        <w:t>(ii)</w:t>
      </w:r>
      <w:r>
        <w:tab/>
        <w:t>Movements in the physical asset revaluation reserve arise from the revaluation of land and buildings and the impairment of land and buildings that were previously revalued.</w:t>
      </w:r>
      <w:bookmarkEnd w:id="1057"/>
    </w:p>
    <w:p w14:paraId="33232B2E" w14:textId="77777777" w:rsidR="005F4A7E" w:rsidRPr="005601B5" w:rsidRDefault="005F4A7E" w:rsidP="00130D1C">
      <w:pPr>
        <w:pStyle w:val="ARfinbody"/>
      </w:pPr>
      <w:r w:rsidRPr="005601B5">
        <w:br w:type="page"/>
      </w:r>
    </w:p>
    <w:p w14:paraId="673C4EA3" w14:textId="77777777" w:rsidR="005F4A7E" w:rsidRDefault="005F4A7E" w:rsidP="00130D1C">
      <w:pPr>
        <w:pStyle w:val="Heading4"/>
        <w:rPr>
          <w:lang w:eastAsia="en-AU"/>
        </w:rPr>
      </w:pPr>
      <w:bookmarkStart w:id="1060" w:name="_Toc85121552"/>
      <w:bookmarkEnd w:id="1058"/>
      <w:r>
        <w:rPr>
          <w:lang w:eastAsia="en-AU"/>
        </w:rPr>
        <w:lastRenderedPageBreak/>
        <w:t>9.5 Entities included in the Department of Health financial statements pursuant to section 53(1)(b) of the FMA</w:t>
      </w:r>
      <w:bookmarkEnd w:id="1060"/>
    </w:p>
    <w:p w14:paraId="0FA1B5A2" w14:textId="7CA3DDED" w:rsidR="005F4A7E" w:rsidRDefault="005F4A7E" w:rsidP="00130D1C">
      <w:pPr>
        <w:pStyle w:val="ARfinbody"/>
      </w:pPr>
      <w:r>
        <w:t>The financial information of the following entities has been included into the department</w:t>
      </w:r>
      <w:r w:rsidR="007D145B">
        <w:t>’</w:t>
      </w:r>
      <w:r>
        <w:t xml:space="preserve">s 2020–21 financial statements pursuant to a determination made by the Assistant Treasurer under s. 53(1)(b) of the </w:t>
      </w:r>
      <w:r>
        <w:rPr>
          <w:rStyle w:val="Emphasis"/>
        </w:rPr>
        <w:t>Financial Management Act 1994</w:t>
      </w:r>
      <w:r>
        <w:t>:</w:t>
      </w:r>
    </w:p>
    <w:p w14:paraId="49C1C957" w14:textId="77777777" w:rsidR="005F4A7E" w:rsidRDefault="005F4A7E" w:rsidP="005F4A7E">
      <w:pPr>
        <w:pStyle w:val="ARfinbullet1"/>
        <w:numPr>
          <w:ilvl w:val="0"/>
          <w:numId w:val="2"/>
        </w:numPr>
      </w:pPr>
      <w:r>
        <w:t>Director of Housing (from 1 July 2006)</w:t>
      </w:r>
    </w:p>
    <w:p w14:paraId="2A55DF01" w14:textId="77777777" w:rsidR="005F4A7E" w:rsidRDefault="005F4A7E" w:rsidP="005F4A7E">
      <w:pPr>
        <w:pStyle w:val="ARfinbullet1"/>
        <w:numPr>
          <w:ilvl w:val="0"/>
          <w:numId w:val="2"/>
        </w:numPr>
      </w:pPr>
      <w:r>
        <w:t>Mental Health Tribunal (from 1 July 2014)</w:t>
      </w:r>
    </w:p>
    <w:p w14:paraId="3B58FF62" w14:textId="77777777" w:rsidR="005F4A7E" w:rsidRDefault="005F4A7E" w:rsidP="005F4A7E">
      <w:pPr>
        <w:pStyle w:val="ARfinbullet1"/>
        <w:numPr>
          <w:ilvl w:val="0"/>
          <w:numId w:val="2"/>
        </w:numPr>
      </w:pPr>
      <w:r>
        <w:t>Commission for Children and Young People (from 1 July 2015)</w:t>
      </w:r>
    </w:p>
    <w:p w14:paraId="604A1A28" w14:textId="77777777" w:rsidR="005F4A7E" w:rsidRDefault="005F4A7E" w:rsidP="005F4A7E">
      <w:pPr>
        <w:pStyle w:val="ARfinbullet1"/>
        <w:numPr>
          <w:ilvl w:val="0"/>
          <w:numId w:val="2"/>
        </w:numPr>
      </w:pPr>
      <w:r>
        <w:t>Disability Worker Registration Board (from 1 June 2020)</w:t>
      </w:r>
    </w:p>
    <w:p w14:paraId="15DA5C48" w14:textId="77777777" w:rsidR="005F4A7E" w:rsidRDefault="005F4A7E" w:rsidP="005F4A7E">
      <w:pPr>
        <w:pStyle w:val="ARfinbullet1"/>
        <w:numPr>
          <w:ilvl w:val="0"/>
          <w:numId w:val="2"/>
        </w:numPr>
      </w:pPr>
      <w:r>
        <w:t>Victorian Disability Worker Commission (from 1 June 2020)</w:t>
      </w:r>
    </w:p>
    <w:p w14:paraId="7512F146" w14:textId="77777777" w:rsidR="005F4A7E" w:rsidRDefault="005F4A7E" w:rsidP="005F4A7E">
      <w:pPr>
        <w:pStyle w:val="ARfinbullet1"/>
        <w:numPr>
          <w:ilvl w:val="0"/>
          <w:numId w:val="2"/>
        </w:numPr>
      </w:pPr>
      <w:r>
        <w:t>Department of Families, Fairness and Housing (from 1 February 2021)</w:t>
      </w:r>
    </w:p>
    <w:p w14:paraId="72BEF054" w14:textId="77777777" w:rsidR="005F4A7E" w:rsidRDefault="005F4A7E" w:rsidP="005F4A7E">
      <w:pPr>
        <w:pStyle w:val="ARfinbullet1"/>
        <w:numPr>
          <w:ilvl w:val="0"/>
          <w:numId w:val="2"/>
        </w:numPr>
      </w:pPr>
      <w:r>
        <w:t>Respect Victoria (from 1 February 2021)</w:t>
      </w:r>
    </w:p>
    <w:p w14:paraId="2216C7EB" w14:textId="77777777" w:rsidR="005F4A7E" w:rsidRDefault="005F4A7E" w:rsidP="005F4A7E">
      <w:pPr>
        <w:pStyle w:val="ARfinbullet1"/>
        <w:numPr>
          <w:ilvl w:val="0"/>
          <w:numId w:val="2"/>
        </w:numPr>
      </w:pPr>
      <w:r>
        <w:t>Victorian Multicultural Commission (from 1 February 2021)</w:t>
      </w:r>
    </w:p>
    <w:p w14:paraId="5F005085" w14:textId="77777777" w:rsidR="005F4A7E" w:rsidRDefault="005F4A7E" w:rsidP="005F4A7E">
      <w:pPr>
        <w:pStyle w:val="ARfinbullet1"/>
        <w:numPr>
          <w:ilvl w:val="0"/>
          <w:numId w:val="2"/>
        </w:numPr>
      </w:pPr>
      <w:r>
        <w:t>Victorian Veterans Council (from 1 February 2021).</w:t>
      </w:r>
    </w:p>
    <w:p w14:paraId="2A1DE977" w14:textId="77777777" w:rsidR="005F4A7E" w:rsidRPr="002029AF" w:rsidRDefault="005F4A7E" w:rsidP="00087B91">
      <w:pPr>
        <w:pStyle w:val="ARfinbodylargespace"/>
      </w:pPr>
      <w:r>
        <w:t>The financial effects of each of those entities, except the Department of Families, Fairness and Housing and the Director of Housing, were trivial to the financial statements, both individually and in aggregate. Therefore, those entities are reported in aggregate, together with the Department of Health in the table below.</w:t>
      </w:r>
    </w:p>
    <w:tbl>
      <w:tblPr>
        <w:tblStyle w:val="TableGrid"/>
        <w:tblW w:w="9639" w:type="dxa"/>
        <w:tblLayout w:type="fixed"/>
        <w:tblCellMar>
          <w:right w:w="57" w:type="dxa"/>
        </w:tblCellMar>
        <w:tblLook w:val="06A0" w:firstRow="1" w:lastRow="0" w:firstColumn="1" w:lastColumn="0" w:noHBand="1" w:noVBand="1"/>
      </w:tblPr>
      <w:tblGrid>
        <w:gridCol w:w="1700"/>
        <w:gridCol w:w="793"/>
        <w:gridCol w:w="794"/>
        <w:gridCol w:w="794"/>
        <w:gridCol w:w="794"/>
        <w:gridCol w:w="794"/>
        <w:gridCol w:w="794"/>
        <w:gridCol w:w="794"/>
        <w:gridCol w:w="794"/>
        <w:gridCol w:w="794"/>
        <w:gridCol w:w="794"/>
      </w:tblGrid>
      <w:tr w:rsidR="005F4A7E" w:rsidRPr="002029AF" w14:paraId="2CCF0405" w14:textId="77777777" w:rsidTr="00130D1C">
        <w:trPr>
          <w:cnfStyle w:val="100000000000" w:firstRow="1" w:lastRow="0" w:firstColumn="0" w:lastColumn="0" w:oddVBand="0" w:evenVBand="0" w:oddHBand="0" w:evenHBand="0" w:firstRowFirstColumn="0" w:firstRowLastColumn="0" w:lastRowFirstColumn="0" w:lastRowLastColumn="0"/>
          <w:trHeight w:val="255"/>
          <w:tblHeader/>
        </w:trPr>
        <w:tc>
          <w:tcPr>
            <w:tcW w:w="1700" w:type="dxa"/>
            <w:vMerge w:val="restart"/>
            <w:tcBorders>
              <w:top w:val="nil"/>
            </w:tcBorders>
          </w:tcPr>
          <w:p w14:paraId="58924A54" w14:textId="77777777" w:rsidR="005F4A7E" w:rsidRPr="002029AF" w:rsidRDefault="005F4A7E" w:rsidP="00130D1C">
            <w:pPr>
              <w:pStyle w:val="ARfintablebody"/>
            </w:pPr>
          </w:p>
        </w:tc>
        <w:tc>
          <w:tcPr>
            <w:tcW w:w="1587" w:type="dxa"/>
            <w:gridSpan w:val="2"/>
            <w:tcBorders>
              <w:top w:val="nil"/>
              <w:bottom w:val="single" w:sz="4" w:space="0" w:color="auto"/>
            </w:tcBorders>
            <w:shd w:val="clear" w:color="auto" w:fill="auto"/>
            <w:noWrap/>
          </w:tcPr>
          <w:p w14:paraId="7F3A5905" w14:textId="77777777" w:rsidR="005F4A7E" w:rsidRPr="002029AF" w:rsidRDefault="005F4A7E" w:rsidP="00130D1C">
            <w:pPr>
              <w:pStyle w:val="ARfintablecolheadcentre"/>
            </w:pPr>
            <w:r w:rsidRPr="00260983">
              <w:t>Department of Health and other section 53(1)(b) entities</w:t>
            </w:r>
          </w:p>
        </w:tc>
        <w:tc>
          <w:tcPr>
            <w:tcW w:w="1588" w:type="dxa"/>
            <w:gridSpan w:val="2"/>
            <w:tcBorders>
              <w:top w:val="nil"/>
              <w:bottom w:val="single" w:sz="4" w:space="0" w:color="auto"/>
            </w:tcBorders>
            <w:shd w:val="clear" w:color="auto" w:fill="auto"/>
          </w:tcPr>
          <w:p w14:paraId="7C761338" w14:textId="77777777" w:rsidR="005F4A7E" w:rsidRPr="002029AF" w:rsidRDefault="005F4A7E" w:rsidP="00130D1C">
            <w:pPr>
              <w:pStyle w:val="ARfintablecolheadcentre"/>
            </w:pPr>
            <w:r w:rsidRPr="00260983">
              <w:t>Department of</w:t>
            </w:r>
            <w:r>
              <w:t> </w:t>
            </w:r>
            <w:r w:rsidRPr="00260983">
              <w:t>Families, Fairness and Housing</w:t>
            </w:r>
          </w:p>
        </w:tc>
        <w:tc>
          <w:tcPr>
            <w:tcW w:w="1588" w:type="dxa"/>
            <w:gridSpan w:val="2"/>
            <w:tcBorders>
              <w:top w:val="nil"/>
              <w:bottom w:val="single" w:sz="4" w:space="0" w:color="auto"/>
            </w:tcBorders>
            <w:shd w:val="clear" w:color="auto" w:fill="auto"/>
            <w:noWrap/>
          </w:tcPr>
          <w:p w14:paraId="58CC35AA" w14:textId="77777777" w:rsidR="005F4A7E" w:rsidRPr="002029AF" w:rsidRDefault="005F4A7E" w:rsidP="00130D1C">
            <w:pPr>
              <w:pStyle w:val="ARfintablecolheadcentre"/>
            </w:pPr>
            <w:r w:rsidRPr="00260983">
              <w:t>Director of Housing</w:t>
            </w:r>
          </w:p>
        </w:tc>
        <w:tc>
          <w:tcPr>
            <w:tcW w:w="1588" w:type="dxa"/>
            <w:gridSpan w:val="2"/>
            <w:tcBorders>
              <w:top w:val="nil"/>
              <w:bottom w:val="single" w:sz="4" w:space="0" w:color="auto"/>
            </w:tcBorders>
            <w:shd w:val="clear" w:color="auto" w:fill="auto"/>
            <w:noWrap/>
          </w:tcPr>
          <w:p w14:paraId="2D33B15F" w14:textId="77777777" w:rsidR="005F4A7E" w:rsidRPr="002029AF" w:rsidRDefault="005F4A7E" w:rsidP="00130D1C">
            <w:pPr>
              <w:pStyle w:val="ARfintablecolheadcentre"/>
            </w:pPr>
            <w:r w:rsidRPr="00260983">
              <w:t>Eliminations and adjustments</w:t>
            </w:r>
          </w:p>
        </w:tc>
        <w:tc>
          <w:tcPr>
            <w:tcW w:w="1588" w:type="dxa"/>
            <w:gridSpan w:val="2"/>
            <w:tcBorders>
              <w:top w:val="nil"/>
              <w:bottom w:val="single" w:sz="4" w:space="0" w:color="auto"/>
            </w:tcBorders>
            <w:shd w:val="clear" w:color="auto" w:fill="auto"/>
            <w:noWrap/>
          </w:tcPr>
          <w:p w14:paraId="33285198" w14:textId="77777777" w:rsidR="005F4A7E" w:rsidRPr="002029AF" w:rsidRDefault="005F4A7E" w:rsidP="00130D1C">
            <w:pPr>
              <w:pStyle w:val="ARfintablecolheadcentre"/>
            </w:pPr>
            <w:r w:rsidRPr="00260983">
              <w:t>Total</w:t>
            </w:r>
          </w:p>
        </w:tc>
      </w:tr>
      <w:tr w:rsidR="005F4A7E" w:rsidRPr="002029AF" w14:paraId="43E131BA" w14:textId="77777777" w:rsidTr="00130D1C">
        <w:trPr>
          <w:cnfStyle w:val="100000000000" w:firstRow="1" w:lastRow="0" w:firstColumn="0" w:lastColumn="0" w:oddVBand="0" w:evenVBand="0" w:oddHBand="0" w:evenHBand="0" w:firstRowFirstColumn="0" w:firstRowLastColumn="0" w:lastRowFirstColumn="0" w:lastRowLastColumn="0"/>
          <w:trHeight w:val="255"/>
          <w:tblHeader/>
        </w:trPr>
        <w:tc>
          <w:tcPr>
            <w:tcW w:w="1700" w:type="dxa"/>
            <w:vMerge/>
            <w:tcBorders>
              <w:top w:val="single" w:sz="4" w:space="0" w:color="auto"/>
              <w:bottom w:val="single" w:sz="4" w:space="0" w:color="auto"/>
            </w:tcBorders>
          </w:tcPr>
          <w:p w14:paraId="1CD9F874" w14:textId="77777777" w:rsidR="005F4A7E" w:rsidRPr="002029AF" w:rsidRDefault="005F4A7E" w:rsidP="00130D1C">
            <w:pPr>
              <w:pStyle w:val="ARfintablebody"/>
            </w:pPr>
          </w:p>
        </w:tc>
        <w:tc>
          <w:tcPr>
            <w:tcW w:w="793" w:type="dxa"/>
            <w:tcBorders>
              <w:top w:val="single" w:sz="4" w:space="0" w:color="auto"/>
              <w:bottom w:val="single" w:sz="4" w:space="0" w:color="A6A6A6"/>
            </w:tcBorders>
            <w:shd w:val="clear" w:color="auto" w:fill="E7E6E6"/>
            <w:noWrap/>
          </w:tcPr>
          <w:p w14:paraId="711D3C4D" w14:textId="77777777" w:rsidR="005F4A7E" w:rsidRPr="002029AF" w:rsidRDefault="005F4A7E" w:rsidP="00130D1C">
            <w:pPr>
              <w:pStyle w:val="ARfintablecolheadright"/>
              <w:ind w:right="0"/>
            </w:pPr>
            <w:r>
              <w:t>2021</w:t>
            </w:r>
          </w:p>
          <w:p w14:paraId="099F3EBA" w14:textId="77777777" w:rsidR="005F4A7E" w:rsidRPr="002029AF" w:rsidRDefault="005F4A7E" w:rsidP="00130D1C">
            <w:pPr>
              <w:pStyle w:val="ARfintablecolheadright"/>
              <w:ind w:right="0"/>
            </w:pPr>
            <w:r w:rsidRPr="002029AF">
              <w:t>$M</w:t>
            </w:r>
          </w:p>
        </w:tc>
        <w:tc>
          <w:tcPr>
            <w:tcW w:w="794" w:type="dxa"/>
            <w:tcBorders>
              <w:top w:val="single" w:sz="4" w:space="0" w:color="auto"/>
              <w:bottom w:val="single" w:sz="4" w:space="0" w:color="A6A6A6"/>
            </w:tcBorders>
            <w:noWrap/>
          </w:tcPr>
          <w:p w14:paraId="3D3616A6" w14:textId="77777777" w:rsidR="005F4A7E" w:rsidRPr="002029AF" w:rsidRDefault="005F4A7E" w:rsidP="00130D1C">
            <w:pPr>
              <w:pStyle w:val="ARfintablecolheadright"/>
              <w:ind w:right="0"/>
            </w:pPr>
            <w:r>
              <w:t>2020</w:t>
            </w:r>
          </w:p>
          <w:p w14:paraId="5F0FB72B" w14:textId="77777777" w:rsidR="005F4A7E" w:rsidRPr="002029AF" w:rsidRDefault="005F4A7E" w:rsidP="00130D1C">
            <w:pPr>
              <w:pStyle w:val="ARfintablecolheadright"/>
              <w:ind w:right="0"/>
            </w:pPr>
            <w:r w:rsidRPr="002029AF">
              <w:t>$M</w:t>
            </w:r>
          </w:p>
        </w:tc>
        <w:tc>
          <w:tcPr>
            <w:tcW w:w="794" w:type="dxa"/>
            <w:tcBorders>
              <w:top w:val="single" w:sz="4" w:space="0" w:color="auto"/>
              <w:bottom w:val="single" w:sz="4" w:space="0" w:color="A6A6A6"/>
            </w:tcBorders>
            <w:shd w:val="clear" w:color="auto" w:fill="E7E6E6"/>
          </w:tcPr>
          <w:p w14:paraId="78F2D6CB" w14:textId="77777777" w:rsidR="005F4A7E" w:rsidRPr="002029AF" w:rsidRDefault="005F4A7E" w:rsidP="00130D1C">
            <w:pPr>
              <w:pStyle w:val="ARfintablecolheadright"/>
              <w:ind w:right="0"/>
            </w:pPr>
            <w:r>
              <w:t>2021</w:t>
            </w:r>
          </w:p>
          <w:p w14:paraId="17271259" w14:textId="77777777" w:rsidR="005F4A7E" w:rsidRPr="002029AF" w:rsidRDefault="005F4A7E" w:rsidP="00130D1C">
            <w:pPr>
              <w:pStyle w:val="ARfintablecolheadright"/>
              <w:ind w:right="0"/>
            </w:pPr>
            <w:r w:rsidRPr="002029AF">
              <w:t>$M</w:t>
            </w:r>
          </w:p>
        </w:tc>
        <w:tc>
          <w:tcPr>
            <w:tcW w:w="794" w:type="dxa"/>
            <w:tcBorders>
              <w:top w:val="single" w:sz="4" w:space="0" w:color="auto"/>
              <w:bottom w:val="single" w:sz="4" w:space="0" w:color="A6A6A6"/>
            </w:tcBorders>
            <w:shd w:val="clear" w:color="auto" w:fill="auto"/>
          </w:tcPr>
          <w:p w14:paraId="50F7A9B0" w14:textId="77777777" w:rsidR="005F4A7E" w:rsidRPr="002029AF" w:rsidRDefault="005F4A7E" w:rsidP="00130D1C">
            <w:pPr>
              <w:pStyle w:val="ARfintablecolheadright"/>
              <w:ind w:right="0"/>
            </w:pPr>
            <w:r>
              <w:t>2020</w:t>
            </w:r>
          </w:p>
          <w:p w14:paraId="4835981C" w14:textId="77777777" w:rsidR="005F4A7E" w:rsidRPr="002029AF" w:rsidRDefault="005F4A7E" w:rsidP="00130D1C">
            <w:pPr>
              <w:pStyle w:val="ARfintablecolheadright"/>
              <w:ind w:right="0"/>
            </w:pPr>
            <w:r w:rsidRPr="002029AF">
              <w:t>$M</w:t>
            </w:r>
          </w:p>
        </w:tc>
        <w:tc>
          <w:tcPr>
            <w:tcW w:w="794" w:type="dxa"/>
            <w:tcBorders>
              <w:top w:val="single" w:sz="4" w:space="0" w:color="auto"/>
              <w:bottom w:val="single" w:sz="4" w:space="0" w:color="A6A6A6"/>
            </w:tcBorders>
            <w:shd w:val="clear" w:color="auto" w:fill="E7E6E6"/>
            <w:noWrap/>
          </w:tcPr>
          <w:p w14:paraId="4B193579" w14:textId="77777777" w:rsidR="005F4A7E" w:rsidRPr="002029AF" w:rsidRDefault="005F4A7E" w:rsidP="00130D1C">
            <w:pPr>
              <w:pStyle w:val="ARfintablecolheadright"/>
              <w:ind w:right="0"/>
            </w:pPr>
            <w:r>
              <w:t>2021</w:t>
            </w:r>
          </w:p>
          <w:p w14:paraId="212551DA" w14:textId="77777777" w:rsidR="005F4A7E" w:rsidRPr="002029AF" w:rsidRDefault="005F4A7E" w:rsidP="00130D1C">
            <w:pPr>
              <w:pStyle w:val="ARfintablecolheadright"/>
              <w:ind w:right="0"/>
            </w:pPr>
            <w:r w:rsidRPr="002029AF">
              <w:t>$M</w:t>
            </w:r>
          </w:p>
        </w:tc>
        <w:tc>
          <w:tcPr>
            <w:tcW w:w="794" w:type="dxa"/>
            <w:tcBorders>
              <w:top w:val="single" w:sz="4" w:space="0" w:color="auto"/>
              <w:bottom w:val="single" w:sz="4" w:space="0" w:color="A6A6A6"/>
            </w:tcBorders>
            <w:noWrap/>
          </w:tcPr>
          <w:p w14:paraId="2FC1EB71" w14:textId="77777777" w:rsidR="005F4A7E" w:rsidRPr="002029AF" w:rsidRDefault="005F4A7E" w:rsidP="00130D1C">
            <w:pPr>
              <w:pStyle w:val="ARfintablecolheadright"/>
              <w:ind w:right="0"/>
            </w:pPr>
            <w:r>
              <w:t>2020</w:t>
            </w:r>
          </w:p>
          <w:p w14:paraId="3D722053" w14:textId="77777777" w:rsidR="005F4A7E" w:rsidRPr="002029AF" w:rsidRDefault="005F4A7E" w:rsidP="00130D1C">
            <w:pPr>
              <w:pStyle w:val="ARfintablecolheadright"/>
              <w:ind w:right="0"/>
            </w:pPr>
            <w:r w:rsidRPr="002029AF">
              <w:t>$M</w:t>
            </w:r>
          </w:p>
        </w:tc>
        <w:tc>
          <w:tcPr>
            <w:tcW w:w="794" w:type="dxa"/>
            <w:tcBorders>
              <w:top w:val="single" w:sz="4" w:space="0" w:color="auto"/>
              <w:bottom w:val="single" w:sz="4" w:space="0" w:color="A6A6A6"/>
            </w:tcBorders>
            <w:shd w:val="clear" w:color="auto" w:fill="E7E6E6"/>
            <w:noWrap/>
          </w:tcPr>
          <w:p w14:paraId="5E4ED48F" w14:textId="77777777" w:rsidR="005F4A7E" w:rsidRPr="002029AF" w:rsidRDefault="005F4A7E" w:rsidP="00130D1C">
            <w:pPr>
              <w:pStyle w:val="ARfintablecolheadright"/>
              <w:ind w:right="0"/>
            </w:pPr>
            <w:r>
              <w:t>2021</w:t>
            </w:r>
          </w:p>
          <w:p w14:paraId="113D6BF0" w14:textId="77777777" w:rsidR="005F4A7E" w:rsidRPr="002029AF" w:rsidRDefault="005F4A7E" w:rsidP="00130D1C">
            <w:pPr>
              <w:pStyle w:val="ARfintablecolheadright"/>
              <w:ind w:right="0"/>
            </w:pPr>
            <w:r w:rsidRPr="002029AF">
              <w:t>$M</w:t>
            </w:r>
          </w:p>
        </w:tc>
        <w:tc>
          <w:tcPr>
            <w:tcW w:w="794" w:type="dxa"/>
            <w:tcBorders>
              <w:top w:val="single" w:sz="4" w:space="0" w:color="auto"/>
              <w:bottom w:val="single" w:sz="4" w:space="0" w:color="A6A6A6"/>
            </w:tcBorders>
            <w:noWrap/>
          </w:tcPr>
          <w:p w14:paraId="7C627E92" w14:textId="77777777" w:rsidR="005F4A7E" w:rsidRPr="002029AF" w:rsidRDefault="005F4A7E" w:rsidP="00130D1C">
            <w:pPr>
              <w:pStyle w:val="ARfintablecolheadright"/>
              <w:ind w:right="0"/>
            </w:pPr>
            <w:r>
              <w:t>2020</w:t>
            </w:r>
          </w:p>
          <w:p w14:paraId="699EA391" w14:textId="77777777" w:rsidR="005F4A7E" w:rsidRPr="002029AF" w:rsidRDefault="005F4A7E" w:rsidP="00130D1C">
            <w:pPr>
              <w:pStyle w:val="ARfintablecolheadright"/>
              <w:ind w:right="0"/>
            </w:pPr>
            <w:r w:rsidRPr="002029AF">
              <w:t>$M</w:t>
            </w:r>
          </w:p>
        </w:tc>
        <w:tc>
          <w:tcPr>
            <w:tcW w:w="794" w:type="dxa"/>
            <w:tcBorders>
              <w:top w:val="single" w:sz="4" w:space="0" w:color="auto"/>
              <w:bottom w:val="single" w:sz="4" w:space="0" w:color="A6A6A6"/>
            </w:tcBorders>
            <w:shd w:val="clear" w:color="auto" w:fill="E7E6E6"/>
            <w:noWrap/>
          </w:tcPr>
          <w:p w14:paraId="05F5EDB0" w14:textId="77777777" w:rsidR="005F4A7E" w:rsidRPr="002029AF" w:rsidRDefault="005F4A7E" w:rsidP="00130D1C">
            <w:pPr>
              <w:pStyle w:val="ARfintablecolheadright"/>
              <w:ind w:right="0"/>
            </w:pPr>
            <w:r>
              <w:t>2021</w:t>
            </w:r>
          </w:p>
          <w:p w14:paraId="46AC1DA7" w14:textId="77777777" w:rsidR="005F4A7E" w:rsidRPr="002029AF" w:rsidRDefault="005F4A7E" w:rsidP="00130D1C">
            <w:pPr>
              <w:pStyle w:val="ARfintablecolheadright"/>
              <w:ind w:right="0"/>
            </w:pPr>
            <w:r w:rsidRPr="002029AF">
              <w:t>$M</w:t>
            </w:r>
          </w:p>
        </w:tc>
        <w:tc>
          <w:tcPr>
            <w:tcW w:w="794" w:type="dxa"/>
            <w:tcBorders>
              <w:top w:val="single" w:sz="4" w:space="0" w:color="auto"/>
              <w:bottom w:val="single" w:sz="4" w:space="0" w:color="A6A6A6"/>
            </w:tcBorders>
            <w:noWrap/>
          </w:tcPr>
          <w:p w14:paraId="53FA69A8" w14:textId="77777777" w:rsidR="005F4A7E" w:rsidRPr="002029AF" w:rsidRDefault="005F4A7E" w:rsidP="00130D1C">
            <w:pPr>
              <w:pStyle w:val="ARfintablecolheadright"/>
              <w:ind w:right="0"/>
            </w:pPr>
            <w:r>
              <w:t>2020</w:t>
            </w:r>
          </w:p>
          <w:p w14:paraId="48B431A4" w14:textId="77777777" w:rsidR="005F4A7E" w:rsidRPr="002029AF" w:rsidRDefault="005F4A7E" w:rsidP="00130D1C">
            <w:pPr>
              <w:pStyle w:val="ARfintablecolheadright"/>
              <w:ind w:right="0"/>
            </w:pPr>
            <w:r w:rsidRPr="002029AF">
              <w:t>$M</w:t>
            </w:r>
          </w:p>
        </w:tc>
      </w:tr>
      <w:tr w:rsidR="005F4A7E" w:rsidRPr="002029AF" w14:paraId="07780C66" w14:textId="77777777" w:rsidTr="00130D1C">
        <w:trPr>
          <w:cantSplit w:val="0"/>
          <w:trHeight w:val="255"/>
        </w:trPr>
        <w:tc>
          <w:tcPr>
            <w:tcW w:w="1700" w:type="dxa"/>
            <w:tcBorders>
              <w:top w:val="single" w:sz="4" w:space="0" w:color="auto"/>
              <w:bottom w:val="single" w:sz="4" w:space="0" w:color="A6A6A6"/>
            </w:tcBorders>
            <w:hideMark/>
          </w:tcPr>
          <w:p w14:paraId="313D7B8C" w14:textId="77777777" w:rsidR="005F4A7E" w:rsidRPr="00C75BB8" w:rsidRDefault="005F4A7E" w:rsidP="00130D1C">
            <w:pPr>
              <w:pStyle w:val="ARfintablebody"/>
              <w:rPr>
                <w:sz w:val="17"/>
                <w:szCs w:val="17"/>
              </w:rPr>
            </w:pPr>
            <w:r w:rsidRPr="00C75BB8">
              <w:rPr>
                <w:sz w:val="17"/>
                <w:szCs w:val="17"/>
              </w:rPr>
              <w:t>Total revenue and income from transactions</w:t>
            </w:r>
          </w:p>
        </w:tc>
        <w:tc>
          <w:tcPr>
            <w:tcW w:w="793" w:type="dxa"/>
            <w:tcBorders>
              <w:top w:val="single" w:sz="4" w:space="0" w:color="auto"/>
              <w:bottom w:val="single" w:sz="4" w:space="0" w:color="A6A6A6"/>
            </w:tcBorders>
            <w:shd w:val="clear" w:color="auto" w:fill="E7E6E6"/>
            <w:noWrap/>
            <w:hideMark/>
          </w:tcPr>
          <w:p w14:paraId="1EB96E92" w14:textId="77777777" w:rsidR="005F4A7E" w:rsidRPr="00C75BB8" w:rsidRDefault="005F4A7E" w:rsidP="00130D1C">
            <w:pPr>
              <w:pStyle w:val="ARfintablebodyright"/>
              <w:ind w:right="0"/>
              <w:rPr>
                <w:sz w:val="17"/>
                <w:szCs w:val="17"/>
              </w:rPr>
            </w:pPr>
            <w:r w:rsidRPr="00C75BB8">
              <w:rPr>
                <w:sz w:val="17"/>
                <w:szCs w:val="17"/>
              </w:rPr>
              <w:t>21,918.4</w:t>
            </w:r>
          </w:p>
        </w:tc>
        <w:tc>
          <w:tcPr>
            <w:tcW w:w="794" w:type="dxa"/>
            <w:tcBorders>
              <w:top w:val="single" w:sz="4" w:space="0" w:color="auto"/>
              <w:bottom w:val="single" w:sz="4" w:space="0" w:color="A6A6A6"/>
            </w:tcBorders>
            <w:noWrap/>
            <w:hideMark/>
          </w:tcPr>
          <w:p w14:paraId="4AD3A02B" w14:textId="77777777" w:rsidR="005F4A7E" w:rsidRPr="00C75BB8" w:rsidRDefault="005F4A7E" w:rsidP="00130D1C">
            <w:pPr>
              <w:pStyle w:val="ARfintablebodyright"/>
              <w:ind w:right="0"/>
              <w:rPr>
                <w:sz w:val="17"/>
                <w:szCs w:val="17"/>
              </w:rPr>
            </w:pPr>
            <w:r w:rsidRPr="00C75BB8">
              <w:rPr>
                <w:sz w:val="17"/>
                <w:szCs w:val="17"/>
              </w:rPr>
              <w:t>20,832.0</w:t>
            </w:r>
          </w:p>
        </w:tc>
        <w:tc>
          <w:tcPr>
            <w:tcW w:w="794" w:type="dxa"/>
            <w:tcBorders>
              <w:top w:val="single" w:sz="4" w:space="0" w:color="auto"/>
              <w:bottom w:val="single" w:sz="4" w:space="0" w:color="A6A6A6"/>
            </w:tcBorders>
            <w:shd w:val="clear" w:color="auto" w:fill="E7E6E6"/>
          </w:tcPr>
          <w:p w14:paraId="33B47640" w14:textId="77777777" w:rsidR="005F4A7E" w:rsidRPr="00C75BB8" w:rsidRDefault="005F4A7E" w:rsidP="00130D1C">
            <w:pPr>
              <w:pStyle w:val="ARfintablebodyright"/>
              <w:ind w:right="0"/>
              <w:rPr>
                <w:sz w:val="17"/>
                <w:szCs w:val="17"/>
              </w:rPr>
            </w:pPr>
            <w:r w:rsidRPr="00C75BB8">
              <w:rPr>
                <w:sz w:val="17"/>
                <w:szCs w:val="17"/>
              </w:rPr>
              <w:t>2,005.4</w:t>
            </w:r>
          </w:p>
        </w:tc>
        <w:tc>
          <w:tcPr>
            <w:tcW w:w="794" w:type="dxa"/>
            <w:tcBorders>
              <w:top w:val="single" w:sz="4" w:space="0" w:color="auto"/>
              <w:bottom w:val="single" w:sz="4" w:space="0" w:color="A6A6A6"/>
            </w:tcBorders>
            <w:shd w:val="clear" w:color="auto" w:fill="auto"/>
          </w:tcPr>
          <w:p w14:paraId="2D294CEB" w14:textId="77777777" w:rsidR="005F4A7E" w:rsidRPr="00C75BB8" w:rsidRDefault="005F4A7E" w:rsidP="00130D1C">
            <w:pPr>
              <w:pStyle w:val="ARfintablebodyright"/>
              <w:ind w:right="0"/>
              <w:rPr>
                <w:sz w:val="17"/>
                <w:szCs w:val="17"/>
              </w:rPr>
            </w:pPr>
            <w:r w:rsidRPr="00C75BB8">
              <w:rPr>
                <w:sz w:val="17"/>
                <w:szCs w:val="17"/>
              </w:rPr>
              <w:t>–</w:t>
            </w:r>
          </w:p>
        </w:tc>
        <w:tc>
          <w:tcPr>
            <w:tcW w:w="794" w:type="dxa"/>
            <w:tcBorders>
              <w:top w:val="single" w:sz="4" w:space="0" w:color="auto"/>
              <w:bottom w:val="single" w:sz="4" w:space="0" w:color="A6A6A6"/>
            </w:tcBorders>
            <w:shd w:val="clear" w:color="auto" w:fill="E7E6E6"/>
            <w:noWrap/>
            <w:hideMark/>
          </w:tcPr>
          <w:p w14:paraId="24789AC8" w14:textId="77777777" w:rsidR="005F4A7E" w:rsidRPr="00C75BB8" w:rsidRDefault="005F4A7E" w:rsidP="00130D1C">
            <w:pPr>
              <w:pStyle w:val="ARfintablebodyright"/>
              <w:ind w:right="0"/>
              <w:rPr>
                <w:sz w:val="17"/>
                <w:szCs w:val="17"/>
              </w:rPr>
            </w:pPr>
            <w:r w:rsidRPr="00C75BB8">
              <w:rPr>
                <w:sz w:val="17"/>
                <w:szCs w:val="17"/>
              </w:rPr>
              <w:t>1,871.9</w:t>
            </w:r>
          </w:p>
        </w:tc>
        <w:tc>
          <w:tcPr>
            <w:tcW w:w="794" w:type="dxa"/>
            <w:tcBorders>
              <w:top w:val="single" w:sz="4" w:space="0" w:color="auto"/>
              <w:bottom w:val="single" w:sz="4" w:space="0" w:color="A6A6A6"/>
            </w:tcBorders>
            <w:noWrap/>
            <w:hideMark/>
          </w:tcPr>
          <w:p w14:paraId="41D6A21A" w14:textId="77777777" w:rsidR="005F4A7E" w:rsidRPr="00C75BB8" w:rsidRDefault="005F4A7E" w:rsidP="00130D1C">
            <w:pPr>
              <w:pStyle w:val="ARfintablebodyright"/>
              <w:ind w:right="0"/>
              <w:rPr>
                <w:sz w:val="17"/>
                <w:szCs w:val="17"/>
              </w:rPr>
            </w:pPr>
            <w:r w:rsidRPr="00C75BB8">
              <w:rPr>
                <w:sz w:val="17"/>
                <w:szCs w:val="17"/>
              </w:rPr>
              <w:t>1,207.5</w:t>
            </w:r>
          </w:p>
        </w:tc>
        <w:tc>
          <w:tcPr>
            <w:tcW w:w="794" w:type="dxa"/>
            <w:tcBorders>
              <w:top w:val="single" w:sz="4" w:space="0" w:color="auto"/>
              <w:bottom w:val="single" w:sz="4" w:space="0" w:color="A6A6A6"/>
            </w:tcBorders>
            <w:shd w:val="clear" w:color="auto" w:fill="E7E6E6"/>
            <w:noWrap/>
            <w:hideMark/>
          </w:tcPr>
          <w:p w14:paraId="6215A92B" w14:textId="77777777" w:rsidR="005F4A7E" w:rsidRPr="00C75BB8" w:rsidRDefault="005F4A7E" w:rsidP="00130D1C">
            <w:pPr>
              <w:pStyle w:val="ARfintablebodyright"/>
              <w:ind w:right="0"/>
              <w:rPr>
                <w:sz w:val="17"/>
                <w:szCs w:val="17"/>
              </w:rPr>
            </w:pPr>
            <w:r w:rsidRPr="00C75BB8">
              <w:rPr>
                <w:sz w:val="17"/>
                <w:szCs w:val="17"/>
              </w:rPr>
              <w:t>(97.3)</w:t>
            </w:r>
          </w:p>
        </w:tc>
        <w:tc>
          <w:tcPr>
            <w:tcW w:w="794" w:type="dxa"/>
            <w:tcBorders>
              <w:top w:val="single" w:sz="4" w:space="0" w:color="auto"/>
              <w:bottom w:val="single" w:sz="4" w:space="0" w:color="A6A6A6"/>
            </w:tcBorders>
            <w:noWrap/>
            <w:hideMark/>
          </w:tcPr>
          <w:p w14:paraId="7407BBC5" w14:textId="77777777" w:rsidR="005F4A7E" w:rsidRPr="00C75BB8" w:rsidRDefault="005F4A7E" w:rsidP="00130D1C">
            <w:pPr>
              <w:pStyle w:val="ARfintablebodyright"/>
              <w:ind w:right="0"/>
              <w:rPr>
                <w:sz w:val="17"/>
                <w:szCs w:val="17"/>
              </w:rPr>
            </w:pPr>
            <w:r w:rsidRPr="00C75BB8">
              <w:rPr>
                <w:sz w:val="17"/>
                <w:szCs w:val="17"/>
              </w:rPr>
              <w:t>(11.1)</w:t>
            </w:r>
          </w:p>
        </w:tc>
        <w:tc>
          <w:tcPr>
            <w:tcW w:w="794" w:type="dxa"/>
            <w:tcBorders>
              <w:top w:val="single" w:sz="4" w:space="0" w:color="auto"/>
              <w:bottom w:val="single" w:sz="4" w:space="0" w:color="A6A6A6"/>
            </w:tcBorders>
            <w:shd w:val="clear" w:color="auto" w:fill="E7E6E6"/>
            <w:noWrap/>
            <w:hideMark/>
          </w:tcPr>
          <w:p w14:paraId="67BB7D02" w14:textId="77777777" w:rsidR="005F4A7E" w:rsidRPr="00C75BB8" w:rsidRDefault="005F4A7E" w:rsidP="00130D1C">
            <w:pPr>
              <w:pStyle w:val="ARfintablebodyright"/>
              <w:ind w:right="0"/>
              <w:rPr>
                <w:sz w:val="17"/>
                <w:szCs w:val="17"/>
              </w:rPr>
            </w:pPr>
            <w:r w:rsidRPr="00C75BB8">
              <w:rPr>
                <w:sz w:val="17"/>
                <w:szCs w:val="17"/>
              </w:rPr>
              <w:t>25,698.4</w:t>
            </w:r>
          </w:p>
        </w:tc>
        <w:tc>
          <w:tcPr>
            <w:tcW w:w="794" w:type="dxa"/>
            <w:tcBorders>
              <w:top w:val="single" w:sz="4" w:space="0" w:color="auto"/>
              <w:bottom w:val="single" w:sz="4" w:space="0" w:color="A6A6A6"/>
            </w:tcBorders>
            <w:noWrap/>
            <w:hideMark/>
          </w:tcPr>
          <w:p w14:paraId="1EB7AD17" w14:textId="77777777" w:rsidR="005F4A7E" w:rsidRPr="00C75BB8" w:rsidRDefault="005F4A7E" w:rsidP="00130D1C">
            <w:pPr>
              <w:pStyle w:val="ARfintablebodyright"/>
              <w:ind w:right="0"/>
              <w:rPr>
                <w:sz w:val="17"/>
                <w:szCs w:val="17"/>
              </w:rPr>
            </w:pPr>
            <w:r w:rsidRPr="00C75BB8">
              <w:rPr>
                <w:sz w:val="17"/>
                <w:szCs w:val="17"/>
              </w:rPr>
              <w:t>22,028.4</w:t>
            </w:r>
          </w:p>
        </w:tc>
      </w:tr>
      <w:tr w:rsidR="005F4A7E" w:rsidRPr="002029AF" w14:paraId="76DB3475" w14:textId="77777777" w:rsidTr="00130D1C">
        <w:trPr>
          <w:cantSplit w:val="0"/>
          <w:trHeight w:val="255"/>
        </w:trPr>
        <w:tc>
          <w:tcPr>
            <w:tcW w:w="1700" w:type="dxa"/>
            <w:tcBorders>
              <w:top w:val="single" w:sz="4" w:space="0" w:color="A6A6A6"/>
              <w:bottom w:val="single" w:sz="4" w:space="0" w:color="A6A6A6"/>
            </w:tcBorders>
            <w:hideMark/>
          </w:tcPr>
          <w:p w14:paraId="23804BA5" w14:textId="77777777" w:rsidR="005F4A7E" w:rsidRPr="00C75BB8" w:rsidRDefault="005F4A7E" w:rsidP="00130D1C">
            <w:pPr>
              <w:pStyle w:val="ARfintablebody"/>
              <w:rPr>
                <w:sz w:val="17"/>
                <w:szCs w:val="17"/>
              </w:rPr>
            </w:pPr>
            <w:r w:rsidRPr="00C75BB8">
              <w:rPr>
                <w:sz w:val="17"/>
                <w:szCs w:val="17"/>
              </w:rPr>
              <w:t>Total expenses from transactions</w:t>
            </w:r>
          </w:p>
        </w:tc>
        <w:tc>
          <w:tcPr>
            <w:tcW w:w="793" w:type="dxa"/>
            <w:tcBorders>
              <w:top w:val="single" w:sz="4" w:space="0" w:color="A6A6A6"/>
              <w:bottom w:val="single" w:sz="4" w:space="0" w:color="A6A6A6"/>
            </w:tcBorders>
            <w:shd w:val="clear" w:color="auto" w:fill="E7E6E6"/>
            <w:noWrap/>
            <w:hideMark/>
          </w:tcPr>
          <w:p w14:paraId="0BE2C153" w14:textId="77777777" w:rsidR="005F4A7E" w:rsidRPr="00C75BB8" w:rsidRDefault="005F4A7E" w:rsidP="00130D1C">
            <w:pPr>
              <w:pStyle w:val="ARfintablebodyright"/>
              <w:ind w:right="0"/>
              <w:rPr>
                <w:sz w:val="17"/>
                <w:szCs w:val="17"/>
              </w:rPr>
            </w:pPr>
            <w:r w:rsidRPr="00C75BB8">
              <w:rPr>
                <w:sz w:val="17"/>
                <w:szCs w:val="17"/>
              </w:rPr>
              <w:t>21,550.8</w:t>
            </w:r>
          </w:p>
        </w:tc>
        <w:tc>
          <w:tcPr>
            <w:tcW w:w="794" w:type="dxa"/>
            <w:tcBorders>
              <w:top w:val="single" w:sz="4" w:space="0" w:color="A6A6A6"/>
              <w:bottom w:val="single" w:sz="4" w:space="0" w:color="A6A6A6"/>
            </w:tcBorders>
            <w:noWrap/>
            <w:hideMark/>
          </w:tcPr>
          <w:p w14:paraId="151F5277" w14:textId="77777777" w:rsidR="005F4A7E" w:rsidRPr="00C75BB8" w:rsidRDefault="005F4A7E" w:rsidP="00130D1C">
            <w:pPr>
              <w:pStyle w:val="ARfintablebodyright"/>
              <w:ind w:right="0"/>
              <w:rPr>
                <w:sz w:val="17"/>
                <w:szCs w:val="17"/>
              </w:rPr>
            </w:pPr>
            <w:r w:rsidRPr="00C75BB8">
              <w:rPr>
                <w:sz w:val="17"/>
                <w:szCs w:val="17"/>
              </w:rPr>
              <w:t>20,034.7</w:t>
            </w:r>
          </w:p>
        </w:tc>
        <w:tc>
          <w:tcPr>
            <w:tcW w:w="794" w:type="dxa"/>
            <w:tcBorders>
              <w:top w:val="single" w:sz="4" w:space="0" w:color="A6A6A6"/>
              <w:bottom w:val="single" w:sz="4" w:space="0" w:color="A6A6A6"/>
            </w:tcBorders>
            <w:shd w:val="clear" w:color="auto" w:fill="E7E6E6"/>
          </w:tcPr>
          <w:p w14:paraId="6DAB5361" w14:textId="77777777" w:rsidR="005F4A7E" w:rsidRPr="00C75BB8" w:rsidRDefault="005F4A7E" w:rsidP="00130D1C">
            <w:pPr>
              <w:pStyle w:val="ARfintablebodyright"/>
              <w:ind w:right="0"/>
              <w:rPr>
                <w:sz w:val="17"/>
                <w:szCs w:val="17"/>
              </w:rPr>
            </w:pPr>
            <w:r w:rsidRPr="00C75BB8">
              <w:rPr>
                <w:sz w:val="17"/>
                <w:szCs w:val="17"/>
              </w:rPr>
              <w:t>1,992.5</w:t>
            </w:r>
          </w:p>
        </w:tc>
        <w:tc>
          <w:tcPr>
            <w:tcW w:w="794" w:type="dxa"/>
            <w:tcBorders>
              <w:top w:val="single" w:sz="4" w:space="0" w:color="A6A6A6"/>
              <w:bottom w:val="single" w:sz="4" w:space="0" w:color="A6A6A6"/>
            </w:tcBorders>
            <w:shd w:val="clear" w:color="auto" w:fill="auto"/>
          </w:tcPr>
          <w:p w14:paraId="60AA9A43" w14:textId="77777777" w:rsidR="005F4A7E" w:rsidRPr="00C75BB8" w:rsidRDefault="005F4A7E" w:rsidP="00130D1C">
            <w:pPr>
              <w:pStyle w:val="ARfintablebodyright"/>
              <w:ind w:right="0"/>
              <w:rPr>
                <w:sz w:val="17"/>
                <w:szCs w:val="17"/>
              </w:rPr>
            </w:pPr>
            <w:r w:rsidRPr="00C75BB8">
              <w:rPr>
                <w:sz w:val="17"/>
                <w:szCs w:val="17"/>
              </w:rPr>
              <w:t>–</w:t>
            </w:r>
          </w:p>
        </w:tc>
        <w:tc>
          <w:tcPr>
            <w:tcW w:w="794" w:type="dxa"/>
            <w:tcBorders>
              <w:top w:val="single" w:sz="4" w:space="0" w:color="A6A6A6"/>
              <w:bottom w:val="single" w:sz="4" w:space="0" w:color="A6A6A6"/>
            </w:tcBorders>
            <w:shd w:val="clear" w:color="auto" w:fill="E7E6E6"/>
            <w:noWrap/>
            <w:hideMark/>
          </w:tcPr>
          <w:p w14:paraId="0BECD715" w14:textId="77777777" w:rsidR="005F4A7E" w:rsidRPr="00C75BB8" w:rsidRDefault="005F4A7E" w:rsidP="00130D1C">
            <w:pPr>
              <w:pStyle w:val="ARfintablebodyright"/>
              <w:ind w:right="0"/>
              <w:rPr>
                <w:sz w:val="17"/>
                <w:szCs w:val="17"/>
              </w:rPr>
            </w:pPr>
            <w:r w:rsidRPr="00C75BB8">
              <w:rPr>
                <w:sz w:val="17"/>
                <w:szCs w:val="17"/>
              </w:rPr>
              <w:t>1,724.6</w:t>
            </w:r>
          </w:p>
        </w:tc>
        <w:tc>
          <w:tcPr>
            <w:tcW w:w="794" w:type="dxa"/>
            <w:tcBorders>
              <w:top w:val="single" w:sz="4" w:space="0" w:color="A6A6A6"/>
              <w:bottom w:val="single" w:sz="4" w:space="0" w:color="A6A6A6"/>
            </w:tcBorders>
            <w:noWrap/>
            <w:hideMark/>
          </w:tcPr>
          <w:p w14:paraId="1803F2D5" w14:textId="77777777" w:rsidR="005F4A7E" w:rsidRPr="00C75BB8" w:rsidRDefault="005F4A7E" w:rsidP="00130D1C">
            <w:pPr>
              <w:pStyle w:val="ARfintablebodyright"/>
              <w:ind w:right="0"/>
              <w:rPr>
                <w:sz w:val="17"/>
                <w:szCs w:val="17"/>
              </w:rPr>
            </w:pPr>
            <w:r w:rsidRPr="00C75BB8">
              <w:rPr>
                <w:sz w:val="17"/>
                <w:szCs w:val="17"/>
              </w:rPr>
              <w:t>1,396.7</w:t>
            </w:r>
          </w:p>
        </w:tc>
        <w:tc>
          <w:tcPr>
            <w:tcW w:w="794" w:type="dxa"/>
            <w:tcBorders>
              <w:top w:val="single" w:sz="4" w:space="0" w:color="A6A6A6"/>
              <w:bottom w:val="single" w:sz="4" w:space="0" w:color="A6A6A6"/>
            </w:tcBorders>
            <w:shd w:val="clear" w:color="auto" w:fill="E7E6E6"/>
            <w:noWrap/>
            <w:hideMark/>
          </w:tcPr>
          <w:p w14:paraId="6A87A3AD" w14:textId="77777777" w:rsidR="005F4A7E" w:rsidRPr="00C75BB8" w:rsidRDefault="005F4A7E" w:rsidP="00130D1C">
            <w:pPr>
              <w:pStyle w:val="ARfintablebodyright"/>
              <w:ind w:right="0"/>
              <w:rPr>
                <w:sz w:val="17"/>
                <w:szCs w:val="17"/>
              </w:rPr>
            </w:pPr>
            <w:r w:rsidRPr="00C75BB8">
              <w:rPr>
                <w:sz w:val="17"/>
                <w:szCs w:val="17"/>
              </w:rPr>
              <w:t>(97.3)</w:t>
            </w:r>
          </w:p>
        </w:tc>
        <w:tc>
          <w:tcPr>
            <w:tcW w:w="794" w:type="dxa"/>
            <w:tcBorders>
              <w:top w:val="single" w:sz="4" w:space="0" w:color="A6A6A6"/>
              <w:bottom w:val="single" w:sz="4" w:space="0" w:color="A6A6A6"/>
            </w:tcBorders>
            <w:noWrap/>
            <w:hideMark/>
          </w:tcPr>
          <w:p w14:paraId="709F1CEE" w14:textId="77777777" w:rsidR="005F4A7E" w:rsidRPr="00C75BB8" w:rsidRDefault="005F4A7E" w:rsidP="00130D1C">
            <w:pPr>
              <w:pStyle w:val="ARfintablebodyright"/>
              <w:ind w:right="0"/>
              <w:rPr>
                <w:sz w:val="17"/>
                <w:szCs w:val="17"/>
              </w:rPr>
            </w:pPr>
            <w:r w:rsidRPr="00C75BB8">
              <w:rPr>
                <w:sz w:val="17"/>
                <w:szCs w:val="17"/>
              </w:rPr>
              <w:t>(11.1)</w:t>
            </w:r>
          </w:p>
        </w:tc>
        <w:tc>
          <w:tcPr>
            <w:tcW w:w="794" w:type="dxa"/>
            <w:tcBorders>
              <w:top w:val="single" w:sz="4" w:space="0" w:color="A6A6A6"/>
              <w:bottom w:val="single" w:sz="4" w:space="0" w:color="A6A6A6"/>
            </w:tcBorders>
            <w:shd w:val="clear" w:color="auto" w:fill="E7E6E6"/>
            <w:noWrap/>
            <w:hideMark/>
          </w:tcPr>
          <w:p w14:paraId="2325C4AF" w14:textId="77777777" w:rsidR="005F4A7E" w:rsidRPr="00C75BB8" w:rsidRDefault="005F4A7E" w:rsidP="00130D1C">
            <w:pPr>
              <w:pStyle w:val="ARfintablebodyright"/>
              <w:ind w:right="0"/>
              <w:rPr>
                <w:sz w:val="17"/>
                <w:szCs w:val="17"/>
              </w:rPr>
            </w:pPr>
            <w:r w:rsidRPr="00C75BB8">
              <w:rPr>
                <w:sz w:val="17"/>
                <w:szCs w:val="17"/>
              </w:rPr>
              <w:t>25,170.7</w:t>
            </w:r>
          </w:p>
        </w:tc>
        <w:tc>
          <w:tcPr>
            <w:tcW w:w="794" w:type="dxa"/>
            <w:tcBorders>
              <w:top w:val="single" w:sz="4" w:space="0" w:color="A6A6A6"/>
              <w:bottom w:val="single" w:sz="4" w:space="0" w:color="A6A6A6"/>
            </w:tcBorders>
            <w:noWrap/>
            <w:hideMark/>
          </w:tcPr>
          <w:p w14:paraId="7AF7288A" w14:textId="77777777" w:rsidR="005F4A7E" w:rsidRPr="00C75BB8" w:rsidRDefault="005F4A7E" w:rsidP="00130D1C">
            <w:pPr>
              <w:pStyle w:val="ARfintablebodyright"/>
              <w:ind w:right="0"/>
              <w:rPr>
                <w:sz w:val="17"/>
                <w:szCs w:val="17"/>
              </w:rPr>
            </w:pPr>
            <w:r w:rsidRPr="00C75BB8">
              <w:rPr>
                <w:sz w:val="17"/>
                <w:szCs w:val="17"/>
              </w:rPr>
              <w:t>21,420.3</w:t>
            </w:r>
          </w:p>
        </w:tc>
      </w:tr>
      <w:tr w:rsidR="005F4A7E" w:rsidRPr="002029AF" w14:paraId="4EB875B9" w14:textId="77777777" w:rsidTr="00130D1C">
        <w:trPr>
          <w:cantSplit w:val="0"/>
          <w:trHeight w:val="255"/>
        </w:trPr>
        <w:tc>
          <w:tcPr>
            <w:tcW w:w="1700" w:type="dxa"/>
            <w:tcBorders>
              <w:top w:val="single" w:sz="4" w:space="0" w:color="A6A6A6"/>
              <w:bottom w:val="single" w:sz="4" w:space="0" w:color="A6A6A6"/>
            </w:tcBorders>
            <w:hideMark/>
          </w:tcPr>
          <w:p w14:paraId="5278764C" w14:textId="77777777" w:rsidR="005F4A7E" w:rsidRPr="00C75BB8" w:rsidRDefault="005F4A7E" w:rsidP="00130D1C">
            <w:pPr>
              <w:pStyle w:val="ARfintablebody"/>
              <w:rPr>
                <w:sz w:val="17"/>
                <w:szCs w:val="17"/>
              </w:rPr>
            </w:pPr>
            <w:r w:rsidRPr="00C75BB8">
              <w:rPr>
                <w:sz w:val="17"/>
                <w:szCs w:val="17"/>
              </w:rPr>
              <w:t>Net result from transactions</w:t>
            </w:r>
          </w:p>
        </w:tc>
        <w:tc>
          <w:tcPr>
            <w:tcW w:w="793" w:type="dxa"/>
            <w:tcBorders>
              <w:top w:val="single" w:sz="4" w:space="0" w:color="A6A6A6"/>
              <w:bottom w:val="single" w:sz="4" w:space="0" w:color="A6A6A6"/>
            </w:tcBorders>
            <w:shd w:val="clear" w:color="auto" w:fill="E7E6E6"/>
            <w:noWrap/>
            <w:hideMark/>
          </w:tcPr>
          <w:p w14:paraId="725F1CF2" w14:textId="77777777" w:rsidR="005F4A7E" w:rsidRPr="00C75BB8" w:rsidRDefault="005F4A7E" w:rsidP="00130D1C">
            <w:pPr>
              <w:pStyle w:val="ARfintablebodyright"/>
              <w:ind w:right="0"/>
              <w:rPr>
                <w:sz w:val="17"/>
                <w:szCs w:val="17"/>
              </w:rPr>
            </w:pPr>
            <w:r w:rsidRPr="00C75BB8">
              <w:rPr>
                <w:sz w:val="17"/>
                <w:szCs w:val="17"/>
              </w:rPr>
              <w:t>367.6</w:t>
            </w:r>
          </w:p>
        </w:tc>
        <w:tc>
          <w:tcPr>
            <w:tcW w:w="794" w:type="dxa"/>
            <w:tcBorders>
              <w:top w:val="single" w:sz="4" w:space="0" w:color="A6A6A6"/>
              <w:bottom w:val="single" w:sz="4" w:space="0" w:color="A6A6A6"/>
            </w:tcBorders>
            <w:noWrap/>
            <w:hideMark/>
          </w:tcPr>
          <w:p w14:paraId="45E659DD" w14:textId="77777777" w:rsidR="005F4A7E" w:rsidRPr="00C75BB8" w:rsidRDefault="005F4A7E" w:rsidP="00130D1C">
            <w:pPr>
              <w:pStyle w:val="ARfintablebodyright"/>
              <w:ind w:right="0"/>
              <w:rPr>
                <w:sz w:val="17"/>
                <w:szCs w:val="17"/>
              </w:rPr>
            </w:pPr>
            <w:r w:rsidRPr="00C75BB8">
              <w:rPr>
                <w:sz w:val="17"/>
                <w:szCs w:val="17"/>
              </w:rPr>
              <w:t>797.3</w:t>
            </w:r>
          </w:p>
        </w:tc>
        <w:tc>
          <w:tcPr>
            <w:tcW w:w="794" w:type="dxa"/>
            <w:tcBorders>
              <w:top w:val="single" w:sz="4" w:space="0" w:color="A6A6A6"/>
              <w:bottom w:val="single" w:sz="4" w:space="0" w:color="A6A6A6"/>
            </w:tcBorders>
            <w:shd w:val="clear" w:color="auto" w:fill="E7E6E6"/>
          </w:tcPr>
          <w:p w14:paraId="31124722" w14:textId="77777777" w:rsidR="005F4A7E" w:rsidRPr="00C75BB8" w:rsidRDefault="005F4A7E" w:rsidP="00130D1C">
            <w:pPr>
              <w:pStyle w:val="ARfintablebodyright"/>
              <w:ind w:right="0"/>
              <w:rPr>
                <w:sz w:val="17"/>
                <w:szCs w:val="17"/>
              </w:rPr>
            </w:pPr>
            <w:r w:rsidRPr="00C75BB8">
              <w:rPr>
                <w:sz w:val="17"/>
                <w:szCs w:val="17"/>
              </w:rPr>
              <w:t>12.9</w:t>
            </w:r>
          </w:p>
        </w:tc>
        <w:tc>
          <w:tcPr>
            <w:tcW w:w="794" w:type="dxa"/>
            <w:tcBorders>
              <w:top w:val="single" w:sz="4" w:space="0" w:color="A6A6A6"/>
              <w:bottom w:val="single" w:sz="4" w:space="0" w:color="A6A6A6"/>
            </w:tcBorders>
            <w:shd w:val="clear" w:color="auto" w:fill="auto"/>
          </w:tcPr>
          <w:p w14:paraId="253FA0A5" w14:textId="77777777" w:rsidR="005F4A7E" w:rsidRPr="00C75BB8" w:rsidRDefault="005F4A7E" w:rsidP="00130D1C">
            <w:pPr>
              <w:pStyle w:val="ARfintablebodyright"/>
              <w:ind w:right="0"/>
              <w:rPr>
                <w:sz w:val="17"/>
                <w:szCs w:val="17"/>
              </w:rPr>
            </w:pPr>
            <w:r w:rsidRPr="00C75BB8">
              <w:rPr>
                <w:sz w:val="17"/>
                <w:szCs w:val="17"/>
              </w:rPr>
              <w:t>–</w:t>
            </w:r>
          </w:p>
        </w:tc>
        <w:tc>
          <w:tcPr>
            <w:tcW w:w="794" w:type="dxa"/>
            <w:tcBorders>
              <w:top w:val="single" w:sz="4" w:space="0" w:color="A6A6A6"/>
              <w:bottom w:val="single" w:sz="4" w:space="0" w:color="A6A6A6"/>
            </w:tcBorders>
            <w:shd w:val="clear" w:color="auto" w:fill="E7E6E6"/>
            <w:noWrap/>
            <w:hideMark/>
          </w:tcPr>
          <w:p w14:paraId="1502A3C0" w14:textId="77777777" w:rsidR="005F4A7E" w:rsidRPr="00C75BB8" w:rsidRDefault="005F4A7E" w:rsidP="00130D1C">
            <w:pPr>
              <w:pStyle w:val="ARfintablebodyright"/>
              <w:ind w:right="0"/>
              <w:rPr>
                <w:sz w:val="17"/>
                <w:szCs w:val="17"/>
              </w:rPr>
            </w:pPr>
            <w:r w:rsidRPr="00C75BB8">
              <w:rPr>
                <w:sz w:val="17"/>
                <w:szCs w:val="17"/>
              </w:rPr>
              <w:t>147.3</w:t>
            </w:r>
          </w:p>
        </w:tc>
        <w:tc>
          <w:tcPr>
            <w:tcW w:w="794" w:type="dxa"/>
            <w:tcBorders>
              <w:top w:val="single" w:sz="4" w:space="0" w:color="A6A6A6"/>
              <w:bottom w:val="single" w:sz="4" w:space="0" w:color="A6A6A6"/>
            </w:tcBorders>
            <w:noWrap/>
            <w:hideMark/>
          </w:tcPr>
          <w:p w14:paraId="2150AD02" w14:textId="77777777" w:rsidR="005F4A7E" w:rsidRPr="00C75BB8" w:rsidRDefault="005F4A7E" w:rsidP="00130D1C">
            <w:pPr>
              <w:pStyle w:val="ARfintablebodyright"/>
              <w:ind w:right="0"/>
              <w:rPr>
                <w:sz w:val="17"/>
                <w:szCs w:val="17"/>
              </w:rPr>
            </w:pPr>
            <w:r w:rsidRPr="00C75BB8">
              <w:rPr>
                <w:sz w:val="17"/>
                <w:szCs w:val="17"/>
              </w:rPr>
              <w:t>(189.2)</w:t>
            </w:r>
          </w:p>
        </w:tc>
        <w:tc>
          <w:tcPr>
            <w:tcW w:w="794" w:type="dxa"/>
            <w:tcBorders>
              <w:top w:val="single" w:sz="4" w:space="0" w:color="A6A6A6"/>
              <w:bottom w:val="single" w:sz="4" w:space="0" w:color="A6A6A6"/>
            </w:tcBorders>
            <w:shd w:val="clear" w:color="auto" w:fill="E7E6E6"/>
            <w:noWrap/>
            <w:hideMark/>
          </w:tcPr>
          <w:p w14:paraId="2F09D84E" w14:textId="77777777" w:rsidR="005F4A7E" w:rsidRPr="00C75BB8" w:rsidRDefault="005F4A7E" w:rsidP="00130D1C">
            <w:pPr>
              <w:pStyle w:val="ARfintablebodyright"/>
              <w:ind w:right="0"/>
              <w:rPr>
                <w:sz w:val="17"/>
                <w:szCs w:val="17"/>
              </w:rPr>
            </w:pPr>
            <w:r w:rsidRPr="00C75BB8">
              <w:rPr>
                <w:sz w:val="17"/>
                <w:szCs w:val="17"/>
              </w:rPr>
              <w:t>–</w:t>
            </w:r>
          </w:p>
        </w:tc>
        <w:tc>
          <w:tcPr>
            <w:tcW w:w="794" w:type="dxa"/>
            <w:tcBorders>
              <w:top w:val="single" w:sz="4" w:space="0" w:color="A6A6A6"/>
              <w:bottom w:val="single" w:sz="4" w:space="0" w:color="A6A6A6"/>
            </w:tcBorders>
            <w:noWrap/>
            <w:hideMark/>
          </w:tcPr>
          <w:p w14:paraId="27BBF31E" w14:textId="77777777" w:rsidR="005F4A7E" w:rsidRPr="00C75BB8" w:rsidRDefault="005F4A7E" w:rsidP="00130D1C">
            <w:pPr>
              <w:pStyle w:val="ARfintablebodyright"/>
              <w:ind w:right="0"/>
              <w:rPr>
                <w:sz w:val="17"/>
                <w:szCs w:val="17"/>
              </w:rPr>
            </w:pPr>
            <w:r w:rsidRPr="00C75BB8">
              <w:rPr>
                <w:sz w:val="17"/>
                <w:szCs w:val="17"/>
              </w:rPr>
              <w:t>–</w:t>
            </w:r>
          </w:p>
        </w:tc>
        <w:tc>
          <w:tcPr>
            <w:tcW w:w="794" w:type="dxa"/>
            <w:tcBorders>
              <w:top w:val="single" w:sz="4" w:space="0" w:color="A6A6A6"/>
              <w:bottom w:val="single" w:sz="4" w:space="0" w:color="A6A6A6"/>
            </w:tcBorders>
            <w:shd w:val="clear" w:color="auto" w:fill="E7E6E6"/>
            <w:noWrap/>
            <w:hideMark/>
          </w:tcPr>
          <w:p w14:paraId="706A8403" w14:textId="77777777" w:rsidR="005F4A7E" w:rsidRPr="00C75BB8" w:rsidRDefault="005F4A7E" w:rsidP="00130D1C">
            <w:pPr>
              <w:pStyle w:val="ARfintablebodyright"/>
              <w:ind w:right="0"/>
              <w:rPr>
                <w:sz w:val="17"/>
                <w:szCs w:val="17"/>
              </w:rPr>
            </w:pPr>
            <w:r w:rsidRPr="00C75BB8">
              <w:rPr>
                <w:sz w:val="17"/>
                <w:szCs w:val="17"/>
              </w:rPr>
              <w:t>527.7</w:t>
            </w:r>
          </w:p>
        </w:tc>
        <w:tc>
          <w:tcPr>
            <w:tcW w:w="794" w:type="dxa"/>
            <w:tcBorders>
              <w:top w:val="single" w:sz="4" w:space="0" w:color="A6A6A6"/>
              <w:bottom w:val="single" w:sz="4" w:space="0" w:color="A6A6A6"/>
            </w:tcBorders>
            <w:noWrap/>
            <w:hideMark/>
          </w:tcPr>
          <w:p w14:paraId="4157572F" w14:textId="77777777" w:rsidR="005F4A7E" w:rsidRPr="00C75BB8" w:rsidRDefault="005F4A7E" w:rsidP="00130D1C">
            <w:pPr>
              <w:pStyle w:val="ARfintablebodyright"/>
              <w:ind w:right="0"/>
              <w:rPr>
                <w:sz w:val="17"/>
                <w:szCs w:val="17"/>
              </w:rPr>
            </w:pPr>
            <w:r w:rsidRPr="00C75BB8">
              <w:rPr>
                <w:sz w:val="17"/>
                <w:szCs w:val="17"/>
              </w:rPr>
              <w:t>608.1</w:t>
            </w:r>
          </w:p>
        </w:tc>
      </w:tr>
      <w:tr w:rsidR="005F4A7E" w:rsidRPr="002029AF" w14:paraId="7F3FC608" w14:textId="77777777" w:rsidTr="00130D1C">
        <w:trPr>
          <w:cantSplit w:val="0"/>
          <w:trHeight w:val="255"/>
        </w:trPr>
        <w:tc>
          <w:tcPr>
            <w:tcW w:w="1700" w:type="dxa"/>
            <w:tcBorders>
              <w:top w:val="single" w:sz="4" w:space="0" w:color="A6A6A6"/>
              <w:bottom w:val="single" w:sz="4" w:space="0" w:color="A6A6A6"/>
            </w:tcBorders>
            <w:hideMark/>
          </w:tcPr>
          <w:p w14:paraId="15891745" w14:textId="77777777" w:rsidR="005F4A7E" w:rsidRPr="00C75BB8" w:rsidRDefault="005F4A7E" w:rsidP="00130D1C">
            <w:pPr>
              <w:pStyle w:val="ARfintablebody"/>
              <w:rPr>
                <w:sz w:val="17"/>
                <w:szCs w:val="17"/>
              </w:rPr>
            </w:pPr>
            <w:r w:rsidRPr="00C75BB8">
              <w:rPr>
                <w:sz w:val="17"/>
                <w:szCs w:val="17"/>
              </w:rPr>
              <w:t>Total assets</w:t>
            </w:r>
          </w:p>
        </w:tc>
        <w:tc>
          <w:tcPr>
            <w:tcW w:w="793" w:type="dxa"/>
            <w:tcBorders>
              <w:top w:val="single" w:sz="4" w:space="0" w:color="A6A6A6"/>
              <w:bottom w:val="single" w:sz="4" w:space="0" w:color="A6A6A6"/>
            </w:tcBorders>
            <w:shd w:val="clear" w:color="auto" w:fill="E7E6E6"/>
            <w:noWrap/>
            <w:hideMark/>
          </w:tcPr>
          <w:p w14:paraId="474E7C78" w14:textId="77777777" w:rsidR="005F4A7E" w:rsidRPr="00C75BB8" w:rsidRDefault="005F4A7E" w:rsidP="00130D1C">
            <w:pPr>
              <w:pStyle w:val="ARfintablebodyright"/>
              <w:ind w:right="0"/>
              <w:rPr>
                <w:sz w:val="17"/>
                <w:szCs w:val="17"/>
              </w:rPr>
            </w:pPr>
            <w:r w:rsidRPr="00C75BB8">
              <w:rPr>
                <w:sz w:val="17"/>
                <w:szCs w:val="17"/>
              </w:rPr>
              <w:t>6,336.8</w:t>
            </w:r>
          </w:p>
        </w:tc>
        <w:tc>
          <w:tcPr>
            <w:tcW w:w="794" w:type="dxa"/>
            <w:tcBorders>
              <w:top w:val="single" w:sz="4" w:space="0" w:color="A6A6A6"/>
              <w:bottom w:val="single" w:sz="4" w:space="0" w:color="A6A6A6"/>
            </w:tcBorders>
            <w:noWrap/>
            <w:hideMark/>
          </w:tcPr>
          <w:p w14:paraId="2909EF99" w14:textId="77777777" w:rsidR="005F4A7E" w:rsidRPr="00C75BB8" w:rsidRDefault="005F4A7E" w:rsidP="00130D1C">
            <w:pPr>
              <w:pStyle w:val="ARfintablebodyright"/>
              <w:ind w:right="0"/>
              <w:rPr>
                <w:sz w:val="17"/>
                <w:szCs w:val="17"/>
              </w:rPr>
            </w:pPr>
            <w:r w:rsidRPr="00C75BB8">
              <w:rPr>
                <w:sz w:val="17"/>
                <w:szCs w:val="17"/>
              </w:rPr>
              <w:t>7,839.1</w:t>
            </w:r>
          </w:p>
        </w:tc>
        <w:tc>
          <w:tcPr>
            <w:tcW w:w="794" w:type="dxa"/>
            <w:tcBorders>
              <w:top w:val="single" w:sz="4" w:space="0" w:color="A6A6A6"/>
              <w:bottom w:val="single" w:sz="4" w:space="0" w:color="A6A6A6"/>
            </w:tcBorders>
            <w:shd w:val="clear" w:color="auto" w:fill="E7E6E6"/>
          </w:tcPr>
          <w:p w14:paraId="7D39788D" w14:textId="77777777" w:rsidR="005F4A7E" w:rsidRPr="00C75BB8" w:rsidRDefault="005F4A7E" w:rsidP="00130D1C">
            <w:pPr>
              <w:pStyle w:val="ARfintablebodyright"/>
              <w:ind w:right="0"/>
              <w:rPr>
                <w:sz w:val="17"/>
                <w:szCs w:val="17"/>
              </w:rPr>
            </w:pPr>
            <w:r w:rsidRPr="00C75BB8">
              <w:rPr>
                <w:sz w:val="17"/>
                <w:szCs w:val="17"/>
              </w:rPr>
              <w:t>2,354.6</w:t>
            </w:r>
          </w:p>
        </w:tc>
        <w:tc>
          <w:tcPr>
            <w:tcW w:w="794" w:type="dxa"/>
            <w:tcBorders>
              <w:top w:val="single" w:sz="4" w:space="0" w:color="A6A6A6"/>
              <w:bottom w:val="single" w:sz="4" w:space="0" w:color="A6A6A6"/>
            </w:tcBorders>
            <w:shd w:val="clear" w:color="auto" w:fill="auto"/>
          </w:tcPr>
          <w:p w14:paraId="20D2AD5D" w14:textId="77777777" w:rsidR="005F4A7E" w:rsidRPr="00C75BB8" w:rsidRDefault="005F4A7E" w:rsidP="00130D1C">
            <w:pPr>
              <w:pStyle w:val="ARfintablebodyright"/>
              <w:ind w:right="0"/>
              <w:rPr>
                <w:sz w:val="17"/>
                <w:szCs w:val="17"/>
              </w:rPr>
            </w:pPr>
            <w:r w:rsidRPr="00C75BB8">
              <w:rPr>
                <w:sz w:val="17"/>
                <w:szCs w:val="17"/>
              </w:rPr>
              <w:t>–</w:t>
            </w:r>
          </w:p>
        </w:tc>
        <w:tc>
          <w:tcPr>
            <w:tcW w:w="794" w:type="dxa"/>
            <w:tcBorders>
              <w:top w:val="single" w:sz="4" w:space="0" w:color="A6A6A6"/>
              <w:bottom w:val="single" w:sz="4" w:space="0" w:color="A6A6A6"/>
            </w:tcBorders>
            <w:shd w:val="clear" w:color="auto" w:fill="E7E6E6"/>
            <w:noWrap/>
            <w:hideMark/>
          </w:tcPr>
          <w:p w14:paraId="4D51913E" w14:textId="77777777" w:rsidR="005F4A7E" w:rsidRPr="00C75BB8" w:rsidRDefault="005F4A7E" w:rsidP="00130D1C">
            <w:pPr>
              <w:pStyle w:val="ARfintablebodyright"/>
              <w:ind w:right="0"/>
              <w:rPr>
                <w:sz w:val="17"/>
                <w:szCs w:val="17"/>
              </w:rPr>
            </w:pPr>
            <w:r w:rsidRPr="00C75BB8">
              <w:rPr>
                <w:sz w:val="17"/>
                <w:szCs w:val="17"/>
              </w:rPr>
              <w:t>31,889.9</w:t>
            </w:r>
          </w:p>
        </w:tc>
        <w:tc>
          <w:tcPr>
            <w:tcW w:w="794" w:type="dxa"/>
            <w:tcBorders>
              <w:top w:val="single" w:sz="4" w:space="0" w:color="A6A6A6"/>
              <w:bottom w:val="single" w:sz="4" w:space="0" w:color="A6A6A6"/>
            </w:tcBorders>
            <w:noWrap/>
            <w:hideMark/>
          </w:tcPr>
          <w:p w14:paraId="4D3DC3CD" w14:textId="77777777" w:rsidR="005F4A7E" w:rsidRPr="00C75BB8" w:rsidRDefault="005F4A7E" w:rsidP="00130D1C">
            <w:pPr>
              <w:pStyle w:val="ARfintablebodyright"/>
              <w:ind w:right="0"/>
              <w:rPr>
                <w:sz w:val="17"/>
                <w:szCs w:val="17"/>
              </w:rPr>
            </w:pPr>
            <w:r w:rsidRPr="00C75BB8">
              <w:rPr>
                <w:sz w:val="17"/>
                <w:szCs w:val="17"/>
              </w:rPr>
              <w:t>27,031.1</w:t>
            </w:r>
          </w:p>
        </w:tc>
        <w:tc>
          <w:tcPr>
            <w:tcW w:w="794" w:type="dxa"/>
            <w:tcBorders>
              <w:top w:val="single" w:sz="4" w:space="0" w:color="A6A6A6"/>
              <w:bottom w:val="single" w:sz="4" w:space="0" w:color="A6A6A6"/>
            </w:tcBorders>
            <w:shd w:val="clear" w:color="auto" w:fill="E7E6E6"/>
            <w:noWrap/>
            <w:hideMark/>
          </w:tcPr>
          <w:p w14:paraId="558D65DD" w14:textId="77777777" w:rsidR="005F4A7E" w:rsidRPr="00C75BB8" w:rsidRDefault="005F4A7E" w:rsidP="00130D1C">
            <w:pPr>
              <w:pStyle w:val="ARfintablebodyright"/>
              <w:ind w:right="0"/>
              <w:rPr>
                <w:sz w:val="17"/>
                <w:szCs w:val="17"/>
              </w:rPr>
            </w:pPr>
            <w:r w:rsidRPr="00C75BB8">
              <w:rPr>
                <w:sz w:val="17"/>
                <w:szCs w:val="17"/>
              </w:rPr>
              <w:t>(147.7)</w:t>
            </w:r>
          </w:p>
        </w:tc>
        <w:tc>
          <w:tcPr>
            <w:tcW w:w="794" w:type="dxa"/>
            <w:tcBorders>
              <w:top w:val="single" w:sz="4" w:space="0" w:color="A6A6A6"/>
              <w:bottom w:val="single" w:sz="4" w:space="0" w:color="A6A6A6"/>
            </w:tcBorders>
            <w:noWrap/>
            <w:hideMark/>
          </w:tcPr>
          <w:p w14:paraId="2C89B9AF" w14:textId="77777777" w:rsidR="005F4A7E" w:rsidRPr="00C75BB8" w:rsidRDefault="005F4A7E" w:rsidP="00130D1C">
            <w:pPr>
              <w:pStyle w:val="ARfintablebodyright"/>
              <w:ind w:right="0"/>
              <w:rPr>
                <w:sz w:val="17"/>
                <w:szCs w:val="17"/>
              </w:rPr>
            </w:pPr>
            <w:r w:rsidRPr="00C75BB8">
              <w:rPr>
                <w:sz w:val="17"/>
                <w:szCs w:val="17"/>
              </w:rPr>
              <w:t>(4.3)</w:t>
            </w:r>
          </w:p>
        </w:tc>
        <w:tc>
          <w:tcPr>
            <w:tcW w:w="794" w:type="dxa"/>
            <w:tcBorders>
              <w:top w:val="single" w:sz="4" w:space="0" w:color="A6A6A6"/>
              <w:bottom w:val="single" w:sz="4" w:space="0" w:color="A6A6A6"/>
            </w:tcBorders>
            <w:shd w:val="clear" w:color="auto" w:fill="E7E6E6"/>
            <w:noWrap/>
            <w:hideMark/>
          </w:tcPr>
          <w:p w14:paraId="3AA545B7" w14:textId="77777777" w:rsidR="005F4A7E" w:rsidRPr="00C75BB8" w:rsidRDefault="005F4A7E" w:rsidP="00130D1C">
            <w:pPr>
              <w:pStyle w:val="ARfintablebodyright"/>
              <w:ind w:right="0"/>
              <w:rPr>
                <w:sz w:val="17"/>
                <w:szCs w:val="17"/>
              </w:rPr>
            </w:pPr>
            <w:r w:rsidRPr="00C75BB8">
              <w:rPr>
                <w:sz w:val="17"/>
                <w:szCs w:val="17"/>
              </w:rPr>
              <w:t>40,433.6</w:t>
            </w:r>
          </w:p>
        </w:tc>
        <w:tc>
          <w:tcPr>
            <w:tcW w:w="794" w:type="dxa"/>
            <w:tcBorders>
              <w:top w:val="single" w:sz="4" w:space="0" w:color="A6A6A6"/>
              <w:bottom w:val="single" w:sz="4" w:space="0" w:color="A6A6A6"/>
            </w:tcBorders>
            <w:noWrap/>
            <w:hideMark/>
          </w:tcPr>
          <w:p w14:paraId="717060D5" w14:textId="77777777" w:rsidR="005F4A7E" w:rsidRPr="00C75BB8" w:rsidRDefault="005F4A7E" w:rsidP="00130D1C">
            <w:pPr>
              <w:pStyle w:val="ARfintablebodyright"/>
              <w:ind w:right="0"/>
              <w:rPr>
                <w:sz w:val="17"/>
                <w:szCs w:val="17"/>
              </w:rPr>
            </w:pPr>
            <w:r w:rsidRPr="00C75BB8">
              <w:rPr>
                <w:sz w:val="17"/>
                <w:szCs w:val="17"/>
              </w:rPr>
              <w:t>34,865.9</w:t>
            </w:r>
          </w:p>
        </w:tc>
      </w:tr>
      <w:tr w:rsidR="005F4A7E" w:rsidRPr="002029AF" w14:paraId="1B5E00CE" w14:textId="77777777" w:rsidTr="00130D1C">
        <w:trPr>
          <w:cantSplit w:val="0"/>
          <w:trHeight w:val="255"/>
        </w:trPr>
        <w:tc>
          <w:tcPr>
            <w:tcW w:w="1700" w:type="dxa"/>
            <w:tcBorders>
              <w:top w:val="single" w:sz="4" w:space="0" w:color="A6A6A6"/>
            </w:tcBorders>
            <w:hideMark/>
          </w:tcPr>
          <w:p w14:paraId="4C9D2E72" w14:textId="77777777" w:rsidR="005F4A7E" w:rsidRPr="00C75BB8" w:rsidRDefault="005F4A7E" w:rsidP="00130D1C">
            <w:pPr>
              <w:pStyle w:val="ARfintablebody"/>
              <w:rPr>
                <w:sz w:val="17"/>
                <w:szCs w:val="17"/>
              </w:rPr>
            </w:pPr>
            <w:r w:rsidRPr="00C75BB8">
              <w:rPr>
                <w:sz w:val="17"/>
                <w:szCs w:val="17"/>
              </w:rPr>
              <w:t>Total liabilities</w:t>
            </w:r>
          </w:p>
        </w:tc>
        <w:tc>
          <w:tcPr>
            <w:tcW w:w="793" w:type="dxa"/>
            <w:tcBorders>
              <w:top w:val="single" w:sz="4" w:space="0" w:color="A6A6A6"/>
            </w:tcBorders>
            <w:shd w:val="clear" w:color="auto" w:fill="E7E6E6"/>
            <w:noWrap/>
            <w:hideMark/>
          </w:tcPr>
          <w:p w14:paraId="450BA9E6" w14:textId="77777777" w:rsidR="005F4A7E" w:rsidRPr="00C75BB8" w:rsidRDefault="005F4A7E" w:rsidP="00130D1C">
            <w:pPr>
              <w:pStyle w:val="ARfintablebodyright"/>
              <w:ind w:right="0"/>
              <w:rPr>
                <w:sz w:val="17"/>
                <w:szCs w:val="17"/>
              </w:rPr>
            </w:pPr>
            <w:r w:rsidRPr="00C75BB8">
              <w:rPr>
                <w:sz w:val="17"/>
                <w:szCs w:val="17"/>
              </w:rPr>
              <w:t>2,220.1</w:t>
            </w:r>
          </w:p>
        </w:tc>
        <w:tc>
          <w:tcPr>
            <w:tcW w:w="794" w:type="dxa"/>
            <w:tcBorders>
              <w:top w:val="single" w:sz="4" w:space="0" w:color="A6A6A6"/>
            </w:tcBorders>
            <w:noWrap/>
            <w:hideMark/>
          </w:tcPr>
          <w:p w14:paraId="6B81B844" w14:textId="77777777" w:rsidR="005F4A7E" w:rsidRPr="00C75BB8" w:rsidRDefault="005F4A7E" w:rsidP="00130D1C">
            <w:pPr>
              <w:pStyle w:val="ARfintablebodyright"/>
              <w:ind w:right="0"/>
              <w:rPr>
                <w:sz w:val="17"/>
                <w:szCs w:val="17"/>
              </w:rPr>
            </w:pPr>
            <w:r w:rsidRPr="00C75BB8">
              <w:rPr>
                <w:sz w:val="17"/>
                <w:szCs w:val="17"/>
              </w:rPr>
              <w:t>2,759.0</w:t>
            </w:r>
          </w:p>
        </w:tc>
        <w:tc>
          <w:tcPr>
            <w:tcW w:w="794" w:type="dxa"/>
            <w:tcBorders>
              <w:top w:val="single" w:sz="4" w:space="0" w:color="A6A6A6"/>
            </w:tcBorders>
            <w:shd w:val="clear" w:color="auto" w:fill="E7E6E6"/>
          </w:tcPr>
          <w:p w14:paraId="6A86EF21" w14:textId="77777777" w:rsidR="005F4A7E" w:rsidRPr="00C75BB8" w:rsidRDefault="005F4A7E" w:rsidP="00130D1C">
            <w:pPr>
              <w:pStyle w:val="ARfintablebodyright"/>
              <w:ind w:right="0"/>
              <w:rPr>
                <w:sz w:val="17"/>
                <w:szCs w:val="17"/>
              </w:rPr>
            </w:pPr>
            <w:r w:rsidRPr="00C75BB8">
              <w:rPr>
                <w:sz w:val="17"/>
                <w:szCs w:val="17"/>
              </w:rPr>
              <w:t>861.7</w:t>
            </w:r>
          </w:p>
        </w:tc>
        <w:tc>
          <w:tcPr>
            <w:tcW w:w="794" w:type="dxa"/>
            <w:tcBorders>
              <w:top w:val="single" w:sz="4" w:space="0" w:color="A6A6A6"/>
            </w:tcBorders>
            <w:shd w:val="clear" w:color="auto" w:fill="auto"/>
          </w:tcPr>
          <w:p w14:paraId="5590AA84" w14:textId="77777777" w:rsidR="005F4A7E" w:rsidRPr="00C75BB8" w:rsidRDefault="005F4A7E" w:rsidP="00130D1C">
            <w:pPr>
              <w:pStyle w:val="ARfintablebodyright"/>
              <w:ind w:right="0"/>
              <w:rPr>
                <w:sz w:val="17"/>
                <w:szCs w:val="17"/>
              </w:rPr>
            </w:pPr>
            <w:r w:rsidRPr="00C75BB8">
              <w:rPr>
                <w:sz w:val="17"/>
                <w:szCs w:val="17"/>
              </w:rPr>
              <w:t>–</w:t>
            </w:r>
          </w:p>
        </w:tc>
        <w:tc>
          <w:tcPr>
            <w:tcW w:w="794" w:type="dxa"/>
            <w:tcBorders>
              <w:top w:val="single" w:sz="4" w:space="0" w:color="A6A6A6"/>
            </w:tcBorders>
            <w:shd w:val="clear" w:color="auto" w:fill="E7E6E6"/>
            <w:noWrap/>
            <w:hideMark/>
          </w:tcPr>
          <w:p w14:paraId="29EA6884" w14:textId="77777777" w:rsidR="005F4A7E" w:rsidRPr="00C75BB8" w:rsidRDefault="005F4A7E" w:rsidP="00130D1C">
            <w:pPr>
              <w:pStyle w:val="ARfintablebodyright"/>
              <w:ind w:right="0"/>
              <w:rPr>
                <w:sz w:val="17"/>
                <w:szCs w:val="17"/>
              </w:rPr>
            </w:pPr>
            <w:r w:rsidRPr="00C75BB8">
              <w:rPr>
                <w:sz w:val="17"/>
                <w:szCs w:val="17"/>
              </w:rPr>
              <w:t>223.5</w:t>
            </w:r>
          </w:p>
        </w:tc>
        <w:tc>
          <w:tcPr>
            <w:tcW w:w="794" w:type="dxa"/>
            <w:tcBorders>
              <w:top w:val="single" w:sz="4" w:space="0" w:color="A6A6A6"/>
            </w:tcBorders>
            <w:noWrap/>
            <w:hideMark/>
          </w:tcPr>
          <w:p w14:paraId="20B84C46" w14:textId="77777777" w:rsidR="005F4A7E" w:rsidRPr="00C75BB8" w:rsidRDefault="005F4A7E" w:rsidP="00130D1C">
            <w:pPr>
              <w:pStyle w:val="ARfintablebodyright"/>
              <w:ind w:right="0"/>
              <w:rPr>
                <w:sz w:val="17"/>
                <w:szCs w:val="17"/>
              </w:rPr>
            </w:pPr>
            <w:r w:rsidRPr="00C75BB8">
              <w:rPr>
                <w:sz w:val="17"/>
                <w:szCs w:val="17"/>
              </w:rPr>
              <w:t>173.4</w:t>
            </w:r>
          </w:p>
        </w:tc>
        <w:tc>
          <w:tcPr>
            <w:tcW w:w="794" w:type="dxa"/>
            <w:tcBorders>
              <w:top w:val="single" w:sz="4" w:space="0" w:color="A6A6A6"/>
            </w:tcBorders>
            <w:shd w:val="clear" w:color="auto" w:fill="E7E6E6"/>
            <w:noWrap/>
            <w:hideMark/>
          </w:tcPr>
          <w:p w14:paraId="5952D55F" w14:textId="77777777" w:rsidR="005F4A7E" w:rsidRPr="00C75BB8" w:rsidRDefault="005F4A7E" w:rsidP="00130D1C">
            <w:pPr>
              <w:pStyle w:val="ARfintablebodyright"/>
              <w:ind w:right="0"/>
              <w:rPr>
                <w:sz w:val="17"/>
                <w:szCs w:val="17"/>
              </w:rPr>
            </w:pPr>
            <w:r w:rsidRPr="00C75BB8">
              <w:rPr>
                <w:sz w:val="17"/>
                <w:szCs w:val="17"/>
              </w:rPr>
              <w:t>(147.7)</w:t>
            </w:r>
          </w:p>
        </w:tc>
        <w:tc>
          <w:tcPr>
            <w:tcW w:w="794" w:type="dxa"/>
            <w:tcBorders>
              <w:top w:val="single" w:sz="4" w:space="0" w:color="A6A6A6"/>
            </w:tcBorders>
            <w:noWrap/>
            <w:hideMark/>
          </w:tcPr>
          <w:p w14:paraId="59D08357" w14:textId="77777777" w:rsidR="005F4A7E" w:rsidRPr="00C75BB8" w:rsidRDefault="005F4A7E" w:rsidP="00130D1C">
            <w:pPr>
              <w:pStyle w:val="ARfintablebodyright"/>
              <w:ind w:right="0"/>
              <w:rPr>
                <w:sz w:val="17"/>
                <w:szCs w:val="17"/>
              </w:rPr>
            </w:pPr>
            <w:r w:rsidRPr="00C75BB8">
              <w:rPr>
                <w:sz w:val="17"/>
                <w:szCs w:val="17"/>
              </w:rPr>
              <w:t>(3.7)</w:t>
            </w:r>
          </w:p>
        </w:tc>
        <w:tc>
          <w:tcPr>
            <w:tcW w:w="794" w:type="dxa"/>
            <w:tcBorders>
              <w:top w:val="single" w:sz="4" w:space="0" w:color="A6A6A6"/>
            </w:tcBorders>
            <w:shd w:val="clear" w:color="auto" w:fill="E7E6E6"/>
            <w:noWrap/>
            <w:hideMark/>
          </w:tcPr>
          <w:p w14:paraId="2F4B74AD" w14:textId="77777777" w:rsidR="005F4A7E" w:rsidRPr="00C75BB8" w:rsidRDefault="005F4A7E" w:rsidP="00130D1C">
            <w:pPr>
              <w:pStyle w:val="ARfintablebodyright"/>
              <w:ind w:right="0"/>
              <w:rPr>
                <w:sz w:val="17"/>
                <w:szCs w:val="17"/>
              </w:rPr>
            </w:pPr>
            <w:r w:rsidRPr="00C75BB8">
              <w:rPr>
                <w:sz w:val="17"/>
                <w:szCs w:val="17"/>
              </w:rPr>
              <w:t>3,157.7</w:t>
            </w:r>
          </w:p>
        </w:tc>
        <w:tc>
          <w:tcPr>
            <w:tcW w:w="794" w:type="dxa"/>
            <w:tcBorders>
              <w:top w:val="single" w:sz="4" w:space="0" w:color="A6A6A6"/>
            </w:tcBorders>
            <w:noWrap/>
            <w:hideMark/>
          </w:tcPr>
          <w:p w14:paraId="7CC7E30A" w14:textId="77777777" w:rsidR="005F4A7E" w:rsidRPr="00C75BB8" w:rsidRDefault="005F4A7E" w:rsidP="00130D1C">
            <w:pPr>
              <w:pStyle w:val="ARfintablebodyright"/>
              <w:ind w:right="0"/>
              <w:rPr>
                <w:sz w:val="17"/>
                <w:szCs w:val="17"/>
              </w:rPr>
            </w:pPr>
            <w:r w:rsidRPr="00C75BB8">
              <w:rPr>
                <w:sz w:val="17"/>
                <w:szCs w:val="17"/>
              </w:rPr>
              <w:t>2,928.7</w:t>
            </w:r>
          </w:p>
        </w:tc>
      </w:tr>
    </w:tbl>
    <w:p w14:paraId="00519038" w14:textId="77777777" w:rsidR="005F4A7E" w:rsidRPr="002029AF" w:rsidRDefault="005F4A7E" w:rsidP="00087B91">
      <w:pPr>
        <w:pStyle w:val="ARfinbody"/>
      </w:pPr>
      <w:r w:rsidRPr="002029AF">
        <w:br w:type="page"/>
      </w:r>
    </w:p>
    <w:p w14:paraId="54165C5B" w14:textId="77777777" w:rsidR="005F4A7E" w:rsidRDefault="005F4A7E" w:rsidP="00130D1C">
      <w:pPr>
        <w:pStyle w:val="Heading4"/>
        <w:rPr>
          <w:lang w:eastAsia="en-AU"/>
        </w:rPr>
      </w:pPr>
      <w:bookmarkStart w:id="1061" w:name="_Toc39242171"/>
      <w:bookmarkStart w:id="1062" w:name="_Ref84598319"/>
      <w:bookmarkStart w:id="1063" w:name="_Toc85121553"/>
      <w:r>
        <w:rPr>
          <w:lang w:eastAsia="en-AU"/>
        </w:rPr>
        <w:lastRenderedPageBreak/>
        <w:t>9.6 Responsible persons</w:t>
      </w:r>
      <w:bookmarkEnd w:id="1061"/>
      <w:bookmarkEnd w:id="1062"/>
      <w:bookmarkEnd w:id="1063"/>
    </w:p>
    <w:p w14:paraId="78E1E8BF" w14:textId="77777777" w:rsidR="005F4A7E" w:rsidRDefault="005F4A7E" w:rsidP="00130D1C">
      <w:pPr>
        <w:pStyle w:val="ARfinbody"/>
      </w:pPr>
      <w:r>
        <w:t xml:space="preserve">In accordance with the Directions of the Assistant Treasurer under the </w:t>
      </w:r>
      <w:r>
        <w:rPr>
          <w:rStyle w:val="Emphasis"/>
        </w:rPr>
        <w:t>Financial Management Act 1994</w:t>
      </w:r>
      <w:r>
        <w:t xml:space="preserve"> the following disclosures are made for the responsible persons for the reporting period.</w:t>
      </w:r>
    </w:p>
    <w:p w14:paraId="0DAADFE0" w14:textId="77777777" w:rsidR="005F4A7E" w:rsidRDefault="005F4A7E" w:rsidP="00130D1C">
      <w:pPr>
        <w:pStyle w:val="Heading5"/>
      </w:pPr>
      <w:bookmarkStart w:id="1064" w:name="_Toc85121554"/>
      <w:r>
        <w:t>Names</w:t>
      </w:r>
      <w:bookmarkEnd w:id="1064"/>
    </w:p>
    <w:p w14:paraId="6F5B4AD8" w14:textId="77777777" w:rsidR="005F4A7E" w:rsidRDefault="005F4A7E" w:rsidP="00130D1C">
      <w:pPr>
        <w:pStyle w:val="ARfinbody"/>
      </w:pPr>
      <w:r>
        <w:t>The persons who held the positions of ministers and accountable officers in the department were as follows:</w:t>
      </w:r>
    </w:p>
    <w:tbl>
      <w:tblPr>
        <w:tblStyle w:val="TableGrid"/>
        <w:tblW w:w="9639" w:type="dxa"/>
        <w:tblLayout w:type="fixed"/>
        <w:tblLook w:val="06A0" w:firstRow="1" w:lastRow="0" w:firstColumn="1" w:lastColumn="0" w:noHBand="1" w:noVBand="1"/>
      </w:tblPr>
      <w:tblGrid>
        <w:gridCol w:w="3118"/>
        <w:gridCol w:w="2835"/>
        <w:gridCol w:w="3686"/>
      </w:tblGrid>
      <w:tr w:rsidR="005F4A7E" w14:paraId="01B12838"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3118" w:type="dxa"/>
            <w:tcBorders>
              <w:bottom w:val="single" w:sz="4" w:space="0" w:color="auto"/>
            </w:tcBorders>
            <w:hideMark/>
          </w:tcPr>
          <w:p w14:paraId="1C5342B2" w14:textId="77777777" w:rsidR="005F4A7E" w:rsidRDefault="005F4A7E">
            <w:pPr>
              <w:pStyle w:val="ARfintablecolhead"/>
              <w:rPr>
                <w:lang w:eastAsia="en-US"/>
              </w:rPr>
            </w:pPr>
            <w:r>
              <w:rPr>
                <w:lang w:eastAsia="en-US"/>
              </w:rPr>
              <w:t>Relevant office</w:t>
            </w:r>
          </w:p>
        </w:tc>
        <w:tc>
          <w:tcPr>
            <w:tcW w:w="2835" w:type="dxa"/>
            <w:tcBorders>
              <w:bottom w:val="single" w:sz="4" w:space="0" w:color="auto"/>
            </w:tcBorders>
            <w:hideMark/>
          </w:tcPr>
          <w:p w14:paraId="413274D1" w14:textId="77777777" w:rsidR="005F4A7E" w:rsidRDefault="005F4A7E">
            <w:pPr>
              <w:pStyle w:val="ARfintablecolhead"/>
              <w:rPr>
                <w:lang w:eastAsia="en-US"/>
              </w:rPr>
            </w:pPr>
            <w:r>
              <w:rPr>
                <w:lang w:eastAsia="en-US"/>
              </w:rPr>
              <w:t>Minister or accountable officer</w:t>
            </w:r>
          </w:p>
        </w:tc>
        <w:tc>
          <w:tcPr>
            <w:tcW w:w="3686" w:type="dxa"/>
            <w:tcBorders>
              <w:bottom w:val="single" w:sz="4" w:space="0" w:color="auto"/>
            </w:tcBorders>
            <w:hideMark/>
          </w:tcPr>
          <w:p w14:paraId="47B83AB6" w14:textId="77777777" w:rsidR="005F4A7E" w:rsidRDefault="005F4A7E">
            <w:pPr>
              <w:pStyle w:val="ARfintablecolhead"/>
              <w:rPr>
                <w:lang w:eastAsia="en-US"/>
              </w:rPr>
            </w:pPr>
            <w:r>
              <w:rPr>
                <w:lang w:eastAsia="en-US"/>
              </w:rPr>
              <w:t>Period</w:t>
            </w:r>
          </w:p>
        </w:tc>
      </w:tr>
      <w:tr w:rsidR="005F4A7E" w14:paraId="23FC6910" w14:textId="77777777" w:rsidTr="00130D1C">
        <w:tc>
          <w:tcPr>
            <w:tcW w:w="3118" w:type="dxa"/>
            <w:vMerge w:val="restart"/>
            <w:tcBorders>
              <w:top w:val="single" w:sz="4" w:space="0" w:color="auto"/>
              <w:bottom w:val="single" w:sz="4" w:space="0" w:color="A6A6A6"/>
            </w:tcBorders>
            <w:hideMark/>
          </w:tcPr>
          <w:p w14:paraId="0460A67E" w14:textId="77777777" w:rsidR="005F4A7E" w:rsidRDefault="005F4A7E" w:rsidP="00130D1C">
            <w:pPr>
              <w:pStyle w:val="ARfintablebody"/>
              <w:spacing w:before="30"/>
            </w:pPr>
            <w:r>
              <w:t>Minister for Ambulance Services</w:t>
            </w:r>
          </w:p>
        </w:tc>
        <w:tc>
          <w:tcPr>
            <w:tcW w:w="2835" w:type="dxa"/>
            <w:tcBorders>
              <w:top w:val="single" w:sz="4" w:space="0" w:color="auto"/>
              <w:bottom w:val="single" w:sz="4" w:space="0" w:color="A6A6A6"/>
            </w:tcBorders>
            <w:hideMark/>
          </w:tcPr>
          <w:p w14:paraId="0ADFE175" w14:textId="77777777" w:rsidR="005F4A7E" w:rsidRDefault="005F4A7E" w:rsidP="00130D1C">
            <w:pPr>
              <w:pStyle w:val="ARfintablebody"/>
              <w:spacing w:before="30"/>
            </w:pPr>
            <w:r>
              <w:t>The Hon. Jenny Mikakos MP</w:t>
            </w:r>
          </w:p>
        </w:tc>
        <w:tc>
          <w:tcPr>
            <w:tcW w:w="3686" w:type="dxa"/>
            <w:tcBorders>
              <w:top w:val="single" w:sz="4" w:space="0" w:color="auto"/>
              <w:bottom w:val="single" w:sz="4" w:space="0" w:color="A6A6A6"/>
            </w:tcBorders>
            <w:hideMark/>
          </w:tcPr>
          <w:p w14:paraId="49D8FA05" w14:textId="77777777" w:rsidR="005F4A7E" w:rsidRDefault="005F4A7E" w:rsidP="00130D1C">
            <w:pPr>
              <w:pStyle w:val="ARfintablebody"/>
              <w:spacing w:before="30"/>
            </w:pPr>
            <w:r>
              <w:t>1 July 2020 to 26 September 2020</w:t>
            </w:r>
          </w:p>
        </w:tc>
      </w:tr>
      <w:tr w:rsidR="005F4A7E" w14:paraId="24A133BB" w14:textId="77777777" w:rsidTr="00130D1C">
        <w:tc>
          <w:tcPr>
            <w:tcW w:w="3118" w:type="dxa"/>
            <w:vMerge/>
            <w:tcBorders>
              <w:top w:val="single" w:sz="4" w:space="0" w:color="A6A6A6"/>
              <w:bottom w:val="single" w:sz="4" w:space="0" w:color="A6A6A6"/>
            </w:tcBorders>
          </w:tcPr>
          <w:p w14:paraId="25575631" w14:textId="77777777" w:rsidR="005F4A7E" w:rsidRDefault="005F4A7E" w:rsidP="00130D1C">
            <w:pPr>
              <w:pStyle w:val="ARfintablebody"/>
              <w:spacing w:before="30"/>
            </w:pPr>
          </w:p>
        </w:tc>
        <w:tc>
          <w:tcPr>
            <w:tcW w:w="2835" w:type="dxa"/>
            <w:tcBorders>
              <w:top w:val="single" w:sz="4" w:space="0" w:color="A6A6A6"/>
              <w:bottom w:val="single" w:sz="4" w:space="0" w:color="A6A6A6"/>
            </w:tcBorders>
          </w:tcPr>
          <w:p w14:paraId="2292654D" w14:textId="77777777" w:rsidR="005F4A7E" w:rsidRDefault="005F4A7E" w:rsidP="00130D1C">
            <w:pPr>
              <w:pStyle w:val="ARfintablebody"/>
              <w:spacing w:before="30"/>
            </w:pPr>
            <w:r>
              <w:t>The Hon. Martin Foley MP</w:t>
            </w:r>
          </w:p>
        </w:tc>
        <w:tc>
          <w:tcPr>
            <w:tcW w:w="3686" w:type="dxa"/>
            <w:tcBorders>
              <w:top w:val="single" w:sz="4" w:space="0" w:color="A6A6A6"/>
              <w:bottom w:val="single" w:sz="4" w:space="0" w:color="A6A6A6"/>
            </w:tcBorders>
          </w:tcPr>
          <w:p w14:paraId="65450A18" w14:textId="77777777" w:rsidR="005F4A7E" w:rsidRDefault="005F4A7E" w:rsidP="00130D1C">
            <w:pPr>
              <w:pStyle w:val="ARfintablebody"/>
              <w:spacing w:before="30"/>
            </w:pPr>
            <w:r>
              <w:t>26 September 2020 to 30 June 2021</w:t>
            </w:r>
          </w:p>
        </w:tc>
      </w:tr>
      <w:tr w:rsidR="005F4A7E" w14:paraId="5DD999F2" w14:textId="77777777" w:rsidTr="00130D1C">
        <w:tc>
          <w:tcPr>
            <w:tcW w:w="3118" w:type="dxa"/>
            <w:vMerge w:val="restart"/>
            <w:tcBorders>
              <w:top w:val="single" w:sz="4" w:space="0" w:color="A6A6A6"/>
              <w:bottom w:val="single" w:sz="4" w:space="0" w:color="A6A6A6"/>
            </w:tcBorders>
            <w:hideMark/>
          </w:tcPr>
          <w:p w14:paraId="574A4DD2" w14:textId="77777777" w:rsidR="005F4A7E" w:rsidRDefault="005F4A7E" w:rsidP="00130D1C">
            <w:pPr>
              <w:pStyle w:val="ARfintablebody"/>
              <w:spacing w:before="30"/>
            </w:pPr>
            <w:r>
              <w:t>Minister for Health</w:t>
            </w:r>
          </w:p>
        </w:tc>
        <w:tc>
          <w:tcPr>
            <w:tcW w:w="2835" w:type="dxa"/>
            <w:tcBorders>
              <w:top w:val="single" w:sz="4" w:space="0" w:color="A6A6A6"/>
              <w:bottom w:val="single" w:sz="4" w:space="0" w:color="A6A6A6"/>
            </w:tcBorders>
            <w:hideMark/>
          </w:tcPr>
          <w:p w14:paraId="589856AA" w14:textId="77777777" w:rsidR="005F4A7E" w:rsidRDefault="005F4A7E" w:rsidP="00130D1C">
            <w:pPr>
              <w:pStyle w:val="ARfintablebody"/>
              <w:spacing w:before="30"/>
            </w:pPr>
            <w:r>
              <w:t>The Hon. Jenny Mikakos MP</w:t>
            </w:r>
          </w:p>
        </w:tc>
        <w:tc>
          <w:tcPr>
            <w:tcW w:w="3686" w:type="dxa"/>
            <w:tcBorders>
              <w:top w:val="single" w:sz="4" w:space="0" w:color="A6A6A6"/>
              <w:bottom w:val="single" w:sz="4" w:space="0" w:color="A6A6A6"/>
            </w:tcBorders>
            <w:hideMark/>
          </w:tcPr>
          <w:p w14:paraId="6741AEBE" w14:textId="77777777" w:rsidR="005F4A7E" w:rsidRDefault="005F4A7E" w:rsidP="00130D1C">
            <w:pPr>
              <w:pStyle w:val="ARfintablebody"/>
              <w:spacing w:before="30"/>
              <w:rPr>
                <w:highlight w:val="yellow"/>
              </w:rPr>
            </w:pPr>
            <w:r>
              <w:t>1 July 2020 to 26 September 2020</w:t>
            </w:r>
          </w:p>
        </w:tc>
      </w:tr>
      <w:tr w:rsidR="005F4A7E" w14:paraId="6E60A61F" w14:textId="77777777" w:rsidTr="00130D1C">
        <w:tc>
          <w:tcPr>
            <w:tcW w:w="3118" w:type="dxa"/>
            <w:vMerge/>
            <w:tcBorders>
              <w:top w:val="single" w:sz="4" w:space="0" w:color="A6A6A6"/>
              <w:bottom w:val="single" w:sz="4" w:space="0" w:color="A6A6A6"/>
            </w:tcBorders>
          </w:tcPr>
          <w:p w14:paraId="7FF3BA78" w14:textId="77777777" w:rsidR="005F4A7E" w:rsidRDefault="005F4A7E" w:rsidP="00130D1C">
            <w:pPr>
              <w:pStyle w:val="ARfintablebody"/>
              <w:spacing w:before="30"/>
            </w:pPr>
          </w:p>
        </w:tc>
        <w:tc>
          <w:tcPr>
            <w:tcW w:w="2835" w:type="dxa"/>
            <w:tcBorders>
              <w:top w:val="single" w:sz="4" w:space="0" w:color="A6A6A6"/>
              <w:bottom w:val="single" w:sz="4" w:space="0" w:color="A6A6A6"/>
            </w:tcBorders>
          </w:tcPr>
          <w:p w14:paraId="44457A77" w14:textId="77777777" w:rsidR="005F4A7E" w:rsidRDefault="005F4A7E" w:rsidP="00130D1C">
            <w:pPr>
              <w:pStyle w:val="ARfintablebody"/>
              <w:spacing w:before="30"/>
            </w:pPr>
            <w:r>
              <w:t>The Hon. Martin Foley MP</w:t>
            </w:r>
          </w:p>
        </w:tc>
        <w:tc>
          <w:tcPr>
            <w:tcW w:w="3686" w:type="dxa"/>
            <w:tcBorders>
              <w:top w:val="single" w:sz="4" w:space="0" w:color="A6A6A6"/>
              <w:bottom w:val="single" w:sz="4" w:space="0" w:color="A6A6A6"/>
            </w:tcBorders>
          </w:tcPr>
          <w:p w14:paraId="3877FE39" w14:textId="77777777" w:rsidR="005F4A7E" w:rsidRDefault="005F4A7E" w:rsidP="00130D1C">
            <w:pPr>
              <w:pStyle w:val="ARfintablebody"/>
              <w:spacing w:before="30"/>
            </w:pPr>
            <w:r>
              <w:t>26 September 2020 to 30 June 2021</w:t>
            </w:r>
          </w:p>
        </w:tc>
      </w:tr>
      <w:tr w:rsidR="005F4A7E" w14:paraId="4092A644" w14:textId="77777777" w:rsidTr="00130D1C">
        <w:tc>
          <w:tcPr>
            <w:tcW w:w="3118" w:type="dxa"/>
            <w:vMerge w:val="restart"/>
            <w:tcBorders>
              <w:top w:val="single" w:sz="4" w:space="0" w:color="A6A6A6"/>
              <w:bottom w:val="single" w:sz="4" w:space="0" w:color="A6A6A6"/>
            </w:tcBorders>
            <w:hideMark/>
          </w:tcPr>
          <w:p w14:paraId="0CD1F62A" w14:textId="77777777" w:rsidR="005F4A7E" w:rsidRDefault="005F4A7E" w:rsidP="00130D1C">
            <w:pPr>
              <w:pStyle w:val="ARfintablebody"/>
              <w:spacing w:before="30"/>
            </w:pPr>
            <w:r>
              <w:t>Minister for the Coordination of Health and Human Services: COVID-19</w:t>
            </w:r>
          </w:p>
        </w:tc>
        <w:tc>
          <w:tcPr>
            <w:tcW w:w="2835" w:type="dxa"/>
            <w:tcBorders>
              <w:top w:val="single" w:sz="4" w:space="0" w:color="A6A6A6"/>
              <w:bottom w:val="single" w:sz="4" w:space="0" w:color="A6A6A6"/>
            </w:tcBorders>
            <w:hideMark/>
          </w:tcPr>
          <w:p w14:paraId="6DDD6952" w14:textId="77777777" w:rsidR="005F4A7E" w:rsidRDefault="005F4A7E" w:rsidP="00130D1C">
            <w:pPr>
              <w:pStyle w:val="ARfintablebody"/>
              <w:spacing w:before="30"/>
            </w:pPr>
            <w:r>
              <w:t>The Hon. Jenny Mikakos MP</w:t>
            </w:r>
          </w:p>
        </w:tc>
        <w:tc>
          <w:tcPr>
            <w:tcW w:w="3686" w:type="dxa"/>
            <w:tcBorders>
              <w:top w:val="single" w:sz="4" w:space="0" w:color="A6A6A6"/>
              <w:bottom w:val="single" w:sz="4" w:space="0" w:color="A6A6A6"/>
            </w:tcBorders>
            <w:hideMark/>
          </w:tcPr>
          <w:p w14:paraId="621E543D" w14:textId="77777777" w:rsidR="005F4A7E" w:rsidRDefault="005F4A7E" w:rsidP="00130D1C">
            <w:pPr>
              <w:pStyle w:val="ARfintablebody"/>
              <w:spacing w:before="30"/>
              <w:rPr>
                <w:highlight w:val="yellow"/>
              </w:rPr>
            </w:pPr>
            <w:r>
              <w:t>1 July 2020 to 26 September 2020</w:t>
            </w:r>
          </w:p>
        </w:tc>
      </w:tr>
      <w:tr w:rsidR="005F4A7E" w14:paraId="12559F4B" w14:textId="77777777" w:rsidTr="00130D1C">
        <w:tc>
          <w:tcPr>
            <w:tcW w:w="3118" w:type="dxa"/>
            <w:vMerge/>
            <w:tcBorders>
              <w:top w:val="single" w:sz="4" w:space="0" w:color="A6A6A6"/>
              <w:bottom w:val="single" w:sz="4" w:space="0" w:color="A6A6A6"/>
            </w:tcBorders>
          </w:tcPr>
          <w:p w14:paraId="55014D14" w14:textId="77777777" w:rsidR="005F4A7E" w:rsidRDefault="005F4A7E" w:rsidP="00130D1C">
            <w:pPr>
              <w:pStyle w:val="ARfintablebody"/>
              <w:spacing w:before="30"/>
            </w:pPr>
          </w:p>
        </w:tc>
        <w:tc>
          <w:tcPr>
            <w:tcW w:w="2835" w:type="dxa"/>
            <w:tcBorders>
              <w:top w:val="single" w:sz="4" w:space="0" w:color="A6A6A6"/>
              <w:bottom w:val="single" w:sz="4" w:space="0" w:color="A6A6A6"/>
            </w:tcBorders>
          </w:tcPr>
          <w:p w14:paraId="2DF6D1F5" w14:textId="77777777" w:rsidR="005F4A7E" w:rsidRDefault="005F4A7E" w:rsidP="00130D1C">
            <w:pPr>
              <w:pStyle w:val="ARfintablebody"/>
              <w:spacing w:before="30"/>
            </w:pPr>
            <w:r>
              <w:t>The Hon. Martin Foley MP</w:t>
            </w:r>
          </w:p>
        </w:tc>
        <w:tc>
          <w:tcPr>
            <w:tcW w:w="3686" w:type="dxa"/>
            <w:tcBorders>
              <w:top w:val="single" w:sz="4" w:space="0" w:color="A6A6A6"/>
              <w:bottom w:val="single" w:sz="4" w:space="0" w:color="A6A6A6"/>
            </w:tcBorders>
          </w:tcPr>
          <w:p w14:paraId="70E167BD" w14:textId="77777777" w:rsidR="005F4A7E" w:rsidRDefault="005F4A7E" w:rsidP="00130D1C">
            <w:pPr>
              <w:pStyle w:val="ARfintablebody"/>
              <w:spacing w:before="30"/>
            </w:pPr>
            <w:r>
              <w:t>26 September 2020 to 9 November 2020</w:t>
            </w:r>
          </w:p>
        </w:tc>
      </w:tr>
      <w:tr w:rsidR="005F4A7E" w14:paraId="6CD30C84" w14:textId="77777777" w:rsidTr="00130D1C">
        <w:tc>
          <w:tcPr>
            <w:tcW w:w="3118" w:type="dxa"/>
            <w:vMerge w:val="restart"/>
            <w:tcBorders>
              <w:top w:val="single" w:sz="4" w:space="0" w:color="A6A6A6"/>
            </w:tcBorders>
          </w:tcPr>
          <w:p w14:paraId="79CCCDCB" w14:textId="77777777" w:rsidR="005F4A7E" w:rsidRDefault="005F4A7E" w:rsidP="00130D1C">
            <w:pPr>
              <w:pStyle w:val="ARfintablebody"/>
              <w:spacing w:before="30"/>
            </w:pPr>
            <w:r>
              <w:t>Minister for Mental Health</w:t>
            </w:r>
          </w:p>
        </w:tc>
        <w:tc>
          <w:tcPr>
            <w:tcW w:w="2835" w:type="dxa"/>
            <w:tcBorders>
              <w:top w:val="single" w:sz="4" w:space="0" w:color="A6A6A6"/>
              <w:bottom w:val="single" w:sz="4" w:space="0" w:color="A6A6A6"/>
            </w:tcBorders>
          </w:tcPr>
          <w:p w14:paraId="40FFE4E0" w14:textId="77777777" w:rsidR="005F4A7E" w:rsidRDefault="005F4A7E" w:rsidP="00130D1C">
            <w:pPr>
              <w:pStyle w:val="ARfintablebody"/>
              <w:spacing w:before="30"/>
            </w:pPr>
            <w:r>
              <w:t>The Hon. Martin Foley MP</w:t>
            </w:r>
          </w:p>
        </w:tc>
        <w:tc>
          <w:tcPr>
            <w:tcW w:w="3686" w:type="dxa"/>
            <w:tcBorders>
              <w:top w:val="single" w:sz="4" w:space="0" w:color="A6A6A6"/>
              <w:bottom w:val="single" w:sz="4" w:space="0" w:color="A6A6A6"/>
            </w:tcBorders>
          </w:tcPr>
          <w:p w14:paraId="33FC303B" w14:textId="77777777" w:rsidR="005F4A7E" w:rsidRDefault="005F4A7E" w:rsidP="00130D1C">
            <w:pPr>
              <w:pStyle w:val="ARfintablebody"/>
              <w:spacing w:before="30"/>
            </w:pPr>
            <w:r>
              <w:t>1 July 2020 to 29 September 2020</w:t>
            </w:r>
          </w:p>
        </w:tc>
      </w:tr>
      <w:tr w:rsidR="005F4A7E" w14:paraId="0915E366" w14:textId="77777777" w:rsidTr="00130D1C">
        <w:tc>
          <w:tcPr>
            <w:tcW w:w="3118" w:type="dxa"/>
            <w:vMerge/>
            <w:tcBorders>
              <w:bottom w:val="single" w:sz="4" w:space="0" w:color="A6A6A6"/>
            </w:tcBorders>
            <w:hideMark/>
          </w:tcPr>
          <w:p w14:paraId="77940FEC" w14:textId="77777777" w:rsidR="005F4A7E" w:rsidRDefault="005F4A7E" w:rsidP="00130D1C">
            <w:pPr>
              <w:pStyle w:val="ARfintablebody"/>
              <w:spacing w:before="30"/>
            </w:pPr>
          </w:p>
        </w:tc>
        <w:tc>
          <w:tcPr>
            <w:tcW w:w="2835" w:type="dxa"/>
            <w:tcBorders>
              <w:top w:val="single" w:sz="4" w:space="0" w:color="A6A6A6"/>
              <w:bottom w:val="single" w:sz="4" w:space="0" w:color="A6A6A6"/>
            </w:tcBorders>
            <w:hideMark/>
          </w:tcPr>
          <w:p w14:paraId="0633C733" w14:textId="77777777" w:rsidR="005F4A7E" w:rsidRDefault="005F4A7E" w:rsidP="00130D1C">
            <w:pPr>
              <w:pStyle w:val="ARfintablebody"/>
              <w:spacing w:before="30"/>
            </w:pPr>
            <w:r>
              <w:t>The Hon. James Merlino MP</w:t>
            </w:r>
          </w:p>
        </w:tc>
        <w:tc>
          <w:tcPr>
            <w:tcW w:w="3686" w:type="dxa"/>
            <w:tcBorders>
              <w:top w:val="single" w:sz="4" w:space="0" w:color="A6A6A6"/>
              <w:bottom w:val="single" w:sz="4" w:space="0" w:color="A6A6A6"/>
            </w:tcBorders>
            <w:hideMark/>
          </w:tcPr>
          <w:p w14:paraId="0B6DA9C0" w14:textId="77777777" w:rsidR="005F4A7E" w:rsidRDefault="005F4A7E" w:rsidP="00130D1C">
            <w:pPr>
              <w:pStyle w:val="ARfintablebody"/>
              <w:spacing w:before="30"/>
            </w:pPr>
            <w:r>
              <w:t>29 September 2020 to 30 June 2021</w:t>
            </w:r>
          </w:p>
        </w:tc>
      </w:tr>
      <w:tr w:rsidR="005F4A7E" w14:paraId="75321E82" w14:textId="77777777" w:rsidTr="00130D1C">
        <w:tc>
          <w:tcPr>
            <w:tcW w:w="3118" w:type="dxa"/>
            <w:tcBorders>
              <w:top w:val="single" w:sz="4" w:space="0" w:color="A6A6A6"/>
              <w:bottom w:val="single" w:sz="4" w:space="0" w:color="A6A6A6"/>
            </w:tcBorders>
            <w:hideMark/>
          </w:tcPr>
          <w:p w14:paraId="27C17FD2" w14:textId="77777777" w:rsidR="005F4A7E" w:rsidRDefault="005F4A7E" w:rsidP="00130D1C">
            <w:pPr>
              <w:pStyle w:val="ARfintablebody"/>
              <w:spacing w:before="30"/>
            </w:pPr>
            <w:r>
              <w:t>Minister for Housing</w:t>
            </w:r>
          </w:p>
        </w:tc>
        <w:tc>
          <w:tcPr>
            <w:tcW w:w="2835" w:type="dxa"/>
            <w:tcBorders>
              <w:top w:val="single" w:sz="4" w:space="0" w:color="A6A6A6"/>
              <w:bottom w:val="single" w:sz="4" w:space="0" w:color="A6A6A6"/>
            </w:tcBorders>
            <w:hideMark/>
          </w:tcPr>
          <w:p w14:paraId="455164DE" w14:textId="77777777" w:rsidR="005F4A7E" w:rsidRDefault="005F4A7E" w:rsidP="00130D1C">
            <w:pPr>
              <w:pStyle w:val="ARfintablebody"/>
              <w:spacing w:before="30"/>
            </w:pPr>
            <w:r>
              <w:t>The Hon. Richard Wynne MP</w:t>
            </w:r>
          </w:p>
        </w:tc>
        <w:tc>
          <w:tcPr>
            <w:tcW w:w="3686" w:type="dxa"/>
            <w:tcBorders>
              <w:top w:val="single" w:sz="4" w:space="0" w:color="A6A6A6"/>
              <w:bottom w:val="single" w:sz="4" w:space="0" w:color="A6A6A6"/>
            </w:tcBorders>
            <w:hideMark/>
          </w:tcPr>
          <w:p w14:paraId="5E9780B9" w14:textId="77777777" w:rsidR="005F4A7E" w:rsidRDefault="005F4A7E" w:rsidP="00130D1C">
            <w:pPr>
              <w:pStyle w:val="ARfintablebody"/>
              <w:spacing w:before="30"/>
            </w:pPr>
            <w:r>
              <w:t>1 July 2020 to 30 June 2021</w:t>
            </w:r>
          </w:p>
        </w:tc>
      </w:tr>
      <w:tr w:rsidR="005F4A7E" w14:paraId="5FC6D0D7" w14:textId="77777777" w:rsidTr="00130D1C">
        <w:tc>
          <w:tcPr>
            <w:tcW w:w="3118" w:type="dxa"/>
            <w:tcBorders>
              <w:top w:val="single" w:sz="4" w:space="0" w:color="A6A6A6"/>
              <w:bottom w:val="single" w:sz="4" w:space="0" w:color="A6A6A6"/>
            </w:tcBorders>
            <w:hideMark/>
          </w:tcPr>
          <w:p w14:paraId="1EC9513F" w14:textId="77777777" w:rsidR="005F4A7E" w:rsidRDefault="005F4A7E" w:rsidP="00130D1C">
            <w:pPr>
              <w:pStyle w:val="ARfintablebody"/>
              <w:spacing w:before="30"/>
            </w:pPr>
            <w:r>
              <w:t>Minister for Child Protection</w:t>
            </w:r>
          </w:p>
        </w:tc>
        <w:tc>
          <w:tcPr>
            <w:tcW w:w="2835" w:type="dxa"/>
            <w:tcBorders>
              <w:top w:val="single" w:sz="4" w:space="0" w:color="A6A6A6"/>
              <w:bottom w:val="single" w:sz="4" w:space="0" w:color="A6A6A6"/>
            </w:tcBorders>
            <w:hideMark/>
          </w:tcPr>
          <w:p w14:paraId="2C3EA6A5" w14:textId="77777777" w:rsidR="005F4A7E" w:rsidRPr="008C627E" w:rsidRDefault="005F4A7E" w:rsidP="00130D1C">
            <w:pPr>
              <w:pStyle w:val="ARfintablebody"/>
              <w:spacing w:before="30"/>
              <w:rPr>
                <w:lang w:val="fr-FR"/>
              </w:rPr>
            </w:pPr>
            <w:r w:rsidRPr="008C627E">
              <w:rPr>
                <w:lang w:val="fr-FR"/>
              </w:rPr>
              <w:t>The Hon. Luke Donnellan MP</w:t>
            </w:r>
          </w:p>
        </w:tc>
        <w:tc>
          <w:tcPr>
            <w:tcW w:w="3686" w:type="dxa"/>
            <w:tcBorders>
              <w:top w:val="single" w:sz="4" w:space="0" w:color="A6A6A6"/>
              <w:bottom w:val="single" w:sz="4" w:space="0" w:color="A6A6A6"/>
            </w:tcBorders>
            <w:hideMark/>
          </w:tcPr>
          <w:p w14:paraId="7A8BC9BA" w14:textId="77777777" w:rsidR="005F4A7E" w:rsidRDefault="005F4A7E" w:rsidP="00130D1C">
            <w:pPr>
              <w:pStyle w:val="ARfintablebody"/>
              <w:spacing w:before="30"/>
            </w:pPr>
            <w:r>
              <w:t>1 July 2020 to 30 June 2021</w:t>
            </w:r>
          </w:p>
        </w:tc>
      </w:tr>
      <w:tr w:rsidR="005F4A7E" w14:paraId="03AD4666" w14:textId="77777777" w:rsidTr="00130D1C">
        <w:tc>
          <w:tcPr>
            <w:tcW w:w="3118" w:type="dxa"/>
            <w:tcBorders>
              <w:top w:val="single" w:sz="4" w:space="0" w:color="A6A6A6"/>
              <w:bottom w:val="single" w:sz="4" w:space="0" w:color="A6A6A6"/>
            </w:tcBorders>
            <w:hideMark/>
          </w:tcPr>
          <w:p w14:paraId="6946B413" w14:textId="77777777" w:rsidR="005F4A7E" w:rsidRDefault="005F4A7E" w:rsidP="00130D1C">
            <w:pPr>
              <w:pStyle w:val="ARfintablebody"/>
              <w:spacing w:before="30"/>
            </w:pPr>
            <w:r>
              <w:t>Minister for Disability, Ageing and Carers</w:t>
            </w:r>
          </w:p>
        </w:tc>
        <w:tc>
          <w:tcPr>
            <w:tcW w:w="2835" w:type="dxa"/>
            <w:tcBorders>
              <w:top w:val="single" w:sz="4" w:space="0" w:color="A6A6A6"/>
              <w:bottom w:val="single" w:sz="4" w:space="0" w:color="A6A6A6"/>
            </w:tcBorders>
            <w:hideMark/>
          </w:tcPr>
          <w:p w14:paraId="5877334A" w14:textId="77777777" w:rsidR="005F4A7E" w:rsidRPr="008C627E" w:rsidRDefault="005F4A7E" w:rsidP="00130D1C">
            <w:pPr>
              <w:pStyle w:val="ARfintablebody"/>
              <w:spacing w:before="30"/>
              <w:rPr>
                <w:lang w:val="fr-FR"/>
              </w:rPr>
            </w:pPr>
            <w:r w:rsidRPr="008C627E">
              <w:rPr>
                <w:lang w:val="fr-FR"/>
              </w:rPr>
              <w:t>The Hon. Luke Donnellan MP</w:t>
            </w:r>
          </w:p>
        </w:tc>
        <w:tc>
          <w:tcPr>
            <w:tcW w:w="3686" w:type="dxa"/>
            <w:tcBorders>
              <w:top w:val="single" w:sz="4" w:space="0" w:color="A6A6A6"/>
              <w:bottom w:val="single" w:sz="4" w:space="0" w:color="A6A6A6"/>
            </w:tcBorders>
            <w:hideMark/>
          </w:tcPr>
          <w:p w14:paraId="6FF7776B" w14:textId="77777777" w:rsidR="005F4A7E" w:rsidRDefault="005F4A7E" w:rsidP="00130D1C">
            <w:pPr>
              <w:pStyle w:val="ARfintablebody"/>
              <w:spacing w:before="30"/>
            </w:pPr>
            <w:r>
              <w:t>1 July 2020 to 30 June 2021</w:t>
            </w:r>
          </w:p>
        </w:tc>
      </w:tr>
      <w:tr w:rsidR="005F4A7E" w14:paraId="7F1F3C0D" w14:textId="77777777" w:rsidTr="00130D1C">
        <w:tc>
          <w:tcPr>
            <w:tcW w:w="3118" w:type="dxa"/>
            <w:tcBorders>
              <w:top w:val="single" w:sz="4" w:space="0" w:color="A6A6A6"/>
              <w:bottom w:val="single" w:sz="4" w:space="0" w:color="A6A6A6"/>
            </w:tcBorders>
            <w:hideMark/>
          </w:tcPr>
          <w:p w14:paraId="29727AB7" w14:textId="77777777" w:rsidR="005F4A7E" w:rsidRDefault="005F4A7E" w:rsidP="00130D1C">
            <w:pPr>
              <w:pStyle w:val="ARfintablebody"/>
              <w:spacing w:before="30"/>
            </w:pPr>
            <w:r>
              <w:t>Minister for Multicultural Affairs</w:t>
            </w:r>
          </w:p>
        </w:tc>
        <w:tc>
          <w:tcPr>
            <w:tcW w:w="2835" w:type="dxa"/>
            <w:tcBorders>
              <w:top w:val="single" w:sz="4" w:space="0" w:color="A6A6A6"/>
              <w:bottom w:val="single" w:sz="4" w:space="0" w:color="A6A6A6"/>
            </w:tcBorders>
            <w:hideMark/>
          </w:tcPr>
          <w:p w14:paraId="27DA9925" w14:textId="77777777" w:rsidR="005F4A7E" w:rsidRDefault="005F4A7E" w:rsidP="00130D1C">
            <w:pPr>
              <w:pStyle w:val="ARfintablebody"/>
              <w:spacing w:before="30"/>
            </w:pPr>
            <w:r>
              <w:t>The Hon. Ros Spence MP</w:t>
            </w:r>
          </w:p>
        </w:tc>
        <w:tc>
          <w:tcPr>
            <w:tcW w:w="3686" w:type="dxa"/>
            <w:tcBorders>
              <w:top w:val="single" w:sz="4" w:space="0" w:color="A6A6A6"/>
              <w:bottom w:val="single" w:sz="4" w:space="0" w:color="A6A6A6"/>
            </w:tcBorders>
            <w:hideMark/>
          </w:tcPr>
          <w:p w14:paraId="0831F20B" w14:textId="77777777" w:rsidR="005F4A7E" w:rsidRDefault="005F4A7E" w:rsidP="00130D1C">
            <w:pPr>
              <w:pStyle w:val="ARfintablebody"/>
              <w:spacing w:before="30"/>
            </w:pPr>
            <w:r>
              <w:t>1 February 2021 to 30 June 2021</w:t>
            </w:r>
          </w:p>
        </w:tc>
      </w:tr>
      <w:tr w:rsidR="005F4A7E" w14:paraId="5EB613B6" w14:textId="77777777" w:rsidTr="00130D1C">
        <w:tc>
          <w:tcPr>
            <w:tcW w:w="3118" w:type="dxa"/>
            <w:tcBorders>
              <w:top w:val="single" w:sz="4" w:space="0" w:color="A6A6A6"/>
              <w:bottom w:val="single" w:sz="4" w:space="0" w:color="A6A6A6"/>
            </w:tcBorders>
            <w:hideMark/>
          </w:tcPr>
          <w:p w14:paraId="6C4FB76E" w14:textId="77777777" w:rsidR="005F4A7E" w:rsidRDefault="005F4A7E" w:rsidP="00130D1C">
            <w:pPr>
              <w:pStyle w:val="ARfintablebody"/>
              <w:spacing w:before="30"/>
            </w:pPr>
            <w:r>
              <w:t>Minister for Youth</w:t>
            </w:r>
          </w:p>
        </w:tc>
        <w:tc>
          <w:tcPr>
            <w:tcW w:w="2835" w:type="dxa"/>
            <w:tcBorders>
              <w:top w:val="single" w:sz="4" w:space="0" w:color="A6A6A6"/>
              <w:bottom w:val="single" w:sz="4" w:space="0" w:color="A6A6A6"/>
            </w:tcBorders>
            <w:hideMark/>
          </w:tcPr>
          <w:p w14:paraId="493CE8C7" w14:textId="77777777" w:rsidR="005F4A7E" w:rsidRDefault="005F4A7E" w:rsidP="00130D1C">
            <w:pPr>
              <w:pStyle w:val="ARfintablebody"/>
              <w:spacing w:before="30"/>
            </w:pPr>
            <w:r>
              <w:t>The Hon. Ros Spence MP</w:t>
            </w:r>
          </w:p>
        </w:tc>
        <w:tc>
          <w:tcPr>
            <w:tcW w:w="3686" w:type="dxa"/>
            <w:tcBorders>
              <w:top w:val="single" w:sz="4" w:space="0" w:color="A6A6A6"/>
              <w:bottom w:val="single" w:sz="4" w:space="0" w:color="A6A6A6"/>
            </w:tcBorders>
            <w:hideMark/>
          </w:tcPr>
          <w:p w14:paraId="40BAF0D6" w14:textId="77777777" w:rsidR="005F4A7E" w:rsidRDefault="005F4A7E" w:rsidP="00130D1C">
            <w:pPr>
              <w:pStyle w:val="ARfintablebody"/>
              <w:spacing w:before="30"/>
            </w:pPr>
            <w:r>
              <w:t>1 February 2021 to 30 June 2021</w:t>
            </w:r>
          </w:p>
        </w:tc>
      </w:tr>
      <w:tr w:rsidR="005F4A7E" w14:paraId="35417099" w14:textId="77777777" w:rsidTr="00130D1C">
        <w:tc>
          <w:tcPr>
            <w:tcW w:w="3118" w:type="dxa"/>
            <w:tcBorders>
              <w:top w:val="single" w:sz="4" w:space="0" w:color="A6A6A6"/>
              <w:bottom w:val="single" w:sz="4" w:space="0" w:color="A6A6A6"/>
            </w:tcBorders>
            <w:hideMark/>
          </w:tcPr>
          <w:p w14:paraId="0A1F2262" w14:textId="77777777" w:rsidR="005F4A7E" w:rsidRDefault="005F4A7E" w:rsidP="00130D1C">
            <w:pPr>
              <w:pStyle w:val="ARfintablebody"/>
              <w:spacing w:before="30"/>
            </w:pPr>
            <w:r>
              <w:t>Minister for Prevention of Family Violence</w:t>
            </w:r>
          </w:p>
        </w:tc>
        <w:tc>
          <w:tcPr>
            <w:tcW w:w="2835" w:type="dxa"/>
            <w:tcBorders>
              <w:top w:val="single" w:sz="4" w:space="0" w:color="A6A6A6"/>
              <w:bottom w:val="single" w:sz="4" w:space="0" w:color="A6A6A6"/>
            </w:tcBorders>
            <w:hideMark/>
          </w:tcPr>
          <w:p w14:paraId="6776C757" w14:textId="77777777" w:rsidR="005F4A7E" w:rsidRDefault="005F4A7E" w:rsidP="00130D1C">
            <w:pPr>
              <w:pStyle w:val="ARfintablebody"/>
              <w:spacing w:before="30"/>
            </w:pPr>
            <w:r>
              <w:t>The Hon. Gabrielle Williams MP</w:t>
            </w:r>
          </w:p>
        </w:tc>
        <w:tc>
          <w:tcPr>
            <w:tcW w:w="3686" w:type="dxa"/>
            <w:tcBorders>
              <w:top w:val="single" w:sz="4" w:space="0" w:color="A6A6A6"/>
              <w:bottom w:val="single" w:sz="4" w:space="0" w:color="A6A6A6"/>
            </w:tcBorders>
            <w:hideMark/>
          </w:tcPr>
          <w:p w14:paraId="52CA4838" w14:textId="77777777" w:rsidR="005F4A7E" w:rsidRDefault="005F4A7E" w:rsidP="00130D1C">
            <w:pPr>
              <w:pStyle w:val="ARfintablebody"/>
              <w:spacing w:before="30"/>
            </w:pPr>
            <w:r>
              <w:t>1 July 2020 to 30 June 2021</w:t>
            </w:r>
          </w:p>
        </w:tc>
      </w:tr>
      <w:tr w:rsidR="005F4A7E" w14:paraId="498A946F" w14:textId="77777777" w:rsidTr="00130D1C">
        <w:tc>
          <w:tcPr>
            <w:tcW w:w="3118" w:type="dxa"/>
            <w:tcBorders>
              <w:top w:val="single" w:sz="4" w:space="0" w:color="A6A6A6"/>
              <w:bottom w:val="single" w:sz="4" w:space="0" w:color="A6A6A6"/>
            </w:tcBorders>
            <w:hideMark/>
          </w:tcPr>
          <w:p w14:paraId="2A8978C5" w14:textId="77777777" w:rsidR="005F4A7E" w:rsidRDefault="005F4A7E" w:rsidP="00130D1C">
            <w:pPr>
              <w:pStyle w:val="ARfintablebody"/>
              <w:spacing w:before="30"/>
            </w:pPr>
            <w:r>
              <w:t>Minister for Women</w:t>
            </w:r>
          </w:p>
        </w:tc>
        <w:tc>
          <w:tcPr>
            <w:tcW w:w="2835" w:type="dxa"/>
            <w:tcBorders>
              <w:top w:val="single" w:sz="4" w:space="0" w:color="A6A6A6"/>
              <w:bottom w:val="single" w:sz="4" w:space="0" w:color="A6A6A6"/>
            </w:tcBorders>
            <w:hideMark/>
          </w:tcPr>
          <w:p w14:paraId="76EAF993" w14:textId="77777777" w:rsidR="005F4A7E" w:rsidRDefault="005F4A7E" w:rsidP="00130D1C">
            <w:pPr>
              <w:pStyle w:val="ARfintablebody"/>
              <w:spacing w:before="30"/>
            </w:pPr>
            <w:r>
              <w:t>The Hon. Gabrielle Williams MP</w:t>
            </w:r>
          </w:p>
        </w:tc>
        <w:tc>
          <w:tcPr>
            <w:tcW w:w="3686" w:type="dxa"/>
            <w:tcBorders>
              <w:top w:val="single" w:sz="4" w:space="0" w:color="A6A6A6"/>
              <w:bottom w:val="single" w:sz="4" w:space="0" w:color="A6A6A6"/>
            </w:tcBorders>
            <w:hideMark/>
          </w:tcPr>
          <w:p w14:paraId="2F757EB4" w14:textId="77777777" w:rsidR="005F4A7E" w:rsidRDefault="005F4A7E" w:rsidP="00130D1C">
            <w:pPr>
              <w:pStyle w:val="ARfintablebody"/>
              <w:spacing w:before="30"/>
            </w:pPr>
            <w:r>
              <w:t>1 February 2021 to 30 June 2021</w:t>
            </w:r>
          </w:p>
        </w:tc>
      </w:tr>
      <w:tr w:rsidR="005F4A7E" w14:paraId="12CC4D41" w14:textId="77777777" w:rsidTr="00130D1C">
        <w:tc>
          <w:tcPr>
            <w:tcW w:w="3118" w:type="dxa"/>
            <w:tcBorders>
              <w:top w:val="single" w:sz="4" w:space="0" w:color="A6A6A6"/>
              <w:bottom w:val="single" w:sz="4" w:space="0" w:color="A6A6A6"/>
            </w:tcBorders>
            <w:hideMark/>
          </w:tcPr>
          <w:p w14:paraId="646D4661" w14:textId="77777777" w:rsidR="005F4A7E" w:rsidRDefault="005F4A7E" w:rsidP="00130D1C">
            <w:pPr>
              <w:pStyle w:val="ARfintablebody"/>
              <w:spacing w:before="30"/>
            </w:pPr>
            <w:r>
              <w:t>Minister for Equality</w:t>
            </w:r>
          </w:p>
        </w:tc>
        <w:tc>
          <w:tcPr>
            <w:tcW w:w="2835" w:type="dxa"/>
            <w:tcBorders>
              <w:top w:val="single" w:sz="4" w:space="0" w:color="A6A6A6"/>
              <w:bottom w:val="single" w:sz="4" w:space="0" w:color="A6A6A6"/>
            </w:tcBorders>
            <w:hideMark/>
          </w:tcPr>
          <w:p w14:paraId="4F31F232" w14:textId="77777777" w:rsidR="005F4A7E" w:rsidRDefault="005F4A7E" w:rsidP="00130D1C">
            <w:pPr>
              <w:pStyle w:val="ARfintablebody"/>
              <w:spacing w:before="30"/>
            </w:pPr>
            <w:r>
              <w:t>The Hon. Martin Foley MP</w:t>
            </w:r>
          </w:p>
        </w:tc>
        <w:tc>
          <w:tcPr>
            <w:tcW w:w="3686" w:type="dxa"/>
            <w:tcBorders>
              <w:top w:val="single" w:sz="4" w:space="0" w:color="A6A6A6"/>
              <w:bottom w:val="single" w:sz="4" w:space="0" w:color="A6A6A6"/>
            </w:tcBorders>
            <w:hideMark/>
          </w:tcPr>
          <w:p w14:paraId="4A2544C6" w14:textId="77777777" w:rsidR="005F4A7E" w:rsidRDefault="005F4A7E" w:rsidP="00130D1C">
            <w:pPr>
              <w:pStyle w:val="ARfintablebody"/>
              <w:spacing w:before="30"/>
            </w:pPr>
            <w:r>
              <w:t>1 February 2021 to 30 June 2021</w:t>
            </w:r>
          </w:p>
        </w:tc>
      </w:tr>
      <w:tr w:rsidR="005F4A7E" w14:paraId="72C87777" w14:textId="77777777" w:rsidTr="00130D1C">
        <w:tc>
          <w:tcPr>
            <w:tcW w:w="3118" w:type="dxa"/>
            <w:tcBorders>
              <w:top w:val="single" w:sz="4" w:space="0" w:color="A6A6A6"/>
              <w:bottom w:val="single" w:sz="4" w:space="0" w:color="A6A6A6"/>
            </w:tcBorders>
            <w:hideMark/>
          </w:tcPr>
          <w:p w14:paraId="42BC6A9D" w14:textId="77777777" w:rsidR="005F4A7E" w:rsidRDefault="005F4A7E" w:rsidP="00130D1C">
            <w:pPr>
              <w:pStyle w:val="ARfintablebody"/>
              <w:spacing w:before="30"/>
            </w:pPr>
            <w:r>
              <w:t>Minister for Veterans</w:t>
            </w:r>
          </w:p>
        </w:tc>
        <w:tc>
          <w:tcPr>
            <w:tcW w:w="2835" w:type="dxa"/>
            <w:tcBorders>
              <w:top w:val="single" w:sz="4" w:space="0" w:color="A6A6A6"/>
              <w:bottom w:val="single" w:sz="4" w:space="0" w:color="A6A6A6"/>
            </w:tcBorders>
            <w:hideMark/>
          </w:tcPr>
          <w:p w14:paraId="5152E51F" w14:textId="77777777" w:rsidR="005F4A7E" w:rsidRDefault="005F4A7E" w:rsidP="00130D1C">
            <w:pPr>
              <w:pStyle w:val="ARfintablebody"/>
              <w:spacing w:before="30"/>
              <w:rPr>
                <w:lang w:eastAsia="en-US"/>
              </w:rPr>
            </w:pPr>
            <w:r>
              <w:t>The Hon. Shaun Leane MP</w:t>
            </w:r>
          </w:p>
        </w:tc>
        <w:tc>
          <w:tcPr>
            <w:tcW w:w="3686" w:type="dxa"/>
            <w:tcBorders>
              <w:top w:val="single" w:sz="4" w:space="0" w:color="A6A6A6"/>
              <w:bottom w:val="single" w:sz="4" w:space="0" w:color="A6A6A6"/>
            </w:tcBorders>
            <w:hideMark/>
          </w:tcPr>
          <w:p w14:paraId="742CB92A" w14:textId="77777777" w:rsidR="005F4A7E" w:rsidRDefault="005F4A7E" w:rsidP="00130D1C">
            <w:pPr>
              <w:pStyle w:val="ARfintablebody"/>
              <w:spacing w:before="30"/>
            </w:pPr>
            <w:r>
              <w:t>1 February 2021 to 30 June 2021</w:t>
            </w:r>
          </w:p>
        </w:tc>
      </w:tr>
      <w:tr w:rsidR="005F4A7E" w14:paraId="31A26F00" w14:textId="77777777" w:rsidTr="00130D1C">
        <w:tc>
          <w:tcPr>
            <w:tcW w:w="3118" w:type="dxa"/>
            <w:vMerge w:val="restart"/>
            <w:tcBorders>
              <w:top w:val="single" w:sz="4" w:space="0" w:color="A6A6A6"/>
              <w:bottom w:val="single" w:sz="4" w:space="0" w:color="A6A6A6"/>
            </w:tcBorders>
            <w:hideMark/>
          </w:tcPr>
          <w:p w14:paraId="0F9C1023" w14:textId="77777777" w:rsidR="005F4A7E" w:rsidRDefault="005F4A7E" w:rsidP="00130D1C">
            <w:pPr>
              <w:pStyle w:val="ARfintablebody"/>
              <w:spacing w:before="30"/>
            </w:pPr>
            <w:r>
              <w:t>Secretary, Department of Health and Human Services</w:t>
            </w:r>
          </w:p>
        </w:tc>
        <w:tc>
          <w:tcPr>
            <w:tcW w:w="2835" w:type="dxa"/>
            <w:tcBorders>
              <w:top w:val="single" w:sz="4" w:space="0" w:color="A6A6A6"/>
              <w:bottom w:val="single" w:sz="4" w:space="0" w:color="A6A6A6"/>
            </w:tcBorders>
            <w:hideMark/>
          </w:tcPr>
          <w:p w14:paraId="7123C496" w14:textId="77777777" w:rsidR="005F4A7E" w:rsidRDefault="005F4A7E" w:rsidP="00130D1C">
            <w:pPr>
              <w:pStyle w:val="ARfintablebody"/>
              <w:spacing w:before="30"/>
            </w:pPr>
            <w:r>
              <w:t>Kym Peake</w:t>
            </w:r>
          </w:p>
        </w:tc>
        <w:tc>
          <w:tcPr>
            <w:tcW w:w="3686" w:type="dxa"/>
            <w:tcBorders>
              <w:top w:val="single" w:sz="4" w:space="0" w:color="A6A6A6"/>
              <w:bottom w:val="single" w:sz="4" w:space="0" w:color="A6A6A6"/>
            </w:tcBorders>
            <w:hideMark/>
          </w:tcPr>
          <w:p w14:paraId="04399F57" w14:textId="77777777" w:rsidR="005F4A7E" w:rsidRDefault="005F4A7E" w:rsidP="00130D1C">
            <w:pPr>
              <w:pStyle w:val="ARfintablebody"/>
              <w:spacing w:before="30"/>
            </w:pPr>
            <w:r>
              <w:t>1 July 2020 to 16 November 2020</w:t>
            </w:r>
          </w:p>
        </w:tc>
      </w:tr>
      <w:tr w:rsidR="005F4A7E" w14:paraId="256782B7" w14:textId="77777777" w:rsidTr="00130D1C">
        <w:tc>
          <w:tcPr>
            <w:tcW w:w="3118" w:type="dxa"/>
            <w:vMerge/>
            <w:tcBorders>
              <w:top w:val="single" w:sz="4" w:space="0" w:color="A6A6A6"/>
              <w:bottom w:val="single" w:sz="4" w:space="0" w:color="A6A6A6"/>
            </w:tcBorders>
          </w:tcPr>
          <w:p w14:paraId="3F8914CA" w14:textId="77777777" w:rsidR="005F4A7E" w:rsidRDefault="005F4A7E" w:rsidP="00130D1C">
            <w:pPr>
              <w:pStyle w:val="ARfintablebody"/>
              <w:spacing w:before="30"/>
            </w:pPr>
          </w:p>
        </w:tc>
        <w:tc>
          <w:tcPr>
            <w:tcW w:w="2835" w:type="dxa"/>
            <w:tcBorders>
              <w:top w:val="single" w:sz="4" w:space="0" w:color="A6A6A6"/>
              <w:bottom w:val="single" w:sz="4" w:space="0" w:color="A6A6A6"/>
            </w:tcBorders>
          </w:tcPr>
          <w:p w14:paraId="08EF4F4B" w14:textId="77777777" w:rsidR="005F4A7E" w:rsidRDefault="005F4A7E" w:rsidP="00130D1C">
            <w:pPr>
              <w:pStyle w:val="ARfintablebody"/>
              <w:spacing w:before="30"/>
            </w:pPr>
            <w:r>
              <w:t>Euan Wallace</w:t>
            </w:r>
          </w:p>
        </w:tc>
        <w:tc>
          <w:tcPr>
            <w:tcW w:w="3686" w:type="dxa"/>
            <w:tcBorders>
              <w:top w:val="single" w:sz="4" w:space="0" w:color="A6A6A6"/>
              <w:bottom w:val="single" w:sz="4" w:space="0" w:color="A6A6A6"/>
            </w:tcBorders>
          </w:tcPr>
          <w:p w14:paraId="5FC1B5C7" w14:textId="77777777" w:rsidR="005F4A7E" w:rsidRDefault="005F4A7E" w:rsidP="00130D1C">
            <w:pPr>
              <w:pStyle w:val="ARfintablebody"/>
              <w:spacing w:before="30"/>
            </w:pPr>
            <w:r>
              <w:t>28 November 2020 to 31 January 2021</w:t>
            </w:r>
          </w:p>
        </w:tc>
      </w:tr>
      <w:tr w:rsidR="005F4A7E" w14:paraId="20DF5FBB" w14:textId="77777777" w:rsidTr="00130D1C">
        <w:tc>
          <w:tcPr>
            <w:tcW w:w="3118" w:type="dxa"/>
            <w:tcBorders>
              <w:top w:val="single" w:sz="4" w:space="0" w:color="A6A6A6"/>
              <w:bottom w:val="single" w:sz="4" w:space="0" w:color="A6A6A6"/>
            </w:tcBorders>
            <w:hideMark/>
          </w:tcPr>
          <w:p w14:paraId="0F0E5DC8" w14:textId="77777777" w:rsidR="005F4A7E" w:rsidRDefault="005F4A7E" w:rsidP="00130D1C">
            <w:pPr>
              <w:pStyle w:val="ARfintablebody"/>
              <w:spacing w:before="30"/>
            </w:pPr>
            <w:r>
              <w:t>Secretary, Department of Health</w:t>
            </w:r>
          </w:p>
        </w:tc>
        <w:tc>
          <w:tcPr>
            <w:tcW w:w="2835" w:type="dxa"/>
            <w:tcBorders>
              <w:top w:val="single" w:sz="4" w:space="0" w:color="A6A6A6"/>
              <w:bottom w:val="single" w:sz="4" w:space="0" w:color="A6A6A6"/>
            </w:tcBorders>
            <w:hideMark/>
          </w:tcPr>
          <w:p w14:paraId="35307715" w14:textId="77777777" w:rsidR="005F4A7E" w:rsidRDefault="005F4A7E" w:rsidP="00130D1C">
            <w:pPr>
              <w:pStyle w:val="ARfintablebody"/>
              <w:spacing w:before="30"/>
            </w:pPr>
            <w:r>
              <w:t>Euan Wallace</w:t>
            </w:r>
          </w:p>
        </w:tc>
        <w:tc>
          <w:tcPr>
            <w:tcW w:w="3686" w:type="dxa"/>
            <w:tcBorders>
              <w:top w:val="single" w:sz="4" w:space="0" w:color="A6A6A6"/>
              <w:bottom w:val="single" w:sz="4" w:space="0" w:color="A6A6A6"/>
            </w:tcBorders>
            <w:hideMark/>
          </w:tcPr>
          <w:p w14:paraId="1F5527AA" w14:textId="77777777" w:rsidR="005F4A7E" w:rsidRDefault="005F4A7E" w:rsidP="00130D1C">
            <w:pPr>
              <w:pStyle w:val="ARfintablebody"/>
              <w:spacing w:before="30"/>
            </w:pPr>
            <w:r>
              <w:t>1 February 2021 to 30 June 2021</w:t>
            </w:r>
          </w:p>
        </w:tc>
      </w:tr>
      <w:tr w:rsidR="005F4A7E" w14:paraId="2F7F9C95" w14:textId="77777777" w:rsidTr="00130D1C">
        <w:tc>
          <w:tcPr>
            <w:tcW w:w="3118" w:type="dxa"/>
            <w:tcBorders>
              <w:top w:val="single" w:sz="4" w:space="0" w:color="A6A6A6"/>
              <w:bottom w:val="single" w:sz="4" w:space="0" w:color="A6A6A6"/>
            </w:tcBorders>
            <w:hideMark/>
          </w:tcPr>
          <w:p w14:paraId="34683A8A" w14:textId="77777777" w:rsidR="005F4A7E" w:rsidRDefault="005F4A7E" w:rsidP="00130D1C">
            <w:pPr>
              <w:pStyle w:val="ARfintablebody"/>
              <w:spacing w:before="30"/>
            </w:pPr>
            <w:r>
              <w:t xml:space="preserve">Secretary, Department of Families, Fairness and Housing </w:t>
            </w:r>
            <w:r w:rsidRPr="00BC6CE4">
              <w:rPr>
                <w:rStyle w:val="Superscript"/>
              </w:rPr>
              <w:t>(i)</w:t>
            </w:r>
          </w:p>
        </w:tc>
        <w:tc>
          <w:tcPr>
            <w:tcW w:w="2835" w:type="dxa"/>
            <w:tcBorders>
              <w:top w:val="single" w:sz="4" w:space="0" w:color="A6A6A6"/>
              <w:bottom w:val="single" w:sz="4" w:space="0" w:color="A6A6A6"/>
            </w:tcBorders>
            <w:hideMark/>
          </w:tcPr>
          <w:p w14:paraId="1D9A7D0D" w14:textId="77777777" w:rsidR="005F4A7E" w:rsidRDefault="005F4A7E" w:rsidP="00130D1C">
            <w:pPr>
              <w:pStyle w:val="ARfintablebody"/>
              <w:spacing w:before="30"/>
            </w:pPr>
            <w:r>
              <w:t>Sandy Pitcher</w:t>
            </w:r>
          </w:p>
        </w:tc>
        <w:tc>
          <w:tcPr>
            <w:tcW w:w="3686" w:type="dxa"/>
            <w:tcBorders>
              <w:top w:val="single" w:sz="4" w:space="0" w:color="A6A6A6"/>
              <w:bottom w:val="single" w:sz="4" w:space="0" w:color="A6A6A6"/>
            </w:tcBorders>
            <w:hideMark/>
          </w:tcPr>
          <w:p w14:paraId="4ABC290C" w14:textId="77777777" w:rsidR="005F4A7E" w:rsidRDefault="005F4A7E" w:rsidP="00130D1C">
            <w:pPr>
              <w:pStyle w:val="ARfintablebody"/>
              <w:spacing w:before="30"/>
            </w:pPr>
            <w:r>
              <w:t>1 February 2021 to 30 June 2021</w:t>
            </w:r>
          </w:p>
        </w:tc>
      </w:tr>
      <w:tr w:rsidR="005F4A7E" w14:paraId="0219A5F2" w14:textId="77777777" w:rsidTr="00130D1C">
        <w:tc>
          <w:tcPr>
            <w:tcW w:w="3118" w:type="dxa"/>
            <w:tcBorders>
              <w:top w:val="single" w:sz="4" w:space="0" w:color="A6A6A6"/>
            </w:tcBorders>
            <w:hideMark/>
          </w:tcPr>
          <w:p w14:paraId="4DA6D732" w14:textId="77777777" w:rsidR="005F4A7E" w:rsidRDefault="005F4A7E" w:rsidP="00130D1C">
            <w:pPr>
              <w:pStyle w:val="ARfintablebody"/>
              <w:spacing w:before="30"/>
            </w:pPr>
            <w:r>
              <w:t xml:space="preserve">Director of Housing under the </w:t>
            </w:r>
            <w:r w:rsidRPr="00846878">
              <w:rPr>
                <w:rStyle w:val="Emphasis"/>
              </w:rPr>
              <w:t>Housing Act 1983</w:t>
            </w:r>
          </w:p>
        </w:tc>
        <w:tc>
          <w:tcPr>
            <w:tcW w:w="2835" w:type="dxa"/>
            <w:tcBorders>
              <w:top w:val="single" w:sz="4" w:space="0" w:color="A6A6A6"/>
            </w:tcBorders>
            <w:hideMark/>
          </w:tcPr>
          <w:p w14:paraId="149A758E" w14:textId="77777777" w:rsidR="005F4A7E" w:rsidRDefault="005F4A7E" w:rsidP="00130D1C">
            <w:pPr>
              <w:pStyle w:val="ARfintablebody"/>
              <w:spacing w:before="30"/>
            </w:pPr>
            <w:r>
              <w:t>Ben Rimmer</w:t>
            </w:r>
          </w:p>
        </w:tc>
        <w:tc>
          <w:tcPr>
            <w:tcW w:w="3686" w:type="dxa"/>
            <w:tcBorders>
              <w:top w:val="single" w:sz="4" w:space="0" w:color="A6A6A6"/>
            </w:tcBorders>
            <w:hideMark/>
          </w:tcPr>
          <w:p w14:paraId="049C7AA4" w14:textId="77777777" w:rsidR="005F4A7E" w:rsidRDefault="005F4A7E" w:rsidP="00130D1C">
            <w:pPr>
              <w:pStyle w:val="ARfintablebody"/>
              <w:spacing w:before="30"/>
            </w:pPr>
            <w:r>
              <w:t>1 July 2020 to 30 June 2021</w:t>
            </w:r>
          </w:p>
        </w:tc>
      </w:tr>
    </w:tbl>
    <w:p w14:paraId="2CFFE984" w14:textId="77777777" w:rsidR="005F4A7E" w:rsidRPr="00622993" w:rsidRDefault="005F4A7E" w:rsidP="00130D1C">
      <w:pPr>
        <w:pStyle w:val="ARfintablefootnote"/>
      </w:pPr>
      <w:r w:rsidRPr="00622993">
        <w:t>Note:</w:t>
      </w:r>
    </w:p>
    <w:p w14:paraId="70AE340F" w14:textId="77777777" w:rsidR="005F4A7E" w:rsidRPr="00622993" w:rsidRDefault="005F4A7E" w:rsidP="00130D1C">
      <w:pPr>
        <w:pStyle w:val="ARfintablefootnoteindent"/>
      </w:pPr>
      <w:r>
        <w:t>(i)</w:t>
      </w:r>
      <w:r>
        <w:tab/>
      </w:r>
      <w:r w:rsidRPr="00622993">
        <w:t>Sandy Pitcher was appointed as a Secretary-designate of the Department of Families, Fairness and Housing on 14 December 2020 before the establishment of the department on 1 February 2021.</w:t>
      </w:r>
    </w:p>
    <w:p w14:paraId="661022C0" w14:textId="77777777" w:rsidR="005F4A7E" w:rsidRDefault="005F4A7E" w:rsidP="00130D1C">
      <w:pPr>
        <w:pStyle w:val="ARfinbodyaftertable"/>
      </w:pPr>
      <w:r>
        <w:t>The persons who acted in the positions of ministers and accountable officers in the department were as follows:</w:t>
      </w:r>
    </w:p>
    <w:tbl>
      <w:tblPr>
        <w:tblStyle w:val="TableGrid"/>
        <w:tblW w:w="9639" w:type="dxa"/>
        <w:tblLayout w:type="fixed"/>
        <w:tblLook w:val="06A0" w:firstRow="1" w:lastRow="0" w:firstColumn="1" w:lastColumn="0" w:noHBand="1" w:noVBand="1"/>
      </w:tblPr>
      <w:tblGrid>
        <w:gridCol w:w="3118"/>
        <w:gridCol w:w="2835"/>
        <w:gridCol w:w="3686"/>
      </w:tblGrid>
      <w:tr w:rsidR="005F4A7E" w14:paraId="15FBD2D1"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3118" w:type="dxa"/>
            <w:tcBorders>
              <w:bottom w:val="single" w:sz="4" w:space="0" w:color="auto"/>
            </w:tcBorders>
            <w:hideMark/>
          </w:tcPr>
          <w:p w14:paraId="141210F8" w14:textId="77777777" w:rsidR="005F4A7E" w:rsidRDefault="005F4A7E">
            <w:pPr>
              <w:pStyle w:val="ARfintablecolhead"/>
              <w:rPr>
                <w:lang w:eastAsia="en-US"/>
              </w:rPr>
            </w:pPr>
            <w:bookmarkStart w:id="1065" w:name="_Hlk81403712"/>
            <w:r>
              <w:rPr>
                <w:lang w:eastAsia="en-US"/>
              </w:rPr>
              <w:t>Relevant office</w:t>
            </w:r>
          </w:p>
        </w:tc>
        <w:tc>
          <w:tcPr>
            <w:tcW w:w="2835" w:type="dxa"/>
            <w:tcBorders>
              <w:bottom w:val="single" w:sz="4" w:space="0" w:color="auto"/>
            </w:tcBorders>
            <w:hideMark/>
          </w:tcPr>
          <w:p w14:paraId="1421BF2E" w14:textId="77777777" w:rsidR="005F4A7E" w:rsidRDefault="005F4A7E">
            <w:pPr>
              <w:pStyle w:val="ARfintablecolhead"/>
              <w:rPr>
                <w:lang w:eastAsia="en-US"/>
              </w:rPr>
            </w:pPr>
            <w:r>
              <w:rPr>
                <w:lang w:eastAsia="en-US"/>
              </w:rPr>
              <w:t>Acting minister or accountable officer</w:t>
            </w:r>
          </w:p>
        </w:tc>
        <w:tc>
          <w:tcPr>
            <w:tcW w:w="3686" w:type="dxa"/>
            <w:tcBorders>
              <w:bottom w:val="single" w:sz="4" w:space="0" w:color="auto"/>
            </w:tcBorders>
            <w:hideMark/>
          </w:tcPr>
          <w:p w14:paraId="6DB00D51" w14:textId="77777777" w:rsidR="005F4A7E" w:rsidRDefault="005F4A7E">
            <w:pPr>
              <w:pStyle w:val="ARfintablecolhead"/>
              <w:rPr>
                <w:lang w:eastAsia="en-US"/>
              </w:rPr>
            </w:pPr>
            <w:r>
              <w:rPr>
                <w:lang w:eastAsia="en-US"/>
              </w:rPr>
              <w:t>Period</w:t>
            </w:r>
          </w:p>
        </w:tc>
      </w:tr>
      <w:tr w:rsidR="005F4A7E" w14:paraId="010FBF8C" w14:textId="77777777" w:rsidTr="00130D1C">
        <w:tc>
          <w:tcPr>
            <w:tcW w:w="3118" w:type="dxa"/>
            <w:tcBorders>
              <w:top w:val="single" w:sz="4" w:space="0" w:color="auto"/>
              <w:bottom w:val="single" w:sz="4" w:space="0" w:color="A6A6A6"/>
            </w:tcBorders>
            <w:hideMark/>
          </w:tcPr>
          <w:p w14:paraId="78D34F19" w14:textId="77777777" w:rsidR="005F4A7E" w:rsidRDefault="005F4A7E" w:rsidP="00130D1C">
            <w:pPr>
              <w:pStyle w:val="ARfintablebody"/>
              <w:spacing w:before="30"/>
            </w:pPr>
            <w:r>
              <w:t>Minister for Ambulance Services</w:t>
            </w:r>
          </w:p>
        </w:tc>
        <w:tc>
          <w:tcPr>
            <w:tcW w:w="2835" w:type="dxa"/>
            <w:tcBorders>
              <w:top w:val="single" w:sz="4" w:space="0" w:color="auto"/>
              <w:bottom w:val="single" w:sz="4" w:space="0" w:color="A6A6A6"/>
            </w:tcBorders>
            <w:hideMark/>
          </w:tcPr>
          <w:p w14:paraId="5D8E749B" w14:textId="77777777" w:rsidR="005F4A7E" w:rsidRDefault="005F4A7E" w:rsidP="00130D1C">
            <w:pPr>
              <w:pStyle w:val="ARfintablebody"/>
              <w:spacing w:before="30"/>
            </w:pPr>
            <w:r>
              <w:t>The Hon. James Merlino MP</w:t>
            </w:r>
          </w:p>
        </w:tc>
        <w:tc>
          <w:tcPr>
            <w:tcW w:w="3686" w:type="dxa"/>
            <w:tcBorders>
              <w:top w:val="single" w:sz="4" w:space="0" w:color="auto"/>
              <w:bottom w:val="single" w:sz="4" w:space="0" w:color="A6A6A6"/>
            </w:tcBorders>
            <w:hideMark/>
          </w:tcPr>
          <w:p w14:paraId="3D1C4855" w14:textId="77777777" w:rsidR="005F4A7E" w:rsidRDefault="005F4A7E" w:rsidP="00130D1C">
            <w:pPr>
              <w:pStyle w:val="ARfintablebody"/>
              <w:spacing w:before="30"/>
              <w:rPr>
                <w:lang w:eastAsia="en-US"/>
              </w:rPr>
            </w:pPr>
            <w:r>
              <w:t>18 January 2021 to 30 January 2021</w:t>
            </w:r>
          </w:p>
        </w:tc>
      </w:tr>
      <w:tr w:rsidR="005F4A7E" w14:paraId="118C1831" w14:textId="77777777" w:rsidTr="00130D1C">
        <w:tc>
          <w:tcPr>
            <w:tcW w:w="3118" w:type="dxa"/>
            <w:tcBorders>
              <w:top w:val="single" w:sz="4" w:space="0" w:color="A6A6A6"/>
              <w:bottom w:val="single" w:sz="4" w:space="0" w:color="A6A6A6"/>
            </w:tcBorders>
            <w:hideMark/>
          </w:tcPr>
          <w:p w14:paraId="54340918" w14:textId="77777777" w:rsidR="005F4A7E" w:rsidRDefault="005F4A7E" w:rsidP="00130D1C">
            <w:pPr>
              <w:pStyle w:val="ARfintablebody"/>
              <w:spacing w:before="30"/>
            </w:pPr>
            <w:r>
              <w:t>Minister for Health</w:t>
            </w:r>
          </w:p>
        </w:tc>
        <w:tc>
          <w:tcPr>
            <w:tcW w:w="2835" w:type="dxa"/>
            <w:tcBorders>
              <w:top w:val="single" w:sz="4" w:space="0" w:color="A6A6A6"/>
              <w:bottom w:val="single" w:sz="4" w:space="0" w:color="A6A6A6"/>
            </w:tcBorders>
            <w:hideMark/>
          </w:tcPr>
          <w:p w14:paraId="6B4DB024" w14:textId="77777777" w:rsidR="005F4A7E" w:rsidRDefault="005F4A7E" w:rsidP="00130D1C">
            <w:pPr>
              <w:pStyle w:val="ARfintablebody"/>
              <w:spacing w:before="30"/>
            </w:pPr>
            <w:r>
              <w:t>The Hon. James Merlino MP</w:t>
            </w:r>
          </w:p>
        </w:tc>
        <w:tc>
          <w:tcPr>
            <w:tcW w:w="3686" w:type="dxa"/>
            <w:tcBorders>
              <w:top w:val="single" w:sz="4" w:space="0" w:color="A6A6A6"/>
              <w:bottom w:val="single" w:sz="4" w:space="0" w:color="A6A6A6"/>
            </w:tcBorders>
            <w:hideMark/>
          </w:tcPr>
          <w:p w14:paraId="1E6B32E4" w14:textId="77777777" w:rsidR="005F4A7E" w:rsidRDefault="005F4A7E" w:rsidP="00130D1C">
            <w:pPr>
              <w:pStyle w:val="ARfintablebody"/>
              <w:spacing w:before="30"/>
            </w:pPr>
            <w:r>
              <w:t>18 January 2021 to 30 January 2021</w:t>
            </w:r>
          </w:p>
        </w:tc>
      </w:tr>
      <w:tr w:rsidR="005F4A7E" w14:paraId="48F0D29B" w14:textId="77777777" w:rsidTr="00130D1C">
        <w:tc>
          <w:tcPr>
            <w:tcW w:w="3118" w:type="dxa"/>
            <w:tcBorders>
              <w:top w:val="single" w:sz="4" w:space="0" w:color="A6A6A6"/>
              <w:bottom w:val="single" w:sz="4" w:space="0" w:color="A6A6A6"/>
            </w:tcBorders>
            <w:hideMark/>
          </w:tcPr>
          <w:p w14:paraId="4688CE97" w14:textId="77777777" w:rsidR="005F4A7E" w:rsidRDefault="005F4A7E" w:rsidP="00130D1C">
            <w:pPr>
              <w:pStyle w:val="ARfintablebody"/>
              <w:spacing w:before="30"/>
            </w:pPr>
            <w:r>
              <w:t>Minister for Mental Health</w:t>
            </w:r>
          </w:p>
        </w:tc>
        <w:tc>
          <w:tcPr>
            <w:tcW w:w="2835" w:type="dxa"/>
            <w:tcBorders>
              <w:top w:val="single" w:sz="4" w:space="0" w:color="A6A6A6"/>
              <w:bottom w:val="single" w:sz="4" w:space="0" w:color="A6A6A6"/>
            </w:tcBorders>
            <w:hideMark/>
          </w:tcPr>
          <w:p w14:paraId="096A58F1" w14:textId="77777777" w:rsidR="005F4A7E" w:rsidRDefault="005F4A7E" w:rsidP="00130D1C">
            <w:pPr>
              <w:pStyle w:val="ARfintablebody"/>
              <w:spacing w:before="30"/>
            </w:pPr>
            <w:r>
              <w:t>The Hon. Martin Foley MP</w:t>
            </w:r>
          </w:p>
        </w:tc>
        <w:tc>
          <w:tcPr>
            <w:tcW w:w="3686" w:type="dxa"/>
            <w:tcBorders>
              <w:top w:val="single" w:sz="4" w:space="0" w:color="A6A6A6"/>
              <w:bottom w:val="single" w:sz="4" w:space="0" w:color="A6A6A6"/>
            </w:tcBorders>
            <w:hideMark/>
          </w:tcPr>
          <w:p w14:paraId="4FE2C01C" w14:textId="77777777" w:rsidR="005F4A7E" w:rsidRDefault="005F4A7E" w:rsidP="00130D1C">
            <w:pPr>
              <w:pStyle w:val="ARfintablebody"/>
              <w:spacing w:before="30"/>
              <w:rPr>
                <w:highlight w:val="yellow"/>
              </w:rPr>
            </w:pPr>
            <w:r>
              <w:t>27 December 2020 to 10 January 2021</w:t>
            </w:r>
          </w:p>
        </w:tc>
      </w:tr>
      <w:tr w:rsidR="005F4A7E" w14:paraId="202A1A9F" w14:textId="77777777" w:rsidTr="00130D1C">
        <w:tc>
          <w:tcPr>
            <w:tcW w:w="3118" w:type="dxa"/>
            <w:vMerge w:val="restart"/>
            <w:tcBorders>
              <w:top w:val="single" w:sz="4" w:space="0" w:color="A6A6A6"/>
            </w:tcBorders>
          </w:tcPr>
          <w:p w14:paraId="59CC5561" w14:textId="77777777" w:rsidR="005F4A7E" w:rsidRDefault="005F4A7E" w:rsidP="00130D1C">
            <w:pPr>
              <w:pStyle w:val="ARfintablebody"/>
              <w:spacing w:before="30"/>
            </w:pPr>
            <w:r>
              <w:t>Minister for Housing</w:t>
            </w:r>
          </w:p>
        </w:tc>
        <w:tc>
          <w:tcPr>
            <w:tcW w:w="2835" w:type="dxa"/>
            <w:tcBorders>
              <w:top w:val="single" w:sz="4" w:space="0" w:color="A6A6A6"/>
              <w:bottom w:val="single" w:sz="4" w:space="0" w:color="A6A6A6"/>
            </w:tcBorders>
          </w:tcPr>
          <w:p w14:paraId="0EF4589C" w14:textId="77777777" w:rsidR="005F4A7E" w:rsidRDefault="005F4A7E" w:rsidP="00130D1C">
            <w:pPr>
              <w:pStyle w:val="ARfintablebody"/>
              <w:spacing w:before="30"/>
            </w:pPr>
            <w:r>
              <w:t>The Hon. Gabrielle Williams MP</w:t>
            </w:r>
          </w:p>
        </w:tc>
        <w:tc>
          <w:tcPr>
            <w:tcW w:w="3686" w:type="dxa"/>
            <w:tcBorders>
              <w:top w:val="single" w:sz="4" w:space="0" w:color="A6A6A6"/>
              <w:bottom w:val="single" w:sz="4" w:space="0" w:color="A6A6A6"/>
            </w:tcBorders>
          </w:tcPr>
          <w:p w14:paraId="4EF82180" w14:textId="77777777" w:rsidR="005F4A7E" w:rsidRDefault="005F4A7E" w:rsidP="00130D1C">
            <w:pPr>
              <w:pStyle w:val="ARfintablebody"/>
              <w:spacing w:before="30"/>
            </w:pPr>
            <w:r>
              <w:t>1 January 2021 to 8 January 2021</w:t>
            </w:r>
          </w:p>
        </w:tc>
      </w:tr>
      <w:tr w:rsidR="005F4A7E" w14:paraId="23979886" w14:textId="77777777" w:rsidTr="00130D1C">
        <w:tc>
          <w:tcPr>
            <w:tcW w:w="3118" w:type="dxa"/>
            <w:vMerge/>
            <w:tcBorders>
              <w:bottom w:val="single" w:sz="4" w:space="0" w:color="A6A6A6"/>
            </w:tcBorders>
            <w:hideMark/>
          </w:tcPr>
          <w:p w14:paraId="0A4C078D" w14:textId="77777777" w:rsidR="005F4A7E" w:rsidRDefault="005F4A7E" w:rsidP="00130D1C">
            <w:pPr>
              <w:pStyle w:val="ARfintablebody"/>
              <w:spacing w:before="30"/>
            </w:pPr>
          </w:p>
        </w:tc>
        <w:tc>
          <w:tcPr>
            <w:tcW w:w="2835" w:type="dxa"/>
            <w:tcBorders>
              <w:top w:val="single" w:sz="4" w:space="0" w:color="A6A6A6"/>
              <w:bottom w:val="single" w:sz="4" w:space="0" w:color="A6A6A6"/>
            </w:tcBorders>
            <w:hideMark/>
          </w:tcPr>
          <w:p w14:paraId="21CA7222" w14:textId="77777777" w:rsidR="005F4A7E" w:rsidRPr="00F27B8A" w:rsidRDefault="005F4A7E" w:rsidP="00130D1C">
            <w:pPr>
              <w:pStyle w:val="ARfintablebody"/>
              <w:spacing w:before="30"/>
              <w:rPr>
                <w:lang w:val="fr-FR"/>
              </w:rPr>
            </w:pPr>
            <w:r w:rsidRPr="00F27B8A">
              <w:rPr>
                <w:lang w:val="fr-FR"/>
              </w:rPr>
              <w:t>The Hon. Luke Donnellan MP</w:t>
            </w:r>
          </w:p>
        </w:tc>
        <w:tc>
          <w:tcPr>
            <w:tcW w:w="3686" w:type="dxa"/>
            <w:tcBorders>
              <w:top w:val="single" w:sz="4" w:space="0" w:color="A6A6A6"/>
              <w:bottom w:val="single" w:sz="4" w:space="0" w:color="A6A6A6"/>
            </w:tcBorders>
            <w:hideMark/>
          </w:tcPr>
          <w:p w14:paraId="6E8947E2" w14:textId="77777777" w:rsidR="005F4A7E" w:rsidRDefault="005F4A7E" w:rsidP="00130D1C">
            <w:pPr>
              <w:pStyle w:val="ARfintablebody"/>
              <w:spacing w:before="30"/>
            </w:pPr>
            <w:r>
              <w:t>9 January 2021 to 26 January 2021</w:t>
            </w:r>
          </w:p>
        </w:tc>
      </w:tr>
      <w:tr w:rsidR="005F4A7E" w14:paraId="0B93C6EE" w14:textId="77777777" w:rsidTr="00130D1C">
        <w:tc>
          <w:tcPr>
            <w:tcW w:w="3118" w:type="dxa"/>
            <w:vMerge w:val="restart"/>
            <w:tcBorders>
              <w:top w:val="single" w:sz="4" w:space="0" w:color="A6A6A6"/>
              <w:bottom w:val="single" w:sz="4" w:space="0" w:color="A6A6A6"/>
            </w:tcBorders>
          </w:tcPr>
          <w:p w14:paraId="09C3040E" w14:textId="77777777" w:rsidR="005F4A7E" w:rsidRDefault="005F4A7E" w:rsidP="00130D1C">
            <w:pPr>
              <w:pStyle w:val="ARfintablebody"/>
              <w:keepNext/>
              <w:spacing w:before="30"/>
            </w:pPr>
            <w:r>
              <w:t>Minister for Child Protection</w:t>
            </w:r>
          </w:p>
        </w:tc>
        <w:tc>
          <w:tcPr>
            <w:tcW w:w="2835" w:type="dxa"/>
            <w:tcBorders>
              <w:top w:val="single" w:sz="4" w:space="0" w:color="A6A6A6"/>
              <w:bottom w:val="single" w:sz="4" w:space="0" w:color="A6A6A6"/>
            </w:tcBorders>
          </w:tcPr>
          <w:p w14:paraId="197F497B" w14:textId="77777777" w:rsidR="005F4A7E" w:rsidRDefault="005F4A7E" w:rsidP="00130D1C">
            <w:pPr>
              <w:pStyle w:val="ARfintablebody"/>
              <w:spacing w:before="30"/>
            </w:pPr>
            <w:r>
              <w:t>The Hon. Richard Wynne MP</w:t>
            </w:r>
          </w:p>
        </w:tc>
        <w:tc>
          <w:tcPr>
            <w:tcW w:w="3686" w:type="dxa"/>
            <w:tcBorders>
              <w:top w:val="single" w:sz="4" w:space="0" w:color="A6A6A6"/>
              <w:bottom w:val="single" w:sz="4" w:space="0" w:color="A6A6A6"/>
            </w:tcBorders>
          </w:tcPr>
          <w:p w14:paraId="4332B698" w14:textId="77777777" w:rsidR="005F4A7E" w:rsidRDefault="005F4A7E" w:rsidP="00130D1C">
            <w:pPr>
              <w:pStyle w:val="ARfintablebody"/>
              <w:spacing w:before="30"/>
            </w:pPr>
            <w:r>
              <w:t>19 December 2020 to 31 December 2020</w:t>
            </w:r>
          </w:p>
        </w:tc>
      </w:tr>
      <w:tr w:rsidR="005F4A7E" w14:paraId="0F2AA8B1" w14:textId="77777777" w:rsidTr="00130D1C">
        <w:tc>
          <w:tcPr>
            <w:tcW w:w="3118" w:type="dxa"/>
            <w:vMerge/>
            <w:tcBorders>
              <w:top w:val="single" w:sz="4" w:space="0" w:color="A6A6A6"/>
              <w:bottom w:val="single" w:sz="4" w:space="0" w:color="A6A6A6"/>
            </w:tcBorders>
          </w:tcPr>
          <w:p w14:paraId="3F43468B" w14:textId="77777777" w:rsidR="005F4A7E" w:rsidRDefault="005F4A7E" w:rsidP="00130D1C">
            <w:pPr>
              <w:pStyle w:val="ARfintablebody"/>
              <w:spacing w:before="30"/>
            </w:pPr>
          </w:p>
        </w:tc>
        <w:tc>
          <w:tcPr>
            <w:tcW w:w="2835" w:type="dxa"/>
            <w:tcBorders>
              <w:top w:val="single" w:sz="4" w:space="0" w:color="A6A6A6"/>
              <w:bottom w:val="single" w:sz="4" w:space="0" w:color="A6A6A6"/>
            </w:tcBorders>
          </w:tcPr>
          <w:p w14:paraId="12F6112D" w14:textId="77777777" w:rsidR="005F4A7E" w:rsidRDefault="005F4A7E" w:rsidP="00130D1C">
            <w:pPr>
              <w:pStyle w:val="ARfintablebody"/>
              <w:spacing w:before="30"/>
            </w:pPr>
            <w:r>
              <w:t>The Hon. Gabrielle Williams MP</w:t>
            </w:r>
          </w:p>
        </w:tc>
        <w:tc>
          <w:tcPr>
            <w:tcW w:w="3686" w:type="dxa"/>
            <w:tcBorders>
              <w:top w:val="single" w:sz="4" w:space="0" w:color="A6A6A6"/>
              <w:bottom w:val="single" w:sz="4" w:space="0" w:color="A6A6A6"/>
            </w:tcBorders>
          </w:tcPr>
          <w:p w14:paraId="04FD9430" w14:textId="77777777" w:rsidR="005F4A7E" w:rsidRDefault="005F4A7E" w:rsidP="00130D1C">
            <w:pPr>
              <w:pStyle w:val="ARfintablebody"/>
              <w:spacing w:before="30"/>
            </w:pPr>
            <w:r>
              <w:t>1 January 2021 to 8 January 2021</w:t>
            </w:r>
          </w:p>
        </w:tc>
      </w:tr>
      <w:tr w:rsidR="005F4A7E" w14:paraId="1A819560" w14:textId="77777777" w:rsidTr="00130D1C">
        <w:tc>
          <w:tcPr>
            <w:tcW w:w="3118" w:type="dxa"/>
            <w:vMerge/>
            <w:tcBorders>
              <w:top w:val="single" w:sz="4" w:space="0" w:color="A6A6A6"/>
              <w:bottom w:val="single" w:sz="4" w:space="0" w:color="A6A6A6"/>
            </w:tcBorders>
          </w:tcPr>
          <w:p w14:paraId="72964B11" w14:textId="77777777" w:rsidR="005F4A7E" w:rsidRDefault="005F4A7E" w:rsidP="00130D1C">
            <w:pPr>
              <w:pStyle w:val="ARfintablebody"/>
              <w:spacing w:before="30"/>
            </w:pPr>
          </w:p>
        </w:tc>
        <w:tc>
          <w:tcPr>
            <w:tcW w:w="2835" w:type="dxa"/>
            <w:tcBorders>
              <w:top w:val="single" w:sz="4" w:space="0" w:color="A6A6A6"/>
              <w:bottom w:val="single" w:sz="4" w:space="0" w:color="A6A6A6"/>
            </w:tcBorders>
          </w:tcPr>
          <w:p w14:paraId="0ACAB0EF" w14:textId="77777777" w:rsidR="005F4A7E" w:rsidRDefault="005F4A7E" w:rsidP="00130D1C">
            <w:pPr>
              <w:pStyle w:val="ARfintablebody"/>
              <w:spacing w:before="30"/>
            </w:pPr>
            <w:r>
              <w:t>The Hon. Ros Spence MP</w:t>
            </w:r>
          </w:p>
        </w:tc>
        <w:tc>
          <w:tcPr>
            <w:tcW w:w="3686" w:type="dxa"/>
            <w:tcBorders>
              <w:top w:val="single" w:sz="4" w:space="0" w:color="A6A6A6"/>
              <w:bottom w:val="single" w:sz="4" w:space="0" w:color="A6A6A6"/>
            </w:tcBorders>
          </w:tcPr>
          <w:p w14:paraId="1CF267B7" w14:textId="77777777" w:rsidR="005F4A7E" w:rsidRDefault="005F4A7E" w:rsidP="00130D1C">
            <w:pPr>
              <w:pStyle w:val="ARfintablebody"/>
              <w:spacing w:before="30"/>
            </w:pPr>
            <w:r>
              <w:t>2 April 2021 to 5 April 2021</w:t>
            </w:r>
          </w:p>
        </w:tc>
      </w:tr>
      <w:tr w:rsidR="005F4A7E" w14:paraId="4D744402" w14:textId="77777777" w:rsidTr="00130D1C">
        <w:tc>
          <w:tcPr>
            <w:tcW w:w="3118" w:type="dxa"/>
            <w:vMerge/>
            <w:tcBorders>
              <w:top w:val="single" w:sz="4" w:space="0" w:color="A6A6A6"/>
              <w:bottom w:val="single" w:sz="4" w:space="0" w:color="A6A6A6"/>
            </w:tcBorders>
          </w:tcPr>
          <w:p w14:paraId="784C38B2" w14:textId="77777777" w:rsidR="005F4A7E" w:rsidRDefault="005F4A7E" w:rsidP="00130D1C">
            <w:pPr>
              <w:pStyle w:val="ARfintablebody"/>
              <w:spacing w:before="30"/>
            </w:pPr>
          </w:p>
        </w:tc>
        <w:tc>
          <w:tcPr>
            <w:tcW w:w="2835" w:type="dxa"/>
            <w:tcBorders>
              <w:top w:val="single" w:sz="4" w:space="0" w:color="A6A6A6"/>
              <w:bottom w:val="single" w:sz="4" w:space="0" w:color="A6A6A6"/>
            </w:tcBorders>
          </w:tcPr>
          <w:p w14:paraId="1F28070B" w14:textId="77777777" w:rsidR="005F4A7E" w:rsidRDefault="005F4A7E" w:rsidP="00130D1C">
            <w:pPr>
              <w:pStyle w:val="ARfintablebody"/>
              <w:spacing w:before="30"/>
            </w:pPr>
            <w:r>
              <w:t>The Hon. Gabrielle Williams MP</w:t>
            </w:r>
          </w:p>
        </w:tc>
        <w:tc>
          <w:tcPr>
            <w:tcW w:w="3686" w:type="dxa"/>
            <w:tcBorders>
              <w:top w:val="single" w:sz="4" w:space="0" w:color="A6A6A6"/>
              <w:bottom w:val="single" w:sz="4" w:space="0" w:color="A6A6A6"/>
            </w:tcBorders>
          </w:tcPr>
          <w:p w14:paraId="5DA2E691" w14:textId="77777777" w:rsidR="005F4A7E" w:rsidRDefault="005F4A7E" w:rsidP="00130D1C">
            <w:pPr>
              <w:pStyle w:val="ARfintablebody"/>
              <w:spacing w:before="30"/>
            </w:pPr>
            <w:r>
              <w:t>6 April 2021 to 7 April 2021</w:t>
            </w:r>
          </w:p>
        </w:tc>
      </w:tr>
      <w:tr w:rsidR="005F4A7E" w14:paraId="1B5FB4CB" w14:textId="77777777" w:rsidTr="00130D1C">
        <w:tc>
          <w:tcPr>
            <w:tcW w:w="3118" w:type="dxa"/>
            <w:vMerge/>
            <w:tcBorders>
              <w:top w:val="single" w:sz="4" w:space="0" w:color="A6A6A6"/>
              <w:bottom w:val="single" w:sz="4" w:space="0" w:color="A6A6A6"/>
            </w:tcBorders>
          </w:tcPr>
          <w:p w14:paraId="0061D9D2" w14:textId="77777777" w:rsidR="005F4A7E" w:rsidRDefault="005F4A7E" w:rsidP="00130D1C">
            <w:pPr>
              <w:pStyle w:val="ARfintablebody"/>
              <w:spacing w:before="30"/>
            </w:pPr>
          </w:p>
        </w:tc>
        <w:tc>
          <w:tcPr>
            <w:tcW w:w="2835" w:type="dxa"/>
            <w:tcBorders>
              <w:top w:val="single" w:sz="4" w:space="0" w:color="A6A6A6"/>
              <w:bottom w:val="single" w:sz="4" w:space="0" w:color="A6A6A6"/>
            </w:tcBorders>
          </w:tcPr>
          <w:p w14:paraId="44EDFFA4" w14:textId="77777777" w:rsidR="005F4A7E" w:rsidRDefault="005F4A7E" w:rsidP="00130D1C">
            <w:pPr>
              <w:pStyle w:val="ARfintablebody"/>
              <w:spacing w:before="30"/>
            </w:pPr>
            <w:r>
              <w:t>The Hon. Gabrielle Williams MP</w:t>
            </w:r>
          </w:p>
        </w:tc>
        <w:tc>
          <w:tcPr>
            <w:tcW w:w="3686" w:type="dxa"/>
            <w:tcBorders>
              <w:top w:val="single" w:sz="4" w:space="0" w:color="A6A6A6"/>
              <w:bottom w:val="single" w:sz="4" w:space="0" w:color="A6A6A6"/>
            </w:tcBorders>
          </w:tcPr>
          <w:p w14:paraId="797512D0" w14:textId="77777777" w:rsidR="005F4A7E" w:rsidRDefault="005F4A7E" w:rsidP="00130D1C">
            <w:pPr>
              <w:pStyle w:val="ARfintablebody"/>
              <w:spacing w:before="30"/>
            </w:pPr>
            <w:r>
              <w:t>10 April 2021 to 14 April 2021</w:t>
            </w:r>
          </w:p>
        </w:tc>
      </w:tr>
      <w:tr w:rsidR="005F4A7E" w14:paraId="26874053" w14:textId="77777777" w:rsidTr="00130D1C">
        <w:tc>
          <w:tcPr>
            <w:tcW w:w="3118" w:type="dxa"/>
            <w:vMerge/>
            <w:tcBorders>
              <w:top w:val="single" w:sz="4" w:space="0" w:color="A6A6A6"/>
              <w:bottom w:val="single" w:sz="4" w:space="0" w:color="A6A6A6"/>
            </w:tcBorders>
            <w:hideMark/>
          </w:tcPr>
          <w:p w14:paraId="41A793B5" w14:textId="77777777" w:rsidR="005F4A7E" w:rsidRDefault="005F4A7E" w:rsidP="00130D1C">
            <w:pPr>
              <w:pStyle w:val="ARfintablebody"/>
              <w:spacing w:before="30"/>
            </w:pPr>
          </w:p>
        </w:tc>
        <w:tc>
          <w:tcPr>
            <w:tcW w:w="2835" w:type="dxa"/>
            <w:tcBorders>
              <w:top w:val="single" w:sz="4" w:space="0" w:color="A6A6A6"/>
              <w:bottom w:val="single" w:sz="4" w:space="0" w:color="A6A6A6"/>
            </w:tcBorders>
            <w:hideMark/>
          </w:tcPr>
          <w:p w14:paraId="54DA56ED" w14:textId="77777777" w:rsidR="005F4A7E" w:rsidRDefault="005F4A7E" w:rsidP="00130D1C">
            <w:pPr>
              <w:pStyle w:val="ARfintablebody"/>
              <w:spacing w:before="30"/>
            </w:pPr>
            <w:r>
              <w:t>The Hon. Gabrielle Williams MP</w:t>
            </w:r>
          </w:p>
        </w:tc>
        <w:tc>
          <w:tcPr>
            <w:tcW w:w="3686" w:type="dxa"/>
            <w:tcBorders>
              <w:top w:val="single" w:sz="4" w:space="0" w:color="A6A6A6"/>
              <w:bottom w:val="single" w:sz="4" w:space="0" w:color="A6A6A6"/>
            </w:tcBorders>
            <w:hideMark/>
          </w:tcPr>
          <w:p w14:paraId="5745A993" w14:textId="77777777" w:rsidR="005F4A7E" w:rsidRDefault="005F4A7E" w:rsidP="00130D1C">
            <w:pPr>
              <w:pStyle w:val="ARfintablebody"/>
              <w:spacing w:before="30"/>
            </w:pPr>
            <w:r>
              <w:t>26 June 2021 to 30 June 2021</w:t>
            </w:r>
          </w:p>
        </w:tc>
      </w:tr>
      <w:tr w:rsidR="005F4A7E" w14:paraId="2D25232A" w14:textId="77777777" w:rsidTr="00130D1C">
        <w:tc>
          <w:tcPr>
            <w:tcW w:w="3118" w:type="dxa"/>
            <w:vMerge w:val="restart"/>
            <w:tcBorders>
              <w:top w:val="single" w:sz="4" w:space="0" w:color="A6A6A6"/>
              <w:bottom w:val="single" w:sz="4" w:space="0" w:color="A6A6A6"/>
            </w:tcBorders>
          </w:tcPr>
          <w:p w14:paraId="2DBB746A" w14:textId="77777777" w:rsidR="005F4A7E" w:rsidRDefault="005F4A7E" w:rsidP="00130D1C">
            <w:pPr>
              <w:pStyle w:val="ARfintablebody"/>
              <w:spacing w:before="30"/>
            </w:pPr>
            <w:r>
              <w:lastRenderedPageBreak/>
              <w:t>Minister for Disability, Ageing and Carers</w:t>
            </w:r>
          </w:p>
        </w:tc>
        <w:tc>
          <w:tcPr>
            <w:tcW w:w="2835" w:type="dxa"/>
            <w:tcBorders>
              <w:top w:val="single" w:sz="4" w:space="0" w:color="A6A6A6"/>
              <w:bottom w:val="single" w:sz="4" w:space="0" w:color="A6A6A6"/>
            </w:tcBorders>
          </w:tcPr>
          <w:p w14:paraId="0B6DCC32" w14:textId="77777777" w:rsidR="005F4A7E" w:rsidRDefault="005F4A7E" w:rsidP="00130D1C">
            <w:pPr>
              <w:pStyle w:val="ARfintablebody"/>
              <w:spacing w:before="30"/>
            </w:pPr>
            <w:r>
              <w:t>The Hon. Richard Wynne MP</w:t>
            </w:r>
          </w:p>
        </w:tc>
        <w:tc>
          <w:tcPr>
            <w:tcW w:w="3686" w:type="dxa"/>
            <w:tcBorders>
              <w:top w:val="single" w:sz="4" w:space="0" w:color="A6A6A6"/>
              <w:bottom w:val="single" w:sz="4" w:space="0" w:color="A6A6A6"/>
            </w:tcBorders>
          </w:tcPr>
          <w:p w14:paraId="0E3F4ACC" w14:textId="77777777" w:rsidR="005F4A7E" w:rsidRDefault="005F4A7E" w:rsidP="00130D1C">
            <w:pPr>
              <w:pStyle w:val="ARfintablebody"/>
              <w:spacing w:before="30"/>
            </w:pPr>
            <w:r>
              <w:t>19 December 2020 to 31 December 2020</w:t>
            </w:r>
          </w:p>
        </w:tc>
      </w:tr>
      <w:tr w:rsidR="005F4A7E" w14:paraId="35455764" w14:textId="77777777" w:rsidTr="00130D1C">
        <w:tc>
          <w:tcPr>
            <w:tcW w:w="3118" w:type="dxa"/>
            <w:vMerge/>
            <w:tcBorders>
              <w:top w:val="single" w:sz="4" w:space="0" w:color="A6A6A6"/>
              <w:bottom w:val="single" w:sz="4" w:space="0" w:color="A6A6A6"/>
            </w:tcBorders>
          </w:tcPr>
          <w:p w14:paraId="04C2DECC" w14:textId="77777777" w:rsidR="005F4A7E" w:rsidRDefault="005F4A7E" w:rsidP="00130D1C">
            <w:pPr>
              <w:pStyle w:val="ARfintablebody"/>
              <w:spacing w:before="30"/>
            </w:pPr>
          </w:p>
        </w:tc>
        <w:tc>
          <w:tcPr>
            <w:tcW w:w="2835" w:type="dxa"/>
            <w:tcBorders>
              <w:top w:val="single" w:sz="4" w:space="0" w:color="A6A6A6"/>
              <w:bottom w:val="single" w:sz="4" w:space="0" w:color="A6A6A6"/>
            </w:tcBorders>
          </w:tcPr>
          <w:p w14:paraId="42E9F819" w14:textId="77777777" w:rsidR="005F4A7E" w:rsidRDefault="005F4A7E" w:rsidP="00130D1C">
            <w:pPr>
              <w:pStyle w:val="ARfintablebody"/>
              <w:spacing w:before="30"/>
            </w:pPr>
            <w:r>
              <w:t>The Hon. Gabrielle Williams MP</w:t>
            </w:r>
          </w:p>
        </w:tc>
        <w:tc>
          <w:tcPr>
            <w:tcW w:w="3686" w:type="dxa"/>
            <w:tcBorders>
              <w:top w:val="single" w:sz="4" w:space="0" w:color="A6A6A6"/>
              <w:bottom w:val="single" w:sz="4" w:space="0" w:color="A6A6A6"/>
            </w:tcBorders>
          </w:tcPr>
          <w:p w14:paraId="24DFB592" w14:textId="77777777" w:rsidR="005F4A7E" w:rsidRDefault="005F4A7E" w:rsidP="00130D1C">
            <w:pPr>
              <w:pStyle w:val="ARfintablebody"/>
              <w:spacing w:before="30"/>
            </w:pPr>
            <w:r>
              <w:t>1 January 2021 to 8 January 2021</w:t>
            </w:r>
          </w:p>
        </w:tc>
      </w:tr>
      <w:tr w:rsidR="005F4A7E" w14:paraId="7B8C43C3" w14:textId="77777777" w:rsidTr="00130D1C">
        <w:tc>
          <w:tcPr>
            <w:tcW w:w="3118" w:type="dxa"/>
            <w:vMerge/>
            <w:tcBorders>
              <w:top w:val="single" w:sz="4" w:space="0" w:color="A6A6A6"/>
              <w:bottom w:val="single" w:sz="4" w:space="0" w:color="A6A6A6"/>
            </w:tcBorders>
          </w:tcPr>
          <w:p w14:paraId="40365764" w14:textId="77777777" w:rsidR="005F4A7E" w:rsidRDefault="005F4A7E" w:rsidP="00130D1C">
            <w:pPr>
              <w:pStyle w:val="ARfintablebody"/>
              <w:spacing w:before="30"/>
            </w:pPr>
          </w:p>
        </w:tc>
        <w:tc>
          <w:tcPr>
            <w:tcW w:w="2835" w:type="dxa"/>
            <w:tcBorders>
              <w:top w:val="single" w:sz="4" w:space="0" w:color="A6A6A6"/>
              <w:bottom w:val="single" w:sz="4" w:space="0" w:color="A6A6A6"/>
            </w:tcBorders>
          </w:tcPr>
          <w:p w14:paraId="7FC37CC7" w14:textId="77777777" w:rsidR="005F4A7E" w:rsidRDefault="005F4A7E" w:rsidP="00130D1C">
            <w:pPr>
              <w:pStyle w:val="ARfintablebody"/>
              <w:spacing w:before="30"/>
            </w:pPr>
            <w:r>
              <w:t>The Hon. Martin Foley MP</w:t>
            </w:r>
          </w:p>
        </w:tc>
        <w:tc>
          <w:tcPr>
            <w:tcW w:w="3686" w:type="dxa"/>
            <w:tcBorders>
              <w:top w:val="single" w:sz="4" w:space="0" w:color="A6A6A6"/>
              <w:bottom w:val="single" w:sz="4" w:space="0" w:color="A6A6A6"/>
            </w:tcBorders>
          </w:tcPr>
          <w:p w14:paraId="0996DC40" w14:textId="77777777" w:rsidR="005F4A7E" w:rsidRDefault="005F4A7E" w:rsidP="00130D1C">
            <w:pPr>
              <w:pStyle w:val="ARfintablebody"/>
              <w:spacing w:before="30"/>
            </w:pPr>
            <w:r>
              <w:t>2 April 2021 to 5 April 2021</w:t>
            </w:r>
          </w:p>
        </w:tc>
      </w:tr>
      <w:tr w:rsidR="005F4A7E" w14:paraId="0D6434C2" w14:textId="77777777" w:rsidTr="00130D1C">
        <w:tc>
          <w:tcPr>
            <w:tcW w:w="3118" w:type="dxa"/>
            <w:vMerge/>
            <w:tcBorders>
              <w:top w:val="single" w:sz="4" w:space="0" w:color="A6A6A6"/>
              <w:bottom w:val="single" w:sz="4" w:space="0" w:color="A6A6A6"/>
            </w:tcBorders>
          </w:tcPr>
          <w:p w14:paraId="4F1078BD" w14:textId="77777777" w:rsidR="005F4A7E" w:rsidRDefault="005F4A7E" w:rsidP="00130D1C">
            <w:pPr>
              <w:pStyle w:val="ARfintablebody"/>
              <w:spacing w:before="30"/>
            </w:pPr>
          </w:p>
        </w:tc>
        <w:tc>
          <w:tcPr>
            <w:tcW w:w="2835" w:type="dxa"/>
            <w:tcBorders>
              <w:top w:val="single" w:sz="4" w:space="0" w:color="A6A6A6"/>
              <w:bottom w:val="single" w:sz="4" w:space="0" w:color="A6A6A6"/>
            </w:tcBorders>
          </w:tcPr>
          <w:p w14:paraId="45F4CFE3" w14:textId="77777777" w:rsidR="005F4A7E" w:rsidRDefault="005F4A7E" w:rsidP="00130D1C">
            <w:pPr>
              <w:pStyle w:val="ARfintablebody"/>
              <w:spacing w:before="30"/>
            </w:pPr>
            <w:r>
              <w:t>The Hon. Gabrielle Williams MP</w:t>
            </w:r>
          </w:p>
        </w:tc>
        <w:tc>
          <w:tcPr>
            <w:tcW w:w="3686" w:type="dxa"/>
            <w:tcBorders>
              <w:top w:val="single" w:sz="4" w:space="0" w:color="A6A6A6"/>
              <w:bottom w:val="single" w:sz="4" w:space="0" w:color="A6A6A6"/>
            </w:tcBorders>
          </w:tcPr>
          <w:p w14:paraId="5BD82083" w14:textId="77777777" w:rsidR="005F4A7E" w:rsidRDefault="005F4A7E" w:rsidP="00130D1C">
            <w:pPr>
              <w:pStyle w:val="ARfintablebody"/>
              <w:spacing w:before="30"/>
            </w:pPr>
            <w:r>
              <w:t>6 April 2021 to 7 April 2021</w:t>
            </w:r>
          </w:p>
        </w:tc>
      </w:tr>
      <w:tr w:rsidR="005F4A7E" w14:paraId="0B345060" w14:textId="77777777" w:rsidTr="00130D1C">
        <w:tc>
          <w:tcPr>
            <w:tcW w:w="3118" w:type="dxa"/>
            <w:vMerge/>
            <w:tcBorders>
              <w:top w:val="single" w:sz="4" w:space="0" w:color="A6A6A6"/>
              <w:bottom w:val="single" w:sz="4" w:space="0" w:color="A6A6A6"/>
            </w:tcBorders>
          </w:tcPr>
          <w:p w14:paraId="5848B0EB" w14:textId="77777777" w:rsidR="005F4A7E" w:rsidRDefault="005F4A7E" w:rsidP="00130D1C">
            <w:pPr>
              <w:pStyle w:val="ARfintablebody"/>
              <w:spacing w:before="30"/>
            </w:pPr>
          </w:p>
        </w:tc>
        <w:tc>
          <w:tcPr>
            <w:tcW w:w="2835" w:type="dxa"/>
            <w:tcBorders>
              <w:top w:val="single" w:sz="4" w:space="0" w:color="A6A6A6"/>
              <w:bottom w:val="single" w:sz="4" w:space="0" w:color="A6A6A6"/>
            </w:tcBorders>
          </w:tcPr>
          <w:p w14:paraId="77B81B48" w14:textId="77777777" w:rsidR="005F4A7E" w:rsidRDefault="005F4A7E" w:rsidP="00130D1C">
            <w:pPr>
              <w:pStyle w:val="ARfintablebody"/>
              <w:spacing w:before="30"/>
            </w:pPr>
            <w:r>
              <w:t>The Hon. Gabrielle Williams MP</w:t>
            </w:r>
          </w:p>
        </w:tc>
        <w:tc>
          <w:tcPr>
            <w:tcW w:w="3686" w:type="dxa"/>
            <w:tcBorders>
              <w:top w:val="single" w:sz="4" w:space="0" w:color="A6A6A6"/>
              <w:bottom w:val="single" w:sz="4" w:space="0" w:color="A6A6A6"/>
            </w:tcBorders>
          </w:tcPr>
          <w:p w14:paraId="6CFB9948" w14:textId="77777777" w:rsidR="005F4A7E" w:rsidRDefault="005F4A7E" w:rsidP="00130D1C">
            <w:pPr>
              <w:pStyle w:val="ARfintablebody"/>
              <w:spacing w:before="30"/>
            </w:pPr>
            <w:r>
              <w:t>10 April 2021 to 14 April 2021</w:t>
            </w:r>
          </w:p>
        </w:tc>
      </w:tr>
      <w:tr w:rsidR="005F4A7E" w14:paraId="679DFAF3" w14:textId="77777777" w:rsidTr="00130D1C">
        <w:tc>
          <w:tcPr>
            <w:tcW w:w="3118" w:type="dxa"/>
            <w:vMerge/>
            <w:tcBorders>
              <w:top w:val="single" w:sz="4" w:space="0" w:color="A6A6A6"/>
              <w:bottom w:val="single" w:sz="4" w:space="0" w:color="A6A6A6"/>
            </w:tcBorders>
            <w:hideMark/>
          </w:tcPr>
          <w:p w14:paraId="70FC3808" w14:textId="77777777" w:rsidR="005F4A7E" w:rsidRDefault="005F4A7E" w:rsidP="00130D1C">
            <w:pPr>
              <w:pStyle w:val="ARfintablebody"/>
              <w:spacing w:before="30"/>
            </w:pPr>
          </w:p>
        </w:tc>
        <w:tc>
          <w:tcPr>
            <w:tcW w:w="2835" w:type="dxa"/>
            <w:tcBorders>
              <w:top w:val="single" w:sz="4" w:space="0" w:color="A6A6A6"/>
              <w:bottom w:val="single" w:sz="4" w:space="0" w:color="A6A6A6"/>
            </w:tcBorders>
            <w:hideMark/>
          </w:tcPr>
          <w:p w14:paraId="16FE7DD9" w14:textId="77777777" w:rsidR="005F4A7E" w:rsidRDefault="005F4A7E" w:rsidP="00130D1C">
            <w:pPr>
              <w:pStyle w:val="ARfintablebody"/>
              <w:spacing w:before="30"/>
            </w:pPr>
            <w:r>
              <w:t>The Hon. Gabrielle Williams MP</w:t>
            </w:r>
          </w:p>
        </w:tc>
        <w:tc>
          <w:tcPr>
            <w:tcW w:w="3686" w:type="dxa"/>
            <w:tcBorders>
              <w:top w:val="single" w:sz="4" w:space="0" w:color="A6A6A6"/>
              <w:bottom w:val="single" w:sz="4" w:space="0" w:color="A6A6A6"/>
            </w:tcBorders>
            <w:hideMark/>
          </w:tcPr>
          <w:p w14:paraId="3C2EB9E3" w14:textId="77777777" w:rsidR="005F4A7E" w:rsidRDefault="005F4A7E" w:rsidP="00130D1C">
            <w:pPr>
              <w:pStyle w:val="ARfintablebody"/>
              <w:spacing w:before="30"/>
              <w:rPr>
                <w:highlight w:val="yellow"/>
              </w:rPr>
            </w:pPr>
            <w:r>
              <w:t>26 June 2021 to 30 June 2021</w:t>
            </w:r>
          </w:p>
        </w:tc>
      </w:tr>
      <w:tr w:rsidR="005F4A7E" w14:paraId="48B50874" w14:textId="77777777" w:rsidTr="00130D1C">
        <w:tc>
          <w:tcPr>
            <w:tcW w:w="3118" w:type="dxa"/>
            <w:tcBorders>
              <w:top w:val="single" w:sz="4" w:space="0" w:color="A6A6A6"/>
              <w:bottom w:val="single" w:sz="4" w:space="0" w:color="A6A6A6"/>
            </w:tcBorders>
            <w:hideMark/>
          </w:tcPr>
          <w:p w14:paraId="32B1330A" w14:textId="77777777" w:rsidR="005F4A7E" w:rsidRDefault="005F4A7E" w:rsidP="00130D1C">
            <w:pPr>
              <w:pStyle w:val="ARfintablebody"/>
              <w:spacing w:before="30"/>
            </w:pPr>
            <w:r>
              <w:t>Minister for Multicultural Affairs</w:t>
            </w:r>
          </w:p>
        </w:tc>
        <w:tc>
          <w:tcPr>
            <w:tcW w:w="2835" w:type="dxa"/>
            <w:tcBorders>
              <w:top w:val="single" w:sz="4" w:space="0" w:color="A6A6A6"/>
              <w:bottom w:val="single" w:sz="4" w:space="0" w:color="A6A6A6"/>
            </w:tcBorders>
            <w:hideMark/>
          </w:tcPr>
          <w:p w14:paraId="52FFDCA6" w14:textId="77777777" w:rsidR="005F4A7E" w:rsidRDefault="005F4A7E" w:rsidP="00130D1C">
            <w:pPr>
              <w:pStyle w:val="ARfintablebody"/>
              <w:spacing w:before="30"/>
            </w:pPr>
            <w:r>
              <w:t>The Hon. Gabrielle Williams MP</w:t>
            </w:r>
          </w:p>
        </w:tc>
        <w:tc>
          <w:tcPr>
            <w:tcW w:w="3686" w:type="dxa"/>
            <w:tcBorders>
              <w:top w:val="single" w:sz="4" w:space="0" w:color="A6A6A6"/>
              <w:bottom w:val="single" w:sz="4" w:space="0" w:color="A6A6A6"/>
            </w:tcBorders>
            <w:hideMark/>
          </w:tcPr>
          <w:p w14:paraId="3CC0BA3A" w14:textId="77777777" w:rsidR="005F4A7E" w:rsidRDefault="005F4A7E" w:rsidP="00130D1C">
            <w:pPr>
              <w:pStyle w:val="ARfintablebody"/>
              <w:spacing w:before="30"/>
            </w:pPr>
            <w:r>
              <w:t>27 June 2021 to 30 June 2021</w:t>
            </w:r>
          </w:p>
        </w:tc>
      </w:tr>
      <w:tr w:rsidR="005F4A7E" w14:paraId="32ECFC30" w14:textId="77777777" w:rsidTr="00130D1C">
        <w:tc>
          <w:tcPr>
            <w:tcW w:w="3118" w:type="dxa"/>
            <w:tcBorders>
              <w:top w:val="single" w:sz="4" w:space="0" w:color="A6A6A6"/>
              <w:bottom w:val="single" w:sz="4" w:space="0" w:color="A6A6A6"/>
            </w:tcBorders>
            <w:hideMark/>
          </w:tcPr>
          <w:p w14:paraId="64122B9F" w14:textId="77777777" w:rsidR="005F4A7E" w:rsidRDefault="005F4A7E" w:rsidP="00130D1C">
            <w:pPr>
              <w:pStyle w:val="ARfintablebody"/>
              <w:spacing w:before="30"/>
            </w:pPr>
            <w:r>
              <w:t>Minister for Youth</w:t>
            </w:r>
          </w:p>
        </w:tc>
        <w:tc>
          <w:tcPr>
            <w:tcW w:w="2835" w:type="dxa"/>
            <w:tcBorders>
              <w:top w:val="single" w:sz="4" w:space="0" w:color="A6A6A6"/>
              <w:bottom w:val="single" w:sz="4" w:space="0" w:color="A6A6A6"/>
            </w:tcBorders>
            <w:hideMark/>
          </w:tcPr>
          <w:p w14:paraId="282058AA" w14:textId="77777777" w:rsidR="005F4A7E" w:rsidRDefault="005F4A7E" w:rsidP="00130D1C">
            <w:pPr>
              <w:pStyle w:val="ARfintablebody"/>
              <w:spacing w:before="30"/>
            </w:pPr>
            <w:r>
              <w:t>The Hon. Gabrielle Williams MP</w:t>
            </w:r>
          </w:p>
        </w:tc>
        <w:tc>
          <w:tcPr>
            <w:tcW w:w="3686" w:type="dxa"/>
            <w:tcBorders>
              <w:top w:val="single" w:sz="4" w:space="0" w:color="A6A6A6"/>
              <w:bottom w:val="single" w:sz="4" w:space="0" w:color="A6A6A6"/>
            </w:tcBorders>
            <w:hideMark/>
          </w:tcPr>
          <w:p w14:paraId="7BF64CCB" w14:textId="77777777" w:rsidR="005F4A7E" w:rsidRDefault="005F4A7E" w:rsidP="00130D1C">
            <w:pPr>
              <w:pStyle w:val="ARfintablebody"/>
              <w:spacing w:before="30"/>
            </w:pPr>
            <w:r>
              <w:t>27 June 2021 to 30 June 2021</w:t>
            </w:r>
          </w:p>
        </w:tc>
      </w:tr>
      <w:tr w:rsidR="005F4A7E" w14:paraId="47DF1C8F" w14:textId="77777777" w:rsidTr="00130D1C">
        <w:tc>
          <w:tcPr>
            <w:tcW w:w="3118" w:type="dxa"/>
            <w:tcBorders>
              <w:top w:val="single" w:sz="4" w:space="0" w:color="A6A6A6"/>
              <w:bottom w:val="single" w:sz="4" w:space="0" w:color="A6A6A6"/>
            </w:tcBorders>
            <w:hideMark/>
          </w:tcPr>
          <w:p w14:paraId="48937B67" w14:textId="77777777" w:rsidR="005F4A7E" w:rsidRDefault="005F4A7E" w:rsidP="00130D1C">
            <w:pPr>
              <w:pStyle w:val="ARfintablebody"/>
              <w:spacing w:before="30"/>
            </w:pPr>
            <w:r>
              <w:t>Minister for Prevention of Family Violence</w:t>
            </w:r>
          </w:p>
        </w:tc>
        <w:tc>
          <w:tcPr>
            <w:tcW w:w="2835" w:type="dxa"/>
            <w:tcBorders>
              <w:top w:val="single" w:sz="4" w:space="0" w:color="A6A6A6"/>
              <w:bottom w:val="single" w:sz="4" w:space="0" w:color="A6A6A6"/>
            </w:tcBorders>
            <w:hideMark/>
          </w:tcPr>
          <w:p w14:paraId="5CF20093" w14:textId="77777777" w:rsidR="005F4A7E" w:rsidRPr="008C627E" w:rsidRDefault="005F4A7E" w:rsidP="00130D1C">
            <w:pPr>
              <w:pStyle w:val="ARfintablebody"/>
              <w:spacing w:before="30"/>
              <w:rPr>
                <w:lang w:val="fr-FR"/>
              </w:rPr>
            </w:pPr>
            <w:r w:rsidRPr="008C627E">
              <w:rPr>
                <w:lang w:val="fr-FR"/>
              </w:rPr>
              <w:t>The Hon. Luke Donnellan MP</w:t>
            </w:r>
          </w:p>
        </w:tc>
        <w:tc>
          <w:tcPr>
            <w:tcW w:w="3686" w:type="dxa"/>
            <w:tcBorders>
              <w:top w:val="single" w:sz="4" w:space="0" w:color="A6A6A6"/>
              <w:bottom w:val="single" w:sz="4" w:space="0" w:color="A6A6A6"/>
            </w:tcBorders>
            <w:hideMark/>
          </w:tcPr>
          <w:p w14:paraId="4B0CDF4B" w14:textId="77777777" w:rsidR="005F4A7E" w:rsidRDefault="005F4A7E" w:rsidP="00130D1C">
            <w:pPr>
              <w:pStyle w:val="ARfintablebody"/>
              <w:spacing w:before="30"/>
            </w:pPr>
            <w:r>
              <w:t>11 January 2021 to 24 January 2021</w:t>
            </w:r>
          </w:p>
        </w:tc>
      </w:tr>
      <w:tr w:rsidR="005F4A7E" w14:paraId="497337D6" w14:textId="77777777" w:rsidTr="00130D1C">
        <w:tc>
          <w:tcPr>
            <w:tcW w:w="3118" w:type="dxa"/>
            <w:vMerge w:val="restart"/>
            <w:tcBorders>
              <w:top w:val="single" w:sz="4" w:space="0" w:color="A6A6A6"/>
              <w:bottom w:val="single" w:sz="4" w:space="0" w:color="A6A6A6"/>
            </w:tcBorders>
          </w:tcPr>
          <w:p w14:paraId="55576B65" w14:textId="77777777" w:rsidR="005F4A7E" w:rsidRDefault="005F4A7E" w:rsidP="00130D1C">
            <w:pPr>
              <w:pStyle w:val="ARfintablebody"/>
              <w:spacing w:before="30"/>
            </w:pPr>
            <w:r>
              <w:t>Secretary, Department of Health and Human Services</w:t>
            </w:r>
          </w:p>
        </w:tc>
        <w:tc>
          <w:tcPr>
            <w:tcW w:w="2835" w:type="dxa"/>
            <w:tcBorders>
              <w:top w:val="single" w:sz="4" w:space="0" w:color="A6A6A6"/>
              <w:bottom w:val="single" w:sz="4" w:space="0" w:color="A6A6A6"/>
            </w:tcBorders>
          </w:tcPr>
          <w:p w14:paraId="15BFEC8B" w14:textId="77777777" w:rsidR="005F4A7E" w:rsidRDefault="005F4A7E" w:rsidP="00130D1C">
            <w:pPr>
              <w:pStyle w:val="ARfintablebody"/>
              <w:spacing w:before="30"/>
            </w:pPr>
            <w:r>
              <w:t>Euan Wallace</w:t>
            </w:r>
          </w:p>
        </w:tc>
        <w:tc>
          <w:tcPr>
            <w:tcW w:w="3686" w:type="dxa"/>
            <w:tcBorders>
              <w:top w:val="single" w:sz="4" w:space="0" w:color="A6A6A6"/>
              <w:bottom w:val="single" w:sz="4" w:space="0" w:color="A6A6A6"/>
            </w:tcBorders>
          </w:tcPr>
          <w:p w14:paraId="7EE244B8" w14:textId="77777777" w:rsidR="005F4A7E" w:rsidRDefault="005F4A7E" w:rsidP="00130D1C">
            <w:pPr>
              <w:pStyle w:val="ARfintablebody"/>
              <w:spacing w:before="30"/>
            </w:pPr>
            <w:r>
              <w:t>16 November 2020 to 27 November 2020</w:t>
            </w:r>
          </w:p>
        </w:tc>
      </w:tr>
      <w:tr w:rsidR="005F4A7E" w14:paraId="3EFC5B97" w14:textId="77777777" w:rsidTr="00130D1C">
        <w:tc>
          <w:tcPr>
            <w:tcW w:w="3118" w:type="dxa"/>
            <w:vMerge/>
            <w:tcBorders>
              <w:top w:val="single" w:sz="4" w:space="0" w:color="A6A6A6"/>
              <w:bottom w:val="single" w:sz="4" w:space="0" w:color="A6A6A6"/>
            </w:tcBorders>
            <w:hideMark/>
          </w:tcPr>
          <w:p w14:paraId="6431E348" w14:textId="77777777" w:rsidR="005F4A7E" w:rsidRDefault="005F4A7E" w:rsidP="00130D1C">
            <w:pPr>
              <w:pStyle w:val="ARfintablebody"/>
              <w:spacing w:before="30"/>
            </w:pPr>
          </w:p>
        </w:tc>
        <w:tc>
          <w:tcPr>
            <w:tcW w:w="2835" w:type="dxa"/>
            <w:tcBorders>
              <w:top w:val="single" w:sz="4" w:space="0" w:color="A6A6A6"/>
              <w:bottom w:val="single" w:sz="4" w:space="0" w:color="A6A6A6"/>
            </w:tcBorders>
            <w:hideMark/>
          </w:tcPr>
          <w:p w14:paraId="68E9397D" w14:textId="77777777" w:rsidR="005F4A7E" w:rsidRDefault="005F4A7E" w:rsidP="00130D1C">
            <w:pPr>
              <w:pStyle w:val="ARfintablebody"/>
              <w:spacing w:before="30"/>
            </w:pPr>
            <w:r>
              <w:t>Terry Symonds</w:t>
            </w:r>
          </w:p>
        </w:tc>
        <w:tc>
          <w:tcPr>
            <w:tcW w:w="3686" w:type="dxa"/>
            <w:tcBorders>
              <w:top w:val="single" w:sz="4" w:space="0" w:color="A6A6A6"/>
              <w:bottom w:val="single" w:sz="4" w:space="0" w:color="A6A6A6"/>
            </w:tcBorders>
            <w:hideMark/>
          </w:tcPr>
          <w:p w14:paraId="564F65AC" w14:textId="77777777" w:rsidR="005F4A7E" w:rsidRDefault="005F4A7E" w:rsidP="00130D1C">
            <w:pPr>
              <w:pStyle w:val="ARfintablebody"/>
              <w:spacing w:before="30"/>
            </w:pPr>
            <w:r>
              <w:t>1 January 2021 to 3 January 2021</w:t>
            </w:r>
          </w:p>
        </w:tc>
      </w:tr>
      <w:tr w:rsidR="005F4A7E" w14:paraId="390419C1" w14:textId="77777777" w:rsidTr="00130D1C">
        <w:tc>
          <w:tcPr>
            <w:tcW w:w="3118" w:type="dxa"/>
            <w:tcBorders>
              <w:top w:val="single" w:sz="4" w:space="0" w:color="A6A6A6"/>
              <w:bottom w:val="single" w:sz="4" w:space="0" w:color="A6A6A6"/>
            </w:tcBorders>
            <w:hideMark/>
          </w:tcPr>
          <w:p w14:paraId="72527D1B" w14:textId="77777777" w:rsidR="005F4A7E" w:rsidRDefault="005F4A7E" w:rsidP="00130D1C">
            <w:pPr>
              <w:pStyle w:val="ARfintablebody"/>
              <w:spacing w:before="30"/>
            </w:pPr>
            <w:r>
              <w:t>Secretary, Department of Health</w:t>
            </w:r>
          </w:p>
        </w:tc>
        <w:tc>
          <w:tcPr>
            <w:tcW w:w="2835" w:type="dxa"/>
            <w:tcBorders>
              <w:top w:val="single" w:sz="4" w:space="0" w:color="A6A6A6"/>
              <w:bottom w:val="single" w:sz="4" w:space="0" w:color="A6A6A6"/>
            </w:tcBorders>
            <w:hideMark/>
          </w:tcPr>
          <w:p w14:paraId="61965910" w14:textId="77777777" w:rsidR="005F4A7E" w:rsidRDefault="005F4A7E" w:rsidP="00130D1C">
            <w:pPr>
              <w:pStyle w:val="ARfintablebody"/>
              <w:spacing w:before="30"/>
            </w:pPr>
            <w:r>
              <w:t>Jacinda de Witts</w:t>
            </w:r>
          </w:p>
        </w:tc>
        <w:tc>
          <w:tcPr>
            <w:tcW w:w="3686" w:type="dxa"/>
            <w:tcBorders>
              <w:top w:val="single" w:sz="4" w:space="0" w:color="A6A6A6"/>
              <w:bottom w:val="single" w:sz="4" w:space="0" w:color="A6A6A6"/>
            </w:tcBorders>
            <w:hideMark/>
          </w:tcPr>
          <w:p w14:paraId="5FE39626" w14:textId="77777777" w:rsidR="005F4A7E" w:rsidRDefault="005F4A7E" w:rsidP="00130D1C">
            <w:pPr>
              <w:pStyle w:val="ARfintablebody"/>
              <w:spacing w:before="30"/>
            </w:pPr>
            <w:r>
              <w:t>10 March 2021 to 21 March 2021</w:t>
            </w:r>
          </w:p>
        </w:tc>
      </w:tr>
      <w:tr w:rsidR="005F4A7E" w14:paraId="5CB671BD" w14:textId="77777777" w:rsidTr="00130D1C">
        <w:tc>
          <w:tcPr>
            <w:tcW w:w="3118" w:type="dxa"/>
            <w:vMerge w:val="restart"/>
            <w:tcBorders>
              <w:top w:val="single" w:sz="4" w:space="0" w:color="A6A6A6"/>
              <w:bottom w:val="single" w:sz="4" w:space="0" w:color="A6A6A6"/>
            </w:tcBorders>
          </w:tcPr>
          <w:p w14:paraId="6D5CD4CE" w14:textId="77777777" w:rsidR="005F4A7E" w:rsidRDefault="005F4A7E" w:rsidP="00130D1C">
            <w:pPr>
              <w:pStyle w:val="ARfintablebody"/>
              <w:spacing w:before="30"/>
            </w:pPr>
            <w:r>
              <w:t>Secretary, Department of Families, Fairness and Housing</w:t>
            </w:r>
          </w:p>
        </w:tc>
        <w:tc>
          <w:tcPr>
            <w:tcW w:w="2835" w:type="dxa"/>
            <w:tcBorders>
              <w:top w:val="single" w:sz="4" w:space="0" w:color="A6A6A6"/>
              <w:bottom w:val="single" w:sz="4" w:space="0" w:color="A6A6A6"/>
            </w:tcBorders>
          </w:tcPr>
          <w:p w14:paraId="1D5CDEEB" w14:textId="77777777" w:rsidR="005F4A7E" w:rsidRDefault="005F4A7E" w:rsidP="00130D1C">
            <w:pPr>
              <w:pStyle w:val="ARfintablebody"/>
              <w:spacing w:before="30"/>
            </w:pPr>
            <w:r>
              <w:t>Argiri Alisandratos</w:t>
            </w:r>
          </w:p>
        </w:tc>
        <w:tc>
          <w:tcPr>
            <w:tcW w:w="3686" w:type="dxa"/>
            <w:tcBorders>
              <w:top w:val="single" w:sz="4" w:space="0" w:color="A6A6A6"/>
              <w:bottom w:val="single" w:sz="4" w:space="0" w:color="A6A6A6"/>
            </w:tcBorders>
          </w:tcPr>
          <w:p w14:paraId="0EE0AF6C" w14:textId="77777777" w:rsidR="005F4A7E" w:rsidRDefault="005F4A7E" w:rsidP="00130D1C">
            <w:pPr>
              <w:pStyle w:val="ARfintablebody"/>
              <w:spacing w:before="30"/>
            </w:pPr>
            <w:r>
              <w:t>12 April 2021 to 16 April 2021</w:t>
            </w:r>
          </w:p>
        </w:tc>
      </w:tr>
      <w:tr w:rsidR="005F4A7E" w14:paraId="7D1A0BB9" w14:textId="77777777" w:rsidTr="00130D1C">
        <w:tc>
          <w:tcPr>
            <w:tcW w:w="3118" w:type="dxa"/>
            <w:vMerge/>
            <w:tcBorders>
              <w:top w:val="single" w:sz="4" w:space="0" w:color="A6A6A6"/>
              <w:bottom w:val="single" w:sz="4" w:space="0" w:color="A6A6A6"/>
            </w:tcBorders>
            <w:hideMark/>
          </w:tcPr>
          <w:p w14:paraId="5E363FA4" w14:textId="77777777" w:rsidR="005F4A7E" w:rsidRDefault="005F4A7E" w:rsidP="00130D1C">
            <w:pPr>
              <w:pStyle w:val="ARfintablebody"/>
              <w:spacing w:before="30"/>
            </w:pPr>
          </w:p>
        </w:tc>
        <w:tc>
          <w:tcPr>
            <w:tcW w:w="2835" w:type="dxa"/>
            <w:tcBorders>
              <w:top w:val="single" w:sz="4" w:space="0" w:color="A6A6A6"/>
              <w:bottom w:val="single" w:sz="4" w:space="0" w:color="A6A6A6"/>
            </w:tcBorders>
            <w:hideMark/>
          </w:tcPr>
          <w:p w14:paraId="62346A91" w14:textId="77777777" w:rsidR="005F4A7E" w:rsidRDefault="005F4A7E" w:rsidP="00130D1C">
            <w:pPr>
              <w:pStyle w:val="ARfintablebody"/>
              <w:spacing w:before="30"/>
            </w:pPr>
            <w:r>
              <w:t>Ben Rimmer</w:t>
            </w:r>
          </w:p>
        </w:tc>
        <w:tc>
          <w:tcPr>
            <w:tcW w:w="3686" w:type="dxa"/>
            <w:tcBorders>
              <w:top w:val="single" w:sz="4" w:space="0" w:color="A6A6A6"/>
              <w:bottom w:val="single" w:sz="4" w:space="0" w:color="A6A6A6"/>
            </w:tcBorders>
            <w:hideMark/>
          </w:tcPr>
          <w:p w14:paraId="0FE91D69" w14:textId="77777777" w:rsidR="005F4A7E" w:rsidRDefault="005F4A7E" w:rsidP="00130D1C">
            <w:pPr>
              <w:pStyle w:val="ARfintablebody"/>
              <w:spacing w:before="30"/>
            </w:pPr>
            <w:r>
              <w:t>16 June 2021 to 25 June 2021</w:t>
            </w:r>
          </w:p>
        </w:tc>
      </w:tr>
      <w:bookmarkEnd w:id="1065"/>
      <w:tr w:rsidR="005F4A7E" w14:paraId="0970125E" w14:textId="77777777" w:rsidTr="00130D1C">
        <w:trPr>
          <w:trHeight w:val="272"/>
        </w:trPr>
        <w:tc>
          <w:tcPr>
            <w:tcW w:w="3118" w:type="dxa"/>
            <w:vMerge w:val="restart"/>
            <w:tcBorders>
              <w:top w:val="single" w:sz="4" w:space="0" w:color="A6A6A6"/>
              <w:bottom w:val="single" w:sz="4" w:space="0" w:color="A6A6A6"/>
            </w:tcBorders>
            <w:hideMark/>
          </w:tcPr>
          <w:p w14:paraId="6B40BC74" w14:textId="77777777" w:rsidR="005F4A7E" w:rsidRDefault="005F4A7E" w:rsidP="00130D1C">
            <w:pPr>
              <w:pStyle w:val="ARfintablebody"/>
              <w:spacing w:before="30"/>
            </w:pPr>
            <w:r>
              <w:t xml:space="preserve">Director of Housing under the </w:t>
            </w:r>
            <w:r>
              <w:rPr>
                <w:i/>
                <w:iCs/>
              </w:rPr>
              <w:t>Housing Act 1983</w:t>
            </w:r>
          </w:p>
        </w:tc>
        <w:tc>
          <w:tcPr>
            <w:tcW w:w="2835" w:type="dxa"/>
            <w:tcBorders>
              <w:top w:val="single" w:sz="4" w:space="0" w:color="A6A6A6"/>
              <w:bottom w:val="single" w:sz="4" w:space="0" w:color="A6A6A6"/>
            </w:tcBorders>
          </w:tcPr>
          <w:p w14:paraId="2D8A9EE9" w14:textId="77777777" w:rsidR="005F4A7E" w:rsidRDefault="005F4A7E" w:rsidP="00130D1C">
            <w:pPr>
              <w:pStyle w:val="ARfintablebody"/>
              <w:spacing w:before="30"/>
            </w:pPr>
            <w:r>
              <w:t>Sherri Bruinhout</w:t>
            </w:r>
          </w:p>
        </w:tc>
        <w:tc>
          <w:tcPr>
            <w:tcW w:w="3686" w:type="dxa"/>
            <w:tcBorders>
              <w:top w:val="single" w:sz="4" w:space="0" w:color="A6A6A6"/>
              <w:bottom w:val="single" w:sz="4" w:space="0" w:color="A6A6A6"/>
            </w:tcBorders>
          </w:tcPr>
          <w:p w14:paraId="39FF125B" w14:textId="77777777" w:rsidR="005F4A7E" w:rsidRDefault="005F4A7E" w:rsidP="00130D1C">
            <w:pPr>
              <w:pStyle w:val="ARfintablebody"/>
              <w:spacing w:before="30"/>
            </w:pPr>
            <w:r>
              <w:t>11 January 2021 to 16 January 2021</w:t>
            </w:r>
          </w:p>
        </w:tc>
      </w:tr>
      <w:tr w:rsidR="005F4A7E" w14:paraId="3D713201" w14:textId="77777777" w:rsidTr="00130D1C">
        <w:trPr>
          <w:trHeight w:val="272"/>
        </w:trPr>
        <w:tc>
          <w:tcPr>
            <w:tcW w:w="3118" w:type="dxa"/>
            <w:vMerge/>
            <w:tcBorders>
              <w:top w:val="single" w:sz="4" w:space="0" w:color="A6A6A6"/>
              <w:bottom w:val="single" w:sz="4" w:space="0" w:color="A6A6A6"/>
            </w:tcBorders>
          </w:tcPr>
          <w:p w14:paraId="2B7D4371" w14:textId="77777777" w:rsidR="005F4A7E" w:rsidRDefault="005F4A7E" w:rsidP="00130D1C">
            <w:pPr>
              <w:pStyle w:val="ARfintablebody"/>
              <w:spacing w:before="30"/>
            </w:pPr>
          </w:p>
        </w:tc>
        <w:tc>
          <w:tcPr>
            <w:tcW w:w="2835" w:type="dxa"/>
            <w:tcBorders>
              <w:top w:val="single" w:sz="4" w:space="0" w:color="A6A6A6"/>
              <w:bottom w:val="single" w:sz="4" w:space="0" w:color="A6A6A6"/>
            </w:tcBorders>
          </w:tcPr>
          <w:p w14:paraId="7F910EBA" w14:textId="77777777" w:rsidR="005F4A7E" w:rsidRDefault="005F4A7E" w:rsidP="00130D1C">
            <w:pPr>
              <w:pStyle w:val="ARfintablebody"/>
              <w:spacing w:before="30"/>
            </w:pPr>
            <w:r>
              <w:t>Chris Hotham</w:t>
            </w:r>
          </w:p>
        </w:tc>
        <w:tc>
          <w:tcPr>
            <w:tcW w:w="3686" w:type="dxa"/>
            <w:tcBorders>
              <w:top w:val="single" w:sz="4" w:space="0" w:color="A6A6A6"/>
              <w:bottom w:val="single" w:sz="4" w:space="0" w:color="A6A6A6"/>
            </w:tcBorders>
          </w:tcPr>
          <w:p w14:paraId="7AEEFD1D" w14:textId="77777777" w:rsidR="005F4A7E" w:rsidRDefault="005F4A7E" w:rsidP="00130D1C">
            <w:pPr>
              <w:pStyle w:val="ARfintablebody"/>
              <w:spacing w:before="30"/>
            </w:pPr>
            <w:r>
              <w:t>18 January 2021 to 29 January 2021</w:t>
            </w:r>
          </w:p>
        </w:tc>
      </w:tr>
      <w:tr w:rsidR="005F4A7E" w14:paraId="3CB9A9CA" w14:textId="77777777" w:rsidTr="00130D1C">
        <w:trPr>
          <w:trHeight w:val="272"/>
        </w:trPr>
        <w:tc>
          <w:tcPr>
            <w:tcW w:w="3118" w:type="dxa"/>
            <w:vMerge/>
            <w:tcBorders>
              <w:top w:val="single" w:sz="4" w:space="0" w:color="A6A6A6"/>
              <w:bottom w:val="single" w:sz="4" w:space="0" w:color="A6A6A6"/>
            </w:tcBorders>
          </w:tcPr>
          <w:p w14:paraId="3A981C91" w14:textId="77777777" w:rsidR="005F4A7E" w:rsidRDefault="005F4A7E" w:rsidP="00130D1C">
            <w:pPr>
              <w:pStyle w:val="ARfintablebody"/>
              <w:spacing w:before="30"/>
            </w:pPr>
          </w:p>
        </w:tc>
        <w:tc>
          <w:tcPr>
            <w:tcW w:w="2835" w:type="dxa"/>
            <w:tcBorders>
              <w:top w:val="single" w:sz="4" w:space="0" w:color="A6A6A6"/>
              <w:bottom w:val="single" w:sz="4" w:space="0" w:color="A6A6A6"/>
            </w:tcBorders>
          </w:tcPr>
          <w:p w14:paraId="788CB619" w14:textId="77777777" w:rsidR="005F4A7E" w:rsidRDefault="005F4A7E" w:rsidP="00130D1C">
            <w:pPr>
              <w:pStyle w:val="ARfintablebody"/>
              <w:spacing w:before="30"/>
            </w:pPr>
            <w:r>
              <w:t>David Snadden</w:t>
            </w:r>
          </w:p>
        </w:tc>
        <w:tc>
          <w:tcPr>
            <w:tcW w:w="3686" w:type="dxa"/>
            <w:tcBorders>
              <w:top w:val="single" w:sz="4" w:space="0" w:color="A6A6A6"/>
              <w:bottom w:val="single" w:sz="4" w:space="0" w:color="A6A6A6"/>
            </w:tcBorders>
          </w:tcPr>
          <w:p w14:paraId="4932CB9A" w14:textId="77777777" w:rsidR="005F4A7E" w:rsidRDefault="005F4A7E" w:rsidP="00130D1C">
            <w:pPr>
              <w:pStyle w:val="ARfintablebody"/>
              <w:spacing w:before="30"/>
            </w:pPr>
            <w:r>
              <w:t>14 April 2021 to 19 April 2021</w:t>
            </w:r>
          </w:p>
        </w:tc>
      </w:tr>
      <w:tr w:rsidR="005F4A7E" w14:paraId="34ED9709" w14:textId="77777777" w:rsidTr="00130D1C">
        <w:trPr>
          <w:trHeight w:val="272"/>
        </w:trPr>
        <w:tc>
          <w:tcPr>
            <w:tcW w:w="3118" w:type="dxa"/>
            <w:vMerge/>
            <w:tcBorders>
              <w:top w:val="single" w:sz="4" w:space="0" w:color="A6A6A6"/>
            </w:tcBorders>
          </w:tcPr>
          <w:p w14:paraId="39B371DD" w14:textId="77777777" w:rsidR="005F4A7E" w:rsidRDefault="005F4A7E" w:rsidP="00130D1C">
            <w:pPr>
              <w:pStyle w:val="ARfintablebody"/>
              <w:spacing w:before="30"/>
            </w:pPr>
          </w:p>
        </w:tc>
        <w:tc>
          <w:tcPr>
            <w:tcW w:w="2835" w:type="dxa"/>
            <w:tcBorders>
              <w:top w:val="single" w:sz="4" w:space="0" w:color="A6A6A6"/>
            </w:tcBorders>
          </w:tcPr>
          <w:p w14:paraId="34241011" w14:textId="77777777" w:rsidR="005F4A7E" w:rsidRDefault="005F4A7E" w:rsidP="00130D1C">
            <w:pPr>
              <w:pStyle w:val="ARfintablebody"/>
              <w:spacing w:before="30"/>
            </w:pPr>
            <w:r>
              <w:t>David Snadden</w:t>
            </w:r>
          </w:p>
        </w:tc>
        <w:tc>
          <w:tcPr>
            <w:tcW w:w="3686" w:type="dxa"/>
            <w:tcBorders>
              <w:top w:val="single" w:sz="4" w:space="0" w:color="A6A6A6"/>
            </w:tcBorders>
          </w:tcPr>
          <w:p w14:paraId="66891B6A" w14:textId="77777777" w:rsidR="005F4A7E" w:rsidRDefault="005F4A7E" w:rsidP="00130D1C">
            <w:pPr>
              <w:pStyle w:val="ARfintablebody"/>
              <w:spacing w:before="30"/>
            </w:pPr>
            <w:r>
              <w:t>16 June 2021 to 25 June 2021</w:t>
            </w:r>
          </w:p>
        </w:tc>
      </w:tr>
    </w:tbl>
    <w:p w14:paraId="19C812D5" w14:textId="77777777" w:rsidR="005F4A7E" w:rsidRDefault="005F4A7E" w:rsidP="00130D1C">
      <w:pPr>
        <w:pStyle w:val="Heading5"/>
      </w:pPr>
      <w:bookmarkStart w:id="1066" w:name="_Toc85121555"/>
      <w:r>
        <w:t>Remuneration</w:t>
      </w:r>
      <w:bookmarkEnd w:id="1066"/>
    </w:p>
    <w:p w14:paraId="2B8731B3" w14:textId="77777777" w:rsidR="005F4A7E" w:rsidRDefault="005F4A7E" w:rsidP="00130D1C">
      <w:pPr>
        <w:pStyle w:val="ARfinbodylargespace"/>
      </w:pPr>
      <w:r>
        <w:t>Remuneration received or receivable by the accountable officers in connection with the management of the department during the reporting period was in the range:</w:t>
      </w:r>
    </w:p>
    <w:tbl>
      <w:tblPr>
        <w:tblStyle w:val="TableGrid"/>
        <w:tblW w:w="9639" w:type="dxa"/>
        <w:tblLayout w:type="fixed"/>
        <w:tblLook w:val="06A0" w:firstRow="1" w:lastRow="0" w:firstColumn="1" w:lastColumn="0" w:noHBand="1" w:noVBand="1"/>
      </w:tblPr>
      <w:tblGrid>
        <w:gridCol w:w="3680"/>
        <w:gridCol w:w="1983"/>
        <w:gridCol w:w="1983"/>
        <w:gridCol w:w="1983"/>
        <w:gridCol w:w="10"/>
      </w:tblGrid>
      <w:tr w:rsidR="005F4A7E" w:rsidRPr="002029AF" w14:paraId="14DF6D35" w14:textId="77777777" w:rsidTr="00130D1C">
        <w:trPr>
          <w:gridAfter w:val="1"/>
          <w:cnfStyle w:val="100000000000" w:firstRow="1" w:lastRow="0" w:firstColumn="0" w:lastColumn="0" w:oddVBand="0" w:evenVBand="0" w:oddHBand="0" w:evenHBand="0" w:firstRowFirstColumn="0" w:firstRowLastColumn="0" w:lastRowFirstColumn="0" w:lastRowLastColumn="0"/>
          <w:wAfter w:w="10" w:type="dxa"/>
          <w:tblHeader/>
        </w:trPr>
        <w:tc>
          <w:tcPr>
            <w:tcW w:w="3684" w:type="dxa"/>
            <w:tcBorders>
              <w:bottom w:val="single" w:sz="4" w:space="0" w:color="auto"/>
            </w:tcBorders>
            <w:hideMark/>
          </w:tcPr>
          <w:p w14:paraId="7C8A5BF7" w14:textId="77777777" w:rsidR="005F4A7E" w:rsidRPr="002029AF" w:rsidRDefault="005F4A7E" w:rsidP="00130D1C">
            <w:pPr>
              <w:pStyle w:val="ARfintablecolhead"/>
            </w:pPr>
            <w:r w:rsidRPr="002029AF">
              <w:t>Income band</w:t>
            </w:r>
          </w:p>
        </w:tc>
        <w:tc>
          <w:tcPr>
            <w:tcW w:w="1985" w:type="dxa"/>
            <w:tcBorders>
              <w:bottom w:val="single" w:sz="4" w:space="0" w:color="auto"/>
            </w:tcBorders>
            <w:shd w:val="clear" w:color="auto" w:fill="E7E6E6"/>
            <w:hideMark/>
          </w:tcPr>
          <w:p w14:paraId="62F71EEB" w14:textId="77777777" w:rsidR="005F4A7E" w:rsidRDefault="005F4A7E" w:rsidP="00130D1C">
            <w:pPr>
              <w:pStyle w:val="ARfintablecolheadright"/>
            </w:pPr>
            <w:r w:rsidRPr="005174F8">
              <w:t xml:space="preserve">Department </w:t>
            </w:r>
            <w:r>
              <w:br/>
            </w:r>
            <w:r w:rsidRPr="005174F8">
              <w:t>of Health</w:t>
            </w:r>
          </w:p>
          <w:p w14:paraId="3D6A17E1" w14:textId="77777777" w:rsidR="005F4A7E" w:rsidRPr="002029AF" w:rsidRDefault="005F4A7E" w:rsidP="00130D1C">
            <w:pPr>
              <w:pStyle w:val="ARfintablecolheadright"/>
            </w:pPr>
            <w:r w:rsidRPr="005174F8">
              <w:t xml:space="preserve">30 June 2021 </w:t>
            </w:r>
            <w:r w:rsidRPr="00F5558E">
              <w:rPr>
                <w:rStyle w:val="Superscript"/>
              </w:rPr>
              <w:t>(i)(ii)</w:t>
            </w:r>
          </w:p>
        </w:tc>
        <w:tc>
          <w:tcPr>
            <w:tcW w:w="1985" w:type="dxa"/>
            <w:tcBorders>
              <w:bottom w:val="single" w:sz="4" w:space="0" w:color="auto"/>
            </w:tcBorders>
            <w:shd w:val="clear" w:color="auto" w:fill="E7E6E6"/>
            <w:hideMark/>
          </w:tcPr>
          <w:p w14:paraId="2A22EBE8" w14:textId="77777777" w:rsidR="005F4A7E" w:rsidRDefault="005F4A7E" w:rsidP="00130D1C">
            <w:pPr>
              <w:pStyle w:val="ARfintablecolheadright"/>
            </w:pPr>
            <w:r w:rsidRPr="005174F8">
              <w:t>Department of Families, Fairness and Housin</w:t>
            </w:r>
            <w:r>
              <w:t>g</w:t>
            </w:r>
          </w:p>
          <w:p w14:paraId="18C0DC9B" w14:textId="77777777" w:rsidR="005F4A7E" w:rsidRPr="002029AF" w:rsidRDefault="005F4A7E" w:rsidP="00130D1C">
            <w:pPr>
              <w:pStyle w:val="ARfintablecolheadright"/>
            </w:pPr>
            <w:r>
              <w:t>3</w:t>
            </w:r>
            <w:r w:rsidRPr="005174F8">
              <w:t xml:space="preserve">0 June 2021 </w:t>
            </w:r>
            <w:r w:rsidRPr="00F5558E">
              <w:rPr>
                <w:rStyle w:val="Superscript"/>
              </w:rPr>
              <w:t>(ii)</w:t>
            </w:r>
          </w:p>
        </w:tc>
        <w:tc>
          <w:tcPr>
            <w:tcW w:w="1985" w:type="dxa"/>
            <w:tcBorders>
              <w:bottom w:val="single" w:sz="4" w:space="0" w:color="auto"/>
            </w:tcBorders>
          </w:tcPr>
          <w:p w14:paraId="39DBD810" w14:textId="77777777" w:rsidR="005F4A7E" w:rsidRDefault="005F4A7E" w:rsidP="00130D1C">
            <w:pPr>
              <w:pStyle w:val="ARfintablecolheadright"/>
            </w:pPr>
            <w:r w:rsidRPr="005174F8">
              <w:t>Department of Health and Human Services</w:t>
            </w:r>
          </w:p>
          <w:p w14:paraId="41FCA8AB" w14:textId="77777777" w:rsidR="005F4A7E" w:rsidRPr="002029AF" w:rsidRDefault="005F4A7E" w:rsidP="00130D1C">
            <w:pPr>
              <w:pStyle w:val="ARfintablecolheadright"/>
            </w:pPr>
            <w:r w:rsidRPr="005174F8">
              <w:t>30 June 2020</w:t>
            </w:r>
            <w:r>
              <w:t xml:space="preserve"> </w:t>
            </w:r>
            <w:r w:rsidRPr="002029AF">
              <w:rPr>
                <w:rStyle w:val="Superscript"/>
              </w:rPr>
              <w:t>(</w:t>
            </w:r>
            <w:r>
              <w:rPr>
                <w:rStyle w:val="Superscript"/>
              </w:rPr>
              <w:t>ii</w:t>
            </w:r>
            <w:r w:rsidRPr="002029AF">
              <w:rPr>
                <w:rStyle w:val="Superscript"/>
              </w:rPr>
              <w:t>i)</w:t>
            </w:r>
          </w:p>
        </w:tc>
      </w:tr>
      <w:tr w:rsidR="005F4A7E" w:rsidRPr="002029AF" w14:paraId="484588D0" w14:textId="77777777" w:rsidTr="00130D1C">
        <w:trPr>
          <w:gridAfter w:val="1"/>
          <w:wAfter w:w="10" w:type="dxa"/>
          <w:cantSplit w:val="0"/>
          <w:trHeight w:val="255"/>
        </w:trPr>
        <w:tc>
          <w:tcPr>
            <w:tcW w:w="3684" w:type="dxa"/>
            <w:tcBorders>
              <w:top w:val="single" w:sz="4" w:space="0" w:color="auto"/>
              <w:bottom w:val="single" w:sz="4" w:space="0" w:color="A6A6A6"/>
            </w:tcBorders>
          </w:tcPr>
          <w:p w14:paraId="5A6D4FDC" w14:textId="77777777" w:rsidR="005F4A7E" w:rsidRPr="002029AF" w:rsidRDefault="005F4A7E" w:rsidP="00130D1C">
            <w:pPr>
              <w:pStyle w:val="ARfintablebody"/>
            </w:pPr>
            <w:r w:rsidRPr="00E1191A">
              <w:t>$40,000 – $49,999</w:t>
            </w:r>
          </w:p>
        </w:tc>
        <w:tc>
          <w:tcPr>
            <w:tcW w:w="1985" w:type="dxa"/>
            <w:tcBorders>
              <w:top w:val="single" w:sz="4" w:space="0" w:color="auto"/>
              <w:bottom w:val="single" w:sz="4" w:space="0" w:color="A6A6A6"/>
            </w:tcBorders>
            <w:shd w:val="clear" w:color="auto" w:fill="E7E6E6"/>
            <w:noWrap/>
          </w:tcPr>
          <w:p w14:paraId="2E9DA14F" w14:textId="77777777" w:rsidR="005F4A7E" w:rsidRPr="002029AF" w:rsidRDefault="005F4A7E" w:rsidP="00130D1C">
            <w:pPr>
              <w:pStyle w:val="ARfintablebodyright"/>
            </w:pPr>
            <w:r>
              <w:t>–</w:t>
            </w:r>
          </w:p>
        </w:tc>
        <w:tc>
          <w:tcPr>
            <w:tcW w:w="1985" w:type="dxa"/>
            <w:tcBorders>
              <w:top w:val="single" w:sz="4" w:space="0" w:color="auto"/>
              <w:bottom w:val="single" w:sz="4" w:space="0" w:color="A6A6A6"/>
            </w:tcBorders>
            <w:shd w:val="clear" w:color="auto" w:fill="E7E6E6"/>
            <w:noWrap/>
          </w:tcPr>
          <w:p w14:paraId="70422D3C" w14:textId="77777777" w:rsidR="005F4A7E" w:rsidRPr="002029AF" w:rsidRDefault="005F4A7E" w:rsidP="00130D1C">
            <w:pPr>
              <w:pStyle w:val="ARfintablebodyright"/>
            </w:pPr>
            <w:r>
              <w:t>–</w:t>
            </w:r>
          </w:p>
        </w:tc>
        <w:tc>
          <w:tcPr>
            <w:tcW w:w="1985" w:type="dxa"/>
            <w:tcBorders>
              <w:top w:val="single" w:sz="4" w:space="0" w:color="auto"/>
              <w:bottom w:val="single" w:sz="4" w:space="0" w:color="A6A6A6"/>
            </w:tcBorders>
          </w:tcPr>
          <w:p w14:paraId="35CE5953" w14:textId="77777777" w:rsidR="005F4A7E" w:rsidRPr="002029AF" w:rsidRDefault="005F4A7E" w:rsidP="00130D1C">
            <w:pPr>
              <w:pStyle w:val="ARfintablebodyright"/>
            </w:pPr>
            <w:r w:rsidRPr="00E1191A">
              <w:t>1</w:t>
            </w:r>
          </w:p>
        </w:tc>
      </w:tr>
      <w:tr w:rsidR="005F4A7E" w:rsidRPr="002029AF" w14:paraId="3EF951D9" w14:textId="77777777" w:rsidTr="00130D1C">
        <w:trPr>
          <w:gridAfter w:val="1"/>
          <w:wAfter w:w="10" w:type="dxa"/>
          <w:cantSplit w:val="0"/>
          <w:trHeight w:val="255"/>
        </w:trPr>
        <w:tc>
          <w:tcPr>
            <w:tcW w:w="3684" w:type="dxa"/>
            <w:tcBorders>
              <w:top w:val="single" w:sz="4" w:space="0" w:color="A6A6A6"/>
              <w:bottom w:val="single" w:sz="4" w:space="0" w:color="A6A6A6"/>
            </w:tcBorders>
          </w:tcPr>
          <w:p w14:paraId="2E9E6E3A" w14:textId="77777777" w:rsidR="005F4A7E" w:rsidRPr="002029AF" w:rsidRDefault="005F4A7E" w:rsidP="00130D1C">
            <w:pPr>
              <w:pStyle w:val="ARfintablebody"/>
            </w:pPr>
            <w:r w:rsidRPr="00E1191A">
              <w:t>$90,000 – $99,999</w:t>
            </w:r>
          </w:p>
        </w:tc>
        <w:tc>
          <w:tcPr>
            <w:tcW w:w="1985" w:type="dxa"/>
            <w:tcBorders>
              <w:top w:val="single" w:sz="4" w:space="0" w:color="A6A6A6"/>
              <w:bottom w:val="single" w:sz="4" w:space="0" w:color="A6A6A6"/>
            </w:tcBorders>
            <w:shd w:val="clear" w:color="auto" w:fill="E7E6E6"/>
            <w:noWrap/>
          </w:tcPr>
          <w:p w14:paraId="0EF778AC" w14:textId="77777777" w:rsidR="005F4A7E" w:rsidRPr="002029AF" w:rsidRDefault="005F4A7E" w:rsidP="00130D1C">
            <w:pPr>
              <w:pStyle w:val="ARfintablebodyright"/>
            </w:pPr>
            <w:r>
              <w:t>–</w:t>
            </w:r>
          </w:p>
        </w:tc>
        <w:tc>
          <w:tcPr>
            <w:tcW w:w="1985" w:type="dxa"/>
            <w:tcBorders>
              <w:top w:val="single" w:sz="4" w:space="0" w:color="A6A6A6"/>
              <w:bottom w:val="single" w:sz="4" w:space="0" w:color="A6A6A6"/>
            </w:tcBorders>
            <w:shd w:val="clear" w:color="auto" w:fill="E7E6E6"/>
            <w:noWrap/>
          </w:tcPr>
          <w:p w14:paraId="46DD0A8B" w14:textId="77777777" w:rsidR="005F4A7E" w:rsidRPr="002029AF" w:rsidRDefault="005F4A7E" w:rsidP="00130D1C">
            <w:pPr>
              <w:pStyle w:val="ARfintablebodyright"/>
            </w:pPr>
            <w:r>
              <w:t>–</w:t>
            </w:r>
          </w:p>
        </w:tc>
        <w:tc>
          <w:tcPr>
            <w:tcW w:w="1985" w:type="dxa"/>
            <w:tcBorders>
              <w:top w:val="single" w:sz="4" w:space="0" w:color="A6A6A6"/>
              <w:bottom w:val="single" w:sz="4" w:space="0" w:color="A6A6A6"/>
            </w:tcBorders>
          </w:tcPr>
          <w:p w14:paraId="28EA48D8" w14:textId="77777777" w:rsidR="005F4A7E" w:rsidRPr="002029AF" w:rsidRDefault="005F4A7E" w:rsidP="00130D1C">
            <w:pPr>
              <w:pStyle w:val="ARfintablebodyright"/>
            </w:pPr>
            <w:r w:rsidRPr="00E1191A">
              <w:t>1</w:t>
            </w:r>
          </w:p>
        </w:tc>
      </w:tr>
      <w:tr w:rsidR="005F4A7E" w:rsidRPr="002029AF" w14:paraId="3C8DB159" w14:textId="77777777" w:rsidTr="00130D1C">
        <w:trPr>
          <w:gridAfter w:val="1"/>
          <w:wAfter w:w="10" w:type="dxa"/>
          <w:cantSplit w:val="0"/>
          <w:trHeight w:val="255"/>
        </w:trPr>
        <w:tc>
          <w:tcPr>
            <w:tcW w:w="3684" w:type="dxa"/>
            <w:tcBorders>
              <w:top w:val="single" w:sz="4" w:space="0" w:color="A6A6A6"/>
              <w:bottom w:val="single" w:sz="4" w:space="0" w:color="A6A6A6"/>
            </w:tcBorders>
            <w:hideMark/>
          </w:tcPr>
          <w:p w14:paraId="7DC5C154" w14:textId="77777777" w:rsidR="005F4A7E" w:rsidRPr="002029AF" w:rsidRDefault="005F4A7E" w:rsidP="00130D1C">
            <w:pPr>
              <w:pStyle w:val="ARfintablebody"/>
            </w:pPr>
            <w:r w:rsidRPr="00E1191A">
              <w:t>$200,000 – $209,999</w:t>
            </w:r>
          </w:p>
        </w:tc>
        <w:tc>
          <w:tcPr>
            <w:tcW w:w="1985" w:type="dxa"/>
            <w:tcBorders>
              <w:top w:val="single" w:sz="4" w:space="0" w:color="A6A6A6"/>
              <w:bottom w:val="single" w:sz="4" w:space="0" w:color="A6A6A6"/>
            </w:tcBorders>
            <w:shd w:val="clear" w:color="auto" w:fill="E7E6E6"/>
            <w:noWrap/>
            <w:hideMark/>
          </w:tcPr>
          <w:p w14:paraId="2696A901" w14:textId="77777777" w:rsidR="005F4A7E" w:rsidRPr="002029AF" w:rsidRDefault="005F4A7E" w:rsidP="00130D1C">
            <w:pPr>
              <w:pStyle w:val="ARfintablebodyright"/>
            </w:pPr>
            <w:r>
              <w:t>–</w:t>
            </w:r>
          </w:p>
        </w:tc>
        <w:tc>
          <w:tcPr>
            <w:tcW w:w="1985" w:type="dxa"/>
            <w:tcBorders>
              <w:top w:val="single" w:sz="4" w:space="0" w:color="A6A6A6"/>
              <w:bottom w:val="single" w:sz="4" w:space="0" w:color="A6A6A6"/>
            </w:tcBorders>
            <w:shd w:val="clear" w:color="auto" w:fill="E7E6E6"/>
            <w:noWrap/>
            <w:hideMark/>
          </w:tcPr>
          <w:p w14:paraId="7CDE5E01" w14:textId="77777777" w:rsidR="005F4A7E" w:rsidRPr="002029AF" w:rsidRDefault="005F4A7E" w:rsidP="00130D1C">
            <w:pPr>
              <w:pStyle w:val="ARfintablebodyright"/>
            </w:pPr>
            <w:r w:rsidRPr="00E1191A">
              <w:t>1</w:t>
            </w:r>
          </w:p>
        </w:tc>
        <w:tc>
          <w:tcPr>
            <w:tcW w:w="1985" w:type="dxa"/>
            <w:tcBorders>
              <w:top w:val="single" w:sz="4" w:space="0" w:color="A6A6A6"/>
              <w:bottom w:val="single" w:sz="4" w:space="0" w:color="A6A6A6"/>
            </w:tcBorders>
          </w:tcPr>
          <w:p w14:paraId="79C959F9" w14:textId="77777777" w:rsidR="005F4A7E" w:rsidRPr="002029AF" w:rsidRDefault="005F4A7E" w:rsidP="00130D1C">
            <w:pPr>
              <w:pStyle w:val="ARfintablebodyright"/>
            </w:pPr>
            <w:r>
              <w:t>–</w:t>
            </w:r>
          </w:p>
        </w:tc>
      </w:tr>
      <w:tr w:rsidR="005F4A7E" w:rsidRPr="002029AF" w14:paraId="18F60B3D" w14:textId="77777777" w:rsidTr="00130D1C">
        <w:trPr>
          <w:gridAfter w:val="1"/>
          <w:wAfter w:w="10" w:type="dxa"/>
          <w:cantSplit w:val="0"/>
          <w:trHeight w:val="255"/>
        </w:trPr>
        <w:tc>
          <w:tcPr>
            <w:tcW w:w="3684" w:type="dxa"/>
            <w:tcBorders>
              <w:top w:val="single" w:sz="4" w:space="0" w:color="A6A6A6"/>
              <w:bottom w:val="single" w:sz="4" w:space="0" w:color="A6A6A6"/>
            </w:tcBorders>
          </w:tcPr>
          <w:p w14:paraId="22D981F8" w14:textId="77777777" w:rsidR="005F4A7E" w:rsidRPr="002029AF" w:rsidRDefault="005F4A7E" w:rsidP="00130D1C">
            <w:pPr>
              <w:pStyle w:val="ARfintablebody"/>
            </w:pPr>
            <w:r w:rsidRPr="00E1191A">
              <w:t>$220,000 – $229,999</w:t>
            </w:r>
          </w:p>
        </w:tc>
        <w:tc>
          <w:tcPr>
            <w:tcW w:w="1985" w:type="dxa"/>
            <w:tcBorders>
              <w:top w:val="single" w:sz="4" w:space="0" w:color="A6A6A6"/>
              <w:bottom w:val="single" w:sz="4" w:space="0" w:color="A6A6A6"/>
            </w:tcBorders>
            <w:shd w:val="clear" w:color="auto" w:fill="E7E6E6"/>
            <w:noWrap/>
          </w:tcPr>
          <w:p w14:paraId="0D5BCA62" w14:textId="77777777" w:rsidR="005F4A7E" w:rsidRPr="002029AF" w:rsidRDefault="005F4A7E" w:rsidP="00130D1C">
            <w:pPr>
              <w:pStyle w:val="ARfintablebodyright"/>
            </w:pPr>
            <w:r>
              <w:t>–</w:t>
            </w:r>
          </w:p>
        </w:tc>
        <w:tc>
          <w:tcPr>
            <w:tcW w:w="1985" w:type="dxa"/>
            <w:tcBorders>
              <w:top w:val="single" w:sz="4" w:space="0" w:color="A6A6A6"/>
              <w:bottom w:val="single" w:sz="4" w:space="0" w:color="A6A6A6"/>
            </w:tcBorders>
            <w:shd w:val="clear" w:color="auto" w:fill="E7E6E6"/>
            <w:noWrap/>
          </w:tcPr>
          <w:p w14:paraId="156FC96D" w14:textId="77777777" w:rsidR="005F4A7E" w:rsidRPr="002029AF" w:rsidRDefault="005F4A7E" w:rsidP="00130D1C">
            <w:pPr>
              <w:pStyle w:val="ARfintablebodyright"/>
            </w:pPr>
            <w:r w:rsidRPr="00E1191A">
              <w:t>1</w:t>
            </w:r>
          </w:p>
        </w:tc>
        <w:tc>
          <w:tcPr>
            <w:tcW w:w="1985" w:type="dxa"/>
            <w:tcBorders>
              <w:top w:val="single" w:sz="4" w:space="0" w:color="A6A6A6"/>
              <w:bottom w:val="single" w:sz="4" w:space="0" w:color="A6A6A6"/>
            </w:tcBorders>
          </w:tcPr>
          <w:p w14:paraId="7C8F1A6F" w14:textId="77777777" w:rsidR="005F4A7E" w:rsidRPr="002029AF" w:rsidRDefault="005F4A7E" w:rsidP="00130D1C">
            <w:pPr>
              <w:pStyle w:val="ARfintablebodyright"/>
            </w:pPr>
            <w:r>
              <w:t>–</w:t>
            </w:r>
          </w:p>
        </w:tc>
      </w:tr>
      <w:tr w:rsidR="005F4A7E" w:rsidRPr="002029AF" w14:paraId="601A88F4" w14:textId="77777777" w:rsidTr="00130D1C">
        <w:trPr>
          <w:gridAfter w:val="1"/>
          <w:wAfter w:w="10" w:type="dxa"/>
          <w:cantSplit w:val="0"/>
          <w:trHeight w:val="255"/>
        </w:trPr>
        <w:tc>
          <w:tcPr>
            <w:tcW w:w="3684" w:type="dxa"/>
            <w:tcBorders>
              <w:top w:val="single" w:sz="4" w:space="0" w:color="A6A6A6"/>
              <w:bottom w:val="single" w:sz="4" w:space="0" w:color="A6A6A6"/>
            </w:tcBorders>
          </w:tcPr>
          <w:p w14:paraId="3219E0D4" w14:textId="77777777" w:rsidR="005F4A7E" w:rsidRPr="002029AF" w:rsidRDefault="005F4A7E" w:rsidP="00130D1C">
            <w:pPr>
              <w:pStyle w:val="ARfintablebody"/>
            </w:pPr>
            <w:r w:rsidRPr="00E1191A">
              <w:t>$250,000 – $259,999</w:t>
            </w:r>
          </w:p>
        </w:tc>
        <w:tc>
          <w:tcPr>
            <w:tcW w:w="1985" w:type="dxa"/>
            <w:tcBorders>
              <w:top w:val="single" w:sz="4" w:space="0" w:color="A6A6A6"/>
              <w:bottom w:val="single" w:sz="4" w:space="0" w:color="A6A6A6"/>
            </w:tcBorders>
            <w:shd w:val="clear" w:color="auto" w:fill="E7E6E6"/>
            <w:noWrap/>
          </w:tcPr>
          <w:p w14:paraId="25D2EB4D" w14:textId="77777777" w:rsidR="005F4A7E" w:rsidRPr="002029AF" w:rsidRDefault="005F4A7E" w:rsidP="00130D1C">
            <w:pPr>
              <w:pStyle w:val="ARfintablebodyright"/>
            </w:pPr>
            <w:r>
              <w:t>–</w:t>
            </w:r>
          </w:p>
        </w:tc>
        <w:tc>
          <w:tcPr>
            <w:tcW w:w="1985" w:type="dxa"/>
            <w:tcBorders>
              <w:top w:val="single" w:sz="4" w:space="0" w:color="A6A6A6"/>
              <w:bottom w:val="single" w:sz="4" w:space="0" w:color="A6A6A6"/>
            </w:tcBorders>
            <w:shd w:val="clear" w:color="auto" w:fill="E7E6E6"/>
            <w:noWrap/>
          </w:tcPr>
          <w:p w14:paraId="2799AAFC" w14:textId="77777777" w:rsidR="005F4A7E" w:rsidRPr="002029AF" w:rsidRDefault="005F4A7E" w:rsidP="00130D1C">
            <w:pPr>
              <w:pStyle w:val="ARfintablebodyright"/>
            </w:pPr>
            <w:r>
              <w:t>–</w:t>
            </w:r>
          </w:p>
        </w:tc>
        <w:tc>
          <w:tcPr>
            <w:tcW w:w="1985" w:type="dxa"/>
            <w:tcBorders>
              <w:top w:val="single" w:sz="4" w:space="0" w:color="A6A6A6"/>
              <w:bottom w:val="single" w:sz="4" w:space="0" w:color="A6A6A6"/>
            </w:tcBorders>
          </w:tcPr>
          <w:p w14:paraId="4D41605C" w14:textId="77777777" w:rsidR="005F4A7E" w:rsidRPr="002029AF" w:rsidRDefault="005F4A7E" w:rsidP="00130D1C">
            <w:pPr>
              <w:pStyle w:val="ARfintablebodyright"/>
            </w:pPr>
            <w:r w:rsidRPr="00E1191A">
              <w:t>1</w:t>
            </w:r>
          </w:p>
        </w:tc>
      </w:tr>
      <w:tr w:rsidR="005F4A7E" w:rsidRPr="002029AF" w14:paraId="7578F4CF" w14:textId="77777777" w:rsidTr="00130D1C">
        <w:trPr>
          <w:gridAfter w:val="1"/>
          <w:wAfter w:w="10" w:type="dxa"/>
          <w:cantSplit w:val="0"/>
          <w:trHeight w:val="255"/>
        </w:trPr>
        <w:tc>
          <w:tcPr>
            <w:tcW w:w="3684" w:type="dxa"/>
            <w:tcBorders>
              <w:top w:val="single" w:sz="4" w:space="0" w:color="A6A6A6"/>
              <w:bottom w:val="single" w:sz="4" w:space="0" w:color="A6A6A6"/>
            </w:tcBorders>
            <w:hideMark/>
          </w:tcPr>
          <w:p w14:paraId="7504E92E" w14:textId="77777777" w:rsidR="005F4A7E" w:rsidRPr="002029AF" w:rsidRDefault="005F4A7E" w:rsidP="00130D1C">
            <w:pPr>
              <w:pStyle w:val="ARfintablebody"/>
            </w:pPr>
            <w:r w:rsidRPr="00E1191A">
              <w:t>$280,000 – $289,999</w:t>
            </w:r>
          </w:p>
        </w:tc>
        <w:tc>
          <w:tcPr>
            <w:tcW w:w="1985" w:type="dxa"/>
            <w:tcBorders>
              <w:top w:val="single" w:sz="4" w:space="0" w:color="A6A6A6"/>
              <w:bottom w:val="single" w:sz="4" w:space="0" w:color="A6A6A6"/>
            </w:tcBorders>
            <w:shd w:val="clear" w:color="auto" w:fill="E7E6E6"/>
            <w:noWrap/>
            <w:hideMark/>
          </w:tcPr>
          <w:p w14:paraId="5872832B" w14:textId="77777777" w:rsidR="005F4A7E" w:rsidRPr="002029AF" w:rsidRDefault="005F4A7E" w:rsidP="00130D1C">
            <w:pPr>
              <w:pStyle w:val="ARfintablebodyright"/>
            </w:pPr>
            <w:r w:rsidRPr="00E1191A">
              <w:t>1</w:t>
            </w:r>
          </w:p>
        </w:tc>
        <w:tc>
          <w:tcPr>
            <w:tcW w:w="1985" w:type="dxa"/>
            <w:tcBorders>
              <w:top w:val="single" w:sz="4" w:space="0" w:color="A6A6A6"/>
              <w:bottom w:val="single" w:sz="4" w:space="0" w:color="A6A6A6"/>
            </w:tcBorders>
            <w:shd w:val="clear" w:color="auto" w:fill="E7E6E6"/>
            <w:noWrap/>
            <w:hideMark/>
          </w:tcPr>
          <w:p w14:paraId="3C1EF365" w14:textId="77777777" w:rsidR="005F4A7E" w:rsidRPr="002029AF" w:rsidRDefault="005F4A7E" w:rsidP="00130D1C">
            <w:pPr>
              <w:pStyle w:val="ARfintablebodyright"/>
            </w:pPr>
            <w:r>
              <w:t>–</w:t>
            </w:r>
          </w:p>
        </w:tc>
        <w:tc>
          <w:tcPr>
            <w:tcW w:w="1985" w:type="dxa"/>
            <w:tcBorders>
              <w:top w:val="single" w:sz="4" w:space="0" w:color="A6A6A6"/>
              <w:bottom w:val="single" w:sz="4" w:space="0" w:color="A6A6A6"/>
            </w:tcBorders>
          </w:tcPr>
          <w:p w14:paraId="0A6C3D51" w14:textId="77777777" w:rsidR="005F4A7E" w:rsidRPr="002029AF" w:rsidRDefault="005F4A7E" w:rsidP="00130D1C">
            <w:pPr>
              <w:pStyle w:val="ARfintablebodyright"/>
            </w:pPr>
            <w:r>
              <w:t>–</w:t>
            </w:r>
          </w:p>
        </w:tc>
      </w:tr>
      <w:tr w:rsidR="005F4A7E" w:rsidRPr="002029AF" w14:paraId="3BCA741D" w14:textId="77777777" w:rsidTr="00130D1C">
        <w:trPr>
          <w:gridAfter w:val="1"/>
          <w:wAfter w:w="10" w:type="dxa"/>
          <w:cantSplit w:val="0"/>
          <w:trHeight w:val="255"/>
        </w:trPr>
        <w:tc>
          <w:tcPr>
            <w:tcW w:w="3684" w:type="dxa"/>
            <w:tcBorders>
              <w:top w:val="single" w:sz="4" w:space="0" w:color="A6A6A6"/>
              <w:bottom w:val="single" w:sz="4" w:space="0" w:color="A6A6A6"/>
            </w:tcBorders>
            <w:hideMark/>
          </w:tcPr>
          <w:p w14:paraId="3C54A5BB" w14:textId="77777777" w:rsidR="005F4A7E" w:rsidRPr="002029AF" w:rsidRDefault="005F4A7E" w:rsidP="00130D1C">
            <w:pPr>
              <w:pStyle w:val="ARfintablebody"/>
            </w:pPr>
            <w:r w:rsidRPr="00E1191A">
              <w:t>$3</w:t>
            </w:r>
            <w:r>
              <w:t>9</w:t>
            </w:r>
            <w:r w:rsidRPr="00E1191A">
              <w:t>0,000 – $3</w:t>
            </w:r>
            <w:r>
              <w:t>9</w:t>
            </w:r>
            <w:r w:rsidRPr="00E1191A">
              <w:t>9,999</w:t>
            </w:r>
          </w:p>
        </w:tc>
        <w:tc>
          <w:tcPr>
            <w:tcW w:w="1985" w:type="dxa"/>
            <w:tcBorders>
              <w:top w:val="single" w:sz="4" w:space="0" w:color="A6A6A6"/>
              <w:bottom w:val="single" w:sz="4" w:space="0" w:color="A6A6A6"/>
            </w:tcBorders>
            <w:shd w:val="clear" w:color="auto" w:fill="E7E6E6"/>
            <w:noWrap/>
            <w:hideMark/>
          </w:tcPr>
          <w:p w14:paraId="1666CC94" w14:textId="77777777" w:rsidR="005F4A7E" w:rsidRPr="002029AF" w:rsidRDefault="005F4A7E" w:rsidP="00130D1C">
            <w:pPr>
              <w:pStyle w:val="ARfintablebodyright"/>
            </w:pPr>
            <w:r w:rsidRPr="00E1191A">
              <w:t>1</w:t>
            </w:r>
          </w:p>
        </w:tc>
        <w:tc>
          <w:tcPr>
            <w:tcW w:w="1985" w:type="dxa"/>
            <w:tcBorders>
              <w:top w:val="single" w:sz="4" w:space="0" w:color="A6A6A6"/>
              <w:bottom w:val="single" w:sz="4" w:space="0" w:color="A6A6A6"/>
            </w:tcBorders>
            <w:shd w:val="clear" w:color="auto" w:fill="E7E6E6"/>
            <w:noWrap/>
            <w:hideMark/>
          </w:tcPr>
          <w:p w14:paraId="00C314D9" w14:textId="77777777" w:rsidR="005F4A7E" w:rsidRPr="002029AF" w:rsidRDefault="005F4A7E" w:rsidP="00130D1C">
            <w:pPr>
              <w:pStyle w:val="ARfintablebodyright"/>
            </w:pPr>
            <w:r>
              <w:t>–</w:t>
            </w:r>
          </w:p>
        </w:tc>
        <w:tc>
          <w:tcPr>
            <w:tcW w:w="1985" w:type="dxa"/>
            <w:tcBorders>
              <w:top w:val="single" w:sz="4" w:space="0" w:color="A6A6A6"/>
              <w:bottom w:val="single" w:sz="4" w:space="0" w:color="A6A6A6"/>
            </w:tcBorders>
          </w:tcPr>
          <w:p w14:paraId="57037C75" w14:textId="77777777" w:rsidR="005F4A7E" w:rsidRPr="002029AF" w:rsidRDefault="005F4A7E" w:rsidP="00130D1C">
            <w:pPr>
              <w:pStyle w:val="ARfintablebodyright"/>
            </w:pPr>
            <w:r>
              <w:t>–</w:t>
            </w:r>
          </w:p>
        </w:tc>
      </w:tr>
      <w:tr w:rsidR="005F4A7E" w:rsidRPr="002029AF" w14:paraId="75855377" w14:textId="77777777" w:rsidTr="00130D1C">
        <w:trPr>
          <w:cantSplit w:val="0"/>
          <w:trHeight w:val="255"/>
        </w:trPr>
        <w:tc>
          <w:tcPr>
            <w:tcW w:w="3684" w:type="dxa"/>
            <w:tcBorders>
              <w:top w:val="single" w:sz="4" w:space="0" w:color="A6A6A6"/>
              <w:bottom w:val="single" w:sz="4" w:space="0" w:color="A6A6A6"/>
            </w:tcBorders>
          </w:tcPr>
          <w:p w14:paraId="60D55925" w14:textId="77777777" w:rsidR="005F4A7E" w:rsidRPr="00E1191A" w:rsidRDefault="005F4A7E" w:rsidP="00130D1C">
            <w:pPr>
              <w:pStyle w:val="ARfintablebody"/>
            </w:pPr>
            <w:r w:rsidRPr="00E1191A">
              <w:t>$570,000 – $579,999</w:t>
            </w:r>
          </w:p>
        </w:tc>
        <w:tc>
          <w:tcPr>
            <w:tcW w:w="1985" w:type="dxa"/>
            <w:tcBorders>
              <w:top w:val="single" w:sz="4" w:space="0" w:color="A6A6A6"/>
              <w:bottom w:val="single" w:sz="4" w:space="0" w:color="A6A6A6"/>
            </w:tcBorders>
            <w:shd w:val="clear" w:color="auto" w:fill="E7E6E6"/>
            <w:noWrap/>
          </w:tcPr>
          <w:p w14:paraId="73C9CDC2" w14:textId="77777777" w:rsidR="005F4A7E" w:rsidRPr="00E1191A" w:rsidRDefault="005F4A7E" w:rsidP="00130D1C">
            <w:pPr>
              <w:pStyle w:val="ARfintablebodyright"/>
            </w:pPr>
            <w:r>
              <w:t>–</w:t>
            </w:r>
          </w:p>
        </w:tc>
        <w:tc>
          <w:tcPr>
            <w:tcW w:w="1985" w:type="dxa"/>
            <w:tcBorders>
              <w:top w:val="single" w:sz="4" w:space="0" w:color="A6A6A6"/>
              <w:bottom w:val="single" w:sz="4" w:space="0" w:color="A6A6A6"/>
            </w:tcBorders>
            <w:shd w:val="clear" w:color="auto" w:fill="E7E6E6"/>
            <w:noWrap/>
          </w:tcPr>
          <w:p w14:paraId="1FE78C35" w14:textId="77777777" w:rsidR="005F4A7E" w:rsidRDefault="005F4A7E" w:rsidP="00130D1C">
            <w:pPr>
              <w:pStyle w:val="ARfintablebodyright"/>
            </w:pPr>
            <w:r>
              <w:t>–</w:t>
            </w:r>
          </w:p>
        </w:tc>
        <w:tc>
          <w:tcPr>
            <w:tcW w:w="1985" w:type="dxa"/>
            <w:gridSpan w:val="2"/>
            <w:tcBorders>
              <w:top w:val="single" w:sz="4" w:space="0" w:color="A6A6A6"/>
              <w:bottom w:val="single" w:sz="4" w:space="0" w:color="A6A6A6"/>
            </w:tcBorders>
          </w:tcPr>
          <w:p w14:paraId="10FA8321" w14:textId="77777777" w:rsidR="005F4A7E" w:rsidRDefault="005F4A7E" w:rsidP="00130D1C">
            <w:pPr>
              <w:pStyle w:val="ARfintablebodyright"/>
            </w:pPr>
            <w:r w:rsidRPr="00E1191A">
              <w:t>1</w:t>
            </w:r>
          </w:p>
        </w:tc>
      </w:tr>
      <w:tr w:rsidR="005F4A7E" w:rsidRPr="002029AF" w14:paraId="27ECDFA8" w14:textId="77777777" w:rsidTr="00130D1C">
        <w:trPr>
          <w:gridAfter w:val="1"/>
          <w:wAfter w:w="10" w:type="dxa"/>
          <w:cantSplit w:val="0"/>
          <w:trHeight w:val="255"/>
        </w:trPr>
        <w:tc>
          <w:tcPr>
            <w:tcW w:w="3684" w:type="dxa"/>
            <w:tcBorders>
              <w:top w:val="single" w:sz="4" w:space="0" w:color="A6A6A6"/>
            </w:tcBorders>
            <w:hideMark/>
          </w:tcPr>
          <w:p w14:paraId="16DFEB34" w14:textId="77777777" w:rsidR="005F4A7E" w:rsidRPr="002029AF" w:rsidRDefault="005F4A7E" w:rsidP="00130D1C">
            <w:pPr>
              <w:pStyle w:val="ARfintablebody"/>
            </w:pPr>
            <w:r w:rsidRPr="00E1191A">
              <w:t>$</w:t>
            </w:r>
            <w:r>
              <w:t>700</w:t>
            </w:r>
            <w:r w:rsidRPr="00E1191A">
              <w:t>,000 – $</w:t>
            </w:r>
            <w:r>
              <w:t>709</w:t>
            </w:r>
            <w:r w:rsidRPr="00E1191A">
              <w:t>,999</w:t>
            </w:r>
          </w:p>
        </w:tc>
        <w:tc>
          <w:tcPr>
            <w:tcW w:w="1985" w:type="dxa"/>
            <w:tcBorders>
              <w:top w:val="single" w:sz="4" w:space="0" w:color="A6A6A6"/>
            </w:tcBorders>
            <w:shd w:val="clear" w:color="auto" w:fill="E7E6E6"/>
            <w:noWrap/>
            <w:hideMark/>
          </w:tcPr>
          <w:p w14:paraId="274EDDD1" w14:textId="77777777" w:rsidR="005F4A7E" w:rsidRPr="002029AF" w:rsidRDefault="005F4A7E" w:rsidP="00130D1C">
            <w:pPr>
              <w:pStyle w:val="ARfintablebodyright"/>
            </w:pPr>
            <w:r>
              <w:t>1</w:t>
            </w:r>
          </w:p>
        </w:tc>
        <w:tc>
          <w:tcPr>
            <w:tcW w:w="1985" w:type="dxa"/>
            <w:tcBorders>
              <w:top w:val="single" w:sz="4" w:space="0" w:color="A6A6A6"/>
            </w:tcBorders>
            <w:shd w:val="clear" w:color="auto" w:fill="E7E6E6"/>
            <w:noWrap/>
            <w:hideMark/>
          </w:tcPr>
          <w:p w14:paraId="17A0700C" w14:textId="77777777" w:rsidR="005F4A7E" w:rsidRPr="002029AF" w:rsidRDefault="005F4A7E" w:rsidP="00130D1C">
            <w:pPr>
              <w:pStyle w:val="ARfintablebodyright"/>
            </w:pPr>
            <w:r>
              <w:t>–</w:t>
            </w:r>
          </w:p>
        </w:tc>
        <w:tc>
          <w:tcPr>
            <w:tcW w:w="1985" w:type="dxa"/>
            <w:tcBorders>
              <w:top w:val="single" w:sz="4" w:space="0" w:color="A6A6A6"/>
            </w:tcBorders>
          </w:tcPr>
          <w:p w14:paraId="00F73D07" w14:textId="77777777" w:rsidR="005F4A7E" w:rsidRPr="002029AF" w:rsidRDefault="005F4A7E" w:rsidP="00130D1C">
            <w:pPr>
              <w:pStyle w:val="ARfintablebodyright"/>
            </w:pPr>
            <w:r>
              <w:t>–</w:t>
            </w:r>
          </w:p>
        </w:tc>
      </w:tr>
      <w:tr w:rsidR="005F4A7E" w:rsidRPr="002029AF" w14:paraId="1E659183" w14:textId="77777777" w:rsidTr="00130D1C">
        <w:trPr>
          <w:gridAfter w:val="1"/>
          <w:wAfter w:w="10" w:type="dxa"/>
          <w:cantSplit w:val="0"/>
          <w:trHeight w:val="255"/>
        </w:trPr>
        <w:tc>
          <w:tcPr>
            <w:tcW w:w="3684" w:type="dxa"/>
            <w:hideMark/>
          </w:tcPr>
          <w:p w14:paraId="454CE6A8" w14:textId="77777777" w:rsidR="005F4A7E" w:rsidRPr="002029AF" w:rsidRDefault="005F4A7E" w:rsidP="00130D1C">
            <w:pPr>
              <w:pStyle w:val="ARfintablebodybold"/>
            </w:pPr>
            <w:r w:rsidRPr="00E1191A">
              <w:t>Total</w:t>
            </w:r>
          </w:p>
        </w:tc>
        <w:tc>
          <w:tcPr>
            <w:tcW w:w="1985" w:type="dxa"/>
            <w:shd w:val="clear" w:color="auto" w:fill="E7E6E6"/>
            <w:noWrap/>
            <w:hideMark/>
          </w:tcPr>
          <w:p w14:paraId="323989F8" w14:textId="77777777" w:rsidR="005F4A7E" w:rsidRPr="002029AF" w:rsidRDefault="005F4A7E" w:rsidP="00130D1C">
            <w:pPr>
              <w:pStyle w:val="ARfintablebodyrightbold"/>
            </w:pPr>
            <w:r w:rsidRPr="00E1191A">
              <w:t>3</w:t>
            </w:r>
          </w:p>
        </w:tc>
        <w:tc>
          <w:tcPr>
            <w:tcW w:w="1985" w:type="dxa"/>
            <w:shd w:val="clear" w:color="auto" w:fill="E7E6E6"/>
            <w:noWrap/>
            <w:hideMark/>
          </w:tcPr>
          <w:p w14:paraId="646EC376" w14:textId="77777777" w:rsidR="005F4A7E" w:rsidRPr="002029AF" w:rsidRDefault="005F4A7E" w:rsidP="00130D1C">
            <w:pPr>
              <w:pStyle w:val="ARfintablebodyrightbold"/>
            </w:pPr>
            <w:r w:rsidRPr="00E1191A">
              <w:t>2</w:t>
            </w:r>
          </w:p>
        </w:tc>
        <w:tc>
          <w:tcPr>
            <w:tcW w:w="1985" w:type="dxa"/>
          </w:tcPr>
          <w:p w14:paraId="084D73F1" w14:textId="77777777" w:rsidR="005F4A7E" w:rsidRPr="002029AF" w:rsidRDefault="005F4A7E" w:rsidP="00130D1C">
            <w:pPr>
              <w:pStyle w:val="ARfintablebodyrightbold"/>
            </w:pPr>
            <w:r w:rsidRPr="00E1191A">
              <w:t>4</w:t>
            </w:r>
          </w:p>
        </w:tc>
      </w:tr>
    </w:tbl>
    <w:p w14:paraId="398C0178" w14:textId="77777777" w:rsidR="005F4A7E" w:rsidRDefault="005F4A7E" w:rsidP="00130D1C">
      <w:pPr>
        <w:pStyle w:val="ARfintablefootnote"/>
        <w:spacing w:line="240" w:lineRule="auto"/>
        <w:rPr>
          <w:lang w:eastAsia="en-AU"/>
        </w:rPr>
      </w:pPr>
      <w:bookmarkStart w:id="1067" w:name="_Hlk47980003"/>
      <w:r>
        <w:rPr>
          <w:lang w:eastAsia="en-AU"/>
        </w:rPr>
        <w:t>Notes:</w:t>
      </w:r>
    </w:p>
    <w:p w14:paraId="4B2118E2" w14:textId="77777777" w:rsidR="005F4A7E" w:rsidRDefault="005F4A7E" w:rsidP="00130D1C">
      <w:pPr>
        <w:pStyle w:val="ARfintablefootnoteindent"/>
      </w:pPr>
      <w:r>
        <w:t>(i)</w:t>
      </w:r>
      <w:r>
        <w:tab/>
        <w:t>The figures include the Department of Health and the former Department of Health and Human Services.</w:t>
      </w:r>
    </w:p>
    <w:p w14:paraId="4FC46A18" w14:textId="77777777" w:rsidR="005F4A7E" w:rsidRDefault="005F4A7E" w:rsidP="00130D1C">
      <w:pPr>
        <w:pStyle w:val="ARfintablefootnoteindent"/>
      </w:pPr>
      <w:r>
        <w:t>(ii)</w:t>
      </w:r>
      <w:r>
        <w:tab/>
        <w:t>The remuneration of the Director of Housing is disclosed in the Department of Health (including the former Department of Health and Human Services) for the period 1 July 2020 – 31 January 2021 and in the Department of Families, Fairness and Housing for the period 1 February 2021 – 30 June 2021.</w:t>
      </w:r>
      <w:bookmarkEnd w:id="1067"/>
    </w:p>
    <w:p w14:paraId="3D270C4F" w14:textId="77777777" w:rsidR="005F4A7E" w:rsidRDefault="005F4A7E" w:rsidP="00130D1C">
      <w:pPr>
        <w:pStyle w:val="ARfintablefootnoteindent"/>
      </w:pPr>
      <w:r>
        <w:t>(iii)</w:t>
      </w:r>
      <w:r>
        <w:tab/>
        <w:t>There were 3 people occupying Director of Housing position in 2019–20.</w:t>
      </w:r>
    </w:p>
    <w:p w14:paraId="1E101AA1" w14:textId="77777777" w:rsidR="005F4A7E" w:rsidRDefault="005F4A7E" w:rsidP="00130D1C">
      <w:pPr>
        <w:pStyle w:val="Heading4"/>
        <w:rPr>
          <w:lang w:eastAsia="en-AU"/>
        </w:rPr>
      </w:pPr>
      <w:bookmarkStart w:id="1068" w:name="_Toc39242172"/>
      <w:bookmarkStart w:id="1069" w:name="_Toc85121556"/>
      <w:r>
        <w:rPr>
          <w:lang w:eastAsia="en-AU"/>
        </w:rPr>
        <w:t>9.7 Remuneration of executives</w:t>
      </w:r>
      <w:bookmarkEnd w:id="1068"/>
      <w:bookmarkEnd w:id="1069"/>
    </w:p>
    <w:p w14:paraId="6ADA437D" w14:textId="77777777" w:rsidR="005F4A7E" w:rsidRDefault="005F4A7E" w:rsidP="00130D1C">
      <w:pPr>
        <w:pStyle w:val="ARfinbody"/>
      </w:pPr>
      <w:r>
        <w:t>The number of executive officers, other than ministers and accountable officers, and their total remuneration during the reporting period are shown in the table below. Total annualised employee equivalent provides a measure of full-time equivalent executive officers over the reporting period.</w:t>
      </w:r>
    </w:p>
    <w:p w14:paraId="525C0AAB" w14:textId="77777777" w:rsidR="005F4A7E" w:rsidRDefault="005F4A7E" w:rsidP="00130D1C">
      <w:pPr>
        <w:pStyle w:val="ARfinbody"/>
      </w:pPr>
      <w:r>
        <w:t>Remuneration comprises employee benefits in all forms of consideration paid, payable or provided by the entity, or on behalf of the entity, in exchange for services rendered, and is disclosed in the following categories.</w:t>
      </w:r>
    </w:p>
    <w:p w14:paraId="3012307E" w14:textId="77777777" w:rsidR="005F4A7E" w:rsidRDefault="005F4A7E" w:rsidP="00130D1C">
      <w:pPr>
        <w:pStyle w:val="ARfinbody"/>
      </w:pPr>
      <w:r>
        <w:rPr>
          <w:rStyle w:val="Strong"/>
        </w:rPr>
        <w:lastRenderedPageBreak/>
        <w:t>Short-term employee benefits</w:t>
      </w:r>
      <w:r>
        <w:t xml:space="preserve"> include amounts such as wages, salaries, annual leave or sick leave that are usually paid or payable on a regular basis, as well as non-monetary benefits such as allowances and free or subsidised goods or services.</w:t>
      </w:r>
    </w:p>
    <w:p w14:paraId="44DB1A9B" w14:textId="77777777" w:rsidR="005F4A7E" w:rsidRDefault="005F4A7E" w:rsidP="00130D1C">
      <w:pPr>
        <w:pStyle w:val="ARfinbody"/>
      </w:pPr>
      <w:r>
        <w:rPr>
          <w:rStyle w:val="Strong"/>
        </w:rPr>
        <w:t>Post-employment benefits</w:t>
      </w:r>
      <w:r>
        <w:t xml:space="preserve"> include pensions and other retirement benefits paid or payable on a discrete basis when employment has ceased.</w:t>
      </w:r>
    </w:p>
    <w:p w14:paraId="24987511" w14:textId="77777777" w:rsidR="005F4A7E" w:rsidRDefault="005F4A7E" w:rsidP="00130D1C">
      <w:pPr>
        <w:pStyle w:val="ARfinbody"/>
      </w:pPr>
      <w:r>
        <w:rPr>
          <w:rStyle w:val="Strong"/>
        </w:rPr>
        <w:t>Other long-term benefits</w:t>
      </w:r>
      <w:r>
        <w:t xml:space="preserve"> include long service leave, other long service benefit or deferred compensation.</w:t>
      </w:r>
    </w:p>
    <w:p w14:paraId="07CFCEF7" w14:textId="77777777" w:rsidR="005F4A7E" w:rsidRDefault="005F4A7E" w:rsidP="00130D1C">
      <w:pPr>
        <w:pStyle w:val="ARfinbody"/>
      </w:pPr>
      <w:r>
        <w:rPr>
          <w:rStyle w:val="Strong"/>
        </w:rPr>
        <w:t>Termination benefits</w:t>
      </w:r>
      <w:r>
        <w:t xml:space="preserve"> include termination of employment payments, such as severance packages.</w:t>
      </w:r>
    </w:p>
    <w:p w14:paraId="4A439FA3" w14:textId="77777777" w:rsidR="005F4A7E" w:rsidRDefault="005F4A7E" w:rsidP="00130D1C">
      <w:pPr>
        <w:pStyle w:val="ARfinbodylargespace"/>
      </w:pPr>
      <w:r>
        <w:rPr>
          <w:rStyle w:val="Strong"/>
        </w:rPr>
        <w:t>Share-based payments</w:t>
      </w:r>
      <w:r>
        <w:t xml:space="preserve"> are cash or other assets paid or payable as agreed between the entity and the employee, provided specific vesting conditions, if any, are met.</w:t>
      </w:r>
    </w:p>
    <w:tbl>
      <w:tblPr>
        <w:tblStyle w:val="TableGrid"/>
        <w:tblW w:w="9639" w:type="dxa"/>
        <w:tblLayout w:type="fixed"/>
        <w:tblLook w:val="06A0" w:firstRow="1" w:lastRow="0" w:firstColumn="1" w:lastColumn="0" w:noHBand="1" w:noVBand="1"/>
      </w:tblPr>
      <w:tblGrid>
        <w:gridCol w:w="3684"/>
        <w:gridCol w:w="1985"/>
        <w:gridCol w:w="1985"/>
        <w:gridCol w:w="1985"/>
      </w:tblGrid>
      <w:tr w:rsidR="005F4A7E" w:rsidRPr="002029AF" w14:paraId="131BF75C" w14:textId="77777777" w:rsidTr="00130D1C">
        <w:trPr>
          <w:cnfStyle w:val="100000000000" w:firstRow="1" w:lastRow="0" w:firstColumn="0" w:lastColumn="0" w:oddVBand="0" w:evenVBand="0" w:oddHBand="0" w:evenHBand="0" w:firstRowFirstColumn="0" w:firstRowLastColumn="0" w:lastRowFirstColumn="0" w:lastRowLastColumn="0"/>
          <w:trHeight w:val="255"/>
          <w:tblHeader/>
        </w:trPr>
        <w:tc>
          <w:tcPr>
            <w:tcW w:w="3686" w:type="dxa"/>
            <w:tcBorders>
              <w:bottom w:val="single" w:sz="4" w:space="0" w:color="auto"/>
            </w:tcBorders>
            <w:hideMark/>
          </w:tcPr>
          <w:p w14:paraId="1F501C1D" w14:textId="77777777" w:rsidR="005F4A7E" w:rsidRPr="002029AF" w:rsidRDefault="005F4A7E" w:rsidP="00130D1C">
            <w:pPr>
              <w:pStyle w:val="ARfintablecolhead"/>
            </w:pPr>
            <w:r>
              <w:t>Remuneration of executive officers</w:t>
            </w:r>
            <w:r>
              <w:br/>
              <w:t>(including Key Management Personnel disclosed in Note 9.8)</w:t>
            </w:r>
          </w:p>
        </w:tc>
        <w:tc>
          <w:tcPr>
            <w:tcW w:w="1985" w:type="dxa"/>
            <w:tcBorders>
              <w:bottom w:val="single" w:sz="4" w:space="0" w:color="auto"/>
            </w:tcBorders>
            <w:shd w:val="clear" w:color="auto" w:fill="E7E6E6"/>
            <w:hideMark/>
          </w:tcPr>
          <w:p w14:paraId="5F534D97" w14:textId="77777777" w:rsidR="005F4A7E" w:rsidRDefault="005F4A7E" w:rsidP="00860E95">
            <w:pPr>
              <w:pStyle w:val="ARfintablecolheadright"/>
            </w:pPr>
            <w:r w:rsidRPr="00330C64">
              <w:t xml:space="preserve">Department of Health </w:t>
            </w:r>
            <w:r w:rsidRPr="00330C64">
              <w:rPr>
                <w:rStyle w:val="Superscript"/>
              </w:rPr>
              <w:t>(i</w:t>
            </w:r>
            <w:r>
              <w:rPr>
                <w:rStyle w:val="Superscript"/>
              </w:rPr>
              <w:t>)(ii</w:t>
            </w:r>
            <w:r w:rsidRPr="00330C64">
              <w:rPr>
                <w:rStyle w:val="Superscript"/>
              </w:rPr>
              <w:t>)</w:t>
            </w:r>
          </w:p>
          <w:p w14:paraId="19D47785" w14:textId="77777777" w:rsidR="005F4A7E" w:rsidRPr="002029AF" w:rsidRDefault="005F4A7E" w:rsidP="00860E95">
            <w:pPr>
              <w:pStyle w:val="ARfintablecolheadright"/>
            </w:pPr>
            <w:r>
              <w:t>2021</w:t>
            </w:r>
          </w:p>
          <w:p w14:paraId="06F9DEBE" w14:textId="77777777" w:rsidR="005F4A7E" w:rsidRPr="002029AF" w:rsidRDefault="005F4A7E" w:rsidP="00860E95">
            <w:pPr>
              <w:pStyle w:val="ARfintablecolheadright"/>
            </w:pPr>
            <w:r w:rsidRPr="002029AF">
              <w:t>$M</w:t>
            </w:r>
          </w:p>
        </w:tc>
        <w:tc>
          <w:tcPr>
            <w:tcW w:w="1985" w:type="dxa"/>
            <w:tcBorders>
              <w:bottom w:val="single" w:sz="4" w:space="0" w:color="auto"/>
            </w:tcBorders>
            <w:shd w:val="clear" w:color="auto" w:fill="E7E6E6"/>
            <w:hideMark/>
          </w:tcPr>
          <w:p w14:paraId="3AE2E60E" w14:textId="77777777" w:rsidR="005F4A7E" w:rsidRDefault="005F4A7E" w:rsidP="00130D1C">
            <w:pPr>
              <w:pStyle w:val="ARfintablecolheadright"/>
            </w:pPr>
            <w:r w:rsidRPr="00330C64">
              <w:t>Department of Families, Fairness and Housing</w:t>
            </w:r>
          </w:p>
          <w:p w14:paraId="2DA0886B" w14:textId="77777777" w:rsidR="005F4A7E" w:rsidRPr="002029AF" w:rsidRDefault="005F4A7E" w:rsidP="00130D1C">
            <w:pPr>
              <w:pStyle w:val="ARfintablecolheadright"/>
            </w:pPr>
            <w:r>
              <w:t>2021</w:t>
            </w:r>
          </w:p>
          <w:p w14:paraId="029E48D7" w14:textId="77777777" w:rsidR="005F4A7E" w:rsidRPr="002029AF" w:rsidRDefault="005F4A7E" w:rsidP="00130D1C">
            <w:pPr>
              <w:pStyle w:val="ARfintablecolheadright"/>
            </w:pPr>
            <w:r w:rsidRPr="002029AF">
              <w:t>$M</w:t>
            </w:r>
          </w:p>
        </w:tc>
        <w:tc>
          <w:tcPr>
            <w:tcW w:w="1985" w:type="dxa"/>
            <w:tcBorders>
              <w:bottom w:val="single" w:sz="4" w:space="0" w:color="auto"/>
            </w:tcBorders>
          </w:tcPr>
          <w:p w14:paraId="0D5D1D07" w14:textId="77777777" w:rsidR="005F4A7E" w:rsidRDefault="005F4A7E" w:rsidP="00130D1C">
            <w:pPr>
              <w:pStyle w:val="ARfintablecolheadright"/>
            </w:pPr>
            <w:r w:rsidRPr="00330C64">
              <w:t>Department of Health and Human Services</w:t>
            </w:r>
          </w:p>
          <w:p w14:paraId="482F3C82" w14:textId="77777777" w:rsidR="005F4A7E" w:rsidRPr="002029AF" w:rsidRDefault="005F4A7E" w:rsidP="00130D1C">
            <w:pPr>
              <w:pStyle w:val="ARfintablecolheadright"/>
            </w:pPr>
            <w:r>
              <w:t>2020</w:t>
            </w:r>
          </w:p>
          <w:p w14:paraId="57312316" w14:textId="77777777" w:rsidR="005F4A7E" w:rsidRPr="002029AF" w:rsidRDefault="005F4A7E" w:rsidP="00130D1C">
            <w:pPr>
              <w:pStyle w:val="ARfintablecolheadright"/>
            </w:pPr>
            <w:r w:rsidRPr="002029AF">
              <w:t>$M</w:t>
            </w:r>
          </w:p>
        </w:tc>
      </w:tr>
      <w:tr w:rsidR="005F4A7E" w:rsidRPr="002029AF" w14:paraId="4F825713" w14:textId="77777777" w:rsidTr="00130D1C">
        <w:trPr>
          <w:cantSplit w:val="0"/>
          <w:trHeight w:val="255"/>
        </w:trPr>
        <w:tc>
          <w:tcPr>
            <w:tcW w:w="3686" w:type="dxa"/>
            <w:tcBorders>
              <w:top w:val="single" w:sz="4" w:space="0" w:color="auto"/>
              <w:bottom w:val="single" w:sz="4" w:space="0" w:color="A6A6A6"/>
            </w:tcBorders>
            <w:hideMark/>
          </w:tcPr>
          <w:p w14:paraId="32ED3B45" w14:textId="77777777" w:rsidR="005F4A7E" w:rsidRPr="002029AF" w:rsidRDefault="005F4A7E" w:rsidP="00130D1C">
            <w:pPr>
              <w:pStyle w:val="ARfintablebody"/>
            </w:pPr>
            <w:r w:rsidRPr="00434A9F">
              <w:t>Short-term employee benefits</w:t>
            </w:r>
          </w:p>
        </w:tc>
        <w:tc>
          <w:tcPr>
            <w:tcW w:w="1985" w:type="dxa"/>
            <w:tcBorders>
              <w:top w:val="single" w:sz="4" w:space="0" w:color="auto"/>
              <w:bottom w:val="single" w:sz="4" w:space="0" w:color="A6A6A6"/>
            </w:tcBorders>
            <w:shd w:val="clear" w:color="auto" w:fill="E7E6E6"/>
            <w:noWrap/>
            <w:hideMark/>
          </w:tcPr>
          <w:p w14:paraId="52079E68" w14:textId="77777777" w:rsidR="005F4A7E" w:rsidRPr="002029AF" w:rsidRDefault="005F4A7E" w:rsidP="00130D1C">
            <w:pPr>
              <w:pStyle w:val="ARfintablebodyright"/>
            </w:pPr>
            <w:r w:rsidRPr="00434A9F">
              <w:t>5</w:t>
            </w:r>
            <w:r>
              <w:t>6.0</w:t>
            </w:r>
          </w:p>
        </w:tc>
        <w:tc>
          <w:tcPr>
            <w:tcW w:w="1985" w:type="dxa"/>
            <w:tcBorders>
              <w:top w:val="single" w:sz="4" w:space="0" w:color="auto"/>
              <w:bottom w:val="single" w:sz="4" w:space="0" w:color="A6A6A6"/>
            </w:tcBorders>
            <w:shd w:val="clear" w:color="auto" w:fill="E7E6E6"/>
            <w:noWrap/>
            <w:hideMark/>
          </w:tcPr>
          <w:p w14:paraId="0954DB8B" w14:textId="77777777" w:rsidR="005F4A7E" w:rsidRPr="002029AF" w:rsidRDefault="005F4A7E" w:rsidP="00130D1C">
            <w:pPr>
              <w:pStyle w:val="ARfintablebodyright"/>
            </w:pPr>
            <w:r w:rsidRPr="00434A9F">
              <w:t>15.4</w:t>
            </w:r>
          </w:p>
        </w:tc>
        <w:tc>
          <w:tcPr>
            <w:tcW w:w="1985" w:type="dxa"/>
            <w:tcBorders>
              <w:top w:val="single" w:sz="4" w:space="0" w:color="auto"/>
              <w:bottom w:val="single" w:sz="4" w:space="0" w:color="A6A6A6"/>
            </w:tcBorders>
          </w:tcPr>
          <w:p w14:paraId="17771C38" w14:textId="77777777" w:rsidR="005F4A7E" w:rsidRPr="002029AF" w:rsidRDefault="005F4A7E" w:rsidP="00130D1C">
            <w:pPr>
              <w:pStyle w:val="ARfintablebodyright"/>
            </w:pPr>
            <w:r w:rsidRPr="00434A9F">
              <w:t>47.6</w:t>
            </w:r>
          </w:p>
        </w:tc>
      </w:tr>
      <w:tr w:rsidR="005F4A7E" w:rsidRPr="002029AF" w14:paraId="3C282160" w14:textId="77777777" w:rsidTr="00130D1C">
        <w:trPr>
          <w:cantSplit w:val="0"/>
          <w:trHeight w:val="255"/>
        </w:trPr>
        <w:tc>
          <w:tcPr>
            <w:tcW w:w="3686" w:type="dxa"/>
            <w:tcBorders>
              <w:top w:val="single" w:sz="4" w:space="0" w:color="A6A6A6"/>
              <w:bottom w:val="single" w:sz="4" w:space="0" w:color="A6A6A6"/>
            </w:tcBorders>
            <w:hideMark/>
          </w:tcPr>
          <w:p w14:paraId="56535FB9" w14:textId="77777777" w:rsidR="005F4A7E" w:rsidRPr="002029AF" w:rsidRDefault="005F4A7E" w:rsidP="00130D1C">
            <w:pPr>
              <w:pStyle w:val="ARfintablebody"/>
            </w:pPr>
            <w:r w:rsidRPr="00434A9F">
              <w:t>Post-employment benefits</w:t>
            </w:r>
          </w:p>
        </w:tc>
        <w:tc>
          <w:tcPr>
            <w:tcW w:w="1985" w:type="dxa"/>
            <w:tcBorders>
              <w:top w:val="single" w:sz="4" w:space="0" w:color="A6A6A6"/>
              <w:bottom w:val="single" w:sz="4" w:space="0" w:color="A6A6A6"/>
            </w:tcBorders>
            <w:shd w:val="clear" w:color="auto" w:fill="E7E6E6"/>
            <w:noWrap/>
            <w:hideMark/>
          </w:tcPr>
          <w:p w14:paraId="578C24A8" w14:textId="77777777" w:rsidR="005F4A7E" w:rsidRPr="002029AF" w:rsidRDefault="005F4A7E" w:rsidP="00130D1C">
            <w:pPr>
              <w:pStyle w:val="ARfintablebodyright"/>
            </w:pPr>
            <w:r w:rsidRPr="00434A9F">
              <w:t>5.0</w:t>
            </w:r>
          </w:p>
        </w:tc>
        <w:tc>
          <w:tcPr>
            <w:tcW w:w="1985" w:type="dxa"/>
            <w:tcBorders>
              <w:top w:val="single" w:sz="4" w:space="0" w:color="A6A6A6"/>
              <w:bottom w:val="single" w:sz="4" w:space="0" w:color="A6A6A6"/>
            </w:tcBorders>
            <w:shd w:val="clear" w:color="auto" w:fill="E7E6E6"/>
            <w:noWrap/>
            <w:hideMark/>
          </w:tcPr>
          <w:p w14:paraId="366722D0" w14:textId="77777777" w:rsidR="005F4A7E" w:rsidRPr="002029AF" w:rsidRDefault="005F4A7E" w:rsidP="00130D1C">
            <w:pPr>
              <w:pStyle w:val="ARfintablebodyright"/>
            </w:pPr>
            <w:r w:rsidRPr="00434A9F">
              <w:t>1.2</w:t>
            </w:r>
          </w:p>
        </w:tc>
        <w:tc>
          <w:tcPr>
            <w:tcW w:w="1985" w:type="dxa"/>
            <w:tcBorders>
              <w:top w:val="single" w:sz="4" w:space="0" w:color="A6A6A6"/>
              <w:bottom w:val="single" w:sz="4" w:space="0" w:color="A6A6A6"/>
            </w:tcBorders>
          </w:tcPr>
          <w:p w14:paraId="2DAF60FA" w14:textId="77777777" w:rsidR="005F4A7E" w:rsidRPr="002029AF" w:rsidRDefault="005F4A7E" w:rsidP="00130D1C">
            <w:pPr>
              <w:pStyle w:val="ARfintablebodyright"/>
            </w:pPr>
            <w:r w:rsidRPr="00434A9F">
              <w:t>4.1</w:t>
            </w:r>
          </w:p>
        </w:tc>
      </w:tr>
      <w:tr w:rsidR="005F4A7E" w:rsidRPr="002029AF" w14:paraId="5CADCC8C" w14:textId="77777777" w:rsidTr="00130D1C">
        <w:trPr>
          <w:cantSplit w:val="0"/>
          <w:trHeight w:val="255"/>
        </w:trPr>
        <w:tc>
          <w:tcPr>
            <w:tcW w:w="3686" w:type="dxa"/>
            <w:tcBorders>
              <w:top w:val="single" w:sz="4" w:space="0" w:color="A6A6A6"/>
              <w:bottom w:val="single" w:sz="4" w:space="0" w:color="A6A6A6"/>
            </w:tcBorders>
            <w:hideMark/>
          </w:tcPr>
          <w:p w14:paraId="6A952F72" w14:textId="77777777" w:rsidR="005F4A7E" w:rsidRPr="002029AF" w:rsidRDefault="005F4A7E" w:rsidP="00130D1C">
            <w:pPr>
              <w:pStyle w:val="ARfintablebody"/>
            </w:pPr>
            <w:r w:rsidRPr="00434A9F">
              <w:t>Other long-term benefits</w:t>
            </w:r>
          </w:p>
        </w:tc>
        <w:tc>
          <w:tcPr>
            <w:tcW w:w="1985" w:type="dxa"/>
            <w:tcBorders>
              <w:top w:val="single" w:sz="4" w:space="0" w:color="A6A6A6"/>
              <w:bottom w:val="single" w:sz="4" w:space="0" w:color="A6A6A6"/>
            </w:tcBorders>
            <w:shd w:val="clear" w:color="auto" w:fill="E7E6E6"/>
            <w:noWrap/>
            <w:hideMark/>
          </w:tcPr>
          <w:p w14:paraId="784A24DE" w14:textId="77777777" w:rsidR="005F4A7E" w:rsidRPr="002029AF" w:rsidRDefault="005F4A7E" w:rsidP="00130D1C">
            <w:pPr>
              <w:pStyle w:val="ARfintablebodyright"/>
            </w:pPr>
            <w:r w:rsidRPr="00434A9F">
              <w:t>1.4</w:t>
            </w:r>
          </w:p>
        </w:tc>
        <w:tc>
          <w:tcPr>
            <w:tcW w:w="1985" w:type="dxa"/>
            <w:tcBorders>
              <w:top w:val="single" w:sz="4" w:space="0" w:color="A6A6A6"/>
              <w:bottom w:val="single" w:sz="4" w:space="0" w:color="A6A6A6"/>
            </w:tcBorders>
            <w:shd w:val="clear" w:color="auto" w:fill="E7E6E6"/>
            <w:noWrap/>
            <w:hideMark/>
          </w:tcPr>
          <w:p w14:paraId="4F754D89" w14:textId="77777777" w:rsidR="005F4A7E" w:rsidRPr="002029AF" w:rsidRDefault="005F4A7E" w:rsidP="00130D1C">
            <w:pPr>
              <w:pStyle w:val="ARfintablebodyright"/>
            </w:pPr>
            <w:r w:rsidRPr="00434A9F">
              <w:t>0.4</w:t>
            </w:r>
          </w:p>
        </w:tc>
        <w:tc>
          <w:tcPr>
            <w:tcW w:w="1985" w:type="dxa"/>
            <w:tcBorders>
              <w:top w:val="single" w:sz="4" w:space="0" w:color="A6A6A6"/>
              <w:bottom w:val="single" w:sz="4" w:space="0" w:color="A6A6A6"/>
            </w:tcBorders>
          </w:tcPr>
          <w:p w14:paraId="622C6865" w14:textId="77777777" w:rsidR="005F4A7E" w:rsidRPr="002029AF" w:rsidRDefault="005F4A7E" w:rsidP="00130D1C">
            <w:pPr>
              <w:pStyle w:val="ARfintablebodyright"/>
            </w:pPr>
            <w:r w:rsidRPr="00434A9F">
              <w:t>1.2</w:t>
            </w:r>
          </w:p>
        </w:tc>
      </w:tr>
      <w:tr w:rsidR="005F4A7E" w:rsidRPr="002029AF" w14:paraId="25BCBDE7" w14:textId="77777777" w:rsidTr="00130D1C">
        <w:trPr>
          <w:cantSplit w:val="0"/>
          <w:trHeight w:val="255"/>
        </w:trPr>
        <w:tc>
          <w:tcPr>
            <w:tcW w:w="3686" w:type="dxa"/>
            <w:tcBorders>
              <w:top w:val="single" w:sz="4" w:space="0" w:color="A6A6A6"/>
            </w:tcBorders>
            <w:hideMark/>
          </w:tcPr>
          <w:p w14:paraId="128CF93E" w14:textId="77777777" w:rsidR="005F4A7E" w:rsidRPr="002029AF" w:rsidRDefault="005F4A7E" w:rsidP="00130D1C">
            <w:pPr>
              <w:pStyle w:val="ARfintablebody"/>
            </w:pPr>
            <w:r w:rsidRPr="00434A9F">
              <w:t>Termination benefits</w:t>
            </w:r>
          </w:p>
        </w:tc>
        <w:tc>
          <w:tcPr>
            <w:tcW w:w="1985" w:type="dxa"/>
            <w:tcBorders>
              <w:top w:val="single" w:sz="4" w:space="0" w:color="A6A6A6"/>
            </w:tcBorders>
            <w:shd w:val="clear" w:color="auto" w:fill="E7E6E6"/>
            <w:noWrap/>
            <w:hideMark/>
          </w:tcPr>
          <w:p w14:paraId="454285F5" w14:textId="77777777" w:rsidR="005F4A7E" w:rsidRPr="002029AF" w:rsidRDefault="005F4A7E" w:rsidP="00130D1C">
            <w:pPr>
              <w:pStyle w:val="ARfintablebodyright"/>
            </w:pPr>
            <w:r w:rsidRPr="00434A9F">
              <w:t>0.5</w:t>
            </w:r>
          </w:p>
        </w:tc>
        <w:tc>
          <w:tcPr>
            <w:tcW w:w="1985" w:type="dxa"/>
            <w:tcBorders>
              <w:top w:val="single" w:sz="4" w:space="0" w:color="A6A6A6"/>
            </w:tcBorders>
            <w:shd w:val="clear" w:color="auto" w:fill="E7E6E6"/>
            <w:noWrap/>
            <w:hideMark/>
          </w:tcPr>
          <w:p w14:paraId="2419D7F4" w14:textId="77777777" w:rsidR="005F4A7E" w:rsidRPr="002029AF" w:rsidRDefault="005F4A7E" w:rsidP="00130D1C">
            <w:pPr>
              <w:pStyle w:val="ARfintablebodyright"/>
            </w:pPr>
            <w:r w:rsidRPr="00434A9F">
              <w:t>0.2</w:t>
            </w:r>
          </w:p>
        </w:tc>
        <w:tc>
          <w:tcPr>
            <w:tcW w:w="1985" w:type="dxa"/>
            <w:tcBorders>
              <w:top w:val="single" w:sz="4" w:space="0" w:color="A6A6A6"/>
            </w:tcBorders>
          </w:tcPr>
          <w:p w14:paraId="0E7E7E37" w14:textId="77777777" w:rsidR="005F4A7E" w:rsidRPr="002029AF" w:rsidRDefault="005F4A7E" w:rsidP="00130D1C">
            <w:pPr>
              <w:pStyle w:val="ARfintablebodyright"/>
            </w:pPr>
            <w:r w:rsidRPr="00434A9F">
              <w:t>0.3</w:t>
            </w:r>
          </w:p>
        </w:tc>
      </w:tr>
      <w:tr w:rsidR="005F4A7E" w:rsidRPr="002029AF" w14:paraId="1CB1F205" w14:textId="77777777" w:rsidTr="00130D1C">
        <w:trPr>
          <w:cantSplit w:val="0"/>
          <w:trHeight w:val="255"/>
        </w:trPr>
        <w:tc>
          <w:tcPr>
            <w:tcW w:w="3686" w:type="dxa"/>
            <w:hideMark/>
          </w:tcPr>
          <w:p w14:paraId="54CE0A0E" w14:textId="77777777" w:rsidR="005F4A7E" w:rsidRPr="002029AF" w:rsidRDefault="005F4A7E" w:rsidP="00130D1C">
            <w:pPr>
              <w:pStyle w:val="ARfintablebodybold"/>
            </w:pPr>
            <w:r w:rsidRPr="00434A9F">
              <w:t xml:space="preserve">Total remuneration </w:t>
            </w:r>
            <w:r w:rsidRPr="00330C64">
              <w:rPr>
                <w:rStyle w:val="Superscript"/>
              </w:rPr>
              <w:t>(</w:t>
            </w:r>
            <w:r>
              <w:rPr>
                <w:rStyle w:val="Superscript"/>
              </w:rPr>
              <w:t>i</w:t>
            </w:r>
            <w:r w:rsidRPr="00330C64">
              <w:rPr>
                <w:rStyle w:val="Superscript"/>
              </w:rPr>
              <w:t>i</w:t>
            </w:r>
            <w:r>
              <w:rPr>
                <w:rStyle w:val="Superscript"/>
              </w:rPr>
              <w:t>i</w:t>
            </w:r>
            <w:r w:rsidRPr="00330C64">
              <w:rPr>
                <w:rStyle w:val="Superscript"/>
              </w:rPr>
              <w:t>)</w:t>
            </w:r>
          </w:p>
        </w:tc>
        <w:tc>
          <w:tcPr>
            <w:tcW w:w="1985" w:type="dxa"/>
            <w:shd w:val="clear" w:color="auto" w:fill="E7E6E6"/>
            <w:noWrap/>
            <w:hideMark/>
          </w:tcPr>
          <w:p w14:paraId="7F648B55" w14:textId="77777777" w:rsidR="005F4A7E" w:rsidRPr="002029AF" w:rsidRDefault="005F4A7E" w:rsidP="00130D1C">
            <w:pPr>
              <w:pStyle w:val="ARfintablebodyrightbold"/>
            </w:pPr>
            <w:r w:rsidRPr="00434A9F">
              <w:t>62.</w:t>
            </w:r>
            <w:r>
              <w:t>9</w:t>
            </w:r>
          </w:p>
        </w:tc>
        <w:tc>
          <w:tcPr>
            <w:tcW w:w="1985" w:type="dxa"/>
            <w:shd w:val="clear" w:color="auto" w:fill="E7E6E6"/>
            <w:noWrap/>
            <w:hideMark/>
          </w:tcPr>
          <w:p w14:paraId="4F422A53" w14:textId="77777777" w:rsidR="005F4A7E" w:rsidRPr="002029AF" w:rsidRDefault="005F4A7E" w:rsidP="00130D1C">
            <w:pPr>
              <w:pStyle w:val="ARfintablebodyrightbold"/>
            </w:pPr>
            <w:r w:rsidRPr="00434A9F">
              <w:t>17.1</w:t>
            </w:r>
          </w:p>
        </w:tc>
        <w:tc>
          <w:tcPr>
            <w:tcW w:w="1985" w:type="dxa"/>
          </w:tcPr>
          <w:p w14:paraId="385E821A" w14:textId="77777777" w:rsidR="005F4A7E" w:rsidRPr="002029AF" w:rsidRDefault="005F4A7E" w:rsidP="00130D1C">
            <w:pPr>
              <w:pStyle w:val="ARfintablebodyrightbold"/>
            </w:pPr>
            <w:r w:rsidRPr="00434A9F">
              <w:t>53.2</w:t>
            </w:r>
          </w:p>
        </w:tc>
      </w:tr>
      <w:tr w:rsidR="005F4A7E" w:rsidRPr="002029AF" w14:paraId="2B0FFFAA" w14:textId="77777777" w:rsidTr="00130D1C">
        <w:trPr>
          <w:cantSplit w:val="0"/>
          <w:trHeight w:val="255"/>
        </w:trPr>
        <w:tc>
          <w:tcPr>
            <w:tcW w:w="3686" w:type="dxa"/>
            <w:hideMark/>
          </w:tcPr>
          <w:p w14:paraId="719E63BC" w14:textId="77777777" w:rsidR="005F4A7E" w:rsidRPr="002029AF" w:rsidRDefault="005F4A7E" w:rsidP="00130D1C">
            <w:pPr>
              <w:pStyle w:val="ARfintablebodybold"/>
            </w:pPr>
            <w:r w:rsidRPr="00434A9F">
              <w:t xml:space="preserve">Total number of executives </w:t>
            </w:r>
            <w:r w:rsidRPr="00330C64">
              <w:rPr>
                <w:rStyle w:val="Superscript"/>
              </w:rPr>
              <w:t>(i</w:t>
            </w:r>
            <w:r>
              <w:rPr>
                <w:rStyle w:val="Superscript"/>
              </w:rPr>
              <w:t>ii</w:t>
            </w:r>
            <w:r w:rsidRPr="00330C64">
              <w:rPr>
                <w:rStyle w:val="Superscript"/>
              </w:rPr>
              <w:t>)</w:t>
            </w:r>
          </w:p>
        </w:tc>
        <w:tc>
          <w:tcPr>
            <w:tcW w:w="1985" w:type="dxa"/>
            <w:shd w:val="clear" w:color="auto" w:fill="E7E6E6"/>
            <w:noWrap/>
            <w:hideMark/>
          </w:tcPr>
          <w:p w14:paraId="64650CCB" w14:textId="77777777" w:rsidR="005F4A7E" w:rsidRPr="002029AF" w:rsidRDefault="005F4A7E" w:rsidP="00130D1C">
            <w:pPr>
              <w:pStyle w:val="ARfintablebodyrightbold"/>
            </w:pPr>
            <w:r w:rsidRPr="00434A9F">
              <w:t>376</w:t>
            </w:r>
          </w:p>
        </w:tc>
        <w:tc>
          <w:tcPr>
            <w:tcW w:w="1985" w:type="dxa"/>
            <w:shd w:val="clear" w:color="auto" w:fill="E7E6E6"/>
            <w:noWrap/>
            <w:hideMark/>
          </w:tcPr>
          <w:p w14:paraId="13A8BE5C" w14:textId="77777777" w:rsidR="005F4A7E" w:rsidRPr="002029AF" w:rsidRDefault="005F4A7E" w:rsidP="00130D1C">
            <w:pPr>
              <w:pStyle w:val="ARfintablebodyrightbold"/>
            </w:pPr>
            <w:r w:rsidRPr="00434A9F">
              <w:t>190</w:t>
            </w:r>
          </w:p>
        </w:tc>
        <w:tc>
          <w:tcPr>
            <w:tcW w:w="1985" w:type="dxa"/>
          </w:tcPr>
          <w:p w14:paraId="4B9B9781" w14:textId="77777777" w:rsidR="005F4A7E" w:rsidRPr="002029AF" w:rsidRDefault="005F4A7E" w:rsidP="00130D1C">
            <w:pPr>
              <w:pStyle w:val="ARfintablebodyrightbold"/>
            </w:pPr>
            <w:r w:rsidRPr="00434A9F">
              <w:t>288</w:t>
            </w:r>
          </w:p>
        </w:tc>
      </w:tr>
      <w:tr w:rsidR="005F4A7E" w:rsidRPr="002029AF" w14:paraId="69261B2E" w14:textId="77777777" w:rsidTr="00130D1C">
        <w:trPr>
          <w:cantSplit w:val="0"/>
          <w:trHeight w:val="255"/>
        </w:trPr>
        <w:tc>
          <w:tcPr>
            <w:tcW w:w="3686" w:type="dxa"/>
            <w:hideMark/>
          </w:tcPr>
          <w:p w14:paraId="1FCFE165" w14:textId="77777777" w:rsidR="005F4A7E" w:rsidRPr="002029AF" w:rsidRDefault="005F4A7E" w:rsidP="00130D1C">
            <w:pPr>
              <w:pStyle w:val="ARfintablebodybold"/>
            </w:pPr>
            <w:r w:rsidRPr="00434A9F">
              <w:t>Total annualised employee equivalent</w:t>
            </w:r>
            <w:r>
              <w:t> </w:t>
            </w:r>
            <w:r w:rsidRPr="00434A9F">
              <w:t xml:space="preserve">(AEE) </w:t>
            </w:r>
            <w:r w:rsidRPr="00330C64">
              <w:rPr>
                <w:rStyle w:val="Superscript"/>
              </w:rPr>
              <w:t>(i</w:t>
            </w:r>
            <w:r>
              <w:rPr>
                <w:rStyle w:val="Superscript"/>
              </w:rPr>
              <w:t>ii</w:t>
            </w:r>
            <w:r w:rsidRPr="00330C64">
              <w:rPr>
                <w:rStyle w:val="Superscript"/>
              </w:rPr>
              <w:t>)(i</w:t>
            </w:r>
            <w:r>
              <w:rPr>
                <w:rStyle w:val="Superscript"/>
              </w:rPr>
              <w:t>v</w:t>
            </w:r>
            <w:r w:rsidRPr="00330C64">
              <w:rPr>
                <w:rStyle w:val="Superscript"/>
              </w:rPr>
              <w:t>)</w:t>
            </w:r>
          </w:p>
        </w:tc>
        <w:tc>
          <w:tcPr>
            <w:tcW w:w="1985" w:type="dxa"/>
            <w:shd w:val="clear" w:color="auto" w:fill="E7E6E6"/>
            <w:noWrap/>
            <w:hideMark/>
          </w:tcPr>
          <w:p w14:paraId="0506A1DB" w14:textId="77777777" w:rsidR="005F4A7E" w:rsidRPr="002029AF" w:rsidRDefault="005F4A7E" w:rsidP="00130D1C">
            <w:pPr>
              <w:pStyle w:val="ARfintablebodyrightbold"/>
            </w:pPr>
            <w:r w:rsidRPr="00434A9F">
              <w:t>24</w:t>
            </w:r>
            <w:r>
              <w:t>7.2</w:t>
            </w:r>
          </w:p>
        </w:tc>
        <w:tc>
          <w:tcPr>
            <w:tcW w:w="1985" w:type="dxa"/>
            <w:shd w:val="clear" w:color="auto" w:fill="E7E6E6"/>
            <w:noWrap/>
            <w:hideMark/>
          </w:tcPr>
          <w:p w14:paraId="6A7C10F1" w14:textId="77777777" w:rsidR="005F4A7E" w:rsidRPr="002029AF" w:rsidRDefault="005F4A7E" w:rsidP="00130D1C">
            <w:pPr>
              <w:pStyle w:val="ARfintablebodyrightbold"/>
            </w:pPr>
            <w:r w:rsidRPr="00434A9F">
              <w:t>173.1</w:t>
            </w:r>
          </w:p>
        </w:tc>
        <w:tc>
          <w:tcPr>
            <w:tcW w:w="1985" w:type="dxa"/>
          </w:tcPr>
          <w:p w14:paraId="34A2EB35" w14:textId="77777777" w:rsidR="005F4A7E" w:rsidRPr="002029AF" w:rsidRDefault="005F4A7E" w:rsidP="00130D1C">
            <w:pPr>
              <w:pStyle w:val="ARfintablebodyrightbold"/>
            </w:pPr>
            <w:r w:rsidRPr="00434A9F">
              <w:t>228.6</w:t>
            </w:r>
          </w:p>
        </w:tc>
      </w:tr>
    </w:tbl>
    <w:p w14:paraId="75EDA620" w14:textId="77777777" w:rsidR="005F4A7E" w:rsidRDefault="005F4A7E" w:rsidP="00130D1C">
      <w:pPr>
        <w:pStyle w:val="ARfintablefootnote"/>
        <w:spacing w:line="240" w:lineRule="auto"/>
        <w:rPr>
          <w:lang w:eastAsia="en-AU"/>
        </w:rPr>
      </w:pPr>
      <w:bookmarkStart w:id="1070" w:name="_Toc39242173"/>
      <w:r>
        <w:rPr>
          <w:lang w:eastAsia="en-AU"/>
        </w:rPr>
        <w:t>Notes:</w:t>
      </w:r>
    </w:p>
    <w:p w14:paraId="390B017A" w14:textId="77777777" w:rsidR="005F4A7E" w:rsidRDefault="005F4A7E" w:rsidP="003B1F81">
      <w:pPr>
        <w:pStyle w:val="ARfintablefootnoteindent"/>
        <w:numPr>
          <w:ilvl w:val="0"/>
          <w:numId w:val="40"/>
        </w:numPr>
        <w:ind w:left="284" w:hanging="284"/>
      </w:pPr>
      <w:r>
        <w:t>The figures include the Department of Health and the former Department of Health and Human Services.</w:t>
      </w:r>
    </w:p>
    <w:p w14:paraId="764475DE" w14:textId="77777777" w:rsidR="005F4A7E" w:rsidRDefault="005F4A7E" w:rsidP="003B1F81">
      <w:pPr>
        <w:pStyle w:val="ARfintablefootnoteindent"/>
        <w:numPr>
          <w:ilvl w:val="5"/>
          <w:numId w:val="35"/>
        </w:numPr>
        <w:tabs>
          <w:tab w:val="clear" w:pos="2912"/>
        </w:tabs>
        <w:ind w:left="284" w:hanging="284"/>
      </w:pPr>
      <w:r>
        <w:t>Remuneration of KMPs seconded from other departments are not included.</w:t>
      </w:r>
    </w:p>
    <w:p w14:paraId="60A05B66" w14:textId="77777777" w:rsidR="00864121" w:rsidRDefault="005F4A7E" w:rsidP="003B1F81">
      <w:pPr>
        <w:pStyle w:val="ARfintablefootnoteindent"/>
        <w:numPr>
          <w:ilvl w:val="5"/>
          <w:numId w:val="35"/>
        </w:numPr>
        <w:tabs>
          <w:tab w:val="clear" w:pos="2912"/>
        </w:tabs>
        <w:ind w:left="284" w:hanging="284"/>
      </w:pPr>
      <w:r>
        <w:t xml:space="preserve">Total figures for </w:t>
      </w:r>
      <w:r w:rsidRPr="0012629D">
        <w:t>2020</w:t>
      </w:r>
      <w:r>
        <w:t>–</w:t>
      </w:r>
      <w:r w:rsidRPr="0012629D">
        <w:t>21 include the remuneration of the CFO who delivered services, as an executive officer to the department but is employed by the Department of Treasury and Finance. In 2019</w:t>
      </w:r>
      <w:r>
        <w:t>–</w:t>
      </w:r>
      <w:r w:rsidRPr="0012629D">
        <w:t>20, the remuneration of the CFO was reported by the Department of Treasury and Finance. Comparatives have not been restated to include these numbers</w:t>
      </w:r>
      <w:r>
        <w:t>.</w:t>
      </w:r>
    </w:p>
    <w:p w14:paraId="05F95EC7" w14:textId="0559C9D3" w:rsidR="005F4A7E" w:rsidRDefault="005F4A7E" w:rsidP="003B1F81">
      <w:pPr>
        <w:pStyle w:val="ARfintablefootnoteindent"/>
        <w:numPr>
          <w:ilvl w:val="5"/>
          <w:numId w:val="35"/>
        </w:numPr>
        <w:tabs>
          <w:tab w:val="clear" w:pos="2912"/>
        </w:tabs>
        <w:ind w:left="284" w:hanging="284"/>
      </w:pPr>
      <w:r>
        <w:t>Annualised employee equivalent is based on the time fraction worked over the reporting period.</w:t>
      </w:r>
    </w:p>
    <w:p w14:paraId="4AB5A600" w14:textId="77777777" w:rsidR="005F4A7E" w:rsidRDefault="005F4A7E" w:rsidP="00130D1C">
      <w:pPr>
        <w:pStyle w:val="Heading4"/>
        <w:rPr>
          <w:lang w:eastAsia="en-AU"/>
        </w:rPr>
      </w:pPr>
      <w:bookmarkStart w:id="1071" w:name="_Toc85121557"/>
      <w:bookmarkEnd w:id="1070"/>
      <w:r>
        <w:rPr>
          <w:lang w:eastAsia="en-AU"/>
        </w:rPr>
        <w:t>9.8 Related parties</w:t>
      </w:r>
      <w:bookmarkEnd w:id="1071"/>
    </w:p>
    <w:p w14:paraId="35AE2033" w14:textId="77777777" w:rsidR="005F4A7E" w:rsidRDefault="005F4A7E" w:rsidP="00130D1C">
      <w:pPr>
        <w:pStyle w:val="ARfinbody"/>
      </w:pPr>
      <w:r>
        <w:t>The department is a wholly owned and controlled entity of the State of Victoria.</w:t>
      </w:r>
    </w:p>
    <w:p w14:paraId="741601F7" w14:textId="698C2FDB" w:rsidR="005F4A7E" w:rsidRDefault="005F4A7E" w:rsidP="00130D1C">
      <w:pPr>
        <w:pStyle w:val="ARfinbody"/>
      </w:pPr>
      <w:r>
        <w:t>The following Administrative Offices have been included into the department</w:t>
      </w:r>
      <w:r w:rsidR="007D145B">
        <w:t>’</w:t>
      </w:r>
      <w:r>
        <w:t>s financial statements under s. 45(4) of the </w:t>
      </w:r>
      <w:r>
        <w:rPr>
          <w:rStyle w:val="Emphasis"/>
        </w:rPr>
        <w:t>Financial Management Act 1994</w:t>
      </w:r>
      <w:r>
        <w:t>:</w:t>
      </w:r>
    </w:p>
    <w:p w14:paraId="0B565ED7" w14:textId="77777777" w:rsidR="005F4A7E" w:rsidRDefault="005F4A7E" w:rsidP="005F4A7E">
      <w:pPr>
        <w:pStyle w:val="ARfinbullet1"/>
        <w:numPr>
          <w:ilvl w:val="0"/>
          <w:numId w:val="2"/>
        </w:numPr>
      </w:pPr>
      <w:r>
        <w:t>Family Safety Victoria</w:t>
      </w:r>
    </w:p>
    <w:p w14:paraId="0B810632" w14:textId="77777777" w:rsidR="005F4A7E" w:rsidRDefault="005F4A7E" w:rsidP="005F4A7E">
      <w:pPr>
        <w:pStyle w:val="ARfinbullet1"/>
        <w:numPr>
          <w:ilvl w:val="0"/>
          <w:numId w:val="2"/>
        </w:numPr>
      </w:pPr>
      <w:r>
        <w:t>Mental Health Reform Victoria</w:t>
      </w:r>
    </w:p>
    <w:p w14:paraId="6FD76675" w14:textId="77777777" w:rsidR="005F4A7E" w:rsidRDefault="005F4A7E" w:rsidP="005F4A7E">
      <w:pPr>
        <w:pStyle w:val="ARfinbullet1"/>
        <w:numPr>
          <w:ilvl w:val="0"/>
          <w:numId w:val="2"/>
        </w:numPr>
      </w:pPr>
      <w:r>
        <w:t>Safer Care Victoria</w:t>
      </w:r>
    </w:p>
    <w:p w14:paraId="35827C7B" w14:textId="77777777" w:rsidR="005F4A7E" w:rsidRDefault="005F4A7E" w:rsidP="005F4A7E">
      <w:pPr>
        <w:pStyle w:val="ARfinbullet1"/>
        <w:numPr>
          <w:ilvl w:val="0"/>
          <w:numId w:val="2"/>
        </w:numPr>
      </w:pPr>
      <w:r>
        <w:t>Victorian Agency for Health Information (abolished as an Administrative Office and became part of the Department of Health on 1 February 2021).</w:t>
      </w:r>
    </w:p>
    <w:p w14:paraId="69EE5CC3" w14:textId="36ACFD9B" w:rsidR="005F4A7E" w:rsidRDefault="005F4A7E" w:rsidP="00130D1C">
      <w:pPr>
        <w:pStyle w:val="ARfinbody"/>
      </w:pPr>
      <w:r>
        <w:t>The following entities have been included into the department</w:t>
      </w:r>
      <w:r w:rsidR="007D145B">
        <w:t>’</w:t>
      </w:r>
      <w:r>
        <w:t xml:space="preserve">s financial statements pursuant to the determination made by the Assistant Treasurer under section 53(1)(b) of the </w:t>
      </w:r>
      <w:r>
        <w:rPr>
          <w:rStyle w:val="Emphasis"/>
        </w:rPr>
        <w:t>Financial Management Act 1994</w:t>
      </w:r>
      <w:r>
        <w:t>:</w:t>
      </w:r>
    </w:p>
    <w:p w14:paraId="78699C1F" w14:textId="77777777" w:rsidR="005F4A7E" w:rsidRDefault="005F4A7E" w:rsidP="005F4A7E">
      <w:pPr>
        <w:pStyle w:val="ARfinbullet1"/>
        <w:numPr>
          <w:ilvl w:val="0"/>
          <w:numId w:val="2"/>
        </w:numPr>
      </w:pPr>
      <w:r>
        <w:t>Director of Housing</w:t>
      </w:r>
    </w:p>
    <w:p w14:paraId="06975810" w14:textId="77777777" w:rsidR="005F4A7E" w:rsidRDefault="005F4A7E" w:rsidP="005F4A7E">
      <w:pPr>
        <w:pStyle w:val="ARfinbullet1"/>
        <w:numPr>
          <w:ilvl w:val="0"/>
          <w:numId w:val="2"/>
        </w:numPr>
      </w:pPr>
      <w:r>
        <w:t>Mental Health Tribunal</w:t>
      </w:r>
    </w:p>
    <w:p w14:paraId="771A0898" w14:textId="77777777" w:rsidR="005F4A7E" w:rsidRDefault="005F4A7E" w:rsidP="005F4A7E">
      <w:pPr>
        <w:pStyle w:val="ARfinbullet1"/>
        <w:numPr>
          <w:ilvl w:val="0"/>
          <w:numId w:val="2"/>
        </w:numPr>
      </w:pPr>
      <w:r>
        <w:t>Commission for Children and Young People</w:t>
      </w:r>
    </w:p>
    <w:p w14:paraId="3CC8A48F" w14:textId="77777777" w:rsidR="005F4A7E" w:rsidRDefault="005F4A7E" w:rsidP="005F4A7E">
      <w:pPr>
        <w:pStyle w:val="ARfinbullet1"/>
        <w:numPr>
          <w:ilvl w:val="0"/>
          <w:numId w:val="2"/>
        </w:numPr>
      </w:pPr>
      <w:r>
        <w:t>Disability Worker Registration Board</w:t>
      </w:r>
    </w:p>
    <w:p w14:paraId="785DC6CE" w14:textId="77777777" w:rsidR="005F4A7E" w:rsidRDefault="005F4A7E" w:rsidP="005F4A7E">
      <w:pPr>
        <w:pStyle w:val="ARfinbullet1"/>
        <w:numPr>
          <w:ilvl w:val="0"/>
          <w:numId w:val="2"/>
        </w:numPr>
      </w:pPr>
      <w:r>
        <w:t>Victorian Disability Worker Commission</w:t>
      </w:r>
    </w:p>
    <w:p w14:paraId="40A0CA44" w14:textId="77777777" w:rsidR="005F4A7E" w:rsidRDefault="005F4A7E" w:rsidP="005F4A7E">
      <w:pPr>
        <w:pStyle w:val="ARfinbullet1"/>
        <w:numPr>
          <w:ilvl w:val="0"/>
          <w:numId w:val="2"/>
        </w:numPr>
      </w:pPr>
      <w:r>
        <w:t>Department of Families, Fairness and Housing</w:t>
      </w:r>
    </w:p>
    <w:p w14:paraId="737C6F3D" w14:textId="77777777" w:rsidR="005F4A7E" w:rsidRDefault="005F4A7E" w:rsidP="005F4A7E">
      <w:pPr>
        <w:pStyle w:val="ARfinbullet1"/>
        <w:numPr>
          <w:ilvl w:val="0"/>
          <w:numId w:val="2"/>
        </w:numPr>
      </w:pPr>
      <w:r>
        <w:t>Respect Victoria</w:t>
      </w:r>
    </w:p>
    <w:p w14:paraId="07C45D84" w14:textId="77777777" w:rsidR="005F4A7E" w:rsidRDefault="005F4A7E" w:rsidP="005F4A7E">
      <w:pPr>
        <w:pStyle w:val="ARfinbullet1"/>
        <w:numPr>
          <w:ilvl w:val="0"/>
          <w:numId w:val="2"/>
        </w:numPr>
      </w:pPr>
      <w:r>
        <w:t>Victorian Multicultural Commission</w:t>
      </w:r>
    </w:p>
    <w:p w14:paraId="1344493A" w14:textId="77777777" w:rsidR="005F4A7E" w:rsidRDefault="005F4A7E" w:rsidP="005F4A7E">
      <w:pPr>
        <w:pStyle w:val="ARfinbullet1"/>
        <w:numPr>
          <w:ilvl w:val="0"/>
          <w:numId w:val="2"/>
        </w:numPr>
      </w:pPr>
      <w:r>
        <w:t>Victorian Veterans Council.</w:t>
      </w:r>
    </w:p>
    <w:p w14:paraId="3DB9F95B" w14:textId="77777777" w:rsidR="005F4A7E" w:rsidRDefault="005F4A7E" w:rsidP="00130D1C">
      <w:pPr>
        <w:pStyle w:val="ARfinbody"/>
      </w:pPr>
      <w:r>
        <w:t>Related parties of the department, and the abovementioned Administrative Offices and entities include:</w:t>
      </w:r>
    </w:p>
    <w:p w14:paraId="229FF63F" w14:textId="77777777" w:rsidR="005F4A7E" w:rsidRDefault="005F4A7E" w:rsidP="005F4A7E">
      <w:pPr>
        <w:pStyle w:val="ARfinbullet1"/>
        <w:numPr>
          <w:ilvl w:val="0"/>
          <w:numId w:val="2"/>
        </w:numPr>
      </w:pPr>
      <w:r>
        <w:t>all key management personnel and their close family members and personal business interests (controlled entities, joint ventures and entities they have significant influence over)</w:t>
      </w:r>
    </w:p>
    <w:p w14:paraId="6DB68EB9" w14:textId="0124FCD8" w:rsidR="005F4A7E" w:rsidRDefault="005F4A7E" w:rsidP="005F4A7E">
      <w:pPr>
        <w:pStyle w:val="ARfinbullet1"/>
        <w:numPr>
          <w:ilvl w:val="0"/>
          <w:numId w:val="2"/>
        </w:numPr>
      </w:pPr>
      <w:r>
        <w:t xml:space="preserve">all </w:t>
      </w:r>
      <w:r w:rsidR="009F5373">
        <w:t>C</w:t>
      </w:r>
      <w:r>
        <w:t>abinet ministers and their close family members</w:t>
      </w:r>
    </w:p>
    <w:p w14:paraId="0F8E461F" w14:textId="77777777" w:rsidR="005F4A7E" w:rsidRDefault="005F4A7E" w:rsidP="005F4A7E">
      <w:pPr>
        <w:pStyle w:val="ARfinbullet1"/>
        <w:numPr>
          <w:ilvl w:val="0"/>
          <w:numId w:val="2"/>
        </w:numPr>
      </w:pPr>
      <w:r>
        <w:lastRenderedPageBreak/>
        <w:t>all departments and public sector entities that are controlled and consolidated into the whole of state consolidated financial statements.</w:t>
      </w:r>
    </w:p>
    <w:p w14:paraId="6024D0ED" w14:textId="3B1D3CD4" w:rsidR="005F4A7E" w:rsidRDefault="005F4A7E" w:rsidP="00130D1C">
      <w:pPr>
        <w:pStyle w:val="ARfinbody"/>
      </w:pPr>
      <w:r>
        <w:t>All related party transactions have been entered into on an arm</w:t>
      </w:r>
      <w:r w:rsidR="007D145B">
        <w:t>’</w:t>
      </w:r>
      <w:r>
        <w:t>s length basis.</w:t>
      </w:r>
    </w:p>
    <w:p w14:paraId="7F7000BD" w14:textId="77777777" w:rsidR="005F4A7E" w:rsidRDefault="005F4A7E" w:rsidP="00130D1C">
      <w:pPr>
        <w:pStyle w:val="Heading5"/>
      </w:pPr>
      <w:bookmarkStart w:id="1072" w:name="_Toc85121558"/>
      <w:r>
        <w:t>Significant transactions with government-related entities</w:t>
      </w:r>
      <w:bookmarkEnd w:id="1072"/>
    </w:p>
    <w:p w14:paraId="06D96167" w14:textId="77777777" w:rsidR="005F4A7E" w:rsidRDefault="005F4A7E" w:rsidP="00130D1C">
      <w:pPr>
        <w:pStyle w:val="ARfinbody"/>
      </w:pPr>
      <w:r>
        <w:t>The department received funding and made payments to the Consolidated Fund of $22,650.3</w:t>
      </w:r>
      <w:r>
        <w:rPr>
          <w:color w:val="FF0000"/>
        </w:rPr>
        <w:t xml:space="preserve"> </w:t>
      </w:r>
      <w:r>
        <w:t xml:space="preserve">million </w:t>
      </w:r>
      <w:r>
        <w:br/>
        <w:t>(2020: $18,971.9 million) and $539.7</w:t>
      </w:r>
      <w:r>
        <w:rPr>
          <w:color w:val="FF0000"/>
        </w:rPr>
        <w:t xml:space="preserve"> </w:t>
      </w:r>
      <w:r>
        <w:t>million (2020: $405.0 million) respectively.</w:t>
      </w:r>
    </w:p>
    <w:p w14:paraId="5C7A60F1" w14:textId="77777777" w:rsidR="005F4A7E" w:rsidRDefault="005F4A7E" w:rsidP="00130D1C">
      <w:pPr>
        <w:pStyle w:val="ARfinbody"/>
      </w:pPr>
      <w:r>
        <w:t>Refer to Note 3.1.2 for other government-related entity transactions.</w:t>
      </w:r>
    </w:p>
    <w:p w14:paraId="5DE5E40D" w14:textId="77777777" w:rsidR="005F4A7E" w:rsidRDefault="005F4A7E" w:rsidP="00130D1C">
      <w:pPr>
        <w:pStyle w:val="ARfinbody"/>
      </w:pPr>
      <w:r>
        <w:rPr>
          <w:rStyle w:val="Strong"/>
        </w:rPr>
        <w:t>Key management personnel</w:t>
      </w:r>
      <w:r>
        <w:t xml:space="preserve"> of the department include the Portfolio Ministers, The Hon. Martin Foley MP, The Hon. Luke Donnellan MP and The Hon. James Merlino MP; the Secretary, Euan Wallace; and members </w:t>
      </w:r>
      <w:r>
        <w:br/>
        <w:t>of the senior executive team, which includes:</w:t>
      </w:r>
    </w:p>
    <w:tbl>
      <w:tblPr>
        <w:tblStyle w:val="TableGrid"/>
        <w:tblW w:w="9639" w:type="dxa"/>
        <w:tblLayout w:type="fixed"/>
        <w:tblLook w:val="06A0" w:firstRow="1" w:lastRow="0" w:firstColumn="1" w:lastColumn="0" w:noHBand="1" w:noVBand="1"/>
      </w:tblPr>
      <w:tblGrid>
        <w:gridCol w:w="2212"/>
        <w:gridCol w:w="2211"/>
        <w:gridCol w:w="2211"/>
        <w:gridCol w:w="3005"/>
      </w:tblGrid>
      <w:tr w:rsidR="005F4A7E" w:rsidRPr="002029AF" w14:paraId="2ACBF7C6"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2212" w:type="dxa"/>
            <w:tcBorders>
              <w:bottom w:val="single" w:sz="4" w:space="0" w:color="auto"/>
            </w:tcBorders>
          </w:tcPr>
          <w:p w14:paraId="576AB325" w14:textId="77777777" w:rsidR="005F4A7E" w:rsidRPr="002029AF" w:rsidRDefault="005F4A7E" w:rsidP="00130D1C">
            <w:pPr>
              <w:pStyle w:val="ARfintablecolhead"/>
            </w:pPr>
            <w:r w:rsidRPr="002029AF">
              <w:t>Entity</w:t>
            </w:r>
          </w:p>
        </w:tc>
        <w:tc>
          <w:tcPr>
            <w:tcW w:w="2211" w:type="dxa"/>
            <w:tcBorders>
              <w:bottom w:val="single" w:sz="4" w:space="0" w:color="auto"/>
            </w:tcBorders>
          </w:tcPr>
          <w:p w14:paraId="336765EA" w14:textId="77777777" w:rsidR="005F4A7E" w:rsidRPr="002029AF" w:rsidRDefault="005F4A7E" w:rsidP="00130D1C">
            <w:pPr>
              <w:pStyle w:val="ARfintablecolhead"/>
            </w:pPr>
            <w:r w:rsidRPr="002029AF">
              <w:t xml:space="preserve">Key </w:t>
            </w:r>
            <w:r>
              <w:t>m</w:t>
            </w:r>
            <w:r w:rsidRPr="002029AF">
              <w:t xml:space="preserve">anagement </w:t>
            </w:r>
            <w:r>
              <w:t>p</w:t>
            </w:r>
            <w:r w:rsidRPr="002029AF">
              <w:t>ersonnel</w:t>
            </w:r>
          </w:p>
        </w:tc>
        <w:tc>
          <w:tcPr>
            <w:tcW w:w="2211" w:type="dxa"/>
            <w:tcBorders>
              <w:bottom w:val="single" w:sz="4" w:space="0" w:color="auto"/>
            </w:tcBorders>
          </w:tcPr>
          <w:p w14:paraId="20BD82D3" w14:textId="77777777" w:rsidR="005F4A7E" w:rsidRPr="002029AF" w:rsidRDefault="005F4A7E" w:rsidP="00130D1C">
            <w:pPr>
              <w:pStyle w:val="ARfintablecolhead"/>
            </w:pPr>
            <w:r w:rsidRPr="002029AF">
              <w:t>Position title</w:t>
            </w:r>
          </w:p>
        </w:tc>
        <w:tc>
          <w:tcPr>
            <w:tcW w:w="3005" w:type="dxa"/>
            <w:tcBorders>
              <w:bottom w:val="single" w:sz="4" w:space="0" w:color="auto"/>
            </w:tcBorders>
          </w:tcPr>
          <w:p w14:paraId="215090B3" w14:textId="77777777" w:rsidR="005F4A7E" w:rsidRPr="002029AF" w:rsidRDefault="005F4A7E" w:rsidP="00130D1C">
            <w:pPr>
              <w:pStyle w:val="ARfintablecolhead"/>
            </w:pPr>
            <w:r w:rsidRPr="002029AF">
              <w:t>Period</w:t>
            </w:r>
          </w:p>
        </w:tc>
      </w:tr>
      <w:tr w:rsidR="005F4A7E" w:rsidRPr="002029AF" w14:paraId="39E8BAC8" w14:textId="77777777" w:rsidTr="00130D1C">
        <w:trPr>
          <w:cantSplit w:val="0"/>
        </w:trPr>
        <w:tc>
          <w:tcPr>
            <w:tcW w:w="2212" w:type="dxa"/>
            <w:tcBorders>
              <w:top w:val="single" w:sz="4" w:space="0" w:color="auto"/>
              <w:bottom w:val="single" w:sz="4" w:space="0" w:color="A6A6A6"/>
            </w:tcBorders>
          </w:tcPr>
          <w:p w14:paraId="6DED2B1D" w14:textId="77777777" w:rsidR="005F4A7E" w:rsidRPr="002029AF" w:rsidRDefault="005F4A7E" w:rsidP="00130D1C">
            <w:pPr>
              <w:pStyle w:val="ARfintablebody"/>
            </w:pPr>
            <w:r>
              <w:t>Department of Health</w:t>
            </w:r>
          </w:p>
        </w:tc>
        <w:tc>
          <w:tcPr>
            <w:tcW w:w="2211" w:type="dxa"/>
            <w:tcBorders>
              <w:top w:val="single" w:sz="4" w:space="0" w:color="auto"/>
              <w:bottom w:val="single" w:sz="4" w:space="0" w:color="A6A6A6"/>
            </w:tcBorders>
          </w:tcPr>
          <w:p w14:paraId="3E9BDC9D" w14:textId="77777777" w:rsidR="005F4A7E" w:rsidRPr="002029AF" w:rsidRDefault="005F4A7E" w:rsidP="00130D1C">
            <w:pPr>
              <w:pStyle w:val="ARfintablebody"/>
            </w:pPr>
            <w:r>
              <w:t>Jodie Geissler</w:t>
            </w:r>
          </w:p>
        </w:tc>
        <w:tc>
          <w:tcPr>
            <w:tcW w:w="2211" w:type="dxa"/>
            <w:tcBorders>
              <w:top w:val="single" w:sz="4" w:space="0" w:color="auto"/>
              <w:bottom w:val="single" w:sz="4" w:space="0" w:color="A6A6A6"/>
            </w:tcBorders>
          </w:tcPr>
          <w:p w14:paraId="7C6B4E38" w14:textId="77777777" w:rsidR="005F4A7E" w:rsidRPr="002029AF" w:rsidRDefault="005F4A7E" w:rsidP="00130D1C">
            <w:pPr>
              <w:pStyle w:val="ARfintablebody"/>
            </w:pPr>
            <w:r>
              <w:t xml:space="preserve">Deputy </w:t>
            </w:r>
            <w:r w:rsidRPr="00D72137">
              <w:t>Secretary, Commissioning and System Improvement</w:t>
            </w:r>
          </w:p>
        </w:tc>
        <w:tc>
          <w:tcPr>
            <w:tcW w:w="3005" w:type="dxa"/>
            <w:tcBorders>
              <w:top w:val="single" w:sz="4" w:space="0" w:color="auto"/>
              <w:bottom w:val="single" w:sz="4" w:space="0" w:color="A6A6A6"/>
            </w:tcBorders>
          </w:tcPr>
          <w:p w14:paraId="3BA4BCB8" w14:textId="77777777" w:rsidR="005F4A7E" w:rsidRPr="002029AF" w:rsidRDefault="005F4A7E" w:rsidP="00130D1C">
            <w:pPr>
              <w:pStyle w:val="ARfintablebody"/>
            </w:pPr>
            <w:r w:rsidRPr="00D72137">
              <w:t>1 March 2021 to 30 June 2021</w:t>
            </w:r>
          </w:p>
        </w:tc>
      </w:tr>
      <w:tr w:rsidR="005F4A7E" w:rsidRPr="002029AF" w14:paraId="4290C466" w14:textId="77777777" w:rsidTr="00130D1C">
        <w:trPr>
          <w:cantSplit w:val="0"/>
        </w:trPr>
        <w:tc>
          <w:tcPr>
            <w:tcW w:w="2212" w:type="dxa"/>
            <w:tcBorders>
              <w:top w:val="single" w:sz="4" w:space="0" w:color="A6A6A6"/>
              <w:bottom w:val="single" w:sz="4" w:space="0" w:color="A6A6A6"/>
            </w:tcBorders>
          </w:tcPr>
          <w:p w14:paraId="30525FA0" w14:textId="77777777" w:rsidR="005F4A7E" w:rsidRPr="002029AF" w:rsidRDefault="005F4A7E" w:rsidP="00130D1C">
            <w:pPr>
              <w:pStyle w:val="ARfintablebody"/>
            </w:pPr>
            <w:r>
              <w:t>Department of Health</w:t>
            </w:r>
          </w:p>
        </w:tc>
        <w:tc>
          <w:tcPr>
            <w:tcW w:w="2211" w:type="dxa"/>
            <w:tcBorders>
              <w:top w:val="single" w:sz="4" w:space="0" w:color="A6A6A6"/>
              <w:bottom w:val="single" w:sz="4" w:space="0" w:color="A6A6A6"/>
            </w:tcBorders>
          </w:tcPr>
          <w:p w14:paraId="632B5637" w14:textId="77777777" w:rsidR="005F4A7E" w:rsidRPr="002029AF" w:rsidRDefault="005F4A7E" w:rsidP="00130D1C">
            <w:pPr>
              <w:pStyle w:val="ARfintablebody"/>
            </w:pPr>
            <w:r>
              <w:t>Katherine Whetton</w:t>
            </w:r>
          </w:p>
        </w:tc>
        <w:tc>
          <w:tcPr>
            <w:tcW w:w="2211" w:type="dxa"/>
            <w:tcBorders>
              <w:top w:val="single" w:sz="4" w:space="0" w:color="A6A6A6"/>
              <w:bottom w:val="single" w:sz="4" w:space="0" w:color="A6A6A6"/>
            </w:tcBorders>
          </w:tcPr>
          <w:p w14:paraId="109754B3" w14:textId="77777777" w:rsidR="005F4A7E" w:rsidRPr="002029AF" w:rsidRDefault="005F4A7E" w:rsidP="00130D1C">
            <w:pPr>
              <w:pStyle w:val="ARfintablebody"/>
            </w:pPr>
            <w:r>
              <w:t>Deputy Secretary, Mental Health</w:t>
            </w:r>
          </w:p>
        </w:tc>
        <w:tc>
          <w:tcPr>
            <w:tcW w:w="3005" w:type="dxa"/>
            <w:tcBorders>
              <w:top w:val="single" w:sz="4" w:space="0" w:color="A6A6A6"/>
              <w:bottom w:val="single" w:sz="4" w:space="0" w:color="A6A6A6"/>
            </w:tcBorders>
          </w:tcPr>
          <w:p w14:paraId="18990CE7" w14:textId="77777777" w:rsidR="005F4A7E" w:rsidRPr="002029AF" w:rsidRDefault="005F4A7E" w:rsidP="00130D1C">
            <w:pPr>
              <w:pStyle w:val="ARfintablebody"/>
            </w:pPr>
            <w:r w:rsidRPr="00B52B3C">
              <w:t xml:space="preserve">1 </w:t>
            </w:r>
            <w:r>
              <w:t>February 2021 to 30 June 2021</w:t>
            </w:r>
          </w:p>
        </w:tc>
      </w:tr>
      <w:tr w:rsidR="005F4A7E" w:rsidRPr="002029AF" w14:paraId="0EEDC3A9" w14:textId="77777777" w:rsidTr="00130D1C">
        <w:trPr>
          <w:cantSplit w:val="0"/>
        </w:trPr>
        <w:tc>
          <w:tcPr>
            <w:tcW w:w="2212" w:type="dxa"/>
            <w:tcBorders>
              <w:top w:val="single" w:sz="4" w:space="0" w:color="A6A6A6"/>
              <w:bottom w:val="single" w:sz="4" w:space="0" w:color="A6A6A6"/>
            </w:tcBorders>
          </w:tcPr>
          <w:p w14:paraId="46CB45A9" w14:textId="77777777" w:rsidR="005F4A7E" w:rsidRPr="002029AF" w:rsidRDefault="005F4A7E" w:rsidP="00130D1C">
            <w:pPr>
              <w:pStyle w:val="ARfintablebody"/>
            </w:pPr>
            <w:r>
              <w:t>Department of Health</w:t>
            </w:r>
          </w:p>
        </w:tc>
        <w:tc>
          <w:tcPr>
            <w:tcW w:w="2211" w:type="dxa"/>
            <w:tcBorders>
              <w:top w:val="single" w:sz="4" w:space="0" w:color="A6A6A6"/>
              <w:bottom w:val="single" w:sz="4" w:space="0" w:color="A6A6A6"/>
            </w:tcBorders>
          </w:tcPr>
          <w:p w14:paraId="7F3C3E9B" w14:textId="77777777" w:rsidR="005F4A7E" w:rsidRPr="002029AF" w:rsidRDefault="005F4A7E" w:rsidP="00130D1C">
            <w:pPr>
              <w:pStyle w:val="ARfintablebody"/>
            </w:pPr>
            <w:r w:rsidRPr="0040034D">
              <w:t>Nick Chiam</w:t>
            </w:r>
          </w:p>
        </w:tc>
        <w:tc>
          <w:tcPr>
            <w:tcW w:w="2211" w:type="dxa"/>
            <w:tcBorders>
              <w:top w:val="single" w:sz="4" w:space="0" w:color="A6A6A6"/>
              <w:bottom w:val="single" w:sz="4" w:space="0" w:color="A6A6A6"/>
            </w:tcBorders>
          </w:tcPr>
          <w:p w14:paraId="453AB4D2" w14:textId="77777777" w:rsidR="005F4A7E" w:rsidRPr="002029AF" w:rsidRDefault="005F4A7E" w:rsidP="00130D1C">
            <w:pPr>
              <w:pStyle w:val="ARfintablebody"/>
            </w:pPr>
            <w:r w:rsidRPr="0040034D">
              <w:t>Deputy Secretary, Public Health</w:t>
            </w:r>
          </w:p>
        </w:tc>
        <w:tc>
          <w:tcPr>
            <w:tcW w:w="3005" w:type="dxa"/>
            <w:tcBorders>
              <w:top w:val="single" w:sz="4" w:space="0" w:color="A6A6A6"/>
              <w:bottom w:val="single" w:sz="4" w:space="0" w:color="A6A6A6"/>
            </w:tcBorders>
          </w:tcPr>
          <w:p w14:paraId="7837C782" w14:textId="77777777" w:rsidR="005F4A7E" w:rsidRPr="002029AF" w:rsidRDefault="005F4A7E" w:rsidP="00130D1C">
            <w:pPr>
              <w:pStyle w:val="ARfintablebody"/>
            </w:pPr>
            <w:r>
              <w:t>1 February 2021 to 26 March 2021</w:t>
            </w:r>
          </w:p>
        </w:tc>
      </w:tr>
      <w:tr w:rsidR="005F4A7E" w:rsidRPr="002029AF" w14:paraId="3073740B" w14:textId="77777777" w:rsidTr="00130D1C">
        <w:trPr>
          <w:cantSplit w:val="0"/>
        </w:trPr>
        <w:tc>
          <w:tcPr>
            <w:tcW w:w="2212" w:type="dxa"/>
            <w:tcBorders>
              <w:top w:val="single" w:sz="4" w:space="0" w:color="A6A6A6"/>
              <w:bottom w:val="single" w:sz="4" w:space="0" w:color="A6A6A6"/>
            </w:tcBorders>
          </w:tcPr>
          <w:p w14:paraId="5277E091" w14:textId="77777777" w:rsidR="005F4A7E" w:rsidRPr="002029AF" w:rsidRDefault="005F4A7E" w:rsidP="00130D1C">
            <w:pPr>
              <w:pStyle w:val="ARfintablebody"/>
            </w:pPr>
            <w:r>
              <w:t>Department of Health</w:t>
            </w:r>
          </w:p>
        </w:tc>
        <w:tc>
          <w:tcPr>
            <w:tcW w:w="2211" w:type="dxa"/>
            <w:tcBorders>
              <w:top w:val="single" w:sz="4" w:space="0" w:color="A6A6A6"/>
              <w:bottom w:val="single" w:sz="4" w:space="0" w:color="A6A6A6"/>
            </w:tcBorders>
          </w:tcPr>
          <w:p w14:paraId="5BEF0107" w14:textId="77777777" w:rsidR="005F4A7E" w:rsidRPr="002029AF" w:rsidRDefault="005F4A7E" w:rsidP="00130D1C">
            <w:pPr>
              <w:pStyle w:val="ARfintablebody"/>
            </w:pPr>
            <w:r w:rsidRPr="0040034D">
              <w:t>Louise McKinlay</w:t>
            </w:r>
          </w:p>
        </w:tc>
        <w:tc>
          <w:tcPr>
            <w:tcW w:w="2211" w:type="dxa"/>
            <w:tcBorders>
              <w:top w:val="single" w:sz="4" w:space="0" w:color="A6A6A6"/>
              <w:bottom w:val="single" w:sz="4" w:space="0" w:color="A6A6A6"/>
            </w:tcBorders>
          </w:tcPr>
          <w:p w14:paraId="7B074806" w14:textId="77777777" w:rsidR="005F4A7E" w:rsidRPr="002029AF" w:rsidRDefault="005F4A7E" w:rsidP="00130D1C">
            <w:pPr>
              <w:pStyle w:val="ARfintablebody"/>
            </w:pPr>
            <w:r w:rsidRPr="0040034D">
              <w:t>Deputy Secretary, Public Health</w:t>
            </w:r>
          </w:p>
        </w:tc>
        <w:tc>
          <w:tcPr>
            <w:tcW w:w="3005" w:type="dxa"/>
            <w:tcBorders>
              <w:top w:val="single" w:sz="4" w:space="0" w:color="A6A6A6"/>
              <w:bottom w:val="single" w:sz="4" w:space="0" w:color="A6A6A6"/>
            </w:tcBorders>
          </w:tcPr>
          <w:p w14:paraId="61631041" w14:textId="77777777" w:rsidR="005F4A7E" w:rsidRPr="002029AF" w:rsidRDefault="005F4A7E" w:rsidP="00130D1C">
            <w:pPr>
              <w:pStyle w:val="ARfintablebody"/>
            </w:pPr>
            <w:r>
              <w:t>27 March 2021 to 19 June 2021</w:t>
            </w:r>
          </w:p>
        </w:tc>
      </w:tr>
      <w:tr w:rsidR="005F4A7E" w:rsidRPr="002029AF" w14:paraId="401FD3AD" w14:textId="77777777" w:rsidTr="00130D1C">
        <w:trPr>
          <w:cantSplit w:val="0"/>
        </w:trPr>
        <w:tc>
          <w:tcPr>
            <w:tcW w:w="2212" w:type="dxa"/>
            <w:tcBorders>
              <w:top w:val="single" w:sz="4" w:space="0" w:color="A6A6A6"/>
              <w:bottom w:val="single" w:sz="4" w:space="0" w:color="A6A6A6"/>
            </w:tcBorders>
          </w:tcPr>
          <w:p w14:paraId="58378916" w14:textId="77777777" w:rsidR="005F4A7E" w:rsidRPr="002029AF" w:rsidRDefault="005F4A7E" w:rsidP="00130D1C">
            <w:pPr>
              <w:pStyle w:val="ARfintablebody"/>
            </w:pPr>
            <w:r>
              <w:t>Department of Health</w:t>
            </w:r>
          </w:p>
        </w:tc>
        <w:tc>
          <w:tcPr>
            <w:tcW w:w="2211" w:type="dxa"/>
            <w:tcBorders>
              <w:top w:val="single" w:sz="4" w:space="0" w:color="A6A6A6"/>
              <w:bottom w:val="single" w:sz="4" w:space="0" w:color="A6A6A6"/>
            </w:tcBorders>
          </w:tcPr>
          <w:p w14:paraId="6592E895" w14:textId="77777777" w:rsidR="005F4A7E" w:rsidRPr="002029AF" w:rsidRDefault="005F4A7E" w:rsidP="00130D1C">
            <w:pPr>
              <w:pStyle w:val="ARfintablebody"/>
            </w:pPr>
            <w:r w:rsidRPr="0040034D">
              <w:t>Zoe Wainer</w:t>
            </w:r>
          </w:p>
        </w:tc>
        <w:tc>
          <w:tcPr>
            <w:tcW w:w="2211" w:type="dxa"/>
            <w:tcBorders>
              <w:top w:val="single" w:sz="4" w:space="0" w:color="A6A6A6"/>
              <w:bottom w:val="single" w:sz="4" w:space="0" w:color="A6A6A6"/>
            </w:tcBorders>
          </w:tcPr>
          <w:p w14:paraId="4FF182EE" w14:textId="77777777" w:rsidR="005F4A7E" w:rsidRPr="002029AF" w:rsidRDefault="005F4A7E" w:rsidP="00130D1C">
            <w:pPr>
              <w:pStyle w:val="ARfintablebody"/>
            </w:pPr>
            <w:r w:rsidRPr="0040034D">
              <w:t>Deputy Secretary</w:t>
            </w:r>
            <w:r>
              <w:t>, Public Health</w:t>
            </w:r>
          </w:p>
        </w:tc>
        <w:tc>
          <w:tcPr>
            <w:tcW w:w="3005" w:type="dxa"/>
            <w:tcBorders>
              <w:top w:val="single" w:sz="4" w:space="0" w:color="A6A6A6"/>
              <w:bottom w:val="single" w:sz="4" w:space="0" w:color="A6A6A6"/>
            </w:tcBorders>
          </w:tcPr>
          <w:p w14:paraId="7F38C664" w14:textId="77777777" w:rsidR="005F4A7E" w:rsidRPr="002029AF" w:rsidRDefault="005F4A7E" w:rsidP="00130D1C">
            <w:pPr>
              <w:pStyle w:val="ARfintablebody"/>
            </w:pPr>
            <w:r>
              <w:t>20 June 2021</w:t>
            </w:r>
            <w:r w:rsidRPr="009B45AA">
              <w:t xml:space="preserve"> to 30 June 2021</w:t>
            </w:r>
          </w:p>
        </w:tc>
      </w:tr>
      <w:tr w:rsidR="005F4A7E" w:rsidRPr="002029AF" w14:paraId="66FFF8AF" w14:textId="77777777" w:rsidTr="00130D1C">
        <w:trPr>
          <w:cantSplit w:val="0"/>
        </w:trPr>
        <w:tc>
          <w:tcPr>
            <w:tcW w:w="2212" w:type="dxa"/>
            <w:tcBorders>
              <w:top w:val="single" w:sz="4" w:space="0" w:color="A6A6A6"/>
              <w:bottom w:val="single" w:sz="4" w:space="0" w:color="A6A6A6"/>
            </w:tcBorders>
          </w:tcPr>
          <w:p w14:paraId="20087CAD" w14:textId="77777777" w:rsidR="005F4A7E" w:rsidRPr="002029AF" w:rsidRDefault="005F4A7E" w:rsidP="00130D1C">
            <w:pPr>
              <w:pStyle w:val="ARfintablebody"/>
            </w:pPr>
            <w:r>
              <w:t>Department of Health</w:t>
            </w:r>
          </w:p>
        </w:tc>
        <w:tc>
          <w:tcPr>
            <w:tcW w:w="2211" w:type="dxa"/>
            <w:tcBorders>
              <w:top w:val="single" w:sz="4" w:space="0" w:color="A6A6A6"/>
              <w:bottom w:val="single" w:sz="4" w:space="0" w:color="A6A6A6"/>
            </w:tcBorders>
          </w:tcPr>
          <w:p w14:paraId="00A3B0C0" w14:textId="77777777" w:rsidR="005F4A7E" w:rsidRPr="002029AF" w:rsidRDefault="005F4A7E" w:rsidP="00130D1C">
            <w:pPr>
              <w:pStyle w:val="ARfintablebody"/>
            </w:pPr>
            <w:r>
              <w:t>Jeroen Weimar</w:t>
            </w:r>
          </w:p>
        </w:tc>
        <w:tc>
          <w:tcPr>
            <w:tcW w:w="2211" w:type="dxa"/>
            <w:tcBorders>
              <w:top w:val="single" w:sz="4" w:space="0" w:color="A6A6A6"/>
              <w:bottom w:val="single" w:sz="4" w:space="0" w:color="A6A6A6"/>
            </w:tcBorders>
          </w:tcPr>
          <w:p w14:paraId="22C05632" w14:textId="77777777" w:rsidR="005F4A7E" w:rsidRPr="002029AF" w:rsidRDefault="005F4A7E" w:rsidP="00130D1C">
            <w:pPr>
              <w:pStyle w:val="ARfintablebody"/>
            </w:pPr>
            <w:r>
              <w:t>Deputy Secretary</w:t>
            </w:r>
            <w:r w:rsidRPr="00194D78">
              <w:t xml:space="preserve">, </w:t>
            </w:r>
            <w:r>
              <w:t>COVID-19 Response</w:t>
            </w:r>
          </w:p>
        </w:tc>
        <w:tc>
          <w:tcPr>
            <w:tcW w:w="3005" w:type="dxa"/>
            <w:tcBorders>
              <w:top w:val="single" w:sz="4" w:space="0" w:color="A6A6A6"/>
              <w:bottom w:val="single" w:sz="4" w:space="0" w:color="A6A6A6"/>
            </w:tcBorders>
          </w:tcPr>
          <w:p w14:paraId="47B78898" w14:textId="77777777" w:rsidR="005F4A7E" w:rsidRPr="002029AF" w:rsidRDefault="005F4A7E" w:rsidP="00130D1C">
            <w:pPr>
              <w:pStyle w:val="ARfintablebody"/>
            </w:pPr>
            <w:r w:rsidRPr="00B52B3C">
              <w:t xml:space="preserve">1 </w:t>
            </w:r>
            <w:r>
              <w:t>February 2021 to 30 June 2021</w:t>
            </w:r>
          </w:p>
        </w:tc>
      </w:tr>
      <w:tr w:rsidR="005F4A7E" w:rsidRPr="002029AF" w14:paraId="6E45AC84" w14:textId="77777777" w:rsidTr="00130D1C">
        <w:trPr>
          <w:cantSplit w:val="0"/>
        </w:trPr>
        <w:tc>
          <w:tcPr>
            <w:tcW w:w="2212" w:type="dxa"/>
            <w:tcBorders>
              <w:top w:val="single" w:sz="4" w:space="0" w:color="A6A6A6"/>
              <w:bottom w:val="single" w:sz="4" w:space="0" w:color="A6A6A6"/>
            </w:tcBorders>
          </w:tcPr>
          <w:p w14:paraId="04F4426C" w14:textId="77777777" w:rsidR="005F4A7E" w:rsidRPr="002029AF" w:rsidRDefault="005F4A7E" w:rsidP="00130D1C">
            <w:pPr>
              <w:pStyle w:val="ARfintablebody"/>
            </w:pPr>
            <w:r>
              <w:t>Department of Health</w:t>
            </w:r>
          </w:p>
        </w:tc>
        <w:tc>
          <w:tcPr>
            <w:tcW w:w="2211" w:type="dxa"/>
            <w:tcBorders>
              <w:top w:val="single" w:sz="4" w:space="0" w:color="A6A6A6"/>
              <w:bottom w:val="single" w:sz="4" w:space="0" w:color="A6A6A6"/>
            </w:tcBorders>
          </w:tcPr>
          <w:p w14:paraId="29A4CB7A" w14:textId="77777777" w:rsidR="005F4A7E" w:rsidRPr="002029AF" w:rsidRDefault="005F4A7E" w:rsidP="00130D1C">
            <w:pPr>
              <w:pStyle w:val="ARfintablebody"/>
            </w:pPr>
            <w:r>
              <w:t>Chris Hotham</w:t>
            </w:r>
          </w:p>
        </w:tc>
        <w:tc>
          <w:tcPr>
            <w:tcW w:w="2211" w:type="dxa"/>
            <w:tcBorders>
              <w:top w:val="single" w:sz="4" w:space="0" w:color="A6A6A6"/>
              <w:bottom w:val="single" w:sz="4" w:space="0" w:color="A6A6A6"/>
            </w:tcBorders>
          </w:tcPr>
          <w:p w14:paraId="321EE189" w14:textId="77777777" w:rsidR="005F4A7E" w:rsidRPr="002029AF" w:rsidRDefault="005F4A7E" w:rsidP="00130D1C">
            <w:pPr>
              <w:pStyle w:val="ARfintablebody"/>
            </w:pPr>
            <w:r w:rsidRPr="00194D78">
              <w:t xml:space="preserve">Deputy Secretary, </w:t>
            </w:r>
            <w:r>
              <w:t>Health Infrastructure</w:t>
            </w:r>
          </w:p>
        </w:tc>
        <w:tc>
          <w:tcPr>
            <w:tcW w:w="3005" w:type="dxa"/>
            <w:tcBorders>
              <w:top w:val="single" w:sz="4" w:space="0" w:color="A6A6A6"/>
              <w:bottom w:val="single" w:sz="4" w:space="0" w:color="A6A6A6"/>
            </w:tcBorders>
          </w:tcPr>
          <w:p w14:paraId="65BF12EB" w14:textId="77777777" w:rsidR="005F4A7E" w:rsidRPr="002029AF" w:rsidRDefault="005F4A7E" w:rsidP="00130D1C">
            <w:pPr>
              <w:pStyle w:val="ARfintablebody"/>
            </w:pPr>
            <w:r w:rsidRPr="00B52B3C">
              <w:t xml:space="preserve">1 </w:t>
            </w:r>
            <w:r>
              <w:t>February 2021 to 30 June 2021</w:t>
            </w:r>
          </w:p>
        </w:tc>
      </w:tr>
      <w:tr w:rsidR="005F4A7E" w:rsidRPr="002029AF" w14:paraId="218175E3" w14:textId="77777777" w:rsidTr="00130D1C">
        <w:trPr>
          <w:cantSplit w:val="0"/>
        </w:trPr>
        <w:tc>
          <w:tcPr>
            <w:tcW w:w="2212" w:type="dxa"/>
            <w:tcBorders>
              <w:top w:val="single" w:sz="4" w:space="0" w:color="A6A6A6"/>
              <w:bottom w:val="single" w:sz="4" w:space="0" w:color="A6A6A6"/>
            </w:tcBorders>
          </w:tcPr>
          <w:p w14:paraId="01F83A6B" w14:textId="77777777" w:rsidR="005F4A7E" w:rsidRPr="002029AF" w:rsidRDefault="005F4A7E" w:rsidP="00130D1C">
            <w:pPr>
              <w:pStyle w:val="ARfintablebody"/>
            </w:pPr>
            <w:r>
              <w:t>Department of Health</w:t>
            </w:r>
          </w:p>
        </w:tc>
        <w:tc>
          <w:tcPr>
            <w:tcW w:w="2211" w:type="dxa"/>
            <w:tcBorders>
              <w:top w:val="single" w:sz="4" w:space="0" w:color="A6A6A6"/>
              <w:bottom w:val="single" w:sz="4" w:space="0" w:color="A6A6A6"/>
            </w:tcBorders>
          </w:tcPr>
          <w:p w14:paraId="2AE5D518" w14:textId="77777777" w:rsidR="005F4A7E" w:rsidRPr="002029AF" w:rsidRDefault="005F4A7E" w:rsidP="00130D1C">
            <w:pPr>
              <w:pStyle w:val="ARfintablebody"/>
            </w:pPr>
            <w:r>
              <w:t>Peter Breadon</w:t>
            </w:r>
          </w:p>
        </w:tc>
        <w:tc>
          <w:tcPr>
            <w:tcW w:w="2211" w:type="dxa"/>
            <w:tcBorders>
              <w:top w:val="single" w:sz="4" w:space="0" w:color="A6A6A6"/>
              <w:bottom w:val="single" w:sz="4" w:space="0" w:color="A6A6A6"/>
            </w:tcBorders>
          </w:tcPr>
          <w:p w14:paraId="4E2CB25E" w14:textId="77777777" w:rsidR="005F4A7E" w:rsidRPr="002029AF" w:rsidRDefault="005F4A7E" w:rsidP="00130D1C">
            <w:pPr>
              <w:pStyle w:val="ARfintablebody"/>
            </w:pPr>
            <w:r w:rsidRPr="00194D78">
              <w:t xml:space="preserve">Deputy Secretary, </w:t>
            </w:r>
            <w:r>
              <w:t>Reform and Planning</w:t>
            </w:r>
          </w:p>
        </w:tc>
        <w:tc>
          <w:tcPr>
            <w:tcW w:w="3005" w:type="dxa"/>
            <w:tcBorders>
              <w:top w:val="single" w:sz="4" w:space="0" w:color="A6A6A6"/>
              <w:bottom w:val="single" w:sz="4" w:space="0" w:color="A6A6A6"/>
            </w:tcBorders>
          </w:tcPr>
          <w:p w14:paraId="23C396EB" w14:textId="77777777" w:rsidR="005F4A7E" w:rsidRPr="002029AF" w:rsidRDefault="005F4A7E" w:rsidP="00130D1C">
            <w:pPr>
              <w:pStyle w:val="ARfintablebody"/>
            </w:pPr>
            <w:r w:rsidRPr="00B52B3C">
              <w:t xml:space="preserve">1 </w:t>
            </w:r>
            <w:r>
              <w:t>February 2021 to 30 June 2021</w:t>
            </w:r>
          </w:p>
        </w:tc>
      </w:tr>
      <w:tr w:rsidR="005F4A7E" w:rsidRPr="002029AF" w14:paraId="6B6F45A8" w14:textId="77777777" w:rsidTr="00130D1C">
        <w:trPr>
          <w:cantSplit w:val="0"/>
        </w:trPr>
        <w:tc>
          <w:tcPr>
            <w:tcW w:w="2212" w:type="dxa"/>
            <w:tcBorders>
              <w:top w:val="single" w:sz="4" w:space="0" w:color="A6A6A6"/>
              <w:bottom w:val="single" w:sz="4" w:space="0" w:color="A6A6A6"/>
            </w:tcBorders>
          </w:tcPr>
          <w:p w14:paraId="7E9447FF" w14:textId="77777777" w:rsidR="005F4A7E" w:rsidRPr="002029AF" w:rsidRDefault="005F4A7E" w:rsidP="00130D1C">
            <w:pPr>
              <w:pStyle w:val="ARfintablebody"/>
            </w:pPr>
            <w:r>
              <w:t>Department of Health</w:t>
            </w:r>
          </w:p>
        </w:tc>
        <w:tc>
          <w:tcPr>
            <w:tcW w:w="2211" w:type="dxa"/>
            <w:tcBorders>
              <w:top w:val="single" w:sz="4" w:space="0" w:color="A6A6A6"/>
              <w:bottom w:val="single" w:sz="4" w:space="0" w:color="A6A6A6"/>
            </w:tcBorders>
          </w:tcPr>
          <w:p w14:paraId="199B0D3B" w14:textId="77777777" w:rsidR="005F4A7E" w:rsidRPr="002029AF" w:rsidRDefault="005F4A7E" w:rsidP="00130D1C">
            <w:pPr>
              <w:pStyle w:val="ARfintablebody"/>
            </w:pPr>
            <w:r>
              <w:t>Greg Stenton</w:t>
            </w:r>
          </w:p>
        </w:tc>
        <w:tc>
          <w:tcPr>
            <w:tcW w:w="2211" w:type="dxa"/>
            <w:tcBorders>
              <w:top w:val="single" w:sz="4" w:space="0" w:color="A6A6A6"/>
              <w:bottom w:val="single" w:sz="4" w:space="0" w:color="A6A6A6"/>
            </w:tcBorders>
          </w:tcPr>
          <w:p w14:paraId="6C575331" w14:textId="77777777" w:rsidR="005F4A7E" w:rsidRPr="002029AF" w:rsidRDefault="005F4A7E" w:rsidP="00130D1C">
            <w:pPr>
              <w:pStyle w:val="ARfintablebody"/>
            </w:pPr>
            <w:r w:rsidRPr="00194D78">
              <w:t xml:space="preserve">Deputy Secretary, </w:t>
            </w:r>
            <w:r>
              <w:t>Corporate Services</w:t>
            </w:r>
          </w:p>
        </w:tc>
        <w:tc>
          <w:tcPr>
            <w:tcW w:w="3005" w:type="dxa"/>
            <w:tcBorders>
              <w:top w:val="single" w:sz="4" w:space="0" w:color="A6A6A6"/>
              <w:bottom w:val="single" w:sz="4" w:space="0" w:color="A6A6A6"/>
            </w:tcBorders>
          </w:tcPr>
          <w:p w14:paraId="6D1F78EE" w14:textId="77777777" w:rsidR="005F4A7E" w:rsidRPr="002029AF" w:rsidRDefault="005F4A7E" w:rsidP="00130D1C">
            <w:pPr>
              <w:pStyle w:val="ARfintablebody"/>
            </w:pPr>
            <w:r w:rsidRPr="00B52B3C">
              <w:t xml:space="preserve">1 </w:t>
            </w:r>
            <w:r>
              <w:t>February 2021 to 30 June 2021</w:t>
            </w:r>
          </w:p>
        </w:tc>
      </w:tr>
      <w:tr w:rsidR="005F4A7E" w:rsidRPr="002029AF" w14:paraId="5BC52037" w14:textId="77777777" w:rsidTr="00130D1C">
        <w:trPr>
          <w:cantSplit w:val="0"/>
        </w:trPr>
        <w:tc>
          <w:tcPr>
            <w:tcW w:w="2212" w:type="dxa"/>
            <w:tcBorders>
              <w:top w:val="single" w:sz="4" w:space="0" w:color="A6A6A6"/>
              <w:bottom w:val="single" w:sz="4" w:space="0" w:color="A6A6A6"/>
            </w:tcBorders>
          </w:tcPr>
          <w:p w14:paraId="26D04055" w14:textId="77777777" w:rsidR="005F4A7E" w:rsidRPr="002029AF" w:rsidRDefault="005F4A7E" w:rsidP="00130D1C">
            <w:pPr>
              <w:pStyle w:val="ARfintablebody"/>
            </w:pPr>
            <w:r>
              <w:t>Department of Health</w:t>
            </w:r>
          </w:p>
        </w:tc>
        <w:tc>
          <w:tcPr>
            <w:tcW w:w="2211" w:type="dxa"/>
            <w:tcBorders>
              <w:top w:val="single" w:sz="4" w:space="0" w:color="A6A6A6"/>
              <w:bottom w:val="single" w:sz="4" w:space="0" w:color="A6A6A6"/>
            </w:tcBorders>
          </w:tcPr>
          <w:p w14:paraId="1E40D1ED" w14:textId="77777777" w:rsidR="005F4A7E" w:rsidRPr="002029AF" w:rsidRDefault="005F4A7E" w:rsidP="00130D1C">
            <w:pPr>
              <w:pStyle w:val="ARfintablebody"/>
            </w:pPr>
            <w:r>
              <w:t>Jacinda de Witts</w:t>
            </w:r>
          </w:p>
        </w:tc>
        <w:tc>
          <w:tcPr>
            <w:tcW w:w="2211" w:type="dxa"/>
            <w:tcBorders>
              <w:top w:val="single" w:sz="4" w:space="0" w:color="A6A6A6"/>
              <w:bottom w:val="single" w:sz="4" w:space="0" w:color="A6A6A6"/>
            </w:tcBorders>
          </w:tcPr>
          <w:p w14:paraId="37C22ACB" w14:textId="77777777" w:rsidR="005F4A7E" w:rsidRPr="002029AF" w:rsidRDefault="005F4A7E" w:rsidP="00130D1C">
            <w:pPr>
              <w:pStyle w:val="ARfintablebody"/>
            </w:pPr>
            <w:r w:rsidRPr="00194D78">
              <w:t xml:space="preserve">Deputy Secretary, </w:t>
            </w:r>
            <w:r>
              <w:t>Regulatory, Risk, Integrity and Legal</w:t>
            </w:r>
          </w:p>
        </w:tc>
        <w:tc>
          <w:tcPr>
            <w:tcW w:w="3005" w:type="dxa"/>
            <w:tcBorders>
              <w:top w:val="single" w:sz="4" w:space="0" w:color="A6A6A6"/>
              <w:bottom w:val="single" w:sz="4" w:space="0" w:color="A6A6A6"/>
            </w:tcBorders>
          </w:tcPr>
          <w:p w14:paraId="2EF08257" w14:textId="77777777" w:rsidR="005F4A7E" w:rsidRPr="002029AF" w:rsidRDefault="005F4A7E" w:rsidP="00130D1C">
            <w:pPr>
              <w:pStyle w:val="ARfintablebody"/>
            </w:pPr>
            <w:r w:rsidRPr="00B52B3C">
              <w:t xml:space="preserve">1 </w:t>
            </w:r>
            <w:r>
              <w:t>February 2021 to 30 June 2021</w:t>
            </w:r>
          </w:p>
        </w:tc>
      </w:tr>
      <w:tr w:rsidR="005F4A7E" w:rsidRPr="002029AF" w14:paraId="00BB9B16" w14:textId="77777777" w:rsidTr="00130D1C">
        <w:trPr>
          <w:cantSplit w:val="0"/>
        </w:trPr>
        <w:tc>
          <w:tcPr>
            <w:tcW w:w="2212" w:type="dxa"/>
            <w:tcBorders>
              <w:top w:val="single" w:sz="4" w:space="0" w:color="A6A6A6"/>
              <w:bottom w:val="single" w:sz="4" w:space="0" w:color="A6A6A6"/>
            </w:tcBorders>
          </w:tcPr>
          <w:p w14:paraId="3471CB4D" w14:textId="77777777" w:rsidR="005F4A7E" w:rsidRPr="002029AF" w:rsidRDefault="005F4A7E" w:rsidP="00130D1C">
            <w:pPr>
              <w:pStyle w:val="ARfintablebody"/>
            </w:pPr>
            <w:r>
              <w:t>Department of Health</w:t>
            </w:r>
          </w:p>
        </w:tc>
        <w:tc>
          <w:tcPr>
            <w:tcW w:w="2211" w:type="dxa"/>
            <w:tcBorders>
              <w:top w:val="single" w:sz="4" w:space="0" w:color="A6A6A6"/>
              <w:bottom w:val="single" w:sz="4" w:space="0" w:color="A6A6A6"/>
            </w:tcBorders>
          </w:tcPr>
          <w:p w14:paraId="0C912357" w14:textId="77777777" w:rsidR="005F4A7E" w:rsidRPr="002029AF" w:rsidRDefault="005F4A7E" w:rsidP="00130D1C">
            <w:pPr>
              <w:pStyle w:val="ARfintablebody"/>
            </w:pPr>
            <w:r>
              <w:t>Lance Emerson</w:t>
            </w:r>
          </w:p>
        </w:tc>
        <w:tc>
          <w:tcPr>
            <w:tcW w:w="2211" w:type="dxa"/>
            <w:tcBorders>
              <w:top w:val="single" w:sz="4" w:space="0" w:color="A6A6A6"/>
              <w:bottom w:val="single" w:sz="4" w:space="0" w:color="A6A6A6"/>
            </w:tcBorders>
          </w:tcPr>
          <w:p w14:paraId="37057654" w14:textId="77777777" w:rsidR="005F4A7E" w:rsidRPr="002029AF" w:rsidRDefault="005F4A7E" w:rsidP="00130D1C">
            <w:pPr>
              <w:pStyle w:val="ARfintablebody"/>
            </w:pPr>
            <w:r>
              <w:t>Chief Executive Officer, Victorian Agency for Health Information</w:t>
            </w:r>
          </w:p>
        </w:tc>
        <w:tc>
          <w:tcPr>
            <w:tcW w:w="3005" w:type="dxa"/>
            <w:tcBorders>
              <w:top w:val="single" w:sz="4" w:space="0" w:color="A6A6A6"/>
              <w:bottom w:val="single" w:sz="4" w:space="0" w:color="A6A6A6"/>
            </w:tcBorders>
          </w:tcPr>
          <w:p w14:paraId="6799576B" w14:textId="77777777" w:rsidR="005F4A7E" w:rsidRPr="002029AF" w:rsidRDefault="005F4A7E" w:rsidP="00130D1C">
            <w:pPr>
              <w:pStyle w:val="ARfintablebody"/>
            </w:pPr>
            <w:r w:rsidRPr="00B52B3C">
              <w:t xml:space="preserve">1 </w:t>
            </w:r>
            <w:r>
              <w:t>February 2021 to 30 June 2021</w:t>
            </w:r>
          </w:p>
        </w:tc>
      </w:tr>
      <w:tr w:rsidR="005F4A7E" w:rsidRPr="002029AF" w14:paraId="27A0BB18" w14:textId="77777777" w:rsidTr="00130D1C">
        <w:trPr>
          <w:cantSplit w:val="0"/>
        </w:trPr>
        <w:tc>
          <w:tcPr>
            <w:tcW w:w="2212" w:type="dxa"/>
            <w:tcBorders>
              <w:top w:val="single" w:sz="4" w:space="0" w:color="A6A6A6"/>
              <w:bottom w:val="single" w:sz="4" w:space="0" w:color="A6A6A6"/>
            </w:tcBorders>
          </w:tcPr>
          <w:p w14:paraId="38394E18" w14:textId="77777777" w:rsidR="005F4A7E" w:rsidRPr="002029AF" w:rsidRDefault="005F4A7E" w:rsidP="00130D1C">
            <w:pPr>
              <w:pStyle w:val="ARfintablebody"/>
            </w:pPr>
            <w:r>
              <w:t>Department of Health</w:t>
            </w:r>
          </w:p>
        </w:tc>
        <w:tc>
          <w:tcPr>
            <w:tcW w:w="2211" w:type="dxa"/>
            <w:tcBorders>
              <w:top w:val="single" w:sz="4" w:space="0" w:color="A6A6A6"/>
              <w:bottom w:val="single" w:sz="4" w:space="0" w:color="A6A6A6"/>
            </w:tcBorders>
          </w:tcPr>
          <w:p w14:paraId="0975C3EB" w14:textId="77777777" w:rsidR="005F4A7E" w:rsidRPr="002029AF" w:rsidRDefault="005F4A7E" w:rsidP="00130D1C">
            <w:pPr>
              <w:pStyle w:val="ARfintablebody"/>
            </w:pPr>
            <w:r w:rsidRPr="00194D78">
              <w:t>Jenny Zahara</w:t>
            </w:r>
          </w:p>
        </w:tc>
        <w:tc>
          <w:tcPr>
            <w:tcW w:w="2211" w:type="dxa"/>
            <w:tcBorders>
              <w:top w:val="single" w:sz="4" w:space="0" w:color="A6A6A6"/>
              <w:bottom w:val="single" w:sz="4" w:space="0" w:color="A6A6A6"/>
            </w:tcBorders>
          </w:tcPr>
          <w:p w14:paraId="05E9BB1B" w14:textId="77777777" w:rsidR="005F4A7E" w:rsidRPr="002029AF" w:rsidRDefault="005F4A7E" w:rsidP="00130D1C">
            <w:pPr>
              <w:pStyle w:val="ARfintablebody"/>
            </w:pPr>
            <w:r w:rsidRPr="00194D78">
              <w:t>Chief Finance Officer</w:t>
            </w:r>
          </w:p>
        </w:tc>
        <w:tc>
          <w:tcPr>
            <w:tcW w:w="3005" w:type="dxa"/>
            <w:tcBorders>
              <w:top w:val="single" w:sz="4" w:space="0" w:color="A6A6A6"/>
              <w:bottom w:val="single" w:sz="4" w:space="0" w:color="A6A6A6"/>
            </w:tcBorders>
          </w:tcPr>
          <w:p w14:paraId="72BBBF24" w14:textId="77777777" w:rsidR="005F4A7E" w:rsidRPr="002029AF" w:rsidRDefault="005F4A7E" w:rsidP="00130D1C">
            <w:pPr>
              <w:pStyle w:val="ARfintablebody"/>
            </w:pPr>
            <w:r w:rsidRPr="00B52B3C">
              <w:t xml:space="preserve">1 </w:t>
            </w:r>
            <w:r>
              <w:t>February 2021 to 30 June 2021</w:t>
            </w:r>
          </w:p>
        </w:tc>
      </w:tr>
      <w:tr w:rsidR="005F4A7E" w:rsidRPr="002029AF" w14:paraId="498D177F" w14:textId="77777777" w:rsidTr="00130D1C">
        <w:trPr>
          <w:cantSplit w:val="0"/>
        </w:trPr>
        <w:tc>
          <w:tcPr>
            <w:tcW w:w="2212" w:type="dxa"/>
            <w:tcBorders>
              <w:top w:val="single" w:sz="4" w:space="0" w:color="A6A6A6"/>
            </w:tcBorders>
          </w:tcPr>
          <w:p w14:paraId="5C365AAA" w14:textId="77777777" w:rsidR="005F4A7E" w:rsidRPr="002029AF" w:rsidRDefault="005F4A7E" w:rsidP="00130D1C">
            <w:pPr>
              <w:pStyle w:val="ARfintablebody"/>
            </w:pPr>
            <w:r>
              <w:t>Department of Health</w:t>
            </w:r>
          </w:p>
        </w:tc>
        <w:tc>
          <w:tcPr>
            <w:tcW w:w="2211" w:type="dxa"/>
            <w:tcBorders>
              <w:top w:val="single" w:sz="4" w:space="0" w:color="A6A6A6"/>
            </w:tcBorders>
          </w:tcPr>
          <w:p w14:paraId="2C410885" w14:textId="77777777" w:rsidR="005F4A7E" w:rsidRPr="002029AF" w:rsidRDefault="005F4A7E" w:rsidP="00130D1C">
            <w:pPr>
              <w:pStyle w:val="ARfintablebody"/>
            </w:pPr>
            <w:r>
              <w:t>Beth Gubbins</w:t>
            </w:r>
          </w:p>
        </w:tc>
        <w:tc>
          <w:tcPr>
            <w:tcW w:w="2211" w:type="dxa"/>
            <w:tcBorders>
              <w:top w:val="single" w:sz="4" w:space="0" w:color="A6A6A6"/>
            </w:tcBorders>
          </w:tcPr>
          <w:p w14:paraId="55F0AB36" w14:textId="77777777" w:rsidR="005F4A7E" w:rsidRPr="002029AF" w:rsidRDefault="005F4A7E" w:rsidP="00130D1C">
            <w:pPr>
              <w:pStyle w:val="ARfintablebody"/>
            </w:pPr>
            <w:r>
              <w:t>Deputy Chief Finance Officer</w:t>
            </w:r>
          </w:p>
        </w:tc>
        <w:tc>
          <w:tcPr>
            <w:tcW w:w="3005" w:type="dxa"/>
            <w:tcBorders>
              <w:top w:val="single" w:sz="4" w:space="0" w:color="A6A6A6"/>
            </w:tcBorders>
          </w:tcPr>
          <w:p w14:paraId="0CE508BE" w14:textId="77777777" w:rsidR="005F4A7E" w:rsidRPr="002029AF" w:rsidRDefault="005F4A7E" w:rsidP="00130D1C">
            <w:pPr>
              <w:pStyle w:val="ARfintablebody"/>
            </w:pPr>
            <w:r w:rsidRPr="00B52B3C">
              <w:t xml:space="preserve">1 </w:t>
            </w:r>
            <w:r>
              <w:t>February 2021 to 30 June 2021</w:t>
            </w:r>
          </w:p>
        </w:tc>
      </w:tr>
    </w:tbl>
    <w:p w14:paraId="44CB3F00" w14:textId="77777777" w:rsidR="005F4A7E" w:rsidRPr="00651E4B" w:rsidRDefault="005F4A7E" w:rsidP="00130D1C">
      <w:pPr>
        <w:pStyle w:val="ARfinbody"/>
      </w:pPr>
      <w:r w:rsidRPr="00651E4B">
        <w:br w:type="page"/>
      </w:r>
    </w:p>
    <w:p w14:paraId="443CB100" w14:textId="77777777" w:rsidR="005F4A7E" w:rsidRDefault="005F4A7E" w:rsidP="00130D1C">
      <w:pPr>
        <w:pStyle w:val="ARfinbodyaftertable"/>
      </w:pPr>
      <w:r>
        <w:rPr>
          <w:rStyle w:val="Strong"/>
        </w:rPr>
        <w:lastRenderedPageBreak/>
        <w:t>Key management personnel</w:t>
      </w:r>
      <w:r>
        <w:t xml:space="preserve"> of the former Department of Health and Human Services include the Portfolio Ministers, The Hon. Jenny Mikakos MP, The Hon. Martin Foley MP, The Hon. Richard Wynne MP, The Hon. Gabrielle Williams MP, The Hon. Luke Donnellan MP and The Hon. James Merlino MP; the Secretaries, Kym Peake and Euan Wallace; and members of the senior executive team, which includes:</w:t>
      </w:r>
    </w:p>
    <w:tbl>
      <w:tblPr>
        <w:tblStyle w:val="TableGrid"/>
        <w:tblW w:w="9639" w:type="dxa"/>
        <w:tblLayout w:type="fixed"/>
        <w:tblLook w:val="06A0" w:firstRow="1" w:lastRow="0" w:firstColumn="1" w:lastColumn="0" w:noHBand="1" w:noVBand="1"/>
      </w:tblPr>
      <w:tblGrid>
        <w:gridCol w:w="2154"/>
        <w:gridCol w:w="2155"/>
        <w:gridCol w:w="2155"/>
        <w:gridCol w:w="3175"/>
      </w:tblGrid>
      <w:tr w:rsidR="005F4A7E" w:rsidRPr="002029AF" w14:paraId="664960D4" w14:textId="77777777" w:rsidTr="00130D1C">
        <w:trPr>
          <w:cnfStyle w:val="100000000000" w:firstRow="1" w:lastRow="0" w:firstColumn="0" w:lastColumn="0" w:oddVBand="0" w:evenVBand="0" w:oddHBand="0" w:evenHBand="0" w:firstRowFirstColumn="0" w:firstRowLastColumn="0" w:lastRowFirstColumn="0" w:lastRowLastColumn="0"/>
          <w:tblHeader/>
        </w:trPr>
        <w:tc>
          <w:tcPr>
            <w:tcW w:w="2155" w:type="dxa"/>
            <w:tcBorders>
              <w:bottom w:val="single" w:sz="4" w:space="0" w:color="auto"/>
            </w:tcBorders>
          </w:tcPr>
          <w:p w14:paraId="675F2A35" w14:textId="77777777" w:rsidR="005F4A7E" w:rsidRPr="002029AF" w:rsidRDefault="005F4A7E" w:rsidP="00130D1C">
            <w:pPr>
              <w:pStyle w:val="ARfintablecolhead"/>
            </w:pPr>
            <w:r w:rsidRPr="002029AF">
              <w:t>Entity</w:t>
            </w:r>
          </w:p>
        </w:tc>
        <w:tc>
          <w:tcPr>
            <w:tcW w:w="2155" w:type="dxa"/>
            <w:tcBorders>
              <w:bottom w:val="single" w:sz="4" w:space="0" w:color="auto"/>
            </w:tcBorders>
          </w:tcPr>
          <w:p w14:paraId="48E331F5" w14:textId="77777777" w:rsidR="005F4A7E" w:rsidRPr="002029AF" w:rsidRDefault="005F4A7E" w:rsidP="00130D1C">
            <w:pPr>
              <w:pStyle w:val="ARfintablecolhead"/>
            </w:pPr>
            <w:r w:rsidRPr="002029AF">
              <w:t xml:space="preserve">Key </w:t>
            </w:r>
            <w:r>
              <w:t>m</w:t>
            </w:r>
            <w:r w:rsidRPr="002029AF">
              <w:t xml:space="preserve">anagement </w:t>
            </w:r>
            <w:r>
              <w:t>p</w:t>
            </w:r>
            <w:r w:rsidRPr="002029AF">
              <w:t>ersonnel</w:t>
            </w:r>
          </w:p>
        </w:tc>
        <w:tc>
          <w:tcPr>
            <w:tcW w:w="2155" w:type="dxa"/>
            <w:tcBorders>
              <w:bottom w:val="single" w:sz="4" w:space="0" w:color="auto"/>
            </w:tcBorders>
          </w:tcPr>
          <w:p w14:paraId="4F0063C3" w14:textId="77777777" w:rsidR="005F4A7E" w:rsidRPr="002029AF" w:rsidRDefault="005F4A7E" w:rsidP="00130D1C">
            <w:pPr>
              <w:pStyle w:val="ARfintablecolhead"/>
            </w:pPr>
            <w:r w:rsidRPr="002029AF">
              <w:t>Position title</w:t>
            </w:r>
          </w:p>
        </w:tc>
        <w:tc>
          <w:tcPr>
            <w:tcW w:w="3175" w:type="dxa"/>
            <w:tcBorders>
              <w:bottom w:val="single" w:sz="4" w:space="0" w:color="auto"/>
            </w:tcBorders>
          </w:tcPr>
          <w:p w14:paraId="5D000EEC" w14:textId="77777777" w:rsidR="005F4A7E" w:rsidRPr="002029AF" w:rsidRDefault="005F4A7E" w:rsidP="00130D1C">
            <w:pPr>
              <w:pStyle w:val="ARfintablecolhead"/>
            </w:pPr>
            <w:r w:rsidRPr="002029AF">
              <w:t>Period</w:t>
            </w:r>
          </w:p>
        </w:tc>
      </w:tr>
      <w:tr w:rsidR="005F4A7E" w:rsidRPr="002029AF" w14:paraId="1FC3E50D" w14:textId="77777777" w:rsidTr="00130D1C">
        <w:trPr>
          <w:cantSplit w:val="0"/>
        </w:trPr>
        <w:tc>
          <w:tcPr>
            <w:tcW w:w="2155" w:type="dxa"/>
            <w:vMerge w:val="restart"/>
            <w:tcBorders>
              <w:top w:val="single" w:sz="4" w:space="0" w:color="A6A6A6"/>
            </w:tcBorders>
          </w:tcPr>
          <w:p w14:paraId="281490D7" w14:textId="77777777" w:rsidR="005F4A7E" w:rsidRPr="002029AF" w:rsidRDefault="005F4A7E" w:rsidP="00130D1C">
            <w:pPr>
              <w:pStyle w:val="ARfintablebody"/>
            </w:pPr>
            <w:r>
              <w:t>Department of Health and Human Services</w:t>
            </w:r>
          </w:p>
        </w:tc>
        <w:tc>
          <w:tcPr>
            <w:tcW w:w="2155" w:type="dxa"/>
            <w:vMerge w:val="restart"/>
            <w:tcBorders>
              <w:top w:val="single" w:sz="4" w:space="0" w:color="A6A6A6"/>
            </w:tcBorders>
          </w:tcPr>
          <w:p w14:paraId="38054A31" w14:textId="77777777" w:rsidR="005F4A7E" w:rsidRPr="002029AF" w:rsidRDefault="005F4A7E" w:rsidP="00130D1C">
            <w:pPr>
              <w:pStyle w:val="ARfintablebody"/>
            </w:pPr>
            <w:r w:rsidRPr="00194D78">
              <w:t>Greg Stenton</w:t>
            </w:r>
          </w:p>
        </w:tc>
        <w:tc>
          <w:tcPr>
            <w:tcW w:w="2155" w:type="dxa"/>
            <w:tcBorders>
              <w:top w:val="single" w:sz="4" w:space="0" w:color="A6A6A6"/>
              <w:bottom w:val="single" w:sz="4" w:space="0" w:color="A6A6A6"/>
            </w:tcBorders>
          </w:tcPr>
          <w:p w14:paraId="3DFC1B95" w14:textId="77777777" w:rsidR="005F4A7E" w:rsidRPr="002029AF" w:rsidRDefault="005F4A7E" w:rsidP="00130D1C">
            <w:pPr>
              <w:pStyle w:val="ARfintablebody"/>
            </w:pPr>
            <w:r w:rsidRPr="00194D78">
              <w:t>Deputy Secretary, Corporate Services</w:t>
            </w:r>
            <w:r>
              <w:t xml:space="preserve"> and Legal and Executive Services</w:t>
            </w:r>
          </w:p>
        </w:tc>
        <w:tc>
          <w:tcPr>
            <w:tcW w:w="3175" w:type="dxa"/>
            <w:tcBorders>
              <w:top w:val="single" w:sz="4" w:space="0" w:color="A6A6A6"/>
              <w:bottom w:val="single" w:sz="4" w:space="0" w:color="A6A6A6"/>
            </w:tcBorders>
          </w:tcPr>
          <w:p w14:paraId="0BBAFE8C" w14:textId="77777777" w:rsidR="005F4A7E" w:rsidRPr="002029AF" w:rsidRDefault="005F4A7E" w:rsidP="00130D1C">
            <w:pPr>
              <w:pStyle w:val="ARfintablebody"/>
            </w:pPr>
            <w:r>
              <w:t>1 July 2020 to 16 August 2020</w:t>
            </w:r>
          </w:p>
        </w:tc>
      </w:tr>
      <w:tr w:rsidR="005F4A7E" w:rsidRPr="002029AF" w14:paraId="642AFFB5" w14:textId="77777777" w:rsidTr="00130D1C">
        <w:trPr>
          <w:cantSplit w:val="0"/>
        </w:trPr>
        <w:tc>
          <w:tcPr>
            <w:tcW w:w="2155" w:type="dxa"/>
            <w:vMerge/>
            <w:tcBorders>
              <w:bottom w:val="single" w:sz="4" w:space="0" w:color="A6A6A6"/>
            </w:tcBorders>
          </w:tcPr>
          <w:p w14:paraId="3936F34C" w14:textId="77777777" w:rsidR="005F4A7E" w:rsidRDefault="005F4A7E" w:rsidP="00130D1C">
            <w:pPr>
              <w:pStyle w:val="ARfintablebody"/>
            </w:pPr>
          </w:p>
        </w:tc>
        <w:tc>
          <w:tcPr>
            <w:tcW w:w="2155" w:type="dxa"/>
            <w:vMerge/>
            <w:tcBorders>
              <w:bottom w:val="single" w:sz="4" w:space="0" w:color="A6A6A6"/>
            </w:tcBorders>
          </w:tcPr>
          <w:p w14:paraId="0C2080B5" w14:textId="77777777" w:rsidR="005F4A7E" w:rsidRDefault="005F4A7E" w:rsidP="00130D1C">
            <w:pPr>
              <w:pStyle w:val="ARfintablebody"/>
            </w:pPr>
          </w:p>
        </w:tc>
        <w:tc>
          <w:tcPr>
            <w:tcW w:w="2155" w:type="dxa"/>
            <w:tcBorders>
              <w:top w:val="single" w:sz="4" w:space="0" w:color="A6A6A6"/>
              <w:bottom w:val="single" w:sz="4" w:space="0" w:color="A6A6A6"/>
            </w:tcBorders>
          </w:tcPr>
          <w:p w14:paraId="55F647EA" w14:textId="77777777" w:rsidR="005F4A7E" w:rsidRDefault="005F4A7E" w:rsidP="00130D1C">
            <w:pPr>
              <w:pStyle w:val="ARfintablebody"/>
            </w:pPr>
            <w:r w:rsidRPr="00194D78">
              <w:t>Deputy Secretary, Corporate Services</w:t>
            </w:r>
          </w:p>
        </w:tc>
        <w:tc>
          <w:tcPr>
            <w:tcW w:w="3175" w:type="dxa"/>
            <w:tcBorders>
              <w:top w:val="single" w:sz="4" w:space="0" w:color="A6A6A6"/>
              <w:bottom w:val="single" w:sz="4" w:space="0" w:color="A6A6A6"/>
            </w:tcBorders>
          </w:tcPr>
          <w:p w14:paraId="6431C3A2" w14:textId="77777777" w:rsidR="005F4A7E" w:rsidRDefault="005F4A7E" w:rsidP="00130D1C">
            <w:pPr>
              <w:pStyle w:val="ARfintablebody"/>
            </w:pPr>
            <w:r>
              <w:t>17 August 2020 to 31 January 2021</w:t>
            </w:r>
          </w:p>
        </w:tc>
      </w:tr>
      <w:tr w:rsidR="005F4A7E" w:rsidRPr="002029AF" w14:paraId="351536DC" w14:textId="77777777" w:rsidTr="00130D1C">
        <w:trPr>
          <w:cantSplit w:val="0"/>
        </w:trPr>
        <w:tc>
          <w:tcPr>
            <w:tcW w:w="2155" w:type="dxa"/>
            <w:tcBorders>
              <w:top w:val="single" w:sz="4" w:space="0" w:color="A6A6A6"/>
              <w:bottom w:val="single" w:sz="4" w:space="0" w:color="A6A6A6"/>
            </w:tcBorders>
          </w:tcPr>
          <w:p w14:paraId="60A0A522" w14:textId="77777777" w:rsidR="005F4A7E" w:rsidRPr="002029AF" w:rsidRDefault="005F4A7E" w:rsidP="00130D1C">
            <w:pPr>
              <w:pStyle w:val="ARfintablebody"/>
            </w:pPr>
            <w:r>
              <w:t>Department of Health and Human Services</w:t>
            </w:r>
          </w:p>
        </w:tc>
        <w:tc>
          <w:tcPr>
            <w:tcW w:w="2155" w:type="dxa"/>
            <w:tcBorders>
              <w:top w:val="single" w:sz="4" w:space="0" w:color="A6A6A6"/>
              <w:bottom w:val="single" w:sz="4" w:space="0" w:color="A6A6A6"/>
            </w:tcBorders>
          </w:tcPr>
          <w:p w14:paraId="0DEBF627" w14:textId="77777777" w:rsidR="005F4A7E" w:rsidRPr="002029AF" w:rsidRDefault="005F4A7E" w:rsidP="00130D1C">
            <w:pPr>
              <w:pStyle w:val="ARfintablebody"/>
            </w:pPr>
            <w:r>
              <w:t>Ben Rimmer</w:t>
            </w:r>
          </w:p>
        </w:tc>
        <w:tc>
          <w:tcPr>
            <w:tcW w:w="2155" w:type="dxa"/>
            <w:tcBorders>
              <w:top w:val="single" w:sz="4" w:space="0" w:color="A6A6A6"/>
              <w:bottom w:val="single" w:sz="4" w:space="0" w:color="A6A6A6"/>
            </w:tcBorders>
          </w:tcPr>
          <w:p w14:paraId="304EDFC1" w14:textId="77777777" w:rsidR="005F4A7E" w:rsidRPr="002029AF" w:rsidRDefault="005F4A7E" w:rsidP="00130D1C">
            <w:pPr>
              <w:pStyle w:val="ARfintablebody"/>
            </w:pPr>
            <w:r>
              <w:t>Associate Secretary and Deputy Secretary, Housing</w:t>
            </w:r>
          </w:p>
        </w:tc>
        <w:tc>
          <w:tcPr>
            <w:tcW w:w="3175" w:type="dxa"/>
            <w:tcBorders>
              <w:top w:val="single" w:sz="4" w:space="0" w:color="A6A6A6"/>
              <w:bottom w:val="single" w:sz="4" w:space="0" w:color="A6A6A6"/>
            </w:tcBorders>
          </w:tcPr>
          <w:p w14:paraId="5CEAC1AF" w14:textId="77777777" w:rsidR="005F4A7E" w:rsidRPr="002029AF" w:rsidRDefault="005F4A7E" w:rsidP="00130D1C">
            <w:pPr>
              <w:pStyle w:val="ARfintablebody"/>
            </w:pPr>
            <w:r>
              <w:t>1 July 2020 to 31 January 2021</w:t>
            </w:r>
          </w:p>
        </w:tc>
      </w:tr>
      <w:tr w:rsidR="005F4A7E" w:rsidRPr="002029AF" w14:paraId="35EE1918" w14:textId="77777777" w:rsidTr="00130D1C">
        <w:trPr>
          <w:cantSplit w:val="0"/>
        </w:trPr>
        <w:tc>
          <w:tcPr>
            <w:tcW w:w="2155" w:type="dxa"/>
            <w:tcBorders>
              <w:top w:val="single" w:sz="4" w:space="0" w:color="A6A6A6"/>
              <w:bottom w:val="single" w:sz="4" w:space="0" w:color="A6A6A6"/>
            </w:tcBorders>
          </w:tcPr>
          <w:p w14:paraId="09E65910" w14:textId="77777777" w:rsidR="005F4A7E" w:rsidRPr="002029AF" w:rsidRDefault="005F4A7E" w:rsidP="00130D1C">
            <w:pPr>
              <w:pStyle w:val="ARfintablebody"/>
            </w:pPr>
            <w:r>
              <w:t>Department of Health and Human Services</w:t>
            </w:r>
          </w:p>
        </w:tc>
        <w:tc>
          <w:tcPr>
            <w:tcW w:w="2155" w:type="dxa"/>
            <w:tcBorders>
              <w:top w:val="single" w:sz="4" w:space="0" w:color="A6A6A6"/>
              <w:bottom w:val="single" w:sz="4" w:space="0" w:color="A6A6A6"/>
            </w:tcBorders>
          </w:tcPr>
          <w:p w14:paraId="64F364B2" w14:textId="77777777" w:rsidR="005F4A7E" w:rsidRPr="002029AF" w:rsidRDefault="005F4A7E" w:rsidP="00130D1C">
            <w:pPr>
              <w:pStyle w:val="ARfintablebody"/>
            </w:pPr>
            <w:r>
              <w:t>Chris Hotham</w:t>
            </w:r>
          </w:p>
        </w:tc>
        <w:tc>
          <w:tcPr>
            <w:tcW w:w="2155" w:type="dxa"/>
            <w:tcBorders>
              <w:top w:val="single" w:sz="4" w:space="0" w:color="A6A6A6"/>
              <w:bottom w:val="single" w:sz="4" w:space="0" w:color="A6A6A6"/>
            </w:tcBorders>
          </w:tcPr>
          <w:p w14:paraId="686AEF1B" w14:textId="77777777" w:rsidR="005F4A7E" w:rsidRPr="002029AF" w:rsidRDefault="005F4A7E" w:rsidP="00130D1C">
            <w:pPr>
              <w:pStyle w:val="ARfintablebody"/>
            </w:pPr>
            <w:r>
              <w:t>Deputy Secretary, Infrastructure</w:t>
            </w:r>
          </w:p>
        </w:tc>
        <w:tc>
          <w:tcPr>
            <w:tcW w:w="3175" w:type="dxa"/>
            <w:tcBorders>
              <w:top w:val="single" w:sz="4" w:space="0" w:color="A6A6A6"/>
              <w:bottom w:val="single" w:sz="4" w:space="0" w:color="A6A6A6"/>
            </w:tcBorders>
          </w:tcPr>
          <w:p w14:paraId="6963D4F8" w14:textId="77777777" w:rsidR="005F4A7E" w:rsidRPr="002029AF" w:rsidRDefault="005F4A7E" w:rsidP="00130D1C">
            <w:pPr>
              <w:pStyle w:val="ARfintablebody"/>
            </w:pPr>
            <w:r>
              <w:t>1 July 2020 to 31 January 2021</w:t>
            </w:r>
          </w:p>
        </w:tc>
      </w:tr>
      <w:tr w:rsidR="005F4A7E" w:rsidRPr="002029AF" w14:paraId="6F78AAD7" w14:textId="77777777" w:rsidTr="00130D1C">
        <w:trPr>
          <w:cantSplit w:val="0"/>
        </w:trPr>
        <w:tc>
          <w:tcPr>
            <w:tcW w:w="2155" w:type="dxa"/>
            <w:tcBorders>
              <w:top w:val="single" w:sz="4" w:space="0" w:color="A6A6A6"/>
              <w:bottom w:val="single" w:sz="4" w:space="0" w:color="A6A6A6"/>
            </w:tcBorders>
          </w:tcPr>
          <w:p w14:paraId="0A456FE2" w14:textId="77777777" w:rsidR="005F4A7E" w:rsidRPr="002029AF" w:rsidRDefault="005F4A7E" w:rsidP="00130D1C">
            <w:pPr>
              <w:pStyle w:val="ARfintablebody"/>
            </w:pPr>
            <w:r>
              <w:t>Department of Health and Human Services</w:t>
            </w:r>
          </w:p>
        </w:tc>
        <w:tc>
          <w:tcPr>
            <w:tcW w:w="2155" w:type="dxa"/>
            <w:tcBorders>
              <w:top w:val="single" w:sz="4" w:space="0" w:color="A6A6A6"/>
              <w:bottom w:val="single" w:sz="4" w:space="0" w:color="A6A6A6"/>
            </w:tcBorders>
          </w:tcPr>
          <w:p w14:paraId="24E1F37D" w14:textId="77777777" w:rsidR="005F4A7E" w:rsidRPr="002029AF" w:rsidRDefault="005F4A7E" w:rsidP="00130D1C">
            <w:pPr>
              <w:pStyle w:val="ARfintablebody"/>
            </w:pPr>
            <w:r w:rsidRPr="009B45AA">
              <w:t>Melissa Skilbeck</w:t>
            </w:r>
          </w:p>
        </w:tc>
        <w:tc>
          <w:tcPr>
            <w:tcW w:w="2155" w:type="dxa"/>
            <w:tcBorders>
              <w:top w:val="single" w:sz="4" w:space="0" w:color="A6A6A6"/>
              <w:bottom w:val="single" w:sz="4" w:space="0" w:color="A6A6A6"/>
            </w:tcBorders>
          </w:tcPr>
          <w:p w14:paraId="0B46D9B5" w14:textId="77777777" w:rsidR="005F4A7E" w:rsidRPr="002029AF" w:rsidRDefault="005F4A7E" w:rsidP="00130D1C">
            <w:pPr>
              <w:pStyle w:val="ARfintablebody"/>
            </w:pPr>
            <w:r w:rsidRPr="00194D78">
              <w:t>Deputy Secretary, Regulation, Health Protection and Emergency Management</w:t>
            </w:r>
          </w:p>
        </w:tc>
        <w:tc>
          <w:tcPr>
            <w:tcW w:w="3175" w:type="dxa"/>
            <w:tcBorders>
              <w:top w:val="single" w:sz="4" w:space="0" w:color="A6A6A6"/>
              <w:bottom w:val="single" w:sz="4" w:space="0" w:color="A6A6A6"/>
            </w:tcBorders>
          </w:tcPr>
          <w:p w14:paraId="381A9952" w14:textId="77777777" w:rsidR="005F4A7E" w:rsidRPr="002029AF" w:rsidRDefault="005F4A7E" w:rsidP="00130D1C">
            <w:pPr>
              <w:pStyle w:val="ARfintablebody"/>
            </w:pPr>
            <w:r>
              <w:t>1 July 2020 to 31 January 2021</w:t>
            </w:r>
          </w:p>
        </w:tc>
      </w:tr>
      <w:tr w:rsidR="005F4A7E" w:rsidRPr="002029AF" w14:paraId="16AE1FFA" w14:textId="77777777" w:rsidTr="00130D1C">
        <w:trPr>
          <w:cantSplit w:val="0"/>
        </w:trPr>
        <w:tc>
          <w:tcPr>
            <w:tcW w:w="2155" w:type="dxa"/>
            <w:tcBorders>
              <w:top w:val="single" w:sz="4" w:space="0" w:color="A6A6A6"/>
              <w:bottom w:val="single" w:sz="4" w:space="0" w:color="A6A6A6"/>
            </w:tcBorders>
          </w:tcPr>
          <w:p w14:paraId="033EE1F6" w14:textId="77777777" w:rsidR="005F4A7E" w:rsidRPr="002029AF" w:rsidRDefault="005F4A7E" w:rsidP="00130D1C">
            <w:pPr>
              <w:pStyle w:val="ARfintablebody"/>
            </w:pPr>
            <w:r>
              <w:t>Department of Health and Human Services</w:t>
            </w:r>
          </w:p>
        </w:tc>
        <w:tc>
          <w:tcPr>
            <w:tcW w:w="2155" w:type="dxa"/>
            <w:tcBorders>
              <w:top w:val="single" w:sz="4" w:space="0" w:color="A6A6A6"/>
              <w:bottom w:val="single" w:sz="4" w:space="0" w:color="A6A6A6"/>
            </w:tcBorders>
          </w:tcPr>
          <w:p w14:paraId="1E6F448E" w14:textId="77777777" w:rsidR="005F4A7E" w:rsidRPr="002029AF" w:rsidRDefault="005F4A7E" w:rsidP="00130D1C">
            <w:pPr>
              <w:pStyle w:val="ARfintablebody"/>
            </w:pPr>
            <w:r w:rsidRPr="009E4A1B">
              <w:rPr>
                <w:color w:val="auto"/>
              </w:rPr>
              <w:t>Terry Symonds</w:t>
            </w:r>
          </w:p>
        </w:tc>
        <w:tc>
          <w:tcPr>
            <w:tcW w:w="2155" w:type="dxa"/>
            <w:tcBorders>
              <w:top w:val="single" w:sz="4" w:space="0" w:color="A6A6A6"/>
              <w:bottom w:val="single" w:sz="4" w:space="0" w:color="A6A6A6"/>
            </w:tcBorders>
          </w:tcPr>
          <w:p w14:paraId="2DA5B92E" w14:textId="77777777" w:rsidR="005F4A7E" w:rsidRPr="002029AF" w:rsidRDefault="005F4A7E" w:rsidP="00130D1C">
            <w:pPr>
              <w:pStyle w:val="ARfintablebody"/>
            </w:pPr>
            <w:r w:rsidRPr="00194D78">
              <w:t>Deputy Secretary, Health and Wellbeing</w:t>
            </w:r>
          </w:p>
        </w:tc>
        <w:tc>
          <w:tcPr>
            <w:tcW w:w="3175" w:type="dxa"/>
            <w:tcBorders>
              <w:top w:val="single" w:sz="4" w:space="0" w:color="A6A6A6"/>
              <w:bottom w:val="single" w:sz="4" w:space="0" w:color="A6A6A6"/>
            </w:tcBorders>
          </w:tcPr>
          <w:p w14:paraId="49BDF007" w14:textId="77777777" w:rsidR="005F4A7E" w:rsidRPr="002029AF" w:rsidRDefault="005F4A7E" w:rsidP="00130D1C">
            <w:pPr>
              <w:pStyle w:val="ARfintablebody"/>
            </w:pPr>
            <w:r>
              <w:t>1 July 2020 to 31 January 2021</w:t>
            </w:r>
          </w:p>
        </w:tc>
      </w:tr>
      <w:tr w:rsidR="005F4A7E" w:rsidRPr="002029AF" w14:paraId="00B419D6" w14:textId="77777777" w:rsidTr="00130D1C">
        <w:trPr>
          <w:cantSplit w:val="0"/>
        </w:trPr>
        <w:tc>
          <w:tcPr>
            <w:tcW w:w="2155" w:type="dxa"/>
            <w:tcBorders>
              <w:top w:val="single" w:sz="4" w:space="0" w:color="A6A6A6"/>
              <w:bottom w:val="single" w:sz="4" w:space="0" w:color="A6A6A6"/>
            </w:tcBorders>
          </w:tcPr>
          <w:p w14:paraId="310D6EB9" w14:textId="77777777" w:rsidR="005F4A7E" w:rsidRPr="002029AF" w:rsidRDefault="005F4A7E" w:rsidP="00130D1C">
            <w:pPr>
              <w:pStyle w:val="ARfintablebody"/>
            </w:pPr>
            <w:r>
              <w:t>Department of Health and Human Services</w:t>
            </w:r>
          </w:p>
        </w:tc>
        <w:tc>
          <w:tcPr>
            <w:tcW w:w="2155" w:type="dxa"/>
            <w:tcBorders>
              <w:top w:val="single" w:sz="4" w:space="0" w:color="A6A6A6"/>
              <w:bottom w:val="single" w:sz="4" w:space="0" w:color="A6A6A6"/>
            </w:tcBorders>
          </w:tcPr>
          <w:p w14:paraId="6B5D6BD2" w14:textId="77777777" w:rsidR="005F4A7E" w:rsidRPr="002029AF" w:rsidRDefault="005F4A7E" w:rsidP="00130D1C">
            <w:pPr>
              <w:pStyle w:val="ARfintablebody"/>
            </w:pPr>
            <w:r w:rsidRPr="00194D78">
              <w:t>Chris Asquini</w:t>
            </w:r>
          </w:p>
        </w:tc>
        <w:tc>
          <w:tcPr>
            <w:tcW w:w="2155" w:type="dxa"/>
            <w:tcBorders>
              <w:top w:val="single" w:sz="4" w:space="0" w:color="A6A6A6"/>
              <w:bottom w:val="single" w:sz="4" w:space="0" w:color="A6A6A6"/>
            </w:tcBorders>
          </w:tcPr>
          <w:p w14:paraId="79FE5577" w14:textId="77777777" w:rsidR="005F4A7E" w:rsidRPr="002029AF" w:rsidRDefault="005F4A7E" w:rsidP="00130D1C">
            <w:pPr>
              <w:pStyle w:val="ARfintablebody"/>
            </w:pPr>
            <w:r w:rsidRPr="00194D78">
              <w:t>Deputy Secretary, Community Services Operations</w:t>
            </w:r>
          </w:p>
        </w:tc>
        <w:tc>
          <w:tcPr>
            <w:tcW w:w="3175" w:type="dxa"/>
            <w:tcBorders>
              <w:top w:val="single" w:sz="4" w:space="0" w:color="A6A6A6"/>
              <w:bottom w:val="single" w:sz="4" w:space="0" w:color="A6A6A6"/>
            </w:tcBorders>
          </w:tcPr>
          <w:p w14:paraId="2D21B1F0" w14:textId="77777777" w:rsidR="005F4A7E" w:rsidRPr="002029AF" w:rsidRDefault="005F4A7E" w:rsidP="00130D1C">
            <w:pPr>
              <w:pStyle w:val="ARfintablebody"/>
            </w:pPr>
            <w:r>
              <w:t>1 July 2020 to 31 January 2021</w:t>
            </w:r>
          </w:p>
        </w:tc>
      </w:tr>
      <w:tr w:rsidR="005F4A7E" w:rsidRPr="002029AF" w14:paraId="42C35128" w14:textId="77777777" w:rsidTr="00130D1C">
        <w:trPr>
          <w:cantSplit w:val="0"/>
        </w:trPr>
        <w:tc>
          <w:tcPr>
            <w:tcW w:w="2155" w:type="dxa"/>
            <w:tcBorders>
              <w:top w:val="single" w:sz="4" w:space="0" w:color="A6A6A6"/>
              <w:bottom w:val="single" w:sz="4" w:space="0" w:color="A6A6A6"/>
            </w:tcBorders>
          </w:tcPr>
          <w:p w14:paraId="184FCB76" w14:textId="77777777" w:rsidR="005F4A7E" w:rsidRPr="002029AF" w:rsidRDefault="005F4A7E" w:rsidP="00130D1C">
            <w:pPr>
              <w:pStyle w:val="ARfintablebody"/>
            </w:pPr>
            <w:r>
              <w:t>Department of Health and Human Services</w:t>
            </w:r>
          </w:p>
        </w:tc>
        <w:tc>
          <w:tcPr>
            <w:tcW w:w="2155" w:type="dxa"/>
            <w:tcBorders>
              <w:top w:val="single" w:sz="4" w:space="0" w:color="A6A6A6"/>
              <w:bottom w:val="single" w:sz="4" w:space="0" w:color="A6A6A6"/>
            </w:tcBorders>
          </w:tcPr>
          <w:p w14:paraId="483D217E" w14:textId="77777777" w:rsidR="005F4A7E" w:rsidRPr="002029AF" w:rsidRDefault="005F4A7E" w:rsidP="00130D1C">
            <w:pPr>
              <w:pStyle w:val="ARfintablebody"/>
            </w:pPr>
            <w:r w:rsidRPr="00194D78">
              <w:t>Amity Durham</w:t>
            </w:r>
          </w:p>
        </w:tc>
        <w:tc>
          <w:tcPr>
            <w:tcW w:w="2155" w:type="dxa"/>
            <w:tcBorders>
              <w:top w:val="single" w:sz="4" w:space="0" w:color="A6A6A6"/>
              <w:bottom w:val="single" w:sz="4" w:space="0" w:color="A6A6A6"/>
            </w:tcBorders>
          </w:tcPr>
          <w:p w14:paraId="6C3AC9E2" w14:textId="77777777" w:rsidR="005F4A7E" w:rsidRPr="002029AF" w:rsidRDefault="005F4A7E" w:rsidP="00130D1C">
            <w:pPr>
              <w:pStyle w:val="ARfintablebody"/>
            </w:pPr>
            <w:r w:rsidRPr="00194D78">
              <w:t>Deputy Secretary, Strategy and Planning</w:t>
            </w:r>
          </w:p>
        </w:tc>
        <w:tc>
          <w:tcPr>
            <w:tcW w:w="3175" w:type="dxa"/>
            <w:tcBorders>
              <w:top w:val="single" w:sz="4" w:space="0" w:color="A6A6A6"/>
              <w:bottom w:val="single" w:sz="4" w:space="0" w:color="A6A6A6"/>
            </w:tcBorders>
          </w:tcPr>
          <w:p w14:paraId="265FC2DD" w14:textId="77777777" w:rsidR="005F4A7E" w:rsidRPr="002029AF" w:rsidRDefault="005F4A7E" w:rsidP="00130D1C">
            <w:pPr>
              <w:pStyle w:val="ARfintablebody"/>
            </w:pPr>
            <w:r>
              <w:t>1 July 2020 to 31 January 2021</w:t>
            </w:r>
          </w:p>
        </w:tc>
      </w:tr>
      <w:tr w:rsidR="005F4A7E" w:rsidRPr="002029AF" w14:paraId="76191DCB" w14:textId="77777777" w:rsidTr="00130D1C">
        <w:trPr>
          <w:cantSplit w:val="0"/>
        </w:trPr>
        <w:tc>
          <w:tcPr>
            <w:tcW w:w="2155" w:type="dxa"/>
            <w:tcBorders>
              <w:top w:val="single" w:sz="4" w:space="0" w:color="A6A6A6"/>
              <w:bottom w:val="single" w:sz="4" w:space="0" w:color="A6A6A6"/>
            </w:tcBorders>
          </w:tcPr>
          <w:p w14:paraId="5A0D4033" w14:textId="77777777" w:rsidR="005F4A7E" w:rsidRPr="002029AF" w:rsidRDefault="005F4A7E" w:rsidP="00130D1C">
            <w:pPr>
              <w:pStyle w:val="ARfintablebody"/>
            </w:pPr>
            <w:r>
              <w:t>Department of Health and Human Services</w:t>
            </w:r>
          </w:p>
        </w:tc>
        <w:tc>
          <w:tcPr>
            <w:tcW w:w="2155" w:type="dxa"/>
            <w:tcBorders>
              <w:top w:val="single" w:sz="4" w:space="0" w:color="A6A6A6"/>
              <w:bottom w:val="single" w:sz="4" w:space="0" w:color="A6A6A6"/>
            </w:tcBorders>
          </w:tcPr>
          <w:p w14:paraId="4964C81B" w14:textId="77777777" w:rsidR="005F4A7E" w:rsidRPr="002029AF" w:rsidRDefault="005F4A7E" w:rsidP="00130D1C">
            <w:pPr>
              <w:pStyle w:val="ARfintablebody"/>
            </w:pPr>
            <w:r w:rsidRPr="00194D78">
              <w:t>Argiri Alisandratos</w:t>
            </w:r>
          </w:p>
        </w:tc>
        <w:tc>
          <w:tcPr>
            <w:tcW w:w="2155" w:type="dxa"/>
            <w:tcBorders>
              <w:top w:val="single" w:sz="4" w:space="0" w:color="A6A6A6"/>
              <w:bottom w:val="single" w:sz="4" w:space="0" w:color="A6A6A6"/>
            </w:tcBorders>
          </w:tcPr>
          <w:p w14:paraId="3A5D9D02" w14:textId="71FFB58B" w:rsidR="005F4A7E" w:rsidRPr="002029AF" w:rsidRDefault="005F4A7E" w:rsidP="00130D1C">
            <w:pPr>
              <w:pStyle w:val="ARfintablebody"/>
            </w:pPr>
            <w:r w:rsidRPr="00194D78">
              <w:t>Deputy Secretary, Children</w:t>
            </w:r>
            <w:r>
              <w:t>,</w:t>
            </w:r>
            <w:r w:rsidRPr="00194D78">
              <w:t xml:space="preserve"> Families</w:t>
            </w:r>
            <w:r w:rsidR="00F9479F">
              <w:t>,</w:t>
            </w:r>
            <w:r>
              <w:t xml:space="preserve"> Communities and Disability</w:t>
            </w:r>
          </w:p>
        </w:tc>
        <w:tc>
          <w:tcPr>
            <w:tcW w:w="3175" w:type="dxa"/>
            <w:tcBorders>
              <w:top w:val="single" w:sz="4" w:space="0" w:color="A6A6A6"/>
              <w:bottom w:val="single" w:sz="4" w:space="0" w:color="A6A6A6"/>
            </w:tcBorders>
          </w:tcPr>
          <w:p w14:paraId="345D3077" w14:textId="77777777" w:rsidR="005F4A7E" w:rsidRPr="002029AF" w:rsidRDefault="005F4A7E" w:rsidP="00130D1C">
            <w:pPr>
              <w:pStyle w:val="ARfintablebody"/>
            </w:pPr>
            <w:r>
              <w:t>1 July 2020 to 31 January 2021</w:t>
            </w:r>
          </w:p>
        </w:tc>
      </w:tr>
      <w:tr w:rsidR="005F4A7E" w:rsidRPr="002029AF" w14:paraId="0A2CCF77" w14:textId="77777777" w:rsidTr="00130D1C">
        <w:trPr>
          <w:cantSplit w:val="0"/>
        </w:trPr>
        <w:tc>
          <w:tcPr>
            <w:tcW w:w="2155" w:type="dxa"/>
            <w:tcBorders>
              <w:top w:val="single" w:sz="4" w:space="0" w:color="A6A6A6"/>
              <w:bottom w:val="single" w:sz="4" w:space="0" w:color="A6A6A6"/>
            </w:tcBorders>
          </w:tcPr>
          <w:p w14:paraId="3C98E969" w14:textId="77777777" w:rsidR="005F4A7E" w:rsidRPr="002029AF" w:rsidRDefault="005F4A7E" w:rsidP="00130D1C">
            <w:pPr>
              <w:pStyle w:val="ARfintablebody"/>
            </w:pPr>
            <w:r>
              <w:t>Department of Health and Human Services</w:t>
            </w:r>
          </w:p>
        </w:tc>
        <w:tc>
          <w:tcPr>
            <w:tcW w:w="2155" w:type="dxa"/>
            <w:tcBorders>
              <w:top w:val="single" w:sz="4" w:space="0" w:color="A6A6A6"/>
              <w:bottom w:val="single" w:sz="4" w:space="0" w:color="A6A6A6"/>
            </w:tcBorders>
          </w:tcPr>
          <w:p w14:paraId="513F33F1" w14:textId="77777777" w:rsidR="005F4A7E" w:rsidRPr="002029AF" w:rsidRDefault="005F4A7E" w:rsidP="00130D1C">
            <w:pPr>
              <w:pStyle w:val="ARfintablebody"/>
            </w:pPr>
            <w:r w:rsidRPr="00194D78">
              <w:t>Nick Chiam</w:t>
            </w:r>
          </w:p>
        </w:tc>
        <w:tc>
          <w:tcPr>
            <w:tcW w:w="2155" w:type="dxa"/>
            <w:tcBorders>
              <w:top w:val="single" w:sz="4" w:space="0" w:color="A6A6A6"/>
              <w:bottom w:val="single" w:sz="4" w:space="0" w:color="A6A6A6"/>
            </w:tcBorders>
          </w:tcPr>
          <w:p w14:paraId="00B87361" w14:textId="77777777" w:rsidR="005F4A7E" w:rsidRPr="002029AF" w:rsidRDefault="005F4A7E" w:rsidP="00130D1C">
            <w:pPr>
              <w:pStyle w:val="ARfintablebody"/>
            </w:pPr>
            <w:r w:rsidRPr="00194D78">
              <w:t>Deputy Secretary, Organisational Transformation</w:t>
            </w:r>
          </w:p>
        </w:tc>
        <w:tc>
          <w:tcPr>
            <w:tcW w:w="3175" w:type="dxa"/>
            <w:tcBorders>
              <w:top w:val="single" w:sz="4" w:space="0" w:color="A6A6A6"/>
              <w:bottom w:val="single" w:sz="4" w:space="0" w:color="A6A6A6"/>
            </w:tcBorders>
          </w:tcPr>
          <w:p w14:paraId="3F2F0703" w14:textId="77777777" w:rsidR="005F4A7E" w:rsidRPr="002029AF" w:rsidRDefault="005F4A7E" w:rsidP="00130D1C">
            <w:pPr>
              <w:pStyle w:val="ARfintablebody"/>
            </w:pPr>
            <w:r>
              <w:t>1 July 2020 to 31 January 2021</w:t>
            </w:r>
          </w:p>
        </w:tc>
      </w:tr>
      <w:tr w:rsidR="005F4A7E" w:rsidRPr="002029AF" w14:paraId="587A3D42" w14:textId="77777777" w:rsidTr="00130D1C">
        <w:trPr>
          <w:cantSplit w:val="0"/>
        </w:trPr>
        <w:tc>
          <w:tcPr>
            <w:tcW w:w="2155" w:type="dxa"/>
            <w:vMerge w:val="restart"/>
            <w:tcBorders>
              <w:top w:val="single" w:sz="4" w:space="0" w:color="A6A6A6"/>
            </w:tcBorders>
          </w:tcPr>
          <w:p w14:paraId="741FD135" w14:textId="77777777" w:rsidR="005F4A7E" w:rsidRDefault="005F4A7E" w:rsidP="00130D1C">
            <w:pPr>
              <w:pStyle w:val="ARfintablebody"/>
            </w:pPr>
            <w:r>
              <w:t>Department of Health and Human Services</w:t>
            </w:r>
          </w:p>
        </w:tc>
        <w:tc>
          <w:tcPr>
            <w:tcW w:w="2155" w:type="dxa"/>
            <w:vMerge w:val="restart"/>
            <w:tcBorders>
              <w:top w:val="single" w:sz="4" w:space="0" w:color="A6A6A6"/>
            </w:tcBorders>
          </w:tcPr>
          <w:p w14:paraId="03A9DB50" w14:textId="77777777" w:rsidR="005F4A7E" w:rsidRPr="00194D78" w:rsidRDefault="005F4A7E" w:rsidP="00130D1C">
            <w:pPr>
              <w:pStyle w:val="ARfintablebody"/>
            </w:pPr>
            <w:r w:rsidRPr="00194D78">
              <w:t>Jacinda de Witts</w:t>
            </w:r>
          </w:p>
        </w:tc>
        <w:tc>
          <w:tcPr>
            <w:tcW w:w="2155" w:type="dxa"/>
            <w:tcBorders>
              <w:top w:val="single" w:sz="4" w:space="0" w:color="A6A6A6"/>
              <w:bottom w:val="single" w:sz="4" w:space="0" w:color="A6A6A6"/>
            </w:tcBorders>
          </w:tcPr>
          <w:p w14:paraId="264F45AF" w14:textId="77777777" w:rsidR="005F4A7E" w:rsidRDefault="005F4A7E" w:rsidP="00130D1C">
            <w:pPr>
              <w:pStyle w:val="ARfintablebody"/>
            </w:pPr>
            <w:r>
              <w:t>Deputy Secretary, COVID-19 Public Health</w:t>
            </w:r>
          </w:p>
        </w:tc>
        <w:tc>
          <w:tcPr>
            <w:tcW w:w="3175" w:type="dxa"/>
            <w:tcBorders>
              <w:top w:val="single" w:sz="4" w:space="0" w:color="A6A6A6"/>
              <w:bottom w:val="single" w:sz="4" w:space="0" w:color="A6A6A6"/>
            </w:tcBorders>
          </w:tcPr>
          <w:p w14:paraId="4A311833" w14:textId="77777777" w:rsidR="005F4A7E" w:rsidRDefault="005F4A7E" w:rsidP="00130D1C">
            <w:pPr>
              <w:pStyle w:val="ARfintablebody"/>
            </w:pPr>
            <w:r>
              <w:t>1 July 2020 to 6 September 2020</w:t>
            </w:r>
          </w:p>
        </w:tc>
      </w:tr>
      <w:tr w:rsidR="005F4A7E" w:rsidRPr="002029AF" w14:paraId="5D115D7E" w14:textId="77777777" w:rsidTr="00130D1C">
        <w:trPr>
          <w:cantSplit w:val="0"/>
        </w:trPr>
        <w:tc>
          <w:tcPr>
            <w:tcW w:w="2155" w:type="dxa"/>
            <w:vMerge/>
            <w:tcBorders>
              <w:bottom w:val="single" w:sz="4" w:space="0" w:color="A6A6A6"/>
            </w:tcBorders>
          </w:tcPr>
          <w:p w14:paraId="648CF9EC" w14:textId="77777777" w:rsidR="005F4A7E" w:rsidRPr="002029AF" w:rsidRDefault="005F4A7E" w:rsidP="00130D1C">
            <w:pPr>
              <w:pStyle w:val="ARfintablebody"/>
            </w:pPr>
          </w:p>
        </w:tc>
        <w:tc>
          <w:tcPr>
            <w:tcW w:w="2155" w:type="dxa"/>
            <w:vMerge/>
            <w:tcBorders>
              <w:bottom w:val="single" w:sz="4" w:space="0" w:color="A6A6A6"/>
            </w:tcBorders>
          </w:tcPr>
          <w:p w14:paraId="0F5CB09F" w14:textId="77777777" w:rsidR="005F4A7E" w:rsidRPr="002029AF" w:rsidRDefault="005F4A7E" w:rsidP="00130D1C">
            <w:pPr>
              <w:pStyle w:val="ARfintablebody"/>
            </w:pPr>
          </w:p>
        </w:tc>
        <w:tc>
          <w:tcPr>
            <w:tcW w:w="2155" w:type="dxa"/>
            <w:tcBorders>
              <w:top w:val="single" w:sz="4" w:space="0" w:color="A6A6A6"/>
              <w:bottom w:val="single" w:sz="4" w:space="0" w:color="A6A6A6"/>
            </w:tcBorders>
          </w:tcPr>
          <w:p w14:paraId="71F08E16" w14:textId="77777777" w:rsidR="005F4A7E" w:rsidRPr="002029AF" w:rsidRDefault="005F4A7E" w:rsidP="00130D1C">
            <w:pPr>
              <w:pStyle w:val="ARfintablebody"/>
            </w:pPr>
            <w:r w:rsidRPr="00194D78">
              <w:t>Deputy Secretary, Legal and Executive Services</w:t>
            </w:r>
          </w:p>
        </w:tc>
        <w:tc>
          <w:tcPr>
            <w:tcW w:w="3175" w:type="dxa"/>
            <w:tcBorders>
              <w:top w:val="single" w:sz="4" w:space="0" w:color="A6A6A6"/>
              <w:bottom w:val="single" w:sz="4" w:space="0" w:color="A6A6A6"/>
            </w:tcBorders>
          </w:tcPr>
          <w:p w14:paraId="3487E963" w14:textId="77777777" w:rsidR="005F4A7E" w:rsidRPr="002029AF" w:rsidRDefault="005F4A7E" w:rsidP="00130D1C">
            <w:pPr>
              <w:pStyle w:val="ARfintablebody"/>
            </w:pPr>
            <w:r>
              <w:t>7 September 2020 to 31 January 2021</w:t>
            </w:r>
          </w:p>
        </w:tc>
      </w:tr>
      <w:tr w:rsidR="005F4A7E" w:rsidRPr="002029AF" w14:paraId="6F525A9F" w14:textId="77777777" w:rsidTr="00130D1C">
        <w:trPr>
          <w:cantSplit w:val="0"/>
        </w:trPr>
        <w:tc>
          <w:tcPr>
            <w:tcW w:w="2155" w:type="dxa"/>
            <w:tcBorders>
              <w:top w:val="single" w:sz="4" w:space="0" w:color="A6A6A6"/>
              <w:bottom w:val="single" w:sz="4" w:space="0" w:color="A6A6A6"/>
            </w:tcBorders>
          </w:tcPr>
          <w:p w14:paraId="7E3CA581" w14:textId="77777777" w:rsidR="005F4A7E" w:rsidRPr="002029AF" w:rsidRDefault="005F4A7E" w:rsidP="00130D1C">
            <w:pPr>
              <w:pStyle w:val="ARfintablebody"/>
            </w:pPr>
            <w:r>
              <w:t>Department of Health and Human Services</w:t>
            </w:r>
          </w:p>
        </w:tc>
        <w:tc>
          <w:tcPr>
            <w:tcW w:w="2155" w:type="dxa"/>
            <w:tcBorders>
              <w:top w:val="single" w:sz="4" w:space="0" w:color="A6A6A6"/>
              <w:bottom w:val="single" w:sz="4" w:space="0" w:color="A6A6A6"/>
            </w:tcBorders>
          </w:tcPr>
          <w:p w14:paraId="77A633EE" w14:textId="77777777" w:rsidR="005F4A7E" w:rsidRPr="002029AF" w:rsidRDefault="005F4A7E" w:rsidP="00130D1C">
            <w:pPr>
              <w:pStyle w:val="ARfintablebody"/>
            </w:pPr>
            <w:r w:rsidRPr="003E250E">
              <w:t>Annalise Bamford</w:t>
            </w:r>
          </w:p>
        </w:tc>
        <w:tc>
          <w:tcPr>
            <w:tcW w:w="2155" w:type="dxa"/>
            <w:tcBorders>
              <w:top w:val="single" w:sz="4" w:space="0" w:color="A6A6A6"/>
              <w:bottom w:val="single" w:sz="4" w:space="0" w:color="A6A6A6"/>
            </w:tcBorders>
          </w:tcPr>
          <w:p w14:paraId="3E232B38" w14:textId="77777777" w:rsidR="005F4A7E" w:rsidRPr="002029AF" w:rsidRDefault="005F4A7E" w:rsidP="00130D1C">
            <w:pPr>
              <w:pStyle w:val="ARfintablebody"/>
            </w:pPr>
            <w:r w:rsidRPr="003E250E">
              <w:t>Assistant Deputy Secretary, COVID-19 Public Health</w:t>
            </w:r>
          </w:p>
        </w:tc>
        <w:tc>
          <w:tcPr>
            <w:tcW w:w="3175" w:type="dxa"/>
            <w:tcBorders>
              <w:top w:val="single" w:sz="4" w:space="0" w:color="A6A6A6"/>
              <w:bottom w:val="single" w:sz="4" w:space="0" w:color="A6A6A6"/>
            </w:tcBorders>
          </w:tcPr>
          <w:p w14:paraId="663DE3A0" w14:textId="77777777" w:rsidR="005F4A7E" w:rsidRPr="002029AF" w:rsidRDefault="005F4A7E" w:rsidP="00130D1C">
            <w:pPr>
              <w:pStyle w:val="ARfintablebody"/>
            </w:pPr>
            <w:r w:rsidRPr="003E250E">
              <w:t>1 July 2020 to 16 August 2020</w:t>
            </w:r>
          </w:p>
        </w:tc>
      </w:tr>
      <w:tr w:rsidR="005F4A7E" w:rsidRPr="002029AF" w14:paraId="2543AF53" w14:textId="77777777" w:rsidTr="00130D1C">
        <w:trPr>
          <w:cantSplit w:val="0"/>
        </w:trPr>
        <w:tc>
          <w:tcPr>
            <w:tcW w:w="2155" w:type="dxa"/>
            <w:tcBorders>
              <w:top w:val="single" w:sz="4" w:space="0" w:color="A6A6A6"/>
              <w:bottom w:val="single" w:sz="4" w:space="0" w:color="A6A6A6"/>
            </w:tcBorders>
          </w:tcPr>
          <w:p w14:paraId="456B7C60" w14:textId="77777777" w:rsidR="005F4A7E" w:rsidRPr="002029AF" w:rsidRDefault="005F4A7E" w:rsidP="00130D1C">
            <w:pPr>
              <w:pStyle w:val="ARfintablebody"/>
            </w:pPr>
            <w:r w:rsidRPr="00B820AB">
              <w:t>Department of Health and Human Services</w:t>
            </w:r>
          </w:p>
        </w:tc>
        <w:tc>
          <w:tcPr>
            <w:tcW w:w="2155" w:type="dxa"/>
            <w:tcBorders>
              <w:top w:val="single" w:sz="4" w:space="0" w:color="A6A6A6"/>
              <w:bottom w:val="single" w:sz="4" w:space="0" w:color="A6A6A6"/>
            </w:tcBorders>
          </w:tcPr>
          <w:p w14:paraId="478F3708" w14:textId="77777777" w:rsidR="005F4A7E" w:rsidRPr="002029AF" w:rsidRDefault="005F4A7E" w:rsidP="00130D1C">
            <w:pPr>
              <w:pStyle w:val="ARfintablebody"/>
            </w:pPr>
            <w:r w:rsidRPr="003E250E">
              <w:t>Jodie Geissler</w:t>
            </w:r>
          </w:p>
        </w:tc>
        <w:tc>
          <w:tcPr>
            <w:tcW w:w="2155" w:type="dxa"/>
            <w:tcBorders>
              <w:top w:val="single" w:sz="4" w:space="0" w:color="A6A6A6"/>
              <w:bottom w:val="single" w:sz="4" w:space="0" w:color="A6A6A6"/>
            </w:tcBorders>
          </w:tcPr>
          <w:p w14:paraId="5C3F04AC" w14:textId="77777777" w:rsidR="005F4A7E" w:rsidRPr="002029AF" w:rsidRDefault="005F4A7E" w:rsidP="00130D1C">
            <w:pPr>
              <w:pStyle w:val="ARfintablebody"/>
            </w:pPr>
            <w:r w:rsidRPr="003E250E">
              <w:t>Associate Secretary, COVID-19</w:t>
            </w:r>
          </w:p>
        </w:tc>
        <w:tc>
          <w:tcPr>
            <w:tcW w:w="3175" w:type="dxa"/>
            <w:tcBorders>
              <w:top w:val="single" w:sz="4" w:space="0" w:color="A6A6A6"/>
              <w:bottom w:val="single" w:sz="4" w:space="0" w:color="A6A6A6"/>
            </w:tcBorders>
          </w:tcPr>
          <w:p w14:paraId="78A3215C" w14:textId="77777777" w:rsidR="005F4A7E" w:rsidRPr="002029AF" w:rsidRDefault="005F4A7E" w:rsidP="00130D1C">
            <w:pPr>
              <w:pStyle w:val="ARfintablebody"/>
            </w:pPr>
            <w:r w:rsidRPr="003E250E">
              <w:t>1 July 2020 to 31 July 2020</w:t>
            </w:r>
          </w:p>
        </w:tc>
      </w:tr>
      <w:tr w:rsidR="005F4A7E" w:rsidRPr="002029AF" w14:paraId="4F7FEF19" w14:textId="77777777" w:rsidTr="00130D1C">
        <w:trPr>
          <w:cantSplit w:val="0"/>
        </w:trPr>
        <w:tc>
          <w:tcPr>
            <w:tcW w:w="2155" w:type="dxa"/>
            <w:tcBorders>
              <w:top w:val="single" w:sz="4" w:space="0" w:color="A6A6A6"/>
              <w:bottom w:val="single" w:sz="4" w:space="0" w:color="A6A6A6"/>
            </w:tcBorders>
          </w:tcPr>
          <w:p w14:paraId="30A9C205" w14:textId="77777777" w:rsidR="005F4A7E" w:rsidRPr="002029AF" w:rsidRDefault="005F4A7E" w:rsidP="00130D1C">
            <w:pPr>
              <w:pStyle w:val="ARfintablebody"/>
            </w:pPr>
            <w:r w:rsidRPr="00B820AB">
              <w:t>Department of Health and Human Services</w:t>
            </w:r>
          </w:p>
        </w:tc>
        <w:tc>
          <w:tcPr>
            <w:tcW w:w="2155" w:type="dxa"/>
            <w:tcBorders>
              <w:top w:val="single" w:sz="4" w:space="0" w:color="A6A6A6"/>
              <w:bottom w:val="single" w:sz="4" w:space="0" w:color="A6A6A6"/>
            </w:tcBorders>
          </w:tcPr>
          <w:p w14:paraId="7B84FC80" w14:textId="77777777" w:rsidR="005F4A7E" w:rsidRPr="002029AF" w:rsidRDefault="005F4A7E" w:rsidP="00130D1C">
            <w:pPr>
              <w:pStyle w:val="ARfintablebody"/>
            </w:pPr>
            <w:r w:rsidRPr="003E250E">
              <w:t>Ben Fielding</w:t>
            </w:r>
          </w:p>
        </w:tc>
        <w:tc>
          <w:tcPr>
            <w:tcW w:w="2155" w:type="dxa"/>
            <w:tcBorders>
              <w:top w:val="single" w:sz="4" w:space="0" w:color="A6A6A6"/>
              <w:bottom w:val="single" w:sz="4" w:space="0" w:color="A6A6A6"/>
            </w:tcBorders>
          </w:tcPr>
          <w:p w14:paraId="37D7ADAA" w14:textId="77777777" w:rsidR="005F4A7E" w:rsidRPr="002029AF" w:rsidRDefault="005F4A7E" w:rsidP="00130D1C">
            <w:pPr>
              <w:pStyle w:val="ARfintablebody"/>
            </w:pPr>
            <w:r w:rsidRPr="003E250E">
              <w:t>Deputy Secretary, Health and Wellbeing</w:t>
            </w:r>
          </w:p>
        </w:tc>
        <w:tc>
          <w:tcPr>
            <w:tcW w:w="3175" w:type="dxa"/>
            <w:tcBorders>
              <w:top w:val="single" w:sz="4" w:space="0" w:color="A6A6A6"/>
              <w:bottom w:val="single" w:sz="4" w:space="0" w:color="A6A6A6"/>
            </w:tcBorders>
          </w:tcPr>
          <w:p w14:paraId="682E33A3" w14:textId="77777777" w:rsidR="005F4A7E" w:rsidRPr="002029AF" w:rsidRDefault="005F4A7E" w:rsidP="00130D1C">
            <w:pPr>
              <w:pStyle w:val="ARfintablebody"/>
            </w:pPr>
            <w:r w:rsidRPr="003E250E">
              <w:t>31 August 2020 to 31 January 2021</w:t>
            </w:r>
          </w:p>
        </w:tc>
      </w:tr>
      <w:tr w:rsidR="005F4A7E" w:rsidRPr="002029AF" w14:paraId="023A157E" w14:textId="77777777" w:rsidTr="00130D1C">
        <w:trPr>
          <w:cantSplit w:val="0"/>
        </w:trPr>
        <w:tc>
          <w:tcPr>
            <w:tcW w:w="2155" w:type="dxa"/>
            <w:tcBorders>
              <w:top w:val="single" w:sz="4" w:space="0" w:color="A6A6A6"/>
              <w:bottom w:val="single" w:sz="4" w:space="0" w:color="A6A6A6"/>
            </w:tcBorders>
          </w:tcPr>
          <w:p w14:paraId="7A0467B9" w14:textId="77777777" w:rsidR="005F4A7E" w:rsidRPr="002029AF" w:rsidRDefault="005F4A7E" w:rsidP="00130D1C">
            <w:pPr>
              <w:pStyle w:val="ARfintablebody"/>
            </w:pPr>
            <w:r w:rsidRPr="00B820AB">
              <w:t>Department of Health and Human Services</w:t>
            </w:r>
          </w:p>
        </w:tc>
        <w:tc>
          <w:tcPr>
            <w:tcW w:w="2155" w:type="dxa"/>
            <w:tcBorders>
              <w:top w:val="single" w:sz="4" w:space="0" w:color="A6A6A6"/>
              <w:bottom w:val="single" w:sz="4" w:space="0" w:color="A6A6A6"/>
            </w:tcBorders>
          </w:tcPr>
          <w:p w14:paraId="160C15A7" w14:textId="77777777" w:rsidR="005F4A7E" w:rsidRPr="002029AF" w:rsidRDefault="005F4A7E" w:rsidP="00130D1C">
            <w:pPr>
              <w:pStyle w:val="ARfintablebody"/>
            </w:pPr>
            <w:r w:rsidRPr="003E250E">
              <w:t>Katherine Whetton</w:t>
            </w:r>
          </w:p>
        </w:tc>
        <w:tc>
          <w:tcPr>
            <w:tcW w:w="2155" w:type="dxa"/>
            <w:tcBorders>
              <w:top w:val="single" w:sz="4" w:space="0" w:color="A6A6A6"/>
              <w:bottom w:val="single" w:sz="4" w:space="0" w:color="A6A6A6"/>
            </w:tcBorders>
          </w:tcPr>
          <w:p w14:paraId="68A75B71" w14:textId="77777777" w:rsidR="005F4A7E" w:rsidRPr="002029AF" w:rsidRDefault="005F4A7E" w:rsidP="00130D1C">
            <w:pPr>
              <w:pStyle w:val="ARfintablebody"/>
            </w:pPr>
            <w:r w:rsidRPr="003E250E">
              <w:t>Deputy Secretary, Policy and Strategy, COVID-19</w:t>
            </w:r>
          </w:p>
        </w:tc>
        <w:tc>
          <w:tcPr>
            <w:tcW w:w="3175" w:type="dxa"/>
            <w:tcBorders>
              <w:top w:val="single" w:sz="4" w:space="0" w:color="A6A6A6"/>
              <w:bottom w:val="single" w:sz="4" w:space="0" w:color="A6A6A6"/>
            </w:tcBorders>
          </w:tcPr>
          <w:p w14:paraId="776BEB98" w14:textId="77777777" w:rsidR="005F4A7E" w:rsidRPr="002029AF" w:rsidRDefault="005F4A7E" w:rsidP="00130D1C">
            <w:pPr>
              <w:pStyle w:val="ARfintablebody"/>
            </w:pPr>
            <w:r w:rsidRPr="003E250E">
              <w:t>28 October 2020 to 13 December 2020</w:t>
            </w:r>
          </w:p>
        </w:tc>
      </w:tr>
      <w:tr w:rsidR="005F4A7E" w:rsidRPr="002029AF" w14:paraId="77D7787D" w14:textId="77777777" w:rsidTr="00130D1C">
        <w:trPr>
          <w:cantSplit w:val="0"/>
        </w:trPr>
        <w:tc>
          <w:tcPr>
            <w:tcW w:w="2155" w:type="dxa"/>
            <w:tcBorders>
              <w:top w:val="single" w:sz="4" w:space="0" w:color="A6A6A6"/>
              <w:bottom w:val="single" w:sz="4" w:space="0" w:color="A6A6A6"/>
            </w:tcBorders>
          </w:tcPr>
          <w:p w14:paraId="09572C36" w14:textId="77777777" w:rsidR="005F4A7E" w:rsidRPr="002029AF" w:rsidRDefault="005F4A7E" w:rsidP="00130D1C">
            <w:pPr>
              <w:pStyle w:val="ARfintablebody"/>
            </w:pPr>
            <w:r w:rsidRPr="00B820AB">
              <w:t>Department of Health and Human Services</w:t>
            </w:r>
          </w:p>
        </w:tc>
        <w:tc>
          <w:tcPr>
            <w:tcW w:w="2155" w:type="dxa"/>
            <w:tcBorders>
              <w:top w:val="single" w:sz="4" w:space="0" w:color="A6A6A6"/>
              <w:bottom w:val="single" w:sz="4" w:space="0" w:color="A6A6A6"/>
            </w:tcBorders>
          </w:tcPr>
          <w:p w14:paraId="7047D840" w14:textId="77777777" w:rsidR="005F4A7E" w:rsidRPr="002029AF" w:rsidRDefault="005F4A7E" w:rsidP="00130D1C">
            <w:pPr>
              <w:pStyle w:val="ARfintablebody"/>
            </w:pPr>
            <w:r w:rsidRPr="003E250E">
              <w:t>Kate Houghton</w:t>
            </w:r>
          </w:p>
        </w:tc>
        <w:tc>
          <w:tcPr>
            <w:tcW w:w="2155" w:type="dxa"/>
            <w:tcBorders>
              <w:top w:val="single" w:sz="4" w:space="0" w:color="A6A6A6"/>
              <w:bottom w:val="single" w:sz="4" w:space="0" w:color="A6A6A6"/>
            </w:tcBorders>
          </w:tcPr>
          <w:p w14:paraId="0F400EC6" w14:textId="77777777" w:rsidR="005F4A7E" w:rsidRPr="002029AF" w:rsidRDefault="005F4A7E" w:rsidP="00130D1C">
            <w:pPr>
              <w:pStyle w:val="ARfintablebody"/>
            </w:pPr>
            <w:r w:rsidRPr="003E250E">
              <w:t>Deputy Secretary, Policy and Strategy, COVID-19</w:t>
            </w:r>
          </w:p>
        </w:tc>
        <w:tc>
          <w:tcPr>
            <w:tcW w:w="3175" w:type="dxa"/>
            <w:tcBorders>
              <w:top w:val="single" w:sz="4" w:space="0" w:color="A6A6A6"/>
              <w:bottom w:val="single" w:sz="4" w:space="0" w:color="A6A6A6"/>
            </w:tcBorders>
          </w:tcPr>
          <w:p w14:paraId="27836C1E" w14:textId="77777777" w:rsidR="005F4A7E" w:rsidRPr="002029AF" w:rsidRDefault="005F4A7E" w:rsidP="00130D1C">
            <w:pPr>
              <w:pStyle w:val="ARfintablebody"/>
            </w:pPr>
            <w:r w:rsidRPr="003E250E">
              <w:t>20 July 2020 to 4 October 2020</w:t>
            </w:r>
          </w:p>
        </w:tc>
      </w:tr>
      <w:tr w:rsidR="005F4A7E" w:rsidRPr="002029AF" w14:paraId="1B553C74" w14:textId="77777777" w:rsidTr="00130D1C">
        <w:trPr>
          <w:cantSplit w:val="0"/>
        </w:trPr>
        <w:tc>
          <w:tcPr>
            <w:tcW w:w="2155" w:type="dxa"/>
            <w:tcBorders>
              <w:top w:val="single" w:sz="4" w:space="0" w:color="A6A6A6"/>
              <w:bottom w:val="single" w:sz="4" w:space="0" w:color="A6A6A6"/>
            </w:tcBorders>
          </w:tcPr>
          <w:p w14:paraId="20363917" w14:textId="77777777" w:rsidR="005F4A7E" w:rsidRPr="002029AF" w:rsidRDefault="005F4A7E" w:rsidP="00130D1C">
            <w:pPr>
              <w:pStyle w:val="ARfintablebody"/>
            </w:pPr>
            <w:r w:rsidRPr="00B820AB">
              <w:t>Department of Health and Human Services</w:t>
            </w:r>
          </w:p>
        </w:tc>
        <w:tc>
          <w:tcPr>
            <w:tcW w:w="2155" w:type="dxa"/>
            <w:tcBorders>
              <w:top w:val="single" w:sz="4" w:space="0" w:color="A6A6A6"/>
              <w:bottom w:val="single" w:sz="4" w:space="0" w:color="A6A6A6"/>
            </w:tcBorders>
          </w:tcPr>
          <w:p w14:paraId="5B38ED90" w14:textId="77777777" w:rsidR="005F4A7E" w:rsidRPr="002029AF" w:rsidRDefault="005F4A7E" w:rsidP="00130D1C">
            <w:pPr>
              <w:pStyle w:val="ARfintablebody"/>
            </w:pPr>
            <w:r w:rsidRPr="003E250E">
              <w:t>Jeremi Moule</w:t>
            </w:r>
          </w:p>
        </w:tc>
        <w:tc>
          <w:tcPr>
            <w:tcW w:w="2155" w:type="dxa"/>
            <w:tcBorders>
              <w:top w:val="single" w:sz="4" w:space="0" w:color="A6A6A6"/>
              <w:bottom w:val="single" w:sz="4" w:space="0" w:color="A6A6A6"/>
            </w:tcBorders>
          </w:tcPr>
          <w:p w14:paraId="31FE8EB8" w14:textId="77777777" w:rsidR="005F4A7E" w:rsidRPr="002029AF" w:rsidRDefault="005F4A7E" w:rsidP="00130D1C">
            <w:pPr>
              <w:pStyle w:val="ARfintablebody"/>
            </w:pPr>
            <w:r w:rsidRPr="003E250E">
              <w:t xml:space="preserve">Deputy Secretary, </w:t>
            </w:r>
            <w:r w:rsidRPr="001B6EEE">
              <w:t>Intelligence and Corporate, COVID-19</w:t>
            </w:r>
          </w:p>
        </w:tc>
        <w:tc>
          <w:tcPr>
            <w:tcW w:w="3175" w:type="dxa"/>
            <w:tcBorders>
              <w:top w:val="single" w:sz="4" w:space="0" w:color="A6A6A6"/>
              <w:bottom w:val="single" w:sz="4" w:space="0" w:color="A6A6A6"/>
            </w:tcBorders>
          </w:tcPr>
          <w:p w14:paraId="0DB607C8" w14:textId="77777777" w:rsidR="005F4A7E" w:rsidRPr="002029AF" w:rsidRDefault="005F4A7E" w:rsidP="00130D1C">
            <w:pPr>
              <w:pStyle w:val="ARfintablebody"/>
            </w:pPr>
            <w:r w:rsidRPr="003E250E">
              <w:t>20 July 2020 to 4 October 2020</w:t>
            </w:r>
          </w:p>
        </w:tc>
      </w:tr>
      <w:tr w:rsidR="005F4A7E" w:rsidRPr="002029AF" w14:paraId="6F3585D6" w14:textId="77777777" w:rsidTr="00130D1C">
        <w:trPr>
          <w:cantSplit w:val="0"/>
        </w:trPr>
        <w:tc>
          <w:tcPr>
            <w:tcW w:w="2155" w:type="dxa"/>
            <w:tcBorders>
              <w:top w:val="single" w:sz="4" w:space="0" w:color="A6A6A6"/>
              <w:bottom w:val="single" w:sz="4" w:space="0" w:color="A6A6A6"/>
            </w:tcBorders>
          </w:tcPr>
          <w:p w14:paraId="2FFCFBD8" w14:textId="77777777" w:rsidR="005F4A7E" w:rsidRPr="002029AF" w:rsidRDefault="005F4A7E" w:rsidP="00130D1C">
            <w:pPr>
              <w:pStyle w:val="ARfintablebody"/>
            </w:pPr>
            <w:r w:rsidRPr="00B820AB">
              <w:lastRenderedPageBreak/>
              <w:t>Department of Health and Human Services</w:t>
            </w:r>
          </w:p>
        </w:tc>
        <w:tc>
          <w:tcPr>
            <w:tcW w:w="2155" w:type="dxa"/>
            <w:tcBorders>
              <w:top w:val="single" w:sz="4" w:space="0" w:color="A6A6A6"/>
              <w:bottom w:val="single" w:sz="4" w:space="0" w:color="A6A6A6"/>
            </w:tcBorders>
          </w:tcPr>
          <w:p w14:paraId="17564ECF" w14:textId="77777777" w:rsidR="005F4A7E" w:rsidRPr="002029AF" w:rsidRDefault="005F4A7E" w:rsidP="00130D1C">
            <w:pPr>
              <w:pStyle w:val="ARfintablebody"/>
            </w:pPr>
            <w:r w:rsidRPr="003E250E">
              <w:t>Sandy Pitcher</w:t>
            </w:r>
          </w:p>
        </w:tc>
        <w:tc>
          <w:tcPr>
            <w:tcW w:w="2155" w:type="dxa"/>
            <w:tcBorders>
              <w:top w:val="single" w:sz="4" w:space="0" w:color="A6A6A6"/>
              <w:bottom w:val="single" w:sz="4" w:space="0" w:color="A6A6A6"/>
            </w:tcBorders>
          </w:tcPr>
          <w:p w14:paraId="651A1DA9" w14:textId="77777777" w:rsidR="005F4A7E" w:rsidRPr="002029AF" w:rsidRDefault="005F4A7E" w:rsidP="00130D1C">
            <w:pPr>
              <w:pStyle w:val="ARfintablebody"/>
            </w:pPr>
            <w:r w:rsidRPr="003E250E">
              <w:t>Deputy Secretary, Case Contact and Outbreak Management, COVID-19</w:t>
            </w:r>
          </w:p>
        </w:tc>
        <w:tc>
          <w:tcPr>
            <w:tcW w:w="3175" w:type="dxa"/>
            <w:tcBorders>
              <w:top w:val="single" w:sz="4" w:space="0" w:color="A6A6A6"/>
              <w:bottom w:val="single" w:sz="4" w:space="0" w:color="A6A6A6"/>
            </w:tcBorders>
          </w:tcPr>
          <w:p w14:paraId="35F0BAA8" w14:textId="77777777" w:rsidR="005F4A7E" w:rsidRPr="002029AF" w:rsidRDefault="005F4A7E" w:rsidP="00130D1C">
            <w:pPr>
              <w:pStyle w:val="ARfintablebody"/>
            </w:pPr>
            <w:r w:rsidRPr="003E250E">
              <w:t>20 July 2020 to 13 December 2020</w:t>
            </w:r>
          </w:p>
        </w:tc>
      </w:tr>
      <w:tr w:rsidR="005F4A7E" w:rsidRPr="002029AF" w14:paraId="4DA0471C" w14:textId="77777777" w:rsidTr="00130D1C">
        <w:trPr>
          <w:cantSplit w:val="0"/>
        </w:trPr>
        <w:tc>
          <w:tcPr>
            <w:tcW w:w="2155" w:type="dxa"/>
            <w:tcBorders>
              <w:top w:val="single" w:sz="4" w:space="0" w:color="A6A6A6"/>
              <w:bottom w:val="single" w:sz="4" w:space="0" w:color="A6A6A6"/>
            </w:tcBorders>
          </w:tcPr>
          <w:p w14:paraId="735C5588" w14:textId="77777777" w:rsidR="005F4A7E" w:rsidRPr="002029AF" w:rsidRDefault="005F4A7E" w:rsidP="00130D1C">
            <w:pPr>
              <w:pStyle w:val="ARfintablebody"/>
            </w:pPr>
            <w:r w:rsidRPr="00B820AB">
              <w:t>Department of Health and Human Services</w:t>
            </w:r>
          </w:p>
        </w:tc>
        <w:tc>
          <w:tcPr>
            <w:tcW w:w="2155" w:type="dxa"/>
            <w:tcBorders>
              <w:top w:val="single" w:sz="4" w:space="0" w:color="A6A6A6"/>
              <w:bottom w:val="single" w:sz="4" w:space="0" w:color="A6A6A6"/>
            </w:tcBorders>
          </w:tcPr>
          <w:p w14:paraId="384A26BC" w14:textId="77777777" w:rsidR="005F4A7E" w:rsidRPr="002029AF" w:rsidRDefault="005F4A7E" w:rsidP="00130D1C">
            <w:pPr>
              <w:pStyle w:val="ARfintablebody"/>
            </w:pPr>
            <w:r w:rsidRPr="003E250E">
              <w:t>Euan Wallace</w:t>
            </w:r>
          </w:p>
        </w:tc>
        <w:tc>
          <w:tcPr>
            <w:tcW w:w="2155" w:type="dxa"/>
            <w:tcBorders>
              <w:top w:val="single" w:sz="4" w:space="0" w:color="A6A6A6"/>
              <w:bottom w:val="single" w:sz="4" w:space="0" w:color="A6A6A6"/>
            </w:tcBorders>
          </w:tcPr>
          <w:p w14:paraId="0FBCDC88" w14:textId="77777777" w:rsidR="005F4A7E" w:rsidRPr="002029AF" w:rsidRDefault="005F4A7E" w:rsidP="00130D1C">
            <w:pPr>
              <w:pStyle w:val="ARfintablebody"/>
            </w:pPr>
            <w:r w:rsidRPr="003E250E">
              <w:t>Deputy Secretary, Case</w:t>
            </w:r>
            <w:r>
              <w:t> </w:t>
            </w:r>
            <w:r w:rsidRPr="003E250E">
              <w:t>Contact and Outbreak Management, COVID-19</w:t>
            </w:r>
          </w:p>
        </w:tc>
        <w:tc>
          <w:tcPr>
            <w:tcW w:w="3175" w:type="dxa"/>
            <w:tcBorders>
              <w:top w:val="single" w:sz="4" w:space="0" w:color="A6A6A6"/>
              <w:bottom w:val="single" w:sz="4" w:space="0" w:color="A6A6A6"/>
            </w:tcBorders>
          </w:tcPr>
          <w:p w14:paraId="5B6505E7" w14:textId="77777777" w:rsidR="005F4A7E" w:rsidRPr="002029AF" w:rsidRDefault="005F4A7E" w:rsidP="00130D1C">
            <w:pPr>
              <w:pStyle w:val="ARfintablebody"/>
            </w:pPr>
            <w:r w:rsidRPr="003E250E">
              <w:t>20 July 2020 to 15 November 2020</w:t>
            </w:r>
          </w:p>
        </w:tc>
      </w:tr>
      <w:tr w:rsidR="005F4A7E" w:rsidRPr="002029AF" w14:paraId="6D4008A9" w14:textId="77777777" w:rsidTr="00130D1C">
        <w:trPr>
          <w:cantSplit w:val="0"/>
        </w:trPr>
        <w:tc>
          <w:tcPr>
            <w:tcW w:w="2155" w:type="dxa"/>
            <w:tcBorders>
              <w:top w:val="single" w:sz="4" w:space="0" w:color="A6A6A6"/>
              <w:bottom w:val="single" w:sz="4" w:space="0" w:color="A6A6A6"/>
            </w:tcBorders>
          </w:tcPr>
          <w:p w14:paraId="18D4CEFF" w14:textId="77777777" w:rsidR="005F4A7E" w:rsidRPr="002029AF" w:rsidRDefault="005F4A7E" w:rsidP="00130D1C">
            <w:pPr>
              <w:pStyle w:val="ARfintablebody"/>
            </w:pPr>
            <w:r w:rsidRPr="00B820AB">
              <w:t>Department of Health and Human Services</w:t>
            </w:r>
          </w:p>
        </w:tc>
        <w:tc>
          <w:tcPr>
            <w:tcW w:w="2155" w:type="dxa"/>
            <w:tcBorders>
              <w:top w:val="single" w:sz="4" w:space="0" w:color="A6A6A6"/>
              <w:bottom w:val="single" w:sz="4" w:space="0" w:color="A6A6A6"/>
            </w:tcBorders>
          </w:tcPr>
          <w:p w14:paraId="3715CD9A" w14:textId="77777777" w:rsidR="005F4A7E" w:rsidRPr="002029AF" w:rsidRDefault="005F4A7E" w:rsidP="00130D1C">
            <w:pPr>
              <w:pStyle w:val="ARfintablebody"/>
            </w:pPr>
            <w:r w:rsidRPr="003E250E">
              <w:t>Nicola Quin</w:t>
            </w:r>
          </w:p>
        </w:tc>
        <w:tc>
          <w:tcPr>
            <w:tcW w:w="2155" w:type="dxa"/>
            <w:tcBorders>
              <w:top w:val="single" w:sz="4" w:space="0" w:color="A6A6A6"/>
              <w:bottom w:val="single" w:sz="4" w:space="0" w:color="A6A6A6"/>
            </w:tcBorders>
          </w:tcPr>
          <w:p w14:paraId="5A7D52ED" w14:textId="77777777" w:rsidR="005F4A7E" w:rsidRPr="002029AF" w:rsidRDefault="005F4A7E" w:rsidP="00130D1C">
            <w:pPr>
              <w:pStyle w:val="ARfintablebody"/>
            </w:pPr>
            <w:r w:rsidRPr="003E250E">
              <w:t xml:space="preserve">Deputy Secretary, </w:t>
            </w:r>
            <w:r w:rsidRPr="001B6EEE">
              <w:t>COVID-19 Intelligence and Corporate</w:t>
            </w:r>
          </w:p>
        </w:tc>
        <w:tc>
          <w:tcPr>
            <w:tcW w:w="3175" w:type="dxa"/>
            <w:tcBorders>
              <w:top w:val="single" w:sz="4" w:space="0" w:color="A6A6A6"/>
              <w:bottom w:val="single" w:sz="4" w:space="0" w:color="A6A6A6"/>
            </w:tcBorders>
          </w:tcPr>
          <w:p w14:paraId="14E340F7" w14:textId="77777777" w:rsidR="005F4A7E" w:rsidRPr="002029AF" w:rsidRDefault="005F4A7E" w:rsidP="00130D1C">
            <w:pPr>
              <w:pStyle w:val="ARfintablebody"/>
            </w:pPr>
            <w:r w:rsidRPr="003E250E">
              <w:t>6 August 2020 to 13 December 2020</w:t>
            </w:r>
          </w:p>
        </w:tc>
      </w:tr>
      <w:tr w:rsidR="005F4A7E" w:rsidRPr="002029AF" w14:paraId="5E83F279" w14:textId="77777777" w:rsidTr="00130D1C">
        <w:trPr>
          <w:cantSplit w:val="0"/>
        </w:trPr>
        <w:tc>
          <w:tcPr>
            <w:tcW w:w="2155" w:type="dxa"/>
            <w:tcBorders>
              <w:top w:val="single" w:sz="4" w:space="0" w:color="A6A6A6"/>
              <w:bottom w:val="single" w:sz="4" w:space="0" w:color="A6A6A6"/>
            </w:tcBorders>
          </w:tcPr>
          <w:p w14:paraId="4C993FCB" w14:textId="77777777" w:rsidR="005F4A7E" w:rsidRPr="002029AF" w:rsidRDefault="005F4A7E" w:rsidP="00130D1C">
            <w:pPr>
              <w:pStyle w:val="ARfintablebody"/>
            </w:pPr>
            <w:r w:rsidRPr="00B820AB">
              <w:t>Department of Health and Human Services</w:t>
            </w:r>
          </w:p>
        </w:tc>
        <w:tc>
          <w:tcPr>
            <w:tcW w:w="2155" w:type="dxa"/>
            <w:tcBorders>
              <w:top w:val="single" w:sz="4" w:space="0" w:color="A6A6A6"/>
              <w:bottom w:val="single" w:sz="4" w:space="0" w:color="A6A6A6"/>
            </w:tcBorders>
          </w:tcPr>
          <w:p w14:paraId="2E312717" w14:textId="77777777" w:rsidR="005F4A7E" w:rsidRPr="002029AF" w:rsidRDefault="005F4A7E" w:rsidP="00130D1C">
            <w:pPr>
              <w:pStyle w:val="ARfintablebody"/>
            </w:pPr>
            <w:r w:rsidRPr="003E250E">
              <w:t>Brigid Monagle</w:t>
            </w:r>
          </w:p>
        </w:tc>
        <w:tc>
          <w:tcPr>
            <w:tcW w:w="2155" w:type="dxa"/>
            <w:tcBorders>
              <w:top w:val="single" w:sz="4" w:space="0" w:color="A6A6A6"/>
              <w:bottom w:val="single" w:sz="4" w:space="0" w:color="A6A6A6"/>
            </w:tcBorders>
          </w:tcPr>
          <w:p w14:paraId="2EB556C0" w14:textId="77777777" w:rsidR="005F4A7E" w:rsidRPr="002029AF" w:rsidRDefault="005F4A7E" w:rsidP="00130D1C">
            <w:pPr>
              <w:pStyle w:val="ARfintablebody"/>
            </w:pPr>
            <w:r w:rsidRPr="003E250E">
              <w:t>Deputy Secretary, Policy and Strategy, COVID-19</w:t>
            </w:r>
          </w:p>
        </w:tc>
        <w:tc>
          <w:tcPr>
            <w:tcW w:w="3175" w:type="dxa"/>
            <w:tcBorders>
              <w:top w:val="single" w:sz="4" w:space="0" w:color="A6A6A6"/>
              <w:bottom w:val="single" w:sz="4" w:space="0" w:color="A6A6A6"/>
            </w:tcBorders>
          </w:tcPr>
          <w:p w14:paraId="7DCDE2D5" w14:textId="77777777" w:rsidR="005F4A7E" w:rsidRPr="002029AF" w:rsidRDefault="005F4A7E" w:rsidP="00130D1C">
            <w:pPr>
              <w:pStyle w:val="ARfintablebody"/>
            </w:pPr>
            <w:r w:rsidRPr="003E250E">
              <w:t>5 October 2020 to 13 December 2020</w:t>
            </w:r>
          </w:p>
        </w:tc>
      </w:tr>
      <w:tr w:rsidR="005F4A7E" w:rsidRPr="002029AF" w14:paraId="5417E6CE" w14:textId="77777777" w:rsidTr="00130D1C">
        <w:trPr>
          <w:cantSplit w:val="0"/>
        </w:trPr>
        <w:tc>
          <w:tcPr>
            <w:tcW w:w="2155" w:type="dxa"/>
            <w:tcBorders>
              <w:top w:val="single" w:sz="4" w:space="0" w:color="A6A6A6"/>
              <w:bottom w:val="single" w:sz="4" w:space="0" w:color="A6A6A6"/>
            </w:tcBorders>
          </w:tcPr>
          <w:p w14:paraId="06F9F7C8" w14:textId="77777777" w:rsidR="005F4A7E" w:rsidRPr="002029AF" w:rsidRDefault="005F4A7E" w:rsidP="00130D1C">
            <w:pPr>
              <w:pStyle w:val="ARfintablebody"/>
            </w:pPr>
            <w:r w:rsidRPr="00B820AB">
              <w:t>Department of Health and Human Services</w:t>
            </w:r>
          </w:p>
        </w:tc>
        <w:tc>
          <w:tcPr>
            <w:tcW w:w="2155" w:type="dxa"/>
            <w:tcBorders>
              <w:top w:val="single" w:sz="4" w:space="0" w:color="A6A6A6"/>
              <w:bottom w:val="single" w:sz="4" w:space="0" w:color="A6A6A6"/>
            </w:tcBorders>
          </w:tcPr>
          <w:p w14:paraId="3EA375BE" w14:textId="77777777" w:rsidR="005F4A7E" w:rsidRPr="002029AF" w:rsidRDefault="005F4A7E" w:rsidP="00130D1C">
            <w:pPr>
              <w:pStyle w:val="ARfintablebody"/>
            </w:pPr>
            <w:r w:rsidRPr="003E250E">
              <w:t>Andrew Minack</w:t>
            </w:r>
          </w:p>
        </w:tc>
        <w:tc>
          <w:tcPr>
            <w:tcW w:w="2155" w:type="dxa"/>
            <w:tcBorders>
              <w:top w:val="single" w:sz="4" w:space="0" w:color="A6A6A6"/>
              <w:bottom w:val="single" w:sz="4" w:space="0" w:color="A6A6A6"/>
            </w:tcBorders>
          </w:tcPr>
          <w:p w14:paraId="1FE8DBCF" w14:textId="77777777" w:rsidR="005F4A7E" w:rsidRPr="002029AF" w:rsidRDefault="005F4A7E" w:rsidP="00130D1C">
            <w:pPr>
              <w:pStyle w:val="ARfintablebody"/>
            </w:pPr>
            <w:r w:rsidRPr="003E250E">
              <w:t xml:space="preserve">Deputy Secretary, </w:t>
            </w:r>
            <w:r w:rsidRPr="001B6EEE">
              <w:t>COVID-19 Intelligence and Corporate</w:t>
            </w:r>
          </w:p>
        </w:tc>
        <w:tc>
          <w:tcPr>
            <w:tcW w:w="3175" w:type="dxa"/>
            <w:tcBorders>
              <w:top w:val="single" w:sz="4" w:space="0" w:color="A6A6A6"/>
              <w:bottom w:val="single" w:sz="4" w:space="0" w:color="A6A6A6"/>
            </w:tcBorders>
          </w:tcPr>
          <w:p w14:paraId="43454940" w14:textId="77777777" w:rsidR="005F4A7E" w:rsidRPr="002029AF" w:rsidRDefault="005F4A7E" w:rsidP="00130D1C">
            <w:pPr>
              <w:pStyle w:val="ARfintablebody"/>
            </w:pPr>
            <w:r w:rsidRPr="003E250E">
              <w:t>5 October 2020 to 13 December 2020</w:t>
            </w:r>
          </w:p>
        </w:tc>
      </w:tr>
      <w:tr w:rsidR="005F4A7E" w:rsidRPr="002029AF" w14:paraId="39685B76" w14:textId="77777777" w:rsidTr="00130D1C">
        <w:trPr>
          <w:cantSplit w:val="0"/>
        </w:trPr>
        <w:tc>
          <w:tcPr>
            <w:tcW w:w="2155" w:type="dxa"/>
            <w:vMerge w:val="restart"/>
            <w:tcBorders>
              <w:top w:val="single" w:sz="4" w:space="0" w:color="A6A6A6"/>
            </w:tcBorders>
          </w:tcPr>
          <w:p w14:paraId="33FE3C69" w14:textId="77777777" w:rsidR="005F4A7E" w:rsidRPr="00B820AB" w:rsidRDefault="005F4A7E" w:rsidP="00130D1C">
            <w:pPr>
              <w:pStyle w:val="ARfintablebody"/>
            </w:pPr>
            <w:r w:rsidRPr="00B820AB">
              <w:t>Department of Health and Human Services</w:t>
            </w:r>
          </w:p>
        </w:tc>
        <w:tc>
          <w:tcPr>
            <w:tcW w:w="2155" w:type="dxa"/>
            <w:vMerge w:val="restart"/>
            <w:tcBorders>
              <w:top w:val="single" w:sz="4" w:space="0" w:color="A6A6A6"/>
            </w:tcBorders>
          </w:tcPr>
          <w:p w14:paraId="3B605E3D" w14:textId="77777777" w:rsidR="005F4A7E" w:rsidRPr="003E250E" w:rsidRDefault="005F4A7E" w:rsidP="00130D1C">
            <w:pPr>
              <w:pStyle w:val="ARfintablebody"/>
            </w:pPr>
            <w:r w:rsidRPr="003E250E">
              <w:t>Jeroen Weimar</w:t>
            </w:r>
          </w:p>
        </w:tc>
        <w:tc>
          <w:tcPr>
            <w:tcW w:w="2155" w:type="dxa"/>
            <w:tcBorders>
              <w:top w:val="single" w:sz="4" w:space="0" w:color="A6A6A6"/>
              <w:bottom w:val="single" w:sz="4" w:space="0" w:color="A6A6A6"/>
            </w:tcBorders>
          </w:tcPr>
          <w:p w14:paraId="7B0C18AF" w14:textId="77777777" w:rsidR="005F4A7E" w:rsidRPr="003E250E" w:rsidRDefault="005F4A7E" w:rsidP="00130D1C">
            <w:pPr>
              <w:pStyle w:val="ARfintablebody"/>
            </w:pPr>
            <w:r w:rsidRPr="003E250E">
              <w:t>Deputy Secretary, Community Engagement and Testing, COVID-19</w:t>
            </w:r>
          </w:p>
        </w:tc>
        <w:tc>
          <w:tcPr>
            <w:tcW w:w="3175" w:type="dxa"/>
            <w:tcBorders>
              <w:top w:val="single" w:sz="4" w:space="0" w:color="A6A6A6"/>
              <w:bottom w:val="single" w:sz="4" w:space="0" w:color="A6A6A6"/>
            </w:tcBorders>
          </w:tcPr>
          <w:p w14:paraId="1A1BD934" w14:textId="77777777" w:rsidR="005F4A7E" w:rsidRPr="003E250E" w:rsidRDefault="005F4A7E" w:rsidP="00130D1C">
            <w:pPr>
              <w:pStyle w:val="ARfintablebody"/>
            </w:pPr>
            <w:r w:rsidRPr="003E250E">
              <w:t>15 July 2020 to 13 December 2020</w:t>
            </w:r>
          </w:p>
        </w:tc>
      </w:tr>
      <w:tr w:rsidR="005F4A7E" w:rsidRPr="002029AF" w14:paraId="217BAEC3" w14:textId="77777777" w:rsidTr="00130D1C">
        <w:trPr>
          <w:cantSplit w:val="0"/>
        </w:trPr>
        <w:tc>
          <w:tcPr>
            <w:tcW w:w="2155" w:type="dxa"/>
            <w:vMerge/>
            <w:tcBorders>
              <w:bottom w:val="single" w:sz="4" w:space="0" w:color="A6A6A6"/>
            </w:tcBorders>
          </w:tcPr>
          <w:p w14:paraId="738980DA" w14:textId="77777777" w:rsidR="005F4A7E" w:rsidRPr="002029AF" w:rsidRDefault="005F4A7E" w:rsidP="00130D1C">
            <w:pPr>
              <w:pStyle w:val="ARfintablebody"/>
            </w:pPr>
          </w:p>
        </w:tc>
        <w:tc>
          <w:tcPr>
            <w:tcW w:w="2155" w:type="dxa"/>
            <w:vMerge/>
            <w:tcBorders>
              <w:bottom w:val="single" w:sz="4" w:space="0" w:color="A6A6A6"/>
            </w:tcBorders>
          </w:tcPr>
          <w:p w14:paraId="7D2113DE" w14:textId="77777777" w:rsidR="005F4A7E" w:rsidRPr="002029AF" w:rsidRDefault="005F4A7E" w:rsidP="00130D1C">
            <w:pPr>
              <w:pStyle w:val="ARfintablebody"/>
            </w:pPr>
          </w:p>
        </w:tc>
        <w:tc>
          <w:tcPr>
            <w:tcW w:w="2155" w:type="dxa"/>
            <w:tcBorders>
              <w:top w:val="single" w:sz="4" w:space="0" w:color="A6A6A6"/>
              <w:bottom w:val="single" w:sz="4" w:space="0" w:color="A6A6A6"/>
            </w:tcBorders>
          </w:tcPr>
          <w:p w14:paraId="79042268" w14:textId="77777777" w:rsidR="005F4A7E" w:rsidRPr="002029AF" w:rsidRDefault="005F4A7E" w:rsidP="00130D1C">
            <w:pPr>
              <w:pStyle w:val="ARfintablebody"/>
            </w:pPr>
            <w:r w:rsidRPr="003E250E">
              <w:t>Deputy Secretary, COVID-19</w:t>
            </w:r>
          </w:p>
        </w:tc>
        <w:tc>
          <w:tcPr>
            <w:tcW w:w="3175" w:type="dxa"/>
            <w:tcBorders>
              <w:top w:val="single" w:sz="4" w:space="0" w:color="A6A6A6"/>
              <w:bottom w:val="single" w:sz="4" w:space="0" w:color="A6A6A6"/>
            </w:tcBorders>
          </w:tcPr>
          <w:p w14:paraId="2EA8EC3D" w14:textId="77777777" w:rsidR="005F4A7E" w:rsidRPr="002029AF" w:rsidRDefault="005F4A7E" w:rsidP="00130D1C">
            <w:pPr>
              <w:pStyle w:val="ARfintablebody"/>
            </w:pPr>
            <w:r w:rsidRPr="003E250E">
              <w:t>14 December 2020 to 31 January 2021</w:t>
            </w:r>
          </w:p>
        </w:tc>
      </w:tr>
      <w:tr w:rsidR="005F4A7E" w:rsidRPr="002029AF" w14:paraId="3993F30A" w14:textId="77777777" w:rsidTr="00130D1C">
        <w:trPr>
          <w:cantSplit w:val="0"/>
        </w:trPr>
        <w:tc>
          <w:tcPr>
            <w:tcW w:w="2155" w:type="dxa"/>
            <w:tcBorders>
              <w:top w:val="single" w:sz="4" w:space="0" w:color="A6A6A6"/>
              <w:bottom w:val="single" w:sz="4" w:space="0" w:color="A6A6A6"/>
            </w:tcBorders>
          </w:tcPr>
          <w:p w14:paraId="20EC3713" w14:textId="77777777" w:rsidR="005F4A7E" w:rsidRPr="002029AF" w:rsidRDefault="005F4A7E" w:rsidP="00130D1C">
            <w:pPr>
              <w:pStyle w:val="ARfintablebody"/>
            </w:pPr>
            <w:r>
              <w:t>Department of Health and Human Services</w:t>
            </w:r>
          </w:p>
        </w:tc>
        <w:tc>
          <w:tcPr>
            <w:tcW w:w="2155" w:type="dxa"/>
            <w:tcBorders>
              <w:top w:val="single" w:sz="4" w:space="0" w:color="A6A6A6"/>
              <w:bottom w:val="single" w:sz="4" w:space="0" w:color="A6A6A6"/>
            </w:tcBorders>
          </w:tcPr>
          <w:p w14:paraId="21098B47" w14:textId="77777777" w:rsidR="005F4A7E" w:rsidRPr="002029AF" w:rsidRDefault="005F4A7E" w:rsidP="00130D1C">
            <w:pPr>
              <w:pStyle w:val="ARfintablebody"/>
            </w:pPr>
            <w:r w:rsidRPr="003E250E">
              <w:t>Julie Walsh</w:t>
            </w:r>
          </w:p>
        </w:tc>
        <w:tc>
          <w:tcPr>
            <w:tcW w:w="2155" w:type="dxa"/>
            <w:tcBorders>
              <w:top w:val="single" w:sz="4" w:space="0" w:color="A6A6A6"/>
              <w:bottom w:val="single" w:sz="4" w:space="0" w:color="A6A6A6"/>
            </w:tcBorders>
          </w:tcPr>
          <w:p w14:paraId="0630DF30" w14:textId="77777777" w:rsidR="005F4A7E" w:rsidRPr="002029AF" w:rsidRDefault="005F4A7E" w:rsidP="00130D1C">
            <w:pPr>
              <w:pStyle w:val="ARfintablebody"/>
            </w:pPr>
            <w:r w:rsidRPr="003E250E">
              <w:t>Deputy Secretary, Policy and Strategy, COVID-19</w:t>
            </w:r>
          </w:p>
        </w:tc>
        <w:tc>
          <w:tcPr>
            <w:tcW w:w="3175" w:type="dxa"/>
            <w:tcBorders>
              <w:top w:val="single" w:sz="4" w:space="0" w:color="A6A6A6"/>
              <w:bottom w:val="single" w:sz="4" w:space="0" w:color="A6A6A6"/>
            </w:tcBorders>
          </w:tcPr>
          <w:p w14:paraId="1BEEF75A" w14:textId="77777777" w:rsidR="005F4A7E" w:rsidRPr="002029AF" w:rsidRDefault="005F4A7E" w:rsidP="00130D1C">
            <w:pPr>
              <w:pStyle w:val="ARfintablebody"/>
            </w:pPr>
            <w:r w:rsidRPr="003E250E">
              <w:t>14 September 2020 to 11 January 2021</w:t>
            </w:r>
          </w:p>
        </w:tc>
      </w:tr>
      <w:tr w:rsidR="005F4A7E" w:rsidRPr="002029AF" w14:paraId="5E6741B2" w14:textId="77777777" w:rsidTr="00130D1C">
        <w:trPr>
          <w:cantSplit w:val="0"/>
        </w:trPr>
        <w:tc>
          <w:tcPr>
            <w:tcW w:w="2155" w:type="dxa"/>
            <w:tcBorders>
              <w:top w:val="single" w:sz="4" w:space="0" w:color="A6A6A6"/>
              <w:bottom w:val="single" w:sz="4" w:space="0" w:color="A6A6A6"/>
            </w:tcBorders>
          </w:tcPr>
          <w:p w14:paraId="7BDF9B13" w14:textId="77777777" w:rsidR="005F4A7E" w:rsidRPr="002029AF" w:rsidRDefault="005F4A7E" w:rsidP="00130D1C">
            <w:pPr>
              <w:pStyle w:val="ARfintablebody"/>
            </w:pPr>
            <w:r>
              <w:t>Department of Health and Human Services</w:t>
            </w:r>
          </w:p>
        </w:tc>
        <w:tc>
          <w:tcPr>
            <w:tcW w:w="2155" w:type="dxa"/>
            <w:tcBorders>
              <w:top w:val="single" w:sz="4" w:space="0" w:color="A6A6A6"/>
              <w:bottom w:val="single" w:sz="4" w:space="0" w:color="A6A6A6"/>
            </w:tcBorders>
          </w:tcPr>
          <w:p w14:paraId="4C4D1CF1" w14:textId="77777777" w:rsidR="005F4A7E" w:rsidRPr="002029AF" w:rsidRDefault="005F4A7E" w:rsidP="00130D1C">
            <w:pPr>
              <w:pStyle w:val="ARfintablebody"/>
            </w:pPr>
            <w:r w:rsidRPr="00194D78">
              <w:t>Jenny Zahara</w:t>
            </w:r>
          </w:p>
        </w:tc>
        <w:tc>
          <w:tcPr>
            <w:tcW w:w="2155" w:type="dxa"/>
            <w:tcBorders>
              <w:top w:val="single" w:sz="4" w:space="0" w:color="A6A6A6"/>
              <w:bottom w:val="single" w:sz="4" w:space="0" w:color="A6A6A6"/>
            </w:tcBorders>
          </w:tcPr>
          <w:p w14:paraId="455C18E6" w14:textId="77777777" w:rsidR="005F4A7E" w:rsidRPr="002029AF" w:rsidRDefault="005F4A7E" w:rsidP="00130D1C">
            <w:pPr>
              <w:pStyle w:val="ARfintablebody"/>
            </w:pPr>
            <w:r w:rsidRPr="00194D78">
              <w:t>Chief Finance Officer</w:t>
            </w:r>
          </w:p>
        </w:tc>
        <w:tc>
          <w:tcPr>
            <w:tcW w:w="3175" w:type="dxa"/>
            <w:tcBorders>
              <w:top w:val="single" w:sz="4" w:space="0" w:color="A6A6A6"/>
              <w:bottom w:val="single" w:sz="4" w:space="0" w:color="A6A6A6"/>
            </w:tcBorders>
          </w:tcPr>
          <w:p w14:paraId="7934171A" w14:textId="77777777" w:rsidR="005F4A7E" w:rsidRPr="002029AF" w:rsidRDefault="005F4A7E" w:rsidP="00130D1C">
            <w:pPr>
              <w:pStyle w:val="ARfintablebody"/>
            </w:pPr>
            <w:r>
              <w:t>1 July 2020 to 31 January 2021</w:t>
            </w:r>
          </w:p>
        </w:tc>
      </w:tr>
      <w:tr w:rsidR="005F4A7E" w:rsidRPr="002029AF" w14:paraId="297936BF" w14:textId="77777777" w:rsidTr="00130D1C">
        <w:trPr>
          <w:cantSplit w:val="0"/>
        </w:trPr>
        <w:tc>
          <w:tcPr>
            <w:tcW w:w="2155" w:type="dxa"/>
            <w:tcBorders>
              <w:top w:val="single" w:sz="4" w:space="0" w:color="A6A6A6"/>
            </w:tcBorders>
          </w:tcPr>
          <w:p w14:paraId="3A50303E" w14:textId="77777777" w:rsidR="005F4A7E" w:rsidRPr="002029AF" w:rsidRDefault="005F4A7E" w:rsidP="00130D1C">
            <w:pPr>
              <w:pStyle w:val="ARfintablebody"/>
            </w:pPr>
            <w:r>
              <w:t>Department of Health and Human Services</w:t>
            </w:r>
          </w:p>
        </w:tc>
        <w:tc>
          <w:tcPr>
            <w:tcW w:w="2155" w:type="dxa"/>
            <w:tcBorders>
              <w:top w:val="single" w:sz="4" w:space="0" w:color="A6A6A6"/>
            </w:tcBorders>
          </w:tcPr>
          <w:p w14:paraId="3157878D" w14:textId="77777777" w:rsidR="005F4A7E" w:rsidRPr="002029AF" w:rsidRDefault="005F4A7E" w:rsidP="00130D1C">
            <w:pPr>
              <w:pStyle w:val="ARfintablebody"/>
            </w:pPr>
            <w:r>
              <w:t>Beth Gubbins</w:t>
            </w:r>
          </w:p>
        </w:tc>
        <w:tc>
          <w:tcPr>
            <w:tcW w:w="2155" w:type="dxa"/>
            <w:tcBorders>
              <w:top w:val="single" w:sz="4" w:space="0" w:color="A6A6A6"/>
            </w:tcBorders>
          </w:tcPr>
          <w:p w14:paraId="05F7FB93" w14:textId="77777777" w:rsidR="005F4A7E" w:rsidRPr="002029AF" w:rsidRDefault="005F4A7E" w:rsidP="00130D1C">
            <w:pPr>
              <w:pStyle w:val="ARfintablebody"/>
            </w:pPr>
            <w:r>
              <w:t>Deputy Chief Finance Officer</w:t>
            </w:r>
          </w:p>
        </w:tc>
        <w:tc>
          <w:tcPr>
            <w:tcW w:w="3175" w:type="dxa"/>
            <w:tcBorders>
              <w:top w:val="single" w:sz="4" w:space="0" w:color="A6A6A6"/>
            </w:tcBorders>
          </w:tcPr>
          <w:p w14:paraId="157AF798" w14:textId="77777777" w:rsidR="005F4A7E" w:rsidRPr="002029AF" w:rsidRDefault="005F4A7E" w:rsidP="00130D1C">
            <w:pPr>
              <w:pStyle w:val="ARfintablebody"/>
            </w:pPr>
            <w:r>
              <w:t>1 July 2020 to 31 January 2021</w:t>
            </w:r>
          </w:p>
        </w:tc>
      </w:tr>
    </w:tbl>
    <w:p w14:paraId="2A35FD87" w14:textId="5D08C5E0" w:rsidR="005F4A7E" w:rsidRDefault="005F4A7E" w:rsidP="00130D1C">
      <w:pPr>
        <w:pStyle w:val="ARfinbodyaftertable"/>
      </w:pPr>
      <w:r>
        <w:rPr>
          <w:rStyle w:val="Strong"/>
        </w:rPr>
        <w:t>Key management personnel</w:t>
      </w:r>
      <w:r>
        <w:t xml:space="preserve"> of the Administrative Offices included pursuant to s. 45(4) of the </w:t>
      </w:r>
      <w:r>
        <w:rPr>
          <w:rStyle w:val="Emphasis"/>
        </w:rPr>
        <w:t>Financial Management Act 1994</w:t>
      </w:r>
      <w:r>
        <w:t xml:space="preserve"> into the department</w:t>
      </w:r>
      <w:r w:rsidR="007D145B">
        <w:t>’</w:t>
      </w:r>
      <w:r>
        <w:t>s financial statements include:</w:t>
      </w:r>
    </w:p>
    <w:tbl>
      <w:tblPr>
        <w:tblStyle w:val="TableGrid"/>
        <w:tblW w:w="9639" w:type="dxa"/>
        <w:tblLayout w:type="fixed"/>
        <w:tblLook w:val="06A0" w:firstRow="1" w:lastRow="0" w:firstColumn="1" w:lastColumn="0" w:noHBand="1" w:noVBand="1"/>
      </w:tblPr>
      <w:tblGrid>
        <w:gridCol w:w="2152"/>
        <w:gridCol w:w="2153"/>
        <w:gridCol w:w="2153"/>
        <w:gridCol w:w="3171"/>
        <w:gridCol w:w="10"/>
      </w:tblGrid>
      <w:tr w:rsidR="005F4A7E" w:rsidRPr="002029AF" w14:paraId="09733C93" w14:textId="77777777" w:rsidTr="00130D1C">
        <w:trPr>
          <w:gridAfter w:val="1"/>
          <w:cnfStyle w:val="100000000000" w:firstRow="1" w:lastRow="0" w:firstColumn="0" w:lastColumn="0" w:oddVBand="0" w:evenVBand="0" w:oddHBand="0" w:evenHBand="0" w:firstRowFirstColumn="0" w:firstRowLastColumn="0" w:lastRowFirstColumn="0" w:lastRowLastColumn="0"/>
          <w:wAfter w:w="10" w:type="dxa"/>
          <w:tblHeader/>
        </w:trPr>
        <w:tc>
          <w:tcPr>
            <w:tcW w:w="2155" w:type="dxa"/>
            <w:tcBorders>
              <w:bottom w:val="single" w:sz="4" w:space="0" w:color="auto"/>
            </w:tcBorders>
          </w:tcPr>
          <w:p w14:paraId="744BEA19" w14:textId="77777777" w:rsidR="005F4A7E" w:rsidRPr="002029AF" w:rsidRDefault="005F4A7E" w:rsidP="00860E95">
            <w:pPr>
              <w:pStyle w:val="ARfintablecolhead"/>
            </w:pPr>
            <w:r w:rsidRPr="002029AF">
              <w:t>Entity</w:t>
            </w:r>
          </w:p>
        </w:tc>
        <w:tc>
          <w:tcPr>
            <w:tcW w:w="2155" w:type="dxa"/>
            <w:tcBorders>
              <w:bottom w:val="single" w:sz="4" w:space="0" w:color="auto"/>
            </w:tcBorders>
          </w:tcPr>
          <w:p w14:paraId="1F60BAEB" w14:textId="77777777" w:rsidR="005F4A7E" w:rsidRPr="002029AF" w:rsidRDefault="005F4A7E" w:rsidP="00860E95">
            <w:pPr>
              <w:pStyle w:val="ARfintablecolhead"/>
            </w:pPr>
            <w:r w:rsidRPr="002029AF">
              <w:t xml:space="preserve">Key </w:t>
            </w:r>
            <w:r>
              <w:t>m</w:t>
            </w:r>
            <w:r w:rsidRPr="002029AF">
              <w:t xml:space="preserve">anagement </w:t>
            </w:r>
            <w:r>
              <w:t>p</w:t>
            </w:r>
            <w:r w:rsidRPr="002029AF">
              <w:t>ersonnel</w:t>
            </w:r>
          </w:p>
        </w:tc>
        <w:tc>
          <w:tcPr>
            <w:tcW w:w="2155" w:type="dxa"/>
            <w:tcBorders>
              <w:bottom w:val="single" w:sz="4" w:space="0" w:color="auto"/>
            </w:tcBorders>
          </w:tcPr>
          <w:p w14:paraId="5CEF8A55" w14:textId="77777777" w:rsidR="005F4A7E" w:rsidRPr="002029AF" w:rsidRDefault="005F4A7E" w:rsidP="00860E95">
            <w:pPr>
              <w:pStyle w:val="ARfintablecolhead"/>
            </w:pPr>
            <w:r w:rsidRPr="002029AF">
              <w:t>Position title</w:t>
            </w:r>
          </w:p>
        </w:tc>
        <w:tc>
          <w:tcPr>
            <w:tcW w:w="3175" w:type="dxa"/>
            <w:tcBorders>
              <w:bottom w:val="single" w:sz="4" w:space="0" w:color="auto"/>
            </w:tcBorders>
          </w:tcPr>
          <w:p w14:paraId="6C9ACB39" w14:textId="77777777" w:rsidR="005F4A7E" w:rsidRPr="002029AF" w:rsidRDefault="005F4A7E" w:rsidP="00860E95">
            <w:pPr>
              <w:pStyle w:val="ARfintablecolhead"/>
            </w:pPr>
            <w:r w:rsidRPr="002029AF">
              <w:t>Period</w:t>
            </w:r>
          </w:p>
        </w:tc>
      </w:tr>
      <w:tr w:rsidR="005F4A7E" w:rsidRPr="002029AF" w14:paraId="5C42CFBC" w14:textId="77777777" w:rsidTr="00130D1C">
        <w:trPr>
          <w:gridAfter w:val="1"/>
          <w:wAfter w:w="10" w:type="dxa"/>
          <w:cantSplit w:val="0"/>
        </w:trPr>
        <w:tc>
          <w:tcPr>
            <w:tcW w:w="2155" w:type="dxa"/>
            <w:tcBorders>
              <w:top w:val="single" w:sz="4" w:space="0" w:color="auto"/>
              <w:bottom w:val="single" w:sz="4" w:space="0" w:color="A6A6A6"/>
            </w:tcBorders>
          </w:tcPr>
          <w:p w14:paraId="24E7986A" w14:textId="77777777" w:rsidR="005F4A7E" w:rsidRPr="002029AF" w:rsidRDefault="005F4A7E" w:rsidP="00130D1C">
            <w:pPr>
              <w:pStyle w:val="ARfintablebody"/>
            </w:pPr>
            <w:r w:rsidRPr="002B7149">
              <w:t>Victorian Agency for Health Information</w:t>
            </w:r>
          </w:p>
        </w:tc>
        <w:tc>
          <w:tcPr>
            <w:tcW w:w="2155" w:type="dxa"/>
            <w:tcBorders>
              <w:top w:val="single" w:sz="4" w:space="0" w:color="auto"/>
              <w:bottom w:val="single" w:sz="4" w:space="0" w:color="A6A6A6"/>
            </w:tcBorders>
          </w:tcPr>
          <w:p w14:paraId="63CED925" w14:textId="77777777" w:rsidR="005F4A7E" w:rsidRPr="002029AF" w:rsidRDefault="005F4A7E" w:rsidP="00130D1C">
            <w:pPr>
              <w:pStyle w:val="ARfintablebody"/>
            </w:pPr>
            <w:r w:rsidRPr="002B7149">
              <w:t>Lance Emerson</w:t>
            </w:r>
          </w:p>
        </w:tc>
        <w:tc>
          <w:tcPr>
            <w:tcW w:w="2155" w:type="dxa"/>
            <w:tcBorders>
              <w:top w:val="single" w:sz="4" w:space="0" w:color="auto"/>
              <w:bottom w:val="single" w:sz="4" w:space="0" w:color="A6A6A6"/>
            </w:tcBorders>
          </w:tcPr>
          <w:p w14:paraId="116D5AF4" w14:textId="77777777" w:rsidR="005F4A7E" w:rsidRPr="002029AF" w:rsidRDefault="005F4A7E" w:rsidP="00130D1C">
            <w:pPr>
              <w:pStyle w:val="ARfintablebody"/>
            </w:pPr>
            <w:r w:rsidRPr="002B7149">
              <w:t>Chief Executive Officer</w:t>
            </w:r>
          </w:p>
        </w:tc>
        <w:tc>
          <w:tcPr>
            <w:tcW w:w="3175" w:type="dxa"/>
            <w:tcBorders>
              <w:top w:val="single" w:sz="4" w:space="0" w:color="auto"/>
              <w:bottom w:val="single" w:sz="4" w:space="0" w:color="A6A6A6"/>
            </w:tcBorders>
          </w:tcPr>
          <w:p w14:paraId="2B46F572" w14:textId="77777777" w:rsidR="005F4A7E" w:rsidRPr="002029AF" w:rsidRDefault="005F4A7E" w:rsidP="00130D1C">
            <w:pPr>
              <w:pStyle w:val="ARfintablebody"/>
            </w:pPr>
            <w:r w:rsidRPr="002B7149">
              <w:t>1 July 2020 to 31 January 2021</w:t>
            </w:r>
          </w:p>
        </w:tc>
      </w:tr>
      <w:tr w:rsidR="005F4A7E" w:rsidRPr="002029AF" w14:paraId="7F94AFC8" w14:textId="77777777" w:rsidTr="00130D1C">
        <w:trPr>
          <w:gridAfter w:val="1"/>
          <w:wAfter w:w="10" w:type="dxa"/>
          <w:cantSplit w:val="0"/>
        </w:trPr>
        <w:tc>
          <w:tcPr>
            <w:tcW w:w="2155" w:type="dxa"/>
            <w:tcBorders>
              <w:top w:val="single" w:sz="4" w:space="0" w:color="A6A6A6"/>
              <w:bottom w:val="single" w:sz="4" w:space="0" w:color="A6A6A6"/>
            </w:tcBorders>
          </w:tcPr>
          <w:p w14:paraId="0A28376B" w14:textId="77777777" w:rsidR="005F4A7E" w:rsidRPr="002029AF" w:rsidRDefault="005F4A7E" w:rsidP="00130D1C">
            <w:pPr>
              <w:pStyle w:val="ARfintablebody"/>
            </w:pPr>
            <w:r w:rsidRPr="002B7149">
              <w:t>Safer Care Victoria</w:t>
            </w:r>
          </w:p>
        </w:tc>
        <w:tc>
          <w:tcPr>
            <w:tcW w:w="2155" w:type="dxa"/>
            <w:tcBorders>
              <w:top w:val="single" w:sz="4" w:space="0" w:color="A6A6A6"/>
              <w:bottom w:val="single" w:sz="4" w:space="0" w:color="A6A6A6"/>
            </w:tcBorders>
          </w:tcPr>
          <w:p w14:paraId="43E2A85C" w14:textId="77777777" w:rsidR="005F4A7E" w:rsidRPr="002029AF" w:rsidRDefault="005F4A7E" w:rsidP="00130D1C">
            <w:pPr>
              <w:pStyle w:val="ARfintablebody"/>
            </w:pPr>
            <w:r w:rsidRPr="002B7149">
              <w:t>Euan Wallace</w:t>
            </w:r>
          </w:p>
        </w:tc>
        <w:tc>
          <w:tcPr>
            <w:tcW w:w="2155" w:type="dxa"/>
            <w:tcBorders>
              <w:top w:val="single" w:sz="4" w:space="0" w:color="A6A6A6"/>
              <w:bottom w:val="single" w:sz="4" w:space="0" w:color="A6A6A6"/>
            </w:tcBorders>
          </w:tcPr>
          <w:p w14:paraId="6961BCDE" w14:textId="77777777" w:rsidR="005F4A7E" w:rsidRPr="002029AF" w:rsidRDefault="005F4A7E" w:rsidP="00130D1C">
            <w:pPr>
              <w:pStyle w:val="ARfintablebody"/>
            </w:pPr>
            <w:r w:rsidRPr="002B7149">
              <w:t>Chief Executive Officer</w:t>
            </w:r>
          </w:p>
        </w:tc>
        <w:tc>
          <w:tcPr>
            <w:tcW w:w="3175" w:type="dxa"/>
            <w:tcBorders>
              <w:top w:val="single" w:sz="4" w:space="0" w:color="A6A6A6"/>
              <w:bottom w:val="single" w:sz="4" w:space="0" w:color="A6A6A6"/>
            </w:tcBorders>
          </w:tcPr>
          <w:p w14:paraId="65977C9E" w14:textId="77777777" w:rsidR="005F4A7E" w:rsidRPr="002029AF" w:rsidRDefault="005F4A7E" w:rsidP="00130D1C">
            <w:pPr>
              <w:pStyle w:val="ARfintablebody"/>
            </w:pPr>
            <w:r w:rsidRPr="002B7149">
              <w:t>1 July 2020 to 1</w:t>
            </w:r>
            <w:r>
              <w:t>9 July 2020</w:t>
            </w:r>
          </w:p>
        </w:tc>
      </w:tr>
      <w:tr w:rsidR="005F4A7E" w:rsidRPr="002029AF" w14:paraId="69FCF408" w14:textId="77777777" w:rsidTr="00130D1C">
        <w:trPr>
          <w:cantSplit w:val="0"/>
        </w:trPr>
        <w:tc>
          <w:tcPr>
            <w:tcW w:w="2155" w:type="dxa"/>
            <w:tcBorders>
              <w:top w:val="single" w:sz="4" w:space="0" w:color="A6A6A6"/>
              <w:bottom w:val="single" w:sz="4" w:space="0" w:color="A6A6A6"/>
            </w:tcBorders>
          </w:tcPr>
          <w:p w14:paraId="06288B90" w14:textId="77777777" w:rsidR="005F4A7E" w:rsidRPr="002B7149" w:rsidRDefault="005F4A7E" w:rsidP="00130D1C">
            <w:pPr>
              <w:pStyle w:val="ARfintablebody"/>
            </w:pPr>
            <w:r w:rsidRPr="002B7149">
              <w:t>Safer Care Victoria</w:t>
            </w:r>
          </w:p>
        </w:tc>
        <w:tc>
          <w:tcPr>
            <w:tcW w:w="2155" w:type="dxa"/>
            <w:tcBorders>
              <w:top w:val="single" w:sz="4" w:space="0" w:color="A6A6A6"/>
              <w:bottom w:val="single" w:sz="4" w:space="0" w:color="A6A6A6"/>
            </w:tcBorders>
          </w:tcPr>
          <w:p w14:paraId="5C7EC92F" w14:textId="77777777" w:rsidR="005F4A7E" w:rsidRPr="002B7149" w:rsidRDefault="005F4A7E" w:rsidP="00130D1C">
            <w:pPr>
              <w:pStyle w:val="ARfintablebody"/>
            </w:pPr>
            <w:r w:rsidRPr="002B7149">
              <w:t>Ann Maree Keenan</w:t>
            </w:r>
          </w:p>
        </w:tc>
        <w:tc>
          <w:tcPr>
            <w:tcW w:w="2155" w:type="dxa"/>
            <w:tcBorders>
              <w:top w:val="single" w:sz="4" w:space="0" w:color="A6A6A6"/>
              <w:bottom w:val="single" w:sz="4" w:space="0" w:color="A6A6A6"/>
            </w:tcBorders>
          </w:tcPr>
          <w:p w14:paraId="06F900EC" w14:textId="77777777" w:rsidR="005F4A7E" w:rsidRPr="002B7149" w:rsidRDefault="005F4A7E" w:rsidP="00130D1C">
            <w:pPr>
              <w:pStyle w:val="ARfintablebody"/>
            </w:pPr>
            <w:r w:rsidRPr="002B7149">
              <w:t>Acting Chief Executive Officer</w:t>
            </w:r>
          </w:p>
        </w:tc>
        <w:tc>
          <w:tcPr>
            <w:tcW w:w="3175" w:type="dxa"/>
            <w:gridSpan w:val="2"/>
            <w:tcBorders>
              <w:top w:val="single" w:sz="4" w:space="0" w:color="A6A6A6"/>
              <w:bottom w:val="single" w:sz="4" w:space="0" w:color="A6A6A6"/>
            </w:tcBorders>
          </w:tcPr>
          <w:p w14:paraId="19A4FFFB" w14:textId="77777777" w:rsidR="005F4A7E" w:rsidRPr="002B7149" w:rsidRDefault="005F4A7E" w:rsidP="00130D1C">
            <w:pPr>
              <w:pStyle w:val="ARfintablebody"/>
            </w:pPr>
            <w:r>
              <w:t>20 July 2020 to 3 January 2021</w:t>
            </w:r>
          </w:p>
        </w:tc>
      </w:tr>
      <w:tr w:rsidR="005F4A7E" w:rsidRPr="002029AF" w14:paraId="2F56F2FF" w14:textId="77777777" w:rsidTr="00130D1C">
        <w:trPr>
          <w:cantSplit w:val="0"/>
        </w:trPr>
        <w:tc>
          <w:tcPr>
            <w:tcW w:w="2155" w:type="dxa"/>
            <w:tcBorders>
              <w:top w:val="single" w:sz="4" w:space="0" w:color="A6A6A6"/>
              <w:bottom w:val="single" w:sz="4" w:space="0" w:color="A6A6A6"/>
            </w:tcBorders>
          </w:tcPr>
          <w:p w14:paraId="282ACB6C" w14:textId="77777777" w:rsidR="005F4A7E" w:rsidRPr="002B7149" w:rsidRDefault="005F4A7E" w:rsidP="00130D1C">
            <w:pPr>
              <w:pStyle w:val="ARfintablebody"/>
            </w:pPr>
            <w:r w:rsidRPr="002B7149">
              <w:t>Safer Care Victoria</w:t>
            </w:r>
          </w:p>
        </w:tc>
        <w:tc>
          <w:tcPr>
            <w:tcW w:w="2155" w:type="dxa"/>
            <w:tcBorders>
              <w:top w:val="single" w:sz="4" w:space="0" w:color="A6A6A6"/>
              <w:bottom w:val="single" w:sz="4" w:space="0" w:color="A6A6A6"/>
            </w:tcBorders>
          </w:tcPr>
          <w:p w14:paraId="0CCAB306" w14:textId="77777777" w:rsidR="005F4A7E" w:rsidRPr="002B7149" w:rsidRDefault="005F4A7E" w:rsidP="00130D1C">
            <w:pPr>
              <w:pStyle w:val="ARfintablebody"/>
            </w:pPr>
            <w:r w:rsidRPr="002B7149">
              <w:t>Robyn Hudson</w:t>
            </w:r>
          </w:p>
        </w:tc>
        <w:tc>
          <w:tcPr>
            <w:tcW w:w="2155" w:type="dxa"/>
            <w:tcBorders>
              <w:top w:val="single" w:sz="4" w:space="0" w:color="A6A6A6"/>
              <w:bottom w:val="single" w:sz="4" w:space="0" w:color="A6A6A6"/>
            </w:tcBorders>
          </w:tcPr>
          <w:p w14:paraId="574296EA" w14:textId="77777777" w:rsidR="005F4A7E" w:rsidRPr="002B7149" w:rsidRDefault="005F4A7E" w:rsidP="00130D1C">
            <w:pPr>
              <w:pStyle w:val="ARfintablebody"/>
            </w:pPr>
            <w:r w:rsidRPr="002B7149">
              <w:t>Acting Chief Executive Officer</w:t>
            </w:r>
          </w:p>
        </w:tc>
        <w:tc>
          <w:tcPr>
            <w:tcW w:w="3175" w:type="dxa"/>
            <w:gridSpan w:val="2"/>
            <w:tcBorders>
              <w:top w:val="single" w:sz="4" w:space="0" w:color="A6A6A6"/>
              <w:bottom w:val="single" w:sz="4" w:space="0" w:color="A6A6A6"/>
            </w:tcBorders>
          </w:tcPr>
          <w:p w14:paraId="30A46F84" w14:textId="77777777" w:rsidR="005F4A7E" w:rsidRDefault="005F4A7E" w:rsidP="00130D1C">
            <w:pPr>
              <w:pStyle w:val="ARfintablebody"/>
            </w:pPr>
            <w:r>
              <w:t>4 January 2021 to 15 January 2021</w:t>
            </w:r>
          </w:p>
        </w:tc>
      </w:tr>
      <w:tr w:rsidR="005F4A7E" w:rsidRPr="002029AF" w14:paraId="3005632F" w14:textId="77777777" w:rsidTr="00130D1C">
        <w:trPr>
          <w:gridAfter w:val="1"/>
          <w:wAfter w:w="10" w:type="dxa"/>
          <w:cantSplit w:val="0"/>
        </w:trPr>
        <w:tc>
          <w:tcPr>
            <w:tcW w:w="2155" w:type="dxa"/>
            <w:tcBorders>
              <w:top w:val="single" w:sz="4" w:space="0" w:color="A6A6A6"/>
              <w:bottom w:val="single" w:sz="4" w:space="0" w:color="A6A6A6"/>
            </w:tcBorders>
          </w:tcPr>
          <w:p w14:paraId="35B4E486" w14:textId="77777777" w:rsidR="005F4A7E" w:rsidRPr="002029AF" w:rsidRDefault="005F4A7E" w:rsidP="00130D1C">
            <w:pPr>
              <w:pStyle w:val="ARfintablebody"/>
            </w:pPr>
            <w:r w:rsidRPr="002B7149">
              <w:t>Safer Care Victoria</w:t>
            </w:r>
          </w:p>
        </w:tc>
        <w:tc>
          <w:tcPr>
            <w:tcW w:w="2155" w:type="dxa"/>
            <w:tcBorders>
              <w:top w:val="single" w:sz="4" w:space="0" w:color="A6A6A6"/>
              <w:bottom w:val="single" w:sz="4" w:space="0" w:color="A6A6A6"/>
            </w:tcBorders>
          </w:tcPr>
          <w:p w14:paraId="77AFB1E2" w14:textId="77777777" w:rsidR="005F4A7E" w:rsidRPr="002029AF" w:rsidRDefault="005F4A7E" w:rsidP="00130D1C">
            <w:pPr>
              <w:pStyle w:val="ARfintablebody"/>
            </w:pPr>
            <w:r w:rsidRPr="002B7149">
              <w:t>Ann Maree Keenan</w:t>
            </w:r>
          </w:p>
        </w:tc>
        <w:tc>
          <w:tcPr>
            <w:tcW w:w="2155" w:type="dxa"/>
            <w:tcBorders>
              <w:top w:val="single" w:sz="4" w:space="0" w:color="A6A6A6"/>
              <w:bottom w:val="single" w:sz="4" w:space="0" w:color="A6A6A6"/>
            </w:tcBorders>
          </w:tcPr>
          <w:p w14:paraId="2A4816B3" w14:textId="77777777" w:rsidR="005F4A7E" w:rsidRPr="002029AF" w:rsidRDefault="005F4A7E" w:rsidP="00130D1C">
            <w:pPr>
              <w:pStyle w:val="ARfintablebody"/>
            </w:pPr>
            <w:r w:rsidRPr="002B7149">
              <w:t>Acting Chief Executive Officer</w:t>
            </w:r>
          </w:p>
        </w:tc>
        <w:tc>
          <w:tcPr>
            <w:tcW w:w="3175" w:type="dxa"/>
            <w:tcBorders>
              <w:top w:val="single" w:sz="4" w:space="0" w:color="A6A6A6"/>
              <w:bottom w:val="single" w:sz="4" w:space="0" w:color="A6A6A6"/>
            </w:tcBorders>
          </w:tcPr>
          <w:p w14:paraId="2A9BA493" w14:textId="77777777" w:rsidR="005F4A7E" w:rsidRPr="002029AF" w:rsidRDefault="005F4A7E" w:rsidP="00130D1C">
            <w:pPr>
              <w:pStyle w:val="ARfintablebody"/>
            </w:pPr>
            <w:r w:rsidRPr="002B7149">
              <w:t xml:space="preserve">16 </w:t>
            </w:r>
            <w:r>
              <w:t>January</w:t>
            </w:r>
            <w:r w:rsidRPr="002B7149">
              <w:t xml:space="preserve"> 202</w:t>
            </w:r>
            <w:r>
              <w:t>1</w:t>
            </w:r>
            <w:r w:rsidRPr="002B7149">
              <w:t xml:space="preserve"> to 30 May 2021</w:t>
            </w:r>
          </w:p>
        </w:tc>
      </w:tr>
      <w:tr w:rsidR="005F4A7E" w:rsidRPr="002029AF" w14:paraId="1A64EAE6" w14:textId="77777777" w:rsidTr="00130D1C">
        <w:trPr>
          <w:gridAfter w:val="1"/>
          <w:wAfter w:w="10" w:type="dxa"/>
          <w:cantSplit w:val="0"/>
        </w:trPr>
        <w:tc>
          <w:tcPr>
            <w:tcW w:w="2155" w:type="dxa"/>
            <w:tcBorders>
              <w:top w:val="single" w:sz="4" w:space="0" w:color="A6A6A6"/>
              <w:bottom w:val="single" w:sz="4" w:space="0" w:color="A6A6A6"/>
            </w:tcBorders>
          </w:tcPr>
          <w:p w14:paraId="59BADC5D" w14:textId="77777777" w:rsidR="005F4A7E" w:rsidRPr="002029AF" w:rsidRDefault="005F4A7E" w:rsidP="00130D1C">
            <w:pPr>
              <w:pStyle w:val="ARfintablebody"/>
            </w:pPr>
            <w:r w:rsidRPr="002B7149">
              <w:t>Safer Care Victoria</w:t>
            </w:r>
          </w:p>
        </w:tc>
        <w:tc>
          <w:tcPr>
            <w:tcW w:w="2155" w:type="dxa"/>
            <w:tcBorders>
              <w:top w:val="single" w:sz="4" w:space="0" w:color="A6A6A6"/>
              <w:bottom w:val="single" w:sz="4" w:space="0" w:color="A6A6A6"/>
            </w:tcBorders>
          </w:tcPr>
          <w:p w14:paraId="70A4B0E7" w14:textId="77777777" w:rsidR="005F4A7E" w:rsidRPr="002029AF" w:rsidRDefault="005F4A7E" w:rsidP="00130D1C">
            <w:pPr>
              <w:pStyle w:val="ARfintablebody"/>
            </w:pPr>
            <w:r w:rsidRPr="002B7149">
              <w:t>Robyn Hudson</w:t>
            </w:r>
          </w:p>
        </w:tc>
        <w:tc>
          <w:tcPr>
            <w:tcW w:w="2155" w:type="dxa"/>
            <w:tcBorders>
              <w:top w:val="single" w:sz="4" w:space="0" w:color="A6A6A6"/>
              <w:bottom w:val="single" w:sz="4" w:space="0" w:color="A6A6A6"/>
            </w:tcBorders>
          </w:tcPr>
          <w:p w14:paraId="792374F1" w14:textId="77777777" w:rsidR="005F4A7E" w:rsidRPr="002029AF" w:rsidRDefault="005F4A7E" w:rsidP="00130D1C">
            <w:pPr>
              <w:pStyle w:val="ARfintablebody"/>
            </w:pPr>
            <w:r w:rsidRPr="002B7149">
              <w:t>Acting Chief Executive Officer</w:t>
            </w:r>
          </w:p>
        </w:tc>
        <w:tc>
          <w:tcPr>
            <w:tcW w:w="3175" w:type="dxa"/>
            <w:tcBorders>
              <w:top w:val="single" w:sz="4" w:space="0" w:color="A6A6A6"/>
              <w:bottom w:val="single" w:sz="4" w:space="0" w:color="A6A6A6"/>
            </w:tcBorders>
          </w:tcPr>
          <w:p w14:paraId="604A3876" w14:textId="77777777" w:rsidR="005F4A7E" w:rsidRPr="002029AF" w:rsidRDefault="005F4A7E" w:rsidP="00130D1C">
            <w:pPr>
              <w:pStyle w:val="ARfintablebody"/>
            </w:pPr>
            <w:r w:rsidRPr="002B7149">
              <w:t>31 May 2021 to 30 June 2021</w:t>
            </w:r>
          </w:p>
        </w:tc>
      </w:tr>
      <w:tr w:rsidR="005F4A7E" w:rsidRPr="002029AF" w14:paraId="081E73DA" w14:textId="77777777" w:rsidTr="00130D1C">
        <w:trPr>
          <w:gridAfter w:val="1"/>
          <w:wAfter w:w="10" w:type="dxa"/>
          <w:cantSplit w:val="0"/>
        </w:trPr>
        <w:tc>
          <w:tcPr>
            <w:tcW w:w="2155" w:type="dxa"/>
            <w:tcBorders>
              <w:top w:val="single" w:sz="4" w:space="0" w:color="A6A6A6"/>
              <w:bottom w:val="single" w:sz="4" w:space="0" w:color="A6A6A6"/>
            </w:tcBorders>
          </w:tcPr>
          <w:p w14:paraId="2C943FD7" w14:textId="77777777" w:rsidR="005F4A7E" w:rsidRPr="002029AF" w:rsidRDefault="005F4A7E" w:rsidP="00130D1C">
            <w:pPr>
              <w:pStyle w:val="ARfintablebody"/>
            </w:pPr>
            <w:r w:rsidRPr="002B7149">
              <w:t>Family Safety Victoria</w:t>
            </w:r>
          </w:p>
        </w:tc>
        <w:tc>
          <w:tcPr>
            <w:tcW w:w="2155" w:type="dxa"/>
            <w:tcBorders>
              <w:top w:val="single" w:sz="4" w:space="0" w:color="A6A6A6"/>
              <w:bottom w:val="single" w:sz="4" w:space="0" w:color="A6A6A6"/>
            </w:tcBorders>
          </w:tcPr>
          <w:p w14:paraId="4E61DD1E" w14:textId="77777777" w:rsidR="005F4A7E" w:rsidRPr="002029AF" w:rsidRDefault="005F4A7E" w:rsidP="00130D1C">
            <w:pPr>
              <w:pStyle w:val="ARfintablebody"/>
            </w:pPr>
            <w:r w:rsidRPr="002B7149">
              <w:t>Eleri Butler</w:t>
            </w:r>
          </w:p>
        </w:tc>
        <w:tc>
          <w:tcPr>
            <w:tcW w:w="2155" w:type="dxa"/>
            <w:tcBorders>
              <w:top w:val="single" w:sz="4" w:space="0" w:color="A6A6A6"/>
              <w:bottom w:val="single" w:sz="4" w:space="0" w:color="A6A6A6"/>
            </w:tcBorders>
          </w:tcPr>
          <w:p w14:paraId="1B6CA2B7" w14:textId="77777777" w:rsidR="005F4A7E" w:rsidRPr="002029AF" w:rsidRDefault="005F4A7E" w:rsidP="00130D1C">
            <w:pPr>
              <w:pStyle w:val="ARfintablebody"/>
            </w:pPr>
            <w:r w:rsidRPr="002B7149">
              <w:t>Chief Executive Officer</w:t>
            </w:r>
          </w:p>
        </w:tc>
        <w:tc>
          <w:tcPr>
            <w:tcW w:w="3175" w:type="dxa"/>
            <w:tcBorders>
              <w:top w:val="single" w:sz="4" w:space="0" w:color="A6A6A6"/>
              <w:bottom w:val="single" w:sz="4" w:space="0" w:color="A6A6A6"/>
            </w:tcBorders>
          </w:tcPr>
          <w:p w14:paraId="31AAFFA7" w14:textId="77777777" w:rsidR="005F4A7E" w:rsidRPr="002029AF" w:rsidRDefault="005F4A7E" w:rsidP="00130D1C">
            <w:pPr>
              <w:pStyle w:val="ARfintablebody"/>
            </w:pPr>
            <w:r w:rsidRPr="002B7149">
              <w:t>1 July 2020 to 30 June 2021</w:t>
            </w:r>
          </w:p>
        </w:tc>
      </w:tr>
      <w:tr w:rsidR="005F4A7E" w:rsidRPr="002029AF" w14:paraId="130E8CEA" w14:textId="77777777" w:rsidTr="00130D1C">
        <w:trPr>
          <w:gridAfter w:val="1"/>
          <w:wAfter w:w="10" w:type="dxa"/>
          <w:cantSplit w:val="0"/>
        </w:trPr>
        <w:tc>
          <w:tcPr>
            <w:tcW w:w="2155" w:type="dxa"/>
            <w:tcBorders>
              <w:top w:val="single" w:sz="4" w:space="0" w:color="A6A6A6"/>
            </w:tcBorders>
          </w:tcPr>
          <w:p w14:paraId="134F1EEE" w14:textId="77777777" w:rsidR="005F4A7E" w:rsidRPr="002029AF" w:rsidRDefault="005F4A7E" w:rsidP="00130D1C">
            <w:pPr>
              <w:pStyle w:val="ARfintablebody"/>
            </w:pPr>
            <w:r w:rsidRPr="002B7149">
              <w:t>Mental Health Reform Victoria</w:t>
            </w:r>
          </w:p>
        </w:tc>
        <w:tc>
          <w:tcPr>
            <w:tcW w:w="2155" w:type="dxa"/>
            <w:tcBorders>
              <w:top w:val="single" w:sz="4" w:space="0" w:color="A6A6A6"/>
            </w:tcBorders>
          </w:tcPr>
          <w:p w14:paraId="5D6254CB" w14:textId="77777777" w:rsidR="005F4A7E" w:rsidRPr="002029AF" w:rsidRDefault="005F4A7E" w:rsidP="00130D1C">
            <w:pPr>
              <w:pStyle w:val="ARfintablebody"/>
            </w:pPr>
            <w:r w:rsidRPr="002B7149">
              <w:t>Pam Anders</w:t>
            </w:r>
          </w:p>
        </w:tc>
        <w:tc>
          <w:tcPr>
            <w:tcW w:w="2155" w:type="dxa"/>
            <w:tcBorders>
              <w:top w:val="single" w:sz="4" w:space="0" w:color="A6A6A6"/>
            </w:tcBorders>
          </w:tcPr>
          <w:p w14:paraId="205BE2C3" w14:textId="77777777" w:rsidR="005F4A7E" w:rsidRPr="002029AF" w:rsidRDefault="005F4A7E" w:rsidP="00130D1C">
            <w:pPr>
              <w:pStyle w:val="ARfintablebody"/>
            </w:pPr>
            <w:r w:rsidRPr="002B7149">
              <w:t>Chief Executive Officer</w:t>
            </w:r>
          </w:p>
        </w:tc>
        <w:tc>
          <w:tcPr>
            <w:tcW w:w="3175" w:type="dxa"/>
            <w:tcBorders>
              <w:top w:val="single" w:sz="4" w:space="0" w:color="A6A6A6"/>
            </w:tcBorders>
          </w:tcPr>
          <w:p w14:paraId="001725B7" w14:textId="77777777" w:rsidR="005F4A7E" w:rsidRPr="002029AF" w:rsidRDefault="005F4A7E" w:rsidP="00130D1C">
            <w:pPr>
              <w:pStyle w:val="ARfintablebody"/>
            </w:pPr>
            <w:r w:rsidRPr="002B7149">
              <w:t>1 July 2020 to 30 June 2021</w:t>
            </w:r>
          </w:p>
        </w:tc>
      </w:tr>
    </w:tbl>
    <w:p w14:paraId="30409FA9" w14:textId="77777777" w:rsidR="005F4A7E" w:rsidRDefault="005F4A7E" w:rsidP="00130D1C">
      <w:pPr>
        <w:pStyle w:val="ARbody"/>
        <w:rPr>
          <w:rStyle w:val="Strong"/>
          <w:rFonts w:eastAsia="MS Mincho"/>
          <w:color w:val="000000"/>
          <w:sz w:val="18"/>
          <w:szCs w:val="16"/>
          <w:lang w:eastAsia="en-AU"/>
        </w:rPr>
      </w:pPr>
      <w:r>
        <w:rPr>
          <w:rStyle w:val="Strong"/>
        </w:rPr>
        <w:br w:type="page"/>
      </w:r>
    </w:p>
    <w:p w14:paraId="3A39F5CC" w14:textId="622FB8BC" w:rsidR="005F4A7E" w:rsidRDefault="005F4A7E" w:rsidP="00130D1C">
      <w:pPr>
        <w:pStyle w:val="ARfinbodyaftertable"/>
        <w:rPr>
          <w:sz w:val="16"/>
        </w:rPr>
      </w:pPr>
      <w:r>
        <w:rPr>
          <w:rStyle w:val="Strong"/>
        </w:rPr>
        <w:lastRenderedPageBreak/>
        <w:t>Key management personnel</w:t>
      </w:r>
      <w:r>
        <w:rPr>
          <w:b/>
          <w:bCs/>
        </w:rPr>
        <w:t xml:space="preserve"> </w:t>
      </w:r>
      <w:r>
        <w:t xml:space="preserve">of the entities included pursuant to s. 53(1)(b) of the </w:t>
      </w:r>
      <w:r>
        <w:rPr>
          <w:rStyle w:val="Emphasis"/>
        </w:rPr>
        <w:t>Financial Management Act 1994</w:t>
      </w:r>
      <w:r>
        <w:t xml:space="preserve"> into the department</w:t>
      </w:r>
      <w:r w:rsidR="007D145B">
        <w:t>’</w:t>
      </w:r>
      <w:r>
        <w:t>s financial statements include:</w:t>
      </w:r>
    </w:p>
    <w:tbl>
      <w:tblPr>
        <w:tblStyle w:val="TableGrid"/>
        <w:tblW w:w="9630" w:type="dxa"/>
        <w:tblLayout w:type="fixed"/>
        <w:tblLook w:val="06A0" w:firstRow="1" w:lastRow="0" w:firstColumn="1" w:lastColumn="0" w:noHBand="1" w:noVBand="1"/>
      </w:tblPr>
      <w:tblGrid>
        <w:gridCol w:w="2150"/>
        <w:gridCol w:w="2151"/>
        <w:gridCol w:w="2151"/>
        <w:gridCol w:w="3168"/>
        <w:gridCol w:w="10"/>
      </w:tblGrid>
      <w:tr w:rsidR="005F4A7E" w14:paraId="54341E83" w14:textId="77777777" w:rsidTr="00130D1C">
        <w:trPr>
          <w:gridAfter w:val="1"/>
          <w:cnfStyle w:val="100000000000" w:firstRow="1" w:lastRow="0" w:firstColumn="0" w:lastColumn="0" w:oddVBand="0" w:evenVBand="0" w:oddHBand="0" w:evenHBand="0" w:firstRowFirstColumn="0" w:firstRowLastColumn="0" w:lastRowFirstColumn="0" w:lastRowLastColumn="0"/>
          <w:wAfter w:w="10" w:type="dxa"/>
          <w:tblHeader/>
        </w:trPr>
        <w:tc>
          <w:tcPr>
            <w:tcW w:w="2155" w:type="dxa"/>
            <w:tcBorders>
              <w:bottom w:val="single" w:sz="4" w:space="0" w:color="auto"/>
            </w:tcBorders>
            <w:hideMark/>
          </w:tcPr>
          <w:p w14:paraId="5C976DD9" w14:textId="77777777" w:rsidR="005F4A7E" w:rsidRDefault="005F4A7E">
            <w:pPr>
              <w:pStyle w:val="ARfintablecolhead"/>
              <w:rPr>
                <w:lang w:eastAsia="en-US"/>
              </w:rPr>
            </w:pPr>
            <w:r>
              <w:rPr>
                <w:lang w:eastAsia="en-US"/>
              </w:rPr>
              <w:t>Entity</w:t>
            </w:r>
          </w:p>
        </w:tc>
        <w:tc>
          <w:tcPr>
            <w:tcW w:w="2155" w:type="dxa"/>
            <w:tcBorders>
              <w:bottom w:val="single" w:sz="4" w:space="0" w:color="auto"/>
            </w:tcBorders>
            <w:hideMark/>
          </w:tcPr>
          <w:p w14:paraId="385DF666" w14:textId="77777777" w:rsidR="005F4A7E" w:rsidRDefault="005F4A7E">
            <w:pPr>
              <w:pStyle w:val="ARfintablecolhead"/>
              <w:rPr>
                <w:lang w:eastAsia="en-US"/>
              </w:rPr>
            </w:pPr>
            <w:r>
              <w:rPr>
                <w:lang w:eastAsia="en-US"/>
              </w:rPr>
              <w:t>Key management personnel</w:t>
            </w:r>
          </w:p>
        </w:tc>
        <w:tc>
          <w:tcPr>
            <w:tcW w:w="2155" w:type="dxa"/>
            <w:tcBorders>
              <w:bottom w:val="single" w:sz="4" w:space="0" w:color="auto"/>
            </w:tcBorders>
            <w:hideMark/>
          </w:tcPr>
          <w:p w14:paraId="07C2755C" w14:textId="77777777" w:rsidR="005F4A7E" w:rsidRDefault="005F4A7E">
            <w:pPr>
              <w:pStyle w:val="ARfintablecolhead"/>
              <w:rPr>
                <w:lang w:eastAsia="en-US"/>
              </w:rPr>
            </w:pPr>
            <w:r>
              <w:rPr>
                <w:lang w:eastAsia="en-US"/>
              </w:rPr>
              <w:t>Position title</w:t>
            </w:r>
          </w:p>
        </w:tc>
        <w:tc>
          <w:tcPr>
            <w:tcW w:w="3175" w:type="dxa"/>
            <w:tcBorders>
              <w:bottom w:val="single" w:sz="4" w:space="0" w:color="auto"/>
            </w:tcBorders>
            <w:hideMark/>
          </w:tcPr>
          <w:p w14:paraId="4A1CF6C7" w14:textId="77777777" w:rsidR="005F4A7E" w:rsidRDefault="005F4A7E">
            <w:pPr>
              <w:pStyle w:val="ARfintablecolhead"/>
              <w:rPr>
                <w:lang w:eastAsia="en-US"/>
              </w:rPr>
            </w:pPr>
            <w:r>
              <w:rPr>
                <w:lang w:eastAsia="en-US"/>
              </w:rPr>
              <w:t>Period</w:t>
            </w:r>
          </w:p>
        </w:tc>
      </w:tr>
      <w:tr w:rsidR="005F4A7E" w14:paraId="6903CEEC" w14:textId="77777777" w:rsidTr="00130D1C">
        <w:trPr>
          <w:gridAfter w:val="1"/>
          <w:wAfter w:w="10" w:type="dxa"/>
          <w:cantSplit w:val="0"/>
        </w:trPr>
        <w:tc>
          <w:tcPr>
            <w:tcW w:w="2155" w:type="dxa"/>
            <w:tcBorders>
              <w:top w:val="single" w:sz="4" w:space="0" w:color="auto"/>
              <w:bottom w:val="single" w:sz="4" w:space="0" w:color="A6A6A6"/>
            </w:tcBorders>
            <w:hideMark/>
          </w:tcPr>
          <w:p w14:paraId="6E8368D8" w14:textId="77777777" w:rsidR="005F4A7E" w:rsidRDefault="005F4A7E">
            <w:pPr>
              <w:pStyle w:val="ARfintablebody"/>
            </w:pPr>
            <w:r>
              <w:t>Mental Health Tribunal</w:t>
            </w:r>
          </w:p>
        </w:tc>
        <w:tc>
          <w:tcPr>
            <w:tcW w:w="2155" w:type="dxa"/>
            <w:tcBorders>
              <w:top w:val="single" w:sz="4" w:space="0" w:color="auto"/>
              <w:bottom w:val="single" w:sz="4" w:space="0" w:color="A6A6A6"/>
            </w:tcBorders>
            <w:hideMark/>
          </w:tcPr>
          <w:p w14:paraId="425A1DD4" w14:textId="77777777" w:rsidR="005F4A7E" w:rsidRDefault="005F4A7E">
            <w:pPr>
              <w:pStyle w:val="ARfintablebody"/>
            </w:pPr>
            <w:r>
              <w:t>Matthew Carroll</w:t>
            </w:r>
          </w:p>
        </w:tc>
        <w:tc>
          <w:tcPr>
            <w:tcW w:w="2155" w:type="dxa"/>
            <w:tcBorders>
              <w:top w:val="single" w:sz="4" w:space="0" w:color="auto"/>
              <w:bottom w:val="single" w:sz="4" w:space="0" w:color="A6A6A6"/>
            </w:tcBorders>
            <w:hideMark/>
          </w:tcPr>
          <w:p w14:paraId="1637357F" w14:textId="77777777" w:rsidR="005F4A7E" w:rsidRDefault="005F4A7E">
            <w:pPr>
              <w:pStyle w:val="ARfintablebody"/>
            </w:pPr>
            <w:r>
              <w:t>President</w:t>
            </w:r>
          </w:p>
        </w:tc>
        <w:tc>
          <w:tcPr>
            <w:tcW w:w="3175" w:type="dxa"/>
            <w:tcBorders>
              <w:top w:val="single" w:sz="4" w:space="0" w:color="auto"/>
              <w:bottom w:val="single" w:sz="4" w:space="0" w:color="A6A6A6"/>
            </w:tcBorders>
            <w:hideMark/>
          </w:tcPr>
          <w:p w14:paraId="5F0BF6B1" w14:textId="77777777" w:rsidR="005F4A7E" w:rsidRDefault="005F4A7E">
            <w:pPr>
              <w:pStyle w:val="ARfintablebody"/>
              <w:rPr>
                <w:lang w:eastAsia="en-US"/>
              </w:rPr>
            </w:pPr>
            <w:r>
              <w:t>1 July 2020 to 30 June 2021</w:t>
            </w:r>
          </w:p>
        </w:tc>
      </w:tr>
      <w:tr w:rsidR="005F4A7E" w14:paraId="0F67F761" w14:textId="77777777" w:rsidTr="00130D1C">
        <w:trPr>
          <w:gridAfter w:val="1"/>
          <w:wAfter w:w="10" w:type="dxa"/>
          <w:cantSplit w:val="0"/>
        </w:trPr>
        <w:tc>
          <w:tcPr>
            <w:tcW w:w="2155" w:type="dxa"/>
            <w:tcBorders>
              <w:top w:val="single" w:sz="4" w:space="0" w:color="A6A6A6"/>
              <w:bottom w:val="single" w:sz="4" w:space="0" w:color="A6A6A6"/>
            </w:tcBorders>
            <w:hideMark/>
          </w:tcPr>
          <w:p w14:paraId="52261FC8" w14:textId="77777777" w:rsidR="005F4A7E" w:rsidRDefault="005F4A7E">
            <w:pPr>
              <w:pStyle w:val="ARfintablebody"/>
            </w:pPr>
            <w:r>
              <w:t>Commission for Children and Young People</w:t>
            </w:r>
          </w:p>
        </w:tc>
        <w:tc>
          <w:tcPr>
            <w:tcW w:w="2155" w:type="dxa"/>
            <w:tcBorders>
              <w:top w:val="single" w:sz="4" w:space="0" w:color="A6A6A6"/>
              <w:bottom w:val="single" w:sz="4" w:space="0" w:color="A6A6A6"/>
            </w:tcBorders>
            <w:hideMark/>
          </w:tcPr>
          <w:p w14:paraId="1B9E12A7" w14:textId="77777777" w:rsidR="005F4A7E" w:rsidRDefault="005F4A7E">
            <w:pPr>
              <w:pStyle w:val="ARfintablebody"/>
            </w:pPr>
            <w:r>
              <w:t>Liana Buchanan</w:t>
            </w:r>
          </w:p>
        </w:tc>
        <w:tc>
          <w:tcPr>
            <w:tcW w:w="2155" w:type="dxa"/>
            <w:tcBorders>
              <w:top w:val="single" w:sz="4" w:space="0" w:color="A6A6A6"/>
              <w:bottom w:val="single" w:sz="4" w:space="0" w:color="A6A6A6"/>
            </w:tcBorders>
            <w:hideMark/>
          </w:tcPr>
          <w:p w14:paraId="1A3E3FBA" w14:textId="77777777" w:rsidR="005F4A7E" w:rsidRDefault="005F4A7E">
            <w:pPr>
              <w:pStyle w:val="ARfintablebody"/>
            </w:pPr>
            <w:r>
              <w:t>Principal Commissioner</w:t>
            </w:r>
          </w:p>
        </w:tc>
        <w:tc>
          <w:tcPr>
            <w:tcW w:w="3175" w:type="dxa"/>
            <w:tcBorders>
              <w:top w:val="single" w:sz="4" w:space="0" w:color="A6A6A6"/>
              <w:bottom w:val="single" w:sz="4" w:space="0" w:color="A6A6A6"/>
            </w:tcBorders>
            <w:hideMark/>
          </w:tcPr>
          <w:p w14:paraId="611F78BE" w14:textId="77777777" w:rsidR="005F4A7E" w:rsidRDefault="005F4A7E">
            <w:pPr>
              <w:pStyle w:val="ARfintablebody"/>
              <w:rPr>
                <w:lang w:eastAsia="en-US"/>
              </w:rPr>
            </w:pPr>
            <w:r>
              <w:t>1 July 2020 to 30 June 2021</w:t>
            </w:r>
          </w:p>
        </w:tc>
      </w:tr>
      <w:tr w:rsidR="005F4A7E" w14:paraId="6AF654FA" w14:textId="77777777" w:rsidTr="00130D1C">
        <w:trPr>
          <w:gridAfter w:val="1"/>
          <w:wAfter w:w="10" w:type="dxa"/>
          <w:cantSplit w:val="0"/>
        </w:trPr>
        <w:tc>
          <w:tcPr>
            <w:tcW w:w="2155" w:type="dxa"/>
            <w:tcBorders>
              <w:top w:val="single" w:sz="4" w:space="0" w:color="A6A6A6"/>
              <w:bottom w:val="single" w:sz="4" w:space="0" w:color="A6A6A6"/>
            </w:tcBorders>
            <w:hideMark/>
          </w:tcPr>
          <w:p w14:paraId="2289FC5D" w14:textId="77777777" w:rsidR="005F4A7E" w:rsidRDefault="005F4A7E">
            <w:pPr>
              <w:pStyle w:val="ARfintablebody"/>
            </w:pPr>
            <w:r>
              <w:t>Commission for Children and Young People</w:t>
            </w:r>
          </w:p>
        </w:tc>
        <w:tc>
          <w:tcPr>
            <w:tcW w:w="2155" w:type="dxa"/>
            <w:tcBorders>
              <w:top w:val="single" w:sz="4" w:space="0" w:color="A6A6A6"/>
              <w:bottom w:val="single" w:sz="4" w:space="0" w:color="A6A6A6"/>
            </w:tcBorders>
            <w:hideMark/>
          </w:tcPr>
          <w:p w14:paraId="22A33123" w14:textId="77777777" w:rsidR="005F4A7E" w:rsidRDefault="005F4A7E">
            <w:pPr>
              <w:pStyle w:val="ARfintablebody"/>
            </w:pPr>
            <w:r>
              <w:t>Justin Mohamed</w:t>
            </w:r>
          </w:p>
        </w:tc>
        <w:tc>
          <w:tcPr>
            <w:tcW w:w="2155" w:type="dxa"/>
            <w:tcBorders>
              <w:top w:val="single" w:sz="4" w:space="0" w:color="A6A6A6"/>
              <w:bottom w:val="single" w:sz="4" w:space="0" w:color="A6A6A6"/>
            </w:tcBorders>
            <w:hideMark/>
          </w:tcPr>
          <w:p w14:paraId="69A0CBC7" w14:textId="77777777" w:rsidR="005F4A7E" w:rsidRDefault="005F4A7E">
            <w:pPr>
              <w:pStyle w:val="ARfintablebody"/>
            </w:pPr>
            <w:r>
              <w:t>Commissioner for Aboriginal Children and Young People</w:t>
            </w:r>
          </w:p>
        </w:tc>
        <w:tc>
          <w:tcPr>
            <w:tcW w:w="3175" w:type="dxa"/>
            <w:tcBorders>
              <w:top w:val="single" w:sz="4" w:space="0" w:color="A6A6A6"/>
              <w:bottom w:val="single" w:sz="4" w:space="0" w:color="A6A6A6"/>
            </w:tcBorders>
            <w:hideMark/>
          </w:tcPr>
          <w:p w14:paraId="58B676BF" w14:textId="77777777" w:rsidR="005F4A7E" w:rsidRDefault="005F4A7E">
            <w:pPr>
              <w:pStyle w:val="ARfintablebody"/>
              <w:rPr>
                <w:highlight w:val="yellow"/>
                <w:lang w:eastAsia="en-US"/>
              </w:rPr>
            </w:pPr>
            <w:r>
              <w:t>1 July 2020 to 30 June 2021</w:t>
            </w:r>
          </w:p>
        </w:tc>
      </w:tr>
      <w:tr w:rsidR="005F4A7E" w14:paraId="52EF363F" w14:textId="77777777" w:rsidTr="00130D1C">
        <w:trPr>
          <w:gridAfter w:val="1"/>
          <w:wAfter w:w="10" w:type="dxa"/>
          <w:cantSplit w:val="0"/>
        </w:trPr>
        <w:tc>
          <w:tcPr>
            <w:tcW w:w="2155" w:type="dxa"/>
            <w:tcBorders>
              <w:top w:val="single" w:sz="4" w:space="0" w:color="A6A6A6"/>
              <w:bottom w:val="single" w:sz="4" w:space="0" w:color="A6A6A6"/>
            </w:tcBorders>
            <w:hideMark/>
          </w:tcPr>
          <w:p w14:paraId="0726E1A0" w14:textId="77777777" w:rsidR="005F4A7E" w:rsidRDefault="005F4A7E">
            <w:pPr>
              <w:pStyle w:val="ARfintablebody"/>
            </w:pPr>
            <w:r>
              <w:t>Victorian Multicultural Commission</w:t>
            </w:r>
          </w:p>
        </w:tc>
        <w:tc>
          <w:tcPr>
            <w:tcW w:w="2155" w:type="dxa"/>
            <w:tcBorders>
              <w:top w:val="single" w:sz="4" w:space="0" w:color="A6A6A6"/>
              <w:bottom w:val="single" w:sz="4" w:space="0" w:color="A6A6A6"/>
            </w:tcBorders>
            <w:hideMark/>
          </w:tcPr>
          <w:p w14:paraId="79AA72B1" w14:textId="77777777" w:rsidR="005F4A7E" w:rsidRDefault="005F4A7E">
            <w:pPr>
              <w:pStyle w:val="ARfintablebody"/>
            </w:pPr>
            <w:r>
              <w:t>Vivienne Nguyen</w:t>
            </w:r>
          </w:p>
        </w:tc>
        <w:tc>
          <w:tcPr>
            <w:tcW w:w="2155" w:type="dxa"/>
            <w:tcBorders>
              <w:top w:val="single" w:sz="4" w:space="0" w:color="A6A6A6"/>
              <w:bottom w:val="single" w:sz="4" w:space="0" w:color="A6A6A6"/>
            </w:tcBorders>
            <w:hideMark/>
          </w:tcPr>
          <w:p w14:paraId="1AFED9A7" w14:textId="77777777" w:rsidR="005F4A7E" w:rsidRDefault="005F4A7E">
            <w:pPr>
              <w:pStyle w:val="ARfintablebody"/>
            </w:pPr>
            <w:r>
              <w:t>Chairperson</w:t>
            </w:r>
          </w:p>
        </w:tc>
        <w:tc>
          <w:tcPr>
            <w:tcW w:w="3175" w:type="dxa"/>
            <w:tcBorders>
              <w:top w:val="single" w:sz="4" w:space="0" w:color="A6A6A6"/>
              <w:bottom w:val="single" w:sz="4" w:space="0" w:color="A6A6A6"/>
            </w:tcBorders>
            <w:hideMark/>
          </w:tcPr>
          <w:p w14:paraId="3DF09E21" w14:textId="77777777" w:rsidR="005F4A7E" w:rsidRDefault="005F4A7E">
            <w:pPr>
              <w:pStyle w:val="ARfintablebody"/>
            </w:pPr>
            <w:r>
              <w:t>1 February 2021 to 30 June 2021</w:t>
            </w:r>
          </w:p>
        </w:tc>
      </w:tr>
      <w:tr w:rsidR="005F4A7E" w14:paraId="2F0E31C0" w14:textId="77777777" w:rsidTr="00130D1C">
        <w:trPr>
          <w:gridAfter w:val="1"/>
          <w:wAfter w:w="10" w:type="dxa"/>
          <w:cantSplit w:val="0"/>
        </w:trPr>
        <w:tc>
          <w:tcPr>
            <w:tcW w:w="2155" w:type="dxa"/>
            <w:tcBorders>
              <w:top w:val="single" w:sz="4" w:space="0" w:color="A6A6A6"/>
              <w:bottom w:val="single" w:sz="4" w:space="0" w:color="A6A6A6"/>
            </w:tcBorders>
            <w:hideMark/>
          </w:tcPr>
          <w:p w14:paraId="3E00FC0F" w14:textId="77777777" w:rsidR="005F4A7E" w:rsidRDefault="005F4A7E">
            <w:pPr>
              <w:pStyle w:val="ARfintablebody"/>
            </w:pPr>
            <w:r>
              <w:t>Respect Victoria</w:t>
            </w:r>
          </w:p>
        </w:tc>
        <w:tc>
          <w:tcPr>
            <w:tcW w:w="2155" w:type="dxa"/>
            <w:tcBorders>
              <w:top w:val="single" w:sz="4" w:space="0" w:color="A6A6A6"/>
              <w:bottom w:val="single" w:sz="4" w:space="0" w:color="A6A6A6"/>
            </w:tcBorders>
            <w:hideMark/>
          </w:tcPr>
          <w:p w14:paraId="46D297E0" w14:textId="77777777" w:rsidR="005F4A7E" w:rsidRDefault="005F4A7E">
            <w:pPr>
              <w:pStyle w:val="ARfintablebody"/>
            </w:pPr>
            <w:r>
              <w:t>Melanie Eagle</w:t>
            </w:r>
          </w:p>
        </w:tc>
        <w:tc>
          <w:tcPr>
            <w:tcW w:w="2155" w:type="dxa"/>
            <w:tcBorders>
              <w:top w:val="single" w:sz="4" w:space="0" w:color="A6A6A6"/>
              <w:bottom w:val="single" w:sz="4" w:space="0" w:color="A6A6A6"/>
            </w:tcBorders>
            <w:hideMark/>
          </w:tcPr>
          <w:p w14:paraId="181950B5" w14:textId="77777777" w:rsidR="005F4A7E" w:rsidRDefault="005F4A7E">
            <w:pPr>
              <w:pStyle w:val="ARfintablebody"/>
            </w:pPr>
            <w:r>
              <w:t>Board Chair</w:t>
            </w:r>
          </w:p>
        </w:tc>
        <w:tc>
          <w:tcPr>
            <w:tcW w:w="3175" w:type="dxa"/>
            <w:tcBorders>
              <w:top w:val="single" w:sz="4" w:space="0" w:color="A6A6A6"/>
              <w:bottom w:val="single" w:sz="4" w:space="0" w:color="A6A6A6"/>
            </w:tcBorders>
            <w:hideMark/>
          </w:tcPr>
          <w:p w14:paraId="1E39EB8D" w14:textId="77777777" w:rsidR="005F4A7E" w:rsidRDefault="005F4A7E">
            <w:pPr>
              <w:pStyle w:val="ARfintablebody"/>
            </w:pPr>
            <w:r>
              <w:t>1 February 2021 to 30 June 2021</w:t>
            </w:r>
          </w:p>
        </w:tc>
      </w:tr>
      <w:tr w:rsidR="005F4A7E" w14:paraId="17C07A28" w14:textId="77777777" w:rsidTr="00130D1C">
        <w:trPr>
          <w:gridAfter w:val="1"/>
          <w:wAfter w:w="10" w:type="dxa"/>
          <w:cantSplit w:val="0"/>
        </w:trPr>
        <w:tc>
          <w:tcPr>
            <w:tcW w:w="2155" w:type="dxa"/>
            <w:tcBorders>
              <w:top w:val="single" w:sz="4" w:space="0" w:color="A6A6A6"/>
              <w:bottom w:val="single" w:sz="4" w:space="0" w:color="A6A6A6"/>
            </w:tcBorders>
            <w:hideMark/>
          </w:tcPr>
          <w:p w14:paraId="4E976F10" w14:textId="77777777" w:rsidR="005F4A7E" w:rsidRDefault="005F4A7E">
            <w:pPr>
              <w:pStyle w:val="ARfintablebody"/>
            </w:pPr>
            <w:r>
              <w:t>Respect Victoria</w:t>
            </w:r>
          </w:p>
        </w:tc>
        <w:tc>
          <w:tcPr>
            <w:tcW w:w="2155" w:type="dxa"/>
            <w:tcBorders>
              <w:top w:val="single" w:sz="4" w:space="0" w:color="A6A6A6"/>
              <w:bottom w:val="single" w:sz="4" w:space="0" w:color="A6A6A6"/>
            </w:tcBorders>
            <w:hideMark/>
          </w:tcPr>
          <w:p w14:paraId="228C8A43" w14:textId="77777777" w:rsidR="005F4A7E" w:rsidRDefault="005F4A7E">
            <w:pPr>
              <w:pStyle w:val="ARfintablebody"/>
              <w:rPr>
                <w:highlight w:val="yellow"/>
              </w:rPr>
            </w:pPr>
            <w:r>
              <w:t>Tracey Gaudry</w:t>
            </w:r>
          </w:p>
        </w:tc>
        <w:tc>
          <w:tcPr>
            <w:tcW w:w="2155" w:type="dxa"/>
            <w:tcBorders>
              <w:top w:val="single" w:sz="4" w:space="0" w:color="A6A6A6"/>
              <w:bottom w:val="single" w:sz="4" w:space="0" w:color="A6A6A6"/>
            </w:tcBorders>
            <w:hideMark/>
          </w:tcPr>
          <w:p w14:paraId="04A0F0D4" w14:textId="77777777" w:rsidR="005F4A7E" w:rsidRDefault="005F4A7E">
            <w:pPr>
              <w:pStyle w:val="ARfintablebody"/>
              <w:rPr>
                <w:highlight w:val="yellow"/>
              </w:rPr>
            </w:pPr>
            <w:r>
              <w:t>Chief Executive Officer</w:t>
            </w:r>
          </w:p>
        </w:tc>
        <w:tc>
          <w:tcPr>
            <w:tcW w:w="3175" w:type="dxa"/>
            <w:tcBorders>
              <w:top w:val="single" w:sz="4" w:space="0" w:color="A6A6A6"/>
              <w:bottom w:val="single" w:sz="4" w:space="0" w:color="A6A6A6"/>
            </w:tcBorders>
            <w:hideMark/>
          </w:tcPr>
          <w:p w14:paraId="2D43A93E" w14:textId="77777777" w:rsidR="005F4A7E" w:rsidRDefault="005F4A7E">
            <w:pPr>
              <w:pStyle w:val="ARfintablebody"/>
            </w:pPr>
            <w:r>
              <w:t>1 February 2021 to 7 May 2021</w:t>
            </w:r>
          </w:p>
        </w:tc>
      </w:tr>
      <w:tr w:rsidR="005F4A7E" w14:paraId="509D3DF7" w14:textId="77777777" w:rsidTr="00130D1C">
        <w:trPr>
          <w:gridAfter w:val="1"/>
          <w:wAfter w:w="10" w:type="dxa"/>
          <w:cantSplit w:val="0"/>
        </w:trPr>
        <w:tc>
          <w:tcPr>
            <w:tcW w:w="2155" w:type="dxa"/>
            <w:tcBorders>
              <w:top w:val="single" w:sz="4" w:space="0" w:color="A6A6A6"/>
              <w:bottom w:val="single" w:sz="4" w:space="0" w:color="A6A6A6"/>
            </w:tcBorders>
            <w:hideMark/>
          </w:tcPr>
          <w:p w14:paraId="4E1B00B6" w14:textId="77777777" w:rsidR="005F4A7E" w:rsidRDefault="005F4A7E">
            <w:pPr>
              <w:pStyle w:val="ARfintablebody"/>
            </w:pPr>
            <w:r>
              <w:t>Respect Victoria</w:t>
            </w:r>
          </w:p>
        </w:tc>
        <w:tc>
          <w:tcPr>
            <w:tcW w:w="2155" w:type="dxa"/>
            <w:tcBorders>
              <w:top w:val="single" w:sz="4" w:space="0" w:color="A6A6A6"/>
              <w:bottom w:val="single" w:sz="4" w:space="0" w:color="A6A6A6"/>
            </w:tcBorders>
            <w:hideMark/>
          </w:tcPr>
          <w:p w14:paraId="7CF71816" w14:textId="77777777" w:rsidR="005F4A7E" w:rsidRDefault="005F4A7E">
            <w:pPr>
              <w:pStyle w:val="ARfintablebody"/>
              <w:rPr>
                <w:highlight w:val="yellow"/>
              </w:rPr>
            </w:pPr>
            <w:r>
              <w:t>Amy Prendergast</w:t>
            </w:r>
          </w:p>
        </w:tc>
        <w:tc>
          <w:tcPr>
            <w:tcW w:w="2155" w:type="dxa"/>
            <w:tcBorders>
              <w:top w:val="single" w:sz="4" w:space="0" w:color="A6A6A6"/>
              <w:bottom w:val="single" w:sz="4" w:space="0" w:color="A6A6A6"/>
            </w:tcBorders>
            <w:hideMark/>
          </w:tcPr>
          <w:p w14:paraId="2E63F942" w14:textId="77777777" w:rsidR="005F4A7E" w:rsidRDefault="005F4A7E">
            <w:pPr>
              <w:pStyle w:val="ARfintablebody"/>
              <w:rPr>
                <w:highlight w:val="yellow"/>
              </w:rPr>
            </w:pPr>
            <w:r>
              <w:t>Acting Chief Executive Officer</w:t>
            </w:r>
          </w:p>
        </w:tc>
        <w:tc>
          <w:tcPr>
            <w:tcW w:w="3175" w:type="dxa"/>
            <w:tcBorders>
              <w:top w:val="single" w:sz="4" w:space="0" w:color="A6A6A6"/>
              <w:bottom w:val="single" w:sz="4" w:space="0" w:color="A6A6A6"/>
            </w:tcBorders>
            <w:hideMark/>
          </w:tcPr>
          <w:p w14:paraId="4C5E16CB" w14:textId="77777777" w:rsidR="005F4A7E" w:rsidRDefault="005F4A7E">
            <w:pPr>
              <w:pStyle w:val="ARfintablebody"/>
            </w:pPr>
            <w:r>
              <w:t>8 May 2021 to 30 June 2021</w:t>
            </w:r>
          </w:p>
        </w:tc>
      </w:tr>
      <w:tr w:rsidR="005F4A7E" w14:paraId="4C9414E3" w14:textId="77777777" w:rsidTr="00130D1C">
        <w:trPr>
          <w:gridAfter w:val="1"/>
          <w:wAfter w:w="10" w:type="dxa"/>
          <w:cantSplit w:val="0"/>
        </w:trPr>
        <w:tc>
          <w:tcPr>
            <w:tcW w:w="2155" w:type="dxa"/>
            <w:tcBorders>
              <w:top w:val="single" w:sz="4" w:space="0" w:color="A6A6A6"/>
              <w:bottom w:val="single" w:sz="4" w:space="0" w:color="A6A6A6"/>
            </w:tcBorders>
            <w:hideMark/>
          </w:tcPr>
          <w:p w14:paraId="3B5F0CDD" w14:textId="77777777" w:rsidR="005F4A7E" w:rsidRDefault="005F4A7E">
            <w:pPr>
              <w:pStyle w:val="ARfintablebody"/>
            </w:pPr>
            <w:r>
              <w:t>Respect Victoria</w:t>
            </w:r>
          </w:p>
        </w:tc>
        <w:tc>
          <w:tcPr>
            <w:tcW w:w="2155" w:type="dxa"/>
            <w:tcBorders>
              <w:top w:val="single" w:sz="4" w:space="0" w:color="A6A6A6"/>
              <w:bottom w:val="single" w:sz="4" w:space="0" w:color="A6A6A6"/>
            </w:tcBorders>
            <w:hideMark/>
          </w:tcPr>
          <w:p w14:paraId="487D55D9" w14:textId="77777777" w:rsidR="005F4A7E" w:rsidRDefault="005F4A7E">
            <w:pPr>
              <w:pStyle w:val="ARfintablebody"/>
              <w:rPr>
                <w:highlight w:val="yellow"/>
              </w:rPr>
            </w:pPr>
            <w:r>
              <w:t>Andi Diamond</w:t>
            </w:r>
          </w:p>
        </w:tc>
        <w:tc>
          <w:tcPr>
            <w:tcW w:w="2155" w:type="dxa"/>
            <w:tcBorders>
              <w:top w:val="single" w:sz="4" w:space="0" w:color="A6A6A6"/>
              <w:bottom w:val="single" w:sz="4" w:space="0" w:color="A6A6A6"/>
            </w:tcBorders>
            <w:hideMark/>
          </w:tcPr>
          <w:p w14:paraId="0B533E53" w14:textId="77777777" w:rsidR="005F4A7E" w:rsidRDefault="005F4A7E">
            <w:pPr>
              <w:pStyle w:val="ARfintablebody"/>
              <w:rPr>
                <w:highlight w:val="yellow"/>
              </w:rPr>
            </w:pPr>
            <w:r>
              <w:t>Board Director</w:t>
            </w:r>
          </w:p>
        </w:tc>
        <w:tc>
          <w:tcPr>
            <w:tcW w:w="3175" w:type="dxa"/>
            <w:tcBorders>
              <w:top w:val="single" w:sz="4" w:space="0" w:color="A6A6A6"/>
              <w:bottom w:val="single" w:sz="4" w:space="0" w:color="A6A6A6"/>
            </w:tcBorders>
            <w:hideMark/>
          </w:tcPr>
          <w:p w14:paraId="138ABD7D" w14:textId="77777777" w:rsidR="005F4A7E" w:rsidRDefault="005F4A7E">
            <w:pPr>
              <w:pStyle w:val="ARfintablebody"/>
            </w:pPr>
            <w:r>
              <w:t>1 February 2021 to 30 June 2021</w:t>
            </w:r>
          </w:p>
        </w:tc>
      </w:tr>
      <w:tr w:rsidR="005F4A7E" w14:paraId="135051E7" w14:textId="77777777" w:rsidTr="00130D1C">
        <w:trPr>
          <w:gridAfter w:val="1"/>
          <w:wAfter w:w="10" w:type="dxa"/>
          <w:cantSplit w:val="0"/>
        </w:trPr>
        <w:tc>
          <w:tcPr>
            <w:tcW w:w="2155" w:type="dxa"/>
            <w:tcBorders>
              <w:top w:val="single" w:sz="4" w:space="0" w:color="A6A6A6"/>
              <w:bottom w:val="single" w:sz="4" w:space="0" w:color="A6A6A6"/>
            </w:tcBorders>
            <w:hideMark/>
          </w:tcPr>
          <w:p w14:paraId="67F2364F" w14:textId="77777777" w:rsidR="005F4A7E" w:rsidRDefault="005F4A7E">
            <w:pPr>
              <w:pStyle w:val="ARfintablebody"/>
            </w:pPr>
            <w:r>
              <w:t>Respect Victoria</w:t>
            </w:r>
          </w:p>
        </w:tc>
        <w:tc>
          <w:tcPr>
            <w:tcW w:w="2155" w:type="dxa"/>
            <w:tcBorders>
              <w:top w:val="single" w:sz="4" w:space="0" w:color="A6A6A6"/>
              <w:bottom w:val="single" w:sz="4" w:space="0" w:color="A6A6A6"/>
            </w:tcBorders>
            <w:hideMark/>
          </w:tcPr>
          <w:p w14:paraId="521A597A" w14:textId="77777777" w:rsidR="005F4A7E" w:rsidRDefault="005F4A7E">
            <w:pPr>
              <w:pStyle w:val="ARfintablebody"/>
              <w:rPr>
                <w:highlight w:val="yellow"/>
              </w:rPr>
            </w:pPr>
            <w:r>
              <w:t>Kate Fitz-Gibbon</w:t>
            </w:r>
          </w:p>
        </w:tc>
        <w:tc>
          <w:tcPr>
            <w:tcW w:w="2155" w:type="dxa"/>
            <w:tcBorders>
              <w:top w:val="single" w:sz="4" w:space="0" w:color="A6A6A6"/>
              <w:bottom w:val="single" w:sz="4" w:space="0" w:color="A6A6A6"/>
            </w:tcBorders>
            <w:hideMark/>
          </w:tcPr>
          <w:p w14:paraId="57E782EC" w14:textId="77777777" w:rsidR="005F4A7E" w:rsidRDefault="005F4A7E">
            <w:pPr>
              <w:pStyle w:val="ARfintablebody"/>
              <w:rPr>
                <w:highlight w:val="yellow"/>
              </w:rPr>
            </w:pPr>
            <w:r>
              <w:t>Board Director</w:t>
            </w:r>
          </w:p>
        </w:tc>
        <w:tc>
          <w:tcPr>
            <w:tcW w:w="3175" w:type="dxa"/>
            <w:tcBorders>
              <w:top w:val="single" w:sz="4" w:space="0" w:color="A6A6A6"/>
              <w:bottom w:val="single" w:sz="4" w:space="0" w:color="A6A6A6"/>
            </w:tcBorders>
            <w:hideMark/>
          </w:tcPr>
          <w:p w14:paraId="67967D43" w14:textId="77777777" w:rsidR="005F4A7E" w:rsidRDefault="005F4A7E">
            <w:pPr>
              <w:pStyle w:val="ARfintablebody"/>
            </w:pPr>
            <w:r>
              <w:t>1 February 2021 to 30 June 2021</w:t>
            </w:r>
          </w:p>
        </w:tc>
      </w:tr>
      <w:tr w:rsidR="005F4A7E" w14:paraId="2BCFA7B3" w14:textId="77777777" w:rsidTr="00130D1C">
        <w:trPr>
          <w:gridAfter w:val="1"/>
          <w:wAfter w:w="10" w:type="dxa"/>
          <w:cantSplit w:val="0"/>
        </w:trPr>
        <w:tc>
          <w:tcPr>
            <w:tcW w:w="2155" w:type="dxa"/>
            <w:tcBorders>
              <w:top w:val="single" w:sz="4" w:space="0" w:color="A6A6A6"/>
              <w:bottom w:val="single" w:sz="4" w:space="0" w:color="A6A6A6"/>
            </w:tcBorders>
            <w:hideMark/>
          </w:tcPr>
          <w:p w14:paraId="0B62C73D" w14:textId="77777777" w:rsidR="005F4A7E" w:rsidRDefault="005F4A7E">
            <w:pPr>
              <w:pStyle w:val="ARfintablebody"/>
            </w:pPr>
            <w:r>
              <w:t>Respect Victoria</w:t>
            </w:r>
          </w:p>
        </w:tc>
        <w:tc>
          <w:tcPr>
            <w:tcW w:w="2155" w:type="dxa"/>
            <w:tcBorders>
              <w:top w:val="single" w:sz="4" w:space="0" w:color="A6A6A6"/>
              <w:bottom w:val="single" w:sz="4" w:space="0" w:color="A6A6A6"/>
            </w:tcBorders>
            <w:hideMark/>
          </w:tcPr>
          <w:p w14:paraId="67822B1A" w14:textId="77777777" w:rsidR="005F4A7E" w:rsidRDefault="005F4A7E">
            <w:pPr>
              <w:pStyle w:val="ARfintablebody"/>
              <w:rPr>
                <w:highlight w:val="yellow"/>
              </w:rPr>
            </w:pPr>
            <w:r>
              <w:t>Rod Jackson</w:t>
            </w:r>
          </w:p>
        </w:tc>
        <w:tc>
          <w:tcPr>
            <w:tcW w:w="2155" w:type="dxa"/>
            <w:tcBorders>
              <w:top w:val="single" w:sz="4" w:space="0" w:color="A6A6A6"/>
              <w:bottom w:val="single" w:sz="4" w:space="0" w:color="A6A6A6"/>
            </w:tcBorders>
            <w:hideMark/>
          </w:tcPr>
          <w:p w14:paraId="07BC6A47" w14:textId="77777777" w:rsidR="005F4A7E" w:rsidRDefault="005F4A7E">
            <w:pPr>
              <w:pStyle w:val="ARfintablebody"/>
              <w:rPr>
                <w:highlight w:val="yellow"/>
              </w:rPr>
            </w:pPr>
            <w:r>
              <w:t>Board Director</w:t>
            </w:r>
          </w:p>
        </w:tc>
        <w:tc>
          <w:tcPr>
            <w:tcW w:w="3175" w:type="dxa"/>
            <w:tcBorders>
              <w:top w:val="single" w:sz="4" w:space="0" w:color="A6A6A6"/>
              <w:bottom w:val="single" w:sz="4" w:space="0" w:color="A6A6A6"/>
            </w:tcBorders>
            <w:hideMark/>
          </w:tcPr>
          <w:p w14:paraId="6245D37F" w14:textId="77777777" w:rsidR="005F4A7E" w:rsidRDefault="005F4A7E">
            <w:pPr>
              <w:pStyle w:val="ARfintablebody"/>
            </w:pPr>
            <w:r>
              <w:t>1 February 2021 to 30 June 2021</w:t>
            </w:r>
          </w:p>
        </w:tc>
      </w:tr>
      <w:tr w:rsidR="005F4A7E" w14:paraId="5CC88417" w14:textId="77777777" w:rsidTr="00130D1C">
        <w:trPr>
          <w:gridAfter w:val="1"/>
          <w:wAfter w:w="10" w:type="dxa"/>
          <w:cantSplit w:val="0"/>
        </w:trPr>
        <w:tc>
          <w:tcPr>
            <w:tcW w:w="2155" w:type="dxa"/>
            <w:tcBorders>
              <w:top w:val="single" w:sz="4" w:space="0" w:color="A6A6A6"/>
              <w:bottom w:val="single" w:sz="4" w:space="0" w:color="A6A6A6"/>
            </w:tcBorders>
            <w:hideMark/>
          </w:tcPr>
          <w:p w14:paraId="58613B78" w14:textId="77777777" w:rsidR="005F4A7E" w:rsidRDefault="005F4A7E">
            <w:pPr>
              <w:pStyle w:val="ARfintablebody"/>
            </w:pPr>
            <w:r>
              <w:t>Respect Victoria</w:t>
            </w:r>
          </w:p>
        </w:tc>
        <w:tc>
          <w:tcPr>
            <w:tcW w:w="2155" w:type="dxa"/>
            <w:tcBorders>
              <w:top w:val="single" w:sz="4" w:space="0" w:color="A6A6A6"/>
              <w:bottom w:val="single" w:sz="4" w:space="0" w:color="A6A6A6"/>
            </w:tcBorders>
            <w:hideMark/>
          </w:tcPr>
          <w:p w14:paraId="25334256" w14:textId="77777777" w:rsidR="005F4A7E" w:rsidRDefault="005F4A7E">
            <w:pPr>
              <w:pStyle w:val="ARfintablebody"/>
              <w:rPr>
                <w:highlight w:val="yellow"/>
              </w:rPr>
            </w:pPr>
            <w:r>
              <w:t>Julia Mason</w:t>
            </w:r>
          </w:p>
        </w:tc>
        <w:tc>
          <w:tcPr>
            <w:tcW w:w="2155" w:type="dxa"/>
            <w:tcBorders>
              <w:top w:val="single" w:sz="4" w:space="0" w:color="A6A6A6"/>
              <w:bottom w:val="single" w:sz="4" w:space="0" w:color="A6A6A6"/>
            </w:tcBorders>
            <w:hideMark/>
          </w:tcPr>
          <w:p w14:paraId="3A84AB9E" w14:textId="77777777" w:rsidR="005F4A7E" w:rsidRDefault="005F4A7E">
            <w:pPr>
              <w:pStyle w:val="ARfintablebody"/>
              <w:rPr>
                <w:highlight w:val="yellow"/>
              </w:rPr>
            </w:pPr>
            <w:r>
              <w:t>Board Director</w:t>
            </w:r>
          </w:p>
        </w:tc>
        <w:tc>
          <w:tcPr>
            <w:tcW w:w="3175" w:type="dxa"/>
            <w:tcBorders>
              <w:top w:val="single" w:sz="4" w:space="0" w:color="A6A6A6"/>
              <w:bottom w:val="single" w:sz="4" w:space="0" w:color="A6A6A6"/>
            </w:tcBorders>
            <w:hideMark/>
          </w:tcPr>
          <w:p w14:paraId="0EB8A617" w14:textId="77777777" w:rsidR="005F4A7E" w:rsidRDefault="005F4A7E">
            <w:pPr>
              <w:pStyle w:val="ARfintablebody"/>
            </w:pPr>
            <w:r>
              <w:t>1 February 2021 to 30 June 2021</w:t>
            </w:r>
          </w:p>
        </w:tc>
      </w:tr>
      <w:tr w:rsidR="005F4A7E" w14:paraId="267453E6" w14:textId="77777777" w:rsidTr="00130D1C">
        <w:trPr>
          <w:gridAfter w:val="1"/>
          <w:wAfter w:w="10" w:type="dxa"/>
          <w:cantSplit w:val="0"/>
        </w:trPr>
        <w:tc>
          <w:tcPr>
            <w:tcW w:w="2155" w:type="dxa"/>
            <w:tcBorders>
              <w:top w:val="single" w:sz="4" w:space="0" w:color="A6A6A6"/>
              <w:bottom w:val="single" w:sz="4" w:space="0" w:color="A6A6A6"/>
            </w:tcBorders>
            <w:hideMark/>
          </w:tcPr>
          <w:p w14:paraId="138047FD" w14:textId="77777777" w:rsidR="005F4A7E" w:rsidRDefault="005F4A7E">
            <w:pPr>
              <w:pStyle w:val="ARfintablebody"/>
            </w:pPr>
            <w:r>
              <w:t>Respect Victoria</w:t>
            </w:r>
          </w:p>
        </w:tc>
        <w:tc>
          <w:tcPr>
            <w:tcW w:w="2155" w:type="dxa"/>
            <w:tcBorders>
              <w:top w:val="single" w:sz="4" w:space="0" w:color="A6A6A6"/>
              <w:bottom w:val="single" w:sz="4" w:space="0" w:color="A6A6A6"/>
            </w:tcBorders>
            <w:hideMark/>
          </w:tcPr>
          <w:p w14:paraId="3B568263" w14:textId="77777777" w:rsidR="005F4A7E" w:rsidRDefault="005F4A7E">
            <w:pPr>
              <w:pStyle w:val="ARfintablebody"/>
              <w:rPr>
                <w:highlight w:val="yellow"/>
              </w:rPr>
            </w:pPr>
            <w:r>
              <w:t>Wei Leng Kwok</w:t>
            </w:r>
          </w:p>
        </w:tc>
        <w:tc>
          <w:tcPr>
            <w:tcW w:w="2155" w:type="dxa"/>
            <w:tcBorders>
              <w:top w:val="single" w:sz="4" w:space="0" w:color="A6A6A6"/>
              <w:bottom w:val="single" w:sz="4" w:space="0" w:color="A6A6A6"/>
            </w:tcBorders>
            <w:hideMark/>
          </w:tcPr>
          <w:p w14:paraId="00D4E2C4" w14:textId="77777777" w:rsidR="005F4A7E" w:rsidRDefault="005F4A7E">
            <w:pPr>
              <w:pStyle w:val="ARfintablebody"/>
              <w:rPr>
                <w:highlight w:val="yellow"/>
              </w:rPr>
            </w:pPr>
            <w:r>
              <w:t>Board Director</w:t>
            </w:r>
          </w:p>
        </w:tc>
        <w:tc>
          <w:tcPr>
            <w:tcW w:w="3175" w:type="dxa"/>
            <w:tcBorders>
              <w:top w:val="single" w:sz="4" w:space="0" w:color="A6A6A6"/>
              <w:bottom w:val="single" w:sz="4" w:space="0" w:color="A6A6A6"/>
            </w:tcBorders>
            <w:hideMark/>
          </w:tcPr>
          <w:p w14:paraId="020C21AB" w14:textId="77777777" w:rsidR="005F4A7E" w:rsidRDefault="005F4A7E">
            <w:pPr>
              <w:pStyle w:val="ARfintablebody"/>
            </w:pPr>
            <w:r>
              <w:t>1 February 2021 to 30 June 2021</w:t>
            </w:r>
          </w:p>
        </w:tc>
      </w:tr>
      <w:tr w:rsidR="005F4A7E" w14:paraId="429BEE38" w14:textId="77777777" w:rsidTr="00130D1C">
        <w:trPr>
          <w:gridAfter w:val="1"/>
          <w:wAfter w:w="10" w:type="dxa"/>
          <w:cantSplit w:val="0"/>
        </w:trPr>
        <w:tc>
          <w:tcPr>
            <w:tcW w:w="2155" w:type="dxa"/>
            <w:tcBorders>
              <w:top w:val="single" w:sz="4" w:space="0" w:color="A6A6A6"/>
              <w:bottom w:val="single" w:sz="4" w:space="0" w:color="A6A6A6"/>
            </w:tcBorders>
            <w:hideMark/>
          </w:tcPr>
          <w:p w14:paraId="57C35510" w14:textId="77777777" w:rsidR="005F4A7E" w:rsidRDefault="005F4A7E">
            <w:pPr>
              <w:pStyle w:val="ARfintablebody"/>
            </w:pPr>
            <w:r>
              <w:t>Respect Victoria</w:t>
            </w:r>
          </w:p>
        </w:tc>
        <w:tc>
          <w:tcPr>
            <w:tcW w:w="2155" w:type="dxa"/>
            <w:tcBorders>
              <w:top w:val="single" w:sz="4" w:space="0" w:color="A6A6A6"/>
              <w:bottom w:val="single" w:sz="4" w:space="0" w:color="A6A6A6"/>
            </w:tcBorders>
            <w:hideMark/>
          </w:tcPr>
          <w:p w14:paraId="7BA32256" w14:textId="77777777" w:rsidR="005F4A7E" w:rsidRDefault="005F4A7E">
            <w:pPr>
              <w:pStyle w:val="ARfintablebody"/>
              <w:rPr>
                <w:highlight w:val="yellow"/>
              </w:rPr>
            </w:pPr>
            <w:r>
              <w:t>Liana Papoutsis</w:t>
            </w:r>
          </w:p>
        </w:tc>
        <w:tc>
          <w:tcPr>
            <w:tcW w:w="2155" w:type="dxa"/>
            <w:tcBorders>
              <w:top w:val="single" w:sz="4" w:space="0" w:color="A6A6A6"/>
              <w:bottom w:val="single" w:sz="4" w:space="0" w:color="A6A6A6"/>
            </w:tcBorders>
            <w:hideMark/>
          </w:tcPr>
          <w:p w14:paraId="3C692565" w14:textId="77777777" w:rsidR="005F4A7E" w:rsidRDefault="005F4A7E">
            <w:pPr>
              <w:pStyle w:val="ARfintablebody"/>
              <w:rPr>
                <w:highlight w:val="yellow"/>
              </w:rPr>
            </w:pPr>
            <w:r>
              <w:t>Board Director</w:t>
            </w:r>
          </w:p>
        </w:tc>
        <w:tc>
          <w:tcPr>
            <w:tcW w:w="3175" w:type="dxa"/>
            <w:tcBorders>
              <w:top w:val="single" w:sz="4" w:space="0" w:color="A6A6A6"/>
              <w:bottom w:val="single" w:sz="4" w:space="0" w:color="A6A6A6"/>
            </w:tcBorders>
            <w:hideMark/>
          </w:tcPr>
          <w:p w14:paraId="28CC59C0" w14:textId="77777777" w:rsidR="005F4A7E" w:rsidRDefault="005F4A7E">
            <w:pPr>
              <w:pStyle w:val="ARfintablebody"/>
            </w:pPr>
            <w:r>
              <w:t>1 February 2021 to 30 June 2021</w:t>
            </w:r>
          </w:p>
        </w:tc>
      </w:tr>
      <w:tr w:rsidR="005F4A7E" w14:paraId="1B0A11C1" w14:textId="77777777" w:rsidTr="00130D1C">
        <w:trPr>
          <w:gridAfter w:val="1"/>
          <w:wAfter w:w="10" w:type="dxa"/>
          <w:cantSplit w:val="0"/>
        </w:trPr>
        <w:tc>
          <w:tcPr>
            <w:tcW w:w="2155" w:type="dxa"/>
            <w:tcBorders>
              <w:top w:val="single" w:sz="4" w:space="0" w:color="A6A6A6"/>
              <w:bottom w:val="single" w:sz="4" w:space="0" w:color="A6A6A6"/>
            </w:tcBorders>
            <w:hideMark/>
          </w:tcPr>
          <w:p w14:paraId="730EC184" w14:textId="77777777" w:rsidR="005F4A7E" w:rsidRDefault="005F4A7E">
            <w:pPr>
              <w:pStyle w:val="ARfintablebody"/>
            </w:pPr>
            <w:r>
              <w:t>Respect Victoria</w:t>
            </w:r>
          </w:p>
        </w:tc>
        <w:tc>
          <w:tcPr>
            <w:tcW w:w="2155" w:type="dxa"/>
            <w:tcBorders>
              <w:top w:val="single" w:sz="4" w:space="0" w:color="A6A6A6"/>
              <w:bottom w:val="single" w:sz="4" w:space="0" w:color="A6A6A6"/>
            </w:tcBorders>
            <w:hideMark/>
          </w:tcPr>
          <w:p w14:paraId="1822E9BB" w14:textId="77777777" w:rsidR="005F4A7E" w:rsidRDefault="005F4A7E">
            <w:pPr>
              <w:pStyle w:val="ARfintablebody"/>
              <w:rPr>
                <w:highlight w:val="yellow"/>
              </w:rPr>
            </w:pPr>
            <w:r>
              <w:t>Steve Walsh</w:t>
            </w:r>
          </w:p>
        </w:tc>
        <w:tc>
          <w:tcPr>
            <w:tcW w:w="2155" w:type="dxa"/>
            <w:tcBorders>
              <w:top w:val="single" w:sz="4" w:space="0" w:color="A6A6A6"/>
              <w:bottom w:val="single" w:sz="4" w:space="0" w:color="A6A6A6"/>
            </w:tcBorders>
            <w:hideMark/>
          </w:tcPr>
          <w:p w14:paraId="0E6D5951" w14:textId="77777777" w:rsidR="005F4A7E" w:rsidRDefault="005F4A7E">
            <w:pPr>
              <w:pStyle w:val="ARfintablebody"/>
              <w:rPr>
                <w:highlight w:val="yellow"/>
              </w:rPr>
            </w:pPr>
            <w:r>
              <w:t>Board Director</w:t>
            </w:r>
          </w:p>
        </w:tc>
        <w:tc>
          <w:tcPr>
            <w:tcW w:w="3175" w:type="dxa"/>
            <w:tcBorders>
              <w:top w:val="single" w:sz="4" w:space="0" w:color="A6A6A6"/>
              <w:bottom w:val="single" w:sz="4" w:space="0" w:color="A6A6A6"/>
            </w:tcBorders>
            <w:hideMark/>
          </w:tcPr>
          <w:p w14:paraId="14083C9D" w14:textId="77777777" w:rsidR="005F4A7E" w:rsidRDefault="005F4A7E">
            <w:pPr>
              <w:pStyle w:val="ARfintablebody"/>
            </w:pPr>
            <w:r>
              <w:t>1 February 2021 to 30 June 2021</w:t>
            </w:r>
          </w:p>
        </w:tc>
      </w:tr>
      <w:tr w:rsidR="005F4A7E" w14:paraId="4CAAAE02" w14:textId="77777777" w:rsidTr="00130D1C">
        <w:trPr>
          <w:gridAfter w:val="1"/>
          <w:wAfter w:w="10" w:type="dxa"/>
          <w:cantSplit w:val="0"/>
        </w:trPr>
        <w:tc>
          <w:tcPr>
            <w:tcW w:w="2155" w:type="dxa"/>
            <w:tcBorders>
              <w:top w:val="single" w:sz="4" w:space="0" w:color="A6A6A6"/>
              <w:bottom w:val="single" w:sz="4" w:space="0" w:color="A6A6A6"/>
            </w:tcBorders>
            <w:hideMark/>
          </w:tcPr>
          <w:p w14:paraId="6C57CDDC" w14:textId="77777777" w:rsidR="005F4A7E" w:rsidRDefault="005F4A7E">
            <w:pPr>
              <w:pStyle w:val="ARfintablebody"/>
            </w:pPr>
            <w:r>
              <w:t>Victorian Veterans Council</w:t>
            </w:r>
          </w:p>
        </w:tc>
        <w:tc>
          <w:tcPr>
            <w:tcW w:w="2155" w:type="dxa"/>
            <w:tcBorders>
              <w:top w:val="single" w:sz="4" w:space="0" w:color="A6A6A6"/>
              <w:bottom w:val="single" w:sz="4" w:space="0" w:color="A6A6A6"/>
            </w:tcBorders>
            <w:hideMark/>
          </w:tcPr>
          <w:p w14:paraId="7F816C53" w14:textId="77777777" w:rsidR="005F4A7E" w:rsidRDefault="005F4A7E">
            <w:pPr>
              <w:pStyle w:val="ARfintablebody"/>
            </w:pPr>
            <w:r>
              <w:t>Roger Clifton</w:t>
            </w:r>
          </w:p>
        </w:tc>
        <w:tc>
          <w:tcPr>
            <w:tcW w:w="2155" w:type="dxa"/>
            <w:tcBorders>
              <w:top w:val="single" w:sz="4" w:space="0" w:color="A6A6A6"/>
              <w:bottom w:val="single" w:sz="4" w:space="0" w:color="A6A6A6"/>
            </w:tcBorders>
            <w:hideMark/>
          </w:tcPr>
          <w:p w14:paraId="2325B2A7" w14:textId="77777777" w:rsidR="005F4A7E" w:rsidRDefault="005F4A7E">
            <w:pPr>
              <w:pStyle w:val="ARfintablebody"/>
            </w:pPr>
            <w:r>
              <w:t>Chair</w:t>
            </w:r>
          </w:p>
        </w:tc>
        <w:tc>
          <w:tcPr>
            <w:tcW w:w="3175" w:type="dxa"/>
            <w:tcBorders>
              <w:top w:val="single" w:sz="4" w:space="0" w:color="A6A6A6"/>
              <w:bottom w:val="single" w:sz="4" w:space="0" w:color="A6A6A6"/>
            </w:tcBorders>
            <w:hideMark/>
          </w:tcPr>
          <w:p w14:paraId="784365F0" w14:textId="77777777" w:rsidR="005F4A7E" w:rsidRDefault="005F4A7E">
            <w:pPr>
              <w:pStyle w:val="ARfintablebody"/>
            </w:pPr>
            <w:r>
              <w:t>1 February 2021 to 30 June 2021</w:t>
            </w:r>
          </w:p>
        </w:tc>
      </w:tr>
      <w:tr w:rsidR="005F4A7E" w14:paraId="46357240" w14:textId="77777777" w:rsidTr="00130D1C">
        <w:trPr>
          <w:gridAfter w:val="1"/>
          <w:wAfter w:w="10" w:type="dxa"/>
          <w:cantSplit w:val="0"/>
        </w:trPr>
        <w:tc>
          <w:tcPr>
            <w:tcW w:w="2155" w:type="dxa"/>
            <w:tcBorders>
              <w:top w:val="single" w:sz="4" w:space="0" w:color="A6A6A6"/>
              <w:bottom w:val="single" w:sz="4" w:space="0" w:color="A6A6A6"/>
            </w:tcBorders>
            <w:hideMark/>
          </w:tcPr>
          <w:p w14:paraId="4AE26C73" w14:textId="77777777" w:rsidR="005F4A7E" w:rsidRDefault="005F4A7E">
            <w:pPr>
              <w:pStyle w:val="ARfintablebody"/>
            </w:pPr>
            <w:r>
              <w:t>Disability Worker Registration Board</w:t>
            </w:r>
          </w:p>
        </w:tc>
        <w:tc>
          <w:tcPr>
            <w:tcW w:w="2155" w:type="dxa"/>
            <w:tcBorders>
              <w:top w:val="single" w:sz="4" w:space="0" w:color="A6A6A6"/>
              <w:bottom w:val="single" w:sz="4" w:space="0" w:color="A6A6A6"/>
            </w:tcBorders>
            <w:hideMark/>
          </w:tcPr>
          <w:p w14:paraId="6B675CEE" w14:textId="77777777" w:rsidR="005F4A7E" w:rsidRDefault="005F4A7E">
            <w:pPr>
              <w:pStyle w:val="ARfintablebody"/>
            </w:pPr>
            <w:r>
              <w:t>Melanie Eagle</w:t>
            </w:r>
          </w:p>
        </w:tc>
        <w:tc>
          <w:tcPr>
            <w:tcW w:w="2155" w:type="dxa"/>
            <w:tcBorders>
              <w:top w:val="single" w:sz="4" w:space="0" w:color="A6A6A6"/>
              <w:bottom w:val="single" w:sz="4" w:space="0" w:color="A6A6A6"/>
            </w:tcBorders>
            <w:hideMark/>
          </w:tcPr>
          <w:p w14:paraId="7764F88A" w14:textId="77777777" w:rsidR="005F4A7E" w:rsidRDefault="005F4A7E">
            <w:pPr>
              <w:pStyle w:val="ARfintablebody"/>
            </w:pPr>
            <w:r>
              <w:t>Chairperson</w:t>
            </w:r>
          </w:p>
        </w:tc>
        <w:tc>
          <w:tcPr>
            <w:tcW w:w="3175" w:type="dxa"/>
            <w:tcBorders>
              <w:top w:val="single" w:sz="4" w:space="0" w:color="A6A6A6"/>
              <w:bottom w:val="single" w:sz="4" w:space="0" w:color="A6A6A6"/>
            </w:tcBorders>
            <w:hideMark/>
          </w:tcPr>
          <w:p w14:paraId="779FBD7E" w14:textId="77777777" w:rsidR="005F4A7E" w:rsidRDefault="005F4A7E">
            <w:pPr>
              <w:pStyle w:val="ARfintablebody"/>
            </w:pPr>
            <w:r>
              <w:t>1 July 2020 to 30 June 2021</w:t>
            </w:r>
          </w:p>
        </w:tc>
      </w:tr>
      <w:tr w:rsidR="005F4A7E" w14:paraId="51B7CED8" w14:textId="77777777" w:rsidTr="00130D1C">
        <w:trPr>
          <w:gridAfter w:val="1"/>
          <w:wAfter w:w="10" w:type="dxa"/>
          <w:cantSplit w:val="0"/>
        </w:trPr>
        <w:tc>
          <w:tcPr>
            <w:tcW w:w="2155" w:type="dxa"/>
            <w:tcBorders>
              <w:top w:val="single" w:sz="4" w:space="0" w:color="A6A6A6"/>
              <w:bottom w:val="single" w:sz="4" w:space="0" w:color="A6A6A6"/>
            </w:tcBorders>
            <w:hideMark/>
          </w:tcPr>
          <w:p w14:paraId="0B6CD540" w14:textId="77777777" w:rsidR="005F4A7E" w:rsidRDefault="005F4A7E">
            <w:pPr>
              <w:pStyle w:val="ARfintablebody"/>
            </w:pPr>
            <w:r>
              <w:t>Victorian Disability Worker Commission</w:t>
            </w:r>
          </w:p>
        </w:tc>
        <w:tc>
          <w:tcPr>
            <w:tcW w:w="2155" w:type="dxa"/>
            <w:tcBorders>
              <w:top w:val="single" w:sz="4" w:space="0" w:color="A6A6A6"/>
              <w:bottom w:val="single" w:sz="4" w:space="0" w:color="A6A6A6"/>
            </w:tcBorders>
            <w:hideMark/>
          </w:tcPr>
          <w:p w14:paraId="693D9D1D" w14:textId="77777777" w:rsidR="005F4A7E" w:rsidRDefault="005F4A7E">
            <w:pPr>
              <w:pStyle w:val="ARfintablebody"/>
            </w:pPr>
            <w:r>
              <w:t>Dan Stubbs</w:t>
            </w:r>
          </w:p>
        </w:tc>
        <w:tc>
          <w:tcPr>
            <w:tcW w:w="2155" w:type="dxa"/>
            <w:tcBorders>
              <w:top w:val="single" w:sz="4" w:space="0" w:color="A6A6A6"/>
              <w:bottom w:val="single" w:sz="4" w:space="0" w:color="A6A6A6"/>
            </w:tcBorders>
            <w:hideMark/>
          </w:tcPr>
          <w:p w14:paraId="7BC14975" w14:textId="77777777" w:rsidR="005F4A7E" w:rsidRDefault="005F4A7E">
            <w:pPr>
              <w:pStyle w:val="ARfintablebody"/>
            </w:pPr>
            <w:r>
              <w:t>Victorian Disability Worker Commissioner</w:t>
            </w:r>
          </w:p>
        </w:tc>
        <w:tc>
          <w:tcPr>
            <w:tcW w:w="3175" w:type="dxa"/>
            <w:tcBorders>
              <w:top w:val="single" w:sz="4" w:space="0" w:color="A6A6A6"/>
              <w:bottom w:val="single" w:sz="4" w:space="0" w:color="A6A6A6"/>
            </w:tcBorders>
            <w:hideMark/>
          </w:tcPr>
          <w:p w14:paraId="412C0B3C" w14:textId="77777777" w:rsidR="005F4A7E" w:rsidRDefault="005F4A7E">
            <w:pPr>
              <w:pStyle w:val="ARfintablebody"/>
            </w:pPr>
            <w:r>
              <w:t>1 July 2020 to 30 June 2021</w:t>
            </w:r>
          </w:p>
        </w:tc>
      </w:tr>
      <w:tr w:rsidR="005F4A7E" w14:paraId="626C2FA3" w14:textId="77777777" w:rsidTr="00130D1C">
        <w:trPr>
          <w:gridAfter w:val="1"/>
          <w:wAfter w:w="10" w:type="dxa"/>
          <w:cantSplit w:val="0"/>
        </w:trPr>
        <w:tc>
          <w:tcPr>
            <w:tcW w:w="2155" w:type="dxa"/>
            <w:tcBorders>
              <w:top w:val="single" w:sz="4" w:space="0" w:color="A6A6A6"/>
              <w:bottom w:val="single" w:sz="4" w:space="0" w:color="A6A6A6"/>
            </w:tcBorders>
            <w:hideMark/>
          </w:tcPr>
          <w:p w14:paraId="13870A57" w14:textId="77777777" w:rsidR="005F4A7E" w:rsidRDefault="005F4A7E">
            <w:pPr>
              <w:pStyle w:val="ARfintablebody"/>
            </w:pPr>
            <w:r>
              <w:t>Department of Families, Fairness and Housing</w:t>
            </w:r>
          </w:p>
        </w:tc>
        <w:tc>
          <w:tcPr>
            <w:tcW w:w="2155" w:type="dxa"/>
            <w:tcBorders>
              <w:top w:val="single" w:sz="4" w:space="0" w:color="A6A6A6"/>
              <w:bottom w:val="single" w:sz="4" w:space="0" w:color="A6A6A6"/>
            </w:tcBorders>
            <w:hideMark/>
          </w:tcPr>
          <w:p w14:paraId="3EA4653A" w14:textId="77777777" w:rsidR="005F4A7E" w:rsidRDefault="005F4A7E">
            <w:pPr>
              <w:pStyle w:val="ARfintablebody"/>
            </w:pPr>
            <w:r>
              <w:t>The Hon. Richard Wynne MP</w:t>
            </w:r>
          </w:p>
        </w:tc>
        <w:tc>
          <w:tcPr>
            <w:tcW w:w="2155" w:type="dxa"/>
            <w:tcBorders>
              <w:top w:val="single" w:sz="4" w:space="0" w:color="A6A6A6"/>
              <w:bottom w:val="single" w:sz="4" w:space="0" w:color="A6A6A6"/>
            </w:tcBorders>
            <w:hideMark/>
          </w:tcPr>
          <w:p w14:paraId="43CC2FB2" w14:textId="77777777" w:rsidR="005F4A7E" w:rsidRDefault="005F4A7E">
            <w:pPr>
              <w:pStyle w:val="ARfintablebody"/>
            </w:pPr>
            <w:r>
              <w:t>Minister for Housing</w:t>
            </w:r>
          </w:p>
        </w:tc>
        <w:tc>
          <w:tcPr>
            <w:tcW w:w="3175" w:type="dxa"/>
            <w:tcBorders>
              <w:top w:val="single" w:sz="4" w:space="0" w:color="A6A6A6"/>
              <w:bottom w:val="single" w:sz="4" w:space="0" w:color="A6A6A6"/>
            </w:tcBorders>
            <w:hideMark/>
          </w:tcPr>
          <w:p w14:paraId="0B4EA066" w14:textId="77777777" w:rsidR="005F4A7E" w:rsidRDefault="005F4A7E">
            <w:pPr>
              <w:pStyle w:val="ARfintablebody"/>
            </w:pPr>
            <w:r>
              <w:t>1 February 2021 to 30 June 2021</w:t>
            </w:r>
          </w:p>
        </w:tc>
      </w:tr>
      <w:tr w:rsidR="005F4A7E" w14:paraId="6AB2E40D" w14:textId="77777777" w:rsidTr="00130D1C">
        <w:trPr>
          <w:gridAfter w:val="1"/>
          <w:wAfter w:w="10" w:type="dxa"/>
          <w:cantSplit w:val="0"/>
        </w:trPr>
        <w:tc>
          <w:tcPr>
            <w:tcW w:w="2155" w:type="dxa"/>
            <w:tcBorders>
              <w:top w:val="single" w:sz="4" w:space="0" w:color="A6A6A6"/>
              <w:bottom w:val="single" w:sz="4" w:space="0" w:color="A6A6A6"/>
            </w:tcBorders>
            <w:hideMark/>
          </w:tcPr>
          <w:p w14:paraId="6B6C5E19" w14:textId="77777777" w:rsidR="005F4A7E" w:rsidRDefault="005F4A7E">
            <w:pPr>
              <w:pStyle w:val="ARfintablebody"/>
            </w:pPr>
            <w:r>
              <w:t>Department of Families, Fairness and Housing</w:t>
            </w:r>
          </w:p>
        </w:tc>
        <w:tc>
          <w:tcPr>
            <w:tcW w:w="2155" w:type="dxa"/>
            <w:tcBorders>
              <w:top w:val="single" w:sz="4" w:space="0" w:color="A6A6A6"/>
              <w:bottom w:val="single" w:sz="4" w:space="0" w:color="A6A6A6"/>
            </w:tcBorders>
            <w:hideMark/>
          </w:tcPr>
          <w:p w14:paraId="3762D5C6" w14:textId="77777777" w:rsidR="005F4A7E" w:rsidRPr="008C627E" w:rsidRDefault="005F4A7E">
            <w:pPr>
              <w:pStyle w:val="ARfintablebody"/>
              <w:rPr>
                <w:lang w:val="fr-FR"/>
              </w:rPr>
            </w:pPr>
            <w:r w:rsidRPr="008C627E">
              <w:rPr>
                <w:lang w:val="fr-FR"/>
              </w:rPr>
              <w:t>The Hon. Luke Donnellan MP</w:t>
            </w:r>
          </w:p>
        </w:tc>
        <w:tc>
          <w:tcPr>
            <w:tcW w:w="2155" w:type="dxa"/>
            <w:tcBorders>
              <w:top w:val="single" w:sz="4" w:space="0" w:color="A6A6A6"/>
              <w:bottom w:val="single" w:sz="4" w:space="0" w:color="A6A6A6"/>
            </w:tcBorders>
            <w:hideMark/>
          </w:tcPr>
          <w:p w14:paraId="65AFEDF6" w14:textId="77777777" w:rsidR="005F4A7E" w:rsidRDefault="005F4A7E">
            <w:pPr>
              <w:pStyle w:val="ARfintablebody"/>
            </w:pPr>
            <w:r>
              <w:t>Minister for Child Protection</w:t>
            </w:r>
          </w:p>
        </w:tc>
        <w:tc>
          <w:tcPr>
            <w:tcW w:w="3175" w:type="dxa"/>
            <w:tcBorders>
              <w:top w:val="single" w:sz="4" w:space="0" w:color="A6A6A6"/>
              <w:bottom w:val="single" w:sz="4" w:space="0" w:color="A6A6A6"/>
            </w:tcBorders>
            <w:hideMark/>
          </w:tcPr>
          <w:p w14:paraId="2948D8D3" w14:textId="77777777" w:rsidR="005F4A7E" w:rsidRDefault="005F4A7E">
            <w:pPr>
              <w:pStyle w:val="ARfintablebody"/>
            </w:pPr>
            <w:r>
              <w:t>1 February 2021 to 30 June 2021</w:t>
            </w:r>
          </w:p>
        </w:tc>
      </w:tr>
      <w:tr w:rsidR="005F4A7E" w14:paraId="7D3C2912" w14:textId="77777777" w:rsidTr="00130D1C">
        <w:trPr>
          <w:gridAfter w:val="1"/>
          <w:wAfter w:w="10" w:type="dxa"/>
          <w:cantSplit w:val="0"/>
        </w:trPr>
        <w:tc>
          <w:tcPr>
            <w:tcW w:w="2155" w:type="dxa"/>
            <w:tcBorders>
              <w:top w:val="single" w:sz="4" w:space="0" w:color="A6A6A6"/>
              <w:bottom w:val="single" w:sz="4" w:space="0" w:color="A6A6A6"/>
            </w:tcBorders>
            <w:hideMark/>
          </w:tcPr>
          <w:p w14:paraId="6BE3B8E9" w14:textId="77777777" w:rsidR="005F4A7E" w:rsidRDefault="005F4A7E">
            <w:pPr>
              <w:pStyle w:val="ARfintablebody"/>
            </w:pPr>
            <w:r>
              <w:t>Department of Families, Fairness and Housing</w:t>
            </w:r>
          </w:p>
        </w:tc>
        <w:tc>
          <w:tcPr>
            <w:tcW w:w="2155" w:type="dxa"/>
            <w:tcBorders>
              <w:top w:val="single" w:sz="4" w:space="0" w:color="A6A6A6"/>
              <w:bottom w:val="single" w:sz="4" w:space="0" w:color="A6A6A6"/>
            </w:tcBorders>
            <w:hideMark/>
          </w:tcPr>
          <w:p w14:paraId="1A39BBF5" w14:textId="77777777" w:rsidR="005F4A7E" w:rsidRPr="008C627E" w:rsidRDefault="005F4A7E">
            <w:pPr>
              <w:pStyle w:val="ARfintablebody"/>
              <w:rPr>
                <w:lang w:val="fr-FR"/>
              </w:rPr>
            </w:pPr>
            <w:r w:rsidRPr="008C627E">
              <w:rPr>
                <w:lang w:val="fr-FR"/>
              </w:rPr>
              <w:t>The Hon. Luke Donnellan MP</w:t>
            </w:r>
          </w:p>
        </w:tc>
        <w:tc>
          <w:tcPr>
            <w:tcW w:w="2155" w:type="dxa"/>
            <w:tcBorders>
              <w:top w:val="single" w:sz="4" w:space="0" w:color="A6A6A6"/>
              <w:bottom w:val="single" w:sz="4" w:space="0" w:color="A6A6A6"/>
            </w:tcBorders>
            <w:hideMark/>
          </w:tcPr>
          <w:p w14:paraId="33EC5C7A" w14:textId="77777777" w:rsidR="005F4A7E" w:rsidRDefault="005F4A7E">
            <w:pPr>
              <w:pStyle w:val="ARfintablebody"/>
            </w:pPr>
            <w:r>
              <w:t>Minister for Disability, Ageing and Carers</w:t>
            </w:r>
          </w:p>
        </w:tc>
        <w:tc>
          <w:tcPr>
            <w:tcW w:w="3175" w:type="dxa"/>
            <w:tcBorders>
              <w:top w:val="single" w:sz="4" w:space="0" w:color="A6A6A6"/>
              <w:bottom w:val="single" w:sz="4" w:space="0" w:color="A6A6A6"/>
            </w:tcBorders>
            <w:hideMark/>
          </w:tcPr>
          <w:p w14:paraId="0DA49030" w14:textId="77777777" w:rsidR="005F4A7E" w:rsidRDefault="005F4A7E">
            <w:pPr>
              <w:pStyle w:val="ARfintablebody"/>
            </w:pPr>
            <w:r>
              <w:t>1 February 2021 to 30 June 2021</w:t>
            </w:r>
          </w:p>
        </w:tc>
      </w:tr>
      <w:tr w:rsidR="005F4A7E" w14:paraId="36E37E6C" w14:textId="77777777" w:rsidTr="00130D1C">
        <w:trPr>
          <w:gridAfter w:val="1"/>
          <w:wAfter w:w="10" w:type="dxa"/>
          <w:cantSplit w:val="0"/>
        </w:trPr>
        <w:tc>
          <w:tcPr>
            <w:tcW w:w="2155" w:type="dxa"/>
            <w:tcBorders>
              <w:top w:val="single" w:sz="4" w:space="0" w:color="A6A6A6"/>
              <w:bottom w:val="single" w:sz="4" w:space="0" w:color="A6A6A6"/>
            </w:tcBorders>
            <w:hideMark/>
          </w:tcPr>
          <w:p w14:paraId="08009B1E" w14:textId="77777777" w:rsidR="005F4A7E" w:rsidRDefault="005F4A7E">
            <w:pPr>
              <w:pStyle w:val="ARfintablebody"/>
            </w:pPr>
            <w:r>
              <w:t>Department of Families, Fairness and Housing</w:t>
            </w:r>
          </w:p>
        </w:tc>
        <w:tc>
          <w:tcPr>
            <w:tcW w:w="2155" w:type="dxa"/>
            <w:tcBorders>
              <w:top w:val="single" w:sz="4" w:space="0" w:color="A6A6A6"/>
              <w:bottom w:val="single" w:sz="4" w:space="0" w:color="A6A6A6"/>
            </w:tcBorders>
            <w:hideMark/>
          </w:tcPr>
          <w:p w14:paraId="1A4B7FE1" w14:textId="77777777" w:rsidR="005F4A7E" w:rsidRDefault="005F4A7E">
            <w:pPr>
              <w:pStyle w:val="ARfintablebody"/>
            </w:pPr>
            <w:r>
              <w:t>The Hon. Ros Spence MP</w:t>
            </w:r>
          </w:p>
        </w:tc>
        <w:tc>
          <w:tcPr>
            <w:tcW w:w="2155" w:type="dxa"/>
            <w:tcBorders>
              <w:top w:val="single" w:sz="4" w:space="0" w:color="A6A6A6"/>
              <w:bottom w:val="single" w:sz="4" w:space="0" w:color="A6A6A6"/>
            </w:tcBorders>
            <w:hideMark/>
          </w:tcPr>
          <w:p w14:paraId="5D759422" w14:textId="77777777" w:rsidR="005F4A7E" w:rsidRDefault="005F4A7E">
            <w:pPr>
              <w:pStyle w:val="ARfintablebody"/>
            </w:pPr>
            <w:r>
              <w:t>Minister for Multicultural Affairs</w:t>
            </w:r>
          </w:p>
        </w:tc>
        <w:tc>
          <w:tcPr>
            <w:tcW w:w="3175" w:type="dxa"/>
            <w:tcBorders>
              <w:top w:val="single" w:sz="4" w:space="0" w:color="A6A6A6"/>
              <w:bottom w:val="single" w:sz="4" w:space="0" w:color="A6A6A6"/>
            </w:tcBorders>
            <w:hideMark/>
          </w:tcPr>
          <w:p w14:paraId="02C0BB71" w14:textId="77777777" w:rsidR="005F4A7E" w:rsidRDefault="005F4A7E">
            <w:pPr>
              <w:pStyle w:val="ARfintablebody"/>
            </w:pPr>
            <w:r>
              <w:t>1 February 2021 to 30 June 2021</w:t>
            </w:r>
          </w:p>
        </w:tc>
      </w:tr>
      <w:tr w:rsidR="005F4A7E" w14:paraId="54525C17" w14:textId="77777777" w:rsidTr="00130D1C">
        <w:trPr>
          <w:gridAfter w:val="1"/>
          <w:wAfter w:w="10" w:type="dxa"/>
          <w:cantSplit w:val="0"/>
        </w:trPr>
        <w:tc>
          <w:tcPr>
            <w:tcW w:w="2155" w:type="dxa"/>
            <w:tcBorders>
              <w:top w:val="single" w:sz="4" w:space="0" w:color="A6A6A6"/>
              <w:bottom w:val="single" w:sz="4" w:space="0" w:color="A6A6A6"/>
            </w:tcBorders>
            <w:hideMark/>
          </w:tcPr>
          <w:p w14:paraId="5075BAB2" w14:textId="77777777" w:rsidR="005F4A7E" w:rsidRDefault="005F4A7E">
            <w:pPr>
              <w:pStyle w:val="ARfintablebody"/>
            </w:pPr>
            <w:r>
              <w:t>Department of Families, Fairness and Housing</w:t>
            </w:r>
          </w:p>
        </w:tc>
        <w:tc>
          <w:tcPr>
            <w:tcW w:w="2155" w:type="dxa"/>
            <w:tcBorders>
              <w:top w:val="single" w:sz="4" w:space="0" w:color="A6A6A6"/>
              <w:bottom w:val="single" w:sz="4" w:space="0" w:color="A6A6A6"/>
            </w:tcBorders>
            <w:hideMark/>
          </w:tcPr>
          <w:p w14:paraId="4F8817C1" w14:textId="77777777" w:rsidR="005F4A7E" w:rsidRDefault="005F4A7E">
            <w:pPr>
              <w:pStyle w:val="ARfintablebody"/>
            </w:pPr>
            <w:r>
              <w:t>The Hon. Ros Spence MP</w:t>
            </w:r>
          </w:p>
        </w:tc>
        <w:tc>
          <w:tcPr>
            <w:tcW w:w="2155" w:type="dxa"/>
            <w:tcBorders>
              <w:top w:val="single" w:sz="4" w:space="0" w:color="A6A6A6"/>
              <w:bottom w:val="single" w:sz="4" w:space="0" w:color="A6A6A6"/>
            </w:tcBorders>
            <w:hideMark/>
          </w:tcPr>
          <w:p w14:paraId="33041FD4" w14:textId="77777777" w:rsidR="005F4A7E" w:rsidRDefault="005F4A7E">
            <w:pPr>
              <w:pStyle w:val="ARfintablebody"/>
            </w:pPr>
            <w:r>
              <w:t>Minister for Youth</w:t>
            </w:r>
          </w:p>
        </w:tc>
        <w:tc>
          <w:tcPr>
            <w:tcW w:w="3175" w:type="dxa"/>
            <w:tcBorders>
              <w:top w:val="single" w:sz="4" w:space="0" w:color="A6A6A6"/>
              <w:bottom w:val="single" w:sz="4" w:space="0" w:color="A6A6A6"/>
            </w:tcBorders>
            <w:hideMark/>
          </w:tcPr>
          <w:p w14:paraId="4045E441" w14:textId="77777777" w:rsidR="005F4A7E" w:rsidRDefault="005F4A7E">
            <w:pPr>
              <w:pStyle w:val="ARfintablebody"/>
            </w:pPr>
            <w:r>
              <w:t>1 February 2021 to 30 June 2021</w:t>
            </w:r>
          </w:p>
        </w:tc>
      </w:tr>
      <w:tr w:rsidR="005F4A7E" w14:paraId="77870B92" w14:textId="77777777" w:rsidTr="00130D1C">
        <w:trPr>
          <w:gridAfter w:val="1"/>
          <w:wAfter w:w="10" w:type="dxa"/>
          <w:cantSplit w:val="0"/>
        </w:trPr>
        <w:tc>
          <w:tcPr>
            <w:tcW w:w="2155" w:type="dxa"/>
            <w:tcBorders>
              <w:top w:val="single" w:sz="4" w:space="0" w:color="A6A6A6"/>
              <w:bottom w:val="single" w:sz="4" w:space="0" w:color="A6A6A6"/>
            </w:tcBorders>
            <w:hideMark/>
          </w:tcPr>
          <w:p w14:paraId="76A3CD52" w14:textId="77777777" w:rsidR="005F4A7E" w:rsidRDefault="005F4A7E">
            <w:pPr>
              <w:pStyle w:val="ARfintablebody"/>
            </w:pPr>
            <w:r>
              <w:t>Department of Families, Fairness and Housing</w:t>
            </w:r>
          </w:p>
        </w:tc>
        <w:tc>
          <w:tcPr>
            <w:tcW w:w="2155" w:type="dxa"/>
            <w:tcBorders>
              <w:top w:val="single" w:sz="4" w:space="0" w:color="A6A6A6"/>
              <w:bottom w:val="single" w:sz="4" w:space="0" w:color="A6A6A6"/>
            </w:tcBorders>
            <w:hideMark/>
          </w:tcPr>
          <w:p w14:paraId="0508C35F" w14:textId="77777777" w:rsidR="005F4A7E" w:rsidRDefault="005F4A7E">
            <w:pPr>
              <w:pStyle w:val="ARfintablebody"/>
            </w:pPr>
            <w:r>
              <w:t>The Hon. Gabrielle Williams MP</w:t>
            </w:r>
          </w:p>
        </w:tc>
        <w:tc>
          <w:tcPr>
            <w:tcW w:w="2155" w:type="dxa"/>
            <w:tcBorders>
              <w:top w:val="single" w:sz="4" w:space="0" w:color="A6A6A6"/>
              <w:bottom w:val="single" w:sz="4" w:space="0" w:color="A6A6A6"/>
            </w:tcBorders>
            <w:hideMark/>
          </w:tcPr>
          <w:p w14:paraId="3C3BBB4D" w14:textId="77777777" w:rsidR="005F4A7E" w:rsidRDefault="005F4A7E">
            <w:pPr>
              <w:pStyle w:val="ARfintablebody"/>
            </w:pPr>
            <w:r>
              <w:t>Minister for Prevention of Family Violence</w:t>
            </w:r>
          </w:p>
        </w:tc>
        <w:tc>
          <w:tcPr>
            <w:tcW w:w="3175" w:type="dxa"/>
            <w:tcBorders>
              <w:top w:val="single" w:sz="4" w:space="0" w:color="A6A6A6"/>
              <w:bottom w:val="single" w:sz="4" w:space="0" w:color="A6A6A6"/>
            </w:tcBorders>
            <w:hideMark/>
          </w:tcPr>
          <w:p w14:paraId="5A8D3DC1" w14:textId="77777777" w:rsidR="005F4A7E" w:rsidRDefault="005F4A7E">
            <w:pPr>
              <w:pStyle w:val="ARfintablebody"/>
            </w:pPr>
            <w:r>
              <w:t>1 February 2021 to 30 June 2021</w:t>
            </w:r>
          </w:p>
        </w:tc>
      </w:tr>
      <w:tr w:rsidR="005F4A7E" w14:paraId="03323329" w14:textId="77777777" w:rsidTr="00130D1C">
        <w:trPr>
          <w:gridAfter w:val="1"/>
          <w:wAfter w:w="10" w:type="dxa"/>
          <w:cantSplit w:val="0"/>
        </w:trPr>
        <w:tc>
          <w:tcPr>
            <w:tcW w:w="2155" w:type="dxa"/>
            <w:tcBorders>
              <w:top w:val="single" w:sz="4" w:space="0" w:color="A6A6A6"/>
              <w:bottom w:val="single" w:sz="4" w:space="0" w:color="A6A6A6"/>
            </w:tcBorders>
            <w:hideMark/>
          </w:tcPr>
          <w:p w14:paraId="12D3E6EA" w14:textId="77777777" w:rsidR="005F4A7E" w:rsidRDefault="005F4A7E">
            <w:pPr>
              <w:pStyle w:val="ARfintablebody"/>
            </w:pPr>
            <w:r>
              <w:t>Department of Families, Fairness and Housing</w:t>
            </w:r>
          </w:p>
        </w:tc>
        <w:tc>
          <w:tcPr>
            <w:tcW w:w="2155" w:type="dxa"/>
            <w:tcBorders>
              <w:top w:val="single" w:sz="4" w:space="0" w:color="A6A6A6"/>
              <w:bottom w:val="single" w:sz="4" w:space="0" w:color="A6A6A6"/>
            </w:tcBorders>
            <w:hideMark/>
          </w:tcPr>
          <w:p w14:paraId="664E50AF" w14:textId="77777777" w:rsidR="005F4A7E" w:rsidRDefault="005F4A7E">
            <w:pPr>
              <w:pStyle w:val="ARfintablebody"/>
            </w:pPr>
            <w:r>
              <w:t>The Hon. Gabrielle Williams MP</w:t>
            </w:r>
          </w:p>
        </w:tc>
        <w:tc>
          <w:tcPr>
            <w:tcW w:w="2155" w:type="dxa"/>
            <w:tcBorders>
              <w:top w:val="single" w:sz="4" w:space="0" w:color="A6A6A6"/>
              <w:bottom w:val="single" w:sz="4" w:space="0" w:color="A6A6A6"/>
            </w:tcBorders>
            <w:hideMark/>
          </w:tcPr>
          <w:p w14:paraId="657A33D2" w14:textId="77777777" w:rsidR="005F4A7E" w:rsidRDefault="005F4A7E">
            <w:pPr>
              <w:pStyle w:val="ARfintablebody"/>
            </w:pPr>
            <w:r>
              <w:t>Minister for Women</w:t>
            </w:r>
          </w:p>
        </w:tc>
        <w:tc>
          <w:tcPr>
            <w:tcW w:w="3175" w:type="dxa"/>
            <w:tcBorders>
              <w:top w:val="single" w:sz="4" w:space="0" w:color="A6A6A6"/>
              <w:bottom w:val="single" w:sz="4" w:space="0" w:color="A6A6A6"/>
            </w:tcBorders>
            <w:hideMark/>
          </w:tcPr>
          <w:p w14:paraId="1C22EEDC" w14:textId="77777777" w:rsidR="005F4A7E" w:rsidRDefault="005F4A7E">
            <w:pPr>
              <w:pStyle w:val="ARfintablebody"/>
            </w:pPr>
            <w:r>
              <w:t>1 February 2021 to 30 June 2021</w:t>
            </w:r>
          </w:p>
        </w:tc>
      </w:tr>
      <w:tr w:rsidR="005F4A7E" w14:paraId="01BCB5C6" w14:textId="77777777" w:rsidTr="00130D1C">
        <w:trPr>
          <w:gridAfter w:val="1"/>
          <w:wAfter w:w="10" w:type="dxa"/>
          <w:cantSplit w:val="0"/>
        </w:trPr>
        <w:tc>
          <w:tcPr>
            <w:tcW w:w="2155" w:type="dxa"/>
            <w:tcBorders>
              <w:top w:val="single" w:sz="4" w:space="0" w:color="A6A6A6"/>
              <w:bottom w:val="single" w:sz="4" w:space="0" w:color="A6A6A6"/>
            </w:tcBorders>
            <w:hideMark/>
          </w:tcPr>
          <w:p w14:paraId="37E15914" w14:textId="77777777" w:rsidR="005F4A7E" w:rsidRDefault="005F4A7E">
            <w:pPr>
              <w:pStyle w:val="ARfintablebody"/>
            </w:pPr>
            <w:r>
              <w:t>Department of Families, Fairness and Housing</w:t>
            </w:r>
          </w:p>
        </w:tc>
        <w:tc>
          <w:tcPr>
            <w:tcW w:w="2155" w:type="dxa"/>
            <w:tcBorders>
              <w:top w:val="single" w:sz="4" w:space="0" w:color="A6A6A6"/>
              <w:bottom w:val="single" w:sz="4" w:space="0" w:color="A6A6A6"/>
            </w:tcBorders>
            <w:hideMark/>
          </w:tcPr>
          <w:p w14:paraId="5B231C0C" w14:textId="77777777" w:rsidR="005F4A7E" w:rsidRDefault="005F4A7E">
            <w:pPr>
              <w:pStyle w:val="ARfintablebody"/>
            </w:pPr>
            <w:r>
              <w:t>The Hon. Martin Foley MP</w:t>
            </w:r>
          </w:p>
        </w:tc>
        <w:tc>
          <w:tcPr>
            <w:tcW w:w="2155" w:type="dxa"/>
            <w:tcBorders>
              <w:top w:val="single" w:sz="4" w:space="0" w:color="A6A6A6"/>
              <w:bottom w:val="single" w:sz="4" w:space="0" w:color="A6A6A6"/>
            </w:tcBorders>
            <w:hideMark/>
          </w:tcPr>
          <w:p w14:paraId="6CF7E9A6" w14:textId="77777777" w:rsidR="005F4A7E" w:rsidRDefault="005F4A7E">
            <w:pPr>
              <w:pStyle w:val="ARfintablebody"/>
            </w:pPr>
            <w:r>
              <w:t>Minister for Equality</w:t>
            </w:r>
          </w:p>
        </w:tc>
        <w:tc>
          <w:tcPr>
            <w:tcW w:w="3175" w:type="dxa"/>
            <w:tcBorders>
              <w:top w:val="single" w:sz="4" w:space="0" w:color="A6A6A6"/>
              <w:bottom w:val="single" w:sz="4" w:space="0" w:color="A6A6A6"/>
            </w:tcBorders>
            <w:hideMark/>
          </w:tcPr>
          <w:p w14:paraId="7DCB77B7" w14:textId="77777777" w:rsidR="005F4A7E" w:rsidRDefault="005F4A7E">
            <w:pPr>
              <w:pStyle w:val="ARfintablebody"/>
            </w:pPr>
            <w:r>
              <w:t>1 February 2021 to 30 June 2021</w:t>
            </w:r>
          </w:p>
        </w:tc>
      </w:tr>
      <w:tr w:rsidR="005F4A7E" w14:paraId="5C44AC3A" w14:textId="77777777" w:rsidTr="00130D1C">
        <w:trPr>
          <w:gridAfter w:val="1"/>
          <w:wAfter w:w="10" w:type="dxa"/>
          <w:cantSplit w:val="0"/>
        </w:trPr>
        <w:tc>
          <w:tcPr>
            <w:tcW w:w="2155" w:type="dxa"/>
            <w:tcBorders>
              <w:top w:val="single" w:sz="4" w:space="0" w:color="A6A6A6"/>
              <w:bottom w:val="single" w:sz="4" w:space="0" w:color="A6A6A6"/>
            </w:tcBorders>
            <w:hideMark/>
          </w:tcPr>
          <w:p w14:paraId="3F961E02" w14:textId="77777777" w:rsidR="005F4A7E" w:rsidRDefault="005F4A7E">
            <w:pPr>
              <w:pStyle w:val="ARfintablebody"/>
            </w:pPr>
            <w:r>
              <w:t>Department of Families, Fairness and Housing</w:t>
            </w:r>
          </w:p>
        </w:tc>
        <w:tc>
          <w:tcPr>
            <w:tcW w:w="2155" w:type="dxa"/>
            <w:tcBorders>
              <w:top w:val="single" w:sz="4" w:space="0" w:color="A6A6A6"/>
              <w:bottom w:val="single" w:sz="4" w:space="0" w:color="A6A6A6"/>
            </w:tcBorders>
            <w:hideMark/>
          </w:tcPr>
          <w:p w14:paraId="7D0A0B97" w14:textId="77777777" w:rsidR="005F4A7E" w:rsidRDefault="005F4A7E">
            <w:pPr>
              <w:pStyle w:val="ARfintablebody"/>
            </w:pPr>
            <w:r>
              <w:t>The Hon. Shaun Leane MP</w:t>
            </w:r>
          </w:p>
        </w:tc>
        <w:tc>
          <w:tcPr>
            <w:tcW w:w="2155" w:type="dxa"/>
            <w:tcBorders>
              <w:top w:val="single" w:sz="4" w:space="0" w:color="A6A6A6"/>
              <w:bottom w:val="single" w:sz="4" w:space="0" w:color="A6A6A6"/>
            </w:tcBorders>
            <w:hideMark/>
          </w:tcPr>
          <w:p w14:paraId="056BA109" w14:textId="77777777" w:rsidR="005F4A7E" w:rsidRDefault="005F4A7E">
            <w:pPr>
              <w:pStyle w:val="ARfintablebody"/>
            </w:pPr>
            <w:r>
              <w:t>Minister for Veterans</w:t>
            </w:r>
          </w:p>
        </w:tc>
        <w:tc>
          <w:tcPr>
            <w:tcW w:w="3175" w:type="dxa"/>
            <w:tcBorders>
              <w:top w:val="single" w:sz="4" w:space="0" w:color="A6A6A6"/>
              <w:bottom w:val="single" w:sz="4" w:space="0" w:color="A6A6A6"/>
            </w:tcBorders>
            <w:hideMark/>
          </w:tcPr>
          <w:p w14:paraId="0D0D8F71" w14:textId="77777777" w:rsidR="005F4A7E" w:rsidRDefault="005F4A7E">
            <w:pPr>
              <w:pStyle w:val="ARfintablebody"/>
            </w:pPr>
            <w:r>
              <w:t>1 February 2021 to 30 June 2021</w:t>
            </w:r>
          </w:p>
        </w:tc>
      </w:tr>
      <w:tr w:rsidR="005F4A7E" w14:paraId="4074B7A3" w14:textId="77777777" w:rsidTr="00130D1C">
        <w:trPr>
          <w:gridAfter w:val="1"/>
          <w:wAfter w:w="10" w:type="dxa"/>
          <w:cantSplit w:val="0"/>
        </w:trPr>
        <w:tc>
          <w:tcPr>
            <w:tcW w:w="2155" w:type="dxa"/>
            <w:tcBorders>
              <w:top w:val="single" w:sz="4" w:space="0" w:color="A6A6A6"/>
              <w:bottom w:val="single" w:sz="4" w:space="0" w:color="A6A6A6"/>
            </w:tcBorders>
            <w:hideMark/>
          </w:tcPr>
          <w:p w14:paraId="51902687" w14:textId="77777777" w:rsidR="005F4A7E" w:rsidRDefault="005F4A7E">
            <w:pPr>
              <w:pStyle w:val="ARfintablebody"/>
            </w:pPr>
            <w:r>
              <w:t>Department of Families, Fairness and Housing</w:t>
            </w:r>
          </w:p>
        </w:tc>
        <w:tc>
          <w:tcPr>
            <w:tcW w:w="2155" w:type="dxa"/>
            <w:tcBorders>
              <w:top w:val="single" w:sz="4" w:space="0" w:color="A6A6A6"/>
              <w:bottom w:val="single" w:sz="4" w:space="0" w:color="A6A6A6"/>
            </w:tcBorders>
            <w:hideMark/>
          </w:tcPr>
          <w:p w14:paraId="2222F3BE" w14:textId="77777777" w:rsidR="005F4A7E" w:rsidRDefault="005F4A7E">
            <w:pPr>
              <w:pStyle w:val="ARfintablebody"/>
            </w:pPr>
            <w:r>
              <w:t>Sandy Pitcher</w:t>
            </w:r>
          </w:p>
        </w:tc>
        <w:tc>
          <w:tcPr>
            <w:tcW w:w="2155" w:type="dxa"/>
            <w:tcBorders>
              <w:top w:val="single" w:sz="4" w:space="0" w:color="A6A6A6"/>
              <w:bottom w:val="single" w:sz="4" w:space="0" w:color="A6A6A6"/>
            </w:tcBorders>
            <w:hideMark/>
          </w:tcPr>
          <w:p w14:paraId="31ED8CAD" w14:textId="77777777" w:rsidR="005F4A7E" w:rsidRDefault="005F4A7E">
            <w:pPr>
              <w:pStyle w:val="ARfintablebody"/>
            </w:pPr>
            <w:r>
              <w:t>Secretary</w:t>
            </w:r>
          </w:p>
        </w:tc>
        <w:tc>
          <w:tcPr>
            <w:tcW w:w="3175" w:type="dxa"/>
            <w:tcBorders>
              <w:top w:val="single" w:sz="4" w:space="0" w:color="A6A6A6"/>
              <w:bottom w:val="single" w:sz="4" w:space="0" w:color="A6A6A6"/>
            </w:tcBorders>
            <w:hideMark/>
          </w:tcPr>
          <w:p w14:paraId="013A9BB9" w14:textId="77777777" w:rsidR="005F4A7E" w:rsidRDefault="005F4A7E">
            <w:pPr>
              <w:pStyle w:val="ARfintablebody"/>
            </w:pPr>
            <w:r>
              <w:t>1 February 2021 to 30 June 2021</w:t>
            </w:r>
          </w:p>
        </w:tc>
      </w:tr>
      <w:tr w:rsidR="005F4A7E" w14:paraId="763E0C3D" w14:textId="77777777" w:rsidTr="00130D1C">
        <w:trPr>
          <w:gridAfter w:val="1"/>
          <w:wAfter w:w="10" w:type="dxa"/>
          <w:cantSplit w:val="0"/>
        </w:trPr>
        <w:tc>
          <w:tcPr>
            <w:tcW w:w="2155" w:type="dxa"/>
            <w:tcBorders>
              <w:top w:val="single" w:sz="4" w:space="0" w:color="A6A6A6"/>
              <w:bottom w:val="single" w:sz="4" w:space="0" w:color="A6A6A6"/>
            </w:tcBorders>
            <w:hideMark/>
          </w:tcPr>
          <w:p w14:paraId="58B5C13B" w14:textId="77777777" w:rsidR="005F4A7E" w:rsidRDefault="005F4A7E">
            <w:pPr>
              <w:pStyle w:val="ARfintablebody"/>
            </w:pPr>
            <w:r>
              <w:t>Department of Families, Fairness and Housing</w:t>
            </w:r>
          </w:p>
        </w:tc>
        <w:tc>
          <w:tcPr>
            <w:tcW w:w="2155" w:type="dxa"/>
            <w:tcBorders>
              <w:top w:val="single" w:sz="4" w:space="0" w:color="A6A6A6"/>
              <w:bottom w:val="single" w:sz="4" w:space="0" w:color="A6A6A6"/>
            </w:tcBorders>
            <w:hideMark/>
          </w:tcPr>
          <w:p w14:paraId="4FC2D1A5" w14:textId="77777777" w:rsidR="005F4A7E" w:rsidRDefault="005F4A7E">
            <w:pPr>
              <w:pStyle w:val="ARfintablebody"/>
            </w:pPr>
            <w:r>
              <w:t>Ben Rimmer</w:t>
            </w:r>
          </w:p>
        </w:tc>
        <w:tc>
          <w:tcPr>
            <w:tcW w:w="2155" w:type="dxa"/>
            <w:tcBorders>
              <w:top w:val="single" w:sz="4" w:space="0" w:color="A6A6A6"/>
              <w:bottom w:val="single" w:sz="4" w:space="0" w:color="A6A6A6"/>
            </w:tcBorders>
            <w:hideMark/>
          </w:tcPr>
          <w:p w14:paraId="7FF17F47" w14:textId="77777777" w:rsidR="005F4A7E" w:rsidRDefault="005F4A7E">
            <w:pPr>
              <w:pStyle w:val="ARfintablebody"/>
            </w:pPr>
            <w:r>
              <w:t>Associate Secretary and Chief Executive Officer, Homes Victoria</w:t>
            </w:r>
          </w:p>
        </w:tc>
        <w:tc>
          <w:tcPr>
            <w:tcW w:w="3175" w:type="dxa"/>
            <w:tcBorders>
              <w:top w:val="single" w:sz="4" w:space="0" w:color="A6A6A6"/>
              <w:bottom w:val="single" w:sz="4" w:space="0" w:color="A6A6A6"/>
            </w:tcBorders>
            <w:hideMark/>
          </w:tcPr>
          <w:p w14:paraId="6EACCCE9" w14:textId="77777777" w:rsidR="005F4A7E" w:rsidRDefault="005F4A7E">
            <w:pPr>
              <w:pStyle w:val="ARfintablebody"/>
            </w:pPr>
            <w:r>
              <w:t>1 February 2021 to 30 June 2021</w:t>
            </w:r>
          </w:p>
        </w:tc>
      </w:tr>
      <w:tr w:rsidR="005F4A7E" w14:paraId="08FDA0BD" w14:textId="77777777" w:rsidTr="00130D1C">
        <w:trPr>
          <w:cantSplit w:val="0"/>
        </w:trPr>
        <w:tc>
          <w:tcPr>
            <w:tcW w:w="2155" w:type="dxa"/>
            <w:tcBorders>
              <w:top w:val="single" w:sz="4" w:space="0" w:color="A6A6A6"/>
              <w:bottom w:val="single" w:sz="4" w:space="0" w:color="A6A6A6"/>
            </w:tcBorders>
          </w:tcPr>
          <w:p w14:paraId="45687B44" w14:textId="77777777" w:rsidR="005F4A7E" w:rsidRDefault="005F4A7E">
            <w:pPr>
              <w:pStyle w:val="ARfintablebody"/>
            </w:pPr>
            <w:r>
              <w:lastRenderedPageBreak/>
              <w:t>Department of Families, Fairness and Housing</w:t>
            </w:r>
          </w:p>
        </w:tc>
        <w:tc>
          <w:tcPr>
            <w:tcW w:w="2155" w:type="dxa"/>
            <w:tcBorders>
              <w:top w:val="single" w:sz="4" w:space="0" w:color="A6A6A6"/>
              <w:bottom w:val="single" w:sz="4" w:space="0" w:color="A6A6A6"/>
            </w:tcBorders>
          </w:tcPr>
          <w:p w14:paraId="544DCA53" w14:textId="77777777" w:rsidR="005F4A7E" w:rsidRDefault="005F4A7E">
            <w:pPr>
              <w:pStyle w:val="ARfintablebody"/>
            </w:pPr>
            <w:r>
              <w:t>Nicola Quin</w:t>
            </w:r>
          </w:p>
        </w:tc>
        <w:tc>
          <w:tcPr>
            <w:tcW w:w="2155" w:type="dxa"/>
            <w:tcBorders>
              <w:top w:val="single" w:sz="4" w:space="0" w:color="A6A6A6"/>
              <w:bottom w:val="single" w:sz="4" w:space="0" w:color="A6A6A6"/>
            </w:tcBorders>
          </w:tcPr>
          <w:p w14:paraId="4757BE33" w14:textId="77777777" w:rsidR="005F4A7E" w:rsidRDefault="005F4A7E">
            <w:pPr>
              <w:pStyle w:val="ARfintablebody"/>
            </w:pPr>
            <w:r>
              <w:t>Deputy Chief Executive Officer, Homes Victoria</w:t>
            </w:r>
          </w:p>
        </w:tc>
        <w:tc>
          <w:tcPr>
            <w:tcW w:w="3175" w:type="dxa"/>
            <w:gridSpan w:val="2"/>
            <w:tcBorders>
              <w:top w:val="single" w:sz="4" w:space="0" w:color="A6A6A6"/>
              <w:bottom w:val="single" w:sz="4" w:space="0" w:color="A6A6A6"/>
            </w:tcBorders>
          </w:tcPr>
          <w:p w14:paraId="0C288186" w14:textId="77777777" w:rsidR="005F4A7E" w:rsidRDefault="005F4A7E">
            <w:pPr>
              <w:pStyle w:val="ARfintablebody"/>
            </w:pPr>
            <w:r>
              <w:t>19 April 2021 to 30 June 2021</w:t>
            </w:r>
          </w:p>
        </w:tc>
      </w:tr>
      <w:tr w:rsidR="005F4A7E" w14:paraId="2F15CF8F" w14:textId="77777777" w:rsidTr="00130D1C">
        <w:trPr>
          <w:gridAfter w:val="1"/>
          <w:wAfter w:w="10" w:type="dxa"/>
          <w:cantSplit w:val="0"/>
        </w:trPr>
        <w:tc>
          <w:tcPr>
            <w:tcW w:w="2155" w:type="dxa"/>
            <w:tcBorders>
              <w:top w:val="single" w:sz="4" w:space="0" w:color="A6A6A6"/>
              <w:bottom w:val="single" w:sz="4" w:space="0" w:color="A6A6A6"/>
            </w:tcBorders>
            <w:hideMark/>
          </w:tcPr>
          <w:p w14:paraId="050C28D6" w14:textId="77777777" w:rsidR="005F4A7E" w:rsidRDefault="005F4A7E">
            <w:pPr>
              <w:pStyle w:val="ARfintablebody"/>
            </w:pPr>
            <w:r>
              <w:t>Department of Families, Fairness and Housing</w:t>
            </w:r>
          </w:p>
        </w:tc>
        <w:tc>
          <w:tcPr>
            <w:tcW w:w="2155" w:type="dxa"/>
            <w:tcBorders>
              <w:top w:val="single" w:sz="4" w:space="0" w:color="A6A6A6"/>
              <w:bottom w:val="single" w:sz="4" w:space="0" w:color="A6A6A6"/>
            </w:tcBorders>
            <w:hideMark/>
          </w:tcPr>
          <w:p w14:paraId="3E8759BB" w14:textId="77777777" w:rsidR="005F4A7E" w:rsidRDefault="005F4A7E">
            <w:pPr>
              <w:pStyle w:val="ARfintablebody"/>
            </w:pPr>
            <w:r>
              <w:t>Chris Asquini</w:t>
            </w:r>
          </w:p>
        </w:tc>
        <w:tc>
          <w:tcPr>
            <w:tcW w:w="2155" w:type="dxa"/>
            <w:tcBorders>
              <w:top w:val="single" w:sz="4" w:space="0" w:color="A6A6A6"/>
              <w:bottom w:val="single" w:sz="4" w:space="0" w:color="A6A6A6"/>
            </w:tcBorders>
            <w:hideMark/>
          </w:tcPr>
          <w:p w14:paraId="698A396A" w14:textId="77777777" w:rsidR="005F4A7E" w:rsidRDefault="005F4A7E">
            <w:pPr>
              <w:pStyle w:val="ARfintablebody"/>
            </w:pPr>
            <w:r>
              <w:t>Deputy Secretary, Community Services Operations</w:t>
            </w:r>
          </w:p>
        </w:tc>
        <w:tc>
          <w:tcPr>
            <w:tcW w:w="3175" w:type="dxa"/>
            <w:tcBorders>
              <w:top w:val="single" w:sz="4" w:space="0" w:color="A6A6A6"/>
              <w:bottom w:val="single" w:sz="4" w:space="0" w:color="A6A6A6"/>
            </w:tcBorders>
            <w:hideMark/>
          </w:tcPr>
          <w:p w14:paraId="76C99995" w14:textId="77777777" w:rsidR="005F4A7E" w:rsidRDefault="005F4A7E">
            <w:pPr>
              <w:pStyle w:val="ARfintablebody"/>
            </w:pPr>
            <w:r>
              <w:t>1 February 2021 to 30 June 2021</w:t>
            </w:r>
          </w:p>
        </w:tc>
      </w:tr>
      <w:tr w:rsidR="005F4A7E" w14:paraId="52892808" w14:textId="77777777" w:rsidTr="00130D1C">
        <w:trPr>
          <w:gridAfter w:val="1"/>
          <w:wAfter w:w="10" w:type="dxa"/>
          <w:cantSplit w:val="0"/>
        </w:trPr>
        <w:tc>
          <w:tcPr>
            <w:tcW w:w="2155" w:type="dxa"/>
            <w:tcBorders>
              <w:top w:val="single" w:sz="4" w:space="0" w:color="A6A6A6"/>
              <w:bottom w:val="single" w:sz="4" w:space="0" w:color="A6A6A6"/>
            </w:tcBorders>
            <w:hideMark/>
          </w:tcPr>
          <w:p w14:paraId="72C8601C" w14:textId="77777777" w:rsidR="005F4A7E" w:rsidRDefault="005F4A7E">
            <w:pPr>
              <w:pStyle w:val="ARfintablebody"/>
            </w:pPr>
            <w:r>
              <w:t>Department of Families, Fairness and Housing</w:t>
            </w:r>
          </w:p>
        </w:tc>
        <w:tc>
          <w:tcPr>
            <w:tcW w:w="2155" w:type="dxa"/>
            <w:tcBorders>
              <w:top w:val="single" w:sz="4" w:space="0" w:color="A6A6A6"/>
              <w:bottom w:val="single" w:sz="4" w:space="0" w:color="A6A6A6"/>
            </w:tcBorders>
            <w:hideMark/>
          </w:tcPr>
          <w:p w14:paraId="0C1C1719" w14:textId="77777777" w:rsidR="005F4A7E" w:rsidRDefault="005F4A7E">
            <w:pPr>
              <w:pStyle w:val="ARfintablebody"/>
            </w:pPr>
            <w:r>
              <w:t>Argiri Alisandratos</w:t>
            </w:r>
          </w:p>
        </w:tc>
        <w:tc>
          <w:tcPr>
            <w:tcW w:w="2155" w:type="dxa"/>
            <w:tcBorders>
              <w:top w:val="single" w:sz="4" w:space="0" w:color="A6A6A6"/>
              <w:bottom w:val="single" w:sz="4" w:space="0" w:color="A6A6A6"/>
            </w:tcBorders>
            <w:hideMark/>
          </w:tcPr>
          <w:p w14:paraId="2CAED68D" w14:textId="77777777" w:rsidR="005F4A7E" w:rsidRDefault="005F4A7E">
            <w:pPr>
              <w:pStyle w:val="ARfintablebody"/>
            </w:pPr>
            <w:r>
              <w:t>Deputy Secretary, Children, Families, Communities and Disability</w:t>
            </w:r>
          </w:p>
        </w:tc>
        <w:tc>
          <w:tcPr>
            <w:tcW w:w="3175" w:type="dxa"/>
            <w:tcBorders>
              <w:top w:val="single" w:sz="4" w:space="0" w:color="A6A6A6"/>
              <w:bottom w:val="single" w:sz="4" w:space="0" w:color="A6A6A6"/>
            </w:tcBorders>
            <w:hideMark/>
          </w:tcPr>
          <w:p w14:paraId="4A69A91A" w14:textId="77777777" w:rsidR="005F4A7E" w:rsidRDefault="005F4A7E">
            <w:pPr>
              <w:pStyle w:val="ARfintablebody"/>
            </w:pPr>
            <w:r>
              <w:t>1 February 2021 to 30 June 2021</w:t>
            </w:r>
          </w:p>
        </w:tc>
      </w:tr>
      <w:tr w:rsidR="005F4A7E" w14:paraId="41D883AC" w14:textId="77777777" w:rsidTr="00130D1C">
        <w:trPr>
          <w:gridAfter w:val="1"/>
          <w:wAfter w:w="10" w:type="dxa"/>
          <w:cantSplit w:val="0"/>
        </w:trPr>
        <w:tc>
          <w:tcPr>
            <w:tcW w:w="2155" w:type="dxa"/>
            <w:tcBorders>
              <w:top w:val="single" w:sz="4" w:space="0" w:color="A6A6A6"/>
              <w:bottom w:val="single" w:sz="4" w:space="0" w:color="A6A6A6"/>
            </w:tcBorders>
            <w:hideMark/>
          </w:tcPr>
          <w:p w14:paraId="72D18FB9" w14:textId="77777777" w:rsidR="005F4A7E" w:rsidRDefault="005F4A7E">
            <w:pPr>
              <w:pStyle w:val="ARfintablebody"/>
            </w:pPr>
            <w:r>
              <w:t>Department of Families, Fairness and Housing</w:t>
            </w:r>
          </w:p>
        </w:tc>
        <w:tc>
          <w:tcPr>
            <w:tcW w:w="2155" w:type="dxa"/>
            <w:tcBorders>
              <w:top w:val="single" w:sz="4" w:space="0" w:color="A6A6A6"/>
              <w:bottom w:val="single" w:sz="4" w:space="0" w:color="A6A6A6"/>
            </w:tcBorders>
            <w:hideMark/>
          </w:tcPr>
          <w:p w14:paraId="6C839DB9" w14:textId="77777777" w:rsidR="005F4A7E" w:rsidRDefault="005F4A7E">
            <w:pPr>
              <w:pStyle w:val="ARfintablebody"/>
            </w:pPr>
            <w:r>
              <w:t>Brigid Monagle</w:t>
            </w:r>
          </w:p>
        </w:tc>
        <w:tc>
          <w:tcPr>
            <w:tcW w:w="2155" w:type="dxa"/>
            <w:tcBorders>
              <w:top w:val="single" w:sz="4" w:space="0" w:color="A6A6A6"/>
              <w:bottom w:val="single" w:sz="4" w:space="0" w:color="A6A6A6"/>
            </w:tcBorders>
            <w:hideMark/>
          </w:tcPr>
          <w:p w14:paraId="1046A33E" w14:textId="77777777" w:rsidR="005F4A7E" w:rsidRDefault="005F4A7E">
            <w:pPr>
              <w:pStyle w:val="ARfintablebody"/>
            </w:pPr>
            <w:r>
              <w:t>Deputy Secretary, Fairer Victoria</w:t>
            </w:r>
          </w:p>
        </w:tc>
        <w:tc>
          <w:tcPr>
            <w:tcW w:w="3175" w:type="dxa"/>
            <w:tcBorders>
              <w:top w:val="single" w:sz="4" w:space="0" w:color="A6A6A6"/>
              <w:bottom w:val="single" w:sz="4" w:space="0" w:color="A6A6A6"/>
            </w:tcBorders>
            <w:hideMark/>
          </w:tcPr>
          <w:p w14:paraId="00F13DB2" w14:textId="77777777" w:rsidR="005F4A7E" w:rsidRDefault="005F4A7E">
            <w:pPr>
              <w:pStyle w:val="ARfintablebody"/>
            </w:pPr>
            <w:r>
              <w:t>1 February 2021 to 30 June 2021</w:t>
            </w:r>
          </w:p>
        </w:tc>
      </w:tr>
      <w:tr w:rsidR="005F4A7E" w14:paraId="05743631" w14:textId="77777777" w:rsidTr="00130D1C">
        <w:trPr>
          <w:gridAfter w:val="1"/>
          <w:wAfter w:w="10" w:type="dxa"/>
          <w:cantSplit w:val="0"/>
        </w:trPr>
        <w:tc>
          <w:tcPr>
            <w:tcW w:w="2155" w:type="dxa"/>
            <w:tcBorders>
              <w:top w:val="single" w:sz="4" w:space="0" w:color="A6A6A6"/>
              <w:bottom w:val="single" w:sz="4" w:space="0" w:color="A6A6A6"/>
            </w:tcBorders>
            <w:hideMark/>
          </w:tcPr>
          <w:p w14:paraId="2A402532" w14:textId="77777777" w:rsidR="005F4A7E" w:rsidRDefault="005F4A7E">
            <w:pPr>
              <w:pStyle w:val="ARfintablebody"/>
            </w:pPr>
            <w:r>
              <w:t>Department of Families, Fairness and Housing</w:t>
            </w:r>
          </w:p>
        </w:tc>
        <w:tc>
          <w:tcPr>
            <w:tcW w:w="2155" w:type="dxa"/>
            <w:tcBorders>
              <w:top w:val="single" w:sz="4" w:space="0" w:color="A6A6A6"/>
              <w:bottom w:val="single" w:sz="4" w:space="0" w:color="A6A6A6"/>
            </w:tcBorders>
            <w:hideMark/>
          </w:tcPr>
          <w:p w14:paraId="79DFA795" w14:textId="77777777" w:rsidR="005F4A7E" w:rsidRDefault="005F4A7E">
            <w:pPr>
              <w:pStyle w:val="ARfintablebody"/>
            </w:pPr>
            <w:r>
              <w:t>Annette Lancy</w:t>
            </w:r>
          </w:p>
        </w:tc>
        <w:tc>
          <w:tcPr>
            <w:tcW w:w="2155" w:type="dxa"/>
            <w:tcBorders>
              <w:top w:val="single" w:sz="4" w:space="0" w:color="A6A6A6"/>
              <w:bottom w:val="single" w:sz="4" w:space="0" w:color="A6A6A6"/>
            </w:tcBorders>
            <w:hideMark/>
          </w:tcPr>
          <w:p w14:paraId="142CF6B8" w14:textId="77777777" w:rsidR="005F4A7E" w:rsidRDefault="005F4A7E">
            <w:pPr>
              <w:pStyle w:val="ARfintablebody"/>
            </w:pPr>
            <w:r>
              <w:t>Deputy Secretary, Readiness, Response and Emergency Management</w:t>
            </w:r>
          </w:p>
        </w:tc>
        <w:tc>
          <w:tcPr>
            <w:tcW w:w="3175" w:type="dxa"/>
            <w:tcBorders>
              <w:top w:val="single" w:sz="4" w:space="0" w:color="A6A6A6"/>
              <w:bottom w:val="single" w:sz="4" w:space="0" w:color="A6A6A6"/>
            </w:tcBorders>
            <w:hideMark/>
          </w:tcPr>
          <w:p w14:paraId="1C01A06D" w14:textId="77777777" w:rsidR="005F4A7E" w:rsidRDefault="005F4A7E">
            <w:pPr>
              <w:pStyle w:val="ARfintablebody"/>
            </w:pPr>
            <w:r>
              <w:rPr>
                <w:color w:val="auto"/>
              </w:rPr>
              <w:t xml:space="preserve">1 February 2021 </w:t>
            </w:r>
            <w:r>
              <w:t>to 30 June 2021</w:t>
            </w:r>
          </w:p>
        </w:tc>
      </w:tr>
      <w:tr w:rsidR="005F4A7E" w14:paraId="73E1AC38" w14:textId="77777777" w:rsidTr="00130D1C">
        <w:trPr>
          <w:gridAfter w:val="1"/>
          <w:wAfter w:w="10" w:type="dxa"/>
          <w:cantSplit w:val="0"/>
        </w:trPr>
        <w:tc>
          <w:tcPr>
            <w:tcW w:w="2155" w:type="dxa"/>
            <w:tcBorders>
              <w:top w:val="single" w:sz="4" w:space="0" w:color="A6A6A6"/>
              <w:bottom w:val="single" w:sz="4" w:space="0" w:color="A6A6A6"/>
            </w:tcBorders>
            <w:hideMark/>
          </w:tcPr>
          <w:p w14:paraId="564F98F1" w14:textId="77777777" w:rsidR="005F4A7E" w:rsidRDefault="005F4A7E">
            <w:pPr>
              <w:pStyle w:val="ARfintablebody"/>
            </w:pPr>
            <w:r>
              <w:t>Department of Families, Fairness and Housing</w:t>
            </w:r>
          </w:p>
        </w:tc>
        <w:tc>
          <w:tcPr>
            <w:tcW w:w="2155" w:type="dxa"/>
            <w:tcBorders>
              <w:top w:val="single" w:sz="4" w:space="0" w:color="A6A6A6"/>
              <w:bottom w:val="single" w:sz="4" w:space="0" w:color="A6A6A6"/>
            </w:tcBorders>
            <w:hideMark/>
          </w:tcPr>
          <w:p w14:paraId="46AB36A8" w14:textId="77777777" w:rsidR="005F4A7E" w:rsidRDefault="005F4A7E">
            <w:pPr>
              <w:pStyle w:val="ARfintablebody"/>
            </w:pPr>
            <w:r>
              <w:t>Andrew Minack</w:t>
            </w:r>
          </w:p>
        </w:tc>
        <w:tc>
          <w:tcPr>
            <w:tcW w:w="2155" w:type="dxa"/>
            <w:tcBorders>
              <w:top w:val="single" w:sz="4" w:space="0" w:color="A6A6A6"/>
              <w:bottom w:val="single" w:sz="4" w:space="0" w:color="A6A6A6"/>
            </w:tcBorders>
            <w:hideMark/>
          </w:tcPr>
          <w:p w14:paraId="315CB475" w14:textId="77777777" w:rsidR="005F4A7E" w:rsidRDefault="005F4A7E">
            <w:pPr>
              <w:pStyle w:val="ARfintablebody"/>
            </w:pPr>
            <w:r>
              <w:t>Deputy Secretary, Corporate and Delivery Services</w:t>
            </w:r>
          </w:p>
        </w:tc>
        <w:tc>
          <w:tcPr>
            <w:tcW w:w="3175" w:type="dxa"/>
            <w:tcBorders>
              <w:top w:val="single" w:sz="4" w:space="0" w:color="A6A6A6"/>
              <w:bottom w:val="single" w:sz="4" w:space="0" w:color="A6A6A6"/>
            </w:tcBorders>
            <w:hideMark/>
          </w:tcPr>
          <w:p w14:paraId="4C83B5C9" w14:textId="77777777" w:rsidR="005F4A7E" w:rsidRDefault="005F4A7E">
            <w:pPr>
              <w:pStyle w:val="ARfintablebody"/>
            </w:pPr>
            <w:r>
              <w:t>1 February 2021 to 30 June 2021</w:t>
            </w:r>
          </w:p>
        </w:tc>
      </w:tr>
      <w:tr w:rsidR="005F4A7E" w14:paraId="20A704B5" w14:textId="77777777" w:rsidTr="00130D1C">
        <w:trPr>
          <w:gridAfter w:val="1"/>
          <w:wAfter w:w="10" w:type="dxa"/>
          <w:cantSplit w:val="0"/>
        </w:trPr>
        <w:tc>
          <w:tcPr>
            <w:tcW w:w="2155" w:type="dxa"/>
            <w:tcBorders>
              <w:top w:val="single" w:sz="4" w:space="0" w:color="A6A6A6"/>
              <w:bottom w:val="single" w:sz="4" w:space="0" w:color="A6A6A6"/>
            </w:tcBorders>
            <w:hideMark/>
          </w:tcPr>
          <w:p w14:paraId="3398D622" w14:textId="77777777" w:rsidR="005F4A7E" w:rsidRDefault="005F4A7E">
            <w:pPr>
              <w:pStyle w:val="ARfintablebody"/>
            </w:pPr>
            <w:r>
              <w:t>Department of Families, Fairness and Housing</w:t>
            </w:r>
          </w:p>
        </w:tc>
        <w:tc>
          <w:tcPr>
            <w:tcW w:w="2155" w:type="dxa"/>
            <w:tcBorders>
              <w:top w:val="single" w:sz="4" w:space="0" w:color="A6A6A6"/>
              <w:bottom w:val="single" w:sz="4" w:space="0" w:color="A6A6A6"/>
            </w:tcBorders>
            <w:hideMark/>
          </w:tcPr>
          <w:p w14:paraId="095B9E83" w14:textId="77777777" w:rsidR="005F4A7E" w:rsidRDefault="005F4A7E">
            <w:pPr>
              <w:pStyle w:val="ARfintablebody"/>
            </w:pPr>
            <w:r>
              <w:t>Christina Dickinson</w:t>
            </w:r>
          </w:p>
        </w:tc>
        <w:tc>
          <w:tcPr>
            <w:tcW w:w="2155" w:type="dxa"/>
            <w:tcBorders>
              <w:top w:val="single" w:sz="4" w:space="0" w:color="A6A6A6"/>
              <w:bottom w:val="single" w:sz="4" w:space="0" w:color="A6A6A6"/>
            </w:tcBorders>
            <w:hideMark/>
          </w:tcPr>
          <w:p w14:paraId="1ADCB7FF" w14:textId="77777777" w:rsidR="005F4A7E" w:rsidRDefault="005F4A7E">
            <w:pPr>
              <w:pStyle w:val="ARfintablebody"/>
            </w:pPr>
            <w:r>
              <w:t>Deputy Secretary, Strategy and Regulation</w:t>
            </w:r>
          </w:p>
        </w:tc>
        <w:tc>
          <w:tcPr>
            <w:tcW w:w="3175" w:type="dxa"/>
            <w:tcBorders>
              <w:top w:val="single" w:sz="4" w:space="0" w:color="A6A6A6"/>
              <w:bottom w:val="single" w:sz="4" w:space="0" w:color="A6A6A6"/>
            </w:tcBorders>
            <w:hideMark/>
          </w:tcPr>
          <w:p w14:paraId="208B7227" w14:textId="77777777" w:rsidR="005F4A7E" w:rsidRDefault="005F4A7E">
            <w:pPr>
              <w:pStyle w:val="ARfintablebody"/>
            </w:pPr>
            <w:r>
              <w:t>1 February 2021 to 30 June 2021</w:t>
            </w:r>
          </w:p>
        </w:tc>
      </w:tr>
      <w:tr w:rsidR="005F4A7E" w14:paraId="67C312F3" w14:textId="77777777" w:rsidTr="00130D1C">
        <w:trPr>
          <w:gridAfter w:val="1"/>
          <w:wAfter w:w="10" w:type="dxa"/>
          <w:cantSplit w:val="0"/>
        </w:trPr>
        <w:tc>
          <w:tcPr>
            <w:tcW w:w="2155" w:type="dxa"/>
            <w:tcBorders>
              <w:top w:val="single" w:sz="4" w:space="0" w:color="A6A6A6"/>
              <w:bottom w:val="single" w:sz="4" w:space="0" w:color="A6A6A6"/>
            </w:tcBorders>
            <w:hideMark/>
          </w:tcPr>
          <w:p w14:paraId="426C529E" w14:textId="77777777" w:rsidR="005F4A7E" w:rsidRDefault="005F4A7E">
            <w:pPr>
              <w:pStyle w:val="ARfintablebody"/>
            </w:pPr>
            <w:r>
              <w:t>Department of Families, Fairness and Housing</w:t>
            </w:r>
          </w:p>
        </w:tc>
        <w:tc>
          <w:tcPr>
            <w:tcW w:w="2155" w:type="dxa"/>
            <w:tcBorders>
              <w:top w:val="single" w:sz="4" w:space="0" w:color="A6A6A6"/>
              <w:bottom w:val="single" w:sz="4" w:space="0" w:color="A6A6A6"/>
            </w:tcBorders>
            <w:hideMark/>
          </w:tcPr>
          <w:p w14:paraId="50AA6072" w14:textId="77777777" w:rsidR="005F4A7E" w:rsidRDefault="005F4A7E">
            <w:pPr>
              <w:pStyle w:val="ARfintablebody"/>
            </w:pPr>
            <w:r>
              <w:t>Louise Perry</w:t>
            </w:r>
          </w:p>
        </w:tc>
        <w:tc>
          <w:tcPr>
            <w:tcW w:w="2155" w:type="dxa"/>
            <w:tcBorders>
              <w:top w:val="single" w:sz="4" w:space="0" w:color="A6A6A6"/>
              <w:bottom w:val="single" w:sz="4" w:space="0" w:color="A6A6A6"/>
            </w:tcBorders>
            <w:hideMark/>
          </w:tcPr>
          <w:p w14:paraId="3342E894" w14:textId="77777777" w:rsidR="005F4A7E" w:rsidRDefault="005F4A7E">
            <w:pPr>
              <w:pStyle w:val="ARfintablebody"/>
            </w:pPr>
            <w:r>
              <w:t>Chief of Engagement and Reform</w:t>
            </w:r>
          </w:p>
        </w:tc>
        <w:tc>
          <w:tcPr>
            <w:tcW w:w="3175" w:type="dxa"/>
            <w:tcBorders>
              <w:top w:val="single" w:sz="4" w:space="0" w:color="A6A6A6"/>
              <w:bottom w:val="single" w:sz="4" w:space="0" w:color="A6A6A6"/>
            </w:tcBorders>
            <w:hideMark/>
          </w:tcPr>
          <w:p w14:paraId="28E15693" w14:textId="77777777" w:rsidR="005F4A7E" w:rsidRDefault="005F4A7E">
            <w:pPr>
              <w:pStyle w:val="ARfintablebody"/>
            </w:pPr>
            <w:r>
              <w:t>14 February 2021 to 30 June 2021</w:t>
            </w:r>
          </w:p>
        </w:tc>
      </w:tr>
      <w:tr w:rsidR="005F4A7E" w14:paraId="50928CBF" w14:textId="77777777" w:rsidTr="00130D1C">
        <w:trPr>
          <w:gridAfter w:val="1"/>
          <w:wAfter w:w="10" w:type="dxa"/>
          <w:cantSplit w:val="0"/>
        </w:trPr>
        <w:tc>
          <w:tcPr>
            <w:tcW w:w="2155" w:type="dxa"/>
            <w:tcBorders>
              <w:top w:val="single" w:sz="4" w:space="0" w:color="A6A6A6"/>
              <w:bottom w:val="single" w:sz="4" w:space="0" w:color="A6A6A6"/>
            </w:tcBorders>
            <w:hideMark/>
          </w:tcPr>
          <w:p w14:paraId="41BAF468" w14:textId="77777777" w:rsidR="005F4A7E" w:rsidRDefault="005F4A7E">
            <w:pPr>
              <w:pStyle w:val="ARfintablebody"/>
            </w:pPr>
            <w:r>
              <w:t>Department of Families, Fairness and Housing</w:t>
            </w:r>
          </w:p>
        </w:tc>
        <w:tc>
          <w:tcPr>
            <w:tcW w:w="2155" w:type="dxa"/>
            <w:tcBorders>
              <w:top w:val="single" w:sz="4" w:space="0" w:color="A6A6A6"/>
              <w:bottom w:val="single" w:sz="4" w:space="0" w:color="A6A6A6"/>
            </w:tcBorders>
            <w:hideMark/>
          </w:tcPr>
          <w:p w14:paraId="3C3F047C" w14:textId="77777777" w:rsidR="005F4A7E" w:rsidRDefault="005F4A7E">
            <w:pPr>
              <w:pStyle w:val="ARfintablebody"/>
            </w:pPr>
            <w:r>
              <w:t>Jenny Zahara</w:t>
            </w:r>
          </w:p>
        </w:tc>
        <w:tc>
          <w:tcPr>
            <w:tcW w:w="2155" w:type="dxa"/>
            <w:tcBorders>
              <w:top w:val="single" w:sz="4" w:space="0" w:color="A6A6A6"/>
              <w:bottom w:val="single" w:sz="4" w:space="0" w:color="A6A6A6"/>
            </w:tcBorders>
            <w:hideMark/>
          </w:tcPr>
          <w:p w14:paraId="589BE68E" w14:textId="77777777" w:rsidR="005F4A7E" w:rsidRDefault="005F4A7E">
            <w:pPr>
              <w:pStyle w:val="ARfintablebody"/>
            </w:pPr>
            <w:r>
              <w:t>Interim Chief Finance Officer</w:t>
            </w:r>
          </w:p>
        </w:tc>
        <w:tc>
          <w:tcPr>
            <w:tcW w:w="3175" w:type="dxa"/>
            <w:tcBorders>
              <w:top w:val="single" w:sz="4" w:space="0" w:color="A6A6A6"/>
              <w:bottom w:val="single" w:sz="4" w:space="0" w:color="A6A6A6"/>
            </w:tcBorders>
            <w:hideMark/>
          </w:tcPr>
          <w:p w14:paraId="6FE8C9CC" w14:textId="77777777" w:rsidR="005F4A7E" w:rsidRDefault="005F4A7E">
            <w:pPr>
              <w:pStyle w:val="ARfintablebody"/>
            </w:pPr>
            <w:r>
              <w:t>1 February 2021 to 11 April 2021</w:t>
            </w:r>
          </w:p>
        </w:tc>
      </w:tr>
      <w:tr w:rsidR="005F4A7E" w14:paraId="717F9EFF" w14:textId="77777777" w:rsidTr="00130D1C">
        <w:trPr>
          <w:gridAfter w:val="1"/>
          <w:wAfter w:w="10" w:type="dxa"/>
          <w:cantSplit w:val="0"/>
        </w:trPr>
        <w:tc>
          <w:tcPr>
            <w:tcW w:w="2155" w:type="dxa"/>
            <w:tcBorders>
              <w:top w:val="single" w:sz="4" w:space="0" w:color="A6A6A6"/>
            </w:tcBorders>
            <w:hideMark/>
          </w:tcPr>
          <w:p w14:paraId="212E5C1F" w14:textId="77777777" w:rsidR="005F4A7E" w:rsidRDefault="005F4A7E">
            <w:pPr>
              <w:pStyle w:val="ARfintablebody"/>
            </w:pPr>
            <w:r>
              <w:t>Department of Families, Fairness and Housing</w:t>
            </w:r>
          </w:p>
        </w:tc>
        <w:tc>
          <w:tcPr>
            <w:tcW w:w="2155" w:type="dxa"/>
            <w:tcBorders>
              <w:top w:val="single" w:sz="4" w:space="0" w:color="A6A6A6"/>
            </w:tcBorders>
            <w:hideMark/>
          </w:tcPr>
          <w:p w14:paraId="0A90D7D9" w14:textId="77777777" w:rsidR="005F4A7E" w:rsidRDefault="005F4A7E">
            <w:pPr>
              <w:pStyle w:val="ARfintablebody"/>
            </w:pPr>
            <w:r>
              <w:t>Cynthia Lahiff</w:t>
            </w:r>
          </w:p>
        </w:tc>
        <w:tc>
          <w:tcPr>
            <w:tcW w:w="2155" w:type="dxa"/>
            <w:tcBorders>
              <w:top w:val="single" w:sz="4" w:space="0" w:color="A6A6A6"/>
            </w:tcBorders>
            <w:hideMark/>
          </w:tcPr>
          <w:p w14:paraId="71B5575A" w14:textId="77777777" w:rsidR="005F4A7E" w:rsidRDefault="005F4A7E">
            <w:pPr>
              <w:pStyle w:val="ARfintablebody"/>
            </w:pPr>
            <w:r>
              <w:t>Chief Finance Officer</w:t>
            </w:r>
          </w:p>
        </w:tc>
        <w:tc>
          <w:tcPr>
            <w:tcW w:w="3175" w:type="dxa"/>
            <w:tcBorders>
              <w:top w:val="single" w:sz="4" w:space="0" w:color="A6A6A6"/>
            </w:tcBorders>
            <w:hideMark/>
          </w:tcPr>
          <w:p w14:paraId="54E50863" w14:textId="77777777" w:rsidR="005F4A7E" w:rsidRDefault="005F4A7E">
            <w:pPr>
              <w:pStyle w:val="ARfintablebody"/>
            </w:pPr>
            <w:r>
              <w:t>12 April 2021 to 30 June 2021</w:t>
            </w:r>
          </w:p>
        </w:tc>
      </w:tr>
    </w:tbl>
    <w:p w14:paraId="48037F18" w14:textId="77777777" w:rsidR="005F4A7E" w:rsidRPr="00C75BB8" w:rsidRDefault="005F4A7E" w:rsidP="00130D1C">
      <w:pPr>
        <w:pStyle w:val="ARfinbody"/>
      </w:pPr>
      <w:r w:rsidRPr="00C75BB8">
        <w:br w:type="page"/>
      </w:r>
    </w:p>
    <w:p w14:paraId="492F8945" w14:textId="77777777" w:rsidR="005F4A7E" w:rsidRDefault="005F4A7E" w:rsidP="00130D1C">
      <w:pPr>
        <w:pStyle w:val="Heading5"/>
      </w:pPr>
      <w:bookmarkStart w:id="1073" w:name="_Toc85121559"/>
      <w:r>
        <w:lastRenderedPageBreak/>
        <w:t>Remuneration of key management personnel</w:t>
      </w:r>
      <w:bookmarkEnd w:id="1073"/>
    </w:p>
    <w:p w14:paraId="3FB1F5D5" w14:textId="5F3968A9" w:rsidR="005F4A7E" w:rsidRDefault="005F4A7E" w:rsidP="00130D1C">
      <w:pPr>
        <w:pStyle w:val="ARfinbody"/>
      </w:pPr>
      <w:r>
        <w:t>The compensation detailed below excludes the salaries and benefits the Portfolio Ministers received. The Ministers</w:t>
      </w:r>
      <w:r w:rsidR="007D145B">
        <w:t>’</w:t>
      </w:r>
      <w:r>
        <w:t xml:space="preserve"> remuneration and allowances are set by the </w:t>
      </w:r>
      <w:r>
        <w:rPr>
          <w:rStyle w:val="Emphasis"/>
        </w:rPr>
        <w:t>Parliamentary Salaries and Superannuation Act 1968</w:t>
      </w:r>
      <w:r>
        <w:t xml:space="preserve"> and are reported within the Department of Parliamentary Services</w:t>
      </w:r>
      <w:r w:rsidR="007D145B">
        <w:t>’</w:t>
      </w:r>
      <w:r>
        <w:t xml:space="preserve"> Financial Report.</w:t>
      </w:r>
    </w:p>
    <w:tbl>
      <w:tblPr>
        <w:tblStyle w:val="TableGrid"/>
        <w:tblW w:w="9639" w:type="dxa"/>
        <w:tblLayout w:type="fixed"/>
        <w:tblLook w:val="06A0" w:firstRow="1" w:lastRow="0" w:firstColumn="1" w:lastColumn="0" w:noHBand="1" w:noVBand="1"/>
      </w:tblPr>
      <w:tblGrid>
        <w:gridCol w:w="1927"/>
        <w:gridCol w:w="964"/>
        <w:gridCol w:w="964"/>
        <w:gridCol w:w="964"/>
        <w:gridCol w:w="964"/>
        <w:gridCol w:w="964"/>
        <w:gridCol w:w="964"/>
        <w:gridCol w:w="964"/>
        <w:gridCol w:w="964"/>
      </w:tblGrid>
      <w:tr w:rsidR="005F4A7E" w:rsidRPr="002029AF" w14:paraId="2273CBC0" w14:textId="77777777" w:rsidTr="00130D1C">
        <w:trPr>
          <w:cnfStyle w:val="100000000000" w:firstRow="1" w:lastRow="0" w:firstColumn="0" w:lastColumn="0" w:oddVBand="0" w:evenVBand="0" w:oddHBand="0" w:evenHBand="0" w:firstRowFirstColumn="0" w:firstRowLastColumn="0" w:lastRowFirstColumn="0" w:lastRowLastColumn="0"/>
          <w:trHeight w:val="255"/>
          <w:tblHeader/>
        </w:trPr>
        <w:tc>
          <w:tcPr>
            <w:tcW w:w="1927" w:type="dxa"/>
            <w:vMerge w:val="restart"/>
            <w:noWrap/>
            <w:hideMark/>
          </w:tcPr>
          <w:p w14:paraId="2930B716" w14:textId="77777777" w:rsidR="005F4A7E" w:rsidRPr="002029AF" w:rsidRDefault="005F4A7E" w:rsidP="00860E95">
            <w:pPr>
              <w:pStyle w:val="ARfintablecolhead"/>
            </w:pPr>
            <w:r w:rsidRPr="002029AF">
              <w:t>Compensation of</w:t>
            </w:r>
            <w:r>
              <w:t> </w:t>
            </w:r>
            <w:r w:rsidRPr="002029AF">
              <w:t>KMPs</w:t>
            </w:r>
          </w:p>
        </w:tc>
        <w:tc>
          <w:tcPr>
            <w:tcW w:w="1928" w:type="dxa"/>
            <w:gridSpan w:val="2"/>
          </w:tcPr>
          <w:p w14:paraId="4CEC7E24" w14:textId="77777777" w:rsidR="005F4A7E" w:rsidRPr="002029AF" w:rsidRDefault="005F4A7E" w:rsidP="00860E95">
            <w:pPr>
              <w:pStyle w:val="ARfintablecolheadcentre"/>
            </w:pPr>
            <w:r w:rsidRPr="002A01F5">
              <w:t>Department of</w:t>
            </w:r>
            <w:r>
              <w:t> </w:t>
            </w:r>
            <w:r w:rsidRPr="002A01F5">
              <w:t xml:space="preserve">Health </w:t>
            </w:r>
            <w:r w:rsidRPr="002A01F5">
              <w:rPr>
                <w:rStyle w:val="Superscript"/>
              </w:rPr>
              <w:t>(i</w:t>
            </w:r>
            <w:r>
              <w:rPr>
                <w:rStyle w:val="Superscript"/>
              </w:rPr>
              <w:t>)(ii</w:t>
            </w:r>
            <w:r w:rsidRPr="002A01F5">
              <w:rPr>
                <w:rStyle w:val="Superscript"/>
              </w:rPr>
              <w:t>)</w:t>
            </w:r>
          </w:p>
        </w:tc>
        <w:tc>
          <w:tcPr>
            <w:tcW w:w="1928" w:type="dxa"/>
            <w:gridSpan w:val="2"/>
            <w:hideMark/>
          </w:tcPr>
          <w:p w14:paraId="27AFF8EE" w14:textId="77777777" w:rsidR="005F4A7E" w:rsidRPr="002029AF" w:rsidRDefault="005F4A7E" w:rsidP="00860E95">
            <w:pPr>
              <w:pStyle w:val="ARfintablecolheadcentre"/>
            </w:pPr>
            <w:r w:rsidRPr="002A01F5">
              <w:t>Department of Families, Fairness and Housing</w:t>
            </w:r>
          </w:p>
        </w:tc>
        <w:tc>
          <w:tcPr>
            <w:tcW w:w="1928" w:type="dxa"/>
            <w:gridSpan w:val="2"/>
            <w:hideMark/>
          </w:tcPr>
          <w:p w14:paraId="24ED91BD" w14:textId="77777777" w:rsidR="005F4A7E" w:rsidRPr="002029AF" w:rsidRDefault="005F4A7E" w:rsidP="00860E95">
            <w:pPr>
              <w:pStyle w:val="ARfintablecolheadcentre"/>
            </w:pPr>
            <w:r w:rsidRPr="002029AF">
              <w:t xml:space="preserve">Administrative Offices </w:t>
            </w:r>
            <w:r w:rsidRPr="002029AF">
              <w:rPr>
                <w:rStyle w:val="Superscript"/>
              </w:rPr>
              <w:t>(i</w:t>
            </w:r>
            <w:r>
              <w:rPr>
                <w:rStyle w:val="Superscript"/>
              </w:rPr>
              <w:t>i</w:t>
            </w:r>
            <w:r w:rsidRPr="002029AF">
              <w:rPr>
                <w:rStyle w:val="Superscript"/>
              </w:rPr>
              <w:t>i)</w:t>
            </w:r>
          </w:p>
        </w:tc>
        <w:tc>
          <w:tcPr>
            <w:tcW w:w="1928" w:type="dxa"/>
            <w:gridSpan w:val="2"/>
            <w:hideMark/>
          </w:tcPr>
          <w:p w14:paraId="48FCB9E1" w14:textId="77777777" w:rsidR="005F4A7E" w:rsidRPr="002029AF" w:rsidRDefault="005F4A7E" w:rsidP="00860E95">
            <w:pPr>
              <w:pStyle w:val="ARfintablecolheadcentre"/>
            </w:pPr>
            <w:r>
              <w:t>Other s</w:t>
            </w:r>
            <w:r w:rsidRPr="002029AF">
              <w:t xml:space="preserve">ection 53 </w:t>
            </w:r>
            <w:r w:rsidRPr="002029AF">
              <w:rPr>
                <w:rStyle w:val="Superscript"/>
              </w:rPr>
              <w:t>(i</w:t>
            </w:r>
            <w:r>
              <w:rPr>
                <w:rStyle w:val="Superscript"/>
              </w:rPr>
              <w:t>v</w:t>
            </w:r>
            <w:r w:rsidRPr="002029AF">
              <w:rPr>
                <w:rStyle w:val="Superscript"/>
              </w:rPr>
              <w:t>)</w:t>
            </w:r>
          </w:p>
        </w:tc>
      </w:tr>
      <w:tr w:rsidR="005F4A7E" w:rsidRPr="002029AF" w14:paraId="232ABAC3" w14:textId="77777777" w:rsidTr="00130D1C">
        <w:trPr>
          <w:cnfStyle w:val="100000000000" w:firstRow="1" w:lastRow="0" w:firstColumn="0" w:lastColumn="0" w:oddVBand="0" w:evenVBand="0" w:oddHBand="0" w:evenHBand="0" w:firstRowFirstColumn="0" w:firstRowLastColumn="0" w:lastRowFirstColumn="0" w:lastRowLastColumn="0"/>
          <w:trHeight w:val="255"/>
          <w:tblHeader/>
        </w:trPr>
        <w:tc>
          <w:tcPr>
            <w:tcW w:w="1927" w:type="dxa"/>
            <w:vMerge/>
            <w:tcBorders>
              <w:bottom w:val="single" w:sz="4" w:space="0" w:color="auto"/>
            </w:tcBorders>
            <w:hideMark/>
          </w:tcPr>
          <w:p w14:paraId="4F5C4483" w14:textId="77777777" w:rsidR="005F4A7E" w:rsidRPr="002029AF" w:rsidRDefault="005F4A7E" w:rsidP="00130D1C">
            <w:pPr>
              <w:pStyle w:val="ARfintablecolhead"/>
            </w:pPr>
          </w:p>
        </w:tc>
        <w:tc>
          <w:tcPr>
            <w:tcW w:w="964" w:type="dxa"/>
            <w:tcBorders>
              <w:bottom w:val="single" w:sz="4" w:space="0" w:color="auto"/>
            </w:tcBorders>
            <w:shd w:val="clear" w:color="auto" w:fill="E7E6E6"/>
          </w:tcPr>
          <w:p w14:paraId="21BD4589" w14:textId="77777777" w:rsidR="005F4A7E" w:rsidRPr="002029AF" w:rsidRDefault="005F4A7E" w:rsidP="00130D1C">
            <w:pPr>
              <w:pStyle w:val="ARfintablecolheadright"/>
            </w:pPr>
            <w:r>
              <w:t>2021</w:t>
            </w:r>
          </w:p>
          <w:p w14:paraId="75215A7B" w14:textId="77777777" w:rsidR="005F4A7E" w:rsidRPr="002029AF" w:rsidRDefault="005F4A7E" w:rsidP="00130D1C">
            <w:pPr>
              <w:pStyle w:val="ARfintablecolheadright"/>
            </w:pPr>
            <w:r w:rsidRPr="002029AF">
              <w:t>$M</w:t>
            </w:r>
          </w:p>
        </w:tc>
        <w:tc>
          <w:tcPr>
            <w:tcW w:w="964" w:type="dxa"/>
            <w:tcBorders>
              <w:bottom w:val="single" w:sz="4" w:space="0" w:color="auto"/>
            </w:tcBorders>
            <w:shd w:val="clear" w:color="auto" w:fill="auto"/>
          </w:tcPr>
          <w:p w14:paraId="1B9905FD" w14:textId="77777777" w:rsidR="005F4A7E" w:rsidRPr="002029AF" w:rsidRDefault="005F4A7E" w:rsidP="00130D1C">
            <w:pPr>
              <w:pStyle w:val="ARfintablecolheadright"/>
            </w:pPr>
            <w:r>
              <w:t>2020</w:t>
            </w:r>
          </w:p>
          <w:p w14:paraId="58878490" w14:textId="77777777" w:rsidR="005F4A7E" w:rsidRPr="002029AF" w:rsidRDefault="005F4A7E" w:rsidP="00130D1C">
            <w:pPr>
              <w:pStyle w:val="ARfintablecolheadright"/>
            </w:pPr>
            <w:r w:rsidRPr="002029AF">
              <w:t>$M</w:t>
            </w:r>
          </w:p>
        </w:tc>
        <w:tc>
          <w:tcPr>
            <w:tcW w:w="964" w:type="dxa"/>
            <w:tcBorders>
              <w:bottom w:val="single" w:sz="4" w:space="0" w:color="auto"/>
            </w:tcBorders>
            <w:shd w:val="clear" w:color="auto" w:fill="E7E6E6"/>
            <w:hideMark/>
          </w:tcPr>
          <w:p w14:paraId="61F5775B" w14:textId="77777777" w:rsidR="005F4A7E" w:rsidRPr="002029AF" w:rsidRDefault="005F4A7E" w:rsidP="00130D1C">
            <w:pPr>
              <w:pStyle w:val="ARfintablecolheadright"/>
            </w:pPr>
            <w:r>
              <w:t>2021</w:t>
            </w:r>
          </w:p>
          <w:p w14:paraId="20F0BF3E" w14:textId="77777777" w:rsidR="005F4A7E" w:rsidRPr="002029AF" w:rsidRDefault="005F4A7E" w:rsidP="00130D1C">
            <w:pPr>
              <w:pStyle w:val="ARfintablecolheadright"/>
            </w:pPr>
            <w:r w:rsidRPr="002029AF">
              <w:t>$M</w:t>
            </w:r>
          </w:p>
        </w:tc>
        <w:tc>
          <w:tcPr>
            <w:tcW w:w="964" w:type="dxa"/>
            <w:tcBorders>
              <w:bottom w:val="single" w:sz="4" w:space="0" w:color="auto"/>
            </w:tcBorders>
            <w:hideMark/>
          </w:tcPr>
          <w:p w14:paraId="4EE5778D" w14:textId="77777777" w:rsidR="005F4A7E" w:rsidRPr="002029AF" w:rsidRDefault="005F4A7E" w:rsidP="00130D1C">
            <w:pPr>
              <w:pStyle w:val="ARfintablecolheadright"/>
            </w:pPr>
            <w:r>
              <w:t>2020</w:t>
            </w:r>
          </w:p>
          <w:p w14:paraId="542847BE" w14:textId="77777777" w:rsidR="005F4A7E" w:rsidRPr="002029AF" w:rsidRDefault="005F4A7E" w:rsidP="00130D1C">
            <w:pPr>
              <w:pStyle w:val="ARfintablecolheadright"/>
            </w:pPr>
            <w:r w:rsidRPr="002029AF">
              <w:t>$M</w:t>
            </w:r>
          </w:p>
        </w:tc>
        <w:tc>
          <w:tcPr>
            <w:tcW w:w="964" w:type="dxa"/>
            <w:tcBorders>
              <w:bottom w:val="single" w:sz="4" w:space="0" w:color="auto"/>
            </w:tcBorders>
            <w:shd w:val="clear" w:color="auto" w:fill="E7E6E6"/>
            <w:hideMark/>
          </w:tcPr>
          <w:p w14:paraId="285536F7" w14:textId="77777777" w:rsidR="005F4A7E" w:rsidRPr="002029AF" w:rsidRDefault="005F4A7E" w:rsidP="00130D1C">
            <w:pPr>
              <w:pStyle w:val="ARfintablecolheadright"/>
            </w:pPr>
            <w:r>
              <w:t>2021</w:t>
            </w:r>
          </w:p>
          <w:p w14:paraId="682A6DA1" w14:textId="77777777" w:rsidR="005F4A7E" w:rsidRPr="002029AF" w:rsidRDefault="005F4A7E" w:rsidP="00130D1C">
            <w:pPr>
              <w:pStyle w:val="ARfintablecolheadright"/>
            </w:pPr>
            <w:r w:rsidRPr="002029AF">
              <w:t>$M</w:t>
            </w:r>
          </w:p>
        </w:tc>
        <w:tc>
          <w:tcPr>
            <w:tcW w:w="964" w:type="dxa"/>
            <w:tcBorders>
              <w:bottom w:val="single" w:sz="4" w:space="0" w:color="auto"/>
            </w:tcBorders>
            <w:hideMark/>
          </w:tcPr>
          <w:p w14:paraId="3EBCB9C4" w14:textId="77777777" w:rsidR="005F4A7E" w:rsidRPr="002029AF" w:rsidRDefault="005F4A7E" w:rsidP="00130D1C">
            <w:pPr>
              <w:pStyle w:val="ARfintablecolheadright"/>
            </w:pPr>
            <w:r>
              <w:t>2020</w:t>
            </w:r>
          </w:p>
          <w:p w14:paraId="692F6CD7" w14:textId="77777777" w:rsidR="005F4A7E" w:rsidRPr="002029AF" w:rsidRDefault="005F4A7E" w:rsidP="00130D1C">
            <w:pPr>
              <w:pStyle w:val="ARfintablecolheadright"/>
            </w:pPr>
            <w:r w:rsidRPr="002029AF">
              <w:t>$M</w:t>
            </w:r>
          </w:p>
        </w:tc>
        <w:tc>
          <w:tcPr>
            <w:tcW w:w="964" w:type="dxa"/>
            <w:tcBorders>
              <w:bottom w:val="single" w:sz="4" w:space="0" w:color="auto"/>
            </w:tcBorders>
            <w:shd w:val="clear" w:color="auto" w:fill="E7E6E6"/>
            <w:hideMark/>
          </w:tcPr>
          <w:p w14:paraId="5B6F6FBC" w14:textId="77777777" w:rsidR="005F4A7E" w:rsidRPr="002029AF" w:rsidRDefault="005F4A7E" w:rsidP="00130D1C">
            <w:pPr>
              <w:pStyle w:val="ARfintablecolheadright"/>
            </w:pPr>
            <w:r>
              <w:t>2021</w:t>
            </w:r>
          </w:p>
          <w:p w14:paraId="5D1E7442" w14:textId="77777777" w:rsidR="005F4A7E" w:rsidRPr="002029AF" w:rsidRDefault="005F4A7E" w:rsidP="00130D1C">
            <w:pPr>
              <w:pStyle w:val="ARfintablecolheadright"/>
            </w:pPr>
            <w:r w:rsidRPr="002029AF">
              <w:t>$M</w:t>
            </w:r>
          </w:p>
        </w:tc>
        <w:tc>
          <w:tcPr>
            <w:tcW w:w="964" w:type="dxa"/>
            <w:tcBorders>
              <w:bottom w:val="single" w:sz="4" w:space="0" w:color="auto"/>
            </w:tcBorders>
            <w:hideMark/>
          </w:tcPr>
          <w:p w14:paraId="745EF691" w14:textId="77777777" w:rsidR="005F4A7E" w:rsidRPr="002029AF" w:rsidRDefault="005F4A7E" w:rsidP="00130D1C">
            <w:pPr>
              <w:pStyle w:val="ARfintablecolheadright"/>
            </w:pPr>
            <w:r>
              <w:t>2020</w:t>
            </w:r>
          </w:p>
          <w:p w14:paraId="7A261CC5" w14:textId="77777777" w:rsidR="005F4A7E" w:rsidRPr="002029AF" w:rsidRDefault="005F4A7E" w:rsidP="00130D1C">
            <w:pPr>
              <w:pStyle w:val="ARfintablecolheadright"/>
            </w:pPr>
            <w:r w:rsidRPr="002029AF">
              <w:t>$M</w:t>
            </w:r>
          </w:p>
        </w:tc>
      </w:tr>
      <w:tr w:rsidR="005F4A7E" w:rsidRPr="002029AF" w14:paraId="33C9CFDB" w14:textId="77777777" w:rsidTr="00130D1C">
        <w:trPr>
          <w:trHeight w:val="255"/>
        </w:trPr>
        <w:tc>
          <w:tcPr>
            <w:tcW w:w="1927" w:type="dxa"/>
            <w:tcBorders>
              <w:top w:val="single" w:sz="4" w:space="0" w:color="auto"/>
              <w:bottom w:val="single" w:sz="4" w:space="0" w:color="A6A6A6"/>
            </w:tcBorders>
            <w:hideMark/>
          </w:tcPr>
          <w:p w14:paraId="394B94CB" w14:textId="77777777" w:rsidR="005F4A7E" w:rsidRPr="002029AF" w:rsidRDefault="005F4A7E" w:rsidP="00130D1C">
            <w:pPr>
              <w:pStyle w:val="ARfintablebody"/>
            </w:pPr>
            <w:r w:rsidRPr="006714F5">
              <w:t>Short-term employee benefits</w:t>
            </w:r>
          </w:p>
        </w:tc>
        <w:tc>
          <w:tcPr>
            <w:tcW w:w="964" w:type="dxa"/>
            <w:tcBorders>
              <w:top w:val="single" w:sz="4" w:space="0" w:color="auto"/>
              <w:bottom w:val="single" w:sz="4" w:space="0" w:color="A6A6A6"/>
            </w:tcBorders>
            <w:shd w:val="clear" w:color="auto" w:fill="E7E6E6"/>
          </w:tcPr>
          <w:p w14:paraId="2398144D" w14:textId="77777777" w:rsidR="005F4A7E" w:rsidRPr="002029AF" w:rsidRDefault="005F4A7E" w:rsidP="00130D1C">
            <w:pPr>
              <w:pStyle w:val="ARfintablebodyright"/>
            </w:pPr>
            <w:r>
              <w:t>5.2</w:t>
            </w:r>
          </w:p>
        </w:tc>
        <w:tc>
          <w:tcPr>
            <w:tcW w:w="964" w:type="dxa"/>
            <w:tcBorders>
              <w:top w:val="single" w:sz="4" w:space="0" w:color="auto"/>
              <w:bottom w:val="single" w:sz="4" w:space="0" w:color="A6A6A6"/>
            </w:tcBorders>
            <w:shd w:val="clear" w:color="auto" w:fill="auto"/>
          </w:tcPr>
          <w:p w14:paraId="1C4F9EAC" w14:textId="77777777" w:rsidR="005F4A7E" w:rsidRPr="002029AF" w:rsidRDefault="005F4A7E" w:rsidP="00130D1C">
            <w:pPr>
              <w:pStyle w:val="ARfintablebodyright"/>
            </w:pPr>
            <w:r w:rsidRPr="006714F5">
              <w:t>3.8</w:t>
            </w:r>
          </w:p>
        </w:tc>
        <w:tc>
          <w:tcPr>
            <w:tcW w:w="964" w:type="dxa"/>
            <w:tcBorders>
              <w:top w:val="single" w:sz="4" w:space="0" w:color="auto"/>
              <w:bottom w:val="single" w:sz="4" w:space="0" w:color="A6A6A6"/>
            </w:tcBorders>
            <w:shd w:val="clear" w:color="auto" w:fill="E7E6E6"/>
            <w:noWrap/>
            <w:hideMark/>
          </w:tcPr>
          <w:p w14:paraId="3586F803" w14:textId="77777777" w:rsidR="005F4A7E" w:rsidRPr="002029AF" w:rsidRDefault="005F4A7E" w:rsidP="00130D1C">
            <w:pPr>
              <w:pStyle w:val="ARfintablebodyright"/>
            </w:pPr>
            <w:r w:rsidRPr="006714F5">
              <w:t>1.</w:t>
            </w:r>
            <w:r>
              <w:t>5</w:t>
            </w:r>
          </w:p>
        </w:tc>
        <w:tc>
          <w:tcPr>
            <w:tcW w:w="964" w:type="dxa"/>
            <w:tcBorders>
              <w:top w:val="single" w:sz="4" w:space="0" w:color="auto"/>
              <w:bottom w:val="single" w:sz="4" w:space="0" w:color="A6A6A6"/>
            </w:tcBorders>
            <w:noWrap/>
            <w:hideMark/>
          </w:tcPr>
          <w:p w14:paraId="15E56887" w14:textId="77777777" w:rsidR="005F4A7E" w:rsidRPr="002029AF" w:rsidRDefault="005F4A7E" w:rsidP="00130D1C">
            <w:pPr>
              <w:pStyle w:val="ARfintablebodyright"/>
            </w:pPr>
            <w:r w:rsidRPr="006714F5">
              <w:t>–</w:t>
            </w:r>
          </w:p>
        </w:tc>
        <w:tc>
          <w:tcPr>
            <w:tcW w:w="964" w:type="dxa"/>
            <w:tcBorders>
              <w:top w:val="single" w:sz="4" w:space="0" w:color="auto"/>
              <w:bottom w:val="single" w:sz="4" w:space="0" w:color="A6A6A6"/>
            </w:tcBorders>
            <w:shd w:val="clear" w:color="auto" w:fill="E7E6E6"/>
            <w:noWrap/>
            <w:hideMark/>
          </w:tcPr>
          <w:p w14:paraId="1CE7C9ED" w14:textId="77777777" w:rsidR="005F4A7E" w:rsidRPr="002029AF" w:rsidRDefault="005F4A7E" w:rsidP="00130D1C">
            <w:pPr>
              <w:pStyle w:val="ARfintablebodyright"/>
            </w:pPr>
            <w:r w:rsidRPr="006714F5">
              <w:t>1.1</w:t>
            </w:r>
          </w:p>
        </w:tc>
        <w:tc>
          <w:tcPr>
            <w:tcW w:w="964" w:type="dxa"/>
            <w:tcBorders>
              <w:top w:val="single" w:sz="4" w:space="0" w:color="auto"/>
              <w:bottom w:val="single" w:sz="4" w:space="0" w:color="A6A6A6"/>
            </w:tcBorders>
            <w:noWrap/>
            <w:hideMark/>
          </w:tcPr>
          <w:p w14:paraId="033A5C7F" w14:textId="77777777" w:rsidR="005F4A7E" w:rsidRPr="002029AF" w:rsidRDefault="005F4A7E" w:rsidP="00130D1C">
            <w:pPr>
              <w:pStyle w:val="ARfintablebodyright"/>
            </w:pPr>
            <w:r w:rsidRPr="006714F5">
              <w:t>1.3</w:t>
            </w:r>
          </w:p>
        </w:tc>
        <w:tc>
          <w:tcPr>
            <w:tcW w:w="964" w:type="dxa"/>
            <w:tcBorders>
              <w:top w:val="single" w:sz="4" w:space="0" w:color="auto"/>
              <w:bottom w:val="single" w:sz="4" w:space="0" w:color="A6A6A6"/>
            </w:tcBorders>
            <w:shd w:val="clear" w:color="auto" w:fill="E7E6E6"/>
            <w:noWrap/>
            <w:hideMark/>
          </w:tcPr>
          <w:p w14:paraId="70FB2DFB" w14:textId="77777777" w:rsidR="005F4A7E" w:rsidRPr="002029AF" w:rsidRDefault="005F4A7E" w:rsidP="00130D1C">
            <w:pPr>
              <w:pStyle w:val="ARfintablebodyright"/>
            </w:pPr>
            <w:r w:rsidRPr="006714F5">
              <w:t>1.</w:t>
            </w:r>
            <w:r>
              <w:t>2</w:t>
            </w:r>
          </w:p>
        </w:tc>
        <w:tc>
          <w:tcPr>
            <w:tcW w:w="964" w:type="dxa"/>
            <w:tcBorders>
              <w:top w:val="single" w:sz="4" w:space="0" w:color="auto"/>
              <w:bottom w:val="single" w:sz="4" w:space="0" w:color="A6A6A6"/>
            </w:tcBorders>
            <w:noWrap/>
            <w:hideMark/>
          </w:tcPr>
          <w:p w14:paraId="6F1FD8B7" w14:textId="77777777" w:rsidR="005F4A7E" w:rsidRPr="002029AF" w:rsidRDefault="005F4A7E" w:rsidP="00130D1C">
            <w:pPr>
              <w:pStyle w:val="ARfintablebodyright"/>
            </w:pPr>
            <w:r w:rsidRPr="006714F5">
              <w:t>0.7</w:t>
            </w:r>
          </w:p>
        </w:tc>
      </w:tr>
      <w:tr w:rsidR="005F4A7E" w:rsidRPr="002029AF" w14:paraId="31855862" w14:textId="77777777" w:rsidTr="00130D1C">
        <w:trPr>
          <w:trHeight w:val="255"/>
        </w:trPr>
        <w:tc>
          <w:tcPr>
            <w:tcW w:w="1927" w:type="dxa"/>
            <w:tcBorders>
              <w:top w:val="single" w:sz="4" w:space="0" w:color="A6A6A6"/>
              <w:bottom w:val="single" w:sz="4" w:space="0" w:color="A6A6A6"/>
            </w:tcBorders>
            <w:hideMark/>
          </w:tcPr>
          <w:p w14:paraId="6037C346" w14:textId="77777777" w:rsidR="005F4A7E" w:rsidRPr="002029AF" w:rsidRDefault="005F4A7E" w:rsidP="00130D1C">
            <w:pPr>
              <w:pStyle w:val="ARfintablebody"/>
            </w:pPr>
            <w:r w:rsidRPr="006714F5">
              <w:t>Post-employment benefits</w:t>
            </w:r>
          </w:p>
        </w:tc>
        <w:tc>
          <w:tcPr>
            <w:tcW w:w="964" w:type="dxa"/>
            <w:tcBorders>
              <w:top w:val="single" w:sz="4" w:space="0" w:color="A6A6A6"/>
              <w:bottom w:val="single" w:sz="4" w:space="0" w:color="A6A6A6"/>
            </w:tcBorders>
            <w:shd w:val="clear" w:color="auto" w:fill="E7E6E6"/>
          </w:tcPr>
          <w:p w14:paraId="564B2F8B" w14:textId="77777777" w:rsidR="005F4A7E" w:rsidRPr="002029AF" w:rsidRDefault="005F4A7E" w:rsidP="00130D1C">
            <w:pPr>
              <w:pStyle w:val="ARfintablebodyright"/>
            </w:pPr>
            <w:r w:rsidRPr="006714F5">
              <w:t>0.3</w:t>
            </w:r>
          </w:p>
        </w:tc>
        <w:tc>
          <w:tcPr>
            <w:tcW w:w="964" w:type="dxa"/>
            <w:tcBorders>
              <w:top w:val="single" w:sz="4" w:space="0" w:color="A6A6A6"/>
              <w:bottom w:val="single" w:sz="4" w:space="0" w:color="A6A6A6"/>
            </w:tcBorders>
            <w:shd w:val="clear" w:color="auto" w:fill="auto"/>
          </w:tcPr>
          <w:p w14:paraId="1D6BBC8B" w14:textId="77777777" w:rsidR="005F4A7E" w:rsidRPr="002029AF" w:rsidRDefault="005F4A7E" w:rsidP="00130D1C">
            <w:pPr>
              <w:pStyle w:val="ARfintablebodyright"/>
            </w:pPr>
            <w:r w:rsidRPr="006714F5">
              <w:t>0.2</w:t>
            </w:r>
          </w:p>
        </w:tc>
        <w:tc>
          <w:tcPr>
            <w:tcW w:w="964" w:type="dxa"/>
            <w:tcBorders>
              <w:top w:val="single" w:sz="4" w:space="0" w:color="A6A6A6"/>
              <w:bottom w:val="single" w:sz="4" w:space="0" w:color="A6A6A6"/>
            </w:tcBorders>
            <w:shd w:val="clear" w:color="auto" w:fill="E7E6E6"/>
            <w:noWrap/>
            <w:hideMark/>
          </w:tcPr>
          <w:p w14:paraId="492CDA31" w14:textId="77777777" w:rsidR="005F4A7E" w:rsidRPr="002029AF" w:rsidRDefault="005F4A7E" w:rsidP="00130D1C">
            <w:pPr>
              <w:pStyle w:val="ARfintablebodyright"/>
            </w:pPr>
            <w:r w:rsidRPr="006714F5">
              <w:t>0.1</w:t>
            </w:r>
          </w:p>
        </w:tc>
        <w:tc>
          <w:tcPr>
            <w:tcW w:w="964" w:type="dxa"/>
            <w:tcBorders>
              <w:top w:val="single" w:sz="4" w:space="0" w:color="A6A6A6"/>
              <w:bottom w:val="single" w:sz="4" w:space="0" w:color="A6A6A6"/>
            </w:tcBorders>
            <w:noWrap/>
            <w:hideMark/>
          </w:tcPr>
          <w:p w14:paraId="58BB5E65" w14:textId="77777777" w:rsidR="005F4A7E" w:rsidRPr="002029AF" w:rsidRDefault="005F4A7E" w:rsidP="00130D1C">
            <w:pPr>
              <w:pStyle w:val="ARfintablebodyright"/>
            </w:pPr>
            <w:r w:rsidRPr="006714F5">
              <w:t>–</w:t>
            </w:r>
          </w:p>
        </w:tc>
        <w:tc>
          <w:tcPr>
            <w:tcW w:w="964" w:type="dxa"/>
            <w:tcBorders>
              <w:top w:val="single" w:sz="4" w:space="0" w:color="A6A6A6"/>
              <w:bottom w:val="single" w:sz="4" w:space="0" w:color="A6A6A6"/>
            </w:tcBorders>
            <w:shd w:val="clear" w:color="auto" w:fill="E7E6E6"/>
            <w:noWrap/>
            <w:hideMark/>
          </w:tcPr>
          <w:p w14:paraId="2721254E" w14:textId="77777777" w:rsidR="005F4A7E" w:rsidRPr="002029AF" w:rsidRDefault="005F4A7E" w:rsidP="00130D1C">
            <w:pPr>
              <w:pStyle w:val="ARfintablebodyright"/>
            </w:pPr>
            <w:r w:rsidRPr="006714F5">
              <w:t>0.1</w:t>
            </w:r>
          </w:p>
        </w:tc>
        <w:tc>
          <w:tcPr>
            <w:tcW w:w="964" w:type="dxa"/>
            <w:tcBorders>
              <w:top w:val="single" w:sz="4" w:space="0" w:color="A6A6A6"/>
              <w:bottom w:val="single" w:sz="4" w:space="0" w:color="A6A6A6"/>
            </w:tcBorders>
            <w:noWrap/>
            <w:hideMark/>
          </w:tcPr>
          <w:p w14:paraId="3DA0E84B" w14:textId="77777777" w:rsidR="005F4A7E" w:rsidRPr="002029AF" w:rsidRDefault="005F4A7E" w:rsidP="00130D1C">
            <w:pPr>
              <w:pStyle w:val="ARfintablebodyright"/>
            </w:pPr>
            <w:r w:rsidRPr="006714F5">
              <w:t>0.1</w:t>
            </w:r>
          </w:p>
        </w:tc>
        <w:tc>
          <w:tcPr>
            <w:tcW w:w="964" w:type="dxa"/>
            <w:tcBorders>
              <w:top w:val="single" w:sz="4" w:space="0" w:color="A6A6A6"/>
              <w:bottom w:val="single" w:sz="4" w:space="0" w:color="A6A6A6"/>
            </w:tcBorders>
            <w:shd w:val="clear" w:color="auto" w:fill="E7E6E6"/>
            <w:noWrap/>
            <w:hideMark/>
          </w:tcPr>
          <w:p w14:paraId="60FC5F9C" w14:textId="77777777" w:rsidR="005F4A7E" w:rsidRPr="002029AF" w:rsidRDefault="005F4A7E" w:rsidP="00130D1C">
            <w:pPr>
              <w:pStyle w:val="ARfintablebodyright"/>
            </w:pPr>
            <w:r w:rsidRPr="006714F5">
              <w:t>0.1</w:t>
            </w:r>
          </w:p>
        </w:tc>
        <w:tc>
          <w:tcPr>
            <w:tcW w:w="964" w:type="dxa"/>
            <w:tcBorders>
              <w:top w:val="single" w:sz="4" w:space="0" w:color="A6A6A6"/>
              <w:bottom w:val="single" w:sz="4" w:space="0" w:color="A6A6A6"/>
            </w:tcBorders>
            <w:noWrap/>
            <w:hideMark/>
          </w:tcPr>
          <w:p w14:paraId="4CECBFC2" w14:textId="77777777" w:rsidR="005F4A7E" w:rsidRPr="002029AF" w:rsidRDefault="005F4A7E" w:rsidP="00130D1C">
            <w:pPr>
              <w:pStyle w:val="ARfintablebodyright"/>
            </w:pPr>
            <w:r w:rsidRPr="006714F5">
              <w:t>0.1</w:t>
            </w:r>
          </w:p>
        </w:tc>
      </w:tr>
      <w:tr w:rsidR="005F4A7E" w:rsidRPr="002029AF" w14:paraId="43989F2C" w14:textId="77777777" w:rsidTr="00130D1C">
        <w:trPr>
          <w:trHeight w:val="255"/>
        </w:trPr>
        <w:tc>
          <w:tcPr>
            <w:tcW w:w="1927" w:type="dxa"/>
            <w:tcBorders>
              <w:top w:val="single" w:sz="4" w:space="0" w:color="A6A6A6"/>
              <w:bottom w:val="single" w:sz="4" w:space="0" w:color="A6A6A6"/>
            </w:tcBorders>
            <w:hideMark/>
          </w:tcPr>
          <w:p w14:paraId="639C7873" w14:textId="77777777" w:rsidR="005F4A7E" w:rsidRPr="002029AF" w:rsidRDefault="005F4A7E" w:rsidP="00130D1C">
            <w:pPr>
              <w:pStyle w:val="ARfintablebody"/>
            </w:pPr>
            <w:r w:rsidRPr="006714F5">
              <w:t>Other long-term benefits</w:t>
            </w:r>
          </w:p>
        </w:tc>
        <w:tc>
          <w:tcPr>
            <w:tcW w:w="964" w:type="dxa"/>
            <w:tcBorders>
              <w:top w:val="single" w:sz="4" w:space="0" w:color="A6A6A6"/>
              <w:bottom w:val="single" w:sz="4" w:space="0" w:color="A6A6A6"/>
            </w:tcBorders>
            <w:shd w:val="clear" w:color="auto" w:fill="E7E6E6"/>
          </w:tcPr>
          <w:p w14:paraId="04C5AD3F" w14:textId="77777777" w:rsidR="005F4A7E" w:rsidRPr="002029AF" w:rsidRDefault="005F4A7E" w:rsidP="00130D1C">
            <w:pPr>
              <w:pStyle w:val="ARfintablebodyright"/>
            </w:pPr>
            <w:r w:rsidRPr="006714F5">
              <w:t>0.</w:t>
            </w:r>
            <w:r>
              <w:t>2</w:t>
            </w:r>
          </w:p>
        </w:tc>
        <w:tc>
          <w:tcPr>
            <w:tcW w:w="964" w:type="dxa"/>
            <w:tcBorders>
              <w:top w:val="single" w:sz="4" w:space="0" w:color="A6A6A6"/>
              <w:bottom w:val="single" w:sz="4" w:space="0" w:color="A6A6A6"/>
            </w:tcBorders>
            <w:shd w:val="clear" w:color="auto" w:fill="auto"/>
          </w:tcPr>
          <w:p w14:paraId="2E93F8B8" w14:textId="77777777" w:rsidR="005F4A7E" w:rsidRPr="002029AF" w:rsidRDefault="005F4A7E" w:rsidP="00130D1C">
            <w:pPr>
              <w:pStyle w:val="ARfintablebodyright"/>
            </w:pPr>
            <w:r w:rsidRPr="006714F5">
              <w:t>0.1</w:t>
            </w:r>
          </w:p>
        </w:tc>
        <w:tc>
          <w:tcPr>
            <w:tcW w:w="964" w:type="dxa"/>
            <w:tcBorders>
              <w:top w:val="single" w:sz="4" w:space="0" w:color="A6A6A6"/>
              <w:bottom w:val="single" w:sz="4" w:space="0" w:color="A6A6A6"/>
            </w:tcBorders>
            <w:shd w:val="clear" w:color="auto" w:fill="E7E6E6"/>
            <w:noWrap/>
            <w:hideMark/>
          </w:tcPr>
          <w:p w14:paraId="7DB97279" w14:textId="77777777" w:rsidR="005F4A7E" w:rsidRPr="002029AF" w:rsidRDefault="005F4A7E" w:rsidP="00130D1C">
            <w:pPr>
              <w:pStyle w:val="ARfintablebodyright"/>
            </w:pPr>
            <w:r w:rsidRPr="006714F5">
              <w:t>–</w:t>
            </w:r>
          </w:p>
        </w:tc>
        <w:tc>
          <w:tcPr>
            <w:tcW w:w="964" w:type="dxa"/>
            <w:tcBorders>
              <w:top w:val="single" w:sz="4" w:space="0" w:color="A6A6A6"/>
              <w:bottom w:val="single" w:sz="4" w:space="0" w:color="A6A6A6"/>
            </w:tcBorders>
            <w:noWrap/>
            <w:hideMark/>
          </w:tcPr>
          <w:p w14:paraId="4E697EAC" w14:textId="77777777" w:rsidR="005F4A7E" w:rsidRPr="002029AF" w:rsidRDefault="005F4A7E" w:rsidP="00130D1C">
            <w:pPr>
              <w:pStyle w:val="ARfintablebodyright"/>
            </w:pPr>
            <w:r w:rsidRPr="006714F5">
              <w:t>–</w:t>
            </w:r>
          </w:p>
        </w:tc>
        <w:tc>
          <w:tcPr>
            <w:tcW w:w="964" w:type="dxa"/>
            <w:tcBorders>
              <w:top w:val="single" w:sz="4" w:space="0" w:color="A6A6A6"/>
              <w:bottom w:val="single" w:sz="4" w:space="0" w:color="A6A6A6"/>
            </w:tcBorders>
            <w:shd w:val="clear" w:color="auto" w:fill="E7E6E6"/>
            <w:noWrap/>
            <w:hideMark/>
          </w:tcPr>
          <w:p w14:paraId="402D69EC" w14:textId="77777777" w:rsidR="005F4A7E" w:rsidRPr="002029AF" w:rsidRDefault="005F4A7E" w:rsidP="00130D1C">
            <w:pPr>
              <w:pStyle w:val="ARfintablebodyright"/>
            </w:pPr>
            <w:r w:rsidRPr="006714F5">
              <w:t>–</w:t>
            </w:r>
          </w:p>
        </w:tc>
        <w:tc>
          <w:tcPr>
            <w:tcW w:w="964" w:type="dxa"/>
            <w:tcBorders>
              <w:top w:val="single" w:sz="4" w:space="0" w:color="A6A6A6"/>
              <w:bottom w:val="single" w:sz="4" w:space="0" w:color="A6A6A6"/>
            </w:tcBorders>
            <w:noWrap/>
            <w:hideMark/>
          </w:tcPr>
          <w:p w14:paraId="2945499E" w14:textId="77777777" w:rsidR="005F4A7E" w:rsidRPr="002029AF" w:rsidRDefault="005F4A7E" w:rsidP="00130D1C">
            <w:pPr>
              <w:pStyle w:val="ARfintablebodyright"/>
            </w:pPr>
            <w:r w:rsidRPr="006714F5">
              <w:t>–</w:t>
            </w:r>
          </w:p>
        </w:tc>
        <w:tc>
          <w:tcPr>
            <w:tcW w:w="964" w:type="dxa"/>
            <w:tcBorders>
              <w:top w:val="single" w:sz="4" w:space="0" w:color="A6A6A6"/>
              <w:bottom w:val="single" w:sz="4" w:space="0" w:color="A6A6A6"/>
            </w:tcBorders>
            <w:shd w:val="clear" w:color="auto" w:fill="E7E6E6"/>
            <w:noWrap/>
            <w:hideMark/>
          </w:tcPr>
          <w:p w14:paraId="622605CB" w14:textId="77777777" w:rsidR="005F4A7E" w:rsidRPr="002029AF" w:rsidRDefault="005F4A7E" w:rsidP="00130D1C">
            <w:pPr>
              <w:pStyle w:val="ARfintablebodyright"/>
            </w:pPr>
            <w:r w:rsidRPr="006714F5">
              <w:t>–</w:t>
            </w:r>
          </w:p>
        </w:tc>
        <w:tc>
          <w:tcPr>
            <w:tcW w:w="964" w:type="dxa"/>
            <w:tcBorders>
              <w:top w:val="single" w:sz="4" w:space="0" w:color="A6A6A6"/>
              <w:bottom w:val="single" w:sz="4" w:space="0" w:color="A6A6A6"/>
            </w:tcBorders>
            <w:noWrap/>
            <w:hideMark/>
          </w:tcPr>
          <w:p w14:paraId="67B91CF4" w14:textId="77777777" w:rsidR="005F4A7E" w:rsidRPr="002029AF" w:rsidRDefault="005F4A7E" w:rsidP="00130D1C">
            <w:pPr>
              <w:pStyle w:val="ARfintablebodyright"/>
            </w:pPr>
            <w:r w:rsidRPr="006714F5">
              <w:t>–</w:t>
            </w:r>
          </w:p>
        </w:tc>
      </w:tr>
      <w:tr w:rsidR="005F4A7E" w:rsidRPr="002029AF" w14:paraId="765EF8F1" w14:textId="77777777" w:rsidTr="00130D1C">
        <w:trPr>
          <w:trHeight w:val="255"/>
        </w:trPr>
        <w:tc>
          <w:tcPr>
            <w:tcW w:w="1927" w:type="dxa"/>
            <w:tcBorders>
              <w:top w:val="single" w:sz="4" w:space="0" w:color="A6A6A6"/>
            </w:tcBorders>
            <w:hideMark/>
          </w:tcPr>
          <w:p w14:paraId="511F2F5A" w14:textId="77777777" w:rsidR="005F4A7E" w:rsidRPr="002029AF" w:rsidRDefault="005F4A7E" w:rsidP="00130D1C">
            <w:pPr>
              <w:pStyle w:val="ARfintablebody"/>
            </w:pPr>
            <w:r w:rsidRPr="006714F5">
              <w:t>Termination benefits</w:t>
            </w:r>
          </w:p>
        </w:tc>
        <w:tc>
          <w:tcPr>
            <w:tcW w:w="964" w:type="dxa"/>
            <w:tcBorders>
              <w:top w:val="single" w:sz="4" w:space="0" w:color="A6A6A6"/>
            </w:tcBorders>
            <w:shd w:val="clear" w:color="auto" w:fill="E7E6E6"/>
          </w:tcPr>
          <w:p w14:paraId="34687DC4" w14:textId="77777777" w:rsidR="005F4A7E" w:rsidRPr="002029AF" w:rsidRDefault="005F4A7E" w:rsidP="00130D1C">
            <w:pPr>
              <w:pStyle w:val="ARfintablebodyright"/>
            </w:pPr>
            <w:r>
              <w:t>0.5</w:t>
            </w:r>
          </w:p>
        </w:tc>
        <w:tc>
          <w:tcPr>
            <w:tcW w:w="964" w:type="dxa"/>
            <w:tcBorders>
              <w:top w:val="single" w:sz="4" w:space="0" w:color="A6A6A6"/>
            </w:tcBorders>
            <w:shd w:val="clear" w:color="auto" w:fill="auto"/>
          </w:tcPr>
          <w:p w14:paraId="27AD9B86" w14:textId="77777777" w:rsidR="005F4A7E" w:rsidRPr="002029AF" w:rsidRDefault="005F4A7E" w:rsidP="00130D1C">
            <w:pPr>
              <w:pStyle w:val="ARfintablebodyright"/>
            </w:pPr>
            <w:r w:rsidRPr="006714F5">
              <w:t>–</w:t>
            </w:r>
          </w:p>
        </w:tc>
        <w:tc>
          <w:tcPr>
            <w:tcW w:w="964" w:type="dxa"/>
            <w:tcBorders>
              <w:top w:val="single" w:sz="4" w:space="0" w:color="A6A6A6"/>
            </w:tcBorders>
            <w:shd w:val="clear" w:color="auto" w:fill="E7E6E6"/>
            <w:noWrap/>
            <w:hideMark/>
          </w:tcPr>
          <w:p w14:paraId="4A343CEB" w14:textId="77777777" w:rsidR="005F4A7E" w:rsidRPr="002029AF" w:rsidRDefault="005F4A7E" w:rsidP="00130D1C">
            <w:pPr>
              <w:pStyle w:val="ARfintablebodyright"/>
            </w:pPr>
            <w:r w:rsidRPr="006714F5">
              <w:t>–</w:t>
            </w:r>
          </w:p>
        </w:tc>
        <w:tc>
          <w:tcPr>
            <w:tcW w:w="964" w:type="dxa"/>
            <w:tcBorders>
              <w:top w:val="single" w:sz="4" w:space="0" w:color="A6A6A6"/>
            </w:tcBorders>
            <w:noWrap/>
            <w:hideMark/>
          </w:tcPr>
          <w:p w14:paraId="5111EA06" w14:textId="77777777" w:rsidR="005F4A7E" w:rsidRPr="002029AF" w:rsidRDefault="005F4A7E" w:rsidP="00130D1C">
            <w:pPr>
              <w:pStyle w:val="ARfintablebodyright"/>
            </w:pPr>
            <w:r w:rsidRPr="006714F5">
              <w:t>–</w:t>
            </w:r>
          </w:p>
        </w:tc>
        <w:tc>
          <w:tcPr>
            <w:tcW w:w="964" w:type="dxa"/>
            <w:tcBorders>
              <w:top w:val="single" w:sz="4" w:space="0" w:color="A6A6A6"/>
            </w:tcBorders>
            <w:shd w:val="clear" w:color="auto" w:fill="E7E6E6"/>
            <w:noWrap/>
            <w:hideMark/>
          </w:tcPr>
          <w:p w14:paraId="374BBC2D" w14:textId="77777777" w:rsidR="005F4A7E" w:rsidRPr="002029AF" w:rsidRDefault="005F4A7E" w:rsidP="00130D1C">
            <w:pPr>
              <w:pStyle w:val="ARfintablebodyright"/>
            </w:pPr>
            <w:r w:rsidRPr="006714F5">
              <w:t>–</w:t>
            </w:r>
          </w:p>
        </w:tc>
        <w:tc>
          <w:tcPr>
            <w:tcW w:w="964" w:type="dxa"/>
            <w:tcBorders>
              <w:top w:val="single" w:sz="4" w:space="0" w:color="A6A6A6"/>
            </w:tcBorders>
            <w:noWrap/>
            <w:hideMark/>
          </w:tcPr>
          <w:p w14:paraId="6F7ED593" w14:textId="77777777" w:rsidR="005F4A7E" w:rsidRPr="002029AF" w:rsidRDefault="005F4A7E" w:rsidP="00130D1C">
            <w:pPr>
              <w:pStyle w:val="ARfintablebodyright"/>
            </w:pPr>
            <w:r w:rsidRPr="006714F5">
              <w:t>–</w:t>
            </w:r>
          </w:p>
        </w:tc>
        <w:tc>
          <w:tcPr>
            <w:tcW w:w="964" w:type="dxa"/>
            <w:tcBorders>
              <w:top w:val="single" w:sz="4" w:space="0" w:color="A6A6A6"/>
            </w:tcBorders>
            <w:shd w:val="clear" w:color="auto" w:fill="E7E6E6"/>
            <w:noWrap/>
            <w:hideMark/>
          </w:tcPr>
          <w:p w14:paraId="6FD45053" w14:textId="77777777" w:rsidR="005F4A7E" w:rsidRPr="002029AF" w:rsidRDefault="005F4A7E" w:rsidP="00130D1C">
            <w:pPr>
              <w:pStyle w:val="ARfintablebodyright"/>
            </w:pPr>
            <w:r w:rsidRPr="006714F5">
              <w:t>0.1</w:t>
            </w:r>
          </w:p>
        </w:tc>
        <w:tc>
          <w:tcPr>
            <w:tcW w:w="964" w:type="dxa"/>
            <w:tcBorders>
              <w:top w:val="single" w:sz="4" w:space="0" w:color="A6A6A6"/>
            </w:tcBorders>
            <w:noWrap/>
            <w:hideMark/>
          </w:tcPr>
          <w:p w14:paraId="3F1A7DF5" w14:textId="77777777" w:rsidR="005F4A7E" w:rsidRPr="002029AF" w:rsidRDefault="005F4A7E" w:rsidP="00130D1C">
            <w:pPr>
              <w:pStyle w:val="ARfintablebodyright"/>
            </w:pPr>
            <w:r w:rsidRPr="006714F5">
              <w:t>–</w:t>
            </w:r>
          </w:p>
        </w:tc>
      </w:tr>
      <w:tr w:rsidR="005F4A7E" w:rsidRPr="002029AF" w14:paraId="2EA37BE6" w14:textId="77777777" w:rsidTr="00130D1C">
        <w:trPr>
          <w:trHeight w:val="255"/>
        </w:trPr>
        <w:tc>
          <w:tcPr>
            <w:tcW w:w="1927" w:type="dxa"/>
            <w:hideMark/>
          </w:tcPr>
          <w:p w14:paraId="348126B2" w14:textId="77777777" w:rsidR="005F4A7E" w:rsidRPr="002029AF" w:rsidRDefault="005F4A7E" w:rsidP="00130D1C">
            <w:pPr>
              <w:pStyle w:val="ARfintablebodybold"/>
            </w:pPr>
            <w:r w:rsidRPr="006714F5">
              <w:t xml:space="preserve">Total </w:t>
            </w:r>
            <w:r w:rsidRPr="002A01F5">
              <w:rPr>
                <w:rStyle w:val="Superscript"/>
              </w:rPr>
              <w:t>(v)(v</w:t>
            </w:r>
            <w:r>
              <w:rPr>
                <w:rStyle w:val="Superscript"/>
              </w:rPr>
              <w:t>i</w:t>
            </w:r>
            <w:r w:rsidRPr="002A01F5">
              <w:rPr>
                <w:rStyle w:val="Superscript"/>
              </w:rPr>
              <w:t>)</w:t>
            </w:r>
          </w:p>
        </w:tc>
        <w:tc>
          <w:tcPr>
            <w:tcW w:w="964" w:type="dxa"/>
            <w:shd w:val="clear" w:color="auto" w:fill="E7E6E6"/>
          </w:tcPr>
          <w:p w14:paraId="59B638EE" w14:textId="77777777" w:rsidR="005F4A7E" w:rsidRPr="002029AF" w:rsidRDefault="005F4A7E" w:rsidP="00130D1C">
            <w:pPr>
              <w:pStyle w:val="ARfintablebodyrightbold"/>
            </w:pPr>
            <w:r>
              <w:t>6.2</w:t>
            </w:r>
          </w:p>
        </w:tc>
        <w:tc>
          <w:tcPr>
            <w:tcW w:w="964" w:type="dxa"/>
            <w:shd w:val="clear" w:color="auto" w:fill="auto"/>
          </w:tcPr>
          <w:p w14:paraId="3EB2DA21" w14:textId="77777777" w:rsidR="005F4A7E" w:rsidRPr="002029AF" w:rsidRDefault="005F4A7E" w:rsidP="00130D1C">
            <w:pPr>
              <w:pStyle w:val="ARfintablebodyrightbold"/>
            </w:pPr>
            <w:r w:rsidRPr="006714F5">
              <w:t>4.1</w:t>
            </w:r>
          </w:p>
        </w:tc>
        <w:tc>
          <w:tcPr>
            <w:tcW w:w="964" w:type="dxa"/>
            <w:shd w:val="clear" w:color="auto" w:fill="E7E6E6"/>
            <w:noWrap/>
            <w:hideMark/>
          </w:tcPr>
          <w:p w14:paraId="6E66EB64" w14:textId="77777777" w:rsidR="005F4A7E" w:rsidRPr="002029AF" w:rsidRDefault="005F4A7E" w:rsidP="00130D1C">
            <w:pPr>
              <w:pStyle w:val="ARfintablebodyrightbold"/>
            </w:pPr>
            <w:r w:rsidRPr="006714F5">
              <w:t>1.</w:t>
            </w:r>
            <w:r>
              <w:t>6</w:t>
            </w:r>
          </w:p>
        </w:tc>
        <w:tc>
          <w:tcPr>
            <w:tcW w:w="964" w:type="dxa"/>
            <w:noWrap/>
            <w:hideMark/>
          </w:tcPr>
          <w:p w14:paraId="7D615F80" w14:textId="77777777" w:rsidR="005F4A7E" w:rsidRPr="002029AF" w:rsidRDefault="005F4A7E" w:rsidP="00130D1C">
            <w:pPr>
              <w:pStyle w:val="ARfintablebodyrightbold"/>
            </w:pPr>
            <w:r w:rsidRPr="006714F5">
              <w:t>–</w:t>
            </w:r>
          </w:p>
        </w:tc>
        <w:tc>
          <w:tcPr>
            <w:tcW w:w="964" w:type="dxa"/>
            <w:shd w:val="clear" w:color="auto" w:fill="E7E6E6"/>
            <w:noWrap/>
            <w:hideMark/>
          </w:tcPr>
          <w:p w14:paraId="1B999B3A" w14:textId="77777777" w:rsidR="005F4A7E" w:rsidRPr="002029AF" w:rsidRDefault="005F4A7E" w:rsidP="00130D1C">
            <w:pPr>
              <w:pStyle w:val="ARfintablebodyrightbold"/>
            </w:pPr>
            <w:r w:rsidRPr="006714F5">
              <w:t>1.2</w:t>
            </w:r>
          </w:p>
        </w:tc>
        <w:tc>
          <w:tcPr>
            <w:tcW w:w="964" w:type="dxa"/>
            <w:noWrap/>
            <w:hideMark/>
          </w:tcPr>
          <w:p w14:paraId="6EE4BEEF" w14:textId="77777777" w:rsidR="005F4A7E" w:rsidRPr="002029AF" w:rsidRDefault="005F4A7E" w:rsidP="00130D1C">
            <w:pPr>
              <w:pStyle w:val="ARfintablebodyrightbold"/>
            </w:pPr>
            <w:r w:rsidRPr="006714F5">
              <w:t>1.4</w:t>
            </w:r>
          </w:p>
        </w:tc>
        <w:tc>
          <w:tcPr>
            <w:tcW w:w="964" w:type="dxa"/>
            <w:shd w:val="clear" w:color="auto" w:fill="E7E6E6"/>
            <w:noWrap/>
            <w:hideMark/>
          </w:tcPr>
          <w:p w14:paraId="587DBFDF" w14:textId="77777777" w:rsidR="005F4A7E" w:rsidRPr="002029AF" w:rsidRDefault="005F4A7E" w:rsidP="00130D1C">
            <w:pPr>
              <w:pStyle w:val="ARfintablebodyrightbold"/>
            </w:pPr>
            <w:r w:rsidRPr="006714F5">
              <w:t>1.</w:t>
            </w:r>
            <w:r>
              <w:t>4</w:t>
            </w:r>
          </w:p>
        </w:tc>
        <w:tc>
          <w:tcPr>
            <w:tcW w:w="964" w:type="dxa"/>
            <w:noWrap/>
            <w:hideMark/>
          </w:tcPr>
          <w:p w14:paraId="6B36C153" w14:textId="77777777" w:rsidR="005F4A7E" w:rsidRPr="002029AF" w:rsidRDefault="005F4A7E" w:rsidP="00130D1C">
            <w:pPr>
              <w:pStyle w:val="ARfintablebodyrightbold"/>
            </w:pPr>
            <w:r w:rsidRPr="006714F5">
              <w:t>0.8</w:t>
            </w:r>
          </w:p>
        </w:tc>
      </w:tr>
    </w:tbl>
    <w:p w14:paraId="50D4EC03" w14:textId="77777777" w:rsidR="005F4A7E" w:rsidRDefault="005F4A7E" w:rsidP="00130D1C">
      <w:pPr>
        <w:pStyle w:val="ARfintablefootnote"/>
        <w:spacing w:line="240" w:lineRule="auto"/>
        <w:rPr>
          <w:lang w:eastAsia="en-AU"/>
        </w:rPr>
      </w:pPr>
      <w:r>
        <w:rPr>
          <w:lang w:eastAsia="en-AU"/>
        </w:rPr>
        <w:t>Notes:</w:t>
      </w:r>
    </w:p>
    <w:p w14:paraId="136F178B" w14:textId="77777777" w:rsidR="005F4A7E" w:rsidRDefault="005F4A7E" w:rsidP="00130D1C">
      <w:pPr>
        <w:pStyle w:val="ARfintablefootnoteindent"/>
      </w:pPr>
      <w:r>
        <w:t>(i)</w:t>
      </w:r>
      <w:r>
        <w:tab/>
        <w:t>The figures include the Department of Health and the former Department of Health and Human Services.</w:t>
      </w:r>
    </w:p>
    <w:p w14:paraId="27E6EAEB" w14:textId="77777777" w:rsidR="005F4A7E" w:rsidRDefault="005F4A7E" w:rsidP="00130D1C">
      <w:pPr>
        <w:pStyle w:val="ARfintablefootnoteindent"/>
      </w:pPr>
      <w:r>
        <w:t>(ii)</w:t>
      </w:r>
      <w:r>
        <w:tab/>
        <w:t xml:space="preserve">Remuneration </w:t>
      </w:r>
      <w:r w:rsidRPr="003C643C">
        <w:t>of KMPs seconded from other departments are not included</w:t>
      </w:r>
      <w:r>
        <w:t>.</w:t>
      </w:r>
    </w:p>
    <w:p w14:paraId="60CEEE6B" w14:textId="77777777" w:rsidR="005F4A7E" w:rsidRDefault="005F4A7E" w:rsidP="00130D1C">
      <w:pPr>
        <w:pStyle w:val="ARfintablefootnoteindent"/>
      </w:pPr>
      <w:r>
        <w:t>(iii)</w:t>
      </w:r>
      <w:r>
        <w:tab/>
        <w:t>This includes remuneration of KMPs for Victorian Agency for Health Information, Safer Care Victoria, Family Safety Victoria and Mental Health Reform Victoria.</w:t>
      </w:r>
    </w:p>
    <w:p w14:paraId="7D9D6FC9" w14:textId="77777777" w:rsidR="005F4A7E" w:rsidRDefault="005F4A7E" w:rsidP="00130D1C">
      <w:pPr>
        <w:pStyle w:val="ARfintablefootnoteindent"/>
      </w:pPr>
      <w:r>
        <w:t>(iv)</w:t>
      </w:r>
      <w:r>
        <w:tab/>
        <w:t>This includes remuneration of KMPs for Mental Health Tribunal, Commission for Children and Young People, Victorian Multicultural Commission, Respect Victoria, Victorian Veterans Council, Disability Worker Registration Board, and Victorian Disability Worker Commission. The remuneration of the Director of Housing is disclosed in the Department of Health (including the former Department of Health and Human Services) for the period 1 July 2020 – 31 January 2021 and in the Department of Families, Fairness and Housing numbers for the period 1 February 2021 – 30 June 2021.</w:t>
      </w:r>
    </w:p>
    <w:p w14:paraId="1BD667F6" w14:textId="1BBA3473" w:rsidR="005F4A7E" w:rsidRDefault="005F4A7E" w:rsidP="00130D1C">
      <w:pPr>
        <w:pStyle w:val="ARfintablefootnoteindent"/>
      </w:pPr>
      <w:r>
        <w:t>(v)</w:t>
      </w:r>
      <w:r>
        <w:tab/>
        <w:t xml:space="preserve">Total figures for </w:t>
      </w:r>
      <w:r w:rsidRPr="003C643C">
        <w:t>2020</w:t>
      </w:r>
      <w:r>
        <w:t>–</w:t>
      </w:r>
      <w:r w:rsidRPr="003C643C">
        <w:t>21 include the remuneration of the CFO who delivered services, as an executive officer to the department but is employed by the Department of Treasury and Finance. In 2019</w:t>
      </w:r>
      <w:r>
        <w:t>–</w:t>
      </w:r>
      <w:r w:rsidRPr="003C643C">
        <w:t>20, the remuneration of the CFO was reported by the Department of Treasury and Finance. Comparatives have not been restated to include these numbers</w:t>
      </w:r>
      <w:r>
        <w:t>.</w:t>
      </w:r>
    </w:p>
    <w:p w14:paraId="0B5EF840" w14:textId="77777777" w:rsidR="005F4A7E" w:rsidRDefault="005F4A7E" w:rsidP="00130D1C">
      <w:pPr>
        <w:pStyle w:val="ARfintablefootnoteindent"/>
      </w:pPr>
      <w:r>
        <w:t>(vi)</w:t>
      </w:r>
      <w:r>
        <w:tab/>
        <w:t>Note that KMPs are also reported in the disclosure of remuneration of accountable officers (refer to Note 9.6) and in the disclosure of remuneration of executive officers (refer to Note 9.7).</w:t>
      </w:r>
    </w:p>
    <w:p w14:paraId="55666559" w14:textId="77777777" w:rsidR="005F4A7E" w:rsidRDefault="005F4A7E" w:rsidP="00130D1C">
      <w:pPr>
        <w:pStyle w:val="Heading6"/>
        <w:rPr>
          <w:lang w:eastAsia="en-AU"/>
        </w:rPr>
      </w:pPr>
      <w:bookmarkStart w:id="1074" w:name="_Toc85121560"/>
      <w:r>
        <w:t>Transactions and balances with key management personnel and other related parties</w:t>
      </w:r>
      <w:bookmarkEnd w:id="1074"/>
    </w:p>
    <w:p w14:paraId="544AE6B7" w14:textId="790F8E45" w:rsidR="005F4A7E" w:rsidRDefault="005F4A7E" w:rsidP="00130D1C">
      <w:pPr>
        <w:pStyle w:val="ARfinbody"/>
      </w:pPr>
      <w:r>
        <w:t xml:space="preserve">Given the breadth and depth of state government activities, related parties transact with the Victorian public sector in a manner consistent with other members of the public e.g. stamp duty and other government fees and charges. Further employment of processes within the Victorian public sector occur on terms and conditions consistent with the </w:t>
      </w:r>
      <w:r>
        <w:rPr>
          <w:rStyle w:val="Emphasis"/>
        </w:rPr>
        <w:t>Public Administration Act 2004</w:t>
      </w:r>
      <w:r>
        <w:t xml:space="preserve"> and Codes of Conduct and Standards issued by the Victorian Public Sector Commission. Procurement processes occur on terms and conditions consistent with the Victorian Government Procurement Board requirements.</w:t>
      </w:r>
    </w:p>
    <w:p w14:paraId="5881DD16" w14:textId="28193993" w:rsidR="005F4A7E" w:rsidRDefault="005F4A7E" w:rsidP="00130D1C">
      <w:pPr>
        <w:pStyle w:val="ARfinbody"/>
      </w:pPr>
      <w:r>
        <w:t>Outside of normal citizen-type transactions, there were no material related party transactions that involved key management personnel, their close family members and their personal business interests with the department, the Administrative Offices or its s. 53(1)(b) entities.</w:t>
      </w:r>
    </w:p>
    <w:p w14:paraId="090B7055" w14:textId="77777777" w:rsidR="005F4A7E" w:rsidRDefault="005F4A7E" w:rsidP="00130D1C">
      <w:pPr>
        <w:pStyle w:val="ARfinbody"/>
      </w:pPr>
      <w:r>
        <w:t>No provision has been required, nor any expense recognised, for impairment of receivables from related parties.</w:t>
      </w:r>
    </w:p>
    <w:p w14:paraId="16E13078" w14:textId="77777777" w:rsidR="005F4A7E" w:rsidRPr="002029AF" w:rsidRDefault="005F4A7E" w:rsidP="00087B91">
      <w:pPr>
        <w:pStyle w:val="Heading4"/>
      </w:pPr>
      <w:bookmarkStart w:id="1075" w:name="_Toc39242174"/>
      <w:bookmarkStart w:id="1076" w:name="_Toc85121561"/>
      <w:r w:rsidRPr="002029AF">
        <w:t>9.9 Remuneration of auditors</w:t>
      </w:r>
      <w:bookmarkEnd w:id="1075"/>
      <w:bookmarkEnd w:id="1076"/>
    </w:p>
    <w:tbl>
      <w:tblPr>
        <w:tblStyle w:val="TableGrid"/>
        <w:tblW w:w="9637" w:type="dxa"/>
        <w:tblLayout w:type="fixed"/>
        <w:tblLook w:val="06A0" w:firstRow="1" w:lastRow="0" w:firstColumn="1" w:lastColumn="0" w:noHBand="1" w:noVBand="1"/>
      </w:tblPr>
      <w:tblGrid>
        <w:gridCol w:w="7369"/>
        <w:gridCol w:w="1134"/>
        <w:gridCol w:w="1134"/>
      </w:tblGrid>
      <w:tr w:rsidR="005F4A7E" w:rsidRPr="002029AF" w14:paraId="03CD8258" w14:textId="77777777" w:rsidTr="00130D1C">
        <w:trPr>
          <w:cnfStyle w:val="100000000000" w:firstRow="1" w:lastRow="0" w:firstColumn="0" w:lastColumn="0" w:oddVBand="0" w:evenVBand="0" w:oddHBand="0" w:evenHBand="0" w:firstRowFirstColumn="0" w:firstRowLastColumn="0" w:lastRowFirstColumn="0" w:lastRowLastColumn="0"/>
          <w:trHeight w:val="255"/>
          <w:tblHeader/>
        </w:trPr>
        <w:tc>
          <w:tcPr>
            <w:tcW w:w="7369" w:type="dxa"/>
            <w:noWrap/>
            <w:hideMark/>
          </w:tcPr>
          <w:p w14:paraId="580D18ED" w14:textId="77777777" w:rsidR="005F4A7E" w:rsidRPr="002029AF" w:rsidRDefault="005F4A7E" w:rsidP="00860E95">
            <w:pPr>
              <w:pStyle w:val="ARfintablecolhead"/>
            </w:pPr>
          </w:p>
        </w:tc>
        <w:tc>
          <w:tcPr>
            <w:tcW w:w="1134" w:type="dxa"/>
            <w:shd w:val="clear" w:color="auto" w:fill="E7E6E6"/>
            <w:hideMark/>
          </w:tcPr>
          <w:p w14:paraId="098211D2" w14:textId="77777777" w:rsidR="005F4A7E" w:rsidRPr="002029AF" w:rsidRDefault="005F4A7E" w:rsidP="00860E95">
            <w:pPr>
              <w:pStyle w:val="ARfintablecolheadright"/>
            </w:pPr>
            <w:r>
              <w:t>2021</w:t>
            </w:r>
          </w:p>
          <w:p w14:paraId="5DF250F9" w14:textId="77777777" w:rsidR="005F4A7E" w:rsidRPr="002029AF" w:rsidRDefault="005F4A7E" w:rsidP="00860E95">
            <w:pPr>
              <w:pStyle w:val="ARfintablecolheadright"/>
            </w:pPr>
            <w:r w:rsidRPr="002029AF">
              <w:t>$</w:t>
            </w:r>
          </w:p>
        </w:tc>
        <w:tc>
          <w:tcPr>
            <w:tcW w:w="1134" w:type="dxa"/>
            <w:hideMark/>
          </w:tcPr>
          <w:p w14:paraId="34193653" w14:textId="77777777" w:rsidR="005F4A7E" w:rsidRPr="002029AF" w:rsidRDefault="005F4A7E" w:rsidP="00860E95">
            <w:pPr>
              <w:pStyle w:val="ARfintablecolheadright"/>
            </w:pPr>
            <w:r>
              <w:t>2020</w:t>
            </w:r>
          </w:p>
          <w:p w14:paraId="4645EE23" w14:textId="77777777" w:rsidR="005F4A7E" w:rsidRPr="002029AF" w:rsidRDefault="005F4A7E" w:rsidP="00860E95">
            <w:pPr>
              <w:pStyle w:val="ARfintablecolheadright"/>
            </w:pPr>
            <w:r w:rsidRPr="002029AF">
              <w:t>$</w:t>
            </w:r>
          </w:p>
        </w:tc>
      </w:tr>
      <w:tr w:rsidR="005F4A7E" w:rsidRPr="002029AF" w14:paraId="1FDD714D" w14:textId="77777777" w:rsidTr="00130D1C">
        <w:trPr>
          <w:trHeight w:val="255"/>
        </w:trPr>
        <w:tc>
          <w:tcPr>
            <w:tcW w:w="7369" w:type="dxa"/>
            <w:hideMark/>
          </w:tcPr>
          <w:p w14:paraId="7E0E2456" w14:textId="62993827" w:rsidR="005F4A7E" w:rsidRPr="002029AF" w:rsidRDefault="005F4A7E" w:rsidP="00130D1C">
            <w:pPr>
              <w:pStyle w:val="ARfintablebody"/>
            </w:pPr>
            <w:r w:rsidRPr="0024574B">
              <w:t>Victorian Auditor-General</w:t>
            </w:r>
            <w:r w:rsidR="007D145B">
              <w:t>’</w:t>
            </w:r>
            <w:r w:rsidRPr="0024574B">
              <w:t>s Office – audit of the financial report</w:t>
            </w:r>
          </w:p>
        </w:tc>
        <w:tc>
          <w:tcPr>
            <w:tcW w:w="1134" w:type="dxa"/>
            <w:shd w:val="clear" w:color="auto" w:fill="E7E6E6"/>
            <w:noWrap/>
            <w:hideMark/>
          </w:tcPr>
          <w:p w14:paraId="7F94E42F" w14:textId="77777777" w:rsidR="005F4A7E" w:rsidRPr="002029AF" w:rsidRDefault="005F4A7E" w:rsidP="00130D1C">
            <w:pPr>
              <w:pStyle w:val="ARfintablebodyright"/>
            </w:pPr>
            <w:r w:rsidRPr="0024574B">
              <w:t>633,500</w:t>
            </w:r>
          </w:p>
        </w:tc>
        <w:tc>
          <w:tcPr>
            <w:tcW w:w="1134" w:type="dxa"/>
            <w:noWrap/>
            <w:hideMark/>
          </w:tcPr>
          <w:p w14:paraId="0E02E37A" w14:textId="77777777" w:rsidR="005F4A7E" w:rsidRPr="002029AF" w:rsidRDefault="005F4A7E" w:rsidP="00130D1C">
            <w:pPr>
              <w:pStyle w:val="ARfintablebodyright"/>
            </w:pPr>
            <w:r w:rsidRPr="0024574B">
              <w:t>546,500</w:t>
            </w:r>
          </w:p>
        </w:tc>
      </w:tr>
    </w:tbl>
    <w:p w14:paraId="0D50505F" w14:textId="77777777" w:rsidR="005F4A7E" w:rsidRDefault="005F4A7E" w:rsidP="00130D1C">
      <w:pPr>
        <w:pStyle w:val="Heading4"/>
        <w:rPr>
          <w:lang w:eastAsia="en-AU"/>
        </w:rPr>
      </w:pPr>
      <w:bookmarkStart w:id="1077" w:name="_Toc39242175"/>
      <w:bookmarkStart w:id="1078" w:name="_Ref85022070"/>
      <w:bookmarkStart w:id="1079" w:name="_Toc85121562"/>
      <w:bookmarkStart w:id="1080" w:name="_Ref85203770"/>
      <w:bookmarkStart w:id="1081" w:name="_Ref85203811"/>
      <w:bookmarkStart w:id="1082" w:name="_Hlk51772719"/>
      <w:r>
        <w:rPr>
          <w:lang w:eastAsia="en-AU"/>
        </w:rPr>
        <w:t>9.10 Subsequent events</w:t>
      </w:r>
      <w:bookmarkEnd w:id="1077"/>
      <w:bookmarkEnd w:id="1078"/>
      <w:bookmarkEnd w:id="1079"/>
      <w:bookmarkEnd w:id="1080"/>
      <w:bookmarkEnd w:id="1081"/>
    </w:p>
    <w:p w14:paraId="5D28053B" w14:textId="0C77CBE5" w:rsidR="005F4A7E" w:rsidRDefault="005F4A7E" w:rsidP="00130D1C">
      <w:pPr>
        <w:pStyle w:val="ARfinbody"/>
        <w:rPr>
          <w:color w:val="auto"/>
        </w:rPr>
      </w:pPr>
      <w:bookmarkStart w:id="1083" w:name="_Hlk51772864"/>
      <w:r w:rsidRPr="001D5908">
        <w:rPr>
          <w:color w:val="auto"/>
        </w:rPr>
        <w:t>On 29 September 2021, the Department of Health was made aware that WorkSafe had charged the department with 58</w:t>
      </w:r>
      <w:r>
        <w:rPr>
          <w:color w:val="auto"/>
        </w:rPr>
        <w:t> </w:t>
      </w:r>
      <w:r w:rsidRPr="001D5908">
        <w:rPr>
          <w:color w:val="auto"/>
        </w:rPr>
        <w:t xml:space="preserve">breaches of the </w:t>
      </w:r>
      <w:r w:rsidRPr="007A71A1">
        <w:rPr>
          <w:i/>
          <w:iCs/>
          <w:color w:val="auto"/>
        </w:rPr>
        <w:t>Occupational Health and Safety Act</w:t>
      </w:r>
      <w:r w:rsidR="00EB059E" w:rsidRPr="007A71A1">
        <w:rPr>
          <w:i/>
          <w:iCs/>
          <w:color w:val="auto"/>
        </w:rPr>
        <w:t xml:space="preserve"> 2004</w:t>
      </w:r>
      <w:r w:rsidRPr="001D5908">
        <w:rPr>
          <w:color w:val="auto"/>
        </w:rPr>
        <w:t xml:space="preserve"> in relation to Operation Soteria, Victoria</w:t>
      </w:r>
      <w:r w:rsidR="007D145B">
        <w:rPr>
          <w:color w:val="auto"/>
        </w:rPr>
        <w:t>’</w:t>
      </w:r>
      <w:r w:rsidRPr="001D5908">
        <w:rPr>
          <w:color w:val="auto"/>
        </w:rPr>
        <w:t xml:space="preserve">s first hotel quarantine program. The maximum penalty faced by the department for each of these charges is $1.636 million. The department has not yet determined the liability that may arise from this event and it is not included in the quantifiable contingent liabilities in </w:t>
      </w:r>
      <w:r>
        <w:rPr>
          <w:color w:val="auto"/>
        </w:rPr>
        <w:t>N</w:t>
      </w:r>
      <w:r w:rsidRPr="001D5908">
        <w:rPr>
          <w:color w:val="auto"/>
        </w:rPr>
        <w:t>ote 8.2</w:t>
      </w:r>
      <w:r>
        <w:rPr>
          <w:color w:val="auto"/>
        </w:rPr>
        <w:t>.</w:t>
      </w:r>
      <w:bookmarkEnd w:id="1082"/>
      <w:bookmarkEnd w:id="1083"/>
    </w:p>
    <w:p w14:paraId="635D9587" w14:textId="77777777" w:rsidR="005F4A7E" w:rsidRDefault="005F4A7E" w:rsidP="00130D1C">
      <w:pPr>
        <w:pStyle w:val="Heading4"/>
        <w:rPr>
          <w:lang w:eastAsia="en-AU"/>
        </w:rPr>
      </w:pPr>
      <w:bookmarkStart w:id="1084" w:name="_Toc39242176"/>
      <w:bookmarkStart w:id="1085" w:name="_Toc85121563"/>
      <w:r>
        <w:rPr>
          <w:lang w:eastAsia="en-AU"/>
        </w:rPr>
        <w:lastRenderedPageBreak/>
        <w:t>9.11 Other accounting policies</w:t>
      </w:r>
      <w:bookmarkEnd w:id="1084"/>
      <w:bookmarkEnd w:id="1085"/>
    </w:p>
    <w:p w14:paraId="183E47DE" w14:textId="77777777" w:rsidR="005F4A7E" w:rsidRDefault="005F4A7E" w:rsidP="00130D1C">
      <w:pPr>
        <w:pStyle w:val="Heading5"/>
        <w:spacing w:before="0"/>
      </w:pPr>
      <w:bookmarkStart w:id="1086" w:name="_Toc85121564"/>
      <w:r>
        <w:t>Contributions by owners</w:t>
      </w:r>
      <w:bookmarkEnd w:id="1086"/>
    </w:p>
    <w:p w14:paraId="2857D1BD" w14:textId="77777777" w:rsidR="005F4A7E" w:rsidRDefault="005F4A7E" w:rsidP="00130D1C">
      <w:pPr>
        <w:pStyle w:val="ARfinbody"/>
      </w:pPr>
      <w:r>
        <w:t xml:space="preserve">Consistent with the requirements of AASB 1004 </w:t>
      </w:r>
      <w:r>
        <w:rPr>
          <w:rStyle w:val="Emphasis"/>
        </w:rPr>
        <w:t>Contributions</w:t>
      </w:r>
      <w:r>
        <w:t>, contributions by owners (that is, contributed capital and its repayment) are treated as equity transactions and therefore do not form part of the income and expenses of the department.</w:t>
      </w:r>
    </w:p>
    <w:p w14:paraId="4C15FB14" w14:textId="77777777" w:rsidR="005F4A7E" w:rsidRDefault="005F4A7E" w:rsidP="00130D1C">
      <w:pPr>
        <w:pStyle w:val="ARfinbody"/>
      </w:pPr>
      <w:r>
        <w:t>Additions to net assets that have been designated as contributions by owners are recognised as contributed capital. Other transfers that are in the nature of contributions to or distributions by owners have also been designated as contributions by owners.</w:t>
      </w:r>
    </w:p>
    <w:p w14:paraId="024E09AF" w14:textId="77777777" w:rsidR="005F4A7E" w:rsidRDefault="005F4A7E" w:rsidP="00130D1C">
      <w:pPr>
        <w:pStyle w:val="ARfinbody"/>
      </w:pPr>
      <w:r>
        <w:t>Transfers of net assets arising from administrative restructurings are treated as distributions to or contributions by owners. Transfers of net liabilities arising from administrative restructurings are treated as distributions to owners.</w:t>
      </w:r>
    </w:p>
    <w:p w14:paraId="06D622C5" w14:textId="77777777" w:rsidR="005F4A7E" w:rsidRDefault="005F4A7E" w:rsidP="00130D1C">
      <w:pPr>
        <w:pStyle w:val="Heading4"/>
        <w:spacing w:before="160" w:after="60"/>
        <w:rPr>
          <w:lang w:eastAsia="en-AU"/>
        </w:rPr>
      </w:pPr>
      <w:bookmarkStart w:id="1087" w:name="_Toc39242178"/>
      <w:bookmarkStart w:id="1088" w:name="_Toc85121565"/>
      <w:r>
        <w:rPr>
          <w:lang w:eastAsia="en-AU"/>
        </w:rPr>
        <w:t>9.12 Australian Accounting Standards issued that are not yet effective</w:t>
      </w:r>
      <w:bookmarkEnd w:id="1087"/>
      <w:bookmarkEnd w:id="1088"/>
    </w:p>
    <w:p w14:paraId="600088C7" w14:textId="77777777" w:rsidR="005F4A7E" w:rsidRDefault="005F4A7E" w:rsidP="00130D1C">
      <w:pPr>
        <w:pStyle w:val="ARfinbody"/>
      </w:pPr>
      <w:r>
        <w:t>Certain new and revised accounting standards have been issued but are not effective for the 2020–21 reporting period. These accounting standards have not been applied to the financial statements. The state is reviewing its existing policies and assessing the potential implications of these accounting standards, which include:</w:t>
      </w:r>
    </w:p>
    <w:p w14:paraId="0F8C2762" w14:textId="77777777" w:rsidR="005F4A7E" w:rsidRDefault="005F4A7E" w:rsidP="005F4A7E">
      <w:pPr>
        <w:pStyle w:val="ARfinbullet1"/>
        <w:numPr>
          <w:ilvl w:val="0"/>
          <w:numId w:val="2"/>
        </w:numPr>
      </w:pPr>
      <w:r>
        <w:rPr>
          <w:rFonts w:eastAsia="Arial" w:cs="Arial"/>
          <w:spacing w:val="2"/>
        </w:rPr>
        <w:t xml:space="preserve">AASB 2020-1 </w:t>
      </w:r>
      <w:r>
        <w:rPr>
          <w:rStyle w:val="Emphasis"/>
        </w:rPr>
        <w:t xml:space="preserve">Amendments to Australian Accounting Standards – Classification of Liabilities as Current </w:t>
      </w:r>
      <w:r>
        <w:rPr>
          <w:rStyle w:val="Emphasis"/>
        </w:rPr>
        <w:br/>
        <w:t>or Non-Current</w:t>
      </w:r>
    </w:p>
    <w:p w14:paraId="0ECF90C7" w14:textId="77777777" w:rsidR="005F4A7E" w:rsidRDefault="005F4A7E" w:rsidP="00130D1C">
      <w:pPr>
        <w:pStyle w:val="ARfinbodyindent"/>
      </w:pPr>
      <w:r>
        <w:t xml:space="preserve">This standard amends AASB 101 to clarify requirements for the presentation of liabilities in the statement of financial position as current or non-current. It initially applied to annual reporting periods beginning on or after 1 January 2022 with earlier application permitted. However, the AASB has recently issued AASB 2020-1 </w:t>
      </w:r>
      <w:r>
        <w:rPr>
          <w:rStyle w:val="Emphasis"/>
        </w:rPr>
        <w:t>Amendments to Australian Accounting Standards – Classification of Liabilities as Current or Non-current – Deferral of Effective Date</w:t>
      </w:r>
      <w:r>
        <w:t xml:space="preserve"> to defer the application by one year to periods beginning on or after 1 January 2023. The department will not early adopt the standard.</w:t>
      </w:r>
    </w:p>
    <w:p w14:paraId="4BF1E248" w14:textId="77777777" w:rsidR="005F4A7E" w:rsidRDefault="005F4A7E" w:rsidP="00130D1C">
      <w:pPr>
        <w:pStyle w:val="ARfinbodyindent"/>
      </w:pPr>
      <w:r>
        <w:t>The department is in the process of analysing the impacts of this standard. However, it is not anticipated to have a material impact.</w:t>
      </w:r>
    </w:p>
    <w:p w14:paraId="1982C2A5" w14:textId="27E82FF7" w:rsidR="005F4A7E" w:rsidRDefault="005F4A7E" w:rsidP="00130D1C">
      <w:pPr>
        <w:pStyle w:val="ARfinbody"/>
      </w:pPr>
      <w:r>
        <w:t>Several other amending standards and AASB interpretations have been issued that apply to future reporting periods, but are considered to have limited impact on the department</w:t>
      </w:r>
      <w:r w:rsidR="007D145B">
        <w:t>’</w:t>
      </w:r>
      <w:r>
        <w:t>s reporting.</w:t>
      </w:r>
    </w:p>
    <w:p w14:paraId="4871E94A" w14:textId="77777777" w:rsidR="005F4A7E" w:rsidRDefault="005F4A7E" w:rsidP="005F4A7E">
      <w:pPr>
        <w:pStyle w:val="ARfinbullet1"/>
        <w:numPr>
          <w:ilvl w:val="0"/>
          <w:numId w:val="2"/>
        </w:numPr>
      </w:pPr>
      <w:r>
        <w:rPr>
          <w:rFonts w:eastAsia="Arial" w:cs="Arial"/>
          <w:spacing w:val="2"/>
        </w:rPr>
        <w:t xml:space="preserve">AASB 1060 </w:t>
      </w:r>
      <w:r>
        <w:rPr>
          <w:rStyle w:val="Emphasis"/>
        </w:rPr>
        <w:t>General Purpose Financial Statements – Simplified Disclosures for For-Profit and Not-for-Profit Tier 2 Entities (Appendix C)</w:t>
      </w:r>
    </w:p>
    <w:p w14:paraId="550FA24F" w14:textId="77777777" w:rsidR="005F4A7E" w:rsidRDefault="005F4A7E" w:rsidP="005F4A7E">
      <w:pPr>
        <w:pStyle w:val="ARfinbullet1"/>
        <w:numPr>
          <w:ilvl w:val="0"/>
          <w:numId w:val="2"/>
        </w:numPr>
      </w:pPr>
      <w:r>
        <w:rPr>
          <w:rFonts w:eastAsia="Arial" w:cs="Arial"/>
          <w:spacing w:val="2"/>
        </w:rPr>
        <w:t xml:space="preserve">AASB 2020-3 </w:t>
      </w:r>
      <w:r>
        <w:rPr>
          <w:rStyle w:val="Emphasis"/>
        </w:rPr>
        <w:t>Amendments to Australian Accounting Standards – Annual Improvements 2018–2020 and Other Amendments</w:t>
      </w:r>
    </w:p>
    <w:p w14:paraId="53D29627" w14:textId="77777777" w:rsidR="005F4A7E" w:rsidRDefault="005F4A7E" w:rsidP="005F4A7E">
      <w:pPr>
        <w:pStyle w:val="ARfinbullet1"/>
        <w:numPr>
          <w:ilvl w:val="0"/>
          <w:numId w:val="2"/>
        </w:numPr>
        <w:rPr>
          <w:rFonts w:eastAsia="Arial" w:cs="Arial"/>
          <w:spacing w:val="2"/>
        </w:rPr>
      </w:pPr>
      <w:r>
        <w:rPr>
          <w:rFonts w:eastAsia="Arial" w:cs="Arial"/>
          <w:spacing w:val="2"/>
        </w:rPr>
        <w:t xml:space="preserve">AASB 2020-7 </w:t>
      </w:r>
      <w:r>
        <w:rPr>
          <w:rStyle w:val="Emphasis"/>
        </w:rPr>
        <w:t>Amendments to Australian Accounting Standards – Covid-19 – Rent Related Concessions: Tier 2 Disclosures</w:t>
      </w:r>
    </w:p>
    <w:p w14:paraId="50D72DC2" w14:textId="77777777" w:rsidR="005F4A7E" w:rsidRDefault="005F4A7E" w:rsidP="005F4A7E">
      <w:pPr>
        <w:pStyle w:val="ARfinbullet1"/>
        <w:numPr>
          <w:ilvl w:val="0"/>
          <w:numId w:val="2"/>
        </w:numPr>
        <w:rPr>
          <w:rFonts w:eastAsia="Arial" w:cs="Arial"/>
          <w:spacing w:val="2"/>
        </w:rPr>
      </w:pPr>
      <w:r>
        <w:rPr>
          <w:rFonts w:eastAsia="Arial" w:cs="Arial"/>
          <w:spacing w:val="2"/>
        </w:rPr>
        <w:t xml:space="preserve">AASB 2020-8 </w:t>
      </w:r>
      <w:r>
        <w:rPr>
          <w:rStyle w:val="Emphasis"/>
        </w:rPr>
        <w:t>Amendments to Australian Accounting Standards – Interest Rate Benchmark Reform – Phase 2</w:t>
      </w:r>
    </w:p>
    <w:p w14:paraId="6A035247" w14:textId="77777777" w:rsidR="005F4A7E" w:rsidRDefault="005F4A7E" w:rsidP="005F4A7E">
      <w:pPr>
        <w:pStyle w:val="ARfinbullet1"/>
        <w:numPr>
          <w:ilvl w:val="0"/>
          <w:numId w:val="2"/>
        </w:numPr>
        <w:rPr>
          <w:rFonts w:eastAsia="Arial" w:cs="Arial"/>
          <w:spacing w:val="2"/>
        </w:rPr>
      </w:pPr>
      <w:r>
        <w:rPr>
          <w:rFonts w:eastAsia="Arial" w:cs="Arial"/>
          <w:spacing w:val="2"/>
        </w:rPr>
        <w:t xml:space="preserve">AASB 2020-9 </w:t>
      </w:r>
      <w:r>
        <w:rPr>
          <w:rStyle w:val="Emphasis"/>
        </w:rPr>
        <w:t>Amendments to Australian Accounting Standards – Tier 2 Disclosures: Interest Rate Benchmark Reform (Phase 2) and Other Amendments</w:t>
      </w:r>
      <w:r>
        <w:rPr>
          <w:rFonts w:eastAsia="Arial" w:cs="Arial"/>
          <w:spacing w:val="2"/>
        </w:rPr>
        <w:t>.</w:t>
      </w:r>
    </w:p>
    <w:p w14:paraId="1C784FBA" w14:textId="77777777" w:rsidR="005F4A7E" w:rsidRDefault="005F4A7E" w:rsidP="00130D1C">
      <w:pPr>
        <w:pStyle w:val="Heading4"/>
        <w:spacing w:before="160" w:after="60"/>
        <w:rPr>
          <w:lang w:eastAsia="en-AU"/>
        </w:rPr>
      </w:pPr>
      <w:bookmarkStart w:id="1089" w:name="_Toc39242179"/>
      <w:bookmarkStart w:id="1090" w:name="_Toc85121566"/>
      <w:r>
        <w:rPr>
          <w:lang w:eastAsia="en-AU"/>
        </w:rPr>
        <w:t>9.13 Glossary of technical terms</w:t>
      </w:r>
      <w:bookmarkEnd w:id="1089"/>
      <w:bookmarkEnd w:id="1090"/>
    </w:p>
    <w:p w14:paraId="4E97558E" w14:textId="77777777" w:rsidR="005F4A7E" w:rsidRDefault="005F4A7E" w:rsidP="00130D1C">
      <w:pPr>
        <w:pStyle w:val="ARfinbody"/>
      </w:pPr>
      <w:r>
        <w:t>The following is a summary of the major technical terms used in this report.</w:t>
      </w:r>
    </w:p>
    <w:p w14:paraId="1EBA1143" w14:textId="77777777" w:rsidR="005F4A7E" w:rsidRDefault="005F4A7E" w:rsidP="00130D1C">
      <w:pPr>
        <w:pStyle w:val="ARfinbody"/>
      </w:pPr>
      <w:r>
        <w:rPr>
          <w:rStyle w:val="Strong"/>
        </w:rPr>
        <w:t>Actuarial gains or losses on superannuation defined benefit plans</w:t>
      </w:r>
      <w:r>
        <w:t xml:space="preserve"> are changes in the present value of the superannuation defined benefit liability resulting from:</w:t>
      </w:r>
    </w:p>
    <w:p w14:paraId="633507A9" w14:textId="77777777" w:rsidR="005F4A7E" w:rsidRDefault="005F4A7E" w:rsidP="005F4A7E">
      <w:pPr>
        <w:pStyle w:val="ARfinbullet1"/>
        <w:numPr>
          <w:ilvl w:val="0"/>
          <w:numId w:val="2"/>
        </w:numPr>
      </w:pPr>
      <w:r>
        <w:t>experience adjustments (the effects of differences between the previous actuarial assumptions and what has actually occurred)</w:t>
      </w:r>
    </w:p>
    <w:p w14:paraId="0473D3D0" w14:textId="77777777" w:rsidR="005F4A7E" w:rsidRDefault="005F4A7E" w:rsidP="005F4A7E">
      <w:pPr>
        <w:pStyle w:val="ARfinbullet1"/>
        <w:numPr>
          <w:ilvl w:val="0"/>
          <w:numId w:val="2"/>
        </w:numPr>
      </w:pPr>
      <w:r>
        <w:t>the effects of changes in actuarial assumptions.</w:t>
      </w:r>
    </w:p>
    <w:p w14:paraId="6A9177E0" w14:textId="306A8C9D" w:rsidR="005F4A7E" w:rsidRDefault="005F4A7E" w:rsidP="00130D1C">
      <w:pPr>
        <w:pStyle w:val="ARfinbody"/>
      </w:pPr>
      <w:r>
        <w:rPr>
          <w:rStyle w:val="Strong"/>
        </w:rPr>
        <w:t>Administered item</w:t>
      </w:r>
      <w:r>
        <w:t xml:space="preserve"> generally refers to a department lacking the capacity to benefit from that item in the pursuit of the entity</w:t>
      </w:r>
      <w:r w:rsidR="007D145B">
        <w:t>’</w:t>
      </w:r>
      <w:r>
        <w:t>s objectives and to deny or regulate the access of others to that benefit.</w:t>
      </w:r>
    </w:p>
    <w:p w14:paraId="69B0B7BF" w14:textId="29E94D7D" w:rsidR="005F4A7E" w:rsidRDefault="005F4A7E" w:rsidP="00130D1C">
      <w:pPr>
        <w:pStyle w:val="ARfinbody"/>
      </w:pPr>
      <w:r>
        <w:rPr>
          <w:rStyle w:val="Strong"/>
        </w:rPr>
        <w:t>Amortisation</w:t>
      </w:r>
      <w:r>
        <w:t xml:space="preserve"> is the expense that results from the consumption, extraction or use over time of a non-produced physical or intangible asset. This expense is classified as an </w:t>
      </w:r>
      <w:r w:rsidR="007D145B">
        <w:t>‘</w:t>
      </w:r>
      <w:r>
        <w:t>other economic flow</w:t>
      </w:r>
      <w:r w:rsidR="007D145B">
        <w:t>’</w:t>
      </w:r>
      <w:r>
        <w:t>.</w:t>
      </w:r>
    </w:p>
    <w:p w14:paraId="3B85FF64" w14:textId="77777777" w:rsidR="005F4A7E" w:rsidRDefault="005F4A7E" w:rsidP="00130D1C">
      <w:pPr>
        <w:pStyle w:val="ARfinbody"/>
      </w:pPr>
      <w:r>
        <w:rPr>
          <w:rStyle w:val="Strong"/>
        </w:rPr>
        <w:t>Borrowings</w:t>
      </w:r>
      <w:r>
        <w:t xml:space="preserve"> refers to interest-bearing liabilities mainly raised from public borrowings raised through the Treasury Corporation of Victoria, finance leases and other interest-bearing arrangements. Borrowings also include non-interest-bearing advances from government that are acquired for policy purposes.</w:t>
      </w:r>
    </w:p>
    <w:p w14:paraId="1EA3737A" w14:textId="39AF18BB" w:rsidR="005F4A7E" w:rsidRDefault="005F4A7E" w:rsidP="00130D1C">
      <w:pPr>
        <w:pStyle w:val="ARfinbody"/>
      </w:pPr>
      <w:r>
        <w:rPr>
          <w:rStyle w:val="Strong"/>
        </w:rPr>
        <w:t>Capital asset charge</w:t>
      </w:r>
      <w:r>
        <w:t xml:space="preserve"> is a charge levied on the written-down value of controlled non-current physical assets in a department</w:t>
      </w:r>
      <w:r w:rsidR="007D145B">
        <w:t>’</w:t>
      </w:r>
      <w:r>
        <w:t>s balance sheet which aims to: attribute to agency outputs the opportunity cost of capital used in service delivery; and provide incentives to departments to identify and dispose of underutilised or surplus assets in a timely manner.</w:t>
      </w:r>
    </w:p>
    <w:p w14:paraId="7F91C21E" w14:textId="77777777" w:rsidR="005F4A7E" w:rsidRDefault="005F4A7E" w:rsidP="00130D1C">
      <w:pPr>
        <w:pStyle w:val="ARfinbody"/>
      </w:pPr>
      <w:r>
        <w:rPr>
          <w:rStyle w:val="Strong"/>
        </w:rPr>
        <w:t>Commitments</w:t>
      </w:r>
      <w:r>
        <w:t xml:space="preserve"> include those operating, capital and other outsourcing commitments arising from non-cancellable contractual or statutory sources.</w:t>
      </w:r>
    </w:p>
    <w:p w14:paraId="15D0FEF3" w14:textId="77777777" w:rsidR="005F4A7E" w:rsidRDefault="005F4A7E" w:rsidP="00130D1C">
      <w:pPr>
        <w:pStyle w:val="ARfinbody"/>
        <w:spacing w:after="50"/>
      </w:pPr>
      <w:r>
        <w:rPr>
          <w:rStyle w:val="Strong"/>
        </w:rPr>
        <w:lastRenderedPageBreak/>
        <w:t>Comprehensive result</w:t>
      </w:r>
      <w:r>
        <w:t xml:space="preserve"> is the amount included in the operating statement representing total change in net worth other than transactions with owners as owners.</w:t>
      </w:r>
    </w:p>
    <w:p w14:paraId="0DD1621C" w14:textId="015AD817" w:rsidR="005F4A7E" w:rsidRDefault="005F4A7E" w:rsidP="00130D1C">
      <w:pPr>
        <w:pStyle w:val="ARfinbody"/>
        <w:spacing w:after="50"/>
      </w:pPr>
      <w:r>
        <w:rPr>
          <w:rStyle w:val="Strong"/>
        </w:rPr>
        <w:t>Controlled item</w:t>
      </w:r>
      <w:r>
        <w:t xml:space="preserve"> generally refers to the capacity of a department to benefit from that item in the pursuit of the entity</w:t>
      </w:r>
      <w:r w:rsidR="007D145B">
        <w:t>’</w:t>
      </w:r>
      <w:r>
        <w:t>s objectives and to deny or regulate the access of others to that benefit.</w:t>
      </w:r>
    </w:p>
    <w:p w14:paraId="34AD77A2" w14:textId="77777777" w:rsidR="005F4A7E" w:rsidRDefault="005F4A7E" w:rsidP="00130D1C">
      <w:pPr>
        <w:pStyle w:val="ARfinbody"/>
        <w:spacing w:after="50"/>
      </w:pPr>
      <w:r>
        <w:rPr>
          <w:rStyle w:val="Strong"/>
        </w:rPr>
        <w:t>Current grants</w:t>
      </w:r>
      <w:r>
        <w:t xml:space="preserve"> are amounts payable or receivable for current purposes for which no economic benefits of equal value are receivable or payable in return.</w:t>
      </w:r>
    </w:p>
    <w:p w14:paraId="7DD342D0" w14:textId="0A6F8558" w:rsidR="005F4A7E" w:rsidRDefault="005F4A7E" w:rsidP="00130D1C">
      <w:pPr>
        <w:pStyle w:val="ARfinbody"/>
        <w:spacing w:after="50"/>
      </w:pPr>
      <w:r>
        <w:rPr>
          <w:rStyle w:val="Strong"/>
        </w:rPr>
        <w:t>Depreciation</w:t>
      </w:r>
      <w:r>
        <w:t xml:space="preserve"> is an expense that arises from the consumption through wear or time of a produced physical or intangible asset. This expense is classified as a </w:t>
      </w:r>
      <w:r w:rsidR="007D145B">
        <w:t>‘</w:t>
      </w:r>
      <w:r>
        <w:t>transaction</w:t>
      </w:r>
      <w:r w:rsidR="007D145B">
        <w:t>’</w:t>
      </w:r>
      <w:r>
        <w:t xml:space="preserve"> and so reduces the </w:t>
      </w:r>
      <w:r w:rsidR="007D145B">
        <w:t>‘</w:t>
      </w:r>
      <w:r>
        <w:t>net result from transaction</w:t>
      </w:r>
      <w:r w:rsidR="007D145B">
        <w:t>’</w:t>
      </w:r>
      <w:r>
        <w:t>.</w:t>
      </w:r>
    </w:p>
    <w:p w14:paraId="2CB711E9" w14:textId="77777777" w:rsidR="005F4A7E" w:rsidRDefault="005F4A7E" w:rsidP="00130D1C">
      <w:pPr>
        <w:pStyle w:val="ARfinbody"/>
        <w:spacing w:after="50"/>
      </w:pPr>
      <w:r>
        <w:rPr>
          <w:rStyle w:val="Strong"/>
        </w:rPr>
        <w:t>Effective interest method</w:t>
      </w:r>
      <w:r>
        <w:t xml:space="preserve"> is the method used to calculate the amortised cost of a financial asset or liability and of allocating interest over the relevant period. The effective interest rate is the rate that exactly discounts estimated future cash flows through the expected life of the financial instrument or, where appropriate, a shorter period.</w:t>
      </w:r>
    </w:p>
    <w:p w14:paraId="0636E44D" w14:textId="77777777" w:rsidR="005F4A7E" w:rsidRDefault="005F4A7E" w:rsidP="00130D1C">
      <w:pPr>
        <w:pStyle w:val="ARfinbody"/>
        <w:spacing w:after="50"/>
      </w:pPr>
      <w:r>
        <w:rPr>
          <w:rStyle w:val="Strong"/>
        </w:rPr>
        <w:t>Employee benefits expenses</w:t>
      </w:r>
      <w:r>
        <w:t xml:space="preserve"> includes all costs related to employment including salaries and wages, leave entitlements, redundancy payments, defined benefits superannuation plans, and defined contribution superannuation plans.</w:t>
      </w:r>
    </w:p>
    <w:p w14:paraId="02E10A7C" w14:textId="77777777" w:rsidR="005F4A7E" w:rsidRDefault="005F4A7E" w:rsidP="00130D1C">
      <w:pPr>
        <w:pStyle w:val="ARfinbody"/>
        <w:spacing w:after="50"/>
      </w:pPr>
      <w:r>
        <w:rPr>
          <w:rStyle w:val="Strong"/>
        </w:rPr>
        <w:t>Ex-gratia expenses</w:t>
      </w:r>
      <w:r>
        <w:t xml:space="preserve"> mean the voluntary payment of money or other non-monetary benefit (for example a write off) that is not made either to acquire goods, services or other benefits for the entity or to meet a legal liability, or to settle or resolve a possible legal liability or claim against the entity.</w:t>
      </w:r>
    </w:p>
    <w:p w14:paraId="0E5BE67B" w14:textId="77777777" w:rsidR="005F4A7E" w:rsidRDefault="005F4A7E" w:rsidP="00130D1C">
      <w:pPr>
        <w:pStyle w:val="ARfinbody"/>
        <w:spacing w:after="50"/>
      </w:pPr>
      <w:r>
        <w:rPr>
          <w:b/>
          <w:bCs/>
        </w:rPr>
        <w:t>Finance lease</w:t>
      </w:r>
      <w:r>
        <w:t xml:space="preserve"> is a lease that transfers substantially all the risks and rewards incidental to ownership of an underlying asset.</w:t>
      </w:r>
    </w:p>
    <w:p w14:paraId="76A5AF56" w14:textId="77777777" w:rsidR="005F4A7E" w:rsidRDefault="005F4A7E" w:rsidP="00130D1C">
      <w:pPr>
        <w:pStyle w:val="ARfinbody"/>
        <w:keepNext/>
        <w:spacing w:after="50"/>
      </w:pPr>
      <w:r>
        <w:rPr>
          <w:rStyle w:val="Strong"/>
        </w:rPr>
        <w:t>Financial asset</w:t>
      </w:r>
      <w:r>
        <w:t xml:space="preserve"> is any asset that is:</w:t>
      </w:r>
    </w:p>
    <w:p w14:paraId="4D445EFE" w14:textId="77777777" w:rsidR="005F4A7E" w:rsidRDefault="005F4A7E" w:rsidP="003B1F81">
      <w:pPr>
        <w:pStyle w:val="ARfinnumberalpha1"/>
        <w:numPr>
          <w:ilvl w:val="0"/>
          <w:numId w:val="37"/>
        </w:numPr>
        <w:spacing w:after="50" w:line="190" w:lineRule="atLeast"/>
        <w:textAlignment w:val="auto"/>
      </w:pPr>
      <w:r>
        <w:t>cash</w:t>
      </w:r>
    </w:p>
    <w:p w14:paraId="52FD0DB7" w14:textId="77777777" w:rsidR="005F4A7E" w:rsidRDefault="005F4A7E" w:rsidP="003B1F81">
      <w:pPr>
        <w:pStyle w:val="ARfinnumberalpha1"/>
        <w:numPr>
          <w:ilvl w:val="0"/>
          <w:numId w:val="37"/>
        </w:numPr>
        <w:spacing w:after="50" w:line="190" w:lineRule="atLeast"/>
        <w:textAlignment w:val="auto"/>
      </w:pPr>
      <w:r>
        <w:t>an equity instrument of another entity</w:t>
      </w:r>
    </w:p>
    <w:p w14:paraId="5103FE58" w14:textId="77777777" w:rsidR="005F4A7E" w:rsidRDefault="005F4A7E" w:rsidP="003B1F81">
      <w:pPr>
        <w:pStyle w:val="ARfinnumberalpha1"/>
        <w:numPr>
          <w:ilvl w:val="0"/>
          <w:numId w:val="37"/>
        </w:numPr>
        <w:spacing w:after="50" w:line="190" w:lineRule="atLeast"/>
        <w:textAlignment w:val="auto"/>
      </w:pPr>
      <w:r>
        <w:t>a contractual or statutory right:</w:t>
      </w:r>
    </w:p>
    <w:p w14:paraId="21416025" w14:textId="77777777" w:rsidR="005F4A7E" w:rsidRDefault="005F4A7E" w:rsidP="005F4A7E">
      <w:pPr>
        <w:pStyle w:val="ARfinbullet2"/>
        <w:numPr>
          <w:ilvl w:val="1"/>
          <w:numId w:val="2"/>
        </w:numPr>
        <w:spacing w:after="50"/>
        <w:ind w:left="568" w:hanging="284"/>
      </w:pPr>
      <w:r>
        <w:t>to receive cash or another financial asset from another entity, or</w:t>
      </w:r>
    </w:p>
    <w:p w14:paraId="64122DAD" w14:textId="77777777" w:rsidR="005F4A7E" w:rsidRDefault="005F4A7E" w:rsidP="005F4A7E">
      <w:pPr>
        <w:pStyle w:val="ARfinbullet2"/>
        <w:numPr>
          <w:ilvl w:val="1"/>
          <w:numId w:val="2"/>
        </w:numPr>
        <w:spacing w:after="50"/>
        <w:ind w:left="568" w:hanging="284"/>
      </w:pPr>
      <w:r>
        <w:t>to exchange financial assets or financial liabilities with another entity under conditions that are potentially favourable to the entity, or</w:t>
      </w:r>
    </w:p>
    <w:p w14:paraId="286F3591" w14:textId="0ED4F59F" w:rsidR="005F4A7E" w:rsidRDefault="005F4A7E" w:rsidP="003B1F81">
      <w:pPr>
        <w:pStyle w:val="ARfinnumberalpha1"/>
        <w:numPr>
          <w:ilvl w:val="0"/>
          <w:numId w:val="38"/>
        </w:numPr>
        <w:spacing w:after="50" w:line="190" w:lineRule="atLeast"/>
        <w:textAlignment w:val="auto"/>
      </w:pPr>
      <w:r>
        <w:t>a contract that will or may be settled in the entity</w:t>
      </w:r>
      <w:r w:rsidR="007D145B">
        <w:t>’</w:t>
      </w:r>
      <w:r>
        <w:t>s own equity instruments and is:</w:t>
      </w:r>
    </w:p>
    <w:p w14:paraId="4D66CED8" w14:textId="0D60537D" w:rsidR="005F4A7E" w:rsidRDefault="005F4A7E" w:rsidP="005F4A7E">
      <w:pPr>
        <w:pStyle w:val="ARfinbullet2"/>
        <w:numPr>
          <w:ilvl w:val="1"/>
          <w:numId w:val="2"/>
        </w:numPr>
        <w:spacing w:after="50"/>
        <w:ind w:left="568" w:hanging="284"/>
      </w:pPr>
      <w:r>
        <w:t>a non-derivative for which the entity is or may be obliged to receive a variable number of the entity</w:t>
      </w:r>
      <w:r w:rsidR="007D145B">
        <w:t>’</w:t>
      </w:r>
      <w:r>
        <w:t>s own equity instruments, or</w:t>
      </w:r>
    </w:p>
    <w:p w14:paraId="7C1A2622" w14:textId="2D1A9D04" w:rsidR="005F4A7E" w:rsidRDefault="005F4A7E" w:rsidP="005F4A7E">
      <w:pPr>
        <w:pStyle w:val="ARfinbullet2"/>
        <w:numPr>
          <w:ilvl w:val="1"/>
          <w:numId w:val="2"/>
        </w:numPr>
        <w:spacing w:after="50"/>
        <w:ind w:left="568" w:hanging="284"/>
      </w:pPr>
      <w:r>
        <w:t>a derivative that will or may be settled other than by the exchange of a fixed amount of cash or another financial asset for a fixed number of the entity</w:t>
      </w:r>
      <w:r w:rsidR="007D145B">
        <w:t>’</w:t>
      </w:r>
      <w:r>
        <w:t>s own equity instruments.</w:t>
      </w:r>
    </w:p>
    <w:p w14:paraId="1235D540" w14:textId="77777777" w:rsidR="005F4A7E" w:rsidRDefault="005F4A7E" w:rsidP="00130D1C">
      <w:pPr>
        <w:pStyle w:val="ARfinbody"/>
        <w:spacing w:after="50"/>
        <w:rPr>
          <w:rStyle w:val="Strong"/>
          <w:b w:val="0"/>
          <w:bCs w:val="0"/>
        </w:rPr>
      </w:pPr>
      <w:r>
        <w:rPr>
          <w:rStyle w:val="Strong"/>
        </w:rPr>
        <w:t xml:space="preserve">Financial instrument </w:t>
      </w:r>
      <w:r w:rsidRPr="00D17327">
        <w:rPr>
          <w:rStyle w:val="Strong"/>
          <w:b w:val="0"/>
          <w:bCs w:val="0"/>
        </w:rPr>
        <w:t>is any contract that gives rise to a financial asset of one entity and a financial liability or </w:t>
      </w:r>
      <w:r w:rsidRPr="00272CA6">
        <w:rPr>
          <w:rStyle w:val="Strong"/>
          <w:b w:val="0"/>
          <w:bCs w:val="0"/>
        </w:rPr>
        <w:t>equity</w:t>
      </w:r>
      <w:r w:rsidRPr="00B80386">
        <w:rPr>
          <w:rStyle w:val="Strong"/>
          <w:b w:val="0"/>
          <w:bCs w:val="0"/>
        </w:rPr>
        <w:t xml:space="preserve"> instrument of another entity</w:t>
      </w:r>
      <w:r>
        <w:rPr>
          <w:rStyle w:val="Strong"/>
        </w:rPr>
        <w:t>.</w:t>
      </w:r>
    </w:p>
    <w:p w14:paraId="3642A522" w14:textId="77777777" w:rsidR="005F4A7E" w:rsidRDefault="005F4A7E" w:rsidP="00130D1C">
      <w:pPr>
        <w:pStyle w:val="ARfinbody"/>
        <w:spacing w:after="50"/>
      </w:pPr>
      <w:r>
        <w:rPr>
          <w:rStyle w:val="Strong"/>
        </w:rPr>
        <w:t>Financial liability</w:t>
      </w:r>
      <w:r>
        <w:t xml:space="preserve"> is any liability that is:</w:t>
      </w:r>
    </w:p>
    <w:p w14:paraId="35C5DBA0" w14:textId="77777777" w:rsidR="005F4A7E" w:rsidRDefault="005F4A7E" w:rsidP="005F4A7E">
      <w:pPr>
        <w:pStyle w:val="ARfinbullet1"/>
        <w:numPr>
          <w:ilvl w:val="0"/>
          <w:numId w:val="2"/>
        </w:numPr>
        <w:spacing w:after="50"/>
      </w:pPr>
      <w:r>
        <w:t>a contractual or statutory obligation:</w:t>
      </w:r>
    </w:p>
    <w:p w14:paraId="02874D8A" w14:textId="77777777" w:rsidR="005F4A7E" w:rsidRDefault="005F4A7E" w:rsidP="005F4A7E">
      <w:pPr>
        <w:pStyle w:val="ARfinbullet2"/>
        <w:numPr>
          <w:ilvl w:val="1"/>
          <w:numId w:val="2"/>
        </w:numPr>
        <w:spacing w:after="50"/>
        <w:ind w:left="568" w:hanging="284"/>
      </w:pPr>
      <w:r>
        <w:t>to deliver cash or another financial asset to another entity, or</w:t>
      </w:r>
    </w:p>
    <w:p w14:paraId="1BB65464" w14:textId="77777777" w:rsidR="005F4A7E" w:rsidRDefault="005F4A7E" w:rsidP="005F4A7E">
      <w:pPr>
        <w:pStyle w:val="ARfinbullet2"/>
        <w:numPr>
          <w:ilvl w:val="1"/>
          <w:numId w:val="2"/>
        </w:numPr>
        <w:spacing w:after="50"/>
        <w:ind w:left="568" w:hanging="284"/>
      </w:pPr>
      <w:r>
        <w:t>to exchange financial assets or financial liabilities with another entity under conditions that are potentially unfavourable to the entity, or</w:t>
      </w:r>
    </w:p>
    <w:p w14:paraId="3CD04F15" w14:textId="1CC4C9FF" w:rsidR="005F4A7E" w:rsidRDefault="005F4A7E" w:rsidP="005F4A7E">
      <w:pPr>
        <w:pStyle w:val="ARfinbullet1"/>
        <w:numPr>
          <w:ilvl w:val="0"/>
          <w:numId w:val="2"/>
        </w:numPr>
        <w:spacing w:after="50"/>
      </w:pPr>
      <w:r>
        <w:t>a contract that will or may be settled in the entity</w:t>
      </w:r>
      <w:r w:rsidR="007D145B">
        <w:t>’</w:t>
      </w:r>
      <w:r>
        <w:t>s own equity instruments and is:</w:t>
      </w:r>
    </w:p>
    <w:p w14:paraId="1E769F70" w14:textId="61BCF6FF" w:rsidR="005F4A7E" w:rsidRDefault="005F4A7E" w:rsidP="005F4A7E">
      <w:pPr>
        <w:pStyle w:val="ARfinbullet2"/>
        <w:numPr>
          <w:ilvl w:val="1"/>
          <w:numId w:val="2"/>
        </w:numPr>
        <w:spacing w:after="50"/>
        <w:ind w:left="568" w:hanging="284"/>
      </w:pPr>
      <w:r>
        <w:t>a non-derivative for which the entity is or may be obliged to deliver a variable number of the entity</w:t>
      </w:r>
      <w:r w:rsidR="007D145B">
        <w:t>’</w:t>
      </w:r>
      <w:r>
        <w:t>s own equity instruments, or</w:t>
      </w:r>
    </w:p>
    <w:p w14:paraId="47CF581D" w14:textId="14272A19" w:rsidR="005F4A7E" w:rsidRDefault="005F4A7E" w:rsidP="005F4A7E">
      <w:pPr>
        <w:pStyle w:val="ARfinbullet2"/>
        <w:numPr>
          <w:ilvl w:val="1"/>
          <w:numId w:val="2"/>
        </w:numPr>
        <w:spacing w:after="50"/>
        <w:ind w:left="568" w:hanging="284"/>
      </w:pPr>
      <w:r>
        <w:t>a derivative that will or may be settled other than by the exchange of a fixed amount of cash or another financial asset for a fixed number of the entity</w:t>
      </w:r>
      <w:r w:rsidR="007D145B">
        <w:t>’</w:t>
      </w:r>
      <w:r>
        <w:t>s own equity instruments. For this purpose the entity</w:t>
      </w:r>
      <w:r w:rsidR="007D145B">
        <w:t>’</w:t>
      </w:r>
      <w:r>
        <w:t>s own equity instruments do not include instruments that are themselves contracts for the future receipt or delivery of the entity</w:t>
      </w:r>
      <w:r w:rsidR="007D145B">
        <w:t>’</w:t>
      </w:r>
      <w:r>
        <w:t>s own equity instruments.</w:t>
      </w:r>
    </w:p>
    <w:p w14:paraId="787434DC" w14:textId="77777777" w:rsidR="005F4A7E" w:rsidRDefault="005F4A7E" w:rsidP="00130D1C">
      <w:pPr>
        <w:pStyle w:val="ARfinbody"/>
        <w:spacing w:after="50"/>
      </w:pPr>
      <w:r>
        <w:rPr>
          <w:rStyle w:val="Strong"/>
        </w:rPr>
        <w:t>Financial statements</w:t>
      </w:r>
      <w:r>
        <w:t xml:space="preserve"> comprise:</w:t>
      </w:r>
    </w:p>
    <w:p w14:paraId="1D1CE472" w14:textId="77777777" w:rsidR="005F4A7E" w:rsidRDefault="005F4A7E" w:rsidP="003B1F81">
      <w:pPr>
        <w:pStyle w:val="ARfinnumberalpha1"/>
        <w:numPr>
          <w:ilvl w:val="0"/>
          <w:numId w:val="39"/>
        </w:numPr>
        <w:spacing w:after="50" w:line="190" w:lineRule="atLeast"/>
        <w:ind w:left="284" w:hanging="284"/>
        <w:textAlignment w:val="auto"/>
      </w:pPr>
      <w:r>
        <w:t>a balance sheet as at the end of the year</w:t>
      </w:r>
    </w:p>
    <w:p w14:paraId="78749B17" w14:textId="77777777" w:rsidR="005F4A7E" w:rsidRDefault="005F4A7E" w:rsidP="003B1F81">
      <w:pPr>
        <w:pStyle w:val="ARfinnumberalpha1"/>
        <w:numPr>
          <w:ilvl w:val="0"/>
          <w:numId w:val="39"/>
        </w:numPr>
        <w:spacing w:after="50" w:line="190" w:lineRule="atLeast"/>
        <w:ind w:left="284" w:hanging="284"/>
        <w:textAlignment w:val="auto"/>
      </w:pPr>
      <w:r>
        <w:t>a comprehensive operating statement for the year</w:t>
      </w:r>
    </w:p>
    <w:p w14:paraId="2C6EAB9B" w14:textId="77777777" w:rsidR="005F4A7E" w:rsidRDefault="005F4A7E" w:rsidP="003B1F81">
      <w:pPr>
        <w:pStyle w:val="ARfinnumberalpha1"/>
        <w:numPr>
          <w:ilvl w:val="0"/>
          <w:numId w:val="39"/>
        </w:numPr>
        <w:spacing w:after="50" w:line="190" w:lineRule="atLeast"/>
        <w:ind w:left="284" w:hanging="284"/>
        <w:textAlignment w:val="auto"/>
      </w:pPr>
      <w:r>
        <w:t>a statement of changes in equity for the year</w:t>
      </w:r>
    </w:p>
    <w:p w14:paraId="2CBA22AA" w14:textId="77777777" w:rsidR="005F4A7E" w:rsidRDefault="005F4A7E" w:rsidP="003B1F81">
      <w:pPr>
        <w:pStyle w:val="ARfinnumberalpha1"/>
        <w:numPr>
          <w:ilvl w:val="0"/>
          <w:numId w:val="39"/>
        </w:numPr>
        <w:spacing w:after="50" w:line="190" w:lineRule="atLeast"/>
        <w:ind w:left="284" w:hanging="284"/>
        <w:textAlignment w:val="auto"/>
      </w:pPr>
      <w:r>
        <w:t>a statement of cash flows for the year</w:t>
      </w:r>
    </w:p>
    <w:p w14:paraId="7BD0A6ED" w14:textId="77777777" w:rsidR="005F4A7E" w:rsidRDefault="005F4A7E" w:rsidP="003B1F81">
      <w:pPr>
        <w:pStyle w:val="ARfinnumberalpha1"/>
        <w:numPr>
          <w:ilvl w:val="0"/>
          <w:numId w:val="39"/>
        </w:numPr>
        <w:spacing w:after="50" w:line="190" w:lineRule="atLeast"/>
        <w:ind w:left="284" w:hanging="284"/>
        <w:textAlignment w:val="auto"/>
      </w:pPr>
      <w:r>
        <w:t>notes, comprising a summary of significant accounting policies and other explanatory information</w:t>
      </w:r>
    </w:p>
    <w:p w14:paraId="0EA0C3C4" w14:textId="77777777" w:rsidR="005F4A7E" w:rsidRDefault="005F4A7E" w:rsidP="003B1F81">
      <w:pPr>
        <w:pStyle w:val="ARfinnumberalpha1"/>
        <w:numPr>
          <w:ilvl w:val="0"/>
          <w:numId w:val="39"/>
        </w:numPr>
        <w:spacing w:line="190" w:lineRule="atLeast"/>
        <w:ind w:left="284" w:hanging="284"/>
        <w:textAlignment w:val="auto"/>
      </w:pPr>
      <w:r>
        <w:t xml:space="preserve">comparative information in respect of the preceding year as specified in paragraphs 38 of AASB 101 </w:t>
      </w:r>
      <w:r>
        <w:rPr>
          <w:rStyle w:val="Emphasis"/>
        </w:rPr>
        <w:t>Presentation of Financial Statements</w:t>
      </w:r>
    </w:p>
    <w:p w14:paraId="4882FECF" w14:textId="77777777" w:rsidR="005F4A7E" w:rsidRDefault="005F4A7E" w:rsidP="003B1F81">
      <w:pPr>
        <w:pStyle w:val="ARfinnumberalpha1"/>
        <w:numPr>
          <w:ilvl w:val="0"/>
          <w:numId w:val="39"/>
        </w:numPr>
        <w:spacing w:line="190" w:lineRule="atLeast"/>
        <w:ind w:left="284" w:hanging="284"/>
        <w:textAlignment w:val="auto"/>
      </w:pPr>
      <w:r>
        <w:t>a balance sheet as at the beginning of the preceding year when an entity applies an accounting policy retrospectively or makes a retrospective restatement of items in its financial statements, or when it reclassifies items in its financial statements in accordance with paragraph 41 of AASB 101.</w:t>
      </w:r>
    </w:p>
    <w:p w14:paraId="64762569" w14:textId="77777777" w:rsidR="005F4A7E" w:rsidRDefault="005F4A7E" w:rsidP="00130D1C">
      <w:pPr>
        <w:pStyle w:val="ARfinbody"/>
        <w:spacing w:after="50"/>
      </w:pPr>
      <w:r>
        <w:rPr>
          <w:rStyle w:val="Strong"/>
        </w:rPr>
        <w:lastRenderedPageBreak/>
        <w:t>Grants and other expense transfers</w:t>
      </w:r>
      <w:r>
        <w:t xml:space="preserve"> are transactions in which one unit provides goods, services, assets (or extinguishes a liability) or labour to another unit without receiving approximately equal value in return. Grants can either be operating or capital in nature.</w:t>
      </w:r>
    </w:p>
    <w:p w14:paraId="238621A9" w14:textId="77777777" w:rsidR="005F4A7E" w:rsidRDefault="005F4A7E" w:rsidP="00130D1C">
      <w:pPr>
        <w:pStyle w:val="ARfinbody"/>
        <w:spacing w:after="50"/>
      </w:pPr>
      <w:r>
        <w:t>While grants to governments may result in the provision of some goods or services to the transferor, they do not give the transferor a claim to receive directly benefits of approximately equal value. For this reason, grants are referred to by the AASB as involuntary transfers and are termed non-reciprocal transfers. Receipt and sacrifice of approximately equal value may occur, but only by coincidence. For example, governments are not obliged to provide commensurate benefits, in the form of goods or services, to particular taxpayers in return for their taxes.</w:t>
      </w:r>
    </w:p>
    <w:p w14:paraId="6BC6152D" w14:textId="77777777" w:rsidR="005F4A7E" w:rsidRDefault="005F4A7E" w:rsidP="00130D1C">
      <w:pPr>
        <w:pStyle w:val="ARfinbody"/>
        <w:spacing w:after="50"/>
      </w:pPr>
      <w:r>
        <w:t>Grants can be paid as general purpose grants which refer to grants that are not subject to conditions regarding their use. Alternatively, they may be paid as specific purpose grants which are paid for a particular purpose and/or have conditions attached regarding their use.</w:t>
      </w:r>
    </w:p>
    <w:p w14:paraId="292755D0" w14:textId="77777777" w:rsidR="005F4A7E" w:rsidRDefault="005F4A7E" w:rsidP="00130D1C">
      <w:pPr>
        <w:pStyle w:val="ARfinbody"/>
        <w:spacing w:after="50"/>
      </w:pPr>
      <w:r>
        <w:rPr>
          <w:rStyle w:val="Strong"/>
        </w:rPr>
        <w:t>General government sector</w:t>
      </w:r>
      <w:r>
        <w:t xml:space="preserve"> comprises all government departments, offices and other bodies engaged in providing services free of charge or at prices significantly below their cost of production. General government services include those that are mainly non-market in nature, those that are largely for collective consumption by the community and those that involve the transfer or redistribution of income. These services are financed mainly through taxes, or other compulsory levies and user charges.</w:t>
      </w:r>
    </w:p>
    <w:p w14:paraId="6513C6C8" w14:textId="77777777" w:rsidR="005F4A7E" w:rsidRDefault="005F4A7E" w:rsidP="00130D1C">
      <w:pPr>
        <w:pStyle w:val="ARfinbody"/>
        <w:spacing w:after="50"/>
      </w:pPr>
      <w:r>
        <w:rPr>
          <w:rStyle w:val="Strong"/>
        </w:rPr>
        <w:t>Grants for on-passing</w:t>
      </w:r>
      <w:r>
        <w:t xml:space="preserve"> are grants paid to one institutional sector (for example a state general government entity) to be passed on to another institutional sector (for example local government or a private non-profit institution).</w:t>
      </w:r>
    </w:p>
    <w:p w14:paraId="42BDC5AA" w14:textId="77777777" w:rsidR="005F4A7E" w:rsidRDefault="005F4A7E" w:rsidP="00130D1C">
      <w:pPr>
        <w:pStyle w:val="ARfinbody"/>
        <w:spacing w:after="50"/>
      </w:pPr>
      <w:r>
        <w:rPr>
          <w:rStyle w:val="Strong"/>
        </w:rPr>
        <w:t>Intangible assets</w:t>
      </w:r>
      <w:r>
        <w:t xml:space="preserve"> represent identifiable non-monetary assets without physical substance.</w:t>
      </w:r>
    </w:p>
    <w:p w14:paraId="0554F0E4" w14:textId="77777777" w:rsidR="005F4A7E" w:rsidRDefault="005F4A7E" w:rsidP="00130D1C">
      <w:pPr>
        <w:pStyle w:val="ARfinbody"/>
        <w:spacing w:after="50"/>
      </w:pPr>
      <w:r>
        <w:rPr>
          <w:rStyle w:val="Strong"/>
        </w:rPr>
        <w:t>Interest expense</w:t>
      </w:r>
      <w:r w:rsidRPr="00C75BB8">
        <w:t xml:space="preserve"> represents costs incurred</w:t>
      </w:r>
      <w:r>
        <w:t xml:space="preserve"> in connection with the borrowings. It includes interest on advances, loans, overdrafts, bonds and bills, deposits, interest components of lease repayments, service concession financial liabilities and amortisation of discounts or premiums in relation to borrowings.</w:t>
      </w:r>
    </w:p>
    <w:p w14:paraId="26A9FE0C" w14:textId="77777777" w:rsidR="005F4A7E" w:rsidRDefault="005F4A7E" w:rsidP="00130D1C">
      <w:pPr>
        <w:pStyle w:val="ARfinbody"/>
        <w:spacing w:after="50"/>
      </w:pPr>
      <w:r>
        <w:rPr>
          <w:rStyle w:val="Strong"/>
        </w:rPr>
        <w:t>Interest income</w:t>
      </w:r>
      <w:r>
        <w:t xml:space="preserve"> includes unwinding over time of discounts on financial assets and interest received on bank term deposits and other investments.</w:t>
      </w:r>
    </w:p>
    <w:p w14:paraId="6283D412" w14:textId="77777777" w:rsidR="005F4A7E" w:rsidRDefault="005F4A7E" w:rsidP="00130D1C">
      <w:pPr>
        <w:pStyle w:val="ARfinbody"/>
        <w:spacing w:after="50"/>
      </w:pPr>
      <w:r>
        <w:rPr>
          <w:rStyle w:val="Strong"/>
        </w:rPr>
        <w:t>Investment properties</w:t>
      </w:r>
      <w:r>
        <w:t xml:space="preserve"> are properties held to earn rentals or for capital appreciation or both. Investment properties exclude properties held to meet service delivery objectives of the State of Victoria.</w:t>
      </w:r>
    </w:p>
    <w:p w14:paraId="766B9BD7" w14:textId="77777777" w:rsidR="005F4A7E" w:rsidRDefault="005F4A7E" w:rsidP="00130D1C">
      <w:pPr>
        <w:pStyle w:val="ARfinbody"/>
        <w:spacing w:after="50"/>
      </w:pPr>
      <w:r>
        <w:rPr>
          <w:rStyle w:val="Strong"/>
        </w:rPr>
        <w:t>Joint ventures</w:t>
      </w:r>
      <w:r>
        <w:t xml:space="preserve"> are contractual arrangements </w:t>
      </w:r>
      <w:r w:rsidRPr="00CB4865">
        <w:t>between the department and one or more other parties to undertake an economic activity that is subject to joint control and where all (or the respective) parties have rights to the net assets of the arrangement. Joint control only exists when the strategic financial and operating decisions relating to the activity require the unanimous consent of the parties sharing control</w:t>
      </w:r>
      <w:r>
        <w:t xml:space="preserve"> (the venturers).</w:t>
      </w:r>
    </w:p>
    <w:p w14:paraId="19467720" w14:textId="77777777" w:rsidR="005F4A7E" w:rsidRDefault="005F4A7E" w:rsidP="00130D1C">
      <w:pPr>
        <w:pStyle w:val="ARfinbody"/>
        <w:spacing w:after="50"/>
      </w:pPr>
      <w:r>
        <w:rPr>
          <w:rStyle w:val="Strong"/>
        </w:rPr>
        <w:t>Leases</w:t>
      </w:r>
      <w:r>
        <w:t xml:space="preserve"> are rights conveyed in a contract, or part of a contract, to use an asset (the underlying asset) for a period of time in exchange for consideration.</w:t>
      </w:r>
    </w:p>
    <w:p w14:paraId="3F54CF61" w14:textId="77777777" w:rsidR="005F4A7E" w:rsidRDefault="005F4A7E" w:rsidP="00130D1C">
      <w:pPr>
        <w:pStyle w:val="ARfinbody"/>
        <w:spacing w:after="50"/>
      </w:pPr>
      <w:r>
        <w:rPr>
          <w:rStyle w:val="Strong"/>
        </w:rPr>
        <w:t>Net acquisition of non-financial assets</w:t>
      </w:r>
      <w:r>
        <w:t xml:space="preserve"> (from transactions) is the purchase (and other acquisition) of non-financial assets less sales (or disposals) of non-financial assets less depreciation plus changes in inventories and other movements in non-financial assets. Includes only those increases or decreases in non-financial assets resulting from transactions and therefore excludes write-offs, impairment write-downs and revaluations.</w:t>
      </w:r>
    </w:p>
    <w:p w14:paraId="33A4A464" w14:textId="77777777" w:rsidR="005F4A7E" w:rsidRDefault="005F4A7E" w:rsidP="00130D1C">
      <w:pPr>
        <w:pStyle w:val="ARfinbody"/>
        <w:spacing w:after="50"/>
      </w:pPr>
      <w:r>
        <w:rPr>
          <w:rStyle w:val="Strong"/>
        </w:rPr>
        <w:t>Net financial liabilities</w:t>
      </w:r>
      <w:r>
        <w:t xml:space="preserve"> are calculated as liabilities less financial assets, other than equity in public non-financial corporations (PNFC) and public financial corporations (PFC). This measure is broader than net debt as it includes significant liabilities, other than borrowings (for example accrued employee liabilities such as superannuation and long service leave entitlements). For the PNFC and PFC sectors, it is equal to negative net financial worth.</w:t>
      </w:r>
    </w:p>
    <w:p w14:paraId="4E43563C" w14:textId="77777777" w:rsidR="005F4A7E" w:rsidRDefault="005F4A7E" w:rsidP="00130D1C">
      <w:pPr>
        <w:pStyle w:val="ARfinbody"/>
        <w:spacing w:after="50"/>
      </w:pPr>
      <w:r>
        <w:rPr>
          <w:rStyle w:val="Strong"/>
        </w:rPr>
        <w:t>Net financial worth</w:t>
      </w:r>
      <w:r>
        <w:t xml:space="preserve"> is equal to financial assets minus liabilities. It is a broader measure than net debt as it incorporates provisions made (such as superannuation, but excluding depreciation and bad debts) as well as holdings of equity. Net financial worth includes all classes of financial assets and liabilities, only some of which are included in net debt.</w:t>
      </w:r>
    </w:p>
    <w:p w14:paraId="085027B3" w14:textId="77777777" w:rsidR="005F4A7E" w:rsidRDefault="005F4A7E" w:rsidP="00130D1C">
      <w:pPr>
        <w:pStyle w:val="ARfinbody"/>
        <w:spacing w:after="50"/>
      </w:pPr>
      <w:r>
        <w:rPr>
          <w:rStyle w:val="Strong"/>
        </w:rPr>
        <w:t>Net operating balance</w:t>
      </w:r>
      <w:r>
        <w:t xml:space="preserve"> or </w:t>
      </w:r>
      <w:r>
        <w:rPr>
          <w:rStyle w:val="Strong"/>
        </w:rPr>
        <w:t>net result from transactions</w:t>
      </w:r>
      <w:r>
        <w:t xml:space="preserve"> is a key fiscal aggregate and is revenue from transactions minus expenses from transactions. It is a summary measure of the ongoing sustainability of operations. It excludes gains and losses resulting from changes in price levels and other changes in the volume of assets. It is the component of the change in net worth that is due to transactions and can be attributed directly to government policies.</w:t>
      </w:r>
    </w:p>
    <w:p w14:paraId="060FA0B9" w14:textId="77777777" w:rsidR="005F4A7E" w:rsidRDefault="005F4A7E" w:rsidP="00130D1C">
      <w:pPr>
        <w:pStyle w:val="ARfinbody"/>
        <w:spacing w:after="50"/>
      </w:pPr>
      <w:r>
        <w:rPr>
          <w:rStyle w:val="Strong"/>
        </w:rPr>
        <w:t>Net result</w:t>
      </w:r>
      <w:r>
        <w:t xml:space="preserve"> is a measure of financial performance of the operations for the period. It is the net result of items of income, gains and expenses (including losses) recognised for the period, excluding those that are classified as other economic flows – other comprehensive income.</w:t>
      </w:r>
    </w:p>
    <w:p w14:paraId="20959082" w14:textId="77777777" w:rsidR="005F4A7E" w:rsidRDefault="005F4A7E" w:rsidP="00130D1C">
      <w:pPr>
        <w:pStyle w:val="ARfinbody"/>
        <w:spacing w:after="50"/>
      </w:pPr>
      <w:r>
        <w:rPr>
          <w:rStyle w:val="Strong"/>
        </w:rPr>
        <w:t>Net worth</w:t>
      </w:r>
      <w:r>
        <w:t xml:space="preserve"> is calculated as assets less liabilities, which is an economic measure of wealth.</w:t>
      </w:r>
    </w:p>
    <w:p w14:paraId="24D580A7" w14:textId="77777777" w:rsidR="005F4A7E" w:rsidRDefault="005F4A7E" w:rsidP="00130D1C">
      <w:pPr>
        <w:pStyle w:val="ARfinbody"/>
      </w:pPr>
      <w:r>
        <w:rPr>
          <w:rStyle w:val="Strong"/>
        </w:rPr>
        <w:t>Non-financial assets</w:t>
      </w:r>
      <w:r>
        <w:t xml:space="preserve"> are all assets that are not financial assets. It includes inventories, land, buildings, plant and equipment, and intangible assets.</w:t>
      </w:r>
    </w:p>
    <w:p w14:paraId="2DB54DB4" w14:textId="77777777" w:rsidR="005F4A7E" w:rsidRDefault="005F4A7E" w:rsidP="00130D1C">
      <w:pPr>
        <w:pStyle w:val="ARfinbody"/>
      </w:pPr>
      <w:r>
        <w:rPr>
          <w:rStyle w:val="Strong"/>
        </w:rPr>
        <w:t>Non-financial public sector</w:t>
      </w:r>
      <w:r>
        <w:t xml:space="preserve"> represents the consolidated transactions and assets and liabilities of the general government and PNFC sectors. In compiling statistics for the non-financial public sector, transactions and debtor/creditor relationships between sub-sectors are eliminated to avoid double counting.</w:t>
      </w:r>
    </w:p>
    <w:p w14:paraId="1F72AD5D" w14:textId="77777777" w:rsidR="005F4A7E" w:rsidRDefault="005F4A7E" w:rsidP="00130D1C">
      <w:pPr>
        <w:pStyle w:val="ARfinbody"/>
        <w:spacing w:after="50"/>
      </w:pPr>
      <w:r>
        <w:rPr>
          <w:rStyle w:val="Strong"/>
        </w:rPr>
        <w:t>Non-produced assets</w:t>
      </w:r>
      <w:r>
        <w:t xml:space="preserve"> are assets needed for production that have not themselves been produced. They include land, subsoil assets, and certain intangible assets. Non-produced intangibles are intangible assets needed for production that have not themselves been produced. They include constructs of society such as patents.</w:t>
      </w:r>
    </w:p>
    <w:p w14:paraId="0D717A64" w14:textId="54588E45" w:rsidR="005F4A7E" w:rsidRDefault="005F4A7E" w:rsidP="00130D1C">
      <w:pPr>
        <w:pStyle w:val="ARfinbody"/>
        <w:spacing w:after="50"/>
      </w:pPr>
      <w:r>
        <w:rPr>
          <w:rStyle w:val="Strong"/>
        </w:rPr>
        <w:lastRenderedPageBreak/>
        <w:t>Operating result</w:t>
      </w:r>
      <w:r>
        <w:t xml:space="preserve"> is a measure of financial performance of the operations for the period. It is the net result of items of revenue, gains and expenses (including losses) recognised for the period, excluding those that are classified as </w:t>
      </w:r>
      <w:r w:rsidR="007D145B">
        <w:t>‘</w:t>
      </w:r>
      <w:r>
        <w:t>other non-owner movements in equity</w:t>
      </w:r>
      <w:r w:rsidR="007D145B">
        <w:t>’</w:t>
      </w:r>
      <w:r>
        <w:t xml:space="preserve">. Refer also </w:t>
      </w:r>
      <w:r w:rsidR="007D145B">
        <w:t>‘</w:t>
      </w:r>
      <w:r>
        <w:t>net result</w:t>
      </w:r>
      <w:r w:rsidR="007D145B">
        <w:t>’</w:t>
      </w:r>
      <w:r>
        <w:t>.</w:t>
      </w:r>
    </w:p>
    <w:p w14:paraId="55710B3E" w14:textId="77777777" w:rsidR="005F4A7E" w:rsidRDefault="005F4A7E" w:rsidP="00130D1C">
      <w:pPr>
        <w:pStyle w:val="ARfinbody"/>
        <w:spacing w:after="50"/>
      </w:pPr>
      <w:r>
        <w:rPr>
          <w:rStyle w:val="Strong"/>
        </w:rPr>
        <w:t>Other economic flows included in net result</w:t>
      </w:r>
      <w:r>
        <w:t xml:space="preserve"> are changes in the volume or value of an asset or liability that do not result from transactions. In simple terms, other economic flows are changes arising from market remeasurements. They include gains and losses from disposals, revaluations and impairments of non-current physical and intangible assets; actuarial gains and losses arising from defined benefit superannuation plans; fair value changes of financial instruments.</w:t>
      </w:r>
    </w:p>
    <w:p w14:paraId="6CC93D36" w14:textId="77777777" w:rsidR="005F4A7E" w:rsidRDefault="005F4A7E" w:rsidP="00130D1C">
      <w:pPr>
        <w:pStyle w:val="ARfinbody"/>
        <w:spacing w:after="50"/>
      </w:pPr>
      <w:r>
        <w:rPr>
          <w:rStyle w:val="Strong"/>
        </w:rPr>
        <w:t>Other economic flows – other comprehensive income</w:t>
      </w:r>
      <w:r>
        <w:t xml:space="preserve"> comprises items (including reclassification adjustments) that are not recognised in net result as required or permitted by other Australian Accounting Standards. They include changes in physical asset revaluation surplus; share of net movement in revaluation surplus of associates and joint ventures; and gains and losses on remeasuring available-for-sale financial assets.</w:t>
      </w:r>
    </w:p>
    <w:p w14:paraId="7F3E2BD6" w14:textId="77777777" w:rsidR="005F4A7E" w:rsidRDefault="005F4A7E" w:rsidP="00130D1C">
      <w:pPr>
        <w:pStyle w:val="ARfinbody"/>
        <w:spacing w:after="50"/>
      </w:pPr>
      <w:r>
        <w:rPr>
          <w:rStyle w:val="Strong"/>
        </w:rPr>
        <w:t>Other operating expenses</w:t>
      </w:r>
      <w:r>
        <w:t xml:space="preserve"> generally represent cost of goods sold and the day to day running costs, including maintenance costs, incurred in the normal operations of the department.</w:t>
      </w:r>
    </w:p>
    <w:p w14:paraId="0F24AE40" w14:textId="77777777" w:rsidR="005F4A7E" w:rsidRDefault="005F4A7E" w:rsidP="00130D1C">
      <w:pPr>
        <w:pStyle w:val="ARfinbody"/>
        <w:spacing w:after="50"/>
      </w:pPr>
      <w:r>
        <w:rPr>
          <w:rStyle w:val="Strong"/>
        </w:rPr>
        <w:t>Payables</w:t>
      </w:r>
      <w:r>
        <w:t xml:space="preserve"> include short and long-term accounts payable, grants, taxes and interest payable.</w:t>
      </w:r>
    </w:p>
    <w:p w14:paraId="0D3D8A52" w14:textId="77777777" w:rsidR="005F4A7E" w:rsidRDefault="005F4A7E" w:rsidP="00130D1C">
      <w:pPr>
        <w:pStyle w:val="ARfinbody"/>
        <w:spacing w:after="50"/>
      </w:pPr>
      <w:r>
        <w:rPr>
          <w:rStyle w:val="Strong"/>
        </w:rPr>
        <w:t>Produced assets</w:t>
      </w:r>
      <w:r>
        <w:t xml:space="preserve"> include buildings, plant and equipment, inventories, cultivated assets and certain intangible assets. Intangible produced assets may include computer software, motion picture films and research and development costs (which do not include the start-up costs associated with capital projects).</w:t>
      </w:r>
    </w:p>
    <w:p w14:paraId="0CF020B1" w14:textId="77777777" w:rsidR="005F4A7E" w:rsidRDefault="005F4A7E" w:rsidP="00130D1C">
      <w:pPr>
        <w:pStyle w:val="ARfinbody"/>
        <w:spacing w:after="50"/>
      </w:pPr>
      <w:r>
        <w:rPr>
          <w:rStyle w:val="Strong"/>
        </w:rPr>
        <w:t>Public financial corporations</w:t>
      </w:r>
      <w:r>
        <w:t xml:space="preserve"> (PFC) are bodies primarily engaged in the provision of financial intermediation services or auxiliary financial services. They are able to incur financial liabilities on their own account (for example by taking deposits, issuing securities or providing insurance services). Estimates are not published for the public financial corporation sector.</w:t>
      </w:r>
    </w:p>
    <w:p w14:paraId="7322E2EA" w14:textId="77777777" w:rsidR="005F4A7E" w:rsidRDefault="005F4A7E" w:rsidP="00130D1C">
      <w:pPr>
        <w:pStyle w:val="ARfinbody"/>
        <w:spacing w:after="50"/>
      </w:pPr>
      <w:r>
        <w:rPr>
          <w:rStyle w:val="Strong"/>
        </w:rPr>
        <w:t>Public non-financial corporation</w:t>
      </w:r>
      <w:r>
        <w:t xml:space="preserve"> (PNFC) sector comprises bodies mainly engaged in the production of goods and services (of a non-financial nature) for sale in the market place at prices that aim to recover most of the costs involved (for example water and port authorities). In general, PNFCs are legally distinguishable from the governments which own them.</w:t>
      </w:r>
    </w:p>
    <w:p w14:paraId="1C682931" w14:textId="77777777" w:rsidR="005F4A7E" w:rsidRDefault="005F4A7E" w:rsidP="00130D1C">
      <w:pPr>
        <w:pStyle w:val="ARfinbody"/>
        <w:spacing w:after="50"/>
      </w:pPr>
      <w:r>
        <w:rPr>
          <w:rStyle w:val="Strong"/>
        </w:rPr>
        <w:t>Receivables</w:t>
      </w:r>
      <w:r>
        <w:t xml:space="preserve"> includes amounts owing from government through appropriation receivable, short and long-term accounts receivable, accrued investment income, grants, taxes and interest receivable.</w:t>
      </w:r>
    </w:p>
    <w:p w14:paraId="6300EBC7" w14:textId="77777777" w:rsidR="005F4A7E" w:rsidRDefault="005F4A7E" w:rsidP="00130D1C">
      <w:pPr>
        <w:pStyle w:val="ARfinbody"/>
        <w:spacing w:after="50"/>
      </w:pPr>
      <w:r>
        <w:rPr>
          <w:rStyle w:val="Strong"/>
        </w:rPr>
        <w:t>Rental income and income from services</w:t>
      </w:r>
      <w:r>
        <w:t xml:space="preserve"> includes rental income under operating leases and income from the provision of services.</w:t>
      </w:r>
    </w:p>
    <w:p w14:paraId="35622D3A" w14:textId="77777777" w:rsidR="005F4A7E" w:rsidRDefault="005F4A7E" w:rsidP="00130D1C">
      <w:pPr>
        <w:pStyle w:val="ARfinbody"/>
        <w:spacing w:after="50"/>
      </w:pPr>
      <w:r>
        <w:rPr>
          <w:b/>
          <w:bCs/>
        </w:rPr>
        <w:t>Service Concession Arrangement</w:t>
      </w:r>
      <w:r>
        <w:t xml:space="preserve"> is a contract effective during the reporting period between a grantor and an operator in which:</w:t>
      </w:r>
    </w:p>
    <w:p w14:paraId="126DCE2F" w14:textId="77777777" w:rsidR="005F4A7E" w:rsidRDefault="005F4A7E" w:rsidP="005F4A7E">
      <w:pPr>
        <w:pStyle w:val="ARfinbullet1"/>
        <w:numPr>
          <w:ilvl w:val="0"/>
          <w:numId w:val="2"/>
        </w:numPr>
        <w:spacing w:after="50"/>
      </w:pPr>
      <w:r>
        <w:t>the operator has the right of access to the service concession asset (or assets) to provide public services on behalf of the grantor for a specified period of time</w:t>
      </w:r>
    </w:p>
    <w:p w14:paraId="198B98D3" w14:textId="77777777" w:rsidR="005F4A7E" w:rsidRDefault="005F4A7E" w:rsidP="005F4A7E">
      <w:pPr>
        <w:pStyle w:val="ARfinbullet1"/>
        <w:numPr>
          <w:ilvl w:val="0"/>
          <w:numId w:val="2"/>
        </w:numPr>
        <w:spacing w:after="50"/>
      </w:pPr>
      <w:r>
        <w:t>the operator is responsible for at least some of the management of the public services provided through the asset and does not act merely as an agent on behalf of the grantor, and</w:t>
      </w:r>
    </w:p>
    <w:p w14:paraId="1B728F87" w14:textId="77777777" w:rsidR="005F4A7E" w:rsidRDefault="005F4A7E" w:rsidP="005F4A7E">
      <w:pPr>
        <w:pStyle w:val="ARfinbullet1"/>
        <w:numPr>
          <w:ilvl w:val="0"/>
          <w:numId w:val="2"/>
        </w:numPr>
        <w:spacing w:after="50"/>
      </w:pPr>
      <w:r>
        <w:t>the operator is compensated for its services over the period of the service concession arrangement.</w:t>
      </w:r>
    </w:p>
    <w:p w14:paraId="14F8DC5A" w14:textId="77777777" w:rsidR="005F4A7E" w:rsidRDefault="005F4A7E" w:rsidP="00130D1C">
      <w:pPr>
        <w:pStyle w:val="ARfinbody"/>
      </w:pPr>
      <w:r>
        <w:rPr>
          <w:rStyle w:val="Strong"/>
        </w:rPr>
        <w:t>Transactions</w:t>
      </w:r>
      <w:r>
        <w:t xml:space="preserve"> are those economic flows that are considered to arise as a result of policy decisions, usually an interaction between two entities by mutual agreement. They also include flows within an entity such as depreciation where the owner is simultaneously acting as the owner of the depreciating asset and as the consumer of the service provided by the asset. Taxation is regarded as mutually agreed interactions between the government and taxpayers. Transactions can be in kind (for example assets provided/given free of charge or for nominal consideration) or where the final consideration is cash. In simple terms, transactions arise from the policy decisions of the government.</w:t>
      </w:r>
    </w:p>
    <w:p w14:paraId="2A2A25EA" w14:textId="77777777" w:rsidR="005F4A7E" w:rsidRDefault="005F4A7E" w:rsidP="00130D1C">
      <w:pPr>
        <w:pStyle w:val="Heading4"/>
        <w:spacing w:before="160"/>
        <w:rPr>
          <w:lang w:eastAsia="en-AU"/>
        </w:rPr>
      </w:pPr>
      <w:bookmarkStart w:id="1091" w:name="_Toc39242180"/>
      <w:bookmarkStart w:id="1092" w:name="_Toc85121567"/>
      <w:r>
        <w:rPr>
          <w:lang w:eastAsia="en-AU"/>
        </w:rPr>
        <w:t>9.14 Style conventions</w:t>
      </w:r>
      <w:bookmarkEnd w:id="1091"/>
      <w:bookmarkEnd w:id="1092"/>
    </w:p>
    <w:p w14:paraId="2DFD44D8" w14:textId="77777777" w:rsidR="005F4A7E" w:rsidRDefault="005F4A7E" w:rsidP="00130D1C">
      <w:pPr>
        <w:pStyle w:val="Heading5"/>
        <w:spacing w:before="0"/>
        <w:rPr>
          <w:lang w:eastAsia="en-AU"/>
        </w:rPr>
      </w:pPr>
      <w:bookmarkStart w:id="1093" w:name="_Ref84598119"/>
      <w:bookmarkStart w:id="1094" w:name="_Toc85121568"/>
      <w:r>
        <w:t>Style conventions</w:t>
      </w:r>
      <w:bookmarkEnd w:id="1093"/>
      <w:bookmarkEnd w:id="1094"/>
    </w:p>
    <w:p w14:paraId="6846ED34" w14:textId="77777777" w:rsidR="005F4A7E" w:rsidRDefault="005F4A7E" w:rsidP="00130D1C">
      <w:pPr>
        <w:pStyle w:val="ARfinbody"/>
      </w:pPr>
      <w:r>
        <w:t>Figures in the tables and in the text have been rounded. Discrepancies in tables between totals and sums of components reflect rounding. Percentage variations in all tables are based on the underlying unrounded amounts.</w:t>
      </w:r>
    </w:p>
    <w:p w14:paraId="0406E2D3" w14:textId="77777777" w:rsidR="005F4A7E" w:rsidRDefault="005F4A7E" w:rsidP="00130D1C">
      <w:pPr>
        <w:pStyle w:val="ARfinbody"/>
      </w:pPr>
      <w:r>
        <w:t>The notation used in the tables is as follows:</w:t>
      </w:r>
    </w:p>
    <w:p w14:paraId="17386098" w14:textId="77777777" w:rsidR="005F4A7E" w:rsidRDefault="005F4A7E" w:rsidP="005F4A7E">
      <w:pPr>
        <w:pStyle w:val="ARfinbullet1"/>
        <w:numPr>
          <w:ilvl w:val="0"/>
          <w:numId w:val="2"/>
        </w:numPr>
      </w:pPr>
      <w:r>
        <w:t>zero, or rounded to zero</w:t>
      </w:r>
    </w:p>
    <w:p w14:paraId="68DE5393" w14:textId="77777777" w:rsidR="005F4A7E" w:rsidRDefault="005F4A7E" w:rsidP="005F4A7E">
      <w:pPr>
        <w:pStyle w:val="ARfinbullet1"/>
        <w:numPr>
          <w:ilvl w:val="0"/>
          <w:numId w:val="2"/>
        </w:numPr>
      </w:pPr>
      <w:r>
        <w:t>(xxx.x) negative numbers</w:t>
      </w:r>
    </w:p>
    <w:p w14:paraId="34391C9F" w14:textId="77777777" w:rsidR="005F4A7E" w:rsidRDefault="005F4A7E" w:rsidP="005F4A7E">
      <w:pPr>
        <w:pStyle w:val="ARfinbullet1"/>
        <w:numPr>
          <w:ilvl w:val="0"/>
          <w:numId w:val="2"/>
        </w:numPr>
      </w:pPr>
      <w:r>
        <w:t>20xx year end</w:t>
      </w:r>
    </w:p>
    <w:p w14:paraId="0E0BE106" w14:textId="77777777" w:rsidR="005F4A7E" w:rsidRDefault="005F4A7E" w:rsidP="005F4A7E">
      <w:pPr>
        <w:pStyle w:val="ARfinbullet1"/>
        <w:numPr>
          <w:ilvl w:val="0"/>
          <w:numId w:val="2"/>
        </w:numPr>
      </w:pPr>
      <w:r>
        <w:t>20xx–xx year period</w:t>
      </w:r>
    </w:p>
    <w:p w14:paraId="78C44DD0" w14:textId="714196A1" w:rsidR="005F4A7E" w:rsidRDefault="005F4A7E" w:rsidP="00130D1C">
      <w:pPr>
        <w:pStyle w:val="ARfinbody"/>
      </w:pPr>
      <w:r>
        <w:t>The financial statements and notes are presented based on the illustration for a government department in the 2020–21 model report for Victorian Government departments. The presentation of other disclosures is generally consistent with the other disclosures made in earlier publications of the department</w:t>
      </w:r>
      <w:r w:rsidR="007D145B">
        <w:t>’</w:t>
      </w:r>
      <w:r>
        <w:t>s annual reports.</w:t>
      </w:r>
    </w:p>
    <w:bookmarkEnd w:id="698"/>
    <w:p w14:paraId="1DEA0BF7" w14:textId="77777777" w:rsidR="005F4A7E" w:rsidRPr="00B46CD4" w:rsidRDefault="005F4A7E" w:rsidP="00130D1C">
      <w:pPr>
        <w:pStyle w:val="ARfinbody"/>
      </w:pPr>
    </w:p>
    <w:p w14:paraId="36D9CFAF" w14:textId="77777777" w:rsidR="005F4A7E" w:rsidRDefault="005F4A7E" w:rsidP="00130D1C">
      <w:pPr>
        <w:pStyle w:val="Heading1"/>
        <w:spacing w:after="0"/>
        <w:sectPr w:rsidR="005F4A7E" w:rsidSect="00130D1C">
          <w:headerReference w:type="even" r:id="rId143"/>
          <w:footerReference w:type="even" r:id="rId144"/>
          <w:headerReference w:type="first" r:id="rId145"/>
          <w:footerReference w:type="first" r:id="rId146"/>
          <w:footnotePr>
            <w:numFmt w:val="lowerLetter"/>
            <w:numRestart w:val="eachPage"/>
          </w:footnotePr>
          <w:endnotePr>
            <w:numFmt w:val="decimal"/>
          </w:endnotePr>
          <w:pgSz w:w="11900" w:h="16840" w:code="9"/>
          <w:pgMar w:top="1531" w:right="1134" w:bottom="851" w:left="1134" w:header="510" w:footer="340" w:gutter="0"/>
          <w:cols w:space="708"/>
        </w:sectPr>
      </w:pPr>
    </w:p>
    <w:p w14:paraId="6D611CA8" w14:textId="77777777" w:rsidR="00967B31" w:rsidRPr="002029AF" w:rsidRDefault="00967B31" w:rsidP="00D46F2A">
      <w:pPr>
        <w:pStyle w:val="Heading1"/>
      </w:pPr>
      <w:bookmarkStart w:id="1095" w:name="_Toc85121569"/>
      <w:bookmarkStart w:id="1096" w:name="_Toc85121635"/>
      <w:bookmarkStart w:id="1097" w:name="_Toc86075618"/>
      <w:bookmarkStart w:id="1098" w:name="Appendices"/>
      <w:r w:rsidRPr="002029AF">
        <w:lastRenderedPageBreak/>
        <w:t>Appendices</w:t>
      </w:r>
      <w:bookmarkEnd w:id="1095"/>
      <w:bookmarkEnd w:id="1096"/>
      <w:bookmarkEnd w:id="1097"/>
    </w:p>
    <w:p w14:paraId="1749EE91" w14:textId="77777777" w:rsidR="00967B31" w:rsidRPr="002029AF" w:rsidRDefault="00967B31" w:rsidP="00D90D85">
      <w:pPr>
        <w:pStyle w:val="ARbody"/>
        <w:spacing w:after="240"/>
        <w:rPr>
          <w:bCs/>
          <w:iCs/>
        </w:rPr>
        <w:sectPr w:rsidR="00967B31" w:rsidRPr="002029AF" w:rsidSect="005F4A7E">
          <w:headerReference w:type="default" r:id="rId147"/>
          <w:footnotePr>
            <w:numFmt w:val="lowerLetter"/>
            <w:numRestart w:val="eachPage"/>
          </w:footnotePr>
          <w:endnotePr>
            <w:numFmt w:val="decimal"/>
          </w:endnotePr>
          <w:pgSz w:w="11900" w:h="16840" w:code="9"/>
          <w:pgMar w:top="1985" w:right="1134" w:bottom="851" w:left="1134" w:header="510" w:footer="340" w:gutter="0"/>
          <w:cols w:space="454"/>
        </w:sectPr>
      </w:pPr>
    </w:p>
    <w:p w14:paraId="215D8BA6" w14:textId="77777777" w:rsidR="00176E53" w:rsidRPr="003379F7" w:rsidRDefault="00176E53" w:rsidP="00B8532C">
      <w:pPr>
        <w:pStyle w:val="Heading2"/>
        <w:spacing w:before="120"/>
        <w:rPr>
          <w:rFonts w:cs="Arial"/>
        </w:rPr>
      </w:pPr>
      <w:bookmarkStart w:id="1099" w:name="_Ref84252364"/>
      <w:bookmarkStart w:id="1100" w:name="_Toc85121570"/>
      <w:bookmarkStart w:id="1101" w:name="_Toc85121636"/>
      <w:bookmarkStart w:id="1102" w:name="_Toc86075619"/>
      <w:r w:rsidRPr="003379F7">
        <w:rPr>
          <w:rFonts w:cs="Arial"/>
        </w:rPr>
        <w:t>Portfolio budget outcomes</w:t>
      </w:r>
      <w:bookmarkEnd w:id="1099"/>
      <w:bookmarkEnd w:id="1100"/>
      <w:bookmarkEnd w:id="1101"/>
      <w:bookmarkEnd w:id="1102"/>
    </w:p>
    <w:p w14:paraId="0A51FFF4" w14:textId="45AFA9CC" w:rsidR="00967B31" w:rsidRDefault="00967B31" w:rsidP="00E847B7">
      <w:pPr>
        <w:pStyle w:val="ARbody"/>
      </w:pPr>
      <w:r>
        <w:t>The portfolio budget outcomes provide a comparison between the actual financial statements of all general government sector entities</w:t>
      </w:r>
      <w:r w:rsidR="007D145B">
        <w:t> </w:t>
      </w:r>
      <w:r>
        <w:t xml:space="preserve">within the portfolio and the forecast financial information published in Budget Paper No. 5 </w:t>
      </w:r>
      <w:r w:rsidRPr="00B361C3">
        <w:rPr>
          <w:i/>
          <w:iCs/>
        </w:rPr>
        <w:t>Statement of Finances 2021–22</w:t>
      </w:r>
      <w:r>
        <w:t xml:space="preserve"> (BP5).</w:t>
      </w:r>
    </w:p>
    <w:p w14:paraId="06D4EDDD" w14:textId="77777777" w:rsidR="00967B31" w:rsidRDefault="00967B31" w:rsidP="00E847B7">
      <w:pPr>
        <w:pStyle w:val="ARbody"/>
      </w:pPr>
      <w:r>
        <w:t>The portfolio budget outcomes comprise the comprehensive operating statement, balance sheet, statement of cash flows, statement of changes in equity, and administered items statement for the full financial year 2020–21.</w:t>
      </w:r>
    </w:p>
    <w:p w14:paraId="31B5EFEF" w14:textId="77777777" w:rsidR="00967B31" w:rsidRDefault="00967B31" w:rsidP="00E847B7">
      <w:pPr>
        <w:pStyle w:val="ARbody"/>
      </w:pPr>
      <w:r>
        <w:t>The portfolio budget outcomes have been prepared on a consolidated basis for the period 1 July 2020 to 30 June 2021 and include all general government sector entities within the portfolio. Financial transactions and balances are classified into either controlled or administered categories as agreed with the Treasurer in the context of the published statements in BP5.</w:t>
      </w:r>
    </w:p>
    <w:p w14:paraId="13E38932" w14:textId="77777777" w:rsidR="00F8606E" w:rsidRDefault="00967B31" w:rsidP="00E847B7">
      <w:pPr>
        <w:pStyle w:val="ARbody"/>
      </w:pPr>
      <w:r>
        <w:t>Machinery of government changes occurred, effective from 1 February 2021, where:</w:t>
      </w:r>
    </w:p>
    <w:p w14:paraId="5B73616F" w14:textId="24DB80A9" w:rsidR="00967B31" w:rsidRDefault="00967B31" w:rsidP="00E847B7">
      <w:pPr>
        <w:pStyle w:val="ARbullet1"/>
      </w:pPr>
      <w:r>
        <w:t>the Department of Health and Human Services was renamed the Department of Health, and the new Department of Families, Fairness and Housing was created, and</w:t>
      </w:r>
    </w:p>
    <w:p w14:paraId="43F3E793" w14:textId="77777777" w:rsidR="00F8606E" w:rsidRDefault="00967B31" w:rsidP="00E847B7">
      <w:pPr>
        <w:pStyle w:val="ARbullet1"/>
      </w:pPr>
      <w:r>
        <w:t>the Department of Health transferred the Child Protection, Prevention of Family Violence, Housing and Disability functions to the Department of Families, Fairness and Housing.</w:t>
      </w:r>
    </w:p>
    <w:p w14:paraId="3287795C" w14:textId="1B1306AD" w:rsidR="00967B31" w:rsidRDefault="00967B31" w:rsidP="001C1AB1">
      <w:pPr>
        <w:pStyle w:val="ARbodyafterbullets"/>
      </w:pPr>
      <w:r>
        <w:t>These changes were reflected in the 2020–21 Revised Budget.</w:t>
      </w:r>
    </w:p>
    <w:p w14:paraId="12478814" w14:textId="673106FA" w:rsidR="00967B31" w:rsidRDefault="00967B31" w:rsidP="00E847B7">
      <w:pPr>
        <w:pStyle w:val="ARbody"/>
      </w:pPr>
      <w:r>
        <w:t>The portfolio budget outcomes statements are not subject to audit by the Victorian Auditor-General</w:t>
      </w:r>
      <w:r w:rsidR="007D145B">
        <w:t>’</w:t>
      </w:r>
      <w:r>
        <w:t>s Office. They are not prepared on the same basis as</w:t>
      </w:r>
      <w:r w:rsidR="007D145B">
        <w:t> </w:t>
      </w:r>
      <w:r>
        <w:t>the department</w:t>
      </w:r>
      <w:r w:rsidR="007D145B">
        <w:t>’</w:t>
      </w:r>
      <w:r>
        <w:t>s financial statements as they consolidate financial information of the following entities:</w:t>
      </w:r>
    </w:p>
    <w:p w14:paraId="5D3C2FF2" w14:textId="4DD3C7ED" w:rsidR="00967B31" w:rsidRDefault="00867948" w:rsidP="00E847B7">
      <w:pPr>
        <w:pStyle w:val="ARbullet1"/>
      </w:pPr>
      <w:r>
        <w:t>t</w:t>
      </w:r>
      <w:r w:rsidR="00967B31">
        <w:t>he Department of Health (including the formerly named Department of Health and Human Services up to 31 January 2021)</w:t>
      </w:r>
    </w:p>
    <w:p w14:paraId="69083818" w14:textId="77777777" w:rsidR="00967B31" w:rsidRDefault="00967B31" w:rsidP="00E847B7">
      <w:pPr>
        <w:pStyle w:val="ARbullet1"/>
      </w:pPr>
      <w:r>
        <w:t>public hospitals and public health services</w:t>
      </w:r>
    </w:p>
    <w:p w14:paraId="7B5CE11C" w14:textId="77777777" w:rsidR="00967B31" w:rsidRDefault="00967B31" w:rsidP="00E847B7">
      <w:pPr>
        <w:pStyle w:val="ARbullet1"/>
      </w:pPr>
      <w:r>
        <w:t>multipurpose services</w:t>
      </w:r>
    </w:p>
    <w:p w14:paraId="3534DAB2" w14:textId="77777777" w:rsidR="00967B31" w:rsidRDefault="00967B31" w:rsidP="00E847B7">
      <w:pPr>
        <w:pStyle w:val="ARbullet1"/>
      </w:pPr>
      <w:r>
        <w:t>Ambulance Victoria</w:t>
      </w:r>
    </w:p>
    <w:p w14:paraId="47B6AB51" w14:textId="77777777" w:rsidR="00967B31" w:rsidRDefault="00967B31" w:rsidP="00E847B7">
      <w:pPr>
        <w:pStyle w:val="ARbullet1"/>
      </w:pPr>
      <w:r>
        <w:t>Health Purchasing Victoria</w:t>
      </w:r>
    </w:p>
    <w:p w14:paraId="45D7154C" w14:textId="77777777" w:rsidR="00967B31" w:rsidRDefault="00967B31" w:rsidP="00E847B7">
      <w:pPr>
        <w:pStyle w:val="ARbullet1"/>
      </w:pPr>
      <w:r>
        <w:t>Victorian Assisted Reproductive Treatment Authority</w:t>
      </w:r>
    </w:p>
    <w:p w14:paraId="6758DA66" w14:textId="77777777" w:rsidR="00967B31" w:rsidRDefault="00967B31" w:rsidP="00E847B7">
      <w:pPr>
        <w:pStyle w:val="ARbullet1"/>
      </w:pPr>
      <w:r>
        <w:t>Victorian Institute of Forensic Mental Health</w:t>
      </w:r>
    </w:p>
    <w:p w14:paraId="56BF7A6F" w14:textId="77777777" w:rsidR="00967B31" w:rsidRDefault="00967B31" w:rsidP="00E847B7">
      <w:pPr>
        <w:pStyle w:val="ARbullet1"/>
      </w:pPr>
      <w:r>
        <w:t>Mental Health Tribunal</w:t>
      </w:r>
    </w:p>
    <w:p w14:paraId="0AC8C613" w14:textId="77777777" w:rsidR="00967B31" w:rsidRDefault="00967B31" w:rsidP="00E847B7">
      <w:pPr>
        <w:pStyle w:val="ARbullet1"/>
      </w:pPr>
      <w:r>
        <w:t>Tweddle Child and Family Health Service</w:t>
      </w:r>
    </w:p>
    <w:p w14:paraId="536380E5" w14:textId="77777777" w:rsidR="00967B31" w:rsidRDefault="00967B31" w:rsidP="00E847B7">
      <w:pPr>
        <w:pStyle w:val="ARbullet1"/>
      </w:pPr>
      <w:r>
        <w:t>The Queen Elizabeth Centre</w:t>
      </w:r>
    </w:p>
    <w:p w14:paraId="2B54C1A9" w14:textId="1172A6A9" w:rsidR="00967B31" w:rsidRDefault="00967B31" w:rsidP="00E847B7">
      <w:pPr>
        <w:pStyle w:val="ARbullet1"/>
      </w:pPr>
      <w:r>
        <w:t>Victorian Health Promotion Foundation</w:t>
      </w:r>
    </w:p>
    <w:p w14:paraId="6D963C85" w14:textId="77777777" w:rsidR="00967B31" w:rsidRDefault="00967B31" w:rsidP="00E847B7">
      <w:pPr>
        <w:pStyle w:val="ARbullet1"/>
      </w:pPr>
      <w:r>
        <w:t>Disability Services Commissioner (1 July 2020 to 31 January 2021)</w:t>
      </w:r>
    </w:p>
    <w:p w14:paraId="379CA923" w14:textId="0F7059D8" w:rsidR="00967B31" w:rsidRDefault="00967B31" w:rsidP="00E847B7">
      <w:pPr>
        <w:pStyle w:val="ARbullet1"/>
      </w:pPr>
      <w:r>
        <w:t xml:space="preserve">Victorian Disability Workers Commission </w:t>
      </w:r>
      <w:r w:rsidR="00E6782B">
        <w:br/>
      </w:r>
      <w:r>
        <w:t>(1 July 2020 to 31 January 2021)</w:t>
      </w:r>
    </w:p>
    <w:p w14:paraId="10117012" w14:textId="77777777" w:rsidR="00967B31" w:rsidRDefault="00967B31" w:rsidP="00E847B7">
      <w:pPr>
        <w:pStyle w:val="ARbullet1"/>
      </w:pPr>
      <w:r>
        <w:t>Disability Worker Registration Board (1 July 2020 to 31 January 2021)</w:t>
      </w:r>
    </w:p>
    <w:p w14:paraId="0805198A" w14:textId="40517132" w:rsidR="00967B31" w:rsidRDefault="00967B31" w:rsidP="00E847B7">
      <w:pPr>
        <w:pStyle w:val="ARbullet1"/>
      </w:pPr>
      <w:r>
        <w:t>Commission for Children and Young People (1</w:t>
      </w:r>
      <w:r w:rsidR="00E6782B">
        <w:t> </w:t>
      </w:r>
      <w:r>
        <w:t>July 2020 to 31 January 2021)</w:t>
      </w:r>
    </w:p>
    <w:p w14:paraId="46B1830C" w14:textId="41165EA4" w:rsidR="00967B31" w:rsidRDefault="00967B31" w:rsidP="001C1AB1">
      <w:pPr>
        <w:pStyle w:val="ARbodyafterbullets"/>
      </w:pPr>
      <w:r>
        <w:t>The portfolio budget outcomes statements include funding from the Commonwealth Government and revenue from the sale of services attributed to the department from the state government. They also include income and expenses associated with National Health Reform funding as well as National Disability Insurance Scheme funding, which are reported in the department</w:t>
      </w:r>
      <w:r w:rsidR="007D145B">
        <w:t>’</w:t>
      </w:r>
      <w:r>
        <w:t>s administered accounts.</w:t>
      </w:r>
    </w:p>
    <w:p w14:paraId="22FD3AE1" w14:textId="77777777" w:rsidR="00967B31" w:rsidRDefault="00967B31" w:rsidP="00E847B7">
      <w:pPr>
        <w:pStyle w:val="Heading3"/>
      </w:pPr>
      <w:bookmarkStart w:id="1103" w:name="_Toc85121571"/>
      <w:r>
        <w:t>Funding arrangements under National Health Reform</w:t>
      </w:r>
      <w:bookmarkEnd w:id="1103"/>
    </w:p>
    <w:p w14:paraId="67C88335" w14:textId="36468ABA" w:rsidR="00967B31" w:rsidRDefault="00967B31" w:rsidP="00E847B7">
      <w:pPr>
        <w:pStyle w:val="ARbody"/>
      </w:pPr>
      <w:r>
        <w:t>The 2020–21 administered items statement reflects</w:t>
      </w:r>
      <w:r w:rsidR="007D145B">
        <w:t> </w:t>
      </w:r>
      <w:r>
        <w:t>the funding contributions from the State and</w:t>
      </w:r>
      <w:r w:rsidR="007D145B">
        <w:t> </w:t>
      </w:r>
      <w:r>
        <w:t>Commonwealth through the National Health Reform Agreement. The arrangement provides for Commonwealth funding to health services to be overseen by the Administrator of the National Health Funding Pool via Victoria</w:t>
      </w:r>
      <w:r w:rsidR="007D145B">
        <w:t>’</w:t>
      </w:r>
      <w:r>
        <w:t>s State Pool Account, which is reported in the department</w:t>
      </w:r>
      <w:r w:rsidR="007D145B">
        <w:t>’</w:t>
      </w:r>
      <w:r>
        <w:t>s administered accounts.</w:t>
      </w:r>
    </w:p>
    <w:p w14:paraId="3214FD9C" w14:textId="113B8E74" w:rsidR="00D42716" w:rsidRDefault="00967B31" w:rsidP="00E847B7">
      <w:pPr>
        <w:pStyle w:val="ARbody"/>
      </w:pPr>
      <w:r>
        <w:t>The administered accounts also include the Victorian contribution to activity-based funding for</w:t>
      </w:r>
      <w:r w:rsidR="007D145B">
        <w:t> </w:t>
      </w:r>
      <w:r>
        <w:t>health services and the payment of the Commonwealth contribution to block-funded services, and public health funding, provided to</w:t>
      </w:r>
      <w:r w:rsidR="007D145B">
        <w:t> </w:t>
      </w:r>
      <w:r>
        <w:t>the</w:t>
      </w:r>
      <w:r w:rsidR="007D145B">
        <w:t> </w:t>
      </w:r>
      <w:r>
        <w:t>department</w:t>
      </w:r>
      <w:r w:rsidR="007D145B">
        <w:t>’</w:t>
      </w:r>
      <w:r>
        <w:t>s</w:t>
      </w:r>
      <w:r w:rsidR="00E916F5">
        <w:t xml:space="preserve"> </w:t>
      </w:r>
      <w:r>
        <w:t>controlled entity.</w:t>
      </w:r>
    </w:p>
    <w:p w14:paraId="4BBA8F4F" w14:textId="77777777" w:rsidR="00967B31" w:rsidRDefault="00967B31" w:rsidP="00E847B7">
      <w:pPr>
        <w:pStyle w:val="Heading3"/>
      </w:pPr>
      <w:bookmarkStart w:id="1104" w:name="_Toc85121572"/>
      <w:r>
        <w:lastRenderedPageBreak/>
        <w:t>Funding arrangements under the National Partnership on COVID-19 Response</w:t>
      </w:r>
      <w:bookmarkEnd w:id="1104"/>
    </w:p>
    <w:p w14:paraId="4F18B5E5" w14:textId="64008661" w:rsidR="00967B31" w:rsidRDefault="00967B31" w:rsidP="00E847B7">
      <w:pPr>
        <w:pStyle w:val="ARbody"/>
      </w:pPr>
      <w:r>
        <w:t>The National Partnership on COVID</w:t>
      </w:r>
      <w:r w:rsidR="00F52F37">
        <w:t>-</w:t>
      </w:r>
      <w:r>
        <w:t xml:space="preserve">19 Response utilises funding mechanisms established through the National Health Reform Agreement to provide a Commonwealth contribution for the response to the </w:t>
      </w:r>
      <w:r w:rsidR="00016BA5">
        <w:t>COVID-19</w:t>
      </w:r>
      <w:r>
        <w:t xml:space="preserve"> outbreak. The arrangement provides for Commonwealth funding to be overseen by the Administrator of the National Health Funding Pool through Victoria</w:t>
      </w:r>
      <w:r w:rsidR="007D145B">
        <w:t>’</w:t>
      </w:r>
      <w:r>
        <w:t>s State Pool Account, which is reported in the department</w:t>
      </w:r>
      <w:r w:rsidR="007D145B">
        <w:t>’</w:t>
      </w:r>
      <w:r>
        <w:t>s administered accounts.</w:t>
      </w:r>
    </w:p>
    <w:p w14:paraId="0206F720" w14:textId="6407E8F7" w:rsidR="00967B31" w:rsidRDefault="00967B31" w:rsidP="00E847B7">
      <w:pPr>
        <w:pStyle w:val="ARbody"/>
      </w:pPr>
      <w:r>
        <w:t xml:space="preserve">Funding under the agreement includes </w:t>
      </w:r>
      <w:r w:rsidR="00E916F5">
        <w:t xml:space="preserve">hospital services payments, state public health payments, and private hospital financial viability payments </w:t>
      </w:r>
      <w:r>
        <w:t>(private hospital financial viability is 100 per cent Commonwealth funded).</w:t>
      </w:r>
    </w:p>
    <w:p w14:paraId="60432D70" w14:textId="68C95E61" w:rsidR="00967B31" w:rsidRDefault="00967B31" w:rsidP="00E847B7">
      <w:pPr>
        <w:pStyle w:val="ARbody"/>
      </w:pPr>
      <w:r>
        <w:t>The administered accounts also include the Victorian contribution to health service payments for activity and the payment of the Commonwealth contribution to state public health payments provided to the department</w:t>
      </w:r>
      <w:r w:rsidR="007D145B">
        <w:t>’</w:t>
      </w:r>
      <w:r>
        <w:t>s</w:t>
      </w:r>
      <w:r w:rsidR="00BC7050">
        <w:t xml:space="preserve"> </w:t>
      </w:r>
      <w:r>
        <w:t>controlled entity.</w:t>
      </w:r>
    </w:p>
    <w:p w14:paraId="0C32FEFB" w14:textId="76B6A00D" w:rsidR="00967B31" w:rsidRDefault="00967B31" w:rsidP="00E847B7">
      <w:pPr>
        <w:pStyle w:val="Heading3"/>
      </w:pPr>
      <w:bookmarkStart w:id="1105" w:name="_Toc85121573"/>
      <w:r>
        <w:t>Funding arrangements under the</w:t>
      </w:r>
      <w:r w:rsidR="007D145B">
        <w:t> </w:t>
      </w:r>
      <w:r>
        <w:t>National Disability Insurance Scheme</w:t>
      </w:r>
      <w:bookmarkEnd w:id="1105"/>
    </w:p>
    <w:p w14:paraId="1B6C8CC5" w14:textId="20BCEE4A" w:rsidR="00967B31" w:rsidRDefault="00967B31" w:rsidP="00E847B7">
      <w:pPr>
        <w:pStyle w:val="ARbody"/>
      </w:pPr>
      <w:r>
        <w:t>Funding arrangements under the National Disability Insurance Scheme are reported in the department</w:t>
      </w:r>
      <w:r w:rsidR="007D145B">
        <w:t>’</w:t>
      </w:r>
      <w:r>
        <w:t>s administered accounts up to 31 January 2021. The</w:t>
      </w:r>
      <w:r w:rsidR="007D145B">
        <w:t> </w:t>
      </w:r>
      <w:r>
        <w:t>arrangement provided for contributions from the department</w:t>
      </w:r>
      <w:r w:rsidR="007D145B">
        <w:t>’</w:t>
      </w:r>
      <w:r>
        <w:t>s controlled entity and from other departments to be administered via the National Disability Insurance Scheme trust fund reported in</w:t>
      </w:r>
      <w:r w:rsidR="007D145B">
        <w:t> </w:t>
      </w:r>
      <w:r>
        <w:t>the department</w:t>
      </w:r>
      <w:r w:rsidR="007D145B">
        <w:t>’</w:t>
      </w:r>
      <w:r>
        <w:t>s administered account. Grant payments were made to the National Disability Insurance Agency from the trust fund.</w:t>
      </w:r>
    </w:p>
    <w:p w14:paraId="2E613424" w14:textId="77777777" w:rsidR="00967B31" w:rsidRDefault="00967B31" w:rsidP="00E847B7">
      <w:pPr>
        <w:pStyle w:val="ARbody"/>
      </w:pPr>
      <w:r>
        <w:t>Effective from 1 February 2021 portfolio responsibility for these arrangements was transferred to the new Department of Families, Fairness and Housing.</w:t>
      </w:r>
    </w:p>
    <w:p w14:paraId="621A02FF" w14:textId="0B0E4F7F" w:rsidR="00967B31" w:rsidRDefault="007D145B" w:rsidP="00E847B7">
      <w:pPr>
        <w:pStyle w:val="Heading3"/>
      </w:pPr>
      <w:bookmarkStart w:id="1106" w:name="_Toc85121574"/>
      <w:r>
        <w:br w:type="column"/>
      </w:r>
      <w:r w:rsidR="00967B31">
        <w:t>Financial performance – operating statement</w:t>
      </w:r>
      <w:bookmarkEnd w:id="1106"/>
    </w:p>
    <w:p w14:paraId="1AF1DA23" w14:textId="77777777" w:rsidR="00967B31" w:rsidRDefault="00967B31" w:rsidP="00E847B7">
      <w:pPr>
        <w:pStyle w:val="ARbody"/>
      </w:pPr>
      <w:r>
        <w:t>In 2020–21, the portfolio recorded an actual net result from transactions of $708 million surplus compared with a 2020–21 published budgeted deficit of $490 million.</w:t>
      </w:r>
    </w:p>
    <w:p w14:paraId="4B4A40F6" w14:textId="5DBC8F05" w:rsidR="00967B31" w:rsidRDefault="00967B31" w:rsidP="00E847B7">
      <w:pPr>
        <w:pStyle w:val="ARbody"/>
      </w:pPr>
      <w:r>
        <w:t>The variance between the budgeted and actual surplus is mainly due to differences in the timing for</w:t>
      </w:r>
      <w:r w:rsidR="007D145B">
        <w:t> </w:t>
      </w:r>
      <w:r>
        <w:t xml:space="preserve">expensing consumables, such as personal protective equipment in response to the </w:t>
      </w:r>
      <w:r w:rsidR="00016BA5">
        <w:t>COVID-19</w:t>
      </w:r>
      <w:r>
        <w:t xml:space="preserve"> pandemic. The published budget assumes that all such items were purchased and consumed in the same year, however a significant amount was still held as inventory at 30 June.</w:t>
      </w:r>
    </w:p>
    <w:p w14:paraId="7AAB0BCF" w14:textId="77777777" w:rsidR="00967B31" w:rsidRDefault="00967B31" w:rsidP="00E847B7">
      <w:pPr>
        <w:pStyle w:val="Heading3"/>
      </w:pPr>
      <w:bookmarkStart w:id="1107" w:name="_Toc85121575"/>
      <w:r>
        <w:t>Financial position – balance sheet</w:t>
      </w:r>
      <w:bookmarkEnd w:id="1107"/>
    </w:p>
    <w:p w14:paraId="0EF0FA5D" w14:textId="32ADB06E" w:rsidR="00967B31" w:rsidRDefault="00967B31" w:rsidP="00E847B7">
      <w:pPr>
        <w:pStyle w:val="ARbody"/>
      </w:pPr>
      <w:r>
        <w:t>Total assets are $199 million higher than the published budget. This is mostly attributed to cash</w:t>
      </w:r>
      <w:r w:rsidR="007D145B">
        <w:t> </w:t>
      </w:r>
      <w:r>
        <w:t>and deposits held by health agencies and inventories on hand at 30 June 2021 which relate to</w:t>
      </w:r>
      <w:r w:rsidR="007D145B">
        <w:t> </w:t>
      </w:r>
      <w:r>
        <w:t xml:space="preserve">consumables such as personal protective equipment purchased in response to the </w:t>
      </w:r>
      <w:r w:rsidR="00016BA5">
        <w:t>COVID-19</w:t>
      </w:r>
      <w:r>
        <w:t xml:space="preserve"> pandemic. These amounts are offset by property, plant and equipment transferred to the Department of Families, Fairness and Housing.</w:t>
      </w:r>
      <w:r w:rsidR="00F8606E">
        <w:t xml:space="preserve"> </w:t>
      </w:r>
      <w:r>
        <w:t>Total liabilities are $209 million lower than the published budget. This is primarily due to machinery of government changes that included employee leave provisions transferring to the Department of Families, Fairness and Housing.</w:t>
      </w:r>
    </w:p>
    <w:p w14:paraId="4DC1867E" w14:textId="77777777" w:rsidR="00967B31" w:rsidRDefault="00967B31" w:rsidP="00E847B7">
      <w:pPr>
        <w:pStyle w:val="Heading3"/>
      </w:pPr>
      <w:bookmarkStart w:id="1108" w:name="_Toc85121576"/>
      <w:r>
        <w:t>Cash flows</w:t>
      </w:r>
      <w:bookmarkEnd w:id="1108"/>
    </w:p>
    <w:p w14:paraId="14517F45" w14:textId="55B73FCF" w:rsidR="00967B31" w:rsidRDefault="00967B31" w:rsidP="00E847B7">
      <w:pPr>
        <w:pStyle w:val="ARbody"/>
      </w:pPr>
      <w:r>
        <w:t xml:space="preserve">The overall cash position at the end of the </w:t>
      </w:r>
      <w:r w:rsidR="007D145B">
        <w:br/>
      </w:r>
      <w:r>
        <w:t xml:space="preserve">2020–21 financial year </w:t>
      </w:r>
      <w:r w:rsidR="00E916F5">
        <w:t xml:space="preserve">was </w:t>
      </w:r>
      <w:r>
        <w:t>$2,76</w:t>
      </w:r>
      <w:r w:rsidR="00184B59">
        <w:t>3</w:t>
      </w:r>
      <w:r>
        <w:t xml:space="preserve"> million, which is</w:t>
      </w:r>
      <w:r w:rsidR="007D145B">
        <w:t> </w:t>
      </w:r>
      <w:r>
        <w:t>$78</w:t>
      </w:r>
      <w:r w:rsidR="00184B59">
        <w:t>0</w:t>
      </w:r>
      <w:r>
        <w:t xml:space="preserve"> million greater than the published budget for 202</w:t>
      </w:r>
      <w:r w:rsidR="00A9686F">
        <w:t>0–</w:t>
      </w:r>
      <w:r>
        <w:t>21.</w:t>
      </w:r>
    </w:p>
    <w:p w14:paraId="158C3856" w14:textId="77777777" w:rsidR="00967B31" w:rsidRDefault="00967B31" w:rsidP="00E847B7">
      <w:pPr>
        <w:pStyle w:val="ARbody"/>
      </w:pPr>
      <w:r>
        <w:t>The variance is mainly driven by cash held in portfolio health agencies as at 30 June 2021.</w:t>
      </w:r>
    </w:p>
    <w:p w14:paraId="3F59EC8C" w14:textId="77777777" w:rsidR="00967B31" w:rsidRDefault="00967B31" w:rsidP="00B35A79">
      <w:pPr>
        <w:pStyle w:val="ARbody"/>
      </w:pPr>
      <w:r>
        <w:t>Detailed financial results for the 2020–21 portfolio budget and actual results are included in the following pages.</w:t>
      </w:r>
    </w:p>
    <w:p w14:paraId="77D47E43" w14:textId="77777777" w:rsidR="00967B31" w:rsidRDefault="00967B31" w:rsidP="00B35A79">
      <w:pPr>
        <w:pStyle w:val="ARbody"/>
      </w:pPr>
    </w:p>
    <w:p w14:paraId="2DFCD484" w14:textId="77777777" w:rsidR="00967B31" w:rsidRPr="002029AF" w:rsidRDefault="00967B31" w:rsidP="00B35A79">
      <w:pPr>
        <w:pStyle w:val="ARbody"/>
        <w:sectPr w:rsidR="00967B31" w:rsidRPr="002029AF" w:rsidSect="00550844">
          <w:footnotePr>
            <w:numFmt w:val="lowerLetter"/>
            <w:numRestart w:val="eachPage"/>
          </w:footnotePr>
          <w:endnotePr>
            <w:numFmt w:val="decimal"/>
          </w:endnotePr>
          <w:type w:val="continuous"/>
          <w:pgSz w:w="11900" w:h="16840" w:code="9"/>
          <w:pgMar w:top="1985" w:right="1134" w:bottom="851" w:left="1134" w:header="510" w:footer="340" w:gutter="0"/>
          <w:cols w:num="2" w:space="454"/>
        </w:sectPr>
      </w:pPr>
    </w:p>
    <w:p w14:paraId="615E08A1" w14:textId="2E6B44E3" w:rsidR="00A13347" w:rsidRDefault="00A13347" w:rsidP="00A13347">
      <w:pPr>
        <w:pStyle w:val="Heading3"/>
      </w:pPr>
      <w:bookmarkStart w:id="1109" w:name="_Toc85121577"/>
      <w:r w:rsidRPr="00A13347">
        <w:lastRenderedPageBreak/>
        <w:t>Comprehensive operating statement</w:t>
      </w:r>
      <w:r w:rsidR="00B863EA">
        <w:br/>
      </w:r>
      <w:r w:rsidRPr="00A13347">
        <w:t>for the financial year</w:t>
      </w:r>
      <w:r w:rsidR="00B863EA">
        <w:t xml:space="preserve"> </w:t>
      </w:r>
      <w:r w:rsidRPr="00A13347">
        <w:t>ended 30</w:t>
      </w:r>
      <w:r w:rsidR="00783A61">
        <w:t xml:space="preserve"> </w:t>
      </w:r>
      <w:r w:rsidRPr="00A13347">
        <w:t>June</w:t>
      </w:r>
      <w:r w:rsidR="00783A61">
        <w:t xml:space="preserve"> </w:t>
      </w:r>
      <w:r w:rsidRPr="00A13347">
        <w:t>2021</w:t>
      </w:r>
      <w:bookmarkEnd w:id="1109"/>
    </w:p>
    <w:tbl>
      <w:tblPr>
        <w:tblStyle w:val="TableGrid"/>
        <w:tblW w:w="9639" w:type="dxa"/>
        <w:tblLook w:val="06A0" w:firstRow="1" w:lastRow="0" w:firstColumn="1" w:lastColumn="0" w:noHBand="1" w:noVBand="1"/>
      </w:tblPr>
      <w:tblGrid>
        <w:gridCol w:w="4411"/>
        <w:gridCol w:w="1117"/>
        <w:gridCol w:w="1123"/>
        <w:gridCol w:w="1132"/>
        <w:gridCol w:w="1134"/>
        <w:gridCol w:w="722"/>
      </w:tblGrid>
      <w:tr w:rsidR="002A4973" w:rsidRPr="002029AF" w14:paraId="54EEAB9F" w14:textId="77777777" w:rsidTr="002A4973">
        <w:trPr>
          <w:cnfStyle w:val="100000000000" w:firstRow="1" w:lastRow="0" w:firstColumn="0" w:lastColumn="0" w:oddVBand="0" w:evenVBand="0" w:oddHBand="0" w:evenHBand="0" w:firstRowFirstColumn="0" w:firstRowLastColumn="0" w:lastRowFirstColumn="0" w:lastRowLastColumn="0"/>
          <w:tblHeader/>
        </w:trPr>
        <w:tc>
          <w:tcPr>
            <w:tcW w:w="4411" w:type="dxa"/>
            <w:tcBorders>
              <w:bottom w:val="single" w:sz="4" w:space="0" w:color="auto"/>
            </w:tcBorders>
            <w:hideMark/>
          </w:tcPr>
          <w:p w14:paraId="181973C9" w14:textId="77777777" w:rsidR="002A4973" w:rsidRPr="002029AF" w:rsidRDefault="002A4973" w:rsidP="00AC75DE">
            <w:pPr>
              <w:pStyle w:val="ARfintablecolhead"/>
            </w:pPr>
          </w:p>
        </w:tc>
        <w:tc>
          <w:tcPr>
            <w:tcW w:w="1117" w:type="dxa"/>
            <w:tcBorders>
              <w:bottom w:val="single" w:sz="4" w:space="0" w:color="auto"/>
            </w:tcBorders>
            <w:hideMark/>
          </w:tcPr>
          <w:p w14:paraId="237BB213" w14:textId="2D7E694E" w:rsidR="002A4973" w:rsidRPr="002029AF" w:rsidRDefault="002A4973" w:rsidP="00AC75DE">
            <w:pPr>
              <w:pStyle w:val="ARfintablecolheadright"/>
            </w:pPr>
            <w:r w:rsidRPr="002029AF">
              <w:t>20</w:t>
            </w:r>
            <w:r>
              <w:t>20–21</w:t>
            </w:r>
          </w:p>
          <w:p w14:paraId="5B6B4463" w14:textId="77777777" w:rsidR="002A4973" w:rsidRPr="002029AF" w:rsidRDefault="002A4973" w:rsidP="00AC75DE">
            <w:pPr>
              <w:pStyle w:val="ARfintablecolheadright"/>
            </w:pPr>
            <w:r w:rsidRPr="002029AF">
              <w:t>Actual</w:t>
            </w:r>
          </w:p>
          <w:p w14:paraId="3D2B80BA" w14:textId="77777777" w:rsidR="002A4973" w:rsidRPr="002029AF" w:rsidRDefault="002A4973" w:rsidP="00AC75DE">
            <w:pPr>
              <w:pStyle w:val="ARfintablecolheadright"/>
            </w:pPr>
            <w:r w:rsidRPr="002029AF">
              <w:t>$M</w:t>
            </w:r>
          </w:p>
        </w:tc>
        <w:tc>
          <w:tcPr>
            <w:tcW w:w="1123" w:type="dxa"/>
            <w:tcBorders>
              <w:bottom w:val="single" w:sz="4" w:space="0" w:color="auto"/>
            </w:tcBorders>
          </w:tcPr>
          <w:p w14:paraId="62827122" w14:textId="77777777" w:rsidR="002A4973" w:rsidRPr="002029AF" w:rsidRDefault="002A4973" w:rsidP="002A4973">
            <w:pPr>
              <w:pStyle w:val="ARfintablecolheadright"/>
            </w:pPr>
            <w:r w:rsidRPr="002029AF">
              <w:t>20</w:t>
            </w:r>
            <w:r>
              <w:t>20–21</w:t>
            </w:r>
          </w:p>
          <w:p w14:paraId="413B1106" w14:textId="7748D198" w:rsidR="002A4973" w:rsidRPr="002029AF" w:rsidRDefault="002A4973" w:rsidP="002A4973">
            <w:pPr>
              <w:pStyle w:val="ARfintablecolheadright"/>
            </w:pPr>
            <w:r>
              <w:t>Revised</w:t>
            </w:r>
            <w:r w:rsidRPr="002029AF">
              <w:t xml:space="preserve"> budget</w:t>
            </w:r>
            <w:r>
              <w:t xml:space="preserve"> </w:t>
            </w:r>
            <w:r w:rsidRPr="002A4973">
              <w:rPr>
                <w:rStyle w:val="Superscript"/>
              </w:rPr>
              <w:t>(a)</w:t>
            </w:r>
          </w:p>
          <w:p w14:paraId="5DCCD827" w14:textId="1208EDB2" w:rsidR="002A4973" w:rsidRPr="002029AF" w:rsidRDefault="002A4973" w:rsidP="002A4973">
            <w:pPr>
              <w:pStyle w:val="ARfintablecolheadright"/>
            </w:pPr>
            <w:r w:rsidRPr="002029AF">
              <w:t>$M</w:t>
            </w:r>
          </w:p>
        </w:tc>
        <w:tc>
          <w:tcPr>
            <w:tcW w:w="1132" w:type="dxa"/>
            <w:tcBorders>
              <w:bottom w:val="single" w:sz="4" w:space="0" w:color="auto"/>
            </w:tcBorders>
            <w:hideMark/>
          </w:tcPr>
          <w:p w14:paraId="48F63596" w14:textId="3639ADC9" w:rsidR="002A4973" w:rsidRPr="002029AF" w:rsidRDefault="002A4973" w:rsidP="00AC75DE">
            <w:pPr>
              <w:pStyle w:val="ARfintablecolheadright"/>
            </w:pPr>
            <w:r w:rsidRPr="002029AF">
              <w:t>20</w:t>
            </w:r>
            <w:r>
              <w:t>20–21</w:t>
            </w:r>
          </w:p>
          <w:p w14:paraId="2872A96A" w14:textId="77777777" w:rsidR="002A4973" w:rsidRPr="002029AF" w:rsidRDefault="002A4973" w:rsidP="00AC75DE">
            <w:pPr>
              <w:pStyle w:val="ARfintablecolheadright"/>
            </w:pPr>
            <w:r w:rsidRPr="002029AF">
              <w:t>Published budget</w:t>
            </w:r>
          </w:p>
          <w:p w14:paraId="51DA0CE4" w14:textId="77777777" w:rsidR="002A4973" w:rsidRPr="002029AF" w:rsidRDefault="002A4973" w:rsidP="00AC75DE">
            <w:pPr>
              <w:pStyle w:val="ARfintablecolheadright"/>
            </w:pPr>
            <w:r w:rsidRPr="002029AF">
              <w:t>$M</w:t>
            </w:r>
          </w:p>
        </w:tc>
        <w:tc>
          <w:tcPr>
            <w:tcW w:w="1134" w:type="dxa"/>
            <w:tcBorders>
              <w:bottom w:val="single" w:sz="4" w:space="0" w:color="auto"/>
            </w:tcBorders>
            <w:noWrap/>
            <w:hideMark/>
          </w:tcPr>
          <w:p w14:paraId="352D6850" w14:textId="77777777" w:rsidR="002A4973" w:rsidRPr="002029AF" w:rsidRDefault="002A4973" w:rsidP="00AC75DE">
            <w:pPr>
              <w:pStyle w:val="ARfintablecolheadright"/>
            </w:pPr>
            <w:r w:rsidRPr="002029AF">
              <w:t>Variation to published budget</w:t>
            </w:r>
          </w:p>
          <w:p w14:paraId="2A07849A" w14:textId="77777777" w:rsidR="002A4973" w:rsidRPr="002029AF" w:rsidRDefault="002A4973" w:rsidP="00AC75DE">
            <w:pPr>
              <w:pStyle w:val="ARfintablecolheadright"/>
            </w:pPr>
            <w:r w:rsidRPr="002029AF">
              <w:t>%</w:t>
            </w:r>
          </w:p>
        </w:tc>
        <w:tc>
          <w:tcPr>
            <w:tcW w:w="722" w:type="dxa"/>
            <w:tcBorders>
              <w:bottom w:val="single" w:sz="4" w:space="0" w:color="auto"/>
            </w:tcBorders>
            <w:noWrap/>
            <w:hideMark/>
          </w:tcPr>
          <w:p w14:paraId="7D76E2FB" w14:textId="77777777" w:rsidR="002A4973" w:rsidRPr="002029AF" w:rsidRDefault="002A4973" w:rsidP="002A4973">
            <w:pPr>
              <w:pStyle w:val="ARfintablecolheadcentre"/>
            </w:pPr>
            <w:r w:rsidRPr="002029AF">
              <w:t>Notes</w:t>
            </w:r>
          </w:p>
        </w:tc>
      </w:tr>
      <w:tr w:rsidR="002A4973" w:rsidRPr="002029AF" w14:paraId="635A6F82" w14:textId="77777777" w:rsidTr="002A4973">
        <w:trPr>
          <w:cantSplit w:val="0"/>
        </w:trPr>
        <w:tc>
          <w:tcPr>
            <w:tcW w:w="9639" w:type="dxa"/>
            <w:gridSpan w:val="6"/>
            <w:tcBorders>
              <w:top w:val="single" w:sz="4" w:space="0" w:color="auto"/>
              <w:bottom w:val="single" w:sz="4" w:space="0" w:color="A6A6A6"/>
            </w:tcBorders>
          </w:tcPr>
          <w:p w14:paraId="633AD717" w14:textId="65F03E5B" w:rsidR="002A4973" w:rsidRPr="002029AF" w:rsidRDefault="002A4973" w:rsidP="002A4973">
            <w:pPr>
              <w:pStyle w:val="ARfintablebodybold"/>
            </w:pPr>
            <w:r w:rsidRPr="00667302">
              <w:t>Net result from continuing operations</w:t>
            </w:r>
          </w:p>
        </w:tc>
      </w:tr>
      <w:tr w:rsidR="002A4973" w:rsidRPr="002029AF" w14:paraId="5ED566FE" w14:textId="77777777" w:rsidTr="002A4973">
        <w:trPr>
          <w:cantSplit w:val="0"/>
        </w:trPr>
        <w:tc>
          <w:tcPr>
            <w:tcW w:w="9639" w:type="dxa"/>
            <w:gridSpan w:val="6"/>
            <w:tcBorders>
              <w:top w:val="single" w:sz="4" w:space="0" w:color="A6A6A6"/>
              <w:bottom w:val="single" w:sz="4" w:space="0" w:color="A6A6A6"/>
            </w:tcBorders>
          </w:tcPr>
          <w:p w14:paraId="1F74CC7C" w14:textId="0C635A4E" w:rsidR="002A4973" w:rsidRPr="002029AF" w:rsidRDefault="002A4973" w:rsidP="002A4973">
            <w:pPr>
              <w:pStyle w:val="ARfintablebodybold"/>
            </w:pPr>
            <w:r w:rsidRPr="00667302">
              <w:t>Income from transactions</w:t>
            </w:r>
          </w:p>
        </w:tc>
      </w:tr>
      <w:tr w:rsidR="002A4973" w:rsidRPr="002029AF" w14:paraId="2FA17E6E" w14:textId="77777777" w:rsidTr="002A4973">
        <w:trPr>
          <w:cantSplit w:val="0"/>
        </w:trPr>
        <w:tc>
          <w:tcPr>
            <w:tcW w:w="4411" w:type="dxa"/>
            <w:tcBorders>
              <w:top w:val="single" w:sz="4" w:space="0" w:color="A6A6A6"/>
              <w:bottom w:val="single" w:sz="4" w:space="0" w:color="A6A6A6"/>
            </w:tcBorders>
            <w:hideMark/>
          </w:tcPr>
          <w:p w14:paraId="3BDD1616" w14:textId="4E7D9815" w:rsidR="002A4973" w:rsidRPr="002029AF" w:rsidRDefault="002A4973" w:rsidP="002A4973">
            <w:pPr>
              <w:pStyle w:val="ARfintablebody"/>
            </w:pPr>
            <w:r w:rsidRPr="00667302">
              <w:t>Output appropriations</w:t>
            </w:r>
          </w:p>
        </w:tc>
        <w:tc>
          <w:tcPr>
            <w:tcW w:w="1117" w:type="dxa"/>
            <w:tcBorders>
              <w:top w:val="single" w:sz="4" w:space="0" w:color="A6A6A6"/>
              <w:bottom w:val="single" w:sz="4" w:space="0" w:color="A6A6A6"/>
            </w:tcBorders>
            <w:hideMark/>
          </w:tcPr>
          <w:p w14:paraId="2BA50E7A" w14:textId="1354947B" w:rsidR="002A4973" w:rsidRPr="002029AF" w:rsidRDefault="002A4973" w:rsidP="002A4973">
            <w:pPr>
              <w:pStyle w:val="ARfintablebodyright"/>
            </w:pPr>
            <w:r w:rsidRPr="00667302">
              <w:t>19,011</w:t>
            </w:r>
          </w:p>
        </w:tc>
        <w:tc>
          <w:tcPr>
            <w:tcW w:w="1123" w:type="dxa"/>
            <w:tcBorders>
              <w:top w:val="single" w:sz="4" w:space="0" w:color="A6A6A6"/>
              <w:bottom w:val="single" w:sz="4" w:space="0" w:color="A6A6A6"/>
            </w:tcBorders>
          </w:tcPr>
          <w:p w14:paraId="797153B3" w14:textId="2ED0FB5E" w:rsidR="002A4973" w:rsidRPr="002029AF" w:rsidRDefault="002A4973" w:rsidP="002A4973">
            <w:pPr>
              <w:pStyle w:val="ARfintablebodyright"/>
            </w:pPr>
            <w:r w:rsidRPr="00667302">
              <w:t>18,409</w:t>
            </w:r>
          </w:p>
        </w:tc>
        <w:tc>
          <w:tcPr>
            <w:tcW w:w="1132" w:type="dxa"/>
            <w:tcBorders>
              <w:top w:val="single" w:sz="4" w:space="0" w:color="A6A6A6"/>
              <w:bottom w:val="single" w:sz="4" w:space="0" w:color="A6A6A6"/>
            </w:tcBorders>
            <w:hideMark/>
          </w:tcPr>
          <w:p w14:paraId="762938E8" w14:textId="3F339720" w:rsidR="002A4973" w:rsidRPr="002029AF" w:rsidRDefault="002A4973" w:rsidP="002A4973">
            <w:pPr>
              <w:pStyle w:val="ARfintablebodyright"/>
            </w:pPr>
            <w:r w:rsidRPr="00667302">
              <w:t>20,207</w:t>
            </w:r>
          </w:p>
        </w:tc>
        <w:tc>
          <w:tcPr>
            <w:tcW w:w="1134" w:type="dxa"/>
            <w:tcBorders>
              <w:top w:val="single" w:sz="4" w:space="0" w:color="A6A6A6"/>
              <w:bottom w:val="single" w:sz="4" w:space="0" w:color="A6A6A6"/>
            </w:tcBorders>
            <w:hideMark/>
          </w:tcPr>
          <w:p w14:paraId="26790D46" w14:textId="6AE8CA98" w:rsidR="002A4973" w:rsidRPr="002029AF" w:rsidRDefault="002A4973" w:rsidP="002A4973">
            <w:pPr>
              <w:pStyle w:val="ARfintablebodyright"/>
            </w:pPr>
            <w:r w:rsidRPr="00667302">
              <w:t>(5.9)</w:t>
            </w:r>
          </w:p>
        </w:tc>
        <w:tc>
          <w:tcPr>
            <w:tcW w:w="722" w:type="dxa"/>
            <w:tcBorders>
              <w:top w:val="single" w:sz="4" w:space="0" w:color="A6A6A6"/>
              <w:bottom w:val="single" w:sz="4" w:space="0" w:color="A6A6A6"/>
            </w:tcBorders>
            <w:hideMark/>
          </w:tcPr>
          <w:p w14:paraId="0CFF0CFA" w14:textId="48783E09" w:rsidR="002A4973" w:rsidRPr="002029AF" w:rsidRDefault="002A4973" w:rsidP="004629BF">
            <w:pPr>
              <w:pStyle w:val="ARfintablebodycentrebold"/>
            </w:pPr>
            <w:r w:rsidRPr="00667302">
              <w:t>(b)</w:t>
            </w:r>
          </w:p>
        </w:tc>
      </w:tr>
      <w:tr w:rsidR="002A4973" w:rsidRPr="002029AF" w14:paraId="57F67F57" w14:textId="77777777" w:rsidTr="002A4973">
        <w:trPr>
          <w:cantSplit w:val="0"/>
        </w:trPr>
        <w:tc>
          <w:tcPr>
            <w:tcW w:w="4411" w:type="dxa"/>
            <w:tcBorders>
              <w:top w:val="single" w:sz="4" w:space="0" w:color="A6A6A6"/>
              <w:bottom w:val="single" w:sz="4" w:space="0" w:color="A6A6A6"/>
            </w:tcBorders>
            <w:hideMark/>
          </w:tcPr>
          <w:p w14:paraId="617C10DC" w14:textId="79DA6EC1" w:rsidR="002A4973" w:rsidRPr="002029AF" w:rsidRDefault="002A4973" w:rsidP="002A4973">
            <w:pPr>
              <w:pStyle w:val="ARfintablebody"/>
            </w:pPr>
            <w:r w:rsidRPr="00667302">
              <w:t>Special appropriations</w:t>
            </w:r>
          </w:p>
        </w:tc>
        <w:tc>
          <w:tcPr>
            <w:tcW w:w="1117" w:type="dxa"/>
            <w:tcBorders>
              <w:top w:val="single" w:sz="4" w:space="0" w:color="A6A6A6"/>
              <w:bottom w:val="single" w:sz="4" w:space="0" w:color="A6A6A6"/>
            </w:tcBorders>
            <w:hideMark/>
          </w:tcPr>
          <w:p w14:paraId="6F9FAC06" w14:textId="31D3290A" w:rsidR="002A4973" w:rsidRPr="002029AF" w:rsidRDefault="002A4973" w:rsidP="002A4973">
            <w:pPr>
              <w:pStyle w:val="ARfintablebodyright"/>
            </w:pPr>
            <w:r w:rsidRPr="00667302">
              <w:t>1,072</w:t>
            </w:r>
          </w:p>
        </w:tc>
        <w:tc>
          <w:tcPr>
            <w:tcW w:w="1123" w:type="dxa"/>
            <w:tcBorders>
              <w:top w:val="single" w:sz="4" w:space="0" w:color="A6A6A6"/>
              <w:bottom w:val="single" w:sz="4" w:space="0" w:color="A6A6A6"/>
            </w:tcBorders>
          </w:tcPr>
          <w:p w14:paraId="54E3C6CD" w14:textId="0CDA3137" w:rsidR="002A4973" w:rsidRPr="002029AF" w:rsidRDefault="002A4973" w:rsidP="002A4973">
            <w:pPr>
              <w:pStyle w:val="ARfintablebodyright"/>
            </w:pPr>
            <w:r w:rsidRPr="00667302">
              <w:t>1,117</w:t>
            </w:r>
          </w:p>
        </w:tc>
        <w:tc>
          <w:tcPr>
            <w:tcW w:w="1132" w:type="dxa"/>
            <w:tcBorders>
              <w:top w:val="single" w:sz="4" w:space="0" w:color="A6A6A6"/>
              <w:bottom w:val="single" w:sz="4" w:space="0" w:color="A6A6A6"/>
            </w:tcBorders>
            <w:hideMark/>
          </w:tcPr>
          <w:p w14:paraId="5B9755CB" w14:textId="47E6B83B" w:rsidR="002A4973" w:rsidRPr="002029AF" w:rsidRDefault="002A4973" w:rsidP="002A4973">
            <w:pPr>
              <w:pStyle w:val="ARfintablebodyright"/>
            </w:pPr>
            <w:r w:rsidRPr="00667302">
              <w:t>1,100</w:t>
            </w:r>
          </w:p>
        </w:tc>
        <w:tc>
          <w:tcPr>
            <w:tcW w:w="1134" w:type="dxa"/>
            <w:tcBorders>
              <w:top w:val="single" w:sz="4" w:space="0" w:color="A6A6A6"/>
              <w:bottom w:val="single" w:sz="4" w:space="0" w:color="A6A6A6"/>
            </w:tcBorders>
            <w:hideMark/>
          </w:tcPr>
          <w:p w14:paraId="57C33113" w14:textId="3C0F162C" w:rsidR="002A4973" w:rsidRPr="002029AF" w:rsidRDefault="002A4973" w:rsidP="002A4973">
            <w:pPr>
              <w:pStyle w:val="ARfintablebodyright"/>
            </w:pPr>
            <w:r w:rsidRPr="00667302">
              <w:t>(2.5)</w:t>
            </w:r>
          </w:p>
        </w:tc>
        <w:tc>
          <w:tcPr>
            <w:tcW w:w="722" w:type="dxa"/>
            <w:tcBorders>
              <w:top w:val="single" w:sz="4" w:space="0" w:color="A6A6A6"/>
              <w:bottom w:val="single" w:sz="4" w:space="0" w:color="A6A6A6"/>
            </w:tcBorders>
            <w:hideMark/>
          </w:tcPr>
          <w:p w14:paraId="763E880E" w14:textId="29D264BC" w:rsidR="002A4973" w:rsidRPr="002A4973" w:rsidRDefault="002A4973" w:rsidP="002A4973">
            <w:pPr>
              <w:pStyle w:val="ARfintablebodyright"/>
            </w:pPr>
          </w:p>
        </w:tc>
      </w:tr>
      <w:tr w:rsidR="002A4973" w:rsidRPr="002029AF" w14:paraId="77AE875C" w14:textId="77777777" w:rsidTr="002A4973">
        <w:trPr>
          <w:cantSplit w:val="0"/>
        </w:trPr>
        <w:tc>
          <w:tcPr>
            <w:tcW w:w="4411" w:type="dxa"/>
            <w:tcBorders>
              <w:top w:val="single" w:sz="4" w:space="0" w:color="A6A6A6"/>
              <w:bottom w:val="single" w:sz="4" w:space="0" w:color="A6A6A6"/>
            </w:tcBorders>
            <w:hideMark/>
          </w:tcPr>
          <w:p w14:paraId="268008FE" w14:textId="5554E8B9" w:rsidR="002A4973" w:rsidRPr="002029AF" w:rsidRDefault="002A4973" w:rsidP="002A4973">
            <w:pPr>
              <w:pStyle w:val="ARfintablebody"/>
            </w:pPr>
            <w:r w:rsidRPr="00667302">
              <w:t>Interest</w:t>
            </w:r>
          </w:p>
        </w:tc>
        <w:tc>
          <w:tcPr>
            <w:tcW w:w="1117" w:type="dxa"/>
            <w:tcBorders>
              <w:top w:val="single" w:sz="4" w:space="0" w:color="A6A6A6"/>
              <w:bottom w:val="single" w:sz="4" w:space="0" w:color="A6A6A6"/>
            </w:tcBorders>
            <w:hideMark/>
          </w:tcPr>
          <w:p w14:paraId="18E5D0B1" w14:textId="4702FC59" w:rsidR="002A4973" w:rsidRPr="002029AF" w:rsidRDefault="002A4973" w:rsidP="002A4973">
            <w:pPr>
              <w:pStyle w:val="ARfintablebodyright"/>
            </w:pPr>
            <w:r w:rsidRPr="00667302">
              <w:t>20</w:t>
            </w:r>
          </w:p>
        </w:tc>
        <w:tc>
          <w:tcPr>
            <w:tcW w:w="1123" w:type="dxa"/>
            <w:tcBorders>
              <w:top w:val="single" w:sz="4" w:space="0" w:color="A6A6A6"/>
              <w:bottom w:val="single" w:sz="4" w:space="0" w:color="A6A6A6"/>
            </w:tcBorders>
          </w:tcPr>
          <w:p w14:paraId="7C526695" w14:textId="5897C131" w:rsidR="002A4973" w:rsidRPr="002029AF" w:rsidRDefault="002A4973" w:rsidP="002A4973">
            <w:pPr>
              <w:pStyle w:val="ARfintablebodyright"/>
            </w:pPr>
            <w:r w:rsidRPr="00667302">
              <w:t>19</w:t>
            </w:r>
          </w:p>
        </w:tc>
        <w:tc>
          <w:tcPr>
            <w:tcW w:w="1132" w:type="dxa"/>
            <w:tcBorders>
              <w:top w:val="single" w:sz="4" w:space="0" w:color="A6A6A6"/>
              <w:bottom w:val="single" w:sz="4" w:space="0" w:color="A6A6A6"/>
            </w:tcBorders>
            <w:hideMark/>
          </w:tcPr>
          <w:p w14:paraId="4383D6AA" w14:textId="08257E19" w:rsidR="002A4973" w:rsidRPr="002029AF" w:rsidRDefault="002A4973" w:rsidP="002A4973">
            <w:pPr>
              <w:pStyle w:val="ARfintablebodyright"/>
            </w:pPr>
            <w:r w:rsidRPr="00667302">
              <w:t>46</w:t>
            </w:r>
          </w:p>
        </w:tc>
        <w:tc>
          <w:tcPr>
            <w:tcW w:w="1134" w:type="dxa"/>
            <w:tcBorders>
              <w:top w:val="single" w:sz="4" w:space="0" w:color="A6A6A6"/>
              <w:bottom w:val="single" w:sz="4" w:space="0" w:color="A6A6A6"/>
            </w:tcBorders>
            <w:hideMark/>
          </w:tcPr>
          <w:p w14:paraId="33CF12B9" w14:textId="78830057" w:rsidR="002A4973" w:rsidRPr="002029AF" w:rsidRDefault="002A4973" w:rsidP="002A4973">
            <w:pPr>
              <w:pStyle w:val="ARfintablebodyright"/>
            </w:pPr>
            <w:r w:rsidRPr="00667302">
              <w:t>(57.1)</w:t>
            </w:r>
          </w:p>
        </w:tc>
        <w:tc>
          <w:tcPr>
            <w:tcW w:w="722" w:type="dxa"/>
            <w:tcBorders>
              <w:top w:val="single" w:sz="4" w:space="0" w:color="A6A6A6"/>
              <w:bottom w:val="single" w:sz="4" w:space="0" w:color="A6A6A6"/>
            </w:tcBorders>
            <w:hideMark/>
          </w:tcPr>
          <w:p w14:paraId="2A0E0A51" w14:textId="77777777" w:rsidR="002A4973" w:rsidRPr="002029AF" w:rsidRDefault="002A4973" w:rsidP="002A4973">
            <w:pPr>
              <w:pStyle w:val="ARfintablebodyright"/>
            </w:pPr>
          </w:p>
        </w:tc>
      </w:tr>
      <w:tr w:rsidR="002A4973" w:rsidRPr="002029AF" w14:paraId="44F6D5F3" w14:textId="77777777" w:rsidTr="002A4973">
        <w:trPr>
          <w:cantSplit w:val="0"/>
        </w:trPr>
        <w:tc>
          <w:tcPr>
            <w:tcW w:w="4411" w:type="dxa"/>
            <w:tcBorders>
              <w:top w:val="single" w:sz="4" w:space="0" w:color="A6A6A6"/>
              <w:bottom w:val="single" w:sz="4" w:space="0" w:color="A6A6A6"/>
            </w:tcBorders>
            <w:hideMark/>
          </w:tcPr>
          <w:p w14:paraId="7D8BCEA0" w14:textId="24D272F8" w:rsidR="002A4973" w:rsidRPr="002029AF" w:rsidRDefault="002A4973" w:rsidP="002A4973">
            <w:pPr>
              <w:pStyle w:val="ARfintablebody"/>
            </w:pPr>
            <w:r w:rsidRPr="00667302">
              <w:t>Sales of goods and services</w:t>
            </w:r>
          </w:p>
        </w:tc>
        <w:tc>
          <w:tcPr>
            <w:tcW w:w="1117" w:type="dxa"/>
            <w:tcBorders>
              <w:top w:val="single" w:sz="4" w:space="0" w:color="A6A6A6"/>
              <w:bottom w:val="single" w:sz="4" w:space="0" w:color="A6A6A6"/>
            </w:tcBorders>
            <w:hideMark/>
          </w:tcPr>
          <w:p w14:paraId="7782DA37" w14:textId="3A1FCA71" w:rsidR="002A4973" w:rsidRPr="002029AF" w:rsidRDefault="002A4973" w:rsidP="002A4973">
            <w:pPr>
              <w:pStyle w:val="ARfintablebodyright"/>
            </w:pPr>
            <w:r w:rsidRPr="00667302">
              <w:t>1,798</w:t>
            </w:r>
          </w:p>
        </w:tc>
        <w:tc>
          <w:tcPr>
            <w:tcW w:w="1123" w:type="dxa"/>
            <w:tcBorders>
              <w:top w:val="single" w:sz="4" w:space="0" w:color="A6A6A6"/>
              <w:bottom w:val="single" w:sz="4" w:space="0" w:color="A6A6A6"/>
            </w:tcBorders>
          </w:tcPr>
          <w:p w14:paraId="42ABF9F0" w14:textId="70A62A36" w:rsidR="002A4973" w:rsidRPr="002029AF" w:rsidRDefault="002A4973" w:rsidP="002A4973">
            <w:pPr>
              <w:pStyle w:val="ARfintablebodyright"/>
            </w:pPr>
            <w:r w:rsidRPr="00667302">
              <w:t>1,814</w:t>
            </w:r>
          </w:p>
        </w:tc>
        <w:tc>
          <w:tcPr>
            <w:tcW w:w="1132" w:type="dxa"/>
            <w:tcBorders>
              <w:top w:val="single" w:sz="4" w:space="0" w:color="A6A6A6"/>
              <w:bottom w:val="single" w:sz="4" w:space="0" w:color="A6A6A6"/>
            </w:tcBorders>
            <w:hideMark/>
          </w:tcPr>
          <w:p w14:paraId="71FA6730" w14:textId="0998D4F4" w:rsidR="002A4973" w:rsidRPr="002029AF" w:rsidRDefault="002A4973" w:rsidP="002A4973">
            <w:pPr>
              <w:pStyle w:val="ARfintablebodyright"/>
            </w:pPr>
            <w:r w:rsidRPr="00667302">
              <w:t>1,877</w:t>
            </w:r>
          </w:p>
        </w:tc>
        <w:tc>
          <w:tcPr>
            <w:tcW w:w="1134" w:type="dxa"/>
            <w:tcBorders>
              <w:top w:val="single" w:sz="4" w:space="0" w:color="A6A6A6"/>
              <w:bottom w:val="single" w:sz="4" w:space="0" w:color="A6A6A6"/>
            </w:tcBorders>
            <w:hideMark/>
          </w:tcPr>
          <w:p w14:paraId="2E559C57" w14:textId="545DE668" w:rsidR="002A4973" w:rsidRPr="002029AF" w:rsidRDefault="002A4973" w:rsidP="002A4973">
            <w:pPr>
              <w:pStyle w:val="ARfintablebodyright"/>
            </w:pPr>
            <w:r w:rsidRPr="00667302">
              <w:t>(4.2)</w:t>
            </w:r>
          </w:p>
        </w:tc>
        <w:tc>
          <w:tcPr>
            <w:tcW w:w="722" w:type="dxa"/>
            <w:tcBorders>
              <w:top w:val="single" w:sz="4" w:space="0" w:color="A6A6A6"/>
              <w:bottom w:val="single" w:sz="4" w:space="0" w:color="A6A6A6"/>
            </w:tcBorders>
            <w:hideMark/>
          </w:tcPr>
          <w:p w14:paraId="255B91D8" w14:textId="315D1021" w:rsidR="002A4973" w:rsidRPr="002029AF" w:rsidRDefault="002A4973" w:rsidP="004629BF">
            <w:pPr>
              <w:pStyle w:val="ARfintablebodycentrebold"/>
            </w:pPr>
            <w:r w:rsidRPr="00667302">
              <w:t>(c)</w:t>
            </w:r>
          </w:p>
        </w:tc>
      </w:tr>
      <w:tr w:rsidR="002A4973" w:rsidRPr="002029AF" w14:paraId="08ACBD4D" w14:textId="77777777" w:rsidTr="002A4973">
        <w:trPr>
          <w:cantSplit w:val="0"/>
        </w:trPr>
        <w:tc>
          <w:tcPr>
            <w:tcW w:w="4411" w:type="dxa"/>
            <w:tcBorders>
              <w:top w:val="single" w:sz="4" w:space="0" w:color="A6A6A6"/>
              <w:bottom w:val="single" w:sz="4" w:space="0" w:color="A6A6A6"/>
            </w:tcBorders>
            <w:hideMark/>
          </w:tcPr>
          <w:p w14:paraId="4C7A93E2" w14:textId="79A73CB4" w:rsidR="002A4973" w:rsidRPr="002029AF" w:rsidRDefault="002A4973" w:rsidP="002A4973">
            <w:pPr>
              <w:pStyle w:val="ARfintablebody"/>
            </w:pPr>
            <w:r w:rsidRPr="00667302">
              <w:t>Grants</w:t>
            </w:r>
          </w:p>
        </w:tc>
        <w:tc>
          <w:tcPr>
            <w:tcW w:w="1117" w:type="dxa"/>
            <w:tcBorders>
              <w:top w:val="single" w:sz="4" w:space="0" w:color="A6A6A6"/>
              <w:bottom w:val="single" w:sz="4" w:space="0" w:color="A6A6A6"/>
            </w:tcBorders>
            <w:hideMark/>
          </w:tcPr>
          <w:p w14:paraId="15881F51" w14:textId="27DA22BA" w:rsidR="002A4973" w:rsidRPr="002029AF" w:rsidRDefault="002A4973" w:rsidP="002A4973">
            <w:pPr>
              <w:pStyle w:val="ARfintablebodyright"/>
            </w:pPr>
            <w:r w:rsidRPr="00667302">
              <w:t>8,706</w:t>
            </w:r>
          </w:p>
        </w:tc>
        <w:tc>
          <w:tcPr>
            <w:tcW w:w="1123" w:type="dxa"/>
            <w:tcBorders>
              <w:top w:val="single" w:sz="4" w:space="0" w:color="A6A6A6"/>
              <w:bottom w:val="single" w:sz="4" w:space="0" w:color="A6A6A6"/>
            </w:tcBorders>
          </w:tcPr>
          <w:p w14:paraId="50CE048F" w14:textId="7672F2F6" w:rsidR="002A4973" w:rsidRPr="002029AF" w:rsidRDefault="002A4973" w:rsidP="002A4973">
            <w:pPr>
              <w:pStyle w:val="ARfintablebodyright"/>
            </w:pPr>
            <w:r w:rsidRPr="00667302">
              <w:t>9,056</w:t>
            </w:r>
          </w:p>
        </w:tc>
        <w:tc>
          <w:tcPr>
            <w:tcW w:w="1132" w:type="dxa"/>
            <w:tcBorders>
              <w:top w:val="single" w:sz="4" w:space="0" w:color="A6A6A6"/>
              <w:bottom w:val="single" w:sz="4" w:space="0" w:color="A6A6A6"/>
            </w:tcBorders>
            <w:hideMark/>
          </w:tcPr>
          <w:p w14:paraId="22263494" w14:textId="4EC134BC" w:rsidR="002A4973" w:rsidRPr="002029AF" w:rsidRDefault="002A4973" w:rsidP="002A4973">
            <w:pPr>
              <w:pStyle w:val="ARfintablebodyright"/>
            </w:pPr>
            <w:r w:rsidRPr="00667302">
              <w:t>8,409</w:t>
            </w:r>
          </w:p>
        </w:tc>
        <w:tc>
          <w:tcPr>
            <w:tcW w:w="1134" w:type="dxa"/>
            <w:tcBorders>
              <w:top w:val="single" w:sz="4" w:space="0" w:color="A6A6A6"/>
              <w:bottom w:val="single" w:sz="4" w:space="0" w:color="A6A6A6"/>
            </w:tcBorders>
            <w:hideMark/>
          </w:tcPr>
          <w:p w14:paraId="2EBBD68D" w14:textId="52F08989" w:rsidR="002A4973" w:rsidRPr="002029AF" w:rsidRDefault="002A4973" w:rsidP="002A4973">
            <w:pPr>
              <w:pStyle w:val="ARfintablebodyright"/>
            </w:pPr>
            <w:r w:rsidRPr="00667302">
              <w:t>3.5</w:t>
            </w:r>
          </w:p>
        </w:tc>
        <w:tc>
          <w:tcPr>
            <w:tcW w:w="722" w:type="dxa"/>
            <w:tcBorders>
              <w:top w:val="single" w:sz="4" w:space="0" w:color="A6A6A6"/>
              <w:bottom w:val="single" w:sz="4" w:space="0" w:color="A6A6A6"/>
            </w:tcBorders>
            <w:hideMark/>
          </w:tcPr>
          <w:p w14:paraId="7722AF51" w14:textId="70D92EEC" w:rsidR="002A4973" w:rsidRPr="002029AF" w:rsidRDefault="002A4973" w:rsidP="002A4973">
            <w:pPr>
              <w:pStyle w:val="ARfintablebodyright"/>
            </w:pPr>
          </w:p>
        </w:tc>
      </w:tr>
      <w:tr w:rsidR="002A4973" w:rsidRPr="002029AF" w14:paraId="50EF7BB7" w14:textId="77777777" w:rsidTr="002A4973">
        <w:trPr>
          <w:cantSplit w:val="0"/>
        </w:trPr>
        <w:tc>
          <w:tcPr>
            <w:tcW w:w="4411" w:type="dxa"/>
            <w:tcBorders>
              <w:top w:val="single" w:sz="4" w:space="0" w:color="A6A6A6"/>
              <w:bottom w:val="single" w:sz="4" w:space="0" w:color="A6A6A6"/>
            </w:tcBorders>
            <w:hideMark/>
          </w:tcPr>
          <w:p w14:paraId="65E6E4A6" w14:textId="6CC0F34B" w:rsidR="002A4973" w:rsidRPr="002029AF" w:rsidRDefault="002A4973" w:rsidP="002A4973">
            <w:pPr>
              <w:pStyle w:val="ARfintablebody"/>
            </w:pPr>
            <w:r w:rsidRPr="00667302">
              <w:t>Fair value of assets and services received free of charge or for nominal consideration</w:t>
            </w:r>
          </w:p>
        </w:tc>
        <w:tc>
          <w:tcPr>
            <w:tcW w:w="1117" w:type="dxa"/>
            <w:tcBorders>
              <w:top w:val="single" w:sz="4" w:space="0" w:color="A6A6A6"/>
              <w:bottom w:val="single" w:sz="4" w:space="0" w:color="A6A6A6"/>
            </w:tcBorders>
            <w:hideMark/>
          </w:tcPr>
          <w:p w14:paraId="65DE9E8D" w14:textId="2FA963E8" w:rsidR="002A4973" w:rsidRPr="002029AF" w:rsidRDefault="002A4973" w:rsidP="002A4973">
            <w:pPr>
              <w:pStyle w:val="ARfintablebodyright"/>
            </w:pPr>
            <w:r w:rsidRPr="00667302">
              <w:t>5</w:t>
            </w:r>
          </w:p>
        </w:tc>
        <w:tc>
          <w:tcPr>
            <w:tcW w:w="1123" w:type="dxa"/>
            <w:tcBorders>
              <w:top w:val="single" w:sz="4" w:space="0" w:color="A6A6A6"/>
              <w:bottom w:val="single" w:sz="4" w:space="0" w:color="A6A6A6"/>
            </w:tcBorders>
          </w:tcPr>
          <w:p w14:paraId="14A45D22" w14:textId="106A963F" w:rsidR="002A4973" w:rsidRPr="002029AF" w:rsidRDefault="002A4973" w:rsidP="002A4973">
            <w:pPr>
              <w:pStyle w:val="ARfintablebodyright"/>
            </w:pPr>
            <w:r w:rsidRPr="00667302">
              <w:t>37</w:t>
            </w:r>
          </w:p>
        </w:tc>
        <w:tc>
          <w:tcPr>
            <w:tcW w:w="1132" w:type="dxa"/>
            <w:tcBorders>
              <w:top w:val="single" w:sz="4" w:space="0" w:color="A6A6A6"/>
              <w:bottom w:val="single" w:sz="4" w:space="0" w:color="A6A6A6"/>
            </w:tcBorders>
            <w:hideMark/>
          </w:tcPr>
          <w:p w14:paraId="287576CB" w14:textId="3CDCB993" w:rsidR="002A4973" w:rsidRPr="002029AF" w:rsidRDefault="002A4973" w:rsidP="002A4973">
            <w:pPr>
              <w:pStyle w:val="ARfintablebodyright"/>
            </w:pPr>
            <w:r w:rsidRPr="00667302">
              <w:t>–</w:t>
            </w:r>
          </w:p>
        </w:tc>
        <w:tc>
          <w:tcPr>
            <w:tcW w:w="1134" w:type="dxa"/>
            <w:tcBorders>
              <w:top w:val="single" w:sz="4" w:space="0" w:color="A6A6A6"/>
              <w:bottom w:val="single" w:sz="4" w:space="0" w:color="A6A6A6"/>
            </w:tcBorders>
            <w:hideMark/>
          </w:tcPr>
          <w:p w14:paraId="3D5B0EFB" w14:textId="6824248A" w:rsidR="002A4973" w:rsidRPr="002029AF" w:rsidRDefault="002A4973" w:rsidP="002A4973">
            <w:pPr>
              <w:pStyle w:val="ARfintablebodyright"/>
            </w:pPr>
            <w:r w:rsidRPr="00667302">
              <w:t>–</w:t>
            </w:r>
          </w:p>
        </w:tc>
        <w:tc>
          <w:tcPr>
            <w:tcW w:w="722" w:type="dxa"/>
            <w:tcBorders>
              <w:top w:val="single" w:sz="4" w:space="0" w:color="A6A6A6"/>
              <w:bottom w:val="single" w:sz="4" w:space="0" w:color="A6A6A6"/>
            </w:tcBorders>
            <w:hideMark/>
          </w:tcPr>
          <w:p w14:paraId="695A86BA" w14:textId="77777777" w:rsidR="002A4973" w:rsidRPr="002029AF" w:rsidRDefault="002A4973" w:rsidP="002A4973">
            <w:pPr>
              <w:pStyle w:val="ARfintablebodyright"/>
            </w:pPr>
          </w:p>
        </w:tc>
      </w:tr>
      <w:tr w:rsidR="002A4973" w:rsidRPr="002029AF" w14:paraId="47BDDB5B" w14:textId="77777777" w:rsidTr="002A4973">
        <w:trPr>
          <w:cantSplit w:val="0"/>
        </w:trPr>
        <w:tc>
          <w:tcPr>
            <w:tcW w:w="4411" w:type="dxa"/>
            <w:tcBorders>
              <w:top w:val="single" w:sz="4" w:space="0" w:color="A6A6A6"/>
            </w:tcBorders>
            <w:hideMark/>
          </w:tcPr>
          <w:p w14:paraId="0E69F5C6" w14:textId="42BCCA55" w:rsidR="002A4973" w:rsidRPr="002029AF" w:rsidRDefault="002A4973" w:rsidP="002A4973">
            <w:pPr>
              <w:pStyle w:val="ARfintablebody"/>
            </w:pPr>
            <w:r w:rsidRPr="00667302">
              <w:t>Other income</w:t>
            </w:r>
          </w:p>
        </w:tc>
        <w:tc>
          <w:tcPr>
            <w:tcW w:w="1117" w:type="dxa"/>
            <w:tcBorders>
              <w:top w:val="single" w:sz="4" w:space="0" w:color="A6A6A6"/>
            </w:tcBorders>
            <w:hideMark/>
          </w:tcPr>
          <w:p w14:paraId="12065BB0" w14:textId="3BB5CC4B" w:rsidR="002A4973" w:rsidRPr="002029AF" w:rsidRDefault="002A4973" w:rsidP="002A4973">
            <w:pPr>
              <w:pStyle w:val="ARfintablebodyright"/>
            </w:pPr>
            <w:r w:rsidRPr="00667302">
              <w:t>775</w:t>
            </w:r>
          </w:p>
        </w:tc>
        <w:tc>
          <w:tcPr>
            <w:tcW w:w="1123" w:type="dxa"/>
            <w:tcBorders>
              <w:top w:val="single" w:sz="4" w:space="0" w:color="A6A6A6"/>
            </w:tcBorders>
          </w:tcPr>
          <w:p w14:paraId="08CB548A" w14:textId="486B36AE" w:rsidR="002A4973" w:rsidRPr="002029AF" w:rsidRDefault="002A4973" w:rsidP="002A4973">
            <w:pPr>
              <w:pStyle w:val="ARfintablebodyright"/>
            </w:pPr>
            <w:r w:rsidRPr="00667302">
              <w:t>737</w:t>
            </w:r>
          </w:p>
        </w:tc>
        <w:tc>
          <w:tcPr>
            <w:tcW w:w="1132" w:type="dxa"/>
            <w:tcBorders>
              <w:top w:val="single" w:sz="4" w:space="0" w:color="A6A6A6"/>
            </w:tcBorders>
            <w:hideMark/>
          </w:tcPr>
          <w:p w14:paraId="18F82F9A" w14:textId="0F54C1E7" w:rsidR="002A4973" w:rsidRPr="002029AF" w:rsidRDefault="002A4973" w:rsidP="002A4973">
            <w:pPr>
              <w:pStyle w:val="ARfintablebodyright"/>
            </w:pPr>
            <w:r w:rsidRPr="00667302">
              <w:t>756</w:t>
            </w:r>
          </w:p>
        </w:tc>
        <w:tc>
          <w:tcPr>
            <w:tcW w:w="1134" w:type="dxa"/>
            <w:tcBorders>
              <w:top w:val="single" w:sz="4" w:space="0" w:color="A6A6A6"/>
            </w:tcBorders>
            <w:hideMark/>
          </w:tcPr>
          <w:p w14:paraId="0446F76C" w14:textId="1D4F3F5F" w:rsidR="002A4973" w:rsidRPr="002029AF" w:rsidRDefault="002A4973" w:rsidP="002A4973">
            <w:pPr>
              <w:pStyle w:val="ARfintablebodyright"/>
            </w:pPr>
            <w:r w:rsidRPr="00667302">
              <w:t>2.6</w:t>
            </w:r>
          </w:p>
        </w:tc>
        <w:tc>
          <w:tcPr>
            <w:tcW w:w="722" w:type="dxa"/>
            <w:tcBorders>
              <w:top w:val="single" w:sz="4" w:space="0" w:color="A6A6A6"/>
            </w:tcBorders>
            <w:hideMark/>
          </w:tcPr>
          <w:p w14:paraId="318EA0DC" w14:textId="77777777" w:rsidR="002A4973" w:rsidRPr="002029AF" w:rsidRDefault="002A4973" w:rsidP="002A4973">
            <w:pPr>
              <w:pStyle w:val="ARfintablebodyright"/>
            </w:pPr>
          </w:p>
        </w:tc>
      </w:tr>
      <w:tr w:rsidR="002A4973" w:rsidRPr="002029AF" w14:paraId="3EE0A61B" w14:textId="77777777" w:rsidTr="002A4973">
        <w:trPr>
          <w:cantSplit w:val="0"/>
        </w:trPr>
        <w:tc>
          <w:tcPr>
            <w:tcW w:w="4411" w:type="dxa"/>
            <w:tcBorders>
              <w:bottom w:val="single" w:sz="4" w:space="0" w:color="auto"/>
            </w:tcBorders>
            <w:hideMark/>
          </w:tcPr>
          <w:p w14:paraId="59951E2E" w14:textId="7E1EECCE" w:rsidR="002A4973" w:rsidRPr="002029AF" w:rsidRDefault="002A4973" w:rsidP="002A4973">
            <w:pPr>
              <w:pStyle w:val="ARfintablebodybold"/>
            </w:pPr>
            <w:r w:rsidRPr="00667302">
              <w:t>Total income from transactions</w:t>
            </w:r>
          </w:p>
        </w:tc>
        <w:tc>
          <w:tcPr>
            <w:tcW w:w="1117" w:type="dxa"/>
            <w:tcBorders>
              <w:bottom w:val="single" w:sz="4" w:space="0" w:color="auto"/>
            </w:tcBorders>
            <w:hideMark/>
          </w:tcPr>
          <w:p w14:paraId="48B3A8AC" w14:textId="6AA18B8E" w:rsidR="002A4973" w:rsidRPr="002029AF" w:rsidRDefault="002A4973" w:rsidP="002A4973">
            <w:pPr>
              <w:pStyle w:val="ARfintablebodyrightbold"/>
            </w:pPr>
            <w:r w:rsidRPr="00667302">
              <w:t>31,389</w:t>
            </w:r>
          </w:p>
        </w:tc>
        <w:tc>
          <w:tcPr>
            <w:tcW w:w="1123" w:type="dxa"/>
            <w:tcBorders>
              <w:bottom w:val="single" w:sz="4" w:space="0" w:color="auto"/>
            </w:tcBorders>
          </w:tcPr>
          <w:p w14:paraId="1D0B3B10" w14:textId="5273AD3D" w:rsidR="002A4973" w:rsidRPr="002029AF" w:rsidRDefault="002A4973" w:rsidP="002A4973">
            <w:pPr>
              <w:pStyle w:val="ARfintablebodyrightbold"/>
            </w:pPr>
            <w:r w:rsidRPr="00667302">
              <w:t>31,189</w:t>
            </w:r>
          </w:p>
        </w:tc>
        <w:tc>
          <w:tcPr>
            <w:tcW w:w="1132" w:type="dxa"/>
            <w:tcBorders>
              <w:bottom w:val="single" w:sz="4" w:space="0" w:color="auto"/>
            </w:tcBorders>
            <w:hideMark/>
          </w:tcPr>
          <w:p w14:paraId="2F5A9FC8" w14:textId="6B69B6C2" w:rsidR="002A4973" w:rsidRPr="002029AF" w:rsidRDefault="002A4973" w:rsidP="002A4973">
            <w:pPr>
              <w:pStyle w:val="ARfintablebodyrightbold"/>
            </w:pPr>
            <w:r w:rsidRPr="00667302">
              <w:t>32,395</w:t>
            </w:r>
          </w:p>
        </w:tc>
        <w:tc>
          <w:tcPr>
            <w:tcW w:w="1134" w:type="dxa"/>
            <w:tcBorders>
              <w:bottom w:val="single" w:sz="4" w:space="0" w:color="auto"/>
            </w:tcBorders>
            <w:hideMark/>
          </w:tcPr>
          <w:p w14:paraId="42B09891" w14:textId="5FD5FEDC" w:rsidR="002A4973" w:rsidRPr="002029AF" w:rsidRDefault="002A4973" w:rsidP="002A4973">
            <w:pPr>
              <w:pStyle w:val="ARfintablebodyrightbold"/>
            </w:pPr>
            <w:r w:rsidRPr="00667302">
              <w:t>(3.1)</w:t>
            </w:r>
          </w:p>
        </w:tc>
        <w:tc>
          <w:tcPr>
            <w:tcW w:w="722" w:type="dxa"/>
            <w:tcBorders>
              <w:bottom w:val="single" w:sz="4" w:space="0" w:color="auto"/>
            </w:tcBorders>
            <w:hideMark/>
          </w:tcPr>
          <w:p w14:paraId="0BD9D582" w14:textId="77777777" w:rsidR="002A4973" w:rsidRPr="002029AF" w:rsidRDefault="002A4973" w:rsidP="002A4973">
            <w:pPr>
              <w:pStyle w:val="ARfintablebodyright"/>
            </w:pPr>
          </w:p>
        </w:tc>
      </w:tr>
      <w:tr w:rsidR="002A4973" w:rsidRPr="002029AF" w14:paraId="05C6F284" w14:textId="77777777" w:rsidTr="002A4973">
        <w:trPr>
          <w:cantSplit w:val="0"/>
        </w:trPr>
        <w:tc>
          <w:tcPr>
            <w:tcW w:w="9639" w:type="dxa"/>
            <w:gridSpan w:val="6"/>
            <w:tcBorders>
              <w:top w:val="single" w:sz="4" w:space="0" w:color="auto"/>
              <w:bottom w:val="single" w:sz="4" w:space="0" w:color="A6A6A6"/>
            </w:tcBorders>
          </w:tcPr>
          <w:p w14:paraId="4B513765" w14:textId="053A0732" w:rsidR="002A4973" w:rsidRPr="002029AF" w:rsidRDefault="002A4973" w:rsidP="002A4973">
            <w:pPr>
              <w:pStyle w:val="ARfintablebodybold"/>
            </w:pPr>
            <w:r w:rsidRPr="00667302">
              <w:t>Expenses from transactions</w:t>
            </w:r>
          </w:p>
        </w:tc>
      </w:tr>
      <w:tr w:rsidR="002A4973" w:rsidRPr="002029AF" w14:paraId="28996A2E" w14:textId="77777777" w:rsidTr="002A4973">
        <w:trPr>
          <w:cantSplit w:val="0"/>
        </w:trPr>
        <w:tc>
          <w:tcPr>
            <w:tcW w:w="4411" w:type="dxa"/>
            <w:tcBorders>
              <w:top w:val="single" w:sz="4" w:space="0" w:color="A6A6A6"/>
              <w:bottom w:val="single" w:sz="4" w:space="0" w:color="A6A6A6"/>
            </w:tcBorders>
            <w:hideMark/>
          </w:tcPr>
          <w:p w14:paraId="3C5256BE" w14:textId="1DB1F7C6" w:rsidR="002A4973" w:rsidRPr="002029AF" w:rsidRDefault="002A4973" w:rsidP="002A4973">
            <w:pPr>
              <w:pStyle w:val="ARfintablebody"/>
            </w:pPr>
            <w:r w:rsidRPr="00667302">
              <w:t>Employee benefits</w:t>
            </w:r>
          </w:p>
        </w:tc>
        <w:tc>
          <w:tcPr>
            <w:tcW w:w="1117" w:type="dxa"/>
            <w:tcBorders>
              <w:top w:val="single" w:sz="4" w:space="0" w:color="A6A6A6"/>
              <w:bottom w:val="single" w:sz="4" w:space="0" w:color="A6A6A6"/>
            </w:tcBorders>
            <w:hideMark/>
          </w:tcPr>
          <w:p w14:paraId="3DD697FB" w14:textId="4570C2C0" w:rsidR="002A4973" w:rsidRPr="002029AF" w:rsidRDefault="002A4973" w:rsidP="002A4973">
            <w:pPr>
              <w:pStyle w:val="ARfintablebodyright"/>
            </w:pPr>
            <w:r w:rsidRPr="00667302">
              <w:t>14,706</w:t>
            </w:r>
          </w:p>
        </w:tc>
        <w:tc>
          <w:tcPr>
            <w:tcW w:w="1123" w:type="dxa"/>
            <w:tcBorders>
              <w:top w:val="single" w:sz="4" w:space="0" w:color="A6A6A6"/>
              <w:bottom w:val="single" w:sz="4" w:space="0" w:color="A6A6A6"/>
            </w:tcBorders>
          </w:tcPr>
          <w:p w14:paraId="2A96AE8F" w14:textId="11EC0849" w:rsidR="002A4973" w:rsidRPr="002029AF" w:rsidRDefault="002A4973" w:rsidP="002A4973">
            <w:pPr>
              <w:pStyle w:val="ARfintablebodyright"/>
            </w:pPr>
            <w:r w:rsidRPr="00667302">
              <w:t>14,718</w:t>
            </w:r>
          </w:p>
        </w:tc>
        <w:tc>
          <w:tcPr>
            <w:tcW w:w="1132" w:type="dxa"/>
            <w:tcBorders>
              <w:top w:val="single" w:sz="4" w:space="0" w:color="A6A6A6"/>
              <w:bottom w:val="single" w:sz="4" w:space="0" w:color="A6A6A6"/>
            </w:tcBorders>
            <w:hideMark/>
          </w:tcPr>
          <w:p w14:paraId="6C9153AB" w14:textId="403892B1" w:rsidR="002A4973" w:rsidRPr="002029AF" w:rsidRDefault="002A4973" w:rsidP="002A4973">
            <w:pPr>
              <w:pStyle w:val="ARfintablebodyright"/>
            </w:pPr>
            <w:r w:rsidRPr="00667302">
              <w:t>14,987</w:t>
            </w:r>
          </w:p>
        </w:tc>
        <w:tc>
          <w:tcPr>
            <w:tcW w:w="1134" w:type="dxa"/>
            <w:tcBorders>
              <w:top w:val="single" w:sz="4" w:space="0" w:color="A6A6A6"/>
              <w:bottom w:val="single" w:sz="4" w:space="0" w:color="A6A6A6"/>
            </w:tcBorders>
            <w:hideMark/>
          </w:tcPr>
          <w:p w14:paraId="1E43BF02" w14:textId="6B9E9DBC" w:rsidR="002A4973" w:rsidRPr="002029AF" w:rsidRDefault="002A4973" w:rsidP="002A4973">
            <w:pPr>
              <w:pStyle w:val="ARfintablebodyright"/>
            </w:pPr>
            <w:r w:rsidRPr="00667302">
              <w:t>(1.9)</w:t>
            </w:r>
          </w:p>
        </w:tc>
        <w:tc>
          <w:tcPr>
            <w:tcW w:w="722" w:type="dxa"/>
            <w:tcBorders>
              <w:top w:val="single" w:sz="4" w:space="0" w:color="A6A6A6"/>
              <w:bottom w:val="single" w:sz="4" w:space="0" w:color="A6A6A6"/>
            </w:tcBorders>
            <w:hideMark/>
          </w:tcPr>
          <w:p w14:paraId="28037B2E" w14:textId="77777777" w:rsidR="002A4973" w:rsidRPr="002029AF" w:rsidRDefault="002A4973" w:rsidP="002A4973">
            <w:pPr>
              <w:pStyle w:val="ARfintablebodyright"/>
            </w:pPr>
          </w:p>
        </w:tc>
      </w:tr>
      <w:tr w:rsidR="002A4973" w:rsidRPr="002029AF" w14:paraId="6F6C8410" w14:textId="77777777" w:rsidTr="002A4973">
        <w:trPr>
          <w:cantSplit w:val="0"/>
        </w:trPr>
        <w:tc>
          <w:tcPr>
            <w:tcW w:w="4411" w:type="dxa"/>
            <w:tcBorders>
              <w:top w:val="single" w:sz="4" w:space="0" w:color="A6A6A6"/>
              <w:bottom w:val="single" w:sz="4" w:space="0" w:color="A6A6A6"/>
            </w:tcBorders>
            <w:hideMark/>
          </w:tcPr>
          <w:p w14:paraId="208B31B7" w14:textId="5065D463" w:rsidR="002A4973" w:rsidRPr="002029AF" w:rsidRDefault="002A4973" w:rsidP="002A4973">
            <w:pPr>
              <w:pStyle w:val="ARfintablebody"/>
            </w:pPr>
            <w:r w:rsidRPr="00667302">
              <w:t>Depreciation and amortisation</w:t>
            </w:r>
          </w:p>
        </w:tc>
        <w:tc>
          <w:tcPr>
            <w:tcW w:w="1117" w:type="dxa"/>
            <w:tcBorders>
              <w:top w:val="single" w:sz="4" w:space="0" w:color="A6A6A6"/>
              <w:bottom w:val="single" w:sz="4" w:space="0" w:color="A6A6A6"/>
            </w:tcBorders>
            <w:hideMark/>
          </w:tcPr>
          <w:p w14:paraId="16FF0C81" w14:textId="0A1052FC" w:rsidR="002A4973" w:rsidRPr="002029AF" w:rsidRDefault="002A4973" w:rsidP="002A4973">
            <w:pPr>
              <w:pStyle w:val="ARfintablebodyright"/>
            </w:pPr>
            <w:r w:rsidRPr="00667302">
              <w:t>1,329</w:t>
            </w:r>
          </w:p>
        </w:tc>
        <w:tc>
          <w:tcPr>
            <w:tcW w:w="1123" w:type="dxa"/>
            <w:tcBorders>
              <w:top w:val="single" w:sz="4" w:space="0" w:color="A6A6A6"/>
              <w:bottom w:val="single" w:sz="4" w:space="0" w:color="A6A6A6"/>
            </w:tcBorders>
          </w:tcPr>
          <w:p w14:paraId="0B751C83" w14:textId="2F4C49DE" w:rsidR="002A4973" w:rsidRPr="002029AF" w:rsidRDefault="002A4973" w:rsidP="002A4973">
            <w:pPr>
              <w:pStyle w:val="ARfintablebodyright"/>
            </w:pPr>
            <w:r w:rsidRPr="00667302">
              <w:t>1,306</w:t>
            </w:r>
          </w:p>
        </w:tc>
        <w:tc>
          <w:tcPr>
            <w:tcW w:w="1132" w:type="dxa"/>
            <w:tcBorders>
              <w:top w:val="single" w:sz="4" w:space="0" w:color="A6A6A6"/>
              <w:bottom w:val="single" w:sz="4" w:space="0" w:color="A6A6A6"/>
            </w:tcBorders>
            <w:hideMark/>
          </w:tcPr>
          <w:p w14:paraId="518F6E3B" w14:textId="3AA3D7AF" w:rsidR="002A4973" w:rsidRPr="002029AF" w:rsidRDefault="002A4973" w:rsidP="002A4973">
            <w:pPr>
              <w:pStyle w:val="ARfintablebodyright"/>
            </w:pPr>
            <w:r w:rsidRPr="00667302">
              <w:t>1,279</w:t>
            </w:r>
          </w:p>
        </w:tc>
        <w:tc>
          <w:tcPr>
            <w:tcW w:w="1134" w:type="dxa"/>
            <w:tcBorders>
              <w:top w:val="single" w:sz="4" w:space="0" w:color="A6A6A6"/>
              <w:bottom w:val="single" w:sz="4" w:space="0" w:color="A6A6A6"/>
            </w:tcBorders>
            <w:hideMark/>
          </w:tcPr>
          <w:p w14:paraId="06849E36" w14:textId="2DA21424" w:rsidR="002A4973" w:rsidRPr="002029AF" w:rsidRDefault="002A4973" w:rsidP="002A4973">
            <w:pPr>
              <w:pStyle w:val="ARfintablebodyright"/>
            </w:pPr>
            <w:r w:rsidRPr="00667302">
              <w:t>3.9</w:t>
            </w:r>
          </w:p>
        </w:tc>
        <w:tc>
          <w:tcPr>
            <w:tcW w:w="722" w:type="dxa"/>
            <w:tcBorders>
              <w:top w:val="single" w:sz="4" w:space="0" w:color="A6A6A6"/>
              <w:bottom w:val="single" w:sz="4" w:space="0" w:color="A6A6A6"/>
            </w:tcBorders>
            <w:hideMark/>
          </w:tcPr>
          <w:p w14:paraId="28B629C0" w14:textId="77777777" w:rsidR="002A4973" w:rsidRPr="002029AF" w:rsidRDefault="002A4973" w:rsidP="002A4973">
            <w:pPr>
              <w:pStyle w:val="ARfintablebodyright"/>
            </w:pPr>
          </w:p>
        </w:tc>
      </w:tr>
      <w:tr w:rsidR="002A4973" w:rsidRPr="002029AF" w14:paraId="18A94148" w14:textId="77777777" w:rsidTr="002A4973">
        <w:trPr>
          <w:cantSplit w:val="0"/>
        </w:trPr>
        <w:tc>
          <w:tcPr>
            <w:tcW w:w="4411" w:type="dxa"/>
            <w:tcBorders>
              <w:top w:val="single" w:sz="4" w:space="0" w:color="A6A6A6"/>
              <w:bottom w:val="single" w:sz="4" w:space="0" w:color="A6A6A6"/>
            </w:tcBorders>
            <w:hideMark/>
          </w:tcPr>
          <w:p w14:paraId="3113476F" w14:textId="0AC8D410" w:rsidR="002A4973" w:rsidRPr="002029AF" w:rsidRDefault="002A4973" w:rsidP="002A4973">
            <w:pPr>
              <w:pStyle w:val="ARfintablebody"/>
            </w:pPr>
            <w:r w:rsidRPr="00667302">
              <w:t>Interest expense</w:t>
            </w:r>
          </w:p>
        </w:tc>
        <w:tc>
          <w:tcPr>
            <w:tcW w:w="1117" w:type="dxa"/>
            <w:tcBorders>
              <w:top w:val="single" w:sz="4" w:space="0" w:color="A6A6A6"/>
              <w:bottom w:val="single" w:sz="4" w:space="0" w:color="A6A6A6"/>
            </w:tcBorders>
            <w:hideMark/>
          </w:tcPr>
          <w:p w14:paraId="4BA83D46" w14:textId="13C4A558" w:rsidR="002A4973" w:rsidRPr="002029AF" w:rsidRDefault="002A4973" w:rsidP="002A4973">
            <w:pPr>
              <w:pStyle w:val="ARfintablebodyright"/>
            </w:pPr>
            <w:r w:rsidRPr="00667302">
              <w:t>187</w:t>
            </w:r>
          </w:p>
        </w:tc>
        <w:tc>
          <w:tcPr>
            <w:tcW w:w="1123" w:type="dxa"/>
            <w:tcBorders>
              <w:top w:val="single" w:sz="4" w:space="0" w:color="A6A6A6"/>
              <w:bottom w:val="single" w:sz="4" w:space="0" w:color="A6A6A6"/>
            </w:tcBorders>
          </w:tcPr>
          <w:p w14:paraId="18E353AE" w14:textId="7A07E4B3" w:rsidR="002A4973" w:rsidRPr="002029AF" w:rsidRDefault="002A4973" w:rsidP="002A4973">
            <w:pPr>
              <w:pStyle w:val="ARfintablebodyright"/>
            </w:pPr>
            <w:r w:rsidRPr="00667302">
              <w:t>194</w:t>
            </w:r>
          </w:p>
        </w:tc>
        <w:tc>
          <w:tcPr>
            <w:tcW w:w="1132" w:type="dxa"/>
            <w:tcBorders>
              <w:top w:val="single" w:sz="4" w:space="0" w:color="A6A6A6"/>
              <w:bottom w:val="single" w:sz="4" w:space="0" w:color="A6A6A6"/>
            </w:tcBorders>
            <w:hideMark/>
          </w:tcPr>
          <w:p w14:paraId="10437901" w14:textId="229046BC" w:rsidR="002A4973" w:rsidRPr="002029AF" w:rsidRDefault="002A4973" w:rsidP="002A4973">
            <w:pPr>
              <w:pStyle w:val="ARfintablebodyright"/>
            </w:pPr>
            <w:r w:rsidRPr="00667302">
              <w:t>200</w:t>
            </w:r>
          </w:p>
        </w:tc>
        <w:tc>
          <w:tcPr>
            <w:tcW w:w="1134" w:type="dxa"/>
            <w:tcBorders>
              <w:top w:val="single" w:sz="4" w:space="0" w:color="A6A6A6"/>
              <w:bottom w:val="single" w:sz="4" w:space="0" w:color="A6A6A6"/>
            </w:tcBorders>
            <w:hideMark/>
          </w:tcPr>
          <w:p w14:paraId="0785D549" w14:textId="6B0F96BB" w:rsidR="002A4973" w:rsidRPr="002029AF" w:rsidRDefault="002A4973" w:rsidP="002A4973">
            <w:pPr>
              <w:pStyle w:val="ARfintablebodyright"/>
            </w:pPr>
            <w:r w:rsidRPr="00667302">
              <w:t>(6.4)</w:t>
            </w:r>
          </w:p>
        </w:tc>
        <w:tc>
          <w:tcPr>
            <w:tcW w:w="722" w:type="dxa"/>
            <w:tcBorders>
              <w:top w:val="single" w:sz="4" w:space="0" w:color="A6A6A6"/>
              <w:bottom w:val="single" w:sz="4" w:space="0" w:color="A6A6A6"/>
            </w:tcBorders>
            <w:hideMark/>
          </w:tcPr>
          <w:p w14:paraId="345414A8" w14:textId="77777777" w:rsidR="002A4973" w:rsidRPr="002029AF" w:rsidRDefault="002A4973" w:rsidP="002A4973">
            <w:pPr>
              <w:pStyle w:val="ARfintablebodyright"/>
            </w:pPr>
          </w:p>
        </w:tc>
      </w:tr>
      <w:tr w:rsidR="002A4973" w:rsidRPr="002029AF" w14:paraId="30AB7441" w14:textId="77777777" w:rsidTr="002A4973">
        <w:trPr>
          <w:cantSplit w:val="0"/>
        </w:trPr>
        <w:tc>
          <w:tcPr>
            <w:tcW w:w="4411" w:type="dxa"/>
            <w:tcBorders>
              <w:top w:val="single" w:sz="4" w:space="0" w:color="A6A6A6"/>
              <w:bottom w:val="single" w:sz="4" w:space="0" w:color="A6A6A6"/>
            </w:tcBorders>
            <w:hideMark/>
          </w:tcPr>
          <w:p w14:paraId="303A2F3D" w14:textId="05A52045" w:rsidR="002A4973" w:rsidRPr="002029AF" w:rsidRDefault="002A4973" w:rsidP="002A4973">
            <w:pPr>
              <w:pStyle w:val="ARfintablebody"/>
            </w:pPr>
            <w:r w:rsidRPr="00667302">
              <w:t>Grants and other transfers</w:t>
            </w:r>
          </w:p>
        </w:tc>
        <w:tc>
          <w:tcPr>
            <w:tcW w:w="1117" w:type="dxa"/>
            <w:tcBorders>
              <w:top w:val="single" w:sz="4" w:space="0" w:color="A6A6A6"/>
              <w:bottom w:val="single" w:sz="4" w:space="0" w:color="A6A6A6"/>
            </w:tcBorders>
            <w:hideMark/>
          </w:tcPr>
          <w:p w14:paraId="433306F5" w14:textId="13AD1A68" w:rsidR="002A4973" w:rsidRPr="002029AF" w:rsidRDefault="002A4973" w:rsidP="002A4973">
            <w:pPr>
              <w:pStyle w:val="ARfintablebodyright"/>
            </w:pPr>
            <w:r w:rsidRPr="00667302">
              <w:t>3,607</w:t>
            </w:r>
          </w:p>
        </w:tc>
        <w:tc>
          <w:tcPr>
            <w:tcW w:w="1123" w:type="dxa"/>
            <w:tcBorders>
              <w:top w:val="single" w:sz="4" w:space="0" w:color="A6A6A6"/>
              <w:bottom w:val="single" w:sz="4" w:space="0" w:color="A6A6A6"/>
            </w:tcBorders>
          </w:tcPr>
          <w:p w14:paraId="08EAE201" w14:textId="72DAC06D" w:rsidR="002A4973" w:rsidRPr="002029AF" w:rsidRDefault="002A4973" w:rsidP="002A4973">
            <w:pPr>
              <w:pStyle w:val="ARfintablebodyright"/>
            </w:pPr>
            <w:r w:rsidRPr="00667302">
              <w:t>3,582</w:t>
            </w:r>
          </w:p>
        </w:tc>
        <w:tc>
          <w:tcPr>
            <w:tcW w:w="1132" w:type="dxa"/>
            <w:tcBorders>
              <w:top w:val="single" w:sz="4" w:space="0" w:color="A6A6A6"/>
              <w:bottom w:val="single" w:sz="4" w:space="0" w:color="A6A6A6"/>
            </w:tcBorders>
            <w:hideMark/>
          </w:tcPr>
          <w:p w14:paraId="179ED001" w14:textId="3909D83A" w:rsidR="002A4973" w:rsidRPr="002029AF" w:rsidRDefault="002A4973" w:rsidP="002A4973">
            <w:pPr>
              <w:pStyle w:val="ARfintablebodyright"/>
            </w:pPr>
            <w:r w:rsidRPr="00667302">
              <w:t>4,549</w:t>
            </w:r>
          </w:p>
        </w:tc>
        <w:tc>
          <w:tcPr>
            <w:tcW w:w="1134" w:type="dxa"/>
            <w:tcBorders>
              <w:top w:val="single" w:sz="4" w:space="0" w:color="A6A6A6"/>
              <w:bottom w:val="single" w:sz="4" w:space="0" w:color="A6A6A6"/>
            </w:tcBorders>
            <w:hideMark/>
          </w:tcPr>
          <w:p w14:paraId="429E7886" w14:textId="571F33EE" w:rsidR="002A4973" w:rsidRPr="002029AF" w:rsidRDefault="002A4973" w:rsidP="002A4973">
            <w:pPr>
              <w:pStyle w:val="ARfintablebodyright"/>
            </w:pPr>
            <w:r w:rsidRPr="00667302">
              <w:t>(20.7)</w:t>
            </w:r>
          </w:p>
        </w:tc>
        <w:tc>
          <w:tcPr>
            <w:tcW w:w="722" w:type="dxa"/>
            <w:tcBorders>
              <w:top w:val="single" w:sz="4" w:space="0" w:color="A6A6A6"/>
              <w:bottom w:val="single" w:sz="4" w:space="0" w:color="A6A6A6"/>
            </w:tcBorders>
            <w:hideMark/>
          </w:tcPr>
          <w:p w14:paraId="5482956E" w14:textId="631821DA" w:rsidR="002A4973" w:rsidRPr="002029AF" w:rsidRDefault="002A4973" w:rsidP="002A4973">
            <w:pPr>
              <w:pStyle w:val="ARfintablebodyright"/>
            </w:pPr>
          </w:p>
        </w:tc>
      </w:tr>
      <w:tr w:rsidR="002A4973" w:rsidRPr="002029AF" w14:paraId="78D7AD03" w14:textId="77777777" w:rsidTr="002A4973">
        <w:trPr>
          <w:cantSplit w:val="0"/>
        </w:trPr>
        <w:tc>
          <w:tcPr>
            <w:tcW w:w="4411" w:type="dxa"/>
            <w:tcBorders>
              <w:top w:val="single" w:sz="4" w:space="0" w:color="A6A6A6"/>
              <w:bottom w:val="single" w:sz="4" w:space="0" w:color="A6A6A6"/>
            </w:tcBorders>
            <w:hideMark/>
          </w:tcPr>
          <w:p w14:paraId="3C97AC8B" w14:textId="7C4AC66B" w:rsidR="002A4973" w:rsidRPr="002029AF" w:rsidRDefault="002A4973" w:rsidP="002A4973">
            <w:pPr>
              <w:pStyle w:val="ARfintablebody"/>
            </w:pPr>
            <w:r w:rsidRPr="00667302">
              <w:t>Capital asset charge</w:t>
            </w:r>
          </w:p>
        </w:tc>
        <w:tc>
          <w:tcPr>
            <w:tcW w:w="1117" w:type="dxa"/>
            <w:tcBorders>
              <w:top w:val="single" w:sz="4" w:space="0" w:color="A6A6A6"/>
              <w:bottom w:val="single" w:sz="4" w:space="0" w:color="A6A6A6"/>
            </w:tcBorders>
            <w:hideMark/>
          </w:tcPr>
          <w:p w14:paraId="21C31C8D" w14:textId="46BEBDB4" w:rsidR="002A4973" w:rsidRPr="002029AF" w:rsidRDefault="002A4973" w:rsidP="002A4973">
            <w:pPr>
              <w:pStyle w:val="ARfintablebodyright"/>
            </w:pPr>
            <w:r w:rsidRPr="00667302">
              <w:t>1,403</w:t>
            </w:r>
          </w:p>
        </w:tc>
        <w:tc>
          <w:tcPr>
            <w:tcW w:w="1123" w:type="dxa"/>
            <w:tcBorders>
              <w:top w:val="single" w:sz="4" w:space="0" w:color="A6A6A6"/>
              <w:bottom w:val="single" w:sz="4" w:space="0" w:color="A6A6A6"/>
            </w:tcBorders>
          </w:tcPr>
          <w:p w14:paraId="5FCEBFB4" w14:textId="1E808200" w:rsidR="002A4973" w:rsidRPr="002029AF" w:rsidRDefault="002A4973" w:rsidP="002A4973">
            <w:pPr>
              <w:pStyle w:val="ARfintablebodyright"/>
            </w:pPr>
            <w:r w:rsidRPr="00667302">
              <w:t>1,403</w:t>
            </w:r>
          </w:p>
        </w:tc>
        <w:tc>
          <w:tcPr>
            <w:tcW w:w="1132" w:type="dxa"/>
            <w:tcBorders>
              <w:top w:val="single" w:sz="4" w:space="0" w:color="A6A6A6"/>
              <w:bottom w:val="single" w:sz="4" w:space="0" w:color="A6A6A6"/>
            </w:tcBorders>
            <w:hideMark/>
          </w:tcPr>
          <w:p w14:paraId="552B0EB6" w14:textId="26A07FC8" w:rsidR="002A4973" w:rsidRPr="002029AF" w:rsidRDefault="002A4973" w:rsidP="002A4973">
            <w:pPr>
              <w:pStyle w:val="ARfintablebodyright"/>
            </w:pPr>
            <w:r w:rsidRPr="00667302">
              <w:t>1,428</w:t>
            </w:r>
          </w:p>
        </w:tc>
        <w:tc>
          <w:tcPr>
            <w:tcW w:w="1134" w:type="dxa"/>
            <w:tcBorders>
              <w:top w:val="single" w:sz="4" w:space="0" w:color="A6A6A6"/>
              <w:bottom w:val="single" w:sz="4" w:space="0" w:color="A6A6A6"/>
            </w:tcBorders>
            <w:hideMark/>
          </w:tcPr>
          <w:p w14:paraId="6FE02C83" w14:textId="64763F47" w:rsidR="002A4973" w:rsidRPr="002029AF" w:rsidRDefault="002A4973" w:rsidP="002A4973">
            <w:pPr>
              <w:pStyle w:val="ARfintablebodyright"/>
            </w:pPr>
            <w:r w:rsidRPr="00667302">
              <w:t>(1.7)</w:t>
            </w:r>
          </w:p>
        </w:tc>
        <w:tc>
          <w:tcPr>
            <w:tcW w:w="722" w:type="dxa"/>
            <w:tcBorders>
              <w:top w:val="single" w:sz="4" w:space="0" w:color="A6A6A6"/>
              <w:bottom w:val="single" w:sz="4" w:space="0" w:color="A6A6A6"/>
            </w:tcBorders>
            <w:hideMark/>
          </w:tcPr>
          <w:p w14:paraId="061899FA" w14:textId="77777777" w:rsidR="002A4973" w:rsidRPr="002029AF" w:rsidRDefault="002A4973" w:rsidP="002A4973">
            <w:pPr>
              <w:pStyle w:val="ARfintablebodyright"/>
            </w:pPr>
          </w:p>
        </w:tc>
      </w:tr>
      <w:tr w:rsidR="002A4973" w:rsidRPr="002029AF" w14:paraId="7448FFB7" w14:textId="77777777" w:rsidTr="002A4973">
        <w:trPr>
          <w:cantSplit w:val="0"/>
        </w:trPr>
        <w:tc>
          <w:tcPr>
            <w:tcW w:w="4411" w:type="dxa"/>
            <w:tcBorders>
              <w:top w:val="single" w:sz="4" w:space="0" w:color="A6A6A6"/>
            </w:tcBorders>
            <w:hideMark/>
          </w:tcPr>
          <w:p w14:paraId="051537D7" w14:textId="1F33E5E7" w:rsidR="002A4973" w:rsidRPr="002029AF" w:rsidRDefault="002A4973" w:rsidP="002A4973">
            <w:pPr>
              <w:pStyle w:val="ARfintablebody"/>
            </w:pPr>
            <w:r w:rsidRPr="00667302">
              <w:t>Other operating expenses</w:t>
            </w:r>
          </w:p>
        </w:tc>
        <w:tc>
          <w:tcPr>
            <w:tcW w:w="1117" w:type="dxa"/>
            <w:tcBorders>
              <w:top w:val="single" w:sz="4" w:space="0" w:color="A6A6A6"/>
            </w:tcBorders>
            <w:hideMark/>
          </w:tcPr>
          <w:p w14:paraId="1A0BEE60" w14:textId="2F1ECBF7" w:rsidR="002A4973" w:rsidRPr="002029AF" w:rsidRDefault="002A4973" w:rsidP="002A4973">
            <w:pPr>
              <w:pStyle w:val="ARfintablebodyright"/>
            </w:pPr>
            <w:r w:rsidRPr="00667302">
              <w:t>9,448</w:t>
            </w:r>
          </w:p>
        </w:tc>
        <w:tc>
          <w:tcPr>
            <w:tcW w:w="1123" w:type="dxa"/>
            <w:tcBorders>
              <w:top w:val="single" w:sz="4" w:space="0" w:color="A6A6A6"/>
            </w:tcBorders>
          </w:tcPr>
          <w:p w14:paraId="43DC5191" w14:textId="4B838617" w:rsidR="002A4973" w:rsidRPr="002029AF" w:rsidRDefault="002A4973" w:rsidP="002A4973">
            <w:pPr>
              <w:pStyle w:val="ARfintablebodyright"/>
            </w:pPr>
            <w:r w:rsidRPr="00667302">
              <w:t>10,004</w:t>
            </w:r>
          </w:p>
        </w:tc>
        <w:tc>
          <w:tcPr>
            <w:tcW w:w="1132" w:type="dxa"/>
            <w:tcBorders>
              <w:top w:val="single" w:sz="4" w:space="0" w:color="A6A6A6"/>
            </w:tcBorders>
            <w:hideMark/>
          </w:tcPr>
          <w:p w14:paraId="56C4A65A" w14:textId="3B2C2E4F" w:rsidR="002A4973" w:rsidRPr="002029AF" w:rsidRDefault="002A4973" w:rsidP="002A4973">
            <w:pPr>
              <w:pStyle w:val="ARfintablebodyright"/>
            </w:pPr>
            <w:r w:rsidRPr="00667302">
              <w:t>10,442</w:t>
            </w:r>
          </w:p>
        </w:tc>
        <w:tc>
          <w:tcPr>
            <w:tcW w:w="1134" w:type="dxa"/>
            <w:tcBorders>
              <w:top w:val="single" w:sz="4" w:space="0" w:color="A6A6A6"/>
            </w:tcBorders>
            <w:hideMark/>
          </w:tcPr>
          <w:p w14:paraId="512E9D7E" w14:textId="01897D33" w:rsidR="002A4973" w:rsidRPr="002029AF" w:rsidRDefault="002A4973" w:rsidP="002A4973">
            <w:pPr>
              <w:pStyle w:val="ARfintablebodyright"/>
            </w:pPr>
            <w:r w:rsidRPr="00667302">
              <w:t>(9.5)</w:t>
            </w:r>
          </w:p>
        </w:tc>
        <w:tc>
          <w:tcPr>
            <w:tcW w:w="722" w:type="dxa"/>
            <w:tcBorders>
              <w:top w:val="single" w:sz="4" w:space="0" w:color="A6A6A6"/>
            </w:tcBorders>
            <w:hideMark/>
          </w:tcPr>
          <w:p w14:paraId="045CB99A" w14:textId="1294B83D" w:rsidR="002A4973" w:rsidRPr="002029AF" w:rsidRDefault="002A4973" w:rsidP="004629BF">
            <w:pPr>
              <w:pStyle w:val="ARfintablebodycentrebold"/>
            </w:pPr>
            <w:r w:rsidRPr="00667302">
              <w:t>(d)</w:t>
            </w:r>
          </w:p>
        </w:tc>
      </w:tr>
      <w:tr w:rsidR="002A4973" w:rsidRPr="002029AF" w14:paraId="3CFA2454" w14:textId="77777777" w:rsidTr="002A4973">
        <w:trPr>
          <w:cantSplit w:val="0"/>
        </w:trPr>
        <w:tc>
          <w:tcPr>
            <w:tcW w:w="4411" w:type="dxa"/>
            <w:hideMark/>
          </w:tcPr>
          <w:p w14:paraId="2F870738" w14:textId="5DAE79F4" w:rsidR="002A4973" w:rsidRPr="002029AF" w:rsidRDefault="002A4973" w:rsidP="002A4973">
            <w:pPr>
              <w:pStyle w:val="ARfintablebodybold"/>
            </w:pPr>
            <w:r w:rsidRPr="00667302">
              <w:t>Total expenses from transactions</w:t>
            </w:r>
          </w:p>
        </w:tc>
        <w:tc>
          <w:tcPr>
            <w:tcW w:w="1117" w:type="dxa"/>
            <w:hideMark/>
          </w:tcPr>
          <w:p w14:paraId="6A2CAD02" w14:textId="75C4C77E" w:rsidR="002A4973" w:rsidRPr="002029AF" w:rsidRDefault="002A4973" w:rsidP="002A4973">
            <w:pPr>
              <w:pStyle w:val="ARfintablebodyrightbold"/>
            </w:pPr>
            <w:r w:rsidRPr="00667302">
              <w:t>30,681</w:t>
            </w:r>
          </w:p>
        </w:tc>
        <w:tc>
          <w:tcPr>
            <w:tcW w:w="1123" w:type="dxa"/>
          </w:tcPr>
          <w:p w14:paraId="74A816B2" w14:textId="192616F3" w:rsidR="002A4973" w:rsidRPr="002029AF" w:rsidRDefault="002A4973" w:rsidP="002A4973">
            <w:pPr>
              <w:pStyle w:val="ARfintablebodyrightbold"/>
            </w:pPr>
            <w:r w:rsidRPr="00667302">
              <w:t>31,208</w:t>
            </w:r>
          </w:p>
        </w:tc>
        <w:tc>
          <w:tcPr>
            <w:tcW w:w="1132" w:type="dxa"/>
            <w:hideMark/>
          </w:tcPr>
          <w:p w14:paraId="4EF6125F" w14:textId="0FADB32F" w:rsidR="002A4973" w:rsidRPr="002029AF" w:rsidRDefault="002A4973" w:rsidP="002A4973">
            <w:pPr>
              <w:pStyle w:val="ARfintablebodyrightbold"/>
            </w:pPr>
            <w:r w:rsidRPr="00667302">
              <w:t>32,884</w:t>
            </w:r>
          </w:p>
        </w:tc>
        <w:tc>
          <w:tcPr>
            <w:tcW w:w="1134" w:type="dxa"/>
            <w:hideMark/>
          </w:tcPr>
          <w:p w14:paraId="512BAEE3" w14:textId="776C9684" w:rsidR="002A4973" w:rsidRPr="002029AF" w:rsidRDefault="002A4973" w:rsidP="002A4973">
            <w:pPr>
              <w:pStyle w:val="ARfintablebodyrightbold"/>
            </w:pPr>
            <w:r w:rsidRPr="00667302">
              <w:t>(6.7)</w:t>
            </w:r>
          </w:p>
        </w:tc>
        <w:tc>
          <w:tcPr>
            <w:tcW w:w="722" w:type="dxa"/>
            <w:hideMark/>
          </w:tcPr>
          <w:p w14:paraId="13E11548" w14:textId="77777777" w:rsidR="002A4973" w:rsidRPr="002029AF" w:rsidRDefault="002A4973" w:rsidP="002A4973">
            <w:pPr>
              <w:pStyle w:val="ARfintablebodyright"/>
            </w:pPr>
          </w:p>
        </w:tc>
      </w:tr>
      <w:tr w:rsidR="002A4973" w:rsidRPr="002029AF" w14:paraId="6576B1CD" w14:textId="77777777" w:rsidTr="002A4973">
        <w:trPr>
          <w:cantSplit w:val="0"/>
        </w:trPr>
        <w:tc>
          <w:tcPr>
            <w:tcW w:w="4411" w:type="dxa"/>
            <w:tcBorders>
              <w:bottom w:val="single" w:sz="4" w:space="0" w:color="auto"/>
            </w:tcBorders>
            <w:hideMark/>
          </w:tcPr>
          <w:p w14:paraId="635074B1" w14:textId="298C223B" w:rsidR="002A4973" w:rsidRPr="002029AF" w:rsidRDefault="002A4973" w:rsidP="002A4973">
            <w:pPr>
              <w:pStyle w:val="ARfintablebodybold"/>
            </w:pPr>
            <w:r w:rsidRPr="00667302">
              <w:t>Net result from transactions (net operating balance)</w:t>
            </w:r>
          </w:p>
        </w:tc>
        <w:tc>
          <w:tcPr>
            <w:tcW w:w="1117" w:type="dxa"/>
            <w:tcBorders>
              <w:bottom w:val="single" w:sz="4" w:space="0" w:color="auto"/>
            </w:tcBorders>
            <w:hideMark/>
          </w:tcPr>
          <w:p w14:paraId="2099A3C3" w14:textId="1C902BE8" w:rsidR="002A4973" w:rsidRPr="002029AF" w:rsidRDefault="002A4973" w:rsidP="002A4973">
            <w:pPr>
              <w:pStyle w:val="ARfintablebodyrightbold"/>
            </w:pPr>
            <w:r w:rsidRPr="00667302">
              <w:t>708</w:t>
            </w:r>
          </w:p>
        </w:tc>
        <w:tc>
          <w:tcPr>
            <w:tcW w:w="1123" w:type="dxa"/>
            <w:tcBorders>
              <w:bottom w:val="single" w:sz="4" w:space="0" w:color="auto"/>
            </w:tcBorders>
          </w:tcPr>
          <w:p w14:paraId="743A70B5" w14:textId="61F11CFA" w:rsidR="002A4973" w:rsidRPr="002029AF" w:rsidRDefault="002A4973" w:rsidP="002A4973">
            <w:pPr>
              <w:pStyle w:val="ARfintablebodyrightbold"/>
            </w:pPr>
            <w:r w:rsidRPr="00667302">
              <w:t>(19)</w:t>
            </w:r>
          </w:p>
        </w:tc>
        <w:tc>
          <w:tcPr>
            <w:tcW w:w="1132" w:type="dxa"/>
            <w:tcBorders>
              <w:bottom w:val="single" w:sz="4" w:space="0" w:color="auto"/>
            </w:tcBorders>
            <w:hideMark/>
          </w:tcPr>
          <w:p w14:paraId="412C342D" w14:textId="418A2295" w:rsidR="002A4973" w:rsidRPr="002029AF" w:rsidRDefault="002A4973" w:rsidP="002A4973">
            <w:pPr>
              <w:pStyle w:val="ARfintablebodyrightbold"/>
            </w:pPr>
            <w:r w:rsidRPr="00667302">
              <w:t>(490)</w:t>
            </w:r>
          </w:p>
        </w:tc>
        <w:tc>
          <w:tcPr>
            <w:tcW w:w="1134" w:type="dxa"/>
            <w:tcBorders>
              <w:bottom w:val="single" w:sz="4" w:space="0" w:color="auto"/>
            </w:tcBorders>
            <w:hideMark/>
          </w:tcPr>
          <w:p w14:paraId="57DA6F00" w14:textId="188A8E8C" w:rsidR="002A4973" w:rsidRPr="002029AF" w:rsidRDefault="008502CB" w:rsidP="002A4973">
            <w:pPr>
              <w:pStyle w:val="ARfintablebodyrightbold"/>
            </w:pPr>
            <w:r w:rsidRPr="008502CB">
              <w:t>–</w:t>
            </w:r>
          </w:p>
        </w:tc>
        <w:tc>
          <w:tcPr>
            <w:tcW w:w="722" w:type="dxa"/>
            <w:tcBorders>
              <w:bottom w:val="single" w:sz="4" w:space="0" w:color="auto"/>
            </w:tcBorders>
            <w:hideMark/>
          </w:tcPr>
          <w:p w14:paraId="71E125DE" w14:textId="77777777" w:rsidR="002A4973" w:rsidRPr="002029AF" w:rsidRDefault="002A4973" w:rsidP="002A4973">
            <w:pPr>
              <w:pStyle w:val="ARfintablebodyright"/>
            </w:pPr>
          </w:p>
        </w:tc>
      </w:tr>
      <w:tr w:rsidR="002A4973" w:rsidRPr="002029AF" w14:paraId="5119D0D0" w14:textId="77777777" w:rsidTr="002A4973">
        <w:trPr>
          <w:cantSplit w:val="0"/>
        </w:trPr>
        <w:tc>
          <w:tcPr>
            <w:tcW w:w="9639" w:type="dxa"/>
            <w:gridSpan w:val="6"/>
            <w:tcBorders>
              <w:top w:val="single" w:sz="4" w:space="0" w:color="auto"/>
              <w:bottom w:val="single" w:sz="4" w:space="0" w:color="A6A6A6"/>
            </w:tcBorders>
          </w:tcPr>
          <w:p w14:paraId="159004EE" w14:textId="70B21F34" w:rsidR="002A4973" w:rsidRPr="002029AF" w:rsidRDefault="002A4973" w:rsidP="002A4973">
            <w:pPr>
              <w:pStyle w:val="ARfintablebodybold"/>
            </w:pPr>
            <w:r w:rsidRPr="00667302">
              <w:t>Other economic flows included in net result</w:t>
            </w:r>
          </w:p>
        </w:tc>
      </w:tr>
      <w:tr w:rsidR="002A4973" w:rsidRPr="002029AF" w14:paraId="1BAAB042" w14:textId="77777777" w:rsidTr="002A4973">
        <w:trPr>
          <w:cantSplit w:val="0"/>
        </w:trPr>
        <w:tc>
          <w:tcPr>
            <w:tcW w:w="4411" w:type="dxa"/>
            <w:tcBorders>
              <w:top w:val="single" w:sz="4" w:space="0" w:color="A6A6A6"/>
              <w:bottom w:val="single" w:sz="4" w:space="0" w:color="A6A6A6"/>
            </w:tcBorders>
            <w:hideMark/>
          </w:tcPr>
          <w:p w14:paraId="666C97CC" w14:textId="223EC5EB" w:rsidR="002A4973" w:rsidRPr="002029AF" w:rsidRDefault="002A4973" w:rsidP="002A4973">
            <w:pPr>
              <w:pStyle w:val="ARfintablebody"/>
            </w:pPr>
            <w:r w:rsidRPr="00667302">
              <w:t>Net gain/(loss) on non-financial assets</w:t>
            </w:r>
          </w:p>
        </w:tc>
        <w:tc>
          <w:tcPr>
            <w:tcW w:w="1117" w:type="dxa"/>
            <w:tcBorders>
              <w:top w:val="single" w:sz="4" w:space="0" w:color="A6A6A6"/>
              <w:bottom w:val="single" w:sz="4" w:space="0" w:color="A6A6A6"/>
            </w:tcBorders>
            <w:hideMark/>
          </w:tcPr>
          <w:p w14:paraId="6F085DF3" w14:textId="50556B1F" w:rsidR="002A4973" w:rsidRPr="002029AF" w:rsidRDefault="002A4973" w:rsidP="002A4973">
            <w:pPr>
              <w:pStyle w:val="ARfintablebodyright"/>
            </w:pPr>
            <w:r w:rsidRPr="00667302">
              <w:t>14</w:t>
            </w:r>
          </w:p>
        </w:tc>
        <w:tc>
          <w:tcPr>
            <w:tcW w:w="1123" w:type="dxa"/>
            <w:tcBorders>
              <w:top w:val="single" w:sz="4" w:space="0" w:color="A6A6A6"/>
              <w:bottom w:val="single" w:sz="4" w:space="0" w:color="A6A6A6"/>
            </w:tcBorders>
          </w:tcPr>
          <w:p w14:paraId="3252A70B" w14:textId="77FB60F2" w:rsidR="002A4973" w:rsidRPr="002029AF" w:rsidRDefault="002A4973" w:rsidP="002A4973">
            <w:pPr>
              <w:pStyle w:val="ARfintablebodyright"/>
            </w:pPr>
            <w:r w:rsidRPr="00667302">
              <w:t>–</w:t>
            </w:r>
          </w:p>
        </w:tc>
        <w:tc>
          <w:tcPr>
            <w:tcW w:w="1132" w:type="dxa"/>
            <w:tcBorders>
              <w:top w:val="single" w:sz="4" w:space="0" w:color="A6A6A6"/>
              <w:bottom w:val="single" w:sz="4" w:space="0" w:color="A6A6A6"/>
            </w:tcBorders>
            <w:hideMark/>
          </w:tcPr>
          <w:p w14:paraId="2F09223F" w14:textId="34845922" w:rsidR="002A4973" w:rsidRPr="002029AF" w:rsidRDefault="002A4973" w:rsidP="002A4973">
            <w:pPr>
              <w:pStyle w:val="ARfintablebodyright"/>
            </w:pPr>
            <w:r w:rsidRPr="00667302">
              <w:t>(3)</w:t>
            </w:r>
          </w:p>
        </w:tc>
        <w:tc>
          <w:tcPr>
            <w:tcW w:w="1134" w:type="dxa"/>
            <w:tcBorders>
              <w:top w:val="single" w:sz="4" w:space="0" w:color="A6A6A6"/>
              <w:bottom w:val="single" w:sz="4" w:space="0" w:color="A6A6A6"/>
            </w:tcBorders>
            <w:hideMark/>
          </w:tcPr>
          <w:p w14:paraId="0C73A52E" w14:textId="7388A6F2" w:rsidR="002A4973" w:rsidRPr="002029AF" w:rsidRDefault="002A4973" w:rsidP="002A4973">
            <w:pPr>
              <w:pStyle w:val="ARfintablebodyright"/>
            </w:pPr>
            <w:r w:rsidRPr="00667302">
              <w:t>(543.8)</w:t>
            </w:r>
          </w:p>
        </w:tc>
        <w:tc>
          <w:tcPr>
            <w:tcW w:w="722" w:type="dxa"/>
            <w:tcBorders>
              <w:top w:val="single" w:sz="4" w:space="0" w:color="A6A6A6"/>
              <w:bottom w:val="single" w:sz="4" w:space="0" w:color="A6A6A6"/>
            </w:tcBorders>
            <w:hideMark/>
          </w:tcPr>
          <w:p w14:paraId="4B948477" w14:textId="77777777" w:rsidR="002A4973" w:rsidRPr="002029AF" w:rsidRDefault="002A4973" w:rsidP="002A4973">
            <w:pPr>
              <w:pStyle w:val="ARfintablebodyright"/>
            </w:pPr>
          </w:p>
        </w:tc>
      </w:tr>
      <w:tr w:rsidR="002A4973" w:rsidRPr="002029AF" w14:paraId="35E60064" w14:textId="77777777" w:rsidTr="002A4973">
        <w:trPr>
          <w:cantSplit w:val="0"/>
        </w:trPr>
        <w:tc>
          <w:tcPr>
            <w:tcW w:w="4411" w:type="dxa"/>
            <w:tcBorders>
              <w:top w:val="single" w:sz="4" w:space="0" w:color="A6A6A6"/>
              <w:bottom w:val="single" w:sz="4" w:space="0" w:color="A6A6A6"/>
            </w:tcBorders>
            <w:hideMark/>
          </w:tcPr>
          <w:p w14:paraId="7E38A472" w14:textId="3EDBDB2A" w:rsidR="002A4973" w:rsidRPr="002029AF" w:rsidRDefault="002A4973" w:rsidP="002A4973">
            <w:pPr>
              <w:pStyle w:val="ARfintablebody"/>
            </w:pPr>
            <w:r w:rsidRPr="00667302">
              <w:t>Net gain/(loss) on financial instruments and statutory receivables/payables</w:t>
            </w:r>
          </w:p>
        </w:tc>
        <w:tc>
          <w:tcPr>
            <w:tcW w:w="1117" w:type="dxa"/>
            <w:tcBorders>
              <w:top w:val="single" w:sz="4" w:space="0" w:color="A6A6A6"/>
              <w:bottom w:val="single" w:sz="4" w:space="0" w:color="A6A6A6"/>
            </w:tcBorders>
            <w:hideMark/>
          </w:tcPr>
          <w:p w14:paraId="5E09ACC3" w14:textId="5683AF44" w:rsidR="002A4973" w:rsidRPr="002029AF" w:rsidRDefault="002A4973" w:rsidP="002A4973">
            <w:pPr>
              <w:pStyle w:val="ARfintablebodyright"/>
            </w:pPr>
            <w:r w:rsidRPr="00667302">
              <w:t>(16)</w:t>
            </w:r>
          </w:p>
        </w:tc>
        <w:tc>
          <w:tcPr>
            <w:tcW w:w="1123" w:type="dxa"/>
            <w:tcBorders>
              <w:top w:val="single" w:sz="4" w:space="0" w:color="A6A6A6"/>
              <w:bottom w:val="single" w:sz="4" w:space="0" w:color="A6A6A6"/>
            </w:tcBorders>
          </w:tcPr>
          <w:p w14:paraId="387DD9C7" w14:textId="14E79DEB" w:rsidR="002A4973" w:rsidRPr="002029AF" w:rsidRDefault="002A4973" w:rsidP="002A4973">
            <w:pPr>
              <w:pStyle w:val="ARfintablebodyright"/>
            </w:pPr>
            <w:r w:rsidRPr="00667302">
              <w:t>(26)</w:t>
            </w:r>
          </w:p>
        </w:tc>
        <w:tc>
          <w:tcPr>
            <w:tcW w:w="1132" w:type="dxa"/>
            <w:tcBorders>
              <w:top w:val="single" w:sz="4" w:space="0" w:color="A6A6A6"/>
              <w:bottom w:val="single" w:sz="4" w:space="0" w:color="A6A6A6"/>
            </w:tcBorders>
            <w:hideMark/>
          </w:tcPr>
          <w:p w14:paraId="34359EB7" w14:textId="2813EF77" w:rsidR="002A4973" w:rsidRPr="002029AF" w:rsidRDefault="002A4973" w:rsidP="002A4973">
            <w:pPr>
              <w:pStyle w:val="ARfintablebodyright"/>
            </w:pPr>
            <w:r w:rsidRPr="00667302">
              <w:t>(26)</w:t>
            </w:r>
          </w:p>
        </w:tc>
        <w:tc>
          <w:tcPr>
            <w:tcW w:w="1134" w:type="dxa"/>
            <w:tcBorders>
              <w:top w:val="single" w:sz="4" w:space="0" w:color="A6A6A6"/>
              <w:bottom w:val="single" w:sz="4" w:space="0" w:color="A6A6A6"/>
            </w:tcBorders>
            <w:hideMark/>
          </w:tcPr>
          <w:p w14:paraId="08169F36" w14:textId="01D30F07" w:rsidR="002A4973" w:rsidRPr="002029AF" w:rsidRDefault="002A4973" w:rsidP="002A4973">
            <w:pPr>
              <w:pStyle w:val="ARfintablebodyright"/>
            </w:pPr>
            <w:r w:rsidRPr="00667302">
              <w:t>(39.4)</w:t>
            </w:r>
          </w:p>
        </w:tc>
        <w:tc>
          <w:tcPr>
            <w:tcW w:w="722" w:type="dxa"/>
            <w:tcBorders>
              <w:top w:val="single" w:sz="4" w:space="0" w:color="A6A6A6"/>
              <w:bottom w:val="single" w:sz="4" w:space="0" w:color="A6A6A6"/>
            </w:tcBorders>
            <w:hideMark/>
          </w:tcPr>
          <w:p w14:paraId="66E68E17" w14:textId="77777777" w:rsidR="002A4973" w:rsidRPr="002029AF" w:rsidRDefault="002A4973" w:rsidP="002A4973">
            <w:pPr>
              <w:pStyle w:val="ARfintablebodyright"/>
            </w:pPr>
          </w:p>
        </w:tc>
      </w:tr>
      <w:tr w:rsidR="002A4973" w:rsidRPr="002029AF" w14:paraId="54B8FD1D" w14:textId="77777777" w:rsidTr="002A4973">
        <w:trPr>
          <w:cantSplit w:val="0"/>
        </w:trPr>
        <w:tc>
          <w:tcPr>
            <w:tcW w:w="4411" w:type="dxa"/>
            <w:tcBorders>
              <w:top w:val="single" w:sz="4" w:space="0" w:color="A6A6A6"/>
            </w:tcBorders>
            <w:hideMark/>
          </w:tcPr>
          <w:p w14:paraId="53A9D5B7" w14:textId="6B111B98" w:rsidR="002A4973" w:rsidRPr="002029AF" w:rsidRDefault="002A4973" w:rsidP="002A4973">
            <w:pPr>
              <w:pStyle w:val="ARfintablebody"/>
            </w:pPr>
            <w:r w:rsidRPr="00667302">
              <w:t>Other gains/(losses)from other economic flows</w:t>
            </w:r>
          </w:p>
        </w:tc>
        <w:tc>
          <w:tcPr>
            <w:tcW w:w="1117" w:type="dxa"/>
            <w:tcBorders>
              <w:top w:val="single" w:sz="4" w:space="0" w:color="A6A6A6"/>
            </w:tcBorders>
            <w:hideMark/>
          </w:tcPr>
          <w:p w14:paraId="3578C212" w14:textId="18381622" w:rsidR="002A4973" w:rsidRPr="002029AF" w:rsidRDefault="002A4973" w:rsidP="002A4973">
            <w:pPr>
              <w:pStyle w:val="ARfintablebodyright"/>
            </w:pPr>
            <w:r w:rsidRPr="00667302">
              <w:t>224</w:t>
            </w:r>
          </w:p>
        </w:tc>
        <w:tc>
          <w:tcPr>
            <w:tcW w:w="1123" w:type="dxa"/>
            <w:tcBorders>
              <w:top w:val="single" w:sz="4" w:space="0" w:color="A6A6A6"/>
            </w:tcBorders>
          </w:tcPr>
          <w:p w14:paraId="76367407" w14:textId="3AB5C45C" w:rsidR="002A4973" w:rsidRPr="002029AF" w:rsidRDefault="002A4973" w:rsidP="002A4973">
            <w:pPr>
              <w:pStyle w:val="ARfintablebodyright"/>
            </w:pPr>
            <w:r w:rsidRPr="00667302">
              <w:t>(8)</w:t>
            </w:r>
          </w:p>
        </w:tc>
        <w:tc>
          <w:tcPr>
            <w:tcW w:w="1132" w:type="dxa"/>
            <w:tcBorders>
              <w:top w:val="single" w:sz="4" w:space="0" w:color="A6A6A6"/>
            </w:tcBorders>
            <w:hideMark/>
          </w:tcPr>
          <w:p w14:paraId="74B9F84A" w14:textId="6BA9564E" w:rsidR="002A4973" w:rsidRPr="002029AF" w:rsidRDefault="002A4973" w:rsidP="002A4973">
            <w:pPr>
              <w:pStyle w:val="ARfintablebodyright"/>
            </w:pPr>
            <w:r w:rsidRPr="00667302">
              <w:t>(8)</w:t>
            </w:r>
          </w:p>
        </w:tc>
        <w:tc>
          <w:tcPr>
            <w:tcW w:w="1134" w:type="dxa"/>
            <w:tcBorders>
              <w:top w:val="single" w:sz="4" w:space="0" w:color="A6A6A6"/>
            </w:tcBorders>
            <w:hideMark/>
          </w:tcPr>
          <w:p w14:paraId="1D77213A" w14:textId="5394F6EA" w:rsidR="002A4973" w:rsidRPr="002029AF" w:rsidRDefault="002A4973" w:rsidP="002A4973">
            <w:pPr>
              <w:pStyle w:val="ARfintablebodyright"/>
            </w:pPr>
            <w:r w:rsidRPr="00667302">
              <w:t>(3,026.1)</w:t>
            </w:r>
          </w:p>
        </w:tc>
        <w:tc>
          <w:tcPr>
            <w:tcW w:w="722" w:type="dxa"/>
            <w:tcBorders>
              <w:top w:val="single" w:sz="4" w:space="0" w:color="A6A6A6"/>
            </w:tcBorders>
            <w:hideMark/>
          </w:tcPr>
          <w:p w14:paraId="7E4268BC" w14:textId="77777777" w:rsidR="002A4973" w:rsidRPr="002029AF" w:rsidRDefault="002A4973" w:rsidP="002A4973">
            <w:pPr>
              <w:pStyle w:val="ARfintablebodyright"/>
            </w:pPr>
          </w:p>
        </w:tc>
      </w:tr>
      <w:tr w:rsidR="002A4973" w:rsidRPr="002029AF" w14:paraId="1A29C053" w14:textId="77777777" w:rsidTr="002A4973">
        <w:trPr>
          <w:cantSplit w:val="0"/>
        </w:trPr>
        <w:tc>
          <w:tcPr>
            <w:tcW w:w="4411" w:type="dxa"/>
            <w:hideMark/>
          </w:tcPr>
          <w:p w14:paraId="57D33573" w14:textId="3C0F9C91" w:rsidR="002A4973" w:rsidRPr="002029AF" w:rsidRDefault="002A4973" w:rsidP="002A4973">
            <w:pPr>
              <w:pStyle w:val="ARfintablebodybold"/>
            </w:pPr>
            <w:r w:rsidRPr="00667302">
              <w:t>Total other economic flows included in net result</w:t>
            </w:r>
          </w:p>
        </w:tc>
        <w:tc>
          <w:tcPr>
            <w:tcW w:w="1117" w:type="dxa"/>
            <w:hideMark/>
          </w:tcPr>
          <w:p w14:paraId="5CB6568A" w14:textId="2780E2E2" w:rsidR="002A4973" w:rsidRPr="002029AF" w:rsidRDefault="002A4973" w:rsidP="002A4973">
            <w:pPr>
              <w:pStyle w:val="ARfintablebodyrightbold"/>
            </w:pPr>
            <w:r w:rsidRPr="00667302">
              <w:t>222</w:t>
            </w:r>
          </w:p>
        </w:tc>
        <w:tc>
          <w:tcPr>
            <w:tcW w:w="1123" w:type="dxa"/>
          </w:tcPr>
          <w:p w14:paraId="11D34AC8" w14:textId="168CB565" w:rsidR="002A4973" w:rsidRPr="002029AF" w:rsidRDefault="002A4973" w:rsidP="002A4973">
            <w:pPr>
              <w:pStyle w:val="ARfintablebodyrightbold"/>
            </w:pPr>
            <w:r w:rsidRPr="00667302">
              <w:t>(33)</w:t>
            </w:r>
          </w:p>
        </w:tc>
        <w:tc>
          <w:tcPr>
            <w:tcW w:w="1132" w:type="dxa"/>
            <w:hideMark/>
          </w:tcPr>
          <w:p w14:paraId="5A22DD33" w14:textId="3A67B7C1" w:rsidR="002A4973" w:rsidRPr="002029AF" w:rsidRDefault="002A4973" w:rsidP="002A4973">
            <w:pPr>
              <w:pStyle w:val="ARfintablebodyrightbold"/>
            </w:pPr>
            <w:r w:rsidRPr="00667302">
              <w:t>(37)</w:t>
            </w:r>
          </w:p>
        </w:tc>
        <w:tc>
          <w:tcPr>
            <w:tcW w:w="1134" w:type="dxa"/>
            <w:hideMark/>
          </w:tcPr>
          <w:p w14:paraId="068CCB0B" w14:textId="230323DE" w:rsidR="002A4973" w:rsidRPr="002029AF" w:rsidRDefault="002A4973" w:rsidP="002A4973">
            <w:pPr>
              <w:pStyle w:val="ARfintablebodyrightbold"/>
            </w:pPr>
            <w:r w:rsidRPr="00667302">
              <w:t>(708.2)</w:t>
            </w:r>
          </w:p>
        </w:tc>
        <w:tc>
          <w:tcPr>
            <w:tcW w:w="722" w:type="dxa"/>
            <w:hideMark/>
          </w:tcPr>
          <w:p w14:paraId="62560C7B" w14:textId="77777777" w:rsidR="002A4973" w:rsidRPr="002029AF" w:rsidRDefault="002A4973" w:rsidP="002A4973">
            <w:pPr>
              <w:pStyle w:val="ARfintablebodyright"/>
            </w:pPr>
          </w:p>
        </w:tc>
      </w:tr>
      <w:tr w:rsidR="002A4973" w:rsidRPr="002029AF" w14:paraId="304172A3" w14:textId="77777777" w:rsidTr="002A4973">
        <w:trPr>
          <w:cantSplit w:val="0"/>
        </w:trPr>
        <w:tc>
          <w:tcPr>
            <w:tcW w:w="4411" w:type="dxa"/>
            <w:tcBorders>
              <w:bottom w:val="single" w:sz="4" w:space="0" w:color="auto"/>
            </w:tcBorders>
            <w:hideMark/>
          </w:tcPr>
          <w:p w14:paraId="4EC3EA5F" w14:textId="3A7A5DEF" w:rsidR="002A4973" w:rsidRPr="002029AF" w:rsidRDefault="002A4973" w:rsidP="002A4973">
            <w:pPr>
              <w:pStyle w:val="ARfintablebodybold"/>
            </w:pPr>
            <w:r w:rsidRPr="00667302">
              <w:t>Net result</w:t>
            </w:r>
          </w:p>
        </w:tc>
        <w:tc>
          <w:tcPr>
            <w:tcW w:w="1117" w:type="dxa"/>
            <w:tcBorders>
              <w:bottom w:val="single" w:sz="4" w:space="0" w:color="auto"/>
            </w:tcBorders>
            <w:hideMark/>
          </w:tcPr>
          <w:p w14:paraId="4D031D85" w14:textId="57452404" w:rsidR="002A4973" w:rsidRPr="002029AF" w:rsidRDefault="002A4973" w:rsidP="002A4973">
            <w:pPr>
              <w:pStyle w:val="ARfintablebodyrightbold"/>
            </w:pPr>
            <w:r w:rsidRPr="00667302">
              <w:t>930</w:t>
            </w:r>
          </w:p>
        </w:tc>
        <w:tc>
          <w:tcPr>
            <w:tcW w:w="1123" w:type="dxa"/>
            <w:tcBorders>
              <w:bottom w:val="single" w:sz="4" w:space="0" w:color="auto"/>
            </w:tcBorders>
          </w:tcPr>
          <w:p w14:paraId="003FEFEF" w14:textId="12839E39" w:rsidR="002A4973" w:rsidRPr="002029AF" w:rsidRDefault="002A4973" w:rsidP="002A4973">
            <w:pPr>
              <w:pStyle w:val="ARfintablebodyrightbold"/>
            </w:pPr>
            <w:r w:rsidRPr="00667302">
              <w:t>(52)</w:t>
            </w:r>
          </w:p>
        </w:tc>
        <w:tc>
          <w:tcPr>
            <w:tcW w:w="1132" w:type="dxa"/>
            <w:tcBorders>
              <w:bottom w:val="single" w:sz="4" w:space="0" w:color="auto"/>
            </w:tcBorders>
            <w:hideMark/>
          </w:tcPr>
          <w:p w14:paraId="0B905D72" w14:textId="321BB84E" w:rsidR="002A4973" w:rsidRPr="002029AF" w:rsidRDefault="002A4973" w:rsidP="002A4973">
            <w:pPr>
              <w:pStyle w:val="ARfintablebodyrightbold"/>
            </w:pPr>
            <w:r w:rsidRPr="00667302">
              <w:t>(526)</w:t>
            </w:r>
          </w:p>
        </w:tc>
        <w:tc>
          <w:tcPr>
            <w:tcW w:w="1134" w:type="dxa"/>
            <w:tcBorders>
              <w:bottom w:val="single" w:sz="4" w:space="0" w:color="auto"/>
            </w:tcBorders>
            <w:hideMark/>
          </w:tcPr>
          <w:p w14:paraId="3C5DA7FF" w14:textId="2C465ED8" w:rsidR="002A4973" w:rsidRPr="002029AF" w:rsidRDefault="002A4973" w:rsidP="002A4973">
            <w:pPr>
              <w:pStyle w:val="ARfintablebodyrightbold"/>
            </w:pPr>
            <w:r w:rsidRPr="00667302">
              <w:t>(276.7)</w:t>
            </w:r>
          </w:p>
        </w:tc>
        <w:tc>
          <w:tcPr>
            <w:tcW w:w="722" w:type="dxa"/>
            <w:tcBorders>
              <w:bottom w:val="single" w:sz="4" w:space="0" w:color="auto"/>
            </w:tcBorders>
            <w:hideMark/>
          </w:tcPr>
          <w:p w14:paraId="7002A359" w14:textId="77777777" w:rsidR="002A4973" w:rsidRPr="002029AF" w:rsidRDefault="002A4973" w:rsidP="002A4973">
            <w:pPr>
              <w:pStyle w:val="ARfintablebodyright"/>
            </w:pPr>
          </w:p>
        </w:tc>
      </w:tr>
      <w:tr w:rsidR="002A4973" w:rsidRPr="002029AF" w14:paraId="404353B1" w14:textId="77777777" w:rsidTr="002A4973">
        <w:trPr>
          <w:cantSplit w:val="0"/>
        </w:trPr>
        <w:tc>
          <w:tcPr>
            <w:tcW w:w="9639" w:type="dxa"/>
            <w:gridSpan w:val="6"/>
            <w:tcBorders>
              <w:top w:val="single" w:sz="4" w:space="0" w:color="auto"/>
              <w:bottom w:val="single" w:sz="4" w:space="0" w:color="A6A6A6"/>
            </w:tcBorders>
          </w:tcPr>
          <w:p w14:paraId="59D7A0DE" w14:textId="055FBDB5" w:rsidR="002A4973" w:rsidRPr="002029AF" w:rsidRDefault="002A4973" w:rsidP="002A4973">
            <w:pPr>
              <w:pStyle w:val="ARfintablebodybold"/>
            </w:pPr>
            <w:r w:rsidRPr="00667302">
              <w:t>Other economic flows – other comprehensive income</w:t>
            </w:r>
          </w:p>
        </w:tc>
      </w:tr>
      <w:tr w:rsidR="002A4973" w:rsidRPr="002029AF" w14:paraId="380B1E2A" w14:textId="77777777" w:rsidTr="002A4973">
        <w:trPr>
          <w:cantSplit w:val="0"/>
        </w:trPr>
        <w:tc>
          <w:tcPr>
            <w:tcW w:w="4411" w:type="dxa"/>
            <w:tcBorders>
              <w:top w:val="single" w:sz="4" w:space="0" w:color="A6A6A6"/>
              <w:bottom w:val="single" w:sz="4" w:space="0" w:color="A6A6A6"/>
            </w:tcBorders>
            <w:hideMark/>
          </w:tcPr>
          <w:p w14:paraId="71EE8E7B" w14:textId="4D5420EE" w:rsidR="002A4973" w:rsidRPr="002029AF" w:rsidRDefault="002A4973" w:rsidP="002A4973">
            <w:pPr>
              <w:pStyle w:val="ARfintablebody"/>
            </w:pPr>
            <w:r w:rsidRPr="00667302">
              <w:t>Adjustment to accumulated surplus/(deficit) due to a change in accounting policy</w:t>
            </w:r>
          </w:p>
        </w:tc>
        <w:tc>
          <w:tcPr>
            <w:tcW w:w="1117" w:type="dxa"/>
            <w:tcBorders>
              <w:top w:val="single" w:sz="4" w:space="0" w:color="A6A6A6"/>
              <w:bottom w:val="single" w:sz="4" w:space="0" w:color="A6A6A6"/>
            </w:tcBorders>
            <w:hideMark/>
          </w:tcPr>
          <w:p w14:paraId="67DCF513" w14:textId="6350A062" w:rsidR="002A4973" w:rsidRPr="002029AF" w:rsidRDefault="002A4973" w:rsidP="002A4973">
            <w:pPr>
              <w:pStyle w:val="ARfintablebodyright"/>
            </w:pPr>
            <w:r w:rsidRPr="00667302">
              <w:t>88</w:t>
            </w:r>
          </w:p>
        </w:tc>
        <w:tc>
          <w:tcPr>
            <w:tcW w:w="1123" w:type="dxa"/>
            <w:tcBorders>
              <w:top w:val="single" w:sz="4" w:space="0" w:color="A6A6A6"/>
              <w:bottom w:val="single" w:sz="4" w:space="0" w:color="A6A6A6"/>
            </w:tcBorders>
          </w:tcPr>
          <w:p w14:paraId="1376945D" w14:textId="2725B56E" w:rsidR="002A4973" w:rsidRPr="002029AF" w:rsidRDefault="002A4973" w:rsidP="002A4973">
            <w:pPr>
              <w:pStyle w:val="ARfintablebodyright"/>
            </w:pPr>
            <w:r w:rsidRPr="00667302">
              <w:t>–</w:t>
            </w:r>
          </w:p>
        </w:tc>
        <w:tc>
          <w:tcPr>
            <w:tcW w:w="1132" w:type="dxa"/>
            <w:tcBorders>
              <w:top w:val="single" w:sz="4" w:space="0" w:color="A6A6A6"/>
              <w:bottom w:val="single" w:sz="4" w:space="0" w:color="A6A6A6"/>
            </w:tcBorders>
            <w:hideMark/>
          </w:tcPr>
          <w:p w14:paraId="22B2C56D" w14:textId="6CD0321A" w:rsidR="002A4973" w:rsidRPr="002029AF" w:rsidRDefault="002A4973" w:rsidP="002A4973">
            <w:pPr>
              <w:pStyle w:val="ARfintablebodyright"/>
            </w:pPr>
            <w:r w:rsidRPr="00667302">
              <w:t>–</w:t>
            </w:r>
          </w:p>
        </w:tc>
        <w:tc>
          <w:tcPr>
            <w:tcW w:w="1134" w:type="dxa"/>
            <w:tcBorders>
              <w:top w:val="single" w:sz="4" w:space="0" w:color="A6A6A6"/>
              <w:bottom w:val="single" w:sz="4" w:space="0" w:color="A6A6A6"/>
            </w:tcBorders>
            <w:hideMark/>
          </w:tcPr>
          <w:p w14:paraId="3F4CB32D" w14:textId="606995EF" w:rsidR="002A4973" w:rsidRPr="002029AF" w:rsidRDefault="002A4973" w:rsidP="002A4973">
            <w:pPr>
              <w:pStyle w:val="ARfintablebodyright"/>
            </w:pPr>
            <w:r w:rsidRPr="00667302">
              <w:t>–</w:t>
            </w:r>
          </w:p>
        </w:tc>
        <w:tc>
          <w:tcPr>
            <w:tcW w:w="722" w:type="dxa"/>
            <w:tcBorders>
              <w:top w:val="single" w:sz="4" w:space="0" w:color="A6A6A6"/>
              <w:bottom w:val="single" w:sz="4" w:space="0" w:color="A6A6A6"/>
            </w:tcBorders>
            <w:hideMark/>
          </w:tcPr>
          <w:p w14:paraId="7C82913F" w14:textId="77777777" w:rsidR="002A4973" w:rsidRPr="002029AF" w:rsidRDefault="002A4973" w:rsidP="002A4973">
            <w:pPr>
              <w:pStyle w:val="ARfintablebodyright"/>
            </w:pPr>
          </w:p>
        </w:tc>
      </w:tr>
      <w:tr w:rsidR="002A4973" w:rsidRPr="002029AF" w14:paraId="1E637FA7" w14:textId="77777777" w:rsidTr="002A4973">
        <w:trPr>
          <w:cantSplit w:val="0"/>
        </w:trPr>
        <w:tc>
          <w:tcPr>
            <w:tcW w:w="4411" w:type="dxa"/>
            <w:tcBorders>
              <w:top w:val="single" w:sz="4" w:space="0" w:color="A6A6A6"/>
              <w:bottom w:val="single" w:sz="4" w:space="0" w:color="A6A6A6"/>
            </w:tcBorders>
            <w:hideMark/>
          </w:tcPr>
          <w:p w14:paraId="1D9109E7" w14:textId="0A6C3717" w:rsidR="002A4973" w:rsidRPr="00AB6C0B" w:rsidRDefault="002A4973" w:rsidP="002A4973">
            <w:pPr>
              <w:pStyle w:val="ARfintablebody"/>
              <w:rPr>
                <w:lang w:val="fr-FR"/>
              </w:rPr>
            </w:pPr>
            <w:r w:rsidRPr="00EB6B59">
              <w:rPr>
                <w:lang w:val="fr-FR"/>
              </w:rPr>
              <w:t>Changes in non-financial asset revaluation surplus</w:t>
            </w:r>
          </w:p>
        </w:tc>
        <w:tc>
          <w:tcPr>
            <w:tcW w:w="1117" w:type="dxa"/>
            <w:tcBorders>
              <w:top w:val="single" w:sz="4" w:space="0" w:color="A6A6A6"/>
              <w:bottom w:val="single" w:sz="4" w:space="0" w:color="A6A6A6"/>
            </w:tcBorders>
            <w:hideMark/>
          </w:tcPr>
          <w:p w14:paraId="603591D2" w14:textId="7411666A" w:rsidR="002A4973" w:rsidRPr="002029AF" w:rsidRDefault="002A4973" w:rsidP="002A4973">
            <w:pPr>
              <w:pStyle w:val="ARfintablebodyright"/>
            </w:pPr>
            <w:r w:rsidRPr="00667302">
              <w:t>312</w:t>
            </w:r>
          </w:p>
        </w:tc>
        <w:tc>
          <w:tcPr>
            <w:tcW w:w="1123" w:type="dxa"/>
            <w:tcBorders>
              <w:top w:val="single" w:sz="4" w:space="0" w:color="A6A6A6"/>
              <w:bottom w:val="single" w:sz="4" w:space="0" w:color="A6A6A6"/>
            </w:tcBorders>
          </w:tcPr>
          <w:p w14:paraId="29FAA87E" w14:textId="5A92F80D" w:rsidR="002A4973" w:rsidRPr="002029AF" w:rsidRDefault="002A4973" w:rsidP="002A4973">
            <w:pPr>
              <w:pStyle w:val="ARfintablebodyright"/>
            </w:pPr>
            <w:r w:rsidRPr="00667302">
              <w:t>9</w:t>
            </w:r>
          </w:p>
        </w:tc>
        <w:tc>
          <w:tcPr>
            <w:tcW w:w="1132" w:type="dxa"/>
            <w:tcBorders>
              <w:top w:val="single" w:sz="4" w:space="0" w:color="A6A6A6"/>
              <w:bottom w:val="single" w:sz="4" w:space="0" w:color="A6A6A6"/>
            </w:tcBorders>
            <w:hideMark/>
          </w:tcPr>
          <w:p w14:paraId="02281A42" w14:textId="4BAB52ED" w:rsidR="002A4973" w:rsidRPr="002029AF" w:rsidRDefault="002A4973" w:rsidP="002A4973">
            <w:pPr>
              <w:pStyle w:val="ARfintablebodyright"/>
            </w:pPr>
            <w:r w:rsidRPr="00667302">
              <w:t>9</w:t>
            </w:r>
          </w:p>
        </w:tc>
        <w:tc>
          <w:tcPr>
            <w:tcW w:w="1134" w:type="dxa"/>
            <w:tcBorders>
              <w:top w:val="single" w:sz="4" w:space="0" w:color="A6A6A6"/>
              <w:bottom w:val="single" w:sz="4" w:space="0" w:color="A6A6A6"/>
            </w:tcBorders>
            <w:hideMark/>
          </w:tcPr>
          <w:p w14:paraId="5783F7D8" w14:textId="3FC2CFA6" w:rsidR="002A4973" w:rsidRPr="002029AF" w:rsidRDefault="002A4973" w:rsidP="002A4973">
            <w:pPr>
              <w:pStyle w:val="ARfintablebodyright"/>
            </w:pPr>
            <w:r w:rsidRPr="00667302">
              <w:t>3,384.9</w:t>
            </w:r>
          </w:p>
        </w:tc>
        <w:tc>
          <w:tcPr>
            <w:tcW w:w="722" w:type="dxa"/>
            <w:tcBorders>
              <w:top w:val="single" w:sz="4" w:space="0" w:color="A6A6A6"/>
              <w:bottom w:val="single" w:sz="4" w:space="0" w:color="A6A6A6"/>
            </w:tcBorders>
            <w:hideMark/>
          </w:tcPr>
          <w:p w14:paraId="7CC7F734" w14:textId="77777777" w:rsidR="002A4973" w:rsidRPr="002029AF" w:rsidRDefault="002A4973" w:rsidP="002A4973">
            <w:pPr>
              <w:pStyle w:val="ARfintablebodyright"/>
            </w:pPr>
          </w:p>
        </w:tc>
      </w:tr>
      <w:tr w:rsidR="002A4973" w:rsidRPr="002029AF" w14:paraId="3A645637" w14:textId="77777777" w:rsidTr="002A4973">
        <w:trPr>
          <w:cantSplit w:val="0"/>
        </w:trPr>
        <w:tc>
          <w:tcPr>
            <w:tcW w:w="4411" w:type="dxa"/>
            <w:tcBorders>
              <w:top w:val="single" w:sz="4" w:space="0" w:color="A6A6A6"/>
              <w:bottom w:val="single" w:sz="4" w:space="0" w:color="A6A6A6"/>
            </w:tcBorders>
            <w:hideMark/>
          </w:tcPr>
          <w:p w14:paraId="6A24E396" w14:textId="64A63C0F" w:rsidR="002A4973" w:rsidRPr="002029AF" w:rsidRDefault="002A4973" w:rsidP="002A4973">
            <w:pPr>
              <w:pStyle w:val="ARfintablebody"/>
            </w:pPr>
            <w:r w:rsidRPr="00667302">
              <w:t>Financial assets available-for-sale reserve</w:t>
            </w:r>
          </w:p>
        </w:tc>
        <w:tc>
          <w:tcPr>
            <w:tcW w:w="1117" w:type="dxa"/>
            <w:tcBorders>
              <w:top w:val="single" w:sz="4" w:space="0" w:color="A6A6A6"/>
              <w:bottom w:val="single" w:sz="4" w:space="0" w:color="A6A6A6"/>
            </w:tcBorders>
            <w:hideMark/>
          </w:tcPr>
          <w:p w14:paraId="243BDAFE" w14:textId="37735BFF" w:rsidR="002A4973" w:rsidRPr="002029AF" w:rsidRDefault="002A4973" w:rsidP="002A4973">
            <w:pPr>
              <w:pStyle w:val="ARfintablebodyright"/>
            </w:pPr>
            <w:r w:rsidRPr="00667302">
              <w:t>3</w:t>
            </w:r>
          </w:p>
        </w:tc>
        <w:tc>
          <w:tcPr>
            <w:tcW w:w="1123" w:type="dxa"/>
            <w:tcBorders>
              <w:top w:val="single" w:sz="4" w:space="0" w:color="A6A6A6"/>
              <w:bottom w:val="single" w:sz="4" w:space="0" w:color="A6A6A6"/>
            </w:tcBorders>
          </w:tcPr>
          <w:p w14:paraId="052C87C4" w14:textId="5F9D19EE" w:rsidR="002A4973" w:rsidRPr="002029AF" w:rsidRDefault="002A4973" w:rsidP="002A4973">
            <w:pPr>
              <w:pStyle w:val="ARfintablebodyright"/>
            </w:pPr>
            <w:r w:rsidRPr="00667302">
              <w:t>–</w:t>
            </w:r>
          </w:p>
        </w:tc>
        <w:tc>
          <w:tcPr>
            <w:tcW w:w="1132" w:type="dxa"/>
            <w:tcBorders>
              <w:top w:val="single" w:sz="4" w:space="0" w:color="A6A6A6"/>
              <w:bottom w:val="single" w:sz="4" w:space="0" w:color="A6A6A6"/>
            </w:tcBorders>
            <w:hideMark/>
          </w:tcPr>
          <w:p w14:paraId="274D1286" w14:textId="661AB9C0" w:rsidR="002A4973" w:rsidRPr="002029AF" w:rsidRDefault="002A4973" w:rsidP="002A4973">
            <w:pPr>
              <w:pStyle w:val="ARfintablebodyright"/>
            </w:pPr>
            <w:r w:rsidRPr="00667302">
              <w:t>–</w:t>
            </w:r>
          </w:p>
        </w:tc>
        <w:tc>
          <w:tcPr>
            <w:tcW w:w="1134" w:type="dxa"/>
            <w:tcBorders>
              <w:top w:val="single" w:sz="4" w:space="0" w:color="A6A6A6"/>
              <w:bottom w:val="single" w:sz="4" w:space="0" w:color="A6A6A6"/>
            </w:tcBorders>
            <w:hideMark/>
          </w:tcPr>
          <w:p w14:paraId="52CC66C3" w14:textId="1906D5FF" w:rsidR="002A4973" w:rsidRPr="002029AF" w:rsidRDefault="002A4973" w:rsidP="002A4973">
            <w:pPr>
              <w:pStyle w:val="ARfintablebodyright"/>
            </w:pPr>
            <w:r w:rsidRPr="00667302">
              <w:t>–</w:t>
            </w:r>
          </w:p>
        </w:tc>
        <w:tc>
          <w:tcPr>
            <w:tcW w:w="722" w:type="dxa"/>
            <w:tcBorders>
              <w:top w:val="single" w:sz="4" w:space="0" w:color="A6A6A6"/>
              <w:bottom w:val="single" w:sz="4" w:space="0" w:color="A6A6A6"/>
            </w:tcBorders>
            <w:hideMark/>
          </w:tcPr>
          <w:p w14:paraId="068F16A4" w14:textId="77777777" w:rsidR="002A4973" w:rsidRPr="002029AF" w:rsidRDefault="002A4973" w:rsidP="002A4973">
            <w:pPr>
              <w:pStyle w:val="ARfintablebodyright"/>
            </w:pPr>
          </w:p>
        </w:tc>
      </w:tr>
      <w:tr w:rsidR="002A4973" w:rsidRPr="002029AF" w14:paraId="798F09FB" w14:textId="77777777" w:rsidTr="002A4973">
        <w:trPr>
          <w:cantSplit w:val="0"/>
        </w:trPr>
        <w:tc>
          <w:tcPr>
            <w:tcW w:w="4411" w:type="dxa"/>
            <w:tcBorders>
              <w:top w:val="single" w:sz="4" w:space="0" w:color="A6A6A6"/>
            </w:tcBorders>
            <w:hideMark/>
          </w:tcPr>
          <w:p w14:paraId="364C3E25" w14:textId="2A20AFBB" w:rsidR="002A4973" w:rsidRPr="002029AF" w:rsidRDefault="002A4973" w:rsidP="002A4973">
            <w:pPr>
              <w:pStyle w:val="ARfintablebody"/>
            </w:pPr>
            <w:r w:rsidRPr="00667302">
              <w:t>Other</w:t>
            </w:r>
          </w:p>
        </w:tc>
        <w:tc>
          <w:tcPr>
            <w:tcW w:w="1117" w:type="dxa"/>
            <w:tcBorders>
              <w:top w:val="single" w:sz="4" w:space="0" w:color="A6A6A6"/>
            </w:tcBorders>
            <w:hideMark/>
          </w:tcPr>
          <w:p w14:paraId="25F8D3D4" w14:textId="4EFA131C" w:rsidR="002A4973" w:rsidRPr="002029AF" w:rsidRDefault="002A4973" w:rsidP="002A4973">
            <w:pPr>
              <w:pStyle w:val="ARfintablebodyright"/>
            </w:pPr>
            <w:r w:rsidRPr="00667302">
              <w:t>68</w:t>
            </w:r>
          </w:p>
        </w:tc>
        <w:tc>
          <w:tcPr>
            <w:tcW w:w="1123" w:type="dxa"/>
            <w:tcBorders>
              <w:top w:val="single" w:sz="4" w:space="0" w:color="A6A6A6"/>
            </w:tcBorders>
          </w:tcPr>
          <w:p w14:paraId="608E6FF3" w14:textId="6ABC0810" w:rsidR="002A4973" w:rsidRPr="002029AF" w:rsidRDefault="002A4973" w:rsidP="002A4973">
            <w:pPr>
              <w:pStyle w:val="ARfintablebodyright"/>
            </w:pPr>
            <w:r w:rsidRPr="00667302">
              <w:t>–</w:t>
            </w:r>
          </w:p>
        </w:tc>
        <w:tc>
          <w:tcPr>
            <w:tcW w:w="1132" w:type="dxa"/>
            <w:tcBorders>
              <w:top w:val="single" w:sz="4" w:space="0" w:color="A6A6A6"/>
            </w:tcBorders>
            <w:hideMark/>
          </w:tcPr>
          <w:p w14:paraId="55E3434E" w14:textId="4F56CC81" w:rsidR="002A4973" w:rsidRPr="002029AF" w:rsidRDefault="002A4973" w:rsidP="002A4973">
            <w:pPr>
              <w:pStyle w:val="ARfintablebodyright"/>
            </w:pPr>
            <w:r w:rsidRPr="00667302">
              <w:t>–</w:t>
            </w:r>
          </w:p>
        </w:tc>
        <w:tc>
          <w:tcPr>
            <w:tcW w:w="1134" w:type="dxa"/>
            <w:tcBorders>
              <w:top w:val="single" w:sz="4" w:space="0" w:color="A6A6A6"/>
            </w:tcBorders>
            <w:hideMark/>
          </w:tcPr>
          <w:p w14:paraId="0A99F8A2" w14:textId="52F84FD6" w:rsidR="002A4973" w:rsidRPr="002029AF" w:rsidRDefault="002A4973" w:rsidP="002A4973">
            <w:pPr>
              <w:pStyle w:val="ARfintablebodyright"/>
            </w:pPr>
            <w:r w:rsidRPr="00667302">
              <w:t>–</w:t>
            </w:r>
          </w:p>
        </w:tc>
        <w:tc>
          <w:tcPr>
            <w:tcW w:w="722" w:type="dxa"/>
            <w:tcBorders>
              <w:top w:val="single" w:sz="4" w:space="0" w:color="A6A6A6"/>
            </w:tcBorders>
            <w:hideMark/>
          </w:tcPr>
          <w:p w14:paraId="4FE4048A" w14:textId="77777777" w:rsidR="002A4973" w:rsidRPr="002029AF" w:rsidRDefault="002A4973" w:rsidP="002A4973">
            <w:pPr>
              <w:pStyle w:val="ARfintablebodyright"/>
            </w:pPr>
          </w:p>
        </w:tc>
      </w:tr>
      <w:tr w:rsidR="002A4973" w:rsidRPr="002029AF" w14:paraId="7DF67817" w14:textId="77777777" w:rsidTr="002A4973">
        <w:trPr>
          <w:cantSplit w:val="0"/>
        </w:trPr>
        <w:tc>
          <w:tcPr>
            <w:tcW w:w="4411" w:type="dxa"/>
            <w:hideMark/>
          </w:tcPr>
          <w:p w14:paraId="7F7ED8F1" w14:textId="0BF61EF2" w:rsidR="002A4973" w:rsidRPr="002029AF" w:rsidRDefault="002A4973" w:rsidP="002A4973">
            <w:pPr>
              <w:pStyle w:val="ARfintablebodybold"/>
            </w:pPr>
            <w:r w:rsidRPr="00667302">
              <w:t>Total other economic flows – other comprehensive income</w:t>
            </w:r>
          </w:p>
        </w:tc>
        <w:tc>
          <w:tcPr>
            <w:tcW w:w="1117" w:type="dxa"/>
            <w:hideMark/>
          </w:tcPr>
          <w:p w14:paraId="40559202" w14:textId="3A4C5E80" w:rsidR="002A4973" w:rsidRPr="002029AF" w:rsidRDefault="002A4973" w:rsidP="002A4973">
            <w:pPr>
              <w:pStyle w:val="ARfintablebodyrightbold"/>
            </w:pPr>
            <w:r w:rsidRPr="00667302">
              <w:t>471.6</w:t>
            </w:r>
          </w:p>
        </w:tc>
        <w:tc>
          <w:tcPr>
            <w:tcW w:w="1123" w:type="dxa"/>
          </w:tcPr>
          <w:p w14:paraId="18E7BCC2" w14:textId="1ED236BC" w:rsidR="002A4973" w:rsidRPr="002029AF" w:rsidRDefault="002A4973" w:rsidP="002A4973">
            <w:pPr>
              <w:pStyle w:val="ARfintablebodyrightbold"/>
            </w:pPr>
            <w:r w:rsidRPr="00667302">
              <w:t>9.0</w:t>
            </w:r>
          </w:p>
        </w:tc>
        <w:tc>
          <w:tcPr>
            <w:tcW w:w="1132" w:type="dxa"/>
            <w:hideMark/>
          </w:tcPr>
          <w:p w14:paraId="2DCF2554" w14:textId="39C87DF0" w:rsidR="002A4973" w:rsidRPr="002029AF" w:rsidRDefault="002A4973" w:rsidP="002A4973">
            <w:pPr>
              <w:pStyle w:val="ARfintablebodyrightbold"/>
            </w:pPr>
            <w:r w:rsidRPr="00667302">
              <w:t>9.0</w:t>
            </w:r>
          </w:p>
        </w:tc>
        <w:tc>
          <w:tcPr>
            <w:tcW w:w="1134" w:type="dxa"/>
            <w:hideMark/>
          </w:tcPr>
          <w:p w14:paraId="7ED7CFBE" w14:textId="5F4F6984" w:rsidR="002A4973" w:rsidRPr="002029AF" w:rsidRDefault="002A4973" w:rsidP="002A4973">
            <w:pPr>
              <w:pStyle w:val="ARfintablebodyrightbold"/>
            </w:pPr>
            <w:r w:rsidRPr="00667302">
              <w:t>5,166.9</w:t>
            </w:r>
          </w:p>
        </w:tc>
        <w:tc>
          <w:tcPr>
            <w:tcW w:w="722" w:type="dxa"/>
            <w:hideMark/>
          </w:tcPr>
          <w:p w14:paraId="3849B01F" w14:textId="77777777" w:rsidR="002A4973" w:rsidRPr="002029AF" w:rsidRDefault="002A4973" w:rsidP="002A4973">
            <w:pPr>
              <w:pStyle w:val="ARfintablebodyright"/>
            </w:pPr>
          </w:p>
        </w:tc>
      </w:tr>
      <w:tr w:rsidR="002A4973" w:rsidRPr="002029AF" w14:paraId="65F31355" w14:textId="77777777" w:rsidTr="002A4973">
        <w:trPr>
          <w:cantSplit w:val="0"/>
        </w:trPr>
        <w:tc>
          <w:tcPr>
            <w:tcW w:w="4411" w:type="dxa"/>
            <w:hideMark/>
          </w:tcPr>
          <w:p w14:paraId="7369FA98" w14:textId="1C5C9951" w:rsidR="002A4973" w:rsidRPr="002029AF" w:rsidRDefault="002A4973" w:rsidP="002A4973">
            <w:pPr>
              <w:pStyle w:val="ARfintablebodybold"/>
            </w:pPr>
            <w:r w:rsidRPr="00667302">
              <w:t>Comprehensive result</w:t>
            </w:r>
          </w:p>
        </w:tc>
        <w:tc>
          <w:tcPr>
            <w:tcW w:w="1117" w:type="dxa"/>
            <w:hideMark/>
          </w:tcPr>
          <w:p w14:paraId="43BF9D51" w14:textId="6B5791F3" w:rsidR="002A4973" w:rsidRPr="002029AF" w:rsidRDefault="002A4973" w:rsidP="002A4973">
            <w:pPr>
              <w:pStyle w:val="ARfintablebodyrightbold"/>
            </w:pPr>
            <w:r w:rsidRPr="00667302">
              <w:t>1,401</w:t>
            </w:r>
          </w:p>
        </w:tc>
        <w:tc>
          <w:tcPr>
            <w:tcW w:w="1123" w:type="dxa"/>
          </w:tcPr>
          <w:p w14:paraId="14F00897" w14:textId="19870F17" w:rsidR="002A4973" w:rsidRPr="002029AF" w:rsidRDefault="002A4973" w:rsidP="002A4973">
            <w:pPr>
              <w:pStyle w:val="ARfintablebodyrightbold"/>
            </w:pPr>
            <w:r w:rsidRPr="00667302">
              <w:t>(43)</w:t>
            </w:r>
          </w:p>
        </w:tc>
        <w:tc>
          <w:tcPr>
            <w:tcW w:w="1132" w:type="dxa"/>
            <w:hideMark/>
          </w:tcPr>
          <w:p w14:paraId="29030F42" w14:textId="4A355790" w:rsidR="002A4973" w:rsidRPr="002029AF" w:rsidRDefault="002A4973" w:rsidP="002A4973">
            <w:pPr>
              <w:pStyle w:val="ARfintablebodyrightbold"/>
            </w:pPr>
            <w:r w:rsidRPr="00667302">
              <w:t>(517)</w:t>
            </w:r>
          </w:p>
        </w:tc>
        <w:tc>
          <w:tcPr>
            <w:tcW w:w="1134" w:type="dxa"/>
            <w:hideMark/>
          </w:tcPr>
          <w:p w14:paraId="756D20DA" w14:textId="23E4CDBC" w:rsidR="002A4973" w:rsidRPr="002029AF" w:rsidRDefault="002A4973" w:rsidP="002A4973">
            <w:pPr>
              <w:pStyle w:val="ARfintablebodyrightbold"/>
            </w:pPr>
            <w:r w:rsidRPr="00667302">
              <w:t>(370.9)</w:t>
            </w:r>
          </w:p>
        </w:tc>
        <w:tc>
          <w:tcPr>
            <w:tcW w:w="722" w:type="dxa"/>
            <w:hideMark/>
          </w:tcPr>
          <w:p w14:paraId="76924F24" w14:textId="77777777" w:rsidR="002A4973" w:rsidRPr="002029AF" w:rsidRDefault="002A4973" w:rsidP="002A4973">
            <w:pPr>
              <w:pStyle w:val="ARfintablebodyright"/>
            </w:pPr>
          </w:p>
        </w:tc>
      </w:tr>
    </w:tbl>
    <w:p w14:paraId="62A09475" w14:textId="0A8669E3" w:rsidR="002A4973" w:rsidRDefault="002A4973" w:rsidP="003B1F81">
      <w:pPr>
        <w:pStyle w:val="ARtablefootnotealpha"/>
        <w:numPr>
          <w:ilvl w:val="0"/>
          <w:numId w:val="30"/>
        </w:numPr>
      </w:pPr>
      <w:r w:rsidRPr="00BB7DB9">
        <w:t>The 2020</w:t>
      </w:r>
      <w:r>
        <w:t>–</w:t>
      </w:r>
      <w:r w:rsidRPr="00BB7DB9">
        <w:t>21 Revised Budget reflects the impact of the machinery of government changes whereby the Child Protection, Prevention of Family Violence, Housing and Disability functions were transferred</w:t>
      </w:r>
      <w:r>
        <w:t xml:space="preserve"> </w:t>
      </w:r>
      <w:r w:rsidRPr="00BB7DB9">
        <w:t>to the Department of Families, Fairness and Housing effective 1 February 2021.</w:t>
      </w:r>
    </w:p>
    <w:p w14:paraId="456C3315" w14:textId="079FC7A3" w:rsidR="002A4973" w:rsidRPr="00BB7DB9" w:rsidRDefault="002A4973" w:rsidP="002A4973">
      <w:pPr>
        <w:pStyle w:val="ARtablefootnotealpha"/>
      </w:pPr>
      <w:r w:rsidRPr="00BB7DB9">
        <w:lastRenderedPageBreak/>
        <w:t xml:space="preserve">Actual output appropriation reflects the machinery of government changes as well as policy initiatives approved after the Revised Budget, including funding in response to the </w:t>
      </w:r>
      <w:r w:rsidR="00016BA5">
        <w:t>COVID-19</w:t>
      </w:r>
      <w:r w:rsidRPr="00BB7DB9">
        <w:t xml:space="preserve"> pandemic.</w:t>
      </w:r>
    </w:p>
    <w:p w14:paraId="62F079A7" w14:textId="68CD33EC" w:rsidR="002A4973" w:rsidRPr="00BB7DB9" w:rsidRDefault="002A4973" w:rsidP="002A4973">
      <w:pPr>
        <w:pStyle w:val="ARtablefootnotealpha"/>
      </w:pPr>
      <w:r w:rsidRPr="00BB7DB9">
        <w:t xml:space="preserve">Sales of goods and services mainly relate to private patient revenue in hospitals and health services that was lower than anticipated as a result of the </w:t>
      </w:r>
      <w:r w:rsidR="00016BA5">
        <w:t>COVID-19</w:t>
      </w:r>
      <w:r w:rsidRPr="00BB7DB9">
        <w:t xml:space="preserve"> pandemic.</w:t>
      </w:r>
    </w:p>
    <w:p w14:paraId="3E77F161" w14:textId="404988C2" w:rsidR="002A4973" w:rsidRPr="00BB7DB9" w:rsidRDefault="002A4973" w:rsidP="002A4973">
      <w:pPr>
        <w:pStyle w:val="ARtablefootnotealpha"/>
      </w:pPr>
      <w:r w:rsidRPr="00BB7DB9">
        <w:t xml:space="preserve">Other operating expenses are impacted by the timing of consumables such as personal protective equipment being expensed in hospitals and health services in response to the </w:t>
      </w:r>
      <w:r w:rsidR="00016BA5">
        <w:t>COVID-19</w:t>
      </w:r>
      <w:r w:rsidRPr="00BB7DB9">
        <w:t xml:space="preserve"> pandemic. Consumables not expensed as at 30 June 2021 are held as inventories on the balance sheet.</w:t>
      </w:r>
    </w:p>
    <w:p w14:paraId="3C64D67A" w14:textId="7E613433" w:rsidR="00783A61" w:rsidRDefault="00783A61" w:rsidP="007D145B">
      <w:pPr>
        <w:pStyle w:val="Heading3"/>
        <w:spacing w:before="480"/>
      </w:pPr>
      <w:bookmarkStart w:id="1110" w:name="_Toc85121578"/>
      <w:r w:rsidRPr="00A13347">
        <w:t>Balance sheet as at 30</w:t>
      </w:r>
      <w:r>
        <w:t xml:space="preserve"> </w:t>
      </w:r>
      <w:r w:rsidRPr="00A13347">
        <w:t>June</w:t>
      </w:r>
      <w:r>
        <w:t xml:space="preserve"> </w:t>
      </w:r>
      <w:r w:rsidRPr="00A13347">
        <w:t>2021</w:t>
      </w:r>
      <w:bookmarkEnd w:id="1110"/>
    </w:p>
    <w:tbl>
      <w:tblPr>
        <w:tblStyle w:val="TableGrid"/>
        <w:tblW w:w="9639" w:type="dxa"/>
        <w:tblLook w:val="04A0" w:firstRow="1" w:lastRow="0" w:firstColumn="1" w:lastColumn="0" w:noHBand="0" w:noVBand="1"/>
      </w:tblPr>
      <w:tblGrid>
        <w:gridCol w:w="4407"/>
        <w:gridCol w:w="1119"/>
        <w:gridCol w:w="1125"/>
        <w:gridCol w:w="1132"/>
        <w:gridCol w:w="1134"/>
        <w:gridCol w:w="722"/>
      </w:tblGrid>
      <w:tr w:rsidR="00FE0922" w:rsidRPr="002029AF" w14:paraId="303C4F9E" w14:textId="77777777" w:rsidTr="00FE0922">
        <w:trPr>
          <w:cnfStyle w:val="100000000000" w:firstRow="1" w:lastRow="0" w:firstColumn="0" w:lastColumn="0" w:oddVBand="0" w:evenVBand="0" w:oddHBand="0" w:evenHBand="0" w:firstRowFirstColumn="0" w:firstRowLastColumn="0" w:lastRowFirstColumn="0" w:lastRowLastColumn="0"/>
          <w:tblHeader/>
        </w:trPr>
        <w:tc>
          <w:tcPr>
            <w:tcW w:w="4407" w:type="dxa"/>
            <w:tcBorders>
              <w:bottom w:val="single" w:sz="4" w:space="0" w:color="auto"/>
            </w:tcBorders>
            <w:hideMark/>
          </w:tcPr>
          <w:p w14:paraId="0BB5DEBF" w14:textId="77777777" w:rsidR="00FE0922" w:rsidRPr="002029AF" w:rsidRDefault="00FE0922" w:rsidP="00FE0922">
            <w:pPr>
              <w:pStyle w:val="ARfintablecolhead"/>
            </w:pPr>
          </w:p>
        </w:tc>
        <w:tc>
          <w:tcPr>
            <w:tcW w:w="1119" w:type="dxa"/>
            <w:tcBorders>
              <w:bottom w:val="single" w:sz="4" w:space="0" w:color="auto"/>
            </w:tcBorders>
            <w:hideMark/>
          </w:tcPr>
          <w:p w14:paraId="16D106A9" w14:textId="77777777" w:rsidR="00FE0922" w:rsidRPr="002029AF" w:rsidRDefault="00FE0922" w:rsidP="00FE0922">
            <w:pPr>
              <w:pStyle w:val="ARfintablecolheadright"/>
            </w:pPr>
            <w:r w:rsidRPr="002029AF">
              <w:t>20</w:t>
            </w:r>
            <w:r>
              <w:t>20–21</w:t>
            </w:r>
          </w:p>
          <w:p w14:paraId="6BF94D85" w14:textId="77777777" w:rsidR="00FE0922" w:rsidRPr="002029AF" w:rsidRDefault="00FE0922" w:rsidP="00FE0922">
            <w:pPr>
              <w:pStyle w:val="ARfintablecolheadright"/>
            </w:pPr>
            <w:r w:rsidRPr="002029AF">
              <w:t>Actual</w:t>
            </w:r>
          </w:p>
          <w:p w14:paraId="53D83297" w14:textId="561FD622" w:rsidR="00FE0922" w:rsidRPr="002029AF" w:rsidRDefault="00FE0922" w:rsidP="00FE0922">
            <w:pPr>
              <w:pStyle w:val="ARfintablecolheadright"/>
            </w:pPr>
            <w:r w:rsidRPr="002029AF">
              <w:t>$M</w:t>
            </w:r>
          </w:p>
        </w:tc>
        <w:tc>
          <w:tcPr>
            <w:tcW w:w="1125" w:type="dxa"/>
            <w:tcBorders>
              <w:bottom w:val="single" w:sz="4" w:space="0" w:color="auto"/>
            </w:tcBorders>
          </w:tcPr>
          <w:p w14:paraId="1E66C912" w14:textId="77777777" w:rsidR="00FE0922" w:rsidRPr="002029AF" w:rsidRDefault="00FE0922" w:rsidP="00FE0922">
            <w:pPr>
              <w:pStyle w:val="ARfintablecolheadright"/>
            </w:pPr>
            <w:r w:rsidRPr="002029AF">
              <w:t>20</w:t>
            </w:r>
            <w:r>
              <w:t>20–21</w:t>
            </w:r>
          </w:p>
          <w:p w14:paraId="683C6E89" w14:textId="77777777" w:rsidR="00FE0922" w:rsidRPr="002029AF" w:rsidRDefault="00FE0922" w:rsidP="00FE0922">
            <w:pPr>
              <w:pStyle w:val="ARfintablecolheadright"/>
            </w:pPr>
            <w:r>
              <w:t>Revised</w:t>
            </w:r>
            <w:r w:rsidRPr="002029AF">
              <w:t xml:space="preserve"> budget</w:t>
            </w:r>
            <w:r>
              <w:t xml:space="preserve"> </w:t>
            </w:r>
            <w:r w:rsidRPr="002A4973">
              <w:rPr>
                <w:rStyle w:val="Superscript"/>
              </w:rPr>
              <w:t>(a)</w:t>
            </w:r>
          </w:p>
          <w:p w14:paraId="77309D04" w14:textId="7169640B" w:rsidR="00FE0922" w:rsidRPr="002029AF" w:rsidRDefault="00FE0922" w:rsidP="00FE0922">
            <w:pPr>
              <w:pStyle w:val="ARfintablecolheadright"/>
            </w:pPr>
            <w:r w:rsidRPr="002029AF">
              <w:t>$M</w:t>
            </w:r>
          </w:p>
        </w:tc>
        <w:tc>
          <w:tcPr>
            <w:tcW w:w="1132" w:type="dxa"/>
            <w:tcBorders>
              <w:bottom w:val="single" w:sz="4" w:space="0" w:color="auto"/>
            </w:tcBorders>
            <w:hideMark/>
          </w:tcPr>
          <w:p w14:paraId="12452C36" w14:textId="77777777" w:rsidR="00FE0922" w:rsidRPr="002029AF" w:rsidRDefault="00FE0922" w:rsidP="00FE0922">
            <w:pPr>
              <w:pStyle w:val="ARfintablecolheadright"/>
            </w:pPr>
            <w:r w:rsidRPr="002029AF">
              <w:t>20</w:t>
            </w:r>
            <w:r>
              <w:t>20–21</w:t>
            </w:r>
          </w:p>
          <w:p w14:paraId="02BDD363" w14:textId="77777777" w:rsidR="00FE0922" w:rsidRPr="002029AF" w:rsidRDefault="00FE0922" w:rsidP="00FE0922">
            <w:pPr>
              <w:pStyle w:val="ARfintablecolheadright"/>
            </w:pPr>
            <w:r w:rsidRPr="002029AF">
              <w:t>Published budget</w:t>
            </w:r>
          </w:p>
          <w:p w14:paraId="61A70D88" w14:textId="4763202E" w:rsidR="00FE0922" w:rsidRPr="002029AF" w:rsidRDefault="00FE0922" w:rsidP="00FE0922">
            <w:pPr>
              <w:pStyle w:val="ARfintablecolheadright"/>
            </w:pPr>
            <w:r w:rsidRPr="002029AF">
              <w:t>$M</w:t>
            </w:r>
          </w:p>
        </w:tc>
        <w:tc>
          <w:tcPr>
            <w:tcW w:w="1134" w:type="dxa"/>
            <w:tcBorders>
              <w:bottom w:val="single" w:sz="4" w:space="0" w:color="auto"/>
            </w:tcBorders>
            <w:noWrap/>
            <w:hideMark/>
          </w:tcPr>
          <w:p w14:paraId="7D185752" w14:textId="77777777" w:rsidR="00FE0922" w:rsidRPr="002029AF" w:rsidRDefault="00FE0922" w:rsidP="00FE0922">
            <w:pPr>
              <w:pStyle w:val="ARfintablecolheadright"/>
            </w:pPr>
            <w:r w:rsidRPr="002029AF">
              <w:t>Variation to published budget</w:t>
            </w:r>
          </w:p>
          <w:p w14:paraId="1D7B2F36" w14:textId="29DAF21B" w:rsidR="00FE0922" w:rsidRPr="002029AF" w:rsidRDefault="00FE0922" w:rsidP="00FE0922">
            <w:pPr>
              <w:pStyle w:val="ARfintablecolheadright"/>
            </w:pPr>
            <w:r w:rsidRPr="002029AF">
              <w:t>%</w:t>
            </w:r>
          </w:p>
        </w:tc>
        <w:tc>
          <w:tcPr>
            <w:tcW w:w="722" w:type="dxa"/>
            <w:tcBorders>
              <w:bottom w:val="single" w:sz="4" w:space="0" w:color="auto"/>
            </w:tcBorders>
            <w:noWrap/>
            <w:hideMark/>
          </w:tcPr>
          <w:p w14:paraId="19CEDE8C" w14:textId="7F6C00E8" w:rsidR="00FE0922" w:rsidRPr="002029AF" w:rsidRDefault="00FE0922" w:rsidP="00FE0922">
            <w:pPr>
              <w:pStyle w:val="ARfintablecolheadcentre"/>
              <w:rPr>
                <w:rFonts w:ascii="Times New Roman" w:hAnsi="Times New Roman" w:cs="Times New Roman"/>
                <w:sz w:val="20"/>
                <w:szCs w:val="20"/>
              </w:rPr>
            </w:pPr>
            <w:r w:rsidRPr="002029AF">
              <w:t>Notes</w:t>
            </w:r>
          </w:p>
        </w:tc>
      </w:tr>
      <w:tr w:rsidR="00FE0922" w:rsidRPr="002029AF" w14:paraId="364C3349" w14:textId="77777777" w:rsidTr="00FE0922">
        <w:tc>
          <w:tcPr>
            <w:tcW w:w="9639" w:type="dxa"/>
            <w:gridSpan w:val="6"/>
            <w:tcBorders>
              <w:top w:val="single" w:sz="4" w:space="0" w:color="auto"/>
              <w:bottom w:val="single" w:sz="4" w:space="0" w:color="A6A6A6"/>
            </w:tcBorders>
          </w:tcPr>
          <w:p w14:paraId="14C72111" w14:textId="4F75CE71" w:rsidR="00FE0922" w:rsidRPr="002029AF" w:rsidRDefault="00FE0922" w:rsidP="00FE0922">
            <w:pPr>
              <w:pStyle w:val="ARfintablebodybold"/>
              <w:rPr>
                <w:lang w:eastAsia="en-GB"/>
              </w:rPr>
            </w:pPr>
            <w:r w:rsidRPr="005633EE">
              <w:t>Assets</w:t>
            </w:r>
          </w:p>
        </w:tc>
      </w:tr>
      <w:tr w:rsidR="00FE0922" w:rsidRPr="002029AF" w14:paraId="6BAEC2A9" w14:textId="77777777" w:rsidTr="00FE0922">
        <w:tc>
          <w:tcPr>
            <w:tcW w:w="9639" w:type="dxa"/>
            <w:gridSpan w:val="6"/>
            <w:tcBorders>
              <w:top w:val="single" w:sz="4" w:space="0" w:color="A6A6A6"/>
              <w:bottom w:val="single" w:sz="4" w:space="0" w:color="A6A6A6"/>
            </w:tcBorders>
          </w:tcPr>
          <w:p w14:paraId="24585482" w14:textId="71A6C715" w:rsidR="00FE0922" w:rsidRPr="002029AF" w:rsidRDefault="00FE0922" w:rsidP="00FE0922">
            <w:pPr>
              <w:pStyle w:val="ARfintablebodybold"/>
              <w:rPr>
                <w:lang w:eastAsia="en-GB"/>
              </w:rPr>
            </w:pPr>
            <w:r w:rsidRPr="005633EE">
              <w:t>Financial assets</w:t>
            </w:r>
          </w:p>
        </w:tc>
      </w:tr>
      <w:tr w:rsidR="00FE0922" w:rsidRPr="002029AF" w14:paraId="340A47E0" w14:textId="77777777" w:rsidTr="00FE0922">
        <w:tc>
          <w:tcPr>
            <w:tcW w:w="4407" w:type="dxa"/>
            <w:tcBorders>
              <w:top w:val="single" w:sz="4" w:space="0" w:color="A6A6A6"/>
              <w:bottom w:val="single" w:sz="4" w:space="0" w:color="A6A6A6"/>
            </w:tcBorders>
            <w:hideMark/>
          </w:tcPr>
          <w:p w14:paraId="2A6EB985" w14:textId="26E7A0DC" w:rsidR="00FE0922" w:rsidRPr="002029AF" w:rsidRDefault="00FE0922" w:rsidP="00FE0922">
            <w:pPr>
              <w:pStyle w:val="ARfintablebody"/>
              <w:rPr>
                <w:lang w:eastAsia="en-GB"/>
              </w:rPr>
            </w:pPr>
            <w:r w:rsidRPr="005633EE">
              <w:t>Cash and deposits</w:t>
            </w:r>
          </w:p>
        </w:tc>
        <w:tc>
          <w:tcPr>
            <w:tcW w:w="1119" w:type="dxa"/>
            <w:tcBorders>
              <w:top w:val="single" w:sz="4" w:space="0" w:color="A6A6A6"/>
              <w:bottom w:val="single" w:sz="4" w:space="0" w:color="A6A6A6"/>
            </w:tcBorders>
            <w:hideMark/>
          </w:tcPr>
          <w:p w14:paraId="74CFDAFC" w14:textId="2FDDF08C" w:rsidR="00FE0922" w:rsidRPr="002029AF" w:rsidRDefault="00FE0922" w:rsidP="00FE0922">
            <w:pPr>
              <w:pStyle w:val="ARfintablebodyright"/>
              <w:rPr>
                <w:lang w:eastAsia="en-GB"/>
              </w:rPr>
            </w:pPr>
            <w:r w:rsidRPr="005633EE">
              <w:t>2,763</w:t>
            </w:r>
          </w:p>
        </w:tc>
        <w:tc>
          <w:tcPr>
            <w:tcW w:w="1125" w:type="dxa"/>
            <w:tcBorders>
              <w:top w:val="single" w:sz="4" w:space="0" w:color="A6A6A6"/>
              <w:bottom w:val="single" w:sz="4" w:space="0" w:color="A6A6A6"/>
            </w:tcBorders>
          </w:tcPr>
          <w:p w14:paraId="2D91F07C" w14:textId="7061EC32" w:rsidR="00FE0922" w:rsidRPr="002029AF" w:rsidRDefault="00FE0922" w:rsidP="00FE0922">
            <w:pPr>
              <w:pStyle w:val="ARfintablebodyright"/>
              <w:rPr>
                <w:lang w:eastAsia="en-GB"/>
              </w:rPr>
            </w:pPr>
            <w:r w:rsidRPr="005633EE">
              <w:t>1,773</w:t>
            </w:r>
          </w:p>
        </w:tc>
        <w:tc>
          <w:tcPr>
            <w:tcW w:w="1132" w:type="dxa"/>
            <w:tcBorders>
              <w:top w:val="single" w:sz="4" w:space="0" w:color="A6A6A6"/>
              <w:bottom w:val="single" w:sz="4" w:space="0" w:color="A6A6A6"/>
            </w:tcBorders>
            <w:hideMark/>
          </w:tcPr>
          <w:p w14:paraId="6510F42C" w14:textId="14DE223F" w:rsidR="00FE0922" w:rsidRPr="002029AF" w:rsidRDefault="00FE0922" w:rsidP="00FE0922">
            <w:pPr>
              <w:pStyle w:val="ARfintablebodyright"/>
              <w:rPr>
                <w:lang w:eastAsia="en-GB"/>
              </w:rPr>
            </w:pPr>
            <w:r w:rsidRPr="005633EE">
              <w:t>1,983</w:t>
            </w:r>
          </w:p>
        </w:tc>
        <w:tc>
          <w:tcPr>
            <w:tcW w:w="1134" w:type="dxa"/>
            <w:tcBorders>
              <w:top w:val="single" w:sz="4" w:space="0" w:color="A6A6A6"/>
              <w:bottom w:val="single" w:sz="4" w:space="0" w:color="A6A6A6"/>
            </w:tcBorders>
            <w:hideMark/>
          </w:tcPr>
          <w:p w14:paraId="56743B49" w14:textId="7EF459EE" w:rsidR="00FE0922" w:rsidRPr="002029AF" w:rsidRDefault="00FE0922" w:rsidP="00FE0922">
            <w:pPr>
              <w:pStyle w:val="ARfintablebodyright"/>
              <w:rPr>
                <w:lang w:eastAsia="en-GB"/>
              </w:rPr>
            </w:pPr>
            <w:r w:rsidRPr="005633EE">
              <w:t>39.4</w:t>
            </w:r>
          </w:p>
        </w:tc>
        <w:tc>
          <w:tcPr>
            <w:tcW w:w="722" w:type="dxa"/>
            <w:tcBorders>
              <w:top w:val="single" w:sz="4" w:space="0" w:color="A6A6A6"/>
              <w:bottom w:val="single" w:sz="4" w:space="0" w:color="A6A6A6"/>
            </w:tcBorders>
            <w:hideMark/>
          </w:tcPr>
          <w:p w14:paraId="441350A9" w14:textId="77777777" w:rsidR="00FE0922" w:rsidRPr="002029AF" w:rsidRDefault="00FE0922" w:rsidP="00FE0922">
            <w:pPr>
              <w:pStyle w:val="ARfintablebodyright"/>
              <w:rPr>
                <w:lang w:eastAsia="en-GB"/>
              </w:rPr>
            </w:pPr>
          </w:p>
        </w:tc>
      </w:tr>
      <w:tr w:rsidR="00FE0922" w:rsidRPr="002029AF" w14:paraId="784538E8" w14:textId="77777777" w:rsidTr="00FE0922">
        <w:tc>
          <w:tcPr>
            <w:tcW w:w="4407" w:type="dxa"/>
            <w:tcBorders>
              <w:top w:val="single" w:sz="4" w:space="0" w:color="A6A6A6"/>
              <w:bottom w:val="single" w:sz="4" w:space="0" w:color="A6A6A6"/>
            </w:tcBorders>
            <w:hideMark/>
          </w:tcPr>
          <w:p w14:paraId="0974261C" w14:textId="30A1A2DE" w:rsidR="00FE0922" w:rsidRPr="002029AF" w:rsidRDefault="00FE0922" w:rsidP="00FE0922">
            <w:pPr>
              <w:pStyle w:val="ARfintablebody"/>
              <w:rPr>
                <w:lang w:eastAsia="en-GB"/>
              </w:rPr>
            </w:pPr>
            <w:r w:rsidRPr="005633EE">
              <w:t>Receivables</w:t>
            </w:r>
          </w:p>
        </w:tc>
        <w:tc>
          <w:tcPr>
            <w:tcW w:w="1119" w:type="dxa"/>
            <w:tcBorders>
              <w:top w:val="single" w:sz="4" w:space="0" w:color="A6A6A6"/>
              <w:bottom w:val="single" w:sz="4" w:space="0" w:color="A6A6A6"/>
            </w:tcBorders>
            <w:hideMark/>
          </w:tcPr>
          <w:p w14:paraId="47E6A975" w14:textId="31FC85EF" w:rsidR="00FE0922" w:rsidRPr="002029AF" w:rsidRDefault="00FE0922" w:rsidP="00FE0922">
            <w:pPr>
              <w:pStyle w:val="ARfintablebodyright"/>
              <w:rPr>
                <w:lang w:eastAsia="en-GB"/>
              </w:rPr>
            </w:pPr>
            <w:r w:rsidRPr="005633EE">
              <w:t>4,220</w:t>
            </w:r>
          </w:p>
        </w:tc>
        <w:tc>
          <w:tcPr>
            <w:tcW w:w="1125" w:type="dxa"/>
            <w:tcBorders>
              <w:top w:val="single" w:sz="4" w:space="0" w:color="A6A6A6"/>
              <w:bottom w:val="single" w:sz="4" w:space="0" w:color="A6A6A6"/>
            </w:tcBorders>
          </w:tcPr>
          <w:p w14:paraId="34714A9F" w14:textId="3FAADFCA" w:rsidR="00FE0922" w:rsidRPr="002029AF" w:rsidRDefault="00FE0922" w:rsidP="00FE0922">
            <w:pPr>
              <w:pStyle w:val="ARfintablebodyright"/>
              <w:rPr>
                <w:lang w:eastAsia="en-GB"/>
              </w:rPr>
            </w:pPr>
            <w:r w:rsidRPr="005633EE">
              <w:t>3,904</w:t>
            </w:r>
          </w:p>
        </w:tc>
        <w:tc>
          <w:tcPr>
            <w:tcW w:w="1132" w:type="dxa"/>
            <w:tcBorders>
              <w:top w:val="single" w:sz="4" w:space="0" w:color="A6A6A6"/>
              <w:bottom w:val="single" w:sz="4" w:space="0" w:color="A6A6A6"/>
            </w:tcBorders>
            <w:hideMark/>
          </w:tcPr>
          <w:p w14:paraId="76FFCA90" w14:textId="6664C806" w:rsidR="00FE0922" w:rsidRPr="002029AF" w:rsidRDefault="00FE0922" w:rsidP="00FE0922">
            <w:pPr>
              <w:pStyle w:val="ARfintablebodyright"/>
              <w:rPr>
                <w:lang w:eastAsia="en-GB"/>
              </w:rPr>
            </w:pPr>
            <w:r w:rsidRPr="005633EE">
              <w:t>4,007</w:t>
            </w:r>
          </w:p>
        </w:tc>
        <w:tc>
          <w:tcPr>
            <w:tcW w:w="1134" w:type="dxa"/>
            <w:tcBorders>
              <w:top w:val="single" w:sz="4" w:space="0" w:color="A6A6A6"/>
              <w:bottom w:val="single" w:sz="4" w:space="0" w:color="A6A6A6"/>
            </w:tcBorders>
            <w:hideMark/>
          </w:tcPr>
          <w:p w14:paraId="4E0AE714" w14:textId="7EB43538" w:rsidR="00FE0922" w:rsidRPr="002029AF" w:rsidRDefault="00FE0922" w:rsidP="00FE0922">
            <w:pPr>
              <w:pStyle w:val="ARfintablebodyright"/>
              <w:rPr>
                <w:lang w:eastAsia="en-GB"/>
              </w:rPr>
            </w:pPr>
            <w:r w:rsidRPr="005633EE">
              <w:t>5.3</w:t>
            </w:r>
          </w:p>
        </w:tc>
        <w:tc>
          <w:tcPr>
            <w:tcW w:w="722" w:type="dxa"/>
            <w:tcBorders>
              <w:top w:val="single" w:sz="4" w:space="0" w:color="A6A6A6"/>
              <w:bottom w:val="single" w:sz="4" w:space="0" w:color="A6A6A6"/>
            </w:tcBorders>
            <w:hideMark/>
          </w:tcPr>
          <w:p w14:paraId="134FD258" w14:textId="77777777" w:rsidR="00FE0922" w:rsidRPr="002029AF" w:rsidRDefault="00FE0922" w:rsidP="00FE0922">
            <w:pPr>
              <w:pStyle w:val="ARfintablebodyright"/>
              <w:rPr>
                <w:lang w:eastAsia="en-GB"/>
              </w:rPr>
            </w:pPr>
          </w:p>
        </w:tc>
      </w:tr>
      <w:tr w:rsidR="00FE0922" w:rsidRPr="002029AF" w14:paraId="29C2D2E2" w14:textId="77777777" w:rsidTr="00FE0922">
        <w:tc>
          <w:tcPr>
            <w:tcW w:w="4407" w:type="dxa"/>
            <w:tcBorders>
              <w:top w:val="single" w:sz="4" w:space="0" w:color="A6A6A6"/>
              <w:bottom w:val="single" w:sz="4" w:space="0" w:color="A6A6A6"/>
            </w:tcBorders>
            <w:hideMark/>
          </w:tcPr>
          <w:p w14:paraId="12A50C4D" w14:textId="2D2A828A" w:rsidR="00FE0922" w:rsidRPr="002029AF" w:rsidRDefault="00FE0922" w:rsidP="00FE0922">
            <w:pPr>
              <w:pStyle w:val="ARfintablebody"/>
              <w:rPr>
                <w:lang w:eastAsia="en-GB"/>
              </w:rPr>
            </w:pPr>
            <w:r w:rsidRPr="005633EE">
              <w:t>Other financial assets</w:t>
            </w:r>
          </w:p>
        </w:tc>
        <w:tc>
          <w:tcPr>
            <w:tcW w:w="1119" w:type="dxa"/>
            <w:tcBorders>
              <w:top w:val="single" w:sz="4" w:space="0" w:color="A6A6A6"/>
              <w:bottom w:val="single" w:sz="4" w:space="0" w:color="A6A6A6"/>
            </w:tcBorders>
            <w:hideMark/>
          </w:tcPr>
          <w:p w14:paraId="60D5AEBA" w14:textId="46936154" w:rsidR="00FE0922" w:rsidRPr="002029AF" w:rsidRDefault="00FE0922" w:rsidP="00FE0922">
            <w:pPr>
              <w:pStyle w:val="ARfintablebodyright"/>
              <w:rPr>
                <w:lang w:eastAsia="en-GB"/>
              </w:rPr>
            </w:pPr>
            <w:r w:rsidRPr="005633EE">
              <w:t>470</w:t>
            </w:r>
          </w:p>
        </w:tc>
        <w:tc>
          <w:tcPr>
            <w:tcW w:w="1125" w:type="dxa"/>
            <w:tcBorders>
              <w:top w:val="single" w:sz="4" w:space="0" w:color="A6A6A6"/>
              <w:bottom w:val="single" w:sz="4" w:space="0" w:color="A6A6A6"/>
            </w:tcBorders>
          </w:tcPr>
          <w:p w14:paraId="6FD69752" w14:textId="1F09A63D" w:rsidR="00FE0922" w:rsidRPr="002029AF" w:rsidRDefault="00FE0922" w:rsidP="00FE0922">
            <w:pPr>
              <w:pStyle w:val="ARfintablebodyright"/>
              <w:rPr>
                <w:lang w:eastAsia="en-GB"/>
              </w:rPr>
            </w:pPr>
            <w:r w:rsidRPr="005633EE">
              <w:t>440</w:t>
            </w:r>
          </w:p>
        </w:tc>
        <w:tc>
          <w:tcPr>
            <w:tcW w:w="1132" w:type="dxa"/>
            <w:tcBorders>
              <w:top w:val="single" w:sz="4" w:space="0" w:color="A6A6A6"/>
              <w:bottom w:val="single" w:sz="4" w:space="0" w:color="A6A6A6"/>
            </w:tcBorders>
            <w:hideMark/>
          </w:tcPr>
          <w:p w14:paraId="009CFDBA" w14:textId="0B2D8CB7" w:rsidR="00FE0922" w:rsidRPr="002029AF" w:rsidRDefault="00FE0922" w:rsidP="00FE0922">
            <w:pPr>
              <w:pStyle w:val="ARfintablebodyright"/>
              <w:rPr>
                <w:lang w:eastAsia="en-GB"/>
              </w:rPr>
            </w:pPr>
            <w:r w:rsidRPr="005633EE">
              <w:t>440</w:t>
            </w:r>
          </w:p>
        </w:tc>
        <w:tc>
          <w:tcPr>
            <w:tcW w:w="1134" w:type="dxa"/>
            <w:tcBorders>
              <w:top w:val="single" w:sz="4" w:space="0" w:color="A6A6A6"/>
              <w:bottom w:val="single" w:sz="4" w:space="0" w:color="A6A6A6"/>
            </w:tcBorders>
            <w:hideMark/>
          </w:tcPr>
          <w:p w14:paraId="21BE681E" w14:textId="472A86F0" w:rsidR="00FE0922" w:rsidRPr="002029AF" w:rsidRDefault="00FE0922" w:rsidP="00FE0922">
            <w:pPr>
              <w:pStyle w:val="ARfintablebodyright"/>
              <w:rPr>
                <w:lang w:eastAsia="en-GB"/>
              </w:rPr>
            </w:pPr>
            <w:r w:rsidRPr="005633EE">
              <w:t>6.8</w:t>
            </w:r>
          </w:p>
        </w:tc>
        <w:tc>
          <w:tcPr>
            <w:tcW w:w="722" w:type="dxa"/>
            <w:tcBorders>
              <w:top w:val="single" w:sz="4" w:space="0" w:color="A6A6A6"/>
              <w:bottom w:val="single" w:sz="4" w:space="0" w:color="A6A6A6"/>
            </w:tcBorders>
            <w:hideMark/>
          </w:tcPr>
          <w:p w14:paraId="20AD0C6F" w14:textId="77777777" w:rsidR="00FE0922" w:rsidRPr="002029AF" w:rsidRDefault="00FE0922" w:rsidP="00FE0922">
            <w:pPr>
              <w:pStyle w:val="ARfintablebodyright"/>
              <w:rPr>
                <w:lang w:eastAsia="en-GB"/>
              </w:rPr>
            </w:pPr>
          </w:p>
        </w:tc>
      </w:tr>
      <w:tr w:rsidR="00FE0922" w:rsidRPr="002029AF" w14:paraId="7018C964" w14:textId="77777777" w:rsidTr="00FE0922">
        <w:tc>
          <w:tcPr>
            <w:tcW w:w="4407" w:type="dxa"/>
            <w:tcBorders>
              <w:top w:val="single" w:sz="4" w:space="0" w:color="A6A6A6"/>
            </w:tcBorders>
            <w:hideMark/>
          </w:tcPr>
          <w:p w14:paraId="3220EE0C" w14:textId="78329775" w:rsidR="00FE0922" w:rsidRPr="002029AF" w:rsidRDefault="00FE0922" w:rsidP="00FE0922">
            <w:pPr>
              <w:pStyle w:val="ARfintablebody"/>
              <w:rPr>
                <w:lang w:eastAsia="en-GB"/>
              </w:rPr>
            </w:pPr>
            <w:r w:rsidRPr="005633EE">
              <w:t>Investments accounted for using equity method</w:t>
            </w:r>
          </w:p>
        </w:tc>
        <w:tc>
          <w:tcPr>
            <w:tcW w:w="1119" w:type="dxa"/>
            <w:tcBorders>
              <w:top w:val="single" w:sz="4" w:space="0" w:color="A6A6A6"/>
            </w:tcBorders>
            <w:hideMark/>
          </w:tcPr>
          <w:p w14:paraId="34591E8F" w14:textId="5C8F4BEF" w:rsidR="00FE0922" w:rsidRPr="002029AF" w:rsidRDefault="00FE0922" w:rsidP="00FE0922">
            <w:pPr>
              <w:pStyle w:val="ARfintablebodyright"/>
              <w:rPr>
                <w:lang w:eastAsia="en-GB"/>
              </w:rPr>
            </w:pPr>
            <w:r w:rsidRPr="005633EE">
              <w:t>1</w:t>
            </w:r>
          </w:p>
        </w:tc>
        <w:tc>
          <w:tcPr>
            <w:tcW w:w="1125" w:type="dxa"/>
            <w:tcBorders>
              <w:top w:val="single" w:sz="4" w:space="0" w:color="A6A6A6"/>
            </w:tcBorders>
          </w:tcPr>
          <w:p w14:paraId="19B17BB7" w14:textId="006100D2" w:rsidR="00FE0922" w:rsidRPr="002029AF" w:rsidRDefault="00FE0922" w:rsidP="00FE0922">
            <w:pPr>
              <w:pStyle w:val="ARfintablebodyright"/>
              <w:rPr>
                <w:lang w:eastAsia="en-GB"/>
              </w:rPr>
            </w:pPr>
            <w:r w:rsidRPr="005633EE">
              <w:t>1</w:t>
            </w:r>
          </w:p>
        </w:tc>
        <w:tc>
          <w:tcPr>
            <w:tcW w:w="1132" w:type="dxa"/>
            <w:tcBorders>
              <w:top w:val="single" w:sz="4" w:space="0" w:color="A6A6A6"/>
            </w:tcBorders>
            <w:hideMark/>
          </w:tcPr>
          <w:p w14:paraId="59F62E20" w14:textId="71425590" w:rsidR="00FE0922" w:rsidRPr="002029AF" w:rsidRDefault="00FE0922" w:rsidP="00FE0922">
            <w:pPr>
              <w:pStyle w:val="ARfintablebodyright"/>
              <w:rPr>
                <w:lang w:eastAsia="en-GB"/>
              </w:rPr>
            </w:pPr>
            <w:r w:rsidRPr="005633EE">
              <w:t>1</w:t>
            </w:r>
          </w:p>
        </w:tc>
        <w:tc>
          <w:tcPr>
            <w:tcW w:w="1134" w:type="dxa"/>
            <w:tcBorders>
              <w:top w:val="single" w:sz="4" w:space="0" w:color="A6A6A6"/>
            </w:tcBorders>
            <w:hideMark/>
          </w:tcPr>
          <w:p w14:paraId="54545F79" w14:textId="6A0254C0" w:rsidR="00FE0922" w:rsidRPr="002029AF" w:rsidRDefault="00FE0922" w:rsidP="00FE0922">
            <w:pPr>
              <w:pStyle w:val="ARfintablebodyright"/>
              <w:rPr>
                <w:lang w:eastAsia="en-GB"/>
              </w:rPr>
            </w:pPr>
            <w:r w:rsidRPr="005633EE">
              <w:t>(0.7)</w:t>
            </w:r>
          </w:p>
        </w:tc>
        <w:tc>
          <w:tcPr>
            <w:tcW w:w="722" w:type="dxa"/>
            <w:tcBorders>
              <w:top w:val="single" w:sz="4" w:space="0" w:color="A6A6A6"/>
            </w:tcBorders>
            <w:hideMark/>
          </w:tcPr>
          <w:p w14:paraId="43DF7F05" w14:textId="767A2C5A" w:rsidR="00FE0922" w:rsidRPr="002029AF" w:rsidRDefault="00FE0922" w:rsidP="00FE0922">
            <w:pPr>
              <w:pStyle w:val="ARfintablebodyrightbold"/>
              <w:rPr>
                <w:lang w:eastAsia="en-GB"/>
              </w:rPr>
            </w:pPr>
          </w:p>
        </w:tc>
      </w:tr>
      <w:tr w:rsidR="00FE0922" w:rsidRPr="002029AF" w14:paraId="15068B59" w14:textId="77777777" w:rsidTr="00FE0922">
        <w:tc>
          <w:tcPr>
            <w:tcW w:w="4407" w:type="dxa"/>
            <w:tcBorders>
              <w:bottom w:val="single" w:sz="4" w:space="0" w:color="auto"/>
            </w:tcBorders>
            <w:hideMark/>
          </w:tcPr>
          <w:p w14:paraId="01F2F4B9" w14:textId="6ED85EB6" w:rsidR="00FE0922" w:rsidRPr="002029AF" w:rsidRDefault="00FE0922" w:rsidP="00FE0922">
            <w:pPr>
              <w:pStyle w:val="ARfintablebodybold"/>
              <w:rPr>
                <w:lang w:eastAsia="en-GB"/>
              </w:rPr>
            </w:pPr>
            <w:r w:rsidRPr="005633EE">
              <w:t>Total financial assets</w:t>
            </w:r>
          </w:p>
        </w:tc>
        <w:tc>
          <w:tcPr>
            <w:tcW w:w="1119" w:type="dxa"/>
            <w:tcBorders>
              <w:bottom w:val="single" w:sz="4" w:space="0" w:color="auto"/>
            </w:tcBorders>
            <w:hideMark/>
          </w:tcPr>
          <w:p w14:paraId="60A30631" w14:textId="5A85F630" w:rsidR="00FE0922" w:rsidRPr="002029AF" w:rsidRDefault="00FE0922" w:rsidP="00FE0922">
            <w:pPr>
              <w:pStyle w:val="ARfintablebodyrightbold"/>
              <w:rPr>
                <w:lang w:eastAsia="en-GB"/>
              </w:rPr>
            </w:pPr>
            <w:r w:rsidRPr="005633EE">
              <w:t>7,455</w:t>
            </w:r>
          </w:p>
        </w:tc>
        <w:tc>
          <w:tcPr>
            <w:tcW w:w="1125" w:type="dxa"/>
            <w:tcBorders>
              <w:bottom w:val="single" w:sz="4" w:space="0" w:color="auto"/>
            </w:tcBorders>
          </w:tcPr>
          <w:p w14:paraId="65EF0587" w14:textId="60426FDE" w:rsidR="00FE0922" w:rsidRPr="002029AF" w:rsidRDefault="00FE0922" w:rsidP="00FE0922">
            <w:pPr>
              <w:pStyle w:val="ARfintablebodyrightbold"/>
              <w:rPr>
                <w:lang w:eastAsia="en-GB"/>
              </w:rPr>
            </w:pPr>
            <w:r w:rsidRPr="005633EE">
              <w:t>6,118</w:t>
            </w:r>
          </w:p>
        </w:tc>
        <w:tc>
          <w:tcPr>
            <w:tcW w:w="1132" w:type="dxa"/>
            <w:tcBorders>
              <w:bottom w:val="single" w:sz="4" w:space="0" w:color="auto"/>
            </w:tcBorders>
            <w:hideMark/>
          </w:tcPr>
          <w:p w14:paraId="69316D5A" w14:textId="48E00700" w:rsidR="00FE0922" w:rsidRPr="002029AF" w:rsidRDefault="00FE0922" w:rsidP="00FE0922">
            <w:pPr>
              <w:pStyle w:val="ARfintablebodyrightbold"/>
              <w:rPr>
                <w:lang w:eastAsia="en-GB"/>
              </w:rPr>
            </w:pPr>
            <w:r w:rsidRPr="005633EE">
              <w:t>6,431</w:t>
            </w:r>
          </w:p>
        </w:tc>
        <w:tc>
          <w:tcPr>
            <w:tcW w:w="1134" w:type="dxa"/>
            <w:tcBorders>
              <w:bottom w:val="single" w:sz="4" w:space="0" w:color="auto"/>
            </w:tcBorders>
            <w:hideMark/>
          </w:tcPr>
          <w:p w14:paraId="283D0797" w14:textId="2A94BB02" w:rsidR="00FE0922" w:rsidRPr="002029AF" w:rsidRDefault="00FE0922" w:rsidP="00FE0922">
            <w:pPr>
              <w:pStyle w:val="ARfintablebodyrightbold"/>
              <w:rPr>
                <w:lang w:eastAsia="en-GB"/>
              </w:rPr>
            </w:pPr>
            <w:r w:rsidRPr="005633EE">
              <w:t>15.9</w:t>
            </w:r>
          </w:p>
        </w:tc>
        <w:tc>
          <w:tcPr>
            <w:tcW w:w="722" w:type="dxa"/>
            <w:tcBorders>
              <w:bottom w:val="single" w:sz="4" w:space="0" w:color="auto"/>
            </w:tcBorders>
            <w:hideMark/>
          </w:tcPr>
          <w:p w14:paraId="4858E2ED" w14:textId="77777777" w:rsidR="00FE0922" w:rsidRPr="002029AF" w:rsidRDefault="00FE0922" w:rsidP="00FE0922">
            <w:pPr>
              <w:pStyle w:val="ARfintablebodyright"/>
            </w:pPr>
          </w:p>
        </w:tc>
      </w:tr>
      <w:tr w:rsidR="00FE0922" w:rsidRPr="002029AF" w14:paraId="5BC209FE" w14:textId="77777777" w:rsidTr="00FE0922">
        <w:tc>
          <w:tcPr>
            <w:tcW w:w="9639" w:type="dxa"/>
            <w:gridSpan w:val="6"/>
            <w:tcBorders>
              <w:top w:val="single" w:sz="4" w:space="0" w:color="auto"/>
              <w:bottom w:val="single" w:sz="4" w:space="0" w:color="A6A6A6"/>
            </w:tcBorders>
          </w:tcPr>
          <w:p w14:paraId="371C825D" w14:textId="202A5DFA" w:rsidR="00FE0922" w:rsidRPr="002029AF" w:rsidRDefault="00FE0922" w:rsidP="00FE0922">
            <w:pPr>
              <w:pStyle w:val="ARfintablebodybold"/>
              <w:rPr>
                <w:lang w:eastAsia="en-GB"/>
              </w:rPr>
            </w:pPr>
            <w:r w:rsidRPr="005633EE">
              <w:t>Non-financial assets</w:t>
            </w:r>
          </w:p>
        </w:tc>
      </w:tr>
      <w:tr w:rsidR="00FE0922" w:rsidRPr="002029AF" w14:paraId="04BB3001" w14:textId="77777777" w:rsidTr="00FE0922">
        <w:tc>
          <w:tcPr>
            <w:tcW w:w="4407" w:type="dxa"/>
            <w:tcBorders>
              <w:top w:val="single" w:sz="4" w:space="0" w:color="A6A6A6"/>
              <w:bottom w:val="single" w:sz="4" w:space="0" w:color="A6A6A6"/>
            </w:tcBorders>
            <w:hideMark/>
          </w:tcPr>
          <w:p w14:paraId="3E0637CE" w14:textId="5BA72331" w:rsidR="00FE0922" w:rsidRPr="002029AF" w:rsidRDefault="00FE0922" w:rsidP="00FE0922">
            <w:pPr>
              <w:pStyle w:val="ARfintablebody"/>
              <w:rPr>
                <w:lang w:eastAsia="en-GB"/>
              </w:rPr>
            </w:pPr>
            <w:r w:rsidRPr="005633EE">
              <w:t>Inventories</w:t>
            </w:r>
          </w:p>
        </w:tc>
        <w:tc>
          <w:tcPr>
            <w:tcW w:w="1119" w:type="dxa"/>
            <w:tcBorders>
              <w:top w:val="single" w:sz="4" w:space="0" w:color="A6A6A6"/>
              <w:bottom w:val="single" w:sz="4" w:space="0" w:color="A6A6A6"/>
            </w:tcBorders>
            <w:hideMark/>
          </w:tcPr>
          <w:p w14:paraId="0F97AE35" w14:textId="69AD236B" w:rsidR="00FE0922" w:rsidRPr="002029AF" w:rsidRDefault="00FE0922" w:rsidP="00FE0922">
            <w:pPr>
              <w:pStyle w:val="ARfintablebodyright"/>
              <w:rPr>
                <w:lang w:eastAsia="en-GB"/>
              </w:rPr>
            </w:pPr>
            <w:r w:rsidRPr="005633EE">
              <w:t>778</w:t>
            </w:r>
          </w:p>
        </w:tc>
        <w:tc>
          <w:tcPr>
            <w:tcW w:w="1125" w:type="dxa"/>
            <w:tcBorders>
              <w:top w:val="single" w:sz="4" w:space="0" w:color="A6A6A6"/>
              <w:bottom w:val="single" w:sz="4" w:space="0" w:color="A6A6A6"/>
            </w:tcBorders>
          </w:tcPr>
          <w:p w14:paraId="06989FC9" w14:textId="3234B955" w:rsidR="00FE0922" w:rsidRPr="002029AF" w:rsidRDefault="00FE0922" w:rsidP="00FE0922">
            <w:pPr>
              <w:pStyle w:val="ARfintablebodyright"/>
              <w:rPr>
                <w:lang w:eastAsia="en-GB"/>
              </w:rPr>
            </w:pPr>
            <w:r w:rsidRPr="005633EE">
              <w:t>837</w:t>
            </w:r>
          </w:p>
        </w:tc>
        <w:tc>
          <w:tcPr>
            <w:tcW w:w="1132" w:type="dxa"/>
            <w:tcBorders>
              <w:top w:val="single" w:sz="4" w:space="0" w:color="A6A6A6"/>
              <w:bottom w:val="single" w:sz="4" w:space="0" w:color="A6A6A6"/>
            </w:tcBorders>
            <w:hideMark/>
          </w:tcPr>
          <w:p w14:paraId="4902EEF6" w14:textId="1B7928A2" w:rsidR="00FE0922" w:rsidRPr="002029AF" w:rsidRDefault="00FE0922" w:rsidP="00FE0922">
            <w:pPr>
              <w:pStyle w:val="ARfintablebodyright"/>
              <w:rPr>
                <w:lang w:eastAsia="en-GB"/>
              </w:rPr>
            </w:pPr>
            <w:r w:rsidRPr="005633EE">
              <w:t>118</w:t>
            </w:r>
          </w:p>
        </w:tc>
        <w:tc>
          <w:tcPr>
            <w:tcW w:w="1134" w:type="dxa"/>
            <w:tcBorders>
              <w:top w:val="single" w:sz="4" w:space="0" w:color="A6A6A6"/>
              <w:bottom w:val="single" w:sz="4" w:space="0" w:color="A6A6A6"/>
            </w:tcBorders>
            <w:hideMark/>
          </w:tcPr>
          <w:p w14:paraId="109626B1" w14:textId="56010C00" w:rsidR="00FE0922" w:rsidRPr="002029AF" w:rsidRDefault="00FE0922" w:rsidP="00FE0922">
            <w:pPr>
              <w:pStyle w:val="ARfintablebodyright"/>
              <w:rPr>
                <w:lang w:eastAsia="en-GB"/>
              </w:rPr>
            </w:pPr>
            <w:r w:rsidRPr="005633EE">
              <w:t>558.7</w:t>
            </w:r>
          </w:p>
        </w:tc>
        <w:tc>
          <w:tcPr>
            <w:tcW w:w="722" w:type="dxa"/>
            <w:tcBorders>
              <w:top w:val="single" w:sz="4" w:space="0" w:color="A6A6A6"/>
              <w:bottom w:val="single" w:sz="4" w:space="0" w:color="A6A6A6"/>
            </w:tcBorders>
            <w:hideMark/>
          </w:tcPr>
          <w:p w14:paraId="6B57072D" w14:textId="179CAC34" w:rsidR="00FE0922" w:rsidRPr="002029AF" w:rsidRDefault="00FE0922" w:rsidP="00FE0922">
            <w:pPr>
              <w:pStyle w:val="ARfintablebodycentrebold"/>
              <w:rPr>
                <w:lang w:eastAsia="en-GB"/>
              </w:rPr>
            </w:pPr>
            <w:r w:rsidRPr="005633EE">
              <w:t>(b)</w:t>
            </w:r>
          </w:p>
        </w:tc>
      </w:tr>
      <w:tr w:rsidR="00FE0922" w:rsidRPr="002029AF" w14:paraId="7E495828" w14:textId="77777777" w:rsidTr="00FE0922">
        <w:tc>
          <w:tcPr>
            <w:tcW w:w="4407" w:type="dxa"/>
            <w:tcBorders>
              <w:top w:val="single" w:sz="4" w:space="0" w:color="A6A6A6"/>
              <w:bottom w:val="single" w:sz="4" w:space="0" w:color="A6A6A6"/>
            </w:tcBorders>
            <w:hideMark/>
          </w:tcPr>
          <w:p w14:paraId="1C2D4426" w14:textId="6095C9CB" w:rsidR="00FE0922" w:rsidRPr="002029AF" w:rsidRDefault="00FE0922" w:rsidP="00EB6B59">
            <w:pPr>
              <w:pStyle w:val="ARfintablebody"/>
              <w:rPr>
                <w:lang w:eastAsia="en-GB"/>
              </w:rPr>
            </w:pPr>
            <w:r w:rsidRPr="005633EE">
              <w:t>Non</w:t>
            </w:r>
            <w:r w:rsidR="00EB6B59">
              <w:t>-</w:t>
            </w:r>
            <w:r w:rsidRPr="005633EE">
              <w:t>financial assets classified as held for sale including disposal group assets</w:t>
            </w:r>
          </w:p>
        </w:tc>
        <w:tc>
          <w:tcPr>
            <w:tcW w:w="1119" w:type="dxa"/>
            <w:tcBorders>
              <w:top w:val="single" w:sz="4" w:space="0" w:color="A6A6A6"/>
              <w:bottom w:val="single" w:sz="4" w:space="0" w:color="A6A6A6"/>
            </w:tcBorders>
            <w:hideMark/>
          </w:tcPr>
          <w:p w14:paraId="0F9C189C" w14:textId="7E0F9F19" w:rsidR="00FE0922" w:rsidRPr="002029AF" w:rsidRDefault="00FE0922" w:rsidP="00FE0922">
            <w:pPr>
              <w:pStyle w:val="ARfintablebodyright"/>
              <w:rPr>
                <w:lang w:eastAsia="en-GB"/>
              </w:rPr>
            </w:pPr>
            <w:r w:rsidRPr="005633EE">
              <w:t>–</w:t>
            </w:r>
          </w:p>
        </w:tc>
        <w:tc>
          <w:tcPr>
            <w:tcW w:w="1125" w:type="dxa"/>
            <w:tcBorders>
              <w:top w:val="single" w:sz="4" w:space="0" w:color="A6A6A6"/>
              <w:bottom w:val="single" w:sz="4" w:space="0" w:color="A6A6A6"/>
            </w:tcBorders>
          </w:tcPr>
          <w:p w14:paraId="4EBEF594" w14:textId="38576E81" w:rsidR="00FE0922" w:rsidRPr="002029AF" w:rsidRDefault="00FE0922" w:rsidP="00FE0922">
            <w:pPr>
              <w:pStyle w:val="ARfintablebodyright"/>
              <w:rPr>
                <w:lang w:eastAsia="en-GB"/>
              </w:rPr>
            </w:pPr>
            <w:r w:rsidRPr="005633EE">
              <w:t>1</w:t>
            </w:r>
          </w:p>
        </w:tc>
        <w:tc>
          <w:tcPr>
            <w:tcW w:w="1132" w:type="dxa"/>
            <w:tcBorders>
              <w:top w:val="single" w:sz="4" w:space="0" w:color="A6A6A6"/>
              <w:bottom w:val="single" w:sz="4" w:space="0" w:color="A6A6A6"/>
            </w:tcBorders>
            <w:hideMark/>
          </w:tcPr>
          <w:p w14:paraId="7268D1FD" w14:textId="169669EE" w:rsidR="00FE0922" w:rsidRPr="002029AF" w:rsidRDefault="00FE0922" w:rsidP="00FE0922">
            <w:pPr>
              <w:pStyle w:val="ARfintablebodyright"/>
              <w:rPr>
                <w:lang w:eastAsia="en-GB"/>
              </w:rPr>
            </w:pPr>
            <w:r w:rsidRPr="005633EE">
              <w:t>3</w:t>
            </w:r>
          </w:p>
        </w:tc>
        <w:tc>
          <w:tcPr>
            <w:tcW w:w="1134" w:type="dxa"/>
            <w:tcBorders>
              <w:top w:val="single" w:sz="4" w:space="0" w:color="A6A6A6"/>
              <w:bottom w:val="single" w:sz="4" w:space="0" w:color="A6A6A6"/>
            </w:tcBorders>
            <w:hideMark/>
          </w:tcPr>
          <w:p w14:paraId="3A4CD564" w14:textId="483F4215" w:rsidR="00FE0922" w:rsidRPr="002029AF" w:rsidRDefault="00FE0922" w:rsidP="00FE0922">
            <w:pPr>
              <w:pStyle w:val="ARfintablebodyright"/>
              <w:rPr>
                <w:lang w:eastAsia="en-GB"/>
              </w:rPr>
            </w:pPr>
            <w:r w:rsidRPr="005633EE">
              <w:t>–</w:t>
            </w:r>
          </w:p>
        </w:tc>
        <w:tc>
          <w:tcPr>
            <w:tcW w:w="722" w:type="dxa"/>
            <w:tcBorders>
              <w:top w:val="single" w:sz="4" w:space="0" w:color="A6A6A6"/>
              <w:bottom w:val="single" w:sz="4" w:space="0" w:color="A6A6A6"/>
            </w:tcBorders>
            <w:hideMark/>
          </w:tcPr>
          <w:p w14:paraId="30A3282F" w14:textId="3DD706A8" w:rsidR="00FE0922" w:rsidRPr="002029AF" w:rsidRDefault="00FE0922" w:rsidP="00FE0922">
            <w:pPr>
              <w:pStyle w:val="ARfintablebodyrightbold"/>
              <w:rPr>
                <w:lang w:eastAsia="en-GB"/>
              </w:rPr>
            </w:pPr>
          </w:p>
        </w:tc>
      </w:tr>
      <w:tr w:rsidR="00FE0922" w:rsidRPr="002029AF" w14:paraId="103BB7AF" w14:textId="77777777" w:rsidTr="00FE0922">
        <w:tc>
          <w:tcPr>
            <w:tcW w:w="4407" w:type="dxa"/>
            <w:tcBorders>
              <w:top w:val="single" w:sz="4" w:space="0" w:color="A6A6A6"/>
              <w:bottom w:val="single" w:sz="4" w:space="0" w:color="A6A6A6"/>
            </w:tcBorders>
            <w:hideMark/>
          </w:tcPr>
          <w:p w14:paraId="5EC7E280" w14:textId="62BCD0D9" w:rsidR="00FE0922" w:rsidRPr="002029AF" w:rsidRDefault="00FE0922" w:rsidP="00FE0922">
            <w:pPr>
              <w:pStyle w:val="ARfintablebody"/>
              <w:rPr>
                <w:lang w:eastAsia="en-GB"/>
              </w:rPr>
            </w:pPr>
            <w:r w:rsidRPr="005633EE">
              <w:t>Property, plant and equipment</w:t>
            </w:r>
          </w:p>
        </w:tc>
        <w:tc>
          <w:tcPr>
            <w:tcW w:w="1119" w:type="dxa"/>
            <w:tcBorders>
              <w:top w:val="single" w:sz="4" w:space="0" w:color="A6A6A6"/>
              <w:bottom w:val="single" w:sz="4" w:space="0" w:color="A6A6A6"/>
            </w:tcBorders>
            <w:hideMark/>
          </w:tcPr>
          <w:p w14:paraId="35493EF6" w14:textId="54CC327B" w:rsidR="00FE0922" w:rsidRPr="002029AF" w:rsidRDefault="00FE0922" w:rsidP="00FE0922">
            <w:pPr>
              <w:pStyle w:val="ARfintablebodyright"/>
              <w:rPr>
                <w:lang w:eastAsia="en-GB"/>
              </w:rPr>
            </w:pPr>
            <w:r w:rsidRPr="005633EE">
              <w:t>20,318</w:t>
            </w:r>
          </w:p>
        </w:tc>
        <w:tc>
          <w:tcPr>
            <w:tcW w:w="1125" w:type="dxa"/>
            <w:tcBorders>
              <w:top w:val="single" w:sz="4" w:space="0" w:color="A6A6A6"/>
              <w:bottom w:val="single" w:sz="4" w:space="0" w:color="A6A6A6"/>
            </w:tcBorders>
          </w:tcPr>
          <w:p w14:paraId="4501851C" w14:textId="38B97286" w:rsidR="00FE0922" w:rsidRPr="002029AF" w:rsidRDefault="00FE0922" w:rsidP="00FE0922">
            <w:pPr>
              <w:pStyle w:val="ARfintablebodyright"/>
              <w:rPr>
                <w:lang w:eastAsia="en-GB"/>
              </w:rPr>
            </w:pPr>
            <w:r w:rsidRPr="005633EE">
              <w:t>19,976</w:t>
            </w:r>
          </w:p>
        </w:tc>
        <w:tc>
          <w:tcPr>
            <w:tcW w:w="1132" w:type="dxa"/>
            <w:tcBorders>
              <w:top w:val="single" w:sz="4" w:space="0" w:color="A6A6A6"/>
              <w:bottom w:val="single" w:sz="4" w:space="0" w:color="A6A6A6"/>
            </w:tcBorders>
            <w:hideMark/>
          </w:tcPr>
          <w:p w14:paraId="560143E0" w14:textId="5AAE324C" w:rsidR="00FE0922" w:rsidRPr="002029AF" w:rsidRDefault="00FE0922" w:rsidP="00FE0922">
            <w:pPr>
              <w:pStyle w:val="ARfintablebodyright"/>
              <w:rPr>
                <w:lang w:eastAsia="en-GB"/>
              </w:rPr>
            </w:pPr>
            <w:r w:rsidRPr="005633EE">
              <w:t>21,985</w:t>
            </w:r>
          </w:p>
        </w:tc>
        <w:tc>
          <w:tcPr>
            <w:tcW w:w="1134" w:type="dxa"/>
            <w:tcBorders>
              <w:top w:val="single" w:sz="4" w:space="0" w:color="A6A6A6"/>
              <w:bottom w:val="single" w:sz="4" w:space="0" w:color="A6A6A6"/>
            </w:tcBorders>
            <w:hideMark/>
          </w:tcPr>
          <w:p w14:paraId="0995C06B" w14:textId="292AA71F" w:rsidR="00FE0922" w:rsidRPr="002029AF" w:rsidRDefault="00FE0922" w:rsidP="00FE0922">
            <w:pPr>
              <w:pStyle w:val="ARfintablebodyright"/>
              <w:rPr>
                <w:lang w:eastAsia="en-GB"/>
              </w:rPr>
            </w:pPr>
            <w:r w:rsidRPr="005633EE">
              <w:t>(7.6)</w:t>
            </w:r>
          </w:p>
        </w:tc>
        <w:tc>
          <w:tcPr>
            <w:tcW w:w="722" w:type="dxa"/>
            <w:tcBorders>
              <w:top w:val="single" w:sz="4" w:space="0" w:color="A6A6A6"/>
              <w:bottom w:val="single" w:sz="4" w:space="0" w:color="A6A6A6"/>
            </w:tcBorders>
            <w:hideMark/>
          </w:tcPr>
          <w:p w14:paraId="51038CC1" w14:textId="77777777" w:rsidR="00FE0922" w:rsidRPr="002029AF" w:rsidRDefault="00FE0922" w:rsidP="00FE0922">
            <w:pPr>
              <w:pStyle w:val="ARfintablebodyright"/>
              <w:rPr>
                <w:lang w:eastAsia="en-GB"/>
              </w:rPr>
            </w:pPr>
          </w:p>
        </w:tc>
      </w:tr>
      <w:tr w:rsidR="00FE0922" w:rsidRPr="002029AF" w14:paraId="3681C5DE" w14:textId="77777777" w:rsidTr="00FE0922">
        <w:tc>
          <w:tcPr>
            <w:tcW w:w="4407" w:type="dxa"/>
            <w:tcBorders>
              <w:top w:val="single" w:sz="4" w:space="0" w:color="A6A6A6"/>
              <w:bottom w:val="single" w:sz="4" w:space="0" w:color="A6A6A6"/>
            </w:tcBorders>
            <w:hideMark/>
          </w:tcPr>
          <w:p w14:paraId="5E0279CE" w14:textId="6FB81404" w:rsidR="00FE0922" w:rsidRPr="002029AF" w:rsidRDefault="00FE0922" w:rsidP="00FE0922">
            <w:pPr>
              <w:pStyle w:val="ARfintablebody"/>
              <w:rPr>
                <w:lang w:eastAsia="en-GB"/>
              </w:rPr>
            </w:pPr>
            <w:r w:rsidRPr="005633EE">
              <w:t>Investment properties</w:t>
            </w:r>
          </w:p>
        </w:tc>
        <w:tc>
          <w:tcPr>
            <w:tcW w:w="1119" w:type="dxa"/>
            <w:tcBorders>
              <w:top w:val="single" w:sz="4" w:space="0" w:color="A6A6A6"/>
              <w:bottom w:val="single" w:sz="4" w:space="0" w:color="A6A6A6"/>
            </w:tcBorders>
            <w:hideMark/>
          </w:tcPr>
          <w:p w14:paraId="2007CDBF" w14:textId="7A413401" w:rsidR="00FE0922" w:rsidRPr="002029AF" w:rsidRDefault="00FE0922" w:rsidP="00FE0922">
            <w:pPr>
              <w:pStyle w:val="ARfintablebodyright"/>
              <w:rPr>
                <w:lang w:eastAsia="en-GB"/>
              </w:rPr>
            </w:pPr>
            <w:r w:rsidRPr="005633EE">
              <w:t>141</w:t>
            </w:r>
          </w:p>
        </w:tc>
        <w:tc>
          <w:tcPr>
            <w:tcW w:w="1125" w:type="dxa"/>
            <w:tcBorders>
              <w:top w:val="single" w:sz="4" w:space="0" w:color="A6A6A6"/>
              <w:bottom w:val="single" w:sz="4" w:space="0" w:color="A6A6A6"/>
            </w:tcBorders>
          </w:tcPr>
          <w:p w14:paraId="7E4F85F1" w14:textId="3275070C" w:rsidR="00FE0922" w:rsidRPr="002029AF" w:rsidRDefault="00FE0922" w:rsidP="00FE0922">
            <w:pPr>
              <w:pStyle w:val="ARfintablebodyright"/>
              <w:rPr>
                <w:lang w:eastAsia="en-GB"/>
              </w:rPr>
            </w:pPr>
            <w:r w:rsidRPr="005633EE">
              <w:t>135</w:t>
            </w:r>
          </w:p>
        </w:tc>
        <w:tc>
          <w:tcPr>
            <w:tcW w:w="1132" w:type="dxa"/>
            <w:tcBorders>
              <w:top w:val="single" w:sz="4" w:space="0" w:color="A6A6A6"/>
              <w:bottom w:val="single" w:sz="4" w:space="0" w:color="A6A6A6"/>
            </w:tcBorders>
            <w:hideMark/>
          </w:tcPr>
          <w:p w14:paraId="666CE02A" w14:textId="54C874DC" w:rsidR="00FE0922" w:rsidRPr="002029AF" w:rsidRDefault="00FE0922" w:rsidP="00FE0922">
            <w:pPr>
              <w:pStyle w:val="ARfintablebodyright"/>
              <w:rPr>
                <w:lang w:eastAsia="en-GB"/>
              </w:rPr>
            </w:pPr>
            <w:r w:rsidRPr="005633EE">
              <w:t>135</w:t>
            </w:r>
          </w:p>
        </w:tc>
        <w:tc>
          <w:tcPr>
            <w:tcW w:w="1134" w:type="dxa"/>
            <w:tcBorders>
              <w:top w:val="single" w:sz="4" w:space="0" w:color="A6A6A6"/>
              <w:bottom w:val="single" w:sz="4" w:space="0" w:color="A6A6A6"/>
            </w:tcBorders>
            <w:hideMark/>
          </w:tcPr>
          <w:p w14:paraId="79E0ABE8" w14:textId="643ABBBB" w:rsidR="00FE0922" w:rsidRPr="002029AF" w:rsidRDefault="00FE0922" w:rsidP="00FE0922">
            <w:pPr>
              <w:pStyle w:val="ARfintablebodyright"/>
              <w:rPr>
                <w:lang w:eastAsia="en-GB"/>
              </w:rPr>
            </w:pPr>
            <w:r w:rsidRPr="005633EE">
              <w:t>4.2</w:t>
            </w:r>
          </w:p>
        </w:tc>
        <w:tc>
          <w:tcPr>
            <w:tcW w:w="722" w:type="dxa"/>
            <w:tcBorders>
              <w:top w:val="single" w:sz="4" w:space="0" w:color="A6A6A6"/>
              <w:bottom w:val="single" w:sz="4" w:space="0" w:color="A6A6A6"/>
            </w:tcBorders>
            <w:hideMark/>
          </w:tcPr>
          <w:p w14:paraId="3B2FDEC4" w14:textId="3C40F0A4" w:rsidR="00FE0922" w:rsidRPr="002029AF" w:rsidRDefault="00FE0922" w:rsidP="00FE0922">
            <w:pPr>
              <w:pStyle w:val="ARfintablebodyrightbold"/>
              <w:rPr>
                <w:lang w:eastAsia="en-GB"/>
              </w:rPr>
            </w:pPr>
          </w:p>
        </w:tc>
      </w:tr>
      <w:tr w:rsidR="00FE0922" w:rsidRPr="002029AF" w14:paraId="1D358C6D" w14:textId="77777777" w:rsidTr="00FE0922">
        <w:tc>
          <w:tcPr>
            <w:tcW w:w="4407" w:type="dxa"/>
            <w:tcBorders>
              <w:top w:val="single" w:sz="4" w:space="0" w:color="A6A6A6"/>
              <w:bottom w:val="single" w:sz="4" w:space="0" w:color="A6A6A6"/>
            </w:tcBorders>
            <w:hideMark/>
          </w:tcPr>
          <w:p w14:paraId="2B90A61F" w14:textId="556C0AEA" w:rsidR="00FE0922" w:rsidRPr="002029AF" w:rsidRDefault="00FE0922" w:rsidP="00FE0922">
            <w:pPr>
              <w:pStyle w:val="ARfintablebody"/>
              <w:rPr>
                <w:lang w:eastAsia="en-GB"/>
              </w:rPr>
            </w:pPr>
            <w:r w:rsidRPr="005633EE">
              <w:t>Intangible assets</w:t>
            </w:r>
          </w:p>
        </w:tc>
        <w:tc>
          <w:tcPr>
            <w:tcW w:w="1119" w:type="dxa"/>
            <w:tcBorders>
              <w:top w:val="single" w:sz="4" w:space="0" w:color="A6A6A6"/>
              <w:bottom w:val="single" w:sz="4" w:space="0" w:color="A6A6A6"/>
            </w:tcBorders>
            <w:hideMark/>
          </w:tcPr>
          <w:p w14:paraId="6741D03F" w14:textId="642B0B21" w:rsidR="00FE0922" w:rsidRPr="002029AF" w:rsidRDefault="00FE0922" w:rsidP="00FE0922">
            <w:pPr>
              <w:pStyle w:val="ARfintablebodyright"/>
              <w:rPr>
                <w:lang w:eastAsia="en-GB"/>
              </w:rPr>
            </w:pPr>
            <w:r w:rsidRPr="005633EE">
              <w:t>475</w:t>
            </w:r>
          </w:p>
        </w:tc>
        <w:tc>
          <w:tcPr>
            <w:tcW w:w="1125" w:type="dxa"/>
            <w:tcBorders>
              <w:top w:val="single" w:sz="4" w:space="0" w:color="A6A6A6"/>
              <w:bottom w:val="single" w:sz="4" w:space="0" w:color="A6A6A6"/>
            </w:tcBorders>
          </w:tcPr>
          <w:p w14:paraId="635FCEE4" w14:textId="6256EC05" w:rsidR="00FE0922" w:rsidRPr="002029AF" w:rsidRDefault="00FE0922" w:rsidP="00FE0922">
            <w:pPr>
              <w:pStyle w:val="ARfintablebodyright"/>
              <w:rPr>
                <w:lang w:eastAsia="en-GB"/>
              </w:rPr>
            </w:pPr>
            <w:r w:rsidRPr="005633EE">
              <w:t>305</w:t>
            </w:r>
          </w:p>
        </w:tc>
        <w:tc>
          <w:tcPr>
            <w:tcW w:w="1132" w:type="dxa"/>
            <w:tcBorders>
              <w:top w:val="single" w:sz="4" w:space="0" w:color="A6A6A6"/>
              <w:bottom w:val="single" w:sz="4" w:space="0" w:color="A6A6A6"/>
            </w:tcBorders>
            <w:hideMark/>
          </w:tcPr>
          <w:p w14:paraId="62DEEAAF" w14:textId="6BBD8EE3" w:rsidR="00FE0922" w:rsidRPr="002029AF" w:rsidRDefault="00FE0922" w:rsidP="00FE0922">
            <w:pPr>
              <w:pStyle w:val="ARfintablebodyright"/>
              <w:rPr>
                <w:lang w:eastAsia="en-GB"/>
              </w:rPr>
            </w:pPr>
            <w:r w:rsidRPr="005633EE">
              <w:t>406</w:t>
            </w:r>
          </w:p>
        </w:tc>
        <w:tc>
          <w:tcPr>
            <w:tcW w:w="1134" w:type="dxa"/>
            <w:tcBorders>
              <w:top w:val="single" w:sz="4" w:space="0" w:color="A6A6A6"/>
              <w:bottom w:val="single" w:sz="4" w:space="0" w:color="A6A6A6"/>
            </w:tcBorders>
            <w:hideMark/>
          </w:tcPr>
          <w:p w14:paraId="1CDE27B3" w14:textId="719FE250" w:rsidR="00FE0922" w:rsidRPr="002029AF" w:rsidRDefault="00FE0922" w:rsidP="00FE0922">
            <w:pPr>
              <w:pStyle w:val="ARfintablebodyright"/>
              <w:rPr>
                <w:lang w:eastAsia="en-GB"/>
              </w:rPr>
            </w:pPr>
            <w:r w:rsidRPr="005633EE">
              <w:t>17.0</w:t>
            </w:r>
          </w:p>
        </w:tc>
        <w:tc>
          <w:tcPr>
            <w:tcW w:w="722" w:type="dxa"/>
            <w:tcBorders>
              <w:top w:val="single" w:sz="4" w:space="0" w:color="A6A6A6"/>
              <w:bottom w:val="single" w:sz="4" w:space="0" w:color="A6A6A6"/>
            </w:tcBorders>
            <w:hideMark/>
          </w:tcPr>
          <w:p w14:paraId="11A5B5A1" w14:textId="1DBA12B2" w:rsidR="00FE0922" w:rsidRPr="002029AF" w:rsidRDefault="00FE0922" w:rsidP="00FE0922">
            <w:pPr>
              <w:pStyle w:val="ARfintablebodyrightbold"/>
              <w:rPr>
                <w:lang w:eastAsia="en-GB"/>
              </w:rPr>
            </w:pPr>
          </w:p>
        </w:tc>
      </w:tr>
      <w:tr w:rsidR="00FE0922" w:rsidRPr="002029AF" w14:paraId="782CB2C1" w14:textId="77777777" w:rsidTr="00FE0922">
        <w:tc>
          <w:tcPr>
            <w:tcW w:w="4407" w:type="dxa"/>
            <w:tcBorders>
              <w:top w:val="single" w:sz="4" w:space="0" w:color="A6A6A6"/>
            </w:tcBorders>
            <w:hideMark/>
          </w:tcPr>
          <w:p w14:paraId="2A58E826" w14:textId="791889AC" w:rsidR="00FE0922" w:rsidRPr="002029AF" w:rsidRDefault="00FE0922" w:rsidP="00FE0922">
            <w:pPr>
              <w:pStyle w:val="ARfintablebody"/>
              <w:rPr>
                <w:lang w:eastAsia="en-GB"/>
              </w:rPr>
            </w:pPr>
            <w:r w:rsidRPr="005633EE">
              <w:t>Other</w:t>
            </w:r>
          </w:p>
        </w:tc>
        <w:tc>
          <w:tcPr>
            <w:tcW w:w="1119" w:type="dxa"/>
            <w:tcBorders>
              <w:top w:val="single" w:sz="4" w:space="0" w:color="A6A6A6"/>
            </w:tcBorders>
            <w:hideMark/>
          </w:tcPr>
          <w:p w14:paraId="2FCEB646" w14:textId="2162F830" w:rsidR="00FE0922" w:rsidRPr="002029AF" w:rsidRDefault="00FE0922" w:rsidP="00FE0922">
            <w:pPr>
              <w:pStyle w:val="ARfintablebodyright"/>
              <w:rPr>
                <w:lang w:eastAsia="en-GB"/>
              </w:rPr>
            </w:pPr>
            <w:r w:rsidRPr="005633EE">
              <w:t>287</w:t>
            </w:r>
          </w:p>
        </w:tc>
        <w:tc>
          <w:tcPr>
            <w:tcW w:w="1125" w:type="dxa"/>
            <w:tcBorders>
              <w:top w:val="single" w:sz="4" w:space="0" w:color="A6A6A6"/>
            </w:tcBorders>
          </w:tcPr>
          <w:p w14:paraId="6A10390F" w14:textId="6CD80C45" w:rsidR="00FE0922" w:rsidRPr="002029AF" w:rsidRDefault="00FE0922" w:rsidP="00FE0922">
            <w:pPr>
              <w:pStyle w:val="ARfintablebodyright"/>
              <w:rPr>
                <w:lang w:eastAsia="en-GB"/>
              </w:rPr>
            </w:pPr>
            <w:r w:rsidRPr="005633EE">
              <w:t>139</w:t>
            </w:r>
          </w:p>
        </w:tc>
        <w:tc>
          <w:tcPr>
            <w:tcW w:w="1132" w:type="dxa"/>
            <w:tcBorders>
              <w:top w:val="single" w:sz="4" w:space="0" w:color="A6A6A6"/>
            </w:tcBorders>
            <w:hideMark/>
          </w:tcPr>
          <w:p w14:paraId="28336550" w14:textId="541BAE43" w:rsidR="00FE0922" w:rsidRPr="002029AF" w:rsidRDefault="00FE0922" w:rsidP="00FE0922">
            <w:pPr>
              <w:pStyle w:val="ARfintablebodyright"/>
              <w:rPr>
                <w:lang w:eastAsia="en-GB"/>
              </w:rPr>
            </w:pPr>
            <w:r w:rsidRPr="005633EE">
              <w:t>177</w:t>
            </w:r>
          </w:p>
        </w:tc>
        <w:tc>
          <w:tcPr>
            <w:tcW w:w="1134" w:type="dxa"/>
            <w:tcBorders>
              <w:top w:val="single" w:sz="4" w:space="0" w:color="A6A6A6"/>
            </w:tcBorders>
            <w:hideMark/>
          </w:tcPr>
          <w:p w14:paraId="56C26549" w14:textId="22BED046" w:rsidR="00FE0922" w:rsidRPr="002029AF" w:rsidRDefault="00FE0922" w:rsidP="00FE0922">
            <w:pPr>
              <w:pStyle w:val="ARfintablebodyright"/>
              <w:rPr>
                <w:lang w:eastAsia="en-GB"/>
              </w:rPr>
            </w:pPr>
            <w:r w:rsidRPr="005633EE">
              <w:t>62.3</w:t>
            </w:r>
          </w:p>
        </w:tc>
        <w:tc>
          <w:tcPr>
            <w:tcW w:w="722" w:type="dxa"/>
            <w:tcBorders>
              <w:top w:val="single" w:sz="4" w:space="0" w:color="A6A6A6"/>
            </w:tcBorders>
            <w:hideMark/>
          </w:tcPr>
          <w:p w14:paraId="7AB47656" w14:textId="0D48D5AA" w:rsidR="00FE0922" w:rsidRPr="002029AF" w:rsidRDefault="00FE0922" w:rsidP="00FE0922">
            <w:pPr>
              <w:pStyle w:val="ARfintablebodyrightbold"/>
              <w:rPr>
                <w:lang w:eastAsia="en-GB"/>
              </w:rPr>
            </w:pPr>
          </w:p>
        </w:tc>
      </w:tr>
      <w:tr w:rsidR="00FE0922" w:rsidRPr="002029AF" w14:paraId="30BC8862" w14:textId="77777777" w:rsidTr="00FE0922">
        <w:tc>
          <w:tcPr>
            <w:tcW w:w="4407" w:type="dxa"/>
            <w:hideMark/>
          </w:tcPr>
          <w:p w14:paraId="65D29D82" w14:textId="41A7DEBE" w:rsidR="00FE0922" w:rsidRPr="002029AF" w:rsidRDefault="00FE0922" w:rsidP="00FE0922">
            <w:pPr>
              <w:pStyle w:val="ARfintablebodybold"/>
              <w:rPr>
                <w:lang w:eastAsia="en-GB"/>
              </w:rPr>
            </w:pPr>
            <w:r w:rsidRPr="005633EE">
              <w:t>Total non-financial assets</w:t>
            </w:r>
          </w:p>
        </w:tc>
        <w:tc>
          <w:tcPr>
            <w:tcW w:w="1119" w:type="dxa"/>
            <w:hideMark/>
          </w:tcPr>
          <w:p w14:paraId="5BF166C2" w14:textId="3B602D51" w:rsidR="00FE0922" w:rsidRPr="002029AF" w:rsidRDefault="00FE0922" w:rsidP="00FE0922">
            <w:pPr>
              <w:pStyle w:val="ARfintablebodyrightbold"/>
              <w:rPr>
                <w:lang w:eastAsia="en-GB"/>
              </w:rPr>
            </w:pPr>
            <w:r w:rsidRPr="005633EE">
              <w:t>21,999</w:t>
            </w:r>
          </w:p>
        </w:tc>
        <w:tc>
          <w:tcPr>
            <w:tcW w:w="1125" w:type="dxa"/>
          </w:tcPr>
          <w:p w14:paraId="7588F9A3" w14:textId="73B750DE" w:rsidR="00FE0922" w:rsidRPr="002029AF" w:rsidRDefault="00FE0922" w:rsidP="00FE0922">
            <w:pPr>
              <w:pStyle w:val="ARfintablebodyrightbold"/>
              <w:rPr>
                <w:lang w:eastAsia="en-GB"/>
              </w:rPr>
            </w:pPr>
            <w:r w:rsidRPr="005633EE">
              <w:t>21,394</w:t>
            </w:r>
          </w:p>
        </w:tc>
        <w:tc>
          <w:tcPr>
            <w:tcW w:w="1132" w:type="dxa"/>
            <w:hideMark/>
          </w:tcPr>
          <w:p w14:paraId="56FFF4D8" w14:textId="3865B44A" w:rsidR="00FE0922" w:rsidRPr="002029AF" w:rsidRDefault="00FE0922" w:rsidP="00FE0922">
            <w:pPr>
              <w:pStyle w:val="ARfintablebodyrightbold"/>
              <w:rPr>
                <w:lang w:eastAsia="en-GB"/>
              </w:rPr>
            </w:pPr>
            <w:r w:rsidRPr="005633EE">
              <w:t>22,823</w:t>
            </w:r>
          </w:p>
        </w:tc>
        <w:tc>
          <w:tcPr>
            <w:tcW w:w="1134" w:type="dxa"/>
            <w:hideMark/>
          </w:tcPr>
          <w:p w14:paraId="3460F08A" w14:textId="2687596E" w:rsidR="00FE0922" w:rsidRPr="002029AF" w:rsidRDefault="00FE0922" w:rsidP="00FE0922">
            <w:pPr>
              <w:pStyle w:val="ARfintablebodyrightbold"/>
              <w:rPr>
                <w:lang w:eastAsia="en-GB"/>
              </w:rPr>
            </w:pPr>
            <w:r w:rsidRPr="005633EE">
              <w:t>(3.6)</w:t>
            </w:r>
          </w:p>
        </w:tc>
        <w:tc>
          <w:tcPr>
            <w:tcW w:w="722" w:type="dxa"/>
            <w:hideMark/>
          </w:tcPr>
          <w:p w14:paraId="05F8B175" w14:textId="77777777" w:rsidR="00FE0922" w:rsidRPr="002029AF" w:rsidRDefault="00FE0922" w:rsidP="00FE0922">
            <w:pPr>
              <w:pStyle w:val="ARfintablebodyright"/>
              <w:rPr>
                <w:lang w:eastAsia="en-GB"/>
              </w:rPr>
            </w:pPr>
          </w:p>
        </w:tc>
      </w:tr>
      <w:tr w:rsidR="00FE0922" w:rsidRPr="002029AF" w14:paraId="73495785" w14:textId="77777777" w:rsidTr="00FE0922">
        <w:tc>
          <w:tcPr>
            <w:tcW w:w="4407" w:type="dxa"/>
            <w:tcBorders>
              <w:bottom w:val="single" w:sz="4" w:space="0" w:color="auto"/>
            </w:tcBorders>
            <w:hideMark/>
          </w:tcPr>
          <w:p w14:paraId="4BC8D7E4" w14:textId="5F915880" w:rsidR="00FE0922" w:rsidRPr="002029AF" w:rsidRDefault="00FE0922" w:rsidP="00FE0922">
            <w:pPr>
              <w:pStyle w:val="ARfintablebodybold"/>
              <w:rPr>
                <w:lang w:eastAsia="en-GB"/>
              </w:rPr>
            </w:pPr>
            <w:r w:rsidRPr="005633EE">
              <w:t>Total assets</w:t>
            </w:r>
          </w:p>
        </w:tc>
        <w:tc>
          <w:tcPr>
            <w:tcW w:w="1119" w:type="dxa"/>
            <w:tcBorders>
              <w:bottom w:val="single" w:sz="4" w:space="0" w:color="auto"/>
            </w:tcBorders>
            <w:hideMark/>
          </w:tcPr>
          <w:p w14:paraId="730F19D2" w14:textId="3ACE440E" w:rsidR="00FE0922" w:rsidRPr="002029AF" w:rsidRDefault="00FE0922" w:rsidP="00FE0922">
            <w:pPr>
              <w:pStyle w:val="ARfintablebodyrightbold"/>
              <w:rPr>
                <w:lang w:eastAsia="en-GB"/>
              </w:rPr>
            </w:pPr>
            <w:r w:rsidRPr="005633EE">
              <w:t>29,453</w:t>
            </w:r>
          </w:p>
        </w:tc>
        <w:tc>
          <w:tcPr>
            <w:tcW w:w="1125" w:type="dxa"/>
            <w:tcBorders>
              <w:bottom w:val="single" w:sz="4" w:space="0" w:color="auto"/>
            </w:tcBorders>
          </w:tcPr>
          <w:p w14:paraId="34B9FAD4" w14:textId="1615AB80" w:rsidR="00FE0922" w:rsidRPr="002029AF" w:rsidRDefault="00FE0922" w:rsidP="00FE0922">
            <w:pPr>
              <w:pStyle w:val="ARfintablebodyrightbold"/>
              <w:rPr>
                <w:lang w:eastAsia="en-GB"/>
              </w:rPr>
            </w:pPr>
            <w:r w:rsidRPr="005633EE">
              <w:t>27,512</w:t>
            </w:r>
          </w:p>
        </w:tc>
        <w:tc>
          <w:tcPr>
            <w:tcW w:w="1132" w:type="dxa"/>
            <w:tcBorders>
              <w:bottom w:val="single" w:sz="4" w:space="0" w:color="auto"/>
            </w:tcBorders>
            <w:hideMark/>
          </w:tcPr>
          <w:p w14:paraId="255E7EE2" w14:textId="1BABD14A" w:rsidR="00FE0922" w:rsidRPr="002029AF" w:rsidRDefault="00FE0922" w:rsidP="00FE0922">
            <w:pPr>
              <w:pStyle w:val="ARfintablebodyrightbold"/>
              <w:rPr>
                <w:lang w:eastAsia="en-GB"/>
              </w:rPr>
            </w:pPr>
            <w:r w:rsidRPr="005633EE">
              <w:t>29,254</w:t>
            </w:r>
          </w:p>
        </w:tc>
        <w:tc>
          <w:tcPr>
            <w:tcW w:w="1134" w:type="dxa"/>
            <w:tcBorders>
              <w:bottom w:val="single" w:sz="4" w:space="0" w:color="auto"/>
            </w:tcBorders>
            <w:hideMark/>
          </w:tcPr>
          <w:p w14:paraId="353665AA" w14:textId="7E9E42B1" w:rsidR="00FE0922" w:rsidRPr="002029AF" w:rsidRDefault="00FE0922" w:rsidP="00FE0922">
            <w:pPr>
              <w:pStyle w:val="ARfintablebodyrightbold"/>
              <w:rPr>
                <w:lang w:eastAsia="en-GB"/>
              </w:rPr>
            </w:pPr>
            <w:r w:rsidRPr="005633EE">
              <w:t>0.7</w:t>
            </w:r>
          </w:p>
        </w:tc>
        <w:tc>
          <w:tcPr>
            <w:tcW w:w="722" w:type="dxa"/>
            <w:tcBorders>
              <w:bottom w:val="single" w:sz="4" w:space="0" w:color="auto"/>
            </w:tcBorders>
            <w:hideMark/>
          </w:tcPr>
          <w:p w14:paraId="02E70221" w14:textId="77777777" w:rsidR="00FE0922" w:rsidRPr="002029AF" w:rsidRDefault="00FE0922" w:rsidP="00FE0922">
            <w:pPr>
              <w:pStyle w:val="ARfintablebodyright"/>
              <w:rPr>
                <w:lang w:eastAsia="en-GB"/>
              </w:rPr>
            </w:pPr>
          </w:p>
        </w:tc>
      </w:tr>
      <w:tr w:rsidR="00FE0922" w:rsidRPr="002029AF" w14:paraId="698C9AF9" w14:textId="77777777" w:rsidTr="00FE0922">
        <w:tc>
          <w:tcPr>
            <w:tcW w:w="9639" w:type="dxa"/>
            <w:gridSpan w:val="6"/>
            <w:tcBorders>
              <w:top w:val="single" w:sz="4" w:space="0" w:color="auto"/>
              <w:bottom w:val="single" w:sz="4" w:space="0" w:color="A6A6A6"/>
            </w:tcBorders>
          </w:tcPr>
          <w:p w14:paraId="5FAF779D" w14:textId="54A3AEE3" w:rsidR="00FE0922" w:rsidRPr="002029AF" w:rsidRDefault="00FE0922" w:rsidP="00FE0922">
            <w:pPr>
              <w:pStyle w:val="ARfintablebodybold"/>
              <w:rPr>
                <w:lang w:eastAsia="en-GB"/>
              </w:rPr>
            </w:pPr>
            <w:r w:rsidRPr="005633EE">
              <w:t>Liabilities</w:t>
            </w:r>
          </w:p>
        </w:tc>
      </w:tr>
      <w:tr w:rsidR="00FE0922" w:rsidRPr="002029AF" w14:paraId="6F9B3F6A" w14:textId="77777777" w:rsidTr="00FE0922">
        <w:tc>
          <w:tcPr>
            <w:tcW w:w="4407" w:type="dxa"/>
            <w:tcBorders>
              <w:top w:val="single" w:sz="4" w:space="0" w:color="A6A6A6"/>
              <w:bottom w:val="single" w:sz="4" w:space="0" w:color="A6A6A6"/>
            </w:tcBorders>
            <w:hideMark/>
          </w:tcPr>
          <w:p w14:paraId="52223399" w14:textId="0E4EE309" w:rsidR="00FE0922" w:rsidRPr="002029AF" w:rsidRDefault="00FE0922" w:rsidP="00FE0922">
            <w:pPr>
              <w:pStyle w:val="ARfintablebody"/>
              <w:rPr>
                <w:lang w:eastAsia="en-GB"/>
              </w:rPr>
            </w:pPr>
            <w:r w:rsidRPr="005633EE">
              <w:t>Payables</w:t>
            </w:r>
          </w:p>
        </w:tc>
        <w:tc>
          <w:tcPr>
            <w:tcW w:w="1119" w:type="dxa"/>
            <w:tcBorders>
              <w:top w:val="single" w:sz="4" w:space="0" w:color="A6A6A6"/>
              <w:bottom w:val="single" w:sz="4" w:space="0" w:color="A6A6A6"/>
            </w:tcBorders>
            <w:hideMark/>
          </w:tcPr>
          <w:p w14:paraId="05225911" w14:textId="5E8CC5C9" w:rsidR="00FE0922" w:rsidRPr="002029AF" w:rsidRDefault="00FE0922" w:rsidP="00FE0922">
            <w:pPr>
              <w:pStyle w:val="ARfintablebodyright"/>
              <w:rPr>
                <w:lang w:eastAsia="en-GB"/>
              </w:rPr>
            </w:pPr>
            <w:r w:rsidRPr="005633EE">
              <w:t>2,887</w:t>
            </w:r>
          </w:p>
        </w:tc>
        <w:tc>
          <w:tcPr>
            <w:tcW w:w="1125" w:type="dxa"/>
            <w:tcBorders>
              <w:top w:val="single" w:sz="4" w:space="0" w:color="A6A6A6"/>
              <w:bottom w:val="single" w:sz="4" w:space="0" w:color="A6A6A6"/>
            </w:tcBorders>
          </w:tcPr>
          <w:p w14:paraId="1A3B71ED" w14:textId="598C9DDD" w:rsidR="00FE0922" w:rsidRPr="002029AF" w:rsidRDefault="00FE0922" w:rsidP="00FE0922">
            <w:pPr>
              <w:pStyle w:val="ARfintablebodyright"/>
              <w:rPr>
                <w:lang w:eastAsia="en-GB"/>
              </w:rPr>
            </w:pPr>
            <w:r w:rsidRPr="005633EE">
              <w:t>2,534</w:t>
            </w:r>
          </w:p>
        </w:tc>
        <w:tc>
          <w:tcPr>
            <w:tcW w:w="1132" w:type="dxa"/>
            <w:tcBorders>
              <w:top w:val="single" w:sz="4" w:space="0" w:color="A6A6A6"/>
              <w:bottom w:val="single" w:sz="4" w:space="0" w:color="A6A6A6"/>
            </w:tcBorders>
            <w:hideMark/>
          </w:tcPr>
          <w:p w14:paraId="11BF848C" w14:textId="1188A76B" w:rsidR="00FE0922" w:rsidRPr="002029AF" w:rsidRDefault="00FE0922" w:rsidP="00FE0922">
            <w:pPr>
              <w:pStyle w:val="ARfintablebodyright"/>
              <w:rPr>
                <w:lang w:eastAsia="en-GB"/>
              </w:rPr>
            </w:pPr>
            <w:r w:rsidRPr="005633EE">
              <w:t>2,779</w:t>
            </w:r>
          </w:p>
        </w:tc>
        <w:tc>
          <w:tcPr>
            <w:tcW w:w="1134" w:type="dxa"/>
            <w:tcBorders>
              <w:top w:val="single" w:sz="4" w:space="0" w:color="A6A6A6"/>
              <w:bottom w:val="single" w:sz="4" w:space="0" w:color="A6A6A6"/>
            </w:tcBorders>
            <w:hideMark/>
          </w:tcPr>
          <w:p w14:paraId="7B4C9824" w14:textId="7AC915D4" w:rsidR="00FE0922" w:rsidRPr="002029AF" w:rsidRDefault="00FE0922" w:rsidP="00FE0922">
            <w:pPr>
              <w:pStyle w:val="ARfintablebodyright"/>
              <w:rPr>
                <w:lang w:eastAsia="en-GB"/>
              </w:rPr>
            </w:pPr>
            <w:r w:rsidRPr="005633EE">
              <w:t>3.9</w:t>
            </w:r>
          </w:p>
        </w:tc>
        <w:tc>
          <w:tcPr>
            <w:tcW w:w="722" w:type="dxa"/>
            <w:tcBorders>
              <w:top w:val="single" w:sz="4" w:space="0" w:color="A6A6A6"/>
              <w:bottom w:val="single" w:sz="4" w:space="0" w:color="A6A6A6"/>
            </w:tcBorders>
            <w:hideMark/>
          </w:tcPr>
          <w:p w14:paraId="4475A081" w14:textId="77777777" w:rsidR="00FE0922" w:rsidRPr="002029AF" w:rsidRDefault="00FE0922" w:rsidP="00FE0922">
            <w:pPr>
              <w:pStyle w:val="ARfintablebodyright"/>
              <w:rPr>
                <w:lang w:eastAsia="en-GB"/>
              </w:rPr>
            </w:pPr>
          </w:p>
        </w:tc>
      </w:tr>
      <w:tr w:rsidR="00FE0922" w:rsidRPr="002029AF" w14:paraId="6AB95AD5" w14:textId="77777777" w:rsidTr="00FE0922">
        <w:tc>
          <w:tcPr>
            <w:tcW w:w="4407" w:type="dxa"/>
            <w:tcBorders>
              <w:top w:val="single" w:sz="4" w:space="0" w:color="A6A6A6"/>
              <w:bottom w:val="single" w:sz="4" w:space="0" w:color="A6A6A6"/>
            </w:tcBorders>
            <w:hideMark/>
          </w:tcPr>
          <w:p w14:paraId="31DCBB72" w14:textId="26F0A468" w:rsidR="00FE0922" w:rsidRPr="002029AF" w:rsidRDefault="00FE0922" w:rsidP="00FE0922">
            <w:pPr>
              <w:pStyle w:val="ARfintablebody"/>
              <w:rPr>
                <w:lang w:eastAsia="en-GB"/>
              </w:rPr>
            </w:pPr>
            <w:r w:rsidRPr="005633EE">
              <w:t>Borrowings</w:t>
            </w:r>
          </w:p>
        </w:tc>
        <w:tc>
          <w:tcPr>
            <w:tcW w:w="1119" w:type="dxa"/>
            <w:tcBorders>
              <w:top w:val="single" w:sz="4" w:space="0" w:color="A6A6A6"/>
              <w:bottom w:val="single" w:sz="4" w:space="0" w:color="A6A6A6"/>
            </w:tcBorders>
            <w:hideMark/>
          </w:tcPr>
          <w:p w14:paraId="7C0FDAA7" w14:textId="41010A16" w:rsidR="00FE0922" w:rsidRPr="002029AF" w:rsidRDefault="00FE0922" w:rsidP="00FE0922">
            <w:pPr>
              <w:pStyle w:val="ARfintablebodyright"/>
              <w:rPr>
                <w:lang w:eastAsia="en-GB"/>
              </w:rPr>
            </w:pPr>
            <w:r w:rsidRPr="005633EE">
              <w:t>3,333</w:t>
            </w:r>
          </w:p>
        </w:tc>
        <w:tc>
          <w:tcPr>
            <w:tcW w:w="1125" w:type="dxa"/>
            <w:tcBorders>
              <w:top w:val="single" w:sz="4" w:space="0" w:color="A6A6A6"/>
              <w:bottom w:val="single" w:sz="4" w:space="0" w:color="A6A6A6"/>
            </w:tcBorders>
          </w:tcPr>
          <w:p w14:paraId="6FA71907" w14:textId="5FECC462" w:rsidR="00FE0922" w:rsidRPr="002029AF" w:rsidRDefault="00FE0922" w:rsidP="00FE0922">
            <w:pPr>
              <w:pStyle w:val="ARfintablebodyright"/>
              <w:rPr>
                <w:lang w:eastAsia="en-GB"/>
              </w:rPr>
            </w:pPr>
            <w:r w:rsidRPr="005633EE">
              <w:t>3,398</w:t>
            </w:r>
          </w:p>
        </w:tc>
        <w:tc>
          <w:tcPr>
            <w:tcW w:w="1132" w:type="dxa"/>
            <w:tcBorders>
              <w:top w:val="single" w:sz="4" w:space="0" w:color="A6A6A6"/>
              <w:bottom w:val="single" w:sz="4" w:space="0" w:color="A6A6A6"/>
            </w:tcBorders>
            <w:hideMark/>
          </w:tcPr>
          <w:p w14:paraId="07443B7F" w14:textId="6689AD24" w:rsidR="00FE0922" w:rsidRPr="002029AF" w:rsidRDefault="00FE0922" w:rsidP="00FE0922">
            <w:pPr>
              <w:pStyle w:val="ARfintablebodyright"/>
              <w:rPr>
                <w:lang w:eastAsia="en-GB"/>
              </w:rPr>
            </w:pPr>
            <w:r w:rsidRPr="005633EE">
              <w:t>3,410</w:t>
            </w:r>
          </w:p>
        </w:tc>
        <w:tc>
          <w:tcPr>
            <w:tcW w:w="1134" w:type="dxa"/>
            <w:tcBorders>
              <w:top w:val="single" w:sz="4" w:space="0" w:color="A6A6A6"/>
              <w:bottom w:val="single" w:sz="4" w:space="0" w:color="A6A6A6"/>
            </w:tcBorders>
            <w:hideMark/>
          </w:tcPr>
          <w:p w14:paraId="5FAB304E" w14:textId="6143739E" w:rsidR="00FE0922" w:rsidRPr="002029AF" w:rsidRDefault="00FE0922" w:rsidP="00FE0922">
            <w:pPr>
              <w:pStyle w:val="ARfintablebodyright"/>
              <w:rPr>
                <w:lang w:eastAsia="en-GB"/>
              </w:rPr>
            </w:pPr>
            <w:r w:rsidRPr="005633EE">
              <w:t>(2.3)</w:t>
            </w:r>
          </w:p>
        </w:tc>
        <w:tc>
          <w:tcPr>
            <w:tcW w:w="722" w:type="dxa"/>
            <w:tcBorders>
              <w:top w:val="single" w:sz="4" w:space="0" w:color="A6A6A6"/>
              <w:bottom w:val="single" w:sz="4" w:space="0" w:color="A6A6A6"/>
            </w:tcBorders>
            <w:hideMark/>
          </w:tcPr>
          <w:p w14:paraId="456910E1" w14:textId="77777777" w:rsidR="00FE0922" w:rsidRPr="002029AF" w:rsidRDefault="00FE0922" w:rsidP="00FE0922">
            <w:pPr>
              <w:pStyle w:val="ARfintablebodyright"/>
              <w:rPr>
                <w:lang w:eastAsia="en-GB"/>
              </w:rPr>
            </w:pPr>
          </w:p>
        </w:tc>
      </w:tr>
      <w:tr w:rsidR="00FE0922" w:rsidRPr="002029AF" w14:paraId="705DF572" w14:textId="77777777" w:rsidTr="00FE0922">
        <w:tc>
          <w:tcPr>
            <w:tcW w:w="4407" w:type="dxa"/>
            <w:tcBorders>
              <w:top w:val="single" w:sz="4" w:space="0" w:color="A6A6A6"/>
            </w:tcBorders>
            <w:hideMark/>
          </w:tcPr>
          <w:p w14:paraId="63DE8813" w14:textId="5C3E14F1" w:rsidR="00FE0922" w:rsidRPr="002029AF" w:rsidRDefault="00FE0922" w:rsidP="00FE0922">
            <w:pPr>
              <w:pStyle w:val="ARfintablebody"/>
              <w:rPr>
                <w:lang w:eastAsia="en-GB"/>
              </w:rPr>
            </w:pPr>
            <w:r w:rsidRPr="005633EE">
              <w:t>Provisions</w:t>
            </w:r>
          </w:p>
        </w:tc>
        <w:tc>
          <w:tcPr>
            <w:tcW w:w="1119" w:type="dxa"/>
            <w:tcBorders>
              <w:top w:val="single" w:sz="4" w:space="0" w:color="A6A6A6"/>
            </w:tcBorders>
            <w:hideMark/>
          </w:tcPr>
          <w:p w14:paraId="6B1733EA" w14:textId="6DEEBE8D" w:rsidR="00FE0922" w:rsidRPr="002029AF" w:rsidRDefault="00FE0922" w:rsidP="00FE0922">
            <w:pPr>
              <w:pStyle w:val="ARfintablebodyright"/>
              <w:rPr>
                <w:lang w:eastAsia="en-GB"/>
              </w:rPr>
            </w:pPr>
            <w:r w:rsidRPr="005633EE">
              <w:t>3,935</w:t>
            </w:r>
          </w:p>
        </w:tc>
        <w:tc>
          <w:tcPr>
            <w:tcW w:w="1125" w:type="dxa"/>
            <w:tcBorders>
              <w:top w:val="single" w:sz="4" w:space="0" w:color="A6A6A6"/>
            </w:tcBorders>
          </w:tcPr>
          <w:p w14:paraId="2FE7D9D9" w14:textId="7B110BB3" w:rsidR="00FE0922" w:rsidRPr="002029AF" w:rsidRDefault="00FE0922" w:rsidP="00FE0922">
            <w:pPr>
              <w:pStyle w:val="ARfintablebodyright"/>
              <w:rPr>
                <w:lang w:eastAsia="en-GB"/>
              </w:rPr>
            </w:pPr>
            <w:r w:rsidRPr="005633EE">
              <w:t>3,782</w:t>
            </w:r>
          </w:p>
        </w:tc>
        <w:tc>
          <w:tcPr>
            <w:tcW w:w="1132" w:type="dxa"/>
            <w:tcBorders>
              <w:top w:val="single" w:sz="4" w:space="0" w:color="A6A6A6"/>
            </w:tcBorders>
            <w:hideMark/>
          </w:tcPr>
          <w:p w14:paraId="742F913D" w14:textId="49F8CEDB" w:rsidR="00FE0922" w:rsidRPr="002029AF" w:rsidRDefault="00FE0922" w:rsidP="00FE0922">
            <w:pPr>
              <w:pStyle w:val="ARfintablebodyright"/>
              <w:rPr>
                <w:lang w:eastAsia="en-GB"/>
              </w:rPr>
            </w:pPr>
            <w:r w:rsidRPr="005633EE">
              <w:t>4,176</w:t>
            </w:r>
          </w:p>
        </w:tc>
        <w:tc>
          <w:tcPr>
            <w:tcW w:w="1134" w:type="dxa"/>
            <w:tcBorders>
              <w:top w:val="single" w:sz="4" w:space="0" w:color="A6A6A6"/>
            </w:tcBorders>
            <w:hideMark/>
          </w:tcPr>
          <w:p w14:paraId="5FE3CD77" w14:textId="396DCD40" w:rsidR="00FE0922" w:rsidRPr="002029AF" w:rsidRDefault="00FE0922" w:rsidP="00FE0922">
            <w:pPr>
              <w:pStyle w:val="ARfintablebodyright"/>
              <w:rPr>
                <w:lang w:eastAsia="en-GB"/>
              </w:rPr>
            </w:pPr>
            <w:r w:rsidRPr="005633EE">
              <w:t>(5.8)</w:t>
            </w:r>
          </w:p>
        </w:tc>
        <w:tc>
          <w:tcPr>
            <w:tcW w:w="722" w:type="dxa"/>
            <w:tcBorders>
              <w:top w:val="single" w:sz="4" w:space="0" w:color="A6A6A6"/>
            </w:tcBorders>
            <w:hideMark/>
          </w:tcPr>
          <w:p w14:paraId="414E3542" w14:textId="77777777" w:rsidR="00FE0922" w:rsidRPr="002029AF" w:rsidRDefault="00FE0922" w:rsidP="00FE0922">
            <w:pPr>
              <w:pStyle w:val="ARfintablebodyright"/>
              <w:rPr>
                <w:lang w:eastAsia="en-GB"/>
              </w:rPr>
            </w:pPr>
          </w:p>
        </w:tc>
      </w:tr>
      <w:tr w:rsidR="00FE0922" w:rsidRPr="002029AF" w14:paraId="601EBEB7" w14:textId="77777777" w:rsidTr="00FE0922">
        <w:tc>
          <w:tcPr>
            <w:tcW w:w="4407" w:type="dxa"/>
            <w:hideMark/>
          </w:tcPr>
          <w:p w14:paraId="5F9E19C3" w14:textId="6332D304" w:rsidR="00FE0922" w:rsidRPr="002029AF" w:rsidRDefault="00FE0922" w:rsidP="00FE0922">
            <w:pPr>
              <w:pStyle w:val="ARfintablebodybold"/>
              <w:rPr>
                <w:lang w:eastAsia="en-GB"/>
              </w:rPr>
            </w:pPr>
            <w:r w:rsidRPr="005633EE">
              <w:t>Total liabilities</w:t>
            </w:r>
          </w:p>
        </w:tc>
        <w:tc>
          <w:tcPr>
            <w:tcW w:w="1119" w:type="dxa"/>
            <w:hideMark/>
          </w:tcPr>
          <w:p w14:paraId="4F4F37B7" w14:textId="44DDD3DB" w:rsidR="00FE0922" w:rsidRPr="002029AF" w:rsidRDefault="00FE0922" w:rsidP="00FE0922">
            <w:pPr>
              <w:pStyle w:val="ARfintablebodyrightbold"/>
              <w:rPr>
                <w:lang w:eastAsia="en-GB"/>
              </w:rPr>
            </w:pPr>
            <w:r w:rsidRPr="005633EE">
              <w:t>10,156</w:t>
            </w:r>
          </w:p>
        </w:tc>
        <w:tc>
          <w:tcPr>
            <w:tcW w:w="1125" w:type="dxa"/>
          </w:tcPr>
          <w:p w14:paraId="62D7818E" w14:textId="0D1557B9" w:rsidR="00FE0922" w:rsidRPr="002029AF" w:rsidRDefault="00FE0922" w:rsidP="00FE0922">
            <w:pPr>
              <w:pStyle w:val="ARfintablebodyrightbold"/>
              <w:rPr>
                <w:lang w:eastAsia="en-GB"/>
              </w:rPr>
            </w:pPr>
            <w:r w:rsidRPr="005633EE">
              <w:t>9,714</w:t>
            </w:r>
          </w:p>
        </w:tc>
        <w:tc>
          <w:tcPr>
            <w:tcW w:w="1132" w:type="dxa"/>
            <w:hideMark/>
          </w:tcPr>
          <w:p w14:paraId="2D193435" w14:textId="6708EB32" w:rsidR="00FE0922" w:rsidRPr="002029AF" w:rsidRDefault="00FE0922" w:rsidP="00FE0922">
            <w:pPr>
              <w:pStyle w:val="ARfintablebodyrightbold"/>
              <w:rPr>
                <w:lang w:eastAsia="en-GB"/>
              </w:rPr>
            </w:pPr>
            <w:r w:rsidRPr="005633EE">
              <w:t>10,365</w:t>
            </w:r>
          </w:p>
        </w:tc>
        <w:tc>
          <w:tcPr>
            <w:tcW w:w="1134" w:type="dxa"/>
            <w:hideMark/>
          </w:tcPr>
          <w:p w14:paraId="3AF4AF18" w14:textId="493F592B" w:rsidR="00FE0922" w:rsidRPr="002029AF" w:rsidRDefault="00FE0922" w:rsidP="00FE0922">
            <w:pPr>
              <w:pStyle w:val="ARfintablebodyrightbold"/>
              <w:rPr>
                <w:lang w:eastAsia="en-GB"/>
              </w:rPr>
            </w:pPr>
            <w:r w:rsidRPr="005633EE">
              <w:t>(2.0)</w:t>
            </w:r>
          </w:p>
        </w:tc>
        <w:tc>
          <w:tcPr>
            <w:tcW w:w="722" w:type="dxa"/>
            <w:hideMark/>
          </w:tcPr>
          <w:p w14:paraId="57EDFD64" w14:textId="77777777" w:rsidR="00FE0922" w:rsidRPr="002029AF" w:rsidRDefault="00FE0922" w:rsidP="00FE0922">
            <w:pPr>
              <w:pStyle w:val="ARfintablebodyright"/>
              <w:rPr>
                <w:lang w:eastAsia="en-GB"/>
              </w:rPr>
            </w:pPr>
          </w:p>
        </w:tc>
      </w:tr>
      <w:tr w:rsidR="00FE0922" w:rsidRPr="002029AF" w14:paraId="3D012285" w14:textId="77777777" w:rsidTr="00FE0922">
        <w:tc>
          <w:tcPr>
            <w:tcW w:w="4407" w:type="dxa"/>
            <w:tcBorders>
              <w:bottom w:val="single" w:sz="4" w:space="0" w:color="auto"/>
            </w:tcBorders>
            <w:hideMark/>
          </w:tcPr>
          <w:p w14:paraId="16876712" w14:textId="7F9A3F2B" w:rsidR="00FE0922" w:rsidRPr="002029AF" w:rsidRDefault="00FE0922" w:rsidP="00FE0922">
            <w:pPr>
              <w:pStyle w:val="ARfintablebodybold"/>
              <w:rPr>
                <w:lang w:eastAsia="en-GB"/>
              </w:rPr>
            </w:pPr>
            <w:r w:rsidRPr="005633EE">
              <w:t>Net assets</w:t>
            </w:r>
          </w:p>
        </w:tc>
        <w:tc>
          <w:tcPr>
            <w:tcW w:w="1119" w:type="dxa"/>
            <w:tcBorders>
              <w:bottom w:val="single" w:sz="4" w:space="0" w:color="auto"/>
            </w:tcBorders>
            <w:hideMark/>
          </w:tcPr>
          <w:p w14:paraId="6389E94A" w14:textId="6733624B" w:rsidR="00FE0922" w:rsidRPr="002029AF" w:rsidRDefault="00FE0922" w:rsidP="00FE0922">
            <w:pPr>
              <w:pStyle w:val="ARfintablebodyrightbold"/>
              <w:rPr>
                <w:lang w:eastAsia="en-GB"/>
              </w:rPr>
            </w:pPr>
            <w:r w:rsidRPr="005633EE">
              <w:t>19,297</w:t>
            </w:r>
          </w:p>
        </w:tc>
        <w:tc>
          <w:tcPr>
            <w:tcW w:w="1125" w:type="dxa"/>
            <w:tcBorders>
              <w:bottom w:val="single" w:sz="4" w:space="0" w:color="auto"/>
            </w:tcBorders>
          </w:tcPr>
          <w:p w14:paraId="7F164805" w14:textId="394EB61B" w:rsidR="00FE0922" w:rsidRPr="002029AF" w:rsidRDefault="00FE0922" w:rsidP="00FE0922">
            <w:pPr>
              <w:pStyle w:val="ARfintablebodyrightbold"/>
              <w:rPr>
                <w:lang w:eastAsia="en-GB"/>
              </w:rPr>
            </w:pPr>
            <w:r w:rsidRPr="005633EE">
              <w:t>17,798</w:t>
            </w:r>
          </w:p>
        </w:tc>
        <w:tc>
          <w:tcPr>
            <w:tcW w:w="1132" w:type="dxa"/>
            <w:tcBorders>
              <w:bottom w:val="single" w:sz="4" w:space="0" w:color="auto"/>
            </w:tcBorders>
            <w:hideMark/>
          </w:tcPr>
          <w:p w14:paraId="3CC7AE39" w14:textId="57328BD2" w:rsidR="00FE0922" w:rsidRPr="002029AF" w:rsidRDefault="00FE0922" w:rsidP="00FE0922">
            <w:pPr>
              <w:pStyle w:val="ARfintablebodyrightbold"/>
              <w:rPr>
                <w:lang w:eastAsia="en-GB"/>
              </w:rPr>
            </w:pPr>
            <w:r w:rsidRPr="005633EE">
              <w:t>18,889</w:t>
            </w:r>
          </w:p>
        </w:tc>
        <w:tc>
          <w:tcPr>
            <w:tcW w:w="1134" w:type="dxa"/>
            <w:tcBorders>
              <w:bottom w:val="single" w:sz="4" w:space="0" w:color="auto"/>
            </w:tcBorders>
            <w:hideMark/>
          </w:tcPr>
          <w:p w14:paraId="5373A197" w14:textId="0CAB1963" w:rsidR="00FE0922" w:rsidRPr="002029AF" w:rsidRDefault="00FE0922" w:rsidP="00FE0922">
            <w:pPr>
              <w:pStyle w:val="ARfintablebodyrightbold"/>
              <w:rPr>
                <w:lang w:eastAsia="en-GB"/>
              </w:rPr>
            </w:pPr>
            <w:r w:rsidRPr="005633EE">
              <w:t>2.2</w:t>
            </w:r>
          </w:p>
        </w:tc>
        <w:tc>
          <w:tcPr>
            <w:tcW w:w="722" w:type="dxa"/>
            <w:tcBorders>
              <w:bottom w:val="single" w:sz="4" w:space="0" w:color="auto"/>
            </w:tcBorders>
            <w:hideMark/>
          </w:tcPr>
          <w:p w14:paraId="160AF261" w14:textId="77777777" w:rsidR="00FE0922" w:rsidRPr="002029AF" w:rsidRDefault="00FE0922" w:rsidP="00FE0922">
            <w:pPr>
              <w:pStyle w:val="ARfintablebodyright"/>
              <w:rPr>
                <w:lang w:eastAsia="en-GB"/>
              </w:rPr>
            </w:pPr>
          </w:p>
        </w:tc>
      </w:tr>
      <w:tr w:rsidR="00FE0922" w:rsidRPr="002029AF" w14:paraId="6B72E3AE" w14:textId="77777777" w:rsidTr="00FE0922">
        <w:tc>
          <w:tcPr>
            <w:tcW w:w="9639" w:type="dxa"/>
            <w:gridSpan w:val="6"/>
            <w:tcBorders>
              <w:top w:val="single" w:sz="4" w:space="0" w:color="auto"/>
              <w:bottom w:val="single" w:sz="4" w:space="0" w:color="A6A6A6"/>
            </w:tcBorders>
          </w:tcPr>
          <w:p w14:paraId="6F961364" w14:textId="73407DBD" w:rsidR="00FE0922" w:rsidRPr="002029AF" w:rsidRDefault="00FE0922" w:rsidP="00FE0922">
            <w:pPr>
              <w:pStyle w:val="ARfintablebodybold"/>
              <w:rPr>
                <w:lang w:eastAsia="en-GB"/>
              </w:rPr>
            </w:pPr>
            <w:r w:rsidRPr="005633EE">
              <w:t>Equity</w:t>
            </w:r>
          </w:p>
        </w:tc>
      </w:tr>
      <w:tr w:rsidR="00FE0922" w:rsidRPr="002029AF" w14:paraId="5DC25B1C" w14:textId="77777777" w:rsidTr="00FE0922">
        <w:tc>
          <w:tcPr>
            <w:tcW w:w="4407" w:type="dxa"/>
            <w:tcBorders>
              <w:top w:val="single" w:sz="4" w:space="0" w:color="A6A6A6"/>
              <w:bottom w:val="single" w:sz="4" w:space="0" w:color="A6A6A6"/>
            </w:tcBorders>
            <w:hideMark/>
          </w:tcPr>
          <w:p w14:paraId="319569E5" w14:textId="78E8D7C9" w:rsidR="00FE0922" w:rsidRPr="002029AF" w:rsidRDefault="00FE0922" w:rsidP="00FE0922">
            <w:pPr>
              <w:pStyle w:val="ARfintablebody"/>
              <w:rPr>
                <w:lang w:eastAsia="en-GB"/>
              </w:rPr>
            </w:pPr>
            <w:r w:rsidRPr="005633EE">
              <w:t>Accumulated surplus/(deficit)</w:t>
            </w:r>
          </w:p>
        </w:tc>
        <w:tc>
          <w:tcPr>
            <w:tcW w:w="1119" w:type="dxa"/>
            <w:tcBorders>
              <w:top w:val="single" w:sz="4" w:space="0" w:color="A6A6A6"/>
              <w:bottom w:val="single" w:sz="4" w:space="0" w:color="A6A6A6"/>
            </w:tcBorders>
            <w:hideMark/>
          </w:tcPr>
          <w:p w14:paraId="4C0C4E62" w14:textId="1FC88450" w:rsidR="00FE0922" w:rsidRPr="002029AF" w:rsidRDefault="00FE0922" w:rsidP="00FE0922">
            <w:pPr>
              <w:pStyle w:val="ARfintablebodyright"/>
              <w:rPr>
                <w:lang w:eastAsia="en-GB"/>
              </w:rPr>
            </w:pPr>
            <w:r w:rsidRPr="005633EE">
              <w:t>3,844</w:t>
            </w:r>
          </w:p>
        </w:tc>
        <w:tc>
          <w:tcPr>
            <w:tcW w:w="1125" w:type="dxa"/>
            <w:tcBorders>
              <w:top w:val="single" w:sz="4" w:space="0" w:color="A6A6A6"/>
              <w:bottom w:val="single" w:sz="4" w:space="0" w:color="A6A6A6"/>
            </w:tcBorders>
          </w:tcPr>
          <w:p w14:paraId="6E1FEE2B" w14:textId="6A88C5BB" w:rsidR="00FE0922" w:rsidRPr="002029AF" w:rsidRDefault="00FE0922" w:rsidP="00FE0922">
            <w:pPr>
              <w:pStyle w:val="ARfintablebodyright"/>
              <w:rPr>
                <w:lang w:eastAsia="en-GB"/>
              </w:rPr>
            </w:pPr>
            <w:r w:rsidRPr="005633EE">
              <w:t>2,492</w:t>
            </w:r>
          </w:p>
        </w:tc>
        <w:tc>
          <w:tcPr>
            <w:tcW w:w="1132" w:type="dxa"/>
            <w:tcBorders>
              <w:top w:val="single" w:sz="4" w:space="0" w:color="A6A6A6"/>
              <w:bottom w:val="single" w:sz="4" w:space="0" w:color="A6A6A6"/>
            </w:tcBorders>
            <w:hideMark/>
          </w:tcPr>
          <w:p w14:paraId="0F27D76D" w14:textId="2566DCCB" w:rsidR="00FE0922" w:rsidRPr="002029AF" w:rsidRDefault="00FE0922" w:rsidP="00FE0922">
            <w:pPr>
              <w:pStyle w:val="ARfintablebodyright"/>
              <w:rPr>
                <w:lang w:eastAsia="en-GB"/>
              </w:rPr>
            </w:pPr>
            <w:r w:rsidRPr="005633EE">
              <w:t>2,018</w:t>
            </w:r>
          </w:p>
        </w:tc>
        <w:tc>
          <w:tcPr>
            <w:tcW w:w="1134" w:type="dxa"/>
            <w:tcBorders>
              <w:top w:val="single" w:sz="4" w:space="0" w:color="A6A6A6"/>
              <w:bottom w:val="single" w:sz="4" w:space="0" w:color="A6A6A6"/>
            </w:tcBorders>
            <w:hideMark/>
          </w:tcPr>
          <w:p w14:paraId="06803190" w14:textId="52AAD9D3" w:rsidR="00FE0922" w:rsidRPr="002029AF" w:rsidRDefault="00FE0922" w:rsidP="00FE0922">
            <w:pPr>
              <w:pStyle w:val="ARfintablebodyright"/>
              <w:rPr>
                <w:lang w:eastAsia="en-GB"/>
              </w:rPr>
            </w:pPr>
            <w:r w:rsidRPr="005633EE">
              <w:t>90.5</w:t>
            </w:r>
          </w:p>
        </w:tc>
        <w:tc>
          <w:tcPr>
            <w:tcW w:w="722" w:type="dxa"/>
            <w:tcBorders>
              <w:top w:val="single" w:sz="4" w:space="0" w:color="A6A6A6"/>
              <w:bottom w:val="single" w:sz="4" w:space="0" w:color="A6A6A6"/>
            </w:tcBorders>
            <w:hideMark/>
          </w:tcPr>
          <w:p w14:paraId="7EFA274B" w14:textId="77777777" w:rsidR="00FE0922" w:rsidRPr="002029AF" w:rsidRDefault="00FE0922" w:rsidP="00FE0922">
            <w:pPr>
              <w:pStyle w:val="ARfintablebodyright"/>
              <w:rPr>
                <w:lang w:eastAsia="en-GB"/>
              </w:rPr>
            </w:pPr>
          </w:p>
        </w:tc>
      </w:tr>
      <w:tr w:rsidR="00FE0922" w:rsidRPr="002029AF" w14:paraId="587A9BE2" w14:textId="77777777" w:rsidTr="00FE0922">
        <w:tc>
          <w:tcPr>
            <w:tcW w:w="4407" w:type="dxa"/>
            <w:tcBorders>
              <w:top w:val="single" w:sz="4" w:space="0" w:color="A6A6A6"/>
              <w:bottom w:val="single" w:sz="4" w:space="0" w:color="A6A6A6"/>
            </w:tcBorders>
          </w:tcPr>
          <w:p w14:paraId="14D95A93" w14:textId="7F736876" w:rsidR="00FE0922" w:rsidRPr="002029AF" w:rsidRDefault="00FE0922" w:rsidP="00FE0922">
            <w:pPr>
              <w:pStyle w:val="ARfintablebody"/>
              <w:rPr>
                <w:lang w:eastAsia="en-GB"/>
              </w:rPr>
            </w:pPr>
            <w:r w:rsidRPr="005633EE">
              <w:t>Reserves</w:t>
            </w:r>
          </w:p>
        </w:tc>
        <w:tc>
          <w:tcPr>
            <w:tcW w:w="1119" w:type="dxa"/>
            <w:tcBorders>
              <w:top w:val="single" w:sz="4" w:space="0" w:color="A6A6A6"/>
              <w:bottom w:val="single" w:sz="4" w:space="0" w:color="A6A6A6"/>
            </w:tcBorders>
          </w:tcPr>
          <w:p w14:paraId="717473D8" w14:textId="097B7DE4" w:rsidR="00FE0922" w:rsidRPr="002029AF" w:rsidRDefault="00FE0922" w:rsidP="00FE0922">
            <w:pPr>
              <w:pStyle w:val="ARfintablebodyright"/>
              <w:rPr>
                <w:lang w:eastAsia="en-GB"/>
              </w:rPr>
            </w:pPr>
            <w:r w:rsidRPr="005633EE">
              <w:t>10,507</w:t>
            </w:r>
          </w:p>
        </w:tc>
        <w:tc>
          <w:tcPr>
            <w:tcW w:w="1125" w:type="dxa"/>
            <w:tcBorders>
              <w:top w:val="single" w:sz="4" w:space="0" w:color="A6A6A6"/>
              <w:bottom w:val="single" w:sz="4" w:space="0" w:color="A6A6A6"/>
            </w:tcBorders>
          </w:tcPr>
          <w:p w14:paraId="1B8D1963" w14:textId="61995397" w:rsidR="00FE0922" w:rsidRPr="002029AF" w:rsidRDefault="00FE0922" w:rsidP="00FE0922">
            <w:pPr>
              <w:pStyle w:val="ARfintablebodyright"/>
              <w:rPr>
                <w:lang w:eastAsia="en-GB"/>
              </w:rPr>
            </w:pPr>
            <w:r w:rsidRPr="005633EE">
              <w:t>10,414</w:t>
            </w:r>
          </w:p>
        </w:tc>
        <w:tc>
          <w:tcPr>
            <w:tcW w:w="1132" w:type="dxa"/>
            <w:tcBorders>
              <w:top w:val="single" w:sz="4" w:space="0" w:color="A6A6A6"/>
              <w:bottom w:val="single" w:sz="4" w:space="0" w:color="A6A6A6"/>
            </w:tcBorders>
          </w:tcPr>
          <w:p w14:paraId="0F139E72" w14:textId="5228B7CC" w:rsidR="00FE0922" w:rsidRPr="002029AF" w:rsidRDefault="00FE0922" w:rsidP="00FE0922">
            <w:pPr>
              <w:pStyle w:val="ARfintablebodyright"/>
              <w:rPr>
                <w:lang w:eastAsia="en-GB"/>
              </w:rPr>
            </w:pPr>
            <w:r w:rsidRPr="005633EE">
              <w:t>10,414</w:t>
            </w:r>
          </w:p>
        </w:tc>
        <w:tc>
          <w:tcPr>
            <w:tcW w:w="1134" w:type="dxa"/>
            <w:tcBorders>
              <w:top w:val="single" w:sz="4" w:space="0" w:color="A6A6A6"/>
              <w:bottom w:val="single" w:sz="4" w:space="0" w:color="A6A6A6"/>
            </w:tcBorders>
          </w:tcPr>
          <w:p w14:paraId="7EB226B8" w14:textId="7F1FF52E" w:rsidR="00FE0922" w:rsidRPr="002029AF" w:rsidRDefault="00FE0922" w:rsidP="00FE0922">
            <w:pPr>
              <w:pStyle w:val="ARfintablebodyright"/>
              <w:rPr>
                <w:lang w:eastAsia="en-GB"/>
              </w:rPr>
            </w:pPr>
            <w:r w:rsidRPr="005633EE">
              <w:t>0.9</w:t>
            </w:r>
          </w:p>
        </w:tc>
        <w:tc>
          <w:tcPr>
            <w:tcW w:w="722" w:type="dxa"/>
            <w:tcBorders>
              <w:top w:val="single" w:sz="4" w:space="0" w:color="A6A6A6"/>
              <w:bottom w:val="single" w:sz="4" w:space="0" w:color="A6A6A6"/>
            </w:tcBorders>
          </w:tcPr>
          <w:p w14:paraId="13846099" w14:textId="77777777" w:rsidR="00FE0922" w:rsidRPr="002029AF" w:rsidRDefault="00FE0922" w:rsidP="00FE0922">
            <w:pPr>
              <w:pStyle w:val="ARfintablebodyright"/>
              <w:rPr>
                <w:lang w:eastAsia="en-GB"/>
              </w:rPr>
            </w:pPr>
          </w:p>
        </w:tc>
      </w:tr>
      <w:tr w:rsidR="00FE0922" w:rsidRPr="002029AF" w14:paraId="52AABCC7" w14:textId="77777777" w:rsidTr="00FE0922">
        <w:tc>
          <w:tcPr>
            <w:tcW w:w="4407" w:type="dxa"/>
            <w:tcBorders>
              <w:top w:val="single" w:sz="4" w:space="0" w:color="A6A6A6"/>
            </w:tcBorders>
            <w:hideMark/>
          </w:tcPr>
          <w:p w14:paraId="042E2C8C" w14:textId="19F1DFE5" w:rsidR="00FE0922" w:rsidRPr="002029AF" w:rsidRDefault="00FE0922" w:rsidP="00FE0922">
            <w:pPr>
              <w:pStyle w:val="ARfintablebody"/>
              <w:rPr>
                <w:lang w:eastAsia="en-GB"/>
              </w:rPr>
            </w:pPr>
            <w:r w:rsidRPr="005633EE">
              <w:t>Contributed capital</w:t>
            </w:r>
          </w:p>
        </w:tc>
        <w:tc>
          <w:tcPr>
            <w:tcW w:w="1119" w:type="dxa"/>
            <w:tcBorders>
              <w:top w:val="single" w:sz="4" w:space="0" w:color="A6A6A6"/>
            </w:tcBorders>
            <w:hideMark/>
          </w:tcPr>
          <w:p w14:paraId="7A6FB57F" w14:textId="4A8B7832" w:rsidR="00FE0922" w:rsidRPr="002029AF" w:rsidRDefault="00FE0922" w:rsidP="00FE0922">
            <w:pPr>
              <w:pStyle w:val="ARfintablebodyright"/>
              <w:rPr>
                <w:lang w:eastAsia="en-GB"/>
              </w:rPr>
            </w:pPr>
            <w:r w:rsidRPr="005633EE">
              <w:t>4,947</w:t>
            </w:r>
          </w:p>
        </w:tc>
        <w:tc>
          <w:tcPr>
            <w:tcW w:w="1125" w:type="dxa"/>
            <w:tcBorders>
              <w:top w:val="single" w:sz="4" w:space="0" w:color="A6A6A6"/>
            </w:tcBorders>
          </w:tcPr>
          <w:p w14:paraId="707F7353" w14:textId="638EE044" w:rsidR="00FE0922" w:rsidRPr="002029AF" w:rsidRDefault="00FE0922" w:rsidP="00FE0922">
            <w:pPr>
              <w:pStyle w:val="ARfintablebodyright"/>
              <w:rPr>
                <w:lang w:eastAsia="en-GB"/>
              </w:rPr>
            </w:pPr>
            <w:r w:rsidRPr="005633EE">
              <w:t>4,893</w:t>
            </w:r>
          </w:p>
        </w:tc>
        <w:tc>
          <w:tcPr>
            <w:tcW w:w="1132" w:type="dxa"/>
            <w:tcBorders>
              <w:top w:val="single" w:sz="4" w:space="0" w:color="A6A6A6"/>
            </w:tcBorders>
            <w:hideMark/>
          </w:tcPr>
          <w:p w14:paraId="2A92C3A5" w14:textId="283BDD9F" w:rsidR="00FE0922" w:rsidRPr="002029AF" w:rsidRDefault="00FE0922" w:rsidP="00FE0922">
            <w:pPr>
              <w:pStyle w:val="ARfintablebodyright"/>
              <w:rPr>
                <w:lang w:eastAsia="en-GB"/>
              </w:rPr>
            </w:pPr>
            <w:r w:rsidRPr="005633EE">
              <w:t>6,458</w:t>
            </w:r>
          </w:p>
        </w:tc>
        <w:tc>
          <w:tcPr>
            <w:tcW w:w="1134" w:type="dxa"/>
            <w:tcBorders>
              <w:top w:val="single" w:sz="4" w:space="0" w:color="A6A6A6"/>
            </w:tcBorders>
            <w:hideMark/>
          </w:tcPr>
          <w:p w14:paraId="5B686A2E" w14:textId="1348DAE6" w:rsidR="00FE0922" w:rsidRPr="002029AF" w:rsidRDefault="00FE0922" w:rsidP="00FE0922">
            <w:pPr>
              <w:pStyle w:val="ARfintablebodyright"/>
              <w:rPr>
                <w:lang w:eastAsia="en-GB"/>
              </w:rPr>
            </w:pPr>
            <w:r w:rsidRPr="005633EE">
              <w:t>(23.4)</w:t>
            </w:r>
          </w:p>
        </w:tc>
        <w:tc>
          <w:tcPr>
            <w:tcW w:w="722" w:type="dxa"/>
            <w:tcBorders>
              <w:top w:val="single" w:sz="4" w:space="0" w:color="A6A6A6"/>
            </w:tcBorders>
            <w:hideMark/>
          </w:tcPr>
          <w:p w14:paraId="4FBE4D5D" w14:textId="77777777" w:rsidR="00FE0922" w:rsidRPr="002029AF" w:rsidRDefault="00FE0922" w:rsidP="00FE0922">
            <w:pPr>
              <w:pStyle w:val="ARfintablebodyright"/>
              <w:rPr>
                <w:lang w:eastAsia="en-GB"/>
              </w:rPr>
            </w:pPr>
          </w:p>
        </w:tc>
      </w:tr>
      <w:tr w:rsidR="00FE0922" w:rsidRPr="002029AF" w14:paraId="1CBBCE1A" w14:textId="77777777" w:rsidTr="00FE0922">
        <w:tc>
          <w:tcPr>
            <w:tcW w:w="4407" w:type="dxa"/>
            <w:hideMark/>
          </w:tcPr>
          <w:p w14:paraId="7B190FE2" w14:textId="1094F81D" w:rsidR="00FE0922" w:rsidRPr="002029AF" w:rsidRDefault="00FE0922" w:rsidP="00FE0922">
            <w:pPr>
              <w:pStyle w:val="ARfintablebodybold"/>
              <w:rPr>
                <w:lang w:eastAsia="en-GB"/>
              </w:rPr>
            </w:pPr>
            <w:r w:rsidRPr="005633EE">
              <w:t>Total equity</w:t>
            </w:r>
          </w:p>
        </w:tc>
        <w:tc>
          <w:tcPr>
            <w:tcW w:w="1119" w:type="dxa"/>
            <w:hideMark/>
          </w:tcPr>
          <w:p w14:paraId="0B833908" w14:textId="00FB4E6B" w:rsidR="00FE0922" w:rsidRPr="002029AF" w:rsidRDefault="00FE0922" w:rsidP="00FE0922">
            <w:pPr>
              <w:pStyle w:val="ARfintablebodyrightbold"/>
              <w:rPr>
                <w:lang w:eastAsia="en-GB"/>
              </w:rPr>
            </w:pPr>
            <w:r w:rsidRPr="005633EE">
              <w:t>19,298</w:t>
            </w:r>
          </w:p>
        </w:tc>
        <w:tc>
          <w:tcPr>
            <w:tcW w:w="1125" w:type="dxa"/>
          </w:tcPr>
          <w:p w14:paraId="708C2B6D" w14:textId="43FC217C" w:rsidR="00FE0922" w:rsidRPr="002029AF" w:rsidRDefault="00FE0922" w:rsidP="00FE0922">
            <w:pPr>
              <w:pStyle w:val="ARfintablebodyrightbold"/>
              <w:rPr>
                <w:lang w:eastAsia="en-GB"/>
              </w:rPr>
            </w:pPr>
            <w:r w:rsidRPr="005633EE">
              <w:t>17,798</w:t>
            </w:r>
          </w:p>
        </w:tc>
        <w:tc>
          <w:tcPr>
            <w:tcW w:w="1132" w:type="dxa"/>
            <w:hideMark/>
          </w:tcPr>
          <w:p w14:paraId="442F98FC" w14:textId="41414322" w:rsidR="00FE0922" w:rsidRPr="002029AF" w:rsidRDefault="00FE0922" w:rsidP="00FE0922">
            <w:pPr>
              <w:pStyle w:val="ARfintablebodyrightbold"/>
              <w:rPr>
                <w:lang w:eastAsia="en-GB"/>
              </w:rPr>
            </w:pPr>
            <w:r w:rsidRPr="005633EE">
              <w:t>18,889</w:t>
            </w:r>
          </w:p>
        </w:tc>
        <w:tc>
          <w:tcPr>
            <w:tcW w:w="1134" w:type="dxa"/>
            <w:hideMark/>
          </w:tcPr>
          <w:p w14:paraId="710CD469" w14:textId="7F20522A" w:rsidR="00FE0922" w:rsidRPr="002029AF" w:rsidRDefault="00FE0922" w:rsidP="00FE0922">
            <w:pPr>
              <w:pStyle w:val="ARfintablebodyrightbold"/>
              <w:rPr>
                <w:lang w:eastAsia="en-GB"/>
              </w:rPr>
            </w:pPr>
            <w:r w:rsidRPr="005633EE">
              <w:t>2.2</w:t>
            </w:r>
          </w:p>
        </w:tc>
        <w:tc>
          <w:tcPr>
            <w:tcW w:w="722" w:type="dxa"/>
            <w:hideMark/>
          </w:tcPr>
          <w:p w14:paraId="143DAA52" w14:textId="77777777" w:rsidR="00FE0922" w:rsidRPr="002029AF" w:rsidRDefault="00FE0922" w:rsidP="00FE0922">
            <w:pPr>
              <w:pStyle w:val="ARfintablebodyright"/>
              <w:rPr>
                <w:lang w:eastAsia="en-GB"/>
              </w:rPr>
            </w:pPr>
          </w:p>
        </w:tc>
      </w:tr>
    </w:tbl>
    <w:p w14:paraId="6B486E18" w14:textId="203F05E9" w:rsidR="00FE0922" w:rsidRDefault="00FE0922" w:rsidP="003B1F81">
      <w:pPr>
        <w:pStyle w:val="ARtablefootnotealpha"/>
        <w:numPr>
          <w:ilvl w:val="0"/>
          <w:numId w:val="31"/>
        </w:numPr>
      </w:pPr>
      <w:r>
        <w:t>The 2020–21 Revised Budget reflects the impact of the machinery of government changes whereby the Child Protection, Prevention of Family Violence, Housing and Disability functions were transferred to the Department of Families, Fairness and Housing effective 1 February 2021.</w:t>
      </w:r>
    </w:p>
    <w:p w14:paraId="54B47EBC" w14:textId="7952C0CF" w:rsidR="00FE0922" w:rsidRDefault="00FE0922" w:rsidP="00FE0922">
      <w:pPr>
        <w:pStyle w:val="ARtablefootnotealpha"/>
      </w:pPr>
      <w:r>
        <w:t>Inventories on hand as at 30 June 2021 relate to consumables such as personal protective equipment purchased in response to the COVID-19 pandemic and not yet consumed.</w:t>
      </w:r>
    </w:p>
    <w:p w14:paraId="1CAA43E9" w14:textId="0FB8411F" w:rsidR="00783A61" w:rsidRPr="002029AF" w:rsidRDefault="00783A61" w:rsidP="00783A61">
      <w:pPr>
        <w:pStyle w:val="ARbody"/>
      </w:pPr>
      <w:r w:rsidRPr="002029AF">
        <w:br w:type="page"/>
      </w:r>
    </w:p>
    <w:p w14:paraId="31403F22" w14:textId="516A177F" w:rsidR="00783A61" w:rsidRDefault="00783A61" w:rsidP="00783A61">
      <w:pPr>
        <w:pStyle w:val="Heading3"/>
      </w:pPr>
      <w:bookmarkStart w:id="1111" w:name="_Toc85121579"/>
      <w:r w:rsidRPr="00A13347">
        <w:lastRenderedPageBreak/>
        <w:t>Statement of cash flows for the financial year ended 30</w:t>
      </w:r>
      <w:r>
        <w:t xml:space="preserve"> </w:t>
      </w:r>
      <w:r w:rsidRPr="00A13347">
        <w:t>June</w:t>
      </w:r>
      <w:r>
        <w:t xml:space="preserve"> </w:t>
      </w:r>
      <w:r w:rsidRPr="00A13347">
        <w:t>2021</w:t>
      </w:r>
      <w:bookmarkEnd w:id="1111"/>
    </w:p>
    <w:tbl>
      <w:tblPr>
        <w:tblStyle w:val="TableGrid"/>
        <w:tblW w:w="9639" w:type="dxa"/>
        <w:tblLook w:val="04A0" w:firstRow="1" w:lastRow="0" w:firstColumn="1" w:lastColumn="0" w:noHBand="0" w:noVBand="1"/>
      </w:tblPr>
      <w:tblGrid>
        <w:gridCol w:w="5103"/>
        <w:gridCol w:w="1134"/>
        <w:gridCol w:w="1134"/>
        <w:gridCol w:w="1134"/>
        <w:gridCol w:w="1134"/>
      </w:tblGrid>
      <w:tr w:rsidR="00921E3F" w:rsidRPr="002029AF" w14:paraId="789C19F1" w14:textId="77777777" w:rsidTr="00C3704C">
        <w:trPr>
          <w:cnfStyle w:val="100000000000" w:firstRow="1" w:lastRow="0" w:firstColumn="0" w:lastColumn="0" w:oddVBand="0" w:evenVBand="0" w:oddHBand="0" w:evenHBand="0" w:firstRowFirstColumn="0" w:firstRowLastColumn="0" w:lastRowFirstColumn="0" w:lastRowLastColumn="0"/>
          <w:tblHeader/>
        </w:trPr>
        <w:tc>
          <w:tcPr>
            <w:tcW w:w="5103" w:type="dxa"/>
            <w:tcBorders>
              <w:bottom w:val="single" w:sz="4" w:space="0" w:color="auto"/>
            </w:tcBorders>
            <w:hideMark/>
          </w:tcPr>
          <w:p w14:paraId="429DADE7" w14:textId="77777777" w:rsidR="00921E3F" w:rsidRPr="002029AF" w:rsidRDefault="00921E3F" w:rsidP="00CE3A97">
            <w:pPr>
              <w:pStyle w:val="ARfintablebody"/>
              <w:rPr>
                <w:lang w:eastAsia="en-GB"/>
              </w:rPr>
            </w:pPr>
          </w:p>
        </w:tc>
        <w:tc>
          <w:tcPr>
            <w:tcW w:w="1134" w:type="dxa"/>
            <w:tcBorders>
              <w:bottom w:val="single" w:sz="4" w:space="0" w:color="auto"/>
            </w:tcBorders>
            <w:hideMark/>
          </w:tcPr>
          <w:p w14:paraId="25938BBF" w14:textId="77777777" w:rsidR="00921E3F" w:rsidRPr="002029AF" w:rsidRDefault="00921E3F" w:rsidP="00CE3A97">
            <w:pPr>
              <w:pStyle w:val="ARfintablecolheadright"/>
            </w:pPr>
            <w:r w:rsidRPr="002029AF">
              <w:t>20</w:t>
            </w:r>
            <w:r>
              <w:t>20–21</w:t>
            </w:r>
          </w:p>
          <w:p w14:paraId="2864DC47" w14:textId="77777777" w:rsidR="00921E3F" w:rsidRPr="002029AF" w:rsidRDefault="00921E3F" w:rsidP="00CE3A97">
            <w:pPr>
              <w:pStyle w:val="ARfintablecolheadright"/>
            </w:pPr>
            <w:r w:rsidRPr="002029AF">
              <w:t>Actual</w:t>
            </w:r>
          </w:p>
          <w:p w14:paraId="3D3850EE" w14:textId="40636AFB" w:rsidR="00921E3F" w:rsidRPr="002029AF" w:rsidRDefault="00921E3F" w:rsidP="00CE3A97">
            <w:pPr>
              <w:pStyle w:val="ARfintablecolheadright"/>
            </w:pPr>
            <w:r w:rsidRPr="002029AF">
              <w:t>$M</w:t>
            </w:r>
          </w:p>
        </w:tc>
        <w:tc>
          <w:tcPr>
            <w:tcW w:w="1134" w:type="dxa"/>
            <w:tcBorders>
              <w:bottom w:val="single" w:sz="4" w:space="0" w:color="auto"/>
            </w:tcBorders>
          </w:tcPr>
          <w:p w14:paraId="410BFB32" w14:textId="77777777" w:rsidR="00921E3F" w:rsidRPr="002029AF" w:rsidRDefault="00921E3F" w:rsidP="00CE3A97">
            <w:pPr>
              <w:pStyle w:val="ARfintablecolheadright"/>
            </w:pPr>
            <w:r w:rsidRPr="002029AF">
              <w:t>20</w:t>
            </w:r>
            <w:r>
              <w:t>20–21</w:t>
            </w:r>
          </w:p>
          <w:p w14:paraId="03B0891B" w14:textId="77777777" w:rsidR="00921E3F" w:rsidRPr="002029AF" w:rsidRDefault="00921E3F" w:rsidP="00CE3A97">
            <w:pPr>
              <w:pStyle w:val="ARfintablecolheadright"/>
            </w:pPr>
            <w:r>
              <w:t>Revised</w:t>
            </w:r>
            <w:r w:rsidRPr="002029AF">
              <w:t xml:space="preserve"> budget</w:t>
            </w:r>
            <w:r>
              <w:t xml:space="preserve"> </w:t>
            </w:r>
            <w:r w:rsidRPr="002A4973">
              <w:rPr>
                <w:rStyle w:val="Superscript"/>
              </w:rPr>
              <w:t>(a)</w:t>
            </w:r>
          </w:p>
          <w:p w14:paraId="2C818848" w14:textId="26887F6A" w:rsidR="00921E3F" w:rsidRPr="002029AF" w:rsidRDefault="00921E3F" w:rsidP="00CE3A97">
            <w:pPr>
              <w:pStyle w:val="ARfintablecolheadright"/>
            </w:pPr>
            <w:r w:rsidRPr="002029AF">
              <w:t>$M</w:t>
            </w:r>
          </w:p>
        </w:tc>
        <w:tc>
          <w:tcPr>
            <w:tcW w:w="1134" w:type="dxa"/>
            <w:tcBorders>
              <w:bottom w:val="single" w:sz="4" w:space="0" w:color="auto"/>
            </w:tcBorders>
            <w:hideMark/>
          </w:tcPr>
          <w:p w14:paraId="00446C4D" w14:textId="77777777" w:rsidR="00921E3F" w:rsidRPr="002029AF" w:rsidRDefault="00921E3F" w:rsidP="00CE3A97">
            <w:pPr>
              <w:pStyle w:val="ARfintablecolheadright"/>
            </w:pPr>
            <w:r w:rsidRPr="002029AF">
              <w:t>20</w:t>
            </w:r>
            <w:r>
              <w:t>20–21</w:t>
            </w:r>
          </w:p>
          <w:p w14:paraId="5BFB7BD8" w14:textId="77777777" w:rsidR="00921E3F" w:rsidRPr="002029AF" w:rsidRDefault="00921E3F" w:rsidP="00CE3A97">
            <w:pPr>
              <w:pStyle w:val="ARfintablecolheadright"/>
            </w:pPr>
            <w:r w:rsidRPr="002029AF">
              <w:t>Published budget</w:t>
            </w:r>
          </w:p>
          <w:p w14:paraId="12A661F6" w14:textId="59CAFE50" w:rsidR="00921E3F" w:rsidRPr="002029AF" w:rsidRDefault="00921E3F" w:rsidP="00CE3A97">
            <w:pPr>
              <w:pStyle w:val="ARfintablecolheadright"/>
            </w:pPr>
            <w:r w:rsidRPr="002029AF">
              <w:t>$M</w:t>
            </w:r>
          </w:p>
        </w:tc>
        <w:tc>
          <w:tcPr>
            <w:tcW w:w="1134" w:type="dxa"/>
            <w:tcBorders>
              <w:bottom w:val="single" w:sz="4" w:space="0" w:color="auto"/>
            </w:tcBorders>
            <w:noWrap/>
            <w:hideMark/>
          </w:tcPr>
          <w:p w14:paraId="02736082" w14:textId="77777777" w:rsidR="00921E3F" w:rsidRPr="002029AF" w:rsidRDefault="00921E3F" w:rsidP="00CE3A97">
            <w:pPr>
              <w:pStyle w:val="ARfintablecolheadright"/>
            </w:pPr>
            <w:r w:rsidRPr="002029AF">
              <w:t>Variation to published budget</w:t>
            </w:r>
          </w:p>
          <w:p w14:paraId="314F0352" w14:textId="1F4A1167" w:rsidR="00921E3F" w:rsidRPr="002029AF" w:rsidRDefault="00921E3F" w:rsidP="00CE3A97">
            <w:pPr>
              <w:pStyle w:val="ARfintablecolheadright"/>
              <w:rPr>
                <w:rFonts w:ascii="Calibri" w:hAnsi="Calibri" w:cs="Calibri"/>
                <w:sz w:val="22"/>
                <w:szCs w:val="22"/>
              </w:rPr>
            </w:pPr>
            <w:r w:rsidRPr="002029AF">
              <w:t>%</w:t>
            </w:r>
          </w:p>
        </w:tc>
      </w:tr>
      <w:tr w:rsidR="00CE3A97" w:rsidRPr="002029AF" w14:paraId="5B76E8C3" w14:textId="77777777" w:rsidTr="00C3704C">
        <w:trPr>
          <w:cantSplit w:val="0"/>
        </w:trPr>
        <w:tc>
          <w:tcPr>
            <w:tcW w:w="5103" w:type="dxa"/>
            <w:gridSpan w:val="5"/>
            <w:tcBorders>
              <w:top w:val="single" w:sz="4" w:space="0" w:color="auto"/>
              <w:bottom w:val="single" w:sz="4" w:space="0" w:color="A6A6A6"/>
            </w:tcBorders>
          </w:tcPr>
          <w:p w14:paraId="179C1FA6" w14:textId="13C2483E" w:rsidR="00CE3A97" w:rsidRPr="002029AF" w:rsidRDefault="00CE3A97" w:rsidP="00CE3A97">
            <w:pPr>
              <w:pStyle w:val="ARfintablebodybold"/>
              <w:rPr>
                <w:lang w:eastAsia="en-GB"/>
              </w:rPr>
            </w:pPr>
            <w:r w:rsidRPr="00D36D1F">
              <w:t>Cash flows from operating activities</w:t>
            </w:r>
          </w:p>
        </w:tc>
      </w:tr>
      <w:tr w:rsidR="00CE3A97" w:rsidRPr="002029AF" w14:paraId="6BF01DA9" w14:textId="77777777" w:rsidTr="00C3704C">
        <w:trPr>
          <w:cantSplit w:val="0"/>
        </w:trPr>
        <w:tc>
          <w:tcPr>
            <w:tcW w:w="5103" w:type="dxa"/>
            <w:gridSpan w:val="5"/>
            <w:tcBorders>
              <w:top w:val="single" w:sz="4" w:space="0" w:color="A6A6A6"/>
              <w:bottom w:val="single" w:sz="4" w:space="0" w:color="A6A6A6"/>
            </w:tcBorders>
          </w:tcPr>
          <w:p w14:paraId="7BCC6949" w14:textId="5FBE67B0" w:rsidR="00CE3A97" w:rsidRPr="002029AF" w:rsidRDefault="00CE3A97" w:rsidP="00CE3A97">
            <w:pPr>
              <w:pStyle w:val="ARfintablebodybold"/>
              <w:rPr>
                <w:lang w:eastAsia="en-GB"/>
              </w:rPr>
            </w:pPr>
            <w:r w:rsidRPr="00D36D1F">
              <w:t>Receipts</w:t>
            </w:r>
          </w:p>
        </w:tc>
      </w:tr>
      <w:tr w:rsidR="00921E3F" w:rsidRPr="002029AF" w14:paraId="45F3723D" w14:textId="77777777" w:rsidTr="00C3704C">
        <w:trPr>
          <w:cantSplit w:val="0"/>
        </w:trPr>
        <w:tc>
          <w:tcPr>
            <w:tcW w:w="5103" w:type="dxa"/>
            <w:tcBorders>
              <w:top w:val="single" w:sz="4" w:space="0" w:color="A6A6A6"/>
              <w:bottom w:val="single" w:sz="4" w:space="0" w:color="A6A6A6"/>
            </w:tcBorders>
            <w:hideMark/>
          </w:tcPr>
          <w:p w14:paraId="75AEDE3E" w14:textId="66248D07" w:rsidR="00921E3F" w:rsidRPr="002029AF" w:rsidRDefault="00921E3F" w:rsidP="00CE3A97">
            <w:pPr>
              <w:pStyle w:val="ARfintablebody"/>
              <w:rPr>
                <w:lang w:eastAsia="en-GB"/>
              </w:rPr>
            </w:pPr>
            <w:r w:rsidRPr="00D36D1F">
              <w:t>Receipts from government</w:t>
            </w:r>
          </w:p>
        </w:tc>
        <w:tc>
          <w:tcPr>
            <w:tcW w:w="1134" w:type="dxa"/>
            <w:tcBorders>
              <w:top w:val="single" w:sz="4" w:space="0" w:color="A6A6A6"/>
              <w:bottom w:val="single" w:sz="4" w:space="0" w:color="A6A6A6"/>
            </w:tcBorders>
            <w:hideMark/>
          </w:tcPr>
          <w:p w14:paraId="5090E87C" w14:textId="62F4EECE" w:rsidR="00921E3F" w:rsidRPr="002029AF" w:rsidRDefault="00921E3F" w:rsidP="00CE3A97">
            <w:pPr>
              <w:pStyle w:val="ARfintablebodyright"/>
              <w:rPr>
                <w:lang w:eastAsia="en-GB"/>
              </w:rPr>
            </w:pPr>
            <w:r w:rsidRPr="00D36D1F">
              <w:t>21,001</w:t>
            </w:r>
          </w:p>
        </w:tc>
        <w:tc>
          <w:tcPr>
            <w:tcW w:w="1134" w:type="dxa"/>
            <w:tcBorders>
              <w:top w:val="single" w:sz="4" w:space="0" w:color="A6A6A6"/>
              <w:bottom w:val="single" w:sz="4" w:space="0" w:color="A6A6A6"/>
            </w:tcBorders>
          </w:tcPr>
          <w:p w14:paraId="6E889801" w14:textId="697A34AB" w:rsidR="00921E3F" w:rsidRPr="002029AF" w:rsidRDefault="00921E3F" w:rsidP="00CE3A97">
            <w:pPr>
              <w:pStyle w:val="ARfintablebodyright"/>
              <w:rPr>
                <w:lang w:eastAsia="en-GB"/>
              </w:rPr>
            </w:pPr>
            <w:r w:rsidRPr="00D36D1F">
              <w:t>20,535</w:t>
            </w:r>
          </w:p>
        </w:tc>
        <w:tc>
          <w:tcPr>
            <w:tcW w:w="1134" w:type="dxa"/>
            <w:tcBorders>
              <w:top w:val="single" w:sz="4" w:space="0" w:color="A6A6A6"/>
              <w:bottom w:val="single" w:sz="4" w:space="0" w:color="A6A6A6"/>
            </w:tcBorders>
            <w:hideMark/>
          </w:tcPr>
          <w:p w14:paraId="6233AF8B" w14:textId="054D02F6" w:rsidR="00921E3F" w:rsidRPr="002029AF" w:rsidRDefault="00921E3F" w:rsidP="00CE3A97">
            <w:pPr>
              <w:pStyle w:val="ARfintablebodyright"/>
              <w:rPr>
                <w:lang w:eastAsia="en-GB"/>
              </w:rPr>
            </w:pPr>
            <w:r w:rsidRPr="00D36D1F">
              <w:t>22,945</w:t>
            </w:r>
          </w:p>
        </w:tc>
        <w:tc>
          <w:tcPr>
            <w:tcW w:w="1134" w:type="dxa"/>
            <w:tcBorders>
              <w:top w:val="single" w:sz="4" w:space="0" w:color="A6A6A6"/>
              <w:bottom w:val="single" w:sz="4" w:space="0" w:color="A6A6A6"/>
            </w:tcBorders>
            <w:hideMark/>
          </w:tcPr>
          <w:p w14:paraId="73E240CF" w14:textId="5C3F5274" w:rsidR="00921E3F" w:rsidRPr="002029AF" w:rsidRDefault="00921E3F" w:rsidP="00CE3A97">
            <w:pPr>
              <w:pStyle w:val="ARfintablebodyright"/>
              <w:rPr>
                <w:lang w:eastAsia="en-GB"/>
              </w:rPr>
            </w:pPr>
            <w:r w:rsidRPr="00D36D1F">
              <w:t>(8.5)</w:t>
            </w:r>
          </w:p>
        </w:tc>
      </w:tr>
      <w:tr w:rsidR="00921E3F" w:rsidRPr="002029AF" w14:paraId="27E6E33B" w14:textId="77777777" w:rsidTr="00C3704C">
        <w:trPr>
          <w:cantSplit w:val="0"/>
        </w:trPr>
        <w:tc>
          <w:tcPr>
            <w:tcW w:w="5103" w:type="dxa"/>
            <w:tcBorders>
              <w:top w:val="single" w:sz="4" w:space="0" w:color="A6A6A6"/>
              <w:bottom w:val="single" w:sz="4" w:space="0" w:color="A6A6A6"/>
            </w:tcBorders>
            <w:hideMark/>
          </w:tcPr>
          <w:p w14:paraId="277260BC" w14:textId="510E135E" w:rsidR="00921E3F" w:rsidRPr="002029AF" w:rsidRDefault="00921E3F" w:rsidP="00CE3A97">
            <w:pPr>
              <w:pStyle w:val="ARfintablebody"/>
              <w:rPr>
                <w:lang w:eastAsia="en-GB"/>
              </w:rPr>
            </w:pPr>
            <w:r w:rsidRPr="00D36D1F">
              <w:t>Receipts from other entities</w:t>
            </w:r>
          </w:p>
        </w:tc>
        <w:tc>
          <w:tcPr>
            <w:tcW w:w="1134" w:type="dxa"/>
            <w:tcBorders>
              <w:top w:val="single" w:sz="4" w:space="0" w:color="A6A6A6"/>
              <w:bottom w:val="single" w:sz="4" w:space="0" w:color="A6A6A6"/>
            </w:tcBorders>
            <w:hideMark/>
          </w:tcPr>
          <w:p w14:paraId="69F5C637" w14:textId="28BD3742" w:rsidR="00921E3F" w:rsidRPr="002029AF" w:rsidRDefault="00921E3F" w:rsidP="00CE3A97">
            <w:pPr>
              <w:pStyle w:val="ARfintablebodyright"/>
              <w:rPr>
                <w:lang w:eastAsia="en-GB"/>
              </w:rPr>
            </w:pPr>
            <w:r w:rsidRPr="00D36D1F">
              <w:t>9,061</w:t>
            </w:r>
          </w:p>
        </w:tc>
        <w:tc>
          <w:tcPr>
            <w:tcW w:w="1134" w:type="dxa"/>
            <w:tcBorders>
              <w:top w:val="single" w:sz="4" w:space="0" w:color="A6A6A6"/>
              <w:bottom w:val="single" w:sz="4" w:space="0" w:color="A6A6A6"/>
            </w:tcBorders>
          </w:tcPr>
          <w:p w14:paraId="67504888" w14:textId="7DFD948C" w:rsidR="00921E3F" w:rsidRPr="002029AF" w:rsidRDefault="00921E3F" w:rsidP="00CE3A97">
            <w:pPr>
              <w:pStyle w:val="ARfintablebodyright"/>
              <w:rPr>
                <w:lang w:eastAsia="en-GB"/>
              </w:rPr>
            </w:pPr>
            <w:r w:rsidRPr="00D36D1F">
              <w:t>9,437</w:t>
            </w:r>
          </w:p>
        </w:tc>
        <w:tc>
          <w:tcPr>
            <w:tcW w:w="1134" w:type="dxa"/>
            <w:tcBorders>
              <w:top w:val="single" w:sz="4" w:space="0" w:color="A6A6A6"/>
              <w:bottom w:val="single" w:sz="4" w:space="0" w:color="A6A6A6"/>
            </w:tcBorders>
            <w:hideMark/>
          </w:tcPr>
          <w:p w14:paraId="14C2157C" w14:textId="0F4BC30B" w:rsidR="00921E3F" w:rsidRPr="002029AF" w:rsidRDefault="00921E3F" w:rsidP="00CE3A97">
            <w:pPr>
              <w:pStyle w:val="ARfintablebodyright"/>
              <w:rPr>
                <w:lang w:eastAsia="en-GB"/>
              </w:rPr>
            </w:pPr>
            <w:r w:rsidRPr="00D36D1F">
              <w:t>8,883</w:t>
            </w:r>
          </w:p>
        </w:tc>
        <w:tc>
          <w:tcPr>
            <w:tcW w:w="1134" w:type="dxa"/>
            <w:tcBorders>
              <w:top w:val="single" w:sz="4" w:space="0" w:color="A6A6A6"/>
              <w:bottom w:val="single" w:sz="4" w:space="0" w:color="A6A6A6"/>
            </w:tcBorders>
            <w:hideMark/>
          </w:tcPr>
          <w:p w14:paraId="74BEDFEE" w14:textId="00E9ED85" w:rsidR="00921E3F" w:rsidRPr="002029AF" w:rsidRDefault="00921E3F" w:rsidP="00CE3A97">
            <w:pPr>
              <w:pStyle w:val="ARfintablebodyright"/>
              <w:rPr>
                <w:lang w:eastAsia="en-GB"/>
              </w:rPr>
            </w:pPr>
            <w:r w:rsidRPr="00D36D1F">
              <w:t>2.0</w:t>
            </w:r>
          </w:p>
        </w:tc>
      </w:tr>
      <w:tr w:rsidR="00921E3F" w:rsidRPr="002029AF" w14:paraId="5C863B79" w14:textId="77777777" w:rsidTr="00C3704C">
        <w:trPr>
          <w:cantSplit w:val="0"/>
        </w:trPr>
        <w:tc>
          <w:tcPr>
            <w:tcW w:w="5103" w:type="dxa"/>
            <w:tcBorders>
              <w:top w:val="single" w:sz="4" w:space="0" w:color="A6A6A6"/>
              <w:bottom w:val="single" w:sz="4" w:space="0" w:color="A6A6A6"/>
            </w:tcBorders>
            <w:hideMark/>
          </w:tcPr>
          <w:p w14:paraId="3579081A" w14:textId="0A5F48A4" w:rsidR="00921E3F" w:rsidRPr="002029AF" w:rsidRDefault="00921E3F" w:rsidP="00CE3A97">
            <w:pPr>
              <w:pStyle w:val="ARfintablebody"/>
              <w:rPr>
                <w:lang w:eastAsia="en-GB"/>
              </w:rPr>
            </w:pPr>
            <w:r w:rsidRPr="00D36D1F">
              <w:t>Interest received</w:t>
            </w:r>
          </w:p>
        </w:tc>
        <w:tc>
          <w:tcPr>
            <w:tcW w:w="1134" w:type="dxa"/>
            <w:tcBorders>
              <w:top w:val="single" w:sz="4" w:space="0" w:color="A6A6A6"/>
              <w:bottom w:val="single" w:sz="4" w:space="0" w:color="A6A6A6"/>
            </w:tcBorders>
            <w:hideMark/>
          </w:tcPr>
          <w:p w14:paraId="7F388F9A" w14:textId="36759E2D" w:rsidR="00921E3F" w:rsidRPr="002029AF" w:rsidRDefault="00921E3F" w:rsidP="00CE3A97">
            <w:pPr>
              <w:pStyle w:val="ARfintablebodyright"/>
              <w:rPr>
                <w:lang w:eastAsia="en-GB"/>
              </w:rPr>
            </w:pPr>
            <w:r w:rsidRPr="00D36D1F">
              <w:t>17</w:t>
            </w:r>
          </w:p>
        </w:tc>
        <w:tc>
          <w:tcPr>
            <w:tcW w:w="1134" w:type="dxa"/>
            <w:tcBorders>
              <w:top w:val="single" w:sz="4" w:space="0" w:color="A6A6A6"/>
              <w:bottom w:val="single" w:sz="4" w:space="0" w:color="A6A6A6"/>
            </w:tcBorders>
          </w:tcPr>
          <w:p w14:paraId="57E07B71" w14:textId="5941ECB1" w:rsidR="00921E3F" w:rsidRPr="002029AF" w:rsidRDefault="00921E3F" w:rsidP="00CE3A97">
            <w:pPr>
              <w:pStyle w:val="ARfintablebodyright"/>
              <w:rPr>
                <w:lang w:eastAsia="en-GB"/>
              </w:rPr>
            </w:pPr>
            <w:r w:rsidRPr="00D36D1F">
              <w:t>19</w:t>
            </w:r>
          </w:p>
        </w:tc>
        <w:tc>
          <w:tcPr>
            <w:tcW w:w="1134" w:type="dxa"/>
            <w:tcBorders>
              <w:top w:val="single" w:sz="4" w:space="0" w:color="A6A6A6"/>
              <w:bottom w:val="single" w:sz="4" w:space="0" w:color="A6A6A6"/>
            </w:tcBorders>
            <w:hideMark/>
          </w:tcPr>
          <w:p w14:paraId="37EA160F" w14:textId="23E38B28" w:rsidR="00921E3F" w:rsidRPr="002029AF" w:rsidRDefault="00921E3F" w:rsidP="00CE3A97">
            <w:pPr>
              <w:pStyle w:val="ARfintablebodyright"/>
              <w:rPr>
                <w:lang w:eastAsia="en-GB"/>
              </w:rPr>
            </w:pPr>
            <w:r w:rsidRPr="00D36D1F">
              <w:t>45</w:t>
            </w:r>
          </w:p>
        </w:tc>
        <w:tc>
          <w:tcPr>
            <w:tcW w:w="1134" w:type="dxa"/>
            <w:tcBorders>
              <w:top w:val="single" w:sz="4" w:space="0" w:color="A6A6A6"/>
              <w:bottom w:val="single" w:sz="4" w:space="0" w:color="A6A6A6"/>
            </w:tcBorders>
            <w:hideMark/>
          </w:tcPr>
          <w:p w14:paraId="2A5D14E4" w14:textId="1D1F8B20" w:rsidR="00921E3F" w:rsidRPr="002029AF" w:rsidRDefault="00921E3F" w:rsidP="00CE3A97">
            <w:pPr>
              <w:pStyle w:val="ARfintablebodyright"/>
              <w:rPr>
                <w:lang w:eastAsia="en-GB"/>
              </w:rPr>
            </w:pPr>
            <w:r w:rsidRPr="00D36D1F">
              <w:t>(63.6)</w:t>
            </w:r>
          </w:p>
        </w:tc>
      </w:tr>
      <w:tr w:rsidR="00921E3F" w:rsidRPr="002029AF" w14:paraId="215A206F" w14:textId="77777777" w:rsidTr="00C3704C">
        <w:trPr>
          <w:cantSplit w:val="0"/>
        </w:trPr>
        <w:tc>
          <w:tcPr>
            <w:tcW w:w="5103" w:type="dxa"/>
            <w:tcBorders>
              <w:top w:val="single" w:sz="4" w:space="0" w:color="A6A6A6"/>
            </w:tcBorders>
            <w:hideMark/>
          </w:tcPr>
          <w:p w14:paraId="24A4798F" w14:textId="691E5548" w:rsidR="00921E3F" w:rsidRPr="002029AF" w:rsidRDefault="00921E3F" w:rsidP="00CE3A97">
            <w:pPr>
              <w:pStyle w:val="ARfintablebody"/>
              <w:rPr>
                <w:lang w:eastAsia="en-GB"/>
              </w:rPr>
            </w:pPr>
            <w:r w:rsidRPr="00D36D1F">
              <w:t>Other receipts</w:t>
            </w:r>
          </w:p>
        </w:tc>
        <w:tc>
          <w:tcPr>
            <w:tcW w:w="1134" w:type="dxa"/>
            <w:tcBorders>
              <w:top w:val="single" w:sz="4" w:space="0" w:color="A6A6A6"/>
            </w:tcBorders>
            <w:hideMark/>
          </w:tcPr>
          <w:p w14:paraId="54D82C4E" w14:textId="52BD008F" w:rsidR="00921E3F" w:rsidRPr="002029AF" w:rsidRDefault="00921E3F" w:rsidP="00CE3A97">
            <w:pPr>
              <w:pStyle w:val="ARfintablebodyright"/>
              <w:rPr>
                <w:lang w:eastAsia="en-GB"/>
              </w:rPr>
            </w:pPr>
            <w:r w:rsidRPr="00D36D1F">
              <w:t>686</w:t>
            </w:r>
          </w:p>
        </w:tc>
        <w:tc>
          <w:tcPr>
            <w:tcW w:w="1134" w:type="dxa"/>
            <w:tcBorders>
              <w:top w:val="single" w:sz="4" w:space="0" w:color="A6A6A6"/>
            </w:tcBorders>
          </w:tcPr>
          <w:p w14:paraId="63EAA785" w14:textId="37CB5593" w:rsidR="00921E3F" w:rsidRPr="002029AF" w:rsidRDefault="00921E3F" w:rsidP="00CE3A97">
            <w:pPr>
              <w:pStyle w:val="ARfintablebodyright"/>
              <w:rPr>
                <w:lang w:eastAsia="en-GB"/>
              </w:rPr>
            </w:pPr>
            <w:r w:rsidRPr="00D36D1F">
              <w:t>792</w:t>
            </w:r>
          </w:p>
        </w:tc>
        <w:tc>
          <w:tcPr>
            <w:tcW w:w="1134" w:type="dxa"/>
            <w:tcBorders>
              <w:top w:val="single" w:sz="4" w:space="0" w:color="A6A6A6"/>
            </w:tcBorders>
            <w:hideMark/>
          </w:tcPr>
          <w:p w14:paraId="04287F83" w14:textId="7CC2285B" w:rsidR="00921E3F" w:rsidRPr="002029AF" w:rsidRDefault="00921E3F" w:rsidP="00CE3A97">
            <w:pPr>
              <w:pStyle w:val="ARfintablebodyright"/>
              <w:rPr>
                <w:lang w:eastAsia="en-GB"/>
              </w:rPr>
            </w:pPr>
            <w:r w:rsidRPr="00D36D1F">
              <w:t>821</w:t>
            </w:r>
          </w:p>
        </w:tc>
        <w:tc>
          <w:tcPr>
            <w:tcW w:w="1134" w:type="dxa"/>
            <w:tcBorders>
              <w:top w:val="single" w:sz="4" w:space="0" w:color="A6A6A6"/>
            </w:tcBorders>
            <w:hideMark/>
          </w:tcPr>
          <w:p w14:paraId="20B06988" w14:textId="0906FC83" w:rsidR="00921E3F" w:rsidRPr="002029AF" w:rsidRDefault="00921E3F" w:rsidP="00CE3A97">
            <w:pPr>
              <w:pStyle w:val="ARfintablebodyright"/>
              <w:rPr>
                <w:lang w:eastAsia="en-GB"/>
              </w:rPr>
            </w:pPr>
            <w:r w:rsidRPr="00D36D1F">
              <w:t>(16.4)</w:t>
            </w:r>
          </w:p>
        </w:tc>
      </w:tr>
      <w:tr w:rsidR="00921E3F" w:rsidRPr="002029AF" w14:paraId="38D77A56" w14:textId="77777777" w:rsidTr="00C3704C">
        <w:trPr>
          <w:cantSplit w:val="0"/>
        </w:trPr>
        <w:tc>
          <w:tcPr>
            <w:tcW w:w="5103" w:type="dxa"/>
            <w:tcBorders>
              <w:bottom w:val="single" w:sz="4" w:space="0" w:color="auto"/>
            </w:tcBorders>
            <w:hideMark/>
          </w:tcPr>
          <w:p w14:paraId="199B1499" w14:textId="03DD4765" w:rsidR="00921E3F" w:rsidRPr="002029AF" w:rsidRDefault="00921E3F" w:rsidP="00CE3A97">
            <w:pPr>
              <w:pStyle w:val="ARfintablebodybold"/>
              <w:rPr>
                <w:lang w:eastAsia="en-GB"/>
              </w:rPr>
            </w:pPr>
            <w:r w:rsidRPr="00D36D1F">
              <w:t>Total receipts</w:t>
            </w:r>
          </w:p>
        </w:tc>
        <w:tc>
          <w:tcPr>
            <w:tcW w:w="1134" w:type="dxa"/>
            <w:tcBorders>
              <w:bottom w:val="single" w:sz="4" w:space="0" w:color="auto"/>
            </w:tcBorders>
            <w:hideMark/>
          </w:tcPr>
          <w:p w14:paraId="6D71F5FD" w14:textId="77776522" w:rsidR="00921E3F" w:rsidRPr="002029AF" w:rsidRDefault="00921E3F" w:rsidP="00CE3A97">
            <w:pPr>
              <w:pStyle w:val="ARfintablebodyrightbold"/>
              <w:rPr>
                <w:lang w:eastAsia="en-GB"/>
              </w:rPr>
            </w:pPr>
            <w:r w:rsidRPr="00D36D1F">
              <w:t>30,766</w:t>
            </w:r>
          </w:p>
        </w:tc>
        <w:tc>
          <w:tcPr>
            <w:tcW w:w="1134" w:type="dxa"/>
            <w:tcBorders>
              <w:bottom w:val="single" w:sz="4" w:space="0" w:color="auto"/>
            </w:tcBorders>
          </w:tcPr>
          <w:p w14:paraId="1DF9EE48" w14:textId="3A6FB3AD" w:rsidR="00921E3F" w:rsidRPr="002029AF" w:rsidRDefault="00921E3F" w:rsidP="00CE3A97">
            <w:pPr>
              <w:pStyle w:val="ARfintablebodyrightbold"/>
              <w:rPr>
                <w:lang w:eastAsia="en-GB"/>
              </w:rPr>
            </w:pPr>
            <w:r w:rsidRPr="00D36D1F">
              <w:t>30,783</w:t>
            </w:r>
          </w:p>
        </w:tc>
        <w:tc>
          <w:tcPr>
            <w:tcW w:w="1134" w:type="dxa"/>
            <w:tcBorders>
              <w:bottom w:val="single" w:sz="4" w:space="0" w:color="auto"/>
            </w:tcBorders>
            <w:hideMark/>
          </w:tcPr>
          <w:p w14:paraId="47F6E4E5" w14:textId="1E0BBB2A" w:rsidR="00921E3F" w:rsidRPr="002029AF" w:rsidRDefault="00921E3F" w:rsidP="00CE3A97">
            <w:pPr>
              <w:pStyle w:val="ARfintablebodyrightbold"/>
              <w:rPr>
                <w:lang w:eastAsia="en-GB"/>
              </w:rPr>
            </w:pPr>
            <w:r w:rsidRPr="00D36D1F">
              <w:t>32,695</w:t>
            </w:r>
          </w:p>
        </w:tc>
        <w:tc>
          <w:tcPr>
            <w:tcW w:w="1134" w:type="dxa"/>
            <w:tcBorders>
              <w:bottom w:val="single" w:sz="4" w:space="0" w:color="auto"/>
            </w:tcBorders>
            <w:hideMark/>
          </w:tcPr>
          <w:p w14:paraId="65B7F3F0" w14:textId="0C46A616" w:rsidR="00921E3F" w:rsidRPr="002029AF" w:rsidRDefault="00921E3F" w:rsidP="00CE3A97">
            <w:pPr>
              <w:pStyle w:val="ARfintablebodyrightbold"/>
              <w:rPr>
                <w:lang w:eastAsia="en-GB"/>
              </w:rPr>
            </w:pPr>
            <w:r w:rsidRPr="00D36D1F">
              <w:t>(5.9)</w:t>
            </w:r>
          </w:p>
        </w:tc>
      </w:tr>
      <w:tr w:rsidR="00CE3A97" w:rsidRPr="002029AF" w14:paraId="032B399F" w14:textId="77777777" w:rsidTr="00C3704C">
        <w:trPr>
          <w:cantSplit w:val="0"/>
        </w:trPr>
        <w:tc>
          <w:tcPr>
            <w:tcW w:w="5103" w:type="dxa"/>
            <w:gridSpan w:val="5"/>
            <w:tcBorders>
              <w:top w:val="single" w:sz="4" w:space="0" w:color="auto"/>
              <w:bottom w:val="single" w:sz="4" w:space="0" w:color="A6A6A6"/>
            </w:tcBorders>
          </w:tcPr>
          <w:p w14:paraId="3D7D18BF" w14:textId="78022CEA" w:rsidR="00CE3A97" w:rsidRPr="002029AF" w:rsidRDefault="00CE3A97" w:rsidP="00CE3A97">
            <w:pPr>
              <w:pStyle w:val="ARfintablebodybold"/>
              <w:rPr>
                <w:lang w:eastAsia="en-GB"/>
              </w:rPr>
            </w:pPr>
            <w:r w:rsidRPr="00D36D1F">
              <w:t>Payments</w:t>
            </w:r>
          </w:p>
        </w:tc>
      </w:tr>
      <w:tr w:rsidR="00921E3F" w:rsidRPr="002029AF" w14:paraId="2BC43676" w14:textId="77777777" w:rsidTr="00C3704C">
        <w:trPr>
          <w:cantSplit w:val="0"/>
        </w:trPr>
        <w:tc>
          <w:tcPr>
            <w:tcW w:w="5103" w:type="dxa"/>
            <w:tcBorders>
              <w:top w:val="single" w:sz="4" w:space="0" w:color="A6A6A6"/>
              <w:bottom w:val="single" w:sz="4" w:space="0" w:color="A6A6A6"/>
            </w:tcBorders>
            <w:hideMark/>
          </w:tcPr>
          <w:p w14:paraId="2C4E4142" w14:textId="45DFE6C3" w:rsidR="00921E3F" w:rsidRPr="002029AF" w:rsidRDefault="00921E3F" w:rsidP="00CE3A97">
            <w:pPr>
              <w:pStyle w:val="ARfintablebody"/>
              <w:rPr>
                <w:lang w:eastAsia="en-GB"/>
              </w:rPr>
            </w:pPr>
            <w:r w:rsidRPr="00D36D1F">
              <w:t>Payments of grants and other transfers</w:t>
            </w:r>
          </w:p>
        </w:tc>
        <w:tc>
          <w:tcPr>
            <w:tcW w:w="1134" w:type="dxa"/>
            <w:tcBorders>
              <w:top w:val="single" w:sz="4" w:space="0" w:color="A6A6A6"/>
              <w:bottom w:val="single" w:sz="4" w:space="0" w:color="A6A6A6"/>
            </w:tcBorders>
            <w:hideMark/>
          </w:tcPr>
          <w:p w14:paraId="512A592B" w14:textId="7AAF70A6" w:rsidR="00921E3F" w:rsidRPr="002029AF" w:rsidRDefault="00921E3F" w:rsidP="00CE3A97">
            <w:pPr>
              <w:pStyle w:val="ARfintablebodyright"/>
              <w:rPr>
                <w:lang w:eastAsia="en-GB"/>
              </w:rPr>
            </w:pPr>
            <w:r w:rsidRPr="00D36D1F">
              <w:t>(3,607)</w:t>
            </w:r>
          </w:p>
        </w:tc>
        <w:tc>
          <w:tcPr>
            <w:tcW w:w="1134" w:type="dxa"/>
            <w:tcBorders>
              <w:top w:val="single" w:sz="4" w:space="0" w:color="A6A6A6"/>
              <w:bottom w:val="single" w:sz="4" w:space="0" w:color="A6A6A6"/>
            </w:tcBorders>
          </w:tcPr>
          <w:p w14:paraId="710CF994" w14:textId="37818771" w:rsidR="00921E3F" w:rsidRPr="002029AF" w:rsidRDefault="00921E3F" w:rsidP="00CE3A97">
            <w:pPr>
              <w:pStyle w:val="ARfintablebodyright"/>
              <w:rPr>
                <w:lang w:eastAsia="en-GB"/>
              </w:rPr>
            </w:pPr>
            <w:r w:rsidRPr="00D36D1F">
              <w:t>(3,582)</w:t>
            </w:r>
          </w:p>
        </w:tc>
        <w:tc>
          <w:tcPr>
            <w:tcW w:w="1134" w:type="dxa"/>
            <w:tcBorders>
              <w:top w:val="single" w:sz="4" w:space="0" w:color="A6A6A6"/>
              <w:bottom w:val="single" w:sz="4" w:space="0" w:color="A6A6A6"/>
            </w:tcBorders>
            <w:hideMark/>
          </w:tcPr>
          <w:p w14:paraId="60ABAF72" w14:textId="4DFAAFEA" w:rsidR="00921E3F" w:rsidRPr="002029AF" w:rsidRDefault="00921E3F" w:rsidP="00CE3A97">
            <w:pPr>
              <w:pStyle w:val="ARfintablebodyright"/>
              <w:rPr>
                <w:lang w:eastAsia="en-GB"/>
              </w:rPr>
            </w:pPr>
            <w:r w:rsidRPr="00D36D1F">
              <w:t>(4,549)</w:t>
            </w:r>
          </w:p>
        </w:tc>
        <w:tc>
          <w:tcPr>
            <w:tcW w:w="1134" w:type="dxa"/>
            <w:tcBorders>
              <w:top w:val="single" w:sz="4" w:space="0" w:color="A6A6A6"/>
              <w:bottom w:val="single" w:sz="4" w:space="0" w:color="A6A6A6"/>
            </w:tcBorders>
            <w:hideMark/>
          </w:tcPr>
          <w:p w14:paraId="357686AD" w14:textId="78182B53" w:rsidR="00921E3F" w:rsidRPr="002029AF" w:rsidRDefault="00921E3F" w:rsidP="00CE3A97">
            <w:pPr>
              <w:pStyle w:val="ARfintablebodyright"/>
              <w:rPr>
                <w:lang w:eastAsia="en-GB"/>
              </w:rPr>
            </w:pPr>
            <w:r w:rsidRPr="00D36D1F">
              <w:t>(20.7)</w:t>
            </w:r>
          </w:p>
        </w:tc>
      </w:tr>
      <w:tr w:rsidR="00921E3F" w:rsidRPr="002029AF" w14:paraId="3EC1E744" w14:textId="77777777" w:rsidTr="00C3704C">
        <w:trPr>
          <w:cantSplit w:val="0"/>
        </w:trPr>
        <w:tc>
          <w:tcPr>
            <w:tcW w:w="5103" w:type="dxa"/>
            <w:tcBorders>
              <w:top w:val="single" w:sz="4" w:space="0" w:color="A6A6A6"/>
              <w:bottom w:val="single" w:sz="4" w:space="0" w:color="A6A6A6"/>
            </w:tcBorders>
            <w:hideMark/>
          </w:tcPr>
          <w:p w14:paraId="216A0AD6" w14:textId="7F2E794A" w:rsidR="00921E3F" w:rsidRPr="002029AF" w:rsidRDefault="00921E3F" w:rsidP="00CE3A97">
            <w:pPr>
              <w:pStyle w:val="ARfintablebody"/>
              <w:rPr>
                <w:lang w:eastAsia="en-GB"/>
              </w:rPr>
            </w:pPr>
            <w:r w:rsidRPr="00D36D1F">
              <w:t>Payments to suppliers and employees</w:t>
            </w:r>
          </w:p>
        </w:tc>
        <w:tc>
          <w:tcPr>
            <w:tcW w:w="1134" w:type="dxa"/>
            <w:tcBorders>
              <w:top w:val="single" w:sz="4" w:space="0" w:color="A6A6A6"/>
              <w:bottom w:val="single" w:sz="4" w:space="0" w:color="A6A6A6"/>
            </w:tcBorders>
            <w:hideMark/>
          </w:tcPr>
          <w:p w14:paraId="7C2E6F88" w14:textId="76910ACF" w:rsidR="00921E3F" w:rsidRPr="002029AF" w:rsidRDefault="00921E3F" w:rsidP="00CE3A97">
            <w:pPr>
              <w:pStyle w:val="ARfintablebodyright"/>
              <w:rPr>
                <w:lang w:eastAsia="en-GB"/>
              </w:rPr>
            </w:pPr>
            <w:r w:rsidRPr="00D36D1F">
              <w:t>(23,701)</w:t>
            </w:r>
          </w:p>
        </w:tc>
        <w:tc>
          <w:tcPr>
            <w:tcW w:w="1134" w:type="dxa"/>
            <w:tcBorders>
              <w:top w:val="single" w:sz="4" w:space="0" w:color="A6A6A6"/>
              <w:bottom w:val="single" w:sz="4" w:space="0" w:color="A6A6A6"/>
            </w:tcBorders>
          </w:tcPr>
          <w:p w14:paraId="4B1C7354" w14:textId="35588E74" w:rsidR="00921E3F" w:rsidRPr="002029AF" w:rsidRDefault="00921E3F" w:rsidP="00CE3A97">
            <w:pPr>
              <w:pStyle w:val="ARfintablebodyright"/>
              <w:rPr>
                <w:lang w:eastAsia="en-GB"/>
              </w:rPr>
            </w:pPr>
            <w:r w:rsidRPr="00D36D1F">
              <w:t>(24,733)</w:t>
            </w:r>
          </w:p>
        </w:tc>
        <w:tc>
          <w:tcPr>
            <w:tcW w:w="1134" w:type="dxa"/>
            <w:tcBorders>
              <w:top w:val="single" w:sz="4" w:space="0" w:color="A6A6A6"/>
              <w:bottom w:val="single" w:sz="4" w:space="0" w:color="A6A6A6"/>
            </w:tcBorders>
            <w:hideMark/>
          </w:tcPr>
          <w:p w14:paraId="1C79B2AA" w14:textId="234E09E6" w:rsidR="00921E3F" w:rsidRPr="002029AF" w:rsidRDefault="00921E3F" w:rsidP="00CE3A97">
            <w:pPr>
              <w:pStyle w:val="ARfintablebodyright"/>
              <w:rPr>
                <w:lang w:eastAsia="en-GB"/>
              </w:rPr>
            </w:pPr>
            <w:r w:rsidRPr="00D36D1F">
              <w:t>(24,805)</w:t>
            </w:r>
          </w:p>
        </w:tc>
        <w:tc>
          <w:tcPr>
            <w:tcW w:w="1134" w:type="dxa"/>
            <w:tcBorders>
              <w:top w:val="single" w:sz="4" w:space="0" w:color="A6A6A6"/>
              <w:bottom w:val="single" w:sz="4" w:space="0" w:color="A6A6A6"/>
            </w:tcBorders>
            <w:hideMark/>
          </w:tcPr>
          <w:p w14:paraId="03C7D9C9" w14:textId="08CFE552" w:rsidR="00921E3F" w:rsidRPr="002029AF" w:rsidRDefault="00921E3F" w:rsidP="00CE3A97">
            <w:pPr>
              <w:pStyle w:val="ARfintablebodyright"/>
              <w:rPr>
                <w:lang w:eastAsia="en-GB"/>
              </w:rPr>
            </w:pPr>
            <w:r w:rsidRPr="00D36D1F">
              <w:t>(4.5)</w:t>
            </w:r>
          </w:p>
        </w:tc>
      </w:tr>
      <w:tr w:rsidR="00921E3F" w:rsidRPr="002029AF" w14:paraId="40864649" w14:textId="77777777" w:rsidTr="00C3704C">
        <w:trPr>
          <w:cantSplit w:val="0"/>
        </w:trPr>
        <w:tc>
          <w:tcPr>
            <w:tcW w:w="5103" w:type="dxa"/>
            <w:tcBorders>
              <w:top w:val="single" w:sz="4" w:space="0" w:color="A6A6A6"/>
              <w:bottom w:val="single" w:sz="4" w:space="0" w:color="A6A6A6"/>
            </w:tcBorders>
            <w:hideMark/>
          </w:tcPr>
          <w:p w14:paraId="2FD1F6AB" w14:textId="6CD0A3AE" w:rsidR="00921E3F" w:rsidRPr="002029AF" w:rsidRDefault="00921E3F" w:rsidP="00CE3A97">
            <w:pPr>
              <w:pStyle w:val="ARfintablebody"/>
              <w:rPr>
                <w:lang w:eastAsia="en-GB"/>
              </w:rPr>
            </w:pPr>
            <w:r w:rsidRPr="00D36D1F">
              <w:t>Capital asset charge</w:t>
            </w:r>
          </w:p>
        </w:tc>
        <w:tc>
          <w:tcPr>
            <w:tcW w:w="1134" w:type="dxa"/>
            <w:tcBorders>
              <w:top w:val="single" w:sz="4" w:space="0" w:color="A6A6A6"/>
              <w:bottom w:val="single" w:sz="4" w:space="0" w:color="A6A6A6"/>
            </w:tcBorders>
            <w:hideMark/>
          </w:tcPr>
          <w:p w14:paraId="24F0C53B" w14:textId="59226372" w:rsidR="00921E3F" w:rsidRPr="002029AF" w:rsidRDefault="00921E3F" w:rsidP="00CE3A97">
            <w:pPr>
              <w:pStyle w:val="ARfintablebodyright"/>
              <w:rPr>
                <w:lang w:eastAsia="en-GB"/>
              </w:rPr>
            </w:pPr>
            <w:r w:rsidRPr="00D36D1F">
              <w:t>(1,403)</w:t>
            </w:r>
          </w:p>
        </w:tc>
        <w:tc>
          <w:tcPr>
            <w:tcW w:w="1134" w:type="dxa"/>
            <w:tcBorders>
              <w:top w:val="single" w:sz="4" w:space="0" w:color="A6A6A6"/>
              <w:bottom w:val="single" w:sz="4" w:space="0" w:color="A6A6A6"/>
            </w:tcBorders>
          </w:tcPr>
          <w:p w14:paraId="7F44261A" w14:textId="174DEB20" w:rsidR="00921E3F" w:rsidRPr="002029AF" w:rsidRDefault="00921E3F" w:rsidP="00CE3A97">
            <w:pPr>
              <w:pStyle w:val="ARfintablebodyright"/>
              <w:rPr>
                <w:lang w:eastAsia="en-GB"/>
              </w:rPr>
            </w:pPr>
            <w:r w:rsidRPr="00D36D1F">
              <w:t>(1,403)</w:t>
            </w:r>
          </w:p>
        </w:tc>
        <w:tc>
          <w:tcPr>
            <w:tcW w:w="1134" w:type="dxa"/>
            <w:tcBorders>
              <w:top w:val="single" w:sz="4" w:space="0" w:color="A6A6A6"/>
              <w:bottom w:val="single" w:sz="4" w:space="0" w:color="A6A6A6"/>
            </w:tcBorders>
            <w:hideMark/>
          </w:tcPr>
          <w:p w14:paraId="43CB2A5F" w14:textId="345C35CE" w:rsidR="00921E3F" w:rsidRPr="002029AF" w:rsidRDefault="00921E3F" w:rsidP="00CE3A97">
            <w:pPr>
              <w:pStyle w:val="ARfintablebodyright"/>
              <w:rPr>
                <w:lang w:eastAsia="en-GB"/>
              </w:rPr>
            </w:pPr>
            <w:r w:rsidRPr="00D36D1F">
              <w:t>(1,428)</w:t>
            </w:r>
          </w:p>
        </w:tc>
        <w:tc>
          <w:tcPr>
            <w:tcW w:w="1134" w:type="dxa"/>
            <w:tcBorders>
              <w:top w:val="single" w:sz="4" w:space="0" w:color="A6A6A6"/>
              <w:bottom w:val="single" w:sz="4" w:space="0" w:color="A6A6A6"/>
            </w:tcBorders>
            <w:hideMark/>
          </w:tcPr>
          <w:p w14:paraId="6425525B" w14:textId="2E081FC0" w:rsidR="00921E3F" w:rsidRPr="002029AF" w:rsidRDefault="00921E3F" w:rsidP="00CE3A97">
            <w:pPr>
              <w:pStyle w:val="ARfintablebodyright"/>
              <w:rPr>
                <w:lang w:eastAsia="en-GB"/>
              </w:rPr>
            </w:pPr>
            <w:r w:rsidRPr="00D36D1F">
              <w:t>(1.7)</w:t>
            </w:r>
          </w:p>
        </w:tc>
      </w:tr>
      <w:tr w:rsidR="00921E3F" w:rsidRPr="002029AF" w14:paraId="5DE82F71" w14:textId="77777777" w:rsidTr="00C3704C">
        <w:trPr>
          <w:cantSplit w:val="0"/>
        </w:trPr>
        <w:tc>
          <w:tcPr>
            <w:tcW w:w="5103" w:type="dxa"/>
            <w:tcBorders>
              <w:top w:val="single" w:sz="4" w:space="0" w:color="A6A6A6"/>
            </w:tcBorders>
            <w:hideMark/>
          </w:tcPr>
          <w:p w14:paraId="7A433522" w14:textId="698D1EA1" w:rsidR="00921E3F" w:rsidRPr="002029AF" w:rsidRDefault="00921E3F" w:rsidP="00CE3A97">
            <w:pPr>
              <w:pStyle w:val="ARfintablebody"/>
              <w:rPr>
                <w:lang w:eastAsia="en-GB"/>
              </w:rPr>
            </w:pPr>
            <w:r w:rsidRPr="00D36D1F">
              <w:t>Interest and other costs of finance</w:t>
            </w:r>
          </w:p>
        </w:tc>
        <w:tc>
          <w:tcPr>
            <w:tcW w:w="1134" w:type="dxa"/>
            <w:tcBorders>
              <w:top w:val="single" w:sz="4" w:space="0" w:color="A6A6A6"/>
            </w:tcBorders>
            <w:hideMark/>
          </w:tcPr>
          <w:p w14:paraId="7F5A58A7" w14:textId="6B7EC429" w:rsidR="00921E3F" w:rsidRPr="002029AF" w:rsidRDefault="00921E3F" w:rsidP="00CE3A97">
            <w:pPr>
              <w:pStyle w:val="ARfintablebodyright"/>
              <w:rPr>
                <w:lang w:eastAsia="en-GB"/>
              </w:rPr>
            </w:pPr>
            <w:r w:rsidRPr="00D36D1F">
              <w:t>(187)</w:t>
            </w:r>
          </w:p>
        </w:tc>
        <w:tc>
          <w:tcPr>
            <w:tcW w:w="1134" w:type="dxa"/>
            <w:tcBorders>
              <w:top w:val="single" w:sz="4" w:space="0" w:color="A6A6A6"/>
            </w:tcBorders>
          </w:tcPr>
          <w:p w14:paraId="0661354E" w14:textId="79384550" w:rsidR="00921E3F" w:rsidRPr="002029AF" w:rsidRDefault="00921E3F" w:rsidP="00CE3A97">
            <w:pPr>
              <w:pStyle w:val="ARfintablebodyright"/>
              <w:rPr>
                <w:lang w:eastAsia="en-GB"/>
              </w:rPr>
            </w:pPr>
            <w:r w:rsidRPr="00D36D1F">
              <w:t>(194)</w:t>
            </w:r>
          </w:p>
        </w:tc>
        <w:tc>
          <w:tcPr>
            <w:tcW w:w="1134" w:type="dxa"/>
            <w:tcBorders>
              <w:top w:val="single" w:sz="4" w:space="0" w:color="A6A6A6"/>
            </w:tcBorders>
            <w:hideMark/>
          </w:tcPr>
          <w:p w14:paraId="4807EFE2" w14:textId="5AE6A350" w:rsidR="00921E3F" w:rsidRPr="002029AF" w:rsidRDefault="00921E3F" w:rsidP="00CE3A97">
            <w:pPr>
              <w:pStyle w:val="ARfintablebodyright"/>
              <w:rPr>
                <w:lang w:eastAsia="en-GB"/>
              </w:rPr>
            </w:pPr>
            <w:r w:rsidRPr="00D36D1F">
              <w:t>(200)</w:t>
            </w:r>
          </w:p>
        </w:tc>
        <w:tc>
          <w:tcPr>
            <w:tcW w:w="1134" w:type="dxa"/>
            <w:tcBorders>
              <w:top w:val="single" w:sz="4" w:space="0" w:color="A6A6A6"/>
            </w:tcBorders>
            <w:hideMark/>
          </w:tcPr>
          <w:p w14:paraId="738A9C9F" w14:textId="66859BA8" w:rsidR="00921E3F" w:rsidRPr="002029AF" w:rsidRDefault="00921E3F" w:rsidP="00CE3A97">
            <w:pPr>
              <w:pStyle w:val="ARfintablebodyright"/>
              <w:rPr>
                <w:lang w:eastAsia="en-GB"/>
              </w:rPr>
            </w:pPr>
            <w:r w:rsidRPr="00D36D1F">
              <w:t>(6.6)</w:t>
            </w:r>
          </w:p>
        </w:tc>
      </w:tr>
      <w:tr w:rsidR="00921E3F" w:rsidRPr="002029AF" w14:paraId="6600B675" w14:textId="77777777" w:rsidTr="00C3704C">
        <w:trPr>
          <w:cantSplit w:val="0"/>
        </w:trPr>
        <w:tc>
          <w:tcPr>
            <w:tcW w:w="5103" w:type="dxa"/>
            <w:hideMark/>
          </w:tcPr>
          <w:p w14:paraId="2F70E9E7" w14:textId="65A24D63" w:rsidR="00921E3F" w:rsidRPr="002029AF" w:rsidRDefault="00921E3F" w:rsidP="00CE3A97">
            <w:pPr>
              <w:pStyle w:val="ARfintablebodybold"/>
              <w:rPr>
                <w:lang w:eastAsia="en-GB"/>
              </w:rPr>
            </w:pPr>
            <w:r w:rsidRPr="00D36D1F">
              <w:t>Total payments</w:t>
            </w:r>
          </w:p>
        </w:tc>
        <w:tc>
          <w:tcPr>
            <w:tcW w:w="1134" w:type="dxa"/>
            <w:hideMark/>
          </w:tcPr>
          <w:p w14:paraId="19CA1352" w14:textId="25169A82" w:rsidR="00921E3F" w:rsidRPr="002029AF" w:rsidRDefault="00921E3F" w:rsidP="00CE3A97">
            <w:pPr>
              <w:pStyle w:val="ARfintablebodyrightbold"/>
              <w:rPr>
                <w:lang w:eastAsia="en-GB"/>
              </w:rPr>
            </w:pPr>
            <w:r w:rsidRPr="00D36D1F">
              <w:t>(28,897)</w:t>
            </w:r>
          </w:p>
        </w:tc>
        <w:tc>
          <w:tcPr>
            <w:tcW w:w="1134" w:type="dxa"/>
          </w:tcPr>
          <w:p w14:paraId="6064B14E" w14:textId="6F32233F" w:rsidR="00921E3F" w:rsidRPr="002029AF" w:rsidRDefault="00921E3F" w:rsidP="00CE3A97">
            <w:pPr>
              <w:pStyle w:val="ARfintablebodyrightbold"/>
              <w:rPr>
                <w:lang w:eastAsia="en-GB"/>
              </w:rPr>
            </w:pPr>
            <w:r w:rsidRPr="00D36D1F">
              <w:t>(29,912)</w:t>
            </w:r>
          </w:p>
        </w:tc>
        <w:tc>
          <w:tcPr>
            <w:tcW w:w="1134" w:type="dxa"/>
            <w:hideMark/>
          </w:tcPr>
          <w:p w14:paraId="7853E071" w14:textId="35FB2E7C" w:rsidR="00921E3F" w:rsidRPr="002029AF" w:rsidRDefault="00921E3F" w:rsidP="00CE3A97">
            <w:pPr>
              <w:pStyle w:val="ARfintablebodyrightbold"/>
              <w:rPr>
                <w:lang w:eastAsia="en-GB"/>
              </w:rPr>
            </w:pPr>
            <w:r w:rsidRPr="00D36D1F">
              <w:t>(30,982)</w:t>
            </w:r>
          </w:p>
        </w:tc>
        <w:tc>
          <w:tcPr>
            <w:tcW w:w="1134" w:type="dxa"/>
            <w:hideMark/>
          </w:tcPr>
          <w:p w14:paraId="44D63CF8" w14:textId="4548E811" w:rsidR="00921E3F" w:rsidRPr="002029AF" w:rsidRDefault="00921E3F" w:rsidP="00CE3A97">
            <w:pPr>
              <w:pStyle w:val="ARfintablebodyrightbold"/>
              <w:rPr>
                <w:lang w:eastAsia="en-GB"/>
              </w:rPr>
            </w:pPr>
            <w:r w:rsidRPr="00D36D1F">
              <w:t>(6.7)</w:t>
            </w:r>
          </w:p>
        </w:tc>
      </w:tr>
      <w:tr w:rsidR="00921E3F" w:rsidRPr="002029AF" w14:paraId="0ACF1AA2" w14:textId="77777777" w:rsidTr="00C3704C">
        <w:trPr>
          <w:cantSplit w:val="0"/>
        </w:trPr>
        <w:tc>
          <w:tcPr>
            <w:tcW w:w="5103" w:type="dxa"/>
            <w:tcBorders>
              <w:bottom w:val="single" w:sz="4" w:space="0" w:color="auto"/>
            </w:tcBorders>
            <w:hideMark/>
          </w:tcPr>
          <w:p w14:paraId="44648849" w14:textId="0BDC5DAB" w:rsidR="00921E3F" w:rsidRPr="002029AF" w:rsidRDefault="00921E3F" w:rsidP="00CE3A97">
            <w:pPr>
              <w:pStyle w:val="ARfintablebodybold"/>
              <w:rPr>
                <w:lang w:eastAsia="en-GB"/>
              </w:rPr>
            </w:pPr>
            <w:r w:rsidRPr="00D36D1F">
              <w:t>Net cash flows from /(used in) operating activities</w:t>
            </w:r>
          </w:p>
        </w:tc>
        <w:tc>
          <w:tcPr>
            <w:tcW w:w="1134" w:type="dxa"/>
            <w:tcBorders>
              <w:bottom w:val="single" w:sz="4" w:space="0" w:color="auto"/>
            </w:tcBorders>
            <w:hideMark/>
          </w:tcPr>
          <w:p w14:paraId="5FCD33EE" w14:textId="0C4968AC" w:rsidR="00921E3F" w:rsidRPr="002029AF" w:rsidRDefault="00921E3F" w:rsidP="00CE3A97">
            <w:pPr>
              <w:pStyle w:val="ARfintablebodyrightbold"/>
              <w:rPr>
                <w:lang w:eastAsia="en-GB"/>
              </w:rPr>
            </w:pPr>
            <w:r w:rsidRPr="00D36D1F">
              <w:t>1,868</w:t>
            </w:r>
          </w:p>
        </w:tc>
        <w:tc>
          <w:tcPr>
            <w:tcW w:w="1134" w:type="dxa"/>
            <w:tcBorders>
              <w:bottom w:val="single" w:sz="4" w:space="0" w:color="auto"/>
            </w:tcBorders>
          </w:tcPr>
          <w:p w14:paraId="2FD34161" w14:textId="77413BD0" w:rsidR="00921E3F" w:rsidRPr="002029AF" w:rsidRDefault="00921E3F" w:rsidP="00CE3A97">
            <w:pPr>
              <w:pStyle w:val="ARfintablebodyrightbold"/>
              <w:rPr>
                <w:lang w:eastAsia="en-GB"/>
              </w:rPr>
            </w:pPr>
            <w:r w:rsidRPr="00D36D1F">
              <w:t>871</w:t>
            </w:r>
          </w:p>
        </w:tc>
        <w:tc>
          <w:tcPr>
            <w:tcW w:w="1134" w:type="dxa"/>
            <w:tcBorders>
              <w:bottom w:val="single" w:sz="4" w:space="0" w:color="auto"/>
            </w:tcBorders>
            <w:hideMark/>
          </w:tcPr>
          <w:p w14:paraId="5E4E2260" w14:textId="57C009FD" w:rsidR="00921E3F" w:rsidRPr="002029AF" w:rsidRDefault="00921E3F" w:rsidP="00CE3A97">
            <w:pPr>
              <w:pStyle w:val="ARfintablebodyrightbold"/>
              <w:rPr>
                <w:lang w:eastAsia="en-GB"/>
              </w:rPr>
            </w:pPr>
            <w:r w:rsidRPr="00D36D1F">
              <w:t>1,712</w:t>
            </w:r>
          </w:p>
        </w:tc>
        <w:tc>
          <w:tcPr>
            <w:tcW w:w="1134" w:type="dxa"/>
            <w:tcBorders>
              <w:bottom w:val="single" w:sz="4" w:space="0" w:color="auto"/>
            </w:tcBorders>
            <w:hideMark/>
          </w:tcPr>
          <w:p w14:paraId="7689B2CF" w14:textId="68602646" w:rsidR="00921E3F" w:rsidRPr="002029AF" w:rsidRDefault="00921E3F" w:rsidP="00CE3A97">
            <w:pPr>
              <w:pStyle w:val="ARfintablebodyrightbold"/>
              <w:rPr>
                <w:lang w:eastAsia="en-GB"/>
              </w:rPr>
            </w:pPr>
            <w:r w:rsidRPr="00D36D1F">
              <w:t>9.1</w:t>
            </w:r>
          </w:p>
        </w:tc>
      </w:tr>
      <w:tr w:rsidR="00CE3A97" w:rsidRPr="002029AF" w14:paraId="408DE05D" w14:textId="77777777" w:rsidTr="00C3704C">
        <w:trPr>
          <w:cantSplit w:val="0"/>
        </w:trPr>
        <w:tc>
          <w:tcPr>
            <w:tcW w:w="5103" w:type="dxa"/>
            <w:gridSpan w:val="5"/>
            <w:tcBorders>
              <w:top w:val="single" w:sz="4" w:space="0" w:color="auto"/>
              <w:bottom w:val="single" w:sz="4" w:space="0" w:color="A6A6A6"/>
            </w:tcBorders>
          </w:tcPr>
          <w:p w14:paraId="463D8115" w14:textId="36F5AC7A" w:rsidR="00CE3A97" w:rsidRPr="002029AF" w:rsidRDefault="00CE3A97" w:rsidP="00CE3A97">
            <w:pPr>
              <w:pStyle w:val="ARfintablebodybold"/>
              <w:rPr>
                <w:lang w:eastAsia="en-GB"/>
              </w:rPr>
            </w:pPr>
            <w:r w:rsidRPr="00D36D1F">
              <w:t>Cash flows from investing activities</w:t>
            </w:r>
          </w:p>
        </w:tc>
      </w:tr>
      <w:tr w:rsidR="00921E3F" w:rsidRPr="002029AF" w14:paraId="6760F7DD" w14:textId="77777777" w:rsidTr="00C3704C">
        <w:trPr>
          <w:cantSplit w:val="0"/>
        </w:trPr>
        <w:tc>
          <w:tcPr>
            <w:tcW w:w="5103" w:type="dxa"/>
            <w:tcBorders>
              <w:top w:val="single" w:sz="4" w:space="0" w:color="A6A6A6"/>
              <w:bottom w:val="single" w:sz="4" w:space="0" w:color="A6A6A6"/>
            </w:tcBorders>
            <w:hideMark/>
          </w:tcPr>
          <w:p w14:paraId="1DE5328B" w14:textId="6BCD84EA" w:rsidR="00921E3F" w:rsidRPr="002029AF" w:rsidRDefault="00921E3F" w:rsidP="00CE3A97">
            <w:pPr>
              <w:pStyle w:val="ARfintablebody"/>
              <w:rPr>
                <w:lang w:eastAsia="en-GB"/>
              </w:rPr>
            </w:pPr>
            <w:r w:rsidRPr="00D36D1F">
              <w:t>Net investment</w:t>
            </w:r>
          </w:p>
        </w:tc>
        <w:tc>
          <w:tcPr>
            <w:tcW w:w="1134" w:type="dxa"/>
            <w:tcBorders>
              <w:top w:val="single" w:sz="4" w:space="0" w:color="A6A6A6"/>
              <w:bottom w:val="single" w:sz="4" w:space="0" w:color="A6A6A6"/>
            </w:tcBorders>
            <w:hideMark/>
          </w:tcPr>
          <w:p w14:paraId="7CD0C167" w14:textId="76079B36" w:rsidR="00921E3F" w:rsidRPr="002029AF" w:rsidRDefault="00921E3F" w:rsidP="00CE3A97">
            <w:pPr>
              <w:pStyle w:val="ARfintablebodyright"/>
              <w:rPr>
                <w:lang w:eastAsia="en-GB"/>
              </w:rPr>
            </w:pPr>
            <w:r w:rsidRPr="00D36D1F">
              <w:t>80</w:t>
            </w:r>
          </w:p>
        </w:tc>
        <w:tc>
          <w:tcPr>
            <w:tcW w:w="1134" w:type="dxa"/>
            <w:tcBorders>
              <w:top w:val="single" w:sz="4" w:space="0" w:color="A6A6A6"/>
              <w:bottom w:val="single" w:sz="4" w:space="0" w:color="A6A6A6"/>
            </w:tcBorders>
          </w:tcPr>
          <w:p w14:paraId="0F685D8B" w14:textId="1CDA51EB" w:rsidR="00921E3F" w:rsidRPr="002029AF" w:rsidRDefault="00921E3F" w:rsidP="00CE3A97">
            <w:pPr>
              <w:pStyle w:val="ARfintablebodyright"/>
              <w:rPr>
                <w:lang w:eastAsia="en-GB"/>
              </w:rPr>
            </w:pPr>
            <w:r w:rsidRPr="00D36D1F">
              <w:t>6</w:t>
            </w:r>
          </w:p>
        </w:tc>
        <w:tc>
          <w:tcPr>
            <w:tcW w:w="1134" w:type="dxa"/>
            <w:tcBorders>
              <w:top w:val="single" w:sz="4" w:space="0" w:color="A6A6A6"/>
              <w:bottom w:val="single" w:sz="4" w:space="0" w:color="A6A6A6"/>
            </w:tcBorders>
            <w:hideMark/>
          </w:tcPr>
          <w:p w14:paraId="6F98947C" w14:textId="5D28EA43" w:rsidR="00921E3F" w:rsidRPr="002029AF" w:rsidRDefault="00921E3F" w:rsidP="00CE3A97">
            <w:pPr>
              <w:pStyle w:val="ARfintablebodyright"/>
              <w:rPr>
                <w:lang w:eastAsia="en-GB"/>
              </w:rPr>
            </w:pPr>
            <w:r w:rsidRPr="00D36D1F">
              <w:t>6</w:t>
            </w:r>
          </w:p>
        </w:tc>
        <w:tc>
          <w:tcPr>
            <w:tcW w:w="1134" w:type="dxa"/>
            <w:tcBorders>
              <w:top w:val="single" w:sz="4" w:space="0" w:color="A6A6A6"/>
              <w:bottom w:val="single" w:sz="4" w:space="0" w:color="A6A6A6"/>
            </w:tcBorders>
            <w:hideMark/>
          </w:tcPr>
          <w:p w14:paraId="4B8553DB" w14:textId="47FBC5EF" w:rsidR="00921E3F" w:rsidRPr="002029AF" w:rsidRDefault="00921E3F" w:rsidP="00CE3A97">
            <w:pPr>
              <w:pStyle w:val="ARfintablebodyright"/>
              <w:rPr>
                <w:lang w:eastAsia="en-GB"/>
              </w:rPr>
            </w:pPr>
            <w:r w:rsidRPr="00D36D1F">
              <w:t>1,259.3</w:t>
            </w:r>
          </w:p>
        </w:tc>
      </w:tr>
      <w:tr w:rsidR="00921E3F" w:rsidRPr="002029AF" w14:paraId="7DCDE713" w14:textId="77777777" w:rsidTr="00C3704C">
        <w:trPr>
          <w:cantSplit w:val="0"/>
        </w:trPr>
        <w:tc>
          <w:tcPr>
            <w:tcW w:w="5103" w:type="dxa"/>
            <w:tcBorders>
              <w:top w:val="single" w:sz="4" w:space="0" w:color="A6A6A6"/>
              <w:bottom w:val="single" w:sz="4" w:space="0" w:color="A6A6A6"/>
            </w:tcBorders>
            <w:hideMark/>
          </w:tcPr>
          <w:p w14:paraId="43872C71" w14:textId="16C6E811" w:rsidR="00921E3F" w:rsidRPr="002029AF" w:rsidRDefault="00921E3F" w:rsidP="00CE3A97">
            <w:pPr>
              <w:pStyle w:val="ARfintablebody"/>
              <w:rPr>
                <w:lang w:eastAsia="en-GB"/>
              </w:rPr>
            </w:pPr>
            <w:r w:rsidRPr="00D36D1F">
              <w:t>Payments for non-financial assets</w:t>
            </w:r>
          </w:p>
        </w:tc>
        <w:tc>
          <w:tcPr>
            <w:tcW w:w="1134" w:type="dxa"/>
            <w:tcBorders>
              <w:top w:val="single" w:sz="4" w:space="0" w:color="A6A6A6"/>
              <w:bottom w:val="single" w:sz="4" w:space="0" w:color="A6A6A6"/>
            </w:tcBorders>
            <w:hideMark/>
          </w:tcPr>
          <w:p w14:paraId="33C0B3E2" w14:textId="0AB6B2B8" w:rsidR="00921E3F" w:rsidRPr="002029AF" w:rsidRDefault="00921E3F" w:rsidP="00CE3A97">
            <w:pPr>
              <w:pStyle w:val="ARfintablebodyright"/>
              <w:rPr>
                <w:lang w:eastAsia="en-GB"/>
              </w:rPr>
            </w:pPr>
            <w:r w:rsidRPr="00D36D1F">
              <w:t>(1,305)</w:t>
            </w:r>
          </w:p>
        </w:tc>
        <w:tc>
          <w:tcPr>
            <w:tcW w:w="1134" w:type="dxa"/>
            <w:tcBorders>
              <w:top w:val="single" w:sz="4" w:space="0" w:color="A6A6A6"/>
              <w:bottom w:val="single" w:sz="4" w:space="0" w:color="A6A6A6"/>
            </w:tcBorders>
          </w:tcPr>
          <w:p w14:paraId="619A4ECE" w14:textId="1DF2E0E3" w:rsidR="00921E3F" w:rsidRPr="002029AF" w:rsidRDefault="00921E3F" w:rsidP="00CE3A97">
            <w:pPr>
              <w:pStyle w:val="ARfintablebodyright"/>
              <w:rPr>
                <w:lang w:eastAsia="en-GB"/>
              </w:rPr>
            </w:pPr>
            <w:r w:rsidRPr="00D36D1F">
              <w:t>(1,221)</w:t>
            </w:r>
          </w:p>
        </w:tc>
        <w:tc>
          <w:tcPr>
            <w:tcW w:w="1134" w:type="dxa"/>
            <w:tcBorders>
              <w:top w:val="single" w:sz="4" w:space="0" w:color="A6A6A6"/>
              <w:bottom w:val="single" w:sz="4" w:space="0" w:color="A6A6A6"/>
            </w:tcBorders>
            <w:hideMark/>
          </w:tcPr>
          <w:p w14:paraId="02C1ADDC" w14:textId="5F8491C7" w:rsidR="00921E3F" w:rsidRPr="002029AF" w:rsidRDefault="00921E3F" w:rsidP="00CE3A97">
            <w:pPr>
              <w:pStyle w:val="ARfintablebodyright"/>
              <w:rPr>
                <w:lang w:eastAsia="en-GB"/>
              </w:rPr>
            </w:pPr>
            <w:r w:rsidRPr="00D36D1F">
              <w:t>(1,952)</w:t>
            </w:r>
          </w:p>
        </w:tc>
        <w:tc>
          <w:tcPr>
            <w:tcW w:w="1134" w:type="dxa"/>
            <w:tcBorders>
              <w:top w:val="single" w:sz="4" w:space="0" w:color="A6A6A6"/>
              <w:bottom w:val="single" w:sz="4" w:space="0" w:color="A6A6A6"/>
            </w:tcBorders>
            <w:hideMark/>
          </w:tcPr>
          <w:p w14:paraId="5B3792B5" w14:textId="602E31A1" w:rsidR="00921E3F" w:rsidRPr="002029AF" w:rsidRDefault="00921E3F" w:rsidP="00CE3A97">
            <w:pPr>
              <w:pStyle w:val="ARfintablebodyright"/>
              <w:rPr>
                <w:lang w:eastAsia="en-GB"/>
              </w:rPr>
            </w:pPr>
            <w:r w:rsidRPr="00D36D1F">
              <w:t>(33.2)</w:t>
            </w:r>
          </w:p>
        </w:tc>
      </w:tr>
      <w:tr w:rsidR="00921E3F" w:rsidRPr="002029AF" w14:paraId="77E6E994" w14:textId="77777777" w:rsidTr="00C3704C">
        <w:trPr>
          <w:cantSplit w:val="0"/>
        </w:trPr>
        <w:tc>
          <w:tcPr>
            <w:tcW w:w="5103" w:type="dxa"/>
            <w:tcBorders>
              <w:top w:val="single" w:sz="4" w:space="0" w:color="A6A6A6"/>
              <w:bottom w:val="single" w:sz="4" w:space="0" w:color="A6A6A6"/>
            </w:tcBorders>
            <w:hideMark/>
          </w:tcPr>
          <w:p w14:paraId="5F26D0B1" w14:textId="23B9604F" w:rsidR="00921E3F" w:rsidRPr="002029AF" w:rsidRDefault="00921E3F" w:rsidP="00CE3A97">
            <w:pPr>
              <w:pStyle w:val="ARfintablebody"/>
              <w:rPr>
                <w:lang w:eastAsia="en-GB"/>
              </w:rPr>
            </w:pPr>
            <w:r w:rsidRPr="00D36D1F">
              <w:t>Proceeds from sale of non-financial assets</w:t>
            </w:r>
          </w:p>
        </w:tc>
        <w:tc>
          <w:tcPr>
            <w:tcW w:w="1134" w:type="dxa"/>
            <w:tcBorders>
              <w:top w:val="single" w:sz="4" w:space="0" w:color="A6A6A6"/>
              <w:bottom w:val="single" w:sz="4" w:space="0" w:color="A6A6A6"/>
            </w:tcBorders>
            <w:hideMark/>
          </w:tcPr>
          <w:p w14:paraId="6F20FBD3" w14:textId="21A67DD9" w:rsidR="00921E3F" w:rsidRPr="002029AF" w:rsidRDefault="00921E3F" w:rsidP="00CE3A97">
            <w:pPr>
              <w:pStyle w:val="ARfintablebodyright"/>
              <w:rPr>
                <w:lang w:eastAsia="en-GB"/>
              </w:rPr>
            </w:pPr>
            <w:r w:rsidRPr="00D36D1F">
              <w:t>24</w:t>
            </w:r>
          </w:p>
        </w:tc>
        <w:tc>
          <w:tcPr>
            <w:tcW w:w="1134" w:type="dxa"/>
            <w:tcBorders>
              <w:top w:val="single" w:sz="4" w:space="0" w:color="A6A6A6"/>
              <w:bottom w:val="single" w:sz="4" w:space="0" w:color="A6A6A6"/>
            </w:tcBorders>
          </w:tcPr>
          <w:p w14:paraId="385AA5E8" w14:textId="0B36AA27" w:rsidR="00921E3F" w:rsidRPr="002029AF" w:rsidRDefault="00921E3F" w:rsidP="00CE3A97">
            <w:pPr>
              <w:pStyle w:val="ARfintablebodyright"/>
              <w:rPr>
                <w:lang w:eastAsia="en-GB"/>
              </w:rPr>
            </w:pPr>
            <w:r w:rsidRPr="00D36D1F">
              <w:t>3</w:t>
            </w:r>
          </w:p>
        </w:tc>
        <w:tc>
          <w:tcPr>
            <w:tcW w:w="1134" w:type="dxa"/>
            <w:tcBorders>
              <w:top w:val="single" w:sz="4" w:space="0" w:color="A6A6A6"/>
              <w:bottom w:val="single" w:sz="4" w:space="0" w:color="A6A6A6"/>
            </w:tcBorders>
            <w:hideMark/>
          </w:tcPr>
          <w:p w14:paraId="5F69D293" w14:textId="32365600" w:rsidR="00921E3F" w:rsidRPr="002029AF" w:rsidRDefault="00921E3F" w:rsidP="00CE3A97">
            <w:pPr>
              <w:pStyle w:val="ARfintablebodyright"/>
              <w:rPr>
                <w:lang w:eastAsia="en-GB"/>
              </w:rPr>
            </w:pPr>
            <w:r w:rsidRPr="00D36D1F">
              <w:t>3</w:t>
            </w:r>
          </w:p>
        </w:tc>
        <w:tc>
          <w:tcPr>
            <w:tcW w:w="1134" w:type="dxa"/>
            <w:tcBorders>
              <w:top w:val="single" w:sz="4" w:space="0" w:color="A6A6A6"/>
              <w:bottom w:val="single" w:sz="4" w:space="0" w:color="A6A6A6"/>
            </w:tcBorders>
            <w:hideMark/>
          </w:tcPr>
          <w:p w14:paraId="79C0343B" w14:textId="0A580EBD" w:rsidR="00921E3F" w:rsidRPr="002029AF" w:rsidRDefault="00921E3F" w:rsidP="00CE3A97">
            <w:pPr>
              <w:pStyle w:val="ARfintablebodyright"/>
              <w:rPr>
                <w:lang w:eastAsia="en-GB"/>
              </w:rPr>
            </w:pPr>
            <w:r w:rsidRPr="00D36D1F">
              <w:t>686.5</w:t>
            </w:r>
          </w:p>
        </w:tc>
      </w:tr>
      <w:tr w:rsidR="00921E3F" w:rsidRPr="002029AF" w14:paraId="21337D68" w14:textId="77777777" w:rsidTr="00C3704C">
        <w:trPr>
          <w:cantSplit w:val="0"/>
        </w:trPr>
        <w:tc>
          <w:tcPr>
            <w:tcW w:w="5103" w:type="dxa"/>
            <w:tcBorders>
              <w:top w:val="single" w:sz="4" w:space="0" w:color="A6A6A6"/>
            </w:tcBorders>
            <w:hideMark/>
          </w:tcPr>
          <w:p w14:paraId="709BDBE2" w14:textId="24D48B30" w:rsidR="00921E3F" w:rsidRPr="002029AF" w:rsidRDefault="00921E3F" w:rsidP="00CE3A97">
            <w:pPr>
              <w:pStyle w:val="ARfintablebody"/>
              <w:rPr>
                <w:lang w:eastAsia="en-GB"/>
              </w:rPr>
            </w:pPr>
            <w:r w:rsidRPr="00D36D1F">
              <w:t>Net loans to other parties</w:t>
            </w:r>
          </w:p>
        </w:tc>
        <w:tc>
          <w:tcPr>
            <w:tcW w:w="1134" w:type="dxa"/>
            <w:tcBorders>
              <w:top w:val="single" w:sz="4" w:space="0" w:color="A6A6A6"/>
            </w:tcBorders>
            <w:hideMark/>
          </w:tcPr>
          <w:p w14:paraId="264F5687" w14:textId="73CCAB1F" w:rsidR="00921E3F" w:rsidRPr="002029AF" w:rsidRDefault="00921E3F" w:rsidP="00CE3A97">
            <w:pPr>
              <w:pStyle w:val="ARfintablebodyright"/>
              <w:rPr>
                <w:lang w:eastAsia="en-GB"/>
              </w:rPr>
            </w:pPr>
            <w:r w:rsidRPr="00D36D1F">
              <w:t>33</w:t>
            </w:r>
          </w:p>
        </w:tc>
        <w:tc>
          <w:tcPr>
            <w:tcW w:w="1134" w:type="dxa"/>
            <w:tcBorders>
              <w:top w:val="single" w:sz="4" w:space="0" w:color="A6A6A6"/>
            </w:tcBorders>
          </w:tcPr>
          <w:p w14:paraId="51F3F3C3" w14:textId="0DCDAA3E" w:rsidR="00921E3F" w:rsidRPr="002029AF" w:rsidRDefault="00921E3F" w:rsidP="00CE3A97">
            <w:pPr>
              <w:pStyle w:val="ARfintablebodyright"/>
              <w:rPr>
                <w:lang w:eastAsia="en-GB"/>
              </w:rPr>
            </w:pPr>
            <w:r w:rsidRPr="00D36D1F">
              <w:t>33</w:t>
            </w:r>
          </w:p>
        </w:tc>
        <w:tc>
          <w:tcPr>
            <w:tcW w:w="1134" w:type="dxa"/>
            <w:tcBorders>
              <w:top w:val="single" w:sz="4" w:space="0" w:color="A6A6A6"/>
            </w:tcBorders>
            <w:hideMark/>
          </w:tcPr>
          <w:p w14:paraId="4CB74266" w14:textId="39F6C372" w:rsidR="00921E3F" w:rsidRPr="002029AF" w:rsidRDefault="00921E3F" w:rsidP="00CE3A97">
            <w:pPr>
              <w:pStyle w:val="ARfintablebodyright"/>
              <w:rPr>
                <w:lang w:eastAsia="en-GB"/>
              </w:rPr>
            </w:pPr>
            <w:r w:rsidRPr="00D36D1F">
              <w:t>35</w:t>
            </w:r>
          </w:p>
        </w:tc>
        <w:tc>
          <w:tcPr>
            <w:tcW w:w="1134" w:type="dxa"/>
            <w:tcBorders>
              <w:top w:val="single" w:sz="4" w:space="0" w:color="A6A6A6"/>
            </w:tcBorders>
            <w:hideMark/>
          </w:tcPr>
          <w:p w14:paraId="2D7B163A" w14:textId="152371E8" w:rsidR="00921E3F" w:rsidRPr="002029AF" w:rsidRDefault="00921E3F" w:rsidP="00CE3A97">
            <w:pPr>
              <w:pStyle w:val="ARfintablebodyright"/>
              <w:rPr>
                <w:lang w:eastAsia="en-GB"/>
              </w:rPr>
            </w:pPr>
            <w:r w:rsidRPr="00D36D1F">
              <w:t>(5.1)</w:t>
            </w:r>
          </w:p>
        </w:tc>
      </w:tr>
      <w:tr w:rsidR="00921E3F" w:rsidRPr="002029AF" w14:paraId="372A4470" w14:textId="77777777" w:rsidTr="00C3704C">
        <w:trPr>
          <w:cantSplit w:val="0"/>
        </w:trPr>
        <w:tc>
          <w:tcPr>
            <w:tcW w:w="5103" w:type="dxa"/>
            <w:tcBorders>
              <w:bottom w:val="single" w:sz="4" w:space="0" w:color="auto"/>
            </w:tcBorders>
            <w:hideMark/>
          </w:tcPr>
          <w:p w14:paraId="4F5ED207" w14:textId="1C6674B7" w:rsidR="00921E3F" w:rsidRPr="002029AF" w:rsidRDefault="00921E3F" w:rsidP="00CE3A97">
            <w:pPr>
              <w:pStyle w:val="ARfintablebodybold"/>
              <w:rPr>
                <w:lang w:eastAsia="en-GB"/>
              </w:rPr>
            </w:pPr>
            <w:r w:rsidRPr="00D36D1F">
              <w:t>Net cash flows from/ (used in) investing activities</w:t>
            </w:r>
          </w:p>
        </w:tc>
        <w:tc>
          <w:tcPr>
            <w:tcW w:w="1134" w:type="dxa"/>
            <w:tcBorders>
              <w:bottom w:val="single" w:sz="4" w:space="0" w:color="auto"/>
            </w:tcBorders>
            <w:hideMark/>
          </w:tcPr>
          <w:p w14:paraId="03AC28D1" w14:textId="6CA43AF2" w:rsidR="00921E3F" w:rsidRPr="002029AF" w:rsidRDefault="00921E3F" w:rsidP="00CE3A97">
            <w:pPr>
              <w:pStyle w:val="ARfintablebodyrightbold"/>
              <w:rPr>
                <w:lang w:eastAsia="en-GB"/>
              </w:rPr>
            </w:pPr>
            <w:r w:rsidRPr="00D36D1F">
              <w:t>(1,167)</w:t>
            </w:r>
          </w:p>
        </w:tc>
        <w:tc>
          <w:tcPr>
            <w:tcW w:w="1134" w:type="dxa"/>
            <w:tcBorders>
              <w:bottom w:val="single" w:sz="4" w:space="0" w:color="auto"/>
            </w:tcBorders>
          </w:tcPr>
          <w:p w14:paraId="78EC6FCB" w14:textId="7376422F" w:rsidR="00921E3F" w:rsidRPr="002029AF" w:rsidRDefault="00921E3F" w:rsidP="00CE3A97">
            <w:pPr>
              <w:pStyle w:val="ARfintablebodyrightbold"/>
              <w:rPr>
                <w:lang w:eastAsia="en-GB"/>
              </w:rPr>
            </w:pPr>
            <w:r w:rsidRPr="00D36D1F">
              <w:t>(1,179)</w:t>
            </w:r>
          </w:p>
        </w:tc>
        <w:tc>
          <w:tcPr>
            <w:tcW w:w="1134" w:type="dxa"/>
            <w:tcBorders>
              <w:bottom w:val="single" w:sz="4" w:space="0" w:color="auto"/>
            </w:tcBorders>
            <w:hideMark/>
          </w:tcPr>
          <w:p w14:paraId="7EA69E55" w14:textId="1C8D2976" w:rsidR="00921E3F" w:rsidRPr="002029AF" w:rsidRDefault="00921E3F" w:rsidP="00CE3A97">
            <w:pPr>
              <w:pStyle w:val="ARfintablebodyrightbold"/>
              <w:rPr>
                <w:lang w:eastAsia="en-GB"/>
              </w:rPr>
            </w:pPr>
            <w:r w:rsidRPr="00D36D1F">
              <w:t>(1,908)</w:t>
            </w:r>
          </w:p>
        </w:tc>
        <w:tc>
          <w:tcPr>
            <w:tcW w:w="1134" w:type="dxa"/>
            <w:tcBorders>
              <w:bottom w:val="single" w:sz="4" w:space="0" w:color="auto"/>
            </w:tcBorders>
            <w:hideMark/>
          </w:tcPr>
          <w:p w14:paraId="59151CDC" w14:textId="31C9A122" w:rsidR="00921E3F" w:rsidRPr="002029AF" w:rsidRDefault="00921E3F" w:rsidP="00CE3A97">
            <w:pPr>
              <w:pStyle w:val="ARfintablebodyrightbold"/>
              <w:rPr>
                <w:lang w:eastAsia="en-GB"/>
              </w:rPr>
            </w:pPr>
            <w:r w:rsidRPr="00D36D1F">
              <w:t>(38.8)</w:t>
            </w:r>
          </w:p>
        </w:tc>
      </w:tr>
      <w:tr w:rsidR="00CE3A97" w:rsidRPr="002029AF" w14:paraId="1AAD9238" w14:textId="77777777" w:rsidTr="00C3704C">
        <w:trPr>
          <w:cantSplit w:val="0"/>
        </w:trPr>
        <w:tc>
          <w:tcPr>
            <w:tcW w:w="5103" w:type="dxa"/>
            <w:gridSpan w:val="5"/>
            <w:tcBorders>
              <w:top w:val="single" w:sz="4" w:space="0" w:color="auto"/>
              <w:bottom w:val="single" w:sz="4" w:space="0" w:color="A6A6A6"/>
            </w:tcBorders>
          </w:tcPr>
          <w:p w14:paraId="6B90522E" w14:textId="296A223D" w:rsidR="00CE3A97" w:rsidRPr="002029AF" w:rsidRDefault="00CE3A97" w:rsidP="00CE3A97">
            <w:pPr>
              <w:pStyle w:val="ARfintablebodybold"/>
              <w:rPr>
                <w:lang w:eastAsia="en-GB"/>
              </w:rPr>
            </w:pPr>
            <w:r w:rsidRPr="00D36D1F">
              <w:t>Cash flows from financing activities</w:t>
            </w:r>
          </w:p>
        </w:tc>
      </w:tr>
      <w:tr w:rsidR="00921E3F" w:rsidRPr="002029AF" w14:paraId="186DC1F1" w14:textId="77777777" w:rsidTr="00C3704C">
        <w:trPr>
          <w:cantSplit w:val="0"/>
        </w:trPr>
        <w:tc>
          <w:tcPr>
            <w:tcW w:w="5103" w:type="dxa"/>
            <w:tcBorders>
              <w:top w:val="single" w:sz="4" w:space="0" w:color="A6A6A6"/>
              <w:bottom w:val="single" w:sz="4" w:space="0" w:color="A6A6A6"/>
            </w:tcBorders>
            <w:hideMark/>
          </w:tcPr>
          <w:p w14:paraId="0FCF2A37" w14:textId="6F783459" w:rsidR="00921E3F" w:rsidRPr="002029AF" w:rsidRDefault="00921E3F" w:rsidP="00CE3A97">
            <w:pPr>
              <w:pStyle w:val="ARfintablebody"/>
              <w:rPr>
                <w:lang w:eastAsia="en-GB"/>
              </w:rPr>
            </w:pPr>
            <w:r w:rsidRPr="00D36D1F">
              <w:t>Owner contributions by state government</w:t>
            </w:r>
          </w:p>
        </w:tc>
        <w:tc>
          <w:tcPr>
            <w:tcW w:w="1134" w:type="dxa"/>
            <w:tcBorders>
              <w:top w:val="single" w:sz="4" w:space="0" w:color="A6A6A6"/>
              <w:bottom w:val="single" w:sz="4" w:space="0" w:color="A6A6A6"/>
            </w:tcBorders>
            <w:hideMark/>
          </w:tcPr>
          <w:p w14:paraId="1993387B" w14:textId="68FF90C3" w:rsidR="00921E3F" w:rsidRPr="002029AF" w:rsidRDefault="00921E3F" w:rsidP="00CE3A97">
            <w:pPr>
              <w:pStyle w:val="ARfintablebodyright"/>
              <w:rPr>
                <w:lang w:eastAsia="en-GB"/>
              </w:rPr>
            </w:pPr>
            <w:r w:rsidRPr="00D36D1F">
              <w:t>268</w:t>
            </w:r>
          </w:p>
        </w:tc>
        <w:tc>
          <w:tcPr>
            <w:tcW w:w="1134" w:type="dxa"/>
            <w:tcBorders>
              <w:top w:val="single" w:sz="4" w:space="0" w:color="A6A6A6"/>
              <w:bottom w:val="single" w:sz="4" w:space="0" w:color="A6A6A6"/>
            </w:tcBorders>
          </w:tcPr>
          <w:p w14:paraId="3BFC8FAF" w14:textId="2F6166E0" w:rsidR="00921E3F" w:rsidRPr="002029AF" w:rsidRDefault="00921E3F" w:rsidP="00CE3A97">
            <w:pPr>
              <w:pStyle w:val="ARfintablebodyright"/>
              <w:rPr>
                <w:lang w:eastAsia="en-GB"/>
              </w:rPr>
            </w:pPr>
            <w:r w:rsidRPr="00D36D1F">
              <w:t>119</w:t>
            </w:r>
          </w:p>
        </w:tc>
        <w:tc>
          <w:tcPr>
            <w:tcW w:w="1134" w:type="dxa"/>
            <w:tcBorders>
              <w:top w:val="single" w:sz="4" w:space="0" w:color="A6A6A6"/>
              <w:bottom w:val="single" w:sz="4" w:space="0" w:color="A6A6A6"/>
            </w:tcBorders>
            <w:hideMark/>
          </w:tcPr>
          <w:p w14:paraId="3FEA7883" w14:textId="145EA75F" w:rsidR="00921E3F" w:rsidRPr="002029AF" w:rsidRDefault="00921E3F" w:rsidP="00CE3A97">
            <w:pPr>
              <w:pStyle w:val="ARfintablebodyright"/>
              <w:rPr>
                <w:lang w:eastAsia="en-GB"/>
              </w:rPr>
            </w:pPr>
            <w:r w:rsidRPr="00D36D1F">
              <w:t>230</w:t>
            </w:r>
          </w:p>
        </w:tc>
        <w:tc>
          <w:tcPr>
            <w:tcW w:w="1134" w:type="dxa"/>
            <w:tcBorders>
              <w:top w:val="single" w:sz="4" w:space="0" w:color="A6A6A6"/>
              <w:bottom w:val="single" w:sz="4" w:space="0" w:color="A6A6A6"/>
            </w:tcBorders>
            <w:hideMark/>
          </w:tcPr>
          <w:p w14:paraId="211E0B6A" w14:textId="6D78FD6A" w:rsidR="00921E3F" w:rsidRPr="002029AF" w:rsidRDefault="00921E3F" w:rsidP="00CE3A97">
            <w:pPr>
              <w:pStyle w:val="ARfintablebodyright"/>
              <w:rPr>
                <w:lang w:eastAsia="en-GB"/>
              </w:rPr>
            </w:pPr>
            <w:r w:rsidRPr="00D36D1F">
              <w:t>16.6</w:t>
            </w:r>
          </w:p>
        </w:tc>
      </w:tr>
      <w:tr w:rsidR="00921E3F" w:rsidRPr="002029AF" w14:paraId="750D09FF" w14:textId="77777777" w:rsidTr="00C3704C">
        <w:trPr>
          <w:cantSplit w:val="0"/>
        </w:trPr>
        <w:tc>
          <w:tcPr>
            <w:tcW w:w="5103" w:type="dxa"/>
            <w:tcBorders>
              <w:top w:val="single" w:sz="4" w:space="0" w:color="A6A6A6"/>
              <w:bottom w:val="single" w:sz="4" w:space="0" w:color="A6A6A6"/>
            </w:tcBorders>
            <w:hideMark/>
          </w:tcPr>
          <w:p w14:paraId="45B6070D" w14:textId="4573140A" w:rsidR="00921E3F" w:rsidRPr="002029AF" w:rsidRDefault="00921E3F" w:rsidP="00CE3A97">
            <w:pPr>
              <w:pStyle w:val="ARfintablebody"/>
              <w:rPr>
                <w:lang w:eastAsia="en-GB"/>
              </w:rPr>
            </w:pPr>
            <w:r w:rsidRPr="00D36D1F">
              <w:t>Repayment of leases and service concession liabilities</w:t>
            </w:r>
          </w:p>
        </w:tc>
        <w:tc>
          <w:tcPr>
            <w:tcW w:w="1134" w:type="dxa"/>
            <w:tcBorders>
              <w:top w:val="single" w:sz="4" w:space="0" w:color="A6A6A6"/>
              <w:bottom w:val="single" w:sz="4" w:space="0" w:color="A6A6A6"/>
            </w:tcBorders>
            <w:hideMark/>
          </w:tcPr>
          <w:p w14:paraId="73396904" w14:textId="76E9BC50" w:rsidR="00921E3F" w:rsidRPr="002029AF" w:rsidRDefault="00921E3F" w:rsidP="00CE3A97">
            <w:pPr>
              <w:pStyle w:val="ARfintablebodyright"/>
              <w:rPr>
                <w:lang w:eastAsia="en-GB"/>
              </w:rPr>
            </w:pPr>
            <w:r w:rsidRPr="00D36D1F">
              <w:t>(230)</w:t>
            </w:r>
          </w:p>
        </w:tc>
        <w:tc>
          <w:tcPr>
            <w:tcW w:w="1134" w:type="dxa"/>
            <w:tcBorders>
              <w:top w:val="single" w:sz="4" w:space="0" w:color="A6A6A6"/>
              <w:bottom w:val="single" w:sz="4" w:space="0" w:color="A6A6A6"/>
            </w:tcBorders>
          </w:tcPr>
          <w:p w14:paraId="0505A1ED" w14:textId="7FEA2EBD" w:rsidR="00921E3F" w:rsidRPr="002029AF" w:rsidRDefault="00921E3F" w:rsidP="00CE3A97">
            <w:pPr>
              <w:pStyle w:val="ARfintablebodyright"/>
              <w:rPr>
                <w:lang w:eastAsia="en-GB"/>
              </w:rPr>
            </w:pPr>
            <w:r w:rsidRPr="00D36D1F">
              <w:t>(178)</w:t>
            </w:r>
          </w:p>
        </w:tc>
        <w:tc>
          <w:tcPr>
            <w:tcW w:w="1134" w:type="dxa"/>
            <w:tcBorders>
              <w:top w:val="single" w:sz="4" w:space="0" w:color="A6A6A6"/>
              <w:bottom w:val="single" w:sz="4" w:space="0" w:color="A6A6A6"/>
            </w:tcBorders>
            <w:hideMark/>
          </w:tcPr>
          <w:p w14:paraId="7C7EC2D9" w14:textId="3D3FB9EA" w:rsidR="00921E3F" w:rsidRPr="002029AF" w:rsidRDefault="00921E3F" w:rsidP="00CE3A97">
            <w:pPr>
              <w:pStyle w:val="ARfintablebodyright"/>
              <w:rPr>
                <w:lang w:eastAsia="en-GB"/>
              </w:rPr>
            </w:pPr>
            <w:r w:rsidRPr="00D36D1F">
              <w:t>(191)</w:t>
            </w:r>
          </w:p>
        </w:tc>
        <w:tc>
          <w:tcPr>
            <w:tcW w:w="1134" w:type="dxa"/>
            <w:tcBorders>
              <w:top w:val="single" w:sz="4" w:space="0" w:color="A6A6A6"/>
              <w:bottom w:val="single" w:sz="4" w:space="0" w:color="A6A6A6"/>
            </w:tcBorders>
            <w:hideMark/>
          </w:tcPr>
          <w:p w14:paraId="2605FD8A" w14:textId="43BD64AF" w:rsidR="00921E3F" w:rsidRPr="002029AF" w:rsidRDefault="00921E3F" w:rsidP="00CE3A97">
            <w:pPr>
              <w:pStyle w:val="ARfintablebodyright"/>
              <w:rPr>
                <w:lang w:eastAsia="en-GB"/>
              </w:rPr>
            </w:pPr>
            <w:r w:rsidRPr="00D36D1F">
              <w:t>20.7</w:t>
            </w:r>
          </w:p>
        </w:tc>
      </w:tr>
      <w:tr w:rsidR="00921E3F" w:rsidRPr="002029AF" w14:paraId="1292314B" w14:textId="77777777" w:rsidTr="00C3704C">
        <w:trPr>
          <w:cantSplit w:val="0"/>
        </w:trPr>
        <w:tc>
          <w:tcPr>
            <w:tcW w:w="5103" w:type="dxa"/>
            <w:tcBorders>
              <w:top w:val="single" w:sz="4" w:space="0" w:color="A6A6A6"/>
            </w:tcBorders>
            <w:hideMark/>
          </w:tcPr>
          <w:p w14:paraId="1045649D" w14:textId="61E4D37B" w:rsidR="00921E3F" w:rsidRPr="002029AF" w:rsidRDefault="00921E3F" w:rsidP="00CE3A97">
            <w:pPr>
              <w:pStyle w:val="ARfintablebody"/>
              <w:rPr>
                <w:lang w:eastAsia="en-GB"/>
              </w:rPr>
            </w:pPr>
            <w:r w:rsidRPr="00D36D1F">
              <w:t>Net borrowings</w:t>
            </w:r>
          </w:p>
        </w:tc>
        <w:tc>
          <w:tcPr>
            <w:tcW w:w="1134" w:type="dxa"/>
            <w:tcBorders>
              <w:top w:val="single" w:sz="4" w:space="0" w:color="A6A6A6"/>
            </w:tcBorders>
            <w:hideMark/>
          </w:tcPr>
          <w:p w14:paraId="5131A0F1" w14:textId="5886E0D6" w:rsidR="00921E3F" w:rsidRPr="002029AF" w:rsidRDefault="00921E3F" w:rsidP="00CE3A97">
            <w:pPr>
              <w:pStyle w:val="ARfintablebodyright"/>
              <w:rPr>
                <w:lang w:eastAsia="en-GB"/>
              </w:rPr>
            </w:pPr>
            <w:r w:rsidRPr="00D36D1F">
              <w:t>(390)</w:t>
            </w:r>
          </w:p>
        </w:tc>
        <w:tc>
          <w:tcPr>
            <w:tcW w:w="1134" w:type="dxa"/>
            <w:tcBorders>
              <w:top w:val="single" w:sz="4" w:space="0" w:color="A6A6A6"/>
            </w:tcBorders>
          </w:tcPr>
          <w:p w14:paraId="5ACBCC13" w14:textId="496C4D4E" w:rsidR="00921E3F" w:rsidRPr="002029AF" w:rsidRDefault="00921E3F" w:rsidP="00CE3A97">
            <w:pPr>
              <w:pStyle w:val="ARfintablebodyright"/>
              <w:rPr>
                <w:lang w:eastAsia="en-GB"/>
              </w:rPr>
            </w:pPr>
            <w:r w:rsidRPr="00D36D1F">
              <w:t>(271)</w:t>
            </w:r>
          </w:p>
        </w:tc>
        <w:tc>
          <w:tcPr>
            <w:tcW w:w="1134" w:type="dxa"/>
            <w:tcBorders>
              <w:top w:val="single" w:sz="4" w:space="0" w:color="A6A6A6"/>
            </w:tcBorders>
            <w:hideMark/>
          </w:tcPr>
          <w:p w14:paraId="77F82972" w14:textId="25276959" w:rsidR="00921E3F" w:rsidRPr="002029AF" w:rsidRDefault="00921E3F" w:rsidP="00CE3A97">
            <w:pPr>
              <w:pStyle w:val="ARfintablebodyright"/>
              <w:rPr>
                <w:lang w:eastAsia="en-GB"/>
              </w:rPr>
            </w:pPr>
            <w:r w:rsidRPr="00D36D1F">
              <w:t>(273)</w:t>
            </w:r>
          </w:p>
        </w:tc>
        <w:tc>
          <w:tcPr>
            <w:tcW w:w="1134" w:type="dxa"/>
            <w:tcBorders>
              <w:top w:val="single" w:sz="4" w:space="0" w:color="A6A6A6"/>
            </w:tcBorders>
            <w:hideMark/>
          </w:tcPr>
          <w:p w14:paraId="065AE9D6" w14:textId="71BA4FD4" w:rsidR="00921E3F" w:rsidRPr="002029AF" w:rsidRDefault="00921E3F" w:rsidP="00CE3A97">
            <w:pPr>
              <w:pStyle w:val="ARfintablebodyright"/>
              <w:rPr>
                <w:lang w:eastAsia="en-GB"/>
              </w:rPr>
            </w:pPr>
            <w:r w:rsidRPr="00D36D1F">
              <w:t>42.8</w:t>
            </w:r>
          </w:p>
        </w:tc>
      </w:tr>
      <w:tr w:rsidR="00921E3F" w:rsidRPr="002029AF" w14:paraId="6D6C4C00" w14:textId="77777777" w:rsidTr="00C3704C">
        <w:trPr>
          <w:cantSplit w:val="0"/>
        </w:trPr>
        <w:tc>
          <w:tcPr>
            <w:tcW w:w="5103" w:type="dxa"/>
            <w:hideMark/>
          </w:tcPr>
          <w:p w14:paraId="0D79CD29" w14:textId="0D9D9884" w:rsidR="00921E3F" w:rsidRPr="002029AF" w:rsidRDefault="00921E3F" w:rsidP="00CE3A97">
            <w:pPr>
              <w:pStyle w:val="ARfintablebodybold"/>
              <w:rPr>
                <w:lang w:eastAsia="en-GB"/>
              </w:rPr>
            </w:pPr>
            <w:r w:rsidRPr="00D36D1F">
              <w:t>Net cash flows from/ (used in) financing activities</w:t>
            </w:r>
          </w:p>
        </w:tc>
        <w:tc>
          <w:tcPr>
            <w:tcW w:w="1134" w:type="dxa"/>
            <w:hideMark/>
          </w:tcPr>
          <w:p w14:paraId="14C0593E" w14:textId="3A54124E" w:rsidR="00921E3F" w:rsidRPr="002029AF" w:rsidRDefault="00921E3F" w:rsidP="00CE3A97">
            <w:pPr>
              <w:pStyle w:val="ARfintablebodyrightbold"/>
              <w:rPr>
                <w:lang w:eastAsia="en-GB"/>
              </w:rPr>
            </w:pPr>
            <w:r w:rsidRPr="00D36D1F">
              <w:t>(352)</w:t>
            </w:r>
          </w:p>
        </w:tc>
        <w:tc>
          <w:tcPr>
            <w:tcW w:w="1134" w:type="dxa"/>
          </w:tcPr>
          <w:p w14:paraId="3A7D42F3" w14:textId="464F1646" w:rsidR="00921E3F" w:rsidRPr="002029AF" w:rsidRDefault="00921E3F" w:rsidP="00CE3A97">
            <w:pPr>
              <w:pStyle w:val="ARfintablebodyrightbold"/>
              <w:rPr>
                <w:lang w:eastAsia="en-GB"/>
              </w:rPr>
            </w:pPr>
            <w:r w:rsidRPr="00D36D1F">
              <w:t>(331)</w:t>
            </w:r>
          </w:p>
        </w:tc>
        <w:tc>
          <w:tcPr>
            <w:tcW w:w="1134" w:type="dxa"/>
            <w:hideMark/>
          </w:tcPr>
          <w:p w14:paraId="322C4D9B" w14:textId="6A173224" w:rsidR="00921E3F" w:rsidRPr="002029AF" w:rsidRDefault="00921E3F" w:rsidP="00CE3A97">
            <w:pPr>
              <w:pStyle w:val="ARfintablebodyrightbold"/>
              <w:rPr>
                <w:lang w:eastAsia="en-GB"/>
              </w:rPr>
            </w:pPr>
            <w:r w:rsidRPr="00D36D1F">
              <w:t>(234)</w:t>
            </w:r>
          </w:p>
        </w:tc>
        <w:tc>
          <w:tcPr>
            <w:tcW w:w="1134" w:type="dxa"/>
            <w:hideMark/>
          </w:tcPr>
          <w:p w14:paraId="68AA01FB" w14:textId="65B970C4" w:rsidR="00921E3F" w:rsidRPr="002029AF" w:rsidRDefault="00921E3F" w:rsidP="00CE3A97">
            <w:pPr>
              <w:pStyle w:val="ARfintablebodyrightbold"/>
              <w:rPr>
                <w:lang w:eastAsia="en-GB"/>
              </w:rPr>
            </w:pPr>
            <w:r w:rsidRPr="00D36D1F">
              <w:t>50.6</w:t>
            </w:r>
          </w:p>
        </w:tc>
      </w:tr>
      <w:tr w:rsidR="00921E3F" w:rsidRPr="002029AF" w14:paraId="44268118" w14:textId="77777777" w:rsidTr="00C3704C">
        <w:trPr>
          <w:cantSplit w:val="0"/>
        </w:trPr>
        <w:tc>
          <w:tcPr>
            <w:tcW w:w="5103" w:type="dxa"/>
            <w:hideMark/>
          </w:tcPr>
          <w:p w14:paraId="6EAC7F21" w14:textId="179694F8" w:rsidR="00921E3F" w:rsidRPr="002029AF" w:rsidRDefault="00921E3F" w:rsidP="00CE3A97">
            <w:pPr>
              <w:pStyle w:val="ARfintablebodybold"/>
              <w:rPr>
                <w:lang w:eastAsia="en-GB"/>
              </w:rPr>
            </w:pPr>
            <w:r w:rsidRPr="00D36D1F">
              <w:t>Net increase (decrease) in cash and cash equivalents</w:t>
            </w:r>
          </w:p>
        </w:tc>
        <w:tc>
          <w:tcPr>
            <w:tcW w:w="1134" w:type="dxa"/>
            <w:hideMark/>
          </w:tcPr>
          <w:p w14:paraId="6A95FAD0" w14:textId="7F9A8F10" w:rsidR="00921E3F" w:rsidRPr="002029AF" w:rsidRDefault="00921E3F" w:rsidP="00CE3A97">
            <w:pPr>
              <w:pStyle w:val="ARfintablebodyrightbold"/>
              <w:rPr>
                <w:lang w:eastAsia="en-GB"/>
              </w:rPr>
            </w:pPr>
            <w:r w:rsidRPr="00D36D1F">
              <w:t>349</w:t>
            </w:r>
          </w:p>
        </w:tc>
        <w:tc>
          <w:tcPr>
            <w:tcW w:w="1134" w:type="dxa"/>
          </w:tcPr>
          <w:p w14:paraId="71BFC3F2" w14:textId="676F43F5" w:rsidR="00921E3F" w:rsidRPr="002029AF" w:rsidRDefault="00921E3F" w:rsidP="00CE3A97">
            <w:pPr>
              <w:pStyle w:val="ARfintablebodyrightbold"/>
              <w:rPr>
                <w:lang w:eastAsia="en-GB"/>
              </w:rPr>
            </w:pPr>
            <w:r w:rsidRPr="00D36D1F">
              <w:t>(639)</w:t>
            </w:r>
          </w:p>
        </w:tc>
        <w:tc>
          <w:tcPr>
            <w:tcW w:w="1134" w:type="dxa"/>
            <w:hideMark/>
          </w:tcPr>
          <w:p w14:paraId="16C3F813" w14:textId="33B0E97B" w:rsidR="00921E3F" w:rsidRPr="002029AF" w:rsidRDefault="00921E3F" w:rsidP="00CE3A97">
            <w:pPr>
              <w:pStyle w:val="ARfintablebodyrightbold"/>
              <w:rPr>
                <w:lang w:eastAsia="en-GB"/>
              </w:rPr>
            </w:pPr>
            <w:r w:rsidRPr="00D36D1F">
              <w:t>(429)</w:t>
            </w:r>
          </w:p>
        </w:tc>
        <w:tc>
          <w:tcPr>
            <w:tcW w:w="1134" w:type="dxa"/>
            <w:hideMark/>
          </w:tcPr>
          <w:p w14:paraId="7710A3B3" w14:textId="2198D0AF" w:rsidR="00921E3F" w:rsidRPr="002029AF" w:rsidRDefault="00921E3F" w:rsidP="00CE3A97">
            <w:pPr>
              <w:pStyle w:val="ARfintablebodyrightbold"/>
              <w:rPr>
                <w:lang w:eastAsia="en-GB"/>
              </w:rPr>
            </w:pPr>
            <w:r w:rsidRPr="00D36D1F">
              <w:t>(181.3)</w:t>
            </w:r>
          </w:p>
        </w:tc>
      </w:tr>
      <w:tr w:rsidR="00921E3F" w:rsidRPr="002029AF" w14:paraId="5EBDA967" w14:textId="77777777" w:rsidTr="00C3704C">
        <w:trPr>
          <w:cantSplit w:val="0"/>
        </w:trPr>
        <w:tc>
          <w:tcPr>
            <w:tcW w:w="5103" w:type="dxa"/>
            <w:hideMark/>
          </w:tcPr>
          <w:p w14:paraId="1433478B" w14:textId="241F940C" w:rsidR="00921E3F" w:rsidRPr="002029AF" w:rsidRDefault="00921E3F" w:rsidP="00CE3A97">
            <w:pPr>
              <w:pStyle w:val="ARfintablebody"/>
              <w:rPr>
                <w:lang w:eastAsia="en-GB"/>
              </w:rPr>
            </w:pPr>
            <w:r w:rsidRPr="00D36D1F">
              <w:t>Cash and cash equivalents at the beginning of the financial year</w:t>
            </w:r>
          </w:p>
        </w:tc>
        <w:tc>
          <w:tcPr>
            <w:tcW w:w="1134" w:type="dxa"/>
            <w:hideMark/>
          </w:tcPr>
          <w:p w14:paraId="0E4C6076" w14:textId="34BDFC57" w:rsidR="00921E3F" w:rsidRPr="002029AF" w:rsidRDefault="00921E3F" w:rsidP="00CE3A97">
            <w:pPr>
              <w:pStyle w:val="ARfintablebodyright"/>
              <w:rPr>
                <w:lang w:eastAsia="en-GB"/>
              </w:rPr>
            </w:pPr>
            <w:r w:rsidRPr="00D36D1F">
              <w:t>2,415</w:t>
            </w:r>
          </w:p>
        </w:tc>
        <w:tc>
          <w:tcPr>
            <w:tcW w:w="1134" w:type="dxa"/>
          </w:tcPr>
          <w:p w14:paraId="28D8BF34" w14:textId="7786596A" w:rsidR="00921E3F" w:rsidRPr="002029AF" w:rsidRDefault="00921E3F" w:rsidP="00CE3A97">
            <w:pPr>
              <w:pStyle w:val="ARfintablebodyright"/>
              <w:rPr>
                <w:lang w:eastAsia="en-GB"/>
              </w:rPr>
            </w:pPr>
            <w:r w:rsidRPr="00D36D1F">
              <w:t>2,412</w:t>
            </w:r>
          </w:p>
        </w:tc>
        <w:tc>
          <w:tcPr>
            <w:tcW w:w="1134" w:type="dxa"/>
            <w:hideMark/>
          </w:tcPr>
          <w:p w14:paraId="231D54DA" w14:textId="29D99B87" w:rsidR="00921E3F" w:rsidRPr="002029AF" w:rsidRDefault="00921E3F" w:rsidP="00CE3A97">
            <w:pPr>
              <w:pStyle w:val="ARfintablebodyright"/>
              <w:rPr>
                <w:lang w:eastAsia="en-GB"/>
              </w:rPr>
            </w:pPr>
            <w:r w:rsidRPr="00D36D1F">
              <w:t>2,412</w:t>
            </w:r>
          </w:p>
        </w:tc>
        <w:tc>
          <w:tcPr>
            <w:tcW w:w="1134" w:type="dxa"/>
            <w:hideMark/>
          </w:tcPr>
          <w:p w14:paraId="374CFBB3" w14:textId="0677B228" w:rsidR="00921E3F" w:rsidRPr="002029AF" w:rsidRDefault="00921E3F" w:rsidP="00CE3A97">
            <w:pPr>
              <w:pStyle w:val="ARfintablebodyright"/>
              <w:rPr>
                <w:lang w:eastAsia="en-GB"/>
              </w:rPr>
            </w:pPr>
            <w:r w:rsidRPr="00D36D1F">
              <w:t>0.1</w:t>
            </w:r>
          </w:p>
        </w:tc>
      </w:tr>
      <w:tr w:rsidR="00921E3F" w:rsidRPr="002029AF" w14:paraId="7FA64338" w14:textId="77777777" w:rsidTr="00C3704C">
        <w:trPr>
          <w:cantSplit w:val="0"/>
        </w:trPr>
        <w:tc>
          <w:tcPr>
            <w:tcW w:w="5103" w:type="dxa"/>
            <w:hideMark/>
          </w:tcPr>
          <w:p w14:paraId="2D18ACAF" w14:textId="7A322D2B" w:rsidR="00921E3F" w:rsidRPr="002029AF" w:rsidRDefault="00921E3F" w:rsidP="00CE3A97">
            <w:pPr>
              <w:pStyle w:val="ARfintablebodybold"/>
              <w:rPr>
                <w:lang w:eastAsia="en-GB"/>
              </w:rPr>
            </w:pPr>
            <w:r w:rsidRPr="00D36D1F">
              <w:t>Cash and cash equivalents at the end of the financial year</w:t>
            </w:r>
          </w:p>
        </w:tc>
        <w:tc>
          <w:tcPr>
            <w:tcW w:w="1134" w:type="dxa"/>
            <w:hideMark/>
          </w:tcPr>
          <w:p w14:paraId="26A58E5E" w14:textId="61F7658A" w:rsidR="00921E3F" w:rsidRPr="002029AF" w:rsidRDefault="00921E3F" w:rsidP="00CE3A97">
            <w:pPr>
              <w:pStyle w:val="ARfintablebodyrightbold"/>
              <w:rPr>
                <w:lang w:eastAsia="en-GB"/>
              </w:rPr>
            </w:pPr>
            <w:r w:rsidRPr="00D36D1F">
              <w:t>2,763</w:t>
            </w:r>
          </w:p>
        </w:tc>
        <w:tc>
          <w:tcPr>
            <w:tcW w:w="1134" w:type="dxa"/>
          </w:tcPr>
          <w:p w14:paraId="16A22B9B" w14:textId="6AFF3BAB" w:rsidR="00921E3F" w:rsidRPr="002029AF" w:rsidRDefault="00921E3F" w:rsidP="00CE3A97">
            <w:pPr>
              <w:pStyle w:val="ARfintablebodyrightbold"/>
              <w:rPr>
                <w:lang w:eastAsia="en-GB"/>
              </w:rPr>
            </w:pPr>
            <w:r w:rsidRPr="00D36D1F">
              <w:t>1,773</w:t>
            </w:r>
          </w:p>
        </w:tc>
        <w:tc>
          <w:tcPr>
            <w:tcW w:w="1134" w:type="dxa"/>
            <w:hideMark/>
          </w:tcPr>
          <w:p w14:paraId="385368FE" w14:textId="25F60198" w:rsidR="00921E3F" w:rsidRPr="002029AF" w:rsidRDefault="00921E3F" w:rsidP="00CE3A97">
            <w:pPr>
              <w:pStyle w:val="ARfintablebodyrightbold"/>
              <w:rPr>
                <w:lang w:eastAsia="en-GB"/>
              </w:rPr>
            </w:pPr>
            <w:r w:rsidRPr="00D36D1F">
              <w:t>1,983</w:t>
            </w:r>
          </w:p>
        </w:tc>
        <w:tc>
          <w:tcPr>
            <w:tcW w:w="1134" w:type="dxa"/>
            <w:hideMark/>
          </w:tcPr>
          <w:p w14:paraId="72EF9EA1" w14:textId="69691E0C" w:rsidR="00921E3F" w:rsidRPr="002029AF" w:rsidRDefault="00921E3F" w:rsidP="00CE3A97">
            <w:pPr>
              <w:pStyle w:val="ARfintablebodyrightbold"/>
              <w:rPr>
                <w:lang w:eastAsia="en-GB"/>
              </w:rPr>
            </w:pPr>
            <w:r w:rsidRPr="00D36D1F">
              <w:t>39.3</w:t>
            </w:r>
          </w:p>
        </w:tc>
      </w:tr>
    </w:tbl>
    <w:p w14:paraId="397FD770" w14:textId="43A4BD68" w:rsidR="00FE0922" w:rsidRDefault="00FE0922" w:rsidP="003B1F81">
      <w:pPr>
        <w:pStyle w:val="ARtablefootnotealpha"/>
        <w:numPr>
          <w:ilvl w:val="0"/>
          <w:numId w:val="32"/>
        </w:numPr>
      </w:pPr>
      <w:r>
        <w:t>The 2020–21 Revised Budget reflects the impact of the machinery of government changes whereby the Child Protection, Prevention of Family Violence, Housing and Disability functions were transferred to the Department of Families, Fairness and Housing effective 1 February 2021.</w:t>
      </w:r>
    </w:p>
    <w:p w14:paraId="25CD1C59" w14:textId="796CBAA9" w:rsidR="00783A61" w:rsidRPr="002029AF" w:rsidRDefault="00783A61" w:rsidP="00783A61">
      <w:pPr>
        <w:pStyle w:val="ARbody"/>
      </w:pPr>
      <w:r w:rsidRPr="002029AF">
        <w:br w:type="page"/>
      </w:r>
    </w:p>
    <w:p w14:paraId="20CACF59" w14:textId="07D97A56" w:rsidR="00783A61" w:rsidRDefault="00783A61" w:rsidP="00783A61">
      <w:pPr>
        <w:pStyle w:val="Heading3"/>
      </w:pPr>
      <w:bookmarkStart w:id="1112" w:name="_Toc85121580"/>
      <w:r w:rsidRPr="00A13347">
        <w:lastRenderedPageBreak/>
        <w:t>Statement of changes in equity for the financial year ended 30</w:t>
      </w:r>
      <w:r>
        <w:t xml:space="preserve"> </w:t>
      </w:r>
      <w:r w:rsidRPr="00A13347">
        <w:t>June</w:t>
      </w:r>
      <w:r>
        <w:t xml:space="preserve"> </w:t>
      </w:r>
      <w:r w:rsidRPr="00A13347">
        <w:t>2021</w:t>
      </w:r>
      <w:bookmarkEnd w:id="1112"/>
    </w:p>
    <w:tbl>
      <w:tblPr>
        <w:tblStyle w:val="TableGrid"/>
        <w:tblW w:w="9639" w:type="dxa"/>
        <w:tblLook w:val="06A0" w:firstRow="1" w:lastRow="0" w:firstColumn="1" w:lastColumn="0" w:noHBand="1" w:noVBand="1"/>
      </w:tblPr>
      <w:tblGrid>
        <w:gridCol w:w="5103"/>
        <w:gridCol w:w="1134"/>
        <w:gridCol w:w="1134"/>
        <w:gridCol w:w="1134"/>
        <w:gridCol w:w="1134"/>
      </w:tblGrid>
      <w:tr w:rsidR="00921E3F" w:rsidRPr="002029AF" w14:paraId="04EE34B4" w14:textId="77777777" w:rsidTr="00921E3F">
        <w:trPr>
          <w:cnfStyle w:val="100000000000" w:firstRow="1" w:lastRow="0" w:firstColumn="0" w:lastColumn="0" w:oddVBand="0" w:evenVBand="0" w:oddHBand="0" w:evenHBand="0" w:firstRowFirstColumn="0" w:firstRowLastColumn="0" w:lastRowFirstColumn="0" w:lastRowLastColumn="0"/>
          <w:tblHeader/>
        </w:trPr>
        <w:tc>
          <w:tcPr>
            <w:tcW w:w="5103" w:type="dxa"/>
            <w:tcBorders>
              <w:bottom w:val="single" w:sz="4" w:space="0" w:color="auto"/>
            </w:tcBorders>
            <w:hideMark/>
          </w:tcPr>
          <w:p w14:paraId="51DECA29" w14:textId="77777777" w:rsidR="00921E3F" w:rsidRPr="002029AF" w:rsidRDefault="00921E3F" w:rsidP="00921E3F">
            <w:pPr>
              <w:pStyle w:val="ARtablecolhead"/>
              <w:rPr>
                <w:lang w:eastAsia="en-GB"/>
              </w:rPr>
            </w:pPr>
          </w:p>
        </w:tc>
        <w:tc>
          <w:tcPr>
            <w:tcW w:w="1134" w:type="dxa"/>
            <w:tcBorders>
              <w:bottom w:val="single" w:sz="4" w:space="0" w:color="auto"/>
            </w:tcBorders>
            <w:hideMark/>
          </w:tcPr>
          <w:p w14:paraId="303A6319" w14:textId="77777777" w:rsidR="00921E3F" w:rsidRPr="002029AF" w:rsidRDefault="00921E3F" w:rsidP="00921E3F">
            <w:pPr>
              <w:pStyle w:val="ARfintablecolheadright"/>
            </w:pPr>
            <w:r w:rsidRPr="002029AF">
              <w:t>20</w:t>
            </w:r>
            <w:r>
              <w:t>20–21</w:t>
            </w:r>
          </w:p>
          <w:p w14:paraId="4AF87AA4" w14:textId="77777777" w:rsidR="00921E3F" w:rsidRPr="002029AF" w:rsidRDefault="00921E3F" w:rsidP="00921E3F">
            <w:pPr>
              <w:pStyle w:val="ARfintablecolheadright"/>
            </w:pPr>
            <w:r w:rsidRPr="002029AF">
              <w:t>Actual</w:t>
            </w:r>
          </w:p>
          <w:p w14:paraId="29F4B2F5" w14:textId="3985C723" w:rsidR="00921E3F" w:rsidRPr="002029AF" w:rsidRDefault="00921E3F" w:rsidP="00921E3F">
            <w:pPr>
              <w:pStyle w:val="ARfintablecolheadright"/>
            </w:pPr>
            <w:r w:rsidRPr="002029AF">
              <w:t>$M</w:t>
            </w:r>
          </w:p>
        </w:tc>
        <w:tc>
          <w:tcPr>
            <w:tcW w:w="1134" w:type="dxa"/>
            <w:tcBorders>
              <w:bottom w:val="single" w:sz="4" w:space="0" w:color="auto"/>
            </w:tcBorders>
          </w:tcPr>
          <w:p w14:paraId="5C355039" w14:textId="77777777" w:rsidR="00921E3F" w:rsidRPr="002029AF" w:rsidRDefault="00921E3F" w:rsidP="00921E3F">
            <w:pPr>
              <w:pStyle w:val="ARfintablecolheadright"/>
            </w:pPr>
            <w:r w:rsidRPr="002029AF">
              <w:t>20</w:t>
            </w:r>
            <w:r>
              <w:t>20–21</w:t>
            </w:r>
          </w:p>
          <w:p w14:paraId="045371A1" w14:textId="07F4D983" w:rsidR="00921E3F" w:rsidRPr="002029AF" w:rsidRDefault="00921E3F" w:rsidP="00921E3F">
            <w:pPr>
              <w:pStyle w:val="ARfintablecolheadright"/>
            </w:pPr>
            <w:r>
              <w:t>Revised</w:t>
            </w:r>
            <w:r w:rsidRPr="002029AF">
              <w:t xml:space="preserve"> budget</w:t>
            </w:r>
            <w:r>
              <w:t xml:space="preserve"> </w:t>
            </w:r>
            <w:r w:rsidRPr="002A4973">
              <w:rPr>
                <w:rStyle w:val="Superscript"/>
              </w:rPr>
              <w:t>(a)</w:t>
            </w:r>
          </w:p>
          <w:p w14:paraId="4BF28F72" w14:textId="103AD594" w:rsidR="00921E3F" w:rsidRPr="002029AF" w:rsidRDefault="00921E3F" w:rsidP="00921E3F">
            <w:pPr>
              <w:pStyle w:val="ARfintablecolheadright"/>
            </w:pPr>
            <w:r w:rsidRPr="002029AF">
              <w:t>$M</w:t>
            </w:r>
          </w:p>
        </w:tc>
        <w:tc>
          <w:tcPr>
            <w:tcW w:w="1134" w:type="dxa"/>
            <w:tcBorders>
              <w:bottom w:val="single" w:sz="4" w:space="0" w:color="auto"/>
            </w:tcBorders>
            <w:hideMark/>
          </w:tcPr>
          <w:p w14:paraId="3D9FAA6D" w14:textId="77777777" w:rsidR="00921E3F" w:rsidRPr="002029AF" w:rsidRDefault="00921E3F" w:rsidP="00921E3F">
            <w:pPr>
              <w:pStyle w:val="ARfintablecolheadright"/>
            </w:pPr>
            <w:r w:rsidRPr="002029AF">
              <w:t>20</w:t>
            </w:r>
            <w:r>
              <w:t>20–21</w:t>
            </w:r>
          </w:p>
          <w:p w14:paraId="3159F99B" w14:textId="77777777" w:rsidR="00921E3F" w:rsidRPr="002029AF" w:rsidRDefault="00921E3F" w:rsidP="00921E3F">
            <w:pPr>
              <w:pStyle w:val="ARfintablecolheadright"/>
            </w:pPr>
            <w:r w:rsidRPr="002029AF">
              <w:t>Published budget</w:t>
            </w:r>
          </w:p>
          <w:p w14:paraId="574EB2A4" w14:textId="63C97943" w:rsidR="00921E3F" w:rsidRPr="002029AF" w:rsidRDefault="00921E3F" w:rsidP="00921E3F">
            <w:pPr>
              <w:pStyle w:val="ARfintablecolheadright"/>
            </w:pPr>
            <w:r w:rsidRPr="002029AF">
              <w:t>$M</w:t>
            </w:r>
          </w:p>
        </w:tc>
        <w:tc>
          <w:tcPr>
            <w:tcW w:w="1134" w:type="dxa"/>
            <w:tcBorders>
              <w:bottom w:val="single" w:sz="4" w:space="0" w:color="auto"/>
            </w:tcBorders>
            <w:noWrap/>
            <w:hideMark/>
          </w:tcPr>
          <w:p w14:paraId="385C98E4" w14:textId="77777777" w:rsidR="00921E3F" w:rsidRPr="002029AF" w:rsidRDefault="00921E3F" w:rsidP="00921E3F">
            <w:pPr>
              <w:pStyle w:val="ARfintablecolheadright"/>
            </w:pPr>
            <w:r w:rsidRPr="002029AF">
              <w:t>Variation to published budget</w:t>
            </w:r>
          </w:p>
          <w:p w14:paraId="7A50B2F4" w14:textId="53622E5B" w:rsidR="00921E3F" w:rsidRPr="002029AF" w:rsidRDefault="00921E3F" w:rsidP="00921E3F">
            <w:pPr>
              <w:pStyle w:val="ARfintablecolheadright"/>
            </w:pPr>
            <w:r w:rsidRPr="002029AF">
              <w:t>%</w:t>
            </w:r>
          </w:p>
        </w:tc>
      </w:tr>
      <w:tr w:rsidR="00921E3F" w:rsidRPr="002029AF" w14:paraId="0A9006D8" w14:textId="77777777" w:rsidTr="00921E3F">
        <w:tc>
          <w:tcPr>
            <w:tcW w:w="5103" w:type="dxa"/>
            <w:tcBorders>
              <w:top w:val="single" w:sz="4" w:space="0" w:color="auto"/>
              <w:bottom w:val="single" w:sz="4" w:space="0" w:color="A6A6A6"/>
            </w:tcBorders>
            <w:hideMark/>
          </w:tcPr>
          <w:p w14:paraId="4168985C" w14:textId="006CA43D" w:rsidR="00921E3F" w:rsidRPr="002029AF" w:rsidRDefault="00921E3F" w:rsidP="00921E3F">
            <w:pPr>
              <w:pStyle w:val="ARfintablebody"/>
            </w:pPr>
            <w:r w:rsidRPr="00A72448">
              <w:t>Accumulated funds</w:t>
            </w:r>
          </w:p>
        </w:tc>
        <w:tc>
          <w:tcPr>
            <w:tcW w:w="1134" w:type="dxa"/>
            <w:tcBorders>
              <w:top w:val="single" w:sz="4" w:space="0" w:color="auto"/>
              <w:bottom w:val="single" w:sz="4" w:space="0" w:color="A6A6A6"/>
            </w:tcBorders>
            <w:hideMark/>
          </w:tcPr>
          <w:p w14:paraId="64A9D963" w14:textId="17D1ED35" w:rsidR="00921E3F" w:rsidRPr="002029AF" w:rsidRDefault="00921E3F" w:rsidP="00921E3F">
            <w:pPr>
              <w:pStyle w:val="ARfintablebodyright"/>
            </w:pPr>
            <w:r w:rsidRPr="00A72448">
              <w:t>2,544</w:t>
            </w:r>
          </w:p>
        </w:tc>
        <w:tc>
          <w:tcPr>
            <w:tcW w:w="1134" w:type="dxa"/>
            <w:tcBorders>
              <w:top w:val="single" w:sz="4" w:space="0" w:color="auto"/>
              <w:bottom w:val="single" w:sz="4" w:space="0" w:color="A6A6A6"/>
            </w:tcBorders>
          </w:tcPr>
          <w:p w14:paraId="4A67A0F4" w14:textId="6B85CE36" w:rsidR="00921E3F" w:rsidRPr="002029AF" w:rsidRDefault="00921E3F" w:rsidP="00921E3F">
            <w:pPr>
              <w:pStyle w:val="ARfintablebodyright"/>
            </w:pPr>
            <w:r w:rsidRPr="00A72448">
              <w:t>2,544</w:t>
            </w:r>
          </w:p>
        </w:tc>
        <w:tc>
          <w:tcPr>
            <w:tcW w:w="1134" w:type="dxa"/>
            <w:tcBorders>
              <w:top w:val="single" w:sz="4" w:space="0" w:color="auto"/>
              <w:bottom w:val="single" w:sz="4" w:space="0" w:color="A6A6A6"/>
            </w:tcBorders>
            <w:hideMark/>
          </w:tcPr>
          <w:p w14:paraId="63058E3E" w14:textId="78F193CA" w:rsidR="00921E3F" w:rsidRPr="002029AF" w:rsidRDefault="00921E3F" w:rsidP="00921E3F">
            <w:pPr>
              <w:pStyle w:val="ARfintablebodyright"/>
            </w:pPr>
            <w:r w:rsidRPr="00A72448">
              <w:t>2,544</w:t>
            </w:r>
          </w:p>
        </w:tc>
        <w:tc>
          <w:tcPr>
            <w:tcW w:w="1134" w:type="dxa"/>
            <w:tcBorders>
              <w:top w:val="single" w:sz="4" w:space="0" w:color="auto"/>
              <w:bottom w:val="single" w:sz="4" w:space="0" w:color="A6A6A6"/>
            </w:tcBorders>
            <w:hideMark/>
          </w:tcPr>
          <w:p w14:paraId="672ED436" w14:textId="63805A79" w:rsidR="00921E3F" w:rsidRPr="002029AF" w:rsidRDefault="00921E3F" w:rsidP="00921E3F">
            <w:pPr>
              <w:pStyle w:val="ARfintablebodyright"/>
            </w:pPr>
            <w:r w:rsidRPr="00A72448">
              <w:t>–</w:t>
            </w:r>
          </w:p>
        </w:tc>
      </w:tr>
      <w:tr w:rsidR="00921E3F" w:rsidRPr="002029AF" w14:paraId="0416C09F" w14:textId="77777777" w:rsidTr="00921E3F">
        <w:tc>
          <w:tcPr>
            <w:tcW w:w="5103" w:type="dxa"/>
            <w:tcBorders>
              <w:top w:val="single" w:sz="4" w:space="0" w:color="A6A6A6"/>
              <w:bottom w:val="single" w:sz="4" w:space="0" w:color="A6A6A6"/>
            </w:tcBorders>
            <w:hideMark/>
          </w:tcPr>
          <w:p w14:paraId="52633D2C" w14:textId="1BD52402" w:rsidR="00921E3F" w:rsidRPr="002029AF" w:rsidRDefault="00921E3F" w:rsidP="00921E3F">
            <w:pPr>
              <w:pStyle w:val="ARfintablebody"/>
            </w:pPr>
            <w:r w:rsidRPr="00A72448">
              <w:t>Adjustment due to change in accounting policy</w:t>
            </w:r>
          </w:p>
        </w:tc>
        <w:tc>
          <w:tcPr>
            <w:tcW w:w="1134" w:type="dxa"/>
            <w:tcBorders>
              <w:top w:val="single" w:sz="4" w:space="0" w:color="A6A6A6"/>
              <w:bottom w:val="single" w:sz="4" w:space="0" w:color="A6A6A6"/>
            </w:tcBorders>
            <w:hideMark/>
          </w:tcPr>
          <w:p w14:paraId="442E9D5F" w14:textId="73808999" w:rsidR="00921E3F" w:rsidRPr="002029AF" w:rsidRDefault="00921E3F" w:rsidP="00921E3F">
            <w:pPr>
              <w:pStyle w:val="ARfintablebodyright"/>
            </w:pPr>
            <w:r w:rsidRPr="00A72448">
              <w:t>88</w:t>
            </w:r>
          </w:p>
        </w:tc>
        <w:tc>
          <w:tcPr>
            <w:tcW w:w="1134" w:type="dxa"/>
            <w:tcBorders>
              <w:top w:val="single" w:sz="4" w:space="0" w:color="A6A6A6"/>
              <w:bottom w:val="single" w:sz="4" w:space="0" w:color="A6A6A6"/>
            </w:tcBorders>
          </w:tcPr>
          <w:p w14:paraId="1C4319C4" w14:textId="252B993C" w:rsidR="00921E3F" w:rsidRPr="002029AF" w:rsidRDefault="00921E3F" w:rsidP="00921E3F">
            <w:pPr>
              <w:pStyle w:val="ARfintablebodyright"/>
            </w:pPr>
            <w:r w:rsidRPr="00A72448">
              <w:t>–</w:t>
            </w:r>
          </w:p>
        </w:tc>
        <w:tc>
          <w:tcPr>
            <w:tcW w:w="1134" w:type="dxa"/>
            <w:tcBorders>
              <w:top w:val="single" w:sz="4" w:space="0" w:color="A6A6A6"/>
              <w:bottom w:val="single" w:sz="4" w:space="0" w:color="A6A6A6"/>
            </w:tcBorders>
            <w:hideMark/>
          </w:tcPr>
          <w:p w14:paraId="4B581DED" w14:textId="14A266F2" w:rsidR="00921E3F" w:rsidRPr="002029AF" w:rsidRDefault="00921E3F" w:rsidP="00921E3F">
            <w:pPr>
              <w:pStyle w:val="ARfintablebodyright"/>
            </w:pPr>
          </w:p>
        </w:tc>
        <w:tc>
          <w:tcPr>
            <w:tcW w:w="1134" w:type="dxa"/>
            <w:tcBorders>
              <w:top w:val="single" w:sz="4" w:space="0" w:color="A6A6A6"/>
              <w:bottom w:val="single" w:sz="4" w:space="0" w:color="A6A6A6"/>
            </w:tcBorders>
            <w:hideMark/>
          </w:tcPr>
          <w:p w14:paraId="0E80F3D4" w14:textId="7345C029" w:rsidR="00921E3F" w:rsidRPr="002029AF" w:rsidRDefault="00921E3F" w:rsidP="00921E3F">
            <w:pPr>
              <w:pStyle w:val="ARfintablebodyright"/>
            </w:pPr>
            <w:r w:rsidRPr="00A72448">
              <w:t>–</w:t>
            </w:r>
          </w:p>
        </w:tc>
      </w:tr>
      <w:tr w:rsidR="00921E3F" w:rsidRPr="002029AF" w14:paraId="3EADB040" w14:textId="77777777" w:rsidTr="00921E3F">
        <w:tc>
          <w:tcPr>
            <w:tcW w:w="5103" w:type="dxa"/>
            <w:tcBorders>
              <w:top w:val="single" w:sz="4" w:space="0" w:color="A6A6A6"/>
              <w:bottom w:val="single" w:sz="4" w:space="0" w:color="A6A6A6"/>
            </w:tcBorders>
            <w:hideMark/>
          </w:tcPr>
          <w:p w14:paraId="77E83481" w14:textId="08C4A4BB" w:rsidR="00921E3F" w:rsidRPr="002029AF" w:rsidRDefault="00921E3F" w:rsidP="00921E3F">
            <w:pPr>
              <w:pStyle w:val="ARfintablebody"/>
            </w:pPr>
            <w:r w:rsidRPr="00A72448">
              <w:t>Transactions with owners in their capacity as owners</w:t>
            </w:r>
          </w:p>
        </w:tc>
        <w:tc>
          <w:tcPr>
            <w:tcW w:w="1134" w:type="dxa"/>
            <w:tcBorders>
              <w:top w:val="single" w:sz="4" w:space="0" w:color="A6A6A6"/>
              <w:bottom w:val="single" w:sz="4" w:space="0" w:color="A6A6A6"/>
            </w:tcBorders>
            <w:hideMark/>
          </w:tcPr>
          <w:p w14:paraId="2233212A" w14:textId="727A086C" w:rsidR="00921E3F" w:rsidRPr="002029AF" w:rsidRDefault="00921E3F" w:rsidP="00921E3F">
            <w:pPr>
              <w:pStyle w:val="ARfintablebodyright"/>
            </w:pPr>
            <w:r w:rsidRPr="00A72448">
              <w:t>281</w:t>
            </w:r>
          </w:p>
        </w:tc>
        <w:tc>
          <w:tcPr>
            <w:tcW w:w="1134" w:type="dxa"/>
            <w:tcBorders>
              <w:top w:val="single" w:sz="4" w:space="0" w:color="A6A6A6"/>
              <w:bottom w:val="single" w:sz="4" w:space="0" w:color="A6A6A6"/>
            </w:tcBorders>
          </w:tcPr>
          <w:p w14:paraId="1BBA534E" w14:textId="4EA20DB2" w:rsidR="00921E3F" w:rsidRPr="002029AF" w:rsidRDefault="00921E3F" w:rsidP="00921E3F">
            <w:pPr>
              <w:pStyle w:val="ARfintablebodyright"/>
            </w:pPr>
            <w:r w:rsidRPr="00A72448">
              <w:t>–</w:t>
            </w:r>
          </w:p>
        </w:tc>
        <w:tc>
          <w:tcPr>
            <w:tcW w:w="1134" w:type="dxa"/>
            <w:tcBorders>
              <w:top w:val="single" w:sz="4" w:space="0" w:color="A6A6A6"/>
              <w:bottom w:val="single" w:sz="4" w:space="0" w:color="A6A6A6"/>
            </w:tcBorders>
            <w:hideMark/>
          </w:tcPr>
          <w:p w14:paraId="1E8C1C1B" w14:textId="39F4463F" w:rsidR="00921E3F" w:rsidRPr="002029AF" w:rsidRDefault="00921E3F" w:rsidP="00921E3F">
            <w:pPr>
              <w:pStyle w:val="ARfintablebodyright"/>
            </w:pPr>
          </w:p>
        </w:tc>
        <w:tc>
          <w:tcPr>
            <w:tcW w:w="1134" w:type="dxa"/>
            <w:tcBorders>
              <w:top w:val="single" w:sz="4" w:space="0" w:color="A6A6A6"/>
              <w:bottom w:val="single" w:sz="4" w:space="0" w:color="A6A6A6"/>
            </w:tcBorders>
            <w:hideMark/>
          </w:tcPr>
          <w:p w14:paraId="001EF51B" w14:textId="547CE051" w:rsidR="00921E3F" w:rsidRPr="002029AF" w:rsidRDefault="00921E3F" w:rsidP="00921E3F">
            <w:pPr>
              <w:pStyle w:val="ARfintablebodyright"/>
            </w:pPr>
            <w:r w:rsidRPr="00A72448">
              <w:t>–</w:t>
            </w:r>
          </w:p>
        </w:tc>
      </w:tr>
      <w:tr w:rsidR="00921E3F" w:rsidRPr="002029AF" w14:paraId="2BCACD9E" w14:textId="77777777" w:rsidTr="00921E3F">
        <w:tc>
          <w:tcPr>
            <w:tcW w:w="5103" w:type="dxa"/>
            <w:tcBorders>
              <w:top w:val="single" w:sz="4" w:space="0" w:color="A6A6A6"/>
            </w:tcBorders>
            <w:hideMark/>
          </w:tcPr>
          <w:p w14:paraId="284F5DDF" w14:textId="5377A518" w:rsidR="00921E3F" w:rsidRPr="002029AF" w:rsidRDefault="00921E3F" w:rsidP="00921E3F">
            <w:pPr>
              <w:pStyle w:val="ARfintablebody"/>
            </w:pPr>
            <w:r w:rsidRPr="00A72448">
              <w:t>Comprehensive result</w:t>
            </w:r>
          </w:p>
        </w:tc>
        <w:tc>
          <w:tcPr>
            <w:tcW w:w="1134" w:type="dxa"/>
            <w:tcBorders>
              <w:top w:val="single" w:sz="4" w:space="0" w:color="A6A6A6"/>
            </w:tcBorders>
            <w:hideMark/>
          </w:tcPr>
          <w:p w14:paraId="07D0F4FA" w14:textId="5AE2E9F2" w:rsidR="00921E3F" w:rsidRPr="002029AF" w:rsidRDefault="00921E3F" w:rsidP="00921E3F">
            <w:pPr>
              <w:pStyle w:val="ARfintablebodyright"/>
            </w:pPr>
            <w:r w:rsidRPr="00A72448">
              <w:t>930</w:t>
            </w:r>
          </w:p>
        </w:tc>
        <w:tc>
          <w:tcPr>
            <w:tcW w:w="1134" w:type="dxa"/>
            <w:tcBorders>
              <w:top w:val="single" w:sz="4" w:space="0" w:color="A6A6A6"/>
            </w:tcBorders>
          </w:tcPr>
          <w:p w14:paraId="54B92ECF" w14:textId="4E35D470" w:rsidR="00921E3F" w:rsidRPr="002029AF" w:rsidRDefault="00921E3F" w:rsidP="00921E3F">
            <w:pPr>
              <w:pStyle w:val="ARfintablebodyright"/>
            </w:pPr>
            <w:r w:rsidRPr="00A72448">
              <w:t>(52)</w:t>
            </w:r>
          </w:p>
        </w:tc>
        <w:tc>
          <w:tcPr>
            <w:tcW w:w="1134" w:type="dxa"/>
            <w:tcBorders>
              <w:top w:val="single" w:sz="4" w:space="0" w:color="A6A6A6"/>
            </w:tcBorders>
            <w:hideMark/>
          </w:tcPr>
          <w:p w14:paraId="7652E0CD" w14:textId="2ABB919B" w:rsidR="00921E3F" w:rsidRPr="002029AF" w:rsidRDefault="00921E3F" w:rsidP="00921E3F">
            <w:pPr>
              <w:pStyle w:val="ARfintablebodyright"/>
            </w:pPr>
            <w:r w:rsidRPr="00A72448">
              <w:t>(526)</w:t>
            </w:r>
          </w:p>
        </w:tc>
        <w:tc>
          <w:tcPr>
            <w:tcW w:w="1134" w:type="dxa"/>
            <w:tcBorders>
              <w:top w:val="single" w:sz="4" w:space="0" w:color="A6A6A6"/>
            </w:tcBorders>
            <w:hideMark/>
          </w:tcPr>
          <w:p w14:paraId="64870B56" w14:textId="087A975B" w:rsidR="00921E3F" w:rsidRPr="002029AF" w:rsidRDefault="00921E3F" w:rsidP="00921E3F">
            <w:pPr>
              <w:pStyle w:val="ARfintablebodyright"/>
            </w:pPr>
            <w:r w:rsidRPr="00A72448">
              <w:t>(276.7)</w:t>
            </w:r>
          </w:p>
        </w:tc>
      </w:tr>
      <w:tr w:rsidR="00921E3F" w:rsidRPr="002029AF" w14:paraId="22F0684C" w14:textId="77777777" w:rsidTr="00921E3F">
        <w:tc>
          <w:tcPr>
            <w:tcW w:w="5103" w:type="dxa"/>
            <w:tcBorders>
              <w:bottom w:val="single" w:sz="4" w:space="0" w:color="auto"/>
            </w:tcBorders>
            <w:hideMark/>
          </w:tcPr>
          <w:p w14:paraId="1E3EE50A" w14:textId="2D2CBDB9" w:rsidR="00921E3F" w:rsidRPr="002029AF" w:rsidRDefault="00921E3F" w:rsidP="00921E3F">
            <w:pPr>
              <w:pStyle w:val="ARfintablebodybold"/>
            </w:pPr>
            <w:r w:rsidRPr="00A72448">
              <w:t>Accumulated surplus/(deficit)</w:t>
            </w:r>
          </w:p>
        </w:tc>
        <w:tc>
          <w:tcPr>
            <w:tcW w:w="1134" w:type="dxa"/>
            <w:tcBorders>
              <w:bottom w:val="single" w:sz="4" w:space="0" w:color="auto"/>
            </w:tcBorders>
            <w:hideMark/>
          </w:tcPr>
          <w:p w14:paraId="6DE584C6" w14:textId="7D64D6C6" w:rsidR="00921E3F" w:rsidRPr="002029AF" w:rsidRDefault="00921E3F" w:rsidP="00921E3F">
            <w:pPr>
              <w:pStyle w:val="ARfintablebodyrightbold"/>
            </w:pPr>
            <w:r w:rsidRPr="00A72448">
              <w:t>3,844</w:t>
            </w:r>
          </w:p>
        </w:tc>
        <w:tc>
          <w:tcPr>
            <w:tcW w:w="1134" w:type="dxa"/>
            <w:tcBorders>
              <w:bottom w:val="single" w:sz="4" w:space="0" w:color="auto"/>
            </w:tcBorders>
          </w:tcPr>
          <w:p w14:paraId="0D703B6B" w14:textId="20907021" w:rsidR="00921E3F" w:rsidRPr="002029AF" w:rsidRDefault="00921E3F" w:rsidP="00921E3F">
            <w:pPr>
              <w:pStyle w:val="ARfintablebodyrightbold"/>
            </w:pPr>
            <w:r w:rsidRPr="00A72448">
              <w:t>2,492</w:t>
            </w:r>
          </w:p>
        </w:tc>
        <w:tc>
          <w:tcPr>
            <w:tcW w:w="1134" w:type="dxa"/>
            <w:tcBorders>
              <w:bottom w:val="single" w:sz="4" w:space="0" w:color="auto"/>
            </w:tcBorders>
            <w:hideMark/>
          </w:tcPr>
          <w:p w14:paraId="19239F76" w14:textId="54F4F2B1" w:rsidR="00921E3F" w:rsidRPr="002029AF" w:rsidRDefault="00921E3F" w:rsidP="00921E3F">
            <w:pPr>
              <w:pStyle w:val="ARfintablebodyrightbold"/>
            </w:pPr>
            <w:r w:rsidRPr="00A72448">
              <w:t>2,018</w:t>
            </w:r>
          </w:p>
        </w:tc>
        <w:tc>
          <w:tcPr>
            <w:tcW w:w="1134" w:type="dxa"/>
            <w:tcBorders>
              <w:bottom w:val="single" w:sz="4" w:space="0" w:color="auto"/>
            </w:tcBorders>
            <w:hideMark/>
          </w:tcPr>
          <w:p w14:paraId="06A92B57" w14:textId="6BBE402D" w:rsidR="00921E3F" w:rsidRPr="002029AF" w:rsidRDefault="00921E3F" w:rsidP="00921E3F">
            <w:pPr>
              <w:pStyle w:val="ARfintablebodyrightbold"/>
            </w:pPr>
            <w:r w:rsidRPr="00A72448">
              <w:t>90.5</w:t>
            </w:r>
          </w:p>
        </w:tc>
      </w:tr>
      <w:tr w:rsidR="00921E3F" w:rsidRPr="002029AF" w14:paraId="3DE33A32" w14:textId="77777777" w:rsidTr="00921E3F">
        <w:tc>
          <w:tcPr>
            <w:tcW w:w="5103" w:type="dxa"/>
            <w:tcBorders>
              <w:top w:val="single" w:sz="4" w:space="0" w:color="auto"/>
              <w:bottom w:val="single" w:sz="4" w:space="0" w:color="A6A6A6"/>
            </w:tcBorders>
            <w:hideMark/>
          </w:tcPr>
          <w:p w14:paraId="7BDDEE38" w14:textId="2AB554E8" w:rsidR="00921E3F" w:rsidRPr="002029AF" w:rsidRDefault="00921E3F" w:rsidP="00921E3F">
            <w:pPr>
              <w:pStyle w:val="ARfintablebody"/>
            </w:pPr>
            <w:r w:rsidRPr="00A72448">
              <w:t>Net contributions by owners</w:t>
            </w:r>
          </w:p>
        </w:tc>
        <w:tc>
          <w:tcPr>
            <w:tcW w:w="1134" w:type="dxa"/>
            <w:tcBorders>
              <w:top w:val="single" w:sz="4" w:space="0" w:color="auto"/>
              <w:bottom w:val="single" w:sz="4" w:space="0" w:color="A6A6A6"/>
            </w:tcBorders>
            <w:hideMark/>
          </w:tcPr>
          <w:p w14:paraId="0C08C68B" w14:textId="1C9CFA52" w:rsidR="00921E3F" w:rsidRPr="002029AF" w:rsidRDefault="00921E3F" w:rsidP="00921E3F">
            <w:pPr>
              <w:pStyle w:val="ARfintablebodyright"/>
            </w:pPr>
            <w:r w:rsidRPr="00A72448">
              <w:t>6,225</w:t>
            </w:r>
          </w:p>
        </w:tc>
        <w:tc>
          <w:tcPr>
            <w:tcW w:w="1134" w:type="dxa"/>
            <w:tcBorders>
              <w:top w:val="single" w:sz="4" w:space="0" w:color="auto"/>
              <w:bottom w:val="single" w:sz="4" w:space="0" w:color="A6A6A6"/>
            </w:tcBorders>
          </w:tcPr>
          <w:p w14:paraId="25FA68B0" w14:textId="4D3BDD33" w:rsidR="00921E3F" w:rsidRPr="002029AF" w:rsidRDefault="00921E3F" w:rsidP="00921E3F">
            <w:pPr>
              <w:pStyle w:val="ARfintablebodyright"/>
            </w:pPr>
            <w:r w:rsidRPr="00A72448">
              <w:t>6,225</w:t>
            </w:r>
          </w:p>
        </w:tc>
        <w:tc>
          <w:tcPr>
            <w:tcW w:w="1134" w:type="dxa"/>
            <w:tcBorders>
              <w:top w:val="single" w:sz="4" w:space="0" w:color="auto"/>
              <w:bottom w:val="single" w:sz="4" w:space="0" w:color="A6A6A6"/>
            </w:tcBorders>
            <w:hideMark/>
          </w:tcPr>
          <w:p w14:paraId="47B58110" w14:textId="38B46CEE" w:rsidR="00921E3F" w:rsidRPr="002029AF" w:rsidRDefault="00921E3F" w:rsidP="00921E3F">
            <w:pPr>
              <w:pStyle w:val="ARfintablebodyright"/>
            </w:pPr>
            <w:r w:rsidRPr="00A72448">
              <w:t>6,225</w:t>
            </w:r>
          </w:p>
        </w:tc>
        <w:tc>
          <w:tcPr>
            <w:tcW w:w="1134" w:type="dxa"/>
            <w:tcBorders>
              <w:top w:val="single" w:sz="4" w:space="0" w:color="auto"/>
              <w:bottom w:val="single" w:sz="4" w:space="0" w:color="A6A6A6"/>
            </w:tcBorders>
            <w:hideMark/>
          </w:tcPr>
          <w:p w14:paraId="19250FFE" w14:textId="79E95BD8" w:rsidR="00921E3F" w:rsidRPr="002029AF" w:rsidRDefault="00921E3F" w:rsidP="00921E3F">
            <w:pPr>
              <w:pStyle w:val="ARfintablebodyright"/>
            </w:pPr>
            <w:r w:rsidRPr="00A72448">
              <w:t>–</w:t>
            </w:r>
          </w:p>
        </w:tc>
      </w:tr>
      <w:tr w:rsidR="00921E3F" w:rsidRPr="002029AF" w14:paraId="7DCAAA73" w14:textId="77777777" w:rsidTr="00921E3F">
        <w:tc>
          <w:tcPr>
            <w:tcW w:w="5103" w:type="dxa"/>
            <w:tcBorders>
              <w:top w:val="single" w:sz="4" w:space="0" w:color="A6A6A6"/>
            </w:tcBorders>
            <w:hideMark/>
          </w:tcPr>
          <w:p w14:paraId="513C6F79" w14:textId="1A7C0290" w:rsidR="00921E3F" w:rsidRPr="002029AF" w:rsidRDefault="00921E3F" w:rsidP="00921E3F">
            <w:pPr>
              <w:pStyle w:val="ARfintablebody"/>
            </w:pPr>
            <w:r w:rsidRPr="00A72448">
              <w:t>Transactions with owners in their capacity as owners</w:t>
            </w:r>
          </w:p>
        </w:tc>
        <w:tc>
          <w:tcPr>
            <w:tcW w:w="1134" w:type="dxa"/>
            <w:tcBorders>
              <w:top w:val="single" w:sz="4" w:space="0" w:color="A6A6A6"/>
            </w:tcBorders>
            <w:hideMark/>
          </w:tcPr>
          <w:p w14:paraId="168D5099" w14:textId="673F2EAD" w:rsidR="00921E3F" w:rsidRPr="002029AF" w:rsidRDefault="00921E3F" w:rsidP="00921E3F">
            <w:pPr>
              <w:pStyle w:val="ARfintablebodyright"/>
            </w:pPr>
            <w:r w:rsidRPr="00A72448">
              <w:t>(1,278)</w:t>
            </w:r>
          </w:p>
        </w:tc>
        <w:tc>
          <w:tcPr>
            <w:tcW w:w="1134" w:type="dxa"/>
            <w:tcBorders>
              <w:top w:val="single" w:sz="4" w:space="0" w:color="A6A6A6"/>
            </w:tcBorders>
          </w:tcPr>
          <w:p w14:paraId="0FBA89B5" w14:textId="7DEEA0E0" w:rsidR="00921E3F" w:rsidRPr="002029AF" w:rsidRDefault="00921E3F" w:rsidP="00921E3F">
            <w:pPr>
              <w:pStyle w:val="ARfintablebodyright"/>
            </w:pPr>
            <w:r w:rsidRPr="00A72448">
              <w:t>(1,332)</w:t>
            </w:r>
          </w:p>
        </w:tc>
        <w:tc>
          <w:tcPr>
            <w:tcW w:w="1134" w:type="dxa"/>
            <w:tcBorders>
              <w:top w:val="single" w:sz="4" w:space="0" w:color="A6A6A6"/>
            </w:tcBorders>
            <w:hideMark/>
          </w:tcPr>
          <w:p w14:paraId="4659B6AD" w14:textId="4E4C2C53" w:rsidR="00921E3F" w:rsidRPr="002029AF" w:rsidRDefault="00921E3F" w:rsidP="00921E3F">
            <w:pPr>
              <w:pStyle w:val="ARfintablebodyright"/>
            </w:pPr>
            <w:r w:rsidRPr="00A72448">
              <w:t>233</w:t>
            </w:r>
          </w:p>
        </w:tc>
        <w:tc>
          <w:tcPr>
            <w:tcW w:w="1134" w:type="dxa"/>
            <w:tcBorders>
              <w:top w:val="single" w:sz="4" w:space="0" w:color="A6A6A6"/>
            </w:tcBorders>
            <w:hideMark/>
          </w:tcPr>
          <w:p w14:paraId="7AC1F46B" w14:textId="41EFAB80" w:rsidR="00921E3F" w:rsidRPr="002029AF" w:rsidRDefault="00921E3F" w:rsidP="00921E3F">
            <w:pPr>
              <w:pStyle w:val="ARfintablebodyright"/>
            </w:pPr>
            <w:r w:rsidRPr="00A72448">
              <w:t>(648.6)</w:t>
            </w:r>
          </w:p>
        </w:tc>
      </w:tr>
      <w:tr w:rsidR="00921E3F" w:rsidRPr="002029AF" w14:paraId="3C534E13" w14:textId="77777777" w:rsidTr="00921E3F">
        <w:tc>
          <w:tcPr>
            <w:tcW w:w="5103" w:type="dxa"/>
            <w:tcBorders>
              <w:bottom w:val="single" w:sz="4" w:space="0" w:color="auto"/>
            </w:tcBorders>
            <w:hideMark/>
          </w:tcPr>
          <w:p w14:paraId="62F9E819" w14:textId="03A39769" w:rsidR="00921E3F" w:rsidRPr="002029AF" w:rsidRDefault="00921E3F" w:rsidP="00921E3F">
            <w:pPr>
              <w:pStyle w:val="ARfintablebodybold"/>
            </w:pPr>
            <w:r w:rsidRPr="00A72448">
              <w:t>Contributions by owners</w:t>
            </w:r>
          </w:p>
        </w:tc>
        <w:tc>
          <w:tcPr>
            <w:tcW w:w="1134" w:type="dxa"/>
            <w:tcBorders>
              <w:bottom w:val="single" w:sz="4" w:space="0" w:color="auto"/>
            </w:tcBorders>
            <w:hideMark/>
          </w:tcPr>
          <w:p w14:paraId="2849FDB2" w14:textId="75C5FF9D" w:rsidR="00921E3F" w:rsidRPr="002029AF" w:rsidRDefault="00921E3F" w:rsidP="00921E3F">
            <w:pPr>
              <w:pStyle w:val="ARfintablebodyrightbold"/>
            </w:pPr>
            <w:r w:rsidRPr="00A72448">
              <w:t>4,947</w:t>
            </w:r>
          </w:p>
        </w:tc>
        <w:tc>
          <w:tcPr>
            <w:tcW w:w="1134" w:type="dxa"/>
            <w:tcBorders>
              <w:bottom w:val="single" w:sz="4" w:space="0" w:color="auto"/>
            </w:tcBorders>
          </w:tcPr>
          <w:p w14:paraId="287A0C9E" w14:textId="47EC2D29" w:rsidR="00921E3F" w:rsidRPr="002029AF" w:rsidRDefault="00921E3F" w:rsidP="00921E3F">
            <w:pPr>
              <w:pStyle w:val="ARfintablebodyrightbold"/>
            </w:pPr>
            <w:r w:rsidRPr="00A72448">
              <w:t>4,893</w:t>
            </w:r>
          </w:p>
        </w:tc>
        <w:tc>
          <w:tcPr>
            <w:tcW w:w="1134" w:type="dxa"/>
            <w:tcBorders>
              <w:bottom w:val="single" w:sz="4" w:space="0" w:color="auto"/>
            </w:tcBorders>
            <w:hideMark/>
          </w:tcPr>
          <w:p w14:paraId="39965DBF" w14:textId="2AB3A13F" w:rsidR="00921E3F" w:rsidRPr="002029AF" w:rsidRDefault="00921E3F" w:rsidP="00921E3F">
            <w:pPr>
              <w:pStyle w:val="ARfintablebodyrightbold"/>
            </w:pPr>
            <w:r w:rsidRPr="00A72448">
              <w:t>6,458</w:t>
            </w:r>
          </w:p>
        </w:tc>
        <w:tc>
          <w:tcPr>
            <w:tcW w:w="1134" w:type="dxa"/>
            <w:tcBorders>
              <w:bottom w:val="single" w:sz="4" w:space="0" w:color="auto"/>
            </w:tcBorders>
            <w:hideMark/>
          </w:tcPr>
          <w:p w14:paraId="5897382F" w14:textId="045AC54D" w:rsidR="00921E3F" w:rsidRPr="002029AF" w:rsidRDefault="00921E3F" w:rsidP="00921E3F">
            <w:pPr>
              <w:pStyle w:val="ARfintablebodyrightbold"/>
            </w:pPr>
            <w:r w:rsidRPr="00A72448">
              <w:t>(23.4)</w:t>
            </w:r>
          </w:p>
        </w:tc>
      </w:tr>
      <w:tr w:rsidR="00921E3F" w:rsidRPr="002029AF" w14:paraId="6BAD0B36" w14:textId="77777777" w:rsidTr="00921E3F">
        <w:tc>
          <w:tcPr>
            <w:tcW w:w="5103" w:type="dxa"/>
            <w:tcBorders>
              <w:top w:val="single" w:sz="4" w:space="0" w:color="auto"/>
              <w:bottom w:val="single" w:sz="4" w:space="0" w:color="A6A6A6"/>
            </w:tcBorders>
            <w:hideMark/>
          </w:tcPr>
          <w:p w14:paraId="62E6F110" w14:textId="72DB8409" w:rsidR="00921E3F" w:rsidRPr="002029AF" w:rsidRDefault="00921E3F" w:rsidP="00921E3F">
            <w:pPr>
              <w:pStyle w:val="ARfintablebody"/>
            </w:pPr>
            <w:r w:rsidRPr="00A72448">
              <w:t>Physical asset revaluation reserve</w:t>
            </w:r>
          </w:p>
        </w:tc>
        <w:tc>
          <w:tcPr>
            <w:tcW w:w="1134" w:type="dxa"/>
            <w:tcBorders>
              <w:top w:val="single" w:sz="4" w:space="0" w:color="auto"/>
              <w:bottom w:val="single" w:sz="4" w:space="0" w:color="A6A6A6"/>
            </w:tcBorders>
            <w:hideMark/>
          </w:tcPr>
          <w:p w14:paraId="50BADB90" w14:textId="4BB028D3" w:rsidR="00921E3F" w:rsidRPr="002029AF" w:rsidRDefault="00921E3F" w:rsidP="00921E3F">
            <w:pPr>
              <w:pStyle w:val="ARfintablebodyright"/>
            </w:pPr>
            <w:r w:rsidRPr="00A72448">
              <w:t>9,984</w:t>
            </w:r>
          </w:p>
        </w:tc>
        <w:tc>
          <w:tcPr>
            <w:tcW w:w="1134" w:type="dxa"/>
            <w:tcBorders>
              <w:top w:val="single" w:sz="4" w:space="0" w:color="auto"/>
              <w:bottom w:val="single" w:sz="4" w:space="0" w:color="A6A6A6"/>
            </w:tcBorders>
          </w:tcPr>
          <w:p w14:paraId="377C81B6" w14:textId="401AFE78" w:rsidR="00921E3F" w:rsidRPr="002029AF" w:rsidRDefault="00921E3F" w:rsidP="00921E3F">
            <w:pPr>
              <w:pStyle w:val="ARfintablebodyright"/>
            </w:pPr>
            <w:r w:rsidRPr="00A72448">
              <w:t>9,984</w:t>
            </w:r>
          </w:p>
        </w:tc>
        <w:tc>
          <w:tcPr>
            <w:tcW w:w="1134" w:type="dxa"/>
            <w:tcBorders>
              <w:top w:val="single" w:sz="4" w:space="0" w:color="auto"/>
              <w:bottom w:val="single" w:sz="4" w:space="0" w:color="A6A6A6"/>
            </w:tcBorders>
            <w:hideMark/>
          </w:tcPr>
          <w:p w14:paraId="2B85FA9B" w14:textId="4CF9CAC1" w:rsidR="00921E3F" w:rsidRPr="002029AF" w:rsidRDefault="00921E3F" w:rsidP="00921E3F">
            <w:pPr>
              <w:pStyle w:val="ARfintablebodyright"/>
            </w:pPr>
            <w:r w:rsidRPr="00A72448">
              <w:t>9,984</w:t>
            </w:r>
          </w:p>
        </w:tc>
        <w:tc>
          <w:tcPr>
            <w:tcW w:w="1134" w:type="dxa"/>
            <w:tcBorders>
              <w:top w:val="single" w:sz="4" w:space="0" w:color="auto"/>
              <w:bottom w:val="single" w:sz="4" w:space="0" w:color="A6A6A6"/>
            </w:tcBorders>
            <w:hideMark/>
          </w:tcPr>
          <w:p w14:paraId="4DEBD73D" w14:textId="3F5BB09A" w:rsidR="00921E3F" w:rsidRPr="002029AF" w:rsidRDefault="00921E3F" w:rsidP="00921E3F">
            <w:pPr>
              <w:pStyle w:val="ARfintablebodyright"/>
            </w:pPr>
            <w:r w:rsidRPr="00A72448">
              <w:t>–</w:t>
            </w:r>
          </w:p>
        </w:tc>
      </w:tr>
      <w:tr w:rsidR="00921E3F" w:rsidRPr="002029AF" w14:paraId="2610A3A1" w14:textId="77777777" w:rsidTr="00921E3F">
        <w:tc>
          <w:tcPr>
            <w:tcW w:w="5103" w:type="dxa"/>
            <w:tcBorders>
              <w:top w:val="single" w:sz="4" w:space="0" w:color="A6A6A6"/>
              <w:bottom w:val="single" w:sz="4" w:space="0" w:color="A6A6A6"/>
            </w:tcBorders>
            <w:hideMark/>
          </w:tcPr>
          <w:p w14:paraId="6893FE77" w14:textId="0D223062" w:rsidR="00921E3F" w:rsidRPr="002029AF" w:rsidRDefault="00921E3F" w:rsidP="00921E3F">
            <w:pPr>
              <w:pStyle w:val="ARfintablebody"/>
            </w:pPr>
            <w:r w:rsidRPr="00A72448">
              <w:t>Transactions with owners in their capacity as owners</w:t>
            </w:r>
          </w:p>
        </w:tc>
        <w:tc>
          <w:tcPr>
            <w:tcW w:w="1134" w:type="dxa"/>
            <w:tcBorders>
              <w:top w:val="single" w:sz="4" w:space="0" w:color="A6A6A6"/>
              <w:bottom w:val="single" w:sz="4" w:space="0" w:color="A6A6A6"/>
            </w:tcBorders>
            <w:hideMark/>
          </w:tcPr>
          <w:p w14:paraId="10961225" w14:textId="63722720" w:rsidR="00921E3F" w:rsidRPr="002029AF" w:rsidRDefault="00921E3F" w:rsidP="00921E3F">
            <w:pPr>
              <w:pStyle w:val="ARfintablebodyright"/>
            </w:pPr>
            <w:r w:rsidRPr="00A72448">
              <w:t>42</w:t>
            </w:r>
          </w:p>
        </w:tc>
        <w:tc>
          <w:tcPr>
            <w:tcW w:w="1134" w:type="dxa"/>
            <w:tcBorders>
              <w:top w:val="single" w:sz="4" w:space="0" w:color="A6A6A6"/>
              <w:bottom w:val="single" w:sz="4" w:space="0" w:color="A6A6A6"/>
            </w:tcBorders>
          </w:tcPr>
          <w:p w14:paraId="25E4B121" w14:textId="2D53D15D" w:rsidR="00921E3F" w:rsidRPr="002029AF" w:rsidRDefault="00921E3F" w:rsidP="00921E3F">
            <w:pPr>
              <w:pStyle w:val="ARfintablebodyright"/>
            </w:pPr>
            <w:r w:rsidRPr="00A72448">
              <w:t>9</w:t>
            </w:r>
          </w:p>
        </w:tc>
        <w:tc>
          <w:tcPr>
            <w:tcW w:w="1134" w:type="dxa"/>
            <w:tcBorders>
              <w:top w:val="single" w:sz="4" w:space="0" w:color="A6A6A6"/>
              <w:bottom w:val="single" w:sz="4" w:space="0" w:color="A6A6A6"/>
            </w:tcBorders>
            <w:hideMark/>
          </w:tcPr>
          <w:p w14:paraId="6842D308" w14:textId="54A10BFF" w:rsidR="00921E3F" w:rsidRPr="002029AF" w:rsidRDefault="00921E3F" w:rsidP="00921E3F">
            <w:pPr>
              <w:pStyle w:val="ARfintablebodyright"/>
            </w:pPr>
            <w:r w:rsidRPr="00A72448">
              <w:t>9</w:t>
            </w:r>
          </w:p>
        </w:tc>
        <w:tc>
          <w:tcPr>
            <w:tcW w:w="1134" w:type="dxa"/>
            <w:tcBorders>
              <w:top w:val="single" w:sz="4" w:space="0" w:color="A6A6A6"/>
              <w:bottom w:val="single" w:sz="4" w:space="0" w:color="A6A6A6"/>
            </w:tcBorders>
            <w:hideMark/>
          </w:tcPr>
          <w:p w14:paraId="66A6BF95" w14:textId="1C8B7948" w:rsidR="00921E3F" w:rsidRPr="002029AF" w:rsidRDefault="00921E3F" w:rsidP="00921E3F">
            <w:pPr>
              <w:pStyle w:val="ARfintablebodyright"/>
            </w:pPr>
            <w:r w:rsidRPr="00A72448">
              <w:t>367.8</w:t>
            </w:r>
          </w:p>
        </w:tc>
      </w:tr>
      <w:tr w:rsidR="00921E3F" w:rsidRPr="002029AF" w14:paraId="312F5E4E" w14:textId="77777777" w:rsidTr="00921E3F">
        <w:tc>
          <w:tcPr>
            <w:tcW w:w="5103" w:type="dxa"/>
            <w:tcBorders>
              <w:top w:val="single" w:sz="4" w:space="0" w:color="A6A6A6"/>
            </w:tcBorders>
            <w:hideMark/>
          </w:tcPr>
          <w:p w14:paraId="67620B90" w14:textId="192F15B9" w:rsidR="00921E3F" w:rsidRPr="002029AF" w:rsidRDefault="00921E3F" w:rsidP="00921E3F">
            <w:pPr>
              <w:pStyle w:val="ARfintablebody"/>
            </w:pPr>
            <w:r w:rsidRPr="00A72448">
              <w:t>Comprehensive result</w:t>
            </w:r>
          </w:p>
        </w:tc>
        <w:tc>
          <w:tcPr>
            <w:tcW w:w="1134" w:type="dxa"/>
            <w:tcBorders>
              <w:top w:val="single" w:sz="4" w:space="0" w:color="A6A6A6"/>
            </w:tcBorders>
            <w:hideMark/>
          </w:tcPr>
          <w:p w14:paraId="3762765E" w14:textId="2E5F0CD7" w:rsidR="00921E3F" w:rsidRPr="002029AF" w:rsidRDefault="00921E3F" w:rsidP="00921E3F">
            <w:pPr>
              <w:pStyle w:val="ARfintablebodyright"/>
            </w:pPr>
            <w:r w:rsidRPr="00A72448">
              <w:t>–</w:t>
            </w:r>
          </w:p>
        </w:tc>
        <w:tc>
          <w:tcPr>
            <w:tcW w:w="1134" w:type="dxa"/>
            <w:tcBorders>
              <w:top w:val="single" w:sz="4" w:space="0" w:color="A6A6A6"/>
            </w:tcBorders>
          </w:tcPr>
          <w:p w14:paraId="38D3A7C7" w14:textId="0F7C5C7D" w:rsidR="00921E3F" w:rsidRPr="002029AF" w:rsidRDefault="00921E3F" w:rsidP="00921E3F">
            <w:pPr>
              <w:pStyle w:val="ARfintablebodyright"/>
            </w:pPr>
            <w:r w:rsidRPr="00A72448">
              <w:t>–</w:t>
            </w:r>
          </w:p>
        </w:tc>
        <w:tc>
          <w:tcPr>
            <w:tcW w:w="1134" w:type="dxa"/>
            <w:tcBorders>
              <w:top w:val="single" w:sz="4" w:space="0" w:color="A6A6A6"/>
            </w:tcBorders>
            <w:hideMark/>
          </w:tcPr>
          <w:p w14:paraId="5763D2EE" w14:textId="3F2A295C" w:rsidR="00921E3F" w:rsidRPr="002029AF" w:rsidRDefault="00921E3F" w:rsidP="00921E3F">
            <w:pPr>
              <w:pStyle w:val="ARfintablebodyright"/>
            </w:pPr>
            <w:r w:rsidRPr="00A72448">
              <w:t>–</w:t>
            </w:r>
          </w:p>
        </w:tc>
        <w:tc>
          <w:tcPr>
            <w:tcW w:w="1134" w:type="dxa"/>
            <w:tcBorders>
              <w:top w:val="single" w:sz="4" w:space="0" w:color="A6A6A6"/>
            </w:tcBorders>
            <w:hideMark/>
          </w:tcPr>
          <w:p w14:paraId="2B9FEC0C" w14:textId="34026A4B" w:rsidR="00921E3F" w:rsidRPr="002029AF" w:rsidRDefault="00921E3F" w:rsidP="00921E3F">
            <w:pPr>
              <w:pStyle w:val="ARfintablebodyright"/>
            </w:pPr>
            <w:r w:rsidRPr="00A72448">
              <w:t>–</w:t>
            </w:r>
          </w:p>
        </w:tc>
      </w:tr>
      <w:tr w:rsidR="00921E3F" w:rsidRPr="002029AF" w14:paraId="30F3874D" w14:textId="77777777" w:rsidTr="00921E3F">
        <w:tc>
          <w:tcPr>
            <w:tcW w:w="5103" w:type="dxa"/>
            <w:tcBorders>
              <w:bottom w:val="single" w:sz="4" w:space="0" w:color="auto"/>
            </w:tcBorders>
            <w:hideMark/>
          </w:tcPr>
          <w:p w14:paraId="014196EE" w14:textId="392580E4" w:rsidR="00921E3F" w:rsidRPr="002029AF" w:rsidRDefault="00921E3F" w:rsidP="00921E3F">
            <w:pPr>
              <w:pStyle w:val="ARfintablebodybold"/>
            </w:pPr>
            <w:r w:rsidRPr="00A72448">
              <w:t>Physical asset revaluation reserve</w:t>
            </w:r>
          </w:p>
        </w:tc>
        <w:tc>
          <w:tcPr>
            <w:tcW w:w="1134" w:type="dxa"/>
            <w:tcBorders>
              <w:bottom w:val="single" w:sz="4" w:space="0" w:color="auto"/>
            </w:tcBorders>
            <w:hideMark/>
          </w:tcPr>
          <w:p w14:paraId="4C47CB9A" w14:textId="02A4F2BB" w:rsidR="00921E3F" w:rsidRPr="002029AF" w:rsidRDefault="00921E3F" w:rsidP="00921E3F">
            <w:pPr>
              <w:pStyle w:val="ARfintablebodyrightbold"/>
            </w:pPr>
            <w:r w:rsidRPr="00A72448">
              <w:t>10,026</w:t>
            </w:r>
          </w:p>
        </w:tc>
        <w:tc>
          <w:tcPr>
            <w:tcW w:w="1134" w:type="dxa"/>
            <w:tcBorders>
              <w:bottom w:val="single" w:sz="4" w:space="0" w:color="auto"/>
            </w:tcBorders>
          </w:tcPr>
          <w:p w14:paraId="47969067" w14:textId="0D009939" w:rsidR="00921E3F" w:rsidRPr="002029AF" w:rsidRDefault="00921E3F" w:rsidP="00921E3F">
            <w:pPr>
              <w:pStyle w:val="ARfintablebodyrightbold"/>
            </w:pPr>
            <w:r w:rsidRPr="00A72448">
              <w:t>9,993</w:t>
            </w:r>
          </w:p>
        </w:tc>
        <w:tc>
          <w:tcPr>
            <w:tcW w:w="1134" w:type="dxa"/>
            <w:tcBorders>
              <w:bottom w:val="single" w:sz="4" w:space="0" w:color="auto"/>
            </w:tcBorders>
            <w:hideMark/>
          </w:tcPr>
          <w:p w14:paraId="795AB40D" w14:textId="66E8352D" w:rsidR="00921E3F" w:rsidRPr="002029AF" w:rsidRDefault="00921E3F" w:rsidP="00921E3F">
            <w:pPr>
              <w:pStyle w:val="ARfintablebodyrightbold"/>
            </w:pPr>
            <w:r w:rsidRPr="00A72448">
              <w:t>9,993</w:t>
            </w:r>
          </w:p>
        </w:tc>
        <w:tc>
          <w:tcPr>
            <w:tcW w:w="1134" w:type="dxa"/>
            <w:tcBorders>
              <w:bottom w:val="single" w:sz="4" w:space="0" w:color="auto"/>
            </w:tcBorders>
            <w:hideMark/>
          </w:tcPr>
          <w:p w14:paraId="27BA4B9D" w14:textId="2473673A" w:rsidR="00921E3F" w:rsidRPr="002029AF" w:rsidRDefault="00921E3F" w:rsidP="00921E3F">
            <w:pPr>
              <w:pStyle w:val="ARfintablebodyrightbold"/>
            </w:pPr>
            <w:r w:rsidRPr="00A72448">
              <w:t>0.3</w:t>
            </w:r>
          </w:p>
        </w:tc>
      </w:tr>
      <w:tr w:rsidR="00921E3F" w:rsidRPr="002029AF" w14:paraId="5F89CBB4" w14:textId="77777777" w:rsidTr="00921E3F">
        <w:tc>
          <w:tcPr>
            <w:tcW w:w="5103" w:type="dxa"/>
            <w:tcBorders>
              <w:top w:val="single" w:sz="4" w:space="0" w:color="auto"/>
              <w:bottom w:val="single" w:sz="4" w:space="0" w:color="A6A6A6"/>
            </w:tcBorders>
            <w:hideMark/>
          </w:tcPr>
          <w:p w14:paraId="099A5078" w14:textId="4B99662F" w:rsidR="00921E3F" w:rsidRPr="002029AF" w:rsidRDefault="00921E3F" w:rsidP="00921E3F">
            <w:pPr>
              <w:pStyle w:val="ARfintablebody"/>
            </w:pPr>
            <w:r w:rsidRPr="00A72448">
              <w:t>Financial assets available-for-sale reserve</w:t>
            </w:r>
          </w:p>
        </w:tc>
        <w:tc>
          <w:tcPr>
            <w:tcW w:w="1134" w:type="dxa"/>
            <w:tcBorders>
              <w:top w:val="single" w:sz="4" w:space="0" w:color="auto"/>
              <w:bottom w:val="single" w:sz="4" w:space="0" w:color="A6A6A6"/>
            </w:tcBorders>
            <w:hideMark/>
          </w:tcPr>
          <w:p w14:paraId="000DC79E" w14:textId="1AA4D0D2" w:rsidR="00921E3F" w:rsidRPr="002029AF" w:rsidRDefault="00921E3F" w:rsidP="00921E3F">
            <w:pPr>
              <w:pStyle w:val="ARfintablebodyright"/>
            </w:pPr>
            <w:r w:rsidRPr="00A72448">
              <w:t>421</w:t>
            </w:r>
          </w:p>
        </w:tc>
        <w:tc>
          <w:tcPr>
            <w:tcW w:w="1134" w:type="dxa"/>
            <w:tcBorders>
              <w:top w:val="single" w:sz="4" w:space="0" w:color="auto"/>
              <w:bottom w:val="single" w:sz="4" w:space="0" w:color="A6A6A6"/>
            </w:tcBorders>
          </w:tcPr>
          <w:p w14:paraId="7743ED6B" w14:textId="3FEBCC19" w:rsidR="00921E3F" w:rsidRPr="002029AF" w:rsidRDefault="00921E3F" w:rsidP="00921E3F">
            <w:pPr>
              <w:pStyle w:val="ARfintablebodyright"/>
            </w:pPr>
            <w:r w:rsidRPr="00A72448">
              <w:t>421</w:t>
            </w:r>
          </w:p>
        </w:tc>
        <w:tc>
          <w:tcPr>
            <w:tcW w:w="1134" w:type="dxa"/>
            <w:tcBorders>
              <w:top w:val="single" w:sz="4" w:space="0" w:color="auto"/>
              <w:bottom w:val="single" w:sz="4" w:space="0" w:color="A6A6A6"/>
            </w:tcBorders>
            <w:hideMark/>
          </w:tcPr>
          <w:p w14:paraId="2BAF9878" w14:textId="62BCD9ED" w:rsidR="00921E3F" w:rsidRPr="002029AF" w:rsidRDefault="00921E3F" w:rsidP="00921E3F">
            <w:pPr>
              <w:pStyle w:val="ARfintablebodyright"/>
            </w:pPr>
            <w:r w:rsidRPr="00A72448">
              <w:t>421</w:t>
            </w:r>
          </w:p>
        </w:tc>
        <w:tc>
          <w:tcPr>
            <w:tcW w:w="1134" w:type="dxa"/>
            <w:tcBorders>
              <w:top w:val="single" w:sz="4" w:space="0" w:color="auto"/>
              <w:bottom w:val="single" w:sz="4" w:space="0" w:color="A6A6A6"/>
            </w:tcBorders>
            <w:hideMark/>
          </w:tcPr>
          <w:p w14:paraId="0A79038C" w14:textId="07CBDC29" w:rsidR="00921E3F" w:rsidRPr="002029AF" w:rsidRDefault="00921E3F" w:rsidP="00921E3F">
            <w:pPr>
              <w:pStyle w:val="ARfintablebodyright"/>
            </w:pPr>
            <w:r w:rsidRPr="00A72448">
              <w:t>–</w:t>
            </w:r>
          </w:p>
        </w:tc>
      </w:tr>
      <w:tr w:rsidR="00921E3F" w:rsidRPr="002029AF" w14:paraId="7D3B04AA" w14:textId="77777777" w:rsidTr="00921E3F">
        <w:tc>
          <w:tcPr>
            <w:tcW w:w="5103" w:type="dxa"/>
            <w:tcBorders>
              <w:top w:val="single" w:sz="4" w:space="0" w:color="A6A6A6"/>
            </w:tcBorders>
            <w:hideMark/>
          </w:tcPr>
          <w:p w14:paraId="44589AEC" w14:textId="7EE7570C" w:rsidR="00921E3F" w:rsidRPr="002029AF" w:rsidRDefault="00921E3F" w:rsidP="00921E3F">
            <w:pPr>
              <w:pStyle w:val="ARfintablebody"/>
            </w:pPr>
            <w:r w:rsidRPr="00A72448">
              <w:t>Other reserves</w:t>
            </w:r>
          </w:p>
        </w:tc>
        <w:tc>
          <w:tcPr>
            <w:tcW w:w="1134" w:type="dxa"/>
            <w:tcBorders>
              <w:top w:val="single" w:sz="4" w:space="0" w:color="A6A6A6"/>
            </w:tcBorders>
            <w:hideMark/>
          </w:tcPr>
          <w:p w14:paraId="163C241B" w14:textId="7AA175D5" w:rsidR="00921E3F" w:rsidRPr="002029AF" w:rsidRDefault="00921E3F" w:rsidP="00921E3F">
            <w:pPr>
              <w:pStyle w:val="ARfintablebodyright"/>
            </w:pPr>
            <w:r w:rsidRPr="00A72448">
              <w:t>60</w:t>
            </w:r>
          </w:p>
        </w:tc>
        <w:tc>
          <w:tcPr>
            <w:tcW w:w="1134" w:type="dxa"/>
            <w:tcBorders>
              <w:top w:val="single" w:sz="4" w:space="0" w:color="A6A6A6"/>
            </w:tcBorders>
          </w:tcPr>
          <w:p w14:paraId="5F9697CA" w14:textId="1F32646B" w:rsidR="00921E3F" w:rsidRPr="002029AF" w:rsidRDefault="00921E3F" w:rsidP="00921E3F">
            <w:pPr>
              <w:pStyle w:val="ARfintablebodyright"/>
            </w:pPr>
            <w:r w:rsidRPr="00A72448">
              <w:t>–</w:t>
            </w:r>
          </w:p>
        </w:tc>
        <w:tc>
          <w:tcPr>
            <w:tcW w:w="1134" w:type="dxa"/>
            <w:tcBorders>
              <w:top w:val="single" w:sz="4" w:space="0" w:color="A6A6A6"/>
            </w:tcBorders>
            <w:hideMark/>
          </w:tcPr>
          <w:p w14:paraId="1C41E784" w14:textId="06CB7886" w:rsidR="00921E3F" w:rsidRPr="002029AF" w:rsidRDefault="00921E3F" w:rsidP="00921E3F">
            <w:pPr>
              <w:pStyle w:val="ARfintablebodyright"/>
            </w:pPr>
            <w:r w:rsidRPr="00A72448">
              <w:t>–</w:t>
            </w:r>
          </w:p>
        </w:tc>
        <w:tc>
          <w:tcPr>
            <w:tcW w:w="1134" w:type="dxa"/>
            <w:tcBorders>
              <w:top w:val="single" w:sz="4" w:space="0" w:color="A6A6A6"/>
            </w:tcBorders>
            <w:hideMark/>
          </w:tcPr>
          <w:p w14:paraId="275B8646" w14:textId="6B719444" w:rsidR="00921E3F" w:rsidRPr="002029AF" w:rsidRDefault="00921E3F" w:rsidP="00921E3F">
            <w:pPr>
              <w:pStyle w:val="ARfintablebodyright"/>
            </w:pPr>
            <w:r w:rsidRPr="00A72448">
              <w:t>–</w:t>
            </w:r>
          </w:p>
        </w:tc>
      </w:tr>
      <w:tr w:rsidR="00921E3F" w:rsidRPr="002029AF" w14:paraId="022B0B0B" w14:textId="77777777" w:rsidTr="00921E3F">
        <w:tc>
          <w:tcPr>
            <w:tcW w:w="5103" w:type="dxa"/>
            <w:hideMark/>
          </w:tcPr>
          <w:p w14:paraId="5C2EFAC5" w14:textId="04F10842" w:rsidR="00921E3F" w:rsidRPr="002029AF" w:rsidRDefault="00921E3F" w:rsidP="00921E3F">
            <w:pPr>
              <w:pStyle w:val="ARfintablebodybold"/>
            </w:pPr>
            <w:r w:rsidRPr="00A72448">
              <w:t>Other reserves</w:t>
            </w:r>
          </w:p>
        </w:tc>
        <w:tc>
          <w:tcPr>
            <w:tcW w:w="1134" w:type="dxa"/>
            <w:hideMark/>
          </w:tcPr>
          <w:p w14:paraId="11575214" w14:textId="18D31797" w:rsidR="00921E3F" w:rsidRPr="002029AF" w:rsidRDefault="00921E3F" w:rsidP="00921E3F">
            <w:pPr>
              <w:pStyle w:val="ARfintablebodyrightbold"/>
            </w:pPr>
            <w:r w:rsidRPr="00A72448">
              <w:t>481</w:t>
            </w:r>
          </w:p>
        </w:tc>
        <w:tc>
          <w:tcPr>
            <w:tcW w:w="1134" w:type="dxa"/>
          </w:tcPr>
          <w:p w14:paraId="4475C9DA" w14:textId="753CC79B" w:rsidR="00921E3F" w:rsidRPr="002029AF" w:rsidRDefault="00921E3F" w:rsidP="00921E3F">
            <w:pPr>
              <w:pStyle w:val="ARfintablebodyrightbold"/>
            </w:pPr>
            <w:r w:rsidRPr="00A72448">
              <w:t>421</w:t>
            </w:r>
          </w:p>
        </w:tc>
        <w:tc>
          <w:tcPr>
            <w:tcW w:w="1134" w:type="dxa"/>
            <w:hideMark/>
          </w:tcPr>
          <w:p w14:paraId="5DF47C11" w14:textId="3A74FC56" w:rsidR="00921E3F" w:rsidRPr="002029AF" w:rsidRDefault="00921E3F" w:rsidP="00921E3F">
            <w:pPr>
              <w:pStyle w:val="ARfintablebodyrightbold"/>
            </w:pPr>
            <w:r w:rsidRPr="00A72448">
              <w:t>421</w:t>
            </w:r>
          </w:p>
        </w:tc>
        <w:tc>
          <w:tcPr>
            <w:tcW w:w="1134" w:type="dxa"/>
            <w:hideMark/>
          </w:tcPr>
          <w:p w14:paraId="074877DD" w14:textId="0EA80D6E" w:rsidR="00921E3F" w:rsidRPr="002029AF" w:rsidRDefault="00921E3F" w:rsidP="00921E3F">
            <w:pPr>
              <w:pStyle w:val="ARfintablebodyrightbold"/>
            </w:pPr>
            <w:r w:rsidRPr="00A72448">
              <w:t>14.3</w:t>
            </w:r>
          </w:p>
        </w:tc>
      </w:tr>
      <w:tr w:rsidR="00921E3F" w:rsidRPr="002029AF" w14:paraId="6960F31D" w14:textId="77777777" w:rsidTr="00921E3F">
        <w:tc>
          <w:tcPr>
            <w:tcW w:w="5103" w:type="dxa"/>
            <w:hideMark/>
          </w:tcPr>
          <w:p w14:paraId="4853497C" w14:textId="13E31855" w:rsidR="00921E3F" w:rsidRPr="002029AF" w:rsidRDefault="00921E3F" w:rsidP="00921E3F">
            <w:pPr>
              <w:pStyle w:val="ARfintablebodybold"/>
            </w:pPr>
            <w:r w:rsidRPr="00A72448">
              <w:t>Changes in equity</w:t>
            </w:r>
          </w:p>
        </w:tc>
        <w:tc>
          <w:tcPr>
            <w:tcW w:w="1134" w:type="dxa"/>
            <w:hideMark/>
          </w:tcPr>
          <w:p w14:paraId="3E37057F" w14:textId="686E17AF" w:rsidR="00921E3F" w:rsidRPr="002029AF" w:rsidRDefault="00921E3F" w:rsidP="00921E3F">
            <w:pPr>
              <w:pStyle w:val="ARfintablebodyrightbold"/>
            </w:pPr>
            <w:r w:rsidRPr="00A72448">
              <w:t>19,298</w:t>
            </w:r>
          </w:p>
        </w:tc>
        <w:tc>
          <w:tcPr>
            <w:tcW w:w="1134" w:type="dxa"/>
          </w:tcPr>
          <w:p w14:paraId="6A859DCF" w14:textId="628F8D0F" w:rsidR="00921E3F" w:rsidRPr="002029AF" w:rsidRDefault="00921E3F" w:rsidP="00921E3F">
            <w:pPr>
              <w:pStyle w:val="ARfintablebodyrightbold"/>
            </w:pPr>
            <w:r w:rsidRPr="00A72448">
              <w:t>17,798</w:t>
            </w:r>
          </w:p>
        </w:tc>
        <w:tc>
          <w:tcPr>
            <w:tcW w:w="1134" w:type="dxa"/>
            <w:hideMark/>
          </w:tcPr>
          <w:p w14:paraId="5FDAB5BF" w14:textId="3E8BAD62" w:rsidR="00921E3F" w:rsidRPr="002029AF" w:rsidRDefault="00921E3F" w:rsidP="00921E3F">
            <w:pPr>
              <w:pStyle w:val="ARfintablebodyrightbold"/>
            </w:pPr>
            <w:r w:rsidRPr="00A72448">
              <w:t>18,889</w:t>
            </w:r>
          </w:p>
        </w:tc>
        <w:tc>
          <w:tcPr>
            <w:tcW w:w="1134" w:type="dxa"/>
            <w:hideMark/>
          </w:tcPr>
          <w:p w14:paraId="647B4DB5" w14:textId="56122F28" w:rsidR="00921E3F" w:rsidRPr="002029AF" w:rsidRDefault="00921E3F" w:rsidP="00921E3F">
            <w:pPr>
              <w:pStyle w:val="ARfintablebodyrightbold"/>
            </w:pPr>
            <w:r w:rsidRPr="00A72448">
              <w:t>2.2</w:t>
            </w:r>
          </w:p>
        </w:tc>
      </w:tr>
    </w:tbl>
    <w:p w14:paraId="24D05DBE" w14:textId="77777777" w:rsidR="00EB6B59" w:rsidRDefault="00EB6B59" w:rsidP="003B1F81">
      <w:pPr>
        <w:pStyle w:val="ARtablefootnotealpha"/>
        <w:numPr>
          <w:ilvl w:val="0"/>
          <w:numId w:val="34"/>
        </w:numPr>
      </w:pPr>
      <w:r>
        <w:t>The 2020–21 Revised Budget reflects the impact of the machinery of government changes whereby the Child Protection, Prevention of Family Violence, Housing and Disability functions were transferred to the Department of Families, Fairness and Housing effective 1 February 2021.</w:t>
      </w:r>
    </w:p>
    <w:p w14:paraId="475BA1FC" w14:textId="0D2F306E" w:rsidR="00783A61" w:rsidRPr="002029AF" w:rsidRDefault="00783A61" w:rsidP="00783A61">
      <w:pPr>
        <w:pStyle w:val="ARbody"/>
      </w:pPr>
      <w:r w:rsidRPr="002029AF">
        <w:br w:type="page"/>
      </w:r>
    </w:p>
    <w:p w14:paraId="1125CD59" w14:textId="77777777" w:rsidR="00783A61" w:rsidRDefault="00783A61" w:rsidP="00783A61">
      <w:pPr>
        <w:pStyle w:val="Heading3"/>
      </w:pPr>
      <w:bookmarkStart w:id="1113" w:name="_Toc85121581"/>
      <w:r w:rsidRPr="00A13347">
        <w:lastRenderedPageBreak/>
        <w:t>Administered items statement for the financial year ended 30</w:t>
      </w:r>
      <w:r>
        <w:t xml:space="preserve"> </w:t>
      </w:r>
      <w:r w:rsidRPr="00A13347">
        <w:t>June</w:t>
      </w:r>
      <w:r>
        <w:t xml:space="preserve"> </w:t>
      </w:r>
      <w:r w:rsidRPr="00A13347">
        <w:t>2021</w:t>
      </w:r>
      <w:bookmarkEnd w:id="1113"/>
    </w:p>
    <w:tbl>
      <w:tblPr>
        <w:tblStyle w:val="TableGrid"/>
        <w:tblW w:w="9639" w:type="dxa"/>
        <w:tblLook w:val="06A0" w:firstRow="1" w:lastRow="0" w:firstColumn="1" w:lastColumn="0" w:noHBand="1" w:noVBand="1"/>
      </w:tblPr>
      <w:tblGrid>
        <w:gridCol w:w="4502"/>
        <w:gridCol w:w="1130"/>
        <w:gridCol w:w="1131"/>
        <w:gridCol w:w="1133"/>
        <w:gridCol w:w="1134"/>
        <w:gridCol w:w="609"/>
      </w:tblGrid>
      <w:tr w:rsidR="00C3704C" w:rsidRPr="002029AF" w14:paraId="28877C0D" w14:textId="77777777" w:rsidTr="00A36763">
        <w:trPr>
          <w:cnfStyle w:val="100000000000" w:firstRow="1" w:lastRow="0" w:firstColumn="0" w:lastColumn="0" w:oddVBand="0" w:evenVBand="0" w:oddHBand="0" w:evenHBand="0" w:firstRowFirstColumn="0" w:firstRowLastColumn="0" w:lastRowFirstColumn="0" w:lastRowLastColumn="0"/>
          <w:tblHeader/>
        </w:trPr>
        <w:tc>
          <w:tcPr>
            <w:tcW w:w="4536" w:type="dxa"/>
            <w:tcBorders>
              <w:bottom w:val="single" w:sz="4" w:space="0" w:color="auto"/>
            </w:tcBorders>
            <w:hideMark/>
          </w:tcPr>
          <w:p w14:paraId="4CF6E9FD" w14:textId="77777777" w:rsidR="00C3704C" w:rsidRPr="002029AF" w:rsidRDefault="00C3704C" w:rsidP="00C3704C">
            <w:pPr>
              <w:pStyle w:val="ARfintablecolhead"/>
            </w:pPr>
          </w:p>
        </w:tc>
        <w:tc>
          <w:tcPr>
            <w:tcW w:w="1134" w:type="dxa"/>
            <w:tcBorders>
              <w:bottom w:val="single" w:sz="4" w:space="0" w:color="auto"/>
            </w:tcBorders>
            <w:hideMark/>
          </w:tcPr>
          <w:p w14:paraId="318B5FD4" w14:textId="77777777" w:rsidR="00C3704C" w:rsidRPr="002029AF" w:rsidRDefault="00C3704C" w:rsidP="00C3704C">
            <w:pPr>
              <w:pStyle w:val="ARfintablecolheadright"/>
            </w:pPr>
            <w:r w:rsidRPr="002029AF">
              <w:t>20</w:t>
            </w:r>
            <w:r>
              <w:t>20–21</w:t>
            </w:r>
          </w:p>
          <w:p w14:paraId="4AE81E09" w14:textId="77777777" w:rsidR="00C3704C" w:rsidRPr="002029AF" w:rsidRDefault="00C3704C" w:rsidP="00C3704C">
            <w:pPr>
              <w:pStyle w:val="ARfintablecolheadright"/>
            </w:pPr>
            <w:r w:rsidRPr="002029AF">
              <w:t>Actual</w:t>
            </w:r>
          </w:p>
          <w:p w14:paraId="41EF7A2C" w14:textId="45D51DD4" w:rsidR="00C3704C" w:rsidRPr="002029AF" w:rsidRDefault="00C3704C" w:rsidP="00C3704C">
            <w:pPr>
              <w:pStyle w:val="ARfintablecolheadright"/>
            </w:pPr>
            <w:r w:rsidRPr="002029AF">
              <w:t>$M</w:t>
            </w:r>
          </w:p>
        </w:tc>
        <w:tc>
          <w:tcPr>
            <w:tcW w:w="1134" w:type="dxa"/>
            <w:tcBorders>
              <w:bottom w:val="single" w:sz="4" w:space="0" w:color="auto"/>
            </w:tcBorders>
          </w:tcPr>
          <w:p w14:paraId="1BE630B3" w14:textId="77777777" w:rsidR="00C3704C" w:rsidRPr="002029AF" w:rsidRDefault="00C3704C" w:rsidP="00C3704C">
            <w:pPr>
              <w:pStyle w:val="ARfintablecolheadright"/>
            </w:pPr>
            <w:r w:rsidRPr="002029AF">
              <w:t>20</w:t>
            </w:r>
            <w:r>
              <w:t>20–21</w:t>
            </w:r>
          </w:p>
          <w:p w14:paraId="68E6FEF8" w14:textId="77777777" w:rsidR="00C3704C" w:rsidRPr="002029AF" w:rsidRDefault="00C3704C" w:rsidP="00C3704C">
            <w:pPr>
              <w:pStyle w:val="ARfintablecolheadright"/>
            </w:pPr>
            <w:r>
              <w:t>Revised</w:t>
            </w:r>
            <w:r w:rsidRPr="002029AF">
              <w:t xml:space="preserve"> budget</w:t>
            </w:r>
            <w:r>
              <w:t xml:space="preserve"> </w:t>
            </w:r>
            <w:r w:rsidRPr="002A4973">
              <w:rPr>
                <w:rStyle w:val="Superscript"/>
              </w:rPr>
              <w:t>(a)</w:t>
            </w:r>
          </w:p>
          <w:p w14:paraId="52730707" w14:textId="00D055ED" w:rsidR="00C3704C" w:rsidRPr="002029AF" w:rsidRDefault="00C3704C" w:rsidP="00C3704C">
            <w:pPr>
              <w:pStyle w:val="ARfintablecolheadright"/>
            </w:pPr>
            <w:r w:rsidRPr="002029AF">
              <w:t>$M</w:t>
            </w:r>
          </w:p>
        </w:tc>
        <w:tc>
          <w:tcPr>
            <w:tcW w:w="1134" w:type="dxa"/>
            <w:tcBorders>
              <w:bottom w:val="single" w:sz="4" w:space="0" w:color="auto"/>
            </w:tcBorders>
            <w:hideMark/>
          </w:tcPr>
          <w:p w14:paraId="00473B0A" w14:textId="77777777" w:rsidR="00C3704C" w:rsidRPr="002029AF" w:rsidRDefault="00C3704C" w:rsidP="00C3704C">
            <w:pPr>
              <w:pStyle w:val="ARfintablecolheadright"/>
            </w:pPr>
            <w:r w:rsidRPr="002029AF">
              <w:t>20</w:t>
            </w:r>
            <w:r>
              <w:t>20–21</w:t>
            </w:r>
          </w:p>
          <w:p w14:paraId="47B0912D" w14:textId="77777777" w:rsidR="00C3704C" w:rsidRPr="002029AF" w:rsidRDefault="00C3704C" w:rsidP="00C3704C">
            <w:pPr>
              <w:pStyle w:val="ARfintablecolheadright"/>
            </w:pPr>
            <w:r w:rsidRPr="002029AF">
              <w:t>Published budget</w:t>
            </w:r>
          </w:p>
          <w:p w14:paraId="6409A038" w14:textId="5BBE3B12" w:rsidR="00C3704C" w:rsidRPr="002029AF" w:rsidRDefault="00C3704C" w:rsidP="00C3704C">
            <w:pPr>
              <w:pStyle w:val="ARfintablecolheadright"/>
            </w:pPr>
            <w:r w:rsidRPr="002029AF">
              <w:t>$M</w:t>
            </w:r>
          </w:p>
        </w:tc>
        <w:tc>
          <w:tcPr>
            <w:tcW w:w="1134" w:type="dxa"/>
            <w:tcBorders>
              <w:bottom w:val="single" w:sz="4" w:space="0" w:color="auto"/>
            </w:tcBorders>
            <w:noWrap/>
            <w:hideMark/>
          </w:tcPr>
          <w:p w14:paraId="41235F7E" w14:textId="77777777" w:rsidR="00C3704C" w:rsidRPr="002029AF" w:rsidRDefault="00C3704C" w:rsidP="00C3704C">
            <w:pPr>
              <w:pStyle w:val="ARfintablecolheadright"/>
            </w:pPr>
            <w:r w:rsidRPr="002029AF">
              <w:t>Variation to published budget</w:t>
            </w:r>
          </w:p>
          <w:p w14:paraId="2514A48B" w14:textId="0513352D" w:rsidR="00C3704C" w:rsidRPr="002029AF" w:rsidRDefault="00C3704C" w:rsidP="00C3704C">
            <w:pPr>
              <w:pStyle w:val="ARfintablecolheadright"/>
              <w:rPr>
                <w:rFonts w:ascii="Calibri" w:hAnsi="Calibri" w:cs="Calibri"/>
                <w:sz w:val="22"/>
                <w:szCs w:val="22"/>
              </w:rPr>
            </w:pPr>
            <w:r w:rsidRPr="002029AF">
              <w:t>%</w:t>
            </w:r>
          </w:p>
        </w:tc>
        <w:tc>
          <w:tcPr>
            <w:tcW w:w="567" w:type="dxa"/>
            <w:tcBorders>
              <w:bottom w:val="single" w:sz="4" w:space="0" w:color="auto"/>
            </w:tcBorders>
            <w:noWrap/>
            <w:hideMark/>
          </w:tcPr>
          <w:p w14:paraId="23F92830" w14:textId="77777777" w:rsidR="00C3704C" w:rsidRPr="002029AF" w:rsidRDefault="00C3704C" w:rsidP="00A36763">
            <w:pPr>
              <w:pStyle w:val="ARfintablecolheadcentre"/>
              <w:rPr>
                <w:rFonts w:ascii="Calibri" w:hAnsi="Calibri" w:cs="Calibri"/>
                <w:sz w:val="22"/>
                <w:szCs w:val="22"/>
              </w:rPr>
            </w:pPr>
            <w:r w:rsidRPr="002029AF">
              <w:t>Notes</w:t>
            </w:r>
          </w:p>
        </w:tc>
      </w:tr>
      <w:tr w:rsidR="00A36763" w:rsidRPr="002029AF" w14:paraId="7BB76083" w14:textId="77777777" w:rsidTr="00A36763">
        <w:tc>
          <w:tcPr>
            <w:tcW w:w="4536" w:type="dxa"/>
            <w:gridSpan w:val="6"/>
            <w:tcBorders>
              <w:top w:val="single" w:sz="4" w:space="0" w:color="auto"/>
              <w:bottom w:val="single" w:sz="4" w:space="0" w:color="A6A6A6"/>
            </w:tcBorders>
          </w:tcPr>
          <w:p w14:paraId="70AEC48E" w14:textId="2287AF2B" w:rsidR="00A36763" w:rsidRPr="002029AF" w:rsidRDefault="00A36763" w:rsidP="00A36763">
            <w:pPr>
              <w:pStyle w:val="ARfintablebodybold"/>
              <w:rPr>
                <w:lang w:eastAsia="en-GB"/>
              </w:rPr>
            </w:pPr>
            <w:r w:rsidRPr="00D16CA0">
              <w:t xml:space="preserve">Administered </w:t>
            </w:r>
            <w:r>
              <w:t>i</w:t>
            </w:r>
            <w:r w:rsidRPr="00D16CA0">
              <w:t>ncome</w:t>
            </w:r>
          </w:p>
        </w:tc>
      </w:tr>
      <w:tr w:rsidR="00A36763" w:rsidRPr="002029AF" w14:paraId="4756F4CE" w14:textId="77777777" w:rsidTr="00A36763">
        <w:tc>
          <w:tcPr>
            <w:tcW w:w="4536" w:type="dxa"/>
            <w:tcBorders>
              <w:top w:val="single" w:sz="4" w:space="0" w:color="A6A6A6"/>
              <w:bottom w:val="single" w:sz="4" w:space="0" w:color="A6A6A6"/>
            </w:tcBorders>
            <w:hideMark/>
          </w:tcPr>
          <w:p w14:paraId="44FE7534" w14:textId="374CC9D9" w:rsidR="00A36763" w:rsidRPr="002029AF" w:rsidRDefault="00A36763" w:rsidP="00A36763">
            <w:pPr>
              <w:pStyle w:val="ARfintablebody"/>
              <w:rPr>
                <w:lang w:eastAsia="en-GB"/>
              </w:rPr>
            </w:pPr>
            <w:r w:rsidRPr="00D16CA0">
              <w:t>Appropriations – Payments made on behalf of the state</w:t>
            </w:r>
          </w:p>
        </w:tc>
        <w:tc>
          <w:tcPr>
            <w:tcW w:w="1134" w:type="dxa"/>
            <w:tcBorders>
              <w:top w:val="single" w:sz="4" w:space="0" w:color="A6A6A6"/>
              <w:bottom w:val="single" w:sz="4" w:space="0" w:color="A6A6A6"/>
            </w:tcBorders>
            <w:hideMark/>
          </w:tcPr>
          <w:p w14:paraId="70E33038" w14:textId="4AD13D4F" w:rsidR="00A36763" w:rsidRPr="002029AF" w:rsidRDefault="00A36763" w:rsidP="00A36763">
            <w:pPr>
              <w:pStyle w:val="ARfintablebodyright"/>
              <w:rPr>
                <w:lang w:eastAsia="en-GB"/>
              </w:rPr>
            </w:pPr>
            <w:r w:rsidRPr="00D16CA0">
              <w:t>50</w:t>
            </w:r>
          </w:p>
        </w:tc>
        <w:tc>
          <w:tcPr>
            <w:tcW w:w="1134" w:type="dxa"/>
            <w:tcBorders>
              <w:top w:val="single" w:sz="4" w:space="0" w:color="A6A6A6"/>
              <w:bottom w:val="single" w:sz="4" w:space="0" w:color="A6A6A6"/>
            </w:tcBorders>
          </w:tcPr>
          <w:p w14:paraId="1BE670BF" w14:textId="597CC9F1" w:rsidR="00A36763" w:rsidRPr="002029AF" w:rsidRDefault="00A36763" w:rsidP="00A36763">
            <w:pPr>
              <w:pStyle w:val="ARfintablebodyright"/>
              <w:rPr>
                <w:lang w:eastAsia="en-GB"/>
              </w:rPr>
            </w:pPr>
            <w:r w:rsidRPr="00D16CA0">
              <w:t>50</w:t>
            </w:r>
          </w:p>
        </w:tc>
        <w:tc>
          <w:tcPr>
            <w:tcW w:w="1134" w:type="dxa"/>
            <w:tcBorders>
              <w:top w:val="single" w:sz="4" w:space="0" w:color="A6A6A6"/>
              <w:bottom w:val="single" w:sz="4" w:space="0" w:color="A6A6A6"/>
            </w:tcBorders>
            <w:hideMark/>
          </w:tcPr>
          <w:p w14:paraId="56BDB680" w14:textId="1ABA9C55" w:rsidR="00A36763" w:rsidRPr="002029AF" w:rsidRDefault="00A36763" w:rsidP="00A36763">
            <w:pPr>
              <w:pStyle w:val="ARfintablebodyright"/>
              <w:rPr>
                <w:lang w:eastAsia="en-GB"/>
              </w:rPr>
            </w:pPr>
            <w:r w:rsidRPr="00D16CA0">
              <w:t>67</w:t>
            </w:r>
          </w:p>
        </w:tc>
        <w:tc>
          <w:tcPr>
            <w:tcW w:w="1134" w:type="dxa"/>
            <w:tcBorders>
              <w:top w:val="single" w:sz="4" w:space="0" w:color="A6A6A6"/>
              <w:bottom w:val="single" w:sz="4" w:space="0" w:color="A6A6A6"/>
            </w:tcBorders>
            <w:hideMark/>
          </w:tcPr>
          <w:p w14:paraId="470F248A" w14:textId="5F35A5E7" w:rsidR="00A36763" w:rsidRPr="002029AF" w:rsidRDefault="00A36763" w:rsidP="00A36763">
            <w:pPr>
              <w:pStyle w:val="ARfintablebodyright"/>
              <w:rPr>
                <w:lang w:eastAsia="en-GB"/>
              </w:rPr>
            </w:pPr>
            <w:r w:rsidRPr="00D16CA0">
              <w:t>(25.0)</w:t>
            </w:r>
          </w:p>
        </w:tc>
        <w:tc>
          <w:tcPr>
            <w:tcW w:w="567" w:type="dxa"/>
            <w:tcBorders>
              <w:top w:val="single" w:sz="4" w:space="0" w:color="A6A6A6"/>
              <w:bottom w:val="single" w:sz="4" w:space="0" w:color="A6A6A6"/>
            </w:tcBorders>
            <w:hideMark/>
          </w:tcPr>
          <w:p w14:paraId="2AF9AC62" w14:textId="77777777" w:rsidR="00A36763" w:rsidRPr="002029AF" w:rsidRDefault="00A36763" w:rsidP="00A36763">
            <w:pPr>
              <w:pStyle w:val="ARfintablebodyright"/>
            </w:pPr>
          </w:p>
        </w:tc>
      </w:tr>
      <w:tr w:rsidR="00A36763" w:rsidRPr="002029AF" w14:paraId="7EC10E31" w14:textId="77777777" w:rsidTr="00A36763">
        <w:tc>
          <w:tcPr>
            <w:tcW w:w="4536" w:type="dxa"/>
            <w:tcBorders>
              <w:top w:val="single" w:sz="4" w:space="0" w:color="A6A6A6"/>
              <w:bottom w:val="single" w:sz="4" w:space="0" w:color="A6A6A6"/>
            </w:tcBorders>
            <w:hideMark/>
          </w:tcPr>
          <w:p w14:paraId="6DFA6E6E" w14:textId="7FA55943" w:rsidR="00A36763" w:rsidRPr="002029AF" w:rsidRDefault="00A36763" w:rsidP="00A36763">
            <w:pPr>
              <w:pStyle w:val="ARfintablebody"/>
              <w:rPr>
                <w:lang w:eastAsia="en-GB"/>
              </w:rPr>
            </w:pPr>
            <w:r w:rsidRPr="00D16CA0">
              <w:t>Interest</w:t>
            </w:r>
          </w:p>
        </w:tc>
        <w:tc>
          <w:tcPr>
            <w:tcW w:w="1134" w:type="dxa"/>
            <w:tcBorders>
              <w:top w:val="single" w:sz="4" w:space="0" w:color="A6A6A6"/>
              <w:bottom w:val="single" w:sz="4" w:space="0" w:color="A6A6A6"/>
            </w:tcBorders>
            <w:hideMark/>
          </w:tcPr>
          <w:p w14:paraId="3B6B6BDF" w14:textId="4A5DE911" w:rsidR="00A36763" w:rsidRPr="002029AF" w:rsidRDefault="00B02401" w:rsidP="00A36763">
            <w:pPr>
              <w:pStyle w:val="ARfintablebodyright"/>
              <w:rPr>
                <w:lang w:eastAsia="en-GB"/>
              </w:rPr>
            </w:pPr>
            <w:r w:rsidRPr="00B02401">
              <w:t>–</w:t>
            </w:r>
          </w:p>
        </w:tc>
        <w:tc>
          <w:tcPr>
            <w:tcW w:w="1134" w:type="dxa"/>
            <w:tcBorders>
              <w:top w:val="single" w:sz="4" w:space="0" w:color="A6A6A6"/>
              <w:bottom w:val="single" w:sz="4" w:space="0" w:color="A6A6A6"/>
            </w:tcBorders>
          </w:tcPr>
          <w:p w14:paraId="38057B67" w14:textId="6001FAD6" w:rsidR="00A36763" w:rsidRPr="002029AF" w:rsidRDefault="00A36763" w:rsidP="00A36763">
            <w:pPr>
              <w:pStyle w:val="ARfintablebodyright"/>
              <w:rPr>
                <w:lang w:eastAsia="en-GB"/>
              </w:rPr>
            </w:pPr>
            <w:r w:rsidRPr="00D16CA0">
              <w:t>3</w:t>
            </w:r>
          </w:p>
        </w:tc>
        <w:tc>
          <w:tcPr>
            <w:tcW w:w="1134" w:type="dxa"/>
            <w:tcBorders>
              <w:top w:val="single" w:sz="4" w:space="0" w:color="A6A6A6"/>
              <w:bottom w:val="single" w:sz="4" w:space="0" w:color="A6A6A6"/>
            </w:tcBorders>
            <w:hideMark/>
          </w:tcPr>
          <w:p w14:paraId="231611DF" w14:textId="0452F956" w:rsidR="00A36763" w:rsidRPr="002029AF" w:rsidRDefault="00A36763" w:rsidP="00A36763">
            <w:pPr>
              <w:pStyle w:val="ARfintablebodyright"/>
              <w:rPr>
                <w:lang w:eastAsia="en-GB"/>
              </w:rPr>
            </w:pPr>
            <w:r w:rsidRPr="00D16CA0">
              <w:t>3</w:t>
            </w:r>
          </w:p>
        </w:tc>
        <w:tc>
          <w:tcPr>
            <w:tcW w:w="1134" w:type="dxa"/>
            <w:tcBorders>
              <w:top w:val="single" w:sz="4" w:space="0" w:color="A6A6A6"/>
              <w:bottom w:val="single" w:sz="4" w:space="0" w:color="A6A6A6"/>
            </w:tcBorders>
            <w:hideMark/>
          </w:tcPr>
          <w:p w14:paraId="20B852E8" w14:textId="2E98592C" w:rsidR="00A36763" w:rsidRPr="002029AF" w:rsidRDefault="00A36763" w:rsidP="00A36763">
            <w:pPr>
              <w:pStyle w:val="ARfintablebodyright"/>
              <w:rPr>
                <w:lang w:eastAsia="en-GB"/>
              </w:rPr>
            </w:pPr>
            <w:r w:rsidRPr="00D16CA0">
              <w:t>(100.0)</w:t>
            </w:r>
          </w:p>
        </w:tc>
        <w:tc>
          <w:tcPr>
            <w:tcW w:w="567" w:type="dxa"/>
            <w:tcBorders>
              <w:top w:val="single" w:sz="4" w:space="0" w:color="A6A6A6"/>
              <w:bottom w:val="single" w:sz="4" w:space="0" w:color="A6A6A6"/>
            </w:tcBorders>
            <w:hideMark/>
          </w:tcPr>
          <w:p w14:paraId="5A515F47" w14:textId="4A148DC2" w:rsidR="00A36763" w:rsidRPr="002029AF" w:rsidRDefault="00A36763" w:rsidP="00A36763">
            <w:pPr>
              <w:pStyle w:val="ARfintablebodyrightbold"/>
            </w:pPr>
          </w:p>
        </w:tc>
      </w:tr>
      <w:tr w:rsidR="00A36763" w:rsidRPr="002029AF" w14:paraId="32333F53" w14:textId="77777777" w:rsidTr="00A36763">
        <w:tc>
          <w:tcPr>
            <w:tcW w:w="4536" w:type="dxa"/>
            <w:tcBorders>
              <w:top w:val="single" w:sz="4" w:space="0" w:color="A6A6A6"/>
              <w:bottom w:val="single" w:sz="4" w:space="0" w:color="A6A6A6"/>
            </w:tcBorders>
            <w:hideMark/>
          </w:tcPr>
          <w:p w14:paraId="4F4A611D" w14:textId="46E00628" w:rsidR="00A36763" w:rsidRPr="002029AF" w:rsidRDefault="00A36763" w:rsidP="00A36763">
            <w:pPr>
              <w:pStyle w:val="ARfintablebody"/>
              <w:rPr>
                <w:lang w:eastAsia="en-GB"/>
              </w:rPr>
            </w:pPr>
            <w:r w:rsidRPr="00D16CA0">
              <w:t>Sales of goods and services</w:t>
            </w:r>
          </w:p>
        </w:tc>
        <w:tc>
          <w:tcPr>
            <w:tcW w:w="1134" w:type="dxa"/>
            <w:tcBorders>
              <w:top w:val="single" w:sz="4" w:space="0" w:color="A6A6A6"/>
              <w:bottom w:val="single" w:sz="4" w:space="0" w:color="A6A6A6"/>
            </w:tcBorders>
            <w:hideMark/>
          </w:tcPr>
          <w:p w14:paraId="737C845A" w14:textId="41C37745" w:rsidR="00A36763" w:rsidRPr="002029AF" w:rsidRDefault="00A36763" w:rsidP="00A36763">
            <w:pPr>
              <w:pStyle w:val="ARfintablebodyright"/>
              <w:rPr>
                <w:lang w:eastAsia="en-GB"/>
              </w:rPr>
            </w:pPr>
            <w:r w:rsidRPr="00D16CA0">
              <w:t>383</w:t>
            </w:r>
          </w:p>
        </w:tc>
        <w:tc>
          <w:tcPr>
            <w:tcW w:w="1134" w:type="dxa"/>
            <w:tcBorders>
              <w:top w:val="single" w:sz="4" w:space="0" w:color="A6A6A6"/>
              <w:bottom w:val="single" w:sz="4" w:space="0" w:color="A6A6A6"/>
            </w:tcBorders>
          </w:tcPr>
          <w:p w14:paraId="70677AA7" w14:textId="1D857B2A" w:rsidR="00A36763" w:rsidRPr="002029AF" w:rsidRDefault="00A36763" w:rsidP="00A36763">
            <w:pPr>
              <w:pStyle w:val="ARfintablebodyright"/>
              <w:rPr>
                <w:lang w:eastAsia="en-GB"/>
              </w:rPr>
            </w:pPr>
            <w:r w:rsidRPr="00D16CA0">
              <w:t>295</w:t>
            </w:r>
          </w:p>
        </w:tc>
        <w:tc>
          <w:tcPr>
            <w:tcW w:w="1134" w:type="dxa"/>
            <w:tcBorders>
              <w:top w:val="single" w:sz="4" w:space="0" w:color="A6A6A6"/>
              <w:bottom w:val="single" w:sz="4" w:space="0" w:color="A6A6A6"/>
            </w:tcBorders>
            <w:hideMark/>
          </w:tcPr>
          <w:p w14:paraId="0AEE6357" w14:textId="4234A467" w:rsidR="00A36763" w:rsidRPr="002029AF" w:rsidRDefault="00A36763" w:rsidP="00A36763">
            <w:pPr>
              <w:pStyle w:val="ARfintablebodyright"/>
              <w:rPr>
                <w:lang w:eastAsia="en-GB"/>
              </w:rPr>
            </w:pPr>
            <w:r w:rsidRPr="00D16CA0">
              <w:t>339</w:t>
            </w:r>
          </w:p>
        </w:tc>
        <w:tc>
          <w:tcPr>
            <w:tcW w:w="1134" w:type="dxa"/>
            <w:tcBorders>
              <w:top w:val="single" w:sz="4" w:space="0" w:color="A6A6A6"/>
              <w:bottom w:val="single" w:sz="4" w:space="0" w:color="A6A6A6"/>
            </w:tcBorders>
            <w:hideMark/>
          </w:tcPr>
          <w:p w14:paraId="7665B0C8" w14:textId="5A79ABB6" w:rsidR="00A36763" w:rsidRPr="002029AF" w:rsidRDefault="00A36763" w:rsidP="00A36763">
            <w:pPr>
              <w:pStyle w:val="ARfintablebodyright"/>
              <w:rPr>
                <w:lang w:eastAsia="en-GB"/>
              </w:rPr>
            </w:pPr>
            <w:r w:rsidRPr="00D16CA0">
              <w:t>12.9</w:t>
            </w:r>
          </w:p>
        </w:tc>
        <w:tc>
          <w:tcPr>
            <w:tcW w:w="567" w:type="dxa"/>
            <w:tcBorders>
              <w:top w:val="single" w:sz="4" w:space="0" w:color="A6A6A6"/>
              <w:bottom w:val="single" w:sz="4" w:space="0" w:color="A6A6A6"/>
            </w:tcBorders>
            <w:hideMark/>
          </w:tcPr>
          <w:p w14:paraId="363BE0FE" w14:textId="2B2DB715" w:rsidR="00A36763" w:rsidRPr="002029AF" w:rsidRDefault="00A36763" w:rsidP="00A36763">
            <w:pPr>
              <w:pStyle w:val="ARfintablebodyrightbold"/>
            </w:pPr>
          </w:p>
        </w:tc>
      </w:tr>
      <w:tr w:rsidR="00A36763" w:rsidRPr="002029AF" w14:paraId="120758CE" w14:textId="77777777" w:rsidTr="00A36763">
        <w:tc>
          <w:tcPr>
            <w:tcW w:w="4536" w:type="dxa"/>
            <w:tcBorders>
              <w:top w:val="single" w:sz="4" w:space="0" w:color="A6A6A6"/>
              <w:bottom w:val="single" w:sz="4" w:space="0" w:color="A6A6A6"/>
            </w:tcBorders>
            <w:hideMark/>
          </w:tcPr>
          <w:p w14:paraId="73111ED4" w14:textId="5E395947" w:rsidR="00A36763" w:rsidRPr="002029AF" w:rsidRDefault="00A36763" w:rsidP="00A36763">
            <w:pPr>
              <w:pStyle w:val="ARfintablebody"/>
              <w:rPr>
                <w:lang w:eastAsia="en-GB"/>
              </w:rPr>
            </w:pPr>
            <w:r w:rsidRPr="00D16CA0">
              <w:t>Grants</w:t>
            </w:r>
          </w:p>
        </w:tc>
        <w:tc>
          <w:tcPr>
            <w:tcW w:w="1134" w:type="dxa"/>
            <w:tcBorders>
              <w:top w:val="single" w:sz="4" w:space="0" w:color="A6A6A6"/>
              <w:bottom w:val="single" w:sz="4" w:space="0" w:color="A6A6A6"/>
            </w:tcBorders>
            <w:hideMark/>
          </w:tcPr>
          <w:p w14:paraId="72D89663" w14:textId="2C8C2DC3" w:rsidR="00A36763" w:rsidRPr="002029AF" w:rsidRDefault="00A36763" w:rsidP="00A36763">
            <w:pPr>
              <w:pStyle w:val="ARfintablebodyright"/>
              <w:rPr>
                <w:lang w:eastAsia="en-GB"/>
              </w:rPr>
            </w:pPr>
            <w:r w:rsidRPr="00D16CA0">
              <w:t>13,974</w:t>
            </w:r>
          </w:p>
        </w:tc>
        <w:tc>
          <w:tcPr>
            <w:tcW w:w="1134" w:type="dxa"/>
            <w:tcBorders>
              <w:top w:val="single" w:sz="4" w:space="0" w:color="A6A6A6"/>
              <w:bottom w:val="single" w:sz="4" w:space="0" w:color="A6A6A6"/>
            </w:tcBorders>
          </w:tcPr>
          <w:p w14:paraId="45959E67" w14:textId="3D8FBB7E" w:rsidR="00A36763" w:rsidRPr="002029AF" w:rsidRDefault="00A36763" w:rsidP="00A36763">
            <w:pPr>
              <w:pStyle w:val="ARfintablebodyright"/>
              <w:rPr>
                <w:lang w:eastAsia="en-GB"/>
              </w:rPr>
            </w:pPr>
            <w:r w:rsidRPr="00D16CA0">
              <w:t>14,681</w:t>
            </w:r>
          </w:p>
        </w:tc>
        <w:tc>
          <w:tcPr>
            <w:tcW w:w="1134" w:type="dxa"/>
            <w:tcBorders>
              <w:top w:val="single" w:sz="4" w:space="0" w:color="A6A6A6"/>
              <w:bottom w:val="single" w:sz="4" w:space="0" w:color="A6A6A6"/>
            </w:tcBorders>
            <w:hideMark/>
          </w:tcPr>
          <w:p w14:paraId="7A0E390A" w14:textId="245E8ED0" w:rsidR="00A36763" w:rsidRPr="002029AF" w:rsidRDefault="00A36763" w:rsidP="00A36763">
            <w:pPr>
              <w:pStyle w:val="ARfintablebodyright"/>
              <w:rPr>
                <w:lang w:eastAsia="en-GB"/>
              </w:rPr>
            </w:pPr>
            <w:r w:rsidRPr="00D16CA0">
              <w:t>14,678</w:t>
            </w:r>
          </w:p>
        </w:tc>
        <w:tc>
          <w:tcPr>
            <w:tcW w:w="1134" w:type="dxa"/>
            <w:tcBorders>
              <w:top w:val="single" w:sz="4" w:space="0" w:color="A6A6A6"/>
              <w:bottom w:val="single" w:sz="4" w:space="0" w:color="A6A6A6"/>
            </w:tcBorders>
            <w:hideMark/>
          </w:tcPr>
          <w:p w14:paraId="0EAF3630" w14:textId="4CC70B52" w:rsidR="00A36763" w:rsidRPr="002029AF" w:rsidRDefault="00A36763" w:rsidP="00A36763">
            <w:pPr>
              <w:pStyle w:val="ARfintablebodyright"/>
              <w:rPr>
                <w:lang w:eastAsia="en-GB"/>
              </w:rPr>
            </w:pPr>
            <w:r w:rsidRPr="00D16CA0">
              <w:t>(4.8)</w:t>
            </w:r>
          </w:p>
        </w:tc>
        <w:tc>
          <w:tcPr>
            <w:tcW w:w="567" w:type="dxa"/>
            <w:tcBorders>
              <w:top w:val="single" w:sz="4" w:space="0" w:color="A6A6A6"/>
              <w:bottom w:val="single" w:sz="4" w:space="0" w:color="A6A6A6"/>
            </w:tcBorders>
            <w:hideMark/>
          </w:tcPr>
          <w:p w14:paraId="72BE8529" w14:textId="1FF33FBF" w:rsidR="00A36763" w:rsidRPr="002029AF" w:rsidRDefault="00A36763" w:rsidP="00A36763">
            <w:pPr>
              <w:pStyle w:val="ARfintablebodycentrebold"/>
            </w:pPr>
            <w:r w:rsidRPr="00D16CA0">
              <w:t>(b)</w:t>
            </w:r>
          </w:p>
        </w:tc>
      </w:tr>
      <w:tr w:rsidR="00A36763" w:rsidRPr="002029AF" w14:paraId="48CD644B" w14:textId="77777777" w:rsidTr="00A36763">
        <w:tc>
          <w:tcPr>
            <w:tcW w:w="4536" w:type="dxa"/>
            <w:tcBorders>
              <w:top w:val="single" w:sz="4" w:space="0" w:color="A6A6A6"/>
            </w:tcBorders>
            <w:hideMark/>
          </w:tcPr>
          <w:p w14:paraId="3EE68152" w14:textId="4BBEC436" w:rsidR="00A36763" w:rsidRPr="002029AF" w:rsidRDefault="00A36763" w:rsidP="00A36763">
            <w:pPr>
              <w:pStyle w:val="ARfintablebody"/>
              <w:rPr>
                <w:lang w:eastAsia="en-GB"/>
              </w:rPr>
            </w:pPr>
            <w:r w:rsidRPr="00D16CA0">
              <w:t>Other income</w:t>
            </w:r>
          </w:p>
        </w:tc>
        <w:tc>
          <w:tcPr>
            <w:tcW w:w="1134" w:type="dxa"/>
            <w:tcBorders>
              <w:top w:val="single" w:sz="4" w:space="0" w:color="A6A6A6"/>
            </w:tcBorders>
            <w:hideMark/>
          </w:tcPr>
          <w:p w14:paraId="2BFC0041" w14:textId="17F35714" w:rsidR="00A36763" w:rsidRPr="002029AF" w:rsidRDefault="00A36763" w:rsidP="00A36763">
            <w:pPr>
              <w:pStyle w:val="ARfintablebodyright"/>
              <w:rPr>
                <w:lang w:eastAsia="en-GB"/>
              </w:rPr>
            </w:pPr>
            <w:r w:rsidRPr="00D16CA0">
              <w:t>37</w:t>
            </w:r>
          </w:p>
        </w:tc>
        <w:tc>
          <w:tcPr>
            <w:tcW w:w="1134" w:type="dxa"/>
            <w:tcBorders>
              <w:top w:val="single" w:sz="4" w:space="0" w:color="A6A6A6"/>
            </w:tcBorders>
          </w:tcPr>
          <w:p w14:paraId="1FF0B88F" w14:textId="21DB4BF9" w:rsidR="00A36763" w:rsidRPr="002029AF" w:rsidRDefault="00A36763" w:rsidP="00A36763">
            <w:pPr>
              <w:pStyle w:val="ARfintablebodyright"/>
              <w:rPr>
                <w:lang w:eastAsia="en-GB"/>
              </w:rPr>
            </w:pPr>
            <w:r w:rsidRPr="00D16CA0">
              <w:t>33</w:t>
            </w:r>
          </w:p>
        </w:tc>
        <w:tc>
          <w:tcPr>
            <w:tcW w:w="1134" w:type="dxa"/>
            <w:tcBorders>
              <w:top w:val="single" w:sz="4" w:space="0" w:color="A6A6A6"/>
            </w:tcBorders>
            <w:hideMark/>
          </w:tcPr>
          <w:p w14:paraId="7DA292CE" w14:textId="5E56E313" w:rsidR="00A36763" w:rsidRPr="002029AF" w:rsidRDefault="00A36763" w:rsidP="00A36763">
            <w:pPr>
              <w:pStyle w:val="ARfintablebodyright"/>
              <w:rPr>
                <w:lang w:eastAsia="en-GB"/>
              </w:rPr>
            </w:pPr>
            <w:r w:rsidRPr="00D16CA0">
              <w:t>34</w:t>
            </w:r>
          </w:p>
        </w:tc>
        <w:tc>
          <w:tcPr>
            <w:tcW w:w="1134" w:type="dxa"/>
            <w:tcBorders>
              <w:top w:val="single" w:sz="4" w:space="0" w:color="A6A6A6"/>
            </w:tcBorders>
            <w:hideMark/>
          </w:tcPr>
          <w:p w14:paraId="60E6D6D4" w14:textId="5ACD1C09" w:rsidR="00A36763" w:rsidRPr="002029AF" w:rsidRDefault="00A36763" w:rsidP="00A36763">
            <w:pPr>
              <w:pStyle w:val="ARfintablebodyright"/>
              <w:rPr>
                <w:lang w:eastAsia="en-GB"/>
              </w:rPr>
            </w:pPr>
            <w:r w:rsidRPr="00D16CA0">
              <w:t>10.0</w:t>
            </w:r>
          </w:p>
        </w:tc>
        <w:tc>
          <w:tcPr>
            <w:tcW w:w="567" w:type="dxa"/>
            <w:tcBorders>
              <w:top w:val="single" w:sz="4" w:space="0" w:color="A6A6A6"/>
            </w:tcBorders>
            <w:hideMark/>
          </w:tcPr>
          <w:p w14:paraId="12CC75BC" w14:textId="7A841F76" w:rsidR="00A36763" w:rsidRPr="002029AF" w:rsidRDefault="00A36763" w:rsidP="00A36763">
            <w:pPr>
              <w:pStyle w:val="ARfintablebodyrightbold"/>
            </w:pPr>
          </w:p>
        </w:tc>
      </w:tr>
      <w:tr w:rsidR="00A36763" w:rsidRPr="002029AF" w14:paraId="3C760CE2" w14:textId="77777777" w:rsidTr="00A36763">
        <w:tc>
          <w:tcPr>
            <w:tcW w:w="4536" w:type="dxa"/>
            <w:tcBorders>
              <w:bottom w:val="single" w:sz="4" w:space="0" w:color="auto"/>
            </w:tcBorders>
            <w:hideMark/>
          </w:tcPr>
          <w:p w14:paraId="0A8D7787" w14:textId="2B4E1B22" w:rsidR="00A36763" w:rsidRPr="002029AF" w:rsidRDefault="00A36763" w:rsidP="00A36763">
            <w:pPr>
              <w:pStyle w:val="ARfintablebodybold"/>
              <w:rPr>
                <w:lang w:eastAsia="en-GB"/>
              </w:rPr>
            </w:pPr>
            <w:r w:rsidRPr="00D16CA0">
              <w:t>Total administered income</w:t>
            </w:r>
          </w:p>
        </w:tc>
        <w:tc>
          <w:tcPr>
            <w:tcW w:w="1134" w:type="dxa"/>
            <w:tcBorders>
              <w:bottom w:val="single" w:sz="4" w:space="0" w:color="auto"/>
            </w:tcBorders>
            <w:hideMark/>
          </w:tcPr>
          <w:p w14:paraId="702F2731" w14:textId="67EFDBAE" w:rsidR="00A36763" w:rsidRPr="002029AF" w:rsidRDefault="00A36763" w:rsidP="00A36763">
            <w:pPr>
              <w:pStyle w:val="ARfintablebodyrightbold"/>
              <w:rPr>
                <w:lang w:eastAsia="en-GB"/>
              </w:rPr>
            </w:pPr>
            <w:r w:rsidRPr="00D16CA0">
              <w:t>14,444</w:t>
            </w:r>
          </w:p>
        </w:tc>
        <w:tc>
          <w:tcPr>
            <w:tcW w:w="1134" w:type="dxa"/>
            <w:tcBorders>
              <w:bottom w:val="single" w:sz="4" w:space="0" w:color="auto"/>
            </w:tcBorders>
          </w:tcPr>
          <w:p w14:paraId="1C69AEF4" w14:textId="57E3A80B" w:rsidR="00A36763" w:rsidRPr="002029AF" w:rsidRDefault="00A36763" w:rsidP="00A36763">
            <w:pPr>
              <w:pStyle w:val="ARfintablebodyrightbold"/>
              <w:rPr>
                <w:lang w:eastAsia="en-GB"/>
              </w:rPr>
            </w:pPr>
            <w:r w:rsidRPr="00D16CA0">
              <w:t>15,062</w:t>
            </w:r>
          </w:p>
        </w:tc>
        <w:tc>
          <w:tcPr>
            <w:tcW w:w="1134" w:type="dxa"/>
            <w:tcBorders>
              <w:bottom w:val="single" w:sz="4" w:space="0" w:color="auto"/>
            </w:tcBorders>
            <w:hideMark/>
          </w:tcPr>
          <w:p w14:paraId="5BFF88FF" w14:textId="05CF4EDD" w:rsidR="00A36763" w:rsidRPr="002029AF" w:rsidRDefault="00A36763" w:rsidP="00A36763">
            <w:pPr>
              <w:pStyle w:val="ARfintablebodyrightbold"/>
              <w:rPr>
                <w:lang w:eastAsia="en-GB"/>
              </w:rPr>
            </w:pPr>
            <w:r w:rsidRPr="00D16CA0">
              <w:t>15,120</w:t>
            </w:r>
          </w:p>
        </w:tc>
        <w:tc>
          <w:tcPr>
            <w:tcW w:w="1134" w:type="dxa"/>
            <w:tcBorders>
              <w:bottom w:val="single" w:sz="4" w:space="0" w:color="auto"/>
            </w:tcBorders>
            <w:hideMark/>
          </w:tcPr>
          <w:p w14:paraId="753784C3" w14:textId="14E78442" w:rsidR="00A36763" w:rsidRPr="002029AF" w:rsidRDefault="00A36763" w:rsidP="00A36763">
            <w:pPr>
              <w:pStyle w:val="ARfintablebodyrightbold"/>
              <w:rPr>
                <w:lang w:eastAsia="en-GB"/>
              </w:rPr>
            </w:pPr>
            <w:r w:rsidRPr="00D16CA0">
              <w:t>(4.5)</w:t>
            </w:r>
          </w:p>
        </w:tc>
        <w:tc>
          <w:tcPr>
            <w:tcW w:w="567" w:type="dxa"/>
            <w:tcBorders>
              <w:bottom w:val="single" w:sz="4" w:space="0" w:color="auto"/>
            </w:tcBorders>
            <w:hideMark/>
          </w:tcPr>
          <w:p w14:paraId="6DED1CC8" w14:textId="77777777" w:rsidR="00A36763" w:rsidRPr="002029AF" w:rsidRDefault="00A36763" w:rsidP="00A36763">
            <w:pPr>
              <w:pStyle w:val="ARfintablebodyright"/>
            </w:pPr>
          </w:p>
        </w:tc>
      </w:tr>
      <w:tr w:rsidR="00A36763" w:rsidRPr="002029AF" w14:paraId="7BF06C77" w14:textId="77777777" w:rsidTr="00A36763">
        <w:tc>
          <w:tcPr>
            <w:tcW w:w="4536" w:type="dxa"/>
            <w:gridSpan w:val="6"/>
            <w:tcBorders>
              <w:top w:val="single" w:sz="4" w:space="0" w:color="auto"/>
              <w:bottom w:val="single" w:sz="4" w:space="0" w:color="A6A6A6"/>
            </w:tcBorders>
          </w:tcPr>
          <w:p w14:paraId="17D9070E" w14:textId="27ADAA29" w:rsidR="00A36763" w:rsidRPr="002029AF" w:rsidRDefault="00A36763" w:rsidP="00A36763">
            <w:pPr>
              <w:pStyle w:val="ARfintablebodybold"/>
              <w:rPr>
                <w:lang w:eastAsia="en-GB"/>
              </w:rPr>
            </w:pPr>
            <w:r w:rsidRPr="00D16CA0">
              <w:t xml:space="preserve">Administered </w:t>
            </w:r>
            <w:r>
              <w:t>e</w:t>
            </w:r>
            <w:r w:rsidRPr="00D16CA0">
              <w:t>xpenses</w:t>
            </w:r>
          </w:p>
        </w:tc>
      </w:tr>
      <w:tr w:rsidR="00A36763" w:rsidRPr="002029AF" w14:paraId="757ED7C5" w14:textId="77777777" w:rsidTr="00A36763">
        <w:tc>
          <w:tcPr>
            <w:tcW w:w="4536" w:type="dxa"/>
            <w:tcBorders>
              <w:top w:val="single" w:sz="4" w:space="0" w:color="A6A6A6"/>
              <w:bottom w:val="single" w:sz="4" w:space="0" w:color="A6A6A6"/>
            </w:tcBorders>
            <w:hideMark/>
          </w:tcPr>
          <w:p w14:paraId="517DFCE7" w14:textId="0B712D34" w:rsidR="00A36763" w:rsidRPr="002029AF" w:rsidRDefault="00A36763" w:rsidP="00A36763">
            <w:pPr>
              <w:pStyle w:val="ARfintablebody"/>
              <w:rPr>
                <w:lang w:eastAsia="en-GB"/>
              </w:rPr>
            </w:pPr>
            <w:r w:rsidRPr="00D16CA0">
              <w:t>Grants and other transfers</w:t>
            </w:r>
          </w:p>
        </w:tc>
        <w:tc>
          <w:tcPr>
            <w:tcW w:w="1134" w:type="dxa"/>
            <w:tcBorders>
              <w:top w:val="single" w:sz="4" w:space="0" w:color="A6A6A6"/>
              <w:bottom w:val="single" w:sz="4" w:space="0" w:color="A6A6A6"/>
            </w:tcBorders>
            <w:hideMark/>
          </w:tcPr>
          <w:p w14:paraId="695C0481" w14:textId="17229C2C" w:rsidR="00A36763" w:rsidRPr="002029AF" w:rsidRDefault="00A36763" w:rsidP="00A36763">
            <w:pPr>
              <w:pStyle w:val="ARfintablebodyright"/>
              <w:rPr>
                <w:lang w:eastAsia="en-GB"/>
              </w:rPr>
            </w:pPr>
            <w:r w:rsidRPr="00D16CA0">
              <w:t>13,413</w:t>
            </w:r>
          </w:p>
        </w:tc>
        <w:tc>
          <w:tcPr>
            <w:tcW w:w="1134" w:type="dxa"/>
            <w:tcBorders>
              <w:top w:val="single" w:sz="4" w:space="0" w:color="A6A6A6"/>
              <w:bottom w:val="single" w:sz="4" w:space="0" w:color="A6A6A6"/>
            </w:tcBorders>
          </w:tcPr>
          <w:p w14:paraId="620A268E" w14:textId="69DA78B1" w:rsidR="00A36763" w:rsidRPr="002029AF" w:rsidRDefault="00A36763" w:rsidP="00A36763">
            <w:pPr>
              <w:pStyle w:val="ARfintablebodyright"/>
              <w:rPr>
                <w:lang w:eastAsia="en-GB"/>
              </w:rPr>
            </w:pPr>
            <w:r w:rsidRPr="00D16CA0">
              <w:t>14,120</w:t>
            </w:r>
          </w:p>
        </w:tc>
        <w:tc>
          <w:tcPr>
            <w:tcW w:w="1134" w:type="dxa"/>
            <w:tcBorders>
              <w:top w:val="single" w:sz="4" w:space="0" w:color="A6A6A6"/>
              <w:bottom w:val="single" w:sz="4" w:space="0" w:color="A6A6A6"/>
            </w:tcBorders>
            <w:hideMark/>
          </w:tcPr>
          <w:p w14:paraId="0A25B9DC" w14:textId="4358255E" w:rsidR="00A36763" w:rsidRPr="002029AF" w:rsidRDefault="00A36763" w:rsidP="00A36763">
            <w:pPr>
              <w:pStyle w:val="ARfintablebodyright"/>
              <w:rPr>
                <w:lang w:eastAsia="en-GB"/>
              </w:rPr>
            </w:pPr>
            <w:r w:rsidRPr="00D16CA0">
              <w:t>13,959</w:t>
            </w:r>
          </w:p>
        </w:tc>
        <w:tc>
          <w:tcPr>
            <w:tcW w:w="1134" w:type="dxa"/>
            <w:tcBorders>
              <w:top w:val="single" w:sz="4" w:space="0" w:color="A6A6A6"/>
              <w:bottom w:val="single" w:sz="4" w:space="0" w:color="A6A6A6"/>
            </w:tcBorders>
            <w:hideMark/>
          </w:tcPr>
          <w:p w14:paraId="6457DD19" w14:textId="7FC834ED" w:rsidR="00A36763" w:rsidRPr="002029AF" w:rsidRDefault="00A36763" w:rsidP="00A36763">
            <w:pPr>
              <w:pStyle w:val="ARfintablebodyright"/>
              <w:rPr>
                <w:lang w:eastAsia="en-GB"/>
              </w:rPr>
            </w:pPr>
            <w:r w:rsidRPr="00D16CA0">
              <w:t>(3.9)</w:t>
            </w:r>
          </w:p>
        </w:tc>
        <w:tc>
          <w:tcPr>
            <w:tcW w:w="567" w:type="dxa"/>
            <w:tcBorders>
              <w:top w:val="single" w:sz="4" w:space="0" w:color="A6A6A6"/>
              <w:bottom w:val="single" w:sz="4" w:space="0" w:color="A6A6A6"/>
            </w:tcBorders>
            <w:hideMark/>
          </w:tcPr>
          <w:p w14:paraId="19CA006B" w14:textId="1E2460E0" w:rsidR="00A36763" w:rsidRPr="002029AF" w:rsidRDefault="00A36763" w:rsidP="00A36763">
            <w:pPr>
              <w:pStyle w:val="ARfintablebodycentrebold"/>
              <w:rPr>
                <w:lang w:eastAsia="en-GB"/>
              </w:rPr>
            </w:pPr>
            <w:r w:rsidRPr="00D16CA0">
              <w:t>(c)</w:t>
            </w:r>
          </w:p>
        </w:tc>
      </w:tr>
      <w:tr w:rsidR="00A36763" w:rsidRPr="002029AF" w14:paraId="5C237578" w14:textId="77777777" w:rsidTr="00A36763">
        <w:tc>
          <w:tcPr>
            <w:tcW w:w="4536" w:type="dxa"/>
            <w:tcBorders>
              <w:top w:val="single" w:sz="4" w:space="0" w:color="A6A6A6"/>
              <w:bottom w:val="single" w:sz="4" w:space="0" w:color="A6A6A6"/>
            </w:tcBorders>
            <w:hideMark/>
          </w:tcPr>
          <w:p w14:paraId="1E2884AC" w14:textId="0326BB76" w:rsidR="00A36763" w:rsidRPr="002029AF" w:rsidRDefault="00A36763" w:rsidP="00A36763">
            <w:pPr>
              <w:pStyle w:val="ARfintablebody"/>
              <w:rPr>
                <w:lang w:eastAsia="en-GB"/>
              </w:rPr>
            </w:pPr>
            <w:r w:rsidRPr="00D16CA0">
              <w:t>Payments into consolidated fund</w:t>
            </w:r>
          </w:p>
        </w:tc>
        <w:tc>
          <w:tcPr>
            <w:tcW w:w="1134" w:type="dxa"/>
            <w:tcBorders>
              <w:top w:val="single" w:sz="4" w:space="0" w:color="A6A6A6"/>
              <w:bottom w:val="single" w:sz="4" w:space="0" w:color="A6A6A6"/>
            </w:tcBorders>
            <w:hideMark/>
          </w:tcPr>
          <w:p w14:paraId="137687BD" w14:textId="0BFF877A" w:rsidR="00A36763" w:rsidRPr="002029AF" w:rsidRDefault="00A36763" w:rsidP="00A36763">
            <w:pPr>
              <w:pStyle w:val="ARfintablebodyright"/>
              <w:rPr>
                <w:lang w:eastAsia="en-GB"/>
              </w:rPr>
            </w:pPr>
            <w:r w:rsidRPr="00D16CA0">
              <w:t>507</w:t>
            </w:r>
          </w:p>
        </w:tc>
        <w:tc>
          <w:tcPr>
            <w:tcW w:w="1134" w:type="dxa"/>
            <w:tcBorders>
              <w:top w:val="single" w:sz="4" w:space="0" w:color="A6A6A6"/>
              <w:bottom w:val="single" w:sz="4" w:space="0" w:color="A6A6A6"/>
            </w:tcBorders>
          </w:tcPr>
          <w:p w14:paraId="5B2C8639" w14:textId="5B36C38E" w:rsidR="00A36763" w:rsidRPr="002029AF" w:rsidRDefault="00A36763" w:rsidP="00A36763">
            <w:pPr>
              <w:pStyle w:val="ARfintablebodyright"/>
              <w:rPr>
                <w:lang w:eastAsia="en-GB"/>
              </w:rPr>
            </w:pPr>
            <w:r w:rsidRPr="00D16CA0">
              <w:t>424</w:t>
            </w:r>
          </w:p>
        </w:tc>
        <w:tc>
          <w:tcPr>
            <w:tcW w:w="1134" w:type="dxa"/>
            <w:tcBorders>
              <w:top w:val="single" w:sz="4" w:space="0" w:color="A6A6A6"/>
              <w:bottom w:val="single" w:sz="4" w:space="0" w:color="A6A6A6"/>
            </w:tcBorders>
            <w:hideMark/>
          </w:tcPr>
          <w:p w14:paraId="45421B8D" w14:textId="115C33E4" w:rsidR="00A36763" w:rsidRPr="002029AF" w:rsidRDefault="00A36763" w:rsidP="00A36763">
            <w:pPr>
              <w:pStyle w:val="ARfintablebodyright"/>
              <w:rPr>
                <w:lang w:eastAsia="en-GB"/>
              </w:rPr>
            </w:pPr>
            <w:r w:rsidRPr="00D16CA0">
              <w:t>476</w:t>
            </w:r>
          </w:p>
        </w:tc>
        <w:tc>
          <w:tcPr>
            <w:tcW w:w="1134" w:type="dxa"/>
            <w:tcBorders>
              <w:top w:val="single" w:sz="4" w:space="0" w:color="A6A6A6"/>
              <w:bottom w:val="single" w:sz="4" w:space="0" w:color="A6A6A6"/>
            </w:tcBorders>
            <w:hideMark/>
          </w:tcPr>
          <w:p w14:paraId="1427CB6A" w14:textId="3331CF93" w:rsidR="00A36763" w:rsidRPr="002029AF" w:rsidRDefault="00A36763" w:rsidP="00A36763">
            <w:pPr>
              <w:pStyle w:val="ARfintablebodyright"/>
              <w:rPr>
                <w:lang w:eastAsia="en-GB"/>
              </w:rPr>
            </w:pPr>
            <w:r w:rsidRPr="00D16CA0">
              <w:t>6.5</w:t>
            </w:r>
          </w:p>
        </w:tc>
        <w:tc>
          <w:tcPr>
            <w:tcW w:w="567" w:type="dxa"/>
            <w:tcBorders>
              <w:top w:val="single" w:sz="4" w:space="0" w:color="A6A6A6"/>
              <w:bottom w:val="single" w:sz="4" w:space="0" w:color="A6A6A6"/>
            </w:tcBorders>
            <w:hideMark/>
          </w:tcPr>
          <w:p w14:paraId="55B35728" w14:textId="375F8AA0" w:rsidR="00A36763" w:rsidRPr="002029AF" w:rsidRDefault="00A36763" w:rsidP="00A36763">
            <w:pPr>
              <w:pStyle w:val="ARfintablebodyrightbold"/>
              <w:rPr>
                <w:lang w:eastAsia="en-GB"/>
              </w:rPr>
            </w:pPr>
          </w:p>
        </w:tc>
      </w:tr>
      <w:tr w:rsidR="00A36763" w:rsidRPr="002029AF" w14:paraId="13A680DA" w14:textId="77777777" w:rsidTr="00A36763">
        <w:tc>
          <w:tcPr>
            <w:tcW w:w="4536" w:type="dxa"/>
            <w:tcBorders>
              <w:top w:val="single" w:sz="4" w:space="0" w:color="A6A6A6"/>
            </w:tcBorders>
            <w:hideMark/>
          </w:tcPr>
          <w:p w14:paraId="575E5190" w14:textId="0A86FDAF" w:rsidR="00A36763" w:rsidRPr="002029AF" w:rsidRDefault="00A36763" w:rsidP="00A36763">
            <w:pPr>
              <w:pStyle w:val="ARfintablebody"/>
              <w:rPr>
                <w:lang w:eastAsia="en-GB"/>
              </w:rPr>
            </w:pPr>
            <w:r w:rsidRPr="00D16CA0">
              <w:t>Expenses on behalf of the state</w:t>
            </w:r>
          </w:p>
        </w:tc>
        <w:tc>
          <w:tcPr>
            <w:tcW w:w="1134" w:type="dxa"/>
            <w:tcBorders>
              <w:top w:val="single" w:sz="4" w:space="0" w:color="A6A6A6"/>
            </w:tcBorders>
            <w:hideMark/>
          </w:tcPr>
          <w:p w14:paraId="586BDA67" w14:textId="71E9A294" w:rsidR="00A36763" w:rsidRPr="002029AF" w:rsidRDefault="00A36763" w:rsidP="00A36763">
            <w:pPr>
              <w:pStyle w:val="ARfintablebodyright"/>
              <w:rPr>
                <w:lang w:eastAsia="en-GB"/>
              </w:rPr>
            </w:pPr>
            <w:r w:rsidRPr="00D16CA0">
              <w:t>861</w:t>
            </w:r>
          </w:p>
        </w:tc>
        <w:tc>
          <w:tcPr>
            <w:tcW w:w="1134" w:type="dxa"/>
            <w:tcBorders>
              <w:top w:val="single" w:sz="4" w:space="0" w:color="A6A6A6"/>
            </w:tcBorders>
          </w:tcPr>
          <w:p w14:paraId="0F93A029" w14:textId="782DA3CE" w:rsidR="00A36763" w:rsidRPr="002029AF" w:rsidRDefault="00A36763" w:rsidP="00A36763">
            <w:pPr>
              <w:pStyle w:val="ARfintablebodyright"/>
              <w:rPr>
                <w:lang w:eastAsia="en-GB"/>
              </w:rPr>
            </w:pPr>
            <w:r w:rsidRPr="00D16CA0">
              <w:t>855</w:t>
            </w:r>
          </w:p>
        </w:tc>
        <w:tc>
          <w:tcPr>
            <w:tcW w:w="1134" w:type="dxa"/>
            <w:tcBorders>
              <w:top w:val="single" w:sz="4" w:space="0" w:color="A6A6A6"/>
            </w:tcBorders>
            <w:hideMark/>
          </w:tcPr>
          <w:p w14:paraId="3CA67A22" w14:textId="289A6011" w:rsidR="00A36763" w:rsidRPr="002029AF" w:rsidRDefault="00A36763" w:rsidP="00A36763">
            <w:pPr>
              <w:pStyle w:val="ARfintablebodyright"/>
              <w:rPr>
                <w:lang w:eastAsia="en-GB"/>
              </w:rPr>
            </w:pPr>
            <w:r w:rsidRPr="00D16CA0">
              <w:t>958</w:t>
            </w:r>
          </w:p>
        </w:tc>
        <w:tc>
          <w:tcPr>
            <w:tcW w:w="1134" w:type="dxa"/>
            <w:tcBorders>
              <w:top w:val="single" w:sz="4" w:space="0" w:color="A6A6A6"/>
            </w:tcBorders>
            <w:hideMark/>
          </w:tcPr>
          <w:p w14:paraId="59A84696" w14:textId="306395B5" w:rsidR="00A36763" w:rsidRPr="002029AF" w:rsidRDefault="00A36763" w:rsidP="00A36763">
            <w:pPr>
              <w:pStyle w:val="ARfintablebodyright"/>
              <w:rPr>
                <w:lang w:eastAsia="en-GB"/>
              </w:rPr>
            </w:pPr>
            <w:r w:rsidRPr="00D16CA0">
              <w:t>(10.2)</w:t>
            </w:r>
          </w:p>
        </w:tc>
        <w:tc>
          <w:tcPr>
            <w:tcW w:w="567" w:type="dxa"/>
            <w:tcBorders>
              <w:top w:val="single" w:sz="4" w:space="0" w:color="A6A6A6"/>
            </w:tcBorders>
            <w:hideMark/>
          </w:tcPr>
          <w:p w14:paraId="27A8D956" w14:textId="77777777" w:rsidR="00A36763" w:rsidRPr="002029AF" w:rsidRDefault="00A36763" w:rsidP="00A36763">
            <w:pPr>
              <w:pStyle w:val="ARfintablebodyright"/>
              <w:rPr>
                <w:lang w:eastAsia="en-GB"/>
              </w:rPr>
            </w:pPr>
          </w:p>
        </w:tc>
      </w:tr>
      <w:tr w:rsidR="00A36763" w:rsidRPr="002029AF" w14:paraId="7D5908F9" w14:textId="77777777" w:rsidTr="00A36763">
        <w:tc>
          <w:tcPr>
            <w:tcW w:w="4536" w:type="dxa"/>
            <w:hideMark/>
          </w:tcPr>
          <w:p w14:paraId="75A9DF0B" w14:textId="14407CDF" w:rsidR="00A36763" w:rsidRPr="002029AF" w:rsidRDefault="00A36763" w:rsidP="00A36763">
            <w:pPr>
              <w:pStyle w:val="ARfintablebodybold"/>
              <w:rPr>
                <w:lang w:eastAsia="en-GB"/>
              </w:rPr>
            </w:pPr>
            <w:r w:rsidRPr="00D16CA0">
              <w:t>Total administered expenses</w:t>
            </w:r>
          </w:p>
        </w:tc>
        <w:tc>
          <w:tcPr>
            <w:tcW w:w="1134" w:type="dxa"/>
            <w:hideMark/>
          </w:tcPr>
          <w:p w14:paraId="10DE9D83" w14:textId="590ED441" w:rsidR="00A36763" w:rsidRPr="002029AF" w:rsidRDefault="00A36763" w:rsidP="00A36763">
            <w:pPr>
              <w:pStyle w:val="ARfintablebodyrightbold"/>
              <w:rPr>
                <w:lang w:eastAsia="en-GB"/>
              </w:rPr>
            </w:pPr>
            <w:r w:rsidRPr="00D16CA0">
              <w:t>14,780</w:t>
            </w:r>
          </w:p>
        </w:tc>
        <w:tc>
          <w:tcPr>
            <w:tcW w:w="1134" w:type="dxa"/>
          </w:tcPr>
          <w:p w14:paraId="575F2B69" w14:textId="59892FEE" w:rsidR="00A36763" w:rsidRPr="002029AF" w:rsidRDefault="00A36763" w:rsidP="00A36763">
            <w:pPr>
              <w:pStyle w:val="ARfintablebodyrightbold"/>
              <w:rPr>
                <w:lang w:eastAsia="en-GB"/>
              </w:rPr>
            </w:pPr>
            <w:r w:rsidRPr="00D16CA0">
              <w:t>15,399</w:t>
            </w:r>
          </w:p>
        </w:tc>
        <w:tc>
          <w:tcPr>
            <w:tcW w:w="1134" w:type="dxa"/>
            <w:hideMark/>
          </w:tcPr>
          <w:p w14:paraId="474D6F73" w14:textId="5679A278" w:rsidR="00A36763" w:rsidRPr="002029AF" w:rsidRDefault="00A36763" w:rsidP="00A36763">
            <w:pPr>
              <w:pStyle w:val="ARfintablebodyrightbold"/>
              <w:rPr>
                <w:lang w:eastAsia="en-GB"/>
              </w:rPr>
            </w:pPr>
            <w:r w:rsidRPr="00D16CA0">
              <w:t>15,393</w:t>
            </w:r>
          </w:p>
        </w:tc>
        <w:tc>
          <w:tcPr>
            <w:tcW w:w="1134" w:type="dxa"/>
            <w:hideMark/>
          </w:tcPr>
          <w:p w14:paraId="00B965D9" w14:textId="1A61F77B" w:rsidR="00A36763" w:rsidRPr="002029AF" w:rsidRDefault="00A36763" w:rsidP="00A36763">
            <w:pPr>
              <w:pStyle w:val="ARfintablebodyrightbold"/>
              <w:rPr>
                <w:lang w:eastAsia="en-GB"/>
              </w:rPr>
            </w:pPr>
            <w:r w:rsidRPr="00D16CA0">
              <w:t>(4.0)</w:t>
            </w:r>
          </w:p>
        </w:tc>
        <w:tc>
          <w:tcPr>
            <w:tcW w:w="567" w:type="dxa"/>
            <w:hideMark/>
          </w:tcPr>
          <w:p w14:paraId="6384EBDA" w14:textId="77777777" w:rsidR="00A36763" w:rsidRPr="002029AF" w:rsidRDefault="00A36763" w:rsidP="00A36763">
            <w:pPr>
              <w:pStyle w:val="ARfintablebodyright"/>
              <w:rPr>
                <w:lang w:eastAsia="en-GB"/>
              </w:rPr>
            </w:pPr>
          </w:p>
        </w:tc>
      </w:tr>
      <w:tr w:rsidR="00A36763" w:rsidRPr="002029AF" w14:paraId="1389A5F6" w14:textId="77777777" w:rsidTr="00A36763">
        <w:tc>
          <w:tcPr>
            <w:tcW w:w="4536" w:type="dxa"/>
            <w:tcBorders>
              <w:bottom w:val="single" w:sz="4" w:space="0" w:color="auto"/>
            </w:tcBorders>
            <w:hideMark/>
          </w:tcPr>
          <w:p w14:paraId="5BBA2AA5" w14:textId="6843F919" w:rsidR="00A36763" w:rsidRPr="002029AF" w:rsidRDefault="00A36763" w:rsidP="00A36763">
            <w:pPr>
              <w:pStyle w:val="ARfintablebodybold"/>
              <w:rPr>
                <w:lang w:eastAsia="en-GB"/>
              </w:rPr>
            </w:pPr>
            <w:r w:rsidRPr="00D16CA0">
              <w:t>Income less expenses</w:t>
            </w:r>
          </w:p>
        </w:tc>
        <w:tc>
          <w:tcPr>
            <w:tcW w:w="1134" w:type="dxa"/>
            <w:tcBorders>
              <w:bottom w:val="single" w:sz="4" w:space="0" w:color="auto"/>
            </w:tcBorders>
            <w:hideMark/>
          </w:tcPr>
          <w:p w14:paraId="1002F541" w14:textId="3D873F8A" w:rsidR="00A36763" w:rsidRPr="002029AF" w:rsidRDefault="00A36763" w:rsidP="00A36763">
            <w:pPr>
              <w:pStyle w:val="ARfintablebodyrightbold"/>
              <w:rPr>
                <w:lang w:eastAsia="en-GB"/>
              </w:rPr>
            </w:pPr>
            <w:r w:rsidRPr="00D16CA0">
              <w:t>(336)</w:t>
            </w:r>
          </w:p>
        </w:tc>
        <w:tc>
          <w:tcPr>
            <w:tcW w:w="1134" w:type="dxa"/>
            <w:tcBorders>
              <w:bottom w:val="single" w:sz="4" w:space="0" w:color="auto"/>
            </w:tcBorders>
          </w:tcPr>
          <w:p w14:paraId="287D276E" w14:textId="1A5CE149" w:rsidR="00A36763" w:rsidRPr="002029AF" w:rsidRDefault="00A36763" w:rsidP="00A36763">
            <w:pPr>
              <w:pStyle w:val="ARfintablebodyrightbold"/>
              <w:rPr>
                <w:lang w:eastAsia="en-GB"/>
              </w:rPr>
            </w:pPr>
            <w:r w:rsidRPr="00D16CA0">
              <w:t>(337)</w:t>
            </w:r>
          </w:p>
        </w:tc>
        <w:tc>
          <w:tcPr>
            <w:tcW w:w="1134" w:type="dxa"/>
            <w:tcBorders>
              <w:bottom w:val="single" w:sz="4" w:space="0" w:color="auto"/>
            </w:tcBorders>
            <w:hideMark/>
          </w:tcPr>
          <w:p w14:paraId="5C877503" w14:textId="1C9CBEED" w:rsidR="00A36763" w:rsidRPr="002029AF" w:rsidRDefault="00A36763" w:rsidP="00A36763">
            <w:pPr>
              <w:pStyle w:val="ARfintablebodyrightbold"/>
              <w:rPr>
                <w:lang w:eastAsia="en-GB"/>
              </w:rPr>
            </w:pPr>
            <w:r w:rsidRPr="00D16CA0">
              <w:t>(272)</w:t>
            </w:r>
          </w:p>
        </w:tc>
        <w:tc>
          <w:tcPr>
            <w:tcW w:w="1134" w:type="dxa"/>
            <w:tcBorders>
              <w:bottom w:val="single" w:sz="4" w:space="0" w:color="auto"/>
            </w:tcBorders>
            <w:hideMark/>
          </w:tcPr>
          <w:p w14:paraId="53A0C8FC" w14:textId="18B45936" w:rsidR="00A36763" w:rsidRPr="002029AF" w:rsidRDefault="00A36763" w:rsidP="00A36763">
            <w:pPr>
              <w:pStyle w:val="ARfintablebodyrightbold"/>
              <w:rPr>
                <w:lang w:eastAsia="en-GB"/>
              </w:rPr>
            </w:pPr>
            <w:r w:rsidRPr="00D16CA0">
              <w:t>23.3</w:t>
            </w:r>
          </w:p>
        </w:tc>
        <w:tc>
          <w:tcPr>
            <w:tcW w:w="567" w:type="dxa"/>
            <w:tcBorders>
              <w:bottom w:val="single" w:sz="4" w:space="0" w:color="auto"/>
            </w:tcBorders>
            <w:hideMark/>
          </w:tcPr>
          <w:p w14:paraId="5A4B3DAB" w14:textId="77777777" w:rsidR="00A36763" w:rsidRPr="002029AF" w:rsidRDefault="00A36763" w:rsidP="00A36763">
            <w:pPr>
              <w:pStyle w:val="ARfintablebodyright"/>
              <w:rPr>
                <w:lang w:eastAsia="en-GB"/>
              </w:rPr>
            </w:pPr>
          </w:p>
        </w:tc>
      </w:tr>
      <w:tr w:rsidR="00A36763" w:rsidRPr="002029AF" w14:paraId="68BFA9A6" w14:textId="77777777" w:rsidTr="00A36763">
        <w:tc>
          <w:tcPr>
            <w:tcW w:w="4536" w:type="dxa"/>
            <w:gridSpan w:val="6"/>
            <w:tcBorders>
              <w:top w:val="single" w:sz="4" w:space="0" w:color="auto"/>
              <w:bottom w:val="single" w:sz="4" w:space="0" w:color="A6A6A6"/>
            </w:tcBorders>
          </w:tcPr>
          <w:p w14:paraId="22B083DE" w14:textId="7A4E478B" w:rsidR="00A36763" w:rsidRPr="002029AF" w:rsidRDefault="00A36763" w:rsidP="00A36763">
            <w:pPr>
              <w:pStyle w:val="ARfintablebodybold"/>
              <w:rPr>
                <w:lang w:eastAsia="en-GB"/>
              </w:rPr>
            </w:pPr>
            <w:r w:rsidRPr="00D16CA0">
              <w:t>Other economic flows included in net result</w:t>
            </w:r>
          </w:p>
        </w:tc>
      </w:tr>
      <w:tr w:rsidR="00A36763" w:rsidRPr="002029AF" w14:paraId="53554DF9" w14:textId="77777777" w:rsidTr="00A36763">
        <w:tc>
          <w:tcPr>
            <w:tcW w:w="4536" w:type="dxa"/>
            <w:tcBorders>
              <w:top w:val="single" w:sz="4" w:space="0" w:color="A6A6A6"/>
            </w:tcBorders>
            <w:hideMark/>
          </w:tcPr>
          <w:p w14:paraId="0A7EE9D0" w14:textId="44A2809B" w:rsidR="00A36763" w:rsidRPr="002029AF" w:rsidRDefault="00A36763" w:rsidP="00A36763">
            <w:pPr>
              <w:pStyle w:val="ARfintablebody"/>
              <w:rPr>
                <w:lang w:eastAsia="en-GB"/>
              </w:rPr>
            </w:pPr>
            <w:r w:rsidRPr="00D16CA0">
              <w:t>Net gain/(loss) on non-financial assets</w:t>
            </w:r>
          </w:p>
        </w:tc>
        <w:tc>
          <w:tcPr>
            <w:tcW w:w="1134" w:type="dxa"/>
            <w:tcBorders>
              <w:top w:val="single" w:sz="4" w:space="0" w:color="A6A6A6"/>
            </w:tcBorders>
            <w:hideMark/>
          </w:tcPr>
          <w:p w14:paraId="41DC8BFB" w14:textId="2D0E750F" w:rsidR="00A36763" w:rsidRPr="002029AF" w:rsidRDefault="00A36763" w:rsidP="00A36763">
            <w:pPr>
              <w:pStyle w:val="ARfintablebodyright"/>
              <w:rPr>
                <w:lang w:eastAsia="en-GB"/>
              </w:rPr>
            </w:pPr>
            <w:r w:rsidRPr="00D16CA0">
              <w:t>(9)</w:t>
            </w:r>
          </w:p>
        </w:tc>
        <w:tc>
          <w:tcPr>
            <w:tcW w:w="1134" w:type="dxa"/>
            <w:tcBorders>
              <w:top w:val="single" w:sz="4" w:space="0" w:color="A6A6A6"/>
            </w:tcBorders>
          </w:tcPr>
          <w:p w14:paraId="1CAC9C75" w14:textId="00CEEB0E" w:rsidR="00A36763" w:rsidRPr="002029AF" w:rsidRDefault="00A36763" w:rsidP="00A36763">
            <w:pPr>
              <w:pStyle w:val="ARfintablebodyright"/>
              <w:rPr>
                <w:lang w:eastAsia="en-GB"/>
              </w:rPr>
            </w:pPr>
            <w:r w:rsidRPr="00D16CA0">
              <w:t>2</w:t>
            </w:r>
          </w:p>
        </w:tc>
        <w:tc>
          <w:tcPr>
            <w:tcW w:w="1134" w:type="dxa"/>
            <w:tcBorders>
              <w:top w:val="single" w:sz="4" w:space="0" w:color="A6A6A6"/>
            </w:tcBorders>
            <w:hideMark/>
          </w:tcPr>
          <w:p w14:paraId="44F2F799" w14:textId="5E4F9302" w:rsidR="00A36763" w:rsidRPr="002029AF" w:rsidRDefault="00A36763" w:rsidP="00A36763">
            <w:pPr>
              <w:pStyle w:val="ARfintablebodyright"/>
              <w:rPr>
                <w:lang w:eastAsia="en-GB"/>
              </w:rPr>
            </w:pPr>
            <w:r w:rsidRPr="00D16CA0">
              <w:t>8</w:t>
            </w:r>
          </w:p>
        </w:tc>
        <w:tc>
          <w:tcPr>
            <w:tcW w:w="1134" w:type="dxa"/>
            <w:tcBorders>
              <w:top w:val="single" w:sz="4" w:space="0" w:color="A6A6A6"/>
            </w:tcBorders>
            <w:hideMark/>
          </w:tcPr>
          <w:p w14:paraId="38117323" w14:textId="5D9B5DB5" w:rsidR="00A36763" w:rsidRPr="002029AF" w:rsidRDefault="00A36763" w:rsidP="00A36763">
            <w:pPr>
              <w:pStyle w:val="ARfintablebodyright"/>
              <w:rPr>
                <w:lang w:eastAsia="en-GB"/>
              </w:rPr>
            </w:pPr>
            <w:r w:rsidRPr="00D16CA0">
              <w:t>(216.9)</w:t>
            </w:r>
          </w:p>
        </w:tc>
        <w:tc>
          <w:tcPr>
            <w:tcW w:w="567" w:type="dxa"/>
            <w:tcBorders>
              <w:top w:val="single" w:sz="4" w:space="0" w:color="A6A6A6"/>
            </w:tcBorders>
            <w:hideMark/>
          </w:tcPr>
          <w:p w14:paraId="107AD54B" w14:textId="77777777" w:rsidR="00A36763" w:rsidRPr="002029AF" w:rsidRDefault="00A36763" w:rsidP="00A36763">
            <w:pPr>
              <w:pStyle w:val="ARfintablebodyright"/>
              <w:rPr>
                <w:lang w:eastAsia="en-GB"/>
              </w:rPr>
            </w:pPr>
          </w:p>
        </w:tc>
      </w:tr>
      <w:tr w:rsidR="00A36763" w:rsidRPr="002029AF" w14:paraId="789DD716" w14:textId="77777777" w:rsidTr="00A36763">
        <w:tc>
          <w:tcPr>
            <w:tcW w:w="4536" w:type="dxa"/>
            <w:hideMark/>
          </w:tcPr>
          <w:p w14:paraId="0A9D3E59" w14:textId="7EF33F7D" w:rsidR="00A36763" w:rsidRPr="002029AF" w:rsidRDefault="00A36763" w:rsidP="00A36763">
            <w:pPr>
              <w:pStyle w:val="ARfintablebodybold"/>
              <w:rPr>
                <w:lang w:eastAsia="en-GB"/>
              </w:rPr>
            </w:pPr>
            <w:r w:rsidRPr="00D16CA0">
              <w:t>Total other economic flows included in net result</w:t>
            </w:r>
          </w:p>
        </w:tc>
        <w:tc>
          <w:tcPr>
            <w:tcW w:w="1134" w:type="dxa"/>
            <w:hideMark/>
          </w:tcPr>
          <w:p w14:paraId="4D6D9D98" w14:textId="6E34C70E" w:rsidR="00A36763" w:rsidRPr="002029AF" w:rsidRDefault="00A36763" w:rsidP="00A36763">
            <w:pPr>
              <w:pStyle w:val="ARfintablebodyrightbold"/>
              <w:rPr>
                <w:lang w:eastAsia="en-GB"/>
              </w:rPr>
            </w:pPr>
            <w:r w:rsidRPr="00D16CA0">
              <w:t>(9)</w:t>
            </w:r>
          </w:p>
        </w:tc>
        <w:tc>
          <w:tcPr>
            <w:tcW w:w="1134" w:type="dxa"/>
          </w:tcPr>
          <w:p w14:paraId="49B64D71" w14:textId="24E759BB" w:rsidR="00A36763" w:rsidRPr="002029AF" w:rsidRDefault="00A36763" w:rsidP="00A36763">
            <w:pPr>
              <w:pStyle w:val="ARfintablebodyrightbold"/>
              <w:rPr>
                <w:lang w:eastAsia="en-GB"/>
              </w:rPr>
            </w:pPr>
            <w:r w:rsidRPr="00D16CA0">
              <w:t>2</w:t>
            </w:r>
          </w:p>
        </w:tc>
        <w:tc>
          <w:tcPr>
            <w:tcW w:w="1134" w:type="dxa"/>
            <w:hideMark/>
          </w:tcPr>
          <w:p w14:paraId="0143B214" w14:textId="36CAE95D" w:rsidR="00A36763" w:rsidRPr="002029AF" w:rsidRDefault="00A36763" w:rsidP="00A36763">
            <w:pPr>
              <w:pStyle w:val="ARfintablebodyrightbold"/>
              <w:rPr>
                <w:lang w:eastAsia="en-GB"/>
              </w:rPr>
            </w:pPr>
            <w:r w:rsidRPr="00D16CA0">
              <w:t>8</w:t>
            </w:r>
          </w:p>
        </w:tc>
        <w:tc>
          <w:tcPr>
            <w:tcW w:w="1134" w:type="dxa"/>
            <w:hideMark/>
          </w:tcPr>
          <w:p w14:paraId="1D136549" w14:textId="14CA274E" w:rsidR="00A36763" w:rsidRPr="002029AF" w:rsidRDefault="00A36763" w:rsidP="00A36763">
            <w:pPr>
              <w:pStyle w:val="ARfintablebodyrightbold"/>
              <w:rPr>
                <w:lang w:eastAsia="en-GB"/>
              </w:rPr>
            </w:pPr>
            <w:r w:rsidRPr="00D16CA0">
              <w:t>(216.9)</w:t>
            </w:r>
          </w:p>
        </w:tc>
        <w:tc>
          <w:tcPr>
            <w:tcW w:w="567" w:type="dxa"/>
            <w:hideMark/>
          </w:tcPr>
          <w:p w14:paraId="0C2167F5" w14:textId="77777777" w:rsidR="00A36763" w:rsidRPr="002029AF" w:rsidRDefault="00A36763" w:rsidP="00A36763">
            <w:pPr>
              <w:pStyle w:val="ARfintablebodyright"/>
              <w:rPr>
                <w:lang w:eastAsia="en-GB"/>
              </w:rPr>
            </w:pPr>
          </w:p>
        </w:tc>
      </w:tr>
      <w:tr w:rsidR="00A36763" w:rsidRPr="002029AF" w14:paraId="78DE2C79" w14:textId="77777777" w:rsidTr="00A36763">
        <w:tc>
          <w:tcPr>
            <w:tcW w:w="4536" w:type="dxa"/>
            <w:hideMark/>
          </w:tcPr>
          <w:p w14:paraId="5A516E93" w14:textId="3D0C89EC" w:rsidR="00A36763" w:rsidRPr="002029AF" w:rsidRDefault="00A36763" w:rsidP="00A36763">
            <w:pPr>
              <w:pStyle w:val="ARfintablebodybold"/>
              <w:rPr>
                <w:lang w:eastAsia="en-GB"/>
              </w:rPr>
            </w:pPr>
            <w:r w:rsidRPr="00D16CA0">
              <w:t>Net result</w:t>
            </w:r>
          </w:p>
        </w:tc>
        <w:tc>
          <w:tcPr>
            <w:tcW w:w="1134" w:type="dxa"/>
            <w:hideMark/>
          </w:tcPr>
          <w:p w14:paraId="010BDE24" w14:textId="0C431444" w:rsidR="00A36763" w:rsidRPr="002029AF" w:rsidRDefault="00A36763" w:rsidP="00A36763">
            <w:pPr>
              <w:pStyle w:val="ARfintablebodyrightbold"/>
              <w:rPr>
                <w:lang w:eastAsia="en-GB"/>
              </w:rPr>
            </w:pPr>
            <w:r w:rsidRPr="00D16CA0">
              <w:t>(345)</w:t>
            </w:r>
          </w:p>
        </w:tc>
        <w:tc>
          <w:tcPr>
            <w:tcW w:w="1134" w:type="dxa"/>
          </w:tcPr>
          <w:p w14:paraId="48CEEEF8" w14:textId="6ACDBCD4" w:rsidR="00A36763" w:rsidRPr="002029AF" w:rsidRDefault="00A36763" w:rsidP="00A36763">
            <w:pPr>
              <w:pStyle w:val="ARfintablebodyrightbold"/>
              <w:rPr>
                <w:lang w:eastAsia="en-GB"/>
              </w:rPr>
            </w:pPr>
            <w:r w:rsidRPr="00D16CA0">
              <w:t>(335)</w:t>
            </w:r>
          </w:p>
        </w:tc>
        <w:tc>
          <w:tcPr>
            <w:tcW w:w="1134" w:type="dxa"/>
            <w:hideMark/>
          </w:tcPr>
          <w:p w14:paraId="3F55AB4C" w14:textId="2130B702" w:rsidR="00A36763" w:rsidRPr="002029AF" w:rsidRDefault="00A36763" w:rsidP="00A36763">
            <w:pPr>
              <w:pStyle w:val="ARfintablebodyrightbold"/>
              <w:rPr>
                <w:lang w:eastAsia="en-GB"/>
              </w:rPr>
            </w:pPr>
            <w:r w:rsidRPr="00D16CA0">
              <w:t>(264)</w:t>
            </w:r>
          </w:p>
        </w:tc>
        <w:tc>
          <w:tcPr>
            <w:tcW w:w="1134" w:type="dxa"/>
            <w:hideMark/>
          </w:tcPr>
          <w:p w14:paraId="5499607F" w14:textId="70445C3A" w:rsidR="00A36763" w:rsidRPr="002029AF" w:rsidRDefault="00A36763" w:rsidP="00A36763">
            <w:pPr>
              <w:pStyle w:val="ARfintablebodyrightbold"/>
              <w:rPr>
                <w:lang w:eastAsia="en-GB"/>
              </w:rPr>
            </w:pPr>
            <w:r w:rsidRPr="00D16CA0">
              <w:t>30.4</w:t>
            </w:r>
          </w:p>
        </w:tc>
        <w:tc>
          <w:tcPr>
            <w:tcW w:w="567" w:type="dxa"/>
            <w:hideMark/>
          </w:tcPr>
          <w:p w14:paraId="1B17BDEF" w14:textId="77777777" w:rsidR="00A36763" w:rsidRPr="002029AF" w:rsidRDefault="00A36763" w:rsidP="00A36763">
            <w:pPr>
              <w:pStyle w:val="ARfintablebodyright"/>
              <w:rPr>
                <w:lang w:eastAsia="en-GB"/>
              </w:rPr>
            </w:pPr>
          </w:p>
        </w:tc>
      </w:tr>
      <w:tr w:rsidR="00A36763" w:rsidRPr="002029AF" w14:paraId="235DEAA4" w14:textId="77777777" w:rsidTr="00A36763">
        <w:tc>
          <w:tcPr>
            <w:tcW w:w="4536" w:type="dxa"/>
            <w:tcBorders>
              <w:bottom w:val="single" w:sz="4" w:space="0" w:color="auto"/>
            </w:tcBorders>
            <w:hideMark/>
          </w:tcPr>
          <w:p w14:paraId="7E5D1610" w14:textId="7699FE39" w:rsidR="00A36763" w:rsidRPr="002029AF" w:rsidRDefault="00A36763" w:rsidP="00A36763">
            <w:pPr>
              <w:pStyle w:val="ARfintablebodybold"/>
              <w:rPr>
                <w:lang w:eastAsia="en-GB"/>
              </w:rPr>
            </w:pPr>
            <w:r w:rsidRPr="00D16CA0">
              <w:t xml:space="preserve">Total </w:t>
            </w:r>
            <w:r>
              <w:t>o</w:t>
            </w:r>
            <w:r w:rsidRPr="00D16CA0">
              <w:t>ther economic flows – other comprehensive income</w:t>
            </w:r>
          </w:p>
        </w:tc>
        <w:tc>
          <w:tcPr>
            <w:tcW w:w="1134" w:type="dxa"/>
            <w:tcBorders>
              <w:bottom w:val="single" w:sz="4" w:space="0" w:color="auto"/>
            </w:tcBorders>
            <w:hideMark/>
          </w:tcPr>
          <w:p w14:paraId="54246A9C" w14:textId="652E3A8B" w:rsidR="00A36763" w:rsidRPr="002029AF" w:rsidRDefault="00C24F8D" w:rsidP="00A36763">
            <w:pPr>
              <w:pStyle w:val="ARfintablebodyrightbold"/>
              <w:rPr>
                <w:lang w:eastAsia="en-GB"/>
              </w:rPr>
            </w:pPr>
            <w:r w:rsidRPr="00C24F8D">
              <w:t>–</w:t>
            </w:r>
          </w:p>
        </w:tc>
        <w:tc>
          <w:tcPr>
            <w:tcW w:w="1134" w:type="dxa"/>
            <w:tcBorders>
              <w:bottom w:val="single" w:sz="4" w:space="0" w:color="auto"/>
            </w:tcBorders>
          </w:tcPr>
          <w:p w14:paraId="69F42364" w14:textId="732665E5" w:rsidR="00A36763" w:rsidRPr="002029AF" w:rsidRDefault="00A36763" w:rsidP="00A36763">
            <w:pPr>
              <w:pStyle w:val="ARfintablebodyrightbold"/>
              <w:rPr>
                <w:lang w:eastAsia="en-GB"/>
              </w:rPr>
            </w:pPr>
            <w:r w:rsidRPr="00D16CA0">
              <w:t>–</w:t>
            </w:r>
          </w:p>
        </w:tc>
        <w:tc>
          <w:tcPr>
            <w:tcW w:w="1134" w:type="dxa"/>
            <w:tcBorders>
              <w:bottom w:val="single" w:sz="4" w:space="0" w:color="auto"/>
            </w:tcBorders>
            <w:hideMark/>
          </w:tcPr>
          <w:p w14:paraId="141AB3D2" w14:textId="1AD57360" w:rsidR="00A36763" w:rsidRPr="002029AF" w:rsidRDefault="00A36763" w:rsidP="00A36763">
            <w:pPr>
              <w:pStyle w:val="ARfintablebodyrightbold"/>
              <w:rPr>
                <w:lang w:eastAsia="en-GB"/>
              </w:rPr>
            </w:pPr>
            <w:r w:rsidRPr="00D16CA0">
              <w:t>–</w:t>
            </w:r>
          </w:p>
        </w:tc>
        <w:tc>
          <w:tcPr>
            <w:tcW w:w="1134" w:type="dxa"/>
            <w:tcBorders>
              <w:bottom w:val="single" w:sz="4" w:space="0" w:color="auto"/>
            </w:tcBorders>
            <w:hideMark/>
          </w:tcPr>
          <w:p w14:paraId="5F714E43" w14:textId="6D82B990" w:rsidR="00A36763" w:rsidRPr="002029AF" w:rsidRDefault="00A36763" w:rsidP="00A36763">
            <w:pPr>
              <w:pStyle w:val="ARfintablebodyrightbold"/>
              <w:rPr>
                <w:lang w:eastAsia="en-GB"/>
              </w:rPr>
            </w:pPr>
            <w:r w:rsidRPr="00D16CA0">
              <w:t>–</w:t>
            </w:r>
          </w:p>
        </w:tc>
        <w:tc>
          <w:tcPr>
            <w:tcW w:w="567" w:type="dxa"/>
            <w:tcBorders>
              <w:bottom w:val="single" w:sz="4" w:space="0" w:color="auto"/>
            </w:tcBorders>
            <w:hideMark/>
          </w:tcPr>
          <w:p w14:paraId="18D44B6A" w14:textId="77777777" w:rsidR="00A36763" w:rsidRPr="002029AF" w:rsidRDefault="00A36763" w:rsidP="00A36763">
            <w:pPr>
              <w:pStyle w:val="ARfintablebodyright"/>
              <w:rPr>
                <w:lang w:eastAsia="en-GB"/>
              </w:rPr>
            </w:pPr>
          </w:p>
        </w:tc>
      </w:tr>
      <w:tr w:rsidR="00A36763" w:rsidRPr="002029AF" w14:paraId="6DBE2AE9" w14:textId="77777777" w:rsidTr="00A36763">
        <w:tc>
          <w:tcPr>
            <w:tcW w:w="4536" w:type="dxa"/>
            <w:tcBorders>
              <w:bottom w:val="single" w:sz="4" w:space="0" w:color="auto"/>
            </w:tcBorders>
          </w:tcPr>
          <w:p w14:paraId="21C634B1" w14:textId="1CCF8AEA" w:rsidR="00A36763" w:rsidRPr="00EF3CB9" w:rsidRDefault="00A36763" w:rsidP="00A36763">
            <w:pPr>
              <w:pStyle w:val="ARfintablebodybold"/>
            </w:pPr>
            <w:r w:rsidRPr="00D16CA0">
              <w:t>Comprehensive result</w:t>
            </w:r>
          </w:p>
        </w:tc>
        <w:tc>
          <w:tcPr>
            <w:tcW w:w="1134" w:type="dxa"/>
            <w:tcBorders>
              <w:bottom w:val="single" w:sz="4" w:space="0" w:color="auto"/>
            </w:tcBorders>
          </w:tcPr>
          <w:p w14:paraId="4BE02B90" w14:textId="618387EA" w:rsidR="00A36763" w:rsidRPr="00EF3CB9" w:rsidRDefault="00A36763" w:rsidP="00A36763">
            <w:pPr>
              <w:pStyle w:val="ARfintablebodyrightbold"/>
            </w:pPr>
            <w:r w:rsidRPr="00D16CA0">
              <w:t>(345)</w:t>
            </w:r>
          </w:p>
        </w:tc>
        <w:tc>
          <w:tcPr>
            <w:tcW w:w="1134" w:type="dxa"/>
            <w:tcBorders>
              <w:bottom w:val="single" w:sz="4" w:space="0" w:color="auto"/>
            </w:tcBorders>
          </w:tcPr>
          <w:p w14:paraId="71F4152B" w14:textId="7E49A018" w:rsidR="00A36763" w:rsidRPr="00EF3CB9" w:rsidRDefault="00A36763" w:rsidP="00A36763">
            <w:pPr>
              <w:pStyle w:val="ARfintablebodyrightbold"/>
            </w:pPr>
            <w:r w:rsidRPr="00D16CA0">
              <w:t>(335)</w:t>
            </w:r>
          </w:p>
        </w:tc>
        <w:tc>
          <w:tcPr>
            <w:tcW w:w="1134" w:type="dxa"/>
            <w:tcBorders>
              <w:bottom w:val="single" w:sz="4" w:space="0" w:color="auto"/>
            </w:tcBorders>
          </w:tcPr>
          <w:p w14:paraId="3BDCF501" w14:textId="471845B0" w:rsidR="00A36763" w:rsidRPr="00EF3CB9" w:rsidRDefault="00A36763" w:rsidP="00A36763">
            <w:pPr>
              <w:pStyle w:val="ARfintablebodyrightbold"/>
            </w:pPr>
            <w:r w:rsidRPr="00D16CA0">
              <w:t>(264)</w:t>
            </w:r>
          </w:p>
        </w:tc>
        <w:tc>
          <w:tcPr>
            <w:tcW w:w="1134" w:type="dxa"/>
            <w:tcBorders>
              <w:bottom w:val="single" w:sz="4" w:space="0" w:color="auto"/>
            </w:tcBorders>
          </w:tcPr>
          <w:p w14:paraId="26AFEDDF" w14:textId="05100CC0" w:rsidR="00A36763" w:rsidRPr="00EF3CB9" w:rsidRDefault="00A36763" w:rsidP="00A36763">
            <w:pPr>
              <w:pStyle w:val="ARfintablebodyrightbold"/>
            </w:pPr>
            <w:r w:rsidRPr="00D16CA0">
              <w:t>30.4</w:t>
            </w:r>
          </w:p>
        </w:tc>
        <w:tc>
          <w:tcPr>
            <w:tcW w:w="567" w:type="dxa"/>
            <w:tcBorders>
              <w:bottom w:val="single" w:sz="4" w:space="0" w:color="auto"/>
            </w:tcBorders>
          </w:tcPr>
          <w:p w14:paraId="46455AEE" w14:textId="77777777" w:rsidR="00A36763" w:rsidRPr="002029AF" w:rsidRDefault="00A36763" w:rsidP="00A36763">
            <w:pPr>
              <w:pStyle w:val="ARfintablebodyright"/>
              <w:rPr>
                <w:lang w:eastAsia="en-GB"/>
              </w:rPr>
            </w:pPr>
          </w:p>
        </w:tc>
      </w:tr>
      <w:tr w:rsidR="00A36763" w:rsidRPr="002029AF" w14:paraId="32405D23" w14:textId="77777777" w:rsidTr="00A36763">
        <w:tc>
          <w:tcPr>
            <w:tcW w:w="4536" w:type="dxa"/>
            <w:gridSpan w:val="6"/>
            <w:tcBorders>
              <w:top w:val="single" w:sz="4" w:space="0" w:color="auto"/>
              <w:bottom w:val="single" w:sz="4" w:space="0" w:color="A6A6A6"/>
            </w:tcBorders>
          </w:tcPr>
          <w:p w14:paraId="64FF53D7" w14:textId="77183EF0" w:rsidR="00A36763" w:rsidRPr="002029AF" w:rsidRDefault="00A36763" w:rsidP="00A36763">
            <w:pPr>
              <w:pStyle w:val="ARfintablebodybold"/>
              <w:rPr>
                <w:lang w:eastAsia="en-GB"/>
              </w:rPr>
            </w:pPr>
            <w:r w:rsidRPr="00D16CA0">
              <w:t xml:space="preserve">Administered </w:t>
            </w:r>
            <w:r>
              <w:t>a</w:t>
            </w:r>
            <w:r w:rsidRPr="00D16CA0">
              <w:t>ssets</w:t>
            </w:r>
          </w:p>
        </w:tc>
      </w:tr>
      <w:tr w:rsidR="00A36763" w:rsidRPr="002029AF" w14:paraId="2FE405A0" w14:textId="77777777" w:rsidTr="00A36763">
        <w:tc>
          <w:tcPr>
            <w:tcW w:w="4536" w:type="dxa"/>
            <w:tcBorders>
              <w:top w:val="single" w:sz="4" w:space="0" w:color="A6A6A6"/>
              <w:bottom w:val="single" w:sz="4" w:space="0" w:color="A6A6A6"/>
            </w:tcBorders>
            <w:hideMark/>
          </w:tcPr>
          <w:p w14:paraId="15ED8336" w14:textId="43B049FE" w:rsidR="00A36763" w:rsidRPr="002029AF" w:rsidRDefault="00A36763" w:rsidP="00A36763">
            <w:pPr>
              <w:pStyle w:val="ARfintablebody"/>
              <w:rPr>
                <w:lang w:eastAsia="en-GB"/>
              </w:rPr>
            </w:pPr>
            <w:r w:rsidRPr="00D16CA0">
              <w:t>Cash and deposits</w:t>
            </w:r>
          </w:p>
        </w:tc>
        <w:tc>
          <w:tcPr>
            <w:tcW w:w="1134" w:type="dxa"/>
            <w:tcBorders>
              <w:top w:val="single" w:sz="4" w:space="0" w:color="A6A6A6"/>
              <w:bottom w:val="single" w:sz="4" w:space="0" w:color="A6A6A6"/>
            </w:tcBorders>
            <w:hideMark/>
          </w:tcPr>
          <w:p w14:paraId="53CF7C8B" w14:textId="4BEB509B" w:rsidR="00A36763" w:rsidRPr="002029AF" w:rsidRDefault="00A36763" w:rsidP="00A36763">
            <w:pPr>
              <w:pStyle w:val="ARfintablebodyright"/>
              <w:rPr>
                <w:lang w:eastAsia="en-GB"/>
              </w:rPr>
            </w:pPr>
            <w:r w:rsidRPr="00D16CA0">
              <w:t>4</w:t>
            </w:r>
          </w:p>
        </w:tc>
        <w:tc>
          <w:tcPr>
            <w:tcW w:w="1134" w:type="dxa"/>
            <w:tcBorders>
              <w:top w:val="single" w:sz="4" w:space="0" w:color="A6A6A6"/>
              <w:bottom w:val="single" w:sz="4" w:space="0" w:color="A6A6A6"/>
            </w:tcBorders>
          </w:tcPr>
          <w:p w14:paraId="6A12CA29" w14:textId="588D10C0" w:rsidR="00A36763" w:rsidRPr="002029AF" w:rsidRDefault="00A36763" w:rsidP="00A36763">
            <w:pPr>
              <w:pStyle w:val="ARfintablebodyright"/>
              <w:rPr>
                <w:lang w:eastAsia="en-GB"/>
              </w:rPr>
            </w:pPr>
            <w:r w:rsidRPr="00D16CA0">
              <w:t>3</w:t>
            </w:r>
          </w:p>
        </w:tc>
        <w:tc>
          <w:tcPr>
            <w:tcW w:w="1134" w:type="dxa"/>
            <w:tcBorders>
              <w:top w:val="single" w:sz="4" w:space="0" w:color="A6A6A6"/>
              <w:bottom w:val="single" w:sz="4" w:space="0" w:color="A6A6A6"/>
            </w:tcBorders>
            <w:hideMark/>
          </w:tcPr>
          <w:p w14:paraId="59E9B6BD" w14:textId="44BDEAE3" w:rsidR="00A36763" w:rsidRPr="002029AF" w:rsidRDefault="00A36763" w:rsidP="00A36763">
            <w:pPr>
              <w:pStyle w:val="ARfintablebodyright"/>
              <w:rPr>
                <w:lang w:eastAsia="en-GB"/>
              </w:rPr>
            </w:pPr>
            <w:r w:rsidRPr="00D16CA0">
              <w:t>3</w:t>
            </w:r>
          </w:p>
        </w:tc>
        <w:tc>
          <w:tcPr>
            <w:tcW w:w="1134" w:type="dxa"/>
            <w:tcBorders>
              <w:top w:val="single" w:sz="4" w:space="0" w:color="A6A6A6"/>
              <w:bottom w:val="single" w:sz="4" w:space="0" w:color="A6A6A6"/>
            </w:tcBorders>
            <w:hideMark/>
          </w:tcPr>
          <w:p w14:paraId="76144D1E" w14:textId="3422EB52" w:rsidR="00A36763" w:rsidRPr="002029AF" w:rsidRDefault="00A36763" w:rsidP="00A36763">
            <w:pPr>
              <w:pStyle w:val="ARfintablebodyright"/>
              <w:rPr>
                <w:lang w:eastAsia="en-GB"/>
              </w:rPr>
            </w:pPr>
            <w:r w:rsidRPr="00D16CA0">
              <w:t>26.0</w:t>
            </w:r>
          </w:p>
        </w:tc>
        <w:tc>
          <w:tcPr>
            <w:tcW w:w="567" w:type="dxa"/>
            <w:tcBorders>
              <w:top w:val="single" w:sz="4" w:space="0" w:color="A6A6A6"/>
              <w:bottom w:val="single" w:sz="4" w:space="0" w:color="A6A6A6"/>
            </w:tcBorders>
            <w:hideMark/>
          </w:tcPr>
          <w:p w14:paraId="03DF7DA6" w14:textId="35D6AB0D" w:rsidR="00A36763" w:rsidRPr="002029AF" w:rsidRDefault="00A36763" w:rsidP="00A36763">
            <w:pPr>
              <w:pStyle w:val="ARfintablebodyrightbold"/>
              <w:rPr>
                <w:lang w:eastAsia="en-GB"/>
              </w:rPr>
            </w:pPr>
          </w:p>
        </w:tc>
      </w:tr>
      <w:tr w:rsidR="00A36763" w:rsidRPr="002029AF" w14:paraId="4CC64A19" w14:textId="77777777" w:rsidTr="00A36763">
        <w:tc>
          <w:tcPr>
            <w:tcW w:w="4536" w:type="dxa"/>
            <w:tcBorders>
              <w:top w:val="single" w:sz="4" w:space="0" w:color="A6A6A6"/>
              <w:bottom w:val="single" w:sz="4" w:space="0" w:color="A6A6A6"/>
            </w:tcBorders>
          </w:tcPr>
          <w:p w14:paraId="0EBD36B1" w14:textId="3AAA77FD" w:rsidR="00A36763" w:rsidRPr="00C86F82" w:rsidRDefault="00A36763" w:rsidP="00A36763">
            <w:pPr>
              <w:pStyle w:val="ARfintablebody"/>
            </w:pPr>
            <w:r w:rsidRPr="00D16CA0">
              <w:t>Receivables</w:t>
            </w:r>
          </w:p>
        </w:tc>
        <w:tc>
          <w:tcPr>
            <w:tcW w:w="1134" w:type="dxa"/>
            <w:tcBorders>
              <w:top w:val="single" w:sz="4" w:space="0" w:color="A6A6A6"/>
              <w:bottom w:val="single" w:sz="4" w:space="0" w:color="A6A6A6"/>
            </w:tcBorders>
          </w:tcPr>
          <w:p w14:paraId="0BE7EB1D" w14:textId="38C9FE86" w:rsidR="00A36763" w:rsidRPr="00C86F82" w:rsidRDefault="00A36763" w:rsidP="00A36763">
            <w:pPr>
              <w:pStyle w:val="ARfintablebodyright"/>
            </w:pPr>
            <w:r w:rsidRPr="00D16CA0">
              <w:t>513</w:t>
            </w:r>
          </w:p>
        </w:tc>
        <w:tc>
          <w:tcPr>
            <w:tcW w:w="1134" w:type="dxa"/>
            <w:tcBorders>
              <w:top w:val="single" w:sz="4" w:space="0" w:color="A6A6A6"/>
              <w:bottom w:val="single" w:sz="4" w:space="0" w:color="A6A6A6"/>
            </w:tcBorders>
          </w:tcPr>
          <w:p w14:paraId="5B335D99" w14:textId="38363DD0" w:rsidR="00A36763" w:rsidRPr="00C86F82" w:rsidRDefault="00A36763" w:rsidP="00A36763">
            <w:pPr>
              <w:pStyle w:val="ARfintablebodyright"/>
            </w:pPr>
            <w:r w:rsidRPr="00D16CA0">
              <w:t>447</w:t>
            </w:r>
          </w:p>
        </w:tc>
        <w:tc>
          <w:tcPr>
            <w:tcW w:w="1134" w:type="dxa"/>
            <w:tcBorders>
              <w:top w:val="single" w:sz="4" w:space="0" w:color="A6A6A6"/>
              <w:bottom w:val="single" w:sz="4" w:space="0" w:color="A6A6A6"/>
            </w:tcBorders>
          </w:tcPr>
          <w:p w14:paraId="5C9A9AE9" w14:textId="13EE13F4" w:rsidR="00A36763" w:rsidRPr="00C86F82" w:rsidRDefault="00A36763" w:rsidP="00A36763">
            <w:pPr>
              <w:pStyle w:val="ARfintablebodyright"/>
            </w:pPr>
            <w:r w:rsidRPr="00D16CA0">
              <w:t>524</w:t>
            </w:r>
          </w:p>
        </w:tc>
        <w:tc>
          <w:tcPr>
            <w:tcW w:w="1134" w:type="dxa"/>
            <w:tcBorders>
              <w:top w:val="single" w:sz="4" w:space="0" w:color="A6A6A6"/>
              <w:bottom w:val="single" w:sz="4" w:space="0" w:color="A6A6A6"/>
            </w:tcBorders>
          </w:tcPr>
          <w:p w14:paraId="3235BECD" w14:textId="2F8044BE" w:rsidR="00A36763" w:rsidRPr="00C86F82" w:rsidRDefault="00A36763" w:rsidP="00A36763">
            <w:pPr>
              <w:pStyle w:val="ARfintablebodyright"/>
            </w:pPr>
            <w:r w:rsidRPr="00D16CA0">
              <w:t>(2.1)</w:t>
            </w:r>
          </w:p>
        </w:tc>
        <w:tc>
          <w:tcPr>
            <w:tcW w:w="567" w:type="dxa"/>
            <w:tcBorders>
              <w:top w:val="single" w:sz="4" w:space="0" w:color="A6A6A6"/>
              <w:bottom w:val="single" w:sz="4" w:space="0" w:color="A6A6A6"/>
            </w:tcBorders>
          </w:tcPr>
          <w:p w14:paraId="52E5965D" w14:textId="77777777" w:rsidR="00A36763" w:rsidRPr="002029AF" w:rsidRDefault="00A36763" w:rsidP="00A36763">
            <w:pPr>
              <w:pStyle w:val="ARfintablebodyrightbold"/>
              <w:rPr>
                <w:lang w:eastAsia="en-GB"/>
              </w:rPr>
            </w:pPr>
          </w:p>
        </w:tc>
      </w:tr>
      <w:tr w:rsidR="00A36763" w:rsidRPr="002029AF" w14:paraId="05F1CA02" w14:textId="77777777" w:rsidTr="00A36763">
        <w:tc>
          <w:tcPr>
            <w:tcW w:w="4536" w:type="dxa"/>
            <w:tcBorders>
              <w:top w:val="single" w:sz="4" w:space="0" w:color="A6A6A6"/>
            </w:tcBorders>
            <w:hideMark/>
          </w:tcPr>
          <w:p w14:paraId="59B88711" w14:textId="54BF0409" w:rsidR="00A36763" w:rsidRPr="002029AF" w:rsidRDefault="00A36763" w:rsidP="00A36763">
            <w:pPr>
              <w:pStyle w:val="ARfintablebody"/>
              <w:rPr>
                <w:lang w:eastAsia="en-GB"/>
              </w:rPr>
            </w:pPr>
            <w:r w:rsidRPr="00D16CA0">
              <w:t>Other financial assets</w:t>
            </w:r>
          </w:p>
        </w:tc>
        <w:tc>
          <w:tcPr>
            <w:tcW w:w="1134" w:type="dxa"/>
            <w:tcBorders>
              <w:top w:val="single" w:sz="4" w:space="0" w:color="A6A6A6"/>
            </w:tcBorders>
            <w:hideMark/>
          </w:tcPr>
          <w:p w14:paraId="17227D02" w14:textId="16F04C64" w:rsidR="00A36763" w:rsidRPr="002029AF" w:rsidRDefault="00A36763" w:rsidP="00A36763">
            <w:pPr>
              <w:pStyle w:val="ARfintablebodyright"/>
              <w:rPr>
                <w:lang w:eastAsia="en-GB"/>
              </w:rPr>
            </w:pPr>
            <w:r w:rsidRPr="00D16CA0">
              <w:t>–</w:t>
            </w:r>
          </w:p>
        </w:tc>
        <w:tc>
          <w:tcPr>
            <w:tcW w:w="1134" w:type="dxa"/>
            <w:tcBorders>
              <w:top w:val="single" w:sz="4" w:space="0" w:color="A6A6A6"/>
            </w:tcBorders>
          </w:tcPr>
          <w:p w14:paraId="2177B488" w14:textId="2EAE5300" w:rsidR="00A36763" w:rsidRPr="002029AF" w:rsidRDefault="00A36763" w:rsidP="00A36763">
            <w:pPr>
              <w:pStyle w:val="ARfintablebodyright"/>
              <w:rPr>
                <w:lang w:eastAsia="en-GB"/>
              </w:rPr>
            </w:pPr>
            <w:r w:rsidRPr="00D16CA0">
              <w:t>–</w:t>
            </w:r>
          </w:p>
        </w:tc>
        <w:tc>
          <w:tcPr>
            <w:tcW w:w="1134" w:type="dxa"/>
            <w:tcBorders>
              <w:top w:val="single" w:sz="4" w:space="0" w:color="A6A6A6"/>
            </w:tcBorders>
            <w:hideMark/>
          </w:tcPr>
          <w:p w14:paraId="2122636F" w14:textId="1D903127" w:rsidR="00A36763" w:rsidRPr="002029AF" w:rsidRDefault="00A36763" w:rsidP="00A36763">
            <w:pPr>
              <w:pStyle w:val="ARfintablebodyright"/>
              <w:rPr>
                <w:lang w:eastAsia="en-GB"/>
              </w:rPr>
            </w:pPr>
            <w:r w:rsidRPr="00D16CA0">
              <w:t>3</w:t>
            </w:r>
          </w:p>
        </w:tc>
        <w:tc>
          <w:tcPr>
            <w:tcW w:w="1134" w:type="dxa"/>
            <w:tcBorders>
              <w:top w:val="single" w:sz="4" w:space="0" w:color="A6A6A6"/>
            </w:tcBorders>
            <w:hideMark/>
          </w:tcPr>
          <w:p w14:paraId="3F4D6B85" w14:textId="6B8E3C1C" w:rsidR="00A36763" w:rsidRPr="002029AF" w:rsidRDefault="00A36763" w:rsidP="00A36763">
            <w:pPr>
              <w:pStyle w:val="ARfintablebodyright"/>
              <w:rPr>
                <w:lang w:eastAsia="en-GB"/>
              </w:rPr>
            </w:pPr>
            <w:r w:rsidRPr="00D16CA0">
              <w:t>–</w:t>
            </w:r>
          </w:p>
        </w:tc>
        <w:tc>
          <w:tcPr>
            <w:tcW w:w="567" w:type="dxa"/>
            <w:tcBorders>
              <w:top w:val="single" w:sz="4" w:space="0" w:color="A6A6A6"/>
            </w:tcBorders>
            <w:hideMark/>
          </w:tcPr>
          <w:p w14:paraId="1822B120" w14:textId="77777777" w:rsidR="00A36763" w:rsidRPr="002029AF" w:rsidRDefault="00A36763" w:rsidP="00A36763">
            <w:pPr>
              <w:pStyle w:val="ARfintablebodyright"/>
              <w:rPr>
                <w:lang w:eastAsia="en-GB"/>
              </w:rPr>
            </w:pPr>
          </w:p>
        </w:tc>
      </w:tr>
      <w:tr w:rsidR="00A36763" w:rsidRPr="002029AF" w14:paraId="0184F256" w14:textId="77777777" w:rsidTr="00A36763">
        <w:tc>
          <w:tcPr>
            <w:tcW w:w="4536" w:type="dxa"/>
            <w:tcBorders>
              <w:bottom w:val="single" w:sz="4" w:space="0" w:color="auto"/>
            </w:tcBorders>
            <w:hideMark/>
          </w:tcPr>
          <w:p w14:paraId="27DF56BD" w14:textId="355B0AA9" w:rsidR="00A36763" w:rsidRPr="002029AF" w:rsidRDefault="00A36763" w:rsidP="00A36763">
            <w:pPr>
              <w:pStyle w:val="ARfintablebodybold"/>
              <w:rPr>
                <w:lang w:eastAsia="en-GB"/>
              </w:rPr>
            </w:pPr>
            <w:r w:rsidRPr="00D16CA0">
              <w:t>Total administered assets</w:t>
            </w:r>
          </w:p>
        </w:tc>
        <w:tc>
          <w:tcPr>
            <w:tcW w:w="1134" w:type="dxa"/>
            <w:tcBorders>
              <w:bottom w:val="single" w:sz="4" w:space="0" w:color="auto"/>
            </w:tcBorders>
            <w:hideMark/>
          </w:tcPr>
          <w:p w14:paraId="3E0F6A5A" w14:textId="3090C439" w:rsidR="00A36763" w:rsidRPr="002029AF" w:rsidRDefault="00A36763" w:rsidP="00A36763">
            <w:pPr>
              <w:pStyle w:val="ARfintablebodyrightbold"/>
              <w:rPr>
                <w:lang w:eastAsia="en-GB"/>
              </w:rPr>
            </w:pPr>
            <w:r w:rsidRPr="00D16CA0">
              <w:t>517</w:t>
            </w:r>
          </w:p>
        </w:tc>
        <w:tc>
          <w:tcPr>
            <w:tcW w:w="1134" w:type="dxa"/>
            <w:tcBorders>
              <w:bottom w:val="single" w:sz="4" w:space="0" w:color="auto"/>
            </w:tcBorders>
          </w:tcPr>
          <w:p w14:paraId="52E5BDF2" w14:textId="5D426E5A" w:rsidR="00A36763" w:rsidRPr="002029AF" w:rsidRDefault="00A36763" w:rsidP="00A36763">
            <w:pPr>
              <w:pStyle w:val="ARfintablebodyrightbold"/>
              <w:rPr>
                <w:lang w:eastAsia="en-GB"/>
              </w:rPr>
            </w:pPr>
            <w:r w:rsidRPr="00D16CA0">
              <w:t>450</w:t>
            </w:r>
          </w:p>
        </w:tc>
        <w:tc>
          <w:tcPr>
            <w:tcW w:w="1134" w:type="dxa"/>
            <w:tcBorders>
              <w:bottom w:val="single" w:sz="4" w:space="0" w:color="auto"/>
            </w:tcBorders>
            <w:hideMark/>
          </w:tcPr>
          <w:p w14:paraId="706FC26E" w14:textId="32AF9720" w:rsidR="00A36763" w:rsidRPr="002029AF" w:rsidRDefault="00A36763" w:rsidP="00A36763">
            <w:pPr>
              <w:pStyle w:val="ARfintablebodyrightbold"/>
              <w:rPr>
                <w:lang w:eastAsia="en-GB"/>
              </w:rPr>
            </w:pPr>
            <w:r w:rsidRPr="00D16CA0">
              <w:t>531</w:t>
            </w:r>
          </w:p>
        </w:tc>
        <w:tc>
          <w:tcPr>
            <w:tcW w:w="1134" w:type="dxa"/>
            <w:tcBorders>
              <w:bottom w:val="single" w:sz="4" w:space="0" w:color="auto"/>
            </w:tcBorders>
            <w:hideMark/>
          </w:tcPr>
          <w:p w14:paraId="0A82D799" w14:textId="22D4AFA4" w:rsidR="00A36763" w:rsidRPr="002029AF" w:rsidRDefault="00A36763" w:rsidP="00A36763">
            <w:pPr>
              <w:pStyle w:val="ARfintablebodyrightbold"/>
              <w:rPr>
                <w:lang w:eastAsia="en-GB"/>
              </w:rPr>
            </w:pPr>
            <w:r w:rsidRPr="00D16CA0">
              <w:t>(2.6)</w:t>
            </w:r>
          </w:p>
        </w:tc>
        <w:tc>
          <w:tcPr>
            <w:tcW w:w="567" w:type="dxa"/>
            <w:tcBorders>
              <w:bottom w:val="single" w:sz="4" w:space="0" w:color="auto"/>
            </w:tcBorders>
            <w:hideMark/>
          </w:tcPr>
          <w:p w14:paraId="5895AFC5" w14:textId="77777777" w:rsidR="00A36763" w:rsidRPr="002029AF" w:rsidRDefault="00A36763" w:rsidP="00A36763">
            <w:pPr>
              <w:pStyle w:val="ARfintablebodyright"/>
              <w:rPr>
                <w:lang w:eastAsia="en-GB"/>
              </w:rPr>
            </w:pPr>
          </w:p>
        </w:tc>
      </w:tr>
      <w:tr w:rsidR="00A36763" w:rsidRPr="002029AF" w14:paraId="237F3EA5" w14:textId="77777777" w:rsidTr="00A36763">
        <w:tc>
          <w:tcPr>
            <w:tcW w:w="4536" w:type="dxa"/>
            <w:gridSpan w:val="6"/>
            <w:tcBorders>
              <w:top w:val="single" w:sz="4" w:space="0" w:color="auto"/>
              <w:bottom w:val="single" w:sz="4" w:space="0" w:color="A6A6A6"/>
            </w:tcBorders>
          </w:tcPr>
          <w:p w14:paraId="64517195" w14:textId="7414060D" w:rsidR="00A36763" w:rsidRPr="002029AF" w:rsidRDefault="00A36763" w:rsidP="00A36763">
            <w:pPr>
              <w:pStyle w:val="ARfintablebodybold"/>
              <w:rPr>
                <w:lang w:eastAsia="en-GB"/>
              </w:rPr>
            </w:pPr>
            <w:r w:rsidRPr="00D16CA0">
              <w:t>Administered liabilities</w:t>
            </w:r>
          </w:p>
        </w:tc>
      </w:tr>
      <w:tr w:rsidR="00A36763" w:rsidRPr="002029AF" w14:paraId="1A180EB9" w14:textId="77777777" w:rsidTr="00A36763">
        <w:tc>
          <w:tcPr>
            <w:tcW w:w="4536" w:type="dxa"/>
            <w:tcBorders>
              <w:top w:val="single" w:sz="4" w:space="0" w:color="A6A6A6"/>
              <w:bottom w:val="single" w:sz="4" w:space="0" w:color="A6A6A6"/>
            </w:tcBorders>
            <w:hideMark/>
          </w:tcPr>
          <w:p w14:paraId="6392F2E4" w14:textId="0B18F3A6" w:rsidR="00A36763" w:rsidRPr="002029AF" w:rsidRDefault="00A36763" w:rsidP="00A36763">
            <w:pPr>
              <w:pStyle w:val="ARfintablebody"/>
              <w:rPr>
                <w:lang w:eastAsia="en-GB"/>
              </w:rPr>
            </w:pPr>
            <w:r w:rsidRPr="00D16CA0">
              <w:t>Payables</w:t>
            </w:r>
          </w:p>
        </w:tc>
        <w:tc>
          <w:tcPr>
            <w:tcW w:w="1134" w:type="dxa"/>
            <w:tcBorders>
              <w:top w:val="single" w:sz="4" w:space="0" w:color="A6A6A6"/>
              <w:bottom w:val="single" w:sz="4" w:space="0" w:color="A6A6A6"/>
            </w:tcBorders>
            <w:hideMark/>
          </w:tcPr>
          <w:p w14:paraId="177D0273" w14:textId="5747D336" w:rsidR="00A36763" w:rsidRPr="002029AF" w:rsidRDefault="00A36763" w:rsidP="00A36763">
            <w:pPr>
              <w:pStyle w:val="ARfintablebodyright"/>
              <w:rPr>
                <w:lang w:eastAsia="en-GB"/>
              </w:rPr>
            </w:pPr>
            <w:r w:rsidRPr="00D16CA0">
              <w:t>511</w:t>
            </w:r>
          </w:p>
        </w:tc>
        <w:tc>
          <w:tcPr>
            <w:tcW w:w="1134" w:type="dxa"/>
            <w:tcBorders>
              <w:top w:val="single" w:sz="4" w:space="0" w:color="A6A6A6"/>
              <w:bottom w:val="single" w:sz="4" w:space="0" w:color="A6A6A6"/>
            </w:tcBorders>
          </w:tcPr>
          <w:p w14:paraId="633AB332" w14:textId="797EA963" w:rsidR="00A36763" w:rsidRPr="002029AF" w:rsidRDefault="00A36763" w:rsidP="00A36763">
            <w:pPr>
              <w:pStyle w:val="ARfintablebodyright"/>
              <w:rPr>
                <w:lang w:eastAsia="en-GB"/>
              </w:rPr>
            </w:pPr>
            <w:r w:rsidRPr="00D16CA0">
              <w:t>434</w:t>
            </w:r>
          </w:p>
        </w:tc>
        <w:tc>
          <w:tcPr>
            <w:tcW w:w="1134" w:type="dxa"/>
            <w:tcBorders>
              <w:top w:val="single" w:sz="4" w:space="0" w:color="A6A6A6"/>
              <w:bottom w:val="single" w:sz="4" w:space="0" w:color="A6A6A6"/>
            </w:tcBorders>
            <w:hideMark/>
          </w:tcPr>
          <w:p w14:paraId="31D3C5A7" w14:textId="0B3534F4" w:rsidR="00A36763" w:rsidRPr="002029AF" w:rsidRDefault="00A36763" w:rsidP="00A36763">
            <w:pPr>
              <w:pStyle w:val="ARfintablebodyright"/>
              <w:rPr>
                <w:lang w:eastAsia="en-GB"/>
              </w:rPr>
            </w:pPr>
            <w:r w:rsidRPr="00D16CA0">
              <w:t>434</w:t>
            </w:r>
          </w:p>
        </w:tc>
        <w:tc>
          <w:tcPr>
            <w:tcW w:w="1134" w:type="dxa"/>
            <w:tcBorders>
              <w:top w:val="single" w:sz="4" w:space="0" w:color="A6A6A6"/>
              <w:bottom w:val="single" w:sz="4" w:space="0" w:color="A6A6A6"/>
            </w:tcBorders>
            <w:hideMark/>
          </w:tcPr>
          <w:p w14:paraId="24526346" w14:textId="133D1D08" w:rsidR="00A36763" w:rsidRPr="002029AF" w:rsidRDefault="00A36763" w:rsidP="00A36763">
            <w:pPr>
              <w:pStyle w:val="ARfintablebodyright"/>
              <w:rPr>
                <w:lang w:eastAsia="en-GB"/>
              </w:rPr>
            </w:pPr>
            <w:r w:rsidRPr="00D16CA0">
              <w:t>17.7</w:t>
            </w:r>
          </w:p>
        </w:tc>
        <w:tc>
          <w:tcPr>
            <w:tcW w:w="567" w:type="dxa"/>
            <w:tcBorders>
              <w:top w:val="single" w:sz="4" w:space="0" w:color="A6A6A6"/>
              <w:bottom w:val="single" w:sz="4" w:space="0" w:color="A6A6A6"/>
            </w:tcBorders>
            <w:hideMark/>
          </w:tcPr>
          <w:p w14:paraId="07B73279" w14:textId="566AEECF" w:rsidR="00A36763" w:rsidRPr="002029AF" w:rsidRDefault="00A36763" w:rsidP="00A36763">
            <w:pPr>
              <w:pStyle w:val="ARfintablebodyrightbold"/>
              <w:rPr>
                <w:lang w:eastAsia="en-GB"/>
              </w:rPr>
            </w:pPr>
          </w:p>
        </w:tc>
      </w:tr>
      <w:tr w:rsidR="00A36763" w:rsidRPr="002029AF" w14:paraId="74EC298A" w14:textId="77777777" w:rsidTr="00A36763">
        <w:tc>
          <w:tcPr>
            <w:tcW w:w="4536" w:type="dxa"/>
            <w:tcBorders>
              <w:top w:val="single" w:sz="4" w:space="0" w:color="A6A6A6"/>
            </w:tcBorders>
            <w:hideMark/>
          </w:tcPr>
          <w:p w14:paraId="27F97C9E" w14:textId="5B23FA9C" w:rsidR="00A36763" w:rsidRPr="002029AF" w:rsidRDefault="00A36763" w:rsidP="00A36763">
            <w:pPr>
              <w:pStyle w:val="ARfintablebody"/>
              <w:rPr>
                <w:lang w:eastAsia="en-GB"/>
              </w:rPr>
            </w:pPr>
            <w:r w:rsidRPr="00D16CA0">
              <w:t>Provisions</w:t>
            </w:r>
          </w:p>
        </w:tc>
        <w:tc>
          <w:tcPr>
            <w:tcW w:w="1134" w:type="dxa"/>
            <w:tcBorders>
              <w:top w:val="single" w:sz="4" w:space="0" w:color="A6A6A6"/>
            </w:tcBorders>
            <w:hideMark/>
          </w:tcPr>
          <w:p w14:paraId="292E6FB9" w14:textId="7E299E93" w:rsidR="00A36763" w:rsidRPr="002029AF" w:rsidRDefault="00A36763" w:rsidP="00A36763">
            <w:pPr>
              <w:pStyle w:val="ARfintablebodyright"/>
              <w:rPr>
                <w:lang w:eastAsia="en-GB"/>
              </w:rPr>
            </w:pPr>
            <w:r w:rsidRPr="00D16CA0">
              <w:t>–</w:t>
            </w:r>
          </w:p>
        </w:tc>
        <w:tc>
          <w:tcPr>
            <w:tcW w:w="1134" w:type="dxa"/>
            <w:tcBorders>
              <w:top w:val="single" w:sz="4" w:space="0" w:color="A6A6A6"/>
            </w:tcBorders>
          </w:tcPr>
          <w:p w14:paraId="432E95FE" w14:textId="54FB3C77" w:rsidR="00A36763" w:rsidRPr="002029AF" w:rsidRDefault="00A36763" w:rsidP="00A36763">
            <w:pPr>
              <w:pStyle w:val="ARfintablebodyright"/>
              <w:rPr>
                <w:lang w:eastAsia="en-GB"/>
              </w:rPr>
            </w:pPr>
            <w:r w:rsidRPr="00D16CA0">
              <w:t>–</w:t>
            </w:r>
          </w:p>
        </w:tc>
        <w:tc>
          <w:tcPr>
            <w:tcW w:w="1134" w:type="dxa"/>
            <w:tcBorders>
              <w:top w:val="single" w:sz="4" w:space="0" w:color="A6A6A6"/>
            </w:tcBorders>
            <w:hideMark/>
          </w:tcPr>
          <w:p w14:paraId="7580DA21" w14:textId="7CA048FE" w:rsidR="00A36763" w:rsidRPr="002029AF" w:rsidRDefault="00A36763" w:rsidP="00A36763">
            <w:pPr>
              <w:pStyle w:val="ARfintablebodyright"/>
              <w:rPr>
                <w:lang w:eastAsia="en-GB"/>
              </w:rPr>
            </w:pPr>
            <w:r w:rsidRPr="00D16CA0">
              <w:t>7</w:t>
            </w:r>
          </w:p>
        </w:tc>
        <w:tc>
          <w:tcPr>
            <w:tcW w:w="1134" w:type="dxa"/>
            <w:tcBorders>
              <w:top w:val="single" w:sz="4" w:space="0" w:color="A6A6A6"/>
            </w:tcBorders>
            <w:hideMark/>
          </w:tcPr>
          <w:p w14:paraId="6B3D2097" w14:textId="752F72F8" w:rsidR="00A36763" w:rsidRPr="002029AF" w:rsidRDefault="00A36763" w:rsidP="00A36763">
            <w:pPr>
              <w:pStyle w:val="ARfintablebodyright"/>
              <w:rPr>
                <w:lang w:eastAsia="en-GB"/>
              </w:rPr>
            </w:pPr>
            <w:r w:rsidRPr="00D16CA0">
              <w:t>–</w:t>
            </w:r>
          </w:p>
        </w:tc>
        <w:tc>
          <w:tcPr>
            <w:tcW w:w="567" w:type="dxa"/>
            <w:tcBorders>
              <w:top w:val="single" w:sz="4" w:space="0" w:color="A6A6A6"/>
            </w:tcBorders>
            <w:hideMark/>
          </w:tcPr>
          <w:p w14:paraId="231843C2" w14:textId="77777777" w:rsidR="00A36763" w:rsidRPr="002029AF" w:rsidRDefault="00A36763" w:rsidP="00A36763">
            <w:pPr>
              <w:pStyle w:val="ARfintablebodyright"/>
              <w:rPr>
                <w:lang w:eastAsia="en-GB"/>
              </w:rPr>
            </w:pPr>
          </w:p>
        </w:tc>
      </w:tr>
      <w:tr w:rsidR="00A36763" w:rsidRPr="002029AF" w14:paraId="3C0BE4C3" w14:textId="77777777" w:rsidTr="00A36763">
        <w:tc>
          <w:tcPr>
            <w:tcW w:w="4536" w:type="dxa"/>
            <w:hideMark/>
          </w:tcPr>
          <w:p w14:paraId="23027896" w14:textId="0268C26E" w:rsidR="00A36763" w:rsidRPr="002029AF" w:rsidRDefault="00A36763" w:rsidP="00A36763">
            <w:pPr>
              <w:pStyle w:val="ARfintablebodybold"/>
              <w:rPr>
                <w:lang w:eastAsia="en-GB"/>
              </w:rPr>
            </w:pPr>
            <w:r w:rsidRPr="00D16CA0">
              <w:t>Total administered liabilities</w:t>
            </w:r>
          </w:p>
        </w:tc>
        <w:tc>
          <w:tcPr>
            <w:tcW w:w="1134" w:type="dxa"/>
            <w:hideMark/>
          </w:tcPr>
          <w:p w14:paraId="30D8EA3C" w14:textId="457F0497" w:rsidR="00A36763" w:rsidRPr="002029AF" w:rsidRDefault="00A36763" w:rsidP="00A36763">
            <w:pPr>
              <w:pStyle w:val="ARfintablebodyrightbold"/>
              <w:rPr>
                <w:lang w:eastAsia="en-GB"/>
              </w:rPr>
            </w:pPr>
            <w:r w:rsidRPr="00D16CA0">
              <w:t>511</w:t>
            </w:r>
          </w:p>
        </w:tc>
        <w:tc>
          <w:tcPr>
            <w:tcW w:w="1134" w:type="dxa"/>
          </w:tcPr>
          <w:p w14:paraId="58B81687" w14:textId="0FDA010C" w:rsidR="00A36763" w:rsidRPr="002029AF" w:rsidRDefault="00A36763" w:rsidP="00A36763">
            <w:pPr>
              <w:pStyle w:val="ARfintablebodyrightbold"/>
              <w:rPr>
                <w:lang w:eastAsia="en-GB"/>
              </w:rPr>
            </w:pPr>
            <w:r w:rsidRPr="00D16CA0">
              <w:t>434</w:t>
            </w:r>
          </w:p>
        </w:tc>
        <w:tc>
          <w:tcPr>
            <w:tcW w:w="1134" w:type="dxa"/>
            <w:hideMark/>
          </w:tcPr>
          <w:p w14:paraId="0C9ECE2D" w14:textId="3DA267D7" w:rsidR="00A36763" w:rsidRPr="002029AF" w:rsidRDefault="00A36763" w:rsidP="00A36763">
            <w:pPr>
              <w:pStyle w:val="ARfintablebodyrightbold"/>
              <w:rPr>
                <w:lang w:eastAsia="en-GB"/>
              </w:rPr>
            </w:pPr>
            <w:r w:rsidRPr="00D16CA0">
              <w:t>441</w:t>
            </w:r>
          </w:p>
        </w:tc>
        <w:tc>
          <w:tcPr>
            <w:tcW w:w="1134" w:type="dxa"/>
            <w:hideMark/>
          </w:tcPr>
          <w:p w14:paraId="435847AC" w14:textId="4F5099D3" w:rsidR="00A36763" w:rsidRPr="002029AF" w:rsidRDefault="00A36763" w:rsidP="00A36763">
            <w:pPr>
              <w:pStyle w:val="ARfintablebodyrightbold"/>
              <w:rPr>
                <w:lang w:eastAsia="en-GB"/>
              </w:rPr>
            </w:pPr>
            <w:r w:rsidRPr="00D16CA0">
              <w:t>15.9</w:t>
            </w:r>
          </w:p>
        </w:tc>
        <w:tc>
          <w:tcPr>
            <w:tcW w:w="567" w:type="dxa"/>
            <w:hideMark/>
          </w:tcPr>
          <w:p w14:paraId="2CC27B96" w14:textId="77777777" w:rsidR="00A36763" w:rsidRPr="002029AF" w:rsidRDefault="00A36763" w:rsidP="00A36763">
            <w:pPr>
              <w:pStyle w:val="ARfintablebodyright"/>
              <w:rPr>
                <w:lang w:eastAsia="en-GB"/>
              </w:rPr>
            </w:pPr>
          </w:p>
        </w:tc>
      </w:tr>
      <w:tr w:rsidR="00A36763" w:rsidRPr="002029AF" w14:paraId="19CB2CAE" w14:textId="77777777" w:rsidTr="00A36763">
        <w:tc>
          <w:tcPr>
            <w:tcW w:w="4536" w:type="dxa"/>
            <w:tcBorders>
              <w:bottom w:val="single" w:sz="4" w:space="0" w:color="auto"/>
            </w:tcBorders>
            <w:hideMark/>
          </w:tcPr>
          <w:p w14:paraId="2F53DA51" w14:textId="0573887F" w:rsidR="00A36763" w:rsidRPr="002029AF" w:rsidRDefault="00A36763" w:rsidP="00A36763">
            <w:pPr>
              <w:pStyle w:val="ARfintablebodybold"/>
              <w:rPr>
                <w:lang w:eastAsia="en-GB"/>
              </w:rPr>
            </w:pPr>
            <w:r w:rsidRPr="00D16CA0">
              <w:t>Net assets</w:t>
            </w:r>
          </w:p>
        </w:tc>
        <w:tc>
          <w:tcPr>
            <w:tcW w:w="1134" w:type="dxa"/>
            <w:tcBorders>
              <w:bottom w:val="single" w:sz="4" w:space="0" w:color="auto"/>
            </w:tcBorders>
            <w:hideMark/>
          </w:tcPr>
          <w:p w14:paraId="3EEB2839" w14:textId="3743076E" w:rsidR="00A36763" w:rsidRPr="002029AF" w:rsidRDefault="00A36763" w:rsidP="00A36763">
            <w:pPr>
              <w:pStyle w:val="ARfintablebodyrightbold"/>
              <w:rPr>
                <w:lang w:eastAsia="en-GB"/>
              </w:rPr>
            </w:pPr>
            <w:r w:rsidRPr="00D16CA0">
              <w:t>6</w:t>
            </w:r>
          </w:p>
        </w:tc>
        <w:tc>
          <w:tcPr>
            <w:tcW w:w="1134" w:type="dxa"/>
            <w:tcBorders>
              <w:bottom w:val="single" w:sz="4" w:space="0" w:color="auto"/>
            </w:tcBorders>
          </w:tcPr>
          <w:p w14:paraId="5A42B627" w14:textId="68E3A2A4" w:rsidR="00A36763" w:rsidRPr="002029AF" w:rsidRDefault="00A36763" w:rsidP="00A36763">
            <w:pPr>
              <w:pStyle w:val="ARfintablebodyrightbold"/>
              <w:rPr>
                <w:lang w:eastAsia="en-GB"/>
              </w:rPr>
            </w:pPr>
            <w:r w:rsidRPr="00D16CA0">
              <w:t>16</w:t>
            </w:r>
          </w:p>
        </w:tc>
        <w:tc>
          <w:tcPr>
            <w:tcW w:w="1134" w:type="dxa"/>
            <w:tcBorders>
              <w:bottom w:val="single" w:sz="4" w:space="0" w:color="auto"/>
            </w:tcBorders>
            <w:hideMark/>
          </w:tcPr>
          <w:p w14:paraId="5E72E188" w14:textId="5192F35D" w:rsidR="00A36763" w:rsidRPr="002029AF" w:rsidRDefault="00A36763" w:rsidP="00A36763">
            <w:pPr>
              <w:pStyle w:val="ARfintablebodyrightbold"/>
              <w:rPr>
                <w:lang w:eastAsia="en-GB"/>
              </w:rPr>
            </w:pPr>
            <w:r w:rsidRPr="00D16CA0">
              <w:t>90</w:t>
            </w:r>
          </w:p>
        </w:tc>
        <w:tc>
          <w:tcPr>
            <w:tcW w:w="1134" w:type="dxa"/>
            <w:tcBorders>
              <w:bottom w:val="single" w:sz="4" w:space="0" w:color="auto"/>
            </w:tcBorders>
            <w:hideMark/>
          </w:tcPr>
          <w:p w14:paraId="7842FB8A" w14:textId="4649871B" w:rsidR="00A36763" w:rsidRPr="002029AF" w:rsidRDefault="00A36763" w:rsidP="00A36763">
            <w:pPr>
              <w:pStyle w:val="ARfintablebodyrightbold"/>
              <w:rPr>
                <w:lang w:eastAsia="en-GB"/>
              </w:rPr>
            </w:pPr>
            <w:r w:rsidRPr="00D16CA0">
              <w:t>(93.0)</w:t>
            </w:r>
          </w:p>
        </w:tc>
        <w:tc>
          <w:tcPr>
            <w:tcW w:w="567" w:type="dxa"/>
            <w:tcBorders>
              <w:bottom w:val="single" w:sz="4" w:space="0" w:color="auto"/>
            </w:tcBorders>
            <w:hideMark/>
          </w:tcPr>
          <w:p w14:paraId="3CB8D4DE" w14:textId="77777777" w:rsidR="00A36763" w:rsidRPr="002029AF" w:rsidRDefault="00A36763" w:rsidP="00A36763">
            <w:pPr>
              <w:pStyle w:val="ARfintablebodyright"/>
              <w:rPr>
                <w:lang w:eastAsia="en-GB"/>
              </w:rPr>
            </w:pPr>
          </w:p>
        </w:tc>
      </w:tr>
    </w:tbl>
    <w:p w14:paraId="22BA3E76" w14:textId="6EE4A987" w:rsidR="002A4973" w:rsidRDefault="002A4973" w:rsidP="003B1F81">
      <w:pPr>
        <w:pStyle w:val="ARtablefootnotealpha"/>
        <w:numPr>
          <w:ilvl w:val="0"/>
          <w:numId w:val="33"/>
        </w:numPr>
      </w:pPr>
      <w:r>
        <w:t>The 2020–21 Revised Budget reflects the impact of the machinery of government changes whereby the Child Protection, Prevention of Family Violence, Housing and Disability functions were transferred to the Department of Families, Fairness and Housing effective 1 February 2021.</w:t>
      </w:r>
    </w:p>
    <w:p w14:paraId="5DFAE7D1" w14:textId="429C8B38" w:rsidR="002A4973" w:rsidRDefault="002A4973" w:rsidP="00A36763">
      <w:pPr>
        <w:pStyle w:val="ARtablefootnotealpha"/>
      </w:pPr>
      <w:r>
        <w:t xml:space="preserve">Administered grant income mainly reflect grants received from Commonwealth and the </w:t>
      </w:r>
      <w:r w:rsidR="00600F8C">
        <w:t>s</w:t>
      </w:r>
      <w:r>
        <w:t xml:space="preserve">tate </w:t>
      </w:r>
      <w:r w:rsidR="00600F8C">
        <w:t>g</w:t>
      </w:r>
      <w:r>
        <w:t xml:space="preserve">overnment for health activity and in response to the </w:t>
      </w:r>
      <w:r w:rsidR="00016BA5">
        <w:t>COVID-19</w:t>
      </w:r>
      <w:r>
        <w:t xml:space="preserve"> pandemic.</w:t>
      </w:r>
    </w:p>
    <w:p w14:paraId="7D9C2A8B" w14:textId="571E63BD" w:rsidR="002A4973" w:rsidRPr="00627510" w:rsidRDefault="002A4973" w:rsidP="00A36763">
      <w:pPr>
        <w:pStyle w:val="ARtablefootnotealpha"/>
      </w:pPr>
      <w:r>
        <w:t xml:space="preserve">Administered grant expenses mainly relate to grants to health services for health activity and in response to the </w:t>
      </w:r>
      <w:r w:rsidR="00016BA5">
        <w:t>COVID-19</w:t>
      </w:r>
      <w:r>
        <w:t xml:space="preserve"> pandemic.</w:t>
      </w:r>
    </w:p>
    <w:p w14:paraId="54678110" w14:textId="77777777" w:rsidR="00967B31" w:rsidRDefault="00967B31" w:rsidP="00E847B7">
      <w:pPr>
        <w:pStyle w:val="ARbody"/>
        <w:rPr>
          <w:lang w:eastAsia="en-AU"/>
        </w:rPr>
      </w:pPr>
    </w:p>
    <w:p w14:paraId="2FDFF5D5" w14:textId="77777777" w:rsidR="00967B31" w:rsidRDefault="00967B31" w:rsidP="00DD479E">
      <w:pPr>
        <w:pStyle w:val="ARbody"/>
        <w:sectPr w:rsidR="00967B31" w:rsidSect="00A36763">
          <w:headerReference w:type="first" r:id="rId148"/>
          <w:footerReference w:type="first" r:id="rId149"/>
          <w:footnotePr>
            <w:numFmt w:val="lowerLetter"/>
            <w:numRestart w:val="eachPage"/>
          </w:footnotePr>
          <w:endnotePr>
            <w:numFmt w:val="decimal"/>
          </w:endnotePr>
          <w:pgSz w:w="11900" w:h="16840" w:code="9"/>
          <w:pgMar w:top="1985" w:right="1134" w:bottom="851" w:left="1134" w:header="510" w:footer="340" w:gutter="0"/>
          <w:cols w:space="454"/>
        </w:sectPr>
      </w:pPr>
    </w:p>
    <w:p w14:paraId="29DC6B0E" w14:textId="77777777" w:rsidR="00967B31" w:rsidRPr="002029AF" w:rsidRDefault="00967B31" w:rsidP="00897193">
      <w:pPr>
        <w:pStyle w:val="Heading2"/>
        <w:spacing w:before="0"/>
      </w:pPr>
      <w:bookmarkStart w:id="1114" w:name="_Toc520974733"/>
      <w:bookmarkStart w:id="1115" w:name="_Toc524788314"/>
      <w:bookmarkStart w:id="1116" w:name="_Ref525047369"/>
      <w:bookmarkStart w:id="1117" w:name="_Ref21862080"/>
      <w:bookmarkStart w:id="1118" w:name="_Toc50996881"/>
      <w:bookmarkStart w:id="1119" w:name="_Toc50998471"/>
      <w:bookmarkStart w:id="1120" w:name="_Toc54690825"/>
      <w:bookmarkStart w:id="1121" w:name="_Ref84252356"/>
      <w:bookmarkStart w:id="1122" w:name="_Toc85121582"/>
      <w:bookmarkStart w:id="1123" w:name="_Toc85121637"/>
      <w:bookmarkStart w:id="1124" w:name="_Toc86075620"/>
      <w:bookmarkStart w:id="1125" w:name="_Toc431639278"/>
      <w:bookmarkStart w:id="1126" w:name="_Toc462577213"/>
      <w:bookmarkStart w:id="1127" w:name="_Toc463776641"/>
      <w:bookmarkStart w:id="1128" w:name="_Ref492895417"/>
      <w:bookmarkStart w:id="1129" w:name="_Toc520974737"/>
      <w:r w:rsidRPr="002029AF">
        <w:lastRenderedPageBreak/>
        <w:t>Disclosure index</w:t>
      </w:r>
      <w:bookmarkEnd w:id="1114"/>
      <w:bookmarkEnd w:id="1115"/>
      <w:bookmarkEnd w:id="1116"/>
      <w:bookmarkEnd w:id="1117"/>
      <w:bookmarkEnd w:id="1118"/>
      <w:bookmarkEnd w:id="1119"/>
      <w:bookmarkEnd w:id="1120"/>
      <w:bookmarkEnd w:id="1121"/>
      <w:bookmarkEnd w:id="1122"/>
      <w:bookmarkEnd w:id="1123"/>
      <w:bookmarkEnd w:id="1124"/>
    </w:p>
    <w:p w14:paraId="0803BCCD" w14:textId="07748340" w:rsidR="00967B31" w:rsidRPr="002029AF" w:rsidRDefault="006D2DFD" w:rsidP="00897193">
      <w:pPr>
        <w:pStyle w:val="ARbody"/>
      </w:pPr>
      <w:r>
        <w:t>This</w:t>
      </w:r>
      <w:r w:rsidR="00412417">
        <w:t xml:space="preserve"> </w:t>
      </w:r>
      <w:r w:rsidR="00967B31" w:rsidRPr="002029AF">
        <w:t>annual report is prepared in accordance with all relevant Victorian legislation</w:t>
      </w:r>
      <w:r w:rsidR="00967B31">
        <w:t xml:space="preserve"> and pronouncements</w:t>
      </w:r>
      <w:r w:rsidR="00967B31" w:rsidRPr="002029AF">
        <w:t>. This</w:t>
      </w:r>
      <w:r w:rsidR="00F72887">
        <w:t> </w:t>
      </w:r>
      <w:r w:rsidR="00967B31" w:rsidRPr="002029AF">
        <w:t>index facilitate</w:t>
      </w:r>
      <w:r w:rsidR="004C687F">
        <w:t>s</w:t>
      </w:r>
      <w:r w:rsidR="00967B31" w:rsidRPr="002029AF">
        <w:t xml:space="preserve"> identification of the department</w:t>
      </w:r>
      <w:r w:rsidR="007D145B">
        <w:t>’</w:t>
      </w:r>
      <w:r w:rsidR="00967B31" w:rsidRPr="002029AF">
        <w:t>s compliance with statutory disclosure requirements.</w:t>
      </w:r>
    </w:p>
    <w:p w14:paraId="126EA73E" w14:textId="77777777" w:rsidR="00967B31" w:rsidRPr="002029AF" w:rsidRDefault="00967B31" w:rsidP="007C05BC">
      <w:pPr>
        <w:pStyle w:val="Heading3disclosureindex"/>
      </w:pPr>
      <w:bookmarkStart w:id="1130" w:name="_Toc462577210"/>
      <w:bookmarkStart w:id="1131" w:name="_Toc520974734"/>
      <w:bookmarkStart w:id="1132" w:name="_Toc50998472"/>
      <w:bookmarkStart w:id="1133" w:name="_Toc85121583"/>
      <w:r w:rsidRPr="002029AF">
        <w:t>Report of operations</w:t>
      </w:r>
      <w:bookmarkEnd w:id="1130"/>
      <w:bookmarkEnd w:id="1131"/>
      <w:bookmarkEnd w:id="1132"/>
      <w:bookmarkEnd w:id="1133"/>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4A0" w:firstRow="1" w:lastRow="0" w:firstColumn="1" w:lastColumn="0" w:noHBand="0" w:noVBand="1"/>
      </w:tblPr>
      <w:tblGrid>
        <w:gridCol w:w="1990"/>
        <w:gridCol w:w="6642"/>
        <w:gridCol w:w="1007"/>
      </w:tblGrid>
      <w:tr w:rsidR="00967B31" w:rsidRPr="002029AF" w14:paraId="327FA5E0" w14:textId="77777777" w:rsidTr="005E2B07">
        <w:trPr>
          <w:cantSplit/>
          <w:tblHeader/>
        </w:trPr>
        <w:tc>
          <w:tcPr>
            <w:tcW w:w="1990" w:type="dxa"/>
            <w:tcBorders>
              <w:top w:val="nil"/>
            </w:tcBorders>
            <w:shd w:val="clear" w:color="auto" w:fill="auto"/>
            <w:vAlign w:val="bottom"/>
          </w:tcPr>
          <w:p w14:paraId="3A12B3CA" w14:textId="77777777" w:rsidR="00967B31" w:rsidRPr="002029AF" w:rsidRDefault="00967B31" w:rsidP="000B18D1">
            <w:pPr>
              <w:pStyle w:val="ARtablecolhead"/>
              <w:spacing w:before="70" w:after="50"/>
            </w:pPr>
            <w:r w:rsidRPr="002029AF">
              <w:t>Ministerial directions</w:t>
            </w:r>
          </w:p>
        </w:tc>
        <w:tc>
          <w:tcPr>
            <w:tcW w:w="6642" w:type="dxa"/>
            <w:tcBorders>
              <w:top w:val="nil"/>
            </w:tcBorders>
            <w:shd w:val="clear" w:color="auto" w:fill="auto"/>
            <w:vAlign w:val="bottom"/>
          </w:tcPr>
          <w:p w14:paraId="7A88240C" w14:textId="77777777" w:rsidR="00967B31" w:rsidRPr="002029AF" w:rsidRDefault="00967B31" w:rsidP="000B18D1">
            <w:pPr>
              <w:pStyle w:val="ARtablecolhead"/>
              <w:spacing w:before="70" w:after="50"/>
            </w:pPr>
            <w:r w:rsidRPr="002029AF">
              <w:t>Requirement</w:t>
            </w:r>
          </w:p>
        </w:tc>
        <w:tc>
          <w:tcPr>
            <w:tcW w:w="1007" w:type="dxa"/>
            <w:tcBorders>
              <w:top w:val="nil"/>
            </w:tcBorders>
            <w:shd w:val="clear" w:color="auto" w:fill="auto"/>
            <w:vAlign w:val="bottom"/>
          </w:tcPr>
          <w:p w14:paraId="53DBCE21" w14:textId="77777777" w:rsidR="00967B31" w:rsidRPr="002029AF" w:rsidRDefault="00967B31" w:rsidP="000B18D1">
            <w:pPr>
              <w:pStyle w:val="ARtablecolhead"/>
              <w:spacing w:before="70" w:after="50"/>
              <w:jc w:val="right"/>
            </w:pPr>
            <w:r w:rsidRPr="002029AF">
              <w:t>Page</w:t>
            </w:r>
          </w:p>
        </w:tc>
      </w:tr>
      <w:tr w:rsidR="00967B31" w:rsidRPr="002029AF" w14:paraId="0CEDEFB2" w14:textId="77777777" w:rsidTr="5A449E24">
        <w:trPr>
          <w:cantSplit/>
        </w:trPr>
        <w:tc>
          <w:tcPr>
            <w:tcW w:w="8632" w:type="dxa"/>
            <w:gridSpan w:val="2"/>
            <w:tcBorders>
              <w:bottom w:val="nil"/>
            </w:tcBorders>
            <w:shd w:val="clear" w:color="auto" w:fill="auto"/>
          </w:tcPr>
          <w:p w14:paraId="660B4CB4" w14:textId="6B8BA7B9" w:rsidR="00967B31" w:rsidRPr="002029AF" w:rsidRDefault="00967B31" w:rsidP="000B18D1">
            <w:pPr>
              <w:pStyle w:val="ARtabletext"/>
              <w:spacing w:before="70" w:after="50"/>
              <w:rPr>
                <w:b/>
              </w:rPr>
            </w:pPr>
            <w:r w:rsidRPr="002029AF">
              <w:rPr>
                <w:b/>
              </w:rPr>
              <w:t>Cha</w:t>
            </w:r>
            <w:r w:rsidR="0096400A">
              <w:rPr>
                <w:b/>
              </w:rPr>
              <w:t>r</w:t>
            </w:r>
            <w:r w:rsidRPr="002029AF">
              <w:rPr>
                <w:b/>
              </w:rPr>
              <w:t>ter and purpose</w:t>
            </w:r>
          </w:p>
        </w:tc>
        <w:tc>
          <w:tcPr>
            <w:tcW w:w="1007" w:type="dxa"/>
            <w:tcBorders>
              <w:bottom w:val="nil"/>
            </w:tcBorders>
            <w:shd w:val="clear" w:color="auto" w:fill="auto"/>
          </w:tcPr>
          <w:p w14:paraId="5A8A766C" w14:textId="77777777" w:rsidR="00967B31" w:rsidRPr="002029AF" w:rsidRDefault="00967B31" w:rsidP="000B18D1">
            <w:pPr>
              <w:pStyle w:val="ARtabletextright"/>
              <w:spacing w:before="70" w:after="50"/>
            </w:pPr>
          </w:p>
        </w:tc>
      </w:tr>
      <w:tr w:rsidR="00967B31" w:rsidRPr="002029AF" w14:paraId="14A759B9" w14:textId="77777777" w:rsidTr="005E2B07">
        <w:trPr>
          <w:cantSplit/>
        </w:trPr>
        <w:tc>
          <w:tcPr>
            <w:tcW w:w="1990" w:type="dxa"/>
            <w:tcBorders>
              <w:top w:val="nil"/>
            </w:tcBorders>
            <w:shd w:val="clear" w:color="auto" w:fill="auto"/>
          </w:tcPr>
          <w:p w14:paraId="1F1126B4" w14:textId="77777777" w:rsidR="00967B31" w:rsidRPr="002029AF" w:rsidRDefault="00967B31" w:rsidP="000B18D1">
            <w:pPr>
              <w:pStyle w:val="ARtabletext"/>
              <w:spacing w:before="70" w:after="50"/>
            </w:pPr>
            <w:r w:rsidRPr="002029AF">
              <w:t>FRD 22H</w:t>
            </w:r>
          </w:p>
        </w:tc>
        <w:tc>
          <w:tcPr>
            <w:tcW w:w="6642" w:type="dxa"/>
            <w:tcBorders>
              <w:top w:val="nil"/>
            </w:tcBorders>
            <w:shd w:val="clear" w:color="auto" w:fill="auto"/>
          </w:tcPr>
          <w:p w14:paraId="70069337" w14:textId="77777777" w:rsidR="00967B31" w:rsidRPr="002029AF" w:rsidRDefault="00967B31" w:rsidP="000B18D1">
            <w:pPr>
              <w:pStyle w:val="ARtabletext"/>
              <w:spacing w:before="70" w:after="50"/>
            </w:pPr>
            <w:r w:rsidRPr="002029AF">
              <w:t>Manner of establishment and the relevant ministers</w:t>
            </w:r>
          </w:p>
        </w:tc>
        <w:tc>
          <w:tcPr>
            <w:tcW w:w="1007" w:type="dxa"/>
            <w:tcBorders>
              <w:top w:val="nil"/>
            </w:tcBorders>
            <w:shd w:val="clear" w:color="auto" w:fill="auto"/>
          </w:tcPr>
          <w:p w14:paraId="474A9E4A" w14:textId="7DA2B884" w:rsidR="00967B31" w:rsidRPr="002029AF" w:rsidRDefault="001D2668" w:rsidP="000B18D1">
            <w:pPr>
              <w:pStyle w:val="ARtabletextright"/>
              <w:spacing w:before="70" w:after="50"/>
            </w:pPr>
            <w:r>
              <w:fldChar w:fldCharType="begin"/>
            </w:r>
            <w:r>
              <w:instrText xml:space="preserve"> PAGEREF _Ref21861667 \h </w:instrText>
            </w:r>
            <w:r>
              <w:fldChar w:fldCharType="separate"/>
            </w:r>
            <w:r w:rsidR="00E71361">
              <w:rPr>
                <w:noProof/>
              </w:rPr>
              <w:t>9</w:t>
            </w:r>
            <w:r>
              <w:fldChar w:fldCharType="end"/>
            </w:r>
            <w:r>
              <w:t xml:space="preserve">, </w:t>
            </w:r>
            <w:r>
              <w:fldChar w:fldCharType="begin"/>
            </w:r>
            <w:r>
              <w:instrText xml:space="preserve"> PAGEREF _Ref85202092 \h </w:instrText>
            </w:r>
            <w:r>
              <w:fldChar w:fldCharType="separate"/>
            </w:r>
            <w:r w:rsidR="00E71361">
              <w:rPr>
                <w:noProof/>
              </w:rPr>
              <w:t>145</w:t>
            </w:r>
            <w:r>
              <w:fldChar w:fldCharType="end"/>
            </w:r>
            <w:r>
              <w:t xml:space="preserve">, </w:t>
            </w:r>
            <w:r>
              <w:fldChar w:fldCharType="begin"/>
            </w:r>
            <w:r>
              <w:instrText xml:space="preserve"> PAGEREF _Ref85202061 \h </w:instrText>
            </w:r>
            <w:r>
              <w:fldChar w:fldCharType="separate"/>
            </w:r>
            <w:r w:rsidR="00E71361">
              <w:rPr>
                <w:noProof/>
              </w:rPr>
              <w:t>72</w:t>
            </w:r>
            <w:r>
              <w:fldChar w:fldCharType="end"/>
            </w:r>
          </w:p>
        </w:tc>
      </w:tr>
      <w:tr w:rsidR="00967B31" w:rsidRPr="002029AF" w14:paraId="659B115D" w14:textId="77777777" w:rsidTr="005E2B07">
        <w:trPr>
          <w:cantSplit/>
        </w:trPr>
        <w:tc>
          <w:tcPr>
            <w:tcW w:w="1990" w:type="dxa"/>
            <w:shd w:val="clear" w:color="auto" w:fill="auto"/>
          </w:tcPr>
          <w:p w14:paraId="7329C3B4" w14:textId="77777777" w:rsidR="00967B31" w:rsidRPr="002029AF" w:rsidRDefault="00967B31" w:rsidP="000B18D1">
            <w:pPr>
              <w:pStyle w:val="ARtabletext"/>
              <w:spacing w:before="70" w:after="50"/>
            </w:pPr>
            <w:r w:rsidRPr="002029AF">
              <w:t>FRD 22H</w:t>
            </w:r>
          </w:p>
        </w:tc>
        <w:tc>
          <w:tcPr>
            <w:tcW w:w="6642" w:type="dxa"/>
            <w:shd w:val="clear" w:color="auto" w:fill="auto"/>
          </w:tcPr>
          <w:p w14:paraId="2445C4C2" w14:textId="77777777" w:rsidR="00967B31" w:rsidRPr="002029AF" w:rsidRDefault="00967B31" w:rsidP="000B18D1">
            <w:pPr>
              <w:pStyle w:val="ARtabletext"/>
              <w:spacing w:before="70" w:after="50"/>
            </w:pPr>
            <w:r w:rsidRPr="00D4028F">
              <w:t>Purpose, functions, powers and duties</w:t>
            </w:r>
          </w:p>
        </w:tc>
        <w:tc>
          <w:tcPr>
            <w:tcW w:w="1007" w:type="dxa"/>
            <w:shd w:val="clear" w:color="auto" w:fill="auto"/>
          </w:tcPr>
          <w:p w14:paraId="2399FD67" w14:textId="79A6A1C5" w:rsidR="00967B31" w:rsidRPr="002029AF" w:rsidRDefault="001D2668" w:rsidP="000B18D1">
            <w:pPr>
              <w:pStyle w:val="ARtabletextright"/>
              <w:spacing w:before="70" w:after="50"/>
            </w:pPr>
            <w:r>
              <w:fldChar w:fldCharType="begin"/>
            </w:r>
            <w:r>
              <w:instrText xml:space="preserve"> PAGEREF _Ref85202129 \h </w:instrText>
            </w:r>
            <w:r>
              <w:fldChar w:fldCharType="separate"/>
            </w:r>
            <w:r w:rsidR="00E71361">
              <w:rPr>
                <w:noProof/>
              </w:rPr>
              <w:t>8</w:t>
            </w:r>
            <w:r>
              <w:fldChar w:fldCharType="end"/>
            </w:r>
            <w:r w:rsidR="00DC5586">
              <w:t xml:space="preserve">, </w:t>
            </w:r>
            <w:r w:rsidR="00DC5586">
              <w:fldChar w:fldCharType="begin"/>
            </w:r>
            <w:r w:rsidR="00DC5586">
              <w:instrText xml:space="preserve"> PAGEREF _Ref84240859 \h </w:instrText>
            </w:r>
            <w:r w:rsidR="00DC5586">
              <w:fldChar w:fldCharType="separate"/>
            </w:r>
            <w:r w:rsidR="00E71361">
              <w:rPr>
                <w:noProof/>
              </w:rPr>
              <w:t>115</w:t>
            </w:r>
            <w:r w:rsidR="00DC5586">
              <w:fldChar w:fldCharType="end"/>
            </w:r>
          </w:p>
        </w:tc>
      </w:tr>
      <w:tr w:rsidR="00967B31" w:rsidRPr="002029AF" w14:paraId="40AF9198" w14:textId="77777777" w:rsidTr="005E2B07">
        <w:trPr>
          <w:cantSplit/>
        </w:trPr>
        <w:tc>
          <w:tcPr>
            <w:tcW w:w="1990" w:type="dxa"/>
            <w:shd w:val="clear" w:color="auto" w:fill="auto"/>
          </w:tcPr>
          <w:p w14:paraId="08F5F86D" w14:textId="77777777" w:rsidR="00967B31" w:rsidRPr="002029AF" w:rsidRDefault="00967B31" w:rsidP="000B18D1">
            <w:pPr>
              <w:pStyle w:val="ARtabletext"/>
              <w:spacing w:before="70" w:after="50"/>
            </w:pPr>
            <w:r w:rsidRPr="002029AF">
              <w:t>FRD 8D</w:t>
            </w:r>
          </w:p>
        </w:tc>
        <w:tc>
          <w:tcPr>
            <w:tcW w:w="6642" w:type="dxa"/>
            <w:shd w:val="clear" w:color="auto" w:fill="auto"/>
          </w:tcPr>
          <w:p w14:paraId="5F4826B1" w14:textId="77777777" w:rsidR="00967B31" w:rsidRPr="002029AF" w:rsidRDefault="00967B31" w:rsidP="000B18D1">
            <w:pPr>
              <w:pStyle w:val="ARtabletext"/>
              <w:spacing w:before="70" w:after="50"/>
            </w:pPr>
            <w:r w:rsidRPr="00C27799">
              <w:t>Departmental objectives, indicators and outputs</w:t>
            </w:r>
          </w:p>
        </w:tc>
        <w:tc>
          <w:tcPr>
            <w:tcW w:w="1007" w:type="dxa"/>
            <w:shd w:val="clear" w:color="auto" w:fill="auto"/>
          </w:tcPr>
          <w:p w14:paraId="6E013DDF" w14:textId="7200663E" w:rsidR="00967B31" w:rsidRPr="002029AF" w:rsidRDefault="00035097" w:rsidP="000B18D1">
            <w:pPr>
              <w:pStyle w:val="ARtabletextright"/>
              <w:spacing w:before="70" w:after="50"/>
            </w:pPr>
            <w:r>
              <w:fldChar w:fldCharType="begin"/>
            </w:r>
            <w:r>
              <w:instrText xml:space="preserve"> PAGEREF _Ref85202790 \h </w:instrText>
            </w:r>
            <w:r>
              <w:fldChar w:fldCharType="separate"/>
            </w:r>
            <w:r w:rsidR="00E71361">
              <w:rPr>
                <w:noProof/>
              </w:rPr>
              <w:t>11</w:t>
            </w:r>
            <w:r>
              <w:fldChar w:fldCharType="end"/>
            </w:r>
          </w:p>
        </w:tc>
      </w:tr>
      <w:tr w:rsidR="00967B31" w:rsidRPr="002029AF" w14:paraId="76B0FEAF" w14:textId="77777777" w:rsidTr="005E2B07">
        <w:trPr>
          <w:cantSplit/>
        </w:trPr>
        <w:tc>
          <w:tcPr>
            <w:tcW w:w="1990" w:type="dxa"/>
            <w:tcBorders>
              <w:top w:val="nil"/>
            </w:tcBorders>
            <w:shd w:val="clear" w:color="auto" w:fill="auto"/>
          </w:tcPr>
          <w:p w14:paraId="2A71382E" w14:textId="77777777" w:rsidR="00967B31" w:rsidRPr="002029AF" w:rsidRDefault="00967B31" w:rsidP="000B18D1">
            <w:pPr>
              <w:pStyle w:val="ARtabletext"/>
              <w:spacing w:before="70" w:after="50"/>
            </w:pPr>
            <w:r w:rsidRPr="002029AF">
              <w:t>FRD 22H</w:t>
            </w:r>
          </w:p>
        </w:tc>
        <w:tc>
          <w:tcPr>
            <w:tcW w:w="6642" w:type="dxa"/>
            <w:tcBorders>
              <w:top w:val="nil"/>
            </w:tcBorders>
            <w:shd w:val="clear" w:color="auto" w:fill="auto"/>
          </w:tcPr>
          <w:p w14:paraId="54850CE2" w14:textId="77777777" w:rsidR="00967B31" w:rsidRPr="002029AF" w:rsidRDefault="00967B31" w:rsidP="000B18D1">
            <w:pPr>
              <w:pStyle w:val="ARtabletext"/>
              <w:spacing w:before="70" w:after="50"/>
            </w:pPr>
            <w:r w:rsidRPr="002029AF">
              <w:t>Key initiatives and projects</w:t>
            </w:r>
          </w:p>
        </w:tc>
        <w:tc>
          <w:tcPr>
            <w:tcW w:w="1007" w:type="dxa"/>
            <w:tcBorders>
              <w:top w:val="nil"/>
            </w:tcBorders>
            <w:shd w:val="clear" w:color="auto" w:fill="auto"/>
          </w:tcPr>
          <w:p w14:paraId="0F4C2195" w14:textId="2809D2D6" w:rsidR="00967B31" w:rsidRPr="002029AF" w:rsidRDefault="00033B63" w:rsidP="000B18D1">
            <w:pPr>
              <w:pStyle w:val="ARtabletextright"/>
              <w:spacing w:before="70" w:after="50"/>
            </w:pPr>
            <w:r>
              <w:fldChar w:fldCharType="begin"/>
            </w:r>
            <w:r>
              <w:instrText xml:space="preserve"> PAGEREF COVID_section \h </w:instrText>
            </w:r>
            <w:r>
              <w:fldChar w:fldCharType="separate"/>
            </w:r>
            <w:r w:rsidR="00E71361">
              <w:rPr>
                <w:noProof/>
              </w:rPr>
              <w:t>37</w:t>
            </w:r>
            <w:r>
              <w:fldChar w:fldCharType="end"/>
            </w:r>
          </w:p>
        </w:tc>
      </w:tr>
      <w:tr w:rsidR="00967B31" w:rsidRPr="002029AF" w14:paraId="0B3A41DB" w14:textId="77777777" w:rsidTr="005E2B07">
        <w:trPr>
          <w:cantSplit/>
        </w:trPr>
        <w:tc>
          <w:tcPr>
            <w:tcW w:w="1990" w:type="dxa"/>
            <w:tcBorders>
              <w:top w:val="nil"/>
            </w:tcBorders>
            <w:shd w:val="clear" w:color="auto" w:fill="auto"/>
          </w:tcPr>
          <w:p w14:paraId="7F276A32" w14:textId="77777777" w:rsidR="00967B31" w:rsidRPr="002029AF" w:rsidRDefault="00967B31" w:rsidP="000B18D1">
            <w:pPr>
              <w:pStyle w:val="ARtabletext"/>
              <w:spacing w:before="70" w:after="50"/>
            </w:pPr>
            <w:r w:rsidRPr="002029AF">
              <w:t>FRD 22H</w:t>
            </w:r>
          </w:p>
        </w:tc>
        <w:tc>
          <w:tcPr>
            <w:tcW w:w="6642" w:type="dxa"/>
            <w:tcBorders>
              <w:top w:val="nil"/>
            </w:tcBorders>
            <w:shd w:val="clear" w:color="auto" w:fill="auto"/>
          </w:tcPr>
          <w:p w14:paraId="2621EC4A" w14:textId="77777777" w:rsidR="00967B31" w:rsidRPr="002029AF" w:rsidRDefault="00967B31" w:rsidP="000B18D1">
            <w:pPr>
              <w:pStyle w:val="ARtabletext"/>
              <w:spacing w:before="70" w:after="50"/>
            </w:pPr>
            <w:r w:rsidRPr="002029AF">
              <w:t>Nature and range of services provided</w:t>
            </w:r>
          </w:p>
        </w:tc>
        <w:tc>
          <w:tcPr>
            <w:tcW w:w="1007" w:type="dxa"/>
            <w:tcBorders>
              <w:top w:val="nil"/>
            </w:tcBorders>
            <w:shd w:val="clear" w:color="auto" w:fill="auto"/>
          </w:tcPr>
          <w:p w14:paraId="7E728A8D" w14:textId="7E733C35" w:rsidR="00967B31" w:rsidRPr="002029AF" w:rsidRDefault="001D2668" w:rsidP="000B18D1">
            <w:pPr>
              <w:pStyle w:val="ARtabletextright"/>
              <w:spacing w:before="70" w:after="50"/>
            </w:pPr>
            <w:r>
              <w:fldChar w:fldCharType="begin"/>
            </w:r>
            <w:r>
              <w:instrText xml:space="preserve"> PAGEREF _Ref85202213 \h </w:instrText>
            </w:r>
            <w:r>
              <w:fldChar w:fldCharType="separate"/>
            </w:r>
            <w:r w:rsidR="00E71361">
              <w:rPr>
                <w:noProof/>
              </w:rPr>
              <w:t>8</w:t>
            </w:r>
            <w:r>
              <w:fldChar w:fldCharType="end"/>
            </w:r>
          </w:p>
        </w:tc>
      </w:tr>
      <w:tr w:rsidR="00967B31" w:rsidRPr="002029AF" w14:paraId="0DED067F" w14:textId="77777777" w:rsidTr="5A449E24">
        <w:trPr>
          <w:cantSplit/>
        </w:trPr>
        <w:tc>
          <w:tcPr>
            <w:tcW w:w="9639" w:type="dxa"/>
            <w:gridSpan w:val="3"/>
            <w:tcBorders>
              <w:bottom w:val="nil"/>
            </w:tcBorders>
            <w:shd w:val="clear" w:color="auto" w:fill="auto"/>
          </w:tcPr>
          <w:p w14:paraId="54FD2122" w14:textId="77777777" w:rsidR="00967B31" w:rsidRPr="002029AF" w:rsidRDefault="00967B31" w:rsidP="000B18D1">
            <w:pPr>
              <w:pStyle w:val="ARtabletext"/>
              <w:spacing w:before="70" w:after="50"/>
              <w:rPr>
                <w:b/>
              </w:rPr>
            </w:pPr>
            <w:r w:rsidRPr="002029AF">
              <w:rPr>
                <w:b/>
              </w:rPr>
              <w:t>Management and structure</w:t>
            </w:r>
          </w:p>
        </w:tc>
      </w:tr>
      <w:tr w:rsidR="00967B31" w:rsidRPr="002029AF" w14:paraId="7705F075" w14:textId="77777777" w:rsidTr="005E2B07">
        <w:trPr>
          <w:cantSplit/>
        </w:trPr>
        <w:tc>
          <w:tcPr>
            <w:tcW w:w="1990" w:type="dxa"/>
            <w:tcBorders>
              <w:top w:val="nil"/>
            </w:tcBorders>
            <w:shd w:val="clear" w:color="auto" w:fill="auto"/>
          </w:tcPr>
          <w:p w14:paraId="591EF440" w14:textId="77777777" w:rsidR="00967B31" w:rsidRPr="002029AF" w:rsidRDefault="00967B31" w:rsidP="000B18D1">
            <w:pPr>
              <w:pStyle w:val="ARtabletext"/>
              <w:spacing w:before="70" w:after="50"/>
            </w:pPr>
            <w:r w:rsidRPr="002029AF">
              <w:t>FRD 22H</w:t>
            </w:r>
          </w:p>
        </w:tc>
        <w:tc>
          <w:tcPr>
            <w:tcW w:w="6642" w:type="dxa"/>
            <w:tcBorders>
              <w:top w:val="nil"/>
            </w:tcBorders>
            <w:shd w:val="clear" w:color="auto" w:fill="auto"/>
          </w:tcPr>
          <w:p w14:paraId="138D2B59" w14:textId="77777777" w:rsidR="00967B31" w:rsidRPr="002029AF" w:rsidRDefault="00967B31" w:rsidP="000B18D1">
            <w:pPr>
              <w:pStyle w:val="ARtabletext"/>
              <w:spacing w:before="70" w:after="50"/>
            </w:pPr>
            <w:r w:rsidRPr="002029AF">
              <w:t>Organisational structure</w:t>
            </w:r>
          </w:p>
        </w:tc>
        <w:tc>
          <w:tcPr>
            <w:tcW w:w="1007" w:type="dxa"/>
            <w:tcBorders>
              <w:top w:val="nil"/>
            </w:tcBorders>
            <w:shd w:val="clear" w:color="auto" w:fill="auto"/>
          </w:tcPr>
          <w:p w14:paraId="29C49E9F" w14:textId="2F4E4BC5" w:rsidR="00967B31" w:rsidRPr="002029AF" w:rsidRDefault="001D2668" w:rsidP="000B18D1">
            <w:pPr>
              <w:pStyle w:val="ARtabletextright"/>
              <w:spacing w:before="70" w:after="50"/>
            </w:pPr>
            <w:r>
              <w:fldChar w:fldCharType="begin"/>
            </w:r>
            <w:r>
              <w:instrText xml:space="preserve"> PAGEREF _Ref85202291 \h </w:instrText>
            </w:r>
            <w:r>
              <w:fldChar w:fldCharType="separate"/>
            </w:r>
            <w:r w:rsidR="00E71361">
              <w:rPr>
                <w:noProof/>
              </w:rPr>
              <w:t>75</w:t>
            </w:r>
            <w:r>
              <w:fldChar w:fldCharType="end"/>
            </w:r>
          </w:p>
        </w:tc>
      </w:tr>
      <w:tr w:rsidR="00967B31" w:rsidRPr="002029AF" w14:paraId="60F8A424" w14:textId="77777777" w:rsidTr="5A449E24">
        <w:trPr>
          <w:cantSplit/>
          <w:trHeight w:val="70"/>
        </w:trPr>
        <w:tc>
          <w:tcPr>
            <w:tcW w:w="9639" w:type="dxa"/>
            <w:gridSpan w:val="3"/>
            <w:tcBorders>
              <w:bottom w:val="nil"/>
            </w:tcBorders>
            <w:shd w:val="clear" w:color="auto" w:fill="auto"/>
          </w:tcPr>
          <w:p w14:paraId="39E6A946" w14:textId="77777777" w:rsidR="00967B31" w:rsidRPr="002029AF" w:rsidRDefault="00967B31" w:rsidP="000B18D1">
            <w:pPr>
              <w:pStyle w:val="ARtabletext"/>
              <w:spacing w:before="70" w:after="50"/>
              <w:rPr>
                <w:b/>
              </w:rPr>
            </w:pPr>
            <w:r w:rsidRPr="002029AF">
              <w:rPr>
                <w:b/>
              </w:rPr>
              <w:t>Financial and other information</w:t>
            </w:r>
          </w:p>
        </w:tc>
      </w:tr>
      <w:tr w:rsidR="00967B31" w:rsidRPr="002029AF" w14:paraId="2BF6E137" w14:textId="77777777" w:rsidTr="005E2B07">
        <w:trPr>
          <w:cantSplit/>
        </w:trPr>
        <w:tc>
          <w:tcPr>
            <w:tcW w:w="1990" w:type="dxa"/>
            <w:tcBorders>
              <w:top w:val="nil"/>
            </w:tcBorders>
            <w:shd w:val="clear" w:color="auto" w:fill="auto"/>
          </w:tcPr>
          <w:p w14:paraId="3DBDDE62" w14:textId="77777777" w:rsidR="00967B31" w:rsidRPr="002029AF" w:rsidRDefault="00967B31" w:rsidP="000B18D1">
            <w:pPr>
              <w:pStyle w:val="ARtabletext"/>
              <w:spacing w:before="70" w:after="50"/>
            </w:pPr>
            <w:r w:rsidRPr="002029AF">
              <w:t>FRD 8D</w:t>
            </w:r>
          </w:p>
        </w:tc>
        <w:tc>
          <w:tcPr>
            <w:tcW w:w="6642" w:type="dxa"/>
            <w:tcBorders>
              <w:top w:val="nil"/>
            </w:tcBorders>
            <w:shd w:val="clear" w:color="auto" w:fill="auto"/>
          </w:tcPr>
          <w:p w14:paraId="38091F42" w14:textId="77777777" w:rsidR="00967B31" w:rsidRPr="002029AF" w:rsidRDefault="00967B31" w:rsidP="000B18D1">
            <w:pPr>
              <w:pStyle w:val="ARtabletext"/>
              <w:spacing w:before="70" w:after="50"/>
            </w:pPr>
            <w:r w:rsidRPr="002029AF">
              <w:t>Performance against output performance measures</w:t>
            </w:r>
          </w:p>
        </w:tc>
        <w:tc>
          <w:tcPr>
            <w:tcW w:w="1007" w:type="dxa"/>
            <w:tcBorders>
              <w:top w:val="nil"/>
            </w:tcBorders>
            <w:shd w:val="clear" w:color="auto" w:fill="auto"/>
          </w:tcPr>
          <w:p w14:paraId="5100EFA8" w14:textId="27D50B96" w:rsidR="00967B31" w:rsidRPr="002029AF" w:rsidRDefault="00035097" w:rsidP="000B18D1">
            <w:pPr>
              <w:pStyle w:val="ARtabletextright"/>
              <w:spacing w:before="70" w:after="50"/>
            </w:pPr>
            <w:r>
              <w:fldChar w:fldCharType="begin"/>
            </w:r>
            <w:r>
              <w:instrText xml:space="preserve"> PAGEREF Performance_reporting \h </w:instrText>
            </w:r>
            <w:r>
              <w:fldChar w:fldCharType="separate"/>
            </w:r>
            <w:r w:rsidR="00E71361">
              <w:rPr>
                <w:noProof/>
              </w:rPr>
              <w:t>51</w:t>
            </w:r>
            <w:r>
              <w:fldChar w:fldCharType="end"/>
            </w:r>
          </w:p>
        </w:tc>
      </w:tr>
      <w:tr w:rsidR="00967B31" w:rsidRPr="002029AF" w14:paraId="737758EA" w14:textId="77777777" w:rsidTr="005E2B07">
        <w:trPr>
          <w:cantSplit/>
        </w:trPr>
        <w:tc>
          <w:tcPr>
            <w:tcW w:w="1990" w:type="dxa"/>
            <w:tcBorders>
              <w:top w:val="nil"/>
            </w:tcBorders>
            <w:shd w:val="clear" w:color="auto" w:fill="auto"/>
          </w:tcPr>
          <w:p w14:paraId="392AC503" w14:textId="77777777" w:rsidR="00967B31" w:rsidRPr="002029AF" w:rsidRDefault="00967B31" w:rsidP="000B18D1">
            <w:pPr>
              <w:pStyle w:val="ARtabletext"/>
              <w:spacing w:before="70" w:after="50"/>
            </w:pPr>
            <w:r w:rsidRPr="002029AF">
              <w:t>FRD 8D</w:t>
            </w:r>
          </w:p>
        </w:tc>
        <w:tc>
          <w:tcPr>
            <w:tcW w:w="6642" w:type="dxa"/>
            <w:tcBorders>
              <w:top w:val="nil"/>
            </w:tcBorders>
            <w:shd w:val="clear" w:color="auto" w:fill="auto"/>
          </w:tcPr>
          <w:p w14:paraId="38D4C940" w14:textId="77777777" w:rsidR="00967B31" w:rsidRPr="002029AF" w:rsidRDefault="00967B31" w:rsidP="000B18D1">
            <w:pPr>
              <w:pStyle w:val="ARtabletext"/>
              <w:spacing w:before="70" w:after="50"/>
            </w:pPr>
            <w:r w:rsidRPr="002029AF">
              <w:t>Budget portfolio outcomes</w:t>
            </w:r>
          </w:p>
        </w:tc>
        <w:tc>
          <w:tcPr>
            <w:tcW w:w="1007" w:type="dxa"/>
            <w:tcBorders>
              <w:top w:val="nil"/>
            </w:tcBorders>
            <w:shd w:val="clear" w:color="auto" w:fill="auto"/>
          </w:tcPr>
          <w:p w14:paraId="563968D3" w14:textId="79E59462" w:rsidR="00967B31" w:rsidRPr="002029AF" w:rsidRDefault="00C22DB3" w:rsidP="000B18D1">
            <w:pPr>
              <w:pStyle w:val="ARtabletextright"/>
              <w:spacing w:before="70" w:after="50"/>
            </w:pPr>
            <w:r>
              <w:fldChar w:fldCharType="begin"/>
            </w:r>
            <w:r>
              <w:instrText xml:space="preserve"> PAGEREF _Ref84252364 \h </w:instrText>
            </w:r>
            <w:r>
              <w:fldChar w:fldCharType="separate"/>
            </w:r>
            <w:r w:rsidR="00E71361">
              <w:rPr>
                <w:noProof/>
              </w:rPr>
              <w:t>232</w:t>
            </w:r>
            <w:r>
              <w:fldChar w:fldCharType="end"/>
            </w:r>
          </w:p>
        </w:tc>
      </w:tr>
      <w:tr w:rsidR="00967B31" w:rsidRPr="002029AF" w14:paraId="6F34E9DB" w14:textId="77777777" w:rsidTr="005E2B07">
        <w:trPr>
          <w:cantSplit/>
        </w:trPr>
        <w:tc>
          <w:tcPr>
            <w:tcW w:w="1990" w:type="dxa"/>
            <w:shd w:val="clear" w:color="auto" w:fill="auto"/>
          </w:tcPr>
          <w:p w14:paraId="449B0949" w14:textId="77777777" w:rsidR="00967B31" w:rsidRPr="002029AF" w:rsidRDefault="00967B31" w:rsidP="000B18D1">
            <w:pPr>
              <w:pStyle w:val="ARtabletext"/>
              <w:spacing w:before="70" w:after="50"/>
            </w:pPr>
            <w:r w:rsidRPr="002029AF">
              <w:t>FRD 10A</w:t>
            </w:r>
          </w:p>
        </w:tc>
        <w:tc>
          <w:tcPr>
            <w:tcW w:w="6642" w:type="dxa"/>
            <w:shd w:val="clear" w:color="auto" w:fill="auto"/>
          </w:tcPr>
          <w:p w14:paraId="0AC00E2A" w14:textId="77777777" w:rsidR="00967B31" w:rsidRPr="002029AF" w:rsidRDefault="00967B31" w:rsidP="000B18D1">
            <w:pPr>
              <w:pStyle w:val="ARtabletext"/>
              <w:spacing w:before="70" w:after="50"/>
            </w:pPr>
            <w:r w:rsidRPr="002029AF">
              <w:t>Disclosure index</w:t>
            </w:r>
          </w:p>
        </w:tc>
        <w:tc>
          <w:tcPr>
            <w:tcW w:w="1007" w:type="dxa"/>
            <w:shd w:val="clear" w:color="auto" w:fill="auto"/>
          </w:tcPr>
          <w:p w14:paraId="04EC102B" w14:textId="2FD9163D" w:rsidR="00967B31" w:rsidRPr="002029AF" w:rsidRDefault="00C22DB3" w:rsidP="000B18D1">
            <w:pPr>
              <w:pStyle w:val="ARtabletextright"/>
              <w:spacing w:before="70" w:after="50"/>
            </w:pPr>
            <w:r>
              <w:fldChar w:fldCharType="begin"/>
            </w:r>
            <w:r>
              <w:instrText xml:space="preserve"> PAGEREF _Ref84252356 \h </w:instrText>
            </w:r>
            <w:r>
              <w:fldChar w:fldCharType="separate"/>
            </w:r>
            <w:r w:rsidR="00E71361">
              <w:rPr>
                <w:noProof/>
              </w:rPr>
              <w:t>239</w:t>
            </w:r>
            <w:r>
              <w:fldChar w:fldCharType="end"/>
            </w:r>
          </w:p>
        </w:tc>
      </w:tr>
      <w:tr w:rsidR="00967B31" w:rsidRPr="002029AF" w14:paraId="5E8F45E8" w14:textId="77777777" w:rsidTr="005E2B07">
        <w:trPr>
          <w:cantSplit/>
        </w:trPr>
        <w:tc>
          <w:tcPr>
            <w:tcW w:w="1990" w:type="dxa"/>
            <w:shd w:val="clear" w:color="auto" w:fill="auto"/>
          </w:tcPr>
          <w:p w14:paraId="5BFC6527" w14:textId="77777777" w:rsidR="00967B31" w:rsidRPr="002029AF" w:rsidRDefault="00967B31" w:rsidP="000B18D1">
            <w:pPr>
              <w:pStyle w:val="ARtabletext"/>
              <w:spacing w:before="70" w:after="50"/>
            </w:pPr>
            <w:r w:rsidRPr="002029AF">
              <w:t>FRD 12B</w:t>
            </w:r>
          </w:p>
        </w:tc>
        <w:tc>
          <w:tcPr>
            <w:tcW w:w="6642" w:type="dxa"/>
            <w:shd w:val="clear" w:color="auto" w:fill="auto"/>
          </w:tcPr>
          <w:p w14:paraId="7CC166E6" w14:textId="77777777" w:rsidR="00967B31" w:rsidRPr="002029AF" w:rsidRDefault="00967B31" w:rsidP="000B18D1">
            <w:pPr>
              <w:pStyle w:val="ARtabletext"/>
              <w:spacing w:before="70" w:after="50"/>
            </w:pPr>
            <w:r w:rsidRPr="002029AF">
              <w:t>Disclosure of major contracts</w:t>
            </w:r>
          </w:p>
        </w:tc>
        <w:tc>
          <w:tcPr>
            <w:tcW w:w="1007" w:type="dxa"/>
            <w:shd w:val="clear" w:color="auto" w:fill="auto"/>
          </w:tcPr>
          <w:p w14:paraId="22958EAD" w14:textId="71AB9481" w:rsidR="00967B31" w:rsidRPr="002029AF" w:rsidRDefault="00C22DB3" w:rsidP="000B18D1">
            <w:pPr>
              <w:pStyle w:val="ARtabletextright"/>
              <w:spacing w:before="70" w:after="50"/>
            </w:pPr>
            <w:r>
              <w:fldChar w:fldCharType="begin"/>
            </w:r>
            <w:r>
              <w:instrText xml:space="preserve"> PAGEREF _Ref84252376 \h </w:instrText>
            </w:r>
            <w:r>
              <w:fldChar w:fldCharType="separate"/>
            </w:r>
            <w:r w:rsidR="00E71361">
              <w:rPr>
                <w:noProof/>
              </w:rPr>
              <w:t>102</w:t>
            </w:r>
            <w:r>
              <w:fldChar w:fldCharType="end"/>
            </w:r>
          </w:p>
        </w:tc>
      </w:tr>
      <w:tr w:rsidR="00967B31" w:rsidRPr="002029AF" w14:paraId="10AA0A37" w14:textId="77777777" w:rsidTr="005E2B07">
        <w:trPr>
          <w:cantSplit/>
        </w:trPr>
        <w:tc>
          <w:tcPr>
            <w:tcW w:w="1990" w:type="dxa"/>
            <w:shd w:val="clear" w:color="auto" w:fill="auto"/>
          </w:tcPr>
          <w:p w14:paraId="3979C4ED" w14:textId="77777777" w:rsidR="00967B31" w:rsidRPr="002029AF" w:rsidRDefault="00967B31" w:rsidP="000B18D1">
            <w:pPr>
              <w:pStyle w:val="ARtabletext"/>
              <w:spacing w:before="70" w:after="50"/>
            </w:pPr>
            <w:r w:rsidRPr="002029AF">
              <w:t>FRD 15</w:t>
            </w:r>
            <w:r>
              <w:t>E</w:t>
            </w:r>
          </w:p>
        </w:tc>
        <w:tc>
          <w:tcPr>
            <w:tcW w:w="6642" w:type="dxa"/>
            <w:shd w:val="clear" w:color="auto" w:fill="auto"/>
          </w:tcPr>
          <w:p w14:paraId="0F84844E" w14:textId="77777777" w:rsidR="00967B31" w:rsidRPr="002029AF" w:rsidRDefault="00967B31" w:rsidP="000B18D1">
            <w:pPr>
              <w:pStyle w:val="ARtabletext"/>
              <w:spacing w:before="70" w:after="50"/>
            </w:pPr>
            <w:r w:rsidRPr="002029AF">
              <w:t>Executive officer disclosures</w:t>
            </w:r>
          </w:p>
        </w:tc>
        <w:tc>
          <w:tcPr>
            <w:tcW w:w="1007" w:type="dxa"/>
            <w:shd w:val="clear" w:color="auto" w:fill="auto"/>
          </w:tcPr>
          <w:p w14:paraId="69D44D65" w14:textId="17BB51B4" w:rsidR="00967B31" w:rsidRPr="002029AF" w:rsidRDefault="0021723B" w:rsidP="000B18D1">
            <w:pPr>
              <w:pStyle w:val="ARtabletextright"/>
              <w:spacing w:before="70" w:after="50"/>
            </w:pPr>
            <w:r>
              <w:fldChar w:fldCharType="begin"/>
            </w:r>
            <w:r>
              <w:instrText xml:space="preserve"> PAGEREF _Ref84252391 \h </w:instrText>
            </w:r>
            <w:r>
              <w:fldChar w:fldCharType="separate"/>
            </w:r>
            <w:r w:rsidR="00E71361">
              <w:rPr>
                <w:noProof/>
              </w:rPr>
              <w:t>88</w:t>
            </w:r>
            <w:r>
              <w:fldChar w:fldCharType="end"/>
            </w:r>
          </w:p>
        </w:tc>
      </w:tr>
      <w:tr w:rsidR="00967B31" w:rsidRPr="002029AF" w14:paraId="7747AC92" w14:textId="77777777" w:rsidTr="005E2B07">
        <w:trPr>
          <w:cantSplit/>
        </w:trPr>
        <w:tc>
          <w:tcPr>
            <w:tcW w:w="1990" w:type="dxa"/>
            <w:shd w:val="clear" w:color="auto" w:fill="auto"/>
          </w:tcPr>
          <w:p w14:paraId="66569062" w14:textId="77777777" w:rsidR="00967B31" w:rsidRPr="002029AF" w:rsidRDefault="00967B31" w:rsidP="000B18D1">
            <w:pPr>
              <w:pStyle w:val="ARtabletext"/>
              <w:spacing w:before="70" w:after="50"/>
            </w:pPr>
            <w:r w:rsidRPr="002029AF">
              <w:t>FRD 22H</w:t>
            </w:r>
          </w:p>
        </w:tc>
        <w:tc>
          <w:tcPr>
            <w:tcW w:w="6642" w:type="dxa"/>
            <w:shd w:val="clear" w:color="auto" w:fill="auto"/>
          </w:tcPr>
          <w:p w14:paraId="21EDE67B" w14:textId="77777777" w:rsidR="00967B31" w:rsidRPr="002029AF" w:rsidRDefault="00967B31" w:rsidP="000B18D1">
            <w:pPr>
              <w:pStyle w:val="ARtabletext"/>
              <w:spacing w:before="70" w:after="50"/>
            </w:pPr>
            <w:r w:rsidRPr="002029AF">
              <w:t>Employment and conduct principles</w:t>
            </w:r>
          </w:p>
        </w:tc>
        <w:tc>
          <w:tcPr>
            <w:tcW w:w="1007" w:type="dxa"/>
            <w:shd w:val="clear" w:color="auto" w:fill="auto"/>
          </w:tcPr>
          <w:p w14:paraId="3EAFBF38" w14:textId="3C3ADA91" w:rsidR="00967B31" w:rsidRPr="002029AF" w:rsidRDefault="00C22DB3" w:rsidP="000B18D1">
            <w:pPr>
              <w:pStyle w:val="ARtabletextright"/>
              <w:spacing w:before="70" w:after="50"/>
            </w:pPr>
            <w:r>
              <w:fldChar w:fldCharType="begin"/>
            </w:r>
            <w:r>
              <w:instrText xml:space="preserve"> PAGEREF _Ref84240929 \h </w:instrText>
            </w:r>
            <w:r>
              <w:fldChar w:fldCharType="separate"/>
            </w:r>
            <w:r w:rsidR="00E71361">
              <w:rPr>
                <w:noProof/>
              </w:rPr>
              <w:t>78</w:t>
            </w:r>
            <w:r>
              <w:fldChar w:fldCharType="end"/>
            </w:r>
          </w:p>
        </w:tc>
      </w:tr>
      <w:tr w:rsidR="00967B31" w:rsidRPr="002029AF" w14:paraId="451582F0" w14:textId="77777777" w:rsidTr="005E2B07">
        <w:trPr>
          <w:cantSplit/>
        </w:trPr>
        <w:tc>
          <w:tcPr>
            <w:tcW w:w="1990" w:type="dxa"/>
            <w:shd w:val="clear" w:color="auto" w:fill="auto"/>
          </w:tcPr>
          <w:p w14:paraId="13B44617" w14:textId="77777777" w:rsidR="00967B31" w:rsidRPr="002029AF" w:rsidRDefault="00967B31" w:rsidP="000B18D1">
            <w:pPr>
              <w:pStyle w:val="ARtabletext"/>
              <w:spacing w:before="70" w:after="50"/>
            </w:pPr>
            <w:r w:rsidRPr="002029AF">
              <w:t>FRD 22H</w:t>
            </w:r>
          </w:p>
        </w:tc>
        <w:tc>
          <w:tcPr>
            <w:tcW w:w="6642" w:type="dxa"/>
            <w:shd w:val="clear" w:color="auto" w:fill="auto"/>
          </w:tcPr>
          <w:p w14:paraId="05F1AD50" w14:textId="77777777" w:rsidR="00967B31" w:rsidRPr="002029AF" w:rsidRDefault="00967B31" w:rsidP="000B18D1">
            <w:pPr>
              <w:pStyle w:val="ARtabletext"/>
              <w:spacing w:before="70" w:after="50"/>
            </w:pPr>
            <w:r w:rsidRPr="002029AF">
              <w:t xml:space="preserve">Occupational health and safety </w:t>
            </w:r>
            <w:r>
              <w:t>policy</w:t>
            </w:r>
          </w:p>
        </w:tc>
        <w:tc>
          <w:tcPr>
            <w:tcW w:w="1007" w:type="dxa"/>
            <w:shd w:val="clear" w:color="auto" w:fill="auto"/>
          </w:tcPr>
          <w:p w14:paraId="23927815" w14:textId="78E14960" w:rsidR="00967B31" w:rsidRPr="002029AF" w:rsidRDefault="00C22DB3" w:rsidP="000B18D1">
            <w:pPr>
              <w:pStyle w:val="ARtabletextright"/>
              <w:spacing w:before="70" w:after="50"/>
            </w:pPr>
            <w:r>
              <w:fldChar w:fldCharType="begin"/>
            </w:r>
            <w:r>
              <w:instrText xml:space="preserve"> PAGEREF _Ref84252320 \h </w:instrText>
            </w:r>
            <w:r>
              <w:fldChar w:fldCharType="separate"/>
            </w:r>
            <w:r w:rsidR="00E71361">
              <w:rPr>
                <w:noProof/>
              </w:rPr>
              <w:t>98</w:t>
            </w:r>
            <w:r>
              <w:fldChar w:fldCharType="end"/>
            </w:r>
          </w:p>
        </w:tc>
      </w:tr>
      <w:tr w:rsidR="00967B31" w:rsidRPr="002029AF" w14:paraId="09BFBC91" w14:textId="77777777" w:rsidTr="005E2B07">
        <w:trPr>
          <w:cantSplit/>
        </w:trPr>
        <w:tc>
          <w:tcPr>
            <w:tcW w:w="1990" w:type="dxa"/>
            <w:shd w:val="clear" w:color="auto" w:fill="auto"/>
          </w:tcPr>
          <w:p w14:paraId="654D0BB3" w14:textId="77777777" w:rsidR="00967B31" w:rsidRPr="002029AF" w:rsidRDefault="00967B31" w:rsidP="000B18D1">
            <w:pPr>
              <w:pStyle w:val="ARtabletext"/>
              <w:spacing w:before="70" w:after="50"/>
            </w:pPr>
            <w:r w:rsidRPr="002029AF">
              <w:t>FRD 22H</w:t>
            </w:r>
          </w:p>
        </w:tc>
        <w:tc>
          <w:tcPr>
            <w:tcW w:w="6642" w:type="dxa"/>
            <w:shd w:val="clear" w:color="auto" w:fill="auto"/>
          </w:tcPr>
          <w:p w14:paraId="57C6BC0D" w14:textId="77777777" w:rsidR="00967B31" w:rsidRPr="002029AF" w:rsidRDefault="00967B31" w:rsidP="000B18D1">
            <w:pPr>
              <w:pStyle w:val="ARtabletext"/>
              <w:spacing w:before="70" w:after="50"/>
            </w:pPr>
            <w:r w:rsidRPr="002029AF">
              <w:t>Summary of the financial results for the year</w:t>
            </w:r>
          </w:p>
        </w:tc>
        <w:tc>
          <w:tcPr>
            <w:tcW w:w="1007" w:type="dxa"/>
            <w:shd w:val="clear" w:color="auto" w:fill="auto"/>
          </w:tcPr>
          <w:p w14:paraId="7E291962" w14:textId="37A17742" w:rsidR="00967B31" w:rsidRPr="002029AF" w:rsidRDefault="00035097" w:rsidP="000B18D1">
            <w:pPr>
              <w:pStyle w:val="ARtabletextright"/>
              <w:spacing w:before="70" w:after="50"/>
            </w:pPr>
            <w:r>
              <w:fldChar w:fldCharType="begin"/>
            </w:r>
            <w:r>
              <w:instrText xml:space="preserve"> PAGEREF _Ref85202675 \h </w:instrText>
            </w:r>
            <w:r>
              <w:fldChar w:fldCharType="separate"/>
            </w:r>
            <w:r w:rsidR="00E71361">
              <w:rPr>
                <w:noProof/>
              </w:rPr>
              <w:t>68</w:t>
            </w:r>
            <w:r>
              <w:fldChar w:fldCharType="end"/>
            </w:r>
          </w:p>
        </w:tc>
      </w:tr>
      <w:tr w:rsidR="00967B31" w:rsidRPr="002029AF" w14:paraId="3902A27E" w14:textId="77777777" w:rsidTr="005E2B07">
        <w:trPr>
          <w:cantSplit/>
        </w:trPr>
        <w:tc>
          <w:tcPr>
            <w:tcW w:w="1990" w:type="dxa"/>
            <w:shd w:val="clear" w:color="auto" w:fill="auto"/>
          </w:tcPr>
          <w:p w14:paraId="1BB1B2D0" w14:textId="77777777" w:rsidR="00967B31" w:rsidRPr="002029AF" w:rsidRDefault="00967B31" w:rsidP="000B18D1">
            <w:pPr>
              <w:pStyle w:val="ARtabletext"/>
              <w:spacing w:before="70" w:after="50"/>
            </w:pPr>
            <w:r w:rsidRPr="002029AF">
              <w:t>FRD 22H</w:t>
            </w:r>
          </w:p>
        </w:tc>
        <w:tc>
          <w:tcPr>
            <w:tcW w:w="6642" w:type="dxa"/>
            <w:shd w:val="clear" w:color="auto" w:fill="auto"/>
          </w:tcPr>
          <w:p w14:paraId="0B258884" w14:textId="77777777" w:rsidR="00967B31" w:rsidRPr="002029AF" w:rsidRDefault="00967B31" w:rsidP="000B18D1">
            <w:pPr>
              <w:pStyle w:val="ARtabletext"/>
              <w:spacing w:before="70" w:after="50"/>
            </w:pPr>
            <w:r w:rsidRPr="002029AF">
              <w:t>Significant changes in financial position during the year</w:t>
            </w:r>
          </w:p>
        </w:tc>
        <w:tc>
          <w:tcPr>
            <w:tcW w:w="1007" w:type="dxa"/>
            <w:shd w:val="clear" w:color="auto" w:fill="auto"/>
          </w:tcPr>
          <w:p w14:paraId="39F2F736" w14:textId="7BC8567E" w:rsidR="00967B31" w:rsidRPr="002029AF" w:rsidRDefault="00035097" w:rsidP="000B18D1">
            <w:pPr>
              <w:pStyle w:val="ARtabletextright"/>
              <w:spacing w:before="70" w:after="50"/>
            </w:pPr>
            <w:r>
              <w:fldChar w:fldCharType="begin"/>
            </w:r>
            <w:r>
              <w:instrText xml:space="preserve"> PAGEREF _Ref85202715 \h </w:instrText>
            </w:r>
            <w:r>
              <w:fldChar w:fldCharType="separate"/>
            </w:r>
            <w:r w:rsidR="00E71361">
              <w:rPr>
                <w:noProof/>
              </w:rPr>
              <w:t>69</w:t>
            </w:r>
            <w:r>
              <w:fldChar w:fldCharType="end"/>
            </w:r>
          </w:p>
        </w:tc>
      </w:tr>
      <w:tr w:rsidR="00967B31" w:rsidRPr="002029AF" w14:paraId="0E764925" w14:textId="77777777" w:rsidTr="005E2B07">
        <w:trPr>
          <w:cantSplit/>
        </w:trPr>
        <w:tc>
          <w:tcPr>
            <w:tcW w:w="1990" w:type="dxa"/>
            <w:shd w:val="clear" w:color="auto" w:fill="auto"/>
          </w:tcPr>
          <w:p w14:paraId="35208761" w14:textId="77777777" w:rsidR="00967B31" w:rsidRPr="002029AF" w:rsidRDefault="00967B31" w:rsidP="000B18D1">
            <w:pPr>
              <w:pStyle w:val="ARtabletext"/>
              <w:spacing w:before="70" w:after="50"/>
            </w:pPr>
            <w:r w:rsidRPr="002029AF">
              <w:t>FRD 22H</w:t>
            </w:r>
          </w:p>
        </w:tc>
        <w:tc>
          <w:tcPr>
            <w:tcW w:w="6642" w:type="dxa"/>
            <w:shd w:val="clear" w:color="auto" w:fill="auto"/>
          </w:tcPr>
          <w:p w14:paraId="3BF65248" w14:textId="77777777" w:rsidR="00967B31" w:rsidRPr="002029AF" w:rsidRDefault="00967B31" w:rsidP="000B18D1">
            <w:pPr>
              <w:pStyle w:val="ARtabletext"/>
              <w:spacing w:before="70" w:after="50"/>
            </w:pPr>
            <w:r w:rsidRPr="002029AF">
              <w:t>Major changes or factors affecting performance</w:t>
            </w:r>
          </w:p>
        </w:tc>
        <w:tc>
          <w:tcPr>
            <w:tcW w:w="1007" w:type="dxa"/>
            <w:shd w:val="clear" w:color="auto" w:fill="auto"/>
          </w:tcPr>
          <w:p w14:paraId="73BF56EA" w14:textId="74DF3594" w:rsidR="00967B31" w:rsidRPr="002029AF" w:rsidRDefault="00035097" w:rsidP="000B18D1">
            <w:pPr>
              <w:pStyle w:val="ARtabletextright"/>
              <w:spacing w:before="70" w:after="50"/>
            </w:pPr>
            <w:r>
              <w:fldChar w:fldCharType="begin"/>
            </w:r>
            <w:r>
              <w:instrText xml:space="preserve"> PAGEREF _Ref85202724 \h </w:instrText>
            </w:r>
            <w:r>
              <w:fldChar w:fldCharType="separate"/>
            </w:r>
            <w:r w:rsidR="00E71361">
              <w:rPr>
                <w:noProof/>
              </w:rPr>
              <w:t>69</w:t>
            </w:r>
            <w:r>
              <w:fldChar w:fldCharType="end"/>
            </w:r>
          </w:p>
        </w:tc>
      </w:tr>
      <w:tr w:rsidR="00967B31" w:rsidRPr="002029AF" w14:paraId="0843EF0C" w14:textId="77777777" w:rsidTr="005E2B07">
        <w:trPr>
          <w:cantSplit/>
        </w:trPr>
        <w:tc>
          <w:tcPr>
            <w:tcW w:w="1990" w:type="dxa"/>
            <w:shd w:val="clear" w:color="auto" w:fill="auto"/>
          </w:tcPr>
          <w:p w14:paraId="6AE0C6E9" w14:textId="77777777" w:rsidR="00967B31" w:rsidRPr="002029AF" w:rsidRDefault="00967B31" w:rsidP="000B18D1">
            <w:pPr>
              <w:pStyle w:val="ARtabletext"/>
              <w:spacing w:before="70" w:after="50"/>
            </w:pPr>
            <w:r w:rsidRPr="002029AF">
              <w:t>FRD 22H</w:t>
            </w:r>
          </w:p>
        </w:tc>
        <w:tc>
          <w:tcPr>
            <w:tcW w:w="6642" w:type="dxa"/>
            <w:shd w:val="clear" w:color="auto" w:fill="auto"/>
          </w:tcPr>
          <w:p w14:paraId="4C3BDADF" w14:textId="77777777" w:rsidR="00967B31" w:rsidRPr="002029AF" w:rsidRDefault="00967B31" w:rsidP="000B18D1">
            <w:pPr>
              <w:pStyle w:val="ARtabletext"/>
              <w:spacing w:before="70" w:after="50"/>
            </w:pPr>
            <w:r w:rsidRPr="002029AF">
              <w:t>Subsequent events</w:t>
            </w:r>
          </w:p>
        </w:tc>
        <w:tc>
          <w:tcPr>
            <w:tcW w:w="1007" w:type="dxa"/>
            <w:shd w:val="clear" w:color="auto" w:fill="auto"/>
          </w:tcPr>
          <w:p w14:paraId="2F486B2A" w14:textId="1AB96CEB" w:rsidR="00967B31" w:rsidRPr="002029AF" w:rsidRDefault="00035097" w:rsidP="000B18D1">
            <w:pPr>
              <w:pStyle w:val="ARtabletextright"/>
              <w:spacing w:before="70" w:after="50"/>
            </w:pPr>
            <w:r>
              <w:fldChar w:fldCharType="begin"/>
            </w:r>
            <w:r>
              <w:instrText xml:space="preserve"> PAGEREF _Ref85202646 \h </w:instrText>
            </w:r>
            <w:r>
              <w:fldChar w:fldCharType="separate"/>
            </w:r>
            <w:r w:rsidR="00E71361">
              <w:rPr>
                <w:noProof/>
              </w:rPr>
              <w:t>10</w:t>
            </w:r>
            <w:r>
              <w:fldChar w:fldCharType="end"/>
            </w:r>
            <w:r w:rsidR="00E629F2">
              <w:t xml:space="preserve">, </w:t>
            </w:r>
            <w:r w:rsidR="0000404B">
              <w:fldChar w:fldCharType="begin"/>
            </w:r>
            <w:r w:rsidR="0000404B">
              <w:instrText xml:space="preserve"> PAGEREF _Ref85022070 \h </w:instrText>
            </w:r>
            <w:r w:rsidR="0000404B">
              <w:fldChar w:fldCharType="separate"/>
            </w:r>
            <w:r w:rsidR="00E71361">
              <w:rPr>
                <w:noProof/>
              </w:rPr>
              <w:t>227</w:t>
            </w:r>
            <w:r w:rsidR="0000404B">
              <w:fldChar w:fldCharType="end"/>
            </w:r>
          </w:p>
        </w:tc>
      </w:tr>
      <w:tr w:rsidR="00967B31" w:rsidRPr="002029AF" w14:paraId="5E954F6B" w14:textId="77777777" w:rsidTr="005E2B07">
        <w:trPr>
          <w:cantSplit/>
        </w:trPr>
        <w:tc>
          <w:tcPr>
            <w:tcW w:w="1990" w:type="dxa"/>
            <w:shd w:val="clear" w:color="auto" w:fill="auto"/>
          </w:tcPr>
          <w:p w14:paraId="31364918" w14:textId="77777777" w:rsidR="00967B31" w:rsidRPr="002029AF" w:rsidRDefault="00967B31" w:rsidP="000B18D1">
            <w:pPr>
              <w:pStyle w:val="ARtabletext"/>
              <w:spacing w:before="70" w:after="50"/>
            </w:pPr>
            <w:r w:rsidRPr="002029AF">
              <w:t>FRD 22H</w:t>
            </w:r>
          </w:p>
        </w:tc>
        <w:tc>
          <w:tcPr>
            <w:tcW w:w="6642" w:type="dxa"/>
            <w:shd w:val="clear" w:color="auto" w:fill="auto"/>
          </w:tcPr>
          <w:p w14:paraId="0A9EFE3B" w14:textId="77777777" w:rsidR="00967B31" w:rsidRPr="002029AF" w:rsidRDefault="00967B31" w:rsidP="000B18D1">
            <w:pPr>
              <w:pStyle w:val="ARtabletext"/>
              <w:spacing w:before="70" w:after="50"/>
            </w:pPr>
            <w:r w:rsidRPr="002029AF">
              <w:t xml:space="preserve">Application and operation of </w:t>
            </w:r>
            <w:r w:rsidRPr="002029AF">
              <w:rPr>
                <w:i/>
              </w:rPr>
              <w:t>Freedom of Information Act 1982</w:t>
            </w:r>
          </w:p>
        </w:tc>
        <w:tc>
          <w:tcPr>
            <w:tcW w:w="1007" w:type="dxa"/>
            <w:shd w:val="clear" w:color="auto" w:fill="auto"/>
          </w:tcPr>
          <w:p w14:paraId="108BCF1D" w14:textId="0C558800" w:rsidR="00967B31" w:rsidRPr="002029AF" w:rsidRDefault="00035097" w:rsidP="000B18D1">
            <w:pPr>
              <w:pStyle w:val="ARtabletextright"/>
              <w:spacing w:before="70" w:after="50"/>
            </w:pPr>
            <w:r>
              <w:fldChar w:fldCharType="begin"/>
            </w:r>
            <w:r>
              <w:instrText xml:space="preserve"> PAGEREF _Ref85202889 \h </w:instrText>
            </w:r>
            <w:r>
              <w:fldChar w:fldCharType="separate"/>
            </w:r>
            <w:r w:rsidR="00E71361">
              <w:rPr>
                <w:noProof/>
              </w:rPr>
              <w:t>112</w:t>
            </w:r>
            <w:r>
              <w:fldChar w:fldCharType="end"/>
            </w:r>
          </w:p>
        </w:tc>
      </w:tr>
      <w:tr w:rsidR="00967B31" w:rsidRPr="002029AF" w14:paraId="39FF32F5" w14:textId="77777777" w:rsidTr="005E2B07">
        <w:trPr>
          <w:cantSplit/>
        </w:trPr>
        <w:tc>
          <w:tcPr>
            <w:tcW w:w="1990" w:type="dxa"/>
            <w:shd w:val="clear" w:color="auto" w:fill="auto"/>
          </w:tcPr>
          <w:p w14:paraId="2114AB71" w14:textId="77777777" w:rsidR="00967B31" w:rsidRPr="002029AF" w:rsidRDefault="00967B31" w:rsidP="000B18D1">
            <w:pPr>
              <w:pStyle w:val="ARtabletext"/>
              <w:spacing w:before="70" w:after="50"/>
            </w:pPr>
            <w:r w:rsidRPr="002029AF">
              <w:t>FRD 22H</w:t>
            </w:r>
          </w:p>
        </w:tc>
        <w:tc>
          <w:tcPr>
            <w:tcW w:w="6642" w:type="dxa"/>
            <w:shd w:val="clear" w:color="auto" w:fill="auto"/>
          </w:tcPr>
          <w:p w14:paraId="3101D349" w14:textId="77777777" w:rsidR="00967B31" w:rsidRPr="002029AF" w:rsidRDefault="00967B31" w:rsidP="000B18D1">
            <w:pPr>
              <w:pStyle w:val="ARtabletext"/>
              <w:spacing w:before="70" w:after="50"/>
            </w:pPr>
            <w:r w:rsidRPr="002029AF">
              <w:t xml:space="preserve">Compliance with building and maintenance provisions of </w:t>
            </w:r>
            <w:r w:rsidRPr="002029AF">
              <w:rPr>
                <w:i/>
              </w:rPr>
              <w:t>Building Act 1993</w:t>
            </w:r>
          </w:p>
        </w:tc>
        <w:tc>
          <w:tcPr>
            <w:tcW w:w="1007" w:type="dxa"/>
            <w:shd w:val="clear" w:color="auto" w:fill="auto"/>
          </w:tcPr>
          <w:p w14:paraId="2E136B11" w14:textId="1D3A105E" w:rsidR="00967B31" w:rsidRPr="002029AF" w:rsidRDefault="00B34EAD" w:rsidP="000B18D1">
            <w:pPr>
              <w:pStyle w:val="ARtabletextright"/>
              <w:spacing w:before="70" w:after="50"/>
            </w:pPr>
            <w:r>
              <w:fldChar w:fldCharType="begin"/>
            </w:r>
            <w:r>
              <w:instrText xml:space="preserve"> PAGEREF _Ref84240793 \h </w:instrText>
            </w:r>
            <w:r>
              <w:fldChar w:fldCharType="separate"/>
            </w:r>
            <w:r w:rsidR="00E71361">
              <w:rPr>
                <w:noProof/>
              </w:rPr>
              <w:t>111</w:t>
            </w:r>
            <w:r>
              <w:fldChar w:fldCharType="end"/>
            </w:r>
          </w:p>
        </w:tc>
      </w:tr>
      <w:tr w:rsidR="00967B31" w:rsidRPr="002029AF" w14:paraId="73958308" w14:textId="77777777" w:rsidTr="005E2B07">
        <w:trPr>
          <w:cantSplit/>
        </w:trPr>
        <w:tc>
          <w:tcPr>
            <w:tcW w:w="1990" w:type="dxa"/>
            <w:shd w:val="clear" w:color="auto" w:fill="auto"/>
          </w:tcPr>
          <w:p w14:paraId="0E52BB4C" w14:textId="77777777" w:rsidR="00967B31" w:rsidRPr="002029AF" w:rsidRDefault="00967B31" w:rsidP="000B18D1">
            <w:pPr>
              <w:pStyle w:val="ARtabletext"/>
              <w:spacing w:before="70" w:after="50"/>
            </w:pPr>
            <w:r w:rsidRPr="002029AF">
              <w:t>FRD 22H</w:t>
            </w:r>
          </w:p>
        </w:tc>
        <w:tc>
          <w:tcPr>
            <w:tcW w:w="6642" w:type="dxa"/>
            <w:shd w:val="clear" w:color="auto" w:fill="auto"/>
          </w:tcPr>
          <w:p w14:paraId="16E8015E" w14:textId="77777777" w:rsidR="00967B31" w:rsidRPr="002029AF" w:rsidRDefault="00967B31" w:rsidP="000B18D1">
            <w:pPr>
              <w:pStyle w:val="ARtabletext"/>
              <w:spacing w:before="70" w:after="50"/>
            </w:pPr>
            <w:r w:rsidRPr="002029AF">
              <w:t>Statement on National Competition Policy</w:t>
            </w:r>
          </w:p>
        </w:tc>
        <w:tc>
          <w:tcPr>
            <w:tcW w:w="1007" w:type="dxa"/>
            <w:shd w:val="clear" w:color="auto" w:fill="auto"/>
          </w:tcPr>
          <w:p w14:paraId="5D8933CF" w14:textId="2EC0396D" w:rsidR="00967B31" w:rsidRPr="002029AF" w:rsidRDefault="0044071B" w:rsidP="000B18D1">
            <w:pPr>
              <w:pStyle w:val="ARtabletextright"/>
              <w:spacing w:before="70" w:after="50"/>
            </w:pPr>
            <w:r>
              <w:fldChar w:fldCharType="begin"/>
            </w:r>
            <w:r>
              <w:instrText xml:space="preserve"> PAGEREF _Ref85615953 \h </w:instrText>
            </w:r>
            <w:r>
              <w:fldChar w:fldCharType="separate"/>
            </w:r>
            <w:r w:rsidR="00E71361">
              <w:rPr>
                <w:noProof/>
              </w:rPr>
              <w:t>111</w:t>
            </w:r>
            <w:r>
              <w:fldChar w:fldCharType="end"/>
            </w:r>
          </w:p>
        </w:tc>
      </w:tr>
      <w:tr w:rsidR="00967B31" w:rsidRPr="002029AF" w14:paraId="4306A08E" w14:textId="77777777" w:rsidTr="005E2B07">
        <w:trPr>
          <w:cantSplit/>
        </w:trPr>
        <w:tc>
          <w:tcPr>
            <w:tcW w:w="1990" w:type="dxa"/>
            <w:shd w:val="clear" w:color="auto" w:fill="auto"/>
          </w:tcPr>
          <w:p w14:paraId="49D0CD41" w14:textId="77777777" w:rsidR="00967B31" w:rsidRPr="002029AF" w:rsidRDefault="00967B31" w:rsidP="000B18D1">
            <w:pPr>
              <w:pStyle w:val="ARtabletext"/>
              <w:spacing w:before="70" w:after="50"/>
            </w:pPr>
            <w:r w:rsidRPr="002029AF">
              <w:t>FRD 22H</w:t>
            </w:r>
          </w:p>
        </w:tc>
        <w:tc>
          <w:tcPr>
            <w:tcW w:w="6642" w:type="dxa"/>
            <w:shd w:val="clear" w:color="auto" w:fill="auto"/>
          </w:tcPr>
          <w:p w14:paraId="6A5F207C" w14:textId="77777777" w:rsidR="00967B31" w:rsidRPr="002029AF" w:rsidRDefault="00967B31" w:rsidP="000B18D1">
            <w:pPr>
              <w:pStyle w:val="ARtabletext"/>
              <w:spacing w:before="70" w:after="50"/>
            </w:pPr>
            <w:r w:rsidRPr="002029AF">
              <w:t xml:space="preserve">Application and operation of the </w:t>
            </w:r>
            <w:r>
              <w:rPr>
                <w:i/>
              </w:rPr>
              <w:t>Public Interest</w:t>
            </w:r>
            <w:r w:rsidRPr="002029AF">
              <w:rPr>
                <w:i/>
              </w:rPr>
              <w:t xml:space="preserve"> Disclosures Act 2012</w:t>
            </w:r>
          </w:p>
        </w:tc>
        <w:tc>
          <w:tcPr>
            <w:tcW w:w="1007" w:type="dxa"/>
            <w:shd w:val="clear" w:color="auto" w:fill="auto"/>
          </w:tcPr>
          <w:p w14:paraId="5E6E2823" w14:textId="6EED1748" w:rsidR="00967B31" w:rsidRPr="002029AF" w:rsidRDefault="00B34EAD" w:rsidP="000B18D1">
            <w:pPr>
              <w:pStyle w:val="ARtabletextright"/>
              <w:spacing w:before="70" w:after="50"/>
            </w:pPr>
            <w:r>
              <w:fldChar w:fldCharType="begin"/>
            </w:r>
            <w:r>
              <w:instrText xml:space="preserve"> PAGEREF _Ref84240900 \h </w:instrText>
            </w:r>
            <w:r>
              <w:fldChar w:fldCharType="separate"/>
            </w:r>
            <w:r w:rsidR="00E71361">
              <w:rPr>
                <w:noProof/>
              </w:rPr>
              <w:t>113</w:t>
            </w:r>
            <w:r>
              <w:fldChar w:fldCharType="end"/>
            </w:r>
          </w:p>
        </w:tc>
      </w:tr>
      <w:tr w:rsidR="00967B31" w:rsidRPr="002029AF" w14:paraId="2C196480" w14:textId="77777777" w:rsidTr="005E2B07">
        <w:trPr>
          <w:cantSplit/>
        </w:trPr>
        <w:tc>
          <w:tcPr>
            <w:tcW w:w="1990" w:type="dxa"/>
            <w:shd w:val="clear" w:color="auto" w:fill="auto"/>
          </w:tcPr>
          <w:p w14:paraId="704A3941" w14:textId="77777777" w:rsidR="00967B31" w:rsidRPr="002029AF" w:rsidRDefault="00967B31" w:rsidP="000B18D1">
            <w:pPr>
              <w:pStyle w:val="ARtabletext"/>
              <w:spacing w:before="70" w:after="50"/>
            </w:pPr>
            <w:r w:rsidRPr="002029AF">
              <w:t>FRD 22H</w:t>
            </w:r>
          </w:p>
        </w:tc>
        <w:tc>
          <w:tcPr>
            <w:tcW w:w="6642" w:type="dxa"/>
            <w:shd w:val="clear" w:color="auto" w:fill="auto"/>
          </w:tcPr>
          <w:p w14:paraId="6A83725D" w14:textId="77777777" w:rsidR="00967B31" w:rsidRPr="002029AF" w:rsidRDefault="00967B31" w:rsidP="000B18D1">
            <w:pPr>
              <w:pStyle w:val="ARtabletext"/>
              <w:spacing w:before="70" w:after="50"/>
            </w:pPr>
            <w:r w:rsidRPr="002029AF">
              <w:t xml:space="preserve">Application and operation of the </w:t>
            </w:r>
            <w:r w:rsidRPr="002029AF">
              <w:rPr>
                <w:i/>
              </w:rPr>
              <w:t>Carers Recognition Act 2012</w:t>
            </w:r>
          </w:p>
        </w:tc>
        <w:tc>
          <w:tcPr>
            <w:tcW w:w="1007" w:type="dxa"/>
            <w:shd w:val="clear" w:color="auto" w:fill="auto"/>
          </w:tcPr>
          <w:p w14:paraId="4FC74E73" w14:textId="426A93CC" w:rsidR="00967B31" w:rsidRPr="002029AF" w:rsidRDefault="00B34EAD" w:rsidP="000B18D1">
            <w:pPr>
              <w:pStyle w:val="ARtabletextright"/>
              <w:spacing w:before="70" w:after="50"/>
            </w:pPr>
            <w:r>
              <w:fldChar w:fldCharType="begin"/>
            </w:r>
            <w:r>
              <w:instrText xml:space="preserve"> PAGEREF _Ref21956652 \h </w:instrText>
            </w:r>
            <w:r>
              <w:fldChar w:fldCharType="separate"/>
            </w:r>
            <w:r w:rsidR="00E71361">
              <w:rPr>
                <w:noProof/>
              </w:rPr>
              <w:t>114</w:t>
            </w:r>
            <w:r>
              <w:fldChar w:fldCharType="end"/>
            </w:r>
          </w:p>
        </w:tc>
      </w:tr>
      <w:tr w:rsidR="00967B31" w:rsidRPr="002029AF" w14:paraId="7871D0A2" w14:textId="77777777" w:rsidTr="005E2B07">
        <w:trPr>
          <w:cantSplit/>
        </w:trPr>
        <w:tc>
          <w:tcPr>
            <w:tcW w:w="1990" w:type="dxa"/>
            <w:shd w:val="clear" w:color="auto" w:fill="auto"/>
          </w:tcPr>
          <w:p w14:paraId="65314A5B" w14:textId="77777777" w:rsidR="00967B31" w:rsidRPr="002029AF" w:rsidRDefault="00967B31" w:rsidP="000B18D1">
            <w:pPr>
              <w:pStyle w:val="ARtabletext"/>
              <w:spacing w:before="70" w:after="50"/>
            </w:pPr>
            <w:r w:rsidRPr="002029AF">
              <w:t>FRD 22H</w:t>
            </w:r>
          </w:p>
        </w:tc>
        <w:tc>
          <w:tcPr>
            <w:tcW w:w="6642" w:type="dxa"/>
            <w:shd w:val="clear" w:color="auto" w:fill="auto"/>
          </w:tcPr>
          <w:p w14:paraId="2EFE6651" w14:textId="77777777" w:rsidR="00967B31" w:rsidRPr="002029AF" w:rsidRDefault="00967B31" w:rsidP="000B18D1">
            <w:pPr>
              <w:pStyle w:val="ARtabletext"/>
              <w:spacing w:before="70" w:after="50"/>
            </w:pPr>
            <w:r w:rsidRPr="002029AF">
              <w:t>Details of consultancies over $10,000</w:t>
            </w:r>
          </w:p>
        </w:tc>
        <w:tc>
          <w:tcPr>
            <w:tcW w:w="1007" w:type="dxa"/>
            <w:shd w:val="clear" w:color="auto" w:fill="auto"/>
          </w:tcPr>
          <w:p w14:paraId="70A8026C" w14:textId="6CDCA825" w:rsidR="00967B31" w:rsidRPr="002029AF" w:rsidRDefault="00787AA2" w:rsidP="000B18D1">
            <w:pPr>
              <w:pStyle w:val="ARtabletextright"/>
              <w:spacing w:before="70" w:after="50"/>
            </w:pPr>
            <w:r>
              <w:fldChar w:fldCharType="begin"/>
            </w:r>
            <w:r>
              <w:instrText xml:space="preserve"> PAGEREF _Ref84252255 \h </w:instrText>
            </w:r>
            <w:r>
              <w:fldChar w:fldCharType="separate"/>
            </w:r>
            <w:r w:rsidR="00E71361">
              <w:rPr>
                <w:noProof/>
              </w:rPr>
              <w:t>105</w:t>
            </w:r>
            <w:r>
              <w:fldChar w:fldCharType="end"/>
            </w:r>
          </w:p>
        </w:tc>
      </w:tr>
      <w:tr w:rsidR="00967B31" w:rsidRPr="002029AF" w14:paraId="0C8FE5E4" w14:textId="77777777" w:rsidTr="005E2B07">
        <w:trPr>
          <w:cantSplit/>
        </w:trPr>
        <w:tc>
          <w:tcPr>
            <w:tcW w:w="1990" w:type="dxa"/>
            <w:shd w:val="clear" w:color="auto" w:fill="auto"/>
          </w:tcPr>
          <w:p w14:paraId="415DCA2B" w14:textId="77777777" w:rsidR="00967B31" w:rsidRPr="002029AF" w:rsidRDefault="00967B31" w:rsidP="000B18D1">
            <w:pPr>
              <w:pStyle w:val="ARtabletext"/>
              <w:spacing w:before="70" w:after="50"/>
            </w:pPr>
            <w:r w:rsidRPr="002029AF">
              <w:t>FRD 22H</w:t>
            </w:r>
          </w:p>
        </w:tc>
        <w:tc>
          <w:tcPr>
            <w:tcW w:w="6642" w:type="dxa"/>
            <w:shd w:val="clear" w:color="auto" w:fill="auto"/>
          </w:tcPr>
          <w:p w14:paraId="46219C14" w14:textId="77777777" w:rsidR="00967B31" w:rsidRPr="002029AF" w:rsidRDefault="00967B31" w:rsidP="000B18D1">
            <w:pPr>
              <w:pStyle w:val="ARtabletext"/>
              <w:spacing w:before="70" w:after="50"/>
            </w:pPr>
            <w:r w:rsidRPr="002029AF">
              <w:t>Details of consultancies under $10,000</w:t>
            </w:r>
          </w:p>
        </w:tc>
        <w:tc>
          <w:tcPr>
            <w:tcW w:w="1007" w:type="dxa"/>
            <w:shd w:val="clear" w:color="auto" w:fill="auto"/>
          </w:tcPr>
          <w:p w14:paraId="126D778C" w14:textId="69BADEE6" w:rsidR="00967B31" w:rsidRPr="002029AF" w:rsidRDefault="00787AA2" w:rsidP="000B18D1">
            <w:pPr>
              <w:pStyle w:val="ARtabletextright"/>
              <w:spacing w:before="70" w:after="50"/>
            </w:pPr>
            <w:r>
              <w:fldChar w:fldCharType="begin"/>
            </w:r>
            <w:r>
              <w:instrText xml:space="preserve"> PAGEREF _Ref84252249 \h </w:instrText>
            </w:r>
            <w:r>
              <w:fldChar w:fldCharType="separate"/>
            </w:r>
            <w:r w:rsidR="00E71361">
              <w:rPr>
                <w:noProof/>
              </w:rPr>
              <w:t>105</w:t>
            </w:r>
            <w:r>
              <w:fldChar w:fldCharType="end"/>
            </w:r>
          </w:p>
        </w:tc>
      </w:tr>
      <w:tr w:rsidR="00967B31" w:rsidRPr="002029AF" w14:paraId="7D8CB4EE" w14:textId="77777777" w:rsidTr="005E2B07">
        <w:trPr>
          <w:cantSplit/>
        </w:trPr>
        <w:tc>
          <w:tcPr>
            <w:tcW w:w="1990" w:type="dxa"/>
            <w:shd w:val="clear" w:color="auto" w:fill="auto"/>
          </w:tcPr>
          <w:p w14:paraId="07731FDE" w14:textId="77777777" w:rsidR="00967B31" w:rsidRPr="002029AF" w:rsidRDefault="00967B31" w:rsidP="000B18D1">
            <w:pPr>
              <w:pStyle w:val="ARtabletext"/>
              <w:spacing w:before="70" w:after="50"/>
            </w:pPr>
            <w:r w:rsidRPr="002029AF">
              <w:t>FRD 22H</w:t>
            </w:r>
          </w:p>
        </w:tc>
        <w:tc>
          <w:tcPr>
            <w:tcW w:w="6642" w:type="dxa"/>
            <w:shd w:val="clear" w:color="auto" w:fill="auto"/>
          </w:tcPr>
          <w:p w14:paraId="669A386D" w14:textId="77777777" w:rsidR="00967B31" w:rsidRPr="002029AF" w:rsidRDefault="00967B31" w:rsidP="000B18D1">
            <w:pPr>
              <w:pStyle w:val="ARtabletext"/>
              <w:spacing w:before="70" w:after="50"/>
            </w:pPr>
            <w:r w:rsidRPr="002029AF">
              <w:t>Disclosure of government advertising expenditure</w:t>
            </w:r>
          </w:p>
        </w:tc>
        <w:tc>
          <w:tcPr>
            <w:tcW w:w="1007" w:type="dxa"/>
            <w:shd w:val="clear" w:color="auto" w:fill="auto"/>
          </w:tcPr>
          <w:p w14:paraId="457390F4" w14:textId="1E0D4290" w:rsidR="00967B31" w:rsidRPr="002029AF" w:rsidRDefault="00787AA2" w:rsidP="000B18D1">
            <w:pPr>
              <w:pStyle w:val="ARtabletextright"/>
              <w:spacing w:before="70" w:after="50"/>
            </w:pPr>
            <w:r>
              <w:fldChar w:fldCharType="begin"/>
            </w:r>
            <w:r>
              <w:instrText xml:space="preserve"> PAGEREF _Ref84252239 \h </w:instrText>
            </w:r>
            <w:r>
              <w:fldChar w:fldCharType="separate"/>
            </w:r>
            <w:r w:rsidR="00E71361">
              <w:rPr>
                <w:noProof/>
              </w:rPr>
              <w:t>103</w:t>
            </w:r>
            <w:r>
              <w:fldChar w:fldCharType="end"/>
            </w:r>
          </w:p>
        </w:tc>
      </w:tr>
      <w:tr w:rsidR="00967B31" w:rsidRPr="002029AF" w14:paraId="69A1C8F5" w14:textId="77777777" w:rsidTr="005E2B07">
        <w:trPr>
          <w:cantSplit/>
        </w:trPr>
        <w:tc>
          <w:tcPr>
            <w:tcW w:w="1990" w:type="dxa"/>
            <w:shd w:val="clear" w:color="auto" w:fill="auto"/>
          </w:tcPr>
          <w:p w14:paraId="1A061BEE" w14:textId="77777777" w:rsidR="00967B31" w:rsidRPr="002029AF" w:rsidRDefault="00967B31" w:rsidP="000B18D1">
            <w:pPr>
              <w:pStyle w:val="ARtabletext"/>
              <w:spacing w:before="70" w:after="50"/>
            </w:pPr>
            <w:r w:rsidRPr="002029AF">
              <w:t>FRD 22H</w:t>
            </w:r>
          </w:p>
        </w:tc>
        <w:tc>
          <w:tcPr>
            <w:tcW w:w="6642" w:type="dxa"/>
            <w:shd w:val="clear" w:color="auto" w:fill="auto"/>
          </w:tcPr>
          <w:p w14:paraId="776A2A89" w14:textId="77777777" w:rsidR="00967B31" w:rsidRPr="002029AF" w:rsidRDefault="00967B31" w:rsidP="000B18D1">
            <w:pPr>
              <w:pStyle w:val="ARtabletext"/>
              <w:spacing w:before="70" w:after="50"/>
            </w:pPr>
            <w:r w:rsidRPr="002029AF">
              <w:t>Disclosure of ICT expenditure</w:t>
            </w:r>
          </w:p>
        </w:tc>
        <w:tc>
          <w:tcPr>
            <w:tcW w:w="1007" w:type="dxa"/>
            <w:shd w:val="clear" w:color="auto" w:fill="auto"/>
          </w:tcPr>
          <w:p w14:paraId="3EEEC900" w14:textId="2F53FCA6" w:rsidR="00967B31" w:rsidRPr="002029AF" w:rsidRDefault="00787AA2" w:rsidP="000B18D1">
            <w:pPr>
              <w:pStyle w:val="ARtabletextright"/>
              <w:spacing w:before="70" w:after="50"/>
            </w:pPr>
            <w:r>
              <w:fldChar w:fldCharType="begin"/>
            </w:r>
            <w:r>
              <w:instrText xml:space="preserve"> PAGEREF _Ref84252230 \h </w:instrText>
            </w:r>
            <w:r>
              <w:fldChar w:fldCharType="separate"/>
            </w:r>
            <w:r w:rsidR="00E71361">
              <w:rPr>
                <w:noProof/>
              </w:rPr>
              <w:t>111</w:t>
            </w:r>
            <w:r>
              <w:fldChar w:fldCharType="end"/>
            </w:r>
          </w:p>
        </w:tc>
      </w:tr>
      <w:tr w:rsidR="00967B31" w:rsidRPr="002029AF" w14:paraId="5D10F56C" w14:textId="77777777" w:rsidTr="005E2B07">
        <w:trPr>
          <w:cantSplit/>
        </w:trPr>
        <w:tc>
          <w:tcPr>
            <w:tcW w:w="1990" w:type="dxa"/>
            <w:shd w:val="clear" w:color="auto" w:fill="auto"/>
          </w:tcPr>
          <w:p w14:paraId="7EA75589" w14:textId="77777777" w:rsidR="00967B31" w:rsidRPr="002029AF" w:rsidRDefault="00967B31" w:rsidP="000B18D1">
            <w:pPr>
              <w:pStyle w:val="ARtabletext"/>
              <w:spacing w:before="70" w:after="50"/>
            </w:pPr>
            <w:r w:rsidRPr="002029AF">
              <w:t>FRD 22H</w:t>
            </w:r>
          </w:p>
        </w:tc>
        <w:tc>
          <w:tcPr>
            <w:tcW w:w="6642" w:type="dxa"/>
            <w:shd w:val="clear" w:color="auto" w:fill="auto"/>
          </w:tcPr>
          <w:p w14:paraId="7489769B" w14:textId="77777777" w:rsidR="00967B31" w:rsidRPr="002029AF" w:rsidRDefault="00967B31" w:rsidP="000B18D1">
            <w:pPr>
              <w:pStyle w:val="ARtabletext"/>
              <w:spacing w:before="70" w:after="50"/>
            </w:pPr>
            <w:r w:rsidRPr="002029AF">
              <w:t>Statement of availability of other information</w:t>
            </w:r>
          </w:p>
        </w:tc>
        <w:tc>
          <w:tcPr>
            <w:tcW w:w="1007" w:type="dxa"/>
            <w:shd w:val="clear" w:color="auto" w:fill="auto"/>
          </w:tcPr>
          <w:p w14:paraId="589812AA" w14:textId="3CC4E91E" w:rsidR="00967B31" w:rsidRPr="002029AF" w:rsidRDefault="00EA7851" w:rsidP="000B18D1">
            <w:pPr>
              <w:pStyle w:val="ARtabletextright"/>
              <w:spacing w:before="70" w:after="50"/>
            </w:pPr>
            <w:r>
              <w:fldChar w:fldCharType="begin"/>
            </w:r>
            <w:r>
              <w:instrText xml:space="preserve"> PAGEREF _Ref84252196 \h </w:instrText>
            </w:r>
            <w:r>
              <w:fldChar w:fldCharType="separate"/>
            </w:r>
            <w:r w:rsidR="00E71361">
              <w:rPr>
                <w:noProof/>
              </w:rPr>
              <w:t>115</w:t>
            </w:r>
            <w:r>
              <w:fldChar w:fldCharType="end"/>
            </w:r>
          </w:p>
        </w:tc>
      </w:tr>
      <w:tr w:rsidR="00967B31" w:rsidRPr="002029AF" w14:paraId="77B02ED1" w14:textId="77777777" w:rsidTr="005E2B07">
        <w:trPr>
          <w:cantSplit/>
        </w:trPr>
        <w:tc>
          <w:tcPr>
            <w:tcW w:w="1990" w:type="dxa"/>
            <w:shd w:val="clear" w:color="auto" w:fill="auto"/>
          </w:tcPr>
          <w:p w14:paraId="6EA41F20" w14:textId="77777777" w:rsidR="00967B31" w:rsidRPr="002029AF" w:rsidRDefault="00967B31" w:rsidP="000B18D1">
            <w:pPr>
              <w:pStyle w:val="ARtabletext"/>
              <w:spacing w:before="70" w:after="50"/>
            </w:pPr>
            <w:r w:rsidRPr="002029AF">
              <w:t>FRD 24</w:t>
            </w:r>
            <w:r>
              <w:t>D</w:t>
            </w:r>
          </w:p>
        </w:tc>
        <w:tc>
          <w:tcPr>
            <w:tcW w:w="6642" w:type="dxa"/>
            <w:shd w:val="clear" w:color="auto" w:fill="auto"/>
          </w:tcPr>
          <w:p w14:paraId="294B083C" w14:textId="77777777" w:rsidR="00967B31" w:rsidRPr="002029AF" w:rsidRDefault="00967B31" w:rsidP="000B18D1">
            <w:pPr>
              <w:pStyle w:val="ARtabletext"/>
              <w:spacing w:before="70" w:after="50"/>
            </w:pPr>
            <w:r w:rsidRPr="002029AF">
              <w:t>Reporting of office-based environmental impacts</w:t>
            </w:r>
          </w:p>
        </w:tc>
        <w:tc>
          <w:tcPr>
            <w:tcW w:w="1007" w:type="dxa"/>
            <w:shd w:val="clear" w:color="auto" w:fill="auto"/>
          </w:tcPr>
          <w:p w14:paraId="3E87B825" w14:textId="70A1D347" w:rsidR="00967B31" w:rsidRPr="002029AF" w:rsidRDefault="0044071B" w:rsidP="000B18D1">
            <w:pPr>
              <w:pStyle w:val="ARtabletextright"/>
              <w:spacing w:before="70" w:after="50"/>
            </w:pPr>
            <w:r>
              <w:fldChar w:fldCharType="begin"/>
            </w:r>
            <w:r>
              <w:instrText xml:space="preserve"> PAGEREF _Ref85616079 \h </w:instrText>
            </w:r>
            <w:r>
              <w:fldChar w:fldCharType="separate"/>
            </w:r>
            <w:r w:rsidR="00E71361">
              <w:rPr>
                <w:noProof/>
              </w:rPr>
              <w:t>118</w:t>
            </w:r>
            <w:r>
              <w:fldChar w:fldCharType="end"/>
            </w:r>
          </w:p>
        </w:tc>
      </w:tr>
      <w:tr w:rsidR="00967B31" w:rsidRPr="002029AF" w14:paraId="0AAC6FC1" w14:textId="77777777" w:rsidTr="005E2B07">
        <w:trPr>
          <w:cantSplit/>
        </w:trPr>
        <w:tc>
          <w:tcPr>
            <w:tcW w:w="1990" w:type="dxa"/>
            <w:shd w:val="clear" w:color="auto" w:fill="auto"/>
          </w:tcPr>
          <w:p w14:paraId="75A96FEB" w14:textId="77777777" w:rsidR="00967B31" w:rsidRPr="002029AF" w:rsidRDefault="00967B31" w:rsidP="000B18D1">
            <w:pPr>
              <w:pStyle w:val="ARtabletext"/>
              <w:spacing w:before="70" w:after="50"/>
            </w:pPr>
            <w:r w:rsidRPr="002029AF">
              <w:t>FRD 25D</w:t>
            </w:r>
          </w:p>
        </w:tc>
        <w:tc>
          <w:tcPr>
            <w:tcW w:w="6642" w:type="dxa"/>
            <w:shd w:val="clear" w:color="auto" w:fill="auto"/>
          </w:tcPr>
          <w:p w14:paraId="00377DD7" w14:textId="77777777" w:rsidR="00967B31" w:rsidRPr="002029AF" w:rsidRDefault="00967B31" w:rsidP="000B18D1">
            <w:pPr>
              <w:pStyle w:val="ARtabletext"/>
              <w:spacing w:before="70" w:after="50"/>
            </w:pPr>
            <w:r w:rsidRPr="002029AF">
              <w:t xml:space="preserve">Local Jobs </w:t>
            </w:r>
            <w:r>
              <w:t>First</w:t>
            </w:r>
          </w:p>
        </w:tc>
        <w:tc>
          <w:tcPr>
            <w:tcW w:w="1007" w:type="dxa"/>
            <w:shd w:val="clear" w:color="auto" w:fill="auto"/>
          </w:tcPr>
          <w:p w14:paraId="6BE35122" w14:textId="49696F0A" w:rsidR="00967B31" w:rsidRPr="002029AF" w:rsidRDefault="005D5A75" w:rsidP="000B18D1">
            <w:pPr>
              <w:pStyle w:val="ARtabletextright"/>
              <w:spacing w:before="70" w:after="50"/>
            </w:pPr>
            <w:r>
              <w:fldChar w:fldCharType="begin"/>
            </w:r>
            <w:r>
              <w:instrText xml:space="preserve"> PAGEREF _Ref84240846 \h </w:instrText>
            </w:r>
            <w:r>
              <w:fldChar w:fldCharType="separate"/>
            </w:r>
            <w:r w:rsidR="00E71361">
              <w:rPr>
                <w:noProof/>
              </w:rPr>
              <w:t>101</w:t>
            </w:r>
            <w:r>
              <w:fldChar w:fldCharType="end"/>
            </w:r>
          </w:p>
        </w:tc>
      </w:tr>
      <w:tr w:rsidR="00967B31" w:rsidRPr="002029AF" w14:paraId="7A10D02D" w14:textId="77777777" w:rsidTr="005E2B07">
        <w:trPr>
          <w:cantSplit/>
        </w:trPr>
        <w:tc>
          <w:tcPr>
            <w:tcW w:w="1990" w:type="dxa"/>
            <w:shd w:val="clear" w:color="auto" w:fill="auto"/>
          </w:tcPr>
          <w:p w14:paraId="1447FE48" w14:textId="77777777" w:rsidR="00967B31" w:rsidRPr="002029AF" w:rsidRDefault="00967B31" w:rsidP="000B18D1">
            <w:pPr>
              <w:pStyle w:val="ARtabletext"/>
              <w:spacing w:before="70" w:after="50"/>
            </w:pPr>
            <w:r w:rsidRPr="002029AF">
              <w:t>FRD 29</w:t>
            </w:r>
            <w:r>
              <w:t>C</w:t>
            </w:r>
          </w:p>
        </w:tc>
        <w:tc>
          <w:tcPr>
            <w:tcW w:w="6642" w:type="dxa"/>
            <w:shd w:val="clear" w:color="auto" w:fill="auto"/>
          </w:tcPr>
          <w:p w14:paraId="28F2C85B" w14:textId="77777777" w:rsidR="00967B31" w:rsidRPr="002029AF" w:rsidRDefault="00967B31" w:rsidP="000B18D1">
            <w:pPr>
              <w:pStyle w:val="ARtabletext"/>
              <w:spacing w:before="70" w:after="50"/>
            </w:pPr>
            <w:r w:rsidRPr="002029AF">
              <w:t>Workforce data disclosures</w:t>
            </w:r>
          </w:p>
        </w:tc>
        <w:tc>
          <w:tcPr>
            <w:tcW w:w="1007" w:type="dxa"/>
            <w:shd w:val="clear" w:color="auto" w:fill="auto"/>
          </w:tcPr>
          <w:p w14:paraId="04FD0761" w14:textId="5C7D0D2C" w:rsidR="00967B31" w:rsidRPr="002029AF" w:rsidRDefault="00C931AA" w:rsidP="000B18D1">
            <w:pPr>
              <w:pStyle w:val="ARtabletextright"/>
              <w:spacing w:before="70" w:after="50"/>
            </w:pPr>
            <w:r>
              <w:fldChar w:fldCharType="begin"/>
            </w:r>
            <w:r>
              <w:instrText xml:space="preserve"> PAGEREF _Ref84252571 \h </w:instrText>
            </w:r>
            <w:r>
              <w:fldChar w:fldCharType="separate"/>
            </w:r>
            <w:r w:rsidR="00E71361">
              <w:rPr>
                <w:noProof/>
              </w:rPr>
              <w:t>80</w:t>
            </w:r>
            <w:r>
              <w:fldChar w:fldCharType="end"/>
            </w:r>
          </w:p>
        </w:tc>
      </w:tr>
      <w:tr w:rsidR="00967B31" w:rsidRPr="002029AF" w14:paraId="5E0A568E" w14:textId="77777777" w:rsidTr="005E2B07">
        <w:trPr>
          <w:cantSplit/>
        </w:trPr>
        <w:tc>
          <w:tcPr>
            <w:tcW w:w="1990" w:type="dxa"/>
            <w:shd w:val="clear" w:color="auto" w:fill="auto"/>
          </w:tcPr>
          <w:p w14:paraId="720F5A89" w14:textId="77777777" w:rsidR="00967B31" w:rsidRPr="002029AF" w:rsidRDefault="00967B31" w:rsidP="000B18D1">
            <w:pPr>
              <w:pStyle w:val="ARtabletext"/>
              <w:spacing w:before="70" w:after="50"/>
            </w:pPr>
            <w:r w:rsidRPr="002029AF">
              <w:t>SD 5.2</w:t>
            </w:r>
          </w:p>
        </w:tc>
        <w:tc>
          <w:tcPr>
            <w:tcW w:w="6642" w:type="dxa"/>
            <w:shd w:val="clear" w:color="auto" w:fill="auto"/>
          </w:tcPr>
          <w:p w14:paraId="52113447" w14:textId="77777777" w:rsidR="00967B31" w:rsidRPr="002029AF" w:rsidRDefault="00967B31" w:rsidP="000B18D1">
            <w:pPr>
              <w:pStyle w:val="ARtabletext"/>
              <w:spacing w:before="70" w:after="50"/>
            </w:pPr>
            <w:r w:rsidRPr="002029AF">
              <w:t>Specific requirements under Standing Direction 5.2</w:t>
            </w:r>
          </w:p>
        </w:tc>
        <w:tc>
          <w:tcPr>
            <w:tcW w:w="1007" w:type="dxa"/>
            <w:shd w:val="clear" w:color="auto" w:fill="auto"/>
          </w:tcPr>
          <w:p w14:paraId="790F6108" w14:textId="777FF5AF" w:rsidR="00967B31" w:rsidRPr="002029AF" w:rsidRDefault="00E61442" w:rsidP="000B18D1">
            <w:pPr>
              <w:pStyle w:val="ARtabletextright"/>
              <w:spacing w:before="70" w:after="50"/>
            </w:pPr>
            <w:r>
              <w:fldChar w:fldCharType="begin"/>
            </w:r>
            <w:r>
              <w:instrText xml:space="preserve"> PAGEREF Declaration_in_the_financial_statements \h </w:instrText>
            </w:r>
            <w:r>
              <w:fldChar w:fldCharType="separate"/>
            </w:r>
            <w:r w:rsidR="00E71361">
              <w:rPr>
                <w:noProof/>
              </w:rPr>
              <w:t>138</w:t>
            </w:r>
            <w:r>
              <w:fldChar w:fldCharType="end"/>
            </w:r>
          </w:p>
        </w:tc>
      </w:tr>
      <w:tr w:rsidR="00967B31" w:rsidRPr="002029AF" w14:paraId="2DE9F1E3" w14:textId="77777777" w:rsidTr="00637705">
        <w:trPr>
          <w:cantSplit/>
        </w:trPr>
        <w:tc>
          <w:tcPr>
            <w:tcW w:w="9639" w:type="dxa"/>
            <w:gridSpan w:val="3"/>
            <w:tcBorders>
              <w:bottom w:val="nil"/>
            </w:tcBorders>
            <w:shd w:val="clear" w:color="auto" w:fill="auto"/>
          </w:tcPr>
          <w:p w14:paraId="4DA78018" w14:textId="77777777" w:rsidR="00967B31" w:rsidRPr="002029AF" w:rsidRDefault="00967B31" w:rsidP="000B18D1">
            <w:pPr>
              <w:pStyle w:val="ARtabletextbold"/>
              <w:spacing w:before="70" w:after="50"/>
            </w:pPr>
            <w:r w:rsidRPr="002029AF">
              <w:lastRenderedPageBreak/>
              <w:t>Compliance attestation and declaration</w:t>
            </w:r>
          </w:p>
        </w:tc>
      </w:tr>
      <w:tr w:rsidR="00967B31" w:rsidRPr="002029AF" w14:paraId="02A36321" w14:textId="77777777" w:rsidTr="005E2B07">
        <w:trPr>
          <w:cantSplit/>
        </w:trPr>
        <w:tc>
          <w:tcPr>
            <w:tcW w:w="1990" w:type="dxa"/>
            <w:tcBorders>
              <w:top w:val="nil"/>
            </w:tcBorders>
            <w:shd w:val="clear" w:color="auto" w:fill="auto"/>
          </w:tcPr>
          <w:p w14:paraId="02F14ACA" w14:textId="77777777" w:rsidR="00967B31" w:rsidRPr="002029AF" w:rsidRDefault="00967B31" w:rsidP="000B18D1">
            <w:pPr>
              <w:pStyle w:val="ARtabletext"/>
              <w:spacing w:before="70" w:after="50"/>
            </w:pPr>
            <w:r w:rsidRPr="002029AF">
              <w:t>SD 5.1.4</w:t>
            </w:r>
          </w:p>
        </w:tc>
        <w:tc>
          <w:tcPr>
            <w:tcW w:w="6642" w:type="dxa"/>
            <w:tcBorders>
              <w:top w:val="nil"/>
            </w:tcBorders>
            <w:shd w:val="clear" w:color="auto" w:fill="auto"/>
          </w:tcPr>
          <w:p w14:paraId="7DCED922" w14:textId="77777777" w:rsidR="00967B31" w:rsidRPr="002029AF" w:rsidRDefault="00967B31" w:rsidP="000B18D1">
            <w:pPr>
              <w:pStyle w:val="ARtabletext"/>
              <w:spacing w:before="70" w:after="50"/>
            </w:pPr>
            <w:r w:rsidRPr="002029AF">
              <w:t>Attestation for compliance with Ministerial Standing Direction</w:t>
            </w:r>
          </w:p>
        </w:tc>
        <w:tc>
          <w:tcPr>
            <w:tcW w:w="1007" w:type="dxa"/>
            <w:tcBorders>
              <w:top w:val="nil"/>
            </w:tcBorders>
            <w:shd w:val="clear" w:color="auto" w:fill="auto"/>
          </w:tcPr>
          <w:p w14:paraId="036CDE93" w14:textId="5FF6C486" w:rsidR="00967B31" w:rsidRPr="002029AF" w:rsidRDefault="005D5A75" w:rsidP="000B18D1">
            <w:pPr>
              <w:pStyle w:val="ARtabletextright"/>
              <w:spacing w:before="70" w:after="50"/>
            </w:pPr>
            <w:r>
              <w:fldChar w:fldCharType="begin"/>
            </w:r>
            <w:r>
              <w:instrText xml:space="preserve"> PAGEREF _Ref84252154 \h </w:instrText>
            </w:r>
            <w:r>
              <w:fldChar w:fldCharType="separate"/>
            </w:r>
            <w:r w:rsidR="00E71361">
              <w:rPr>
                <w:noProof/>
              </w:rPr>
              <w:t>135</w:t>
            </w:r>
            <w:r>
              <w:fldChar w:fldCharType="end"/>
            </w:r>
          </w:p>
        </w:tc>
      </w:tr>
      <w:tr w:rsidR="00967B31" w:rsidRPr="002029AF" w14:paraId="729CA2C1" w14:textId="77777777" w:rsidTr="005E2B07">
        <w:trPr>
          <w:cantSplit/>
        </w:trPr>
        <w:tc>
          <w:tcPr>
            <w:tcW w:w="1990" w:type="dxa"/>
            <w:shd w:val="clear" w:color="auto" w:fill="auto"/>
          </w:tcPr>
          <w:p w14:paraId="511EA588" w14:textId="77777777" w:rsidR="00967B31" w:rsidRPr="002029AF" w:rsidRDefault="00967B31" w:rsidP="000B18D1">
            <w:pPr>
              <w:pStyle w:val="ARtabletext"/>
              <w:spacing w:before="70" w:after="50"/>
            </w:pPr>
            <w:r w:rsidRPr="002029AF">
              <w:t>SD 5.2.3</w:t>
            </w:r>
          </w:p>
        </w:tc>
        <w:tc>
          <w:tcPr>
            <w:tcW w:w="6642" w:type="dxa"/>
            <w:shd w:val="clear" w:color="auto" w:fill="auto"/>
          </w:tcPr>
          <w:p w14:paraId="1FC12342" w14:textId="77777777" w:rsidR="00967B31" w:rsidRPr="002029AF" w:rsidRDefault="00967B31" w:rsidP="000B18D1">
            <w:pPr>
              <w:pStyle w:val="ARtabletext"/>
              <w:spacing w:before="70" w:after="50"/>
            </w:pPr>
            <w:r w:rsidRPr="002029AF">
              <w:t>Declaration in report of operations</w:t>
            </w:r>
          </w:p>
        </w:tc>
        <w:tc>
          <w:tcPr>
            <w:tcW w:w="1007" w:type="dxa"/>
            <w:shd w:val="clear" w:color="auto" w:fill="auto"/>
          </w:tcPr>
          <w:p w14:paraId="4F726514" w14:textId="1E0743AC" w:rsidR="00967B31" w:rsidRPr="002029AF" w:rsidRDefault="0044071B" w:rsidP="000B18D1">
            <w:pPr>
              <w:pStyle w:val="ARtabletextright"/>
              <w:spacing w:before="70" w:after="50"/>
            </w:pPr>
            <w:r>
              <w:fldChar w:fldCharType="begin"/>
            </w:r>
            <w:r>
              <w:instrText xml:space="preserve"> PAGEREF Responsible_bodys_declaration \h </w:instrText>
            </w:r>
            <w:r>
              <w:fldChar w:fldCharType="separate"/>
            </w:r>
            <w:r w:rsidR="00E71361">
              <w:rPr>
                <w:noProof/>
              </w:rPr>
              <w:t>6</w:t>
            </w:r>
            <w:r>
              <w:fldChar w:fldCharType="end"/>
            </w:r>
          </w:p>
        </w:tc>
      </w:tr>
    </w:tbl>
    <w:p w14:paraId="7E1CB4EE" w14:textId="77777777" w:rsidR="00967B31" w:rsidRPr="002029AF" w:rsidRDefault="00967B31" w:rsidP="007C05BC">
      <w:pPr>
        <w:pStyle w:val="Heading3disclosureindex"/>
      </w:pPr>
      <w:bookmarkStart w:id="1134" w:name="_Toc462577211"/>
      <w:bookmarkStart w:id="1135" w:name="_Toc520974735"/>
      <w:bookmarkStart w:id="1136" w:name="_Toc50998473"/>
      <w:bookmarkStart w:id="1137" w:name="_Ref52282887"/>
      <w:bookmarkStart w:id="1138" w:name="_Toc85121584"/>
      <w:r w:rsidRPr="002029AF">
        <w:t xml:space="preserve">Financial </w:t>
      </w:r>
      <w:bookmarkEnd w:id="1134"/>
      <w:bookmarkEnd w:id="1135"/>
      <w:bookmarkEnd w:id="1136"/>
      <w:bookmarkEnd w:id="1137"/>
      <w:r>
        <w:t>statements</w:t>
      </w:r>
      <w:bookmarkEnd w:id="1138"/>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Look w:val="04A0" w:firstRow="1" w:lastRow="0" w:firstColumn="1" w:lastColumn="0" w:noHBand="0" w:noVBand="1"/>
      </w:tblPr>
      <w:tblGrid>
        <w:gridCol w:w="1990"/>
        <w:gridCol w:w="6657"/>
        <w:gridCol w:w="992"/>
      </w:tblGrid>
      <w:tr w:rsidR="00967B31" w:rsidRPr="002029AF" w14:paraId="240C5A51" w14:textId="77777777" w:rsidTr="005E2B07">
        <w:trPr>
          <w:cantSplit/>
          <w:tblHeader/>
        </w:trPr>
        <w:tc>
          <w:tcPr>
            <w:tcW w:w="1990" w:type="dxa"/>
            <w:tcBorders>
              <w:top w:val="nil"/>
            </w:tcBorders>
            <w:shd w:val="clear" w:color="auto" w:fill="auto"/>
            <w:vAlign w:val="bottom"/>
          </w:tcPr>
          <w:p w14:paraId="2E56012D" w14:textId="77777777" w:rsidR="00967B31" w:rsidRPr="002029AF" w:rsidRDefault="00967B31" w:rsidP="000B18D1">
            <w:pPr>
              <w:pStyle w:val="ARtablecolhead"/>
              <w:spacing w:before="70" w:after="50"/>
            </w:pPr>
            <w:r w:rsidRPr="002029AF">
              <w:t>Ministerial directions</w:t>
            </w:r>
          </w:p>
        </w:tc>
        <w:tc>
          <w:tcPr>
            <w:tcW w:w="6657" w:type="dxa"/>
            <w:tcBorders>
              <w:top w:val="nil"/>
            </w:tcBorders>
            <w:shd w:val="clear" w:color="auto" w:fill="auto"/>
            <w:vAlign w:val="bottom"/>
          </w:tcPr>
          <w:p w14:paraId="3477F8C9" w14:textId="77777777" w:rsidR="00967B31" w:rsidRPr="002029AF" w:rsidRDefault="00967B31" w:rsidP="000B18D1">
            <w:pPr>
              <w:pStyle w:val="ARtablecolhead"/>
              <w:spacing w:before="70" w:after="50"/>
            </w:pPr>
            <w:r w:rsidRPr="002029AF">
              <w:t>Requirement</w:t>
            </w:r>
          </w:p>
        </w:tc>
        <w:tc>
          <w:tcPr>
            <w:tcW w:w="992" w:type="dxa"/>
            <w:tcBorders>
              <w:top w:val="nil"/>
            </w:tcBorders>
            <w:shd w:val="clear" w:color="auto" w:fill="auto"/>
            <w:vAlign w:val="bottom"/>
          </w:tcPr>
          <w:p w14:paraId="798FFDE6" w14:textId="77777777" w:rsidR="00967B31" w:rsidRPr="002029AF" w:rsidRDefault="00967B31" w:rsidP="000B18D1">
            <w:pPr>
              <w:pStyle w:val="ARtablecolhead"/>
              <w:spacing w:before="70" w:after="50"/>
              <w:jc w:val="right"/>
            </w:pPr>
            <w:r w:rsidRPr="002029AF">
              <w:t>Page</w:t>
            </w:r>
          </w:p>
        </w:tc>
      </w:tr>
      <w:tr w:rsidR="00967B31" w:rsidRPr="002029AF" w14:paraId="36150C78" w14:textId="77777777" w:rsidTr="00897193">
        <w:tc>
          <w:tcPr>
            <w:tcW w:w="9639" w:type="dxa"/>
            <w:gridSpan w:val="3"/>
            <w:tcBorders>
              <w:bottom w:val="nil"/>
            </w:tcBorders>
            <w:shd w:val="clear" w:color="auto" w:fill="auto"/>
          </w:tcPr>
          <w:p w14:paraId="08F18F59" w14:textId="77777777" w:rsidR="00967B31" w:rsidRPr="000B18D1" w:rsidRDefault="00967B31" w:rsidP="000B18D1">
            <w:pPr>
              <w:pStyle w:val="ARtabletextbold"/>
              <w:spacing w:before="70" w:after="50"/>
            </w:pPr>
            <w:r>
              <w:t>Declaration</w:t>
            </w:r>
          </w:p>
        </w:tc>
      </w:tr>
      <w:tr w:rsidR="00967B31" w:rsidRPr="002029AF" w14:paraId="0BDDD0E4" w14:textId="77777777" w:rsidTr="005E2B07">
        <w:tc>
          <w:tcPr>
            <w:tcW w:w="1990" w:type="dxa"/>
            <w:tcBorders>
              <w:top w:val="nil"/>
            </w:tcBorders>
            <w:shd w:val="clear" w:color="auto" w:fill="auto"/>
          </w:tcPr>
          <w:p w14:paraId="608C27D7" w14:textId="77777777" w:rsidR="00967B31" w:rsidRPr="002029AF" w:rsidRDefault="00967B31" w:rsidP="000B18D1">
            <w:pPr>
              <w:pStyle w:val="ARtabletext"/>
              <w:spacing w:before="70" w:after="50"/>
            </w:pPr>
            <w:r w:rsidRPr="002029AF">
              <w:t>SD 5.2.2</w:t>
            </w:r>
          </w:p>
        </w:tc>
        <w:tc>
          <w:tcPr>
            <w:tcW w:w="6657" w:type="dxa"/>
            <w:tcBorders>
              <w:top w:val="nil"/>
            </w:tcBorders>
            <w:shd w:val="clear" w:color="auto" w:fill="auto"/>
          </w:tcPr>
          <w:p w14:paraId="7BE1518C" w14:textId="77777777" w:rsidR="00967B31" w:rsidRPr="002029AF" w:rsidRDefault="00967B31" w:rsidP="000B18D1">
            <w:pPr>
              <w:pStyle w:val="ARtabletext"/>
              <w:spacing w:before="70" w:after="50"/>
            </w:pPr>
            <w:r>
              <w:t>Declaration in financial statements</w:t>
            </w:r>
          </w:p>
        </w:tc>
        <w:tc>
          <w:tcPr>
            <w:tcW w:w="992" w:type="dxa"/>
            <w:tcBorders>
              <w:top w:val="nil"/>
            </w:tcBorders>
            <w:shd w:val="clear" w:color="auto" w:fill="auto"/>
          </w:tcPr>
          <w:p w14:paraId="0E025E06" w14:textId="1F401185" w:rsidR="00967B31" w:rsidRPr="002029AF" w:rsidRDefault="00E61442" w:rsidP="000B18D1">
            <w:pPr>
              <w:pStyle w:val="ARtabletextright"/>
              <w:spacing w:before="70" w:after="50"/>
            </w:pPr>
            <w:r>
              <w:fldChar w:fldCharType="begin"/>
            </w:r>
            <w:r>
              <w:instrText xml:space="preserve"> PAGEREF Declaration_in_the_financial_statements \h </w:instrText>
            </w:r>
            <w:r>
              <w:fldChar w:fldCharType="separate"/>
            </w:r>
            <w:r w:rsidR="00E71361">
              <w:rPr>
                <w:noProof/>
              </w:rPr>
              <w:t>138</w:t>
            </w:r>
            <w:r>
              <w:fldChar w:fldCharType="end"/>
            </w:r>
          </w:p>
        </w:tc>
      </w:tr>
      <w:tr w:rsidR="00967B31" w:rsidRPr="002029AF" w14:paraId="370A32A2" w14:textId="77777777" w:rsidTr="00E847B7">
        <w:tc>
          <w:tcPr>
            <w:tcW w:w="9639" w:type="dxa"/>
            <w:gridSpan w:val="3"/>
            <w:tcBorders>
              <w:bottom w:val="nil"/>
            </w:tcBorders>
            <w:shd w:val="clear" w:color="auto" w:fill="auto"/>
          </w:tcPr>
          <w:p w14:paraId="57A383F5" w14:textId="77777777" w:rsidR="00967B31" w:rsidRPr="002029AF" w:rsidRDefault="00967B31" w:rsidP="000B18D1">
            <w:pPr>
              <w:pStyle w:val="ARtabletext"/>
              <w:spacing w:before="70" w:after="50"/>
              <w:rPr>
                <w:b/>
              </w:rPr>
            </w:pPr>
            <w:r w:rsidRPr="00A779B0">
              <w:rPr>
                <w:b/>
              </w:rPr>
              <w:t>Other requirements under Standing Directions 5.2</w:t>
            </w:r>
          </w:p>
        </w:tc>
      </w:tr>
      <w:tr w:rsidR="00967B31" w:rsidRPr="002029AF" w14:paraId="071FE32E" w14:textId="77777777" w:rsidTr="005E2B07">
        <w:tc>
          <w:tcPr>
            <w:tcW w:w="1990" w:type="dxa"/>
            <w:tcBorders>
              <w:top w:val="nil"/>
            </w:tcBorders>
            <w:shd w:val="clear" w:color="auto" w:fill="auto"/>
          </w:tcPr>
          <w:p w14:paraId="1D454885" w14:textId="77777777" w:rsidR="00967B31" w:rsidRPr="002029AF" w:rsidRDefault="00967B31" w:rsidP="000B18D1">
            <w:pPr>
              <w:pStyle w:val="ARtabletext"/>
              <w:spacing w:before="70" w:after="50"/>
            </w:pPr>
            <w:r w:rsidRPr="00850F5B">
              <w:t>SD 5.2.1(a)</w:t>
            </w:r>
          </w:p>
        </w:tc>
        <w:tc>
          <w:tcPr>
            <w:tcW w:w="6657" w:type="dxa"/>
            <w:tcBorders>
              <w:top w:val="nil"/>
            </w:tcBorders>
            <w:shd w:val="clear" w:color="auto" w:fill="auto"/>
          </w:tcPr>
          <w:p w14:paraId="05FBDDBA" w14:textId="77777777" w:rsidR="00967B31" w:rsidRDefault="00967B31" w:rsidP="000B18D1">
            <w:pPr>
              <w:pStyle w:val="ARtabletext"/>
              <w:spacing w:before="70" w:after="50"/>
            </w:pPr>
            <w:r w:rsidRPr="002029AF">
              <w:t>Compliance with Australian accounting standards and other authoritative pronouncements</w:t>
            </w:r>
          </w:p>
        </w:tc>
        <w:tc>
          <w:tcPr>
            <w:tcW w:w="992" w:type="dxa"/>
            <w:tcBorders>
              <w:top w:val="nil"/>
            </w:tcBorders>
            <w:shd w:val="clear" w:color="auto" w:fill="auto"/>
          </w:tcPr>
          <w:p w14:paraId="2A75E005" w14:textId="53C8C7C7" w:rsidR="00967B31" w:rsidRPr="002029AF" w:rsidRDefault="00516D91" w:rsidP="000B18D1">
            <w:pPr>
              <w:pStyle w:val="ARtabletextright"/>
              <w:spacing w:before="70" w:after="50"/>
            </w:pPr>
            <w:r>
              <w:fldChar w:fldCharType="begin"/>
            </w:r>
            <w:r>
              <w:instrText xml:space="preserve"> PAGEREF _Ref84599922 \h </w:instrText>
            </w:r>
            <w:r>
              <w:fldChar w:fldCharType="separate"/>
            </w:r>
            <w:r w:rsidR="00E71361">
              <w:rPr>
                <w:noProof/>
              </w:rPr>
              <w:t>146</w:t>
            </w:r>
            <w:r>
              <w:fldChar w:fldCharType="end"/>
            </w:r>
          </w:p>
        </w:tc>
      </w:tr>
      <w:tr w:rsidR="00967B31" w:rsidRPr="002029AF" w14:paraId="53683606" w14:textId="77777777" w:rsidTr="005E2B07">
        <w:tc>
          <w:tcPr>
            <w:tcW w:w="1990" w:type="dxa"/>
            <w:tcBorders>
              <w:top w:val="nil"/>
            </w:tcBorders>
            <w:shd w:val="clear" w:color="auto" w:fill="auto"/>
          </w:tcPr>
          <w:p w14:paraId="6D5B1A80" w14:textId="77777777" w:rsidR="00967B31" w:rsidRPr="002029AF" w:rsidRDefault="00967B31" w:rsidP="000B18D1">
            <w:pPr>
              <w:pStyle w:val="ARtabletext"/>
              <w:spacing w:before="70" w:after="50"/>
            </w:pPr>
            <w:r w:rsidRPr="002029AF">
              <w:t>SD 5.2.1(a)</w:t>
            </w:r>
          </w:p>
        </w:tc>
        <w:tc>
          <w:tcPr>
            <w:tcW w:w="6657" w:type="dxa"/>
            <w:tcBorders>
              <w:top w:val="nil"/>
            </w:tcBorders>
            <w:shd w:val="clear" w:color="auto" w:fill="auto"/>
          </w:tcPr>
          <w:p w14:paraId="5B148294" w14:textId="77777777" w:rsidR="00967B31" w:rsidRPr="002029AF" w:rsidRDefault="00967B31" w:rsidP="000B18D1">
            <w:pPr>
              <w:pStyle w:val="ARtabletext"/>
              <w:spacing w:before="70" w:after="50"/>
            </w:pPr>
            <w:r w:rsidRPr="002029AF">
              <w:t xml:space="preserve">Compliance with </w:t>
            </w:r>
            <w:r>
              <w:t>standing</w:t>
            </w:r>
            <w:r w:rsidRPr="002029AF">
              <w:t xml:space="preserve"> directions</w:t>
            </w:r>
          </w:p>
        </w:tc>
        <w:tc>
          <w:tcPr>
            <w:tcW w:w="992" w:type="dxa"/>
            <w:tcBorders>
              <w:top w:val="nil"/>
            </w:tcBorders>
            <w:shd w:val="clear" w:color="auto" w:fill="auto"/>
          </w:tcPr>
          <w:p w14:paraId="3CE25F20" w14:textId="58620084" w:rsidR="00967B31" w:rsidRPr="002029AF" w:rsidRDefault="001862B4" w:rsidP="000B18D1">
            <w:pPr>
              <w:pStyle w:val="ARtabletextright"/>
              <w:spacing w:before="70" w:after="50"/>
            </w:pPr>
            <w:r>
              <w:fldChar w:fldCharType="begin"/>
            </w:r>
            <w:r>
              <w:instrText xml:space="preserve"> PAGEREF _Ref84596580 \h </w:instrText>
            </w:r>
            <w:r>
              <w:fldChar w:fldCharType="separate"/>
            </w:r>
            <w:r w:rsidR="00E71361">
              <w:rPr>
                <w:noProof/>
              </w:rPr>
              <w:t>137</w:t>
            </w:r>
            <w:r>
              <w:fldChar w:fldCharType="end"/>
            </w:r>
            <w:r w:rsidR="00731F26">
              <w:t>–</w:t>
            </w:r>
            <w:r>
              <w:fldChar w:fldCharType="begin"/>
            </w:r>
            <w:r>
              <w:instrText xml:space="preserve"> PAGEREF _Ref84598119 \h </w:instrText>
            </w:r>
            <w:r>
              <w:fldChar w:fldCharType="separate"/>
            </w:r>
            <w:r w:rsidR="00E71361">
              <w:rPr>
                <w:noProof/>
              </w:rPr>
              <w:t>231</w:t>
            </w:r>
            <w:r>
              <w:fldChar w:fldCharType="end"/>
            </w:r>
          </w:p>
        </w:tc>
      </w:tr>
      <w:tr w:rsidR="00967B31" w:rsidRPr="002029AF" w14:paraId="42BD7EA3" w14:textId="77777777" w:rsidTr="005E2B07">
        <w:tc>
          <w:tcPr>
            <w:tcW w:w="1990" w:type="dxa"/>
            <w:shd w:val="clear" w:color="auto" w:fill="auto"/>
          </w:tcPr>
          <w:p w14:paraId="5FED777E" w14:textId="77777777" w:rsidR="00967B31" w:rsidRPr="002029AF" w:rsidRDefault="00967B31" w:rsidP="000B18D1">
            <w:pPr>
              <w:pStyle w:val="ARtabletext"/>
              <w:spacing w:before="70" w:after="50"/>
            </w:pPr>
            <w:r w:rsidRPr="002029AF">
              <w:t>SD 5.2.1(b)</w:t>
            </w:r>
          </w:p>
        </w:tc>
        <w:tc>
          <w:tcPr>
            <w:tcW w:w="6657" w:type="dxa"/>
            <w:shd w:val="clear" w:color="auto" w:fill="auto"/>
          </w:tcPr>
          <w:p w14:paraId="340E0B85" w14:textId="77777777" w:rsidR="00967B31" w:rsidRPr="002029AF" w:rsidRDefault="00967B31" w:rsidP="000B18D1">
            <w:pPr>
              <w:pStyle w:val="ARtabletext"/>
              <w:spacing w:before="70" w:after="50"/>
            </w:pPr>
            <w:r w:rsidRPr="002029AF">
              <w:t>Compliance with model financial report</w:t>
            </w:r>
          </w:p>
        </w:tc>
        <w:tc>
          <w:tcPr>
            <w:tcW w:w="992" w:type="dxa"/>
            <w:shd w:val="clear" w:color="auto" w:fill="auto"/>
          </w:tcPr>
          <w:p w14:paraId="19DCB2A1" w14:textId="20C6B896" w:rsidR="00967B31" w:rsidRPr="002029AF" w:rsidRDefault="001862B4" w:rsidP="000B18D1">
            <w:pPr>
              <w:pStyle w:val="ARtabletextright"/>
              <w:spacing w:before="70" w:after="50"/>
            </w:pPr>
            <w:r>
              <w:fldChar w:fldCharType="begin"/>
            </w:r>
            <w:r>
              <w:instrText xml:space="preserve"> PAGEREF _Ref84596580 \h </w:instrText>
            </w:r>
            <w:r>
              <w:fldChar w:fldCharType="separate"/>
            </w:r>
            <w:r w:rsidR="00E71361">
              <w:rPr>
                <w:noProof/>
              </w:rPr>
              <w:t>137</w:t>
            </w:r>
            <w:r>
              <w:fldChar w:fldCharType="end"/>
            </w:r>
            <w:r w:rsidR="00731F26">
              <w:t>–</w:t>
            </w:r>
            <w:r>
              <w:fldChar w:fldCharType="begin"/>
            </w:r>
            <w:r>
              <w:instrText xml:space="preserve"> PAGEREF _Ref84598119 \h </w:instrText>
            </w:r>
            <w:r>
              <w:fldChar w:fldCharType="separate"/>
            </w:r>
            <w:r w:rsidR="00E71361">
              <w:rPr>
                <w:noProof/>
              </w:rPr>
              <w:t>231</w:t>
            </w:r>
            <w:r>
              <w:fldChar w:fldCharType="end"/>
            </w:r>
          </w:p>
        </w:tc>
      </w:tr>
      <w:tr w:rsidR="00967B31" w:rsidRPr="002029AF" w14:paraId="515E87D3" w14:textId="77777777" w:rsidTr="00897193">
        <w:tc>
          <w:tcPr>
            <w:tcW w:w="9639" w:type="dxa"/>
            <w:gridSpan w:val="3"/>
            <w:tcBorders>
              <w:top w:val="single" w:sz="4" w:space="0" w:color="auto"/>
              <w:bottom w:val="nil"/>
            </w:tcBorders>
            <w:shd w:val="clear" w:color="auto" w:fill="auto"/>
          </w:tcPr>
          <w:p w14:paraId="7AB01D3C" w14:textId="55710742" w:rsidR="00967B31" w:rsidRPr="002029AF" w:rsidRDefault="00967B31" w:rsidP="000B18D1">
            <w:pPr>
              <w:pStyle w:val="ARtabletext"/>
              <w:spacing w:before="70" w:after="50"/>
              <w:rPr>
                <w:b/>
              </w:rPr>
            </w:pPr>
            <w:r w:rsidRPr="00604C01">
              <w:rPr>
                <w:b/>
              </w:rPr>
              <w:t>Other disclosures as required by F</w:t>
            </w:r>
            <w:r w:rsidR="003828EA">
              <w:rPr>
                <w:b/>
              </w:rPr>
              <w:t>inancial Reporting Dire</w:t>
            </w:r>
            <w:r w:rsidR="00E12744">
              <w:rPr>
                <w:b/>
              </w:rPr>
              <w:t>ctions</w:t>
            </w:r>
            <w:r w:rsidRPr="00604C01">
              <w:rPr>
                <w:b/>
              </w:rPr>
              <w:t xml:space="preserve"> in notes to the financial statements</w:t>
            </w:r>
          </w:p>
        </w:tc>
      </w:tr>
      <w:tr w:rsidR="00967B31" w:rsidRPr="002029AF" w14:paraId="4653673D" w14:textId="77777777" w:rsidTr="005E2B07">
        <w:tc>
          <w:tcPr>
            <w:tcW w:w="1990" w:type="dxa"/>
            <w:tcBorders>
              <w:top w:val="nil"/>
            </w:tcBorders>
            <w:shd w:val="clear" w:color="auto" w:fill="auto"/>
          </w:tcPr>
          <w:p w14:paraId="328D7B66" w14:textId="77777777" w:rsidR="00967B31" w:rsidRPr="002029AF" w:rsidRDefault="00967B31" w:rsidP="000B18D1">
            <w:pPr>
              <w:pStyle w:val="ARtabletext"/>
              <w:spacing w:before="70" w:after="50"/>
            </w:pPr>
            <w:r w:rsidRPr="002029AF">
              <w:t>FRD 9</w:t>
            </w:r>
            <w:r>
              <w:t>B</w:t>
            </w:r>
          </w:p>
        </w:tc>
        <w:tc>
          <w:tcPr>
            <w:tcW w:w="6657" w:type="dxa"/>
            <w:tcBorders>
              <w:top w:val="nil"/>
            </w:tcBorders>
            <w:shd w:val="clear" w:color="auto" w:fill="auto"/>
          </w:tcPr>
          <w:p w14:paraId="78C3D869" w14:textId="188B10CF" w:rsidR="00967B31" w:rsidRPr="002029AF" w:rsidRDefault="00967B31" w:rsidP="000B18D1">
            <w:pPr>
              <w:pStyle w:val="ARtabletext"/>
              <w:spacing w:before="70" w:after="50"/>
            </w:pPr>
            <w:r w:rsidRPr="002029AF">
              <w:t>Departmental disclosure of administered assets and liabilities by activity</w:t>
            </w:r>
          </w:p>
        </w:tc>
        <w:tc>
          <w:tcPr>
            <w:tcW w:w="992" w:type="dxa"/>
            <w:tcBorders>
              <w:top w:val="nil"/>
            </w:tcBorders>
            <w:shd w:val="clear" w:color="auto" w:fill="auto"/>
          </w:tcPr>
          <w:p w14:paraId="0C52249E" w14:textId="6C2C2E3E" w:rsidR="00967B31" w:rsidRPr="002029AF" w:rsidRDefault="00232103" w:rsidP="000B18D1">
            <w:pPr>
              <w:pStyle w:val="ARtabletextright"/>
              <w:spacing w:before="70" w:after="50"/>
            </w:pPr>
            <w:r>
              <w:fldChar w:fldCharType="begin"/>
            </w:r>
            <w:r>
              <w:instrText xml:space="preserve"> PAGEREF _Ref84598229 \h </w:instrText>
            </w:r>
            <w:r>
              <w:fldChar w:fldCharType="separate"/>
            </w:r>
            <w:r w:rsidR="00E71361">
              <w:rPr>
                <w:noProof/>
              </w:rPr>
              <w:t>172</w:t>
            </w:r>
            <w:r>
              <w:fldChar w:fldCharType="end"/>
            </w:r>
          </w:p>
        </w:tc>
      </w:tr>
      <w:tr w:rsidR="00967B31" w:rsidRPr="002029AF" w14:paraId="7423BC6A" w14:textId="77777777" w:rsidTr="005E2B07">
        <w:trPr>
          <w:trHeight w:val="239"/>
        </w:trPr>
        <w:tc>
          <w:tcPr>
            <w:tcW w:w="1990" w:type="dxa"/>
            <w:shd w:val="clear" w:color="auto" w:fill="auto"/>
          </w:tcPr>
          <w:p w14:paraId="08AC5E96" w14:textId="77777777" w:rsidR="00967B31" w:rsidRPr="002029AF" w:rsidRDefault="00967B31" w:rsidP="000B18D1">
            <w:pPr>
              <w:pStyle w:val="ARtabletext"/>
              <w:spacing w:before="70" w:after="50"/>
            </w:pPr>
            <w:r w:rsidRPr="002029AF">
              <w:t>FRD 11A</w:t>
            </w:r>
          </w:p>
        </w:tc>
        <w:tc>
          <w:tcPr>
            <w:tcW w:w="6657" w:type="dxa"/>
            <w:shd w:val="clear" w:color="auto" w:fill="auto"/>
          </w:tcPr>
          <w:p w14:paraId="57B568A6" w14:textId="77777777" w:rsidR="00967B31" w:rsidRPr="002029AF" w:rsidRDefault="00967B31" w:rsidP="000B18D1">
            <w:pPr>
              <w:pStyle w:val="ARtabletext"/>
              <w:spacing w:before="70" w:after="50"/>
            </w:pPr>
            <w:r w:rsidRPr="002029AF">
              <w:t xml:space="preserve">Disclosure of ex-gratia </w:t>
            </w:r>
            <w:r>
              <w:t>expenses</w:t>
            </w:r>
          </w:p>
        </w:tc>
        <w:tc>
          <w:tcPr>
            <w:tcW w:w="992" w:type="dxa"/>
            <w:shd w:val="clear" w:color="auto" w:fill="auto"/>
          </w:tcPr>
          <w:p w14:paraId="657C7F12" w14:textId="1DCD204D" w:rsidR="00967B31" w:rsidRPr="002029AF" w:rsidRDefault="00D3204F" w:rsidP="000B18D1">
            <w:pPr>
              <w:pStyle w:val="ARtabletextright"/>
              <w:spacing w:before="70" w:after="50"/>
            </w:pPr>
            <w:r>
              <w:fldChar w:fldCharType="begin"/>
            </w:r>
            <w:r>
              <w:instrText xml:space="preserve"> PAGEREF _Ref84598262 \h </w:instrText>
            </w:r>
            <w:r>
              <w:fldChar w:fldCharType="separate"/>
            </w:r>
            <w:r w:rsidR="00E71361">
              <w:rPr>
                <w:noProof/>
              </w:rPr>
              <w:t>215</w:t>
            </w:r>
            <w:r>
              <w:fldChar w:fldCharType="end"/>
            </w:r>
          </w:p>
        </w:tc>
      </w:tr>
      <w:tr w:rsidR="00967B31" w:rsidRPr="002029AF" w14:paraId="02F8E619" w14:textId="77777777" w:rsidTr="005E2B07">
        <w:tc>
          <w:tcPr>
            <w:tcW w:w="1990" w:type="dxa"/>
            <w:shd w:val="clear" w:color="auto" w:fill="auto"/>
          </w:tcPr>
          <w:p w14:paraId="1A001769" w14:textId="77777777" w:rsidR="00967B31" w:rsidRPr="002029AF" w:rsidRDefault="00967B31" w:rsidP="000B18D1">
            <w:pPr>
              <w:pStyle w:val="ARtabletext"/>
              <w:spacing w:before="70" w:after="50"/>
            </w:pPr>
            <w:r w:rsidRPr="002029AF">
              <w:t>FRD 13</w:t>
            </w:r>
          </w:p>
        </w:tc>
        <w:tc>
          <w:tcPr>
            <w:tcW w:w="6657" w:type="dxa"/>
            <w:shd w:val="clear" w:color="auto" w:fill="auto"/>
          </w:tcPr>
          <w:p w14:paraId="108ED603" w14:textId="77777777" w:rsidR="00967B31" w:rsidRPr="002029AF" w:rsidRDefault="00967B31" w:rsidP="000B18D1">
            <w:pPr>
              <w:pStyle w:val="ARtabletext"/>
              <w:spacing w:before="70" w:after="50"/>
            </w:pPr>
            <w:r w:rsidRPr="002029AF">
              <w:t>Disclosure of parliamentary appropriations</w:t>
            </w:r>
          </w:p>
        </w:tc>
        <w:tc>
          <w:tcPr>
            <w:tcW w:w="992" w:type="dxa"/>
            <w:shd w:val="clear" w:color="auto" w:fill="auto"/>
          </w:tcPr>
          <w:p w14:paraId="52B4F3C6" w14:textId="46E125D3" w:rsidR="00967B31" w:rsidRPr="002029AF" w:rsidRDefault="000D69BA" w:rsidP="000B18D1">
            <w:pPr>
              <w:pStyle w:val="ARtabletextright"/>
              <w:spacing w:before="70" w:after="50"/>
            </w:pPr>
            <w:r>
              <w:fldChar w:fldCharType="begin"/>
            </w:r>
            <w:r>
              <w:instrText xml:space="preserve"> PAGEREF _Ref84598290 \h </w:instrText>
            </w:r>
            <w:r>
              <w:fldChar w:fldCharType="separate"/>
            </w:r>
            <w:r w:rsidR="00E71361">
              <w:rPr>
                <w:noProof/>
              </w:rPr>
              <w:t>149</w:t>
            </w:r>
            <w:r>
              <w:fldChar w:fldCharType="end"/>
            </w:r>
          </w:p>
        </w:tc>
      </w:tr>
      <w:tr w:rsidR="00967B31" w:rsidRPr="002029AF" w14:paraId="5EC5918C" w14:textId="77777777" w:rsidTr="005E2B07">
        <w:tc>
          <w:tcPr>
            <w:tcW w:w="1990" w:type="dxa"/>
            <w:shd w:val="clear" w:color="auto" w:fill="auto"/>
          </w:tcPr>
          <w:p w14:paraId="21A00787" w14:textId="77777777" w:rsidR="00967B31" w:rsidRPr="002029AF" w:rsidRDefault="00967B31" w:rsidP="000B18D1">
            <w:pPr>
              <w:pStyle w:val="ARtabletext"/>
              <w:spacing w:before="70" w:after="50"/>
            </w:pPr>
            <w:r w:rsidRPr="002029AF">
              <w:t>FRD 21C</w:t>
            </w:r>
          </w:p>
        </w:tc>
        <w:tc>
          <w:tcPr>
            <w:tcW w:w="6657" w:type="dxa"/>
            <w:shd w:val="clear" w:color="auto" w:fill="auto"/>
          </w:tcPr>
          <w:p w14:paraId="134D9399" w14:textId="77777777" w:rsidR="00967B31" w:rsidRPr="002029AF" w:rsidRDefault="00967B31" w:rsidP="000B18D1">
            <w:pPr>
              <w:pStyle w:val="ARtabletext"/>
              <w:spacing w:before="70" w:after="50"/>
            </w:pPr>
            <w:r w:rsidRPr="002029AF">
              <w:t>Disclosures of responsible persons, executive officers and other personnel (contactors with significant management responsibilities) in the financial report</w:t>
            </w:r>
          </w:p>
        </w:tc>
        <w:tc>
          <w:tcPr>
            <w:tcW w:w="992" w:type="dxa"/>
            <w:shd w:val="clear" w:color="auto" w:fill="auto"/>
          </w:tcPr>
          <w:p w14:paraId="22241EFD" w14:textId="0BDE3317" w:rsidR="00967B31" w:rsidRPr="002029AF" w:rsidRDefault="000D69BA" w:rsidP="000B18D1">
            <w:pPr>
              <w:pStyle w:val="ARtabletextright"/>
              <w:spacing w:before="70" w:after="50"/>
            </w:pPr>
            <w:r>
              <w:fldChar w:fldCharType="begin"/>
            </w:r>
            <w:r>
              <w:instrText xml:space="preserve"> PAGEREF _Ref84598319 \h </w:instrText>
            </w:r>
            <w:r>
              <w:fldChar w:fldCharType="separate"/>
            </w:r>
            <w:r w:rsidR="00E71361">
              <w:rPr>
                <w:noProof/>
              </w:rPr>
              <w:t>219</w:t>
            </w:r>
            <w:r>
              <w:fldChar w:fldCharType="end"/>
            </w:r>
          </w:p>
        </w:tc>
      </w:tr>
      <w:tr w:rsidR="00967B31" w:rsidRPr="002029AF" w14:paraId="42106856" w14:textId="77777777" w:rsidTr="005E2B07">
        <w:tc>
          <w:tcPr>
            <w:tcW w:w="1990" w:type="dxa"/>
            <w:shd w:val="clear" w:color="auto" w:fill="auto"/>
          </w:tcPr>
          <w:p w14:paraId="5C6D8631" w14:textId="4709D1A5" w:rsidR="00967B31" w:rsidRPr="002029AF" w:rsidRDefault="00967B31" w:rsidP="000B18D1">
            <w:pPr>
              <w:pStyle w:val="ARtabletext"/>
              <w:spacing w:before="70" w:after="50"/>
            </w:pPr>
            <w:r w:rsidRPr="002029AF">
              <w:t>FRD 103</w:t>
            </w:r>
            <w:r w:rsidR="008F4674">
              <w:t>I</w:t>
            </w:r>
          </w:p>
        </w:tc>
        <w:tc>
          <w:tcPr>
            <w:tcW w:w="6657" w:type="dxa"/>
            <w:shd w:val="clear" w:color="auto" w:fill="auto"/>
          </w:tcPr>
          <w:p w14:paraId="70C1F9F0" w14:textId="77777777" w:rsidR="00967B31" w:rsidRPr="002029AF" w:rsidRDefault="00967B31" w:rsidP="000B18D1">
            <w:pPr>
              <w:pStyle w:val="ARtabletext"/>
              <w:spacing w:before="70" w:after="50"/>
            </w:pPr>
            <w:r w:rsidRPr="002029AF">
              <w:t>Non-financial physical assets</w:t>
            </w:r>
          </w:p>
        </w:tc>
        <w:tc>
          <w:tcPr>
            <w:tcW w:w="992" w:type="dxa"/>
            <w:shd w:val="clear" w:color="auto" w:fill="auto"/>
          </w:tcPr>
          <w:p w14:paraId="5C9E5ADB" w14:textId="4051B14B" w:rsidR="00967B31" w:rsidRPr="002029AF" w:rsidRDefault="0016614E" w:rsidP="000B18D1">
            <w:pPr>
              <w:pStyle w:val="ARtabletextright"/>
              <w:spacing w:before="70" w:after="50"/>
            </w:pPr>
            <w:r>
              <w:fldChar w:fldCharType="begin"/>
            </w:r>
            <w:r>
              <w:instrText xml:space="preserve"> PAGEREF _Ref85616813 \h </w:instrText>
            </w:r>
            <w:r>
              <w:fldChar w:fldCharType="separate"/>
            </w:r>
            <w:r w:rsidR="00E71361">
              <w:rPr>
                <w:noProof/>
              </w:rPr>
              <w:t>211</w:t>
            </w:r>
            <w:r>
              <w:fldChar w:fldCharType="end"/>
            </w:r>
          </w:p>
        </w:tc>
      </w:tr>
      <w:tr w:rsidR="00967B31" w:rsidRPr="002029AF" w14:paraId="5CBF6CD8" w14:textId="77777777" w:rsidTr="005E2B07">
        <w:tc>
          <w:tcPr>
            <w:tcW w:w="1990" w:type="dxa"/>
            <w:shd w:val="clear" w:color="auto" w:fill="auto"/>
          </w:tcPr>
          <w:p w14:paraId="0A7F90D9" w14:textId="77777777" w:rsidR="00967B31" w:rsidRPr="002029AF" w:rsidRDefault="00967B31" w:rsidP="000B18D1">
            <w:pPr>
              <w:pStyle w:val="ARtabletext"/>
              <w:spacing w:before="70" w:after="50"/>
            </w:pPr>
            <w:r w:rsidRPr="002029AF">
              <w:t>FRD 110A</w:t>
            </w:r>
          </w:p>
        </w:tc>
        <w:tc>
          <w:tcPr>
            <w:tcW w:w="6657" w:type="dxa"/>
            <w:shd w:val="clear" w:color="auto" w:fill="auto"/>
          </w:tcPr>
          <w:p w14:paraId="5AE493FF" w14:textId="77777777" w:rsidR="00967B31" w:rsidRPr="002029AF" w:rsidRDefault="00967B31" w:rsidP="000B18D1">
            <w:pPr>
              <w:pStyle w:val="ARtabletext"/>
              <w:spacing w:before="70" w:after="50"/>
            </w:pPr>
            <w:r w:rsidRPr="002029AF">
              <w:t>Cash flow statements</w:t>
            </w:r>
          </w:p>
        </w:tc>
        <w:tc>
          <w:tcPr>
            <w:tcW w:w="992" w:type="dxa"/>
            <w:shd w:val="clear" w:color="auto" w:fill="auto"/>
          </w:tcPr>
          <w:p w14:paraId="0E0E7C33" w14:textId="626ACFED" w:rsidR="00967B31" w:rsidRPr="002029AF" w:rsidRDefault="0011470F" w:rsidP="000B18D1">
            <w:pPr>
              <w:pStyle w:val="ARtabletextright"/>
              <w:spacing w:before="70" w:after="50"/>
            </w:pPr>
            <w:r>
              <w:fldChar w:fldCharType="begin"/>
            </w:r>
            <w:r>
              <w:instrText xml:space="preserve"> PAGEREF Cash_flow_statement \h </w:instrText>
            </w:r>
            <w:r>
              <w:fldChar w:fldCharType="separate"/>
            </w:r>
            <w:r w:rsidR="00E71361">
              <w:rPr>
                <w:noProof/>
              </w:rPr>
              <w:t>143</w:t>
            </w:r>
            <w:r>
              <w:fldChar w:fldCharType="end"/>
            </w:r>
          </w:p>
        </w:tc>
      </w:tr>
      <w:tr w:rsidR="00967B31" w:rsidRPr="002029AF" w14:paraId="0094A036" w14:textId="77777777" w:rsidTr="005E2B07">
        <w:tc>
          <w:tcPr>
            <w:tcW w:w="1990" w:type="dxa"/>
            <w:shd w:val="clear" w:color="auto" w:fill="auto"/>
          </w:tcPr>
          <w:p w14:paraId="36BF7CC7" w14:textId="77777777" w:rsidR="00967B31" w:rsidRPr="002029AF" w:rsidRDefault="00967B31" w:rsidP="000B18D1">
            <w:pPr>
              <w:pStyle w:val="ARtabletext"/>
              <w:spacing w:before="70" w:after="50"/>
            </w:pPr>
            <w:r w:rsidRPr="002029AF">
              <w:t>FRD 112D</w:t>
            </w:r>
          </w:p>
        </w:tc>
        <w:tc>
          <w:tcPr>
            <w:tcW w:w="6657" w:type="dxa"/>
            <w:shd w:val="clear" w:color="auto" w:fill="auto"/>
          </w:tcPr>
          <w:p w14:paraId="6B229DC1" w14:textId="77777777" w:rsidR="00967B31" w:rsidRPr="002029AF" w:rsidRDefault="00967B31" w:rsidP="000B18D1">
            <w:pPr>
              <w:pStyle w:val="ARtabletext"/>
              <w:spacing w:before="70" w:after="50"/>
            </w:pPr>
            <w:r w:rsidRPr="002029AF">
              <w:t>Defined benefit superannuation obligations</w:t>
            </w:r>
          </w:p>
        </w:tc>
        <w:tc>
          <w:tcPr>
            <w:tcW w:w="992" w:type="dxa"/>
            <w:shd w:val="clear" w:color="auto" w:fill="auto"/>
          </w:tcPr>
          <w:p w14:paraId="2A0AEF8C" w14:textId="3BF81095" w:rsidR="00967B31" w:rsidRPr="002029AF" w:rsidRDefault="00FD24A4" w:rsidP="000B18D1">
            <w:pPr>
              <w:pStyle w:val="ARtabletextright"/>
              <w:spacing w:before="70" w:after="50"/>
            </w:pPr>
            <w:r>
              <w:fldChar w:fldCharType="begin"/>
            </w:r>
            <w:r>
              <w:instrText xml:space="preserve"> PAGEREF _Ref84598431 \h </w:instrText>
            </w:r>
            <w:r>
              <w:fldChar w:fldCharType="separate"/>
            </w:r>
            <w:r w:rsidR="00E71361">
              <w:rPr>
                <w:noProof/>
              </w:rPr>
              <w:t>157</w:t>
            </w:r>
            <w:r>
              <w:fldChar w:fldCharType="end"/>
            </w:r>
          </w:p>
        </w:tc>
      </w:tr>
      <w:tr w:rsidR="00967B31" w:rsidRPr="002029AF" w14:paraId="6BEDE825" w14:textId="77777777" w:rsidTr="005E2B07">
        <w:tc>
          <w:tcPr>
            <w:tcW w:w="1990" w:type="dxa"/>
            <w:shd w:val="clear" w:color="auto" w:fill="auto"/>
          </w:tcPr>
          <w:p w14:paraId="60D2DCA1" w14:textId="77777777" w:rsidR="00967B31" w:rsidRPr="002029AF" w:rsidRDefault="00967B31" w:rsidP="000B18D1">
            <w:pPr>
              <w:pStyle w:val="ARtabletext"/>
              <w:spacing w:before="70" w:after="50"/>
            </w:pPr>
            <w:r w:rsidRPr="002029AF">
              <w:t>FRD 114</w:t>
            </w:r>
            <w:r>
              <w:t>C</w:t>
            </w:r>
          </w:p>
        </w:tc>
        <w:tc>
          <w:tcPr>
            <w:tcW w:w="6657" w:type="dxa"/>
            <w:shd w:val="clear" w:color="auto" w:fill="auto"/>
          </w:tcPr>
          <w:p w14:paraId="1467025B" w14:textId="77777777" w:rsidR="00967B31" w:rsidRPr="002029AF" w:rsidRDefault="00967B31" w:rsidP="000B18D1">
            <w:pPr>
              <w:pStyle w:val="ARtabletext"/>
              <w:spacing w:before="70" w:after="50"/>
            </w:pPr>
            <w:r w:rsidRPr="002029AF">
              <w:t>Financial instruments – general government entities and public non-financial corporations</w:t>
            </w:r>
          </w:p>
        </w:tc>
        <w:tc>
          <w:tcPr>
            <w:tcW w:w="992" w:type="dxa"/>
            <w:shd w:val="clear" w:color="auto" w:fill="auto"/>
          </w:tcPr>
          <w:p w14:paraId="4ED21148" w14:textId="59E29D43" w:rsidR="00967B31" w:rsidRPr="002029AF" w:rsidRDefault="007F658B" w:rsidP="000B18D1">
            <w:pPr>
              <w:pStyle w:val="ARtabletextright"/>
              <w:spacing w:before="70" w:after="50"/>
            </w:pPr>
            <w:r>
              <w:fldChar w:fldCharType="begin"/>
            </w:r>
            <w:r>
              <w:instrText xml:space="preserve"> PAGEREF _Ref85616976 \h </w:instrText>
            </w:r>
            <w:r>
              <w:fldChar w:fldCharType="separate"/>
            </w:r>
            <w:r w:rsidR="00E71361">
              <w:rPr>
                <w:noProof/>
              </w:rPr>
              <w:t>201</w:t>
            </w:r>
            <w:r>
              <w:fldChar w:fldCharType="end"/>
            </w:r>
          </w:p>
        </w:tc>
      </w:tr>
    </w:tbl>
    <w:p w14:paraId="2B18B861" w14:textId="69AA3AAD" w:rsidR="00967B31" w:rsidRPr="002029AF" w:rsidRDefault="00E12744" w:rsidP="007C05BC">
      <w:pPr>
        <w:pStyle w:val="Heading3disclosureindex"/>
      </w:pPr>
      <w:bookmarkStart w:id="1139" w:name="_Toc85121585"/>
      <w:r>
        <w:t>Legislation</w:t>
      </w:r>
      <w:bookmarkEnd w:id="1139"/>
    </w:p>
    <w:tbl>
      <w:tblPr>
        <w:tblW w:w="9639" w:type="dxa"/>
        <w:tblBorders>
          <w:left w:val="single" w:sz="4" w:space="0" w:color="FFFFFF"/>
          <w:bottom w:val="single" w:sz="4" w:space="0" w:color="auto"/>
          <w:right w:val="single" w:sz="4" w:space="0" w:color="FFFFFF"/>
          <w:insideH w:val="single" w:sz="4" w:space="0" w:color="auto"/>
          <w:insideV w:val="single" w:sz="4" w:space="0" w:color="FFFFFF"/>
        </w:tblBorders>
        <w:tblLayout w:type="fixed"/>
        <w:tblCellMar>
          <w:left w:w="0" w:type="dxa"/>
        </w:tblCellMar>
        <w:tblLook w:val="04A0" w:firstRow="1" w:lastRow="0" w:firstColumn="1" w:lastColumn="0" w:noHBand="0" w:noVBand="1"/>
      </w:tblPr>
      <w:tblGrid>
        <w:gridCol w:w="5665"/>
        <w:gridCol w:w="3974"/>
      </w:tblGrid>
      <w:tr w:rsidR="00967B31" w:rsidRPr="002029AF" w14:paraId="210EC773" w14:textId="77777777" w:rsidTr="00BD757D">
        <w:trPr>
          <w:cantSplit/>
          <w:tblHeader/>
        </w:trPr>
        <w:tc>
          <w:tcPr>
            <w:tcW w:w="5665" w:type="dxa"/>
            <w:tcBorders>
              <w:top w:val="nil"/>
            </w:tcBorders>
            <w:shd w:val="clear" w:color="auto" w:fill="auto"/>
          </w:tcPr>
          <w:p w14:paraId="6E66371B" w14:textId="0B6A0C63" w:rsidR="00967B31" w:rsidRPr="002029AF" w:rsidRDefault="006E4D13" w:rsidP="000B18D1">
            <w:pPr>
              <w:pStyle w:val="ARtablecolhead"/>
              <w:spacing w:before="70" w:after="50"/>
            </w:pPr>
            <w:r>
              <w:t>Act</w:t>
            </w:r>
          </w:p>
        </w:tc>
        <w:tc>
          <w:tcPr>
            <w:tcW w:w="3974" w:type="dxa"/>
            <w:tcBorders>
              <w:top w:val="nil"/>
            </w:tcBorders>
            <w:shd w:val="clear" w:color="auto" w:fill="auto"/>
          </w:tcPr>
          <w:p w14:paraId="625CE6CA" w14:textId="77777777" w:rsidR="00967B31" w:rsidRPr="002029AF" w:rsidRDefault="00967B31" w:rsidP="000B18D1">
            <w:pPr>
              <w:pStyle w:val="ARtablecolhead"/>
              <w:spacing w:before="70" w:after="50"/>
              <w:jc w:val="right"/>
            </w:pPr>
            <w:r w:rsidRPr="002029AF">
              <w:t>Page</w:t>
            </w:r>
          </w:p>
        </w:tc>
      </w:tr>
      <w:tr w:rsidR="00967B31" w:rsidRPr="002029AF" w14:paraId="671BCCAE" w14:textId="77777777" w:rsidTr="00BD757D">
        <w:trPr>
          <w:cantSplit/>
        </w:trPr>
        <w:tc>
          <w:tcPr>
            <w:tcW w:w="5665" w:type="dxa"/>
            <w:shd w:val="clear" w:color="auto" w:fill="auto"/>
          </w:tcPr>
          <w:p w14:paraId="4F06481D" w14:textId="77777777" w:rsidR="00967B31" w:rsidRPr="002029AF" w:rsidRDefault="00967B31" w:rsidP="000B18D1">
            <w:pPr>
              <w:pStyle w:val="ARtabletext"/>
              <w:spacing w:before="70" w:after="50"/>
              <w:rPr>
                <w:i/>
              </w:rPr>
            </w:pPr>
            <w:r w:rsidRPr="002029AF">
              <w:rPr>
                <w:i/>
              </w:rPr>
              <w:t>Building Act 1993</w:t>
            </w:r>
          </w:p>
        </w:tc>
        <w:tc>
          <w:tcPr>
            <w:tcW w:w="3974" w:type="dxa"/>
            <w:shd w:val="clear" w:color="auto" w:fill="auto"/>
          </w:tcPr>
          <w:p w14:paraId="3F09695C" w14:textId="606E1D34" w:rsidR="00967B31" w:rsidRPr="002029AF" w:rsidRDefault="00133711" w:rsidP="000B18D1">
            <w:pPr>
              <w:pStyle w:val="ARtabletextright"/>
              <w:spacing w:before="70" w:after="50"/>
            </w:pPr>
            <w:r>
              <w:fldChar w:fldCharType="begin"/>
            </w:r>
            <w:r>
              <w:instrText xml:space="preserve"> PAGEREF _Ref84240793 \h </w:instrText>
            </w:r>
            <w:r>
              <w:fldChar w:fldCharType="separate"/>
            </w:r>
            <w:r w:rsidR="00E71361">
              <w:rPr>
                <w:noProof/>
              </w:rPr>
              <w:t>111</w:t>
            </w:r>
            <w:r>
              <w:fldChar w:fldCharType="end"/>
            </w:r>
          </w:p>
        </w:tc>
      </w:tr>
      <w:tr w:rsidR="00967B31" w:rsidRPr="002029AF" w14:paraId="03FBF8E0" w14:textId="77777777" w:rsidTr="00BD757D">
        <w:trPr>
          <w:cantSplit/>
        </w:trPr>
        <w:tc>
          <w:tcPr>
            <w:tcW w:w="5665" w:type="dxa"/>
            <w:shd w:val="clear" w:color="auto" w:fill="auto"/>
          </w:tcPr>
          <w:p w14:paraId="30881C62" w14:textId="77777777" w:rsidR="00967B31" w:rsidRPr="002029AF" w:rsidRDefault="00967B31" w:rsidP="000B18D1">
            <w:pPr>
              <w:pStyle w:val="ARtabletext"/>
              <w:spacing w:before="70" w:after="50"/>
              <w:rPr>
                <w:i/>
              </w:rPr>
            </w:pPr>
            <w:r w:rsidRPr="002029AF">
              <w:rPr>
                <w:i/>
              </w:rPr>
              <w:t>Carers Recognition Act 2012</w:t>
            </w:r>
          </w:p>
        </w:tc>
        <w:tc>
          <w:tcPr>
            <w:tcW w:w="3974" w:type="dxa"/>
            <w:shd w:val="clear" w:color="auto" w:fill="auto"/>
          </w:tcPr>
          <w:p w14:paraId="70B5A807" w14:textId="28A45C2C" w:rsidR="00967B31" w:rsidRPr="002029AF" w:rsidRDefault="00133711" w:rsidP="000B18D1">
            <w:pPr>
              <w:pStyle w:val="ARtabletextright"/>
              <w:spacing w:before="70" w:after="50"/>
            </w:pPr>
            <w:r>
              <w:fldChar w:fldCharType="begin"/>
            </w:r>
            <w:r>
              <w:instrText xml:space="preserve"> PAGEREF _Ref21956652 \h </w:instrText>
            </w:r>
            <w:r>
              <w:fldChar w:fldCharType="separate"/>
            </w:r>
            <w:r w:rsidR="00E71361">
              <w:rPr>
                <w:noProof/>
              </w:rPr>
              <w:t>114</w:t>
            </w:r>
            <w:r>
              <w:fldChar w:fldCharType="end"/>
            </w:r>
          </w:p>
        </w:tc>
      </w:tr>
      <w:tr w:rsidR="00967B31" w:rsidRPr="002029AF" w14:paraId="0B1DB9F2" w14:textId="77777777" w:rsidTr="00BD757D">
        <w:trPr>
          <w:cantSplit/>
        </w:trPr>
        <w:tc>
          <w:tcPr>
            <w:tcW w:w="5665" w:type="dxa"/>
            <w:shd w:val="clear" w:color="auto" w:fill="auto"/>
          </w:tcPr>
          <w:p w14:paraId="7487653D" w14:textId="77777777" w:rsidR="00967B31" w:rsidRPr="002029AF" w:rsidRDefault="00967B31" w:rsidP="000B18D1">
            <w:pPr>
              <w:pStyle w:val="ARtabletext"/>
              <w:spacing w:before="70" w:after="50"/>
              <w:rPr>
                <w:i/>
              </w:rPr>
            </w:pPr>
            <w:r w:rsidRPr="002029AF">
              <w:rPr>
                <w:i/>
              </w:rPr>
              <w:t>Cemeteries and Crematoria Act 2003</w:t>
            </w:r>
          </w:p>
        </w:tc>
        <w:tc>
          <w:tcPr>
            <w:tcW w:w="3974" w:type="dxa"/>
            <w:shd w:val="clear" w:color="auto" w:fill="auto"/>
          </w:tcPr>
          <w:p w14:paraId="0943DA63" w14:textId="3911B84A" w:rsidR="00967B31" w:rsidRPr="002029AF" w:rsidRDefault="00133711" w:rsidP="000B18D1">
            <w:pPr>
              <w:pStyle w:val="ARtabletextright"/>
              <w:spacing w:before="70" w:after="50"/>
            </w:pPr>
            <w:r>
              <w:fldChar w:fldCharType="begin"/>
            </w:r>
            <w:r>
              <w:instrText xml:space="preserve"> PAGEREF _Ref21960028 \h </w:instrText>
            </w:r>
            <w:r>
              <w:fldChar w:fldCharType="separate"/>
            </w:r>
            <w:r w:rsidR="00E71361">
              <w:rPr>
                <w:noProof/>
              </w:rPr>
              <w:t>114</w:t>
            </w:r>
            <w:r>
              <w:fldChar w:fldCharType="end"/>
            </w:r>
          </w:p>
        </w:tc>
      </w:tr>
      <w:tr w:rsidR="00967B31" w:rsidRPr="002029AF" w14:paraId="505EE8C0" w14:textId="77777777" w:rsidTr="00BD757D">
        <w:trPr>
          <w:cantSplit/>
        </w:trPr>
        <w:tc>
          <w:tcPr>
            <w:tcW w:w="5665" w:type="dxa"/>
            <w:shd w:val="clear" w:color="auto" w:fill="auto"/>
          </w:tcPr>
          <w:p w14:paraId="0E733250" w14:textId="77777777" w:rsidR="00967B31" w:rsidRPr="002029AF" w:rsidRDefault="00967B31" w:rsidP="000B18D1">
            <w:pPr>
              <w:pStyle w:val="ARtabletext"/>
              <w:spacing w:before="70" w:after="50"/>
              <w:rPr>
                <w:i/>
              </w:rPr>
            </w:pPr>
            <w:r w:rsidRPr="002029AF">
              <w:rPr>
                <w:i/>
              </w:rPr>
              <w:t>Disability Act 2006</w:t>
            </w:r>
          </w:p>
        </w:tc>
        <w:tc>
          <w:tcPr>
            <w:tcW w:w="3974" w:type="dxa"/>
            <w:shd w:val="clear" w:color="auto" w:fill="auto"/>
          </w:tcPr>
          <w:p w14:paraId="745DDFC8" w14:textId="2CF9EA58" w:rsidR="00967B31" w:rsidRPr="002029AF" w:rsidRDefault="00133711" w:rsidP="000B18D1">
            <w:pPr>
              <w:pStyle w:val="ARtabletextright"/>
              <w:spacing w:before="70" w:after="50"/>
            </w:pPr>
            <w:r>
              <w:fldChar w:fldCharType="begin"/>
            </w:r>
            <w:r>
              <w:instrText xml:space="preserve"> PAGEREF _Ref84240829 \h </w:instrText>
            </w:r>
            <w:r>
              <w:fldChar w:fldCharType="separate"/>
            </w:r>
            <w:r w:rsidR="00E71361">
              <w:rPr>
                <w:noProof/>
              </w:rPr>
              <w:t>114</w:t>
            </w:r>
            <w:r>
              <w:fldChar w:fldCharType="end"/>
            </w:r>
          </w:p>
        </w:tc>
      </w:tr>
      <w:tr w:rsidR="00967B31" w:rsidRPr="002029AF" w14:paraId="3A1C2331" w14:textId="77777777" w:rsidTr="00BD757D">
        <w:trPr>
          <w:cantSplit/>
        </w:trPr>
        <w:tc>
          <w:tcPr>
            <w:tcW w:w="5665" w:type="dxa"/>
            <w:shd w:val="clear" w:color="auto" w:fill="auto"/>
          </w:tcPr>
          <w:p w14:paraId="6413F992" w14:textId="77777777" w:rsidR="00967B31" w:rsidRPr="002029AF" w:rsidRDefault="00967B31" w:rsidP="000B18D1">
            <w:pPr>
              <w:pStyle w:val="ARtabletext"/>
              <w:spacing w:before="70" w:after="50"/>
              <w:rPr>
                <w:i/>
              </w:rPr>
            </w:pPr>
            <w:r w:rsidRPr="002029AF">
              <w:rPr>
                <w:i/>
              </w:rPr>
              <w:t>Financial Management Act 1994</w:t>
            </w:r>
          </w:p>
        </w:tc>
        <w:tc>
          <w:tcPr>
            <w:tcW w:w="3974" w:type="dxa"/>
            <w:shd w:val="clear" w:color="auto" w:fill="auto"/>
          </w:tcPr>
          <w:p w14:paraId="6D5A3E7D" w14:textId="05049E2B" w:rsidR="00967B31" w:rsidRPr="002029AF" w:rsidRDefault="001F028F" w:rsidP="000B18D1">
            <w:pPr>
              <w:pStyle w:val="ARtabletextright"/>
              <w:spacing w:before="70" w:after="50"/>
            </w:pPr>
            <w:r>
              <w:fldChar w:fldCharType="begin"/>
            </w:r>
            <w:r>
              <w:instrText xml:space="preserve"> PAGEREF Responsible_bodys_declaration \h </w:instrText>
            </w:r>
            <w:r>
              <w:fldChar w:fldCharType="separate"/>
            </w:r>
            <w:r w:rsidR="00E71361">
              <w:rPr>
                <w:noProof/>
              </w:rPr>
              <w:t>6</w:t>
            </w:r>
            <w:r>
              <w:fldChar w:fldCharType="end"/>
            </w:r>
            <w:r>
              <w:t xml:space="preserve">, </w:t>
            </w:r>
            <w:r>
              <w:fldChar w:fldCharType="begin"/>
            </w:r>
            <w:r>
              <w:instrText xml:space="preserve"> PAGEREF _Ref85204050 \h </w:instrText>
            </w:r>
            <w:r>
              <w:fldChar w:fldCharType="separate"/>
            </w:r>
            <w:r w:rsidR="00E71361">
              <w:rPr>
                <w:noProof/>
              </w:rPr>
              <w:t>68</w:t>
            </w:r>
            <w:r>
              <w:fldChar w:fldCharType="end"/>
            </w:r>
            <w:r>
              <w:t xml:space="preserve">, </w:t>
            </w:r>
            <w:r>
              <w:fldChar w:fldCharType="begin"/>
            </w:r>
            <w:r>
              <w:instrText xml:space="preserve"> PAGEREF _Ref85204074 \h </w:instrText>
            </w:r>
            <w:r>
              <w:fldChar w:fldCharType="separate"/>
            </w:r>
            <w:r w:rsidR="00E71361">
              <w:rPr>
                <w:noProof/>
              </w:rPr>
              <w:t>77</w:t>
            </w:r>
            <w:r>
              <w:fldChar w:fldCharType="end"/>
            </w:r>
            <w:r>
              <w:t xml:space="preserve">, </w:t>
            </w:r>
            <w:r>
              <w:fldChar w:fldCharType="begin"/>
            </w:r>
            <w:r>
              <w:instrText xml:space="preserve"> REF Declaration_in_the_financial_statements \h  \* MERGEFORMAT </w:instrText>
            </w:r>
            <w:r>
              <w:fldChar w:fldCharType="end"/>
            </w:r>
            <w:r>
              <w:fldChar w:fldCharType="begin"/>
            </w:r>
            <w:r>
              <w:instrText xml:space="preserve"> PAGEREF Declaration_in_the_financial_statements \h </w:instrText>
            </w:r>
            <w:r>
              <w:fldChar w:fldCharType="separate"/>
            </w:r>
            <w:r w:rsidR="00E71361">
              <w:rPr>
                <w:noProof/>
              </w:rPr>
              <w:t>138</w:t>
            </w:r>
            <w:r>
              <w:fldChar w:fldCharType="end"/>
            </w:r>
            <w:r>
              <w:t xml:space="preserve">, </w:t>
            </w:r>
            <w:r>
              <w:fldChar w:fldCharType="begin"/>
            </w:r>
            <w:r>
              <w:instrText xml:space="preserve"> PAGEREF _Ref85204315 \h </w:instrText>
            </w:r>
            <w:r>
              <w:fldChar w:fldCharType="separate"/>
            </w:r>
            <w:r w:rsidR="00E71361">
              <w:rPr>
                <w:noProof/>
              </w:rPr>
              <w:t>145</w:t>
            </w:r>
            <w:r>
              <w:fldChar w:fldCharType="end"/>
            </w:r>
          </w:p>
        </w:tc>
      </w:tr>
      <w:tr w:rsidR="00967B31" w:rsidRPr="002029AF" w14:paraId="2FA3633C" w14:textId="77777777" w:rsidTr="00BD757D">
        <w:trPr>
          <w:cantSplit/>
        </w:trPr>
        <w:tc>
          <w:tcPr>
            <w:tcW w:w="5665" w:type="dxa"/>
            <w:shd w:val="clear" w:color="auto" w:fill="auto"/>
          </w:tcPr>
          <w:p w14:paraId="647EEA49" w14:textId="77777777" w:rsidR="00967B31" w:rsidRPr="002029AF" w:rsidRDefault="00967B31" w:rsidP="000B18D1">
            <w:pPr>
              <w:pStyle w:val="ARtabletext"/>
              <w:spacing w:before="70" w:after="50"/>
              <w:rPr>
                <w:i/>
              </w:rPr>
            </w:pPr>
            <w:r w:rsidRPr="002029AF">
              <w:rPr>
                <w:i/>
              </w:rPr>
              <w:t>Freedom of Information Act 1982</w:t>
            </w:r>
          </w:p>
        </w:tc>
        <w:tc>
          <w:tcPr>
            <w:tcW w:w="3974" w:type="dxa"/>
            <w:shd w:val="clear" w:color="auto" w:fill="auto"/>
          </w:tcPr>
          <w:p w14:paraId="73EEEA67" w14:textId="047E279C" w:rsidR="00967B31" w:rsidRPr="002029AF" w:rsidRDefault="00033B63" w:rsidP="000B18D1">
            <w:pPr>
              <w:pStyle w:val="ARtabletextright"/>
              <w:spacing w:before="70" w:after="50"/>
            </w:pPr>
            <w:r>
              <w:fldChar w:fldCharType="begin"/>
            </w:r>
            <w:r>
              <w:instrText xml:space="preserve"> PAGEREF _Ref85203428 \h </w:instrText>
            </w:r>
            <w:r>
              <w:fldChar w:fldCharType="separate"/>
            </w:r>
            <w:r w:rsidR="00E71361">
              <w:rPr>
                <w:noProof/>
              </w:rPr>
              <w:t>112</w:t>
            </w:r>
            <w:r>
              <w:fldChar w:fldCharType="end"/>
            </w:r>
          </w:p>
        </w:tc>
      </w:tr>
      <w:tr w:rsidR="00967B31" w:rsidRPr="002029AF" w14:paraId="0439EEAB" w14:textId="77777777" w:rsidTr="00BD757D">
        <w:trPr>
          <w:cantSplit/>
        </w:trPr>
        <w:tc>
          <w:tcPr>
            <w:tcW w:w="5665" w:type="dxa"/>
            <w:shd w:val="clear" w:color="auto" w:fill="auto"/>
          </w:tcPr>
          <w:p w14:paraId="2A22CB57" w14:textId="77777777" w:rsidR="00967B31" w:rsidRPr="002029AF" w:rsidRDefault="00967B31" w:rsidP="000B18D1">
            <w:pPr>
              <w:pStyle w:val="ARtabletext"/>
              <w:spacing w:before="70" w:after="50"/>
              <w:rPr>
                <w:i/>
              </w:rPr>
            </w:pPr>
            <w:r w:rsidRPr="002A1EFD">
              <w:rPr>
                <w:i/>
              </w:rPr>
              <w:t>Local Jobs First Act 2003</w:t>
            </w:r>
          </w:p>
        </w:tc>
        <w:tc>
          <w:tcPr>
            <w:tcW w:w="3974" w:type="dxa"/>
            <w:shd w:val="clear" w:color="auto" w:fill="auto"/>
          </w:tcPr>
          <w:p w14:paraId="13DF9A94" w14:textId="164237DE" w:rsidR="00967B31" w:rsidRPr="002029AF" w:rsidRDefault="00133711" w:rsidP="000B18D1">
            <w:pPr>
              <w:pStyle w:val="ARtabletextright"/>
              <w:spacing w:before="70" w:after="50"/>
            </w:pPr>
            <w:r>
              <w:fldChar w:fldCharType="begin"/>
            </w:r>
            <w:r>
              <w:instrText xml:space="preserve"> PAGEREF _Ref84240846 \h </w:instrText>
            </w:r>
            <w:r>
              <w:fldChar w:fldCharType="separate"/>
            </w:r>
            <w:r w:rsidR="00E71361">
              <w:rPr>
                <w:noProof/>
              </w:rPr>
              <w:t>101</w:t>
            </w:r>
            <w:r>
              <w:fldChar w:fldCharType="end"/>
            </w:r>
          </w:p>
        </w:tc>
      </w:tr>
      <w:tr w:rsidR="00D52510" w:rsidRPr="002029AF" w14:paraId="1090B61F" w14:textId="77777777" w:rsidTr="00BD757D">
        <w:trPr>
          <w:cantSplit/>
        </w:trPr>
        <w:tc>
          <w:tcPr>
            <w:tcW w:w="5665" w:type="dxa"/>
            <w:shd w:val="clear" w:color="auto" w:fill="auto"/>
          </w:tcPr>
          <w:p w14:paraId="4D873185" w14:textId="69058F24" w:rsidR="00D52510" w:rsidRPr="002A1EFD" w:rsidRDefault="00D52510" w:rsidP="000B18D1">
            <w:pPr>
              <w:pStyle w:val="ARtabletext"/>
              <w:spacing w:before="70" w:after="50"/>
              <w:rPr>
                <w:i/>
              </w:rPr>
            </w:pPr>
            <w:r w:rsidRPr="00D52510">
              <w:rPr>
                <w:i/>
              </w:rPr>
              <w:t>Occupational Health and Safety Act 2004</w:t>
            </w:r>
          </w:p>
        </w:tc>
        <w:tc>
          <w:tcPr>
            <w:tcW w:w="3974" w:type="dxa"/>
            <w:shd w:val="clear" w:color="auto" w:fill="auto"/>
          </w:tcPr>
          <w:p w14:paraId="5683924F" w14:textId="1CADACD1" w:rsidR="00D52510" w:rsidRDefault="001F028F" w:rsidP="000B18D1">
            <w:pPr>
              <w:pStyle w:val="ARtabletextright"/>
              <w:spacing w:before="70" w:after="50"/>
            </w:pPr>
            <w:r>
              <w:fldChar w:fldCharType="begin"/>
            </w:r>
            <w:r>
              <w:instrText xml:space="preserve"> PAGEREF _Ref85203753 \h </w:instrText>
            </w:r>
            <w:r>
              <w:fldChar w:fldCharType="separate"/>
            </w:r>
            <w:r w:rsidR="00E71361">
              <w:rPr>
                <w:noProof/>
              </w:rPr>
              <w:t>10</w:t>
            </w:r>
            <w:r>
              <w:fldChar w:fldCharType="end"/>
            </w:r>
            <w:r w:rsidR="00B1233A">
              <w:t>,</w:t>
            </w:r>
            <w:r>
              <w:t xml:space="preserve"> </w:t>
            </w:r>
            <w:r w:rsidR="00B1233A">
              <w:fldChar w:fldCharType="begin"/>
            </w:r>
            <w:r w:rsidR="00B1233A">
              <w:instrText xml:space="preserve"> PAGEREF _Ref84252320 \h </w:instrText>
            </w:r>
            <w:r w:rsidR="00B1233A">
              <w:fldChar w:fldCharType="separate"/>
            </w:r>
            <w:r w:rsidR="00E71361">
              <w:rPr>
                <w:noProof/>
              </w:rPr>
              <w:t>98</w:t>
            </w:r>
            <w:r w:rsidR="00B1233A">
              <w:fldChar w:fldCharType="end"/>
            </w:r>
            <w:r>
              <w:t xml:space="preserve">, </w:t>
            </w:r>
            <w:r>
              <w:fldChar w:fldCharType="begin"/>
            </w:r>
            <w:r>
              <w:instrText xml:space="preserve"> PAGEREF _Ref85203811 \h </w:instrText>
            </w:r>
            <w:r>
              <w:fldChar w:fldCharType="separate"/>
            </w:r>
            <w:r w:rsidR="00E71361">
              <w:rPr>
                <w:noProof/>
              </w:rPr>
              <w:t>227</w:t>
            </w:r>
            <w:r>
              <w:fldChar w:fldCharType="end"/>
            </w:r>
          </w:p>
        </w:tc>
      </w:tr>
      <w:tr w:rsidR="00967B31" w:rsidRPr="00502EC9" w14:paraId="538B7606" w14:textId="77777777" w:rsidTr="00BD757D">
        <w:trPr>
          <w:cantSplit/>
        </w:trPr>
        <w:tc>
          <w:tcPr>
            <w:tcW w:w="5665" w:type="dxa"/>
            <w:shd w:val="clear" w:color="auto" w:fill="auto"/>
          </w:tcPr>
          <w:p w14:paraId="3D85D3DD" w14:textId="77777777" w:rsidR="00967B31" w:rsidRPr="00502EC9" w:rsidRDefault="00967B31" w:rsidP="000B18D1">
            <w:pPr>
              <w:pStyle w:val="ARtabletext"/>
              <w:spacing w:before="70" w:after="50"/>
              <w:rPr>
                <w:i/>
              </w:rPr>
            </w:pPr>
            <w:r w:rsidRPr="00502EC9">
              <w:rPr>
                <w:i/>
              </w:rPr>
              <w:t>Public Administration Act 2004</w:t>
            </w:r>
          </w:p>
        </w:tc>
        <w:tc>
          <w:tcPr>
            <w:tcW w:w="3974" w:type="dxa"/>
            <w:shd w:val="clear" w:color="auto" w:fill="auto"/>
          </w:tcPr>
          <w:p w14:paraId="521D9289" w14:textId="2E9DF305" w:rsidR="00967B31" w:rsidRPr="00502EC9" w:rsidRDefault="00033B63" w:rsidP="000B18D1">
            <w:pPr>
              <w:pStyle w:val="ARtabletextright"/>
              <w:spacing w:before="70" w:after="50"/>
            </w:pPr>
            <w:r>
              <w:fldChar w:fldCharType="begin"/>
            </w:r>
            <w:r>
              <w:instrText xml:space="preserve"> PAGEREF _Ref85203507 \h </w:instrText>
            </w:r>
            <w:r>
              <w:fldChar w:fldCharType="separate"/>
            </w:r>
            <w:r w:rsidR="00E71361">
              <w:rPr>
                <w:noProof/>
              </w:rPr>
              <w:t>7</w:t>
            </w:r>
            <w:r>
              <w:fldChar w:fldCharType="end"/>
            </w:r>
            <w:r w:rsidR="000B0522">
              <w:t xml:space="preserve">, </w:t>
            </w:r>
            <w:r w:rsidR="00CD50E0">
              <w:fldChar w:fldCharType="begin"/>
            </w:r>
            <w:r w:rsidR="00CD50E0">
              <w:instrText xml:space="preserve"> PAGEREF _Ref84240929 \h </w:instrText>
            </w:r>
            <w:r w:rsidR="00CD50E0">
              <w:fldChar w:fldCharType="separate"/>
            </w:r>
            <w:r w:rsidR="00E71361">
              <w:rPr>
                <w:noProof/>
              </w:rPr>
              <w:t>78</w:t>
            </w:r>
            <w:r w:rsidR="00CD50E0">
              <w:fldChar w:fldCharType="end"/>
            </w:r>
            <w:r w:rsidR="00CA5B37">
              <w:t xml:space="preserve">, </w:t>
            </w:r>
            <w:r w:rsidR="00CA5B37">
              <w:fldChar w:fldCharType="begin"/>
            </w:r>
            <w:r w:rsidR="00CA5B37">
              <w:instrText xml:space="preserve"> PAGEREF _Ref84600391 \h </w:instrText>
            </w:r>
            <w:r w:rsidR="00CA5B37">
              <w:fldChar w:fldCharType="separate"/>
            </w:r>
            <w:r w:rsidR="00E71361">
              <w:rPr>
                <w:noProof/>
              </w:rPr>
              <w:t>145</w:t>
            </w:r>
            <w:r w:rsidR="00CA5B37">
              <w:fldChar w:fldCharType="end"/>
            </w:r>
          </w:p>
        </w:tc>
      </w:tr>
      <w:tr w:rsidR="006E4D13" w:rsidRPr="002029AF" w14:paraId="42C48DA4" w14:textId="77777777" w:rsidTr="00BD757D">
        <w:trPr>
          <w:cantSplit/>
        </w:trPr>
        <w:tc>
          <w:tcPr>
            <w:tcW w:w="5665" w:type="dxa"/>
            <w:shd w:val="clear" w:color="auto" w:fill="auto"/>
          </w:tcPr>
          <w:p w14:paraId="461B64B4" w14:textId="77777777" w:rsidR="006E4D13" w:rsidRPr="002029AF" w:rsidRDefault="006E4D13" w:rsidP="000B18D1">
            <w:pPr>
              <w:pStyle w:val="ARtabletext"/>
              <w:spacing w:before="70" w:after="50"/>
              <w:rPr>
                <w:i/>
              </w:rPr>
            </w:pPr>
            <w:r w:rsidRPr="002029AF">
              <w:rPr>
                <w:i/>
              </w:rPr>
              <w:t>Public Health and Wellbeing Act 2008</w:t>
            </w:r>
          </w:p>
        </w:tc>
        <w:tc>
          <w:tcPr>
            <w:tcW w:w="3974" w:type="dxa"/>
            <w:shd w:val="clear" w:color="auto" w:fill="auto"/>
          </w:tcPr>
          <w:p w14:paraId="23F32AFA" w14:textId="5606A450" w:rsidR="006E4D13" w:rsidRPr="002029AF" w:rsidRDefault="00033B63" w:rsidP="000B18D1">
            <w:pPr>
              <w:pStyle w:val="ARtabletextright"/>
              <w:spacing w:before="70" w:after="50"/>
            </w:pPr>
            <w:r>
              <w:fldChar w:fldCharType="begin"/>
            </w:r>
            <w:r>
              <w:instrText xml:space="preserve"> PAGEREF _Ref85203677 \h </w:instrText>
            </w:r>
            <w:r>
              <w:fldChar w:fldCharType="separate"/>
            </w:r>
            <w:r w:rsidR="00E71361">
              <w:rPr>
                <w:noProof/>
              </w:rPr>
              <w:t>39</w:t>
            </w:r>
            <w:r>
              <w:fldChar w:fldCharType="end"/>
            </w:r>
            <w:r w:rsidR="000B0522">
              <w:t>,</w:t>
            </w:r>
            <w:r>
              <w:t xml:space="preserve"> </w:t>
            </w:r>
            <w:r>
              <w:fldChar w:fldCharType="begin"/>
            </w:r>
            <w:r>
              <w:instrText xml:space="preserve"> PAGEREF _Ref85203698 \h </w:instrText>
            </w:r>
            <w:r>
              <w:fldChar w:fldCharType="separate"/>
            </w:r>
            <w:r w:rsidR="00E71361">
              <w:rPr>
                <w:noProof/>
              </w:rPr>
              <w:t>43</w:t>
            </w:r>
            <w:r>
              <w:fldChar w:fldCharType="end"/>
            </w:r>
            <w:r>
              <w:t>,</w:t>
            </w:r>
            <w:r w:rsidR="000B0522">
              <w:t xml:space="preserve"> </w:t>
            </w:r>
            <w:r w:rsidR="00E87409">
              <w:fldChar w:fldCharType="begin"/>
            </w:r>
            <w:r w:rsidR="00E87409">
              <w:instrText xml:space="preserve"> PAGEREF _Ref84240859 \h </w:instrText>
            </w:r>
            <w:r w:rsidR="00E87409">
              <w:fldChar w:fldCharType="separate"/>
            </w:r>
            <w:r w:rsidR="00E71361">
              <w:rPr>
                <w:noProof/>
              </w:rPr>
              <w:t>115</w:t>
            </w:r>
            <w:r w:rsidR="00E87409">
              <w:fldChar w:fldCharType="end"/>
            </w:r>
            <w:r w:rsidR="00B672AD">
              <w:t xml:space="preserve">, </w:t>
            </w:r>
            <w:r w:rsidR="00B672AD">
              <w:fldChar w:fldCharType="begin"/>
            </w:r>
            <w:r w:rsidR="00B672AD">
              <w:instrText xml:space="preserve"> PAGEREF _Ref492915509 \h </w:instrText>
            </w:r>
            <w:r w:rsidR="00B672AD">
              <w:fldChar w:fldCharType="separate"/>
            </w:r>
            <w:r w:rsidR="00E71361">
              <w:rPr>
                <w:noProof/>
              </w:rPr>
              <w:t>134</w:t>
            </w:r>
            <w:r w:rsidR="00B672AD">
              <w:fldChar w:fldCharType="end"/>
            </w:r>
          </w:p>
        </w:tc>
      </w:tr>
      <w:tr w:rsidR="00967B31" w:rsidRPr="002029AF" w14:paraId="2FFBC1D5" w14:textId="77777777" w:rsidTr="00BD757D">
        <w:trPr>
          <w:cantSplit/>
        </w:trPr>
        <w:tc>
          <w:tcPr>
            <w:tcW w:w="5665" w:type="dxa"/>
            <w:shd w:val="clear" w:color="auto" w:fill="auto"/>
          </w:tcPr>
          <w:p w14:paraId="283B9F5F" w14:textId="77777777" w:rsidR="00967B31" w:rsidRPr="002029AF" w:rsidRDefault="00967B31" w:rsidP="000B18D1">
            <w:pPr>
              <w:pStyle w:val="ARtabletext"/>
              <w:spacing w:before="70" w:after="50"/>
              <w:rPr>
                <w:i/>
              </w:rPr>
            </w:pPr>
            <w:r w:rsidRPr="002029AF">
              <w:rPr>
                <w:i/>
              </w:rPr>
              <w:t>Public Interest Disclosure</w:t>
            </w:r>
            <w:r>
              <w:rPr>
                <w:i/>
              </w:rPr>
              <w:t>s</w:t>
            </w:r>
            <w:r w:rsidRPr="002029AF">
              <w:rPr>
                <w:i/>
              </w:rPr>
              <w:t xml:space="preserve"> Act 2012</w:t>
            </w:r>
          </w:p>
        </w:tc>
        <w:tc>
          <w:tcPr>
            <w:tcW w:w="3974" w:type="dxa"/>
            <w:shd w:val="clear" w:color="auto" w:fill="auto"/>
          </w:tcPr>
          <w:p w14:paraId="125DB52A" w14:textId="74492ECC" w:rsidR="00967B31" w:rsidRPr="002029AF" w:rsidRDefault="00E87409" w:rsidP="000B18D1">
            <w:pPr>
              <w:pStyle w:val="ARtabletextright"/>
              <w:spacing w:before="70" w:after="50"/>
            </w:pPr>
            <w:r>
              <w:fldChar w:fldCharType="begin"/>
            </w:r>
            <w:r>
              <w:instrText xml:space="preserve"> PAGEREF _Ref84240900 \h </w:instrText>
            </w:r>
            <w:r>
              <w:fldChar w:fldCharType="separate"/>
            </w:r>
            <w:r w:rsidR="00E71361">
              <w:rPr>
                <w:noProof/>
              </w:rPr>
              <w:t>113</w:t>
            </w:r>
            <w:r>
              <w:fldChar w:fldCharType="end"/>
            </w:r>
          </w:p>
        </w:tc>
      </w:tr>
      <w:bookmarkEnd w:id="1098"/>
      <w:bookmarkEnd w:id="1125"/>
      <w:bookmarkEnd w:id="1126"/>
      <w:bookmarkEnd w:id="1127"/>
      <w:bookmarkEnd w:id="1128"/>
      <w:bookmarkEnd w:id="1129"/>
    </w:tbl>
    <w:p w14:paraId="46180984" w14:textId="1ED6FF01" w:rsidR="00967B31" w:rsidRPr="002029AF" w:rsidRDefault="00967B31" w:rsidP="003D776F">
      <w:pPr>
        <w:pStyle w:val="ARbodynospace"/>
      </w:pPr>
    </w:p>
    <w:sectPr w:rsidR="00967B31" w:rsidRPr="002029AF" w:rsidSect="00A36763">
      <w:headerReference w:type="default" r:id="rId150"/>
      <w:headerReference w:type="first" r:id="rId151"/>
      <w:footerReference w:type="first" r:id="rId152"/>
      <w:footnotePr>
        <w:numFmt w:val="lowerLetter"/>
        <w:numRestart w:val="eachPage"/>
      </w:footnotePr>
      <w:endnotePr>
        <w:numFmt w:val="decimal"/>
      </w:endnotePr>
      <w:pgSz w:w="11900" w:h="16840" w:code="9"/>
      <w:pgMar w:top="1985" w:right="1134" w:bottom="851" w:left="1134" w:header="510" w:footer="340" w:gutter="0"/>
      <w:cols w:space="4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EC2E0" w14:textId="77777777" w:rsidR="00CB1FED" w:rsidRDefault="00CB1FED" w:rsidP="00CF72D5">
      <w:pPr>
        <w:spacing w:after="0" w:line="240" w:lineRule="auto"/>
      </w:pPr>
      <w:r>
        <w:separator/>
      </w:r>
    </w:p>
  </w:endnote>
  <w:endnote w:type="continuationSeparator" w:id="0">
    <w:p w14:paraId="5143C005" w14:textId="77777777" w:rsidR="00CB1FED" w:rsidRDefault="00CB1FED" w:rsidP="00CF72D5">
      <w:pPr>
        <w:spacing w:after="0" w:line="240" w:lineRule="auto"/>
      </w:pPr>
      <w:r>
        <w:continuationSeparator/>
      </w:r>
    </w:p>
  </w:endnote>
  <w:endnote w:type="continuationNotice" w:id="1">
    <w:p w14:paraId="0A562A53" w14:textId="77777777" w:rsidR="00CB1FED" w:rsidRDefault="00CB1F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583">
    <w:altName w:val="Calibri"/>
    <w:panose1 w:val="00000000000000000000"/>
    <w:charset w:val="00"/>
    <w:family w:val="auto"/>
    <w:notTrueType/>
    <w:pitch w:val="default"/>
  </w:font>
  <w:font w:name="Wingdings 3">
    <w:panose1 w:val="05040102010807070707"/>
    <w:charset w:val="02"/>
    <w:family w:val="roman"/>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Cordia New">
    <w:panose1 w:val="020B0304020202020204"/>
    <w:charset w:val="DE"/>
    <w:family w:val="swiss"/>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Grande">
    <w:altName w:val="Courier New"/>
    <w:charset w:val="00"/>
    <w:family w:val="auto"/>
    <w:pitch w:val="variable"/>
    <w:sig w:usb0="E1001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AvantGarde Bk BT">
    <w:altName w:val="Arial"/>
    <w:panose1 w:val="00000000000000000000"/>
    <w:charset w:val="00"/>
    <w:family w:val="auto"/>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Arial-BoldMT">
    <w:altName w:val="Calibri"/>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IC-Regular">
    <w:altName w:val="Cambria"/>
    <w:panose1 w:val="000005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3371F" w14:textId="77777777" w:rsidR="00AC6879" w:rsidRDefault="00AC687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83526" w14:textId="77777777" w:rsidR="00AC6879" w:rsidRDefault="00AC6879">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603B7" w14:textId="77777777" w:rsidR="00AC6879" w:rsidRDefault="00AC6879">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DABA9" w14:textId="77777777" w:rsidR="00AC6879" w:rsidRDefault="00AC6879">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8D94F" w14:textId="77777777" w:rsidR="00AC6879" w:rsidRDefault="00AC6879">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BA18F" w14:textId="77777777" w:rsidR="00AC6879" w:rsidRDefault="00AC6879">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05198" w14:textId="77777777" w:rsidR="00AC6879" w:rsidRDefault="00AC6879">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8CCD2" w14:textId="77777777" w:rsidR="00F72887" w:rsidRDefault="00F7288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C7EB2" w14:textId="77777777" w:rsidR="00AC6879" w:rsidRDefault="00AC6879">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6548E" w14:textId="218885FB" w:rsidR="00AC6879" w:rsidRPr="00DA017A" w:rsidRDefault="00AC6879" w:rsidP="00860E95">
    <w:pPr>
      <w:pStyle w:val="ARfooter"/>
      <w:rPr>
        <w:rFonts w:cs="Arial"/>
        <w:b/>
        <w:color w:val="53565A"/>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F1C77" w14:textId="77777777" w:rsidR="00AC6879" w:rsidRPr="00DA017A" w:rsidRDefault="00AC6879" w:rsidP="00860E95">
    <w:pPr>
      <w:pStyle w:val="ARfooter"/>
      <w:rPr>
        <w:rFonts w:cs="Arial"/>
        <w:b/>
        <w:color w:val="53565A"/>
      </w:rPr>
    </w:pPr>
    <w:r>
      <w:t xml:space="preserve">Department of Health and Human Services annual report </w:t>
    </w:r>
    <w:r w:rsidRPr="003C35CF">
      <w:t>201</w:t>
    </w:r>
    <w:r>
      <w:t>9</w:t>
    </w:r>
    <w:r w:rsidRPr="003C35CF">
      <w:t>–</w:t>
    </w:r>
    <w:r>
      <w:t>20</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rPr>
      <w:t>8</w:t>
    </w:r>
    <w:r w:rsidRPr="00A575C6">
      <w:rPr>
        <w:rStyle w:val="AR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4A161" w14:textId="77777777" w:rsidR="00AC6879" w:rsidRDefault="00AC6879">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9FA54" w14:textId="77777777" w:rsidR="00AC6879" w:rsidRPr="00DA017A" w:rsidRDefault="00AC6879" w:rsidP="00860E95">
    <w:pPr>
      <w:pStyle w:val="ARfooter"/>
      <w:rPr>
        <w:rFonts w:cs="Arial"/>
        <w:b/>
        <w:color w:val="53565A"/>
      </w:rP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220</w:t>
    </w:r>
    <w:r w:rsidRPr="00A575C6">
      <w:rPr>
        <w:rStyle w:val="ARpagenumber"/>
      </w:rPr>
      <w:fldChar w:fldCharType="end"/>
    </w:r>
    <w:r>
      <w:rPr>
        <w:rStyle w:val="ARpagenumber"/>
      </w:rPr>
      <w:ptab w:relativeTo="margin" w:alignment="right" w:leader="none"/>
    </w:r>
    <w:r>
      <w:t xml:space="preserve">Department of Health and Human Services annual report </w:t>
    </w:r>
    <w:r w:rsidRPr="003C35CF">
      <w:t>201</w:t>
    </w:r>
    <w:r>
      <w:t>9</w:t>
    </w:r>
    <w:r w:rsidRPr="003C35CF">
      <w:t>–</w:t>
    </w:r>
    <w:r>
      <w:t>20</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757CE" w14:textId="77777777" w:rsidR="00AC6879" w:rsidRPr="00DA017A" w:rsidRDefault="00AC6879" w:rsidP="00860E95">
    <w:pPr>
      <w:pStyle w:val="ARfooter"/>
      <w:rPr>
        <w:rFonts w:cs="Arial"/>
        <w:b/>
        <w:color w:val="53565A"/>
      </w:rPr>
    </w:pPr>
    <w:r>
      <w:t xml:space="preserve">Department of Health and Human Services annual report </w:t>
    </w:r>
    <w:r w:rsidRPr="003C35CF">
      <w:t>201</w:t>
    </w:r>
    <w:r>
      <w:t>9</w:t>
    </w:r>
    <w:r w:rsidRPr="003C35CF">
      <w:t>–</w:t>
    </w:r>
    <w:r>
      <w:t>20</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226</w:t>
    </w:r>
    <w:r w:rsidRPr="00A575C6">
      <w:rPr>
        <w:rStyle w:val="ARpagenumber"/>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29CD0" w14:textId="77777777" w:rsidR="00AC6879" w:rsidRPr="00DA017A" w:rsidRDefault="00AC6879" w:rsidP="00860E95">
    <w:pPr>
      <w:pStyle w:val="ARfooter"/>
      <w:rPr>
        <w:rFonts w:cs="Arial"/>
        <w:b/>
        <w:color w:val="53565A"/>
      </w:rP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232</w:t>
    </w:r>
    <w:r w:rsidRPr="00A575C6">
      <w:rPr>
        <w:rStyle w:val="ARpagenumber"/>
      </w:rPr>
      <w:fldChar w:fldCharType="end"/>
    </w:r>
    <w:r>
      <w:rPr>
        <w:rStyle w:val="ARpagenumber"/>
      </w:rPr>
      <w:ptab w:relativeTo="margin" w:alignment="right" w:leader="none"/>
    </w:r>
    <w:r>
      <w:t xml:space="preserve">Department of Health and Human Services annual report </w:t>
    </w:r>
    <w:r w:rsidRPr="003C35CF">
      <w:t>201</w:t>
    </w:r>
    <w:r>
      <w:t>9</w:t>
    </w:r>
    <w:r w:rsidRPr="003C35CF">
      <w:t>–</w:t>
    </w:r>
    <w:r>
      <w:t>20</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D8D1D" w14:textId="77777777" w:rsidR="00AC6879" w:rsidRPr="009142DB" w:rsidRDefault="00AC6879" w:rsidP="00860E95">
    <w:pPr>
      <w:pStyle w:val="ARfooter"/>
      <w:rPr>
        <w:rFonts w:cs="Arial"/>
        <w:b/>
        <w:color w:val="53565A"/>
      </w:rPr>
    </w:pPr>
    <w:r>
      <w:t xml:space="preserve">Department of Health and Human Services annual report </w:t>
    </w:r>
    <w:r w:rsidRPr="003C35CF">
      <w:t>201</w:t>
    </w:r>
    <w:r>
      <w:t>9</w:t>
    </w:r>
    <w:r w:rsidRPr="003C35CF">
      <w:t>–</w:t>
    </w:r>
    <w:r>
      <w:t>20</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234</w:t>
    </w:r>
    <w:r w:rsidRPr="00A575C6">
      <w:rPr>
        <w:rStyle w:val="AR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00E51" w14:textId="77777777" w:rsidR="00AC6879" w:rsidRPr="005A66F9" w:rsidRDefault="00AC6879" w:rsidP="005A66F9">
    <w:pPr>
      <w:pStyle w:val="ARfooter"/>
      <w:rPr>
        <w:rFonts w:cs="Arial"/>
        <w:b/>
        <w:color w:val="53565A"/>
      </w:rP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246</w:t>
    </w:r>
    <w:r w:rsidRPr="00A575C6">
      <w:rPr>
        <w:rStyle w:val="ARpagenumber"/>
      </w:rPr>
      <w:fldChar w:fldCharType="end"/>
    </w:r>
    <w:r>
      <w:rPr>
        <w:rStyle w:val="ARpagenumber"/>
      </w:rPr>
      <w:ptab w:relativeTo="margin" w:alignment="right" w:leader="none"/>
    </w:r>
    <w:r>
      <w:t xml:space="preserve">Department of Health and Human Services annual report </w:t>
    </w:r>
    <w:r w:rsidRPr="003C35CF">
      <w:t>201</w:t>
    </w:r>
    <w:r>
      <w:t>9</w:t>
    </w:r>
    <w:r w:rsidRPr="003C35CF">
      <w:t>–</w:t>
    </w:r>
    <w:r>
      <w:t>20</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47A81" w14:textId="77777777" w:rsidR="00AC6879" w:rsidRPr="005A66F9" w:rsidRDefault="00AC6879" w:rsidP="005A66F9">
    <w:pPr>
      <w:pStyle w:val="ARfooter"/>
      <w:rPr>
        <w:rFonts w:cs="Arial"/>
        <w:b/>
        <w:color w:val="53565A"/>
      </w:rPr>
    </w:pPr>
    <w:r>
      <w:t xml:space="preserve">Department of Health and Human Services annual report </w:t>
    </w:r>
    <w:r w:rsidRPr="003C35CF">
      <w:t>201</w:t>
    </w:r>
    <w:r>
      <w:t>9</w:t>
    </w:r>
    <w:r w:rsidRPr="003C35CF">
      <w:t>–</w:t>
    </w:r>
    <w:r>
      <w:t>20</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248</w:t>
    </w:r>
    <w:r w:rsidRPr="00A575C6">
      <w:rPr>
        <w:rStyle w:val="AR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8C33F" w14:textId="77777777" w:rsidR="00AC6879" w:rsidRPr="00DA017A" w:rsidRDefault="00AC6879" w:rsidP="00860E95">
    <w:pPr>
      <w:pStyle w:val="ARfooter"/>
      <w:rPr>
        <w:rFonts w:cs="Arial"/>
        <w:b/>
        <w:color w:val="53565A"/>
      </w:rP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264</w:t>
    </w:r>
    <w:r w:rsidRPr="00A575C6">
      <w:rPr>
        <w:rStyle w:val="ARpagenumber"/>
      </w:rPr>
      <w:fldChar w:fldCharType="end"/>
    </w:r>
    <w:r>
      <w:rPr>
        <w:rStyle w:val="ARpagenumber"/>
      </w:rPr>
      <w:ptab w:relativeTo="margin" w:alignment="right" w:leader="none"/>
    </w:r>
    <w:r>
      <w:t xml:space="preserve">Department of Health and Human Services annual report </w:t>
    </w:r>
    <w:r w:rsidRPr="003C35CF">
      <w:t>201</w:t>
    </w:r>
    <w:r>
      <w:t>9</w:t>
    </w:r>
    <w:r w:rsidRPr="003C35CF">
      <w:t>–</w:t>
    </w:r>
    <w:r>
      <w:t>20</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65C934" w14:textId="77777777" w:rsidR="00AC6879" w:rsidRPr="009142DB" w:rsidRDefault="00AC6879" w:rsidP="00860E95">
    <w:pPr>
      <w:pStyle w:val="ARfooter"/>
      <w:rPr>
        <w:rFonts w:cs="Arial"/>
        <w:b/>
        <w:color w:val="53565A"/>
      </w:rPr>
    </w:pPr>
    <w:r>
      <w:t xml:space="preserve">Department of Health and Human Services annual report </w:t>
    </w:r>
    <w:r w:rsidRPr="003C35CF">
      <w:t>201</w:t>
    </w:r>
    <w:r>
      <w:t>9</w:t>
    </w:r>
    <w:r w:rsidRPr="003C35CF">
      <w:t>–</w:t>
    </w:r>
    <w:r>
      <w:t>20</w:t>
    </w:r>
    <w:r>
      <w:ptab w:relativeTo="margin" w:alignment="right" w:leader="none"/>
    </w: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266</w:t>
    </w:r>
    <w:r w:rsidRPr="00A575C6">
      <w:rPr>
        <w:rStyle w:val="ARpagenumber"/>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AF78C" w14:textId="77777777" w:rsidR="00AC6879" w:rsidRPr="009142DB" w:rsidRDefault="00AC6879" w:rsidP="009B0A5C">
    <w:pPr>
      <w:pStyle w:val="ARfooter"/>
      <w:rPr>
        <w:rFonts w:cs="Arial"/>
        <w:b/>
        <w:color w:val="53565A"/>
      </w:rPr>
    </w:pPr>
    <w:r w:rsidRPr="00A575C6">
      <w:rPr>
        <w:rStyle w:val="ARpagenumber"/>
      </w:rPr>
      <w:fldChar w:fldCharType="begin"/>
    </w:r>
    <w:r w:rsidRPr="00A575C6">
      <w:rPr>
        <w:rStyle w:val="ARpagenumber"/>
      </w:rPr>
      <w:instrText xml:space="preserve"> PAGE </w:instrText>
    </w:r>
    <w:r w:rsidRPr="00A575C6">
      <w:rPr>
        <w:rStyle w:val="ARpagenumber"/>
      </w:rPr>
      <w:fldChar w:fldCharType="separate"/>
    </w:r>
    <w:r>
      <w:rPr>
        <w:rStyle w:val="ARpagenumber"/>
        <w:noProof/>
      </w:rPr>
      <w:t>300</w:t>
    </w:r>
    <w:r w:rsidRPr="00A575C6">
      <w:rPr>
        <w:rStyle w:val="ARpagenumber"/>
      </w:rPr>
      <w:fldChar w:fldCharType="end"/>
    </w:r>
    <w:r>
      <w:rPr>
        <w:rStyle w:val="ARpagenumber"/>
      </w:rPr>
      <w:ptab w:relativeTo="margin" w:alignment="right" w:leader="none"/>
    </w:r>
    <w:r>
      <w:t xml:space="preserve">Department of Health and Human Services annual report </w:t>
    </w:r>
    <w:r w:rsidRPr="003C35CF">
      <w:t>201</w:t>
    </w:r>
    <w:r>
      <w:t>9</w:t>
    </w:r>
    <w:r w:rsidRPr="003C35CF">
      <w:t>–</w:t>
    </w:r>
    <w:r>
      <w:t>20</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A6309" w14:textId="77777777" w:rsidR="00AC6879" w:rsidRDefault="00AC68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0A599" w14:textId="77777777" w:rsidR="00AC6879" w:rsidRDefault="00AC6879">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DC721" w14:textId="77777777" w:rsidR="00AC6879" w:rsidRDefault="00AC6879">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0F0C8" w14:textId="77777777" w:rsidR="00AC6879" w:rsidRDefault="00AC68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56763" w14:textId="77777777" w:rsidR="00AC6879" w:rsidRDefault="00AC687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BFDD1" w14:textId="77777777" w:rsidR="00AC6879" w:rsidRDefault="00AC687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AB829" w14:textId="77777777" w:rsidR="00AC6879" w:rsidRDefault="00AC687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C6160" w14:textId="77777777" w:rsidR="00AC6879" w:rsidRDefault="00AC687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3EA24" w14:textId="77777777" w:rsidR="00AC6879" w:rsidRDefault="00AC687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0C8C0" w14:textId="77777777" w:rsidR="00AC6879" w:rsidRDefault="00AC68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542716" w14:textId="77777777" w:rsidR="00CB1FED" w:rsidRPr="009E5882" w:rsidRDefault="00CB1FED" w:rsidP="003E45B5">
      <w:pPr>
        <w:spacing w:before="80" w:after="40" w:line="240" w:lineRule="auto"/>
        <w:rPr>
          <w:rFonts w:ascii="Arial" w:hAnsi="Arial" w:cs="Arial"/>
          <w:sz w:val="12"/>
          <w:szCs w:val="12"/>
        </w:rPr>
      </w:pPr>
      <w:r w:rsidRPr="009E5882">
        <w:rPr>
          <w:rFonts w:ascii="Arial" w:hAnsi="Arial" w:cs="Arial"/>
          <w:sz w:val="12"/>
          <w:szCs w:val="12"/>
        </w:rPr>
        <w:separator/>
      </w:r>
    </w:p>
  </w:footnote>
  <w:footnote w:type="continuationSeparator" w:id="0">
    <w:p w14:paraId="4BFEFFBF" w14:textId="77777777" w:rsidR="00CB1FED" w:rsidRDefault="00CB1FED" w:rsidP="00CF72D5">
      <w:pPr>
        <w:spacing w:after="0" w:line="240" w:lineRule="auto"/>
      </w:pPr>
      <w:r>
        <w:continuationSeparator/>
      </w:r>
    </w:p>
  </w:footnote>
  <w:footnote w:type="continuationNotice" w:id="1">
    <w:p w14:paraId="50256846" w14:textId="77777777" w:rsidR="00CB1FED" w:rsidRDefault="00CB1FED">
      <w:pPr>
        <w:spacing w:after="0" w:line="240" w:lineRule="auto"/>
      </w:pPr>
    </w:p>
  </w:footnote>
  <w:footnote w:id="2">
    <w:p w14:paraId="16AD32C6" w14:textId="18469E55" w:rsidR="00AC6879" w:rsidRPr="00FE5F46" w:rsidRDefault="00AC6879" w:rsidP="00B93627">
      <w:pPr>
        <w:pStyle w:val="FootnoteText"/>
        <w:rPr>
          <w:lang w:val="en-AU"/>
        </w:rPr>
      </w:pPr>
      <w:r>
        <w:rPr>
          <w:lang w:val="en-US"/>
        </w:rPr>
        <w:t>(</w:t>
      </w:r>
      <w:r w:rsidRPr="00BD5FC4">
        <w:footnoteRef/>
      </w:r>
      <w:r>
        <w:rPr>
          <w:lang w:val="en-US"/>
        </w:rPr>
        <w:t>)</w:t>
      </w:r>
      <w:r w:rsidRPr="00BD5FC4">
        <w:tab/>
      </w:r>
      <w:r w:rsidRPr="00B93627">
        <w:rPr>
          <w:rStyle w:val="Superscript"/>
        </w:rPr>
        <w:t>E</w:t>
      </w:r>
      <w:r>
        <w:rPr>
          <w:lang w:val="en-US"/>
        </w:rPr>
        <w:t xml:space="preserve"> </w:t>
      </w:r>
      <w:r w:rsidRPr="00FE5F46">
        <w:t>Measures have not been finalised and are estimated results</w:t>
      </w:r>
      <w:r>
        <w:rPr>
          <w:lang w:val="en-AU"/>
        </w:rPr>
        <w:t>.</w:t>
      </w:r>
    </w:p>
  </w:footnote>
  <w:footnote w:id="3">
    <w:p w14:paraId="13096995" w14:textId="281B1152" w:rsidR="00AC6879" w:rsidRPr="000E2ACC" w:rsidRDefault="00AC6879" w:rsidP="00317057">
      <w:pPr>
        <w:pStyle w:val="FootnoteText"/>
        <w:rPr>
          <w:lang w:val="en-AU"/>
        </w:rPr>
      </w:pPr>
      <w:r>
        <w:rPr>
          <w:lang w:val="en-US"/>
        </w:rPr>
        <w:t>(</w:t>
      </w:r>
      <w:r w:rsidRPr="00664ADC">
        <w:footnoteRef/>
      </w:r>
      <w:r>
        <w:rPr>
          <w:lang w:val="en-US"/>
        </w:rPr>
        <w:t>)</w:t>
      </w:r>
      <w:r w:rsidRPr="00664ADC">
        <w:tab/>
      </w:r>
      <w:r w:rsidRPr="00C56335">
        <w:rPr>
          <w:lang w:eastAsia="en-AU"/>
        </w:rPr>
        <w:t>Routine VPHS questions about physical activity were not asked in the 2020 survey as it was modified to focus on the impact of the COVID-19 pandemic</w:t>
      </w:r>
      <w:r>
        <w:rPr>
          <w:lang w:val="en-AU" w:eastAsia="en-AU"/>
        </w:rPr>
        <w:t>.</w:t>
      </w:r>
    </w:p>
  </w:footnote>
  <w:footnote w:id="4">
    <w:p w14:paraId="6B242C27" w14:textId="4CC93E20" w:rsidR="00AC6879" w:rsidRPr="000E2ACC" w:rsidRDefault="00AC6879" w:rsidP="00317057">
      <w:pPr>
        <w:pStyle w:val="FootnoteText"/>
        <w:rPr>
          <w:sz w:val="14"/>
          <w:szCs w:val="14"/>
          <w:lang w:val="en-AU" w:eastAsia="en-AU"/>
        </w:rPr>
      </w:pPr>
      <w:r>
        <w:rPr>
          <w:lang w:val="en-US"/>
        </w:rPr>
        <w:t>(</w:t>
      </w:r>
      <w:r w:rsidRPr="00BD5FC4">
        <w:footnoteRef/>
      </w:r>
      <w:r>
        <w:rPr>
          <w:lang w:val="en-US"/>
        </w:rPr>
        <w:t>)</w:t>
      </w:r>
      <w:r w:rsidRPr="00BD5FC4">
        <w:tab/>
      </w:r>
      <w:r w:rsidRPr="00C56335">
        <w:rPr>
          <w:lang w:eastAsia="en-AU"/>
        </w:rPr>
        <w:t xml:space="preserve">Mortality data lags by </w:t>
      </w:r>
      <w:r>
        <w:rPr>
          <w:lang w:eastAsia="en-AU"/>
        </w:rPr>
        <w:t>one to two</w:t>
      </w:r>
      <w:r w:rsidRPr="00C56335">
        <w:rPr>
          <w:lang w:eastAsia="en-AU"/>
        </w:rPr>
        <w:t xml:space="preserve"> years</w:t>
      </w:r>
      <w:r>
        <w:rPr>
          <w:lang w:val="en-AU" w:eastAsia="en-AU"/>
        </w:rPr>
        <w:t>.</w:t>
      </w:r>
    </w:p>
  </w:footnote>
  <w:footnote w:id="5">
    <w:p w14:paraId="65BEC8C1" w14:textId="3017AB85" w:rsidR="00AC6879" w:rsidRPr="00664ADC" w:rsidRDefault="00AC6879" w:rsidP="00317057">
      <w:pPr>
        <w:pStyle w:val="FootnoteText"/>
        <w:rPr>
          <w:lang w:val="en-US"/>
        </w:rPr>
      </w:pPr>
      <w:r>
        <w:rPr>
          <w:lang w:val="en-US"/>
        </w:rPr>
        <w:t>(</w:t>
      </w:r>
      <w:r w:rsidRPr="00664ADC">
        <w:footnoteRef/>
      </w:r>
      <w:r>
        <w:rPr>
          <w:lang w:val="en-US"/>
        </w:rPr>
        <w:t>)</w:t>
      </w:r>
      <w:r w:rsidRPr="00664ADC">
        <w:tab/>
      </w:r>
      <w:r w:rsidRPr="00C56335">
        <w:t>The Victorian Health</w:t>
      </w:r>
      <w:r>
        <w:rPr>
          <w:lang w:val="en-AU"/>
        </w:rPr>
        <w:t>care</w:t>
      </w:r>
      <w:r w:rsidRPr="00C56335">
        <w:t xml:space="preserve"> Experience Survey was paused in Quarter 4 2020 and remain</w:t>
      </w:r>
      <w:r>
        <w:rPr>
          <w:lang w:val="en-AU"/>
        </w:rPr>
        <w:t>ed</w:t>
      </w:r>
      <w:r w:rsidRPr="00C56335">
        <w:t xml:space="preserve"> on hold until August 2021. Data for the 202</w:t>
      </w:r>
      <w:r>
        <w:t>0–</w:t>
      </w:r>
      <w:r w:rsidRPr="00C56335">
        <w:t>21 financial year was not collected and is not available</w:t>
      </w:r>
      <w:r>
        <w:rPr>
          <w:lang w:val="en-US"/>
        </w:rPr>
        <w:t>.</w:t>
      </w:r>
    </w:p>
  </w:footnote>
  <w:footnote w:id="6">
    <w:p w14:paraId="0AE20CCE" w14:textId="4493F6C1" w:rsidR="00AC6879" w:rsidRPr="00B93627" w:rsidRDefault="00AC6879">
      <w:pPr>
        <w:pStyle w:val="FootnoteText"/>
        <w:rPr>
          <w:lang w:val="en-US"/>
        </w:rPr>
      </w:pPr>
      <w:r>
        <w:rPr>
          <w:lang w:val="en-US"/>
        </w:rPr>
        <w:t>(</w:t>
      </w:r>
      <w:r w:rsidRPr="00B93627">
        <w:footnoteRef/>
      </w:r>
      <w:r>
        <w:rPr>
          <w:lang w:val="en-US"/>
        </w:rPr>
        <w:t>)</w:t>
      </w:r>
      <w:r>
        <w:tab/>
      </w:r>
      <w:r w:rsidRPr="00B93627">
        <w:rPr>
          <w:rStyle w:val="Superscript"/>
        </w:rPr>
        <w:t>E</w:t>
      </w:r>
      <w:r>
        <w:rPr>
          <w:lang w:val="en-US"/>
        </w:rPr>
        <w:t xml:space="preserve"> </w:t>
      </w:r>
      <w:r w:rsidRPr="00FE5F46">
        <w:t>Measures have not been finalised and are estimated results</w:t>
      </w:r>
      <w:r>
        <w:rPr>
          <w:lang w:val="en-AU"/>
        </w:rPr>
        <w:t>.</w:t>
      </w:r>
    </w:p>
  </w:footnote>
  <w:footnote w:id="7">
    <w:p w14:paraId="6328863A" w14:textId="4450438E" w:rsidR="00AC6879" w:rsidRPr="009D4AF6" w:rsidRDefault="00AC6879">
      <w:pPr>
        <w:pStyle w:val="FootnoteText"/>
        <w:rPr>
          <w:lang w:val="en-AU"/>
        </w:rPr>
      </w:pPr>
      <w:r>
        <w:rPr>
          <w:lang w:val="en-US"/>
        </w:rPr>
        <w:t>(</w:t>
      </w:r>
      <w:r w:rsidRPr="00E90505">
        <w:footnoteRef/>
      </w:r>
      <w:r>
        <w:rPr>
          <w:lang w:val="en-US"/>
        </w:rPr>
        <w:t>)</w:t>
      </w:r>
      <w:r w:rsidRPr="00E90505">
        <w:tab/>
      </w:r>
      <w:r w:rsidRPr="00A1027D">
        <w:rPr>
          <w:lang w:val="en-AU"/>
        </w:rPr>
        <w:t>The Victorian Healthcare Experience Survey program was paused in Quarter 4 2020 and remained on hold until August 2021</w:t>
      </w:r>
      <w:r w:rsidRPr="00ED5476">
        <w:rPr>
          <w:lang w:val="en-AU"/>
        </w:rPr>
        <w:t>. Data</w:t>
      </w:r>
      <w:r>
        <w:rPr>
          <w:lang w:val="en-AU"/>
        </w:rPr>
        <w:t xml:space="preserve"> for the 2020–21 financial year was not collected and is not available.</w:t>
      </w:r>
    </w:p>
  </w:footnote>
  <w:footnote w:id="8">
    <w:p w14:paraId="24B2516A" w14:textId="6A2C7086" w:rsidR="00AC6879" w:rsidRPr="009D4AF6" w:rsidRDefault="00AC6879" w:rsidP="00317057">
      <w:pPr>
        <w:pStyle w:val="FootnoteText"/>
        <w:rPr>
          <w:lang w:val="en-AU"/>
        </w:rPr>
      </w:pPr>
      <w:r>
        <w:rPr>
          <w:lang w:val="en-US"/>
        </w:rPr>
        <w:t>(</w:t>
      </w:r>
      <w:r w:rsidRPr="00BD5FC4">
        <w:footnoteRef/>
      </w:r>
      <w:r>
        <w:rPr>
          <w:lang w:val="en-US"/>
        </w:rPr>
        <w:t>)</w:t>
      </w:r>
      <w:r w:rsidRPr="00BD5FC4">
        <w:tab/>
      </w:r>
      <w:r w:rsidRPr="006D7B54">
        <w:rPr>
          <w:lang w:val="en-AU"/>
        </w:rPr>
        <w:t>The Victorian Healthcare Experience Survey program was paused in Quarter 4 2020 and remained on hold until August 2021</w:t>
      </w:r>
      <w:r>
        <w:rPr>
          <w:lang w:val="en-AU"/>
        </w:rPr>
        <w:t>. Data for the 2020–21 financial year was not collected and is not available.</w:t>
      </w:r>
    </w:p>
  </w:footnote>
  <w:footnote w:id="9">
    <w:p w14:paraId="5F5EAC69" w14:textId="317F21B9" w:rsidR="00AC6879" w:rsidRPr="00C9735C" w:rsidRDefault="00AC6879" w:rsidP="0031211C">
      <w:pPr>
        <w:pStyle w:val="FootnoteText"/>
        <w:spacing w:before="40" w:after="40"/>
        <w:rPr>
          <w:lang w:val="en-AU"/>
        </w:rPr>
      </w:pPr>
      <w:r>
        <w:rPr>
          <w:lang w:val="en-US"/>
        </w:rPr>
        <w:t>(</w:t>
      </w:r>
      <w:r w:rsidRPr="00C9735C">
        <w:footnoteRef/>
      </w:r>
      <w:r>
        <w:rPr>
          <w:lang w:val="en-US"/>
        </w:rPr>
        <w:t>)</w:t>
      </w:r>
      <w:r>
        <w:rPr>
          <w:lang w:val="en-US"/>
        </w:rPr>
        <w:tab/>
      </w:r>
      <w:r w:rsidRPr="002029AF">
        <w:t>na = not available</w:t>
      </w:r>
    </w:p>
  </w:footnote>
  <w:footnote w:id="10">
    <w:p w14:paraId="62E0F2C6" w14:textId="22FC3765" w:rsidR="00AC6879" w:rsidRPr="00221EB6" w:rsidRDefault="00AC6879" w:rsidP="0031211C">
      <w:pPr>
        <w:pStyle w:val="FootnoteText"/>
        <w:spacing w:before="40" w:after="40"/>
        <w:rPr>
          <w:lang w:val="en-US"/>
        </w:rPr>
      </w:pPr>
      <w:r>
        <w:rPr>
          <w:lang w:val="en-US"/>
        </w:rPr>
        <w:t>(</w:t>
      </w:r>
      <w:r w:rsidRPr="00221EB6">
        <w:footnoteRef/>
      </w:r>
      <w:r>
        <w:rPr>
          <w:lang w:val="en-US"/>
        </w:rPr>
        <w:t>)</w:t>
      </w:r>
      <w:r>
        <w:tab/>
        <w:t>There are 35 VPS-6 employees acting as executives under long-term acting arrangements.</w:t>
      </w:r>
    </w:p>
  </w:footnote>
  <w:footnote w:id="11">
    <w:p w14:paraId="3523586B" w14:textId="529FE040" w:rsidR="00AC6879" w:rsidRPr="00C9735C" w:rsidRDefault="00AC6879" w:rsidP="0031211C">
      <w:pPr>
        <w:pStyle w:val="FootnoteText"/>
        <w:spacing w:before="40" w:after="40"/>
        <w:rPr>
          <w:lang w:val="en-US"/>
        </w:rPr>
      </w:pPr>
      <w:r>
        <w:rPr>
          <w:lang w:val="en-US"/>
        </w:rPr>
        <w:t>(</w:t>
      </w:r>
      <w:r w:rsidRPr="00C9735C">
        <w:footnoteRef/>
      </w:r>
      <w:r>
        <w:rPr>
          <w:lang w:val="en-US"/>
        </w:rPr>
        <w:t>)</w:t>
      </w:r>
      <w:r>
        <w:rPr>
          <w:lang w:val="en-US"/>
        </w:rPr>
        <w:tab/>
      </w:r>
      <w:r>
        <w:t>SMA = Senior Medical Adviser</w:t>
      </w:r>
    </w:p>
  </w:footnote>
  <w:footnote w:id="12">
    <w:p w14:paraId="5CC14706" w14:textId="791F9FF9" w:rsidR="00AC6879" w:rsidRPr="0031211C" w:rsidRDefault="00AC6879" w:rsidP="0031211C">
      <w:pPr>
        <w:pStyle w:val="FootnoteText"/>
        <w:spacing w:before="40" w:after="40"/>
        <w:rPr>
          <w:lang w:val="en-US"/>
        </w:rPr>
      </w:pPr>
      <w:r>
        <w:rPr>
          <w:lang w:val="en-US"/>
        </w:rPr>
        <w:t>(</w:t>
      </w:r>
      <w:r w:rsidRPr="0031211C">
        <w:footnoteRef/>
      </w:r>
      <w:r>
        <w:rPr>
          <w:lang w:val="en-US"/>
        </w:rPr>
        <w:t>)</w:t>
      </w:r>
      <w:r>
        <w:rPr>
          <w:lang w:val="en-US"/>
        </w:rPr>
        <w:tab/>
      </w:r>
      <w:r w:rsidRPr="002029AF">
        <w:t>STS = Senior Technical Specialist</w:t>
      </w:r>
    </w:p>
  </w:footnote>
  <w:footnote w:id="13">
    <w:p w14:paraId="0749AA95" w14:textId="47F4F646" w:rsidR="00AC6879" w:rsidRPr="0031211C" w:rsidRDefault="00AC6879" w:rsidP="0031211C">
      <w:pPr>
        <w:pStyle w:val="FootnoteText"/>
        <w:spacing w:before="40" w:after="40"/>
        <w:rPr>
          <w:lang w:val="en-US"/>
        </w:rPr>
      </w:pPr>
      <w:r>
        <w:rPr>
          <w:lang w:val="en-US"/>
        </w:rPr>
        <w:t>(</w:t>
      </w:r>
      <w:r w:rsidRPr="0031211C">
        <w:footnoteRef/>
      </w:r>
      <w:r>
        <w:rPr>
          <w:lang w:val="en-US"/>
        </w:rPr>
        <w:t>)</w:t>
      </w:r>
      <w:r>
        <w:rPr>
          <w:lang w:val="en-US"/>
        </w:rPr>
        <w:tab/>
      </w:r>
      <w:r>
        <w:t>‘</w:t>
      </w:r>
      <w:r w:rsidRPr="000A10F0">
        <w:t>Other</w:t>
      </w:r>
      <w:r>
        <w:t>’</w:t>
      </w:r>
      <w:r w:rsidRPr="000A10F0">
        <w:t xml:space="preserve"> classification group may include solicitors, nurses, trade assistants, scientists, external auditors.</w:t>
      </w:r>
    </w:p>
  </w:footnote>
  <w:footnote w:id="14">
    <w:p w14:paraId="7CFD2652" w14:textId="3AEF5844" w:rsidR="00AC6879" w:rsidRPr="00BB3F1B" w:rsidRDefault="00AC6879">
      <w:pPr>
        <w:pStyle w:val="FootnoteText"/>
        <w:rPr>
          <w:lang w:val="en-US"/>
        </w:rPr>
      </w:pPr>
      <w:r>
        <w:rPr>
          <w:lang w:val="en-US"/>
        </w:rPr>
        <w:t>(</w:t>
      </w:r>
      <w:r w:rsidRPr="00BB3F1B">
        <w:footnoteRef/>
      </w:r>
      <w:r>
        <w:rPr>
          <w:lang w:val="en-US"/>
        </w:rPr>
        <w:t>)</w:t>
      </w:r>
      <w:r>
        <w:rPr>
          <w:lang w:val="en-US"/>
        </w:rPr>
        <w:tab/>
        <w:t xml:space="preserve">Abbreviations used in the column headings are: STS = </w:t>
      </w:r>
      <w:r w:rsidRPr="002A07F0">
        <w:t>Senior Technical Specialists</w:t>
      </w:r>
      <w:r>
        <w:rPr>
          <w:lang w:val="en-US"/>
        </w:rPr>
        <w:t>;</w:t>
      </w:r>
      <w:r w:rsidRPr="002A07F0">
        <w:t xml:space="preserve"> </w:t>
      </w:r>
      <w:r>
        <w:rPr>
          <w:lang w:val="en-US"/>
        </w:rPr>
        <w:t xml:space="preserve">PS = </w:t>
      </w:r>
      <w:r w:rsidRPr="002A07F0">
        <w:t>Principal Scientists</w:t>
      </w:r>
      <w:r>
        <w:rPr>
          <w:lang w:val="en-US"/>
        </w:rPr>
        <w:t>;</w:t>
      </w:r>
      <w:r w:rsidRPr="002A07F0">
        <w:t xml:space="preserve"> </w:t>
      </w:r>
      <w:r>
        <w:rPr>
          <w:lang w:val="en-US"/>
        </w:rPr>
        <w:t xml:space="preserve">SMA = </w:t>
      </w:r>
      <w:r w:rsidRPr="002A07F0">
        <w:t>Senior Medical Advisors</w:t>
      </w:r>
      <w:r>
        <w:rPr>
          <w:lang w:val="en-US"/>
        </w:rPr>
        <w:t xml:space="preserve">; </w:t>
      </w:r>
      <w:r w:rsidRPr="002A07F0">
        <w:t xml:space="preserve">and </w:t>
      </w:r>
      <w:r>
        <w:rPr>
          <w:lang w:val="en-US"/>
        </w:rPr>
        <w:t xml:space="preserve">SRA = </w:t>
      </w:r>
      <w:r w:rsidRPr="002A07F0">
        <w:t>Senior Regulatory Analysts</w:t>
      </w:r>
      <w:r>
        <w:rPr>
          <w:lang w:val="en-US"/>
        </w:rPr>
        <w:t>.</w:t>
      </w:r>
    </w:p>
  </w:footnote>
  <w:footnote w:id="15">
    <w:p w14:paraId="6AA6E5C1" w14:textId="4A22C2EC" w:rsidR="00AC6879" w:rsidRPr="0074225A" w:rsidRDefault="00AC6879">
      <w:pPr>
        <w:pStyle w:val="FootnoteText"/>
        <w:rPr>
          <w:lang w:val="en-US"/>
        </w:rPr>
      </w:pPr>
      <w:r>
        <w:rPr>
          <w:lang w:val="en-US"/>
        </w:rPr>
        <w:t>(</w:t>
      </w:r>
      <w:r w:rsidRPr="0074225A">
        <w:footnoteRef/>
      </w:r>
      <w:r>
        <w:rPr>
          <w:lang w:val="en-US"/>
        </w:rPr>
        <w:t>)</w:t>
      </w:r>
      <w:r w:rsidRPr="0074225A">
        <w:tab/>
      </w:r>
      <w:r w:rsidRPr="00500114">
        <w:t xml:space="preserve">There is </w:t>
      </w:r>
      <w:r>
        <w:t>one</w:t>
      </w:r>
      <w:r w:rsidRPr="00500114">
        <w:t xml:space="preserve"> employee employed on a part-time basis at a </w:t>
      </w:r>
      <w:r>
        <w:t>0.6</w:t>
      </w:r>
      <w:r w:rsidRPr="00500114">
        <w:t xml:space="preserve"> FTE rate.</w:t>
      </w:r>
    </w:p>
  </w:footnote>
  <w:footnote w:id="16">
    <w:p w14:paraId="5A4E187C" w14:textId="644F3AE3" w:rsidR="00AC6879" w:rsidRPr="0074225A" w:rsidRDefault="00AC6879">
      <w:pPr>
        <w:pStyle w:val="FootnoteText"/>
        <w:rPr>
          <w:lang w:val="en-US"/>
        </w:rPr>
      </w:pPr>
      <w:r>
        <w:rPr>
          <w:lang w:val="en-US"/>
        </w:rPr>
        <w:t>(</w:t>
      </w:r>
      <w:r w:rsidRPr="0074225A">
        <w:footnoteRef/>
      </w:r>
      <w:r>
        <w:rPr>
          <w:lang w:val="en-US"/>
        </w:rPr>
        <w:t>)</w:t>
      </w:r>
      <w:r w:rsidRPr="0074225A">
        <w:tab/>
      </w:r>
      <w:r w:rsidRPr="00500114">
        <w:t xml:space="preserve">There is </w:t>
      </w:r>
      <w:r>
        <w:t>one</w:t>
      </w:r>
      <w:r w:rsidRPr="00500114">
        <w:t xml:space="preserve"> employee employed on a part-time basis at a </w:t>
      </w:r>
      <w:r>
        <w:t>0.8</w:t>
      </w:r>
      <w:r w:rsidRPr="00500114">
        <w:t xml:space="preserve"> FTE rate.</w:t>
      </w:r>
    </w:p>
  </w:footnote>
  <w:footnote w:id="17">
    <w:p w14:paraId="07E680EC" w14:textId="7A9DC770" w:rsidR="00AC6879" w:rsidRPr="0074225A" w:rsidRDefault="00AC6879">
      <w:pPr>
        <w:pStyle w:val="FootnoteText"/>
        <w:rPr>
          <w:lang w:val="en-US"/>
        </w:rPr>
      </w:pPr>
      <w:r>
        <w:rPr>
          <w:lang w:val="en-US"/>
        </w:rPr>
        <w:t>(</w:t>
      </w:r>
      <w:r w:rsidRPr="00BB3F1B">
        <w:footnoteRef/>
      </w:r>
      <w:r>
        <w:rPr>
          <w:lang w:val="en-US"/>
        </w:rPr>
        <w:t>)</w:t>
      </w:r>
      <w:r w:rsidRPr="00BB3F1B">
        <w:tab/>
      </w:r>
      <w:r>
        <w:t>There are two</w:t>
      </w:r>
      <w:r w:rsidRPr="00500114">
        <w:t xml:space="preserve"> employee</w:t>
      </w:r>
      <w:r>
        <w:t>s</w:t>
      </w:r>
      <w:r w:rsidRPr="00500114">
        <w:t xml:space="preserve"> employed on a part-time basis at a </w:t>
      </w:r>
      <w:r>
        <w:t>0.6</w:t>
      </w:r>
      <w:r w:rsidRPr="00500114">
        <w:t xml:space="preserve"> FTE rate.</w:t>
      </w:r>
    </w:p>
  </w:footnote>
  <w:footnote w:id="18">
    <w:p w14:paraId="3DC4E057" w14:textId="4F21580F" w:rsidR="00AC6879" w:rsidRPr="00BB3F1B" w:rsidRDefault="00AC6879">
      <w:pPr>
        <w:pStyle w:val="FootnoteText"/>
        <w:rPr>
          <w:lang w:val="en-US"/>
        </w:rPr>
      </w:pPr>
      <w:r>
        <w:rPr>
          <w:lang w:val="en-US"/>
        </w:rPr>
        <w:t>(</w:t>
      </w:r>
      <w:r w:rsidRPr="00BB3F1B">
        <w:footnoteRef/>
      </w:r>
      <w:r>
        <w:rPr>
          <w:lang w:val="en-US"/>
        </w:rPr>
        <w:t>)</w:t>
      </w:r>
      <w:r>
        <w:rPr>
          <w:lang w:val="en-US"/>
        </w:rPr>
        <w:tab/>
      </w:r>
      <w:r w:rsidRPr="00500114">
        <w:t xml:space="preserve">There is </w:t>
      </w:r>
      <w:r>
        <w:t>one</w:t>
      </w:r>
      <w:r w:rsidRPr="00500114">
        <w:t xml:space="preserve"> employee employed on a part-time basis at a </w:t>
      </w:r>
      <w:r>
        <w:t>0.6</w:t>
      </w:r>
      <w:r w:rsidRPr="00500114">
        <w:t xml:space="preserve"> FTE rate.</w:t>
      </w:r>
    </w:p>
  </w:footnote>
  <w:footnote w:id="19">
    <w:p w14:paraId="26F40958" w14:textId="2E04407F" w:rsidR="00AC6879" w:rsidRPr="00BB3F1B" w:rsidRDefault="00AC6879">
      <w:pPr>
        <w:pStyle w:val="FootnoteText"/>
        <w:rPr>
          <w:lang w:val="en-US"/>
        </w:rPr>
      </w:pPr>
      <w:r>
        <w:rPr>
          <w:lang w:val="en-US"/>
        </w:rPr>
        <w:t>(</w:t>
      </w:r>
      <w:r w:rsidRPr="00BB3F1B">
        <w:footnoteRef/>
      </w:r>
      <w:r>
        <w:rPr>
          <w:lang w:val="en-US"/>
        </w:rPr>
        <w:t>)</w:t>
      </w:r>
      <w:r>
        <w:rPr>
          <w:lang w:val="en-US"/>
        </w:rPr>
        <w:tab/>
      </w:r>
      <w:r w:rsidRPr="00500114">
        <w:t xml:space="preserve">There is </w:t>
      </w:r>
      <w:r>
        <w:t>one</w:t>
      </w:r>
      <w:r w:rsidRPr="00500114">
        <w:t xml:space="preserve"> employee employed on a part-time basis at a </w:t>
      </w:r>
      <w:r>
        <w:t>0.8</w:t>
      </w:r>
      <w:r w:rsidRPr="00500114">
        <w:t xml:space="preserve"> FTE rate.</w:t>
      </w:r>
    </w:p>
  </w:footnote>
  <w:footnote w:id="20">
    <w:p w14:paraId="4C3D5356" w14:textId="46CCB552" w:rsidR="00AC6879" w:rsidRPr="008E012B" w:rsidRDefault="00AC6879">
      <w:pPr>
        <w:pStyle w:val="FootnoteText"/>
        <w:rPr>
          <w:lang w:val="en-US"/>
        </w:rPr>
      </w:pPr>
      <w:r>
        <w:rPr>
          <w:lang w:val="en-US"/>
        </w:rPr>
        <w:t>(</w:t>
      </w:r>
      <w:r w:rsidRPr="008E012B">
        <w:footnoteRef/>
      </w:r>
      <w:r>
        <w:rPr>
          <w:lang w:val="en-US"/>
        </w:rPr>
        <w:t>)</w:t>
      </w:r>
      <w:r>
        <w:rPr>
          <w:lang w:val="en-US"/>
        </w:rPr>
        <w:tab/>
      </w:r>
      <w:r w:rsidRPr="002029AF">
        <w:t>na = not available</w:t>
      </w:r>
    </w:p>
  </w:footnote>
  <w:footnote w:id="21">
    <w:p w14:paraId="07812133" w14:textId="6A6F5B28" w:rsidR="00AC6879" w:rsidRPr="008E012B" w:rsidRDefault="00AC6879">
      <w:pPr>
        <w:pStyle w:val="FootnoteText"/>
        <w:rPr>
          <w:lang w:val="en-US"/>
        </w:rPr>
      </w:pPr>
      <w:r>
        <w:rPr>
          <w:lang w:val="en-US"/>
        </w:rPr>
        <w:t>(</w:t>
      </w:r>
      <w:r w:rsidRPr="008E012B">
        <w:footnoteRef/>
      </w:r>
      <w:r>
        <w:rPr>
          <w:lang w:val="en-US"/>
        </w:rPr>
        <w:t>)</w:t>
      </w:r>
      <w:r>
        <w:rPr>
          <w:lang w:val="en-US"/>
        </w:rPr>
        <w:tab/>
      </w:r>
      <w:r>
        <w:t>There is one VPS-6 employee acting as an executive under long-term acting arrangements.</w:t>
      </w:r>
    </w:p>
  </w:footnote>
  <w:footnote w:id="22">
    <w:p w14:paraId="5A7F899D" w14:textId="77777777" w:rsidR="00AC6879" w:rsidRPr="00BB3F1B" w:rsidRDefault="00AC6879" w:rsidP="007314FC">
      <w:pPr>
        <w:pStyle w:val="FootnoteText"/>
        <w:rPr>
          <w:lang w:val="en-US"/>
        </w:rPr>
      </w:pPr>
      <w:r>
        <w:rPr>
          <w:lang w:val="en-US"/>
        </w:rPr>
        <w:t>(</w:t>
      </w:r>
      <w:r w:rsidRPr="00BB3F1B">
        <w:footnoteRef/>
      </w:r>
      <w:r>
        <w:rPr>
          <w:lang w:val="en-US"/>
        </w:rPr>
        <w:t>)</w:t>
      </w:r>
      <w:r>
        <w:rPr>
          <w:lang w:val="en-US"/>
        </w:rPr>
        <w:tab/>
        <w:t xml:space="preserve">Abbreviations used in the column headings are: STS = </w:t>
      </w:r>
      <w:r w:rsidRPr="002A07F0">
        <w:t>Senior Technical Specialists</w:t>
      </w:r>
      <w:r>
        <w:rPr>
          <w:lang w:val="en-US"/>
        </w:rPr>
        <w:t>;</w:t>
      </w:r>
      <w:r w:rsidRPr="002A07F0">
        <w:t xml:space="preserve"> </w:t>
      </w:r>
      <w:r>
        <w:rPr>
          <w:lang w:val="en-US"/>
        </w:rPr>
        <w:t xml:space="preserve">PS = </w:t>
      </w:r>
      <w:r w:rsidRPr="002A07F0">
        <w:t>Principal Scientists</w:t>
      </w:r>
      <w:r>
        <w:rPr>
          <w:lang w:val="en-US"/>
        </w:rPr>
        <w:t>;</w:t>
      </w:r>
      <w:r w:rsidRPr="002A07F0">
        <w:t xml:space="preserve"> </w:t>
      </w:r>
      <w:r>
        <w:rPr>
          <w:lang w:val="en-US"/>
        </w:rPr>
        <w:t xml:space="preserve">SMA = </w:t>
      </w:r>
      <w:r w:rsidRPr="002A07F0">
        <w:t>Senior Medical Advisors</w:t>
      </w:r>
      <w:r>
        <w:rPr>
          <w:lang w:val="en-US"/>
        </w:rPr>
        <w:t xml:space="preserve">; </w:t>
      </w:r>
      <w:r w:rsidRPr="002A07F0">
        <w:t xml:space="preserve">and </w:t>
      </w:r>
      <w:r>
        <w:rPr>
          <w:lang w:val="en-US"/>
        </w:rPr>
        <w:t xml:space="preserve">SRA = </w:t>
      </w:r>
      <w:r w:rsidRPr="002A07F0">
        <w:t>Senior Regulatory Analysts</w:t>
      </w:r>
      <w:r>
        <w:rPr>
          <w:lang w:val="en-US"/>
        </w:rPr>
        <w:t>.</w:t>
      </w:r>
    </w:p>
  </w:footnote>
  <w:footnote w:id="23">
    <w:p w14:paraId="6C13EC0C" w14:textId="5A95821E" w:rsidR="00AC6879" w:rsidRPr="007314FC" w:rsidRDefault="00AC6879">
      <w:pPr>
        <w:pStyle w:val="FootnoteText"/>
        <w:rPr>
          <w:lang w:val="en-US"/>
        </w:rPr>
      </w:pPr>
      <w:r>
        <w:rPr>
          <w:lang w:val="en-US"/>
        </w:rPr>
        <w:t>(</w:t>
      </w:r>
      <w:r w:rsidRPr="007314FC">
        <w:footnoteRef/>
      </w:r>
      <w:r>
        <w:rPr>
          <w:lang w:val="en-US"/>
        </w:rPr>
        <w:t>)</w:t>
      </w:r>
      <w:r>
        <w:rPr>
          <w:lang w:val="en-US"/>
        </w:rPr>
        <w:tab/>
      </w:r>
      <w:r w:rsidRPr="00500114">
        <w:t xml:space="preserve">There is </w:t>
      </w:r>
      <w:r>
        <w:t>one</w:t>
      </w:r>
      <w:r w:rsidRPr="00500114">
        <w:t xml:space="preserve"> employee employed on a part-time basis at a </w:t>
      </w:r>
      <w:r>
        <w:t>0.8</w:t>
      </w:r>
      <w:r w:rsidRPr="00500114">
        <w:t xml:space="preserve"> FTE rate.</w:t>
      </w:r>
    </w:p>
  </w:footnote>
  <w:footnote w:id="24">
    <w:p w14:paraId="2B5D3311" w14:textId="2A246BBE" w:rsidR="00AC6879" w:rsidRPr="007314FC" w:rsidRDefault="00AC6879" w:rsidP="007314FC">
      <w:pPr>
        <w:pStyle w:val="FootnoteText"/>
        <w:rPr>
          <w:lang w:val="en-AU"/>
        </w:rPr>
      </w:pPr>
      <w:r>
        <w:rPr>
          <w:lang w:val="en-US"/>
        </w:rPr>
        <w:t>(</w:t>
      </w:r>
      <w:r w:rsidRPr="007314FC">
        <w:footnoteRef/>
      </w:r>
      <w:r>
        <w:rPr>
          <w:lang w:val="en-US"/>
        </w:rPr>
        <w:t>)</w:t>
      </w:r>
      <w:r>
        <w:tab/>
      </w:r>
      <w:r w:rsidRPr="002029AF">
        <w:t>na = not available</w:t>
      </w:r>
    </w:p>
  </w:footnote>
  <w:footnote w:id="25">
    <w:p w14:paraId="12C7CA49" w14:textId="5716CC9D" w:rsidR="00AC6879" w:rsidRPr="007314FC" w:rsidRDefault="00AC6879">
      <w:pPr>
        <w:pStyle w:val="FootnoteText"/>
        <w:rPr>
          <w:lang w:val="en-US"/>
        </w:rPr>
      </w:pPr>
      <w:r>
        <w:rPr>
          <w:lang w:val="en-US"/>
        </w:rPr>
        <w:t>(</w:t>
      </w:r>
      <w:r w:rsidRPr="007314FC">
        <w:footnoteRef/>
      </w:r>
      <w:r>
        <w:rPr>
          <w:lang w:val="en-US"/>
        </w:rPr>
        <w:t>)</w:t>
      </w:r>
      <w:r>
        <w:rPr>
          <w:lang w:val="en-US"/>
        </w:rPr>
        <w:tab/>
      </w:r>
      <w:r>
        <w:t>There are three VPS-6 employees acting as executives under long-term acting arrangements.</w:t>
      </w:r>
    </w:p>
  </w:footnote>
  <w:footnote w:id="26">
    <w:p w14:paraId="03CD74A1" w14:textId="7F2F69A9" w:rsidR="00AC6879" w:rsidRPr="007314FC" w:rsidRDefault="00AC6879">
      <w:pPr>
        <w:pStyle w:val="FootnoteText"/>
        <w:rPr>
          <w:lang w:val="en-US"/>
        </w:rPr>
      </w:pPr>
      <w:r>
        <w:rPr>
          <w:lang w:val="en-US"/>
        </w:rPr>
        <w:t>(</w:t>
      </w:r>
      <w:r w:rsidRPr="007314FC">
        <w:footnoteRef/>
      </w:r>
      <w:r>
        <w:rPr>
          <w:lang w:val="en-US"/>
        </w:rPr>
        <w:t>)</w:t>
      </w:r>
      <w:r>
        <w:rPr>
          <w:lang w:val="en-US"/>
        </w:rPr>
        <w:tab/>
      </w:r>
      <w:r>
        <w:t>SMA = Senior Medical Adviser</w:t>
      </w:r>
    </w:p>
  </w:footnote>
  <w:footnote w:id="27">
    <w:p w14:paraId="3CC26FEC" w14:textId="22E26708" w:rsidR="00AC6879" w:rsidRPr="007314FC" w:rsidRDefault="00AC6879" w:rsidP="007314FC">
      <w:pPr>
        <w:pStyle w:val="FootnoteText"/>
        <w:rPr>
          <w:lang w:val="en-AU"/>
        </w:rPr>
      </w:pPr>
      <w:r>
        <w:rPr>
          <w:lang w:val="en-US"/>
        </w:rPr>
        <w:t>(</w:t>
      </w:r>
      <w:r w:rsidRPr="007314FC">
        <w:footnoteRef/>
      </w:r>
      <w:r>
        <w:rPr>
          <w:lang w:val="en-US"/>
        </w:rPr>
        <w:t>)</w:t>
      </w:r>
      <w:r>
        <w:rPr>
          <w:lang w:val="en-US"/>
        </w:rPr>
        <w:tab/>
      </w:r>
      <w:r w:rsidRPr="002029AF">
        <w:t>STS = Senior Technical Specialist</w:t>
      </w:r>
    </w:p>
  </w:footnote>
  <w:footnote w:id="28">
    <w:p w14:paraId="4F2401F0" w14:textId="77777777" w:rsidR="00AC6879" w:rsidRPr="00BB3F1B" w:rsidRDefault="00AC6879" w:rsidP="00B26F8B">
      <w:pPr>
        <w:pStyle w:val="FootnoteText"/>
        <w:rPr>
          <w:lang w:val="en-US"/>
        </w:rPr>
      </w:pPr>
      <w:r>
        <w:rPr>
          <w:lang w:val="en-US"/>
        </w:rPr>
        <w:t>(</w:t>
      </w:r>
      <w:r w:rsidRPr="00BB3F1B">
        <w:footnoteRef/>
      </w:r>
      <w:r>
        <w:rPr>
          <w:lang w:val="en-US"/>
        </w:rPr>
        <w:t>)</w:t>
      </w:r>
      <w:r>
        <w:rPr>
          <w:lang w:val="en-US"/>
        </w:rPr>
        <w:tab/>
        <w:t xml:space="preserve">Abbreviations used in the column headings are: STS = </w:t>
      </w:r>
      <w:r w:rsidRPr="002A07F0">
        <w:t>Senior Technical Specialists</w:t>
      </w:r>
      <w:r>
        <w:rPr>
          <w:lang w:val="en-US"/>
        </w:rPr>
        <w:t>;</w:t>
      </w:r>
      <w:r w:rsidRPr="002A07F0">
        <w:t xml:space="preserve"> </w:t>
      </w:r>
      <w:r>
        <w:rPr>
          <w:lang w:val="en-US"/>
        </w:rPr>
        <w:t xml:space="preserve">PS = </w:t>
      </w:r>
      <w:r w:rsidRPr="002A07F0">
        <w:t>Principal Scientists</w:t>
      </w:r>
      <w:r>
        <w:rPr>
          <w:lang w:val="en-US"/>
        </w:rPr>
        <w:t>;</w:t>
      </w:r>
      <w:r w:rsidRPr="002A07F0">
        <w:t xml:space="preserve"> </w:t>
      </w:r>
      <w:r>
        <w:rPr>
          <w:lang w:val="en-US"/>
        </w:rPr>
        <w:t xml:space="preserve">SMA = </w:t>
      </w:r>
      <w:r w:rsidRPr="002A07F0">
        <w:t>Senior Medical Advisors</w:t>
      </w:r>
      <w:r>
        <w:rPr>
          <w:lang w:val="en-US"/>
        </w:rPr>
        <w:t xml:space="preserve">; </w:t>
      </w:r>
      <w:r w:rsidRPr="002A07F0">
        <w:t xml:space="preserve">and </w:t>
      </w:r>
      <w:r>
        <w:rPr>
          <w:lang w:val="en-US"/>
        </w:rPr>
        <w:t xml:space="preserve">SRA = </w:t>
      </w:r>
      <w:r w:rsidRPr="002A07F0">
        <w:t>Senior Regulatory Analysts</w:t>
      </w:r>
      <w:r>
        <w:rPr>
          <w:lang w:val="en-US"/>
        </w:rPr>
        <w:t>.</w:t>
      </w:r>
    </w:p>
  </w:footnote>
  <w:footnote w:id="29">
    <w:p w14:paraId="5440AD40" w14:textId="67554129" w:rsidR="00AC6879" w:rsidRPr="00B26F8B" w:rsidRDefault="00AC6879">
      <w:pPr>
        <w:pStyle w:val="FootnoteText"/>
        <w:rPr>
          <w:lang w:val="en-US"/>
        </w:rPr>
      </w:pPr>
      <w:r>
        <w:rPr>
          <w:lang w:val="en-US"/>
        </w:rPr>
        <w:t>(</w:t>
      </w:r>
      <w:r w:rsidRPr="00B26F8B">
        <w:footnoteRef/>
      </w:r>
      <w:r>
        <w:rPr>
          <w:lang w:val="en-US"/>
        </w:rPr>
        <w:t>)</w:t>
      </w:r>
      <w:r w:rsidRPr="00B26F8B">
        <w:tab/>
      </w:r>
      <w:r w:rsidRPr="00500114">
        <w:t xml:space="preserve">There is </w:t>
      </w:r>
      <w:r>
        <w:t>one</w:t>
      </w:r>
      <w:r w:rsidRPr="00500114">
        <w:t xml:space="preserve"> employee employed on a part-time basis at a </w:t>
      </w:r>
      <w:r>
        <w:t>0.7</w:t>
      </w:r>
      <w:r w:rsidRPr="00500114">
        <w:t xml:space="preserve"> FTE rate.</w:t>
      </w:r>
    </w:p>
  </w:footnote>
  <w:footnote w:id="30">
    <w:p w14:paraId="6004A186" w14:textId="675F376F" w:rsidR="00AC6879" w:rsidRPr="00B26F8B" w:rsidRDefault="00AC6879">
      <w:pPr>
        <w:pStyle w:val="FootnoteText"/>
        <w:rPr>
          <w:lang w:val="en-US"/>
        </w:rPr>
      </w:pPr>
      <w:r>
        <w:rPr>
          <w:lang w:val="en-US"/>
        </w:rPr>
        <w:t>(</w:t>
      </w:r>
      <w:r w:rsidRPr="00B26F8B">
        <w:footnoteRef/>
      </w:r>
      <w:r>
        <w:rPr>
          <w:lang w:val="en-US"/>
        </w:rPr>
        <w:t>)</w:t>
      </w:r>
      <w:r>
        <w:rPr>
          <w:lang w:val="en-US"/>
        </w:rPr>
        <w:tab/>
      </w:r>
      <w:r w:rsidRPr="00500114">
        <w:t xml:space="preserve">There is </w:t>
      </w:r>
      <w:r>
        <w:t>one</w:t>
      </w:r>
      <w:r w:rsidRPr="00500114">
        <w:t xml:space="preserve"> employee employed on a part-time basis at a </w:t>
      </w:r>
      <w:r>
        <w:t>0.5</w:t>
      </w:r>
      <w:r w:rsidRPr="00500114">
        <w:t xml:space="preserve"> FTE rate.</w:t>
      </w:r>
    </w:p>
  </w:footnote>
  <w:footnote w:id="31">
    <w:p w14:paraId="0F81FD6A" w14:textId="0B33B50B" w:rsidR="00AC6879" w:rsidRPr="001F7C04" w:rsidRDefault="00AC6879">
      <w:pPr>
        <w:pStyle w:val="FootnoteText"/>
        <w:rPr>
          <w:lang w:val="en-US"/>
        </w:rPr>
      </w:pPr>
      <w:r>
        <w:rPr>
          <w:lang w:val="en-US"/>
        </w:rPr>
        <w:t>(</w:t>
      </w:r>
      <w:r w:rsidRPr="001F7C04">
        <w:footnoteRef/>
      </w:r>
      <w:r>
        <w:rPr>
          <w:lang w:val="en-US"/>
        </w:rPr>
        <w:t>)</w:t>
      </w:r>
      <w:r>
        <w:tab/>
      </w:r>
      <w:r w:rsidRPr="002029AF">
        <w:t>FTE</w:t>
      </w:r>
      <w:r>
        <w:rPr>
          <w:lang w:val="en-US"/>
        </w:rPr>
        <w:t xml:space="preserve"> =</w:t>
      </w:r>
      <w:r w:rsidRPr="002029AF">
        <w:t xml:space="preserve"> full-time equivalent</w:t>
      </w:r>
    </w:p>
  </w:footnote>
  <w:footnote w:id="32">
    <w:p w14:paraId="19315A04" w14:textId="1BF84F53" w:rsidR="00AC6879" w:rsidRPr="00B037E4" w:rsidRDefault="00AC6879" w:rsidP="00B037E4">
      <w:pPr>
        <w:pStyle w:val="FootnoteText"/>
      </w:pPr>
      <w:r>
        <w:rPr>
          <w:lang w:val="en-US"/>
        </w:rPr>
        <w:t>(</w:t>
      </w:r>
      <w:r w:rsidRPr="00B037E4">
        <w:rPr>
          <w:rStyle w:val="FootnoteReference"/>
          <w:vertAlign w:val="baseline"/>
        </w:rPr>
        <w:footnoteRef/>
      </w:r>
      <w:r>
        <w:rPr>
          <w:lang w:val="en-US"/>
        </w:rPr>
        <w:t>)</w:t>
      </w:r>
      <w:r>
        <w:tab/>
      </w:r>
      <w:r w:rsidRPr="00B037E4">
        <w:t>Figures for 202</w:t>
      </w:r>
      <w:r>
        <w:t>0–</w:t>
      </w:r>
      <w:r w:rsidRPr="00B037E4">
        <w:t>21 are total number of recorded hazards as at June 2021.</w:t>
      </w:r>
    </w:p>
  </w:footnote>
  <w:footnote w:id="33">
    <w:p w14:paraId="19D852DD" w14:textId="6AF20B6E" w:rsidR="002A6CBB" w:rsidRPr="002A6CBB" w:rsidRDefault="002A6CBB">
      <w:pPr>
        <w:pStyle w:val="FootnoteText"/>
        <w:rPr>
          <w:lang w:val="en-US"/>
        </w:rPr>
      </w:pPr>
      <w:r>
        <w:rPr>
          <w:lang w:val="en-US"/>
        </w:rPr>
        <w:t>(</w:t>
      </w:r>
      <w:r w:rsidRPr="002A6CBB">
        <w:footnoteRef/>
      </w:r>
      <w:r>
        <w:rPr>
          <w:lang w:val="en-US"/>
        </w:rPr>
        <w:t>)</w:t>
      </w:r>
      <w:r w:rsidRPr="002A6CBB">
        <w:tab/>
      </w:r>
      <w:r w:rsidRPr="00B037E4">
        <w:t>Figures for 202</w:t>
      </w:r>
      <w:r>
        <w:t>0–</w:t>
      </w:r>
      <w:r w:rsidRPr="00B037E4">
        <w:t>21 are total number of recorded incidents as at June 2021.</w:t>
      </w:r>
    </w:p>
  </w:footnote>
  <w:footnote w:id="34">
    <w:p w14:paraId="381C90A8" w14:textId="1D92FA04" w:rsidR="00AC6879" w:rsidRPr="00B037E4" w:rsidRDefault="00AC6879" w:rsidP="00B037E4">
      <w:pPr>
        <w:pStyle w:val="FootnoteText"/>
      </w:pPr>
      <w:r>
        <w:rPr>
          <w:lang w:val="en-US"/>
        </w:rPr>
        <w:t>(</w:t>
      </w:r>
      <w:r w:rsidRPr="00B037E4">
        <w:rPr>
          <w:rStyle w:val="FootnoteReference"/>
          <w:vertAlign w:val="baseline"/>
        </w:rPr>
        <w:footnoteRef/>
      </w:r>
      <w:r>
        <w:rPr>
          <w:lang w:val="en-US"/>
        </w:rPr>
        <w:t>)</w:t>
      </w:r>
      <w:r>
        <w:tab/>
      </w:r>
      <w:r w:rsidRPr="00B037E4">
        <w:t>Figures for number of incidents requiring first aid and/or further medical treatment derived from eDINMAR where available.</w:t>
      </w:r>
    </w:p>
  </w:footnote>
  <w:footnote w:id="35">
    <w:p w14:paraId="252215A9" w14:textId="2B536A78" w:rsidR="00AC6879" w:rsidRPr="00B037E4" w:rsidRDefault="00AC6879" w:rsidP="00B037E4">
      <w:pPr>
        <w:pStyle w:val="FootnoteText"/>
      </w:pPr>
      <w:r>
        <w:rPr>
          <w:lang w:val="en-US"/>
        </w:rPr>
        <w:t>(</w:t>
      </w:r>
      <w:r w:rsidRPr="00B037E4">
        <w:rPr>
          <w:rStyle w:val="FootnoteReference"/>
          <w:vertAlign w:val="baseline"/>
        </w:rPr>
        <w:footnoteRef/>
      </w:r>
      <w:r>
        <w:rPr>
          <w:lang w:val="en-US"/>
        </w:rPr>
        <w:t>)</w:t>
      </w:r>
      <w:r>
        <w:tab/>
      </w:r>
      <w:r w:rsidRPr="00B037E4">
        <w:t>Includes accepted, pending and rejected claims that met the standard claims threshold.</w:t>
      </w:r>
    </w:p>
  </w:footnote>
  <w:footnote w:id="36">
    <w:p w14:paraId="423AF0E9" w14:textId="4ADC7BD8" w:rsidR="00AC6879" w:rsidRPr="00B037E4" w:rsidRDefault="00AC6879" w:rsidP="00B037E4">
      <w:pPr>
        <w:pStyle w:val="FootnoteText"/>
      </w:pPr>
      <w:r>
        <w:rPr>
          <w:lang w:val="en-US"/>
        </w:rPr>
        <w:t>(</w:t>
      </w:r>
      <w:r w:rsidRPr="00B037E4">
        <w:rPr>
          <w:rStyle w:val="FootnoteReference"/>
          <w:vertAlign w:val="baseline"/>
        </w:rPr>
        <w:footnoteRef/>
      </w:r>
      <w:r>
        <w:rPr>
          <w:lang w:val="en-US"/>
        </w:rPr>
        <w:t>)</w:t>
      </w:r>
      <w:r>
        <w:tab/>
      </w:r>
      <w:r w:rsidRPr="00B037E4">
        <w:t>A time-lost claim where one or more days</w:t>
      </w:r>
      <w:r>
        <w:t>’</w:t>
      </w:r>
      <w:r w:rsidRPr="00B037E4">
        <w:t xml:space="preserve"> compensation is paid by the Victorian WorkCover Authority</w:t>
      </w:r>
    </w:p>
  </w:footnote>
  <w:footnote w:id="37">
    <w:p w14:paraId="5BE3296B" w14:textId="705BA5BA" w:rsidR="00AC6879" w:rsidRPr="00B037E4" w:rsidRDefault="00AC6879" w:rsidP="00B037E4">
      <w:pPr>
        <w:pStyle w:val="FootnoteText"/>
      </w:pPr>
      <w:r>
        <w:rPr>
          <w:lang w:val="en-US"/>
        </w:rPr>
        <w:t>(</w:t>
      </w:r>
      <w:r w:rsidRPr="00B037E4">
        <w:rPr>
          <w:rStyle w:val="FootnoteReference"/>
          <w:vertAlign w:val="baseline"/>
        </w:rPr>
        <w:footnoteRef/>
      </w:r>
      <w:r>
        <w:rPr>
          <w:lang w:val="en-US"/>
        </w:rPr>
        <w:t>)</w:t>
      </w:r>
      <w:r>
        <w:tab/>
      </w:r>
      <w:r w:rsidRPr="00B037E4">
        <w:t>Data extracted with a six-month lag to allow for claims to reach 13 weeks compensation.</w:t>
      </w:r>
    </w:p>
  </w:footnote>
  <w:footnote w:id="38">
    <w:p w14:paraId="53C7F641" w14:textId="02065119" w:rsidR="00AC6879" w:rsidRPr="00B037E4" w:rsidRDefault="00AC6879" w:rsidP="00B037E4">
      <w:pPr>
        <w:pStyle w:val="FootnoteText"/>
      </w:pPr>
      <w:r>
        <w:rPr>
          <w:lang w:val="en-US"/>
        </w:rPr>
        <w:t>(</w:t>
      </w:r>
      <w:r w:rsidRPr="00B037E4">
        <w:footnoteRef/>
      </w:r>
      <w:r>
        <w:rPr>
          <w:lang w:val="en-US"/>
        </w:rPr>
        <w:t>)</w:t>
      </w:r>
      <w:r w:rsidRPr="00B037E4">
        <w:tab/>
        <w:t>Refers to all health safety and wellbeing prosecutions.</w:t>
      </w:r>
    </w:p>
  </w:footnote>
  <w:footnote w:id="39">
    <w:p w14:paraId="66E90569" w14:textId="08252F88" w:rsidR="00AC6879" w:rsidRPr="00B037E4" w:rsidRDefault="00AC6879" w:rsidP="00B037E4">
      <w:pPr>
        <w:pStyle w:val="FootnoteText"/>
      </w:pPr>
      <w:r>
        <w:rPr>
          <w:lang w:val="en-US"/>
        </w:rPr>
        <w:t>(</w:t>
      </w:r>
      <w:r w:rsidRPr="00B037E4">
        <w:rPr>
          <w:rStyle w:val="FootnoteReference"/>
          <w:vertAlign w:val="baseline"/>
        </w:rPr>
        <w:footnoteRef/>
      </w:r>
      <w:r>
        <w:rPr>
          <w:lang w:val="en-US"/>
        </w:rPr>
        <w:t>)</w:t>
      </w:r>
      <w:r>
        <w:tab/>
      </w:r>
      <w:r w:rsidRPr="00B037E4">
        <w:t>Includes payments and estimated future costs.</w:t>
      </w:r>
    </w:p>
  </w:footnote>
  <w:footnote w:id="40">
    <w:p w14:paraId="56622A82" w14:textId="1FB94CE9" w:rsidR="00AC6879" w:rsidRPr="00DE2270" w:rsidRDefault="00AC6879" w:rsidP="00B037E4">
      <w:pPr>
        <w:pStyle w:val="FootnoteText"/>
        <w:rPr>
          <w:lang w:val="en-AU"/>
        </w:rPr>
      </w:pPr>
      <w:r>
        <w:rPr>
          <w:lang w:val="en-US"/>
        </w:rPr>
        <w:t>(</w:t>
      </w:r>
      <w:r w:rsidRPr="00B037E4">
        <w:rPr>
          <w:rStyle w:val="FootnoteReference"/>
          <w:vertAlign w:val="baseline"/>
        </w:rPr>
        <w:footnoteRef/>
      </w:r>
      <w:r>
        <w:rPr>
          <w:lang w:val="en-US"/>
        </w:rPr>
        <w:t>)</w:t>
      </w:r>
      <w:r w:rsidRPr="00B037E4">
        <w:t xml:space="preserve"> </w:t>
      </w:r>
      <w:r>
        <w:tab/>
      </w:r>
      <w:r>
        <w:rPr>
          <w:lang w:val="en-US"/>
        </w:rPr>
        <w:t>D</w:t>
      </w:r>
      <w:r w:rsidRPr="00B037E4">
        <w:t xml:space="preserve">ata extracted with a three-month lag to allow </w:t>
      </w:r>
      <w:r w:rsidRPr="00DE2270">
        <w:t>for the claims estimate to develop to give an accurate picture of associated costs.</w:t>
      </w:r>
    </w:p>
  </w:footnote>
  <w:footnote w:id="41">
    <w:p w14:paraId="49AFEE4D" w14:textId="2D4DC18F" w:rsidR="00AC6879" w:rsidRPr="00A6122B" w:rsidRDefault="00AC6879">
      <w:pPr>
        <w:pStyle w:val="FootnoteText"/>
        <w:rPr>
          <w:lang w:val="en-US"/>
        </w:rPr>
      </w:pPr>
      <w:r>
        <w:rPr>
          <w:lang w:val="en-US"/>
        </w:rPr>
        <w:t>(</w:t>
      </w:r>
      <w:r w:rsidRPr="00A6122B">
        <w:footnoteRef/>
      </w:r>
      <w:r>
        <w:rPr>
          <w:lang w:val="en-US"/>
        </w:rPr>
        <w:t>)</w:t>
      </w:r>
      <w:r>
        <w:rPr>
          <w:lang w:val="en-US"/>
        </w:rPr>
        <w:tab/>
      </w:r>
      <w:r w:rsidRPr="002029AF">
        <w:t>ICT expenditure for the 20</w:t>
      </w:r>
      <w:r>
        <w:t>20</w:t>
      </w:r>
      <w:r w:rsidRPr="002029AF">
        <w:t>–2</w:t>
      </w:r>
      <w:r>
        <w:t>1</w:t>
      </w:r>
      <w:r w:rsidRPr="002029AF">
        <w:t xml:space="preserve"> reporting period</w:t>
      </w:r>
      <w:r>
        <w:t xml:space="preserve"> for the Department of Health and the Department of Families, Fairness and Housing has been consolidated due to the timing of machinery of government changes.</w:t>
      </w:r>
    </w:p>
  </w:footnote>
  <w:footnote w:id="42">
    <w:p w14:paraId="15099206" w14:textId="30743E56" w:rsidR="00AC6879" w:rsidRPr="00495675" w:rsidRDefault="00AC6879">
      <w:pPr>
        <w:pStyle w:val="FootnoteText"/>
        <w:rPr>
          <w:lang w:val="en-US"/>
        </w:rPr>
      </w:pPr>
      <w:r>
        <w:rPr>
          <w:lang w:val="en-US"/>
        </w:rPr>
        <w:t>(</w:t>
      </w:r>
      <w:r w:rsidRPr="00495675">
        <w:footnoteRef/>
      </w:r>
      <w:r>
        <w:rPr>
          <w:lang w:val="en-US"/>
        </w:rPr>
        <w:t>)</w:t>
      </w:r>
      <w:r>
        <w:rPr>
          <w:lang w:val="en-US"/>
        </w:rPr>
        <w:tab/>
      </w:r>
      <w:r w:rsidRPr="009464F6">
        <w:t>Victorians that fall under at least one of five disadvantaged cohorts (long-term unemployed people, disengaged people, single parents, migrants and refugees, and workers in transition).</w:t>
      </w:r>
    </w:p>
  </w:footnote>
  <w:footnote w:id="43">
    <w:p w14:paraId="5D8F4DDB" w14:textId="372241CB" w:rsidR="00AC6879" w:rsidRPr="00495675" w:rsidRDefault="00AC6879">
      <w:pPr>
        <w:pStyle w:val="FootnoteText"/>
        <w:rPr>
          <w:lang w:val="en-US"/>
        </w:rPr>
      </w:pPr>
      <w:r>
        <w:rPr>
          <w:lang w:val="en-US"/>
        </w:rPr>
        <w:t>(</w:t>
      </w:r>
      <w:r w:rsidRPr="00495675">
        <w:footnoteRef/>
      </w:r>
      <w:r>
        <w:rPr>
          <w:lang w:val="en-US"/>
        </w:rPr>
        <w:t>)</w:t>
      </w:r>
      <w:r>
        <w:rPr>
          <w:lang w:val="en-US"/>
        </w:rPr>
        <w:tab/>
      </w:r>
      <w:r w:rsidRPr="009464F6">
        <w:t xml:space="preserve">All types of social enterprises verified by Social Traders </w:t>
      </w:r>
      <w:r>
        <w:t xml:space="preserve">Ltd </w:t>
      </w:r>
      <w:r w:rsidRPr="009464F6">
        <w:t xml:space="preserve">and listed on the </w:t>
      </w:r>
      <w:r>
        <w:t>m</w:t>
      </w:r>
      <w:r w:rsidRPr="009464F6">
        <w:t xml:space="preserve">ap for </w:t>
      </w:r>
      <w:r>
        <w:t>i</w:t>
      </w:r>
      <w:r w:rsidRPr="009464F6">
        <w:t>mpact.</w:t>
      </w:r>
    </w:p>
  </w:footnote>
  <w:footnote w:id="44">
    <w:p w14:paraId="0A730ACD" w14:textId="48628760" w:rsidR="00AC6879" w:rsidRPr="00206595" w:rsidRDefault="00AC6879">
      <w:pPr>
        <w:pStyle w:val="FootnoteText"/>
        <w:rPr>
          <w:lang w:val="en-US"/>
        </w:rPr>
      </w:pPr>
      <w:r>
        <w:rPr>
          <w:lang w:val="en-US"/>
        </w:rPr>
        <w:t>(</w:t>
      </w:r>
      <w:r w:rsidRPr="00206595">
        <w:footnoteRef/>
      </w:r>
      <w:r>
        <w:rPr>
          <w:lang w:val="en-US"/>
        </w:rPr>
        <w:t>)</w:t>
      </w:r>
      <w:r>
        <w:rPr>
          <w:lang w:val="en-US"/>
        </w:rPr>
        <w:tab/>
      </w:r>
      <w:r>
        <w:t xml:space="preserve">Greenhouse gas emissions associated with waste to landfill for 2020–21 have been estimated using office-based </w:t>
      </w:r>
      <w:r w:rsidRPr="002029AF">
        <w:t>energy</w:t>
      </w:r>
      <w:r>
        <w:t xml:space="preserve"> as compared to 2019–20 as an indicator of office activity levels and resultant waste generation during 2020–21.</w:t>
      </w:r>
    </w:p>
  </w:footnote>
  <w:footnote w:id="45">
    <w:p w14:paraId="0FEA6E10" w14:textId="0BEE4CAE" w:rsidR="00AC6879" w:rsidRPr="00206595" w:rsidRDefault="00AC6879">
      <w:pPr>
        <w:pStyle w:val="FootnoteText"/>
        <w:rPr>
          <w:lang w:val="en-US"/>
        </w:rPr>
      </w:pPr>
      <w:r>
        <w:rPr>
          <w:lang w:val="en-US"/>
        </w:rPr>
        <w:t>(</w:t>
      </w:r>
      <w:r w:rsidRPr="00206595">
        <w:footnoteRef/>
      </w:r>
      <w:r>
        <w:rPr>
          <w:lang w:val="en-US"/>
        </w:rPr>
        <w:t>)</w:t>
      </w:r>
      <w:r>
        <w:rPr>
          <w:lang w:val="en-US"/>
        </w:rPr>
        <w:tab/>
      </w:r>
      <w:r w:rsidRPr="002029AF">
        <w:t xml:space="preserve">Certified fibre sourcing means that the supplier and/or manufacturer has asserted that the fibre sourced for the paper meets either an international </w:t>
      </w:r>
      <w:r>
        <w:t>f</w:t>
      </w:r>
      <w:r w:rsidRPr="002029AF">
        <w:t xml:space="preserve">orestry </w:t>
      </w:r>
      <w:r>
        <w:t>m</w:t>
      </w:r>
      <w:r w:rsidRPr="002029AF">
        <w:t xml:space="preserve">anagement standard </w:t>
      </w:r>
      <w:r>
        <w:t xml:space="preserve">or </w:t>
      </w:r>
      <w:r w:rsidRPr="002029AF">
        <w:t>has a chain-of-custody certification linking the product and fibre sourcing. Accepted certification schemes are the Forestry Stewardship Council, Australian Forestry Standard or other country-specific standards endorsed by the Programme for the Endorsement of Forest Certification.</w:t>
      </w:r>
    </w:p>
  </w:footnote>
  <w:footnote w:id="46">
    <w:p w14:paraId="7C77E8F4" w14:textId="36954BD6" w:rsidR="00AC6879" w:rsidRPr="00E17895" w:rsidRDefault="00AC6879" w:rsidP="00E17895">
      <w:pPr>
        <w:pStyle w:val="FootnoteText"/>
        <w:rPr>
          <w:lang w:val="en-AU"/>
        </w:rPr>
      </w:pPr>
      <w:r>
        <w:rPr>
          <w:lang w:val="en-US"/>
        </w:rPr>
        <w:t>(</w:t>
      </w:r>
      <w:r w:rsidRPr="00E17895">
        <w:footnoteRef/>
      </w:r>
      <w:r>
        <w:rPr>
          <w:lang w:val="en-US"/>
        </w:rPr>
        <w:t>)</w:t>
      </w:r>
      <w:r>
        <w:tab/>
      </w:r>
      <w:r w:rsidRPr="00A3776C">
        <w:t xml:space="preserve">2.5 µm </w:t>
      </w:r>
      <w:r>
        <w:t>is included in the</w:t>
      </w:r>
      <w:r w:rsidRPr="00A3776C">
        <w:t>10 µm</w:t>
      </w:r>
      <w:r>
        <w:t xml:space="preserve"> reported particulate matter</w:t>
      </w:r>
      <w:r w:rsidRPr="00A3776C">
        <w:t xml:space="preserve"> (</w:t>
      </w:r>
      <w:r>
        <w:t xml:space="preserve">refer for </w:t>
      </w:r>
      <w:hyperlink r:id="rId1" w:history="1">
        <w:r w:rsidRPr="00E17895">
          <w:rPr>
            <w:rStyle w:val="Hyperlink"/>
          </w:rPr>
          <w:t>further information on methodology</w:t>
        </w:r>
      </w:hyperlink>
      <w:r>
        <w:t xml:space="preserve"> </w:t>
      </w:r>
      <w:r>
        <w:rPr>
          <w:lang w:val="en-US"/>
        </w:rPr>
        <w:t>&lt;</w:t>
      </w:r>
      <w:r w:rsidRPr="00E17895">
        <w:rPr>
          <w:rFonts w:cs="Arial"/>
        </w:rPr>
        <w:t>https://www.npi.gov.au/resource/national-pollutant-inventory-guide</w:t>
      </w:r>
      <w:r>
        <w:rPr>
          <w:rFonts w:cs="Arial"/>
          <w:lang w:val="en-US"/>
        </w:rPr>
        <w:t>&gt;</w:t>
      </w:r>
      <w:r w:rsidRPr="00A3776C">
        <w:t>)</w:t>
      </w:r>
      <w:r w:rsidRPr="00EC336C">
        <w:t>.</w:t>
      </w:r>
    </w:p>
  </w:footnote>
  <w:footnote w:id="47">
    <w:p w14:paraId="53A64A1D" w14:textId="03E9D191" w:rsidR="00AC6879" w:rsidRPr="00E17895" w:rsidRDefault="00AC6879">
      <w:pPr>
        <w:pStyle w:val="FootnoteText"/>
        <w:rPr>
          <w:lang w:val="en-US"/>
        </w:rPr>
      </w:pPr>
      <w:r>
        <w:rPr>
          <w:lang w:val="en-US"/>
        </w:rPr>
        <w:t>(</w:t>
      </w:r>
      <w:r w:rsidRPr="00E17895">
        <w:footnoteRef/>
      </w:r>
      <w:r>
        <w:rPr>
          <w:lang w:val="en-US"/>
        </w:rPr>
        <w:t>)</w:t>
      </w:r>
      <w:r>
        <w:rPr>
          <w:lang w:val="en-US"/>
        </w:rPr>
        <w:tab/>
      </w:r>
      <w:r w:rsidRPr="00A3776C">
        <w:t>Other substances include: arsenic and compounds, beryllium and compounds, cadmium and compounds, chromium (III) compounds, cobalt and compounds, copper and compounds, lead and compounds, manganese and compounds, mercury and compounds, nickel and compounds, polycyclic aromatic hydrocarbon (TEQ), polychlorinated dioxins and furans (B[a]Peq)</w:t>
      </w:r>
      <w:r>
        <w:t xml:space="preserve">, </w:t>
      </w:r>
      <w:r w:rsidRPr="00A3776C">
        <w:t>selenium and compounds, sulfur dioxide, total VOC</w:t>
      </w:r>
      <w:r>
        <w:t>’</w:t>
      </w:r>
      <w:r w:rsidRPr="00A3776C">
        <w:t>s, zinc and compounds.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A0A06" w14:textId="77777777" w:rsidR="00AC6879" w:rsidRDefault="00AC6879" w:rsidP="00C6442A">
    <w:pPr>
      <w:pStyle w:val="ARheader"/>
    </w:pPr>
    <w:r w:rsidRPr="009F1A22">
      <w:t>Department</w:t>
    </w:r>
    <w:r>
      <w:t xml:space="preserve"> </w:t>
    </w:r>
    <w:r w:rsidRPr="009F1A22">
      <w:t>of</w:t>
    </w:r>
    <w:r>
      <w:t xml:space="preserve"> </w:t>
    </w:r>
    <w:r w:rsidRPr="009F1A22">
      <w:t>Health</w:t>
    </w:r>
    <w:r>
      <w:t xml:space="preserve"> </w:t>
    </w:r>
    <w:r w:rsidRPr="009F1A22">
      <w:t>annual</w:t>
    </w:r>
    <w:r>
      <w:t xml:space="preserve"> </w:t>
    </w:r>
    <w:r w:rsidRPr="009F1A22">
      <w:t>report</w:t>
    </w:r>
    <w:r>
      <w:t xml:space="preserve"> </w:t>
    </w:r>
    <w:r w:rsidRPr="009F1A22">
      <w:t>20</w:t>
    </w:r>
    <w:r>
      <w:t>20</w:t>
    </w:r>
    <w:r w:rsidRPr="009F1A22">
      <w:t>–2</w:t>
    </w:r>
    <w:r>
      <w:t>1</w:t>
    </w:r>
    <w:r>
      <w:ptab w:relativeTo="margin" w:alignment="right" w:leader="none"/>
    </w:r>
    <w:r w:rsidRPr="003C35CF">
      <w:fldChar w:fldCharType="begin"/>
    </w:r>
    <w:r w:rsidRPr="003C35CF">
      <w:instrText xml:space="preserve"> PAGE </w:instrText>
    </w:r>
    <w:r w:rsidRPr="003C35CF">
      <w:fldChar w:fldCharType="separate"/>
    </w:r>
    <w:r>
      <w:rPr>
        <w:noProof/>
      </w:rPr>
      <w:t>11</w:t>
    </w:r>
    <w:r w:rsidRPr="003C35CF">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A6BFB" w14:textId="77777777" w:rsidR="00AC6879" w:rsidRDefault="00AC6879">
    <w:pPr>
      <w:pStyle w:val="Header"/>
    </w:pPr>
  </w:p>
  <w:p w14:paraId="68DD6083" w14:textId="77777777" w:rsidR="00AC6879" w:rsidRDefault="00AC6879"/>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B6E47" w14:textId="77777777" w:rsidR="00AC6879" w:rsidRDefault="00AC687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9BB42" w14:textId="77777777" w:rsidR="00AC6879" w:rsidRDefault="00AC6879">
    <w:pPr>
      <w:pStyle w:val="Header"/>
    </w:pPr>
  </w:p>
  <w:p w14:paraId="13719777" w14:textId="77777777" w:rsidR="00AC6879" w:rsidRDefault="00AC6879"/>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6A722" w14:textId="77777777" w:rsidR="00AC6879" w:rsidRDefault="00AC687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1CCB6" w14:textId="77777777" w:rsidR="00AC6879" w:rsidRDefault="00AC687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C502E" w14:textId="77777777" w:rsidR="00AC6879" w:rsidRDefault="00AC6879" w:rsidP="00C6442A">
    <w:pPr>
      <w:pStyle w:val="ARheader"/>
    </w:pPr>
    <w:r w:rsidRPr="009F1A22">
      <w:t>Department</w:t>
    </w:r>
    <w:r>
      <w:t xml:space="preserve"> </w:t>
    </w:r>
    <w:r w:rsidRPr="009F1A22">
      <w:t>of</w:t>
    </w:r>
    <w:r>
      <w:t xml:space="preserve"> </w:t>
    </w:r>
    <w:r w:rsidRPr="009F1A22">
      <w:t>Health</w:t>
    </w:r>
    <w:r>
      <w:t xml:space="preserve"> </w:t>
    </w:r>
    <w:r w:rsidRPr="009F1A22">
      <w:t>annual</w:t>
    </w:r>
    <w:r>
      <w:t xml:space="preserve"> </w:t>
    </w:r>
    <w:r w:rsidRPr="009F1A22">
      <w:t>report</w:t>
    </w:r>
    <w:r>
      <w:t xml:space="preserve"> </w:t>
    </w:r>
    <w:r w:rsidRPr="009F1A22">
      <w:t>20</w:t>
    </w:r>
    <w:r>
      <w:t>20</w:t>
    </w:r>
    <w:r w:rsidRPr="009F1A22">
      <w:t>–2</w:t>
    </w:r>
    <w:r>
      <w:t>1</w:t>
    </w:r>
    <w:r>
      <w:ptab w:relativeTo="margin" w:alignment="right" w:leader="none"/>
    </w:r>
    <w:r w:rsidRPr="003C35CF">
      <w:fldChar w:fldCharType="begin"/>
    </w:r>
    <w:r w:rsidRPr="003C35CF">
      <w:instrText xml:space="preserve"> PAGE </w:instrText>
    </w:r>
    <w:r w:rsidRPr="003C35CF">
      <w:fldChar w:fldCharType="separate"/>
    </w:r>
    <w:r>
      <w:rPr>
        <w:noProof/>
      </w:rPr>
      <w:t>79</w:t>
    </w:r>
    <w:r w:rsidRPr="003C35CF">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6C8D7" w14:textId="77777777" w:rsidR="00AC6879" w:rsidRDefault="00AC6879">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39B38" w14:textId="77777777" w:rsidR="00AC6879" w:rsidRDefault="00AC6879" w:rsidP="00C6442A">
    <w:pPr>
      <w:pStyle w:val="ARheader"/>
    </w:pPr>
    <w:r w:rsidRPr="009F1A22">
      <w:t>Department</w:t>
    </w:r>
    <w:r>
      <w:t xml:space="preserve"> </w:t>
    </w:r>
    <w:r w:rsidRPr="009F1A22">
      <w:t>of</w:t>
    </w:r>
    <w:r>
      <w:t xml:space="preserve"> </w:t>
    </w:r>
    <w:r w:rsidRPr="009F1A22">
      <w:t>Health</w:t>
    </w:r>
    <w:r>
      <w:t xml:space="preserve"> </w:t>
    </w:r>
    <w:r w:rsidRPr="009F1A22">
      <w:t>annual</w:t>
    </w:r>
    <w:r>
      <w:t xml:space="preserve"> </w:t>
    </w:r>
    <w:r w:rsidRPr="009F1A22">
      <w:t>report</w:t>
    </w:r>
    <w:r>
      <w:t xml:space="preserve"> </w:t>
    </w:r>
    <w:r w:rsidRPr="009F1A22">
      <w:t>20</w:t>
    </w:r>
    <w:r>
      <w:t>20</w:t>
    </w:r>
    <w:r w:rsidRPr="009F1A22">
      <w:t>–2</w:t>
    </w:r>
    <w:r>
      <w:t>1</w:t>
    </w:r>
    <w:r>
      <w:ptab w:relativeTo="margin" w:alignment="right" w:leader="none"/>
    </w:r>
    <w:r w:rsidRPr="00B0248B">
      <w:fldChar w:fldCharType="begin"/>
    </w:r>
    <w:r w:rsidRPr="00B0248B">
      <w:instrText xml:space="preserve"> PAGE </w:instrText>
    </w:r>
    <w:r w:rsidRPr="00B0248B">
      <w:fldChar w:fldCharType="separate"/>
    </w:r>
    <w:r w:rsidRPr="00B0248B">
      <w:t>1</w:t>
    </w:r>
    <w:r w:rsidRPr="00B0248B">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934D6" w14:textId="77777777" w:rsidR="00AC6879" w:rsidRDefault="00AC6879" w:rsidP="00C6442A">
    <w:pPr>
      <w:pStyle w:val="ARheader"/>
    </w:pPr>
    <w:r w:rsidRPr="009F1A22">
      <w:t>Department</w:t>
    </w:r>
    <w:r>
      <w:t xml:space="preserve"> </w:t>
    </w:r>
    <w:r w:rsidRPr="009F1A22">
      <w:t>of</w:t>
    </w:r>
    <w:r>
      <w:t xml:space="preserve"> </w:t>
    </w:r>
    <w:r w:rsidRPr="009F1A22">
      <w:t>Health</w:t>
    </w:r>
    <w:r>
      <w:t xml:space="preserve"> </w:t>
    </w:r>
    <w:r w:rsidRPr="009F1A22">
      <w:t>annual</w:t>
    </w:r>
    <w:r>
      <w:t xml:space="preserve"> </w:t>
    </w:r>
    <w:r w:rsidRPr="009F1A22">
      <w:t>report</w:t>
    </w:r>
    <w:r>
      <w:t xml:space="preserve"> </w:t>
    </w:r>
    <w:r w:rsidRPr="009F1A22">
      <w:t>20</w:t>
    </w:r>
    <w:r>
      <w:t>20</w:t>
    </w:r>
    <w:r w:rsidRPr="009F1A22">
      <w:t>–2</w:t>
    </w:r>
    <w:r>
      <w:t>1</w:t>
    </w:r>
    <w:r>
      <w:ptab w:relativeTo="margin" w:alignment="right" w:leader="none"/>
    </w:r>
    <w:r w:rsidRPr="00B0248B">
      <w:fldChar w:fldCharType="begin"/>
    </w:r>
    <w:r w:rsidRPr="00B0248B">
      <w:instrText xml:space="preserve"> PAGE </w:instrText>
    </w:r>
    <w:r w:rsidRPr="00B0248B">
      <w:fldChar w:fldCharType="separate"/>
    </w:r>
    <w:r w:rsidRPr="00B0248B">
      <w:t>3</w:t>
    </w:r>
    <w:r w:rsidRPr="00B0248B">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59807" w14:textId="77777777" w:rsidR="00AC6879" w:rsidRDefault="00AC6879" w:rsidP="00C6442A">
    <w:pPr>
      <w:pStyle w:val="ARheader"/>
    </w:pPr>
    <w:r w:rsidRPr="009F1A22">
      <w:t>Department</w:t>
    </w:r>
    <w:r>
      <w:t xml:space="preserve"> </w:t>
    </w:r>
    <w:r w:rsidRPr="009F1A22">
      <w:t>of</w:t>
    </w:r>
    <w:r>
      <w:t xml:space="preserve"> </w:t>
    </w:r>
    <w:r w:rsidRPr="009F1A22">
      <w:t>Health</w:t>
    </w:r>
    <w:r>
      <w:t xml:space="preserve"> </w:t>
    </w:r>
    <w:r w:rsidRPr="009F1A22">
      <w:t>annual</w:t>
    </w:r>
    <w:r>
      <w:t xml:space="preserve"> </w:t>
    </w:r>
    <w:r w:rsidRPr="009F1A22">
      <w:t>report</w:t>
    </w:r>
    <w:r>
      <w:t xml:space="preserve"> </w:t>
    </w:r>
    <w:r w:rsidRPr="009F1A22">
      <w:t>20</w:t>
    </w:r>
    <w:r>
      <w:t>20</w:t>
    </w:r>
    <w:r w:rsidRPr="009F1A22">
      <w:t>–2</w:t>
    </w:r>
    <w:r>
      <w:t>1</w:t>
    </w:r>
    <w:r>
      <w:ptab w:relativeTo="margin" w:alignment="right" w:leader="none"/>
    </w:r>
    <w:r w:rsidRPr="00B0248B">
      <w:fldChar w:fldCharType="begin"/>
    </w:r>
    <w:r w:rsidRPr="00B0248B">
      <w:instrText xml:space="preserve"> PAGE </w:instrText>
    </w:r>
    <w:r w:rsidRPr="00B0248B">
      <w:fldChar w:fldCharType="separate"/>
    </w:r>
    <w:r w:rsidRPr="00B0248B">
      <w:t>4</w:t>
    </w:r>
    <w:r w:rsidRPr="00B0248B">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3D274" w14:textId="77777777" w:rsidR="00AC6879" w:rsidRDefault="00AC6879">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292BB" w14:textId="77777777" w:rsidR="00AC6879" w:rsidRDefault="00AC6879" w:rsidP="00C6442A">
    <w:pPr>
      <w:pStyle w:val="ARheader"/>
    </w:pPr>
    <w:r w:rsidRPr="009F1A22">
      <w:t>Department</w:t>
    </w:r>
    <w:r>
      <w:t xml:space="preserve"> </w:t>
    </w:r>
    <w:r w:rsidRPr="009F1A22">
      <w:t>of</w:t>
    </w:r>
    <w:r>
      <w:t xml:space="preserve"> </w:t>
    </w:r>
    <w:r w:rsidRPr="009F1A22">
      <w:t>Health</w:t>
    </w:r>
    <w:r>
      <w:t xml:space="preserve"> </w:t>
    </w:r>
    <w:r w:rsidRPr="009F1A22">
      <w:t>annual</w:t>
    </w:r>
    <w:r>
      <w:t xml:space="preserve"> </w:t>
    </w:r>
    <w:r w:rsidRPr="009F1A22">
      <w:t>report</w:t>
    </w:r>
    <w:r>
      <w:t xml:space="preserve"> </w:t>
    </w:r>
    <w:r w:rsidRPr="009F1A22">
      <w:t>20</w:t>
    </w:r>
    <w:r>
      <w:t>20</w:t>
    </w:r>
    <w:r w:rsidRPr="009F1A22">
      <w:t>–2</w:t>
    </w:r>
    <w:r>
      <w:t>1</w:t>
    </w:r>
    <w:r>
      <w:ptab w:relativeTo="margin" w:alignment="right" w:leader="none"/>
    </w:r>
    <w:r w:rsidRPr="00B0248B">
      <w:fldChar w:fldCharType="begin"/>
    </w:r>
    <w:r w:rsidRPr="00B0248B">
      <w:instrText xml:space="preserve"> PAGE </w:instrText>
    </w:r>
    <w:r w:rsidRPr="00B0248B">
      <w:fldChar w:fldCharType="separate"/>
    </w:r>
    <w:r w:rsidRPr="00B0248B">
      <w:t>5</w:t>
    </w:r>
    <w:r w:rsidRPr="00B0248B">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51F62" w14:textId="77777777" w:rsidR="00AC6879" w:rsidRDefault="00AC6879" w:rsidP="00C6442A">
    <w:pPr>
      <w:pStyle w:val="ARheader"/>
    </w:pPr>
    <w:r w:rsidRPr="009F1A22">
      <w:t>Department</w:t>
    </w:r>
    <w:r>
      <w:t xml:space="preserve"> </w:t>
    </w:r>
    <w:r w:rsidRPr="009F1A22">
      <w:t>of</w:t>
    </w:r>
    <w:r>
      <w:t xml:space="preserve"> </w:t>
    </w:r>
    <w:r w:rsidRPr="009F1A22">
      <w:t>Health</w:t>
    </w:r>
    <w:r>
      <w:t xml:space="preserve"> </w:t>
    </w:r>
    <w:r w:rsidRPr="009F1A22">
      <w:t>annual</w:t>
    </w:r>
    <w:r>
      <w:t xml:space="preserve"> </w:t>
    </w:r>
    <w:r w:rsidRPr="009F1A22">
      <w:t>report</w:t>
    </w:r>
    <w:r>
      <w:t xml:space="preserve"> </w:t>
    </w:r>
    <w:r w:rsidRPr="009F1A22">
      <w:t>20</w:t>
    </w:r>
    <w:r>
      <w:t>20</w:t>
    </w:r>
    <w:r w:rsidRPr="009F1A22">
      <w:t>–2</w:t>
    </w:r>
    <w:r>
      <w:t>1</w:t>
    </w:r>
    <w:r>
      <w:ptab w:relativeTo="margin" w:alignment="right" w:leader="none"/>
    </w:r>
    <w:r w:rsidRPr="00B0248B">
      <w:fldChar w:fldCharType="begin"/>
    </w:r>
    <w:r w:rsidRPr="00B0248B">
      <w:instrText xml:space="preserve"> PAGE </w:instrText>
    </w:r>
    <w:r w:rsidRPr="00B0248B">
      <w:fldChar w:fldCharType="separate"/>
    </w:r>
    <w:r w:rsidRPr="00B0248B">
      <w:t>6</w:t>
    </w:r>
    <w:r w:rsidRPr="00B0248B">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A3D2C" w14:textId="77777777" w:rsidR="00AC6879" w:rsidRDefault="00AC6879" w:rsidP="00C6442A">
    <w:pPr>
      <w:pStyle w:val="ARheader"/>
    </w:pPr>
    <w:r w:rsidRPr="009F1A22">
      <w:t>Department</w:t>
    </w:r>
    <w:r>
      <w:t xml:space="preserve"> </w:t>
    </w:r>
    <w:r w:rsidRPr="009F1A22">
      <w:t>of</w:t>
    </w:r>
    <w:r>
      <w:t xml:space="preserve"> </w:t>
    </w:r>
    <w:r w:rsidRPr="009F1A22">
      <w:t>Health</w:t>
    </w:r>
    <w:r>
      <w:t xml:space="preserve"> </w:t>
    </w:r>
    <w:r w:rsidRPr="009F1A22">
      <w:t>annual</w:t>
    </w:r>
    <w:r>
      <w:t xml:space="preserve"> </w:t>
    </w:r>
    <w:r w:rsidRPr="009F1A22">
      <w:t>report</w:t>
    </w:r>
    <w:r>
      <w:t xml:space="preserve"> </w:t>
    </w:r>
    <w:r w:rsidRPr="009F1A22">
      <w:t>20</w:t>
    </w:r>
    <w:r>
      <w:t>20</w:t>
    </w:r>
    <w:r w:rsidRPr="009F1A22">
      <w:t>–2</w:t>
    </w:r>
    <w:r>
      <w:t>1</w:t>
    </w:r>
    <w:r>
      <w:ptab w:relativeTo="margin" w:alignment="right" w:leader="none"/>
    </w:r>
    <w:r w:rsidRPr="00B0248B">
      <w:fldChar w:fldCharType="begin"/>
    </w:r>
    <w:r w:rsidRPr="00B0248B">
      <w:instrText xml:space="preserve"> PAGE </w:instrText>
    </w:r>
    <w:r w:rsidRPr="00B0248B">
      <w:fldChar w:fldCharType="separate"/>
    </w:r>
    <w:r w:rsidRPr="00B0248B">
      <w:t>7</w:t>
    </w:r>
    <w:r w:rsidRPr="00B0248B">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EFACA" w14:textId="77777777" w:rsidR="00AC6879" w:rsidRDefault="00AC6879" w:rsidP="00C6442A">
    <w:pPr>
      <w:pStyle w:val="ARheader"/>
    </w:pPr>
    <w:r w:rsidRPr="009F1A22">
      <w:t>Department</w:t>
    </w:r>
    <w:r>
      <w:t xml:space="preserve"> </w:t>
    </w:r>
    <w:r w:rsidRPr="009F1A22">
      <w:t>of</w:t>
    </w:r>
    <w:r>
      <w:t xml:space="preserve"> </w:t>
    </w:r>
    <w:r w:rsidRPr="009F1A22">
      <w:t>Health</w:t>
    </w:r>
    <w:r>
      <w:t xml:space="preserve"> </w:t>
    </w:r>
    <w:r w:rsidRPr="009F1A22">
      <w:t>annual</w:t>
    </w:r>
    <w:r>
      <w:t xml:space="preserve"> </w:t>
    </w:r>
    <w:r w:rsidRPr="009F1A22">
      <w:t>report</w:t>
    </w:r>
    <w:r>
      <w:t xml:space="preserve"> </w:t>
    </w:r>
    <w:r w:rsidRPr="009F1A22">
      <w:t>20</w:t>
    </w:r>
    <w:r>
      <w:t>20</w:t>
    </w:r>
    <w:r w:rsidRPr="009F1A22">
      <w:t>–2</w:t>
    </w:r>
    <w:r>
      <w:t>1</w:t>
    </w:r>
    <w:r>
      <w:ptab w:relativeTo="margin" w:alignment="right" w:leader="none"/>
    </w:r>
    <w:r w:rsidRPr="00B0248B">
      <w:fldChar w:fldCharType="begin"/>
    </w:r>
    <w:r w:rsidRPr="00B0248B">
      <w:instrText xml:space="preserve"> PAGE </w:instrText>
    </w:r>
    <w:r w:rsidRPr="00B0248B">
      <w:fldChar w:fldCharType="separate"/>
    </w:r>
    <w:r w:rsidRPr="00B0248B">
      <w:t>17</w:t>
    </w:r>
    <w:r w:rsidRPr="00B0248B">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3CCFA" w14:textId="77777777" w:rsidR="00AC6879" w:rsidRDefault="00AC6879">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D1BCC" w14:textId="77777777" w:rsidR="00AC6879" w:rsidRDefault="00AC6879" w:rsidP="00C6442A">
    <w:pPr>
      <w:pStyle w:val="ARheader"/>
    </w:pPr>
    <w:r w:rsidRPr="009F1A22">
      <w:t>Department</w:t>
    </w:r>
    <w:r>
      <w:t xml:space="preserve"> </w:t>
    </w:r>
    <w:r w:rsidRPr="009F1A22">
      <w:t>of</w:t>
    </w:r>
    <w:r>
      <w:t xml:space="preserve"> </w:t>
    </w:r>
    <w:r w:rsidRPr="009F1A22">
      <w:t>Health</w:t>
    </w:r>
    <w:r>
      <w:t xml:space="preserve"> </w:t>
    </w:r>
    <w:r w:rsidRPr="009F1A22">
      <w:t>annual</w:t>
    </w:r>
    <w:r>
      <w:t xml:space="preserve"> </w:t>
    </w:r>
    <w:r w:rsidRPr="009F1A22">
      <w:t>report</w:t>
    </w:r>
    <w:r>
      <w:t xml:space="preserve"> </w:t>
    </w:r>
    <w:r w:rsidRPr="009F1A22">
      <w:t>20</w:t>
    </w:r>
    <w:r>
      <w:t>20</w:t>
    </w:r>
    <w:r w:rsidRPr="009F1A22">
      <w:t>–2</w:t>
    </w:r>
    <w:r>
      <w:t>1</w:t>
    </w:r>
    <w:r>
      <w:ptab w:relativeTo="margin" w:alignment="right" w:leader="none"/>
    </w:r>
    <w:r w:rsidRPr="00B0248B">
      <w:fldChar w:fldCharType="begin"/>
    </w:r>
    <w:r w:rsidRPr="00B0248B">
      <w:instrText xml:space="preserve"> PAGE </w:instrText>
    </w:r>
    <w:r w:rsidRPr="00B0248B">
      <w:fldChar w:fldCharType="separate"/>
    </w:r>
    <w:r w:rsidRPr="00B0248B">
      <w:t>21</w:t>
    </w:r>
    <w:r w:rsidRPr="00B0248B">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2B4CC" w14:textId="77777777" w:rsidR="00AC6879" w:rsidRDefault="00AC6879" w:rsidP="00C6442A">
    <w:pPr>
      <w:pStyle w:val="ARheader"/>
    </w:pPr>
    <w:r w:rsidRPr="009F1A22">
      <w:t>Department</w:t>
    </w:r>
    <w:r>
      <w:t xml:space="preserve"> </w:t>
    </w:r>
    <w:r w:rsidRPr="009F1A22">
      <w:t>of</w:t>
    </w:r>
    <w:r>
      <w:t xml:space="preserve"> </w:t>
    </w:r>
    <w:r w:rsidRPr="009F1A22">
      <w:t>Health</w:t>
    </w:r>
    <w:r>
      <w:t xml:space="preserve"> </w:t>
    </w:r>
    <w:r w:rsidRPr="009F1A22">
      <w:t>annual</w:t>
    </w:r>
    <w:r>
      <w:t xml:space="preserve"> </w:t>
    </w:r>
    <w:r w:rsidRPr="009F1A22">
      <w:t>report</w:t>
    </w:r>
    <w:r>
      <w:t xml:space="preserve"> </w:t>
    </w:r>
    <w:r w:rsidRPr="009F1A22">
      <w:t>20</w:t>
    </w:r>
    <w:r>
      <w:t>20</w:t>
    </w:r>
    <w:r w:rsidRPr="009F1A22">
      <w:t>–2</w:t>
    </w:r>
    <w:r>
      <w:t>1</w:t>
    </w:r>
    <w:r>
      <w:ptab w:relativeTo="margin" w:alignment="right" w:leader="none"/>
    </w:r>
    <w:r w:rsidRPr="00B0248B">
      <w:fldChar w:fldCharType="begin"/>
    </w:r>
    <w:r w:rsidRPr="00B0248B">
      <w:instrText xml:space="preserve"> PAGE </w:instrText>
    </w:r>
    <w:r w:rsidRPr="00B0248B">
      <w:fldChar w:fldCharType="separate"/>
    </w:r>
    <w:r w:rsidRPr="00B0248B">
      <w:t>25</w:t>
    </w:r>
    <w:r w:rsidRPr="00B0248B">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33800" w14:textId="77777777" w:rsidR="00AC6879" w:rsidRDefault="00AC6879">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84467" w14:textId="77777777" w:rsidR="00AC6879" w:rsidRDefault="00AC6879" w:rsidP="00C6442A">
    <w:pPr>
      <w:pStyle w:val="ARheader"/>
    </w:pPr>
    <w:r w:rsidRPr="009F1A22">
      <w:t>Department</w:t>
    </w:r>
    <w:r>
      <w:t xml:space="preserve"> </w:t>
    </w:r>
    <w:r w:rsidRPr="009F1A22">
      <w:t>of</w:t>
    </w:r>
    <w:r>
      <w:t xml:space="preserve"> </w:t>
    </w:r>
    <w:r w:rsidRPr="009F1A22">
      <w:t>Health</w:t>
    </w:r>
    <w:r>
      <w:t xml:space="preserve"> </w:t>
    </w:r>
    <w:r w:rsidRPr="009F1A22">
      <w:t>annual</w:t>
    </w:r>
    <w:r>
      <w:t xml:space="preserve"> </w:t>
    </w:r>
    <w:r w:rsidRPr="009F1A22">
      <w:t>report</w:t>
    </w:r>
    <w:r>
      <w:t xml:space="preserve"> </w:t>
    </w:r>
    <w:r w:rsidRPr="009F1A22">
      <w:t>20</w:t>
    </w:r>
    <w:r>
      <w:t>20</w:t>
    </w:r>
    <w:r w:rsidRPr="009F1A22">
      <w:t>–2</w:t>
    </w:r>
    <w:r>
      <w:t>1</w:t>
    </w:r>
    <w:r>
      <w:ptab w:relativeTo="margin" w:alignment="right" w:leader="none"/>
    </w:r>
    <w:r w:rsidRPr="00B0248B">
      <w:fldChar w:fldCharType="begin"/>
    </w:r>
    <w:r w:rsidRPr="00B0248B">
      <w:instrText xml:space="preserve"> PAGE </w:instrText>
    </w:r>
    <w:r w:rsidRPr="00B0248B">
      <w:fldChar w:fldCharType="separate"/>
    </w:r>
    <w:r w:rsidRPr="00B0248B">
      <w:t>28</w:t>
    </w:r>
    <w:r w:rsidRPr="00B0248B">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90D62" w14:textId="77777777" w:rsidR="00AC6879" w:rsidRDefault="00AC6879" w:rsidP="00C6442A">
    <w:pPr>
      <w:pStyle w:val="ARheader"/>
    </w:pPr>
    <w:r w:rsidRPr="009F1A22">
      <w:t>Department</w:t>
    </w:r>
    <w:r>
      <w:t xml:space="preserve"> </w:t>
    </w:r>
    <w:r w:rsidRPr="009F1A22">
      <w:t>of</w:t>
    </w:r>
    <w:r>
      <w:t xml:space="preserve"> </w:t>
    </w:r>
    <w:r w:rsidRPr="009F1A22">
      <w:t>Health</w:t>
    </w:r>
    <w:r>
      <w:t xml:space="preserve"> </w:t>
    </w:r>
    <w:r w:rsidRPr="009F1A22">
      <w:t>annual</w:t>
    </w:r>
    <w:r>
      <w:t xml:space="preserve"> </w:t>
    </w:r>
    <w:r w:rsidRPr="009F1A22">
      <w:t>report</w:t>
    </w:r>
    <w:r>
      <w:t xml:space="preserve"> </w:t>
    </w:r>
    <w:r w:rsidRPr="009F1A22">
      <w:t>20</w:t>
    </w:r>
    <w:r>
      <w:t>20</w:t>
    </w:r>
    <w:r w:rsidRPr="009F1A22">
      <w:t>–2</w:t>
    </w:r>
    <w:r>
      <w:t>1</w:t>
    </w:r>
    <w:r>
      <w:ptab w:relativeTo="margin" w:alignment="right" w:leader="none"/>
    </w:r>
    <w:r w:rsidRPr="00B0248B">
      <w:fldChar w:fldCharType="begin"/>
    </w:r>
    <w:r w:rsidRPr="00B0248B">
      <w:instrText xml:space="preserve"> PAGE </w:instrText>
    </w:r>
    <w:r w:rsidRPr="00B0248B">
      <w:fldChar w:fldCharType="separate"/>
    </w:r>
    <w:r w:rsidRPr="00B0248B">
      <w:t>37</w:t>
    </w:r>
    <w:r w:rsidRPr="00B0248B">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3A5E8" w14:textId="77777777" w:rsidR="00AC6879" w:rsidRDefault="00AC687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C427B" w14:textId="77777777" w:rsidR="00AC6879" w:rsidRDefault="00AC6879">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B371B" w14:textId="77777777" w:rsidR="00AC6879" w:rsidRDefault="00AC6879" w:rsidP="00C6442A">
    <w:pPr>
      <w:pStyle w:val="ARheader"/>
    </w:pPr>
    <w:r w:rsidRPr="009F1A22">
      <w:t>Department</w:t>
    </w:r>
    <w:r>
      <w:t xml:space="preserve"> </w:t>
    </w:r>
    <w:r w:rsidRPr="009F1A22">
      <w:t>of</w:t>
    </w:r>
    <w:r>
      <w:t xml:space="preserve"> </w:t>
    </w:r>
    <w:r w:rsidRPr="009F1A22">
      <w:t>Health</w:t>
    </w:r>
    <w:r>
      <w:t xml:space="preserve"> </w:t>
    </w:r>
    <w:r w:rsidRPr="009F1A22">
      <w:t>annual</w:t>
    </w:r>
    <w:r>
      <w:t xml:space="preserve"> </w:t>
    </w:r>
    <w:r w:rsidRPr="009F1A22">
      <w:t>report</w:t>
    </w:r>
    <w:r>
      <w:t xml:space="preserve"> </w:t>
    </w:r>
    <w:r w:rsidRPr="009F1A22">
      <w:t>20</w:t>
    </w:r>
    <w:r>
      <w:t>20</w:t>
    </w:r>
    <w:r w:rsidRPr="009F1A22">
      <w:t>–2</w:t>
    </w:r>
    <w:r>
      <w:t>1</w:t>
    </w:r>
    <w:r>
      <w:ptab w:relativeTo="margin" w:alignment="right" w:leader="none"/>
    </w:r>
    <w:r w:rsidRPr="00B0248B">
      <w:fldChar w:fldCharType="begin"/>
    </w:r>
    <w:r w:rsidRPr="00B0248B">
      <w:instrText xml:space="preserve"> PAGE </w:instrText>
    </w:r>
    <w:r w:rsidRPr="00B0248B">
      <w:fldChar w:fldCharType="separate"/>
    </w:r>
    <w:r w:rsidRPr="00B0248B">
      <w:t>40</w:t>
    </w:r>
    <w:r w:rsidRPr="00B0248B">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E2274" w14:textId="77777777" w:rsidR="00AC6879" w:rsidRDefault="00AC6879">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55F2C" w14:textId="77777777" w:rsidR="00AC6879" w:rsidRDefault="00AC6879" w:rsidP="00C6442A">
    <w:pPr>
      <w:pStyle w:val="ARheader"/>
    </w:pPr>
    <w:r w:rsidRPr="009F1A22">
      <w:t>Department</w:t>
    </w:r>
    <w:r>
      <w:t xml:space="preserve"> </w:t>
    </w:r>
    <w:r w:rsidRPr="009F1A22">
      <w:t>of</w:t>
    </w:r>
    <w:r>
      <w:t xml:space="preserve"> </w:t>
    </w:r>
    <w:r w:rsidRPr="009F1A22">
      <w:t>Health</w:t>
    </w:r>
    <w:r>
      <w:t xml:space="preserve"> </w:t>
    </w:r>
    <w:r w:rsidRPr="009F1A22">
      <w:t>annual</w:t>
    </w:r>
    <w:r>
      <w:t xml:space="preserve"> </w:t>
    </w:r>
    <w:r w:rsidRPr="009F1A22">
      <w:t>report</w:t>
    </w:r>
    <w:r>
      <w:t xml:space="preserve"> </w:t>
    </w:r>
    <w:r w:rsidRPr="009F1A22">
      <w:t>20</w:t>
    </w:r>
    <w:r>
      <w:t>20</w:t>
    </w:r>
    <w:r w:rsidRPr="009F1A22">
      <w:t>–2</w:t>
    </w:r>
    <w:r>
      <w:t>1</w:t>
    </w:r>
    <w:r>
      <w:ptab w:relativeTo="margin" w:alignment="right" w:leader="none"/>
    </w:r>
    <w:r w:rsidRPr="00B0248B">
      <w:fldChar w:fldCharType="begin"/>
    </w:r>
    <w:r w:rsidRPr="00B0248B">
      <w:instrText xml:space="preserve"> PAGE </w:instrText>
    </w:r>
    <w:r w:rsidRPr="00B0248B">
      <w:fldChar w:fldCharType="separate"/>
    </w:r>
    <w:r w:rsidRPr="00B0248B">
      <w:t>42</w:t>
    </w:r>
    <w:r w:rsidRPr="00B0248B">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71313" w14:textId="77777777" w:rsidR="00AC6879" w:rsidRDefault="00AC6879">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AABB4" w14:textId="77777777" w:rsidR="00AC6879" w:rsidRDefault="00AC6879" w:rsidP="00C6442A">
    <w:pPr>
      <w:pStyle w:val="ARheader"/>
    </w:pPr>
    <w:r w:rsidRPr="009F1A22">
      <w:t>Department</w:t>
    </w:r>
    <w:r>
      <w:t xml:space="preserve"> </w:t>
    </w:r>
    <w:r w:rsidRPr="009F1A22">
      <w:t>of</w:t>
    </w:r>
    <w:r>
      <w:t xml:space="preserve"> </w:t>
    </w:r>
    <w:r w:rsidRPr="009F1A22">
      <w:t>Health</w:t>
    </w:r>
    <w:r>
      <w:t xml:space="preserve"> </w:t>
    </w:r>
    <w:r w:rsidRPr="009F1A22">
      <w:t>annual</w:t>
    </w:r>
    <w:r>
      <w:t xml:space="preserve"> </w:t>
    </w:r>
    <w:r w:rsidRPr="009F1A22">
      <w:t>report</w:t>
    </w:r>
    <w:r>
      <w:t xml:space="preserve"> </w:t>
    </w:r>
    <w:r w:rsidRPr="009F1A22">
      <w:t>20</w:t>
    </w:r>
    <w:r>
      <w:t>20</w:t>
    </w:r>
    <w:r w:rsidRPr="009F1A22">
      <w:t>–2</w:t>
    </w:r>
    <w:r>
      <w:t>1</w:t>
    </w:r>
    <w:r>
      <w:ptab w:relativeTo="margin" w:alignment="right" w:leader="none"/>
    </w:r>
    <w:r w:rsidRPr="00B0248B">
      <w:fldChar w:fldCharType="begin"/>
    </w:r>
    <w:r w:rsidRPr="00B0248B">
      <w:instrText xml:space="preserve"> PAGE </w:instrText>
    </w:r>
    <w:r w:rsidRPr="00B0248B">
      <w:fldChar w:fldCharType="separate"/>
    </w:r>
    <w:r w:rsidRPr="00B0248B">
      <w:t>57</w:t>
    </w:r>
    <w:r w:rsidRPr="00B0248B">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C8B09" w14:textId="77777777" w:rsidR="00AC6879" w:rsidRDefault="00AC6879">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0ED97" w14:textId="77777777" w:rsidR="00F72887" w:rsidRDefault="00F72887" w:rsidP="00C6442A">
    <w:pPr>
      <w:pStyle w:val="ARheader"/>
    </w:pPr>
    <w:r w:rsidRPr="009F1A22">
      <w:t>Department</w:t>
    </w:r>
    <w:r>
      <w:t xml:space="preserve"> </w:t>
    </w:r>
    <w:r w:rsidRPr="009F1A22">
      <w:t>of</w:t>
    </w:r>
    <w:r>
      <w:t xml:space="preserve"> </w:t>
    </w:r>
    <w:r w:rsidRPr="009F1A22">
      <w:t>Health</w:t>
    </w:r>
    <w:r>
      <w:t xml:space="preserve"> </w:t>
    </w:r>
    <w:r w:rsidRPr="009F1A22">
      <w:t>annual</w:t>
    </w:r>
    <w:r>
      <w:t xml:space="preserve"> </w:t>
    </w:r>
    <w:r w:rsidRPr="009F1A22">
      <w:t>report</w:t>
    </w:r>
    <w:r>
      <w:t xml:space="preserve"> </w:t>
    </w:r>
    <w:r w:rsidRPr="009F1A22">
      <w:t>20</w:t>
    </w:r>
    <w:r>
      <w:t>20</w:t>
    </w:r>
    <w:r w:rsidRPr="009F1A22">
      <w:t>–2</w:t>
    </w:r>
    <w:r>
      <w:t>1</w:t>
    </w:r>
    <w:r>
      <w:ptab w:relativeTo="margin" w:alignment="right" w:leader="none"/>
    </w:r>
    <w:r w:rsidRPr="00B0248B">
      <w:fldChar w:fldCharType="begin"/>
    </w:r>
    <w:r w:rsidRPr="00B0248B">
      <w:instrText xml:space="preserve"> PAGE </w:instrText>
    </w:r>
    <w:r w:rsidRPr="00B0248B">
      <w:fldChar w:fldCharType="separate"/>
    </w:r>
    <w:r w:rsidRPr="00B0248B">
      <w:t>60</w:t>
    </w:r>
    <w:r w:rsidRPr="00B0248B">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27A8C" w14:textId="77777777" w:rsidR="00F72887" w:rsidRDefault="00F72887">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37C74" w14:textId="77777777" w:rsidR="00AC6879" w:rsidRDefault="00AC6879" w:rsidP="00C6442A">
    <w:pPr>
      <w:pStyle w:val="ARheader"/>
    </w:pPr>
    <w:r w:rsidRPr="009F1A22">
      <w:t>Department</w:t>
    </w:r>
    <w:r>
      <w:t xml:space="preserve"> </w:t>
    </w:r>
    <w:r w:rsidRPr="009F1A22">
      <w:t>of</w:t>
    </w:r>
    <w:r>
      <w:t xml:space="preserve"> </w:t>
    </w:r>
    <w:r w:rsidRPr="009F1A22">
      <w:t>Health</w:t>
    </w:r>
    <w:r>
      <w:t xml:space="preserve"> </w:t>
    </w:r>
    <w:r w:rsidRPr="009F1A22">
      <w:t>annual</w:t>
    </w:r>
    <w:r>
      <w:t xml:space="preserve"> </w:t>
    </w:r>
    <w:r w:rsidRPr="009F1A22">
      <w:t>report</w:t>
    </w:r>
    <w:r>
      <w:t xml:space="preserve"> </w:t>
    </w:r>
    <w:r w:rsidRPr="009F1A22">
      <w:t>20</w:t>
    </w:r>
    <w:r>
      <w:t>20</w:t>
    </w:r>
    <w:r w:rsidRPr="009F1A22">
      <w:t>–2</w:t>
    </w:r>
    <w:r>
      <w:t>1</w:t>
    </w:r>
    <w:r>
      <w:ptab w:relativeTo="margin" w:alignment="right" w:leader="none"/>
    </w:r>
    <w:r w:rsidRPr="00B0248B">
      <w:fldChar w:fldCharType="begin"/>
    </w:r>
    <w:r w:rsidRPr="00B0248B">
      <w:instrText xml:space="preserve"> PAGE </w:instrText>
    </w:r>
    <w:r w:rsidRPr="00B0248B">
      <w:fldChar w:fldCharType="separate"/>
    </w:r>
    <w:r w:rsidRPr="00B0248B">
      <w:t>60</w:t>
    </w:r>
    <w:r w:rsidRPr="00B0248B">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0652D" w14:textId="77777777" w:rsidR="00AC6879" w:rsidRDefault="00AC6879" w:rsidP="00C6442A">
    <w:pPr>
      <w:pStyle w:val="ARheader"/>
    </w:pPr>
    <w:r w:rsidRPr="009F1A22">
      <w:t>Department</w:t>
    </w:r>
    <w:r>
      <w:t xml:space="preserve"> </w:t>
    </w:r>
    <w:r w:rsidRPr="009F1A22">
      <w:t>of</w:t>
    </w:r>
    <w:r>
      <w:t xml:space="preserve"> </w:t>
    </w:r>
    <w:r w:rsidRPr="009F1A22">
      <w:t>Health</w:t>
    </w:r>
    <w:r>
      <w:t xml:space="preserve"> </w:t>
    </w:r>
    <w:r w:rsidRPr="009F1A22">
      <w:t>annual</w:t>
    </w:r>
    <w:r>
      <w:t xml:space="preserve"> </w:t>
    </w:r>
    <w:r w:rsidRPr="009F1A22">
      <w:t>report</w:t>
    </w:r>
    <w:r>
      <w:t xml:space="preserve"> </w:t>
    </w:r>
    <w:r w:rsidRPr="009F1A22">
      <w:t>20</w:t>
    </w:r>
    <w:r>
      <w:t>20</w:t>
    </w:r>
    <w:r w:rsidRPr="009F1A22">
      <w:t>–2</w:t>
    </w:r>
    <w:r>
      <w:t>1</w:t>
    </w:r>
    <w:r>
      <w:ptab w:relativeTo="margin" w:alignment="right" w:leader="none"/>
    </w:r>
    <w:r w:rsidRPr="003C35CF">
      <w:fldChar w:fldCharType="begin"/>
    </w:r>
    <w:r w:rsidRPr="003C35CF">
      <w:instrText xml:space="preserve"> PAGE </w:instrText>
    </w:r>
    <w:r w:rsidRPr="003C35CF">
      <w:fldChar w:fldCharType="separate"/>
    </w:r>
    <w:r>
      <w:rPr>
        <w:noProof/>
      </w:rPr>
      <w:t>73</w:t>
    </w:r>
    <w:r w:rsidRPr="003C35CF">
      <w:fldChar w:fldCharType="end"/>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CF670" w14:textId="77777777" w:rsidR="00AC6879" w:rsidRDefault="00AC6879">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65C42" w14:textId="77777777" w:rsidR="00AC6879" w:rsidRDefault="00AC6879" w:rsidP="00130D1C">
    <w:pPr>
      <w:pStyle w:val="ARheader"/>
    </w:pPr>
    <w:r w:rsidRPr="009F1A22">
      <w:t>Department</w:t>
    </w:r>
    <w:r>
      <w:t xml:space="preserve"> </w:t>
    </w:r>
    <w:r w:rsidRPr="009F1A22">
      <w:t>of</w:t>
    </w:r>
    <w:r>
      <w:t xml:space="preserve"> </w:t>
    </w:r>
    <w:r w:rsidRPr="009F1A22">
      <w:t>Health</w:t>
    </w:r>
    <w:r>
      <w:t xml:space="preserve"> </w:t>
    </w:r>
    <w:r w:rsidRPr="009F1A22">
      <w:t>annual</w:t>
    </w:r>
    <w:r>
      <w:t xml:space="preserve"> </w:t>
    </w:r>
    <w:r w:rsidRPr="009F1A22">
      <w:t>report</w:t>
    </w:r>
    <w:r>
      <w:t xml:space="preserve"> </w:t>
    </w:r>
    <w:r w:rsidRPr="009F1A22">
      <w:t>20</w:t>
    </w:r>
    <w:r>
      <w:t>20</w:t>
    </w:r>
    <w:r w:rsidRPr="009F1A22">
      <w:t>–2</w:t>
    </w:r>
    <w:r>
      <w:t>1</w:t>
    </w:r>
    <w:r>
      <w:ptab w:relativeTo="margin" w:alignment="right" w:leader="none"/>
    </w:r>
    <w:r w:rsidRPr="003C35CF">
      <w:fldChar w:fldCharType="begin"/>
    </w:r>
    <w:r w:rsidRPr="003C35CF">
      <w:instrText xml:space="preserve"> PAGE </w:instrText>
    </w:r>
    <w:r w:rsidRPr="003C35CF">
      <w:fldChar w:fldCharType="separate"/>
    </w:r>
    <w:r>
      <w:rPr>
        <w:noProof/>
      </w:rPr>
      <w:t>97</w:t>
    </w:r>
    <w:r w:rsidRPr="003C35CF">
      <w:fldChar w:fldCharType="end"/>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686C25" w14:textId="77777777" w:rsidR="00AC6879" w:rsidRDefault="00AC6879">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1AFAA" w14:textId="77777777" w:rsidR="00AC6879" w:rsidRDefault="00AC6879">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F13BD" w14:textId="77777777" w:rsidR="00AC6879" w:rsidRDefault="00AC6879" w:rsidP="00C6442A">
    <w:pPr>
      <w:pStyle w:val="ARheader"/>
    </w:pPr>
    <w:r w:rsidRPr="009F1A22">
      <w:t>Department</w:t>
    </w:r>
    <w:r>
      <w:t xml:space="preserve"> </w:t>
    </w:r>
    <w:r w:rsidRPr="009F1A22">
      <w:t>of</w:t>
    </w:r>
    <w:r>
      <w:t xml:space="preserve"> </w:t>
    </w:r>
    <w:r w:rsidRPr="009F1A22">
      <w:t>Health</w:t>
    </w:r>
    <w:r>
      <w:t xml:space="preserve"> </w:t>
    </w:r>
    <w:r w:rsidRPr="009F1A22">
      <w:t>annual</w:t>
    </w:r>
    <w:r>
      <w:t xml:space="preserve"> </w:t>
    </w:r>
    <w:r w:rsidRPr="009F1A22">
      <w:t>report</w:t>
    </w:r>
    <w:r>
      <w:t xml:space="preserve"> </w:t>
    </w:r>
    <w:r w:rsidRPr="009F1A22">
      <w:t>20</w:t>
    </w:r>
    <w:r>
      <w:t>20</w:t>
    </w:r>
    <w:r w:rsidRPr="009F1A22">
      <w:t>–2</w:t>
    </w:r>
    <w:r>
      <w:t>1</w:t>
    </w:r>
    <w:r>
      <w:ptab w:relativeTo="margin" w:alignment="right" w:leader="none"/>
    </w:r>
    <w:r w:rsidRPr="00B0248B">
      <w:fldChar w:fldCharType="begin"/>
    </w:r>
    <w:r w:rsidRPr="00B0248B">
      <w:instrText xml:space="preserve"> PAGE </w:instrText>
    </w:r>
    <w:r w:rsidRPr="00B0248B">
      <w:fldChar w:fldCharType="separate"/>
    </w:r>
    <w:r w:rsidRPr="00B0248B">
      <w:t>156</w:t>
    </w:r>
    <w:r w:rsidRPr="00B0248B">
      <w:fldChar w:fldCharType="end"/>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71E02" w14:textId="77777777" w:rsidR="00AC6879" w:rsidRDefault="00AC6879">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1D76F" w14:textId="77777777" w:rsidR="00AC6879" w:rsidRDefault="00AC6879" w:rsidP="00C6442A">
    <w:pPr>
      <w:pStyle w:val="ARheader"/>
    </w:pPr>
    <w:r w:rsidRPr="009F1A22">
      <w:t>Department</w:t>
    </w:r>
    <w:r>
      <w:t xml:space="preserve"> </w:t>
    </w:r>
    <w:r w:rsidRPr="009F1A22">
      <w:t>of</w:t>
    </w:r>
    <w:r>
      <w:t xml:space="preserve"> </w:t>
    </w:r>
    <w:r w:rsidRPr="009F1A22">
      <w:t>Health</w:t>
    </w:r>
    <w:r>
      <w:t xml:space="preserve"> </w:t>
    </w:r>
    <w:r w:rsidRPr="009F1A22">
      <w:t>annual</w:t>
    </w:r>
    <w:r>
      <w:t xml:space="preserve"> </w:t>
    </w:r>
    <w:r w:rsidRPr="009F1A22">
      <w:t>report</w:t>
    </w:r>
    <w:r>
      <w:t xml:space="preserve"> </w:t>
    </w:r>
    <w:r w:rsidRPr="009F1A22">
      <w:t>20</w:t>
    </w:r>
    <w:r>
      <w:t>20</w:t>
    </w:r>
    <w:r w:rsidRPr="009F1A22">
      <w:t>–2</w:t>
    </w:r>
    <w:r>
      <w:t>1</w:t>
    </w:r>
    <w:r>
      <w:ptab w:relativeTo="margin" w:alignment="right" w:leader="none"/>
    </w:r>
    <w:r w:rsidRPr="00B0248B">
      <w:fldChar w:fldCharType="begin"/>
    </w:r>
    <w:r w:rsidRPr="00B0248B">
      <w:instrText xml:space="preserve"> PAGE </w:instrText>
    </w:r>
    <w:r w:rsidRPr="00B0248B">
      <w:fldChar w:fldCharType="separate"/>
    </w:r>
    <w:r w:rsidRPr="00B0248B">
      <w:t>163</w:t>
    </w:r>
    <w:r w:rsidRPr="00B0248B">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8D5AD" w14:textId="77777777" w:rsidR="00AC6879" w:rsidRDefault="00AC687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D4F26" w14:textId="77777777" w:rsidR="00AC6879" w:rsidRDefault="00AC687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2A0AC" w14:textId="77777777" w:rsidR="00AC6879" w:rsidRDefault="00AC687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B5C82" w14:textId="77777777" w:rsidR="00AC6879" w:rsidRDefault="00AC687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9B8E0" w14:textId="77777777" w:rsidR="00AC6879" w:rsidRDefault="00AC687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95B04" w14:textId="77777777" w:rsidR="00AC6879" w:rsidRDefault="00AC68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0BEA"/>
    <w:multiLevelType w:val="hybridMultilevel"/>
    <w:tmpl w:val="7BBA1BDC"/>
    <w:lvl w:ilvl="0" w:tplc="246829BE">
      <w:start w:val="1"/>
      <w:numFmt w:val="bullet"/>
      <w:lvlText w:val=""/>
      <w:lvlJc w:val="left"/>
      <w:pPr>
        <w:tabs>
          <w:tab w:val="num" w:pos="720"/>
        </w:tabs>
        <w:ind w:left="720" w:hanging="360"/>
      </w:pPr>
      <w:rPr>
        <w:rFonts w:ascii="Symbol" w:hAnsi="Symbol" w:hint="default"/>
      </w:rPr>
    </w:lvl>
    <w:lvl w:ilvl="1" w:tplc="E746F940" w:tentative="1">
      <w:start w:val="1"/>
      <w:numFmt w:val="bullet"/>
      <w:lvlText w:val=""/>
      <w:lvlJc w:val="left"/>
      <w:pPr>
        <w:tabs>
          <w:tab w:val="num" w:pos="1440"/>
        </w:tabs>
        <w:ind w:left="1440" w:hanging="360"/>
      </w:pPr>
      <w:rPr>
        <w:rFonts w:ascii="Symbol" w:hAnsi="Symbol" w:hint="default"/>
      </w:rPr>
    </w:lvl>
    <w:lvl w:ilvl="2" w:tplc="AFF62444" w:tentative="1">
      <w:start w:val="1"/>
      <w:numFmt w:val="bullet"/>
      <w:lvlText w:val=""/>
      <w:lvlJc w:val="left"/>
      <w:pPr>
        <w:tabs>
          <w:tab w:val="num" w:pos="2160"/>
        </w:tabs>
        <w:ind w:left="2160" w:hanging="360"/>
      </w:pPr>
      <w:rPr>
        <w:rFonts w:ascii="Symbol" w:hAnsi="Symbol" w:hint="default"/>
      </w:rPr>
    </w:lvl>
    <w:lvl w:ilvl="3" w:tplc="93465AA6" w:tentative="1">
      <w:start w:val="1"/>
      <w:numFmt w:val="bullet"/>
      <w:lvlText w:val=""/>
      <w:lvlJc w:val="left"/>
      <w:pPr>
        <w:tabs>
          <w:tab w:val="num" w:pos="2880"/>
        </w:tabs>
        <w:ind w:left="2880" w:hanging="360"/>
      </w:pPr>
      <w:rPr>
        <w:rFonts w:ascii="Symbol" w:hAnsi="Symbol" w:hint="default"/>
      </w:rPr>
    </w:lvl>
    <w:lvl w:ilvl="4" w:tplc="004495CE" w:tentative="1">
      <w:start w:val="1"/>
      <w:numFmt w:val="bullet"/>
      <w:lvlText w:val=""/>
      <w:lvlJc w:val="left"/>
      <w:pPr>
        <w:tabs>
          <w:tab w:val="num" w:pos="3600"/>
        </w:tabs>
        <w:ind w:left="3600" w:hanging="360"/>
      </w:pPr>
      <w:rPr>
        <w:rFonts w:ascii="Symbol" w:hAnsi="Symbol" w:hint="default"/>
      </w:rPr>
    </w:lvl>
    <w:lvl w:ilvl="5" w:tplc="74624C76" w:tentative="1">
      <w:start w:val="1"/>
      <w:numFmt w:val="bullet"/>
      <w:lvlText w:val=""/>
      <w:lvlJc w:val="left"/>
      <w:pPr>
        <w:tabs>
          <w:tab w:val="num" w:pos="4320"/>
        </w:tabs>
        <w:ind w:left="4320" w:hanging="360"/>
      </w:pPr>
      <w:rPr>
        <w:rFonts w:ascii="Symbol" w:hAnsi="Symbol" w:hint="default"/>
      </w:rPr>
    </w:lvl>
    <w:lvl w:ilvl="6" w:tplc="DA16FF20" w:tentative="1">
      <w:start w:val="1"/>
      <w:numFmt w:val="bullet"/>
      <w:lvlText w:val=""/>
      <w:lvlJc w:val="left"/>
      <w:pPr>
        <w:tabs>
          <w:tab w:val="num" w:pos="5040"/>
        </w:tabs>
        <w:ind w:left="5040" w:hanging="360"/>
      </w:pPr>
      <w:rPr>
        <w:rFonts w:ascii="Symbol" w:hAnsi="Symbol" w:hint="default"/>
      </w:rPr>
    </w:lvl>
    <w:lvl w:ilvl="7" w:tplc="FABE1830" w:tentative="1">
      <w:start w:val="1"/>
      <w:numFmt w:val="bullet"/>
      <w:lvlText w:val=""/>
      <w:lvlJc w:val="left"/>
      <w:pPr>
        <w:tabs>
          <w:tab w:val="num" w:pos="5760"/>
        </w:tabs>
        <w:ind w:left="5760" w:hanging="360"/>
      </w:pPr>
      <w:rPr>
        <w:rFonts w:ascii="Symbol" w:hAnsi="Symbol" w:hint="default"/>
      </w:rPr>
    </w:lvl>
    <w:lvl w:ilvl="8" w:tplc="3336273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1AF4F85"/>
    <w:multiLevelType w:val="multilevel"/>
    <w:tmpl w:val="2B5CD2EA"/>
    <w:styleLink w:val="CurrentList2"/>
    <w:lvl w:ilvl="0">
      <w:start w:val="2"/>
      <w:numFmt w:val="decimal"/>
      <w:lvlText w:val="Note %1: "/>
      <w:lvlJc w:val="left"/>
      <w:pPr>
        <w:tabs>
          <w:tab w:val="num" w:pos="1352"/>
        </w:tabs>
        <w:ind w:left="135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 w15:restartNumberingAfterBreak="0">
    <w:nsid w:val="01E01F0D"/>
    <w:multiLevelType w:val="hybridMultilevel"/>
    <w:tmpl w:val="1D80310E"/>
    <w:styleLink w:val="LowerRomanat7mm"/>
    <w:lvl w:ilvl="0" w:tplc="95AC8800">
      <w:start w:val="1"/>
      <w:numFmt w:val="lowerRoman"/>
      <w:lvlText w:val="(%1)"/>
      <w:lvlJc w:val="left"/>
      <w:pPr>
        <w:ind w:left="794" w:hanging="397"/>
      </w:pPr>
      <w:rPr>
        <w:rFonts w:hint="default"/>
      </w:rPr>
    </w:lvl>
    <w:lvl w:ilvl="1" w:tplc="084EF04E">
      <w:start w:val="1"/>
      <w:numFmt w:val="lowerLetter"/>
      <w:lvlText w:val="%2)"/>
      <w:lvlJc w:val="left"/>
      <w:pPr>
        <w:ind w:left="720" w:hanging="360"/>
      </w:pPr>
      <w:rPr>
        <w:rFonts w:hint="default"/>
      </w:rPr>
    </w:lvl>
    <w:lvl w:ilvl="2" w:tplc="79D43806">
      <w:start w:val="1"/>
      <w:numFmt w:val="lowerRoman"/>
      <w:lvlText w:val="%3)"/>
      <w:lvlJc w:val="left"/>
      <w:pPr>
        <w:ind w:left="1080" w:hanging="360"/>
      </w:pPr>
      <w:rPr>
        <w:rFonts w:hint="default"/>
      </w:rPr>
    </w:lvl>
    <w:lvl w:ilvl="3" w:tplc="8810327A">
      <w:start w:val="1"/>
      <w:numFmt w:val="decimal"/>
      <w:lvlText w:val="(%4)"/>
      <w:lvlJc w:val="left"/>
      <w:pPr>
        <w:ind w:left="1440" w:hanging="360"/>
      </w:pPr>
      <w:rPr>
        <w:rFonts w:hint="default"/>
      </w:rPr>
    </w:lvl>
    <w:lvl w:ilvl="4" w:tplc="CC7E89BE">
      <w:start w:val="1"/>
      <w:numFmt w:val="lowerLetter"/>
      <w:lvlText w:val="(%5)"/>
      <w:lvlJc w:val="left"/>
      <w:pPr>
        <w:ind w:left="1800" w:hanging="360"/>
      </w:pPr>
      <w:rPr>
        <w:rFonts w:hint="default"/>
      </w:rPr>
    </w:lvl>
    <w:lvl w:ilvl="5" w:tplc="A4E69620">
      <w:start w:val="1"/>
      <w:numFmt w:val="lowerRoman"/>
      <w:lvlText w:val="(%6)"/>
      <w:lvlJc w:val="left"/>
      <w:pPr>
        <w:ind w:left="2160" w:hanging="360"/>
      </w:pPr>
      <w:rPr>
        <w:rFonts w:hint="default"/>
      </w:rPr>
    </w:lvl>
    <w:lvl w:ilvl="6" w:tplc="C8840706">
      <w:start w:val="1"/>
      <w:numFmt w:val="decimal"/>
      <w:lvlText w:val="%7."/>
      <w:lvlJc w:val="left"/>
      <w:pPr>
        <w:ind w:left="2520" w:hanging="360"/>
      </w:pPr>
      <w:rPr>
        <w:rFonts w:hint="default"/>
      </w:rPr>
    </w:lvl>
    <w:lvl w:ilvl="7" w:tplc="DD98D340">
      <w:start w:val="1"/>
      <w:numFmt w:val="lowerLetter"/>
      <w:lvlText w:val="%8."/>
      <w:lvlJc w:val="left"/>
      <w:pPr>
        <w:ind w:left="2880" w:hanging="360"/>
      </w:pPr>
      <w:rPr>
        <w:rFonts w:hint="default"/>
      </w:rPr>
    </w:lvl>
    <w:lvl w:ilvl="8" w:tplc="E370CCD4">
      <w:start w:val="1"/>
      <w:numFmt w:val="lowerRoman"/>
      <w:lvlText w:val="%9."/>
      <w:lvlJc w:val="left"/>
      <w:pPr>
        <w:ind w:left="3240" w:hanging="360"/>
      </w:pPr>
      <w:rPr>
        <w:rFonts w:hint="default"/>
      </w:rPr>
    </w:lvl>
  </w:abstractNum>
  <w:abstractNum w:abstractNumId="3" w15:restartNumberingAfterBreak="0">
    <w:nsid w:val="02F2323C"/>
    <w:multiLevelType w:val="hybridMultilevel"/>
    <w:tmpl w:val="A61C06F4"/>
    <w:lvl w:ilvl="0" w:tplc="24BCA682">
      <w:start w:val="1"/>
      <w:numFmt w:val="bullet"/>
      <w:pStyle w:val="ListBullet"/>
      <w:lvlText w:val=""/>
      <w:lvlJc w:val="left"/>
      <w:pPr>
        <w:ind w:left="284" w:hanging="284"/>
      </w:pPr>
      <w:rPr>
        <w:rFonts w:ascii="Symbol" w:hAnsi="Symbol" w:hint="default"/>
      </w:rPr>
    </w:lvl>
    <w:lvl w:ilvl="1" w:tplc="62942078">
      <w:start w:val="1"/>
      <w:numFmt w:val="bullet"/>
      <w:pStyle w:val="ListBullet2"/>
      <w:lvlText w:val="–"/>
      <w:lvlJc w:val="left"/>
      <w:pPr>
        <w:ind w:left="568" w:hanging="284"/>
      </w:pPr>
      <w:rPr>
        <w:rFonts w:ascii="Arial" w:hAnsi="Arial" w:hint="default"/>
      </w:rPr>
    </w:lvl>
    <w:lvl w:ilvl="2" w:tplc="DE587716">
      <w:start w:val="1"/>
      <w:numFmt w:val="bullet"/>
      <w:pStyle w:val="ListBullet3"/>
      <w:lvlText w:val=""/>
      <w:lvlJc w:val="left"/>
      <w:pPr>
        <w:ind w:left="852" w:hanging="284"/>
      </w:pPr>
      <w:rPr>
        <w:rFonts w:ascii="Symbol" w:hAnsi="Symbol" w:hint="default"/>
      </w:rPr>
    </w:lvl>
    <w:lvl w:ilvl="3" w:tplc="0584F940">
      <w:start w:val="1"/>
      <w:numFmt w:val="decimal"/>
      <w:lvlText w:val="(%4)"/>
      <w:lvlJc w:val="left"/>
      <w:pPr>
        <w:ind w:left="1136" w:hanging="284"/>
      </w:pPr>
      <w:rPr>
        <w:rFonts w:hint="default"/>
      </w:rPr>
    </w:lvl>
    <w:lvl w:ilvl="4" w:tplc="B0960C8E">
      <w:start w:val="1"/>
      <w:numFmt w:val="lowerLetter"/>
      <w:lvlText w:val="(%5)"/>
      <w:lvlJc w:val="left"/>
      <w:pPr>
        <w:ind w:left="1420" w:hanging="284"/>
      </w:pPr>
      <w:rPr>
        <w:rFonts w:hint="default"/>
      </w:rPr>
    </w:lvl>
    <w:lvl w:ilvl="5" w:tplc="24E03318">
      <w:start w:val="1"/>
      <w:numFmt w:val="lowerRoman"/>
      <w:lvlText w:val="(%6)"/>
      <w:lvlJc w:val="left"/>
      <w:pPr>
        <w:ind w:left="1704" w:hanging="284"/>
      </w:pPr>
      <w:rPr>
        <w:rFonts w:hint="default"/>
      </w:rPr>
    </w:lvl>
    <w:lvl w:ilvl="6" w:tplc="A5705250">
      <w:start w:val="1"/>
      <w:numFmt w:val="decimal"/>
      <w:lvlText w:val="%7."/>
      <w:lvlJc w:val="left"/>
      <w:pPr>
        <w:ind w:left="1988" w:hanging="284"/>
      </w:pPr>
      <w:rPr>
        <w:rFonts w:hint="default"/>
      </w:rPr>
    </w:lvl>
    <w:lvl w:ilvl="7" w:tplc="4274CDDC">
      <w:start w:val="1"/>
      <w:numFmt w:val="lowerLetter"/>
      <w:lvlText w:val="%8."/>
      <w:lvlJc w:val="left"/>
      <w:pPr>
        <w:ind w:left="2272" w:hanging="284"/>
      </w:pPr>
      <w:rPr>
        <w:rFonts w:hint="default"/>
      </w:rPr>
    </w:lvl>
    <w:lvl w:ilvl="8" w:tplc="0A50ECDE">
      <w:start w:val="1"/>
      <w:numFmt w:val="lowerRoman"/>
      <w:lvlText w:val="%9."/>
      <w:lvlJc w:val="left"/>
      <w:pPr>
        <w:ind w:left="2556" w:hanging="284"/>
      </w:pPr>
      <w:rPr>
        <w:rFonts w:hint="default"/>
      </w:rPr>
    </w:lvl>
  </w:abstractNum>
  <w:abstractNum w:abstractNumId="4" w15:restartNumberingAfterBreak="0">
    <w:nsid w:val="10193262"/>
    <w:multiLevelType w:val="multilevel"/>
    <w:tmpl w:val="AF7EF2BE"/>
    <w:styleLink w:val="ZZFinbullets"/>
    <w:lvl w:ilvl="0">
      <w:start w:val="1"/>
      <w:numFmt w:val="bullet"/>
      <w:pStyle w:val="ARfinbullet1"/>
      <w:lvlText w:val="•"/>
      <w:lvlJc w:val="left"/>
      <w:pPr>
        <w:ind w:left="284" w:hanging="284"/>
      </w:pPr>
      <w:rPr>
        <w:rFonts w:ascii="Calibri" w:hAnsi="Calibri" w:hint="default"/>
      </w:rPr>
    </w:lvl>
    <w:lvl w:ilvl="1">
      <w:start w:val="1"/>
      <w:numFmt w:val="bullet"/>
      <w:lvlRestart w:val="0"/>
      <w:pStyle w:val="ARfinbullet2"/>
      <w:lvlText w:val="–"/>
      <w:lvlJc w:val="left"/>
      <w:pPr>
        <w:tabs>
          <w:tab w:val="num" w:pos="284"/>
        </w:tabs>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124A63E2"/>
    <w:multiLevelType w:val="hybridMultilevel"/>
    <w:tmpl w:val="4E06C5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1CD95887"/>
    <w:multiLevelType w:val="multilevel"/>
    <w:tmpl w:val="DC88D7AC"/>
    <w:styleLink w:val="Style2"/>
    <w:lvl w:ilvl="0">
      <w:start w:val="1"/>
      <w:numFmt w:val="decimal"/>
      <w:lvlText w:val="Note %1: "/>
      <w:lvlJc w:val="left"/>
      <w:pPr>
        <w:tabs>
          <w:tab w:val="num" w:pos="992"/>
        </w:tabs>
        <w:ind w:left="99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7" w15:restartNumberingAfterBreak="0">
    <w:nsid w:val="24702521"/>
    <w:multiLevelType w:val="hybridMultilevel"/>
    <w:tmpl w:val="564299E6"/>
    <w:styleLink w:val="Tablefootnotes"/>
    <w:lvl w:ilvl="0" w:tplc="915E6960">
      <w:start w:val="1"/>
      <w:numFmt w:val="none"/>
      <w:suff w:val="nothing"/>
      <w:lvlText w:val=""/>
      <w:lvlJc w:val="left"/>
      <w:pPr>
        <w:ind w:left="0" w:firstLine="0"/>
      </w:pPr>
      <w:rPr>
        <w:rFonts w:hint="default"/>
      </w:rPr>
    </w:lvl>
    <w:lvl w:ilvl="1" w:tplc="1F32490C">
      <w:start w:val="1"/>
      <w:numFmt w:val="lowerRoman"/>
      <w:lvlText w:val="(%2)"/>
      <w:lvlJc w:val="left"/>
      <w:pPr>
        <w:tabs>
          <w:tab w:val="num" w:pos="284"/>
        </w:tabs>
        <w:ind w:left="284" w:hanging="284"/>
      </w:pPr>
      <w:rPr>
        <w:rFonts w:hint="default"/>
      </w:rPr>
    </w:lvl>
    <w:lvl w:ilvl="2" w:tplc="C0064F14">
      <w:start w:val="1"/>
      <w:numFmt w:val="bullet"/>
      <w:lvlRestart w:val="0"/>
      <w:lvlText w:val="•"/>
      <w:lvlJc w:val="left"/>
      <w:pPr>
        <w:ind w:left="510" w:hanging="226"/>
      </w:pPr>
      <w:rPr>
        <w:rFonts w:ascii="Calibri" w:hAnsi="Calibri" w:hint="default"/>
        <w:color w:val="auto"/>
      </w:rPr>
    </w:lvl>
    <w:lvl w:ilvl="3" w:tplc="279AC4D6">
      <w:start w:val="1"/>
      <w:numFmt w:val="decimal"/>
      <w:lvlText w:val="(%4)"/>
      <w:lvlJc w:val="left"/>
      <w:pPr>
        <w:ind w:left="1440" w:hanging="360"/>
      </w:pPr>
      <w:rPr>
        <w:rFonts w:hint="default"/>
      </w:rPr>
    </w:lvl>
    <w:lvl w:ilvl="4" w:tplc="E4505786">
      <w:start w:val="1"/>
      <w:numFmt w:val="lowerLetter"/>
      <w:lvlText w:val="(%5)"/>
      <w:lvlJc w:val="left"/>
      <w:pPr>
        <w:ind w:left="1800" w:hanging="360"/>
      </w:pPr>
      <w:rPr>
        <w:rFonts w:hint="default"/>
      </w:rPr>
    </w:lvl>
    <w:lvl w:ilvl="5" w:tplc="492EE5F8">
      <w:start w:val="1"/>
      <w:numFmt w:val="lowerRoman"/>
      <w:lvlText w:val="(%6)"/>
      <w:lvlJc w:val="left"/>
      <w:pPr>
        <w:ind w:left="2160" w:hanging="360"/>
      </w:pPr>
      <w:rPr>
        <w:rFonts w:hint="default"/>
      </w:rPr>
    </w:lvl>
    <w:lvl w:ilvl="6" w:tplc="ECF407E6">
      <w:start w:val="1"/>
      <w:numFmt w:val="decimal"/>
      <w:lvlText w:val="%7."/>
      <w:lvlJc w:val="left"/>
      <w:pPr>
        <w:ind w:left="2520" w:hanging="360"/>
      </w:pPr>
      <w:rPr>
        <w:rFonts w:hint="default"/>
      </w:rPr>
    </w:lvl>
    <w:lvl w:ilvl="7" w:tplc="630E965C">
      <w:start w:val="1"/>
      <w:numFmt w:val="lowerLetter"/>
      <w:lvlText w:val="%8."/>
      <w:lvlJc w:val="left"/>
      <w:pPr>
        <w:ind w:left="2880" w:hanging="360"/>
      </w:pPr>
      <w:rPr>
        <w:rFonts w:hint="default"/>
      </w:rPr>
    </w:lvl>
    <w:lvl w:ilvl="8" w:tplc="F6F0DF1A">
      <w:start w:val="1"/>
      <w:numFmt w:val="lowerRoman"/>
      <w:lvlText w:val="%9."/>
      <w:lvlJc w:val="left"/>
      <w:pPr>
        <w:ind w:left="3240" w:hanging="360"/>
      </w:pPr>
      <w:rPr>
        <w:rFonts w:hint="default"/>
      </w:rPr>
    </w:lvl>
  </w:abstractNum>
  <w:abstractNum w:abstractNumId="8" w15:restartNumberingAfterBreak="0">
    <w:nsid w:val="261C3521"/>
    <w:multiLevelType w:val="multilevel"/>
    <w:tmpl w:val="504250C6"/>
    <w:styleLink w:val="ZZTablefootnoteroman"/>
    <w:lvl w:ilvl="0">
      <w:start w:val="1"/>
      <w:numFmt w:val="lowerRoman"/>
      <w:pStyle w:val="ARtablefootnoteroman"/>
      <w:lvlText w:val="(%1)"/>
      <w:lvlJc w:val="left"/>
      <w:pPr>
        <w:tabs>
          <w:tab w:val="num" w:pos="284"/>
        </w:tabs>
        <w:ind w:left="0" w:firstLine="0"/>
      </w:pPr>
      <w:rPr>
        <w:rFonts w:hint="default"/>
        <w:sz w:val="20"/>
      </w:rPr>
    </w:lvl>
    <w:lvl w:ilvl="1">
      <w:start w:val="1"/>
      <w:numFmt w:val="none"/>
      <w:lvlRestart w:val="0"/>
      <w:lvlText w:val=""/>
      <w:lvlJc w:val="left"/>
      <w:pPr>
        <w:ind w:left="0" w:firstLine="0"/>
      </w:pPr>
      <w:rPr>
        <w:rFonts w:hint="default"/>
        <w:sz w:val="20"/>
      </w:rPr>
    </w:lvl>
    <w:lvl w:ilvl="2">
      <w:start w:val="1"/>
      <w:numFmt w:val="none"/>
      <w:lvlRestart w:val="0"/>
      <w:lvlText w:val=""/>
      <w:lvlJc w:val="left"/>
      <w:pPr>
        <w:ind w:left="0" w:firstLine="0"/>
      </w:pPr>
      <w:rPr>
        <w:rFonts w:hint="default"/>
        <w:sz w:val="20"/>
      </w:rPr>
    </w:lvl>
    <w:lvl w:ilvl="3">
      <w:start w:val="1"/>
      <w:numFmt w:val="none"/>
      <w:lvlRestart w:val="0"/>
      <w:lvlText w:val=""/>
      <w:lvlJc w:val="left"/>
      <w:pPr>
        <w:ind w:left="0" w:firstLine="0"/>
      </w:pPr>
      <w:rPr>
        <w:rFonts w:hint="default"/>
        <w:sz w:val="20"/>
      </w:rPr>
    </w:lvl>
    <w:lvl w:ilvl="4">
      <w:start w:val="1"/>
      <w:numFmt w:val="none"/>
      <w:lvlRestart w:val="0"/>
      <w:lvlText w:val=""/>
      <w:lvlJc w:val="left"/>
      <w:pPr>
        <w:ind w:left="0" w:firstLine="0"/>
      </w:pPr>
      <w:rPr>
        <w:rFonts w:hint="default"/>
        <w:sz w:val="20"/>
      </w:rPr>
    </w:lvl>
    <w:lvl w:ilvl="5">
      <w:start w:val="1"/>
      <w:numFmt w:val="none"/>
      <w:lvlRestart w:val="0"/>
      <w:lvlText w:val=""/>
      <w:lvlJc w:val="left"/>
      <w:pPr>
        <w:ind w:left="0" w:firstLine="0"/>
      </w:pPr>
      <w:rPr>
        <w:rFonts w:hint="default"/>
        <w:sz w:val="20"/>
      </w:rPr>
    </w:lvl>
    <w:lvl w:ilvl="6">
      <w:start w:val="1"/>
      <w:numFmt w:val="none"/>
      <w:lvlRestart w:val="0"/>
      <w:lvlText w:val=""/>
      <w:lvlJc w:val="left"/>
      <w:pPr>
        <w:ind w:left="0" w:firstLine="0"/>
      </w:pPr>
      <w:rPr>
        <w:rFonts w:hint="default"/>
        <w:sz w:val="20"/>
      </w:rPr>
    </w:lvl>
    <w:lvl w:ilvl="7">
      <w:start w:val="1"/>
      <w:numFmt w:val="none"/>
      <w:lvlRestart w:val="0"/>
      <w:lvlText w:val=""/>
      <w:lvlJc w:val="left"/>
      <w:pPr>
        <w:ind w:left="0" w:firstLine="0"/>
      </w:pPr>
      <w:rPr>
        <w:rFonts w:hint="default"/>
        <w:sz w:val="20"/>
      </w:rPr>
    </w:lvl>
    <w:lvl w:ilvl="8">
      <w:start w:val="1"/>
      <w:numFmt w:val="none"/>
      <w:lvlRestart w:val="0"/>
      <w:lvlText w:val=""/>
      <w:lvlJc w:val="left"/>
      <w:pPr>
        <w:ind w:left="0" w:firstLine="0"/>
      </w:pPr>
      <w:rPr>
        <w:rFonts w:hint="default"/>
        <w:sz w:val="20"/>
      </w:rPr>
    </w:lvl>
  </w:abstractNum>
  <w:abstractNum w:abstractNumId="9" w15:restartNumberingAfterBreak="0">
    <w:nsid w:val="263C75AD"/>
    <w:multiLevelType w:val="multilevel"/>
    <w:tmpl w:val="7B9A2172"/>
    <w:styleLink w:val="ZZFinnumbersalpha"/>
    <w:lvl w:ilvl="0">
      <w:start w:val="1"/>
      <w:numFmt w:val="lowerLetter"/>
      <w:lvlText w:val="(%1)"/>
      <w:lvlJc w:val="left"/>
      <w:pPr>
        <w:tabs>
          <w:tab w:val="num" w:pos="284"/>
        </w:tabs>
        <w:ind w:left="284" w:hanging="284"/>
      </w:pPr>
      <w:rPr>
        <w:rFonts w:hint="default"/>
      </w:rPr>
    </w:lvl>
    <w:lvl w:ilvl="1">
      <w:start w:val="1"/>
      <w:numFmt w:val="lowerLetter"/>
      <w:lvlText w:val="(%2)"/>
      <w:lvlJc w:val="left"/>
      <w:pPr>
        <w:tabs>
          <w:tab w:val="num" w:pos="567"/>
        </w:tabs>
        <w:ind w:left="567" w:hanging="283"/>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266A67E4"/>
    <w:multiLevelType w:val="hybridMultilevel"/>
    <w:tmpl w:val="2A905340"/>
    <w:styleLink w:val="ZZFinnumbersalpha1roman2"/>
    <w:lvl w:ilvl="0" w:tplc="AD76FC2E">
      <w:start w:val="1"/>
      <w:numFmt w:val="lowerLetter"/>
      <w:lvlText w:val="(%1)"/>
      <w:lvlJc w:val="left"/>
      <w:pPr>
        <w:ind w:left="284" w:hanging="284"/>
      </w:pPr>
      <w:rPr>
        <w:rFonts w:hint="default"/>
      </w:rPr>
    </w:lvl>
    <w:lvl w:ilvl="1" w:tplc="7A2C78D0">
      <w:start w:val="1"/>
      <w:numFmt w:val="lowerRoman"/>
      <w:lvlText w:val="(%2)"/>
      <w:lvlJc w:val="left"/>
      <w:pPr>
        <w:tabs>
          <w:tab w:val="num" w:pos="284"/>
        </w:tabs>
        <w:ind w:left="567" w:hanging="283"/>
      </w:pPr>
      <w:rPr>
        <w:rFonts w:hint="default"/>
      </w:rPr>
    </w:lvl>
    <w:lvl w:ilvl="2" w:tplc="5C8CE0D2">
      <w:start w:val="1"/>
      <w:numFmt w:val="none"/>
      <w:lvlRestart w:val="0"/>
      <w:lvlText w:val=""/>
      <w:lvlJc w:val="left"/>
      <w:pPr>
        <w:ind w:left="0" w:firstLine="0"/>
      </w:pPr>
      <w:rPr>
        <w:rFonts w:hint="default"/>
      </w:rPr>
    </w:lvl>
    <w:lvl w:ilvl="3" w:tplc="547A2254">
      <w:start w:val="1"/>
      <w:numFmt w:val="none"/>
      <w:lvlRestart w:val="0"/>
      <w:lvlText w:val=""/>
      <w:lvlJc w:val="left"/>
      <w:pPr>
        <w:ind w:left="0" w:firstLine="0"/>
      </w:pPr>
      <w:rPr>
        <w:rFonts w:hint="default"/>
      </w:rPr>
    </w:lvl>
    <w:lvl w:ilvl="4" w:tplc="4C500C88">
      <w:start w:val="1"/>
      <w:numFmt w:val="none"/>
      <w:lvlRestart w:val="0"/>
      <w:lvlText w:val=""/>
      <w:lvlJc w:val="left"/>
      <w:pPr>
        <w:ind w:left="0" w:firstLine="0"/>
      </w:pPr>
      <w:rPr>
        <w:rFonts w:hint="default"/>
      </w:rPr>
    </w:lvl>
    <w:lvl w:ilvl="5" w:tplc="3AD8F842">
      <w:start w:val="1"/>
      <w:numFmt w:val="none"/>
      <w:lvlRestart w:val="0"/>
      <w:lvlText w:val=""/>
      <w:lvlJc w:val="left"/>
      <w:pPr>
        <w:ind w:left="0" w:firstLine="0"/>
      </w:pPr>
      <w:rPr>
        <w:rFonts w:hint="default"/>
      </w:rPr>
    </w:lvl>
    <w:lvl w:ilvl="6" w:tplc="85769454">
      <w:start w:val="1"/>
      <w:numFmt w:val="none"/>
      <w:lvlRestart w:val="0"/>
      <w:lvlText w:val=""/>
      <w:lvlJc w:val="left"/>
      <w:pPr>
        <w:ind w:left="0" w:firstLine="0"/>
      </w:pPr>
      <w:rPr>
        <w:rFonts w:hint="default"/>
      </w:rPr>
    </w:lvl>
    <w:lvl w:ilvl="7" w:tplc="E286C0C0">
      <w:start w:val="1"/>
      <w:numFmt w:val="none"/>
      <w:lvlRestart w:val="0"/>
      <w:lvlText w:val=""/>
      <w:lvlJc w:val="left"/>
      <w:pPr>
        <w:ind w:left="0" w:firstLine="0"/>
      </w:pPr>
      <w:rPr>
        <w:rFonts w:hint="default"/>
      </w:rPr>
    </w:lvl>
    <w:lvl w:ilvl="8" w:tplc="FBD49DBA">
      <w:start w:val="1"/>
      <w:numFmt w:val="none"/>
      <w:lvlRestart w:val="0"/>
      <w:lvlText w:val=""/>
      <w:lvlJc w:val="left"/>
      <w:pPr>
        <w:ind w:left="0" w:firstLine="0"/>
      </w:pPr>
      <w:rPr>
        <w:rFonts w:hint="default"/>
      </w:rPr>
    </w:lvl>
  </w:abstractNum>
  <w:abstractNum w:abstractNumId="11" w15:restartNumberingAfterBreak="0">
    <w:nsid w:val="2B8D71AB"/>
    <w:multiLevelType w:val="multilevel"/>
    <w:tmpl w:val="66ECE93E"/>
    <w:styleLink w:val="LowerAlphaat5mm"/>
    <w:lvl w:ilvl="0">
      <w:start w:val="1"/>
      <w:numFmt w:val="lowerLetter"/>
      <w:lvlText w:val="%1)"/>
      <w:lvlJc w:val="left"/>
      <w:pPr>
        <w:ind w:left="567" w:hanging="283"/>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2" w15:restartNumberingAfterBreak="0">
    <w:nsid w:val="2D014732"/>
    <w:multiLevelType w:val="multilevel"/>
    <w:tmpl w:val="750CE986"/>
    <w:styleLink w:val="ZZTablefootnotealpha"/>
    <w:lvl w:ilvl="0">
      <w:start w:val="1"/>
      <w:numFmt w:val="lowerLetter"/>
      <w:pStyle w:val="ARtablefootnotealpha"/>
      <w:lvlText w:val="(%1)"/>
      <w:lvlJc w:val="left"/>
      <w:pPr>
        <w:tabs>
          <w:tab w:val="num" w:pos="340"/>
        </w:tabs>
        <w:ind w:left="340" w:hanging="340"/>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3" w15:restartNumberingAfterBreak="0">
    <w:nsid w:val="2DD61DFD"/>
    <w:multiLevelType w:val="hybridMultilevel"/>
    <w:tmpl w:val="1690CFFE"/>
    <w:lvl w:ilvl="0" w:tplc="111CC6B4">
      <w:start w:val="9"/>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E9C4B35"/>
    <w:multiLevelType w:val="hybridMultilevel"/>
    <w:tmpl w:val="413033FA"/>
    <w:lvl w:ilvl="0" w:tplc="2A1E4A8C">
      <w:start w:val="1"/>
      <w:numFmt w:val="bullet"/>
      <w:pStyle w:val="ARtablefootnot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940CD5"/>
    <w:multiLevelType w:val="hybridMultilevel"/>
    <w:tmpl w:val="A61C06F4"/>
    <w:styleLink w:val="Bullet"/>
    <w:lvl w:ilvl="0" w:tplc="A4C6D510">
      <w:start w:val="1"/>
      <w:numFmt w:val="bullet"/>
      <w:lvlText w:val=""/>
      <w:lvlJc w:val="left"/>
      <w:pPr>
        <w:ind w:left="284" w:hanging="284"/>
      </w:pPr>
      <w:rPr>
        <w:rFonts w:ascii="Symbol" w:hAnsi="Symbol" w:hint="default"/>
      </w:rPr>
    </w:lvl>
    <w:lvl w:ilvl="1" w:tplc="5352000A">
      <w:start w:val="1"/>
      <w:numFmt w:val="bullet"/>
      <w:lvlText w:val="–"/>
      <w:lvlJc w:val="left"/>
      <w:pPr>
        <w:ind w:left="568" w:hanging="284"/>
      </w:pPr>
      <w:rPr>
        <w:rFonts w:ascii="Arial" w:hAnsi="Arial" w:hint="default"/>
      </w:rPr>
    </w:lvl>
    <w:lvl w:ilvl="2" w:tplc="C6EE2648">
      <w:start w:val="1"/>
      <w:numFmt w:val="bullet"/>
      <w:lvlText w:val=""/>
      <w:lvlJc w:val="left"/>
      <w:pPr>
        <w:ind w:left="852" w:hanging="284"/>
      </w:pPr>
      <w:rPr>
        <w:rFonts w:ascii="Symbol" w:hAnsi="Symbol" w:hint="default"/>
      </w:rPr>
    </w:lvl>
    <w:lvl w:ilvl="3" w:tplc="FC32991C">
      <w:start w:val="1"/>
      <w:numFmt w:val="decimal"/>
      <w:lvlText w:val="(%4)"/>
      <w:lvlJc w:val="left"/>
      <w:pPr>
        <w:ind w:left="1136" w:hanging="284"/>
      </w:pPr>
      <w:rPr>
        <w:rFonts w:hint="default"/>
      </w:rPr>
    </w:lvl>
    <w:lvl w:ilvl="4" w:tplc="5E12383C">
      <w:start w:val="1"/>
      <w:numFmt w:val="lowerLetter"/>
      <w:lvlText w:val="(%5)"/>
      <w:lvlJc w:val="left"/>
      <w:pPr>
        <w:ind w:left="1420" w:hanging="284"/>
      </w:pPr>
      <w:rPr>
        <w:rFonts w:hint="default"/>
      </w:rPr>
    </w:lvl>
    <w:lvl w:ilvl="5" w:tplc="B98E004C">
      <w:start w:val="1"/>
      <w:numFmt w:val="lowerRoman"/>
      <w:lvlText w:val="(%6)"/>
      <w:lvlJc w:val="left"/>
      <w:pPr>
        <w:ind w:left="1704" w:hanging="284"/>
      </w:pPr>
      <w:rPr>
        <w:rFonts w:hint="default"/>
      </w:rPr>
    </w:lvl>
    <w:lvl w:ilvl="6" w:tplc="DEC6F32C">
      <w:start w:val="1"/>
      <w:numFmt w:val="decimal"/>
      <w:lvlText w:val="%7."/>
      <w:lvlJc w:val="left"/>
      <w:pPr>
        <w:ind w:left="1988" w:hanging="284"/>
      </w:pPr>
      <w:rPr>
        <w:rFonts w:hint="default"/>
      </w:rPr>
    </w:lvl>
    <w:lvl w:ilvl="7" w:tplc="A726EF9C">
      <w:start w:val="1"/>
      <w:numFmt w:val="lowerLetter"/>
      <w:lvlText w:val="%8."/>
      <w:lvlJc w:val="left"/>
      <w:pPr>
        <w:ind w:left="2272" w:hanging="284"/>
      </w:pPr>
      <w:rPr>
        <w:rFonts w:hint="default"/>
      </w:rPr>
    </w:lvl>
    <w:lvl w:ilvl="8" w:tplc="E2289AE8">
      <w:start w:val="1"/>
      <w:numFmt w:val="lowerRoman"/>
      <w:lvlText w:val="%9."/>
      <w:lvlJc w:val="left"/>
      <w:pPr>
        <w:ind w:left="2556" w:hanging="284"/>
      </w:pPr>
      <w:rPr>
        <w:rFonts w:hint="default"/>
      </w:rPr>
    </w:lvl>
  </w:abstractNum>
  <w:abstractNum w:abstractNumId="16" w15:restartNumberingAfterBreak="0">
    <w:nsid w:val="34432F2B"/>
    <w:multiLevelType w:val="hybridMultilevel"/>
    <w:tmpl w:val="85BE5314"/>
    <w:styleLink w:val="Bullets2and3"/>
    <w:lvl w:ilvl="0" w:tplc="C61EE6BC">
      <w:start w:val="1"/>
      <w:numFmt w:val="bullet"/>
      <w:lvlText w:val="–"/>
      <w:lvlJc w:val="left"/>
      <w:pPr>
        <w:tabs>
          <w:tab w:val="num" w:pos="567"/>
        </w:tabs>
        <w:ind w:left="567" w:hanging="283"/>
      </w:pPr>
      <w:rPr>
        <w:rFonts w:ascii="font583" w:hAnsi="font583" w:hint="default"/>
      </w:rPr>
    </w:lvl>
    <w:lvl w:ilvl="1" w:tplc="362EFEE6">
      <w:start w:val="1"/>
      <w:numFmt w:val="bullet"/>
      <w:lvlRestart w:val="0"/>
      <w:lvlText w:val="–"/>
      <w:lvlJc w:val="left"/>
      <w:pPr>
        <w:ind w:left="567" w:hanging="283"/>
      </w:pPr>
      <w:rPr>
        <w:rFonts w:hint="default"/>
      </w:rPr>
    </w:lvl>
    <w:lvl w:ilvl="2" w:tplc="5900AC04">
      <w:start w:val="1"/>
      <w:numFmt w:val="bullet"/>
      <w:lvlRestart w:val="0"/>
      <w:lvlText w:val="&gt;"/>
      <w:lvlJc w:val="left"/>
      <w:pPr>
        <w:tabs>
          <w:tab w:val="num" w:pos="851"/>
        </w:tabs>
        <w:ind w:left="851" w:hanging="284"/>
      </w:pPr>
      <w:rPr>
        <w:rFonts w:ascii="Times New Roman" w:hAnsi="Times New Roman" w:cs="Times New Roman" w:hint="default"/>
      </w:rPr>
    </w:lvl>
    <w:lvl w:ilvl="3" w:tplc="8F94A0D8">
      <w:start w:val="1"/>
      <w:numFmt w:val="bullet"/>
      <w:lvlRestart w:val="0"/>
      <w:lvlText w:val="&gt;"/>
      <w:lvlJc w:val="left"/>
      <w:pPr>
        <w:tabs>
          <w:tab w:val="num" w:pos="851"/>
        </w:tabs>
        <w:ind w:left="851" w:hanging="284"/>
      </w:pPr>
      <w:rPr>
        <w:rFonts w:ascii="Times New Roman" w:hAnsi="Times New Roman" w:cs="Times New Roman" w:hint="default"/>
      </w:rPr>
    </w:lvl>
    <w:lvl w:ilvl="4" w:tplc="F46EA0FA">
      <w:start w:val="1"/>
      <w:numFmt w:val="none"/>
      <w:lvlRestart w:val="0"/>
      <w:lvlText w:val=""/>
      <w:lvlJc w:val="left"/>
      <w:pPr>
        <w:ind w:left="1800" w:hanging="360"/>
      </w:pPr>
      <w:rPr>
        <w:rFonts w:hint="default"/>
      </w:rPr>
    </w:lvl>
    <w:lvl w:ilvl="5" w:tplc="414A0AB0">
      <w:start w:val="1"/>
      <w:numFmt w:val="none"/>
      <w:lvlText w:val=""/>
      <w:lvlJc w:val="left"/>
      <w:pPr>
        <w:ind w:left="2160" w:hanging="360"/>
      </w:pPr>
      <w:rPr>
        <w:rFonts w:hint="default"/>
      </w:rPr>
    </w:lvl>
    <w:lvl w:ilvl="6" w:tplc="6BF869A2">
      <w:start w:val="1"/>
      <w:numFmt w:val="none"/>
      <w:lvlText w:val=""/>
      <w:lvlJc w:val="left"/>
      <w:pPr>
        <w:ind w:left="2520" w:hanging="360"/>
      </w:pPr>
      <w:rPr>
        <w:rFonts w:hint="default"/>
      </w:rPr>
    </w:lvl>
    <w:lvl w:ilvl="7" w:tplc="FF54F838">
      <w:start w:val="1"/>
      <w:numFmt w:val="none"/>
      <w:lvlText w:val=""/>
      <w:lvlJc w:val="left"/>
      <w:pPr>
        <w:ind w:left="2880" w:hanging="360"/>
      </w:pPr>
      <w:rPr>
        <w:rFonts w:hint="default"/>
      </w:rPr>
    </w:lvl>
    <w:lvl w:ilvl="8" w:tplc="213681D8">
      <w:start w:val="1"/>
      <w:numFmt w:val="none"/>
      <w:lvlText w:val=""/>
      <w:lvlJc w:val="left"/>
      <w:pPr>
        <w:ind w:left="3240" w:hanging="360"/>
      </w:pPr>
      <w:rPr>
        <w:rFonts w:hint="default"/>
      </w:rPr>
    </w:lvl>
  </w:abstractNum>
  <w:abstractNum w:abstractNumId="17" w15:restartNumberingAfterBreak="0">
    <w:nsid w:val="3CE84DF4"/>
    <w:multiLevelType w:val="hybridMultilevel"/>
    <w:tmpl w:val="088668C0"/>
    <w:styleLink w:val="ARnumberedparas"/>
    <w:lvl w:ilvl="0" w:tplc="BEF8B0D6">
      <w:start w:val="1"/>
      <w:numFmt w:val="lowerLetter"/>
      <w:lvlText w:val="(%1)"/>
      <w:lvlJc w:val="left"/>
      <w:pPr>
        <w:tabs>
          <w:tab w:val="num" w:pos="397"/>
        </w:tabs>
        <w:ind w:left="397" w:hanging="397"/>
      </w:pPr>
      <w:rPr>
        <w:rFonts w:cs="Times New Roman" w:hint="default"/>
      </w:rPr>
    </w:lvl>
    <w:lvl w:ilvl="1" w:tplc="95649E28">
      <w:start w:val="1"/>
      <w:numFmt w:val="lowerLetter"/>
      <w:lvlRestart w:val="0"/>
      <w:lvlText w:val="(%2)"/>
      <w:lvlJc w:val="left"/>
      <w:pPr>
        <w:tabs>
          <w:tab w:val="num" w:pos="680"/>
        </w:tabs>
        <w:ind w:left="680" w:hanging="396"/>
      </w:pPr>
      <w:rPr>
        <w:rFonts w:cs="Times New Roman" w:hint="default"/>
      </w:rPr>
    </w:lvl>
    <w:lvl w:ilvl="2" w:tplc="16704DEC">
      <w:start w:val="1"/>
      <w:numFmt w:val="lowerRoman"/>
      <w:lvlRestart w:val="0"/>
      <w:lvlText w:val="(%3)"/>
      <w:lvlJc w:val="left"/>
      <w:pPr>
        <w:tabs>
          <w:tab w:val="num" w:pos="794"/>
        </w:tabs>
        <w:ind w:left="794" w:hanging="397"/>
      </w:pPr>
      <w:rPr>
        <w:rFonts w:cs="Times New Roman" w:hint="default"/>
      </w:rPr>
    </w:lvl>
    <w:lvl w:ilvl="3" w:tplc="AE940E46">
      <w:start w:val="1"/>
      <w:numFmt w:val="bullet"/>
      <w:lvlText w:val=""/>
      <w:lvlJc w:val="left"/>
      <w:pPr>
        <w:tabs>
          <w:tab w:val="num" w:pos="2880"/>
        </w:tabs>
        <w:ind w:left="2880" w:hanging="360"/>
      </w:pPr>
      <w:rPr>
        <w:rFonts w:ascii="Symbol" w:hAnsi="Symbol" w:hint="default"/>
      </w:rPr>
    </w:lvl>
    <w:lvl w:ilvl="4" w:tplc="FCF6EC3A">
      <w:start w:val="1"/>
      <w:numFmt w:val="bullet"/>
      <w:lvlText w:val="o"/>
      <w:lvlJc w:val="left"/>
      <w:pPr>
        <w:tabs>
          <w:tab w:val="num" w:pos="3600"/>
        </w:tabs>
        <w:ind w:left="3600" w:hanging="360"/>
      </w:pPr>
      <w:rPr>
        <w:rFonts w:ascii="Courier New" w:hAnsi="Courier New" w:hint="default"/>
      </w:rPr>
    </w:lvl>
    <w:lvl w:ilvl="5" w:tplc="22707CF6">
      <w:start w:val="1"/>
      <w:numFmt w:val="bullet"/>
      <w:lvlText w:val=""/>
      <w:lvlJc w:val="left"/>
      <w:pPr>
        <w:tabs>
          <w:tab w:val="num" w:pos="4320"/>
        </w:tabs>
        <w:ind w:left="4320" w:hanging="360"/>
      </w:pPr>
      <w:rPr>
        <w:rFonts w:ascii="Wingdings" w:hAnsi="Wingdings" w:hint="default"/>
      </w:rPr>
    </w:lvl>
    <w:lvl w:ilvl="6" w:tplc="5F942530">
      <w:start w:val="1"/>
      <w:numFmt w:val="bullet"/>
      <w:lvlText w:val=""/>
      <w:lvlJc w:val="left"/>
      <w:pPr>
        <w:tabs>
          <w:tab w:val="num" w:pos="5040"/>
        </w:tabs>
        <w:ind w:left="5040" w:hanging="360"/>
      </w:pPr>
      <w:rPr>
        <w:rFonts w:ascii="Symbol" w:hAnsi="Symbol" w:hint="default"/>
      </w:rPr>
    </w:lvl>
    <w:lvl w:ilvl="7" w:tplc="F0F46D92">
      <w:start w:val="1"/>
      <w:numFmt w:val="bullet"/>
      <w:lvlText w:val="o"/>
      <w:lvlJc w:val="left"/>
      <w:pPr>
        <w:tabs>
          <w:tab w:val="num" w:pos="5760"/>
        </w:tabs>
        <w:ind w:left="5760" w:hanging="360"/>
      </w:pPr>
      <w:rPr>
        <w:rFonts w:ascii="Courier New" w:hAnsi="Courier New" w:hint="default"/>
      </w:rPr>
    </w:lvl>
    <w:lvl w:ilvl="8" w:tplc="DC94D42C">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6C68D4"/>
    <w:multiLevelType w:val="multilevel"/>
    <w:tmpl w:val="54C0C6D0"/>
    <w:styleLink w:val="ZZNumbersdigit"/>
    <w:lvl w:ilvl="0">
      <w:start w:val="1"/>
      <w:numFmt w:val="decimal"/>
      <w:pStyle w:val="ARnumberdigit"/>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color w:val="auto"/>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9" w15:restartNumberingAfterBreak="0">
    <w:nsid w:val="42340BA2"/>
    <w:multiLevelType w:val="hybridMultilevel"/>
    <w:tmpl w:val="F4FA9BEE"/>
    <w:styleLink w:val="Numbersinfintables"/>
    <w:lvl w:ilvl="0" w:tplc="46140342">
      <w:start w:val="1"/>
      <w:numFmt w:val="lowerLetter"/>
      <w:lvlText w:val="(%1)"/>
      <w:lvlJc w:val="left"/>
      <w:pPr>
        <w:ind w:left="340" w:hanging="340"/>
      </w:pPr>
      <w:rPr>
        <w:rFonts w:hint="default"/>
      </w:rPr>
    </w:lvl>
    <w:lvl w:ilvl="1" w:tplc="7740452A">
      <w:start w:val="1"/>
      <w:numFmt w:val="bullet"/>
      <w:lvlRestart w:val="0"/>
      <w:lvlText w:val="–"/>
      <w:lvlJc w:val="left"/>
      <w:pPr>
        <w:ind w:left="567" w:hanging="227"/>
      </w:pPr>
      <w:rPr>
        <w:rFonts w:ascii="Calibri" w:hAnsi="Calibri" w:hint="default"/>
        <w:color w:val="412F5A"/>
      </w:rPr>
    </w:lvl>
    <w:lvl w:ilvl="2" w:tplc="E71EEB0E">
      <w:start w:val="1"/>
      <w:numFmt w:val="lowerRoman"/>
      <w:lvlText w:val="%3)"/>
      <w:lvlJc w:val="left"/>
      <w:pPr>
        <w:ind w:left="1080" w:hanging="360"/>
      </w:pPr>
      <w:rPr>
        <w:rFonts w:hint="default"/>
      </w:rPr>
    </w:lvl>
    <w:lvl w:ilvl="3" w:tplc="F912E712">
      <w:start w:val="1"/>
      <w:numFmt w:val="decimal"/>
      <w:lvlText w:val="(%4)"/>
      <w:lvlJc w:val="left"/>
      <w:pPr>
        <w:ind w:left="1440" w:hanging="360"/>
      </w:pPr>
      <w:rPr>
        <w:rFonts w:hint="default"/>
      </w:rPr>
    </w:lvl>
    <w:lvl w:ilvl="4" w:tplc="620E3036">
      <w:start w:val="1"/>
      <w:numFmt w:val="lowerLetter"/>
      <w:lvlText w:val="(%5)"/>
      <w:lvlJc w:val="left"/>
      <w:pPr>
        <w:ind w:left="1800" w:hanging="360"/>
      </w:pPr>
      <w:rPr>
        <w:rFonts w:hint="default"/>
      </w:rPr>
    </w:lvl>
    <w:lvl w:ilvl="5" w:tplc="FEACBF7E">
      <w:start w:val="1"/>
      <w:numFmt w:val="lowerRoman"/>
      <w:lvlText w:val="(%6)"/>
      <w:lvlJc w:val="left"/>
      <w:pPr>
        <w:ind w:left="2160" w:hanging="360"/>
      </w:pPr>
      <w:rPr>
        <w:rFonts w:hint="default"/>
      </w:rPr>
    </w:lvl>
    <w:lvl w:ilvl="6" w:tplc="C7D0F32E">
      <w:start w:val="1"/>
      <w:numFmt w:val="decimal"/>
      <w:lvlText w:val="%7."/>
      <w:lvlJc w:val="left"/>
      <w:pPr>
        <w:ind w:left="2520" w:hanging="360"/>
      </w:pPr>
      <w:rPr>
        <w:rFonts w:hint="default"/>
      </w:rPr>
    </w:lvl>
    <w:lvl w:ilvl="7" w:tplc="BBECD94A">
      <w:start w:val="1"/>
      <w:numFmt w:val="lowerLetter"/>
      <w:lvlText w:val="%8."/>
      <w:lvlJc w:val="left"/>
      <w:pPr>
        <w:ind w:left="2880" w:hanging="360"/>
      </w:pPr>
      <w:rPr>
        <w:rFonts w:hint="default"/>
      </w:rPr>
    </w:lvl>
    <w:lvl w:ilvl="8" w:tplc="97FE754C">
      <w:start w:val="1"/>
      <w:numFmt w:val="lowerRoman"/>
      <w:lvlText w:val="%9."/>
      <w:lvlJc w:val="left"/>
      <w:pPr>
        <w:ind w:left="3240" w:hanging="360"/>
      </w:pPr>
      <w:rPr>
        <w:rFonts w:hint="default"/>
      </w:rPr>
    </w:lvl>
  </w:abstractNum>
  <w:abstractNum w:abstractNumId="20" w15:restartNumberingAfterBreak="0">
    <w:nsid w:val="49297D16"/>
    <w:multiLevelType w:val="multilevel"/>
    <w:tmpl w:val="047C7336"/>
    <w:styleLink w:val="ZZIntrobullets"/>
    <w:lvl w:ilvl="0">
      <w:start w:val="1"/>
      <w:numFmt w:val="bullet"/>
      <w:pStyle w:val="ARintrobullet"/>
      <w:lvlText w:val="&gt;"/>
      <w:lvlJc w:val="left"/>
      <w:pPr>
        <w:ind w:left="284" w:hanging="284"/>
      </w:pPr>
      <w:rPr>
        <w:rFonts w:ascii="Calibri" w:hAnsi="Calibri" w:hint="default"/>
        <w:color w:val="0072CE"/>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4ABD071E"/>
    <w:multiLevelType w:val="hybridMultilevel"/>
    <w:tmpl w:val="E1D2CA48"/>
    <w:styleLink w:val="LowerAlphaat0mm"/>
    <w:lvl w:ilvl="0" w:tplc="104ED7A4">
      <w:start w:val="1"/>
      <w:numFmt w:val="lowerLetter"/>
      <w:lvlText w:val="(%1)"/>
      <w:lvlJc w:val="left"/>
      <w:pPr>
        <w:ind w:left="397" w:hanging="397"/>
      </w:pPr>
      <w:rPr>
        <w:rFonts w:hint="default"/>
      </w:rPr>
    </w:lvl>
    <w:lvl w:ilvl="1" w:tplc="46A23BD4">
      <w:start w:val="1"/>
      <w:numFmt w:val="lowerLetter"/>
      <w:lvlText w:val="%2)"/>
      <w:lvlJc w:val="left"/>
      <w:pPr>
        <w:ind w:left="720" w:hanging="360"/>
      </w:pPr>
      <w:rPr>
        <w:rFonts w:hint="default"/>
      </w:rPr>
    </w:lvl>
    <w:lvl w:ilvl="2" w:tplc="9196A81C">
      <w:start w:val="1"/>
      <w:numFmt w:val="lowerRoman"/>
      <w:lvlText w:val="%3)"/>
      <w:lvlJc w:val="left"/>
      <w:pPr>
        <w:ind w:left="1080" w:hanging="360"/>
      </w:pPr>
      <w:rPr>
        <w:rFonts w:hint="default"/>
      </w:rPr>
    </w:lvl>
    <w:lvl w:ilvl="3" w:tplc="E9B8FAE6">
      <w:start w:val="1"/>
      <w:numFmt w:val="decimal"/>
      <w:lvlText w:val="(%4)"/>
      <w:lvlJc w:val="left"/>
      <w:pPr>
        <w:ind w:left="1440" w:hanging="360"/>
      </w:pPr>
      <w:rPr>
        <w:rFonts w:hint="default"/>
      </w:rPr>
    </w:lvl>
    <w:lvl w:ilvl="4" w:tplc="16C4E456">
      <w:start w:val="1"/>
      <w:numFmt w:val="lowerLetter"/>
      <w:lvlText w:val="(%5)"/>
      <w:lvlJc w:val="left"/>
      <w:pPr>
        <w:ind w:left="1800" w:hanging="360"/>
      </w:pPr>
      <w:rPr>
        <w:rFonts w:hint="default"/>
      </w:rPr>
    </w:lvl>
    <w:lvl w:ilvl="5" w:tplc="540EFBC0">
      <w:start w:val="1"/>
      <w:numFmt w:val="lowerRoman"/>
      <w:lvlText w:val="(%6)"/>
      <w:lvlJc w:val="left"/>
      <w:pPr>
        <w:ind w:left="2160" w:hanging="360"/>
      </w:pPr>
      <w:rPr>
        <w:rFonts w:hint="default"/>
      </w:rPr>
    </w:lvl>
    <w:lvl w:ilvl="6" w:tplc="BDC0ED00">
      <w:start w:val="1"/>
      <w:numFmt w:val="decimal"/>
      <w:lvlText w:val="%7."/>
      <w:lvlJc w:val="left"/>
      <w:pPr>
        <w:ind w:left="2520" w:hanging="360"/>
      </w:pPr>
      <w:rPr>
        <w:rFonts w:hint="default"/>
      </w:rPr>
    </w:lvl>
    <w:lvl w:ilvl="7" w:tplc="D376044E">
      <w:start w:val="1"/>
      <w:numFmt w:val="lowerLetter"/>
      <w:lvlText w:val="%8."/>
      <w:lvlJc w:val="left"/>
      <w:pPr>
        <w:ind w:left="2880" w:hanging="360"/>
      </w:pPr>
      <w:rPr>
        <w:rFonts w:hint="default"/>
      </w:rPr>
    </w:lvl>
    <w:lvl w:ilvl="8" w:tplc="6B38B166">
      <w:start w:val="1"/>
      <w:numFmt w:val="lowerRoman"/>
      <w:lvlText w:val="%9."/>
      <w:lvlJc w:val="left"/>
      <w:pPr>
        <w:ind w:left="3240" w:hanging="360"/>
      </w:pPr>
      <w:rPr>
        <w:rFonts w:hint="default"/>
      </w:rPr>
    </w:lvl>
  </w:abstractNum>
  <w:abstractNum w:abstractNumId="22" w15:restartNumberingAfterBreak="0">
    <w:nsid w:val="4F2C0A9D"/>
    <w:multiLevelType w:val="multilevel"/>
    <w:tmpl w:val="A5C62AEA"/>
    <w:styleLink w:val="ZZBullets"/>
    <w:lvl w:ilvl="0">
      <w:start w:val="1"/>
      <w:numFmt w:val="bullet"/>
      <w:pStyle w:val="ARbullet1"/>
      <w:lvlText w:val="&gt;"/>
      <w:lvlJc w:val="left"/>
      <w:pPr>
        <w:ind w:left="284" w:hanging="284"/>
      </w:pPr>
      <w:rPr>
        <w:rFonts w:ascii="Arial" w:hAnsi="Arial" w:hint="default"/>
        <w:color w:val="0072CE"/>
      </w:rPr>
    </w:lvl>
    <w:lvl w:ilvl="1">
      <w:start w:val="1"/>
      <w:numFmt w:val="bullet"/>
      <w:lvlRestart w:val="0"/>
      <w:pStyle w:val="ARbullet2"/>
      <w:lvlText w:val="–"/>
      <w:lvlJc w:val="left"/>
      <w:pPr>
        <w:ind w:left="567" w:hanging="283"/>
      </w:pPr>
      <w:rPr>
        <w:rFonts w:ascii="Calibri" w:hAnsi="Calibri" w:hint="default"/>
        <w:color w:val="auto"/>
      </w:rPr>
    </w:lvl>
    <w:lvl w:ilvl="2">
      <w:start w:val="1"/>
      <w:numFmt w:val="bullet"/>
      <w:lvlRestart w:val="0"/>
      <w:pStyle w:val="ARbullet3"/>
      <w:lvlText w:val="▪"/>
      <w:lvlJc w:val="left"/>
      <w:pPr>
        <w:ind w:left="851" w:hanging="284"/>
      </w:pPr>
      <w:rPr>
        <w:rFonts w:ascii="Calibri" w:hAnsi="Calibri" w:hint="default"/>
        <w:color w:val="auto"/>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51364E9D"/>
    <w:multiLevelType w:val="multilevel"/>
    <w:tmpl w:val="BE28AC4C"/>
    <w:styleLink w:val="ZZTablefootnotenumbers"/>
    <w:lvl w:ilvl="0">
      <w:start w:val="1"/>
      <w:numFmt w:val="decimal"/>
      <w:pStyle w:val="ARtablefootnotenumbered"/>
      <w:lvlText w:val="%1."/>
      <w:lvlJc w:val="left"/>
      <w:pPr>
        <w:tabs>
          <w:tab w:val="num" w:pos="284"/>
        </w:tabs>
        <w:ind w:left="284" w:hanging="284"/>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563E3FED"/>
    <w:multiLevelType w:val="hybridMultilevel"/>
    <w:tmpl w:val="5FFEF1BA"/>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25" w15:restartNumberingAfterBreak="0">
    <w:nsid w:val="57CC003D"/>
    <w:multiLevelType w:val="multilevel"/>
    <w:tmpl w:val="972A8B88"/>
    <w:styleLink w:val="ZZFintablebullets"/>
    <w:lvl w:ilvl="0">
      <w:start w:val="1"/>
      <w:numFmt w:val="bullet"/>
      <w:lvlText w:val="•"/>
      <w:lvlJc w:val="left"/>
      <w:pPr>
        <w:ind w:left="170" w:hanging="170"/>
      </w:pPr>
      <w:rPr>
        <w:rFonts w:ascii="Calibri" w:hAnsi="Calibri"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585F6A5F"/>
    <w:multiLevelType w:val="multilevel"/>
    <w:tmpl w:val="87624286"/>
    <w:styleLink w:val="CurrentList1"/>
    <w:lvl w:ilvl="0">
      <w:start w:val="1"/>
      <w:numFmt w:val="decimal"/>
      <w:lvlText w:val="Note %1: "/>
      <w:lvlJc w:val="left"/>
      <w:pPr>
        <w:tabs>
          <w:tab w:val="num" w:pos="992"/>
        </w:tabs>
        <w:ind w:left="992" w:hanging="99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lvlText w:val="Note %1%2: "/>
      <w:lvlJc w:val="left"/>
      <w:pPr>
        <w:tabs>
          <w:tab w:val="num" w:pos="1532"/>
        </w:tabs>
        <w:ind w:left="1532" w:hanging="992"/>
      </w:pPr>
      <w:rPr>
        <w:rFonts w:ascii="Times New Roman" w:hAnsi="Times New Roman" w:cs="Times New Roman" w:hint="default"/>
        <w:b/>
        <w:i w:val="0"/>
        <w:color w:val="auto"/>
        <w:sz w:val="20"/>
        <w:szCs w:val="20"/>
        <w:u w:val="non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7" w15:restartNumberingAfterBreak="0">
    <w:nsid w:val="60D64042"/>
    <w:multiLevelType w:val="hybridMultilevel"/>
    <w:tmpl w:val="690C6F7E"/>
    <w:styleLink w:val="Bullets"/>
    <w:lvl w:ilvl="0" w:tplc="E8EADD5E">
      <w:start w:val="1"/>
      <w:numFmt w:val="bullet"/>
      <w:lvlText w:val="&gt;"/>
      <w:lvlJc w:val="left"/>
      <w:pPr>
        <w:ind w:left="284" w:hanging="284"/>
      </w:pPr>
      <w:rPr>
        <w:rFonts w:ascii="Calibri" w:hAnsi="Calibri" w:hint="default"/>
        <w:b/>
        <w:i w:val="0"/>
        <w:color w:val="87189D"/>
      </w:rPr>
    </w:lvl>
    <w:lvl w:ilvl="1" w:tplc="F0AA2D78">
      <w:start w:val="1"/>
      <w:numFmt w:val="bullet"/>
      <w:lvlText w:val="&gt;"/>
      <w:lvlJc w:val="left"/>
      <w:pPr>
        <w:ind w:left="284" w:hanging="284"/>
      </w:pPr>
      <w:rPr>
        <w:rFonts w:ascii="Calibri" w:hAnsi="Calibri" w:hint="default"/>
        <w:b/>
        <w:i w:val="0"/>
        <w:color w:val="87189D"/>
      </w:rPr>
    </w:lvl>
    <w:lvl w:ilvl="2" w:tplc="9D926542">
      <w:start w:val="1"/>
      <w:numFmt w:val="bullet"/>
      <w:lvlText w:val="–"/>
      <w:lvlJc w:val="left"/>
      <w:pPr>
        <w:ind w:left="567" w:hanging="283"/>
      </w:pPr>
      <w:rPr>
        <w:rFonts w:ascii="Calibri" w:hAnsi="Calibri" w:hint="default"/>
      </w:rPr>
    </w:lvl>
    <w:lvl w:ilvl="3" w:tplc="2F10CA60">
      <w:start w:val="1"/>
      <w:numFmt w:val="bullet"/>
      <w:lvlText w:val="–"/>
      <w:lvlJc w:val="left"/>
      <w:pPr>
        <w:ind w:left="567" w:hanging="283"/>
      </w:pPr>
      <w:rPr>
        <w:rFonts w:ascii="Calibri" w:hAnsi="Calibri" w:hint="default"/>
      </w:rPr>
    </w:lvl>
    <w:lvl w:ilvl="4" w:tplc="7DEC69AA">
      <w:start w:val="1"/>
      <w:numFmt w:val="bullet"/>
      <w:lvlText w:val="•"/>
      <w:lvlJc w:val="left"/>
      <w:pPr>
        <w:ind w:left="227" w:hanging="227"/>
      </w:pPr>
      <w:rPr>
        <w:rFonts w:ascii="Calibri" w:hAnsi="Calibri" w:hint="default"/>
      </w:rPr>
    </w:lvl>
    <w:lvl w:ilvl="5" w:tplc="FBC410DA">
      <w:start w:val="1"/>
      <w:numFmt w:val="bullet"/>
      <w:lvlText w:val="–"/>
      <w:lvlJc w:val="left"/>
      <w:pPr>
        <w:ind w:left="454" w:hanging="227"/>
      </w:pPr>
      <w:rPr>
        <w:rFonts w:ascii="Calibri" w:hAnsi="Calibri" w:hint="default"/>
        <w:color w:val="auto"/>
      </w:rPr>
    </w:lvl>
    <w:lvl w:ilvl="6" w:tplc="F8F46AB2">
      <w:start w:val="1"/>
      <w:numFmt w:val="none"/>
      <w:lvlText w:val=""/>
      <w:lvlJc w:val="left"/>
      <w:pPr>
        <w:ind w:left="0" w:firstLine="0"/>
      </w:pPr>
      <w:rPr>
        <w:rFonts w:hint="default"/>
      </w:rPr>
    </w:lvl>
    <w:lvl w:ilvl="7" w:tplc="958451D0">
      <w:start w:val="1"/>
      <w:numFmt w:val="none"/>
      <w:lvlText w:val=""/>
      <w:lvlJc w:val="left"/>
      <w:pPr>
        <w:ind w:left="0" w:firstLine="0"/>
      </w:pPr>
      <w:rPr>
        <w:rFonts w:hint="default"/>
      </w:rPr>
    </w:lvl>
    <w:lvl w:ilvl="8" w:tplc="08FC1250">
      <w:start w:val="1"/>
      <w:numFmt w:val="none"/>
      <w:lvlText w:val=""/>
      <w:lvlJc w:val="left"/>
      <w:pPr>
        <w:ind w:left="0" w:firstLine="0"/>
      </w:pPr>
      <w:rPr>
        <w:rFonts w:hint="default"/>
      </w:rPr>
    </w:lvl>
  </w:abstractNum>
  <w:abstractNum w:abstractNumId="28" w15:restartNumberingAfterBreak="0">
    <w:nsid w:val="60FF734C"/>
    <w:multiLevelType w:val="multilevel"/>
    <w:tmpl w:val="8C90015C"/>
    <w:styleLink w:val="ZZBulletstimeline"/>
    <w:lvl w:ilvl="0">
      <w:start w:val="1"/>
      <w:numFmt w:val="bullet"/>
      <w:pStyle w:val="ARbullettimeline"/>
      <w:lvlText w:val=""/>
      <w:lvlJc w:val="left"/>
      <w:pPr>
        <w:ind w:left="284" w:hanging="284"/>
      </w:pPr>
      <w:rPr>
        <w:rFonts w:ascii="Wingdings 3" w:hAnsi="Wingdings 3" w:hint="default"/>
        <w:b w:val="0"/>
        <w:i w:val="0"/>
        <w:color w:val="201547"/>
        <w:sz w:val="20"/>
        <w:szCs w:val="6"/>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6398127E"/>
    <w:multiLevelType w:val="multilevel"/>
    <w:tmpl w:val="5BB248DE"/>
    <w:styleLink w:val="ZZLoweralphainfintables"/>
    <w:lvl w:ilvl="0">
      <w:start w:val="1"/>
      <w:numFmt w:val="lowerLetter"/>
      <w:lvlText w:val="(%1)"/>
      <w:lvlJc w:val="left"/>
      <w:pPr>
        <w:ind w:left="340" w:hanging="340"/>
      </w:pPr>
      <w:rPr>
        <w:rFonts w:hint="default"/>
      </w:rPr>
    </w:lvl>
    <w:lvl w:ilvl="1">
      <w:start w:val="1"/>
      <w:numFmt w:val="none"/>
      <w:lvlRestart w:val="0"/>
      <w:lvlText w:val=""/>
      <w:lvlJc w:val="left"/>
      <w:pPr>
        <w:tabs>
          <w:tab w:val="num" w:pos="0"/>
        </w:tabs>
        <w:ind w:left="0" w:firstLine="0"/>
      </w:pPr>
      <w:rPr>
        <w:rFonts w:hint="default"/>
        <w:color w:val="412F5A"/>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69D30C50"/>
    <w:multiLevelType w:val="multilevel"/>
    <w:tmpl w:val="DCBCDAF0"/>
    <w:styleLink w:val="ZZTablenumbersalpha"/>
    <w:lvl w:ilvl="0">
      <w:start w:val="1"/>
      <w:numFmt w:val="lowerLetter"/>
      <w:pStyle w:val="ARtablenumberalpha"/>
      <w:lvlText w:val="(%1)"/>
      <w:lvlJc w:val="left"/>
      <w:pPr>
        <w:tabs>
          <w:tab w:val="num" w:pos="340"/>
        </w:tabs>
        <w:ind w:left="340" w:hanging="340"/>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32767" w:firstLine="32767"/>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72E921FA"/>
    <w:multiLevelType w:val="multilevel"/>
    <w:tmpl w:val="8D4E7CEA"/>
    <w:lvl w:ilvl="0">
      <w:start w:val="1"/>
      <w:numFmt w:val="decimal"/>
      <w:lvlText w:val="Note %1: "/>
      <w:lvlJc w:val="left"/>
      <w:pPr>
        <w:tabs>
          <w:tab w:val="num" w:pos="10491"/>
        </w:tabs>
        <w:ind w:left="10774" w:hanging="1134"/>
      </w:pPr>
      <w:rPr>
        <w:rFonts w:ascii="Arial Bold" w:hAnsi="Arial Bold" w:cs="Times New Roman" w:hint="default"/>
        <w:b/>
        <w:bCs w:val="0"/>
        <w:i w:val="0"/>
        <w:iCs w:val="0"/>
        <w:caps w:val="0"/>
        <w:smallCaps w:val="0"/>
        <w:strike w:val="0"/>
        <w:dstrike w:val="0"/>
        <w:noProof w:val="0"/>
        <w:vanish w:val="0"/>
        <w:color w:val="auto"/>
        <w:spacing w:val="0"/>
        <w:kern w:val="0"/>
        <w:position w:val="0"/>
        <w:sz w:val="20"/>
        <w:u w:val="none"/>
        <w:vertAlign w:val="baseline"/>
        <w:em w:val="none"/>
      </w:rPr>
    </w:lvl>
    <w:lvl w:ilvl="1">
      <w:start w:val="1"/>
      <w:numFmt w:val="upperLetter"/>
      <w:lvlText w:val="Note %1%2: "/>
      <w:lvlJc w:val="left"/>
      <w:pPr>
        <w:tabs>
          <w:tab w:val="num" w:pos="851"/>
        </w:tabs>
        <w:ind w:left="1532" w:hanging="1532"/>
      </w:pPr>
      <w:rPr>
        <w:rFonts w:ascii="Times New Roman" w:hAnsi="Times New Roman" w:cs="Times New Roman" w:hint="default"/>
        <w:b/>
        <w:i w:val="0"/>
        <w:color w:val="auto"/>
        <w:sz w:val="20"/>
        <w:szCs w:val="20"/>
        <w:u w:val="single"/>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i/>
        <w:sz w:val="14"/>
      </w:rPr>
    </w:lvl>
    <w:lvl w:ilvl="5">
      <w:start w:val="1"/>
      <w:numFmt w:val="lowerRoman"/>
      <w:lvlText w:val="(%6)"/>
      <w:lvlJc w:val="left"/>
      <w:pPr>
        <w:tabs>
          <w:tab w:val="num" w:pos="2912"/>
        </w:tabs>
        <w:ind w:left="2912"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2" w15:restartNumberingAfterBreak="0">
    <w:nsid w:val="77141409"/>
    <w:multiLevelType w:val="multilevel"/>
    <w:tmpl w:val="94760710"/>
    <w:lvl w:ilvl="0">
      <w:start w:val="1"/>
      <w:numFmt w:val="bullet"/>
      <w:lvlText w:val=""/>
      <w:lvlJc w:val="left"/>
      <w:pPr>
        <w:ind w:left="284" w:hanging="284"/>
      </w:pPr>
      <w:rPr>
        <w:rFonts w:ascii="Symbol" w:hAnsi="Symbol" w:hint="default"/>
      </w:rPr>
    </w:lvl>
    <w:lvl w:ilvl="1">
      <w:start w:val="1"/>
      <w:numFmt w:val="lowerRoman"/>
      <w:lvlText w:val="(%2)"/>
      <w:lvlJc w:val="left"/>
      <w:pPr>
        <w:tabs>
          <w:tab w:val="num" w:pos="284"/>
        </w:tabs>
        <w:ind w:left="567" w:hanging="283"/>
      </w:pPr>
    </w:lvl>
    <w:lvl w:ilvl="2">
      <w:start w:val="1"/>
      <w:numFmt w:val="none"/>
      <w:lvlRestart w:val="0"/>
      <w:lvlText w:val=""/>
      <w:lvlJc w:val="left"/>
      <w:pPr>
        <w:ind w:left="0" w:firstLine="0"/>
      </w:pPr>
    </w:lvl>
    <w:lvl w:ilvl="3">
      <w:start w:val="1"/>
      <w:numFmt w:val="none"/>
      <w:lvlRestart w:val="0"/>
      <w:lvlText w:val=""/>
      <w:lvlJc w:val="left"/>
      <w:pPr>
        <w:ind w:left="0" w:firstLine="0"/>
      </w:pPr>
    </w:lvl>
    <w:lvl w:ilvl="4">
      <w:start w:val="1"/>
      <w:numFmt w:val="none"/>
      <w:lvlRestart w:val="0"/>
      <w:lvlText w:val=""/>
      <w:lvlJc w:val="left"/>
      <w:pPr>
        <w:ind w:left="0" w:firstLine="0"/>
      </w:pPr>
    </w:lvl>
    <w:lvl w:ilvl="5">
      <w:start w:val="1"/>
      <w:numFmt w:val="none"/>
      <w:lvlRestart w:val="0"/>
      <w:lvlText w:val=""/>
      <w:lvlJc w:val="left"/>
      <w:pPr>
        <w:ind w:left="0" w:firstLine="0"/>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left"/>
      <w:pPr>
        <w:ind w:left="0" w:firstLine="0"/>
      </w:pPr>
    </w:lvl>
  </w:abstractNum>
  <w:abstractNum w:abstractNumId="33" w15:restartNumberingAfterBreak="0">
    <w:nsid w:val="79A4610E"/>
    <w:multiLevelType w:val="multilevel"/>
    <w:tmpl w:val="C9960BF6"/>
    <w:lvl w:ilvl="0">
      <w:start w:val="1"/>
      <w:numFmt w:val="bullet"/>
      <w:lvlText w:val=""/>
      <w:lvlJc w:val="left"/>
      <w:pPr>
        <w:ind w:left="284" w:hanging="284"/>
      </w:pPr>
      <w:rPr>
        <w:rFonts w:ascii="Symbol" w:hAnsi="Symbol" w:hint="default"/>
      </w:rPr>
    </w:lvl>
    <w:lvl w:ilvl="1">
      <w:start w:val="1"/>
      <w:numFmt w:val="lowerRoman"/>
      <w:lvlText w:val="(%2)"/>
      <w:lvlJc w:val="left"/>
      <w:pPr>
        <w:tabs>
          <w:tab w:val="num" w:pos="284"/>
        </w:tabs>
        <w:ind w:left="567" w:hanging="283"/>
      </w:pPr>
    </w:lvl>
    <w:lvl w:ilvl="2">
      <w:start w:val="1"/>
      <w:numFmt w:val="none"/>
      <w:lvlRestart w:val="0"/>
      <w:lvlText w:val=""/>
      <w:lvlJc w:val="left"/>
      <w:pPr>
        <w:ind w:left="0" w:firstLine="0"/>
      </w:pPr>
    </w:lvl>
    <w:lvl w:ilvl="3">
      <w:start w:val="1"/>
      <w:numFmt w:val="none"/>
      <w:lvlRestart w:val="0"/>
      <w:lvlText w:val=""/>
      <w:lvlJc w:val="left"/>
      <w:pPr>
        <w:ind w:left="0" w:firstLine="0"/>
      </w:pPr>
    </w:lvl>
    <w:lvl w:ilvl="4">
      <w:start w:val="1"/>
      <w:numFmt w:val="none"/>
      <w:lvlRestart w:val="0"/>
      <w:lvlText w:val=""/>
      <w:lvlJc w:val="left"/>
      <w:pPr>
        <w:ind w:left="0" w:firstLine="0"/>
      </w:pPr>
    </w:lvl>
    <w:lvl w:ilvl="5">
      <w:start w:val="1"/>
      <w:numFmt w:val="none"/>
      <w:lvlRestart w:val="0"/>
      <w:lvlText w:val=""/>
      <w:lvlJc w:val="left"/>
      <w:pPr>
        <w:ind w:left="0" w:firstLine="0"/>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left"/>
      <w:pPr>
        <w:ind w:left="0" w:firstLine="0"/>
      </w:pPr>
    </w:lvl>
  </w:abstractNum>
  <w:abstractNum w:abstractNumId="34" w15:restartNumberingAfterBreak="0">
    <w:nsid w:val="7A753B81"/>
    <w:multiLevelType w:val="multilevel"/>
    <w:tmpl w:val="5186F8B6"/>
    <w:styleLink w:val="ZZTablebullets"/>
    <w:lvl w:ilvl="0">
      <w:start w:val="1"/>
      <w:numFmt w:val="bullet"/>
      <w:pStyle w:val="ARtablebullet1"/>
      <w:lvlText w:val="•"/>
      <w:lvlJc w:val="left"/>
      <w:pPr>
        <w:ind w:left="227" w:hanging="227"/>
      </w:pPr>
      <w:rPr>
        <w:rFonts w:ascii="Calibri" w:hAnsi="Calibri" w:hint="default"/>
      </w:rPr>
    </w:lvl>
    <w:lvl w:ilvl="1">
      <w:start w:val="1"/>
      <w:numFmt w:val="bullet"/>
      <w:lvlRestart w:val="0"/>
      <w:pStyle w:val="ARtablebullet2"/>
      <w:lvlText w:val="–"/>
      <w:lvlJc w:val="left"/>
      <w:pPr>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5" w15:restartNumberingAfterBreak="0">
    <w:nsid w:val="7F57731E"/>
    <w:multiLevelType w:val="hybridMultilevel"/>
    <w:tmpl w:val="18FCF3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4"/>
  </w:num>
  <w:num w:numId="3">
    <w:abstractNumId w:val="25"/>
  </w:num>
  <w:num w:numId="4">
    <w:abstractNumId w:val="19"/>
  </w:num>
  <w:num w:numId="5">
    <w:abstractNumId w:val="10"/>
  </w:num>
  <w:num w:numId="6">
    <w:abstractNumId w:val="26"/>
  </w:num>
  <w:num w:numId="7">
    <w:abstractNumId w:val="6"/>
  </w:num>
  <w:num w:numId="8">
    <w:abstractNumId w:val="1"/>
  </w:num>
  <w:num w:numId="9">
    <w:abstractNumId w:val="15"/>
  </w:num>
  <w:num w:numId="10">
    <w:abstractNumId w:val="27"/>
  </w:num>
  <w:num w:numId="11">
    <w:abstractNumId w:val="16"/>
  </w:num>
  <w:num w:numId="12">
    <w:abstractNumId w:val="21"/>
  </w:num>
  <w:num w:numId="13">
    <w:abstractNumId w:val="11"/>
  </w:num>
  <w:num w:numId="14">
    <w:abstractNumId w:val="2"/>
  </w:num>
  <w:num w:numId="15">
    <w:abstractNumId w:val="7"/>
  </w:num>
  <w:num w:numId="16">
    <w:abstractNumId w:val="17"/>
  </w:num>
  <w:num w:numId="17">
    <w:abstractNumId w:val="14"/>
  </w:num>
  <w:num w:numId="18">
    <w:abstractNumId w:val="22"/>
  </w:num>
  <w:num w:numId="19">
    <w:abstractNumId w:val="28"/>
  </w:num>
  <w:num w:numId="20">
    <w:abstractNumId w:val="20"/>
  </w:num>
  <w:num w:numId="21">
    <w:abstractNumId w:val="29"/>
  </w:num>
  <w:num w:numId="22">
    <w:abstractNumId w:val="18"/>
  </w:num>
  <w:num w:numId="23">
    <w:abstractNumId w:val="34"/>
  </w:num>
  <w:num w:numId="24">
    <w:abstractNumId w:val="23"/>
  </w:num>
  <w:num w:numId="25">
    <w:abstractNumId w:val="8"/>
  </w:num>
  <w:num w:numId="26">
    <w:abstractNumId w:val="30"/>
  </w:num>
  <w:num w:numId="27">
    <w:abstractNumId w:val="12"/>
  </w:num>
  <w:num w:numId="28">
    <w:abstractNumId w:val="4"/>
  </w:num>
  <w:num w:numId="29">
    <w:abstractNumId w:val="9"/>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num>
  <w:num w:numId="36">
    <w:abstractNumId w:val="5"/>
  </w:num>
  <w:num w:numId="37">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4"/>
  </w:num>
  <w:num w:numId="40">
    <w:abstractNumId w:val="13"/>
  </w:num>
  <w:num w:numId="41">
    <w:abstractNumId w:val="35"/>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100"/>
  <w:stylePaneSortMethod w:val="0000"/>
  <w:defaultTabStop w:val="720"/>
  <w:characterSpacingControl w:val="doNotCompress"/>
  <w:hdrShapeDefaults>
    <o:shapedefaults v:ext="edit" spidmax="45057"/>
  </w:hdrShapeDefaults>
  <w:footnotePr>
    <w:numFmt w:val="lowerLetter"/>
    <w:numRestart w:val="eachPage"/>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329"/>
    <w:rsid w:val="000012A8"/>
    <w:rsid w:val="0000179E"/>
    <w:rsid w:val="00001D81"/>
    <w:rsid w:val="00001DE0"/>
    <w:rsid w:val="00002209"/>
    <w:rsid w:val="000024F3"/>
    <w:rsid w:val="00002663"/>
    <w:rsid w:val="00002932"/>
    <w:rsid w:val="00002CC4"/>
    <w:rsid w:val="00002D3A"/>
    <w:rsid w:val="000033AF"/>
    <w:rsid w:val="0000404B"/>
    <w:rsid w:val="00004508"/>
    <w:rsid w:val="00004CC4"/>
    <w:rsid w:val="00005C49"/>
    <w:rsid w:val="000061D8"/>
    <w:rsid w:val="00006601"/>
    <w:rsid w:val="00007583"/>
    <w:rsid w:val="00007785"/>
    <w:rsid w:val="00007A36"/>
    <w:rsid w:val="000104B9"/>
    <w:rsid w:val="00010839"/>
    <w:rsid w:val="00010F1B"/>
    <w:rsid w:val="000110E4"/>
    <w:rsid w:val="00011487"/>
    <w:rsid w:val="00012976"/>
    <w:rsid w:val="0001342C"/>
    <w:rsid w:val="0001394C"/>
    <w:rsid w:val="00013FC0"/>
    <w:rsid w:val="00014625"/>
    <w:rsid w:val="00014F39"/>
    <w:rsid w:val="0001526C"/>
    <w:rsid w:val="000155B3"/>
    <w:rsid w:val="000162E5"/>
    <w:rsid w:val="00016394"/>
    <w:rsid w:val="00016B97"/>
    <w:rsid w:val="00016BA5"/>
    <w:rsid w:val="00016EA1"/>
    <w:rsid w:val="00017335"/>
    <w:rsid w:val="00020010"/>
    <w:rsid w:val="000201E6"/>
    <w:rsid w:val="0002026A"/>
    <w:rsid w:val="000209A1"/>
    <w:rsid w:val="00020E65"/>
    <w:rsid w:val="00020FE5"/>
    <w:rsid w:val="00021D86"/>
    <w:rsid w:val="0002208F"/>
    <w:rsid w:val="00022D96"/>
    <w:rsid w:val="00023BB0"/>
    <w:rsid w:val="000245AB"/>
    <w:rsid w:val="00024815"/>
    <w:rsid w:val="00025D7E"/>
    <w:rsid w:val="00026EA0"/>
    <w:rsid w:val="000272A9"/>
    <w:rsid w:val="00027FD9"/>
    <w:rsid w:val="0003082E"/>
    <w:rsid w:val="00031428"/>
    <w:rsid w:val="00031FA0"/>
    <w:rsid w:val="000323C2"/>
    <w:rsid w:val="00032604"/>
    <w:rsid w:val="000333EA"/>
    <w:rsid w:val="00033607"/>
    <w:rsid w:val="00033B63"/>
    <w:rsid w:val="00033C3E"/>
    <w:rsid w:val="00033F28"/>
    <w:rsid w:val="000343EC"/>
    <w:rsid w:val="00035097"/>
    <w:rsid w:val="00035909"/>
    <w:rsid w:val="00035BCC"/>
    <w:rsid w:val="0003604F"/>
    <w:rsid w:val="000366A8"/>
    <w:rsid w:val="0003683D"/>
    <w:rsid w:val="00036C02"/>
    <w:rsid w:val="00036F13"/>
    <w:rsid w:val="0003723B"/>
    <w:rsid w:val="00037D1F"/>
    <w:rsid w:val="00040479"/>
    <w:rsid w:val="00040618"/>
    <w:rsid w:val="00040C33"/>
    <w:rsid w:val="00041416"/>
    <w:rsid w:val="00041426"/>
    <w:rsid w:val="00041E17"/>
    <w:rsid w:val="00042989"/>
    <w:rsid w:val="000435F1"/>
    <w:rsid w:val="00043F18"/>
    <w:rsid w:val="00044B30"/>
    <w:rsid w:val="00044D7C"/>
    <w:rsid w:val="00044E21"/>
    <w:rsid w:val="00045C37"/>
    <w:rsid w:val="00046067"/>
    <w:rsid w:val="00046372"/>
    <w:rsid w:val="000467AD"/>
    <w:rsid w:val="000468F5"/>
    <w:rsid w:val="00046EC1"/>
    <w:rsid w:val="00047012"/>
    <w:rsid w:val="00047C1D"/>
    <w:rsid w:val="00050016"/>
    <w:rsid w:val="00051169"/>
    <w:rsid w:val="00052DB7"/>
    <w:rsid w:val="00052FD4"/>
    <w:rsid w:val="00053770"/>
    <w:rsid w:val="00053E78"/>
    <w:rsid w:val="00053E89"/>
    <w:rsid w:val="00053FEA"/>
    <w:rsid w:val="000544BB"/>
    <w:rsid w:val="00054631"/>
    <w:rsid w:val="00055BA0"/>
    <w:rsid w:val="00055C05"/>
    <w:rsid w:val="00055D46"/>
    <w:rsid w:val="000572DA"/>
    <w:rsid w:val="000573B9"/>
    <w:rsid w:val="00057EDE"/>
    <w:rsid w:val="00060D62"/>
    <w:rsid w:val="000617EE"/>
    <w:rsid w:val="00061938"/>
    <w:rsid w:val="00062252"/>
    <w:rsid w:val="00062316"/>
    <w:rsid w:val="00062A90"/>
    <w:rsid w:val="00063397"/>
    <w:rsid w:val="00063410"/>
    <w:rsid w:val="0006497B"/>
    <w:rsid w:val="00064E46"/>
    <w:rsid w:val="00064EA3"/>
    <w:rsid w:val="00065182"/>
    <w:rsid w:val="00065E9E"/>
    <w:rsid w:val="00066367"/>
    <w:rsid w:val="00066781"/>
    <w:rsid w:val="00066FA3"/>
    <w:rsid w:val="0006746D"/>
    <w:rsid w:val="00067C9B"/>
    <w:rsid w:val="0007038F"/>
    <w:rsid w:val="0007184F"/>
    <w:rsid w:val="00071BBF"/>
    <w:rsid w:val="0007308C"/>
    <w:rsid w:val="000730D8"/>
    <w:rsid w:val="00073103"/>
    <w:rsid w:val="00073D31"/>
    <w:rsid w:val="0007438E"/>
    <w:rsid w:val="000753A9"/>
    <w:rsid w:val="0007603D"/>
    <w:rsid w:val="00077794"/>
    <w:rsid w:val="00077F24"/>
    <w:rsid w:val="00080885"/>
    <w:rsid w:val="00080A09"/>
    <w:rsid w:val="000811E5"/>
    <w:rsid w:val="00082ADA"/>
    <w:rsid w:val="0008364D"/>
    <w:rsid w:val="00083F06"/>
    <w:rsid w:val="00084467"/>
    <w:rsid w:val="00084479"/>
    <w:rsid w:val="000850BB"/>
    <w:rsid w:val="000851FB"/>
    <w:rsid w:val="0008662A"/>
    <w:rsid w:val="0008719B"/>
    <w:rsid w:val="00087B91"/>
    <w:rsid w:val="00087E6D"/>
    <w:rsid w:val="00087EAB"/>
    <w:rsid w:val="0009035A"/>
    <w:rsid w:val="0009182F"/>
    <w:rsid w:val="000918DB"/>
    <w:rsid w:val="00092B3C"/>
    <w:rsid w:val="00092D31"/>
    <w:rsid w:val="000935FE"/>
    <w:rsid w:val="00093C09"/>
    <w:rsid w:val="00094793"/>
    <w:rsid w:val="00094EAC"/>
    <w:rsid w:val="000950E5"/>
    <w:rsid w:val="00095F67"/>
    <w:rsid w:val="0009601F"/>
    <w:rsid w:val="00096890"/>
    <w:rsid w:val="00096DD8"/>
    <w:rsid w:val="000975F6"/>
    <w:rsid w:val="00097778"/>
    <w:rsid w:val="00097FF7"/>
    <w:rsid w:val="000A046D"/>
    <w:rsid w:val="000A051B"/>
    <w:rsid w:val="000A07B0"/>
    <w:rsid w:val="000A0915"/>
    <w:rsid w:val="000A1192"/>
    <w:rsid w:val="000A12B9"/>
    <w:rsid w:val="000A175F"/>
    <w:rsid w:val="000A18C8"/>
    <w:rsid w:val="000A1E85"/>
    <w:rsid w:val="000A264C"/>
    <w:rsid w:val="000A27EC"/>
    <w:rsid w:val="000A3187"/>
    <w:rsid w:val="000A3772"/>
    <w:rsid w:val="000A3B4E"/>
    <w:rsid w:val="000A5329"/>
    <w:rsid w:val="000A5541"/>
    <w:rsid w:val="000A66A5"/>
    <w:rsid w:val="000A78FF"/>
    <w:rsid w:val="000A7DE8"/>
    <w:rsid w:val="000A7FFB"/>
    <w:rsid w:val="000B0037"/>
    <w:rsid w:val="000B0522"/>
    <w:rsid w:val="000B15E3"/>
    <w:rsid w:val="000B18D1"/>
    <w:rsid w:val="000B19E7"/>
    <w:rsid w:val="000B2105"/>
    <w:rsid w:val="000B24A0"/>
    <w:rsid w:val="000B39B4"/>
    <w:rsid w:val="000B4F84"/>
    <w:rsid w:val="000B56E2"/>
    <w:rsid w:val="000B66BD"/>
    <w:rsid w:val="000B6E53"/>
    <w:rsid w:val="000C028C"/>
    <w:rsid w:val="000C03AD"/>
    <w:rsid w:val="000C08CC"/>
    <w:rsid w:val="000C1877"/>
    <w:rsid w:val="000C1CEB"/>
    <w:rsid w:val="000C28B8"/>
    <w:rsid w:val="000C2E39"/>
    <w:rsid w:val="000C312A"/>
    <w:rsid w:val="000C34F0"/>
    <w:rsid w:val="000C3F8E"/>
    <w:rsid w:val="000C419E"/>
    <w:rsid w:val="000C654E"/>
    <w:rsid w:val="000C6D20"/>
    <w:rsid w:val="000C76D2"/>
    <w:rsid w:val="000D069C"/>
    <w:rsid w:val="000D148B"/>
    <w:rsid w:val="000D167C"/>
    <w:rsid w:val="000D217A"/>
    <w:rsid w:val="000D315F"/>
    <w:rsid w:val="000D320E"/>
    <w:rsid w:val="000D3421"/>
    <w:rsid w:val="000D349B"/>
    <w:rsid w:val="000D39ED"/>
    <w:rsid w:val="000D3AB4"/>
    <w:rsid w:val="000D3C19"/>
    <w:rsid w:val="000D3C3F"/>
    <w:rsid w:val="000D3FF2"/>
    <w:rsid w:val="000D4E35"/>
    <w:rsid w:val="000D6492"/>
    <w:rsid w:val="000D69BA"/>
    <w:rsid w:val="000D69C4"/>
    <w:rsid w:val="000D6B22"/>
    <w:rsid w:val="000D6EDE"/>
    <w:rsid w:val="000E0051"/>
    <w:rsid w:val="000E071E"/>
    <w:rsid w:val="000E07A5"/>
    <w:rsid w:val="000E0917"/>
    <w:rsid w:val="000E0E8D"/>
    <w:rsid w:val="000E14F1"/>
    <w:rsid w:val="000E1E27"/>
    <w:rsid w:val="000E29FE"/>
    <w:rsid w:val="000E36C1"/>
    <w:rsid w:val="000E395A"/>
    <w:rsid w:val="000E4549"/>
    <w:rsid w:val="000E4668"/>
    <w:rsid w:val="000E4A2A"/>
    <w:rsid w:val="000E4CF9"/>
    <w:rsid w:val="000E52E8"/>
    <w:rsid w:val="000E6D39"/>
    <w:rsid w:val="000F019E"/>
    <w:rsid w:val="000F0BF8"/>
    <w:rsid w:val="000F0E37"/>
    <w:rsid w:val="000F122C"/>
    <w:rsid w:val="000F13EA"/>
    <w:rsid w:val="000F1C6B"/>
    <w:rsid w:val="000F1D0A"/>
    <w:rsid w:val="000F1D6C"/>
    <w:rsid w:val="000F29DD"/>
    <w:rsid w:val="000F38EE"/>
    <w:rsid w:val="000F5522"/>
    <w:rsid w:val="000F55EE"/>
    <w:rsid w:val="000F64C7"/>
    <w:rsid w:val="000F6867"/>
    <w:rsid w:val="000F6FCB"/>
    <w:rsid w:val="000F7F3A"/>
    <w:rsid w:val="00100125"/>
    <w:rsid w:val="00100B2D"/>
    <w:rsid w:val="00100D18"/>
    <w:rsid w:val="00101AAC"/>
    <w:rsid w:val="0010203A"/>
    <w:rsid w:val="00103438"/>
    <w:rsid w:val="00104321"/>
    <w:rsid w:val="00104381"/>
    <w:rsid w:val="001044EF"/>
    <w:rsid w:val="0010557C"/>
    <w:rsid w:val="00105603"/>
    <w:rsid w:val="001056C9"/>
    <w:rsid w:val="00105D21"/>
    <w:rsid w:val="0010773F"/>
    <w:rsid w:val="0010780D"/>
    <w:rsid w:val="00107A8C"/>
    <w:rsid w:val="00107BB6"/>
    <w:rsid w:val="001102F9"/>
    <w:rsid w:val="0011054F"/>
    <w:rsid w:val="00110D73"/>
    <w:rsid w:val="001112DA"/>
    <w:rsid w:val="001113BC"/>
    <w:rsid w:val="001115A5"/>
    <w:rsid w:val="00111CB0"/>
    <w:rsid w:val="00111D76"/>
    <w:rsid w:val="00113040"/>
    <w:rsid w:val="00113A3C"/>
    <w:rsid w:val="00113AA5"/>
    <w:rsid w:val="00113F45"/>
    <w:rsid w:val="00114350"/>
    <w:rsid w:val="0011470F"/>
    <w:rsid w:val="00114C5D"/>
    <w:rsid w:val="0011572C"/>
    <w:rsid w:val="001162B8"/>
    <w:rsid w:val="0011633B"/>
    <w:rsid w:val="00116893"/>
    <w:rsid w:val="001174A1"/>
    <w:rsid w:val="00117FC5"/>
    <w:rsid w:val="00120006"/>
    <w:rsid w:val="001205C1"/>
    <w:rsid w:val="00120A35"/>
    <w:rsid w:val="00121533"/>
    <w:rsid w:val="001219A1"/>
    <w:rsid w:val="001219BE"/>
    <w:rsid w:val="00121B53"/>
    <w:rsid w:val="00122412"/>
    <w:rsid w:val="00122450"/>
    <w:rsid w:val="00122F2F"/>
    <w:rsid w:val="001230C6"/>
    <w:rsid w:val="0012524D"/>
    <w:rsid w:val="00125A55"/>
    <w:rsid w:val="00125CD9"/>
    <w:rsid w:val="00125E54"/>
    <w:rsid w:val="00126082"/>
    <w:rsid w:val="00126E63"/>
    <w:rsid w:val="00126F12"/>
    <w:rsid w:val="001272BE"/>
    <w:rsid w:val="001273E6"/>
    <w:rsid w:val="00127C64"/>
    <w:rsid w:val="00127E70"/>
    <w:rsid w:val="00130D1C"/>
    <w:rsid w:val="001315E6"/>
    <w:rsid w:val="00131F73"/>
    <w:rsid w:val="00133711"/>
    <w:rsid w:val="001338BF"/>
    <w:rsid w:val="00134500"/>
    <w:rsid w:val="001351B7"/>
    <w:rsid w:val="00135385"/>
    <w:rsid w:val="0013539A"/>
    <w:rsid w:val="00135510"/>
    <w:rsid w:val="00135A07"/>
    <w:rsid w:val="0013768B"/>
    <w:rsid w:val="00137DEA"/>
    <w:rsid w:val="00142520"/>
    <w:rsid w:val="00142CDC"/>
    <w:rsid w:val="0014376C"/>
    <w:rsid w:val="00143D68"/>
    <w:rsid w:val="0014403C"/>
    <w:rsid w:val="00144BA7"/>
    <w:rsid w:val="001454E5"/>
    <w:rsid w:val="00146DA7"/>
    <w:rsid w:val="00147524"/>
    <w:rsid w:val="001477ED"/>
    <w:rsid w:val="00150248"/>
    <w:rsid w:val="0015096A"/>
    <w:rsid w:val="0015132C"/>
    <w:rsid w:val="00151355"/>
    <w:rsid w:val="00151969"/>
    <w:rsid w:val="00152D0B"/>
    <w:rsid w:val="00152DF0"/>
    <w:rsid w:val="0015415F"/>
    <w:rsid w:val="001541F2"/>
    <w:rsid w:val="001553BF"/>
    <w:rsid w:val="001556B8"/>
    <w:rsid w:val="00155A12"/>
    <w:rsid w:val="00155B22"/>
    <w:rsid w:val="001563F0"/>
    <w:rsid w:val="001568D2"/>
    <w:rsid w:val="00156DA2"/>
    <w:rsid w:val="0015717C"/>
    <w:rsid w:val="00160B3A"/>
    <w:rsid w:val="00161033"/>
    <w:rsid w:val="00163613"/>
    <w:rsid w:val="001647DD"/>
    <w:rsid w:val="00165057"/>
    <w:rsid w:val="00165263"/>
    <w:rsid w:val="00166054"/>
    <w:rsid w:val="0016614E"/>
    <w:rsid w:val="001670B7"/>
    <w:rsid w:val="001670CA"/>
    <w:rsid w:val="00167D0D"/>
    <w:rsid w:val="00170602"/>
    <w:rsid w:val="001708C9"/>
    <w:rsid w:val="00170C22"/>
    <w:rsid w:val="0017227A"/>
    <w:rsid w:val="00172E03"/>
    <w:rsid w:val="00175B48"/>
    <w:rsid w:val="00176E53"/>
    <w:rsid w:val="00177096"/>
    <w:rsid w:val="00177286"/>
    <w:rsid w:val="00177947"/>
    <w:rsid w:val="00181000"/>
    <w:rsid w:val="001837BB"/>
    <w:rsid w:val="00183A1F"/>
    <w:rsid w:val="00183BAA"/>
    <w:rsid w:val="00184AFE"/>
    <w:rsid w:val="00184B59"/>
    <w:rsid w:val="00185B9D"/>
    <w:rsid w:val="0018603E"/>
    <w:rsid w:val="001862B4"/>
    <w:rsid w:val="00186636"/>
    <w:rsid w:val="0019053A"/>
    <w:rsid w:val="00190926"/>
    <w:rsid w:val="001919DF"/>
    <w:rsid w:val="00191CBC"/>
    <w:rsid w:val="00192080"/>
    <w:rsid w:val="00192491"/>
    <w:rsid w:val="001926BF"/>
    <w:rsid w:val="001927BE"/>
    <w:rsid w:val="00192D16"/>
    <w:rsid w:val="00192EEE"/>
    <w:rsid w:val="00192F18"/>
    <w:rsid w:val="00194359"/>
    <w:rsid w:val="001949FA"/>
    <w:rsid w:val="0019560E"/>
    <w:rsid w:val="001963D4"/>
    <w:rsid w:val="001A0074"/>
    <w:rsid w:val="001A02B8"/>
    <w:rsid w:val="001A0C14"/>
    <w:rsid w:val="001A152C"/>
    <w:rsid w:val="001A2A15"/>
    <w:rsid w:val="001A2AE5"/>
    <w:rsid w:val="001A3E9A"/>
    <w:rsid w:val="001A3F62"/>
    <w:rsid w:val="001A40EF"/>
    <w:rsid w:val="001A4611"/>
    <w:rsid w:val="001A4B71"/>
    <w:rsid w:val="001A4BE0"/>
    <w:rsid w:val="001A54CF"/>
    <w:rsid w:val="001A5CEC"/>
    <w:rsid w:val="001A6190"/>
    <w:rsid w:val="001A68B4"/>
    <w:rsid w:val="001A7571"/>
    <w:rsid w:val="001A75F6"/>
    <w:rsid w:val="001A7A30"/>
    <w:rsid w:val="001A7A32"/>
    <w:rsid w:val="001A7E13"/>
    <w:rsid w:val="001A7FCC"/>
    <w:rsid w:val="001B01CC"/>
    <w:rsid w:val="001B02E1"/>
    <w:rsid w:val="001B0574"/>
    <w:rsid w:val="001B05A9"/>
    <w:rsid w:val="001B0A83"/>
    <w:rsid w:val="001B0B19"/>
    <w:rsid w:val="001B27BE"/>
    <w:rsid w:val="001B2963"/>
    <w:rsid w:val="001B34E9"/>
    <w:rsid w:val="001B3934"/>
    <w:rsid w:val="001B39F2"/>
    <w:rsid w:val="001B41BE"/>
    <w:rsid w:val="001B449D"/>
    <w:rsid w:val="001B5A15"/>
    <w:rsid w:val="001B5E21"/>
    <w:rsid w:val="001B6DB7"/>
    <w:rsid w:val="001B6EEE"/>
    <w:rsid w:val="001B7CEF"/>
    <w:rsid w:val="001C14AF"/>
    <w:rsid w:val="001C163C"/>
    <w:rsid w:val="001C1AB1"/>
    <w:rsid w:val="001C1FDF"/>
    <w:rsid w:val="001C38CE"/>
    <w:rsid w:val="001C3B96"/>
    <w:rsid w:val="001C3C55"/>
    <w:rsid w:val="001D0556"/>
    <w:rsid w:val="001D1B8B"/>
    <w:rsid w:val="001D2668"/>
    <w:rsid w:val="001D2FE3"/>
    <w:rsid w:val="001D3623"/>
    <w:rsid w:val="001D39DD"/>
    <w:rsid w:val="001D4B6B"/>
    <w:rsid w:val="001D5379"/>
    <w:rsid w:val="001D537C"/>
    <w:rsid w:val="001D75D0"/>
    <w:rsid w:val="001D7D72"/>
    <w:rsid w:val="001D7F9D"/>
    <w:rsid w:val="001E0EDA"/>
    <w:rsid w:val="001E1569"/>
    <w:rsid w:val="001E1C05"/>
    <w:rsid w:val="001E1F1E"/>
    <w:rsid w:val="001E28D5"/>
    <w:rsid w:val="001E35D5"/>
    <w:rsid w:val="001E3B55"/>
    <w:rsid w:val="001E6C10"/>
    <w:rsid w:val="001E760F"/>
    <w:rsid w:val="001E768A"/>
    <w:rsid w:val="001E76DE"/>
    <w:rsid w:val="001E7CD0"/>
    <w:rsid w:val="001F028F"/>
    <w:rsid w:val="001F0498"/>
    <w:rsid w:val="001F1B70"/>
    <w:rsid w:val="001F2102"/>
    <w:rsid w:val="001F3C12"/>
    <w:rsid w:val="001F44F8"/>
    <w:rsid w:val="001F5258"/>
    <w:rsid w:val="001F52EB"/>
    <w:rsid w:val="001F5A5D"/>
    <w:rsid w:val="001F5FE7"/>
    <w:rsid w:val="001F6E53"/>
    <w:rsid w:val="001F72E3"/>
    <w:rsid w:val="001F7C04"/>
    <w:rsid w:val="002005AC"/>
    <w:rsid w:val="002008D4"/>
    <w:rsid w:val="0020133D"/>
    <w:rsid w:val="002013CF"/>
    <w:rsid w:val="00201705"/>
    <w:rsid w:val="00201B19"/>
    <w:rsid w:val="00201B69"/>
    <w:rsid w:val="00201F08"/>
    <w:rsid w:val="002029AF"/>
    <w:rsid w:val="002036C1"/>
    <w:rsid w:val="002038E5"/>
    <w:rsid w:val="00203A61"/>
    <w:rsid w:val="00203E00"/>
    <w:rsid w:val="00205391"/>
    <w:rsid w:val="00205B86"/>
    <w:rsid w:val="00205D6E"/>
    <w:rsid w:val="0020648D"/>
    <w:rsid w:val="00206595"/>
    <w:rsid w:val="00206861"/>
    <w:rsid w:val="002070B1"/>
    <w:rsid w:val="002074FF"/>
    <w:rsid w:val="002101B3"/>
    <w:rsid w:val="00210323"/>
    <w:rsid w:val="00211951"/>
    <w:rsid w:val="00211AA0"/>
    <w:rsid w:val="00211BE3"/>
    <w:rsid w:val="00211DE7"/>
    <w:rsid w:val="00211E6E"/>
    <w:rsid w:val="002128C4"/>
    <w:rsid w:val="00212997"/>
    <w:rsid w:val="00212B70"/>
    <w:rsid w:val="0021307D"/>
    <w:rsid w:val="00213935"/>
    <w:rsid w:val="0021411E"/>
    <w:rsid w:val="00214405"/>
    <w:rsid w:val="00214739"/>
    <w:rsid w:val="00214C48"/>
    <w:rsid w:val="002157AA"/>
    <w:rsid w:val="00215F71"/>
    <w:rsid w:val="00215FAC"/>
    <w:rsid w:val="00216915"/>
    <w:rsid w:val="00216972"/>
    <w:rsid w:val="0021723B"/>
    <w:rsid w:val="0021789C"/>
    <w:rsid w:val="00220971"/>
    <w:rsid w:val="002209B0"/>
    <w:rsid w:val="00220F6F"/>
    <w:rsid w:val="002210F5"/>
    <w:rsid w:val="00221BC1"/>
    <w:rsid w:val="00221D17"/>
    <w:rsid w:val="00221EB6"/>
    <w:rsid w:val="00222655"/>
    <w:rsid w:val="00222DB1"/>
    <w:rsid w:val="00223240"/>
    <w:rsid w:val="00223A18"/>
    <w:rsid w:val="00223E33"/>
    <w:rsid w:val="00224B55"/>
    <w:rsid w:val="00225719"/>
    <w:rsid w:val="00226609"/>
    <w:rsid w:val="00227D05"/>
    <w:rsid w:val="00227F2D"/>
    <w:rsid w:val="0023066D"/>
    <w:rsid w:val="00230695"/>
    <w:rsid w:val="00230D99"/>
    <w:rsid w:val="00230E70"/>
    <w:rsid w:val="00230FD9"/>
    <w:rsid w:val="002310E2"/>
    <w:rsid w:val="00231551"/>
    <w:rsid w:val="00231FC5"/>
    <w:rsid w:val="00232103"/>
    <w:rsid w:val="00232983"/>
    <w:rsid w:val="00232FA9"/>
    <w:rsid w:val="00233C48"/>
    <w:rsid w:val="00235D42"/>
    <w:rsid w:val="0023651A"/>
    <w:rsid w:val="00236535"/>
    <w:rsid w:val="00236DCB"/>
    <w:rsid w:val="002372AC"/>
    <w:rsid w:val="002402A9"/>
    <w:rsid w:val="00240F10"/>
    <w:rsid w:val="00243171"/>
    <w:rsid w:val="00243473"/>
    <w:rsid w:val="00243691"/>
    <w:rsid w:val="002451BA"/>
    <w:rsid w:val="00245CFD"/>
    <w:rsid w:val="00245D30"/>
    <w:rsid w:val="0024605A"/>
    <w:rsid w:val="0024649F"/>
    <w:rsid w:val="002519DB"/>
    <w:rsid w:val="00251E7B"/>
    <w:rsid w:val="002523DC"/>
    <w:rsid w:val="002539AC"/>
    <w:rsid w:val="00255AB4"/>
    <w:rsid w:val="00256B41"/>
    <w:rsid w:val="00257550"/>
    <w:rsid w:val="00257A71"/>
    <w:rsid w:val="0026092A"/>
    <w:rsid w:val="00260CDE"/>
    <w:rsid w:val="00260E00"/>
    <w:rsid w:val="00262575"/>
    <w:rsid w:val="00262CBF"/>
    <w:rsid w:val="00262DEB"/>
    <w:rsid w:val="002633C7"/>
    <w:rsid w:val="00263607"/>
    <w:rsid w:val="00264381"/>
    <w:rsid w:val="00264E4E"/>
    <w:rsid w:val="0026518E"/>
    <w:rsid w:val="002657E8"/>
    <w:rsid w:val="002659F6"/>
    <w:rsid w:val="0026600A"/>
    <w:rsid w:val="002661AA"/>
    <w:rsid w:val="00267891"/>
    <w:rsid w:val="002678E4"/>
    <w:rsid w:val="00267BEA"/>
    <w:rsid w:val="002700DF"/>
    <w:rsid w:val="0027056F"/>
    <w:rsid w:val="002707A8"/>
    <w:rsid w:val="00270B40"/>
    <w:rsid w:val="00272448"/>
    <w:rsid w:val="0027247B"/>
    <w:rsid w:val="002726BE"/>
    <w:rsid w:val="00272C72"/>
    <w:rsid w:val="002732C9"/>
    <w:rsid w:val="002733C4"/>
    <w:rsid w:val="00273E3B"/>
    <w:rsid w:val="0027481F"/>
    <w:rsid w:val="0027595A"/>
    <w:rsid w:val="00276667"/>
    <w:rsid w:val="002766A3"/>
    <w:rsid w:val="0027690E"/>
    <w:rsid w:val="00276DD1"/>
    <w:rsid w:val="0027713A"/>
    <w:rsid w:val="002773E1"/>
    <w:rsid w:val="0027759D"/>
    <w:rsid w:val="0028020C"/>
    <w:rsid w:val="00280DA7"/>
    <w:rsid w:val="0028134C"/>
    <w:rsid w:val="0028295D"/>
    <w:rsid w:val="00282A10"/>
    <w:rsid w:val="0028367E"/>
    <w:rsid w:val="0028495F"/>
    <w:rsid w:val="0028583E"/>
    <w:rsid w:val="00285A6C"/>
    <w:rsid w:val="00286079"/>
    <w:rsid w:val="00286264"/>
    <w:rsid w:val="0028683D"/>
    <w:rsid w:val="002879DE"/>
    <w:rsid w:val="002904D1"/>
    <w:rsid w:val="00290574"/>
    <w:rsid w:val="002907D7"/>
    <w:rsid w:val="002909CA"/>
    <w:rsid w:val="00290C94"/>
    <w:rsid w:val="00291152"/>
    <w:rsid w:val="0029117A"/>
    <w:rsid w:val="002911A0"/>
    <w:rsid w:val="00291C88"/>
    <w:rsid w:val="00291EAB"/>
    <w:rsid w:val="0029232E"/>
    <w:rsid w:val="002924C2"/>
    <w:rsid w:val="00293415"/>
    <w:rsid w:val="0029466A"/>
    <w:rsid w:val="00294808"/>
    <w:rsid w:val="00294FCF"/>
    <w:rsid w:val="002959F9"/>
    <w:rsid w:val="00295A7A"/>
    <w:rsid w:val="00295C8D"/>
    <w:rsid w:val="00296068"/>
    <w:rsid w:val="00297541"/>
    <w:rsid w:val="002976AB"/>
    <w:rsid w:val="0029774F"/>
    <w:rsid w:val="00297775"/>
    <w:rsid w:val="00297941"/>
    <w:rsid w:val="00297AAE"/>
    <w:rsid w:val="002A07F0"/>
    <w:rsid w:val="002A082B"/>
    <w:rsid w:val="002A0D7A"/>
    <w:rsid w:val="002A113F"/>
    <w:rsid w:val="002A1178"/>
    <w:rsid w:val="002A1ADF"/>
    <w:rsid w:val="002A1CF8"/>
    <w:rsid w:val="002A3743"/>
    <w:rsid w:val="002A432B"/>
    <w:rsid w:val="002A45C1"/>
    <w:rsid w:val="002A4789"/>
    <w:rsid w:val="002A4973"/>
    <w:rsid w:val="002A4DB5"/>
    <w:rsid w:val="002A517D"/>
    <w:rsid w:val="002A5CF0"/>
    <w:rsid w:val="002A5F13"/>
    <w:rsid w:val="002A6CBB"/>
    <w:rsid w:val="002A77D5"/>
    <w:rsid w:val="002A798C"/>
    <w:rsid w:val="002B095E"/>
    <w:rsid w:val="002B10BD"/>
    <w:rsid w:val="002B11DA"/>
    <w:rsid w:val="002B1364"/>
    <w:rsid w:val="002B1695"/>
    <w:rsid w:val="002B17E1"/>
    <w:rsid w:val="002B19FE"/>
    <w:rsid w:val="002B1F4C"/>
    <w:rsid w:val="002B2CCB"/>
    <w:rsid w:val="002B2F56"/>
    <w:rsid w:val="002B34D7"/>
    <w:rsid w:val="002B388E"/>
    <w:rsid w:val="002B3C13"/>
    <w:rsid w:val="002B41FC"/>
    <w:rsid w:val="002B48E7"/>
    <w:rsid w:val="002B4A38"/>
    <w:rsid w:val="002B54D9"/>
    <w:rsid w:val="002B5560"/>
    <w:rsid w:val="002B5E28"/>
    <w:rsid w:val="002B67FD"/>
    <w:rsid w:val="002B6AE3"/>
    <w:rsid w:val="002B6F8C"/>
    <w:rsid w:val="002B6FF8"/>
    <w:rsid w:val="002B761F"/>
    <w:rsid w:val="002B7F00"/>
    <w:rsid w:val="002C0B53"/>
    <w:rsid w:val="002C0C09"/>
    <w:rsid w:val="002C13AE"/>
    <w:rsid w:val="002C2297"/>
    <w:rsid w:val="002C2596"/>
    <w:rsid w:val="002C2982"/>
    <w:rsid w:val="002C3073"/>
    <w:rsid w:val="002C336C"/>
    <w:rsid w:val="002C3A2A"/>
    <w:rsid w:val="002C4517"/>
    <w:rsid w:val="002C45C7"/>
    <w:rsid w:val="002C47BA"/>
    <w:rsid w:val="002C5190"/>
    <w:rsid w:val="002C61C8"/>
    <w:rsid w:val="002C6854"/>
    <w:rsid w:val="002C6A5B"/>
    <w:rsid w:val="002D1046"/>
    <w:rsid w:val="002D1FEC"/>
    <w:rsid w:val="002D26AF"/>
    <w:rsid w:val="002D28CF"/>
    <w:rsid w:val="002D2F60"/>
    <w:rsid w:val="002D367A"/>
    <w:rsid w:val="002D3BED"/>
    <w:rsid w:val="002D49A5"/>
    <w:rsid w:val="002D4C9E"/>
    <w:rsid w:val="002D4EC5"/>
    <w:rsid w:val="002D560E"/>
    <w:rsid w:val="002D5B3A"/>
    <w:rsid w:val="002D68B3"/>
    <w:rsid w:val="002E0E3B"/>
    <w:rsid w:val="002E1333"/>
    <w:rsid w:val="002E18D2"/>
    <w:rsid w:val="002E25A4"/>
    <w:rsid w:val="002E3B52"/>
    <w:rsid w:val="002E3D53"/>
    <w:rsid w:val="002E4274"/>
    <w:rsid w:val="002E438F"/>
    <w:rsid w:val="002E4F71"/>
    <w:rsid w:val="002E5C32"/>
    <w:rsid w:val="002E6A29"/>
    <w:rsid w:val="002E6F79"/>
    <w:rsid w:val="002E70A9"/>
    <w:rsid w:val="002F02E8"/>
    <w:rsid w:val="002F075B"/>
    <w:rsid w:val="002F10CC"/>
    <w:rsid w:val="002F170E"/>
    <w:rsid w:val="002F275C"/>
    <w:rsid w:val="002F28FA"/>
    <w:rsid w:val="002F2DA8"/>
    <w:rsid w:val="002F3409"/>
    <w:rsid w:val="002F3663"/>
    <w:rsid w:val="002F487C"/>
    <w:rsid w:val="002F4ED2"/>
    <w:rsid w:val="002F4F3A"/>
    <w:rsid w:val="002F585A"/>
    <w:rsid w:val="002F6B55"/>
    <w:rsid w:val="002F6FC6"/>
    <w:rsid w:val="00300CAB"/>
    <w:rsid w:val="00301132"/>
    <w:rsid w:val="00301C38"/>
    <w:rsid w:val="00303E59"/>
    <w:rsid w:val="00303E6A"/>
    <w:rsid w:val="00304012"/>
    <w:rsid w:val="00304735"/>
    <w:rsid w:val="003048F1"/>
    <w:rsid w:val="00304CAF"/>
    <w:rsid w:val="0030530A"/>
    <w:rsid w:val="003055BA"/>
    <w:rsid w:val="003057D8"/>
    <w:rsid w:val="003060F4"/>
    <w:rsid w:val="003061D9"/>
    <w:rsid w:val="00306E71"/>
    <w:rsid w:val="00307304"/>
    <w:rsid w:val="00307359"/>
    <w:rsid w:val="00307B3E"/>
    <w:rsid w:val="00307C2E"/>
    <w:rsid w:val="00307F8A"/>
    <w:rsid w:val="003100A2"/>
    <w:rsid w:val="00310650"/>
    <w:rsid w:val="00311489"/>
    <w:rsid w:val="00311F07"/>
    <w:rsid w:val="0031205F"/>
    <w:rsid w:val="0031211C"/>
    <w:rsid w:val="00312252"/>
    <w:rsid w:val="003126AC"/>
    <w:rsid w:val="00312801"/>
    <w:rsid w:val="00313BDA"/>
    <w:rsid w:val="00313EC5"/>
    <w:rsid w:val="0031402E"/>
    <w:rsid w:val="00314A18"/>
    <w:rsid w:val="00314F89"/>
    <w:rsid w:val="003161EF"/>
    <w:rsid w:val="00316371"/>
    <w:rsid w:val="0031666C"/>
    <w:rsid w:val="00316714"/>
    <w:rsid w:val="00317057"/>
    <w:rsid w:val="00317103"/>
    <w:rsid w:val="00317370"/>
    <w:rsid w:val="00317D5B"/>
    <w:rsid w:val="00317FE8"/>
    <w:rsid w:val="0032023E"/>
    <w:rsid w:val="0032051A"/>
    <w:rsid w:val="00320767"/>
    <w:rsid w:val="00320828"/>
    <w:rsid w:val="003219F4"/>
    <w:rsid w:val="00321A1A"/>
    <w:rsid w:val="003221A3"/>
    <w:rsid w:val="00322209"/>
    <w:rsid w:val="003223F8"/>
    <w:rsid w:val="00322DF7"/>
    <w:rsid w:val="003233F1"/>
    <w:rsid w:val="0032389C"/>
    <w:rsid w:val="00323901"/>
    <w:rsid w:val="00324052"/>
    <w:rsid w:val="00324353"/>
    <w:rsid w:val="00324C22"/>
    <w:rsid w:val="00324F9A"/>
    <w:rsid w:val="00325283"/>
    <w:rsid w:val="00327579"/>
    <w:rsid w:val="00331401"/>
    <w:rsid w:val="003315EC"/>
    <w:rsid w:val="00331633"/>
    <w:rsid w:val="0033174B"/>
    <w:rsid w:val="00331B2D"/>
    <w:rsid w:val="00331BF6"/>
    <w:rsid w:val="003323C6"/>
    <w:rsid w:val="00332C7F"/>
    <w:rsid w:val="00333AD8"/>
    <w:rsid w:val="00334403"/>
    <w:rsid w:val="00335489"/>
    <w:rsid w:val="00335D46"/>
    <w:rsid w:val="00335F6D"/>
    <w:rsid w:val="00336202"/>
    <w:rsid w:val="00336286"/>
    <w:rsid w:val="003370A8"/>
    <w:rsid w:val="003372C4"/>
    <w:rsid w:val="003372D2"/>
    <w:rsid w:val="003374B4"/>
    <w:rsid w:val="003379F7"/>
    <w:rsid w:val="003379FE"/>
    <w:rsid w:val="00340145"/>
    <w:rsid w:val="003402EA"/>
    <w:rsid w:val="003403B3"/>
    <w:rsid w:val="003404B5"/>
    <w:rsid w:val="003409EA"/>
    <w:rsid w:val="00340CF4"/>
    <w:rsid w:val="00340F12"/>
    <w:rsid w:val="00341902"/>
    <w:rsid w:val="0034349B"/>
    <w:rsid w:val="00344FD9"/>
    <w:rsid w:val="003452EC"/>
    <w:rsid w:val="00345CB7"/>
    <w:rsid w:val="003463C0"/>
    <w:rsid w:val="00346615"/>
    <w:rsid w:val="00346BCA"/>
    <w:rsid w:val="00346D95"/>
    <w:rsid w:val="00347505"/>
    <w:rsid w:val="00347937"/>
    <w:rsid w:val="003503E0"/>
    <w:rsid w:val="0035061A"/>
    <w:rsid w:val="00350D44"/>
    <w:rsid w:val="003510E6"/>
    <w:rsid w:val="00351157"/>
    <w:rsid w:val="00351751"/>
    <w:rsid w:val="00351AE9"/>
    <w:rsid w:val="00351CC1"/>
    <w:rsid w:val="0035201C"/>
    <w:rsid w:val="003521BA"/>
    <w:rsid w:val="0035314A"/>
    <w:rsid w:val="003532AC"/>
    <w:rsid w:val="003546A9"/>
    <w:rsid w:val="00355478"/>
    <w:rsid w:val="003556DC"/>
    <w:rsid w:val="003566F1"/>
    <w:rsid w:val="00357145"/>
    <w:rsid w:val="0035779A"/>
    <w:rsid w:val="00360679"/>
    <w:rsid w:val="00361177"/>
    <w:rsid w:val="003612CB"/>
    <w:rsid w:val="00363195"/>
    <w:rsid w:val="00363518"/>
    <w:rsid w:val="00363698"/>
    <w:rsid w:val="003637BC"/>
    <w:rsid w:val="003638CF"/>
    <w:rsid w:val="00363FD3"/>
    <w:rsid w:val="00364117"/>
    <w:rsid w:val="00364DFD"/>
    <w:rsid w:val="00365BBC"/>
    <w:rsid w:val="00367BF8"/>
    <w:rsid w:val="00367E80"/>
    <w:rsid w:val="00367F94"/>
    <w:rsid w:val="00370358"/>
    <w:rsid w:val="00370BD5"/>
    <w:rsid w:val="00370DD3"/>
    <w:rsid w:val="00371798"/>
    <w:rsid w:val="00371F76"/>
    <w:rsid w:val="00372CC9"/>
    <w:rsid w:val="003730FE"/>
    <w:rsid w:val="003735FD"/>
    <w:rsid w:val="0037374F"/>
    <w:rsid w:val="00373BE0"/>
    <w:rsid w:val="003741CB"/>
    <w:rsid w:val="00374B0B"/>
    <w:rsid w:val="00374E64"/>
    <w:rsid w:val="00375457"/>
    <w:rsid w:val="003758E6"/>
    <w:rsid w:val="0037611B"/>
    <w:rsid w:val="003771C7"/>
    <w:rsid w:val="0037761F"/>
    <w:rsid w:val="00377F7C"/>
    <w:rsid w:val="003804EB"/>
    <w:rsid w:val="00380905"/>
    <w:rsid w:val="00380DF7"/>
    <w:rsid w:val="00381012"/>
    <w:rsid w:val="0038133A"/>
    <w:rsid w:val="0038218F"/>
    <w:rsid w:val="0038272A"/>
    <w:rsid w:val="003828EA"/>
    <w:rsid w:val="0038354E"/>
    <w:rsid w:val="00383F68"/>
    <w:rsid w:val="0038530E"/>
    <w:rsid w:val="00385525"/>
    <w:rsid w:val="00386558"/>
    <w:rsid w:val="003869BB"/>
    <w:rsid w:val="00386AC7"/>
    <w:rsid w:val="00386BC8"/>
    <w:rsid w:val="00387068"/>
    <w:rsid w:val="00387648"/>
    <w:rsid w:val="00390BC1"/>
    <w:rsid w:val="003910E7"/>
    <w:rsid w:val="00393421"/>
    <w:rsid w:val="00393B5E"/>
    <w:rsid w:val="00394060"/>
    <w:rsid w:val="003944A8"/>
    <w:rsid w:val="00394928"/>
    <w:rsid w:val="00395206"/>
    <w:rsid w:val="00395D6A"/>
    <w:rsid w:val="00397080"/>
    <w:rsid w:val="00397C91"/>
    <w:rsid w:val="00397EAA"/>
    <w:rsid w:val="00397FEB"/>
    <w:rsid w:val="003A0644"/>
    <w:rsid w:val="003A0A5B"/>
    <w:rsid w:val="003A0BB3"/>
    <w:rsid w:val="003A1598"/>
    <w:rsid w:val="003A1C1D"/>
    <w:rsid w:val="003A3026"/>
    <w:rsid w:val="003A3C59"/>
    <w:rsid w:val="003A4A50"/>
    <w:rsid w:val="003A6618"/>
    <w:rsid w:val="003A6C3B"/>
    <w:rsid w:val="003B12D7"/>
    <w:rsid w:val="003B1F81"/>
    <w:rsid w:val="003B238B"/>
    <w:rsid w:val="003B2AB1"/>
    <w:rsid w:val="003B2EE7"/>
    <w:rsid w:val="003B32C4"/>
    <w:rsid w:val="003B36CF"/>
    <w:rsid w:val="003B38A8"/>
    <w:rsid w:val="003B43A2"/>
    <w:rsid w:val="003B43F9"/>
    <w:rsid w:val="003B5685"/>
    <w:rsid w:val="003B609B"/>
    <w:rsid w:val="003B64C5"/>
    <w:rsid w:val="003B64C9"/>
    <w:rsid w:val="003B68F4"/>
    <w:rsid w:val="003B759C"/>
    <w:rsid w:val="003C145E"/>
    <w:rsid w:val="003C2118"/>
    <w:rsid w:val="003C2336"/>
    <w:rsid w:val="003C32D9"/>
    <w:rsid w:val="003C335C"/>
    <w:rsid w:val="003C3E88"/>
    <w:rsid w:val="003C3F2D"/>
    <w:rsid w:val="003C44F4"/>
    <w:rsid w:val="003C4D4A"/>
    <w:rsid w:val="003C51B1"/>
    <w:rsid w:val="003C530C"/>
    <w:rsid w:val="003C571B"/>
    <w:rsid w:val="003C58C4"/>
    <w:rsid w:val="003C6062"/>
    <w:rsid w:val="003C64EE"/>
    <w:rsid w:val="003C6F75"/>
    <w:rsid w:val="003C6F78"/>
    <w:rsid w:val="003C7A5C"/>
    <w:rsid w:val="003C7AC0"/>
    <w:rsid w:val="003D05EE"/>
    <w:rsid w:val="003D0A1C"/>
    <w:rsid w:val="003D0C0F"/>
    <w:rsid w:val="003D2337"/>
    <w:rsid w:val="003D27DB"/>
    <w:rsid w:val="003D2FC1"/>
    <w:rsid w:val="003D3BA5"/>
    <w:rsid w:val="003D499D"/>
    <w:rsid w:val="003D4CF0"/>
    <w:rsid w:val="003D555A"/>
    <w:rsid w:val="003D594D"/>
    <w:rsid w:val="003D6500"/>
    <w:rsid w:val="003D68B4"/>
    <w:rsid w:val="003D6A3E"/>
    <w:rsid w:val="003D6A81"/>
    <w:rsid w:val="003D776F"/>
    <w:rsid w:val="003E0147"/>
    <w:rsid w:val="003E02E7"/>
    <w:rsid w:val="003E0AFA"/>
    <w:rsid w:val="003E0CEB"/>
    <w:rsid w:val="003E0E29"/>
    <w:rsid w:val="003E2921"/>
    <w:rsid w:val="003E2DFD"/>
    <w:rsid w:val="003E2E89"/>
    <w:rsid w:val="003E31AD"/>
    <w:rsid w:val="003E392E"/>
    <w:rsid w:val="003E3BE1"/>
    <w:rsid w:val="003E432F"/>
    <w:rsid w:val="003E45B5"/>
    <w:rsid w:val="003E5F10"/>
    <w:rsid w:val="003E69DA"/>
    <w:rsid w:val="003E6FAB"/>
    <w:rsid w:val="003E7001"/>
    <w:rsid w:val="003E713A"/>
    <w:rsid w:val="003E7A69"/>
    <w:rsid w:val="003E7B39"/>
    <w:rsid w:val="003E7B76"/>
    <w:rsid w:val="003E7F46"/>
    <w:rsid w:val="003F0635"/>
    <w:rsid w:val="003F0D78"/>
    <w:rsid w:val="003F1149"/>
    <w:rsid w:val="003F21E6"/>
    <w:rsid w:val="003F275E"/>
    <w:rsid w:val="003F3242"/>
    <w:rsid w:val="003F3363"/>
    <w:rsid w:val="003F58E2"/>
    <w:rsid w:val="003F5996"/>
    <w:rsid w:val="003F5EE2"/>
    <w:rsid w:val="003F6E36"/>
    <w:rsid w:val="003F7BB6"/>
    <w:rsid w:val="00400B33"/>
    <w:rsid w:val="00401308"/>
    <w:rsid w:val="0040150E"/>
    <w:rsid w:val="00402386"/>
    <w:rsid w:val="004026AD"/>
    <w:rsid w:val="0040292A"/>
    <w:rsid w:val="004039B5"/>
    <w:rsid w:val="00404735"/>
    <w:rsid w:val="0040498E"/>
    <w:rsid w:val="00404EDD"/>
    <w:rsid w:val="00405FB6"/>
    <w:rsid w:val="004066E8"/>
    <w:rsid w:val="00406B74"/>
    <w:rsid w:val="00406BEB"/>
    <w:rsid w:val="004070C4"/>
    <w:rsid w:val="0041078F"/>
    <w:rsid w:val="00410D8E"/>
    <w:rsid w:val="00412417"/>
    <w:rsid w:val="00412D92"/>
    <w:rsid w:val="0041307A"/>
    <w:rsid w:val="00413D47"/>
    <w:rsid w:val="0041526D"/>
    <w:rsid w:val="004156D7"/>
    <w:rsid w:val="0041590D"/>
    <w:rsid w:val="00415E48"/>
    <w:rsid w:val="004166CD"/>
    <w:rsid w:val="00420810"/>
    <w:rsid w:val="00420BCD"/>
    <w:rsid w:val="00421015"/>
    <w:rsid w:val="004220FF"/>
    <w:rsid w:val="004227B9"/>
    <w:rsid w:val="0042296F"/>
    <w:rsid w:val="0042317C"/>
    <w:rsid w:val="004231E6"/>
    <w:rsid w:val="00423345"/>
    <w:rsid w:val="00423588"/>
    <w:rsid w:val="00424633"/>
    <w:rsid w:val="0042467D"/>
    <w:rsid w:val="00424A47"/>
    <w:rsid w:val="00424C2D"/>
    <w:rsid w:val="0042523D"/>
    <w:rsid w:val="004252C6"/>
    <w:rsid w:val="00426A28"/>
    <w:rsid w:val="00426A3D"/>
    <w:rsid w:val="00426A56"/>
    <w:rsid w:val="00426F0B"/>
    <w:rsid w:val="00427191"/>
    <w:rsid w:val="00427C2F"/>
    <w:rsid w:val="0043044C"/>
    <w:rsid w:val="00430524"/>
    <w:rsid w:val="004315D7"/>
    <w:rsid w:val="00431C1F"/>
    <w:rsid w:val="00431D47"/>
    <w:rsid w:val="004320C4"/>
    <w:rsid w:val="00432319"/>
    <w:rsid w:val="004326A1"/>
    <w:rsid w:val="00432A68"/>
    <w:rsid w:val="004330D7"/>
    <w:rsid w:val="00433B93"/>
    <w:rsid w:val="00434070"/>
    <w:rsid w:val="0043427D"/>
    <w:rsid w:val="004349EF"/>
    <w:rsid w:val="004362F3"/>
    <w:rsid w:val="004364F0"/>
    <w:rsid w:val="00437135"/>
    <w:rsid w:val="00437B61"/>
    <w:rsid w:val="00437C83"/>
    <w:rsid w:val="004401E1"/>
    <w:rsid w:val="0044071B"/>
    <w:rsid w:val="004409B7"/>
    <w:rsid w:val="00440F8D"/>
    <w:rsid w:val="0044119C"/>
    <w:rsid w:val="00441AF3"/>
    <w:rsid w:val="00441BB7"/>
    <w:rsid w:val="00441BCF"/>
    <w:rsid w:val="00441E87"/>
    <w:rsid w:val="004420E6"/>
    <w:rsid w:val="0044223C"/>
    <w:rsid w:val="0044224C"/>
    <w:rsid w:val="0044254A"/>
    <w:rsid w:val="0044308C"/>
    <w:rsid w:val="00444705"/>
    <w:rsid w:val="004453F6"/>
    <w:rsid w:val="0044580E"/>
    <w:rsid w:val="00445950"/>
    <w:rsid w:val="00447703"/>
    <w:rsid w:val="00447B77"/>
    <w:rsid w:val="00450033"/>
    <w:rsid w:val="00451816"/>
    <w:rsid w:val="00452124"/>
    <w:rsid w:val="00452173"/>
    <w:rsid w:val="0045271B"/>
    <w:rsid w:val="00452A19"/>
    <w:rsid w:val="00453630"/>
    <w:rsid w:val="004538D0"/>
    <w:rsid w:val="00454695"/>
    <w:rsid w:val="00454A99"/>
    <w:rsid w:val="00455659"/>
    <w:rsid w:val="0045661E"/>
    <w:rsid w:val="0045686F"/>
    <w:rsid w:val="00456E98"/>
    <w:rsid w:val="00457506"/>
    <w:rsid w:val="00457E81"/>
    <w:rsid w:val="004608FB"/>
    <w:rsid w:val="00460CCB"/>
    <w:rsid w:val="004629BF"/>
    <w:rsid w:val="00462DC8"/>
    <w:rsid w:val="0046320F"/>
    <w:rsid w:val="004651E8"/>
    <w:rsid w:val="00465CF7"/>
    <w:rsid w:val="00465D41"/>
    <w:rsid w:val="00466E9E"/>
    <w:rsid w:val="004674E1"/>
    <w:rsid w:val="004675E4"/>
    <w:rsid w:val="00467861"/>
    <w:rsid w:val="0046787A"/>
    <w:rsid w:val="00470487"/>
    <w:rsid w:val="004706EC"/>
    <w:rsid w:val="004708AC"/>
    <w:rsid w:val="004719F8"/>
    <w:rsid w:val="00471BB1"/>
    <w:rsid w:val="004723B6"/>
    <w:rsid w:val="00472A1B"/>
    <w:rsid w:val="00473FE5"/>
    <w:rsid w:val="00474385"/>
    <w:rsid w:val="00474603"/>
    <w:rsid w:val="0047490E"/>
    <w:rsid w:val="00474A93"/>
    <w:rsid w:val="0047530B"/>
    <w:rsid w:val="00476013"/>
    <w:rsid w:val="0047673D"/>
    <w:rsid w:val="00476F91"/>
    <w:rsid w:val="004810AB"/>
    <w:rsid w:val="00481139"/>
    <w:rsid w:val="0048127B"/>
    <w:rsid w:val="004819E6"/>
    <w:rsid w:val="0048269C"/>
    <w:rsid w:val="00482F03"/>
    <w:rsid w:val="0048355E"/>
    <w:rsid w:val="004835B8"/>
    <w:rsid w:val="00483D42"/>
    <w:rsid w:val="0048470B"/>
    <w:rsid w:val="00484AE3"/>
    <w:rsid w:val="00484D46"/>
    <w:rsid w:val="00485CFC"/>
    <w:rsid w:val="00486723"/>
    <w:rsid w:val="00486A1D"/>
    <w:rsid w:val="004871EE"/>
    <w:rsid w:val="004901DE"/>
    <w:rsid w:val="00490225"/>
    <w:rsid w:val="00490980"/>
    <w:rsid w:val="004919EC"/>
    <w:rsid w:val="00491FC0"/>
    <w:rsid w:val="00491FC2"/>
    <w:rsid w:val="00492711"/>
    <w:rsid w:val="00492D92"/>
    <w:rsid w:val="00492FD1"/>
    <w:rsid w:val="00492FE4"/>
    <w:rsid w:val="0049341A"/>
    <w:rsid w:val="00493B7D"/>
    <w:rsid w:val="00493C7A"/>
    <w:rsid w:val="004940F8"/>
    <w:rsid w:val="0049413C"/>
    <w:rsid w:val="00494773"/>
    <w:rsid w:val="00494890"/>
    <w:rsid w:val="00494AA1"/>
    <w:rsid w:val="00494F03"/>
    <w:rsid w:val="00495675"/>
    <w:rsid w:val="00495DFB"/>
    <w:rsid w:val="00496244"/>
    <w:rsid w:val="0049630C"/>
    <w:rsid w:val="00496673"/>
    <w:rsid w:val="004968CF"/>
    <w:rsid w:val="00496A3C"/>
    <w:rsid w:val="00496C63"/>
    <w:rsid w:val="00496C81"/>
    <w:rsid w:val="004A0BA2"/>
    <w:rsid w:val="004A0C83"/>
    <w:rsid w:val="004A0F7D"/>
    <w:rsid w:val="004A0F80"/>
    <w:rsid w:val="004A1485"/>
    <w:rsid w:val="004A171B"/>
    <w:rsid w:val="004A1816"/>
    <w:rsid w:val="004A2259"/>
    <w:rsid w:val="004A287B"/>
    <w:rsid w:val="004A2C50"/>
    <w:rsid w:val="004A3300"/>
    <w:rsid w:val="004A3C72"/>
    <w:rsid w:val="004A5512"/>
    <w:rsid w:val="004A60E0"/>
    <w:rsid w:val="004A6215"/>
    <w:rsid w:val="004A6670"/>
    <w:rsid w:val="004A68B7"/>
    <w:rsid w:val="004A75D5"/>
    <w:rsid w:val="004B071B"/>
    <w:rsid w:val="004B17C0"/>
    <w:rsid w:val="004B1BF7"/>
    <w:rsid w:val="004B235D"/>
    <w:rsid w:val="004B34A2"/>
    <w:rsid w:val="004B3ED8"/>
    <w:rsid w:val="004B40ED"/>
    <w:rsid w:val="004B4573"/>
    <w:rsid w:val="004B509E"/>
    <w:rsid w:val="004B5357"/>
    <w:rsid w:val="004B5437"/>
    <w:rsid w:val="004B5B8C"/>
    <w:rsid w:val="004B605A"/>
    <w:rsid w:val="004B75E7"/>
    <w:rsid w:val="004B78F4"/>
    <w:rsid w:val="004C0AE5"/>
    <w:rsid w:val="004C0BF1"/>
    <w:rsid w:val="004C134C"/>
    <w:rsid w:val="004C1AB9"/>
    <w:rsid w:val="004C1AF6"/>
    <w:rsid w:val="004C201D"/>
    <w:rsid w:val="004C225A"/>
    <w:rsid w:val="004C279C"/>
    <w:rsid w:val="004C3154"/>
    <w:rsid w:val="004C3C2C"/>
    <w:rsid w:val="004C5585"/>
    <w:rsid w:val="004C5B5C"/>
    <w:rsid w:val="004C65C8"/>
    <w:rsid w:val="004C687F"/>
    <w:rsid w:val="004C75FD"/>
    <w:rsid w:val="004C7709"/>
    <w:rsid w:val="004D01ED"/>
    <w:rsid w:val="004D03F2"/>
    <w:rsid w:val="004D0718"/>
    <w:rsid w:val="004D0C4A"/>
    <w:rsid w:val="004D126D"/>
    <w:rsid w:val="004D154E"/>
    <w:rsid w:val="004D1F5F"/>
    <w:rsid w:val="004D2356"/>
    <w:rsid w:val="004D2872"/>
    <w:rsid w:val="004D312A"/>
    <w:rsid w:val="004D336C"/>
    <w:rsid w:val="004D3B7C"/>
    <w:rsid w:val="004D3DB4"/>
    <w:rsid w:val="004D3EEE"/>
    <w:rsid w:val="004D3F8E"/>
    <w:rsid w:val="004D548D"/>
    <w:rsid w:val="004D641D"/>
    <w:rsid w:val="004D704C"/>
    <w:rsid w:val="004D7AA0"/>
    <w:rsid w:val="004D7C23"/>
    <w:rsid w:val="004D7DBD"/>
    <w:rsid w:val="004E0AAE"/>
    <w:rsid w:val="004E0D58"/>
    <w:rsid w:val="004E0E1B"/>
    <w:rsid w:val="004E16D7"/>
    <w:rsid w:val="004E1B34"/>
    <w:rsid w:val="004E2340"/>
    <w:rsid w:val="004E24D2"/>
    <w:rsid w:val="004E370E"/>
    <w:rsid w:val="004E38B3"/>
    <w:rsid w:val="004E6007"/>
    <w:rsid w:val="004E671C"/>
    <w:rsid w:val="004E67A8"/>
    <w:rsid w:val="004E6977"/>
    <w:rsid w:val="004E7842"/>
    <w:rsid w:val="004E7C3A"/>
    <w:rsid w:val="004F0220"/>
    <w:rsid w:val="004F07CE"/>
    <w:rsid w:val="004F117B"/>
    <w:rsid w:val="004F127E"/>
    <w:rsid w:val="004F1ADF"/>
    <w:rsid w:val="004F1E0C"/>
    <w:rsid w:val="004F1E65"/>
    <w:rsid w:val="004F257D"/>
    <w:rsid w:val="004F261F"/>
    <w:rsid w:val="004F4D8C"/>
    <w:rsid w:val="004F4DF0"/>
    <w:rsid w:val="004F5290"/>
    <w:rsid w:val="004F5D9C"/>
    <w:rsid w:val="004F604A"/>
    <w:rsid w:val="004F632C"/>
    <w:rsid w:val="004F6514"/>
    <w:rsid w:val="004F7FA2"/>
    <w:rsid w:val="0050072D"/>
    <w:rsid w:val="00501BCD"/>
    <w:rsid w:val="00502639"/>
    <w:rsid w:val="00503B94"/>
    <w:rsid w:val="00504A8B"/>
    <w:rsid w:val="00506392"/>
    <w:rsid w:val="00506662"/>
    <w:rsid w:val="00506827"/>
    <w:rsid w:val="005068E0"/>
    <w:rsid w:val="00507901"/>
    <w:rsid w:val="00510866"/>
    <w:rsid w:val="00510F8B"/>
    <w:rsid w:val="005117CE"/>
    <w:rsid w:val="0051210F"/>
    <w:rsid w:val="0051216B"/>
    <w:rsid w:val="005124DF"/>
    <w:rsid w:val="005124EC"/>
    <w:rsid w:val="00512A76"/>
    <w:rsid w:val="005147DC"/>
    <w:rsid w:val="0051499C"/>
    <w:rsid w:val="005159C1"/>
    <w:rsid w:val="00515A9A"/>
    <w:rsid w:val="005163F8"/>
    <w:rsid w:val="00516AF6"/>
    <w:rsid w:val="00516D91"/>
    <w:rsid w:val="005175D6"/>
    <w:rsid w:val="00517701"/>
    <w:rsid w:val="00517890"/>
    <w:rsid w:val="00520736"/>
    <w:rsid w:val="00520C0E"/>
    <w:rsid w:val="00521A3B"/>
    <w:rsid w:val="00521B15"/>
    <w:rsid w:val="005227CE"/>
    <w:rsid w:val="00522E48"/>
    <w:rsid w:val="00523186"/>
    <w:rsid w:val="005231C4"/>
    <w:rsid w:val="00523674"/>
    <w:rsid w:val="0052456F"/>
    <w:rsid w:val="00524890"/>
    <w:rsid w:val="00524C5E"/>
    <w:rsid w:val="00524D1B"/>
    <w:rsid w:val="00524E26"/>
    <w:rsid w:val="00525836"/>
    <w:rsid w:val="005258C9"/>
    <w:rsid w:val="00526CA8"/>
    <w:rsid w:val="00526F58"/>
    <w:rsid w:val="005278C2"/>
    <w:rsid w:val="00527A93"/>
    <w:rsid w:val="00527F2D"/>
    <w:rsid w:val="00530AA5"/>
    <w:rsid w:val="00530C05"/>
    <w:rsid w:val="00530E1A"/>
    <w:rsid w:val="00531331"/>
    <w:rsid w:val="005313C0"/>
    <w:rsid w:val="00531CF6"/>
    <w:rsid w:val="005329F7"/>
    <w:rsid w:val="005345D3"/>
    <w:rsid w:val="005348BD"/>
    <w:rsid w:val="00534CAA"/>
    <w:rsid w:val="00534FA3"/>
    <w:rsid w:val="005351D3"/>
    <w:rsid w:val="0053540E"/>
    <w:rsid w:val="00535844"/>
    <w:rsid w:val="00535AB4"/>
    <w:rsid w:val="00535DB3"/>
    <w:rsid w:val="00535FE9"/>
    <w:rsid w:val="0053686C"/>
    <w:rsid w:val="0053697C"/>
    <w:rsid w:val="00536A27"/>
    <w:rsid w:val="005372C0"/>
    <w:rsid w:val="00542296"/>
    <w:rsid w:val="005422A9"/>
    <w:rsid w:val="005427C1"/>
    <w:rsid w:val="00542DFD"/>
    <w:rsid w:val="005431B4"/>
    <w:rsid w:val="005432DB"/>
    <w:rsid w:val="00543458"/>
    <w:rsid w:val="005436BD"/>
    <w:rsid w:val="0054384A"/>
    <w:rsid w:val="0054421B"/>
    <w:rsid w:val="00544C61"/>
    <w:rsid w:val="00544F39"/>
    <w:rsid w:val="00546143"/>
    <w:rsid w:val="005463FA"/>
    <w:rsid w:val="0054723B"/>
    <w:rsid w:val="00547475"/>
    <w:rsid w:val="005474E5"/>
    <w:rsid w:val="00547D6E"/>
    <w:rsid w:val="00550844"/>
    <w:rsid w:val="00551341"/>
    <w:rsid w:val="00551460"/>
    <w:rsid w:val="0055156D"/>
    <w:rsid w:val="00552FF8"/>
    <w:rsid w:val="005532CE"/>
    <w:rsid w:val="00553B72"/>
    <w:rsid w:val="00554B08"/>
    <w:rsid w:val="00554F29"/>
    <w:rsid w:val="00556301"/>
    <w:rsid w:val="00556825"/>
    <w:rsid w:val="00556CC8"/>
    <w:rsid w:val="0055725C"/>
    <w:rsid w:val="005572B2"/>
    <w:rsid w:val="00557B2D"/>
    <w:rsid w:val="005600CA"/>
    <w:rsid w:val="005607F6"/>
    <w:rsid w:val="0056115E"/>
    <w:rsid w:val="0056147D"/>
    <w:rsid w:val="0056153D"/>
    <w:rsid w:val="0056159F"/>
    <w:rsid w:val="00561876"/>
    <w:rsid w:val="005621AD"/>
    <w:rsid w:val="005625C2"/>
    <w:rsid w:val="00562E2A"/>
    <w:rsid w:val="00564802"/>
    <w:rsid w:val="00564EB8"/>
    <w:rsid w:val="00564F28"/>
    <w:rsid w:val="00565748"/>
    <w:rsid w:val="00565ABA"/>
    <w:rsid w:val="0056688C"/>
    <w:rsid w:val="00566D73"/>
    <w:rsid w:val="0056752B"/>
    <w:rsid w:val="00570436"/>
    <w:rsid w:val="00570456"/>
    <w:rsid w:val="005708C4"/>
    <w:rsid w:val="00571026"/>
    <w:rsid w:val="005715AA"/>
    <w:rsid w:val="00571BE5"/>
    <w:rsid w:val="0057252D"/>
    <w:rsid w:val="005725FD"/>
    <w:rsid w:val="0057260A"/>
    <w:rsid w:val="00572AF1"/>
    <w:rsid w:val="00572D42"/>
    <w:rsid w:val="005732FF"/>
    <w:rsid w:val="00573ABC"/>
    <w:rsid w:val="005749F8"/>
    <w:rsid w:val="00574F85"/>
    <w:rsid w:val="00574F95"/>
    <w:rsid w:val="0057689B"/>
    <w:rsid w:val="005769C9"/>
    <w:rsid w:val="0058371A"/>
    <w:rsid w:val="0058436F"/>
    <w:rsid w:val="0058536F"/>
    <w:rsid w:val="00586502"/>
    <w:rsid w:val="00586AD5"/>
    <w:rsid w:val="00586CA5"/>
    <w:rsid w:val="00590355"/>
    <w:rsid w:val="0059089D"/>
    <w:rsid w:val="00590EBF"/>
    <w:rsid w:val="0059101A"/>
    <w:rsid w:val="005912D8"/>
    <w:rsid w:val="00592213"/>
    <w:rsid w:val="00593421"/>
    <w:rsid w:val="00593E18"/>
    <w:rsid w:val="00594704"/>
    <w:rsid w:val="005951C3"/>
    <w:rsid w:val="00595DFB"/>
    <w:rsid w:val="00595FA8"/>
    <w:rsid w:val="005963A1"/>
    <w:rsid w:val="00596900"/>
    <w:rsid w:val="00597CAF"/>
    <w:rsid w:val="005A035F"/>
    <w:rsid w:val="005A0A75"/>
    <w:rsid w:val="005A1160"/>
    <w:rsid w:val="005A117C"/>
    <w:rsid w:val="005A29D1"/>
    <w:rsid w:val="005A3467"/>
    <w:rsid w:val="005A3482"/>
    <w:rsid w:val="005A3495"/>
    <w:rsid w:val="005A409C"/>
    <w:rsid w:val="005A4114"/>
    <w:rsid w:val="005A47E2"/>
    <w:rsid w:val="005A4BEE"/>
    <w:rsid w:val="005A4C19"/>
    <w:rsid w:val="005A51F3"/>
    <w:rsid w:val="005A5372"/>
    <w:rsid w:val="005A56BC"/>
    <w:rsid w:val="005A66CD"/>
    <w:rsid w:val="005A66F9"/>
    <w:rsid w:val="005A6B8E"/>
    <w:rsid w:val="005B0466"/>
    <w:rsid w:val="005B09F1"/>
    <w:rsid w:val="005B0C5A"/>
    <w:rsid w:val="005B1919"/>
    <w:rsid w:val="005B1AD8"/>
    <w:rsid w:val="005B2368"/>
    <w:rsid w:val="005B28D9"/>
    <w:rsid w:val="005B3144"/>
    <w:rsid w:val="005B31FB"/>
    <w:rsid w:val="005B3933"/>
    <w:rsid w:val="005B3946"/>
    <w:rsid w:val="005B3A6D"/>
    <w:rsid w:val="005B430D"/>
    <w:rsid w:val="005B44C1"/>
    <w:rsid w:val="005B4614"/>
    <w:rsid w:val="005B4B59"/>
    <w:rsid w:val="005B4BF5"/>
    <w:rsid w:val="005B4E1E"/>
    <w:rsid w:val="005B506A"/>
    <w:rsid w:val="005B5830"/>
    <w:rsid w:val="005B58F0"/>
    <w:rsid w:val="005B598A"/>
    <w:rsid w:val="005B61FF"/>
    <w:rsid w:val="005B655A"/>
    <w:rsid w:val="005B6F24"/>
    <w:rsid w:val="005B7986"/>
    <w:rsid w:val="005B7992"/>
    <w:rsid w:val="005B7A12"/>
    <w:rsid w:val="005B7B21"/>
    <w:rsid w:val="005C01ED"/>
    <w:rsid w:val="005C0464"/>
    <w:rsid w:val="005C0774"/>
    <w:rsid w:val="005C1BC9"/>
    <w:rsid w:val="005C1D36"/>
    <w:rsid w:val="005C203A"/>
    <w:rsid w:val="005C2703"/>
    <w:rsid w:val="005C2AE3"/>
    <w:rsid w:val="005C32D3"/>
    <w:rsid w:val="005C33B6"/>
    <w:rsid w:val="005C391E"/>
    <w:rsid w:val="005C413F"/>
    <w:rsid w:val="005C4A4E"/>
    <w:rsid w:val="005C4D18"/>
    <w:rsid w:val="005C634A"/>
    <w:rsid w:val="005C647A"/>
    <w:rsid w:val="005C6D11"/>
    <w:rsid w:val="005C779D"/>
    <w:rsid w:val="005C7F98"/>
    <w:rsid w:val="005D043F"/>
    <w:rsid w:val="005D064D"/>
    <w:rsid w:val="005D0671"/>
    <w:rsid w:val="005D0E84"/>
    <w:rsid w:val="005D1271"/>
    <w:rsid w:val="005D156A"/>
    <w:rsid w:val="005D16B6"/>
    <w:rsid w:val="005D254D"/>
    <w:rsid w:val="005D3A15"/>
    <w:rsid w:val="005D3F23"/>
    <w:rsid w:val="005D4BD2"/>
    <w:rsid w:val="005D5460"/>
    <w:rsid w:val="005D5A75"/>
    <w:rsid w:val="005D5B0A"/>
    <w:rsid w:val="005D5B20"/>
    <w:rsid w:val="005D626B"/>
    <w:rsid w:val="005D6CAC"/>
    <w:rsid w:val="005E08E1"/>
    <w:rsid w:val="005E09E9"/>
    <w:rsid w:val="005E11EA"/>
    <w:rsid w:val="005E11FB"/>
    <w:rsid w:val="005E1789"/>
    <w:rsid w:val="005E2B07"/>
    <w:rsid w:val="005E2BA2"/>
    <w:rsid w:val="005E30DD"/>
    <w:rsid w:val="005E3647"/>
    <w:rsid w:val="005E37EB"/>
    <w:rsid w:val="005E41EB"/>
    <w:rsid w:val="005E4771"/>
    <w:rsid w:val="005E4B66"/>
    <w:rsid w:val="005E4D65"/>
    <w:rsid w:val="005E510E"/>
    <w:rsid w:val="005E5335"/>
    <w:rsid w:val="005E5555"/>
    <w:rsid w:val="005E5CC1"/>
    <w:rsid w:val="005E60BB"/>
    <w:rsid w:val="005E6692"/>
    <w:rsid w:val="005E7B14"/>
    <w:rsid w:val="005F18C0"/>
    <w:rsid w:val="005F21AF"/>
    <w:rsid w:val="005F298C"/>
    <w:rsid w:val="005F3C4C"/>
    <w:rsid w:val="005F4A7E"/>
    <w:rsid w:val="005F4E0A"/>
    <w:rsid w:val="005F54DC"/>
    <w:rsid w:val="005F5926"/>
    <w:rsid w:val="005F5AEF"/>
    <w:rsid w:val="005F608E"/>
    <w:rsid w:val="005F78A2"/>
    <w:rsid w:val="00600B3B"/>
    <w:rsid w:val="00600F8C"/>
    <w:rsid w:val="006013D7"/>
    <w:rsid w:val="00601CFC"/>
    <w:rsid w:val="006031E1"/>
    <w:rsid w:val="006032AD"/>
    <w:rsid w:val="00603660"/>
    <w:rsid w:val="00603E4B"/>
    <w:rsid w:val="0060414F"/>
    <w:rsid w:val="00604275"/>
    <w:rsid w:val="00604604"/>
    <w:rsid w:val="00605272"/>
    <w:rsid w:val="006052B1"/>
    <w:rsid w:val="006057C8"/>
    <w:rsid w:val="006076AC"/>
    <w:rsid w:val="006101EC"/>
    <w:rsid w:val="0061026B"/>
    <w:rsid w:val="00610289"/>
    <w:rsid w:val="0061163D"/>
    <w:rsid w:val="00612017"/>
    <w:rsid w:val="00613104"/>
    <w:rsid w:val="00613339"/>
    <w:rsid w:val="00613638"/>
    <w:rsid w:val="0061451C"/>
    <w:rsid w:val="006146EA"/>
    <w:rsid w:val="00614901"/>
    <w:rsid w:val="00615153"/>
    <w:rsid w:val="0061544E"/>
    <w:rsid w:val="00615BB7"/>
    <w:rsid w:val="00615F62"/>
    <w:rsid w:val="00616672"/>
    <w:rsid w:val="00616A34"/>
    <w:rsid w:val="00616CCC"/>
    <w:rsid w:val="00616D9E"/>
    <w:rsid w:val="00617633"/>
    <w:rsid w:val="00617B1F"/>
    <w:rsid w:val="00617B2E"/>
    <w:rsid w:val="00620531"/>
    <w:rsid w:val="00620762"/>
    <w:rsid w:val="0062202B"/>
    <w:rsid w:val="00622343"/>
    <w:rsid w:val="006231A7"/>
    <w:rsid w:val="006231E2"/>
    <w:rsid w:val="006233B1"/>
    <w:rsid w:val="006237B3"/>
    <w:rsid w:val="00624314"/>
    <w:rsid w:val="006246D7"/>
    <w:rsid w:val="00624874"/>
    <w:rsid w:val="00624891"/>
    <w:rsid w:val="00624EA0"/>
    <w:rsid w:val="006250F0"/>
    <w:rsid w:val="00625130"/>
    <w:rsid w:val="00627CBC"/>
    <w:rsid w:val="00627FE4"/>
    <w:rsid w:val="00630369"/>
    <w:rsid w:val="006309C8"/>
    <w:rsid w:val="00630FB8"/>
    <w:rsid w:val="00631226"/>
    <w:rsid w:val="00631FF3"/>
    <w:rsid w:val="006326CC"/>
    <w:rsid w:val="00634652"/>
    <w:rsid w:val="00635197"/>
    <w:rsid w:val="006357B6"/>
    <w:rsid w:val="00636121"/>
    <w:rsid w:val="006365BC"/>
    <w:rsid w:val="00637084"/>
    <w:rsid w:val="00637300"/>
    <w:rsid w:val="00637705"/>
    <w:rsid w:val="00640B57"/>
    <w:rsid w:val="006411AD"/>
    <w:rsid w:val="00641E26"/>
    <w:rsid w:val="00643785"/>
    <w:rsid w:val="00643A6E"/>
    <w:rsid w:val="006442D5"/>
    <w:rsid w:val="0064455B"/>
    <w:rsid w:val="00644DD3"/>
    <w:rsid w:val="00645515"/>
    <w:rsid w:val="00645553"/>
    <w:rsid w:val="006455A3"/>
    <w:rsid w:val="00646216"/>
    <w:rsid w:val="00646558"/>
    <w:rsid w:val="006468E6"/>
    <w:rsid w:val="00646F3B"/>
    <w:rsid w:val="00647532"/>
    <w:rsid w:val="006477EC"/>
    <w:rsid w:val="00647C99"/>
    <w:rsid w:val="00650274"/>
    <w:rsid w:val="006507BE"/>
    <w:rsid w:val="00650DAB"/>
    <w:rsid w:val="00650F90"/>
    <w:rsid w:val="00651220"/>
    <w:rsid w:val="00651340"/>
    <w:rsid w:val="006514A9"/>
    <w:rsid w:val="0065150D"/>
    <w:rsid w:val="0065162A"/>
    <w:rsid w:val="00651E7E"/>
    <w:rsid w:val="00652000"/>
    <w:rsid w:val="006520ED"/>
    <w:rsid w:val="00653C9F"/>
    <w:rsid w:val="0065440E"/>
    <w:rsid w:val="00654905"/>
    <w:rsid w:val="0065504E"/>
    <w:rsid w:val="006556BF"/>
    <w:rsid w:val="0065586C"/>
    <w:rsid w:val="00655CB8"/>
    <w:rsid w:val="00655E12"/>
    <w:rsid w:val="00655F73"/>
    <w:rsid w:val="00656B42"/>
    <w:rsid w:val="00660C3E"/>
    <w:rsid w:val="0066123A"/>
    <w:rsid w:val="00661366"/>
    <w:rsid w:val="0066158B"/>
    <w:rsid w:val="0066174D"/>
    <w:rsid w:val="00661FF9"/>
    <w:rsid w:val="00662401"/>
    <w:rsid w:val="00662727"/>
    <w:rsid w:val="00662A9B"/>
    <w:rsid w:val="0066423F"/>
    <w:rsid w:val="00664693"/>
    <w:rsid w:val="00665771"/>
    <w:rsid w:val="00665B55"/>
    <w:rsid w:val="00665D4A"/>
    <w:rsid w:val="006662FE"/>
    <w:rsid w:val="00666D93"/>
    <w:rsid w:val="006676ED"/>
    <w:rsid w:val="00667B2B"/>
    <w:rsid w:val="00667D22"/>
    <w:rsid w:val="00667E77"/>
    <w:rsid w:val="00667FC4"/>
    <w:rsid w:val="0067012D"/>
    <w:rsid w:val="00670391"/>
    <w:rsid w:val="00670C60"/>
    <w:rsid w:val="00670F3E"/>
    <w:rsid w:val="00671515"/>
    <w:rsid w:val="00671A29"/>
    <w:rsid w:val="006740A0"/>
    <w:rsid w:val="0067456C"/>
    <w:rsid w:val="00674747"/>
    <w:rsid w:val="0067502E"/>
    <w:rsid w:val="0067555D"/>
    <w:rsid w:val="00675A64"/>
    <w:rsid w:val="00675BFD"/>
    <w:rsid w:val="00675C40"/>
    <w:rsid w:val="006763D5"/>
    <w:rsid w:val="006766A2"/>
    <w:rsid w:val="006767C0"/>
    <w:rsid w:val="00677936"/>
    <w:rsid w:val="00677A1D"/>
    <w:rsid w:val="00677E79"/>
    <w:rsid w:val="00677E7A"/>
    <w:rsid w:val="0068002D"/>
    <w:rsid w:val="0068112D"/>
    <w:rsid w:val="0068191A"/>
    <w:rsid w:val="00682015"/>
    <w:rsid w:val="006821A3"/>
    <w:rsid w:val="00682853"/>
    <w:rsid w:val="00682A6B"/>
    <w:rsid w:val="00683320"/>
    <w:rsid w:val="00683601"/>
    <w:rsid w:val="00683823"/>
    <w:rsid w:val="00684291"/>
    <w:rsid w:val="00684A08"/>
    <w:rsid w:val="00685A2C"/>
    <w:rsid w:val="0068615A"/>
    <w:rsid w:val="006873A7"/>
    <w:rsid w:val="00687845"/>
    <w:rsid w:val="00687B23"/>
    <w:rsid w:val="0069126D"/>
    <w:rsid w:val="00693967"/>
    <w:rsid w:val="00693FBF"/>
    <w:rsid w:val="00694B94"/>
    <w:rsid w:val="006950DD"/>
    <w:rsid w:val="00695771"/>
    <w:rsid w:val="00695AE4"/>
    <w:rsid w:val="0069630A"/>
    <w:rsid w:val="00696823"/>
    <w:rsid w:val="00696D88"/>
    <w:rsid w:val="006A0435"/>
    <w:rsid w:val="006A155A"/>
    <w:rsid w:val="006A187A"/>
    <w:rsid w:val="006A187B"/>
    <w:rsid w:val="006A215F"/>
    <w:rsid w:val="006A29BC"/>
    <w:rsid w:val="006A2F52"/>
    <w:rsid w:val="006A3638"/>
    <w:rsid w:val="006A3B77"/>
    <w:rsid w:val="006A3E49"/>
    <w:rsid w:val="006A4476"/>
    <w:rsid w:val="006A4843"/>
    <w:rsid w:val="006A5401"/>
    <w:rsid w:val="006A68CE"/>
    <w:rsid w:val="006A703E"/>
    <w:rsid w:val="006B019F"/>
    <w:rsid w:val="006B04B7"/>
    <w:rsid w:val="006B0603"/>
    <w:rsid w:val="006B0627"/>
    <w:rsid w:val="006B0FFD"/>
    <w:rsid w:val="006B152E"/>
    <w:rsid w:val="006B28F2"/>
    <w:rsid w:val="006B2A92"/>
    <w:rsid w:val="006B3306"/>
    <w:rsid w:val="006B417C"/>
    <w:rsid w:val="006B4F7E"/>
    <w:rsid w:val="006B65C8"/>
    <w:rsid w:val="006B682B"/>
    <w:rsid w:val="006B6867"/>
    <w:rsid w:val="006B7139"/>
    <w:rsid w:val="006B781C"/>
    <w:rsid w:val="006B7875"/>
    <w:rsid w:val="006B7974"/>
    <w:rsid w:val="006B7AB7"/>
    <w:rsid w:val="006B7B40"/>
    <w:rsid w:val="006B7B91"/>
    <w:rsid w:val="006C0091"/>
    <w:rsid w:val="006C0388"/>
    <w:rsid w:val="006C0D60"/>
    <w:rsid w:val="006C0F10"/>
    <w:rsid w:val="006C1301"/>
    <w:rsid w:val="006C13B7"/>
    <w:rsid w:val="006C2F48"/>
    <w:rsid w:val="006C3258"/>
    <w:rsid w:val="006C3A86"/>
    <w:rsid w:val="006C42DE"/>
    <w:rsid w:val="006C57DC"/>
    <w:rsid w:val="006C591B"/>
    <w:rsid w:val="006C5AF4"/>
    <w:rsid w:val="006C5B8E"/>
    <w:rsid w:val="006C637C"/>
    <w:rsid w:val="006C6C15"/>
    <w:rsid w:val="006C72E5"/>
    <w:rsid w:val="006C7588"/>
    <w:rsid w:val="006C7826"/>
    <w:rsid w:val="006D00BA"/>
    <w:rsid w:val="006D0B04"/>
    <w:rsid w:val="006D0CAA"/>
    <w:rsid w:val="006D0E7D"/>
    <w:rsid w:val="006D15B5"/>
    <w:rsid w:val="006D2DFD"/>
    <w:rsid w:val="006D34D5"/>
    <w:rsid w:val="006D38CE"/>
    <w:rsid w:val="006D4665"/>
    <w:rsid w:val="006D4AA4"/>
    <w:rsid w:val="006D5287"/>
    <w:rsid w:val="006D6602"/>
    <w:rsid w:val="006D6A5D"/>
    <w:rsid w:val="006D6CB4"/>
    <w:rsid w:val="006D7519"/>
    <w:rsid w:val="006D7822"/>
    <w:rsid w:val="006D79AE"/>
    <w:rsid w:val="006E06F0"/>
    <w:rsid w:val="006E0A46"/>
    <w:rsid w:val="006E1EDB"/>
    <w:rsid w:val="006E203A"/>
    <w:rsid w:val="006E2BC8"/>
    <w:rsid w:val="006E2E15"/>
    <w:rsid w:val="006E33A2"/>
    <w:rsid w:val="006E39DA"/>
    <w:rsid w:val="006E3D6B"/>
    <w:rsid w:val="006E3F95"/>
    <w:rsid w:val="006E40E2"/>
    <w:rsid w:val="006E4D13"/>
    <w:rsid w:val="006E4DBF"/>
    <w:rsid w:val="006E6050"/>
    <w:rsid w:val="006E643B"/>
    <w:rsid w:val="006E7894"/>
    <w:rsid w:val="006E7983"/>
    <w:rsid w:val="006E7CA8"/>
    <w:rsid w:val="006F19F5"/>
    <w:rsid w:val="006F1F74"/>
    <w:rsid w:val="006F28F3"/>
    <w:rsid w:val="006F2C99"/>
    <w:rsid w:val="006F2CDF"/>
    <w:rsid w:val="006F34A2"/>
    <w:rsid w:val="006F4164"/>
    <w:rsid w:val="006F4233"/>
    <w:rsid w:val="006F463D"/>
    <w:rsid w:val="006F4889"/>
    <w:rsid w:val="006F4EE3"/>
    <w:rsid w:val="006F5072"/>
    <w:rsid w:val="006F6229"/>
    <w:rsid w:val="006F7279"/>
    <w:rsid w:val="006F76E0"/>
    <w:rsid w:val="006F7B1A"/>
    <w:rsid w:val="006F7E03"/>
    <w:rsid w:val="0070074C"/>
    <w:rsid w:val="0070098C"/>
    <w:rsid w:val="007014F8"/>
    <w:rsid w:val="00701B6B"/>
    <w:rsid w:val="007022FF"/>
    <w:rsid w:val="00702980"/>
    <w:rsid w:val="007036EB"/>
    <w:rsid w:val="00703B7D"/>
    <w:rsid w:val="0070490B"/>
    <w:rsid w:val="007049F8"/>
    <w:rsid w:val="0070594A"/>
    <w:rsid w:val="00705C44"/>
    <w:rsid w:val="00705DE1"/>
    <w:rsid w:val="007077F6"/>
    <w:rsid w:val="00707946"/>
    <w:rsid w:val="00707947"/>
    <w:rsid w:val="00707E56"/>
    <w:rsid w:val="00707EB0"/>
    <w:rsid w:val="007101B4"/>
    <w:rsid w:val="0071030E"/>
    <w:rsid w:val="0071047F"/>
    <w:rsid w:val="00710C13"/>
    <w:rsid w:val="00711BE1"/>
    <w:rsid w:val="00711D96"/>
    <w:rsid w:val="00711F34"/>
    <w:rsid w:val="0071213D"/>
    <w:rsid w:val="00712543"/>
    <w:rsid w:val="007126B2"/>
    <w:rsid w:val="007126D4"/>
    <w:rsid w:val="00712855"/>
    <w:rsid w:val="00712C27"/>
    <w:rsid w:val="007130E8"/>
    <w:rsid w:val="00714034"/>
    <w:rsid w:val="007144E5"/>
    <w:rsid w:val="00714AD9"/>
    <w:rsid w:val="00715A75"/>
    <w:rsid w:val="0071682A"/>
    <w:rsid w:val="007170E2"/>
    <w:rsid w:val="007172B1"/>
    <w:rsid w:val="007201AC"/>
    <w:rsid w:val="0072103E"/>
    <w:rsid w:val="00721A2C"/>
    <w:rsid w:val="00721F1C"/>
    <w:rsid w:val="0072293A"/>
    <w:rsid w:val="007236B3"/>
    <w:rsid w:val="007242E4"/>
    <w:rsid w:val="00724C97"/>
    <w:rsid w:val="00724F02"/>
    <w:rsid w:val="007260D7"/>
    <w:rsid w:val="007262FE"/>
    <w:rsid w:val="007267E7"/>
    <w:rsid w:val="00726A47"/>
    <w:rsid w:val="0072720C"/>
    <w:rsid w:val="0072741A"/>
    <w:rsid w:val="0072759D"/>
    <w:rsid w:val="007300E6"/>
    <w:rsid w:val="0073138D"/>
    <w:rsid w:val="007314EB"/>
    <w:rsid w:val="007314FC"/>
    <w:rsid w:val="00731ABB"/>
    <w:rsid w:val="00731AC4"/>
    <w:rsid w:val="00731CC3"/>
    <w:rsid w:val="00731CCB"/>
    <w:rsid w:val="00731F26"/>
    <w:rsid w:val="0073254C"/>
    <w:rsid w:val="00732F0E"/>
    <w:rsid w:val="00733431"/>
    <w:rsid w:val="00733A8C"/>
    <w:rsid w:val="00733A8F"/>
    <w:rsid w:val="00735026"/>
    <w:rsid w:val="00735AFA"/>
    <w:rsid w:val="00736BAB"/>
    <w:rsid w:val="00736C1E"/>
    <w:rsid w:val="007371AE"/>
    <w:rsid w:val="0073783A"/>
    <w:rsid w:val="0074086D"/>
    <w:rsid w:val="007417B6"/>
    <w:rsid w:val="007420BC"/>
    <w:rsid w:val="0074225A"/>
    <w:rsid w:val="00742627"/>
    <w:rsid w:val="0074349F"/>
    <w:rsid w:val="0074472F"/>
    <w:rsid w:val="00744783"/>
    <w:rsid w:val="00745229"/>
    <w:rsid w:val="00745BD0"/>
    <w:rsid w:val="00747001"/>
    <w:rsid w:val="00747E97"/>
    <w:rsid w:val="00751345"/>
    <w:rsid w:val="00751C78"/>
    <w:rsid w:val="00751CF4"/>
    <w:rsid w:val="00752237"/>
    <w:rsid w:val="0075246A"/>
    <w:rsid w:val="00752AF9"/>
    <w:rsid w:val="00752BD4"/>
    <w:rsid w:val="00753363"/>
    <w:rsid w:val="007535FF"/>
    <w:rsid w:val="00753BF4"/>
    <w:rsid w:val="00753EC3"/>
    <w:rsid w:val="0075437E"/>
    <w:rsid w:val="0075481C"/>
    <w:rsid w:val="0075500F"/>
    <w:rsid w:val="00755784"/>
    <w:rsid w:val="0075581A"/>
    <w:rsid w:val="00756414"/>
    <w:rsid w:val="00756B27"/>
    <w:rsid w:val="007570A1"/>
    <w:rsid w:val="00757247"/>
    <w:rsid w:val="00757348"/>
    <w:rsid w:val="007574EB"/>
    <w:rsid w:val="00757640"/>
    <w:rsid w:val="00757946"/>
    <w:rsid w:val="00757ADD"/>
    <w:rsid w:val="00760330"/>
    <w:rsid w:val="00760361"/>
    <w:rsid w:val="00760406"/>
    <w:rsid w:val="00760882"/>
    <w:rsid w:val="00760D99"/>
    <w:rsid w:val="00761409"/>
    <w:rsid w:val="00761DF2"/>
    <w:rsid w:val="007620D2"/>
    <w:rsid w:val="00762CD6"/>
    <w:rsid w:val="00763C0C"/>
    <w:rsid w:val="00764629"/>
    <w:rsid w:val="00765A30"/>
    <w:rsid w:val="00766347"/>
    <w:rsid w:val="007666A5"/>
    <w:rsid w:val="00766E1D"/>
    <w:rsid w:val="0076763C"/>
    <w:rsid w:val="00770DE1"/>
    <w:rsid w:val="00770DF1"/>
    <w:rsid w:val="00771D77"/>
    <w:rsid w:val="007722EB"/>
    <w:rsid w:val="00772BB8"/>
    <w:rsid w:val="007733DA"/>
    <w:rsid w:val="00773A56"/>
    <w:rsid w:val="007742C4"/>
    <w:rsid w:val="007749F5"/>
    <w:rsid w:val="00774E52"/>
    <w:rsid w:val="007764A0"/>
    <w:rsid w:val="00776D7C"/>
    <w:rsid w:val="0077780E"/>
    <w:rsid w:val="00777A75"/>
    <w:rsid w:val="007802CF"/>
    <w:rsid w:val="00780B2B"/>
    <w:rsid w:val="00780D6F"/>
    <w:rsid w:val="007811E1"/>
    <w:rsid w:val="007813D7"/>
    <w:rsid w:val="00781602"/>
    <w:rsid w:val="0078174D"/>
    <w:rsid w:val="00781D07"/>
    <w:rsid w:val="00782729"/>
    <w:rsid w:val="00782B7D"/>
    <w:rsid w:val="00782BA6"/>
    <w:rsid w:val="007831C0"/>
    <w:rsid w:val="007838FD"/>
    <w:rsid w:val="00783A61"/>
    <w:rsid w:val="007842A2"/>
    <w:rsid w:val="00784A55"/>
    <w:rsid w:val="00784C58"/>
    <w:rsid w:val="007852B8"/>
    <w:rsid w:val="00785DE6"/>
    <w:rsid w:val="00786555"/>
    <w:rsid w:val="00786B1B"/>
    <w:rsid w:val="007873C5"/>
    <w:rsid w:val="0078772C"/>
    <w:rsid w:val="00787AA2"/>
    <w:rsid w:val="007905E6"/>
    <w:rsid w:val="00790FB7"/>
    <w:rsid w:val="007915F1"/>
    <w:rsid w:val="00791FED"/>
    <w:rsid w:val="007920F7"/>
    <w:rsid w:val="00792959"/>
    <w:rsid w:val="0079317A"/>
    <w:rsid w:val="0079437B"/>
    <w:rsid w:val="007946EE"/>
    <w:rsid w:val="00794CC9"/>
    <w:rsid w:val="00795958"/>
    <w:rsid w:val="00795DB6"/>
    <w:rsid w:val="007974F5"/>
    <w:rsid w:val="00797CFC"/>
    <w:rsid w:val="00797D49"/>
    <w:rsid w:val="007A087C"/>
    <w:rsid w:val="007A09F0"/>
    <w:rsid w:val="007A12C9"/>
    <w:rsid w:val="007A1F3F"/>
    <w:rsid w:val="007A2140"/>
    <w:rsid w:val="007A2150"/>
    <w:rsid w:val="007A25EE"/>
    <w:rsid w:val="007A3245"/>
    <w:rsid w:val="007A3311"/>
    <w:rsid w:val="007A4153"/>
    <w:rsid w:val="007A4537"/>
    <w:rsid w:val="007A4E6E"/>
    <w:rsid w:val="007A5EE1"/>
    <w:rsid w:val="007A60C1"/>
    <w:rsid w:val="007A68D6"/>
    <w:rsid w:val="007A70A0"/>
    <w:rsid w:val="007A71A1"/>
    <w:rsid w:val="007A7CF5"/>
    <w:rsid w:val="007A7D4F"/>
    <w:rsid w:val="007B0ACF"/>
    <w:rsid w:val="007B1948"/>
    <w:rsid w:val="007B25D9"/>
    <w:rsid w:val="007B30CC"/>
    <w:rsid w:val="007B35F6"/>
    <w:rsid w:val="007B36DC"/>
    <w:rsid w:val="007B3939"/>
    <w:rsid w:val="007B4210"/>
    <w:rsid w:val="007B4737"/>
    <w:rsid w:val="007B48B4"/>
    <w:rsid w:val="007B5188"/>
    <w:rsid w:val="007B6247"/>
    <w:rsid w:val="007B6798"/>
    <w:rsid w:val="007B7884"/>
    <w:rsid w:val="007C0455"/>
    <w:rsid w:val="007C05BC"/>
    <w:rsid w:val="007C0B35"/>
    <w:rsid w:val="007C0DC8"/>
    <w:rsid w:val="007C1048"/>
    <w:rsid w:val="007C1239"/>
    <w:rsid w:val="007C3984"/>
    <w:rsid w:val="007C39D5"/>
    <w:rsid w:val="007C3AD0"/>
    <w:rsid w:val="007C3CCB"/>
    <w:rsid w:val="007C3DA7"/>
    <w:rsid w:val="007C3DEB"/>
    <w:rsid w:val="007C42C2"/>
    <w:rsid w:val="007C4ED3"/>
    <w:rsid w:val="007C5584"/>
    <w:rsid w:val="007C5BE8"/>
    <w:rsid w:val="007C6076"/>
    <w:rsid w:val="007C67BD"/>
    <w:rsid w:val="007C6E1D"/>
    <w:rsid w:val="007C73DF"/>
    <w:rsid w:val="007C7537"/>
    <w:rsid w:val="007D0465"/>
    <w:rsid w:val="007D120D"/>
    <w:rsid w:val="007D145B"/>
    <w:rsid w:val="007D1772"/>
    <w:rsid w:val="007D2288"/>
    <w:rsid w:val="007D2943"/>
    <w:rsid w:val="007D3810"/>
    <w:rsid w:val="007D4288"/>
    <w:rsid w:val="007D45A9"/>
    <w:rsid w:val="007D49F1"/>
    <w:rsid w:val="007D526C"/>
    <w:rsid w:val="007D5292"/>
    <w:rsid w:val="007D54A8"/>
    <w:rsid w:val="007D6340"/>
    <w:rsid w:val="007D6895"/>
    <w:rsid w:val="007D6E29"/>
    <w:rsid w:val="007D7444"/>
    <w:rsid w:val="007E0064"/>
    <w:rsid w:val="007E0D58"/>
    <w:rsid w:val="007E1772"/>
    <w:rsid w:val="007E1962"/>
    <w:rsid w:val="007E1A41"/>
    <w:rsid w:val="007E1A80"/>
    <w:rsid w:val="007E3B59"/>
    <w:rsid w:val="007E3F7B"/>
    <w:rsid w:val="007E46F7"/>
    <w:rsid w:val="007E5A7E"/>
    <w:rsid w:val="007E6294"/>
    <w:rsid w:val="007E6A60"/>
    <w:rsid w:val="007E7548"/>
    <w:rsid w:val="007E76C5"/>
    <w:rsid w:val="007E782F"/>
    <w:rsid w:val="007E7F6F"/>
    <w:rsid w:val="007F0688"/>
    <w:rsid w:val="007F0E08"/>
    <w:rsid w:val="007F139A"/>
    <w:rsid w:val="007F1A4D"/>
    <w:rsid w:val="007F1A50"/>
    <w:rsid w:val="007F238A"/>
    <w:rsid w:val="007F24C8"/>
    <w:rsid w:val="007F2F89"/>
    <w:rsid w:val="007F32E0"/>
    <w:rsid w:val="007F35CC"/>
    <w:rsid w:val="007F368C"/>
    <w:rsid w:val="007F3A9A"/>
    <w:rsid w:val="007F52D0"/>
    <w:rsid w:val="007F5525"/>
    <w:rsid w:val="007F5AD6"/>
    <w:rsid w:val="007F5C48"/>
    <w:rsid w:val="007F62E7"/>
    <w:rsid w:val="007F658B"/>
    <w:rsid w:val="007F6854"/>
    <w:rsid w:val="007F6CDD"/>
    <w:rsid w:val="007F79B2"/>
    <w:rsid w:val="008000BA"/>
    <w:rsid w:val="008005C8"/>
    <w:rsid w:val="00801B22"/>
    <w:rsid w:val="00802140"/>
    <w:rsid w:val="008022CC"/>
    <w:rsid w:val="0080256E"/>
    <w:rsid w:val="008041C6"/>
    <w:rsid w:val="008042DC"/>
    <w:rsid w:val="00804371"/>
    <w:rsid w:val="00804908"/>
    <w:rsid w:val="00806587"/>
    <w:rsid w:val="0080661B"/>
    <w:rsid w:val="00807334"/>
    <w:rsid w:val="00811159"/>
    <w:rsid w:val="0081195B"/>
    <w:rsid w:val="00811E30"/>
    <w:rsid w:val="00812641"/>
    <w:rsid w:val="00812B3F"/>
    <w:rsid w:val="00814145"/>
    <w:rsid w:val="00814202"/>
    <w:rsid w:val="00814696"/>
    <w:rsid w:val="008147D3"/>
    <w:rsid w:val="00814806"/>
    <w:rsid w:val="00814C87"/>
    <w:rsid w:val="00815B1C"/>
    <w:rsid w:val="00815FEB"/>
    <w:rsid w:val="00816004"/>
    <w:rsid w:val="00816C8D"/>
    <w:rsid w:val="00817C75"/>
    <w:rsid w:val="00820471"/>
    <w:rsid w:val="00820E31"/>
    <w:rsid w:val="008211AB"/>
    <w:rsid w:val="00821229"/>
    <w:rsid w:val="008227BD"/>
    <w:rsid w:val="0082364B"/>
    <w:rsid w:val="0082396B"/>
    <w:rsid w:val="00823D48"/>
    <w:rsid w:val="008242F8"/>
    <w:rsid w:val="0082522D"/>
    <w:rsid w:val="0082568F"/>
    <w:rsid w:val="0083017D"/>
    <w:rsid w:val="00831154"/>
    <w:rsid w:val="008313CA"/>
    <w:rsid w:val="00832616"/>
    <w:rsid w:val="00832868"/>
    <w:rsid w:val="00832C52"/>
    <w:rsid w:val="00833BF0"/>
    <w:rsid w:val="00834D59"/>
    <w:rsid w:val="00834E2C"/>
    <w:rsid w:val="00835014"/>
    <w:rsid w:val="0083790E"/>
    <w:rsid w:val="00840294"/>
    <w:rsid w:val="0084078A"/>
    <w:rsid w:val="00840963"/>
    <w:rsid w:val="00840E17"/>
    <w:rsid w:val="00840E6B"/>
    <w:rsid w:val="0084151D"/>
    <w:rsid w:val="008419F7"/>
    <w:rsid w:val="00842E8F"/>
    <w:rsid w:val="008431A6"/>
    <w:rsid w:val="00843308"/>
    <w:rsid w:val="0084369B"/>
    <w:rsid w:val="0084413A"/>
    <w:rsid w:val="00844264"/>
    <w:rsid w:val="008443E4"/>
    <w:rsid w:val="00844F8D"/>
    <w:rsid w:val="00846044"/>
    <w:rsid w:val="00847333"/>
    <w:rsid w:val="00847BC8"/>
    <w:rsid w:val="00847FCB"/>
    <w:rsid w:val="008502CB"/>
    <w:rsid w:val="008523CC"/>
    <w:rsid w:val="00852779"/>
    <w:rsid w:val="0085285A"/>
    <w:rsid w:val="008530B4"/>
    <w:rsid w:val="008535C1"/>
    <w:rsid w:val="008535CD"/>
    <w:rsid w:val="008538D8"/>
    <w:rsid w:val="00853C77"/>
    <w:rsid w:val="00854DF8"/>
    <w:rsid w:val="00855323"/>
    <w:rsid w:val="0085557C"/>
    <w:rsid w:val="008563F4"/>
    <w:rsid w:val="008572FB"/>
    <w:rsid w:val="008573B3"/>
    <w:rsid w:val="00857767"/>
    <w:rsid w:val="00857E7D"/>
    <w:rsid w:val="00860292"/>
    <w:rsid w:val="00860E95"/>
    <w:rsid w:val="00861655"/>
    <w:rsid w:val="00861866"/>
    <w:rsid w:val="00861A31"/>
    <w:rsid w:val="00861C86"/>
    <w:rsid w:val="008622AC"/>
    <w:rsid w:val="00863D55"/>
    <w:rsid w:val="00863F73"/>
    <w:rsid w:val="00864121"/>
    <w:rsid w:val="0086448C"/>
    <w:rsid w:val="008654BD"/>
    <w:rsid w:val="00865E5B"/>
    <w:rsid w:val="00865FDB"/>
    <w:rsid w:val="008660D7"/>
    <w:rsid w:val="008667C8"/>
    <w:rsid w:val="00866845"/>
    <w:rsid w:val="00866C75"/>
    <w:rsid w:val="0086753E"/>
    <w:rsid w:val="00867948"/>
    <w:rsid w:val="00867F7D"/>
    <w:rsid w:val="00870EB5"/>
    <w:rsid w:val="00871000"/>
    <w:rsid w:val="00871146"/>
    <w:rsid w:val="008713D3"/>
    <w:rsid w:val="00871595"/>
    <w:rsid w:val="00871C12"/>
    <w:rsid w:val="00871DEF"/>
    <w:rsid w:val="0087277E"/>
    <w:rsid w:val="008728EC"/>
    <w:rsid w:val="008730E5"/>
    <w:rsid w:val="00873954"/>
    <w:rsid w:val="00873F65"/>
    <w:rsid w:val="00875102"/>
    <w:rsid w:val="00875799"/>
    <w:rsid w:val="00875B95"/>
    <w:rsid w:val="00875E4D"/>
    <w:rsid w:val="0087654B"/>
    <w:rsid w:val="00880A7F"/>
    <w:rsid w:val="00880AB4"/>
    <w:rsid w:val="00880EA4"/>
    <w:rsid w:val="00881428"/>
    <w:rsid w:val="00881592"/>
    <w:rsid w:val="00881650"/>
    <w:rsid w:val="00881777"/>
    <w:rsid w:val="008839A6"/>
    <w:rsid w:val="00883BA8"/>
    <w:rsid w:val="00883CDE"/>
    <w:rsid w:val="00883F92"/>
    <w:rsid w:val="00883FC1"/>
    <w:rsid w:val="00884583"/>
    <w:rsid w:val="008846FF"/>
    <w:rsid w:val="00884BDE"/>
    <w:rsid w:val="008852E1"/>
    <w:rsid w:val="00885F5A"/>
    <w:rsid w:val="0088665B"/>
    <w:rsid w:val="00891E01"/>
    <w:rsid w:val="00892CFF"/>
    <w:rsid w:val="00893A13"/>
    <w:rsid w:val="00894590"/>
    <w:rsid w:val="0089469E"/>
    <w:rsid w:val="00895D91"/>
    <w:rsid w:val="008963FF"/>
    <w:rsid w:val="00896817"/>
    <w:rsid w:val="008968CF"/>
    <w:rsid w:val="00896C99"/>
    <w:rsid w:val="00896CE1"/>
    <w:rsid w:val="00897193"/>
    <w:rsid w:val="008974B8"/>
    <w:rsid w:val="008A1CC5"/>
    <w:rsid w:val="008A292F"/>
    <w:rsid w:val="008A2B75"/>
    <w:rsid w:val="008A2CB8"/>
    <w:rsid w:val="008A3118"/>
    <w:rsid w:val="008A34B2"/>
    <w:rsid w:val="008A3F58"/>
    <w:rsid w:val="008A5BD1"/>
    <w:rsid w:val="008A6CFC"/>
    <w:rsid w:val="008A7925"/>
    <w:rsid w:val="008A7CFD"/>
    <w:rsid w:val="008B0035"/>
    <w:rsid w:val="008B1084"/>
    <w:rsid w:val="008B1663"/>
    <w:rsid w:val="008B1F30"/>
    <w:rsid w:val="008B219E"/>
    <w:rsid w:val="008B304E"/>
    <w:rsid w:val="008B3449"/>
    <w:rsid w:val="008B3CA1"/>
    <w:rsid w:val="008B3E6A"/>
    <w:rsid w:val="008B4182"/>
    <w:rsid w:val="008B42AE"/>
    <w:rsid w:val="008B537B"/>
    <w:rsid w:val="008B56BE"/>
    <w:rsid w:val="008B5B02"/>
    <w:rsid w:val="008B6A00"/>
    <w:rsid w:val="008B7182"/>
    <w:rsid w:val="008B7D5E"/>
    <w:rsid w:val="008C0517"/>
    <w:rsid w:val="008C060B"/>
    <w:rsid w:val="008C084E"/>
    <w:rsid w:val="008C09BA"/>
    <w:rsid w:val="008C09D5"/>
    <w:rsid w:val="008C09FB"/>
    <w:rsid w:val="008C116B"/>
    <w:rsid w:val="008C1281"/>
    <w:rsid w:val="008C1FC7"/>
    <w:rsid w:val="008C220A"/>
    <w:rsid w:val="008C29C2"/>
    <w:rsid w:val="008C3E77"/>
    <w:rsid w:val="008C4153"/>
    <w:rsid w:val="008C420D"/>
    <w:rsid w:val="008C43A3"/>
    <w:rsid w:val="008C535E"/>
    <w:rsid w:val="008C5BA6"/>
    <w:rsid w:val="008C6C2D"/>
    <w:rsid w:val="008C6E3E"/>
    <w:rsid w:val="008C7F79"/>
    <w:rsid w:val="008D0577"/>
    <w:rsid w:val="008D0664"/>
    <w:rsid w:val="008D06EB"/>
    <w:rsid w:val="008D11A5"/>
    <w:rsid w:val="008D12A4"/>
    <w:rsid w:val="008D13C6"/>
    <w:rsid w:val="008D1D6F"/>
    <w:rsid w:val="008D2160"/>
    <w:rsid w:val="008D2D99"/>
    <w:rsid w:val="008D2DB4"/>
    <w:rsid w:val="008D2E1F"/>
    <w:rsid w:val="008D310B"/>
    <w:rsid w:val="008D34BC"/>
    <w:rsid w:val="008D36C1"/>
    <w:rsid w:val="008D39A4"/>
    <w:rsid w:val="008D3C88"/>
    <w:rsid w:val="008D3F5C"/>
    <w:rsid w:val="008D481B"/>
    <w:rsid w:val="008D69E8"/>
    <w:rsid w:val="008D70C0"/>
    <w:rsid w:val="008D74F1"/>
    <w:rsid w:val="008E012B"/>
    <w:rsid w:val="008E0145"/>
    <w:rsid w:val="008E06F1"/>
    <w:rsid w:val="008E08E0"/>
    <w:rsid w:val="008E08EE"/>
    <w:rsid w:val="008E2A63"/>
    <w:rsid w:val="008E3304"/>
    <w:rsid w:val="008E5619"/>
    <w:rsid w:val="008E5DA1"/>
    <w:rsid w:val="008E6304"/>
    <w:rsid w:val="008E6539"/>
    <w:rsid w:val="008E679A"/>
    <w:rsid w:val="008E701E"/>
    <w:rsid w:val="008E74B6"/>
    <w:rsid w:val="008E7978"/>
    <w:rsid w:val="008F0760"/>
    <w:rsid w:val="008F1844"/>
    <w:rsid w:val="008F1B3D"/>
    <w:rsid w:val="008F25B5"/>
    <w:rsid w:val="008F26EB"/>
    <w:rsid w:val="008F2847"/>
    <w:rsid w:val="008F2BF7"/>
    <w:rsid w:val="008F2CE6"/>
    <w:rsid w:val="008F3104"/>
    <w:rsid w:val="008F3764"/>
    <w:rsid w:val="008F4674"/>
    <w:rsid w:val="008F467A"/>
    <w:rsid w:val="008F571C"/>
    <w:rsid w:val="008F5CBA"/>
    <w:rsid w:val="008F6DD3"/>
    <w:rsid w:val="009000E0"/>
    <w:rsid w:val="00902713"/>
    <w:rsid w:val="00903E09"/>
    <w:rsid w:val="00904088"/>
    <w:rsid w:val="009041C1"/>
    <w:rsid w:val="0090466F"/>
    <w:rsid w:val="009046CC"/>
    <w:rsid w:val="009049B1"/>
    <w:rsid w:val="00904C43"/>
    <w:rsid w:val="00904D65"/>
    <w:rsid w:val="009050A9"/>
    <w:rsid w:val="00905960"/>
    <w:rsid w:val="009064C8"/>
    <w:rsid w:val="009070CA"/>
    <w:rsid w:val="0090786B"/>
    <w:rsid w:val="00907AD7"/>
    <w:rsid w:val="00907CCE"/>
    <w:rsid w:val="00907D17"/>
    <w:rsid w:val="009100B0"/>
    <w:rsid w:val="00910647"/>
    <w:rsid w:val="00910AC7"/>
    <w:rsid w:val="00910CE0"/>
    <w:rsid w:val="0091145E"/>
    <w:rsid w:val="00911842"/>
    <w:rsid w:val="00912638"/>
    <w:rsid w:val="0091436C"/>
    <w:rsid w:val="00915094"/>
    <w:rsid w:val="00915171"/>
    <w:rsid w:val="0091655D"/>
    <w:rsid w:val="0091675E"/>
    <w:rsid w:val="00916900"/>
    <w:rsid w:val="00917016"/>
    <w:rsid w:val="00917233"/>
    <w:rsid w:val="00920216"/>
    <w:rsid w:val="00920C21"/>
    <w:rsid w:val="00921273"/>
    <w:rsid w:val="00921E3F"/>
    <w:rsid w:val="00923F77"/>
    <w:rsid w:val="009240AB"/>
    <w:rsid w:val="00924DCA"/>
    <w:rsid w:val="009255C5"/>
    <w:rsid w:val="00925837"/>
    <w:rsid w:val="00926B73"/>
    <w:rsid w:val="00926C0B"/>
    <w:rsid w:val="00926C8C"/>
    <w:rsid w:val="00927164"/>
    <w:rsid w:val="0093044E"/>
    <w:rsid w:val="0093095B"/>
    <w:rsid w:val="00930EF8"/>
    <w:rsid w:val="00931B65"/>
    <w:rsid w:val="00931EB2"/>
    <w:rsid w:val="00931F19"/>
    <w:rsid w:val="0093270D"/>
    <w:rsid w:val="00932FEB"/>
    <w:rsid w:val="00933F97"/>
    <w:rsid w:val="0093409A"/>
    <w:rsid w:val="0093466D"/>
    <w:rsid w:val="00934926"/>
    <w:rsid w:val="00934934"/>
    <w:rsid w:val="00934A0A"/>
    <w:rsid w:val="00934B5A"/>
    <w:rsid w:val="00935056"/>
    <w:rsid w:val="0093531F"/>
    <w:rsid w:val="00935974"/>
    <w:rsid w:val="009359CB"/>
    <w:rsid w:val="0093627A"/>
    <w:rsid w:val="009368ED"/>
    <w:rsid w:val="00936BAB"/>
    <w:rsid w:val="00936C87"/>
    <w:rsid w:val="00937077"/>
    <w:rsid w:val="00937256"/>
    <w:rsid w:val="0093726A"/>
    <w:rsid w:val="009373F7"/>
    <w:rsid w:val="009376C9"/>
    <w:rsid w:val="00940272"/>
    <w:rsid w:val="00940A31"/>
    <w:rsid w:val="00940BA6"/>
    <w:rsid w:val="009412DB"/>
    <w:rsid w:val="00941F09"/>
    <w:rsid w:val="0094283A"/>
    <w:rsid w:val="00942BC8"/>
    <w:rsid w:val="00944633"/>
    <w:rsid w:val="009449E6"/>
    <w:rsid w:val="00944A3A"/>
    <w:rsid w:val="009451B7"/>
    <w:rsid w:val="00946E3D"/>
    <w:rsid w:val="0094743F"/>
    <w:rsid w:val="00947962"/>
    <w:rsid w:val="00947E8A"/>
    <w:rsid w:val="0095007D"/>
    <w:rsid w:val="00950748"/>
    <w:rsid w:val="00950886"/>
    <w:rsid w:val="00951259"/>
    <w:rsid w:val="00952266"/>
    <w:rsid w:val="0095234B"/>
    <w:rsid w:val="009530D9"/>
    <w:rsid w:val="00953329"/>
    <w:rsid w:val="00953FB2"/>
    <w:rsid w:val="009542A1"/>
    <w:rsid w:val="00954651"/>
    <w:rsid w:val="009548A8"/>
    <w:rsid w:val="0095511F"/>
    <w:rsid w:val="009558E6"/>
    <w:rsid w:val="00955C85"/>
    <w:rsid w:val="00956621"/>
    <w:rsid w:val="009612ED"/>
    <w:rsid w:val="00961369"/>
    <w:rsid w:val="00961519"/>
    <w:rsid w:val="00961680"/>
    <w:rsid w:val="00961A3A"/>
    <w:rsid w:val="00961D18"/>
    <w:rsid w:val="00961F6C"/>
    <w:rsid w:val="00962371"/>
    <w:rsid w:val="00962611"/>
    <w:rsid w:val="009628B5"/>
    <w:rsid w:val="0096312F"/>
    <w:rsid w:val="0096336A"/>
    <w:rsid w:val="009636DB"/>
    <w:rsid w:val="0096400A"/>
    <w:rsid w:val="0096448B"/>
    <w:rsid w:val="0096489F"/>
    <w:rsid w:val="00965476"/>
    <w:rsid w:val="00967768"/>
    <w:rsid w:val="00967B31"/>
    <w:rsid w:val="00967C15"/>
    <w:rsid w:val="00967EC1"/>
    <w:rsid w:val="00970063"/>
    <w:rsid w:val="00970735"/>
    <w:rsid w:val="0097083E"/>
    <w:rsid w:val="00970DCD"/>
    <w:rsid w:val="00972B6D"/>
    <w:rsid w:val="0097339F"/>
    <w:rsid w:val="0097410F"/>
    <w:rsid w:val="00975E07"/>
    <w:rsid w:val="00975FC5"/>
    <w:rsid w:val="00976FFF"/>
    <w:rsid w:val="00977750"/>
    <w:rsid w:val="0097789F"/>
    <w:rsid w:val="00977E94"/>
    <w:rsid w:val="0098113F"/>
    <w:rsid w:val="009812F6"/>
    <w:rsid w:val="00982666"/>
    <w:rsid w:val="00982B7B"/>
    <w:rsid w:val="00982B80"/>
    <w:rsid w:val="00983E98"/>
    <w:rsid w:val="009840D8"/>
    <w:rsid w:val="009845F7"/>
    <w:rsid w:val="009848A7"/>
    <w:rsid w:val="009852FB"/>
    <w:rsid w:val="0098533C"/>
    <w:rsid w:val="00985622"/>
    <w:rsid w:val="00985F0D"/>
    <w:rsid w:val="00986126"/>
    <w:rsid w:val="00986660"/>
    <w:rsid w:val="00986C23"/>
    <w:rsid w:val="00987264"/>
    <w:rsid w:val="00990009"/>
    <w:rsid w:val="0099002E"/>
    <w:rsid w:val="00991290"/>
    <w:rsid w:val="009918BD"/>
    <w:rsid w:val="00991D6D"/>
    <w:rsid w:val="00991E8D"/>
    <w:rsid w:val="00993BFC"/>
    <w:rsid w:val="009950F3"/>
    <w:rsid w:val="00995257"/>
    <w:rsid w:val="00996E89"/>
    <w:rsid w:val="009975D9"/>
    <w:rsid w:val="0099771B"/>
    <w:rsid w:val="00997FDC"/>
    <w:rsid w:val="009A0843"/>
    <w:rsid w:val="009A114E"/>
    <w:rsid w:val="009A13D5"/>
    <w:rsid w:val="009A32F5"/>
    <w:rsid w:val="009A3738"/>
    <w:rsid w:val="009A4B03"/>
    <w:rsid w:val="009A53AF"/>
    <w:rsid w:val="009A5430"/>
    <w:rsid w:val="009A62BC"/>
    <w:rsid w:val="009A64B0"/>
    <w:rsid w:val="009A73FA"/>
    <w:rsid w:val="009A7505"/>
    <w:rsid w:val="009A76B8"/>
    <w:rsid w:val="009A7F79"/>
    <w:rsid w:val="009B0718"/>
    <w:rsid w:val="009B0A5C"/>
    <w:rsid w:val="009B0C12"/>
    <w:rsid w:val="009B0C47"/>
    <w:rsid w:val="009B0F53"/>
    <w:rsid w:val="009B1F74"/>
    <w:rsid w:val="009B235C"/>
    <w:rsid w:val="009B35A3"/>
    <w:rsid w:val="009B4996"/>
    <w:rsid w:val="009B4B38"/>
    <w:rsid w:val="009B5B39"/>
    <w:rsid w:val="009B658B"/>
    <w:rsid w:val="009B7907"/>
    <w:rsid w:val="009B7D54"/>
    <w:rsid w:val="009C0191"/>
    <w:rsid w:val="009C0707"/>
    <w:rsid w:val="009C0A6C"/>
    <w:rsid w:val="009C0C36"/>
    <w:rsid w:val="009C0FB4"/>
    <w:rsid w:val="009C16CB"/>
    <w:rsid w:val="009C18FC"/>
    <w:rsid w:val="009C1A1D"/>
    <w:rsid w:val="009C2030"/>
    <w:rsid w:val="009C28E3"/>
    <w:rsid w:val="009C30CC"/>
    <w:rsid w:val="009C38B9"/>
    <w:rsid w:val="009C4B45"/>
    <w:rsid w:val="009C4BF5"/>
    <w:rsid w:val="009C4D1D"/>
    <w:rsid w:val="009C4E4A"/>
    <w:rsid w:val="009C52D9"/>
    <w:rsid w:val="009C5719"/>
    <w:rsid w:val="009C5EFA"/>
    <w:rsid w:val="009C610D"/>
    <w:rsid w:val="009C7B7D"/>
    <w:rsid w:val="009D03E6"/>
    <w:rsid w:val="009D04B1"/>
    <w:rsid w:val="009D06FE"/>
    <w:rsid w:val="009D0A47"/>
    <w:rsid w:val="009D17CC"/>
    <w:rsid w:val="009D1AA8"/>
    <w:rsid w:val="009D1BDA"/>
    <w:rsid w:val="009D345B"/>
    <w:rsid w:val="009D4DAC"/>
    <w:rsid w:val="009D54BA"/>
    <w:rsid w:val="009D56CA"/>
    <w:rsid w:val="009D58AC"/>
    <w:rsid w:val="009D66A3"/>
    <w:rsid w:val="009D68CF"/>
    <w:rsid w:val="009D6AEA"/>
    <w:rsid w:val="009D7036"/>
    <w:rsid w:val="009D7371"/>
    <w:rsid w:val="009D74B1"/>
    <w:rsid w:val="009D7C32"/>
    <w:rsid w:val="009D7CD8"/>
    <w:rsid w:val="009E028C"/>
    <w:rsid w:val="009E0C8E"/>
    <w:rsid w:val="009E12E5"/>
    <w:rsid w:val="009E1CC3"/>
    <w:rsid w:val="009E23D6"/>
    <w:rsid w:val="009E23DD"/>
    <w:rsid w:val="009E2C2D"/>
    <w:rsid w:val="009E375B"/>
    <w:rsid w:val="009E4459"/>
    <w:rsid w:val="009E48C2"/>
    <w:rsid w:val="009E4DB1"/>
    <w:rsid w:val="009E53C9"/>
    <w:rsid w:val="009E5641"/>
    <w:rsid w:val="009E5882"/>
    <w:rsid w:val="009E5A31"/>
    <w:rsid w:val="009E5C41"/>
    <w:rsid w:val="009E706E"/>
    <w:rsid w:val="009E7B6F"/>
    <w:rsid w:val="009F0742"/>
    <w:rsid w:val="009F09E7"/>
    <w:rsid w:val="009F1A22"/>
    <w:rsid w:val="009F1C81"/>
    <w:rsid w:val="009F2E54"/>
    <w:rsid w:val="009F3319"/>
    <w:rsid w:val="009F38F3"/>
    <w:rsid w:val="009F4090"/>
    <w:rsid w:val="009F440A"/>
    <w:rsid w:val="009F4ACC"/>
    <w:rsid w:val="009F4B59"/>
    <w:rsid w:val="009F4F40"/>
    <w:rsid w:val="009F5373"/>
    <w:rsid w:val="009F655F"/>
    <w:rsid w:val="009F687E"/>
    <w:rsid w:val="009F6CFE"/>
    <w:rsid w:val="009F6E9C"/>
    <w:rsid w:val="009F7048"/>
    <w:rsid w:val="009F766A"/>
    <w:rsid w:val="009F7753"/>
    <w:rsid w:val="00A002E4"/>
    <w:rsid w:val="00A006AC"/>
    <w:rsid w:val="00A02740"/>
    <w:rsid w:val="00A03B35"/>
    <w:rsid w:val="00A04309"/>
    <w:rsid w:val="00A04A2F"/>
    <w:rsid w:val="00A04BF0"/>
    <w:rsid w:val="00A05663"/>
    <w:rsid w:val="00A057C0"/>
    <w:rsid w:val="00A06355"/>
    <w:rsid w:val="00A068E9"/>
    <w:rsid w:val="00A06904"/>
    <w:rsid w:val="00A06D66"/>
    <w:rsid w:val="00A07578"/>
    <w:rsid w:val="00A07966"/>
    <w:rsid w:val="00A07D23"/>
    <w:rsid w:val="00A11C72"/>
    <w:rsid w:val="00A12A8B"/>
    <w:rsid w:val="00A12EAE"/>
    <w:rsid w:val="00A131DD"/>
    <w:rsid w:val="00A13347"/>
    <w:rsid w:val="00A14396"/>
    <w:rsid w:val="00A148CF"/>
    <w:rsid w:val="00A148DE"/>
    <w:rsid w:val="00A15285"/>
    <w:rsid w:val="00A1560D"/>
    <w:rsid w:val="00A1578F"/>
    <w:rsid w:val="00A15C84"/>
    <w:rsid w:val="00A15DE5"/>
    <w:rsid w:val="00A17780"/>
    <w:rsid w:val="00A179B8"/>
    <w:rsid w:val="00A2054F"/>
    <w:rsid w:val="00A207C8"/>
    <w:rsid w:val="00A20E3E"/>
    <w:rsid w:val="00A213F1"/>
    <w:rsid w:val="00A2259A"/>
    <w:rsid w:val="00A22F5C"/>
    <w:rsid w:val="00A23652"/>
    <w:rsid w:val="00A23EF9"/>
    <w:rsid w:val="00A2410D"/>
    <w:rsid w:val="00A250C1"/>
    <w:rsid w:val="00A25ACC"/>
    <w:rsid w:val="00A25B15"/>
    <w:rsid w:val="00A25C17"/>
    <w:rsid w:val="00A26360"/>
    <w:rsid w:val="00A26E29"/>
    <w:rsid w:val="00A30375"/>
    <w:rsid w:val="00A329EF"/>
    <w:rsid w:val="00A32E2D"/>
    <w:rsid w:val="00A32E4C"/>
    <w:rsid w:val="00A33156"/>
    <w:rsid w:val="00A33895"/>
    <w:rsid w:val="00A33DA9"/>
    <w:rsid w:val="00A34272"/>
    <w:rsid w:val="00A34813"/>
    <w:rsid w:val="00A358A1"/>
    <w:rsid w:val="00A35DBF"/>
    <w:rsid w:val="00A35DCE"/>
    <w:rsid w:val="00A36498"/>
    <w:rsid w:val="00A36763"/>
    <w:rsid w:val="00A373D6"/>
    <w:rsid w:val="00A40196"/>
    <w:rsid w:val="00A40E44"/>
    <w:rsid w:val="00A40F84"/>
    <w:rsid w:val="00A41E30"/>
    <w:rsid w:val="00A41F05"/>
    <w:rsid w:val="00A4246E"/>
    <w:rsid w:val="00A4252B"/>
    <w:rsid w:val="00A43091"/>
    <w:rsid w:val="00A4459B"/>
    <w:rsid w:val="00A44E2B"/>
    <w:rsid w:val="00A45741"/>
    <w:rsid w:val="00A45F1D"/>
    <w:rsid w:val="00A465EF"/>
    <w:rsid w:val="00A46E18"/>
    <w:rsid w:val="00A46E91"/>
    <w:rsid w:val="00A47693"/>
    <w:rsid w:val="00A5089A"/>
    <w:rsid w:val="00A50EC6"/>
    <w:rsid w:val="00A514AB"/>
    <w:rsid w:val="00A518E2"/>
    <w:rsid w:val="00A5206F"/>
    <w:rsid w:val="00A5245A"/>
    <w:rsid w:val="00A52A4C"/>
    <w:rsid w:val="00A52A91"/>
    <w:rsid w:val="00A5317A"/>
    <w:rsid w:val="00A5317D"/>
    <w:rsid w:val="00A53721"/>
    <w:rsid w:val="00A53848"/>
    <w:rsid w:val="00A53CA7"/>
    <w:rsid w:val="00A54711"/>
    <w:rsid w:val="00A54BCE"/>
    <w:rsid w:val="00A54CEB"/>
    <w:rsid w:val="00A555BC"/>
    <w:rsid w:val="00A56B51"/>
    <w:rsid w:val="00A56B5C"/>
    <w:rsid w:val="00A56F29"/>
    <w:rsid w:val="00A57014"/>
    <w:rsid w:val="00A572CB"/>
    <w:rsid w:val="00A57CD9"/>
    <w:rsid w:val="00A57FDC"/>
    <w:rsid w:val="00A60481"/>
    <w:rsid w:val="00A60938"/>
    <w:rsid w:val="00A610BD"/>
    <w:rsid w:val="00A6122B"/>
    <w:rsid w:val="00A61280"/>
    <w:rsid w:val="00A6130E"/>
    <w:rsid w:val="00A638D1"/>
    <w:rsid w:val="00A63EEC"/>
    <w:rsid w:val="00A63F8C"/>
    <w:rsid w:val="00A6430F"/>
    <w:rsid w:val="00A64FD7"/>
    <w:rsid w:val="00A6513D"/>
    <w:rsid w:val="00A65986"/>
    <w:rsid w:val="00A66144"/>
    <w:rsid w:val="00A66610"/>
    <w:rsid w:val="00A67056"/>
    <w:rsid w:val="00A674ED"/>
    <w:rsid w:val="00A67866"/>
    <w:rsid w:val="00A70354"/>
    <w:rsid w:val="00A706D4"/>
    <w:rsid w:val="00A70D20"/>
    <w:rsid w:val="00A70EE1"/>
    <w:rsid w:val="00A714DB"/>
    <w:rsid w:val="00A71C64"/>
    <w:rsid w:val="00A7201B"/>
    <w:rsid w:val="00A72027"/>
    <w:rsid w:val="00A72359"/>
    <w:rsid w:val="00A72C77"/>
    <w:rsid w:val="00A7320A"/>
    <w:rsid w:val="00A7338B"/>
    <w:rsid w:val="00A737EC"/>
    <w:rsid w:val="00A73A2B"/>
    <w:rsid w:val="00A7441F"/>
    <w:rsid w:val="00A748E6"/>
    <w:rsid w:val="00A75513"/>
    <w:rsid w:val="00A75DDE"/>
    <w:rsid w:val="00A76360"/>
    <w:rsid w:val="00A763C6"/>
    <w:rsid w:val="00A77946"/>
    <w:rsid w:val="00A77E87"/>
    <w:rsid w:val="00A8094E"/>
    <w:rsid w:val="00A81628"/>
    <w:rsid w:val="00A818B3"/>
    <w:rsid w:val="00A81D1A"/>
    <w:rsid w:val="00A82682"/>
    <w:rsid w:val="00A82D57"/>
    <w:rsid w:val="00A82DE6"/>
    <w:rsid w:val="00A82E7A"/>
    <w:rsid w:val="00A84468"/>
    <w:rsid w:val="00A8525E"/>
    <w:rsid w:val="00A855EE"/>
    <w:rsid w:val="00A864F7"/>
    <w:rsid w:val="00A86AF2"/>
    <w:rsid w:val="00A87E1A"/>
    <w:rsid w:val="00A90525"/>
    <w:rsid w:val="00A90779"/>
    <w:rsid w:val="00A90EB8"/>
    <w:rsid w:val="00A917E7"/>
    <w:rsid w:val="00A92102"/>
    <w:rsid w:val="00A925EF"/>
    <w:rsid w:val="00A92A21"/>
    <w:rsid w:val="00A92A60"/>
    <w:rsid w:val="00A93CA7"/>
    <w:rsid w:val="00A93E25"/>
    <w:rsid w:val="00A94B52"/>
    <w:rsid w:val="00A952A7"/>
    <w:rsid w:val="00A96142"/>
    <w:rsid w:val="00A96571"/>
    <w:rsid w:val="00A9686F"/>
    <w:rsid w:val="00A97613"/>
    <w:rsid w:val="00AA0781"/>
    <w:rsid w:val="00AA0E65"/>
    <w:rsid w:val="00AA1220"/>
    <w:rsid w:val="00AA155A"/>
    <w:rsid w:val="00AA1F7A"/>
    <w:rsid w:val="00AA21FA"/>
    <w:rsid w:val="00AA2AB2"/>
    <w:rsid w:val="00AA2B4C"/>
    <w:rsid w:val="00AA2F8F"/>
    <w:rsid w:val="00AA40EE"/>
    <w:rsid w:val="00AA42B2"/>
    <w:rsid w:val="00AA48ED"/>
    <w:rsid w:val="00AA4C6D"/>
    <w:rsid w:val="00AA59F2"/>
    <w:rsid w:val="00AA71EF"/>
    <w:rsid w:val="00AA7669"/>
    <w:rsid w:val="00AA7BB3"/>
    <w:rsid w:val="00AA7E02"/>
    <w:rsid w:val="00AB0463"/>
    <w:rsid w:val="00AB0C69"/>
    <w:rsid w:val="00AB0CF3"/>
    <w:rsid w:val="00AB1305"/>
    <w:rsid w:val="00AB236C"/>
    <w:rsid w:val="00AB27A9"/>
    <w:rsid w:val="00AB39B0"/>
    <w:rsid w:val="00AB3AD4"/>
    <w:rsid w:val="00AB3B42"/>
    <w:rsid w:val="00AB3F4A"/>
    <w:rsid w:val="00AB4940"/>
    <w:rsid w:val="00AB569D"/>
    <w:rsid w:val="00AB5D70"/>
    <w:rsid w:val="00AB6889"/>
    <w:rsid w:val="00AB6C0B"/>
    <w:rsid w:val="00AB6EEB"/>
    <w:rsid w:val="00AB7630"/>
    <w:rsid w:val="00AB7728"/>
    <w:rsid w:val="00AC0152"/>
    <w:rsid w:val="00AC06C6"/>
    <w:rsid w:val="00AC1245"/>
    <w:rsid w:val="00AC192F"/>
    <w:rsid w:val="00AC28BE"/>
    <w:rsid w:val="00AC4407"/>
    <w:rsid w:val="00AC4F97"/>
    <w:rsid w:val="00AC5234"/>
    <w:rsid w:val="00AC53A8"/>
    <w:rsid w:val="00AC57DE"/>
    <w:rsid w:val="00AC5D90"/>
    <w:rsid w:val="00AC6591"/>
    <w:rsid w:val="00AC6879"/>
    <w:rsid w:val="00AC75DE"/>
    <w:rsid w:val="00AC7E15"/>
    <w:rsid w:val="00AD00D1"/>
    <w:rsid w:val="00AD03B3"/>
    <w:rsid w:val="00AD0A93"/>
    <w:rsid w:val="00AD0DB2"/>
    <w:rsid w:val="00AD153A"/>
    <w:rsid w:val="00AD2123"/>
    <w:rsid w:val="00AD3894"/>
    <w:rsid w:val="00AD39A8"/>
    <w:rsid w:val="00AD565E"/>
    <w:rsid w:val="00AD5727"/>
    <w:rsid w:val="00AD58AE"/>
    <w:rsid w:val="00AD68A3"/>
    <w:rsid w:val="00AD7637"/>
    <w:rsid w:val="00AD78D6"/>
    <w:rsid w:val="00AE0771"/>
    <w:rsid w:val="00AE157B"/>
    <w:rsid w:val="00AE1C7D"/>
    <w:rsid w:val="00AE20EC"/>
    <w:rsid w:val="00AE20FE"/>
    <w:rsid w:val="00AE21A8"/>
    <w:rsid w:val="00AE2CE4"/>
    <w:rsid w:val="00AE369D"/>
    <w:rsid w:val="00AE379A"/>
    <w:rsid w:val="00AE3EA3"/>
    <w:rsid w:val="00AE448B"/>
    <w:rsid w:val="00AE4558"/>
    <w:rsid w:val="00AE4971"/>
    <w:rsid w:val="00AE49BD"/>
    <w:rsid w:val="00AE4CDA"/>
    <w:rsid w:val="00AE5B9F"/>
    <w:rsid w:val="00AE647A"/>
    <w:rsid w:val="00AE6CCA"/>
    <w:rsid w:val="00AE7585"/>
    <w:rsid w:val="00AE7CA8"/>
    <w:rsid w:val="00AE7EC9"/>
    <w:rsid w:val="00AF0526"/>
    <w:rsid w:val="00AF0B75"/>
    <w:rsid w:val="00AF10CC"/>
    <w:rsid w:val="00AF1598"/>
    <w:rsid w:val="00AF15F3"/>
    <w:rsid w:val="00AF1922"/>
    <w:rsid w:val="00AF269C"/>
    <w:rsid w:val="00AF2CBA"/>
    <w:rsid w:val="00AF396D"/>
    <w:rsid w:val="00AF50BC"/>
    <w:rsid w:val="00AF57DC"/>
    <w:rsid w:val="00AF5DBC"/>
    <w:rsid w:val="00AF6EAD"/>
    <w:rsid w:val="00B019DF"/>
    <w:rsid w:val="00B01B75"/>
    <w:rsid w:val="00B02401"/>
    <w:rsid w:val="00B0248B"/>
    <w:rsid w:val="00B02FE7"/>
    <w:rsid w:val="00B035B2"/>
    <w:rsid w:val="00B037E4"/>
    <w:rsid w:val="00B03D65"/>
    <w:rsid w:val="00B03EB1"/>
    <w:rsid w:val="00B04954"/>
    <w:rsid w:val="00B04D19"/>
    <w:rsid w:val="00B0569D"/>
    <w:rsid w:val="00B05BDD"/>
    <w:rsid w:val="00B0650E"/>
    <w:rsid w:val="00B06662"/>
    <w:rsid w:val="00B071D0"/>
    <w:rsid w:val="00B10554"/>
    <w:rsid w:val="00B122C3"/>
    <w:rsid w:val="00B1233A"/>
    <w:rsid w:val="00B12841"/>
    <w:rsid w:val="00B12882"/>
    <w:rsid w:val="00B12CE8"/>
    <w:rsid w:val="00B12F8C"/>
    <w:rsid w:val="00B132A7"/>
    <w:rsid w:val="00B137A1"/>
    <w:rsid w:val="00B146EA"/>
    <w:rsid w:val="00B14F85"/>
    <w:rsid w:val="00B1507A"/>
    <w:rsid w:val="00B15E1A"/>
    <w:rsid w:val="00B16C54"/>
    <w:rsid w:val="00B16CD6"/>
    <w:rsid w:val="00B17216"/>
    <w:rsid w:val="00B17251"/>
    <w:rsid w:val="00B207A9"/>
    <w:rsid w:val="00B20818"/>
    <w:rsid w:val="00B217B0"/>
    <w:rsid w:val="00B219FA"/>
    <w:rsid w:val="00B21D0A"/>
    <w:rsid w:val="00B225BC"/>
    <w:rsid w:val="00B22740"/>
    <w:rsid w:val="00B2455B"/>
    <w:rsid w:val="00B24DD7"/>
    <w:rsid w:val="00B25EED"/>
    <w:rsid w:val="00B26137"/>
    <w:rsid w:val="00B26F8B"/>
    <w:rsid w:val="00B2707A"/>
    <w:rsid w:val="00B270D6"/>
    <w:rsid w:val="00B272FD"/>
    <w:rsid w:val="00B27393"/>
    <w:rsid w:val="00B3042E"/>
    <w:rsid w:val="00B3057B"/>
    <w:rsid w:val="00B3072A"/>
    <w:rsid w:val="00B31D7D"/>
    <w:rsid w:val="00B32282"/>
    <w:rsid w:val="00B32EE7"/>
    <w:rsid w:val="00B3338D"/>
    <w:rsid w:val="00B335B2"/>
    <w:rsid w:val="00B3454A"/>
    <w:rsid w:val="00B34EAD"/>
    <w:rsid w:val="00B3569E"/>
    <w:rsid w:val="00B35A79"/>
    <w:rsid w:val="00B3644B"/>
    <w:rsid w:val="00B369E7"/>
    <w:rsid w:val="00B37927"/>
    <w:rsid w:val="00B37E67"/>
    <w:rsid w:val="00B41446"/>
    <w:rsid w:val="00B4159F"/>
    <w:rsid w:val="00B42CA5"/>
    <w:rsid w:val="00B442E2"/>
    <w:rsid w:val="00B45378"/>
    <w:rsid w:val="00B45A1D"/>
    <w:rsid w:val="00B50B01"/>
    <w:rsid w:val="00B51453"/>
    <w:rsid w:val="00B518D9"/>
    <w:rsid w:val="00B51A07"/>
    <w:rsid w:val="00B527D8"/>
    <w:rsid w:val="00B528A7"/>
    <w:rsid w:val="00B53E8F"/>
    <w:rsid w:val="00B5408F"/>
    <w:rsid w:val="00B5424D"/>
    <w:rsid w:val="00B54742"/>
    <w:rsid w:val="00B54B88"/>
    <w:rsid w:val="00B553EC"/>
    <w:rsid w:val="00B56780"/>
    <w:rsid w:val="00B57F5F"/>
    <w:rsid w:val="00B6032E"/>
    <w:rsid w:val="00B60A8B"/>
    <w:rsid w:val="00B61E6B"/>
    <w:rsid w:val="00B6213B"/>
    <w:rsid w:val="00B62544"/>
    <w:rsid w:val="00B631CD"/>
    <w:rsid w:val="00B6330F"/>
    <w:rsid w:val="00B63BE5"/>
    <w:rsid w:val="00B64216"/>
    <w:rsid w:val="00B6430C"/>
    <w:rsid w:val="00B6466A"/>
    <w:rsid w:val="00B64EA5"/>
    <w:rsid w:val="00B65EA8"/>
    <w:rsid w:val="00B666E9"/>
    <w:rsid w:val="00B66B9B"/>
    <w:rsid w:val="00B672AD"/>
    <w:rsid w:val="00B676A9"/>
    <w:rsid w:val="00B67818"/>
    <w:rsid w:val="00B72028"/>
    <w:rsid w:val="00B72CB8"/>
    <w:rsid w:val="00B73309"/>
    <w:rsid w:val="00B74647"/>
    <w:rsid w:val="00B7653E"/>
    <w:rsid w:val="00B770D5"/>
    <w:rsid w:val="00B77FA0"/>
    <w:rsid w:val="00B802CB"/>
    <w:rsid w:val="00B80524"/>
    <w:rsid w:val="00B805B0"/>
    <w:rsid w:val="00B811FB"/>
    <w:rsid w:val="00B81A59"/>
    <w:rsid w:val="00B81D58"/>
    <w:rsid w:val="00B8202E"/>
    <w:rsid w:val="00B82A89"/>
    <w:rsid w:val="00B83F45"/>
    <w:rsid w:val="00B84AAF"/>
    <w:rsid w:val="00B84D0F"/>
    <w:rsid w:val="00B8502C"/>
    <w:rsid w:val="00B8532C"/>
    <w:rsid w:val="00B8592B"/>
    <w:rsid w:val="00B863EA"/>
    <w:rsid w:val="00B869EA"/>
    <w:rsid w:val="00B87283"/>
    <w:rsid w:val="00B878C2"/>
    <w:rsid w:val="00B878F1"/>
    <w:rsid w:val="00B90371"/>
    <w:rsid w:val="00B90544"/>
    <w:rsid w:val="00B91207"/>
    <w:rsid w:val="00B91FF3"/>
    <w:rsid w:val="00B9207A"/>
    <w:rsid w:val="00B92658"/>
    <w:rsid w:val="00B92EEC"/>
    <w:rsid w:val="00B92F0F"/>
    <w:rsid w:val="00B92F7C"/>
    <w:rsid w:val="00B93627"/>
    <w:rsid w:val="00B93C8D"/>
    <w:rsid w:val="00B9423A"/>
    <w:rsid w:val="00B94250"/>
    <w:rsid w:val="00B95AE3"/>
    <w:rsid w:val="00B95C6A"/>
    <w:rsid w:val="00B95D52"/>
    <w:rsid w:val="00B96FE9"/>
    <w:rsid w:val="00B978E7"/>
    <w:rsid w:val="00B97ABC"/>
    <w:rsid w:val="00BA07B9"/>
    <w:rsid w:val="00BA0A2C"/>
    <w:rsid w:val="00BA0E1E"/>
    <w:rsid w:val="00BA105D"/>
    <w:rsid w:val="00BA231E"/>
    <w:rsid w:val="00BA2A81"/>
    <w:rsid w:val="00BA3034"/>
    <w:rsid w:val="00BA3B1D"/>
    <w:rsid w:val="00BA497C"/>
    <w:rsid w:val="00BA4E72"/>
    <w:rsid w:val="00BA5AC7"/>
    <w:rsid w:val="00BA6497"/>
    <w:rsid w:val="00BA7421"/>
    <w:rsid w:val="00BA7608"/>
    <w:rsid w:val="00BA7BFA"/>
    <w:rsid w:val="00BA7DC3"/>
    <w:rsid w:val="00BB06EF"/>
    <w:rsid w:val="00BB072E"/>
    <w:rsid w:val="00BB0730"/>
    <w:rsid w:val="00BB1192"/>
    <w:rsid w:val="00BB13CF"/>
    <w:rsid w:val="00BB21E1"/>
    <w:rsid w:val="00BB2844"/>
    <w:rsid w:val="00BB2C56"/>
    <w:rsid w:val="00BB3326"/>
    <w:rsid w:val="00BB3921"/>
    <w:rsid w:val="00BB3A6D"/>
    <w:rsid w:val="00BB3F1B"/>
    <w:rsid w:val="00BB41E1"/>
    <w:rsid w:val="00BB4A7D"/>
    <w:rsid w:val="00BB4B8E"/>
    <w:rsid w:val="00BB5D42"/>
    <w:rsid w:val="00BB5E86"/>
    <w:rsid w:val="00BB5F17"/>
    <w:rsid w:val="00BB6C7B"/>
    <w:rsid w:val="00BB6FE1"/>
    <w:rsid w:val="00BC13F7"/>
    <w:rsid w:val="00BC2504"/>
    <w:rsid w:val="00BC2920"/>
    <w:rsid w:val="00BC3429"/>
    <w:rsid w:val="00BC34B7"/>
    <w:rsid w:val="00BC37A4"/>
    <w:rsid w:val="00BC3969"/>
    <w:rsid w:val="00BC4043"/>
    <w:rsid w:val="00BC4C16"/>
    <w:rsid w:val="00BC59DD"/>
    <w:rsid w:val="00BC5B5B"/>
    <w:rsid w:val="00BC60D5"/>
    <w:rsid w:val="00BC653A"/>
    <w:rsid w:val="00BC6A62"/>
    <w:rsid w:val="00BC7050"/>
    <w:rsid w:val="00BD03DF"/>
    <w:rsid w:val="00BD060B"/>
    <w:rsid w:val="00BD082D"/>
    <w:rsid w:val="00BD0935"/>
    <w:rsid w:val="00BD0A71"/>
    <w:rsid w:val="00BD0AF1"/>
    <w:rsid w:val="00BD0DEF"/>
    <w:rsid w:val="00BD1ABC"/>
    <w:rsid w:val="00BD2570"/>
    <w:rsid w:val="00BD2E67"/>
    <w:rsid w:val="00BD35BB"/>
    <w:rsid w:val="00BD38C6"/>
    <w:rsid w:val="00BD3B2D"/>
    <w:rsid w:val="00BD4031"/>
    <w:rsid w:val="00BD4773"/>
    <w:rsid w:val="00BD4FFC"/>
    <w:rsid w:val="00BD5F9E"/>
    <w:rsid w:val="00BD5FC4"/>
    <w:rsid w:val="00BD6A06"/>
    <w:rsid w:val="00BD6DA4"/>
    <w:rsid w:val="00BD704C"/>
    <w:rsid w:val="00BD74E4"/>
    <w:rsid w:val="00BD757D"/>
    <w:rsid w:val="00BD7784"/>
    <w:rsid w:val="00BE0052"/>
    <w:rsid w:val="00BE0C29"/>
    <w:rsid w:val="00BE0D10"/>
    <w:rsid w:val="00BE1141"/>
    <w:rsid w:val="00BE1618"/>
    <w:rsid w:val="00BE22D9"/>
    <w:rsid w:val="00BE283F"/>
    <w:rsid w:val="00BE2951"/>
    <w:rsid w:val="00BE4012"/>
    <w:rsid w:val="00BE4875"/>
    <w:rsid w:val="00BE5025"/>
    <w:rsid w:val="00BE56CE"/>
    <w:rsid w:val="00BE5D6A"/>
    <w:rsid w:val="00BE68A0"/>
    <w:rsid w:val="00BE6F51"/>
    <w:rsid w:val="00BE73E8"/>
    <w:rsid w:val="00BE779E"/>
    <w:rsid w:val="00BE78C7"/>
    <w:rsid w:val="00BE7B1E"/>
    <w:rsid w:val="00BE7D24"/>
    <w:rsid w:val="00BE7E49"/>
    <w:rsid w:val="00BF0C1F"/>
    <w:rsid w:val="00BF0F58"/>
    <w:rsid w:val="00BF14BE"/>
    <w:rsid w:val="00BF1893"/>
    <w:rsid w:val="00BF1921"/>
    <w:rsid w:val="00BF3638"/>
    <w:rsid w:val="00BF36D6"/>
    <w:rsid w:val="00BF3C13"/>
    <w:rsid w:val="00BF3F21"/>
    <w:rsid w:val="00BF4985"/>
    <w:rsid w:val="00BF55C3"/>
    <w:rsid w:val="00BF6151"/>
    <w:rsid w:val="00BF65D4"/>
    <w:rsid w:val="00BF67D0"/>
    <w:rsid w:val="00BF67F1"/>
    <w:rsid w:val="00BF681A"/>
    <w:rsid w:val="00BF7E45"/>
    <w:rsid w:val="00C00F53"/>
    <w:rsid w:val="00C021DD"/>
    <w:rsid w:val="00C02406"/>
    <w:rsid w:val="00C02D9D"/>
    <w:rsid w:val="00C047E4"/>
    <w:rsid w:val="00C04C3A"/>
    <w:rsid w:val="00C0574D"/>
    <w:rsid w:val="00C06198"/>
    <w:rsid w:val="00C0650E"/>
    <w:rsid w:val="00C068A5"/>
    <w:rsid w:val="00C070FA"/>
    <w:rsid w:val="00C079E6"/>
    <w:rsid w:val="00C07AEC"/>
    <w:rsid w:val="00C1085D"/>
    <w:rsid w:val="00C10A62"/>
    <w:rsid w:val="00C1102C"/>
    <w:rsid w:val="00C111B5"/>
    <w:rsid w:val="00C11987"/>
    <w:rsid w:val="00C12021"/>
    <w:rsid w:val="00C12AAE"/>
    <w:rsid w:val="00C14060"/>
    <w:rsid w:val="00C143C1"/>
    <w:rsid w:val="00C1546D"/>
    <w:rsid w:val="00C15C65"/>
    <w:rsid w:val="00C15E23"/>
    <w:rsid w:val="00C16347"/>
    <w:rsid w:val="00C167DE"/>
    <w:rsid w:val="00C168F3"/>
    <w:rsid w:val="00C17759"/>
    <w:rsid w:val="00C17B23"/>
    <w:rsid w:val="00C17D49"/>
    <w:rsid w:val="00C17F5C"/>
    <w:rsid w:val="00C17FC7"/>
    <w:rsid w:val="00C20000"/>
    <w:rsid w:val="00C204CF"/>
    <w:rsid w:val="00C2080D"/>
    <w:rsid w:val="00C209FC"/>
    <w:rsid w:val="00C21513"/>
    <w:rsid w:val="00C215C7"/>
    <w:rsid w:val="00C21850"/>
    <w:rsid w:val="00C21882"/>
    <w:rsid w:val="00C21E9B"/>
    <w:rsid w:val="00C220B6"/>
    <w:rsid w:val="00C22356"/>
    <w:rsid w:val="00C22480"/>
    <w:rsid w:val="00C22BFA"/>
    <w:rsid w:val="00C22DB3"/>
    <w:rsid w:val="00C23936"/>
    <w:rsid w:val="00C249EE"/>
    <w:rsid w:val="00C24F8D"/>
    <w:rsid w:val="00C25F96"/>
    <w:rsid w:val="00C26F90"/>
    <w:rsid w:val="00C2741E"/>
    <w:rsid w:val="00C2743D"/>
    <w:rsid w:val="00C27898"/>
    <w:rsid w:val="00C300AF"/>
    <w:rsid w:val="00C306B8"/>
    <w:rsid w:val="00C31934"/>
    <w:rsid w:val="00C3196F"/>
    <w:rsid w:val="00C31A1E"/>
    <w:rsid w:val="00C31D2A"/>
    <w:rsid w:val="00C323DD"/>
    <w:rsid w:val="00C32638"/>
    <w:rsid w:val="00C32834"/>
    <w:rsid w:val="00C3327F"/>
    <w:rsid w:val="00C33B7B"/>
    <w:rsid w:val="00C353B3"/>
    <w:rsid w:val="00C3559C"/>
    <w:rsid w:val="00C357E5"/>
    <w:rsid w:val="00C36149"/>
    <w:rsid w:val="00C36BD9"/>
    <w:rsid w:val="00C36FCB"/>
    <w:rsid w:val="00C37036"/>
    <w:rsid w:val="00C3704C"/>
    <w:rsid w:val="00C371DC"/>
    <w:rsid w:val="00C378DA"/>
    <w:rsid w:val="00C37C8F"/>
    <w:rsid w:val="00C40D56"/>
    <w:rsid w:val="00C40F5D"/>
    <w:rsid w:val="00C414F7"/>
    <w:rsid w:val="00C417C0"/>
    <w:rsid w:val="00C41B7B"/>
    <w:rsid w:val="00C42454"/>
    <w:rsid w:val="00C42A2C"/>
    <w:rsid w:val="00C42CA5"/>
    <w:rsid w:val="00C43C69"/>
    <w:rsid w:val="00C44041"/>
    <w:rsid w:val="00C4451C"/>
    <w:rsid w:val="00C455DC"/>
    <w:rsid w:val="00C459FC"/>
    <w:rsid w:val="00C46988"/>
    <w:rsid w:val="00C46F5C"/>
    <w:rsid w:val="00C473D1"/>
    <w:rsid w:val="00C47A8C"/>
    <w:rsid w:val="00C47CE6"/>
    <w:rsid w:val="00C502FC"/>
    <w:rsid w:val="00C50A68"/>
    <w:rsid w:val="00C50F5B"/>
    <w:rsid w:val="00C50F9D"/>
    <w:rsid w:val="00C51680"/>
    <w:rsid w:val="00C517C7"/>
    <w:rsid w:val="00C5181C"/>
    <w:rsid w:val="00C5182E"/>
    <w:rsid w:val="00C5196D"/>
    <w:rsid w:val="00C51A26"/>
    <w:rsid w:val="00C51E8E"/>
    <w:rsid w:val="00C52649"/>
    <w:rsid w:val="00C52B50"/>
    <w:rsid w:val="00C54BC1"/>
    <w:rsid w:val="00C5550C"/>
    <w:rsid w:val="00C575AB"/>
    <w:rsid w:val="00C57B5A"/>
    <w:rsid w:val="00C57D77"/>
    <w:rsid w:val="00C6056E"/>
    <w:rsid w:val="00C6070B"/>
    <w:rsid w:val="00C60A6F"/>
    <w:rsid w:val="00C61A83"/>
    <w:rsid w:val="00C61E47"/>
    <w:rsid w:val="00C62F1A"/>
    <w:rsid w:val="00C6389C"/>
    <w:rsid w:val="00C64066"/>
    <w:rsid w:val="00C6442A"/>
    <w:rsid w:val="00C647A8"/>
    <w:rsid w:val="00C66321"/>
    <w:rsid w:val="00C674B0"/>
    <w:rsid w:val="00C67D33"/>
    <w:rsid w:val="00C7052C"/>
    <w:rsid w:val="00C705DE"/>
    <w:rsid w:val="00C7084A"/>
    <w:rsid w:val="00C70C66"/>
    <w:rsid w:val="00C71415"/>
    <w:rsid w:val="00C7228E"/>
    <w:rsid w:val="00C723BE"/>
    <w:rsid w:val="00C72BA7"/>
    <w:rsid w:val="00C741F1"/>
    <w:rsid w:val="00C74578"/>
    <w:rsid w:val="00C74AF6"/>
    <w:rsid w:val="00C75000"/>
    <w:rsid w:val="00C750BA"/>
    <w:rsid w:val="00C76A6A"/>
    <w:rsid w:val="00C77E48"/>
    <w:rsid w:val="00C77EDB"/>
    <w:rsid w:val="00C800C6"/>
    <w:rsid w:val="00C80135"/>
    <w:rsid w:val="00C81A0B"/>
    <w:rsid w:val="00C821A0"/>
    <w:rsid w:val="00C8233E"/>
    <w:rsid w:val="00C823B9"/>
    <w:rsid w:val="00C82886"/>
    <w:rsid w:val="00C82A73"/>
    <w:rsid w:val="00C82BF1"/>
    <w:rsid w:val="00C82C86"/>
    <w:rsid w:val="00C83719"/>
    <w:rsid w:val="00C84A30"/>
    <w:rsid w:val="00C84CFE"/>
    <w:rsid w:val="00C85668"/>
    <w:rsid w:val="00C8638F"/>
    <w:rsid w:val="00C86E9A"/>
    <w:rsid w:val="00C87BA4"/>
    <w:rsid w:val="00C904E7"/>
    <w:rsid w:val="00C90717"/>
    <w:rsid w:val="00C90D56"/>
    <w:rsid w:val="00C90E5D"/>
    <w:rsid w:val="00C91074"/>
    <w:rsid w:val="00C918E9"/>
    <w:rsid w:val="00C91EB3"/>
    <w:rsid w:val="00C92354"/>
    <w:rsid w:val="00C929E0"/>
    <w:rsid w:val="00C92F45"/>
    <w:rsid w:val="00C930E0"/>
    <w:rsid w:val="00C931AA"/>
    <w:rsid w:val="00C936B0"/>
    <w:rsid w:val="00C93A5B"/>
    <w:rsid w:val="00C940FC"/>
    <w:rsid w:val="00C94476"/>
    <w:rsid w:val="00C9455C"/>
    <w:rsid w:val="00C9493F"/>
    <w:rsid w:val="00C95ABB"/>
    <w:rsid w:val="00C95E7B"/>
    <w:rsid w:val="00C96D78"/>
    <w:rsid w:val="00C9735C"/>
    <w:rsid w:val="00C9755D"/>
    <w:rsid w:val="00C97894"/>
    <w:rsid w:val="00C9793A"/>
    <w:rsid w:val="00CA03B3"/>
    <w:rsid w:val="00CA1160"/>
    <w:rsid w:val="00CA13F1"/>
    <w:rsid w:val="00CA1614"/>
    <w:rsid w:val="00CA1B15"/>
    <w:rsid w:val="00CA2DE6"/>
    <w:rsid w:val="00CA3123"/>
    <w:rsid w:val="00CA3B5E"/>
    <w:rsid w:val="00CA3CEA"/>
    <w:rsid w:val="00CA3F48"/>
    <w:rsid w:val="00CA3F82"/>
    <w:rsid w:val="00CA3FE5"/>
    <w:rsid w:val="00CA497D"/>
    <w:rsid w:val="00CA4D6B"/>
    <w:rsid w:val="00CA4FEE"/>
    <w:rsid w:val="00CA534E"/>
    <w:rsid w:val="00CA555A"/>
    <w:rsid w:val="00CA55C2"/>
    <w:rsid w:val="00CA5B37"/>
    <w:rsid w:val="00CA5FCD"/>
    <w:rsid w:val="00CA65EC"/>
    <w:rsid w:val="00CA6D04"/>
    <w:rsid w:val="00CA7336"/>
    <w:rsid w:val="00CA7AFB"/>
    <w:rsid w:val="00CA7E87"/>
    <w:rsid w:val="00CA7F87"/>
    <w:rsid w:val="00CB0173"/>
    <w:rsid w:val="00CB032B"/>
    <w:rsid w:val="00CB09C4"/>
    <w:rsid w:val="00CB1D1C"/>
    <w:rsid w:val="00CB1D99"/>
    <w:rsid w:val="00CB1FED"/>
    <w:rsid w:val="00CB27AD"/>
    <w:rsid w:val="00CB3B6B"/>
    <w:rsid w:val="00CB4865"/>
    <w:rsid w:val="00CB4D7B"/>
    <w:rsid w:val="00CB4DD6"/>
    <w:rsid w:val="00CB598E"/>
    <w:rsid w:val="00CB5F60"/>
    <w:rsid w:val="00CB6444"/>
    <w:rsid w:val="00CB656B"/>
    <w:rsid w:val="00CB7672"/>
    <w:rsid w:val="00CC038B"/>
    <w:rsid w:val="00CC06B0"/>
    <w:rsid w:val="00CC1CB3"/>
    <w:rsid w:val="00CC1D17"/>
    <w:rsid w:val="00CC3A3E"/>
    <w:rsid w:val="00CC3DC9"/>
    <w:rsid w:val="00CC3DEB"/>
    <w:rsid w:val="00CC3FD7"/>
    <w:rsid w:val="00CC42A6"/>
    <w:rsid w:val="00CC4420"/>
    <w:rsid w:val="00CC4742"/>
    <w:rsid w:val="00CC4971"/>
    <w:rsid w:val="00CC53D7"/>
    <w:rsid w:val="00CC54A2"/>
    <w:rsid w:val="00CC59DC"/>
    <w:rsid w:val="00CC68EE"/>
    <w:rsid w:val="00CC7E80"/>
    <w:rsid w:val="00CD0D26"/>
    <w:rsid w:val="00CD13B8"/>
    <w:rsid w:val="00CD1B03"/>
    <w:rsid w:val="00CD1C72"/>
    <w:rsid w:val="00CD1E47"/>
    <w:rsid w:val="00CD2116"/>
    <w:rsid w:val="00CD2FCC"/>
    <w:rsid w:val="00CD3FCB"/>
    <w:rsid w:val="00CD4B47"/>
    <w:rsid w:val="00CD4CB2"/>
    <w:rsid w:val="00CD50E0"/>
    <w:rsid w:val="00CD5341"/>
    <w:rsid w:val="00CD5691"/>
    <w:rsid w:val="00CD5894"/>
    <w:rsid w:val="00CD6723"/>
    <w:rsid w:val="00CD7731"/>
    <w:rsid w:val="00CD79F8"/>
    <w:rsid w:val="00CE0139"/>
    <w:rsid w:val="00CE0213"/>
    <w:rsid w:val="00CE1347"/>
    <w:rsid w:val="00CE145F"/>
    <w:rsid w:val="00CE2BCE"/>
    <w:rsid w:val="00CE3A97"/>
    <w:rsid w:val="00CE3C4B"/>
    <w:rsid w:val="00CE4D4A"/>
    <w:rsid w:val="00CE4D8A"/>
    <w:rsid w:val="00CE548D"/>
    <w:rsid w:val="00CE5620"/>
    <w:rsid w:val="00CE56EA"/>
    <w:rsid w:val="00CE58AA"/>
    <w:rsid w:val="00CE5D4C"/>
    <w:rsid w:val="00CE7269"/>
    <w:rsid w:val="00CE727E"/>
    <w:rsid w:val="00CE7674"/>
    <w:rsid w:val="00CF1127"/>
    <w:rsid w:val="00CF15F5"/>
    <w:rsid w:val="00CF2633"/>
    <w:rsid w:val="00CF3144"/>
    <w:rsid w:val="00CF3431"/>
    <w:rsid w:val="00CF3A4E"/>
    <w:rsid w:val="00CF3C9A"/>
    <w:rsid w:val="00CF4C95"/>
    <w:rsid w:val="00CF5C31"/>
    <w:rsid w:val="00CF6F1F"/>
    <w:rsid w:val="00CF6F5A"/>
    <w:rsid w:val="00CF72D5"/>
    <w:rsid w:val="00CF73C5"/>
    <w:rsid w:val="00CF7944"/>
    <w:rsid w:val="00CF7C9A"/>
    <w:rsid w:val="00CF7EAF"/>
    <w:rsid w:val="00D00939"/>
    <w:rsid w:val="00D00C09"/>
    <w:rsid w:val="00D00DCC"/>
    <w:rsid w:val="00D0127F"/>
    <w:rsid w:val="00D01578"/>
    <w:rsid w:val="00D015AF"/>
    <w:rsid w:val="00D01D7F"/>
    <w:rsid w:val="00D0276F"/>
    <w:rsid w:val="00D02B9C"/>
    <w:rsid w:val="00D02E19"/>
    <w:rsid w:val="00D031C2"/>
    <w:rsid w:val="00D05E55"/>
    <w:rsid w:val="00D066A8"/>
    <w:rsid w:val="00D06874"/>
    <w:rsid w:val="00D06D1E"/>
    <w:rsid w:val="00D07731"/>
    <w:rsid w:val="00D10D51"/>
    <w:rsid w:val="00D114AD"/>
    <w:rsid w:val="00D11BEF"/>
    <w:rsid w:val="00D11CA0"/>
    <w:rsid w:val="00D1334A"/>
    <w:rsid w:val="00D134B8"/>
    <w:rsid w:val="00D140B5"/>
    <w:rsid w:val="00D144BF"/>
    <w:rsid w:val="00D14D47"/>
    <w:rsid w:val="00D1568B"/>
    <w:rsid w:val="00D15A15"/>
    <w:rsid w:val="00D15B64"/>
    <w:rsid w:val="00D16A16"/>
    <w:rsid w:val="00D16BC1"/>
    <w:rsid w:val="00D174CB"/>
    <w:rsid w:val="00D17D93"/>
    <w:rsid w:val="00D17DF4"/>
    <w:rsid w:val="00D20058"/>
    <w:rsid w:val="00D21185"/>
    <w:rsid w:val="00D213A9"/>
    <w:rsid w:val="00D21846"/>
    <w:rsid w:val="00D2197E"/>
    <w:rsid w:val="00D22FB9"/>
    <w:rsid w:val="00D231D6"/>
    <w:rsid w:val="00D233AE"/>
    <w:rsid w:val="00D24479"/>
    <w:rsid w:val="00D247FD"/>
    <w:rsid w:val="00D25E8C"/>
    <w:rsid w:val="00D26068"/>
    <w:rsid w:val="00D260CE"/>
    <w:rsid w:val="00D26AD5"/>
    <w:rsid w:val="00D26B39"/>
    <w:rsid w:val="00D271C2"/>
    <w:rsid w:val="00D271CB"/>
    <w:rsid w:val="00D27D9E"/>
    <w:rsid w:val="00D301B7"/>
    <w:rsid w:val="00D30CC2"/>
    <w:rsid w:val="00D30D22"/>
    <w:rsid w:val="00D3187C"/>
    <w:rsid w:val="00D3204F"/>
    <w:rsid w:val="00D32C64"/>
    <w:rsid w:val="00D32E78"/>
    <w:rsid w:val="00D33543"/>
    <w:rsid w:val="00D33943"/>
    <w:rsid w:val="00D33C12"/>
    <w:rsid w:val="00D33C71"/>
    <w:rsid w:val="00D34208"/>
    <w:rsid w:val="00D34955"/>
    <w:rsid w:val="00D34FFD"/>
    <w:rsid w:val="00D35274"/>
    <w:rsid w:val="00D4061F"/>
    <w:rsid w:val="00D40FE6"/>
    <w:rsid w:val="00D42716"/>
    <w:rsid w:val="00D428E8"/>
    <w:rsid w:val="00D44FA5"/>
    <w:rsid w:val="00D4511C"/>
    <w:rsid w:val="00D45205"/>
    <w:rsid w:val="00D45E34"/>
    <w:rsid w:val="00D45E8A"/>
    <w:rsid w:val="00D46D0B"/>
    <w:rsid w:val="00D46F2A"/>
    <w:rsid w:val="00D52510"/>
    <w:rsid w:val="00D527E4"/>
    <w:rsid w:val="00D52E96"/>
    <w:rsid w:val="00D531CA"/>
    <w:rsid w:val="00D539FA"/>
    <w:rsid w:val="00D54BA2"/>
    <w:rsid w:val="00D55BCF"/>
    <w:rsid w:val="00D56B06"/>
    <w:rsid w:val="00D56ECF"/>
    <w:rsid w:val="00D575A5"/>
    <w:rsid w:val="00D5787B"/>
    <w:rsid w:val="00D60A91"/>
    <w:rsid w:val="00D60F04"/>
    <w:rsid w:val="00D61015"/>
    <w:rsid w:val="00D614A4"/>
    <w:rsid w:val="00D622BC"/>
    <w:rsid w:val="00D6241F"/>
    <w:rsid w:val="00D62EBF"/>
    <w:rsid w:val="00D631C2"/>
    <w:rsid w:val="00D63830"/>
    <w:rsid w:val="00D64933"/>
    <w:rsid w:val="00D64E2C"/>
    <w:rsid w:val="00D6546D"/>
    <w:rsid w:val="00D668E0"/>
    <w:rsid w:val="00D6720C"/>
    <w:rsid w:val="00D67943"/>
    <w:rsid w:val="00D67B45"/>
    <w:rsid w:val="00D67E78"/>
    <w:rsid w:val="00D707D5"/>
    <w:rsid w:val="00D70F90"/>
    <w:rsid w:val="00D71E9D"/>
    <w:rsid w:val="00D72356"/>
    <w:rsid w:val="00D726A8"/>
    <w:rsid w:val="00D727E1"/>
    <w:rsid w:val="00D7289D"/>
    <w:rsid w:val="00D7331F"/>
    <w:rsid w:val="00D73648"/>
    <w:rsid w:val="00D73CD3"/>
    <w:rsid w:val="00D74869"/>
    <w:rsid w:val="00D74DB5"/>
    <w:rsid w:val="00D750FA"/>
    <w:rsid w:val="00D75120"/>
    <w:rsid w:val="00D75644"/>
    <w:rsid w:val="00D757C5"/>
    <w:rsid w:val="00D75B93"/>
    <w:rsid w:val="00D765AE"/>
    <w:rsid w:val="00D771B6"/>
    <w:rsid w:val="00D772ED"/>
    <w:rsid w:val="00D814EF"/>
    <w:rsid w:val="00D818A2"/>
    <w:rsid w:val="00D8303B"/>
    <w:rsid w:val="00D83BBF"/>
    <w:rsid w:val="00D83D64"/>
    <w:rsid w:val="00D841BE"/>
    <w:rsid w:val="00D8504D"/>
    <w:rsid w:val="00D85527"/>
    <w:rsid w:val="00D855EE"/>
    <w:rsid w:val="00D85B97"/>
    <w:rsid w:val="00D86A8E"/>
    <w:rsid w:val="00D86D65"/>
    <w:rsid w:val="00D870AA"/>
    <w:rsid w:val="00D8758E"/>
    <w:rsid w:val="00D877D3"/>
    <w:rsid w:val="00D9059F"/>
    <w:rsid w:val="00D909B1"/>
    <w:rsid w:val="00D90D20"/>
    <w:rsid w:val="00D90D85"/>
    <w:rsid w:val="00D9127F"/>
    <w:rsid w:val="00D912A1"/>
    <w:rsid w:val="00D91BB0"/>
    <w:rsid w:val="00D92082"/>
    <w:rsid w:val="00D92136"/>
    <w:rsid w:val="00D9283F"/>
    <w:rsid w:val="00D9294B"/>
    <w:rsid w:val="00D92D6B"/>
    <w:rsid w:val="00D932B0"/>
    <w:rsid w:val="00D9356F"/>
    <w:rsid w:val="00D94820"/>
    <w:rsid w:val="00D94F91"/>
    <w:rsid w:val="00D95DFA"/>
    <w:rsid w:val="00D95F49"/>
    <w:rsid w:val="00D96AFD"/>
    <w:rsid w:val="00D9794A"/>
    <w:rsid w:val="00D97BFD"/>
    <w:rsid w:val="00D97C07"/>
    <w:rsid w:val="00D97F71"/>
    <w:rsid w:val="00DA055D"/>
    <w:rsid w:val="00DA1030"/>
    <w:rsid w:val="00DA19D1"/>
    <w:rsid w:val="00DA22E8"/>
    <w:rsid w:val="00DA2F4F"/>
    <w:rsid w:val="00DA3B2E"/>
    <w:rsid w:val="00DA4865"/>
    <w:rsid w:val="00DA4D17"/>
    <w:rsid w:val="00DA4DD4"/>
    <w:rsid w:val="00DA51D0"/>
    <w:rsid w:val="00DA5389"/>
    <w:rsid w:val="00DA5BCF"/>
    <w:rsid w:val="00DA5F2B"/>
    <w:rsid w:val="00DA6066"/>
    <w:rsid w:val="00DA69D2"/>
    <w:rsid w:val="00DB11DB"/>
    <w:rsid w:val="00DB15AB"/>
    <w:rsid w:val="00DB167A"/>
    <w:rsid w:val="00DB1B25"/>
    <w:rsid w:val="00DB3872"/>
    <w:rsid w:val="00DB3A46"/>
    <w:rsid w:val="00DB4713"/>
    <w:rsid w:val="00DB4799"/>
    <w:rsid w:val="00DB53E6"/>
    <w:rsid w:val="00DB58F8"/>
    <w:rsid w:val="00DB5A3D"/>
    <w:rsid w:val="00DB5BF2"/>
    <w:rsid w:val="00DB6EB1"/>
    <w:rsid w:val="00DB792E"/>
    <w:rsid w:val="00DB7988"/>
    <w:rsid w:val="00DB7A25"/>
    <w:rsid w:val="00DB7A5C"/>
    <w:rsid w:val="00DB7B35"/>
    <w:rsid w:val="00DB7C2C"/>
    <w:rsid w:val="00DB7CCC"/>
    <w:rsid w:val="00DC00D9"/>
    <w:rsid w:val="00DC08A0"/>
    <w:rsid w:val="00DC0919"/>
    <w:rsid w:val="00DC09CB"/>
    <w:rsid w:val="00DC1B35"/>
    <w:rsid w:val="00DC2FC7"/>
    <w:rsid w:val="00DC3661"/>
    <w:rsid w:val="00DC3800"/>
    <w:rsid w:val="00DC3B6F"/>
    <w:rsid w:val="00DC3D02"/>
    <w:rsid w:val="00DC4185"/>
    <w:rsid w:val="00DC5586"/>
    <w:rsid w:val="00DC58F8"/>
    <w:rsid w:val="00DC5AE1"/>
    <w:rsid w:val="00DC644B"/>
    <w:rsid w:val="00DC66D5"/>
    <w:rsid w:val="00DC6F5C"/>
    <w:rsid w:val="00DC7119"/>
    <w:rsid w:val="00DD1222"/>
    <w:rsid w:val="00DD1311"/>
    <w:rsid w:val="00DD1905"/>
    <w:rsid w:val="00DD1EA8"/>
    <w:rsid w:val="00DD2774"/>
    <w:rsid w:val="00DD2ECA"/>
    <w:rsid w:val="00DD3CBB"/>
    <w:rsid w:val="00DD3ECA"/>
    <w:rsid w:val="00DD4043"/>
    <w:rsid w:val="00DD432B"/>
    <w:rsid w:val="00DD46FA"/>
    <w:rsid w:val="00DD479E"/>
    <w:rsid w:val="00DD556A"/>
    <w:rsid w:val="00DD57CE"/>
    <w:rsid w:val="00DD5B72"/>
    <w:rsid w:val="00DD626D"/>
    <w:rsid w:val="00DD74B0"/>
    <w:rsid w:val="00DD7BAB"/>
    <w:rsid w:val="00DE020F"/>
    <w:rsid w:val="00DE0AC3"/>
    <w:rsid w:val="00DE0C18"/>
    <w:rsid w:val="00DE1C42"/>
    <w:rsid w:val="00DE2270"/>
    <w:rsid w:val="00DE2BDC"/>
    <w:rsid w:val="00DE34E4"/>
    <w:rsid w:val="00DE376A"/>
    <w:rsid w:val="00DE38B2"/>
    <w:rsid w:val="00DE3AD8"/>
    <w:rsid w:val="00DE41B6"/>
    <w:rsid w:val="00DE42E7"/>
    <w:rsid w:val="00DE4491"/>
    <w:rsid w:val="00DE48DD"/>
    <w:rsid w:val="00DE501A"/>
    <w:rsid w:val="00DE5076"/>
    <w:rsid w:val="00DE5B98"/>
    <w:rsid w:val="00DE5C21"/>
    <w:rsid w:val="00DE6157"/>
    <w:rsid w:val="00DE66A1"/>
    <w:rsid w:val="00DE688A"/>
    <w:rsid w:val="00DE690B"/>
    <w:rsid w:val="00DE6F17"/>
    <w:rsid w:val="00DE745B"/>
    <w:rsid w:val="00DE759E"/>
    <w:rsid w:val="00DE782B"/>
    <w:rsid w:val="00DE7852"/>
    <w:rsid w:val="00DE78BA"/>
    <w:rsid w:val="00DF0076"/>
    <w:rsid w:val="00DF00CA"/>
    <w:rsid w:val="00DF06DF"/>
    <w:rsid w:val="00DF083F"/>
    <w:rsid w:val="00DF08D9"/>
    <w:rsid w:val="00DF0A0D"/>
    <w:rsid w:val="00DF0FC6"/>
    <w:rsid w:val="00DF1208"/>
    <w:rsid w:val="00DF190E"/>
    <w:rsid w:val="00DF1AD0"/>
    <w:rsid w:val="00DF3520"/>
    <w:rsid w:val="00DF42A6"/>
    <w:rsid w:val="00DF45C4"/>
    <w:rsid w:val="00DF4DCC"/>
    <w:rsid w:val="00DF5032"/>
    <w:rsid w:val="00DF5166"/>
    <w:rsid w:val="00DF5259"/>
    <w:rsid w:val="00DF607E"/>
    <w:rsid w:val="00DF71B8"/>
    <w:rsid w:val="00E01134"/>
    <w:rsid w:val="00E01B06"/>
    <w:rsid w:val="00E01B90"/>
    <w:rsid w:val="00E02342"/>
    <w:rsid w:val="00E0271D"/>
    <w:rsid w:val="00E033B2"/>
    <w:rsid w:val="00E03E13"/>
    <w:rsid w:val="00E04395"/>
    <w:rsid w:val="00E04BC8"/>
    <w:rsid w:val="00E0545C"/>
    <w:rsid w:val="00E05623"/>
    <w:rsid w:val="00E05C72"/>
    <w:rsid w:val="00E060DB"/>
    <w:rsid w:val="00E064D7"/>
    <w:rsid w:val="00E06D48"/>
    <w:rsid w:val="00E07815"/>
    <w:rsid w:val="00E0796B"/>
    <w:rsid w:val="00E07F32"/>
    <w:rsid w:val="00E103E7"/>
    <w:rsid w:val="00E10DFD"/>
    <w:rsid w:val="00E11131"/>
    <w:rsid w:val="00E12744"/>
    <w:rsid w:val="00E140B4"/>
    <w:rsid w:val="00E141C9"/>
    <w:rsid w:val="00E14231"/>
    <w:rsid w:val="00E14613"/>
    <w:rsid w:val="00E15719"/>
    <w:rsid w:val="00E157D3"/>
    <w:rsid w:val="00E15B35"/>
    <w:rsid w:val="00E15FAB"/>
    <w:rsid w:val="00E1630D"/>
    <w:rsid w:val="00E16564"/>
    <w:rsid w:val="00E16665"/>
    <w:rsid w:val="00E17895"/>
    <w:rsid w:val="00E179C2"/>
    <w:rsid w:val="00E200F0"/>
    <w:rsid w:val="00E20B4E"/>
    <w:rsid w:val="00E21E63"/>
    <w:rsid w:val="00E21F5B"/>
    <w:rsid w:val="00E228CC"/>
    <w:rsid w:val="00E22AF0"/>
    <w:rsid w:val="00E23052"/>
    <w:rsid w:val="00E23244"/>
    <w:rsid w:val="00E23377"/>
    <w:rsid w:val="00E2348F"/>
    <w:rsid w:val="00E23636"/>
    <w:rsid w:val="00E2381C"/>
    <w:rsid w:val="00E258AB"/>
    <w:rsid w:val="00E25B23"/>
    <w:rsid w:val="00E26072"/>
    <w:rsid w:val="00E261E5"/>
    <w:rsid w:val="00E26F01"/>
    <w:rsid w:val="00E27127"/>
    <w:rsid w:val="00E27461"/>
    <w:rsid w:val="00E27470"/>
    <w:rsid w:val="00E27549"/>
    <w:rsid w:val="00E2781D"/>
    <w:rsid w:val="00E30033"/>
    <w:rsid w:val="00E30CCE"/>
    <w:rsid w:val="00E30F62"/>
    <w:rsid w:val="00E30FDF"/>
    <w:rsid w:val="00E3121D"/>
    <w:rsid w:val="00E313CB"/>
    <w:rsid w:val="00E318DB"/>
    <w:rsid w:val="00E31CAF"/>
    <w:rsid w:val="00E321BC"/>
    <w:rsid w:val="00E32E68"/>
    <w:rsid w:val="00E339A3"/>
    <w:rsid w:val="00E33F25"/>
    <w:rsid w:val="00E3403B"/>
    <w:rsid w:val="00E34BC6"/>
    <w:rsid w:val="00E34FF6"/>
    <w:rsid w:val="00E353EF"/>
    <w:rsid w:val="00E35609"/>
    <w:rsid w:val="00E3577B"/>
    <w:rsid w:val="00E36856"/>
    <w:rsid w:val="00E36BF0"/>
    <w:rsid w:val="00E37245"/>
    <w:rsid w:val="00E37255"/>
    <w:rsid w:val="00E37783"/>
    <w:rsid w:val="00E40471"/>
    <w:rsid w:val="00E40AFC"/>
    <w:rsid w:val="00E40EBE"/>
    <w:rsid w:val="00E40EC0"/>
    <w:rsid w:val="00E41118"/>
    <w:rsid w:val="00E419C9"/>
    <w:rsid w:val="00E41B2F"/>
    <w:rsid w:val="00E41EBD"/>
    <w:rsid w:val="00E4223A"/>
    <w:rsid w:val="00E42627"/>
    <w:rsid w:val="00E426FA"/>
    <w:rsid w:val="00E43638"/>
    <w:rsid w:val="00E43BFF"/>
    <w:rsid w:val="00E441B4"/>
    <w:rsid w:val="00E44E46"/>
    <w:rsid w:val="00E45454"/>
    <w:rsid w:val="00E45752"/>
    <w:rsid w:val="00E464E9"/>
    <w:rsid w:val="00E46E6C"/>
    <w:rsid w:val="00E5044C"/>
    <w:rsid w:val="00E5061E"/>
    <w:rsid w:val="00E50671"/>
    <w:rsid w:val="00E50755"/>
    <w:rsid w:val="00E509C3"/>
    <w:rsid w:val="00E517CD"/>
    <w:rsid w:val="00E519B0"/>
    <w:rsid w:val="00E51E97"/>
    <w:rsid w:val="00E52CFA"/>
    <w:rsid w:val="00E52EC9"/>
    <w:rsid w:val="00E533BA"/>
    <w:rsid w:val="00E533D1"/>
    <w:rsid w:val="00E5399A"/>
    <w:rsid w:val="00E54A4D"/>
    <w:rsid w:val="00E54C67"/>
    <w:rsid w:val="00E54F47"/>
    <w:rsid w:val="00E54FBE"/>
    <w:rsid w:val="00E55907"/>
    <w:rsid w:val="00E55E55"/>
    <w:rsid w:val="00E55FCF"/>
    <w:rsid w:val="00E5618A"/>
    <w:rsid w:val="00E56F7C"/>
    <w:rsid w:val="00E60314"/>
    <w:rsid w:val="00E61018"/>
    <w:rsid w:val="00E610B2"/>
    <w:rsid w:val="00E61442"/>
    <w:rsid w:val="00E61A02"/>
    <w:rsid w:val="00E61BD5"/>
    <w:rsid w:val="00E62667"/>
    <w:rsid w:val="00E629F2"/>
    <w:rsid w:val="00E629FD"/>
    <w:rsid w:val="00E62F5E"/>
    <w:rsid w:val="00E6335E"/>
    <w:rsid w:val="00E644F7"/>
    <w:rsid w:val="00E64696"/>
    <w:rsid w:val="00E64B15"/>
    <w:rsid w:val="00E64F18"/>
    <w:rsid w:val="00E6532E"/>
    <w:rsid w:val="00E6554A"/>
    <w:rsid w:val="00E65A2D"/>
    <w:rsid w:val="00E65F9E"/>
    <w:rsid w:val="00E664F5"/>
    <w:rsid w:val="00E66DC4"/>
    <w:rsid w:val="00E6759A"/>
    <w:rsid w:val="00E675F6"/>
    <w:rsid w:val="00E67640"/>
    <w:rsid w:val="00E6782B"/>
    <w:rsid w:val="00E67C16"/>
    <w:rsid w:val="00E67D66"/>
    <w:rsid w:val="00E7095A"/>
    <w:rsid w:val="00E70A5D"/>
    <w:rsid w:val="00E70C59"/>
    <w:rsid w:val="00E70CC8"/>
    <w:rsid w:val="00E70E23"/>
    <w:rsid w:val="00E71361"/>
    <w:rsid w:val="00E71552"/>
    <w:rsid w:val="00E71771"/>
    <w:rsid w:val="00E719D8"/>
    <w:rsid w:val="00E71E55"/>
    <w:rsid w:val="00E72D3F"/>
    <w:rsid w:val="00E72F01"/>
    <w:rsid w:val="00E73438"/>
    <w:rsid w:val="00E7447A"/>
    <w:rsid w:val="00E74C16"/>
    <w:rsid w:val="00E75093"/>
    <w:rsid w:val="00E75420"/>
    <w:rsid w:val="00E75883"/>
    <w:rsid w:val="00E76F36"/>
    <w:rsid w:val="00E77802"/>
    <w:rsid w:val="00E77EE9"/>
    <w:rsid w:val="00E81153"/>
    <w:rsid w:val="00E81CAE"/>
    <w:rsid w:val="00E81F51"/>
    <w:rsid w:val="00E82741"/>
    <w:rsid w:val="00E829B3"/>
    <w:rsid w:val="00E830C5"/>
    <w:rsid w:val="00E83216"/>
    <w:rsid w:val="00E8344A"/>
    <w:rsid w:val="00E837DC"/>
    <w:rsid w:val="00E8399D"/>
    <w:rsid w:val="00E83C5A"/>
    <w:rsid w:val="00E847B7"/>
    <w:rsid w:val="00E84E2E"/>
    <w:rsid w:val="00E85084"/>
    <w:rsid w:val="00E853D0"/>
    <w:rsid w:val="00E855A2"/>
    <w:rsid w:val="00E85F51"/>
    <w:rsid w:val="00E86A21"/>
    <w:rsid w:val="00E86E07"/>
    <w:rsid w:val="00E871C5"/>
    <w:rsid w:val="00E87409"/>
    <w:rsid w:val="00E874FB"/>
    <w:rsid w:val="00E8767A"/>
    <w:rsid w:val="00E87821"/>
    <w:rsid w:val="00E87C3F"/>
    <w:rsid w:val="00E916F5"/>
    <w:rsid w:val="00E9238E"/>
    <w:rsid w:val="00E931E5"/>
    <w:rsid w:val="00E93247"/>
    <w:rsid w:val="00E93AA3"/>
    <w:rsid w:val="00E944C3"/>
    <w:rsid w:val="00E94689"/>
    <w:rsid w:val="00E94FC4"/>
    <w:rsid w:val="00E95806"/>
    <w:rsid w:val="00E95D3E"/>
    <w:rsid w:val="00E95D66"/>
    <w:rsid w:val="00E96397"/>
    <w:rsid w:val="00E9656C"/>
    <w:rsid w:val="00E966F7"/>
    <w:rsid w:val="00E96764"/>
    <w:rsid w:val="00E969F5"/>
    <w:rsid w:val="00E97568"/>
    <w:rsid w:val="00E97F46"/>
    <w:rsid w:val="00EA091D"/>
    <w:rsid w:val="00EA0BF3"/>
    <w:rsid w:val="00EA0CF8"/>
    <w:rsid w:val="00EA0D82"/>
    <w:rsid w:val="00EA0F55"/>
    <w:rsid w:val="00EA12EF"/>
    <w:rsid w:val="00EA1D82"/>
    <w:rsid w:val="00EA2962"/>
    <w:rsid w:val="00EA4321"/>
    <w:rsid w:val="00EA51CF"/>
    <w:rsid w:val="00EA52C4"/>
    <w:rsid w:val="00EA5689"/>
    <w:rsid w:val="00EA59E1"/>
    <w:rsid w:val="00EA5AD6"/>
    <w:rsid w:val="00EA5FFD"/>
    <w:rsid w:val="00EA6589"/>
    <w:rsid w:val="00EA7851"/>
    <w:rsid w:val="00EB03EA"/>
    <w:rsid w:val="00EB059E"/>
    <w:rsid w:val="00EB0D4A"/>
    <w:rsid w:val="00EB2383"/>
    <w:rsid w:val="00EB2BD4"/>
    <w:rsid w:val="00EB3A7D"/>
    <w:rsid w:val="00EB3DE9"/>
    <w:rsid w:val="00EB46E1"/>
    <w:rsid w:val="00EB4D1D"/>
    <w:rsid w:val="00EB5622"/>
    <w:rsid w:val="00EB66E9"/>
    <w:rsid w:val="00EB685A"/>
    <w:rsid w:val="00EB6B59"/>
    <w:rsid w:val="00EB7C97"/>
    <w:rsid w:val="00EC0E3A"/>
    <w:rsid w:val="00EC112F"/>
    <w:rsid w:val="00EC1307"/>
    <w:rsid w:val="00EC1A51"/>
    <w:rsid w:val="00EC1BC1"/>
    <w:rsid w:val="00EC1D6D"/>
    <w:rsid w:val="00EC227C"/>
    <w:rsid w:val="00EC2597"/>
    <w:rsid w:val="00EC28AB"/>
    <w:rsid w:val="00EC308A"/>
    <w:rsid w:val="00EC3823"/>
    <w:rsid w:val="00EC3A11"/>
    <w:rsid w:val="00EC3DD0"/>
    <w:rsid w:val="00EC3EA0"/>
    <w:rsid w:val="00EC45F1"/>
    <w:rsid w:val="00EC4DA6"/>
    <w:rsid w:val="00EC4F39"/>
    <w:rsid w:val="00EC5419"/>
    <w:rsid w:val="00EC65C3"/>
    <w:rsid w:val="00EC68A3"/>
    <w:rsid w:val="00EC6ABD"/>
    <w:rsid w:val="00ED0F35"/>
    <w:rsid w:val="00ED11E1"/>
    <w:rsid w:val="00ED163A"/>
    <w:rsid w:val="00ED16F2"/>
    <w:rsid w:val="00ED2AD5"/>
    <w:rsid w:val="00ED34CC"/>
    <w:rsid w:val="00ED3756"/>
    <w:rsid w:val="00ED39C7"/>
    <w:rsid w:val="00ED3BCA"/>
    <w:rsid w:val="00ED444C"/>
    <w:rsid w:val="00ED4D4F"/>
    <w:rsid w:val="00ED4D7B"/>
    <w:rsid w:val="00ED4E2F"/>
    <w:rsid w:val="00ED5F85"/>
    <w:rsid w:val="00ED7E44"/>
    <w:rsid w:val="00EE04B6"/>
    <w:rsid w:val="00EE1BA9"/>
    <w:rsid w:val="00EE1D0D"/>
    <w:rsid w:val="00EE2A45"/>
    <w:rsid w:val="00EE3077"/>
    <w:rsid w:val="00EE3535"/>
    <w:rsid w:val="00EE3554"/>
    <w:rsid w:val="00EE3B2E"/>
    <w:rsid w:val="00EE3CC1"/>
    <w:rsid w:val="00EE3CD8"/>
    <w:rsid w:val="00EE4296"/>
    <w:rsid w:val="00EE58AF"/>
    <w:rsid w:val="00EE5D46"/>
    <w:rsid w:val="00EE60EF"/>
    <w:rsid w:val="00EE667A"/>
    <w:rsid w:val="00EE69C8"/>
    <w:rsid w:val="00EE6BA6"/>
    <w:rsid w:val="00EE70D1"/>
    <w:rsid w:val="00EE7490"/>
    <w:rsid w:val="00EF1215"/>
    <w:rsid w:val="00EF146E"/>
    <w:rsid w:val="00EF1CEB"/>
    <w:rsid w:val="00EF1E2C"/>
    <w:rsid w:val="00EF21D6"/>
    <w:rsid w:val="00EF2311"/>
    <w:rsid w:val="00EF25CC"/>
    <w:rsid w:val="00EF3FCC"/>
    <w:rsid w:val="00EF469D"/>
    <w:rsid w:val="00EF559F"/>
    <w:rsid w:val="00EF65BF"/>
    <w:rsid w:val="00EF694A"/>
    <w:rsid w:val="00EF6CF9"/>
    <w:rsid w:val="00EF779B"/>
    <w:rsid w:val="00EF7B3A"/>
    <w:rsid w:val="00EF7E54"/>
    <w:rsid w:val="00EF7EAD"/>
    <w:rsid w:val="00F010B4"/>
    <w:rsid w:val="00F010CE"/>
    <w:rsid w:val="00F013C6"/>
    <w:rsid w:val="00F01439"/>
    <w:rsid w:val="00F016FD"/>
    <w:rsid w:val="00F03DE1"/>
    <w:rsid w:val="00F04A10"/>
    <w:rsid w:val="00F04A2B"/>
    <w:rsid w:val="00F04F8A"/>
    <w:rsid w:val="00F05898"/>
    <w:rsid w:val="00F058CC"/>
    <w:rsid w:val="00F06284"/>
    <w:rsid w:val="00F06373"/>
    <w:rsid w:val="00F06F4D"/>
    <w:rsid w:val="00F10271"/>
    <w:rsid w:val="00F10606"/>
    <w:rsid w:val="00F11C7B"/>
    <w:rsid w:val="00F11FDA"/>
    <w:rsid w:val="00F14617"/>
    <w:rsid w:val="00F14DC5"/>
    <w:rsid w:val="00F150EB"/>
    <w:rsid w:val="00F15218"/>
    <w:rsid w:val="00F15801"/>
    <w:rsid w:val="00F159B4"/>
    <w:rsid w:val="00F15CCB"/>
    <w:rsid w:val="00F16765"/>
    <w:rsid w:val="00F167BE"/>
    <w:rsid w:val="00F1682A"/>
    <w:rsid w:val="00F16FAC"/>
    <w:rsid w:val="00F16FF5"/>
    <w:rsid w:val="00F178E1"/>
    <w:rsid w:val="00F17ED1"/>
    <w:rsid w:val="00F2021A"/>
    <w:rsid w:val="00F20C46"/>
    <w:rsid w:val="00F21504"/>
    <w:rsid w:val="00F217DB"/>
    <w:rsid w:val="00F22067"/>
    <w:rsid w:val="00F2268C"/>
    <w:rsid w:val="00F22D4B"/>
    <w:rsid w:val="00F22E98"/>
    <w:rsid w:val="00F22FA8"/>
    <w:rsid w:val="00F23146"/>
    <w:rsid w:val="00F23D0E"/>
    <w:rsid w:val="00F23E2E"/>
    <w:rsid w:val="00F23EAD"/>
    <w:rsid w:val="00F24505"/>
    <w:rsid w:val="00F24E46"/>
    <w:rsid w:val="00F257AD"/>
    <w:rsid w:val="00F25BFE"/>
    <w:rsid w:val="00F25C46"/>
    <w:rsid w:val="00F25D3D"/>
    <w:rsid w:val="00F265C7"/>
    <w:rsid w:val="00F265D4"/>
    <w:rsid w:val="00F27328"/>
    <w:rsid w:val="00F27A74"/>
    <w:rsid w:val="00F27B8A"/>
    <w:rsid w:val="00F305BC"/>
    <w:rsid w:val="00F3063D"/>
    <w:rsid w:val="00F30A44"/>
    <w:rsid w:val="00F30D23"/>
    <w:rsid w:val="00F31E53"/>
    <w:rsid w:val="00F32431"/>
    <w:rsid w:val="00F3275D"/>
    <w:rsid w:val="00F32BAA"/>
    <w:rsid w:val="00F32D61"/>
    <w:rsid w:val="00F32EE2"/>
    <w:rsid w:val="00F32FCE"/>
    <w:rsid w:val="00F3317C"/>
    <w:rsid w:val="00F3363D"/>
    <w:rsid w:val="00F34022"/>
    <w:rsid w:val="00F346AB"/>
    <w:rsid w:val="00F34E37"/>
    <w:rsid w:val="00F34ECC"/>
    <w:rsid w:val="00F35464"/>
    <w:rsid w:val="00F35693"/>
    <w:rsid w:val="00F356E7"/>
    <w:rsid w:val="00F36599"/>
    <w:rsid w:val="00F36BDA"/>
    <w:rsid w:val="00F36E06"/>
    <w:rsid w:val="00F370EB"/>
    <w:rsid w:val="00F407D5"/>
    <w:rsid w:val="00F40FA7"/>
    <w:rsid w:val="00F412CC"/>
    <w:rsid w:val="00F41F5B"/>
    <w:rsid w:val="00F42917"/>
    <w:rsid w:val="00F42D9C"/>
    <w:rsid w:val="00F42F20"/>
    <w:rsid w:val="00F4358C"/>
    <w:rsid w:val="00F437CC"/>
    <w:rsid w:val="00F439D7"/>
    <w:rsid w:val="00F44044"/>
    <w:rsid w:val="00F4479F"/>
    <w:rsid w:val="00F447A0"/>
    <w:rsid w:val="00F44D29"/>
    <w:rsid w:val="00F4536C"/>
    <w:rsid w:val="00F456C9"/>
    <w:rsid w:val="00F46D9F"/>
    <w:rsid w:val="00F47F99"/>
    <w:rsid w:val="00F507CB"/>
    <w:rsid w:val="00F51B04"/>
    <w:rsid w:val="00F51F6E"/>
    <w:rsid w:val="00F52F37"/>
    <w:rsid w:val="00F53147"/>
    <w:rsid w:val="00F53246"/>
    <w:rsid w:val="00F5379A"/>
    <w:rsid w:val="00F54F80"/>
    <w:rsid w:val="00F563A7"/>
    <w:rsid w:val="00F56623"/>
    <w:rsid w:val="00F56E79"/>
    <w:rsid w:val="00F570C4"/>
    <w:rsid w:val="00F5770E"/>
    <w:rsid w:val="00F57B5D"/>
    <w:rsid w:val="00F57C82"/>
    <w:rsid w:val="00F61545"/>
    <w:rsid w:val="00F61F86"/>
    <w:rsid w:val="00F620B5"/>
    <w:rsid w:val="00F628AF"/>
    <w:rsid w:val="00F63092"/>
    <w:rsid w:val="00F63CF3"/>
    <w:rsid w:val="00F641DA"/>
    <w:rsid w:val="00F649C8"/>
    <w:rsid w:val="00F64E03"/>
    <w:rsid w:val="00F656F9"/>
    <w:rsid w:val="00F65935"/>
    <w:rsid w:val="00F65D42"/>
    <w:rsid w:val="00F6659D"/>
    <w:rsid w:val="00F66B66"/>
    <w:rsid w:val="00F66D35"/>
    <w:rsid w:val="00F6739F"/>
    <w:rsid w:val="00F67960"/>
    <w:rsid w:val="00F679BB"/>
    <w:rsid w:val="00F708BA"/>
    <w:rsid w:val="00F70C03"/>
    <w:rsid w:val="00F71D1A"/>
    <w:rsid w:val="00F72887"/>
    <w:rsid w:val="00F72EAD"/>
    <w:rsid w:val="00F73DAA"/>
    <w:rsid w:val="00F74122"/>
    <w:rsid w:val="00F74347"/>
    <w:rsid w:val="00F74DF0"/>
    <w:rsid w:val="00F7505E"/>
    <w:rsid w:val="00F75D83"/>
    <w:rsid w:val="00F76363"/>
    <w:rsid w:val="00F763B9"/>
    <w:rsid w:val="00F768BF"/>
    <w:rsid w:val="00F77C57"/>
    <w:rsid w:val="00F8149E"/>
    <w:rsid w:val="00F82D90"/>
    <w:rsid w:val="00F84AF7"/>
    <w:rsid w:val="00F84BBE"/>
    <w:rsid w:val="00F84FC8"/>
    <w:rsid w:val="00F85052"/>
    <w:rsid w:val="00F855D3"/>
    <w:rsid w:val="00F85922"/>
    <w:rsid w:val="00F85EBA"/>
    <w:rsid w:val="00F8606E"/>
    <w:rsid w:val="00F860A8"/>
    <w:rsid w:val="00F860FA"/>
    <w:rsid w:val="00F873E0"/>
    <w:rsid w:val="00F87F38"/>
    <w:rsid w:val="00F90ABA"/>
    <w:rsid w:val="00F90D85"/>
    <w:rsid w:val="00F91494"/>
    <w:rsid w:val="00F91750"/>
    <w:rsid w:val="00F919DA"/>
    <w:rsid w:val="00F91F62"/>
    <w:rsid w:val="00F92055"/>
    <w:rsid w:val="00F93264"/>
    <w:rsid w:val="00F934BB"/>
    <w:rsid w:val="00F93E42"/>
    <w:rsid w:val="00F942CC"/>
    <w:rsid w:val="00F9435D"/>
    <w:rsid w:val="00F9479F"/>
    <w:rsid w:val="00F947C9"/>
    <w:rsid w:val="00F96238"/>
    <w:rsid w:val="00F96579"/>
    <w:rsid w:val="00F96CDB"/>
    <w:rsid w:val="00F96EDC"/>
    <w:rsid w:val="00F971C7"/>
    <w:rsid w:val="00F97F3A"/>
    <w:rsid w:val="00FA09AF"/>
    <w:rsid w:val="00FA1C32"/>
    <w:rsid w:val="00FA231A"/>
    <w:rsid w:val="00FA273E"/>
    <w:rsid w:val="00FA2FBA"/>
    <w:rsid w:val="00FA352A"/>
    <w:rsid w:val="00FA3B87"/>
    <w:rsid w:val="00FA4445"/>
    <w:rsid w:val="00FA479F"/>
    <w:rsid w:val="00FA52CD"/>
    <w:rsid w:val="00FA5B6F"/>
    <w:rsid w:val="00FA600F"/>
    <w:rsid w:val="00FA61DE"/>
    <w:rsid w:val="00FA6D2A"/>
    <w:rsid w:val="00FA6DE7"/>
    <w:rsid w:val="00FA7261"/>
    <w:rsid w:val="00FA7266"/>
    <w:rsid w:val="00FA726E"/>
    <w:rsid w:val="00FA7311"/>
    <w:rsid w:val="00FA7D3D"/>
    <w:rsid w:val="00FA7E9F"/>
    <w:rsid w:val="00FB02D7"/>
    <w:rsid w:val="00FB0C9C"/>
    <w:rsid w:val="00FB1389"/>
    <w:rsid w:val="00FB1957"/>
    <w:rsid w:val="00FB1C3B"/>
    <w:rsid w:val="00FB2E8A"/>
    <w:rsid w:val="00FB3E23"/>
    <w:rsid w:val="00FB3EA6"/>
    <w:rsid w:val="00FB4B7A"/>
    <w:rsid w:val="00FB51AA"/>
    <w:rsid w:val="00FB6427"/>
    <w:rsid w:val="00FB70BB"/>
    <w:rsid w:val="00FB7493"/>
    <w:rsid w:val="00FB7952"/>
    <w:rsid w:val="00FB797A"/>
    <w:rsid w:val="00FC001B"/>
    <w:rsid w:val="00FC098A"/>
    <w:rsid w:val="00FC0B0F"/>
    <w:rsid w:val="00FC1195"/>
    <w:rsid w:val="00FC1357"/>
    <w:rsid w:val="00FC1EFD"/>
    <w:rsid w:val="00FC2836"/>
    <w:rsid w:val="00FC2F9E"/>
    <w:rsid w:val="00FC3ED4"/>
    <w:rsid w:val="00FC4411"/>
    <w:rsid w:val="00FC4D6D"/>
    <w:rsid w:val="00FC526F"/>
    <w:rsid w:val="00FC5597"/>
    <w:rsid w:val="00FC6347"/>
    <w:rsid w:val="00FC661E"/>
    <w:rsid w:val="00FC6DD1"/>
    <w:rsid w:val="00FC6F4F"/>
    <w:rsid w:val="00FC7306"/>
    <w:rsid w:val="00FC75C0"/>
    <w:rsid w:val="00FC792B"/>
    <w:rsid w:val="00FC7D05"/>
    <w:rsid w:val="00FD03DD"/>
    <w:rsid w:val="00FD195F"/>
    <w:rsid w:val="00FD24A4"/>
    <w:rsid w:val="00FD2EFF"/>
    <w:rsid w:val="00FD335F"/>
    <w:rsid w:val="00FD3833"/>
    <w:rsid w:val="00FD3E4A"/>
    <w:rsid w:val="00FD40B5"/>
    <w:rsid w:val="00FD4767"/>
    <w:rsid w:val="00FD4A6E"/>
    <w:rsid w:val="00FD4F04"/>
    <w:rsid w:val="00FD5187"/>
    <w:rsid w:val="00FD5B08"/>
    <w:rsid w:val="00FD654E"/>
    <w:rsid w:val="00FD73AF"/>
    <w:rsid w:val="00FD77AA"/>
    <w:rsid w:val="00FD7E91"/>
    <w:rsid w:val="00FD7EAE"/>
    <w:rsid w:val="00FD7F4D"/>
    <w:rsid w:val="00FE0922"/>
    <w:rsid w:val="00FE0AE2"/>
    <w:rsid w:val="00FE1034"/>
    <w:rsid w:val="00FE16CE"/>
    <w:rsid w:val="00FE16FF"/>
    <w:rsid w:val="00FE1708"/>
    <w:rsid w:val="00FE1BE0"/>
    <w:rsid w:val="00FE1CA2"/>
    <w:rsid w:val="00FE24E5"/>
    <w:rsid w:val="00FE27E0"/>
    <w:rsid w:val="00FE336D"/>
    <w:rsid w:val="00FE45BE"/>
    <w:rsid w:val="00FE4604"/>
    <w:rsid w:val="00FE526F"/>
    <w:rsid w:val="00FE555C"/>
    <w:rsid w:val="00FE5B41"/>
    <w:rsid w:val="00FE60D7"/>
    <w:rsid w:val="00FE67B7"/>
    <w:rsid w:val="00FE7EEC"/>
    <w:rsid w:val="00FF18FB"/>
    <w:rsid w:val="00FF214F"/>
    <w:rsid w:val="00FF2926"/>
    <w:rsid w:val="00FF319C"/>
    <w:rsid w:val="00FF344E"/>
    <w:rsid w:val="00FF3827"/>
    <w:rsid w:val="00FF3B1A"/>
    <w:rsid w:val="00FF3CAB"/>
    <w:rsid w:val="00FF453D"/>
    <w:rsid w:val="00FF49C4"/>
    <w:rsid w:val="00FF4E84"/>
    <w:rsid w:val="00FF6822"/>
    <w:rsid w:val="0137F87C"/>
    <w:rsid w:val="01409E32"/>
    <w:rsid w:val="017B9CB0"/>
    <w:rsid w:val="022A67EF"/>
    <w:rsid w:val="02832C17"/>
    <w:rsid w:val="028480A0"/>
    <w:rsid w:val="0480C631"/>
    <w:rsid w:val="04BB5140"/>
    <w:rsid w:val="04C045C0"/>
    <w:rsid w:val="054DA138"/>
    <w:rsid w:val="06749459"/>
    <w:rsid w:val="0694134A"/>
    <w:rsid w:val="06B2DF3D"/>
    <w:rsid w:val="070F6A19"/>
    <w:rsid w:val="07BA7808"/>
    <w:rsid w:val="0827DA4D"/>
    <w:rsid w:val="087A0660"/>
    <w:rsid w:val="08AC206F"/>
    <w:rsid w:val="08FB2244"/>
    <w:rsid w:val="09F12C90"/>
    <w:rsid w:val="0AD2E15A"/>
    <w:rsid w:val="0B017270"/>
    <w:rsid w:val="0B323BC7"/>
    <w:rsid w:val="0BEFA34F"/>
    <w:rsid w:val="0C329BAF"/>
    <w:rsid w:val="0C93891C"/>
    <w:rsid w:val="0CDA49B8"/>
    <w:rsid w:val="0EC036C5"/>
    <w:rsid w:val="0EF9490B"/>
    <w:rsid w:val="0F4F4A60"/>
    <w:rsid w:val="0FA8BBEE"/>
    <w:rsid w:val="10CBEE67"/>
    <w:rsid w:val="129E656E"/>
    <w:rsid w:val="129F9A2C"/>
    <w:rsid w:val="13A22670"/>
    <w:rsid w:val="13E66D04"/>
    <w:rsid w:val="14278144"/>
    <w:rsid w:val="150279E5"/>
    <w:rsid w:val="153C3098"/>
    <w:rsid w:val="161742AF"/>
    <w:rsid w:val="165ACB43"/>
    <w:rsid w:val="16623002"/>
    <w:rsid w:val="16D72EFA"/>
    <w:rsid w:val="16F3E576"/>
    <w:rsid w:val="17462C0A"/>
    <w:rsid w:val="174677A2"/>
    <w:rsid w:val="182A0B5A"/>
    <w:rsid w:val="19461A38"/>
    <w:rsid w:val="1999A93C"/>
    <w:rsid w:val="1A8FE68E"/>
    <w:rsid w:val="1AA47C1C"/>
    <w:rsid w:val="1AFBB3E1"/>
    <w:rsid w:val="1D554AC8"/>
    <w:rsid w:val="1DC033FB"/>
    <w:rsid w:val="1DD02162"/>
    <w:rsid w:val="1ED99A64"/>
    <w:rsid w:val="200C3045"/>
    <w:rsid w:val="2072CD9F"/>
    <w:rsid w:val="21253A7C"/>
    <w:rsid w:val="23064F71"/>
    <w:rsid w:val="2329C4F1"/>
    <w:rsid w:val="247B5BB4"/>
    <w:rsid w:val="251C0101"/>
    <w:rsid w:val="2527789C"/>
    <w:rsid w:val="26EFC070"/>
    <w:rsid w:val="276052A5"/>
    <w:rsid w:val="276731D1"/>
    <w:rsid w:val="27724792"/>
    <w:rsid w:val="2779951A"/>
    <w:rsid w:val="296396EC"/>
    <w:rsid w:val="296AC03A"/>
    <w:rsid w:val="2A23CB9A"/>
    <w:rsid w:val="2B0AB152"/>
    <w:rsid w:val="2B634061"/>
    <w:rsid w:val="2C378E65"/>
    <w:rsid w:val="2D215915"/>
    <w:rsid w:val="2E6C2FA1"/>
    <w:rsid w:val="2FA551F6"/>
    <w:rsid w:val="312140FF"/>
    <w:rsid w:val="3153EAB4"/>
    <w:rsid w:val="31D804EF"/>
    <w:rsid w:val="32B48F1C"/>
    <w:rsid w:val="34957527"/>
    <w:rsid w:val="34FFEAF1"/>
    <w:rsid w:val="35434B2E"/>
    <w:rsid w:val="3569D5F2"/>
    <w:rsid w:val="35ACE128"/>
    <w:rsid w:val="3620295C"/>
    <w:rsid w:val="36B5A054"/>
    <w:rsid w:val="3732A80B"/>
    <w:rsid w:val="37BDB386"/>
    <w:rsid w:val="383C977A"/>
    <w:rsid w:val="3840C12D"/>
    <w:rsid w:val="38F03EAD"/>
    <w:rsid w:val="397BBBA6"/>
    <w:rsid w:val="39A0EE66"/>
    <w:rsid w:val="39C1B466"/>
    <w:rsid w:val="3A34A12F"/>
    <w:rsid w:val="3A840CCB"/>
    <w:rsid w:val="3A925C7C"/>
    <w:rsid w:val="3AE32405"/>
    <w:rsid w:val="3B487648"/>
    <w:rsid w:val="3BE99C62"/>
    <w:rsid w:val="3DCB8510"/>
    <w:rsid w:val="3DFC5747"/>
    <w:rsid w:val="3E0B18BA"/>
    <w:rsid w:val="3E4294D4"/>
    <w:rsid w:val="40420523"/>
    <w:rsid w:val="4054F9D9"/>
    <w:rsid w:val="40AA64B6"/>
    <w:rsid w:val="40C4BF48"/>
    <w:rsid w:val="40E77A3F"/>
    <w:rsid w:val="41817110"/>
    <w:rsid w:val="41DDD1E7"/>
    <w:rsid w:val="42CE4B78"/>
    <w:rsid w:val="43A99B47"/>
    <w:rsid w:val="43C8E0A0"/>
    <w:rsid w:val="43CD30ED"/>
    <w:rsid w:val="4442DE94"/>
    <w:rsid w:val="44BCC745"/>
    <w:rsid w:val="457A3E91"/>
    <w:rsid w:val="45C40DE4"/>
    <w:rsid w:val="46767BE8"/>
    <w:rsid w:val="498C6400"/>
    <w:rsid w:val="4B235912"/>
    <w:rsid w:val="4B2BDB9E"/>
    <w:rsid w:val="4B9F066D"/>
    <w:rsid w:val="4C5096C2"/>
    <w:rsid w:val="4CC11843"/>
    <w:rsid w:val="4CD29D71"/>
    <w:rsid w:val="4D19F8F5"/>
    <w:rsid w:val="4D96ED78"/>
    <w:rsid w:val="4F236ADE"/>
    <w:rsid w:val="4F83C5BC"/>
    <w:rsid w:val="4F97D1B9"/>
    <w:rsid w:val="4FAE4778"/>
    <w:rsid w:val="4FEE89A9"/>
    <w:rsid w:val="4FFE8A66"/>
    <w:rsid w:val="5034DFED"/>
    <w:rsid w:val="51B95354"/>
    <w:rsid w:val="51FA0720"/>
    <w:rsid w:val="54241AE5"/>
    <w:rsid w:val="54413ECB"/>
    <w:rsid w:val="54CB9237"/>
    <w:rsid w:val="567B38E1"/>
    <w:rsid w:val="568147E5"/>
    <w:rsid w:val="56A24177"/>
    <w:rsid w:val="5712252A"/>
    <w:rsid w:val="5767D7F8"/>
    <w:rsid w:val="58C61DE6"/>
    <w:rsid w:val="590B3431"/>
    <w:rsid w:val="5A25EFE5"/>
    <w:rsid w:val="5A3EB600"/>
    <w:rsid w:val="5A449E24"/>
    <w:rsid w:val="5AF483A2"/>
    <w:rsid w:val="5CAD6AEE"/>
    <w:rsid w:val="5CFD48F4"/>
    <w:rsid w:val="5D8F809D"/>
    <w:rsid w:val="5E6E6C6B"/>
    <w:rsid w:val="5F5A4A65"/>
    <w:rsid w:val="5F944E0A"/>
    <w:rsid w:val="5FE2D1FD"/>
    <w:rsid w:val="60447881"/>
    <w:rsid w:val="60741A9C"/>
    <w:rsid w:val="60FEB01B"/>
    <w:rsid w:val="61D897B3"/>
    <w:rsid w:val="61E630E6"/>
    <w:rsid w:val="625BFC9E"/>
    <w:rsid w:val="626A7239"/>
    <w:rsid w:val="632F6CD2"/>
    <w:rsid w:val="63F85D88"/>
    <w:rsid w:val="6720B6B2"/>
    <w:rsid w:val="67989BDA"/>
    <w:rsid w:val="67C0D990"/>
    <w:rsid w:val="68243B7F"/>
    <w:rsid w:val="682DAC30"/>
    <w:rsid w:val="683B7237"/>
    <w:rsid w:val="6871DC34"/>
    <w:rsid w:val="691A42D4"/>
    <w:rsid w:val="6A147A2C"/>
    <w:rsid w:val="6A1E81FF"/>
    <w:rsid w:val="6A31E03F"/>
    <w:rsid w:val="6B6C3820"/>
    <w:rsid w:val="6BF03C24"/>
    <w:rsid w:val="6C7DA4D9"/>
    <w:rsid w:val="6CD83122"/>
    <w:rsid w:val="6D02E854"/>
    <w:rsid w:val="6D3B63E7"/>
    <w:rsid w:val="6E83A35B"/>
    <w:rsid w:val="6EEDD80F"/>
    <w:rsid w:val="70B77437"/>
    <w:rsid w:val="7103A655"/>
    <w:rsid w:val="7143A55F"/>
    <w:rsid w:val="716F6F8D"/>
    <w:rsid w:val="718FBA62"/>
    <w:rsid w:val="71C8CACB"/>
    <w:rsid w:val="73088D76"/>
    <w:rsid w:val="732032DB"/>
    <w:rsid w:val="740175DC"/>
    <w:rsid w:val="749A6AC2"/>
    <w:rsid w:val="751CA6AB"/>
    <w:rsid w:val="754DD53A"/>
    <w:rsid w:val="7551B5EC"/>
    <w:rsid w:val="75DE5AA0"/>
    <w:rsid w:val="763AD76A"/>
    <w:rsid w:val="76A52751"/>
    <w:rsid w:val="76B5869C"/>
    <w:rsid w:val="773FACFD"/>
    <w:rsid w:val="7802A288"/>
    <w:rsid w:val="78B07A02"/>
    <w:rsid w:val="79771555"/>
    <w:rsid w:val="7A1655DD"/>
    <w:rsid w:val="7A21F264"/>
    <w:rsid w:val="7A6D0A6F"/>
    <w:rsid w:val="7A7E790B"/>
    <w:rsid w:val="7ABF1350"/>
    <w:rsid w:val="7B603FE8"/>
    <w:rsid w:val="7CAB3DC6"/>
    <w:rsid w:val="7E28C60B"/>
    <w:rsid w:val="7F3E9EBF"/>
    <w:rsid w:val="7F9EAD07"/>
  </w:rsids>
  <m:mathPr>
    <m:mathFont m:val="Cambria Math"/>
    <m:brkBin m:val="before"/>
    <m:brkBinSub m:val="--"/>
    <m:smallFrac m:val="0"/>
    <m:dispDef/>
    <m:lMargin m:val="0"/>
    <m:rMargin m:val="0"/>
    <m:defJc m:val="centerGroup"/>
    <m:wrapIndent m:val="1440"/>
    <m:intLim m:val="subSup"/>
    <m:naryLim m:val="undOvr"/>
  </m:mathPr>
  <w:themeFontLang w:val="en-AU"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01B164A2"/>
  <w15:docId w15:val="{63C47090-3257-45FD-B305-1C8F22C50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1" w:unhideWhenUsed="1" w:qFormat="1"/>
    <w:lsdException w:name="index 1" w:semiHidden="1" w:uiPriority="98"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4" w:unhideWhenUsed="1" w:qFormat="1"/>
    <w:lsdException w:name="footnote text" w:semiHidden="1" w:uiPriority="9"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8" w:unhideWhenUsed="1" w:qFormat="1"/>
    <w:lsdException w:name="table of figures" w:semiHidden="1" w:uiPriority="98" w:unhideWhenUsed="1"/>
    <w:lsdException w:name="envelope address" w:semiHidden="1" w:unhideWhenUsed="1"/>
    <w:lsdException w:name="envelope return" w:semiHidden="1" w:unhideWhenUsed="1"/>
    <w:lsdException w:name="footnote reference" w:semiHidden="1" w:uiPriority="11" w:unhideWhenUsed="1"/>
    <w:lsdException w:name="annotation reference" w:semiHidden="1" w:unhideWhenUsed="1"/>
    <w:lsdException w:name="line number" w:semiHidden="1" w:unhideWhenUsed="1"/>
    <w:lsdException w:name="page number" w:semiHidden="1" w:uiPriority="14" w:unhideWhenUsed="1"/>
    <w:lsdException w:name="endnote reference" w:semiHidden="1" w:unhideWhenUsed="1"/>
    <w:lsdException w:name="endnote text" w:semiHidden="1" w:uiPriority="98" w:unhideWhenUsed="1"/>
    <w:lsdException w:name="table of authorities" w:semiHidden="1" w:unhideWhenUsed="1"/>
    <w:lsdException w:name="macro" w:semiHidden="1" w:uiPriority="0" w:unhideWhenUsed="1"/>
    <w:lsdException w:name="toa heading" w:semiHidden="1" w:unhideWhenUsed="1"/>
    <w:lsdException w:name="List" w:semiHidden="1" w:unhideWhenUsed="1"/>
    <w:lsdException w:name="List Bullet" w:semiHidden="1" w:uiPriority="98" w:unhideWhenUsed="1" w:qFormat="1"/>
    <w:lsdException w:name="List Number" w:semiHidden="1" w:uiPriority="98"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8" w:unhideWhenUsed="1"/>
    <w:lsdException w:name="List Bullet 3" w:semiHidden="1" w:uiPriority="1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8"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98" w:unhideWhenUsed="1"/>
    <w:lsdException w:name="Plain Text" w:semiHidden="1" w:uiPriority="98"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8"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8" w:unhideWhenUsed="1"/>
    <w:lsdException w:name="Table Grid" w:uiPriority="0"/>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98"/>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98"/>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74DF0"/>
  </w:style>
  <w:style w:type="paragraph" w:styleId="Heading1">
    <w:name w:val="heading 1"/>
    <w:next w:val="ARbody"/>
    <w:link w:val="Heading1Char"/>
    <w:uiPriority w:val="2"/>
    <w:qFormat/>
    <w:rsid w:val="003C51B1"/>
    <w:pPr>
      <w:keepNext/>
      <w:keepLines/>
      <w:spacing w:after="800" w:line="480" w:lineRule="atLeast"/>
      <w:outlineLvl w:val="0"/>
    </w:pPr>
    <w:rPr>
      <w:rFonts w:ascii="Arial" w:eastAsia="MS Gothic" w:hAnsi="Arial" w:cs="Times New Roman"/>
      <w:bCs/>
      <w:color w:val="0072CE"/>
      <w:kern w:val="32"/>
      <w:sz w:val="48"/>
      <w:szCs w:val="64"/>
    </w:rPr>
  </w:style>
  <w:style w:type="paragraph" w:styleId="Heading2">
    <w:name w:val="heading 2"/>
    <w:next w:val="ARbody"/>
    <w:link w:val="Heading2Char"/>
    <w:uiPriority w:val="2"/>
    <w:qFormat/>
    <w:rsid w:val="003C51B1"/>
    <w:pPr>
      <w:keepNext/>
      <w:keepLines/>
      <w:spacing w:before="300" w:after="80" w:line="340" w:lineRule="atLeast"/>
      <w:outlineLvl w:val="1"/>
    </w:pPr>
    <w:rPr>
      <w:rFonts w:ascii="Arial" w:eastAsia="MS Gothic" w:hAnsi="Arial" w:cs="Times New Roman"/>
      <w:bCs/>
      <w:iCs/>
      <w:color w:val="53565A"/>
      <w:sz w:val="32"/>
      <w:szCs w:val="30"/>
    </w:rPr>
  </w:style>
  <w:style w:type="paragraph" w:styleId="Heading3">
    <w:name w:val="heading 3"/>
    <w:next w:val="ARbody"/>
    <w:link w:val="Heading3Char"/>
    <w:uiPriority w:val="2"/>
    <w:qFormat/>
    <w:rsid w:val="003C51B1"/>
    <w:pPr>
      <w:keepNext/>
      <w:keepLines/>
      <w:spacing w:before="280" w:after="80" w:line="280" w:lineRule="atLeast"/>
      <w:outlineLvl w:val="2"/>
    </w:pPr>
    <w:rPr>
      <w:rFonts w:ascii="Arial" w:eastAsia="MS Gothic" w:hAnsi="Arial" w:cs="Times New Roman"/>
      <w:bCs/>
      <w:color w:val="0072CE"/>
      <w:sz w:val="28"/>
      <w:szCs w:val="24"/>
      <w:lang w:eastAsia="en-AU"/>
    </w:rPr>
  </w:style>
  <w:style w:type="paragraph" w:styleId="Heading4">
    <w:name w:val="heading 4"/>
    <w:next w:val="ARbody"/>
    <w:link w:val="Heading4Char"/>
    <w:uiPriority w:val="2"/>
    <w:qFormat/>
    <w:rsid w:val="003C51B1"/>
    <w:pPr>
      <w:keepNext/>
      <w:keepLines/>
      <w:spacing w:before="200" w:after="80" w:line="240" w:lineRule="atLeast"/>
      <w:outlineLvl w:val="3"/>
    </w:pPr>
    <w:rPr>
      <w:rFonts w:ascii="Arial" w:eastAsia="MS Mincho" w:hAnsi="Arial" w:cs="Arial"/>
      <w:b/>
      <w:bCs/>
      <w:color w:val="53565A"/>
      <w:sz w:val="24"/>
      <w:szCs w:val="24"/>
    </w:rPr>
  </w:style>
  <w:style w:type="paragraph" w:styleId="Heading5">
    <w:name w:val="heading 5"/>
    <w:next w:val="ARbody"/>
    <w:link w:val="Heading5Char"/>
    <w:uiPriority w:val="2"/>
    <w:qFormat/>
    <w:rsid w:val="003C51B1"/>
    <w:pPr>
      <w:keepNext/>
      <w:keepLines/>
      <w:spacing w:before="240" w:after="80" w:line="260" w:lineRule="atLeast"/>
      <w:outlineLvl w:val="4"/>
    </w:pPr>
    <w:rPr>
      <w:rFonts w:ascii="Arial" w:eastAsia="Times New Roman" w:hAnsi="Arial" w:cs="Times New Roman"/>
      <w:b/>
      <w:color w:val="0072CE"/>
      <w:szCs w:val="24"/>
    </w:rPr>
  </w:style>
  <w:style w:type="paragraph" w:styleId="Heading6">
    <w:name w:val="heading 6"/>
    <w:basedOn w:val="Normal"/>
    <w:next w:val="Normal"/>
    <w:link w:val="Heading6Char"/>
    <w:uiPriority w:val="2"/>
    <w:qFormat/>
    <w:rsid w:val="00AE2CE4"/>
    <w:pPr>
      <w:keepNext/>
      <w:keepLines/>
      <w:overflowPunct w:val="0"/>
      <w:autoSpaceDE w:val="0"/>
      <w:autoSpaceDN w:val="0"/>
      <w:adjustRightInd w:val="0"/>
      <w:spacing w:before="240" w:after="80" w:line="240" w:lineRule="auto"/>
      <w:textAlignment w:val="baseline"/>
      <w:outlineLvl w:val="5"/>
    </w:pPr>
    <w:rPr>
      <w:rFonts w:ascii="Arial" w:eastAsia="Times New Roman" w:hAnsi="Arial" w:cs="Times New Roman"/>
      <w:b/>
      <w:bCs/>
      <w:sz w:val="20"/>
      <w:szCs w:val="24"/>
    </w:rPr>
  </w:style>
  <w:style w:type="paragraph" w:styleId="Heading7">
    <w:name w:val="heading 7"/>
    <w:basedOn w:val="Normal"/>
    <w:next w:val="Normal"/>
    <w:link w:val="Heading7Char"/>
    <w:uiPriority w:val="2"/>
    <w:qFormat/>
    <w:rsid w:val="003C51B1"/>
    <w:pPr>
      <w:keepNext/>
      <w:keepLines/>
      <w:spacing w:before="180" w:after="60" w:line="240" w:lineRule="auto"/>
      <w:outlineLvl w:val="6"/>
    </w:pPr>
    <w:rPr>
      <w:rFonts w:ascii="Arial" w:eastAsiaTheme="majorEastAsia" w:hAnsi="Arial" w:cstheme="majorBidi"/>
      <w:b/>
      <w:iCs/>
      <w:color w:val="53565A"/>
      <w:sz w:val="20"/>
      <w:szCs w:val="21"/>
      <w:lang w:eastAsia="en-AU"/>
    </w:rPr>
  </w:style>
  <w:style w:type="paragraph" w:styleId="Heading8">
    <w:name w:val="heading 8"/>
    <w:basedOn w:val="Normal"/>
    <w:next w:val="Normal"/>
    <w:link w:val="Heading8Char"/>
    <w:uiPriority w:val="2"/>
    <w:qFormat/>
    <w:rsid w:val="00965476"/>
    <w:pPr>
      <w:keepNext/>
      <w:keepLines/>
      <w:spacing w:before="40" w:after="0" w:line="264" w:lineRule="auto"/>
      <w:outlineLvl w:val="7"/>
    </w:pPr>
    <w:rPr>
      <w:rFonts w:asciiTheme="majorHAnsi" w:eastAsiaTheme="majorEastAsia" w:hAnsiTheme="majorHAnsi" w:cstheme="majorBidi"/>
      <w:b/>
      <w:bCs/>
      <w:color w:val="44546A" w:themeColor="text2"/>
      <w:sz w:val="20"/>
      <w:szCs w:val="20"/>
      <w:lang w:eastAsia="en-AU"/>
    </w:rPr>
  </w:style>
  <w:style w:type="paragraph" w:styleId="Heading9">
    <w:name w:val="heading 9"/>
    <w:basedOn w:val="Normal"/>
    <w:next w:val="Normal"/>
    <w:link w:val="Heading9Char"/>
    <w:uiPriority w:val="1"/>
    <w:qFormat/>
    <w:rsid w:val="00965476"/>
    <w:pPr>
      <w:keepNext/>
      <w:keepLines/>
      <w:spacing w:before="40" w:after="0" w:line="264" w:lineRule="auto"/>
      <w:outlineLvl w:val="8"/>
    </w:pPr>
    <w:rPr>
      <w:rFonts w:asciiTheme="majorHAnsi" w:eastAsiaTheme="majorEastAsia" w:hAnsiTheme="majorHAnsi" w:cstheme="majorBidi"/>
      <w:b/>
      <w:bCs/>
      <w:i/>
      <w:iCs/>
      <w:color w:val="44546A" w:themeColor="text2"/>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5B7992"/>
    <w:pPr>
      <w:widowControl w:val="0"/>
      <w:overflowPunct w:val="0"/>
      <w:autoSpaceDE w:val="0"/>
      <w:autoSpaceDN w:val="0"/>
      <w:adjustRightInd w:val="0"/>
      <w:spacing w:after="120" w:line="264" w:lineRule="auto"/>
      <w:textAlignment w:val="baseline"/>
    </w:pPr>
    <w:rPr>
      <w:rFonts w:ascii="Arial" w:eastAsiaTheme="minorEastAsia" w:hAnsi="Arial"/>
      <w:sz w:val="24"/>
      <w:szCs w:val="24"/>
    </w:rPr>
  </w:style>
  <w:style w:type="character" w:customStyle="1" w:styleId="HeaderChar">
    <w:name w:val="Header Char"/>
    <w:basedOn w:val="DefaultParagraphFont"/>
    <w:link w:val="Header"/>
    <w:uiPriority w:val="99"/>
    <w:rsid w:val="005B7992"/>
    <w:rPr>
      <w:rFonts w:ascii="Arial" w:eastAsiaTheme="minorEastAsia" w:hAnsi="Arial"/>
      <w:sz w:val="24"/>
      <w:szCs w:val="24"/>
    </w:rPr>
  </w:style>
  <w:style w:type="character" w:styleId="Hyperlink">
    <w:name w:val="Hyperlink"/>
    <w:uiPriority w:val="99"/>
    <w:rsid w:val="005B7992"/>
    <w:rPr>
      <w:color w:val="0072CE"/>
      <w:u w:val="dotted"/>
    </w:rPr>
  </w:style>
  <w:style w:type="paragraph" w:customStyle="1" w:styleId="ARaccessibilitypara">
    <w:name w:val="AR accessibility para"/>
    <w:uiPriority w:val="99"/>
    <w:rsid w:val="003C51B1"/>
    <w:pPr>
      <w:spacing w:after="200" w:line="300" w:lineRule="atLeast"/>
    </w:pPr>
    <w:rPr>
      <w:rFonts w:ascii="Arial" w:eastAsia="Times" w:hAnsi="Arial"/>
      <w:sz w:val="24"/>
      <w:szCs w:val="19"/>
    </w:rPr>
  </w:style>
  <w:style w:type="paragraph" w:customStyle="1" w:styleId="ARbody">
    <w:name w:val="AR body"/>
    <w:uiPriority w:val="99"/>
    <w:qFormat/>
    <w:rsid w:val="003C51B1"/>
    <w:pPr>
      <w:spacing w:after="120" w:line="260" w:lineRule="atLeast"/>
    </w:pPr>
    <w:rPr>
      <w:rFonts w:ascii="Arial" w:eastAsia="Times" w:hAnsi="Arial" w:cs="Arial"/>
      <w:sz w:val="20"/>
      <w:szCs w:val="24"/>
    </w:rPr>
  </w:style>
  <w:style w:type="character" w:styleId="Strong">
    <w:name w:val="Strong"/>
    <w:basedOn w:val="DefaultParagraphFont"/>
    <w:uiPriority w:val="22"/>
    <w:qFormat/>
    <w:rsid w:val="005B7992"/>
    <w:rPr>
      <w:b/>
      <w:bCs/>
    </w:rPr>
  </w:style>
  <w:style w:type="paragraph" w:styleId="Footer">
    <w:name w:val="footer"/>
    <w:basedOn w:val="Normal"/>
    <w:link w:val="FooterChar"/>
    <w:uiPriority w:val="99"/>
    <w:unhideWhenUsed/>
    <w:rsid w:val="005B7992"/>
    <w:pPr>
      <w:tabs>
        <w:tab w:val="center" w:pos="4513"/>
        <w:tab w:val="right" w:pos="9026"/>
      </w:tabs>
      <w:spacing w:after="0" w:line="240" w:lineRule="auto"/>
    </w:pPr>
    <w:rPr>
      <w:rFonts w:eastAsiaTheme="minorEastAsia"/>
      <w:sz w:val="20"/>
      <w:szCs w:val="20"/>
      <w:lang w:eastAsia="en-AU"/>
    </w:rPr>
  </w:style>
  <w:style w:type="character" w:customStyle="1" w:styleId="FooterChar">
    <w:name w:val="Footer Char"/>
    <w:basedOn w:val="DefaultParagraphFont"/>
    <w:link w:val="Footer"/>
    <w:uiPriority w:val="99"/>
    <w:rsid w:val="005B7992"/>
    <w:rPr>
      <w:rFonts w:eastAsiaTheme="minorEastAsia"/>
      <w:sz w:val="20"/>
      <w:szCs w:val="20"/>
      <w:lang w:eastAsia="en-AU"/>
    </w:rPr>
  </w:style>
  <w:style w:type="paragraph" w:styleId="BalloonText">
    <w:name w:val="Balloon Text"/>
    <w:basedOn w:val="Normal"/>
    <w:link w:val="BalloonTextChar"/>
    <w:uiPriority w:val="98"/>
    <w:semiHidden/>
    <w:unhideWhenUsed/>
    <w:rsid w:val="005B79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8"/>
    <w:semiHidden/>
    <w:rsid w:val="005B7992"/>
    <w:rPr>
      <w:rFonts w:ascii="Segoe UI" w:hAnsi="Segoe UI" w:cs="Segoe UI"/>
      <w:sz w:val="18"/>
      <w:szCs w:val="18"/>
    </w:rPr>
  </w:style>
  <w:style w:type="character" w:customStyle="1" w:styleId="Heading1Char">
    <w:name w:val="Heading 1 Char"/>
    <w:basedOn w:val="DefaultParagraphFont"/>
    <w:link w:val="Heading1"/>
    <w:uiPriority w:val="2"/>
    <w:rsid w:val="003C51B1"/>
    <w:rPr>
      <w:rFonts w:ascii="Arial" w:eastAsia="MS Gothic" w:hAnsi="Arial" w:cs="Times New Roman"/>
      <w:bCs/>
      <w:color w:val="0072CE"/>
      <w:kern w:val="32"/>
      <w:sz w:val="48"/>
      <w:szCs w:val="64"/>
    </w:rPr>
  </w:style>
  <w:style w:type="paragraph" w:customStyle="1" w:styleId="ARbodynospace">
    <w:name w:val="AR body no space"/>
    <w:basedOn w:val="ARbody"/>
    <w:uiPriority w:val="3"/>
    <w:qFormat/>
    <w:rsid w:val="003C51B1"/>
    <w:pPr>
      <w:spacing w:after="0"/>
    </w:pPr>
  </w:style>
  <w:style w:type="character" w:customStyle="1" w:styleId="ARpagenumber">
    <w:name w:val="AR page number"/>
    <w:uiPriority w:val="11"/>
    <w:rsid w:val="005B7992"/>
    <w:rPr>
      <w:rFonts w:cs="Arial"/>
      <w:b/>
      <w:color w:val="53565A"/>
    </w:rPr>
  </w:style>
  <w:style w:type="paragraph" w:customStyle="1" w:styleId="ARbodyaftertable">
    <w:name w:val="AR body after table"/>
    <w:basedOn w:val="ARbody"/>
    <w:uiPriority w:val="99"/>
    <w:qFormat/>
    <w:rsid w:val="003C51B1"/>
    <w:pPr>
      <w:spacing w:before="240"/>
    </w:pPr>
  </w:style>
  <w:style w:type="paragraph" w:customStyle="1" w:styleId="ARfooter">
    <w:name w:val="AR footer"/>
    <w:uiPriority w:val="98"/>
    <w:qFormat/>
    <w:rsid w:val="003C51B1"/>
    <w:pPr>
      <w:spacing w:after="0" w:line="264" w:lineRule="auto"/>
    </w:pPr>
    <w:rPr>
      <w:rFonts w:ascii="Arial" w:eastAsiaTheme="minorEastAsia" w:hAnsi="Arial"/>
      <w:color w:val="201547"/>
      <w:sz w:val="18"/>
      <w:szCs w:val="24"/>
    </w:rPr>
  </w:style>
  <w:style w:type="paragraph" w:styleId="TOC1">
    <w:name w:val="toc 1"/>
    <w:uiPriority w:val="39"/>
    <w:qFormat/>
    <w:rsid w:val="003C51B1"/>
    <w:pPr>
      <w:pBdr>
        <w:bottom w:val="single" w:sz="4" w:space="3" w:color="201547"/>
        <w:between w:val="single" w:sz="4" w:space="1" w:color="201547"/>
      </w:pBdr>
      <w:tabs>
        <w:tab w:val="right" w:pos="9639"/>
      </w:tabs>
      <w:spacing w:before="120" w:after="40" w:line="264" w:lineRule="auto"/>
    </w:pPr>
    <w:rPr>
      <w:rFonts w:ascii="Arial" w:eastAsiaTheme="minorEastAsia" w:hAnsi="Arial"/>
      <w:noProof/>
      <w:sz w:val="20"/>
      <w:szCs w:val="20"/>
      <w:u w:color="D50032"/>
    </w:rPr>
  </w:style>
  <w:style w:type="paragraph" w:customStyle="1" w:styleId="ARTOCheading">
    <w:name w:val="AR TOC heading"/>
    <w:basedOn w:val="Heading1"/>
    <w:next w:val="ARbody"/>
    <w:link w:val="ARTOCheadingChar"/>
    <w:uiPriority w:val="99"/>
    <w:qFormat/>
    <w:rsid w:val="001A02B8"/>
    <w:rPr>
      <w:lang w:val="x-none" w:eastAsia="x-none"/>
    </w:rPr>
  </w:style>
  <w:style w:type="character" w:customStyle="1" w:styleId="ARTOCheadingChar">
    <w:name w:val="AR TOC heading Char"/>
    <w:link w:val="ARTOCheading"/>
    <w:uiPriority w:val="99"/>
    <w:rsid w:val="001A02B8"/>
    <w:rPr>
      <w:rFonts w:ascii="Arial" w:eastAsia="MS Gothic" w:hAnsi="Arial" w:cs="Times New Roman"/>
      <w:bCs/>
      <w:color w:val="0072CE"/>
      <w:kern w:val="32"/>
      <w:sz w:val="48"/>
      <w:szCs w:val="64"/>
      <w:lang w:val="x-none" w:eastAsia="x-none"/>
    </w:rPr>
  </w:style>
  <w:style w:type="paragraph" w:customStyle="1" w:styleId="ARbodyafterbullets">
    <w:name w:val="AR body after bullets"/>
    <w:basedOn w:val="ARbody"/>
    <w:uiPriority w:val="98"/>
    <w:qFormat/>
    <w:rsid w:val="003C51B1"/>
    <w:pPr>
      <w:spacing w:before="120"/>
    </w:pPr>
  </w:style>
  <w:style w:type="character" w:styleId="PageNumber">
    <w:name w:val="page number"/>
    <w:basedOn w:val="ARpagenumber"/>
    <w:uiPriority w:val="14"/>
    <w:rsid w:val="005B7992"/>
    <w:rPr>
      <w:rFonts w:cs="Arial"/>
      <w:b/>
      <w:color w:val="53565A"/>
    </w:rPr>
  </w:style>
  <w:style w:type="paragraph" w:customStyle="1" w:styleId="ARbullet1">
    <w:name w:val="AR bullet 1"/>
    <w:basedOn w:val="ARbody"/>
    <w:uiPriority w:val="99"/>
    <w:qFormat/>
    <w:rsid w:val="003C51B1"/>
    <w:pPr>
      <w:numPr>
        <w:numId w:val="18"/>
      </w:numPr>
      <w:spacing w:after="40"/>
    </w:pPr>
  </w:style>
  <w:style w:type="paragraph" w:customStyle="1" w:styleId="ARbullet2">
    <w:name w:val="AR bullet 2"/>
    <w:basedOn w:val="ARbody"/>
    <w:uiPriority w:val="99"/>
    <w:qFormat/>
    <w:rsid w:val="003C51B1"/>
    <w:pPr>
      <w:numPr>
        <w:ilvl w:val="1"/>
        <w:numId w:val="18"/>
      </w:numPr>
      <w:spacing w:after="40"/>
    </w:pPr>
  </w:style>
  <w:style w:type="numbering" w:customStyle="1" w:styleId="ZZBullets">
    <w:name w:val="ZZ Bullets"/>
    <w:rsid w:val="003C51B1"/>
    <w:pPr>
      <w:numPr>
        <w:numId w:val="18"/>
      </w:numPr>
    </w:pPr>
  </w:style>
  <w:style w:type="character" w:customStyle="1" w:styleId="Heading2Char">
    <w:name w:val="Heading 2 Char"/>
    <w:basedOn w:val="DefaultParagraphFont"/>
    <w:link w:val="Heading2"/>
    <w:uiPriority w:val="2"/>
    <w:rsid w:val="003C51B1"/>
    <w:rPr>
      <w:rFonts w:ascii="Arial" w:eastAsia="MS Gothic" w:hAnsi="Arial" w:cs="Times New Roman"/>
      <w:bCs/>
      <w:iCs/>
      <w:color w:val="53565A"/>
      <w:sz w:val="32"/>
      <w:szCs w:val="30"/>
    </w:rPr>
  </w:style>
  <w:style w:type="character" w:customStyle="1" w:styleId="Heading3Char">
    <w:name w:val="Heading 3 Char"/>
    <w:basedOn w:val="DefaultParagraphFont"/>
    <w:link w:val="Heading3"/>
    <w:uiPriority w:val="2"/>
    <w:rsid w:val="003C51B1"/>
    <w:rPr>
      <w:rFonts w:ascii="Arial" w:eastAsia="MS Gothic" w:hAnsi="Arial" w:cs="Times New Roman"/>
      <w:bCs/>
      <w:color w:val="0072CE"/>
      <w:sz w:val="28"/>
      <w:szCs w:val="24"/>
      <w:lang w:eastAsia="en-AU"/>
    </w:rPr>
  </w:style>
  <w:style w:type="character" w:customStyle="1" w:styleId="Heading4Char">
    <w:name w:val="Heading 4 Char"/>
    <w:basedOn w:val="DefaultParagraphFont"/>
    <w:link w:val="Heading4"/>
    <w:uiPriority w:val="1"/>
    <w:rsid w:val="003C51B1"/>
    <w:rPr>
      <w:rFonts w:ascii="Arial" w:eastAsia="MS Mincho" w:hAnsi="Arial" w:cs="Arial"/>
      <w:b/>
      <w:bCs/>
      <w:color w:val="53565A"/>
      <w:sz w:val="24"/>
      <w:szCs w:val="24"/>
    </w:rPr>
  </w:style>
  <w:style w:type="table" w:styleId="TableGrid">
    <w:name w:val="Table Grid"/>
    <w:basedOn w:val="TableNormal"/>
    <w:rsid w:val="001E1569"/>
    <w:pPr>
      <w:spacing w:after="120" w:line="264" w:lineRule="auto"/>
    </w:pPr>
    <w:rPr>
      <w:rFonts w:eastAsiaTheme="minorEastAsia"/>
      <w:sz w:val="20"/>
      <w:szCs w:val="20"/>
      <w:lang w:eastAsia="en-AU"/>
    </w:rPr>
    <w:tblPr>
      <w:tblBorders>
        <w:left w:val="single" w:sz="4" w:space="0" w:color="FFFFFF"/>
        <w:bottom w:val="single" w:sz="4" w:space="0" w:color="auto"/>
        <w:right w:val="single" w:sz="4" w:space="0" w:color="FFFFFF"/>
        <w:insideH w:val="single" w:sz="4" w:space="0" w:color="auto"/>
        <w:insideV w:val="single" w:sz="4" w:space="0" w:color="FFFFFF"/>
      </w:tblBorders>
      <w:tblCellMar>
        <w:left w:w="0" w:type="dxa"/>
      </w:tblCellMar>
    </w:tblPr>
    <w:trPr>
      <w:cantSplit/>
    </w:trPr>
    <w:tblStylePr w:type="firstRow">
      <w:tblPr/>
      <w:trPr>
        <w:cantSplit w:val="0"/>
      </w:trPr>
      <w:tcPr>
        <w:vAlign w:val="bottom"/>
      </w:tcPr>
    </w:tblStylePr>
  </w:style>
  <w:style w:type="character" w:styleId="CommentReference">
    <w:name w:val="annotation reference"/>
    <w:uiPriority w:val="99"/>
    <w:semiHidden/>
    <w:unhideWhenUsed/>
    <w:rsid w:val="00965476"/>
    <w:rPr>
      <w:sz w:val="16"/>
      <w:szCs w:val="16"/>
    </w:rPr>
  </w:style>
  <w:style w:type="paragraph" w:styleId="CommentText">
    <w:name w:val="annotation text"/>
    <w:basedOn w:val="Normal"/>
    <w:link w:val="CommentTextChar"/>
    <w:uiPriority w:val="99"/>
    <w:rsid w:val="00965476"/>
    <w:pPr>
      <w:spacing w:after="120" w:line="264" w:lineRule="auto"/>
    </w:pPr>
    <w:rPr>
      <w:rFonts w:eastAsiaTheme="minorEastAsia"/>
      <w:sz w:val="20"/>
      <w:szCs w:val="20"/>
      <w:lang w:val="x-none" w:eastAsia="en-AU"/>
    </w:rPr>
  </w:style>
  <w:style w:type="character" w:customStyle="1" w:styleId="CommentTextChar">
    <w:name w:val="Comment Text Char"/>
    <w:basedOn w:val="DefaultParagraphFont"/>
    <w:link w:val="CommentText"/>
    <w:uiPriority w:val="99"/>
    <w:rsid w:val="00965476"/>
    <w:rPr>
      <w:rFonts w:eastAsiaTheme="minorEastAsia"/>
      <w:sz w:val="20"/>
      <w:szCs w:val="20"/>
      <w:lang w:val="x-none" w:eastAsia="en-AU"/>
    </w:rPr>
  </w:style>
  <w:style w:type="character" w:customStyle="1" w:styleId="Heading5Char">
    <w:name w:val="Heading 5 Char"/>
    <w:basedOn w:val="DefaultParagraphFont"/>
    <w:link w:val="Heading5"/>
    <w:uiPriority w:val="2"/>
    <w:rsid w:val="003C51B1"/>
    <w:rPr>
      <w:rFonts w:ascii="Arial" w:eastAsia="Times New Roman" w:hAnsi="Arial" w:cs="Times New Roman"/>
      <w:b/>
      <w:color w:val="0072CE"/>
      <w:szCs w:val="24"/>
    </w:rPr>
  </w:style>
  <w:style w:type="character" w:customStyle="1" w:styleId="Heading6Char">
    <w:name w:val="Heading 6 Char"/>
    <w:basedOn w:val="DefaultParagraphFont"/>
    <w:link w:val="Heading6"/>
    <w:uiPriority w:val="2"/>
    <w:rsid w:val="00AE2CE4"/>
    <w:rPr>
      <w:rFonts w:ascii="Arial" w:eastAsia="Times New Roman" w:hAnsi="Arial" w:cs="Times New Roman"/>
      <w:b/>
      <w:bCs/>
      <w:sz w:val="20"/>
      <w:szCs w:val="24"/>
    </w:rPr>
  </w:style>
  <w:style w:type="character" w:customStyle="1" w:styleId="Heading7Char">
    <w:name w:val="Heading 7 Char"/>
    <w:basedOn w:val="DefaultParagraphFont"/>
    <w:link w:val="Heading7"/>
    <w:uiPriority w:val="2"/>
    <w:rsid w:val="003C51B1"/>
    <w:rPr>
      <w:rFonts w:ascii="Arial" w:eastAsiaTheme="majorEastAsia" w:hAnsi="Arial" w:cstheme="majorBidi"/>
      <w:b/>
      <w:iCs/>
      <w:color w:val="53565A"/>
      <w:sz w:val="20"/>
      <w:szCs w:val="21"/>
      <w:lang w:eastAsia="en-AU"/>
    </w:rPr>
  </w:style>
  <w:style w:type="character" w:customStyle="1" w:styleId="Heading8Char">
    <w:name w:val="Heading 8 Char"/>
    <w:basedOn w:val="DefaultParagraphFont"/>
    <w:link w:val="Heading8"/>
    <w:uiPriority w:val="2"/>
    <w:rsid w:val="00782BA6"/>
    <w:rPr>
      <w:rFonts w:asciiTheme="majorHAnsi" w:eastAsiaTheme="majorEastAsia" w:hAnsiTheme="majorHAnsi" w:cstheme="majorBidi"/>
      <w:b/>
      <w:bCs/>
      <w:color w:val="44546A" w:themeColor="text2"/>
      <w:sz w:val="20"/>
      <w:szCs w:val="20"/>
      <w:lang w:eastAsia="en-AU"/>
    </w:rPr>
  </w:style>
  <w:style w:type="character" w:customStyle="1" w:styleId="Heading9Char">
    <w:name w:val="Heading 9 Char"/>
    <w:basedOn w:val="DefaultParagraphFont"/>
    <w:link w:val="Heading9"/>
    <w:uiPriority w:val="1"/>
    <w:rsid w:val="00782BA6"/>
    <w:rPr>
      <w:rFonts w:asciiTheme="majorHAnsi" w:eastAsiaTheme="majorEastAsia" w:hAnsiTheme="majorHAnsi" w:cstheme="majorBidi"/>
      <w:b/>
      <w:bCs/>
      <w:i/>
      <w:iCs/>
      <w:color w:val="44546A" w:themeColor="text2"/>
      <w:sz w:val="20"/>
      <w:szCs w:val="20"/>
      <w:lang w:eastAsia="en-AU"/>
    </w:rPr>
  </w:style>
  <w:style w:type="paragraph" w:customStyle="1" w:styleId="ARnumberdigit">
    <w:name w:val="AR number digit"/>
    <w:basedOn w:val="Normal"/>
    <w:uiPriority w:val="2"/>
    <w:rsid w:val="003C51B1"/>
    <w:pPr>
      <w:numPr>
        <w:numId w:val="22"/>
      </w:numPr>
      <w:spacing w:after="60" w:line="270" w:lineRule="atLeast"/>
    </w:pPr>
    <w:rPr>
      <w:rFonts w:ascii="Arial" w:eastAsia="Times" w:hAnsi="Arial"/>
      <w:sz w:val="20"/>
      <w:szCs w:val="20"/>
      <w:lang w:eastAsia="en-AU"/>
    </w:rPr>
  </w:style>
  <w:style w:type="numbering" w:customStyle="1" w:styleId="ZZNumbersdigit">
    <w:name w:val="ZZ Numbers digit"/>
    <w:rsid w:val="003C51B1"/>
    <w:pPr>
      <w:numPr>
        <w:numId w:val="22"/>
      </w:numPr>
    </w:pPr>
  </w:style>
  <w:style w:type="paragraph" w:customStyle="1" w:styleId="ARintro">
    <w:name w:val="AR intro"/>
    <w:basedOn w:val="ARbody"/>
    <w:next w:val="ARbody"/>
    <w:uiPriority w:val="98"/>
    <w:qFormat/>
    <w:rsid w:val="003C51B1"/>
    <w:rPr>
      <w:color w:val="53565A"/>
      <w:sz w:val="22"/>
    </w:rPr>
  </w:style>
  <w:style w:type="table" w:styleId="TableGrid1">
    <w:name w:val="Table Grid 1"/>
    <w:basedOn w:val="TableNormal"/>
    <w:rsid w:val="00965476"/>
    <w:pPr>
      <w:spacing w:after="120" w:line="264" w:lineRule="auto"/>
    </w:pPr>
    <w:rPr>
      <w:rFonts w:eastAsiaTheme="minorEastAsia"/>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Rtabletext">
    <w:name w:val="AR table text"/>
    <w:uiPriority w:val="99"/>
    <w:qFormat/>
    <w:rsid w:val="003C51B1"/>
    <w:pPr>
      <w:spacing w:before="80" w:after="60" w:line="264" w:lineRule="auto"/>
    </w:pPr>
    <w:rPr>
      <w:rFonts w:ascii="Arial" w:eastAsia="Times" w:hAnsi="Arial" w:cs="Arial"/>
      <w:sz w:val="18"/>
      <w:szCs w:val="18"/>
      <w:lang w:eastAsia="en-AU"/>
    </w:rPr>
  </w:style>
  <w:style w:type="paragraph" w:customStyle="1" w:styleId="ARtablecolhead">
    <w:name w:val="AR table col head"/>
    <w:uiPriority w:val="99"/>
    <w:qFormat/>
    <w:rsid w:val="003C51B1"/>
    <w:pPr>
      <w:spacing w:before="80" w:after="60" w:line="216" w:lineRule="auto"/>
    </w:pPr>
    <w:rPr>
      <w:rFonts w:ascii="Arial" w:eastAsia="Times" w:hAnsi="Arial" w:cs="Arial"/>
      <w:b/>
      <w:sz w:val="18"/>
      <w:szCs w:val="18"/>
    </w:rPr>
  </w:style>
  <w:style w:type="paragraph" w:customStyle="1" w:styleId="ARtablefootnote">
    <w:name w:val="AR table footnote"/>
    <w:uiPriority w:val="99"/>
    <w:qFormat/>
    <w:rsid w:val="003C51B1"/>
    <w:pPr>
      <w:spacing w:before="80" w:after="60" w:line="264" w:lineRule="auto"/>
    </w:pPr>
    <w:rPr>
      <w:rFonts w:ascii="Arial" w:eastAsiaTheme="minorEastAsia" w:hAnsi="Arial"/>
      <w:sz w:val="16"/>
      <w:szCs w:val="16"/>
    </w:rPr>
  </w:style>
  <w:style w:type="paragraph" w:customStyle="1" w:styleId="ARbullet3">
    <w:name w:val="AR bullet 3"/>
    <w:basedOn w:val="ARbody"/>
    <w:rsid w:val="003C51B1"/>
    <w:pPr>
      <w:numPr>
        <w:ilvl w:val="2"/>
        <w:numId w:val="18"/>
      </w:numPr>
      <w:spacing w:after="40"/>
    </w:pPr>
  </w:style>
  <w:style w:type="paragraph" w:styleId="ListBullet2">
    <w:name w:val="List Bullet 2"/>
    <w:basedOn w:val="ListBullet"/>
    <w:uiPriority w:val="98"/>
    <w:semiHidden/>
    <w:rsid w:val="00965476"/>
    <w:pPr>
      <w:numPr>
        <w:ilvl w:val="1"/>
      </w:numPr>
      <w:tabs>
        <w:tab w:val="num" w:pos="284"/>
        <w:tab w:val="num" w:pos="360"/>
        <w:tab w:val="num" w:pos="680"/>
      </w:tabs>
      <w:ind w:left="680" w:hanging="396"/>
    </w:pPr>
  </w:style>
  <w:style w:type="paragraph" w:styleId="ListBullet">
    <w:name w:val="List Bullet"/>
    <w:basedOn w:val="Normal"/>
    <w:link w:val="ListBulletChar"/>
    <w:uiPriority w:val="98"/>
    <w:semiHidden/>
    <w:qFormat/>
    <w:rsid w:val="00965476"/>
    <w:pPr>
      <w:keepLines/>
      <w:numPr>
        <w:numId w:val="1"/>
      </w:numPr>
      <w:tabs>
        <w:tab w:val="num" w:pos="397"/>
      </w:tabs>
      <w:spacing w:before="60" w:after="120" w:line="264" w:lineRule="auto"/>
      <w:ind w:left="397" w:hanging="397"/>
      <w:contextualSpacing/>
    </w:pPr>
    <w:rPr>
      <w:spacing w:val="2"/>
      <w:sz w:val="18"/>
      <w:szCs w:val="18"/>
      <w:lang w:eastAsia="en-AU"/>
    </w:rPr>
  </w:style>
  <w:style w:type="paragraph" w:styleId="ListBullet3">
    <w:name w:val="List Bullet 3"/>
    <w:basedOn w:val="ListBullet2"/>
    <w:uiPriority w:val="19"/>
    <w:semiHidden/>
    <w:rsid w:val="00965476"/>
    <w:pPr>
      <w:numPr>
        <w:ilvl w:val="2"/>
      </w:numPr>
      <w:tabs>
        <w:tab w:val="num" w:pos="360"/>
        <w:tab w:val="num" w:pos="794"/>
      </w:tabs>
      <w:ind w:left="794" w:hanging="397"/>
    </w:pPr>
  </w:style>
  <w:style w:type="paragraph" w:styleId="FootnoteText">
    <w:name w:val="footnote text"/>
    <w:basedOn w:val="ARbody"/>
    <w:link w:val="FootnoteTextChar"/>
    <w:uiPriority w:val="9"/>
    <w:qFormat/>
    <w:rsid w:val="00F860FA"/>
    <w:pPr>
      <w:spacing w:before="80" w:after="80" w:line="240" w:lineRule="auto"/>
      <w:ind w:left="284" w:hanging="284"/>
    </w:pPr>
    <w:rPr>
      <w:rFonts w:cs="Times New Roman"/>
      <w:sz w:val="16"/>
      <w:szCs w:val="18"/>
      <w:lang w:val="x-none"/>
    </w:rPr>
  </w:style>
  <w:style w:type="character" w:customStyle="1" w:styleId="FootnoteTextChar">
    <w:name w:val="Footnote Text Char"/>
    <w:basedOn w:val="DefaultParagraphFont"/>
    <w:link w:val="FootnoteText"/>
    <w:uiPriority w:val="9"/>
    <w:rsid w:val="00F860FA"/>
    <w:rPr>
      <w:rFonts w:ascii="Arial" w:eastAsia="Times" w:hAnsi="Arial" w:cs="Times New Roman"/>
      <w:sz w:val="16"/>
      <w:szCs w:val="18"/>
      <w:lang w:val="x-none"/>
    </w:rPr>
  </w:style>
  <w:style w:type="character" w:styleId="FootnoteReference">
    <w:name w:val="footnote reference"/>
    <w:uiPriority w:val="11"/>
    <w:rsid w:val="00965476"/>
    <w:rPr>
      <w:vertAlign w:val="superscript"/>
    </w:rPr>
  </w:style>
  <w:style w:type="paragraph" w:customStyle="1" w:styleId="ARtabletextright">
    <w:name w:val="AR table text right"/>
    <w:basedOn w:val="ARtabletext"/>
    <w:uiPriority w:val="99"/>
    <w:qFormat/>
    <w:rsid w:val="003C51B1"/>
    <w:pPr>
      <w:jc w:val="right"/>
    </w:pPr>
  </w:style>
  <w:style w:type="paragraph" w:customStyle="1" w:styleId="ARbodybeforetable">
    <w:name w:val="AR body before table"/>
    <w:basedOn w:val="ARbody"/>
    <w:uiPriority w:val="3"/>
    <w:qFormat/>
    <w:rsid w:val="003C51B1"/>
    <w:pPr>
      <w:spacing w:after="240"/>
    </w:pPr>
    <w:rPr>
      <w:lang w:eastAsia="en-AU"/>
    </w:rPr>
  </w:style>
  <w:style w:type="paragraph" w:customStyle="1" w:styleId="LightList-Accent31">
    <w:name w:val="Light List - Accent 31"/>
    <w:hidden/>
    <w:uiPriority w:val="99"/>
    <w:semiHidden/>
    <w:rsid w:val="00965476"/>
    <w:pPr>
      <w:spacing w:after="120" w:line="264" w:lineRule="auto"/>
    </w:pPr>
    <w:rPr>
      <w:rFonts w:ascii="Arial" w:eastAsiaTheme="minorEastAsia" w:hAnsi="Arial"/>
      <w:sz w:val="24"/>
      <w:szCs w:val="24"/>
    </w:rPr>
  </w:style>
  <w:style w:type="paragraph" w:styleId="TOC5">
    <w:name w:val="toc 5"/>
    <w:basedOn w:val="Normal"/>
    <w:next w:val="Normal"/>
    <w:autoRedefine/>
    <w:uiPriority w:val="39"/>
    <w:rsid w:val="00965476"/>
    <w:pPr>
      <w:spacing w:after="120" w:line="264" w:lineRule="auto"/>
      <w:ind w:left="800"/>
    </w:pPr>
    <w:rPr>
      <w:rFonts w:eastAsiaTheme="minorEastAsia"/>
      <w:sz w:val="20"/>
      <w:szCs w:val="20"/>
      <w:lang w:eastAsia="en-AU"/>
    </w:rPr>
  </w:style>
  <w:style w:type="paragraph" w:customStyle="1" w:styleId="ARtablesource">
    <w:name w:val="AR table source"/>
    <w:basedOn w:val="ARtabletext"/>
    <w:uiPriority w:val="99"/>
    <w:qFormat/>
    <w:rsid w:val="003C51B1"/>
    <w:rPr>
      <w:i/>
      <w:sz w:val="16"/>
    </w:rPr>
  </w:style>
  <w:style w:type="paragraph" w:customStyle="1" w:styleId="ARtablecolheadcentre">
    <w:name w:val="AR table col head centre"/>
    <w:basedOn w:val="ARtablecolheadright"/>
    <w:uiPriority w:val="98"/>
    <w:qFormat/>
    <w:rsid w:val="003C51B1"/>
    <w:pPr>
      <w:jc w:val="center"/>
    </w:pPr>
  </w:style>
  <w:style w:type="paragraph" w:customStyle="1" w:styleId="ARtablecaption">
    <w:name w:val="AR table caption"/>
    <w:uiPriority w:val="99"/>
    <w:qFormat/>
    <w:rsid w:val="00EE3B2E"/>
    <w:pPr>
      <w:keepNext/>
      <w:keepLines/>
      <w:spacing w:before="240" w:after="120" w:line="264" w:lineRule="auto"/>
    </w:pPr>
    <w:rPr>
      <w:rFonts w:ascii="Arial" w:eastAsiaTheme="minorEastAsia" w:hAnsi="Arial"/>
      <w:b/>
      <w:bCs/>
      <w:color w:val="0072CE"/>
      <w:sz w:val="20"/>
      <w:szCs w:val="24"/>
    </w:rPr>
  </w:style>
  <w:style w:type="paragraph" w:styleId="TOC2">
    <w:name w:val="toc 2"/>
    <w:basedOn w:val="TOC1"/>
    <w:uiPriority w:val="39"/>
    <w:qFormat/>
    <w:rsid w:val="003C51B1"/>
    <w:pPr>
      <w:ind w:left="284"/>
    </w:pPr>
    <w:rPr>
      <w:szCs w:val="24"/>
    </w:rPr>
  </w:style>
  <w:style w:type="paragraph" w:styleId="DocumentMap">
    <w:name w:val="Document Map"/>
    <w:basedOn w:val="Normal"/>
    <w:link w:val="DocumentMapChar"/>
    <w:uiPriority w:val="98"/>
    <w:semiHidden/>
    <w:rsid w:val="00965476"/>
    <w:pPr>
      <w:spacing w:after="120" w:line="264" w:lineRule="auto"/>
    </w:pPr>
    <w:rPr>
      <w:rFonts w:ascii="Lucida Grande" w:eastAsiaTheme="minorEastAsia" w:hAnsi="Lucida Grande"/>
      <w:sz w:val="20"/>
      <w:szCs w:val="20"/>
      <w:lang w:val="x-none" w:eastAsia="en-AU"/>
    </w:rPr>
  </w:style>
  <w:style w:type="character" w:customStyle="1" w:styleId="DocumentMapChar">
    <w:name w:val="Document Map Char"/>
    <w:basedOn w:val="DefaultParagraphFont"/>
    <w:link w:val="DocumentMap"/>
    <w:uiPriority w:val="98"/>
    <w:semiHidden/>
    <w:rsid w:val="00965476"/>
    <w:rPr>
      <w:rFonts w:ascii="Lucida Grande" w:eastAsiaTheme="minorEastAsia" w:hAnsi="Lucida Grande"/>
      <w:sz w:val="20"/>
      <w:szCs w:val="20"/>
      <w:lang w:val="x-none" w:eastAsia="en-AU"/>
    </w:rPr>
  </w:style>
  <w:style w:type="paragraph" w:styleId="TOC3">
    <w:name w:val="toc 3"/>
    <w:basedOn w:val="TOC2"/>
    <w:uiPriority w:val="39"/>
    <w:qFormat/>
    <w:rsid w:val="00F27328"/>
    <w:pPr>
      <w:ind w:left="567"/>
    </w:pPr>
  </w:style>
  <w:style w:type="paragraph" w:styleId="TOC4">
    <w:name w:val="toc 4"/>
    <w:basedOn w:val="TOC3"/>
    <w:uiPriority w:val="39"/>
    <w:rsid w:val="00965476"/>
  </w:style>
  <w:style w:type="paragraph" w:styleId="TOC6">
    <w:name w:val="toc 6"/>
    <w:basedOn w:val="Normal"/>
    <w:next w:val="Normal"/>
    <w:autoRedefine/>
    <w:uiPriority w:val="39"/>
    <w:rsid w:val="00965476"/>
    <w:pPr>
      <w:spacing w:after="120" w:line="264" w:lineRule="auto"/>
      <w:ind w:left="1000"/>
    </w:pPr>
    <w:rPr>
      <w:rFonts w:eastAsiaTheme="minorEastAsia"/>
      <w:sz w:val="20"/>
      <w:szCs w:val="20"/>
      <w:lang w:eastAsia="en-AU"/>
    </w:rPr>
  </w:style>
  <w:style w:type="paragraph" w:styleId="TOC7">
    <w:name w:val="toc 7"/>
    <w:basedOn w:val="Normal"/>
    <w:next w:val="Normal"/>
    <w:autoRedefine/>
    <w:uiPriority w:val="39"/>
    <w:rsid w:val="00965476"/>
    <w:pPr>
      <w:spacing w:after="120" w:line="264" w:lineRule="auto"/>
      <w:ind w:left="1200"/>
    </w:pPr>
    <w:rPr>
      <w:rFonts w:eastAsiaTheme="minorEastAsia"/>
      <w:sz w:val="20"/>
      <w:szCs w:val="20"/>
      <w:lang w:eastAsia="en-AU"/>
    </w:rPr>
  </w:style>
  <w:style w:type="paragraph" w:styleId="TOC8">
    <w:name w:val="toc 8"/>
    <w:basedOn w:val="Normal"/>
    <w:next w:val="Normal"/>
    <w:autoRedefine/>
    <w:uiPriority w:val="39"/>
    <w:rsid w:val="00965476"/>
    <w:pPr>
      <w:spacing w:after="120" w:line="264" w:lineRule="auto"/>
      <w:ind w:left="1400"/>
    </w:pPr>
    <w:rPr>
      <w:rFonts w:eastAsiaTheme="minorEastAsia"/>
      <w:sz w:val="20"/>
      <w:szCs w:val="20"/>
      <w:lang w:eastAsia="en-AU"/>
    </w:rPr>
  </w:style>
  <w:style w:type="paragraph" w:styleId="TOC9">
    <w:name w:val="toc 9"/>
    <w:basedOn w:val="Normal"/>
    <w:next w:val="Normal"/>
    <w:autoRedefine/>
    <w:uiPriority w:val="39"/>
    <w:rsid w:val="00965476"/>
    <w:pPr>
      <w:spacing w:after="120" w:line="264" w:lineRule="auto"/>
      <w:ind w:left="1600"/>
    </w:pPr>
    <w:rPr>
      <w:rFonts w:eastAsiaTheme="minorEastAsia"/>
      <w:sz w:val="20"/>
      <w:szCs w:val="20"/>
      <w:lang w:eastAsia="en-AU"/>
    </w:rPr>
  </w:style>
  <w:style w:type="paragraph" w:customStyle="1" w:styleId="ARtablefootnotebullet">
    <w:name w:val="AR table footnote bullet"/>
    <w:basedOn w:val="ARtablefootnote"/>
    <w:link w:val="ARtablefootnotebulletChar"/>
    <w:uiPriority w:val="99"/>
    <w:qFormat/>
    <w:rsid w:val="003C51B1"/>
    <w:pPr>
      <w:numPr>
        <w:numId w:val="17"/>
      </w:numPr>
      <w:tabs>
        <w:tab w:val="num" w:pos="567"/>
      </w:tabs>
    </w:pPr>
  </w:style>
  <w:style w:type="character" w:styleId="EndnoteReference">
    <w:name w:val="endnote reference"/>
    <w:uiPriority w:val="99"/>
    <w:semiHidden/>
    <w:rsid w:val="00965476"/>
    <w:rPr>
      <w:vertAlign w:val="superscript"/>
    </w:rPr>
  </w:style>
  <w:style w:type="paragraph" w:customStyle="1" w:styleId="ARpublicationtitle">
    <w:name w:val="AR publication title"/>
    <w:link w:val="ARpublicationtitleChar"/>
    <w:uiPriority w:val="99"/>
    <w:qFormat/>
    <w:rsid w:val="003C51B1"/>
    <w:pPr>
      <w:spacing w:before="240" w:after="200" w:line="264" w:lineRule="auto"/>
    </w:pPr>
    <w:rPr>
      <w:rFonts w:ascii="Arial" w:eastAsia="MS Mincho" w:hAnsi="Arial"/>
      <w:color w:val="FFFFFF" w:themeColor="background1"/>
      <w:sz w:val="50"/>
      <w:szCs w:val="50"/>
    </w:rPr>
  </w:style>
  <w:style w:type="character" w:customStyle="1" w:styleId="ARpublicationtitleChar">
    <w:name w:val="AR publication title Char"/>
    <w:link w:val="ARpublicationtitle"/>
    <w:uiPriority w:val="99"/>
    <w:rsid w:val="003C51B1"/>
    <w:rPr>
      <w:rFonts w:ascii="Arial" w:eastAsia="MS Mincho" w:hAnsi="Arial"/>
      <w:color w:val="FFFFFF" w:themeColor="background1"/>
      <w:sz w:val="50"/>
      <w:szCs w:val="50"/>
    </w:rPr>
  </w:style>
  <w:style w:type="paragraph" w:styleId="NormalWeb">
    <w:name w:val="Normal (Web)"/>
    <w:basedOn w:val="Normal"/>
    <w:uiPriority w:val="99"/>
    <w:semiHidden/>
    <w:rsid w:val="00965476"/>
    <w:pPr>
      <w:spacing w:before="100" w:beforeAutospacing="1" w:after="100" w:afterAutospacing="1" w:line="264" w:lineRule="auto"/>
    </w:pPr>
    <w:rPr>
      <w:rFonts w:ascii="Times New Roman" w:eastAsiaTheme="minorEastAsia" w:hAnsi="Times New Roman"/>
      <w:sz w:val="20"/>
      <w:szCs w:val="20"/>
      <w:lang w:eastAsia="en-AU"/>
    </w:rPr>
  </w:style>
  <w:style w:type="paragraph" w:styleId="Caption">
    <w:name w:val="caption"/>
    <w:basedOn w:val="Normal"/>
    <w:next w:val="Normal"/>
    <w:uiPriority w:val="98"/>
    <w:semiHidden/>
    <w:unhideWhenUsed/>
    <w:qFormat/>
    <w:rsid w:val="00965476"/>
    <w:pPr>
      <w:spacing w:after="120" w:line="240" w:lineRule="auto"/>
    </w:pPr>
    <w:rPr>
      <w:rFonts w:eastAsiaTheme="minorEastAsia"/>
      <w:b/>
      <w:bCs/>
      <w:smallCaps/>
      <w:color w:val="595959" w:themeColor="text1" w:themeTint="A6"/>
      <w:spacing w:val="6"/>
      <w:sz w:val="20"/>
      <w:szCs w:val="20"/>
      <w:lang w:eastAsia="en-AU"/>
    </w:rPr>
  </w:style>
  <w:style w:type="table" w:customStyle="1" w:styleId="Casestudy">
    <w:name w:val="Case study"/>
    <w:basedOn w:val="TableNormal"/>
    <w:rsid w:val="00603E4B"/>
    <w:pPr>
      <w:spacing w:after="120" w:line="264" w:lineRule="auto"/>
    </w:pPr>
    <w:rPr>
      <w:rFonts w:eastAsiaTheme="minorEastAsia"/>
      <w:sz w:val="20"/>
      <w:szCs w:val="20"/>
      <w:lang w:eastAsia="en-AU"/>
    </w:rPr>
    <w:tblPr>
      <w:tblCellMar>
        <w:top w:w="170" w:type="dxa"/>
        <w:left w:w="170" w:type="dxa"/>
        <w:bottom w:w="57" w:type="dxa"/>
        <w:right w:w="170" w:type="dxa"/>
      </w:tblCellMar>
    </w:tblPr>
    <w:tcPr>
      <w:shd w:val="clear" w:color="auto" w:fill="F1E3F3"/>
    </w:tcPr>
  </w:style>
  <w:style w:type="paragraph" w:customStyle="1" w:styleId="ARtablenoteindent">
    <w:name w:val="AR table note indent"/>
    <w:link w:val="ARtablenoteindentChar"/>
    <w:uiPriority w:val="3"/>
    <w:qFormat/>
    <w:rsid w:val="003C51B1"/>
    <w:pPr>
      <w:spacing w:after="80" w:line="264" w:lineRule="auto"/>
      <w:ind w:left="454"/>
    </w:pPr>
    <w:rPr>
      <w:rFonts w:ascii="Arial" w:eastAsia="Times" w:hAnsi="Arial"/>
      <w:iCs/>
      <w:sz w:val="16"/>
      <w:szCs w:val="18"/>
      <w:lang w:eastAsia="en-AU"/>
    </w:rPr>
  </w:style>
  <w:style w:type="character" w:customStyle="1" w:styleId="ARtablenoteindentChar">
    <w:name w:val="AR table note indent Char"/>
    <w:link w:val="ARtablenoteindent"/>
    <w:uiPriority w:val="3"/>
    <w:rsid w:val="003C51B1"/>
    <w:rPr>
      <w:rFonts w:ascii="Arial" w:eastAsia="Times" w:hAnsi="Arial"/>
      <w:iCs/>
      <w:sz w:val="16"/>
      <w:szCs w:val="18"/>
      <w:lang w:eastAsia="en-AU"/>
    </w:rPr>
  </w:style>
  <w:style w:type="paragraph" w:customStyle="1" w:styleId="ARtabletextrightbold">
    <w:name w:val="AR table text right bold"/>
    <w:basedOn w:val="ARtabletextright"/>
    <w:uiPriority w:val="98"/>
    <w:qFormat/>
    <w:rsid w:val="003C51B1"/>
    <w:rPr>
      <w:b/>
    </w:rPr>
  </w:style>
  <w:style w:type="paragraph" w:customStyle="1" w:styleId="ARtablefootnotenumbered">
    <w:name w:val="AR table footnote numbered"/>
    <w:basedOn w:val="ARtablefootnote"/>
    <w:link w:val="ARtablefootnotenumberedChar"/>
    <w:uiPriority w:val="99"/>
    <w:qFormat/>
    <w:rsid w:val="003C51B1"/>
    <w:pPr>
      <w:numPr>
        <w:numId w:val="24"/>
      </w:numPr>
    </w:pPr>
  </w:style>
  <w:style w:type="paragraph" w:customStyle="1" w:styleId="LightList-Accent311">
    <w:name w:val="Light List - Accent 311"/>
    <w:hidden/>
    <w:uiPriority w:val="99"/>
    <w:semiHidden/>
    <w:rsid w:val="00965476"/>
    <w:pPr>
      <w:spacing w:after="120" w:line="264" w:lineRule="auto"/>
    </w:pPr>
    <w:rPr>
      <w:rFonts w:ascii="Arial" w:eastAsiaTheme="minorEastAsia" w:hAnsi="Arial"/>
      <w:sz w:val="24"/>
      <w:szCs w:val="24"/>
    </w:rPr>
  </w:style>
  <w:style w:type="character" w:styleId="FollowedHyperlink">
    <w:name w:val="FollowedHyperlink"/>
    <w:uiPriority w:val="99"/>
    <w:rsid w:val="00965476"/>
    <w:rPr>
      <w:color w:val="500778"/>
      <w:u w:val="dotted"/>
    </w:rPr>
  </w:style>
  <w:style w:type="paragraph" w:styleId="CommentSubject">
    <w:name w:val="annotation subject"/>
    <w:basedOn w:val="CommentText"/>
    <w:next w:val="CommentText"/>
    <w:link w:val="CommentSubjectChar"/>
    <w:uiPriority w:val="98"/>
    <w:semiHidden/>
    <w:unhideWhenUsed/>
    <w:rsid w:val="00965476"/>
    <w:rPr>
      <w:b/>
      <w:bCs/>
    </w:rPr>
  </w:style>
  <w:style w:type="character" w:customStyle="1" w:styleId="CommentSubjectChar">
    <w:name w:val="Comment Subject Char"/>
    <w:basedOn w:val="CommentTextChar"/>
    <w:link w:val="CommentSubject"/>
    <w:uiPriority w:val="98"/>
    <w:semiHidden/>
    <w:rsid w:val="00965476"/>
    <w:rPr>
      <w:rFonts w:eastAsiaTheme="minorEastAsia"/>
      <w:b/>
      <w:bCs/>
      <w:sz w:val="20"/>
      <w:szCs w:val="20"/>
      <w:lang w:val="x-none" w:eastAsia="en-AU"/>
    </w:rPr>
  </w:style>
  <w:style w:type="paragraph" w:styleId="EndnoteText">
    <w:name w:val="endnote text"/>
    <w:basedOn w:val="Normal"/>
    <w:link w:val="EndnoteTextChar"/>
    <w:uiPriority w:val="98"/>
    <w:semiHidden/>
    <w:unhideWhenUsed/>
    <w:rsid w:val="00965476"/>
    <w:pPr>
      <w:spacing w:after="120" w:line="264" w:lineRule="auto"/>
    </w:pPr>
    <w:rPr>
      <w:rFonts w:eastAsiaTheme="minorEastAsia"/>
      <w:sz w:val="20"/>
      <w:szCs w:val="20"/>
      <w:lang w:val="x-none" w:eastAsia="en-AU"/>
    </w:rPr>
  </w:style>
  <w:style w:type="character" w:customStyle="1" w:styleId="EndnoteTextChar">
    <w:name w:val="Endnote Text Char"/>
    <w:basedOn w:val="DefaultParagraphFont"/>
    <w:link w:val="EndnoteText"/>
    <w:uiPriority w:val="98"/>
    <w:semiHidden/>
    <w:rsid w:val="00965476"/>
    <w:rPr>
      <w:rFonts w:eastAsiaTheme="minorEastAsia"/>
      <w:sz w:val="20"/>
      <w:szCs w:val="20"/>
      <w:lang w:val="x-none" w:eastAsia="en-AU"/>
    </w:rPr>
  </w:style>
  <w:style w:type="paragraph" w:customStyle="1" w:styleId="ARtablecolheadright">
    <w:name w:val="AR table col head right"/>
    <w:basedOn w:val="ARtablecolhead"/>
    <w:uiPriority w:val="99"/>
    <w:qFormat/>
    <w:rsid w:val="003C51B1"/>
    <w:pPr>
      <w:jc w:val="right"/>
    </w:pPr>
  </w:style>
  <w:style w:type="paragraph" w:customStyle="1" w:styleId="ARtabletextbold">
    <w:name w:val="AR table text bold"/>
    <w:basedOn w:val="ARtabletext"/>
    <w:uiPriority w:val="3"/>
    <w:qFormat/>
    <w:rsid w:val="003C51B1"/>
    <w:rPr>
      <w:b/>
    </w:rPr>
  </w:style>
  <w:style w:type="paragraph" w:customStyle="1" w:styleId="ARtableperformancesymbol">
    <w:name w:val="AR table performance symbol"/>
    <w:basedOn w:val="Normal"/>
    <w:link w:val="ARtableperformancesymbolChar"/>
    <w:uiPriority w:val="99"/>
    <w:qFormat/>
    <w:rsid w:val="00D772ED"/>
    <w:pPr>
      <w:spacing w:before="80" w:after="60" w:line="264" w:lineRule="auto"/>
      <w:jc w:val="right"/>
    </w:pPr>
    <w:rPr>
      <w:rFonts w:ascii="Arial" w:eastAsiaTheme="minorEastAsia" w:hAnsi="Arial"/>
      <w:position w:val="4"/>
      <w:sz w:val="18"/>
      <w:szCs w:val="18"/>
      <w:lang w:val="x-none" w:eastAsia="x-none"/>
    </w:rPr>
  </w:style>
  <w:style w:type="character" w:customStyle="1" w:styleId="ARtableperformancesymbolChar">
    <w:name w:val="AR table performance symbol Char"/>
    <w:link w:val="ARtableperformancesymbol"/>
    <w:uiPriority w:val="99"/>
    <w:rsid w:val="00D772ED"/>
    <w:rPr>
      <w:rFonts w:ascii="Arial" w:eastAsiaTheme="minorEastAsia" w:hAnsi="Arial"/>
      <w:position w:val="4"/>
      <w:sz w:val="18"/>
      <w:szCs w:val="18"/>
      <w:lang w:val="x-none" w:eastAsia="x-none"/>
    </w:rPr>
  </w:style>
  <w:style w:type="paragraph" w:customStyle="1" w:styleId="MediumList2-Accent21">
    <w:name w:val="Medium List 2 - Accent 21"/>
    <w:hidden/>
    <w:uiPriority w:val="99"/>
    <w:semiHidden/>
    <w:rsid w:val="00965476"/>
    <w:pPr>
      <w:spacing w:after="120" w:line="264" w:lineRule="auto"/>
    </w:pPr>
    <w:rPr>
      <w:rFonts w:ascii="Arial" w:eastAsiaTheme="minorEastAsia" w:hAnsi="Arial"/>
      <w:sz w:val="24"/>
      <w:szCs w:val="24"/>
    </w:rPr>
  </w:style>
  <w:style w:type="character" w:styleId="Emphasis">
    <w:name w:val="Emphasis"/>
    <w:basedOn w:val="DefaultParagraphFont"/>
    <w:uiPriority w:val="20"/>
    <w:qFormat/>
    <w:rsid w:val="00965476"/>
    <w:rPr>
      <w:i/>
      <w:iCs/>
    </w:rPr>
  </w:style>
  <w:style w:type="paragraph" w:styleId="ListNumber">
    <w:name w:val="List Number"/>
    <w:basedOn w:val="Normal"/>
    <w:uiPriority w:val="98"/>
    <w:semiHidden/>
    <w:rsid w:val="00965476"/>
    <w:pPr>
      <w:spacing w:after="120" w:line="264" w:lineRule="auto"/>
      <w:ind w:left="720" w:hanging="720"/>
    </w:pPr>
    <w:rPr>
      <w:rFonts w:ascii="Verdana" w:eastAsiaTheme="minorEastAsia" w:hAnsi="Verdana"/>
      <w:sz w:val="20"/>
      <w:szCs w:val="20"/>
      <w:lang w:eastAsia="en-AU"/>
    </w:rPr>
  </w:style>
  <w:style w:type="paragraph" w:customStyle="1" w:styleId="MediumList2-Accent22">
    <w:name w:val="Medium List 2 - Accent 22"/>
    <w:hidden/>
    <w:uiPriority w:val="71"/>
    <w:unhideWhenUsed/>
    <w:rsid w:val="00965476"/>
    <w:pPr>
      <w:spacing w:after="120" w:line="264" w:lineRule="auto"/>
    </w:pPr>
    <w:rPr>
      <w:rFonts w:ascii="Arial" w:eastAsiaTheme="minorEastAsia" w:hAnsi="Arial"/>
      <w:sz w:val="24"/>
      <w:szCs w:val="24"/>
    </w:rPr>
  </w:style>
  <w:style w:type="paragraph" w:customStyle="1" w:styleId="ColorfulShading-Accent11">
    <w:name w:val="Colorful Shading - Accent 11"/>
    <w:hidden/>
    <w:uiPriority w:val="99"/>
    <w:unhideWhenUsed/>
    <w:rsid w:val="00965476"/>
    <w:pPr>
      <w:spacing w:after="120" w:line="264" w:lineRule="auto"/>
    </w:pPr>
    <w:rPr>
      <w:rFonts w:ascii="Arial" w:eastAsiaTheme="minorEastAsia" w:hAnsi="Arial"/>
      <w:sz w:val="24"/>
      <w:szCs w:val="24"/>
    </w:rPr>
  </w:style>
  <w:style w:type="paragraph" w:styleId="Revision">
    <w:name w:val="Revision"/>
    <w:hidden/>
    <w:uiPriority w:val="62"/>
    <w:rsid w:val="00965476"/>
    <w:pPr>
      <w:spacing w:after="120" w:line="264" w:lineRule="auto"/>
    </w:pPr>
    <w:rPr>
      <w:rFonts w:ascii="Arial" w:eastAsiaTheme="minorEastAsia" w:hAnsi="Arial"/>
      <w:sz w:val="20"/>
      <w:szCs w:val="20"/>
    </w:rPr>
  </w:style>
  <w:style w:type="character" w:customStyle="1" w:styleId="ListBulletChar">
    <w:name w:val="List Bullet Char"/>
    <w:basedOn w:val="DefaultParagraphFont"/>
    <w:link w:val="ListBullet"/>
    <w:uiPriority w:val="98"/>
    <w:semiHidden/>
    <w:rsid w:val="00965476"/>
    <w:rPr>
      <w:spacing w:val="2"/>
      <w:sz w:val="18"/>
      <w:szCs w:val="18"/>
      <w:lang w:eastAsia="en-AU"/>
    </w:rPr>
  </w:style>
  <w:style w:type="paragraph" w:styleId="NoSpacing">
    <w:name w:val="No Spacing"/>
    <w:uiPriority w:val="98"/>
    <w:qFormat/>
    <w:rsid w:val="00965476"/>
    <w:pPr>
      <w:spacing w:after="0" w:line="240" w:lineRule="auto"/>
    </w:pPr>
    <w:rPr>
      <w:rFonts w:eastAsiaTheme="minorEastAsia"/>
      <w:sz w:val="20"/>
      <w:szCs w:val="20"/>
      <w:lang w:eastAsia="en-AU"/>
    </w:rPr>
  </w:style>
  <w:style w:type="table" w:styleId="LightList">
    <w:name w:val="Light List"/>
    <w:basedOn w:val="TableNormal"/>
    <w:uiPriority w:val="61"/>
    <w:rsid w:val="00965476"/>
    <w:pPr>
      <w:spacing w:after="120" w:line="264" w:lineRule="auto"/>
    </w:pPr>
    <w:rPr>
      <w:rFonts w:eastAsiaTheme="minorEastAsia"/>
      <w:sz w:val="20"/>
      <w:szCs w:val="20"/>
      <w:lang w:eastAsia="en-A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Rfootnotebullet">
    <w:name w:val="AR footnote bullet"/>
    <w:basedOn w:val="Normal"/>
    <w:link w:val="ARfootnotebulletChar"/>
    <w:qFormat/>
    <w:rsid w:val="003C51B1"/>
    <w:pPr>
      <w:spacing w:after="60" w:line="200" w:lineRule="atLeast"/>
      <w:ind w:left="720" w:hanging="360"/>
    </w:pPr>
    <w:rPr>
      <w:rFonts w:eastAsiaTheme="minorEastAsia"/>
      <w:color w:val="000000"/>
      <w:sz w:val="16"/>
      <w:szCs w:val="20"/>
      <w:lang w:eastAsia="en-AU"/>
    </w:rPr>
  </w:style>
  <w:style w:type="paragraph" w:styleId="TableofFigures">
    <w:name w:val="table of figures"/>
    <w:basedOn w:val="Normal"/>
    <w:next w:val="Normal"/>
    <w:uiPriority w:val="98"/>
    <w:semiHidden/>
    <w:rsid w:val="00965476"/>
    <w:pPr>
      <w:spacing w:after="120" w:line="264" w:lineRule="auto"/>
      <w:jc w:val="right"/>
    </w:pPr>
    <w:rPr>
      <w:rFonts w:ascii="AvantGarde Bk BT" w:eastAsiaTheme="minorEastAsia" w:hAnsi="AvantGarde Bk BT"/>
      <w:sz w:val="18"/>
      <w:szCs w:val="18"/>
      <w:lang w:eastAsia="en-AU"/>
    </w:rPr>
  </w:style>
  <w:style w:type="paragraph" w:styleId="PlainText">
    <w:name w:val="Plain Text"/>
    <w:basedOn w:val="Normal"/>
    <w:link w:val="PlainTextChar"/>
    <w:uiPriority w:val="98"/>
    <w:semiHidden/>
    <w:rsid w:val="00965476"/>
    <w:pPr>
      <w:spacing w:after="120" w:line="264" w:lineRule="auto"/>
    </w:pPr>
    <w:rPr>
      <w:rFonts w:ascii="Consolas" w:eastAsia="Calibri" w:hAnsi="Consolas"/>
      <w:sz w:val="21"/>
      <w:szCs w:val="21"/>
      <w:lang w:val="x-none" w:eastAsia="x-none"/>
    </w:rPr>
  </w:style>
  <w:style w:type="character" w:customStyle="1" w:styleId="PlainTextChar">
    <w:name w:val="Plain Text Char"/>
    <w:basedOn w:val="DefaultParagraphFont"/>
    <w:link w:val="PlainText"/>
    <w:uiPriority w:val="98"/>
    <w:semiHidden/>
    <w:rsid w:val="00965476"/>
    <w:rPr>
      <w:rFonts w:ascii="Consolas" w:eastAsia="Calibri" w:hAnsi="Consolas"/>
      <w:sz w:val="21"/>
      <w:szCs w:val="21"/>
      <w:lang w:val="x-none" w:eastAsia="x-none"/>
    </w:rPr>
  </w:style>
  <w:style w:type="paragraph" w:customStyle="1" w:styleId="ColorfulShading-Accent12">
    <w:name w:val="Colorful Shading - Accent 12"/>
    <w:hidden/>
    <w:uiPriority w:val="99"/>
    <w:semiHidden/>
    <w:rsid w:val="00965476"/>
    <w:pPr>
      <w:spacing w:after="120" w:line="264" w:lineRule="auto"/>
    </w:pPr>
    <w:rPr>
      <w:rFonts w:ascii="Verdana" w:eastAsiaTheme="minorEastAsia" w:hAnsi="Verdana"/>
      <w:sz w:val="20"/>
      <w:szCs w:val="20"/>
    </w:rPr>
  </w:style>
  <w:style w:type="character" w:customStyle="1" w:styleId="ARfootnotebulletChar">
    <w:name w:val="AR footnote bullet Char"/>
    <w:link w:val="ARfootnotebullet"/>
    <w:rsid w:val="003C51B1"/>
    <w:rPr>
      <w:rFonts w:eastAsiaTheme="minorEastAsia"/>
      <w:color w:val="000000"/>
      <w:sz w:val="16"/>
      <w:szCs w:val="20"/>
      <w:lang w:eastAsia="en-AU"/>
    </w:rPr>
  </w:style>
  <w:style w:type="character" w:customStyle="1" w:styleId="ARtablefootnotebulletChar">
    <w:name w:val="AR table footnote bullet Char"/>
    <w:link w:val="ARtablefootnotebullet"/>
    <w:uiPriority w:val="99"/>
    <w:rsid w:val="003C51B1"/>
    <w:rPr>
      <w:rFonts w:ascii="Arial" w:eastAsiaTheme="minorEastAsia" w:hAnsi="Arial"/>
      <w:sz w:val="16"/>
      <w:szCs w:val="16"/>
    </w:rPr>
  </w:style>
  <w:style w:type="character" w:customStyle="1" w:styleId="Superscript">
    <w:name w:val="Superscript"/>
    <w:uiPriority w:val="99"/>
    <w:rsid w:val="00965476"/>
    <w:rPr>
      <w:vertAlign w:val="superscript"/>
    </w:rPr>
  </w:style>
  <w:style w:type="numbering" w:customStyle="1" w:styleId="ZZFinbullets">
    <w:name w:val="ZZ Fin bullets"/>
    <w:basedOn w:val="NoList"/>
    <w:rsid w:val="007C0455"/>
    <w:pPr>
      <w:numPr>
        <w:numId w:val="2"/>
      </w:numPr>
    </w:pPr>
  </w:style>
  <w:style w:type="paragraph" w:customStyle="1" w:styleId="ARnumberroman2">
    <w:name w:val="AR number roman 2"/>
    <w:basedOn w:val="ARbody"/>
    <w:uiPriority w:val="98"/>
    <w:qFormat/>
    <w:rsid w:val="003C51B1"/>
    <w:pPr>
      <w:tabs>
        <w:tab w:val="num" w:pos="794"/>
      </w:tabs>
      <w:spacing w:after="40" w:line="270" w:lineRule="atLeast"/>
      <w:ind w:left="794" w:hanging="397"/>
    </w:pPr>
    <w:rPr>
      <w:rFonts w:eastAsia="Times New Roman"/>
      <w:szCs w:val="20"/>
    </w:rPr>
  </w:style>
  <w:style w:type="numbering" w:customStyle="1" w:styleId="ARnumberedparas">
    <w:name w:val="AR numbered paras"/>
    <w:rsid w:val="003C51B1"/>
    <w:pPr>
      <w:numPr>
        <w:numId w:val="16"/>
      </w:numPr>
    </w:pPr>
  </w:style>
  <w:style w:type="numbering" w:customStyle="1" w:styleId="ZZFintablebullets">
    <w:name w:val="ZZ Fin table bullets"/>
    <w:basedOn w:val="NoList"/>
    <w:uiPriority w:val="99"/>
    <w:rsid w:val="007C0455"/>
    <w:pPr>
      <w:numPr>
        <w:numId w:val="3"/>
      </w:numPr>
    </w:pPr>
  </w:style>
  <w:style w:type="paragraph" w:customStyle="1" w:styleId="ARtablebullet2">
    <w:name w:val="AR table bullet 2"/>
    <w:basedOn w:val="ARtablebullet1"/>
    <w:uiPriority w:val="3"/>
    <w:qFormat/>
    <w:rsid w:val="003C51B1"/>
    <w:pPr>
      <w:numPr>
        <w:ilvl w:val="1"/>
      </w:numPr>
    </w:pPr>
  </w:style>
  <w:style w:type="paragraph" w:customStyle="1" w:styleId="ARtablebullet1">
    <w:name w:val="AR table bullet 1"/>
    <w:basedOn w:val="ARtabletext"/>
    <w:uiPriority w:val="3"/>
    <w:qFormat/>
    <w:rsid w:val="003C51B1"/>
    <w:pPr>
      <w:numPr>
        <w:numId w:val="23"/>
      </w:numPr>
      <w:spacing w:line="240" w:lineRule="auto"/>
    </w:pPr>
  </w:style>
  <w:style w:type="character" w:customStyle="1" w:styleId="ARtablefootnotenumberedChar">
    <w:name w:val="AR table footnote numbered Char"/>
    <w:link w:val="ARtablefootnotenumbered"/>
    <w:uiPriority w:val="99"/>
    <w:rsid w:val="003C51B1"/>
    <w:rPr>
      <w:rFonts w:ascii="Arial" w:eastAsiaTheme="minorEastAsia" w:hAnsi="Arial"/>
      <w:sz w:val="16"/>
      <w:szCs w:val="16"/>
    </w:rPr>
  </w:style>
  <w:style w:type="numbering" w:customStyle="1" w:styleId="ZZTablefootnotenumbers">
    <w:name w:val="ZZ Table footnote numbers"/>
    <w:basedOn w:val="NoList"/>
    <w:uiPriority w:val="99"/>
    <w:rsid w:val="003C51B1"/>
    <w:pPr>
      <w:numPr>
        <w:numId w:val="24"/>
      </w:numPr>
    </w:pPr>
  </w:style>
  <w:style w:type="table" w:styleId="TableElegant">
    <w:name w:val="Table Elegant"/>
    <w:basedOn w:val="TableNormal"/>
    <w:uiPriority w:val="99"/>
    <w:rsid w:val="00965476"/>
    <w:pPr>
      <w:spacing w:after="120" w:line="264" w:lineRule="auto"/>
    </w:pPr>
    <w:rPr>
      <w:rFonts w:eastAsiaTheme="minorEastAsia"/>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customStyle="1" w:styleId="ARtablefootnoteroman">
    <w:name w:val="AR table footnote roman"/>
    <w:basedOn w:val="ARtablefootnote"/>
    <w:uiPriority w:val="98"/>
    <w:rsid w:val="003C51B1"/>
    <w:pPr>
      <w:numPr>
        <w:numId w:val="25"/>
      </w:numPr>
    </w:pPr>
    <w:rPr>
      <w:lang w:eastAsia="en-AU"/>
    </w:rPr>
  </w:style>
  <w:style w:type="numbering" w:customStyle="1" w:styleId="ZZTablefootnoteroman">
    <w:name w:val="ZZ Table footnote roman"/>
    <w:basedOn w:val="NoList"/>
    <w:uiPriority w:val="99"/>
    <w:rsid w:val="003C51B1"/>
    <w:pPr>
      <w:numPr>
        <w:numId w:val="25"/>
      </w:numPr>
    </w:pPr>
  </w:style>
  <w:style w:type="numbering" w:customStyle="1" w:styleId="Numbersinfintables">
    <w:name w:val="Numbers in fin tables"/>
    <w:uiPriority w:val="99"/>
    <w:rsid w:val="00965476"/>
    <w:pPr>
      <w:numPr>
        <w:numId w:val="4"/>
      </w:numPr>
    </w:pPr>
  </w:style>
  <w:style w:type="numbering" w:customStyle="1" w:styleId="Tablefootnotes">
    <w:name w:val="Table footnotes"/>
    <w:uiPriority w:val="99"/>
    <w:rsid w:val="00965476"/>
    <w:pPr>
      <w:numPr>
        <w:numId w:val="15"/>
      </w:numPr>
    </w:pPr>
  </w:style>
  <w:style w:type="table" w:styleId="TableGrid5">
    <w:name w:val="Table Grid 5"/>
    <w:basedOn w:val="TableNormal"/>
    <w:rsid w:val="00965476"/>
    <w:pPr>
      <w:spacing w:after="120" w:line="264" w:lineRule="auto"/>
    </w:pPr>
    <w:rPr>
      <w:rFonts w:eastAsiaTheme="minorEastAsia"/>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Subtitle">
    <w:name w:val="Subtitle"/>
    <w:basedOn w:val="Normal"/>
    <w:next w:val="Normal"/>
    <w:link w:val="SubtitleChar"/>
    <w:uiPriority w:val="11"/>
    <w:qFormat/>
    <w:rsid w:val="00965476"/>
    <w:pPr>
      <w:numPr>
        <w:ilvl w:val="1"/>
      </w:numPr>
      <w:spacing w:after="120" w:line="240" w:lineRule="auto"/>
    </w:pPr>
    <w:rPr>
      <w:rFonts w:asciiTheme="majorHAnsi" w:eastAsiaTheme="majorEastAsia" w:hAnsiTheme="majorHAnsi" w:cstheme="majorBidi"/>
      <w:sz w:val="24"/>
      <w:szCs w:val="24"/>
      <w:lang w:eastAsia="en-AU"/>
    </w:rPr>
  </w:style>
  <w:style w:type="character" w:customStyle="1" w:styleId="SubtitleChar">
    <w:name w:val="Subtitle Char"/>
    <w:basedOn w:val="DefaultParagraphFont"/>
    <w:link w:val="Subtitle"/>
    <w:uiPriority w:val="11"/>
    <w:rsid w:val="00916900"/>
    <w:rPr>
      <w:rFonts w:asciiTheme="majorHAnsi" w:eastAsiaTheme="majorEastAsia" w:hAnsiTheme="majorHAnsi" w:cstheme="majorBidi"/>
      <w:sz w:val="24"/>
      <w:szCs w:val="24"/>
      <w:lang w:eastAsia="en-AU"/>
    </w:rPr>
  </w:style>
  <w:style w:type="paragraph" w:styleId="IntenseQuote">
    <w:name w:val="Intense Quote"/>
    <w:basedOn w:val="Normal"/>
    <w:next w:val="Normal"/>
    <w:link w:val="IntenseQuoteChar"/>
    <w:uiPriority w:val="30"/>
    <w:qFormat/>
    <w:rsid w:val="00965476"/>
    <w:pPr>
      <w:pBdr>
        <w:left w:val="single" w:sz="18" w:space="12" w:color="87189D" w:themeColor="accent1"/>
      </w:pBdr>
      <w:spacing w:before="100" w:beforeAutospacing="1" w:after="120" w:line="300" w:lineRule="auto"/>
      <w:ind w:left="1224" w:right="1224"/>
    </w:pPr>
    <w:rPr>
      <w:rFonts w:asciiTheme="majorHAnsi" w:eastAsiaTheme="majorEastAsia" w:hAnsiTheme="majorHAnsi" w:cstheme="majorBidi"/>
      <w:color w:val="87189D" w:themeColor="accent1"/>
      <w:sz w:val="28"/>
      <w:szCs w:val="28"/>
      <w:lang w:eastAsia="en-AU"/>
    </w:rPr>
  </w:style>
  <w:style w:type="character" w:customStyle="1" w:styleId="IntenseQuoteChar">
    <w:name w:val="Intense Quote Char"/>
    <w:basedOn w:val="DefaultParagraphFont"/>
    <w:link w:val="IntenseQuote"/>
    <w:uiPriority w:val="30"/>
    <w:rsid w:val="00916900"/>
    <w:rPr>
      <w:rFonts w:asciiTheme="majorHAnsi" w:eastAsiaTheme="majorEastAsia" w:hAnsiTheme="majorHAnsi" w:cstheme="majorBidi"/>
      <w:color w:val="87189D" w:themeColor="accent1"/>
      <w:sz w:val="28"/>
      <w:szCs w:val="28"/>
      <w:lang w:eastAsia="en-AU"/>
    </w:rPr>
  </w:style>
  <w:style w:type="character" w:styleId="SubtleEmphasis">
    <w:name w:val="Subtle Emphasis"/>
    <w:basedOn w:val="DefaultParagraphFont"/>
    <w:uiPriority w:val="19"/>
    <w:qFormat/>
    <w:rsid w:val="00965476"/>
    <w:rPr>
      <w:i/>
      <w:iCs/>
      <w:color w:val="404040" w:themeColor="text1" w:themeTint="BF"/>
    </w:rPr>
  </w:style>
  <w:style w:type="character" w:styleId="IntenseEmphasis">
    <w:name w:val="Intense Emphasis"/>
    <w:basedOn w:val="DefaultParagraphFont"/>
    <w:uiPriority w:val="21"/>
    <w:qFormat/>
    <w:rsid w:val="00965476"/>
    <w:rPr>
      <w:b/>
      <w:bCs/>
      <w:i/>
      <w:iCs/>
    </w:rPr>
  </w:style>
  <w:style w:type="character" w:styleId="SubtleReference">
    <w:name w:val="Subtle Reference"/>
    <w:basedOn w:val="DefaultParagraphFont"/>
    <w:uiPriority w:val="31"/>
    <w:qFormat/>
    <w:rsid w:val="00965476"/>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965476"/>
    <w:rPr>
      <w:b/>
      <w:bCs/>
      <w:smallCaps/>
      <w:spacing w:val="5"/>
      <w:u w:val="single"/>
    </w:rPr>
  </w:style>
  <w:style w:type="numbering" w:customStyle="1" w:styleId="ZZTablebullets">
    <w:name w:val="ZZ Table bullets"/>
    <w:basedOn w:val="NoList"/>
    <w:uiPriority w:val="99"/>
    <w:rsid w:val="003C51B1"/>
    <w:pPr>
      <w:numPr>
        <w:numId w:val="23"/>
      </w:numPr>
    </w:pPr>
  </w:style>
  <w:style w:type="paragraph" w:customStyle="1" w:styleId="ARheaderright">
    <w:name w:val="AR header right"/>
    <w:basedOn w:val="Normal"/>
    <w:uiPriority w:val="99"/>
    <w:rsid w:val="00965476"/>
    <w:pPr>
      <w:pBdr>
        <w:bottom w:val="single" w:sz="4" w:space="4" w:color="87189D"/>
      </w:pBdr>
      <w:tabs>
        <w:tab w:val="right" w:pos="8959"/>
        <w:tab w:val="right" w:pos="9639"/>
      </w:tabs>
      <w:spacing w:after="0" w:line="240" w:lineRule="auto"/>
    </w:pPr>
    <w:rPr>
      <w:rFonts w:ascii="Arial" w:eastAsia="Times New Roman" w:hAnsi="Arial" w:cs="Times New Roman"/>
      <w:sz w:val="18"/>
      <w:szCs w:val="20"/>
    </w:rPr>
  </w:style>
  <w:style w:type="numbering" w:customStyle="1" w:styleId="ZZFinnumbersalpha1roman2">
    <w:name w:val="ZZ Fin numbers alpha 1 roman 2"/>
    <w:basedOn w:val="NoList"/>
    <w:uiPriority w:val="99"/>
    <w:rsid w:val="007C0455"/>
    <w:pPr>
      <w:numPr>
        <w:numId w:val="5"/>
      </w:numPr>
    </w:pPr>
  </w:style>
  <w:style w:type="character" w:customStyle="1" w:styleId="ARfigurecaptionChar">
    <w:name w:val="AR figure caption Char"/>
    <w:link w:val="ARfigurecaption"/>
    <w:uiPriority w:val="99"/>
    <w:locked/>
    <w:rsid w:val="003C51B1"/>
    <w:rPr>
      <w:rFonts w:ascii="Arial" w:eastAsia="Times New Roman" w:hAnsi="Arial" w:cs="Times New Roman"/>
      <w:b/>
      <w:color w:val="0072CE"/>
      <w:sz w:val="26"/>
      <w:szCs w:val="24"/>
    </w:rPr>
  </w:style>
  <w:style w:type="paragraph" w:customStyle="1" w:styleId="ARfigurecaption">
    <w:name w:val="AR figure caption"/>
    <w:next w:val="ARbody"/>
    <w:link w:val="ARfigurecaptionChar"/>
    <w:uiPriority w:val="99"/>
    <w:qFormat/>
    <w:rsid w:val="003C51B1"/>
    <w:pPr>
      <w:keepNext/>
      <w:keepLines/>
      <w:spacing w:before="240" w:after="120" w:line="240" w:lineRule="auto"/>
    </w:pPr>
    <w:rPr>
      <w:rFonts w:ascii="Arial" w:eastAsia="Times New Roman" w:hAnsi="Arial" w:cs="Times New Roman"/>
      <w:b/>
      <w:color w:val="0072CE"/>
      <w:sz w:val="26"/>
      <w:szCs w:val="24"/>
    </w:rPr>
  </w:style>
  <w:style w:type="paragraph" w:customStyle="1" w:styleId="ARfootnotetables">
    <w:name w:val="AR footnote tables"/>
    <w:basedOn w:val="Normal"/>
    <w:uiPriority w:val="99"/>
    <w:qFormat/>
    <w:rsid w:val="003C51B1"/>
    <w:pPr>
      <w:spacing w:before="60" w:after="60" w:line="200" w:lineRule="atLeast"/>
      <w:ind w:left="284" w:hanging="284"/>
    </w:pPr>
    <w:rPr>
      <w:rFonts w:ascii="Arial" w:eastAsia="Times New Roman" w:hAnsi="Arial" w:cs="Times New Roman"/>
      <w:color w:val="000000"/>
      <w:sz w:val="16"/>
      <w:szCs w:val="24"/>
    </w:rPr>
  </w:style>
  <w:style w:type="paragraph" w:customStyle="1" w:styleId="ARtablegreybold">
    <w:name w:val="AR table grey bold"/>
    <w:basedOn w:val="ARtablebluebold"/>
    <w:rsid w:val="003C51B1"/>
    <w:rPr>
      <w:color w:val="53565A"/>
    </w:rPr>
  </w:style>
  <w:style w:type="paragraph" w:customStyle="1" w:styleId="ARheaderleft">
    <w:name w:val="AR header left"/>
    <w:uiPriority w:val="11"/>
    <w:rsid w:val="00965476"/>
    <w:pPr>
      <w:pBdr>
        <w:bottom w:val="single" w:sz="4" w:space="4" w:color="D50032"/>
      </w:pBdr>
      <w:tabs>
        <w:tab w:val="left" w:pos="680"/>
      </w:tabs>
      <w:spacing w:after="0" w:line="240" w:lineRule="auto"/>
    </w:pPr>
    <w:rPr>
      <w:rFonts w:ascii="Arial" w:eastAsia="Times New Roman" w:hAnsi="Arial" w:cs="Times New Roman"/>
      <w:sz w:val="18"/>
      <w:szCs w:val="24"/>
    </w:rPr>
  </w:style>
  <w:style w:type="table" w:styleId="LightShading-Accent2">
    <w:name w:val="Light Shading Accent 2"/>
    <w:basedOn w:val="TableNormal"/>
    <w:uiPriority w:val="60"/>
    <w:rsid w:val="00965476"/>
    <w:pPr>
      <w:spacing w:before="120"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customStyle="1" w:styleId="LightList-Accent312">
    <w:name w:val="Light List - Accent 312"/>
    <w:hidden/>
    <w:uiPriority w:val="99"/>
    <w:semiHidden/>
    <w:rsid w:val="00965476"/>
    <w:pPr>
      <w:spacing w:after="120" w:line="264" w:lineRule="auto"/>
    </w:pPr>
    <w:rPr>
      <w:rFonts w:ascii="Arial" w:eastAsiaTheme="minorEastAsia" w:hAnsi="Arial"/>
      <w:sz w:val="24"/>
      <w:szCs w:val="24"/>
    </w:rPr>
  </w:style>
  <w:style w:type="paragraph" w:customStyle="1" w:styleId="LightList-Accent3111">
    <w:name w:val="Light List - Accent 3111"/>
    <w:hidden/>
    <w:uiPriority w:val="99"/>
    <w:semiHidden/>
    <w:rsid w:val="00965476"/>
    <w:pPr>
      <w:spacing w:after="120" w:line="264" w:lineRule="auto"/>
    </w:pPr>
    <w:rPr>
      <w:rFonts w:ascii="Arial" w:eastAsiaTheme="minorEastAsia" w:hAnsi="Arial"/>
      <w:sz w:val="24"/>
      <w:szCs w:val="24"/>
    </w:rPr>
  </w:style>
  <w:style w:type="paragraph" w:customStyle="1" w:styleId="MediumList2-Accent211">
    <w:name w:val="Medium List 2 - Accent 211"/>
    <w:hidden/>
    <w:uiPriority w:val="99"/>
    <w:semiHidden/>
    <w:rsid w:val="00965476"/>
    <w:pPr>
      <w:spacing w:after="120" w:line="264" w:lineRule="auto"/>
    </w:pPr>
    <w:rPr>
      <w:rFonts w:ascii="Arial" w:eastAsiaTheme="minorEastAsia" w:hAnsi="Arial"/>
      <w:sz w:val="24"/>
      <w:szCs w:val="24"/>
    </w:rPr>
  </w:style>
  <w:style w:type="paragraph" w:customStyle="1" w:styleId="MediumList2-Accent221">
    <w:name w:val="Medium List 2 - Accent 221"/>
    <w:hidden/>
    <w:uiPriority w:val="71"/>
    <w:unhideWhenUsed/>
    <w:rsid w:val="00965476"/>
    <w:pPr>
      <w:spacing w:after="120" w:line="264" w:lineRule="auto"/>
    </w:pPr>
    <w:rPr>
      <w:rFonts w:ascii="Arial" w:eastAsiaTheme="minorEastAsia" w:hAnsi="Arial"/>
      <w:sz w:val="24"/>
      <w:szCs w:val="24"/>
    </w:rPr>
  </w:style>
  <w:style w:type="paragraph" w:customStyle="1" w:styleId="ColorfulShading-Accent111">
    <w:name w:val="Colorful Shading - Accent 111"/>
    <w:hidden/>
    <w:uiPriority w:val="99"/>
    <w:unhideWhenUsed/>
    <w:rsid w:val="00965476"/>
    <w:pPr>
      <w:spacing w:after="120" w:line="264" w:lineRule="auto"/>
    </w:pPr>
    <w:rPr>
      <w:rFonts w:ascii="Arial" w:eastAsiaTheme="minorEastAsia" w:hAnsi="Arial"/>
      <w:sz w:val="24"/>
      <w:szCs w:val="24"/>
    </w:rPr>
  </w:style>
  <w:style w:type="paragraph" w:customStyle="1" w:styleId="ColorfulShading-Accent121">
    <w:name w:val="Colorful Shading - Accent 121"/>
    <w:hidden/>
    <w:uiPriority w:val="99"/>
    <w:semiHidden/>
    <w:rsid w:val="00965476"/>
    <w:pPr>
      <w:spacing w:after="120" w:line="264" w:lineRule="auto"/>
    </w:pPr>
    <w:rPr>
      <w:rFonts w:ascii="Verdana" w:eastAsiaTheme="minorEastAsia" w:hAnsi="Verdana"/>
      <w:sz w:val="20"/>
      <w:szCs w:val="20"/>
    </w:rPr>
  </w:style>
  <w:style w:type="paragraph" w:customStyle="1" w:styleId="LightList-Accent313">
    <w:name w:val="Light List - Accent 313"/>
    <w:hidden/>
    <w:uiPriority w:val="99"/>
    <w:semiHidden/>
    <w:rsid w:val="00092D31"/>
    <w:pPr>
      <w:spacing w:after="120" w:line="264" w:lineRule="auto"/>
    </w:pPr>
    <w:rPr>
      <w:rFonts w:ascii="Arial" w:eastAsiaTheme="minorEastAsia" w:hAnsi="Arial"/>
      <w:sz w:val="24"/>
      <w:szCs w:val="24"/>
    </w:rPr>
  </w:style>
  <w:style w:type="paragraph" w:customStyle="1" w:styleId="LightList-Accent3112">
    <w:name w:val="Light List - Accent 3112"/>
    <w:hidden/>
    <w:uiPriority w:val="99"/>
    <w:semiHidden/>
    <w:rsid w:val="00092D31"/>
    <w:pPr>
      <w:spacing w:after="120" w:line="264" w:lineRule="auto"/>
    </w:pPr>
    <w:rPr>
      <w:rFonts w:ascii="Arial" w:eastAsiaTheme="minorEastAsia" w:hAnsi="Arial"/>
      <w:sz w:val="24"/>
      <w:szCs w:val="24"/>
    </w:rPr>
  </w:style>
  <w:style w:type="paragraph" w:customStyle="1" w:styleId="MediumList2-Accent212">
    <w:name w:val="Medium List 2 - Accent 212"/>
    <w:hidden/>
    <w:uiPriority w:val="99"/>
    <w:semiHidden/>
    <w:rsid w:val="00092D31"/>
    <w:pPr>
      <w:spacing w:after="120" w:line="264" w:lineRule="auto"/>
    </w:pPr>
    <w:rPr>
      <w:rFonts w:ascii="Arial" w:eastAsiaTheme="minorEastAsia" w:hAnsi="Arial"/>
      <w:sz w:val="24"/>
      <w:szCs w:val="24"/>
    </w:rPr>
  </w:style>
  <w:style w:type="paragraph" w:customStyle="1" w:styleId="MediumList2-Accent222">
    <w:name w:val="Medium List 2 - Accent 222"/>
    <w:hidden/>
    <w:uiPriority w:val="71"/>
    <w:unhideWhenUsed/>
    <w:rsid w:val="00092D31"/>
    <w:pPr>
      <w:spacing w:after="120" w:line="264" w:lineRule="auto"/>
    </w:pPr>
    <w:rPr>
      <w:rFonts w:ascii="Arial" w:eastAsiaTheme="minorEastAsia" w:hAnsi="Arial"/>
      <w:sz w:val="24"/>
      <w:szCs w:val="24"/>
    </w:rPr>
  </w:style>
  <w:style w:type="paragraph" w:customStyle="1" w:styleId="ColorfulShading-Accent112">
    <w:name w:val="Colorful Shading - Accent 112"/>
    <w:hidden/>
    <w:uiPriority w:val="99"/>
    <w:unhideWhenUsed/>
    <w:rsid w:val="00092D31"/>
    <w:pPr>
      <w:spacing w:after="120" w:line="264" w:lineRule="auto"/>
    </w:pPr>
    <w:rPr>
      <w:rFonts w:ascii="Arial" w:eastAsiaTheme="minorEastAsia" w:hAnsi="Arial"/>
      <w:sz w:val="24"/>
      <w:szCs w:val="24"/>
    </w:rPr>
  </w:style>
  <w:style w:type="paragraph" w:customStyle="1" w:styleId="ColorfulShading-Accent122">
    <w:name w:val="Colorful Shading - Accent 122"/>
    <w:hidden/>
    <w:uiPriority w:val="99"/>
    <w:semiHidden/>
    <w:rsid w:val="00092D31"/>
    <w:pPr>
      <w:spacing w:after="120" w:line="264" w:lineRule="auto"/>
    </w:pPr>
    <w:rPr>
      <w:rFonts w:ascii="Verdana" w:eastAsiaTheme="minorEastAsia" w:hAnsi="Verdana"/>
      <w:sz w:val="20"/>
      <w:szCs w:val="20"/>
    </w:rPr>
  </w:style>
  <w:style w:type="paragraph" w:styleId="ListParagraph">
    <w:name w:val="List Paragraph"/>
    <w:basedOn w:val="Normal"/>
    <w:link w:val="ListParagraphChar"/>
    <w:uiPriority w:val="34"/>
    <w:qFormat/>
    <w:rsid w:val="00255AB4"/>
    <w:pPr>
      <w:keepLines/>
      <w:spacing w:before="80" w:after="0" w:line="240" w:lineRule="auto"/>
    </w:pPr>
    <w:rPr>
      <w:rFonts w:ascii="Arial" w:hAnsi="Arial"/>
      <w:color w:val="87189D"/>
      <w:sz w:val="18"/>
      <w:szCs w:val="18"/>
    </w:rPr>
  </w:style>
  <w:style w:type="paragraph" w:customStyle="1" w:styleId="LightList-Accent3121">
    <w:name w:val="Light List - Accent 3121"/>
    <w:hidden/>
    <w:uiPriority w:val="99"/>
    <w:semiHidden/>
    <w:rsid w:val="00092D31"/>
    <w:pPr>
      <w:spacing w:after="120" w:line="264" w:lineRule="auto"/>
    </w:pPr>
    <w:rPr>
      <w:rFonts w:ascii="Arial" w:eastAsiaTheme="minorEastAsia" w:hAnsi="Arial"/>
      <w:sz w:val="24"/>
      <w:szCs w:val="24"/>
    </w:rPr>
  </w:style>
  <w:style w:type="paragraph" w:customStyle="1" w:styleId="LightList-Accent31111">
    <w:name w:val="Light List - Accent 31111"/>
    <w:hidden/>
    <w:uiPriority w:val="99"/>
    <w:semiHidden/>
    <w:rsid w:val="00092D31"/>
    <w:pPr>
      <w:spacing w:after="120" w:line="264" w:lineRule="auto"/>
    </w:pPr>
    <w:rPr>
      <w:rFonts w:ascii="Arial" w:eastAsiaTheme="minorEastAsia" w:hAnsi="Arial"/>
      <w:sz w:val="24"/>
      <w:szCs w:val="24"/>
    </w:rPr>
  </w:style>
  <w:style w:type="paragraph" w:customStyle="1" w:styleId="MediumList2-Accent2111">
    <w:name w:val="Medium List 2 - Accent 2111"/>
    <w:hidden/>
    <w:uiPriority w:val="99"/>
    <w:semiHidden/>
    <w:rsid w:val="00092D31"/>
    <w:pPr>
      <w:spacing w:after="120" w:line="264" w:lineRule="auto"/>
    </w:pPr>
    <w:rPr>
      <w:rFonts w:ascii="Arial" w:eastAsiaTheme="minorEastAsia" w:hAnsi="Arial"/>
      <w:sz w:val="24"/>
      <w:szCs w:val="24"/>
    </w:rPr>
  </w:style>
  <w:style w:type="paragraph" w:customStyle="1" w:styleId="MediumList2-Accent2211">
    <w:name w:val="Medium List 2 - Accent 2211"/>
    <w:hidden/>
    <w:uiPriority w:val="71"/>
    <w:unhideWhenUsed/>
    <w:rsid w:val="00092D31"/>
    <w:pPr>
      <w:spacing w:after="120" w:line="264" w:lineRule="auto"/>
    </w:pPr>
    <w:rPr>
      <w:rFonts w:ascii="Arial" w:eastAsiaTheme="minorEastAsia" w:hAnsi="Arial"/>
      <w:sz w:val="24"/>
      <w:szCs w:val="24"/>
    </w:rPr>
  </w:style>
  <w:style w:type="paragraph" w:customStyle="1" w:styleId="ColorfulShading-Accent1111">
    <w:name w:val="Colorful Shading - Accent 1111"/>
    <w:hidden/>
    <w:uiPriority w:val="99"/>
    <w:unhideWhenUsed/>
    <w:rsid w:val="00092D31"/>
    <w:pPr>
      <w:spacing w:after="120" w:line="264" w:lineRule="auto"/>
    </w:pPr>
    <w:rPr>
      <w:rFonts w:ascii="Arial" w:eastAsiaTheme="minorEastAsia" w:hAnsi="Arial"/>
      <w:sz w:val="24"/>
      <w:szCs w:val="24"/>
    </w:rPr>
  </w:style>
  <w:style w:type="paragraph" w:customStyle="1" w:styleId="ColorfulShading-Accent1211">
    <w:name w:val="Colorful Shading - Accent 1211"/>
    <w:hidden/>
    <w:uiPriority w:val="99"/>
    <w:semiHidden/>
    <w:rsid w:val="00092D31"/>
    <w:pPr>
      <w:spacing w:after="120" w:line="264" w:lineRule="auto"/>
    </w:pPr>
    <w:rPr>
      <w:rFonts w:ascii="Verdana" w:eastAsiaTheme="minorEastAsia" w:hAnsi="Verdana"/>
      <w:sz w:val="20"/>
      <w:szCs w:val="20"/>
    </w:rPr>
  </w:style>
  <w:style w:type="paragraph" w:customStyle="1" w:styleId="LightList-Accent3131">
    <w:name w:val="Light List - Accent 3131"/>
    <w:hidden/>
    <w:uiPriority w:val="99"/>
    <w:semiHidden/>
    <w:rsid w:val="00092D31"/>
    <w:pPr>
      <w:spacing w:after="120" w:line="264" w:lineRule="auto"/>
    </w:pPr>
    <w:rPr>
      <w:rFonts w:ascii="Arial" w:eastAsiaTheme="minorEastAsia" w:hAnsi="Arial"/>
      <w:sz w:val="24"/>
      <w:szCs w:val="24"/>
    </w:rPr>
  </w:style>
  <w:style w:type="paragraph" w:customStyle="1" w:styleId="LightList-Accent31121">
    <w:name w:val="Light List - Accent 31121"/>
    <w:hidden/>
    <w:uiPriority w:val="99"/>
    <w:semiHidden/>
    <w:rsid w:val="00092D31"/>
    <w:pPr>
      <w:spacing w:after="120" w:line="264" w:lineRule="auto"/>
    </w:pPr>
    <w:rPr>
      <w:rFonts w:ascii="Arial" w:eastAsiaTheme="minorEastAsia" w:hAnsi="Arial"/>
      <w:sz w:val="24"/>
      <w:szCs w:val="24"/>
    </w:rPr>
  </w:style>
  <w:style w:type="paragraph" w:customStyle="1" w:styleId="MediumList2-Accent2121">
    <w:name w:val="Medium List 2 - Accent 2121"/>
    <w:hidden/>
    <w:uiPriority w:val="99"/>
    <w:semiHidden/>
    <w:rsid w:val="00092D31"/>
    <w:pPr>
      <w:spacing w:after="120" w:line="264" w:lineRule="auto"/>
    </w:pPr>
    <w:rPr>
      <w:rFonts w:ascii="Arial" w:eastAsiaTheme="minorEastAsia" w:hAnsi="Arial"/>
      <w:sz w:val="24"/>
      <w:szCs w:val="24"/>
    </w:rPr>
  </w:style>
  <w:style w:type="paragraph" w:customStyle="1" w:styleId="MediumList2-Accent2221">
    <w:name w:val="Medium List 2 - Accent 2221"/>
    <w:hidden/>
    <w:uiPriority w:val="71"/>
    <w:unhideWhenUsed/>
    <w:rsid w:val="00092D31"/>
    <w:pPr>
      <w:spacing w:after="120" w:line="264" w:lineRule="auto"/>
    </w:pPr>
    <w:rPr>
      <w:rFonts w:ascii="Arial" w:eastAsiaTheme="minorEastAsia" w:hAnsi="Arial"/>
      <w:sz w:val="24"/>
      <w:szCs w:val="24"/>
    </w:rPr>
  </w:style>
  <w:style w:type="paragraph" w:customStyle="1" w:styleId="ColorfulShading-Accent1121">
    <w:name w:val="Colorful Shading - Accent 1121"/>
    <w:hidden/>
    <w:uiPriority w:val="99"/>
    <w:unhideWhenUsed/>
    <w:rsid w:val="00092D31"/>
    <w:pPr>
      <w:spacing w:after="120" w:line="264" w:lineRule="auto"/>
    </w:pPr>
    <w:rPr>
      <w:rFonts w:ascii="Arial" w:eastAsiaTheme="minorEastAsia" w:hAnsi="Arial"/>
      <w:sz w:val="24"/>
      <w:szCs w:val="24"/>
    </w:rPr>
  </w:style>
  <w:style w:type="paragraph" w:customStyle="1" w:styleId="ColorfulShading-Accent1221">
    <w:name w:val="Colorful Shading - Accent 1221"/>
    <w:hidden/>
    <w:uiPriority w:val="99"/>
    <w:semiHidden/>
    <w:rsid w:val="00092D31"/>
    <w:pPr>
      <w:spacing w:after="120" w:line="264" w:lineRule="auto"/>
    </w:pPr>
    <w:rPr>
      <w:rFonts w:ascii="Verdana" w:eastAsiaTheme="minorEastAsia" w:hAnsi="Verdana"/>
      <w:sz w:val="20"/>
      <w:szCs w:val="20"/>
    </w:rPr>
  </w:style>
  <w:style w:type="paragraph" w:styleId="MacroText">
    <w:name w:val="macro"/>
    <w:link w:val="MacroTextChar"/>
    <w:semiHidden/>
    <w:rsid w:val="00E71771"/>
    <w:pPr>
      <w:tabs>
        <w:tab w:val="left" w:pos="480"/>
        <w:tab w:val="left" w:pos="960"/>
        <w:tab w:val="left" w:pos="1440"/>
        <w:tab w:val="left" w:pos="1920"/>
        <w:tab w:val="left" w:pos="2400"/>
        <w:tab w:val="left" w:pos="2880"/>
        <w:tab w:val="left" w:pos="3360"/>
        <w:tab w:val="left" w:pos="3840"/>
        <w:tab w:val="left" w:pos="4320"/>
      </w:tabs>
      <w:spacing w:after="0" w:line="260" w:lineRule="atLeast"/>
    </w:pPr>
    <w:rPr>
      <w:rFonts w:ascii="Courier New" w:eastAsia="Times New Roman" w:hAnsi="Courier New" w:cs="Courier New"/>
      <w:sz w:val="18"/>
      <w:szCs w:val="20"/>
      <w:lang w:val="en-GB"/>
    </w:rPr>
  </w:style>
  <w:style w:type="character" w:customStyle="1" w:styleId="MacroTextChar">
    <w:name w:val="Macro Text Char"/>
    <w:basedOn w:val="DefaultParagraphFont"/>
    <w:link w:val="MacroText"/>
    <w:semiHidden/>
    <w:rsid w:val="00E71771"/>
    <w:rPr>
      <w:rFonts w:ascii="Courier New" w:eastAsia="Times New Roman" w:hAnsi="Courier New" w:cs="Courier New"/>
      <w:sz w:val="18"/>
      <w:szCs w:val="20"/>
      <w:lang w:val="en-GB"/>
    </w:rPr>
  </w:style>
  <w:style w:type="paragraph" w:styleId="z-BottomofForm">
    <w:name w:val="HTML Bottom of Form"/>
    <w:basedOn w:val="Normal"/>
    <w:next w:val="Normal"/>
    <w:link w:val="z-BottomofFormChar"/>
    <w:hidden/>
    <w:rsid w:val="00E71771"/>
    <w:pPr>
      <w:pBdr>
        <w:top w:val="single" w:sz="6" w:space="1" w:color="auto"/>
      </w:pBdr>
      <w:spacing w:after="0" w:line="260" w:lineRule="atLeast"/>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rsid w:val="00E71771"/>
    <w:rPr>
      <w:rFonts w:ascii="Arial" w:eastAsia="Times New Roman" w:hAnsi="Arial" w:cs="Arial"/>
      <w:vanish/>
      <w:sz w:val="16"/>
      <w:szCs w:val="16"/>
    </w:rPr>
  </w:style>
  <w:style w:type="paragraph" w:styleId="z-TopofForm">
    <w:name w:val="HTML Top of Form"/>
    <w:basedOn w:val="Normal"/>
    <w:next w:val="Normal"/>
    <w:link w:val="z-TopofFormChar"/>
    <w:hidden/>
    <w:rsid w:val="00E71771"/>
    <w:pPr>
      <w:pBdr>
        <w:bottom w:val="single" w:sz="6" w:space="1" w:color="auto"/>
      </w:pBdr>
      <w:spacing w:after="0" w:line="260" w:lineRule="atLeast"/>
      <w:jc w:val="center"/>
    </w:pPr>
    <w:rPr>
      <w:rFonts w:ascii="Arial" w:eastAsia="Times New Roman" w:hAnsi="Arial" w:cs="Arial"/>
      <w:vanish/>
      <w:sz w:val="16"/>
      <w:szCs w:val="16"/>
    </w:rPr>
  </w:style>
  <w:style w:type="character" w:customStyle="1" w:styleId="z-TopofFormChar">
    <w:name w:val="z-Top of Form Char"/>
    <w:basedOn w:val="DefaultParagraphFont"/>
    <w:link w:val="z-TopofForm"/>
    <w:rsid w:val="00E71771"/>
    <w:rPr>
      <w:rFonts w:ascii="Arial" w:eastAsia="Times New Roman" w:hAnsi="Arial" w:cs="Arial"/>
      <w:vanish/>
      <w:sz w:val="16"/>
      <w:szCs w:val="16"/>
    </w:rPr>
  </w:style>
  <w:style w:type="paragraph" w:customStyle="1" w:styleId="Default">
    <w:name w:val="Default"/>
    <w:semiHidden/>
    <w:rsid w:val="00E7177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link w:val="ListParagraph"/>
    <w:uiPriority w:val="34"/>
    <w:locked/>
    <w:rsid w:val="00782BA6"/>
    <w:rPr>
      <w:rFonts w:ascii="Arial" w:hAnsi="Arial"/>
      <w:color w:val="87189D"/>
      <w:sz w:val="18"/>
      <w:szCs w:val="18"/>
    </w:rPr>
  </w:style>
  <w:style w:type="paragraph" w:customStyle="1" w:styleId="LightList-Accent314">
    <w:name w:val="Light List - Accent 314"/>
    <w:hidden/>
    <w:uiPriority w:val="99"/>
    <w:semiHidden/>
    <w:rsid w:val="00EB6B1C"/>
    <w:pPr>
      <w:spacing w:after="120" w:line="264" w:lineRule="auto"/>
    </w:pPr>
    <w:rPr>
      <w:rFonts w:ascii="Arial" w:eastAsiaTheme="minorEastAsia" w:hAnsi="Arial"/>
      <w:sz w:val="24"/>
      <w:szCs w:val="24"/>
    </w:rPr>
  </w:style>
  <w:style w:type="paragraph" w:customStyle="1" w:styleId="LightList-Accent3113">
    <w:name w:val="Light List - Accent 3113"/>
    <w:hidden/>
    <w:uiPriority w:val="99"/>
    <w:semiHidden/>
    <w:rsid w:val="00EB6B1C"/>
    <w:pPr>
      <w:spacing w:after="120" w:line="264" w:lineRule="auto"/>
    </w:pPr>
    <w:rPr>
      <w:rFonts w:ascii="Arial" w:eastAsiaTheme="minorEastAsia" w:hAnsi="Arial"/>
      <w:sz w:val="24"/>
      <w:szCs w:val="24"/>
    </w:rPr>
  </w:style>
  <w:style w:type="paragraph" w:customStyle="1" w:styleId="MediumList2-Accent213">
    <w:name w:val="Medium List 2 - Accent 213"/>
    <w:hidden/>
    <w:uiPriority w:val="99"/>
    <w:semiHidden/>
    <w:rsid w:val="00EB6B1C"/>
    <w:pPr>
      <w:spacing w:after="120" w:line="264" w:lineRule="auto"/>
    </w:pPr>
    <w:rPr>
      <w:rFonts w:ascii="Arial" w:eastAsiaTheme="minorEastAsia" w:hAnsi="Arial"/>
      <w:sz w:val="24"/>
      <w:szCs w:val="24"/>
    </w:rPr>
  </w:style>
  <w:style w:type="paragraph" w:customStyle="1" w:styleId="MediumList2-Accent223">
    <w:name w:val="Medium List 2 - Accent 223"/>
    <w:hidden/>
    <w:uiPriority w:val="71"/>
    <w:unhideWhenUsed/>
    <w:rsid w:val="00EB6B1C"/>
    <w:pPr>
      <w:spacing w:after="120" w:line="264" w:lineRule="auto"/>
    </w:pPr>
    <w:rPr>
      <w:rFonts w:ascii="Arial" w:eastAsiaTheme="minorEastAsia" w:hAnsi="Arial"/>
      <w:sz w:val="24"/>
      <w:szCs w:val="24"/>
    </w:rPr>
  </w:style>
  <w:style w:type="paragraph" w:customStyle="1" w:styleId="ColorfulShading-Accent113">
    <w:name w:val="Colorful Shading - Accent 113"/>
    <w:hidden/>
    <w:uiPriority w:val="99"/>
    <w:unhideWhenUsed/>
    <w:rsid w:val="00EB6B1C"/>
    <w:pPr>
      <w:spacing w:after="120" w:line="264" w:lineRule="auto"/>
    </w:pPr>
    <w:rPr>
      <w:rFonts w:ascii="Arial" w:eastAsiaTheme="minorEastAsia" w:hAnsi="Arial"/>
      <w:sz w:val="24"/>
      <w:szCs w:val="24"/>
    </w:rPr>
  </w:style>
  <w:style w:type="paragraph" w:customStyle="1" w:styleId="ColorfulShading-Accent123">
    <w:name w:val="Colorful Shading - Accent 123"/>
    <w:hidden/>
    <w:uiPriority w:val="99"/>
    <w:semiHidden/>
    <w:rsid w:val="00EB6B1C"/>
    <w:pPr>
      <w:spacing w:after="120" w:line="264" w:lineRule="auto"/>
    </w:pPr>
    <w:rPr>
      <w:rFonts w:ascii="Verdana" w:eastAsiaTheme="minorEastAsia" w:hAnsi="Verdana"/>
      <w:sz w:val="20"/>
      <w:szCs w:val="20"/>
    </w:rPr>
  </w:style>
  <w:style w:type="paragraph" w:customStyle="1" w:styleId="LightList-Accent315">
    <w:name w:val="Light List - Accent 315"/>
    <w:hidden/>
    <w:uiPriority w:val="99"/>
    <w:semiHidden/>
    <w:rsid w:val="00C15C65"/>
    <w:pPr>
      <w:spacing w:after="120" w:line="264" w:lineRule="auto"/>
    </w:pPr>
    <w:rPr>
      <w:rFonts w:ascii="Arial" w:eastAsiaTheme="minorEastAsia" w:hAnsi="Arial"/>
      <w:sz w:val="24"/>
      <w:szCs w:val="24"/>
    </w:rPr>
  </w:style>
  <w:style w:type="paragraph" w:customStyle="1" w:styleId="LightList-Accent3114">
    <w:name w:val="Light List - Accent 3114"/>
    <w:hidden/>
    <w:uiPriority w:val="99"/>
    <w:semiHidden/>
    <w:rsid w:val="00C15C65"/>
    <w:pPr>
      <w:spacing w:after="120" w:line="264" w:lineRule="auto"/>
    </w:pPr>
    <w:rPr>
      <w:rFonts w:ascii="Arial" w:eastAsiaTheme="minorEastAsia" w:hAnsi="Arial"/>
      <w:sz w:val="24"/>
      <w:szCs w:val="24"/>
    </w:rPr>
  </w:style>
  <w:style w:type="paragraph" w:customStyle="1" w:styleId="MediumList2-Accent214">
    <w:name w:val="Medium List 2 - Accent 214"/>
    <w:hidden/>
    <w:uiPriority w:val="99"/>
    <w:semiHidden/>
    <w:rsid w:val="00C15C65"/>
    <w:pPr>
      <w:spacing w:after="120" w:line="264" w:lineRule="auto"/>
    </w:pPr>
    <w:rPr>
      <w:rFonts w:ascii="Arial" w:eastAsiaTheme="minorEastAsia" w:hAnsi="Arial"/>
      <w:sz w:val="24"/>
      <w:szCs w:val="24"/>
    </w:rPr>
  </w:style>
  <w:style w:type="paragraph" w:customStyle="1" w:styleId="MediumList2-Accent224">
    <w:name w:val="Medium List 2 - Accent 224"/>
    <w:hidden/>
    <w:uiPriority w:val="71"/>
    <w:unhideWhenUsed/>
    <w:rsid w:val="00C15C65"/>
    <w:pPr>
      <w:spacing w:after="120" w:line="264" w:lineRule="auto"/>
    </w:pPr>
    <w:rPr>
      <w:rFonts w:ascii="Arial" w:eastAsiaTheme="minorEastAsia" w:hAnsi="Arial"/>
      <w:sz w:val="24"/>
      <w:szCs w:val="24"/>
    </w:rPr>
  </w:style>
  <w:style w:type="paragraph" w:customStyle="1" w:styleId="ColorfulShading-Accent114">
    <w:name w:val="Colorful Shading - Accent 114"/>
    <w:hidden/>
    <w:uiPriority w:val="99"/>
    <w:unhideWhenUsed/>
    <w:rsid w:val="00C15C65"/>
    <w:pPr>
      <w:spacing w:after="120" w:line="264" w:lineRule="auto"/>
    </w:pPr>
    <w:rPr>
      <w:rFonts w:ascii="Arial" w:eastAsiaTheme="minorEastAsia" w:hAnsi="Arial"/>
      <w:sz w:val="24"/>
      <w:szCs w:val="24"/>
    </w:rPr>
  </w:style>
  <w:style w:type="paragraph" w:customStyle="1" w:styleId="ColorfulShading-Accent124">
    <w:name w:val="Colorful Shading - Accent 124"/>
    <w:hidden/>
    <w:uiPriority w:val="99"/>
    <w:semiHidden/>
    <w:rsid w:val="00C15C65"/>
    <w:pPr>
      <w:spacing w:after="120" w:line="264" w:lineRule="auto"/>
    </w:pPr>
    <w:rPr>
      <w:rFonts w:ascii="Verdana" w:eastAsiaTheme="minorEastAsia" w:hAnsi="Verdana"/>
      <w:sz w:val="20"/>
      <w:szCs w:val="20"/>
    </w:rPr>
  </w:style>
  <w:style w:type="paragraph" w:customStyle="1" w:styleId="ARtablesubhead">
    <w:name w:val="AR table subhead"/>
    <w:basedOn w:val="ARtabletext"/>
    <w:uiPriority w:val="3"/>
    <w:qFormat/>
    <w:rsid w:val="003C51B1"/>
    <w:rPr>
      <w:b/>
      <w:color w:val="0072CE"/>
    </w:rPr>
  </w:style>
  <w:style w:type="paragraph" w:customStyle="1" w:styleId="ARbulletafternumbers1">
    <w:name w:val="AR bullet after numbers 1"/>
    <w:basedOn w:val="Normal"/>
    <w:uiPriority w:val="4"/>
    <w:rsid w:val="008E679A"/>
    <w:pPr>
      <w:spacing w:after="40" w:line="270" w:lineRule="atLeast"/>
    </w:pPr>
    <w:rPr>
      <w:rFonts w:eastAsia="Times"/>
      <w:sz w:val="20"/>
      <w:szCs w:val="20"/>
      <w:lang w:eastAsia="en-AU"/>
    </w:rPr>
  </w:style>
  <w:style w:type="paragraph" w:customStyle="1" w:styleId="ARbulletafternumbers2">
    <w:name w:val="AR bullet after numbers 2"/>
    <w:basedOn w:val="Normal"/>
    <w:uiPriority w:val="99"/>
    <w:rsid w:val="008E679A"/>
    <w:pPr>
      <w:spacing w:after="40" w:line="270" w:lineRule="atLeast"/>
    </w:pPr>
    <w:rPr>
      <w:rFonts w:eastAsia="Times"/>
      <w:sz w:val="20"/>
      <w:szCs w:val="20"/>
      <w:lang w:eastAsia="en-AU"/>
    </w:rPr>
  </w:style>
  <w:style w:type="paragraph" w:customStyle="1" w:styleId="ARnumberdigitindent">
    <w:name w:val="AR number digit indent"/>
    <w:basedOn w:val="Normal"/>
    <w:uiPriority w:val="3"/>
    <w:rsid w:val="003C51B1"/>
    <w:pPr>
      <w:spacing w:after="120" w:line="270" w:lineRule="atLeast"/>
      <w:ind w:left="794" w:hanging="397"/>
    </w:pPr>
    <w:rPr>
      <w:rFonts w:ascii="Arial" w:eastAsia="Times" w:hAnsi="Arial" w:cs="Times New Roman"/>
      <w:sz w:val="20"/>
      <w:szCs w:val="20"/>
    </w:rPr>
  </w:style>
  <w:style w:type="paragraph" w:styleId="NormalIndent">
    <w:name w:val="Normal Indent"/>
    <w:basedOn w:val="Normal"/>
    <w:uiPriority w:val="4"/>
    <w:semiHidden/>
    <w:unhideWhenUsed/>
    <w:rsid w:val="009B0A5C"/>
    <w:pPr>
      <w:spacing w:after="120" w:line="264" w:lineRule="auto"/>
      <w:ind w:left="720"/>
    </w:pPr>
    <w:rPr>
      <w:rFonts w:eastAsiaTheme="minorEastAsia"/>
      <w:sz w:val="20"/>
      <w:szCs w:val="20"/>
      <w:lang w:eastAsia="en-AU"/>
    </w:rPr>
  </w:style>
  <w:style w:type="paragraph" w:customStyle="1" w:styleId="TableHeaderLevel1">
    <w:name w:val="Table Header Level 1"/>
    <w:basedOn w:val="Normal"/>
    <w:semiHidden/>
    <w:rsid w:val="009B0A5C"/>
    <w:pPr>
      <w:spacing w:after="120" w:line="264" w:lineRule="auto"/>
      <w:jc w:val="center"/>
    </w:pPr>
    <w:rPr>
      <w:rFonts w:ascii="Arial" w:eastAsiaTheme="minorEastAsia" w:hAnsi="Arial"/>
      <w:b/>
      <w:sz w:val="18"/>
      <w:szCs w:val="18"/>
      <w:lang w:eastAsia="en-AU"/>
    </w:rPr>
  </w:style>
  <w:style w:type="paragraph" w:customStyle="1" w:styleId="zcontents">
    <w:name w:val="zcontents"/>
    <w:basedOn w:val="Normal"/>
    <w:semiHidden/>
    <w:rsid w:val="009B0A5C"/>
    <w:pPr>
      <w:spacing w:after="260" w:line="240" w:lineRule="auto"/>
    </w:pPr>
    <w:rPr>
      <w:rFonts w:eastAsiaTheme="minorEastAsia"/>
      <w:b/>
      <w:sz w:val="32"/>
      <w:szCs w:val="20"/>
      <w:lang w:eastAsia="en-AU"/>
    </w:rPr>
  </w:style>
  <w:style w:type="numbering" w:customStyle="1" w:styleId="NoList1">
    <w:name w:val="No List1"/>
    <w:next w:val="NoList"/>
    <w:uiPriority w:val="99"/>
    <w:semiHidden/>
    <w:unhideWhenUsed/>
    <w:rsid w:val="009B0A5C"/>
  </w:style>
  <w:style w:type="numbering" w:customStyle="1" w:styleId="CurrentList1">
    <w:name w:val="Current List1"/>
    <w:rsid w:val="009B0A5C"/>
    <w:pPr>
      <w:numPr>
        <w:numId w:val="6"/>
      </w:numPr>
    </w:pPr>
  </w:style>
  <w:style w:type="numbering" w:customStyle="1" w:styleId="Style2">
    <w:name w:val="Style2"/>
    <w:rsid w:val="009B0A5C"/>
    <w:pPr>
      <w:numPr>
        <w:numId w:val="7"/>
      </w:numPr>
    </w:pPr>
  </w:style>
  <w:style w:type="numbering" w:customStyle="1" w:styleId="CurrentList2">
    <w:name w:val="Current List2"/>
    <w:rsid w:val="009B0A5C"/>
    <w:pPr>
      <w:numPr>
        <w:numId w:val="8"/>
      </w:numPr>
    </w:pPr>
  </w:style>
  <w:style w:type="table" w:customStyle="1" w:styleId="TableGrid10">
    <w:name w:val="Table Grid1"/>
    <w:basedOn w:val="TableNormal"/>
    <w:next w:val="TableGrid"/>
    <w:uiPriority w:val="99"/>
    <w:rsid w:val="009B0A5C"/>
    <w:pPr>
      <w:spacing w:after="120" w:line="264"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9B0A5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Grid2">
    <w:name w:val="Table Grid2"/>
    <w:basedOn w:val="TableNormal"/>
    <w:next w:val="TableGrid"/>
    <w:uiPriority w:val="59"/>
    <w:rsid w:val="009B0A5C"/>
    <w:pPr>
      <w:spacing w:after="120"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bullettimeline">
    <w:name w:val="AR bullet timeline"/>
    <w:basedOn w:val="ARbullet1"/>
    <w:uiPriority w:val="98"/>
    <w:rsid w:val="003C51B1"/>
    <w:pPr>
      <w:numPr>
        <w:numId w:val="19"/>
      </w:numPr>
      <w:spacing w:after="100" w:line="320" w:lineRule="atLeast"/>
    </w:pPr>
  </w:style>
  <w:style w:type="paragraph" w:customStyle="1" w:styleId="ARnumberalpha1">
    <w:name w:val="AR number alpha 1"/>
    <w:basedOn w:val="ARbody"/>
    <w:uiPriority w:val="3"/>
    <w:qFormat/>
    <w:rsid w:val="003C51B1"/>
    <w:pPr>
      <w:tabs>
        <w:tab w:val="num" w:pos="397"/>
      </w:tabs>
      <w:spacing w:after="40"/>
      <w:ind w:left="397" w:hanging="397"/>
    </w:pPr>
    <w:rPr>
      <w:rFonts w:eastAsia="Times New Roman"/>
      <w:szCs w:val="20"/>
    </w:rPr>
  </w:style>
  <w:style w:type="paragraph" w:customStyle="1" w:styleId="ARnumberalpha2">
    <w:name w:val="AR number alpha 2"/>
    <w:basedOn w:val="ARbody"/>
    <w:uiPriority w:val="98"/>
    <w:qFormat/>
    <w:rsid w:val="003C51B1"/>
    <w:pPr>
      <w:tabs>
        <w:tab w:val="num" w:pos="680"/>
      </w:tabs>
      <w:spacing w:after="40"/>
      <w:ind w:left="680" w:hanging="396"/>
    </w:pPr>
    <w:rPr>
      <w:rFonts w:eastAsia="Times New Roman"/>
      <w:szCs w:val="20"/>
    </w:rPr>
  </w:style>
  <w:style w:type="paragraph" w:customStyle="1" w:styleId="ARpublicationsubtitle">
    <w:name w:val="AR publication subtitle"/>
    <w:link w:val="ARpublicationsubtitleChar"/>
    <w:uiPriority w:val="99"/>
    <w:qFormat/>
    <w:rsid w:val="003C51B1"/>
    <w:pPr>
      <w:spacing w:after="120" w:line="264" w:lineRule="auto"/>
    </w:pPr>
    <w:rPr>
      <w:rFonts w:ascii="Arial" w:eastAsiaTheme="minorEastAsia" w:hAnsi="Arial"/>
      <w:bCs/>
      <w:color w:val="FFFFFF" w:themeColor="background1"/>
      <w:sz w:val="40"/>
      <w:szCs w:val="40"/>
    </w:rPr>
  </w:style>
  <w:style w:type="character" w:customStyle="1" w:styleId="ARpublicationsubtitleChar">
    <w:name w:val="AR publication subtitle Char"/>
    <w:link w:val="ARpublicationsubtitle"/>
    <w:uiPriority w:val="99"/>
    <w:rsid w:val="003C51B1"/>
    <w:rPr>
      <w:rFonts w:ascii="Arial" w:eastAsiaTheme="minorEastAsia" w:hAnsi="Arial"/>
      <w:bCs/>
      <w:color w:val="FFFFFF" w:themeColor="background1"/>
      <w:sz w:val="40"/>
      <w:szCs w:val="40"/>
    </w:rPr>
  </w:style>
  <w:style w:type="paragraph" w:customStyle="1" w:styleId="ARpublicationsubtitletitlepage">
    <w:name w:val="AR publication subtitle (title page)"/>
    <w:basedOn w:val="ARpublicationsubtitle"/>
    <w:uiPriority w:val="98"/>
    <w:rsid w:val="009B0A5C"/>
    <w:pPr>
      <w:spacing w:after="0" w:line="240" w:lineRule="auto"/>
      <w:ind w:left="1701"/>
    </w:pPr>
    <w:rPr>
      <w:rFonts w:eastAsia="Times New Roman" w:cs="Times New Roman"/>
      <w:color w:val="53565A"/>
      <w:sz w:val="34"/>
    </w:rPr>
  </w:style>
  <w:style w:type="paragraph" w:customStyle="1" w:styleId="ARpublicationtitletitlepage">
    <w:name w:val="AR publication title (title page)"/>
    <w:basedOn w:val="ARpublicationtitle"/>
    <w:uiPriority w:val="98"/>
    <w:rsid w:val="009B0A5C"/>
    <w:pPr>
      <w:spacing w:before="3000" w:line="240" w:lineRule="auto"/>
      <w:ind w:left="1701"/>
    </w:pPr>
    <w:rPr>
      <w:rFonts w:cs="Times New Roman"/>
      <w:b/>
      <w:noProof/>
      <w:color w:val="D50032"/>
    </w:rPr>
  </w:style>
  <w:style w:type="numbering" w:customStyle="1" w:styleId="Bullet">
    <w:name w:val="Bullet"/>
    <w:uiPriority w:val="99"/>
    <w:rsid w:val="009B0A5C"/>
    <w:pPr>
      <w:numPr>
        <w:numId w:val="9"/>
      </w:numPr>
    </w:pPr>
  </w:style>
  <w:style w:type="numbering" w:customStyle="1" w:styleId="Bullet1">
    <w:name w:val="Bullet1"/>
    <w:uiPriority w:val="99"/>
    <w:rsid w:val="009B0A5C"/>
  </w:style>
  <w:style w:type="numbering" w:customStyle="1" w:styleId="Bullets">
    <w:name w:val="Bullets"/>
    <w:rsid w:val="009B0A5C"/>
    <w:pPr>
      <w:numPr>
        <w:numId w:val="10"/>
      </w:numPr>
    </w:pPr>
  </w:style>
  <w:style w:type="numbering" w:customStyle="1" w:styleId="Bullets2and3">
    <w:name w:val="Bullets 2 and 3"/>
    <w:uiPriority w:val="99"/>
    <w:rsid w:val="009B0A5C"/>
    <w:pPr>
      <w:numPr>
        <w:numId w:val="11"/>
      </w:numPr>
    </w:pPr>
  </w:style>
  <w:style w:type="table" w:customStyle="1" w:styleId="Casestudy1">
    <w:name w:val="Case study1"/>
    <w:basedOn w:val="TableNormal"/>
    <w:rsid w:val="009B0A5C"/>
    <w:pPr>
      <w:spacing w:after="120" w:line="264" w:lineRule="auto"/>
    </w:pPr>
    <w:rPr>
      <w:rFonts w:eastAsiaTheme="minorEastAsia"/>
      <w:sz w:val="20"/>
      <w:szCs w:val="20"/>
      <w:lang w:eastAsia="en-AU"/>
    </w:rPr>
    <w:tblPr>
      <w:tblInd w:w="170" w:type="dxa"/>
      <w:tblBorders>
        <w:top w:val="single" w:sz="4" w:space="0" w:color="00866F"/>
        <w:left w:val="single" w:sz="4" w:space="0" w:color="00866F"/>
        <w:bottom w:val="single" w:sz="4" w:space="0" w:color="00866F"/>
        <w:right w:val="single" w:sz="4" w:space="0" w:color="00866F"/>
      </w:tblBorders>
      <w:tblCellMar>
        <w:top w:w="170" w:type="dxa"/>
        <w:left w:w="170" w:type="dxa"/>
        <w:bottom w:w="57" w:type="dxa"/>
        <w:right w:w="170" w:type="dxa"/>
      </w:tblCellMar>
    </w:tblPr>
    <w:tcPr>
      <w:shd w:val="clear" w:color="auto" w:fill="auto"/>
    </w:tcPr>
  </w:style>
  <w:style w:type="table" w:customStyle="1" w:styleId="DTFTable">
    <w:name w:val="DTF Table"/>
    <w:basedOn w:val="TableNormal"/>
    <w:uiPriority w:val="99"/>
    <w:rsid w:val="009B0A5C"/>
    <w:pPr>
      <w:spacing w:before="20" w:after="20" w:line="264" w:lineRule="auto"/>
      <w:jc w:val="right"/>
    </w:pPr>
    <w:rPr>
      <w:rFonts w:asciiTheme="majorHAnsi" w:hAnsiTheme="majorHAnsi"/>
      <w:sz w:val="17"/>
    </w:rPr>
    <w:tblPr>
      <w:tblStyleRowBandSize w:val="1"/>
      <w:tblStyleColBandSize w:val="1"/>
      <w:tblInd w:w="28" w:type="dxa"/>
      <w:tblBorders>
        <w:bottom w:val="single" w:sz="12" w:space="0" w:color="auto"/>
      </w:tblBorders>
      <w:tblCellMar>
        <w:left w:w="57" w:type="dxa"/>
        <w:right w:w="57" w:type="dxa"/>
      </w:tblCellMar>
    </w:tblPr>
    <w:trPr>
      <w:cantSplit/>
    </w:trPr>
    <w:tblStylePr w:type="firstRow">
      <w:rPr>
        <w:i/>
      </w:rPr>
      <w:tblPr/>
      <w:trPr>
        <w:cantSplit w:val="0"/>
      </w:trPr>
      <w:tcPr>
        <w:shd w:val="clear" w:color="auto" w:fill="000000" w:themeFill="text1"/>
        <w:vAlign w:val="bottom"/>
      </w:tcPr>
    </w:tblStylePr>
    <w:tblStylePr w:type="lastRow">
      <w:rPr>
        <w:b/>
      </w:rPr>
      <w:tblPr/>
      <w:tcPr>
        <w:tcBorders>
          <w:top w:val="single" w:sz="6" w:space="0" w:color="000000" w:themeColor="text1"/>
          <w:left w:val="nil"/>
          <w:bottom w:val="single" w:sz="12" w:space="0" w:color="000000" w:themeColor="text1"/>
          <w:right w:val="nil"/>
          <w:insideH w:val="nil"/>
          <w:insideV w:val="nil"/>
          <w:tl2br w:val="nil"/>
          <w:tr2bl w:val="nil"/>
        </w:tcBorders>
      </w:tcPr>
    </w:tblStylePr>
    <w:tblStylePr w:type="firstCol">
      <w:pPr>
        <w:wordWrap/>
        <w:spacing w:line="240" w:lineRule="auto"/>
        <w:ind w:leftChars="0" w:left="170" w:rightChars="0" w:right="0" w:firstLineChars="0" w:hanging="170"/>
        <w:jc w:val="left"/>
      </w:pPr>
    </w:tblStylePr>
    <w:tblStylePr w:type="lastCol">
      <w:rPr>
        <w:b/>
      </w:rPr>
      <w:tblPr/>
      <w:tcPr>
        <w:shd w:val="clear" w:color="auto" w:fill="F2F2F2" w:themeFill="background1" w:themeFillShade="F2"/>
      </w:tcPr>
    </w:tblStylePr>
    <w:tblStylePr w:type="band1Vert">
      <w:tblPr/>
      <w:tcPr>
        <w:shd w:val="clear" w:color="auto" w:fill="E7E6E6" w:themeFill="background2"/>
      </w:tcPr>
    </w:tblStylePr>
    <w:tblStylePr w:type="band1Horz">
      <w:tblPr/>
      <w:tcPr>
        <w:shd w:val="clear" w:color="auto" w:fill="E7E6E6" w:themeFill="background2"/>
      </w:tcPr>
    </w:tblStylePr>
    <w:tblStylePr w:type="band2Horz">
      <w:tblPr/>
      <w:tcPr>
        <w:shd w:val="clear" w:color="auto" w:fill="FFFFFF" w:themeFill="background1"/>
      </w:tcPr>
    </w:tblStylePr>
  </w:style>
  <w:style w:type="table" w:customStyle="1" w:styleId="GridTable1Light1">
    <w:name w:val="Grid Table 1 Light1"/>
    <w:basedOn w:val="TableNormal"/>
    <w:uiPriority w:val="46"/>
    <w:rsid w:val="009B0A5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1">
    <w:name w:val="Grid Table 41"/>
    <w:basedOn w:val="TableNormal"/>
    <w:uiPriority w:val="49"/>
    <w:rsid w:val="009B0A5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Healthtablenoverticals">
    <w:name w:val="Health table no verticals"/>
    <w:basedOn w:val="TableNormal"/>
    <w:uiPriority w:val="99"/>
    <w:rsid w:val="009B0A5C"/>
    <w:pPr>
      <w:spacing w:after="120" w:line="264" w:lineRule="auto"/>
    </w:pPr>
    <w:rPr>
      <w:rFonts w:eastAsiaTheme="minorEastAsia"/>
      <w:sz w:val="20"/>
      <w:szCs w:val="20"/>
      <w:lang w:eastAsia="en-AU"/>
    </w:rPr>
    <w:tblPr>
      <w:tblInd w:w="57" w:type="dxa"/>
      <w:tblBorders>
        <w:top w:val="single" w:sz="6" w:space="0" w:color="FFFFFF"/>
        <w:bottom w:val="single" w:sz="6" w:space="0" w:color="FFFFFF"/>
        <w:insideH w:val="single" w:sz="6" w:space="0" w:color="FFFFFF"/>
      </w:tblBorders>
      <w:tblCellMar>
        <w:left w:w="57" w:type="dxa"/>
        <w:right w:w="57" w:type="dxa"/>
      </w:tblCellMar>
    </w:tblPr>
    <w:trPr>
      <w:cantSplit/>
    </w:trPr>
    <w:tcPr>
      <w:shd w:val="clear" w:color="auto" w:fill="E6E6E6"/>
    </w:tcPr>
    <w:tblStylePr w:type="firstRow">
      <w:rPr>
        <w:rFonts w:cs="Times New Roman"/>
      </w:rPr>
      <w:tblPr/>
      <w:trPr>
        <w:cantSplit/>
        <w:tblHeader/>
      </w:trPr>
      <w:tcPr>
        <w:tcBorders>
          <w:right w:val="nil"/>
        </w:tcBorders>
        <w:shd w:val="clear" w:color="auto" w:fill="0073CF"/>
      </w:tcPr>
    </w:tblStylePr>
  </w:style>
  <w:style w:type="paragraph" w:styleId="Index1">
    <w:name w:val="index 1"/>
    <w:basedOn w:val="Normal"/>
    <w:next w:val="Normal"/>
    <w:autoRedefine/>
    <w:uiPriority w:val="98"/>
    <w:semiHidden/>
    <w:rsid w:val="009B0A5C"/>
    <w:pPr>
      <w:spacing w:after="120" w:line="264" w:lineRule="auto"/>
      <w:ind w:left="180" w:hanging="180"/>
    </w:pPr>
    <w:rPr>
      <w:rFonts w:ascii="Times New Roman" w:eastAsiaTheme="minorEastAsia" w:hAnsi="Times New Roman"/>
      <w:b/>
      <w:sz w:val="18"/>
      <w:szCs w:val="18"/>
      <w:lang w:eastAsia="en-AU"/>
    </w:rPr>
  </w:style>
  <w:style w:type="numbering" w:customStyle="1" w:styleId="LowerAlphaat0mm">
    <w:name w:val="LowerAlpha at 0mm"/>
    <w:rsid w:val="009B0A5C"/>
    <w:pPr>
      <w:numPr>
        <w:numId w:val="12"/>
      </w:numPr>
    </w:pPr>
  </w:style>
  <w:style w:type="numbering" w:customStyle="1" w:styleId="LowerAlphaat5mm">
    <w:name w:val="LowerAlpha at 5mm"/>
    <w:rsid w:val="009B0A5C"/>
    <w:pPr>
      <w:numPr>
        <w:numId w:val="13"/>
      </w:numPr>
    </w:pPr>
  </w:style>
  <w:style w:type="numbering" w:customStyle="1" w:styleId="LowerRomanat7mm">
    <w:name w:val="LowerRoman at 7mm"/>
    <w:rsid w:val="009B0A5C"/>
    <w:pPr>
      <w:numPr>
        <w:numId w:val="14"/>
      </w:numPr>
    </w:pPr>
  </w:style>
  <w:style w:type="numbering" w:customStyle="1" w:styleId="NoList11">
    <w:name w:val="No List11"/>
    <w:next w:val="NoList"/>
    <w:uiPriority w:val="99"/>
    <w:semiHidden/>
    <w:unhideWhenUsed/>
    <w:rsid w:val="009B0A5C"/>
  </w:style>
  <w:style w:type="numbering" w:customStyle="1" w:styleId="NoList2">
    <w:name w:val="No List2"/>
    <w:next w:val="NoList"/>
    <w:uiPriority w:val="99"/>
    <w:semiHidden/>
    <w:unhideWhenUsed/>
    <w:rsid w:val="009B0A5C"/>
  </w:style>
  <w:style w:type="numbering" w:customStyle="1" w:styleId="NoList3">
    <w:name w:val="No List3"/>
    <w:next w:val="NoList"/>
    <w:uiPriority w:val="99"/>
    <w:semiHidden/>
    <w:unhideWhenUsed/>
    <w:rsid w:val="009B0A5C"/>
  </w:style>
  <w:style w:type="numbering" w:customStyle="1" w:styleId="NoList4">
    <w:name w:val="No List4"/>
    <w:next w:val="NoList"/>
    <w:uiPriority w:val="99"/>
    <w:semiHidden/>
    <w:unhideWhenUsed/>
    <w:rsid w:val="009B0A5C"/>
  </w:style>
  <w:style w:type="numbering" w:customStyle="1" w:styleId="NoList5">
    <w:name w:val="No List5"/>
    <w:next w:val="NoList"/>
    <w:uiPriority w:val="99"/>
    <w:semiHidden/>
    <w:unhideWhenUsed/>
    <w:rsid w:val="009B0A5C"/>
  </w:style>
  <w:style w:type="paragraph" w:styleId="Quote">
    <w:name w:val="Quote"/>
    <w:basedOn w:val="Normal"/>
    <w:next w:val="Normal"/>
    <w:link w:val="QuoteChar"/>
    <w:uiPriority w:val="29"/>
    <w:qFormat/>
    <w:rsid w:val="009B0A5C"/>
    <w:pPr>
      <w:spacing w:before="160" w:after="120" w:line="264" w:lineRule="auto"/>
      <w:ind w:left="720" w:right="720"/>
    </w:pPr>
    <w:rPr>
      <w:rFonts w:eastAsiaTheme="minorEastAsia"/>
      <w:i/>
      <w:iCs/>
      <w:color w:val="404040" w:themeColor="text1" w:themeTint="BF"/>
      <w:sz w:val="20"/>
      <w:szCs w:val="20"/>
      <w:lang w:eastAsia="en-AU"/>
    </w:rPr>
  </w:style>
  <w:style w:type="character" w:customStyle="1" w:styleId="QuoteChar">
    <w:name w:val="Quote Char"/>
    <w:basedOn w:val="DefaultParagraphFont"/>
    <w:link w:val="Quote"/>
    <w:uiPriority w:val="29"/>
    <w:rsid w:val="00782BA6"/>
    <w:rPr>
      <w:rFonts w:eastAsiaTheme="minorEastAsia"/>
      <w:i/>
      <w:iCs/>
      <w:color w:val="404040" w:themeColor="text1" w:themeTint="BF"/>
      <w:sz w:val="20"/>
      <w:szCs w:val="20"/>
      <w:lang w:eastAsia="en-AU"/>
    </w:rPr>
  </w:style>
  <w:style w:type="table" w:customStyle="1" w:styleId="TableGrid3">
    <w:name w:val="Table Grid3"/>
    <w:basedOn w:val="TableNormal"/>
    <w:next w:val="TableGrid"/>
    <w:uiPriority w:val="59"/>
    <w:rsid w:val="009B0A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inline">
    <w:name w:val="Table inline"/>
    <w:basedOn w:val="Normal"/>
    <w:uiPriority w:val="99"/>
    <w:semiHidden/>
    <w:rsid w:val="009B0A5C"/>
    <w:pPr>
      <w:spacing w:after="120" w:line="270" w:lineRule="atLeast"/>
    </w:pPr>
    <w:rPr>
      <w:rFonts w:eastAsia="Times" w:cs="Arial"/>
      <w:sz w:val="20"/>
      <w:szCs w:val="20"/>
      <w:lang w:eastAsia="en-AU"/>
    </w:rPr>
  </w:style>
  <w:style w:type="paragraph" w:styleId="Title">
    <w:name w:val="Title"/>
    <w:basedOn w:val="Normal"/>
    <w:next w:val="Normal"/>
    <w:link w:val="TitleChar"/>
    <w:uiPriority w:val="98"/>
    <w:qFormat/>
    <w:rsid w:val="009B0A5C"/>
    <w:pPr>
      <w:spacing w:after="0" w:line="240" w:lineRule="auto"/>
      <w:contextualSpacing/>
    </w:pPr>
    <w:rPr>
      <w:rFonts w:asciiTheme="majorHAnsi" w:eastAsiaTheme="majorEastAsia" w:hAnsiTheme="majorHAnsi" w:cstheme="majorBidi"/>
      <w:color w:val="87189D" w:themeColor="accent1"/>
      <w:spacing w:val="-10"/>
      <w:sz w:val="56"/>
      <w:szCs w:val="56"/>
      <w:lang w:eastAsia="en-AU"/>
    </w:rPr>
  </w:style>
  <w:style w:type="character" w:customStyle="1" w:styleId="TitleChar">
    <w:name w:val="Title Char"/>
    <w:basedOn w:val="DefaultParagraphFont"/>
    <w:link w:val="Title"/>
    <w:uiPriority w:val="98"/>
    <w:rsid w:val="00782BA6"/>
    <w:rPr>
      <w:rFonts w:asciiTheme="majorHAnsi" w:eastAsiaTheme="majorEastAsia" w:hAnsiTheme="majorHAnsi" w:cstheme="majorBidi"/>
      <w:color w:val="87189D" w:themeColor="accent1"/>
      <w:spacing w:val="-10"/>
      <w:sz w:val="56"/>
      <w:szCs w:val="56"/>
      <w:lang w:eastAsia="en-AU"/>
    </w:rPr>
  </w:style>
  <w:style w:type="character" w:customStyle="1" w:styleId="UnresolvedMention1">
    <w:name w:val="Unresolved Mention1"/>
    <w:basedOn w:val="DefaultParagraphFont"/>
    <w:uiPriority w:val="99"/>
    <w:semiHidden/>
    <w:unhideWhenUsed/>
    <w:rsid w:val="009B0A5C"/>
    <w:rPr>
      <w:color w:val="808080"/>
      <w:shd w:val="clear" w:color="auto" w:fill="E6E6E6"/>
    </w:rPr>
  </w:style>
  <w:style w:type="character" w:customStyle="1" w:styleId="UnresolvedMention2">
    <w:name w:val="Unresolved Mention2"/>
    <w:basedOn w:val="DefaultParagraphFont"/>
    <w:uiPriority w:val="99"/>
    <w:semiHidden/>
    <w:unhideWhenUsed/>
    <w:rsid w:val="009B0A5C"/>
    <w:rPr>
      <w:color w:val="808080"/>
      <w:shd w:val="clear" w:color="auto" w:fill="E6E6E6"/>
    </w:rPr>
  </w:style>
  <w:style w:type="character" w:customStyle="1" w:styleId="UnresolvedMention3">
    <w:name w:val="Unresolved Mention3"/>
    <w:basedOn w:val="DefaultParagraphFont"/>
    <w:uiPriority w:val="99"/>
    <w:semiHidden/>
    <w:unhideWhenUsed/>
    <w:rsid w:val="009B0A5C"/>
    <w:rPr>
      <w:color w:val="605E5C"/>
      <w:shd w:val="clear" w:color="auto" w:fill="E1DFDD"/>
    </w:rPr>
  </w:style>
  <w:style w:type="character" w:customStyle="1" w:styleId="UnresolvedMention4">
    <w:name w:val="Unresolved Mention4"/>
    <w:basedOn w:val="DefaultParagraphFont"/>
    <w:uiPriority w:val="99"/>
    <w:semiHidden/>
    <w:unhideWhenUsed/>
    <w:rsid w:val="009B0A5C"/>
    <w:rPr>
      <w:color w:val="605E5C"/>
      <w:shd w:val="clear" w:color="auto" w:fill="E1DFDD"/>
    </w:rPr>
  </w:style>
  <w:style w:type="character" w:customStyle="1" w:styleId="UnresolvedMention5">
    <w:name w:val="Unresolved Mention5"/>
    <w:basedOn w:val="DefaultParagraphFont"/>
    <w:uiPriority w:val="99"/>
    <w:semiHidden/>
    <w:unhideWhenUsed/>
    <w:rsid w:val="009B0A5C"/>
    <w:rPr>
      <w:color w:val="605E5C"/>
      <w:shd w:val="clear" w:color="auto" w:fill="E1DFDD"/>
    </w:rPr>
  </w:style>
  <w:style w:type="numbering" w:customStyle="1" w:styleId="ZZBulletstimeline">
    <w:name w:val="ZZ Bullets timeline"/>
    <w:basedOn w:val="NoList"/>
    <w:uiPriority w:val="99"/>
    <w:rsid w:val="003C51B1"/>
    <w:pPr>
      <w:numPr>
        <w:numId w:val="19"/>
      </w:numPr>
    </w:pPr>
  </w:style>
  <w:style w:type="numbering" w:customStyle="1" w:styleId="ZZLoweralphainfintables">
    <w:name w:val="ZZ Lower alpha in fin tables"/>
    <w:rsid w:val="003C51B1"/>
    <w:pPr>
      <w:numPr>
        <w:numId w:val="21"/>
      </w:numPr>
    </w:pPr>
  </w:style>
  <w:style w:type="paragraph" w:customStyle="1" w:styleId="ARtablenumberalpha">
    <w:name w:val="AR table number alpha"/>
    <w:basedOn w:val="ARtablebullet1"/>
    <w:rsid w:val="003C51B1"/>
    <w:pPr>
      <w:numPr>
        <w:numId w:val="26"/>
      </w:numPr>
      <w:tabs>
        <w:tab w:val="num" w:pos="992"/>
      </w:tabs>
    </w:pPr>
    <w:rPr>
      <w:lang w:val="en-US"/>
    </w:rPr>
  </w:style>
  <w:style w:type="numbering" w:customStyle="1" w:styleId="ZZTablenumbersalpha">
    <w:name w:val="ZZ Table numbers alpha"/>
    <w:basedOn w:val="NoList"/>
    <w:uiPriority w:val="99"/>
    <w:rsid w:val="003C51B1"/>
    <w:pPr>
      <w:numPr>
        <w:numId w:val="26"/>
      </w:numPr>
    </w:pPr>
  </w:style>
  <w:style w:type="paragraph" w:customStyle="1" w:styleId="ARtablebluebold">
    <w:name w:val="AR table blue bold"/>
    <w:basedOn w:val="ARtabletext"/>
    <w:uiPriority w:val="3"/>
    <w:qFormat/>
    <w:rsid w:val="003C51B1"/>
    <w:pPr>
      <w:keepNext/>
      <w:spacing w:line="240" w:lineRule="auto"/>
    </w:pPr>
    <w:rPr>
      <w:b/>
      <w:color w:val="0072CE"/>
    </w:rPr>
  </w:style>
  <w:style w:type="paragraph" w:styleId="TOCHeading">
    <w:name w:val="TOC Heading"/>
    <w:basedOn w:val="Heading1"/>
    <w:next w:val="Normal"/>
    <w:uiPriority w:val="39"/>
    <w:unhideWhenUsed/>
    <w:qFormat/>
    <w:rsid w:val="00603E4B"/>
    <w:pPr>
      <w:outlineLvl w:val="9"/>
    </w:pPr>
  </w:style>
  <w:style w:type="paragraph" w:customStyle="1" w:styleId="ARtablepinkbold">
    <w:name w:val="AR table pink bold"/>
    <w:basedOn w:val="ARtabletext"/>
    <w:uiPriority w:val="3"/>
    <w:qFormat/>
    <w:rsid w:val="00603E4B"/>
    <w:pPr>
      <w:spacing w:line="240" w:lineRule="auto"/>
    </w:pPr>
    <w:rPr>
      <w:b/>
      <w:color w:val="D50032"/>
    </w:rPr>
  </w:style>
  <w:style w:type="table" w:styleId="ColorfulList">
    <w:name w:val="Colorful List"/>
    <w:basedOn w:val="TableNormal"/>
    <w:uiPriority w:val="98"/>
    <w:rsid w:val="00603E4B"/>
    <w:pPr>
      <w:spacing w:after="0" w:line="240" w:lineRule="auto"/>
    </w:pPr>
    <w:rPr>
      <w:rFonts w:ascii="Times New Roman" w:eastAsia="MS Mincho" w:hAnsi="Times New Roman" w:cs="Times New Roman"/>
      <w:color w:val="000000" w:themeColor="text1"/>
      <w:sz w:val="20"/>
      <w:szCs w:val="20"/>
      <w:lang w:val="en-GB" w:eastAsia="en-GB"/>
    </w:rPr>
    <w:tblPr>
      <w:tblStyleRowBandSize w:val="1"/>
      <w:tblStyleColBandSize w:val="1"/>
    </w:tblPr>
    <w:tcPr>
      <w:shd w:val="clear" w:color="auto" w:fill="E6E6E6" w:themeFill="text1" w:themeFillTint="19"/>
      <w:tcMar>
        <w:top w:w="57" w:type="dxa"/>
        <w:left w:w="57" w:type="dxa"/>
        <w:bottom w:w="57" w:type="dxa"/>
        <w:right w:w="57" w:type="dxa"/>
      </w:tcMar>
    </w:tcPr>
    <w:tblStylePr w:type="firstRow">
      <w:rPr>
        <w:rFonts w:asciiTheme="majorHAnsi" w:hAnsiTheme="majorHAnsi" w:cstheme="majorHAnsi"/>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MediumShading2-Accent3">
    <w:name w:val="Medium Shading 2 Accent 3"/>
    <w:basedOn w:val="TableNormal"/>
    <w:uiPriority w:val="98"/>
    <w:rsid w:val="00603E4B"/>
    <w:pPr>
      <w:spacing w:after="0" w:line="240" w:lineRule="auto"/>
    </w:pPr>
    <w:rPr>
      <w:rFonts w:ascii="Times New Roman" w:eastAsia="MS Mincho" w:hAnsi="Times New Roman" w:cs="Times New Roman"/>
      <w:sz w:val="20"/>
      <w:szCs w:val="20"/>
      <w:lang w:val="en-GB" w:eastAsia="en-GB"/>
    </w:rPr>
    <w:tblPr>
      <w:tblStyleRowBandSize w:val="1"/>
      <w:tblStyleColBandSize w:val="1"/>
      <w:tblBorders>
        <w:top w:val="single" w:sz="18" w:space="0" w:color="auto"/>
        <w:bottom w:val="single" w:sz="18" w:space="0" w:color="auto"/>
      </w:tblBorders>
    </w:tblPr>
    <w:tcPr>
      <w:tcMar>
        <w:top w:w="57" w:type="dxa"/>
        <w:left w:w="57" w:type="dxa"/>
        <w:bottom w:w="57" w:type="dxa"/>
        <w:right w:w="57" w:type="dxa"/>
      </w:tcMar>
    </w:tcPr>
    <w:tblStylePr w:type="firstRow">
      <w:pPr>
        <w:spacing w:before="0" w:after="0" w:line="240" w:lineRule="auto"/>
      </w:pPr>
      <w:rPr>
        <w:rFonts w:asciiTheme="majorHAnsi" w:hAnsiTheme="majorHAnsi" w:cstheme="majorHAnsi"/>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Rintrobullet">
    <w:name w:val="AR intro bullet"/>
    <w:basedOn w:val="ARintro"/>
    <w:qFormat/>
    <w:rsid w:val="003C51B1"/>
    <w:pPr>
      <w:numPr>
        <w:numId w:val="20"/>
      </w:numPr>
    </w:pPr>
  </w:style>
  <w:style w:type="numbering" w:customStyle="1" w:styleId="ZZIntrobullets">
    <w:name w:val="ZZ Intro bullets"/>
    <w:basedOn w:val="NoList"/>
    <w:uiPriority w:val="99"/>
    <w:rsid w:val="003C51B1"/>
    <w:pPr>
      <w:numPr>
        <w:numId w:val="20"/>
      </w:numPr>
    </w:pPr>
  </w:style>
  <w:style w:type="paragraph" w:customStyle="1" w:styleId="Heading3disclosureindex">
    <w:name w:val="Heading 3 disclosure index"/>
    <w:basedOn w:val="Heading5"/>
    <w:rsid w:val="007C05BC"/>
    <w:pPr>
      <w:outlineLvl w:val="2"/>
    </w:pPr>
  </w:style>
  <w:style w:type="paragraph" w:customStyle="1" w:styleId="ARheader">
    <w:name w:val="AR header"/>
    <w:basedOn w:val="ARfooter"/>
    <w:rsid w:val="003C51B1"/>
    <w:rPr>
      <w:b/>
      <w:color w:val="53565A"/>
    </w:rPr>
  </w:style>
  <w:style w:type="paragraph" w:customStyle="1" w:styleId="ARfinbody">
    <w:name w:val="AR fin body"/>
    <w:basedOn w:val="Normal"/>
    <w:qFormat/>
    <w:rsid w:val="007C0455"/>
    <w:pPr>
      <w:suppressAutoHyphens/>
      <w:autoSpaceDE w:val="0"/>
      <w:autoSpaceDN w:val="0"/>
      <w:adjustRightInd w:val="0"/>
      <w:spacing w:after="60" w:line="264" w:lineRule="auto"/>
      <w:textAlignment w:val="center"/>
    </w:pPr>
    <w:rPr>
      <w:rFonts w:ascii="Arial" w:eastAsiaTheme="minorEastAsia" w:hAnsi="Arial" w:cs="ArialMT"/>
      <w:color w:val="000000"/>
      <w:sz w:val="18"/>
      <w:szCs w:val="16"/>
      <w:lang w:eastAsia="en-AU"/>
    </w:rPr>
  </w:style>
  <w:style w:type="table" w:customStyle="1" w:styleId="TableGrid4">
    <w:name w:val="Table Grid4"/>
    <w:basedOn w:val="TableNormal"/>
    <w:next w:val="TableGrid"/>
    <w:uiPriority w:val="59"/>
    <w:rsid w:val="00FC6F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casestudysubhead">
    <w:name w:val="AR case study subhead"/>
    <w:next w:val="Normal"/>
    <w:link w:val="ARcasestudysubheadChar"/>
    <w:uiPriority w:val="99"/>
    <w:rsid w:val="003C51B1"/>
    <w:pPr>
      <w:keepNext/>
      <w:keepLines/>
      <w:spacing w:after="60" w:line="250" w:lineRule="atLeast"/>
      <w:ind w:right="170"/>
    </w:pPr>
    <w:rPr>
      <w:rFonts w:ascii="Arial" w:eastAsia="MS Mincho" w:hAnsi="Arial" w:cs="Times New Roman"/>
      <w:b/>
      <w:bCs/>
      <w:color w:val="0072CE"/>
      <w:sz w:val="20"/>
      <w:szCs w:val="21"/>
      <w:lang w:val="fr-FR"/>
    </w:rPr>
  </w:style>
  <w:style w:type="character" w:customStyle="1" w:styleId="ARcasestudysubheadChar">
    <w:name w:val="AR case study subhead Char"/>
    <w:link w:val="ARcasestudysubhead"/>
    <w:uiPriority w:val="99"/>
    <w:rsid w:val="003C51B1"/>
    <w:rPr>
      <w:rFonts w:ascii="Arial" w:eastAsia="MS Mincho" w:hAnsi="Arial" w:cs="Times New Roman"/>
      <w:b/>
      <w:bCs/>
      <w:color w:val="0072CE"/>
      <w:sz w:val="20"/>
      <w:szCs w:val="21"/>
      <w:lang w:val="fr-FR"/>
    </w:rPr>
  </w:style>
  <w:style w:type="paragraph" w:customStyle="1" w:styleId="ARcasestudytext">
    <w:name w:val="AR case study text"/>
    <w:link w:val="ARcasestudytextChar"/>
    <w:uiPriority w:val="99"/>
    <w:rsid w:val="003C51B1"/>
    <w:pPr>
      <w:spacing w:after="120" w:line="260" w:lineRule="atLeast"/>
    </w:pPr>
    <w:rPr>
      <w:rFonts w:ascii="Arial" w:eastAsia="Times" w:hAnsi="Arial" w:cs="Arial"/>
      <w:color w:val="53565A"/>
      <w:sz w:val="20"/>
      <w:szCs w:val="24"/>
      <w:lang w:eastAsia="en-AU"/>
    </w:rPr>
  </w:style>
  <w:style w:type="character" w:customStyle="1" w:styleId="ARcasestudytextChar">
    <w:name w:val="AR case study text Char"/>
    <w:link w:val="ARcasestudytext"/>
    <w:uiPriority w:val="99"/>
    <w:rsid w:val="003C51B1"/>
    <w:rPr>
      <w:rFonts w:ascii="Arial" w:eastAsia="Times" w:hAnsi="Arial" w:cs="Arial"/>
      <w:color w:val="53565A"/>
      <w:sz w:val="20"/>
      <w:szCs w:val="24"/>
      <w:lang w:eastAsia="en-AU"/>
    </w:rPr>
  </w:style>
  <w:style w:type="character" w:customStyle="1" w:styleId="ARgreyfontinH5">
    <w:name w:val="AR grey font in H5"/>
    <w:basedOn w:val="DefaultParagraphFont"/>
    <w:uiPriority w:val="1"/>
    <w:rsid w:val="003C51B1"/>
    <w:rPr>
      <w:rFonts w:cs="Arial"/>
      <w:b w:val="0"/>
      <w:color w:val="53565A"/>
      <w:sz w:val="20"/>
      <w:szCs w:val="20"/>
    </w:rPr>
  </w:style>
  <w:style w:type="paragraph" w:customStyle="1" w:styleId="ARtabletextcentre">
    <w:name w:val="AR table text centre"/>
    <w:basedOn w:val="ARtabletext"/>
    <w:rsid w:val="003C51B1"/>
    <w:pPr>
      <w:jc w:val="center"/>
    </w:pPr>
  </w:style>
  <w:style w:type="paragraph" w:customStyle="1" w:styleId="ARtablefootnotealpha">
    <w:name w:val="AR table footnote alpha"/>
    <w:basedOn w:val="ARtablefootnote"/>
    <w:rsid w:val="00934A0A"/>
    <w:pPr>
      <w:numPr>
        <w:numId w:val="27"/>
      </w:numPr>
    </w:pPr>
    <w:rPr>
      <w:lang w:eastAsia="en-AU"/>
    </w:rPr>
  </w:style>
  <w:style w:type="character" w:customStyle="1" w:styleId="UnresolvedMention6">
    <w:name w:val="Unresolved Mention6"/>
    <w:basedOn w:val="DefaultParagraphFont"/>
    <w:uiPriority w:val="99"/>
    <w:unhideWhenUsed/>
    <w:rsid w:val="00E62F5E"/>
    <w:rPr>
      <w:color w:val="605E5C"/>
      <w:shd w:val="clear" w:color="auto" w:fill="E1DFDD"/>
    </w:rPr>
  </w:style>
  <w:style w:type="numbering" w:customStyle="1" w:styleId="ZZTablefootnotealpha">
    <w:name w:val="ZZ Table footnote alpha"/>
    <w:basedOn w:val="NoList"/>
    <w:uiPriority w:val="99"/>
    <w:rsid w:val="00934A0A"/>
    <w:pPr>
      <w:numPr>
        <w:numId w:val="27"/>
      </w:numPr>
    </w:pPr>
  </w:style>
  <w:style w:type="paragraph" w:customStyle="1" w:styleId="ARfinbullet2">
    <w:name w:val="AR fin bullet 2"/>
    <w:basedOn w:val="ARfinbody"/>
    <w:uiPriority w:val="98"/>
    <w:qFormat/>
    <w:rsid w:val="007C0455"/>
    <w:pPr>
      <w:numPr>
        <w:ilvl w:val="1"/>
        <w:numId w:val="28"/>
      </w:numPr>
    </w:pPr>
  </w:style>
  <w:style w:type="paragraph" w:customStyle="1" w:styleId="ARfintablecolheadcentre">
    <w:name w:val="AR fin table col head centre"/>
    <w:basedOn w:val="Normal"/>
    <w:qFormat/>
    <w:rsid w:val="007C0455"/>
    <w:pPr>
      <w:spacing w:before="40" w:after="40" w:line="240" w:lineRule="auto"/>
      <w:jc w:val="center"/>
    </w:pPr>
    <w:rPr>
      <w:rFonts w:ascii="Arial" w:eastAsiaTheme="minorEastAsia" w:hAnsi="Arial"/>
      <w:b/>
      <w:sz w:val="18"/>
      <w:szCs w:val="16"/>
      <w:lang w:eastAsia="en-AU"/>
    </w:rPr>
  </w:style>
  <w:style w:type="paragraph" w:customStyle="1" w:styleId="ARfintablebodyindent">
    <w:name w:val="AR fin table body indent"/>
    <w:basedOn w:val="ARfintablebody"/>
    <w:uiPriority w:val="8"/>
    <w:rsid w:val="007C0455"/>
    <w:pPr>
      <w:ind w:left="227"/>
    </w:pPr>
  </w:style>
  <w:style w:type="paragraph" w:customStyle="1" w:styleId="ARfintablecolhead">
    <w:name w:val="AR fin table col head"/>
    <w:basedOn w:val="ARfintablecolheadright"/>
    <w:uiPriority w:val="1"/>
    <w:qFormat/>
    <w:rsid w:val="007C0455"/>
    <w:pPr>
      <w:jc w:val="left"/>
    </w:pPr>
  </w:style>
  <w:style w:type="paragraph" w:customStyle="1" w:styleId="ARfintablebody">
    <w:name w:val="AR fin table body"/>
    <w:qFormat/>
    <w:rsid w:val="007C0455"/>
    <w:pPr>
      <w:suppressAutoHyphens/>
      <w:spacing w:before="40" w:after="20" w:line="264" w:lineRule="auto"/>
      <w:ind w:right="113"/>
    </w:pPr>
    <w:rPr>
      <w:rFonts w:ascii="Arial" w:eastAsia="MS Mincho" w:hAnsi="Arial" w:cs="Arial"/>
      <w:color w:val="000000"/>
      <w:sz w:val="18"/>
      <w:szCs w:val="16"/>
      <w:lang w:eastAsia="en-AU"/>
    </w:rPr>
  </w:style>
  <w:style w:type="paragraph" w:customStyle="1" w:styleId="ARfintablebodybold">
    <w:name w:val="AR fin table body bold"/>
    <w:basedOn w:val="ARfintablebody"/>
    <w:uiPriority w:val="99"/>
    <w:rsid w:val="007C0455"/>
    <w:rPr>
      <w:rFonts w:cs="Arial-BoldMT"/>
      <w:b/>
      <w:bCs/>
    </w:rPr>
  </w:style>
  <w:style w:type="paragraph" w:customStyle="1" w:styleId="ARfintableboldsubhead">
    <w:name w:val="AR fin table bold subhead"/>
    <w:basedOn w:val="ARfintablebody"/>
    <w:uiPriority w:val="99"/>
    <w:rsid w:val="007C0455"/>
    <w:pPr>
      <w:spacing w:before="160"/>
    </w:pPr>
    <w:rPr>
      <w:b/>
      <w:szCs w:val="18"/>
    </w:rPr>
  </w:style>
  <w:style w:type="paragraph" w:customStyle="1" w:styleId="ARfintablefootnote">
    <w:name w:val="AR fin table footnote"/>
    <w:basedOn w:val="Normal"/>
    <w:qFormat/>
    <w:rsid w:val="007C0455"/>
    <w:pPr>
      <w:spacing w:before="60" w:after="60" w:line="180" w:lineRule="atLeast"/>
    </w:pPr>
    <w:rPr>
      <w:rFonts w:ascii="Arial" w:eastAsia="Times New Roman" w:hAnsi="Arial" w:cs="Times New Roman"/>
      <w:color w:val="000000"/>
      <w:sz w:val="16"/>
      <w:szCs w:val="14"/>
    </w:rPr>
  </w:style>
  <w:style w:type="paragraph" w:customStyle="1" w:styleId="ARfintablebodyright">
    <w:name w:val="AR fin table body right"/>
    <w:basedOn w:val="ARfintablebody"/>
    <w:uiPriority w:val="99"/>
    <w:qFormat/>
    <w:rsid w:val="007C0455"/>
    <w:pPr>
      <w:jc w:val="right"/>
    </w:pPr>
  </w:style>
  <w:style w:type="paragraph" w:customStyle="1" w:styleId="ARfintablecolheadright">
    <w:name w:val="AR fin table col head right"/>
    <w:basedOn w:val="Normal"/>
    <w:uiPriority w:val="1"/>
    <w:qFormat/>
    <w:rsid w:val="007C0455"/>
    <w:pPr>
      <w:spacing w:before="40" w:after="40" w:line="240" w:lineRule="auto"/>
      <w:ind w:right="113"/>
      <w:jc w:val="right"/>
    </w:pPr>
    <w:rPr>
      <w:rFonts w:ascii="Arial" w:eastAsiaTheme="minorEastAsia" w:hAnsi="Arial"/>
      <w:b/>
      <w:sz w:val="18"/>
      <w:szCs w:val="16"/>
      <w:lang w:eastAsia="en-AU"/>
    </w:rPr>
  </w:style>
  <w:style w:type="paragraph" w:customStyle="1" w:styleId="ARfintablefootnoteindent">
    <w:name w:val="AR fin table footnote indent"/>
    <w:link w:val="ARfintablefootnoteindentChar"/>
    <w:qFormat/>
    <w:rsid w:val="007C0455"/>
    <w:pPr>
      <w:spacing w:before="40" w:after="40" w:line="180" w:lineRule="atLeast"/>
      <w:ind w:left="284" w:hanging="284"/>
    </w:pPr>
    <w:rPr>
      <w:rFonts w:ascii="Arial" w:eastAsiaTheme="minorEastAsia" w:hAnsi="Arial"/>
      <w:color w:val="000000"/>
      <w:sz w:val="16"/>
      <w:szCs w:val="14"/>
      <w:lang w:eastAsia="en-AU"/>
    </w:rPr>
  </w:style>
  <w:style w:type="character" w:customStyle="1" w:styleId="ARfintablefootnoteindentChar">
    <w:name w:val="AR fin table footnote indent Char"/>
    <w:link w:val="ARfintablefootnoteindent"/>
    <w:rsid w:val="007C0455"/>
    <w:rPr>
      <w:rFonts w:ascii="Arial" w:eastAsiaTheme="minorEastAsia" w:hAnsi="Arial"/>
      <w:color w:val="000000"/>
      <w:sz w:val="16"/>
      <w:szCs w:val="14"/>
      <w:lang w:eastAsia="en-AU"/>
    </w:rPr>
  </w:style>
  <w:style w:type="paragraph" w:customStyle="1" w:styleId="ARfinbullet1">
    <w:name w:val="AR fin bullet 1"/>
    <w:basedOn w:val="ARfinbody"/>
    <w:qFormat/>
    <w:rsid w:val="007C0455"/>
    <w:pPr>
      <w:numPr>
        <w:numId w:val="28"/>
      </w:numPr>
    </w:pPr>
    <w:rPr>
      <w:rFonts w:eastAsia="Verdana"/>
    </w:rPr>
  </w:style>
  <w:style w:type="paragraph" w:customStyle="1" w:styleId="ARfinbodyaftertable">
    <w:name w:val="AR fin body after table"/>
    <w:basedOn w:val="ARfintablebody"/>
    <w:uiPriority w:val="98"/>
    <w:qFormat/>
    <w:rsid w:val="007C0455"/>
    <w:pPr>
      <w:spacing w:before="160" w:after="60"/>
    </w:pPr>
  </w:style>
  <w:style w:type="paragraph" w:customStyle="1" w:styleId="ARfinnumberalpha1">
    <w:name w:val="AR fin number alpha 1"/>
    <w:basedOn w:val="ARfinbody"/>
    <w:uiPriority w:val="98"/>
    <w:rsid w:val="007C0455"/>
  </w:style>
  <w:style w:type="paragraph" w:customStyle="1" w:styleId="ARfinstructure1">
    <w:name w:val="AR fin structure 1"/>
    <w:basedOn w:val="ARfinbody"/>
    <w:uiPriority w:val="98"/>
    <w:qFormat/>
    <w:rsid w:val="007C0455"/>
    <w:pPr>
      <w:spacing w:after="40"/>
      <w:ind w:left="567" w:hanging="567"/>
    </w:pPr>
  </w:style>
  <w:style w:type="paragraph" w:customStyle="1" w:styleId="ARfinstructure2">
    <w:name w:val="AR fin structure 2"/>
    <w:basedOn w:val="ARfinbody"/>
    <w:uiPriority w:val="98"/>
    <w:qFormat/>
    <w:rsid w:val="007C0455"/>
    <w:pPr>
      <w:spacing w:after="40"/>
      <w:ind w:left="1247" w:hanging="680"/>
    </w:pPr>
  </w:style>
  <w:style w:type="paragraph" w:customStyle="1" w:styleId="ARfintablebullet1">
    <w:name w:val="AR fin table bullet 1"/>
    <w:basedOn w:val="ARfintablebody"/>
    <w:uiPriority w:val="98"/>
    <w:rsid w:val="007C0455"/>
    <w:pPr>
      <w:ind w:left="170" w:hanging="170"/>
    </w:pPr>
  </w:style>
  <w:style w:type="paragraph" w:customStyle="1" w:styleId="ARfintablebullet2">
    <w:name w:val="AR fin table bullet 2"/>
    <w:basedOn w:val="Normal"/>
    <w:uiPriority w:val="98"/>
    <w:rsid w:val="007C0455"/>
    <w:pPr>
      <w:tabs>
        <w:tab w:val="num" w:pos="170"/>
      </w:tabs>
      <w:suppressAutoHyphens/>
      <w:spacing w:before="40" w:after="20" w:line="264" w:lineRule="auto"/>
      <w:ind w:left="340" w:right="113" w:hanging="170"/>
    </w:pPr>
    <w:rPr>
      <w:rFonts w:eastAsia="MS Mincho" w:cs="Arial"/>
      <w:color w:val="000000"/>
      <w:sz w:val="16"/>
      <w:szCs w:val="16"/>
      <w:lang w:eastAsia="en-AU"/>
    </w:rPr>
  </w:style>
  <w:style w:type="paragraph" w:customStyle="1" w:styleId="ARfinnumberroman2">
    <w:name w:val="AR fin number roman 2"/>
    <w:basedOn w:val="ARfinbody"/>
    <w:uiPriority w:val="98"/>
    <w:rsid w:val="007C0455"/>
  </w:style>
  <w:style w:type="paragraph" w:customStyle="1" w:styleId="ARfintablebodyrightbold">
    <w:name w:val="AR fin table body right bold"/>
    <w:basedOn w:val="ARfintablebodyright"/>
    <w:uiPriority w:val="98"/>
    <w:rsid w:val="007C0455"/>
    <w:rPr>
      <w:b/>
    </w:rPr>
  </w:style>
  <w:style w:type="paragraph" w:customStyle="1" w:styleId="ARfinbodylargespace">
    <w:name w:val="AR fin body large space"/>
    <w:basedOn w:val="ARfinbody"/>
    <w:uiPriority w:val="98"/>
    <w:qFormat/>
    <w:rsid w:val="007C0455"/>
    <w:pPr>
      <w:spacing w:after="160"/>
    </w:pPr>
    <w:rPr>
      <w:rFonts w:cs="Arial"/>
    </w:rPr>
  </w:style>
  <w:style w:type="paragraph" w:customStyle="1" w:styleId="ARfintabledashindent">
    <w:name w:val="AR fin table dash indent"/>
    <w:basedOn w:val="ARfintablebody"/>
    <w:uiPriority w:val="98"/>
    <w:rsid w:val="007C0455"/>
    <w:pPr>
      <w:ind w:left="567" w:hanging="227"/>
    </w:pPr>
  </w:style>
  <w:style w:type="paragraph" w:customStyle="1" w:styleId="ARfinnumberalpha2">
    <w:name w:val="AR fin number alpha 2"/>
    <w:basedOn w:val="ARfinbody"/>
    <w:uiPriority w:val="98"/>
    <w:qFormat/>
    <w:rsid w:val="007C0455"/>
    <w:pPr>
      <w:tabs>
        <w:tab w:val="num" w:pos="567"/>
      </w:tabs>
      <w:ind w:left="567" w:hanging="283"/>
    </w:pPr>
  </w:style>
  <w:style w:type="paragraph" w:customStyle="1" w:styleId="ARfinbodyindent">
    <w:name w:val="AR fin body indent"/>
    <w:basedOn w:val="ARfinbody"/>
    <w:rsid w:val="007C0455"/>
    <w:pPr>
      <w:ind w:left="284"/>
    </w:pPr>
  </w:style>
  <w:style w:type="numbering" w:customStyle="1" w:styleId="ZZFinnumbersalpha">
    <w:name w:val="ZZ Fin numbers alpha"/>
    <w:basedOn w:val="ARnumberedparas"/>
    <w:uiPriority w:val="99"/>
    <w:rsid w:val="007C0455"/>
    <w:pPr>
      <w:numPr>
        <w:numId w:val="29"/>
      </w:numPr>
    </w:pPr>
  </w:style>
  <w:style w:type="paragraph" w:customStyle="1" w:styleId="ARfintablebodycentrebold">
    <w:name w:val="AR fin table body centre bold"/>
    <w:basedOn w:val="ARfintablebodybold"/>
    <w:rsid w:val="004629BF"/>
    <w:pPr>
      <w:ind w:right="0"/>
      <w:jc w:val="center"/>
    </w:pPr>
  </w:style>
  <w:style w:type="character" w:customStyle="1" w:styleId="UnresolvedMention7">
    <w:name w:val="Unresolved Mention7"/>
    <w:basedOn w:val="DefaultParagraphFont"/>
    <w:uiPriority w:val="99"/>
    <w:semiHidden/>
    <w:unhideWhenUsed/>
    <w:rsid w:val="00E26F01"/>
    <w:rPr>
      <w:color w:val="605E5C"/>
      <w:shd w:val="clear" w:color="auto" w:fill="E1DFDD"/>
    </w:rPr>
  </w:style>
  <w:style w:type="paragraph" w:customStyle="1" w:styleId="Heading2Financials">
    <w:name w:val="Heading 2 Financials"/>
    <w:basedOn w:val="Heading2"/>
    <w:rsid w:val="005F4A7E"/>
  </w:style>
  <w:style w:type="character" w:customStyle="1" w:styleId="Mention1">
    <w:name w:val="Mention1"/>
    <w:basedOn w:val="DefaultParagraphFont"/>
    <w:uiPriority w:val="99"/>
    <w:unhideWhenUsed/>
    <w:rsid w:val="00496244"/>
    <w:rPr>
      <w:color w:val="2B579A"/>
      <w:shd w:val="clear" w:color="auto" w:fill="E1DFDD"/>
    </w:rPr>
  </w:style>
  <w:style w:type="paragraph" w:customStyle="1" w:styleId="Heading3forTOC">
    <w:name w:val="Heading 3 for TOC"/>
    <w:basedOn w:val="Heading3"/>
    <w:rsid w:val="00395D6A"/>
    <w:pPr>
      <w:spacing w:before="0"/>
    </w:pPr>
  </w:style>
  <w:style w:type="character" w:styleId="UnresolvedMention">
    <w:name w:val="Unresolved Mention"/>
    <w:basedOn w:val="DefaultParagraphFont"/>
    <w:uiPriority w:val="99"/>
    <w:semiHidden/>
    <w:unhideWhenUsed/>
    <w:rsid w:val="00F27328"/>
    <w:rPr>
      <w:color w:val="605E5C"/>
      <w:shd w:val="clear" w:color="auto" w:fill="E1DFDD"/>
    </w:rPr>
  </w:style>
  <w:style w:type="paragraph" w:customStyle="1" w:styleId="Heading3smaller">
    <w:name w:val="Heading 3 smaller"/>
    <w:rsid w:val="000B6E53"/>
    <w:pPr>
      <w:keepNext/>
      <w:keepLines/>
      <w:spacing w:before="240" w:after="80" w:line="240" w:lineRule="auto"/>
      <w:outlineLvl w:val="2"/>
    </w:pPr>
    <w:rPr>
      <w:rFonts w:ascii="Arial" w:eastAsia="Times New Roman" w:hAnsi="Arial" w:cs="Times New Roman"/>
      <w:b/>
      <w:bCs/>
      <w:sz w:val="20"/>
      <w:szCs w:val="24"/>
      <w:lang w:val="x-none"/>
    </w:rPr>
  </w:style>
  <w:style w:type="paragraph" w:customStyle="1" w:styleId="Heading2withinTOC">
    <w:name w:val="Heading 2 within TOC"/>
    <w:basedOn w:val="Heading3smaller"/>
    <w:rsid w:val="00F74DF0"/>
    <w:pPr>
      <w:outlineLvl w:val="1"/>
    </w:pPr>
    <w:rPr>
      <w:sz w:val="22"/>
    </w:rPr>
  </w:style>
  <w:style w:type="paragraph" w:customStyle="1" w:styleId="Heading2declaration">
    <w:name w:val="Heading 2 declaration"/>
    <w:basedOn w:val="Heading2withinTOC"/>
    <w:rsid w:val="007A4153"/>
    <w:rPr>
      <w:color w:val="0072CE"/>
    </w:rPr>
  </w:style>
  <w:style w:type="character" w:customStyle="1" w:styleId="apple-converted-space">
    <w:name w:val="apple-converted-space"/>
    <w:basedOn w:val="DefaultParagraphFont"/>
    <w:rsid w:val="007C05BC"/>
  </w:style>
  <w:style w:type="paragraph" w:customStyle="1" w:styleId="Heading3EOdata">
    <w:name w:val="Heading 3 EO data"/>
    <w:basedOn w:val="Heading4"/>
    <w:rsid w:val="00871595"/>
    <w:pPr>
      <w:outlineLvl w:val="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058315">
      <w:bodyDiv w:val="1"/>
      <w:marLeft w:val="0"/>
      <w:marRight w:val="0"/>
      <w:marTop w:val="0"/>
      <w:marBottom w:val="0"/>
      <w:divBdr>
        <w:top w:val="none" w:sz="0" w:space="0" w:color="auto"/>
        <w:left w:val="none" w:sz="0" w:space="0" w:color="auto"/>
        <w:bottom w:val="none" w:sz="0" w:space="0" w:color="auto"/>
        <w:right w:val="none" w:sz="0" w:space="0" w:color="auto"/>
      </w:divBdr>
    </w:div>
    <w:div w:id="149755048">
      <w:bodyDiv w:val="1"/>
      <w:marLeft w:val="0"/>
      <w:marRight w:val="0"/>
      <w:marTop w:val="0"/>
      <w:marBottom w:val="0"/>
      <w:divBdr>
        <w:top w:val="none" w:sz="0" w:space="0" w:color="auto"/>
        <w:left w:val="none" w:sz="0" w:space="0" w:color="auto"/>
        <w:bottom w:val="none" w:sz="0" w:space="0" w:color="auto"/>
        <w:right w:val="none" w:sz="0" w:space="0" w:color="auto"/>
      </w:divBdr>
    </w:div>
    <w:div w:id="197396068">
      <w:bodyDiv w:val="1"/>
      <w:marLeft w:val="0"/>
      <w:marRight w:val="0"/>
      <w:marTop w:val="0"/>
      <w:marBottom w:val="0"/>
      <w:divBdr>
        <w:top w:val="none" w:sz="0" w:space="0" w:color="auto"/>
        <w:left w:val="none" w:sz="0" w:space="0" w:color="auto"/>
        <w:bottom w:val="none" w:sz="0" w:space="0" w:color="auto"/>
        <w:right w:val="none" w:sz="0" w:space="0" w:color="auto"/>
      </w:divBdr>
    </w:div>
    <w:div w:id="218631223">
      <w:bodyDiv w:val="1"/>
      <w:marLeft w:val="0"/>
      <w:marRight w:val="0"/>
      <w:marTop w:val="0"/>
      <w:marBottom w:val="0"/>
      <w:divBdr>
        <w:top w:val="none" w:sz="0" w:space="0" w:color="auto"/>
        <w:left w:val="none" w:sz="0" w:space="0" w:color="auto"/>
        <w:bottom w:val="none" w:sz="0" w:space="0" w:color="auto"/>
        <w:right w:val="none" w:sz="0" w:space="0" w:color="auto"/>
      </w:divBdr>
    </w:div>
    <w:div w:id="235361282">
      <w:bodyDiv w:val="1"/>
      <w:marLeft w:val="0"/>
      <w:marRight w:val="0"/>
      <w:marTop w:val="0"/>
      <w:marBottom w:val="0"/>
      <w:divBdr>
        <w:top w:val="none" w:sz="0" w:space="0" w:color="auto"/>
        <w:left w:val="none" w:sz="0" w:space="0" w:color="auto"/>
        <w:bottom w:val="none" w:sz="0" w:space="0" w:color="auto"/>
        <w:right w:val="none" w:sz="0" w:space="0" w:color="auto"/>
      </w:divBdr>
    </w:div>
    <w:div w:id="284315332">
      <w:bodyDiv w:val="1"/>
      <w:marLeft w:val="0"/>
      <w:marRight w:val="0"/>
      <w:marTop w:val="0"/>
      <w:marBottom w:val="0"/>
      <w:divBdr>
        <w:top w:val="none" w:sz="0" w:space="0" w:color="auto"/>
        <w:left w:val="none" w:sz="0" w:space="0" w:color="auto"/>
        <w:bottom w:val="none" w:sz="0" w:space="0" w:color="auto"/>
        <w:right w:val="none" w:sz="0" w:space="0" w:color="auto"/>
      </w:divBdr>
    </w:div>
    <w:div w:id="295572381">
      <w:bodyDiv w:val="1"/>
      <w:marLeft w:val="0"/>
      <w:marRight w:val="0"/>
      <w:marTop w:val="0"/>
      <w:marBottom w:val="0"/>
      <w:divBdr>
        <w:top w:val="none" w:sz="0" w:space="0" w:color="auto"/>
        <w:left w:val="none" w:sz="0" w:space="0" w:color="auto"/>
        <w:bottom w:val="none" w:sz="0" w:space="0" w:color="auto"/>
        <w:right w:val="none" w:sz="0" w:space="0" w:color="auto"/>
      </w:divBdr>
    </w:div>
    <w:div w:id="333267015">
      <w:bodyDiv w:val="1"/>
      <w:marLeft w:val="0"/>
      <w:marRight w:val="0"/>
      <w:marTop w:val="0"/>
      <w:marBottom w:val="0"/>
      <w:divBdr>
        <w:top w:val="none" w:sz="0" w:space="0" w:color="auto"/>
        <w:left w:val="none" w:sz="0" w:space="0" w:color="auto"/>
        <w:bottom w:val="none" w:sz="0" w:space="0" w:color="auto"/>
        <w:right w:val="none" w:sz="0" w:space="0" w:color="auto"/>
      </w:divBdr>
    </w:div>
    <w:div w:id="350759742">
      <w:bodyDiv w:val="1"/>
      <w:marLeft w:val="0"/>
      <w:marRight w:val="0"/>
      <w:marTop w:val="0"/>
      <w:marBottom w:val="0"/>
      <w:divBdr>
        <w:top w:val="none" w:sz="0" w:space="0" w:color="auto"/>
        <w:left w:val="none" w:sz="0" w:space="0" w:color="auto"/>
        <w:bottom w:val="none" w:sz="0" w:space="0" w:color="auto"/>
        <w:right w:val="none" w:sz="0" w:space="0" w:color="auto"/>
      </w:divBdr>
    </w:div>
    <w:div w:id="506017872">
      <w:bodyDiv w:val="1"/>
      <w:marLeft w:val="0"/>
      <w:marRight w:val="0"/>
      <w:marTop w:val="0"/>
      <w:marBottom w:val="0"/>
      <w:divBdr>
        <w:top w:val="none" w:sz="0" w:space="0" w:color="auto"/>
        <w:left w:val="none" w:sz="0" w:space="0" w:color="auto"/>
        <w:bottom w:val="none" w:sz="0" w:space="0" w:color="auto"/>
        <w:right w:val="none" w:sz="0" w:space="0" w:color="auto"/>
      </w:divBdr>
    </w:div>
    <w:div w:id="513030515">
      <w:bodyDiv w:val="1"/>
      <w:marLeft w:val="0"/>
      <w:marRight w:val="0"/>
      <w:marTop w:val="0"/>
      <w:marBottom w:val="0"/>
      <w:divBdr>
        <w:top w:val="none" w:sz="0" w:space="0" w:color="auto"/>
        <w:left w:val="none" w:sz="0" w:space="0" w:color="auto"/>
        <w:bottom w:val="none" w:sz="0" w:space="0" w:color="auto"/>
        <w:right w:val="none" w:sz="0" w:space="0" w:color="auto"/>
      </w:divBdr>
    </w:div>
    <w:div w:id="561019855">
      <w:bodyDiv w:val="1"/>
      <w:marLeft w:val="0"/>
      <w:marRight w:val="0"/>
      <w:marTop w:val="0"/>
      <w:marBottom w:val="0"/>
      <w:divBdr>
        <w:top w:val="none" w:sz="0" w:space="0" w:color="auto"/>
        <w:left w:val="none" w:sz="0" w:space="0" w:color="auto"/>
        <w:bottom w:val="none" w:sz="0" w:space="0" w:color="auto"/>
        <w:right w:val="none" w:sz="0" w:space="0" w:color="auto"/>
      </w:divBdr>
    </w:div>
    <w:div w:id="587664711">
      <w:bodyDiv w:val="1"/>
      <w:marLeft w:val="0"/>
      <w:marRight w:val="0"/>
      <w:marTop w:val="0"/>
      <w:marBottom w:val="0"/>
      <w:divBdr>
        <w:top w:val="none" w:sz="0" w:space="0" w:color="auto"/>
        <w:left w:val="none" w:sz="0" w:space="0" w:color="auto"/>
        <w:bottom w:val="none" w:sz="0" w:space="0" w:color="auto"/>
        <w:right w:val="none" w:sz="0" w:space="0" w:color="auto"/>
      </w:divBdr>
    </w:div>
    <w:div w:id="597369066">
      <w:bodyDiv w:val="1"/>
      <w:marLeft w:val="0"/>
      <w:marRight w:val="0"/>
      <w:marTop w:val="0"/>
      <w:marBottom w:val="0"/>
      <w:divBdr>
        <w:top w:val="none" w:sz="0" w:space="0" w:color="auto"/>
        <w:left w:val="none" w:sz="0" w:space="0" w:color="auto"/>
        <w:bottom w:val="none" w:sz="0" w:space="0" w:color="auto"/>
        <w:right w:val="none" w:sz="0" w:space="0" w:color="auto"/>
      </w:divBdr>
    </w:div>
    <w:div w:id="600337143">
      <w:bodyDiv w:val="1"/>
      <w:marLeft w:val="0"/>
      <w:marRight w:val="0"/>
      <w:marTop w:val="0"/>
      <w:marBottom w:val="0"/>
      <w:divBdr>
        <w:top w:val="none" w:sz="0" w:space="0" w:color="auto"/>
        <w:left w:val="none" w:sz="0" w:space="0" w:color="auto"/>
        <w:bottom w:val="none" w:sz="0" w:space="0" w:color="auto"/>
        <w:right w:val="none" w:sz="0" w:space="0" w:color="auto"/>
      </w:divBdr>
    </w:div>
    <w:div w:id="629626246">
      <w:bodyDiv w:val="1"/>
      <w:marLeft w:val="0"/>
      <w:marRight w:val="0"/>
      <w:marTop w:val="0"/>
      <w:marBottom w:val="0"/>
      <w:divBdr>
        <w:top w:val="none" w:sz="0" w:space="0" w:color="auto"/>
        <w:left w:val="none" w:sz="0" w:space="0" w:color="auto"/>
        <w:bottom w:val="none" w:sz="0" w:space="0" w:color="auto"/>
        <w:right w:val="none" w:sz="0" w:space="0" w:color="auto"/>
      </w:divBdr>
    </w:div>
    <w:div w:id="656029902">
      <w:bodyDiv w:val="1"/>
      <w:marLeft w:val="0"/>
      <w:marRight w:val="0"/>
      <w:marTop w:val="0"/>
      <w:marBottom w:val="0"/>
      <w:divBdr>
        <w:top w:val="none" w:sz="0" w:space="0" w:color="auto"/>
        <w:left w:val="none" w:sz="0" w:space="0" w:color="auto"/>
        <w:bottom w:val="none" w:sz="0" w:space="0" w:color="auto"/>
        <w:right w:val="none" w:sz="0" w:space="0" w:color="auto"/>
      </w:divBdr>
    </w:div>
    <w:div w:id="766003289">
      <w:bodyDiv w:val="1"/>
      <w:marLeft w:val="0"/>
      <w:marRight w:val="0"/>
      <w:marTop w:val="0"/>
      <w:marBottom w:val="0"/>
      <w:divBdr>
        <w:top w:val="none" w:sz="0" w:space="0" w:color="auto"/>
        <w:left w:val="none" w:sz="0" w:space="0" w:color="auto"/>
        <w:bottom w:val="none" w:sz="0" w:space="0" w:color="auto"/>
        <w:right w:val="none" w:sz="0" w:space="0" w:color="auto"/>
      </w:divBdr>
    </w:div>
    <w:div w:id="769007976">
      <w:bodyDiv w:val="1"/>
      <w:marLeft w:val="0"/>
      <w:marRight w:val="0"/>
      <w:marTop w:val="0"/>
      <w:marBottom w:val="0"/>
      <w:divBdr>
        <w:top w:val="none" w:sz="0" w:space="0" w:color="auto"/>
        <w:left w:val="none" w:sz="0" w:space="0" w:color="auto"/>
        <w:bottom w:val="none" w:sz="0" w:space="0" w:color="auto"/>
        <w:right w:val="none" w:sz="0" w:space="0" w:color="auto"/>
      </w:divBdr>
    </w:div>
    <w:div w:id="834492492">
      <w:bodyDiv w:val="1"/>
      <w:marLeft w:val="0"/>
      <w:marRight w:val="0"/>
      <w:marTop w:val="0"/>
      <w:marBottom w:val="0"/>
      <w:divBdr>
        <w:top w:val="none" w:sz="0" w:space="0" w:color="auto"/>
        <w:left w:val="none" w:sz="0" w:space="0" w:color="auto"/>
        <w:bottom w:val="none" w:sz="0" w:space="0" w:color="auto"/>
        <w:right w:val="none" w:sz="0" w:space="0" w:color="auto"/>
      </w:divBdr>
    </w:div>
    <w:div w:id="867445885">
      <w:bodyDiv w:val="1"/>
      <w:marLeft w:val="0"/>
      <w:marRight w:val="0"/>
      <w:marTop w:val="0"/>
      <w:marBottom w:val="0"/>
      <w:divBdr>
        <w:top w:val="none" w:sz="0" w:space="0" w:color="auto"/>
        <w:left w:val="none" w:sz="0" w:space="0" w:color="auto"/>
        <w:bottom w:val="none" w:sz="0" w:space="0" w:color="auto"/>
        <w:right w:val="none" w:sz="0" w:space="0" w:color="auto"/>
      </w:divBdr>
    </w:div>
    <w:div w:id="896431554">
      <w:bodyDiv w:val="1"/>
      <w:marLeft w:val="0"/>
      <w:marRight w:val="0"/>
      <w:marTop w:val="0"/>
      <w:marBottom w:val="0"/>
      <w:divBdr>
        <w:top w:val="none" w:sz="0" w:space="0" w:color="auto"/>
        <w:left w:val="none" w:sz="0" w:space="0" w:color="auto"/>
        <w:bottom w:val="none" w:sz="0" w:space="0" w:color="auto"/>
        <w:right w:val="none" w:sz="0" w:space="0" w:color="auto"/>
      </w:divBdr>
    </w:div>
    <w:div w:id="934166736">
      <w:bodyDiv w:val="1"/>
      <w:marLeft w:val="0"/>
      <w:marRight w:val="0"/>
      <w:marTop w:val="0"/>
      <w:marBottom w:val="0"/>
      <w:divBdr>
        <w:top w:val="none" w:sz="0" w:space="0" w:color="auto"/>
        <w:left w:val="none" w:sz="0" w:space="0" w:color="auto"/>
        <w:bottom w:val="none" w:sz="0" w:space="0" w:color="auto"/>
        <w:right w:val="none" w:sz="0" w:space="0" w:color="auto"/>
      </w:divBdr>
      <w:divsChild>
        <w:div w:id="1867522956">
          <w:marLeft w:val="0"/>
          <w:marRight w:val="0"/>
          <w:marTop w:val="0"/>
          <w:marBottom w:val="0"/>
          <w:divBdr>
            <w:top w:val="none" w:sz="0" w:space="0" w:color="auto"/>
            <w:left w:val="none" w:sz="0" w:space="0" w:color="auto"/>
            <w:bottom w:val="none" w:sz="0" w:space="0" w:color="auto"/>
            <w:right w:val="none" w:sz="0" w:space="0" w:color="auto"/>
          </w:divBdr>
        </w:div>
      </w:divsChild>
    </w:div>
    <w:div w:id="1095857173">
      <w:bodyDiv w:val="1"/>
      <w:marLeft w:val="0"/>
      <w:marRight w:val="0"/>
      <w:marTop w:val="0"/>
      <w:marBottom w:val="0"/>
      <w:divBdr>
        <w:top w:val="none" w:sz="0" w:space="0" w:color="auto"/>
        <w:left w:val="none" w:sz="0" w:space="0" w:color="auto"/>
        <w:bottom w:val="none" w:sz="0" w:space="0" w:color="auto"/>
        <w:right w:val="none" w:sz="0" w:space="0" w:color="auto"/>
      </w:divBdr>
    </w:div>
    <w:div w:id="1132559007">
      <w:bodyDiv w:val="1"/>
      <w:marLeft w:val="0"/>
      <w:marRight w:val="0"/>
      <w:marTop w:val="0"/>
      <w:marBottom w:val="0"/>
      <w:divBdr>
        <w:top w:val="none" w:sz="0" w:space="0" w:color="auto"/>
        <w:left w:val="none" w:sz="0" w:space="0" w:color="auto"/>
        <w:bottom w:val="none" w:sz="0" w:space="0" w:color="auto"/>
        <w:right w:val="none" w:sz="0" w:space="0" w:color="auto"/>
      </w:divBdr>
    </w:div>
    <w:div w:id="1160342538">
      <w:bodyDiv w:val="1"/>
      <w:marLeft w:val="0"/>
      <w:marRight w:val="0"/>
      <w:marTop w:val="0"/>
      <w:marBottom w:val="0"/>
      <w:divBdr>
        <w:top w:val="none" w:sz="0" w:space="0" w:color="auto"/>
        <w:left w:val="none" w:sz="0" w:space="0" w:color="auto"/>
        <w:bottom w:val="none" w:sz="0" w:space="0" w:color="auto"/>
        <w:right w:val="none" w:sz="0" w:space="0" w:color="auto"/>
      </w:divBdr>
    </w:div>
    <w:div w:id="1215386890">
      <w:bodyDiv w:val="1"/>
      <w:marLeft w:val="0"/>
      <w:marRight w:val="0"/>
      <w:marTop w:val="0"/>
      <w:marBottom w:val="0"/>
      <w:divBdr>
        <w:top w:val="none" w:sz="0" w:space="0" w:color="auto"/>
        <w:left w:val="none" w:sz="0" w:space="0" w:color="auto"/>
        <w:bottom w:val="none" w:sz="0" w:space="0" w:color="auto"/>
        <w:right w:val="none" w:sz="0" w:space="0" w:color="auto"/>
      </w:divBdr>
    </w:div>
    <w:div w:id="1226453978">
      <w:bodyDiv w:val="1"/>
      <w:marLeft w:val="0"/>
      <w:marRight w:val="0"/>
      <w:marTop w:val="0"/>
      <w:marBottom w:val="0"/>
      <w:divBdr>
        <w:top w:val="none" w:sz="0" w:space="0" w:color="auto"/>
        <w:left w:val="none" w:sz="0" w:space="0" w:color="auto"/>
        <w:bottom w:val="none" w:sz="0" w:space="0" w:color="auto"/>
        <w:right w:val="none" w:sz="0" w:space="0" w:color="auto"/>
      </w:divBdr>
    </w:div>
    <w:div w:id="1272468602">
      <w:bodyDiv w:val="1"/>
      <w:marLeft w:val="0"/>
      <w:marRight w:val="0"/>
      <w:marTop w:val="0"/>
      <w:marBottom w:val="0"/>
      <w:divBdr>
        <w:top w:val="none" w:sz="0" w:space="0" w:color="auto"/>
        <w:left w:val="none" w:sz="0" w:space="0" w:color="auto"/>
        <w:bottom w:val="none" w:sz="0" w:space="0" w:color="auto"/>
        <w:right w:val="none" w:sz="0" w:space="0" w:color="auto"/>
      </w:divBdr>
    </w:div>
    <w:div w:id="1297561319">
      <w:bodyDiv w:val="1"/>
      <w:marLeft w:val="0"/>
      <w:marRight w:val="0"/>
      <w:marTop w:val="0"/>
      <w:marBottom w:val="0"/>
      <w:divBdr>
        <w:top w:val="none" w:sz="0" w:space="0" w:color="auto"/>
        <w:left w:val="none" w:sz="0" w:space="0" w:color="auto"/>
        <w:bottom w:val="none" w:sz="0" w:space="0" w:color="auto"/>
        <w:right w:val="none" w:sz="0" w:space="0" w:color="auto"/>
      </w:divBdr>
    </w:div>
    <w:div w:id="1357926367">
      <w:bodyDiv w:val="1"/>
      <w:marLeft w:val="0"/>
      <w:marRight w:val="0"/>
      <w:marTop w:val="0"/>
      <w:marBottom w:val="0"/>
      <w:divBdr>
        <w:top w:val="none" w:sz="0" w:space="0" w:color="auto"/>
        <w:left w:val="none" w:sz="0" w:space="0" w:color="auto"/>
        <w:bottom w:val="none" w:sz="0" w:space="0" w:color="auto"/>
        <w:right w:val="none" w:sz="0" w:space="0" w:color="auto"/>
      </w:divBdr>
    </w:div>
    <w:div w:id="1420830326">
      <w:bodyDiv w:val="1"/>
      <w:marLeft w:val="0"/>
      <w:marRight w:val="0"/>
      <w:marTop w:val="0"/>
      <w:marBottom w:val="0"/>
      <w:divBdr>
        <w:top w:val="none" w:sz="0" w:space="0" w:color="auto"/>
        <w:left w:val="none" w:sz="0" w:space="0" w:color="auto"/>
        <w:bottom w:val="none" w:sz="0" w:space="0" w:color="auto"/>
        <w:right w:val="none" w:sz="0" w:space="0" w:color="auto"/>
      </w:divBdr>
    </w:div>
    <w:div w:id="1529249520">
      <w:bodyDiv w:val="1"/>
      <w:marLeft w:val="0"/>
      <w:marRight w:val="0"/>
      <w:marTop w:val="0"/>
      <w:marBottom w:val="0"/>
      <w:divBdr>
        <w:top w:val="none" w:sz="0" w:space="0" w:color="auto"/>
        <w:left w:val="none" w:sz="0" w:space="0" w:color="auto"/>
        <w:bottom w:val="none" w:sz="0" w:space="0" w:color="auto"/>
        <w:right w:val="none" w:sz="0" w:space="0" w:color="auto"/>
      </w:divBdr>
    </w:div>
    <w:div w:id="1623415709">
      <w:bodyDiv w:val="1"/>
      <w:marLeft w:val="0"/>
      <w:marRight w:val="0"/>
      <w:marTop w:val="0"/>
      <w:marBottom w:val="0"/>
      <w:divBdr>
        <w:top w:val="none" w:sz="0" w:space="0" w:color="auto"/>
        <w:left w:val="none" w:sz="0" w:space="0" w:color="auto"/>
        <w:bottom w:val="none" w:sz="0" w:space="0" w:color="auto"/>
        <w:right w:val="none" w:sz="0" w:space="0" w:color="auto"/>
      </w:divBdr>
    </w:div>
    <w:div w:id="1687709283">
      <w:bodyDiv w:val="1"/>
      <w:marLeft w:val="0"/>
      <w:marRight w:val="0"/>
      <w:marTop w:val="0"/>
      <w:marBottom w:val="0"/>
      <w:divBdr>
        <w:top w:val="none" w:sz="0" w:space="0" w:color="auto"/>
        <w:left w:val="none" w:sz="0" w:space="0" w:color="auto"/>
        <w:bottom w:val="none" w:sz="0" w:space="0" w:color="auto"/>
        <w:right w:val="none" w:sz="0" w:space="0" w:color="auto"/>
      </w:divBdr>
    </w:div>
    <w:div w:id="1688289503">
      <w:bodyDiv w:val="1"/>
      <w:marLeft w:val="0"/>
      <w:marRight w:val="0"/>
      <w:marTop w:val="0"/>
      <w:marBottom w:val="0"/>
      <w:divBdr>
        <w:top w:val="none" w:sz="0" w:space="0" w:color="auto"/>
        <w:left w:val="none" w:sz="0" w:space="0" w:color="auto"/>
        <w:bottom w:val="none" w:sz="0" w:space="0" w:color="auto"/>
        <w:right w:val="none" w:sz="0" w:space="0" w:color="auto"/>
      </w:divBdr>
    </w:div>
    <w:div w:id="1688367985">
      <w:bodyDiv w:val="1"/>
      <w:marLeft w:val="0"/>
      <w:marRight w:val="0"/>
      <w:marTop w:val="0"/>
      <w:marBottom w:val="0"/>
      <w:divBdr>
        <w:top w:val="none" w:sz="0" w:space="0" w:color="auto"/>
        <w:left w:val="none" w:sz="0" w:space="0" w:color="auto"/>
        <w:bottom w:val="none" w:sz="0" w:space="0" w:color="auto"/>
        <w:right w:val="none" w:sz="0" w:space="0" w:color="auto"/>
      </w:divBdr>
    </w:div>
    <w:div w:id="1696536695">
      <w:bodyDiv w:val="1"/>
      <w:marLeft w:val="0"/>
      <w:marRight w:val="0"/>
      <w:marTop w:val="0"/>
      <w:marBottom w:val="0"/>
      <w:divBdr>
        <w:top w:val="none" w:sz="0" w:space="0" w:color="auto"/>
        <w:left w:val="none" w:sz="0" w:space="0" w:color="auto"/>
        <w:bottom w:val="none" w:sz="0" w:space="0" w:color="auto"/>
        <w:right w:val="none" w:sz="0" w:space="0" w:color="auto"/>
      </w:divBdr>
    </w:div>
    <w:div w:id="1701395805">
      <w:bodyDiv w:val="1"/>
      <w:marLeft w:val="0"/>
      <w:marRight w:val="0"/>
      <w:marTop w:val="0"/>
      <w:marBottom w:val="0"/>
      <w:divBdr>
        <w:top w:val="none" w:sz="0" w:space="0" w:color="auto"/>
        <w:left w:val="none" w:sz="0" w:space="0" w:color="auto"/>
        <w:bottom w:val="none" w:sz="0" w:space="0" w:color="auto"/>
        <w:right w:val="none" w:sz="0" w:space="0" w:color="auto"/>
      </w:divBdr>
    </w:div>
    <w:div w:id="1851677795">
      <w:bodyDiv w:val="1"/>
      <w:marLeft w:val="0"/>
      <w:marRight w:val="0"/>
      <w:marTop w:val="0"/>
      <w:marBottom w:val="0"/>
      <w:divBdr>
        <w:top w:val="none" w:sz="0" w:space="0" w:color="auto"/>
        <w:left w:val="none" w:sz="0" w:space="0" w:color="auto"/>
        <w:bottom w:val="none" w:sz="0" w:space="0" w:color="auto"/>
        <w:right w:val="none" w:sz="0" w:space="0" w:color="auto"/>
      </w:divBdr>
    </w:div>
    <w:div w:id="1904027532">
      <w:bodyDiv w:val="1"/>
      <w:marLeft w:val="0"/>
      <w:marRight w:val="0"/>
      <w:marTop w:val="0"/>
      <w:marBottom w:val="0"/>
      <w:divBdr>
        <w:top w:val="none" w:sz="0" w:space="0" w:color="auto"/>
        <w:left w:val="none" w:sz="0" w:space="0" w:color="auto"/>
        <w:bottom w:val="none" w:sz="0" w:space="0" w:color="auto"/>
        <w:right w:val="none" w:sz="0" w:space="0" w:color="auto"/>
      </w:divBdr>
    </w:div>
    <w:div w:id="1928659239">
      <w:bodyDiv w:val="1"/>
      <w:marLeft w:val="0"/>
      <w:marRight w:val="0"/>
      <w:marTop w:val="0"/>
      <w:marBottom w:val="0"/>
      <w:divBdr>
        <w:top w:val="none" w:sz="0" w:space="0" w:color="auto"/>
        <w:left w:val="none" w:sz="0" w:space="0" w:color="auto"/>
        <w:bottom w:val="none" w:sz="0" w:space="0" w:color="auto"/>
        <w:right w:val="none" w:sz="0" w:space="0" w:color="auto"/>
      </w:divBdr>
    </w:div>
    <w:div w:id="1970548407">
      <w:bodyDiv w:val="1"/>
      <w:marLeft w:val="0"/>
      <w:marRight w:val="0"/>
      <w:marTop w:val="0"/>
      <w:marBottom w:val="0"/>
      <w:divBdr>
        <w:top w:val="none" w:sz="0" w:space="0" w:color="auto"/>
        <w:left w:val="none" w:sz="0" w:space="0" w:color="auto"/>
        <w:bottom w:val="none" w:sz="0" w:space="0" w:color="auto"/>
        <w:right w:val="none" w:sz="0" w:space="0" w:color="auto"/>
      </w:divBdr>
    </w:div>
    <w:div w:id="2009626239">
      <w:bodyDiv w:val="1"/>
      <w:marLeft w:val="0"/>
      <w:marRight w:val="0"/>
      <w:marTop w:val="0"/>
      <w:marBottom w:val="0"/>
      <w:divBdr>
        <w:top w:val="none" w:sz="0" w:space="0" w:color="auto"/>
        <w:left w:val="none" w:sz="0" w:space="0" w:color="auto"/>
        <w:bottom w:val="none" w:sz="0" w:space="0" w:color="auto"/>
        <w:right w:val="none" w:sz="0" w:space="0" w:color="auto"/>
      </w:divBdr>
    </w:div>
    <w:div w:id="2011760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vhba.vic.gov.au/health/regional-facilities/regional-health-infrastructure-fund" TargetMode="External"/><Relationship Id="rId117" Type="http://schemas.openxmlformats.org/officeDocument/2006/relationships/image" Target="media/image17.png"/><Relationship Id="rId21" Type="http://schemas.openxmlformats.org/officeDocument/2006/relationships/header" Target="header3.xml"/><Relationship Id="rId42" Type="http://schemas.openxmlformats.org/officeDocument/2006/relationships/hyperlink" Target="https://www.vhba.vic.gov.au/health/community-based-care/pakenham-community-hospital" TargetMode="External"/><Relationship Id="rId47" Type="http://schemas.openxmlformats.org/officeDocument/2006/relationships/header" Target="header9.xml"/><Relationship Id="rId63" Type="http://schemas.openxmlformats.org/officeDocument/2006/relationships/image" Target="media/image13.jpeg"/><Relationship Id="rId68" Type="http://schemas.openxmlformats.org/officeDocument/2006/relationships/header" Target="header16.xml"/><Relationship Id="rId84" Type="http://schemas.openxmlformats.org/officeDocument/2006/relationships/header" Target="header28.xml"/><Relationship Id="rId89" Type="http://schemas.openxmlformats.org/officeDocument/2006/relationships/hyperlink" Target="mailto:foi@health.vic.gov.au" TargetMode="External"/><Relationship Id="rId112" Type="http://schemas.openxmlformats.org/officeDocument/2006/relationships/hyperlink" Target="https://vahi.freshdesk.com/support/home" TargetMode="External"/><Relationship Id="rId133" Type="http://schemas.openxmlformats.org/officeDocument/2006/relationships/footer" Target="footer20.xml"/><Relationship Id="rId138" Type="http://schemas.openxmlformats.org/officeDocument/2006/relationships/footer" Target="footer25.xml"/><Relationship Id="rId154" Type="http://schemas.openxmlformats.org/officeDocument/2006/relationships/theme" Target="theme/theme1.xml"/><Relationship Id="rId16" Type="http://schemas.openxmlformats.org/officeDocument/2006/relationships/image" Target="media/image3.jpeg"/><Relationship Id="rId107" Type="http://schemas.openxmlformats.org/officeDocument/2006/relationships/hyperlink" Target="https://vahi.vic.gov.au/reports/victorian-health-services-performance" TargetMode="External"/><Relationship Id="rId11" Type="http://schemas.openxmlformats.org/officeDocument/2006/relationships/image" Target="media/image1.jpeg"/><Relationship Id="rId32" Type="http://schemas.openxmlformats.org/officeDocument/2006/relationships/header" Target="header6.xml"/><Relationship Id="rId37" Type="http://schemas.openxmlformats.org/officeDocument/2006/relationships/hyperlink" Target="https://www.vhba.vic.gov.au/health/community-based-care/city-whittlesea-community-hospital" TargetMode="External"/><Relationship Id="rId53" Type="http://schemas.openxmlformats.org/officeDocument/2006/relationships/image" Target="media/image9.svg"/><Relationship Id="rId58" Type="http://schemas.openxmlformats.org/officeDocument/2006/relationships/header" Target="header13.xml"/><Relationship Id="rId74" Type="http://schemas.openxmlformats.org/officeDocument/2006/relationships/header" Target="header21.xml"/><Relationship Id="rId79" Type="http://schemas.openxmlformats.org/officeDocument/2006/relationships/header" Target="header25.xml"/><Relationship Id="rId102" Type="http://schemas.openxmlformats.org/officeDocument/2006/relationships/footer" Target="footer14.xml"/><Relationship Id="rId123" Type="http://schemas.openxmlformats.org/officeDocument/2006/relationships/image" Target="media/image19.svg"/><Relationship Id="rId128" Type="http://schemas.openxmlformats.org/officeDocument/2006/relationships/image" Target="media/image21.png"/><Relationship Id="rId144" Type="http://schemas.openxmlformats.org/officeDocument/2006/relationships/footer" Target="footer28.xml"/><Relationship Id="rId149" Type="http://schemas.openxmlformats.org/officeDocument/2006/relationships/footer" Target="footer30.xml"/><Relationship Id="rId5" Type="http://schemas.openxmlformats.org/officeDocument/2006/relationships/numbering" Target="numbering.xml"/><Relationship Id="rId90" Type="http://schemas.openxmlformats.org/officeDocument/2006/relationships/hyperlink" Target="https://www.ibac.vic.gov.au/" TargetMode="External"/><Relationship Id="rId95" Type="http://schemas.openxmlformats.org/officeDocument/2006/relationships/hyperlink" Target="mailto:dhcommunicationsenquiries@health.vic.gov.au" TargetMode="External"/><Relationship Id="rId22" Type="http://schemas.openxmlformats.org/officeDocument/2006/relationships/footer" Target="footer3.xml"/><Relationship Id="rId27" Type="http://schemas.openxmlformats.org/officeDocument/2006/relationships/hyperlink" Target="https://www.vhba.vic.gov.au/health/equipment-engineering-upgrades/engineering-infrastructure-replacement-program" TargetMode="External"/><Relationship Id="rId43" Type="http://schemas.openxmlformats.org/officeDocument/2006/relationships/hyperlink" Target="https://www.vhba.vic.gov.au/health/community-based-care/torquay-community-hospital" TargetMode="External"/><Relationship Id="rId48" Type="http://schemas.openxmlformats.org/officeDocument/2006/relationships/header" Target="header10.xml"/><Relationship Id="rId64" Type="http://schemas.openxmlformats.org/officeDocument/2006/relationships/image" Target="media/image14.jpeg"/><Relationship Id="rId69" Type="http://schemas.openxmlformats.org/officeDocument/2006/relationships/footer" Target="footer8.xml"/><Relationship Id="rId113" Type="http://schemas.openxmlformats.org/officeDocument/2006/relationships/hyperlink" Target="https://www2.health.vic.gov.au/about/reporting-planning-data/the-centre-for-victorian-data-linkage/for-researchers" TargetMode="External"/><Relationship Id="rId118" Type="http://schemas.openxmlformats.org/officeDocument/2006/relationships/hyperlink" Target="https://www.dtf.vic.gov.au/infrastructure-investment/asset-management-accountability-framework" TargetMode="External"/><Relationship Id="rId134" Type="http://schemas.openxmlformats.org/officeDocument/2006/relationships/footer" Target="footer21.xml"/><Relationship Id="rId139" Type="http://schemas.openxmlformats.org/officeDocument/2006/relationships/image" Target="media/image23.png"/><Relationship Id="rId80" Type="http://schemas.openxmlformats.org/officeDocument/2006/relationships/header" Target="header26.xml"/><Relationship Id="rId85" Type="http://schemas.openxmlformats.org/officeDocument/2006/relationships/header" Target="header29.xml"/><Relationship Id="rId150" Type="http://schemas.openxmlformats.org/officeDocument/2006/relationships/header" Target="header46.xml"/><Relationship Id="rId12" Type="http://schemas.openxmlformats.org/officeDocument/2006/relationships/hyperlink" Target="mailto:corporate.reporting@health.vic.gov.au" TargetMode="External"/><Relationship Id="rId17" Type="http://schemas.openxmlformats.org/officeDocument/2006/relationships/image" Target="media/image4.jpeg"/><Relationship Id="rId25" Type="http://schemas.openxmlformats.org/officeDocument/2006/relationships/header" Target="header5.xml"/><Relationship Id="rId33" Type="http://schemas.openxmlformats.org/officeDocument/2006/relationships/footer" Target="footer4.xml"/><Relationship Id="rId38" Type="http://schemas.openxmlformats.org/officeDocument/2006/relationships/hyperlink" Target="https://www.vhba.vic.gov.au/health/community-based-care/eltham-area-community-hospital" TargetMode="External"/><Relationship Id="rId46" Type="http://schemas.openxmlformats.org/officeDocument/2006/relationships/hyperlink" Target="https://www.vhba.vic.gov.au/health/community-based-care/sunbury-community-hospital" TargetMode="External"/><Relationship Id="rId59" Type="http://schemas.openxmlformats.org/officeDocument/2006/relationships/footer" Target="footer6.xml"/><Relationship Id="rId67" Type="http://schemas.openxmlformats.org/officeDocument/2006/relationships/image" Target="media/image16.svg"/><Relationship Id="rId103" Type="http://schemas.openxmlformats.org/officeDocument/2006/relationships/header" Target="header35.xml"/><Relationship Id="rId108" Type="http://schemas.openxmlformats.org/officeDocument/2006/relationships/hyperlink" Target="https://www2.health.vic.gov.au/about/reporting-planning-data" TargetMode="External"/><Relationship Id="rId116" Type="http://schemas.openxmlformats.org/officeDocument/2006/relationships/hyperlink" Target="https://www.aihw.gov.au/reports-data/myhospitals" TargetMode="External"/><Relationship Id="rId124" Type="http://schemas.openxmlformats.org/officeDocument/2006/relationships/header" Target="header39.xml"/><Relationship Id="rId129" Type="http://schemas.openxmlformats.org/officeDocument/2006/relationships/image" Target="media/image22.png"/><Relationship Id="rId137" Type="http://schemas.openxmlformats.org/officeDocument/2006/relationships/footer" Target="footer24.xml"/><Relationship Id="rId20" Type="http://schemas.openxmlformats.org/officeDocument/2006/relationships/footer" Target="footer2.xml"/><Relationship Id="rId41" Type="http://schemas.openxmlformats.org/officeDocument/2006/relationships/hyperlink" Target="https://www.vhba.vic.gov.au/health/community-based-care/cranbourne-community-hospital" TargetMode="External"/><Relationship Id="rId54" Type="http://schemas.openxmlformats.org/officeDocument/2006/relationships/image" Target="media/image10.png"/><Relationship Id="rId62" Type="http://schemas.openxmlformats.org/officeDocument/2006/relationships/image" Target="media/image12.jpeg"/><Relationship Id="rId70" Type="http://schemas.openxmlformats.org/officeDocument/2006/relationships/header" Target="header17.xml"/><Relationship Id="rId75" Type="http://schemas.openxmlformats.org/officeDocument/2006/relationships/header" Target="header22.xml"/><Relationship Id="rId83" Type="http://schemas.openxmlformats.org/officeDocument/2006/relationships/hyperlink" Target="http://www.tenders.vic.gov.au" TargetMode="External"/><Relationship Id="rId88" Type="http://schemas.openxmlformats.org/officeDocument/2006/relationships/hyperlink" Target="https://online.foi.vic.gov.au/foi/request.doj" TargetMode="External"/><Relationship Id="rId91" Type="http://schemas.openxmlformats.org/officeDocument/2006/relationships/hyperlink" Target="mailto:submit@ibac.vic.gov.au" TargetMode="External"/><Relationship Id="rId96" Type="http://schemas.openxmlformats.org/officeDocument/2006/relationships/header" Target="header31.xml"/><Relationship Id="rId111" Type="http://schemas.openxmlformats.org/officeDocument/2006/relationships/hyperlink" Target="https://dhhs.vic.gov.au/publications/reports-reviews-data" TargetMode="External"/><Relationship Id="rId132" Type="http://schemas.openxmlformats.org/officeDocument/2006/relationships/footer" Target="footer19.xml"/><Relationship Id="rId140" Type="http://schemas.openxmlformats.org/officeDocument/2006/relationships/image" Target="media/image24.svg"/><Relationship Id="rId145" Type="http://schemas.openxmlformats.org/officeDocument/2006/relationships/header" Target="header43.xm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www.vic.gov.au/health/leadership-charter" TargetMode="External"/><Relationship Id="rId28" Type="http://schemas.openxmlformats.org/officeDocument/2006/relationships/hyperlink" Target="https://www.vhba.vic.gov.au/mental-health/hospital-based-care/mental-health-beds-expansion-program-northern-hospital" TargetMode="External"/><Relationship Id="rId36" Type="http://schemas.openxmlformats.org/officeDocument/2006/relationships/footer" Target="footer5.xml"/><Relationship Id="rId49" Type="http://schemas.openxmlformats.org/officeDocument/2006/relationships/image" Target="media/image5.emf"/><Relationship Id="rId57" Type="http://schemas.openxmlformats.org/officeDocument/2006/relationships/header" Target="header12.xml"/><Relationship Id="rId106" Type="http://schemas.openxmlformats.org/officeDocument/2006/relationships/hyperlink" Target="http://www.data.vic.gov.au/" TargetMode="External"/><Relationship Id="rId114" Type="http://schemas.openxmlformats.org/officeDocument/2006/relationships/hyperlink" Target="https://www.cancervic.org.au/" TargetMode="External"/><Relationship Id="rId119" Type="http://schemas.openxmlformats.org/officeDocument/2006/relationships/header" Target="header37.xml"/><Relationship Id="rId127" Type="http://schemas.openxmlformats.org/officeDocument/2006/relationships/image" Target="media/image20.png"/><Relationship Id="rId10" Type="http://schemas.openxmlformats.org/officeDocument/2006/relationships/endnotes" Target="endnotes.xml"/><Relationship Id="rId31" Type="http://schemas.openxmlformats.org/officeDocument/2006/relationships/hyperlink" Target="https://www.vhba.vic.gov.au/mental-health/hospital-based-care/mental-health-beds-expansion-program-mckellar-centre" TargetMode="External"/><Relationship Id="rId44" Type="http://schemas.openxmlformats.org/officeDocument/2006/relationships/hyperlink" Target="https://www.vhba.vic.gov.au/health/community-based-care/craigieburn-community-hospital" TargetMode="External"/><Relationship Id="rId52" Type="http://schemas.openxmlformats.org/officeDocument/2006/relationships/image" Target="media/image8.png"/><Relationship Id="rId60" Type="http://schemas.openxmlformats.org/officeDocument/2006/relationships/header" Target="header14.xml"/><Relationship Id="rId65" Type="http://schemas.openxmlformats.org/officeDocument/2006/relationships/header" Target="header15.xml"/><Relationship Id="rId73" Type="http://schemas.openxmlformats.org/officeDocument/2006/relationships/header" Target="header20.xml"/><Relationship Id="rId78" Type="http://schemas.openxmlformats.org/officeDocument/2006/relationships/footer" Target="footer9.xml"/><Relationship Id="rId81" Type="http://schemas.openxmlformats.org/officeDocument/2006/relationships/header" Target="header27.xml"/><Relationship Id="rId86" Type="http://schemas.openxmlformats.org/officeDocument/2006/relationships/header" Target="header30.xml"/><Relationship Id="rId94" Type="http://schemas.openxmlformats.org/officeDocument/2006/relationships/hyperlink" Target="https://www.dhhs.vic.gov.au/publications/disability-action-plan-2018-2020" TargetMode="External"/><Relationship Id="rId99" Type="http://schemas.openxmlformats.org/officeDocument/2006/relationships/footer" Target="footer12.xml"/><Relationship Id="rId101" Type="http://schemas.openxmlformats.org/officeDocument/2006/relationships/header" Target="header34.xml"/><Relationship Id="rId122" Type="http://schemas.openxmlformats.org/officeDocument/2006/relationships/image" Target="media/image18.png"/><Relationship Id="rId130" Type="http://schemas.openxmlformats.org/officeDocument/2006/relationships/header" Target="header41.xml"/><Relationship Id="rId135" Type="http://schemas.openxmlformats.org/officeDocument/2006/relationships/footer" Target="footer22.xml"/><Relationship Id="rId143" Type="http://schemas.openxmlformats.org/officeDocument/2006/relationships/header" Target="header42.xml"/><Relationship Id="rId148" Type="http://schemas.openxmlformats.org/officeDocument/2006/relationships/header" Target="header45.xml"/><Relationship Id="rId151" Type="http://schemas.openxmlformats.org/officeDocument/2006/relationships/header" Target="header4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2.xml"/><Relationship Id="rId39" Type="http://schemas.openxmlformats.org/officeDocument/2006/relationships/hyperlink" Target="https://www.vhba.vic.gov.au/health/community-based-care/point-cook-community-hospital" TargetMode="External"/><Relationship Id="rId109" Type="http://schemas.openxmlformats.org/officeDocument/2006/relationships/hyperlink" Target="https://www2.health.vic.gov.au/public-health" TargetMode="External"/><Relationship Id="rId34" Type="http://schemas.openxmlformats.org/officeDocument/2006/relationships/header" Target="header7.xml"/><Relationship Id="rId50" Type="http://schemas.openxmlformats.org/officeDocument/2006/relationships/image" Target="media/image6.png"/><Relationship Id="rId55" Type="http://schemas.openxmlformats.org/officeDocument/2006/relationships/image" Target="media/image11.svg"/><Relationship Id="rId76" Type="http://schemas.openxmlformats.org/officeDocument/2006/relationships/header" Target="header23.xml"/><Relationship Id="rId97" Type="http://schemas.openxmlformats.org/officeDocument/2006/relationships/header" Target="header32.xml"/><Relationship Id="rId104" Type="http://schemas.openxmlformats.org/officeDocument/2006/relationships/header" Target="header36.xml"/><Relationship Id="rId120" Type="http://schemas.openxmlformats.org/officeDocument/2006/relationships/header" Target="header38.xml"/><Relationship Id="rId125" Type="http://schemas.openxmlformats.org/officeDocument/2006/relationships/header" Target="header40.xml"/><Relationship Id="rId141" Type="http://schemas.openxmlformats.org/officeDocument/2006/relationships/footer" Target="footer26.xml"/><Relationship Id="rId146" Type="http://schemas.openxmlformats.org/officeDocument/2006/relationships/footer" Target="footer29.xml"/><Relationship Id="rId7" Type="http://schemas.openxmlformats.org/officeDocument/2006/relationships/settings" Target="settings.xml"/><Relationship Id="rId71" Type="http://schemas.openxmlformats.org/officeDocument/2006/relationships/header" Target="header18.xml"/><Relationship Id="rId92" Type="http://schemas.openxmlformats.org/officeDocument/2006/relationships/hyperlink" Target="https://www.dhhs.vic.gov.au/public-interest-disclosure" TargetMode="External"/><Relationship Id="rId2" Type="http://schemas.openxmlformats.org/officeDocument/2006/relationships/customXml" Target="../customXml/item2.xml"/><Relationship Id="rId29" Type="http://schemas.openxmlformats.org/officeDocument/2006/relationships/hyperlink" Target="https://www.vhba.vic.gov.au/mental-health/hospital-based-care/mental-health-beds-expansion-program-sunshine-hospital" TargetMode="External"/><Relationship Id="rId24" Type="http://schemas.openxmlformats.org/officeDocument/2006/relationships/header" Target="header4.xml"/><Relationship Id="rId40" Type="http://schemas.openxmlformats.org/officeDocument/2006/relationships/hyperlink" Target="https://www.vhba.vic.gov.au/health/community-based-care/fishermans-bend-community-hospital" TargetMode="External"/><Relationship Id="rId45" Type="http://schemas.openxmlformats.org/officeDocument/2006/relationships/hyperlink" Target="https://www.vhba.vic.gov.au/health/community-based-care/phillip-island-community-hospital" TargetMode="External"/><Relationship Id="rId66" Type="http://schemas.openxmlformats.org/officeDocument/2006/relationships/image" Target="media/image15.png"/><Relationship Id="rId87" Type="http://schemas.openxmlformats.org/officeDocument/2006/relationships/footer" Target="footer11.xml"/><Relationship Id="rId110" Type="http://schemas.openxmlformats.org/officeDocument/2006/relationships/hyperlink" Target="https://www.coronavirus.vic.gov.au/victorian-coronavirus-covid-19-data" TargetMode="External"/><Relationship Id="rId115" Type="http://schemas.openxmlformats.org/officeDocument/2006/relationships/hyperlink" Target="https://www.aihw.gov.au/" TargetMode="External"/><Relationship Id="rId131" Type="http://schemas.openxmlformats.org/officeDocument/2006/relationships/footer" Target="footer18.xml"/><Relationship Id="rId136" Type="http://schemas.openxmlformats.org/officeDocument/2006/relationships/footer" Target="footer23.xml"/><Relationship Id="rId61" Type="http://schemas.openxmlformats.org/officeDocument/2006/relationships/footer" Target="footer7.xml"/><Relationship Id="rId82" Type="http://schemas.openxmlformats.org/officeDocument/2006/relationships/footer" Target="footer10.xml"/><Relationship Id="rId152" Type="http://schemas.openxmlformats.org/officeDocument/2006/relationships/footer" Target="footer31.xml"/><Relationship Id="rId19" Type="http://schemas.openxmlformats.org/officeDocument/2006/relationships/footer" Target="footer1.xml"/><Relationship Id="rId14" Type="http://schemas.openxmlformats.org/officeDocument/2006/relationships/hyperlink" Target="https://creativecommons.org/licenses/by/4.0/legalcode" TargetMode="External"/><Relationship Id="rId30" Type="http://schemas.openxmlformats.org/officeDocument/2006/relationships/hyperlink" Target="https://www.vhba.vic.gov.au/mental-health/hospital-based-care/mental-health-beds-expansion-program-royal-melbourne-hospital" TargetMode="External"/><Relationship Id="rId35" Type="http://schemas.openxmlformats.org/officeDocument/2006/relationships/header" Target="header8.xml"/><Relationship Id="rId56" Type="http://schemas.openxmlformats.org/officeDocument/2006/relationships/header" Target="header11.xml"/><Relationship Id="rId77" Type="http://schemas.openxmlformats.org/officeDocument/2006/relationships/header" Target="header24.xml"/><Relationship Id="rId100" Type="http://schemas.openxmlformats.org/officeDocument/2006/relationships/footer" Target="footer13.xml"/><Relationship Id="rId105" Type="http://schemas.openxmlformats.org/officeDocument/2006/relationships/footer" Target="footer15.xml"/><Relationship Id="rId126" Type="http://schemas.openxmlformats.org/officeDocument/2006/relationships/footer" Target="footer17.xml"/><Relationship Id="rId147" Type="http://schemas.openxmlformats.org/officeDocument/2006/relationships/header" Target="header44.xml"/><Relationship Id="rId8" Type="http://schemas.openxmlformats.org/officeDocument/2006/relationships/webSettings" Target="webSettings.xml"/><Relationship Id="rId51" Type="http://schemas.openxmlformats.org/officeDocument/2006/relationships/image" Target="media/image7.svg"/><Relationship Id="rId72" Type="http://schemas.openxmlformats.org/officeDocument/2006/relationships/header" Target="header19.xml"/><Relationship Id="rId93" Type="http://schemas.openxmlformats.org/officeDocument/2006/relationships/hyperlink" Target="mailto:publicinterestdisclosure@health.vic.gov.au" TargetMode="External"/><Relationship Id="rId98" Type="http://schemas.openxmlformats.org/officeDocument/2006/relationships/header" Target="header33.xml"/><Relationship Id="rId121" Type="http://schemas.openxmlformats.org/officeDocument/2006/relationships/footer" Target="footer16.xml"/><Relationship Id="rId142" Type="http://schemas.openxmlformats.org/officeDocument/2006/relationships/footer" Target="footer27.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npi.gov.au/resource/national-pollutant-inventory-guide" TargetMode="External"/></Relationships>
</file>

<file path=word/theme/theme1.xml><?xml version="1.0" encoding="utf-8"?>
<a:theme xmlns:a="http://schemas.openxmlformats.org/drawingml/2006/main" name="Office Theme">
  <a:themeElements>
    <a:clrScheme name="Custom 16">
      <a:dk1>
        <a:sysClr val="windowText" lastClr="000000"/>
      </a:dk1>
      <a:lt1>
        <a:sysClr val="window" lastClr="FFFFFF"/>
      </a:lt1>
      <a:dk2>
        <a:srgbClr val="44546A"/>
      </a:dk2>
      <a:lt2>
        <a:srgbClr val="E7E6E6"/>
      </a:lt2>
      <a:accent1>
        <a:srgbClr val="87189D"/>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13" ma:contentTypeDescription="Create a new document." ma:contentTypeScope="" ma:versionID="36a74037da6841296d98d2fa69693884">
  <xsd:schema xmlns:xsd="http://www.w3.org/2001/XMLSchema" xmlns:xs="http://www.w3.org/2001/XMLSchema" xmlns:p="http://schemas.microsoft.com/office/2006/metadata/properties" xmlns:ns2="06badf41-c0a1-41a6-983a-efd542c2c878" xmlns:ns3="51ef5222-d273-4e86-adbf-8aa3d9e99a84" targetNamespace="http://schemas.microsoft.com/office/2006/metadata/properties" ma:root="true" ma:fieldsID="a37a763b997990ca2f862300ccedf5e0" ns2:_="" ns3:_="">
    <xsd:import namespace="06badf41-c0a1-41a6-983a-efd542c2c878"/>
    <xsd:import namespace="51ef5222-d273-4e86-adbf-8aa3d9e99a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_Flow_SignoffStatus" ma:index="20"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06badf41-c0a1-41a6-983a-efd542c2c878" xsi:nil="true"/>
    <SharedWithUsers xmlns="51ef5222-d273-4e86-adbf-8aa3d9e99a84">
      <UserInfo>
        <DisplayName>Grant Breheny (Health)</DisplayName>
        <AccountId>22</AccountId>
        <AccountType/>
      </UserInfo>
    </SharedWithUsers>
  </documentManagement>
</p:properties>
</file>

<file path=customXml/itemProps1.xml><?xml version="1.0" encoding="utf-8"?>
<ds:datastoreItem xmlns:ds="http://schemas.openxmlformats.org/officeDocument/2006/customXml" ds:itemID="{083FEA6F-7E71-4DCD-8FCE-85A2391ADED3}">
  <ds:schemaRefs>
    <ds:schemaRef ds:uri="http://schemas.openxmlformats.org/officeDocument/2006/bibliography"/>
  </ds:schemaRefs>
</ds:datastoreItem>
</file>

<file path=customXml/itemProps2.xml><?xml version="1.0" encoding="utf-8"?>
<ds:datastoreItem xmlns:ds="http://schemas.openxmlformats.org/officeDocument/2006/customXml" ds:itemID="{8F75F6D5-91B4-43F7-9A56-E81E728AA3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badf41-c0a1-41a6-983a-efd542c2c878"/>
    <ds:schemaRef ds:uri="51ef5222-d273-4e86-adbf-8aa3d9e99a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7AB248-21B6-4211-BB90-8A0265C2AEBB}">
  <ds:schemaRefs>
    <ds:schemaRef ds:uri="http://schemas.microsoft.com/sharepoint/v3/contenttype/forms"/>
  </ds:schemaRefs>
</ds:datastoreItem>
</file>

<file path=customXml/itemProps4.xml><?xml version="1.0" encoding="utf-8"?>
<ds:datastoreItem xmlns:ds="http://schemas.openxmlformats.org/officeDocument/2006/customXml" ds:itemID="{E6A716D3-F1AE-4800-A37F-F38946272407}">
  <ds:schemaRefs>
    <ds:schemaRef ds:uri="http://purl.org/dc/dcmitype/"/>
    <ds:schemaRef ds:uri="http://schemas.microsoft.com/office/2006/documentManagement/types"/>
    <ds:schemaRef ds:uri="51ef5222-d273-4e86-adbf-8aa3d9e99a84"/>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06badf41-c0a1-41a6-983a-efd542c2c878"/>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59</TotalTime>
  <Pages>240</Pages>
  <Words>94095</Words>
  <Characters>536348</Characters>
  <Application>Microsoft Office Word</Application>
  <DocSecurity>0</DocSecurity>
  <Lines>4469</Lines>
  <Paragraphs>1258</Paragraphs>
  <ScaleCrop>false</ScaleCrop>
  <HeadingPairs>
    <vt:vector size="2" baseType="variant">
      <vt:variant>
        <vt:lpstr>Title</vt:lpstr>
      </vt:variant>
      <vt:variant>
        <vt:i4>1</vt:i4>
      </vt:variant>
    </vt:vector>
  </HeadingPairs>
  <TitlesOfParts>
    <vt:vector size="1" baseType="lpstr">
      <vt:lpstr>Department of Health annual report 2020-21</vt:lpstr>
    </vt:vector>
  </TitlesOfParts>
  <Company>Department of Health</Company>
  <LinksUpToDate>false</LinksUpToDate>
  <CharactersWithSpaces>629185</CharactersWithSpaces>
  <SharedDoc>false</SharedDoc>
  <HLinks>
    <vt:vector size="654" baseType="variant">
      <vt:variant>
        <vt:i4>1769529</vt:i4>
      </vt:variant>
      <vt:variant>
        <vt:i4>536</vt:i4>
      </vt:variant>
      <vt:variant>
        <vt:i4>0</vt:i4>
      </vt:variant>
      <vt:variant>
        <vt:i4>5</vt:i4>
      </vt:variant>
      <vt:variant>
        <vt:lpwstr/>
      </vt:variant>
      <vt:variant>
        <vt:lpwstr>_Toc85194545</vt:lpwstr>
      </vt:variant>
      <vt:variant>
        <vt:i4>1703993</vt:i4>
      </vt:variant>
      <vt:variant>
        <vt:i4>530</vt:i4>
      </vt:variant>
      <vt:variant>
        <vt:i4>0</vt:i4>
      </vt:variant>
      <vt:variant>
        <vt:i4>5</vt:i4>
      </vt:variant>
      <vt:variant>
        <vt:lpwstr/>
      </vt:variant>
      <vt:variant>
        <vt:lpwstr>_Toc85194544</vt:lpwstr>
      </vt:variant>
      <vt:variant>
        <vt:i4>1900601</vt:i4>
      </vt:variant>
      <vt:variant>
        <vt:i4>524</vt:i4>
      </vt:variant>
      <vt:variant>
        <vt:i4>0</vt:i4>
      </vt:variant>
      <vt:variant>
        <vt:i4>5</vt:i4>
      </vt:variant>
      <vt:variant>
        <vt:lpwstr/>
      </vt:variant>
      <vt:variant>
        <vt:lpwstr>_Toc85194543</vt:lpwstr>
      </vt:variant>
      <vt:variant>
        <vt:i4>1835065</vt:i4>
      </vt:variant>
      <vt:variant>
        <vt:i4>518</vt:i4>
      </vt:variant>
      <vt:variant>
        <vt:i4>0</vt:i4>
      </vt:variant>
      <vt:variant>
        <vt:i4>5</vt:i4>
      </vt:variant>
      <vt:variant>
        <vt:lpwstr/>
      </vt:variant>
      <vt:variant>
        <vt:lpwstr>_Toc85194542</vt:lpwstr>
      </vt:variant>
      <vt:variant>
        <vt:i4>2031673</vt:i4>
      </vt:variant>
      <vt:variant>
        <vt:i4>512</vt:i4>
      </vt:variant>
      <vt:variant>
        <vt:i4>0</vt:i4>
      </vt:variant>
      <vt:variant>
        <vt:i4>5</vt:i4>
      </vt:variant>
      <vt:variant>
        <vt:lpwstr/>
      </vt:variant>
      <vt:variant>
        <vt:lpwstr>_Toc85194541</vt:lpwstr>
      </vt:variant>
      <vt:variant>
        <vt:i4>1966137</vt:i4>
      </vt:variant>
      <vt:variant>
        <vt:i4>506</vt:i4>
      </vt:variant>
      <vt:variant>
        <vt:i4>0</vt:i4>
      </vt:variant>
      <vt:variant>
        <vt:i4>5</vt:i4>
      </vt:variant>
      <vt:variant>
        <vt:lpwstr/>
      </vt:variant>
      <vt:variant>
        <vt:lpwstr>_Toc85194540</vt:lpwstr>
      </vt:variant>
      <vt:variant>
        <vt:i4>1507390</vt:i4>
      </vt:variant>
      <vt:variant>
        <vt:i4>500</vt:i4>
      </vt:variant>
      <vt:variant>
        <vt:i4>0</vt:i4>
      </vt:variant>
      <vt:variant>
        <vt:i4>5</vt:i4>
      </vt:variant>
      <vt:variant>
        <vt:lpwstr/>
      </vt:variant>
      <vt:variant>
        <vt:lpwstr>_Toc85194539</vt:lpwstr>
      </vt:variant>
      <vt:variant>
        <vt:i4>1441854</vt:i4>
      </vt:variant>
      <vt:variant>
        <vt:i4>494</vt:i4>
      </vt:variant>
      <vt:variant>
        <vt:i4>0</vt:i4>
      </vt:variant>
      <vt:variant>
        <vt:i4>5</vt:i4>
      </vt:variant>
      <vt:variant>
        <vt:lpwstr/>
      </vt:variant>
      <vt:variant>
        <vt:lpwstr>_Toc85194538</vt:lpwstr>
      </vt:variant>
      <vt:variant>
        <vt:i4>1638462</vt:i4>
      </vt:variant>
      <vt:variant>
        <vt:i4>488</vt:i4>
      </vt:variant>
      <vt:variant>
        <vt:i4>0</vt:i4>
      </vt:variant>
      <vt:variant>
        <vt:i4>5</vt:i4>
      </vt:variant>
      <vt:variant>
        <vt:lpwstr/>
      </vt:variant>
      <vt:variant>
        <vt:lpwstr>_Toc85194537</vt:lpwstr>
      </vt:variant>
      <vt:variant>
        <vt:i4>1572926</vt:i4>
      </vt:variant>
      <vt:variant>
        <vt:i4>482</vt:i4>
      </vt:variant>
      <vt:variant>
        <vt:i4>0</vt:i4>
      </vt:variant>
      <vt:variant>
        <vt:i4>5</vt:i4>
      </vt:variant>
      <vt:variant>
        <vt:lpwstr/>
      </vt:variant>
      <vt:variant>
        <vt:lpwstr>_Toc85194536</vt:lpwstr>
      </vt:variant>
      <vt:variant>
        <vt:i4>1769534</vt:i4>
      </vt:variant>
      <vt:variant>
        <vt:i4>476</vt:i4>
      </vt:variant>
      <vt:variant>
        <vt:i4>0</vt:i4>
      </vt:variant>
      <vt:variant>
        <vt:i4>5</vt:i4>
      </vt:variant>
      <vt:variant>
        <vt:lpwstr/>
      </vt:variant>
      <vt:variant>
        <vt:lpwstr>_Toc85194535</vt:lpwstr>
      </vt:variant>
      <vt:variant>
        <vt:i4>1703998</vt:i4>
      </vt:variant>
      <vt:variant>
        <vt:i4>470</vt:i4>
      </vt:variant>
      <vt:variant>
        <vt:i4>0</vt:i4>
      </vt:variant>
      <vt:variant>
        <vt:i4>5</vt:i4>
      </vt:variant>
      <vt:variant>
        <vt:lpwstr/>
      </vt:variant>
      <vt:variant>
        <vt:lpwstr>_Toc85194534</vt:lpwstr>
      </vt:variant>
      <vt:variant>
        <vt:i4>1900606</vt:i4>
      </vt:variant>
      <vt:variant>
        <vt:i4>464</vt:i4>
      </vt:variant>
      <vt:variant>
        <vt:i4>0</vt:i4>
      </vt:variant>
      <vt:variant>
        <vt:i4>5</vt:i4>
      </vt:variant>
      <vt:variant>
        <vt:lpwstr/>
      </vt:variant>
      <vt:variant>
        <vt:lpwstr>_Toc85194533</vt:lpwstr>
      </vt:variant>
      <vt:variant>
        <vt:i4>1835070</vt:i4>
      </vt:variant>
      <vt:variant>
        <vt:i4>458</vt:i4>
      </vt:variant>
      <vt:variant>
        <vt:i4>0</vt:i4>
      </vt:variant>
      <vt:variant>
        <vt:i4>5</vt:i4>
      </vt:variant>
      <vt:variant>
        <vt:lpwstr/>
      </vt:variant>
      <vt:variant>
        <vt:lpwstr>_Toc85194532</vt:lpwstr>
      </vt:variant>
      <vt:variant>
        <vt:i4>2031678</vt:i4>
      </vt:variant>
      <vt:variant>
        <vt:i4>452</vt:i4>
      </vt:variant>
      <vt:variant>
        <vt:i4>0</vt:i4>
      </vt:variant>
      <vt:variant>
        <vt:i4>5</vt:i4>
      </vt:variant>
      <vt:variant>
        <vt:lpwstr/>
      </vt:variant>
      <vt:variant>
        <vt:lpwstr>_Toc85194531</vt:lpwstr>
      </vt:variant>
      <vt:variant>
        <vt:i4>1966142</vt:i4>
      </vt:variant>
      <vt:variant>
        <vt:i4>446</vt:i4>
      </vt:variant>
      <vt:variant>
        <vt:i4>0</vt:i4>
      </vt:variant>
      <vt:variant>
        <vt:i4>5</vt:i4>
      </vt:variant>
      <vt:variant>
        <vt:lpwstr/>
      </vt:variant>
      <vt:variant>
        <vt:lpwstr>_Toc85194530</vt:lpwstr>
      </vt:variant>
      <vt:variant>
        <vt:i4>8060967</vt:i4>
      </vt:variant>
      <vt:variant>
        <vt:i4>441</vt:i4>
      </vt:variant>
      <vt:variant>
        <vt:i4>0</vt:i4>
      </vt:variant>
      <vt:variant>
        <vt:i4>5</vt:i4>
      </vt:variant>
      <vt:variant>
        <vt:lpwstr>https://www.dtf.vic.gov.au/infrastructure-investment/asset-management-accountability-framework</vt:lpwstr>
      </vt:variant>
      <vt:variant>
        <vt:lpwstr/>
      </vt:variant>
      <vt:variant>
        <vt:i4>5701649</vt:i4>
      </vt:variant>
      <vt:variant>
        <vt:i4>438</vt:i4>
      </vt:variant>
      <vt:variant>
        <vt:i4>0</vt:i4>
      </vt:variant>
      <vt:variant>
        <vt:i4>5</vt:i4>
      </vt:variant>
      <vt:variant>
        <vt:lpwstr>https://www.aihw.gov.au/reports-data/myhospitals</vt:lpwstr>
      </vt:variant>
      <vt:variant>
        <vt:lpwstr/>
      </vt:variant>
      <vt:variant>
        <vt:i4>589907</vt:i4>
      </vt:variant>
      <vt:variant>
        <vt:i4>435</vt:i4>
      </vt:variant>
      <vt:variant>
        <vt:i4>0</vt:i4>
      </vt:variant>
      <vt:variant>
        <vt:i4>5</vt:i4>
      </vt:variant>
      <vt:variant>
        <vt:lpwstr>https://www.aihw.gov.au/</vt:lpwstr>
      </vt:variant>
      <vt:variant>
        <vt:lpwstr/>
      </vt:variant>
      <vt:variant>
        <vt:i4>5636180</vt:i4>
      </vt:variant>
      <vt:variant>
        <vt:i4>432</vt:i4>
      </vt:variant>
      <vt:variant>
        <vt:i4>0</vt:i4>
      </vt:variant>
      <vt:variant>
        <vt:i4>5</vt:i4>
      </vt:variant>
      <vt:variant>
        <vt:lpwstr>https://www.cancervic.org.au/</vt:lpwstr>
      </vt:variant>
      <vt:variant>
        <vt:lpwstr/>
      </vt:variant>
      <vt:variant>
        <vt:i4>6881398</vt:i4>
      </vt:variant>
      <vt:variant>
        <vt:i4>429</vt:i4>
      </vt:variant>
      <vt:variant>
        <vt:i4>0</vt:i4>
      </vt:variant>
      <vt:variant>
        <vt:i4>5</vt:i4>
      </vt:variant>
      <vt:variant>
        <vt:lpwstr>https://www2.health.vic.gov.au/about/reporting-planning-data/the-centre-for-victorian-data-linkage/for-researchers</vt:lpwstr>
      </vt:variant>
      <vt:variant>
        <vt:lpwstr/>
      </vt:variant>
      <vt:variant>
        <vt:i4>7274559</vt:i4>
      </vt:variant>
      <vt:variant>
        <vt:i4>426</vt:i4>
      </vt:variant>
      <vt:variant>
        <vt:i4>0</vt:i4>
      </vt:variant>
      <vt:variant>
        <vt:i4>5</vt:i4>
      </vt:variant>
      <vt:variant>
        <vt:lpwstr>https://vahi.freshdesk.com/support/home</vt:lpwstr>
      </vt:variant>
      <vt:variant>
        <vt:lpwstr/>
      </vt:variant>
      <vt:variant>
        <vt:i4>5439559</vt:i4>
      </vt:variant>
      <vt:variant>
        <vt:i4>423</vt:i4>
      </vt:variant>
      <vt:variant>
        <vt:i4>0</vt:i4>
      </vt:variant>
      <vt:variant>
        <vt:i4>5</vt:i4>
      </vt:variant>
      <vt:variant>
        <vt:lpwstr>https://dhhs.vic.gov.au/publications/reports-reviews-data</vt:lpwstr>
      </vt:variant>
      <vt:variant>
        <vt:lpwstr/>
      </vt:variant>
      <vt:variant>
        <vt:i4>7340147</vt:i4>
      </vt:variant>
      <vt:variant>
        <vt:i4>420</vt:i4>
      </vt:variant>
      <vt:variant>
        <vt:i4>0</vt:i4>
      </vt:variant>
      <vt:variant>
        <vt:i4>5</vt:i4>
      </vt:variant>
      <vt:variant>
        <vt:lpwstr>https://www.coronavirus.vic.gov.au/victorian-coronavirus-covid-19-data</vt:lpwstr>
      </vt:variant>
      <vt:variant>
        <vt:lpwstr/>
      </vt:variant>
      <vt:variant>
        <vt:i4>4390978</vt:i4>
      </vt:variant>
      <vt:variant>
        <vt:i4>417</vt:i4>
      </vt:variant>
      <vt:variant>
        <vt:i4>0</vt:i4>
      </vt:variant>
      <vt:variant>
        <vt:i4>5</vt:i4>
      </vt:variant>
      <vt:variant>
        <vt:lpwstr>https://www2.health.vic.gov.au/public-health</vt:lpwstr>
      </vt:variant>
      <vt:variant>
        <vt:lpwstr/>
      </vt:variant>
      <vt:variant>
        <vt:i4>4980828</vt:i4>
      </vt:variant>
      <vt:variant>
        <vt:i4>414</vt:i4>
      </vt:variant>
      <vt:variant>
        <vt:i4>0</vt:i4>
      </vt:variant>
      <vt:variant>
        <vt:i4>5</vt:i4>
      </vt:variant>
      <vt:variant>
        <vt:lpwstr>https://www2.health.vic.gov.au/about/reporting-planning-data</vt:lpwstr>
      </vt:variant>
      <vt:variant>
        <vt:lpwstr/>
      </vt:variant>
      <vt:variant>
        <vt:i4>1245248</vt:i4>
      </vt:variant>
      <vt:variant>
        <vt:i4>411</vt:i4>
      </vt:variant>
      <vt:variant>
        <vt:i4>0</vt:i4>
      </vt:variant>
      <vt:variant>
        <vt:i4>5</vt:i4>
      </vt:variant>
      <vt:variant>
        <vt:lpwstr>https://vahi.vic.gov.au/reports/victorian-health-services-performance</vt:lpwstr>
      </vt:variant>
      <vt:variant>
        <vt:lpwstr/>
      </vt:variant>
      <vt:variant>
        <vt:i4>6684725</vt:i4>
      </vt:variant>
      <vt:variant>
        <vt:i4>408</vt:i4>
      </vt:variant>
      <vt:variant>
        <vt:i4>0</vt:i4>
      </vt:variant>
      <vt:variant>
        <vt:i4>5</vt:i4>
      </vt:variant>
      <vt:variant>
        <vt:lpwstr>http://www.data.vic.gov.au/</vt:lpwstr>
      </vt:variant>
      <vt:variant>
        <vt:lpwstr/>
      </vt:variant>
      <vt:variant>
        <vt:i4>131156</vt:i4>
      </vt:variant>
      <vt:variant>
        <vt:i4>405</vt:i4>
      </vt:variant>
      <vt:variant>
        <vt:i4>0</vt:i4>
      </vt:variant>
      <vt:variant>
        <vt:i4>5</vt:i4>
      </vt:variant>
      <vt:variant>
        <vt:lpwstr>https://urldefense.proofpoint.com/v2/url?u=https-3A__www.npi.gov.au_resource_national-2Dpollutant-2Dinventory-2Dguide&amp;d=DwMGaQ&amp;c=JnBkUqWXzx2bz-3a05d47Q&amp;r=63QUJ8vPITj9VxQCgC_FOjaQxYjJE-YphC7-xmQoNuw&amp;m=99bRHjeuYDNC15NST6QeqnbpVw4dBCtjg_PEDmNHpGA&amp;s=wISRYYwMNZu5duVxCZcSKwm9ynNzJQpv9cJE2GzcSWA&amp;e=</vt:lpwstr>
      </vt:variant>
      <vt:variant>
        <vt:lpwstr/>
      </vt:variant>
      <vt:variant>
        <vt:i4>3473421</vt:i4>
      </vt:variant>
      <vt:variant>
        <vt:i4>402</vt:i4>
      </vt:variant>
      <vt:variant>
        <vt:i4>0</vt:i4>
      </vt:variant>
      <vt:variant>
        <vt:i4>5</vt:i4>
      </vt:variant>
      <vt:variant>
        <vt:lpwstr>mailto:dhcommunicationsenquiries@health.vic.gov.au</vt:lpwstr>
      </vt:variant>
      <vt:variant>
        <vt:lpwstr/>
      </vt:variant>
      <vt:variant>
        <vt:i4>4784248</vt:i4>
      </vt:variant>
      <vt:variant>
        <vt:i4>396</vt:i4>
      </vt:variant>
      <vt:variant>
        <vt:i4>0</vt:i4>
      </vt:variant>
      <vt:variant>
        <vt:i4>5</vt:i4>
      </vt:variant>
      <vt:variant>
        <vt:lpwstr/>
      </vt:variant>
      <vt:variant>
        <vt:lpwstr>_Disability_employment_strategy</vt:lpwstr>
      </vt:variant>
      <vt:variant>
        <vt:i4>1769497</vt:i4>
      </vt:variant>
      <vt:variant>
        <vt:i4>393</vt:i4>
      </vt:variant>
      <vt:variant>
        <vt:i4>0</vt:i4>
      </vt:variant>
      <vt:variant>
        <vt:i4>5</vt:i4>
      </vt:variant>
      <vt:variant>
        <vt:lpwstr>https://www.dhhs.vic.gov.au/publications/disability-action-plan-2018-2020</vt:lpwstr>
      </vt:variant>
      <vt:variant>
        <vt:lpwstr/>
      </vt:variant>
      <vt:variant>
        <vt:i4>3866634</vt:i4>
      </vt:variant>
      <vt:variant>
        <vt:i4>390</vt:i4>
      </vt:variant>
      <vt:variant>
        <vt:i4>0</vt:i4>
      </vt:variant>
      <vt:variant>
        <vt:i4>5</vt:i4>
      </vt:variant>
      <vt:variant>
        <vt:lpwstr>mailto:publicinterestdisclosure@health.vic.gov.au</vt:lpwstr>
      </vt:variant>
      <vt:variant>
        <vt:lpwstr/>
      </vt:variant>
      <vt:variant>
        <vt:i4>2555943</vt:i4>
      </vt:variant>
      <vt:variant>
        <vt:i4>387</vt:i4>
      </vt:variant>
      <vt:variant>
        <vt:i4>0</vt:i4>
      </vt:variant>
      <vt:variant>
        <vt:i4>5</vt:i4>
      </vt:variant>
      <vt:variant>
        <vt:lpwstr>https://www.dhhs.vic.gov.au/public-interest-disclosure</vt:lpwstr>
      </vt:variant>
      <vt:variant>
        <vt:lpwstr/>
      </vt:variant>
      <vt:variant>
        <vt:i4>4063238</vt:i4>
      </vt:variant>
      <vt:variant>
        <vt:i4>384</vt:i4>
      </vt:variant>
      <vt:variant>
        <vt:i4>0</vt:i4>
      </vt:variant>
      <vt:variant>
        <vt:i4>5</vt:i4>
      </vt:variant>
      <vt:variant>
        <vt:lpwstr>mailto:submit@ibac.vic.gov.au</vt:lpwstr>
      </vt:variant>
      <vt:variant>
        <vt:lpwstr/>
      </vt:variant>
      <vt:variant>
        <vt:i4>196629</vt:i4>
      </vt:variant>
      <vt:variant>
        <vt:i4>381</vt:i4>
      </vt:variant>
      <vt:variant>
        <vt:i4>0</vt:i4>
      </vt:variant>
      <vt:variant>
        <vt:i4>5</vt:i4>
      </vt:variant>
      <vt:variant>
        <vt:lpwstr>https://www.ibac.vic.gov.au/</vt:lpwstr>
      </vt:variant>
      <vt:variant>
        <vt:lpwstr/>
      </vt:variant>
      <vt:variant>
        <vt:i4>5046369</vt:i4>
      </vt:variant>
      <vt:variant>
        <vt:i4>378</vt:i4>
      </vt:variant>
      <vt:variant>
        <vt:i4>0</vt:i4>
      </vt:variant>
      <vt:variant>
        <vt:i4>5</vt:i4>
      </vt:variant>
      <vt:variant>
        <vt:lpwstr>mailto:foi@health.vic.gov.au</vt:lpwstr>
      </vt:variant>
      <vt:variant>
        <vt:lpwstr/>
      </vt:variant>
      <vt:variant>
        <vt:i4>5505096</vt:i4>
      </vt:variant>
      <vt:variant>
        <vt:i4>375</vt:i4>
      </vt:variant>
      <vt:variant>
        <vt:i4>0</vt:i4>
      </vt:variant>
      <vt:variant>
        <vt:i4>5</vt:i4>
      </vt:variant>
      <vt:variant>
        <vt:lpwstr>https://online.foi.vic.gov.au/foi/request.doj</vt:lpwstr>
      </vt:variant>
      <vt:variant>
        <vt:lpwstr/>
      </vt:variant>
      <vt:variant>
        <vt:i4>7143550</vt:i4>
      </vt:variant>
      <vt:variant>
        <vt:i4>372</vt:i4>
      </vt:variant>
      <vt:variant>
        <vt:i4>0</vt:i4>
      </vt:variant>
      <vt:variant>
        <vt:i4>5</vt:i4>
      </vt:variant>
      <vt:variant>
        <vt:lpwstr>http://www.tenders.vic.gov.au/</vt:lpwstr>
      </vt:variant>
      <vt:variant>
        <vt:lpwstr/>
      </vt:variant>
      <vt:variant>
        <vt:i4>3145770</vt:i4>
      </vt:variant>
      <vt:variant>
        <vt:i4>366</vt:i4>
      </vt:variant>
      <vt:variant>
        <vt:i4>0</vt:i4>
      </vt:variant>
      <vt:variant>
        <vt:i4>5</vt:i4>
      </vt:variant>
      <vt:variant>
        <vt:lpwstr>https://www.vhba.vic.gov.au/health/community-based-care/sunbury-community-hospital</vt:lpwstr>
      </vt:variant>
      <vt:variant>
        <vt:lpwstr/>
      </vt:variant>
      <vt:variant>
        <vt:i4>262238</vt:i4>
      </vt:variant>
      <vt:variant>
        <vt:i4>363</vt:i4>
      </vt:variant>
      <vt:variant>
        <vt:i4>0</vt:i4>
      </vt:variant>
      <vt:variant>
        <vt:i4>5</vt:i4>
      </vt:variant>
      <vt:variant>
        <vt:lpwstr>https://www.vhba.vic.gov.au/health/community-based-care/phillip-island-community-hospital</vt:lpwstr>
      </vt:variant>
      <vt:variant>
        <vt:lpwstr/>
      </vt:variant>
      <vt:variant>
        <vt:i4>3604512</vt:i4>
      </vt:variant>
      <vt:variant>
        <vt:i4>360</vt:i4>
      </vt:variant>
      <vt:variant>
        <vt:i4>0</vt:i4>
      </vt:variant>
      <vt:variant>
        <vt:i4>5</vt:i4>
      </vt:variant>
      <vt:variant>
        <vt:lpwstr>https://www.vhba.vic.gov.au/health/community-based-care/craigieburn-community-hospital</vt:lpwstr>
      </vt:variant>
      <vt:variant>
        <vt:lpwstr/>
      </vt:variant>
      <vt:variant>
        <vt:i4>2752561</vt:i4>
      </vt:variant>
      <vt:variant>
        <vt:i4>357</vt:i4>
      </vt:variant>
      <vt:variant>
        <vt:i4>0</vt:i4>
      </vt:variant>
      <vt:variant>
        <vt:i4>5</vt:i4>
      </vt:variant>
      <vt:variant>
        <vt:lpwstr>https://www.vhba.vic.gov.au/health/community-based-care/torquay-community-hospital</vt:lpwstr>
      </vt:variant>
      <vt:variant>
        <vt:lpwstr/>
      </vt:variant>
      <vt:variant>
        <vt:i4>3342372</vt:i4>
      </vt:variant>
      <vt:variant>
        <vt:i4>354</vt:i4>
      </vt:variant>
      <vt:variant>
        <vt:i4>0</vt:i4>
      </vt:variant>
      <vt:variant>
        <vt:i4>5</vt:i4>
      </vt:variant>
      <vt:variant>
        <vt:lpwstr>https://www.vhba.vic.gov.au/health/community-based-care/pakenham-community-hospital</vt:lpwstr>
      </vt:variant>
      <vt:variant>
        <vt:lpwstr/>
      </vt:variant>
      <vt:variant>
        <vt:i4>5636171</vt:i4>
      </vt:variant>
      <vt:variant>
        <vt:i4>351</vt:i4>
      </vt:variant>
      <vt:variant>
        <vt:i4>0</vt:i4>
      </vt:variant>
      <vt:variant>
        <vt:i4>5</vt:i4>
      </vt:variant>
      <vt:variant>
        <vt:lpwstr>https://www.vhba.vic.gov.au/health/community-based-care/cranbourne-community-hospital</vt:lpwstr>
      </vt:variant>
      <vt:variant>
        <vt:lpwstr/>
      </vt:variant>
      <vt:variant>
        <vt:i4>3670116</vt:i4>
      </vt:variant>
      <vt:variant>
        <vt:i4>348</vt:i4>
      </vt:variant>
      <vt:variant>
        <vt:i4>0</vt:i4>
      </vt:variant>
      <vt:variant>
        <vt:i4>5</vt:i4>
      </vt:variant>
      <vt:variant>
        <vt:lpwstr>https://www.vhba.vic.gov.au/health/community-based-care/fishermans-bend-community-hospital</vt:lpwstr>
      </vt:variant>
      <vt:variant>
        <vt:lpwstr/>
      </vt:variant>
      <vt:variant>
        <vt:i4>1704017</vt:i4>
      </vt:variant>
      <vt:variant>
        <vt:i4>345</vt:i4>
      </vt:variant>
      <vt:variant>
        <vt:i4>0</vt:i4>
      </vt:variant>
      <vt:variant>
        <vt:i4>5</vt:i4>
      </vt:variant>
      <vt:variant>
        <vt:lpwstr>https://www.vhba.vic.gov.au/health/community-based-care/point-cook-community-hospital</vt:lpwstr>
      </vt:variant>
      <vt:variant>
        <vt:lpwstr/>
      </vt:variant>
      <vt:variant>
        <vt:i4>3670133</vt:i4>
      </vt:variant>
      <vt:variant>
        <vt:i4>342</vt:i4>
      </vt:variant>
      <vt:variant>
        <vt:i4>0</vt:i4>
      </vt:variant>
      <vt:variant>
        <vt:i4>5</vt:i4>
      </vt:variant>
      <vt:variant>
        <vt:lpwstr>https://www.vhba.vic.gov.au/health/community-based-care/eltham-area-community-hospital</vt:lpwstr>
      </vt:variant>
      <vt:variant>
        <vt:lpwstr/>
      </vt:variant>
      <vt:variant>
        <vt:i4>3080291</vt:i4>
      </vt:variant>
      <vt:variant>
        <vt:i4>339</vt:i4>
      </vt:variant>
      <vt:variant>
        <vt:i4>0</vt:i4>
      </vt:variant>
      <vt:variant>
        <vt:i4>5</vt:i4>
      </vt:variant>
      <vt:variant>
        <vt:lpwstr>https://www.vhba.vic.gov.au/health/community-based-care/city-whittlesea-community-hospital</vt:lpwstr>
      </vt:variant>
      <vt:variant>
        <vt:lpwstr/>
      </vt:variant>
      <vt:variant>
        <vt:i4>6488107</vt:i4>
      </vt:variant>
      <vt:variant>
        <vt:i4>330</vt:i4>
      </vt:variant>
      <vt:variant>
        <vt:i4>0</vt:i4>
      </vt:variant>
      <vt:variant>
        <vt:i4>5</vt:i4>
      </vt:variant>
      <vt:variant>
        <vt:lpwstr/>
      </vt:variant>
      <vt:variant>
        <vt:lpwstr>_Capital_projects_reaching_1</vt:lpwstr>
      </vt:variant>
      <vt:variant>
        <vt:i4>5374068</vt:i4>
      </vt:variant>
      <vt:variant>
        <vt:i4>327</vt:i4>
      </vt:variant>
      <vt:variant>
        <vt:i4>0</vt:i4>
      </vt:variant>
      <vt:variant>
        <vt:i4>5</vt:i4>
      </vt:variant>
      <vt:variant>
        <vt:lpwstr/>
      </vt:variant>
      <vt:variant>
        <vt:lpwstr>_Capital_projects_reaching</vt:lpwstr>
      </vt:variant>
      <vt:variant>
        <vt:i4>2555912</vt:i4>
      </vt:variant>
      <vt:variant>
        <vt:i4>321</vt:i4>
      </vt:variant>
      <vt:variant>
        <vt:i4>0</vt:i4>
      </vt:variant>
      <vt:variant>
        <vt:i4>5</vt:i4>
      </vt:variant>
      <vt:variant>
        <vt:lpwstr/>
      </vt:variant>
      <vt:variant>
        <vt:lpwstr>COVID_section</vt:lpwstr>
      </vt:variant>
      <vt:variant>
        <vt:i4>8192039</vt:i4>
      </vt:variant>
      <vt:variant>
        <vt:i4>318</vt:i4>
      </vt:variant>
      <vt:variant>
        <vt:i4>0</vt:i4>
      </vt:variant>
      <vt:variant>
        <vt:i4>5</vt:i4>
      </vt:variant>
      <vt:variant>
        <vt:lpwstr>https://www.vhba.vic.gov.au/mental-health/hospital-based-care/mental-health-beds-expansion-program-mckellar-centre</vt:lpwstr>
      </vt:variant>
      <vt:variant>
        <vt:lpwstr/>
      </vt:variant>
      <vt:variant>
        <vt:i4>2228281</vt:i4>
      </vt:variant>
      <vt:variant>
        <vt:i4>315</vt:i4>
      </vt:variant>
      <vt:variant>
        <vt:i4>0</vt:i4>
      </vt:variant>
      <vt:variant>
        <vt:i4>5</vt:i4>
      </vt:variant>
      <vt:variant>
        <vt:lpwstr>https://www.vhba.vic.gov.au/mental-health/hospital-based-care/mental-health-beds-expansion-program-royal-melbourne-hospital</vt:lpwstr>
      </vt:variant>
      <vt:variant>
        <vt:lpwstr/>
      </vt:variant>
      <vt:variant>
        <vt:i4>1966169</vt:i4>
      </vt:variant>
      <vt:variant>
        <vt:i4>312</vt:i4>
      </vt:variant>
      <vt:variant>
        <vt:i4>0</vt:i4>
      </vt:variant>
      <vt:variant>
        <vt:i4>5</vt:i4>
      </vt:variant>
      <vt:variant>
        <vt:lpwstr>https://www.vhba.vic.gov.au/mental-health/hospital-based-care/mental-health-beds-expansion-program-sunshine-hospital</vt:lpwstr>
      </vt:variant>
      <vt:variant>
        <vt:lpwstr/>
      </vt:variant>
      <vt:variant>
        <vt:i4>196675</vt:i4>
      </vt:variant>
      <vt:variant>
        <vt:i4>309</vt:i4>
      </vt:variant>
      <vt:variant>
        <vt:i4>0</vt:i4>
      </vt:variant>
      <vt:variant>
        <vt:i4>5</vt:i4>
      </vt:variant>
      <vt:variant>
        <vt:lpwstr>https://www.vhba.vic.gov.au/mental-health/hospital-based-care/mental-health-beds-expansion-program-northern-hospital</vt:lpwstr>
      </vt:variant>
      <vt:variant>
        <vt:lpwstr/>
      </vt:variant>
      <vt:variant>
        <vt:i4>983128</vt:i4>
      </vt:variant>
      <vt:variant>
        <vt:i4>306</vt:i4>
      </vt:variant>
      <vt:variant>
        <vt:i4>0</vt:i4>
      </vt:variant>
      <vt:variant>
        <vt:i4>5</vt:i4>
      </vt:variant>
      <vt:variant>
        <vt:lpwstr>https://www.vhba.vic.gov.au/health/equipment-engineering-upgrades/engineering-infrastructure-replacement-program</vt:lpwstr>
      </vt:variant>
      <vt:variant>
        <vt:lpwstr/>
      </vt:variant>
      <vt:variant>
        <vt:i4>2424890</vt:i4>
      </vt:variant>
      <vt:variant>
        <vt:i4>303</vt:i4>
      </vt:variant>
      <vt:variant>
        <vt:i4>0</vt:i4>
      </vt:variant>
      <vt:variant>
        <vt:i4>5</vt:i4>
      </vt:variant>
      <vt:variant>
        <vt:lpwstr>https://www.vhba.vic.gov.au/health/regional-facilities/regional-health-infrastructure-fund</vt:lpwstr>
      </vt:variant>
      <vt:variant>
        <vt:lpwstr/>
      </vt:variant>
      <vt:variant>
        <vt:i4>2555912</vt:i4>
      </vt:variant>
      <vt:variant>
        <vt:i4>297</vt:i4>
      </vt:variant>
      <vt:variant>
        <vt:i4>0</vt:i4>
      </vt:variant>
      <vt:variant>
        <vt:i4>5</vt:i4>
      </vt:variant>
      <vt:variant>
        <vt:lpwstr/>
      </vt:variant>
      <vt:variant>
        <vt:lpwstr>COVID_section</vt:lpwstr>
      </vt:variant>
      <vt:variant>
        <vt:i4>1376293</vt:i4>
      </vt:variant>
      <vt:variant>
        <vt:i4>294</vt:i4>
      </vt:variant>
      <vt:variant>
        <vt:i4>0</vt:i4>
      </vt:variant>
      <vt:variant>
        <vt:i4>5</vt:i4>
      </vt:variant>
      <vt:variant>
        <vt:lpwstr/>
      </vt:variant>
      <vt:variant>
        <vt:lpwstr>_Section_2:_Governance</vt:lpwstr>
      </vt:variant>
      <vt:variant>
        <vt:i4>393291</vt:i4>
      </vt:variant>
      <vt:variant>
        <vt:i4>291</vt:i4>
      </vt:variant>
      <vt:variant>
        <vt:i4>0</vt:i4>
      </vt:variant>
      <vt:variant>
        <vt:i4>5</vt:i4>
      </vt:variant>
      <vt:variant>
        <vt:lpwstr>https://www.vic.gov.au/health/leadership-charter</vt:lpwstr>
      </vt:variant>
      <vt:variant>
        <vt:lpwstr/>
      </vt:variant>
      <vt:variant>
        <vt:i4>1507391</vt:i4>
      </vt:variant>
      <vt:variant>
        <vt:i4>284</vt:i4>
      </vt:variant>
      <vt:variant>
        <vt:i4>0</vt:i4>
      </vt:variant>
      <vt:variant>
        <vt:i4>5</vt:i4>
      </vt:variant>
      <vt:variant>
        <vt:lpwstr/>
      </vt:variant>
      <vt:variant>
        <vt:lpwstr>_Toc85194529</vt:lpwstr>
      </vt:variant>
      <vt:variant>
        <vt:i4>1441855</vt:i4>
      </vt:variant>
      <vt:variant>
        <vt:i4>278</vt:i4>
      </vt:variant>
      <vt:variant>
        <vt:i4>0</vt:i4>
      </vt:variant>
      <vt:variant>
        <vt:i4>5</vt:i4>
      </vt:variant>
      <vt:variant>
        <vt:lpwstr/>
      </vt:variant>
      <vt:variant>
        <vt:lpwstr>_Toc85194528</vt:lpwstr>
      </vt:variant>
      <vt:variant>
        <vt:i4>1638463</vt:i4>
      </vt:variant>
      <vt:variant>
        <vt:i4>272</vt:i4>
      </vt:variant>
      <vt:variant>
        <vt:i4>0</vt:i4>
      </vt:variant>
      <vt:variant>
        <vt:i4>5</vt:i4>
      </vt:variant>
      <vt:variant>
        <vt:lpwstr/>
      </vt:variant>
      <vt:variant>
        <vt:lpwstr>_Toc85194527</vt:lpwstr>
      </vt:variant>
      <vt:variant>
        <vt:i4>1572927</vt:i4>
      </vt:variant>
      <vt:variant>
        <vt:i4>263</vt:i4>
      </vt:variant>
      <vt:variant>
        <vt:i4>0</vt:i4>
      </vt:variant>
      <vt:variant>
        <vt:i4>5</vt:i4>
      </vt:variant>
      <vt:variant>
        <vt:lpwstr/>
      </vt:variant>
      <vt:variant>
        <vt:lpwstr>_Toc85194526</vt:lpwstr>
      </vt:variant>
      <vt:variant>
        <vt:i4>1769535</vt:i4>
      </vt:variant>
      <vt:variant>
        <vt:i4>254</vt:i4>
      </vt:variant>
      <vt:variant>
        <vt:i4>0</vt:i4>
      </vt:variant>
      <vt:variant>
        <vt:i4>5</vt:i4>
      </vt:variant>
      <vt:variant>
        <vt:lpwstr/>
      </vt:variant>
      <vt:variant>
        <vt:lpwstr>_Toc85194525</vt:lpwstr>
      </vt:variant>
      <vt:variant>
        <vt:i4>1703999</vt:i4>
      </vt:variant>
      <vt:variant>
        <vt:i4>248</vt:i4>
      </vt:variant>
      <vt:variant>
        <vt:i4>0</vt:i4>
      </vt:variant>
      <vt:variant>
        <vt:i4>5</vt:i4>
      </vt:variant>
      <vt:variant>
        <vt:lpwstr/>
      </vt:variant>
      <vt:variant>
        <vt:lpwstr>_Toc85194524</vt:lpwstr>
      </vt:variant>
      <vt:variant>
        <vt:i4>1900607</vt:i4>
      </vt:variant>
      <vt:variant>
        <vt:i4>242</vt:i4>
      </vt:variant>
      <vt:variant>
        <vt:i4>0</vt:i4>
      </vt:variant>
      <vt:variant>
        <vt:i4>5</vt:i4>
      </vt:variant>
      <vt:variant>
        <vt:lpwstr/>
      </vt:variant>
      <vt:variant>
        <vt:lpwstr>_Toc85194523</vt:lpwstr>
      </vt:variant>
      <vt:variant>
        <vt:i4>1835071</vt:i4>
      </vt:variant>
      <vt:variant>
        <vt:i4>236</vt:i4>
      </vt:variant>
      <vt:variant>
        <vt:i4>0</vt:i4>
      </vt:variant>
      <vt:variant>
        <vt:i4>5</vt:i4>
      </vt:variant>
      <vt:variant>
        <vt:lpwstr/>
      </vt:variant>
      <vt:variant>
        <vt:lpwstr>_Toc85194522</vt:lpwstr>
      </vt:variant>
      <vt:variant>
        <vt:i4>2031679</vt:i4>
      </vt:variant>
      <vt:variant>
        <vt:i4>230</vt:i4>
      </vt:variant>
      <vt:variant>
        <vt:i4>0</vt:i4>
      </vt:variant>
      <vt:variant>
        <vt:i4>5</vt:i4>
      </vt:variant>
      <vt:variant>
        <vt:lpwstr/>
      </vt:variant>
      <vt:variant>
        <vt:lpwstr>_Toc85194521</vt:lpwstr>
      </vt:variant>
      <vt:variant>
        <vt:i4>1966143</vt:i4>
      </vt:variant>
      <vt:variant>
        <vt:i4>224</vt:i4>
      </vt:variant>
      <vt:variant>
        <vt:i4>0</vt:i4>
      </vt:variant>
      <vt:variant>
        <vt:i4>5</vt:i4>
      </vt:variant>
      <vt:variant>
        <vt:lpwstr/>
      </vt:variant>
      <vt:variant>
        <vt:lpwstr>_Toc85194520</vt:lpwstr>
      </vt:variant>
      <vt:variant>
        <vt:i4>1507388</vt:i4>
      </vt:variant>
      <vt:variant>
        <vt:i4>218</vt:i4>
      </vt:variant>
      <vt:variant>
        <vt:i4>0</vt:i4>
      </vt:variant>
      <vt:variant>
        <vt:i4>5</vt:i4>
      </vt:variant>
      <vt:variant>
        <vt:lpwstr/>
      </vt:variant>
      <vt:variant>
        <vt:lpwstr>_Toc85194519</vt:lpwstr>
      </vt:variant>
      <vt:variant>
        <vt:i4>1441852</vt:i4>
      </vt:variant>
      <vt:variant>
        <vt:i4>212</vt:i4>
      </vt:variant>
      <vt:variant>
        <vt:i4>0</vt:i4>
      </vt:variant>
      <vt:variant>
        <vt:i4>5</vt:i4>
      </vt:variant>
      <vt:variant>
        <vt:lpwstr/>
      </vt:variant>
      <vt:variant>
        <vt:lpwstr>_Toc85194518</vt:lpwstr>
      </vt:variant>
      <vt:variant>
        <vt:i4>1638460</vt:i4>
      </vt:variant>
      <vt:variant>
        <vt:i4>206</vt:i4>
      </vt:variant>
      <vt:variant>
        <vt:i4>0</vt:i4>
      </vt:variant>
      <vt:variant>
        <vt:i4>5</vt:i4>
      </vt:variant>
      <vt:variant>
        <vt:lpwstr/>
      </vt:variant>
      <vt:variant>
        <vt:lpwstr>_Toc85194517</vt:lpwstr>
      </vt:variant>
      <vt:variant>
        <vt:i4>1572924</vt:i4>
      </vt:variant>
      <vt:variant>
        <vt:i4>200</vt:i4>
      </vt:variant>
      <vt:variant>
        <vt:i4>0</vt:i4>
      </vt:variant>
      <vt:variant>
        <vt:i4>5</vt:i4>
      </vt:variant>
      <vt:variant>
        <vt:lpwstr/>
      </vt:variant>
      <vt:variant>
        <vt:lpwstr>_Toc85194516</vt:lpwstr>
      </vt:variant>
      <vt:variant>
        <vt:i4>1769532</vt:i4>
      </vt:variant>
      <vt:variant>
        <vt:i4>194</vt:i4>
      </vt:variant>
      <vt:variant>
        <vt:i4>0</vt:i4>
      </vt:variant>
      <vt:variant>
        <vt:i4>5</vt:i4>
      </vt:variant>
      <vt:variant>
        <vt:lpwstr/>
      </vt:variant>
      <vt:variant>
        <vt:lpwstr>_Toc85194515</vt:lpwstr>
      </vt:variant>
      <vt:variant>
        <vt:i4>1703996</vt:i4>
      </vt:variant>
      <vt:variant>
        <vt:i4>188</vt:i4>
      </vt:variant>
      <vt:variant>
        <vt:i4>0</vt:i4>
      </vt:variant>
      <vt:variant>
        <vt:i4>5</vt:i4>
      </vt:variant>
      <vt:variant>
        <vt:lpwstr/>
      </vt:variant>
      <vt:variant>
        <vt:lpwstr>_Toc85194514</vt:lpwstr>
      </vt:variant>
      <vt:variant>
        <vt:i4>1900604</vt:i4>
      </vt:variant>
      <vt:variant>
        <vt:i4>182</vt:i4>
      </vt:variant>
      <vt:variant>
        <vt:i4>0</vt:i4>
      </vt:variant>
      <vt:variant>
        <vt:i4>5</vt:i4>
      </vt:variant>
      <vt:variant>
        <vt:lpwstr/>
      </vt:variant>
      <vt:variant>
        <vt:lpwstr>_Toc85194513</vt:lpwstr>
      </vt:variant>
      <vt:variant>
        <vt:i4>1835068</vt:i4>
      </vt:variant>
      <vt:variant>
        <vt:i4>176</vt:i4>
      </vt:variant>
      <vt:variant>
        <vt:i4>0</vt:i4>
      </vt:variant>
      <vt:variant>
        <vt:i4>5</vt:i4>
      </vt:variant>
      <vt:variant>
        <vt:lpwstr/>
      </vt:variant>
      <vt:variant>
        <vt:lpwstr>_Toc85194512</vt:lpwstr>
      </vt:variant>
      <vt:variant>
        <vt:i4>2031676</vt:i4>
      </vt:variant>
      <vt:variant>
        <vt:i4>170</vt:i4>
      </vt:variant>
      <vt:variant>
        <vt:i4>0</vt:i4>
      </vt:variant>
      <vt:variant>
        <vt:i4>5</vt:i4>
      </vt:variant>
      <vt:variant>
        <vt:lpwstr/>
      </vt:variant>
      <vt:variant>
        <vt:lpwstr>_Toc85194511</vt:lpwstr>
      </vt:variant>
      <vt:variant>
        <vt:i4>1966140</vt:i4>
      </vt:variant>
      <vt:variant>
        <vt:i4>164</vt:i4>
      </vt:variant>
      <vt:variant>
        <vt:i4>0</vt:i4>
      </vt:variant>
      <vt:variant>
        <vt:i4>5</vt:i4>
      </vt:variant>
      <vt:variant>
        <vt:lpwstr/>
      </vt:variant>
      <vt:variant>
        <vt:lpwstr>_Toc85194510</vt:lpwstr>
      </vt:variant>
      <vt:variant>
        <vt:i4>1507389</vt:i4>
      </vt:variant>
      <vt:variant>
        <vt:i4>158</vt:i4>
      </vt:variant>
      <vt:variant>
        <vt:i4>0</vt:i4>
      </vt:variant>
      <vt:variant>
        <vt:i4>5</vt:i4>
      </vt:variant>
      <vt:variant>
        <vt:lpwstr/>
      </vt:variant>
      <vt:variant>
        <vt:lpwstr>_Toc85194509</vt:lpwstr>
      </vt:variant>
      <vt:variant>
        <vt:i4>1441853</vt:i4>
      </vt:variant>
      <vt:variant>
        <vt:i4>152</vt:i4>
      </vt:variant>
      <vt:variant>
        <vt:i4>0</vt:i4>
      </vt:variant>
      <vt:variant>
        <vt:i4>5</vt:i4>
      </vt:variant>
      <vt:variant>
        <vt:lpwstr/>
      </vt:variant>
      <vt:variant>
        <vt:lpwstr>_Toc85194508</vt:lpwstr>
      </vt:variant>
      <vt:variant>
        <vt:i4>1638461</vt:i4>
      </vt:variant>
      <vt:variant>
        <vt:i4>146</vt:i4>
      </vt:variant>
      <vt:variant>
        <vt:i4>0</vt:i4>
      </vt:variant>
      <vt:variant>
        <vt:i4>5</vt:i4>
      </vt:variant>
      <vt:variant>
        <vt:lpwstr/>
      </vt:variant>
      <vt:variant>
        <vt:lpwstr>_Toc85194507</vt:lpwstr>
      </vt:variant>
      <vt:variant>
        <vt:i4>1572925</vt:i4>
      </vt:variant>
      <vt:variant>
        <vt:i4>140</vt:i4>
      </vt:variant>
      <vt:variant>
        <vt:i4>0</vt:i4>
      </vt:variant>
      <vt:variant>
        <vt:i4>5</vt:i4>
      </vt:variant>
      <vt:variant>
        <vt:lpwstr/>
      </vt:variant>
      <vt:variant>
        <vt:lpwstr>_Toc85194506</vt:lpwstr>
      </vt:variant>
      <vt:variant>
        <vt:i4>1769533</vt:i4>
      </vt:variant>
      <vt:variant>
        <vt:i4>134</vt:i4>
      </vt:variant>
      <vt:variant>
        <vt:i4>0</vt:i4>
      </vt:variant>
      <vt:variant>
        <vt:i4>5</vt:i4>
      </vt:variant>
      <vt:variant>
        <vt:lpwstr/>
      </vt:variant>
      <vt:variant>
        <vt:lpwstr>_Toc85194505</vt:lpwstr>
      </vt:variant>
      <vt:variant>
        <vt:i4>1703997</vt:i4>
      </vt:variant>
      <vt:variant>
        <vt:i4>128</vt:i4>
      </vt:variant>
      <vt:variant>
        <vt:i4>0</vt:i4>
      </vt:variant>
      <vt:variant>
        <vt:i4>5</vt:i4>
      </vt:variant>
      <vt:variant>
        <vt:lpwstr/>
      </vt:variant>
      <vt:variant>
        <vt:lpwstr>_Toc85194504</vt:lpwstr>
      </vt:variant>
      <vt:variant>
        <vt:i4>1900605</vt:i4>
      </vt:variant>
      <vt:variant>
        <vt:i4>122</vt:i4>
      </vt:variant>
      <vt:variant>
        <vt:i4>0</vt:i4>
      </vt:variant>
      <vt:variant>
        <vt:i4>5</vt:i4>
      </vt:variant>
      <vt:variant>
        <vt:lpwstr/>
      </vt:variant>
      <vt:variant>
        <vt:lpwstr>_Toc85194503</vt:lpwstr>
      </vt:variant>
      <vt:variant>
        <vt:i4>1835069</vt:i4>
      </vt:variant>
      <vt:variant>
        <vt:i4>116</vt:i4>
      </vt:variant>
      <vt:variant>
        <vt:i4>0</vt:i4>
      </vt:variant>
      <vt:variant>
        <vt:i4>5</vt:i4>
      </vt:variant>
      <vt:variant>
        <vt:lpwstr/>
      </vt:variant>
      <vt:variant>
        <vt:lpwstr>_Toc85194502</vt:lpwstr>
      </vt:variant>
      <vt:variant>
        <vt:i4>2031677</vt:i4>
      </vt:variant>
      <vt:variant>
        <vt:i4>110</vt:i4>
      </vt:variant>
      <vt:variant>
        <vt:i4>0</vt:i4>
      </vt:variant>
      <vt:variant>
        <vt:i4>5</vt:i4>
      </vt:variant>
      <vt:variant>
        <vt:lpwstr/>
      </vt:variant>
      <vt:variant>
        <vt:lpwstr>_Toc85194501</vt:lpwstr>
      </vt:variant>
      <vt:variant>
        <vt:i4>1966141</vt:i4>
      </vt:variant>
      <vt:variant>
        <vt:i4>104</vt:i4>
      </vt:variant>
      <vt:variant>
        <vt:i4>0</vt:i4>
      </vt:variant>
      <vt:variant>
        <vt:i4>5</vt:i4>
      </vt:variant>
      <vt:variant>
        <vt:lpwstr/>
      </vt:variant>
      <vt:variant>
        <vt:lpwstr>_Toc85194500</vt:lpwstr>
      </vt:variant>
      <vt:variant>
        <vt:i4>1441844</vt:i4>
      </vt:variant>
      <vt:variant>
        <vt:i4>98</vt:i4>
      </vt:variant>
      <vt:variant>
        <vt:i4>0</vt:i4>
      </vt:variant>
      <vt:variant>
        <vt:i4>5</vt:i4>
      </vt:variant>
      <vt:variant>
        <vt:lpwstr/>
      </vt:variant>
      <vt:variant>
        <vt:lpwstr>_Toc85194499</vt:lpwstr>
      </vt:variant>
      <vt:variant>
        <vt:i4>1507380</vt:i4>
      </vt:variant>
      <vt:variant>
        <vt:i4>92</vt:i4>
      </vt:variant>
      <vt:variant>
        <vt:i4>0</vt:i4>
      </vt:variant>
      <vt:variant>
        <vt:i4>5</vt:i4>
      </vt:variant>
      <vt:variant>
        <vt:lpwstr/>
      </vt:variant>
      <vt:variant>
        <vt:lpwstr>_Toc85194498</vt:lpwstr>
      </vt:variant>
      <vt:variant>
        <vt:i4>1572916</vt:i4>
      </vt:variant>
      <vt:variant>
        <vt:i4>86</vt:i4>
      </vt:variant>
      <vt:variant>
        <vt:i4>0</vt:i4>
      </vt:variant>
      <vt:variant>
        <vt:i4>5</vt:i4>
      </vt:variant>
      <vt:variant>
        <vt:lpwstr/>
      </vt:variant>
      <vt:variant>
        <vt:lpwstr>_Toc85194497</vt:lpwstr>
      </vt:variant>
      <vt:variant>
        <vt:i4>1638452</vt:i4>
      </vt:variant>
      <vt:variant>
        <vt:i4>80</vt:i4>
      </vt:variant>
      <vt:variant>
        <vt:i4>0</vt:i4>
      </vt:variant>
      <vt:variant>
        <vt:i4>5</vt:i4>
      </vt:variant>
      <vt:variant>
        <vt:lpwstr/>
      </vt:variant>
      <vt:variant>
        <vt:lpwstr>_Toc85194496</vt:lpwstr>
      </vt:variant>
      <vt:variant>
        <vt:i4>1703988</vt:i4>
      </vt:variant>
      <vt:variant>
        <vt:i4>74</vt:i4>
      </vt:variant>
      <vt:variant>
        <vt:i4>0</vt:i4>
      </vt:variant>
      <vt:variant>
        <vt:i4>5</vt:i4>
      </vt:variant>
      <vt:variant>
        <vt:lpwstr/>
      </vt:variant>
      <vt:variant>
        <vt:lpwstr>_Toc85194495</vt:lpwstr>
      </vt:variant>
      <vt:variant>
        <vt:i4>1769524</vt:i4>
      </vt:variant>
      <vt:variant>
        <vt:i4>68</vt:i4>
      </vt:variant>
      <vt:variant>
        <vt:i4>0</vt:i4>
      </vt:variant>
      <vt:variant>
        <vt:i4>5</vt:i4>
      </vt:variant>
      <vt:variant>
        <vt:lpwstr/>
      </vt:variant>
      <vt:variant>
        <vt:lpwstr>_Toc85194494</vt:lpwstr>
      </vt:variant>
      <vt:variant>
        <vt:i4>1835060</vt:i4>
      </vt:variant>
      <vt:variant>
        <vt:i4>62</vt:i4>
      </vt:variant>
      <vt:variant>
        <vt:i4>0</vt:i4>
      </vt:variant>
      <vt:variant>
        <vt:i4>5</vt:i4>
      </vt:variant>
      <vt:variant>
        <vt:lpwstr/>
      </vt:variant>
      <vt:variant>
        <vt:lpwstr>_Toc85194493</vt:lpwstr>
      </vt:variant>
      <vt:variant>
        <vt:i4>1900596</vt:i4>
      </vt:variant>
      <vt:variant>
        <vt:i4>56</vt:i4>
      </vt:variant>
      <vt:variant>
        <vt:i4>0</vt:i4>
      </vt:variant>
      <vt:variant>
        <vt:i4>5</vt:i4>
      </vt:variant>
      <vt:variant>
        <vt:lpwstr/>
      </vt:variant>
      <vt:variant>
        <vt:lpwstr>_Toc85194492</vt:lpwstr>
      </vt:variant>
      <vt:variant>
        <vt:i4>1966132</vt:i4>
      </vt:variant>
      <vt:variant>
        <vt:i4>50</vt:i4>
      </vt:variant>
      <vt:variant>
        <vt:i4>0</vt:i4>
      </vt:variant>
      <vt:variant>
        <vt:i4>5</vt:i4>
      </vt:variant>
      <vt:variant>
        <vt:lpwstr/>
      </vt:variant>
      <vt:variant>
        <vt:lpwstr>_Toc85194491</vt:lpwstr>
      </vt:variant>
      <vt:variant>
        <vt:i4>2031668</vt:i4>
      </vt:variant>
      <vt:variant>
        <vt:i4>44</vt:i4>
      </vt:variant>
      <vt:variant>
        <vt:i4>0</vt:i4>
      </vt:variant>
      <vt:variant>
        <vt:i4>5</vt:i4>
      </vt:variant>
      <vt:variant>
        <vt:lpwstr/>
      </vt:variant>
      <vt:variant>
        <vt:lpwstr>_Toc85194490</vt:lpwstr>
      </vt:variant>
      <vt:variant>
        <vt:i4>1441845</vt:i4>
      </vt:variant>
      <vt:variant>
        <vt:i4>38</vt:i4>
      </vt:variant>
      <vt:variant>
        <vt:i4>0</vt:i4>
      </vt:variant>
      <vt:variant>
        <vt:i4>5</vt:i4>
      </vt:variant>
      <vt:variant>
        <vt:lpwstr/>
      </vt:variant>
      <vt:variant>
        <vt:lpwstr>_Toc85194489</vt:lpwstr>
      </vt:variant>
      <vt:variant>
        <vt:i4>1507381</vt:i4>
      </vt:variant>
      <vt:variant>
        <vt:i4>32</vt:i4>
      </vt:variant>
      <vt:variant>
        <vt:i4>0</vt:i4>
      </vt:variant>
      <vt:variant>
        <vt:i4>5</vt:i4>
      </vt:variant>
      <vt:variant>
        <vt:lpwstr/>
      </vt:variant>
      <vt:variant>
        <vt:lpwstr>_Toc85194488</vt:lpwstr>
      </vt:variant>
      <vt:variant>
        <vt:i4>1572917</vt:i4>
      </vt:variant>
      <vt:variant>
        <vt:i4>26</vt:i4>
      </vt:variant>
      <vt:variant>
        <vt:i4>0</vt:i4>
      </vt:variant>
      <vt:variant>
        <vt:i4>5</vt:i4>
      </vt:variant>
      <vt:variant>
        <vt:lpwstr/>
      </vt:variant>
      <vt:variant>
        <vt:lpwstr>_Toc85194487</vt:lpwstr>
      </vt:variant>
      <vt:variant>
        <vt:i4>1638453</vt:i4>
      </vt:variant>
      <vt:variant>
        <vt:i4>20</vt:i4>
      </vt:variant>
      <vt:variant>
        <vt:i4>0</vt:i4>
      </vt:variant>
      <vt:variant>
        <vt:i4>5</vt:i4>
      </vt:variant>
      <vt:variant>
        <vt:lpwstr/>
      </vt:variant>
      <vt:variant>
        <vt:lpwstr>_Toc85194486</vt:lpwstr>
      </vt:variant>
      <vt:variant>
        <vt:i4>1703989</vt:i4>
      </vt:variant>
      <vt:variant>
        <vt:i4>14</vt:i4>
      </vt:variant>
      <vt:variant>
        <vt:i4>0</vt:i4>
      </vt:variant>
      <vt:variant>
        <vt:i4>5</vt:i4>
      </vt:variant>
      <vt:variant>
        <vt:lpwstr/>
      </vt:variant>
      <vt:variant>
        <vt:lpwstr>_Toc85194485</vt:lpwstr>
      </vt:variant>
      <vt:variant>
        <vt:i4>1769525</vt:i4>
      </vt:variant>
      <vt:variant>
        <vt:i4>8</vt:i4>
      </vt:variant>
      <vt:variant>
        <vt:i4>0</vt:i4>
      </vt:variant>
      <vt:variant>
        <vt:i4>5</vt:i4>
      </vt:variant>
      <vt:variant>
        <vt:lpwstr/>
      </vt:variant>
      <vt:variant>
        <vt:lpwstr>_Toc85194484</vt:lpwstr>
      </vt:variant>
      <vt:variant>
        <vt:i4>5373952</vt:i4>
      </vt:variant>
      <vt:variant>
        <vt:i4>3</vt:i4>
      </vt:variant>
      <vt:variant>
        <vt:i4>0</vt:i4>
      </vt:variant>
      <vt:variant>
        <vt:i4>5</vt:i4>
      </vt:variant>
      <vt:variant>
        <vt:lpwstr>https://creativecommons.org/licenses/by/4.0/legalcode</vt:lpwstr>
      </vt:variant>
      <vt:variant>
        <vt:lpwstr/>
      </vt:variant>
      <vt:variant>
        <vt:i4>4587561</vt:i4>
      </vt:variant>
      <vt:variant>
        <vt:i4>0</vt:i4>
      </vt:variant>
      <vt:variant>
        <vt:i4>0</vt:i4>
      </vt:variant>
      <vt:variant>
        <vt:i4>5</vt:i4>
      </vt:variant>
      <vt:variant>
        <vt:lpwstr>mailto:corporate.reporting@health.vic.gov.au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Health annual report 2020-21</dc:title>
  <dc:subject>Annual report</dc:subject>
  <dc:creator>Department of Health</dc:creator>
  <cp:keywords>annual report 2020-21, financial statements, report of operations, performance reporting, finance and budgetary performance, governance, people, disclosures, environmental sustainability report, audit opinion</cp:keywords>
  <cp:lastModifiedBy>Robert Di Renzo</cp:lastModifiedBy>
  <cp:revision>29</cp:revision>
  <cp:lastPrinted>2021-10-25T10:22:00Z</cp:lastPrinted>
  <dcterms:created xsi:type="dcterms:W3CDTF">2021-10-21T01:39:00Z</dcterms:created>
  <dcterms:modified xsi:type="dcterms:W3CDTF">2021-10-25T10:24:00Z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0x0101009F0C4347C5C6D34BA8C9FCC4F57D19B6</vt:lpwstr>
  </property>
  <property fmtid="{D5CDD505-2E9C-101B-9397-08002B2CF9AE}" pid="3" name="MSIP_Label_efdf5488-3066-4b6c-8fea-9472b8a1f34c_Enabled">
    <vt:lpwstr>True</vt:lpwstr>
  </property>
  <property fmtid="{D5CDD505-2E9C-101B-9397-08002B2CF9AE}" pid="4" name="MSIP_Label_efdf5488-3066-4b6c-8fea-9472b8a1f34c_SiteId">
    <vt:lpwstr>c0e0601f-0fac-449c-9c88-a104c4eb9f28</vt:lpwstr>
  </property>
  <property fmtid="{D5CDD505-2E9C-101B-9397-08002B2CF9AE}" pid="5" name="MSIP_Label_efdf5488-3066-4b6c-8fea-9472b8a1f34c_Owner">
    <vt:lpwstr>Judy.Carr@dhhs.vic.gov.au</vt:lpwstr>
  </property>
  <property fmtid="{D5CDD505-2E9C-101B-9397-08002B2CF9AE}" pid="6" name="MSIP_Label_efdf5488-3066-4b6c-8fea-9472b8a1f34c_Name">
    <vt:lpwstr>DO NOT MARK</vt:lpwstr>
  </property>
  <property fmtid="{D5CDD505-2E9C-101B-9397-08002B2CF9AE}" pid="7" name="MSIP_Label_efdf5488-3066-4b6c-8fea-9472b8a1f34c_Application">
    <vt:lpwstr>Microsoft Azure Information Protection</vt:lpwstr>
  </property>
  <property fmtid="{D5CDD505-2E9C-101B-9397-08002B2CF9AE}" pid="8" name="MSIP_Label_efdf5488-3066-4b6c-8fea-9472b8a1f34c_Extended_MSFT_Method">
    <vt:lpwstr>Manual</vt:lpwstr>
  </property>
  <property fmtid="{D5CDD505-2E9C-101B-9397-08002B2CF9AE}" pid="9" name="Sensitivity">
    <vt:lpwstr>DO NOT MARK</vt:lpwstr>
  </property>
  <property fmtid="{D5CDD505-2E9C-101B-9397-08002B2CF9AE}" pid="10" name="MSIP_Label_efdf5488-3066-4b6c-8fea-9472b8a1f34c_SetDate">
    <vt:lpwstr>2020-09-15T06:14:09.3017878Z</vt:lpwstr>
  </property>
  <property fmtid="{D5CDD505-2E9C-101B-9397-08002B2CF9AE}" pid="11" name="MSIP_Label_efdf5488-3066-4b6c-8fea-9472b8a1f34c_ActionId">
    <vt:lpwstr>cc07eaf2-62f1-4a1b-bc68-1aaf446ddac2</vt:lpwstr>
  </property>
  <property fmtid="{D5CDD505-2E9C-101B-9397-08002B2CF9AE}" pid="12" name="Language">
    <vt:lpwstr>English</vt:lpwstr>
  </property>
</Properties>
</file>